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bidi w:val="0"/>
        <w:jc w:val="center"/>
        <w:rPr>
          <w:rFonts w:hint="eastAsia" w:ascii="黑体" w:hAnsi="黑体" w:eastAsia="黑体" w:cs="黑体"/>
          <w:b w:val="0"/>
          <w:bCs w:val="0"/>
          <w:sz w:val="72"/>
          <w:szCs w:val="72"/>
        </w:rPr>
      </w:pPr>
      <w:bookmarkStart w:id="1" w:name="_Toc15396597"/>
      <w:bookmarkStart w:id="2" w:name="_Toc15377425"/>
      <w:bookmarkStart w:id="3" w:name="_Toc15378441"/>
      <w:bookmarkStart w:id="4" w:name="_Toc15396475"/>
      <w:bookmarkStart w:id="5" w:name="_Toc15377193"/>
      <w:r>
        <w:rPr>
          <w:rFonts w:hint="eastAsia" w:ascii="黑体" w:hAnsi="黑体" w:eastAsia="黑体" w:cs="黑体"/>
          <w:b w:val="0"/>
          <w:bCs w:val="0"/>
          <w:sz w:val="72"/>
          <w:szCs w:val="72"/>
        </w:rPr>
        <w:t>2020年度</w:t>
      </w:r>
      <w:bookmarkEnd w:id="1"/>
      <w:bookmarkEnd w:id="2"/>
      <w:bookmarkEnd w:id="3"/>
      <w:bookmarkEnd w:id="4"/>
      <w:bookmarkEnd w:id="5"/>
    </w:p>
    <w:bookmarkEnd w:id="0"/>
    <w:p>
      <w:pPr>
        <w:bidi w:val="0"/>
        <w:jc w:val="center"/>
        <w:rPr>
          <w:rFonts w:hint="eastAsia" w:ascii="黑体" w:hAnsi="黑体" w:eastAsia="黑体" w:cs="黑体"/>
          <w:b w:val="0"/>
          <w:bCs w:val="0"/>
          <w:sz w:val="72"/>
          <w:szCs w:val="72"/>
        </w:rPr>
      </w:pPr>
      <w:bookmarkStart w:id="6" w:name="_Toc15396598"/>
      <w:bookmarkStart w:id="7" w:name="_Toc15377426"/>
      <w:bookmarkStart w:id="8" w:name="_Toc15378442"/>
      <w:bookmarkStart w:id="9" w:name="_Toc15396476"/>
      <w:bookmarkStart w:id="10" w:name="_Toc15377194"/>
      <w:r>
        <w:rPr>
          <w:rFonts w:hint="eastAsia" w:ascii="黑体" w:hAnsi="黑体" w:eastAsia="黑体" w:cs="黑体"/>
          <w:b w:val="0"/>
          <w:bCs w:val="0"/>
          <w:sz w:val="72"/>
          <w:szCs w:val="72"/>
        </w:rPr>
        <w:t>四川省</w:t>
      </w:r>
      <w:bookmarkStart w:id="11" w:name="_Toc15306268"/>
      <w:r>
        <w:rPr>
          <w:rFonts w:hint="eastAsia" w:ascii="黑体" w:hAnsi="黑体" w:eastAsia="黑体" w:cs="黑体"/>
          <w:b w:val="0"/>
          <w:bCs w:val="0"/>
          <w:sz w:val="72"/>
          <w:szCs w:val="72"/>
          <w:lang w:eastAsia="zh-CN"/>
        </w:rPr>
        <w:t>通江县杨柏镇人民政府</w:t>
      </w:r>
      <w:r>
        <w:rPr>
          <w:rFonts w:hint="eastAsia" w:ascii="黑体" w:hAnsi="黑体" w:eastAsia="黑体" w:cs="黑体"/>
          <w:b w:val="0"/>
          <w:bCs w:val="0"/>
          <w:sz w:val="72"/>
          <w:szCs w:val="72"/>
        </w:rPr>
        <w:t>决算</w:t>
      </w:r>
      <w:bookmarkEnd w:id="6"/>
      <w:bookmarkEnd w:id="7"/>
      <w:bookmarkEnd w:id="8"/>
      <w:bookmarkEnd w:id="9"/>
      <w:bookmarkEnd w:id="10"/>
      <w:bookmarkEnd w:id="11"/>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pStyle w:val="31"/>
        <w:rPr>
          <w:sz w:val="32"/>
          <w:szCs w:val="32"/>
        </w:rPr>
      </w:pPr>
      <w:r>
        <w:rPr>
          <w:rFonts w:hint="eastAsia"/>
          <w:sz w:val="32"/>
          <w:szCs w:val="32"/>
        </w:rPr>
        <w:t>公开时间：</w:t>
      </w:r>
      <w:r>
        <w:rPr>
          <w:sz w:val="32"/>
          <w:szCs w:val="32"/>
        </w:rPr>
        <w:t>2021</w:t>
      </w:r>
      <w:r>
        <w:rPr>
          <w:rFonts w:hint="eastAsia"/>
          <w:sz w:val="32"/>
          <w:szCs w:val="32"/>
        </w:rPr>
        <w:t>年</w:t>
      </w:r>
      <w:r>
        <w:rPr>
          <w:rFonts w:hint="eastAsia"/>
          <w:sz w:val="32"/>
          <w:szCs w:val="32"/>
          <w:lang w:val="en-US" w:eastAsia="zh-CN"/>
        </w:rPr>
        <w:t>10</w:t>
      </w:r>
      <w:r>
        <w:rPr>
          <w:rFonts w:hint="eastAsia"/>
          <w:sz w:val="32"/>
          <w:szCs w:val="32"/>
        </w:rPr>
        <w:t xml:space="preserve"> 月 </w:t>
      </w:r>
      <w:r>
        <w:rPr>
          <w:rFonts w:hint="eastAsia"/>
          <w:sz w:val="32"/>
          <w:szCs w:val="32"/>
          <w:lang w:val="en-US" w:eastAsia="zh-CN"/>
        </w:rPr>
        <w:t>15</w:t>
      </w:r>
      <w:r>
        <w:rPr>
          <w:rFonts w:hint="eastAsia"/>
          <w:sz w:val="32"/>
          <w:szCs w:val="32"/>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sdt>
      <w:sdtPr>
        <w:rPr>
          <w:rFonts w:ascii="宋体" w:hAnsi="宋体" w:eastAsia="宋体" w:cs="Times New Roman"/>
          <w:kern w:val="2"/>
          <w:sz w:val="21"/>
          <w:szCs w:val="24"/>
          <w:lang w:val="en-US" w:eastAsia="zh-CN" w:bidi="ar-SA"/>
        </w:rPr>
        <w:id w:val="147460514"/>
        <w15:color w:val="DBDBDB"/>
        <w:docPartObj>
          <w:docPartGallery w:val="Table of Contents"/>
          <w:docPartUnique/>
        </w:docPartObj>
      </w:sdtPr>
      <w:sdtEndPr>
        <w:rPr>
          <w:rFonts w:ascii="黑体" w:hAnsi="黑体" w:eastAsia="黑体" w:cs="Times New Roman"/>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8"/>
            <w:tabs>
              <w:tab w:val="right" w:leader="dot" w:pos="8306"/>
            </w:tabs>
          </w:pPr>
          <w:r>
            <w:rPr>
              <w:rFonts w:ascii="黑体" w:hAnsi="黑体" w:eastAsia="黑体"/>
              <w:sz w:val="28"/>
              <w:szCs w:val="28"/>
            </w:rPr>
            <w:fldChar w:fldCharType="begin"/>
          </w:r>
          <w:r>
            <w:rPr>
              <w:rFonts w:ascii="黑体" w:hAnsi="黑体" w:eastAsia="黑体"/>
              <w:sz w:val="28"/>
              <w:szCs w:val="28"/>
            </w:rPr>
            <w:instrText xml:space="preserve">TOC \o "1-3" \h \u </w:instrText>
          </w:r>
          <w:r>
            <w:rPr>
              <w:rFonts w:ascii="黑体" w:hAnsi="黑体" w:eastAsia="黑体"/>
              <w:sz w:val="28"/>
              <w:szCs w:val="28"/>
            </w:rPr>
            <w:fldChar w:fldCharType="separate"/>
          </w:r>
          <w:r>
            <w:rPr>
              <w:rFonts w:ascii="黑体" w:hAnsi="黑体" w:eastAsia="黑体"/>
              <w:szCs w:val="28"/>
            </w:rPr>
            <w:fldChar w:fldCharType="begin"/>
          </w:r>
          <w:r>
            <w:rPr>
              <w:rFonts w:ascii="黑体" w:hAnsi="黑体" w:eastAsia="黑体"/>
              <w:szCs w:val="28"/>
            </w:rPr>
            <w:instrText xml:space="preserve"> HYPERLINK \l _Toc27046 </w:instrText>
          </w:r>
          <w:r>
            <w:rPr>
              <w:rFonts w:ascii="黑体" w:hAnsi="黑体" w:eastAsia="黑体"/>
              <w:szCs w:val="28"/>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_Toc27046 \h </w:instrText>
          </w:r>
          <w:r>
            <w:fldChar w:fldCharType="separate"/>
          </w:r>
          <w:r>
            <w:t>4</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_Toc20715 </w:instrText>
          </w:r>
          <w:r>
            <w:rPr>
              <w:rFonts w:ascii="黑体" w:hAnsi="黑体" w:eastAsia="黑体"/>
              <w:szCs w:val="28"/>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_Toc20715 \h </w:instrText>
          </w:r>
          <w:r>
            <w:fldChar w:fldCharType="separate"/>
          </w:r>
          <w:r>
            <w:t>4</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_Toc23265 </w:instrText>
          </w:r>
          <w:r>
            <w:rPr>
              <w:rFonts w:ascii="黑体" w:hAnsi="黑体" w:eastAsia="黑体"/>
              <w:szCs w:val="28"/>
            </w:rPr>
            <w:fldChar w:fldCharType="separate"/>
          </w:r>
          <w:r>
            <w:rPr>
              <w:rFonts w:hint="eastAsia" w:ascii="仿宋" w:hAnsi="仿宋" w:eastAsia="仿宋" w:cs="仿宋"/>
              <w:bCs/>
              <w:szCs w:val="32"/>
            </w:rPr>
            <w:t>（一）主要职能。</w:t>
          </w:r>
          <w:r>
            <w:tab/>
          </w:r>
          <w:r>
            <w:fldChar w:fldCharType="begin"/>
          </w:r>
          <w:r>
            <w:instrText xml:space="preserve"> PAGEREF _Toc23265 \h </w:instrText>
          </w:r>
          <w:r>
            <w:fldChar w:fldCharType="separate"/>
          </w:r>
          <w:r>
            <w:t>4</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_Toc18212 </w:instrText>
          </w:r>
          <w:r>
            <w:rPr>
              <w:rFonts w:ascii="黑体" w:hAnsi="黑体" w:eastAsia="黑体"/>
              <w:szCs w:val="28"/>
            </w:rPr>
            <w:fldChar w:fldCharType="separate"/>
          </w:r>
          <w:r>
            <w:rPr>
              <w:rFonts w:hint="eastAsia" w:ascii="仿宋" w:hAnsi="仿宋" w:eastAsia="仿宋" w:cs="仿宋"/>
              <w:bCs/>
              <w:szCs w:val="32"/>
            </w:rPr>
            <w:t>（二）2020年重点工作完成情况。</w:t>
          </w:r>
          <w:r>
            <w:tab/>
          </w:r>
          <w:r>
            <w:fldChar w:fldCharType="begin"/>
          </w:r>
          <w:r>
            <w:instrText xml:space="preserve"> PAGEREF _Toc18212 \h </w:instrText>
          </w:r>
          <w:r>
            <w:fldChar w:fldCharType="separate"/>
          </w:r>
          <w:r>
            <w:t>5</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_Toc18331 </w:instrText>
          </w:r>
          <w:r>
            <w:rPr>
              <w:rFonts w:ascii="黑体" w:hAnsi="黑体" w:eastAsia="黑体"/>
              <w:szCs w:val="28"/>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_Toc18331 \h </w:instrText>
          </w:r>
          <w:r>
            <w:fldChar w:fldCharType="separate"/>
          </w:r>
          <w:r>
            <w:t>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_Toc2915 </w:instrText>
          </w:r>
          <w:r>
            <w:rPr>
              <w:rFonts w:ascii="黑体" w:hAnsi="黑体" w:eastAsia="黑体"/>
              <w:szCs w:val="28"/>
            </w:rPr>
            <w:fldChar w:fldCharType="separate"/>
          </w:r>
          <w:r>
            <w:rPr>
              <w:rFonts w:hint="eastAsia" w:ascii="黑体" w:hAnsi="黑体" w:eastAsia="黑体"/>
            </w:rPr>
            <w:t>第二部分</w:t>
          </w:r>
          <w:r>
            <w:rPr>
              <w:rFonts w:ascii="黑体" w:hAnsi="黑体" w:eastAsia="黑体"/>
            </w:rPr>
            <w:t xml:space="preserve"> </w:t>
          </w:r>
          <w:r>
            <w:rPr>
              <w:rFonts w:ascii="黑体" w:hAnsi="黑体" w:eastAsia="黑体"/>
              <w:bCs w:val="0"/>
            </w:rPr>
            <w:t>2020</w:t>
          </w:r>
          <w:r>
            <w:rPr>
              <w:rFonts w:hint="eastAsia" w:ascii="黑体" w:hAnsi="黑体" w:eastAsia="黑体"/>
              <w:bCs w:val="0"/>
            </w:rPr>
            <w:t>年度</w:t>
          </w:r>
          <w:r>
            <w:rPr>
              <w:rFonts w:hint="eastAsia" w:ascii="黑体" w:hAnsi="黑体" w:eastAsia="黑体"/>
            </w:rPr>
            <w:t>部门决算情况说明</w:t>
          </w:r>
          <w:r>
            <w:tab/>
          </w:r>
          <w:r>
            <w:fldChar w:fldCharType="begin"/>
          </w:r>
          <w:r>
            <w:instrText xml:space="preserve"> PAGEREF _Toc2915 \h </w:instrText>
          </w:r>
          <w:r>
            <w:fldChar w:fldCharType="separate"/>
          </w:r>
          <w:r>
            <w:t>7</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_Toc29103 </w:instrText>
          </w:r>
          <w:r>
            <w:rPr>
              <w:rFonts w:ascii="黑体" w:hAnsi="黑体" w:eastAsia="黑体"/>
              <w:szCs w:val="28"/>
            </w:rPr>
            <w:fldChar w:fldCharType="separate"/>
          </w:r>
          <w:r>
            <w:rPr>
              <w:rFonts w:hint="default" w:ascii="黑体" w:hAnsi="黑体" w:eastAsia="黑体" w:cs="Times New Roman"/>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_Toc29103 \h </w:instrText>
          </w:r>
          <w:r>
            <w:fldChar w:fldCharType="separate"/>
          </w:r>
          <w:r>
            <w:t>7</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_Toc26190 </w:instrText>
          </w:r>
          <w:r>
            <w:rPr>
              <w:rFonts w:ascii="黑体" w:hAnsi="黑体" w:eastAsia="黑体"/>
              <w:szCs w:val="28"/>
            </w:rPr>
            <w:fldChar w:fldCharType="separate"/>
          </w:r>
          <w:r>
            <w:rPr>
              <w:rFonts w:hint="default" w:ascii="黑体" w:hAnsi="黑体" w:eastAsia="黑体" w:cs="Times New Roman"/>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_Toc26190 \h </w:instrText>
          </w:r>
          <w:r>
            <w:fldChar w:fldCharType="separate"/>
          </w:r>
          <w:r>
            <w:t>7</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_Toc7323 </w:instrText>
          </w:r>
          <w:r>
            <w:rPr>
              <w:rFonts w:ascii="黑体" w:hAnsi="黑体" w:eastAsia="黑体"/>
              <w:szCs w:val="28"/>
            </w:rPr>
            <w:fldChar w:fldCharType="separate"/>
          </w:r>
          <w:r>
            <w:rPr>
              <w:rFonts w:hint="default" w:ascii="黑体" w:hAnsi="黑体" w:eastAsia="黑体" w:cs="Times New Roman"/>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_Toc7323 \h </w:instrText>
          </w:r>
          <w:r>
            <w:fldChar w:fldCharType="separate"/>
          </w:r>
          <w:r>
            <w:t>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_Toc23854 </w:instrText>
          </w:r>
          <w:r>
            <w:rPr>
              <w:rFonts w:ascii="黑体" w:hAnsi="黑体" w:eastAsia="黑体"/>
              <w:szCs w:val="28"/>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_Toc23854 \h </w:instrText>
          </w:r>
          <w:r>
            <w:fldChar w:fldCharType="separate"/>
          </w:r>
          <w:r>
            <w:t>9</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_Toc20790 </w:instrText>
          </w:r>
          <w:r>
            <w:rPr>
              <w:rFonts w:ascii="黑体" w:hAnsi="黑体" w:eastAsia="黑体"/>
              <w:szCs w:val="28"/>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_Toc20790 \h </w:instrText>
          </w:r>
          <w:r>
            <w:fldChar w:fldCharType="separate"/>
          </w:r>
          <w:r>
            <w:t>9</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_Toc29513 </w:instrText>
          </w:r>
          <w:r>
            <w:rPr>
              <w:rFonts w:ascii="黑体" w:hAnsi="黑体" w:eastAsia="黑体"/>
              <w:szCs w:val="28"/>
            </w:rPr>
            <w:fldChar w:fldCharType="separate"/>
          </w:r>
          <w:r>
            <w:rPr>
              <w:rFonts w:hint="eastAsia" w:ascii="仿宋" w:hAnsi="仿宋" w:eastAsia="仿宋"/>
              <w:szCs w:val="32"/>
            </w:rPr>
            <w:t>（一）一般公共预算财政拨款支出决算总体情况</w:t>
          </w:r>
          <w:r>
            <w:tab/>
          </w:r>
          <w:r>
            <w:fldChar w:fldCharType="begin"/>
          </w:r>
          <w:r>
            <w:instrText xml:space="preserve"> PAGEREF _Toc29513 \h </w:instrText>
          </w:r>
          <w:r>
            <w:fldChar w:fldCharType="separate"/>
          </w:r>
          <w:r>
            <w:t>9</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_Toc29753 </w:instrText>
          </w:r>
          <w:r>
            <w:rPr>
              <w:rFonts w:ascii="黑体" w:hAnsi="黑体" w:eastAsia="黑体"/>
              <w:szCs w:val="28"/>
            </w:rPr>
            <w:fldChar w:fldCharType="separate"/>
          </w:r>
          <w:r>
            <w:rPr>
              <w:rFonts w:hint="eastAsia" w:ascii="仿宋" w:hAnsi="仿宋" w:eastAsia="仿宋"/>
              <w:szCs w:val="32"/>
            </w:rPr>
            <w:t>（二）一般公共预算财政拨款支出决算结构情况</w:t>
          </w:r>
          <w:r>
            <w:tab/>
          </w:r>
          <w:r>
            <w:fldChar w:fldCharType="begin"/>
          </w:r>
          <w:r>
            <w:instrText xml:space="preserve"> PAGEREF _Toc29753 \h </w:instrText>
          </w:r>
          <w:r>
            <w:fldChar w:fldCharType="separate"/>
          </w:r>
          <w:r>
            <w:t>10</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_Toc22236 </w:instrText>
          </w:r>
          <w:r>
            <w:rPr>
              <w:rFonts w:ascii="黑体" w:hAnsi="黑体" w:eastAsia="黑体"/>
              <w:szCs w:val="28"/>
            </w:rPr>
            <w:fldChar w:fldCharType="separate"/>
          </w:r>
          <w:r>
            <w:rPr>
              <w:rFonts w:hint="eastAsia" w:ascii="仿宋" w:hAnsi="仿宋" w:eastAsia="仿宋"/>
              <w:szCs w:val="32"/>
            </w:rPr>
            <w:t>（三）一般公共预算财政拨款支出决算具体情况</w:t>
          </w:r>
          <w:r>
            <w:tab/>
          </w:r>
          <w:r>
            <w:fldChar w:fldCharType="begin"/>
          </w:r>
          <w:r>
            <w:instrText xml:space="preserve"> PAGEREF _Toc22236 \h </w:instrText>
          </w:r>
          <w:r>
            <w:fldChar w:fldCharType="separate"/>
          </w:r>
          <w:r>
            <w:t>11</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_Toc28109 </w:instrText>
          </w:r>
          <w:r>
            <w:rPr>
              <w:rFonts w:ascii="黑体" w:hAnsi="黑体" w:eastAsia="黑体"/>
              <w:szCs w:val="28"/>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_Toc28109 \h </w:instrText>
          </w:r>
          <w:r>
            <w:fldChar w:fldCharType="separate"/>
          </w:r>
          <w:r>
            <w:t>14</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_Toc24284 </w:instrText>
          </w:r>
          <w:r>
            <w:rPr>
              <w:rFonts w:ascii="黑体" w:hAnsi="黑体" w:eastAsia="黑体"/>
              <w:szCs w:val="28"/>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_Toc24284 \h </w:instrText>
          </w:r>
          <w:r>
            <w:fldChar w:fldCharType="separate"/>
          </w:r>
          <w:r>
            <w:t>15</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_Toc21177 </w:instrText>
          </w:r>
          <w:r>
            <w:rPr>
              <w:rFonts w:ascii="黑体" w:hAnsi="黑体" w:eastAsia="黑体"/>
              <w:szCs w:val="28"/>
            </w:rPr>
            <w:fldChar w:fldCharType="separate"/>
          </w:r>
          <w:r>
            <w:rPr>
              <w:rFonts w:hint="eastAsia" w:ascii="仿宋" w:hAnsi="仿宋" w:eastAsia="仿宋"/>
              <w:szCs w:val="32"/>
            </w:rPr>
            <w:t>（一）“三公”经费财政拨款支出决算总体情况说明</w:t>
          </w:r>
          <w:r>
            <w:tab/>
          </w:r>
          <w:r>
            <w:fldChar w:fldCharType="begin"/>
          </w:r>
          <w:r>
            <w:instrText xml:space="preserve"> PAGEREF _Toc21177 \h </w:instrText>
          </w:r>
          <w:r>
            <w:fldChar w:fldCharType="separate"/>
          </w:r>
          <w:r>
            <w:t>15</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_Toc10230 </w:instrText>
          </w:r>
          <w:r>
            <w:rPr>
              <w:rFonts w:ascii="黑体" w:hAnsi="黑体" w:eastAsia="黑体"/>
              <w:szCs w:val="28"/>
            </w:rPr>
            <w:fldChar w:fldCharType="separate"/>
          </w:r>
          <w:r>
            <w:rPr>
              <w:rFonts w:hint="eastAsia" w:ascii="仿宋" w:hAnsi="仿宋" w:eastAsia="仿宋"/>
              <w:szCs w:val="32"/>
            </w:rPr>
            <w:t>（二）“三公”经费财政拨款支出决算具体情况说明</w:t>
          </w:r>
          <w:r>
            <w:tab/>
          </w:r>
          <w:r>
            <w:fldChar w:fldCharType="begin"/>
          </w:r>
          <w:r>
            <w:instrText xml:space="preserve"> PAGEREF _Toc10230 \h </w:instrText>
          </w:r>
          <w:r>
            <w:fldChar w:fldCharType="separate"/>
          </w:r>
          <w:r>
            <w:t>15</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_Toc17391 </w:instrText>
          </w:r>
          <w:r>
            <w:rPr>
              <w:rFonts w:ascii="黑体" w:hAnsi="黑体" w:eastAsia="黑体"/>
              <w:szCs w:val="28"/>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_Toc17391 \h </w:instrText>
          </w:r>
          <w:r>
            <w:fldChar w:fldCharType="separate"/>
          </w:r>
          <w:r>
            <w:t>16</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_Toc21096 </w:instrText>
          </w:r>
          <w:r>
            <w:rPr>
              <w:rFonts w:ascii="黑体" w:hAnsi="黑体" w:eastAsia="黑体"/>
              <w:szCs w:val="28"/>
            </w:rPr>
            <w:fldChar w:fldCharType="separate"/>
          </w:r>
          <w:r>
            <w:rPr>
              <w:rFonts w:hint="eastAsia" w:ascii="黑体" w:hAnsi="黑体" w:eastAsia="黑体" w:cs="Times New Roman"/>
            </w:rPr>
            <w:t>九、</w:t>
          </w:r>
          <w:r>
            <w:rPr>
              <w:rFonts w:hint="eastAsia" w:ascii="黑体" w:hAnsi="黑体" w:eastAsia="黑体"/>
            </w:rPr>
            <w:t>国有资本经营预算支出决算情况说明</w:t>
          </w:r>
          <w:r>
            <w:tab/>
          </w:r>
          <w:r>
            <w:fldChar w:fldCharType="begin"/>
          </w:r>
          <w:r>
            <w:instrText xml:space="preserve"> PAGEREF _Toc21096 \h </w:instrText>
          </w:r>
          <w:r>
            <w:fldChar w:fldCharType="separate"/>
          </w:r>
          <w:r>
            <w:t>16</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_Toc8065 </w:instrText>
          </w:r>
          <w:r>
            <w:rPr>
              <w:rFonts w:ascii="黑体" w:hAnsi="黑体" w:eastAsia="黑体"/>
              <w:szCs w:val="28"/>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_Toc8065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_Toc12188 </w:instrText>
          </w:r>
          <w:r>
            <w:rPr>
              <w:rFonts w:ascii="黑体" w:hAnsi="黑体" w:eastAsia="黑体"/>
              <w:szCs w:val="28"/>
            </w:rPr>
            <w:fldChar w:fldCharType="separate"/>
          </w:r>
          <w:r>
            <w:rPr>
              <w:rFonts w:hint="eastAsia" w:ascii="仿宋" w:hAnsi="仿宋" w:eastAsia="仿宋"/>
              <w:szCs w:val="32"/>
            </w:rPr>
            <w:t>（一）机关运行经费支出情况</w:t>
          </w:r>
          <w:r>
            <w:tab/>
          </w:r>
          <w:r>
            <w:fldChar w:fldCharType="begin"/>
          </w:r>
          <w:r>
            <w:instrText xml:space="preserve"> PAGEREF _Toc12188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_Toc13897 </w:instrText>
          </w:r>
          <w:r>
            <w:rPr>
              <w:rFonts w:ascii="黑体" w:hAnsi="黑体" w:eastAsia="黑体"/>
              <w:szCs w:val="28"/>
            </w:rPr>
            <w:fldChar w:fldCharType="separate"/>
          </w:r>
          <w:r>
            <w:rPr>
              <w:rFonts w:hint="eastAsia" w:ascii="仿宋" w:hAnsi="仿宋" w:eastAsia="仿宋"/>
              <w:szCs w:val="32"/>
            </w:rPr>
            <w:t>（二）政府采购支出情况</w:t>
          </w:r>
          <w:r>
            <w:tab/>
          </w:r>
          <w:r>
            <w:fldChar w:fldCharType="begin"/>
          </w:r>
          <w:r>
            <w:instrText xml:space="preserve"> PAGEREF _Toc13897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_Toc26037 </w:instrText>
          </w:r>
          <w:r>
            <w:rPr>
              <w:rFonts w:ascii="黑体" w:hAnsi="黑体" w:eastAsia="黑体"/>
              <w:szCs w:val="28"/>
            </w:rPr>
            <w:fldChar w:fldCharType="separate"/>
          </w:r>
          <w:r>
            <w:rPr>
              <w:rFonts w:hint="eastAsia" w:ascii="仿宋" w:hAnsi="仿宋" w:eastAsia="仿宋"/>
              <w:szCs w:val="32"/>
            </w:rPr>
            <w:t>（三）国有资产占有使用情况</w:t>
          </w:r>
          <w:r>
            <w:tab/>
          </w:r>
          <w:r>
            <w:fldChar w:fldCharType="begin"/>
          </w:r>
          <w:r>
            <w:instrText xml:space="preserve"> PAGEREF _Toc26037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_Toc5066 </w:instrText>
          </w:r>
          <w:r>
            <w:rPr>
              <w:rFonts w:ascii="黑体" w:hAnsi="黑体" w:eastAsia="黑体"/>
              <w:szCs w:val="28"/>
            </w:rPr>
            <w:fldChar w:fldCharType="separate"/>
          </w:r>
          <w:r>
            <w:rPr>
              <w:rFonts w:hint="eastAsia" w:ascii="仿宋" w:hAnsi="仿宋" w:eastAsia="仿宋"/>
              <w:szCs w:val="32"/>
            </w:rPr>
            <w:t>（四）预算绩效管理情况。</w:t>
          </w:r>
          <w:r>
            <w:tab/>
          </w:r>
          <w:r>
            <w:fldChar w:fldCharType="begin"/>
          </w:r>
          <w:r>
            <w:instrText xml:space="preserve"> PAGEREF _Toc5066 \h </w:instrText>
          </w:r>
          <w:r>
            <w:fldChar w:fldCharType="separate"/>
          </w:r>
          <w:r>
            <w:t>16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_Toc109 </w:instrText>
          </w:r>
          <w:r>
            <w:rPr>
              <w:rFonts w:ascii="黑体" w:hAnsi="黑体" w:eastAsia="黑体"/>
              <w:szCs w:val="28"/>
            </w:rPr>
            <w:fldChar w:fldCharType="separate"/>
          </w:r>
          <w:r>
            <w:rPr>
              <w:rFonts w:hint="eastAsia" w:ascii="黑体" w:hAnsi="黑体" w:eastAsia="黑体" w:cs="Times New Roman"/>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_Toc109 \h </w:instrText>
          </w:r>
          <w:r>
            <w:fldChar w:fldCharType="separate"/>
          </w:r>
          <w:r>
            <w:t>27</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_Toc4624 </w:instrText>
          </w:r>
          <w:r>
            <w:rPr>
              <w:rFonts w:ascii="黑体" w:hAnsi="黑体" w:eastAsia="黑体"/>
              <w:szCs w:val="28"/>
            </w:rP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_Toc4624 \h </w:instrText>
          </w:r>
          <w:r>
            <w:fldChar w:fldCharType="separate"/>
          </w:r>
          <w:r>
            <w:t>30</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_Toc25073 </w:instrText>
          </w:r>
          <w:r>
            <w:rPr>
              <w:rFonts w:ascii="黑体" w:hAnsi="黑体" w:eastAsia="黑体"/>
              <w:szCs w:val="28"/>
            </w:rPr>
            <w:fldChar w:fldCharType="separate"/>
          </w:r>
          <w:r>
            <w:rPr>
              <w:rFonts w:hint="eastAsia" w:ascii="仿宋" w:hAnsi="仿宋" w:eastAsia="仿宋" w:cs="仿宋"/>
              <w:bCs/>
            </w:rPr>
            <w:t>附件1</w:t>
          </w:r>
          <w:r>
            <w:tab/>
          </w:r>
          <w:r>
            <w:fldChar w:fldCharType="begin"/>
          </w:r>
          <w:r>
            <w:instrText xml:space="preserve"> PAGEREF _Toc25073 \h </w:instrText>
          </w:r>
          <w:r>
            <w:fldChar w:fldCharType="separate"/>
          </w:r>
          <w:r>
            <w:t>31</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_Toc411 </w:instrText>
          </w:r>
          <w:r>
            <w:rPr>
              <w:rFonts w:ascii="黑体" w:hAnsi="黑体" w:eastAsia="黑体"/>
              <w:szCs w:val="28"/>
            </w:rPr>
            <w:fldChar w:fldCharType="separate"/>
          </w:r>
          <w:r>
            <w:rPr>
              <w:rFonts w:hint="eastAsia" w:ascii="仿宋" w:hAnsi="仿宋" w:eastAsia="仿宋" w:cs="仿宋"/>
              <w:bCs/>
            </w:rPr>
            <w:t>附件2</w:t>
          </w:r>
          <w:r>
            <w:tab/>
          </w:r>
          <w:r>
            <w:fldChar w:fldCharType="begin"/>
          </w:r>
          <w:r>
            <w:instrText xml:space="preserve"> PAGEREF _Toc411 \h </w:instrText>
          </w:r>
          <w:r>
            <w:fldChar w:fldCharType="separate"/>
          </w:r>
          <w:r>
            <w:t>34</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_Toc23463 </w:instrText>
          </w:r>
          <w:r>
            <w:rPr>
              <w:rFonts w:ascii="黑体" w:hAnsi="黑体" w:eastAsia="黑体"/>
              <w:szCs w:val="28"/>
            </w:rP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_Toc23463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_Toc11672 </w:instrText>
          </w:r>
          <w:r>
            <w:rPr>
              <w:rFonts w:ascii="黑体" w:hAnsi="黑体" w:eastAsia="黑体"/>
              <w:szCs w:val="28"/>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_Toc11672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_Toc13814 </w:instrText>
          </w:r>
          <w:r>
            <w:rPr>
              <w:rFonts w:ascii="黑体" w:hAnsi="黑体" w:eastAsia="黑体"/>
              <w:szCs w:val="28"/>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_Toc13814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_Toc1784 </w:instrText>
          </w:r>
          <w:r>
            <w:rPr>
              <w:rFonts w:ascii="黑体" w:hAnsi="黑体" w:eastAsia="黑体"/>
              <w:szCs w:val="28"/>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_Toc1784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_Toc26511 </w:instrText>
          </w:r>
          <w:r>
            <w:rPr>
              <w:rFonts w:ascii="黑体" w:hAnsi="黑体" w:eastAsia="黑体"/>
              <w:szCs w:val="28"/>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_Toc26511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_Toc21795 </w:instrText>
          </w:r>
          <w:r>
            <w:rPr>
              <w:rFonts w:ascii="黑体" w:hAnsi="黑体" w:eastAsia="黑体"/>
              <w:szCs w:val="28"/>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_Toc21795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_Toc32716 </w:instrText>
          </w:r>
          <w:r>
            <w:rPr>
              <w:rFonts w:ascii="黑体" w:hAnsi="黑体" w:eastAsia="黑体"/>
              <w:szCs w:val="28"/>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_Toc32716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_Toc343 </w:instrText>
          </w:r>
          <w:r>
            <w:rPr>
              <w:rFonts w:ascii="黑体" w:hAnsi="黑体" w:eastAsia="黑体"/>
              <w:szCs w:val="28"/>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_Toc343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_Toc9492 </w:instrText>
          </w:r>
          <w:r>
            <w:rPr>
              <w:rFonts w:ascii="黑体" w:hAnsi="黑体" w:eastAsia="黑体"/>
              <w:szCs w:val="28"/>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_Toc9492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_Toc31223 </w:instrText>
          </w:r>
          <w:r>
            <w:rPr>
              <w:rFonts w:ascii="黑体" w:hAnsi="黑体" w:eastAsia="黑体"/>
              <w:szCs w:val="28"/>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_Toc31223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_Toc20335 </w:instrText>
          </w:r>
          <w:r>
            <w:rPr>
              <w:rFonts w:ascii="黑体" w:hAnsi="黑体" w:eastAsia="黑体"/>
              <w:szCs w:val="28"/>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_Toc20335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_Toc21843 </w:instrText>
          </w:r>
          <w:r>
            <w:rPr>
              <w:rFonts w:ascii="黑体" w:hAnsi="黑体" w:eastAsia="黑体"/>
              <w:szCs w:val="28"/>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_Toc21843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_Toc26799 </w:instrText>
          </w:r>
          <w:r>
            <w:rPr>
              <w:rFonts w:ascii="黑体" w:hAnsi="黑体" w:eastAsia="黑体"/>
              <w:szCs w:val="28"/>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_Toc26799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_Toc22451 </w:instrText>
          </w:r>
          <w:r>
            <w:rPr>
              <w:rFonts w:ascii="黑体" w:hAnsi="黑体" w:eastAsia="黑体"/>
              <w:szCs w:val="28"/>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有资本经营预算财政拨款支出决算表</w:t>
          </w:r>
          <w:r>
            <w:tab/>
          </w:r>
          <w:r>
            <w:fldChar w:fldCharType="begin"/>
          </w:r>
          <w:r>
            <w:instrText xml:space="preserve"> PAGEREF _Toc22451 \h </w:instrText>
          </w:r>
          <w:r>
            <w:fldChar w:fldCharType="separate"/>
          </w:r>
          <w:r>
            <w:t>48</w:t>
          </w:r>
          <w:r>
            <w:fldChar w:fldCharType="end"/>
          </w:r>
          <w:r>
            <w:rPr>
              <w:rFonts w:ascii="黑体" w:hAnsi="黑体" w:eastAsia="黑体"/>
              <w:szCs w:val="28"/>
            </w:rPr>
            <w:fldChar w:fldCharType="end"/>
          </w:r>
        </w:p>
        <w:p>
          <w:pPr>
            <w:widowControl/>
            <w:jc w:val="center"/>
            <w:rPr>
              <w:rFonts w:ascii="黑体" w:hAnsi="黑体" w:eastAsia="黑体"/>
              <w:sz w:val="28"/>
              <w:szCs w:val="28"/>
            </w:rPr>
          </w:pPr>
          <w:r>
            <w:rPr>
              <w:rFonts w:ascii="黑体" w:hAnsi="黑体" w:eastAsia="黑体"/>
              <w:szCs w:val="28"/>
            </w:rPr>
            <w:fldChar w:fldCharType="end"/>
          </w:r>
        </w:p>
      </w:sdtContent>
    </w:sdt>
    <w:p/>
    <w:p>
      <w:pPr>
        <w:widowControl/>
        <w:spacing w:line="440" w:lineRule="exact"/>
        <w:jc w:val="left"/>
        <w:rPr>
          <w:rFonts w:ascii="仿宋" w:hAnsi="仿宋" w:eastAsia="仿宋"/>
          <w:bCs/>
          <w:kern w:val="44"/>
          <w:sz w:val="24"/>
        </w:rPr>
      </w:pPr>
      <w:bookmarkStart w:id="12" w:name="_Toc15377196"/>
      <w:bookmarkStart w:id="13" w:name="_Toc15396599"/>
      <w:r>
        <w:br w:type="page"/>
      </w:r>
    </w:p>
    <w:p>
      <w:pPr>
        <w:pStyle w:val="15"/>
        <w:jc w:val="center"/>
        <w:rPr>
          <w:rStyle w:val="19"/>
          <w:rFonts w:ascii="黑体" w:hAnsi="黑体" w:eastAsia="黑体"/>
          <w:b w:val="0"/>
          <w:bCs w:val="0"/>
        </w:rPr>
      </w:pPr>
      <w:bookmarkStart w:id="14" w:name="_Toc27046"/>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16"/>
        <w:rPr>
          <w:rStyle w:val="20"/>
          <w:rFonts w:ascii="仿宋" w:hAnsi="仿宋" w:eastAsia="仿宋"/>
          <w:b w:val="0"/>
          <w:bCs w:val="0"/>
        </w:rPr>
      </w:pPr>
      <w:bookmarkStart w:id="15" w:name="_Toc15377197"/>
      <w:bookmarkStart w:id="16" w:name="_Toc15396600"/>
      <w:bookmarkStart w:id="17" w:name="_Toc20715"/>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5"/>
      <w:bookmarkEnd w:id="16"/>
      <w:bookmarkEnd w:id="17"/>
    </w:p>
    <w:p>
      <w:pPr>
        <w:pStyle w:val="5"/>
        <w:bidi w:val="0"/>
        <w:ind w:firstLine="640" w:firstLineChars="200"/>
        <w:rPr>
          <w:rFonts w:hint="eastAsia" w:ascii="仿宋" w:hAnsi="仿宋" w:eastAsia="仿宋" w:cs="仿宋"/>
          <w:b w:val="0"/>
          <w:bCs/>
          <w:sz w:val="32"/>
          <w:szCs w:val="32"/>
        </w:rPr>
      </w:pPr>
      <w:bookmarkStart w:id="18" w:name="_Toc23265"/>
      <w:r>
        <w:rPr>
          <w:rFonts w:hint="eastAsia" w:ascii="仿宋" w:hAnsi="仿宋" w:eastAsia="仿宋" w:cs="仿宋"/>
          <w:b w:val="0"/>
          <w:bCs/>
          <w:sz w:val="32"/>
          <w:szCs w:val="32"/>
        </w:rPr>
        <w:t>（一）主要职能。</w:t>
      </w:r>
      <w:bookmarkEnd w:id="18"/>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1.落实政策。宣传、落实好党的路线、方针、政策和国家的法律、法规，稳定农村基本经济制度，坚持依法行政，推进政务公开，加强对村民委员会的指导，提高、培育村民委员会自治能力。</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2.促进发展。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3.维护稳定。要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4.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5.提供服务。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pStyle w:val="5"/>
        <w:bidi w:val="0"/>
        <w:ind w:firstLine="640" w:firstLineChars="200"/>
        <w:rPr>
          <w:rFonts w:hint="eastAsia" w:ascii="仿宋" w:hAnsi="仿宋" w:eastAsia="仿宋" w:cs="仿宋"/>
          <w:b w:val="0"/>
          <w:bCs/>
          <w:sz w:val="32"/>
          <w:szCs w:val="32"/>
        </w:rPr>
      </w:pPr>
      <w:bookmarkStart w:id="19" w:name="_Toc15377199"/>
      <w:bookmarkStart w:id="20" w:name="_Toc15378446"/>
      <w:bookmarkStart w:id="21" w:name="_Toc18212"/>
      <w:r>
        <w:rPr>
          <w:rFonts w:hint="eastAsia" w:ascii="仿宋" w:hAnsi="仿宋" w:eastAsia="仿宋" w:cs="仿宋"/>
          <w:b w:val="0"/>
          <w:bCs/>
          <w:sz w:val="32"/>
          <w:szCs w:val="32"/>
        </w:rPr>
        <w:t>（二）2020年重点工作完成情况。</w:t>
      </w:r>
      <w:bookmarkEnd w:id="19"/>
      <w:bookmarkEnd w:id="20"/>
      <w:bookmarkEnd w:id="21"/>
    </w:p>
    <w:p>
      <w:pPr>
        <w:pStyle w:val="10"/>
        <w:keepNext w:val="0"/>
        <w:keepLines w:val="0"/>
        <w:pageBreakBefore w:val="0"/>
        <w:widowControl/>
        <w:kinsoku/>
        <w:wordWrap/>
        <w:overflowPunct/>
        <w:topLinePunct w:val="0"/>
        <w:autoSpaceDE/>
        <w:autoSpaceDN/>
        <w:bidi w:val="0"/>
        <w:spacing w:line="520" w:lineRule="exact"/>
        <w:ind w:right="84" w:firstLine="640"/>
        <w:jc w:val="both"/>
        <w:textAlignment w:val="auto"/>
        <w:rPr>
          <w:rFonts w:hint="eastAsia" w:ascii="仿宋" w:hAnsi="仿宋" w:eastAsia="仿宋" w:cs="仿宋"/>
          <w:bCs/>
          <w:color w:val="000000"/>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年，在县委、县政府</w:t>
      </w:r>
      <w:r>
        <w:rPr>
          <w:rFonts w:hint="eastAsia" w:ascii="仿宋" w:hAnsi="仿宋" w:eastAsia="仿宋" w:cs="仿宋"/>
          <w:sz w:val="32"/>
          <w:szCs w:val="32"/>
          <w:lang w:eastAsia="zh-CN"/>
        </w:rPr>
        <w:t>、镇党委</w:t>
      </w:r>
      <w:r>
        <w:rPr>
          <w:rFonts w:hint="eastAsia" w:ascii="仿宋" w:hAnsi="仿宋" w:eastAsia="仿宋" w:cs="仿宋"/>
          <w:sz w:val="32"/>
          <w:szCs w:val="32"/>
        </w:rPr>
        <w:t>的正确领导下，全镇</w:t>
      </w:r>
      <w:r>
        <w:rPr>
          <w:rFonts w:hint="eastAsia" w:ascii="仿宋" w:hAnsi="仿宋" w:eastAsia="仿宋" w:cs="仿宋"/>
          <w:color w:val="000000"/>
          <w:sz w:val="32"/>
          <w:szCs w:val="32"/>
        </w:rPr>
        <w:t>高举习近平新时代中国特色社会主义思想旗帜，以党的十九大及中央、省、市、县重要全会精神为指引，认真贯彻落实县委、</w:t>
      </w:r>
      <w:r>
        <w:rPr>
          <w:rFonts w:hint="eastAsia" w:ascii="仿宋" w:hAnsi="仿宋" w:eastAsia="仿宋" w:cs="仿宋"/>
          <w:color w:val="000000"/>
          <w:sz w:val="32"/>
          <w:szCs w:val="32"/>
          <w:lang w:eastAsia="zh-CN"/>
        </w:rPr>
        <w:t>县</w:t>
      </w:r>
      <w:bookmarkStart w:id="118" w:name="_GoBack"/>
      <w:bookmarkEnd w:id="118"/>
      <w:r>
        <w:rPr>
          <w:rFonts w:hint="eastAsia" w:ascii="仿宋" w:hAnsi="仿宋" w:eastAsia="仿宋" w:cs="仿宋"/>
          <w:color w:val="000000"/>
          <w:sz w:val="32"/>
          <w:szCs w:val="32"/>
        </w:rPr>
        <w:t>政府的决策部署，坚持以决胜脱贫攻坚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疫情防控</w:t>
      </w:r>
      <w:r>
        <w:rPr>
          <w:rFonts w:hint="eastAsia" w:ascii="仿宋" w:hAnsi="仿宋" w:eastAsia="仿宋" w:cs="仿宋"/>
          <w:color w:val="000000"/>
          <w:sz w:val="32"/>
          <w:szCs w:val="32"/>
          <w:lang w:eastAsia="zh-CN"/>
        </w:rPr>
        <w:t>、人口普查</w:t>
      </w:r>
      <w:r>
        <w:rPr>
          <w:rFonts w:hint="eastAsia" w:ascii="仿宋" w:hAnsi="仿宋" w:eastAsia="仿宋" w:cs="仿宋"/>
          <w:color w:val="000000"/>
          <w:sz w:val="32"/>
          <w:szCs w:val="32"/>
        </w:rPr>
        <w:t>为重点，</w:t>
      </w:r>
      <w:r>
        <w:rPr>
          <w:rFonts w:hint="eastAsia" w:ascii="仿宋" w:hAnsi="仿宋" w:eastAsia="仿宋" w:cs="仿宋"/>
          <w:color w:val="auto"/>
          <w:sz w:val="32"/>
          <w:szCs w:val="32"/>
          <w:lang w:val="en-US" w:eastAsia="zh-CN"/>
        </w:rPr>
        <w:t>撸起袖子加油干，沉下身子抓落实</w:t>
      </w:r>
      <w:r>
        <w:rPr>
          <w:rFonts w:hint="eastAsia" w:ascii="仿宋" w:hAnsi="仿宋" w:eastAsia="仿宋" w:cs="仿宋"/>
          <w:bCs/>
          <w:color w:val="000000"/>
          <w:sz w:val="32"/>
          <w:szCs w:val="32"/>
        </w:rPr>
        <w:t>，全面完了</w:t>
      </w:r>
      <w:r>
        <w:rPr>
          <w:rFonts w:hint="eastAsia" w:ascii="仿宋" w:hAnsi="仿宋" w:eastAsia="仿宋" w:cs="仿宋"/>
          <w:bCs/>
          <w:color w:val="000000"/>
          <w:sz w:val="32"/>
          <w:szCs w:val="32"/>
          <w:lang w:val="en-US" w:eastAsia="zh-CN"/>
        </w:rPr>
        <w:t>2020</w:t>
      </w:r>
      <w:r>
        <w:rPr>
          <w:rFonts w:hint="eastAsia" w:ascii="仿宋" w:hAnsi="仿宋" w:eastAsia="仿宋" w:cs="仿宋"/>
          <w:bCs/>
          <w:color w:val="000000"/>
          <w:sz w:val="32"/>
          <w:szCs w:val="32"/>
        </w:rPr>
        <w:t>年确定的目标任务。</w:t>
      </w:r>
    </w:p>
    <w:p>
      <w:pPr>
        <w:pStyle w:val="10"/>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val="0"/>
        <w:snapToGrid w:val="0"/>
        <w:spacing w:before="0" w:beforeAutospacing="0" w:after="0" w:afterAutospacing="0" w:line="520" w:lineRule="exact"/>
        <w:ind w:left="0" w:leftChars="0" w:right="30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p>
    <w:p>
      <w:pPr>
        <w:pStyle w:val="16"/>
        <w:ind w:firstLine="320" w:firstLineChars="100"/>
      </w:pPr>
      <w:bookmarkStart w:id="22" w:name="_Toc15377200"/>
      <w:bookmarkStart w:id="23" w:name="_Toc15396601"/>
      <w:bookmarkStart w:id="24" w:name="_Toc18331"/>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2"/>
      <w:bookmarkEnd w:id="23"/>
      <w:bookmarkEnd w:id="24"/>
    </w:p>
    <w:p>
      <w:pPr>
        <w:spacing w:line="600" w:lineRule="exact"/>
        <w:ind w:firstLine="640" w:firstLineChars="200"/>
        <w:rPr>
          <w:rFonts w:hint="eastAsia" w:ascii="仿宋" w:hAnsi="仿宋" w:eastAsia="仿宋" w:cs="仿宋"/>
          <w:color w:val="000000"/>
          <w:sz w:val="32"/>
          <w:szCs w:val="32"/>
          <w:lang w:eastAsia="zh-CN"/>
        </w:rPr>
      </w:pPr>
      <w:bookmarkStart w:id="25" w:name="_Toc15306275"/>
      <w:bookmarkStart w:id="26" w:name="_Toc15377201"/>
      <w:bookmarkStart w:id="27" w:name="_Toc15377432"/>
      <w:bookmarkStart w:id="28" w:name="_Toc15378448"/>
      <w:r>
        <w:rPr>
          <w:rFonts w:hint="eastAsia" w:ascii="仿宋" w:hAnsi="仿宋" w:eastAsia="仿宋" w:cs="仿宋"/>
          <w:color w:val="000000"/>
          <w:sz w:val="32"/>
          <w:szCs w:val="32"/>
          <w:lang w:eastAsia="zh-CN"/>
        </w:rPr>
        <w:t>杨柏镇辖区内公开单位13个，其中行政单位4个，参照公务员法管理的事业单位0个，其他事业单位9个（农业服务站、社会事业服务站、文化站、村镇建设服务站、国土资源所、食品药品监督站、太平小学、杨柏中心小学、杨柏镇卫生院）。</w:t>
      </w:r>
    </w:p>
    <w:bookmarkEnd w:id="25"/>
    <w:bookmarkEnd w:id="26"/>
    <w:bookmarkEnd w:id="27"/>
    <w:bookmarkEnd w:id="28"/>
    <w:p>
      <w:pPr>
        <w:widowControl/>
        <w:jc w:val="left"/>
        <w:rPr>
          <w:rFonts w:ascii="仿宋" w:hAnsi="仿宋" w:eastAsia="仿宋"/>
          <w:color w:val="000000"/>
          <w:kern w:val="0"/>
          <w:sz w:val="32"/>
          <w:szCs w:val="32"/>
        </w:rPr>
      </w:pPr>
      <w:r>
        <w:br w:type="page"/>
      </w:r>
    </w:p>
    <w:p>
      <w:pPr>
        <w:pStyle w:val="15"/>
        <w:ind w:right="440"/>
        <w:jc w:val="right"/>
        <w:rPr>
          <w:rStyle w:val="19"/>
          <w:rFonts w:ascii="黑体" w:hAnsi="黑体" w:eastAsia="黑体"/>
          <w:b w:val="0"/>
          <w:bCs w:val="0"/>
        </w:rPr>
      </w:pPr>
      <w:bookmarkStart w:id="29" w:name="_Toc15396602"/>
      <w:bookmarkStart w:id="30" w:name="_Toc15377204"/>
      <w:bookmarkStart w:id="31" w:name="_Toc2915"/>
      <w:r>
        <w:rPr>
          <w:rFonts w:hint="eastAsia" w:ascii="黑体" w:hAnsi="黑体" w:eastAsia="黑体"/>
          <w:b w:val="0"/>
          <w:color w:val="000000"/>
        </w:rPr>
        <w:t>第二部分</w:t>
      </w:r>
      <w:r>
        <w:rPr>
          <w:rFonts w:ascii="黑体" w:hAnsi="黑体" w:eastAsia="黑体"/>
          <w:color w:val="000000"/>
        </w:rPr>
        <w:t xml:space="preserve"> </w:t>
      </w:r>
      <w:r>
        <w:rPr>
          <w:rStyle w:val="19"/>
          <w:rFonts w:ascii="黑体" w:hAnsi="黑体" w:eastAsia="黑体"/>
          <w:b w:val="0"/>
          <w:bCs w:val="0"/>
        </w:rPr>
        <w:t>2020</w:t>
      </w:r>
      <w:r>
        <w:rPr>
          <w:rStyle w:val="19"/>
          <w:rFonts w:hint="eastAsia" w:ascii="黑体" w:hAnsi="黑体" w:eastAsia="黑体"/>
          <w:b w:val="0"/>
          <w:bCs w:val="0"/>
        </w:rPr>
        <w:t>年度</w:t>
      </w:r>
      <w:r>
        <w:rPr>
          <w:rFonts w:hint="eastAsia" w:ascii="黑体" w:hAnsi="黑体" w:eastAsia="黑体"/>
        </w:rPr>
        <w:t>部门决算情况说明</w:t>
      </w:r>
      <w:bookmarkEnd w:id="29"/>
      <w:bookmarkEnd w:id="30"/>
      <w:bookmarkEnd w:id="31"/>
    </w:p>
    <w:p/>
    <w:p>
      <w:pPr>
        <w:pStyle w:val="40"/>
        <w:numPr>
          <w:ilvl w:val="0"/>
          <w:numId w:val="1"/>
        </w:numPr>
        <w:spacing w:line="600" w:lineRule="exact"/>
        <w:ind w:firstLineChars="0"/>
        <w:outlineLvl w:val="1"/>
        <w:rPr>
          <w:rStyle w:val="20"/>
          <w:rFonts w:ascii="黑体" w:hAnsi="黑体" w:eastAsia="黑体"/>
          <w:b w:val="0"/>
        </w:rPr>
      </w:pPr>
      <w:bookmarkStart w:id="32" w:name="_Toc15377205"/>
      <w:bookmarkStart w:id="33" w:name="_Toc29103"/>
      <w:bookmarkStart w:id="34" w:name="_Toc15396603"/>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32"/>
      <w:bookmarkEnd w:id="33"/>
      <w:bookmarkEnd w:id="34"/>
    </w:p>
    <w:p>
      <w:pPr>
        <w:spacing w:line="240" w:lineRule="auto"/>
        <w:ind w:firstLine="0" w:firstLineChars="0"/>
        <w:jc w:val="left"/>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3556.87万元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3556.87</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435.79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p>
    <w:p>
      <w:pPr>
        <w:bidi w:val="0"/>
        <w:jc w:val="center"/>
        <w:rPr>
          <w:rFonts w:hint="eastAsia"/>
          <w:lang w:eastAsia="zh-CN"/>
        </w:rPr>
      </w:pPr>
      <w:r>
        <w:drawing>
          <wp:inline distT="0" distB="0" distL="114300" distR="114300">
            <wp:extent cx="4591050" cy="2762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91050" cy="2762250"/>
                    </a:xfrm>
                    <a:prstGeom prst="rect">
                      <a:avLst/>
                    </a:prstGeom>
                    <a:noFill/>
                    <a:ln>
                      <a:noFill/>
                    </a:ln>
                  </pic:spPr>
                </pic:pic>
              </a:graphicData>
            </a:graphic>
          </wp:inline>
        </w:drawing>
      </w:r>
    </w:p>
    <w:p>
      <w:pPr>
        <w:spacing w:line="600" w:lineRule="exact"/>
        <w:ind w:firstLine="420" w:firstLineChars="200"/>
        <w:rPr>
          <w:rFonts w:hint="eastAsia" w:eastAsia="宋体"/>
          <w:lang w:eastAsia="zh-CN"/>
        </w:rPr>
      </w:pPr>
    </w:p>
    <w:p>
      <w:pPr>
        <w:pStyle w:val="40"/>
        <w:numPr>
          <w:ilvl w:val="0"/>
          <w:numId w:val="1"/>
        </w:numPr>
        <w:spacing w:line="600" w:lineRule="exact"/>
        <w:ind w:firstLineChars="0"/>
        <w:outlineLvl w:val="1"/>
        <w:rPr>
          <w:rStyle w:val="20"/>
          <w:rFonts w:ascii="黑体" w:hAnsi="黑体" w:eastAsia="黑体"/>
          <w:b w:val="0"/>
        </w:rPr>
      </w:pPr>
      <w:bookmarkStart w:id="35" w:name="_Toc15396604"/>
      <w:bookmarkStart w:id="36" w:name="_Toc15377206"/>
      <w:bookmarkStart w:id="37" w:name="_Toc26190"/>
      <w:r>
        <w:rPr>
          <w:rFonts w:hint="eastAsia" w:ascii="黑体" w:hAnsi="黑体" w:eastAsia="黑体"/>
          <w:color w:val="000000"/>
          <w:sz w:val="32"/>
          <w:szCs w:val="32"/>
        </w:rPr>
        <w:t>收</w:t>
      </w:r>
      <w:r>
        <w:rPr>
          <w:rStyle w:val="20"/>
          <w:rFonts w:hint="eastAsia" w:ascii="黑体" w:hAnsi="黑体" w:eastAsia="黑体"/>
          <w:b w:val="0"/>
        </w:rPr>
        <w:t>入决算情况说明</w:t>
      </w:r>
      <w:bookmarkEnd w:id="35"/>
      <w:bookmarkEnd w:id="36"/>
      <w:bookmarkEnd w:id="3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2020年本年收入合计</w:t>
      </w:r>
      <w:r>
        <w:rPr>
          <w:rFonts w:hint="eastAsia" w:ascii="仿宋" w:hAnsi="仿宋" w:eastAsia="仿宋" w:cs="仿宋"/>
          <w:sz w:val="32"/>
          <w:szCs w:val="32"/>
          <w:lang w:val="en-US" w:eastAsia="zh-CN"/>
        </w:rPr>
        <w:t>3556.87</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3192.17</w:t>
      </w:r>
      <w:r>
        <w:rPr>
          <w:rFonts w:hint="eastAsia" w:ascii="仿宋" w:hAnsi="仿宋" w:eastAsia="仿宋" w:cs="仿宋"/>
          <w:sz w:val="32"/>
          <w:szCs w:val="32"/>
        </w:rPr>
        <w:t>万元，占</w:t>
      </w:r>
      <w:r>
        <w:rPr>
          <w:rFonts w:hint="eastAsia" w:ascii="仿宋" w:hAnsi="仿宋" w:eastAsia="仿宋" w:cs="仿宋"/>
          <w:sz w:val="32"/>
          <w:szCs w:val="32"/>
          <w:lang w:val="en-US" w:eastAsia="zh-CN"/>
        </w:rPr>
        <w:t>89.75</w:t>
      </w:r>
      <w:r>
        <w:rPr>
          <w:rFonts w:hint="eastAsia" w:ascii="仿宋" w:hAnsi="仿宋" w:eastAsia="仿宋" w:cs="仿宋"/>
          <w:sz w:val="32"/>
          <w:szCs w:val="32"/>
        </w:rPr>
        <w:t>%；政府性基金预算财政拨款收入</w:t>
      </w:r>
      <w:r>
        <w:rPr>
          <w:rFonts w:hint="eastAsia" w:ascii="仿宋" w:hAnsi="仿宋" w:eastAsia="仿宋" w:cs="仿宋"/>
          <w:sz w:val="32"/>
          <w:szCs w:val="32"/>
          <w:lang w:val="en-US" w:eastAsia="zh-CN"/>
        </w:rPr>
        <w:t>100</w:t>
      </w:r>
      <w:r>
        <w:rPr>
          <w:rFonts w:hint="eastAsia" w:ascii="仿宋" w:hAnsi="仿宋" w:eastAsia="仿宋" w:cs="仿宋"/>
          <w:sz w:val="32"/>
          <w:szCs w:val="32"/>
        </w:rPr>
        <w:t>万元，占</w:t>
      </w:r>
      <w:r>
        <w:rPr>
          <w:rFonts w:hint="eastAsia" w:ascii="仿宋" w:hAnsi="仿宋" w:eastAsia="仿宋" w:cs="仿宋"/>
          <w:sz w:val="32"/>
          <w:szCs w:val="32"/>
          <w:lang w:val="en-US" w:eastAsia="zh-CN"/>
        </w:rPr>
        <w:t>2.8</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w:t>
      </w:r>
      <w:r>
        <w:rPr>
          <w:rFonts w:hint="eastAsia" w:ascii="仿宋" w:hAnsi="仿宋" w:eastAsia="仿宋" w:cs="仿宋"/>
          <w:sz w:val="32"/>
          <w:szCs w:val="32"/>
          <w:lang w:val="en-US" w:eastAsia="zh-CN"/>
        </w:rPr>
        <w:t>202.56</w:t>
      </w:r>
      <w:r>
        <w:rPr>
          <w:rFonts w:hint="eastAsia" w:ascii="仿宋" w:hAnsi="仿宋" w:eastAsia="仿宋" w:cs="仿宋"/>
          <w:sz w:val="32"/>
          <w:szCs w:val="32"/>
        </w:rPr>
        <w:t>万元，占</w:t>
      </w:r>
      <w:r>
        <w:rPr>
          <w:rFonts w:hint="eastAsia" w:ascii="仿宋" w:hAnsi="仿宋" w:eastAsia="仿宋" w:cs="仿宋"/>
          <w:sz w:val="32"/>
          <w:szCs w:val="32"/>
          <w:lang w:val="en-US" w:eastAsia="zh-CN"/>
        </w:rPr>
        <w:t>6.35</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62.14</w:t>
      </w:r>
      <w:r>
        <w:rPr>
          <w:rFonts w:hint="eastAsia" w:ascii="仿宋" w:hAnsi="仿宋" w:eastAsia="仿宋" w:cs="仿宋"/>
          <w:sz w:val="32"/>
          <w:szCs w:val="32"/>
        </w:rPr>
        <w:t>万元，占</w:t>
      </w:r>
      <w:r>
        <w:rPr>
          <w:rFonts w:hint="eastAsia" w:ascii="仿宋" w:hAnsi="仿宋" w:eastAsia="仿宋" w:cs="仿宋"/>
          <w:sz w:val="32"/>
          <w:szCs w:val="32"/>
          <w:lang w:val="en-US" w:eastAsia="zh-CN"/>
        </w:rPr>
        <w:t>1.1</w:t>
      </w:r>
      <w:r>
        <w:rPr>
          <w:rFonts w:hint="eastAsia" w:ascii="仿宋" w:hAnsi="仿宋" w:eastAsia="仿宋" w:cs="仿宋"/>
          <w:sz w:val="32"/>
          <w:szCs w:val="32"/>
        </w:rPr>
        <w:t>%。</w: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bidi w:val="0"/>
        <w:jc w:val="center"/>
      </w:pPr>
      <w:r>
        <w:drawing>
          <wp:inline distT="0" distB="0" distL="114300" distR="114300">
            <wp:extent cx="4591050" cy="2762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591050" cy="2762250"/>
                    </a:xfrm>
                    <a:prstGeom prst="rect">
                      <a:avLst/>
                    </a:prstGeom>
                    <a:noFill/>
                    <a:ln>
                      <a:noFill/>
                    </a:ln>
                  </pic:spPr>
                </pic:pic>
              </a:graphicData>
            </a:graphic>
          </wp:inline>
        </w:drawing>
      </w:r>
    </w:p>
    <w:p>
      <w:pPr>
        <w:spacing w:line="60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2"/>
        <w:rPr>
          <w:rFonts w:hint="eastAsia"/>
          <w:lang w:eastAsia="zh-CN"/>
        </w:rPr>
      </w:pPr>
    </w:p>
    <w:p>
      <w:pPr>
        <w:pStyle w:val="40"/>
        <w:numPr>
          <w:ilvl w:val="0"/>
          <w:numId w:val="1"/>
        </w:numPr>
        <w:spacing w:line="600" w:lineRule="exact"/>
        <w:ind w:firstLineChars="0"/>
        <w:outlineLvl w:val="1"/>
        <w:rPr>
          <w:rStyle w:val="20"/>
          <w:rFonts w:ascii="黑体" w:hAnsi="黑体" w:eastAsia="黑体"/>
          <w:b w:val="0"/>
        </w:rPr>
      </w:pPr>
      <w:bookmarkStart w:id="38" w:name="_Toc15377207"/>
      <w:bookmarkStart w:id="39" w:name="_Toc15396605"/>
      <w:bookmarkStart w:id="40" w:name="_Toc7323"/>
      <w:r>
        <w:rPr>
          <w:rFonts w:hint="eastAsia" w:ascii="黑体" w:hAnsi="黑体" w:eastAsia="黑体"/>
          <w:color w:val="000000"/>
          <w:sz w:val="32"/>
          <w:szCs w:val="32"/>
        </w:rPr>
        <w:t>支</w:t>
      </w:r>
      <w:r>
        <w:rPr>
          <w:rStyle w:val="20"/>
          <w:rFonts w:hint="eastAsia" w:ascii="黑体" w:hAnsi="黑体" w:eastAsia="黑体"/>
          <w:b w:val="0"/>
        </w:rPr>
        <w:t>出决算情况说明</w:t>
      </w:r>
      <w:bookmarkEnd w:id="38"/>
      <w:bookmarkEnd w:id="39"/>
      <w:bookmarkEnd w:id="4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2020年本年支出合计</w:t>
      </w:r>
      <w:r>
        <w:rPr>
          <w:rFonts w:hint="eastAsia" w:ascii="仿宋" w:hAnsi="仿宋" w:eastAsia="仿宋" w:cs="仿宋"/>
          <w:sz w:val="32"/>
          <w:szCs w:val="32"/>
          <w:lang w:val="en-US" w:eastAsia="zh-CN"/>
        </w:rPr>
        <w:t>3556.87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2507.21</w:t>
      </w:r>
      <w:r>
        <w:rPr>
          <w:rFonts w:hint="eastAsia" w:ascii="仿宋" w:hAnsi="仿宋" w:eastAsia="仿宋" w:cs="仿宋"/>
          <w:sz w:val="32"/>
          <w:szCs w:val="32"/>
        </w:rPr>
        <w:t>万元，占</w:t>
      </w:r>
      <w:r>
        <w:rPr>
          <w:rFonts w:hint="eastAsia" w:ascii="仿宋" w:hAnsi="仿宋" w:eastAsia="仿宋" w:cs="仿宋"/>
          <w:sz w:val="32"/>
          <w:szCs w:val="32"/>
          <w:lang w:val="en-US" w:eastAsia="zh-CN"/>
        </w:rPr>
        <w:t>70.49</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1049.66</w:t>
      </w:r>
      <w:r>
        <w:rPr>
          <w:rFonts w:hint="eastAsia" w:ascii="仿宋" w:hAnsi="仿宋" w:eastAsia="仿宋" w:cs="仿宋"/>
          <w:sz w:val="32"/>
          <w:szCs w:val="32"/>
        </w:rPr>
        <w:t>万元，占</w:t>
      </w:r>
      <w:r>
        <w:rPr>
          <w:rFonts w:hint="eastAsia" w:ascii="仿宋" w:hAnsi="仿宋" w:eastAsia="仿宋" w:cs="仿宋"/>
          <w:sz w:val="32"/>
          <w:szCs w:val="32"/>
          <w:lang w:val="en-US" w:eastAsia="zh-CN"/>
        </w:rPr>
        <w:t>29.51</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bidi w:val="0"/>
        <w:jc w:val="center"/>
        <w:rPr>
          <w:rFonts w:hint="eastAsia"/>
          <w:lang w:eastAsia="zh-CN"/>
        </w:rPr>
      </w:pPr>
      <w:r>
        <w:drawing>
          <wp:inline distT="0" distB="0" distL="114300" distR="114300">
            <wp:extent cx="4591050" cy="2762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591050" cy="2762250"/>
                    </a:xfrm>
                    <a:prstGeom prst="rect">
                      <a:avLst/>
                    </a:prstGeom>
                    <a:noFill/>
                    <a:ln>
                      <a:noFill/>
                    </a:ln>
                  </pic:spPr>
                </pic:pic>
              </a:graphicData>
            </a:graphic>
          </wp:inline>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0"/>
          <w:rFonts w:ascii="黑体" w:hAnsi="黑体" w:eastAsia="黑体"/>
          <w:b w:val="0"/>
        </w:rPr>
      </w:pPr>
      <w:bookmarkStart w:id="41" w:name="_Toc15377208"/>
      <w:bookmarkStart w:id="42" w:name="_Toc15396606"/>
      <w:bookmarkStart w:id="43" w:name="_Toc23854"/>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41"/>
      <w:bookmarkEnd w:id="42"/>
      <w:bookmarkEnd w:id="43"/>
    </w:p>
    <w:p>
      <w:pPr>
        <w:spacing w:line="600" w:lineRule="exact"/>
        <w:ind w:firstLine="640"/>
        <w:rPr>
          <w:rFonts w:hint="eastAsia"/>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3556.87</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435.79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p>
    <w:p>
      <w:pPr>
        <w:bidi w:val="0"/>
        <w:jc w:val="center"/>
        <w:rPr>
          <w:rFonts w:hint="eastAsia"/>
          <w:lang w:eastAsia="zh-CN"/>
        </w:rPr>
      </w:pPr>
      <w:r>
        <w:drawing>
          <wp:inline distT="0" distB="0" distL="114300" distR="114300">
            <wp:extent cx="4591050" cy="2762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591050" cy="2762250"/>
                    </a:xfrm>
                    <a:prstGeom prst="rect">
                      <a:avLst/>
                    </a:prstGeom>
                    <a:noFill/>
                    <a:ln>
                      <a:noFill/>
                    </a:ln>
                  </pic:spPr>
                </pic:pic>
              </a:graphicData>
            </a:graphic>
          </wp:inline>
        </w:drawing>
      </w:r>
    </w:p>
    <w:p>
      <w:pPr>
        <w:spacing w:line="600" w:lineRule="exact"/>
        <w:rPr>
          <w:rFonts w:ascii="仿宋" w:hAnsi="仿宋" w:eastAsia="仿宋"/>
          <w:color w:val="000000"/>
          <w:sz w:val="32"/>
          <w:szCs w:val="32"/>
        </w:rPr>
      </w:pPr>
    </w:p>
    <w:p>
      <w:pPr>
        <w:spacing w:line="600" w:lineRule="exact"/>
        <w:ind w:firstLine="640" w:firstLineChars="200"/>
        <w:outlineLvl w:val="1"/>
        <w:rPr>
          <w:rStyle w:val="20"/>
          <w:rFonts w:ascii="黑体" w:hAnsi="黑体" w:eastAsia="黑体"/>
          <w:b w:val="0"/>
        </w:rPr>
      </w:pPr>
      <w:bookmarkStart w:id="44" w:name="_Toc15396607"/>
      <w:bookmarkStart w:id="45" w:name="_Toc15377209"/>
      <w:bookmarkStart w:id="46" w:name="_Toc20790"/>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bookmarkStart w:id="48" w:name="_Toc29513"/>
      <w:r>
        <w:rPr>
          <w:rFonts w:hint="eastAsia" w:ascii="仿宋" w:hAnsi="仿宋" w:eastAsia="仿宋"/>
          <w:b/>
          <w:color w:val="000000"/>
          <w:sz w:val="32"/>
          <w:szCs w:val="32"/>
        </w:rPr>
        <w:t>（一）一般公共预算财政拨款支出决算总体情况</w:t>
      </w:r>
      <w:bookmarkEnd w:id="47"/>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3192.17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458.01</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12.55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bidi w:val="0"/>
        <w:jc w:val="center"/>
        <w:rPr>
          <w:rFonts w:hint="eastAsia"/>
          <w:lang w:eastAsia="zh-CN"/>
        </w:rPr>
      </w:pPr>
      <w:r>
        <w:drawing>
          <wp:inline distT="0" distB="0" distL="114300" distR="114300">
            <wp:extent cx="4591050" cy="2762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591050" cy="2762250"/>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49" w:name="_Toc15377211"/>
      <w:bookmarkStart w:id="50" w:name="_Toc29753"/>
      <w:r>
        <w:rPr>
          <w:rFonts w:hint="eastAsia" w:ascii="仿宋" w:hAnsi="仿宋" w:eastAsia="仿宋"/>
          <w:b/>
          <w:color w:val="000000"/>
          <w:sz w:val="32"/>
          <w:szCs w:val="32"/>
        </w:rPr>
        <w:t>（二）一般公共预算财政拨款支出决算结构情况</w:t>
      </w:r>
      <w:bookmarkEnd w:id="49"/>
      <w:bookmarkEnd w:id="50"/>
    </w:p>
    <w:p>
      <w:pPr>
        <w:spacing w:line="600" w:lineRule="exact"/>
        <w:ind w:firstLine="640"/>
        <w:rPr>
          <w:rFonts w:hint="eastAsia" w:ascii="仿宋" w:hAnsi="仿宋" w:eastAsia="仿宋"/>
          <w:color w:val="000000"/>
          <w:sz w:val="32"/>
          <w:szCs w:val="32"/>
          <w:lang w:eastAsia="zh-CN"/>
        </w:rPr>
      </w:pPr>
      <w:r>
        <w:rPr>
          <w:rFonts w:ascii="仿宋" w:hAnsi="仿宋" w:eastAsia="仿宋"/>
          <w:b w:val="0"/>
          <w:bCs w:val="0"/>
          <w:color w:val="000000"/>
          <w:sz w:val="32"/>
          <w:szCs w:val="32"/>
        </w:rPr>
        <w:t>2020</w:t>
      </w:r>
      <w:r>
        <w:rPr>
          <w:rFonts w:hint="eastAsia" w:ascii="仿宋" w:hAnsi="仿宋" w:eastAsia="仿宋"/>
          <w:b w:val="0"/>
          <w:bCs w:val="0"/>
          <w:color w:val="000000"/>
          <w:sz w:val="32"/>
          <w:szCs w:val="32"/>
        </w:rPr>
        <w:t>年一般公共预算财政拨款支出</w:t>
      </w:r>
      <w:r>
        <w:rPr>
          <w:rFonts w:hint="eastAsia" w:ascii="仿宋" w:hAnsi="仿宋" w:eastAsia="仿宋"/>
          <w:b w:val="0"/>
          <w:bCs w:val="0"/>
          <w:color w:val="000000"/>
          <w:sz w:val="32"/>
          <w:szCs w:val="32"/>
          <w:lang w:val="en-US" w:eastAsia="zh-CN"/>
        </w:rPr>
        <w:t>3192.17</w:t>
      </w:r>
      <w:r>
        <w:rPr>
          <w:rFonts w:hint="eastAsia" w:ascii="仿宋" w:hAnsi="仿宋" w:eastAsia="仿宋"/>
          <w:b w:val="0"/>
          <w:bCs w:val="0"/>
          <w:color w:val="000000"/>
          <w:sz w:val="32"/>
          <w:szCs w:val="32"/>
        </w:rPr>
        <w:t>万元，主要用于以下方面</w:t>
      </w:r>
      <w:r>
        <w:rPr>
          <w:rFonts w:hint="eastAsia" w:eastAsia="仿宋"/>
          <w:b w:val="0"/>
          <w:bCs w:val="0"/>
          <w:lang w:eastAsia="zh-CN"/>
        </w:rPr>
        <w:t>：</w:t>
      </w:r>
      <w:r>
        <w:rPr>
          <w:rFonts w:hint="eastAsia" w:ascii="仿宋" w:hAnsi="仿宋" w:eastAsia="仿宋"/>
          <w:b w:val="0"/>
          <w:bCs w:val="0"/>
          <w:color w:val="000000"/>
          <w:sz w:val="32"/>
          <w:szCs w:val="32"/>
        </w:rPr>
        <w:t>一般公共服务（类）支出</w:t>
      </w:r>
      <w:r>
        <w:rPr>
          <w:rFonts w:hint="eastAsia" w:ascii="仿宋" w:hAnsi="仿宋" w:eastAsia="仿宋"/>
          <w:b w:val="0"/>
          <w:bCs w:val="0"/>
          <w:color w:val="000000"/>
          <w:sz w:val="32"/>
          <w:szCs w:val="32"/>
          <w:lang w:val="en-US" w:eastAsia="zh-CN"/>
        </w:rPr>
        <w:t>653.16</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20.46</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lang w:eastAsia="zh-CN"/>
        </w:rPr>
        <w:t>教育支出</w:t>
      </w:r>
      <w:r>
        <w:rPr>
          <w:rFonts w:hint="eastAsia" w:ascii="仿宋" w:hAnsi="仿宋" w:eastAsia="仿宋"/>
          <w:b w:val="0"/>
          <w:bCs w:val="0"/>
          <w:color w:val="000000"/>
          <w:sz w:val="32"/>
          <w:szCs w:val="32"/>
        </w:rPr>
        <w:t>（类）</w:t>
      </w:r>
      <w:r>
        <w:rPr>
          <w:rFonts w:hint="eastAsia" w:ascii="仿宋" w:hAnsi="仿宋" w:eastAsia="仿宋"/>
          <w:b w:val="0"/>
          <w:bCs w:val="0"/>
          <w:color w:val="000000"/>
          <w:sz w:val="32"/>
          <w:szCs w:val="32"/>
          <w:lang w:eastAsia="zh-CN"/>
        </w:rPr>
        <w:t>支出</w:t>
      </w:r>
      <w:r>
        <w:rPr>
          <w:rFonts w:hint="eastAsia" w:ascii="仿宋" w:hAnsi="仿宋" w:eastAsia="仿宋"/>
          <w:b w:val="0"/>
          <w:bCs w:val="0"/>
          <w:color w:val="000000"/>
          <w:sz w:val="32"/>
          <w:szCs w:val="32"/>
          <w:lang w:val="en-US" w:eastAsia="zh-CN"/>
        </w:rPr>
        <w:t>1038.18万元，占32.52%；</w:t>
      </w:r>
      <w:r>
        <w:rPr>
          <w:rFonts w:hint="eastAsia" w:ascii="仿宋" w:hAnsi="仿宋" w:eastAsia="仿宋"/>
          <w:b w:val="0"/>
          <w:bCs w:val="0"/>
          <w:color w:val="000000"/>
          <w:sz w:val="32"/>
          <w:szCs w:val="32"/>
        </w:rPr>
        <w:t>文化旅游体育与传媒（类）支出</w:t>
      </w:r>
      <w:r>
        <w:rPr>
          <w:rFonts w:hint="eastAsia" w:ascii="仿宋" w:hAnsi="仿宋" w:eastAsia="仿宋"/>
          <w:b w:val="0"/>
          <w:bCs w:val="0"/>
          <w:color w:val="000000"/>
          <w:sz w:val="32"/>
          <w:szCs w:val="32"/>
          <w:lang w:val="en-US" w:eastAsia="zh-CN"/>
        </w:rPr>
        <w:t>13</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0.4</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；社会保障和就业（类）支出</w:t>
      </w:r>
      <w:r>
        <w:rPr>
          <w:rFonts w:hint="eastAsia" w:ascii="仿宋" w:hAnsi="仿宋" w:eastAsia="仿宋"/>
          <w:b w:val="0"/>
          <w:bCs w:val="0"/>
          <w:color w:val="000000"/>
          <w:sz w:val="32"/>
          <w:szCs w:val="32"/>
          <w:lang w:val="en-US" w:eastAsia="zh-CN"/>
        </w:rPr>
        <w:t>203.68</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6.38</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；卫生健康支出</w:t>
      </w:r>
      <w:r>
        <w:rPr>
          <w:rFonts w:hint="eastAsia" w:ascii="仿宋" w:hAnsi="仿宋" w:eastAsia="仿宋"/>
          <w:b w:val="0"/>
          <w:bCs w:val="0"/>
          <w:color w:val="000000"/>
          <w:sz w:val="32"/>
          <w:szCs w:val="32"/>
          <w:lang w:val="en-US" w:eastAsia="zh-CN"/>
        </w:rPr>
        <w:t>246.78</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7.7</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w:t>
      </w:r>
      <w:r>
        <w:rPr>
          <w:rFonts w:hint="eastAsia" w:ascii="仿宋" w:hAnsi="仿宋" w:eastAsia="仿宋"/>
          <w:b w:val="0"/>
          <w:bCs w:val="0"/>
          <w:color w:val="000000"/>
          <w:sz w:val="32"/>
          <w:szCs w:val="32"/>
          <w:lang w:eastAsia="zh-CN"/>
        </w:rPr>
        <w:t>节能环保</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0.31万元，</w:t>
      </w:r>
      <w:r>
        <w:rPr>
          <w:rFonts w:hint="eastAsia" w:ascii="仿宋" w:hAnsi="仿宋" w:eastAsia="仿宋"/>
          <w:b w:val="0"/>
          <w:bCs w:val="0"/>
          <w:color w:val="000000"/>
          <w:sz w:val="32"/>
          <w:szCs w:val="32"/>
        </w:rPr>
        <w:t>占</w:t>
      </w:r>
      <w:r>
        <w:rPr>
          <w:rFonts w:hint="eastAsia" w:ascii="仿宋" w:hAnsi="仿宋" w:eastAsia="仿宋"/>
          <w:b w:val="0"/>
          <w:bCs w:val="0"/>
          <w:color w:val="000000"/>
          <w:sz w:val="32"/>
          <w:szCs w:val="32"/>
          <w:lang w:val="en-US" w:eastAsia="zh-CN"/>
        </w:rPr>
        <w:t>0.01</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lang w:eastAsia="zh-CN"/>
        </w:rPr>
        <w:t>农林水</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903.96万元，</w:t>
      </w:r>
      <w:r>
        <w:rPr>
          <w:rFonts w:hint="eastAsia" w:ascii="仿宋" w:hAnsi="仿宋" w:eastAsia="仿宋"/>
          <w:b w:val="0"/>
          <w:bCs w:val="0"/>
          <w:color w:val="000000"/>
          <w:sz w:val="32"/>
          <w:szCs w:val="32"/>
        </w:rPr>
        <w:t>占</w:t>
      </w:r>
      <w:r>
        <w:rPr>
          <w:rFonts w:hint="eastAsia" w:ascii="仿宋" w:hAnsi="仿宋" w:eastAsia="仿宋"/>
          <w:b w:val="0"/>
          <w:bCs w:val="0"/>
          <w:color w:val="000000"/>
          <w:sz w:val="32"/>
          <w:szCs w:val="32"/>
          <w:lang w:val="en-US" w:eastAsia="zh-CN"/>
        </w:rPr>
        <w:t>28.3</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lang w:eastAsia="zh-CN"/>
        </w:rPr>
        <w:t>商业服务业等</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12.4万元，</w:t>
      </w:r>
      <w:r>
        <w:rPr>
          <w:rFonts w:hint="eastAsia" w:ascii="仿宋" w:hAnsi="仿宋" w:eastAsia="仿宋"/>
          <w:b w:val="0"/>
          <w:bCs w:val="0"/>
          <w:color w:val="000000"/>
          <w:sz w:val="32"/>
          <w:szCs w:val="32"/>
        </w:rPr>
        <w:t>占</w:t>
      </w:r>
      <w:r>
        <w:rPr>
          <w:rFonts w:hint="eastAsia" w:ascii="仿宋" w:hAnsi="仿宋" w:eastAsia="仿宋"/>
          <w:b w:val="0"/>
          <w:bCs w:val="0"/>
          <w:color w:val="000000"/>
          <w:sz w:val="32"/>
          <w:szCs w:val="32"/>
          <w:lang w:val="en-US" w:eastAsia="zh-CN"/>
        </w:rPr>
        <w:t>0.39</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rPr>
        <w:t>住房保障支出</w:t>
      </w:r>
      <w:r>
        <w:rPr>
          <w:rFonts w:hint="eastAsia" w:ascii="仿宋" w:hAnsi="仿宋" w:eastAsia="仿宋"/>
          <w:b w:val="0"/>
          <w:bCs w:val="0"/>
          <w:color w:val="000000"/>
          <w:sz w:val="32"/>
          <w:szCs w:val="32"/>
          <w:lang w:val="en-US" w:eastAsia="zh-CN"/>
        </w:rPr>
        <w:t>120.69</w:t>
      </w:r>
      <w:r>
        <w:rPr>
          <w:rFonts w:hint="eastAsia" w:ascii="仿宋" w:hAnsi="仿宋" w:eastAsia="仿宋"/>
          <w:b w:val="0"/>
          <w:bCs w:val="0"/>
          <w:color w:val="000000"/>
          <w:sz w:val="32"/>
          <w:szCs w:val="32"/>
        </w:rPr>
        <w:t>万</w:t>
      </w:r>
      <w:r>
        <w:rPr>
          <w:rFonts w:hint="eastAsia" w:ascii="仿宋" w:hAnsi="仿宋" w:eastAsia="仿宋"/>
          <w:color w:val="000000"/>
          <w:sz w:val="32"/>
          <w:szCs w:val="32"/>
        </w:rPr>
        <w:t>元，占</w:t>
      </w:r>
      <w:r>
        <w:rPr>
          <w:rFonts w:hint="eastAsia" w:ascii="仿宋" w:hAnsi="仿宋" w:eastAsia="仿宋"/>
          <w:color w:val="000000"/>
          <w:sz w:val="32"/>
          <w:szCs w:val="32"/>
          <w:lang w:val="en-US" w:eastAsia="zh-CN"/>
        </w:rPr>
        <w:t>3.84</w:t>
      </w:r>
      <w:r>
        <w:rPr>
          <w:rFonts w:ascii="仿宋" w:hAnsi="仿宋" w:eastAsia="仿宋"/>
          <w:color w:val="000000"/>
          <w:sz w:val="32"/>
          <w:szCs w:val="32"/>
        </w:rPr>
        <w:t>%</w:t>
      </w:r>
      <w:r>
        <w:rPr>
          <w:rFonts w:hint="eastAsia" w:ascii="仿宋" w:hAnsi="仿宋" w:eastAsia="仿宋"/>
          <w:color w:val="000000"/>
          <w:sz w:val="32"/>
          <w:szCs w:val="32"/>
          <w:lang w:eastAsia="zh-CN"/>
        </w:rPr>
        <w:t>。</w:t>
      </w:r>
    </w:p>
    <w:p>
      <w:pPr>
        <w:bidi w:val="0"/>
        <w:jc w:val="center"/>
        <w:rPr>
          <w:rFonts w:hint="eastAsia"/>
          <w:lang w:val="en-US" w:eastAsia="zh-CN"/>
        </w:rPr>
      </w:pPr>
      <w:r>
        <w:drawing>
          <wp:inline distT="0" distB="0" distL="114300" distR="114300">
            <wp:extent cx="4591050" cy="2762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591050" cy="2762250"/>
                    </a:xfrm>
                    <a:prstGeom prst="rect">
                      <a:avLst/>
                    </a:prstGeom>
                    <a:noFill/>
                    <a:ln>
                      <a:noFill/>
                    </a:ln>
                  </pic:spPr>
                </pic:pic>
              </a:graphicData>
            </a:graphic>
          </wp:inline>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1" w:name="_Toc15377212"/>
      <w:bookmarkStart w:id="52" w:name="_Toc22236"/>
      <w:r>
        <w:rPr>
          <w:rFonts w:hint="eastAsia" w:ascii="仿宋" w:hAnsi="仿宋" w:eastAsia="仿宋"/>
          <w:b/>
          <w:color w:val="000000"/>
          <w:sz w:val="32"/>
          <w:szCs w:val="32"/>
        </w:rPr>
        <w:t>（三）一般公共预算财政拨款支出决算具体情况</w:t>
      </w:r>
      <w:bookmarkEnd w:id="51"/>
      <w:bookmarkEnd w:id="5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53" w:name="_Toc15378460"/>
      <w:bookmarkStart w:id="54" w:name="_Toc15377444"/>
      <w:bookmarkStart w:id="55" w:name="_Toc15377213"/>
      <w:r>
        <w:rPr>
          <w:rFonts w:hint="eastAsia" w:ascii="仿宋" w:hAnsi="仿宋" w:eastAsia="仿宋" w:cs="仿宋"/>
          <w:sz w:val="32"/>
          <w:szCs w:val="32"/>
        </w:rPr>
        <w:t>2020年一般公共预算支出决算数为</w:t>
      </w:r>
      <w:r>
        <w:rPr>
          <w:rFonts w:hint="eastAsia" w:ascii="仿宋" w:hAnsi="仿宋" w:eastAsia="仿宋" w:cs="仿宋"/>
          <w:sz w:val="32"/>
          <w:szCs w:val="32"/>
          <w:lang w:val="en-US" w:eastAsia="zh-CN"/>
        </w:rPr>
        <w:t>3192.17万元</w:t>
      </w:r>
      <w:r>
        <w:rPr>
          <w:rFonts w:hint="eastAsia" w:ascii="仿宋" w:hAnsi="仿宋" w:eastAsia="仿宋" w:cs="仿宋"/>
          <w:sz w:val="32"/>
          <w:szCs w:val="32"/>
        </w:rPr>
        <w:t>，完成预算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%。其中：</w:t>
      </w:r>
      <w:bookmarkEnd w:id="53"/>
      <w:bookmarkEnd w:id="54"/>
      <w:bookmarkEnd w:id="5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一般公共服务（类）</w:t>
      </w:r>
      <w:r>
        <w:rPr>
          <w:rFonts w:hint="eastAsia" w:ascii="仿宋" w:hAnsi="仿宋" w:eastAsia="仿宋" w:cs="仿宋"/>
          <w:sz w:val="32"/>
          <w:szCs w:val="32"/>
          <w:lang w:eastAsia="zh-CN"/>
        </w:rPr>
        <w:t>政府办公厅（室）及相关机构事务</w:t>
      </w:r>
      <w:r>
        <w:rPr>
          <w:rFonts w:hint="eastAsia" w:ascii="仿宋" w:hAnsi="仿宋" w:eastAsia="仿宋" w:cs="仿宋"/>
          <w:sz w:val="32"/>
          <w:szCs w:val="32"/>
        </w:rPr>
        <w:t>（款）</w:t>
      </w:r>
      <w:r>
        <w:rPr>
          <w:rFonts w:hint="eastAsia" w:ascii="仿宋" w:hAnsi="仿宋" w:eastAsia="仿宋" w:cs="仿宋"/>
          <w:sz w:val="32"/>
          <w:szCs w:val="32"/>
          <w:lang w:eastAsia="zh-CN"/>
        </w:rPr>
        <w:t>行政运行</w:t>
      </w:r>
      <w:r>
        <w:rPr>
          <w:rFonts w:hint="eastAsia" w:ascii="仿宋" w:hAnsi="仿宋" w:eastAsia="仿宋" w:cs="仿宋"/>
          <w:sz w:val="32"/>
          <w:szCs w:val="32"/>
        </w:rPr>
        <w:t>（项）:</w:t>
      </w:r>
      <w:r>
        <w:rPr>
          <w:rFonts w:hint="eastAsia" w:ascii="仿宋" w:hAnsi="仿宋" w:eastAsia="仿宋" w:cs="仿宋"/>
          <w:sz w:val="32"/>
          <w:szCs w:val="32"/>
          <w:lang w:eastAsia="zh-CN"/>
        </w:rPr>
        <w:t>支出决算数为</w:t>
      </w:r>
      <w:r>
        <w:rPr>
          <w:rFonts w:hint="eastAsia" w:ascii="仿宋" w:hAnsi="仿宋" w:eastAsia="仿宋" w:cs="仿宋"/>
          <w:sz w:val="32"/>
          <w:szCs w:val="32"/>
          <w:lang w:val="en-US" w:eastAsia="zh-CN"/>
        </w:rPr>
        <w:t xml:space="preserve">468.6万元，完成预算100%，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一般公共服务（类）</w:t>
      </w:r>
      <w:r>
        <w:rPr>
          <w:rFonts w:hint="eastAsia" w:ascii="仿宋" w:hAnsi="仿宋" w:eastAsia="仿宋" w:cs="仿宋"/>
          <w:sz w:val="32"/>
          <w:szCs w:val="32"/>
          <w:lang w:eastAsia="zh-CN"/>
        </w:rPr>
        <w:t>政府办公厅（室）及相关机构事务</w:t>
      </w:r>
      <w:r>
        <w:rPr>
          <w:rFonts w:hint="eastAsia" w:ascii="仿宋" w:hAnsi="仿宋" w:eastAsia="仿宋" w:cs="仿宋"/>
          <w:sz w:val="32"/>
          <w:szCs w:val="32"/>
        </w:rPr>
        <w:t>（款）</w:t>
      </w:r>
      <w:r>
        <w:rPr>
          <w:rFonts w:hint="eastAsia" w:ascii="仿宋" w:hAnsi="仿宋" w:eastAsia="仿宋" w:cs="仿宋"/>
          <w:sz w:val="32"/>
          <w:szCs w:val="32"/>
          <w:lang w:eastAsia="zh-CN"/>
        </w:rPr>
        <w:t>一般行政管理事务</w:t>
      </w:r>
      <w:r>
        <w:rPr>
          <w:rFonts w:hint="eastAsia" w:ascii="仿宋" w:hAnsi="仿宋" w:eastAsia="仿宋" w:cs="仿宋"/>
          <w:sz w:val="32"/>
          <w:szCs w:val="32"/>
        </w:rPr>
        <w:t xml:space="preserve">（项）: </w:t>
      </w:r>
      <w:r>
        <w:rPr>
          <w:rFonts w:hint="eastAsia" w:ascii="仿宋" w:hAnsi="仿宋" w:eastAsia="仿宋" w:cs="仿宋"/>
          <w:sz w:val="32"/>
          <w:szCs w:val="32"/>
          <w:lang w:eastAsia="zh-CN"/>
        </w:rPr>
        <w:t>支出决算数为</w:t>
      </w:r>
      <w:r>
        <w:rPr>
          <w:rFonts w:hint="eastAsia" w:ascii="仿宋" w:hAnsi="仿宋" w:eastAsia="仿宋" w:cs="仿宋"/>
          <w:sz w:val="32"/>
          <w:szCs w:val="32"/>
          <w:lang w:val="en-US" w:eastAsia="zh-CN"/>
        </w:rPr>
        <w:t>4万元，完成预算100%,决算数等于预算数。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一般公共服务（类）</w:t>
      </w:r>
      <w:r>
        <w:rPr>
          <w:rFonts w:hint="eastAsia" w:ascii="仿宋" w:hAnsi="仿宋" w:eastAsia="仿宋" w:cs="仿宋"/>
          <w:sz w:val="32"/>
          <w:szCs w:val="32"/>
          <w:lang w:eastAsia="zh-CN"/>
        </w:rPr>
        <w:t>财政事务</w:t>
      </w:r>
      <w:r>
        <w:rPr>
          <w:rFonts w:hint="eastAsia" w:ascii="仿宋" w:hAnsi="仿宋" w:eastAsia="仿宋" w:cs="仿宋"/>
          <w:sz w:val="32"/>
          <w:szCs w:val="32"/>
        </w:rPr>
        <w:t>（款）</w:t>
      </w:r>
      <w:r>
        <w:rPr>
          <w:rFonts w:hint="eastAsia" w:ascii="仿宋" w:hAnsi="仿宋" w:eastAsia="仿宋" w:cs="仿宋"/>
          <w:sz w:val="32"/>
          <w:szCs w:val="32"/>
          <w:lang w:eastAsia="zh-CN"/>
        </w:rPr>
        <w:t>事业运行</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3万元，完成预算100%。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般公共服务（类）</w:t>
      </w:r>
      <w:r>
        <w:rPr>
          <w:rFonts w:hint="eastAsia" w:ascii="仿宋" w:hAnsi="仿宋" w:eastAsia="仿宋" w:cs="仿宋"/>
          <w:sz w:val="32"/>
          <w:szCs w:val="32"/>
          <w:lang w:eastAsia="zh-CN"/>
        </w:rPr>
        <w:t>党委办公厅（室）及相关机构事务</w:t>
      </w:r>
      <w:r>
        <w:rPr>
          <w:rFonts w:hint="eastAsia" w:ascii="仿宋" w:hAnsi="仿宋" w:eastAsia="仿宋" w:cs="仿宋"/>
          <w:sz w:val="32"/>
          <w:szCs w:val="32"/>
        </w:rPr>
        <w:t>（款）</w:t>
      </w:r>
      <w:r>
        <w:rPr>
          <w:rFonts w:hint="eastAsia" w:ascii="仿宋" w:hAnsi="仿宋" w:eastAsia="仿宋" w:cs="仿宋"/>
          <w:sz w:val="32"/>
          <w:szCs w:val="32"/>
          <w:lang w:eastAsia="zh-CN"/>
        </w:rPr>
        <w:t>行政运行</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176.66万元，完成预算100%。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5.一</w:t>
      </w:r>
      <w:r>
        <w:rPr>
          <w:rFonts w:hint="eastAsia" w:ascii="仿宋" w:hAnsi="仿宋" w:eastAsia="仿宋" w:cs="仿宋"/>
          <w:sz w:val="32"/>
          <w:szCs w:val="32"/>
        </w:rPr>
        <w:t>般公共服务（类）</w:t>
      </w:r>
      <w:r>
        <w:rPr>
          <w:rFonts w:hint="eastAsia" w:ascii="仿宋" w:hAnsi="仿宋" w:eastAsia="仿宋" w:cs="仿宋"/>
          <w:sz w:val="32"/>
          <w:szCs w:val="32"/>
          <w:lang w:eastAsia="zh-CN"/>
        </w:rPr>
        <w:t>其他一般公共服务支出</w:t>
      </w:r>
      <w:r>
        <w:rPr>
          <w:rFonts w:hint="eastAsia" w:ascii="仿宋" w:hAnsi="仿宋" w:eastAsia="仿宋" w:cs="仿宋"/>
          <w:sz w:val="32"/>
          <w:szCs w:val="32"/>
        </w:rPr>
        <w:t>（款）</w:t>
      </w:r>
      <w:r>
        <w:rPr>
          <w:rFonts w:hint="eastAsia" w:ascii="仿宋" w:hAnsi="仿宋" w:eastAsia="仿宋" w:cs="仿宋"/>
          <w:sz w:val="32"/>
          <w:szCs w:val="32"/>
          <w:lang w:eastAsia="zh-CN"/>
        </w:rPr>
        <w:t>一般公共服务支出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0.9万元，完成预算100%。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普通教育</w:t>
      </w:r>
      <w:r>
        <w:rPr>
          <w:rFonts w:hint="eastAsia" w:ascii="仿宋" w:hAnsi="仿宋" w:eastAsia="仿宋" w:cs="仿宋"/>
          <w:sz w:val="32"/>
          <w:szCs w:val="32"/>
        </w:rPr>
        <w:t>（款）</w:t>
      </w:r>
      <w:r>
        <w:rPr>
          <w:rFonts w:hint="eastAsia" w:ascii="仿宋" w:hAnsi="仿宋" w:eastAsia="仿宋" w:cs="仿宋"/>
          <w:sz w:val="32"/>
          <w:szCs w:val="32"/>
          <w:lang w:eastAsia="zh-CN"/>
        </w:rPr>
        <w:t>学前教育</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6.4万元，完成预算100%。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普通教育</w:t>
      </w:r>
      <w:r>
        <w:rPr>
          <w:rFonts w:hint="eastAsia" w:ascii="仿宋" w:hAnsi="仿宋" w:eastAsia="仿宋" w:cs="仿宋"/>
          <w:sz w:val="32"/>
          <w:szCs w:val="32"/>
        </w:rPr>
        <w:t>（款）</w:t>
      </w:r>
      <w:r>
        <w:rPr>
          <w:rFonts w:hint="eastAsia" w:ascii="仿宋" w:hAnsi="仿宋" w:eastAsia="仿宋" w:cs="仿宋"/>
          <w:sz w:val="32"/>
          <w:szCs w:val="32"/>
          <w:lang w:eastAsia="zh-CN"/>
        </w:rPr>
        <w:t>小学教育</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958.51万元，完成预算100%。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普通教育</w:t>
      </w:r>
      <w:r>
        <w:rPr>
          <w:rFonts w:hint="eastAsia" w:ascii="仿宋" w:hAnsi="仿宋" w:eastAsia="仿宋" w:cs="仿宋"/>
          <w:sz w:val="32"/>
          <w:szCs w:val="32"/>
        </w:rPr>
        <w:t>（款）</w:t>
      </w:r>
      <w:r>
        <w:rPr>
          <w:rFonts w:hint="eastAsia" w:ascii="仿宋" w:hAnsi="仿宋" w:eastAsia="仿宋" w:cs="仿宋"/>
          <w:sz w:val="32"/>
          <w:szCs w:val="32"/>
          <w:lang w:eastAsia="zh-CN"/>
        </w:rPr>
        <w:t>其他普通教育支出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65.73万元，完成预算100%。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职业教育</w:t>
      </w:r>
      <w:r>
        <w:rPr>
          <w:rFonts w:hint="eastAsia" w:ascii="仿宋" w:hAnsi="仿宋" w:eastAsia="仿宋" w:cs="仿宋"/>
          <w:sz w:val="32"/>
          <w:szCs w:val="32"/>
        </w:rPr>
        <w:t>（款）</w:t>
      </w:r>
      <w:r>
        <w:rPr>
          <w:rFonts w:hint="eastAsia" w:ascii="仿宋" w:hAnsi="仿宋" w:eastAsia="仿宋" w:cs="仿宋"/>
          <w:sz w:val="32"/>
          <w:szCs w:val="32"/>
          <w:lang w:eastAsia="zh-CN"/>
        </w:rPr>
        <w:t>其他职业教育支出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7.54万元，完成预算100%。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文化旅游体育与传媒支出</w:t>
      </w:r>
      <w:r>
        <w:rPr>
          <w:rFonts w:hint="eastAsia" w:ascii="仿宋" w:hAnsi="仿宋" w:eastAsia="仿宋" w:cs="仿宋"/>
          <w:sz w:val="32"/>
          <w:szCs w:val="32"/>
        </w:rPr>
        <w:t>（类）</w:t>
      </w:r>
      <w:r>
        <w:rPr>
          <w:rFonts w:hint="eastAsia" w:ascii="仿宋" w:hAnsi="仿宋" w:eastAsia="仿宋" w:cs="仿宋"/>
          <w:sz w:val="32"/>
          <w:szCs w:val="32"/>
          <w:lang w:eastAsia="zh-CN"/>
        </w:rPr>
        <w:t>文化和旅游</w:t>
      </w:r>
      <w:r>
        <w:rPr>
          <w:rFonts w:hint="eastAsia" w:ascii="仿宋" w:hAnsi="仿宋" w:eastAsia="仿宋" w:cs="仿宋"/>
          <w:sz w:val="32"/>
          <w:szCs w:val="32"/>
        </w:rPr>
        <w:t>（款）</w:t>
      </w:r>
      <w:r>
        <w:rPr>
          <w:rFonts w:hint="eastAsia" w:ascii="仿宋" w:hAnsi="仿宋" w:eastAsia="仿宋" w:cs="仿宋"/>
          <w:sz w:val="32"/>
          <w:szCs w:val="32"/>
          <w:lang w:eastAsia="zh-CN"/>
        </w:rPr>
        <w:t>其他文化和旅游支出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5万元，完成预算100%。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文化旅游体育与传媒支出</w:t>
      </w:r>
      <w:r>
        <w:rPr>
          <w:rFonts w:hint="eastAsia" w:ascii="仿宋" w:hAnsi="仿宋" w:eastAsia="仿宋" w:cs="仿宋"/>
          <w:sz w:val="32"/>
          <w:szCs w:val="32"/>
        </w:rPr>
        <w:t>（类）</w:t>
      </w:r>
      <w:r>
        <w:rPr>
          <w:rFonts w:hint="eastAsia" w:ascii="仿宋" w:hAnsi="仿宋" w:eastAsia="仿宋" w:cs="仿宋"/>
          <w:sz w:val="32"/>
          <w:szCs w:val="32"/>
          <w:lang w:eastAsia="zh-CN"/>
        </w:rPr>
        <w:t>其他文化体育与传媒支出</w:t>
      </w:r>
      <w:r>
        <w:rPr>
          <w:rFonts w:hint="eastAsia" w:ascii="仿宋" w:hAnsi="仿宋" w:eastAsia="仿宋" w:cs="仿宋"/>
          <w:sz w:val="32"/>
          <w:szCs w:val="32"/>
        </w:rPr>
        <w:t>（款）</w:t>
      </w:r>
      <w:r>
        <w:rPr>
          <w:rFonts w:hint="eastAsia" w:ascii="仿宋" w:hAnsi="仿宋" w:eastAsia="仿宋" w:cs="仿宋"/>
          <w:sz w:val="32"/>
          <w:szCs w:val="32"/>
          <w:lang w:eastAsia="zh-CN"/>
        </w:rPr>
        <w:t>文化体育与传媒支出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8万元，完成预算100%。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行政事业单位离退休</w:t>
      </w:r>
      <w:r>
        <w:rPr>
          <w:rFonts w:hint="eastAsia" w:ascii="仿宋" w:hAnsi="仿宋" w:eastAsia="仿宋" w:cs="仿宋"/>
          <w:sz w:val="32"/>
          <w:szCs w:val="32"/>
        </w:rPr>
        <w:t>（款）</w:t>
      </w:r>
      <w:r>
        <w:rPr>
          <w:rFonts w:hint="eastAsia" w:ascii="仿宋" w:hAnsi="仿宋" w:eastAsia="仿宋" w:cs="仿宋"/>
          <w:sz w:val="32"/>
          <w:szCs w:val="32"/>
          <w:lang w:eastAsia="zh-CN"/>
        </w:rPr>
        <w:t>机关事业单位基本养老保险缴费支出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161.02万元，完成预算数100%。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w:t>
      </w:r>
      <w:r>
        <w:rPr>
          <w:rFonts w:hint="eastAsia" w:ascii="仿宋" w:hAnsi="仿宋" w:eastAsia="仿宋" w:cs="仿宋"/>
          <w:sz w:val="32"/>
          <w:szCs w:val="32"/>
          <w:lang w:eastAsia="zh-CN"/>
        </w:rPr>
        <w:t>就业补助</w:t>
      </w:r>
      <w:r>
        <w:rPr>
          <w:rFonts w:hint="eastAsia" w:ascii="仿宋" w:hAnsi="仿宋" w:eastAsia="仿宋" w:cs="仿宋"/>
          <w:sz w:val="32"/>
          <w:szCs w:val="32"/>
        </w:rPr>
        <w:t>（款）</w:t>
      </w:r>
      <w:r>
        <w:rPr>
          <w:rFonts w:hint="eastAsia" w:ascii="仿宋" w:hAnsi="仿宋" w:eastAsia="仿宋" w:cs="仿宋"/>
          <w:sz w:val="32"/>
          <w:szCs w:val="32"/>
          <w:lang w:eastAsia="zh-CN"/>
        </w:rPr>
        <w:t>公益性岗位补贴</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42.66万元，完成预算数100%。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基层医疗卫生机构</w:t>
      </w:r>
      <w:r>
        <w:rPr>
          <w:rFonts w:hint="eastAsia" w:ascii="仿宋" w:hAnsi="仿宋" w:eastAsia="仿宋" w:cs="仿宋"/>
          <w:sz w:val="32"/>
          <w:szCs w:val="32"/>
        </w:rPr>
        <w:t>（款）</w:t>
      </w:r>
      <w:r>
        <w:rPr>
          <w:rFonts w:hint="eastAsia" w:ascii="仿宋" w:hAnsi="仿宋" w:eastAsia="仿宋" w:cs="仿宋"/>
          <w:sz w:val="32"/>
          <w:szCs w:val="32"/>
          <w:lang w:eastAsia="zh-CN"/>
        </w:rPr>
        <w:t>乡镇卫生院</w:t>
      </w:r>
      <w:r>
        <w:rPr>
          <w:rFonts w:hint="eastAsia" w:ascii="仿宋" w:hAnsi="仿宋" w:eastAsia="仿宋" w:cs="仿宋"/>
          <w:sz w:val="32"/>
          <w:szCs w:val="32"/>
        </w:rPr>
        <w:t>（项）</w:t>
      </w:r>
      <w:r>
        <w:rPr>
          <w:rFonts w:hint="eastAsia" w:ascii="仿宋" w:hAnsi="仿宋" w:eastAsia="仿宋" w:cs="仿宋"/>
          <w:sz w:val="32"/>
          <w:szCs w:val="32"/>
          <w:lang w:eastAsia="zh-CN"/>
        </w:rPr>
        <w:t>：支付决算数</w:t>
      </w:r>
      <w:r>
        <w:rPr>
          <w:rFonts w:hint="eastAsia" w:ascii="仿宋" w:hAnsi="仿宋" w:eastAsia="仿宋" w:cs="仿宋"/>
          <w:sz w:val="32"/>
          <w:szCs w:val="32"/>
          <w:lang w:val="en-US" w:eastAsia="zh-CN"/>
        </w:rPr>
        <w:t>48.6万元，完成预算数100%。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基层医疗卫生机构</w:t>
      </w:r>
      <w:r>
        <w:rPr>
          <w:rFonts w:hint="eastAsia" w:ascii="仿宋" w:hAnsi="仿宋" w:eastAsia="仿宋" w:cs="仿宋"/>
          <w:sz w:val="32"/>
          <w:szCs w:val="32"/>
        </w:rPr>
        <w:t>（款）</w:t>
      </w:r>
      <w:r>
        <w:rPr>
          <w:rFonts w:hint="eastAsia" w:ascii="仿宋" w:hAnsi="仿宋" w:eastAsia="仿宋" w:cs="仿宋"/>
          <w:sz w:val="32"/>
          <w:szCs w:val="32"/>
          <w:lang w:eastAsia="zh-CN"/>
        </w:rPr>
        <w:t>其他基层医疗卫生机构支出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20.03万元，完成预算数100%。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公共卫生</w:t>
      </w:r>
      <w:r>
        <w:rPr>
          <w:rFonts w:hint="eastAsia" w:ascii="仿宋" w:hAnsi="仿宋" w:eastAsia="仿宋" w:cs="仿宋"/>
          <w:sz w:val="32"/>
          <w:szCs w:val="32"/>
        </w:rPr>
        <w:t>（款）</w:t>
      </w:r>
      <w:r>
        <w:rPr>
          <w:rFonts w:hint="eastAsia" w:ascii="仿宋" w:hAnsi="仿宋" w:eastAsia="仿宋" w:cs="仿宋"/>
          <w:sz w:val="32"/>
          <w:szCs w:val="32"/>
          <w:lang w:eastAsia="zh-CN"/>
        </w:rPr>
        <w:t>基本公共卫生服务</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84.73万元，完成预算数100%.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公共卫生</w:t>
      </w:r>
      <w:r>
        <w:rPr>
          <w:rFonts w:hint="eastAsia" w:ascii="仿宋" w:hAnsi="仿宋" w:eastAsia="仿宋" w:cs="仿宋"/>
          <w:sz w:val="32"/>
          <w:szCs w:val="32"/>
        </w:rPr>
        <w:t>（款）</w:t>
      </w:r>
      <w:r>
        <w:rPr>
          <w:rFonts w:hint="eastAsia" w:ascii="仿宋" w:hAnsi="仿宋" w:eastAsia="仿宋" w:cs="仿宋"/>
          <w:sz w:val="32"/>
          <w:szCs w:val="32"/>
          <w:lang w:eastAsia="zh-CN"/>
        </w:rPr>
        <w:t>其他公共卫生支出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1.53万元，完成预算数100%.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行政单位医疗</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13.93万元，完成预算数100%。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事业单位医疗</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74.66万元，完成预算100%。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行政公务员医疗补助</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3.3万元，完成预算数100%。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节能环保支出</w:t>
      </w:r>
      <w:r>
        <w:rPr>
          <w:rFonts w:hint="eastAsia" w:ascii="仿宋" w:hAnsi="仿宋" w:eastAsia="仿宋" w:cs="仿宋"/>
          <w:sz w:val="32"/>
          <w:szCs w:val="32"/>
        </w:rPr>
        <w:t>（类）</w:t>
      </w:r>
      <w:r>
        <w:rPr>
          <w:rFonts w:hint="eastAsia" w:ascii="仿宋" w:hAnsi="仿宋" w:eastAsia="仿宋" w:cs="仿宋"/>
          <w:sz w:val="32"/>
          <w:szCs w:val="32"/>
          <w:lang w:eastAsia="zh-CN"/>
        </w:rPr>
        <w:t>天然林保护</w:t>
      </w:r>
      <w:r>
        <w:rPr>
          <w:rFonts w:hint="eastAsia" w:ascii="仿宋" w:hAnsi="仿宋" w:eastAsia="仿宋" w:cs="仿宋"/>
          <w:sz w:val="32"/>
          <w:szCs w:val="32"/>
        </w:rPr>
        <w:t>（款）</w:t>
      </w:r>
      <w:r>
        <w:rPr>
          <w:rFonts w:hint="eastAsia" w:ascii="仿宋" w:hAnsi="仿宋" w:eastAsia="仿宋" w:cs="仿宋"/>
          <w:sz w:val="32"/>
          <w:szCs w:val="32"/>
          <w:lang w:eastAsia="zh-CN"/>
        </w:rPr>
        <w:t>森林管护</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0.31万元，完成预算100%。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扶贫</w:t>
      </w:r>
      <w:r>
        <w:rPr>
          <w:rFonts w:hint="eastAsia" w:ascii="仿宋" w:hAnsi="仿宋" w:eastAsia="仿宋" w:cs="仿宋"/>
          <w:sz w:val="32"/>
          <w:szCs w:val="32"/>
        </w:rPr>
        <w:t>（款）</w:t>
      </w:r>
      <w:r>
        <w:rPr>
          <w:rFonts w:hint="eastAsia" w:ascii="仿宋" w:hAnsi="仿宋" w:eastAsia="仿宋" w:cs="仿宋"/>
          <w:sz w:val="32"/>
          <w:szCs w:val="32"/>
          <w:lang w:eastAsia="zh-CN"/>
        </w:rPr>
        <w:t>农村基础设施建设</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451.73万元，完成预算数100%。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扶贫</w:t>
      </w:r>
      <w:r>
        <w:rPr>
          <w:rFonts w:hint="eastAsia" w:ascii="仿宋" w:hAnsi="仿宋" w:eastAsia="仿宋" w:cs="仿宋"/>
          <w:sz w:val="32"/>
          <w:szCs w:val="32"/>
        </w:rPr>
        <w:t>（款）</w:t>
      </w:r>
      <w:r>
        <w:rPr>
          <w:rFonts w:hint="eastAsia" w:ascii="仿宋" w:hAnsi="仿宋" w:eastAsia="仿宋" w:cs="仿宋"/>
          <w:sz w:val="32"/>
          <w:szCs w:val="32"/>
          <w:lang w:eastAsia="zh-CN"/>
        </w:rPr>
        <w:t>其他扶贫支出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109.15万元，完成预算数100%。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农村综合改革</w:t>
      </w:r>
      <w:r>
        <w:rPr>
          <w:rFonts w:hint="eastAsia" w:ascii="仿宋" w:hAnsi="仿宋" w:eastAsia="仿宋" w:cs="仿宋"/>
          <w:sz w:val="32"/>
          <w:szCs w:val="32"/>
        </w:rPr>
        <w:t>（款）</w:t>
      </w:r>
      <w:r>
        <w:rPr>
          <w:rFonts w:hint="eastAsia" w:ascii="仿宋" w:hAnsi="仿宋" w:eastAsia="仿宋" w:cs="仿宋"/>
          <w:sz w:val="32"/>
          <w:szCs w:val="32"/>
          <w:lang w:eastAsia="zh-CN"/>
        </w:rPr>
        <w:t>对村民委员会和党支部的补助</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263.09万元，完成预算100%。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）农村综合改革</w:t>
      </w:r>
      <w:r>
        <w:rPr>
          <w:rFonts w:hint="eastAsia" w:ascii="仿宋" w:hAnsi="仿宋" w:eastAsia="仿宋" w:cs="仿宋"/>
          <w:sz w:val="32"/>
          <w:szCs w:val="32"/>
        </w:rPr>
        <w:t>（款）</w:t>
      </w:r>
      <w:r>
        <w:rPr>
          <w:rFonts w:hint="eastAsia" w:ascii="仿宋" w:hAnsi="仿宋" w:eastAsia="仿宋" w:cs="仿宋"/>
          <w:sz w:val="32"/>
          <w:szCs w:val="32"/>
          <w:lang w:eastAsia="zh-CN"/>
        </w:rPr>
        <w:t>对村集体经济组织的补助</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80万元，完成预算100%。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26.</w:t>
      </w:r>
      <w:r>
        <w:rPr>
          <w:rFonts w:hint="eastAsia" w:ascii="仿宋" w:hAnsi="仿宋" w:eastAsia="仿宋" w:cs="仿宋"/>
          <w:sz w:val="32"/>
          <w:szCs w:val="32"/>
          <w:lang w:eastAsia="zh-CN"/>
        </w:rPr>
        <w:t>商业服务业等支出</w:t>
      </w:r>
      <w:r>
        <w:rPr>
          <w:rFonts w:hint="eastAsia" w:ascii="仿宋" w:hAnsi="仿宋" w:eastAsia="仿宋" w:cs="仿宋"/>
          <w:sz w:val="32"/>
          <w:szCs w:val="32"/>
        </w:rPr>
        <w:t>（类）</w:t>
      </w:r>
      <w:r>
        <w:rPr>
          <w:rFonts w:hint="eastAsia" w:ascii="仿宋" w:hAnsi="仿宋" w:eastAsia="仿宋" w:cs="仿宋"/>
          <w:sz w:val="32"/>
          <w:szCs w:val="32"/>
          <w:lang w:eastAsia="zh-CN"/>
        </w:rPr>
        <w:t>商业流通业务</w:t>
      </w:r>
      <w:r>
        <w:rPr>
          <w:rFonts w:hint="eastAsia" w:ascii="仿宋" w:hAnsi="仿宋" w:eastAsia="仿宋" w:cs="仿宋"/>
          <w:sz w:val="32"/>
          <w:szCs w:val="32"/>
        </w:rPr>
        <w:t>（款）</w:t>
      </w:r>
      <w:r>
        <w:rPr>
          <w:rFonts w:hint="eastAsia" w:ascii="仿宋" w:hAnsi="仿宋" w:eastAsia="仿宋" w:cs="仿宋"/>
          <w:sz w:val="32"/>
          <w:szCs w:val="32"/>
          <w:lang w:eastAsia="zh-CN"/>
        </w:rPr>
        <w:t>其他商业流通事业支出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12.4万元，完成预算100%。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27.</w:t>
      </w:r>
      <w:r>
        <w:rPr>
          <w:rFonts w:hint="eastAsia" w:ascii="仿宋" w:hAnsi="仿宋" w:eastAsia="仿宋" w:cs="仿宋"/>
          <w:sz w:val="32"/>
          <w:szCs w:val="32"/>
          <w:lang w:eastAsia="zh-CN"/>
        </w:rPr>
        <w:t>住房保障支出</w:t>
      </w:r>
      <w:r>
        <w:rPr>
          <w:rFonts w:hint="eastAsia" w:ascii="仿宋" w:hAnsi="仿宋" w:eastAsia="仿宋" w:cs="仿宋"/>
          <w:sz w:val="32"/>
          <w:szCs w:val="32"/>
        </w:rPr>
        <w:t>（类）</w:t>
      </w:r>
      <w:r>
        <w:rPr>
          <w:rFonts w:hint="eastAsia" w:ascii="仿宋" w:hAnsi="仿宋" w:eastAsia="仿宋" w:cs="仿宋"/>
          <w:sz w:val="32"/>
          <w:szCs w:val="32"/>
          <w:lang w:eastAsia="zh-CN"/>
        </w:rPr>
        <w:t>住房改革支出</w:t>
      </w:r>
      <w:r>
        <w:rPr>
          <w:rFonts w:hint="eastAsia" w:ascii="仿宋" w:hAnsi="仿宋" w:eastAsia="仿宋" w:cs="仿宋"/>
          <w:sz w:val="32"/>
          <w:szCs w:val="32"/>
        </w:rPr>
        <w:t>（款）</w:t>
      </w:r>
      <w:r>
        <w:rPr>
          <w:rFonts w:hint="eastAsia" w:ascii="仿宋" w:hAnsi="仿宋" w:eastAsia="仿宋" w:cs="仿宋"/>
          <w:sz w:val="32"/>
          <w:szCs w:val="32"/>
          <w:lang w:eastAsia="zh-CN"/>
        </w:rPr>
        <w:t>住房公积金</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120.69万元，完成预算100%。</w:t>
      </w:r>
    </w:p>
    <w:p>
      <w:pPr>
        <w:tabs>
          <w:tab w:val="right" w:pos="8306"/>
        </w:tabs>
        <w:spacing w:line="600" w:lineRule="exact"/>
        <w:ind w:firstLine="640"/>
        <w:outlineLvl w:val="1"/>
      </w:pPr>
      <w:bookmarkStart w:id="56" w:name="_Toc15377214"/>
      <w:bookmarkStart w:id="57" w:name="_Toc28109"/>
      <w:bookmarkStart w:id="58"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56"/>
      <w:bookmarkEnd w:id="57"/>
      <w:bookmarkEnd w:id="58"/>
      <w:r>
        <w:rPr>
          <w:rStyle w:val="20"/>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2020年一般公共预算财政拨款基本支出</w:t>
      </w:r>
      <w:r>
        <w:rPr>
          <w:rFonts w:hint="eastAsia" w:ascii="仿宋" w:hAnsi="仿宋" w:eastAsia="仿宋" w:cs="仿宋"/>
          <w:sz w:val="32"/>
          <w:szCs w:val="32"/>
          <w:lang w:val="en-US" w:eastAsia="zh-CN"/>
        </w:rPr>
        <w:t>2242.51</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1992.3</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olor w:val="000000"/>
          <w:sz w:val="32"/>
          <w:szCs w:val="32"/>
        </w:rPr>
      </w:pPr>
      <w:r>
        <w:rPr>
          <w:rFonts w:hint="eastAsia" w:ascii="仿宋" w:hAnsi="仿宋" w:eastAsia="仿宋" w:cs="仿宋"/>
          <w:sz w:val="32"/>
          <w:szCs w:val="32"/>
        </w:rPr>
        <w:t>　　日常公用经费</w:t>
      </w:r>
      <w:r>
        <w:rPr>
          <w:rFonts w:hint="eastAsia" w:ascii="仿宋" w:hAnsi="仿宋" w:eastAsia="仿宋" w:cs="仿宋"/>
          <w:sz w:val="32"/>
          <w:szCs w:val="32"/>
          <w:lang w:val="en-US" w:eastAsia="zh-CN"/>
        </w:rPr>
        <w:t>249.6</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万元，主要包括：办公费、印刷费、咨询费、手续费、水费、电费、邮电费、取暖费、物业管理费、差旅费、因公出国（境）费用、维修（护）费、租赁费、会议费、培训费、公务接待费、劳务费、委</w:t>
      </w:r>
      <w:r>
        <w:rPr>
          <w:rFonts w:hint="eastAsia" w:ascii="仿宋" w:hAnsi="仿宋" w:eastAsia="仿宋"/>
          <w:color w:val="000000"/>
          <w:sz w:val="32"/>
          <w:szCs w:val="32"/>
        </w:rPr>
        <w:t>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0"/>
          <w:rFonts w:ascii="黑体" w:hAnsi="黑体" w:eastAsia="黑体"/>
          <w:b w:val="0"/>
        </w:rPr>
      </w:pPr>
      <w:bookmarkStart w:id="59" w:name="_Toc15396609"/>
      <w:bookmarkStart w:id="60" w:name="_Toc15377215"/>
      <w:bookmarkStart w:id="61" w:name="_Toc24284"/>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59"/>
      <w:bookmarkEnd w:id="60"/>
      <w:bookmarkEnd w:id="61"/>
    </w:p>
    <w:p>
      <w:pPr>
        <w:spacing w:line="600" w:lineRule="exact"/>
        <w:ind w:firstLine="640"/>
        <w:outlineLvl w:val="2"/>
        <w:rPr>
          <w:rFonts w:ascii="仿宋" w:hAnsi="仿宋" w:eastAsia="仿宋"/>
          <w:b/>
          <w:color w:val="000000"/>
          <w:sz w:val="32"/>
          <w:szCs w:val="32"/>
        </w:rPr>
      </w:pPr>
      <w:bookmarkStart w:id="62" w:name="_Toc15377216"/>
      <w:bookmarkStart w:id="63" w:name="_Toc21177"/>
      <w:r>
        <w:rPr>
          <w:rFonts w:hint="eastAsia" w:ascii="仿宋" w:hAnsi="仿宋" w:eastAsia="仿宋"/>
          <w:b/>
          <w:color w:val="000000"/>
          <w:sz w:val="32"/>
          <w:szCs w:val="32"/>
        </w:rPr>
        <w:t>（一）“三公”经费财政拨款支出决算总体情况说明</w:t>
      </w:r>
      <w:bookmarkEnd w:id="62"/>
      <w:bookmarkEnd w:id="6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1.48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w:t>
      </w:r>
    </w:p>
    <w:p>
      <w:pPr>
        <w:spacing w:line="600" w:lineRule="exact"/>
        <w:ind w:firstLine="640"/>
        <w:outlineLvl w:val="2"/>
        <w:rPr>
          <w:rFonts w:ascii="仿宋" w:hAnsi="仿宋" w:eastAsia="仿宋"/>
          <w:b/>
          <w:color w:val="000000"/>
          <w:sz w:val="32"/>
          <w:szCs w:val="32"/>
        </w:rPr>
      </w:pPr>
      <w:bookmarkStart w:id="64" w:name="_Toc15377217"/>
      <w:bookmarkStart w:id="65" w:name="_Toc10230"/>
      <w:r>
        <w:rPr>
          <w:rFonts w:hint="eastAsia" w:ascii="仿宋" w:hAnsi="仿宋" w:eastAsia="仿宋"/>
          <w:b/>
          <w:color w:val="000000"/>
          <w:sz w:val="32"/>
          <w:szCs w:val="32"/>
        </w:rPr>
        <w:t>（二）“三公”经费财政拨款支出决算具体情况说明</w:t>
      </w:r>
      <w:bookmarkEnd w:id="64"/>
      <w:bookmarkEnd w:id="6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公务接待费支出决1.48万元，占100%。具体情况如下</w:t>
      </w: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33"/>
          <w:rFonts w:hint="eastAsia" w:ascii="仿宋" w:hAnsi="仿宋" w:eastAsia="仿宋"/>
          <w:b w:val="0"/>
          <w:bCs/>
          <w:color w:val="000000"/>
          <w:sz w:val="32"/>
          <w:szCs w:val="32"/>
        </w:rPr>
        <w:t>完成预算</w:t>
      </w:r>
      <w:r>
        <w:rPr>
          <w:rStyle w:val="33"/>
          <w:rFonts w:hint="eastAsia" w:ascii="仿宋" w:hAnsi="仿宋" w:eastAsia="仿宋"/>
          <w:b w:val="0"/>
          <w:bCs/>
          <w:color w:val="000000"/>
          <w:sz w:val="32"/>
          <w:szCs w:val="32"/>
          <w:lang w:val="en-US" w:eastAsia="zh-CN"/>
        </w:rPr>
        <w:t>0</w:t>
      </w:r>
      <w:r>
        <w:rPr>
          <w:rStyle w:val="33"/>
          <w:rFonts w:ascii="仿宋" w:hAnsi="仿宋" w:eastAsia="仿宋"/>
          <w:b w:val="0"/>
          <w:bCs/>
          <w:color w:val="000000"/>
          <w:sz w:val="32"/>
          <w:szCs w:val="32"/>
        </w:rPr>
        <w:t>%</w:t>
      </w:r>
      <w:r>
        <w:rPr>
          <w:rStyle w:val="3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单位节约</w:t>
      </w:r>
      <w:r>
        <w:rPr>
          <w:rFonts w:hint="eastAsia" w:ascii="仿宋_GB2312" w:eastAsia="仿宋_GB2312"/>
          <w:color w:val="000000"/>
          <w:sz w:val="32"/>
          <w:szCs w:val="32"/>
        </w:rPr>
        <w:t>。</w:t>
      </w:r>
    </w:p>
    <w:p>
      <w:pPr>
        <w:numPr>
          <w:ilvl w:val="0"/>
          <w:numId w:val="2"/>
        </w:numPr>
        <w:spacing w:line="600" w:lineRule="exact"/>
        <w:ind w:firstLine="640"/>
        <w:rPr>
          <w:rFonts w:hint="eastAsia"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1.48</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253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1.48</w:t>
      </w:r>
      <w:r>
        <w:rPr>
          <w:rFonts w:hint="eastAsia" w:ascii="仿宋_GB2312" w:eastAsia="仿宋_GB2312"/>
          <w:color w:val="000000"/>
          <w:sz w:val="32"/>
          <w:szCs w:val="32"/>
        </w:rPr>
        <w:t>万元，具体内容包括：</w:t>
      </w:r>
      <w:r>
        <w:rPr>
          <w:rFonts w:hint="eastAsia" w:ascii="仿宋_GB2312" w:hAnsi="仿宋_GB2312" w:eastAsia="仿宋_GB2312" w:cs="仿宋_GB2312"/>
          <w:color w:val="000000"/>
          <w:sz w:val="32"/>
          <w:szCs w:val="32"/>
        </w:rPr>
        <w:t>扶贫业务指导及一些项目工作督查</w:t>
      </w:r>
    </w:p>
    <w:p>
      <w:pPr>
        <w:spacing w:line="600" w:lineRule="exact"/>
        <w:ind w:firstLine="643" w:firstLineChars="200"/>
        <w:rPr>
          <w:rFonts w:ascii="仿宋_GB2312" w:eastAsia="仿宋_GB2312"/>
          <w:color w:val="000000"/>
          <w:sz w:val="32"/>
          <w:szCs w:val="32"/>
        </w:rPr>
      </w:pPr>
      <w:bookmarkStart w:id="66" w:name="_Toc15377218"/>
      <w:bookmarkStart w:id="67" w:name="_Toc15396610"/>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ascii="黑体" w:eastAsia="黑体"/>
          <w:color w:val="000000"/>
          <w:sz w:val="32"/>
          <w:szCs w:val="32"/>
        </w:rPr>
      </w:pPr>
    </w:p>
    <w:p>
      <w:pPr>
        <w:spacing w:line="600" w:lineRule="exact"/>
        <w:ind w:firstLine="640"/>
        <w:outlineLvl w:val="1"/>
        <w:rPr>
          <w:rFonts w:ascii="黑体" w:eastAsia="黑体"/>
          <w:color w:val="000000"/>
          <w:sz w:val="32"/>
          <w:szCs w:val="32"/>
        </w:rPr>
      </w:pPr>
    </w:p>
    <w:p>
      <w:pPr>
        <w:spacing w:line="600" w:lineRule="exact"/>
        <w:ind w:firstLine="640"/>
        <w:outlineLvl w:val="1"/>
        <w:rPr>
          <w:rStyle w:val="20"/>
          <w:rFonts w:ascii="黑体" w:hAnsi="黑体" w:eastAsia="黑体"/>
        </w:rPr>
      </w:pPr>
      <w:bookmarkStart w:id="68" w:name="_Toc17391"/>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66"/>
      <w:bookmarkEnd w:id="67"/>
      <w:bookmarkEnd w:id="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w:t>
      </w:r>
    </w:p>
    <w:p>
      <w:pPr>
        <w:numPr>
          <w:ilvl w:val="0"/>
          <w:numId w:val="3"/>
        </w:numPr>
        <w:spacing w:line="600" w:lineRule="exact"/>
        <w:ind w:firstLine="640"/>
        <w:outlineLvl w:val="1"/>
        <w:rPr>
          <w:rStyle w:val="20"/>
          <w:rFonts w:ascii="黑体" w:hAnsi="黑体" w:eastAsia="黑体"/>
          <w:b w:val="0"/>
        </w:rPr>
      </w:pPr>
      <w:bookmarkStart w:id="69" w:name="_Toc15396611"/>
      <w:bookmarkStart w:id="70" w:name="_Toc15377219"/>
      <w:bookmarkStart w:id="71" w:name="_Toc21096"/>
      <w:r>
        <w:rPr>
          <w:rStyle w:val="20"/>
          <w:rFonts w:hint="eastAsia" w:ascii="黑体" w:hAnsi="黑体" w:eastAsia="黑体"/>
          <w:b w:val="0"/>
        </w:rPr>
        <w:t>国有资本经营预算支出决算情况说明</w:t>
      </w:r>
      <w:bookmarkEnd w:id="69"/>
      <w:bookmarkEnd w:id="70"/>
      <w:bookmarkEnd w:id="7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0"/>
          <w:rFonts w:ascii="黑体" w:hAnsi="黑体" w:eastAsia="黑体"/>
        </w:rPr>
      </w:pPr>
      <w:bookmarkStart w:id="72" w:name="_Toc15396612"/>
      <w:bookmarkStart w:id="73" w:name="_Toc15377221"/>
      <w:bookmarkStart w:id="74" w:name="_Toc8065"/>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72"/>
      <w:bookmarkEnd w:id="73"/>
      <w:bookmarkEnd w:id="74"/>
    </w:p>
    <w:p>
      <w:pPr>
        <w:spacing w:line="600" w:lineRule="exact"/>
        <w:ind w:firstLine="643" w:firstLineChars="200"/>
        <w:outlineLvl w:val="2"/>
        <w:rPr>
          <w:rFonts w:ascii="仿宋" w:hAnsi="仿宋" w:eastAsia="仿宋"/>
          <w:color w:val="000000"/>
          <w:sz w:val="32"/>
          <w:szCs w:val="32"/>
        </w:rPr>
      </w:pPr>
      <w:bookmarkStart w:id="75" w:name="_Toc15377222"/>
      <w:bookmarkStart w:id="76" w:name="_Toc12188"/>
      <w:r>
        <w:rPr>
          <w:rFonts w:hint="eastAsia" w:ascii="仿宋" w:hAnsi="仿宋" w:eastAsia="仿宋"/>
          <w:b/>
          <w:color w:val="000000"/>
          <w:sz w:val="32"/>
          <w:szCs w:val="32"/>
        </w:rPr>
        <w:t>（一）机关运行经费支出情况</w:t>
      </w:r>
      <w:bookmarkEnd w:id="75"/>
      <w:bookmarkEnd w:id="76"/>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杨柏镇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92.34</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无人员增减。</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15377223"/>
      <w:bookmarkStart w:id="78" w:name="_Toc13897"/>
      <w:r>
        <w:rPr>
          <w:rFonts w:hint="eastAsia" w:ascii="仿宋" w:hAnsi="仿宋" w:eastAsia="仿宋"/>
          <w:b/>
          <w:color w:val="000000"/>
          <w:sz w:val="32"/>
          <w:szCs w:val="32"/>
        </w:rPr>
        <w:t>（二）政府采购支出情况</w:t>
      </w:r>
      <w:bookmarkEnd w:id="77"/>
      <w:bookmarkEnd w:id="7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年，杨柏镇政府采购支出总额0万元，其中：政府采购货物支出0万元、政府采购工程支出0万元、政府采购服务支出0万元。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15377224"/>
      <w:bookmarkStart w:id="80" w:name="_Toc26037"/>
      <w:r>
        <w:rPr>
          <w:rFonts w:hint="eastAsia" w:ascii="仿宋" w:hAnsi="仿宋" w:eastAsia="仿宋"/>
          <w:b/>
          <w:color w:val="000000"/>
          <w:sz w:val="32"/>
          <w:szCs w:val="32"/>
        </w:rPr>
        <w:t>（三）国有资产占有使用情况</w:t>
      </w:r>
      <w:bookmarkEnd w:id="79"/>
      <w:bookmarkEnd w:id="8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日，杨柏镇共有车辆0辆，其中：部级领导干部用车0辆、一般公务用车0辆、一般执法执勤用车0辆、特种专业技术用车0辆、其他用车0辆；单价50万元以上通用设备0台（套），单价100万元以上专用设备0台（套）。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1" w:name="_Toc5066"/>
      <w:r>
        <w:rPr>
          <w:rFonts w:hint="eastAsia" w:ascii="仿宋" w:hAnsi="仿宋" w:eastAsia="仿宋"/>
          <w:b/>
          <w:color w:val="000000"/>
          <w:sz w:val="32"/>
          <w:szCs w:val="32"/>
        </w:rPr>
        <w:t>（四）预算绩效管理情况。</w:t>
      </w:r>
      <w:bookmarkEnd w:id="81"/>
    </w:p>
    <w:p>
      <w:pPr>
        <w:spacing w:line="580" w:lineRule="exact"/>
        <w:ind w:firstLine="640" w:firstLineChars="200"/>
        <w:rPr>
          <w:rFonts w:ascii="仿宋_GB2312" w:hAnsi="仿宋_GB2312" w:eastAsia="仿宋_GB2312" w:cs="仿宋_GB2312"/>
          <w:sz w:val="32"/>
          <w:szCs w:val="32"/>
        </w:rPr>
      </w:pPr>
      <w:bookmarkStart w:id="82" w:name="_Toc15377225"/>
      <w:bookmarkStart w:id="83" w:name="_Toc15396613"/>
      <w:r>
        <w:rPr>
          <w:rFonts w:hint="eastAsia" w:ascii="仿宋_GB2312" w:hAnsi="仿宋_GB2312" w:eastAsia="仿宋_GB2312" w:cs="仿宋_GB2312"/>
          <w:sz w:val="32"/>
          <w:szCs w:val="32"/>
        </w:rPr>
        <w:t>根据预算绩效管理要求，本部门在年初组织对新型冠状病毒感染肺炎疫情排查、宣传、消杀经费等项目开展了预算事前绩效评估，对</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杨柏镇人民政府2020年度所有项目支出严格按照相关制度流程严格实施，项目组织实施有序高效。项目实施前做好相关准备工作，实施中加强项目质量监督，实施后开展多方面综合验收，资金支付严格遵守政府财务制度和财经纪律。我镇2020年度整体支出绩效目标自评得分98分。在日常行政事业运行中，加强工资福利支出管理，确保及时足额兑现；加强政府机关管理，保障机关正常运转支出；保障村（社区）党委组织和村（居）民委员会正常运转支出。保障，农村危房改造、易地移民搬迁项目、交通建设、安全饮水项目有序推进，培育产业</w:t>
      </w:r>
      <w:r>
        <w:rPr>
          <w:rFonts w:hint="eastAsia" w:ascii="仿宋_GB2312" w:hAnsi="仿宋_GB2312" w:eastAsia="仿宋_GB2312" w:cs="仿宋_GB2312"/>
          <w:sz w:val="32"/>
          <w:szCs w:val="32"/>
          <w:lang w:eastAsia="zh-CN"/>
        </w:rPr>
        <w:t>等扶贫项目</w:t>
      </w:r>
      <w:r>
        <w:rPr>
          <w:rFonts w:hint="eastAsia" w:ascii="仿宋_GB2312" w:hAnsi="仿宋_GB2312" w:eastAsia="仿宋_GB2312" w:cs="仿宋_GB2312"/>
          <w:sz w:val="32"/>
          <w:szCs w:val="32"/>
        </w:rPr>
        <w:t>工作顺利有序推进</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年度部门决算中反映“新型冠状病毒感染肺炎疫情排查、宣传、消杀经费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公益性岗位补贴、就业创业补助资金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“生猪调出奖励资金”等18个项目绩效目标实际完成情况。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）新型冠状病毒感染肺炎疫情排查、宣传、消杀经费项目绩效目标完成情况综述。项目全年预算数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万元，完成预算的100%。通过项目实施，保障</w:t>
      </w:r>
      <w:r>
        <w:rPr>
          <w:rFonts w:hint="eastAsia" w:ascii="仿宋_GB2312" w:hAnsi="仿宋_GB2312" w:eastAsia="仿宋_GB2312" w:cs="仿宋_GB2312"/>
          <w:sz w:val="32"/>
          <w:szCs w:val="32"/>
          <w:lang w:eastAsia="zh-CN"/>
        </w:rPr>
        <w:t>杨柏</w:t>
      </w:r>
      <w:r>
        <w:rPr>
          <w:rFonts w:hint="eastAsia" w:ascii="仿宋_GB2312" w:hAnsi="仿宋_GB2312" w:eastAsia="仿宋_GB2312" w:cs="仿宋_GB2312"/>
          <w:sz w:val="32"/>
          <w:szCs w:val="32"/>
        </w:rPr>
        <w:t>镇经济、社会各项事业稳定发展，保障了群众身心健康。发现的主要问题：</w:t>
      </w:r>
      <w:r>
        <w:rPr>
          <w:rFonts w:hint="eastAsia" w:ascii="仿宋_GB2312" w:hAnsi="仿宋_GB2312" w:eastAsia="仿宋_GB2312" w:cs="仿宋_GB2312"/>
          <w:sz w:val="32"/>
          <w:szCs w:val="32"/>
          <w:lang w:eastAsia="zh-CN"/>
        </w:rPr>
        <w:t>防控所需资金缺口大</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）居家观察人员经费项目绩效目标完成情况综述。项目全年预算数</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万元，100%完成预算的。通过实施</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项目，保障杨柏镇经济、社会各项事业稳定发展，保障了群众身心健康。防控所需资金缺口大。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）公益性岗位补贴、就业创业补助资金项目绩效目标完成情况综述。项目全年预算数</w:t>
      </w:r>
      <w:r>
        <w:rPr>
          <w:rFonts w:hint="eastAsia" w:ascii="仿宋_GB2312" w:hAnsi="仿宋_GB2312" w:eastAsia="仿宋_GB2312" w:cs="仿宋_GB2312"/>
          <w:sz w:val="32"/>
          <w:szCs w:val="32"/>
          <w:lang w:val="en-US" w:eastAsia="zh-CN"/>
        </w:rPr>
        <w:t>42.66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42.66</w:t>
      </w:r>
      <w:r>
        <w:rPr>
          <w:rFonts w:hint="eastAsia" w:ascii="仿宋_GB2312" w:hAnsi="仿宋_GB2312" w:eastAsia="仿宋_GB2312" w:cs="仿宋_GB2312"/>
          <w:sz w:val="32"/>
          <w:szCs w:val="32"/>
        </w:rPr>
        <w:t>万元，100%完成预算的。通过实施</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项目，根据县级部门的相关要求，我镇就业创业补助补助资金全面落实到位，项目进度执行率达100%。年度资金拨付率达100%。补助就业岗位</w:t>
      </w:r>
      <w:r>
        <w:rPr>
          <w:rFonts w:hint="eastAsia" w:ascii="仿宋_GB2312" w:hAnsi="仿宋_GB2312" w:eastAsia="仿宋_GB2312" w:cs="仿宋_GB2312"/>
          <w:sz w:val="32"/>
          <w:szCs w:val="32"/>
          <w:lang w:val="en-US" w:eastAsia="zh-CN"/>
        </w:rPr>
        <w:t>118.5</w:t>
      </w:r>
      <w:r>
        <w:rPr>
          <w:rFonts w:hint="eastAsia" w:ascii="仿宋_GB2312" w:hAnsi="仿宋_GB2312" w:eastAsia="仿宋_GB2312" w:cs="仿宋_GB2312"/>
          <w:sz w:val="32"/>
          <w:szCs w:val="32"/>
        </w:rPr>
        <w:t>个。发现的主要问题：大部分农户外出务工，导致就业创业补助项目覆盖面较小。就业创业补助力度较小。下一步改进措施：进一步拓宽渠道，加强地域合作，全方位支持就业创业，促进社会稳定发展。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）基层组织活动和公共服务运行等经费项目绩效目标完成情况综述。项目全年预算数</w:t>
      </w:r>
      <w:r>
        <w:rPr>
          <w:rFonts w:hint="eastAsia" w:ascii="仿宋_GB2312" w:hAnsi="仿宋_GB2312" w:eastAsia="仿宋_GB2312" w:cs="仿宋_GB2312"/>
          <w:sz w:val="32"/>
          <w:szCs w:val="32"/>
          <w:lang w:val="en-US" w:eastAsia="zh-CN"/>
        </w:rPr>
        <w:t>49.56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49.56</w:t>
      </w:r>
      <w:r>
        <w:rPr>
          <w:rFonts w:hint="eastAsia" w:ascii="仿宋_GB2312" w:hAnsi="仿宋_GB2312" w:eastAsia="仿宋_GB2312" w:cs="仿宋_GB2312"/>
          <w:sz w:val="32"/>
          <w:szCs w:val="32"/>
        </w:rPr>
        <w:t>万元，完成预算的100%。通过项目实施，完成情况基本符合原设定目标。涵盖</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个社区，共计</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名村社干部。实际完成进度符合预定进度计划。按时支付村级运行经费及生活补助。对村民委员会和村党支部的补助的安排促进了</w:t>
      </w:r>
      <w:r>
        <w:rPr>
          <w:rFonts w:hint="eastAsia" w:ascii="仿宋_GB2312" w:hAnsi="仿宋_GB2312" w:eastAsia="仿宋_GB2312" w:cs="仿宋_GB2312"/>
          <w:sz w:val="32"/>
          <w:szCs w:val="32"/>
          <w:lang w:eastAsia="zh-CN"/>
        </w:rPr>
        <w:t>杨柏</w:t>
      </w:r>
      <w:r>
        <w:rPr>
          <w:rFonts w:hint="eastAsia" w:ascii="仿宋_GB2312" w:hAnsi="仿宋_GB2312" w:eastAsia="仿宋_GB2312" w:cs="仿宋_GB2312"/>
          <w:sz w:val="32"/>
          <w:szCs w:val="32"/>
        </w:rPr>
        <w:t>镇村级经济、社会各项事业发展，提升了村社干部收入，对后续乡村振兴起到了积极的影响。发现的主要问题： 村社干部整体文化水平较低，素质不高，存在个别村社干部补贴未能</w:t>
      </w:r>
      <w:r>
        <w:rPr>
          <w:rFonts w:hint="eastAsia" w:ascii="仿宋_GB2312" w:hAnsi="仿宋_GB2312" w:eastAsia="仿宋_GB2312" w:cs="仿宋_GB2312"/>
          <w:sz w:val="32"/>
          <w:szCs w:val="32"/>
          <w:lang w:eastAsia="zh-CN"/>
        </w:rPr>
        <w:t>及时打</w:t>
      </w:r>
      <w:r>
        <w:rPr>
          <w:rFonts w:hint="eastAsia" w:ascii="仿宋_GB2312" w:hAnsi="仿宋_GB2312" w:eastAsia="仿宋_GB2312" w:cs="仿宋_GB2312"/>
          <w:sz w:val="32"/>
          <w:szCs w:val="32"/>
        </w:rPr>
        <w:t>到卡上。下一步改进措施：给予村社干部指导与培训，提升自身文化素质，加强村级基层组织建设。</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）生猪调出大县奖励资金项目绩效目标完成情况综述。项目全年预算数</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万元，完成预算的100%。通过项目实施，保障</w:t>
      </w:r>
      <w:r>
        <w:rPr>
          <w:rFonts w:hint="eastAsia" w:ascii="仿宋_GB2312" w:hAnsi="仿宋_GB2312" w:eastAsia="仿宋_GB2312" w:cs="仿宋_GB2312"/>
          <w:sz w:val="32"/>
          <w:szCs w:val="32"/>
          <w:lang w:eastAsia="zh-CN"/>
        </w:rPr>
        <w:t>村社相关</w:t>
      </w:r>
      <w:r>
        <w:rPr>
          <w:rFonts w:hint="eastAsia" w:ascii="仿宋_GB2312" w:hAnsi="仿宋_GB2312" w:eastAsia="仿宋_GB2312" w:cs="仿宋_GB2312"/>
          <w:sz w:val="32"/>
          <w:szCs w:val="32"/>
        </w:rPr>
        <w:t>居民</w:t>
      </w:r>
      <w:r>
        <w:rPr>
          <w:rFonts w:hint="eastAsia" w:ascii="仿宋_GB2312" w:hAnsi="仿宋_GB2312" w:eastAsia="仿宋_GB2312" w:cs="仿宋_GB2312"/>
          <w:sz w:val="32"/>
          <w:szCs w:val="32"/>
          <w:lang w:eastAsia="zh-CN"/>
        </w:rPr>
        <w:t>减小损失，保障积极性</w:t>
      </w:r>
      <w:r>
        <w:rPr>
          <w:rFonts w:hint="eastAsia" w:ascii="仿宋_GB2312" w:hAnsi="仿宋_GB2312" w:eastAsia="仿宋_GB2312" w:cs="仿宋_GB2312"/>
          <w:sz w:val="32"/>
          <w:szCs w:val="32"/>
        </w:rPr>
        <w:t>。发现的主要问题：项目资金使用不够及时，资金补贴力度较小。下一步改进措施：</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项目管理制度，制定项目用款计划、预期绩效目标，并对项目绩效实施实时监控，有效防止专项资金挤占、挪用现象发生。</w:t>
      </w:r>
    </w:p>
    <w:tbl>
      <w:tblPr>
        <w:tblStyle w:val="13"/>
        <w:tblW w:w="843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0"/>
        <w:gridCol w:w="578"/>
        <w:gridCol w:w="595"/>
        <w:gridCol w:w="1421"/>
        <w:gridCol w:w="1420"/>
        <w:gridCol w:w="398"/>
        <w:gridCol w:w="826"/>
        <w:gridCol w:w="826"/>
        <w:gridCol w:w="414"/>
        <w:gridCol w:w="632"/>
        <w:gridCol w:w="549"/>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899"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c>
          <w:tcPr>
            <w:tcW w:w="532"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899" w:type="dxa"/>
            <w:gridSpan w:val="11"/>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c>
          <w:tcPr>
            <w:tcW w:w="532" w:type="dxa"/>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4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323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新型冠状病毒感染肺炎疫情排查、宣传、消杀经费</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4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323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4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441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24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41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有效应对可能出现的新型冠状病毒感染的肺炎疫情</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强化对疫情的防控</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324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有效应对可能出现的新型冠状病毒感染的肺炎疫情</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强化对疫情的防控</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(50分)</w:t>
            </w: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产业发展项目涉及村（居）个数</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宣传培训合格率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宣传普及率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排查人数达标率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4万元</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30分</w:t>
            </w:r>
            <w:r>
              <w:rPr>
                <w:rFonts w:hint="eastAsia" w:ascii="宋体" w:hAnsi="宋体" w:cs="宋体"/>
                <w:i w:val="0"/>
                <w:color w:val="000000"/>
                <w:kern w:val="0"/>
                <w:sz w:val="20"/>
                <w:szCs w:val="20"/>
                <w:u w:val="none"/>
                <w:lang w:val="en-US" w:eastAsia="zh-CN"/>
              </w:rPr>
              <w:t>）</w:t>
            </w: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促进公共卫生事业发展贡献度</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0.35</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提升公共卫生服务水平</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提升公民卫生健康素养程度</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10分</w:t>
            </w:r>
            <w:r>
              <w:rPr>
                <w:rFonts w:hint="eastAsia" w:ascii="宋体" w:hAnsi="宋体" w:cs="宋体"/>
                <w:i w:val="0"/>
                <w:color w:val="000000"/>
                <w:kern w:val="0"/>
                <w:sz w:val="20"/>
                <w:szCs w:val="20"/>
                <w:u w:val="none"/>
                <w:lang w:val="en-US" w:eastAsia="zh-CN"/>
              </w:rPr>
              <w:t>）</w:t>
            </w: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群众对公共卫生服务满意度</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25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98</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3"/>
        <w:tblW w:w="98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0"/>
        <w:gridCol w:w="112"/>
        <w:gridCol w:w="23"/>
        <w:gridCol w:w="36"/>
        <w:gridCol w:w="243"/>
        <w:gridCol w:w="183"/>
        <w:gridCol w:w="55"/>
        <w:gridCol w:w="86"/>
        <w:gridCol w:w="150"/>
        <w:gridCol w:w="363"/>
        <w:gridCol w:w="100"/>
        <w:gridCol w:w="153"/>
        <w:gridCol w:w="519"/>
        <w:gridCol w:w="816"/>
        <w:gridCol w:w="30"/>
        <w:gridCol w:w="173"/>
        <w:gridCol w:w="116"/>
        <w:gridCol w:w="137"/>
        <w:gridCol w:w="65"/>
        <w:gridCol w:w="114"/>
        <w:gridCol w:w="453"/>
        <w:gridCol w:w="205"/>
        <w:gridCol w:w="293"/>
        <w:gridCol w:w="65"/>
        <w:gridCol w:w="244"/>
        <w:gridCol w:w="57"/>
        <w:gridCol w:w="24"/>
        <w:gridCol w:w="305"/>
        <w:gridCol w:w="29"/>
        <w:gridCol w:w="66"/>
        <w:gridCol w:w="403"/>
        <w:gridCol w:w="53"/>
        <w:gridCol w:w="21"/>
        <w:gridCol w:w="362"/>
        <w:gridCol w:w="30"/>
        <w:gridCol w:w="398"/>
        <w:gridCol w:w="87"/>
        <w:gridCol w:w="128"/>
        <w:gridCol w:w="322"/>
        <w:gridCol w:w="14"/>
        <w:gridCol w:w="481"/>
        <w:gridCol w:w="199"/>
        <w:gridCol w:w="479"/>
        <w:gridCol w:w="47"/>
        <w:gridCol w:w="26"/>
        <w:gridCol w:w="484"/>
        <w:gridCol w:w="310"/>
        <w:gridCol w:w="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91" w:hRule="atLeast"/>
        </w:trPr>
        <w:tc>
          <w:tcPr>
            <w:tcW w:w="6294" w:type="dxa"/>
            <w:gridSpan w:val="34"/>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c>
          <w:tcPr>
            <w:tcW w:w="428"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484" w:hRule="atLeast"/>
        </w:trPr>
        <w:tc>
          <w:tcPr>
            <w:tcW w:w="6294" w:type="dxa"/>
            <w:gridSpan w:val="34"/>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c>
          <w:tcPr>
            <w:tcW w:w="428" w:type="dxa"/>
            <w:gridSpan w:val="2"/>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112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24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居家观察经费</w:t>
            </w:r>
          </w:p>
        </w:tc>
        <w:tc>
          <w:tcPr>
            <w:tcW w:w="83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1922"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112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24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83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1922"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1342" w:hRule="atLeast"/>
        </w:trPr>
        <w:tc>
          <w:tcPr>
            <w:tcW w:w="1128"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w:t>
            </w: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1128"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1128"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1128"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3295"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275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1614"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95"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有效应对可能出现的新型冠状病毒感染的肺炎疫情</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强化对疫情的防控</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275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4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47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5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居家观察涉及村（居）个数</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观察合格率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宣传普及率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居家人数达标率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5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0.9万元</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0.9万元</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50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562"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促进公共卫生事业发展贡献度</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r>
              <w:rPr>
                <w:rStyle w:val="38"/>
                <w:lang w:val="en-US" w:eastAsia="zh-CN"/>
              </w:rPr>
              <w:t>30%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0.35</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提升公共卫生服务水平</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w:t>
            </w:r>
            <w:r>
              <w:rPr>
                <w:rStyle w:val="38"/>
                <w:lang w:val="en-US" w:eastAsia="zh-CN"/>
              </w:rPr>
              <w:t>%</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5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提升公民卫生健康素养程度</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26"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(10分)</w:t>
            </w: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227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群众对公共卫生服务满意度</w:t>
            </w:r>
          </w:p>
        </w:tc>
        <w:tc>
          <w:tcPr>
            <w:tcW w:w="3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90%</w:t>
            </w:r>
          </w:p>
        </w:tc>
        <w:tc>
          <w:tcPr>
            <w:tcW w:w="65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1299"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27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1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474" w:hRule="atLeast"/>
        </w:trPr>
        <w:tc>
          <w:tcPr>
            <w:tcW w:w="3398"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3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31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98</w:t>
            </w:r>
          </w:p>
        </w:tc>
        <w:tc>
          <w:tcPr>
            <w:tcW w:w="93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8432" w:type="dxa"/>
            <w:gridSpan w:val="4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484" w:hRule="atLeast"/>
        </w:trPr>
        <w:tc>
          <w:tcPr>
            <w:tcW w:w="8432" w:type="dxa"/>
            <w:gridSpan w:val="43"/>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149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3564"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公益性岗位补贴，就业创业补贴资金</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50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3564"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50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1491" w:type="dxa"/>
            <w:gridSpan w:val="10"/>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执行率B/A</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4703" w:type="dxa"/>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377"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1186"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03" w:type="dxa"/>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按照政策要求予以按时兑现，下发到相关农户</w:t>
            </w:r>
          </w:p>
        </w:tc>
        <w:tc>
          <w:tcPr>
            <w:tcW w:w="3377"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按照政策要求予以按时兑现，下发到相关农户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35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4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6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62"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公益性岗位补贴，就业创业补贴资金涉及村（居）个数</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114</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114</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公益性岗位补贴，就业创业补贴普及率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宣传普及率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受益人数覆盖率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505"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公益事业提高改善带动人居水平提高（≥**人）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462"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解决贫困人口收入问题（≥人）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56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65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促进受益群众收入持续稳定增收（≥**元/人）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（10分）</w:t>
            </w: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群众对公益服务满意度</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1186"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484" w:hRule="atLeast"/>
        </w:trPr>
        <w:tc>
          <w:tcPr>
            <w:tcW w:w="4665" w:type="dxa"/>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97.5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8989" w:type="dxa"/>
            <w:gridSpan w:val="4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446" w:hRule="atLeast"/>
        </w:trPr>
        <w:tc>
          <w:tcPr>
            <w:tcW w:w="8989" w:type="dxa"/>
            <w:gridSpan w:val="46"/>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1591"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3798"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基层组织活动和公共服务运行等经费</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665"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3798"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665"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1591" w:type="dxa"/>
            <w:gridSpan w:val="11"/>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w:t>
            </w: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5014" w:type="dxa"/>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600"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7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014" w:type="dxa"/>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确保村级公共服务业务正常运转，同时壮大村集体经济</w:t>
            </w:r>
          </w:p>
        </w:tc>
        <w:tc>
          <w:tcPr>
            <w:tcW w:w="3600"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确保村级公共服务业务正常运转，同时壮大村集体经济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3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5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69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基层组织活动和公共服务运行等经费涉及村（居）个数</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基层组织活动和公共服务运行等经费覆盖率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群众配合率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受益人数覆盖率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49.56万元</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49.56万元</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456"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基层组织提高改善带动人居水平提高</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解决贫困人口收入问题（≥人）</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04"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促进社会和谐和发展</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（10分）</w:t>
            </w: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受益村民社会满意度</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34"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436" w:hRule="atLeast"/>
        </w:trPr>
        <w:tc>
          <w:tcPr>
            <w:tcW w:w="4974" w:type="dxa"/>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96</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9860" w:type="dxa"/>
            <w:gridSpan w:val="4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860" w:type="dxa"/>
            <w:gridSpan w:val="48"/>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74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4167"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生猪调出奖励资金</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923"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4167"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923"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执行率（B/A)</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12.4</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12.4</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12.4</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5500" w:type="dxa"/>
            <w:gridSpan w:val="2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94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00" w:type="dxa"/>
            <w:gridSpan w:val="2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落实集体产业补助，增加贫困户收入，提升贫困户种养殖业能力</w:t>
            </w:r>
          </w:p>
        </w:tc>
        <w:tc>
          <w:tcPr>
            <w:tcW w:w="394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落实集体产业补助，增加贫困户收入，提升贫困户种养殖业能力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41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产业发展项目涉及村（居）个数</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技术培训合格率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种植作物成活率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养殖作物成活率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手续未及时完善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生产条件改善带动农业亩均产量（≥**斤）</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解决贫困人口收入问题（≥人）</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促进受益群众收入持续稳定增收（≥**元/人）</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（10分）</w:t>
            </w: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贫困户满意度（≥**%）</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非贫困户满意度（≥**%）</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55" w:type="dxa"/>
            <w:gridSpan w:val="3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99</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通江县杨柏镇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本部门自行组织对新型冠状病毒感染肺炎疫情排查、宣传、消杀经费项目、居家观察人员经费项目</w:t>
      </w:r>
      <w:r>
        <w:rPr>
          <w:rFonts w:hint="eastAsia" w:ascii="仿宋_GB2312" w:hAnsi="仿宋_GB2312" w:eastAsia="仿宋_GB2312" w:cs="仿宋_GB2312"/>
          <w:sz w:val="32"/>
          <w:szCs w:val="32"/>
          <w:lang w:eastAsia="zh-CN"/>
        </w:rPr>
        <w:t>、公益性岗位补贴、就业创业补助资金项目、基层组织活动和公共服务运行等经费项目、生猪调出奖励资金项目开展了绩效评价，《通江县杨柏镇项目2020年绩效评价报告</w:t>
      </w:r>
      <w:r>
        <w:rPr>
          <w:rFonts w:hint="eastAsia" w:ascii="仿宋_GB2312" w:hAnsi="仿宋_GB2312" w:eastAsia="仿宋_GB2312" w:cs="仿宋_GB2312"/>
          <w:sz w:val="32"/>
          <w:szCs w:val="32"/>
        </w:rPr>
        <w:t>》见附件（附件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numPr>
          <w:ilvl w:val="0"/>
          <w:numId w:val="4"/>
        </w:numPr>
        <w:spacing w:line="600" w:lineRule="exact"/>
        <w:ind w:firstLine="315" w:firstLineChars="150"/>
        <w:jc w:val="center"/>
        <w:outlineLvl w:val="0"/>
        <w:rPr>
          <w:rStyle w:val="19"/>
          <w:rFonts w:ascii="黑体" w:hAnsi="黑体" w:eastAsia="黑体"/>
          <w:b w:val="0"/>
        </w:rPr>
      </w:pPr>
      <w:r>
        <w:br w:type="page"/>
      </w:r>
      <w:bookmarkStart w:id="84" w:name="_Toc109"/>
      <w:r>
        <w:rPr>
          <w:rFonts w:hint="eastAsia" w:ascii="黑体" w:hAnsi="黑体" w:eastAsia="黑体"/>
          <w:color w:val="000000"/>
          <w:sz w:val="44"/>
          <w:szCs w:val="44"/>
        </w:rPr>
        <w:t>名</w:t>
      </w:r>
      <w:r>
        <w:rPr>
          <w:rStyle w:val="19"/>
          <w:rFonts w:hint="eastAsia" w:ascii="黑体" w:hAnsi="黑体" w:eastAsia="黑体"/>
          <w:b w:val="0"/>
        </w:rPr>
        <w:t>词解释</w:t>
      </w:r>
      <w:bookmarkEnd w:id="82"/>
      <w:bookmarkEnd w:id="83"/>
      <w:bookmarkEnd w:id="84"/>
    </w:p>
    <w:p>
      <w:pPr>
        <w:spacing w:line="600" w:lineRule="exact"/>
        <w:jc w:val="left"/>
        <w:rPr>
          <w:rFonts w:ascii="宋体"/>
          <w:b/>
          <w:color w:val="000000"/>
          <w:sz w:val="44"/>
          <w:szCs w:val="44"/>
        </w:rPr>
      </w:pP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4.其他收入：指单位取得的除上述收入以外的各项收入。 </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6.年初结转和结余：指以前年度尚未完成、结转到本年按有关规定继续使用的资金。 </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人大事务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政府办公厅（室）及相关机构事务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政府办公厅（室）及相关机构事务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信访事务</w:t>
      </w:r>
      <w:r>
        <w:rPr>
          <w:rFonts w:hint="eastAsia" w:ascii="仿宋_GB2312" w:eastAsia="仿宋_GB2312"/>
          <w:color w:val="000000"/>
          <w:sz w:val="32"/>
          <w:szCs w:val="32"/>
        </w:rPr>
        <w:t>（项）：</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财政事务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13 </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般公共服务支出</w:t>
      </w:r>
      <w:r>
        <w:rPr>
          <w:rFonts w:hint="eastAsia" w:ascii="仿宋_GB2312" w:hAnsi="仿宋_GB2312" w:eastAsia="仿宋_GB2312" w:cs="仿宋_GB2312"/>
          <w:sz w:val="32"/>
          <w:szCs w:val="32"/>
          <w:lang w:eastAsia="zh-CN"/>
        </w:rPr>
        <w:t>（款））行政</w:t>
      </w:r>
      <w:r>
        <w:rPr>
          <w:rFonts w:hint="eastAsia" w:ascii="仿宋_GB2312" w:hAnsi="仿宋_GB2312" w:eastAsia="仿宋_GB2312" w:cs="仿宋_GB2312"/>
          <w:sz w:val="32"/>
          <w:szCs w:val="32"/>
        </w:rPr>
        <w:t>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:反映行政单位</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群众文化</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：反映群</w:t>
      </w:r>
      <w:r>
        <w:rPr>
          <w:rFonts w:hint="eastAsia" w:ascii="仿宋_GB2312" w:hAnsi="仿宋_GB2312" w:eastAsia="仿宋_GB2312" w:cs="仿宋_GB2312"/>
          <w:sz w:val="32"/>
          <w:szCs w:val="32"/>
        </w:rPr>
        <w:t>众文化方面的支出 ,</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基层文化馆、 群众艺术馆支出等</w:t>
      </w:r>
      <w:r>
        <w:rPr>
          <w:rFonts w:hint="eastAsia" w:ascii="仿宋_GB2312" w:hAnsi="仿宋_GB2312" w:eastAsia="仿宋_GB2312" w:cs="仿宋_GB2312"/>
          <w:sz w:val="32"/>
          <w:szCs w:val="32"/>
          <w:lang w:eastAsia="zh-CN"/>
        </w:rPr>
        <w:t>。</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其他文化支出</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反映除上述项目以外其他用于文化方面的支出。</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人力资源和社会保障管理事务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社会保险经</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机构</w:t>
      </w:r>
      <w:r>
        <w:rPr>
          <w:rFonts w:hint="eastAsia" w:ascii="仿宋_GB2312" w:eastAsia="仿宋_GB2312"/>
          <w:color w:val="000000"/>
          <w:sz w:val="32"/>
          <w:szCs w:val="32"/>
        </w:rPr>
        <w:t>（项）</w:t>
      </w:r>
      <w:r>
        <w:rPr>
          <w:rFonts w:hint="eastAsia" w:ascii="仿宋_GB2312" w:hAnsi="仿宋_GB2312" w:eastAsia="仿宋_GB2312" w:cs="仿宋_GB2312"/>
          <w:sz w:val="32"/>
          <w:szCs w:val="32"/>
        </w:rPr>
        <w:t> :反映社会保险经办机构开展业务工作的支出。</w:t>
      </w:r>
    </w:p>
    <w:p>
      <w:pPr>
        <w:numPr>
          <w:ilvl w:val="0"/>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行政事业单位</w:t>
      </w:r>
      <w:r>
        <w:rPr>
          <w:rFonts w:hint="eastAsia" w:ascii="仿宋_GB2312" w:hAnsi="仿宋_GB2312" w:eastAsia="仿宋_GB2312" w:cs="仿宋_GB2312"/>
          <w:sz w:val="32"/>
          <w:szCs w:val="32"/>
          <w:lang w:eastAsia="zh-CN"/>
        </w:rPr>
        <w:t>离退休</w:t>
      </w:r>
      <w:r>
        <w:rPr>
          <w:rFonts w:hint="eastAsia" w:ascii="仿宋_GB2312" w:eastAsia="仿宋_GB2312"/>
          <w:color w:val="000000"/>
          <w:sz w:val="32"/>
          <w:szCs w:val="32"/>
        </w:rPr>
        <w:t>（款）</w:t>
      </w:r>
      <w:r>
        <w:rPr>
          <w:rFonts w:hint="eastAsia" w:ascii="仿宋_GB2312" w:hAnsi="仿宋_GB2312" w:eastAsia="仿宋_GB2312" w:cs="仿宋_GB2312"/>
          <w:sz w:val="32"/>
          <w:szCs w:val="32"/>
        </w:rPr>
        <w:t>机关事业</w:t>
      </w: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位基本养老保险</w:t>
      </w:r>
      <w:r>
        <w:rPr>
          <w:rFonts w:hint="eastAsia" w:ascii="仿宋_GB2312" w:hAnsi="仿宋_GB2312" w:eastAsia="仿宋_GB2312" w:cs="仿宋_GB2312"/>
          <w:sz w:val="32"/>
          <w:szCs w:val="32"/>
          <w:lang w:eastAsia="zh-CN"/>
        </w:rPr>
        <w:t>缴</w:t>
      </w:r>
      <w:r>
        <w:rPr>
          <w:rFonts w:hint="eastAsia" w:ascii="仿宋_GB2312" w:hAnsi="仿宋_GB2312" w:eastAsia="仿宋_GB2312" w:cs="仿宋_GB2312"/>
          <w:sz w:val="32"/>
          <w:szCs w:val="32"/>
        </w:rPr>
        <w:t>费支出</w:t>
      </w:r>
      <w:r>
        <w:rPr>
          <w:rFonts w:hint="eastAsia" w:ascii="仿宋_GB2312" w:eastAsia="仿宋_GB2312"/>
          <w:color w:val="000000"/>
          <w:sz w:val="32"/>
          <w:szCs w:val="32"/>
        </w:rPr>
        <w:t>（项）</w:t>
      </w:r>
      <w:r>
        <w:rPr>
          <w:rFonts w:hint="eastAsia" w:ascii="仿宋_GB2312" w:hAnsi="仿宋_GB2312" w:eastAsia="仿宋_GB2312" w:cs="仿宋_GB2312"/>
          <w:sz w:val="32"/>
          <w:szCs w:val="32"/>
        </w:rPr>
        <w:t> :反映机关事业单位基本养老保险缴费支出。</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18.医疗卫生与计划生育支出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食品和药品监合督管理事务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事业运行</w:t>
      </w:r>
      <w:r>
        <w:rPr>
          <w:rFonts w:hint="eastAsia" w:ascii="仿宋_GB2312" w:eastAsia="仿宋_GB2312"/>
          <w:color w:val="000000"/>
          <w:sz w:val="32"/>
          <w:szCs w:val="32"/>
        </w:rPr>
        <w:t>（项）</w:t>
      </w:r>
      <w:r>
        <w:rPr>
          <w:rFonts w:hint="eastAsia" w:ascii="仿宋_GB2312" w:hAnsi="仿宋_GB2312" w:eastAsia="仿宋_GB2312" w:cs="仿宋_GB2312"/>
          <w:sz w:val="32"/>
          <w:szCs w:val="32"/>
        </w:rPr>
        <w:t> :反映事业单位的基本支出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不包括行政单位</w:t>
      </w:r>
      <w:r>
        <w:rPr>
          <w:rFonts w:hint="eastAsia" w:ascii="仿宋_GB2312" w:hAnsi="仿宋_GB2312" w:eastAsia="仿宋_GB2312" w:cs="仿宋_GB2312"/>
          <w:sz w:val="32"/>
          <w:szCs w:val="32"/>
          <w:lang w:eastAsia="zh-CN"/>
        </w:rPr>
        <w:t>。</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.节能</w:t>
      </w:r>
      <w:r>
        <w:rPr>
          <w:rFonts w:hint="eastAsia" w:ascii="仿宋_GB2312" w:hAnsi="仿宋_GB2312" w:eastAsia="仿宋_GB2312" w:cs="仿宋_GB2312"/>
          <w:sz w:val="32"/>
          <w:szCs w:val="32"/>
        </w:rPr>
        <w:t>环保支出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退</w:t>
      </w:r>
      <w:r>
        <w:rPr>
          <w:rFonts w:hint="eastAsia" w:ascii="仿宋_GB2312" w:hAnsi="仿宋_GB2312" w:eastAsia="仿宋_GB2312" w:cs="仿宋_GB2312"/>
          <w:sz w:val="32"/>
          <w:szCs w:val="32"/>
          <w:lang w:eastAsia="zh-CN"/>
        </w:rPr>
        <w:t>耕</w:t>
      </w:r>
      <w:r>
        <w:rPr>
          <w:rFonts w:hint="eastAsia" w:ascii="仿宋_GB2312" w:hAnsi="仿宋_GB2312" w:eastAsia="仿宋_GB2312" w:cs="仿宋_GB2312"/>
          <w:sz w:val="32"/>
          <w:szCs w:val="32"/>
        </w:rPr>
        <w:t>还林</w:t>
      </w:r>
      <w:r>
        <w:rPr>
          <w:rFonts w:hint="eastAsia" w:ascii="仿宋_GB2312" w:eastAsia="仿宋_GB2312"/>
          <w:color w:val="000000"/>
          <w:sz w:val="32"/>
          <w:szCs w:val="32"/>
        </w:rPr>
        <w:t>（款）</w:t>
      </w:r>
      <w:r>
        <w:rPr>
          <w:rFonts w:hint="eastAsia" w:ascii="仿宋_GB2312" w:hAnsi="仿宋_GB2312" w:eastAsia="仿宋_GB2312" w:cs="仿宋_GB2312"/>
          <w:sz w:val="32"/>
          <w:szCs w:val="32"/>
          <w:lang w:eastAsia="zh-CN"/>
        </w:rPr>
        <w:t>退耕现金</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：反映专项用于退耕户的医疗，教育等日常生活需要的支出。</w:t>
      </w:r>
    </w:p>
    <w:p>
      <w:pPr>
        <w:pStyle w:val="39"/>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林水支出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农业</w:t>
      </w:r>
      <w:r>
        <w:rPr>
          <w:rFonts w:hint="eastAsia" w:ascii="仿宋_GB2312" w:eastAsia="仿宋_GB2312"/>
          <w:color w:val="000000"/>
          <w:sz w:val="32"/>
          <w:szCs w:val="32"/>
        </w:rPr>
        <w:t>（款）</w:t>
      </w:r>
      <w:r>
        <w:rPr>
          <w:rFonts w:hint="eastAsia" w:ascii="仿宋_GB2312" w:hAnsi="仿宋_GB2312" w:eastAsia="仿宋_GB2312" w:cs="仿宋_GB2312"/>
          <w:sz w:val="32"/>
          <w:szCs w:val="32"/>
        </w:rPr>
        <w:t>事业运行</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w:t>
      </w:r>
      <w:r>
        <w:rPr>
          <w:rFonts w:hint="eastAsia" w:ascii="仿宋_GB2312" w:hAnsi="仿宋_GB2312" w:eastAsia="仿宋_GB2312" w:cs="仿宋_GB2312"/>
          <w:sz w:val="32"/>
          <w:szCs w:val="32"/>
          <w:lang w:eastAsia="zh-CN"/>
        </w:rPr>
        <w:t>映</w:t>
      </w:r>
      <w:r>
        <w:rPr>
          <w:rFonts w:hint="eastAsia" w:ascii="仿宋_GB2312" w:hAnsi="仿宋_GB2312" w:eastAsia="仿宋_GB2312" w:cs="仿宋_GB2312"/>
          <w:sz w:val="32"/>
          <w:szCs w:val="32"/>
        </w:rPr>
        <w:t>用于农业事业</w:t>
      </w:r>
      <w:r>
        <w:rPr>
          <w:rFonts w:hint="eastAsia" w:ascii="仿宋_GB2312" w:hAnsi="仿宋_GB2312" w:eastAsia="仿宋_GB2312" w:cs="仿宋_GB2312"/>
          <w:sz w:val="32"/>
          <w:szCs w:val="32"/>
          <w:lang w:eastAsia="zh-CN"/>
        </w:rPr>
        <w:t>单位基本</w:t>
      </w:r>
      <w:r>
        <w:rPr>
          <w:rFonts w:hint="eastAsia" w:ascii="仿宋_GB2312" w:hAnsi="仿宋_GB2312" w:eastAsia="仿宋_GB2312" w:cs="仿宋_GB2312"/>
          <w:sz w:val="32"/>
          <w:szCs w:val="32"/>
        </w:rPr>
        <w:t>支出，事业单位设施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系统运行与资产维护</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方面的支出。</w:t>
      </w:r>
    </w:p>
    <w:p>
      <w:pPr>
        <w:pStyle w:val="39"/>
        <w:spacing w:line="560" w:lineRule="exact"/>
        <w:ind w:firstLine="640" w:firstLineChars="200"/>
        <w:rPr>
          <w:rFonts w:hint="eastAsia" w:ascii="仿宋_GB2312" w:hAnsi="仿宋_GB2312" w:eastAsia="仿宋_GB2312" w:cs="仿宋_GB2312"/>
          <w:sz w:val="32"/>
          <w:szCs w:val="32"/>
          <w:lang w:eastAsia="zh-CN"/>
        </w:rPr>
      </w:pPr>
    </w:p>
    <w:p>
      <w:pPr>
        <w:ind w:firstLine="420" w:firstLineChars="200"/>
        <w:rPr>
          <w:rFonts w:ascii="仿宋_GB2312" w:eastAsia="仿宋_GB2312"/>
          <w:color w:val="000000"/>
          <w:sz w:val="32"/>
          <w:szCs w:val="32"/>
        </w:rPr>
      </w:pPr>
      <w:r>
        <w:br w:type="page"/>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9"/>
        <w:spacing w:line="560" w:lineRule="exact"/>
        <w:ind w:firstLine="640" w:firstLineChars="200"/>
        <w:rPr>
          <w:rFonts w:hint="eastAsia" w:ascii="仿宋_GB2312" w:eastAsia="仿宋_GB2312"/>
          <w:sz w:val="32"/>
          <w:szCs w:val="32"/>
        </w:rPr>
      </w:pPr>
    </w:p>
    <w:p>
      <w:pPr>
        <w:pStyle w:val="39"/>
        <w:spacing w:line="560" w:lineRule="exact"/>
        <w:ind w:firstLine="640" w:firstLineChars="200"/>
        <w:rPr>
          <w:rFonts w:hint="eastAsia" w:ascii="仿宋_GB2312" w:eastAsia="仿宋_GB2312"/>
          <w:sz w:val="32"/>
          <w:szCs w:val="32"/>
        </w:rPr>
      </w:pPr>
    </w:p>
    <w:p>
      <w:pPr>
        <w:pStyle w:val="39"/>
        <w:spacing w:line="560" w:lineRule="exact"/>
        <w:ind w:firstLine="640" w:firstLineChars="200"/>
        <w:rPr>
          <w:rFonts w:hint="eastAsia" w:ascii="仿宋_GB2312" w:eastAsia="仿宋_GB2312"/>
          <w:sz w:val="32"/>
          <w:szCs w:val="32"/>
        </w:rPr>
      </w:pPr>
    </w:p>
    <w:p>
      <w:pPr>
        <w:spacing w:line="600" w:lineRule="exact"/>
        <w:jc w:val="center"/>
        <w:outlineLvl w:val="0"/>
        <w:rPr>
          <w:rStyle w:val="19"/>
          <w:rFonts w:ascii="黑体" w:hAnsi="黑体" w:eastAsia="黑体"/>
          <w:b w:val="0"/>
        </w:rPr>
      </w:pPr>
      <w:bookmarkStart w:id="85" w:name="_Toc15396614"/>
      <w:bookmarkStart w:id="86" w:name="_Toc4624"/>
      <w:bookmarkStart w:id="87" w:name="_Toc15377226"/>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85"/>
      <w:bookmarkEnd w:id="86"/>
    </w:p>
    <w:p>
      <w:pPr>
        <w:pStyle w:val="4"/>
        <w:bidi w:val="0"/>
        <w:rPr>
          <w:rFonts w:hint="eastAsia" w:ascii="仿宋" w:hAnsi="仿宋" w:eastAsia="仿宋" w:cs="仿宋"/>
          <w:b w:val="0"/>
          <w:bCs/>
        </w:rPr>
      </w:pPr>
      <w:bookmarkStart w:id="88" w:name="_Toc25073"/>
      <w:r>
        <w:rPr>
          <w:rFonts w:hint="eastAsia" w:ascii="仿宋" w:hAnsi="仿宋" w:eastAsia="仿宋" w:cs="仿宋"/>
          <w:b w:val="0"/>
          <w:bCs/>
        </w:rPr>
        <w:t>附件1</w:t>
      </w:r>
      <w:bookmarkEnd w:id="8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通江县杨柏镇</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杨柏镇人民政府是实行独立核算的一级预算单位。2020年在职人员</w:t>
      </w:r>
      <w:r>
        <w:rPr>
          <w:rFonts w:hint="eastAsia" w:ascii="仿宋_GB2312" w:hAnsi="宋体" w:eastAsia="仿宋_GB2312" w:cs="宋体"/>
          <w:color w:val="000000"/>
          <w:kern w:val="0"/>
          <w:sz w:val="32"/>
          <w:szCs w:val="32"/>
          <w:shd w:val="clear" w:color="auto" w:fill="FFFFFF"/>
          <w:lang w:val="en-US" w:eastAsia="zh-CN"/>
        </w:rPr>
        <w:t>48</w:t>
      </w:r>
      <w:r>
        <w:rPr>
          <w:rFonts w:hint="eastAsia" w:ascii="仿宋_GB2312" w:hAnsi="宋体" w:eastAsia="仿宋_GB2312" w:cs="宋体"/>
          <w:color w:val="000000"/>
          <w:kern w:val="0"/>
          <w:sz w:val="32"/>
          <w:szCs w:val="32"/>
          <w:shd w:val="clear" w:color="auto" w:fill="FFFFFF"/>
          <w:lang w:val="zh-CN"/>
        </w:rPr>
        <w:t>人。其中：公务员</w:t>
      </w:r>
      <w:r>
        <w:rPr>
          <w:rFonts w:hint="eastAsia" w:ascii="仿宋_GB2312" w:hAnsi="宋体" w:eastAsia="仿宋_GB2312" w:cs="宋体"/>
          <w:color w:val="000000"/>
          <w:kern w:val="0"/>
          <w:sz w:val="32"/>
          <w:szCs w:val="32"/>
          <w:shd w:val="clear" w:color="auto" w:fill="FFFFFF"/>
          <w:lang w:val="en-US" w:eastAsia="zh-CN"/>
        </w:rPr>
        <w:t>19</w:t>
      </w:r>
      <w:r>
        <w:rPr>
          <w:rFonts w:hint="eastAsia" w:ascii="仿宋_GB2312" w:hAnsi="宋体" w:eastAsia="仿宋_GB2312" w:cs="宋体"/>
          <w:color w:val="000000"/>
          <w:kern w:val="0"/>
          <w:sz w:val="32"/>
          <w:szCs w:val="32"/>
          <w:shd w:val="clear" w:color="auto" w:fill="FFFFFF"/>
          <w:lang w:val="zh-CN"/>
        </w:rPr>
        <w:t>人，事业人员</w:t>
      </w:r>
      <w:r>
        <w:rPr>
          <w:rFonts w:hint="eastAsia" w:ascii="仿宋_GB2312" w:hAnsi="宋体" w:eastAsia="仿宋_GB2312" w:cs="宋体"/>
          <w:color w:val="000000"/>
          <w:kern w:val="0"/>
          <w:sz w:val="32"/>
          <w:szCs w:val="32"/>
          <w:shd w:val="clear" w:color="auto" w:fill="FFFFFF"/>
          <w:lang w:val="en-US" w:eastAsia="zh-CN"/>
        </w:rPr>
        <w:t xml:space="preserve"> 29</w:t>
      </w:r>
      <w:r>
        <w:rPr>
          <w:rFonts w:hint="eastAsia" w:ascii="仿宋_GB2312" w:hAnsi="宋体" w:eastAsia="仿宋_GB2312" w:cs="宋体"/>
          <w:color w:val="000000"/>
          <w:kern w:val="0"/>
          <w:sz w:val="32"/>
          <w:szCs w:val="32"/>
          <w:shd w:val="clear" w:color="auto" w:fill="FFFFFF"/>
          <w:lang w:val="zh-CN"/>
        </w:rPr>
        <w:t>人。主要职能：一是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二是制定并组织实施村镇建设规划，部署重点工程建设，地方道路建设及公共设施，水利设施的管理，负责土地、林木、水等自然资源和生态环境的保护，做好护林防火工作。三是负责本行政区域内的民政、计划生育、文化教育、卫生、体育等社会公益事业的综合性工作，维护一切经济单位和个人的正当经济权益，取缔非法经济活动，调解和处理民事纠纷，打击刑事犯罪维护社会稳定。四是按计划组织本级财政收入和地方税的征收，完成国家财政计划，不断培植税源，管好财政资金，增强财政实力。五是抓好精神文明建设，丰富群众文化生活，提倡移风易俗，反对封建迷信，破除陈规陋习，树立社会主义新风尚。</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2020年我镇财政一般公共预算财政拨款收入3,192.17万元。其中：用于干部职工工资福利支出1,795.21万元；商品和服务支出429.29万元；对个人和家庭的补助298.96万元；资本性支出668.72万元。</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杨柏镇人民政府2020年度所有项目支出严格按照相关制度流程严格实施，项目组织实施有序高效。项目实施前做好相关准备工作，实施中加强项目质量监督，实施后开展多方面综合验收，资金支付严格遵守政府财务制度和财经纪律。</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我镇2020年度整体支出绩效目标自评得分</w:t>
      </w:r>
      <w:r>
        <w:rPr>
          <w:rFonts w:hint="eastAsia" w:ascii="仿宋_GB2312" w:hAnsi="宋体" w:eastAsia="仿宋_GB2312" w:cs="宋体"/>
          <w:color w:val="000000"/>
          <w:kern w:val="0"/>
          <w:sz w:val="32"/>
          <w:szCs w:val="32"/>
          <w:shd w:val="clear" w:color="auto" w:fill="FFFFFF"/>
          <w:lang w:val="en-US" w:eastAsia="zh-CN"/>
        </w:rPr>
        <w:t>98</w:t>
      </w:r>
      <w:r>
        <w:rPr>
          <w:rFonts w:hint="eastAsia" w:ascii="仿宋_GB2312" w:hAnsi="宋体" w:eastAsia="仿宋_GB2312" w:cs="宋体"/>
          <w:color w:val="000000"/>
          <w:kern w:val="0"/>
          <w:sz w:val="32"/>
          <w:szCs w:val="32"/>
          <w:shd w:val="clear" w:color="auto" w:fill="FFFFFF"/>
          <w:lang w:val="zh-CN"/>
        </w:rPr>
        <w:t>分。在日常行政事业运行中，加强工资福利支出管理，确保及时足额兑现；加强政府机关管理，保障机关正常运转支出；保障村（社区）党委组织和村（居）民委员会正常运转支出。保障扶贫工作顺利有序推进，农村危房改造、易地移民搬迁项目、交通建设、安全饮水项目有序推进，培育产业项目。</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按照财政部对 2020年度绩效目标设置的要求，设置了 “产出、效益、满意度”等指标值，其中产出指标50分，实际得分</w:t>
      </w:r>
      <w:r>
        <w:rPr>
          <w:rFonts w:hint="eastAsia" w:ascii="仿宋_GB2312" w:hAnsi="宋体" w:eastAsia="仿宋_GB2312" w:cs="宋体"/>
          <w:color w:val="000000"/>
          <w:kern w:val="0"/>
          <w:sz w:val="32"/>
          <w:szCs w:val="32"/>
          <w:shd w:val="clear" w:color="auto" w:fill="FFFFFF"/>
          <w:lang w:val="en-US" w:eastAsia="zh-CN"/>
        </w:rPr>
        <w:t>49.5</w:t>
      </w:r>
      <w:r>
        <w:rPr>
          <w:rFonts w:hint="eastAsia" w:ascii="仿宋_GB2312" w:hAnsi="宋体" w:eastAsia="仿宋_GB2312" w:cs="宋体"/>
          <w:color w:val="000000"/>
          <w:kern w:val="0"/>
          <w:sz w:val="32"/>
          <w:szCs w:val="32"/>
          <w:shd w:val="clear" w:color="auto" w:fill="FFFFFF"/>
          <w:lang w:val="zh-CN"/>
        </w:rPr>
        <w:t>分，效益指标30分，实际得分</w:t>
      </w:r>
      <w:r>
        <w:rPr>
          <w:rFonts w:hint="eastAsia" w:ascii="仿宋_GB2312" w:hAnsi="宋体" w:eastAsia="仿宋_GB2312" w:cs="宋体"/>
          <w:color w:val="000000"/>
          <w:kern w:val="0"/>
          <w:sz w:val="32"/>
          <w:szCs w:val="32"/>
          <w:shd w:val="clear" w:color="auto" w:fill="FFFFFF"/>
          <w:lang w:val="en-US" w:eastAsia="zh-CN"/>
        </w:rPr>
        <w:t>29</w:t>
      </w:r>
      <w:r>
        <w:rPr>
          <w:rFonts w:hint="eastAsia" w:ascii="仿宋_GB2312" w:hAnsi="宋体" w:eastAsia="仿宋_GB2312" w:cs="宋体"/>
          <w:color w:val="000000"/>
          <w:kern w:val="0"/>
          <w:sz w:val="32"/>
          <w:szCs w:val="32"/>
          <w:shd w:val="clear" w:color="auto" w:fill="FFFFFF"/>
          <w:lang w:val="zh-CN"/>
        </w:rPr>
        <w:t>分，满意度指标10分，实际得分10分。预算资金执行得分10分，合计得分</w:t>
      </w:r>
      <w:r>
        <w:rPr>
          <w:rFonts w:hint="eastAsia" w:ascii="仿宋_GB2312" w:hAnsi="宋体" w:eastAsia="仿宋_GB2312" w:cs="宋体"/>
          <w:color w:val="000000"/>
          <w:kern w:val="0"/>
          <w:sz w:val="32"/>
          <w:szCs w:val="32"/>
          <w:shd w:val="clear" w:color="auto" w:fill="FFFFFF"/>
          <w:lang w:val="en-US" w:eastAsia="zh-CN"/>
        </w:rPr>
        <w:t>98</w:t>
      </w:r>
      <w:r>
        <w:rPr>
          <w:rFonts w:hint="eastAsia" w:ascii="仿宋_GB2312" w:hAnsi="宋体" w:eastAsia="仿宋_GB2312" w:cs="宋体"/>
          <w:color w:val="000000"/>
          <w:kern w:val="0"/>
          <w:sz w:val="32"/>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1.项目绩效目标与指标不完整</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绩效指标较少，不能完全衡量条件建设经费项目的完成情况，绩效指标未涵盖所有工作事项，绩效标准表述不够准确，整体逻辑关系不够清晰。</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2.资金投入较小</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 xml:space="preserve">项目建设是一项长期建设任务，投入资金有限。在一个时间范围内，完成一个整体的建设项目非常困难。    </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3.资金监控机制有待进一步加强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在执行过程中，未对项目资金使用及项目完成情况进行有效的监督，导致执行滞后的问题。</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改进建议。</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1.进一步加大资金投入力度</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建议进一步加大项目资金的投入力度，按照要求尽早完成项目建设。</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2.进一步完善项目绩效目标及绩效指标</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加强各执行部门的沟通，建立事权、财权、责任匹配制度，在绩效目标的设定方面，绩效目标有待准确化，使项目目标更简洁，更加明晰。项目绩效指标需结合项目明细具体设置，尽可能全面、客观的反映项目产出及效果。</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3.提高项目资金使用率</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实时监控预算完成情况，对项目资金执行情况及项目进度进行通报，对执行进度滞后的情况，要求加快执行，确保项目能按计划执行。同时明确监管层次，对项目的时间节点控制，进一步提高内部控制意识，明确责任主体。</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4"/>
        <w:bidi w:val="0"/>
        <w:rPr>
          <w:rFonts w:hint="eastAsia" w:ascii="仿宋" w:hAnsi="仿宋" w:eastAsia="仿宋" w:cs="仿宋"/>
          <w:b w:val="0"/>
          <w:bCs/>
        </w:rPr>
      </w:pPr>
      <w:bookmarkStart w:id="89" w:name="_Toc411"/>
      <w:r>
        <w:rPr>
          <w:rFonts w:hint="eastAsia" w:ascii="仿宋" w:hAnsi="仿宋" w:eastAsia="仿宋" w:cs="仿宋"/>
          <w:b w:val="0"/>
          <w:bCs/>
        </w:rPr>
        <w:t>附件2</w:t>
      </w:r>
      <w:bookmarkEnd w:id="89"/>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关于新型冠状病毒感染肺炎疫情排查、宣传、消杀经费</w:t>
      </w:r>
      <w:r>
        <w:rPr>
          <w:rFonts w:hint="eastAsia" w:ascii="方正小标宋简体" w:hAnsi="宋体" w:eastAsia="方正小标宋简体"/>
          <w:color w:val="000000"/>
          <w:kern w:val="0"/>
          <w:sz w:val="44"/>
          <w:szCs w:val="44"/>
          <w:lang w:eastAsia="zh-CN"/>
        </w:rPr>
        <w:t>项目绩效评价</w:t>
      </w:r>
      <w:r>
        <w:rPr>
          <w:rFonts w:hint="eastAsia" w:ascii="方正小标宋简体" w:hAnsi="宋体" w:eastAsia="方正小标宋简体"/>
          <w:color w:val="000000"/>
          <w:kern w:val="0"/>
          <w:sz w:val="44"/>
          <w:szCs w:val="44"/>
        </w:rPr>
        <w:t>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，幅员面积56.7平方千米。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其中非农业人口3408人，占总人口的16.7%，集镇达到6326人，人口密度为363人/平方千米。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2、长期目标：围绕“强基础、转作风、树形象、保稳定、促发展、慧民生”工作思路，大力实施“富裕杨柏、便捷杨柏、活力杨柏、有序杨柏、欢乐杨柏”和镇村振兴的发展战略。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2020年我镇新型冠状病毒感染肺炎疫情排查、宣传、消杀经费资金支出</w:t>
      </w: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相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仿宋_GB2312" w:hAnsi="宋体" w:eastAsia="仿宋_GB2312"/>
          <w:sz w:val="32"/>
          <w:szCs w:val="32"/>
          <w:lang w:val="zh-CN"/>
        </w:rPr>
        <w:t>（</w:t>
      </w: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年全年新型冠状病毒感染肺炎疫情排查、宣传、消杀经费</w:t>
      </w: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疫情防控</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lang w:eastAsia="zh-CN"/>
        </w:rPr>
        <w:t>四、</w:t>
      </w:r>
      <w:r>
        <w:rPr>
          <w:rFonts w:hint="eastAsia" w:ascii="黑体" w:hAnsi="宋体" w:eastAsia="黑体"/>
          <w:sz w:val="32"/>
          <w:szCs w:val="32"/>
        </w:rPr>
        <w:t>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spacing w:line="580" w:lineRule="exact"/>
        <w:rPr>
          <w:rFonts w:ascii="黑体" w:hAnsi="黑体" w:eastAsia="黑体" w:cs="黑体"/>
          <w:sz w:val="32"/>
          <w:szCs w:val="32"/>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宋体" w:hAnsi="宋体"/>
          <w:bCs/>
          <w:sz w:val="32"/>
          <w:szCs w:val="32"/>
        </w:rPr>
      </w:pPr>
      <w:r>
        <w:rPr>
          <w:rFonts w:hint="eastAsia" w:ascii="方正小标宋简体" w:hAnsi="宋体" w:eastAsia="方正小标宋简体"/>
          <w:color w:val="000000"/>
          <w:kern w:val="0"/>
          <w:sz w:val="44"/>
          <w:szCs w:val="44"/>
        </w:rPr>
        <w:t>关于居家观察经费项目绩效评价报告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，幅员面积56.7平方千米。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其中非农业人口3408人，占总人口的16.7%，集镇达到6326人，人口密度为363人/平方千米。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2、长期目标：围绕“强基础、转作风、树形象、保稳定、促发展、慧民生”工作思路，大力实施“富裕杨柏、便捷杨柏、活力杨柏、有序杨柏、欢乐杨柏”和镇村振兴的发展战略。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2020年我镇居家观察人员经费资金支出</w:t>
      </w:r>
      <w:r>
        <w:rPr>
          <w:rFonts w:hint="eastAsia" w:ascii="仿宋_GB2312" w:hAnsi="宋体" w:eastAsia="仿宋_GB2312"/>
          <w:sz w:val="32"/>
          <w:szCs w:val="32"/>
          <w:lang w:val="en-US" w:eastAsia="zh-CN"/>
        </w:rPr>
        <w:t>0.9</w:t>
      </w:r>
      <w:r>
        <w:rPr>
          <w:rFonts w:hint="eastAsia" w:ascii="仿宋_GB2312" w:hAnsi="宋体" w:eastAsia="仿宋_GB2312"/>
          <w:sz w:val="32"/>
          <w:szCs w:val="32"/>
          <w:lang w:val="zh-CN"/>
        </w:rPr>
        <w:t>万元。</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（二）组织实施情况</w:t>
      </w:r>
      <w:r>
        <w:rPr>
          <w:rFonts w:hint="eastAsia" w:ascii="仿宋_GB2312" w:hAnsi="宋体"/>
          <w:szCs w:val="32"/>
          <w:lang w:val="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年全年居家观察人员经费</w:t>
      </w:r>
      <w:r>
        <w:rPr>
          <w:rFonts w:hint="eastAsia" w:ascii="仿宋_GB2312" w:hAnsi="宋体" w:eastAsia="仿宋_GB2312"/>
          <w:sz w:val="32"/>
          <w:szCs w:val="32"/>
          <w:lang w:val="en-US" w:eastAsia="zh-CN"/>
        </w:rPr>
        <w:t>0.9</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疫情防控</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pStyle w:val="2"/>
        <w:rPr>
          <w:rFonts w:hint="eastAsia"/>
          <w:lang w:val="zh-CN"/>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关于公益性岗位补贴、就业创业补助资金</w:t>
      </w:r>
      <w:r>
        <w:rPr>
          <w:rFonts w:hint="eastAsia" w:ascii="方正小标宋简体" w:hAnsi="宋体" w:eastAsia="方正小标宋简体"/>
          <w:color w:val="000000"/>
          <w:kern w:val="0"/>
          <w:sz w:val="44"/>
          <w:szCs w:val="44"/>
          <w:lang w:eastAsia="zh-CN"/>
        </w:rPr>
        <w:t>项目绩效评价</w:t>
      </w:r>
      <w:r>
        <w:rPr>
          <w:rFonts w:hint="eastAsia" w:ascii="方正小标宋简体" w:hAnsi="宋体" w:eastAsia="方正小标宋简体"/>
          <w:color w:val="000000"/>
          <w:kern w:val="0"/>
          <w:sz w:val="44"/>
          <w:szCs w:val="44"/>
        </w:rPr>
        <w:t>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，幅员面积56.7平方千米。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其中非农业人口3408人，占总人口的16.7%，集镇达到6326人，人口密度为363人/平方千米。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2、长期目标：围绕“强基础、转作风、树形象、保稳定、促发展、慧民生”工作思路，大力实施“富裕杨柏、便捷杨柏、活力杨柏、有序杨柏、欢乐杨柏”和镇村振兴的发展战略。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2020年我镇公益性岗位补贴、就业创业补助资金支出</w:t>
      </w:r>
      <w:r>
        <w:rPr>
          <w:rFonts w:hint="eastAsia" w:ascii="仿宋_GB2312" w:hAnsi="宋体" w:eastAsia="仿宋_GB2312"/>
          <w:sz w:val="32"/>
          <w:szCs w:val="32"/>
          <w:lang w:val="en-US" w:eastAsia="zh-CN"/>
        </w:rPr>
        <w:t>42.66</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年全年公益性岗位补贴、就业创业补助资金</w:t>
      </w:r>
      <w:r>
        <w:rPr>
          <w:rFonts w:hint="eastAsia" w:ascii="仿宋_GB2312" w:hAnsi="宋体" w:eastAsia="仿宋_GB2312"/>
          <w:sz w:val="32"/>
          <w:szCs w:val="32"/>
          <w:lang w:val="en-US" w:eastAsia="zh-CN"/>
        </w:rPr>
        <w:t>42.66</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公益性事业</w:t>
      </w:r>
      <w:r>
        <w:rPr>
          <w:rFonts w:hint="eastAsia" w:ascii="仿宋_GB2312" w:hAnsi="宋体" w:eastAsia="仿宋_GB2312"/>
          <w:sz w:val="32"/>
          <w:szCs w:val="32"/>
          <w:lang w:val="zh-CN"/>
        </w:rPr>
        <w:t>。</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（二）目标质量完成情况</w:t>
      </w:r>
      <w:r>
        <w:rPr>
          <w:rFonts w:hint="eastAsia" w:ascii="仿宋_GB2312" w:hAnsi="宋体"/>
          <w:szCs w:val="32"/>
          <w:lang w:val="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pStyle w:val="2"/>
        <w:rPr>
          <w:rFonts w:hint="eastAsia"/>
          <w:lang w:val="zh-CN"/>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关于</w:t>
      </w:r>
      <w:r>
        <w:rPr>
          <w:rFonts w:hint="eastAsia" w:ascii="方正小标宋简体" w:hAnsi="宋体" w:eastAsia="方正小标宋简体"/>
          <w:color w:val="000000"/>
          <w:kern w:val="0"/>
          <w:sz w:val="44"/>
          <w:szCs w:val="44"/>
          <w:lang w:eastAsia="zh-CN"/>
        </w:rPr>
        <w:t>基层组织活动和公共服务运行等经费项目绩效评价</w:t>
      </w:r>
      <w:r>
        <w:rPr>
          <w:rFonts w:hint="eastAsia" w:ascii="方正小标宋简体" w:hAnsi="宋体" w:eastAsia="方正小标宋简体"/>
          <w:color w:val="000000"/>
          <w:kern w:val="0"/>
          <w:sz w:val="44"/>
          <w:szCs w:val="44"/>
        </w:rPr>
        <w:t>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，幅员面积56.7平方千米。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2、长期目标：围绕“强基础、转作风、树形象、保稳定、促发展、慧民生”工作思路，大力实施“富裕杨柏、便捷杨柏、活力杨柏、有序杨柏、欢乐杨柏”和镇村振兴的发展战略。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w:t>
      </w:r>
      <w:r>
        <w:rPr>
          <w:rFonts w:hint="eastAsia" w:ascii="仿宋_GB2312" w:hAnsi="宋体" w:eastAsia="仿宋_GB2312"/>
          <w:sz w:val="32"/>
          <w:szCs w:val="32"/>
          <w:lang w:val="zh-CN" w:eastAsia="zh-CN"/>
        </w:rPr>
        <w:t>基层组织活动和公共服务运行等经费</w:t>
      </w:r>
      <w:r>
        <w:rPr>
          <w:rFonts w:hint="eastAsia" w:ascii="仿宋_GB2312" w:hAnsi="宋体" w:eastAsia="仿宋_GB2312"/>
          <w:sz w:val="32"/>
          <w:szCs w:val="32"/>
          <w:lang w:val="zh-CN"/>
        </w:rPr>
        <w:t>支出</w:t>
      </w:r>
      <w:r>
        <w:rPr>
          <w:rFonts w:hint="eastAsia" w:ascii="仿宋_GB2312" w:hAnsi="宋体" w:eastAsia="仿宋_GB2312"/>
          <w:sz w:val="32"/>
          <w:szCs w:val="32"/>
          <w:lang w:val="en-US" w:eastAsia="zh-CN"/>
        </w:rPr>
        <w:t>49.56</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w:t>
      </w:r>
      <w:r>
        <w:rPr>
          <w:rFonts w:hint="eastAsia" w:ascii="仿宋_GB2312" w:hAnsi="宋体" w:eastAsia="仿宋_GB2312"/>
          <w:sz w:val="32"/>
          <w:szCs w:val="32"/>
          <w:lang w:val="zh-CN" w:eastAsia="zh-CN"/>
        </w:rPr>
        <w:t>基层组织活动和公共服务运行等经费</w:t>
      </w:r>
      <w:r>
        <w:rPr>
          <w:rFonts w:hint="eastAsia" w:ascii="仿宋_GB2312" w:hAnsi="宋体" w:eastAsia="仿宋_GB2312"/>
          <w:sz w:val="32"/>
          <w:szCs w:val="32"/>
          <w:lang w:val="en-US" w:eastAsia="zh-CN"/>
        </w:rPr>
        <w:t>49.56</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基层组织运行。</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pStyle w:val="2"/>
        <w:rPr>
          <w:rFonts w:hint="eastAsia"/>
          <w:lang w:val="zh-CN"/>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宋体" w:hAnsi="宋体"/>
          <w:bCs/>
          <w:sz w:val="32"/>
          <w:szCs w:val="32"/>
        </w:rPr>
      </w:pPr>
      <w:r>
        <w:rPr>
          <w:rFonts w:hint="eastAsia" w:ascii="方正小标宋简体" w:hAnsi="宋体" w:eastAsia="方正小标宋简体"/>
          <w:color w:val="000000"/>
          <w:kern w:val="0"/>
          <w:sz w:val="44"/>
          <w:szCs w:val="44"/>
        </w:rPr>
        <w:t>关于生猪调出奖励资金项目绩效评价报告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，幅员面积56.7平方千米。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2、长期目标：围绕“强基础、转作风、树形象、保稳定、促发展、慧民生”工作思路，大力实施“富裕杨柏、便捷杨柏、活力杨柏、有序杨柏、欢乐杨柏”和镇村振兴的发展战略。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（一）资金使用</w:t>
      </w:r>
      <w:r>
        <w:rPr>
          <w:rFonts w:hint="eastAsia" w:ascii="楷体_GB2312" w:hAnsi="宋体" w:eastAsia="楷体_GB2312"/>
          <w:szCs w:val="32"/>
          <w:lang w:val="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w:t>
      </w:r>
      <w:r>
        <w:rPr>
          <w:rFonts w:hint="eastAsia" w:ascii="仿宋_GB2312" w:hAnsi="宋体" w:eastAsia="仿宋_GB2312"/>
          <w:sz w:val="32"/>
          <w:szCs w:val="32"/>
          <w:lang w:val="zh-CN" w:eastAsia="zh-CN"/>
        </w:rPr>
        <w:t>生猪调出大县奖励资金</w:t>
      </w:r>
      <w:r>
        <w:rPr>
          <w:rFonts w:hint="eastAsia" w:ascii="仿宋_GB2312" w:hAnsi="宋体" w:eastAsia="仿宋_GB2312"/>
          <w:sz w:val="32"/>
          <w:szCs w:val="32"/>
          <w:lang w:val="zh-CN"/>
        </w:rPr>
        <w:t>支出</w:t>
      </w:r>
      <w:r>
        <w:rPr>
          <w:rFonts w:hint="eastAsia" w:ascii="仿宋_GB2312" w:hAnsi="宋体" w:eastAsia="仿宋_GB2312"/>
          <w:sz w:val="32"/>
          <w:szCs w:val="32"/>
          <w:lang w:val="en-US" w:eastAsia="zh-CN"/>
        </w:rPr>
        <w:t>12.4</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（一）目标任务量完成情况。</w:t>
      </w:r>
    </w:p>
    <w:p>
      <w:pPr>
        <w:adjustRightInd w:val="0"/>
        <w:snapToGrid w:val="0"/>
        <w:spacing w:line="560" w:lineRule="exact"/>
        <w:ind w:firstLine="720"/>
        <w:rPr>
          <w:rFonts w:hint="eastAsia" w:ascii="仿宋_GB2312" w:hAnsi="宋体"/>
          <w:szCs w:val="32"/>
          <w:lang w:eastAsia="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w:t>
      </w:r>
      <w:r>
        <w:rPr>
          <w:rFonts w:hint="eastAsia" w:ascii="仿宋_GB2312" w:hAnsi="宋体" w:eastAsia="仿宋_GB2312"/>
          <w:sz w:val="32"/>
          <w:szCs w:val="32"/>
          <w:lang w:val="zh-CN" w:eastAsia="zh-CN"/>
        </w:rPr>
        <w:t>生猪调出大县奖励资金</w:t>
      </w:r>
      <w:r>
        <w:rPr>
          <w:rFonts w:hint="eastAsia" w:ascii="仿宋_GB2312" w:hAnsi="宋体" w:eastAsia="仿宋_GB2312"/>
          <w:sz w:val="32"/>
          <w:szCs w:val="32"/>
          <w:lang w:val="en-US" w:eastAsia="zh-CN"/>
        </w:rPr>
        <w:t>12.4</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农村产业发展</w:t>
      </w:r>
      <w:r>
        <w:rPr>
          <w:rFonts w:hint="eastAsia" w:ascii="仿宋_GB2312" w:hAnsi="宋体"/>
          <w:szCs w:val="32"/>
          <w:lang w:eastAsia="zh-CN"/>
        </w:rPr>
        <w:t>。</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3.强化结果应用，巩固评价成效</w:t>
      </w:r>
      <w:r>
        <w:rPr>
          <w:rFonts w:hint="eastAsia" w:ascii="仿宋_GB2312" w:hAnsi="宋体"/>
          <w:szCs w:val="32"/>
          <w:lang w:val="zh-CN"/>
        </w:rPr>
        <w:t>。</w:t>
      </w:r>
    </w:p>
    <w:p>
      <w:pPr>
        <w:spacing w:line="580" w:lineRule="exact"/>
        <w:ind w:firstLine="640"/>
        <w:rPr>
          <w:rFonts w:ascii="仿宋_GB2312" w:hAnsi="仿宋_GB2312" w:eastAsia="仿宋_GB2312" w:cs="仿宋_GB2312"/>
          <w:sz w:val="32"/>
          <w:szCs w:val="32"/>
        </w:rPr>
      </w:pPr>
    </w:p>
    <w:p>
      <w:pPr>
        <w:widowControl/>
        <w:jc w:val="left"/>
        <w:rPr>
          <w:rStyle w:val="19"/>
          <w:rFonts w:ascii="黑体" w:hAnsi="黑体" w:eastAsia="黑体"/>
          <w:b w:val="0"/>
        </w:rPr>
      </w:pPr>
    </w:p>
    <w:p>
      <w:pPr>
        <w:widowControl/>
        <w:jc w:val="left"/>
        <w:rPr>
          <w:rStyle w:val="19"/>
          <w:rFonts w:ascii="黑体" w:hAnsi="黑体" w:eastAsia="黑体"/>
          <w:b w:val="0"/>
        </w:rPr>
      </w:pPr>
      <w:r>
        <w:br w:type="page"/>
      </w:r>
    </w:p>
    <w:p>
      <w:pPr>
        <w:spacing w:line="600" w:lineRule="exact"/>
        <w:jc w:val="center"/>
        <w:outlineLvl w:val="0"/>
        <w:rPr>
          <w:rStyle w:val="19"/>
          <w:rFonts w:ascii="黑体" w:hAnsi="黑体" w:eastAsia="黑体"/>
          <w:b w:val="0"/>
        </w:rPr>
      </w:pPr>
    </w:p>
    <w:p>
      <w:pPr>
        <w:spacing w:line="600" w:lineRule="exact"/>
        <w:jc w:val="center"/>
        <w:outlineLvl w:val="0"/>
        <w:rPr>
          <w:rStyle w:val="19"/>
          <w:rFonts w:ascii="黑体" w:hAnsi="黑体" w:eastAsia="黑体"/>
          <w:b w:val="0"/>
        </w:rPr>
      </w:pPr>
      <w:bookmarkStart w:id="90" w:name="_Toc15396618"/>
      <w:bookmarkStart w:id="91" w:name="_Toc23463"/>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87"/>
      <w:bookmarkEnd w:id="90"/>
      <w:bookmarkEnd w:id="91"/>
    </w:p>
    <w:p>
      <w:pPr>
        <w:spacing w:line="600" w:lineRule="exact"/>
        <w:jc w:val="center"/>
        <w:outlineLvl w:val="0"/>
        <w:rPr>
          <w:rFonts w:ascii="仿宋" w:hAnsi="仿宋" w:eastAsia="仿宋"/>
          <w:b/>
          <w:color w:val="000000"/>
          <w:sz w:val="44"/>
          <w:szCs w:val="44"/>
        </w:rPr>
      </w:pPr>
    </w:p>
    <w:p>
      <w:pPr>
        <w:pStyle w:val="16"/>
        <w:rPr>
          <w:rFonts w:ascii="仿宋" w:hAnsi="仿宋" w:eastAsia="仿宋"/>
          <w:color w:val="000000"/>
        </w:rPr>
      </w:pPr>
      <w:bookmarkStart w:id="92" w:name="_Toc15396619"/>
      <w:bookmarkStart w:id="93" w:name="_Toc11672"/>
      <w:r>
        <w:rPr>
          <w:rFonts w:hint="eastAsia" w:ascii="仿宋" w:hAnsi="仿宋" w:eastAsia="仿宋"/>
          <w:b w:val="0"/>
          <w:color w:val="000000"/>
        </w:rPr>
        <w:t>一、收</w:t>
      </w:r>
      <w:r>
        <w:rPr>
          <w:rStyle w:val="20"/>
          <w:rFonts w:hint="eastAsia" w:ascii="仿宋" w:hAnsi="仿宋" w:eastAsia="仿宋"/>
          <w:b w:val="0"/>
          <w:bCs w:val="0"/>
        </w:rPr>
        <w:t>入支出决算总表</w:t>
      </w:r>
      <w:bookmarkEnd w:id="92"/>
      <w:bookmarkEnd w:id="93"/>
    </w:p>
    <w:p>
      <w:pPr>
        <w:pStyle w:val="16"/>
        <w:rPr>
          <w:rFonts w:ascii="仿宋" w:hAnsi="仿宋" w:eastAsia="仿宋"/>
          <w:color w:val="000000"/>
        </w:rPr>
      </w:pPr>
      <w:bookmarkStart w:id="94" w:name="_Toc15396620"/>
      <w:bookmarkStart w:id="95" w:name="_Toc13814"/>
      <w:r>
        <w:rPr>
          <w:rFonts w:hint="eastAsia" w:ascii="仿宋" w:hAnsi="仿宋" w:eastAsia="仿宋"/>
          <w:b w:val="0"/>
          <w:color w:val="000000"/>
        </w:rPr>
        <w:t>二、收</w:t>
      </w:r>
      <w:r>
        <w:rPr>
          <w:rStyle w:val="20"/>
          <w:rFonts w:hint="eastAsia" w:ascii="仿宋" w:hAnsi="仿宋" w:eastAsia="仿宋"/>
          <w:b w:val="0"/>
          <w:bCs w:val="0"/>
        </w:rPr>
        <w:t>入决算表</w:t>
      </w:r>
      <w:bookmarkEnd w:id="94"/>
      <w:bookmarkEnd w:id="95"/>
    </w:p>
    <w:p>
      <w:pPr>
        <w:pStyle w:val="16"/>
        <w:rPr>
          <w:rFonts w:ascii="仿宋" w:hAnsi="仿宋" w:eastAsia="仿宋"/>
          <w:color w:val="000000"/>
        </w:rPr>
      </w:pPr>
      <w:bookmarkStart w:id="96" w:name="_Toc15396621"/>
      <w:bookmarkStart w:id="97" w:name="_Toc1784"/>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96"/>
      <w:bookmarkEnd w:id="97"/>
    </w:p>
    <w:p>
      <w:pPr>
        <w:pStyle w:val="16"/>
        <w:rPr>
          <w:rFonts w:ascii="仿宋" w:hAnsi="仿宋" w:eastAsia="仿宋"/>
          <w:b w:val="0"/>
          <w:color w:val="000000"/>
        </w:rPr>
      </w:pPr>
      <w:bookmarkStart w:id="98" w:name="_Toc15396622"/>
      <w:bookmarkStart w:id="99" w:name="_Toc26511"/>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98"/>
      <w:bookmarkEnd w:id="99"/>
    </w:p>
    <w:p>
      <w:pPr>
        <w:pStyle w:val="16"/>
        <w:rPr>
          <w:rStyle w:val="20"/>
          <w:rFonts w:ascii="仿宋" w:hAnsi="仿宋" w:eastAsia="仿宋"/>
          <w:b w:val="0"/>
          <w:bCs w:val="0"/>
        </w:rPr>
      </w:pPr>
      <w:bookmarkStart w:id="100" w:name="_Toc15396623"/>
      <w:bookmarkStart w:id="101" w:name="_Toc21795"/>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100"/>
      <w:bookmarkEnd w:id="101"/>
      <w:bookmarkStart w:id="102" w:name="_Toc15396624"/>
    </w:p>
    <w:p>
      <w:pPr>
        <w:pStyle w:val="16"/>
        <w:rPr>
          <w:rFonts w:ascii="仿宋" w:hAnsi="仿宋" w:eastAsia="仿宋"/>
          <w:color w:val="000000"/>
        </w:rPr>
      </w:pPr>
      <w:bookmarkStart w:id="103" w:name="_Toc32716"/>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102"/>
      <w:bookmarkEnd w:id="103"/>
    </w:p>
    <w:p>
      <w:pPr>
        <w:pStyle w:val="16"/>
        <w:rPr>
          <w:rFonts w:ascii="仿宋" w:hAnsi="仿宋" w:eastAsia="仿宋"/>
          <w:color w:val="000000"/>
        </w:rPr>
      </w:pPr>
      <w:bookmarkStart w:id="104" w:name="_Toc15396625"/>
      <w:bookmarkStart w:id="105" w:name="_Toc343"/>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104"/>
      <w:bookmarkEnd w:id="105"/>
    </w:p>
    <w:p>
      <w:pPr>
        <w:pStyle w:val="16"/>
        <w:rPr>
          <w:rFonts w:ascii="仿宋" w:hAnsi="仿宋" w:eastAsia="仿宋"/>
          <w:color w:val="000000"/>
        </w:rPr>
      </w:pPr>
      <w:bookmarkStart w:id="106" w:name="_Toc15396626"/>
      <w:bookmarkStart w:id="107" w:name="_Toc9492"/>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106"/>
      <w:bookmarkEnd w:id="107"/>
    </w:p>
    <w:p>
      <w:pPr>
        <w:pStyle w:val="16"/>
        <w:rPr>
          <w:rFonts w:ascii="仿宋" w:hAnsi="仿宋" w:eastAsia="仿宋"/>
          <w:color w:val="000000"/>
        </w:rPr>
      </w:pPr>
      <w:bookmarkStart w:id="108" w:name="_Toc15396627"/>
      <w:bookmarkStart w:id="109" w:name="_Toc31223"/>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108"/>
      <w:bookmarkEnd w:id="109"/>
    </w:p>
    <w:p>
      <w:pPr>
        <w:pStyle w:val="16"/>
        <w:rPr>
          <w:rFonts w:ascii="仿宋" w:hAnsi="仿宋" w:eastAsia="仿宋"/>
          <w:color w:val="000000"/>
        </w:rPr>
      </w:pPr>
      <w:bookmarkStart w:id="110" w:name="_Toc15396628"/>
      <w:bookmarkStart w:id="111" w:name="_Toc20335"/>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110"/>
      <w:bookmarkEnd w:id="111"/>
    </w:p>
    <w:p>
      <w:pPr>
        <w:pStyle w:val="16"/>
        <w:rPr>
          <w:rFonts w:ascii="仿宋" w:hAnsi="仿宋" w:eastAsia="仿宋"/>
          <w:color w:val="000000"/>
        </w:rPr>
      </w:pPr>
      <w:bookmarkStart w:id="112" w:name="_Toc15396629"/>
      <w:bookmarkStart w:id="113" w:name="_Toc21843"/>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112"/>
      <w:bookmarkEnd w:id="113"/>
    </w:p>
    <w:p>
      <w:pPr>
        <w:pStyle w:val="16"/>
        <w:rPr>
          <w:rFonts w:ascii="仿宋" w:hAnsi="仿宋" w:eastAsia="仿宋"/>
          <w:color w:val="000000"/>
        </w:rPr>
      </w:pPr>
      <w:bookmarkStart w:id="114" w:name="_Toc15396630"/>
      <w:bookmarkStart w:id="115" w:name="_Toc26799"/>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114"/>
      <w:bookmarkEnd w:id="115"/>
    </w:p>
    <w:p>
      <w:pPr>
        <w:pStyle w:val="16"/>
        <w:rPr>
          <w:rFonts w:ascii="仿宋" w:hAnsi="仿宋" w:eastAsia="仿宋"/>
          <w:color w:val="000000"/>
        </w:rPr>
      </w:pPr>
      <w:bookmarkStart w:id="116" w:name="_Toc15396631"/>
      <w:bookmarkStart w:id="117" w:name="_Toc2245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有资本经营预算财政拨款支出决算表</w:t>
      </w:r>
      <w:bookmarkEnd w:id="116"/>
      <w:bookmarkEnd w:id="117"/>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3</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3"/>
      <w:numFmt w:val="chineseCounting"/>
      <w:suff w:val="space"/>
      <w:lvlText w:val="第%1部分"/>
      <w:lvlJc w:val="left"/>
      <w:rPr>
        <w:rFonts w:hint="eastAsia" w:cs="Times New Roman"/>
      </w:rPr>
    </w:lvl>
  </w:abstractNum>
  <w:abstractNum w:abstractNumId="1">
    <w:nsid w:val="BF205925"/>
    <w:multiLevelType w:val="singleLevel"/>
    <w:tmpl w:val="BF205925"/>
    <w:lvl w:ilvl="0" w:tentative="0">
      <w:start w:val="9"/>
      <w:numFmt w:val="chineseCounting"/>
      <w:suff w:val="nothing"/>
      <w:lvlText w:val="%1、"/>
      <w:lvlJc w:val="left"/>
      <w:rPr>
        <w:rFonts w:hint="eastAsia" w:cs="Times New Roman"/>
      </w:rPr>
    </w:lvl>
  </w:abstractNum>
  <w:abstractNum w:abstractNumId="2">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03D62ECE"/>
    <w:multiLevelType w:val="singleLevel"/>
    <w:tmpl w:val="03D62ECE"/>
    <w:lvl w:ilvl="0" w:tentative="0">
      <w:start w:val="15"/>
      <w:numFmt w:val="decimal"/>
      <w:suff w:val="nothing"/>
      <w:lvlText w:val="%1."/>
      <w:lvlJc w:val="left"/>
    </w:lvl>
  </w:abstractNum>
  <w:abstractNum w:abstractNumId="4">
    <w:nsid w:val="25B654F3"/>
    <w:multiLevelType w:val="singleLevel"/>
    <w:tmpl w:val="25B654F3"/>
    <w:lvl w:ilvl="0" w:tentative="0">
      <w:start w:val="3"/>
      <w:numFmt w:val="chineseCounting"/>
      <w:suff w:val="nothing"/>
      <w:lvlText w:val="（%1）"/>
      <w:lvlJc w:val="left"/>
    </w:lvl>
  </w:abstractNum>
  <w:abstractNum w:abstractNumId="5">
    <w:nsid w:val="59ADCABA"/>
    <w:multiLevelType w:val="singleLevel"/>
    <w:tmpl w:val="59ADCABA"/>
    <w:lvl w:ilvl="0" w:tentative="0">
      <w:start w:val="1"/>
      <w:numFmt w:val="decimal"/>
      <w:lvlText w:val="%1."/>
      <w:lvlJc w:val="left"/>
      <w:pPr>
        <w:tabs>
          <w:tab w:val="left" w:pos="312"/>
        </w:tabs>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E7695"/>
    <w:rsid w:val="11D13348"/>
    <w:rsid w:val="151217B7"/>
    <w:rsid w:val="16F24BD2"/>
    <w:rsid w:val="19B54C17"/>
    <w:rsid w:val="1AAA094B"/>
    <w:rsid w:val="332079D1"/>
    <w:rsid w:val="34071D1E"/>
    <w:rsid w:val="37F70565"/>
    <w:rsid w:val="3F257322"/>
    <w:rsid w:val="3F2C3C6E"/>
    <w:rsid w:val="42E70FBA"/>
    <w:rsid w:val="49ED583C"/>
    <w:rsid w:val="4B562BB8"/>
    <w:rsid w:val="512334BD"/>
    <w:rsid w:val="55035EE4"/>
    <w:rsid w:val="569D00D1"/>
    <w:rsid w:val="5A565F45"/>
    <w:rsid w:val="64D94978"/>
    <w:rsid w:val="656E328C"/>
    <w:rsid w:val="6F271ED7"/>
    <w:rsid w:val="73FB3F01"/>
    <w:rsid w:val="750D5EA4"/>
    <w:rsid w:val="75B40DB5"/>
    <w:rsid w:val="7AFD4871"/>
    <w:rsid w:val="7DD233DC"/>
    <w:rsid w:val="7E0F50E2"/>
    <w:rsid w:val="7F790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2"/>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2">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
    <w:name w:val="普通表格1"/>
    <w:unhideWhenUsed/>
    <w:qFormat/>
    <w:uiPriority w:val="99"/>
    <w:tblPr>
      <w:tblCellMar>
        <w:top w:w="0" w:type="dxa"/>
        <w:left w:w="108" w:type="dxa"/>
        <w:bottom w:w="0" w:type="dxa"/>
        <w:right w:w="108" w:type="dxa"/>
      </w:tblCellMar>
    </w:tblPr>
  </w:style>
  <w:style w:type="paragraph" w:customStyle="1" w:styleId="15">
    <w:name w:val="标题 11"/>
    <w:basedOn w:val="1"/>
    <w:next w:val="1"/>
    <w:link w:val="19"/>
    <w:qFormat/>
    <w:uiPriority w:val="9"/>
    <w:pPr>
      <w:keepNext/>
      <w:keepLines/>
      <w:spacing w:before="340" w:after="330" w:line="578" w:lineRule="auto"/>
      <w:outlineLvl w:val="0"/>
    </w:pPr>
    <w:rPr>
      <w:b/>
      <w:bCs/>
      <w:kern w:val="44"/>
      <w:sz w:val="44"/>
      <w:szCs w:val="44"/>
    </w:rPr>
  </w:style>
  <w:style w:type="paragraph" w:customStyle="1" w:styleId="16">
    <w:name w:val="标题 21"/>
    <w:basedOn w:val="1"/>
    <w:next w:val="1"/>
    <w:link w:val="20"/>
    <w:unhideWhenUsed/>
    <w:qFormat/>
    <w:uiPriority w:val="9"/>
    <w:pPr>
      <w:keepNext/>
      <w:keepLines/>
      <w:spacing w:before="260" w:after="260" w:line="416" w:lineRule="auto"/>
      <w:outlineLvl w:val="1"/>
    </w:pPr>
    <w:rPr>
      <w:rFonts w:ascii="Cambria" w:hAnsi="Cambria"/>
      <w:b/>
      <w:bCs/>
      <w:sz w:val="32"/>
      <w:szCs w:val="32"/>
    </w:rPr>
  </w:style>
  <w:style w:type="paragraph" w:customStyle="1" w:styleId="17">
    <w:name w:val="标题 31"/>
    <w:basedOn w:val="1"/>
    <w:next w:val="1"/>
    <w:link w:val="21"/>
    <w:unhideWhenUsed/>
    <w:qFormat/>
    <w:uiPriority w:val="9"/>
    <w:pPr>
      <w:keepNext/>
      <w:keepLines/>
      <w:spacing w:before="260" w:after="260" w:line="416" w:lineRule="auto"/>
      <w:outlineLvl w:val="2"/>
    </w:pPr>
    <w:rPr>
      <w:b/>
      <w:bCs/>
      <w:sz w:val="32"/>
      <w:szCs w:val="32"/>
    </w:rPr>
  </w:style>
  <w:style w:type="character" w:customStyle="1" w:styleId="18">
    <w:name w:val="默认段落字体1"/>
    <w:unhideWhenUsed/>
    <w:qFormat/>
    <w:uiPriority w:val="1"/>
  </w:style>
  <w:style w:type="character" w:customStyle="1" w:styleId="19">
    <w:name w:val=" Char Char6"/>
    <w:basedOn w:val="18"/>
    <w:link w:val="15"/>
    <w:qFormat/>
    <w:locked/>
    <w:uiPriority w:val="9"/>
    <w:rPr>
      <w:rFonts w:ascii="Times New Roman" w:hAnsi="Times New Roman" w:cs="Times New Roman"/>
      <w:b/>
      <w:bCs/>
      <w:kern w:val="44"/>
      <w:sz w:val="44"/>
      <w:szCs w:val="44"/>
    </w:rPr>
  </w:style>
  <w:style w:type="character" w:customStyle="1" w:styleId="20">
    <w:name w:val=" Char Char5"/>
    <w:basedOn w:val="18"/>
    <w:link w:val="16"/>
    <w:qFormat/>
    <w:locked/>
    <w:uiPriority w:val="9"/>
    <w:rPr>
      <w:rFonts w:ascii="Cambria" w:hAnsi="Cambria" w:eastAsia="宋体" w:cs="Times New Roman"/>
      <w:b/>
      <w:bCs/>
      <w:kern w:val="2"/>
      <w:sz w:val="32"/>
      <w:szCs w:val="32"/>
    </w:rPr>
  </w:style>
  <w:style w:type="character" w:customStyle="1" w:styleId="21">
    <w:name w:val=" Char Char4"/>
    <w:basedOn w:val="18"/>
    <w:link w:val="17"/>
    <w:qFormat/>
    <w:locked/>
    <w:uiPriority w:val="9"/>
    <w:rPr>
      <w:rFonts w:ascii="Times New Roman" w:hAnsi="Times New Roman" w:cs="Times New Roman"/>
      <w:b/>
      <w:bCs/>
      <w:kern w:val="2"/>
      <w:sz w:val="32"/>
      <w:szCs w:val="32"/>
    </w:rPr>
  </w:style>
  <w:style w:type="paragraph" w:customStyle="1" w:styleId="22">
    <w:name w:val="正文文本1"/>
    <w:basedOn w:val="1"/>
    <w:qFormat/>
    <w:uiPriority w:val="99"/>
    <w:pPr>
      <w:spacing w:beforeLines="30"/>
    </w:pPr>
    <w:rPr>
      <w:rFonts w:ascii="仿宋_GB2312" w:eastAsia="仿宋_GB2312"/>
      <w:kern w:val="0"/>
      <w:sz w:val="24"/>
      <w:szCs w:val="20"/>
    </w:rPr>
  </w:style>
  <w:style w:type="character" w:customStyle="1" w:styleId="23">
    <w:name w:val="Body Text Char"/>
    <w:basedOn w:val="18"/>
    <w:semiHidden/>
    <w:qFormat/>
    <w:uiPriority w:val="99"/>
    <w:rPr>
      <w:rFonts w:ascii="Times New Roman" w:hAnsi="Times New Roman" w:cs="Times New Roman"/>
      <w:sz w:val="24"/>
      <w:szCs w:val="24"/>
    </w:rPr>
  </w:style>
  <w:style w:type="paragraph" w:customStyle="1" w:styleId="24">
    <w:name w:val="目录 31"/>
    <w:basedOn w:val="1"/>
    <w:next w:val="1"/>
    <w:unhideWhenUsed/>
    <w:qFormat/>
    <w:uiPriority w:val="39"/>
    <w:pPr>
      <w:tabs>
        <w:tab w:val="right" w:leader="dot" w:pos="8296"/>
      </w:tabs>
      <w:ind w:left="840" w:leftChars="400"/>
    </w:pPr>
  </w:style>
  <w:style w:type="paragraph" w:customStyle="1" w:styleId="25">
    <w:name w:val="批注框文本1"/>
    <w:basedOn w:val="1"/>
    <w:unhideWhenUsed/>
    <w:qFormat/>
    <w:uiPriority w:val="99"/>
    <w:rPr>
      <w:sz w:val="18"/>
      <w:szCs w:val="18"/>
    </w:rPr>
  </w:style>
  <w:style w:type="character" w:customStyle="1" w:styleId="26">
    <w:name w:val=" Char Char2"/>
    <w:basedOn w:val="18"/>
    <w:semiHidden/>
    <w:qFormat/>
    <w:locked/>
    <w:uiPriority w:val="99"/>
    <w:rPr>
      <w:rFonts w:ascii="Times New Roman" w:hAnsi="Times New Roman" w:cs="Times New Roman"/>
      <w:kern w:val="2"/>
      <w:sz w:val="18"/>
      <w:szCs w:val="18"/>
    </w:rPr>
  </w:style>
  <w:style w:type="paragraph" w:customStyle="1" w:styleId="27">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8">
    <w:name w:val="Footer Char"/>
    <w:basedOn w:val="18"/>
    <w:semiHidden/>
    <w:qFormat/>
    <w:uiPriority w:val="99"/>
    <w:rPr>
      <w:rFonts w:ascii="Times New Roman" w:hAnsi="Times New Roman" w:cs="Times New Roman"/>
      <w:sz w:val="18"/>
      <w:szCs w:val="18"/>
    </w:rPr>
  </w:style>
  <w:style w:type="paragraph" w:customStyle="1" w:styleId="29">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30">
    <w:name w:val="Header Char"/>
    <w:basedOn w:val="18"/>
    <w:semiHidden/>
    <w:qFormat/>
    <w:uiPriority w:val="99"/>
    <w:rPr>
      <w:rFonts w:ascii="Times New Roman" w:hAnsi="Times New Roman" w:cs="Times New Roman"/>
      <w:sz w:val="18"/>
      <w:szCs w:val="18"/>
    </w:rPr>
  </w:style>
  <w:style w:type="paragraph" w:customStyle="1" w:styleId="31">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2">
    <w:name w:val="目录 21"/>
    <w:basedOn w:val="1"/>
    <w:next w:val="1"/>
    <w:unhideWhenUsed/>
    <w:qFormat/>
    <w:uiPriority w:val="39"/>
    <w:pPr>
      <w:tabs>
        <w:tab w:val="right" w:leader="dot" w:pos="8296"/>
      </w:tabs>
      <w:ind w:left="420" w:leftChars="200"/>
    </w:pPr>
  </w:style>
  <w:style w:type="character" w:customStyle="1" w:styleId="33">
    <w:name w:val="要点1"/>
    <w:basedOn w:val="18"/>
    <w:qFormat/>
    <w:uiPriority w:val="99"/>
    <w:rPr>
      <w:rFonts w:cs="Times New Roman"/>
      <w:b/>
    </w:rPr>
  </w:style>
  <w:style w:type="character" w:customStyle="1" w:styleId="34">
    <w:name w:val="超链接1"/>
    <w:basedOn w:val="18"/>
    <w:unhideWhenUsed/>
    <w:qFormat/>
    <w:uiPriority w:val="99"/>
    <w:rPr>
      <w:rFonts w:cs="Times New Roman"/>
      <w:color w:val="0000FF"/>
      <w:u w:val="single"/>
    </w:rPr>
  </w:style>
  <w:style w:type="character" w:customStyle="1" w:styleId="35">
    <w:name w:val=" Char Char3"/>
    <w:qFormat/>
    <w:locked/>
    <w:uiPriority w:val="99"/>
    <w:rPr>
      <w:rFonts w:ascii="仿宋_GB2312" w:hAnsi="Times New Roman" w:eastAsia="仿宋_GB2312"/>
      <w:sz w:val="24"/>
    </w:rPr>
  </w:style>
  <w:style w:type="character" w:customStyle="1" w:styleId="36">
    <w:name w:val=" Char Char"/>
    <w:semiHidden/>
    <w:qFormat/>
    <w:locked/>
    <w:uiPriority w:val="99"/>
    <w:rPr>
      <w:sz w:val="18"/>
    </w:rPr>
  </w:style>
  <w:style w:type="character" w:customStyle="1" w:styleId="37">
    <w:name w:val=" Char Char1"/>
    <w:qFormat/>
    <w:locked/>
    <w:uiPriority w:val="99"/>
    <w:rPr>
      <w:sz w:val="18"/>
    </w:rPr>
  </w:style>
  <w:style w:type="character" w:customStyle="1" w:styleId="38">
    <w:name w:val="font51"/>
    <w:basedOn w:val="18"/>
    <w:qFormat/>
    <w:uiPriority w:val="0"/>
    <w:rPr>
      <w:rFonts w:hint="eastAsia" w:ascii="宋体" w:hAnsi="宋体" w:eastAsia="宋体" w:cs="宋体"/>
      <w:color w:val="000000"/>
      <w:sz w:val="20"/>
      <w:szCs w:val="20"/>
      <w:u w:val="none"/>
    </w:rPr>
  </w:style>
  <w:style w:type="paragraph" w:customStyle="1" w:styleId="3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40">
    <w:name w:val="List Paragraph"/>
    <w:basedOn w:val="1"/>
    <w:qFormat/>
    <w:uiPriority w:val="34"/>
    <w:pPr>
      <w:ind w:firstLine="420" w:firstLineChars="200"/>
    </w:pPr>
  </w:style>
  <w:style w:type="paragraph" w:customStyle="1" w:styleId="41">
    <w:name w:val="TOC 标题1"/>
    <w:basedOn w:val="15"/>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2">
    <w:name w:val="TOC Heading1"/>
    <w:basedOn w:val="15"/>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2021-10-13T06:49:24Z</dcterms:modified>
</cp:coreProperties>
</file>

<file path=customXml/item3.xml><?xml version="1.0" encoding="utf-8"?>
<Properties xmlns:vt="http://schemas.openxmlformats.org/officeDocument/2006/docPropsVTypes" xmlns="http://schemas.openxmlformats.org/officeDocument/2006/extended-properties">
  <Template>Normal</Template>
  <TotalTime>157310880</TotalTime>
  <Pages>1</Pages>
  <Words>1293</Words>
  <Characters>7375</Characters>
  <Application>WPS Office_11.1.0.10938_F1E327BC-269C-435d-A152-05C5408002CA</Application>
  <DocSecurity>0</DocSecurity>
  <Lines>61</Lines>
  <Paragraphs>17</Paragraphs>
  <Company>四川省财政厅</Company>
  <CharactersWithSpaces>8651</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436A86FE93BD4A36AEB8101773A54FED</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6cb59-db51-4999-a045-c79eccb5646c}">
  <ds:schemaRefs/>
</ds:datastoreItem>
</file>

<file path=customXml/itemProps3.xml><?xml version="1.0" encoding="utf-8"?>
<ds:datastoreItem xmlns:ds="http://schemas.openxmlformats.org/officeDocument/2006/customXml" ds:itemID="{efd80a78-667d-46df-a84b-04c0b23abc8b}">
  <ds:schemaRefs/>
</ds:datastoreItem>
</file>

<file path=customXml/itemProps4.xml><?xml version="1.0" encoding="utf-8"?>
<ds:datastoreItem xmlns:ds="http://schemas.openxmlformats.org/officeDocument/2006/customXml" ds:itemID="{cfcc519a-7d82-40e1-b12e-8b63348744b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1293</Words>
  <Characters>7375</Characters>
  <Lines>61</Lines>
  <Paragraphs>17</Paragraphs>
  <TotalTime>5</TotalTime>
  <ScaleCrop>false</ScaleCrop>
  <LinksUpToDate>false</LinksUpToDate>
  <CharactersWithSpaces>8651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白开水</cp:lastModifiedBy>
  <cp:lastPrinted>2021-10-26T06:26:00Z</cp:lastPrinted>
  <dcterms:modified xsi:type="dcterms:W3CDTF">2022-03-16T03:08:50Z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57D015071E0C4AC2A73F9DFC2768574C</vt:lpwstr>
  </property>
</Properties>
</file>