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pStyle w:val="8"/>
        <w:jc w:val="both"/>
        <w:outlineLvl w:val="9"/>
        <w:rPr>
          <w:rFonts w:hint="eastAsia" w:ascii="方正小标宋简体" w:hAnsi="宋体" w:eastAsia="方正小标宋简体"/>
          <w:color w:val="000000"/>
          <w:sz w:val="72"/>
          <w:szCs w:val="72"/>
          <w:lang w:val="en-US" w:eastAsia="zh-CN"/>
        </w:rPr>
      </w:pPr>
      <w:bookmarkStart w:id="1" w:name="_Toc15396476"/>
      <w:bookmarkStart w:id="2" w:name="_Toc15377426"/>
      <w:bookmarkStart w:id="3" w:name="_Toc15396598"/>
      <w:bookmarkStart w:id="4" w:name="_Toc15378442"/>
      <w:bookmarkStart w:id="5" w:name="_Toc15377194"/>
    </w:p>
    <w:p>
      <w:pPr>
        <w:pStyle w:val="8"/>
        <w:jc w:val="center"/>
        <w:outlineLvl w:val="9"/>
        <w:rPr>
          <w:sz w:val="36"/>
          <w:szCs w:val="36"/>
        </w:rPr>
      </w:pPr>
      <w:r>
        <w:rPr>
          <w:rFonts w:hint="eastAsia" w:ascii="方正小标宋简体" w:hAnsi="宋体" w:eastAsia="方正小标宋简体"/>
          <w:color w:val="000000"/>
          <w:sz w:val="72"/>
          <w:szCs w:val="72"/>
        </w:rPr>
        <w:t>通江县壁州街道</w:t>
      </w:r>
      <w:r>
        <w:rPr>
          <w:rFonts w:hint="eastAsia" w:ascii="方正小标宋简体" w:hAnsi="宋体" w:eastAsia="方正小标宋简体"/>
          <w:color w:val="000000"/>
          <w:sz w:val="72"/>
          <w:szCs w:val="72"/>
          <w:lang w:eastAsia="zh-CN"/>
        </w:rPr>
        <w:t>办</w:t>
      </w:r>
      <w:r>
        <w:rPr>
          <w:rFonts w:hint="eastAsia" w:ascii="方正小标宋简体" w:hAnsi="宋体" w:eastAsia="方正小标宋简体"/>
          <w:color w:val="000000"/>
          <w:sz w:val="72"/>
          <w:szCs w:val="72"/>
        </w:rPr>
        <w:t>事处</w:t>
      </w:r>
    </w:p>
    <w:p>
      <w:pPr>
        <w:adjustRightInd w:val="0"/>
        <w:snapToGrid w:val="0"/>
        <w:spacing w:line="360" w:lineRule="auto"/>
        <w:jc w:val="center"/>
        <w:outlineLvl w:val="9"/>
        <w:rPr>
          <w:rFonts w:hint="eastAsia" w:ascii="方正小标宋简体" w:hAnsi="宋体" w:eastAsia="方正小标宋简体"/>
          <w:color w:val="000000"/>
          <w:sz w:val="144"/>
          <w:szCs w:val="144"/>
          <w:lang w:eastAsia="zh-CN"/>
        </w:rPr>
      </w:pPr>
      <w:bookmarkStart w:id="6" w:name="_Toc15396475"/>
      <w:bookmarkStart w:id="7" w:name="_Toc15377425"/>
      <w:bookmarkStart w:id="8" w:name="_Toc15377193"/>
      <w:bookmarkStart w:id="9" w:name="_Toc15378441"/>
      <w:bookmarkStart w:id="10" w:name="_Toc1539659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6"/>
      <w:bookmarkEnd w:id="7"/>
      <w:bookmarkEnd w:id="8"/>
      <w:bookmarkEnd w:id="9"/>
      <w:bookmarkEnd w:id="10"/>
      <w:r>
        <w:rPr>
          <w:rFonts w:hint="eastAsia" w:ascii="方正小标宋简体" w:hAnsi="宋体" w:eastAsia="方正小标宋简体"/>
          <w:color w:val="000000"/>
          <w:sz w:val="72"/>
          <w:szCs w:val="72"/>
        </w:rPr>
        <w:t>部门决算</w:t>
      </w:r>
      <w:bookmarkEnd w:id="0"/>
      <w:bookmarkEnd w:id="1"/>
      <w:bookmarkEnd w:id="2"/>
      <w:bookmarkEnd w:id="3"/>
      <w:bookmarkEnd w:id="4"/>
      <w:bookmarkEnd w:id="5"/>
      <w:bookmarkStart w:id="11" w:name="_Toc15306268"/>
      <w:bookmarkEnd w:id="11"/>
      <w:r>
        <w:rPr>
          <w:rFonts w:hint="eastAsia" w:ascii="方正小标宋简体" w:hAnsi="宋体" w:eastAsia="方正小标宋简体"/>
          <w:color w:val="000000"/>
          <w:sz w:val="72"/>
          <w:szCs w:val="72"/>
          <w:lang w:val="en-US" w:eastAsia="zh-CN"/>
        </w:rPr>
        <w:t>编制说明</w:t>
      </w:r>
    </w:p>
    <w:p>
      <w:pPr>
        <w:pStyle w:val="8"/>
        <w:rPr>
          <w:rFonts w:hint="eastAsia"/>
          <w:sz w:val="36"/>
          <w:szCs w:val="36"/>
        </w:rPr>
      </w:pPr>
    </w:p>
    <w:p>
      <w:pPr>
        <w:pStyle w:val="8"/>
        <w:rPr>
          <w:rFonts w:hint="eastAsia"/>
          <w:sz w:val="36"/>
          <w:szCs w:val="36"/>
        </w:rPr>
      </w:pPr>
    </w:p>
    <w:p>
      <w:pPr>
        <w:pStyle w:val="8"/>
        <w:rPr>
          <w:rFonts w:hint="eastAsia"/>
          <w:sz w:val="36"/>
          <w:szCs w:val="36"/>
        </w:rPr>
      </w:pPr>
    </w:p>
    <w:p>
      <w:pPr>
        <w:pStyle w:val="8"/>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pStyle w:val="8"/>
        <w:rPr>
          <w:sz w:val="36"/>
          <w:szCs w:val="36"/>
        </w:rPr>
      </w:pPr>
      <w:r>
        <w:rPr>
          <w:rFonts w:hint="eastAsia"/>
          <w:sz w:val="36"/>
          <w:szCs w:val="36"/>
        </w:rPr>
        <w:t>公开时间：</w:t>
      </w:r>
      <w:r>
        <w:rPr>
          <w:sz w:val="36"/>
          <w:szCs w:val="36"/>
        </w:rPr>
        <w:t>2021</w:t>
      </w:r>
      <w:r>
        <w:rPr>
          <w:rFonts w:hint="eastAsia"/>
          <w:sz w:val="36"/>
          <w:szCs w:val="36"/>
        </w:rPr>
        <w:t xml:space="preserve">年 </w:t>
      </w:r>
      <w:r>
        <w:rPr>
          <w:rFonts w:hint="eastAsia"/>
          <w:sz w:val="36"/>
          <w:szCs w:val="36"/>
          <w:lang w:val="en-US" w:eastAsia="zh-CN"/>
        </w:rPr>
        <w:t>10</w:t>
      </w:r>
      <w:r>
        <w:rPr>
          <w:rFonts w:hint="eastAsia"/>
          <w:sz w:val="36"/>
          <w:szCs w:val="36"/>
        </w:rPr>
        <w:t>月</w:t>
      </w:r>
      <w:r>
        <w:rPr>
          <w:rFonts w:hint="eastAsia"/>
          <w:sz w:val="36"/>
          <w:szCs w:val="36"/>
          <w:lang w:val="en-US" w:eastAsia="zh-CN"/>
        </w:rPr>
        <w:t>15</w:t>
      </w:r>
      <w:r>
        <w:rPr>
          <w:rFonts w:hint="eastAsia"/>
          <w:sz w:val="36"/>
          <w:szCs w:val="36"/>
        </w:rPr>
        <w:t>日</w:t>
      </w:r>
    </w:p>
    <w:p>
      <w:pPr>
        <w:widowControl/>
        <w:jc w:val="center"/>
        <w:rPr>
          <w:rFonts w:hint="eastAsia" w:ascii="黑体" w:hAnsi="黑体" w:eastAsia="黑体"/>
          <w:color w:val="000000"/>
          <w:sz w:val="48"/>
          <w:szCs w:val="48"/>
        </w:rPr>
        <w:sectPr>
          <w:footerReference r:id="rId5" w:type="first"/>
          <w:headerReference r:id="rId3" w:type="default"/>
          <w:footerReference r:id="rId4" w:type="default"/>
          <w:pgSz w:w="11906" w:h="16838"/>
          <w:pgMar w:top="1440" w:right="1286" w:bottom="1440" w:left="1380" w:header="851" w:footer="992" w:gutter="0"/>
          <w:pgNumType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8"/>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TOC \o "1-3" \h \u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_Toc8686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 xml:space="preserve">第一部分 </w:t>
      </w:r>
      <w:r>
        <w:rPr>
          <w:rFonts w:hint="eastAsia" w:ascii="方正楷体简体" w:hAnsi="方正楷体简体" w:eastAsia="方正楷体简体" w:cs="方正楷体简体"/>
          <w:bCs w:val="0"/>
          <w:sz w:val="24"/>
          <w:szCs w:val="24"/>
        </w:rPr>
        <w:t>部门概况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_Toc8686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3</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_Toc32076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一、基</w:t>
      </w:r>
      <w:r>
        <w:rPr>
          <w:rFonts w:hint="eastAsia" w:ascii="方正楷体简体" w:hAnsi="方正楷体简体" w:eastAsia="方正楷体简体" w:cs="方正楷体简体"/>
          <w:bCs w:val="0"/>
          <w:sz w:val="24"/>
          <w:szCs w:val="24"/>
        </w:rPr>
        <w:t>本职能及主要工作</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_Toc32076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3</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_Toc3141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sz w:val="24"/>
          <w:szCs w:val="24"/>
        </w:rPr>
        <w:t>（一）主要职能。</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_Toc3141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3</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_Toc11469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sz w:val="24"/>
          <w:szCs w:val="24"/>
        </w:rPr>
        <w:t>（二）2020年重点工作完成情况。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_Toc11469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_Toc4301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二、机</w:t>
      </w:r>
      <w:r>
        <w:rPr>
          <w:rFonts w:hint="eastAsia" w:ascii="方正楷体简体" w:hAnsi="方正楷体简体" w:eastAsia="方正楷体简体" w:cs="方正楷体简体"/>
          <w:bCs w:val="0"/>
          <w:sz w:val="24"/>
          <w:szCs w:val="24"/>
        </w:rPr>
        <w:t>构设置</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_Toc4301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8"/>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_Toc18998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 xml:space="preserve">第二部分 </w:t>
      </w:r>
      <w:r>
        <w:rPr>
          <w:rFonts w:hint="eastAsia" w:ascii="方正楷体简体" w:hAnsi="方正楷体简体" w:eastAsia="方正楷体简体" w:cs="方正楷体简体"/>
          <w:bCs w:val="0"/>
          <w:sz w:val="24"/>
          <w:szCs w:val="24"/>
        </w:rPr>
        <w:t>2020年度部门决算情况说明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_Toc18998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6</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_Toc2864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一、 收入支出决算总体情况说明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_Toc2864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6</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_Toc26705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二、 收入决算情况说明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_Toc26705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6</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_Toc31156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三、 支出决算情况说明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_Toc31156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7</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_Toc28773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四、财政拨款收入支出决算总体情况说明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_Toc28773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8</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_Toc23606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五、一般公共预算财政拨款支出决算情况说明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_Toc23606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8</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_Toc30663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（一）一般公共预算财政拨款支出决算总体情况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_Toc30663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8</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_Toc23544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（二）一般公共预算财政拨款支出决算结构情况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_Toc23544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9</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_Toc20204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（三）一般公共预算财政拨款支出决算具体情况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_Toc20204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10</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_Toc2796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六、一般公共预算财政拨款基本支出决算情况说明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_Toc2796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12</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_Toc32258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七、“三公”经费财政拨款支出决算情况说明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_Toc32258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13</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_Toc15981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（一）“三公”经费财政拨款支出决算总体情况说明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_Toc15981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13</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_Toc17243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（二）“三公”经费财政拨款支出决算具体情况说明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_Toc17243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13</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_Toc26738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八、政府性基金预算支出决算情况说明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_Toc26738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_Toc2612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九、 国有资本经营预算支出决算情况说明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_Toc2612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_Toc11214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十、其他重要事项的情况说明</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_Toc11214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_Toc17556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（一）机关运行经费支出情况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_Toc17556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_Toc2806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w:t>
      </w:r>
      <w:r>
        <w:rPr>
          <w:rFonts w:hint="eastAsia" w:ascii="方正楷体简体" w:hAnsi="方正楷体简体" w:eastAsia="方正楷体简体" w:cs="方正楷体简体"/>
          <w:sz w:val="24"/>
          <w:szCs w:val="24"/>
          <w:lang w:eastAsia="zh-CN"/>
        </w:rPr>
        <w:t>二</w:t>
      </w:r>
      <w:r>
        <w:rPr>
          <w:rFonts w:hint="eastAsia" w:ascii="方正楷体简体" w:hAnsi="方正楷体简体" w:eastAsia="方正楷体简体" w:cs="方正楷体简体"/>
          <w:sz w:val="24"/>
          <w:szCs w:val="24"/>
        </w:rPr>
        <w:t>）国有资产占有使用情况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_Toc2806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5"/>
        <w:tabs>
          <w:tab w:val="right" w:leader="dot" w:pos="830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_Toc10593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w:t>
      </w:r>
      <w:r>
        <w:rPr>
          <w:rFonts w:hint="eastAsia" w:ascii="方正楷体简体" w:hAnsi="方正楷体简体" w:eastAsia="方正楷体简体" w:cs="方正楷体简体"/>
          <w:sz w:val="24"/>
          <w:szCs w:val="24"/>
          <w:lang w:eastAsia="zh-CN"/>
        </w:rPr>
        <w:t>三</w:t>
      </w:r>
      <w:r>
        <w:rPr>
          <w:rFonts w:hint="eastAsia" w:ascii="方正楷体简体" w:hAnsi="方正楷体简体" w:eastAsia="方正楷体简体" w:cs="方正楷体简体"/>
          <w:sz w:val="24"/>
          <w:szCs w:val="24"/>
        </w:rPr>
        <w:t>）预算绩效管理情况</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_Toc10593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14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8"/>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_Toc20062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第三部分 名词解释</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_Toc20062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27</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8"/>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_Toc8154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第四部分 附件</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_Toc8154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31</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_Toc26233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附件1</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_Toc26233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31</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_Toc11283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附件2</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_Toc11283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38</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8"/>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_Toc28368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第五部分 附表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_Toc28368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_Toc3115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一、收</w:t>
      </w:r>
      <w:r>
        <w:rPr>
          <w:rFonts w:hint="eastAsia" w:ascii="方正楷体简体" w:hAnsi="方正楷体简体" w:eastAsia="方正楷体简体" w:cs="方正楷体简体"/>
          <w:bCs w:val="0"/>
          <w:sz w:val="24"/>
          <w:szCs w:val="24"/>
        </w:rPr>
        <w:t>入支出决算总表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_Toc3115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_Toc25302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二、收</w:t>
      </w:r>
      <w:r>
        <w:rPr>
          <w:rFonts w:hint="eastAsia" w:ascii="方正楷体简体" w:hAnsi="方正楷体简体" w:eastAsia="方正楷体简体" w:cs="方正楷体简体"/>
          <w:bCs w:val="0"/>
          <w:sz w:val="24"/>
          <w:szCs w:val="24"/>
        </w:rPr>
        <w:t>入决算表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_Toc25302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_Toc29776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三、</w:t>
      </w:r>
      <w:r>
        <w:rPr>
          <w:rFonts w:hint="eastAsia" w:ascii="方正楷体简体" w:hAnsi="方正楷体简体" w:eastAsia="方正楷体简体" w:cs="方正楷体简体"/>
          <w:sz w:val="24"/>
          <w:szCs w:val="24"/>
        </w:rPr>
        <w:t>支</w:t>
      </w:r>
      <w:r>
        <w:rPr>
          <w:rFonts w:hint="eastAsia" w:ascii="方正楷体简体" w:hAnsi="方正楷体简体" w:eastAsia="方正楷体简体" w:cs="方正楷体简体"/>
          <w:bCs w:val="0"/>
          <w:sz w:val="24"/>
          <w:szCs w:val="24"/>
        </w:rPr>
        <w:t>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_Toc29776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_Toc23140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四、</w:t>
      </w:r>
      <w:r>
        <w:rPr>
          <w:rFonts w:hint="eastAsia" w:ascii="方正楷体简体" w:hAnsi="方正楷体简体" w:eastAsia="方正楷体简体" w:cs="方正楷体简体"/>
          <w:sz w:val="24"/>
          <w:szCs w:val="24"/>
        </w:rPr>
        <w:t>财</w:t>
      </w:r>
      <w:r>
        <w:rPr>
          <w:rFonts w:hint="eastAsia" w:ascii="方正楷体简体" w:hAnsi="方正楷体简体" w:eastAsia="方正楷体简体" w:cs="方正楷体简体"/>
          <w:bCs w:val="0"/>
          <w:sz w:val="24"/>
          <w:szCs w:val="24"/>
        </w:rPr>
        <w:t>政拨款收入支出决算总表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_Toc23140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_Toc2000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五、</w:t>
      </w:r>
      <w:r>
        <w:rPr>
          <w:rFonts w:hint="eastAsia" w:ascii="方正楷体简体" w:hAnsi="方正楷体简体" w:eastAsia="方正楷体简体" w:cs="方正楷体简体"/>
          <w:sz w:val="24"/>
          <w:szCs w:val="24"/>
        </w:rPr>
        <w:t>财</w:t>
      </w:r>
      <w:r>
        <w:rPr>
          <w:rFonts w:hint="eastAsia" w:ascii="方正楷体简体" w:hAnsi="方正楷体简体" w:eastAsia="方正楷体简体" w:cs="方正楷体简体"/>
          <w:bCs w:val="0"/>
          <w:sz w:val="24"/>
          <w:szCs w:val="24"/>
        </w:rPr>
        <w:t>政拨款支出决算明细表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_Toc2000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_Toc4864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六、</w:t>
      </w:r>
      <w:r>
        <w:rPr>
          <w:rFonts w:hint="eastAsia" w:ascii="方正楷体简体" w:hAnsi="方正楷体简体" w:eastAsia="方正楷体简体" w:cs="方正楷体简体"/>
          <w:sz w:val="24"/>
          <w:szCs w:val="24"/>
        </w:rPr>
        <w:t>一</w:t>
      </w:r>
      <w:r>
        <w:rPr>
          <w:rFonts w:hint="eastAsia" w:ascii="方正楷体简体" w:hAnsi="方正楷体简体" w:eastAsia="方正楷体简体" w:cs="方正楷体简体"/>
          <w:bCs w:val="0"/>
          <w:sz w:val="24"/>
          <w:szCs w:val="24"/>
        </w:rPr>
        <w:t>般公共预算财政拨款支出决算表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_Toc4864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_Toc24521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七、</w:t>
      </w:r>
      <w:r>
        <w:rPr>
          <w:rFonts w:hint="eastAsia" w:ascii="方正楷体简体" w:hAnsi="方正楷体简体" w:eastAsia="方正楷体简体" w:cs="方正楷体简体"/>
          <w:sz w:val="24"/>
          <w:szCs w:val="24"/>
        </w:rPr>
        <w:t>一</w:t>
      </w:r>
      <w:r>
        <w:rPr>
          <w:rFonts w:hint="eastAsia" w:ascii="方正楷体简体" w:hAnsi="方正楷体简体" w:eastAsia="方正楷体简体" w:cs="方正楷体简体"/>
          <w:bCs w:val="0"/>
          <w:sz w:val="24"/>
          <w:szCs w:val="24"/>
        </w:rPr>
        <w:t>般公共预算财政拨款支出决算明细表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_Toc24521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_Toc29780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八、</w:t>
      </w:r>
      <w:r>
        <w:rPr>
          <w:rFonts w:hint="eastAsia" w:ascii="方正楷体简体" w:hAnsi="方正楷体简体" w:eastAsia="方正楷体简体" w:cs="方正楷体简体"/>
          <w:sz w:val="24"/>
          <w:szCs w:val="24"/>
        </w:rPr>
        <w:t>一</w:t>
      </w:r>
      <w:r>
        <w:rPr>
          <w:rFonts w:hint="eastAsia" w:ascii="方正楷体简体" w:hAnsi="方正楷体简体" w:eastAsia="方正楷体简体" w:cs="方正楷体简体"/>
          <w:bCs w:val="0"/>
          <w:sz w:val="24"/>
          <w:szCs w:val="24"/>
        </w:rPr>
        <w:t>般公共预算财政拨款基本支出决算表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_Toc29780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_Toc13362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九、</w:t>
      </w:r>
      <w:r>
        <w:rPr>
          <w:rFonts w:hint="eastAsia" w:ascii="方正楷体简体" w:hAnsi="方正楷体简体" w:eastAsia="方正楷体简体" w:cs="方正楷体简体"/>
          <w:sz w:val="24"/>
          <w:szCs w:val="24"/>
        </w:rPr>
        <w:t>一</w:t>
      </w:r>
      <w:r>
        <w:rPr>
          <w:rFonts w:hint="eastAsia" w:ascii="方正楷体简体" w:hAnsi="方正楷体简体" w:eastAsia="方正楷体简体" w:cs="方正楷体简体"/>
          <w:bCs w:val="0"/>
          <w:sz w:val="24"/>
          <w:szCs w:val="24"/>
        </w:rPr>
        <w:t>般公共预算财政拨款项目支出决算表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_Toc13362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_Toc29067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十、</w:t>
      </w:r>
      <w:r>
        <w:rPr>
          <w:rFonts w:hint="eastAsia" w:ascii="方正楷体简体" w:hAnsi="方正楷体简体" w:eastAsia="方正楷体简体" w:cs="方正楷体简体"/>
          <w:sz w:val="24"/>
          <w:szCs w:val="24"/>
        </w:rPr>
        <w:t>一</w:t>
      </w:r>
      <w:r>
        <w:rPr>
          <w:rFonts w:hint="eastAsia" w:ascii="方正楷体简体" w:hAnsi="方正楷体简体" w:eastAsia="方正楷体简体" w:cs="方正楷体简体"/>
          <w:bCs w:val="0"/>
          <w:sz w:val="24"/>
          <w:szCs w:val="24"/>
        </w:rPr>
        <w:t>般公共预算财政拨款“三公”经费支出决算表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_Toc29067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_Toc8788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十一、</w:t>
      </w:r>
      <w:r>
        <w:rPr>
          <w:rFonts w:hint="eastAsia" w:ascii="方正楷体简体" w:hAnsi="方正楷体简体" w:eastAsia="方正楷体简体" w:cs="方正楷体简体"/>
          <w:sz w:val="24"/>
          <w:szCs w:val="24"/>
        </w:rPr>
        <w:t>政</w:t>
      </w:r>
      <w:r>
        <w:rPr>
          <w:rFonts w:hint="eastAsia" w:ascii="方正楷体简体" w:hAnsi="方正楷体简体" w:eastAsia="方正楷体简体" w:cs="方正楷体简体"/>
          <w:bCs w:val="0"/>
          <w:sz w:val="24"/>
          <w:szCs w:val="24"/>
        </w:rPr>
        <w:t>府性基金预算财政拨款收入支出决算表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_Toc8788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_Toc30318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十二、</w:t>
      </w:r>
      <w:r>
        <w:rPr>
          <w:rFonts w:hint="eastAsia" w:ascii="方正楷体简体" w:hAnsi="方正楷体简体" w:eastAsia="方正楷体简体" w:cs="方正楷体简体"/>
          <w:sz w:val="24"/>
          <w:szCs w:val="24"/>
        </w:rPr>
        <w:t>政</w:t>
      </w:r>
      <w:r>
        <w:rPr>
          <w:rFonts w:hint="eastAsia" w:ascii="方正楷体简体" w:hAnsi="方正楷体简体" w:eastAsia="方正楷体简体" w:cs="方正楷体简体"/>
          <w:bCs w:val="0"/>
          <w:sz w:val="24"/>
          <w:szCs w:val="24"/>
        </w:rPr>
        <w:t>府性基金预算财政拨款“三公”经费支出决算表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_Toc30318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pStyle w:val="9"/>
        <w:tabs>
          <w:tab w:val="right" w:leader="dot" w:pos="8306"/>
          <w:tab w:val="clear" w:pos="8296"/>
        </w:tabs>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HYPERLINK \l _Toc9199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bCs w:val="0"/>
          <w:sz w:val="24"/>
          <w:szCs w:val="24"/>
        </w:rPr>
        <w:t>十三、</w:t>
      </w:r>
      <w:r>
        <w:rPr>
          <w:rFonts w:hint="eastAsia" w:ascii="方正楷体简体" w:hAnsi="方正楷体简体" w:eastAsia="方正楷体简体" w:cs="方正楷体简体"/>
          <w:sz w:val="24"/>
          <w:szCs w:val="24"/>
        </w:rPr>
        <w:t>国</w:t>
      </w:r>
      <w:r>
        <w:rPr>
          <w:rFonts w:hint="eastAsia" w:ascii="方正楷体简体" w:hAnsi="方正楷体简体" w:eastAsia="方正楷体简体" w:cs="方正楷体简体"/>
          <w:bCs w:val="0"/>
          <w:sz w:val="24"/>
          <w:szCs w:val="24"/>
        </w:rPr>
        <w:t>有资本经营预算财政拨款支出决算表</w:t>
      </w:r>
      <w:r>
        <w:rPr>
          <w:rFonts w:hint="eastAsia" w:ascii="方正楷体简体" w:hAnsi="方正楷体简体" w:eastAsia="方正楷体简体" w:cs="方正楷体简体"/>
          <w:sz w:val="24"/>
          <w:szCs w:val="24"/>
        </w:rPr>
        <w:tab/>
      </w:r>
      <w:r>
        <w:rPr>
          <w:rFonts w:hint="eastAsia" w:ascii="方正楷体简体" w:hAnsi="方正楷体简体" w:eastAsia="方正楷体简体" w:cs="方正楷体简体"/>
          <w:sz w:val="24"/>
          <w:szCs w:val="24"/>
        </w:rPr>
        <w:fldChar w:fldCharType="begin"/>
      </w:r>
      <w:r>
        <w:rPr>
          <w:rFonts w:hint="eastAsia" w:ascii="方正楷体简体" w:hAnsi="方正楷体简体" w:eastAsia="方正楷体简体" w:cs="方正楷体简体"/>
          <w:sz w:val="24"/>
          <w:szCs w:val="24"/>
        </w:rPr>
        <w:instrText xml:space="preserve"> PAGEREF _Toc9199 </w:instrText>
      </w:r>
      <w:r>
        <w:rPr>
          <w:rFonts w:hint="eastAsia" w:ascii="方正楷体简体" w:hAnsi="方正楷体简体" w:eastAsia="方正楷体简体" w:cs="方正楷体简体"/>
          <w:sz w:val="24"/>
          <w:szCs w:val="24"/>
        </w:rPr>
        <w:fldChar w:fldCharType="separate"/>
      </w:r>
      <w:r>
        <w:rPr>
          <w:rFonts w:hint="eastAsia" w:ascii="方正楷体简体" w:hAnsi="方正楷体简体" w:eastAsia="方正楷体简体" w:cs="方正楷体简体"/>
          <w:sz w:val="24"/>
          <w:szCs w:val="24"/>
        </w:rPr>
        <w:t>54</w:t>
      </w:r>
      <w:r>
        <w:rPr>
          <w:rFonts w:hint="eastAsia" w:ascii="方正楷体简体" w:hAnsi="方正楷体简体" w:eastAsia="方正楷体简体" w:cs="方正楷体简体"/>
          <w:sz w:val="24"/>
          <w:szCs w:val="24"/>
        </w:rPr>
        <w:fldChar w:fldCharType="end"/>
      </w:r>
      <w:r>
        <w:rPr>
          <w:rFonts w:hint="eastAsia" w:ascii="方正楷体简体" w:hAnsi="方正楷体简体" w:eastAsia="方正楷体简体" w:cs="方正楷体简体"/>
          <w:sz w:val="24"/>
          <w:szCs w:val="24"/>
        </w:rPr>
        <w:fldChar w:fldCharType="end"/>
      </w:r>
    </w:p>
    <w:p>
      <w:pPr>
        <w:widowControl/>
        <w:jc w:val="center"/>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sz w:val="24"/>
          <w:szCs w:val="24"/>
        </w:rPr>
        <w:fldChar w:fldCharType="end"/>
      </w:r>
    </w:p>
    <w:p>
      <w:pPr>
        <w:pStyle w:val="2"/>
        <w:jc w:val="center"/>
        <w:rPr>
          <w:rStyle w:val="16"/>
          <w:rFonts w:ascii="黑体" w:hAnsi="黑体" w:eastAsia="黑体"/>
          <w:b/>
          <w:bCs w:val="0"/>
        </w:rPr>
      </w:pPr>
      <w:bookmarkStart w:id="12" w:name="_Toc15396599"/>
      <w:bookmarkStart w:id="13" w:name="_Toc8686"/>
      <w:bookmarkStart w:id="14" w:name="_Toc15377196"/>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3"/>
        <w:rPr>
          <w:rStyle w:val="17"/>
          <w:rFonts w:ascii="仿宋" w:hAnsi="仿宋" w:eastAsia="仿宋"/>
          <w:b w:val="0"/>
          <w:bCs w:val="0"/>
        </w:rPr>
      </w:pPr>
      <w:bookmarkStart w:id="15" w:name="_Toc15377197"/>
      <w:bookmarkStart w:id="16" w:name="_Toc32076"/>
      <w:bookmarkStart w:id="17" w:name="_Toc15396600"/>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5"/>
      <w:bookmarkEnd w:id="16"/>
      <w:bookmarkEnd w:id="17"/>
    </w:p>
    <w:p>
      <w:pPr>
        <w:pStyle w:val="4"/>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3141"/>
      <w:bookmarkStart w:id="19" w:name="_Toc15378445"/>
      <w:bookmarkStart w:id="20" w:name="_Toc15377198"/>
      <w:r>
        <w:rPr>
          <w:rFonts w:hint="eastAsia" w:ascii="仿宋" w:hAnsi="仿宋" w:eastAsia="仿宋"/>
          <w:bCs/>
          <w:color w:val="000000"/>
          <w:sz w:val="32"/>
          <w:szCs w:val="32"/>
        </w:rPr>
        <w:t>（一）主要职能。</w:t>
      </w:r>
      <w:bookmarkEnd w:id="18"/>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贯彻执行党和国家的路线方针、政策以及省、市、县关于街道工作方面的指示，制订具体的管理办法并组织实施；指导、搞好辖区内（村）居委会的工作，支持、帮助（村）居民委员会加强思想、组织、制度建设，向上级人民政府和有关部门及时反映居民的意见、建议和要求；抓好（村）社区文化建设，开展文明街道、文明单位、文明小区、文明院户建设活动，组织居民开展经常性的文化、娱乐、体育活动；负责街道的人民调解、治安保卫工作，加强对违法青少年的帮教转化，保护老人、妇女、儿童的合法权益；协助有关部门做好辖区拥军优属、优抚安置、社会救济、殡葬改革、残疾人就业等工作；积极开展便民利民的社区服务和社区教育工作；会同有关部门做好辖区内常住和流动人口的管理及计划生育工作，完成县下达的各项计划生育指标任务；协助武装部门做好辖区民兵训练和公民服兵役工作；负责在辖区开展普法教育工作，做好民事调解，开展法律咨询、服务等工作，维护居民的合法权益，搞好辖区内社会管理综合治理工作；负责本辖区的城市管理工作，发动群众开展爱国卫生运动，绿化、美化、净化城市环境，协助有关部门做好环境卫生、环境保护工作；负责本辖区的综合执法工作，维护辖区的良好秩序；负责研究辖区经济发展的规划，协助有关部门抓好安全生产工作；配合有关部门做好辖区内的三防、抢险救灾、安全生产检查、居民迁移等工作；承办县委、县政府交办的其他工作。</w:t>
      </w:r>
      <w:bookmarkEnd w:id="19"/>
      <w:bookmarkEnd w:id="20"/>
      <w:bookmarkStart w:id="21" w:name="_Toc15377199"/>
      <w:bookmarkStart w:id="22" w:name="_Toc15378446"/>
    </w:p>
    <w:p>
      <w:pPr>
        <w:pStyle w:val="4"/>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3" w:name="_Toc11469"/>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1"/>
      <w:bookmarkEnd w:id="22"/>
      <w:bookmarkEnd w:id="23"/>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1.全面完成村（社区）换届选举。推动辖区15个村（社区）“两委”班子换届选举（西城社区已完成换届选举试点工作）。</w:t>
      </w:r>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2.全力推进基层治理工作。全面加强党的建设，深入开展党风廉政建设和反腐败工作；持续推进谢家河坝基层治理示范社区及宏霞国际小区和江山壹品小区基层治理示范小区建设，启动城郊社区基层治理示范社区创建。</w:t>
      </w:r>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3.持续推进城市管理。一是持续巩固提升创文、创卫整治成果，加强与部门联动，营造“宜居、宜业、宜商”的优美环境氛围；二是继续加大老旧小区基础设施、服务设施和环境建设力度，规划建设社区休闲广场、街头绿地等市民休闲区；三是完善社区文体、消防、停车等公益性设施建设，逐步配套无障碍设施；四是做好辖区绿化、美化、亮化、净化提升；五是做好大气污染防治工作，抓好垃圾及秸秆禁烧治理，强化源头控制、过程监管，形成长效；六是认真落实“12345”市民服务热线工作，积极为群众解决问题，营造良好的营商环境。</w:t>
      </w:r>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4.深入推动社会管理。一是深化扫黑除恶专项斗争，加大宣传力度，畅通线索渠道，严格履行综合治理第一责任，突出抓好源头预防，深入开展矛盾纠纷排查调处，及时化解不稳定因素；二是强化安全生产责任意识，严格落实“党政同责、一岗双责、齐抓共管”责任体系，按照“全覆盖、零容忍、严执法、重实效”的总体要求，加强重点领域、重点行业、重点部位的安全检查，并坚持常抓不懈；三是加大公共安全监管力度，定期进行公共安全隐患排查，加强重点部位的治理工作。切实守好辖区经济社会发展底线，维护好辖区安全稳定和谐的发展环境。</w:t>
      </w:r>
    </w:p>
    <w:p>
      <w:pPr>
        <w:pStyle w:val="3"/>
        <w:rPr>
          <w:rStyle w:val="17"/>
          <w:b w:val="0"/>
          <w:bCs w:val="0"/>
        </w:rPr>
      </w:pPr>
      <w:bookmarkStart w:id="24" w:name="_Toc15396601"/>
      <w:bookmarkStart w:id="25" w:name="_Toc15377200"/>
      <w:bookmarkStart w:id="26" w:name="_Toc4301"/>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4"/>
      <w:bookmarkEnd w:id="25"/>
      <w:bookmarkEnd w:id="26"/>
    </w:p>
    <w:p>
      <w:pPr>
        <w:ind w:firstLine="800" w:firstLineChars="250"/>
        <w:rPr>
          <w:rFonts w:ascii="仿宋" w:hAnsi="仿宋" w:eastAsia="仿宋"/>
          <w:sz w:val="32"/>
          <w:szCs w:val="32"/>
        </w:rPr>
      </w:pPr>
      <w:r>
        <w:rPr>
          <w:rFonts w:hint="eastAsia" w:ascii="仿宋" w:hAnsi="仿宋" w:eastAsia="仿宋"/>
          <w:sz w:val="32"/>
          <w:szCs w:val="32"/>
          <w:lang w:eastAsia="zh-CN"/>
        </w:rPr>
        <w:t>通江县壁州街道办事处拥有下属二级单位1个，行政单位0个，参照公务员法管理的事业单位0个，其他事业单位1个。</w:t>
      </w:r>
    </w:p>
    <w:p>
      <w:pPr>
        <w:widowControl/>
        <w:jc w:val="left"/>
        <w:rPr>
          <w:rFonts w:ascii="仿宋" w:hAnsi="仿宋" w:eastAsia="仿宋"/>
          <w:color w:val="000000"/>
          <w:kern w:val="0"/>
          <w:sz w:val="32"/>
          <w:szCs w:val="32"/>
        </w:rPr>
      </w:pPr>
      <w:r>
        <w:br w:type="page"/>
      </w:r>
    </w:p>
    <w:p>
      <w:pPr>
        <w:pStyle w:val="2"/>
        <w:ind w:right="440"/>
        <w:jc w:val="right"/>
        <w:rPr>
          <w:rStyle w:val="16"/>
          <w:rFonts w:ascii="黑体" w:hAnsi="黑体" w:eastAsia="黑体"/>
          <w:b w:val="0"/>
          <w:bCs w:val="0"/>
        </w:rPr>
      </w:pPr>
      <w:bookmarkStart w:id="27" w:name="_Toc18998"/>
      <w:bookmarkStart w:id="28" w:name="_Toc15396602"/>
      <w:bookmarkStart w:id="29" w:name="_Toc15377204"/>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2020</w:t>
      </w:r>
      <w:r>
        <w:rPr>
          <w:rStyle w:val="16"/>
          <w:rFonts w:hint="eastAsia" w:ascii="黑体" w:hAnsi="黑体" w:eastAsia="黑体"/>
          <w:b w:val="0"/>
          <w:bCs w:val="0"/>
        </w:rPr>
        <w:t>年度</w:t>
      </w:r>
      <w:r>
        <w:rPr>
          <w:rFonts w:hint="eastAsia" w:ascii="黑体" w:hAnsi="黑体" w:eastAsia="黑体"/>
          <w:b w:val="0"/>
          <w:bCs w:val="0"/>
        </w:rPr>
        <w:t>部门决算情况说明</w:t>
      </w:r>
      <w:bookmarkEnd w:id="27"/>
      <w:bookmarkEnd w:id="28"/>
      <w:bookmarkEnd w:id="29"/>
    </w:p>
    <w:p/>
    <w:p>
      <w:pPr>
        <w:pStyle w:val="18"/>
        <w:numPr>
          <w:ilvl w:val="0"/>
          <w:numId w:val="1"/>
        </w:numPr>
        <w:spacing w:line="600" w:lineRule="exact"/>
        <w:ind w:firstLineChars="0"/>
        <w:outlineLvl w:val="1"/>
        <w:rPr>
          <w:rStyle w:val="17"/>
          <w:rFonts w:ascii="黑体" w:hAnsi="黑体" w:eastAsia="黑体"/>
          <w:b w:val="0"/>
        </w:rPr>
      </w:pPr>
      <w:bookmarkStart w:id="30" w:name="_Toc2864"/>
      <w:bookmarkStart w:id="31" w:name="_Toc15396603"/>
      <w:bookmarkStart w:id="32"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0"/>
      <w:bookmarkEnd w:id="31"/>
      <w:bookmarkEnd w:id="3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1684.80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1681.55万元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1684.80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，支出总计增加</w:t>
      </w:r>
      <w:r>
        <w:rPr>
          <w:rFonts w:hint="eastAsia" w:ascii="仿宋" w:hAnsi="仿宋" w:eastAsia="仿宋"/>
          <w:color w:val="000000"/>
          <w:sz w:val="32"/>
          <w:szCs w:val="32"/>
          <w:lang w:val="en-US" w:eastAsia="zh-CN"/>
        </w:rPr>
        <w:t>1681.55万元</w:t>
      </w:r>
      <w:r>
        <w:rPr>
          <w:rFonts w:hint="eastAsia" w:ascii="仿宋" w:hAnsi="仿宋" w:eastAsia="仿宋"/>
          <w:color w:val="000000"/>
          <w:sz w:val="32"/>
          <w:szCs w:val="32"/>
        </w:rPr>
        <w:t>。主要变动原因是我单位为行政区划改革新设立机构</w:t>
      </w: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年新增加工作人员64人，增加行政村4个，增加城市社区12个，增加二级单位</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个。</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67456" behindDoc="0" locked="0" layoutInCell="1" allowOverlap="1">
            <wp:simplePos x="0" y="0"/>
            <wp:positionH relativeFrom="column">
              <wp:posOffset>271145</wp:posOffset>
            </wp:positionH>
            <wp:positionV relativeFrom="paragraph">
              <wp:posOffset>147320</wp:posOffset>
            </wp:positionV>
            <wp:extent cx="4572000" cy="2800985"/>
            <wp:effectExtent l="4445" t="4445" r="14605" b="13970"/>
            <wp:wrapSquare wrapText="bothSides"/>
            <wp:docPr id="164" name="_x0000_s15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pStyle w:val="18"/>
        <w:numPr>
          <w:ilvl w:val="0"/>
          <w:numId w:val="1"/>
        </w:numPr>
        <w:spacing w:line="600" w:lineRule="exact"/>
        <w:ind w:firstLineChars="0"/>
        <w:outlineLvl w:val="1"/>
        <w:rPr>
          <w:rStyle w:val="17"/>
          <w:rFonts w:ascii="黑体" w:hAnsi="黑体" w:eastAsia="黑体"/>
          <w:b w:val="0"/>
        </w:rPr>
      </w:pPr>
      <w:bookmarkStart w:id="33" w:name="_Toc15396604"/>
      <w:bookmarkStart w:id="34" w:name="_Toc15377206"/>
      <w:bookmarkStart w:id="35" w:name="_Toc26705"/>
      <w:r>
        <w:rPr>
          <w:rFonts w:hint="eastAsia" w:ascii="黑体" w:hAnsi="黑体" w:eastAsia="黑体"/>
          <w:color w:val="000000"/>
          <w:sz w:val="32"/>
          <w:szCs w:val="32"/>
        </w:rPr>
        <w:t>收</w:t>
      </w:r>
      <w:r>
        <w:rPr>
          <w:rStyle w:val="17"/>
          <w:rFonts w:hint="eastAsia" w:ascii="黑体" w:hAnsi="黑体" w:eastAsia="黑体"/>
          <w:b w:val="0"/>
        </w:rPr>
        <w:t>入决算情况说明</w:t>
      </w:r>
      <w:bookmarkEnd w:id="33"/>
      <w:bookmarkEnd w:id="34"/>
      <w:bookmarkEnd w:id="35"/>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1684.80</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1413.73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83.91</w:t>
      </w:r>
      <w:r>
        <w:rPr>
          <w:rFonts w:ascii="仿宋" w:hAnsi="仿宋" w:eastAsia="仿宋"/>
          <w:color w:val="000000"/>
          <w:sz w:val="32"/>
          <w:szCs w:val="32"/>
        </w:rPr>
        <w:t>%</w:t>
      </w:r>
      <w:r>
        <w:rPr>
          <w:rFonts w:hint="eastAsia" w:ascii="仿宋" w:hAnsi="仿宋" w:eastAsia="仿宋"/>
          <w:color w:val="000000"/>
          <w:sz w:val="32"/>
          <w:szCs w:val="32"/>
          <w:lang w:eastAsia="zh-CN"/>
        </w:rPr>
        <w:t>，事业收入</w:t>
      </w:r>
      <w:r>
        <w:rPr>
          <w:rFonts w:hint="eastAsia" w:ascii="仿宋" w:hAnsi="仿宋" w:eastAsia="仿宋"/>
          <w:color w:val="000000"/>
          <w:sz w:val="32"/>
          <w:szCs w:val="32"/>
          <w:lang w:val="en-US" w:eastAsia="zh-CN"/>
        </w:rPr>
        <w:t>271.08万元，占16.09%</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outlineLvl w:val="9"/>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2336" behindDoc="0" locked="0" layoutInCell="1" allowOverlap="1">
            <wp:simplePos x="0" y="0"/>
            <wp:positionH relativeFrom="column">
              <wp:posOffset>90170</wp:posOffset>
            </wp:positionH>
            <wp:positionV relativeFrom="paragraph">
              <wp:posOffset>128270</wp:posOffset>
            </wp:positionV>
            <wp:extent cx="4572000" cy="2896235"/>
            <wp:effectExtent l="4445" t="4445" r="14605" b="13970"/>
            <wp:wrapSquare wrapText="bothSides"/>
            <wp:docPr id="165" name="_x0000_s15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18"/>
        <w:numPr>
          <w:ilvl w:val="0"/>
          <w:numId w:val="1"/>
        </w:numPr>
        <w:spacing w:line="600" w:lineRule="exact"/>
        <w:ind w:firstLineChars="0"/>
        <w:outlineLvl w:val="1"/>
        <w:rPr>
          <w:rStyle w:val="17"/>
          <w:rFonts w:ascii="黑体" w:hAnsi="黑体" w:eastAsia="黑体"/>
          <w:b w:val="0"/>
        </w:rPr>
      </w:pPr>
      <w:bookmarkStart w:id="36" w:name="_Toc31156"/>
      <w:bookmarkStart w:id="37" w:name="_Toc15377207"/>
      <w:bookmarkStart w:id="38" w:name="_Toc15396605"/>
      <w:r>
        <w:rPr>
          <w:rFonts w:hint="eastAsia" w:ascii="黑体" w:hAnsi="黑体" w:eastAsia="黑体"/>
          <w:color w:val="000000"/>
          <w:sz w:val="32"/>
          <w:szCs w:val="32"/>
        </w:rPr>
        <w:t>支</w:t>
      </w:r>
      <w:r>
        <w:rPr>
          <w:rStyle w:val="17"/>
          <w:rFonts w:hint="eastAsia" w:ascii="黑体" w:hAnsi="黑体" w:eastAsia="黑体"/>
          <w:b w:val="0"/>
        </w:rPr>
        <w:t>出决算情况说明</w:t>
      </w:r>
      <w:bookmarkEnd w:id="36"/>
      <w:bookmarkEnd w:id="37"/>
      <w:bookmarkEnd w:id="38"/>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1681.55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746.17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935.38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9"/>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337820</wp:posOffset>
            </wp:positionH>
            <wp:positionV relativeFrom="paragraph">
              <wp:posOffset>199390</wp:posOffset>
            </wp:positionV>
            <wp:extent cx="4581525" cy="2856865"/>
            <wp:effectExtent l="4445" t="4445" r="5080" b="15240"/>
            <wp:wrapSquare wrapText="bothSides"/>
            <wp:docPr id="166" name="_x0000_s15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outlineLvl w:val="1"/>
        <w:rPr>
          <w:rFonts w:hint="eastAsia" w:ascii="黑体" w:hAnsi="黑体" w:eastAsia="黑体"/>
          <w:color w:val="000000"/>
          <w:sz w:val="32"/>
          <w:szCs w:val="32"/>
        </w:rPr>
      </w:pPr>
      <w:bookmarkStart w:id="39" w:name="_Toc15396606"/>
      <w:bookmarkStart w:id="40" w:name="_Toc15377208"/>
    </w:p>
    <w:p>
      <w:pPr>
        <w:spacing w:line="600" w:lineRule="exact"/>
        <w:outlineLvl w:val="1"/>
        <w:rPr>
          <w:rFonts w:hint="eastAsia" w:ascii="黑体" w:hAnsi="黑体" w:eastAsia="黑体"/>
          <w:color w:val="000000"/>
          <w:sz w:val="32"/>
          <w:szCs w:val="32"/>
        </w:rPr>
      </w:pPr>
    </w:p>
    <w:p>
      <w:pPr>
        <w:spacing w:line="600" w:lineRule="exact"/>
        <w:outlineLvl w:val="1"/>
        <w:rPr>
          <w:rFonts w:hint="eastAsia" w:ascii="黑体" w:hAnsi="黑体" w:eastAsia="黑体"/>
          <w:color w:val="000000"/>
          <w:sz w:val="32"/>
          <w:szCs w:val="32"/>
        </w:rPr>
      </w:pPr>
    </w:p>
    <w:p>
      <w:pPr>
        <w:spacing w:line="600" w:lineRule="exact"/>
        <w:ind w:firstLine="640" w:firstLineChars="200"/>
        <w:outlineLvl w:val="1"/>
        <w:rPr>
          <w:rStyle w:val="17"/>
          <w:rFonts w:ascii="黑体" w:hAnsi="黑体" w:eastAsia="黑体"/>
          <w:b w:val="0"/>
        </w:rPr>
      </w:pPr>
      <w:bookmarkStart w:id="41" w:name="_Toc28773"/>
      <w:r>
        <w:rPr>
          <w:rFonts w:hint="eastAsia" w:ascii="黑体" w:hAnsi="黑体" w:eastAsia="黑体"/>
          <w:color w:val="000000"/>
          <w:sz w:val="32"/>
          <w:szCs w:val="32"/>
        </w:rPr>
        <w:t>四、财</w:t>
      </w:r>
      <w:r>
        <w:rPr>
          <w:rStyle w:val="17"/>
          <w:rFonts w:hint="eastAsia" w:ascii="黑体" w:hAnsi="黑体" w:eastAsia="黑体"/>
          <w:b w:val="0"/>
        </w:rPr>
        <w:t>政拨款收</w:t>
      </w:r>
      <w:r>
        <w:rPr>
          <w:rFonts w:hint="eastAsia" w:ascii="黑体" w:hAnsi="黑体" w:eastAsia="黑体"/>
          <w:b w:val="0"/>
        </w:rPr>
        <w:t>入支出决算总体情况说明</w:t>
      </w:r>
      <w:bookmarkEnd w:id="39"/>
      <w:bookmarkEnd w:id="40"/>
      <w:bookmarkEnd w:id="41"/>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1413.73</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1413.73</w:t>
      </w:r>
      <w:r>
        <w:rPr>
          <w:rFonts w:hint="eastAsia" w:ascii="仿宋" w:hAnsi="仿宋" w:eastAsia="仿宋"/>
          <w:color w:val="000000"/>
          <w:sz w:val="32"/>
          <w:szCs w:val="32"/>
        </w:rPr>
        <w:t>万元。主要变动原因是我单位为行政区划改革新设立机构，202</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年新增加工作人员64人，增加行政村4个，增加城市社区12个</w:t>
      </w:r>
      <w:r>
        <w:rPr>
          <w:rFonts w:hint="eastAsia" w:ascii="仿宋" w:hAnsi="仿宋" w:eastAsia="仿宋"/>
          <w:color w:val="000000"/>
          <w:sz w:val="32"/>
          <w:szCs w:val="32"/>
          <w:lang w:eastAsia="zh-CN"/>
        </w:rPr>
        <w:t>，增加二级单位</w:t>
      </w:r>
      <w:r>
        <w:rPr>
          <w:rFonts w:hint="eastAsia" w:ascii="仿宋" w:hAnsi="仿宋" w:eastAsia="仿宋"/>
          <w:color w:val="000000"/>
          <w:sz w:val="32"/>
          <w:szCs w:val="32"/>
          <w:lang w:val="en-US" w:eastAsia="zh-CN"/>
        </w:rPr>
        <w:t>1个</w:t>
      </w:r>
      <w:r>
        <w:rPr>
          <w:rFonts w:hint="eastAsia" w:ascii="仿宋" w:hAnsi="仿宋" w:eastAsia="仿宋"/>
          <w:color w:val="000000"/>
          <w:sz w:val="32"/>
          <w:szCs w:val="32"/>
          <w:lang w:eastAsia="zh-CN"/>
        </w:rPr>
        <w:t>。</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hint="eastAsia" w:ascii="仿宋" w:hAnsi="仿宋" w:eastAsia="仿宋"/>
          <w:color w:val="000000"/>
          <w:sz w:val="32"/>
          <w:szCs w:val="32"/>
          <w:lang w:eastAsia="zh-CN"/>
        </w:rPr>
      </w:pPr>
      <w:r>
        <w:drawing>
          <wp:anchor distT="0" distB="0" distL="114300" distR="114300" simplePos="0" relativeHeight="251664384" behindDoc="0" locked="0" layoutInCell="1" allowOverlap="1">
            <wp:simplePos x="0" y="0"/>
            <wp:positionH relativeFrom="column">
              <wp:posOffset>410845</wp:posOffset>
            </wp:positionH>
            <wp:positionV relativeFrom="paragraph">
              <wp:posOffset>137795</wp:posOffset>
            </wp:positionV>
            <wp:extent cx="4572000" cy="2819400"/>
            <wp:effectExtent l="4445" t="4445" r="14605" b="14605"/>
            <wp:wrapSquare wrapText="bothSides"/>
            <wp:docPr id="167" name="_x0000_s15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firstLineChars="200"/>
        <w:outlineLvl w:val="1"/>
        <w:rPr>
          <w:rStyle w:val="17"/>
          <w:rFonts w:ascii="黑体" w:hAnsi="黑体" w:eastAsia="黑体"/>
          <w:b w:val="0"/>
        </w:rPr>
      </w:pPr>
      <w:bookmarkStart w:id="42" w:name="_Toc23606"/>
      <w:bookmarkStart w:id="43" w:name="_Toc15377209"/>
      <w:bookmarkStart w:id="4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000000"/>
          <w:sz w:val="32"/>
          <w:szCs w:val="32"/>
        </w:rPr>
      </w:pPr>
      <w:bookmarkStart w:id="45" w:name="_Toc30663"/>
      <w:bookmarkStart w:id="46" w:name="_Toc15377210"/>
      <w:r>
        <w:rPr>
          <w:rFonts w:hint="eastAsia" w:ascii="仿宋" w:hAnsi="仿宋" w:eastAsia="仿宋"/>
          <w:b/>
          <w:color w:val="000000"/>
          <w:sz w:val="32"/>
          <w:szCs w:val="32"/>
        </w:rPr>
        <w:t>（一）一般公共预算财政拨款支出决算总体情况</w:t>
      </w:r>
      <w:bookmarkEnd w:id="45"/>
      <w:bookmarkEnd w:id="46"/>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1413.73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84.07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1413.73</w:t>
      </w:r>
      <w:r>
        <w:rPr>
          <w:rFonts w:hint="eastAsia" w:ascii="仿宋" w:hAnsi="仿宋" w:eastAsia="仿宋"/>
          <w:color w:val="000000"/>
          <w:sz w:val="32"/>
          <w:szCs w:val="32"/>
        </w:rPr>
        <w:t>万元。主要变动原因是我单位为行政区划改革新设立机构，202</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年新增加工作人员64人，增加行政村4个，增加城市社区12个</w:t>
      </w:r>
      <w:r>
        <w:rPr>
          <w:rFonts w:hint="eastAsia" w:ascii="仿宋" w:hAnsi="仿宋" w:eastAsia="仿宋"/>
          <w:color w:val="000000"/>
          <w:sz w:val="32"/>
          <w:szCs w:val="32"/>
          <w:lang w:eastAsia="zh-CN"/>
        </w:rPr>
        <w:t>，增加二级单位</w:t>
      </w:r>
      <w:r>
        <w:rPr>
          <w:rFonts w:hint="eastAsia" w:ascii="仿宋" w:hAnsi="仿宋" w:eastAsia="仿宋"/>
          <w:color w:val="000000"/>
          <w:sz w:val="32"/>
          <w:szCs w:val="32"/>
          <w:lang w:val="en-US" w:eastAsia="zh-CN"/>
        </w:rPr>
        <w:t>1个</w:t>
      </w:r>
      <w:r>
        <w:rPr>
          <w:rFonts w:hint="eastAsia" w:ascii="仿宋" w:hAnsi="仿宋" w:eastAsia="仿宋"/>
          <w:color w:val="000000"/>
          <w:sz w:val="32"/>
          <w:szCs w:val="32"/>
          <w:lang w:eastAsia="zh-CN"/>
        </w:rPr>
        <w:t>。</w:t>
      </w:r>
    </w:p>
    <w:p>
      <w:pPr>
        <w:spacing w:line="600" w:lineRule="exact"/>
        <w:ind w:firstLine="64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5408"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168" name="_x0000_s15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3" w:firstLineChars="200"/>
        <w:outlineLvl w:val="2"/>
        <w:rPr>
          <w:rFonts w:ascii="仿宋" w:hAnsi="仿宋" w:eastAsia="仿宋"/>
          <w:b/>
          <w:color w:val="000000"/>
          <w:sz w:val="32"/>
          <w:szCs w:val="32"/>
        </w:rPr>
      </w:pPr>
      <w:bookmarkStart w:id="47" w:name="_Toc23544"/>
      <w:bookmarkStart w:id="48" w:name="_Toc15377211"/>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1413.73</w:t>
      </w:r>
      <w:r>
        <w:rPr>
          <w:rFonts w:hint="eastAsia" w:ascii="仿宋" w:hAnsi="仿宋" w:eastAsia="仿宋"/>
          <w:color w:val="000000"/>
          <w:sz w:val="32"/>
          <w:szCs w:val="32"/>
        </w:rPr>
        <w:t>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支出231.11万元，占</w:t>
      </w:r>
      <w:r>
        <w:rPr>
          <w:rFonts w:hint="eastAsia" w:ascii="仿宋" w:hAnsi="仿宋" w:eastAsia="仿宋"/>
          <w:color w:val="000000"/>
          <w:sz w:val="32"/>
          <w:szCs w:val="32"/>
          <w:lang w:val="en-US" w:eastAsia="zh-CN"/>
        </w:rPr>
        <w:t>16.35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15</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1.06</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71.77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5.08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w:t>
      </w:r>
      <w:r>
        <w:rPr>
          <w:rFonts w:hint="eastAsia" w:ascii="仿宋" w:hAnsi="仿宋" w:eastAsia="仿宋"/>
          <w:b/>
          <w:bCs/>
          <w:color w:val="000000"/>
          <w:sz w:val="32"/>
          <w:szCs w:val="32"/>
          <w:lang w:eastAsia="zh-CN"/>
        </w:rPr>
        <w:t>（类）</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329.23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23.29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w:t>
      </w:r>
      <w:r>
        <w:rPr>
          <w:rFonts w:hint="eastAsia" w:ascii="仿宋" w:hAnsi="仿宋" w:eastAsia="仿宋"/>
          <w:b/>
          <w:bCs/>
          <w:color w:val="000000"/>
          <w:sz w:val="32"/>
          <w:szCs w:val="32"/>
          <w:lang w:eastAsia="zh-CN"/>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28.13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1.99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w:t>
      </w:r>
      <w:r>
        <w:rPr>
          <w:rFonts w:hint="eastAsia" w:ascii="仿宋" w:hAnsi="仿宋" w:eastAsia="仿宋"/>
          <w:b/>
          <w:bCs/>
          <w:color w:val="000000"/>
          <w:sz w:val="32"/>
          <w:szCs w:val="32"/>
          <w:lang w:eastAsia="zh-CN"/>
        </w:rPr>
        <w:t>（类）</w:t>
      </w:r>
      <w:r>
        <w:rPr>
          <w:rFonts w:hint="eastAsia" w:ascii="仿宋" w:hAnsi="仿宋" w:eastAsia="仿宋"/>
          <w:b w:val="0"/>
          <w:bCs w:val="0"/>
          <w:color w:val="000000"/>
          <w:sz w:val="32"/>
          <w:szCs w:val="32"/>
          <w:lang w:eastAsia="zh-CN"/>
        </w:rPr>
        <w:t>支出</w:t>
      </w:r>
      <w:r>
        <w:rPr>
          <w:rFonts w:hint="eastAsia" w:ascii="仿宋" w:hAnsi="仿宋" w:eastAsia="仿宋"/>
          <w:b w:val="0"/>
          <w:bCs w:val="0"/>
          <w:color w:val="000000"/>
          <w:sz w:val="32"/>
          <w:szCs w:val="32"/>
          <w:lang w:val="en-US" w:eastAsia="zh-CN"/>
        </w:rPr>
        <w:t>738.42万元，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53.23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b/>
          <w:bCs/>
          <w:color w:val="000000"/>
          <w:sz w:val="32"/>
          <w:szCs w:val="32"/>
          <w:lang w:eastAsia="zh-CN"/>
        </w:rPr>
        <w:t>节能环保（类）</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0.09万元，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420" w:firstLineChars="200"/>
        <w:rPr>
          <w:rFonts w:hint="eastAsia" w:ascii="仿宋" w:hAnsi="仿宋" w:eastAsia="仿宋"/>
          <w:b/>
          <w:color w:val="000000"/>
          <w:sz w:val="32"/>
          <w:szCs w:val="32"/>
        </w:rPr>
      </w:pPr>
      <w:r>
        <w:drawing>
          <wp:anchor distT="0" distB="0" distL="114300" distR="114300" simplePos="0" relativeHeight="251666432" behindDoc="0" locked="0" layoutInCell="1" allowOverlap="1">
            <wp:simplePos x="0" y="0"/>
            <wp:positionH relativeFrom="column">
              <wp:posOffset>80645</wp:posOffset>
            </wp:positionH>
            <wp:positionV relativeFrom="paragraph">
              <wp:posOffset>319405</wp:posOffset>
            </wp:positionV>
            <wp:extent cx="4835525" cy="3620135"/>
            <wp:effectExtent l="4445" t="4445" r="17780" b="13970"/>
            <wp:wrapSquare wrapText="bothSides"/>
            <wp:docPr id="169" name="_x0000_s15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49" w:name="_Toc15377212"/>
    </w:p>
    <w:p>
      <w:pPr>
        <w:spacing w:line="600" w:lineRule="exact"/>
        <w:ind w:firstLine="643" w:firstLineChars="200"/>
        <w:outlineLvl w:val="2"/>
        <w:rPr>
          <w:rFonts w:ascii="仿宋" w:hAnsi="仿宋" w:eastAsia="仿宋"/>
          <w:b/>
          <w:color w:val="000000"/>
          <w:sz w:val="32"/>
          <w:szCs w:val="32"/>
        </w:rPr>
      </w:pPr>
      <w:bookmarkStart w:id="50" w:name="_Toc20204"/>
      <w:r>
        <w:rPr>
          <w:rFonts w:hint="eastAsia" w:ascii="仿宋" w:hAnsi="仿宋" w:eastAsia="仿宋"/>
          <w:b/>
          <w:color w:val="000000"/>
          <w:sz w:val="32"/>
          <w:szCs w:val="32"/>
        </w:rPr>
        <w:t>（三）一般公共预算财政拨款支出决算具体情况</w:t>
      </w:r>
      <w:bookmarkEnd w:id="49"/>
      <w:bookmarkEnd w:id="50"/>
      <w:bookmarkStart w:id="51" w:name="_Toc15377213"/>
      <w:bookmarkStart w:id="52" w:name="_Toc15378460"/>
      <w:bookmarkStart w:id="53" w:name="_Toc15377444"/>
    </w:p>
    <w:p>
      <w:pPr>
        <w:spacing w:line="600" w:lineRule="exact"/>
        <w:ind w:firstLine="643" w:firstLineChars="200"/>
        <w:outlineLvl w:val="9"/>
        <w:rPr>
          <w:rFonts w:ascii="仿宋" w:hAnsi="仿宋" w:eastAsia="仿宋"/>
          <w:color w:val="FF0000"/>
          <w:sz w:val="32"/>
          <w:szCs w:val="32"/>
        </w:rPr>
      </w:pPr>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1413.73万元</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完成预算100%。其中：</w:t>
      </w:r>
      <w:bookmarkEnd w:id="51"/>
      <w:bookmarkEnd w:id="52"/>
      <w:bookmarkEnd w:id="53"/>
    </w:p>
    <w:p>
      <w:pPr>
        <w:numPr>
          <w:ilvl w:val="0"/>
          <w:numId w:val="2"/>
        </w:num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Cs/>
          <w:color w:val="000000"/>
          <w:sz w:val="32"/>
          <w:szCs w:val="32"/>
        </w:rPr>
        <w:t>一般公共服务</w:t>
      </w:r>
      <w:r>
        <w:rPr>
          <w:rFonts w:hint="eastAsia" w:ascii="仿宋" w:hAnsi="仿宋" w:eastAsia="仿宋"/>
          <w:bCs/>
          <w:color w:val="000000"/>
          <w:sz w:val="32"/>
          <w:szCs w:val="32"/>
        </w:rPr>
        <w:t>（类）政府办公厅（室）及相关机构事务（款）行政运行（项）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159.47</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一般公共服务</w:t>
      </w:r>
      <w:r>
        <w:rPr>
          <w:rFonts w:hint="eastAsia" w:ascii="仿宋" w:hAnsi="仿宋" w:eastAsia="仿宋"/>
          <w:bCs/>
          <w:color w:val="000000"/>
          <w:sz w:val="32"/>
          <w:szCs w:val="32"/>
        </w:rPr>
        <w:t>（类）财政事务（款）行政运行（项）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35.01</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一般公共服务</w:t>
      </w:r>
      <w:r>
        <w:rPr>
          <w:rFonts w:hint="eastAsia" w:ascii="仿宋" w:hAnsi="仿宋" w:eastAsia="仿宋"/>
          <w:bCs/>
          <w:color w:val="000000"/>
          <w:sz w:val="32"/>
          <w:szCs w:val="32"/>
        </w:rPr>
        <w:t>（类）党委办公厅（室）及相关机构事务（款）行政运行（项）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31.63</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一般公共服务</w:t>
      </w:r>
      <w:r>
        <w:rPr>
          <w:rFonts w:hint="eastAsia" w:ascii="仿宋" w:hAnsi="仿宋" w:eastAsia="仿宋"/>
          <w:bCs/>
          <w:color w:val="000000"/>
          <w:sz w:val="32"/>
          <w:szCs w:val="32"/>
        </w:rPr>
        <w:t>（类）其他一般公共服务支出（款）其他一般公共服务支出（项）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Fonts w:hint="eastAsia" w:ascii="仿宋" w:hAnsi="仿宋" w:eastAsia="仿宋"/>
          <w:b/>
          <w:color w:val="000000"/>
          <w:sz w:val="32"/>
          <w:szCs w:val="32"/>
          <w:lang w:eastAsia="zh-CN"/>
        </w:rPr>
      </w:pPr>
      <w:r>
        <w:rPr>
          <w:rStyle w:val="13"/>
          <w:rFonts w:hint="eastAsia" w:ascii="仿宋" w:hAnsi="仿宋" w:eastAsia="仿宋"/>
          <w:bCs/>
          <w:color w:val="000000"/>
          <w:sz w:val="32"/>
          <w:szCs w:val="32"/>
          <w:lang w:val="en-US" w:eastAsia="zh-CN"/>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文化旅游体育与传媒（类）文化和旅游（款）其他文化和旅游支出（项）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spacing w:line="600" w:lineRule="exact"/>
        <w:ind w:firstLine="643" w:firstLineChars="200"/>
        <w:rPr>
          <w:rFonts w:hint="eastAsia" w:ascii="仿宋" w:hAnsi="仿宋" w:eastAsia="仿宋"/>
          <w:b/>
          <w:color w:val="000000"/>
          <w:sz w:val="32"/>
          <w:szCs w:val="32"/>
          <w:lang w:eastAsia="zh-CN"/>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w:t>
      </w:r>
      <w:r>
        <w:rPr>
          <w:rFonts w:hint="eastAsia" w:ascii="仿宋" w:hAnsi="仿宋" w:eastAsia="仿宋"/>
          <w:bCs/>
          <w:color w:val="000000"/>
          <w:sz w:val="32"/>
          <w:szCs w:val="32"/>
        </w:rPr>
        <w:t>（类）人力资源和社会保障管理事务（款）社会保险经办机构（项）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21.53</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w:t>
      </w:r>
      <w:r>
        <w:rPr>
          <w:rFonts w:hint="eastAsia" w:ascii="仿宋" w:hAnsi="仿宋" w:eastAsia="仿宋"/>
          <w:bCs/>
          <w:color w:val="000000"/>
          <w:sz w:val="32"/>
          <w:szCs w:val="32"/>
        </w:rPr>
        <w:t>（类）行政事业单位养老支出（款）机关事业单位基本养老保险缴费支出（项）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37.82</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rPr>
        <w:t>社会保障和就业</w:t>
      </w:r>
      <w:r>
        <w:rPr>
          <w:rFonts w:hint="eastAsia" w:ascii="仿宋" w:hAnsi="仿宋" w:eastAsia="仿宋"/>
          <w:bCs/>
          <w:color w:val="000000"/>
          <w:sz w:val="32"/>
          <w:szCs w:val="32"/>
        </w:rPr>
        <w:t>（类）就业补助（款）公益性岗位补贴（项）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12.42</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Cs/>
          <w:color w:val="000000"/>
          <w:sz w:val="32"/>
          <w:szCs w:val="32"/>
          <w:lang w:val="en-US" w:eastAsia="zh-CN"/>
        </w:rPr>
        <w:t>4</w:t>
      </w:r>
      <w:r>
        <w:rPr>
          <w:rStyle w:val="13"/>
          <w:rFonts w:ascii="仿宋" w:hAnsi="仿宋" w:eastAsia="仿宋"/>
          <w:bCs/>
          <w:color w:val="000000"/>
          <w:sz w:val="32"/>
          <w:szCs w:val="32"/>
        </w:rPr>
        <w:t>.</w:t>
      </w:r>
      <w:r>
        <w:rPr>
          <w:rFonts w:hint="eastAsia" w:ascii="仿宋" w:hAnsi="仿宋" w:eastAsia="仿宋"/>
          <w:b/>
          <w:bCs/>
          <w:color w:val="000000"/>
          <w:sz w:val="32"/>
          <w:szCs w:val="32"/>
        </w:rPr>
        <w:t>卫生健康支出</w:t>
      </w:r>
      <w:r>
        <w:rPr>
          <w:rStyle w:val="13"/>
          <w:rFonts w:hint="eastAsia" w:ascii="仿宋" w:hAnsi="仿宋" w:eastAsia="仿宋"/>
          <w:bCs/>
          <w:color w:val="000000"/>
          <w:sz w:val="32"/>
          <w:szCs w:val="32"/>
        </w:rPr>
        <w:t>（类）基层医疗卫生机构</w:t>
      </w:r>
      <w:r>
        <w:rPr>
          <w:rFonts w:hint="eastAsia" w:ascii="仿宋" w:hAnsi="仿宋" w:eastAsia="仿宋"/>
          <w:bCs/>
          <w:color w:val="000000"/>
          <w:sz w:val="32"/>
          <w:szCs w:val="32"/>
        </w:rPr>
        <w:t>（款）城市社区卫生机构（项）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94.44</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卫生健康支出</w:t>
      </w:r>
      <w:r>
        <w:rPr>
          <w:rStyle w:val="13"/>
          <w:rFonts w:hint="eastAsia" w:ascii="仿宋" w:hAnsi="仿宋" w:eastAsia="仿宋"/>
          <w:bCs/>
          <w:color w:val="000000"/>
          <w:sz w:val="32"/>
          <w:szCs w:val="32"/>
        </w:rPr>
        <w:t>（类）基层医疗卫生机构</w:t>
      </w:r>
      <w:r>
        <w:rPr>
          <w:rFonts w:hint="eastAsia" w:ascii="仿宋" w:hAnsi="仿宋" w:eastAsia="仿宋"/>
          <w:bCs/>
          <w:color w:val="000000"/>
          <w:sz w:val="32"/>
          <w:szCs w:val="32"/>
        </w:rPr>
        <w:t>（款）其他基层医疗卫生机构支出（项）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28.57</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卫生健康支出</w:t>
      </w:r>
      <w:r>
        <w:rPr>
          <w:rStyle w:val="13"/>
          <w:rFonts w:hint="eastAsia" w:ascii="仿宋" w:hAnsi="仿宋" w:eastAsia="仿宋"/>
          <w:bCs/>
          <w:color w:val="000000"/>
          <w:sz w:val="32"/>
          <w:szCs w:val="32"/>
        </w:rPr>
        <w:t>（类）公共卫生（款）基本公共卫生服务（项）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169.35</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卫生健康支出</w:t>
      </w:r>
      <w:r>
        <w:rPr>
          <w:rStyle w:val="13"/>
          <w:rFonts w:hint="eastAsia" w:ascii="仿宋" w:hAnsi="仿宋" w:eastAsia="仿宋"/>
          <w:bCs/>
          <w:color w:val="000000"/>
          <w:sz w:val="32"/>
          <w:szCs w:val="32"/>
        </w:rPr>
        <w:t>（类）公共卫生（款）其他公共卫生支出（项）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2.81</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w:t>
      </w:r>
      <w:r>
        <w:rPr>
          <w:rFonts w:hint="eastAsia" w:ascii="仿宋" w:hAnsi="仿宋" w:eastAsia="仿宋"/>
          <w:bCs/>
          <w:color w:val="000000"/>
          <w:sz w:val="32"/>
          <w:szCs w:val="32"/>
        </w:rPr>
        <w:t>（款）行政单位医疗（项）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23.97</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w:t>
      </w:r>
      <w:r>
        <w:rPr>
          <w:rFonts w:hint="eastAsia" w:ascii="仿宋" w:hAnsi="仿宋" w:eastAsia="仿宋"/>
          <w:bCs/>
          <w:color w:val="000000"/>
          <w:sz w:val="32"/>
          <w:szCs w:val="32"/>
        </w:rPr>
        <w:t>（款）事业单位医疗（项）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6.7</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w:t>
      </w:r>
      <w:r>
        <w:rPr>
          <w:rFonts w:hint="eastAsia" w:ascii="仿宋" w:hAnsi="仿宋" w:eastAsia="仿宋"/>
          <w:bCs/>
          <w:color w:val="000000"/>
          <w:sz w:val="32"/>
          <w:szCs w:val="32"/>
        </w:rPr>
        <w:t>（款）公务员医疗补助（项）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3.38</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spacing w:line="600" w:lineRule="exact"/>
        <w:ind w:firstLine="643" w:firstLineChars="200"/>
        <w:rPr>
          <w:rStyle w:val="13"/>
          <w:rFonts w:hint="default" w:ascii="仿宋" w:hAnsi="仿宋" w:eastAsia="仿宋"/>
          <w:b w:val="0"/>
          <w:bCs/>
          <w:color w:val="000000"/>
          <w:sz w:val="32"/>
          <w:szCs w:val="32"/>
          <w:lang w:val="en-US" w:eastAsia="zh-CN"/>
        </w:rPr>
      </w:pPr>
      <w:r>
        <w:rPr>
          <w:rStyle w:val="13"/>
          <w:rFonts w:hint="eastAsia" w:ascii="仿宋" w:hAnsi="仿宋" w:eastAsia="仿宋"/>
          <w:b/>
          <w:bCs w:val="0"/>
          <w:color w:val="000000"/>
          <w:sz w:val="32"/>
          <w:szCs w:val="32"/>
          <w:lang w:val="en-US" w:eastAsia="zh-CN"/>
        </w:rPr>
        <w:t>5</w:t>
      </w:r>
      <w:r>
        <w:rPr>
          <w:rStyle w:val="13"/>
          <w:rFonts w:hint="eastAsia" w:ascii="仿宋" w:hAnsi="仿宋" w:eastAsia="仿宋"/>
          <w:b w:val="0"/>
          <w:bCs/>
          <w:color w:val="000000"/>
          <w:sz w:val="32"/>
          <w:szCs w:val="32"/>
          <w:lang w:val="en-US" w:eastAsia="zh-CN"/>
        </w:rPr>
        <w:t>.</w:t>
      </w:r>
      <w:r>
        <w:rPr>
          <w:rFonts w:hint="eastAsia" w:ascii="仿宋" w:hAnsi="仿宋" w:eastAsia="仿宋"/>
          <w:b/>
          <w:bCs/>
          <w:color w:val="000000"/>
          <w:sz w:val="32"/>
          <w:szCs w:val="32"/>
        </w:rPr>
        <w:t>节能环保支出</w:t>
      </w:r>
      <w:r>
        <w:rPr>
          <w:rStyle w:val="13"/>
          <w:rFonts w:hint="eastAsia" w:ascii="仿宋" w:hAnsi="仿宋" w:eastAsia="仿宋"/>
          <w:bCs/>
          <w:color w:val="000000"/>
          <w:sz w:val="32"/>
          <w:szCs w:val="32"/>
        </w:rPr>
        <w:t>（类）天然林保护（款）森林管护（项）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0.09</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spacing w:line="600" w:lineRule="exact"/>
        <w:ind w:firstLine="640" w:firstLineChars="200"/>
        <w:rPr>
          <w:rStyle w:val="13"/>
          <w:rFonts w:hint="eastAsia" w:ascii="仿宋" w:hAnsi="仿宋" w:eastAsia="仿宋"/>
          <w:b w:val="0"/>
          <w:bCs/>
          <w:color w:val="000000"/>
          <w:sz w:val="32"/>
          <w:szCs w:val="32"/>
          <w:lang w:eastAsia="zh-CN"/>
        </w:rPr>
      </w:pPr>
      <w:r>
        <w:rPr>
          <w:rStyle w:val="13"/>
          <w:rFonts w:hint="eastAsia" w:ascii="仿宋" w:hAnsi="仿宋" w:eastAsia="仿宋"/>
          <w:b w:val="0"/>
          <w:bCs/>
          <w:color w:val="000000"/>
          <w:sz w:val="32"/>
          <w:szCs w:val="32"/>
          <w:lang w:val="en-US" w:eastAsia="zh-CN"/>
        </w:rPr>
        <w:t>6.</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（类）农业农村（款）事业运行（项）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36.28</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（类）扶贫（款）农村基础设施建设（项）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462.05</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（类）扶贫（款）其他扶贫支出（项）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135</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（类）农村综合改革（款）对村民委员会和村党支部的补助（项）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105.09</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spacing w:line="600" w:lineRule="exact"/>
        <w:ind w:firstLine="640" w:firstLineChars="200"/>
        <w:rPr>
          <w:rStyle w:val="13"/>
          <w:rFonts w:hint="default" w:ascii="仿宋" w:hAnsi="仿宋" w:eastAsia="仿宋"/>
          <w:b w:val="0"/>
          <w:bCs/>
          <w:color w:val="000000"/>
          <w:sz w:val="32"/>
          <w:szCs w:val="32"/>
          <w:lang w:val="en-US" w:eastAsia="zh-CN"/>
        </w:rPr>
      </w:pPr>
      <w:r>
        <w:rPr>
          <w:rStyle w:val="13"/>
          <w:rFonts w:hint="eastAsia" w:ascii="仿宋" w:hAnsi="仿宋" w:eastAsia="仿宋"/>
          <w:b w:val="0"/>
          <w:bCs/>
          <w:color w:val="000000"/>
          <w:sz w:val="32"/>
          <w:szCs w:val="32"/>
          <w:lang w:val="en-US" w:eastAsia="zh-CN"/>
        </w:rPr>
        <w:t>7.</w:t>
      </w:r>
      <w:r>
        <w:rPr>
          <w:rFonts w:hint="eastAsia" w:ascii="仿宋" w:hAnsi="仿宋" w:eastAsia="仿宋"/>
          <w:b/>
          <w:bCs/>
          <w:color w:val="000000"/>
          <w:sz w:val="32"/>
          <w:szCs w:val="32"/>
        </w:rPr>
        <w:t>住房保障支出</w:t>
      </w:r>
      <w:r>
        <w:rPr>
          <w:rStyle w:val="13"/>
          <w:rFonts w:hint="eastAsia" w:ascii="仿宋" w:hAnsi="仿宋" w:eastAsia="仿宋"/>
          <w:bCs/>
          <w:color w:val="000000"/>
          <w:sz w:val="32"/>
          <w:szCs w:val="32"/>
        </w:rPr>
        <w:t>（类）住房改革支出（款）住房公积金（项）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28.13</w:t>
      </w:r>
      <w:r>
        <w:rPr>
          <w:rStyle w:val="13"/>
          <w:rFonts w:hint="eastAsia" w:ascii="仿宋" w:hAnsi="仿宋" w:eastAsia="仿宋"/>
          <w:b w:val="0"/>
          <w:bCs/>
          <w:color w:val="000000"/>
          <w:sz w:val="32"/>
          <w:szCs w:val="32"/>
        </w:rPr>
        <w:t>万元，完成预算100%</w:t>
      </w:r>
      <w:r>
        <w:rPr>
          <w:rStyle w:val="13"/>
          <w:rFonts w:hint="eastAsia" w:ascii="仿宋" w:hAnsi="仿宋" w:eastAsia="仿宋"/>
          <w:b w:val="0"/>
          <w:bCs/>
          <w:color w:val="000000"/>
          <w:sz w:val="32"/>
          <w:szCs w:val="32"/>
          <w:lang w:eastAsia="zh-CN"/>
        </w:rPr>
        <w:t>。</w:t>
      </w:r>
    </w:p>
    <w:p>
      <w:pPr>
        <w:tabs>
          <w:tab w:val="right" w:pos="8306"/>
        </w:tabs>
        <w:spacing w:line="600" w:lineRule="exact"/>
        <w:ind w:firstLine="640"/>
        <w:outlineLvl w:val="1"/>
        <w:rPr>
          <w:rFonts w:hint="eastAsia" w:ascii="黑体" w:eastAsia="黑体"/>
          <w:color w:val="000000"/>
          <w:sz w:val="32"/>
          <w:szCs w:val="32"/>
        </w:rPr>
      </w:pPr>
      <w:bookmarkStart w:id="54" w:name="_Toc15377214"/>
      <w:bookmarkStart w:id="55" w:name="_Toc15396608"/>
    </w:p>
    <w:p>
      <w:pPr>
        <w:tabs>
          <w:tab w:val="right" w:pos="8306"/>
        </w:tabs>
        <w:spacing w:line="600" w:lineRule="exact"/>
        <w:ind w:firstLine="640"/>
        <w:outlineLvl w:val="1"/>
        <w:rPr>
          <w:rStyle w:val="17"/>
        </w:rPr>
      </w:pPr>
      <w:bookmarkStart w:id="56" w:name="_Toc2796"/>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54"/>
      <w:bookmarkEnd w:id="55"/>
      <w:bookmarkEnd w:id="56"/>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478.34</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427.75</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165.26万元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86.13万元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7.67万元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42.75万元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48.18万元</w:t>
      </w:r>
      <w:r>
        <w:rPr>
          <w:rFonts w:hint="eastAsia" w:ascii="仿宋" w:hAnsi="仿宋" w:eastAsia="仿宋"/>
          <w:color w:val="000000"/>
          <w:sz w:val="32"/>
          <w:szCs w:val="32"/>
        </w:rPr>
        <w:t>、职工基本医疗保险缴费</w:t>
      </w:r>
      <w:r>
        <w:rPr>
          <w:rFonts w:hint="eastAsia" w:ascii="仿宋" w:hAnsi="仿宋" w:eastAsia="仿宋"/>
          <w:color w:val="000000"/>
          <w:sz w:val="32"/>
          <w:szCs w:val="32"/>
          <w:lang w:val="en-US" w:eastAsia="zh-CN"/>
        </w:rPr>
        <w:t>37.72万元、公务员医疗补助缴费3.38万元、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2.06万元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34.63万元。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50.6</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4.94万元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1.1万元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2.1万元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2.2万元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17.76万元</w:t>
      </w:r>
      <w:r>
        <w:rPr>
          <w:rFonts w:hint="eastAsia" w:ascii="仿宋" w:hAnsi="仿宋" w:eastAsia="仿宋"/>
          <w:color w:val="000000"/>
          <w:sz w:val="32"/>
          <w:szCs w:val="32"/>
        </w:rPr>
        <w:t>、会议费</w:t>
      </w:r>
      <w:r>
        <w:rPr>
          <w:rFonts w:hint="eastAsia" w:ascii="仿宋" w:hAnsi="仿宋" w:eastAsia="仿宋"/>
          <w:color w:val="000000"/>
          <w:sz w:val="32"/>
          <w:szCs w:val="32"/>
          <w:lang w:val="en-US" w:eastAsia="zh-CN"/>
        </w:rPr>
        <w:t>1.01万元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1.72万元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0.80万元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0.39万元</w:t>
      </w:r>
      <w:r>
        <w:rPr>
          <w:rFonts w:hint="eastAsia" w:ascii="仿宋" w:hAnsi="仿宋" w:eastAsia="仿宋"/>
          <w:color w:val="000000"/>
          <w:sz w:val="32"/>
          <w:szCs w:val="32"/>
        </w:rPr>
        <w:t>、福利费</w:t>
      </w:r>
      <w:r>
        <w:rPr>
          <w:rFonts w:hint="eastAsia" w:ascii="仿宋" w:hAnsi="仿宋" w:eastAsia="仿宋"/>
          <w:color w:val="000000"/>
          <w:sz w:val="32"/>
          <w:szCs w:val="32"/>
          <w:lang w:val="en-US" w:eastAsia="zh-CN"/>
        </w:rPr>
        <w:t>0.48万元</w:t>
      </w:r>
      <w:r>
        <w:rPr>
          <w:rFonts w:hint="eastAsia" w:ascii="仿宋" w:hAnsi="仿宋" w:eastAsia="仿宋"/>
          <w:color w:val="000000"/>
          <w:sz w:val="32"/>
          <w:szCs w:val="32"/>
        </w:rPr>
        <w:t>、其他交通费</w:t>
      </w:r>
      <w:r>
        <w:rPr>
          <w:rFonts w:hint="eastAsia" w:ascii="仿宋" w:hAnsi="仿宋" w:eastAsia="仿宋"/>
          <w:color w:val="000000"/>
          <w:sz w:val="32"/>
          <w:szCs w:val="32"/>
          <w:lang w:val="en-US" w:eastAsia="zh-CN"/>
        </w:rPr>
        <w:t>18.11万元</w:t>
      </w:r>
      <w:r>
        <w:rPr>
          <w:rFonts w:hint="eastAsia" w:ascii="仿宋" w:hAnsi="仿宋" w:eastAsia="仿宋"/>
          <w:color w:val="000000"/>
          <w:sz w:val="32"/>
          <w:szCs w:val="32"/>
        </w:rPr>
        <w:t>等。</w:t>
      </w:r>
    </w:p>
    <w:p>
      <w:pPr>
        <w:spacing w:line="600" w:lineRule="exact"/>
        <w:ind w:firstLine="640"/>
        <w:outlineLvl w:val="1"/>
        <w:rPr>
          <w:rStyle w:val="17"/>
          <w:rFonts w:ascii="黑体" w:hAnsi="黑体" w:eastAsia="黑体"/>
          <w:b w:val="0"/>
        </w:rPr>
      </w:pPr>
      <w:bookmarkStart w:id="57" w:name="_Toc32258"/>
      <w:bookmarkStart w:id="58" w:name="_Toc15396609"/>
      <w:bookmarkStart w:id="59"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bookmarkStart w:id="61" w:name="_Toc15981"/>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0.8</w:t>
      </w:r>
      <w:r>
        <w:rPr>
          <w:rFonts w:hint="eastAsia" w:ascii="仿宋" w:hAnsi="仿宋" w:eastAsia="仿宋"/>
          <w:color w:val="000000"/>
          <w:sz w:val="32"/>
          <w:szCs w:val="32"/>
        </w:rPr>
        <w:t>万元，完成预算100%</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62" w:name="_Toc15377217"/>
      <w:bookmarkStart w:id="63" w:name="_Toc17243"/>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pPr>
    </w:p>
    <w:p>
      <w:pPr>
        <w:spacing w:line="600" w:lineRule="exact"/>
        <w:ind w:firstLine="640"/>
      </w:pPr>
    </w:p>
    <w:p>
      <w:pPr>
        <w:spacing w:line="600" w:lineRule="exact"/>
        <w:ind w:firstLine="640"/>
        <w:rPr>
          <w:rFonts w:hint="eastAsia"/>
        </w:rPr>
      </w:pPr>
      <w:r>
        <w:drawing>
          <wp:anchor distT="0" distB="0" distL="114300" distR="114300" simplePos="0" relativeHeight="251661312"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170" name="_x0000_s15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完成预算100%。</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万元。主要原因是我单位为行政区划改革新设立机构</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highlight w:val="none"/>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0.8</w:t>
      </w:r>
      <w:r>
        <w:rPr>
          <w:rFonts w:hint="eastAsia" w:ascii="仿宋_GB2312" w:eastAsia="仿宋_GB2312"/>
          <w:color w:val="000000"/>
          <w:sz w:val="32"/>
          <w:szCs w:val="32"/>
        </w:rPr>
        <w:t>万元，</w:t>
      </w:r>
      <w:r>
        <w:rPr>
          <w:rFonts w:hint="eastAsia" w:ascii="仿宋_GB2312" w:eastAsia="仿宋_GB2312"/>
          <w:color w:val="000000"/>
          <w:sz w:val="32"/>
          <w:szCs w:val="32"/>
          <w:highlight w:val="none"/>
        </w:rPr>
        <w:t>主要用于国内公务接待。国内公务接待</w:t>
      </w:r>
      <w:r>
        <w:rPr>
          <w:rFonts w:hint="eastAsia" w:ascii="仿宋_GB2312" w:eastAsia="仿宋_GB2312"/>
          <w:color w:val="000000"/>
          <w:sz w:val="32"/>
          <w:szCs w:val="32"/>
          <w:highlight w:val="none"/>
          <w:lang w:val="en-US" w:eastAsia="zh-CN"/>
        </w:rPr>
        <w:t>38</w:t>
      </w:r>
      <w:r>
        <w:rPr>
          <w:rFonts w:hint="eastAsia" w:ascii="仿宋_GB2312" w:eastAsia="仿宋_GB2312"/>
          <w:color w:val="000000"/>
          <w:sz w:val="32"/>
          <w:szCs w:val="32"/>
          <w:highlight w:val="none"/>
        </w:rPr>
        <w:t>批次，</w:t>
      </w:r>
      <w:r>
        <w:rPr>
          <w:rFonts w:hint="eastAsia" w:ascii="仿宋_GB2312" w:eastAsia="仿宋_GB2312"/>
          <w:color w:val="000000"/>
          <w:sz w:val="32"/>
          <w:szCs w:val="32"/>
          <w:highlight w:val="none"/>
          <w:lang w:val="en-US" w:eastAsia="zh-CN"/>
        </w:rPr>
        <w:t>307</w:t>
      </w:r>
      <w:r>
        <w:rPr>
          <w:rFonts w:hint="eastAsia" w:ascii="仿宋_GB2312" w:eastAsia="仿宋_GB2312"/>
          <w:color w:val="000000"/>
          <w:sz w:val="32"/>
          <w:szCs w:val="32"/>
          <w:highlight w:val="none"/>
        </w:rPr>
        <w:t>人次（不包括陪同人员），共计支出</w:t>
      </w:r>
      <w:r>
        <w:rPr>
          <w:rFonts w:hint="eastAsia" w:ascii="仿宋_GB2312" w:eastAsia="仿宋_GB2312"/>
          <w:color w:val="000000"/>
          <w:sz w:val="32"/>
          <w:szCs w:val="32"/>
          <w:highlight w:val="none"/>
          <w:lang w:val="en-US" w:eastAsia="zh-CN"/>
        </w:rPr>
        <w:t>0.8</w:t>
      </w:r>
      <w:r>
        <w:rPr>
          <w:rFonts w:hint="eastAsia" w:ascii="仿宋_GB2312" w:eastAsia="仿宋_GB2312"/>
          <w:color w:val="000000"/>
          <w:sz w:val="32"/>
          <w:szCs w:val="32"/>
          <w:highlight w:val="none"/>
        </w:rPr>
        <w:t>万元，具体内容包括：接待省、市、县级各部门检查、审计、指导工作。其中：外事接待0批次，0人，共计支出0万元。</w:t>
      </w:r>
    </w:p>
    <w:p>
      <w:pPr>
        <w:spacing w:line="600" w:lineRule="exact"/>
        <w:ind w:firstLine="640"/>
        <w:outlineLvl w:val="1"/>
        <w:rPr>
          <w:rFonts w:ascii="黑体" w:eastAsia="黑体"/>
          <w:color w:val="000000"/>
          <w:sz w:val="32"/>
          <w:szCs w:val="32"/>
        </w:rPr>
      </w:pPr>
      <w:bookmarkStart w:id="64" w:name="_Toc15396610"/>
      <w:bookmarkStart w:id="65" w:name="_Toc15377218"/>
    </w:p>
    <w:p>
      <w:pPr>
        <w:spacing w:line="600" w:lineRule="exact"/>
        <w:ind w:firstLine="640"/>
        <w:outlineLvl w:val="1"/>
        <w:rPr>
          <w:rStyle w:val="17"/>
          <w:rFonts w:ascii="黑体" w:hAnsi="黑体" w:eastAsia="黑体"/>
        </w:rPr>
      </w:pPr>
      <w:bookmarkStart w:id="66" w:name="_Toc26738"/>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64"/>
      <w:bookmarkEnd w:id="65"/>
      <w:bookmarkEnd w:id="6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7"/>
          <w:rFonts w:ascii="黑体" w:hAnsi="黑体" w:eastAsia="黑体"/>
          <w:b w:val="0"/>
        </w:rPr>
      </w:pPr>
      <w:bookmarkStart w:id="67" w:name="_Toc2612"/>
      <w:bookmarkStart w:id="68" w:name="_Toc15377219"/>
      <w:bookmarkStart w:id="69" w:name="_Toc15396611"/>
      <w:r>
        <w:rPr>
          <w:rStyle w:val="17"/>
          <w:rFonts w:hint="eastAsia" w:ascii="黑体" w:hAnsi="黑体" w:eastAsia="黑体"/>
          <w:b w:val="0"/>
        </w:rPr>
        <w:t>国有资本经营预算支出决算情况说明</w:t>
      </w:r>
      <w:bookmarkEnd w:id="67"/>
      <w:bookmarkEnd w:id="68"/>
      <w:bookmarkEnd w:id="6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17"/>
          <w:rFonts w:ascii="黑体" w:hAnsi="黑体" w:eastAsia="黑体"/>
        </w:rPr>
      </w:pPr>
      <w:bookmarkStart w:id="70" w:name="_Toc15396612"/>
      <w:bookmarkStart w:id="71" w:name="_Toc11214"/>
      <w:bookmarkStart w:id="72" w:name="_Toc15377221"/>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70"/>
      <w:bookmarkEnd w:id="71"/>
      <w:bookmarkEnd w:id="72"/>
    </w:p>
    <w:p>
      <w:pPr>
        <w:spacing w:line="600" w:lineRule="exact"/>
        <w:ind w:firstLine="643" w:firstLineChars="200"/>
        <w:outlineLvl w:val="2"/>
        <w:rPr>
          <w:rFonts w:ascii="仿宋" w:hAnsi="仿宋" w:eastAsia="仿宋"/>
          <w:color w:val="000000"/>
          <w:sz w:val="32"/>
          <w:szCs w:val="32"/>
        </w:rPr>
      </w:pPr>
      <w:bookmarkStart w:id="73" w:name="_Toc15377222"/>
      <w:bookmarkStart w:id="74" w:name="_Toc17556"/>
      <w:r>
        <w:rPr>
          <w:rFonts w:hint="eastAsia" w:ascii="仿宋" w:hAnsi="仿宋" w:eastAsia="仿宋"/>
          <w:b/>
          <w:color w:val="000000"/>
          <w:sz w:val="32"/>
          <w:szCs w:val="32"/>
        </w:rPr>
        <w:t>（一）机关运行经费支出情况</w:t>
      </w:r>
      <w:bookmarkEnd w:id="73"/>
      <w:bookmarkEnd w:id="7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2020年，通江县壁州街道办事处</w:t>
      </w:r>
      <w:r>
        <w:rPr>
          <w:rFonts w:hint="eastAsia" w:ascii="仿宋_GB2312" w:eastAsia="仿宋_GB2312"/>
          <w:color w:val="000000"/>
          <w:sz w:val="32"/>
          <w:szCs w:val="32"/>
          <w:lang w:eastAsia="zh-CN"/>
        </w:rPr>
        <w:t>支出</w:t>
      </w:r>
      <w:r>
        <w:rPr>
          <w:rFonts w:ascii="仿宋_GB2312" w:eastAsia="仿宋_GB2312"/>
          <w:color w:val="000000"/>
          <w:sz w:val="32"/>
          <w:szCs w:val="32"/>
        </w:rPr>
        <w:t>机关运行经费1120.36万元，比2019年增加1120.36万元。</w:t>
      </w:r>
      <w:r>
        <w:rPr>
          <w:rFonts w:hint="eastAsia" w:ascii="仿宋_GB2312" w:eastAsia="仿宋_GB2312"/>
          <w:color w:val="000000"/>
          <w:sz w:val="32"/>
          <w:szCs w:val="32"/>
        </w:rPr>
        <w:t>主要原因是我单位为行政区划改革新设立机构。</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5" w:name="_Toc15377224"/>
      <w:bookmarkStart w:id="76" w:name="_Toc2806"/>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）国有资产占有使用情况</w:t>
      </w:r>
      <w:bookmarkEnd w:id="75"/>
      <w:bookmarkEnd w:id="76"/>
    </w:p>
    <w:p>
      <w:pPr>
        <w:autoSpaceDE w:val="0"/>
        <w:autoSpaceDN w:val="0"/>
        <w:adjustRightInd w:val="0"/>
        <w:spacing w:line="600" w:lineRule="exact"/>
        <w:ind w:firstLine="640" w:firstLineChars="200"/>
        <w:jc w:val="both"/>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截至2020年12月31日，壁州街道办事处</w:t>
      </w:r>
      <w:r>
        <w:rPr>
          <w:rFonts w:hint="eastAsia" w:ascii="仿宋_GB2312" w:eastAsia="仿宋_GB2312"/>
          <w:color w:val="000000"/>
          <w:sz w:val="32"/>
          <w:szCs w:val="32"/>
          <w:lang w:eastAsia="zh-CN"/>
        </w:rPr>
        <w:t>无公务车辆。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0593"/>
      <w:r>
        <w:rPr>
          <w:rFonts w:hint="eastAsia" w:ascii="仿宋" w:hAnsi="仿宋" w:eastAsia="仿宋"/>
          <w:b/>
          <w:color w:val="000000"/>
          <w:sz w:val="32"/>
          <w:szCs w:val="32"/>
        </w:rPr>
        <w:t>（</w:t>
      </w:r>
      <w:r>
        <w:rPr>
          <w:rFonts w:hint="eastAsia" w:ascii="仿宋" w:hAnsi="仿宋" w:eastAsia="仿宋"/>
          <w:b/>
          <w:color w:val="000000"/>
          <w:sz w:val="32"/>
          <w:szCs w:val="32"/>
          <w:lang w:eastAsia="zh-CN"/>
        </w:rPr>
        <w:t>三</w:t>
      </w:r>
      <w:r>
        <w:rPr>
          <w:rFonts w:hint="eastAsia" w:ascii="仿宋" w:hAnsi="仿宋" w:eastAsia="仿宋"/>
          <w:b/>
          <w:color w:val="000000"/>
          <w:sz w:val="32"/>
          <w:szCs w:val="32"/>
        </w:rPr>
        <w:t>）预算绩效管理情况。</w:t>
      </w:r>
      <w:bookmarkEnd w:id="77"/>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根据预算绩效管理要求，本部门在年初预算编制阶段，组织对2020年政府整体支出项目开展了预算事前绩效评估，对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政府整体财政支出严格按财政预算执行，管好用好资金，资金效益最大化，严格审批程序，会计核算规范，真实准确反映资金的使用情况，质量的完成情况，及时足额兑现工资福利支出，严格控制“三公经费”，压缩公业务经费；宣传落实好惠民政策，严格“一卡通”管理制度，涉农惠民资金兑现率100%；搞好脱贫攻坚工作，脱贫攻坚项目资金按项目进度划拨率100%；积极推动城市经济建设发展，提高城市文化生活水平，按质按量完成好政府各项工作任务。政府整体财政支出绩效目标考核目标质量指标完成较好。2020年政府整体财政支出始终是按年初有预算，年终有决算，按年初预算逐步推进实施，各项工作都有序高效完成，2020年政府各项财政工作都得到了各级部门的高度认可，财政支出都按年初计划圆满完成。</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本部门在2020年度部门决算中反映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“2020年新冠肺炎疫情防控中央补助结算资金”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“中央财政林业草原生态保护恢复专项资金”“脱贫攻坚安全饮水补助资金（西郊村）”“壁州街道西郊村道路建设补助资金”“人居环境综合整治补助资金”等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新冠肺炎疫情防控中央补助结算资金项目绩效目标完成情况综述。项目全年预算数</w:t>
      </w:r>
      <w:r>
        <w:rPr>
          <w:rFonts w:hint="eastAsia" w:ascii="仿宋_GB2312" w:hAnsi="仿宋_GB2312" w:eastAsia="仿宋_GB2312" w:cs="仿宋_GB2312"/>
          <w:sz w:val="32"/>
          <w:szCs w:val="32"/>
          <w:lang w:val="en-US" w:eastAsia="zh-CN"/>
        </w:rPr>
        <w:t>2.81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确保疫情防控经费保障政策落实到位、工作部署到位、预算安排到位、资金拨付到位、监督管理到位，全力支持做好疫情防控工作，坚决打赢疫情防控阻击战，发现的主要问题：街道办涉及面宽、量大、</w:t>
      </w:r>
      <w:r>
        <w:rPr>
          <w:rFonts w:hint="eastAsia" w:ascii="仿宋_GB2312" w:hAnsi="仿宋_GB2312" w:eastAsia="仿宋_GB2312" w:cs="仿宋_GB2312"/>
          <w:sz w:val="32"/>
          <w:szCs w:val="32"/>
          <w:lang w:val="zh-CN" w:eastAsia="zh-CN"/>
        </w:rPr>
        <w:t>任务重，资金少，工作难度大</w:t>
      </w:r>
      <w:r>
        <w:rPr>
          <w:rFonts w:hint="eastAsia" w:ascii="仿宋_GB2312" w:hAnsi="仿宋_GB2312" w:eastAsia="仿宋_GB2312" w:cs="仿宋_GB2312"/>
          <w:sz w:val="32"/>
          <w:szCs w:val="32"/>
          <w:lang w:val="en-US" w:eastAsia="zh-CN"/>
        </w:rPr>
        <w:t>。下一步改进措施：加大资金管理，加大资金拨付，加大宣传力度，避免疾病传播和环境污染，保障人民群众生命安全。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）中央财政林业草原生态保护恢复专项资金项目绩效目标完成情况综述。项目全年预算数</w:t>
      </w:r>
      <w:r>
        <w:rPr>
          <w:rFonts w:hint="eastAsia" w:ascii="仿宋_GB2312" w:hAnsi="仿宋_GB2312" w:eastAsia="仿宋_GB2312" w:cs="仿宋_GB2312"/>
          <w:sz w:val="32"/>
          <w:szCs w:val="32"/>
          <w:lang w:val="en-US" w:eastAsia="zh-CN"/>
        </w:rPr>
        <w:t>0.09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0.09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。通过项目实施，对天保工程实施单位和人员社会保险给予补助，确保森林资源持续稳定增长，真正做到“绿水青山就是金山银山”。补助兑现率100%，发现的主要问题：</w:t>
      </w:r>
      <w:r>
        <w:rPr>
          <w:rFonts w:hint="eastAsia" w:ascii="仿宋_GB2312" w:hAnsi="仿宋_GB2312" w:eastAsia="仿宋_GB2312" w:cs="仿宋_GB2312"/>
          <w:sz w:val="32"/>
          <w:szCs w:val="32"/>
          <w:lang w:val="zh-CN" w:eastAsia="zh-CN"/>
        </w:rPr>
        <w:t>一些不法商人盗伐林木情况时有发生，加强生态环境保护意识，强化生态公益林管护意识</w:t>
      </w:r>
      <w:r>
        <w:rPr>
          <w:rFonts w:hint="eastAsia" w:ascii="仿宋_GB2312" w:hAnsi="仿宋_GB2312" w:eastAsia="仿宋_GB2312" w:cs="仿宋_GB2312"/>
          <w:sz w:val="32"/>
          <w:szCs w:val="32"/>
        </w:rPr>
        <w:t>。下一步改进措施：</w:t>
      </w:r>
      <w:r>
        <w:rPr>
          <w:rFonts w:hint="eastAsia" w:ascii="仿宋" w:hAnsi="仿宋" w:eastAsia="仿宋" w:cs="仿宋"/>
          <w:b w:val="0"/>
          <w:bCs/>
          <w:sz w:val="32"/>
          <w:szCs w:val="32"/>
          <w:lang w:val="en-US" w:eastAsia="zh-CN"/>
        </w:rPr>
        <w:t>加大宣传力度，强化生态林管护意识，加强环保意识，加强资金监管，确保资金使用效率。</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）脱贫攻坚安全饮水补助资金（西郊村）项目绩效目标完成情况综述。项目全年预算数</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。通过项目实施，根据县级有关文件规定，下达街道办西郊村脱贫攻坚安全饮水资金，改善群众生产生活环境，为群众办</w:t>
      </w:r>
      <w:r>
        <w:rPr>
          <w:rFonts w:hint="eastAsia" w:ascii="仿宋_GB2312" w:hAnsi="仿宋_GB2312" w:eastAsia="仿宋_GB2312" w:cs="仿宋_GB2312"/>
          <w:sz w:val="32"/>
          <w:szCs w:val="32"/>
          <w:lang w:eastAsia="zh-CN"/>
        </w:rPr>
        <w:t>实事</w:t>
      </w:r>
      <w:r>
        <w:rPr>
          <w:rFonts w:hint="eastAsia" w:ascii="仿宋_GB2312" w:hAnsi="仿宋_GB2312" w:eastAsia="仿宋_GB2312" w:cs="仿宋_GB2312"/>
          <w:sz w:val="32"/>
          <w:szCs w:val="32"/>
        </w:rPr>
        <w:t>办好事，民生工程，工程完工验收合格后全额拨款，完成预期目标任务，发现的主要问题：</w:t>
      </w:r>
      <w:r>
        <w:rPr>
          <w:rFonts w:hint="eastAsia" w:ascii="仿宋" w:hAnsi="仿宋" w:eastAsia="仿宋" w:cs="仿宋"/>
          <w:b w:val="0"/>
          <w:bCs/>
          <w:sz w:val="32"/>
          <w:szCs w:val="32"/>
          <w:lang w:val="en-US" w:eastAsia="zh-CN"/>
        </w:rPr>
        <w:t>补助资金少，往往实施的项目是应急的、临时的、实用的，对于美观、牢固、耐久等方面有所欠缺，有时会出现方案不合理的现象，工程实施时常出现进度滞后的现象</w:t>
      </w:r>
      <w:r>
        <w:rPr>
          <w:rFonts w:hint="eastAsia" w:ascii="仿宋_GB2312" w:hAnsi="仿宋_GB2312" w:eastAsia="仿宋_GB2312" w:cs="仿宋_GB2312"/>
          <w:sz w:val="32"/>
          <w:szCs w:val="32"/>
        </w:rPr>
        <w:t>。下一步改进措施：</w:t>
      </w:r>
      <w:r>
        <w:rPr>
          <w:rFonts w:hint="eastAsia" w:ascii="仿宋" w:hAnsi="仿宋" w:eastAsia="仿宋" w:cs="仿宋"/>
          <w:b w:val="0"/>
          <w:bCs/>
          <w:sz w:val="32"/>
          <w:szCs w:val="32"/>
          <w:lang w:val="en-US" w:eastAsia="zh-CN"/>
        </w:rPr>
        <w:t>增加对水利资金的预算安排投入，加大对水利资金的分配力度，制定有利于推进水利建设项目的财政政策方案，吸引更多的资金参与水利事业的发展。</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（4）壁州街道西郊村道路建设补助资金项目绩效目标完成情况综述。项目全年预算数</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。通过项目实施，根据县级有关文件规定，下达西郊村农村道路建设资金120万元，改善群众生产生活环境，为群众办</w:t>
      </w:r>
      <w:r>
        <w:rPr>
          <w:rFonts w:hint="eastAsia" w:ascii="仿宋_GB2312" w:hAnsi="仿宋_GB2312" w:eastAsia="仿宋_GB2312" w:cs="仿宋_GB2312"/>
          <w:sz w:val="32"/>
          <w:szCs w:val="32"/>
          <w:lang w:eastAsia="zh-CN"/>
        </w:rPr>
        <w:t>实事</w:t>
      </w:r>
      <w:r>
        <w:rPr>
          <w:rFonts w:hint="eastAsia" w:ascii="仿宋_GB2312" w:hAnsi="仿宋_GB2312" w:eastAsia="仿宋_GB2312" w:cs="仿宋_GB2312"/>
          <w:sz w:val="32"/>
          <w:szCs w:val="32"/>
        </w:rPr>
        <w:t>办好事，民生工程，工程完工验收合格后全额拨款，完成预期目标任务，发现的主要问题：</w:t>
      </w:r>
      <w:r>
        <w:rPr>
          <w:rFonts w:hint="eastAsia" w:ascii="仿宋_GB2312" w:hAnsi="仿宋_GB2312" w:eastAsia="仿宋_GB2312" w:cs="仿宋_GB2312"/>
          <w:sz w:val="32"/>
          <w:szCs w:val="32"/>
          <w:lang w:val="zh-CN" w:eastAsia="zh-CN"/>
        </w:rPr>
        <w:t>近年来，随着劳动力、建材成本的上升，修建农村公路的成本不断增加，但财政安排的农村公路总量偏小、补助标准偏低</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zh-CN" w:eastAsia="zh-CN"/>
        </w:rPr>
        <w:t>增加农村公路专项资金预算，提高农村公路修建和养护的补助标准。</w:t>
      </w:r>
    </w:p>
    <w:p>
      <w:pPr>
        <w:numPr>
          <w:ilvl w:val="0"/>
          <w:numId w:val="0"/>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）人居环境综合整治补助资金项目绩效目标完成情况综述。项目全年预算数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。通过项目实施，全面推进农村垃圾治理、污水处理、农业环境污染等重点工作，提升村容村貌，打造美丽乡村，实现了预定目标任务，发现的主要问题：</w:t>
      </w:r>
      <w:r>
        <w:rPr>
          <w:rFonts w:hint="eastAsia" w:ascii="仿宋_GB2312" w:hAnsi="仿宋_GB2312" w:eastAsia="仿宋_GB2312" w:cs="仿宋_GB2312"/>
          <w:sz w:val="32"/>
          <w:szCs w:val="32"/>
          <w:lang w:val="en-US" w:eastAsia="zh-CN"/>
        </w:rPr>
        <w:t>农村生活垃圾收集装置及日常保洁工作表现良好，垃圾清运长效机制基本建立，并保持正常运行，群众对城乡环卫一体化工作满意度明显提升，但也发现个别村庄、社区垃圾清扫不够彻底、有少量积存垃圾</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zh-CN" w:eastAsia="zh-CN"/>
        </w:rPr>
        <w:t>加大农村人居环境整治专项资金投入力度，进一步加快推进办事处农村人居环境整治，助推乡村振兴。</w:t>
      </w:r>
    </w:p>
    <w:tbl>
      <w:tblPr>
        <w:tblStyle w:val="10"/>
        <w:tblpPr w:leftFromText="180" w:rightFromText="180" w:vertAnchor="text" w:horzAnchor="page" w:tblpX="988" w:tblpY="1141"/>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2020年新冠肺炎疫情防控中央补助资金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2.81万元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2.81万元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2.81万元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2.81万元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加大工作力度，确保疫情防控经费保障政策落实到位、工作部署到位、预算安排到位、资金拨付到位、监督管理到位，全力支持做好疫情防控工作，坚决打赢疫情防控阻击战。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加强对资金使用的事前、事中和事后全流程监管，规范资金审批程序，确保资金专款专用，任何地方不得擅自截留、挤占、挪用或改变资金用途，完成了预期目标任务。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0"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涉及村、社区</w:t>
            </w:r>
          </w:p>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涉及人口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15个（11个社区4个村），≥20万人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15个（11个社区4个村），≥20万人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2020年度完成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2020年新冠肺炎疫情防控资金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2.81万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2.81万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控制疫情带来的经济发展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持续增长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持续增长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控制疫情保障人民群众生命安全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kern w:val="2"/>
                <w:sz w:val="24"/>
                <w:szCs w:val="24"/>
                <w:lang w:val="en-US" w:eastAsia="zh-CN" w:bidi="ar-SA"/>
              </w:rPr>
            </w:pPr>
            <w:r>
              <w:rPr>
                <w:rFonts w:hint="eastAsia" w:ascii="宋体" w:cs="宋体"/>
                <w:color w:val="000000"/>
                <w:sz w:val="24"/>
                <w:lang w:eastAsia="zh-CN"/>
              </w:rPr>
              <w:t>永久收益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kern w:val="2"/>
                <w:sz w:val="24"/>
                <w:szCs w:val="24"/>
                <w:lang w:val="en-US" w:eastAsia="zh-CN" w:bidi="ar-SA"/>
              </w:rPr>
            </w:pPr>
            <w:r>
              <w:rPr>
                <w:rFonts w:hint="eastAsia" w:ascii="宋体" w:cs="宋体"/>
                <w:color w:val="000000"/>
                <w:sz w:val="24"/>
                <w:lang w:eastAsia="zh-CN"/>
              </w:rPr>
              <w:t>永久收益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避免疾病传染和环境污染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kern w:val="2"/>
                <w:sz w:val="24"/>
                <w:szCs w:val="24"/>
                <w:lang w:val="en-US" w:eastAsia="zh-CN" w:bidi="ar-SA"/>
              </w:rPr>
            </w:pPr>
            <w:r>
              <w:rPr>
                <w:rFonts w:hint="eastAsia" w:ascii="宋体" w:cs="宋体"/>
                <w:color w:val="000000"/>
                <w:sz w:val="24"/>
                <w:lang w:eastAsia="zh-CN"/>
              </w:rPr>
              <w:t>永久收益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Times New Roman" w:eastAsia="宋体" w:cs="宋体"/>
                <w:color w:val="000000"/>
                <w:kern w:val="2"/>
                <w:sz w:val="24"/>
                <w:szCs w:val="24"/>
                <w:lang w:val="en-US" w:eastAsia="zh-CN" w:bidi="ar-SA"/>
              </w:rPr>
            </w:pPr>
            <w:r>
              <w:rPr>
                <w:rFonts w:hint="eastAsia" w:ascii="宋体" w:cs="宋体"/>
                <w:color w:val="000000"/>
                <w:sz w:val="24"/>
                <w:lang w:eastAsia="zh-CN"/>
              </w:rPr>
              <w:t>永久收益</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Times New Roman" w:eastAsia="宋体" w:cs="宋体"/>
                <w:b/>
                <w:bCs/>
                <w:color w:val="000000"/>
                <w:kern w:val="0"/>
                <w:sz w:val="24"/>
                <w:szCs w:val="24"/>
                <w:lang w:val="en-US" w:eastAsia="zh-CN"/>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hAnsi="Times New Roman" w:eastAsia="宋体" w:cs="宋体"/>
                <w:color w:val="000000"/>
                <w:kern w:val="2"/>
                <w:sz w:val="24"/>
                <w:szCs w:val="24"/>
                <w:lang w:val="en-US" w:eastAsia="zh-CN" w:bidi="ar-SA"/>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项目受益服务对象满意度</w:t>
            </w:r>
          </w:p>
          <w:p>
            <w:pPr>
              <w:widowControl/>
              <w:jc w:val="center"/>
              <w:textAlignment w:val="center"/>
              <w:rPr>
                <w:rFonts w:ascii="宋体" w:hAnsi="Times New Roman" w:eastAsia="宋体" w:cs="宋体"/>
                <w:color w:val="000000"/>
                <w:kern w:val="2"/>
                <w:sz w:val="24"/>
                <w:szCs w:val="24"/>
                <w:lang w:val="en-US" w:eastAsia="zh-CN" w:bidi="ar-SA"/>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90%，90%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90%，90%</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（万</w:t>
            </w:r>
            <w:r>
              <w:rPr>
                <w:rFonts w:hint="eastAsia" w:ascii="宋体" w:hAnsi="宋体" w:cs="宋体"/>
                <w:color w:val="000000"/>
                <w:kern w:val="0"/>
                <w:sz w:val="24"/>
              </w:rPr>
              <w:t>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0.09万元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0.09万元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0.09万元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0.09万元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对天保工程实施单位和人员社会保险给予补助，确保森林资源持续稳定增长，真正做到“绿水青山就是金山银山”。</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对天保工程实施单位和人员社会保险给予补助，确保森林资源持续稳定增长，真正做到“绿水青山就是金山银山”。补助兑现率100%。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2020年森林生态面积</w:t>
            </w:r>
          </w:p>
          <w:p>
            <w:pPr>
              <w:widowControl/>
              <w:jc w:val="center"/>
              <w:textAlignment w:val="center"/>
              <w:rPr>
                <w:rFonts w:hint="eastAsia" w:ascii="宋体" w:cs="宋体"/>
                <w:color w:val="000000"/>
                <w:sz w:val="24"/>
              </w:rPr>
            </w:pPr>
            <w:r>
              <w:rPr>
                <w:rFonts w:hint="eastAsia" w:ascii="宋体" w:cs="宋体"/>
                <w:color w:val="000000"/>
                <w:sz w:val="24"/>
              </w:rPr>
              <w:t>生态林覆盖村社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2805.9亩</w:t>
            </w:r>
            <w:r>
              <w:rPr>
                <w:rFonts w:hint="eastAsia" w:ascii="宋体" w:cs="宋体"/>
                <w:color w:val="000000"/>
                <w:sz w:val="24"/>
                <w:lang w:eastAsia="zh-CN"/>
              </w:rPr>
              <w:t>，15个村社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2805.9亩</w:t>
            </w:r>
            <w:r>
              <w:rPr>
                <w:rFonts w:hint="eastAsia" w:ascii="宋体" w:cs="宋体"/>
                <w:color w:val="000000"/>
                <w:sz w:val="24"/>
                <w:lang w:eastAsia="zh-CN"/>
              </w:rPr>
              <w:t>，15个村社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0.09万元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0.09万元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持续增长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持续增长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保护森林资源，促进社会和谐发展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森林火灾受害率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生态发展</w:t>
            </w:r>
            <w:r>
              <w:rPr>
                <w:rFonts w:hint="eastAsia" w:ascii="宋体" w:cs="宋体"/>
                <w:color w:val="000000"/>
                <w:sz w:val="24"/>
                <w:lang w:eastAsia="zh-CN"/>
              </w:rPr>
              <w:t>及</w:t>
            </w:r>
            <w:r>
              <w:rPr>
                <w:rFonts w:hint="eastAsia" w:ascii="宋体" w:cs="宋体"/>
                <w:color w:val="000000"/>
                <w:sz w:val="24"/>
              </w:rPr>
              <w:t>扶持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项目受益服务对象满意度</w:t>
            </w:r>
          </w:p>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90%，92%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90%，92%</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脱贫攻坚安全饮水补助资金（西郊村）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根据县级有关文件规定，下达街道办西郊村脱贫攻坚安全饮水资金，改善群众生产生活环境，为群众办</w:t>
            </w:r>
            <w:r>
              <w:rPr>
                <w:rFonts w:hint="eastAsia" w:ascii="宋体" w:cs="宋体"/>
                <w:color w:val="000000"/>
                <w:sz w:val="24"/>
                <w:lang w:eastAsia="zh-CN"/>
              </w:rPr>
              <w:t>实事</w:t>
            </w:r>
            <w:r>
              <w:rPr>
                <w:rFonts w:hint="eastAsia" w:ascii="宋体" w:cs="宋体"/>
                <w:color w:val="000000"/>
                <w:sz w:val="24"/>
              </w:rPr>
              <w:t>办好事，民生工程。</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根据县级有关文件规定，下达街道办西郊村脱贫攻坚安全饮水资金，改善群众生产生活环境，为群众办</w:t>
            </w:r>
            <w:r>
              <w:rPr>
                <w:rFonts w:hint="eastAsia" w:ascii="宋体" w:cs="宋体"/>
                <w:color w:val="000000"/>
                <w:sz w:val="24"/>
                <w:lang w:eastAsia="zh-CN"/>
              </w:rPr>
              <w:t>实事</w:t>
            </w:r>
            <w:r>
              <w:rPr>
                <w:rFonts w:hint="eastAsia" w:ascii="宋体" w:cs="宋体"/>
                <w:color w:val="000000"/>
                <w:sz w:val="24"/>
              </w:rPr>
              <w:t>办好事，民生工程，工程完工验收合格后全额拨款，完成预期目标任务。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涉及村、社区</w:t>
            </w:r>
          </w:p>
          <w:p>
            <w:pPr>
              <w:widowControl/>
              <w:jc w:val="center"/>
              <w:textAlignment w:val="center"/>
              <w:rPr>
                <w:rFonts w:hint="eastAsia" w:ascii="宋体" w:cs="宋体"/>
                <w:color w:val="000000"/>
                <w:sz w:val="24"/>
              </w:rPr>
            </w:pPr>
            <w:r>
              <w:rPr>
                <w:rFonts w:hint="eastAsia" w:ascii="宋体" w:cs="宋体"/>
                <w:color w:val="000000"/>
                <w:sz w:val="24"/>
              </w:rPr>
              <w:t>实现受益人口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15万人，≥3万人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15万人，≥3万人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项目（工程）验收合格率</w:t>
            </w:r>
          </w:p>
          <w:p>
            <w:pPr>
              <w:widowControl/>
              <w:jc w:val="center"/>
              <w:textAlignment w:val="center"/>
              <w:rPr>
                <w:rFonts w:hint="eastAsia" w:ascii="宋体" w:cs="宋体"/>
                <w:color w:val="000000"/>
                <w:sz w:val="24"/>
              </w:rPr>
            </w:pPr>
            <w:r>
              <w:rPr>
                <w:rFonts w:hint="eastAsia" w:ascii="宋体" w:cs="宋体"/>
                <w:color w:val="000000"/>
                <w:sz w:val="24"/>
              </w:rPr>
              <w:t>水质净化：达到饮用标准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100%，合格</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2020年12月底完成</w:t>
            </w:r>
          </w:p>
          <w:p>
            <w:pPr>
              <w:widowControl/>
              <w:jc w:val="center"/>
              <w:textAlignment w:val="center"/>
              <w:rPr>
                <w:rFonts w:hint="eastAsia" w:ascii="宋体" w:cs="宋体"/>
                <w:color w:val="000000"/>
                <w:sz w:val="24"/>
              </w:rPr>
            </w:pPr>
            <w:r>
              <w:rPr>
                <w:rFonts w:hint="eastAsia" w:ascii="宋体" w:cs="宋体"/>
                <w:color w:val="000000"/>
                <w:sz w:val="24"/>
              </w:rPr>
              <w:t>当年投资完成率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2020年12月，100%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2020年12月，100%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脱贫攻坚安全饮水补助资金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解决建卡贫困人口饮水问题，受益人口增加</w:t>
            </w:r>
          </w:p>
          <w:p>
            <w:pPr>
              <w:widowControl/>
              <w:jc w:val="center"/>
              <w:textAlignment w:val="center"/>
              <w:rPr>
                <w:rFonts w:hint="eastAsia" w:ascii="宋体" w:cs="宋体"/>
                <w:color w:val="000000"/>
                <w:sz w:val="24"/>
              </w:rPr>
            </w:pPr>
            <w:r>
              <w:rPr>
                <w:rFonts w:hint="eastAsia" w:ascii="宋体" w:cs="宋体"/>
                <w:color w:val="000000"/>
                <w:sz w:val="24"/>
                <w:lang w:eastAsia="zh-CN"/>
              </w:rPr>
              <w:t>；</w:t>
            </w:r>
            <w:r>
              <w:rPr>
                <w:rFonts w:hint="eastAsia" w:ascii="宋体" w:cs="宋体"/>
                <w:color w:val="000000"/>
                <w:sz w:val="24"/>
              </w:rPr>
              <w:t>提高群众生产生活水平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增加，逐步提升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增加，逐步提升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改善群众饮水水质质量，逐步提高水质合格率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逐步提高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逐步提高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提升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饮水安全项目建设使用年限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长期受益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长期受益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eastAsia="zh-CN"/>
              </w:rPr>
              <w:t>提升</w:t>
            </w:r>
            <w:r>
              <w:rPr>
                <w:rFonts w:hint="eastAsia" w:ascii="宋体" w:cs="宋体"/>
                <w:color w:val="000000"/>
                <w:sz w:val="24"/>
              </w:rPr>
              <w:t>饮水安全</w:t>
            </w:r>
            <w:r>
              <w:rPr>
                <w:rFonts w:hint="eastAsia" w:ascii="宋体" w:cs="宋体"/>
                <w:color w:val="000000"/>
                <w:sz w:val="24"/>
                <w:lang w:eastAsia="zh-CN"/>
              </w:rPr>
              <w:t>中</w:t>
            </w:r>
            <w:r>
              <w:rPr>
                <w:rFonts w:hint="eastAsia" w:ascii="宋体" w:cs="宋体"/>
                <w:color w:val="000000"/>
                <w:sz w:val="24"/>
              </w:rPr>
              <w:t>受益农户</w:t>
            </w:r>
            <w:r>
              <w:rPr>
                <w:rFonts w:hint="eastAsia" w:ascii="宋体" w:cs="宋体"/>
                <w:color w:val="000000"/>
                <w:sz w:val="24"/>
                <w:lang w:eastAsia="zh-CN"/>
              </w:rPr>
              <w:t>的</w:t>
            </w:r>
            <w:r>
              <w:rPr>
                <w:rFonts w:hint="eastAsia" w:ascii="宋体" w:cs="宋体"/>
                <w:color w:val="000000"/>
                <w:sz w:val="24"/>
              </w:rPr>
              <w:t>满意度</w:t>
            </w:r>
          </w:p>
          <w:p>
            <w:pPr>
              <w:widowControl/>
              <w:jc w:val="center"/>
              <w:textAlignment w:val="center"/>
              <w:rPr>
                <w:rFonts w:ascii="宋体" w:cs="宋体"/>
                <w:color w:val="000000"/>
                <w:sz w:val="24"/>
              </w:rPr>
            </w:pPr>
            <w:r>
              <w:rPr>
                <w:rFonts w:hint="eastAsia" w:ascii="宋体" w:cs="宋体"/>
                <w:color w:val="000000"/>
                <w:sz w:val="24"/>
                <w:lang w:eastAsia="zh-CN"/>
              </w:rPr>
              <w:t>及</w:t>
            </w: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90%，90%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90%，90%</w:t>
            </w:r>
          </w:p>
        </w:tc>
      </w:tr>
    </w:tbl>
    <w:p>
      <w:pPr>
        <w:spacing w:line="580" w:lineRule="exact"/>
        <w:ind w:left="63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壁州街道西郊村道路建设补助资金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120万元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 xml:space="preserve">120万元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120万元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根据县级有关文件规定，下达西郊村农村道路建设资金120万元，改善群众生产生活环境，为群众办</w:t>
            </w:r>
            <w:r>
              <w:rPr>
                <w:rFonts w:hint="eastAsia" w:ascii="宋体" w:cs="宋体"/>
                <w:color w:val="000000"/>
                <w:sz w:val="24"/>
                <w:lang w:eastAsia="zh-CN"/>
              </w:rPr>
              <w:t>实事</w:t>
            </w:r>
            <w:r>
              <w:rPr>
                <w:rFonts w:hint="eastAsia" w:ascii="宋体" w:cs="宋体"/>
                <w:color w:val="000000"/>
                <w:sz w:val="24"/>
              </w:rPr>
              <w:t>办好事，民生工程，工程验收后按工程进度拨款。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根据县级有关文件规定，下达西郊村农村道路建设资金120万元，改善群众生产生活环境，为群众办</w:t>
            </w:r>
            <w:r>
              <w:rPr>
                <w:rFonts w:hint="eastAsia" w:ascii="宋体" w:cs="宋体"/>
                <w:color w:val="000000"/>
                <w:sz w:val="24"/>
                <w:lang w:eastAsia="zh-CN"/>
              </w:rPr>
              <w:t>实事</w:t>
            </w:r>
            <w:bookmarkStart w:id="116" w:name="_GoBack"/>
            <w:bookmarkEnd w:id="116"/>
            <w:r>
              <w:rPr>
                <w:rFonts w:hint="eastAsia" w:ascii="宋体" w:cs="宋体"/>
                <w:color w:val="000000"/>
                <w:sz w:val="24"/>
              </w:rPr>
              <w:t>办好事，民生工程，工程完工验收合格后全额拨款，完成预期目标任务。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涉及村</w:t>
            </w:r>
            <w:r>
              <w:rPr>
                <w:rFonts w:hint="eastAsia" w:ascii="宋体" w:cs="宋体"/>
                <w:color w:val="000000"/>
                <w:sz w:val="24"/>
                <w:lang w:eastAsia="zh-CN"/>
              </w:rPr>
              <w:t>；新增水泥混凝土路面硬化公路里程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1个村；4公里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1个村；4公里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项目（工程）验收合格率</w:t>
            </w:r>
            <w:r>
              <w:rPr>
                <w:rFonts w:hint="eastAsia" w:ascii="宋体" w:cs="宋体"/>
                <w:color w:val="000000"/>
                <w:sz w:val="24"/>
                <w:lang w:eastAsia="zh-CN"/>
              </w:rPr>
              <w:t>；道路设计、建设管理达标率；水泥混凝土路面宽度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100%；100%；≥3.5米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100%；100%；≥3.5米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2020年12月底完成</w:t>
            </w:r>
            <w:r>
              <w:rPr>
                <w:rFonts w:hint="eastAsia" w:ascii="宋体" w:cs="宋体"/>
                <w:color w:val="000000"/>
                <w:sz w:val="24"/>
                <w:lang w:eastAsia="zh-CN"/>
              </w:rPr>
              <w:t>；投入使用时间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2020年12月；2021年11月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2020年12月；2021年11月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lang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每公里水泥混凝土路面硬化平均成本（3.5米宽）</w:t>
            </w:r>
            <w:r>
              <w:rPr>
                <w:rFonts w:hint="eastAsia" w:ascii="宋体" w:cs="宋体"/>
                <w:color w:val="000000"/>
                <w:sz w:val="24"/>
                <w:lang w:eastAsia="zh-CN"/>
              </w:rPr>
              <w:t>；每公里水泥混凝土路面硬化平均成本（4.5米宽）；农村公路养护标准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≤55万元</w:t>
            </w:r>
            <w:r>
              <w:rPr>
                <w:rFonts w:hint="eastAsia" w:ascii="宋体" w:cs="宋体"/>
                <w:color w:val="000000"/>
                <w:sz w:val="24"/>
                <w:lang w:eastAsia="zh-CN"/>
              </w:rPr>
              <w:t>；≤75万元；≤35元每平方米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≤55万元</w:t>
            </w:r>
            <w:r>
              <w:rPr>
                <w:rFonts w:hint="eastAsia" w:ascii="宋体" w:cs="宋体"/>
                <w:color w:val="000000"/>
                <w:sz w:val="24"/>
                <w:lang w:eastAsia="zh-CN"/>
              </w:rPr>
              <w:t>；≤75万元；≤35元每平方米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公路投入使用后给群众带来的经济收入</w:t>
            </w:r>
            <w:r>
              <w:rPr>
                <w:rFonts w:hint="eastAsia" w:ascii="宋体" w:cs="宋体"/>
                <w:color w:val="000000"/>
                <w:sz w:val="24"/>
                <w:lang w:eastAsia="zh-CN"/>
              </w:rPr>
              <w:t>；公路投入使用后改变了落后的交通面貌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eastAsia="宋体" w:cs="宋体"/>
                <w:color w:val="000000"/>
                <w:sz w:val="24"/>
                <w:lang w:eastAsia="zh-CN"/>
              </w:rPr>
              <w:t>增加</w:t>
            </w:r>
            <w:r>
              <w:rPr>
                <w:rFonts w:hint="eastAsia" w:ascii="宋体" w:cs="宋体"/>
                <w:color w:val="000000"/>
                <w:sz w:val="24"/>
                <w:lang w:eastAsia="zh-CN"/>
              </w:rPr>
              <w:t>；长期受益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eastAsia="宋体" w:cs="宋体"/>
                <w:color w:val="000000"/>
                <w:sz w:val="24"/>
                <w:lang w:eastAsia="zh-CN"/>
              </w:rPr>
              <w:t>增加</w:t>
            </w:r>
            <w:r>
              <w:rPr>
                <w:rFonts w:hint="eastAsia" w:ascii="宋体" w:cs="宋体"/>
                <w:color w:val="000000"/>
                <w:sz w:val="24"/>
                <w:lang w:eastAsia="zh-CN"/>
              </w:rPr>
              <w:t>；长期受益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项目覆盖村个数</w:t>
            </w:r>
            <w:r>
              <w:rPr>
                <w:rFonts w:hint="eastAsia" w:ascii="宋体" w:cs="宋体"/>
                <w:color w:val="000000"/>
                <w:sz w:val="24"/>
                <w:lang w:eastAsia="zh-CN"/>
              </w:rPr>
              <w:t>；受益群众户数；受益群众人数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1个村</w:t>
            </w:r>
            <w:r>
              <w:rPr>
                <w:rFonts w:hint="eastAsia" w:ascii="宋体" w:cs="宋体"/>
                <w:color w:val="000000"/>
                <w:sz w:val="24"/>
                <w:lang w:eastAsia="zh-CN"/>
              </w:rPr>
              <w:t>；≥583户；≥1291人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1个村</w:t>
            </w:r>
            <w:r>
              <w:rPr>
                <w:rFonts w:hint="eastAsia" w:ascii="宋体" w:cs="宋体"/>
                <w:color w:val="000000"/>
                <w:sz w:val="24"/>
                <w:lang w:eastAsia="zh-CN"/>
              </w:rPr>
              <w:t>；≥583户；≥1291人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新增公路使用年限</w:t>
            </w:r>
            <w:r>
              <w:rPr>
                <w:rFonts w:hint="eastAsia" w:ascii="宋体" w:cs="宋体"/>
                <w:color w:val="000000"/>
                <w:sz w:val="24"/>
                <w:lang w:eastAsia="zh-CN"/>
              </w:rPr>
              <w:t>；维护农村公路使用年限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≥8年</w:t>
            </w:r>
            <w:r>
              <w:rPr>
                <w:rFonts w:hint="eastAsia" w:ascii="宋体" w:cs="宋体"/>
                <w:color w:val="000000"/>
                <w:sz w:val="24"/>
                <w:lang w:eastAsia="zh-CN"/>
              </w:rPr>
              <w:t>；≥8年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≥8年</w:t>
            </w:r>
            <w:r>
              <w:rPr>
                <w:rFonts w:hint="eastAsia" w:ascii="宋体" w:cs="宋体"/>
                <w:color w:val="000000"/>
                <w:sz w:val="24"/>
                <w:lang w:eastAsia="zh-CN"/>
              </w:rPr>
              <w:t>；≥8年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项目受益服务对象满意度</w:t>
            </w:r>
            <w:r>
              <w:rPr>
                <w:rFonts w:hint="eastAsia" w:ascii="宋体" w:cs="宋体"/>
                <w:color w:val="000000"/>
                <w:sz w:val="24"/>
                <w:lang w:eastAsia="zh-CN"/>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90%</w:t>
            </w:r>
            <w:r>
              <w:rPr>
                <w:rFonts w:hint="eastAsia" w:ascii="宋体" w:cs="宋体"/>
                <w:color w:val="000000"/>
                <w:sz w:val="24"/>
                <w:lang w:eastAsia="zh-CN"/>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95%</w:t>
            </w:r>
            <w:r>
              <w:rPr>
                <w:rFonts w:hint="eastAsia" w:ascii="宋体" w:cs="宋体"/>
                <w:color w:val="000000"/>
                <w:sz w:val="24"/>
                <w:lang w:eastAsia="zh-CN"/>
              </w:rPr>
              <w:t>；97%</w:t>
            </w:r>
          </w:p>
        </w:tc>
      </w:tr>
    </w:tbl>
    <w:p>
      <w:pPr>
        <w:spacing w:line="580" w:lineRule="exact"/>
        <w:ind w:left="63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人居环境综合整治补助资金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全面推进农村人居环境整治，着力推进农村垃圾治理、污水处理、农业环境污染等重点工作，提升村容村貌，打造美丽乡村。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全面推进农村垃圾治理、污水处理、农业环境污染等重点工作，提升村容村貌，打造美丽乡村，实现了预定目标任务。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产出</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eastAsia="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涉及村</w:t>
            </w:r>
            <w:r>
              <w:rPr>
                <w:rFonts w:hint="eastAsia" w:ascii="宋体" w:cs="宋体"/>
                <w:color w:val="000000"/>
                <w:sz w:val="24"/>
                <w:lang w:eastAsia="zh-CN"/>
              </w:rPr>
              <w:t>；污水处理设施台数；生活垃圾池建设；人居环境整治个数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4个村12个社区</w:t>
            </w:r>
            <w:r>
              <w:rPr>
                <w:rFonts w:hint="eastAsia" w:ascii="宋体" w:cs="宋体"/>
                <w:color w:val="000000"/>
                <w:sz w:val="24"/>
                <w:lang w:eastAsia="zh-CN"/>
              </w:rPr>
              <w:t>；≥4台；≥78个；≥100个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4个村12个社区</w:t>
            </w:r>
            <w:r>
              <w:rPr>
                <w:rFonts w:hint="eastAsia" w:ascii="宋体" w:cs="宋体"/>
                <w:color w:val="000000"/>
                <w:sz w:val="24"/>
                <w:lang w:eastAsia="zh-CN"/>
              </w:rPr>
              <w:t>；≥4台；≥78个；≥100个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产出</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质量合格率达到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产出</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lang w:eastAsia="zh-CN"/>
              </w:rPr>
              <w:t>产出</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人居环境整治资金</w:t>
            </w:r>
            <w:r>
              <w:rPr>
                <w:rFonts w:hint="eastAsia" w:ascii="宋体" w:cs="宋体"/>
                <w:color w:val="000000"/>
                <w:sz w:val="24"/>
                <w:lang w:eastAsia="zh-CN"/>
              </w:rPr>
              <w:t>；生活垃圾池建设；污水处理设施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≥10万元</w:t>
            </w:r>
            <w:r>
              <w:rPr>
                <w:rFonts w:hint="eastAsia" w:ascii="宋体" w:cs="宋体"/>
                <w:color w:val="000000"/>
                <w:sz w:val="24"/>
                <w:lang w:eastAsia="zh-CN"/>
              </w:rPr>
              <w:t>；≥1</w:t>
            </w:r>
            <w:r>
              <w:rPr>
                <w:rFonts w:hint="eastAsia" w:ascii="宋体" w:cs="宋体"/>
                <w:color w:val="000000"/>
                <w:sz w:val="24"/>
                <w:lang w:val="en-US" w:eastAsia="zh-CN"/>
              </w:rPr>
              <w:t>5</w:t>
            </w:r>
            <w:r>
              <w:rPr>
                <w:rFonts w:hint="eastAsia" w:ascii="宋体" w:cs="宋体"/>
                <w:color w:val="000000"/>
                <w:sz w:val="24"/>
                <w:lang w:eastAsia="zh-CN"/>
              </w:rPr>
              <w:t>万元；≥</w:t>
            </w:r>
            <w:r>
              <w:rPr>
                <w:rFonts w:hint="eastAsia" w:ascii="宋体" w:cs="宋体"/>
                <w:color w:val="000000"/>
                <w:sz w:val="24"/>
                <w:lang w:val="en-US" w:eastAsia="zh-CN"/>
              </w:rPr>
              <w:t>5</w:t>
            </w:r>
            <w:r>
              <w:rPr>
                <w:rFonts w:hint="eastAsia" w:ascii="宋体" w:cs="宋体"/>
                <w:color w:val="000000"/>
                <w:sz w:val="24"/>
                <w:lang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w:t>
            </w:r>
            <w:r>
              <w:rPr>
                <w:rFonts w:hint="eastAsia" w:ascii="宋体" w:cs="宋体"/>
                <w:color w:val="000000"/>
                <w:sz w:val="24"/>
                <w:lang w:eastAsia="zh-CN"/>
              </w:rPr>
              <w:t>；≥1</w:t>
            </w:r>
            <w:r>
              <w:rPr>
                <w:rFonts w:hint="eastAsia" w:ascii="宋体" w:cs="宋体"/>
                <w:color w:val="000000"/>
                <w:sz w:val="24"/>
                <w:lang w:val="en-US" w:eastAsia="zh-CN"/>
              </w:rPr>
              <w:t>5</w:t>
            </w:r>
            <w:r>
              <w:rPr>
                <w:rFonts w:hint="eastAsia" w:ascii="宋体" w:cs="宋体"/>
                <w:color w:val="000000"/>
                <w:sz w:val="24"/>
                <w:lang w:eastAsia="zh-CN"/>
              </w:rPr>
              <w:t>万元；≥</w:t>
            </w:r>
            <w:r>
              <w:rPr>
                <w:rFonts w:hint="eastAsia" w:ascii="宋体" w:cs="宋体"/>
                <w:color w:val="000000"/>
                <w:sz w:val="24"/>
                <w:lang w:val="en-US" w:eastAsia="zh-CN"/>
              </w:rPr>
              <w:t>5</w:t>
            </w:r>
            <w:r>
              <w:rPr>
                <w:rFonts w:hint="eastAsia" w:ascii="宋体" w:cs="宋体"/>
                <w:color w:val="000000"/>
                <w:sz w:val="24"/>
                <w:lang w:eastAsia="zh-CN"/>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效益</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当地困难群众经济收入增加</w:t>
            </w:r>
            <w:r>
              <w:rPr>
                <w:rFonts w:hint="eastAsia" w:ascii="宋体" w:cs="宋体"/>
                <w:color w:val="000000"/>
                <w:sz w:val="24"/>
                <w:lang w:eastAsia="zh-CN"/>
              </w:rPr>
              <w:t>； 受益人口数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持续增长</w:t>
            </w:r>
            <w:r>
              <w:rPr>
                <w:rFonts w:hint="eastAsia" w:ascii="宋体" w:cs="宋体"/>
                <w:color w:val="000000"/>
                <w:sz w:val="24"/>
                <w:lang w:eastAsia="zh-CN"/>
              </w:rPr>
              <w:t>；≥3万人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r>
              <w:rPr>
                <w:rFonts w:hint="eastAsia" w:ascii="宋体" w:cs="宋体"/>
                <w:color w:val="000000"/>
                <w:sz w:val="24"/>
                <w:lang w:eastAsia="zh-CN"/>
              </w:rPr>
              <w:t>；≥3万人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效益</w:t>
            </w:r>
            <w:r>
              <w:rPr>
                <w:rFonts w:hint="eastAsia" w:ascii="宋体" w:hAns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为当地困难群众办实事办好事完成率</w:t>
            </w:r>
            <w:r>
              <w:rPr>
                <w:rFonts w:hint="eastAsia" w:ascii="宋体" w:cs="宋体"/>
                <w:color w:val="000000"/>
                <w:sz w:val="24"/>
                <w:lang w:eastAsia="zh-CN"/>
              </w:rPr>
              <w:t>；改善群众生活环境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100%；长期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洁我家园</w:t>
            </w:r>
            <w:r>
              <w:t>，</w:t>
            </w:r>
            <w:r>
              <w:rPr>
                <w:rFonts w:hint="eastAsia" w:ascii="宋体" w:cs="宋体"/>
                <w:color w:val="000000"/>
                <w:sz w:val="24"/>
              </w:rPr>
              <w:t>共创文明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bidi w:val="0"/>
              <w:ind w:firstLine="1050" w:firstLineChars="500"/>
              <w:jc w:val="both"/>
              <w:rPr>
                <w:lang w:val="en-US" w:eastAsia="zh-CN"/>
              </w:rPr>
            </w:pPr>
            <w:r>
              <w:rPr>
                <w:rFonts w:hint="eastAsia"/>
                <w:lang w:val="en-US" w:eastAsia="zh-CN"/>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95%</w:t>
            </w:r>
          </w:p>
        </w:tc>
      </w:tr>
    </w:tbl>
    <w:p>
      <w:pPr>
        <w:spacing w:line="580" w:lineRule="exact"/>
        <w:ind w:left="630"/>
        <w:rPr>
          <w:rFonts w:ascii="仿宋_GB2312" w:hAnsi="仿宋_GB2312" w:eastAsia="仿宋_GB2312" w:cs="仿宋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本部门按要求对2020年部门整体支出绩效评价情况开展自评，《壁州街道办事处2020年部门整体支出绩效评价报告》见附件（附件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本部门自行组织对2020年新冠肺炎疫情防控中央补助结算资金项目、中央财政林业草原生态保护恢复专项资金项目</w:t>
      </w:r>
      <w:r>
        <w:rPr>
          <w:rFonts w:hint="eastAsia" w:ascii="仿宋_GB2312" w:hAnsi="仿宋_GB2312" w:eastAsia="仿宋_GB2312" w:cs="仿宋_GB2312"/>
          <w:sz w:val="32"/>
          <w:szCs w:val="32"/>
          <w:lang w:eastAsia="zh-CN"/>
        </w:rPr>
        <w:t>、壁州街道西郊村道路建设补助资金项目、脱贫攻坚安全饮水补助资金（西郊村）项目、人居环境综合整治补助资金项目开展了绩效评价，《2020年新冠肺炎疫情防控中央补助结算资金项目2020年绩效评价报告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《中央财政林业草原生态保护恢复专项资金项目2020年绩效评价报告》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《壁州街道西郊村道路建设补助资金项目2020年绩效评价报告》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脱贫攻坚安全饮水补助资金（西郊村）</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人居环境综合整治补助资金</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br w:type="page"/>
      </w:r>
    </w:p>
    <w:p>
      <w:pPr>
        <w:numPr>
          <w:ilvl w:val="0"/>
          <w:numId w:val="4"/>
        </w:numPr>
        <w:spacing w:line="600" w:lineRule="exact"/>
        <w:ind w:firstLine="660" w:firstLineChars="150"/>
        <w:jc w:val="center"/>
        <w:outlineLvl w:val="0"/>
        <w:rPr>
          <w:rStyle w:val="16"/>
          <w:rFonts w:ascii="黑体" w:hAnsi="黑体" w:eastAsia="黑体"/>
          <w:b w:val="0"/>
        </w:rPr>
      </w:pPr>
      <w:bookmarkStart w:id="78" w:name="_Toc15377225"/>
      <w:bookmarkStart w:id="79" w:name="_Toc15396613"/>
      <w:bookmarkStart w:id="80" w:name="_Toc20062"/>
      <w:r>
        <w:rPr>
          <w:rFonts w:hint="eastAsia" w:ascii="黑体" w:hAnsi="黑体" w:eastAsia="黑体"/>
          <w:color w:val="000000"/>
          <w:sz w:val="44"/>
          <w:szCs w:val="44"/>
        </w:rPr>
        <w:t>名</w:t>
      </w:r>
      <w:r>
        <w:rPr>
          <w:rStyle w:val="16"/>
          <w:rFonts w:hint="eastAsia" w:ascii="黑体" w:hAnsi="黑体" w:eastAsia="黑体"/>
          <w:b w:val="0"/>
        </w:rPr>
        <w:t>词解释</w:t>
      </w:r>
      <w:bookmarkEnd w:id="78"/>
      <w:bookmarkEnd w:id="79"/>
      <w:bookmarkEnd w:id="80"/>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9"/>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9.</w:t>
      </w:r>
      <w:r>
        <w:rPr>
          <w:rFonts w:hint="eastAsia" w:ascii="仿宋_GB2312" w:eastAsia="仿宋_GB2312"/>
          <w:color w:val="000000"/>
          <w:sz w:val="32"/>
          <w:szCs w:val="32"/>
        </w:rPr>
        <w:t>一般公共服务（类）政府办公厅（室）及相关机构事务（款）行政运行（项）：指用于保障</w:t>
      </w:r>
      <w:r>
        <w:rPr>
          <w:rFonts w:hint="eastAsia" w:ascii="仿宋_GB2312" w:eastAsia="仿宋_GB2312"/>
          <w:color w:val="000000"/>
          <w:sz w:val="32"/>
          <w:szCs w:val="32"/>
          <w:lang w:eastAsia="zh-CN"/>
        </w:rPr>
        <w:t>街道办</w:t>
      </w:r>
      <w:r>
        <w:rPr>
          <w:rFonts w:hint="eastAsia" w:ascii="仿宋_GB2312" w:eastAsia="仿宋_GB2312"/>
          <w:color w:val="000000"/>
          <w:sz w:val="32"/>
          <w:szCs w:val="32"/>
        </w:rPr>
        <w:t>机构正常运转，用于行政运行方面的人员经费和日常运转经费支出</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一般公共服务（类）财政事务（款）行政运行（项）</w:t>
      </w:r>
      <w:r>
        <w:rPr>
          <w:rFonts w:hint="eastAsia" w:ascii="仿宋_GB2312" w:eastAsia="仿宋_GB2312"/>
          <w:color w:val="000000"/>
          <w:sz w:val="32"/>
          <w:szCs w:val="32"/>
          <w:lang w:eastAsia="zh-CN"/>
        </w:rPr>
        <w:t>：</w:t>
      </w:r>
      <w:r>
        <w:rPr>
          <w:rFonts w:hint="eastAsia" w:ascii="仿宋_GB2312" w:eastAsia="仿宋_GB2312"/>
          <w:color w:val="000000"/>
          <w:sz w:val="32"/>
          <w:szCs w:val="32"/>
        </w:rPr>
        <w:t>保障</w:t>
      </w:r>
      <w:r>
        <w:rPr>
          <w:rFonts w:hint="eastAsia" w:ascii="仿宋_GB2312" w:eastAsia="仿宋_GB2312"/>
          <w:color w:val="000000"/>
          <w:sz w:val="32"/>
          <w:szCs w:val="32"/>
          <w:lang w:eastAsia="zh-CN"/>
        </w:rPr>
        <w:t>街道办</w:t>
      </w:r>
      <w:r>
        <w:rPr>
          <w:rFonts w:hint="eastAsia" w:ascii="仿宋_GB2312" w:eastAsia="仿宋_GB2312"/>
          <w:color w:val="000000"/>
          <w:sz w:val="32"/>
          <w:szCs w:val="32"/>
        </w:rPr>
        <w:t>财政机构正常运行，用于行政运行方面的人员经费和日常运转经费支出</w:t>
      </w:r>
      <w:r>
        <w:rPr>
          <w:rFonts w:hint="eastAsia" w:ascii="仿宋_GB2312" w:eastAsia="仿宋_GB2312"/>
          <w:color w:val="000000"/>
          <w:sz w:val="32"/>
          <w:szCs w:val="32"/>
          <w:lang w:eastAsia="zh-CN"/>
        </w:rPr>
        <w:t>。</w:t>
      </w:r>
    </w:p>
    <w:p>
      <w:pPr>
        <w:numPr>
          <w:ilvl w:val="0"/>
          <w:numId w:val="5"/>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一般公共服务（类）党委办公厅（室）及相关机构事务（款）行政运行（项）:</w:t>
      </w:r>
      <w:r>
        <w:rPr>
          <w:rFonts w:hint="eastAsia" w:ascii="仿宋_GB2312" w:eastAsia="仿宋_GB2312"/>
          <w:color w:val="000000"/>
          <w:sz w:val="32"/>
          <w:szCs w:val="32"/>
        </w:rPr>
        <w:t>保障</w:t>
      </w:r>
      <w:r>
        <w:rPr>
          <w:rFonts w:hint="eastAsia" w:ascii="仿宋_GB2312" w:eastAsia="仿宋_GB2312"/>
          <w:color w:val="000000"/>
          <w:sz w:val="32"/>
          <w:szCs w:val="32"/>
          <w:lang w:eastAsia="zh-CN"/>
        </w:rPr>
        <w:t>街道办</w:t>
      </w:r>
      <w:r>
        <w:rPr>
          <w:rFonts w:hint="eastAsia" w:ascii="仿宋_GB2312" w:eastAsia="仿宋_GB2312"/>
          <w:color w:val="000000"/>
          <w:sz w:val="32"/>
          <w:szCs w:val="32"/>
        </w:rPr>
        <w:t>党委机构正常运行，用于行政运行方面的人员经费和日常运转经费支出</w:t>
      </w:r>
      <w:r>
        <w:rPr>
          <w:rFonts w:hint="eastAsia" w:ascii="仿宋_GB2312" w:eastAsia="仿宋_GB2312"/>
          <w:color w:val="000000"/>
          <w:sz w:val="32"/>
          <w:szCs w:val="32"/>
          <w:lang w:eastAsia="zh-CN"/>
        </w:rPr>
        <w:t>。</w:t>
      </w:r>
    </w:p>
    <w:p>
      <w:pPr>
        <w:numPr>
          <w:ilvl w:val="0"/>
          <w:numId w:val="5"/>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一般公共服务（类）其他一般公共服务支出（款）其他一般公共服务支出（项）:指为完成上级安排的特定工作和任务发生的支出。</w:t>
      </w:r>
    </w:p>
    <w:p>
      <w:pPr>
        <w:numPr>
          <w:ilvl w:val="0"/>
          <w:numId w:val="5"/>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文化旅游体育与传媒（类）文化和旅游（款）其他文化和旅游支出（项）:指街道办文化站、社区书屋免费开放补助支出。</w:t>
      </w:r>
    </w:p>
    <w:p>
      <w:pPr>
        <w:numPr>
          <w:ilvl w:val="0"/>
          <w:numId w:val="5"/>
        </w:num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社会保障和就业（类）人力资源和社会保障管理事务（款）社会保险经办机构（项）: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街道办</w:t>
      </w:r>
      <w:r>
        <w:rPr>
          <w:rFonts w:hint="eastAsia" w:ascii="仿宋_GB2312" w:eastAsia="仿宋_GB2312"/>
          <w:color w:val="000000"/>
          <w:sz w:val="32"/>
          <w:szCs w:val="32"/>
        </w:rPr>
        <w:t>社会保险机构人员经费和日常运转经费支出</w:t>
      </w:r>
      <w:r>
        <w:rPr>
          <w:rFonts w:hint="eastAsia" w:ascii="仿宋_GB2312" w:eastAsia="仿宋_GB2312"/>
          <w:color w:val="000000"/>
          <w:sz w:val="32"/>
          <w:szCs w:val="32"/>
          <w:lang w:eastAsia="zh-CN"/>
        </w:rPr>
        <w:t>。</w:t>
      </w:r>
    </w:p>
    <w:p>
      <w:pPr>
        <w:numPr>
          <w:ilvl w:val="0"/>
          <w:numId w:val="5"/>
        </w:numPr>
        <w:spacing w:line="600"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社会保障和就业（类）行政事业单位养老支出（款）机关事业单位基本养老保险缴费支出（项）：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街道办</w:t>
      </w:r>
      <w:r>
        <w:rPr>
          <w:rFonts w:hint="eastAsia" w:ascii="仿宋_GB2312" w:eastAsia="仿宋_GB2312"/>
          <w:color w:val="000000"/>
          <w:sz w:val="32"/>
          <w:szCs w:val="32"/>
        </w:rPr>
        <w:t>在职人员基本养老保险缴费支出</w:t>
      </w:r>
      <w:r>
        <w:rPr>
          <w:rFonts w:hint="eastAsia" w:ascii="仿宋_GB2312" w:eastAsia="仿宋_GB2312"/>
          <w:color w:val="000000"/>
          <w:sz w:val="32"/>
          <w:szCs w:val="32"/>
          <w:lang w:eastAsia="zh-CN"/>
        </w:rPr>
        <w:t>。</w:t>
      </w:r>
    </w:p>
    <w:p>
      <w:pPr>
        <w:numPr>
          <w:ilvl w:val="0"/>
          <w:numId w:val="5"/>
        </w:numPr>
        <w:spacing w:line="600" w:lineRule="exact"/>
        <w:ind w:left="0" w:leftChars="0"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社会保障和就业（类）就业补助（款）公益性岗位补贴（项）:指街道办在公益性岗位补贴的支出。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卫生健康支出（类）基层医疗卫生机构（款）城市社区卫生机构（项）：城市社区卫生机构（项）反映用于城市社区卫生机构方面的支出。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卫生健康支出（类）基层医疗卫生机构（款）其他基层医疗卫生机构支出（项）:其他基层医疗卫生机构支出（项）反映其他用于基层医疗卫生机构方面的支出；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卫生健康支出（类）公共卫生（款）基本公共卫生服务（项）:基本公共卫生服务（项）反映基本公共卫生服务支出；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卫生健康支出（类）公共卫生（款）其他公共卫生支出（项）: 指社区村卫生院人员及正常运行必要经费支出；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卫生健康（类）行政事业单位医疗（款）行政单位医疗（项）:反映财政对基本医疗保险基金的补助支出；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卫生健康（类）行政事业单位医疗（款）事业单位医疗（项）:反映财政对基本医疗保险基金的补助支出；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卫生健康（类）行政事业单位医疗（款）公务员医疗补助（项）:反映财政对基本医疗保险基金的补助支出；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节能环保支出（类）天然林保护（款）森林管护（项）:反映财政对天然林保护工程支出；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农林水支出（类）农业农村（款）事业运行（项）:反映用于农业事业单位基本支出，事业单位设施、系统运行与资产维护等方面的支出；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农林水支出（类）扶贫（款）农村基础设施建设（项）:反映用于农村公路、乡村道路建设方面的支出；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农林水支出（类）扶贫（款）其他扶贫支出（项）:反映用于农村扶贫开发等方面的支出；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农林水支出（类）农村综合改革（款）对村民委员会和村党支部的补助（项）:反映各级财政对村民委员会和村党支部的补助支出；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住房保障支出（类）住房改革支出（款）住房公积金（项）:反映行政事业单位按人事部和财政部规定的基本工资和津贴补贴以及规定比例为职工缴纳的住房公积金。</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基本支出：指为保障机构正常运转、完成日常工作任务而发生的人员支出和公用支出。</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 xml:space="preserve">项目支出：指在基本支出之外为完成特定行政任务和事业发展目标所发生的支出。 </w:t>
      </w:r>
    </w:p>
    <w:p>
      <w:pPr>
        <w:numPr>
          <w:ilvl w:val="0"/>
          <w:numId w:val="5"/>
        </w:numPr>
        <w:spacing w:line="600" w:lineRule="exact"/>
        <w:ind w:left="0" w:leftChars="0"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cs="黑体"/>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81" w:name="_Toc15377226"/>
      <w:r>
        <w:br w:type="page"/>
      </w:r>
      <w:bookmarkStart w:id="82" w:name="_Toc15396614"/>
      <w:bookmarkStart w:id="83" w:name="_Toc8154"/>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82"/>
      <w:bookmarkEnd w:id="83"/>
    </w:p>
    <w:p>
      <w:pPr>
        <w:spacing w:line="600" w:lineRule="exact"/>
        <w:jc w:val="left"/>
        <w:outlineLvl w:val="1"/>
        <w:rPr>
          <w:rFonts w:ascii="方正小标宋简体" w:hAnsi="方正小标宋简体" w:eastAsia="方正小标宋简体" w:cs="方正小标宋简体"/>
          <w:sz w:val="32"/>
          <w:szCs w:val="32"/>
        </w:rPr>
      </w:pPr>
      <w:bookmarkStart w:id="84" w:name="_Toc26233"/>
      <w:r>
        <w:rPr>
          <w:rFonts w:hint="eastAsia" w:ascii="黑体" w:hAnsi="黑体" w:eastAsia="黑体" w:cs="黑体"/>
          <w:sz w:val="32"/>
          <w:szCs w:val="32"/>
        </w:rPr>
        <w:t>附件</w:t>
      </w:r>
      <w:r>
        <w:rPr>
          <w:rFonts w:ascii="黑体" w:hAnsi="黑体" w:eastAsia="黑体" w:cs="黑体"/>
          <w:sz w:val="32"/>
          <w:szCs w:val="32"/>
        </w:rPr>
        <w:t>1</w:t>
      </w:r>
      <w:bookmarkEnd w:id="8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壁州街道办事处2020年部门整体支出绩效评价报告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b w:val="0"/>
          <w:bCs/>
          <w:sz w:val="32"/>
          <w:szCs w:val="32"/>
          <w:lang w:val="en-US" w:eastAsia="zh-CN"/>
        </w:rPr>
        <w:t>壁州街道办事处（本级）属一级预算单位，内设党政和信访办公室、安全生产监督管理办公室、社会事务办公室、经济发展办公室、财政所、扶贫开发办公室、农业综合服务中心、社会事务服务中心、村镇建设服务中心、便民服务中心、会计核算中心等服务岗位。</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ind w:firstLine="64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通江县壁州街道办事处是通江县人民政府的派出机关，受县人民政府领导，行使县人民政府赋予的职权。基本职能如下。</w:t>
      </w:r>
    </w:p>
    <w:p>
      <w:pPr>
        <w:widowControl/>
        <w:numPr>
          <w:ilvl w:val="0"/>
          <w:numId w:val="0"/>
        </w:numPr>
        <w:adjustRightInd w:val="0"/>
        <w:snapToGrid w:val="0"/>
        <w:spacing w:line="580" w:lineRule="exact"/>
        <w:ind w:firstLine="64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贯彻执行党和国家的路线方针、政策以及省、市、县关于街道工作方面的指示，制订具体的管理办法并组织实施。</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指导、搞好辖区内（村）居委会的工作，支持、帮助（村）居民委员会加强思想、组织、制度建设，向上级人民政府和有关部门及时反映居民的意见、建议和要求。</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抓好（村）社区文化建设，开展文明街道、文明单位、文明小区、文明院户建设活动，组织居民开展经常性的文化、娱乐、体育活动。</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负责街道的人民调解、治安保卫工作，加强对违法青少年的帮教转化，保护老人、妇女、儿童的合法权益。</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协助有关部门做好辖区拥军优属、优抚安置、社会救济、殡葬改革、残疾人就业等工作</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shd w:val="clear" w:color="auto" w:fill="FFFFFF"/>
          <w:lang w:val="zh-CN"/>
        </w:rPr>
        <w:t>积极开展便民利民的社区服务和社区教育工作。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会同有关部门做好辖区内常住和流动人口的管理及计划生育工作，完成县下达的各项计划生育指标任务。</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协助武装部门做好辖区民兵训练和公民服兵役工作。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负责在辖区开展普法教育工作，做好民事调解，开展法律咨询、服务等工作，维护居民的合法权益，搞好辖区内社会管理综合治理工作。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负责本辖区的城市管理工作，发动群众开展爱国卫生运动，绿化、美化、净化城市环境，协助有关部门做好环境卫生、环境保护工作。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负责本辖区的综合执法工作，维护辖区的良好秩序。</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负责研究辖区经济发展的规划，协助有关部门抓好安全生产工作。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配合有关部门做好辖区内的三防、抢险救灾、安全生产检查、居民迁移等工作。</w:t>
      </w:r>
    </w:p>
    <w:p>
      <w:pPr>
        <w:widowControl/>
        <w:numPr>
          <w:ilvl w:val="0"/>
          <w:numId w:val="0"/>
        </w:numPr>
        <w:adjustRightInd w:val="0"/>
        <w:snapToGrid w:val="0"/>
        <w:spacing w:line="580" w:lineRule="exact"/>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    承办县委、县政府交办的其他工作。</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壁州街道办事处下半年行政区划调整由原来的街道办划分为壁州街道办事处和街道办人民政府，街道办单位行政事业编制31人；行政编制23人，事业编制8人，单位实有人数31人，行政实有人数23人，事业实有人数8人，村社干部110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一年来，街道办按照县委、县政府的总体部署，紧密结合镇情实际，街道办辖区生产总值达到68.55亿元，公共财政预算收入突破1亿元，固定资产投资完成8.32亿元，城乡居民人均纯收入达到54800元和23800元，多项工作取得了突破进展，相继得到上级党委、政府的表彰，全街道办呈现出经济发展稳中向好、民生持续改善、社会安定和谐的良好局面。</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jc w:val="both"/>
        <w:rPr>
          <w:rFonts w:hint="default"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color w:val="000000"/>
          <w:kern w:val="0"/>
          <w:sz w:val="32"/>
          <w:szCs w:val="32"/>
          <w:highlight w:val="none"/>
          <w:shd w:val="clear" w:color="auto" w:fill="FFFFFF"/>
          <w:lang w:val="zh-CN" w:eastAsia="zh-CN"/>
        </w:rPr>
        <w:t>严格按财政预算执行，支付依据是严格按照财政资金支付要求，严格执行财务管理制度，</w:t>
      </w:r>
      <w:r>
        <w:rPr>
          <w:rFonts w:hint="eastAsia" w:ascii="仿宋_GB2312" w:hAnsi="宋体" w:eastAsia="仿宋_GB2312" w:cs="宋体"/>
          <w:color w:val="000000"/>
          <w:kern w:val="0"/>
          <w:sz w:val="32"/>
          <w:szCs w:val="32"/>
          <w:highlight w:val="none"/>
          <w:shd w:val="clear" w:color="auto" w:fill="FFFFFF"/>
          <w:lang w:val="en-US" w:eastAsia="zh-CN"/>
        </w:rPr>
        <w:t>20</w:t>
      </w:r>
      <w:r>
        <w:rPr>
          <w:rFonts w:hint="eastAsia" w:ascii="仿宋_GB2312" w:hAnsi="宋体" w:eastAsia="仿宋_GB2312" w:cs="宋体"/>
          <w:color w:val="000000"/>
          <w:kern w:val="0"/>
          <w:sz w:val="32"/>
          <w:szCs w:val="32"/>
          <w:highlight w:val="none"/>
          <w:shd w:val="clear" w:color="auto" w:fill="FFFFFF"/>
          <w:lang w:val="zh-CN" w:eastAsia="zh-CN"/>
        </w:rPr>
        <w:t>个项目绩效目标完成情况综述。项目全年决算数为168</w:t>
      </w:r>
      <w:r>
        <w:rPr>
          <w:rFonts w:hint="eastAsia" w:ascii="仿宋_GB2312" w:hAnsi="宋体" w:eastAsia="仿宋_GB2312" w:cs="宋体"/>
          <w:color w:val="000000"/>
          <w:kern w:val="0"/>
          <w:sz w:val="32"/>
          <w:szCs w:val="32"/>
          <w:highlight w:val="none"/>
          <w:shd w:val="clear" w:color="auto" w:fill="FFFFFF"/>
          <w:lang w:val="en-US" w:eastAsia="zh-CN"/>
        </w:rPr>
        <w:t>4</w:t>
      </w:r>
      <w:r>
        <w:rPr>
          <w:rFonts w:hint="eastAsia" w:ascii="仿宋_GB2312" w:hAnsi="宋体" w:eastAsia="仿宋_GB2312" w:cs="宋体"/>
          <w:color w:val="000000"/>
          <w:kern w:val="0"/>
          <w:sz w:val="32"/>
          <w:szCs w:val="32"/>
          <w:highlight w:val="none"/>
          <w:shd w:val="clear" w:color="auto" w:fill="FFFFFF"/>
          <w:lang w:val="zh-CN" w:eastAsia="zh-CN"/>
        </w:rPr>
        <w:t>.</w:t>
      </w:r>
      <w:r>
        <w:rPr>
          <w:rFonts w:hint="eastAsia" w:ascii="仿宋_GB2312" w:hAnsi="宋体" w:eastAsia="仿宋_GB2312" w:cs="宋体"/>
          <w:color w:val="000000"/>
          <w:kern w:val="0"/>
          <w:sz w:val="32"/>
          <w:szCs w:val="32"/>
          <w:highlight w:val="none"/>
          <w:shd w:val="clear" w:color="auto" w:fill="FFFFFF"/>
          <w:lang w:val="en-US" w:eastAsia="zh-CN"/>
        </w:rPr>
        <w:t>80</w:t>
      </w:r>
      <w:r>
        <w:rPr>
          <w:rFonts w:hint="eastAsia" w:ascii="仿宋_GB2312" w:hAnsi="宋体" w:eastAsia="仿宋_GB2312" w:cs="宋体"/>
          <w:color w:val="000000"/>
          <w:kern w:val="0"/>
          <w:sz w:val="32"/>
          <w:szCs w:val="32"/>
          <w:highlight w:val="none"/>
          <w:shd w:val="clear" w:color="auto" w:fill="FFFFFF"/>
          <w:lang w:val="zh-CN" w:eastAsia="zh-CN"/>
        </w:rPr>
        <w:t>万元，完成预算的100%。2020年政府整体财政支出168</w:t>
      </w:r>
      <w:r>
        <w:rPr>
          <w:rFonts w:hint="eastAsia" w:ascii="仿宋_GB2312" w:hAnsi="宋体" w:eastAsia="仿宋_GB2312" w:cs="宋体"/>
          <w:color w:val="000000"/>
          <w:kern w:val="0"/>
          <w:sz w:val="32"/>
          <w:szCs w:val="32"/>
          <w:highlight w:val="none"/>
          <w:shd w:val="clear" w:color="auto" w:fill="FFFFFF"/>
          <w:lang w:val="en-US" w:eastAsia="zh-CN"/>
        </w:rPr>
        <w:t>1</w:t>
      </w:r>
      <w:r>
        <w:rPr>
          <w:rFonts w:hint="eastAsia" w:ascii="仿宋_GB2312" w:hAnsi="宋体" w:eastAsia="仿宋_GB2312" w:cs="宋体"/>
          <w:color w:val="000000"/>
          <w:kern w:val="0"/>
          <w:sz w:val="32"/>
          <w:szCs w:val="32"/>
          <w:highlight w:val="none"/>
          <w:shd w:val="clear" w:color="auto" w:fill="FFFFFF"/>
          <w:lang w:val="zh-CN" w:eastAsia="zh-CN"/>
        </w:rPr>
        <w:t>.</w:t>
      </w:r>
      <w:r>
        <w:rPr>
          <w:rFonts w:hint="eastAsia" w:ascii="仿宋_GB2312" w:hAnsi="宋体" w:eastAsia="仿宋_GB2312" w:cs="宋体"/>
          <w:color w:val="000000"/>
          <w:kern w:val="0"/>
          <w:sz w:val="32"/>
          <w:szCs w:val="32"/>
          <w:highlight w:val="none"/>
          <w:shd w:val="clear" w:color="auto" w:fill="FFFFFF"/>
          <w:lang w:val="en-US" w:eastAsia="zh-CN"/>
        </w:rPr>
        <w:t>55</w:t>
      </w:r>
      <w:r>
        <w:rPr>
          <w:rFonts w:hint="eastAsia" w:ascii="仿宋_GB2312" w:hAnsi="宋体" w:eastAsia="仿宋_GB2312" w:cs="宋体"/>
          <w:color w:val="000000"/>
          <w:kern w:val="0"/>
          <w:sz w:val="32"/>
          <w:szCs w:val="32"/>
          <w:highlight w:val="none"/>
          <w:shd w:val="clear" w:color="auto" w:fill="FFFFFF"/>
          <w:lang w:val="zh-CN" w:eastAsia="zh-CN"/>
        </w:rPr>
        <w:t>万元（按功能支出）；其中：一般公共服务支出</w:t>
      </w:r>
      <w:r>
        <w:rPr>
          <w:rFonts w:hint="eastAsia" w:ascii="仿宋_GB2312" w:hAnsi="宋体" w:eastAsia="仿宋_GB2312" w:cs="宋体"/>
          <w:color w:val="000000"/>
          <w:kern w:val="0"/>
          <w:sz w:val="32"/>
          <w:szCs w:val="32"/>
          <w:highlight w:val="none"/>
          <w:shd w:val="clear" w:color="auto" w:fill="FFFFFF"/>
          <w:lang w:val="en-US" w:eastAsia="zh-CN"/>
        </w:rPr>
        <w:t>231.11</w:t>
      </w:r>
      <w:r>
        <w:rPr>
          <w:rFonts w:hint="eastAsia" w:ascii="仿宋_GB2312" w:hAnsi="宋体" w:eastAsia="仿宋_GB2312" w:cs="宋体"/>
          <w:color w:val="000000"/>
          <w:kern w:val="0"/>
          <w:sz w:val="32"/>
          <w:szCs w:val="32"/>
          <w:highlight w:val="none"/>
          <w:shd w:val="clear" w:color="auto" w:fill="FFFFFF"/>
          <w:lang w:val="zh-CN" w:eastAsia="zh-CN"/>
        </w:rPr>
        <w:t>万元；文化体育与传媒支出15万元；社会保障和就业支出</w:t>
      </w:r>
      <w:r>
        <w:rPr>
          <w:rFonts w:hint="eastAsia" w:ascii="仿宋_GB2312" w:hAnsi="宋体" w:eastAsia="仿宋_GB2312" w:cs="宋体"/>
          <w:color w:val="000000"/>
          <w:kern w:val="0"/>
          <w:sz w:val="32"/>
          <w:szCs w:val="32"/>
          <w:highlight w:val="none"/>
          <w:shd w:val="clear" w:color="auto" w:fill="FFFFFF"/>
          <w:lang w:val="en-US" w:eastAsia="zh-CN"/>
        </w:rPr>
        <w:t>71.77</w:t>
      </w:r>
      <w:r>
        <w:rPr>
          <w:rFonts w:hint="eastAsia" w:ascii="仿宋_GB2312" w:hAnsi="宋体" w:eastAsia="仿宋_GB2312" w:cs="宋体"/>
          <w:color w:val="000000"/>
          <w:kern w:val="0"/>
          <w:sz w:val="32"/>
          <w:szCs w:val="32"/>
          <w:highlight w:val="none"/>
          <w:shd w:val="clear" w:color="auto" w:fill="FFFFFF"/>
          <w:lang w:val="zh-CN" w:eastAsia="zh-CN"/>
        </w:rPr>
        <w:t>万元；卫生健康支出</w:t>
      </w:r>
      <w:r>
        <w:rPr>
          <w:rFonts w:hint="eastAsia" w:ascii="仿宋_GB2312" w:hAnsi="宋体" w:eastAsia="仿宋_GB2312" w:cs="宋体"/>
          <w:color w:val="000000"/>
          <w:kern w:val="0"/>
          <w:sz w:val="32"/>
          <w:szCs w:val="32"/>
          <w:highlight w:val="none"/>
          <w:shd w:val="clear" w:color="auto" w:fill="FFFFFF"/>
          <w:lang w:val="en-US" w:eastAsia="zh-CN"/>
        </w:rPr>
        <w:t>597.05</w:t>
      </w:r>
      <w:r>
        <w:rPr>
          <w:rFonts w:hint="eastAsia" w:ascii="仿宋_GB2312" w:hAnsi="宋体" w:eastAsia="仿宋_GB2312" w:cs="宋体"/>
          <w:color w:val="000000"/>
          <w:kern w:val="0"/>
          <w:sz w:val="32"/>
          <w:szCs w:val="32"/>
          <w:highlight w:val="none"/>
          <w:shd w:val="clear" w:color="auto" w:fill="FFFFFF"/>
          <w:lang w:val="zh-CN" w:eastAsia="zh-CN"/>
        </w:rPr>
        <w:t>万元；环保节能支出0.09万元；农林水支出</w:t>
      </w:r>
      <w:r>
        <w:rPr>
          <w:rFonts w:hint="eastAsia" w:ascii="仿宋_GB2312" w:hAnsi="宋体" w:eastAsia="仿宋_GB2312" w:cs="宋体"/>
          <w:color w:val="000000"/>
          <w:kern w:val="0"/>
          <w:sz w:val="32"/>
          <w:szCs w:val="32"/>
          <w:highlight w:val="none"/>
          <w:shd w:val="clear" w:color="auto" w:fill="FFFFFF"/>
          <w:lang w:val="en-US" w:eastAsia="zh-CN"/>
        </w:rPr>
        <w:t>738.42</w:t>
      </w:r>
      <w:r>
        <w:rPr>
          <w:rFonts w:hint="eastAsia" w:ascii="仿宋_GB2312" w:hAnsi="宋体" w:eastAsia="仿宋_GB2312" w:cs="宋体"/>
          <w:color w:val="000000"/>
          <w:kern w:val="0"/>
          <w:sz w:val="32"/>
          <w:szCs w:val="32"/>
          <w:highlight w:val="none"/>
          <w:shd w:val="clear" w:color="auto" w:fill="FFFFFF"/>
          <w:lang w:val="zh-CN" w:eastAsia="zh-CN"/>
        </w:rPr>
        <w:t>万元，住房保障支出</w:t>
      </w:r>
      <w:r>
        <w:rPr>
          <w:rFonts w:hint="eastAsia" w:ascii="仿宋_GB2312" w:hAnsi="宋体" w:eastAsia="仿宋_GB2312" w:cs="宋体"/>
          <w:color w:val="000000"/>
          <w:kern w:val="0"/>
          <w:sz w:val="32"/>
          <w:szCs w:val="32"/>
          <w:highlight w:val="none"/>
          <w:shd w:val="clear" w:color="auto" w:fill="FFFFFF"/>
          <w:lang w:val="en-US" w:eastAsia="zh-CN"/>
        </w:rPr>
        <w:t>28.10万元</w:t>
      </w:r>
      <w:r>
        <w:rPr>
          <w:rFonts w:hint="eastAsia" w:ascii="仿宋_GB2312" w:hAnsi="宋体" w:eastAsia="仿宋_GB2312" w:cs="宋体"/>
          <w:color w:val="000000"/>
          <w:kern w:val="0"/>
          <w:sz w:val="32"/>
          <w:szCs w:val="32"/>
          <w:highlight w:val="none"/>
          <w:shd w:val="clear" w:color="auto" w:fill="FFFFFF"/>
          <w:lang w:val="zh-CN" w:eastAsia="zh-CN"/>
        </w:rPr>
        <w:t>。</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2020年度政府整体财政资金使用的预期目标及原则是：</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1、坚决贯彻落实好党的各项方针政策。</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2、完成全街道办财政收支目标任务，保工资、保政府运转、确保政府及村（社）各级组织的人员经费支出和日常公用支出。</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3、确保涉农资金全面兑现，保全街道办重点工程和民生工程项目的实施。</w:t>
      </w:r>
    </w:p>
    <w:p>
      <w:pPr>
        <w:widowControl/>
        <w:adjustRightInd w:val="0"/>
        <w:snapToGrid w:val="0"/>
        <w:spacing w:line="580" w:lineRule="exact"/>
        <w:ind w:firstLine="640" w:firstLineChars="200"/>
        <w:contextualSpacing/>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r>
        <w:rPr>
          <w:rFonts w:hint="default" w:ascii="仿宋_GB2312" w:hAnsi="仿宋_GB2312" w:eastAsia="仿宋_GB2312" w:cs="仿宋_GB2312"/>
          <w:b w:val="0"/>
          <w:bCs/>
          <w:sz w:val="32"/>
          <w:szCs w:val="32"/>
          <w:lang w:val="en-US" w:eastAsia="zh-CN"/>
        </w:rPr>
        <w:t>为民服务，</w:t>
      </w:r>
      <w:r>
        <w:rPr>
          <w:rFonts w:hint="eastAsia" w:ascii="仿宋_GB2312" w:hAnsi="仿宋_GB2312" w:eastAsia="仿宋_GB2312" w:cs="仿宋_GB2312"/>
          <w:b w:val="0"/>
          <w:bCs/>
          <w:sz w:val="32"/>
          <w:szCs w:val="32"/>
          <w:lang w:val="en-US" w:eastAsia="zh-CN"/>
        </w:rPr>
        <w:t>急群众所急，盼群众所盼</w:t>
      </w:r>
      <w:r>
        <w:rPr>
          <w:rFonts w:hint="default" w:ascii="仿宋_GB2312" w:hAnsi="仿宋_GB2312" w:eastAsia="仿宋_GB2312" w:cs="仿宋_GB2312"/>
          <w:b w:val="0"/>
          <w:bCs/>
          <w:sz w:val="32"/>
          <w:szCs w:val="32"/>
          <w:lang w:val="en-US" w:eastAsia="zh-CN"/>
        </w:rPr>
        <w:t>，改善</w:t>
      </w:r>
      <w:r>
        <w:rPr>
          <w:rFonts w:hint="eastAsia" w:ascii="仿宋_GB2312" w:hAnsi="仿宋_GB2312" w:eastAsia="仿宋_GB2312" w:cs="仿宋_GB2312"/>
          <w:b w:val="0"/>
          <w:bCs/>
          <w:sz w:val="32"/>
          <w:szCs w:val="32"/>
          <w:lang w:val="en-US" w:eastAsia="zh-CN"/>
        </w:rPr>
        <w:t>当地群众的</w:t>
      </w:r>
      <w:r>
        <w:rPr>
          <w:rFonts w:hint="default" w:ascii="仿宋_GB2312" w:hAnsi="仿宋_GB2312" w:eastAsia="仿宋_GB2312" w:cs="仿宋_GB2312"/>
          <w:b w:val="0"/>
          <w:bCs/>
          <w:sz w:val="32"/>
          <w:szCs w:val="32"/>
          <w:lang w:val="en-US" w:eastAsia="zh-CN"/>
        </w:rPr>
        <w:t>生产生活条件，提高人民的生活质量</w:t>
      </w:r>
      <w:r>
        <w:rPr>
          <w:rFonts w:hint="eastAsia" w:ascii="仿宋_GB2312" w:hAnsi="仿宋_GB2312" w:eastAsia="仿宋_GB2312" w:cs="仿宋_GB2312"/>
          <w:b w:val="0"/>
          <w:bCs/>
          <w:sz w:val="32"/>
          <w:szCs w:val="32"/>
          <w:lang w:val="en-US" w:eastAsia="zh-CN"/>
        </w:rPr>
        <w:t>水平。力争发展好地方经济，实现年度目标考核任务，完成脱贫攻坚目标任务</w:t>
      </w:r>
      <w:r>
        <w:rPr>
          <w:rFonts w:hint="default" w:ascii="仿宋_GB2312" w:hAnsi="仿宋_GB2312" w:eastAsia="仿宋_GB2312" w:cs="仿宋_GB2312"/>
          <w:b w:val="0"/>
          <w:bCs/>
          <w:sz w:val="32"/>
          <w:szCs w:val="32"/>
          <w:lang w:val="en-US" w:eastAsia="zh-CN"/>
        </w:rPr>
        <w:t>。</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zh-CN" w:eastAsia="zh-CN"/>
        </w:rPr>
        <w:t>本部门按照预算绩效管理要求，对2020年一般公共预算项目支出开展了绩效目标管理，共编制绩效目标</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lang w:val="zh-CN" w:eastAsia="zh-CN"/>
        </w:rPr>
        <w:t>个，涉及财政资金1684.80万元，覆盖率达到100%。</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zh-CN" w:eastAsia="zh-CN"/>
        </w:rPr>
        <w:t>2020年政府整体财政支出严格按财政预算执行，管好用好资金，资金效益最大化，严格审批程序，会计核算规范，真实准确反映资金的使用情况，质量的完成情况，及时足额兑现工资福利支出，严格控制“三公经费”，压缩业务经费；宣传落实好惠民政策，严格执行“一卡通”管理制度，涉农惠民资金兑现率100%；搞好脱贫攻坚工作，脱贫攻坚项目资金按项目进度划拨率100%；积极推动城市经济建设发展，提高城市文化生活水平，按质按量完成好政府各项工作任务。</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zh-CN" w:eastAsia="zh-CN"/>
        </w:rPr>
        <w:t>严格按财政预算执行，支付依据是严格按照财政资金支付要求，严格执行财务管理制度，2020年政府整体财政支出168</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55</w:t>
      </w:r>
      <w:r>
        <w:rPr>
          <w:rFonts w:hint="eastAsia" w:ascii="仿宋_GB2312" w:hAnsi="仿宋_GB2312" w:eastAsia="仿宋_GB2312" w:cs="仿宋_GB2312"/>
          <w:b w:val="0"/>
          <w:bCs/>
          <w:sz w:val="32"/>
          <w:szCs w:val="32"/>
          <w:lang w:val="zh-CN" w:eastAsia="zh-CN"/>
        </w:rPr>
        <w:t>万元，按照年初计划和资金的拨付情况，资金到位率100%，专款专用，不存在挪用截留。</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按项目预算拨款支出执行的主要内容如下：</w:t>
      </w:r>
    </w:p>
    <w:tbl>
      <w:tblPr>
        <w:tblStyle w:val="10"/>
        <w:tblW w:w="9765" w:type="dxa"/>
        <w:tblInd w:w="-182" w:type="dxa"/>
        <w:shd w:val="clear" w:color="auto" w:fill="auto"/>
        <w:tblLayout w:type="fixed"/>
        <w:tblCellMar>
          <w:top w:w="0" w:type="dxa"/>
          <w:left w:w="0" w:type="dxa"/>
          <w:bottom w:w="0" w:type="dxa"/>
          <w:right w:w="0" w:type="dxa"/>
        </w:tblCellMar>
      </w:tblPr>
      <w:tblGrid>
        <w:gridCol w:w="503"/>
        <w:gridCol w:w="2588"/>
        <w:gridCol w:w="5698"/>
        <w:gridCol w:w="976"/>
      </w:tblGrid>
      <w:tr>
        <w:tblPrEx>
          <w:shd w:val="clear" w:color="auto" w:fill="auto"/>
          <w:tblCellMar>
            <w:top w:w="0" w:type="dxa"/>
            <w:left w:w="0" w:type="dxa"/>
            <w:bottom w:w="0" w:type="dxa"/>
            <w:right w:w="0" w:type="dxa"/>
          </w:tblCellMar>
        </w:tblPrEx>
        <w:trPr>
          <w:trHeight w:val="623"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序号</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任务名称</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主要内容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金额（万元）</w:t>
            </w:r>
          </w:p>
        </w:tc>
      </w:tr>
      <w:tr>
        <w:tblPrEx>
          <w:shd w:val="clear" w:color="auto" w:fill="auto"/>
          <w:tblCellMar>
            <w:top w:w="0" w:type="dxa"/>
            <w:left w:w="0" w:type="dxa"/>
            <w:bottom w:w="0" w:type="dxa"/>
            <w:right w:w="0" w:type="dxa"/>
          </w:tblCellMar>
        </w:tblPrEx>
        <w:trPr>
          <w:trHeight w:val="623"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hint="eastAsia" w:ascii="宋体" w:hAnsi="宋体" w:eastAsia="宋体" w:cs="宋体"/>
                <w:b/>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合计</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hint="eastAsia" w:ascii="宋体" w:hAnsi="宋体" w:eastAsia="宋体" w:cs="宋体"/>
                <w:b/>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cs="宋体"/>
                <w:b/>
                <w:i w:val="0"/>
                <w:color w:val="000000"/>
                <w:kern w:val="0"/>
                <w:sz w:val="24"/>
                <w:szCs w:val="24"/>
                <w:u w:val="none"/>
                <w:lang w:val="en-US" w:eastAsia="zh-CN"/>
              </w:rPr>
              <w:t>1681.55</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85" w:name="OLE_LINK1" w:colFirst="3" w:colLast="3"/>
            <w:r>
              <w:rPr>
                <w:rFonts w:hint="eastAsia" w:ascii="宋体" w:hAnsi="宋体" w:eastAsia="宋体" w:cs="宋体"/>
                <w:i w:val="0"/>
                <w:color w:val="000000"/>
                <w:kern w:val="0"/>
                <w:sz w:val="22"/>
                <w:szCs w:val="22"/>
                <w:u w:val="none"/>
                <w:lang w:val="en-US" w:eastAsia="zh-CN"/>
              </w:rPr>
              <w:t>1</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政府预算绩效管理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加强政府财政收支管理，保障人员经费及日常工作运转支出</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383.90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绩效评价管理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下达谢家河坝社区工作经费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2.00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绩效评价管理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下达工作经费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3.00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免费开放资金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下达各社区免费开放资金如数</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15.00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公益性岗位补助资金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村（社区）公益性岗位补贴</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12.42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新冠肺炎疫情防控中央补助资金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下达新冠肺炎疫情防控中央补助结算资金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2.81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林业专项补贴资金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下达2020年中央财政林业草原生态保护恢复专项资金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0.09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农村安全饮水建设资金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下达脱贫攻坚安全饮水建设补助资金（西郊村）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56.00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村道路建设资金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下达街道办西郊村道路建设补助资金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120.00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绩效评价管理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下达革命老区转移支付资金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208.00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农村安全饮水建设资金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下达脱贫攻坚安全饮水建设补助资金（西郊村）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78.05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环境卫生整治专项资金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下达农村人居环境综合整治补助资金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30.00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综合财力补助资金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下达脱贫攻坚补短板综合财力补助资金（壁州创谷扶贫电商平台建设）</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100.00 </w:t>
            </w:r>
          </w:p>
        </w:tc>
      </w:tr>
      <w:tr>
        <w:tblPrEx>
          <w:shd w:val="clear" w:color="auto" w:fill="auto"/>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脱贫攻坚专项资金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下达乡镇建档立卡贫困人口公益性岗位补助资金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highlight w:val="none"/>
                <w:u w:val="none"/>
                <w:lang w:val="en-US" w:eastAsia="zh-CN"/>
              </w:rPr>
              <w:t>4</w:t>
            </w:r>
            <w:r>
              <w:rPr>
                <w:rFonts w:hint="eastAsia" w:ascii="宋体" w:hAnsi="宋体" w:eastAsia="宋体" w:cs="宋体"/>
                <w:i w:val="0"/>
                <w:color w:val="000000"/>
                <w:kern w:val="0"/>
                <w:sz w:val="24"/>
                <w:szCs w:val="24"/>
                <w:highlight w:val="none"/>
                <w:u w:val="none"/>
                <w:lang w:val="en-US" w:eastAsia="zh-CN"/>
              </w:rPr>
              <w:t>.00</w:t>
            </w:r>
            <w:r>
              <w:rPr>
                <w:rFonts w:hint="eastAsia" w:ascii="宋体" w:hAnsi="宋体" w:eastAsia="宋体" w:cs="宋体"/>
                <w:i w:val="0"/>
                <w:color w:val="000000"/>
                <w:kern w:val="0"/>
                <w:sz w:val="24"/>
                <w:szCs w:val="24"/>
                <w:u w:val="none"/>
                <w:lang w:val="en-US" w:eastAsia="zh-CN"/>
              </w:rPr>
              <w:t xml:space="preserve">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政府预算绩效管理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7-12月村（社区）干部补贴</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85.59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rPr>
              <w:t>政府预算绩效专项管理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0"/>
                <w:szCs w:val="20"/>
                <w:u w:val="none"/>
              </w:rPr>
            </w:pPr>
            <w:r>
              <w:rPr>
                <w:rFonts w:hint="eastAsia" w:ascii="方正仿宋简体" w:hAnsi="方正仿宋简体" w:eastAsia="方正仿宋简体" w:cs="方正仿宋简体"/>
                <w:i w:val="0"/>
                <w:color w:val="000000"/>
                <w:kern w:val="0"/>
                <w:sz w:val="20"/>
                <w:szCs w:val="20"/>
                <w:u w:val="none"/>
                <w:lang w:val="en-US" w:eastAsia="zh-CN"/>
              </w:rPr>
              <w:t>7-12月村（社区）集体经济组织补贴资金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4"/>
                <w:szCs w:val="24"/>
                <w:u w:val="none"/>
                <w:lang w:val="en-US" w:eastAsia="zh-CN"/>
              </w:rPr>
              <w:t>19.50</w:t>
            </w:r>
            <w:r>
              <w:rPr>
                <w:rFonts w:hint="eastAsia" w:ascii="宋体" w:hAnsi="宋体" w:eastAsia="宋体" w:cs="宋体"/>
                <w:i w:val="0"/>
                <w:color w:val="000000"/>
                <w:kern w:val="0"/>
                <w:sz w:val="20"/>
                <w:szCs w:val="20"/>
                <w:u w:val="none"/>
                <w:lang w:val="en-US" w:eastAsia="zh-CN"/>
              </w:rPr>
              <w:t xml:space="preserve">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17</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kern w:val="0"/>
                <w:sz w:val="20"/>
                <w:szCs w:val="20"/>
                <w:u w:val="none"/>
                <w:lang w:val="en-US" w:eastAsia="zh-CN"/>
              </w:rPr>
            </w:pPr>
            <w:r>
              <w:rPr>
                <w:rFonts w:hint="eastAsia" w:ascii="方正仿宋简体" w:hAnsi="方正仿宋简体" w:eastAsia="方正仿宋简体" w:cs="方正仿宋简体"/>
                <w:i w:val="0"/>
                <w:color w:val="auto"/>
                <w:kern w:val="0"/>
                <w:sz w:val="20"/>
                <w:szCs w:val="20"/>
                <w:u w:val="none"/>
                <w:lang w:val="en-US" w:eastAsia="zh-CN"/>
              </w:rPr>
              <w:t>城市社区卫生机构</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kern w:val="0"/>
                <w:sz w:val="20"/>
                <w:szCs w:val="20"/>
                <w:u w:val="none"/>
                <w:lang w:val="en-US" w:eastAsia="zh-CN"/>
              </w:rPr>
            </w:pPr>
            <w:r>
              <w:rPr>
                <w:rFonts w:hint="eastAsia" w:ascii="方正仿宋简体" w:hAnsi="方正仿宋简体" w:eastAsia="方正仿宋简体" w:cs="方正仿宋简体"/>
                <w:i w:val="0"/>
                <w:color w:val="000000"/>
                <w:kern w:val="0"/>
                <w:sz w:val="20"/>
                <w:szCs w:val="20"/>
                <w:u w:val="none"/>
                <w:lang w:val="en-US" w:eastAsia="zh-CN"/>
              </w:rPr>
              <w:t>保障卫生人员经费及日常工作运转支出</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362.27</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18</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kern w:val="0"/>
                <w:sz w:val="20"/>
                <w:szCs w:val="20"/>
                <w:u w:val="none"/>
                <w:lang w:val="en-US" w:eastAsia="zh-CN"/>
              </w:rPr>
            </w:pPr>
            <w:r>
              <w:rPr>
                <w:rFonts w:hint="eastAsia" w:ascii="方正仿宋简体" w:hAnsi="方正仿宋简体" w:eastAsia="方正仿宋简体" w:cs="方正仿宋简体"/>
                <w:i w:val="0"/>
                <w:color w:val="auto"/>
                <w:kern w:val="0"/>
                <w:sz w:val="20"/>
                <w:szCs w:val="20"/>
                <w:u w:val="none"/>
                <w:lang w:val="en-US" w:eastAsia="zh-CN"/>
              </w:rPr>
              <w:t>其他基层医疗卫生机构支出</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kern w:val="0"/>
                <w:sz w:val="20"/>
                <w:szCs w:val="20"/>
                <w:u w:val="none"/>
                <w:lang w:val="en-US" w:eastAsia="zh-CN"/>
              </w:rPr>
            </w:pPr>
            <w:r>
              <w:rPr>
                <w:rFonts w:hint="eastAsia" w:ascii="方正仿宋简体" w:hAnsi="方正仿宋简体" w:eastAsia="方正仿宋简体" w:cs="方正仿宋简体"/>
                <w:i w:val="0"/>
                <w:color w:val="000000"/>
                <w:kern w:val="0"/>
                <w:sz w:val="20"/>
                <w:szCs w:val="20"/>
                <w:u w:val="none"/>
                <w:lang w:val="en-US" w:eastAsia="zh-CN"/>
              </w:rPr>
              <w:t>卫生室补助和基本药物补助</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28.57</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19</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kern w:val="0"/>
                <w:sz w:val="20"/>
                <w:szCs w:val="20"/>
                <w:u w:val="none"/>
                <w:lang w:val="en-US" w:eastAsia="zh-CN"/>
              </w:rPr>
            </w:pPr>
            <w:r>
              <w:rPr>
                <w:rFonts w:hint="eastAsia" w:ascii="方正仿宋简体" w:hAnsi="方正仿宋简体" w:eastAsia="方正仿宋简体" w:cs="方正仿宋简体"/>
                <w:i w:val="0"/>
                <w:color w:val="auto"/>
                <w:kern w:val="0"/>
                <w:sz w:val="20"/>
                <w:szCs w:val="20"/>
                <w:u w:val="none"/>
                <w:lang w:val="en-US" w:eastAsia="zh-CN"/>
              </w:rPr>
              <w:t>基本公共卫生服务</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kern w:val="0"/>
                <w:sz w:val="20"/>
                <w:szCs w:val="20"/>
                <w:u w:val="none"/>
                <w:lang w:val="en-US" w:eastAsia="zh-CN"/>
              </w:rPr>
            </w:pPr>
            <w:r>
              <w:rPr>
                <w:rFonts w:hint="eastAsia" w:ascii="方正仿宋简体" w:hAnsi="方正仿宋简体" w:eastAsia="方正仿宋简体" w:cs="方正仿宋简体"/>
                <w:i w:val="0"/>
                <w:color w:val="000000"/>
                <w:kern w:val="0"/>
                <w:sz w:val="20"/>
                <w:szCs w:val="20"/>
                <w:u w:val="none"/>
                <w:lang w:val="en-US" w:eastAsia="zh-CN"/>
              </w:rPr>
              <w:t>基本公共卫生服务资金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169.35</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20</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kern w:val="0"/>
                <w:sz w:val="20"/>
                <w:szCs w:val="20"/>
                <w:u w:val="none"/>
                <w:lang w:val="en-US" w:eastAsia="zh-CN"/>
              </w:rPr>
            </w:pPr>
            <w:r>
              <w:rPr>
                <w:rFonts w:hint="eastAsia" w:ascii="方正仿宋简体" w:hAnsi="方正仿宋简体" w:eastAsia="方正仿宋简体" w:cs="方正仿宋简体"/>
                <w:i w:val="0"/>
                <w:color w:val="auto"/>
                <w:kern w:val="0"/>
                <w:sz w:val="20"/>
                <w:szCs w:val="20"/>
                <w:u w:val="none"/>
                <w:lang w:val="en-US" w:eastAsia="zh-CN"/>
              </w:rPr>
              <w:t>健康扶贫资金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kern w:val="0"/>
                <w:sz w:val="20"/>
                <w:szCs w:val="20"/>
                <w:u w:val="none"/>
                <w:lang w:val="en-US" w:eastAsia="zh-CN"/>
              </w:rPr>
            </w:pPr>
            <w:r>
              <w:rPr>
                <w:rFonts w:hint="eastAsia" w:ascii="方正仿宋简体" w:hAnsi="方正仿宋简体" w:eastAsia="方正仿宋简体" w:cs="方正仿宋简体"/>
                <w:i w:val="0"/>
                <w:color w:val="auto"/>
                <w:kern w:val="0"/>
                <w:sz w:val="20"/>
                <w:szCs w:val="20"/>
                <w:u w:val="none"/>
                <w:lang w:val="en-US" w:eastAsia="zh-CN"/>
              </w:rPr>
              <w:t>驻村工作经费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rPr>
            </w:pPr>
            <w:r>
              <w:rPr>
                <w:rFonts w:hint="eastAsia" w:ascii="宋体" w:hAnsi="宋体" w:cs="宋体"/>
                <w:i w:val="0"/>
                <w:color w:val="000000"/>
                <w:kern w:val="0"/>
                <w:sz w:val="24"/>
                <w:szCs w:val="24"/>
                <w:u w:val="none"/>
                <w:lang w:val="en-US" w:eastAsia="zh-CN"/>
              </w:rPr>
              <w:t>1.00</w:t>
            </w:r>
            <w:bookmarkEnd w:id="85"/>
          </w:p>
        </w:tc>
      </w:tr>
    </w:tbl>
    <w:p>
      <w:pPr>
        <w:widowControl/>
        <w:adjustRightInd w:val="0"/>
        <w:snapToGrid w:val="0"/>
        <w:spacing w:line="580" w:lineRule="exact"/>
        <w:contextualSpacing/>
        <w:jc w:val="left"/>
        <w:rPr>
          <w:rFonts w:hint="eastAsia" w:ascii="仿宋_GB2312" w:hAnsi="仿宋_GB2312" w:eastAsia="仿宋_GB2312" w:cs="仿宋_GB2312"/>
          <w:b w:val="0"/>
          <w:bCs/>
          <w:sz w:val="32"/>
          <w:szCs w:val="32"/>
          <w:lang w:val="zh-CN" w:eastAsia="zh-CN"/>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政府整体财政支出的绩效目标考核任务量总体完成较好。政府整体财政支出绩效目标考核目标质量指标完成较好。2020年政府整体财政支出始终是按年初有预算，年终有决算，按年初预算逐步推进实施，各项工作都有序高效完成，2020年政府各项财政工作都得到了各级部门的高度认可，财政支出都按年初计划圆满完成。</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政府各级部门认真履职履责，为了完成各项工作任务，不断创新学习，加强为民服务意识，改进工作作风；全镇完成了财政收支目标任务，保工资、保政府运转、保民生工程；确保了预算资金全方位、全过程、全覆盖绩效管理；打好扶贫攻坚战，发展地方经济，搞好城市建设，争创文明城市，提高人民文化生活水平，造福一方百姓。总之2020年政府整体财政支出绩效目标考核指标不论是经济效益、社会效益、经济持续发展效益都持续稳步增长。</w:t>
      </w:r>
    </w:p>
    <w:p>
      <w:pPr>
        <w:widowControl/>
        <w:numPr>
          <w:ilvl w:val="0"/>
          <w:numId w:val="7"/>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政府绩效制度不完善，绩效制度缺乏强有力的保障措施，政府整体财政资金涉及面大，绩效指标考核难度大，绩效目标考核指标缺乏标准，对绩效目标考核政策学习少，认识不够深入，专业性不强，难以量化。</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财政收入匮乏，职工养老保险资金有差额，政府资金压力大。脱贫攻坚任务重，办公经费不足。</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项目多资金少，项目后续投入少，管理难度大，加大脱贫攻坚配套设施建设。</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政府绩效目标评价专业性强，应该有专门业务人员，上级部门应该重视此项工作，定时进行专门学习培训。</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巩固了脱贫攻坚成果，改善贫困户的生产生活条件，促进了社会经济发展，让惠民政策落到了实处，建立了农户持续发展产业园，办一件实实在在的民生工程。</w:t>
      </w:r>
      <w:bookmarkStart w:id="86" w:name="_Toc15396617"/>
      <w:bookmarkEnd w:id="86"/>
    </w:p>
    <w:p>
      <w:pPr>
        <w:spacing w:line="580" w:lineRule="exact"/>
        <w:ind w:firstLine="640" w:firstLineChars="200"/>
        <w:rPr>
          <w:rFonts w:ascii="仿宋_GB2312" w:hAnsi="仿宋_GB2312" w:eastAsia="仿宋_GB2312" w:cs="仿宋_GB2312"/>
          <w:sz w:val="32"/>
          <w:szCs w:val="32"/>
        </w:rPr>
      </w:pPr>
    </w:p>
    <w:p>
      <w:pPr>
        <w:numPr>
          <w:ilvl w:val="0"/>
          <w:numId w:val="0"/>
        </w:numPr>
        <w:adjustRightInd w:val="0"/>
        <w:snapToGrid w:val="0"/>
        <w:spacing w:line="560" w:lineRule="exact"/>
        <w:ind w:firstLine="4480" w:firstLineChars="14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通江县壁州街道办事处</w:t>
      </w:r>
    </w:p>
    <w:p>
      <w:pPr>
        <w:numPr>
          <w:ilvl w:val="0"/>
          <w:numId w:val="0"/>
        </w:numPr>
        <w:adjustRightInd w:val="0"/>
        <w:snapToGrid w:val="0"/>
        <w:spacing w:line="560" w:lineRule="exact"/>
        <w:ind w:firstLine="4800" w:firstLineChars="15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2021年5月30日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outlineLvl w:val="1"/>
        <w:rPr>
          <w:rFonts w:ascii="黑体" w:hAnsi="黑体" w:eastAsia="黑体" w:cs="黑体"/>
          <w:sz w:val="32"/>
          <w:szCs w:val="32"/>
        </w:rPr>
      </w:pPr>
      <w:bookmarkStart w:id="87" w:name="_Toc11283"/>
      <w:r>
        <w:rPr>
          <w:rFonts w:hint="eastAsia" w:ascii="黑体" w:hAnsi="黑体" w:eastAsia="黑体" w:cs="黑体"/>
          <w:sz w:val="32"/>
          <w:szCs w:val="32"/>
        </w:rPr>
        <w:t>附件</w:t>
      </w:r>
      <w:r>
        <w:rPr>
          <w:rFonts w:ascii="黑体" w:hAnsi="黑体" w:eastAsia="黑体" w:cs="黑体"/>
          <w:sz w:val="32"/>
          <w:szCs w:val="32"/>
        </w:rPr>
        <w:t>2</w:t>
      </w:r>
      <w:bookmarkEnd w:id="87"/>
    </w:p>
    <w:p>
      <w:pPr>
        <w:adjustRightInd w:val="0"/>
        <w:snapToGrid w:val="0"/>
        <w:spacing w:line="560" w:lineRule="exact"/>
        <w:jc w:val="center"/>
        <w:rPr>
          <w:rFonts w:hint="eastAsia" w:ascii="仿宋_GB2312" w:hAnsi="宋体" w:eastAsia="仿宋_GB2312" w:cs="Times New Roman"/>
          <w:b/>
          <w:bCs/>
          <w:sz w:val="44"/>
          <w:szCs w:val="44"/>
          <w:lang w:val="en-US" w:eastAsia="zh-CN"/>
        </w:rPr>
      </w:pPr>
      <w:r>
        <w:rPr>
          <w:rFonts w:hint="eastAsia" w:ascii="仿宋_GB2312" w:hAnsi="宋体" w:eastAsia="仿宋_GB2312" w:cs="Times New Roman"/>
          <w:b/>
          <w:bCs/>
          <w:sz w:val="44"/>
          <w:szCs w:val="44"/>
          <w:lang w:val="zh-CN" w:eastAsia="zh-CN"/>
        </w:rPr>
        <w:t>壁州街道办事处2020年新冠肺炎</w:t>
      </w:r>
    </w:p>
    <w:p>
      <w:pPr>
        <w:adjustRightInd w:val="0"/>
        <w:snapToGrid w:val="0"/>
        <w:spacing w:line="560" w:lineRule="exact"/>
        <w:jc w:val="center"/>
        <w:rPr>
          <w:rFonts w:hint="eastAsia" w:ascii="仿宋_GB2312" w:hAnsi="宋体" w:eastAsia="仿宋_GB2312" w:cs="Times New Roman"/>
          <w:b/>
          <w:bCs/>
          <w:sz w:val="44"/>
          <w:szCs w:val="44"/>
          <w:lang w:val="zh-CN"/>
        </w:rPr>
      </w:pPr>
      <w:r>
        <w:rPr>
          <w:rFonts w:hint="eastAsia" w:ascii="仿宋_GB2312" w:hAnsi="宋体" w:eastAsia="仿宋_GB2312" w:cs="Times New Roman"/>
          <w:b/>
          <w:bCs/>
          <w:sz w:val="44"/>
          <w:szCs w:val="44"/>
          <w:lang w:val="en-US" w:eastAsia="zh-CN"/>
        </w:rPr>
        <w:t>疫情防控中央补助资金绩效</w:t>
      </w:r>
    </w:p>
    <w:p>
      <w:pPr>
        <w:adjustRightInd w:val="0"/>
        <w:snapToGrid w:val="0"/>
        <w:spacing w:line="560" w:lineRule="exact"/>
        <w:jc w:val="center"/>
        <w:rPr>
          <w:rFonts w:hint="eastAsia" w:ascii="仿宋_GB2312" w:hAnsi="宋体" w:eastAsia="仿宋_GB2312" w:cs="Times New Roman"/>
          <w:b/>
          <w:bCs/>
          <w:sz w:val="44"/>
          <w:szCs w:val="44"/>
          <w:lang w:val="zh-CN"/>
        </w:rPr>
      </w:pPr>
      <w:r>
        <w:rPr>
          <w:rFonts w:hint="eastAsia" w:ascii="仿宋_GB2312" w:hAnsi="宋体" w:eastAsia="仿宋_GB2312" w:cs="Times New Roman"/>
          <w:b/>
          <w:bCs/>
          <w:sz w:val="44"/>
          <w:szCs w:val="44"/>
          <w:lang w:val="zh-CN"/>
        </w:rPr>
        <w:t>自评报告</w:t>
      </w:r>
    </w:p>
    <w:p>
      <w:pPr>
        <w:pStyle w:val="20"/>
        <w:spacing w:line="240" w:lineRule="auto"/>
        <w:jc w:val="center"/>
        <w:rPr>
          <w:rFonts w:hint="eastAsia" w:ascii="宋体" w:hAnsi="宋体"/>
          <w:b w:val="0"/>
          <w:bCs/>
          <w:sz w:val="32"/>
          <w:szCs w:val="32"/>
          <w:lang w:eastAsia="zh-CN"/>
        </w:rPr>
      </w:pPr>
    </w:p>
    <w:p>
      <w:pPr>
        <w:adjustRightInd w:val="0"/>
        <w:snapToGrid w:val="0"/>
        <w:spacing w:line="560" w:lineRule="exact"/>
        <w:ind w:firstLine="720"/>
        <w:rPr>
          <w:rFonts w:hint="eastAsia" w:ascii="仿宋_GB2312" w:hAnsi="宋体" w:eastAsia="仿宋_GB2312" w:cs="Times New Roman"/>
          <w:b/>
          <w:bCs/>
          <w:sz w:val="36"/>
          <w:szCs w:val="36"/>
          <w:lang w:val="zh-CN"/>
        </w:rPr>
      </w:pPr>
      <w:r>
        <w:rPr>
          <w:rFonts w:hint="eastAsia" w:ascii="仿宋_GB2312" w:hAnsi="宋体" w:eastAsia="仿宋_GB2312" w:cs="Times New Roman"/>
          <w:b/>
          <w:bCs/>
          <w:sz w:val="36"/>
          <w:szCs w:val="36"/>
          <w:lang w:val="zh-CN" w:eastAsia="zh-CN"/>
        </w:rPr>
        <w:t>一、</w:t>
      </w:r>
      <w:r>
        <w:rPr>
          <w:rFonts w:hint="eastAsia" w:ascii="仿宋_GB2312" w:hAnsi="宋体" w:eastAsia="仿宋_GB2312" w:cs="Times New Roman"/>
          <w:b/>
          <w:bCs/>
          <w:sz w:val="36"/>
          <w:szCs w:val="36"/>
          <w:lang w:val="zh-CN"/>
        </w:rPr>
        <w:t>基本情况</w:t>
      </w:r>
      <w:r>
        <w:rPr>
          <w:rFonts w:hint="eastAsia" w:ascii="楷体" w:hAnsi="楷体" w:eastAsia="楷体" w:cs="楷体"/>
          <w:b/>
          <w:bCs w:val="0"/>
          <w:sz w:val="36"/>
          <w:szCs w:val="36"/>
          <w:lang w:val="zh-CN" w:eastAsia="zh-CN"/>
        </w:rPr>
        <w:t>及机构设置</w:t>
      </w:r>
    </w:p>
    <w:p>
      <w:pPr>
        <w:numPr>
          <w:ilvl w:val="0"/>
          <w:numId w:val="0"/>
        </w:numPr>
        <w:adjustRightInd w:val="0"/>
        <w:snapToGrid w:val="0"/>
        <w:spacing w:line="560" w:lineRule="exact"/>
        <w:ind w:firstLine="640" w:firstLineChars="200"/>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en-US" w:eastAsia="zh-CN"/>
        </w:rPr>
        <w:t>壁州街道是通江县城所在地，是全县政治、经济、文化、交通、信息中心。幅员30平方公里，2020年6月行政区划调整后4村，12个社区居委会，总人口20万，其中：农业户数3155户，农村人口8985人。</w:t>
      </w:r>
    </w:p>
    <w:p>
      <w:pPr>
        <w:numPr>
          <w:ilvl w:val="0"/>
          <w:numId w:val="0"/>
        </w:numPr>
        <w:adjustRightInd w:val="0"/>
        <w:snapToGrid w:val="0"/>
        <w:spacing w:line="560" w:lineRule="exact"/>
        <w:ind w:firstLine="640" w:firstLineChars="200"/>
        <w:rPr>
          <w:rFonts w:hint="eastAsia" w:ascii="仿宋_GB2312" w:hAnsi="宋体" w:eastAsia="仿宋_GB2312" w:cs="Times New Roman"/>
          <w:b w:val="0"/>
          <w:bCs w:val="0"/>
          <w:sz w:val="32"/>
          <w:szCs w:val="32"/>
          <w:lang w:val="en-US" w:eastAsia="zh-CN"/>
        </w:rPr>
      </w:pPr>
      <w:r>
        <w:rPr>
          <w:rFonts w:hint="eastAsia" w:ascii="仿宋_GB2312" w:hAnsi="宋体" w:eastAsia="仿宋_GB2312" w:cs="Times New Roman"/>
          <w:b w:val="0"/>
          <w:bCs w:val="0"/>
          <w:sz w:val="32"/>
          <w:szCs w:val="32"/>
          <w:lang w:val="en-US" w:eastAsia="zh-CN"/>
        </w:rPr>
        <w:t>壁州街道办事处（本级）属一级预算单位，内设党政和信访办公室、安全生产监督管理办公室、社会事务办公室、经济发展办公室、财政所、扶贫开发办公室、农业综合服务中心、社会事务服务中心、村镇建设服务中心、便民服务中心、会计核算中心等服务岗位。</w:t>
      </w:r>
    </w:p>
    <w:p>
      <w:pPr>
        <w:numPr>
          <w:ilvl w:val="0"/>
          <w:numId w:val="0"/>
        </w:numPr>
        <w:adjustRightInd w:val="0"/>
        <w:snapToGrid w:val="0"/>
        <w:spacing w:line="560" w:lineRule="exact"/>
        <w:ind w:firstLine="640" w:firstLineChars="200"/>
        <w:rPr>
          <w:rFonts w:hint="default" w:ascii="仿宋_GB2312" w:hAnsi="宋体" w:eastAsia="仿宋_GB2312" w:cs="Times New Roman"/>
          <w:b w:val="0"/>
          <w:bCs w:val="0"/>
          <w:sz w:val="32"/>
          <w:szCs w:val="32"/>
          <w:lang w:val="en-US" w:eastAsia="zh-CN"/>
        </w:rPr>
      </w:pPr>
      <w:r>
        <w:rPr>
          <w:rFonts w:hint="eastAsia" w:ascii="仿宋_GB2312" w:hAnsi="宋体" w:eastAsia="仿宋_GB2312" w:cs="Times New Roman"/>
          <w:b w:val="0"/>
          <w:bCs w:val="0"/>
          <w:sz w:val="32"/>
          <w:szCs w:val="32"/>
          <w:lang w:val="en-US" w:eastAsia="zh-CN"/>
        </w:rPr>
        <w:t xml:space="preserve">    壁州街道办事处下半年行政区划调整由原来的诺江镇划分为壁州街道办事处和诺江镇人民政府，街道办单位行政事业编制31人；行政编制23人，事业编制8人，单位实有人数31人，行政实有人数23人，事业实有人数8人，村社干部110人。</w:t>
      </w:r>
    </w:p>
    <w:p>
      <w:pPr>
        <w:numPr>
          <w:ilvl w:val="0"/>
          <w:numId w:val="0"/>
        </w:numPr>
        <w:adjustRightInd w:val="0"/>
        <w:snapToGrid w:val="0"/>
        <w:spacing w:line="560" w:lineRule="exact"/>
        <w:ind w:firstLine="640" w:firstLineChars="200"/>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en-US" w:eastAsia="zh-CN"/>
        </w:rPr>
        <w:t>根据财政资金绩效评价文件要求，街道办组织了绩效自评工作小组对2020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二、资金使用情况</w:t>
      </w:r>
    </w:p>
    <w:p>
      <w:pPr>
        <w:adjustRightInd w:val="0"/>
        <w:snapToGrid w:val="0"/>
        <w:spacing w:line="560" w:lineRule="exact"/>
        <w:ind w:firstLine="720"/>
        <w:rPr>
          <w:rFonts w:hint="eastAsia" w:ascii="楷体_GB2312" w:hAnsi="宋体" w:eastAsia="楷体_GB2312" w:cs="Times New Roman"/>
          <w:b/>
          <w:bCs/>
          <w:sz w:val="32"/>
          <w:szCs w:val="32"/>
          <w:lang w:val="zh-CN"/>
        </w:rPr>
      </w:pPr>
      <w:r>
        <w:rPr>
          <w:rFonts w:hint="eastAsia" w:ascii="仿宋_GB2312" w:hAnsi="宋体" w:eastAsia="仿宋_GB2312" w:cs="Times New Roman"/>
          <w:b/>
          <w:bCs/>
          <w:sz w:val="32"/>
          <w:szCs w:val="32"/>
          <w:lang w:val="zh-CN"/>
        </w:rPr>
        <w:t>（一）</w:t>
      </w:r>
      <w:r>
        <w:rPr>
          <w:rFonts w:hint="eastAsia" w:ascii="楷体_GB2312" w:hAnsi="宋体" w:eastAsia="楷体_GB2312" w:cs="Times New Roman"/>
          <w:b/>
          <w:bCs/>
          <w:sz w:val="32"/>
          <w:szCs w:val="32"/>
          <w:lang w:val="zh-CN"/>
        </w:rPr>
        <w:t>资金使用。</w:t>
      </w:r>
    </w:p>
    <w:p>
      <w:pPr>
        <w:adjustRightInd w:val="0"/>
        <w:snapToGrid w:val="0"/>
        <w:spacing w:line="560" w:lineRule="exact"/>
        <w:ind w:firstLine="720"/>
        <w:rPr>
          <w:rFonts w:hint="eastAsia" w:ascii="仿宋_GB2312" w:hAnsi="宋体" w:eastAsia="仿宋_GB2312" w:cs="Times New Roman"/>
          <w:b w:val="0"/>
          <w:bCs w:val="0"/>
          <w:sz w:val="32"/>
          <w:szCs w:val="32"/>
          <w:lang w:val="en-US" w:eastAsia="zh-CN"/>
        </w:rPr>
      </w:pPr>
      <w:r>
        <w:rPr>
          <w:rFonts w:hint="eastAsia" w:ascii="仿宋_GB2312" w:hAnsi="宋体" w:eastAsia="仿宋_GB2312" w:cs="Times New Roman"/>
          <w:b w:val="0"/>
          <w:bCs w:val="0"/>
          <w:sz w:val="32"/>
          <w:szCs w:val="32"/>
          <w:lang w:val="en-US" w:eastAsia="zh-CN"/>
        </w:rPr>
        <w:t>要加强对资金使用的事前、事中和事后全流程监管，规范资金审批程序，确保资金专款专用，任何地方不得擅自截留、挤占、挪用或改变资金用途。督促指导相关部门建立健全资金使用明细账和各项物资入库登记、领用发放及使用管理等规章制度，确保手续完备、凭证齐全。严禁使用财政补助资金超标准装修改造或购置与疫情防控工作无关的设备、器材、交通工具等。2020年街道办下达了资金2.81万元，资金截至2020年12月底已经全部支付到位，支付依据是严格按专项资金管理办法，资金严格按照财政资金支付要求，严格执行财务管理制度，不存在挪用截留。</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（二）组织实施情况。</w:t>
      </w:r>
    </w:p>
    <w:p>
      <w:pPr>
        <w:adjustRightInd w:val="0"/>
        <w:snapToGrid w:val="0"/>
        <w:spacing w:line="560" w:lineRule="exact"/>
        <w:ind w:firstLine="720"/>
        <w:rPr>
          <w:rFonts w:hint="eastAsia" w:ascii="楷体_GB2312" w:hAnsi="宋体" w:eastAsia="楷体_GB2312" w:cs="Times New Roman"/>
          <w:sz w:val="32"/>
          <w:szCs w:val="32"/>
          <w:lang w:val="en-US" w:eastAsia="zh-CN"/>
        </w:rPr>
      </w:pPr>
      <w:r>
        <w:rPr>
          <w:rFonts w:hint="eastAsia" w:ascii="仿宋_GB2312" w:hAnsi="宋体" w:eastAsia="仿宋_GB2312" w:cs="Times New Roman"/>
          <w:b w:val="0"/>
          <w:bCs w:val="0"/>
          <w:sz w:val="32"/>
          <w:szCs w:val="32"/>
          <w:lang w:val="en-US" w:eastAsia="zh-CN"/>
        </w:rPr>
        <w:t>街道办设置有新冠肺炎疫情防控领导小组，新冠肺炎疫情防控办公室，专人负责，专款专用，建立台账，加强对资金使用的事前、事中和事后全流程监管，规范资金审批程序，确保资金专款专用，任何地方不得擅自截留、挤占、挪用或改变资金用途。</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三、目标完成情况</w:t>
      </w:r>
      <w:r>
        <w:rPr>
          <w:rFonts w:hint="eastAsia" w:ascii="仿宋_GB2312" w:hAnsi="宋体" w:eastAsia="仿宋_GB2312" w:cs="Times New Roman"/>
          <w:b/>
          <w:bCs/>
          <w:sz w:val="36"/>
          <w:szCs w:val="36"/>
          <w:lang w:val="zh-CN" w:eastAsia="zh-CN"/>
        </w:rPr>
        <w:tab/>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（一）目标任务量完成情况。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b w:val="0"/>
          <w:bCs w:val="0"/>
          <w:sz w:val="32"/>
          <w:szCs w:val="32"/>
          <w:lang w:val="en-US" w:eastAsia="zh-CN"/>
        </w:rPr>
        <w:t>2020年新冠肺炎疫情防控资金2.81万元，涉及村4个，社区12个，涉及人口20万多人，2020年12月底资金已经全部兑现到位，圆满完成了预期目标任务。</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（二）目标质量完成情况。</w:t>
      </w:r>
    </w:p>
    <w:p>
      <w:pPr>
        <w:numPr>
          <w:ilvl w:val="0"/>
          <w:numId w:val="0"/>
        </w:numPr>
        <w:adjustRightInd w:val="0"/>
        <w:snapToGrid w:val="0"/>
        <w:spacing w:line="560" w:lineRule="exact"/>
        <w:ind w:firstLine="640" w:firstLineChars="200"/>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en-US" w:eastAsia="zh-CN"/>
        </w:rPr>
        <w:t>2020年新冠肺炎疫情防控资金工作目标任务是按质按量圆满完成。</w:t>
      </w:r>
    </w:p>
    <w:p>
      <w:pPr>
        <w:adjustRightInd w:val="0"/>
        <w:snapToGrid w:val="0"/>
        <w:spacing w:line="560" w:lineRule="exact"/>
        <w:ind w:firstLine="803" w:firstLineChars="25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（三）目标进度完成情况。</w:t>
      </w:r>
    </w:p>
    <w:p>
      <w:pPr>
        <w:numPr>
          <w:ilvl w:val="0"/>
          <w:numId w:val="0"/>
        </w:numPr>
        <w:adjustRightInd w:val="0"/>
        <w:snapToGrid w:val="0"/>
        <w:spacing w:line="560" w:lineRule="exact"/>
        <w:ind w:firstLine="640" w:firstLineChars="200"/>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en-US" w:eastAsia="zh-CN"/>
        </w:rPr>
        <w:t>2020年新冠肺炎疫情防控资金2020年12月底已经全部兑现到位，完成了预定目标任务。</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四、项目效益情况</w:t>
      </w:r>
    </w:p>
    <w:p>
      <w:pPr>
        <w:adjustRightInd w:val="0"/>
        <w:snapToGrid w:val="0"/>
        <w:spacing w:line="560" w:lineRule="exact"/>
        <w:ind w:firstLine="720"/>
        <w:rPr>
          <w:rFonts w:hint="eastAsia" w:ascii="楷体_GB2312" w:hAnsi="宋体" w:eastAsia="楷体_GB2312" w:cs="Times New Roman"/>
          <w:sz w:val="32"/>
          <w:szCs w:val="32"/>
          <w:lang w:val="en-US" w:eastAsia="zh-CN"/>
        </w:rPr>
      </w:pPr>
      <w:r>
        <w:rPr>
          <w:rFonts w:hint="eastAsia" w:ascii="仿宋_GB2312" w:hAnsi="宋体" w:eastAsia="仿宋_GB2312" w:cs="Times New Roman"/>
          <w:b w:val="0"/>
          <w:bCs w:val="0"/>
          <w:sz w:val="32"/>
          <w:szCs w:val="32"/>
          <w:lang w:val="en-US" w:eastAsia="zh-CN"/>
        </w:rPr>
        <w:t>按照上级主管部门要求，进一步提高政治站位，加大工作力度，确保疫情防控经费保障政策落实到位、工作部署到位、预算安排到位、资金拨付到位、监督管理到位，全力支持做好疫情防控工作，坚决打赢疫情防控阻击战。</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五、问题及建议</w:t>
      </w:r>
    </w:p>
    <w:p>
      <w:p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（一）存在的问题。</w:t>
      </w:r>
    </w:p>
    <w:p>
      <w:pPr>
        <w:numPr>
          <w:ilvl w:val="0"/>
          <w:numId w:val="0"/>
        </w:numPr>
        <w:adjustRightInd w:val="0"/>
        <w:snapToGrid w:val="0"/>
        <w:spacing w:line="560" w:lineRule="exact"/>
        <w:ind w:firstLine="640" w:firstLineChars="200"/>
        <w:rPr>
          <w:rFonts w:hint="eastAsia" w:ascii="仿宋_GB2312" w:hAnsi="宋体" w:eastAsia="仿宋_GB2312" w:cs="Times New Roman"/>
          <w:b w:val="0"/>
          <w:bCs w:val="0"/>
          <w:sz w:val="32"/>
          <w:szCs w:val="32"/>
          <w:lang w:val="zh-CN" w:eastAsia="zh-CN"/>
        </w:rPr>
      </w:pPr>
      <w:r>
        <w:rPr>
          <w:rFonts w:hint="eastAsia" w:ascii="仿宋_GB2312" w:hAnsi="宋体" w:eastAsia="仿宋_GB2312" w:cs="Times New Roman"/>
          <w:b w:val="0"/>
          <w:bCs w:val="0"/>
          <w:sz w:val="32"/>
          <w:szCs w:val="32"/>
          <w:lang w:val="en-US" w:eastAsia="zh-CN"/>
        </w:rPr>
        <w:t>街道办涉及面较宽，体量大，任务重，资金少，工作难度大。</w:t>
      </w:r>
    </w:p>
    <w:p>
      <w:pPr>
        <w:numPr>
          <w:ilvl w:val="0"/>
          <w:numId w:val="8"/>
        </w:num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相关建议。</w:t>
      </w:r>
    </w:p>
    <w:p>
      <w:pPr>
        <w:adjustRightInd w:val="0"/>
        <w:snapToGrid w:val="0"/>
        <w:spacing w:line="560" w:lineRule="exact"/>
        <w:ind w:firstLine="720"/>
        <w:rPr>
          <w:rFonts w:hint="eastAsia" w:ascii="仿宋_GB2312" w:hAnsi="宋体" w:eastAsia="仿宋_GB2312" w:cs="Times New Roman"/>
          <w:b w:val="0"/>
          <w:bCs w:val="0"/>
          <w:sz w:val="32"/>
          <w:szCs w:val="32"/>
          <w:lang w:val="en-US" w:eastAsia="zh-CN"/>
        </w:rPr>
      </w:pPr>
      <w:r>
        <w:rPr>
          <w:rFonts w:hint="eastAsia" w:ascii="仿宋_GB2312" w:hAnsi="宋体" w:eastAsia="仿宋_GB2312" w:cs="Times New Roman"/>
          <w:b w:val="0"/>
          <w:bCs w:val="0"/>
          <w:sz w:val="32"/>
          <w:szCs w:val="32"/>
          <w:lang w:val="en-US" w:eastAsia="zh-CN"/>
        </w:rPr>
        <w:t>加大资金管理，加大资金拨付，加大宣传力度，避免疾病传播和环境污染，保障人民群众生命安全。</w:t>
      </w:r>
    </w:p>
    <w:p>
      <w:pPr>
        <w:adjustRightInd w:val="0"/>
        <w:snapToGrid w:val="0"/>
        <w:spacing w:line="560" w:lineRule="exact"/>
        <w:rPr>
          <w:rFonts w:hint="eastAsia" w:ascii="仿宋_GB2312" w:hAnsi="宋体" w:eastAsia="仿宋_GB2312" w:cs="Times New Roman"/>
          <w:b w:val="0"/>
          <w:bCs w:val="0"/>
          <w:sz w:val="32"/>
          <w:szCs w:val="32"/>
          <w:lang w:val="en-US" w:eastAsia="zh-CN"/>
        </w:rPr>
      </w:pPr>
    </w:p>
    <w:p>
      <w:pPr>
        <w:numPr>
          <w:ilvl w:val="0"/>
          <w:numId w:val="0"/>
        </w:numPr>
        <w:adjustRightInd w:val="0"/>
        <w:snapToGrid w:val="0"/>
        <w:spacing w:line="560" w:lineRule="exact"/>
        <w:ind w:firstLine="4800" w:firstLineChars="15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通江县壁州街道办事处</w:t>
      </w:r>
    </w:p>
    <w:p>
      <w:pPr>
        <w:adjustRightInd w:val="0"/>
        <w:snapToGrid w:val="0"/>
        <w:spacing w:line="560" w:lineRule="exact"/>
        <w:ind w:firstLine="5200" w:firstLineChars="1625"/>
        <w:rPr>
          <w:rFonts w:hint="eastAsia" w:ascii="仿宋_GB2312" w:hAnsi="宋体" w:eastAsia="仿宋_GB2312" w:cs="Times New Roman"/>
          <w:b w:val="0"/>
          <w:bCs w:val="0"/>
          <w:sz w:val="32"/>
          <w:szCs w:val="32"/>
          <w:lang w:val="zh-CN" w:eastAsia="zh-CN"/>
        </w:rPr>
      </w:pPr>
      <w:r>
        <w:rPr>
          <w:rFonts w:hint="eastAsia" w:ascii="仿宋_GB2312" w:hAnsi="仿宋_GB2312" w:eastAsia="仿宋_GB2312" w:cs="仿宋_GB2312"/>
          <w:sz w:val="32"/>
          <w:szCs w:val="32"/>
          <w:lang w:val="zh-CN" w:eastAsia="zh-CN"/>
        </w:rPr>
        <w:t>2021年5月30日</w:t>
      </w:r>
    </w:p>
    <w:p>
      <w:pPr>
        <w:spacing w:line="580" w:lineRule="exact"/>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p>
    <w:p>
      <w:pPr>
        <w:pStyle w:val="20"/>
        <w:spacing w:line="240" w:lineRule="auto"/>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壁州街道办事处2020年中央财政林业</w:t>
      </w:r>
    </w:p>
    <w:p>
      <w:pPr>
        <w:pStyle w:val="20"/>
        <w:spacing w:line="240" w:lineRule="auto"/>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草原生态保护恢复专项资金</w:t>
      </w:r>
    </w:p>
    <w:p>
      <w:pPr>
        <w:pStyle w:val="20"/>
        <w:spacing w:line="240" w:lineRule="auto"/>
        <w:jc w:val="center"/>
        <w:rPr>
          <w:rFonts w:hint="eastAsia" w:ascii="黑体" w:hAnsi="黑体" w:eastAsia="黑体" w:cs="黑体"/>
          <w:b/>
          <w:bCs w:val="0"/>
          <w:sz w:val="44"/>
          <w:szCs w:val="44"/>
        </w:rPr>
      </w:pPr>
      <w:r>
        <w:rPr>
          <w:rFonts w:hint="eastAsia" w:ascii="黑体" w:hAnsi="黑体" w:eastAsia="黑体" w:cs="黑体"/>
          <w:b/>
          <w:bCs w:val="0"/>
          <w:sz w:val="44"/>
          <w:szCs w:val="44"/>
        </w:rPr>
        <w:t>绩效自评报告</w:t>
      </w:r>
    </w:p>
    <w:p>
      <w:pPr>
        <w:pStyle w:val="20"/>
        <w:spacing w:line="240" w:lineRule="auto"/>
        <w:jc w:val="center"/>
        <w:rPr>
          <w:rFonts w:hint="eastAsia" w:ascii="宋体" w:hAnsi="宋体"/>
          <w:b w:val="0"/>
          <w:bCs/>
          <w:sz w:val="32"/>
          <w:szCs w:val="32"/>
          <w:lang w:eastAsia="zh-CN"/>
        </w:rPr>
      </w:pPr>
    </w:p>
    <w:p>
      <w:pPr>
        <w:numPr>
          <w:ilvl w:val="0"/>
          <w:numId w:val="9"/>
        </w:numPr>
        <w:adjustRightInd w:val="0"/>
        <w:snapToGrid w:val="0"/>
        <w:spacing w:line="560" w:lineRule="exact"/>
        <w:ind w:firstLine="720"/>
        <w:rPr>
          <w:rFonts w:hint="eastAsia" w:ascii="楷体" w:hAnsi="楷体" w:eastAsia="楷体" w:cs="楷体"/>
          <w:b/>
          <w:bCs w:val="0"/>
          <w:sz w:val="32"/>
          <w:szCs w:val="32"/>
          <w:lang w:val="zh-CN" w:eastAsia="zh-CN"/>
        </w:rPr>
      </w:pPr>
      <w:r>
        <w:rPr>
          <w:rFonts w:hint="eastAsia" w:ascii="楷体" w:hAnsi="楷体" w:eastAsia="楷体" w:cs="楷体"/>
          <w:b/>
          <w:bCs w:val="0"/>
          <w:sz w:val="32"/>
          <w:szCs w:val="32"/>
          <w:lang w:val="zh-CN" w:eastAsia="zh-CN"/>
        </w:rPr>
        <w:t>基本情况及机构设置</w:t>
      </w:r>
    </w:p>
    <w:p>
      <w:pPr>
        <w:numPr>
          <w:ilvl w:val="0"/>
          <w:numId w:val="0"/>
        </w:numPr>
        <w:adjustRightInd w:val="0"/>
        <w:snapToGrid w:val="0"/>
        <w:spacing w:line="560" w:lineRule="exact"/>
        <w:ind w:firstLine="640" w:firstLineChars="200"/>
        <w:rPr>
          <w:rFonts w:hint="eastAsia" w:ascii="仿宋" w:hAnsi="仿宋" w:eastAsia="仿宋" w:cs="仿宋"/>
          <w:sz w:val="32"/>
          <w:szCs w:val="32"/>
          <w:highlight w:val="none"/>
          <w:lang w:val="zh-CN" w:eastAsia="zh-CN"/>
        </w:rPr>
      </w:pPr>
      <w:r>
        <w:rPr>
          <w:rFonts w:hint="eastAsia" w:ascii="仿宋" w:hAnsi="仿宋" w:eastAsia="仿宋" w:cs="仿宋"/>
          <w:b w:val="0"/>
          <w:bCs/>
          <w:sz w:val="32"/>
          <w:szCs w:val="32"/>
          <w:lang w:val="en-US" w:eastAsia="zh-CN"/>
        </w:rPr>
        <w:t>壁州街道是通江县城所在地，是全县政治、经济、文化、交通、信息中心。</w:t>
      </w:r>
      <w:r>
        <w:rPr>
          <w:rFonts w:hint="eastAsia" w:ascii="仿宋" w:hAnsi="仿宋" w:eastAsia="仿宋" w:cs="仿宋"/>
          <w:b w:val="0"/>
          <w:bCs/>
          <w:sz w:val="32"/>
          <w:szCs w:val="32"/>
          <w:highlight w:val="none"/>
          <w:lang w:val="en-US" w:eastAsia="zh-CN"/>
        </w:rPr>
        <w:t>幅员30平方公里，2020年6月行政区划调整后4村，12个社区居委会，总人口20万，其中：</w:t>
      </w:r>
      <w:r>
        <w:rPr>
          <w:rFonts w:hint="eastAsia" w:ascii="仿宋" w:hAnsi="仿宋" w:eastAsia="仿宋" w:cs="仿宋"/>
          <w:sz w:val="32"/>
          <w:szCs w:val="32"/>
          <w:highlight w:val="none"/>
          <w:lang w:val="en-US" w:eastAsia="zh-CN"/>
        </w:rPr>
        <w:t>农业户数3155户，农村人口8985人。</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壁州街道办事处（本级）属一级预算单位，内设党政和信访办公室、安全生产监督管理办公室、社会事务办公室、经济发展办公室、财政所、扶贫开发办公室、农业综合服务中心、社会事务服务中心、村镇建设服务中心、便民服务中心、会计核算中心等服务岗位。</w:t>
      </w:r>
    </w:p>
    <w:p>
      <w:pPr>
        <w:numPr>
          <w:ilvl w:val="0"/>
          <w:numId w:val="0"/>
        </w:numPr>
        <w:adjustRightInd w:val="0"/>
        <w:snapToGrid w:val="0"/>
        <w:spacing w:line="560" w:lineRule="exact"/>
        <w:ind w:firstLine="640" w:firstLineChars="200"/>
        <w:rPr>
          <w:rFonts w:hint="default" w:ascii="仿宋" w:hAnsi="仿宋" w:eastAsia="仿宋" w:cs="仿宋"/>
          <w:b w:val="0"/>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sz w:val="32"/>
          <w:szCs w:val="32"/>
          <w:lang w:val="en-US" w:eastAsia="zh-CN"/>
        </w:rPr>
        <w:t>壁州街道办事处下半年行政区划调整由原来的诺江镇划分为壁州街道办事处和诺江镇人民政府，街道办单位行政事业编制31人；行政编制23人，事业编制8人，单位实有人数31人，行政实有人数23人，事业实有人数8人，村社干部110人。</w:t>
      </w:r>
    </w:p>
    <w:p>
      <w:pPr>
        <w:numPr>
          <w:ilvl w:val="0"/>
          <w:numId w:val="0"/>
        </w:numPr>
        <w:adjustRightInd w:val="0"/>
        <w:snapToGrid w:val="0"/>
        <w:spacing w:line="560" w:lineRule="exact"/>
        <w:ind w:firstLine="643" w:firstLineChars="200"/>
        <w:rPr>
          <w:rFonts w:hint="eastAsia" w:ascii="楷体" w:hAnsi="楷体" w:eastAsia="楷体" w:cs="楷体"/>
          <w:b/>
          <w:bCs w:val="0"/>
          <w:sz w:val="32"/>
          <w:szCs w:val="32"/>
          <w:lang w:val="zh-CN" w:eastAsia="zh-CN"/>
        </w:rPr>
      </w:pPr>
      <w:r>
        <w:rPr>
          <w:rFonts w:hint="eastAsia" w:ascii="楷体" w:hAnsi="楷体" w:eastAsia="楷体" w:cs="楷体"/>
          <w:b/>
          <w:bCs w:val="0"/>
          <w:sz w:val="32"/>
          <w:szCs w:val="32"/>
          <w:lang w:val="en-US" w:eastAsia="zh-CN"/>
        </w:rPr>
        <w:t>二、资金使用</w:t>
      </w:r>
      <w:r>
        <w:rPr>
          <w:rFonts w:hint="eastAsia" w:ascii="楷体" w:hAnsi="楷体" w:eastAsia="楷体" w:cs="楷体"/>
          <w:b/>
          <w:bCs w:val="0"/>
          <w:sz w:val="32"/>
          <w:szCs w:val="32"/>
          <w:lang w:val="zh-CN" w:eastAsia="zh-CN"/>
        </w:rPr>
        <w:t>情况</w:t>
      </w:r>
    </w:p>
    <w:p>
      <w:pPr>
        <w:adjustRightInd w:val="0"/>
        <w:snapToGrid w:val="0"/>
        <w:spacing w:line="560" w:lineRule="exact"/>
        <w:ind w:firstLine="720"/>
        <w:rPr>
          <w:rFonts w:hint="eastAsia" w:ascii="楷体" w:hAnsi="楷体" w:eastAsia="楷体" w:cs="楷体"/>
          <w:b w:val="0"/>
          <w:bCs/>
          <w:sz w:val="36"/>
          <w:szCs w:val="36"/>
          <w:lang w:val="zh-CN" w:eastAsia="zh-CN"/>
        </w:rPr>
      </w:pPr>
      <w:r>
        <w:rPr>
          <w:rFonts w:hint="eastAsia" w:ascii="楷体" w:hAnsi="楷体" w:eastAsia="楷体" w:cs="楷体"/>
          <w:b w:val="0"/>
          <w:bCs/>
          <w:sz w:val="36"/>
          <w:szCs w:val="36"/>
          <w:lang w:val="zh-CN" w:eastAsia="zh-CN"/>
        </w:rPr>
        <w:t>（一）资金使用。</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根据中央财政林业草原生态保护恢复专项资金文件精神，下达2020年中央财政林业草原生态保护恢复专项资金0.09万元，实行封闭式管理，实现专款专帐专用，加强检查监管、自查自纠，有效保障资金运行安全，支付依据合规合法，不存在截留资金现象。</w:t>
      </w:r>
    </w:p>
    <w:p>
      <w:pPr>
        <w:adjustRightInd w:val="0"/>
        <w:snapToGrid w:val="0"/>
        <w:spacing w:line="560" w:lineRule="exact"/>
        <w:ind w:firstLine="720"/>
        <w:rPr>
          <w:rFonts w:hint="eastAsia" w:ascii="楷体" w:hAnsi="楷体" w:eastAsia="楷体" w:cs="楷体"/>
          <w:b w:val="0"/>
          <w:bCs/>
          <w:sz w:val="36"/>
          <w:szCs w:val="36"/>
          <w:lang w:val="zh-CN" w:eastAsia="zh-CN"/>
        </w:rPr>
      </w:pPr>
      <w:r>
        <w:rPr>
          <w:rFonts w:hint="eastAsia" w:ascii="楷体" w:hAnsi="楷体" w:eastAsia="楷体" w:cs="楷体"/>
          <w:b w:val="0"/>
          <w:bCs/>
          <w:sz w:val="36"/>
          <w:szCs w:val="36"/>
          <w:lang w:val="zh-CN" w:eastAsia="zh-CN"/>
        </w:rPr>
        <w:t>（二）组织实施情况。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街道办成立了天保工程领导小组，由镇长任组长，林业站专人负责，和村组建专门班子，出台实施方案，落实专人专抓，宣传政策的同时，也提高了技术人员的业务水平。</w:t>
      </w:r>
    </w:p>
    <w:p>
      <w:pPr>
        <w:numPr>
          <w:ilvl w:val="0"/>
          <w:numId w:val="0"/>
        </w:numPr>
        <w:adjustRightInd w:val="0"/>
        <w:snapToGrid w:val="0"/>
        <w:spacing w:line="560" w:lineRule="exact"/>
        <w:ind w:firstLine="723" w:firstLineChars="200"/>
        <w:rPr>
          <w:rFonts w:hint="eastAsia" w:ascii="楷体" w:hAnsi="楷体" w:eastAsia="楷体" w:cs="楷体"/>
          <w:b/>
          <w:bCs w:val="0"/>
          <w:sz w:val="36"/>
          <w:szCs w:val="36"/>
          <w:lang w:val="zh-CN" w:eastAsia="zh-CN"/>
        </w:rPr>
      </w:pPr>
      <w:r>
        <w:rPr>
          <w:rFonts w:hint="eastAsia" w:ascii="楷体" w:hAnsi="楷体" w:eastAsia="楷体" w:cs="楷体"/>
          <w:b/>
          <w:bCs w:val="0"/>
          <w:sz w:val="36"/>
          <w:szCs w:val="36"/>
          <w:lang w:val="en-US" w:eastAsia="zh-CN"/>
        </w:rPr>
        <w:t>三</w:t>
      </w:r>
      <w:r>
        <w:rPr>
          <w:rFonts w:hint="eastAsia" w:ascii="楷体" w:hAnsi="楷体" w:eastAsia="楷体" w:cs="楷体"/>
          <w:b/>
          <w:bCs w:val="0"/>
          <w:sz w:val="32"/>
          <w:szCs w:val="32"/>
          <w:lang w:val="en-US" w:eastAsia="zh-CN"/>
        </w:rPr>
        <w:t>、目标完成情况</w:t>
      </w:r>
      <w:r>
        <w:rPr>
          <w:rFonts w:hint="eastAsia" w:ascii="楷体" w:hAnsi="楷体" w:eastAsia="楷体" w:cs="楷体"/>
          <w:b/>
          <w:bCs w:val="0"/>
          <w:sz w:val="32"/>
          <w:szCs w:val="32"/>
          <w:lang w:val="zh-CN" w:eastAsia="zh-CN"/>
        </w:rPr>
        <w:tab/>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（一）目标任务量完成情况。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按中央财政林业草原生态保护恢复专项资金管理办法，实行了专款专用，按照下达任务，全面完成。2020年12月底，兑现率100%。</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（二）目标质量完成情况。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公益林得到有效管护，公益林真正形成高效、稳定的森林生态系统，发挥了最大的生态效益和社会效益，最大限度地满足维护国家生态安全和经济社会可持续发展的需要。</w:t>
      </w:r>
      <w:r>
        <w:rPr>
          <w:rFonts w:hint="eastAsia" w:ascii="仿宋" w:hAnsi="仿宋" w:eastAsia="仿宋" w:cs="仿宋"/>
          <w:b w:val="0"/>
          <w:bCs/>
          <w:sz w:val="32"/>
          <w:szCs w:val="32"/>
          <w:lang w:val="zh-CN" w:eastAsia="zh-CN"/>
        </w:rPr>
        <w:t>按照中央</w:t>
      </w:r>
      <w:r>
        <w:rPr>
          <w:rFonts w:hint="eastAsia" w:ascii="仿宋" w:hAnsi="仿宋" w:eastAsia="仿宋" w:cs="仿宋"/>
          <w:b w:val="0"/>
          <w:bCs/>
          <w:sz w:val="32"/>
          <w:szCs w:val="32"/>
          <w:lang w:val="en-US" w:eastAsia="zh-CN"/>
        </w:rPr>
        <w:t>林业草原生态保护恢复</w:t>
      </w:r>
      <w:r>
        <w:rPr>
          <w:rFonts w:hint="eastAsia" w:ascii="仿宋" w:hAnsi="仿宋" w:eastAsia="仿宋" w:cs="仿宋"/>
          <w:b w:val="0"/>
          <w:bCs/>
          <w:sz w:val="32"/>
          <w:szCs w:val="32"/>
          <w:lang w:val="zh-CN" w:eastAsia="zh-CN"/>
        </w:rPr>
        <w:t>资金管理办法，让辖区内的森林覆盖率稳步增长。完成了预定目标任务。</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（三）目标进度完成情况。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街道办严格按照中央林业草原生态保护恢复政策，实行了常年管护，按照下达任务，全面完成。</w:t>
      </w:r>
    </w:p>
    <w:p>
      <w:pPr>
        <w:numPr>
          <w:ilvl w:val="0"/>
          <w:numId w:val="0"/>
        </w:numPr>
        <w:adjustRightInd w:val="0"/>
        <w:snapToGrid w:val="0"/>
        <w:spacing w:line="560" w:lineRule="exact"/>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四、项目效益情况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调节了气候，改良了土壤，确保森林资源持续稳定增长，真正让“绿水青山就是金山银山”理念更深入人心。</w:t>
      </w:r>
      <w:r>
        <w:rPr>
          <w:rFonts w:hint="eastAsia" w:ascii="仿宋" w:hAnsi="仿宋" w:eastAsia="仿宋" w:cs="仿宋"/>
          <w:b w:val="0"/>
          <w:bCs/>
          <w:sz w:val="32"/>
          <w:szCs w:val="32"/>
          <w:lang w:val="zh-CN" w:eastAsia="zh-CN"/>
        </w:rPr>
        <w:t>增强林农生态意识，增加林农经济收入，促进社会和谐发展。保护森林资源，凸显森林功能，增强森林灾祸防范能力。</w:t>
      </w:r>
    </w:p>
    <w:p>
      <w:pPr>
        <w:numPr>
          <w:ilvl w:val="0"/>
          <w:numId w:val="0"/>
        </w:numPr>
        <w:adjustRightInd w:val="0"/>
        <w:snapToGrid w:val="0"/>
        <w:spacing w:line="560" w:lineRule="exact"/>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五、问题及建议</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（一）存在的问题。</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一些不法商人盗伐林木情况时有发生，加强生态环境保护意识，强化生态公益林管护意识。</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（二）相关建议。</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加大宣传力度，强化生态林管护意识，加强环保意识，加强资金监管，确保资金使用效率。</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p>
    <w:p>
      <w:pPr>
        <w:numPr>
          <w:ilvl w:val="0"/>
          <w:numId w:val="0"/>
        </w:numPr>
        <w:adjustRightInd w:val="0"/>
        <w:snapToGrid w:val="0"/>
        <w:spacing w:line="560" w:lineRule="exact"/>
        <w:ind w:firstLine="4800" w:firstLineChars="15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通江县壁州街道办事处</w:t>
      </w:r>
    </w:p>
    <w:p>
      <w:pPr>
        <w:numPr>
          <w:ilvl w:val="0"/>
          <w:numId w:val="0"/>
        </w:numPr>
        <w:adjustRightInd w:val="0"/>
        <w:snapToGrid w:val="0"/>
        <w:spacing w:line="560" w:lineRule="exact"/>
        <w:ind w:firstLine="5120" w:firstLineChars="1600"/>
        <w:rPr>
          <w:rFonts w:hint="eastAsia" w:ascii="仿宋" w:hAnsi="仿宋" w:eastAsia="仿宋" w:cs="仿宋"/>
          <w:b w:val="0"/>
          <w:bCs/>
          <w:sz w:val="32"/>
          <w:szCs w:val="32"/>
          <w:lang w:val="en-US" w:eastAsia="zh-CN"/>
        </w:rPr>
      </w:pPr>
      <w:r>
        <w:rPr>
          <w:rFonts w:hint="eastAsia" w:ascii="仿宋_GB2312" w:hAnsi="仿宋_GB2312" w:eastAsia="仿宋_GB2312" w:cs="仿宋_GB2312"/>
          <w:sz w:val="32"/>
          <w:szCs w:val="32"/>
          <w:lang w:val="zh-CN" w:eastAsia="zh-CN"/>
        </w:rPr>
        <w:t>2021年5月30日</w:t>
      </w:r>
    </w:p>
    <w:p>
      <w:pPr>
        <w:spacing w:line="600" w:lineRule="exact"/>
        <w:jc w:val="center"/>
        <w:outlineLvl w:val="0"/>
        <w:rPr>
          <w:rStyle w:val="16"/>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88"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adjustRightInd w:val="0"/>
        <w:snapToGrid w:val="0"/>
        <w:spacing w:line="560" w:lineRule="exact"/>
        <w:jc w:val="center"/>
        <w:rPr>
          <w:rFonts w:hint="eastAsia" w:ascii="仿宋_GB2312" w:hAnsi="宋体" w:eastAsia="仿宋_GB2312" w:cs="Times New Roman"/>
          <w:b/>
          <w:bCs/>
          <w:sz w:val="44"/>
          <w:szCs w:val="44"/>
          <w:lang w:val="en-US" w:eastAsia="zh-CN"/>
        </w:rPr>
      </w:pPr>
      <w:r>
        <w:rPr>
          <w:rFonts w:hint="eastAsia" w:ascii="仿宋_GB2312" w:hAnsi="宋体" w:eastAsia="仿宋_GB2312" w:cs="Times New Roman"/>
          <w:b/>
          <w:bCs/>
          <w:sz w:val="44"/>
          <w:szCs w:val="44"/>
          <w:lang w:val="zh-CN" w:eastAsia="zh-CN"/>
        </w:rPr>
        <w:t>壁州街道办事处2020年脱贫</w:t>
      </w:r>
    </w:p>
    <w:p>
      <w:pPr>
        <w:adjustRightInd w:val="0"/>
        <w:snapToGrid w:val="0"/>
        <w:spacing w:line="560" w:lineRule="exact"/>
        <w:jc w:val="center"/>
        <w:rPr>
          <w:rFonts w:hint="eastAsia" w:ascii="仿宋_GB2312" w:hAnsi="宋体" w:eastAsia="仿宋_GB2312" w:cs="Times New Roman"/>
          <w:b/>
          <w:bCs/>
          <w:sz w:val="44"/>
          <w:szCs w:val="44"/>
          <w:lang w:val="en-US" w:eastAsia="zh-CN"/>
        </w:rPr>
      </w:pPr>
      <w:r>
        <w:rPr>
          <w:rFonts w:hint="eastAsia" w:ascii="仿宋_GB2312" w:hAnsi="宋体" w:eastAsia="仿宋_GB2312" w:cs="Times New Roman"/>
          <w:b/>
          <w:bCs/>
          <w:sz w:val="44"/>
          <w:szCs w:val="44"/>
          <w:lang w:val="en-US" w:eastAsia="zh-CN"/>
        </w:rPr>
        <w:t>攻坚安全饮水补助资金</w:t>
      </w:r>
    </w:p>
    <w:p>
      <w:pPr>
        <w:adjustRightInd w:val="0"/>
        <w:snapToGrid w:val="0"/>
        <w:spacing w:line="560" w:lineRule="exact"/>
        <w:jc w:val="center"/>
        <w:rPr>
          <w:rFonts w:hint="eastAsia" w:ascii="仿宋_GB2312" w:hAnsi="宋体" w:eastAsia="仿宋_GB2312" w:cs="Times New Roman"/>
          <w:b/>
          <w:bCs/>
          <w:sz w:val="44"/>
          <w:szCs w:val="44"/>
          <w:lang w:val="zh-CN"/>
        </w:rPr>
      </w:pPr>
      <w:r>
        <w:rPr>
          <w:rFonts w:hint="eastAsia" w:ascii="仿宋_GB2312" w:hAnsi="宋体" w:eastAsia="仿宋_GB2312" w:cs="Times New Roman"/>
          <w:b/>
          <w:bCs/>
          <w:sz w:val="44"/>
          <w:szCs w:val="44"/>
          <w:lang w:val="zh-CN"/>
        </w:rPr>
        <w:t>绩效自评报告</w:t>
      </w:r>
    </w:p>
    <w:p>
      <w:pPr>
        <w:adjustRightInd w:val="0"/>
        <w:snapToGrid w:val="0"/>
        <w:spacing w:line="560" w:lineRule="exact"/>
        <w:jc w:val="center"/>
        <w:rPr>
          <w:rFonts w:hint="eastAsia" w:ascii="仿宋_GB2312" w:hAnsi="宋体" w:eastAsia="仿宋_GB2312" w:cs="Times New Roman"/>
          <w:b/>
          <w:bCs/>
          <w:sz w:val="44"/>
          <w:szCs w:val="44"/>
          <w:lang w:val="zh-CN"/>
        </w:rPr>
      </w:pPr>
    </w:p>
    <w:p>
      <w:pPr>
        <w:numPr>
          <w:ilvl w:val="0"/>
          <w:numId w:val="9"/>
        </w:numPr>
        <w:adjustRightInd w:val="0"/>
        <w:snapToGrid w:val="0"/>
        <w:spacing w:line="560" w:lineRule="exact"/>
        <w:ind w:firstLine="720"/>
        <w:rPr>
          <w:rFonts w:hint="eastAsia" w:ascii="楷体" w:hAnsi="楷体" w:eastAsia="楷体" w:cs="楷体"/>
          <w:b/>
          <w:bCs w:val="0"/>
          <w:sz w:val="36"/>
          <w:szCs w:val="36"/>
          <w:lang w:val="zh-CN" w:eastAsia="zh-CN"/>
        </w:rPr>
      </w:pPr>
      <w:r>
        <w:rPr>
          <w:rFonts w:hint="eastAsia" w:ascii="楷体" w:hAnsi="楷体" w:eastAsia="楷体" w:cs="楷体"/>
          <w:b/>
          <w:bCs w:val="0"/>
          <w:sz w:val="36"/>
          <w:szCs w:val="36"/>
          <w:lang w:val="zh-CN" w:eastAsia="zh-CN"/>
        </w:rPr>
        <w:t>基本情况及机构设置</w:t>
      </w:r>
    </w:p>
    <w:p>
      <w:pPr>
        <w:numPr>
          <w:ilvl w:val="0"/>
          <w:numId w:val="0"/>
        </w:numPr>
        <w:adjustRightInd w:val="0"/>
        <w:snapToGrid w:val="0"/>
        <w:spacing w:line="560" w:lineRule="exact"/>
        <w:ind w:firstLine="640" w:firstLineChars="200"/>
        <w:rPr>
          <w:rFonts w:hint="eastAsia" w:ascii="仿宋" w:hAnsi="仿宋" w:eastAsia="仿宋" w:cs="仿宋"/>
          <w:sz w:val="32"/>
          <w:szCs w:val="32"/>
          <w:highlight w:val="none"/>
          <w:lang w:val="zh-CN" w:eastAsia="zh-CN"/>
        </w:rPr>
      </w:pPr>
      <w:r>
        <w:rPr>
          <w:rFonts w:hint="eastAsia" w:ascii="仿宋" w:hAnsi="仿宋" w:eastAsia="仿宋" w:cs="仿宋"/>
          <w:b w:val="0"/>
          <w:bCs/>
          <w:sz w:val="32"/>
          <w:szCs w:val="32"/>
          <w:lang w:val="en-US" w:eastAsia="zh-CN"/>
        </w:rPr>
        <w:t>壁州街道是通江县城所在地，是全县政治、经济、文化、交通、信息中心。</w:t>
      </w:r>
      <w:r>
        <w:rPr>
          <w:rFonts w:hint="eastAsia" w:ascii="仿宋" w:hAnsi="仿宋" w:eastAsia="仿宋" w:cs="仿宋"/>
          <w:b w:val="0"/>
          <w:bCs/>
          <w:sz w:val="32"/>
          <w:szCs w:val="32"/>
          <w:highlight w:val="none"/>
          <w:lang w:val="en-US" w:eastAsia="zh-CN"/>
        </w:rPr>
        <w:t>幅员30平方公里，2020年6月行政区划调整后4村，12个社区居委会，总人口20万，其中：</w:t>
      </w:r>
      <w:r>
        <w:rPr>
          <w:rFonts w:hint="eastAsia" w:ascii="仿宋" w:hAnsi="仿宋" w:eastAsia="仿宋" w:cs="仿宋"/>
          <w:sz w:val="32"/>
          <w:szCs w:val="32"/>
          <w:highlight w:val="none"/>
          <w:lang w:val="en-US" w:eastAsia="zh-CN"/>
        </w:rPr>
        <w:t>农业户数3155户，农村人口8985人。</w:t>
      </w:r>
    </w:p>
    <w:p>
      <w:pPr>
        <w:adjustRightInd w:val="0"/>
        <w:snapToGrid w:val="0"/>
        <w:spacing w:line="560" w:lineRule="exact"/>
        <w:ind w:firstLine="72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壁州街道办事处（本级）属一级预算单位，内设党政和信访办公室、安全生产监督管理办公室、社会事务办公室、经济发展办公室、财政所、扶贫开发办公室、农业综合服务中心、社会事务服务中心、村镇建设服务中心、便民服务中心、会计核算中心等服务岗位。</w:t>
      </w:r>
    </w:p>
    <w:p>
      <w:pPr>
        <w:adjustRightInd w:val="0"/>
        <w:snapToGrid w:val="0"/>
        <w:spacing w:line="560" w:lineRule="exact"/>
        <w:ind w:firstLine="720"/>
        <w:rPr>
          <w:rFonts w:hint="default" w:ascii="楷体" w:hAnsi="楷体" w:eastAsia="楷体" w:cs="楷体"/>
          <w:b w:val="0"/>
          <w:bCs/>
          <w:sz w:val="36"/>
          <w:szCs w:val="36"/>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sz w:val="32"/>
          <w:szCs w:val="32"/>
          <w:lang w:val="en-US" w:eastAsia="zh-CN"/>
        </w:rPr>
        <w:t>壁州街道办事处下半年行政区划调整由原来的诺江镇划分为壁州街道办事处和诺江镇人民政府，街道办单位行政事业编制31人；行政编制23人，事业编制8人，单位实有人数31人，行政实有人数23人，事业实有人数8人，村社干部110人。</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en-US" w:eastAsia="zh-CN"/>
        </w:rPr>
        <w:t>二、2020年度</w:t>
      </w:r>
      <w:r>
        <w:rPr>
          <w:rFonts w:hint="eastAsia" w:ascii="仿宋_GB2312" w:hAnsi="宋体" w:eastAsia="仿宋_GB2312" w:cs="Times New Roman"/>
          <w:b/>
          <w:bCs/>
          <w:sz w:val="36"/>
          <w:szCs w:val="36"/>
          <w:lang w:val="zh-CN" w:eastAsia="zh-CN"/>
        </w:rPr>
        <w:t>政府工作目标任务完成情况</w:t>
      </w:r>
    </w:p>
    <w:p>
      <w:pPr>
        <w:adjustRightInd w:val="0"/>
        <w:snapToGrid w:val="0"/>
        <w:spacing w:line="560" w:lineRule="exact"/>
        <w:ind w:firstLine="720"/>
        <w:rPr>
          <w:rFonts w:hint="eastAsia" w:ascii="楷体" w:hAnsi="楷体" w:eastAsia="楷体" w:cs="楷体"/>
          <w:b w:val="0"/>
          <w:bCs/>
          <w:sz w:val="36"/>
          <w:szCs w:val="36"/>
          <w:lang w:val="en-US" w:eastAsia="zh-CN"/>
        </w:rPr>
      </w:pPr>
      <w:r>
        <w:rPr>
          <w:rFonts w:hint="eastAsia" w:ascii="仿宋" w:hAnsi="仿宋" w:eastAsia="仿宋" w:cs="仿宋"/>
          <w:b w:val="0"/>
          <w:bCs/>
          <w:sz w:val="32"/>
          <w:szCs w:val="32"/>
          <w:lang w:val="en-US" w:eastAsia="zh-CN"/>
        </w:rPr>
        <w:t>一年来，街道办按照县委、县政府的总体部署，紧密结合镇情实际，街道办辖区生产总值达到68.55亿元，公共财政预算收入突破1亿元，固定资产投资完成8.32亿元，城乡居民人均纯收入达到54800元和23800元，多项工作取得了突破进展，相继得到上级党委、政府的表彰，全街道办呈现出经济发展稳中向好、民生持续改善、社会安定和谐的良</w:t>
      </w:r>
      <w:r>
        <w:rPr>
          <w:rFonts w:hint="eastAsia" w:ascii="楷体" w:hAnsi="楷体" w:eastAsia="楷体" w:cs="楷体"/>
          <w:b w:val="0"/>
          <w:bCs/>
          <w:sz w:val="36"/>
          <w:szCs w:val="36"/>
          <w:lang w:val="en-US" w:eastAsia="zh-CN"/>
        </w:rPr>
        <w:t>好局面。</w:t>
      </w:r>
    </w:p>
    <w:p>
      <w:pPr>
        <w:adjustRightInd w:val="0"/>
        <w:snapToGrid w:val="0"/>
        <w:spacing w:line="560" w:lineRule="exact"/>
        <w:ind w:firstLine="720"/>
        <w:rPr>
          <w:rFonts w:hint="eastAsia" w:ascii="楷体" w:hAnsi="楷体" w:eastAsia="楷体" w:cs="楷体"/>
          <w:b w:val="0"/>
          <w:bCs/>
          <w:sz w:val="36"/>
          <w:szCs w:val="36"/>
          <w:lang w:val="en-US" w:eastAsia="zh-CN"/>
        </w:rPr>
      </w:pPr>
      <w:r>
        <w:rPr>
          <w:rFonts w:hint="eastAsia" w:ascii="仿宋" w:hAnsi="仿宋" w:eastAsia="仿宋" w:cs="仿宋"/>
          <w:b w:val="0"/>
          <w:bCs/>
          <w:sz w:val="32"/>
          <w:szCs w:val="32"/>
          <w:lang w:val="en-US" w:eastAsia="zh-CN"/>
        </w:rPr>
        <w:t>根据财政资金绩效评价文件要求，街道办组织了绩效自评工作小组对2020年度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三、资金使用情况</w:t>
      </w:r>
    </w:p>
    <w:p>
      <w:pPr>
        <w:adjustRightInd w:val="0"/>
        <w:snapToGrid w:val="0"/>
        <w:spacing w:line="560" w:lineRule="exact"/>
        <w:ind w:firstLine="720"/>
        <w:rPr>
          <w:rFonts w:hint="eastAsia" w:ascii="楷体_GB2312" w:hAnsi="宋体" w:eastAsia="楷体_GB2312" w:cs="Times New Roman"/>
          <w:b/>
          <w:bCs/>
          <w:sz w:val="32"/>
          <w:szCs w:val="32"/>
          <w:lang w:val="zh-CN"/>
        </w:rPr>
      </w:pPr>
      <w:r>
        <w:rPr>
          <w:rFonts w:hint="eastAsia" w:ascii="仿宋_GB2312" w:hAnsi="宋体" w:eastAsia="仿宋_GB2312" w:cs="Times New Roman"/>
          <w:b/>
          <w:bCs/>
          <w:sz w:val="32"/>
          <w:szCs w:val="32"/>
          <w:lang w:val="zh-CN"/>
        </w:rPr>
        <w:t>（一）</w:t>
      </w:r>
      <w:r>
        <w:rPr>
          <w:rFonts w:hint="eastAsia" w:ascii="楷体_GB2312" w:hAnsi="宋体" w:eastAsia="楷体_GB2312" w:cs="Times New Roman"/>
          <w:b/>
          <w:bCs/>
          <w:sz w:val="32"/>
          <w:szCs w:val="32"/>
          <w:lang w:val="zh-CN"/>
        </w:rPr>
        <w:t>资金使用。</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根据县级有关文件规定，壁州街道办事处2020年脱贫攻坚安全饮水补助资金56万元，涉及15个村社，受益人口6万多人，项目（工程）验收合格率100%，2020年12月底投入使用，项目验收合格后全额支付到位，严格按照财政资金支付要求，严格执行财务管理制度，不存在挪用截留。</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（二）组织实施情况。</w:t>
      </w:r>
    </w:p>
    <w:p>
      <w:pPr>
        <w:numPr>
          <w:ilvl w:val="0"/>
          <w:numId w:val="0"/>
        </w:numPr>
        <w:adjustRightInd w:val="0"/>
        <w:snapToGrid w:val="0"/>
        <w:spacing w:line="560" w:lineRule="exact"/>
        <w:ind w:firstLine="640" w:firstLineChars="200"/>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街道办设置有脱贫攻坚项目管理领导小组，脱贫攻坚项目管理办公室，每个专项项目都要进行专项预算，专项审批，专项验收，专项决算，资金从审批到执行都有专门工作人员跟踪资金项目的整个落实执行情况，做到专款专用。</w:t>
      </w:r>
    </w:p>
    <w:p>
      <w:pPr>
        <w:adjustRightInd w:val="0"/>
        <w:snapToGrid w:val="0"/>
        <w:spacing w:line="560" w:lineRule="exact"/>
        <w:ind w:firstLine="723" w:firstLineChars="20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四、目标完成情况</w:t>
      </w:r>
      <w:r>
        <w:rPr>
          <w:rFonts w:hint="eastAsia" w:ascii="仿宋_GB2312" w:hAnsi="宋体" w:eastAsia="仿宋_GB2312" w:cs="Times New Roman"/>
          <w:b/>
          <w:bCs/>
          <w:sz w:val="36"/>
          <w:szCs w:val="36"/>
          <w:lang w:val="zh-CN" w:eastAsia="zh-CN"/>
        </w:rPr>
        <w:tab/>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（一）目标任务量完成情况。</w:t>
      </w:r>
    </w:p>
    <w:p>
      <w:pPr>
        <w:numPr>
          <w:ilvl w:val="0"/>
          <w:numId w:val="0"/>
        </w:numPr>
        <w:adjustRightInd w:val="0"/>
        <w:snapToGrid w:val="0"/>
        <w:spacing w:line="560" w:lineRule="exact"/>
        <w:ind w:firstLine="640" w:firstLineChars="200"/>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壁州街道办事处2020年脱贫攻坚安全饮水补助资金56万元，资金截至2020年12月底已经全部支付到位，项目于2021年1月全部投入使用。</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（二）目标质量完成情况。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en-US" w:eastAsia="zh-CN"/>
        </w:rPr>
        <w:t>壁州街道办事处2020年脱贫攻坚安全饮水补助资金56万元，是按质按量完成目标任务。</w:t>
      </w:r>
    </w:p>
    <w:p>
      <w:pPr>
        <w:adjustRightInd w:val="0"/>
        <w:snapToGrid w:val="0"/>
        <w:spacing w:line="560" w:lineRule="exact"/>
        <w:ind w:firstLine="803" w:firstLineChars="25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（三）目标进度完成情况。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 w:hAnsi="仿宋" w:eastAsia="仿宋" w:cs="仿宋"/>
          <w:b w:val="0"/>
          <w:bCs/>
          <w:sz w:val="32"/>
          <w:szCs w:val="32"/>
          <w:lang w:val="en-US" w:eastAsia="zh-CN"/>
        </w:rPr>
        <w:t>壁州街道办事处2020年脱贫攻坚安全饮水补助资金56万元，截至2020年12月底已经全部支付到位，2021年1月全部投入使用。完成了预定目标任务。</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五、项目效益情况</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农村饮水安全工程的实施使广大农民群众的生活用水问题将得到了彻底解决，群众的健康水平将进一步提高，生活水平将得到进一步改善，公共卫生状况明显好转，投资环境将得到大大改善，对发展地方经济和促进农村</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两个文明</w:t>
      </w:r>
      <w:r>
        <w:rPr>
          <w:rFonts w:hint="default" w:ascii="仿宋" w:hAnsi="仿宋" w:eastAsia="仿宋" w:cs="仿宋"/>
          <w:b w:val="0"/>
          <w:bCs/>
          <w:sz w:val="32"/>
          <w:szCs w:val="32"/>
          <w:lang w:val="en-US" w:eastAsia="zh-CN"/>
        </w:rPr>
        <w:t>”</w:t>
      </w:r>
      <w:r>
        <w:rPr>
          <w:rFonts w:hint="eastAsia" w:ascii="仿宋" w:hAnsi="仿宋" w:eastAsia="仿宋" w:cs="仿宋"/>
          <w:b w:val="0"/>
          <w:bCs/>
          <w:sz w:val="32"/>
          <w:szCs w:val="32"/>
          <w:lang w:val="en-US" w:eastAsia="zh-CN"/>
        </w:rPr>
        <w:t>建设都具有十分重要的意义，其经济效益、社会效益与环境效益都是十分显著，起的作用也远远大于其产生的生态环境影响。农村饮水安全工程的建后管护对于保障农村饮水安全工程的设施维护，正常运行，有着重要的推动作用。</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六、问题及建议</w:t>
      </w:r>
    </w:p>
    <w:p>
      <w:p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（一）存在的问题。</w:t>
      </w:r>
    </w:p>
    <w:p>
      <w:pPr>
        <w:numPr>
          <w:ilvl w:val="0"/>
          <w:numId w:val="0"/>
        </w:numPr>
        <w:adjustRightInd w:val="0"/>
        <w:snapToGrid w:val="0"/>
        <w:spacing w:line="560" w:lineRule="exact"/>
        <w:ind w:firstLine="640" w:firstLineChars="200"/>
        <w:rPr>
          <w:rFonts w:hint="eastAsia" w:ascii="楷体_GB2312" w:hAnsi="宋体" w:eastAsia="楷体_GB2312" w:cs="Times New Roman"/>
          <w:color w:val="auto"/>
          <w:kern w:val="2"/>
          <w:sz w:val="32"/>
          <w:szCs w:val="32"/>
          <w:lang w:val="en-US" w:eastAsia="zh-CN" w:bidi="ar-SA"/>
        </w:rPr>
      </w:pPr>
      <w:r>
        <w:rPr>
          <w:rFonts w:hint="eastAsia" w:ascii="仿宋" w:hAnsi="仿宋" w:eastAsia="仿宋" w:cs="仿宋"/>
          <w:b w:val="0"/>
          <w:bCs/>
          <w:sz w:val="32"/>
          <w:szCs w:val="32"/>
          <w:lang w:val="en-US" w:eastAsia="zh-CN"/>
        </w:rPr>
        <w:t>补助资金少，往往实施的项目是应急的、临时的、实用的，对于美观、牢固、耐久等方面有所欠缺，无法正规委托设计，有时会出现方案不合理的现象，工程实施时常出现进度滞后的现象。</w:t>
      </w:r>
    </w:p>
    <w:p>
      <w:pPr>
        <w:numPr>
          <w:ilvl w:val="0"/>
          <w:numId w:val="0"/>
        </w:numPr>
        <w:adjustRightInd w:val="0"/>
        <w:snapToGrid w:val="0"/>
        <w:spacing w:line="560" w:lineRule="exact"/>
        <w:ind w:firstLine="560" w:firstLineChars="200"/>
        <w:rPr>
          <w:rFonts w:hint="eastAsia" w:ascii="楷体_GB2312" w:hAnsi="宋体" w:eastAsia="楷体_GB2312" w:cs="Times New Roman"/>
          <w:b/>
          <w:sz w:val="32"/>
          <w:szCs w:val="32"/>
          <w:lang w:val="zh-CN"/>
        </w:rPr>
      </w:pPr>
      <w:r>
        <w:rPr>
          <w:rFonts w:hint="eastAsia" w:ascii="宋体" w:hAnsi="宋体" w:eastAsia="宋体" w:cs="宋体"/>
          <w:i w:val="0"/>
          <w:caps w:val="0"/>
          <w:color w:val="000000"/>
          <w:spacing w:val="0"/>
          <w:sz w:val="28"/>
          <w:szCs w:val="28"/>
          <w:shd w:val="clear" w:color="auto" w:fill="FFFFFF"/>
          <w:lang w:eastAsia="zh-CN"/>
        </w:rPr>
        <w:t>（二）</w:t>
      </w:r>
      <w:r>
        <w:rPr>
          <w:rFonts w:hint="eastAsia" w:ascii="楷体_GB2312" w:hAnsi="宋体" w:eastAsia="楷体_GB2312" w:cs="Times New Roman"/>
          <w:b/>
          <w:sz w:val="32"/>
          <w:szCs w:val="32"/>
          <w:lang w:val="zh-CN"/>
        </w:rPr>
        <w:t>相关建议。</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增加对水利资金的预算安排投入，加大对水利资金的分配力度，制定有利于推进水利建设项目的财政政策方案，吸引更多的资金参与水利事业的发展。</w:t>
      </w: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p>
    <w:p>
      <w:pPr>
        <w:numPr>
          <w:ilvl w:val="0"/>
          <w:numId w:val="0"/>
        </w:numPr>
        <w:adjustRightInd w:val="0"/>
        <w:snapToGrid w:val="0"/>
        <w:spacing w:line="560" w:lineRule="exact"/>
        <w:ind w:firstLine="640" w:firstLineChars="200"/>
        <w:rPr>
          <w:rFonts w:hint="eastAsia" w:ascii="仿宋" w:hAnsi="仿宋" w:eastAsia="仿宋" w:cs="仿宋"/>
          <w:b w:val="0"/>
          <w:bCs/>
          <w:sz w:val="32"/>
          <w:szCs w:val="32"/>
          <w:lang w:val="en-US" w:eastAsia="zh-CN"/>
        </w:rPr>
      </w:pPr>
    </w:p>
    <w:p>
      <w:pPr>
        <w:numPr>
          <w:ilvl w:val="0"/>
          <w:numId w:val="0"/>
        </w:numPr>
        <w:adjustRightInd w:val="0"/>
        <w:snapToGrid w:val="0"/>
        <w:spacing w:line="560" w:lineRule="exact"/>
        <w:ind w:firstLine="4800" w:firstLineChars="15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通江县壁州街道办事处</w:t>
      </w:r>
    </w:p>
    <w:p>
      <w:pPr>
        <w:numPr>
          <w:ilvl w:val="0"/>
          <w:numId w:val="0"/>
        </w:numPr>
        <w:adjustRightInd w:val="0"/>
        <w:snapToGrid w:val="0"/>
        <w:spacing w:line="560" w:lineRule="exact"/>
        <w:ind w:firstLine="5120" w:firstLineChars="1600"/>
        <w:rPr>
          <w:rFonts w:hint="eastAsia" w:ascii="仿宋" w:hAnsi="仿宋" w:eastAsia="仿宋" w:cs="仿宋"/>
          <w:b w:val="0"/>
          <w:bCs/>
          <w:sz w:val="32"/>
          <w:szCs w:val="32"/>
          <w:lang w:val="zh-CN" w:eastAsia="zh-CN"/>
        </w:rPr>
      </w:pPr>
      <w:r>
        <w:rPr>
          <w:rFonts w:hint="eastAsia" w:ascii="仿宋_GB2312" w:hAnsi="仿宋_GB2312" w:eastAsia="仿宋_GB2312" w:cs="仿宋_GB2312"/>
          <w:sz w:val="32"/>
          <w:szCs w:val="32"/>
          <w:lang w:val="zh-CN" w:eastAsia="zh-CN"/>
        </w:rPr>
        <w:t>2021年5月30日</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adjustRightInd w:val="0"/>
        <w:snapToGrid w:val="0"/>
        <w:spacing w:line="560" w:lineRule="exact"/>
        <w:jc w:val="center"/>
        <w:rPr>
          <w:rFonts w:hint="eastAsia" w:ascii="仿宋_GB2312" w:hAnsi="宋体" w:eastAsia="仿宋_GB2312" w:cs="Times New Roman"/>
          <w:b/>
          <w:bCs/>
          <w:sz w:val="44"/>
          <w:szCs w:val="44"/>
          <w:lang w:val="en-US" w:eastAsia="zh-CN"/>
        </w:rPr>
      </w:pPr>
      <w:r>
        <w:rPr>
          <w:rFonts w:hint="eastAsia" w:ascii="仿宋_GB2312" w:hAnsi="宋体" w:eastAsia="仿宋_GB2312" w:cs="Times New Roman"/>
          <w:b/>
          <w:bCs/>
          <w:sz w:val="44"/>
          <w:szCs w:val="44"/>
          <w:lang w:val="zh-CN" w:eastAsia="zh-CN"/>
        </w:rPr>
        <w:t>壁州街道办事处2020年脱贫攻坚</w:t>
      </w:r>
    </w:p>
    <w:p>
      <w:pPr>
        <w:adjustRightInd w:val="0"/>
        <w:snapToGrid w:val="0"/>
        <w:spacing w:line="560" w:lineRule="exact"/>
        <w:jc w:val="center"/>
        <w:rPr>
          <w:rFonts w:hint="eastAsia" w:ascii="仿宋_GB2312" w:hAnsi="宋体" w:eastAsia="仿宋_GB2312" w:cs="Times New Roman"/>
          <w:b/>
          <w:bCs/>
          <w:sz w:val="44"/>
          <w:szCs w:val="44"/>
          <w:lang w:val="en-US" w:eastAsia="zh-CN"/>
        </w:rPr>
      </w:pPr>
      <w:r>
        <w:rPr>
          <w:rFonts w:hint="eastAsia" w:ascii="仿宋_GB2312" w:hAnsi="宋体" w:eastAsia="仿宋_GB2312" w:cs="Times New Roman"/>
          <w:b/>
          <w:bCs/>
          <w:sz w:val="44"/>
          <w:szCs w:val="44"/>
          <w:lang w:val="en-US" w:eastAsia="zh-CN"/>
        </w:rPr>
        <w:t>西郊村道路建设补助资金</w:t>
      </w:r>
    </w:p>
    <w:p>
      <w:pPr>
        <w:adjustRightInd w:val="0"/>
        <w:snapToGrid w:val="0"/>
        <w:spacing w:line="560" w:lineRule="exact"/>
        <w:jc w:val="center"/>
        <w:rPr>
          <w:rFonts w:hint="eastAsia" w:ascii="仿宋_GB2312" w:hAnsi="宋体" w:eastAsia="仿宋_GB2312" w:cs="Times New Roman"/>
          <w:b/>
          <w:bCs/>
          <w:sz w:val="44"/>
          <w:szCs w:val="44"/>
          <w:lang w:val="zh-CN"/>
        </w:rPr>
      </w:pPr>
      <w:r>
        <w:rPr>
          <w:rFonts w:hint="eastAsia" w:ascii="仿宋_GB2312" w:hAnsi="宋体" w:eastAsia="仿宋_GB2312" w:cs="Times New Roman"/>
          <w:b/>
          <w:bCs/>
          <w:sz w:val="44"/>
          <w:szCs w:val="44"/>
          <w:lang w:val="zh-CN"/>
        </w:rPr>
        <w:t>绩效自评报告</w:t>
      </w:r>
    </w:p>
    <w:p>
      <w:pPr>
        <w:pStyle w:val="20"/>
        <w:spacing w:line="240" w:lineRule="auto"/>
        <w:jc w:val="center"/>
        <w:rPr>
          <w:rFonts w:hint="eastAsia" w:ascii="宋体" w:hAnsi="宋体"/>
          <w:b w:val="0"/>
          <w:bCs/>
          <w:sz w:val="32"/>
          <w:szCs w:val="32"/>
          <w:lang w:eastAsia="zh-CN"/>
        </w:rPr>
      </w:pPr>
    </w:p>
    <w:p>
      <w:pPr>
        <w:adjustRightInd w:val="0"/>
        <w:snapToGrid w:val="0"/>
        <w:spacing w:line="560" w:lineRule="exact"/>
        <w:ind w:firstLine="720"/>
        <w:rPr>
          <w:rFonts w:hint="eastAsia" w:ascii="仿宋_GB2312" w:hAnsi="宋体" w:eastAsia="仿宋_GB2312" w:cs="Times New Roman"/>
          <w:b/>
          <w:bCs/>
          <w:sz w:val="36"/>
          <w:szCs w:val="36"/>
          <w:lang w:val="zh-CN"/>
        </w:rPr>
      </w:pPr>
      <w:r>
        <w:rPr>
          <w:rFonts w:hint="eastAsia" w:ascii="仿宋_GB2312" w:hAnsi="宋体" w:eastAsia="仿宋_GB2312" w:cs="Times New Roman"/>
          <w:b/>
          <w:bCs/>
          <w:sz w:val="36"/>
          <w:szCs w:val="36"/>
          <w:lang w:val="zh-CN" w:eastAsia="zh-CN"/>
        </w:rPr>
        <w:t>一、</w:t>
      </w:r>
      <w:r>
        <w:rPr>
          <w:rFonts w:hint="eastAsia" w:ascii="仿宋_GB2312" w:hAnsi="宋体" w:eastAsia="仿宋_GB2312" w:cs="Times New Roman"/>
          <w:b/>
          <w:bCs/>
          <w:sz w:val="36"/>
          <w:szCs w:val="36"/>
          <w:lang w:val="zh-CN"/>
        </w:rPr>
        <w:t>基本情况</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壁州街道是通江县城所在地，是全县政治、经济、文化、交通、信息中心。幅员30平方公里，2020年6月行政区划调整后4村，12个社区居委会，总人口20万，其中：农业户数3155户，农村人口8985人。</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县级相关文件精神，街道办组织了绩效自评工作小组对2020年度脱贫攻坚道路建设补助资金专项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二、资金使用情况</w:t>
      </w:r>
    </w:p>
    <w:p>
      <w:pPr>
        <w:adjustRightInd w:val="0"/>
        <w:snapToGrid w:val="0"/>
        <w:spacing w:line="560" w:lineRule="exact"/>
        <w:ind w:firstLine="720"/>
        <w:rPr>
          <w:rFonts w:hint="eastAsia" w:ascii="楷体_GB2312" w:hAnsi="宋体" w:eastAsia="楷体_GB2312" w:cs="Times New Roman"/>
          <w:b/>
          <w:bCs/>
          <w:sz w:val="32"/>
          <w:szCs w:val="32"/>
          <w:lang w:val="zh-CN"/>
        </w:rPr>
      </w:pPr>
      <w:r>
        <w:rPr>
          <w:rFonts w:hint="eastAsia" w:ascii="仿宋_GB2312" w:hAnsi="宋体" w:eastAsia="仿宋_GB2312" w:cs="Times New Roman"/>
          <w:b/>
          <w:bCs/>
          <w:sz w:val="32"/>
          <w:szCs w:val="32"/>
          <w:lang w:val="zh-CN"/>
        </w:rPr>
        <w:t>（一）</w:t>
      </w:r>
      <w:r>
        <w:rPr>
          <w:rFonts w:hint="eastAsia" w:ascii="楷体_GB2312" w:hAnsi="宋体" w:eastAsia="楷体_GB2312" w:cs="Times New Roman"/>
          <w:b/>
          <w:bCs/>
          <w:sz w:val="32"/>
          <w:szCs w:val="32"/>
          <w:lang w:val="zh-CN"/>
        </w:rPr>
        <w:t>资金使用。</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县级相关文件规定，下达壁州街道西郊村道路建设补助资金120万元，新增水泥混凝土路面硬化公路里程4公里，项目（工程）验收合格率100%，截至2021年1月底投入使用，项目验收合格后全额支付到位，严格按照财政资金支付要求，严格执行财务管理制度，不存在挪用截留。</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（二）组织实施情况。</w:t>
      </w:r>
    </w:p>
    <w:p>
      <w:pPr>
        <w:adjustRightInd w:val="0"/>
        <w:snapToGrid w:val="0"/>
        <w:spacing w:line="56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财政资金项目绩效评价工作要求，街道办成立了由赵鹏任组长的2020年脱贫攻坚道路建设绩效评价工作组，领导小组下设脱贫攻坚道路建设绩效评价工作组办公室，办公室设在交管站，何维斌任办公室主任。为了规范和推动脱贫攻坚道路项目建设，对脱贫攻坚道路项目建设标准和技术要求、项目招投标管理、质量管理和监督检查、项目公示及验收管理等做出了相关规定。项目实施过程中，脱贫攻坚道路建设管理部门及各项目实施单位基本按照上述办法对脱贫攻坚道路建设项目进行组织管理。完工验收后财政拨付。按照有关管理办法，按合同进度进行支付。壁州街道办事处不定期对脱贫攻坚道路建设补助资金进行审计监督。</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三、目标完成情况</w:t>
      </w:r>
      <w:r>
        <w:rPr>
          <w:rFonts w:hint="eastAsia" w:ascii="仿宋_GB2312" w:hAnsi="宋体" w:eastAsia="仿宋_GB2312" w:cs="Times New Roman"/>
          <w:b/>
          <w:bCs/>
          <w:sz w:val="36"/>
          <w:szCs w:val="36"/>
          <w:lang w:val="zh-CN" w:eastAsia="zh-CN"/>
        </w:rPr>
        <w:tab/>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（一）目标任务量完成情况。</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2020年脱贫攻坚道路建设补助资金120万元，资金截至2020年12月底已经全部支付到位。</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（二）目标质量完成情况。</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2020年脱贫攻坚道路建设补助资金是按质按量完成任务。</w:t>
      </w:r>
    </w:p>
    <w:p>
      <w:pPr>
        <w:adjustRightInd w:val="0"/>
        <w:snapToGrid w:val="0"/>
        <w:spacing w:line="560" w:lineRule="exact"/>
        <w:ind w:firstLine="803" w:firstLineChars="25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（三）目标进度完成情况。</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2020年脱贫攻坚道路建设补助资金截至2020年12月底已经全部支付到位。完成了预定目标。</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四、项目效益情况</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打好脱贫攻坚战，改善了预脱贫村基础设施建设，造福了一方百姓，让惠民政策落到了实处，助推了乡村振兴，切实改变项目区贫困群众出行难，通过改善贫困村的道路落后状况，充分发挥交通的先导性、基础性作用。</w:t>
      </w:r>
    </w:p>
    <w:p>
      <w:pPr>
        <w:adjustRightInd w:val="0"/>
        <w:snapToGrid w:val="0"/>
        <w:spacing w:line="560" w:lineRule="exact"/>
        <w:ind w:firstLine="720"/>
        <w:rPr>
          <w:rFonts w:hint="eastAsia" w:ascii="仿宋_GB2312" w:hAnsi="宋体" w:eastAsia="仿宋_GB2312" w:cs="Times New Roman"/>
          <w:b/>
          <w:bCs/>
          <w:sz w:val="36"/>
          <w:szCs w:val="36"/>
          <w:lang w:val="zh-CN" w:eastAsia="zh-CN"/>
        </w:rPr>
      </w:pPr>
      <w:r>
        <w:rPr>
          <w:rFonts w:hint="eastAsia" w:ascii="仿宋_GB2312" w:hAnsi="宋体" w:eastAsia="仿宋_GB2312" w:cs="Times New Roman"/>
          <w:b/>
          <w:bCs/>
          <w:sz w:val="36"/>
          <w:szCs w:val="36"/>
          <w:lang w:val="zh-CN" w:eastAsia="zh-CN"/>
        </w:rPr>
        <w:t>五、问题及建议</w:t>
      </w:r>
    </w:p>
    <w:p>
      <w:pPr>
        <w:adjustRightInd w:val="0"/>
        <w:snapToGrid w:val="0"/>
        <w:spacing w:line="56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（一）存在的问题。</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近年来，随着劳动力、建材成本的上升，修建农村公路的成本不断增加，但财政安排的农村公路总量偏小、补助标准偏低。</w:t>
      </w:r>
    </w:p>
    <w:p>
      <w:pPr>
        <w:numPr>
          <w:ilvl w:val="0"/>
          <w:numId w:val="0"/>
        </w:numPr>
        <w:adjustRightInd w:val="0"/>
        <w:snapToGrid w:val="0"/>
        <w:spacing w:line="560" w:lineRule="exact"/>
        <w:ind w:firstLine="560" w:firstLineChars="200"/>
        <w:rPr>
          <w:rFonts w:hint="eastAsia" w:ascii="楷体_GB2312" w:hAnsi="宋体" w:eastAsia="楷体_GB2312" w:cs="Times New Roman"/>
          <w:b/>
          <w:sz w:val="32"/>
          <w:szCs w:val="32"/>
          <w:lang w:val="zh-CN"/>
        </w:rPr>
      </w:pPr>
      <w:r>
        <w:rPr>
          <w:rFonts w:hint="eastAsia" w:ascii="宋体" w:hAnsi="宋体" w:eastAsia="宋体" w:cs="宋体"/>
          <w:i w:val="0"/>
          <w:caps w:val="0"/>
          <w:color w:val="000000"/>
          <w:spacing w:val="0"/>
          <w:sz w:val="28"/>
          <w:szCs w:val="28"/>
          <w:shd w:val="clear" w:color="auto" w:fill="FFFFFF"/>
          <w:lang w:eastAsia="zh-CN"/>
        </w:rPr>
        <w:t>（二）</w:t>
      </w:r>
      <w:r>
        <w:rPr>
          <w:rFonts w:hint="eastAsia" w:ascii="楷体_GB2312" w:hAnsi="宋体" w:eastAsia="楷体_GB2312" w:cs="Times New Roman"/>
          <w:b/>
          <w:sz w:val="32"/>
          <w:szCs w:val="32"/>
          <w:lang w:val="zh-CN"/>
        </w:rPr>
        <w:t>相关建议。</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增加农村公路专项资金预算，提高农村公路修建和养护的补助标准。</w:t>
      </w:r>
    </w:p>
    <w:p>
      <w:pPr>
        <w:adjustRightInd w:val="0"/>
        <w:snapToGrid w:val="0"/>
        <w:spacing w:line="560" w:lineRule="exact"/>
        <w:ind w:firstLine="720"/>
        <w:rPr>
          <w:rFonts w:hint="eastAsia" w:ascii="楷体_GB2312" w:hAnsi="宋体" w:eastAsia="楷体_GB2312" w:cs="Times New Roman"/>
          <w:sz w:val="32"/>
          <w:szCs w:val="32"/>
          <w:lang w:val="zh-CN" w:eastAsia="zh-CN"/>
        </w:rPr>
      </w:pPr>
    </w:p>
    <w:p>
      <w:pPr>
        <w:adjustRightInd w:val="0"/>
        <w:snapToGrid w:val="0"/>
        <w:spacing w:line="560" w:lineRule="exact"/>
        <w:ind w:firstLine="720"/>
        <w:rPr>
          <w:rFonts w:hint="eastAsia" w:ascii="楷体_GB2312" w:hAnsi="宋体" w:eastAsia="楷体_GB2312" w:cs="Times New Roman"/>
          <w:sz w:val="32"/>
          <w:szCs w:val="32"/>
          <w:lang w:val="zh-CN" w:eastAsia="zh-CN"/>
        </w:rPr>
      </w:pPr>
    </w:p>
    <w:p>
      <w:pPr>
        <w:numPr>
          <w:ilvl w:val="0"/>
          <w:numId w:val="0"/>
        </w:numPr>
        <w:adjustRightInd w:val="0"/>
        <w:snapToGrid w:val="0"/>
        <w:spacing w:line="560" w:lineRule="exact"/>
        <w:ind w:firstLine="4800" w:firstLineChars="15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通江县壁州街道办事处</w:t>
      </w:r>
    </w:p>
    <w:p>
      <w:pPr>
        <w:adjustRightInd w:val="0"/>
        <w:snapToGrid w:val="0"/>
        <w:spacing w:line="560" w:lineRule="exact"/>
        <w:ind w:firstLine="5200" w:firstLineChars="1625"/>
        <w:rPr>
          <w:rFonts w:hint="eastAsia" w:ascii="楷体_GB2312" w:hAnsi="宋体" w:eastAsia="楷体_GB2312" w:cs="Times New Roman"/>
          <w:sz w:val="32"/>
          <w:szCs w:val="32"/>
          <w:lang w:val="zh-CN" w:eastAsia="zh-CN"/>
        </w:rPr>
      </w:pPr>
      <w:r>
        <w:rPr>
          <w:rFonts w:hint="eastAsia" w:ascii="仿宋_GB2312" w:hAnsi="仿宋_GB2312" w:eastAsia="仿宋_GB2312" w:cs="仿宋_GB2312"/>
          <w:sz w:val="32"/>
          <w:szCs w:val="32"/>
          <w:lang w:val="zh-CN" w:eastAsia="zh-CN"/>
        </w:rPr>
        <w:t>2021年5月30日</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adjustRightInd w:val="0"/>
        <w:snapToGrid w:val="0"/>
        <w:spacing w:line="560" w:lineRule="exact"/>
        <w:jc w:val="center"/>
        <w:rPr>
          <w:rFonts w:hint="eastAsia" w:ascii="楷体_GB2312" w:hAnsi="宋体" w:eastAsia="楷体_GB2312" w:cs="Times New Roman"/>
          <w:b/>
          <w:bCs/>
          <w:sz w:val="48"/>
          <w:szCs w:val="48"/>
          <w:lang w:val="en-US" w:eastAsia="zh-CN"/>
        </w:rPr>
      </w:pPr>
      <w:r>
        <w:rPr>
          <w:rFonts w:hint="eastAsia" w:ascii="楷体_GB2312" w:hAnsi="宋体" w:eastAsia="楷体_GB2312" w:cs="Times New Roman"/>
          <w:b/>
          <w:bCs/>
          <w:sz w:val="48"/>
          <w:szCs w:val="48"/>
          <w:lang w:val="zh-CN" w:eastAsia="zh-CN"/>
        </w:rPr>
        <w:t>壁州街道办事处2020年人居</w:t>
      </w:r>
    </w:p>
    <w:p>
      <w:pPr>
        <w:adjustRightInd w:val="0"/>
        <w:snapToGrid w:val="0"/>
        <w:spacing w:line="560" w:lineRule="exact"/>
        <w:jc w:val="center"/>
        <w:rPr>
          <w:rFonts w:hint="eastAsia" w:ascii="楷体_GB2312" w:hAnsi="宋体" w:eastAsia="楷体_GB2312" w:cs="Times New Roman"/>
          <w:b/>
          <w:bCs/>
          <w:sz w:val="48"/>
          <w:szCs w:val="48"/>
          <w:lang w:val="en-US" w:eastAsia="zh-CN"/>
        </w:rPr>
      </w:pPr>
      <w:r>
        <w:rPr>
          <w:rFonts w:hint="eastAsia" w:ascii="楷体_GB2312" w:hAnsi="宋体" w:eastAsia="楷体_GB2312" w:cs="Times New Roman"/>
          <w:b/>
          <w:bCs/>
          <w:sz w:val="48"/>
          <w:szCs w:val="48"/>
          <w:lang w:val="en-US" w:eastAsia="zh-CN"/>
        </w:rPr>
        <w:t>环境综合整治补助资金</w:t>
      </w:r>
    </w:p>
    <w:p>
      <w:pPr>
        <w:adjustRightInd w:val="0"/>
        <w:snapToGrid w:val="0"/>
        <w:spacing w:line="560" w:lineRule="exact"/>
        <w:jc w:val="center"/>
        <w:rPr>
          <w:rFonts w:hint="eastAsia" w:ascii="楷体_GB2312" w:hAnsi="宋体" w:eastAsia="楷体_GB2312" w:cs="Times New Roman"/>
          <w:b/>
          <w:bCs/>
          <w:sz w:val="48"/>
          <w:szCs w:val="48"/>
          <w:lang w:val="zh-CN" w:eastAsia="zh-CN"/>
        </w:rPr>
      </w:pPr>
      <w:r>
        <w:rPr>
          <w:rFonts w:hint="eastAsia" w:ascii="楷体_GB2312" w:hAnsi="宋体" w:eastAsia="楷体_GB2312" w:cs="Times New Roman"/>
          <w:b/>
          <w:bCs/>
          <w:sz w:val="48"/>
          <w:szCs w:val="48"/>
          <w:lang w:val="zh-CN" w:eastAsia="zh-CN"/>
        </w:rPr>
        <w:t>绩效自评报告</w:t>
      </w:r>
    </w:p>
    <w:p>
      <w:pPr>
        <w:adjustRightInd w:val="0"/>
        <w:snapToGrid w:val="0"/>
        <w:spacing w:line="560" w:lineRule="exact"/>
        <w:ind w:firstLine="720"/>
        <w:rPr>
          <w:rFonts w:hint="eastAsia" w:ascii="楷体_GB2312" w:hAnsi="宋体" w:eastAsia="楷体_GB2312" w:cs="Times New Roman"/>
          <w:sz w:val="32"/>
          <w:szCs w:val="32"/>
          <w:lang w:val="en-US" w:eastAsia="zh-CN"/>
        </w:rPr>
      </w:pP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一、基本情况</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壁州街道是通江县城所在地，是全县政治、经济、文化、交通、信息中心。幅员30平方公里，2020年6月行政区划调整后4村，12个社区居委会，总人口20万，其中：农业户数3155户，农村人口8985人。</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以“一拆二改三清四化”为总抓手，全面推进农村人居环境整治，着力推进农村垃圾治理、农村污水治理、农村厕所改造、农业面源污染等重点工作，提升村容村貌，打造美丽乡村。现将评价情况报告如下：</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二、资金使用情况</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（一）资金使用。</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下达办事处2020年下达农村人居环境综合整治补助资金30万元，涉及4个村12 个社区，受益人数大于3万多人，农村垃圾得到有效治理，建立人居环境整治个数不少于100个，生活垃圾池建设不少于78个，农村污水得到初步治理，购买4台污水处理设施，农村生活污水处理率达到60%。截至2020年12月底已经全部支付到位，支付依据是严格按扶贫专项资金管理办法，扶贫资金严格按照扶贫项目财政资金支付要求，严格执行扶贫资金的财务管理制度，不存在挪用截留。</w:t>
      </w:r>
    </w:p>
    <w:p>
      <w:pPr>
        <w:adjustRightInd w:val="0"/>
        <w:snapToGrid w:val="0"/>
        <w:spacing w:line="560" w:lineRule="exact"/>
        <w:ind w:firstLine="720"/>
        <w:rPr>
          <w:rFonts w:hint="eastAsia" w:ascii="仿宋_GB2312" w:hAnsi="宋体" w:eastAsia="仿宋_GB2312" w:cs="Times New Roman"/>
          <w:b/>
          <w:bCs/>
          <w:sz w:val="32"/>
          <w:szCs w:val="32"/>
          <w:lang w:val="zh-CN"/>
        </w:rPr>
      </w:pPr>
      <w:r>
        <w:rPr>
          <w:rFonts w:hint="eastAsia" w:ascii="仿宋_GB2312" w:hAnsi="宋体" w:eastAsia="仿宋_GB2312" w:cs="Times New Roman"/>
          <w:b/>
          <w:bCs/>
          <w:sz w:val="32"/>
          <w:szCs w:val="32"/>
          <w:lang w:val="zh-CN"/>
        </w:rPr>
        <w:t>（</w:t>
      </w:r>
      <w:r>
        <w:rPr>
          <w:rFonts w:hint="eastAsia" w:ascii="楷体_GB2312" w:hAnsi="宋体" w:eastAsia="楷体_GB2312" w:cs="Times New Roman"/>
          <w:b/>
          <w:bCs/>
          <w:sz w:val="32"/>
          <w:szCs w:val="32"/>
          <w:lang w:val="zh-CN" w:eastAsia="zh-CN"/>
        </w:rPr>
        <w:t>二）组织实施情况。</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要围绕“洁我家园，共创文明”的目标，办事处设置有人居环境综合整治专项工作小组，涉及4个村12 个社区，采取“门前三包”原则，积极推动农村保洁工作和环境卫生整治，完善农村环境管理体制，定期开展“文明之家”评选活动，提高村民文明素质，建设好自己家园。</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三、目标完成情况</w:t>
      </w:r>
      <w:r>
        <w:rPr>
          <w:rFonts w:hint="eastAsia" w:ascii="楷体_GB2312" w:hAnsi="宋体" w:eastAsia="楷体_GB2312" w:cs="Times New Roman"/>
          <w:b/>
          <w:bCs/>
          <w:sz w:val="32"/>
          <w:szCs w:val="32"/>
          <w:lang w:val="zh-CN" w:eastAsia="zh-CN"/>
        </w:rPr>
        <w:tab/>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（一）目标任务量完成情况。</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2020年人居环境综合整治补助资金30万元，保障了农村环境卫生整治工作顺利开展，资金截至2020年12月底已经全部支付到位。</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（二）目标质量完成情况。</w:t>
      </w:r>
    </w:p>
    <w:p>
      <w:pPr>
        <w:adjustRightInd w:val="0"/>
        <w:snapToGrid w:val="0"/>
        <w:spacing w:line="56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2020年人居环境综合整治补助资金30万元，</w:t>
      </w:r>
      <w:r>
        <w:rPr>
          <w:rFonts w:hint="eastAsia" w:ascii="仿宋_GB2312" w:hAnsi="仿宋_GB2312" w:eastAsia="仿宋_GB2312" w:cs="仿宋_GB2312"/>
          <w:sz w:val="32"/>
          <w:szCs w:val="32"/>
          <w:lang w:val="zh-CN" w:eastAsia="zh-CN"/>
        </w:rPr>
        <w:t>工作是</w:t>
      </w:r>
      <w:r>
        <w:rPr>
          <w:rFonts w:hint="eastAsia" w:ascii="仿宋_GB2312" w:hAnsi="仿宋_GB2312" w:eastAsia="仿宋_GB2312" w:cs="仿宋_GB2312"/>
          <w:sz w:val="32"/>
          <w:szCs w:val="32"/>
          <w:lang w:val="en-US" w:eastAsia="zh-CN"/>
        </w:rPr>
        <w:t>按质按量完成任务，为街道办脱贫攻坚任务的顺利完成保驾护航。</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（三）目标进度完成情况。</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2020年人居环境综合整治补助资金30万元，截至2020年12月底已经全部支付到位。实现了预定目标。</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四、项目效益情况</w:t>
      </w:r>
    </w:p>
    <w:p>
      <w:pPr>
        <w:adjustRightInd w:val="0"/>
        <w:snapToGrid w:val="0"/>
        <w:spacing w:line="56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2020年人居环境综合整治补助资金30万元，促进城乡垃圾一体化收运处理体系进一步完善，农村环境面貌的进一步改善。实现了预定目标任务。</w:t>
      </w:r>
    </w:p>
    <w:p>
      <w:pPr>
        <w:adjustRightInd w:val="0"/>
        <w:snapToGrid w:val="0"/>
        <w:spacing w:line="560" w:lineRule="exact"/>
        <w:ind w:firstLine="720"/>
        <w:rPr>
          <w:rFonts w:hint="eastAsia" w:ascii="楷体_GB2312" w:hAnsi="宋体" w:eastAsia="楷体_GB2312" w:cs="Times New Roman"/>
          <w:b/>
          <w:bCs/>
          <w:sz w:val="32"/>
          <w:szCs w:val="32"/>
          <w:lang w:val="zh-CN" w:eastAsia="zh-CN"/>
        </w:rPr>
      </w:pPr>
      <w:r>
        <w:rPr>
          <w:rFonts w:hint="eastAsia" w:ascii="楷体_GB2312" w:hAnsi="宋体" w:eastAsia="楷体_GB2312" w:cs="Times New Roman"/>
          <w:b/>
          <w:bCs/>
          <w:sz w:val="32"/>
          <w:szCs w:val="32"/>
          <w:lang w:val="zh-CN" w:eastAsia="zh-CN"/>
        </w:rPr>
        <w:t>五、存在的问题及相关建议</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生活垃圾收集装置及日常保洁工作表现良好，垃圾清运长效机制基本建立，并保持正常运行，群众对城乡环卫一体化工作满意度明显提升，但也发现个别村庄、社区垃圾清扫不够彻底、有少量积存垃圾。有效的促进了城乡环卫一体化工作管理水平不断提升，群众生活习惯明显改善。</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加大农村人居环境整治专项资金投入力度，进一步加快推进办事处农村人居环境整治，助推乡村振兴。</w:t>
      </w:r>
    </w:p>
    <w:p>
      <w:pPr>
        <w:adjustRightInd w:val="0"/>
        <w:snapToGrid w:val="0"/>
        <w:spacing w:line="560" w:lineRule="exact"/>
        <w:ind w:firstLine="720"/>
        <w:rPr>
          <w:rFonts w:hint="eastAsia" w:ascii="楷体_GB2312" w:hAnsi="宋体" w:eastAsia="楷体_GB2312" w:cs="Times New Roman"/>
          <w:sz w:val="32"/>
          <w:szCs w:val="32"/>
          <w:lang w:val="en-US" w:eastAsia="zh-CN"/>
        </w:rPr>
      </w:pPr>
    </w:p>
    <w:p>
      <w:pPr>
        <w:adjustRightInd w:val="0"/>
        <w:snapToGrid w:val="0"/>
        <w:spacing w:line="560" w:lineRule="exact"/>
        <w:ind w:firstLine="720"/>
        <w:rPr>
          <w:rFonts w:hint="eastAsia" w:ascii="楷体_GB2312" w:hAnsi="宋体" w:eastAsia="楷体_GB2312" w:cs="Times New Roman"/>
          <w:sz w:val="32"/>
          <w:szCs w:val="32"/>
          <w:lang w:val="en-US" w:eastAsia="zh-CN"/>
        </w:rPr>
      </w:pPr>
    </w:p>
    <w:p>
      <w:pPr>
        <w:numPr>
          <w:ilvl w:val="0"/>
          <w:numId w:val="0"/>
        </w:numPr>
        <w:adjustRightInd w:val="0"/>
        <w:snapToGrid w:val="0"/>
        <w:spacing w:line="560" w:lineRule="exact"/>
        <w:ind w:firstLine="4800" w:firstLineChars="15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通江县壁州街道办事处</w:t>
      </w:r>
    </w:p>
    <w:p>
      <w:pPr>
        <w:adjustRightInd w:val="0"/>
        <w:snapToGrid w:val="0"/>
        <w:spacing w:line="560" w:lineRule="exact"/>
        <w:ind w:firstLine="5200" w:firstLineChars="1625"/>
        <w:rPr>
          <w:rFonts w:hint="eastAsia" w:ascii="楷体_GB2312" w:hAnsi="宋体" w:eastAsia="楷体_GB2312" w:cs="Times New Roman"/>
          <w:sz w:val="32"/>
          <w:szCs w:val="32"/>
          <w:lang w:val="en-US" w:eastAsia="zh-CN"/>
        </w:rPr>
      </w:pPr>
      <w:r>
        <w:rPr>
          <w:rFonts w:hint="eastAsia" w:ascii="仿宋_GB2312" w:hAnsi="仿宋_GB2312" w:eastAsia="仿宋_GB2312" w:cs="仿宋_GB2312"/>
          <w:sz w:val="32"/>
          <w:szCs w:val="32"/>
          <w:lang w:val="zh-CN" w:eastAsia="zh-CN"/>
        </w:rPr>
        <w:t>2021年5月30日</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6"/>
          <w:rFonts w:ascii="黑体" w:hAnsi="黑体" w:eastAsia="黑体"/>
          <w:b w:val="0"/>
        </w:rPr>
      </w:pPr>
      <w:bookmarkStart w:id="89" w:name="_Toc2836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81"/>
      <w:bookmarkEnd w:id="88"/>
      <w:bookmarkEnd w:id="8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90" w:name="_Toc15396619"/>
      <w:bookmarkStart w:id="91" w:name="_Toc3115"/>
      <w:r>
        <w:rPr>
          <w:rFonts w:hint="eastAsia" w:ascii="仿宋" w:hAnsi="仿宋" w:eastAsia="仿宋"/>
          <w:b w:val="0"/>
          <w:color w:val="000000"/>
        </w:rPr>
        <w:t>一、收</w:t>
      </w:r>
      <w:r>
        <w:rPr>
          <w:rStyle w:val="17"/>
          <w:rFonts w:hint="eastAsia" w:ascii="仿宋" w:hAnsi="仿宋" w:eastAsia="仿宋"/>
          <w:b w:val="0"/>
          <w:bCs w:val="0"/>
        </w:rPr>
        <w:t>入支出决算总表</w:t>
      </w:r>
      <w:bookmarkEnd w:id="90"/>
      <w:bookmarkEnd w:id="91"/>
    </w:p>
    <w:p>
      <w:pPr>
        <w:pStyle w:val="3"/>
        <w:rPr>
          <w:rFonts w:ascii="仿宋" w:hAnsi="仿宋" w:eastAsia="仿宋"/>
          <w:color w:val="000000"/>
        </w:rPr>
      </w:pPr>
      <w:bookmarkStart w:id="92" w:name="_Toc15396620"/>
      <w:bookmarkStart w:id="93" w:name="_Toc25302"/>
      <w:r>
        <w:rPr>
          <w:rFonts w:hint="eastAsia" w:ascii="仿宋" w:hAnsi="仿宋" w:eastAsia="仿宋"/>
          <w:b w:val="0"/>
          <w:color w:val="000000"/>
        </w:rPr>
        <w:t>二、收</w:t>
      </w:r>
      <w:r>
        <w:rPr>
          <w:rStyle w:val="17"/>
          <w:rFonts w:hint="eastAsia" w:ascii="仿宋" w:hAnsi="仿宋" w:eastAsia="仿宋"/>
          <w:b w:val="0"/>
          <w:bCs w:val="0"/>
        </w:rPr>
        <w:t>入决算表</w:t>
      </w:r>
      <w:bookmarkEnd w:id="92"/>
      <w:bookmarkEnd w:id="93"/>
    </w:p>
    <w:p>
      <w:pPr>
        <w:pStyle w:val="3"/>
        <w:rPr>
          <w:rFonts w:ascii="仿宋" w:hAnsi="仿宋" w:eastAsia="仿宋"/>
          <w:color w:val="000000"/>
        </w:rPr>
      </w:pPr>
      <w:bookmarkStart w:id="94" w:name="_Toc15396621"/>
      <w:bookmarkStart w:id="95" w:name="_Toc29776"/>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94"/>
      <w:bookmarkEnd w:id="95"/>
    </w:p>
    <w:p>
      <w:pPr>
        <w:pStyle w:val="3"/>
        <w:rPr>
          <w:rFonts w:ascii="仿宋" w:hAnsi="仿宋" w:eastAsia="仿宋"/>
          <w:b w:val="0"/>
          <w:color w:val="000000"/>
        </w:rPr>
      </w:pPr>
      <w:bookmarkStart w:id="96" w:name="_Toc23140"/>
      <w:bookmarkStart w:id="97"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w:t>
      </w:r>
      <w:r>
        <w:rPr>
          <w:rFonts w:hint="eastAsia" w:ascii="仿宋" w:hAnsi="仿宋" w:eastAsia="仿宋"/>
          <w:b w:val="0"/>
          <w:bCs w:val="0"/>
        </w:rPr>
        <w:t>入支出决算总表</w:t>
      </w:r>
      <w:bookmarkEnd w:id="96"/>
      <w:bookmarkEnd w:id="97"/>
    </w:p>
    <w:p>
      <w:pPr>
        <w:pStyle w:val="3"/>
        <w:rPr>
          <w:rStyle w:val="17"/>
          <w:rFonts w:ascii="仿宋" w:hAnsi="仿宋" w:eastAsia="仿宋"/>
          <w:b w:val="0"/>
          <w:bCs w:val="0"/>
        </w:rPr>
      </w:pPr>
      <w:bookmarkStart w:id="98" w:name="_Toc15396623"/>
      <w:bookmarkStart w:id="99" w:name="_Toc2000"/>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98"/>
      <w:bookmarkEnd w:id="99"/>
      <w:bookmarkStart w:id="100" w:name="_Toc15396624"/>
    </w:p>
    <w:p>
      <w:pPr>
        <w:pStyle w:val="3"/>
        <w:rPr>
          <w:rFonts w:ascii="仿宋" w:hAnsi="仿宋" w:eastAsia="仿宋"/>
          <w:color w:val="000000"/>
        </w:rPr>
      </w:pPr>
      <w:bookmarkStart w:id="101" w:name="_Toc486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100"/>
      <w:bookmarkEnd w:id="101"/>
    </w:p>
    <w:p>
      <w:pPr>
        <w:pStyle w:val="3"/>
        <w:rPr>
          <w:rFonts w:ascii="仿宋" w:hAnsi="仿宋" w:eastAsia="仿宋"/>
          <w:color w:val="000000"/>
        </w:rPr>
      </w:pPr>
      <w:bookmarkStart w:id="102" w:name="_Toc24521"/>
      <w:bookmarkStart w:id="103"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102"/>
      <w:bookmarkEnd w:id="103"/>
    </w:p>
    <w:p>
      <w:pPr>
        <w:pStyle w:val="3"/>
        <w:rPr>
          <w:rFonts w:ascii="仿宋" w:hAnsi="仿宋" w:eastAsia="仿宋"/>
          <w:color w:val="000000"/>
        </w:rPr>
      </w:pPr>
      <w:bookmarkStart w:id="104" w:name="_Toc29780"/>
      <w:bookmarkStart w:id="105"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104"/>
      <w:bookmarkEnd w:id="105"/>
    </w:p>
    <w:p>
      <w:pPr>
        <w:pStyle w:val="3"/>
        <w:rPr>
          <w:rFonts w:ascii="仿宋" w:hAnsi="仿宋" w:eastAsia="仿宋"/>
          <w:color w:val="000000"/>
        </w:rPr>
      </w:pPr>
      <w:bookmarkStart w:id="106" w:name="_Toc13362"/>
      <w:bookmarkStart w:id="107"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106"/>
      <w:bookmarkEnd w:id="107"/>
    </w:p>
    <w:p>
      <w:pPr>
        <w:pStyle w:val="3"/>
        <w:rPr>
          <w:rFonts w:ascii="仿宋" w:hAnsi="仿宋" w:eastAsia="仿宋"/>
          <w:color w:val="000000"/>
        </w:rPr>
      </w:pPr>
      <w:bookmarkStart w:id="108" w:name="_Toc15396628"/>
      <w:bookmarkStart w:id="109" w:name="_Toc29067"/>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108"/>
      <w:bookmarkEnd w:id="109"/>
    </w:p>
    <w:p>
      <w:pPr>
        <w:pStyle w:val="3"/>
        <w:rPr>
          <w:rFonts w:ascii="仿宋" w:hAnsi="仿宋" w:eastAsia="仿宋"/>
          <w:color w:val="000000"/>
        </w:rPr>
      </w:pPr>
      <w:bookmarkStart w:id="110" w:name="_Toc15396629"/>
      <w:bookmarkStart w:id="111" w:name="_Toc8788"/>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w:t>
      </w:r>
      <w:r>
        <w:rPr>
          <w:rFonts w:hint="eastAsia" w:ascii="仿宋" w:hAnsi="仿宋" w:eastAsia="仿宋"/>
          <w:b w:val="0"/>
          <w:bCs w:val="0"/>
        </w:rPr>
        <w:t>入支出决算表</w:t>
      </w:r>
      <w:bookmarkEnd w:id="110"/>
      <w:bookmarkEnd w:id="111"/>
    </w:p>
    <w:p>
      <w:pPr>
        <w:pStyle w:val="3"/>
        <w:rPr>
          <w:rFonts w:ascii="仿宋" w:hAnsi="仿宋" w:eastAsia="仿宋"/>
          <w:color w:val="000000"/>
        </w:rPr>
      </w:pPr>
      <w:bookmarkStart w:id="112" w:name="_Toc30318"/>
      <w:bookmarkStart w:id="113"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112"/>
      <w:bookmarkEnd w:id="113"/>
    </w:p>
    <w:p>
      <w:pPr>
        <w:pStyle w:val="3"/>
        <w:rPr>
          <w:rFonts w:ascii="仿宋" w:hAnsi="仿宋" w:eastAsia="仿宋"/>
          <w:color w:val="000000"/>
        </w:rPr>
      </w:pPr>
      <w:bookmarkStart w:id="114" w:name="_Toc15396631"/>
      <w:bookmarkStart w:id="115" w:name="_Toc9199"/>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有资本经营预算财政拨款支出决算表</w:t>
      </w:r>
      <w:bookmarkEnd w:id="114"/>
      <w:bookmarkEnd w:id="115"/>
    </w:p>
    <w:p/>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1" name="_x0000_s158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6"/>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_x0000_s158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XW5UtAAAAAFAQAADwAAAAAAAAABACAAAAAiAAAAZHJzL2Rvd25yZXYueG1sUEsBAhQAFAAA&#10;AAgAh07iQB2TfdL3AQAADAQAAA4AAAAAAAAAAQAgAAAAHwEAAGRycy9lMm9Eb2MueG1sUEsFBgAA&#10;AAAGAAYAWQEAAIgFAAAAAA==&#10;">
              <v:fill on="f" focussize="0,0"/>
              <v:stroke on="f"/>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3</w:t>
                    </w:r>
                    <w:r>
                      <w:fldChar w:fldCharType="end"/>
                    </w:r>
                  </w:p>
                </w:txbxContent>
              </v:textbox>
            </v:rect>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_x0000_s159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_x0000_s159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1uVLQAAAABQEAAA8AAAAAAAAAAQAgAAAAIgAAAGRycy9kb3ducmV2LnhtbFBLAQIUABQAAAAI&#10;AIdO4kDsb5vp9QEAAAwEAAAOAAAAAAAAAAEAIAAAAB8BAABkcnMvZTJvRG9jLnhtbFBLBQYAAAAA&#10;BgAGAFkBAACG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1"/>
      <w:numFmt w:val="decimal"/>
      <w:lvlText w:val="%1."/>
      <w:lvlJc w:val="left"/>
      <w:pPr>
        <w:tabs>
          <w:tab w:val="left" w:pos="312"/>
        </w:tabs>
      </w:pPr>
    </w:lvl>
  </w:abstractNum>
  <w:abstractNum w:abstractNumId="1">
    <w:nsid w:val="BF205925"/>
    <w:multiLevelType w:val="singleLevel"/>
    <w:tmpl w:val="BF205925"/>
    <w:lvl w:ilvl="0" w:tentative="0">
      <w:start w:val="3"/>
      <w:numFmt w:val="chineseCounting"/>
      <w:suff w:val="space"/>
      <w:lvlText w:val="第%1部分"/>
      <w:lvlJc w:val="left"/>
      <w:rPr>
        <w:rFonts w:hint="eastAsia" w:cs="Times New Roman"/>
      </w:rPr>
    </w:lvl>
  </w:abstractNum>
  <w:abstractNum w:abstractNumId="2">
    <w:nsid w:val="CF092B84"/>
    <w:multiLevelType w:val="singleLevel"/>
    <w:tmpl w:val="CF092B84"/>
    <w:lvl w:ilvl="0" w:tentative="0">
      <w:start w:val="1"/>
      <w:numFmt w:val="decimal"/>
      <w:lvlText w:val="%1."/>
      <w:lvlJc w:val="left"/>
      <w:pPr>
        <w:tabs>
          <w:tab w:val="left" w:pos="312"/>
        </w:tabs>
      </w:pPr>
    </w:lvl>
  </w:abstractNum>
  <w:abstractNum w:abstractNumId="3">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0248C179"/>
    <w:multiLevelType w:val="singleLevel"/>
    <w:tmpl w:val="0248C179"/>
    <w:lvl w:ilvl="0" w:tentative="0">
      <w:start w:val="1"/>
      <w:numFmt w:val="chineseCounting"/>
      <w:suff w:val="nothing"/>
      <w:lvlText w:val="%1、"/>
      <w:lvlJc w:val="left"/>
      <w:rPr>
        <w:rFonts w:hint="eastAsia"/>
      </w:rPr>
    </w:lvl>
  </w:abstractNum>
  <w:abstractNum w:abstractNumId="5">
    <w:nsid w:val="03D62ECE"/>
    <w:multiLevelType w:val="singleLevel"/>
    <w:tmpl w:val="03D62ECE"/>
    <w:lvl w:ilvl="0" w:tentative="0">
      <w:start w:val="2"/>
      <w:numFmt w:val="chineseCounting"/>
      <w:suff w:val="nothing"/>
      <w:lvlText w:val="（%1）"/>
      <w:lvlJc w:val="left"/>
      <w:rPr>
        <w:rFonts w:hint="eastAsia"/>
      </w:rPr>
    </w:lvl>
  </w:abstractNum>
  <w:abstractNum w:abstractNumId="6">
    <w:nsid w:val="25B654F3"/>
    <w:multiLevelType w:val="singleLevel"/>
    <w:tmpl w:val="25B654F3"/>
    <w:lvl w:ilvl="0" w:tentative="0">
      <w:start w:val="2"/>
      <w:numFmt w:val="chineseCounting"/>
      <w:suff w:val="nothing"/>
      <w:lvlText w:val="（%1）"/>
      <w:lvlJc w:val="left"/>
      <w:rPr>
        <w:rFonts w:hint="eastAsia"/>
      </w:rPr>
    </w:lvl>
  </w:abstractNum>
  <w:abstractNum w:abstractNumId="7">
    <w:nsid w:val="59ADCABA"/>
    <w:multiLevelType w:val="singleLevel"/>
    <w:tmpl w:val="59ADCABA"/>
    <w:lvl w:ilvl="0" w:tentative="0">
      <w:start w:val="9"/>
      <w:numFmt w:val="chineseCounting"/>
      <w:suff w:val="nothing"/>
      <w:lvlText w:val="%1、"/>
      <w:lvlJc w:val="left"/>
      <w:rPr>
        <w:rFonts w:hint="eastAsia" w:cs="Times New Roman"/>
      </w:rPr>
    </w:lvl>
  </w:abstractNum>
  <w:abstractNum w:abstractNumId="8">
    <w:nsid w:val="72183CF9"/>
    <w:multiLevelType w:val="singleLevel"/>
    <w:tmpl w:val="72183CF9"/>
    <w:lvl w:ilvl="0" w:tentative="0">
      <w:start w:val="2"/>
      <w:numFmt w:val="chineseCounting"/>
      <w:suff w:val="nothing"/>
      <w:lvlText w:val="（%1）"/>
      <w:lvlJc w:val="left"/>
      <w:rPr>
        <w:rFonts w:hint="eastAsia"/>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0B98"/>
    <w:rsid w:val="055139D3"/>
    <w:rsid w:val="06E12EF8"/>
    <w:rsid w:val="0CBE27D1"/>
    <w:rsid w:val="0D892755"/>
    <w:rsid w:val="0E112941"/>
    <w:rsid w:val="0F946786"/>
    <w:rsid w:val="13124DE7"/>
    <w:rsid w:val="181D1760"/>
    <w:rsid w:val="19347495"/>
    <w:rsid w:val="1A9C6301"/>
    <w:rsid w:val="1B8542DE"/>
    <w:rsid w:val="1D910F29"/>
    <w:rsid w:val="1D992BAE"/>
    <w:rsid w:val="1FD35E9F"/>
    <w:rsid w:val="222F79FE"/>
    <w:rsid w:val="22C120DD"/>
    <w:rsid w:val="23B845A1"/>
    <w:rsid w:val="247B62F4"/>
    <w:rsid w:val="28405DD6"/>
    <w:rsid w:val="2B9E52E2"/>
    <w:rsid w:val="2C247778"/>
    <w:rsid w:val="349E64C9"/>
    <w:rsid w:val="374C74CA"/>
    <w:rsid w:val="3D40790A"/>
    <w:rsid w:val="43F269D6"/>
    <w:rsid w:val="44882011"/>
    <w:rsid w:val="45652551"/>
    <w:rsid w:val="47753FB5"/>
    <w:rsid w:val="489E168B"/>
    <w:rsid w:val="4C7657BC"/>
    <w:rsid w:val="4E0C5F8C"/>
    <w:rsid w:val="535C2C7D"/>
    <w:rsid w:val="542F3D5E"/>
    <w:rsid w:val="57202316"/>
    <w:rsid w:val="57D24FDE"/>
    <w:rsid w:val="5EEB6EDA"/>
    <w:rsid w:val="5FE7075E"/>
    <w:rsid w:val="616E18E4"/>
    <w:rsid w:val="64A93292"/>
    <w:rsid w:val="680832DA"/>
    <w:rsid w:val="697E1281"/>
    <w:rsid w:val="6CD7629C"/>
    <w:rsid w:val="70147AEE"/>
    <w:rsid w:val="7638609A"/>
    <w:rsid w:val="783E227E"/>
    <w:rsid w:val="7968500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toc 3"/>
    <w:basedOn w:val="1"/>
    <w:next w:val="1"/>
    <w:uiPriority w:val="0"/>
    <w:pPr>
      <w:ind w:left="840" w:leftChars="400"/>
    </w:p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99"/>
    <w:rPr>
      <w:rFonts w:cs="Times New Roman"/>
      <w:b/>
    </w:rPr>
  </w:style>
  <w:style w:type="character" w:styleId="14">
    <w:name w:val="page number"/>
    <w:basedOn w:val="12"/>
    <w:qFormat/>
    <w:uiPriority w:val="0"/>
  </w:style>
  <w:style w:type="character" w:styleId="15">
    <w:name w:val="Hyperlink"/>
    <w:basedOn w:val="12"/>
    <w:unhideWhenUsed/>
    <w:qFormat/>
    <w:uiPriority w:val="99"/>
    <w:rPr>
      <w:rFonts w:cs="Times New Roman"/>
      <w:color w:val="0000FF"/>
      <w:u w:val="single"/>
    </w:rPr>
  </w:style>
  <w:style w:type="character" w:customStyle="1" w:styleId="16">
    <w:name w:val=" Char Char6"/>
    <w:basedOn w:val="12"/>
    <w:link w:val="2"/>
    <w:qFormat/>
    <w:locked/>
    <w:uiPriority w:val="9"/>
    <w:rPr>
      <w:b/>
      <w:bCs/>
      <w:kern w:val="44"/>
      <w:sz w:val="44"/>
      <w:szCs w:val="44"/>
    </w:rPr>
  </w:style>
  <w:style w:type="character" w:customStyle="1" w:styleId="17">
    <w:name w:val=" Char Char5"/>
    <w:basedOn w:val="12"/>
    <w:link w:val="3"/>
    <w:qFormat/>
    <w:locked/>
    <w:uiPriority w:val="9"/>
    <w:rPr>
      <w:rFonts w:ascii="Cambria" w:hAnsi="Cambria"/>
      <w:b/>
      <w:bCs/>
      <w:sz w:val="32"/>
      <w:szCs w:val="32"/>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  单位：万元</a:t>
            </a:r>
          </a:p>
        </c:rich>
      </c:tx>
      <c:layout/>
      <c:overlay val="0"/>
      <c:spPr>
        <a:noFill/>
        <a:ln>
          <a:noFill/>
        </a:ln>
        <a:effectLst/>
      </c:spPr>
    </c:title>
    <c:autoTitleDeleted val="0"/>
    <c:plotArea>
      <c:layout>
        <c:manualLayout>
          <c:layoutTarget val="inner"/>
          <c:xMode val="edge"/>
          <c:yMode val="edge"/>
          <c:x val="0.0936904761904762"/>
          <c:y val="0.187922826359308"/>
          <c:w val="0.873571428571429"/>
          <c:h val="0.573640691556001"/>
        </c:manualLayout>
      </c:layout>
      <c:barChart>
        <c:barDir val="col"/>
        <c:grouping val="clustered"/>
        <c:varyColors val="0"/>
        <c:ser>
          <c:idx val="0"/>
          <c:order val="0"/>
          <c:tx>
            <c:strRef>
              <c:f>'[新建 XLS 工作表.xls]Sheet1'!$A$7</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工作表.xls]Sheet1'!$B$6:$C$6</c:f>
              <c:strCache>
                <c:ptCount val="2"/>
                <c:pt idx="0">
                  <c:v>收入</c:v>
                </c:pt>
                <c:pt idx="1">
                  <c:v>支出</c:v>
                </c:pt>
              </c:strCache>
            </c:strRef>
          </c:cat>
          <c:val>
            <c:numRef>
              <c:f>'[新建 XLS 工作表.xls]Sheet1'!$B$7:$C$7</c:f>
              <c:numCache>
                <c:formatCode>General</c:formatCode>
                <c:ptCount val="2"/>
                <c:pt idx="0">
                  <c:v>0</c:v>
                </c:pt>
                <c:pt idx="1">
                  <c:v>0</c:v>
                </c:pt>
              </c:numCache>
            </c:numRef>
          </c:val>
        </c:ser>
        <c:ser>
          <c:idx val="1"/>
          <c:order val="1"/>
          <c:tx>
            <c:strRef>
              <c:f>'[新建 XLS 工作表.xls]Sheet1'!$A$8</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工作表.xls]Sheet1'!$B$6:$C$6</c:f>
              <c:strCache>
                <c:ptCount val="2"/>
                <c:pt idx="0">
                  <c:v>收入</c:v>
                </c:pt>
                <c:pt idx="1">
                  <c:v>支出</c:v>
                </c:pt>
              </c:strCache>
            </c:strRef>
          </c:cat>
          <c:val>
            <c:numRef>
              <c:f>'[新建 XLS 工作表.xls]Sheet1'!$B$8:$C$8</c:f>
              <c:numCache>
                <c:formatCode>0.00_ </c:formatCode>
                <c:ptCount val="2"/>
                <c:pt idx="0">
                  <c:v>1684.8</c:v>
                </c:pt>
                <c:pt idx="1" c:formatCode="General">
                  <c:v>1681.55</c:v>
                </c:pt>
              </c:numCache>
            </c:numRef>
          </c:val>
        </c:ser>
        <c:dLbls>
          <c:showLegendKey val="0"/>
          <c:showVal val="1"/>
          <c:showCatName val="0"/>
          <c:showSerName val="0"/>
          <c:showPercent val="0"/>
          <c:showBubbleSize val="0"/>
        </c:dLbls>
        <c:gapWidth val="219"/>
        <c:overlap val="-27"/>
        <c:axId val="666245251"/>
        <c:axId val="283053621"/>
      </c:barChart>
      <c:catAx>
        <c:axId val="666245251"/>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053621"/>
        <c:crosses val="autoZero"/>
        <c:auto val="1"/>
        <c:lblAlgn val="ctr"/>
        <c:lblOffset val="100"/>
        <c:noMultiLvlLbl val="0"/>
      </c:catAx>
      <c:valAx>
        <c:axId val="28305362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2452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manualLayout>
          <c:layoutTarget val="inner"/>
          <c:xMode val="edge"/>
          <c:yMode val="edge"/>
          <c:x val="0.00416666666666667"/>
          <c:y val="0.197922568460812"/>
          <c:w val="0.681388888888889"/>
          <c:h val="0.796411709159584"/>
        </c:manualLayout>
      </c:layout>
      <c:pieChart>
        <c:varyColors val="1"/>
        <c:ser>
          <c:idx val="0"/>
          <c:order val="0"/>
          <c:spPr>
            <a:scene3d>
              <a:camera prst="orthographicFront"/>
              <a:lightRig rig="threePt" dir="t"/>
            </a:scene3d>
            <a:sp3d contourW="9525"/>
          </c:spPr>
          <c:explosion val="0"/>
          <c:dPt>
            <c:idx val="0"/>
            <c:bubble3D val="0"/>
            <c:explosion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contourW="9525"/>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财政拨款收入, 84%</a:t>
                    </a:r>
                  </a:p>
                </c:rich>
              </c:tx>
              <c:dLblPos val="ctr"/>
              <c:showLegendKey val="0"/>
              <c:showVal val="1"/>
              <c:showCatName val="1"/>
              <c:showSerName val="0"/>
              <c:showPercent val="1"/>
              <c:showBubbleSize val="0"/>
              <c:extLst>
                <c:ext xmlns:c15="http://schemas.microsoft.com/office/drawing/2012/chart" uri="{CE6537A1-D6FC-4f65-9D91-7224C49458BB}"/>
              </c:extLst>
            </c:dLbl>
            <c:dLbl>
              <c:idx val="1"/>
              <c:layout>
                <c:manualLayout>
                  <c:x val="0"/>
                  <c:y val="-0.134550428986024"/>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上级补助收入, 0%</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事业收入, 16%</a:t>
                    </a:r>
                  </a:p>
                </c:rich>
              </c:tx>
              <c:dLblPos val="ctr"/>
              <c:showLegendKey val="0"/>
              <c:showVal val="1"/>
              <c:showCatName val="1"/>
              <c:showSerName val="0"/>
              <c:showPercent val="1"/>
              <c:showBubbleSize val="0"/>
              <c:extLst>
                <c:ext xmlns:c15="http://schemas.microsoft.com/office/drawing/2012/chart" uri="{CE6537A1-D6FC-4f65-9D91-7224C49458BB}"/>
              </c:extLst>
            </c:dLbl>
            <c:dLbl>
              <c:idx val="3"/>
              <c:layout>
                <c:manualLayout>
                  <c:x val="0.356248877937418"/>
                  <c:y val="-0.0101572167447899"/>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经营收入, 0%</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16458213394198"/>
                  <c:y val="-0.0242891611892284"/>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附属单位上缴收入,  0%</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037501122062582"/>
                  <c:y val="-0.0414072167447899"/>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其他收入, 0%</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18875"/>
                      <c:h val="0.125462962962963"/>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[工作簿1]Sheet1!$B$18:$G$18</c:f>
              <c:strCache>
                <c:ptCount val="6"/>
                <c:pt idx="0">
                  <c:v>财政拨款收入</c:v>
                </c:pt>
                <c:pt idx="1">
                  <c:v>上级补助收入</c:v>
                </c:pt>
                <c:pt idx="2">
                  <c:v>事业收入</c:v>
                </c:pt>
                <c:pt idx="3">
                  <c:v>经营收入</c:v>
                </c:pt>
                <c:pt idx="4">
                  <c:v>附属单位上缴收入</c:v>
                </c:pt>
                <c:pt idx="5">
                  <c:v>其他收入</c:v>
                </c:pt>
              </c:strCache>
            </c:strRef>
          </c:cat>
          <c:val>
            <c:numRef>
              <c:f>[工作簿1]Sheet1!$B$19:$G$19</c:f>
              <c:numCache>
                <c:formatCode>0%</c:formatCode>
                <c:ptCount val="6"/>
                <c:pt idx="0">
                  <c:v>0.839103519091174</c:v>
                </c:pt>
                <c:pt idx="1">
                  <c:v>0</c:v>
                </c:pt>
                <c:pt idx="2">
                  <c:v>0.160896480908827</c:v>
                </c:pt>
                <c:pt idx="3" c:formatCode="General">
                  <c:v>0</c:v>
                </c:pt>
                <c:pt idx="4" c:formatCode="General">
                  <c:v>0</c:v>
                </c:pt>
                <c:pt idx="5"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manualLayout>
          <c:layoutTarget val="inner"/>
          <c:xMode val="edge"/>
          <c:yMode val="edge"/>
          <c:x val="0.0284722222222222"/>
          <c:y val="0.277506963788301"/>
          <c:w val="0.656388888888889"/>
          <c:h val="0.714484679665738"/>
        </c:manualLayout>
      </c:layout>
      <c:pieChart>
        <c:varyColors val="1"/>
        <c:ser>
          <c:idx val="0"/>
          <c:order val="0"/>
          <c:spPr>
            <a:scene3d>
              <a:camera prst="orthographicFront"/>
              <a:lightRig rig="threePt" dir="t"/>
            </a:scene3d>
            <a:sp3d contourW="9525"/>
          </c:spPr>
          <c:explosion val="0"/>
          <c:dPt>
            <c:idx val="0"/>
            <c:bubble3D val="0"/>
            <c:explosion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1"/>
            <c:bubble3D val="0"/>
            <c:explosion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ontourW="9525"/>
            </c:spPr>
          </c:dPt>
          <c:dLbls>
            <c:dLbl>
              <c:idx val="2"/>
              <c:layout>
                <c:manualLayout>
                  <c:x val="-0.210417855211977"/>
                  <c:y val="0.0008977321326212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166656826356"/>
                  <c:y val="0.052981065465954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416547812135649"/>
                  <c:y val="-0.028963378979199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[工作簿1]Sheet1!$C$34:$G$34</c:f>
              <c:strCache>
                <c:ptCount val="5"/>
                <c:pt idx="0">
                  <c:v>基本支出</c:v>
                </c:pt>
                <c:pt idx="1">
                  <c:v>项目支出</c:v>
                </c:pt>
                <c:pt idx="2">
                  <c:v>上缴上级支出</c:v>
                </c:pt>
                <c:pt idx="3">
                  <c:v>经营支出</c:v>
                </c:pt>
                <c:pt idx="4">
                  <c:v>对附属单位补助支出</c:v>
                </c:pt>
              </c:strCache>
            </c:strRef>
          </c:cat>
          <c:val>
            <c:numRef>
              <c:f>[工作簿1]Sheet1!$C$35:$G$35</c:f>
              <c:numCache>
                <c:formatCode>General</c:formatCode>
                <c:ptCount val="5"/>
                <c:pt idx="0">
                  <c:v>746.17</c:v>
                </c:pt>
                <c:pt idx="1">
                  <c:v>935.38</c:v>
                </c:pt>
                <c:pt idx="2">
                  <c:v>0</c:v>
                </c:pt>
                <c:pt idx="3">
                  <c:v>0</c:v>
                </c:pt>
                <c:pt idx="4">
                  <c:v>0</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 </a:t>
            </a:r>
            <a:r>
              <a:rPr altLang="zh-CN"/>
              <a:t>单位：万元</a:t>
            </a:r>
            <a:endParaRPr altLang="zh-CN"/>
          </a:p>
        </c:rich>
      </c:tx>
      <c:layout>
        <c:manualLayout>
          <c:xMode val="edge"/>
          <c:yMode val="edge"/>
          <c:x val="0.210069444444444"/>
          <c:y val="0.0486111111111111"/>
        </c:manualLayout>
      </c:layout>
      <c:overlay val="0"/>
      <c:spPr>
        <a:noFill/>
        <a:ln>
          <a:noFill/>
        </a:ln>
        <a:effectLst/>
      </c:spPr>
    </c:title>
    <c:autoTitleDeleted val="0"/>
    <c:plotArea>
      <c:layout/>
      <c:barChart>
        <c:barDir val="col"/>
        <c:grouping val="clustered"/>
        <c:varyColors val="0"/>
        <c:ser>
          <c:idx val="0"/>
          <c:order val="0"/>
          <c:tx>
            <c:strRef>
              <c:f>[工作簿1]Sheet1!$C$6</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[工作簿1]Sheet1!$D$5:$E$5</c:f>
              <c:strCache>
                <c:ptCount val="2"/>
                <c:pt idx="0">
                  <c:v>收入</c:v>
                </c:pt>
                <c:pt idx="1">
                  <c:v>支出</c:v>
                </c:pt>
              </c:strCache>
            </c:strRef>
          </c:cat>
          <c:val>
            <c:numRef>
              <c:f>[工作簿1]Sheet1!$D$6:$E$6</c:f>
              <c:numCache>
                <c:formatCode>General</c:formatCode>
                <c:ptCount val="2"/>
                <c:pt idx="0">
                  <c:v>0</c:v>
                </c:pt>
                <c:pt idx="1">
                  <c:v>0</c:v>
                </c:pt>
              </c:numCache>
            </c:numRef>
          </c:val>
        </c:ser>
        <c:ser>
          <c:idx val="1"/>
          <c:order val="1"/>
          <c:tx>
            <c:strRef>
              <c:f>[工作簿1]Sheet1!$C$7</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[工作簿1]Sheet1!$D$5:$E$5</c:f>
              <c:strCache>
                <c:ptCount val="2"/>
                <c:pt idx="0">
                  <c:v>收入</c:v>
                </c:pt>
                <c:pt idx="1">
                  <c:v>支出</c:v>
                </c:pt>
              </c:strCache>
            </c:strRef>
          </c:cat>
          <c:val>
            <c:numRef>
              <c:f>[工作簿1]Sheet1!$D$7:$E$7</c:f>
              <c:numCache>
                <c:formatCode>#,##0.00</c:formatCode>
                <c:ptCount val="2"/>
                <c:pt idx="0">
                  <c:v>1413.73</c:v>
                </c:pt>
                <c:pt idx="1">
                  <c:v>1413.73</c:v>
                </c:pt>
              </c:numCache>
            </c:numRef>
          </c:val>
        </c:ser>
        <c:dLbls>
          <c:showLegendKey val="0"/>
          <c:showVal val="1"/>
          <c:showCatName val="0"/>
          <c:showSerName val="0"/>
          <c:showPercent val="0"/>
          <c:showBubbleSize val="0"/>
        </c:dLbls>
        <c:gapWidth val="219"/>
        <c:overlap val="-27"/>
        <c:axId val="261157284"/>
        <c:axId val="168756939"/>
      </c:barChart>
      <c:catAx>
        <c:axId val="2611572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756939"/>
        <c:crosses val="autoZero"/>
        <c:auto val="1"/>
        <c:lblAlgn val="ctr"/>
        <c:lblOffset val="100"/>
        <c:noMultiLvlLbl val="0"/>
      </c:catAx>
      <c:valAx>
        <c:axId val="16875693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1572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      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[工作簿1]Sheet1!$D$46:$E$46</c:f>
              <c:strCache>
                <c:ptCount val="2"/>
                <c:pt idx="0">
                  <c:v>2019年</c:v>
                </c:pt>
                <c:pt idx="1">
                  <c:v>2020年</c:v>
                </c:pt>
              </c:strCache>
            </c:strRef>
          </c:cat>
          <c:val>
            <c:numRef>
              <c:f>[工作簿1]Sheet1!$D$47:$E$47</c:f>
              <c:numCache>
                <c:formatCode>General</c:formatCode>
                <c:ptCount val="2"/>
                <c:pt idx="0">
                  <c:v>0</c:v>
                </c:pt>
                <c:pt idx="1">
                  <c:v>1413.73</c:v>
                </c:pt>
              </c:numCache>
            </c:numRef>
          </c:val>
        </c:ser>
        <c:dLbls>
          <c:showLegendKey val="0"/>
          <c:showVal val="1"/>
          <c:showCatName val="0"/>
          <c:showSerName val="0"/>
          <c:showPercent val="0"/>
          <c:showBubbleSize val="0"/>
        </c:dLbls>
        <c:gapWidth val="219"/>
        <c:overlap val="-27"/>
        <c:axId val="278171737"/>
        <c:axId val="736049050"/>
      </c:barChart>
      <c:catAx>
        <c:axId val="278171737"/>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049050"/>
        <c:crosses val="autoZero"/>
        <c:auto val="1"/>
        <c:lblAlgn val="ctr"/>
        <c:lblOffset val="100"/>
        <c:noMultiLvlLbl val="0"/>
      </c:catAx>
      <c:valAx>
        <c:axId val="73604905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1717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manualLayout>
          <c:layoutTarget val="inner"/>
          <c:xMode val="edge"/>
          <c:yMode val="edge"/>
          <c:x val="0.0149046104928458"/>
          <c:y val="0.16303317535545"/>
          <c:w val="0.956279809220986"/>
          <c:h val="0.729857819905213"/>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Lbls>
            <c:dLbl>
              <c:idx val="0"/>
              <c:layout>
                <c:manualLayout>
                  <c:x val="-0.125620548652271"/>
                  <c:y val="0.10833120455769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915381381011024"/>
                  <c:y val="-0.17885582164773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243188108090255"/>
                  <c:y val="-0.033074390265106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58898134643239"/>
                  <c:y val="-0.13281108462041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2311367523004"/>
                  <c:y val="-0.17387330331491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134407475916443"/>
                  <c:y val="-0.04718246312606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accent2">
                          <a:lumMod val="75000"/>
                        </a:schemeClr>
                      </a:solidFill>
                      <a:prstDash val="solid"/>
                      <a:round/>
                    </a:ln>
                    <a:effectLst/>
                  </c:spPr>
                </c15:leaderLines>
              </c:ext>
            </c:extLst>
          </c:dLbls>
          <c:cat>
            <c:strRef>
              <c:f>[工作簿1]Sheet1!$B$62:$B$68</c:f>
              <c:strCache>
                <c:ptCount val="7"/>
                <c:pt idx="0">
                  <c:v>一般公共服务支出</c:v>
                </c:pt>
                <c:pt idx="1">
                  <c:v>文化旅游体育与传媒支出</c:v>
                </c:pt>
                <c:pt idx="2">
                  <c:v>社会保障和就业支出</c:v>
                </c:pt>
                <c:pt idx="3">
                  <c:v>卫生健康支出</c:v>
                </c:pt>
                <c:pt idx="4">
                  <c:v>节能环保支出</c:v>
                </c:pt>
                <c:pt idx="5">
                  <c:v>农林水支出</c:v>
                </c:pt>
                <c:pt idx="6">
                  <c:v>住房保障支出</c:v>
                </c:pt>
              </c:strCache>
            </c:strRef>
          </c:cat>
          <c:val>
            <c:numRef>
              <c:f>[工作簿1]Sheet1!$C$62:$C$68</c:f>
              <c:numCache>
                <c:formatCode>0.00%</c:formatCode>
                <c:ptCount val="7"/>
                <c:pt idx="0">
                  <c:v>0.163473032714412</c:v>
                </c:pt>
                <c:pt idx="1">
                  <c:v>0.0106100795755968</c:v>
                </c:pt>
                <c:pt idx="2">
                  <c:v>0.0507656940760389</c:v>
                </c:pt>
                <c:pt idx="3">
                  <c:v>0.232877099911583</c:v>
                </c:pt>
                <c:pt idx="4">
                  <c:v>6.36604774535809e-5</c:v>
                </c:pt>
                <c:pt idx="5">
                  <c:v>0.52231299734748</c:v>
                </c:pt>
                <c:pt idx="6">
                  <c:v>0.0198974358974359</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manualLayout>
          <c:xMode val="edge"/>
          <c:yMode val="edge"/>
          <c:x val="0.0479973736047275"/>
          <c:y val="0.82406595334151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lumMod val="60000"/>
                  <a:lumOff val="4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[工作簿1]Sheet1!$A$57:$A$59</c:f>
              <c:strCache>
                <c:ptCount val="3"/>
                <c:pt idx="0">
                  <c:v>因公出国（境）费</c:v>
                </c:pt>
                <c:pt idx="1">
                  <c:v>公务用车购置及运行维护费</c:v>
                </c:pt>
                <c:pt idx="2">
                  <c:v>公务接待费</c:v>
                </c:pt>
              </c:strCache>
            </c:strRef>
          </c:cat>
          <c:val>
            <c:numRef>
              <c:f>[工作簿1]Sheet1!$B$57:$B$59</c:f>
              <c:numCache>
                <c:formatCode>0%</c:formatCode>
                <c:ptCount val="3"/>
                <c:pt idx="0">
                  <c:v>0</c:v>
                </c:pt>
                <c:pt idx="1">
                  <c:v>0</c:v>
                </c:pt>
                <c:pt idx="2">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2021-09-28T01:34:00Z</dcterms:created>
  <dcterms:modified xsi:type="dcterms:W3CDTF">2021-10-20T07:57:01Z</dcterms:modified>
</cp:coreProperties>
</file>

<file path=customXml/item3.xml><?xml version="1.0" encoding="utf-8"?>
<Properties xmlns:vt="http://schemas.openxmlformats.org/officeDocument/2006/docPropsVTypes" xmlns="http://schemas.openxmlformats.org/officeDocument/2006/extended-properties">
  <Template>Normal.dotm</Template>
  <TotalTime>17</TotalTime>
  <Pages>1</Pages>
  <Words>0</Words>
  <Characters>0</Characters>
  <Application>WPS Office_11.1.0.10356_F1E327BC-269C-435d-A152-05C5408002CA</Application>
  <DocSecurity>0</DocSecurity>
  <Lines>0</Lines>
  <Paragraphs>0</Paragraphs>
  <CharactersWithSpaces>0</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F454184F99CC425CAFC50FADD464085C</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2021-09-28T01:34:00Z</dcterms:created>
  <dc:creator>Administrator</dc:creator>
  <cp:lastModifiedBy>Administrator</cp:lastModifiedBy>
  <dcterms:modified xsi:type="dcterms:W3CDTF">2021-10-20T07:57:01Z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Office_11.1.0.10356_F1E327BC-269C-435d-A152-05C5408002CA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F454184F99CC425CAFC50FADD464085C</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5037e-79b2-474b-83e5-bfd6c5217639}">
  <ds:schemaRefs/>
</ds:datastoreItem>
</file>

<file path=customXml/itemProps3.xml><?xml version="1.0" encoding="utf-8"?>
<ds:datastoreItem xmlns:ds="http://schemas.openxmlformats.org/officeDocument/2006/customXml" ds:itemID="{cd32e434-97f0-4f3d-afbd-d464115b3100}">
  <ds:schemaRefs/>
</ds:datastoreItem>
</file>

<file path=customXml/itemProps4.xml><?xml version="1.0" encoding="utf-8"?>
<ds:datastoreItem xmlns:ds="http://schemas.openxmlformats.org/officeDocument/2006/customXml" ds:itemID="{1944ab54-dcf0-432e-b552-939aaef535e6}">
  <ds:schemaRefs/>
</ds:datastoreItem>
</file>

<file path=customXml/itemProps5.xml><?xml version="1.0" encoding="utf-8"?>
<ds:datastoreItem xmlns:ds="http://schemas.openxmlformats.org/officeDocument/2006/customXml" ds:itemID="{81655f42-9d40-4d50-9156-e70057744695}">
  <ds:schemaRefs/>
</ds:datastoreItem>
</file>

<file path=customXml/itemProps6.xml><?xml version="1.0" encoding="utf-8"?>
<ds:datastoreItem xmlns:ds="http://schemas.openxmlformats.org/officeDocument/2006/customXml" ds:itemID="{f5c8ac44-b3bf-4a7d-999f-7ab65b984e14}">
  <ds:schemaRefs/>
</ds:datastoreItem>
</file>

<file path=customXml/itemProps7.xml><?xml version="1.0" encoding="utf-8"?>
<ds:datastoreItem xmlns:ds="http://schemas.openxmlformats.org/officeDocument/2006/customXml" ds:itemID="{a56f20ab-a9dd-47c7-ac73-aaf961577e4e}">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2021-09-28T01:34:00Z</dcterms:created>
  <dc:creator>Administrator</dc:creator>
  <cp:lastModifiedBy>白开水</cp:lastModifiedBy>
  <dcterms:modified xsi:type="dcterms:W3CDTF">2022-03-16T06:00:21Z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7A4F9D7CDEEB468585440F2B8FD5A2C2</vt:lpwstr>
  </property>
</Properties>
</file>