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黑体" w:hAnsi="黑体" w:eastAsia="黑体" w:cs="方正小标宋简体"/>
          <w:bCs/>
          <w:sz w:val="44"/>
          <w:szCs w:val="44"/>
        </w:rPr>
      </w:pPr>
    </w:p>
    <w:p>
      <w:pPr>
        <w:spacing w:line="560" w:lineRule="exact"/>
        <w:jc w:val="center"/>
        <w:rPr>
          <w:rFonts w:ascii="黑体" w:hAnsi="黑体" w:eastAsia="黑体" w:cs="方正小标宋简体"/>
          <w:bCs/>
          <w:sz w:val="44"/>
          <w:szCs w:val="44"/>
        </w:rPr>
      </w:pPr>
      <w:bookmarkStart w:id="1" w:name="_GoBack"/>
      <w:bookmarkEnd w:id="1"/>
      <w:r>
        <w:rPr>
          <w:rFonts w:hint="eastAsia" w:ascii="黑体" w:hAnsi="黑体" w:eastAsia="黑体" w:cs="方正小标宋简体"/>
          <w:bCs/>
          <w:sz w:val="44"/>
          <w:szCs w:val="44"/>
        </w:rPr>
        <w:t>通江县新场镇中心小学</w:t>
      </w:r>
    </w:p>
    <w:p>
      <w:pPr>
        <w:spacing w:line="560" w:lineRule="exact"/>
        <w:jc w:val="center"/>
        <w:rPr>
          <w:rFonts w:ascii="黑体" w:hAnsi="黑体" w:eastAsia="黑体" w:cs="方正小标宋_GBK"/>
          <w:bCs/>
          <w:sz w:val="44"/>
          <w:szCs w:val="44"/>
        </w:rPr>
      </w:pPr>
      <w:r>
        <w:rPr>
          <w:rFonts w:hint="eastAsia" w:ascii="黑体" w:hAnsi="黑体" w:eastAsia="黑体" w:cs="方正小标宋简体"/>
          <w:bCs/>
          <w:sz w:val="44"/>
          <w:szCs w:val="44"/>
        </w:rPr>
        <w:t>2022年</w:t>
      </w:r>
      <w:r>
        <w:rPr>
          <w:rFonts w:hint="eastAsia" w:ascii="黑体" w:hAnsi="黑体" w:eastAsia="黑体" w:cs="方正小标宋简体"/>
          <w:bCs/>
          <w:sz w:val="44"/>
          <w:szCs w:val="44"/>
          <w:lang w:eastAsia="zh-CN"/>
        </w:rPr>
        <w:t>单位</w:t>
      </w:r>
      <w:r>
        <w:rPr>
          <w:rFonts w:hint="eastAsia" w:ascii="黑体" w:hAnsi="黑体" w:eastAsia="黑体" w:cs="方正小标宋简体"/>
          <w:bCs/>
          <w:sz w:val="44"/>
          <w:szCs w:val="44"/>
        </w:rPr>
        <w:t>预算编制说明</w:t>
      </w:r>
    </w:p>
    <w:p>
      <w:pPr>
        <w:adjustRightInd w:val="0"/>
        <w:snapToGrid w:val="0"/>
        <w:spacing w:before="93" w:beforeLines="30" w:line="560" w:lineRule="exact"/>
        <w:rPr>
          <w:rFonts w:ascii="Times New Roman" w:hAnsi="Times New Roman" w:eastAsia="方正仿宋_GBK" w:cs="Times New Roman"/>
          <w:b/>
          <w:sz w:val="44"/>
          <w:szCs w:val="44"/>
        </w:rPr>
      </w:pPr>
      <w:r>
        <w:rPr>
          <w:rFonts w:ascii="Times New Roman" w:hAnsi="Times New Roman" w:eastAsia="方正仿宋_GBK" w:cs="Times New Roman"/>
          <w:b/>
          <w:sz w:val="44"/>
          <w:szCs w:val="44"/>
        </w:rPr>
        <w:t xml:space="preserve">     </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一、基本职能及主要工作</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（一）通江县新场镇中心小学职能简介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参照三定方案描述；</w:t>
      </w:r>
    </w:p>
    <w:p>
      <w:pPr>
        <w:spacing w:line="560" w:lineRule="exact"/>
        <w:ind w:left="63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（二）通江县新场镇中心小学2022年重点工作</w:t>
      </w:r>
    </w:p>
    <w:p>
      <w:pPr>
        <w:spacing w:line="560" w:lineRule="exact"/>
        <w:ind w:firstLine="964" w:firstLineChars="3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1.保障学校教育教学有序运转</w:t>
      </w:r>
    </w:p>
    <w:p>
      <w:pPr>
        <w:spacing w:line="560" w:lineRule="exact"/>
        <w:ind w:firstLine="964" w:firstLineChars="3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2.保障全校教职工工资福利</w:t>
      </w:r>
    </w:p>
    <w:p>
      <w:pPr>
        <w:spacing w:line="560" w:lineRule="exact"/>
        <w:ind w:firstLine="964" w:firstLineChars="3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3.保障退休教师医保，遗属人员生活补助</w:t>
      </w:r>
    </w:p>
    <w:p>
      <w:pPr>
        <w:numPr>
          <w:ilvl w:val="0"/>
          <w:numId w:val="1"/>
        </w:numPr>
        <w:spacing w:line="560" w:lineRule="exact"/>
        <w:ind w:firstLine="640"/>
        <w:rPr>
          <w:rFonts w:ascii="黑体" w:hAnsi="黑体" w:eastAsia="黑体" w:cs="黑体"/>
          <w:sz w:val="32"/>
          <w:szCs w:val="32"/>
        </w:rPr>
      </w:pPr>
      <w:r>
        <w:rPr>
          <w:rFonts w:hint="eastAsia" w:ascii="黑体" w:hAnsi="黑体" w:eastAsia="黑体" w:cs="黑体"/>
          <w:sz w:val="32"/>
          <w:szCs w:val="32"/>
        </w:rPr>
        <w:t>单位概况</w:t>
      </w:r>
    </w:p>
    <w:p>
      <w:pPr>
        <w:spacing w:line="560" w:lineRule="exact"/>
        <w:ind w:firstLine="640" w:firstLineChars="200"/>
        <w:rPr>
          <w:rFonts w:ascii="黑体" w:hAnsi="黑体" w:eastAsia="仿宋_GB2312" w:cs="黑体"/>
          <w:sz w:val="32"/>
          <w:szCs w:val="32"/>
        </w:rPr>
      </w:pPr>
      <w:r>
        <w:rPr>
          <w:rFonts w:hint="eastAsia" w:ascii="仿宋_GB2312" w:hAnsi="仿宋_GB2312" w:eastAsia="仿宋_GB2312" w:cs="仿宋_GB2312"/>
          <w:sz w:val="32"/>
          <w:szCs w:val="32"/>
        </w:rPr>
        <w:t>2022年财政预算财政供给人员65人，在编教师人员59名其中工勤人员2名，特岗6名，退休教师39名，遗属人员17名。</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三、收支预算情况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江县新场镇中心小学按照综合预算原则，将全部收入和支出纳入预算管理。收入包括：一般公共预算拨款收入8,256,905.02元。支出包括：一般公共服务支出8,256,905.02元、人员类7,616,407.18元，公用经费640,497.84元。2022年收支预算总数为825.69万元，比2021年收支预算总数减少</w:t>
      </w:r>
      <w:bookmarkStart w:id="0" w:name="_Hlk106201855"/>
      <w:r>
        <w:rPr>
          <w:rFonts w:hint="eastAsia" w:ascii="仿宋_GB2312" w:hAnsi="仿宋_GB2312" w:eastAsia="仿宋_GB2312" w:cs="仿宋_GB2312"/>
          <w:sz w:val="32"/>
          <w:szCs w:val="32"/>
        </w:rPr>
        <w:t>168.78</w:t>
      </w:r>
      <w:bookmarkEnd w:id="0"/>
      <w:r>
        <w:rPr>
          <w:rFonts w:hint="eastAsia" w:ascii="仿宋_GB2312" w:hAnsi="仿宋_GB2312" w:eastAsia="仿宋_GB2312" w:cs="仿宋_GB2312"/>
          <w:sz w:val="32"/>
          <w:szCs w:val="32"/>
        </w:rPr>
        <w:t>万元，主要原因是学校基建项目减少、学生人数减少。</w:t>
      </w:r>
    </w:p>
    <w:p>
      <w:pPr>
        <w:numPr>
          <w:ilvl w:val="0"/>
          <w:numId w:val="2"/>
        </w:numPr>
        <w:spacing w:line="56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收入预算情况。</w:t>
      </w:r>
      <w:r>
        <w:rPr>
          <w:rFonts w:hint="eastAsia" w:ascii="仿宋_GB2312" w:hAnsi="仿宋_GB2312" w:eastAsia="仿宋_GB2312" w:cs="仿宋_GB2312"/>
          <w:sz w:val="32"/>
          <w:szCs w:val="32"/>
        </w:rPr>
        <w:t>收入预算总额825.69万元，一般公共预算拨款收入825.69万元，占总收入100%</w:t>
      </w:r>
    </w:p>
    <w:p>
      <w:pPr>
        <w:numPr>
          <w:ilvl w:val="0"/>
          <w:numId w:val="2"/>
        </w:numPr>
        <w:spacing w:line="560" w:lineRule="exact"/>
        <w:ind w:firstLine="643" w:firstLineChars="200"/>
        <w:rPr>
          <w:rFonts w:ascii="仿宋_GB2312" w:hAnsi="仿宋_GB2312" w:eastAsia="仿宋_GB2312" w:cs="仿宋_GB2312"/>
          <w:sz w:val="32"/>
          <w:szCs w:val="32"/>
        </w:rPr>
      </w:pPr>
      <w:r>
        <w:rPr>
          <w:rFonts w:hint="eastAsia" w:ascii="楷体" w:hAnsi="楷体" w:eastAsia="楷体" w:cs="楷体"/>
          <w:b/>
          <w:bCs/>
          <w:sz w:val="32"/>
          <w:szCs w:val="32"/>
        </w:rPr>
        <w:t>（二）</w:t>
      </w:r>
      <w:r>
        <w:rPr>
          <w:rFonts w:hint="eastAsia" w:ascii="楷体_GB2312" w:hAnsi="楷体_GB2312" w:eastAsia="楷体_GB2312" w:cs="楷体_GB2312"/>
          <w:b/>
          <w:bCs/>
          <w:sz w:val="32"/>
          <w:szCs w:val="32"/>
        </w:rPr>
        <w:t>支出预算情况。</w:t>
      </w:r>
      <w:r>
        <w:rPr>
          <w:rFonts w:hint="eastAsia" w:ascii="仿宋_GB2312" w:hAnsi="仿宋_GB2312" w:eastAsia="仿宋_GB2312" w:cs="仿宋_GB2312"/>
          <w:sz w:val="32"/>
          <w:szCs w:val="32"/>
        </w:rPr>
        <w:t>支出预算总额825.69万元，其中：基本支出825.69万元，占总支出100%，项目支出0万元，占总支出0%。</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四、财政拨款收支预算情况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2022年财政拨款收支总预算825.69万元，比2021年财政拨款收支总预算减少168.78万元，主要原因是学校基建项目减少、学生人数减少。</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收入：一般公共预算拨款收入825.69万元，支出：一般公共服务支出825.69万元。</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五、一般公共预算支出情况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2022年一般公共预算财政拨款825.69万元，比2021年增减少168.78万元，主要原因是学校基建项目减少、学生人数减少。</w:t>
      </w:r>
    </w:p>
    <w:p>
      <w:pPr>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（一）基本支出825.69万元，其中：</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1.人员经费761.64万元，</w:t>
      </w:r>
      <w:r>
        <w:rPr>
          <w:rFonts w:hint="eastAsia" w:ascii="仿宋_GB2312" w:hAnsi="仿宋_GB2312" w:eastAsia="仿宋_GB2312" w:cs="仿宋_GB2312"/>
          <w:sz w:val="32"/>
          <w:szCs w:val="32"/>
        </w:rPr>
        <w:t>主要包括：基本工资、绩效工资、津贴补贴、机关事业单位养老保险、职工基本医疗保险缴费、奖金、住房公积金、医疗费补助、抚恤费、生活补助等支出。</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2.公用经费64.64万元，</w:t>
      </w:r>
      <w:r>
        <w:rPr>
          <w:rFonts w:hint="eastAsia" w:ascii="仿宋_GB2312" w:hAnsi="仿宋_GB2312" w:eastAsia="仿宋_GB2312" w:cs="仿宋_GB2312"/>
          <w:sz w:val="32"/>
          <w:szCs w:val="32"/>
        </w:rPr>
        <w:t>主要包括：办公费、差旅费、邮电费、工会经费、公务用车运行维护费等支出。</w:t>
      </w:r>
    </w:p>
    <w:p>
      <w:pPr>
        <w:spacing w:line="560" w:lineRule="exact"/>
        <w:ind w:firstLine="643" w:firstLineChars="200"/>
        <w:rPr>
          <w:rFonts w:ascii="仿宋_GB2312" w:hAnsi="仿宋_GB2312" w:eastAsia="仿宋_GB2312" w:cs="仿宋_GB2312"/>
          <w:sz w:val="32"/>
          <w:szCs w:val="32"/>
        </w:rPr>
      </w:pPr>
      <w:r>
        <w:rPr>
          <w:rFonts w:hint="eastAsia" w:ascii="楷体" w:hAnsi="楷体" w:eastAsia="楷体" w:cs="楷体"/>
          <w:b/>
          <w:bCs/>
          <w:sz w:val="32"/>
          <w:szCs w:val="32"/>
        </w:rPr>
        <w:t>（二）项目支出0万元，其中：</w:t>
      </w:r>
      <w:r>
        <w:rPr>
          <w:rFonts w:hint="eastAsia" w:ascii="仿宋_GB2312" w:hAnsi="仿宋_GB2312" w:eastAsia="仿宋_GB2312" w:cs="仿宋_GB2312"/>
          <w:sz w:val="32"/>
          <w:szCs w:val="32"/>
        </w:rPr>
        <w:t>运转类项目支出0万元，主要用于党建、依法治县、驻村第一书记、培训、公务接待、机关物业管理及水电气、网络运行维护和资料印刷等支出；发展类项目支出0万元，主要用于专项设备购置、项目前期工作等支出。</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六、“三公”经费财政拨款预算安排情况</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2022年“三公”经费财政拨款预算总额0.6万元，跟2021年预算总额一样。</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七、政府性基金预算支出情况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2022年政府性基金预算支出无预算安排。</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八、国有资本经营预算支出情况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2022年国有资本经营预算支出无预算安排。</w:t>
      </w:r>
    </w:p>
    <w:p>
      <w:pPr>
        <w:numPr>
          <w:ilvl w:val="0"/>
          <w:numId w:val="3"/>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机关运行经费情况</w:t>
      </w:r>
    </w:p>
    <w:p>
      <w:pPr>
        <w:spacing w:line="560" w:lineRule="exact"/>
        <w:ind w:firstLine="640" w:firstLineChars="200"/>
        <w:rPr>
          <w:rFonts w:ascii="黑体" w:hAnsi="黑体" w:eastAsia="黑体" w:cs="黑体"/>
          <w:sz w:val="32"/>
          <w:szCs w:val="32"/>
        </w:rPr>
      </w:pPr>
      <w:r>
        <w:rPr>
          <w:rFonts w:hint="eastAsia" w:ascii="仿宋_GB2312" w:hAnsi="仿宋_GB2312" w:eastAsia="仿宋_GB2312" w:cs="仿宋_GB2312"/>
          <w:sz w:val="32"/>
          <w:szCs w:val="32"/>
        </w:rPr>
        <w:t>2022年度机关运行经费无预算安排。</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十、政府采购及政府购买公共服务情况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2022年单位无政府采购</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十一、国有资产占用情况说明</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截至</w:t>
      </w:r>
      <w:r>
        <w:rPr>
          <w:rFonts w:hint="eastAsia" w:ascii="仿宋_GB2312" w:hAnsi="仿宋_GB2312" w:eastAsia="仿宋_GB2312" w:cs="仿宋_GB2312"/>
          <w:sz w:val="32"/>
          <w:szCs w:val="32"/>
        </w:rPr>
        <w:t>2021年底，本部门所属各预算单位固定资产总额1226.41万元。</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十二、预算绩效目标情况说明</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按照全面实施预算绩效管理要求，本部门2022年预算编制了整体支出绩效目标和项目支出绩效目标。</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十三、名词解释</w:t>
      </w:r>
    </w:p>
    <w:p>
      <w:pPr>
        <w:widowControl/>
        <w:spacing w:line="560" w:lineRule="exact"/>
        <w:ind w:firstLine="643" w:firstLineChars="200"/>
        <w:jc w:val="left"/>
        <w:rPr>
          <w:rFonts w:ascii="仿宋_GB2312" w:hAnsi="仿宋_GB2312" w:eastAsia="仿宋_GB2312" w:cs="仿宋_GB2312"/>
          <w:sz w:val="32"/>
          <w:szCs w:val="32"/>
          <w:shd w:val="clear" w:color="auto" w:fill="FFFFFF"/>
        </w:rPr>
      </w:pPr>
      <w:r>
        <w:rPr>
          <w:rFonts w:hint="eastAsia" w:ascii="楷体_GB2312" w:hAnsi="楷体_GB2312" w:eastAsia="楷体_GB2312" w:cs="楷体_GB2312"/>
          <w:b/>
          <w:bCs/>
          <w:sz w:val="32"/>
          <w:szCs w:val="32"/>
          <w:shd w:val="clear" w:color="auto" w:fill="FFFFFF"/>
        </w:rPr>
        <w:t>（一）一般公共预算拨款收入</w:t>
      </w:r>
      <w:r>
        <w:rPr>
          <w:rFonts w:hint="eastAsia" w:ascii="仿宋_GB2312" w:hAnsi="仿宋_GB2312" w:eastAsia="仿宋_GB2312" w:cs="仿宋_GB2312"/>
          <w:b/>
          <w:bCs/>
          <w:sz w:val="32"/>
          <w:szCs w:val="32"/>
          <w:shd w:val="clear" w:color="auto" w:fill="FFFFFF"/>
        </w:rPr>
        <w:t>：</w:t>
      </w:r>
      <w:r>
        <w:rPr>
          <w:rFonts w:hint="eastAsia" w:ascii="仿宋_GB2312" w:hAnsi="仿宋_GB2312" w:eastAsia="仿宋_GB2312" w:cs="仿宋_GB2312"/>
          <w:sz w:val="32"/>
          <w:szCs w:val="32"/>
          <w:shd w:val="clear" w:color="auto" w:fill="FFFFFF"/>
        </w:rPr>
        <w:t>指财政一般公共预算当年安排拨付的资金。</w:t>
      </w:r>
      <w:r>
        <w:rPr>
          <w:rFonts w:hint="eastAsia" w:ascii="仿宋_GB2312" w:hAnsi="仿宋_GB2312" w:eastAsia="仿宋_GB2312" w:cs="仿宋_GB2312"/>
          <w:sz w:val="32"/>
          <w:szCs w:val="32"/>
          <w:shd w:val="clear" w:color="auto" w:fill="FFFFFF"/>
        </w:rPr>
        <w:br w:type="textWrapping"/>
      </w:r>
      <w:r>
        <w:rPr>
          <w:rFonts w:hint="eastAsia" w:ascii="仿宋_GB2312" w:hAnsi="仿宋_GB2312" w:eastAsia="仿宋_GB2312" w:cs="仿宋_GB2312"/>
          <w:sz w:val="32"/>
          <w:szCs w:val="32"/>
          <w:shd w:val="clear" w:color="auto" w:fill="FFFFFF"/>
        </w:rPr>
        <w:t xml:space="preserve">   </w:t>
      </w:r>
      <w:r>
        <w:rPr>
          <w:rFonts w:hint="eastAsia" w:ascii="楷体_GB2312" w:hAnsi="楷体_GB2312" w:eastAsia="楷体_GB2312" w:cs="楷体_GB2312"/>
          <w:b/>
          <w:bCs/>
          <w:sz w:val="32"/>
          <w:szCs w:val="32"/>
          <w:shd w:val="clear" w:color="auto" w:fill="FFFFFF"/>
        </w:rPr>
        <w:t xml:space="preserve"> （二）上年结转收入：</w:t>
      </w:r>
      <w:r>
        <w:rPr>
          <w:rFonts w:hint="eastAsia" w:ascii="仿宋_GB2312" w:hAnsi="仿宋_GB2312" w:eastAsia="仿宋_GB2312" w:cs="仿宋_GB2312"/>
          <w:sz w:val="32"/>
          <w:szCs w:val="32"/>
          <w:shd w:val="clear" w:color="auto" w:fill="FFFFFF"/>
        </w:rPr>
        <w:t>指以前年度尚未完成，结转到本年仍按原规定用途继续使用的资金。</w:t>
      </w:r>
    </w:p>
    <w:p>
      <w:pPr>
        <w:widowControl/>
        <w:spacing w:line="560" w:lineRule="exact"/>
        <w:ind w:firstLine="643" w:firstLineChars="200"/>
        <w:jc w:val="left"/>
        <w:rPr>
          <w:rFonts w:ascii="仿宋_GB2312" w:hAnsi="仿宋_GB2312" w:eastAsia="仿宋_GB2312" w:cs="仿宋_GB2312"/>
          <w:sz w:val="32"/>
          <w:szCs w:val="32"/>
          <w:shd w:val="clear" w:color="auto" w:fill="FFFFFF"/>
        </w:rPr>
      </w:pPr>
      <w:r>
        <w:rPr>
          <w:rFonts w:hint="eastAsia" w:ascii="楷体_GB2312" w:hAnsi="楷体_GB2312" w:eastAsia="楷体_GB2312" w:cs="楷体_GB2312"/>
          <w:b/>
          <w:bCs/>
          <w:sz w:val="32"/>
          <w:szCs w:val="32"/>
          <w:shd w:val="clear" w:color="auto" w:fill="FFFFFF"/>
        </w:rPr>
        <w:t>（三）事业收入：</w:t>
      </w:r>
      <w:r>
        <w:rPr>
          <w:rFonts w:hint="eastAsia" w:ascii="楷体_GB2312" w:hAnsi="楷体_GB2312" w:eastAsia="楷体_GB2312" w:cs="楷体_GB2312"/>
          <w:sz w:val="32"/>
          <w:szCs w:val="32"/>
          <w:shd w:val="clear" w:color="auto" w:fill="FFFFFF"/>
        </w:rPr>
        <w:t>指</w:t>
      </w:r>
      <w:r>
        <w:rPr>
          <w:rFonts w:hint="eastAsia" w:ascii="仿宋_GB2312" w:hAnsi="仿宋_GB2312" w:eastAsia="仿宋_GB2312" w:cs="仿宋_GB2312"/>
          <w:sz w:val="32"/>
          <w:szCs w:val="32"/>
          <w:shd w:val="clear" w:color="auto" w:fill="FFFFFF"/>
        </w:rPr>
        <w:t>事业单位开展专业业务活动及其辅助活动实现的收入，不包括从同级财政部门取得的各类财政拨款。</w:t>
      </w:r>
    </w:p>
    <w:p>
      <w:pPr>
        <w:widowControl/>
        <w:spacing w:line="560" w:lineRule="exact"/>
        <w:ind w:firstLine="643" w:firstLineChars="200"/>
        <w:jc w:val="left"/>
        <w:rPr>
          <w:rFonts w:ascii="仿宋_GB2312" w:hAnsi="仿宋_GB2312" w:eastAsia="仿宋_GB2312" w:cs="仿宋_GB2312"/>
          <w:sz w:val="32"/>
          <w:szCs w:val="32"/>
          <w:shd w:val="clear" w:color="auto" w:fill="FFFFFF"/>
        </w:rPr>
      </w:pPr>
      <w:r>
        <w:rPr>
          <w:rFonts w:hint="eastAsia" w:ascii="楷体_GB2312" w:hAnsi="楷体_GB2312" w:eastAsia="楷体_GB2312" w:cs="楷体_GB2312"/>
          <w:b/>
          <w:bCs/>
          <w:sz w:val="32"/>
          <w:szCs w:val="32"/>
          <w:shd w:val="clear" w:color="auto" w:fill="FFFFFF"/>
        </w:rPr>
        <w:t>（四）事业单位经营收入：</w:t>
      </w:r>
      <w:r>
        <w:rPr>
          <w:rFonts w:hint="eastAsia" w:ascii="楷体_GB2312" w:hAnsi="楷体_GB2312" w:eastAsia="楷体_GB2312" w:cs="楷体_GB2312"/>
          <w:sz w:val="32"/>
          <w:szCs w:val="32"/>
          <w:shd w:val="clear" w:color="auto" w:fill="FFFFFF"/>
        </w:rPr>
        <w:t>指</w:t>
      </w:r>
      <w:r>
        <w:rPr>
          <w:rFonts w:hint="eastAsia" w:ascii="仿宋_GB2312" w:hAnsi="仿宋_GB2312" w:eastAsia="仿宋_GB2312" w:cs="仿宋_GB2312"/>
          <w:sz w:val="32"/>
          <w:szCs w:val="32"/>
          <w:shd w:val="clear" w:color="auto" w:fill="FFFFFF"/>
        </w:rPr>
        <w:t>除事业单位在专业业务活动及其辅助活动之外开展非独立核算经营活动取得的收入。</w:t>
      </w:r>
    </w:p>
    <w:p>
      <w:pPr>
        <w:widowControl/>
        <w:spacing w:line="560" w:lineRule="exact"/>
        <w:ind w:firstLine="643" w:firstLineChars="200"/>
        <w:jc w:val="left"/>
        <w:rPr>
          <w:rFonts w:ascii="楷体_GB2312" w:hAnsi="楷体_GB2312" w:eastAsia="楷体_GB2312" w:cs="楷体_GB2312"/>
          <w:b/>
          <w:bCs/>
          <w:sz w:val="32"/>
          <w:szCs w:val="32"/>
          <w:shd w:val="clear" w:color="auto" w:fill="FFFFFF"/>
        </w:rPr>
      </w:pPr>
      <w:r>
        <w:rPr>
          <w:rFonts w:hint="eastAsia" w:ascii="楷体_GB2312" w:hAnsi="楷体_GB2312" w:eastAsia="楷体_GB2312" w:cs="楷体_GB2312"/>
          <w:b/>
          <w:bCs/>
          <w:sz w:val="32"/>
          <w:szCs w:val="32"/>
          <w:shd w:val="clear" w:color="auto" w:fill="FFFFFF"/>
        </w:rPr>
        <w:t>（五）其他收入：</w:t>
      </w:r>
      <w:r>
        <w:rPr>
          <w:rFonts w:hint="eastAsia" w:ascii="仿宋_GB2312" w:hAnsi="仿宋_GB2312" w:eastAsia="仿宋_GB2312" w:cs="仿宋_GB2312"/>
          <w:sz w:val="32"/>
          <w:szCs w:val="32"/>
          <w:shd w:val="clear" w:color="auto" w:fill="FFFFFF"/>
        </w:rPr>
        <w:t>指除“一般公共预算拨款收入”、“事业收入”等以外的收入。主要是银行存款利息收入等。</w:t>
      </w:r>
      <w:r>
        <w:rPr>
          <w:rFonts w:hint="eastAsia" w:ascii="仿宋_GB2312" w:hAnsi="仿宋_GB2312" w:eastAsia="仿宋_GB2312" w:cs="仿宋_GB2312"/>
          <w:sz w:val="32"/>
          <w:szCs w:val="32"/>
          <w:shd w:val="clear" w:color="auto" w:fill="FFFFFF"/>
        </w:rPr>
        <w:br w:type="textWrapping"/>
      </w:r>
      <w:r>
        <w:rPr>
          <w:rFonts w:hint="eastAsia" w:ascii="仿宋_GB2312" w:hAnsi="仿宋_GB2312" w:eastAsia="仿宋_GB2312" w:cs="仿宋_GB2312"/>
          <w:sz w:val="32"/>
          <w:szCs w:val="32"/>
          <w:shd w:val="clear" w:color="auto" w:fill="FFFFFF"/>
        </w:rPr>
        <w:t xml:space="preserve">   </w:t>
      </w:r>
      <w:r>
        <w:rPr>
          <w:rFonts w:hint="eastAsia" w:ascii="仿宋_GB2312" w:hAnsi="仿宋_GB2312" w:eastAsia="仿宋_GB2312" w:cs="仿宋_GB2312"/>
          <w:b/>
          <w:bCs/>
          <w:sz w:val="32"/>
          <w:szCs w:val="32"/>
          <w:shd w:val="clear" w:color="auto" w:fill="FFFFFF"/>
        </w:rPr>
        <w:t xml:space="preserve"> </w:t>
      </w:r>
      <w:r>
        <w:rPr>
          <w:rFonts w:hint="eastAsia" w:ascii="楷体_GB2312" w:hAnsi="楷体_GB2312" w:eastAsia="楷体_GB2312" w:cs="楷体_GB2312"/>
          <w:b/>
          <w:bCs/>
          <w:sz w:val="32"/>
          <w:szCs w:val="32"/>
          <w:shd w:val="clear" w:color="auto" w:fill="FFFFFF"/>
        </w:rPr>
        <w:t>（六）行政运行：</w:t>
      </w:r>
      <w:r>
        <w:rPr>
          <w:rFonts w:hint="eastAsia" w:ascii="仿宋_GB2312" w:hAnsi="仿宋_GB2312" w:eastAsia="仿宋_GB2312" w:cs="仿宋_GB2312"/>
          <w:sz w:val="32"/>
          <w:szCs w:val="32"/>
          <w:shd w:val="clear" w:color="auto" w:fill="FFFFFF"/>
        </w:rPr>
        <w:t>指机关及参照公务员法管理事业单位用于保障正常运行、开展日常工作的基本支出。</w:t>
      </w:r>
      <w:r>
        <w:rPr>
          <w:rFonts w:hint="eastAsia" w:ascii="仿宋_GB2312" w:hAnsi="仿宋_GB2312" w:eastAsia="仿宋_GB2312" w:cs="仿宋_GB2312"/>
          <w:sz w:val="32"/>
          <w:szCs w:val="32"/>
          <w:shd w:val="clear" w:color="auto" w:fill="FFFFFF"/>
        </w:rPr>
        <w:br w:type="textWrapping"/>
      </w:r>
      <w:r>
        <w:rPr>
          <w:rFonts w:hint="eastAsia" w:ascii="仿宋_GB2312" w:hAnsi="仿宋_GB2312" w:eastAsia="仿宋_GB2312" w:cs="仿宋_GB2312"/>
          <w:sz w:val="32"/>
          <w:szCs w:val="32"/>
          <w:shd w:val="clear" w:color="auto" w:fill="FFFFFF"/>
        </w:rPr>
        <w:t xml:space="preserve">   </w:t>
      </w:r>
      <w:r>
        <w:rPr>
          <w:rFonts w:hint="eastAsia" w:ascii="楷体_GB2312" w:hAnsi="楷体_GB2312" w:eastAsia="楷体_GB2312" w:cs="楷体_GB2312"/>
          <w:b/>
          <w:bCs/>
          <w:sz w:val="32"/>
          <w:szCs w:val="32"/>
          <w:shd w:val="clear" w:color="auto" w:fill="FFFFFF"/>
        </w:rPr>
        <w:t xml:space="preserve"> （七）事业运行：</w:t>
      </w:r>
      <w:r>
        <w:rPr>
          <w:rFonts w:hint="eastAsia" w:ascii="仿宋_GB2312" w:hAnsi="仿宋_GB2312" w:eastAsia="仿宋_GB2312" w:cs="仿宋_GB2312"/>
          <w:sz w:val="32"/>
          <w:szCs w:val="32"/>
          <w:shd w:val="clear" w:color="auto" w:fill="FFFFFF"/>
        </w:rPr>
        <w:t>指事业单位用于保障机构正常运行、开展日常工作的基本支出。</w:t>
      </w:r>
      <w:r>
        <w:rPr>
          <w:rFonts w:hint="eastAsia" w:ascii="仿宋_GB2312" w:hAnsi="仿宋_GB2312" w:eastAsia="仿宋_GB2312" w:cs="仿宋_GB2312"/>
          <w:sz w:val="32"/>
          <w:szCs w:val="32"/>
          <w:shd w:val="clear" w:color="auto" w:fill="FFFFFF"/>
        </w:rPr>
        <w:br w:type="textWrapping"/>
      </w:r>
      <w:r>
        <w:rPr>
          <w:rFonts w:hint="eastAsia" w:ascii="仿宋_GB2312" w:hAnsi="仿宋_GB2312" w:eastAsia="仿宋_GB2312" w:cs="仿宋_GB2312"/>
          <w:sz w:val="32"/>
          <w:szCs w:val="32"/>
          <w:shd w:val="clear" w:color="auto" w:fill="FFFFFF"/>
        </w:rPr>
        <w:t xml:space="preserve">    </w:t>
      </w:r>
      <w:r>
        <w:rPr>
          <w:rFonts w:hint="eastAsia" w:ascii="楷体_GB2312" w:hAnsi="楷体_GB2312" w:eastAsia="楷体_GB2312" w:cs="楷体_GB2312"/>
          <w:b/>
          <w:bCs/>
          <w:sz w:val="32"/>
          <w:szCs w:val="32"/>
          <w:shd w:val="clear" w:color="auto" w:fill="FFFFFF"/>
        </w:rPr>
        <w:t>（八）机关事业单位基本养老保险缴费：</w:t>
      </w:r>
      <w:r>
        <w:rPr>
          <w:rFonts w:hint="eastAsia" w:ascii="仿宋_GB2312" w:hAnsi="仿宋_GB2312" w:eastAsia="仿宋_GB2312" w:cs="仿宋_GB2312"/>
          <w:sz w:val="32"/>
          <w:szCs w:val="32"/>
          <w:shd w:val="clear" w:color="auto" w:fill="FFFFFF"/>
        </w:rPr>
        <w:t>指部门实施养老保险制度由单位缴纳的养老保险费的支出。</w:t>
      </w:r>
      <w:r>
        <w:rPr>
          <w:rFonts w:hint="eastAsia" w:ascii="仿宋_GB2312" w:hAnsi="仿宋_GB2312" w:eastAsia="仿宋_GB2312" w:cs="仿宋_GB2312"/>
          <w:sz w:val="32"/>
          <w:szCs w:val="32"/>
          <w:shd w:val="clear" w:color="auto" w:fill="FFFFFF"/>
        </w:rPr>
        <w:br w:type="textWrapping"/>
      </w:r>
      <w:r>
        <w:rPr>
          <w:rFonts w:hint="eastAsia" w:ascii="仿宋_GB2312" w:hAnsi="仿宋_GB2312" w:eastAsia="仿宋_GB2312" w:cs="仿宋_GB2312"/>
          <w:sz w:val="32"/>
          <w:szCs w:val="32"/>
          <w:shd w:val="clear" w:color="auto" w:fill="FFFFFF"/>
        </w:rPr>
        <w:t xml:space="preserve">    </w:t>
      </w:r>
      <w:r>
        <w:rPr>
          <w:rFonts w:hint="eastAsia" w:ascii="楷体_GB2312" w:hAnsi="楷体_GB2312" w:eastAsia="楷体_GB2312" w:cs="楷体_GB2312"/>
          <w:b/>
          <w:bCs/>
          <w:sz w:val="32"/>
          <w:szCs w:val="32"/>
          <w:shd w:val="clear" w:color="auto" w:fill="FFFFFF"/>
        </w:rPr>
        <w:t>（九）行政单位医疗：</w:t>
      </w:r>
      <w:r>
        <w:rPr>
          <w:rFonts w:hint="eastAsia" w:ascii="仿宋_GB2312" w:hAnsi="仿宋_GB2312" w:eastAsia="仿宋_GB2312" w:cs="仿宋_GB2312"/>
          <w:sz w:val="32"/>
          <w:szCs w:val="32"/>
          <w:shd w:val="clear" w:color="auto" w:fill="FFFFFF"/>
        </w:rPr>
        <w:t>指机关及参照公务员法管理事业单位用于缴纳单位基本医疗保险支出。</w:t>
      </w:r>
    </w:p>
    <w:p>
      <w:pPr>
        <w:widowControl/>
        <w:spacing w:line="560" w:lineRule="exact"/>
        <w:ind w:firstLine="643" w:firstLineChars="200"/>
        <w:jc w:val="left"/>
        <w:rPr>
          <w:rFonts w:ascii="仿宋_GB2312" w:hAnsi="仿宋_GB2312" w:eastAsia="仿宋_GB2312" w:cs="仿宋_GB2312"/>
          <w:b/>
          <w:bCs/>
          <w:sz w:val="32"/>
          <w:szCs w:val="32"/>
          <w:shd w:val="clear" w:color="auto" w:fill="FFFFFF"/>
        </w:rPr>
      </w:pPr>
      <w:r>
        <w:rPr>
          <w:rFonts w:hint="eastAsia" w:ascii="楷体_GB2312" w:hAnsi="楷体_GB2312" w:eastAsia="楷体_GB2312" w:cs="楷体_GB2312"/>
          <w:b/>
          <w:bCs/>
          <w:sz w:val="32"/>
          <w:szCs w:val="32"/>
          <w:shd w:val="clear" w:color="auto" w:fill="FFFFFF"/>
        </w:rPr>
        <w:t>（十）事业单位医疗：</w:t>
      </w:r>
      <w:r>
        <w:rPr>
          <w:rFonts w:hint="eastAsia" w:ascii="仿宋_GB2312" w:hAnsi="仿宋_GB2312" w:eastAsia="仿宋_GB2312" w:cs="仿宋_GB2312"/>
          <w:sz w:val="32"/>
          <w:szCs w:val="32"/>
          <w:shd w:val="clear" w:color="auto" w:fill="FFFFFF"/>
        </w:rPr>
        <w:t>指事业单位用于缴纳单位基本医疗保险支出。</w:t>
      </w:r>
      <w:r>
        <w:rPr>
          <w:rFonts w:hint="eastAsia" w:ascii="仿宋_GB2312" w:hAnsi="仿宋_GB2312" w:eastAsia="仿宋_GB2312" w:cs="仿宋_GB2312"/>
          <w:sz w:val="32"/>
          <w:szCs w:val="32"/>
          <w:shd w:val="clear" w:color="auto" w:fill="FFFFFF"/>
        </w:rPr>
        <w:br w:type="textWrapping"/>
      </w:r>
      <w:r>
        <w:rPr>
          <w:rFonts w:hint="eastAsia" w:ascii="仿宋_GB2312" w:hAnsi="仿宋_GB2312" w:eastAsia="仿宋_GB2312" w:cs="仿宋_GB2312"/>
          <w:b/>
          <w:bCs/>
          <w:sz w:val="32"/>
          <w:szCs w:val="32"/>
          <w:shd w:val="clear" w:color="auto" w:fill="FFFFFF"/>
        </w:rPr>
        <w:t xml:space="preserve">    </w:t>
      </w:r>
      <w:r>
        <w:rPr>
          <w:rFonts w:hint="eastAsia" w:ascii="楷体_GB2312" w:hAnsi="楷体_GB2312" w:eastAsia="楷体_GB2312" w:cs="楷体_GB2312"/>
          <w:b/>
          <w:bCs/>
          <w:sz w:val="32"/>
          <w:szCs w:val="32"/>
          <w:shd w:val="clear" w:color="auto" w:fill="FFFFFF"/>
        </w:rPr>
        <w:t>（十一）公务员医疗补助：</w:t>
      </w:r>
      <w:r>
        <w:rPr>
          <w:rFonts w:hint="eastAsia" w:ascii="仿宋_GB2312" w:hAnsi="仿宋_GB2312" w:eastAsia="仿宋_GB2312" w:cs="仿宋_GB2312"/>
          <w:sz w:val="32"/>
          <w:szCs w:val="32"/>
          <w:shd w:val="clear" w:color="auto" w:fill="FFFFFF"/>
        </w:rPr>
        <w:t>指机关及参公管理事业单位用于集中缴纳公务员医疗补助支出。</w:t>
      </w:r>
      <w:r>
        <w:rPr>
          <w:rFonts w:hint="eastAsia" w:ascii="仿宋_GB2312" w:hAnsi="仿宋_GB2312" w:eastAsia="仿宋_GB2312" w:cs="仿宋_GB2312"/>
          <w:sz w:val="32"/>
          <w:szCs w:val="32"/>
          <w:shd w:val="clear" w:color="auto" w:fill="FFFFFF"/>
        </w:rPr>
        <w:br w:type="textWrapping"/>
      </w:r>
      <w:r>
        <w:rPr>
          <w:rFonts w:hint="eastAsia" w:ascii="仿宋_GB2312" w:hAnsi="仿宋_GB2312" w:eastAsia="仿宋_GB2312" w:cs="仿宋_GB2312"/>
          <w:b/>
          <w:bCs/>
          <w:sz w:val="32"/>
          <w:szCs w:val="32"/>
          <w:shd w:val="clear" w:color="auto" w:fill="FFFFFF"/>
        </w:rPr>
        <w:t xml:space="preserve">   </w:t>
      </w:r>
      <w:r>
        <w:rPr>
          <w:rFonts w:hint="eastAsia" w:ascii="楷体_GB2312" w:hAnsi="楷体_GB2312" w:eastAsia="楷体_GB2312" w:cs="楷体_GB2312"/>
          <w:b/>
          <w:bCs/>
          <w:sz w:val="32"/>
          <w:szCs w:val="32"/>
          <w:shd w:val="clear" w:color="auto" w:fill="FFFFFF"/>
        </w:rPr>
        <w:t xml:space="preserve"> （十二）住房公积金：</w:t>
      </w:r>
      <w:r>
        <w:rPr>
          <w:rFonts w:hint="eastAsia" w:ascii="仿宋_GB2312" w:hAnsi="仿宋_GB2312" w:eastAsia="仿宋_GB2312" w:cs="仿宋_GB2312"/>
          <w:sz w:val="32"/>
          <w:szCs w:val="32"/>
          <w:shd w:val="clear" w:color="auto" w:fill="FFFFFF"/>
        </w:rPr>
        <w:t>指按照《住房公积金管理条例》规定，由单位及其在职职工缴存的长期住房储金。</w:t>
      </w:r>
      <w:r>
        <w:rPr>
          <w:rFonts w:hint="eastAsia" w:ascii="仿宋_GB2312" w:hAnsi="仿宋_GB2312" w:eastAsia="仿宋_GB2312" w:cs="仿宋_GB2312"/>
          <w:b/>
          <w:bCs/>
          <w:sz w:val="32"/>
          <w:szCs w:val="32"/>
          <w:shd w:val="clear" w:color="auto" w:fill="FFFFFF"/>
        </w:rPr>
        <w:t xml:space="preserve">   </w:t>
      </w:r>
    </w:p>
    <w:p>
      <w:pPr>
        <w:widowControl/>
        <w:spacing w:line="560" w:lineRule="exact"/>
        <w:ind w:firstLine="643" w:firstLineChars="200"/>
        <w:jc w:val="left"/>
        <w:rPr>
          <w:rFonts w:ascii="仿宋_GB2312" w:hAnsi="仿宋_GB2312" w:eastAsia="仿宋_GB2312" w:cs="仿宋_GB2312"/>
          <w:kern w:val="0"/>
          <w:sz w:val="32"/>
          <w:szCs w:val="32"/>
        </w:rPr>
      </w:pPr>
      <w:r>
        <w:rPr>
          <w:rFonts w:hint="eastAsia" w:ascii="楷体_GB2312" w:hAnsi="楷体_GB2312" w:eastAsia="楷体_GB2312" w:cs="楷体_GB2312"/>
          <w:b/>
          <w:bCs/>
          <w:sz w:val="32"/>
          <w:szCs w:val="32"/>
          <w:shd w:val="clear" w:color="auto" w:fill="FFFFFF"/>
        </w:rPr>
        <w:t>（十三）基本支出：</w:t>
      </w:r>
      <w:r>
        <w:rPr>
          <w:rFonts w:hint="eastAsia" w:ascii="仿宋_GB2312" w:hAnsi="仿宋_GB2312" w:eastAsia="仿宋_GB2312" w:cs="仿宋_GB2312"/>
          <w:sz w:val="32"/>
          <w:szCs w:val="32"/>
          <w:shd w:val="clear" w:color="auto" w:fill="FFFFFF"/>
        </w:rPr>
        <w:t>指为保证机构正常运转，完成日常工作任务而发生的人员支出和公用支出。</w:t>
      </w:r>
      <w:r>
        <w:rPr>
          <w:rFonts w:hint="eastAsia" w:ascii="仿宋_GB2312" w:hAnsi="仿宋_GB2312" w:eastAsia="仿宋_GB2312" w:cs="仿宋_GB2312"/>
          <w:sz w:val="32"/>
          <w:szCs w:val="32"/>
          <w:shd w:val="clear" w:color="auto" w:fill="FFFFFF"/>
        </w:rPr>
        <w:br w:type="textWrapping"/>
      </w:r>
      <w:r>
        <w:rPr>
          <w:rFonts w:hint="eastAsia" w:ascii="仿宋_GB2312" w:hAnsi="仿宋_GB2312" w:eastAsia="仿宋_GB2312" w:cs="仿宋_GB2312"/>
          <w:sz w:val="32"/>
          <w:szCs w:val="32"/>
          <w:shd w:val="clear" w:color="auto" w:fill="FFFFFF"/>
        </w:rPr>
        <w:t xml:space="preserve"> </w:t>
      </w:r>
      <w:r>
        <w:rPr>
          <w:rFonts w:hint="eastAsia" w:ascii="仿宋_GB2312" w:hAnsi="仿宋_GB2312" w:eastAsia="仿宋_GB2312" w:cs="仿宋_GB2312"/>
          <w:b/>
          <w:bCs/>
          <w:sz w:val="32"/>
          <w:szCs w:val="32"/>
          <w:shd w:val="clear" w:color="auto" w:fill="FFFFFF"/>
        </w:rPr>
        <w:t xml:space="preserve">   </w:t>
      </w:r>
      <w:r>
        <w:rPr>
          <w:rFonts w:hint="eastAsia" w:ascii="楷体_GB2312" w:hAnsi="楷体_GB2312" w:eastAsia="楷体_GB2312" w:cs="楷体_GB2312"/>
          <w:b/>
          <w:bCs/>
          <w:sz w:val="32"/>
          <w:szCs w:val="32"/>
          <w:shd w:val="clear" w:color="auto" w:fill="FFFFFF"/>
        </w:rPr>
        <w:t>（十四）项目支出：</w:t>
      </w:r>
      <w:r>
        <w:rPr>
          <w:rFonts w:hint="eastAsia" w:ascii="仿宋_GB2312" w:hAnsi="仿宋_GB2312" w:eastAsia="仿宋_GB2312" w:cs="仿宋_GB2312"/>
          <w:sz w:val="32"/>
          <w:szCs w:val="32"/>
          <w:shd w:val="clear" w:color="auto" w:fill="FFFFFF"/>
        </w:rPr>
        <w:t>指在基本支出之外为完成特定行政任务和事业发展目标所发生的支出。</w:t>
      </w:r>
      <w:r>
        <w:rPr>
          <w:rFonts w:hint="eastAsia" w:ascii="仿宋_GB2312" w:hAnsi="仿宋_GB2312" w:eastAsia="仿宋_GB2312" w:cs="仿宋_GB2312"/>
          <w:sz w:val="32"/>
          <w:szCs w:val="32"/>
          <w:shd w:val="clear" w:color="auto" w:fill="FFFFFF"/>
        </w:rPr>
        <w:br w:type="textWrapping"/>
      </w:r>
      <w:r>
        <w:rPr>
          <w:rFonts w:hint="eastAsia" w:ascii="仿宋_GB2312" w:hAnsi="仿宋_GB2312" w:eastAsia="仿宋_GB2312" w:cs="仿宋_GB2312"/>
          <w:sz w:val="32"/>
          <w:szCs w:val="32"/>
          <w:shd w:val="clear" w:color="auto" w:fill="FFFFFF"/>
        </w:rPr>
        <w:t xml:space="preserve">    </w:t>
      </w:r>
      <w:r>
        <w:rPr>
          <w:rFonts w:hint="eastAsia" w:ascii="楷体_GB2312" w:hAnsi="楷体_GB2312" w:eastAsia="楷体_GB2312" w:cs="楷体_GB2312"/>
          <w:b/>
          <w:bCs/>
          <w:sz w:val="32"/>
          <w:szCs w:val="32"/>
          <w:shd w:val="clear" w:color="auto" w:fill="FFFFFF"/>
        </w:rPr>
        <w:t>（十五）“三公”经费：</w:t>
      </w:r>
      <w:r>
        <w:rPr>
          <w:rFonts w:hint="eastAsia" w:ascii="仿宋_GB2312" w:hAnsi="仿宋_GB2312" w:eastAsia="仿宋_GB2312" w:cs="仿宋_GB2312"/>
          <w:sz w:val="32"/>
          <w:szCs w:val="32"/>
          <w:shd w:val="clear" w:color="auto" w:fill="FFFFFF"/>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r>
        <w:rPr>
          <w:rFonts w:hint="eastAsia" w:ascii="仿宋_GB2312" w:hAnsi="仿宋_GB2312" w:eastAsia="仿宋_GB2312" w:cs="仿宋_GB2312"/>
          <w:sz w:val="32"/>
          <w:szCs w:val="32"/>
          <w:shd w:val="clear" w:color="auto" w:fill="FFFFFF"/>
        </w:rPr>
        <w:br w:type="textWrapping"/>
      </w:r>
      <w:r>
        <w:rPr>
          <w:rFonts w:hint="eastAsia" w:ascii="仿宋_GB2312" w:hAnsi="仿宋_GB2312" w:eastAsia="仿宋_GB2312" w:cs="仿宋_GB2312"/>
          <w:sz w:val="32"/>
          <w:szCs w:val="32"/>
          <w:shd w:val="clear" w:color="auto" w:fill="FFFFFF"/>
        </w:rPr>
        <w:t xml:space="preserve">    </w:t>
      </w:r>
      <w:r>
        <w:rPr>
          <w:rFonts w:hint="eastAsia" w:ascii="楷体_GB2312" w:hAnsi="楷体_GB2312" w:eastAsia="楷体_GB2312" w:cs="楷体_GB2312"/>
          <w:b/>
          <w:bCs/>
          <w:sz w:val="32"/>
          <w:szCs w:val="32"/>
          <w:shd w:val="clear" w:color="auto" w:fill="FFFFFF"/>
        </w:rPr>
        <w:t>（十六）日常公用经费：</w:t>
      </w:r>
      <w:r>
        <w:rPr>
          <w:rFonts w:hint="eastAsia" w:ascii="仿宋_GB2312" w:hAnsi="仿宋_GB2312" w:eastAsia="仿宋_GB2312" w:cs="仿宋_GB2312"/>
          <w:sz w:val="32"/>
          <w:szCs w:val="32"/>
          <w:shd w:val="clear" w:color="auto" w:fill="FFFFFF"/>
        </w:rPr>
        <w:t>为保障部门运行用于购买货物和服务的各项资金。包括办公及印刷费、邮电费、差旅费、会议费、一般设备购置费等费用开支。</w:t>
      </w:r>
    </w:p>
    <w:p>
      <w:pPr>
        <w:spacing w:line="560" w:lineRule="exact"/>
        <w:rPr>
          <w:rFonts w:ascii="仿宋_GB2312" w:hAnsi="仿宋_GB2312" w:eastAsia="仿宋_GB2312" w:cs="仿宋_GB2312"/>
          <w:sz w:val="32"/>
          <w:szCs w:val="32"/>
        </w:rPr>
      </w:pP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1-1.</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1-2.</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2.财政拨款收支预算总表</w:t>
      </w:r>
    </w:p>
    <w:p>
      <w:pPr>
        <w:widowControl/>
        <w:spacing w:line="560" w:lineRule="exact"/>
        <w:ind w:firstLine="1600" w:firstLineChars="5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2-1.财政拨款支出预算表（部门经济分类科目）</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3.一般公共预算支出预算表</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3-1.一般公共预算基本支出预算表</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3-2.一般公共预算项目支出预算表</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3-3.一般公共预算“三公”经费支出预算表</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4.政府性基金预算支出预算表</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4-1.政府性基金预算“三公”经费支出预算表</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5.国有资本经营预算支出预算表</w:t>
      </w:r>
    </w:p>
    <w:p>
      <w:pPr>
        <w:widowControl/>
        <w:spacing w:line="560" w:lineRule="exact"/>
        <w:ind w:firstLine="1600" w:firstLineChars="5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预算项目支出绩效目标表</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612DC0"/>
    <w:multiLevelType w:val="singleLevel"/>
    <w:tmpl w:val="86612DC0"/>
    <w:lvl w:ilvl="0" w:tentative="0">
      <w:start w:val="9"/>
      <w:numFmt w:val="chineseCounting"/>
      <w:suff w:val="nothing"/>
      <w:lvlText w:val="%1、"/>
      <w:lvlJc w:val="left"/>
      <w:pPr>
        <w:ind w:left="0" w:firstLine="0"/>
      </w:pPr>
    </w:lvl>
  </w:abstractNum>
  <w:abstractNum w:abstractNumId="1">
    <w:nsid w:val="99815D9A"/>
    <w:multiLevelType w:val="singleLevel"/>
    <w:tmpl w:val="99815D9A"/>
    <w:lvl w:ilvl="0" w:tentative="0">
      <w:start w:val="2"/>
      <w:numFmt w:val="chineseCounting"/>
      <w:suff w:val="nothing"/>
      <w:lvlText w:val="%1、"/>
      <w:lvlJc w:val="left"/>
      <w:pPr>
        <w:ind w:left="-10" w:firstLine="0"/>
      </w:pPr>
    </w:lvl>
  </w:abstractNum>
  <w:abstractNum w:abstractNumId="2">
    <w:nsid w:val="A9E571C2"/>
    <w:multiLevelType w:val="singleLevel"/>
    <w:tmpl w:val="A9E571C2"/>
    <w:lvl w:ilvl="0" w:tentative="0">
      <w:start w:val="1"/>
      <w:numFmt w:val="chineseCounting"/>
      <w:suff w:val="nothing"/>
      <w:lvlText w:val="（%1）"/>
      <w:lvlJc w:val="left"/>
      <w:pPr>
        <w:ind w:left="0" w:firstLine="0"/>
      </w:pPr>
    </w:lvl>
  </w:abstractNum>
  <w:num w:numId="1">
    <w:abstractNumId w:val="1"/>
    <w:lvlOverride w:ilvl="0">
      <w:startOverride w:val="2"/>
    </w:lvlOverride>
  </w:num>
  <w:num w:numId="2">
    <w:abstractNumId w:val="2"/>
    <w:lvlOverride w:ilvl="0">
      <w:startOverride w:val="1"/>
    </w:lvlOverride>
  </w:num>
  <w:num w:numId="3">
    <w:abstractNumId w:val="0"/>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M4ZDZhZGYyYjgzNzFmMmU3YTczMjUxMWY3YTZmZDIifQ=="/>
  </w:docVars>
  <w:rsids>
    <w:rsidRoot w:val="00142CD1"/>
    <w:rsid w:val="00142CD1"/>
    <w:rsid w:val="001E3CF0"/>
    <w:rsid w:val="0051178F"/>
    <w:rsid w:val="00E57BBA"/>
    <w:rsid w:val="0E156A39"/>
    <w:rsid w:val="61D16B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2085</Words>
  <Characters>2303</Characters>
  <Lines>17</Lines>
  <Paragraphs>4</Paragraphs>
  <TotalTime>0</TotalTime>
  <ScaleCrop>false</ScaleCrop>
  <LinksUpToDate>false</LinksUpToDate>
  <CharactersWithSpaces>2422</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2022-06-15T23:38:00Z</dcterms:created>
  <dc:creator>xclyj8688@163.com</dc:creator>
  <cp:lastModifiedBy>狂奔的蜗牛</cp:lastModifiedBy>
  <dcterms:modified xsi:type="dcterms:W3CDTF">2022-06-15T02:00:14Z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E6CC26674B7A4063A931C4FE29C8EF31</vt:lpwstr>
  </property>
</Properties>
</file>