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560" w:lineRule="exact"/>
        <w:rPr>
          <w:rFonts w:hint="eastAsia" w:ascii="方正小标宋简体;黑体" w:hAnsi="方正小标宋简体;黑体" w:eastAsia="方正小标宋简体;黑体" w:cs="方正小标宋简体;黑体"/>
          <w:bCs/>
          <w:sz w:val="44"/>
          <w:szCs w:val="44"/>
          <w:lang w:val="en-US" w:eastAsia="zh-CN"/>
        </w:rPr>
      </w:pPr>
      <w:r>
        <w:rPr>
          <w:rFonts w:hint="eastAsia" w:ascii="方正小标宋简体;黑体" w:hAnsi="方正小标宋简体;黑体" w:eastAsia="方正小标宋简体;黑体" w:cs="方正小标宋简体;黑体"/>
          <w:bCs/>
          <w:sz w:val="44"/>
          <w:szCs w:val="44"/>
          <w:lang w:val="en-US" w:eastAsia="zh-CN"/>
        </w:rPr>
        <w:t xml:space="preserve"> </w:t>
      </w:r>
      <w:bookmarkStart w:id="0" w:name="_GoBack"/>
      <w:bookmarkEnd w:id="0"/>
    </w:p>
    <w:p>
      <w:pPr>
        <w:pStyle w:val="4"/>
        <w:spacing w:line="560" w:lineRule="exact"/>
        <w:jc w:val="center"/>
        <w:rPr>
          <w:rFonts w:ascii="方正小标宋简体;黑体" w:hAnsi="方正小标宋简体;黑体" w:eastAsia="方正小标宋简体;黑体" w:cs="方正小标宋简体;黑体"/>
          <w:bCs/>
          <w:sz w:val="44"/>
          <w:szCs w:val="44"/>
          <w:lang w:eastAsia="zh-CN"/>
        </w:rPr>
      </w:pPr>
      <w:r>
        <w:rPr>
          <w:rFonts w:ascii="方正小标宋简体;黑体" w:hAnsi="方正小标宋简体;黑体" w:eastAsia="方正小标宋简体;黑体" w:cs="方正小标宋简体;黑体"/>
          <w:bCs/>
          <w:sz w:val="44"/>
          <w:szCs w:val="44"/>
          <w:lang w:eastAsia="zh-CN"/>
        </w:rPr>
        <w:t>通江县</w:t>
      </w:r>
      <w:r>
        <w:rPr>
          <w:rFonts w:hint="eastAsia" w:ascii="方正小标宋简体;黑体" w:hAnsi="方正小标宋简体;黑体" w:eastAsia="方正小标宋简体;黑体" w:cs="方正小标宋简体;黑体"/>
          <w:bCs/>
          <w:sz w:val="44"/>
          <w:szCs w:val="44"/>
          <w:lang w:val="en-US" w:eastAsia="zh-CN"/>
        </w:rPr>
        <w:t>龙凤场镇长乐</w:t>
      </w:r>
      <w:r>
        <w:rPr>
          <w:rFonts w:ascii="方正小标宋简体;黑体" w:hAnsi="方正小标宋简体;黑体" w:eastAsia="方正小标宋简体;黑体" w:cs="方正小标宋简体;黑体"/>
          <w:bCs/>
          <w:sz w:val="44"/>
          <w:szCs w:val="44"/>
          <w:lang w:eastAsia="zh-CN"/>
        </w:rPr>
        <w:t>小学</w:t>
      </w:r>
    </w:p>
    <w:p>
      <w:pPr>
        <w:pStyle w:val="4"/>
        <w:spacing w:line="560" w:lineRule="exact"/>
        <w:jc w:val="center"/>
        <w:rPr>
          <w:rFonts w:ascii="方正小标宋_GBK;微软雅黑" w:hAnsi="方正小标宋_GBK;微软雅黑" w:eastAsia="方正小标宋_GBK;微软雅黑" w:cs="方正小标宋_GBK;微软雅黑"/>
          <w:bCs/>
          <w:sz w:val="44"/>
          <w:szCs w:val="44"/>
        </w:rPr>
      </w:pPr>
      <w:r>
        <w:rPr>
          <w:rFonts w:ascii="方正小标宋简体;黑体" w:hAnsi="方正小标宋简体;黑体" w:eastAsia="方正小标宋简体;黑体" w:cs="方正小标宋简体;黑体"/>
          <w:bCs/>
          <w:sz w:val="44"/>
          <w:szCs w:val="44"/>
        </w:rPr>
        <w:t>2022年</w:t>
      </w:r>
      <w:r>
        <w:rPr>
          <w:rFonts w:hint="eastAsia" w:ascii="方正小标宋简体;黑体" w:hAnsi="方正小标宋简体;黑体" w:eastAsia="方正小标宋简体;黑体" w:cs="方正小标宋简体;黑体"/>
          <w:bCs/>
          <w:sz w:val="44"/>
          <w:szCs w:val="44"/>
          <w:lang w:val="en-US" w:eastAsia="zh-CN"/>
        </w:rPr>
        <w:t>单位</w:t>
      </w:r>
      <w:r>
        <w:rPr>
          <w:rFonts w:ascii="方正小标宋简体;黑体" w:hAnsi="方正小标宋简体;黑体" w:eastAsia="方正小标宋简体;黑体" w:cs="方正小标宋简体;黑体"/>
          <w:bCs/>
          <w:sz w:val="44"/>
          <w:szCs w:val="44"/>
        </w:rPr>
        <w:t>预算编制说明</w:t>
      </w:r>
    </w:p>
    <w:p>
      <w:pPr>
        <w:pStyle w:val="5"/>
        <w:snapToGrid w:val="0"/>
        <w:spacing w:beforeLines="0" w:beforeAutospacing="0" w:afterLines="0" w:afterAutospacing="0" w:line="560" w:lineRule="exact"/>
        <w:rPr>
          <w:rFonts w:ascii="Times New Roman" w:hAnsi="Times New Roman" w:eastAsia="方正仿宋_GBK;微软雅黑"/>
          <w:b/>
          <w:sz w:val="44"/>
          <w:szCs w:val="44"/>
        </w:rPr>
      </w:pPr>
      <w:r>
        <w:rPr>
          <w:rFonts w:ascii="Times New Roman" w:hAnsi="Times New Roman" w:eastAsia="Times New Roman"/>
          <w:b/>
          <w:sz w:val="44"/>
          <w:szCs w:val="44"/>
        </w:rPr>
        <w:t xml:space="preserve">     </w:t>
      </w:r>
    </w:p>
    <w:p>
      <w:pPr>
        <w:pStyle w:val="4"/>
        <w:spacing w:line="340" w:lineRule="exact"/>
      </w:pPr>
      <w:r>
        <w:rPr>
          <w:rFonts w:ascii="黑体" w:hAnsi="黑体" w:eastAsia="黑体" w:cs="黑体"/>
          <w:sz w:val="32"/>
          <w:szCs w:val="32"/>
        </w:rPr>
        <w:t>一、基本职能及主要工作</w:t>
      </w:r>
    </w:p>
    <w:p>
      <w:pPr>
        <w:pStyle w:val="4"/>
        <w:spacing w:line="340" w:lineRule="exact"/>
      </w:pPr>
      <w:r>
        <w:rPr>
          <w:rFonts w:ascii="楷体_GB2312;楷体" w:hAnsi="楷体_GB2312;楷体" w:eastAsia="楷体_GB2312;楷体" w:cs="楷体_GB2312;楷体"/>
          <w:b/>
          <w:bCs/>
          <w:sz w:val="32"/>
          <w:szCs w:val="32"/>
        </w:rPr>
        <w:t>（一）职能简介</w:t>
      </w:r>
    </w:p>
    <w:p>
      <w:pPr>
        <w:pStyle w:val="4"/>
        <w:spacing w:line="340" w:lineRule="exact"/>
        <w:ind w:left="630" w:leftChars="0"/>
      </w:pPr>
      <w:r>
        <w:rPr>
          <w:rFonts w:ascii="仿宋_GB2312;仿宋" w:hAnsi="仿宋_GB2312;仿宋" w:eastAsia="仿宋_GB2312;仿宋" w:cs="仿宋_GB2312;仿宋"/>
          <w:sz w:val="32"/>
          <w:szCs w:val="32"/>
        </w:rPr>
        <w:t>1. 全面贯彻执行国家的教育方针、 政策及国家相关的法律法规；</w:t>
      </w:r>
    </w:p>
    <w:p>
      <w:pPr>
        <w:pStyle w:val="4"/>
        <w:spacing w:line="340" w:lineRule="exact"/>
        <w:ind w:left="630" w:leftChars="0"/>
      </w:pPr>
      <w:r>
        <w:rPr>
          <w:rFonts w:ascii="仿宋_GB2312;仿宋" w:hAnsi="仿宋_GB2312;仿宋" w:eastAsia="仿宋_GB2312;仿宋" w:cs="仿宋_GB2312;仿宋"/>
          <w:sz w:val="32"/>
          <w:szCs w:val="32"/>
        </w:rPr>
        <w:t>2. 实施素质教育， 按照规定标准完成教育教学任务， 保证教育教学质量；</w:t>
      </w:r>
    </w:p>
    <w:p>
      <w:pPr>
        <w:pStyle w:val="4"/>
        <w:spacing w:line="340" w:lineRule="exact"/>
        <w:ind w:left="630" w:leftChars="0"/>
      </w:pPr>
      <w:r>
        <w:rPr>
          <w:rFonts w:ascii="仿宋_GB2312;仿宋" w:hAnsi="仿宋_GB2312;仿宋" w:eastAsia="仿宋_GB2312;仿宋" w:cs="仿宋_GB2312;仿宋"/>
          <w:sz w:val="32"/>
          <w:szCs w:val="32"/>
        </w:rPr>
        <w:t>3. 加强教师队伍建设， 提高教师的整体素质；</w:t>
      </w:r>
    </w:p>
    <w:p>
      <w:pPr>
        <w:pStyle w:val="4"/>
        <w:spacing w:line="340" w:lineRule="exact"/>
        <w:ind w:left="630" w:leftChars="0"/>
      </w:pPr>
      <w:r>
        <w:rPr>
          <w:rFonts w:ascii="仿宋_GB2312;仿宋" w:hAnsi="仿宋_GB2312;仿宋" w:eastAsia="仿宋_GB2312;仿宋" w:cs="仿宋_GB2312;仿宋"/>
          <w:sz w:val="32"/>
          <w:szCs w:val="32"/>
        </w:rPr>
        <w:t>4. 加强安全和后勤服务工作， 为教育教学提供保障。</w:t>
      </w:r>
    </w:p>
    <w:p>
      <w:pPr>
        <w:pStyle w:val="4"/>
        <w:spacing w:line="340" w:lineRule="exact"/>
      </w:pPr>
      <w:r>
        <w:rPr>
          <w:rFonts w:ascii="楷体_GB2312;楷体" w:hAnsi="楷体_GB2312;楷体" w:eastAsia="楷体_GB2312;楷体" w:cs="楷体_GB2312;楷体"/>
          <w:b/>
          <w:bCs/>
          <w:sz w:val="32"/>
          <w:szCs w:val="32"/>
        </w:rPr>
        <w:t>（二）2022年重点工作</w:t>
      </w:r>
    </w:p>
    <w:p>
      <w:pPr>
        <w:pStyle w:val="4"/>
        <w:spacing w:line="340" w:lineRule="exact"/>
      </w:pPr>
      <w:r>
        <w:rPr>
          <w:rFonts w:ascii="楷体_GB2312;楷体" w:hAnsi="楷体_GB2312;楷体" w:eastAsia="楷体_GB2312;楷体" w:cs="楷体_GB2312;楷体"/>
          <w:b w:val="0"/>
          <w:bCs w:val="0"/>
          <w:sz w:val="32"/>
          <w:szCs w:val="32"/>
          <w:lang w:val="en-US" w:eastAsia="zh-CN"/>
        </w:rPr>
        <w:t xml:space="preserve">    2022</w:t>
      </w:r>
      <w:r>
        <w:rPr>
          <w:rFonts w:ascii="楷体_GB2312;楷体" w:hAnsi="楷体_GB2312;楷体" w:eastAsia="楷体_GB2312;楷体" w:cs="楷体_GB2312;楷体"/>
          <w:b w:val="0"/>
          <w:bCs w:val="0"/>
          <w:sz w:val="32"/>
          <w:szCs w:val="32"/>
        </w:rPr>
        <w:t>年，我校主要任务是：实施小学教育教学管理和小学义务教育，促进基础教育发展。做好小学教育教学管理，教育经费管理、教师管理工作。围绕上述任务，重点完成了以下工作：</w:t>
      </w:r>
    </w:p>
    <w:p>
      <w:pPr>
        <w:pStyle w:val="4"/>
        <w:spacing w:line="340" w:lineRule="exact"/>
      </w:pPr>
      <w:r>
        <w:rPr>
          <w:rFonts w:ascii="楷体_GB2312;楷体" w:hAnsi="楷体_GB2312;楷体" w:eastAsia="楷体_GB2312;楷体" w:cs="楷体_GB2312;楷体"/>
          <w:b w:val="0"/>
          <w:bCs w:val="0"/>
          <w:sz w:val="32"/>
          <w:szCs w:val="32"/>
        </w:rPr>
        <w:t xml:space="preserve">   （1）做好小学教育教学管理和小学义务教育，培育在校学生。</w:t>
      </w:r>
    </w:p>
    <w:p>
      <w:pPr>
        <w:pStyle w:val="4"/>
        <w:spacing w:line="340" w:lineRule="exact"/>
      </w:pPr>
      <w:r>
        <w:rPr>
          <w:rFonts w:ascii="楷体_GB2312;楷体" w:hAnsi="楷体_GB2312;楷体" w:eastAsia="楷体_GB2312;楷体" w:cs="楷体_GB2312;楷体"/>
          <w:b w:val="0"/>
          <w:bCs w:val="0"/>
          <w:sz w:val="32"/>
          <w:szCs w:val="32"/>
        </w:rPr>
        <w:t xml:space="preserve">   （2）教育教学目标考评，促进基础教育发展。</w:t>
      </w:r>
    </w:p>
    <w:p>
      <w:pPr>
        <w:pStyle w:val="4"/>
        <w:spacing w:line="340" w:lineRule="exact"/>
      </w:pPr>
      <w:r>
        <w:rPr>
          <w:rFonts w:ascii="楷体_GB2312;楷体" w:hAnsi="楷体_GB2312;楷体" w:eastAsia="楷体_GB2312;楷体" w:cs="楷体_GB2312;楷体"/>
          <w:b w:val="0"/>
          <w:bCs w:val="0"/>
          <w:sz w:val="32"/>
          <w:szCs w:val="32"/>
        </w:rPr>
        <w:t xml:space="preserve">   （3）规范管理并充分使用教育经费，保障教育教学工作顺利进行。</w:t>
      </w:r>
    </w:p>
    <w:p>
      <w:pPr>
        <w:pStyle w:val="4"/>
        <w:spacing w:line="340" w:lineRule="exact"/>
      </w:pPr>
      <w:r>
        <w:rPr>
          <w:rFonts w:ascii="楷体_GB2312;楷体" w:hAnsi="楷体_GB2312;楷体" w:eastAsia="楷体_GB2312;楷体" w:cs="楷体_GB2312;楷体"/>
          <w:b w:val="0"/>
          <w:bCs w:val="0"/>
          <w:sz w:val="32"/>
          <w:szCs w:val="32"/>
        </w:rPr>
        <w:t xml:space="preserve">   （4）继续做好紧急疏散演练和食品安全检查。</w:t>
      </w:r>
    </w:p>
    <w:p>
      <w:pPr>
        <w:pStyle w:val="4"/>
        <w:numPr>
          <w:ilvl w:val="0"/>
          <w:numId w:val="1"/>
        </w:numPr>
        <w:spacing w:line="340" w:lineRule="exact"/>
      </w:pPr>
      <w:r>
        <w:rPr>
          <w:rFonts w:ascii="黑体" w:hAnsi="黑体" w:eastAsia="黑体" w:cs="黑体"/>
          <w:sz w:val="32"/>
          <w:szCs w:val="32"/>
        </w:rPr>
        <w:t>部门概况</w:t>
      </w:r>
    </w:p>
    <w:p>
      <w:pPr>
        <w:pStyle w:val="4"/>
        <w:spacing w:line="340" w:lineRule="exact"/>
      </w:pPr>
      <w:r>
        <w:rPr>
          <w:rFonts w:ascii="仿宋_GB2312;仿宋" w:hAnsi="仿宋_GB2312;仿宋" w:eastAsia="仿宋_GB2312;仿宋" w:cs="仿宋_GB2312;仿宋"/>
          <w:sz w:val="32"/>
          <w:szCs w:val="32"/>
        </w:rPr>
        <w:t xml:space="preserve">    2022年财政预算财政供给人员</w:t>
      </w:r>
      <w:r>
        <w:rPr>
          <w:rFonts w:hint="eastAsia" w:ascii="仿宋_GB2312;仿宋" w:hAnsi="仿宋_GB2312;仿宋" w:eastAsia="仿宋_GB2312;仿宋" w:cs="仿宋_GB2312;仿宋"/>
          <w:sz w:val="32"/>
          <w:szCs w:val="32"/>
          <w:lang w:val="en-US" w:eastAsia="zh-CN"/>
        </w:rPr>
        <w:t>37</w:t>
      </w:r>
      <w:r>
        <w:rPr>
          <w:rFonts w:ascii="仿宋_GB2312;仿宋" w:hAnsi="仿宋_GB2312;仿宋" w:eastAsia="仿宋_GB2312;仿宋" w:cs="仿宋_GB2312;仿宋"/>
          <w:sz w:val="32"/>
          <w:szCs w:val="32"/>
        </w:rPr>
        <w:t>人，其中事业人员</w:t>
      </w:r>
      <w:r>
        <w:rPr>
          <w:rFonts w:hint="eastAsia" w:ascii="仿宋_GB2312;仿宋" w:hAnsi="仿宋_GB2312;仿宋" w:eastAsia="仿宋_GB2312;仿宋" w:cs="仿宋_GB2312;仿宋"/>
          <w:sz w:val="32"/>
          <w:szCs w:val="32"/>
          <w:lang w:val="en-US" w:eastAsia="zh-CN"/>
        </w:rPr>
        <w:t>24</w:t>
      </w:r>
      <w:r>
        <w:rPr>
          <w:rFonts w:ascii="仿宋_GB2312;仿宋" w:hAnsi="仿宋_GB2312;仿宋" w:eastAsia="仿宋_GB2312;仿宋" w:cs="仿宋_GB2312;仿宋"/>
          <w:sz w:val="32"/>
          <w:szCs w:val="32"/>
        </w:rPr>
        <w:t>名</w:t>
      </w:r>
      <w:r>
        <w:rPr>
          <w:rFonts w:ascii="仿宋_GB2312;仿宋" w:hAnsi="仿宋_GB2312;仿宋" w:eastAsia="仿宋_GB2312;仿宋" w:cs="仿宋_GB2312;仿宋"/>
          <w:sz w:val="32"/>
          <w:szCs w:val="32"/>
          <w:lang w:eastAsia="zh-CN"/>
        </w:rPr>
        <w:t>，遗属人员2</w:t>
      </w:r>
      <w:r>
        <w:rPr>
          <w:rFonts w:ascii="仿宋_GB2312;仿宋" w:hAnsi="仿宋_GB2312;仿宋" w:eastAsia="仿宋_GB2312;仿宋" w:cs="仿宋_GB2312;仿宋"/>
          <w:sz w:val="32"/>
          <w:szCs w:val="32"/>
          <w:lang w:val="en-US" w:eastAsia="zh-CN"/>
        </w:rPr>
        <w:t>名，</w:t>
      </w:r>
      <w:r>
        <w:rPr>
          <w:rFonts w:ascii="仿宋_GB2312;仿宋" w:hAnsi="仿宋_GB2312;仿宋" w:eastAsia="仿宋_GB2312;仿宋" w:cs="仿宋_GB2312;仿宋"/>
          <w:sz w:val="32"/>
          <w:szCs w:val="32"/>
          <w:lang w:eastAsia="zh-CN"/>
        </w:rPr>
        <w:t>退休人员</w:t>
      </w:r>
      <w:r>
        <w:rPr>
          <w:rFonts w:hint="eastAsia" w:ascii="仿宋_GB2312;仿宋" w:hAnsi="仿宋_GB2312;仿宋" w:eastAsia="仿宋_GB2312;仿宋" w:cs="仿宋_GB2312;仿宋"/>
          <w:sz w:val="32"/>
          <w:szCs w:val="32"/>
          <w:lang w:val="en-US" w:eastAsia="zh-CN"/>
        </w:rPr>
        <w:t>11</w:t>
      </w:r>
      <w:r>
        <w:rPr>
          <w:rFonts w:ascii="仿宋_GB2312;仿宋" w:hAnsi="仿宋_GB2312;仿宋" w:eastAsia="仿宋_GB2312;仿宋" w:cs="仿宋_GB2312;仿宋"/>
          <w:sz w:val="32"/>
          <w:szCs w:val="32"/>
          <w:lang w:val="en-US" w:eastAsia="zh-CN"/>
        </w:rPr>
        <w:t>名</w:t>
      </w:r>
      <w:r>
        <w:rPr>
          <w:rFonts w:ascii="仿宋_GB2312;仿宋" w:hAnsi="仿宋_GB2312;仿宋" w:eastAsia="仿宋_GB2312;仿宋" w:cs="仿宋_GB2312;仿宋"/>
          <w:sz w:val="32"/>
          <w:szCs w:val="32"/>
        </w:rPr>
        <w:t>。</w:t>
      </w:r>
    </w:p>
    <w:p>
      <w:pPr>
        <w:pStyle w:val="4"/>
        <w:spacing w:line="340" w:lineRule="exact"/>
      </w:pPr>
      <w:r>
        <w:rPr>
          <w:rFonts w:ascii="黑体" w:hAnsi="黑体" w:eastAsia="黑体" w:cs="黑体"/>
          <w:sz w:val="32"/>
          <w:szCs w:val="32"/>
        </w:rPr>
        <w:t>三、收支预算情况</w:t>
      </w:r>
    </w:p>
    <w:p>
      <w:pPr>
        <w:pStyle w:val="4"/>
        <w:spacing w:line="340" w:lineRule="exact"/>
      </w:pPr>
      <w:r>
        <w:rPr>
          <w:rFonts w:ascii="仿宋_GB2312;仿宋" w:hAnsi="仿宋_GB2312;仿宋" w:eastAsia="仿宋_GB2312;仿宋" w:cs="仿宋_GB2312;仿宋"/>
          <w:sz w:val="32"/>
          <w:szCs w:val="32"/>
          <w:lang w:eastAsia="zh-CN"/>
        </w:rPr>
        <w:t xml:space="preserve">    </w:t>
      </w:r>
      <w:r>
        <w:rPr>
          <w:rFonts w:hint="eastAsia" w:ascii="仿宋_GB2312;仿宋" w:hAnsi="仿宋_GB2312;仿宋" w:eastAsia="仿宋_GB2312;仿宋" w:cs="仿宋_GB2312;仿宋"/>
          <w:sz w:val="32"/>
          <w:szCs w:val="32"/>
          <w:lang w:eastAsia="zh-CN"/>
        </w:rPr>
        <w:t>通江县龙凤场镇长乐小学</w:t>
      </w:r>
      <w:r>
        <w:rPr>
          <w:rFonts w:ascii="仿宋_GB2312;仿宋" w:hAnsi="仿宋_GB2312;仿宋" w:eastAsia="仿宋_GB2312;仿宋" w:cs="仿宋_GB2312;仿宋"/>
          <w:sz w:val="32"/>
          <w:szCs w:val="32"/>
        </w:rPr>
        <w:t>按照综合预算原则，将全部收入和支出纳入预算管理。收入包括：一般公共预算拨款收入</w:t>
      </w:r>
      <w:r>
        <w:rPr>
          <w:rFonts w:hint="eastAsia" w:ascii="仿宋_GB2312;仿宋" w:hAnsi="仿宋_GB2312;仿宋" w:eastAsia="仿宋_GB2312;仿宋" w:cs="仿宋_GB2312;仿宋"/>
          <w:color w:val="auto"/>
          <w:kern w:val="2"/>
          <w:sz w:val="32"/>
          <w:szCs w:val="32"/>
          <w:lang w:val="en-US" w:eastAsia="zh-CN" w:bidi="ar-SA"/>
        </w:rPr>
        <w:t>292.473983</w:t>
      </w:r>
      <w:r>
        <w:rPr>
          <w:rFonts w:ascii="仿宋_GB2312;仿宋" w:hAnsi="仿宋_GB2312;仿宋" w:eastAsia="仿宋_GB2312;仿宋" w:cs="仿宋_GB2312;仿宋"/>
          <w:color w:val="auto"/>
          <w:kern w:val="2"/>
          <w:sz w:val="32"/>
          <w:szCs w:val="32"/>
          <w:lang w:val="en-US" w:eastAsia="zh-CN" w:bidi="ar-SA"/>
        </w:rPr>
        <w:t>万元</w:t>
      </w:r>
      <w:r>
        <w:rPr>
          <w:rFonts w:ascii="仿宋_GB2312;仿宋" w:hAnsi="仿宋_GB2312;仿宋" w:eastAsia="仿宋_GB2312;仿宋" w:cs="仿宋_GB2312;仿宋"/>
          <w:sz w:val="32"/>
          <w:szCs w:val="32"/>
        </w:rPr>
        <w:t>。支出包括：</w:t>
      </w:r>
      <w:r>
        <w:rPr>
          <w:rFonts w:ascii="仿宋_GB2312;仿宋" w:hAnsi="仿宋_GB2312;仿宋" w:eastAsia="仿宋_GB2312;仿宋" w:cs="仿宋_GB2312;仿宋"/>
          <w:sz w:val="32"/>
          <w:szCs w:val="32"/>
          <w:lang w:eastAsia="zh-CN"/>
        </w:rPr>
        <w:t>人员经费</w:t>
      </w:r>
      <w:r>
        <w:rPr>
          <w:rFonts w:hint="eastAsia" w:ascii="仿宋_GB2312;仿宋" w:hAnsi="仿宋_GB2312;仿宋" w:eastAsia="仿宋_GB2312;仿宋" w:cs="仿宋_GB2312;仿宋"/>
          <w:color w:val="auto"/>
          <w:kern w:val="2"/>
          <w:sz w:val="32"/>
          <w:szCs w:val="32"/>
          <w:lang w:val="en-US" w:eastAsia="zh-CN" w:bidi="ar-SA"/>
        </w:rPr>
        <w:t>269.209910</w:t>
      </w:r>
      <w:r>
        <w:rPr>
          <w:rFonts w:ascii="仿宋_GB2312;仿宋" w:hAnsi="仿宋_GB2312;仿宋" w:eastAsia="仿宋_GB2312;仿宋" w:cs="仿宋_GB2312;仿宋"/>
          <w:color w:val="auto"/>
          <w:kern w:val="2"/>
          <w:sz w:val="32"/>
          <w:szCs w:val="32"/>
          <w:lang w:val="en-US" w:eastAsia="zh-CN" w:bidi="ar-SA"/>
        </w:rPr>
        <w:t>万元</w:t>
      </w:r>
      <w:r>
        <w:rPr>
          <w:rFonts w:ascii="仿宋_GB2312;仿宋" w:hAnsi="仿宋_GB2312;仿宋" w:eastAsia="仿宋_GB2312;仿宋" w:cs="仿宋_GB2312;仿宋"/>
          <w:sz w:val="32"/>
          <w:szCs w:val="32"/>
          <w:lang w:eastAsia="zh-CN"/>
        </w:rPr>
        <w:t>，公用经费</w:t>
      </w:r>
      <w:r>
        <w:rPr>
          <w:rFonts w:hint="eastAsia" w:ascii="仿宋_GB2312;仿宋" w:hAnsi="仿宋_GB2312;仿宋" w:eastAsia="仿宋_GB2312;仿宋" w:cs="仿宋_GB2312;仿宋"/>
          <w:sz w:val="32"/>
          <w:szCs w:val="32"/>
          <w:lang w:val="en-US" w:eastAsia="zh-CN"/>
        </w:rPr>
        <w:t>23.264073</w:t>
      </w:r>
      <w:r>
        <w:rPr>
          <w:rFonts w:ascii="仿宋_GB2312;仿宋" w:hAnsi="仿宋_GB2312;仿宋" w:eastAsia="仿宋_GB2312;仿宋" w:cs="仿宋_GB2312;仿宋"/>
          <w:sz w:val="32"/>
          <w:szCs w:val="32"/>
          <w:lang w:val="en-US" w:eastAsia="zh-CN"/>
        </w:rPr>
        <w:t>万</w:t>
      </w:r>
      <w:r>
        <w:rPr>
          <w:rFonts w:ascii="仿宋_GB2312;仿宋" w:hAnsi="仿宋_GB2312;仿宋" w:eastAsia="仿宋_GB2312;仿宋" w:cs="仿宋_GB2312;仿宋"/>
          <w:sz w:val="32"/>
          <w:szCs w:val="32"/>
          <w:lang w:eastAsia="zh-CN"/>
        </w:rPr>
        <w:t>元</w:t>
      </w:r>
      <w:r>
        <w:rPr>
          <w:rFonts w:ascii="仿宋_GB2312;仿宋" w:hAnsi="仿宋_GB2312;仿宋" w:eastAsia="仿宋_GB2312;仿宋" w:cs="仿宋_GB2312;仿宋"/>
          <w:sz w:val="32"/>
          <w:szCs w:val="32"/>
        </w:rPr>
        <w:t>。2022年收支预算总数为</w:t>
      </w:r>
      <w:r>
        <w:rPr>
          <w:rFonts w:hint="eastAsia" w:ascii="仿宋_GB2312;仿宋" w:hAnsi="仿宋_GB2312;仿宋" w:eastAsia="仿宋_GB2312;仿宋" w:cs="仿宋_GB2312;仿宋"/>
          <w:color w:val="auto"/>
          <w:kern w:val="2"/>
          <w:sz w:val="32"/>
          <w:szCs w:val="32"/>
          <w:lang w:val="en-US" w:eastAsia="zh-CN" w:bidi="ar-SA"/>
        </w:rPr>
        <w:t>292.473983</w:t>
      </w:r>
      <w:r>
        <w:rPr>
          <w:rFonts w:ascii="仿宋_GB2312;仿宋" w:hAnsi="仿宋_GB2312;仿宋" w:eastAsia="仿宋_GB2312;仿宋" w:cs="仿宋_GB2312;仿宋"/>
          <w:sz w:val="32"/>
          <w:szCs w:val="32"/>
        </w:rPr>
        <w:t>万元，比2021年收支预算总数减少</w:t>
      </w:r>
      <w:r>
        <w:rPr>
          <w:rFonts w:hint="eastAsia" w:ascii="仿宋_GB2312;仿宋" w:hAnsi="仿宋_GB2312;仿宋" w:eastAsia="仿宋_GB2312;仿宋" w:cs="仿宋_GB2312;仿宋"/>
          <w:sz w:val="32"/>
          <w:szCs w:val="32"/>
          <w:lang w:val="en-US" w:eastAsia="zh-CN"/>
        </w:rPr>
        <w:t>5.842972</w:t>
      </w:r>
      <w:r>
        <w:rPr>
          <w:rFonts w:ascii="仿宋_GB2312;仿宋" w:hAnsi="仿宋_GB2312;仿宋" w:eastAsia="仿宋_GB2312;仿宋" w:cs="仿宋_GB2312;仿宋"/>
          <w:sz w:val="32"/>
          <w:szCs w:val="32"/>
        </w:rPr>
        <w:t>万元，主要原因是</w:t>
      </w:r>
      <w:r>
        <w:rPr>
          <w:rFonts w:ascii="仿宋_GB2312;仿宋" w:hAnsi="仿宋_GB2312;仿宋" w:eastAsia="仿宋_GB2312;仿宋" w:cs="仿宋_GB2312;仿宋"/>
          <w:sz w:val="32"/>
          <w:szCs w:val="32"/>
          <w:lang w:eastAsia="zh-CN"/>
        </w:rPr>
        <w:t>学生人数</w:t>
      </w:r>
      <w:r>
        <w:rPr>
          <w:rFonts w:hint="eastAsia" w:ascii="仿宋_GB2312;仿宋" w:hAnsi="仿宋_GB2312;仿宋" w:eastAsia="仿宋_GB2312;仿宋" w:cs="仿宋_GB2312;仿宋"/>
          <w:sz w:val="32"/>
          <w:szCs w:val="32"/>
          <w:lang w:val="en-US" w:eastAsia="zh-CN"/>
        </w:rPr>
        <w:t>较去年轻微</w:t>
      </w:r>
      <w:r>
        <w:rPr>
          <w:rFonts w:ascii="仿宋_GB2312;仿宋" w:hAnsi="仿宋_GB2312;仿宋" w:eastAsia="仿宋_GB2312;仿宋" w:cs="仿宋_GB2312;仿宋"/>
          <w:sz w:val="32"/>
          <w:szCs w:val="32"/>
          <w:lang w:eastAsia="zh-CN"/>
        </w:rPr>
        <w:t>减少，部分收入还未计入</w:t>
      </w:r>
      <w:r>
        <w:rPr>
          <w:rFonts w:ascii="仿宋_GB2312;仿宋" w:hAnsi="仿宋_GB2312;仿宋" w:eastAsia="仿宋_GB2312;仿宋" w:cs="仿宋_GB2312;仿宋"/>
          <w:sz w:val="32"/>
          <w:szCs w:val="32"/>
        </w:rPr>
        <w:t>。</w:t>
      </w:r>
    </w:p>
    <w:p>
      <w:pPr>
        <w:pStyle w:val="4"/>
        <w:spacing w:line="340" w:lineRule="exact"/>
      </w:pPr>
      <w:r>
        <w:rPr>
          <w:rFonts w:ascii="楷体" w:hAnsi="楷体" w:eastAsia="楷体" w:cs="楷体"/>
          <w:b/>
          <w:bCs/>
          <w:sz w:val="32"/>
          <w:szCs w:val="32"/>
        </w:rPr>
        <w:t>（一）</w:t>
      </w:r>
      <w:r>
        <w:rPr>
          <w:rFonts w:ascii="楷体_GB2312;楷体" w:hAnsi="楷体_GB2312;楷体" w:eastAsia="楷体_GB2312;楷体" w:cs="楷体_GB2312;楷体"/>
          <w:b/>
          <w:bCs/>
          <w:sz w:val="32"/>
          <w:szCs w:val="32"/>
        </w:rPr>
        <w:t>收入预算情况。</w:t>
      </w:r>
      <w:r>
        <w:rPr>
          <w:rFonts w:ascii="仿宋_GB2312;仿宋" w:hAnsi="仿宋_GB2312;仿宋" w:eastAsia="仿宋_GB2312;仿宋" w:cs="仿宋_GB2312;仿宋"/>
          <w:sz w:val="32"/>
          <w:szCs w:val="32"/>
        </w:rPr>
        <w:t>收入预算总额</w:t>
      </w:r>
      <w:r>
        <w:rPr>
          <w:rFonts w:hint="eastAsia" w:ascii="仿宋_GB2312;仿宋" w:hAnsi="仿宋_GB2312;仿宋" w:eastAsia="仿宋_GB2312;仿宋" w:cs="仿宋_GB2312;仿宋"/>
          <w:color w:val="auto"/>
          <w:kern w:val="2"/>
          <w:sz w:val="32"/>
          <w:szCs w:val="32"/>
          <w:lang w:val="en-US" w:eastAsia="zh-CN" w:bidi="ar-SA"/>
        </w:rPr>
        <w:t>292.473983</w:t>
      </w:r>
      <w:r>
        <w:rPr>
          <w:rFonts w:ascii="仿宋_GB2312;仿宋" w:hAnsi="仿宋_GB2312;仿宋" w:eastAsia="仿宋_GB2312;仿宋" w:cs="仿宋_GB2312;仿宋"/>
          <w:sz w:val="32"/>
          <w:szCs w:val="32"/>
        </w:rPr>
        <w:t>万元，其中：一般公共预算拨款收入</w:t>
      </w:r>
      <w:r>
        <w:rPr>
          <w:rFonts w:hint="eastAsia" w:ascii="仿宋_GB2312;仿宋" w:hAnsi="仿宋_GB2312;仿宋" w:eastAsia="仿宋_GB2312;仿宋" w:cs="仿宋_GB2312;仿宋"/>
          <w:color w:val="auto"/>
          <w:kern w:val="2"/>
          <w:sz w:val="32"/>
          <w:szCs w:val="32"/>
          <w:lang w:val="en-US" w:eastAsia="zh-CN" w:bidi="ar-SA"/>
        </w:rPr>
        <w:t>292.473983</w:t>
      </w:r>
      <w:r>
        <w:rPr>
          <w:rFonts w:ascii="仿宋_GB2312;仿宋" w:hAnsi="仿宋_GB2312;仿宋" w:eastAsia="仿宋_GB2312;仿宋" w:cs="仿宋_GB2312;仿宋"/>
          <w:sz w:val="32"/>
          <w:szCs w:val="32"/>
        </w:rPr>
        <w:t>万元，占总收入</w:t>
      </w:r>
      <w:r>
        <w:rPr>
          <w:rFonts w:ascii="仿宋_GB2312;仿宋" w:hAnsi="仿宋_GB2312;仿宋" w:eastAsia="仿宋_GB2312;仿宋" w:cs="仿宋_GB2312;仿宋"/>
          <w:sz w:val="32"/>
          <w:szCs w:val="32"/>
          <w:lang w:val="en-US" w:eastAsia="zh-CN"/>
        </w:rPr>
        <w:t>100</w:t>
      </w:r>
      <w:r>
        <w:rPr>
          <w:rFonts w:ascii="仿宋_GB2312;仿宋" w:hAnsi="仿宋_GB2312;仿宋" w:eastAsia="仿宋_GB2312;仿宋" w:cs="仿宋_GB2312;仿宋"/>
          <w:sz w:val="32"/>
          <w:szCs w:val="32"/>
        </w:rPr>
        <w:t>%，政府性基金预算拨款收入</w:t>
      </w:r>
      <w:r>
        <w:rPr>
          <w:rFonts w:ascii="仿宋_GB2312;仿宋" w:hAnsi="仿宋_GB2312;仿宋" w:eastAsia="仿宋_GB2312;仿宋" w:cs="仿宋_GB2312;仿宋"/>
          <w:sz w:val="32"/>
          <w:szCs w:val="32"/>
          <w:lang w:val="en-US" w:eastAsia="zh-CN"/>
        </w:rPr>
        <w:t>0</w:t>
      </w:r>
      <w:r>
        <w:rPr>
          <w:rFonts w:ascii="仿宋_GB2312;仿宋" w:hAnsi="仿宋_GB2312;仿宋" w:eastAsia="仿宋_GB2312;仿宋" w:cs="仿宋_GB2312;仿宋"/>
          <w:sz w:val="32"/>
          <w:szCs w:val="32"/>
        </w:rPr>
        <w:t>万元，占总收入</w:t>
      </w:r>
      <w:r>
        <w:rPr>
          <w:rFonts w:ascii="仿宋_GB2312;仿宋" w:hAnsi="仿宋_GB2312;仿宋" w:eastAsia="仿宋_GB2312;仿宋" w:cs="仿宋_GB2312;仿宋"/>
          <w:sz w:val="32"/>
          <w:szCs w:val="32"/>
          <w:lang w:val="en-US" w:eastAsia="zh-CN"/>
        </w:rPr>
        <w:t>0</w:t>
      </w:r>
      <w:r>
        <w:rPr>
          <w:rFonts w:ascii="仿宋_GB2312;仿宋" w:hAnsi="仿宋_GB2312;仿宋" w:eastAsia="仿宋_GB2312;仿宋" w:cs="仿宋_GB2312;仿宋"/>
          <w:sz w:val="32"/>
          <w:szCs w:val="32"/>
        </w:rPr>
        <w:t>%。</w:t>
      </w:r>
    </w:p>
    <w:p>
      <w:pPr>
        <w:pStyle w:val="4"/>
        <w:spacing w:line="340" w:lineRule="exact"/>
      </w:pPr>
      <w:r>
        <w:rPr>
          <w:rFonts w:ascii="楷体" w:hAnsi="楷体" w:eastAsia="楷体" w:cs="楷体"/>
          <w:b/>
          <w:bCs/>
          <w:sz w:val="32"/>
          <w:szCs w:val="32"/>
        </w:rPr>
        <w:t>（二）</w:t>
      </w:r>
      <w:r>
        <w:rPr>
          <w:rFonts w:ascii="楷体_GB2312;楷体" w:hAnsi="楷体_GB2312;楷体" w:eastAsia="楷体_GB2312;楷体" w:cs="楷体_GB2312;楷体"/>
          <w:b/>
          <w:bCs/>
          <w:sz w:val="32"/>
          <w:szCs w:val="32"/>
        </w:rPr>
        <w:t>支出预算情况。</w:t>
      </w:r>
      <w:r>
        <w:rPr>
          <w:rFonts w:ascii="仿宋_GB2312;仿宋" w:hAnsi="仿宋_GB2312;仿宋" w:eastAsia="仿宋_GB2312;仿宋" w:cs="仿宋_GB2312;仿宋"/>
          <w:sz w:val="32"/>
          <w:szCs w:val="32"/>
        </w:rPr>
        <w:t>支出预算总额</w:t>
      </w:r>
      <w:r>
        <w:rPr>
          <w:rFonts w:hint="eastAsia" w:ascii="仿宋_GB2312;仿宋" w:hAnsi="仿宋_GB2312;仿宋" w:eastAsia="仿宋_GB2312;仿宋" w:cs="仿宋_GB2312;仿宋"/>
          <w:color w:val="auto"/>
          <w:kern w:val="2"/>
          <w:sz w:val="32"/>
          <w:szCs w:val="32"/>
          <w:lang w:val="en-US" w:eastAsia="zh-CN" w:bidi="ar-SA"/>
        </w:rPr>
        <w:t>292.473983</w:t>
      </w:r>
      <w:r>
        <w:rPr>
          <w:rFonts w:ascii="仿宋_GB2312;仿宋" w:hAnsi="仿宋_GB2312;仿宋" w:eastAsia="仿宋_GB2312;仿宋" w:cs="仿宋_GB2312;仿宋"/>
          <w:sz w:val="32"/>
          <w:szCs w:val="32"/>
        </w:rPr>
        <w:t>万元，其中：基本支出</w:t>
      </w:r>
      <w:r>
        <w:rPr>
          <w:rFonts w:hint="eastAsia" w:ascii="仿宋_GB2312;仿宋" w:hAnsi="仿宋_GB2312;仿宋" w:eastAsia="仿宋_GB2312;仿宋" w:cs="仿宋_GB2312;仿宋"/>
          <w:color w:val="auto"/>
          <w:kern w:val="2"/>
          <w:sz w:val="32"/>
          <w:szCs w:val="32"/>
          <w:lang w:val="en-US" w:eastAsia="zh-CN" w:bidi="ar-SA"/>
        </w:rPr>
        <w:t>292.473983</w:t>
      </w:r>
      <w:r>
        <w:rPr>
          <w:rFonts w:ascii="仿宋_GB2312;仿宋" w:hAnsi="仿宋_GB2312;仿宋" w:eastAsia="仿宋_GB2312;仿宋" w:cs="仿宋_GB2312;仿宋"/>
          <w:sz w:val="32"/>
          <w:szCs w:val="32"/>
        </w:rPr>
        <w:t>万元，占总支出</w:t>
      </w:r>
      <w:r>
        <w:rPr>
          <w:rFonts w:ascii="仿宋_GB2312;仿宋" w:hAnsi="仿宋_GB2312;仿宋" w:eastAsia="仿宋_GB2312;仿宋" w:cs="仿宋_GB2312;仿宋"/>
          <w:sz w:val="32"/>
          <w:szCs w:val="32"/>
          <w:lang w:val="en-US" w:eastAsia="zh-CN"/>
        </w:rPr>
        <w:t>100</w:t>
      </w:r>
      <w:r>
        <w:rPr>
          <w:rFonts w:ascii="仿宋_GB2312;仿宋" w:hAnsi="仿宋_GB2312;仿宋" w:eastAsia="仿宋_GB2312;仿宋" w:cs="仿宋_GB2312;仿宋"/>
          <w:sz w:val="32"/>
          <w:szCs w:val="32"/>
        </w:rPr>
        <w:t>%，项目支出</w:t>
      </w:r>
      <w:r>
        <w:rPr>
          <w:rFonts w:ascii="仿宋_GB2312;仿宋" w:hAnsi="仿宋_GB2312;仿宋" w:eastAsia="仿宋_GB2312;仿宋" w:cs="仿宋_GB2312;仿宋"/>
          <w:sz w:val="32"/>
          <w:szCs w:val="32"/>
          <w:lang w:val="en-US" w:eastAsia="zh-CN"/>
        </w:rPr>
        <w:t>0</w:t>
      </w:r>
      <w:r>
        <w:rPr>
          <w:rFonts w:ascii="仿宋_GB2312;仿宋" w:hAnsi="仿宋_GB2312;仿宋" w:eastAsia="仿宋_GB2312;仿宋" w:cs="仿宋_GB2312;仿宋"/>
          <w:sz w:val="32"/>
          <w:szCs w:val="32"/>
        </w:rPr>
        <w:t>万元，占总支出</w:t>
      </w:r>
      <w:r>
        <w:rPr>
          <w:rFonts w:ascii="仿宋_GB2312;仿宋" w:hAnsi="仿宋_GB2312;仿宋" w:eastAsia="仿宋_GB2312;仿宋" w:cs="仿宋_GB2312;仿宋"/>
          <w:sz w:val="32"/>
          <w:szCs w:val="32"/>
          <w:lang w:val="en-US" w:eastAsia="zh-CN"/>
        </w:rPr>
        <w:t>0</w:t>
      </w:r>
      <w:r>
        <w:rPr>
          <w:rFonts w:ascii="仿宋_GB2312;仿宋" w:hAnsi="仿宋_GB2312;仿宋" w:eastAsia="仿宋_GB2312;仿宋" w:cs="仿宋_GB2312;仿宋"/>
          <w:sz w:val="32"/>
          <w:szCs w:val="32"/>
        </w:rPr>
        <w:t>%。</w:t>
      </w:r>
    </w:p>
    <w:p>
      <w:pPr>
        <w:pStyle w:val="4"/>
        <w:spacing w:line="340" w:lineRule="exact"/>
      </w:pPr>
      <w:r>
        <w:rPr>
          <w:rFonts w:ascii="黑体" w:hAnsi="黑体" w:eastAsia="黑体" w:cs="黑体"/>
          <w:sz w:val="32"/>
          <w:szCs w:val="32"/>
        </w:rPr>
        <w:t>四、财政拨款收支预算情况</w:t>
      </w:r>
    </w:p>
    <w:p>
      <w:pPr>
        <w:pStyle w:val="4"/>
        <w:spacing w:line="340" w:lineRule="exact"/>
      </w:pPr>
      <w:r>
        <w:rPr>
          <w:rFonts w:ascii="仿宋_GB2312;仿宋" w:hAnsi="仿宋_GB2312;仿宋" w:eastAsia="仿宋_GB2312;仿宋" w:cs="仿宋_GB2312;仿宋"/>
          <w:sz w:val="32"/>
          <w:szCs w:val="32"/>
        </w:rPr>
        <w:t xml:space="preserve">    2022年财政拨款收支总预算</w:t>
      </w:r>
      <w:r>
        <w:rPr>
          <w:rFonts w:hint="eastAsia" w:ascii="仿宋_GB2312;仿宋" w:hAnsi="仿宋_GB2312;仿宋" w:eastAsia="仿宋_GB2312;仿宋" w:cs="仿宋_GB2312;仿宋"/>
          <w:color w:val="auto"/>
          <w:kern w:val="2"/>
          <w:sz w:val="32"/>
          <w:szCs w:val="32"/>
          <w:lang w:val="en-US" w:eastAsia="zh-CN" w:bidi="ar-SA"/>
        </w:rPr>
        <w:t>292.473983</w:t>
      </w:r>
      <w:r>
        <w:rPr>
          <w:rFonts w:ascii="仿宋_GB2312;仿宋" w:hAnsi="仿宋_GB2312;仿宋" w:eastAsia="仿宋_GB2312;仿宋" w:cs="仿宋_GB2312;仿宋"/>
          <w:sz w:val="32"/>
          <w:szCs w:val="32"/>
        </w:rPr>
        <w:t>万元，比2021年财政拨款收支总预算减少</w:t>
      </w:r>
      <w:r>
        <w:rPr>
          <w:rFonts w:hint="eastAsia" w:ascii="仿宋_GB2312;仿宋" w:hAnsi="仿宋_GB2312;仿宋" w:eastAsia="仿宋_GB2312;仿宋" w:cs="仿宋_GB2312;仿宋"/>
          <w:sz w:val="32"/>
          <w:szCs w:val="32"/>
          <w:lang w:val="en-US" w:eastAsia="zh-CN"/>
        </w:rPr>
        <w:t>5.842972</w:t>
      </w:r>
      <w:r>
        <w:rPr>
          <w:rFonts w:ascii="仿宋_GB2312;仿宋" w:hAnsi="仿宋_GB2312;仿宋" w:eastAsia="仿宋_GB2312;仿宋" w:cs="仿宋_GB2312;仿宋"/>
          <w:sz w:val="32"/>
          <w:szCs w:val="32"/>
        </w:rPr>
        <w:t>万元，主要原因是</w:t>
      </w:r>
      <w:r>
        <w:rPr>
          <w:rFonts w:ascii="仿宋_GB2312;仿宋" w:hAnsi="仿宋_GB2312;仿宋" w:eastAsia="仿宋_GB2312;仿宋" w:cs="仿宋_GB2312;仿宋"/>
          <w:sz w:val="32"/>
          <w:szCs w:val="32"/>
          <w:lang w:eastAsia="zh-CN"/>
        </w:rPr>
        <w:t>学生人数减少，部分收入还未计入</w:t>
      </w:r>
      <w:r>
        <w:rPr>
          <w:rFonts w:ascii="仿宋_GB2312;仿宋" w:hAnsi="仿宋_GB2312;仿宋" w:eastAsia="仿宋_GB2312;仿宋" w:cs="仿宋_GB2312;仿宋"/>
          <w:sz w:val="32"/>
          <w:szCs w:val="32"/>
        </w:rPr>
        <w:t>。</w:t>
      </w:r>
    </w:p>
    <w:p>
      <w:pPr>
        <w:pStyle w:val="4"/>
        <w:spacing w:line="340" w:lineRule="exact"/>
      </w:pPr>
      <w:r>
        <w:rPr>
          <w:rFonts w:ascii="仿宋_GB2312;仿宋" w:hAnsi="仿宋_GB2312;仿宋" w:eastAsia="仿宋_GB2312;仿宋" w:cs="仿宋_GB2312;仿宋"/>
          <w:sz w:val="32"/>
          <w:szCs w:val="32"/>
        </w:rPr>
        <w:t xml:space="preserve">    收入包括：一般公共预算拨款收入</w:t>
      </w:r>
      <w:r>
        <w:rPr>
          <w:rFonts w:hint="eastAsia" w:ascii="仿宋_GB2312;仿宋" w:hAnsi="仿宋_GB2312;仿宋" w:eastAsia="仿宋_GB2312;仿宋" w:cs="仿宋_GB2312;仿宋"/>
          <w:color w:val="auto"/>
          <w:kern w:val="2"/>
          <w:sz w:val="32"/>
          <w:szCs w:val="32"/>
          <w:lang w:val="en-US" w:eastAsia="zh-CN" w:bidi="ar-SA"/>
        </w:rPr>
        <w:t>292.473983</w:t>
      </w:r>
      <w:r>
        <w:rPr>
          <w:rFonts w:ascii="仿宋_GB2312;仿宋" w:hAnsi="仿宋_GB2312;仿宋" w:eastAsia="仿宋_GB2312;仿宋" w:cs="仿宋_GB2312;仿宋"/>
          <w:sz w:val="32"/>
          <w:szCs w:val="32"/>
        </w:rPr>
        <w:t>万元，政府性基金预算拨款收入</w:t>
      </w:r>
      <w:r>
        <w:rPr>
          <w:rFonts w:ascii="仿宋_GB2312;仿宋" w:hAnsi="仿宋_GB2312;仿宋" w:eastAsia="仿宋_GB2312;仿宋" w:cs="仿宋_GB2312;仿宋"/>
          <w:sz w:val="32"/>
          <w:szCs w:val="32"/>
          <w:lang w:val="en-US" w:eastAsia="zh-CN"/>
        </w:rPr>
        <w:t>0</w:t>
      </w:r>
      <w:r>
        <w:rPr>
          <w:rFonts w:ascii="仿宋_GB2312;仿宋" w:hAnsi="仿宋_GB2312;仿宋" w:eastAsia="仿宋_GB2312;仿宋" w:cs="仿宋_GB2312;仿宋"/>
          <w:sz w:val="32"/>
          <w:szCs w:val="32"/>
        </w:rPr>
        <w:t>万元</w:t>
      </w:r>
      <w:r>
        <w:rPr>
          <w:rFonts w:ascii="仿宋_GB2312;仿宋" w:hAnsi="仿宋_GB2312;仿宋" w:eastAsia="仿宋_GB2312;仿宋" w:cs="仿宋_GB2312;仿宋"/>
          <w:sz w:val="32"/>
          <w:szCs w:val="32"/>
          <w:lang w:val="en-US" w:eastAsia="zh-CN"/>
        </w:rPr>
        <w:t>0</w:t>
      </w:r>
      <w:r>
        <w:rPr>
          <w:rFonts w:ascii="仿宋_GB2312;仿宋" w:hAnsi="仿宋_GB2312;仿宋" w:eastAsia="仿宋_GB2312;仿宋" w:cs="仿宋_GB2312;仿宋"/>
          <w:sz w:val="32"/>
          <w:szCs w:val="32"/>
        </w:rPr>
        <w:t>。支出包括：一般公共服务支出</w:t>
      </w:r>
      <w:r>
        <w:rPr>
          <w:rFonts w:hint="eastAsia" w:ascii="仿宋_GB2312;仿宋" w:hAnsi="仿宋_GB2312;仿宋" w:eastAsia="仿宋_GB2312;仿宋" w:cs="仿宋_GB2312;仿宋"/>
          <w:color w:val="auto"/>
          <w:kern w:val="2"/>
          <w:sz w:val="32"/>
          <w:szCs w:val="32"/>
          <w:lang w:val="en-US" w:eastAsia="zh-CN" w:bidi="ar-SA"/>
        </w:rPr>
        <w:t>292.473983</w:t>
      </w:r>
      <w:r>
        <w:rPr>
          <w:rFonts w:ascii="仿宋_GB2312;仿宋" w:hAnsi="仿宋_GB2312;仿宋" w:eastAsia="仿宋_GB2312;仿宋" w:cs="仿宋_GB2312;仿宋"/>
          <w:sz w:val="32"/>
          <w:szCs w:val="32"/>
        </w:rPr>
        <w:t>万元。</w:t>
      </w:r>
    </w:p>
    <w:p>
      <w:pPr>
        <w:pStyle w:val="4"/>
        <w:spacing w:line="340" w:lineRule="exact"/>
      </w:pPr>
      <w:r>
        <w:rPr>
          <w:rFonts w:ascii="黑体" w:hAnsi="黑体" w:eastAsia="黑体" w:cs="黑体"/>
          <w:sz w:val="32"/>
          <w:szCs w:val="32"/>
        </w:rPr>
        <w:t>五、一般公共预算支出情况</w:t>
      </w:r>
    </w:p>
    <w:p>
      <w:pPr>
        <w:pStyle w:val="4"/>
        <w:spacing w:line="340" w:lineRule="exact"/>
      </w:pPr>
      <w:r>
        <w:rPr>
          <w:rFonts w:ascii="仿宋_GB2312;仿宋" w:hAnsi="仿宋_GB2312;仿宋" w:eastAsia="仿宋_GB2312;仿宋" w:cs="仿宋_GB2312;仿宋"/>
          <w:sz w:val="32"/>
          <w:szCs w:val="32"/>
        </w:rPr>
        <w:t xml:space="preserve">    2022年一般公共预算财政拨款</w:t>
      </w:r>
      <w:r>
        <w:rPr>
          <w:rFonts w:hint="eastAsia" w:ascii="仿宋_GB2312;仿宋" w:hAnsi="仿宋_GB2312;仿宋" w:eastAsia="仿宋_GB2312;仿宋" w:cs="仿宋_GB2312;仿宋"/>
          <w:color w:val="auto"/>
          <w:kern w:val="2"/>
          <w:sz w:val="32"/>
          <w:szCs w:val="32"/>
          <w:lang w:val="en-US" w:eastAsia="zh-CN" w:bidi="ar-SA"/>
        </w:rPr>
        <w:t>292.473983</w:t>
      </w:r>
      <w:r>
        <w:rPr>
          <w:rFonts w:ascii="仿宋_GB2312;仿宋" w:hAnsi="仿宋_GB2312;仿宋" w:eastAsia="仿宋_GB2312;仿宋" w:cs="仿宋_GB2312;仿宋"/>
          <w:sz w:val="32"/>
          <w:szCs w:val="32"/>
        </w:rPr>
        <w:t>万元，比2021年减少</w:t>
      </w:r>
      <w:r>
        <w:rPr>
          <w:rFonts w:hint="eastAsia" w:ascii="仿宋_GB2312;仿宋" w:hAnsi="仿宋_GB2312;仿宋" w:eastAsia="仿宋_GB2312;仿宋" w:cs="仿宋_GB2312;仿宋"/>
          <w:sz w:val="32"/>
          <w:szCs w:val="32"/>
          <w:lang w:val="en-US" w:eastAsia="zh-CN"/>
        </w:rPr>
        <w:t>5.842972</w:t>
      </w:r>
      <w:r>
        <w:rPr>
          <w:rFonts w:ascii="仿宋_GB2312;仿宋" w:hAnsi="仿宋_GB2312;仿宋" w:eastAsia="仿宋_GB2312;仿宋" w:cs="仿宋_GB2312;仿宋"/>
          <w:sz w:val="32"/>
          <w:szCs w:val="32"/>
        </w:rPr>
        <w:t>万元，主要原因是</w:t>
      </w:r>
      <w:r>
        <w:rPr>
          <w:rFonts w:ascii="仿宋_GB2312;仿宋" w:hAnsi="仿宋_GB2312;仿宋" w:eastAsia="仿宋_GB2312;仿宋" w:cs="仿宋_GB2312;仿宋"/>
          <w:sz w:val="32"/>
          <w:szCs w:val="32"/>
          <w:lang w:eastAsia="zh-CN"/>
        </w:rPr>
        <w:t>学生人数减少，部分收入还未计入</w:t>
      </w:r>
      <w:r>
        <w:rPr>
          <w:rFonts w:ascii="仿宋_GB2312;仿宋" w:hAnsi="仿宋_GB2312;仿宋" w:eastAsia="仿宋_GB2312;仿宋" w:cs="仿宋_GB2312;仿宋"/>
          <w:sz w:val="32"/>
          <w:szCs w:val="32"/>
        </w:rPr>
        <w:t>。</w:t>
      </w:r>
    </w:p>
    <w:p>
      <w:pPr>
        <w:pStyle w:val="4"/>
        <w:spacing w:line="340" w:lineRule="exact"/>
      </w:pPr>
      <w:r>
        <w:rPr>
          <w:rFonts w:ascii="楷体" w:hAnsi="楷体" w:eastAsia="楷体" w:cs="楷体"/>
          <w:b/>
          <w:bCs/>
          <w:sz w:val="32"/>
          <w:szCs w:val="32"/>
        </w:rPr>
        <w:t>（一）基本支出</w:t>
      </w:r>
      <w:r>
        <w:rPr>
          <w:rFonts w:hint="eastAsia" w:ascii="仿宋_GB2312;仿宋" w:hAnsi="仿宋_GB2312;仿宋" w:eastAsia="仿宋_GB2312;仿宋" w:cs="仿宋_GB2312;仿宋"/>
          <w:color w:val="auto"/>
          <w:kern w:val="2"/>
          <w:sz w:val="32"/>
          <w:szCs w:val="32"/>
          <w:lang w:val="en-US" w:eastAsia="zh-CN" w:bidi="ar-SA"/>
        </w:rPr>
        <w:t>292.473983</w:t>
      </w:r>
      <w:r>
        <w:rPr>
          <w:rFonts w:ascii="楷体" w:hAnsi="楷体" w:eastAsia="楷体" w:cs="楷体"/>
          <w:b/>
          <w:bCs/>
          <w:sz w:val="32"/>
          <w:szCs w:val="32"/>
        </w:rPr>
        <w:t>万元，其中：</w:t>
      </w:r>
    </w:p>
    <w:p>
      <w:pPr>
        <w:pStyle w:val="4"/>
        <w:spacing w:line="340" w:lineRule="exact"/>
      </w:pPr>
      <w:r>
        <w:rPr>
          <w:rFonts w:ascii="仿宋_GB2312;仿宋" w:hAnsi="仿宋_GB2312;仿宋" w:eastAsia="仿宋_GB2312;仿宋" w:cs="仿宋_GB2312;仿宋"/>
          <w:b/>
          <w:bCs/>
          <w:sz w:val="32"/>
          <w:szCs w:val="32"/>
        </w:rPr>
        <w:t xml:space="preserve">    1.人员经费</w:t>
      </w:r>
      <w:r>
        <w:rPr>
          <w:rFonts w:hint="eastAsia" w:ascii="仿宋_GB2312;仿宋" w:hAnsi="仿宋_GB2312;仿宋" w:eastAsia="仿宋_GB2312;仿宋" w:cs="仿宋_GB2312;仿宋"/>
          <w:color w:val="auto"/>
          <w:kern w:val="2"/>
          <w:sz w:val="32"/>
          <w:szCs w:val="32"/>
          <w:lang w:val="en-US" w:eastAsia="zh-CN" w:bidi="ar-SA"/>
        </w:rPr>
        <w:t>269.209910</w:t>
      </w:r>
      <w:r>
        <w:rPr>
          <w:rFonts w:ascii="仿宋_GB2312;仿宋" w:hAnsi="仿宋_GB2312;仿宋" w:eastAsia="仿宋_GB2312;仿宋" w:cs="仿宋_GB2312;仿宋"/>
          <w:b/>
          <w:bCs/>
          <w:sz w:val="32"/>
          <w:szCs w:val="32"/>
        </w:rPr>
        <w:t>万元，</w:t>
      </w:r>
      <w:r>
        <w:rPr>
          <w:rFonts w:ascii="仿宋_GB2312;仿宋" w:hAnsi="仿宋_GB2312;仿宋" w:eastAsia="仿宋_GB2312;仿宋" w:cs="仿宋_GB2312;仿宋"/>
          <w:sz w:val="32"/>
          <w:szCs w:val="32"/>
        </w:rPr>
        <w:t>主要包括：基本工资、绩效工资、津贴补贴、机关事业单位养老保险、职工基本医疗保险缴费、奖金、住房公积金、医疗费补助、抚恤费、生活补助等支出。</w:t>
      </w:r>
    </w:p>
    <w:p>
      <w:pPr>
        <w:pStyle w:val="4"/>
        <w:spacing w:line="340" w:lineRule="exact"/>
      </w:pPr>
      <w:r>
        <w:rPr>
          <w:rFonts w:ascii="仿宋_GB2312;仿宋" w:hAnsi="仿宋_GB2312;仿宋" w:eastAsia="仿宋_GB2312;仿宋" w:cs="仿宋_GB2312;仿宋"/>
          <w:b/>
          <w:bCs/>
          <w:sz w:val="32"/>
          <w:szCs w:val="32"/>
        </w:rPr>
        <w:t xml:space="preserve">    2.公用经费</w:t>
      </w:r>
      <w:r>
        <w:rPr>
          <w:rFonts w:hint="eastAsia" w:ascii="仿宋_GB2312;仿宋" w:hAnsi="仿宋_GB2312;仿宋" w:eastAsia="仿宋_GB2312;仿宋" w:cs="仿宋_GB2312;仿宋"/>
          <w:sz w:val="32"/>
          <w:szCs w:val="32"/>
          <w:lang w:val="en-US" w:eastAsia="zh-CN"/>
        </w:rPr>
        <w:t>23.264073</w:t>
      </w:r>
      <w:r>
        <w:rPr>
          <w:rFonts w:ascii="仿宋_GB2312;仿宋" w:hAnsi="仿宋_GB2312;仿宋" w:eastAsia="仿宋_GB2312;仿宋" w:cs="仿宋_GB2312;仿宋"/>
          <w:b/>
          <w:bCs/>
          <w:sz w:val="32"/>
          <w:szCs w:val="32"/>
        </w:rPr>
        <w:t>万元，</w:t>
      </w:r>
      <w:r>
        <w:rPr>
          <w:rFonts w:ascii="仿宋_GB2312;仿宋" w:hAnsi="仿宋_GB2312;仿宋" w:eastAsia="仿宋_GB2312;仿宋" w:cs="仿宋_GB2312;仿宋"/>
          <w:sz w:val="32"/>
          <w:szCs w:val="32"/>
        </w:rPr>
        <w:t>主要包括：办公费、差旅费、邮电费、工会经费、公务用车运行维护费等支出。</w:t>
      </w:r>
    </w:p>
    <w:p>
      <w:pPr>
        <w:pStyle w:val="4"/>
        <w:spacing w:line="340" w:lineRule="exact"/>
      </w:pPr>
      <w:r>
        <w:rPr>
          <w:rFonts w:ascii="黑体" w:hAnsi="黑体" w:eastAsia="黑体" w:cs="黑体"/>
          <w:sz w:val="32"/>
          <w:szCs w:val="32"/>
        </w:rPr>
        <w:t>六、“三公”经费财政拨款预算安排情况</w:t>
      </w:r>
      <w:r>
        <w:rPr>
          <w:rFonts w:ascii="仿宋_GB2312;仿宋" w:hAnsi="仿宋_GB2312;仿宋" w:eastAsia="仿宋_GB2312;仿宋" w:cs="仿宋_GB2312;仿宋"/>
          <w:sz w:val="32"/>
          <w:szCs w:val="32"/>
        </w:rPr>
        <w:br w:type="textWrapping"/>
      </w:r>
      <w:r>
        <w:rPr>
          <w:rFonts w:ascii="仿宋_GB2312;仿宋" w:hAnsi="仿宋_GB2312;仿宋" w:eastAsia="仿宋_GB2312;仿宋" w:cs="仿宋_GB2312;仿宋"/>
          <w:sz w:val="32"/>
          <w:szCs w:val="32"/>
        </w:rPr>
        <w:t>　　2022年“三公”经费财政拨款预算总额</w:t>
      </w:r>
      <w:r>
        <w:rPr>
          <w:rFonts w:ascii="仿宋_GB2312;仿宋" w:hAnsi="仿宋_GB2312;仿宋" w:eastAsia="仿宋_GB2312;仿宋" w:cs="仿宋_GB2312;仿宋"/>
          <w:sz w:val="32"/>
          <w:szCs w:val="32"/>
          <w:lang w:val="en-US" w:eastAsia="zh-CN"/>
        </w:rPr>
        <w:t>0.3</w:t>
      </w:r>
      <w:r>
        <w:rPr>
          <w:rFonts w:ascii="仿宋_GB2312;仿宋" w:hAnsi="仿宋_GB2312;仿宋" w:eastAsia="仿宋_GB2312;仿宋" w:cs="仿宋_GB2312;仿宋"/>
          <w:sz w:val="32"/>
          <w:szCs w:val="32"/>
        </w:rPr>
        <w:t>万元，比2021年预算总额减少</w:t>
      </w:r>
      <w:r>
        <w:rPr>
          <w:rFonts w:ascii="仿宋_GB2312;仿宋" w:hAnsi="仿宋_GB2312;仿宋" w:eastAsia="仿宋_GB2312;仿宋" w:cs="仿宋_GB2312;仿宋"/>
          <w:sz w:val="32"/>
          <w:szCs w:val="32"/>
          <w:lang w:val="en-US" w:eastAsia="zh-CN"/>
        </w:rPr>
        <w:t>0</w:t>
      </w:r>
      <w:r>
        <w:rPr>
          <w:rFonts w:ascii="仿宋_GB2312;仿宋" w:hAnsi="仿宋_GB2312;仿宋" w:eastAsia="仿宋_GB2312;仿宋" w:cs="仿宋_GB2312;仿宋"/>
          <w:sz w:val="32"/>
          <w:szCs w:val="32"/>
        </w:rPr>
        <w:t>万元，其中：</w:t>
      </w:r>
    </w:p>
    <w:p>
      <w:pPr>
        <w:pStyle w:val="4"/>
        <w:spacing w:line="340" w:lineRule="exact"/>
      </w:pPr>
      <w:r>
        <w:rPr>
          <w:rFonts w:ascii="仿宋_GB2312;仿宋" w:hAnsi="仿宋_GB2312;仿宋" w:eastAsia="仿宋_GB2312;仿宋" w:cs="仿宋_GB2312;仿宋"/>
          <w:sz w:val="32"/>
          <w:szCs w:val="32"/>
        </w:rPr>
        <w:t xml:space="preserve">   （一）因公出国（境）经费</w:t>
      </w:r>
      <w:r>
        <w:rPr>
          <w:rFonts w:ascii="仿宋_GB2312;仿宋" w:hAnsi="仿宋_GB2312;仿宋" w:eastAsia="仿宋_GB2312;仿宋" w:cs="仿宋_GB2312;仿宋"/>
          <w:sz w:val="32"/>
          <w:szCs w:val="32"/>
          <w:lang w:val="en-US" w:eastAsia="zh-CN"/>
        </w:rPr>
        <w:t>0</w:t>
      </w:r>
      <w:r>
        <w:rPr>
          <w:rFonts w:ascii="仿宋_GB2312;仿宋" w:hAnsi="仿宋_GB2312;仿宋" w:eastAsia="仿宋_GB2312;仿宋" w:cs="仿宋_GB2312;仿宋"/>
          <w:sz w:val="32"/>
          <w:szCs w:val="32"/>
        </w:rPr>
        <w:t>万元，较2021年预算增长</w:t>
      </w:r>
      <w:r>
        <w:rPr>
          <w:rFonts w:hint="eastAsia" w:ascii="仿宋_GB2312;仿宋" w:hAnsi="仿宋_GB2312;仿宋" w:eastAsia="仿宋_GB2312;仿宋" w:cs="仿宋_GB2312;仿宋"/>
          <w:sz w:val="32"/>
          <w:szCs w:val="32"/>
          <w:lang w:eastAsia="zh-CN"/>
        </w:rPr>
        <w:t>（</w:t>
      </w:r>
      <w:r>
        <w:rPr>
          <w:rFonts w:ascii="仿宋_GB2312;仿宋" w:hAnsi="仿宋_GB2312;仿宋" w:eastAsia="仿宋_GB2312;仿宋" w:cs="仿宋_GB2312;仿宋"/>
          <w:sz w:val="32"/>
          <w:szCs w:val="32"/>
        </w:rPr>
        <w:t>减少</w:t>
      </w:r>
      <w:r>
        <w:rPr>
          <w:rFonts w:hint="eastAsia" w:ascii="仿宋_GB2312;仿宋" w:hAnsi="仿宋_GB2312;仿宋" w:eastAsia="仿宋_GB2312;仿宋" w:cs="仿宋_GB2312;仿宋"/>
          <w:sz w:val="32"/>
          <w:szCs w:val="32"/>
          <w:lang w:eastAsia="zh-CN"/>
        </w:rPr>
        <w:t>）</w:t>
      </w:r>
      <w:r>
        <w:rPr>
          <w:rFonts w:ascii="仿宋_GB2312;仿宋" w:hAnsi="仿宋_GB2312;仿宋" w:eastAsia="仿宋_GB2312;仿宋" w:cs="仿宋_GB2312;仿宋"/>
          <w:sz w:val="32"/>
          <w:szCs w:val="32"/>
          <w:lang w:val="en-US" w:eastAsia="zh-CN"/>
        </w:rPr>
        <w:t>0</w:t>
      </w:r>
      <w:r>
        <w:rPr>
          <w:rFonts w:ascii="仿宋_GB2312;仿宋" w:hAnsi="仿宋_GB2312;仿宋" w:eastAsia="仿宋_GB2312;仿宋" w:cs="仿宋_GB2312;仿宋"/>
          <w:sz w:val="32"/>
          <w:szCs w:val="32"/>
        </w:rPr>
        <w:t>%，主要原因是2022年未安排因公出国（境）经费。</w:t>
      </w:r>
    </w:p>
    <w:p>
      <w:pPr>
        <w:pStyle w:val="4"/>
        <w:spacing w:line="340" w:lineRule="exact"/>
      </w:pPr>
      <w:r>
        <w:rPr>
          <w:rFonts w:ascii="仿宋_GB2312;仿宋" w:hAnsi="仿宋_GB2312;仿宋" w:eastAsia="仿宋_GB2312;仿宋" w:cs="仿宋_GB2312;仿宋"/>
          <w:sz w:val="32"/>
          <w:szCs w:val="32"/>
        </w:rPr>
        <w:t xml:space="preserve">   （二）公务接待费</w:t>
      </w:r>
      <w:r>
        <w:rPr>
          <w:rFonts w:ascii="仿宋_GB2312;仿宋" w:hAnsi="仿宋_GB2312;仿宋" w:eastAsia="仿宋_GB2312;仿宋" w:cs="仿宋_GB2312;仿宋"/>
          <w:sz w:val="32"/>
          <w:szCs w:val="32"/>
          <w:lang w:val="en-US" w:eastAsia="zh-CN"/>
        </w:rPr>
        <w:t>0.3</w:t>
      </w:r>
      <w:r>
        <w:rPr>
          <w:rFonts w:ascii="仿宋_GB2312;仿宋" w:hAnsi="仿宋_GB2312;仿宋" w:eastAsia="仿宋_GB2312;仿宋" w:cs="仿宋_GB2312;仿宋"/>
          <w:sz w:val="32"/>
          <w:szCs w:val="32"/>
        </w:rPr>
        <w:t>万元，较2021年预算减少</w:t>
      </w:r>
      <w:r>
        <w:rPr>
          <w:rFonts w:ascii="仿宋_GB2312;仿宋" w:hAnsi="仿宋_GB2312;仿宋" w:eastAsia="仿宋_GB2312;仿宋" w:cs="仿宋_GB2312;仿宋"/>
          <w:color w:val="auto"/>
          <w:kern w:val="2"/>
          <w:sz w:val="32"/>
          <w:szCs w:val="32"/>
          <w:lang w:val="en-US" w:eastAsia="zh-CN" w:bidi="ar-SA"/>
        </w:rPr>
        <w:t>0</w:t>
      </w:r>
      <w:r>
        <w:rPr>
          <w:rFonts w:ascii="仿宋_GB2312;仿宋" w:hAnsi="仿宋_GB2312;仿宋" w:eastAsia="仿宋_GB2312;仿宋" w:cs="仿宋_GB2312;仿宋"/>
          <w:sz w:val="32"/>
          <w:szCs w:val="32"/>
        </w:rPr>
        <w:t>%，主要原因</w:t>
      </w:r>
      <w:r>
        <w:rPr>
          <w:rFonts w:ascii="仿宋_GB2312;仿宋" w:hAnsi="仿宋_GB2312;仿宋" w:eastAsia="仿宋_GB2312;仿宋" w:cs="仿宋_GB2312;仿宋"/>
          <w:sz w:val="32"/>
          <w:szCs w:val="32"/>
          <w:lang w:eastAsia="zh-CN"/>
        </w:rPr>
        <w:t>控制接待</w:t>
      </w:r>
      <w:r>
        <w:rPr>
          <w:rFonts w:ascii="仿宋_GB2312;仿宋" w:hAnsi="仿宋_GB2312;仿宋" w:eastAsia="仿宋_GB2312;仿宋" w:cs="仿宋_GB2312;仿宋"/>
          <w:sz w:val="32"/>
          <w:szCs w:val="32"/>
        </w:rPr>
        <w:t>。</w:t>
      </w:r>
    </w:p>
    <w:p>
      <w:pPr>
        <w:pStyle w:val="4"/>
        <w:spacing w:line="340" w:lineRule="exact"/>
      </w:pPr>
      <w:r>
        <w:rPr>
          <w:rFonts w:ascii="黑体" w:hAnsi="黑体" w:eastAsia="黑体" w:cs="黑体"/>
          <w:sz w:val="32"/>
          <w:szCs w:val="32"/>
        </w:rPr>
        <w:t>七、政府性基金预算支出情况</w:t>
      </w:r>
    </w:p>
    <w:p>
      <w:pPr>
        <w:pStyle w:val="4"/>
        <w:spacing w:line="340" w:lineRule="exact"/>
      </w:pPr>
      <w:r>
        <w:rPr>
          <w:rFonts w:ascii="仿宋_GB2312;仿宋" w:hAnsi="仿宋_GB2312;仿宋" w:eastAsia="仿宋_GB2312;仿宋" w:cs="仿宋_GB2312;仿宋"/>
          <w:sz w:val="32"/>
          <w:szCs w:val="32"/>
        </w:rPr>
        <w:t xml:space="preserve">    2022年政府性基金预算支出无预算安排。</w:t>
      </w:r>
    </w:p>
    <w:p>
      <w:pPr>
        <w:pStyle w:val="4"/>
        <w:spacing w:line="340" w:lineRule="exact"/>
      </w:pPr>
      <w:r>
        <w:rPr>
          <w:rFonts w:ascii="黑体" w:hAnsi="黑体" w:eastAsia="黑体" w:cs="黑体"/>
          <w:sz w:val="32"/>
          <w:szCs w:val="32"/>
        </w:rPr>
        <w:t>八、国有资本经营预算支出情况</w:t>
      </w:r>
    </w:p>
    <w:p>
      <w:pPr>
        <w:pStyle w:val="4"/>
        <w:spacing w:line="340" w:lineRule="exact"/>
      </w:pPr>
      <w:r>
        <w:rPr>
          <w:rFonts w:ascii="仿宋_GB2312;仿宋" w:hAnsi="仿宋_GB2312;仿宋" w:eastAsia="仿宋_GB2312;仿宋" w:cs="仿宋_GB2312;仿宋"/>
          <w:sz w:val="32"/>
          <w:szCs w:val="32"/>
        </w:rPr>
        <w:t xml:space="preserve">    2022年国有资本经营预算支出无预算安排。</w:t>
      </w:r>
    </w:p>
    <w:p>
      <w:pPr>
        <w:pStyle w:val="4"/>
        <w:numPr>
          <w:ilvl w:val="0"/>
          <w:numId w:val="2"/>
        </w:numPr>
        <w:spacing w:line="340" w:lineRule="exact"/>
      </w:pPr>
      <w:r>
        <w:rPr>
          <w:rFonts w:ascii="黑体" w:hAnsi="黑体" w:eastAsia="黑体" w:cs="黑体"/>
          <w:sz w:val="32"/>
          <w:szCs w:val="32"/>
        </w:rPr>
        <w:t>机关运行经费情况</w:t>
      </w:r>
    </w:p>
    <w:p>
      <w:pPr>
        <w:pStyle w:val="4"/>
        <w:spacing w:line="340" w:lineRule="exact"/>
      </w:pPr>
      <w:r>
        <w:rPr>
          <w:rFonts w:ascii="仿宋_GB2312;仿宋" w:hAnsi="仿宋_GB2312;仿宋" w:eastAsia="仿宋_GB2312;仿宋" w:cs="仿宋_GB2312;仿宋"/>
          <w:sz w:val="32"/>
          <w:szCs w:val="32"/>
          <w:lang w:eastAsia="zh-CN"/>
        </w:rPr>
        <w:t xml:space="preserve">    无机关运行经费</w:t>
      </w:r>
    </w:p>
    <w:p>
      <w:pPr>
        <w:pStyle w:val="4"/>
        <w:spacing w:line="340" w:lineRule="exact"/>
      </w:pPr>
      <w:r>
        <w:rPr>
          <w:rFonts w:ascii="黑体" w:hAnsi="黑体" w:eastAsia="黑体" w:cs="黑体"/>
          <w:sz w:val="32"/>
          <w:szCs w:val="32"/>
        </w:rPr>
        <w:t>十、政府采购及政府购买公共服务情况</w:t>
      </w:r>
    </w:p>
    <w:p>
      <w:pPr>
        <w:pStyle w:val="4"/>
        <w:spacing w:line="340" w:lineRule="exact"/>
      </w:pPr>
      <w:r>
        <w:rPr>
          <w:rFonts w:ascii="仿宋_GB2312;仿宋" w:hAnsi="仿宋_GB2312;仿宋" w:eastAsia="仿宋_GB2312;仿宋" w:cs="仿宋_GB2312;仿宋"/>
          <w:sz w:val="32"/>
          <w:szCs w:val="32"/>
        </w:rPr>
        <w:t xml:space="preserve">    2022年政府采购支出</w:t>
      </w:r>
      <w:r>
        <w:rPr>
          <w:rFonts w:ascii="仿宋_GB2312;仿宋" w:hAnsi="仿宋_GB2312;仿宋" w:eastAsia="仿宋_GB2312;仿宋" w:cs="仿宋_GB2312;仿宋"/>
          <w:sz w:val="32"/>
          <w:szCs w:val="32"/>
          <w:lang w:val="en-US" w:eastAsia="zh-CN"/>
        </w:rPr>
        <w:t>0.</w:t>
      </w:r>
      <w:r>
        <w:rPr>
          <w:rFonts w:hint="eastAsia" w:ascii="仿宋_GB2312;仿宋" w:hAnsi="仿宋_GB2312;仿宋" w:eastAsia="仿宋_GB2312;仿宋" w:cs="仿宋_GB2312;仿宋"/>
          <w:sz w:val="32"/>
          <w:szCs w:val="32"/>
          <w:lang w:val="en-US" w:eastAsia="zh-CN"/>
        </w:rPr>
        <w:t>6</w:t>
      </w:r>
      <w:r>
        <w:rPr>
          <w:rFonts w:ascii="仿宋_GB2312;仿宋" w:hAnsi="仿宋_GB2312;仿宋" w:eastAsia="仿宋_GB2312;仿宋" w:cs="仿宋_GB2312;仿宋"/>
          <w:sz w:val="32"/>
          <w:szCs w:val="32"/>
        </w:rPr>
        <w:t>万元，主要是：</w:t>
      </w:r>
      <w:r>
        <w:rPr>
          <w:rFonts w:ascii="仿宋_GB2312;仿宋" w:hAnsi="仿宋_GB2312;仿宋" w:eastAsia="仿宋_GB2312;仿宋" w:cs="仿宋_GB2312;仿宋"/>
          <w:sz w:val="32"/>
          <w:szCs w:val="32"/>
          <w:lang w:eastAsia="zh-CN"/>
        </w:rPr>
        <w:t>用于办公设施设备更新换代</w:t>
      </w:r>
      <w:r>
        <w:rPr>
          <w:rFonts w:ascii="仿宋_GB2312;仿宋" w:hAnsi="仿宋_GB2312;仿宋" w:eastAsia="仿宋_GB2312;仿宋" w:cs="仿宋_GB2312;仿宋"/>
          <w:sz w:val="32"/>
          <w:szCs w:val="32"/>
        </w:rPr>
        <w:t>。</w:t>
      </w:r>
    </w:p>
    <w:p>
      <w:pPr>
        <w:pStyle w:val="4"/>
        <w:spacing w:line="340" w:lineRule="exact"/>
      </w:pPr>
      <w:r>
        <w:rPr>
          <w:rFonts w:ascii="黑体" w:hAnsi="黑体" w:eastAsia="黑体" w:cs="黑体"/>
          <w:sz w:val="32"/>
          <w:szCs w:val="32"/>
        </w:rPr>
        <w:t>十一、国有资产占用情况说明</w:t>
      </w:r>
    </w:p>
    <w:p>
      <w:pPr>
        <w:pStyle w:val="4"/>
        <w:spacing w:line="340" w:lineRule="exact"/>
      </w:pPr>
      <w:r>
        <w:rPr>
          <w:rFonts w:ascii="仿宋_GB2312;仿宋" w:hAnsi="仿宋_GB2312;仿宋" w:eastAsia="仿宋_GB2312;仿宋" w:cs="仿宋_GB2312;仿宋"/>
          <w:sz w:val="32"/>
          <w:szCs w:val="32"/>
        </w:rPr>
        <w:t xml:space="preserve">   </w:t>
      </w:r>
      <w:r>
        <w:rPr>
          <w:rFonts w:hint="eastAsia" w:ascii="仿宋_GB2312;仿宋" w:hAnsi="仿宋_GB2312;仿宋" w:eastAsia="仿宋_GB2312;仿宋" w:cs="仿宋_GB2312;仿宋"/>
          <w:sz w:val="32"/>
          <w:szCs w:val="32"/>
          <w:lang w:eastAsia="zh-CN"/>
        </w:rPr>
        <w:t>截至</w:t>
      </w:r>
      <w:r>
        <w:rPr>
          <w:rFonts w:ascii="仿宋_GB2312;仿宋" w:hAnsi="仿宋_GB2312;仿宋" w:eastAsia="仿宋_GB2312;仿宋" w:cs="仿宋_GB2312;仿宋"/>
          <w:sz w:val="32"/>
          <w:szCs w:val="32"/>
        </w:rPr>
        <w:t>2021年底，本部门所属各预算单位固定资产总额</w:t>
      </w:r>
      <w:r>
        <w:rPr>
          <w:rFonts w:hint="eastAsia" w:ascii="仿宋_GB2312;仿宋" w:hAnsi="仿宋_GB2312;仿宋" w:eastAsia="仿宋_GB2312;仿宋" w:cs="仿宋_GB2312;仿宋"/>
          <w:color w:val="auto"/>
          <w:kern w:val="2"/>
          <w:sz w:val="32"/>
          <w:szCs w:val="32"/>
          <w:lang w:val="en-US" w:eastAsia="zh-CN" w:bidi="ar-SA"/>
        </w:rPr>
        <w:t>436.552</w:t>
      </w:r>
      <w:r>
        <w:rPr>
          <w:rFonts w:ascii="仿宋_GB2312;仿宋" w:hAnsi="仿宋_GB2312;仿宋" w:eastAsia="仿宋_GB2312;仿宋" w:cs="仿宋_GB2312;仿宋"/>
          <w:sz w:val="32"/>
          <w:szCs w:val="32"/>
        </w:rPr>
        <w:t>万元。</w:t>
      </w:r>
    </w:p>
    <w:p>
      <w:pPr>
        <w:pStyle w:val="4"/>
        <w:spacing w:line="340" w:lineRule="exact"/>
      </w:pPr>
      <w:r>
        <w:rPr>
          <w:rFonts w:ascii="黑体" w:hAnsi="黑体" w:eastAsia="黑体" w:cs="黑体"/>
          <w:sz w:val="32"/>
          <w:szCs w:val="32"/>
        </w:rPr>
        <w:t>十二、预算绩效目标情况说明</w:t>
      </w:r>
    </w:p>
    <w:p>
      <w:pPr>
        <w:pStyle w:val="4"/>
        <w:spacing w:line="340" w:lineRule="exact"/>
      </w:pPr>
      <w:r>
        <w:rPr>
          <w:rFonts w:ascii="仿宋_GB2312;仿宋" w:hAnsi="仿宋_GB2312;仿宋" w:eastAsia="仿宋_GB2312;仿宋" w:cs="仿宋_GB2312;仿宋"/>
          <w:sz w:val="32"/>
          <w:szCs w:val="32"/>
          <w:shd w:val="clear" w:fill="FFFFFF"/>
        </w:rPr>
        <w:t xml:space="preserve">    按照全面实施预算绩效管理要求，本部门2022年预算编制了整体支出绩效目标和项目支出绩效目标，其中：涉及项目</w:t>
      </w:r>
      <w:r>
        <w:rPr>
          <w:rFonts w:ascii="仿宋_GB2312;仿宋" w:hAnsi="仿宋_GB2312;仿宋" w:eastAsia="仿宋_GB2312;仿宋" w:cs="仿宋_GB2312;仿宋"/>
          <w:sz w:val="32"/>
          <w:szCs w:val="32"/>
          <w:shd w:val="clear" w:fill="FFFFFF"/>
          <w:lang w:val="en-US" w:eastAsia="zh-CN"/>
        </w:rPr>
        <w:t>0</w:t>
      </w:r>
      <w:r>
        <w:rPr>
          <w:rFonts w:ascii="仿宋_GB2312;仿宋" w:hAnsi="仿宋_GB2312;仿宋" w:eastAsia="仿宋_GB2312;仿宋" w:cs="仿宋_GB2312;仿宋"/>
          <w:sz w:val="32"/>
          <w:szCs w:val="32"/>
          <w:shd w:val="clear" w:fill="FFFFFF"/>
        </w:rPr>
        <w:t>个，预算项目资金</w:t>
      </w:r>
      <w:r>
        <w:rPr>
          <w:rFonts w:ascii="仿宋_GB2312;仿宋" w:hAnsi="仿宋_GB2312;仿宋" w:eastAsia="仿宋_GB2312;仿宋" w:cs="仿宋_GB2312;仿宋"/>
          <w:sz w:val="32"/>
          <w:szCs w:val="32"/>
          <w:shd w:val="clear" w:fill="FFFFFF"/>
          <w:lang w:val="en-US" w:eastAsia="zh-CN"/>
        </w:rPr>
        <w:t>0</w:t>
      </w:r>
      <w:r>
        <w:rPr>
          <w:rFonts w:ascii="仿宋_GB2312;仿宋" w:hAnsi="仿宋_GB2312;仿宋" w:eastAsia="仿宋_GB2312;仿宋" w:cs="仿宋_GB2312;仿宋"/>
          <w:sz w:val="32"/>
          <w:szCs w:val="32"/>
          <w:shd w:val="clear" w:fill="FFFFFF"/>
        </w:rPr>
        <w:t>万元。</w:t>
      </w:r>
    </w:p>
    <w:p>
      <w:pPr>
        <w:pStyle w:val="4"/>
        <w:spacing w:line="340" w:lineRule="exact"/>
      </w:pPr>
      <w:r>
        <w:rPr>
          <w:rFonts w:ascii="黑体" w:hAnsi="黑体" w:eastAsia="黑体" w:cs="黑体"/>
          <w:sz w:val="32"/>
          <w:szCs w:val="32"/>
        </w:rPr>
        <w:t>十三、名词解释</w:t>
      </w:r>
    </w:p>
    <w:p>
      <w:pPr>
        <w:pStyle w:val="7"/>
        <w:widowControl/>
        <w:spacing w:line="340" w:lineRule="exact"/>
      </w:pPr>
      <w:r>
        <w:rPr>
          <w:rFonts w:ascii="楷体_GB2312;楷体" w:hAnsi="楷体_GB2312;楷体" w:eastAsia="楷体_GB2312;楷体" w:cs="楷体_GB2312;楷体"/>
          <w:b/>
          <w:bCs/>
          <w:kern w:val="2"/>
          <w:sz w:val="32"/>
          <w:szCs w:val="32"/>
          <w:shd w:val="clear" w:fill="FFFFFF"/>
        </w:rPr>
        <w:t xml:space="preserve">   （一）一般公共预算拨款收入</w:t>
      </w:r>
      <w:r>
        <w:rPr>
          <w:rFonts w:ascii="仿宋_GB2312;仿宋" w:hAnsi="仿宋_GB2312;仿宋" w:eastAsia="仿宋_GB2312;仿宋" w:cs="仿宋_GB2312;仿宋"/>
          <w:b/>
          <w:bCs/>
          <w:kern w:val="2"/>
          <w:sz w:val="32"/>
          <w:szCs w:val="32"/>
          <w:shd w:val="clear" w:fill="FFFFFF"/>
        </w:rPr>
        <w:t>：</w:t>
      </w:r>
      <w:r>
        <w:rPr>
          <w:rFonts w:ascii="仿宋_GB2312;仿宋" w:hAnsi="仿宋_GB2312;仿宋" w:eastAsia="仿宋_GB2312;仿宋" w:cs="仿宋_GB2312;仿宋"/>
          <w:kern w:val="2"/>
          <w:sz w:val="32"/>
          <w:szCs w:val="32"/>
          <w:shd w:val="clear" w:fill="FFFFFF"/>
        </w:rPr>
        <w:t>指财政一般公共预算当年安排拨付的资金。</w:t>
      </w:r>
      <w:r>
        <w:rPr>
          <w:rFonts w:ascii="仿宋_GB2312;仿宋" w:hAnsi="仿宋_GB2312;仿宋" w:eastAsia="仿宋_GB2312;仿宋" w:cs="仿宋_GB2312;仿宋"/>
          <w:kern w:val="2"/>
          <w:sz w:val="32"/>
          <w:szCs w:val="32"/>
          <w:shd w:val="clear" w:fill="FFFFFF"/>
        </w:rPr>
        <w:br w:type="textWrapping"/>
      </w:r>
      <w:r>
        <w:rPr>
          <w:rFonts w:ascii="仿宋_GB2312;仿宋" w:hAnsi="仿宋_GB2312;仿宋" w:eastAsia="仿宋_GB2312;仿宋" w:cs="仿宋_GB2312;仿宋"/>
          <w:kern w:val="2"/>
          <w:sz w:val="32"/>
          <w:szCs w:val="32"/>
          <w:shd w:val="clear" w:fill="FFFFFF"/>
        </w:rPr>
        <w:t xml:space="preserve">   </w:t>
      </w:r>
      <w:r>
        <w:rPr>
          <w:rFonts w:ascii="楷体_GB2312;楷体" w:hAnsi="楷体_GB2312;楷体" w:eastAsia="楷体_GB2312;楷体" w:cs="楷体_GB2312;楷体"/>
          <w:b/>
          <w:bCs/>
          <w:kern w:val="2"/>
          <w:sz w:val="32"/>
          <w:szCs w:val="32"/>
          <w:shd w:val="clear" w:fill="FFFFFF"/>
        </w:rPr>
        <w:t>（二）上年结转收入：</w:t>
      </w:r>
      <w:r>
        <w:rPr>
          <w:rFonts w:ascii="仿宋_GB2312;仿宋" w:hAnsi="仿宋_GB2312;仿宋" w:eastAsia="仿宋_GB2312;仿宋" w:cs="仿宋_GB2312;仿宋"/>
          <w:kern w:val="2"/>
          <w:sz w:val="32"/>
          <w:szCs w:val="32"/>
          <w:shd w:val="clear" w:fill="FFFFFF"/>
        </w:rPr>
        <w:t>指以前年度尚未完成，结转到本年仍按原规定用途继续使用的资金。</w:t>
      </w:r>
    </w:p>
    <w:p>
      <w:pPr>
        <w:pStyle w:val="7"/>
        <w:widowControl/>
        <w:spacing w:line="340" w:lineRule="exact"/>
      </w:pPr>
      <w:r>
        <w:rPr>
          <w:rFonts w:ascii="楷体_GB2312;楷体" w:hAnsi="楷体_GB2312;楷体" w:eastAsia="楷体_GB2312;楷体" w:cs="楷体_GB2312;楷体"/>
          <w:b/>
          <w:bCs/>
          <w:kern w:val="2"/>
          <w:sz w:val="32"/>
          <w:szCs w:val="32"/>
          <w:shd w:val="clear" w:fill="FFFFFF"/>
        </w:rPr>
        <w:t xml:space="preserve">   （三）事业收入：</w:t>
      </w:r>
      <w:r>
        <w:rPr>
          <w:rFonts w:ascii="楷体_GB2312;楷体" w:hAnsi="楷体_GB2312;楷体" w:eastAsia="楷体_GB2312;楷体" w:cs="楷体_GB2312;楷体"/>
          <w:kern w:val="2"/>
          <w:sz w:val="32"/>
          <w:szCs w:val="32"/>
          <w:shd w:val="clear" w:fill="FFFFFF"/>
        </w:rPr>
        <w:t>指</w:t>
      </w:r>
      <w:r>
        <w:rPr>
          <w:rFonts w:ascii="仿宋_GB2312;仿宋" w:hAnsi="仿宋_GB2312;仿宋" w:eastAsia="仿宋_GB2312;仿宋" w:cs="仿宋_GB2312;仿宋"/>
          <w:kern w:val="2"/>
          <w:sz w:val="32"/>
          <w:szCs w:val="32"/>
          <w:shd w:val="clear" w:fill="FFFFFF"/>
        </w:rPr>
        <w:t>事业单位开展专业业务活动及其辅助活动实现的收入，不包括从同级财政部门取得的各类财政拨款。</w:t>
      </w:r>
    </w:p>
    <w:p>
      <w:pPr>
        <w:pStyle w:val="7"/>
        <w:widowControl/>
        <w:spacing w:line="340" w:lineRule="exact"/>
      </w:pPr>
      <w:r>
        <w:rPr>
          <w:rFonts w:ascii="楷体_GB2312;楷体" w:hAnsi="楷体_GB2312;楷体" w:eastAsia="楷体_GB2312;楷体" w:cs="楷体_GB2312;楷体"/>
          <w:b/>
          <w:bCs/>
          <w:kern w:val="2"/>
          <w:sz w:val="32"/>
          <w:szCs w:val="32"/>
          <w:shd w:val="clear" w:fill="FFFFFF"/>
        </w:rPr>
        <w:t xml:space="preserve">   （四）事业单位经营收入：</w:t>
      </w:r>
      <w:r>
        <w:rPr>
          <w:rFonts w:ascii="楷体_GB2312;楷体" w:hAnsi="楷体_GB2312;楷体" w:eastAsia="楷体_GB2312;楷体" w:cs="楷体_GB2312;楷体"/>
          <w:kern w:val="2"/>
          <w:sz w:val="32"/>
          <w:szCs w:val="32"/>
          <w:shd w:val="clear" w:fill="FFFFFF"/>
        </w:rPr>
        <w:t>指</w:t>
      </w:r>
      <w:r>
        <w:rPr>
          <w:rFonts w:ascii="仿宋_GB2312;仿宋" w:hAnsi="仿宋_GB2312;仿宋" w:eastAsia="仿宋_GB2312;仿宋" w:cs="仿宋_GB2312;仿宋"/>
          <w:kern w:val="2"/>
          <w:sz w:val="32"/>
          <w:szCs w:val="32"/>
          <w:shd w:val="clear" w:fill="FFFFFF"/>
        </w:rPr>
        <w:t>除事业单位在专业业务活动及其辅助活动之外开展非独立核算经营活动取得的收入。</w:t>
      </w:r>
    </w:p>
    <w:p>
      <w:pPr>
        <w:pStyle w:val="7"/>
        <w:widowControl/>
        <w:spacing w:line="340" w:lineRule="exact"/>
      </w:pPr>
      <w:r>
        <w:rPr>
          <w:rFonts w:ascii="楷体_GB2312;楷体" w:hAnsi="楷体_GB2312;楷体" w:eastAsia="楷体_GB2312;楷体" w:cs="楷体_GB2312;楷体"/>
          <w:b/>
          <w:bCs/>
          <w:kern w:val="2"/>
          <w:sz w:val="32"/>
          <w:szCs w:val="32"/>
          <w:shd w:val="clear" w:fill="FFFFFF"/>
        </w:rPr>
        <w:t xml:space="preserve">   （五）其他收入：</w:t>
      </w:r>
      <w:r>
        <w:rPr>
          <w:rFonts w:ascii="仿宋_GB2312;仿宋" w:hAnsi="仿宋_GB2312;仿宋" w:eastAsia="仿宋_GB2312;仿宋" w:cs="仿宋_GB2312;仿宋"/>
          <w:kern w:val="2"/>
          <w:sz w:val="32"/>
          <w:szCs w:val="32"/>
          <w:shd w:val="clear" w:fill="FFFFFF"/>
        </w:rPr>
        <w:t>指除“一般公共预算拨款收入”、“事业收入”等以外的收入。主要是银行存款利息收入等。</w:t>
      </w:r>
      <w:r>
        <w:rPr>
          <w:rFonts w:ascii="仿宋_GB2312;仿宋" w:hAnsi="仿宋_GB2312;仿宋" w:eastAsia="仿宋_GB2312;仿宋" w:cs="仿宋_GB2312;仿宋"/>
          <w:kern w:val="2"/>
          <w:sz w:val="32"/>
          <w:szCs w:val="32"/>
          <w:shd w:val="clear" w:fill="FFFFFF"/>
        </w:rPr>
        <w:br w:type="textWrapping"/>
      </w:r>
      <w:r>
        <w:rPr>
          <w:rFonts w:ascii="仿宋_GB2312;仿宋" w:hAnsi="仿宋_GB2312;仿宋" w:eastAsia="仿宋_GB2312;仿宋" w:cs="仿宋_GB2312;仿宋"/>
          <w:kern w:val="2"/>
          <w:sz w:val="32"/>
          <w:szCs w:val="32"/>
          <w:shd w:val="clear" w:fill="FFFFFF"/>
        </w:rPr>
        <w:t xml:space="preserve">   </w:t>
      </w:r>
      <w:r>
        <w:rPr>
          <w:rFonts w:ascii="楷体_GB2312;楷体" w:hAnsi="楷体_GB2312;楷体" w:eastAsia="楷体_GB2312;楷体" w:cs="楷体_GB2312;楷体"/>
          <w:b/>
          <w:bCs/>
          <w:kern w:val="2"/>
          <w:sz w:val="32"/>
          <w:szCs w:val="32"/>
          <w:shd w:val="clear" w:fill="FFFFFF"/>
        </w:rPr>
        <w:t>（六）行政运行：</w:t>
      </w:r>
      <w:r>
        <w:rPr>
          <w:rFonts w:ascii="仿宋_GB2312;仿宋" w:hAnsi="仿宋_GB2312;仿宋" w:eastAsia="仿宋_GB2312;仿宋" w:cs="仿宋_GB2312;仿宋"/>
          <w:kern w:val="2"/>
          <w:sz w:val="32"/>
          <w:szCs w:val="32"/>
          <w:shd w:val="clear" w:fill="FFFFFF"/>
        </w:rPr>
        <w:t>指机关及参照公务员法管理事业单位用于保障正常运行、开展日常工作的基本支出。</w:t>
      </w:r>
      <w:r>
        <w:rPr>
          <w:rFonts w:ascii="仿宋_GB2312;仿宋" w:hAnsi="仿宋_GB2312;仿宋" w:eastAsia="仿宋_GB2312;仿宋" w:cs="仿宋_GB2312;仿宋"/>
          <w:kern w:val="2"/>
          <w:sz w:val="32"/>
          <w:szCs w:val="32"/>
          <w:shd w:val="clear" w:fill="FFFFFF"/>
        </w:rPr>
        <w:br w:type="textWrapping"/>
      </w:r>
      <w:r>
        <w:rPr>
          <w:rFonts w:ascii="仿宋_GB2312;仿宋" w:hAnsi="仿宋_GB2312;仿宋" w:eastAsia="仿宋_GB2312;仿宋" w:cs="仿宋_GB2312;仿宋"/>
          <w:kern w:val="2"/>
          <w:sz w:val="32"/>
          <w:szCs w:val="32"/>
          <w:shd w:val="clear" w:fill="FFFFFF"/>
        </w:rPr>
        <w:t xml:space="preserve">   </w:t>
      </w:r>
      <w:r>
        <w:rPr>
          <w:rFonts w:ascii="楷体_GB2312;楷体" w:hAnsi="楷体_GB2312;楷体" w:eastAsia="楷体_GB2312;楷体" w:cs="楷体_GB2312;楷体"/>
          <w:b/>
          <w:bCs/>
          <w:kern w:val="2"/>
          <w:sz w:val="32"/>
          <w:szCs w:val="32"/>
          <w:shd w:val="clear" w:fill="FFFFFF"/>
        </w:rPr>
        <w:t xml:space="preserve"> （七）事业运行：</w:t>
      </w:r>
      <w:r>
        <w:rPr>
          <w:rFonts w:ascii="仿宋_GB2312;仿宋" w:hAnsi="仿宋_GB2312;仿宋" w:eastAsia="仿宋_GB2312;仿宋" w:cs="仿宋_GB2312;仿宋"/>
          <w:kern w:val="2"/>
          <w:sz w:val="32"/>
          <w:szCs w:val="32"/>
          <w:shd w:val="clear" w:fill="FFFFFF"/>
        </w:rPr>
        <w:t>指事业单位用于保障机构正常运行、开展日常工作的基本支出。</w:t>
      </w:r>
      <w:r>
        <w:rPr>
          <w:rFonts w:ascii="仿宋_GB2312;仿宋" w:hAnsi="仿宋_GB2312;仿宋" w:eastAsia="仿宋_GB2312;仿宋" w:cs="仿宋_GB2312;仿宋"/>
          <w:kern w:val="2"/>
          <w:sz w:val="32"/>
          <w:szCs w:val="32"/>
          <w:shd w:val="clear" w:fill="FFFFFF"/>
        </w:rPr>
        <w:br w:type="textWrapping"/>
      </w:r>
      <w:r>
        <w:rPr>
          <w:rFonts w:ascii="仿宋_GB2312;仿宋" w:hAnsi="仿宋_GB2312;仿宋" w:eastAsia="仿宋_GB2312;仿宋" w:cs="仿宋_GB2312;仿宋"/>
          <w:kern w:val="2"/>
          <w:sz w:val="32"/>
          <w:szCs w:val="32"/>
          <w:shd w:val="clear" w:fill="FFFFFF"/>
        </w:rPr>
        <w:t xml:space="preserve">    </w:t>
      </w:r>
      <w:r>
        <w:rPr>
          <w:rFonts w:ascii="楷体_GB2312;楷体" w:hAnsi="楷体_GB2312;楷体" w:eastAsia="楷体_GB2312;楷体" w:cs="楷体_GB2312;楷体"/>
          <w:b/>
          <w:bCs/>
          <w:kern w:val="2"/>
          <w:sz w:val="32"/>
          <w:szCs w:val="32"/>
          <w:shd w:val="clear" w:fill="FFFFFF"/>
        </w:rPr>
        <w:t>（八）机关事业单位基本养老保险缴费：</w:t>
      </w:r>
      <w:r>
        <w:rPr>
          <w:rFonts w:ascii="仿宋_GB2312;仿宋" w:hAnsi="仿宋_GB2312;仿宋" w:eastAsia="仿宋_GB2312;仿宋" w:cs="仿宋_GB2312;仿宋"/>
          <w:kern w:val="2"/>
          <w:sz w:val="32"/>
          <w:szCs w:val="32"/>
          <w:shd w:val="clear" w:fill="FFFFFF"/>
        </w:rPr>
        <w:t>指部门实施养老保险制度由单位缴纳的养老保险费的支出。</w:t>
      </w:r>
      <w:r>
        <w:rPr>
          <w:rFonts w:ascii="仿宋_GB2312;仿宋" w:hAnsi="仿宋_GB2312;仿宋" w:eastAsia="仿宋_GB2312;仿宋" w:cs="仿宋_GB2312;仿宋"/>
          <w:kern w:val="2"/>
          <w:sz w:val="32"/>
          <w:szCs w:val="32"/>
          <w:shd w:val="clear" w:fill="FFFFFF"/>
        </w:rPr>
        <w:br w:type="textWrapping"/>
      </w:r>
      <w:r>
        <w:rPr>
          <w:rFonts w:ascii="仿宋_GB2312;仿宋" w:hAnsi="仿宋_GB2312;仿宋" w:eastAsia="仿宋_GB2312;仿宋" w:cs="仿宋_GB2312;仿宋"/>
          <w:kern w:val="2"/>
          <w:sz w:val="32"/>
          <w:szCs w:val="32"/>
          <w:shd w:val="clear" w:fill="FFFFFF"/>
        </w:rPr>
        <w:t xml:space="preserve">    </w:t>
      </w:r>
      <w:r>
        <w:rPr>
          <w:rFonts w:ascii="楷体_GB2312;楷体" w:hAnsi="楷体_GB2312;楷体" w:eastAsia="楷体_GB2312;楷体" w:cs="楷体_GB2312;楷体"/>
          <w:b/>
          <w:bCs/>
          <w:kern w:val="2"/>
          <w:sz w:val="32"/>
          <w:szCs w:val="32"/>
          <w:shd w:val="clear" w:fill="FFFFFF"/>
        </w:rPr>
        <w:t>（九）行政单位医疗：</w:t>
      </w:r>
      <w:r>
        <w:rPr>
          <w:rFonts w:ascii="仿宋_GB2312;仿宋" w:hAnsi="仿宋_GB2312;仿宋" w:eastAsia="仿宋_GB2312;仿宋" w:cs="仿宋_GB2312;仿宋"/>
          <w:kern w:val="2"/>
          <w:sz w:val="32"/>
          <w:szCs w:val="32"/>
          <w:shd w:val="clear" w:fill="FFFFFF"/>
        </w:rPr>
        <w:t>指机关及参照公务员法管理事业单位用于缴纳单位基本医疗保险支出。</w:t>
      </w:r>
    </w:p>
    <w:p>
      <w:pPr>
        <w:pStyle w:val="7"/>
        <w:widowControl/>
        <w:spacing w:line="340" w:lineRule="exact"/>
      </w:pPr>
      <w:r>
        <w:rPr>
          <w:rFonts w:ascii="楷体_GB2312;楷体" w:hAnsi="楷体_GB2312;楷体" w:eastAsia="楷体_GB2312;楷体" w:cs="楷体_GB2312;楷体"/>
          <w:b/>
          <w:bCs/>
          <w:kern w:val="2"/>
          <w:sz w:val="32"/>
          <w:szCs w:val="32"/>
          <w:shd w:val="clear" w:fill="FFFFFF"/>
        </w:rPr>
        <w:t xml:space="preserve">  （十）事业单位医疗：</w:t>
      </w:r>
      <w:r>
        <w:rPr>
          <w:rFonts w:ascii="仿宋_GB2312;仿宋" w:hAnsi="仿宋_GB2312;仿宋" w:eastAsia="仿宋_GB2312;仿宋" w:cs="仿宋_GB2312;仿宋"/>
          <w:kern w:val="2"/>
          <w:sz w:val="32"/>
          <w:szCs w:val="32"/>
          <w:shd w:val="clear" w:fill="FFFFFF"/>
        </w:rPr>
        <w:t>指事业单位用于缴纳单位基本医疗保险支出。</w:t>
      </w:r>
      <w:r>
        <w:rPr>
          <w:rFonts w:ascii="仿宋_GB2312;仿宋" w:hAnsi="仿宋_GB2312;仿宋" w:eastAsia="仿宋_GB2312;仿宋" w:cs="仿宋_GB2312;仿宋"/>
          <w:kern w:val="2"/>
          <w:sz w:val="32"/>
          <w:szCs w:val="32"/>
          <w:shd w:val="clear" w:fill="FFFFFF"/>
        </w:rPr>
        <w:br w:type="textWrapping"/>
      </w:r>
      <w:r>
        <w:rPr>
          <w:rFonts w:ascii="仿宋_GB2312;仿宋" w:hAnsi="仿宋_GB2312;仿宋" w:eastAsia="仿宋_GB2312;仿宋" w:cs="仿宋_GB2312;仿宋"/>
          <w:b/>
          <w:bCs/>
          <w:kern w:val="2"/>
          <w:sz w:val="32"/>
          <w:szCs w:val="32"/>
          <w:shd w:val="clear" w:fill="FFFFFF"/>
        </w:rPr>
        <w:t xml:space="preserve">   </w:t>
      </w:r>
      <w:r>
        <w:rPr>
          <w:rFonts w:ascii="楷体_GB2312;楷体" w:hAnsi="楷体_GB2312;楷体" w:eastAsia="楷体_GB2312;楷体" w:cs="楷体_GB2312;楷体"/>
          <w:b/>
          <w:bCs/>
          <w:kern w:val="2"/>
          <w:sz w:val="32"/>
          <w:szCs w:val="32"/>
          <w:shd w:val="clear" w:fill="FFFFFF"/>
        </w:rPr>
        <w:t>（十一）公务员医疗补助：</w:t>
      </w:r>
      <w:r>
        <w:rPr>
          <w:rFonts w:ascii="仿宋_GB2312;仿宋" w:hAnsi="仿宋_GB2312;仿宋" w:eastAsia="仿宋_GB2312;仿宋" w:cs="仿宋_GB2312;仿宋"/>
          <w:kern w:val="2"/>
          <w:sz w:val="32"/>
          <w:szCs w:val="32"/>
          <w:shd w:val="clear" w:fill="FFFFFF"/>
        </w:rPr>
        <w:t>指机关及参公管理事业单位用于集中缴纳公务员医疗补助支出。</w:t>
      </w:r>
      <w:r>
        <w:rPr>
          <w:rFonts w:ascii="仿宋_GB2312;仿宋" w:hAnsi="仿宋_GB2312;仿宋" w:eastAsia="仿宋_GB2312;仿宋" w:cs="仿宋_GB2312;仿宋"/>
          <w:kern w:val="2"/>
          <w:sz w:val="32"/>
          <w:szCs w:val="32"/>
          <w:shd w:val="clear" w:fill="FFFFFF"/>
        </w:rPr>
        <w:br w:type="textWrapping"/>
      </w:r>
      <w:r>
        <w:rPr>
          <w:rFonts w:ascii="仿宋_GB2312;仿宋" w:hAnsi="仿宋_GB2312;仿宋" w:eastAsia="仿宋_GB2312;仿宋" w:cs="仿宋_GB2312;仿宋"/>
          <w:b/>
          <w:bCs/>
          <w:kern w:val="2"/>
          <w:sz w:val="32"/>
          <w:szCs w:val="32"/>
          <w:shd w:val="clear" w:fill="FFFFFF"/>
        </w:rPr>
        <w:t xml:space="preserve">   </w:t>
      </w:r>
      <w:r>
        <w:rPr>
          <w:rFonts w:ascii="楷体_GB2312;楷体" w:hAnsi="楷体_GB2312;楷体" w:eastAsia="楷体_GB2312;楷体" w:cs="楷体_GB2312;楷体"/>
          <w:b/>
          <w:bCs/>
          <w:kern w:val="2"/>
          <w:sz w:val="32"/>
          <w:szCs w:val="32"/>
          <w:shd w:val="clear" w:fill="FFFFFF"/>
        </w:rPr>
        <w:t>（十二）住房公积金：</w:t>
      </w:r>
      <w:r>
        <w:rPr>
          <w:rFonts w:ascii="仿宋_GB2312;仿宋" w:hAnsi="仿宋_GB2312;仿宋" w:eastAsia="仿宋_GB2312;仿宋" w:cs="仿宋_GB2312;仿宋"/>
          <w:kern w:val="2"/>
          <w:sz w:val="32"/>
          <w:szCs w:val="32"/>
          <w:shd w:val="clear" w:fill="FFFFFF"/>
        </w:rPr>
        <w:t>指按照《住房公积金管理条例》规定，由单位及其在职职工缴存的长期住房储金。</w:t>
      </w:r>
      <w:r>
        <w:rPr>
          <w:rFonts w:ascii="仿宋_GB2312;仿宋" w:hAnsi="仿宋_GB2312;仿宋" w:eastAsia="仿宋_GB2312;仿宋" w:cs="仿宋_GB2312;仿宋"/>
          <w:b/>
          <w:bCs/>
          <w:kern w:val="2"/>
          <w:sz w:val="32"/>
          <w:szCs w:val="32"/>
          <w:shd w:val="clear" w:fill="FFFFFF"/>
        </w:rPr>
        <w:t xml:space="preserve">   </w:t>
      </w:r>
    </w:p>
    <w:p>
      <w:pPr>
        <w:pStyle w:val="7"/>
        <w:widowControl/>
        <w:spacing w:line="340" w:lineRule="exact"/>
      </w:pPr>
      <w:r>
        <w:rPr>
          <w:rFonts w:ascii="楷体_GB2312;楷体" w:hAnsi="楷体_GB2312;楷体" w:eastAsia="楷体_GB2312;楷体" w:cs="楷体_GB2312;楷体"/>
          <w:b/>
          <w:bCs/>
          <w:kern w:val="2"/>
          <w:sz w:val="32"/>
          <w:szCs w:val="32"/>
          <w:shd w:val="clear" w:fill="FFFFFF"/>
        </w:rPr>
        <w:t xml:space="preserve">   （十三）基本支出：</w:t>
      </w:r>
      <w:r>
        <w:rPr>
          <w:rFonts w:ascii="仿宋_GB2312;仿宋" w:hAnsi="仿宋_GB2312;仿宋" w:eastAsia="仿宋_GB2312;仿宋" w:cs="仿宋_GB2312;仿宋"/>
          <w:kern w:val="2"/>
          <w:sz w:val="32"/>
          <w:szCs w:val="32"/>
          <w:shd w:val="clear" w:fill="FFFFFF"/>
        </w:rPr>
        <w:t>指为保证机构正常运转，完成日常工作任务而发生的人员支出和公用支出。</w:t>
      </w:r>
      <w:r>
        <w:rPr>
          <w:rFonts w:ascii="仿宋_GB2312;仿宋" w:hAnsi="仿宋_GB2312;仿宋" w:eastAsia="仿宋_GB2312;仿宋" w:cs="仿宋_GB2312;仿宋"/>
          <w:kern w:val="2"/>
          <w:sz w:val="32"/>
          <w:szCs w:val="32"/>
          <w:shd w:val="clear" w:fill="FFFFFF"/>
        </w:rPr>
        <w:br w:type="textWrapping"/>
      </w:r>
      <w:r>
        <w:rPr>
          <w:rFonts w:ascii="仿宋_GB2312;仿宋" w:hAnsi="仿宋_GB2312;仿宋" w:eastAsia="仿宋_GB2312;仿宋" w:cs="仿宋_GB2312;仿宋"/>
          <w:kern w:val="2"/>
          <w:sz w:val="32"/>
          <w:szCs w:val="32"/>
          <w:shd w:val="clear" w:fill="FFFFFF"/>
        </w:rPr>
        <w:t xml:space="preserve"> </w:t>
      </w:r>
      <w:r>
        <w:rPr>
          <w:rFonts w:ascii="仿宋_GB2312;仿宋" w:hAnsi="仿宋_GB2312;仿宋" w:eastAsia="仿宋_GB2312;仿宋" w:cs="仿宋_GB2312;仿宋"/>
          <w:b/>
          <w:bCs/>
          <w:kern w:val="2"/>
          <w:sz w:val="32"/>
          <w:szCs w:val="32"/>
          <w:shd w:val="clear" w:fill="FFFFFF"/>
        </w:rPr>
        <w:t xml:space="preserve">   </w:t>
      </w:r>
      <w:r>
        <w:rPr>
          <w:rFonts w:ascii="楷体_GB2312;楷体" w:hAnsi="楷体_GB2312;楷体" w:eastAsia="楷体_GB2312;楷体" w:cs="楷体_GB2312;楷体"/>
          <w:b/>
          <w:bCs/>
          <w:kern w:val="2"/>
          <w:sz w:val="32"/>
          <w:szCs w:val="32"/>
          <w:shd w:val="clear" w:fill="FFFFFF"/>
        </w:rPr>
        <w:t>（十四）项目支出：</w:t>
      </w:r>
      <w:r>
        <w:rPr>
          <w:rFonts w:ascii="仿宋_GB2312;仿宋" w:hAnsi="仿宋_GB2312;仿宋" w:eastAsia="仿宋_GB2312;仿宋" w:cs="仿宋_GB2312;仿宋"/>
          <w:kern w:val="2"/>
          <w:sz w:val="32"/>
          <w:szCs w:val="32"/>
          <w:shd w:val="clear" w:fill="FFFFFF"/>
        </w:rPr>
        <w:t>指在基本支出之外为完成特定行政任务和事业发展目标所发生的支出。</w:t>
      </w:r>
      <w:r>
        <w:rPr>
          <w:rFonts w:ascii="仿宋_GB2312;仿宋" w:hAnsi="仿宋_GB2312;仿宋" w:eastAsia="仿宋_GB2312;仿宋" w:cs="仿宋_GB2312;仿宋"/>
          <w:kern w:val="2"/>
          <w:sz w:val="32"/>
          <w:szCs w:val="32"/>
          <w:shd w:val="clear" w:fill="FFFFFF"/>
        </w:rPr>
        <w:br w:type="textWrapping"/>
      </w:r>
      <w:r>
        <w:rPr>
          <w:rFonts w:ascii="仿宋_GB2312;仿宋" w:hAnsi="仿宋_GB2312;仿宋" w:eastAsia="仿宋_GB2312;仿宋" w:cs="仿宋_GB2312;仿宋"/>
          <w:kern w:val="2"/>
          <w:sz w:val="32"/>
          <w:szCs w:val="32"/>
          <w:shd w:val="clear" w:fill="FFFFFF"/>
        </w:rPr>
        <w:t xml:space="preserve">    </w:t>
      </w:r>
      <w:r>
        <w:rPr>
          <w:rFonts w:ascii="楷体_GB2312;楷体" w:hAnsi="楷体_GB2312;楷体" w:eastAsia="楷体_GB2312;楷体" w:cs="楷体_GB2312;楷体"/>
          <w:b/>
          <w:bCs/>
          <w:kern w:val="2"/>
          <w:sz w:val="32"/>
          <w:szCs w:val="32"/>
          <w:shd w:val="clear" w:fill="FFFFFF"/>
        </w:rPr>
        <w:t>（十五）“三公”经费：</w:t>
      </w:r>
      <w:r>
        <w:rPr>
          <w:rFonts w:ascii="仿宋_GB2312;仿宋" w:hAnsi="仿宋_GB2312;仿宋" w:eastAsia="仿宋_GB2312;仿宋" w:cs="仿宋_GB2312;仿宋"/>
          <w:kern w:val="2"/>
          <w:sz w:val="32"/>
          <w:szCs w:val="32"/>
          <w:shd w:val="clear" w:fill="FFFFFF"/>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r>
        <w:rPr>
          <w:rFonts w:ascii="仿宋_GB2312;仿宋" w:hAnsi="仿宋_GB2312;仿宋" w:eastAsia="仿宋_GB2312;仿宋" w:cs="仿宋_GB2312;仿宋"/>
          <w:kern w:val="2"/>
          <w:sz w:val="32"/>
          <w:szCs w:val="32"/>
          <w:shd w:val="clear" w:fill="FFFFFF"/>
        </w:rPr>
        <w:br w:type="textWrapping"/>
      </w:r>
      <w:r>
        <w:rPr>
          <w:rFonts w:ascii="仿宋_GB2312;仿宋" w:hAnsi="仿宋_GB2312;仿宋" w:eastAsia="仿宋_GB2312;仿宋" w:cs="仿宋_GB2312;仿宋"/>
          <w:kern w:val="2"/>
          <w:sz w:val="32"/>
          <w:szCs w:val="32"/>
          <w:shd w:val="clear" w:fill="FFFFFF"/>
        </w:rPr>
        <w:t xml:space="preserve">   </w:t>
      </w:r>
      <w:r>
        <w:rPr>
          <w:rFonts w:ascii="楷体_GB2312;楷体" w:hAnsi="楷体_GB2312;楷体" w:eastAsia="楷体_GB2312;楷体" w:cs="楷体_GB2312;楷体"/>
          <w:b/>
          <w:bCs/>
          <w:kern w:val="2"/>
          <w:sz w:val="32"/>
          <w:szCs w:val="32"/>
          <w:shd w:val="clear" w:fill="FFFFFF"/>
        </w:rPr>
        <w:t>（十六）日常公用经费：</w:t>
      </w:r>
      <w:r>
        <w:rPr>
          <w:rFonts w:ascii="仿宋_GB2312;仿宋" w:hAnsi="仿宋_GB2312;仿宋" w:eastAsia="仿宋_GB2312;仿宋" w:cs="仿宋_GB2312;仿宋"/>
          <w:kern w:val="2"/>
          <w:sz w:val="32"/>
          <w:szCs w:val="32"/>
          <w:shd w:val="clear" w:fill="FFFFFF"/>
        </w:rPr>
        <w:t>为保障部门运行用于购买货物和服务的各项资金。包括办公及印刷费、邮电费、差旅费、会议费、一般设备购置费等费用开支。</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附件：1.</w:t>
      </w:r>
      <w:r>
        <w:rPr>
          <w:rFonts w:hint="eastAsia" w:ascii="仿宋_GB2312" w:hAnsi="仿宋_GB2312" w:eastAsia="仿宋_GB2312" w:cs="仿宋_GB2312"/>
          <w:color w:val="auto"/>
          <w:sz w:val="32"/>
          <w:szCs w:val="32"/>
          <w:lang w:eastAsia="zh-CN"/>
        </w:rPr>
        <w:t>单位</w:t>
      </w:r>
      <w:r>
        <w:rPr>
          <w:rFonts w:hint="eastAsia" w:ascii="仿宋_GB2312" w:hAnsi="仿宋_GB2312" w:eastAsia="仿宋_GB2312" w:cs="仿宋_GB2312"/>
          <w:color w:val="auto"/>
          <w:sz w:val="32"/>
          <w:szCs w:val="32"/>
        </w:rPr>
        <w:t>收支总表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1-1.</w:t>
      </w:r>
      <w:r>
        <w:rPr>
          <w:rFonts w:hint="eastAsia" w:ascii="仿宋_GB2312" w:hAnsi="仿宋_GB2312" w:eastAsia="仿宋_GB2312" w:cs="仿宋_GB2312"/>
          <w:color w:val="auto"/>
          <w:sz w:val="32"/>
          <w:szCs w:val="32"/>
          <w:lang w:eastAsia="zh-CN"/>
        </w:rPr>
        <w:t>单位</w:t>
      </w:r>
      <w:r>
        <w:rPr>
          <w:rFonts w:hint="eastAsia" w:ascii="仿宋_GB2312" w:hAnsi="仿宋_GB2312" w:eastAsia="仿宋_GB2312" w:cs="仿宋_GB2312"/>
          <w:color w:val="auto"/>
          <w:sz w:val="32"/>
          <w:szCs w:val="32"/>
        </w:rPr>
        <w:t>收入总表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1-2.</w:t>
      </w:r>
      <w:r>
        <w:rPr>
          <w:rFonts w:hint="eastAsia" w:ascii="仿宋_GB2312" w:hAnsi="仿宋_GB2312" w:eastAsia="仿宋_GB2312" w:cs="仿宋_GB2312"/>
          <w:color w:val="auto"/>
          <w:sz w:val="32"/>
          <w:szCs w:val="32"/>
          <w:lang w:eastAsia="zh-CN"/>
        </w:rPr>
        <w:t>单位</w:t>
      </w:r>
      <w:r>
        <w:rPr>
          <w:rFonts w:hint="eastAsia" w:ascii="仿宋_GB2312" w:hAnsi="仿宋_GB2312" w:eastAsia="仿宋_GB2312" w:cs="仿宋_GB2312"/>
          <w:color w:val="auto"/>
          <w:sz w:val="32"/>
          <w:szCs w:val="32"/>
        </w:rPr>
        <w:t>支出总表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2.财政拨款收支预算总表</w:t>
      </w:r>
    </w:p>
    <w:p>
      <w:pPr>
        <w:keepNext w:val="0"/>
        <w:keepLines w:val="0"/>
        <w:pageBreakBefore w:val="0"/>
        <w:widowControl/>
        <w:kinsoku/>
        <w:wordWrap/>
        <w:overflowPunct/>
        <w:topLinePunct w:val="0"/>
        <w:autoSpaceDE/>
        <w:autoSpaceDN/>
        <w:bidi w:val="0"/>
        <w:adjustRightInd/>
        <w:snapToGrid/>
        <w:spacing w:line="560" w:lineRule="exact"/>
        <w:ind w:firstLine="1600" w:firstLineChars="5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2-1.</w:t>
      </w:r>
      <w:r>
        <w:rPr>
          <w:rFonts w:hint="eastAsia" w:ascii="仿宋_GB2312" w:hAnsi="仿宋_GB2312" w:eastAsia="仿宋_GB2312" w:cs="仿宋_GB2312"/>
          <w:color w:val="auto"/>
          <w:sz w:val="32"/>
          <w:szCs w:val="32"/>
        </w:rPr>
        <w:t>财政拨款支出预算表（部门经济分类科目）</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3.一般公共预算支出预算表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3-1.一般公共预算基本支出预算表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3-2.一般公共预算项目支出预算表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3-3.一般公共预算“三公”经费支出预算表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4.政府性基金</w:t>
      </w:r>
      <w:r>
        <w:rPr>
          <w:rFonts w:hint="eastAsia" w:ascii="仿宋_GB2312" w:hAnsi="仿宋_GB2312" w:eastAsia="仿宋_GB2312" w:cs="仿宋_GB2312"/>
          <w:color w:val="auto"/>
          <w:sz w:val="32"/>
          <w:szCs w:val="32"/>
          <w:lang w:val="en-US" w:eastAsia="zh-CN"/>
        </w:rPr>
        <w:t>预算</w:t>
      </w:r>
      <w:r>
        <w:rPr>
          <w:rFonts w:hint="eastAsia" w:ascii="仿宋_GB2312" w:hAnsi="仿宋_GB2312" w:eastAsia="仿宋_GB2312" w:cs="仿宋_GB2312"/>
          <w:color w:val="auto"/>
          <w:sz w:val="32"/>
          <w:szCs w:val="32"/>
        </w:rPr>
        <w:t>支出预算表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4-1.政府性基金</w:t>
      </w:r>
      <w:r>
        <w:rPr>
          <w:rFonts w:hint="eastAsia" w:ascii="仿宋_GB2312" w:hAnsi="仿宋_GB2312" w:eastAsia="仿宋_GB2312" w:cs="仿宋_GB2312"/>
          <w:color w:val="auto"/>
          <w:sz w:val="32"/>
          <w:szCs w:val="32"/>
          <w:lang w:val="en-US" w:eastAsia="zh-CN"/>
        </w:rPr>
        <w:t>预算</w:t>
      </w:r>
      <w:r>
        <w:rPr>
          <w:rFonts w:hint="eastAsia" w:ascii="仿宋_GB2312" w:hAnsi="仿宋_GB2312" w:eastAsia="仿宋_GB2312" w:cs="仿宋_GB2312"/>
          <w:color w:val="auto"/>
          <w:sz w:val="32"/>
          <w:szCs w:val="32"/>
        </w:rPr>
        <w:t>“三公”经费支出预算表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5.国有资本经营预算支出预算表</w:t>
      </w:r>
    </w:p>
    <w:p>
      <w:pPr>
        <w:keepNext w:val="0"/>
        <w:keepLines w:val="0"/>
        <w:pageBreakBefore w:val="0"/>
        <w:widowControl/>
        <w:kinsoku/>
        <w:wordWrap/>
        <w:overflowPunct/>
        <w:topLinePunct w:val="0"/>
        <w:autoSpaceDE/>
        <w:autoSpaceDN/>
        <w:bidi w:val="0"/>
        <w:adjustRightInd/>
        <w:snapToGrid/>
        <w:spacing w:line="560" w:lineRule="exact"/>
        <w:ind w:firstLine="1600" w:firstLineChars="5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6.单位预算项目绩效目标表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p>
    <w:p/>
    <w:p>
      <w:pPr>
        <w:pStyle w:val="4"/>
        <w:widowControl/>
        <w:spacing w:line="340" w:lineRule="exact"/>
        <w:jc w:val="right"/>
      </w:pPr>
    </w:p>
    <w:sectPr>
      <w:footerReference r:id="rId3" w:type="default"/>
      <w:pgSz w:w="11906" w:h="16838"/>
      <w:pgMar w:top="2098" w:right="1474" w:bottom="1984" w:left="1588" w:header="0" w:footer="992" w:gutter="0"/>
      <w:pgNumType w:fmt="decimal"/>
      <w:cols w:space="720" w:num="1"/>
      <w:formProt w:val="0"/>
      <w:docGrid w:type="lines" w:linePitch="312" w:charSpace="4300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仿宋">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黑体">
    <w:altName w:val="宋体"/>
    <w:panose1 w:val="00000000000000000000"/>
    <w:charset w:val="00"/>
    <w:family w:val="auto"/>
    <w:pitch w:val="default"/>
    <w:sig w:usb0="00000000" w:usb1="00000000" w:usb2="00000000" w:usb3="00000000" w:csb0="00000000" w:csb1="00000000"/>
  </w:font>
  <w:font w:name="方正小标宋_GBK;微软雅黑">
    <w:altName w:val="宋体"/>
    <w:panose1 w:val="00000000000000000000"/>
    <w:charset w:val="00"/>
    <w:family w:val="auto"/>
    <w:pitch w:val="default"/>
    <w:sig w:usb0="00000000" w:usb1="00000000" w:usb2="00000000" w:usb3="00000000" w:csb0="00000000" w:csb1="00000000"/>
  </w:font>
  <w:font w:name="方正仿宋_GBK;微软雅黑">
    <w:altName w:val="仿宋"/>
    <w:panose1 w:val="00000000000000000000"/>
    <w:charset w:val="00"/>
    <w:family w:val="auto"/>
    <w:pitch w:val="default"/>
    <w:sig w:usb0="00000000" w:usb1="00000000" w:usb2="00000000" w:usb3="00000000" w:csb0="00000000" w:csb1="00000000"/>
  </w:font>
  <w:font w:name="楷体_GB2312;楷体">
    <w:altName w:val="宋体"/>
    <w:panose1 w:val="00000000000000000000"/>
    <w:charset w:val="00"/>
    <w:family w:val="auto"/>
    <w:pitch w:val="default"/>
    <w:sig w:usb0="00000000" w:usb1="00000000" w:usb2="00000000" w:usb3="00000000" w:csb0="00000000" w:csb1="00000000"/>
  </w:font>
  <w:font w:name="楷体">
    <w:panose1 w:val="02010609060101010101"/>
    <w:charset w:val="86"/>
    <w:family w:val="roma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0" distR="0" simplePos="0" relativeHeight="251659264" behindDoc="1" locked="0" layoutInCell="0" allowOverlap="1">
              <wp:simplePos x="0" y="0"/>
              <wp:positionH relativeFrom="margin">
                <wp:align>right</wp:align>
              </wp:positionH>
              <wp:positionV relativeFrom="paragraph">
                <wp:posOffset>635</wp:posOffset>
              </wp:positionV>
              <wp:extent cx="447040" cy="197485"/>
              <wp:effectExtent l="0" t="0" r="0" b="0"/>
              <wp:wrapNone/>
              <wp:docPr id="1" name="框架1"/>
              <wp:cNvGraphicFramePr/>
              <a:graphic xmlns:a="http://schemas.openxmlformats.org/drawingml/2006/main">
                <a:graphicData uri="http://schemas.microsoft.com/office/word/2010/wordprocessingShape">
                  <wps:wsp>
                    <wps:cNvSpPr/>
                    <wps:spPr>
                      <a:xfrm>
                        <a:off x="0" y="0"/>
                        <a:ext cx="446400" cy="196920"/>
                      </a:xfrm>
                      <a:prstGeom prst="rect">
                        <a:avLst/>
                      </a:prstGeom>
                      <a:noFill/>
                      <a:ln w="0">
                        <a:noFill/>
                      </a:ln>
                    </wps:spPr>
                    <wps:style>
                      <a:lnRef idx="0">
                        <a:srgbClr val="FFFFFF"/>
                      </a:lnRef>
                      <a:fillRef idx="0">
                        <a:srgbClr val="FFFFFF"/>
                      </a:fillRef>
                      <a:effectRef idx="0">
                        <a:srgbClr val="FFFFFF"/>
                      </a:effectRef>
                      <a:fontRef idx="minor"/>
                    </wps:style>
                    <wps:txbx>
                      <w:txbxContent>
                        <w:p>
                          <w:pPr>
                            <w:pStyle w:val="6"/>
                          </w:pPr>
                          <w:r>
                            <w:rPr>
                              <w:sz w:val="28"/>
                              <w:szCs w:val="28"/>
                            </w:rPr>
                            <w:t>—</w:t>
                          </w:r>
                          <w:r>
                            <w:rPr>
                              <w:sz w:val="28"/>
                              <w:szCs w:val="28"/>
                            </w:rPr>
                            <w:fldChar w:fldCharType="begin"/>
                          </w:r>
                          <w:r>
                            <w:rPr>
                              <w:sz w:val="28"/>
                              <w:szCs w:val="28"/>
                            </w:rPr>
                            <w:instrText xml:space="preserve">PAGE</w:instrText>
                          </w:r>
                          <w:r>
                            <w:rPr>
                              <w:sz w:val="28"/>
                              <w:szCs w:val="28"/>
                            </w:rPr>
                            <w:fldChar w:fldCharType="separate"/>
                          </w:r>
                          <w:r>
                            <w:rPr>
                              <w:sz w:val="28"/>
                              <w:szCs w:val="28"/>
                            </w:rPr>
                            <w:t>4</w:t>
                          </w:r>
                          <w:r>
                            <w:rPr>
                              <w:sz w:val="28"/>
                              <w:szCs w:val="28"/>
                            </w:rPr>
                            <w:fldChar w:fldCharType="end"/>
                          </w:r>
                          <w:r>
                            <w:rPr>
                              <w:sz w:val="28"/>
                              <w:szCs w:val="28"/>
                            </w:rPr>
                            <w:t>—</w:t>
                          </w:r>
                        </w:p>
                      </w:txbxContent>
                    </wps:txbx>
                    <wps:bodyPr lIns="720" tIns="720" rIns="720" bIns="720">
                      <a:spAutoFit/>
                    </wps:bodyPr>
                  </wps:wsp>
                </a:graphicData>
              </a:graphic>
            </wp:anchor>
          </w:drawing>
        </mc:Choice>
        <mc:Fallback>
          <w:pict>
            <v:rect id="框架1" o:spid="_x0000_s1026" o:spt="1" style="position:absolute;left:0pt;margin-top:0.05pt;height:15.55pt;width:35.2pt;mso-position-horizontal:right;mso-position-horizontal-relative:margin;z-index:-251657216;mso-width-relative:page;mso-height-relative:page;" filled="f" stroked="f" coordsize="21600,21600" o:allowincell="f" o:gfxdata="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I3DT3/UAAAAAwEAAA8AAAAAAAAAAQAgAAAAIgAAAGRycy9kb3ducmV2LnhtbFBLAQIUABQAAAAI&#10;AIdO4kAv6kpYuAEAAH8DAAAOAAAAAAAAAAEAIAAAACMBAABkcnMvZTJvRG9jLnhtbFBLBQYAAAAA&#10;BgAGAFkBAABNBQAAAAA=&#10;">
              <v:fill on="f" focussize="0,0"/>
              <v:stroke on="f" weight="0pt"/>
              <v:imagedata o:title=""/>
              <o:lock v:ext="edit" aspectratio="f"/>
              <v:textbox inset="0.02mm,0.02mm,0.02mm,0.02mm" style="mso-fit-shape-to-text:t;">
                <w:txbxContent>
                  <w:p>
                    <w:pPr>
                      <w:pStyle w:val="6"/>
                    </w:pPr>
                    <w:r>
                      <w:rPr>
                        <w:sz w:val="28"/>
                        <w:szCs w:val="28"/>
                      </w:rPr>
                      <w:t>—</w:t>
                    </w:r>
                    <w:r>
                      <w:rPr>
                        <w:sz w:val="28"/>
                        <w:szCs w:val="28"/>
                      </w:rPr>
                      <w:fldChar w:fldCharType="begin"/>
                    </w:r>
                    <w:r>
                      <w:rPr>
                        <w:sz w:val="28"/>
                        <w:szCs w:val="28"/>
                      </w:rPr>
                      <w:instrText xml:space="preserve">PAGE</w:instrText>
                    </w:r>
                    <w:r>
                      <w:rPr>
                        <w:sz w:val="28"/>
                        <w:szCs w:val="28"/>
                      </w:rPr>
                      <w:fldChar w:fldCharType="separate"/>
                    </w:r>
                    <w:r>
                      <w:rPr>
                        <w:sz w:val="28"/>
                        <w:szCs w:val="28"/>
                      </w:rPr>
                      <w:t>4</w:t>
                    </w:r>
                    <w:r>
                      <w:rPr>
                        <w:sz w:val="28"/>
                        <w:szCs w:val="28"/>
                      </w:rPr>
                      <w:fldChar w:fldCharType="end"/>
                    </w:r>
                    <w:r>
                      <w:rPr>
                        <w:sz w:val="28"/>
                        <w:szCs w:val="28"/>
                      </w:rPr>
                      <w:t>—</w:t>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multilevel"/>
    <w:tmpl w:val="CF092B84"/>
    <w:lvl w:ilvl="0" w:tentative="0">
      <w:start w:val="9"/>
      <w:numFmt w:val="taiwaneseCountingThousand"/>
      <w:suff w:val="nothing"/>
      <w:lvlText w:val="%1、"/>
      <w:lvlJc w:val="left"/>
      <w:pPr>
        <w:tabs>
          <w:tab w:val="left" w:pos="0"/>
        </w:tabs>
        <w:ind w:left="0" w:firstLine="0"/>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1">
    <w:nsid w:val="0053208E"/>
    <w:multiLevelType w:val="multilevel"/>
    <w:tmpl w:val="0053208E"/>
    <w:lvl w:ilvl="0" w:tentative="0">
      <w:start w:val="2"/>
      <w:numFmt w:val="taiwaneseCountingThousand"/>
      <w:suff w:val="nothing"/>
      <w:lvlText w:val="%1、"/>
      <w:lvlJc w:val="left"/>
      <w:pPr>
        <w:tabs>
          <w:tab w:val="left" w:pos="0"/>
        </w:tabs>
        <w:ind w:left="10" w:firstLine="0"/>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bordersDoNotSurroundHeader w:val="0"/>
  <w:bordersDoNotSurroundFooter w:val="0"/>
  <w:documentProtection w:enforcement="0"/>
  <w:defaultTabStop w:val="420"/>
  <w:autoHyphenation/>
  <w:displayHorizontalDrawingGridEvery w:val="1"/>
  <w:displayVerticalDrawingGridEvery w:val="1"/>
  <w:noPunctuationKerning w:val="1"/>
  <w:compat>
    <w:noLeading/>
    <w:balanceSingleByteDoubleByteWidth/>
    <w:ulTrailSpace/>
    <w:doNotExpandShiftReturn/>
    <w:doNotWrapTextWithPunct/>
    <w:doNotUseEastAsianBreakRules/>
    <w:useFELayout/>
    <w:doNotUseIndentAsNumberingTabStop/>
    <w:compatSetting w:name="compatibilityMode" w:uri="http://schemas.microsoft.com/office/word" w:val="14"/>
  </w:compat>
  <w:docVars>
    <w:docVar w:name="commondata" w:val="eyJoZGlkIjoiMTUyYTBhZThmOTU4YTliMjhiZDc4ZDk4MjhmMTAzNjkifQ=="/>
  </w:docVars>
  <w:rsids>
    <w:rsidRoot w:val="00000000"/>
    <w:rsid w:val="12BD2F67"/>
    <w:rsid w:val="3E547EB8"/>
    <w:rsid w:val="5F833736"/>
    <w:rsid w:val="62A4249D"/>
    <w:rsid w:val="66F93BDF"/>
  </w:rsids>
  <m:mathPr>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等线" w:cs="Times New Roman"/>
      <w:sz w:val="21"/>
      <w:szCs w:val="24"/>
      <w:lang w:val="en-US" w:eastAsia="zh-CN" w:bidi="hi-IN"/>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正文1"/>
    <w:qFormat/>
    <w:uiPriority w:val="0"/>
    <w:pPr>
      <w:widowControl w:val="0"/>
      <w:suppressAutoHyphens w:val="0"/>
      <w:bidi w:val="0"/>
      <w:spacing w:beforeLines="0" w:beforeAutospacing="0" w:afterLines="0" w:afterAutospacing="0"/>
      <w:jc w:val="both"/>
    </w:pPr>
    <w:rPr>
      <w:rFonts w:ascii="Times New Roman" w:hAnsi="Times New Roman" w:eastAsia="宋体" w:cs="Times New Roman"/>
      <w:color w:val="auto"/>
      <w:kern w:val="2"/>
      <w:sz w:val="21"/>
      <w:szCs w:val="24"/>
      <w:lang w:val="en-US" w:eastAsia="zh-CN" w:bidi="ar-SA"/>
    </w:rPr>
  </w:style>
  <w:style w:type="paragraph" w:customStyle="1" w:styleId="5">
    <w:name w:val="正文文本1"/>
    <w:basedOn w:val="4"/>
    <w:qFormat/>
    <w:uiPriority w:val="0"/>
    <w:rPr>
      <w:rFonts w:ascii="仿宋_GB2312;仿宋" w:hAnsi="仿宋_GB2312;仿宋" w:eastAsia="仿宋_GB2312;仿宋"/>
      <w:sz w:val="30"/>
    </w:rPr>
  </w:style>
  <w:style w:type="paragraph" w:customStyle="1" w:styleId="6">
    <w:name w:val="页脚1"/>
    <w:basedOn w:val="4"/>
    <w:qFormat/>
    <w:uiPriority w:val="0"/>
    <w:pPr>
      <w:tabs>
        <w:tab w:val="center" w:pos="4153"/>
        <w:tab w:val="right" w:pos="8306"/>
      </w:tabs>
      <w:snapToGrid w:val="0"/>
      <w:jc w:val="left"/>
    </w:pPr>
    <w:rPr>
      <w:sz w:val="18"/>
      <w:szCs w:val="18"/>
    </w:rPr>
  </w:style>
  <w:style w:type="paragraph" w:customStyle="1" w:styleId="7">
    <w:name w:val="普通(网站)1"/>
    <w:basedOn w:val="4"/>
    <w:qFormat/>
    <w:uiPriority w:val="0"/>
    <w:pPr>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2335</Words>
  <Characters>2607</Characters>
  <Paragraphs>67</Paragraphs>
  <TotalTime>0</TotalTime>
  <ScaleCrop>false</ScaleCrop>
  <LinksUpToDate>false</LinksUpToDate>
  <CharactersWithSpaces>2816</CharactersWithSpaces>
  <Application>WPS Office_11.1.0.11830_F1E327BC-269C-435d-A152-05C5408002CA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2015-03-17T08:36:00Z</dcterms:created>
  <dc:creator>赵树子</dc:creator>
  <cp:lastModifiedBy>狂奔的蜗牛</cp:lastModifiedBy>
  <cp:lastPrinted>2022-05-27T11:03:00Z</cp:lastPrinted>
  <dcterms:modified xsi:type="dcterms:W3CDTF">2022-06-15T08:23:08Z</dcterms:modified>
  <dc:title>四川省财政厅2011年部门预算编制说明</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B2F92D5952074444AA0ED715B4A03688</vt:lpwstr>
  </property>
  <property fmtid="{D5CDD505-2E9C-101B-9397-08002B2CF9AE}" pid="3" name="KSOProductBuildVer">
    <vt:lpwstr>2052-11.1.0.11830</vt:lpwstr>
  </property>
  <property fmtid="{D5CDD505-2E9C-101B-9397-08002B2CF9AE}" pid="4" name="commondata">
    <vt:lpwstr>commondata</vt:lpwstr>
  </property>
</Properties>
</file>