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left" w:pos="2176"/>
        </w:tabs>
        <w:jc w:val="center"/>
        <w:rPr>
          <w:rFonts w:hint="eastAsia" w:asciiTheme="minorEastAsia" w:hAnsiTheme="minorEastAsia" w:eastAsiaTheme="minorEastAsia" w:cstheme="minorEastAsia"/>
          <w:b/>
          <w:bCs/>
          <w:color w:val="000000"/>
          <w:sz w:val="32"/>
          <w:szCs w:val="32"/>
        </w:rPr>
      </w:pPr>
    </w:p>
    <w:p>
      <w:pPr>
        <w:spacing w:line="600" w:lineRule="exact"/>
        <w:jc w:val="center"/>
        <w:outlineLvl w:val="0"/>
        <w:rPr>
          <w:rFonts w:hint="eastAsia" w:asciiTheme="minorEastAsia" w:hAnsiTheme="minorEastAsia" w:eastAsiaTheme="minorEastAsia" w:cstheme="minorEastAsia"/>
          <w:color w:val="000000"/>
          <w:sz w:val="72"/>
          <w:szCs w:val="72"/>
        </w:rPr>
      </w:pPr>
      <w:bookmarkStart w:id="0" w:name="_Toc15306267"/>
    </w:p>
    <w:bookmarkEnd w:id="0"/>
    <w:p>
      <w:pPr>
        <w:spacing w:line="600" w:lineRule="exact"/>
        <w:jc w:val="center"/>
        <w:outlineLvl w:val="0"/>
        <w:rPr>
          <w:rFonts w:hint="eastAsia" w:asciiTheme="minorEastAsia" w:hAnsiTheme="minorEastAsia" w:eastAsiaTheme="minorEastAsia" w:cstheme="minorEastAsia"/>
          <w:color w:val="000000"/>
          <w:sz w:val="72"/>
          <w:szCs w:val="72"/>
        </w:rPr>
      </w:pPr>
    </w:p>
    <w:p>
      <w:pPr>
        <w:spacing w:line="600" w:lineRule="exact"/>
        <w:jc w:val="center"/>
        <w:outlineLvl w:val="0"/>
        <w:rPr>
          <w:rFonts w:hint="eastAsia" w:asciiTheme="minorEastAsia" w:hAnsiTheme="minorEastAsia" w:eastAsiaTheme="minorEastAsia" w:cstheme="minorEastAsia"/>
          <w:color w:val="000000"/>
          <w:sz w:val="72"/>
          <w:szCs w:val="72"/>
        </w:rPr>
      </w:pPr>
    </w:p>
    <w:p>
      <w:pPr>
        <w:spacing w:line="600" w:lineRule="exact"/>
        <w:jc w:val="center"/>
        <w:outlineLvl w:val="0"/>
        <w:rPr>
          <w:rFonts w:hint="eastAsia" w:asciiTheme="minorEastAsia" w:hAnsiTheme="minorEastAsia" w:eastAsiaTheme="minorEastAsia" w:cstheme="minorEastAsia"/>
          <w:color w:val="000000"/>
          <w:sz w:val="72"/>
          <w:szCs w:val="72"/>
        </w:rPr>
      </w:pPr>
    </w:p>
    <w:p>
      <w:pPr>
        <w:spacing w:line="600" w:lineRule="exact"/>
        <w:jc w:val="center"/>
        <w:outlineLvl w:val="9"/>
        <w:rPr>
          <w:rFonts w:hint="eastAsia" w:asciiTheme="minorEastAsia" w:hAnsiTheme="minorEastAsia" w:eastAsiaTheme="minorEastAsia" w:cstheme="minorEastAsia"/>
          <w:color w:val="000000"/>
          <w:sz w:val="72"/>
          <w:szCs w:val="72"/>
        </w:rPr>
      </w:pPr>
    </w:p>
    <w:p>
      <w:pPr>
        <w:adjustRightInd w:val="0"/>
        <w:snapToGrid w:val="0"/>
        <w:spacing w:line="360" w:lineRule="auto"/>
        <w:jc w:val="center"/>
        <w:outlineLvl w:val="9"/>
        <w:rPr>
          <w:rFonts w:hint="default" w:asciiTheme="minorEastAsia" w:hAnsiTheme="minorEastAsia" w:eastAsiaTheme="minorEastAsia" w:cstheme="minorEastAsia"/>
          <w:b/>
          <w:bCs/>
          <w:color w:val="000000"/>
          <w:sz w:val="56"/>
          <w:szCs w:val="56"/>
          <w:lang w:val="en-US" w:eastAsia="zh-CN"/>
        </w:rPr>
      </w:pPr>
      <w:bookmarkStart w:id="1" w:name="_Toc2249"/>
      <w:bookmarkStart w:id="2" w:name="_Toc1698"/>
      <w:bookmarkStart w:id="3" w:name="_Toc8172"/>
      <w:bookmarkStart w:id="4" w:name="_Toc15378442"/>
      <w:bookmarkStart w:id="5" w:name="_Toc15306268"/>
      <w:bookmarkStart w:id="6" w:name="_Toc15396476"/>
      <w:bookmarkStart w:id="7" w:name="_Toc15377194"/>
      <w:bookmarkStart w:id="8" w:name="_Toc15377426"/>
      <w:bookmarkStart w:id="9" w:name="_Toc15396598"/>
      <w:r>
        <w:rPr>
          <w:rFonts w:hint="eastAsia" w:asciiTheme="minorEastAsia" w:hAnsiTheme="minorEastAsia" w:eastAsiaTheme="minorEastAsia" w:cstheme="minorEastAsia"/>
          <w:b/>
          <w:bCs/>
          <w:color w:val="000000"/>
          <w:sz w:val="56"/>
          <w:szCs w:val="56"/>
          <w:lang w:eastAsia="zh-CN"/>
        </w:rPr>
        <w:t>通江县</w:t>
      </w:r>
      <w:bookmarkEnd w:id="1"/>
      <w:bookmarkEnd w:id="2"/>
      <w:bookmarkEnd w:id="3"/>
      <w:r>
        <w:rPr>
          <w:rFonts w:hint="eastAsia" w:asciiTheme="minorEastAsia" w:hAnsiTheme="minorEastAsia" w:eastAsiaTheme="minorEastAsia" w:cstheme="minorEastAsia"/>
          <w:b/>
          <w:bCs/>
          <w:color w:val="000000"/>
          <w:sz w:val="56"/>
          <w:szCs w:val="56"/>
          <w:lang w:val="en-US" w:eastAsia="zh-CN"/>
        </w:rPr>
        <w:t>诺水河镇中心小学</w:t>
      </w:r>
    </w:p>
    <w:p>
      <w:pPr>
        <w:adjustRightInd w:val="0"/>
        <w:snapToGrid w:val="0"/>
        <w:spacing w:line="360" w:lineRule="auto"/>
        <w:jc w:val="center"/>
        <w:outlineLvl w:val="9"/>
        <w:rPr>
          <w:rFonts w:hint="eastAsia" w:asciiTheme="minorEastAsia" w:hAnsiTheme="minorEastAsia" w:eastAsiaTheme="minorEastAsia" w:cstheme="minorEastAsia"/>
          <w:b/>
          <w:bCs/>
          <w:color w:val="000000"/>
          <w:sz w:val="56"/>
          <w:szCs w:val="56"/>
          <w:lang w:eastAsia="zh-CN"/>
        </w:rPr>
      </w:pPr>
      <w:bookmarkStart w:id="10" w:name="_Toc15396597"/>
      <w:bookmarkStart w:id="11" w:name="_Toc15377193"/>
      <w:bookmarkStart w:id="12" w:name="_Toc15396475"/>
      <w:bookmarkStart w:id="13" w:name="_Toc15378441"/>
      <w:bookmarkStart w:id="14" w:name="_Toc15377425"/>
      <w:bookmarkStart w:id="15" w:name="_Toc15867"/>
      <w:bookmarkStart w:id="16" w:name="_Toc21561"/>
      <w:bookmarkStart w:id="17" w:name="_Toc659"/>
      <w:r>
        <w:rPr>
          <w:rFonts w:hint="eastAsia" w:asciiTheme="minorEastAsia" w:hAnsiTheme="minorEastAsia" w:eastAsiaTheme="minorEastAsia" w:cstheme="minorEastAsia"/>
          <w:b/>
          <w:bCs/>
          <w:color w:val="000000"/>
          <w:sz w:val="56"/>
          <w:szCs w:val="56"/>
          <w:lang w:val="en-US" w:eastAsia="zh-CN"/>
        </w:rPr>
        <w:t>2020</w:t>
      </w:r>
      <w:r>
        <w:rPr>
          <w:rFonts w:hint="eastAsia" w:asciiTheme="minorEastAsia" w:hAnsiTheme="minorEastAsia" w:eastAsiaTheme="minorEastAsia" w:cstheme="minorEastAsia"/>
          <w:b/>
          <w:bCs/>
          <w:color w:val="000000"/>
          <w:sz w:val="56"/>
          <w:szCs w:val="56"/>
        </w:rPr>
        <w:t>年度</w:t>
      </w:r>
      <w:bookmarkEnd w:id="10"/>
      <w:bookmarkEnd w:id="11"/>
      <w:bookmarkEnd w:id="12"/>
      <w:bookmarkEnd w:id="13"/>
      <w:bookmarkEnd w:id="14"/>
      <w:r>
        <w:rPr>
          <w:rFonts w:hint="eastAsia" w:asciiTheme="minorEastAsia" w:hAnsiTheme="minorEastAsia" w:eastAsiaTheme="minorEastAsia" w:cstheme="minorEastAsia"/>
          <w:b/>
          <w:bCs/>
          <w:color w:val="000000"/>
          <w:sz w:val="56"/>
          <w:szCs w:val="56"/>
        </w:rPr>
        <w:t>部门决算</w:t>
      </w:r>
      <w:bookmarkEnd w:id="4"/>
      <w:bookmarkEnd w:id="5"/>
      <w:bookmarkEnd w:id="6"/>
      <w:bookmarkEnd w:id="7"/>
      <w:bookmarkEnd w:id="8"/>
      <w:bookmarkEnd w:id="9"/>
      <w:r>
        <w:rPr>
          <w:rFonts w:hint="eastAsia" w:asciiTheme="minorEastAsia" w:hAnsiTheme="minorEastAsia" w:eastAsiaTheme="minorEastAsia" w:cstheme="minorEastAsia"/>
          <w:b/>
          <w:bCs/>
          <w:color w:val="000000"/>
          <w:sz w:val="56"/>
          <w:szCs w:val="56"/>
          <w:lang w:eastAsia="zh-CN"/>
        </w:rPr>
        <w:t>编制说明</w:t>
      </w:r>
      <w:bookmarkEnd w:id="15"/>
      <w:bookmarkEnd w:id="16"/>
      <w:bookmarkEnd w:id="17"/>
    </w:p>
    <w:p>
      <w:pPr>
        <w:pStyle w:val="10"/>
        <w:rPr>
          <w:rFonts w:hint="eastAsia" w:asciiTheme="minorEastAsia" w:hAnsiTheme="minorEastAsia" w:eastAsiaTheme="minorEastAsia" w:cstheme="minorEastAsia"/>
        </w:rPr>
      </w:pPr>
    </w:p>
    <w:p>
      <w:pPr>
        <w:pStyle w:val="10"/>
        <w:rPr>
          <w:rFonts w:hint="eastAsia" w:asciiTheme="minorEastAsia" w:hAnsiTheme="minorEastAsia" w:eastAsiaTheme="minorEastAsia" w:cstheme="minorEastAsia"/>
        </w:rPr>
      </w:pPr>
    </w:p>
    <w:p>
      <w:pPr>
        <w:pStyle w:val="10"/>
        <w:rPr>
          <w:rFonts w:hint="eastAsia" w:asciiTheme="minorEastAsia" w:hAnsiTheme="minorEastAsia" w:eastAsiaTheme="minorEastAsia" w:cstheme="minorEastAsia"/>
        </w:rPr>
      </w:pPr>
    </w:p>
    <w:p>
      <w:pPr>
        <w:pStyle w:val="10"/>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pStyle w:val="10"/>
        <w:rPr>
          <w:rFonts w:hint="eastAsia" w:asciiTheme="minorEastAsia" w:hAnsiTheme="minorEastAsia" w:eastAsiaTheme="minorEastAsia" w:cstheme="minorEastAsia"/>
        </w:rPr>
      </w:pPr>
    </w:p>
    <w:p>
      <w:pPr>
        <w:pStyle w:val="10"/>
        <w:rPr>
          <w:rFonts w:hint="eastAsia" w:asciiTheme="minorEastAsia" w:hAnsiTheme="minorEastAsia" w:eastAsiaTheme="minorEastAsia" w:cstheme="minorEastAsia"/>
        </w:rPr>
      </w:pPr>
    </w:p>
    <w:p>
      <w:pPr>
        <w:pStyle w:val="10"/>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rPr>
        <w:t>公开时间：20</w:t>
      </w:r>
      <w:r>
        <w:rPr>
          <w:rFonts w:hint="eastAsia" w:asciiTheme="minorEastAsia" w:hAnsiTheme="minorEastAsia" w:eastAsiaTheme="minorEastAsia" w:cstheme="minorEastAsia"/>
          <w:sz w:val="36"/>
          <w:szCs w:val="36"/>
          <w:lang w:val="en-US" w:eastAsia="zh-CN"/>
        </w:rPr>
        <w:t>21</w:t>
      </w:r>
      <w:r>
        <w:rPr>
          <w:rFonts w:hint="eastAsia" w:asciiTheme="minorEastAsia" w:hAnsiTheme="minorEastAsia" w:eastAsiaTheme="minorEastAsia" w:cstheme="minorEastAsia"/>
          <w:sz w:val="36"/>
          <w:szCs w:val="36"/>
        </w:rPr>
        <w:t>年10月</w:t>
      </w:r>
      <w:r>
        <w:rPr>
          <w:rFonts w:hint="eastAsia" w:asciiTheme="minorEastAsia" w:hAnsiTheme="minorEastAsia" w:eastAsiaTheme="minorEastAsia" w:cstheme="minorEastAsia"/>
          <w:sz w:val="36"/>
          <w:szCs w:val="36"/>
          <w:lang w:val="en-US" w:eastAsia="zh-CN"/>
        </w:rPr>
        <w:t>15</w:t>
      </w:r>
      <w:r>
        <w:rPr>
          <w:rFonts w:hint="eastAsia" w:asciiTheme="minorEastAsia" w:hAnsiTheme="minorEastAsia" w:eastAsiaTheme="minorEastAsia" w:cstheme="minorEastAsia"/>
          <w:sz w:val="36"/>
          <w:szCs w:val="36"/>
        </w:rPr>
        <w:t>日</w:t>
      </w:r>
    </w:p>
    <w:p>
      <w:pPr>
        <w:widowControl/>
        <w:jc w:val="center"/>
        <w:rPr>
          <w:rFonts w:hint="eastAsia" w:asciiTheme="minorEastAsia" w:hAnsiTheme="minorEastAsia" w:eastAsiaTheme="minorEastAsia" w:cstheme="minorEastAsia"/>
          <w:color w:val="000000"/>
          <w:sz w:val="48"/>
          <w:szCs w:val="48"/>
        </w:rPr>
      </w:pPr>
      <w:r>
        <w:rPr>
          <w:rFonts w:hint="eastAsia" w:asciiTheme="minorEastAsia" w:hAnsiTheme="minorEastAsia" w:eastAsiaTheme="minorEastAsia" w:cstheme="minorEastAsia"/>
        </w:rPr>
        <w:br w:type="page"/>
      </w:r>
      <w:r>
        <w:rPr>
          <w:rFonts w:hint="eastAsia" w:asciiTheme="minorEastAsia" w:hAnsiTheme="minorEastAsia" w:eastAsiaTheme="minorEastAsia" w:cstheme="minorEastAsia"/>
          <w:color w:val="000000"/>
          <w:sz w:val="48"/>
          <w:szCs w:val="48"/>
        </w:rPr>
        <w:t>目录</w:t>
      </w:r>
    </w:p>
    <w:p>
      <w:pPr>
        <w:pStyle w:val="10"/>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color w:val="000000"/>
          <w:sz w:val="28"/>
          <w:szCs w:val="28"/>
        </w:rPr>
        <w:instrText xml:space="preserve">TOC \o "1-3" \h \u </w:instrText>
      </w:r>
      <w:r>
        <w:rPr>
          <w:rFonts w:hint="eastAsia" w:asciiTheme="minorEastAsia" w:hAnsiTheme="minorEastAsia" w:eastAsiaTheme="minorEastAsia" w:cstheme="minorEastAsia"/>
          <w:color w:val="000000"/>
          <w:sz w:val="28"/>
          <w:szCs w:val="28"/>
        </w:rPr>
        <w:fldChar w:fldCharType="separate"/>
      </w: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_Toc14288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sz w:val="28"/>
          <w:szCs w:val="28"/>
        </w:rPr>
        <w:t xml:space="preserve">第一部分 </w:t>
      </w:r>
      <w:r>
        <w:rPr>
          <w:rFonts w:hint="eastAsia" w:asciiTheme="minorEastAsia" w:hAnsiTheme="minorEastAsia" w:eastAsiaTheme="minorEastAsia" w:cstheme="minorEastAsia"/>
          <w:sz w:val="28"/>
          <w:szCs w:val="28"/>
        </w:rPr>
        <w:t>部门概况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_Toc14288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_Toc4906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一、基</w:t>
      </w:r>
      <w:r>
        <w:rPr>
          <w:rFonts w:hint="eastAsia" w:asciiTheme="minorEastAsia" w:hAnsiTheme="minorEastAsia" w:eastAsiaTheme="minorEastAsia" w:cstheme="minorEastAsia"/>
          <w:bCs w:val="0"/>
          <w:sz w:val="28"/>
          <w:szCs w:val="28"/>
        </w:rPr>
        <w:t>本职能及主要工作</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_Toc4906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_Toc21576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（一）主要职能。</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_Toc21576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_Toc18270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（二）</w:t>
      </w:r>
      <w:r>
        <w:rPr>
          <w:rFonts w:hint="eastAsia" w:asciiTheme="minorEastAsia" w:hAnsiTheme="minorEastAsia" w:eastAsiaTheme="minorEastAsia" w:cstheme="minorEastAsia"/>
          <w:sz w:val="28"/>
          <w:szCs w:val="28"/>
          <w:lang w:val="en-US" w:eastAsia="zh-CN"/>
        </w:rPr>
        <w:t>2020</w:t>
      </w:r>
      <w:r>
        <w:rPr>
          <w:rFonts w:hint="eastAsia" w:asciiTheme="minorEastAsia" w:hAnsiTheme="minorEastAsia" w:eastAsiaTheme="minorEastAsia" w:cstheme="minorEastAsia"/>
          <w:sz w:val="28"/>
          <w:szCs w:val="28"/>
        </w:rPr>
        <w:t>年重点工作完成情况。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_Toc18270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_Toc31488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二、机</w:t>
      </w:r>
      <w:r>
        <w:rPr>
          <w:rFonts w:hint="eastAsia" w:asciiTheme="minorEastAsia" w:hAnsiTheme="minorEastAsia" w:eastAsiaTheme="minorEastAsia" w:cstheme="minorEastAsia"/>
          <w:bCs w:val="0"/>
          <w:sz w:val="28"/>
          <w:szCs w:val="28"/>
        </w:rPr>
        <w:t>构设置</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color w:val="000000"/>
          <w:sz w:val="28"/>
          <w:szCs w:val="28"/>
        </w:rPr>
        <w:fldChar w:fldCharType="end"/>
      </w:r>
      <w:r>
        <w:rPr>
          <w:rFonts w:hint="eastAsia" w:asciiTheme="minorEastAsia" w:hAnsiTheme="minorEastAsia" w:eastAsiaTheme="minorEastAsia" w:cstheme="minorEastAsia"/>
          <w:color w:val="000000"/>
          <w:sz w:val="28"/>
          <w:szCs w:val="28"/>
          <w:lang w:val="en-US" w:eastAsia="zh-CN"/>
        </w:rPr>
        <w:t>5</w:t>
      </w:r>
    </w:p>
    <w:p>
      <w:pPr>
        <w:pStyle w:val="10"/>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_Toc26843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第二部分</w:t>
      </w:r>
      <w:r>
        <w:rPr>
          <w:rFonts w:hint="eastAsia" w:asciiTheme="minorEastAsia" w:hAnsiTheme="minorEastAsia" w:eastAsiaTheme="minorEastAsia" w:cstheme="minorEastAsia"/>
          <w:bCs w:val="0"/>
          <w:sz w:val="28"/>
          <w:szCs w:val="28"/>
          <w:lang w:val="en-US" w:eastAsia="zh-CN"/>
        </w:rPr>
        <w:t>2020</w:t>
      </w:r>
      <w:r>
        <w:rPr>
          <w:rFonts w:hint="eastAsia" w:asciiTheme="minorEastAsia" w:hAnsiTheme="minorEastAsia" w:eastAsiaTheme="minorEastAsia" w:cstheme="minorEastAsia"/>
          <w:bCs w:val="0"/>
          <w:sz w:val="28"/>
          <w:szCs w:val="28"/>
        </w:rPr>
        <w:t>年度部门决算情况说明</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_Toc26843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_Toc14009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一、收入支出决算总体情况说明</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_Toc14009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_Toc12741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二、收入决算情况说明</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_Toc12741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_Toc20958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三、支出决算情况说明</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_Toc20958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_Toc16456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四、财政拨款收入支出决算总体情况说明</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_Toc16456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_Toc16791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五、一般公共预算财政拨款支出决算情况说明</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_Toc16791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_Toc28148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（一）一般公共预算财政拨款支出决算总体情况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_Toc28148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_Toc22065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（二）一般公共预算财政拨款支出决算结构情况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_Toc22065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_Toc6898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（三）一般公共预算财政拨款支出决算具体情况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_Toc6898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_Toc17396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六、一般公共预算财政拨款基本支出决算情况说明</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color w:val="000000"/>
          <w:sz w:val="28"/>
          <w:szCs w:val="28"/>
        </w:rPr>
        <w:fldChar w:fldCharType="end"/>
      </w:r>
      <w:r>
        <w:rPr>
          <w:rFonts w:hint="eastAsia" w:asciiTheme="minorEastAsia" w:hAnsiTheme="minorEastAsia" w:eastAsiaTheme="minorEastAsia" w:cstheme="minorEastAsia"/>
          <w:color w:val="000000"/>
          <w:sz w:val="28"/>
          <w:szCs w:val="28"/>
          <w:lang w:val="en-US" w:eastAsia="zh-CN"/>
        </w:rPr>
        <w:t>0</w:t>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_Toc21512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七、“三公”经费财政拨款支出决算情况说明</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_Toc21512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_Toc28593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（一）</w:t>
      </w:r>
      <w:r>
        <w:rPr>
          <w:rFonts w:hint="eastAsia" w:asciiTheme="minorEastAsia" w:hAnsiTheme="minorEastAsia" w:eastAsiaTheme="minorEastAsia" w:cstheme="minorEastAsia"/>
          <w:sz w:val="28"/>
          <w:szCs w:val="28"/>
          <w:lang w:eastAsia="zh-CN"/>
        </w:rPr>
        <w:t>　</w:t>
      </w:r>
      <w:r>
        <w:rPr>
          <w:rFonts w:hint="eastAsia" w:asciiTheme="minorEastAsia" w:hAnsiTheme="minorEastAsia" w:eastAsiaTheme="minorEastAsia" w:cstheme="minorEastAsia"/>
          <w:sz w:val="28"/>
          <w:szCs w:val="28"/>
        </w:rPr>
        <w:t>“三公”经费财政拨款支出决算情况说明</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_Toc28593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_Toc12668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（二）“三公”经费财政拨款支出决算具体情况说明</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_Toc12668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_Toc32347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sz w:val="28"/>
          <w:szCs w:val="28"/>
          <w:lang w:eastAsia="zh-CN"/>
        </w:rPr>
        <w:t>八、政府性基金预算支出情况说明</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_Toc32347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_Toc17504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sz w:val="28"/>
          <w:szCs w:val="28"/>
          <w:lang w:val="en-US" w:eastAsia="zh-CN"/>
        </w:rPr>
        <w:t>九、国有资产经营预算支出情况说明</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_Toc17504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_Toc29360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sz w:val="28"/>
          <w:szCs w:val="28"/>
          <w:lang w:val="en-US" w:eastAsia="zh-CN"/>
        </w:rPr>
        <w:t>十、预算绩效情况说明</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_Toc29360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_Toc21586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sz w:val="28"/>
          <w:szCs w:val="28"/>
          <w:lang w:eastAsia="zh-CN"/>
        </w:rPr>
        <w:t>（一）机关运行经费支出情况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_Toc21586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color w:val="000000"/>
          <w:sz w:val="28"/>
          <w:szCs w:val="28"/>
        </w:rPr>
        <w:fldChar w:fldCharType="end"/>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_Toc24745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sz w:val="28"/>
          <w:szCs w:val="28"/>
          <w:lang w:eastAsia="zh-CN"/>
        </w:rPr>
        <w:t>（二）政府采购支出情况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color w:val="000000"/>
          <w:sz w:val="28"/>
          <w:szCs w:val="28"/>
        </w:rPr>
        <w:fldChar w:fldCharType="end"/>
      </w:r>
      <w:r>
        <w:rPr>
          <w:rFonts w:hint="eastAsia" w:asciiTheme="minorEastAsia" w:hAnsiTheme="minorEastAsia" w:eastAsiaTheme="minorEastAsia" w:cstheme="minorEastAsia"/>
          <w:color w:val="000000"/>
          <w:sz w:val="28"/>
          <w:szCs w:val="28"/>
          <w:lang w:val="en-US" w:eastAsia="zh-CN"/>
        </w:rPr>
        <w:t>11</w:t>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_Toc798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sz w:val="28"/>
          <w:szCs w:val="28"/>
          <w:lang w:val="en-US" w:eastAsia="zh-CN"/>
        </w:rPr>
        <w:t>（三）国有资产占有使用情况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color w:val="000000"/>
          <w:sz w:val="28"/>
          <w:szCs w:val="28"/>
        </w:rPr>
        <w:fldChar w:fldCharType="end"/>
      </w:r>
      <w:r>
        <w:rPr>
          <w:rFonts w:hint="eastAsia" w:asciiTheme="minorEastAsia" w:hAnsiTheme="minorEastAsia" w:eastAsiaTheme="minorEastAsia" w:cstheme="minorEastAsia"/>
          <w:color w:val="000000"/>
          <w:sz w:val="28"/>
          <w:szCs w:val="28"/>
          <w:lang w:val="en-US" w:eastAsia="zh-CN"/>
        </w:rPr>
        <w:t>11</w:t>
      </w:r>
    </w:p>
    <w:p>
      <w:pPr>
        <w:pStyle w:val="6"/>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_Toc29635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sz w:val="28"/>
          <w:szCs w:val="28"/>
          <w:lang w:eastAsia="zh-CN"/>
        </w:rPr>
        <w:t>（四）</w:t>
      </w:r>
      <w:r>
        <w:rPr>
          <w:rFonts w:hint="eastAsia" w:asciiTheme="minorEastAsia" w:hAnsiTheme="minorEastAsia" w:eastAsiaTheme="minorEastAsia" w:cstheme="minorEastAsia"/>
          <w:bCs/>
          <w:sz w:val="28"/>
          <w:szCs w:val="28"/>
        </w:rPr>
        <w:t>项目绩效目标完成情况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color w:val="000000"/>
          <w:sz w:val="28"/>
          <w:szCs w:val="28"/>
        </w:rPr>
        <w:fldChar w:fldCharType="end"/>
      </w:r>
      <w:r>
        <w:rPr>
          <w:rFonts w:hint="eastAsia" w:asciiTheme="minorEastAsia" w:hAnsiTheme="minorEastAsia" w:eastAsiaTheme="minorEastAsia" w:cstheme="minorEastAsia"/>
          <w:color w:val="000000"/>
          <w:sz w:val="28"/>
          <w:szCs w:val="28"/>
          <w:lang w:val="en-US" w:eastAsia="zh-CN"/>
        </w:rPr>
        <w:t>12</w:t>
      </w:r>
    </w:p>
    <w:p>
      <w:pPr>
        <w:pStyle w:val="10"/>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_Toc20084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第三部分 名词解释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color w:val="000000"/>
          <w:sz w:val="28"/>
          <w:szCs w:val="28"/>
        </w:rPr>
        <w:fldChar w:fldCharType="end"/>
      </w:r>
      <w:r>
        <w:rPr>
          <w:rFonts w:hint="eastAsia" w:asciiTheme="minorEastAsia" w:hAnsiTheme="minorEastAsia" w:eastAsiaTheme="minorEastAsia" w:cstheme="minorEastAsia"/>
          <w:color w:val="000000"/>
          <w:sz w:val="28"/>
          <w:szCs w:val="28"/>
          <w:lang w:val="en-US" w:eastAsia="zh-CN"/>
        </w:rPr>
        <w:t>5</w:t>
      </w:r>
    </w:p>
    <w:p>
      <w:pPr>
        <w:pStyle w:val="10"/>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_Toc23153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第四部分 附件</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color w:val="000000"/>
          <w:sz w:val="28"/>
          <w:szCs w:val="28"/>
        </w:rPr>
        <w:fldChar w:fldCharType="end"/>
      </w:r>
      <w:r>
        <w:rPr>
          <w:rFonts w:hint="eastAsia" w:asciiTheme="minorEastAsia" w:hAnsiTheme="minorEastAsia" w:eastAsiaTheme="minorEastAsia" w:cstheme="minorEastAsia"/>
          <w:color w:val="000000"/>
          <w:sz w:val="28"/>
          <w:szCs w:val="28"/>
          <w:lang w:val="en-US" w:eastAsia="zh-CN"/>
        </w:rPr>
        <w:t>7</w:t>
      </w:r>
    </w:p>
    <w:p>
      <w:pPr>
        <w:pStyle w:val="10"/>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_Toc15480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eastAsia="zh-CN"/>
        </w:rPr>
        <w:t>第五部分　</w:t>
      </w:r>
      <w:r>
        <w:rPr>
          <w:rFonts w:hint="eastAsia" w:asciiTheme="minorEastAsia" w:hAnsiTheme="minorEastAsia" w:eastAsiaTheme="minorEastAsia" w:cstheme="minorEastAsia"/>
          <w:sz w:val="28"/>
          <w:szCs w:val="28"/>
        </w:rPr>
        <w:t>附表</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color w:val="000000"/>
          <w:sz w:val="28"/>
          <w:szCs w:val="28"/>
        </w:rPr>
        <w:fldChar w:fldCharType="end"/>
      </w:r>
      <w:r>
        <w:rPr>
          <w:rFonts w:hint="eastAsia" w:asciiTheme="minorEastAsia" w:hAnsiTheme="minorEastAsia" w:eastAsiaTheme="minorEastAsia" w:cstheme="minorEastAsia"/>
          <w:color w:val="000000"/>
          <w:sz w:val="28"/>
          <w:szCs w:val="28"/>
          <w:lang w:val="en-US" w:eastAsia="zh-CN"/>
        </w:rPr>
        <w:t>0</w:t>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_Toc13786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val="0"/>
          <w:sz w:val="28"/>
          <w:szCs w:val="28"/>
        </w:rPr>
        <w:t xml:space="preserve">一、 </w:t>
      </w:r>
      <w:r>
        <w:rPr>
          <w:rFonts w:hint="eastAsia" w:asciiTheme="minorEastAsia" w:hAnsiTheme="minorEastAsia" w:eastAsiaTheme="minorEastAsia" w:cstheme="minorEastAsia"/>
          <w:sz w:val="28"/>
          <w:szCs w:val="28"/>
        </w:rPr>
        <w:t>2020年收入支出决算总表</w:t>
      </w:r>
      <w:r>
        <w:rPr>
          <w:rFonts w:hint="eastAsia" w:asciiTheme="minorEastAsia" w:hAnsiTheme="minorEastAsia" w:eastAsiaTheme="minorEastAsia" w:cstheme="minorEastAsia"/>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_Toc5888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二、 2020年收入总表</w:t>
      </w:r>
      <w:r>
        <w:rPr>
          <w:rFonts w:hint="eastAsia" w:asciiTheme="minorEastAsia" w:hAnsiTheme="minorEastAsia" w:eastAsiaTheme="minorEastAsia" w:cstheme="minorEastAsia"/>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_Toc18590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xml:space="preserve">三、 </w:t>
      </w:r>
      <w:r>
        <w:rPr>
          <w:rFonts w:hint="eastAsia" w:asciiTheme="minorEastAsia" w:hAnsiTheme="minorEastAsia" w:eastAsiaTheme="minorEastAsia" w:cstheme="minorEastAsia"/>
          <w:bCs w:val="0"/>
          <w:sz w:val="28"/>
          <w:szCs w:val="28"/>
        </w:rPr>
        <w:t>2020年支出总表</w:t>
      </w:r>
      <w:r>
        <w:rPr>
          <w:rFonts w:hint="eastAsia" w:asciiTheme="minorEastAsia" w:hAnsiTheme="minorEastAsia" w:eastAsiaTheme="minorEastAsia" w:cstheme="minorEastAsia"/>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_Toc15810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xml:space="preserve">四、 </w:t>
      </w:r>
      <w:r>
        <w:rPr>
          <w:rFonts w:hint="eastAsia" w:asciiTheme="minorEastAsia" w:hAnsiTheme="minorEastAsia" w:eastAsiaTheme="minorEastAsia" w:cstheme="minorEastAsia"/>
          <w:bCs w:val="0"/>
          <w:sz w:val="28"/>
          <w:szCs w:val="28"/>
        </w:rPr>
        <w:t>2020年财政拨款收入支出决算总表</w:t>
      </w:r>
      <w:r>
        <w:rPr>
          <w:rFonts w:hint="eastAsia" w:asciiTheme="minorEastAsia" w:hAnsiTheme="minorEastAsia" w:eastAsiaTheme="minorEastAsia" w:cstheme="minorEastAsia"/>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_Toc25804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xml:space="preserve">五、 </w:t>
      </w:r>
      <w:r>
        <w:rPr>
          <w:rFonts w:hint="eastAsia" w:asciiTheme="minorEastAsia" w:hAnsiTheme="minorEastAsia" w:eastAsiaTheme="minorEastAsia" w:cstheme="minorEastAsia"/>
          <w:bCs w:val="0"/>
          <w:sz w:val="28"/>
          <w:szCs w:val="28"/>
        </w:rPr>
        <w:t>2020年财政拨款支出决算明细表</w:t>
      </w:r>
      <w:r>
        <w:rPr>
          <w:rFonts w:hint="eastAsia" w:asciiTheme="minorEastAsia" w:hAnsiTheme="minorEastAsia" w:eastAsiaTheme="minorEastAsia" w:cstheme="minorEastAsia"/>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_Toc12029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六、</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bCs w:val="0"/>
          <w:sz w:val="28"/>
          <w:szCs w:val="28"/>
        </w:rPr>
        <w:t>2020年一般公共预算财政拨款支出决算表</w:t>
      </w:r>
      <w:r>
        <w:rPr>
          <w:rFonts w:hint="eastAsia" w:asciiTheme="minorEastAsia" w:hAnsiTheme="minorEastAsia" w:eastAsiaTheme="minorEastAsia" w:cstheme="minorEastAsia"/>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_Toc23143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xml:space="preserve">七、 </w:t>
      </w:r>
      <w:r>
        <w:rPr>
          <w:rFonts w:hint="eastAsia" w:asciiTheme="minorEastAsia" w:hAnsiTheme="minorEastAsia" w:eastAsiaTheme="minorEastAsia" w:cstheme="minorEastAsia"/>
          <w:bCs w:val="0"/>
          <w:sz w:val="28"/>
          <w:szCs w:val="28"/>
        </w:rPr>
        <w:t>2020年一般公共预算财政拨款支出决算明细表</w:t>
      </w:r>
      <w:r>
        <w:rPr>
          <w:rFonts w:hint="eastAsia" w:asciiTheme="minorEastAsia" w:hAnsiTheme="minorEastAsia" w:eastAsiaTheme="minorEastAsia" w:cstheme="minorEastAsia"/>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_Toc8805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xml:space="preserve">八、 </w:t>
      </w:r>
      <w:r>
        <w:rPr>
          <w:rFonts w:hint="eastAsia" w:asciiTheme="minorEastAsia" w:hAnsiTheme="minorEastAsia" w:eastAsiaTheme="minorEastAsia" w:cstheme="minorEastAsia"/>
          <w:bCs w:val="0"/>
          <w:sz w:val="28"/>
          <w:szCs w:val="28"/>
        </w:rPr>
        <w:t>2020年一般公共预算财政拨款基本支出决算表</w:t>
      </w:r>
      <w:r>
        <w:rPr>
          <w:rFonts w:hint="eastAsia" w:asciiTheme="minorEastAsia" w:hAnsiTheme="minorEastAsia" w:eastAsiaTheme="minorEastAsia" w:cstheme="minorEastAsia"/>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_Toc29482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xml:space="preserve">九、 </w:t>
      </w:r>
      <w:r>
        <w:rPr>
          <w:rFonts w:hint="eastAsia" w:asciiTheme="minorEastAsia" w:hAnsiTheme="minorEastAsia" w:eastAsiaTheme="minorEastAsia" w:cstheme="minorEastAsia"/>
          <w:bCs w:val="0"/>
          <w:sz w:val="28"/>
          <w:szCs w:val="28"/>
        </w:rPr>
        <w:t>2020年一般公共预算财政拨款项目支出决算表</w:t>
      </w:r>
      <w:r>
        <w:rPr>
          <w:rFonts w:hint="eastAsia" w:asciiTheme="minorEastAsia" w:hAnsiTheme="minorEastAsia" w:eastAsiaTheme="minorEastAsia" w:cstheme="minorEastAsia"/>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_Toc12367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xml:space="preserve">十、 </w:t>
      </w:r>
      <w:r>
        <w:rPr>
          <w:rFonts w:hint="eastAsia" w:asciiTheme="minorEastAsia" w:hAnsiTheme="minorEastAsia" w:eastAsiaTheme="minorEastAsia" w:cstheme="minorEastAsia"/>
          <w:sz w:val="28"/>
          <w:szCs w:val="28"/>
          <w:lang w:eastAsia="zh-CN"/>
        </w:rPr>
        <w:t>2020</w:t>
      </w:r>
      <w:r>
        <w:rPr>
          <w:rFonts w:hint="eastAsia" w:asciiTheme="minorEastAsia" w:hAnsiTheme="minorEastAsia" w:eastAsiaTheme="minorEastAsia" w:cstheme="minorEastAsia"/>
          <w:sz w:val="28"/>
          <w:szCs w:val="28"/>
        </w:rPr>
        <w:t>年一</w:t>
      </w:r>
      <w:r>
        <w:rPr>
          <w:rFonts w:hint="eastAsia" w:asciiTheme="minorEastAsia" w:hAnsiTheme="minorEastAsia" w:eastAsiaTheme="minorEastAsia" w:cstheme="minorEastAsia"/>
          <w:bCs w:val="0"/>
          <w:sz w:val="28"/>
          <w:szCs w:val="28"/>
        </w:rPr>
        <w:t>般公共预算财政拨款“三公”经费支出决算表</w:t>
      </w:r>
      <w:r>
        <w:rPr>
          <w:rFonts w:hint="eastAsia" w:asciiTheme="minorEastAsia" w:hAnsiTheme="minorEastAsia" w:eastAsiaTheme="minorEastAsia" w:cstheme="minorEastAsia"/>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_Toc11636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xml:space="preserve">十一、 </w:t>
      </w:r>
      <w:r>
        <w:rPr>
          <w:rFonts w:hint="eastAsia" w:asciiTheme="minorEastAsia" w:hAnsiTheme="minorEastAsia" w:eastAsiaTheme="minorEastAsia" w:cstheme="minorEastAsia"/>
          <w:sz w:val="28"/>
          <w:szCs w:val="28"/>
          <w:lang w:eastAsia="zh-CN"/>
        </w:rPr>
        <w:t>2020</w:t>
      </w:r>
      <w:r>
        <w:rPr>
          <w:rFonts w:hint="eastAsia" w:asciiTheme="minorEastAsia" w:hAnsiTheme="minorEastAsia" w:eastAsiaTheme="minorEastAsia" w:cstheme="minorEastAsia"/>
          <w:sz w:val="28"/>
          <w:szCs w:val="28"/>
        </w:rPr>
        <w:t>年政</w:t>
      </w:r>
      <w:r>
        <w:rPr>
          <w:rFonts w:hint="eastAsia" w:asciiTheme="minorEastAsia" w:hAnsiTheme="minorEastAsia" w:eastAsiaTheme="minorEastAsia" w:cstheme="minorEastAsia"/>
          <w:bCs w:val="0"/>
          <w:sz w:val="28"/>
          <w:szCs w:val="28"/>
        </w:rPr>
        <w:t>府性基金预算财政拨款收入支出决算表</w:t>
      </w:r>
      <w:r>
        <w:rPr>
          <w:rFonts w:hint="eastAsia" w:asciiTheme="minorEastAsia" w:hAnsiTheme="minorEastAsia" w:eastAsiaTheme="minorEastAsia" w:cstheme="minorEastAsia"/>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_Toc3961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xml:space="preserve">十二、 </w:t>
      </w:r>
      <w:r>
        <w:rPr>
          <w:rFonts w:hint="eastAsia" w:asciiTheme="minorEastAsia" w:hAnsiTheme="minorEastAsia" w:eastAsiaTheme="minorEastAsia" w:cstheme="minorEastAsia"/>
          <w:bCs w:val="0"/>
          <w:sz w:val="28"/>
          <w:szCs w:val="28"/>
        </w:rPr>
        <w:t>2020年政府性基金预算财政拨款“三公”经费支出决算表</w:t>
      </w:r>
      <w:r>
        <w:rPr>
          <w:rFonts w:hint="eastAsia" w:asciiTheme="minorEastAsia" w:hAnsiTheme="minorEastAsia" w:eastAsiaTheme="minorEastAsia" w:cstheme="minorEastAsia"/>
          <w:color w:val="000000"/>
          <w:sz w:val="28"/>
          <w:szCs w:val="28"/>
        </w:rPr>
        <w:fldChar w:fldCharType="end"/>
      </w:r>
    </w:p>
    <w:p>
      <w:pPr>
        <w:pStyle w:val="11"/>
        <w:keepNext w:val="0"/>
        <w:keepLines w:val="0"/>
        <w:pageBreakBefore w:val="0"/>
        <w:tabs>
          <w:tab w:val="right" w:leader="dot" w:pos="8306"/>
          <w:tab w:val="clear" w:pos="8296"/>
        </w:tabs>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fldChar w:fldCharType="begin"/>
      </w:r>
      <w:r>
        <w:rPr>
          <w:rFonts w:hint="eastAsia" w:asciiTheme="minorEastAsia" w:hAnsiTheme="minorEastAsia" w:eastAsiaTheme="minorEastAsia" w:cstheme="minorEastAsia"/>
          <w:sz w:val="28"/>
          <w:szCs w:val="28"/>
        </w:rPr>
        <w:instrText xml:space="preserve"> HYPERLINK \l _Toc14205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val="0"/>
          <w:sz w:val="28"/>
          <w:szCs w:val="28"/>
        </w:rPr>
        <w:t>十三、2020年国有资本经营预算支出决算表</w:t>
      </w:r>
      <w:r>
        <w:rPr>
          <w:rFonts w:hint="eastAsia" w:asciiTheme="minorEastAsia" w:hAnsiTheme="minorEastAsia" w:eastAsiaTheme="minorEastAsia" w:cstheme="minorEastAsia"/>
          <w:color w:val="000000"/>
          <w:sz w:val="28"/>
          <w:szCs w:val="28"/>
        </w:rPr>
        <w:fldChar w:fldCharType="end"/>
      </w:r>
    </w:p>
    <w:p>
      <w:pPr>
        <w:keepNext w:val="0"/>
        <w:keepLines w:val="0"/>
        <w:pageBreakBefore w:val="0"/>
        <w:widowControl/>
        <w:kinsoku/>
        <w:wordWrap/>
        <w:overflowPunct/>
        <w:topLinePunct w:val="0"/>
        <w:autoSpaceDE/>
        <w:autoSpaceDN/>
        <w:bidi w:val="0"/>
        <w:adjustRightInd/>
        <w:snapToGrid/>
        <w:spacing w:line="500" w:lineRule="exact"/>
        <w:jc w:val="left"/>
        <w:textAlignment w:val="auto"/>
        <w:outlineLvl w:val="9"/>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fldChar w:fldCharType="end"/>
      </w:r>
    </w:p>
    <w:p>
      <w:pPr>
        <w:widowControl/>
        <w:tabs>
          <w:tab w:val="left" w:pos="2176"/>
        </w:tabs>
        <w:jc w:val="center"/>
        <w:rPr>
          <w:rFonts w:hint="eastAsia" w:asciiTheme="minorEastAsia" w:hAnsiTheme="minorEastAsia" w:eastAsiaTheme="minorEastAsia" w:cstheme="minorEastAsia"/>
          <w:b/>
          <w:bCs/>
          <w:color w:val="000000"/>
          <w:sz w:val="32"/>
          <w:szCs w:val="32"/>
        </w:rPr>
      </w:pPr>
    </w:p>
    <w:p>
      <w:pPr>
        <w:widowControl/>
        <w:tabs>
          <w:tab w:val="left" w:pos="2176"/>
        </w:tabs>
        <w:jc w:val="center"/>
        <w:rPr>
          <w:rFonts w:hint="eastAsia" w:asciiTheme="minorEastAsia" w:hAnsiTheme="minorEastAsia" w:eastAsiaTheme="minorEastAsia" w:cstheme="minorEastAsia"/>
          <w:b/>
          <w:bCs/>
          <w:color w:val="000000"/>
          <w:sz w:val="32"/>
          <w:szCs w:val="32"/>
        </w:rPr>
      </w:pPr>
    </w:p>
    <w:p>
      <w:pPr>
        <w:widowControl/>
        <w:tabs>
          <w:tab w:val="left" w:pos="2176"/>
        </w:tabs>
        <w:jc w:val="center"/>
        <w:rPr>
          <w:rFonts w:hint="eastAsia" w:asciiTheme="minorEastAsia" w:hAnsiTheme="minorEastAsia" w:eastAsiaTheme="minorEastAsia" w:cstheme="minorEastAsia"/>
          <w:b/>
          <w:bCs/>
          <w:color w:val="000000"/>
          <w:sz w:val="32"/>
          <w:szCs w:val="32"/>
        </w:rPr>
      </w:pPr>
    </w:p>
    <w:p>
      <w:pPr>
        <w:widowControl/>
        <w:tabs>
          <w:tab w:val="left" w:pos="2176"/>
        </w:tabs>
        <w:jc w:val="center"/>
        <w:rPr>
          <w:rFonts w:hint="eastAsia" w:asciiTheme="minorEastAsia" w:hAnsiTheme="minorEastAsia" w:eastAsiaTheme="minorEastAsia" w:cstheme="minorEastAsia"/>
          <w:b/>
          <w:bCs/>
          <w:color w:val="000000"/>
          <w:sz w:val="32"/>
          <w:szCs w:val="32"/>
        </w:rPr>
      </w:pPr>
    </w:p>
    <w:p>
      <w:pPr>
        <w:widowControl/>
        <w:tabs>
          <w:tab w:val="left" w:pos="2176"/>
        </w:tabs>
        <w:jc w:val="center"/>
        <w:rPr>
          <w:rFonts w:hint="eastAsia" w:asciiTheme="minorEastAsia" w:hAnsiTheme="minorEastAsia" w:eastAsiaTheme="minorEastAsia" w:cstheme="minorEastAsia"/>
          <w:b/>
          <w:bCs/>
          <w:color w:val="000000"/>
          <w:sz w:val="32"/>
          <w:szCs w:val="32"/>
        </w:rPr>
      </w:pPr>
    </w:p>
    <w:p>
      <w:pPr>
        <w:widowControl/>
        <w:tabs>
          <w:tab w:val="left" w:pos="2176"/>
        </w:tabs>
        <w:jc w:val="center"/>
        <w:rPr>
          <w:rFonts w:hint="eastAsia" w:asciiTheme="minorEastAsia" w:hAnsiTheme="minorEastAsia" w:eastAsiaTheme="minorEastAsia" w:cstheme="minorEastAsia"/>
          <w:b/>
          <w:bCs/>
          <w:color w:val="000000"/>
          <w:sz w:val="32"/>
          <w:szCs w:val="32"/>
        </w:rPr>
      </w:pPr>
    </w:p>
    <w:p>
      <w:pPr>
        <w:widowControl/>
        <w:tabs>
          <w:tab w:val="left" w:pos="2176"/>
        </w:tabs>
        <w:jc w:val="center"/>
        <w:rPr>
          <w:rFonts w:hint="eastAsia" w:asciiTheme="minorEastAsia" w:hAnsiTheme="minorEastAsia" w:eastAsiaTheme="minorEastAsia" w:cstheme="minorEastAsia"/>
          <w:b/>
          <w:bCs/>
          <w:color w:val="000000"/>
          <w:sz w:val="32"/>
          <w:szCs w:val="32"/>
        </w:rPr>
      </w:pPr>
    </w:p>
    <w:p>
      <w:pPr>
        <w:keepNext w:val="0"/>
        <w:keepLines w:val="0"/>
        <w:pageBreakBefore/>
        <w:widowControl/>
        <w:tabs>
          <w:tab w:val="left" w:pos="2381"/>
        </w:tabs>
        <w:kinsoku/>
        <w:wordWrap/>
        <w:overflowPunct/>
        <w:topLinePunct w:val="0"/>
        <w:autoSpaceDE/>
        <w:autoSpaceDN/>
        <w:bidi w:val="0"/>
        <w:adjustRightInd/>
        <w:snapToGrid/>
        <w:jc w:val="center"/>
        <w:textAlignment w:val="auto"/>
        <w:outlineLvl w:val="0"/>
        <w:rPr>
          <w:rStyle w:val="26"/>
          <w:rFonts w:hint="eastAsia" w:asciiTheme="minorEastAsia" w:hAnsiTheme="minorEastAsia" w:eastAsiaTheme="minorEastAsia" w:cstheme="minorEastAsia"/>
        </w:rPr>
      </w:pPr>
      <w:bookmarkStart w:id="18" w:name="_Toc14288"/>
      <w:r>
        <w:rPr>
          <w:rFonts w:hint="eastAsia" w:asciiTheme="minorEastAsia" w:hAnsiTheme="minorEastAsia" w:eastAsiaTheme="minorEastAsia" w:cstheme="minorEastAsia"/>
          <w:b/>
          <w:bCs/>
          <w:sz w:val="44"/>
          <w:szCs w:val="44"/>
        </w:rPr>
        <w:t xml:space="preserve">第一部分 </w:t>
      </w:r>
      <w:r>
        <w:rPr>
          <w:rStyle w:val="26"/>
          <w:rFonts w:hint="eastAsia" w:asciiTheme="minorEastAsia" w:hAnsiTheme="minorEastAsia" w:eastAsiaTheme="minorEastAsia" w:cstheme="minorEastAsia"/>
        </w:rPr>
        <w:t>部门概况</w:t>
      </w:r>
      <w:bookmarkEnd w:id="18"/>
    </w:p>
    <w:p>
      <w:pPr>
        <w:pStyle w:val="3"/>
        <w:ind w:firstLine="560" w:firstLineChars="200"/>
        <w:rPr>
          <w:rStyle w:val="27"/>
          <w:rFonts w:hint="eastAsia" w:asciiTheme="minorEastAsia" w:hAnsiTheme="minorEastAsia" w:eastAsiaTheme="minorEastAsia" w:cstheme="minorEastAsia"/>
          <w:b w:val="0"/>
          <w:bCs w:val="0"/>
          <w:sz w:val="28"/>
          <w:szCs w:val="28"/>
        </w:rPr>
      </w:pPr>
      <w:bookmarkStart w:id="19" w:name="_Toc15377197"/>
      <w:bookmarkStart w:id="20" w:name="_Toc4906"/>
      <w:bookmarkStart w:id="21" w:name="_Toc15396600"/>
      <w:r>
        <w:rPr>
          <w:rFonts w:hint="eastAsia" w:asciiTheme="minorEastAsia" w:hAnsiTheme="minorEastAsia" w:eastAsiaTheme="minorEastAsia" w:cstheme="minorEastAsia"/>
          <w:b w:val="0"/>
          <w:color w:val="000000"/>
          <w:sz w:val="28"/>
          <w:szCs w:val="28"/>
        </w:rPr>
        <w:t>一、基</w:t>
      </w:r>
      <w:r>
        <w:rPr>
          <w:rStyle w:val="27"/>
          <w:rFonts w:hint="eastAsia" w:asciiTheme="minorEastAsia" w:hAnsiTheme="minorEastAsia" w:eastAsiaTheme="minorEastAsia" w:cstheme="minorEastAsia"/>
          <w:b w:val="0"/>
          <w:bCs w:val="0"/>
          <w:sz w:val="28"/>
          <w:szCs w:val="28"/>
        </w:rPr>
        <w:t>本职能及主要工作</w:t>
      </w:r>
      <w:bookmarkEnd w:id="19"/>
      <w:bookmarkEnd w:id="20"/>
      <w:bookmarkEnd w:id="21"/>
      <w:bookmarkStart w:id="22" w:name="_Toc15377198"/>
      <w:bookmarkStart w:id="23" w:name="_Toc15378445"/>
    </w:p>
    <w:p>
      <w:pPr>
        <w:pStyle w:val="4"/>
        <w:ind w:firstLine="321" w:firstLineChars="100"/>
        <w:outlineLvl w:val="2"/>
        <w:rPr>
          <w:rFonts w:hint="eastAsia" w:asciiTheme="minorEastAsia" w:hAnsiTheme="minorEastAsia" w:eastAsiaTheme="minorEastAsia" w:cstheme="minorEastAsia"/>
          <w:color w:val="000000"/>
        </w:rPr>
      </w:pPr>
      <w:bookmarkStart w:id="24" w:name="_Toc21576"/>
      <w:r>
        <w:rPr>
          <w:rFonts w:hint="eastAsia" w:asciiTheme="minorEastAsia" w:hAnsiTheme="minorEastAsia" w:eastAsiaTheme="minorEastAsia" w:cstheme="minorEastAsia"/>
          <w:color w:val="000000"/>
        </w:rPr>
        <w:t>（一）主要职能。</w:t>
      </w:r>
      <w:bookmarkEnd w:id="22"/>
      <w:bookmarkEnd w:id="23"/>
      <w:bookmarkEnd w:id="24"/>
    </w:p>
    <w:p>
      <w:pPr>
        <w:snapToGrid w:val="0"/>
        <w:spacing w:line="52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1.认真贯彻落实党和国家的方针、政策，正确执行上级主管部门的决议和指示，全面实施素质教育，培养德、智、体、美等方面全面发展的社会主义事业的建设者和接班人。</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2.编制年度财政预算并执行</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管理和监督各项财政收支。</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3.管理各类政策性补贴等资金，进一步完善财政补贴</w:t>
      </w:r>
      <w:r>
        <w:rPr>
          <w:rFonts w:hint="eastAsia" w:asciiTheme="minorEastAsia" w:hAnsiTheme="minorEastAsia" w:eastAsiaTheme="minorEastAsia" w:cstheme="minorEastAsia"/>
          <w:sz w:val="28"/>
          <w:szCs w:val="28"/>
          <w:lang w:eastAsia="zh-CN"/>
        </w:rPr>
        <w:t>惠</w:t>
      </w:r>
      <w:r>
        <w:rPr>
          <w:rFonts w:hint="eastAsia" w:asciiTheme="minorEastAsia" w:hAnsiTheme="minorEastAsia" w:eastAsiaTheme="minorEastAsia" w:cstheme="minorEastAsia"/>
          <w:sz w:val="28"/>
          <w:szCs w:val="28"/>
        </w:rPr>
        <w:t>民资金“一卡（折）通”发放机制。</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4.负责对各类专项资金的监管，提高财政资金使用效率。</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5</w:t>
      </w:r>
      <w:r>
        <w:rPr>
          <w:rFonts w:hint="eastAsia" w:asciiTheme="minorEastAsia" w:hAnsiTheme="minorEastAsia" w:eastAsiaTheme="minorEastAsia" w:cstheme="minorEastAsia"/>
          <w:sz w:val="28"/>
          <w:szCs w:val="28"/>
        </w:rPr>
        <w:t>.提高加强财政管理的政策建议</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负责财政、税收政策法规的宣传工作。</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6</w:t>
      </w:r>
      <w:r>
        <w:rPr>
          <w:rFonts w:hint="eastAsia" w:asciiTheme="minorEastAsia" w:hAnsiTheme="minorEastAsia" w:eastAsiaTheme="minorEastAsia" w:cstheme="minorEastAsia"/>
          <w:sz w:val="28"/>
          <w:szCs w:val="28"/>
        </w:rPr>
        <w:t>.执行会计集中核算，严格按照上级财政部门规定的工作程序开展工作，充分发挥财政资金使用效率。</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7</w:t>
      </w:r>
      <w:r>
        <w:rPr>
          <w:rFonts w:hint="eastAsia" w:asciiTheme="minorEastAsia" w:hAnsiTheme="minorEastAsia" w:eastAsiaTheme="minorEastAsia" w:cstheme="minorEastAsia"/>
          <w:sz w:val="28"/>
          <w:szCs w:val="28"/>
        </w:rPr>
        <w:t>.负责本单位的国有资产监督管理工作。</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8</w:t>
      </w:r>
      <w:r>
        <w:rPr>
          <w:rFonts w:hint="eastAsia" w:asciiTheme="minorEastAsia" w:hAnsiTheme="minorEastAsia" w:eastAsiaTheme="minorEastAsia" w:cstheme="minorEastAsia"/>
          <w:sz w:val="28"/>
          <w:szCs w:val="28"/>
        </w:rPr>
        <w:t>.承办上级部门交办的其他事项。</w:t>
      </w:r>
      <w:bookmarkStart w:id="25" w:name="_Toc15377199"/>
      <w:bookmarkStart w:id="26" w:name="_Toc15378446"/>
    </w:p>
    <w:p>
      <w:pPr>
        <w:ind w:firstLine="321" w:firstLineChars="100"/>
        <w:outlineLvl w:val="2"/>
        <w:rPr>
          <w:rFonts w:hint="eastAsia" w:asciiTheme="minorEastAsia" w:hAnsiTheme="minorEastAsia" w:eastAsiaTheme="minorEastAsia" w:cstheme="minorEastAsia"/>
          <w:b/>
          <w:color w:val="000000"/>
          <w:sz w:val="32"/>
          <w:szCs w:val="32"/>
        </w:rPr>
      </w:pPr>
      <w:bookmarkStart w:id="27" w:name="_Toc18270"/>
      <w:r>
        <w:rPr>
          <w:rFonts w:hint="eastAsia" w:asciiTheme="minorEastAsia" w:hAnsiTheme="minorEastAsia" w:eastAsiaTheme="minorEastAsia" w:cstheme="minorEastAsia"/>
          <w:b/>
          <w:color w:val="000000"/>
          <w:sz w:val="32"/>
          <w:szCs w:val="32"/>
        </w:rPr>
        <w:t>（二）</w:t>
      </w:r>
      <w:r>
        <w:rPr>
          <w:rFonts w:hint="eastAsia" w:asciiTheme="minorEastAsia" w:hAnsiTheme="minorEastAsia" w:eastAsiaTheme="minorEastAsia" w:cstheme="minorEastAsia"/>
          <w:b/>
          <w:color w:val="000000"/>
          <w:sz w:val="32"/>
          <w:szCs w:val="32"/>
          <w:lang w:val="en-US" w:eastAsia="zh-CN"/>
        </w:rPr>
        <w:t>2020</w:t>
      </w:r>
      <w:r>
        <w:rPr>
          <w:rFonts w:hint="eastAsia" w:asciiTheme="minorEastAsia" w:hAnsiTheme="minorEastAsia" w:eastAsiaTheme="minorEastAsia" w:cstheme="minorEastAsia"/>
          <w:b/>
          <w:color w:val="000000"/>
          <w:sz w:val="32"/>
          <w:szCs w:val="32"/>
        </w:rPr>
        <w:t>年重点工作完成情况。</w:t>
      </w:r>
      <w:bookmarkEnd w:id="25"/>
      <w:bookmarkEnd w:id="26"/>
      <w:bookmarkEnd w:id="27"/>
    </w:p>
    <w:p>
      <w:pPr>
        <w:snapToGrid w:val="0"/>
        <w:spacing w:line="520" w:lineRule="exact"/>
        <w:ind w:firstLine="560" w:firstLineChars="200"/>
        <w:rPr>
          <w:rFonts w:hint="eastAsia" w:asciiTheme="minorEastAsia" w:hAnsiTheme="minorEastAsia" w:eastAsiaTheme="minorEastAsia" w:cstheme="minorEastAsia"/>
          <w:sz w:val="32"/>
          <w:szCs w:val="32"/>
        </w:rPr>
      </w:pPr>
      <w:bookmarkStart w:id="28" w:name="_Toc15377200"/>
      <w:bookmarkStart w:id="29" w:name="_Toc15396601"/>
      <w:bookmarkStart w:id="30" w:name="_Toc31488"/>
      <w:r>
        <w:rPr>
          <w:rFonts w:hint="eastAsia" w:asciiTheme="minorEastAsia" w:hAnsiTheme="minorEastAsia" w:eastAsiaTheme="minorEastAsia" w:cstheme="minorEastAsia"/>
          <w:sz w:val="28"/>
          <w:szCs w:val="28"/>
          <w:lang w:val="en-US" w:eastAsia="zh-CN"/>
        </w:rPr>
        <w:t>诺水河小学</w:t>
      </w:r>
      <w:r>
        <w:rPr>
          <w:rFonts w:hint="eastAsia" w:asciiTheme="minorEastAsia" w:hAnsiTheme="minorEastAsia" w:eastAsiaTheme="minorEastAsia" w:cstheme="minorEastAsia"/>
          <w:sz w:val="28"/>
          <w:szCs w:val="28"/>
        </w:rPr>
        <w:t>在</w:t>
      </w:r>
      <w:r>
        <w:rPr>
          <w:rFonts w:hint="eastAsia" w:asciiTheme="minorEastAsia" w:hAnsiTheme="minorEastAsia" w:eastAsiaTheme="minorEastAsia" w:cstheme="minorEastAsia"/>
          <w:sz w:val="28"/>
          <w:szCs w:val="28"/>
          <w:highlight w:val="none"/>
          <w:lang w:eastAsia="zh-CN"/>
        </w:rPr>
        <w:t>县委、县政府</w:t>
      </w:r>
      <w:r>
        <w:rPr>
          <w:rFonts w:hint="eastAsia" w:asciiTheme="minorEastAsia" w:hAnsiTheme="minorEastAsia" w:eastAsiaTheme="minorEastAsia" w:cstheme="minorEastAsia"/>
          <w:sz w:val="28"/>
          <w:szCs w:val="28"/>
        </w:rPr>
        <w:t>的领导下，在上级主管部门的指导下，全面完成了2020年教育教学工作，并取得了一定的成绩，特别是诚信教育进校园，我校以小手牵大手的方式，使得学校的诚信教育上了一个新台阶。</w:t>
      </w:r>
    </w:p>
    <w:p>
      <w:pPr>
        <w:ind w:firstLine="720" w:firstLineChars="200"/>
        <w:outlineLvl w:val="1"/>
        <w:rPr>
          <w:rFonts w:hint="eastAsia" w:asciiTheme="minorEastAsia" w:hAnsiTheme="minorEastAsia" w:eastAsiaTheme="minorEastAsia" w:cstheme="minorEastAsia"/>
          <w:b w:val="0"/>
          <w:color w:val="000000"/>
          <w:sz w:val="36"/>
          <w:szCs w:val="36"/>
        </w:rPr>
      </w:pPr>
    </w:p>
    <w:p>
      <w:pPr>
        <w:ind w:firstLine="720" w:firstLineChars="200"/>
        <w:outlineLvl w:val="1"/>
        <w:rPr>
          <w:rStyle w:val="27"/>
          <w:rFonts w:hint="eastAsia" w:asciiTheme="minorEastAsia" w:hAnsiTheme="minorEastAsia" w:eastAsiaTheme="minorEastAsia" w:cstheme="minorEastAsia"/>
          <w:b w:val="0"/>
          <w:bCs w:val="0"/>
          <w:sz w:val="36"/>
          <w:szCs w:val="36"/>
        </w:rPr>
      </w:pPr>
      <w:r>
        <w:rPr>
          <w:rFonts w:hint="eastAsia" w:asciiTheme="minorEastAsia" w:hAnsiTheme="minorEastAsia" w:eastAsiaTheme="minorEastAsia" w:cstheme="minorEastAsia"/>
          <w:b w:val="0"/>
          <w:color w:val="000000"/>
          <w:sz w:val="36"/>
          <w:szCs w:val="36"/>
        </w:rPr>
        <w:t>二、</w:t>
      </w:r>
      <w:bookmarkEnd w:id="28"/>
      <w:bookmarkEnd w:id="29"/>
      <w:r>
        <w:rPr>
          <w:rFonts w:hint="eastAsia" w:asciiTheme="minorEastAsia" w:hAnsiTheme="minorEastAsia" w:eastAsiaTheme="minorEastAsia" w:cstheme="minorEastAsia"/>
          <w:b w:val="0"/>
          <w:color w:val="000000"/>
          <w:sz w:val="36"/>
          <w:szCs w:val="36"/>
        </w:rPr>
        <w:t>机</w:t>
      </w:r>
      <w:r>
        <w:rPr>
          <w:rStyle w:val="27"/>
          <w:rFonts w:hint="eastAsia" w:asciiTheme="minorEastAsia" w:hAnsiTheme="minorEastAsia" w:eastAsiaTheme="minorEastAsia" w:cstheme="minorEastAsia"/>
          <w:b w:val="0"/>
          <w:bCs w:val="0"/>
          <w:sz w:val="36"/>
          <w:szCs w:val="36"/>
        </w:rPr>
        <w:t>构设置</w:t>
      </w:r>
      <w:bookmarkEnd w:id="30"/>
    </w:p>
    <w:p>
      <w:pPr>
        <w:snapToGrid w:val="0"/>
        <w:spacing w:line="520" w:lineRule="exact"/>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诺水河小学</w:t>
      </w:r>
      <w:r>
        <w:rPr>
          <w:rFonts w:hint="eastAsia" w:asciiTheme="minorEastAsia" w:hAnsiTheme="minorEastAsia" w:eastAsiaTheme="minorEastAsia" w:cstheme="minorEastAsia"/>
          <w:sz w:val="28"/>
          <w:szCs w:val="28"/>
          <w:lang w:eastAsia="zh-CN"/>
        </w:rPr>
        <w:t>属于</w:t>
      </w:r>
      <w:r>
        <w:rPr>
          <w:rFonts w:hint="eastAsia" w:asciiTheme="minorEastAsia" w:hAnsiTheme="minorEastAsia" w:eastAsiaTheme="minorEastAsia" w:cstheme="minorEastAsia"/>
          <w:sz w:val="28"/>
          <w:szCs w:val="28"/>
        </w:rPr>
        <w:t>二级预算单位</w:t>
      </w:r>
      <w:r>
        <w:rPr>
          <w:rFonts w:hint="eastAsia" w:asciiTheme="minorEastAsia" w:hAnsiTheme="minorEastAsia" w:eastAsiaTheme="minorEastAsia" w:cstheme="minorEastAsia"/>
          <w:sz w:val="28"/>
          <w:szCs w:val="28"/>
          <w:lang w:eastAsia="zh-CN"/>
        </w:rPr>
        <w:t>。</w:t>
      </w:r>
    </w:p>
    <w:p>
      <w:pPr>
        <w:snapToGrid w:val="0"/>
        <w:spacing w:line="52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机构情况</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诺水河小学年末有1个预算管理单位</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rPr>
        <w:t>年初编制数为55人</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rPr>
        <w:t>岗位设置包括</w:t>
      </w:r>
      <w:r>
        <w:rPr>
          <w:rFonts w:hint="eastAsia" w:asciiTheme="minorEastAsia" w:hAnsiTheme="minorEastAsia" w:eastAsiaTheme="minorEastAsia" w:cstheme="minorEastAsia"/>
          <w:sz w:val="28"/>
          <w:szCs w:val="28"/>
          <w:lang w:eastAsia="zh-CN"/>
        </w:rPr>
        <w:t>：</w:t>
      </w:r>
      <w:bookmarkStart w:id="93" w:name="_GoBack"/>
      <w:bookmarkEnd w:id="93"/>
      <w:r>
        <w:rPr>
          <w:rFonts w:hint="eastAsia" w:asciiTheme="minorEastAsia" w:hAnsiTheme="minorEastAsia" w:eastAsiaTheme="minorEastAsia" w:cstheme="minorEastAsia"/>
          <w:sz w:val="28"/>
          <w:szCs w:val="28"/>
        </w:rPr>
        <w:t>管理人员3人</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rPr>
        <w:t>八级职员1人</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九级职员2人。</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rPr>
        <w:t>专技人员51人，工勤人员1人。</w:t>
      </w:r>
    </w:p>
    <w:p>
      <w:pPr>
        <w:snapToGrid w:val="0"/>
        <w:spacing w:line="52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人员情况</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人员情况，</w:t>
      </w:r>
      <w:r>
        <w:rPr>
          <w:rFonts w:hint="eastAsia" w:asciiTheme="minorEastAsia" w:hAnsiTheme="minorEastAsia" w:eastAsiaTheme="minorEastAsia" w:cstheme="minorEastAsia"/>
          <w:sz w:val="28"/>
          <w:szCs w:val="28"/>
          <w:lang w:val="en-US" w:eastAsia="zh-CN"/>
        </w:rPr>
        <w:t>诺水河</w:t>
      </w:r>
      <w:r>
        <w:rPr>
          <w:rFonts w:hint="eastAsia" w:asciiTheme="minorEastAsia" w:hAnsiTheme="minorEastAsia" w:eastAsiaTheme="minorEastAsia" w:cstheme="minorEastAsia"/>
          <w:sz w:val="28"/>
          <w:szCs w:val="28"/>
          <w:lang w:eastAsia="zh-CN"/>
        </w:rPr>
        <w:t>小学</w:t>
      </w:r>
      <w:r>
        <w:rPr>
          <w:rFonts w:hint="eastAsia" w:asciiTheme="minorEastAsia" w:hAnsiTheme="minorEastAsia" w:eastAsiaTheme="minorEastAsia" w:cstheme="minorEastAsia"/>
          <w:sz w:val="28"/>
          <w:szCs w:val="28"/>
        </w:rPr>
        <w:t>年末在编在岗人员</w:t>
      </w:r>
      <w:r>
        <w:rPr>
          <w:rFonts w:hint="eastAsia" w:asciiTheme="minorEastAsia" w:hAnsiTheme="minorEastAsia" w:eastAsiaTheme="minorEastAsia" w:cstheme="minorEastAsia"/>
          <w:sz w:val="28"/>
          <w:szCs w:val="28"/>
          <w:lang w:val="en-US" w:eastAsia="zh-CN"/>
        </w:rPr>
        <w:t>65</w:t>
      </w:r>
      <w:r>
        <w:rPr>
          <w:rFonts w:hint="eastAsia" w:asciiTheme="minorEastAsia" w:hAnsiTheme="minorEastAsia" w:eastAsiaTheme="minorEastAsia" w:cstheme="minorEastAsia"/>
          <w:sz w:val="28"/>
          <w:szCs w:val="28"/>
        </w:rPr>
        <w:t>，其中专技人员</w:t>
      </w:r>
      <w:r>
        <w:rPr>
          <w:rFonts w:hint="eastAsia" w:asciiTheme="minorEastAsia" w:hAnsiTheme="minorEastAsia" w:eastAsiaTheme="minorEastAsia" w:cstheme="minorEastAsia"/>
          <w:sz w:val="28"/>
          <w:szCs w:val="28"/>
          <w:lang w:val="en-US" w:eastAsia="zh-CN"/>
        </w:rPr>
        <w:t>54</w:t>
      </w:r>
      <w:r>
        <w:rPr>
          <w:rFonts w:hint="eastAsia" w:asciiTheme="minorEastAsia" w:hAnsiTheme="minorEastAsia" w:eastAsiaTheme="minorEastAsia" w:cstheme="minorEastAsia"/>
          <w:sz w:val="28"/>
          <w:szCs w:val="28"/>
        </w:rPr>
        <w:t>人（含管理人员双肩挑1人）</w:t>
      </w:r>
      <w:r>
        <w:rPr>
          <w:rFonts w:hint="eastAsia" w:asciiTheme="minorEastAsia" w:hAnsiTheme="minorEastAsia" w:eastAsiaTheme="minorEastAsia" w:cstheme="minorEastAsia"/>
          <w:sz w:val="28"/>
          <w:szCs w:val="28"/>
          <w:lang w:eastAsia="zh-CN"/>
        </w:rPr>
        <w:t>，工勤人员</w:t>
      </w:r>
      <w:r>
        <w:rPr>
          <w:rFonts w:hint="eastAsia" w:asciiTheme="minorEastAsia" w:hAnsiTheme="minorEastAsia" w:eastAsiaTheme="minorEastAsia" w:cstheme="minorEastAsia"/>
          <w:sz w:val="28"/>
          <w:szCs w:val="28"/>
          <w:lang w:val="en-US" w:eastAsia="zh-CN"/>
        </w:rPr>
        <w:t>0</w:t>
      </w:r>
      <w:r>
        <w:rPr>
          <w:rFonts w:hint="eastAsia" w:asciiTheme="minorEastAsia" w:hAnsiTheme="minorEastAsia" w:eastAsiaTheme="minorEastAsia" w:cstheme="minorEastAsia"/>
          <w:sz w:val="28"/>
          <w:szCs w:val="28"/>
          <w:lang w:eastAsia="zh-CN"/>
        </w:rPr>
        <w:t>人</w:t>
      </w:r>
      <w:r>
        <w:rPr>
          <w:rFonts w:hint="eastAsia" w:asciiTheme="minorEastAsia" w:hAnsiTheme="minorEastAsia" w:eastAsiaTheme="minorEastAsia" w:cstheme="minorEastAsia"/>
          <w:sz w:val="28"/>
          <w:szCs w:val="28"/>
        </w:rPr>
        <w:t>；财政供给人员共计</w:t>
      </w:r>
      <w:r>
        <w:rPr>
          <w:rFonts w:hint="eastAsia" w:asciiTheme="minorEastAsia" w:hAnsiTheme="minorEastAsia" w:eastAsiaTheme="minorEastAsia" w:cstheme="minorEastAsia"/>
          <w:sz w:val="28"/>
          <w:szCs w:val="28"/>
          <w:lang w:val="en-US" w:eastAsia="zh-CN"/>
        </w:rPr>
        <w:t>66</w:t>
      </w:r>
      <w:r>
        <w:rPr>
          <w:rFonts w:hint="eastAsia" w:asciiTheme="minorEastAsia" w:hAnsiTheme="minorEastAsia" w:eastAsiaTheme="minorEastAsia" w:cstheme="minorEastAsia"/>
          <w:sz w:val="28"/>
          <w:szCs w:val="28"/>
        </w:rPr>
        <w:t>人（含特岗</w:t>
      </w:r>
      <w:r>
        <w:rPr>
          <w:rFonts w:hint="eastAsia" w:asciiTheme="minorEastAsia" w:hAnsiTheme="minorEastAsia" w:eastAsiaTheme="minorEastAsia" w:cstheme="minorEastAsia"/>
          <w:sz w:val="28"/>
          <w:szCs w:val="28"/>
          <w:lang w:val="en-US" w:eastAsia="zh-CN"/>
        </w:rPr>
        <w:t>11</w:t>
      </w:r>
      <w:r>
        <w:rPr>
          <w:rFonts w:hint="eastAsia" w:asciiTheme="minorEastAsia" w:hAnsiTheme="minorEastAsia" w:eastAsiaTheme="minorEastAsia" w:cstheme="minorEastAsia"/>
          <w:sz w:val="28"/>
          <w:szCs w:val="28"/>
        </w:rPr>
        <w:t>人，遗抚</w:t>
      </w: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rPr>
        <w:t>人）。</w:t>
      </w:r>
    </w:p>
    <w:p>
      <w:pPr>
        <w:pStyle w:val="5"/>
        <w:adjustRightInd w:val="0"/>
        <w:snapToGrid w:val="0"/>
        <w:spacing w:before="93" w:line="600" w:lineRule="exact"/>
        <w:ind w:firstLine="588" w:firstLineChars="210"/>
        <w:outlineLvl w:val="9"/>
        <w:rPr>
          <w:rFonts w:hint="eastAsia" w:asciiTheme="minorEastAsia" w:hAnsiTheme="minorEastAsia" w:eastAsiaTheme="minorEastAsia" w:cstheme="minorEastAsia"/>
          <w:sz w:val="28"/>
          <w:szCs w:val="28"/>
        </w:rPr>
      </w:pPr>
    </w:p>
    <w:p>
      <w:pPr>
        <w:keepNext w:val="0"/>
        <w:keepLines w:val="0"/>
        <w:pageBreakBefore/>
        <w:widowControl/>
        <w:kinsoku/>
        <w:wordWrap/>
        <w:overflowPunct/>
        <w:topLinePunct w:val="0"/>
        <w:autoSpaceDE/>
        <w:autoSpaceDN/>
        <w:bidi w:val="0"/>
        <w:adjustRightInd/>
        <w:snapToGrid/>
        <w:ind w:firstLine="720" w:firstLineChars="200"/>
        <w:jc w:val="left"/>
        <w:textAlignment w:val="auto"/>
        <w:outlineLvl w:val="0"/>
        <w:rPr>
          <w:rStyle w:val="26"/>
          <w:rFonts w:hint="eastAsia" w:asciiTheme="minorEastAsia" w:hAnsiTheme="minorEastAsia" w:eastAsiaTheme="minorEastAsia" w:cstheme="minorEastAsia"/>
          <w:b w:val="0"/>
          <w:bCs w:val="0"/>
          <w:sz w:val="36"/>
          <w:szCs w:val="36"/>
        </w:rPr>
      </w:pPr>
      <w:bookmarkStart w:id="31" w:name="_Toc26843"/>
      <w:bookmarkStart w:id="32" w:name="_Toc15377204"/>
      <w:bookmarkStart w:id="33" w:name="_Toc15396602"/>
      <w:r>
        <w:rPr>
          <w:rFonts w:hint="eastAsia" w:asciiTheme="minorEastAsia" w:hAnsiTheme="minorEastAsia" w:eastAsiaTheme="minorEastAsia" w:cstheme="minorEastAsia"/>
          <w:color w:val="000000"/>
          <w:sz w:val="36"/>
          <w:szCs w:val="36"/>
        </w:rPr>
        <w:t>第二部分</w:t>
      </w:r>
      <w:r>
        <w:rPr>
          <w:rStyle w:val="26"/>
          <w:rFonts w:hint="eastAsia" w:asciiTheme="minorEastAsia" w:hAnsiTheme="minorEastAsia" w:eastAsiaTheme="minorEastAsia" w:cstheme="minorEastAsia"/>
          <w:b w:val="0"/>
          <w:bCs w:val="0"/>
          <w:sz w:val="36"/>
          <w:szCs w:val="36"/>
          <w:lang w:val="en-US" w:eastAsia="zh-CN"/>
        </w:rPr>
        <w:t>2020</w:t>
      </w:r>
      <w:r>
        <w:rPr>
          <w:rStyle w:val="26"/>
          <w:rFonts w:hint="eastAsia" w:asciiTheme="minorEastAsia" w:hAnsiTheme="minorEastAsia" w:eastAsiaTheme="minorEastAsia" w:cstheme="minorEastAsia"/>
          <w:b w:val="0"/>
          <w:bCs w:val="0"/>
          <w:sz w:val="36"/>
          <w:szCs w:val="36"/>
        </w:rPr>
        <w:t>年度</w:t>
      </w:r>
      <w:r>
        <w:rPr>
          <w:rFonts w:hint="eastAsia" w:asciiTheme="minorEastAsia" w:hAnsiTheme="minorEastAsia" w:eastAsiaTheme="minorEastAsia" w:cstheme="minorEastAsia"/>
          <w:b w:val="0"/>
          <w:bCs w:val="0"/>
          <w:sz w:val="36"/>
          <w:szCs w:val="36"/>
        </w:rPr>
        <w:t>部门决算情况说明</w:t>
      </w:r>
      <w:bookmarkEnd w:id="31"/>
      <w:bookmarkEnd w:id="32"/>
      <w:bookmarkEnd w:id="33"/>
    </w:p>
    <w:p>
      <w:pPr>
        <w:pStyle w:val="25"/>
        <w:spacing w:line="600" w:lineRule="exact"/>
        <w:ind w:firstLine="0" w:firstLineChars="0"/>
        <w:outlineLvl w:val="1"/>
        <w:rPr>
          <w:rStyle w:val="27"/>
          <w:rFonts w:hint="eastAsia" w:asciiTheme="minorEastAsia" w:hAnsiTheme="minorEastAsia" w:eastAsiaTheme="minorEastAsia" w:cstheme="minorEastAsia"/>
          <w:b w:val="0"/>
        </w:rPr>
      </w:pPr>
      <w:bookmarkStart w:id="34" w:name="_Toc15377205"/>
      <w:bookmarkStart w:id="35" w:name="_Toc15396603"/>
      <w:r>
        <w:rPr>
          <w:rFonts w:hint="eastAsia" w:asciiTheme="minorEastAsia" w:hAnsiTheme="minorEastAsia" w:eastAsiaTheme="minorEastAsia" w:cstheme="minorEastAsia"/>
          <w:color w:val="000000"/>
          <w:sz w:val="32"/>
          <w:szCs w:val="32"/>
        </w:rPr>
        <w:t>　</w:t>
      </w:r>
      <w:bookmarkStart w:id="36" w:name="_Toc14009"/>
      <w:r>
        <w:rPr>
          <w:rFonts w:hint="eastAsia" w:asciiTheme="minorEastAsia" w:hAnsiTheme="minorEastAsia" w:eastAsiaTheme="minorEastAsia" w:cstheme="minorEastAsia"/>
          <w:color w:val="000000"/>
          <w:sz w:val="32"/>
          <w:szCs w:val="32"/>
        </w:rPr>
        <w:t>一、收</w:t>
      </w:r>
      <w:r>
        <w:rPr>
          <w:rStyle w:val="27"/>
          <w:rFonts w:hint="eastAsia" w:asciiTheme="minorEastAsia" w:hAnsiTheme="minorEastAsia" w:eastAsiaTheme="minorEastAsia" w:cstheme="minorEastAsia"/>
          <w:b w:val="0"/>
        </w:rPr>
        <w:t>入支出决算总体情况说明</w:t>
      </w:r>
      <w:bookmarkEnd w:id="34"/>
      <w:bookmarkEnd w:id="35"/>
      <w:bookmarkEnd w:id="36"/>
    </w:p>
    <w:p>
      <w:pPr>
        <w:spacing w:line="600" w:lineRule="exact"/>
        <w:ind w:firstLine="560" w:firstLineChars="200"/>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28"/>
          <w:szCs w:val="28"/>
          <w:lang w:val="en-US" w:eastAsia="zh-CN"/>
        </w:rPr>
        <w:t>2020年度收、支总计2458.25万元。与2019年相比，收、支总计各减少599.58万元，下降19.61%。主要变动原因是工程项目类支出减少。</w:t>
      </w:r>
    </w:p>
    <w:p>
      <w:pPr>
        <w:spacing w:line="600" w:lineRule="exact"/>
        <w:ind w:firstLine="420" w:firstLineChars="200"/>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lang w:eastAsia="zh-CN"/>
        </w:rPr>
        <w:drawing>
          <wp:anchor distT="0" distB="0" distL="114300" distR="114300" simplePos="0" relativeHeight="251659264" behindDoc="1" locked="0" layoutInCell="1" allowOverlap="1">
            <wp:simplePos x="0" y="0"/>
            <wp:positionH relativeFrom="column">
              <wp:posOffset>-117475</wp:posOffset>
            </wp:positionH>
            <wp:positionV relativeFrom="paragraph">
              <wp:posOffset>10160</wp:posOffset>
            </wp:positionV>
            <wp:extent cx="5331460" cy="3392170"/>
            <wp:effectExtent l="0" t="0" r="2540" b="6350"/>
            <wp:wrapNone/>
            <wp:docPr id="133" name="_x0000_s15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pPr>
        <w:spacing w:line="600" w:lineRule="exact"/>
        <w:ind w:firstLine="640" w:firstLineChars="200"/>
        <w:rPr>
          <w:rFonts w:hint="eastAsia" w:asciiTheme="minorEastAsia" w:hAnsiTheme="minorEastAsia" w:eastAsiaTheme="minorEastAsia" w:cstheme="minorEastAsia"/>
          <w:color w:val="000000"/>
          <w:sz w:val="32"/>
          <w:szCs w:val="32"/>
        </w:rPr>
      </w:pPr>
    </w:p>
    <w:p>
      <w:pPr>
        <w:spacing w:line="600" w:lineRule="exact"/>
        <w:ind w:firstLine="640" w:firstLineChars="200"/>
        <w:rPr>
          <w:rFonts w:hint="eastAsia" w:asciiTheme="minorEastAsia" w:hAnsiTheme="minorEastAsia" w:eastAsiaTheme="minorEastAsia" w:cstheme="minorEastAsia"/>
          <w:color w:val="000000"/>
          <w:sz w:val="32"/>
          <w:szCs w:val="32"/>
        </w:rPr>
      </w:pPr>
    </w:p>
    <w:p>
      <w:pPr>
        <w:spacing w:line="600" w:lineRule="exact"/>
        <w:ind w:firstLine="640" w:firstLineChars="200"/>
        <w:rPr>
          <w:rFonts w:hint="eastAsia" w:asciiTheme="minorEastAsia" w:hAnsiTheme="minorEastAsia" w:eastAsiaTheme="minorEastAsia" w:cstheme="minorEastAsia"/>
          <w:color w:val="000000"/>
          <w:sz w:val="32"/>
          <w:szCs w:val="32"/>
        </w:rPr>
      </w:pPr>
    </w:p>
    <w:p>
      <w:pPr>
        <w:spacing w:line="600" w:lineRule="exact"/>
        <w:ind w:firstLine="640" w:firstLineChars="200"/>
        <w:rPr>
          <w:rFonts w:hint="eastAsia" w:asciiTheme="minorEastAsia" w:hAnsiTheme="minorEastAsia" w:eastAsiaTheme="minorEastAsia" w:cstheme="minorEastAsia"/>
          <w:color w:val="000000"/>
          <w:sz w:val="32"/>
          <w:szCs w:val="32"/>
        </w:rPr>
      </w:pPr>
    </w:p>
    <w:p>
      <w:pPr>
        <w:spacing w:line="600" w:lineRule="exact"/>
        <w:ind w:firstLine="640" w:firstLineChars="200"/>
        <w:rPr>
          <w:rFonts w:hint="eastAsia" w:asciiTheme="minorEastAsia" w:hAnsiTheme="minorEastAsia" w:eastAsiaTheme="minorEastAsia" w:cstheme="minorEastAsia"/>
          <w:color w:val="000000"/>
          <w:sz w:val="32"/>
          <w:szCs w:val="32"/>
        </w:rPr>
      </w:pPr>
    </w:p>
    <w:p>
      <w:pPr>
        <w:spacing w:line="600" w:lineRule="exact"/>
        <w:rPr>
          <w:rFonts w:hint="eastAsia" w:asciiTheme="minorEastAsia" w:hAnsiTheme="minorEastAsia" w:eastAsiaTheme="minorEastAsia" w:cstheme="minorEastAsia"/>
          <w:color w:val="000000"/>
          <w:sz w:val="2"/>
          <w:szCs w:val="2"/>
        </w:rPr>
      </w:pPr>
    </w:p>
    <w:p>
      <w:pPr>
        <w:spacing w:line="600" w:lineRule="exact"/>
        <w:rPr>
          <w:rFonts w:hint="eastAsia" w:asciiTheme="minorEastAsia" w:hAnsiTheme="minorEastAsia" w:eastAsiaTheme="minorEastAsia" w:cstheme="minorEastAsia"/>
          <w:color w:val="000000"/>
          <w:sz w:val="2"/>
          <w:szCs w:val="2"/>
        </w:rPr>
      </w:pPr>
    </w:p>
    <w:p>
      <w:pPr>
        <w:pStyle w:val="25"/>
        <w:spacing w:line="600" w:lineRule="exact"/>
        <w:ind w:left="0" w:leftChars="0" w:firstLine="0" w:firstLineChars="0"/>
        <w:outlineLvl w:val="1"/>
        <w:rPr>
          <w:rFonts w:hint="eastAsia" w:asciiTheme="minorEastAsia" w:hAnsiTheme="minorEastAsia" w:eastAsiaTheme="minorEastAsia" w:cstheme="minorEastAsia"/>
          <w:color w:val="000000"/>
          <w:sz w:val="32"/>
          <w:szCs w:val="32"/>
          <w:lang w:eastAsia="zh-CN"/>
        </w:rPr>
      </w:pPr>
      <w:bookmarkStart w:id="37" w:name="_Toc15377206"/>
      <w:bookmarkStart w:id="38" w:name="_Toc15396604"/>
      <w:r>
        <w:rPr>
          <w:rFonts w:hint="eastAsia" w:asciiTheme="minorEastAsia" w:hAnsiTheme="minorEastAsia" w:eastAsiaTheme="minorEastAsia" w:cstheme="minorEastAsia"/>
          <w:color w:val="000000"/>
          <w:sz w:val="32"/>
          <w:szCs w:val="32"/>
          <w:lang w:eastAsia="zh-CN"/>
        </w:rPr>
        <w:t>　　</w:t>
      </w:r>
      <w:bookmarkStart w:id="39" w:name="_Toc12741"/>
    </w:p>
    <w:p>
      <w:pPr>
        <w:pStyle w:val="25"/>
        <w:spacing w:line="600" w:lineRule="exact"/>
        <w:ind w:left="0" w:leftChars="0" w:firstLine="0" w:firstLineChars="0"/>
        <w:outlineLvl w:val="1"/>
        <w:rPr>
          <w:rStyle w:val="27"/>
          <w:rFonts w:hint="eastAsia" w:asciiTheme="minorEastAsia" w:hAnsiTheme="minorEastAsia" w:eastAsiaTheme="minorEastAsia" w:cstheme="minorEastAsia"/>
          <w:b w:val="0"/>
        </w:rPr>
      </w:pPr>
      <w:r>
        <w:rPr>
          <w:rFonts w:hint="eastAsia" w:asciiTheme="minorEastAsia" w:hAnsiTheme="minorEastAsia" w:eastAsiaTheme="minorEastAsia" w:cstheme="minorEastAsia"/>
          <w:color w:val="000000"/>
          <w:sz w:val="32"/>
          <w:szCs w:val="32"/>
        </w:rPr>
        <w:t>二、收</w:t>
      </w:r>
      <w:r>
        <w:rPr>
          <w:rStyle w:val="27"/>
          <w:rFonts w:hint="eastAsia" w:asciiTheme="minorEastAsia" w:hAnsiTheme="minorEastAsia" w:eastAsiaTheme="minorEastAsia" w:cstheme="minorEastAsia"/>
          <w:b w:val="0"/>
        </w:rPr>
        <w:t>入决算情况说明</w:t>
      </w:r>
      <w:bookmarkEnd w:id="37"/>
      <w:bookmarkEnd w:id="38"/>
      <w:bookmarkEnd w:id="39"/>
    </w:p>
    <w:p>
      <w:pPr>
        <w:spacing w:line="600" w:lineRule="exact"/>
        <w:ind w:firstLine="560" w:firstLineChars="200"/>
        <w:outlineLvl w:val="9"/>
        <w:rPr>
          <w:rFonts w:hint="eastAsia" w:asciiTheme="minorEastAsia" w:hAnsiTheme="minorEastAsia" w:eastAsiaTheme="minorEastAsia" w:cstheme="minorEastAsia"/>
          <w:color w:val="000000"/>
          <w:sz w:val="28"/>
          <w:szCs w:val="28"/>
          <w:lang w:eastAsia="zh-CN"/>
        </w:rPr>
      </w:pPr>
      <w:r>
        <w:rPr>
          <w:rFonts w:hint="eastAsia" w:asciiTheme="minorEastAsia" w:hAnsiTheme="minorEastAsia" w:eastAsiaTheme="minorEastAsia" w:cstheme="minorEastAsia"/>
          <w:color w:val="000000"/>
          <w:sz w:val="28"/>
          <w:szCs w:val="28"/>
          <w:lang w:val="en-US" w:eastAsia="zh-CN"/>
        </w:rPr>
        <w:drawing>
          <wp:anchor distT="0" distB="0" distL="114300" distR="114300" simplePos="0" relativeHeight="251659264" behindDoc="1" locked="0" layoutInCell="1" allowOverlap="1">
            <wp:simplePos x="0" y="0"/>
            <wp:positionH relativeFrom="column">
              <wp:posOffset>1659255</wp:posOffset>
            </wp:positionH>
            <wp:positionV relativeFrom="paragraph">
              <wp:posOffset>868045</wp:posOffset>
            </wp:positionV>
            <wp:extent cx="3906520" cy="2667635"/>
            <wp:effectExtent l="4445" t="5080" r="13335" b="13335"/>
            <wp:wrapNone/>
            <wp:docPr id="134" name="_x0000_s1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Pr>
          <w:rFonts w:hint="eastAsia" w:asciiTheme="minorEastAsia" w:hAnsiTheme="minorEastAsia" w:eastAsiaTheme="minorEastAsia" w:cstheme="minorEastAsia"/>
          <w:color w:val="000000"/>
          <w:sz w:val="28"/>
          <w:szCs w:val="28"/>
          <w:lang w:val="en-US" w:eastAsia="zh-CN"/>
        </w:rPr>
        <w:t>2020</w:t>
      </w:r>
      <w:r>
        <w:rPr>
          <w:rFonts w:hint="eastAsia" w:asciiTheme="minorEastAsia" w:hAnsiTheme="minorEastAsia" w:eastAsiaTheme="minorEastAsia" w:cstheme="minorEastAsia"/>
          <w:color w:val="000000"/>
          <w:sz w:val="28"/>
          <w:szCs w:val="28"/>
        </w:rPr>
        <w:t>年本年收入合计</w:t>
      </w:r>
      <w:r>
        <w:rPr>
          <w:rFonts w:hint="eastAsia" w:asciiTheme="minorEastAsia" w:hAnsiTheme="minorEastAsia" w:eastAsiaTheme="minorEastAsia" w:cstheme="minorEastAsia"/>
          <w:color w:val="000000"/>
          <w:sz w:val="28"/>
          <w:szCs w:val="28"/>
          <w:lang w:val="en-US" w:eastAsia="zh-CN"/>
        </w:rPr>
        <w:t>2458.25</w:t>
      </w:r>
      <w:r>
        <w:rPr>
          <w:rFonts w:hint="eastAsia" w:asciiTheme="minorEastAsia" w:hAnsiTheme="minorEastAsia" w:eastAsiaTheme="minorEastAsia" w:cstheme="minorEastAsia"/>
          <w:color w:val="000000"/>
          <w:sz w:val="28"/>
          <w:szCs w:val="28"/>
        </w:rPr>
        <w:t>万元，其中：一般公共预算财政拨款收入</w:t>
      </w:r>
      <w:r>
        <w:rPr>
          <w:rFonts w:hint="eastAsia" w:asciiTheme="minorEastAsia" w:hAnsiTheme="minorEastAsia" w:eastAsiaTheme="minorEastAsia" w:cstheme="minorEastAsia"/>
          <w:color w:val="000000"/>
          <w:sz w:val="28"/>
          <w:szCs w:val="28"/>
          <w:lang w:val="en-US" w:eastAsia="zh-CN"/>
        </w:rPr>
        <w:t>2458.25</w:t>
      </w:r>
      <w:r>
        <w:rPr>
          <w:rFonts w:hint="eastAsia" w:asciiTheme="minorEastAsia" w:hAnsiTheme="minorEastAsia" w:eastAsiaTheme="minorEastAsia" w:cstheme="minorEastAsia"/>
          <w:color w:val="000000"/>
          <w:sz w:val="28"/>
          <w:szCs w:val="28"/>
        </w:rPr>
        <w:t>万元，占</w:t>
      </w:r>
      <w:r>
        <w:rPr>
          <w:rFonts w:hint="eastAsia" w:asciiTheme="minorEastAsia" w:hAnsiTheme="minorEastAsia" w:eastAsiaTheme="minorEastAsia" w:cstheme="minorEastAsia"/>
          <w:color w:val="000000"/>
          <w:sz w:val="28"/>
          <w:szCs w:val="28"/>
          <w:lang w:val="en-US" w:eastAsia="zh-CN"/>
        </w:rPr>
        <w:t>100</w:t>
      </w:r>
      <w:r>
        <w:rPr>
          <w:rFonts w:hint="eastAsia" w:asciiTheme="minorEastAsia" w:hAnsiTheme="minorEastAsia" w:eastAsiaTheme="minorEastAsia" w:cstheme="minorEastAsia"/>
          <w:color w:val="000000"/>
          <w:sz w:val="28"/>
          <w:szCs w:val="28"/>
        </w:rPr>
        <w:t>%</w:t>
      </w:r>
      <w:bookmarkStart w:id="40" w:name="_Toc15377207"/>
      <w:bookmarkStart w:id="41" w:name="_Toc15396605"/>
      <w:r>
        <w:rPr>
          <w:rFonts w:hint="eastAsia" w:asciiTheme="minorEastAsia" w:hAnsiTheme="minorEastAsia" w:eastAsiaTheme="minorEastAsia" w:cstheme="minorEastAsia"/>
          <w:color w:val="000000"/>
          <w:sz w:val="28"/>
          <w:szCs w:val="28"/>
          <w:lang w:eastAsia="zh-CN"/>
        </w:rPr>
        <w:t>。</w:t>
      </w:r>
    </w:p>
    <w:p>
      <w:pPr>
        <w:spacing w:line="600" w:lineRule="exact"/>
        <w:ind w:firstLine="640" w:firstLineChars="200"/>
        <w:outlineLvl w:val="1"/>
        <w:rPr>
          <w:rFonts w:hint="eastAsia" w:asciiTheme="minorEastAsia" w:hAnsiTheme="minorEastAsia" w:eastAsiaTheme="minorEastAsia" w:cstheme="minorEastAsia"/>
          <w:color w:val="000000"/>
          <w:sz w:val="32"/>
          <w:szCs w:val="32"/>
        </w:rPr>
      </w:pPr>
    </w:p>
    <w:p>
      <w:pPr>
        <w:tabs>
          <w:tab w:val="left" w:pos="3447"/>
        </w:tabs>
        <w:spacing w:line="600" w:lineRule="exact"/>
        <w:outlineLvl w:val="1"/>
        <w:rPr>
          <w:rFonts w:hint="eastAsia" w:asciiTheme="minorEastAsia" w:hAnsiTheme="minorEastAsia" w:eastAsiaTheme="minorEastAsia" w:cstheme="minorEastAsia"/>
          <w:color w:val="000000"/>
          <w:sz w:val="32"/>
          <w:szCs w:val="32"/>
          <w:lang w:eastAsia="zh-CN"/>
        </w:rPr>
      </w:pPr>
      <w:r>
        <w:rPr>
          <w:rFonts w:hint="eastAsia" w:asciiTheme="minorEastAsia" w:hAnsiTheme="minorEastAsia" w:eastAsiaTheme="minorEastAsia" w:cstheme="minorEastAsia"/>
          <w:color w:val="000000"/>
          <w:sz w:val="32"/>
          <w:szCs w:val="32"/>
          <w:lang w:eastAsia="zh-CN"/>
        </w:rPr>
        <w:t>　　</w:t>
      </w:r>
    </w:p>
    <w:p>
      <w:pPr>
        <w:tabs>
          <w:tab w:val="left" w:pos="3447"/>
        </w:tabs>
        <w:spacing w:line="600" w:lineRule="exact"/>
        <w:outlineLvl w:val="1"/>
        <w:rPr>
          <w:rFonts w:hint="eastAsia" w:asciiTheme="minorEastAsia" w:hAnsiTheme="minorEastAsia" w:eastAsiaTheme="minorEastAsia" w:cstheme="minorEastAsia"/>
          <w:color w:val="000000"/>
          <w:sz w:val="32"/>
          <w:szCs w:val="32"/>
          <w:lang w:eastAsia="zh-CN"/>
        </w:rPr>
      </w:pPr>
    </w:p>
    <w:p>
      <w:pPr>
        <w:tabs>
          <w:tab w:val="left" w:pos="3447"/>
        </w:tabs>
        <w:spacing w:line="600" w:lineRule="exact"/>
        <w:outlineLvl w:val="1"/>
        <w:rPr>
          <w:rFonts w:hint="eastAsia" w:asciiTheme="minorEastAsia" w:hAnsiTheme="minorEastAsia" w:eastAsiaTheme="minorEastAsia" w:cstheme="minorEastAsia"/>
          <w:color w:val="000000"/>
          <w:sz w:val="32"/>
          <w:szCs w:val="32"/>
          <w:lang w:eastAsia="zh-CN"/>
        </w:rPr>
      </w:pPr>
    </w:p>
    <w:p>
      <w:pPr>
        <w:tabs>
          <w:tab w:val="left" w:pos="3447"/>
        </w:tabs>
        <w:spacing w:line="600" w:lineRule="exact"/>
        <w:outlineLvl w:val="1"/>
        <w:rPr>
          <w:rFonts w:hint="eastAsia" w:asciiTheme="minorEastAsia" w:hAnsiTheme="minorEastAsia" w:eastAsiaTheme="minorEastAsia" w:cstheme="minorEastAsia"/>
          <w:color w:val="000000"/>
          <w:sz w:val="32"/>
          <w:szCs w:val="32"/>
          <w:lang w:eastAsia="zh-CN"/>
        </w:rPr>
      </w:pPr>
    </w:p>
    <w:p>
      <w:pPr>
        <w:tabs>
          <w:tab w:val="left" w:pos="3447"/>
        </w:tabs>
        <w:spacing w:line="600" w:lineRule="exact"/>
        <w:outlineLvl w:val="1"/>
        <w:rPr>
          <w:rFonts w:hint="eastAsia" w:asciiTheme="minorEastAsia" w:hAnsiTheme="minorEastAsia" w:eastAsiaTheme="minorEastAsia" w:cstheme="minorEastAsia"/>
          <w:color w:val="000000"/>
          <w:sz w:val="32"/>
          <w:szCs w:val="32"/>
          <w:lang w:eastAsia="zh-CN"/>
        </w:rPr>
      </w:pPr>
    </w:p>
    <w:p>
      <w:pPr>
        <w:tabs>
          <w:tab w:val="left" w:pos="3447"/>
        </w:tabs>
        <w:spacing w:line="600" w:lineRule="exact"/>
        <w:outlineLvl w:val="1"/>
        <w:rPr>
          <w:rFonts w:hint="eastAsia" w:asciiTheme="minorEastAsia" w:hAnsiTheme="minorEastAsia" w:eastAsiaTheme="minorEastAsia" w:cstheme="minorEastAsia"/>
          <w:color w:val="000000"/>
          <w:sz w:val="32"/>
          <w:szCs w:val="32"/>
        </w:rPr>
      </w:pPr>
      <w:bookmarkStart w:id="42" w:name="_Toc20958"/>
    </w:p>
    <w:p>
      <w:pPr>
        <w:tabs>
          <w:tab w:val="left" w:pos="3447"/>
        </w:tabs>
        <w:spacing w:line="600" w:lineRule="exact"/>
        <w:outlineLvl w:val="1"/>
        <w:rPr>
          <w:rStyle w:val="27"/>
          <w:rFonts w:hint="eastAsia" w:asciiTheme="minorEastAsia" w:hAnsiTheme="minorEastAsia" w:eastAsiaTheme="minorEastAsia" w:cstheme="minorEastAsia"/>
          <w:b w:val="0"/>
        </w:rPr>
      </w:pPr>
      <w:r>
        <w:rPr>
          <w:rFonts w:hint="eastAsia" w:asciiTheme="minorEastAsia" w:hAnsiTheme="minorEastAsia" w:eastAsiaTheme="minorEastAsia" w:cstheme="minorEastAsia"/>
          <w:color w:val="000000"/>
          <w:sz w:val="32"/>
          <w:szCs w:val="32"/>
        </w:rPr>
        <w:t>三、支</w:t>
      </w:r>
      <w:r>
        <w:rPr>
          <w:rStyle w:val="27"/>
          <w:rFonts w:hint="eastAsia" w:asciiTheme="minorEastAsia" w:hAnsiTheme="minorEastAsia" w:eastAsiaTheme="minorEastAsia" w:cstheme="minorEastAsia"/>
          <w:b w:val="0"/>
        </w:rPr>
        <w:t>出决算情况说明</w:t>
      </w:r>
      <w:bookmarkEnd w:id="40"/>
      <w:bookmarkEnd w:id="41"/>
      <w:bookmarkEnd w:id="42"/>
    </w:p>
    <w:p>
      <w:pPr>
        <w:spacing w:line="600" w:lineRule="exact"/>
        <w:ind w:firstLine="640"/>
        <w:outlineLvl w:val="9"/>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lang w:val="en-US" w:eastAsia="zh-CN"/>
        </w:rPr>
        <w:t>2020</w:t>
      </w:r>
      <w:r>
        <w:rPr>
          <w:rFonts w:hint="eastAsia" w:asciiTheme="minorEastAsia" w:hAnsiTheme="minorEastAsia" w:eastAsiaTheme="minorEastAsia" w:cstheme="minorEastAsia"/>
          <w:color w:val="000000"/>
          <w:sz w:val="28"/>
          <w:szCs w:val="28"/>
        </w:rPr>
        <w:t>年本年支出合计</w:t>
      </w:r>
      <w:r>
        <w:rPr>
          <w:rFonts w:hint="eastAsia" w:asciiTheme="minorEastAsia" w:hAnsiTheme="minorEastAsia" w:eastAsiaTheme="minorEastAsia" w:cstheme="minorEastAsia"/>
          <w:color w:val="000000"/>
          <w:sz w:val="28"/>
          <w:szCs w:val="28"/>
          <w:lang w:val="en-US" w:eastAsia="zh-CN"/>
        </w:rPr>
        <w:t>2458.25</w:t>
      </w:r>
      <w:r>
        <w:rPr>
          <w:rFonts w:hint="eastAsia" w:asciiTheme="minorEastAsia" w:hAnsiTheme="minorEastAsia" w:eastAsiaTheme="minorEastAsia" w:cstheme="minorEastAsia"/>
          <w:color w:val="000000"/>
          <w:sz w:val="28"/>
          <w:szCs w:val="28"/>
        </w:rPr>
        <w:t>万元，其中：基本支出</w:t>
      </w:r>
      <w:r>
        <w:rPr>
          <w:rFonts w:hint="eastAsia" w:asciiTheme="minorEastAsia" w:hAnsiTheme="minorEastAsia" w:eastAsiaTheme="minorEastAsia" w:cstheme="minorEastAsia"/>
          <w:color w:val="000000"/>
          <w:sz w:val="28"/>
          <w:szCs w:val="28"/>
          <w:lang w:val="en-US" w:eastAsia="zh-CN"/>
        </w:rPr>
        <w:t>2458.25</w:t>
      </w:r>
      <w:r>
        <w:rPr>
          <w:rFonts w:hint="eastAsia" w:asciiTheme="minorEastAsia" w:hAnsiTheme="minorEastAsia" w:eastAsiaTheme="minorEastAsia" w:cstheme="minorEastAsia"/>
          <w:color w:val="000000"/>
          <w:sz w:val="28"/>
          <w:szCs w:val="28"/>
        </w:rPr>
        <w:t>万元，占</w:t>
      </w:r>
      <w:r>
        <w:rPr>
          <w:rFonts w:hint="eastAsia" w:asciiTheme="minorEastAsia" w:hAnsiTheme="minorEastAsia" w:eastAsiaTheme="minorEastAsia" w:cstheme="minorEastAsia"/>
          <w:color w:val="000000"/>
          <w:sz w:val="28"/>
          <w:szCs w:val="28"/>
          <w:lang w:val="en-US" w:eastAsia="zh-CN"/>
        </w:rPr>
        <w:t>100</w:t>
      </w:r>
      <w:r>
        <w:rPr>
          <w:rFonts w:hint="eastAsia" w:asciiTheme="minorEastAsia" w:hAnsiTheme="minorEastAsia" w:eastAsiaTheme="minorEastAsia" w:cstheme="minorEastAsia"/>
          <w:color w:val="000000"/>
          <w:sz w:val="28"/>
          <w:szCs w:val="28"/>
        </w:rPr>
        <w:t>%。</w:t>
      </w:r>
    </w:p>
    <w:p>
      <w:pPr>
        <w:spacing w:line="600" w:lineRule="exact"/>
        <w:ind w:firstLine="640"/>
        <w:rPr>
          <w:rFonts w:hint="eastAsia" w:asciiTheme="minorEastAsia" w:hAnsiTheme="minorEastAsia" w:eastAsiaTheme="minorEastAsia" w:cstheme="minorEastAsia"/>
          <w:color w:val="000000"/>
          <w:sz w:val="32"/>
          <w:szCs w:val="32"/>
        </w:rPr>
      </w:pPr>
    </w:p>
    <w:p>
      <w:pPr>
        <w:spacing w:line="600" w:lineRule="exact"/>
        <w:ind w:firstLine="640"/>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lang w:eastAsia="zh-CN"/>
        </w:rPr>
        <w:drawing>
          <wp:anchor distT="0" distB="0" distL="114300" distR="114300" simplePos="0" relativeHeight="251660288" behindDoc="1" locked="0" layoutInCell="1" allowOverlap="1">
            <wp:simplePos x="0" y="0"/>
            <wp:positionH relativeFrom="column">
              <wp:posOffset>632460</wp:posOffset>
            </wp:positionH>
            <wp:positionV relativeFrom="paragraph">
              <wp:posOffset>12700</wp:posOffset>
            </wp:positionV>
            <wp:extent cx="3980180" cy="2710180"/>
            <wp:effectExtent l="4445" t="4445" r="15875" b="9525"/>
            <wp:wrapNone/>
            <wp:docPr id="135" name="_x0000_s15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spacing w:line="600" w:lineRule="exact"/>
        <w:ind w:firstLine="640"/>
        <w:rPr>
          <w:rFonts w:hint="eastAsia" w:asciiTheme="minorEastAsia" w:hAnsiTheme="minorEastAsia" w:eastAsiaTheme="minorEastAsia" w:cstheme="minorEastAsia"/>
          <w:color w:val="000000"/>
          <w:sz w:val="32"/>
          <w:szCs w:val="32"/>
        </w:rPr>
      </w:pPr>
    </w:p>
    <w:p>
      <w:pPr>
        <w:spacing w:line="600" w:lineRule="exact"/>
        <w:ind w:firstLine="640"/>
        <w:rPr>
          <w:rFonts w:hint="eastAsia" w:asciiTheme="minorEastAsia" w:hAnsiTheme="minorEastAsia" w:eastAsiaTheme="minorEastAsia" w:cstheme="minorEastAsia"/>
          <w:color w:val="000000"/>
          <w:sz w:val="32"/>
          <w:szCs w:val="32"/>
        </w:rPr>
      </w:pPr>
    </w:p>
    <w:p>
      <w:pPr>
        <w:spacing w:line="600" w:lineRule="exact"/>
        <w:ind w:firstLine="640"/>
        <w:rPr>
          <w:rFonts w:hint="eastAsia" w:asciiTheme="minorEastAsia" w:hAnsiTheme="minorEastAsia" w:eastAsiaTheme="minorEastAsia" w:cstheme="minorEastAsia"/>
          <w:color w:val="000000"/>
          <w:sz w:val="32"/>
          <w:szCs w:val="32"/>
        </w:rPr>
      </w:pPr>
    </w:p>
    <w:p>
      <w:pPr>
        <w:spacing w:line="600" w:lineRule="exact"/>
        <w:ind w:firstLine="640"/>
        <w:rPr>
          <w:rFonts w:hint="eastAsia" w:asciiTheme="minorEastAsia" w:hAnsiTheme="minorEastAsia" w:eastAsiaTheme="minorEastAsia" w:cstheme="minorEastAsia"/>
          <w:color w:val="000000"/>
          <w:sz w:val="32"/>
          <w:szCs w:val="32"/>
        </w:rPr>
      </w:pPr>
    </w:p>
    <w:p>
      <w:pPr>
        <w:spacing w:line="600" w:lineRule="exact"/>
        <w:ind w:firstLine="640"/>
        <w:rPr>
          <w:rFonts w:hint="eastAsia" w:asciiTheme="minorEastAsia" w:hAnsiTheme="minorEastAsia" w:eastAsiaTheme="minorEastAsia" w:cstheme="minorEastAsia"/>
          <w:color w:val="000000"/>
          <w:sz w:val="32"/>
          <w:szCs w:val="32"/>
        </w:rPr>
      </w:pPr>
    </w:p>
    <w:p>
      <w:pPr>
        <w:spacing w:line="600" w:lineRule="exact"/>
        <w:ind w:firstLine="640"/>
        <w:rPr>
          <w:rFonts w:hint="eastAsia" w:asciiTheme="minorEastAsia" w:hAnsiTheme="minorEastAsia" w:eastAsiaTheme="minorEastAsia" w:cstheme="minorEastAsia"/>
          <w:color w:val="000000"/>
          <w:sz w:val="32"/>
          <w:szCs w:val="32"/>
        </w:rPr>
      </w:pPr>
      <w:bookmarkStart w:id="43" w:name="_Toc15377208"/>
      <w:bookmarkStart w:id="44" w:name="_Toc15396606"/>
    </w:p>
    <w:p>
      <w:pPr>
        <w:spacing w:line="600" w:lineRule="exact"/>
        <w:ind w:firstLine="640"/>
        <w:outlineLvl w:val="1"/>
        <w:rPr>
          <w:rStyle w:val="27"/>
          <w:rFonts w:hint="eastAsia" w:asciiTheme="minorEastAsia" w:hAnsiTheme="minorEastAsia" w:eastAsiaTheme="minorEastAsia" w:cstheme="minorEastAsia"/>
          <w:b w:val="0"/>
        </w:rPr>
      </w:pPr>
      <w:bookmarkStart w:id="45" w:name="_Toc16456"/>
      <w:r>
        <w:rPr>
          <w:rFonts w:hint="eastAsia" w:asciiTheme="minorEastAsia" w:hAnsiTheme="minorEastAsia" w:eastAsiaTheme="minorEastAsia" w:cstheme="minorEastAsia"/>
          <w:color w:val="000000"/>
          <w:sz w:val="32"/>
          <w:szCs w:val="32"/>
        </w:rPr>
        <w:t>四、财</w:t>
      </w:r>
      <w:r>
        <w:rPr>
          <w:rStyle w:val="27"/>
          <w:rFonts w:hint="eastAsia" w:asciiTheme="minorEastAsia" w:hAnsiTheme="minorEastAsia" w:eastAsiaTheme="minorEastAsia" w:cstheme="minorEastAsia"/>
          <w:b w:val="0"/>
        </w:rPr>
        <w:t>政拨款收入支出决算总体情况说明</w:t>
      </w:r>
      <w:bookmarkEnd w:id="43"/>
      <w:bookmarkEnd w:id="44"/>
      <w:bookmarkEnd w:id="45"/>
    </w:p>
    <w:p>
      <w:pPr>
        <w:spacing w:line="600" w:lineRule="exact"/>
        <w:ind w:firstLine="560" w:firstLineChars="200"/>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28"/>
          <w:szCs w:val="28"/>
          <w:lang w:val="en-US" w:eastAsia="zh-CN"/>
        </w:rPr>
        <w:t>2020年度收、支总计2458.25万元。与2019年相比，收、支总计各减少599.58万元，下降19.61%。主要变动原因是工程项目类支出减少。</w:t>
      </w:r>
    </w:p>
    <w:p>
      <w:pPr>
        <w:spacing w:line="600" w:lineRule="exact"/>
        <w:ind w:firstLine="640" w:firstLineChars="200"/>
        <w:outlineLvl w:val="1"/>
        <w:rPr>
          <w:rFonts w:hint="eastAsia" w:asciiTheme="minorEastAsia" w:hAnsiTheme="minorEastAsia" w:eastAsiaTheme="minorEastAsia" w:cstheme="minorEastAsia"/>
          <w:b/>
          <w:color w:val="000000"/>
          <w:sz w:val="32"/>
          <w:szCs w:val="32"/>
        </w:rPr>
      </w:pPr>
      <w:bookmarkStart w:id="46" w:name="_Toc15396607"/>
      <w:bookmarkStart w:id="47" w:name="_Toc16791"/>
      <w:bookmarkStart w:id="48" w:name="_Toc15377209"/>
      <w:r>
        <w:rPr>
          <w:rFonts w:hint="eastAsia" w:asciiTheme="minorEastAsia" w:hAnsiTheme="minorEastAsia" w:eastAsiaTheme="minorEastAsia" w:cstheme="minorEastAsia"/>
          <w:color w:val="000000"/>
          <w:sz w:val="32"/>
          <w:szCs w:val="32"/>
        </w:rPr>
        <w:t>五、</w:t>
      </w:r>
      <w:r>
        <w:rPr>
          <w:rFonts w:hint="eastAsia" w:asciiTheme="minorEastAsia" w:hAnsiTheme="minorEastAsia" w:eastAsiaTheme="minorEastAsia" w:cstheme="minorEastAsia"/>
          <w:b/>
          <w:color w:val="000000"/>
          <w:sz w:val="32"/>
          <w:szCs w:val="32"/>
        </w:rPr>
        <w:t>一般公共预算财政拨款支出决算情况说明</w:t>
      </w:r>
      <w:bookmarkEnd w:id="46"/>
      <w:bookmarkEnd w:id="47"/>
      <w:bookmarkEnd w:id="48"/>
    </w:p>
    <w:p>
      <w:pPr>
        <w:spacing w:line="600" w:lineRule="exact"/>
        <w:outlineLvl w:val="2"/>
        <w:rPr>
          <w:rFonts w:hint="eastAsia" w:asciiTheme="minorEastAsia" w:hAnsiTheme="minorEastAsia" w:eastAsiaTheme="minorEastAsia" w:cstheme="minorEastAsia"/>
          <w:b/>
          <w:color w:val="000000"/>
          <w:sz w:val="32"/>
          <w:szCs w:val="32"/>
        </w:rPr>
      </w:pPr>
      <w:bookmarkStart w:id="49" w:name="_Toc15377210"/>
      <w:r>
        <w:rPr>
          <w:rFonts w:hint="eastAsia" w:asciiTheme="minorEastAsia" w:hAnsiTheme="minorEastAsia" w:eastAsiaTheme="minorEastAsia" w:cstheme="minorEastAsia"/>
          <w:b/>
          <w:color w:val="000000"/>
          <w:sz w:val="32"/>
          <w:szCs w:val="32"/>
        </w:rPr>
        <w:t>　　</w:t>
      </w:r>
      <w:bookmarkStart w:id="50" w:name="_Toc28148"/>
      <w:r>
        <w:rPr>
          <w:rFonts w:hint="eastAsia" w:asciiTheme="minorEastAsia" w:hAnsiTheme="minorEastAsia" w:eastAsiaTheme="minorEastAsia" w:cstheme="minorEastAsia"/>
          <w:b/>
          <w:color w:val="000000"/>
          <w:sz w:val="32"/>
          <w:szCs w:val="32"/>
        </w:rPr>
        <w:t>（一）一般公共预算财政拨款支出决算总体情况</w:t>
      </w:r>
      <w:bookmarkEnd w:id="49"/>
      <w:bookmarkEnd w:id="50"/>
    </w:p>
    <w:p>
      <w:pPr>
        <w:spacing w:line="600" w:lineRule="exact"/>
        <w:ind w:firstLine="560" w:firstLineChars="200"/>
        <w:rPr>
          <w:rFonts w:hint="eastAsia" w:asciiTheme="minorEastAsia" w:hAnsiTheme="minorEastAsia" w:eastAsiaTheme="minorEastAsia" w:cstheme="minorEastAsia"/>
          <w:color w:val="000000"/>
          <w:sz w:val="32"/>
          <w:szCs w:val="32"/>
        </w:rPr>
      </w:pPr>
      <w:bookmarkStart w:id="51" w:name="_Toc15377211"/>
      <w:r>
        <w:rPr>
          <w:rFonts w:hint="eastAsia" w:asciiTheme="minorEastAsia" w:hAnsiTheme="minorEastAsia" w:eastAsiaTheme="minorEastAsia" w:cstheme="minorEastAsia"/>
          <w:color w:val="000000"/>
          <w:sz w:val="28"/>
          <w:szCs w:val="28"/>
          <w:lang w:val="en-US" w:eastAsia="zh-CN"/>
        </w:rPr>
        <w:t>2020年度收、支总计2458.25万元。与2019年相比，收、支总计各减少599.58万元，下降19.61%。主要变动原因是工程项目类支出减少。</w:t>
      </w:r>
    </w:p>
    <w:p>
      <w:pPr>
        <w:spacing w:line="600" w:lineRule="exact"/>
        <w:ind w:firstLine="560" w:firstLineChars="200"/>
        <w:rPr>
          <w:rFonts w:hint="eastAsia" w:asciiTheme="minorEastAsia" w:hAnsiTheme="minorEastAsia" w:eastAsiaTheme="minorEastAsia" w:cstheme="minorEastAsia"/>
          <w:color w:val="000000"/>
          <w:sz w:val="28"/>
          <w:szCs w:val="28"/>
        </w:rPr>
      </w:pPr>
    </w:p>
    <w:p>
      <w:pPr>
        <w:spacing w:line="600" w:lineRule="exact"/>
        <w:rPr>
          <w:rFonts w:hint="eastAsia" w:asciiTheme="minorEastAsia" w:hAnsiTheme="minorEastAsia" w:eastAsiaTheme="minorEastAsia" w:cstheme="minorEastAsia"/>
          <w:b/>
          <w:color w:val="000000"/>
          <w:sz w:val="32"/>
          <w:szCs w:val="32"/>
        </w:rPr>
      </w:pPr>
    </w:p>
    <w:p>
      <w:pPr>
        <w:spacing w:line="600" w:lineRule="exact"/>
        <w:ind w:firstLine="420" w:firstLineChars="200"/>
        <w:rPr>
          <w:rFonts w:hint="eastAsia"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lang w:eastAsia="zh-CN"/>
        </w:rPr>
        <w:drawing>
          <wp:anchor distT="0" distB="0" distL="114300" distR="114300" simplePos="0" relativeHeight="251661312" behindDoc="1" locked="0" layoutInCell="1" allowOverlap="1">
            <wp:simplePos x="0" y="0"/>
            <wp:positionH relativeFrom="column">
              <wp:posOffset>-66675</wp:posOffset>
            </wp:positionH>
            <wp:positionV relativeFrom="paragraph">
              <wp:posOffset>113665</wp:posOffset>
            </wp:positionV>
            <wp:extent cx="5573395" cy="3089910"/>
            <wp:effectExtent l="0" t="0" r="4445" b="3810"/>
            <wp:wrapNone/>
            <wp:docPr id="2" name="_x0000_s15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spacing w:line="600" w:lineRule="exact"/>
        <w:ind w:firstLine="643" w:firstLineChars="200"/>
        <w:rPr>
          <w:rFonts w:hint="eastAsia" w:asciiTheme="minorEastAsia" w:hAnsiTheme="minorEastAsia" w:eastAsiaTheme="minorEastAsia" w:cstheme="minorEastAsia"/>
          <w:b/>
          <w:color w:val="000000"/>
          <w:sz w:val="32"/>
          <w:szCs w:val="32"/>
        </w:rPr>
      </w:pPr>
    </w:p>
    <w:p>
      <w:pPr>
        <w:spacing w:line="600" w:lineRule="exact"/>
        <w:ind w:firstLine="643" w:firstLineChars="200"/>
        <w:rPr>
          <w:rFonts w:hint="eastAsia" w:asciiTheme="minorEastAsia" w:hAnsiTheme="minorEastAsia" w:eastAsiaTheme="minorEastAsia" w:cstheme="minorEastAsia"/>
          <w:b/>
          <w:color w:val="000000"/>
          <w:sz w:val="32"/>
          <w:szCs w:val="32"/>
        </w:rPr>
      </w:pPr>
    </w:p>
    <w:p>
      <w:pPr>
        <w:spacing w:line="600" w:lineRule="exact"/>
        <w:ind w:firstLine="643" w:firstLineChars="200"/>
        <w:rPr>
          <w:rFonts w:hint="eastAsia" w:asciiTheme="minorEastAsia" w:hAnsiTheme="minorEastAsia" w:eastAsiaTheme="minorEastAsia" w:cstheme="minorEastAsia"/>
          <w:b/>
          <w:color w:val="000000"/>
          <w:sz w:val="32"/>
          <w:szCs w:val="32"/>
        </w:rPr>
      </w:pPr>
    </w:p>
    <w:p>
      <w:pPr>
        <w:spacing w:line="600" w:lineRule="exact"/>
        <w:ind w:firstLine="643" w:firstLineChars="200"/>
        <w:rPr>
          <w:rFonts w:hint="eastAsia" w:asciiTheme="minorEastAsia" w:hAnsiTheme="minorEastAsia" w:eastAsiaTheme="minorEastAsia" w:cstheme="minorEastAsia"/>
          <w:b/>
          <w:color w:val="000000"/>
          <w:sz w:val="32"/>
          <w:szCs w:val="32"/>
        </w:rPr>
      </w:pPr>
    </w:p>
    <w:p>
      <w:pPr>
        <w:spacing w:line="600" w:lineRule="exact"/>
        <w:ind w:firstLine="643" w:firstLineChars="200"/>
        <w:rPr>
          <w:rFonts w:hint="eastAsia" w:asciiTheme="minorEastAsia" w:hAnsiTheme="minorEastAsia" w:eastAsiaTheme="minorEastAsia" w:cstheme="minorEastAsia"/>
          <w:b/>
          <w:color w:val="000000"/>
          <w:sz w:val="32"/>
          <w:szCs w:val="32"/>
        </w:rPr>
      </w:pPr>
    </w:p>
    <w:p>
      <w:pPr>
        <w:spacing w:line="600" w:lineRule="exact"/>
        <w:rPr>
          <w:rFonts w:hint="eastAsia" w:asciiTheme="minorEastAsia" w:hAnsiTheme="minorEastAsia" w:eastAsiaTheme="minorEastAsia" w:cstheme="minorEastAsia"/>
          <w:b/>
          <w:color w:val="000000"/>
          <w:sz w:val="2"/>
          <w:szCs w:val="2"/>
        </w:rPr>
      </w:pPr>
    </w:p>
    <w:p>
      <w:pPr>
        <w:spacing w:line="600" w:lineRule="exact"/>
        <w:rPr>
          <w:rFonts w:hint="eastAsia" w:asciiTheme="minorEastAsia" w:hAnsiTheme="minorEastAsia" w:eastAsiaTheme="minorEastAsia" w:cstheme="minorEastAsia"/>
          <w:b/>
          <w:color w:val="000000"/>
          <w:sz w:val="2"/>
          <w:szCs w:val="2"/>
        </w:rPr>
      </w:pPr>
    </w:p>
    <w:p>
      <w:pPr>
        <w:spacing w:line="600" w:lineRule="exact"/>
        <w:outlineLvl w:val="2"/>
        <w:rPr>
          <w:rFonts w:hint="eastAsia" w:asciiTheme="minorEastAsia" w:hAnsiTheme="minorEastAsia" w:eastAsiaTheme="minorEastAsia" w:cstheme="minorEastAsia"/>
          <w:b/>
          <w:color w:val="000000"/>
          <w:sz w:val="32"/>
          <w:szCs w:val="32"/>
          <w:lang w:eastAsia="zh-CN"/>
        </w:rPr>
      </w:pPr>
      <w:r>
        <w:rPr>
          <w:rFonts w:hint="eastAsia" w:asciiTheme="minorEastAsia" w:hAnsiTheme="minorEastAsia" w:eastAsiaTheme="minorEastAsia" w:cstheme="minorEastAsia"/>
          <w:b/>
          <w:color w:val="000000"/>
          <w:sz w:val="32"/>
          <w:szCs w:val="32"/>
          <w:lang w:eastAsia="zh-CN"/>
        </w:rPr>
        <w:t>　　</w:t>
      </w:r>
      <w:bookmarkStart w:id="52" w:name="_Toc22065"/>
    </w:p>
    <w:p>
      <w:pPr>
        <w:spacing w:line="600" w:lineRule="exact"/>
        <w:outlineLvl w:val="2"/>
        <w:rPr>
          <w:rFonts w:hint="eastAsia" w:asciiTheme="minorEastAsia" w:hAnsiTheme="minorEastAsia" w:eastAsiaTheme="minorEastAsia" w:cstheme="minorEastAsia"/>
          <w:b/>
          <w:color w:val="000000"/>
          <w:sz w:val="32"/>
          <w:szCs w:val="32"/>
          <w:lang w:eastAsia="zh-CN"/>
        </w:rPr>
      </w:pPr>
    </w:p>
    <w:p>
      <w:pPr>
        <w:spacing w:line="600" w:lineRule="exact"/>
        <w:outlineLvl w:val="2"/>
        <w:rPr>
          <w:rFonts w:hint="eastAsia"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b/>
          <w:color w:val="000000"/>
          <w:sz w:val="32"/>
          <w:szCs w:val="32"/>
        </w:rPr>
        <w:t>（二）一般公共预算财政拨款支出决算结构情况</w:t>
      </w:r>
      <w:bookmarkEnd w:id="51"/>
      <w:bookmarkEnd w:id="52"/>
    </w:p>
    <w:p>
      <w:pPr>
        <w:spacing w:line="600" w:lineRule="exact"/>
        <w:ind w:firstLine="640"/>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pPr>
      <w:r>
        <w:rPr>
          <w:rFonts w:hint="eastAsia" w:asciiTheme="minorEastAsia" w:hAnsiTheme="minorEastAsia" w:eastAsiaTheme="minorEastAsia" w:cstheme="minorEastAsia"/>
          <w:color w:val="000000"/>
          <w:sz w:val="28"/>
          <w:szCs w:val="28"/>
          <w:lang w:val="en-US" w:eastAsia="zh-CN"/>
        </w:rPr>
        <w:t>2020年一般公共预算财政拨款支出2458.25万元，主要用于以下方面：一般公共服务（类）支出0万元，占0%；教育支出（类）2298.38万元，占93.50%；科学技术（类）支出0万元，占0%；文化旅游体育与传媒（类）支出0万元，占0%；社会保障和就业（类）支出69.17万元，占2.81%；卫生健康支出37.82万元，占1.54%；住房保障支出51.88万元，占2.11%；农林水支出1万元，占0.04%</w:t>
      </w:r>
      <w:r>
        <w:rPr>
          <w:rFonts w:hint="eastAsia" w:asciiTheme="minorEastAsia" w:hAnsiTheme="minorEastAsia" w:eastAsiaTheme="minorEastAsia" w:cstheme="minorEastAsia"/>
          <w:color w:val="000000"/>
          <w:sz w:val="28"/>
          <w:szCs w:val="28"/>
          <w:highlight w:val="none"/>
          <w:lang w:val="en-US" w:eastAsia="zh-CN"/>
        </w:rPr>
        <w:t>。</w:t>
      </w:r>
    </w:p>
    <w:p>
      <w:pPr>
        <w:spacing w:line="600" w:lineRule="exact"/>
        <w:ind w:firstLine="640"/>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pPr>
      <w:r>
        <w:rPr>
          <w:rFonts w:hint="eastAsia" w:asciiTheme="minorEastAsia" w:hAnsiTheme="minorEastAsia" w:eastAsiaTheme="minorEastAsia" w:cstheme="minorEastAsia"/>
          <w:lang w:eastAsia="zh-CN"/>
        </w:rPr>
        <w:drawing>
          <wp:anchor distT="0" distB="0" distL="114300" distR="114300" simplePos="0" relativeHeight="251659264" behindDoc="0" locked="0" layoutInCell="1" allowOverlap="1">
            <wp:simplePos x="0" y="0"/>
            <wp:positionH relativeFrom="column">
              <wp:posOffset>164465</wp:posOffset>
            </wp:positionH>
            <wp:positionV relativeFrom="paragraph">
              <wp:posOffset>250190</wp:posOffset>
            </wp:positionV>
            <wp:extent cx="4740910" cy="2606675"/>
            <wp:effectExtent l="4445" t="4445" r="9525" b="10160"/>
            <wp:wrapSquare wrapText="bothSides"/>
            <wp:docPr id="138" name="_x0000_s15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spacing w:line="600" w:lineRule="exact"/>
        <w:ind w:firstLine="640"/>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pPr>
    </w:p>
    <w:p>
      <w:pPr>
        <w:spacing w:line="600" w:lineRule="exact"/>
        <w:ind w:firstLine="640"/>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pPr>
    </w:p>
    <w:p>
      <w:pPr>
        <w:spacing w:line="600" w:lineRule="exact"/>
        <w:ind w:firstLine="640"/>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pPr>
    </w:p>
    <w:p>
      <w:pPr>
        <w:spacing w:line="600" w:lineRule="exact"/>
        <w:ind w:firstLine="640"/>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pPr>
    </w:p>
    <w:p>
      <w:pPr>
        <w:spacing w:line="600" w:lineRule="exact"/>
        <w:ind w:firstLine="640"/>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pPr>
    </w:p>
    <w:p>
      <w:pPr>
        <w:spacing w:line="600" w:lineRule="exact"/>
        <w:outlineLvl w:val="2"/>
        <w:rPr>
          <w:rFonts w:hint="eastAsia" w:asciiTheme="minorEastAsia" w:hAnsiTheme="minorEastAsia" w:eastAsiaTheme="minorEastAsia" w:cstheme="minorEastAsia"/>
          <w:b/>
          <w:color w:val="000000"/>
          <w:sz w:val="32"/>
          <w:szCs w:val="32"/>
        </w:rPr>
      </w:pPr>
      <w:bookmarkStart w:id="53" w:name="_Toc6898"/>
      <w:bookmarkStart w:id="54" w:name="_Toc15377212"/>
      <w:r>
        <w:rPr>
          <w:rFonts w:hint="eastAsia" w:asciiTheme="minorEastAsia" w:hAnsiTheme="minorEastAsia" w:eastAsiaTheme="minorEastAsia" w:cstheme="minorEastAsia"/>
          <w:b/>
          <w:color w:val="000000"/>
          <w:sz w:val="32"/>
          <w:szCs w:val="32"/>
        </w:rPr>
        <w:t>（三）一般公共预算财政拨款支出决算具体情况</w:t>
      </w:r>
      <w:bookmarkEnd w:id="53"/>
      <w:bookmarkEnd w:id="54"/>
    </w:p>
    <w:p>
      <w:pPr>
        <w:tabs>
          <w:tab w:val="right" w:pos="8306"/>
        </w:tabs>
        <w:spacing w:line="600" w:lineRule="exact"/>
        <w:outlineLvl w:val="1"/>
        <w:rPr>
          <w:rFonts w:hint="eastAsia" w:asciiTheme="minorEastAsia" w:hAnsiTheme="minorEastAsia" w:eastAsiaTheme="minorEastAsia" w:cstheme="minorEastAsia"/>
          <w:color w:val="000000"/>
          <w:sz w:val="28"/>
          <w:szCs w:val="28"/>
          <w:lang w:eastAsia="zh-CN"/>
        </w:rPr>
      </w:pPr>
      <w:bookmarkStart w:id="55" w:name="_Toc15377214"/>
      <w:bookmarkStart w:id="56" w:name="_Toc15396608"/>
      <w:r>
        <w:rPr>
          <w:rFonts w:hint="eastAsia" w:asciiTheme="minorEastAsia" w:hAnsiTheme="minorEastAsia" w:eastAsiaTheme="minorEastAsia" w:cstheme="minorEastAsia"/>
          <w:color w:val="000000"/>
          <w:sz w:val="28"/>
          <w:szCs w:val="28"/>
          <w:lang w:eastAsia="zh-CN"/>
        </w:rPr>
        <w:t>2020年一般公共预算支出决算数为2458.25万元，完成预算100%。其中：</w:t>
      </w:r>
    </w:p>
    <w:p>
      <w:pPr>
        <w:tabs>
          <w:tab w:val="right" w:pos="8306"/>
        </w:tabs>
        <w:spacing w:line="600" w:lineRule="exact"/>
        <w:outlineLvl w:val="1"/>
        <w:rPr>
          <w:rFonts w:hint="eastAsia" w:asciiTheme="minorEastAsia" w:hAnsiTheme="minorEastAsia" w:eastAsiaTheme="minorEastAsia" w:cstheme="minorEastAsia"/>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1.教育（类）普通教育（款）学前教育（项）</w:t>
      </w:r>
      <w:r>
        <w:rPr>
          <w:rFonts w:hint="eastAsia" w:asciiTheme="minorEastAsia" w:hAnsiTheme="minorEastAsia" w:eastAsiaTheme="minorEastAsia" w:cstheme="minorEastAsia"/>
          <w:color w:val="000000"/>
          <w:sz w:val="28"/>
          <w:szCs w:val="28"/>
          <w:lang w:eastAsia="zh-CN"/>
        </w:rPr>
        <w:t>: 支出决算为4.50万元，完成预算100%。</w:t>
      </w:r>
    </w:p>
    <w:p>
      <w:pPr>
        <w:tabs>
          <w:tab w:val="right" w:pos="8306"/>
        </w:tabs>
        <w:spacing w:line="600" w:lineRule="exact"/>
        <w:outlineLvl w:val="1"/>
        <w:rPr>
          <w:rFonts w:hint="eastAsia" w:asciiTheme="minorEastAsia" w:hAnsiTheme="minorEastAsia" w:eastAsiaTheme="minorEastAsia" w:cstheme="minorEastAsia"/>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2.教育（类）普通教育（款）小学教育（项）</w:t>
      </w:r>
      <w:r>
        <w:rPr>
          <w:rFonts w:hint="eastAsia" w:asciiTheme="minorEastAsia" w:hAnsiTheme="minorEastAsia" w:eastAsiaTheme="minorEastAsia" w:cstheme="minorEastAsia"/>
          <w:color w:val="000000"/>
          <w:sz w:val="28"/>
          <w:szCs w:val="28"/>
          <w:lang w:eastAsia="zh-CN"/>
        </w:rPr>
        <w:t>: 支出决算为1390.27万元，完成预算100%。</w:t>
      </w:r>
    </w:p>
    <w:p>
      <w:pPr>
        <w:tabs>
          <w:tab w:val="right" w:pos="8306"/>
        </w:tabs>
        <w:spacing w:line="600" w:lineRule="exact"/>
        <w:outlineLvl w:val="1"/>
        <w:rPr>
          <w:rFonts w:hint="eastAsia" w:asciiTheme="minorEastAsia" w:hAnsiTheme="minorEastAsia" w:eastAsiaTheme="minorEastAsia" w:cstheme="minorEastAsia"/>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3.教育（类）普通教育（款）其他普通教育支出（项）</w:t>
      </w:r>
      <w:r>
        <w:rPr>
          <w:rFonts w:hint="eastAsia" w:asciiTheme="minorEastAsia" w:hAnsiTheme="minorEastAsia" w:eastAsiaTheme="minorEastAsia" w:cstheme="minorEastAsia"/>
          <w:color w:val="000000"/>
          <w:sz w:val="28"/>
          <w:szCs w:val="28"/>
          <w:lang w:eastAsia="zh-CN"/>
        </w:rPr>
        <w:t>: 支出决算为69.90万元，完成预算100%。</w:t>
      </w:r>
    </w:p>
    <w:p>
      <w:pPr>
        <w:tabs>
          <w:tab w:val="right" w:pos="8306"/>
        </w:tabs>
        <w:spacing w:line="600" w:lineRule="exact"/>
        <w:outlineLvl w:val="1"/>
        <w:rPr>
          <w:rFonts w:hint="eastAsia" w:asciiTheme="minorEastAsia" w:hAnsiTheme="minorEastAsia" w:eastAsiaTheme="minorEastAsia" w:cstheme="minorEastAsia"/>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4.教育（类）教育费附加安排的支出（款）其他教育费附加安排的支出（项）</w:t>
      </w:r>
      <w:r>
        <w:rPr>
          <w:rFonts w:hint="eastAsia" w:asciiTheme="minorEastAsia" w:hAnsiTheme="minorEastAsia" w:eastAsiaTheme="minorEastAsia" w:cstheme="minorEastAsia"/>
          <w:color w:val="000000"/>
          <w:sz w:val="28"/>
          <w:szCs w:val="28"/>
          <w:lang w:eastAsia="zh-CN"/>
        </w:rPr>
        <w:t>: 支出决算为7.35万元，完成预算100%。</w:t>
      </w:r>
    </w:p>
    <w:p>
      <w:pPr>
        <w:tabs>
          <w:tab w:val="right" w:pos="8306"/>
        </w:tabs>
        <w:spacing w:line="600" w:lineRule="exact"/>
        <w:outlineLvl w:val="1"/>
        <w:rPr>
          <w:rFonts w:hint="eastAsia" w:asciiTheme="minorEastAsia" w:hAnsiTheme="minorEastAsia" w:eastAsiaTheme="minorEastAsia" w:cstheme="minorEastAsia"/>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5.社会保障和就业（类）行政事业单位养老支出（款）机关事业单位基本养老保险缴费支出（项）</w:t>
      </w:r>
      <w:r>
        <w:rPr>
          <w:rFonts w:hint="eastAsia" w:asciiTheme="minorEastAsia" w:hAnsiTheme="minorEastAsia" w:eastAsiaTheme="minorEastAsia" w:cstheme="minorEastAsia"/>
          <w:color w:val="000000"/>
          <w:sz w:val="28"/>
          <w:szCs w:val="28"/>
          <w:lang w:eastAsia="zh-CN"/>
        </w:rPr>
        <w:t>: 支出决算为69.17万元，完成预算100%。</w:t>
      </w:r>
    </w:p>
    <w:p>
      <w:pPr>
        <w:tabs>
          <w:tab w:val="right" w:pos="8306"/>
        </w:tabs>
        <w:spacing w:line="600" w:lineRule="exact"/>
        <w:outlineLvl w:val="1"/>
        <w:rPr>
          <w:rFonts w:hint="eastAsia" w:asciiTheme="minorEastAsia" w:hAnsiTheme="minorEastAsia" w:eastAsiaTheme="minorEastAsia" w:cstheme="minorEastAsia"/>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6.卫生健康（类）行政事业单位医疗（款）事业单位医疗（项）：</w:t>
      </w:r>
      <w:r>
        <w:rPr>
          <w:rFonts w:hint="eastAsia" w:asciiTheme="minorEastAsia" w:hAnsiTheme="minorEastAsia" w:eastAsiaTheme="minorEastAsia" w:cstheme="minorEastAsia"/>
          <w:color w:val="000000"/>
          <w:sz w:val="28"/>
          <w:szCs w:val="28"/>
          <w:lang w:eastAsia="zh-CN"/>
        </w:rPr>
        <w:t>支出决算为37.82万元，完成预算100%。</w:t>
      </w:r>
    </w:p>
    <w:p>
      <w:pPr>
        <w:tabs>
          <w:tab w:val="right" w:pos="8306"/>
        </w:tabs>
        <w:spacing w:line="600" w:lineRule="exact"/>
        <w:outlineLvl w:val="1"/>
        <w:rPr>
          <w:rFonts w:hint="eastAsia" w:asciiTheme="minorEastAsia" w:hAnsiTheme="minorEastAsia" w:eastAsiaTheme="minorEastAsia" w:cstheme="minorEastAsia"/>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7.农林水支出（类）扶贫（款）其他扶贫支出（项）：</w:t>
      </w:r>
      <w:r>
        <w:rPr>
          <w:rFonts w:hint="eastAsia" w:asciiTheme="minorEastAsia" w:hAnsiTheme="minorEastAsia" w:eastAsiaTheme="minorEastAsia" w:cstheme="minorEastAsia"/>
          <w:color w:val="000000"/>
          <w:sz w:val="28"/>
          <w:szCs w:val="28"/>
          <w:lang w:eastAsia="zh-CN"/>
        </w:rPr>
        <w:t>支出决算为1万元，完成预算100%。</w:t>
      </w:r>
    </w:p>
    <w:p>
      <w:pPr>
        <w:tabs>
          <w:tab w:val="right" w:pos="8306"/>
        </w:tabs>
        <w:spacing w:line="600" w:lineRule="exact"/>
        <w:outlineLvl w:val="1"/>
        <w:rPr>
          <w:rFonts w:hint="eastAsia" w:asciiTheme="minorEastAsia" w:hAnsiTheme="minorEastAsia" w:eastAsiaTheme="minorEastAsia" w:cstheme="minorEastAsia"/>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8.住房保障支出（类）住房改革支出（款）住房公积金（项）：</w:t>
      </w:r>
      <w:r>
        <w:rPr>
          <w:rFonts w:hint="eastAsia" w:asciiTheme="minorEastAsia" w:hAnsiTheme="minorEastAsia" w:eastAsiaTheme="minorEastAsia" w:cstheme="minorEastAsia"/>
          <w:color w:val="000000"/>
          <w:sz w:val="28"/>
          <w:szCs w:val="28"/>
          <w:lang w:eastAsia="zh-CN"/>
        </w:rPr>
        <w:t>支出决算为51.88万元，完成预算100%。</w:t>
      </w:r>
    </w:p>
    <w:p>
      <w:pPr>
        <w:tabs>
          <w:tab w:val="right" w:pos="8306"/>
        </w:tabs>
        <w:spacing w:line="600" w:lineRule="exact"/>
        <w:outlineLvl w:val="1"/>
        <w:rPr>
          <w:rFonts w:hint="eastAsia" w:asciiTheme="minorEastAsia" w:hAnsiTheme="minorEastAsia" w:eastAsiaTheme="minorEastAsia" w:cstheme="minorEastAsia"/>
          <w:color w:val="000000"/>
          <w:sz w:val="32"/>
          <w:szCs w:val="32"/>
          <w:lang w:eastAsia="zh-CN"/>
        </w:rPr>
      </w:pPr>
      <w:r>
        <w:rPr>
          <w:rFonts w:hint="eastAsia" w:asciiTheme="minorEastAsia" w:hAnsiTheme="minorEastAsia" w:eastAsiaTheme="minorEastAsia" w:cstheme="minorEastAsia"/>
          <w:b/>
          <w:bCs/>
          <w:color w:val="000000"/>
          <w:sz w:val="28"/>
          <w:szCs w:val="28"/>
          <w:lang w:eastAsia="zh-CN"/>
        </w:rPr>
        <w:t>9.教育（类）其他教育支出</w:t>
      </w:r>
      <w:r>
        <w:rPr>
          <w:rFonts w:hint="eastAsia" w:asciiTheme="minorEastAsia" w:hAnsiTheme="minorEastAsia" w:eastAsiaTheme="minorEastAsia" w:cstheme="minorEastAsia"/>
          <w:color w:val="000000"/>
          <w:sz w:val="28"/>
          <w:szCs w:val="28"/>
          <w:lang w:eastAsia="zh-CN"/>
        </w:rPr>
        <w:t>：支出决算为826.36万元，完成预算100%</w:t>
      </w:r>
      <w:r>
        <w:rPr>
          <w:rFonts w:hint="eastAsia" w:asciiTheme="minorEastAsia" w:hAnsiTheme="minorEastAsia" w:eastAsiaTheme="minorEastAsia" w:cstheme="minorEastAsia"/>
          <w:color w:val="000000"/>
          <w:sz w:val="32"/>
          <w:szCs w:val="32"/>
          <w:lang w:eastAsia="zh-CN"/>
        </w:rPr>
        <w:t>。　　</w:t>
      </w:r>
      <w:bookmarkStart w:id="57" w:name="_Toc17396"/>
    </w:p>
    <w:p>
      <w:pPr>
        <w:tabs>
          <w:tab w:val="right" w:pos="8306"/>
        </w:tabs>
        <w:spacing w:line="600" w:lineRule="exact"/>
        <w:outlineLvl w:val="1"/>
        <w:rPr>
          <w:rStyle w:val="27"/>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 w:val="32"/>
          <w:szCs w:val="32"/>
        </w:rPr>
        <w:t>六</w:t>
      </w:r>
      <w:r>
        <w:rPr>
          <w:rFonts w:hint="eastAsia" w:asciiTheme="minorEastAsia" w:hAnsiTheme="minorEastAsia" w:eastAsiaTheme="minorEastAsia" w:cstheme="minorEastAsia"/>
          <w:b/>
          <w:color w:val="000000"/>
          <w:sz w:val="32"/>
          <w:szCs w:val="32"/>
        </w:rPr>
        <w:t>、一</w:t>
      </w:r>
      <w:r>
        <w:rPr>
          <w:rStyle w:val="27"/>
          <w:rFonts w:hint="eastAsia" w:asciiTheme="minorEastAsia" w:hAnsiTheme="minorEastAsia" w:eastAsiaTheme="minorEastAsia" w:cstheme="minorEastAsia"/>
          <w:b w:val="0"/>
        </w:rPr>
        <w:t>般</w:t>
      </w:r>
      <w:r>
        <w:rPr>
          <w:rFonts w:hint="eastAsia" w:asciiTheme="minorEastAsia" w:hAnsiTheme="minorEastAsia" w:eastAsiaTheme="minorEastAsia" w:cstheme="minorEastAsia"/>
          <w:b/>
          <w:color w:val="000000"/>
          <w:sz w:val="32"/>
          <w:szCs w:val="32"/>
        </w:rPr>
        <w:t>公共预算财政拨款基本支出决算情况说明</w:t>
      </w:r>
      <w:bookmarkEnd w:id="55"/>
      <w:bookmarkEnd w:id="56"/>
      <w:bookmarkEnd w:id="57"/>
      <w:r>
        <w:rPr>
          <w:rStyle w:val="27"/>
          <w:rFonts w:hint="eastAsia" w:asciiTheme="minorEastAsia" w:hAnsiTheme="minorEastAsia" w:eastAsiaTheme="minorEastAsia" w:cstheme="minorEastAsia"/>
          <w:b w:val="0"/>
        </w:rPr>
        <w:tab/>
      </w:r>
    </w:p>
    <w:p>
      <w:pPr>
        <w:spacing w:line="600" w:lineRule="exact"/>
        <w:ind w:left="319" w:leftChars="152" w:firstLine="280" w:firstLineChars="100"/>
        <w:outlineLvl w:val="2"/>
        <w:rPr>
          <w:rFonts w:hint="eastAsia" w:asciiTheme="minorEastAsia" w:hAnsiTheme="minorEastAsia" w:eastAsiaTheme="minorEastAsia" w:cstheme="minorEastAsia"/>
          <w:color w:val="000000"/>
          <w:sz w:val="28"/>
          <w:szCs w:val="28"/>
        </w:rPr>
      </w:pPr>
      <w:bookmarkStart w:id="58" w:name="_Toc15377215"/>
      <w:bookmarkStart w:id="59" w:name="_Toc15396609"/>
      <w:bookmarkStart w:id="60" w:name="_Toc21512"/>
      <w:r>
        <w:rPr>
          <w:rFonts w:hint="eastAsia" w:asciiTheme="minorEastAsia" w:hAnsiTheme="minorEastAsia" w:eastAsiaTheme="minorEastAsia" w:cstheme="minorEastAsia"/>
          <w:color w:val="000000"/>
          <w:sz w:val="28"/>
          <w:szCs w:val="28"/>
        </w:rPr>
        <w:t>2020年一般公共预算财政拨款基本支出2458.25万元，其中：</w:t>
      </w:r>
    </w:p>
    <w:p>
      <w:pPr>
        <w:spacing w:line="600" w:lineRule="exact"/>
        <w:ind w:left="319" w:leftChars="152" w:firstLine="280" w:firstLineChars="100"/>
        <w:outlineLvl w:val="2"/>
        <w:rPr>
          <w:rFonts w:hint="eastAsia" w:asciiTheme="minorEastAsia" w:hAnsiTheme="minorEastAsia" w:eastAsiaTheme="minorEastAsia" w:cstheme="minorEastAsia"/>
          <w:color w:val="000000"/>
          <w:sz w:val="28"/>
          <w:szCs w:val="28"/>
          <w:lang w:eastAsia="zh-CN"/>
        </w:rPr>
      </w:pPr>
      <w:r>
        <w:rPr>
          <w:rFonts w:hint="eastAsia" w:asciiTheme="minorEastAsia" w:hAnsiTheme="minorEastAsia" w:eastAsiaTheme="minorEastAsia" w:cstheme="minorEastAsia"/>
          <w:color w:val="000000"/>
          <w:sz w:val="28"/>
          <w:szCs w:val="28"/>
        </w:rPr>
        <w:t>人员经费</w:t>
      </w:r>
      <w:r>
        <w:rPr>
          <w:rFonts w:hint="eastAsia" w:asciiTheme="minorEastAsia" w:hAnsiTheme="minorEastAsia" w:eastAsiaTheme="minorEastAsia" w:cstheme="minorEastAsia"/>
          <w:color w:val="000000"/>
          <w:sz w:val="28"/>
          <w:szCs w:val="28"/>
          <w:lang w:val="en-US" w:eastAsia="zh-CN"/>
        </w:rPr>
        <w:t>735.36</w:t>
      </w:r>
      <w:r>
        <w:rPr>
          <w:rFonts w:hint="eastAsia" w:asciiTheme="minorEastAsia" w:hAnsiTheme="minorEastAsia" w:eastAsiaTheme="minorEastAsia" w:cstheme="minorEastAsia"/>
          <w:color w:val="000000"/>
          <w:sz w:val="28"/>
          <w:szCs w:val="28"/>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p>
    <w:p>
      <w:pPr>
        <w:spacing w:line="600" w:lineRule="exact"/>
        <w:ind w:left="319" w:leftChars="152" w:firstLine="280" w:firstLineChars="100"/>
        <w:outlineLvl w:val="2"/>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　　日常公用经费</w:t>
      </w:r>
      <w:r>
        <w:rPr>
          <w:rFonts w:hint="eastAsia" w:asciiTheme="minorEastAsia" w:hAnsiTheme="minorEastAsia" w:eastAsiaTheme="minorEastAsia" w:cstheme="minorEastAsia"/>
          <w:color w:val="000000"/>
          <w:sz w:val="28"/>
          <w:szCs w:val="28"/>
          <w:lang w:val="en-US" w:eastAsia="zh-CN"/>
        </w:rPr>
        <w:t>87.79</w:t>
      </w:r>
      <w:r>
        <w:rPr>
          <w:rFonts w:hint="eastAsia" w:asciiTheme="minorEastAsia" w:hAnsiTheme="minorEastAsia" w:eastAsiaTheme="minorEastAsia" w:cstheme="minorEastAsia"/>
          <w:color w:val="000000"/>
          <w:sz w:val="28"/>
          <w:szCs w:val="28"/>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pPr>
        <w:spacing w:line="600" w:lineRule="exact"/>
        <w:ind w:left="319" w:leftChars="152" w:firstLine="560" w:firstLineChars="200"/>
        <w:outlineLvl w:val="2"/>
        <w:rPr>
          <w:rFonts w:hint="default"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lang w:val="en-US" w:eastAsia="zh-CN"/>
        </w:rPr>
        <w:t>项目支出费用：1635.11万元，主要包括：学前教育项目、小学教育项目、其他教育费附加安排的支出项目、其他教育支出项目、扶贫项目。</w:t>
      </w:r>
    </w:p>
    <w:p>
      <w:pPr>
        <w:spacing w:line="600" w:lineRule="exact"/>
        <w:ind w:firstLine="640" w:firstLineChars="200"/>
        <w:outlineLvl w:val="1"/>
        <w:rPr>
          <w:rStyle w:val="27"/>
          <w:rFonts w:hint="eastAsia" w:asciiTheme="minorEastAsia" w:hAnsiTheme="minorEastAsia" w:eastAsiaTheme="minorEastAsia" w:cstheme="minorEastAsia"/>
          <w:b w:val="0"/>
        </w:rPr>
      </w:pPr>
      <w:r>
        <w:rPr>
          <w:rFonts w:hint="eastAsia" w:asciiTheme="minorEastAsia" w:hAnsiTheme="minorEastAsia" w:eastAsiaTheme="minorEastAsia" w:cstheme="minorEastAsia"/>
          <w:color w:val="000000"/>
          <w:sz w:val="32"/>
          <w:szCs w:val="32"/>
        </w:rPr>
        <w:t>七、</w:t>
      </w:r>
      <w:r>
        <w:rPr>
          <w:rStyle w:val="27"/>
          <w:rFonts w:hint="eastAsia" w:asciiTheme="minorEastAsia" w:hAnsiTheme="minorEastAsia" w:eastAsiaTheme="minorEastAsia" w:cstheme="minorEastAsia"/>
        </w:rPr>
        <w:t>“</w:t>
      </w:r>
      <w:r>
        <w:rPr>
          <w:rStyle w:val="27"/>
          <w:rFonts w:hint="eastAsia" w:asciiTheme="minorEastAsia" w:hAnsiTheme="minorEastAsia" w:eastAsiaTheme="minorEastAsia" w:cstheme="minorEastAsia"/>
          <w:b w:val="0"/>
        </w:rPr>
        <w:t>三公”经费财政拨款支出决算情况说明</w:t>
      </w:r>
      <w:bookmarkEnd w:id="58"/>
      <w:bookmarkEnd w:id="59"/>
      <w:bookmarkEnd w:id="60"/>
    </w:p>
    <w:p>
      <w:pPr>
        <w:spacing w:line="600" w:lineRule="exact"/>
        <w:ind w:firstLine="640"/>
        <w:outlineLvl w:val="2"/>
        <w:rPr>
          <w:rStyle w:val="27"/>
          <w:rFonts w:hint="eastAsia" w:asciiTheme="minorEastAsia" w:hAnsiTheme="minorEastAsia" w:eastAsiaTheme="minorEastAsia" w:cstheme="minorEastAsia"/>
          <w:b w:val="0"/>
          <w:lang w:eastAsia="zh-CN"/>
        </w:rPr>
      </w:pPr>
      <w:bookmarkStart w:id="61" w:name="_Toc28593"/>
      <w:bookmarkStart w:id="62" w:name="_Toc29020"/>
      <w:r>
        <w:rPr>
          <w:rFonts w:hint="eastAsia" w:asciiTheme="minorEastAsia" w:hAnsiTheme="minorEastAsia" w:eastAsiaTheme="minorEastAsia" w:cstheme="minorEastAsia"/>
          <w:b/>
          <w:color w:val="000000"/>
          <w:sz w:val="32"/>
          <w:szCs w:val="32"/>
        </w:rPr>
        <w:t>（一）</w:t>
      </w:r>
      <w:r>
        <w:rPr>
          <w:rFonts w:hint="eastAsia" w:asciiTheme="minorEastAsia" w:hAnsiTheme="minorEastAsia" w:eastAsiaTheme="minorEastAsia" w:cstheme="minorEastAsia"/>
          <w:b/>
          <w:color w:val="000000"/>
          <w:sz w:val="32"/>
          <w:szCs w:val="32"/>
          <w:lang w:eastAsia="zh-CN"/>
        </w:rPr>
        <w:t>　</w:t>
      </w:r>
      <w:r>
        <w:rPr>
          <w:rStyle w:val="27"/>
          <w:rFonts w:hint="eastAsia" w:asciiTheme="minorEastAsia" w:hAnsiTheme="minorEastAsia" w:eastAsiaTheme="minorEastAsia" w:cstheme="minorEastAsia"/>
        </w:rPr>
        <w:t>“</w:t>
      </w:r>
      <w:r>
        <w:rPr>
          <w:rStyle w:val="27"/>
          <w:rFonts w:hint="eastAsia" w:asciiTheme="minorEastAsia" w:hAnsiTheme="minorEastAsia" w:eastAsiaTheme="minorEastAsia" w:cstheme="minorEastAsia"/>
          <w:b w:val="0"/>
        </w:rPr>
        <w:t>三公”经费财政拨款支出决算情况说明</w:t>
      </w:r>
      <w:r>
        <w:rPr>
          <w:rStyle w:val="27"/>
          <w:rFonts w:hint="eastAsia" w:asciiTheme="minorEastAsia" w:hAnsiTheme="minorEastAsia" w:eastAsiaTheme="minorEastAsia" w:cstheme="minorEastAsia"/>
          <w:b w:val="0"/>
          <w:lang w:eastAsia="zh-CN"/>
        </w:rPr>
        <w:t>。</w:t>
      </w:r>
      <w:bookmarkEnd w:id="61"/>
      <w:bookmarkEnd w:id="62"/>
    </w:p>
    <w:p>
      <w:pPr>
        <w:spacing w:line="600" w:lineRule="exact"/>
        <w:ind w:firstLine="640"/>
        <w:outlineLvl w:val="9"/>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color w:val="000000"/>
          <w:sz w:val="28"/>
          <w:szCs w:val="28"/>
          <w:lang w:val="en-US" w:eastAsia="zh-CN"/>
        </w:rPr>
        <w:t>2020年“三公”</w:t>
      </w:r>
      <w:r>
        <w:rPr>
          <w:rFonts w:hint="eastAsia" w:asciiTheme="minorEastAsia" w:hAnsiTheme="minorEastAsia" w:eastAsiaTheme="minorEastAsia" w:cstheme="minorEastAsia"/>
          <w:b/>
          <w:color w:val="000000"/>
          <w:sz w:val="28"/>
          <w:szCs w:val="28"/>
          <w:lang w:eastAsia="zh-CN"/>
        </w:rPr>
        <w:t>财政拨款支出决算</w:t>
      </w:r>
      <w:r>
        <w:rPr>
          <w:rFonts w:hint="eastAsia" w:asciiTheme="minorEastAsia" w:hAnsiTheme="minorEastAsia" w:eastAsiaTheme="minorEastAsia" w:cstheme="minorEastAsia"/>
          <w:color w:val="000000"/>
          <w:sz w:val="28"/>
          <w:szCs w:val="28"/>
          <w:lang w:val="en-US" w:eastAsia="zh-CN"/>
        </w:rPr>
        <w:t>0.4</w:t>
      </w:r>
      <w:r>
        <w:rPr>
          <w:rFonts w:hint="eastAsia" w:asciiTheme="minorEastAsia" w:hAnsiTheme="minorEastAsia" w:eastAsiaTheme="minorEastAsia" w:cstheme="minorEastAsia"/>
          <w:color w:val="000000"/>
          <w:sz w:val="28"/>
          <w:szCs w:val="28"/>
        </w:rPr>
        <w:t>万元，</w:t>
      </w:r>
      <w:r>
        <w:rPr>
          <w:rStyle w:val="16"/>
          <w:rFonts w:hint="eastAsia" w:asciiTheme="minorEastAsia" w:hAnsiTheme="minorEastAsia" w:eastAsiaTheme="minorEastAsia" w:cstheme="minorEastAsia"/>
          <w:b w:val="0"/>
          <w:bCs/>
          <w:color w:val="000000"/>
          <w:sz w:val="28"/>
          <w:szCs w:val="28"/>
        </w:rPr>
        <w:t>完成预算</w:t>
      </w:r>
      <w:r>
        <w:rPr>
          <w:rStyle w:val="16"/>
          <w:rFonts w:hint="eastAsia" w:asciiTheme="minorEastAsia" w:hAnsiTheme="minorEastAsia" w:eastAsiaTheme="minorEastAsia" w:cstheme="minorEastAsia"/>
          <w:b w:val="0"/>
          <w:bCs/>
          <w:color w:val="000000"/>
          <w:sz w:val="28"/>
          <w:szCs w:val="28"/>
          <w:lang w:val="en-US" w:eastAsia="zh-CN"/>
        </w:rPr>
        <w:t>100</w:t>
      </w:r>
      <w:r>
        <w:rPr>
          <w:rStyle w:val="16"/>
          <w:rFonts w:hint="eastAsia" w:asciiTheme="minorEastAsia" w:hAnsiTheme="minorEastAsia" w:eastAsiaTheme="minorEastAsia" w:cstheme="minorEastAsia"/>
          <w:b w:val="0"/>
          <w:bCs/>
          <w:color w:val="000000"/>
          <w:sz w:val="28"/>
          <w:szCs w:val="28"/>
        </w:rPr>
        <w:t>%</w:t>
      </w:r>
      <w:r>
        <w:rPr>
          <w:rStyle w:val="16"/>
          <w:rFonts w:hint="eastAsia" w:asciiTheme="minorEastAsia" w:hAnsiTheme="minorEastAsia" w:eastAsiaTheme="minorEastAsia" w:cstheme="minorEastAsia"/>
          <w:b w:val="0"/>
          <w:bCs/>
          <w:color w:val="000000"/>
          <w:sz w:val="28"/>
          <w:szCs w:val="28"/>
          <w:lang w:eastAsia="zh-CN"/>
        </w:rPr>
        <w:t>。</w:t>
      </w:r>
    </w:p>
    <w:p>
      <w:pPr>
        <w:spacing w:line="600" w:lineRule="exact"/>
        <w:ind w:left="319" w:leftChars="152" w:firstLine="321" w:firstLineChars="100"/>
        <w:outlineLvl w:val="2"/>
        <w:rPr>
          <w:rFonts w:hint="eastAsia" w:asciiTheme="minorEastAsia" w:hAnsiTheme="minorEastAsia" w:eastAsiaTheme="minorEastAsia" w:cstheme="minorEastAsia"/>
          <w:color w:val="000000"/>
          <w:sz w:val="28"/>
          <w:szCs w:val="28"/>
        </w:rPr>
      </w:pPr>
      <w:bookmarkStart w:id="63" w:name="_Toc15377217"/>
      <w:bookmarkStart w:id="64" w:name="_Toc12668"/>
      <w:r>
        <w:rPr>
          <w:rFonts w:hint="eastAsia" w:asciiTheme="minorEastAsia" w:hAnsiTheme="minorEastAsia" w:eastAsiaTheme="minorEastAsia" w:cstheme="minorEastAsia"/>
          <w:b/>
          <w:color w:val="000000"/>
          <w:sz w:val="32"/>
          <w:szCs w:val="32"/>
        </w:rPr>
        <w:t>（二）“三公”经费财政拨款支出决算具体情况说明</w:t>
      </w:r>
      <w:bookmarkEnd w:id="63"/>
      <w:r>
        <w:rPr>
          <w:rFonts w:hint="eastAsia" w:asciiTheme="minorEastAsia" w:hAnsiTheme="minorEastAsia" w:eastAsiaTheme="minorEastAsia" w:cstheme="minorEastAsia"/>
          <w:b/>
          <w:color w:val="000000"/>
          <w:sz w:val="32"/>
          <w:szCs w:val="32"/>
          <w:lang w:eastAsia="zh-CN"/>
        </w:rPr>
        <w:t>：</w:t>
      </w:r>
      <w:r>
        <w:rPr>
          <w:rFonts w:hint="eastAsia" w:asciiTheme="minorEastAsia" w:hAnsiTheme="minorEastAsia" w:eastAsiaTheme="minorEastAsia" w:cstheme="minorEastAsia"/>
          <w:color w:val="000000"/>
          <w:sz w:val="28"/>
          <w:szCs w:val="28"/>
          <w:lang w:val="en-US" w:eastAsia="zh-CN"/>
        </w:rPr>
        <w:t>2020</w:t>
      </w:r>
      <w:r>
        <w:rPr>
          <w:rFonts w:hint="eastAsia" w:asciiTheme="minorEastAsia" w:hAnsiTheme="minorEastAsia" w:eastAsiaTheme="minorEastAsia" w:cstheme="minorEastAsia"/>
          <w:color w:val="000000"/>
          <w:sz w:val="28"/>
          <w:szCs w:val="28"/>
        </w:rPr>
        <w:t>年“三公”经费财政拨款支出决算中，因公出国（境）费支出决算</w:t>
      </w:r>
      <w:r>
        <w:rPr>
          <w:rFonts w:hint="eastAsia" w:asciiTheme="minorEastAsia" w:hAnsiTheme="minorEastAsia" w:eastAsiaTheme="minorEastAsia" w:cstheme="minorEastAsia"/>
          <w:color w:val="000000"/>
          <w:sz w:val="28"/>
          <w:szCs w:val="28"/>
          <w:lang w:val="en-US" w:eastAsia="zh-CN"/>
        </w:rPr>
        <w:t>0</w:t>
      </w:r>
      <w:r>
        <w:rPr>
          <w:rFonts w:hint="eastAsia" w:asciiTheme="minorEastAsia" w:hAnsiTheme="minorEastAsia" w:eastAsiaTheme="minorEastAsia" w:cstheme="minorEastAsia"/>
          <w:color w:val="000000"/>
          <w:sz w:val="28"/>
          <w:szCs w:val="28"/>
        </w:rPr>
        <w:t>万元，占</w:t>
      </w:r>
      <w:r>
        <w:rPr>
          <w:rFonts w:hint="eastAsia" w:asciiTheme="minorEastAsia" w:hAnsiTheme="minorEastAsia" w:eastAsiaTheme="minorEastAsia" w:cstheme="minorEastAsia"/>
          <w:color w:val="000000"/>
          <w:sz w:val="28"/>
          <w:szCs w:val="28"/>
          <w:lang w:val="en-US" w:eastAsia="zh-CN"/>
        </w:rPr>
        <w:t>0</w:t>
      </w:r>
      <w:r>
        <w:rPr>
          <w:rFonts w:hint="eastAsia" w:asciiTheme="minorEastAsia" w:hAnsiTheme="minorEastAsia" w:eastAsiaTheme="minorEastAsia" w:cstheme="minorEastAsia"/>
          <w:color w:val="000000"/>
          <w:sz w:val="28"/>
          <w:szCs w:val="28"/>
        </w:rPr>
        <w:t>%；公务用车购置及运行维护费支出决算</w:t>
      </w:r>
      <w:r>
        <w:rPr>
          <w:rFonts w:hint="eastAsia" w:asciiTheme="minorEastAsia" w:hAnsiTheme="minorEastAsia" w:eastAsiaTheme="minorEastAsia" w:cstheme="minorEastAsia"/>
          <w:color w:val="000000"/>
          <w:sz w:val="28"/>
          <w:szCs w:val="28"/>
          <w:lang w:val="en-US" w:eastAsia="zh-CN"/>
        </w:rPr>
        <w:t>0</w:t>
      </w:r>
      <w:r>
        <w:rPr>
          <w:rFonts w:hint="eastAsia" w:asciiTheme="minorEastAsia" w:hAnsiTheme="minorEastAsia" w:eastAsiaTheme="minorEastAsia" w:cstheme="minorEastAsia"/>
          <w:color w:val="000000"/>
          <w:sz w:val="28"/>
          <w:szCs w:val="28"/>
        </w:rPr>
        <w:t>万元，占</w:t>
      </w:r>
      <w:r>
        <w:rPr>
          <w:rFonts w:hint="eastAsia" w:asciiTheme="minorEastAsia" w:hAnsiTheme="minorEastAsia" w:eastAsiaTheme="minorEastAsia" w:cstheme="minorEastAsia"/>
          <w:color w:val="000000"/>
          <w:sz w:val="28"/>
          <w:szCs w:val="28"/>
          <w:lang w:val="en-US" w:eastAsia="zh-CN"/>
        </w:rPr>
        <w:t>0</w:t>
      </w:r>
      <w:r>
        <w:rPr>
          <w:rFonts w:hint="eastAsia" w:asciiTheme="minorEastAsia" w:hAnsiTheme="minorEastAsia" w:eastAsiaTheme="minorEastAsia" w:cstheme="minorEastAsia"/>
          <w:color w:val="000000"/>
          <w:sz w:val="28"/>
          <w:szCs w:val="28"/>
        </w:rPr>
        <w:t>%；公务接待费支出决算</w:t>
      </w:r>
      <w:r>
        <w:rPr>
          <w:rFonts w:hint="eastAsia" w:asciiTheme="minorEastAsia" w:hAnsiTheme="minorEastAsia" w:eastAsiaTheme="minorEastAsia" w:cstheme="minorEastAsia"/>
          <w:color w:val="000000"/>
          <w:sz w:val="28"/>
          <w:szCs w:val="28"/>
          <w:lang w:val="en-US" w:eastAsia="zh-CN"/>
        </w:rPr>
        <w:t>0.4</w:t>
      </w:r>
      <w:r>
        <w:rPr>
          <w:rFonts w:hint="eastAsia" w:asciiTheme="minorEastAsia" w:hAnsiTheme="minorEastAsia" w:eastAsiaTheme="minorEastAsia" w:cstheme="minorEastAsia"/>
          <w:color w:val="000000"/>
          <w:sz w:val="28"/>
          <w:szCs w:val="28"/>
        </w:rPr>
        <w:t>万元</w:t>
      </w:r>
      <w:r>
        <w:rPr>
          <w:rFonts w:hint="eastAsia" w:asciiTheme="minorEastAsia" w:hAnsiTheme="minorEastAsia" w:eastAsiaTheme="minorEastAsia" w:cstheme="minorEastAsia"/>
          <w:color w:val="000000"/>
          <w:sz w:val="28"/>
          <w:szCs w:val="28"/>
          <w:lang w:eastAsia="zh-CN"/>
        </w:rPr>
        <w:t>，</w:t>
      </w:r>
      <w:r>
        <w:rPr>
          <w:rFonts w:hint="eastAsia" w:asciiTheme="minorEastAsia" w:hAnsiTheme="minorEastAsia" w:eastAsiaTheme="minorEastAsia" w:cstheme="minorEastAsia"/>
          <w:color w:val="000000"/>
          <w:sz w:val="28"/>
          <w:szCs w:val="28"/>
        </w:rPr>
        <w:t>具体情况如下：</w:t>
      </w:r>
      <w:bookmarkEnd w:id="64"/>
    </w:p>
    <w:p>
      <w:pPr>
        <w:spacing w:line="600" w:lineRule="exact"/>
        <w:outlineLvl w:val="2"/>
        <w:rPr>
          <w:rFonts w:hint="eastAsia" w:asciiTheme="minorEastAsia" w:hAnsiTheme="minorEastAsia" w:eastAsiaTheme="minorEastAsia" w:cstheme="minorEastAsia"/>
          <w:color w:val="000000"/>
          <w:sz w:val="32"/>
          <w:szCs w:val="32"/>
          <w:lang w:eastAsia="zh-CN"/>
        </w:rPr>
      </w:pPr>
      <w:r>
        <w:rPr>
          <w:rFonts w:hint="eastAsia" w:asciiTheme="minorEastAsia" w:hAnsiTheme="minorEastAsia" w:eastAsiaTheme="minorEastAsia" w:cstheme="minorEastAsia"/>
          <w:color w:val="000000"/>
          <w:sz w:val="32"/>
          <w:szCs w:val="32"/>
          <w:lang w:eastAsia="zh-CN"/>
        </w:rPr>
        <w:drawing>
          <wp:anchor distT="0" distB="0" distL="114300" distR="114300" simplePos="0" relativeHeight="251660288" behindDoc="0" locked="0" layoutInCell="1" allowOverlap="1">
            <wp:simplePos x="0" y="0"/>
            <wp:positionH relativeFrom="column">
              <wp:posOffset>412750</wp:posOffset>
            </wp:positionH>
            <wp:positionV relativeFrom="paragraph">
              <wp:posOffset>319405</wp:posOffset>
            </wp:positionV>
            <wp:extent cx="4434840" cy="2815590"/>
            <wp:effectExtent l="4445" t="5080" r="18415" b="17780"/>
            <wp:wrapSquare wrapText="bothSides"/>
            <wp:docPr id="139" name="_x0000_s15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spacing w:line="600" w:lineRule="exact"/>
        <w:ind w:firstLine="643"/>
        <w:outlineLvl w:val="2"/>
        <w:rPr>
          <w:rFonts w:hint="eastAsia" w:asciiTheme="minorEastAsia" w:hAnsiTheme="minorEastAsia" w:eastAsiaTheme="minorEastAsia" w:cstheme="minorEastAsia"/>
          <w:color w:val="000000"/>
          <w:sz w:val="32"/>
          <w:szCs w:val="32"/>
          <w:lang w:eastAsia="zh-CN"/>
        </w:rPr>
      </w:pPr>
    </w:p>
    <w:p>
      <w:pPr>
        <w:spacing w:line="600" w:lineRule="exact"/>
        <w:ind w:firstLine="643"/>
        <w:outlineLvl w:val="2"/>
        <w:rPr>
          <w:rFonts w:hint="eastAsia" w:asciiTheme="minorEastAsia" w:hAnsiTheme="minorEastAsia" w:eastAsiaTheme="minorEastAsia" w:cstheme="minorEastAsia"/>
          <w:color w:val="000000"/>
          <w:sz w:val="32"/>
          <w:szCs w:val="32"/>
        </w:rPr>
      </w:pPr>
    </w:p>
    <w:p>
      <w:pPr>
        <w:spacing w:line="600" w:lineRule="exact"/>
        <w:ind w:firstLine="643"/>
        <w:outlineLvl w:val="2"/>
        <w:rPr>
          <w:rFonts w:hint="eastAsia" w:asciiTheme="minorEastAsia" w:hAnsiTheme="minorEastAsia" w:eastAsiaTheme="minorEastAsia" w:cstheme="minorEastAsia"/>
          <w:color w:val="000000"/>
          <w:sz w:val="32"/>
          <w:szCs w:val="32"/>
        </w:rPr>
      </w:pPr>
    </w:p>
    <w:p>
      <w:pPr>
        <w:spacing w:line="600" w:lineRule="exact"/>
        <w:rPr>
          <w:rFonts w:hint="eastAsia" w:asciiTheme="minorEastAsia" w:hAnsiTheme="minorEastAsia" w:eastAsiaTheme="minorEastAsia" w:cstheme="minorEastAsia"/>
          <w:b/>
          <w:color w:val="000000"/>
          <w:sz w:val="32"/>
          <w:szCs w:val="32"/>
          <w:lang w:eastAsia="zh-CN"/>
        </w:rPr>
      </w:pPr>
      <w:r>
        <w:rPr>
          <w:rFonts w:hint="eastAsia" w:asciiTheme="minorEastAsia" w:hAnsiTheme="minorEastAsia" w:eastAsiaTheme="minorEastAsia" w:cstheme="minorEastAsia"/>
          <w:b/>
          <w:color w:val="000000"/>
          <w:sz w:val="32"/>
          <w:szCs w:val="32"/>
          <w:lang w:eastAsia="zh-CN"/>
        </w:rPr>
        <w:t>　　</w:t>
      </w:r>
    </w:p>
    <w:p>
      <w:pPr>
        <w:spacing w:line="600" w:lineRule="exact"/>
        <w:rPr>
          <w:rFonts w:hint="eastAsia" w:asciiTheme="minorEastAsia" w:hAnsiTheme="minorEastAsia" w:eastAsiaTheme="minorEastAsia" w:cstheme="minorEastAsia"/>
          <w:b/>
          <w:color w:val="000000"/>
          <w:sz w:val="32"/>
          <w:szCs w:val="32"/>
          <w:lang w:eastAsia="zh-CN"/>
        </w:rPr>
      </w:pPr>
    </w:p>
    <w:p>
      <w:pPr>
        <w:spacing w:line="600" w:lineRule="exact"/>
        <w:rPr>
          <w:rFonts w:hint="eastAsia" w:asciiTheme="minorEastAsia" w:hAnsiTheme="minorEastAsia" w:eastAsiaTheme="minorEastAsia" w:cstheme="minorEastAsia"/>
          <w:b/>
          <w:color w:val="000000"/>
          <w:sz w:val="32"/>
          <w:szCs w:val="32"/>
          <w:lang w:eastAsia="zh-CN"/>
        </w:rPr>
      </w:pPr>
    </w:p>
    <w:p>
      <w:pPr>
        <w:spacing w:line="600" w:lineRule="exact"/>
        <w:rPr>
          <w:rFonts w:hint="eastAsia" w:asciiTheme="minorEastAsia" w:hAnsiTheme="minorEastAsia" w:eastAsiaTheme="minorEastAsia" w:cstheme="minorEastAsia"/>
          <w:b/>
          <w:color w:val="000000"/>
          <w:sz w:val="32"/>
          <w:szCs w:val="32"/>
        </w:rPr>
      </w:pPr>
    </w:p>
    <w:p>
      <w:pPr>
        <w:spacing w:line="600" w:lineRule="exact"/>
        <w:rPr>
          <w:rFonts w:hint="eastAsia" w:asciiTheme="minorEastAsia" w:hAnsiTheme="minorEastAsia" w:eastAsiaTheme="minorEastAsia" w:cstheme="minorEastAsia"/>
          <w:b/>
          <w:color w:val="000000"/>
          <w:sz w:val="32"/>
          <w:szCs w:val="32"/>
        </w:rPr>
      </w:pPr>
    </w:p>
    <w:p>
      <w:pPr>
        <w:spacing w:line="600" w:lineRule="exact"/>
        <w:ind w:firstLine="562" w:firstLineChars="200"/>
        <w:rPr>
          <w:rFonts w:hint="eastAsia" w:asciiTheme="minorEastAsia" w:hAnsiTheme="minorEastAsia" w:eastAsiaTheme="minorEastAsia" w:cstheme="minorEastAsia"/>
          <w:b w:val="0"/>
          <w:bCs w:val="0"/>
          <w:sz w:val="28"/>
          <w:szCs w:val="28"/>
          <w:lang w:eastAsia="zh-CN"/>
        </w:rPr>
      </w:pPr>
      <w:r>
        <w:rPr>
          <w:rFonts w:hint="eastAsia" w:asciiTheme="minorEastAsia" w:hAnsiTheme="minorEastAsia" w:eastAsiaTheme="minorEastAsia" w:cstheme="minorEastAsia"/>
          <w:b/>
          <w:color w:val="000000"/>
          <w:sz w:val="28"/>
          <w:szCs w:val="28"/>
        </w:rPr>
        <w:t>公务接待费支出</w:t>
      </w:r>
      <w:r>
        <w:rPr>
          <w:rFonts w:hint="eastAsia" w:asciiTheme="minorEastAsia" w:hAnsiTheme="minorEastAsia" w:eastAsiaTheme="minorEastAsia" w:cstheme="minorEastAsia"/>
          <w:color w:val="000000"/>
          <w:sz w:val="28"/>
          <w:szCs w:val="28"/>
          <w:lang w:val="en-US" w:eastAsia="zh-CN"/>
        </w:rPr>
        <w:t>0.4</w:t>
      </w:r>
      <w:r>
        <w:rPr>
          <w:rFonts w:hint="eastAsia" w:asciiTheme="minorEastAsia" w:hAnsiTheme="minorEastAsia" w:eastAsiaTheme="minorEastAsia" w:cstheme="minorEastAsia"/>
          <w:color w:val="000000"/>
          <w:sz w:val="28"/>
          <w:szCs w:val="28"/>
        </w:rPr>
        <w:t>万元，</w:t>
      </w:r>
      <w:r>
        <w:rPr>
          <w:rStyle w:val="16"/>
          <w:rFonts w:hint="eastAsia" w:asciiTheme="minorEastAsia" w:hAnsiTheme="minorEastAsia" w:eastAsiaTheme="minorEastAsia" w:cstheme="minorEastAsia"/>
          <w:b w:val="0"/>
          <w:bCs/>
          <w:color w:val="000000"/>
          <w:sz w:val="28"/>
          <w:szCs w:val="28"/>
        </w:rPr>
        <w:t>完成预算</w:t>
      </w:r>
      <w:r>
        <w:rPr>
          <w:rStyle w:val="16"/>
          <w:rFonts w:hint="eastAsia" w:asciiTheme="minorEastAsia" w:hAnsiTheme="minorEastAsia" w:eastAsiaTheme="minorEastAsia" w:cstheme="minorEastAsia"/>
          <w:b w:val="0"/>
          <w:bCs/>
          <w:color w:val="000000"/>
          <w:sz w:val="28"/>
          <w:szCs w:val="28"/>
          <w:lang w:val="en-US" w:eastAsia="zh-CN"/>
        </w:rPr>
        <w:t>100</w:t>
      </w:r>
      <w:r>
        <w:rPr>
          <w:rStyle w:val="16"/>
          <w:rFonts w:hint="eastAsia" w:asciiTheme="minorEastAsia" w:hAnsiTheme="minorEastAsia" w:eastAsiaTheme="minorEastAsia" w:cstheme="minorEastAsia"/>
          <w:b w:val="0"/>
          <w:bCs/>
          <w:color w:val="000000"/>
          <w:sz w:val="28"/>
          <w:szCs w:val="28"/>
        </w:rPr>
        <w:t>%。</w:t>
      </w:r>
      <w:r>
        <w:rPr>
          <w:rFonts w:hint="eastAsia" w:asciiTheme="minorEastAsia" w:hAnsiTheme="minorEastAsia" w:eastAsiaTheme="minorEastAsia" w:cstheme="minorEastAsia"/>
          <w:color w:val="000000"/>
          <w:sz w:val="28"/>
          <w:szCs w:val="28"/>
          <w:lang w:eastAsia="zh-CN"/>
        </w:rPr>
        <w:t>严格控制公务接待，其中：国内公务接待支</w:t>
      </w:r>
      <w:r>
        <w:rPr>
          <w:rFonts w:hint="eastAsia" w:asciiTheme="minorEastAsia" w:hAnsiTheme="minorEastAsia" w:eastAsiaTheme="minorEastAsia" w:cstheme="minorEastAsia"/>
          <w:color w:val="000000"/>
          <w:sz w:val="28"/>
          <w:szCs w:val="28"/>
          <w:lang w:val="en-US" w:eastAsia="zh-CN"/>
        </w:rPr>
        <w:t>0.4万元，主要用于执行公务、开展业务活动开支、用餐费等。国内公务接待35次，136人次（不包括陪同人员），共计支出0.4万元，具体内容包括：相关部门检查指导工作发生的接待支出。其中国内接待0.4万元。</w:t>
      </w:r>
    </w:p>
    <w:p>
      <w:pPr>
        <w:numPr>
          <w:ilvl w:val="0"/>
          <w:numId w:val="0"/>
        </w:numPr>
        <w:tabs>
          <w:tab w:val="left" w:pos="1003"/>
        </w:tabs>
        <w:spacing w:line="580" w:lineRule="exact"/>
        <w:outlineLvl w:val="1"/>
        <w:rPr>
          <w:rFonts w:hint="eastAsia" w:asciiTheme="minorEastAsia" w:hAnsiTheme="minorEastAsia" w:eastAsiaTheme="minorEastAsia" w:cstheme="minorEastAsia"/>
          <w:b/>
          <w:bCs/>
          <w:sz w:val="32"/>
          <w:szCs w:val="32"/>
          <w:lang w:eastAsia="zh-CN"/>
        </w:rPr>
      </w:pPr>
      <w:r>
        <w:rPr>
          <w:rFonts w:hint="eastAsia" w:asciiTheme="minorEastAsia" w:hAnsiTheme="minorEastAsia" w:eastAsiaTheme="minorEastAsia" w:cstheme="minorEastAsia"/>
          <w:b/>
          <w:bCs/>
          <w:sz w:val="32"/>
          <w:szCs w:val="32"/>
          <w:lang w:eastAsia="zh-CN"/>
        </w:rPr>
        <w:t>　　</w:t>
      </w:r>
      <w:bookmarkStart w:id="65" w:name="_Toc32347"/>
      <w:r>
        <w:rPr>
          <w:rFonts w:hint="eastAsia" w:asciiTheme="minorEastAsia" w:hAnsiTheme="minorEastAsia" w:eastAsiaTheme="minorEastAsia" w:cstheme="minorEastAsia"/>
          <w:b/>
          <w:bCs/>
          <w:sz w:val="32"/>
          <w:szCs w:val="32"/>
          <w:lang w:eastAsia="zh-CN"/>
        </w:rPr>
        <w:t>八、政府性基金预算支出情况说明</w:t>
      </w:r>
      <w:bookmarkEnd w:id="65"/>
    </w:p>
    <w:p>
      <w:pPr>
        <w:numPr>
          <w:ilvl w:val="0"/>
          <w:numId w:val="0"/>
        </w:numPr>
        <w:tabs>
          <w:tab w:val="left" w:pos="1003"/>
        </w:tabs>
        <w:spacing w:line="580" w:lineRule="exact"/>
        <w:rPr>
          <w:rFonts w:hint="eastAsia" w:asciiTheme="minorEastAsia" w:hAnsiTheme="minorEastAsia" w:eastAsiaTheme="minorEastAsia" w:cstheme="minorEastAsia"/>
          <w:b w:val="0"/>
          <w:bCs w:val="0"/>
          <w:sz w:val="32"/>
          <w:szCs w:val="32"/>
          <w:lang w:eastAsia="zh-CN"/>
        </w:rPr>
      </w:pPr>
      <w:r>
        <w:rPr>
          <w:rFonts w:hint="eastAsia" w:asciiTheme="minorEastAsia" w:hAnsiTheme="minorEastAsia" w:eastAsiaTheme="minorEastAsia" w:cstheme="minorEastAsia"/>
          <w:b w:val="0"/>
          <w:bCs w:val="0"/>
          <w:sz w:val="32"/>
          <w:szCs w:val="32"/>
          <w:lang w:eastAsia="zh-CN"/>
        </w:rPr>
        <w:t>　　</w:t>
      </w:r>
      <w:r>
        <w:rPr>
          <w:rFonts w:hint="eastAsia" w:asciiTheme="minorEastAsia" w:hAnsiTheme="minorEastAsia" w:eastAsiaTheme="minorEastAsia" w:cstheme="minorEastAsia"/>
          <w:b w:val="0"/>
          <w:bCs w:val="0"/>
          <w:sz w:val="28"/>
          <w:szCs w:val="28"/>
          <w:lang w:eastAsia="zh-CN"/>
        </w:rPr>
        <w:t>政府性基金预算支出情况说明，</w:t>
      </w:r>
      <w:r>
        <w:rPr>
          <w:rFonts w:hint="eastAsia" w:asciiTheme="minorEastAsia" w:hAnsiTheme="minorEastAsia" w:eastAsiaTheme="minorEastAsia" w:cstheme="minorEastAsia"/>
          <w:b w:val="0"/>
          <w:bCs w:val="0"/>
          <w:sz w:val="28"/>
          <w:szCs w:val="28"/>
          <w:lang w:val="en-US" w:eastAsia="zh-CN"/>
        </w:rPr>
        <w:t>2020年政府性基金预算支出为0万元。</w:t>
      </w:r>
    </w:p>
    <w:p>
      <w:pPr>
        <w:numPr>
          <w:ilvl w:val="0"/>
          <w:numId w:val="0"/>
        </w:numPr>
        <w:tabs>
          <w:tab w:val="left" w:pos="1003"/>
        </w:tabs>
        <w:spacing w:line="580" w:lineRule="exact"/>
        <w:outlineLvl w:val="1"/>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　　</w:t>
      </w:r>
      <w:bookmarkStart w:id="66" w:name="_Toc17504"/>
      <w:r>
        <w:rPr>
          <w:rFonts w:hint="eastAsia" w:asciiTheme="minorEastAsia" w:hAnsiTheme="minorEastAsia" w:eastAsiaTheme="minorEastAsia" w:cstheme="minorEastAsia"/>
          <w:b/>
          <w:bCs/>
          <w:sz w:val="32"/>
          <w:szCs w:val="32"/>
          <w:lang w:val="en-US" w:eastAsia="zh-CN"/>
        </w:rPr>
        <w:t>九、国有资产经营预算支出情况说明</w:t>
      </w:r>
      <w:bookmarkEnd w:id="66"/>
    </w:p>
    <w:p>
      <w:pPr>
        <w:numPr>
          <w:ilvl w:val="0"/>
          <w:numId w:val="0"/>
        </w:numPr>
        <w:tabs>
          <w:tab w:val="left" w:pos="1003"/>
        </w:tabs>
        <w:spacing w:line="580" w:lineRule="exact"/>
        <w:ind w:firstLine="560" w:firstLineChars="200"/>
        <w:rPr>
          <w:rFonts w:hint="eastAsia" w:asciiTheme="minorEastAsia" w:hAnsiTheme="minorEastAsia" w:eastAsiaTheme="minorEastAsia" w:cstheme="minorEastAsia"/>
          <w:b w:val="0"/>
          <w:bCs w:val="0"/>
          <w:sz w:val="28"/>
          <w:szCs w:val="28"/>
          <w:lang w:eastAsia="zh-CN"/>
        </w:rPr>
      </w:pPr>
      <w:r>
        <w:rPr>
          <w:rFonts w:hint="eastAsia" w:asciiTheme="minorEastAsia" w:hAnsiTheme="minorEastAsia" w:eastAsiaTheme="minorEastAsia" w:cstheme="minorEastAsia"/>
          <w:b w:val="0"/>
          <w:bCs w:val="0"/>
          <w:sz w:val="28"/>
          <w:szCs w:val="28"/>
          <w:lang w:val="en-US" w:eastAsia="zh-CN"/>
        </w:rPr>
        <w:t>国有资产经营预算支出情况说明，2020年国有资产经营预算支出为0万元。</w:t>
      </w:r>
    </w:p>
    <w:p>
      <w:pPr>
        <w:numPr>
          <w:ilvl w:val="0"/>
          <w:numId w:val="0"/>
        </w:numPr>
        <w:tabs>
          <w:tab w:val="left" w:pos="1003"/>
        </w:tabs>
        <w:spacing w:line="580" w:lineRule="exact"/>
        <w:outlineLvl w:val="1"/>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　　</w:t>
      </w:r>
      <w:bookmarkStart w:id="67" w:name="_Toc29360"/>
      <w:r>
        <w:rPr>
          <w:rFonts w:hint="eastAsia" w:asciiTheme="minorEastAsia" w:hAnsiTheme="minorEastAsia" w:eastAsiaTheme="minorEastAsia" w:cstheme="minorEastAsia"/>
          <w:b/>
          <w:bCs/>
          <w:sz w:val="32"/>
          <w:szCs w:val="32"/>
          <w:lang w:val="en-US" w:eastAsia="zh-CN"/>
        </w:rPr>
        <w:t>十、预算绩效情况说明</w:t>
      </w:r>
      <w:bookmarkEnd w:id="67"/>
    </w:p>
    <w:p>
      <w:pPr>
        <w:tabs>
          <w:tab w:val="left" w:pos="1081"/>
        </w:tabs>
        <w:spacing w:line="580" w:lineRule="exact"/>
        <w:outlineLvl w:val="2"/>
        <w:rPr>
          <w:rFonts w:hint="eastAsia" w:asciiTheme="minorEastAsia" w:hAnsiTheme="minorEastAsia" w:eastAsiaTheme="minorEastAsia" w:cstheme="minorEastAsia"/>
          <w:b/>
          <w:bCs/>
          <w:sz w:val="32"/>
          <w:szCs w:val="32"/>
          <w:lang w:eastAsia="zh-CN"/>
        </w:rPr>
      </w:pPr>
      <w:r>
        <w:rPr>
          <w:rFonts w:hint="eastAsia" w:asciiTheme="minorEastAsia" w:hAnsiTheme="minorEastAsia" w:eastAsiaTheme="minorEastAsia" w:cstheme="minorEastAsia"/>
          <w:b/>
          <w:bCs/>
          <w:sz w:val="32"/>
          <w:szCs w:val="32"/>
          <w:lang w:eastAsia="zh-CN"/>
        </w:rPr>
        <w:t>　　</w:t>
      </w:r>
      <w:bookmarkStart w:id="68" w:name="_Toc21586"/>
      <w:r>
        <w:rPr>
          <w:rFonts w:hint="eastAsia" w:asciiTheme="minorEastAsia" w:hAnsiTheme="minorEastAsia" w:eastAsiaTheme="minorEastAsia" w:cstheme="minorEastAsia"/>
          <w:b/>
          <w:bCs/>
          <w:sz w:val="32"/>
          <w:szCs w:val="32"/>
          <w:lang w:eastAsia="zh-CN"/>
        </w:rPr>
        <w:t>（一）机关运行经费支出情况</w:t>
      </w:r>
      <w:bookmarkEnd w:id="68"/>
    </w:p>
    <w:p>
      <w:pPr>
        <w:tabs>
          <w:tab w:val="left" w:pos="1003"/>
        </w:tabs>
        <w:spacing w:line="580" w:lineRule="exact"/>
        <w:ind w:firstLine="560" w:firstLineChars="200"/>
        <w:outlineLvl w:val="2"/>
        <w:rPr>
          <w:rFonts w:hint="eastAsia" w:asciiTheme="minorEastAsia" w:hAnsiTheme="minorEastAsia" w:eastAsiaTheme="minorEastAsia" w:cstheme="minorEastAsia"/>
          <w:b/>
          <w:bCs/>
          <w:sz w:val="32"/>
          <w:szCs w:val="32"/>
          <w:lang w:eastAsia="zh-CN"/>
        </w:rPr>
      </w:pPr>
      <w:r>
        <w:rPr>
          <w:rFonts w:hint="eastAsia" w:asciiTheme="minorEastAsia" w:hAnsiTheme="minorEastAsia" w:eastAsiaTheme="minorEastAsia" w:cstheme="minorEastAsia"/>
          <w:b w:val="0"/>
          <w:bCs w:val="0"/>
          <w:sz w:val="28"/>
          <w:szCs w:val="28"/>
          <w:lang w:val="en-US" w:eastAsia="zh-CN"/>
        </w:rPr>
        <w:t>无</w:t>
      </w:r>
      <w:r>
        <w:rPr>
          <w:rFonts w:hint="eastAsia" w:asciiTheme="minorEastAsia" w:hAnsiTheme="minorEastAsia" w:eastAsiaTheme="minorEastAsia" w:cstheme="minorEastAsia"/>
          <w:b/>
          <w:bCs/>
          <w:sz w:val="32"/>
          <w:szCs w:val="32"/>
          <w:lang w:eastAsia="zh-CN"/>
        </w:rPr>
        <w:t>　　</w:t>
      </w:r>
      <w:bookmarkStart w:id="69" w:name="_Toc24745"/>
    </w:p>
    <w:p>
      <w:pPr>
        <w:tabs>
          <w:tab w:val="left" w:pos="1003"/>
        </w:tabs>
        <w:spacing w:line="580" w:lineRule="exact"/>
        <w:ind w:firstLine="643" w:firstLineChars="200"/>
        <w:outlineLvl w:val="2"/>
        <w:rPr>
          <w:rFonts w:hint="eastAsia" w:asciiTheme="minorEastAsia" w:hAnsiTheme="minorEastAsia" w:eastAsiaTheme="minorEastAsia" w:cstheme="minorEastAsia"/>
          <w:b/>
          <w:bCs/>
          <w:sz w:val="32"/>
          <w:szCs w:val="32"/>
          <w:lang w:eastAsia="zh-CN"/>
        </w:rPr>
      </w:pPr>
      <w:r>
        <w:rPr>
          <w:rFonts w:hint="eastAsia" w:asciiTheme="minorEastAsia" w:hAnsiTheme="minorEastAsia" w:eastAsiaTheme="minorEastAsia" w:cstheme="minorEastAsia"/>
          <w:b/>
          <w:bCs/>
          <w:sz w:val="32"/>
          <w:szCs w:val="32"/>
          <w:lang w:eastAsia="zh-CN"/>
        </w:rPr>
        <w:t>（二）政府采购支出情况</w:t>
      </w:r>
      <w:bookmarkEnd w:id="69"/>
    </w:p>
    <w:p>
      <w:pPr>
        <w:tabs>
          <w:tab w:val="left" w:pos="892"/>
        </w:tabs>
        <w:spacing w:line="580" w:lineRule="exact"/>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32"/>
          <w:szCs w:val="32"/>
          <w:lang w:eastAsia="zh-CN"/>
        </w:rPr>
        <w:tab/>
      </w:r>
      <w:r>
        <w:rPr>
          <w:rFonts w:hint="eastAsia" w:asciiTheme="minorEastAsia" w:hAnsiTheme="minorEastAsia" w:eastAsiaTheme="minorEastAsia" w:cstheme="minorEastAsia"/>
          <w:b w:val="0"/>
          <w:bCs w:val="0"/>
          <w:sz w:val="28"/>
          <w:szCs w:val="28"/>
          <w:lang w:eastAsia="zh-CN"/>
        </w:rPr>
        <w:t>2020年，</w:t>
      </w:r>
      <w:r>
        <w:rPr>
          <w:rFonts w:hint="eastAsia" w:asciiTheme="minorEastAsia" w:hAnsiTheme="minorEastAsia" w:eastAsiaTheme="minorEastAsia" w:cstheme="minorEastAsia"/>
          <w:b w:val="0"/>
          <w:bCs w:val="0"/>
          <w:sz w:val="28"/>
          <w:szCs w:val="28"/>
          <w:lang w:val="en-US" w:eastAsia="zh-CN"/>
        </w:rPr>
        <w:t>我单位</w:t>
      </w:r>
      <w:r>
        <w:rPr>
          <w:rFonts w:hint="eastAsia" w:asciiTheme="minorEastAsia" w:hAnsiTheme="minorEastAsia" w:eastAsiaTheme="minorEastAsia" w:cstheme="minorEastAsia"/>
          <w:b w:val="0"/>
          <w:bCs w:val="0"/>
          <w:sz w:val="28"/>
          <w:szCs w:val="28"/>
          <w:lang w:eastAsia="zh-CN"/>
        </w:rPr>
        <w:t>采购总额</w:t>
      </w:r>
      <w:r>
        <w:rPr>
          <w:rFonts w:hint="eastAsia" w:asciiTheme="minorEastAsia" w:hAnsiTheme="minorEastAsia" w:eastAsiaTheme="minorEastAsia" w:cstheme="minorEastAsia"/>
          <w:b w:val="0"/>
          <w:bCs w:val="0"/>
          <w:sz w:val="28"/>
          <w:szCs w:val="28"/>
          <w:lang w:val="en-US" w:eastAsia="zh-CN"/>
        </w:rPr>
        <w:t>0</w:t>
      </w:r>
      <w:r>
        <w:rPr>
          <w:rFonts w:hint="eastAsia" w:asciiTheme="minorEastAsia" w:hAnsiTheme="minorEastAsia" w:eastAsiaTheme="minorEastAsia" w:cstheme="minorEastAsia"/>
          <w:b w:val="0"/>
          <w:bCs w:val="0"/>
          <w:sz w:val="28"/>
          <w:szCs w:val="28"/>
          <w:lang w:eastAsia="zh-CN"/>
        </w:rPr>
        <w:t>万元，其中，政府采购货物</w:t>
      </w:r>
      <w:r>
        <w:rPr>
          <w:rFonts w:hint="eastAsia" w:asciiTheme="minorEastAsia" w:hAnsiTheme="minorEastAsia" w:eastAsiaTheme="minorEastAsia" w:cstheme="minorEastAsia"/>
          <w:b w:val="0"/>
          <w:bCs w:val="0"/>
          <w:sz w:val="28"/>
          <w:szCs w:val="28"/>
          <w:lang w:val="en-US" w:eastAsia="zh-CN"/>
        </w:rPr>
        <w:t>0</w:t>
      </w:r>
      <w:r>
        <w:rPr>
          <w:rFonts w:hint="eastAsia" w:asciiTheme="minorEastAsia" w:hAnsiTheme="minorEastAsia" w:eastAsiaTheme="minorEastAsia" w:cstheme="minorEastAsia"/>
          <w:b w:val="0"/>
          <w:bCs w:val="0"/>
          <w:sz w:val="28"/>
          <w:szCs w:val="28"/>
          <w:lang w:eastAsia="zh-CN"/>
        </w:rPr>
        <w:t>万元。</w:t>
      </w:r>
    </w:p>
    <w:p>
      <w:pPr>
        <w:numPr>
          <w:ilvl w:val="0"/>
          <w:numId w:val="0"/>
        </w:numPr>
        <w:tabs>
          <w:tab w:val="left" w:pos="892"/>
        </w:tabs>
        <w:spacing w:line="580" w:lineRule="exact"/>
        <w:outlineLvl w:val="2"/>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　　</w:t>
      </w:r>
      <w:bookmarkStart w:id="70" w:name="_Toc798"/>
      <w:r>
        <w:rPr>
          <w:rFonts w:hint="eastAsia" w:asciiTheme="minorEastAsia" w:hAnsiTheme="minorEastAsia" w:eastAsiaTheme="minorEastAsia" w:cstheme="minorEastAsia"/>
          <w:b/>
          <w:bCs/>
          <w:sz w:val="32"/>
          <w:szCs w:val="32"/>
          <w:lang w:val="en-US" w:eastAsia="zh-CN"/>
        </w:rPr>
        <w:t>（三）国有资产占有使用情况</w:t>
      </w:r>
      <w:bookmarkEnd w:id="70"/>
    </w:p>
    <w:p>
      <w:pPr>
        <w:numPr>
          <w:ilvl w:val="0"/>
          <w:numId w:val="0"/>
        </w:numPr>
        <w:tabs>
          <w:tab w:val="left" w:pos="892"/>
        </w:tabs>
        <w:spacing w:line="580" w:lineRule="exact"/>
        <w:ind w:firstLine="654"/>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截至2020年12月31日，我单位有办公楼1幢，教学楼1幢，学生宿舍及综合楼2幢，教师周转房1幢，食堂1幢。全校无公务车辆。</w:t>
      </w:r>
    </w:p>
    <w:p>
      <w:pPr>
        <w:numPr>
          <w:ilvl w:val="0"/>
          <w:numId w:val="0"/>
        </w:numPr>
        <w:adjustRightInd w:val="0"/>
        <w:snapToGrid w:val="0"/>
        <w:spacing w:line="560" w:lineRule="exact"/>
        <w:ind w:firstLine="643" w:firstLineChars="200"/>
        <w:outlineLvl w:val="2"/>
        <w:rPr>
          <w:rFonts w:hint="eastAsia" w:asciiTheme="minorEastAsia" w:hAnsiTheme="minorEastAsia" w:eastAsiaTheme="minorEastAsia" w:cstheme="minorEastAsia"/>
          <w:b/>
          <w:bCs/>
          <w:color w:val="auto"/>
          <w:sz w:val="32"/>
          <w:szCs w:val="32"/>
        </w:rPr>
      </w:pPr>
      <w:bookmarkStart w:id="71" w:name="_Toc29635"/>
      <w:r>
        <w:rPr>
          <w:rFonts w:hint="eastAsia" w:asciiTheme="minorEastAsia" w:hAnsiTheme="minorEastAsia" w:eastAsiaTheme="minorEastAsia" w:cstheme="minorEastAsia"/>
          <w:b/>
          <w:bCs/>
          <w:color w:val="auto"/>
          <w:sz w:val="32"/>
          <w:szCs w:val="32"/>
          <w:lang w:eastAsia="zh-CN"/>
        </w:rPr>
        <w:t>（四）</w:t>
      </w:r>
      <w:r>
        <w:rPr>
          <w:rFonts w:hint="eastAsia" w:asciiTheme="minorEastAsia" w:hAnsiTheme="minorEastAsia" w:eastAsiaTheme="minorEastAsia" w:cstheme="minorEastAsia"/>
          <w:b/>
          <w:bCs/>
          <w:color w:val="auto"/>
          <w:sz w:val="32"/>
          <w:szCs w:val="32"/>
        </w:rPr>
        <w:t>项目绩效目标完成情况</w:t>
      </w:r>
      <w:bookmarkEnd w:id="71"/>
    </w:p>
    <w:p>
      <w:pPr>
        <w:numPr>
          <w:ilvl w:val="0"/>
          <w:numId w:val="0"/>
        </w:numPr>
        <w:tabs>
          <w:tab w:val="left" w:pos="892"/>
        </w:tabs>
        <w:spacing w:line="580" w:lineRule="exact"/>
        <w:ind w:firstLine="654"/>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 xml:space="preserve"> 本部门在2020年度部门决算中反映“营养改善计划</w:t>
      </w:r>
      <w:r>
        <w:rPr>
          <w:rFonts w:hint="eastAsia" w:asciiTheme="minorEastAsia" w:hAnsiTheme="minorEastAsia" w:eastAsiaTheme="minorEastAsia" w:cstheme="minorEastAsia"/>
          <w:b w:val="0"/>
          <w:bCs w:val="0"/>
          <w:sz w:val="28"/>
          <w:szCs w:val="28"/>
          <w:highlight w:val="none"/>
          <w:lang w:val="en-US" w:eastAsia="zh-CN"/>
        </w:rPr>
        <w:t>”</w:t>
      </w:r>
      <w:r>
        <w:rPr>
          <w:rFonts w:hint="eastAsia" w:asciiTheme="minorEastAsia" w:hAnsiTheme="minorEastAsia" w:eastAsiaTheme="minorEastAsia" w:cstheme="minorEastAsia"/>
          <w:b w:val="0"/>
          <w:bCs w:val="0"/>
          <w:sz w:val="28"/>
          <w:szCs w:val="28"/>
          <w:lang w:val="en-US" w:eastAsia="zh-CN"/>
        </w:rPr>
        <w:t>贫困寄宿学生生活补助“其他教育支出项目”“校舍维修改造项目”“学前教育免保教费及“三儿”资助资金”“驻村工作经费”等8个项目绩效目标实际完成情况。</w:t>
      </w:r>
    </w:p>
    <w:p>
      <w:pPr>
        <w:numPr>
          <w:ilvl w:val="0"/>
          <w:numId w:val="0"/>
        </w:numPr>
        <w:tabs>
          <w:tab w:val="left" w:pos="892"/>
        </w:tabs>
        <w:spacing w:line="580" w:lineRule="exact"/>
        <w:ind w:firstLine="654"/>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1）营养改善计划项目绩效目标完成情况综述。项目全年预算数67.90万元，执行数为67.90万元，完成预算的100%。通过项目实施，严肃财经纪律，保证资金安全及时兑现，确保学校正常免费供餐。加大宣传力度，提高政策知晓率、满意率。规范营养计划管理，确保食品安全，逐步提高学生健康水平，确保营养计划政策落实。</w:t>
      </w:r>
    </w:p>
    <w:p>
      <w:pPr>
        <w:numPr>
          <w:ilvl w:val="0"/>
          <w:numId w:val="0"/>
        </w:numPr>
        <w:tabs>
          <w:tab w:val="left" w:pos="892"/>
        </w:tabs>
        <w:spacing w:line="580" w:lineRule="exact"/>
        <w:ind w:firstLine="654"/>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2）学前教育免保教费及“三儿资助”项目绩效目标完成情况综述。项目全年预算数4.5万元，执行数为4.5万元，完成预算的100%。通过项目实施，严肃财经纪律，保证资金安全及时兑现，保障建档立卡学生全部免除“保育教育费”，对“三儿”进行补助。加大宣传力度，提高政策知晓率、满意率。提高贫困家庭经济收入，助力家庭脱贫。</w:t>
      </w:r>
    </w:p>
    <w:p>
      <w:pPr>
        <w:numPr>
          <w:ilvl w:val="0"/>
          <w:numId w:val="0"/>
        </w:numPr>
        <w:tabs>
          <w:tab w:val="left" w:pos="892"/>
        </w:tabs>
        <w:spacing w:line="580" w:lineRule="exact"/>
        <w:ind w:firstLine="654"/>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3）其他扶贫资金项目绩效目标完成情况综述。项目全年预算数1万元，执行数为1万元，完成预算的100%。通过项目实施，严肃财经纪律，资金及时兑现。宣传力度增强，提高了政策知晓率、满意率。派驻工作队员全心参与扶贫工作，提高了驻村工作人员责任感。</w:t>
      </w:r>
    </w:p>
    <w:p>
      <w:pPr>
        <w:numPr>
          <w:ilvl w:val="0"/>
          <w:numId w:val="0"/>
        </w:numPr>
        <w:tabs>
          <w:tab w:val="left" w:pos="892"/>
        </w:tabs>
        <w:spacing w:line="580" w:lineRule="exact"/>
        <w:ind w:firstLine="654"/>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4）2020年贫困寄宿生生活补助项目绩效目标完成情况综述。项目全年预算数7.3462万元，执行数为7.3462万元，完成预算的100%。通过项目实施，严肃财经纪律，保证资金安全及时兑现，保障建档立卡学生全部免除“保育教育费”，对“三儿”进行补助。加大宣传力度，提高政策知晓率、满意率。提高贫困家庭经济收入，助力家庭脱贫。</w:t>
      </w:r>
    </w:p>
    <w:p>
      <w:pPr>
        <w:numPr>
          <w:ilvl w:val="0"/>
          <w:numId w:val="0"/>
        </w:numPr>
        <w:tabs>
          <w:tab w:val="left" w:pos="892"/>
        </w:tabs>
        <w:spacing w:line="580" w:lineRule="exact"/>
        <w:ind w:firstLine="654"/>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5）2020年义务教育校舍维修项目绩效目标完成情况综述。项目全年预算数20万元，执行数为20万元，完成预算的100%。通过项目实施，严肃财经纪律，保证资金安全及时兑现。加大宣传力度，提高政策知晓率、满意率。规范基建管理，确保施工安全，提高工程建设质量。</w:t>
      </w:r>
    </w:p>
    <w:p>
      <w:pPr>
        <w:numPr>
          <w:ilvl w:val="0"/>
          <w:numId w:val="0"/>
        </w:numPr>
        <w:tabs>
          <w:tab w:val="left" w:pos="892"/>
        </w:tabs>
        <w:spacing w:line="580" w:lineRule="exact"/>
        <w:ind w:firstLine="654"/>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6）2020年度薄改项目绩效目标完成情况综述。项目全年预算数706万元，执行数为706万元，完成预算的100%。通过项目实施，严肃财经纪律，保证资金安全及时兑现。加大宣传力度，提高政策知晓率、满意率。规范基建管理，确保施工安全，提高工程建设质量。</w:t>
      </w:r>
    </w:p>
    <w:p>
      <w:pPr>
        <w:numPr>
          <w:ilvl w:val="0"/>
          <w:numId w:val="0"/>
        </w:numPr>
        <w:tabs>
          <w:tab w:val="left" w:pos="892"/>
        </w:tabs>
        <w:spacing w:line="580" w:lineRule="exact"/>
        <w:ind w:firstLine="654"/>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7）2020年度基础设施建设项目绩效目标完成情况综述。项目全年预算数826.36万元，执行数为826.36万元，完成预算的100%。通过项目实施，严肃财经纪律，保证资金安全及时兑现。加大宣传力度，提高政策知晓率、满意率。规范基建管理，确保施工安全，提高工程建设质量。</w:t>
      </w:r>
    </w:p>
    <w:p>
      <w:pPr>
        <w:numPr>
          <w:ilvl w:val="0"/>
          <w:numId w:val="0"/>
        </w:numPr>
        <w:tabs>
          <w:tab w:val="left" w:pos="892"/>
        </w:tabs>
        <w:spacing w:line="580" w:lineRule="exact"/>
        <w:ind w:firstLine="654"/>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8）2020年度公用经费项目绩效目标完成情况综述。项目全年预算数2万元，执行数为2万元，完成预算的100%。通过项目实施，提高了学生的学习成绩和教师的专业素养，产生较好的社会效益，提高了学生及家长的满意度。</w:t>
      </w:r>
    </w:p>
    <w:p>
      <w:pPr>
        <w:spacing w:line="580" w:lineRule="exact"/>
        <w:ind w:firstLine="560" w:firstLineChars="200"/>
        <w:rPr>
          <w:rFonts w:hint="eastAsia" w:asciiTheme="minorEastAsia" w:hAnsiTheme="minorEastAsia" w:eastAsiaTheme="minorEastAsia" w:cstheme="minorEastAsia"/>
          <w:spacing w:val="20"/>
          <w:sz w:val="28"/>
          <w:szCs w:val="28"/>
          <w:lang w:val="zh-CN"/>
        </w:rPr>
      </w:pPr>
      <w:r>
        <w:rPr>
          <w:rFonts w:hint="eastAsia" w:asciiTheme="minorEastAsia" w:hAnsiTheme="minorEastAsia" w:eastAsiaTheme="minorEastAsia" w:cstheme="minorEastAsia"/>
          <w:sz w:val="28"/>
          <w:szCs w:val="28"/>
          <w:lang w:eastAsia="zh-CN"/>
        </w:rPr>
        <w:t>　</w:t>
      </w:r>
    </w:p>
    <w:p>
      <w:pPr>
        <w:keepNext w:val="0"/>
        <w:keepLines w:val="0"/>
        <w:pageBreakBefore/>
        <w:widowControl w:val="0"/>
        <w:numPr>
          <w:ilvl w:val="0"/>
          <w:numId w:val="1"/>
        </w:numPr>
        <w:kinsoku/>
        <w:wordWrap/>
        <w:overflowPunct/>
        <w:topLinePunct w:val="0"/>
        <w:autoSpaceDE/>
        <w:autoSpaceDN/>
        <w:bidi w:val="0"/>
        <w:adjustRightInd/>
        <w:snapToGrid/>
        <w:spacing w:line="600" w:lineRule="exact"/>
        <w:ind w:firstLine="660" w:firstLineChars="150"/>
        <w:jc w:val="center"/>
        <w:textAlignment w:val="auto"/>
        <w:outlineLvl w:val="0"/>
        <w:rPr>
          <w:rStyle w:val="26"/>
          <w:rFonts w:hint="eastAsia" w:asciiTheme="minorEastAsia" w:hAnsiTheme="minorEastAsia" w:eastAsiaTheme="minorEastAsia" w:cstheme="minorEastAsia"/>
          <w:b w:val="0"/>
        </w:rPr>
      </w:pPr>
      <w:bookmarkStart w:id="72" w:name="_Toc20084"/>
      <w:r>
        <w:rPr>
          <w:rStyle w:val="26"/>
          <w:rFonts w:hint="eastAsia" w:asciiTheme="minorEastAsia" w:hAnsiTheme="minorEastAsia" w:eastAsiaTheme="minorEastAsia" w:cstheme="minorEastAsia"/>
          <w:b w:val="0"/>
        </w:rPr>
        <w:t>名词解释</w:t>
      </w:r>
      <w:bookmarkEnd w:id="72"/>
    </w:p>
    <w:p>
      <w:pPr>
        <w:spacing w:line="600" w:lineRule="exact"/>
        <w:jc w:val="left"/>
        <w:rPr>
          <w:rFonts w:hint="eastAsia" w:asciiTheme="minorEastAsia" w:hAnsiTheme="minorEastAsia" w:eastAsiaTheme="minorEastAsia" w:cstheme="minorEastAsia"/>
          <w:b/>
          <w:color w:val="000000"/>
          <w:sz w:val="44"/>
          <w:szCs w:val="44"/>
        </w:rPr>
      </w:pPr>
    </w:p>
    <w:p>
      <w:pPr>
        <w:pStyle w:val="24"/>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1.财政拨款收入：指单位从同级财政部门取得的财政预算资金。</w:t>
      </w:r>
    </w:p>
    <w:p>
      <w:pPr>
        <w:pStyle w:val="24"/>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2.事业收入：指事业单位开展专业业务活动及辅助活动取得的收入。如…（二级预算单位事业收入情况）等。</w:t>
      </w:r>
    </w:p>
    <w:p>
      <w:pPr>
        <w:pStyle w:val="24"/>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3.经营收入：指事业单位在专业业务活动及其辅助活动之外开展非独立核算经营活动取得的收入。如…（二级预算单位经营收入情况）等。</w:t>
      </w:r>
    </w:p>
    <w:p>
      <w:pPr>
        <w:pStyle w:val="24"/>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4.其他收入：指单位取得的除上述收入以外的各项收入。主要是…（收入类型）等。</w:t>
      </w:r>
    </w:p>
    <w:p>
      <w:pPr>
        <w:pStyle w:val="24"/>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w:t>
      </w:r>
    </w:p>
    <w:p>
      <w:pPr>
        <w:pStyle w:val="24"/>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6.年初结转和结余：指以前年度尚未完成、结转到本年按有关规定继续使用的资金。</w:t>
      </w:r>
    </w:p>
    <w:p>
      <w:pPr>
        <w:pStyle w:val="24"/>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7.结余分配：指事业单位按照事业单位会计制度的规定从非财政补助结余中分配的事业基金和职工福利基金等。</w:t>
      </w:r>
    </w:p>
    <w:p>
      <w:pPr>
        <w:pStyle w:val="24"/>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8、年末结转和结余：指单位按有关规定结转到下年或以后年度继续使用的资金。</w:t>
      </w:r>
    </w:p>
    <w:p>
      <w:pPr>
        <w:spacing w:line="600" w:lineRule="exact"/>
        <w:ind w:firstLine="64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9.基本支出：指为保障机构正常运转、完成日常工作任务而发生的人员支出和公用支出。</w:t>
      </w:r>
    </w:p>
    <w:p>
      <w:pPr>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lang w:val="en-US" w:eastAsia="zh-CN"/>
        </w:rPr>
        <w:t>10</w:t>
      </w:r>
      <w:r>
        <w:rPr>
          <w:rFonts w:hint="eastAsia" w:asciiTheme="minorEastAsia" w:hAnsiTheme="minorEastAsia" w:eastAsiaTheme="minorEastAsia" w:cstheme="minorEastAsia"/>
          <w:color w:val="000000"/>
          <w:sz w:val="28"/>
          <w:szCs w:val="28"/>
        </w:rPr>
        <w:t>.项目支出：指在基本支出之外为完成特定行政任务和事业发展目标所发生的支出。</w:t>
      </w:r>
    </w:p>
    <w:p>
      <w:pPr>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lang w:val="en-US" w:eastAsia="zh-CN"/>
        </w:rPr>
        <w:t>11</w:t>
      </w:r>
      <w:r>
        <w:rPr>
          <w:rFonts w:hint="eastAsia" w:asciiTheme="minorEastAsia" w:hAnsiTheme="minorEastAsia" w:eastAsiaTheme="minorEastAsia" w:cstheme="minorEastAsia"/>
          <w:color w:val="000000"/>
          <w:sz w:val="28"/>
          <w:szCs w:val="28"/>
        </w:rPr>
        <w:t>.经营支出：指事业单位在专业业务活动及其辅助活动之外开展非独立核算经营活动发生的支出。</w:t>
      </w:r>
    </w:p>
    <w:p>
      <w:pPr>
        <w:pStyle w:val="24"/>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12</w:t>
      </w:r>
      <w:r>
        <w:rPr>
          <w:rFonts w:hint="eastAsia" w:asciiTheme="minorEastAsia" w:hAnsiTheme="minorEastAsia" w:eastAsiaTheme="minorEastAsia" w:cstheme="minorEastAsia"/>
          <w:sz w:val="28"/>
          <w:szCs w:val="28"/>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4"/>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13</w:t>
      </w:r>
      <w:r>
        <w:rPr>
          <w:rFonts w:hint="eastAsia" w:asciiTheme="minorEastAsia" w:hAnsiTheme="minorEastAsia" w:eastAsiaTheme="minorEastAsia" w:cstheme="minorEastAsia"/>
          <w:sz w:val="28"/>
          <w:szCs w:val="28"/>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spacing w:line="600" w:lineRule="exact"/>
        <w:jc w:val="center"/>
        <w:outlineLvl w:val="0"/>
        <w:rPr>
          <w:rFonts w:hint="eastAsia" w:asciiTheme="minorEastAsia" w:hAnsiTheme="minorEastAsia" w:eastAsiaTheme="minorEastAsia" w:cstheme="minorEastAsia"/>
          <w:color w:val="000000"/>
          <w:sz w:val="28"/>
          <w:szCs w:val="28"/>
        </w:rPr>
      </w:pPr>
      <w:bookmarkStart w:id="73" w:name="_Toc15396614"/>
      <w:bookmarkStart w:id="74" w:name="_Toc15377226"/>
    </w:p>
    <w:p>
      <w:pPr>
        <w:spacing w:line="600" w:lineRule="exact"/>
        <w:jc w:val="center"/>
        <w:outlineLvl w:val="0"/>
        <w:rPr>
          <w:rFonts w:hint="eastAsia" w:asciiTheme="minorEastAsia" w:hAnsiTheme="minorEastAsia" w:eastAsiaTheme="minorEastAsia" w:cstheme="minorEastAsia"/>
          <w:color w:val="000000"/>
          <w:sz w:val="28"/>
          <w:szCs w:val="28"/>
        </w:rPr>
      </w:pPr>
    </w:p>
    <w:p>
      <w:pPr>
        <w:spacing w:line="600" w:lineRule="exact"/>
        <w:jc w:val="center"/>
        <w:outlineLvl w:val="0"/>
        <w:rPr>
          <w:rFonts w:hint="eastAsia" w:asciiTheme="minorEastAsia" w:hAnsiTheme="minorEastAsia" w:eastAsiaTheme="minorEastAsia" w:cstheme="minorEastAsia"/>
          <w:color w:val="000000"/>
          <w:sz w:val="28"/>
          <w:szCs w:val="28"/>
        </w:rPr>
      </w:pPr>
    </w:p>
    <w:p>
      <w:pPr>
        <w:spacing w:line="600" w:lineRule="exact"/>
        <w:jc w:val="center"/>
        <w:outlineLvl w:val="0"/>
        <w:rPr>
          <w:rFonts w:hint="eastAsia" w:asciiTheme="minorEastAsia" w:hAnsiTheme="minorEastAsia" w:eastAsiaTheme="minorEastAsia" w:cstheme="minorEastAsia"/>
          <w:color w:val="000000"/>
          <w:sz w:val="28"/>
          <w:szCs w:val="28"/>
        </w:rPr>
      </w:pPr>
    </w:p>
    <w:p>
      <w:pPr>
        <w:spacing w:line="600" w:lineRule="exact"/>
        <w:jc w:val="center"/>
        <w:outlineLvl w:val="0"/>
        <w:rPr>
          <w:rFonts w:hint="eastAsia" w:asciiTheme="minorEastAsia" w:hAnsiTheme="minorEastAsia" w:eastAsiaTheme="minorEastAsia" w:cstheme="minorEastAsia"/>
          <w:color w:val="000000"/>
          <w:sz w:val="28"/>
          <w:szCs w:val="28"/>
        </w:rPr>
      </w:pPr>
    </w:p>
    <w:p>
      <w:pPr>
        <w:spacing w:line="600" w:lineRule="exact"/>
        <w:jc w:val="center"/>
        <w:outlineLvl w:val="0"/>
        <w:rPr>
          <w:rFonts w:hint="eastAsia" w:asciiTheme="minorEastAsia" w:hAnsiTheme="minorEastAsia" w:eastAsiaTheme="minorEastAsia" w:cstheme="minorEastAsia"/>
          <w:color w:val="000000"/>
          <w:sz w:val="28"/>
          <w:szCs w:val="28"/>
        </w:rPr>
      </w:pPr>
    </w:p>
    <w:p>
      <w:pPr>
        <w:spacing w:line="600" w:lineRule="exact"/>
        <w:jc w:val="center"/>
        <w:outlineLvl w:val="0"/>
        <w:rPr>
          <w:rFonts w:hint="eastAsia" w:asciiTheme="minorEastAsia" w:hAnsiTheme="minorEastAsia" w:eastAsiaTheme="minorEastAsia" w:cstheme="minorEastAsia"/>
          <w:color w:val="000000"/>
          <w:sz w:val="28"/>
          <w:szCs w:val="28"/>
        </w:rPr>
      </w:pPr>
    </w:p>
    <w:p>
      <w:pPr>
        <w:spacing w:line="600" w:lineRule="exact"/>
        <w:jc w:val="center"/>
        <w:outlineLvl w:val="0"/>
        <w:rPr>
          <w:rFonts w:hint="eastAsia" w:asciiTheme="minorEastAsia" w:hAnsiTheme="minorEastAsia" w:eastAsiaTheme="minorEastAsia" w:cstheme="minorEastAsia"/>
          <w:color w:val="000000"/>
          <w:sz w:val="28"/>
          <w:szCs w:val="28"/>
        </w:rPr>
      </w:pPr>
    </w:p>
    <w:p>
      <w:pPr>
        <w:keepNext w:val="0"/>
        <w:keepLines w:val="0"/>
        <w:pageBreakBefore/>
        <w:widowControl w:val="0"/>
        <w:numPr>
          <w:ilvl w:val="0"/>
          <w:numId w:val="0"/>
        </w:numPr>
        <w:kinsoku/>
        <w:wordWrap/>
        <w:overflowPunct/>
        <w:topLinePunct w:val="0"/>
        <w:autoSpaceDE/>
        <w:autoSpaceDN/>
        <w:bidi w:val="0"/>
        <w:adjustRightInd/>
        <w:snapToGrid/>
        <w:spacing w:line="600" w:lineRule="exact"/>
        <w:ind w:leftChars="150" w:firstLine="2209" w:firstLineChars="500"/>
        <w:jc w:val="both"/>
        <w:textAlignment w:val="auto"/>
        <w:outlineLvl w:val="0"/>
        <w:rPr>
          <w:rStyle w:val="26"/>
          <w:rFonts w:hint="eastAsia" w:asciiTheme="minorEastAsia" w:hAnsiTheme="minorEastAsia" w:eastAsiaTheme="minorEastAsia" w:cstheme="minorEastAsia"/>
          <w:b/>
          <w:bCs w:val="0"/>
        </w:rPr>
      </w:pPr>
      <w:bookmarkStart w:id="75" w:name="_Toc23153"/>
      <w:r>
        <w:rPr>
          <w:rStyle w:val="26"/>
          <w:rFonts w:hint="eastAsia" w:asciiTheme="minorEastAsia" w:hAnsiTheme="minorEastAsia" w:eastAsiaTheme="minorEastAsia" w:cstheme="minorEastAsia"/>
          <w:b/>
          <w:bCs w:val="0"/>
          <w:lang w:val="en-US" w:eastAsia="zh-CN"/>
        </w:rPr>
        <w:t xml:space="preserve">第四部分  </w:t>
      </w:r>
      <w:r>
        <w:rPr>
          <w:rStyle w:val="26"/>
          <w:rFonts w:hint="eastAsia" w:asciiTheme="minorEastAsia" w:hAnsiTheme="minorEastAsia" w:eastAsiaTheme="minorEastAsia" w:cstheme="minorEastAsia"/>
          <w:b/>
          <w:bCs w:val="0"/>
        </w:rPr>
        <w:t>附件</w:t>
      </w:r>
      <w:bookmarkEnd w:id="73"/>
      <w:bookmarkEnd w:id="75"/>
    </w:p>
    <w:p>
      <w:pPr>
        <w:numPr>
          <w:ilvl w:val="0"/>
          <w:numId w:val="0"/>
        </w:numPr>
        <w:spacing w:line="600" w:lineRule="exact"/>
        <w:ind w:leftChars="150"/>
        <w:jc w:val="both"/>
        <w:outlineLvl w:val="0"/>
        <w:rPr>
          <w:rStyle w:val="26"/>
          <w:rFonts w:hint="eastAsia" w:asciiTheme="minorEastAsia" w:hAnsiTheme="minorEastAsia" w:eastAsiaTheme="minorEastAsia" w:cstheme="minorEastAsia"/>
          <w:b w:val="0"/>
        </w:rPr>
      </w:pPr>
    </w:p>
    <w:p>
      <w:pPr>
        <w:spacing w:line="600" w:lineRule="exact"/>
        <w:jc w:val="center"/>
        <w:rPr>
          <w:rFonts w:hint="eastAsia" w:ascii="方正小标宋简体" w:hAnsi="宋体" w:eastAsia="方正小标宋简体"/>
          <w:color w:val="000000"/>
          <w:kern w:val="0"/>
          <w:sz w:val="40"/>
          <w:szCs w:val="44"/>
          <w:lang w:eastAsia="zh-CN"/>
        </w:rPr>
      </w:pPr>
      <w:r>
        <w:rPr>
          <w:rFonts w:hint="eastAsia" w:ascii="方正小标宋简体" w:hAnsi="宋体" w:eastAsia="方正小标宋简体"/>
          <w:color w:val="000000"/>
          <w:kern w:val="0"/>
          <w:sz w:val="40"/>
          <w:szCs w:val="44"/>
          <w:lang w:eastAsia="zh-CN"/>
        </w:rPr>
        <w:t>通江县</w:t>
      </w:r>
      <w:r>
        <w:rPr>
          <w:rFonts w:hint="eastAsia" w:ascii="方正小标宋简体" w:hAnsi="宋体" w:eastAsia="方正小标宋简体"/>
          <w:color w:val="000000"/>
          <w:kern w:val="0"/>
          <w:sz w:val="40"/>
          <w:szCs w:val="44"/>
          <w:lang w:val="en-US" w:eastAsia="zh-CN"/>
        </w:rPr>
        <w:t>诺水河镇中心</w:t>
      </w:r>
      <w:r>
        <w:rPr>
          <w:rFonts w:hint="eastAsia" w:ascii="方正小标宋简体" w:hAnsi="宋体" w:eastAsia="方正小标宋简体"/>
          <w:color w:val="000000"/>
          <w:kern w:val="0"/>
          <w:sz w:val="40"/>
          <w:szCs w:val="44"/>
          <w:lang w:eastAsia="zh-CN"/>
        </w:rPr>
        <w:t>小学</w:t>
      </w:r>
    </w:p>
    <w:p>
      <w:pPr>
        <w:spacing w:line="600" w:lineRule="exact"/>
        <w:jc w:val="center"/>
        <w:rPr>
          <w:rFonts w:ascii="方正小标宋简体" w:hAnsi="宋体" w:eastAsia="方正小标宋简体"/>
          <w:color w:val="000000"/>
          <w:kern w:val="0"/>
          <w:sz w:val="40"/>
          <w:szCs w:val="44"/>
          <w:lang w:val="zh-CN"/>
        </w:rPr>
      </w:pPr>
      <w:r>
        <w:rPr>
          <w:rFonts w:ascii="方正小标宋简体" w:hAnsi="宋体" w:eastAsia="方正小标宋简体"/>
          <w:color w:val="000000"/>
          <w:kern w:val="0"/>
          <w:sz w:val="40"/>
          <w:szCs w:val="44"/>
        </w:rPr>
        <w:t>2020</w:t>
      </w:r>
      <w:r>
        <w:rPr>
          <w:rFonts w:hint="eastAsia" w:ascii="方正小标宋简体" w:hAnsi="宋体" w:eastAsia="方正小标宋简体"/>
          <w:color w:val="000000"/>
          <w:kern w:val="0"/>
          <w:sz w:val="40"/>
          <w:szCs w:val="44"/>
        </w:rPr>
        <w:t>年部门</w:t>
      </w:r>
      <w:r>
        <w:rPr>
          <w:rFonts w:hint="eastAsia" w:ascii="方正小标宋简体" w:hAnsi="宋体" w:eastAsia="方正小标宋简体"/>
          <w:color w:val="000000"/>
          <w:kern w:val="0"/>
          <w:sz w:val="40"/>
          <w:szCs w:val="44"/>
          <w:lang w:val="zh-CN"/>
        </w:rPr>
        <w:t>整体支出绩效评价报告</w:t>
      </w:r>
    </w:p>
    <w:p>
      <w:pPr>
        <w:widowControl/>
        <w:adjustRightInd w:val="0"/>
        <w:snapToGrid w:val="0"/>
        <w:spacing w:line="580" w:lineRule="exact"/>
        <w:ind w:firstLine="480" w:firstLineChars="200"/>
        <w:contextualSpacing/>
        <w:jc w:val="left"/>
        <w:rPr>
          <w:rFonts w:ascii="黑体" w:hAnsi="宋体" w:eastAsia="黑体" w:cs="宋体"/>
          <w:color w:val="000000"/>
          <w:kern w:val="0"/>
          <w:sz w:val="24"/>
          <w:szCs w:val="32"/>
          <w:shd w:val="clear" w:color="auto" w:fill="FFFFFF"/>
        </w:rPr>
      </w:pPr>
    </w:p>
    <w:p>
      <w:pPr>
        <w:widowControl/>
        <w:adjustRightInd w:val="0"/>
        <w:snapToGrid w:val="0"/>
        <w:spacing w:line="580" w:lineRule="exact"/>
        <w:ind w:firstLine="560" w:firstLineChars="200"/>
        <w:contextualSpacing/>
        <w:jc w:val="left"/>
        <w:rPr>
          <w:rFonts w:ascii="黑体" w:hAnsi="宋体" w:eastAsia="黑体" w:cs="宋体"/>
          <w:color w:val="000000"/>
          <w:kern w:val="0"/>
          <w:sz w:val="28"/>
          <w:szCs w:val="28"/>
          <w:shd w:val="clear" w:color="auto" w:fill="FFFFFF"/>
          <w:lang w:val="zh-CN"/>
        </w:rPr>
      </w:pPr>
      <w:r>
        <w:rPr>
          <w:rFonts w:hint="eastAsia" w:ascii="黑体" w:hAnsi="宋体" w:eastAsia="黑体" w:cs="宋体"/>
          <w:color w:val="000000"/>
          <w:kern w:val="0"/>
          <w:sz w:val="28"/>
          <w:szCs w:val="28"/>
          <w:shd w:val="clear" w:color="auto" w:fill="FFFFFF"/>
        </w:rPr>
        <w:t>一、</w:t>
      </w:r>
      <w:r>
        <w:rPr>
          <w:rFonts w:hint="eastAsia" w:ascii="黑体" w:hAnsi="宋体" w:eastAsia="黑体" w:cs="宋体"/>
          <w:color w:val="000000"/>
          <w:kern w:val="0"/>
          <w:sz w:val="28"/>
          <w:szCs w:val="28"/>
          <w:shd w:val="clear" w:color="auto" w:fill="FFFFFF"/>
          <w:lang w:val="zh-CN"/>
        </w:rPr>
        <w:t>部门（单位）概况</w:t>
      </w:r>
    </w:p>
    <w:p>
      <w:pPr>
        <w:snapToGrid w:val="0"/>
        <w:spacing w:line="520" w:lineRule="exact"/>
        <w:ind w:firstLine="560" w:firstLineChars="200"/>
        <w:rPr>
          <w:rFonts w:hint="eastAsia" w:ascii="仿宋_GB2312" w:hAnsi="宋体" w:eastAsia="仿宋_GB2312" w:cs="宋体"/>
          <w:color w:val="000000"/>
          <w:kern w:val="0"/>
          <w:sz w:val="28"/>
          <w:szCs w:val="28"/>
          <w:shd w:val="clear" w:color="auto" w:fill="FFFFFF"/>
          <w:lang w:val="zh-CN"/>
        </w:rPr>
      </w:pPr>
      <w:r>
        <w:rPr>
          <w:rFonts w:hint="eastAsia" w:ascii="仿宋_GB2312" w:hAnsi="宋体" w:eastAsia="仿宋_GB2312" w:cs="宋体"/>
          <w:color w:val="000000"/>
          <w:kern w:val="0"/>
          <w:sz w:val="28"/>
          <w:szCs w:val="28"/>
          <w:shd w:val="clear" w:color="auto" w:fill="FFFFFF"/>
          <w:lang w:val="zh-CN"/>
        </w:rPr>
        <w:t>（一）机构组成。</w:t>
      </w:r>
    </w:p>
    <w:p>
      <w:pPr>
        <w:snapToGrid w:val="0"/>
        <w:spacing w:line="52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lang w:val="en-US" w:eastAsia="zh-CN"/>
        </w:rPr>
        <w:t>诺水河</w:t>
      </w:r>
      <w:r>
        <w:rPr>
          <w:rFonts w:hint="eastAsia" w:ascii="仿宋_GB2312" w:hAnsi="仿宋" w:eastAsia="仿宋_GB2312"/>
          <w:sz w:val="28"/>
          <w:szCs w:val="28"/>
          <w:lang w:eastAsia="zh-CN"/>
        </w:rPr>
        <w:t>小学</w:t>
      </w:r>
      <w:r>
        <w:rPr>
          <w:rFonts w:hint="eastAsia" w:ascii="仿宋_GB2312" w:hAnsi="仿宋" w:eastAsia="仿宋_GB2312"/>
          <w:sz w:val="28"/>
          <w:szCs w:val="28"/>
        </w:rPr>
        <w:t>年末有1个预算管理单位</w:t>
      </w:r>
      <w:r>
        <w:rPr>
          <w:rFonts w:hint="eastAsia" w:ascii="仿宋_GB2312" w:hAnsi="仿宋" w:eastAsia="仿宋_GB2312"/>
          <w:sz w:val="28"/>
          <w:szCs w:val="28"/>
          <w:highlight w:val="none"/>
          <w:lang w:eastAsia="zh-CN"/>
        </w:rPr>
        <w:t>；</w:t>
      </w:r>
      <w:r>
        <w:rPr>
          <w:rFonts w:hint="eastAsia" w:ascii="仿宋_GB2312" w:hAnsi="仿宋" w:eastAsia="仿宋_GB2312"/>
          <w:sz w:val="28"/>
          <w:szCs w:val="28"/>
        </w:rPr>
        <w:t>年初编制数为</w:t>
      </w:r>
      <w:r>
        <w:rPr>
          <w:rFonts w:hint="eastAsia" w:ascii="仿宋_GB2312" w:hAnsi="仿宋" w:eastAsia="仿宋_GB2312"/>
          <w:sz w:val="28"/>
          <w:szCs w:val="28"/>
          <w:lang w:val="en-US" w:eastAsia="zh-CN"/>
        </w:rPr>
        <w:t>55</w:t>
      </w:r>
      <w:r>
        <w:rPr>
          <w:rFonts w:hint="eastAsia" w:ascii="仿宋_GB2312" w:hAnsi="仿宋" w:eastAsia="仿宋_GB2312"/>
          <w:sz w:val="28"/>
          <w:szCs w:val="28"/>
        </w:rPr>
        <w:t>人</w:t>
      </w:r>
      <w:r>
        <w:rPr>
          <w:rFonts w:hint="eastAsia" w:ascii="仿宋_GB2312" w:hAnsi="仿宋" w:eastAsia="仿宋_GB2312"/>
          <w:sz w:val="28"/>
          <w:szCs w:val="28"/>
          <w:highlight w:val="none"/>
          <w:lang w:eastAsia="zh-CN"/>
        </w:rPr>
        <w:t>；</w:t>
      </w:r>
      <w:r>
        <w:rPr>
          <w:rFonts w:hint="eastAsia" w:ascii="仿宋_GB2312" w:hAnsi="仿宋" w:eastAsia="仿宋_GB2312"/>
          <w:sz w:val="28"/>
          <w:szCs w:val="28"/>
        </w:rPr>
        <w:t>岗位设置包括</w:t>
      </w:r>
      <w:r>
        <w:rPr>
          <w:rFonts w:hint="eastAsia" w:ascii="仿宋_GB2312" w:hAnsi="仿宋" w:eastAsia="仿宋_GB2312"/>
          <w:sz w:val="28"/>
          <w:szCs w:val="28"/>
          <w:lang w:eastAsia="zh-CN"/>
        </w:rPr>
        <w:t>：</w:t>
      </w:r>
      <w:r>
        <w:rPr>
          <w:rFonts w:hint="eastAsia" w:ascii="仿宋_GB2312" w:hAnsi="仿宋" w:eastAsia="仿宋_GB2312"/>
          <w:sz w:val="28"/>
          <w:szCs w:val="28"/>
        </w:rPr>
        <w:t>管理人员3人</w:t>
      </w:r>
      <w:r>
        <w:rPr>
          <w:rFonts w:hint="eastAsia" w:ascii="仿宋_GB2312" w:hAnsi="仿宋" w:eastAsia="仿宋_GB2312"/>
          <w:sz w:val="28"/>
          <w:szCs w:val="28"/>
          <w:highlight w:val="none"/>
          <w:lang w:eastAsia="zh-CN"/>
        </w:rPr>
        <w:t>（</w:t>
      </w:r>
      <w:r>
        <w:rPr>
          <w:rFonts w:hint="eastAsia" w:ascii="仿宋_GB2312" w:hAnsi="仿宋" w:eastAsia="仿宋_GB2312"/>
          <w:sz w:val="28"/>
          <w:szCs w:val="28"/>
        </w:rPr>
        <w:t>八级职员1人</w:t>
      </w:r>
      <w:r>
        <w:rPr>
          <w:rFonts w:hint="eastAsia" w:ascii="仿宋_GB2312" w:hAnsi="仿宋" w:eastAsia="仿宋_GB2312"/>
          <w:sz w:val="28"/>
          <w:szCs w:val="28"/>
          <w:lang w:eastAsia="zh-CN"/>
        </w:rPr>
        <w:t>，</w:t>
      </w:r>
      <w:r>
        <w:rPr>
          <w:rFonts w:hint="eastAsia" w:ascii="仿宋_GB2312" w:hAnsi="仿宋" w:eastAsia="仿宋_GB2312"/>
          <w:sz w:val="28"/>
          <w:szCs w:val="28"/>
        </w:rPr>
        <w:t>九级职员2人。</w:t>
      </w:r>
      <w:r>
        <w:rPr>
          <w:rFonts w:hint="eastAsia" w:ascii="仿宋_GB2312" w:hAnsi="仿宋" w:eastAsia="仿宋_GB2312"/>
          <w:sz w:val="28"/>
          <w:szCs w:val="28"/>
          <w:highlight w:val="none"/>
          <w:lang w:eastAsia="zh-CN"/>
        </w:rPr>
        <w:t>），</w:t>
      </w:r>
      <w:r>
        <w:rPr>
          <w:rFonts w:hint="eastAsia" w:ascii="仿宋_GB2312" w:hAnsi="仿宋" w:eastAsia="仿宋_GB2312"/>
          <w:sz w:val="28"/>
          <w:szCs w:val="28"/>
        </w:rPr>
        <w:t>专技人员</w:t>
      </w:r>
      <w:r>
        <w:rPr>
          <w:rFonts w:hint="eastAsia" w:ascii="仿宋_GB2312" w:hAnsi="仿宋" w:eastAsia="仿宋_GB2312"/>
          <w:sz w:val="28"/>
          <w:szCs w:val="28"/>
          <w:lang w:val="en-US" w:eastAsia="zh-CN"/>
        </w:rPr>
        <w:t>51</w:t>
      </w:r>
      <w:r>
        <w:rPr>
          <w:rFonts w:hint="eastAsia" w:ascii="仿宋_GB2312" w:hAnsi="仿宋" w:eastAsia="仿宋_GB2312"/>
          <w:sz w:val="28"/>
          <w:szCs w:val="28"/>
        </w:rPr>
        <w:t>人，工勤人员</w:t>
      </w:r>
      <w:r>
        <w:rPr>
          <w:rFonts w:hint="eastAsia" w:ascii="仿宋_GB2312" w:hAnsi="仿宋" w:eastAsia="仿宋_GB2312"/>
          <w:sz w:val="28"/>
          <w:szCs w:val="28"/>
          <w:lang w:val="en-US" w:eastAsia="zh-CN"/>
        </w:rPr>
        <w:t>1</w:t>
      </w:r>
      <w:r>
        <w:rPr>
          <w:rFonts w:hint="eastAsia" w:ascii="仿宋_GB2312" w:hAnsi="仿宋" w:eastAsia="仿宋_GB2312"/>
          <w:sz w:val="28"/>
          <w:szCs w:val="28"/>
        </w:rPr>
        <w:t>人。</w:t>
      </w:r>
    </w:p>
    <w:p>
      <w:pPr>
        <w:numPr>
          <w:ilvl w:val="0"/>
          <w:numId w:val="2"/>
        </w:numPr>
        <w:snapToGrid w:val="0"/>
        <w:spacing w:line="520" w:lineRule="exact"/>
        <w:ind w:firstLine="560" w:firstLineChars="200"/>
        <w:rPr>
          <w:rFonts w:hint="eastAsia" w:ascii="仿宋_GB2312" w:hAnsi="宋体" w:eastAsia="仿宋_GB2312" w:cs="宋体"/>
          <w:color w:val="000000"/>
          <w:kern w:val="0"/>
          <w:sz w:val="28"/>
          <w:szCs w:val="28"/>
          <w:shd w:val="clear" w:color="auto" w:fill="FFFFFF"/>
          <w:lang w:val="zh-CN"/>
        </w:rPr>
      </w:pPr>
      <w:r>
        <w:rPr>
          <w:rFonts w:hint="eastAsia" w:ascii="仿宋_GB2312" w:hAnsi="宋体" w:eastAsia="仿宋_GB2312" w:cs="宋体"/>
          <w:color w:val="000000"/>
          <w:kern w:val="0"/>
          <w:sz w:val="28"/>
          <w:szCs w:val="28"/>
          <w:shd w:val="clear" w:color="auto" w:fill="FFFFFF"/>
          <w:lang w:val="zh-CN"/>
        </w:rPr>
        <w:t>机构职能。</w:t>
      </w:r>
    </w:p>
    <w:p>
      <w:pPr>
        <w:snapToGrid w:val="0"/>
        <w:spacing w:line="520" w:lineRule="exact"/>
        <w:ind w:firstLine="560" w:firstLineChars="200"/>
        <w:rPr>
          <w:rFonts w:hint="eastAsia" w:ascii="仿宋_GB2312" w:hAnsi="仿宋" w:eastAsia="仿宋_GB2312" w:cs="Times New Roman"/>
          <w:sz w:val="28"/>
          <w:szCs w:val="28"/>
          <w:lang w:eastAsia="zh-CN"/>
        </w:rPr>
      </w:pPr>
      <w:r>
        <w:rPr>
          <w:rFonts w:hint="eastAsia" w:ascii="仿宋_GB2312" w:hAnsi="仿宋" w:eastAsia="仿宋_GB2312" w:cs="Times New Roman"/>
          <w:sz w:val="28"/>
          <w:szCs w:val="28"/>
          <w:lang w:eastAsia="zh-CN"/>
        </w:rPr>
        <w:t>认真贯彻落实党和国家的方针、政策，正确执行上级主管部门的决议和指示，全面实施素质教育，培养德、智、体、美等方面全面发展的社会主义事业的建设者和接班人。</w:t>
      </w:r>
    </w:p>
    <w:p>
      <w:pPr>
        <w:numPr>
          <w:ilvl w:val="0"/>
          <w:numId w:val="2"/>
        </w:numPr>
        <w:snapToGrid w:val="0"/>
        <w:spacing w:line="520" w:lineRule="exact"/>
        <w:ind w:left="0" w:leftChars="0" w:firstLine="560" w:firstLineChars="200"/>
        <w:rPr>
          <w:rFonts w:hint="eastAsia" w:ascii="仿宋_GB2312" w:hAnsi="宋体" w:eastAsia="仿宋_GB2312" w:cs="宋体"/>
          <w:color w:val="000000"/>
          <w:kern w:val="0"/>
          <w:sz w:val="28"/>
          <w:szCs w:val="28"/>
          <w:shd w:val="clear" w:color="auto" w:fill="FFFFFF"/>
          <w:lang w:val="zh-CN"/>
        </w:rPr>
      </w:pPr>
      <w:r>
        <w:rPr>
          <w:rFonts w:hint="eastAsia" w:ascii="仿宋_GB2312" w:hAnsi="宋体" w:eastAsia="仿宋_GB2312" w:cs="宋体"/>
          <w:color w:val="000000"/>
          <w:kern w:val="0"/>
          <w:sz w:val="28"/>
          <w:szCs w:val="28"/>
          <w:shd w:val="clear" w:color="auto" w:fill="FFFFFF"/>
          <w:lang w:val="zh-CN"/>
        </w:rPr>
        <w:t>人员概况。</w:t>
      </w:r>
    </w:p>
    <w:p>
      <w:pPr>
        <w:widowControl/>
        <w:adjustRightInd w:val="0"/>
        <w:snapToGrid w:val="0"/>
        <w:spacing w:line="580" w:lineRule="exact"/>
        <w:ind w:firstLine="560" w:firstLineChars="200"/>
        <w:contextualSpacing/>
        <w:jc w:val="left"/>
        <w:rPr>
          <w:rFonts w:hint="eastAsia" w:ascii="仿宋_GB2312" w:hAnsi="仿宋" w:eastAsia="仿宋_GB2312"/>
          <w:sz w:val="28"/>
          <w:szCs w:val="28"/>
        </w:rPr>
      </w:pPr>
      <w:r>
        <w:rPr>
          <w:rFonts w:hint="eastAsia" w:ascii="仿宋_GB2312" w:hAnsi="仿宋" w:eastAsia="仿宋_GB2312"/>
          <w:sz w:val="28"/>
          <w:szCs w:val="28"/>
        </w:rPr>
        <w:t>人员情况，</w:t>
      </w:r>
      <w:r>
        <w:rPr>
          <w:rFonts w:hint="eastAsia" w:ascii="仿宋_GB2312" w:hAnsi="仿宋" w:eastAsia="仿宋_GB2312"/>
          <w:sz w:val="28"/>
          <w:szCs w:val="28"/>
          <w:lang w:val="en-US" w:eastAsia="zh-CN"/>
        </w:rPr>
        <w:t>诺水河</w:t>
      </w:r>
      <w:r>
        <w:rPr>
          <w:rFonts w:hint="eastAsia" w:ascii="仿宋_GB2312" w:hAnsi="仿宋" w:eastAsia="仿宋_GB2312"/>
          <w:sz w:val="28"/>
          <w:szCs w:val="28"/>
          <w:lang w:eastAsia="zh-CN"/>
        </w:rPr>
        <w:t>小学</w:t>
      </w:r>
      <w:r>
        <w:rPr>
          <w:rFonts w:hint="eastAsia" w:ascii="仿宋_GB2312" w:hAnsi="仿宋" w:eastAsia="仿宋_GB2312"/>
          <w:sz w:val="28"/>
          <w:szCs w:val="28"/>
        </w:rPr>
        <w:t>年末在编在岗人员</w:t>
      </w:r>
      <w:r>
        <w:rPr>
          <w:rFonts w:hint="eastAsia" w:ascii="仿宋_GB2312" w:hAnsi="仿宋" w:eastAsia="仿宋_GB2312"/>
          <w:sz w:val="28"/>
          <w:szCs w:val="28"/>
          <w:lang w:val="en-US" w:eastAsia="zh-CN"/>
        </w:rPr>
        <w:t>65</w:t>
      </w:r>
      <w:r>
        <w:rPr>
          <w:rFonts w:hint="eastAsia" w:ascii="仿宋_GB2312" w:hAnsi="仿宋" w:eastAsia="仿宋_GB2312"/>
          <w:sz w:val="28"/>
          <w:szCs w:val="28"/>
        </w:rPr>
        <w:t>，其中专技人员</w:t>
      </w:r>
      <w:r>
        <w:rPr>
          <w:rFonts w:hint="eastAsia" w:ascii="仿宋_GB2312" w:hAnsi="仿宋" w:eastAsia="仿宋_GB2312"/>
          <w:sz w:val="28"/>
          <w:szCs w:val="28"/>
          <w:lang w:val="en-US" w:eastAsia="zh-CN"/>
        </w:rPr>
        <w:t>54</w:t>
      </w:r>
      <w:r>
        <w:rPr>
          <w:rFonts w:hint="eastAsia" w:ascii="仿宋_GB2312" w:hAnsi="仿宋" w:eastAsia="仿宋_GB2312"/>
          <w:sz w:val="28"/>
          <w:szCs w:val="28"/>
        </w:rPr>
        <w:t>人（含管理人员双肩挑1人）</w:t>
      </w:r>
      <w:r>
        <w:rPr>
          <w:rFonts w:hint="eastAsia" w:ascii="仿宋_GB2312" w:hAnsi="仿宋" w:eastAsia="仿宋_GB2312"/>
          <w:sz w:val="28"/>
          <w:szCs w:val="28"/>
          <w:lang w:eastAsia="zh-CN"/>
        </w:rPr>
        <w:t>，工勤人员</w:t>
      </w:r>
      <w:r>
        <w:rPr>
          <w:rFonts w:hint="eastAsia" w:ascii="仿宋_GB2312" w:hAnsi="仿宋" w:eastAsia="仿宋_GB2312"/>
          <w:sz w:val="28"/>
          <w:szCs w:val="28"/>
          <w:lang w:val="en-US" w:eastAsia="zh-CN"/>
        </w:rPr>
        <w:t>0</w:t>
      </w:r>
      <w:r>
        <w:rPr>
          <w:rFonts w:hint="eastAsia" w:ascii="仿宋_GB2312" w:hAnsi="仿宋" w:eastAsia="仿宋_GB2312"/>
          <w:sz w:val="28"/>
          <w:szCs w:val="28"/>
          <w:lang w:eastAsia="zh-CN"/>
        </w:rPr>
        <w:t>人</w:t>
      </w:r>
      <w:r>
        <w:rPr>
          <w:rFonts w:hint="eastAsia" w:ascii="仿宋_GB2312" w:hAnsi="仿宋" w:eastAsia="仿宋_GB2312"/>
          <w:sz w:val="28"/>
          <w:szCs w:val="28"/>
        </w:rPr>
        <w:t>；财政供给人员共计</w:t>
      </w:r>
      <w:r>
        <w:rPr>
          <w:rFonts w:hint="eastAsia" w:ascii="仿宋_GB2312" w:hAnsi="仿宋" w:eastAsia="仿宋_GB2312"/>
          <w:sz w:val="28"/>
          <w:szCs w:val="28"/>
          <w:lang w:val="en-US" w:eastAsia="zh-CN"/>
        </w:rPr>
        <w:t>66</w:t>
      </w:r>
      <w:r>
        <w:rPr>
          <w:rFonts w:hint="eastAsia" w:ascii="仿宋_GB2312" w:hAnsi="仿宋" w:eastAsia="仿宋_GB2312"/>
          <w:sz w:val="28"/>
          <w:szCs w:val="28"/>
        </w:rPr>
        <w:t>人（含特岗</w:t>
      </w:r>
      <w:r>
        <w:rPr>
          <w:rFonts w:hint="eastAsia" w:ascii="仿宋_GB2312" w:hAnsi="仿宋" w:eastAsia="仿宋_GB2312"/>
          <w:sz w:val="28"/>
          <w:szCs w:val="28"/>
          <w:lang w:val="en-US" w:eastAsia="zh-CN"/>
        </w:rPr>
        <w:t>11</w:t>
      </w:r>
      <w:r>
        <w:rPr>
          <w:rFonts w:hint="eastAsia" w:ascii="仿宋_GB2312" w:hAnsi="仿宋" w:eastAsia="仿宋_GB2312"/>
          <w:sz w:val="28"/>
          <w:szCs w:val="28"/>
        </w:rPr>
        <w:t>人，遗抚</w:t>
      </w:r>
      <w:r>
        <w:rPr>
          <w:rFonts w:hint="eastAsia" w:ascii="仿宋_GB2312" w:hAnsi="仿宋" w:eastAsia="仿宋_GB2312"/>
          <w:sz w:val="28"/>
          <w:szCs w:val="28"/>
          <w:lang w:val="en-US" w:eastAsia="zh-CN"/>
        </w:rPr>
        <w:t>1</w:t>
      </w:r>
      <w:r>
        <w:rPr>
          <w:rFonts w:hint="eastAsia" w:ascii="仿宋_GB2312" w:hAnsi="仿宋" w:eastAsia="仿宋_GB2312"/>
          <w:sz w:val="28"/>
          <w:szCs w:val="28"/>
        </w:rPr>
        <w:t>人）。</w:t>
      </w:r>
    </w:p>
    <w:p>
      <w:pPr>
        <w:widowControl/>
        <w:adjustRightInd w:val="0"/>
        <w:snapToGrid w:val="0"/>
        <w:spacing w:line="580" w:lineRule="exact"/>
        <w:ind w:firstLine="560" w:firstLineChars="200"/>
        <w:contextualSpacing/>
        <w:jc w:val="left"/>
        <w:rPr>
          <w:rFonts w:ascii="黑体" w:hAnsi="宋体" w:eastAsia="黑体" w:cs="宋体"/>
          <w:color w:val="000000"/>
          <w:kern w:val="0"/>
          <w:sz w:val="28"/>
          <w:szCs w:val="28"/>
          <w:shd w:val="clear" w:color="auto" w:fill="FFFFFF"/>
        </w:rPr>
      </w:pPr>
      <w:r>
        <w:rPr>
          <w:rFonts w:hint="eastAsia" w:ascii="黑体" w:hAnsi="宋体" w:eastAsia="黑体" w:cs="宋体"/>
          <w:color w:val="000000"/>
          <w:kern w:val="0"/>
          <w:sz w:val="28"/>
          <w:szCs w:val="28"/>
          <w:shd w:val="clear" w:color="auto" w:fill="FFFFFF"/>
        </w:rPr>
        <w:t>二、部门财政资金收支情况</w:t>
      </w:r>
    </w:p>
    <w:p>
      <w:pPr>
        <w:widowControl/>
        <w:adjustRightInd w:val="0"/>
        <w:snapToGrid w:val="0"/>
        <w:spacing w:line="580" w:lineRule="exact"/>
        <w:ind w:firstLine="560" w:firstLineChars="200"/>
        <w:contextualSpacing/>
        <w:jc w:val="left"/>
        <w:rPr>
          <w:rFonts w:hint="eastAsia" w:ascii="仿宋_GB2312" w:hAnsi="宋体" w:eastAsia="仿宋_GB2312" w:cs="宋体"/>
          <w:color w:val="000000"/>
          <w:kern w:val="0"/>
          <w:sz w:val="28"/>
          <w:szCs w:val="28"/>
          <w:shd w:val="clear" w:color="auto" w:fill="FFFFFF"/>
          <w:lang w:val="zh-CN"/>
        </w:rPr>
      </w:pPr>
      <w:r>
        <w:rPr>
          <w:rFonts w:hint="eastAsia" w:ascii="仿宋_GB2312" w:hAnsi="宋体" w:eastAsia="仿宋_GB2312" w:cs="宋体"/>
          <w:color w:val="000000"/>
          <w:kern w:val="0"/>
          <w:sz w:val="28"/>
          <w:szCs w:val="28"/>
          <w:shd w:val="clear" w:color="auto" w:fill="FFFFFF"/>
          <w:lang w:val="zh-CN"/>
        </w:rPr>
        <w:t>（一）部门财政资金收入情况。</w:t>
      </w:r>
    </w:p>
    <w:p>
      <w:pPr>
        <w:widowControl/>
        <w:adjustRightInd w:val="0"/>
        <w:snapToGrid w:val="0"/>
        <w:spacing w:line="580" w:lineRule="exact"/>
        <w:ind w:firstLine="560" w:firstLineChars="200"/>
        <w:contextualSpacing/>
        <w:jc w:val="left"/>
        <w:rPr>
          <w:rFonts w:hint="default" w:ascii="仿宋_GB2312" w:hAnsi="宋体" w:eastAsia="仿宋_GB2312" w:cs="宋体"/>
          <w:color w:val="000000"/>
          <w:kern w:val="0"/>
          <w:sz w:val="28"/>
          <w:szCs w:val="28"/>
          <w:shd w:val="clear" w:color="auto" w:fill="FFFFFF"/>
          <w:lang w:val="en-US"/>
        </w:rPr>
      </w:pPr>
      <w:r>
        <w:rPr>
          <w:rFonts w:hint="eastAsia" w:ascii="仿宋_GB2312" w:hAnsi="仿宋" w:eastAsia="仿宋_GB2312"/>
          <w:sz w:val="28"/>
          <w:szCs w:val="28"/>
        </w:rPr>
        <w:t>20</w:t>
      </w:r>
      <w:r>
        <w:rPr>
          <w:rFonts w:hint="eastAsia" w:ascii="仿宋_GB2312" w:hAnsi="仿宋" w:eastAsia="仿宋_GB2312"/>
          <w:sz w:val="28"/>
          <w:szCs w:val="28"/>
          <w:lang w:val="en-US" w:eastAsia="zh-CN"/>
        </w:rPr>
        <w:t>20</w:t>
      </w:r>
      <w:r>
        <w:rPr>
          <w:rFonts w:hint="eastAsia" w:ascii="仿宋_GB2312" w:hAnsi="仿宋" w:eastAsia="仿宋_GB2312"/>
          <w:sz w:val="28"/>
          <w:szCs w:val="28"/>
        </w:rPr>
        <w:t>年</w:t>
      </w:r>
      <w:r>
        <w:rPr>
          <w:rFonts w:hint="eastAsia" w:ascii="仿宋_GB2312" w:hAnsi="宋体" w:eastAsia="仿宋_GB2312" w:cs="宋体"/>
          <w:color w:val="000000"/>
          <w:kern w:val="0"/>
          <w:sz w:val="28"/>
          <w:szCs w:val="28"/>
          <w:shd w:val="clear" w:color="auto" w:fill="FFFFFF"/>
          <w:lang w:val="zh-CN"/>
        </w:rPr>
        <w:t>财政资金</w:t>
      </w:r>
      <w:r>
        <w:rPr>
          <w:rFonts w:hint="eastAsia" w:ascii="仿宋_GB2312" w:hAnsi="仿宋" w:eastAsia="仿宋_GB2312"/>
          <w:sz w:val="28"/>
          <w:szCs w:val="28"/>
        </w:rPr>
        <w:t>收入24582541.42元</w:t>
      </w:r>
      <w:r>
        <w:rPr>
          <w:rFonts w:hint="eastAsia" w:ascii="仿宋_GB2312" w:hAnsi="仿宋" w:eastAsia="仿宋_GB2312"/>
          <w:sz w:val="28"/>
          <w:szCs w:val="28"/>
          <w:lang w:eastAsia="zh-CN"/>
        </w:rPr>
        <w:t>，</w:t>
      </w:r>
      <w:r>
        <w:rPr>
          <w:rFonts w:hint="eastAsia" w:ascii="仿宋_GB2312" w:hAnsi="仿宋" w:eastAsia="仿宋_GB2312"/>
          <w:sz w:val="28"/>
          <w:szCs w:val="28"/>
        </w:rPr>
        <w:t>其中</w:t>
      </w:r>
      <w:r>
        <w:rPr>
          <w:rFonts w:hint="eastAsia" w:ascii="仿宋_GB2312" w:hAnsi="仿宋" w:eastAsia="仿宋_GB2312"/>
          <w:sz w:val="28"/>
          <w:szCs w:val="28"/>
          <w:lang w:eastAsia="zh-CN"/>
        </w:rPr>
        <w:t>：</w:t>
      </w:r>
      <w:r>
        <w:rPr>
          <w:rFonts w:hint="eastAsia" w:ascii="仿宋_GB2312" w:hAnsi="仿宋" w:eastAsia="仿宋_GB2312"/>
          <w:sz w:val="28"/>
          <w:szCs w:val="28"/>
        </w:rPr>
        <w:t>人员经费收入：</w:t>
      </w:r>
      <w:r>
        <w:rPr>
          <w:rFonts w:hint="eastAsia" w:ascii="仿宋" w:hAnsi="仿宋" w:eastAsia="仿宋"/>
          <w:color w:val="000000"/>
          <w:sz w:val="28"/>
          <w:szCs w:val="28"/>
          <w:lang w:val="en-US" w:eastAsia="zh-CN"/>
        </w:rPr>
        <w:t>7353621.42</w:t>
      </w:r>
      <w:r>
        <w:rPr>
          <w:rFonts w:hint="eastAsia" w:ascii="仿宋_GB2312" w:hAnsi="仿宋" w:eastAsia="仿宋_GB2312"/>
          <w:sz w:val="28"/>
          <w:szCs w:val="28"/>
        </w:rPr>
        <w:t>元；公用经费收入：</w:t>
      </w:r>
      <w:r>
        <w:rPr>
          <w:rFonts w:hint="eastAsia" w:ascii="仿宋_GB2312" w:hAnsi="仿宋" w:eastAsia="仿宋_GB2312"/>
          <w:sz w:val="28"/>
          <w:szCs w:val="28"/>
          <w:lang w:val="en-US" w:eastAsia="zh-CN"/>
        </w:rPr>
        <w:t>877853</w:t>
      </w:r>
      <w:r>
        <w:rPr>
          <w:rFonts w:hint="eastAsia" w:ascii="仿宋_GB2312" w:hAnsi="仿宋" w:eastAsia="仿宋_GB2312"/>
          <w:sz w:val="28"/>
          <w:szCs w:val="28"/>
        </w:rPr>
        <w:t>元</w:t>
      </w:r>
      <w:r>
        <w:rPr>
          <w:rFonts w:hint="eastAsia" w:ascii="仿宋_GB2312" w:hAnsi="仿宋" w:eastAsia="仿宋_GB2312"/>
          <w:sz w:val="28"/>
          <w:szCs w:val="28"/>
          <w:lang w:eastAsia="zh-CN"/>
        </w:rPr>
        <w:t>，</w:t>
      </w:r>
      <w:r>
        <w:rPr>
          <w:rFonts w:hint="eastAsia" w:ascii="仿宋" w:hAnsi="仿宋" w:eastAsia="仿宋" w:cs="Times New Roman"/>
          <w:color w:val="000000"/>
          <w:sz w:val="28"/>
          <w:szCs w:val="28"/>
          <w:lang w:val="en-US" w:eastAsia="zh-CN"/>
        </w:rPr>
        <w:t>项目费用：16351067元。</w:t>
      </w:r>
    </w:p>
    <w:p>
      <w:pPr>
        <w:widowControl/>
        <w:numPr>
          <w:ilvl w:val="0"/>
          <w:numId w:val="3"/>
        </w:numPr>
        <w:adjustRightInd w:val="0"/>
        <w:snapToGrid w:val="0"/>
        <w:spacing w:line="580" w:lineRule="exact"/>
        <w:ind w:firstLine="560" w:firstLineChars="200"/>
        <w:contextualSpacing/>
        <w:jc w:val="left"/>
        <w:rPr>
          <w:rFonts w:hint="eastAsia" w:ascii="仿宋_GB2312" w:hAnsi="宋体" w:eastAsia="仿宋_GB2312" w:cs="宋体"/>
          <w:color w:val="000000"/>
          <w:kern w:val="0"/>
          <w:sz w:val="28"/>
          <w:szCs w:val="28"/>
          <w:shd w:val="clear" w:color="auto" w:fill="FFFFFF"/>
          <w:lang w:val="zh-CN"/>
        </w:rPr>
      </w:pPr>
      <w:r>
        <w:rPr>
          <w:rFonts w:hint="eastAsia" w:ascii="仿宋_GB2312" w:hAnsi="宋体" w:eastAsia="仿宋_GB2312" w:cs="宋体"/>
          <w:color w:val="000000"/>
          <w:kern w:val="0"/>
          <w:sz w:val="28"/>
          <w:szCs w:val="28"/>
          <w:shd w:val="clear" w:color="auto" w:fill="FFFFFF"/>
          <w:lang w:val="zh-CN"/>
        </w:rPr>
        <w:t>部门财政资金支出情况。</w:t>
      </w:r>
    </w:p>
    <w:p>
      <w:pPr>
        <w:snapToGrid w:val="0"/>
        <w:spacing w:line="520" w:lineRule="exact"/>
        <w:ind w:firstLine="560" w:firstLineChars="200"/>
        <w:rPr>
          <w:rFonts w:hint="default" w:ascii="仿宋_GB2312" w:hAnsi="仿宋" w:eastAsia="仿宋_GB2312"/>
          <w:sz w:val="28"/>
          <w:szCs w:val="28"/>
          <w:lang w:val="en-US" w:eastAsia="zh-CN"/>
        </w:rPr>
      </w:pPr>
      <w:r>
        <w:rPr>
          <w:rFonts w:hint="eastAsia" w:ascii="仿宋_GB2312" w:hAnsi="仿宋" w:eastAsia="仿宋_GB2312"/>
          <w:sz w:val="28"/>
          <w:szCs w:val="28"/>
        </w:rPr>
        <w:t>20</w:t>
      </w:r>
      <w:r>
        <w:rPr>
          <w:rFonts w:hint="eastAsia" w:ascii="仿宋_GB2312" w:hAnsi="仿宋" w:eastAsia="仿宋_GB2312"/>
          <w:sz w:val="28"/>
          <w:szCs w:val="28"/>
          <w:lang w:val="en-US" w:eastAsia="zh-CN"/>
        </w:rPr>
        <w:t>20</w:t>
      </w:r>
      <w:r>
        <w:rPr>
          <w:rFonts w:hint="eastAsia" w:ascii="仿宋_GB2312" w:hAnsi="仿宋" w:eastAsia="仿宋_GB2312"/>
          <w:sz w:val="28"/>
          <w:szCs w:val="28"/>
        </w:rPr>
        <w:t>年</w:t>
      </w:r>
      <w:r>
        <w:rPr>
          <w:rFonts w:hint="eastAsia" w:ascii="仿宋_GB2312" w:hAnsi="宋体" w:eastAsia="仿宋_GB2312" w:cs="宋体"/>
          <w:color w:val="000000"/>
          <w:kern w:val="0"/>
          <w:sz w:val="28"/>
          <w:szCs w:val="28"/>
          <w:shd w:val="clear" w:color="auto" w:fill="FFFFFF"/>
          <w:lang w:val="zh-CN"/>
        </w:rPr>
        <w:t>财政资金</w:t>
      </w:r>
      <w:r>
        <w:rPr>
          <w:rFonts w:hint="eastAsia" w:ascii="仿宋_GB2312" w:hAnsi="仿宋" w:eastAsia="仿宋_GB2312"/>
          <w:sz w:val="28"/>
          <w:szCs w:val="28"/>
          <w:lang w:eastAsia="zh-CN"/>
        </w:rPr>
        <w:t>支出</w:t>
      </w:r>
      <w:r>
        <w:rPr>
          <w:rFonts w:hint="eastAsia" w:ascii="仿宋_GB2312" w:hAnsi="仿宋" w:eastAsia="仿宋_GB2312"/>
          <w:sz w:val="28"/>
          <w:szCs w:val="28"/>
        </w:rPr>
        <w:t>：人员经费支出</w:t>
      </w:r>
      <w:r>
        <w:rPr>
          <w:rFonts w:hint="eastAsia" w:ascii="仿宋_GB2312" w:hAnsi="仿宋" w:eastAsia="仿宋_GB2312"/>
          <w:sz w:val="28"/>
          <w:szCs w:val="28"/>
          <w:lang w:val="en-US" w:eastAsia="zh-CN"/>
        </w:rPr>
        <w:t>7353621.42</w:t>
      </w:r>
      <w:r>
        <w:rPr>
          <w:rFonts w:hint="eastAsia" w:ascii="仿宋_GB2312" w:hAnsi="仿宋" w:eastAsia="仿宋_GB2312"/>
          <w:sz w:val="28"/>
          <w:szCs w:val="28"/>
        </w:rPr>
        <w:t>元，比预算增加</w:t>
      </w:r>
      <w:r>
        <w:rPr>
          <w:rFonts w:hint="eastAsia" w:ascii="仿宋_GB2312" w:hAnsi="仿宋" w:eastAsia="仿宋_GB2312"/>
          <w:sz w:val="28"/>
          <w:szCs w:val="28"/>
          <w:lang w:val="en-US" w:eastAsia="zh-CN"/>
        </w:rPr>
        <w:t>1111061.42</w:t>
      </w:r>
      <w:r>
        <w:rPr>
          <w:rFonts w:hint="eastAsia" w:ascii="仿宋_GB2312" w:hAnsi="仿宋" w:eastAsia="仿宋_GB2312"/>
          <w:sz w:val="28"/>
          <w:szCs w:val="28"/>
        </w:rPr>
        <w:t>元。日常公用经费支出877853.00元，比预算增</w:t>
      </w:r>
      <w:r>
        <w:rPr>
          <w:rFonts w:hint="eastAsia" w:ascii="仿宋_GB2312" w:hAnsi="仿宋" w:eastAsia="仿宋_GB2312"/>
          <w:sz w:val="28"/>
          <w:szCs w:val="28"/>
          <w:lang w:val="en-US" w:eastAsia="zh-CN"/>
        </w:rPr>
        <w:t>加</w:t>
      </w:r>
      <w:r>
        <w:rPr>
          <w:rFonts w:hint="eastAsia" w:ascii="仿宋_GB2312" w:hAnsi="仿宋" w:eastAsia="仿宋_GB2312"/>
          <w:sz w:val="28"/>
          <w:szCs w:val="28"/>
          <w:lang w:eastAsia="zh-CN"/>
        </w:rPr>
        <w:t>451253</w:t>
      </w:r>
      <w:r>
        <w:rPr>
          <w:rFonts w:hint="eastAsia" w:ascii="仿宋_GB2312" w:hAnsi="仿宋" w:eastAsia="仿宋_GB2312"/>
          <w:sz w:val="28"/>
          <w:szCs w:val="28"/>
        </w:rPr>
        <w:t>.00元</w:t>
      </w:r>
      <w:r>
        <w:rPr>
          <w:rFonts w:hint="eastAsia" w:ascii="仿宋_GB2312" w:hAnsi="仿宋" w:eastAsia="仿宋_GB2312"/>
          <w:sz w:val="28"/>
          <w:szCs w:val="28"/>
          <w:lang w:eastAsia="zh-CN"/>
        </w:rPr>
        <w:t>，</w:t>
      </w:r>
      <w:r>
        <w:rPr>
          <w:rFonts w:hint="eastAsia" w:ascii="仿宋_GB2312" w:hAnsi="仿宋" w:eastAsia="仿宋_GB2312"/>
          <w:sz w:val="28"/>
          <w:szCs w:val="28"/>
          <w:lang w:val="en-US" w:eastAsia="zh-CN"/>
        </w:rPr>
        <w:t>项目支出</w:t>
      </w:r>
      <w:r>
        <w:rPr>
          <w:rFonts w:hint="eastAsia" w:ascii="仿宋_GB2312" w:hAnsi="仿宋" w:eastAsia="仿宋_GB2312"/>
          <w:sz w:val="28"/>
          <w:szCs w:val="28"/>
          <w:lang w:eastAsia="zh-CN"/>
        </w:rPr>
        <w:t>16351067</w:t>
      </w:r>
      <w:r>
        <w:rPr>
          <w:rFonts w:hint="eastAsia" w:ascii="仿宋_GB2312" w:hAnsi="仿宋" w:eastAsia="仿宋_GB2312"/>
          <w:sz w:val="28"/>
          <w:szCs w:val="28"/>
          <w:lang w:val="en-US" w:eastAsia="zh-CN"/>
        </w:rPr>
        <w:t>.00元。</w:t>
      </w:r>
    </w:p>
    <w:p>
      <w:pPr>
        <w:widowControl/>
        <w:adjustRightInd w:val="0"/>
        <w:snapToGrid w:val="0"/>
        <w:spacing w:line="580" w:lineRule="exact"/>
        <w:ind w:firstLine="560" w:firstLineChars="200"/>
        <w:contextualSpacing/>
        <w:jc w:val="left"/>
        <w:rPr>
          <w:rFonts w:ascii="黑体" w:hAnsi="宋体" w:eastAsia="黑体" w:cs="宋体"/>
          <w:color w:val="000000"/>
          <w:kern w:val="0"/>
          <w:sz w:val="28"/>
          <w:szCs w:val="28"/>
          <w:shd w:val="clear" w:color="auto" w:fill="FFFFFF"/>
        </w:rPr>
      </w:pPr>
      <w:r>
        <w:rPr>
          <w:rFonts w:hint="eastAsia" w:ascii="黑体" w:hAnsi="宋体" w:eastAsia="黑体" w:cs="宋体"/>
          <w:color w:val="000000"/>
          <w:kern w:val="0"/>
          <w:sz w:val="28"/>
          <w:szCs w:val="28"/>
          <w:shd w:val="clear" w:color="auto" w:fill="FFFFFF"/>
        </w:rPr>
        <w:t>三、部门整体预算绩效管理情况</w:t>
      </w:r>
    </w:p>
    <w:p>
      <w:pPr>
        <w:widowControl/>
        <w:adjustRightInd w:val="0"/>
        <w:snapToGrid w:val="0"/>
        <w:spacing w:line="580" w:lineRule="exact"/>
        <w:ind w:firstLine="560" w:firstLineChars="200"/>
        <w:contextualSpacing/>
        <w:jc w:val="left"/>
        <w:rPr>
          <w:rFonts w:ascii="仿宋_GB2312" w:hAnsi="宋体" w:eastAsia="仿宋_GB2312" w:cs="宋体"/>
          <w:color w:val="000000"/>
          <w:kern w:val="0"/>
          <w:sz w:val="28"/>
          <w:szCs w:val="28"/>
          <w:shd w:val="clear" w:color="auto" w:fill="FFFFFF"/>
          <w:lang w:val="zh-CN"/>
        </w:rPr>
      </w:pPr>
      <w:r>
        <w:rPr>
          <w:rFonts w:hint="eastAsia" w:ascii="仿宋_GB2312" w:hAnsi="宋体" w:eastAsia="仿宋_GB2312" w:cs="宋体"/>
          <w:color w:val="000000"/>
          <w:kern w:val="0"/>
          <w:sz w:val="28"/>
          <w:szCs w:val="28"/>
          <w:shd w:val="clear" w:color="auto" w:fill="FFFFFF"/>
          <w:lang w:val="zh-CN"/>
        </w:rPr>
        <w:t>（一）部门预算管理。</w:t>
      </w:r>
    </w:p>
    <w:p>
      <w:pPr>
        <w:snapToGrid w:val="0"/>
        <w:spacing w:line="52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我单位成立了以校长为组长的财务管理、决算组织、编报、审核的领导校长，分管财务副校长任副组长，工会主席、教师代表及总务处和财务室人员为</w:t>
      </w:r>
      <w:r>
        <w:rPr>
          <w:rFonts w:hint="eastAsia" w:ascii="仿宋_GB2312" w:hAnsi="仿宋" w:eastAsia="仿宋_GB2312"/>
          <w:sz w:val="28"/>
          <w:szCs w:val="28"/>
          <w:lang w:eastAsia="zh-CN"/>
        </w:rPr>
        <w:t>成员的</w:t>
      </w:r>
      <w:r>
        <w:rPr>
          <w:rFonts w:hint="eastAsia" w:ascii="仿宋_GB2312" w:hAnsi="仿宋" w:eastAsia="仿宋_GB2312"/>
          <w:sz w:val="28"/>
          <w:szCs w:val="28"/>
        </w:rPr>
        <w:t>领导小组；主要有总务处及财务室核对指标，分析数据，组织编报；最后报请教代会审核。</w:t>
      </w:r>
    </w:p>
    <w:p>
      <w:pPr>
        <w:snapToGrid w:val="0"/>
        <w:spacing w:line="520" w:lineRule="exact"/>
        <w:ind w:firstLine="560" w:firstLineChars="200"/>
        <w:rPr>
          <w:rFonts w:hint="eastAsia" w:ascii="仿宋_GB2312" w:hAnsi="仿宋" w:eastAsia="仿宋_GB2312"/>
          <w:sz w:val="28"/>
          <w:szCs w:val="28"/>
          <w:lang w:eastAsia="zh-CN"/>
        </w:rPr>
      </w:pPr>
      <w:r>
        <w:rPr>
          <w:rFonts w:hint="eastAsia" w:ascii="仿宋_GB2312" w:hAnsi="仿宋" w:eastAsia="仿宋_GB2312"/>
          <w:sz w:val="28"/>
          <w:szCs w:val="28"/>
        </w:rPr>
        <w:t>本单位决算公开工作、主管部门对所属单位按规定批复决算工作开展情况。我校严格按照相关规定，在规定的时间及网站及时公开</w:t>
      </w:r>
      <w:r>
        <w:rPr>
          <w:rFonts w:hint="eastAsia" w:ascii="仿宋_GB2312" w:hAnsi="仿宋" w:eastAsia="仿宋_GB2312"/>
          <w:sz w:val="28"/>
          <w:szCs w:val="28"/>
          <w:lang w:eastAsia="zh-CN"/>
        </w:rPr>
        <w:t>。</w:t>
      </w:r>
    </w:p>
    <w:p>
      <w:pPr>
        <w:widowControl/>
        <w:adjustRightInd w:val="0"/>
        <w:snapToGrid w:val="0"/>
        <w:spacing w:line="580" w:lineRule="exact"/>
        <w:ind w:firstLine="560" w:firstLineChars="200"/>
        <w:contextualSpacing/>
        <w:jc w:val="left"/>
        <w:rPr>
          <w:rFonts w:ascii="仿宋_GB2312" w:hAnsi="宋体" w:eastAsia="仿宋_GB2312" w:cs="宋体"/>
          <w:color w:val="000000"/>
          <w:kern w:val="0"/>
          <w:sz w:val="28"/>
          <w:szCs w:val="28"/>
          <w:shd w:val="clear" w:color="auto" w:fill="FFFFFF"/>
          <w:lang w:val="zh-CN"/>
        </w:rPr>
      </w:pPr>
      <w:r>
        <w:rPr>
          <w:rFonts w:hint="eastAsia" w:ascii="仿宋_GB2312" w:hAnsi="宋体" w:eastAsia="仿宋_GB2312" w:cs="宋体"/>
          <w:color w:val="000000"/>
          <w:kern w:val="0"/>
          <w:sz w:val="28"/>
          <w:szCs w:val="28"/>
          <w:shd w:val="clear" w:color="auto" w:fill="FFFFFF"/>
          <w:lang w:val="zh-CN"/>
        </w:rPr>
        <w:t>（二）结果应用情况。</w:t>
      </w:r>
    </w:p>
    <w:p>
      <w:pPr>
        <w:widowControl/>
        <w:adjustRightInd w:val="0"/>
        <w:snapToGrid w:val="0"/>
        <w:spacing w:line="580" w:lineRule="exact"/>
        <w:ind w:firstLine="560" w:firstLineChars="200"/>
        <w:contextualSpacing/>
        <w:jc w:val="left"/>
        <w:rPr>
          <w:rFonts w:ascii="仿宋_GB2312" w:hAnsi="宋体" w:eastAsia="仿宋_GB2312" w:cs="宋体"/>
          <w:color w:val="000000"/>
          <w:kern w:val="0"/>
          <w:sz w:val="28"/>
          <w:szCs w:val="28"/>
          <w:shd w:val="clear" w:color="auto" w:fill="FFFFFF"/>
          <w:lang w:val="zh-CN"/>
        </w:rPr>
      </w:pPr>
      <w:r>
        <w:rPr>
          <w:rFonts w:hint="eastAsia" w:ascii="仿宋_GB2312" w:hAnsi="宋体" w:eastAsia="仿宋_GB2312" w:cs="宋体"/>
          <w:color w:val="000000"/>
          <w:kern w:val="0"/>
          <w:sz w:val="28"/>
          <w:szCs w:val="28"/>
          <w:shd w:val="clear" w:color="auto" w:fill="FFFFFF"/>
          <w:lang w:val="zh-CN"/>
        </w:rPr>
        <w:t>包括绩效自评公开、评价结果整改和应用结果反馈等情况。</w:t>
      </w:r>
    </w:p>
    <w:p>
      <w:pPr>
        <w:widowControl/>
        <w:adjustRightInd w:val="0"/>
        <w:snapToGrid w:val="0"/>
        <w:spacing w:line="580" w:lineRule="exact"/>
        <w:ind w:firstLine="560" w:firstLineChars="200"/>
        <w:contextualSpacing/>
        <w:jc w:val="left"/>
        <w:rPr>
          <w:rFonts w:ascii="黑体" w:hAnsi="宋体" w:eastAsia="黑体" w:cs="宋体"/>
          <w:color w:val="000000"/>
          <w:kern w:val="0"/>
          <w:sz w:val="28"/>
          <w:szCs w:val="28"/>
          <w:shd w:val="clear" w:color="auto" w:fill="FFFFFF"/>
        </w:rPr>
      </w:pPr>
      <w:r>
        <w:rPr>
          <w:rFonts w:hint="eastAsia" w:ascii="黑体" w:hAnsi="宋体" w:eastAsia="黑体" w:cs="宋体"/>
          <w:color w:val="000000"/>
          <w:kern w:val="0"/>
          <w:sz w:val="28"/>
          <w:szCs w:val="28"/>
          <w:shd w:val="clear" w:color="auto" w:fill="FFFFFF"/>
        </w:rPr>
        <w:t>四、评价结论及建议</w:t>
      </w:r>
    </w:p>
    <w:p>
      <w:pPr>
        <w:widowControl/>
        <w:adjustRightInd w:val="0"/>
        <w:snapToGrid w:val="0"/>
        <w:spacing w:line="580" w:lineRule="exact"/>
        <w:ind w:firstLine="560" w:firstLineChars="200"/>
        <w:contextualSpacing/>
        <w:jc w:val="left"/>
        <w:rPr>
          <w:rFonts w:hint="eastAsia" w:ascii="仿宋_GB2312" w:hAnsi="宋体" w:eastAsia="仿宋_GB2312" w:cs="宋体"/>
          <w:color w:val="000000"/>
          <w:kern w:val="0"/>
          <w:sz w:val="28"/>
          <w:szCs w:val="28"/>
          <w:shd w:val="clear" w:color="auto" w:fill="FFFFFF"/>
          <w:lang w:val="zh-CN"/>
        </w:rPr>
      </w:pPr>
      <w:r>
        <w:rPr>
          <w:rFonts w:hint="eastAsia" w:ascii="仿宋_GB2312" w:hAnsi="宋体" w:eastAsia="仿宋_GB2312" w:cs="宋体"/>
          <w:color w:val="000000"/>
          <w:kern w:val="0"/>
          <w:sz w:val="28"/>
          <w:szCs w:val="28"/>
          <w:shd w:val="clear" w:color="auto" w:fill="FFFFFF"/>
          <w:lang w:val="zh-CN"/>
        </w:rPr>
        <w:t>（一）评价结论。</w:t>
      </w:r>
    </w:p>
    <w:p>
      <w:pPr>
        <w:snapToGrid w:val="0"/>
        <w:spacing w:line="52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1.项目绩效目标完成</w:t>
      </w:r>
      <w:r>
        <w:rPr>
          <w:rFonts w:hint="eastAsia" w:ascii="仿宋_GB2312" w:hAnsi="仿宋" w:eastAsia="仿宋_GB2312"/>
          <w:sz w:val="28"/>
          <w:szCs w:val="28"/>
          <w:lang w:val="en-US" w:eastAsia="zh-CN"/>
        </w:rPr>
        <w:t>100%</w:t>
      </w:r>
      <w:r>
        <w:rPr>
          <w:rFonts w:hint="eastAsia" w:ascii="仿宋_GB2312" w:hAnsi="仿宋" w:eastAsia="仿宋_GB2312"/>
          <w:sz w:val="28"/>
          <w:szCs w:val="28"/>
        </w:rPr>
        <w:t>。</w:t>
      </w:r>
    </w:p>
    <w:p>
      <w:pPr>
        <w:snapToGrid w:val="0"/>
        <w:spacing w:line="52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2.本单位整体支出绩效目标完成</w:t>
      </w:r>
      <w:r>
        <w:rPr>
          <w:rFonts w:hint="eastAsia" w:ascii="仿宋_GB2312" w:hAnsi="仿宋" w:eastAsia="仿宋_GB2312"/>
          <w:sz w:val="28"/>
          <w:szCs w:val="28"/>
          <w:lang w:val="en-US" w:eastAsia="zh-CN"/>
        </w:rPr>
        <w:t>100%</w:t>
      </w:r>
      <w:r>
        <w:rPr>
          <w:rFonts w:hint="eastAsia" w:ascii="仿宋_GB2312" w:hAnsi="仿宋" w:eastAsia="仿宋_GB2312"/>
          <w:sz w:val="28"/>
          <w:szCs w:val="28"/>
        </w:rPr>
        <w:t>。</w:t>
      </w:r>
    </w:p>
    <w:p>
      <w:pPr>
        <w:widowControl/>
        <w:adjustRightInd w:val="0"/>
        <w:snapToGrid w:val="0"/>
        <w:spacing w:line="580" w:lineRule="exact"/>
        <w:ind w:firstLine="560" w:firstLineChars="200"/>
        <w:contextualSpacing/>
        <w:jc w:val="left"/>
        <w:rPr>
          <w:rFonts w:hint="eastAsia" w:ascii="仿宋_GB2312" w:hAnsi="宋体" w:eastAsia="仿宋_GB2312" w:cs="宋体"/>
          <w:color w:val="000000"/>
          <w:kern w:val="0"/>
          <w:sz w:val="28"/>
          <w:szCs w:val="28"/>
          <w:shd w:val="clear" w:color="auto" w:fill="FFFFFF"/>
          <w:lang w:val="zh-CN"/>
        </w:rPr>
      </w:pPr>
      <w:r>
        <w:rPr>
          <w:rFonts w:hint="eastAsia" w:ascii="仿宋_GB2312" w:hAnsi="宋体" w:eastAsia="仿宋_GB2312" w:cs="宋体"/>
          <w:color w:val="000000"/>
          <w:kern w:val="0"/>
          <w:sz w:val="28"/>
          <w:szCs w:val="28"/>
          <w:shd w:val="clear" w:color="auto" w:fill="FFFFFF"/>
          <w:lang w:val="zh-CN"/>
        </w:rPr>
        <w:t>（二）存在问题。</w:t>
      </w:r>
    </w:p>
    <w:p>
      <w:pPr>
        <w:snapToGrid w:val="0"/>
        <w:spacing w:line="520" w:lineRule="exact"/>
        <w:ind w:firstLine="560" w:firstLineChars="200"/>
        <w:rPr>
          <w:rFonts w:hint="eastAsia" w:ascii="仿宋_GB2312" w:hAnsi="仿宋" w:eastAsia="仿宋_GB2312"/>
          <w:sz w:val="28"/>
          <w:szCs w:val="28"/>
          <w:lang w:eastAsia="zh-CN"/>
        </w:rPr>
      </w:pPr>
      <w:r>
        <w:rPr>
          <w:rFonts w:hint="eastAsia" w:ascii="仿宋_GB2312" w:hAnsi="仿宋" w:eastAsia="仿宋_GB2312"/>
          <w:sz w:val="28"/>
          <w:szCs w:val="28"/>
          <w:lang w:eastAsia="zh-CN"/>
        </w:rPr>
        <w:t>当年预算执行及绩效管理中不存在问题。</w:t>
      </w:r>
    </w:p>
    <w:p>
      <w:pPr>
        <w:widowControl/>
        <w:adjustRightInd w:val="0"/>
        <w:snapToGrid w:val="0"/>
        <w:spacing w:line="580" w:lineRule="exact"/>
        <w:ind w:firstLine="560" w:firstLineChars="200"/>
        <w:contextualSpacing/>
        <w:jc w:val="left"/>
        <w:rPr>
          <w:rFonts w:ascii="仿宋_GB2312" w:hAnsi="宋体" w:eastAsia="仿宋_GB2312" w:cs="宋体"/>
          <w:color w:val="000000"/>
          <w:kern w:val="0"/>
          <w:sz w:val="28"/>
          <w:szCs w:val="28"/>
          <w:shd w:val="clear" w:color="auto" w:fill="FFFFFF"/>
          <w:lang w:val="zh-CN"/>
        </w:rPr>
      </w:pPr>
      <w:r>
        <w:rPr>
          <w:rFonts w:hint="eastAsia" w:ascii="仿宋_GB2312" w:hAnsi="宋体" w:eastAsia="仿宋_GB2312" w:cs="宋体"/>
          <w:color w:val="000000"/>
          <w:kern w:val="0"/>
          <w:sz w:val="28"/>
          <w:szCs w:val="28"/>
          <w:shd w:val="clear" w:color="auto" w:fill="FFFFFF"/>
          <w:lang w:val="zh-CN"/>
        </w:rPr>
        <w:t>（三）改进建议。</w:t>
      </w:r>
    </w:p>
    <w:p>
      <w:pPr>
        <w:pStyle w:val="12"/>
        <w:spacing w:line="420" w:lineRule="exact"/>
        <w:ind w:firstLine="560" w:firstLineChars="200"/>
        <w:rPr>
          <w:rFonts w:ascii="仿宋_GB2312" w:hAnsi="仿宋" w:eastAsia="仿宋_GB2312" w:cs="Times New Roman"/>
          <w:kern w:val="2"/>
          <w:sz w:val="28"/>
          <w:szCs w:val="28"/>
        </w:rPr>
      </w:pPr>
      <w:r>
        <w:rPr>
          <w:rFonts w:ascii="仿宋_GB2312" w:hAnsi="仿宋" w:eastAsia="仿宋_GB2312" w:cs="Times New Roman"/>
          <w:kern w:val="2"/>
          <w:sz w:val="28"/>
          <w:szCs w:val="28"/>
        </w:rPr>
        <w:t>1.</w:t>
      </w:r>
      <w:r>
        <w:rPr>
          <w:rFonts w:hint="eastAsia" w:ascii="仿宋_GB2312" w:hAnsi="仿宋" w:eastAsia="仿宋_GB2312" w:cs="Times New Roman"/>
          <w:kern w:val="2"/>
          <w:sz w:val="28"/>
          <w:szCs w:val="28"/>
        </w:rPr>
        <w:t>积极做好对应收款的清理工作；</w:t>
      </w:r>
    </w:p>
    <w:p>
      <w:pPr>
        <w:pStyle w:val="12"/>
        <w:spacing w:line="420" w:lineRule="exact"/>
        <w:ind w:firstLine="560" w:firstLineChars="200"/>
        <w:rPr>
          <w:rFonts w:ascii="仿宋_GB2312" w:hAnsi="仿宋" w:eastAsia="仿宋_GB2312" w:cs="Times New Roman"/>
          <w:kern w:val="2"/>
          <w:sz w:val="28"/>
          <w:szCs w:val="28"/>
        </w:rPr>
      </w:pPr>
      <w:r>
        <w:rPr>
          <w:rFonts w:ascii="仿宋_GB2312" w:hAnsi="仿宋" w:eastAsia="仿宋_GB2312" w:cs="Times New Roman"/>
          <w:kern w:val="2"/>
          <w:sz w:val="28"/>
          <w:szCs w:val="28"/>
        </w:rPr>
        <w:t>2.</w:t>
      </w:r>
      <w:r>
        <w:rPr>
          <w:rFonts w:hint="eastAsia" w:ascii="仿宋_GB2312" w:hAnsi="仿宋" w:eastAsia="仿宋_GB2312" w:cs="Times New Roman"/>
          <w:kern w:val="2"/>
          <w:sz w:val="28"/>
          <w:szCs w:val="28"/>
        </w:rPr>
        <w:t>加强对固定资产的管理；</w:t>
      </w:r>
    </w:p>
    <w:p>
      <w:pPr>
        <w:pStyle w:val="12"/>
        <w:spacing w:line="420" w:lineRule="exact"/>
        <w:ind w:firstLine="560" w:firstLineChars="200"/>
        <w:rPr>
          <w:rFonts w:ascii="仿宋_GB2312" w:hAnsi="仿宋" w:eastAsia="仿宋_GB2312" w:cs="Times New Roman"/>
          <w:kern w:val="2"/>
          <w:sz w:val="28"/>
          <w:szCs w:val="28"/>
        </w:rPr>
      </w:pPr>
      <w:r>
        <w:rPr>
          <w:rFonts w:ascii="仿宋_GB2312" w:hAnsi="仿宋" w:eastAsia="仿宋_GB2312" w:cs="Times New Roman"/>
          <w:kern w:val="2"/>
          <w:sz w:val="28"/>
          <w:szCs w:val="28"/>
        </w:rPr>
        <w:t>3.</w:t>
      </w:r>
      <w:r>
        <w:rPr>
          <w:rFonts w:hint="eastAsia" w:ascii="仿宋_GB2312" w:hAnsi="仿宋" w:eastAsia="仿宋_GB2312" w:cs="Times New Roman"/>
          <w:kern w:val="2"/>
          <w:sz w:val="28"/>
          <w:szCs w:val="28"/>
        </w:rPr>
        <w:t>重视日常财务收支管理；</w:t>
      </w:r>
    </w:p>
    <w:p>
      <w:pPr>
        <w:snapToGrid w:val="0"/>
        <w:spacing w:line="240" w:lineRule="auto"/>
        <w:ind w:firstLine="560" w:firstLineChars="200"/>
        <w:jc w:val="left"/>
        <w:rPr>
          <w:rFonts w:hint="eastAsia" w:ascii="仿宋_GB2312" w:hAnsi="仿宋" w:eastAsia="仿宋_GB2312"/>
          <w:sz w:val="28"/>
          <w:szCs w:val="28"/>
          <w:lang w:eastAsia="zh-CN"/>
        </w:rPr>
      </w:pPr>
      <w:r>
        <w:rPr>
          <w:rFonts w:ascii="仿宋_GB2312" w:hAnsi="仿宋" w:eastAsia="仿宋_GB2312" w:cs="Times New Roman"/>
          <w:kern w:val="2"/>
          <w:sz w:val="28"/>
          <w:szCs w:val="28"/>
        </w:rPr>
        <w:t>4.</w:t>
      </w:r>
      <w:r>
        <w:rPr>
          <w:rFonts w:hint="eastAsia" w:ascii="仿宋_GB2312" w:hAnsi="仿宋" w:eastAsia="仿宋_GB2312" w:cs="Times New Roman"/>
          <w:kern w:val="2"/>
          <w:sz w:val="28"/>
          <w:szCs w:val="28"/>
        </w:rPr>
        <w:t>认真做好年终决算工作。</w:t>
      </w:r>
      <w:r>
        <w:rPr>
          <w:rFonts w:hint="eastAsia" w:ascii="仿宋_GB2312" w:hAnsi="仿宋" w:eastAsia="仿宋_GB2312"/>
          <w:sz w:val="28"/>
          <w:szCs w:val="28"/>
          <w:lang w:eastAsia="zh-CN"/>
        </w:rPr>
        <w:drawing>
          <wp:inline distT="0" distB="0" distL="114300" distR="114300">
            <wp:extent cx="5266690" cy="7022465"/>
            <wp:effectExtent l="0" t="0" r="6350" b="3175"/>
            <wp:docPr id="3" name="图片 3" descr="整体绩效支出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整体绩效支出表"/>
                    <pic:cNvPicPr>
                      <a:picLocks noChangeAspect="1"/>
                    </pic:cNvPicPr>
                  </pic:nvPicPr>
                  <pic:blipFill>
                    <a:blip r:embed="rId12"/>
                    <a:stretch>
                      <a:fillRect/>
                    </a:stretch>
                  </pic:blipFill>
                  <pic:spPr>
                    <a:xfrm>
                      <a:off x="0" y="0"/>
                      <a:ext cx="5266690" cy="7022465"/>
                    </a:xfrm>
                    <a:prstGeom prst="rect">
                      <a:avLst/>
                    </a:prstGeom>
                  </pic:spPr>
                </pic:pic>
              </a:graphicData>
            </a:graphic>
          </wp:inline>
        </w:drawing>
      </w:r>
    </w:p>
    <w:p>
      <w:pPr>
        <w:spacing w:line="240" w:lineRule="auto"/>
        <w:rPr>
          <w:rFonts w:hint="eastAsia" w:asciiTheme="minorEastAsia" w:hAnsiTheme="minorEastAsia" w:eastAsiaTheme="minorEastAsia" w:cstheme="minorEastAsia"/>
          <w:color w:val="000000"/>
          <w:kern w:val="0"/>
          <w:sz w:val="28"/>
          <w:szCs w:val="28"/>
          <w:lang w:val="en-US" w:eastAsia="zh-CN" w:bidi="ar-SA"/>
        </w:rPr>
      </w:pPr>
    </w:p>
    <w:p>
      <w:pPr>
        <w:tabs>
          <w:tab w:val="left" w:pos="4678"/>
        </w:tabs>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　　　　　　　　　　　　　　　　　　　</w:t>
      </w:r>
    </w:p>
    <w:p>
      <w:pPr>
        <w:numPr>
          <w:ilvl w:val="0"/>
          <w:numId w:val="0"/>
        </w:numPr>
        <w:spacing w:line="600" w:lineRule="exact"/>
        <w:jc w:val="center"/>
        <w:outlineLvl w:val="0"/>
        <w:rPr>
          <w:rStyle w:val="26"/>
          <w:rFonts w:hint="eastAsia" w:asciiTheme="minorEastAsia" w:hAnsiTheme="minorEastAsia" w:eastAsiaTheme="minorEastAsia" w:cstheme="minorEastAsia"/>
          <w:b w:val="0"/>
          <w:lang w:eastAsia="zh-CN"/>
        </w:rPr>
      </w:pPr>
      <w:bookmarkStart w:id="76" w:name="_Toc15480"/>
      <w:bookmarkStart w:id="77" w:name="_Toc15396618"/>
    </w:p>
    <w:p>
      <w:pPr>
        <w:numPr>
          <w:ilvl w:val="0"/>
          <w:numId w:val="0"/>
        </w:numPr>
        <w:spacing w:line="600" w:lineRule="exact"/>
        <w:jc w:val="center"/>
        <w:outlineLvl w:val="0"/>
        <w:rPr>
          <w:rStyle w:val="26"/>
          <w:rFonts w:hint="eastAsia" w:asciiTheme="minorEastAsia" w:hAnsiTheme="minorEastAsia" w:eastAsiaTheme="minorEastAsia" w:cstheme="minorEastAsia"/>
          <w:b w:val="0"/>
          <w:lang w:eastAsia="zh-CN"/>
        </w:rPr>
      </w:pPr>
    </w:p>
    <w:p>
      <w:pPr>
        <w:numPr>
          <w:ilvl w:val="0"/>
          <w:numId w:val="0"/>
        </w:numPr>
        <w:spacing w:line="600" w:lineRule="exact"/>
        <w:jc w:val="center"/>
        <w:outlineLvl w:val="0"/>
        <w:rPr>
          <w:rStyle w:val="26"/>
          <w:rFonts w:hint="eastAsia" w:asciiTheme="minorEastAsia" w:hAnsiTheme="minorEastAsia" w:eastAsiaTheme="minorEastAsia" w:cstheme="minorEastAsia"/>
          <w:b w:val="0"/>
        </w:rPr>
      </w:pPr>
      <w:r>
        <w:rPr>
          <w:rStyle w:val="26"/>
          <w:rFonts w:hint="eastAsia" w:asciiTheme="minorEastAsia" w:hAnsiTheme="minorEastAsia" w:eastAsiaTheme="minorEastAsia" w:cstheme="minorEastAsia"/>
          <w:b w:val="0"/>
          <w:lang w:eastAsia="zh-CN"/>
        </w:rPr>
        <w:t>第五部分　</w:t>
      </w:r>
      <w:r>
        <w:rPr>
          <w:rStyle w:val="26"/>
          <w:rFonts w:hint="eastAsia" w:asciiTheme="minorEastAsia" w:hAnsiTheme="minorEastAsia" w:eastAsiaTheme="minorEastAsia" w:cstheme="minorEastAsia"/>
          <w:b w:val="0"/>
        </w:rPr>
        <w:t>附表</w:t>
      </w:r>
      <w:bookmarkEnd w:id="74"/>
      <w:bookmarkEnd w:id="76"/>
      <w:bookmarkEnd w:id="77"/>
      <w:bookmarkStart w:id="78" w:name="_Toc15396619"/>
    </w:p>
    <w:p>
      <w:pPr>
        <w:numPr>
          <w:ilvl w:val="0"/>
          <w:numId w:val="4"/>
        </w:numPr>
        <w:spacing w:line="600" w:lineRule="exact"/>
        <w:ind w:left="315" w:leftChars="150"/>
        <w:outlineLvl w:val="1"/>
        <w:rPr>
          <w:rStyle w:val="27"/>
          <w:rFonts w:hint="eastAsia" w:asciiTheme="minorEastAsia" w:hAnsiTheme="minorEastAsia" w:eastAsiaTheme="minorEastAsia" w:cstheme="minorEastAsia"/>
          <w:b w:val="0"/>
          <w:bCs w:val="0"/>
          <w:sz w:val="28"/>
          <w:szCs w:val="28"/>
        </w:rPr>
      </w:pPr>
      <w:bookmarkStart w:id="79" w:name="_Toc13786"/>
      <w:r>
        <w:rPr>
          <w:rFonts w:hint="eastAsia" w:asciiTheme="minorEastAsia" w:hAnsiTheme="minorEastAsia" w:eastAsiaTheme="minorEastAsia" w:cstheme="minorEastAsia"/>
          <w:color w:val="000000"/>
          <w:sz w:val="28"/>
          <w:szCs w:val="28"/>
        </w:rPr>
        <w:t>2020年收入支出决算总表</w:t>
      </w:r>
      <w:bookmarkEnd w:id="78"/>
      <w:bookmarkEnd w:id="79"/>
      <w:bookmarkStart w:id="80" w:name="_Toc15396620"/>
    </w:p>
    <w:p>
      <w:pPr>
        <w:numPr>
          <w:ilvl w:val="0"/>
          <w:numId w:val="4"/>
        </w:numPr>
        <w:spacing w:line="600" w:lineRule="exact"/>
        <w:ind w:left="315" w:leftChars="150"/>
        <w:outlineLvl w:val="1"/>
        <w:rPr>
          <w:rFonts w:hint="eastAsia" w:asciiTheme="minorEastAsia" w:hAnsiTheme="minorEastAsia" w:eastAsiaTheme="minorEastAsia" w:cstheme="minorEastAsia"/>
          <w:color w:val="000000"/>
          <w:sz w:val="28"/>
          <w:szCs w:val="28"/>
        </w:rPr>
      </w:pPr>
      <w:bookmarkStart w:id="81" w:name="_Toc5888"/>
      <w:r>
        <w:rPr>
          <w:rFonts w:hint="eastAsia" w:asciiTheme="minorEastAsia" w:hAnsiTheme="minorEastAsia" w:eastAsiaTheme="minorEastAsia" w:cstheme="minorEastAsia"/>
          <w:b w:val="0"/>
          <w:color w:val="000000"/>
          <w:sz w:val="28"/>
          <w:szCs w:val="28"/>
        </w:rPr>
        <w:t>2020年收入总表</w:t>
      </w:r>
      <w:bookmarkEnd w:id="80"/>
      <w:bookmarkEnd w:id="81"/>
    </w:p>
    <w:p>
      <w:pPr>
        <w:numPr>
          <w:ilvl w:val="0"/>
          <w:numId w:val="4"/>
        </w:numPr>
        <w:spacing w:line="600" w:lineRule="exact"/>
        <w:ind w:left="315" w:leftChars="150"/>
        <w:outlineLvl w:val="1"/>
        <w:rPr>
          <w:rFonts w:hint="eastAsia" w:asciiTheme="minorEastAsia" w:hAnsiTheme="minorEastAsia" w:eastAsiaTheme="minorEastAsia" w:cstheme="minorEastAsia"/>
          <w:b w:val="0"/>
          <w:color w:val="000000"/>
          <w:sz w:val="28"/>
          <w:szCs w:val="28"/>
        </w:rPr>
      </w:pPr>
      <w:bookmarkStart w:id="82" w:name="_Toc18590"/>
      <w:r>
        <w:rPr>
          <w:rStyle w:val="27"/>
          <w:rFonts w:hint="eastAsia" w:asciiTheme="minorEastAsia" w:hAnsiTheme="minorEastAsia" w:eastAsiaTheme="minorEastAsia" w:cstheme="minorEastAsia"/>
          <w:b w:val="0"/>
          <w:bCs w:val="0"/>
          <w:sz w:val="28"/>
          <w:szCs w:val="28"/>
        </w:rPr>
        <w:t>2020年支出总表</w:t>
      </w:r>
      <w:bookmarkEnd w:id="82"/>
    </w:p>
    <w:p>
      <w:pPr>
        <w:numPr>
          <w:ilvl w:val="0"/>
          <w:numId w:val="4"/>
        </w:numPr>
        <w:spacing w:line="600" w:lineRule="exact"/>
        <w:ind w:left="315" w:leftChars="150"/>
        <w:outlineLvl w:val="1"/>
        <w:rPr>
          <w:rFonts w:hint="eastAsia" w:asciiTheme="minorEastAsia" w:hAnsiTheme="minorEastAsia" w:eastAsiaTheme="minorEastAsia" w:cstheme="minorEastAsia"/>
          <w:color w:val="000000"/>
          <w:sz w:val="28"/>
          <w:szCs w:val="28"/>
        </w:rPr>
      </w:pPr>
      <w:bookmarkStart w:id="83" w:name="_Toc15810"/>
      <w:r>
        <w:rPr>
          <w:rStyle w:val="27"/>
          <w:rFonts w:hint="eastAsia" w:asciiTheme="minorEastAsia" w:hAnsiTheme="minorEastAsia" w:eastAsiaTheme="minorEastAsia" w:cstheme="minorEastAsia"/>
          <w:b w:val="0"/>
          <w:bCs w:val="0"/>
          <w:sz w:val="28"/>
          <w:szCs w:val="28"/>
        </w:rPr>
        <w:t>2020年财政拨款收入支出决算总表</w:t>
      </w:r>
      <w:bookmarkEnd w:id="83"/>
    </w:p>
    <w:p>
      <w:pPr>
        <w:numPr>
          <w:ilvl w:val="0"/>
          <w:numId w:val="4"/>
        </w:numPr>
        <w:spacing w:line="600" w:lineRule="exact"/>
        <w:ind w:left="315" w:leftChars="150"/>
        <w:outlineLvl w:val="1"/>
        <w:rPr>
          <w:rFonts w:hint="eastAsia" w:asciiTheme="minorEastAsia" w:hAnsiTheme="minorEastAsia" w:eastAsiaTheme="minorEastAsia" w:cstheme="minorEastAsia"/>
          <w:color w:val="000000"/>
          <w:sz w:val="28"/>
          <w:szCs w:val="28"/>
        </w:rPr>
      </w:pPr>
      <w:bookmarkStart w:id="84" w:name="_Toc25804"/>
      <w:r>
        <w:rPr>
          <w:rStyle w:val="27"/>
          <w:rFonts w:hint="eastAsia" w:asciiTheme="minorEastAsia" w:hAnsiTheme="minorEastAsia" w:eastAsiaTheme="minorEastAsia" w:cstheme="minorEastAsia"/>
          <w:b w:val="0"/>
          <w:bCs w:val="0"/>
          <w:sz w:val="28"/>
          <w:szCs w:val="28"/>
        </w:rPr>
        <w:t>2020年财政拨款支出决算明细表（政府经济分类科目）</w:t>
      </w:r>
      <w:bookmarkEnd w:id="84"/>
    </w:p>
    <w:p>
      <w:pPr>
        <w:numPr>
          <w:ilvl w:val="0"/>
          <w:numId w:val="4"/>
        </w:numPr>
        <w:spacing w:line="600" w:lineRule="exact"/>
        <w:ind w:left="315" w:leftChars="150"/>
        <w:outlineLvl w:val="1"/>
        <w:rPr>
          <w:rFonts w:hint="eastAsia" w:asciiTheme="minorEastAsia" w:hAnsiTheme="minorEastAsia" w:eastAsiaTheme="minorEastAsia" w:cstheme="minorEastAsia"/>
          <w:color w:val="000000"/>
          <w:sz w:val="28"/>
          <w:szCs w:val="28"/>
        </w:rPr>
      </w:pPr>
      <w:bookmarkStart w:id="85" w:name="_Toc12029"/>
      <w:r>
        <w:rPr>
          <w:rStyle w:val="27"/>
          <w:rFonts w:hint="eastAsia" w:asciiTheme="minorEastAsia" w:hAnsiTheme="minorEastAsia" w:eastAsiaTheme="minorEastAsia" w:cstheme="minorEastAsia"/>
          <w:b w:val="0"/>
          <w:bCs w:val="0"/>
          <w:sz w:val="28"/>
          <w:szCs w:val="28"/>
        </w:rPr>
        <w:t>2020年一般公共预算财政拨款支出决算表</w:t>
      </w:r>
      <w:bookmarkEnd w:id="85"/>
    </w:p>
    <w:p>
      <w:pPr>
        <w:numPr>
          <w:ilvl w:val="0"/>
          <w:numId w:val="4"/>
        </w:numPr>
        <w:spacing w:line="600" w:lineRule="exact"/>
        <w:ind w:left="315" w:leftChars="150"/>
        <w:outlineLvl w:val="1"/>
        <w:rPr>
          <w:rFonts w:hint="eastAsia" w:asciiTheme="minorEastAsia" w:hAnsiTheme="minorEastAsia" w:eastAsiaTheme="minorEastAsia" w:cstheme="minorEastAsia"/>
          <w:color w:val="000000"/>
          <w:sz w:val="28"/>
          <w:szCs w:val="28"/>
        </w:rPr>
      </w:pPr>
      <w:bookmarkStart w:id="86" w:name="_Toc23143"/>
      <w:r>
        <w:rPr>
          <w:rStyle w:val="27"/>
          <w:rFonts w:hint="eastAsia" w:asciiTheme="minorEastAsia" w:hAnsiTheme="minorEastAsia" w:eastAsiaTheme="minorEastAsia" w:cstheme="minorEastAsia"/>
          <w:b w:val="0"/>
          <w:bCs w:val="0"/>
          <w:sz w:val="28"/>
          <w:szCs w:val="28"/>
        </w:rPr>
        <w:t>2020年一般公共预算财政拨款支出决算明细表</w:t>
      </w:r>
      <w:bookmarkEnd w:id="86"/>
    </w:p>
    <w:p>
      <w:pPr>
        <w:numPr>
          <w:ilvl w:val="0"/>
          <w:numId w:val="4"/>
        </w:numPr>
        <w:spacing w:line="600" w:lineRule="exact"/>
        <w:ind w:left="315" w:leftChars="150"/>
        <w:outlineLvl w:val="1"/>
        <w:rPr>
          <w:rFonts w:hint="eastAsia" w:asciiTheme="minorEastAsia" w:hAnsiTheme="minorEastAsia" w:eastAsiaTheme="minorEastAsia" w:cstheme="minorEastAsia"/>
          <w:color w:val="000000"/>
          <w:sz w:val="28"/>
          <w:szCs w:val="28"/>
        </w:rPr>
      </w:pPr>
      <w:bookmarkStart w:id="87" w:name="_Toc8805"/>
      <w:r>
        <w:rPr>
          <w:rStyle w:val="27"/>
          <w:rFonts w:hint="eastAsia" w:asciiTheme="minorEastAsia" w:hAnsiTheme="minorEastAsia" w:eastAsiaTheme="minorEastAsia" w:cstheme="minorEastAsia"/>
          <w:b w:val="0"/>
          <w:bCs w:val="0"/>
          <w:sz w:val="28"/>
          <w:szCs w:val="28"/>
        </w:rPr>
        <w:t>2020年一般公共预算财政拨款基本支出决算表</w:t>
      </w:r>
      <w:bookmarkEnd w:id="87"/>
    </w:p>
    <w:p>
      <w:pPr>
        <w:numPr>
          <w:ilvl w:val="0"/>
          <w:numId w:val="4"/>
        </w:numPr>
        <w:spacing w:line="600" w:lineRule="exact"/>
        <w:ind w:left="315" w:leftChars="150"/>
        <w:outlineLvl w:val="1"/>
        <w:rPr>
          <w:rFonts w:hint="eastAsia" w:asciiTheme="minorEastAsia" w:hAnsiTheme="minorEastAsia" w:eastAsiaTheme="minorEastAsia" w:cstheme="minorEastAsia"/>
          <w:color w:val="000000"/>
          <w:sz w:val="28"/>
          <w:szCs w:val="28"/>
        </w:rPr>
      </w:pPr>
      <w:bookmarkStart w:id="88" w:name="_Toc29482"/>
      <w:r>
        <w:rPr>
          <w:rStyle w:val="27"/>
          <w:rFonts w:hint="eastAsia" w:asciiTheme="minorEastAsia" w:hAnsiTheme="minorEastAsia" w:eastAsiaTheme="minorEastAsia" w:cstheme="minorEastAsia"/>
          <w:b w:val="0"/>
          <w:bCs w:val="0"/>
          <w:sz w:val="28"/>
          <w:szCs w:val="28"/>
        </w:rPr>
        <w:t>2020年一般公共预算财政拨款项目支出决算表</w:t>
      </w:r>
      <w:bookmarkEnd w:id="88"/>
    </w:p>
    <w:p>
      <w:pPr>
        <w:numPr>
          <w:ilvl w:val="0"/>
          <w:numId w:val="4"/>
        </w:numPr>
        <w:spacing w:line="600" w:lineRule="exact"/>
        <w:ind w:left="315" w:leftChars="150"/>
        <w:outlineLvl w:val="1"/>
        <w:rPr>
          <w:rFonts w:hint="eastAsia" w:asciiTheme="minorEastAsia" w:hAnsiTheme="minorEastAsia" w:eastAsiaTheme="minorEastAsia" w:cstheme="minorEastAsia"/>
          <w:color w:val="000000" w:themeColor="text1"/>
          <w:sz w:val="28"/>
          <w:szCs w:val="28"/>
          <w14:textFill>
            <w14:solidFill>
              <w14:schemeClr w14:val="tx1"/>
            </w14:solidFill>
          </w14:textFill>
        </w:rPr>
      </w:pPr>
      <w:bookmarkStart w:id="89" w:name="_Toc12367"/>
      <w:r>
        <w:rPr>
          <w:rFonts w:hint="eastAsia" w:asciiTheme="minorEastAsia" w:hAnsiTheme="minorEastAsia" w:eastAsiaTheme="minorEastAsia" w:cstheme="minorEastAsia"/>
          <w:b w:val="0"/>
          <w:color w:val="000000"/>
          <w:sz w:val="28"/>
          <w:szCs w:val="28"/>
          <w:lang w:eastAsia="zh-CN"/>
        </w:rPr>
        <w:t>2020</w:t>
      </w:r>
      <w:r>
        <w:rPr>
          <w:rFonts w:hint="eastAsia" w:asciiTheme="minorEastAsia" w:hAnsiTheme="minorEastAsia" w:eastAsiaTheme="minorEastAsia" w:cstheme="minorEastAsia"/>
          <w:b w:val="0"/>
          <w:color w:val="000000"/>
          <w:sz w:val="28"/>
          <w:szCs w:val="28"/>
        </w:rPr>
        <w:t>年一</w:t>
      </w:r>
      <w:r>
        <w:rPr>
          <w:rStyle w:val="27"/>
          <w:rFonts w:hint="eastAsia" w:asciiTheme="minorEastAsia" w:hAnsiTheme="minorEastAsia" w:eastAsiaTheme="minorEastAsia" w:cstheme="minorEastAsia"/>
          <w:b w:val="0"/>
          <w:bCs w:val="0"/>
          <w:sz w:val="28"/>
          <w:szCs w:val="28"/>
        </w:rPr>
        <w:t>般</w:t>
      </w:r>
      <w:r>
        <w:rPr>
          <w:rFonts w:hint="eastAsia" w:asciiTheme="minorEastAsia" w:hAnsiTheme="minorEastAsia" w:eastAsiaTheme="minorEastAsia" w:cstheme="minorEastAsia"/>
          <w:b w:val="0"/>
          <w:bCs w:val="0"/>
          <w:sz w:val="28"/>
          <w:szCs w:val="28"/>
        </w:rPr>
        <w:t>公共预算财政拨款“三公”经费支出决算表</w:t>
      </w:r>
      <w:bookmarkEnd w:id="89"/>
    </w:p>
    <w:p>
      <w:pPr>
        <w:numPr>
          <w:ilvl w:val="0"/>
          <w:numId w:val="4"/>
        </w:numPr>
        <w:spacing w:line="600" w:lineRule="exact"/>
        <w:ind w:left="315" w:leftChars="150"/>
        <w:outlineLvl w:val="1"/>
        <w:rPr>
          <w:rFonts w:hint="eastAsia" w:asciiTheme="minorEastAsia" w:hAnsiTheme="minorEastAsia" w:eastAsiaTheme="minorEastAsia" w:cstheme="minorEastAsia"/>
          <w:color w:val="000000" w:themeColor="text1"/>
          <w:sz w:val="28"/>
          <w:szCs w:val="28"/>
          <w14:textFill>
            <w14:solidFill>
              <w14:schemeClr w14:val="tx1"/>
            </w14:solidFill>
          </w14:textFill>
        </w:rPr>
      </w:pPr>
      <w:bookmarkStart w:id="90" w:name="_Toc11636"/>
      <w:r>
        <w:rPr>
          <w:rFonts w:hint="eastAsia" w:asciiTheme="minorEastAsia" w:hAnsiTheme="minorEastAsia" w:eastAsiaTheme="minorEastAsia" w:cstheme="minorEastAsia"/>
          <w:b w:val="0"/>
          <w:color w:val="000000"/>
          <w:sz w:val="28"/>
          <w:szCs w:val="28"/>
          <w:lang w:eastAsia="zh-CN"/>
        </w:rPr>
        <w:t>2020</w:t>
      </w:r>
      <w:r>
        <w:rPr>
          <w:rFonts w:hint="eastAsia" w:asciiTheme="minorEastAsia" w:hAnsiTheme="minorEastAsia" w:eastAsiaTheme="minorEastAsia" w:cstheme="minorEastAsia"/>
          <w:b w:val="0"/>
          <w:color w:val="000000"/>
          <w:sz w:val="28"/>
          <w:szCs w:val="28"/>
        </w:rPr>
        <w:t>年政</w:t>
      </w:r>
      <w:r>
        <w:rPr>
          <w:rStyle w:val="27"/>
          <w:rFonts w:hint="eastAsia" w:asciiTheme="minorEastAsia" w:hAnsiTheme="minorEastAsia" w:eastAsiaTheme="minorEastAsia" w:cstheme="minorEastAsia"/>
          <w:b w:val="0"/>
          <w:bCs w:val="0"/>
          <w:sz w:val="28"/>
          <w:szCs w:val="28"/>
        </w:rPr>
        <w:t>府性基金预算财政拨款收入支出决算表</w:t>
      </w:r>
      <w:bookmarkEnd w:id="90"/>
    </w:p>
    <w:p>
      <w:pPr>
        <w:numPr>
          <w:ilvl w:val="0"/>
          <w:numId w:val="4"/>
        </w:numPr>
        <w:spacing w:line="600" w:lineRule="exact"/>
        <w:ind w:left="315" w:leftChars="150"/>
        <w:outlineLvl w:val="1"/>
        <w:rPr>
          <w:rFonts w:hint="eastAsia" w:asciiTheme="minorEastAsia" w:hAnsiTheme="minorEastAsia" w:eastAsiaTheme="minorEastAsia" w:cstheme="minorEastAsia"/>
          <w:color w:val="000000" w:themeColor="text1"/>
          <w:sz w:val="28"/>
          <w:szCs w:val="28"/>
          <w14:textFill>
            <w14:solidFill>
              <w14:schemeClr w14:val="tx1"/>
            </w14:solidFill>
          </w14:textFill>
        </w:rPr>
      </w:pPr>
      <w:bookmarkStart w:id="91" w:name="_Toc3961"/>
      <w:r>
        <w:rPr>
          <w:rStyle w:val="27"/>
          <w:rFonts w:hint="eastAsia" w:asciiTheme="minorEastAsia" w:hAnsiTheme="minorEastAsia" w:eastAsiaTheme="minorEastAsia" w:cstheme="minorEastAsia"/>
          <w:b w:val="0"/>
          <w:bCs w:val="0"/>
          <w:sz w:val="28"/>
          <w:szCs w:val="28"/>
        </w:rPr>
        <w:t>2020年政府性基金预算财政拨款“三公”经费支出决算表</w:t>
      </w:r>
      <w:bookmarkEnd w:id="91"/>
    </w:p>
    <w:p>
      <w:pPr>
        <w:numPr>
          <w:ilvl w:val="0"/>
          <w:numId w:val="0"/>
        </w:numPr>
        <w:spacing w:line="600" w:lineRule="exact"/>
        <w:ind w:firstLine="280" w:firstLineChars="100"/>
        <w:outlineLvl w:val="1"/>
        <w:rPr>
          <w:rFonts w:hint="eastAsia" w:asciiTheme="minorEastAsia" w:hAnsiTheme="minorEastAsia" w:eastAsiaTheme="minorEastAsia" w:cstheme="minorEastAsia"/>
          <w:color w:val="000000" w:themeColor="text1"/>
          <w:sz w:val="28"/>
          <w:szCs w:val="28"/>
          <w14:textFill>
            <w14:solidFill>
              <w14:schemeClr w14:val="tx1"/>
            </w14:solidFill>
          </w14:textFill>
        </w:rPr>
      </w:pPr>
      <w:bookmarkStart w:id="92" w:name="_Toc14205"/>
      <w:r>
        <w:rPr>
          <w:rStyle w:val="27"/>
          <w:rFonts w:hint="eastAsia" w:asciiTheme="minorEastAsia" w:hAnsiTheme="minorEastAsia" w:eastAsiaTheme="minorEastAsia" w:cstheme="minorEastAsia"/>
          <w:b w:val="0"/>
          <w:bCs w:val="0"/>
          <w:sz w:val="28"/>
          <w:szCs w:val="28"/>
        </w:rPr>
        <w:t>十三、2020年国有资本经营预算支出决算表</w:t>
      </w:r>
      <w:bookmarkEnd w:id="92"/>
    </w:p>
    <w:p>
      <w:pPr>
        <w:ind w:firstLine="349"/>
        <w:jc w:val="left"/>
        <w:rPr>
          <w:rStyle w:val="27"/>
          <w:rFonts w:hint="eastAsia" w:asciiTheme="minorEastAsia" w:hAnsiTheme="minorEastAsia" w:eastAsiaTheme="minorEastAsia" w:cstheme="minorEastAsia"/>
          <w:b w:val="0"/>
          <w:bCs w:val="0"/>
        </w:rPr>
      </w:pPr>
    </w:p>
    <w:p>
      <w:pPr>
        <w:spacing w:line="600" w:lineRule="exact"/>
        <w:outlineLvl w:val="0"/>
        <w:rPr>
          <w:rStyle w:val="27"/>
          <w:rFonts w:hint="eastAsia" w:asciiTheme="minorEastAsia" w:hAnsiTheme="minorEastAsia" w:eastAsiaTheme="minorEastAsia" w:cstheme="minorEastAsia"/>
          <w:b w:val="0"/>
          <w:bCs w:val="0"/>
        </w:rPr>
      </w:pPr>
    </w:p>
    <w:p>
      <w:pPr>
        <w:pStyle w:val="3"/>
        <w:rPr>
          <w:rFonts w:hint="eastAsia" w:asciiTheme="minorEastAsia" w:hAnsiTheme="minorEastAsia" w:eastAsiaTheme="minorEastAsia" w:cstheme="minorEastAsia"/>
          <w:color w:val="000000" w:themeColor="text1"/>
          <w14:textFill>
            <w14:solidFill>
              <w14:schemeClr w14:val="tx1"/>
            </w14:solidFill>
          </w14:textFill>
        </w:rPr>
      </w:pP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40001" w:csb1="00000000"/>
  </w:font>
  <w:font w:name="方正小标宋简体">
    <w:altName w:val="Arial Unicode MS"/>
    <w:panose1 w:val="02010601030101010101"/>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pPr>
          <w:pStyle w:val="8"/>
          <w:jc w:val="center"/>
        </w:pPr>
        <w:r>
          <w:fldChar w:fldCharType="begin"/>
        </w:r>
        <w:r>
          <w:instrText xml:space="preserve">PAGE   \* MERGEFORMAT</w:instrText>
        </w:r>
        <w:r>
          <w:fldChar w:fldCharType="separate"/>
        </w:r>
        <w:r>
          <w:rPr>
            <w:lang w:val="zh-CN"/>
          </w:rPr>
          <w:t>15</w:t>
        </w:r>
        <w:r>
          <w:rPr>
            <w:lang w:val="zh-CN"/>
          </w:rP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1B2472"/>
    <w:multiLevelType w:val="singleLevel"/>
    <w:tmpl w:val="881B2472"/>
    <w:lvl w:ilvl="0" w:tentative="0">
      <w:start w:val="3"/>
      <w:numFmt w:val="chineseCounting"/>
      <w:suff w:val="space"/>
      <w:lvlText w:val="第%1部分"/>
      <w:lvlJc w:val="left"/>
      <w:rPr>
        <w:rFonts w:hint="eastAsia"/>
      </w:rPr>
    </w:lvl>
  </w:abstractNum>
  <w:abstractNum w:abstractNumId="1">
    <w:nsid w:val="9B91910F"/>
    <w:multiLevelType w:val="singleLevel"/>
    <w:tmpl w:val="9B91910F"/>
    <w:lvl w:ilvl="0" w:tentative="0">
      <w:start w:val="1"/>
      <w:numFmt w:val="chineseCounting"/>
      <w:suff w:val="nothing"/>
      <w:lvlText w:val="%1、"/>
      <w:lvlJc w:val="left"/>
      <w:rPr>
        <w:rFonts w:hint="eastAsia"/>
      </w:rPr>
    </w:lvl>
  </w:abstractNum>
  <w:abstractNum w:abstractNumId="2">
    <w:nsid w:val="FD56C64E"/>
    <w:multiLevelType w:val="singleLevel"/>
    <w:tmpl w:val="FD56C64E"/>
    <w:lvl w:ilvl="0" w:tentative="0">
      <w:start w:val="2"/>
      <w:numFmt w:val="chineseCounting"/>
      <w:suff w:val="nothing"/>
      <w:lvlText w:val="（%1）"/>
      <w:lvlJc w:val="left"/>
      <w:rPr>
        <w:rFonts w:hint="eastAsia"/>
      </w:rPr>
    </w:lvl>
  </w:abstractNum>
  <w:abstractNum w:abstractNumId="3">
    <w:nsid w:val="30C18D4E"/>
    <w:multiLevelType w:val="singleLevel"/>
    <w:tmpl w:val="30C18D4E"/>
    <w:lvl w:ilvl="0" w:tentative="0">
      <w:start w:val="2"/>
      <w:numFmt w:val="chineseCounting"/>
      <w:suff w:val="nothing"/>
      <w:lvlText w:val="（%1）"/>
      <w:lvlJc w:val="left"/>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NotTrackMoves/>
  <w:documentProtection w:edit="trackedChanges"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yYTBhZThmOTU4YTliMjhiZDc4ZDk4MjhmMTAzNjkifQ=="/>
  </w:docVars>
  <w:rsids>
    <w:rsidRoot w:val="00000000"/>
    <w:rsid w:val="045845B2"/>
    <w:rsid w:val="07115172"/>
    <w:rsid w:val="12A41AD8"/>
    <w:rsid w:val="177E0A04"/>
    <w:rsid w:val="1AC9733D"/>
    <w:rsid w:val="1D2067C3"/>
    <w:rsid w:val="1D306494"/>
    <w:rsid w:val="23D2259E"/>
    <w:rsid w:val="26D91476"/>
    <w:rsid w:val="2BA50709"/>
    <w:rsid w:val="2F364383"/>
    <w:rsid w:val="34130858"/>
    <w:rsid w:val="346758BF"/>
    <w:rsid w:val="3B905C15"/>
    <w:rsid w:val="3BB46AE3"/>
    <w:rsid w:val="3C8A1CD8"/>
    <w:rsid w:val="40EF1920"/>
    <w:rsid w:val="41DD4A1B"/>
    <w:rsid w:val="444B3965"/>
    <w:rsid w:val="4AC912E9"/>
    <w:rsid w:val="4E38650E"/>
    <w:rsid w:val="50E31113"/>
    <w:rsid w:val="595105DA"/>
    <w:rsid w:val="5B980241"/>
    <w:rsid w:val="602E55AC"/>
    <w:rsid w:val="6037088C"/>
    <w:rsid w:val="60F6704A"/>
    <w:rsid w:val="63371207"/>
    <w:rsid w:val="66EF164E"/>
    <w:rsid w:val="68B8588B"/>
    <w:rsid w:val="6A5073EB"/>
    <w:rsid w:val="6ADB3FD9"/>
    <w:rsid w:val="74487A5D"/>
    <w:rsid w:val="75EA1A4A"/>
    <w:rsid w:val="77F07AE7"/>
    <w:rsid w:val="781A452E"/>
    <w:rsid w:val="791805A0"/>
    <w:rsid w:val="7C6C3A35"/>
  </w:rsids>
  <m:mathPr>
    <m:mathFont m:val="Cambria Math"/>
    <m:brkBin m:val="before"/>
    <m:brkBinSub m:val="--"/>
    <m:smallFrac m:val="1"/>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99"/>
    <w:pPr>
      <w:spacing w:beforeLines="30"/>
    </w:pPr>
    <w:rPr>
      <w:rFonts w:ascii="仿宋_GB2312" w:eastAsia="仿宋_GB2312"/>
      <w:kern w:val="0"/>
      <w:sz w:val="30"/>
    </w:rPr>
  </w:style>
  <w:style w:type="paragraph" w:styleId="6">
    <w:name w:val="toc 3"/>
    <w:basedOn w:val="1"/>
    <w:next w:val="1"/>
    <w:unhideWhenUsed/>
    <w:qFormat/>
    <w:uiPriority w:val="39"/>
    <w:pPr>
      <w:tabs>
        <w:tab w:val="right" w:leader="dot" w:pos="8296"/>
      </w:tabs>
      <w:ind w:left="840" w:leftChars="400"/>
    </w:pPr>
  </w:style>
  <w:style w:type="paragraph" w:styleId="7">
    <w:name w:val="Balloon Text"/>
    <w:basedOn w:val="1"/>
    <w:semiHidden/>
    <w:unhideWhenUsed/>
    <w:qFormat/>
    <w:uiPriority w:val="99"/>
    <w:rPr>
      <w:sz w:val="18"/>
      <w:szCs w:val="18"/>
    </w:rPr>
  </w:style>
  <w:style w:type="paragraph" w:styleId="8">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9">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1">
    <w:name w:val="toc 2"/>
    <w:basedOn w:val="1"/>
    <w:next w:val="1"/>
    <w:unhideWhenUsed/>
    <w:qFormat/>
    <w:uiPriority w:val="39"/>
    <w:pPr>
      <w:tabs>
        <w:tab w:val="right" w:leader="dot" w:pos="8296"/>
      </w:tabs>
      <w:ind w:left="420" w:leftChars="200"/>
    </w:pPr>
  </w:style>
  <w:style w:type="paragraph" w:styleId="12">
    <w:name w:val="Normal (Web)"/>
    <w:basedOn w:val="1"/>
    <w:semiHidden/>
    <w:unhideWhenUsed/>
    <w:qFormat/>
    <w:uiPriority w:val="99"/>
    <w:pPr>
      <w:spacing w:beforeAutospacing="1" w:afterAutospacing="1"/>
      <w:jc w:val="left"/>
    </w:pPr>
    <w:rPr>
      <w:kern w:val="0"/>
      <w:sz w:val="24"/>
    </w:rPr>
  </w:style>
  <w:style w:type="table" w:styleId="14">
    <w:name w:val="Table Grid"/>
    <w:basedOn w:val="1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Strong"/>
    <w:basedOn w:val="15"/>
    <w:qFormat/>
    <w:uiPriority w:val="99"/>
    <w:rPr>
      <w:b/>
    </w:rPr>
  </w:style>
  <w:style w:type="character" w:styleId="17">
    <w:name w:val="Hyperlink"/>
    <w:basedOn w:val="15"/>
    <w:unhideWhenUsed/>
    <w:qFormat/>
    <w:uiPriority w:val="99"/>
    <w:rPr>
      <w:color w:val="0000FF" w:themeColor="hyperlink"/>
      <w:u w:val="single"/>
      <w14:textFill>
        <w14:solidFill>
          <w14:schemeClr w14:val="hlink"/>
        </w14:solidFill>
      </w14:textFill>
    </w:rPr>
  </w:style>
  <w:style w:type="character" w:customStyle="1" w:styleId="18">
    <w:name w:val="Header Char"/>
    <w:basedOn w:val="15"/>
    <w:semiHidden/>
    <w:qFormat/>
    <w:uiPriority w:val="99"/>
    <w:rPr>
      <w:rFonts w:ascii="Times New Roman" w:hAnsi="Times New Roman"/>
      <w:sz w:val="18"/>
      <w:szCs w:val="18"/>
    </w:rPr>
  </w:style>
  <w:style w:type="character" w:customStyle="1" w:styleId="19">
    <w:name w:val="页眉 Char"/>
    <w:semiHidden/>
    <w:qFormat/>
    <w:locked/>
    <w:uiPriority w:val="99"/>
    <w:rPr>
      <w:sz w:val="18"/>
    </w:rPr>
  </w:style>
  <w:style w:type="character" w:customStyle="1" w:styleId="20">
    <w:name w:val="Footer Char"/>
    <w:basedOn w:val="15"/>
    <w:semiHidden/>
    <w:qFormat/>
    <w:uiPriority w:val="99"/>
    <w:rPr>
      <w:rFonts w:ascii="Times New Roman" w:hAnsi="Times New Roman"/>
      <w:sz w:val="18"/>
      <w:szCs w:val="18"/>
    </w:rPr>
  </w:style>
  <w:style w:type="character" w:customStyle="1" w:styleId="21">
    <w:name w:val="页脚 Char"/>
    <w:qFormat/>
    <w:locked/>
    <w:uiPriority w:val="99"/>
    <w:rPr>
      <w:sz w:val="18"/>
    </w:rPr>
  </w:style>
  <w:style w:type="character" w:customStyle="1" w:styleId="22">
    <w:name w:val="Body Text Char"/>
    <w:basedOn w:val="15"/>
    <w:semiHidden/>
    <w:qFormat/>
    <w:uiPriority w:val="99"/>
    <w:rPr>
      <w:rFonts w:ascii="Times New Roman" w:hAnsi="Times New Roman"/>
      <w:szCs w:val="24"/>
    </w:rPr>
  </w:style>
  <w:style w:type="character" w:customStyle="1" w:styleId="23">
    <w:name w:val="正文文本 Char"/>
    <w:qFormat/>
    <w:locked/>
    <w:uiPriority w:val="99"/>
    <w:rPr>
      <w:rFonts w:ascii="仿宋_GB2312" w:hAnsi="Times New Roman" w:eastAsia="仿宋_GB2312"/>
      <w:sz w:val="24"/>
    </w:rPr>
  </w:style>
  <w:style w:type="paragraph" w:customStyle="1" w:styleId="24">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5">
    <w:name w:val="List Paragraph"/>
    <w:basedOn w:val="1"/>
    <w:qFormat/>
    <w:uiPriority w:val="34"/>
    <w:pPr>
      <w:ind w:firstLine="420" w:firstLineChars="200"/>
    </w:pPr>
  </w:style>
  <w:style w:type="character" w:customStyle="1" w:styleId="26">
    <w:name w:val="标题 1 Char"/>
    <w:basedOn w:val="15"/>
    <w:link w:val="2"/>
    <w:qFormat/>
    <w:uiPriority w:val="9"/>
    <w:rPr>
      <w:rFonts w:ascii="Times New Roman" w:hAnsi="Times New Roman"/>
      <w:b/>
      <w:bCs/>
      <w:kern w:val="44"/>
      <w:sz w:val="44"/>
      <w:szCs w:val="44"/>
    </w:rPr>
  </w:style>
  <w:style w:type="character" w:customStyle="1" w:styleId="27">
    <w:name w:val="标题 2 Char"/>
    <w:basedOn w:val="15"/>
    <w:link w:val="3"/>
    <w:qFormat/>
    <w:uiPriority w:val="9"/>
    <w:rPr>
      <w:rFonts w:asciiTheme="majorHAnsi" w:hAnsiTheme="majorHAnsi" w:eastAsiaTheme="majorEastAsia" w:cstheme="majorBidi"/>
      <w:b/>
      <w:bCs/>
      <w:kern w:val="2"/>
      <w:sz w:val="32"/>
      <w:szCs w:val="32"/>
    </w:rPr>
  </w:style>
  <w:style w:type="paragraph" w:customStyle="1" w:styleId="28">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9">
    <w:name w:val="批注框文本 Char"/>
    <w:basedOn w:val="15"/>
    <w:semiHidden/>
    <w:qFormat/>
    <w:uiPriority w:val="99"/>
    <w:rPr>
      <w:rFonts w:ascii="Times New Roman" w:hAnsi="Times New Roman"/>
      <w:kern w:val="2"/>
      <w:sz w:val="18"/>
      <w:szCs w:val="18"/>
    </w:rPr>
  </w:style>
  <w:style w:type="character" w:customStyle="1" w:styleId="30">
    <w:name w:val="标题 3 Char"/>
    <w:basedOn w:val="15"/>
    <w:link w:val="4"/>
    <w:qFormat/>
    <w:uiPriority w:val="9"/>
    <w:rPr>
      <w:rFonts w:ascii="Times New Roman" w:hAnsi="Times New Roman"/>
      <w:b/>
      <w:bCs/>
      <w:kern w:val="2"/>
      <w:sz w:val="32"/>
      <w:szCs w:val="32"/>
    </w:rPr>
  </w:style>
  <w:style w:type="character" w:customStyle="1" w:styleId="31">
    <w:name w:val="font01"/>
    <w:basedOn w:val="15"/>
    <w:qFormat/>
    <w:uiPriority w:val="0"/>
    <w:rPr>
      <w:rFonts w:hint="eastAsia" w:ascii="宋体" w:hAnsi="宋体" w:eastAsia="宋体" w:cs="宋体"/>
      <w:b/>
      <w:color w:val="000000"/>
      <w:sz w:val="32"/>
      <w:szCs w:val="32"/>
      <w:u w:val="none"/>
    </w:rPr>
  </w:style>
  <w:style w:type="character" w:customStyle="1" w:styleId="32">
    <w:name w:val="font21"/>
    <w:basedOn w:val="15"/>
    <w:qFormat/>
    <w:uiPriority w:val="0"/>
    <w:rPr>
      <w:rFonts w:hint="eastAsia" w:ascii="宋体" w:hAnsi="宋体" w:eastAsia="宋体" w:cs="宋体"/>
      <w:color w:val="000000"/>
      <w:sz w:val="32"/>
      <w:szCs w:val="32"/>
      <w:u w:val="none"/>
    </w:rPr>
  </w:style>
  <w:style w:type="character" w:customStyle="1" w:styleId="33">
    <w:name w:val="font61"/>
    <w:basedOn w:val="15"/>
    <w:qFormat/>
    <w:uiPriority w:val="0"/>
    <w:rPr>
      <w:rFonts w:hint="eastAsia" w:ascii="宋体" w:hAnsi="宋体" w:eastAsia="宋体" w:cs="宋体"/>
      <w:color w:val="000000"/>
      <w:sz w:val="22"/>
      <w:szCs w:val="22"/>
      <w:u w:val="none"/>
    </w:rPr>
  </w:style>
  <w:style w:type="character" w:customStyle="1" w:styleId="34">
    <w:name w:val="font11"/>
    <w:basedOn w:val="15"/>
    <w:qFormat/>
    <w:uiPriority w:val="0"/>
    <w:rPr>
      <w:rFonts w:hint="eastAsia" w:ascii="宋体" w:hAnsi="宋体" w:eastAsia="宋体" w:cs="宋体"/>
      <w:color w:val="000000"/>
      <w:sz w:val="20"/>
      <w:szCs w:val="20"/>
      <w:u w:val="none"/>
    </w:rPr>
  </w:style>
  <w:style w:type="character" w:customStyle="1" w:styleId="35">
    <w:name w:val="font101"/>
    <w:basedOn w:val="15"/>
    <w:qFormat/>
    <w:uiPriority w:val="0"/>
    <w:rPr>
      <w:rFonts w:hint="eastAsia" w:ascii="宋体" w:hAnsi="宋体" w:eastAsia="宋体" w:cs="宋体"/>
      <w:color w:val="000000"/>
      <w:sz w:val="18"/>
      <w:szCs w:val="18"/>
      <w:u w:val="none"/>
    </w:rPr>
  </w:style>
  <w:style w:type="character" w:customStyle="1" w:styleId="36">
    <w:name w:val="font51"/>
    <w:basedOn w:val="15"/>
    <w:qFormat/>
    <w:uiPriority w:val="0"/>
    <w:rPr>
      <w:rFonts w:hint="eastAsia" w:ascii="宋体" w:hAnsi="宋体" w:eastAsia="宋体" w:cs="宋体"/>
      <w:color w:val="000000"/>
      <w:sz w:val="12"/>
      <w:szCs w:val="12"/>
      <w:u w:val="none"/>
    </w:rPr>
  </w:style>
  <w:style w:type="character" w:customStyle="1" w:styleId="37">
    <w:name w:val="font91"/>
    <w:basedOn w:val="15"/>
    <w:qFormat/>
    <w:uiPriority w:val="0"/>
    <w:rPr>
      <w:rFonts w:hint="eastAsia" w:ascii="宋体" w:hAnsi="宋体" w:eastAsia="宋体" w:cs="宋体"/>
      <w:color w:val="000000"/>
      <w:sz w:val="32"/>
      <w:szCs w:val="32"/>
      <w:u w:val="none"/>
    </w:rPr>
  </w:style>
  <w:style w:type="character" w:customStyle="1" w:styleId="38">
    <w:name w:val="font71"/>
    <w:basedOn w:val="15"/>
    <w:qFormat/>
    <w:uiPriority w:val="0"/>
    <w:rPr>
      <w:rFonts w:hint="eastAsia" w:ascii="宋体" w:hAnsi="宋体" w:eastAsia="宋体" w:cs="宋体"/>
      <w:color w:val="000000"/>
      <w:sz w:val="20"/>
      <w:szCs w:val="20"/>
      <w:u w:val="none"/>
    </w:rPr>
  </w:style>
  <w:style w:type="character" w:customStyle="1" w:styleId="39">
    <w:name w:val="font31"/>
    <w:basedOn w:val="15"/>
    <w:qFormat/>
    <w:uiPriority w:val="0"/>
    <w:rPr>
      <w:rFonts w:hint="eastAsia" w:ascii="宋体" w:hAnsi="宋体" w:eastAsia="宋体" w:cs="宋体"/>
      <w:color w:val="000000"/>
      <w:sz w:val="20"/>
      <w:szCs w:val="20"/>
      <w:u w:val="none"/>
    </w:rPr>
  </w:style>
  <w:style w:type="character" w:customStyle="1" w:styleId="40">
    <w:name w:val="font81"/>
    <w:basedOn w:val="15"/>
    <w:qFormat/>
    <w:uiPriority w:val="0"/>
    <w:rPr>
      <w:rFonts w:hint="eastAsia" w:ascii="宋体" w:hAnsi="宋体" w:eastAsia="宋体" w:cs="宋体"/>
      <w:color w:val="000000"/>
      <w:sz w:val="18"/>
      <w:szCs w:val="18"/>
      <w:u w:val="none"/>
    </w:rPr>
  </w:style>
  <w:style w:type="character" w:customStyle="1" w:styleId="41">
    <w:name w:val="font41"/>
    <w:basedOn w:val="15"/>
    <w:qFormat/>
    <w:uiPriority w:val="0"/>
    <w:rPr>
      <w:rFonts w:hint="eastAsia" w:ascii="宋体" w:hAnsi="宋体" w:eastAsia="宋体" w:cs="宋体"/>
      <w:color w:val="000000"/>
      <w:sz w:val="22"/>
      <w:szCs w:val="22"/>
      <w:u w:val="none"/>
    </w:rPr>
  </w:style>
  <w:style w:type="paragraph" w:customStyle="1" w:styleId="42">
    <w:name w:val="四号正文"/>
    <w:basedOn w:val="1"/>
    <w:qFormat/>
    <w:uiPriority w:val="0"/>
    <w:pPr>
      <w:spacing w:line="360" w:lineRule="auto"/>
    </w:pPr>
    <w:rPr>
      <w:rFonts w:ascii="??" w:hAnsi="??" w:cs="宋体"/>
      <w:color w:val="000000"/>
      <w:kern w:val="0"/>
      <w:sz w:val="28"/>
      <w:szCs w:val="21"/>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7.xml"/><Relationship Id="rId2" Type="http://schemas.openxmlformats.org/officeDocument/2006/relationships/settings" Target="settings.xml"/><Relationship Id="rId19" Type="http://schemas.openxmlformats.org/officeDocument/2006/relationships/customXml" Target="../customXml/item6.xml"/><Relationship Id="rId18" Type="http://schemas.openxmlformats.org/officeDocument/2006/relationships/customXml" Target="../customXml/item5.xml"/><Relationship Id="rId17" Type="http://schemas.openxmlformats.org/officeDocument/2006/relationships/customXml" Target="../customXml/item4.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1.jpeg"/><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46222664015905"/>
          <c:y val="0.143246187363834"/>
          <c:w val="0.894433399602386"/>
          <c:h val="0.773311546840958"/>
        </c:manualLayout>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Lbls>
            <c:dLbl>
              <c:idx val="0"/>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3057.84</a:t>
                    </a:r>
                    <a:endParaRPr lang="en-US" altLang="zh-CN"/>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2458.25</a:t>
                    </a:r>
                    <a:endParaRPr lang="en-US" altLang="zh-CN"/>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Sheet1!$A$2:$A$3</c:f>
              <c:strCache>
                <c:ptCount val="2"/>
                <c:pt idx="0">
                  <c:v>2019年度收支合计</c:v>
                </c:pt>
                <c:pt idx="1">
                  <c:v>2020年度收支合计</c:v>
                </c:pt>
              </c:strCache>
            </c:strRef>
          </c:cat>
          <c:val>
            <c:numRef>
              <c:f>Sheet1!$B$2:$B$3</c:f>
              <c:numCache>
                <c:formatCode>General</c:formatCode>
                <c:ptCount val="2"/>
                <c:pt idx="0">
                  <c:v>3057.84</c:v>
                </c:pt>
                <c:pt idx="1">
                  <c:v>2458.25</c:v>
                </c:pt>
              </c:numCache>
            </c:numRef>
          </c:val>
        </c:ser>
        <c:dLbls>
          <c:showLegendKey val="0"/>
          <c:showVal val="1"/>
          <c:showCatName val="0"/>
          <c:showSerName val="0"/>
          <c:showPercent val="0"/>
          <c:showBubbleSize val="0"/>
        </c:dLbls>
        <c:gapWidth val="150"/>
        <c:overlap val="100"/>
        <c:axId val="508296519"/>
        <c:axId val="92982050"/>
      </c:barChart>
      <c:catAx>
        <c:axId val="508296519"/>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982050"/>
        <c:crosses val="autoZero"/>
        <c:auto val="1"/>
        <c:lblAlgn val="ctr"/>
        <c:lblOffset val="100"/>
        <c:noMultiLvlLbl val="0"/>
      </c:catAx>
      <c:valAx>
        <c:axId val="92982050"/>
        <c:scaling>
          <c:orientation val="minMax"/>
          <c:max val="3500"/>
          <c:min val="2000"/>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8296519"/>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系列 1</c:v>
                </c:pt>
              </c:strCache>
            </c:strRef>
          </c:tx>
          <c:spPr/>
          <c:explosion val="0"/>
          <c:dPt>
            <c:idx val="0"/>
            <c:bubble3D val="0"/>
            <c:spPr>
              <a:solidFill>
                <a:schemeClr val="accent1"/>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公共财政预算拨款收入</c:v>
                </c:pt>
              </c:strCache>
            </c:strRef>
          </c:cat>
          <c:val>
            <c:numRef>
              <c:f>Sheet1!$B$2</c:f>
              <c:numCache>
                <c:formatCode>0.00%</c:formatCode>
                <c:ptCount val="1"/>
                <c:pt idx="0">
                  <c:v>1</c:v>
                </c:pt>
              </c:numCache>
            </c:numRef>
          </c:val>
        </c:ser>
        <c:ser>
          <c:idx val="1"/>
          <c:order val="1"/>
          <c:tx>
            <c:strRef>
              <c:f>Sheet1!#REF!</c:f>
              <c:strCache>
                <c:ptCount val="1"/>
                <c:pt idx="0">
                  <c:v/>
                </c:pt>
              </c:strCache>
            </c:strRef>
          </c:tx>
          <c:spPr/>
          <c:explosion val="0"/>
          <c:dPt>
            <c:idx val="0"/>
            <c:bubble3D val="0"/>
            <c:spPr>
              <a:solidFill>
                <a:schemeClr val="accent1"/>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公共财政预算拨款收入</c:v>
                </c:pt>
              </c:strCache>
            </c:strRef>
          </c:cat>
          <c:val>
            <c:numRef>
              <c:f>Sheet1!#REF!</c:f>
              <c:numCache>
                <c:formatCode>General</c:formatCode>
                <c:ptCount val="1"/>
                <c:pt idx="0">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1</c:v>
                </c:pt>
              </c:strCache>
            </c:strRef>
          </c:tx>
          <c:explosion val="0"/>
          <c:dPt>
            <c:idx val="0"/>
            <c:bubble3D val="0"/>
            <c:explosion val="0"/>
            <c:spPr>
              <a:solidFill>
                <a:schemeClr val="accent1"/>
              </a:solidFill>
              <a:ln w="19050">
                <a:solidFill>
                  <a:schemeClr val="lt1"/>
                </a:solidFill>
              </a:ln>
              <a:effectLst/>
            </c:spPr>
          </c:dPt>
          <c:dLbls>
            <c:dLbl>
              <c:idx val="0"/>
              <c:layout>
                <c:manualLayout>
                  <c:x val="0.00239292697151315"/>
                  <c:y val="-0.4384782099339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Sheet1!$A$2</c:f>
              <c:strCache>
                <c:ptCount val="1"/>
                <c:pt idx="0">
                  <c:v>基本支出</c:v>
                </c:pt>
              </c:strCache>
            </c:strRef>
          </c:cat>
          <c:val>
            <c:numRef>
              <c:f>Sheet1!$B$2</c:f>
              <c:numCache>
                <c:formatCode>0_ </c:formatCode>
                <c:ptCount val="1"/>
                <c:pt idx="0">
                  <c:v>1</c:v>
                </c:pt>
              </c:numCache>
            </c:numRef>
          </c:val>
        </c:ser>
        <c:dLbls>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Sheet1!#REF!</c15:sqref>
                        </c15:formulaRef>
                      </c:ext>
                    </c:extLst>
                    <c:strCache>
                      <c:ptCount val="1"/>
                      <c:pt idx="0">
                        <c:v/>
                      </c:pt>
                    </c:strCache>
                  </c:strRef>
                </c:tx>
                <c:explosion val="0"/>
                <c:dPt>
                  <c:idx val="0"/>
                  <c:bubble3D val="0"/>
                  <c:spPr>
                    <a:solidFill>
                      <a:schemeClr val="accent1"/>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extLst>
                      <c:ext uri="{02D57815-91ED-43cb-92C2-25804820EDAC}">
                        <c15:fullRef>
                          <c15:sqref/>
                        </c15:fullRef>
                        <c15:formulaRef>
                          <c15:sqref>Sheet1!$A$2</c15:sqref>
                        </c15:formulaRef>
                      </c:ext>
                    </c:extLst>
                    <c:strCache>
                      <c:ptCount val="1"/>
                      <c:pt idx="0">
                        <c:v>基本支出</c:v>
                      </c:pt>
                    </c:strCache>
                  </c:strRef>
                </c:cat>
                <c:val>
                  <c:numRef>
                    <c:extLst>
                      <c:ext uri="{02D57815-91ED-43cb-92C2-25804820EDAC}">
                        <c15:formulaRef>
                          <c15:sqref>Sheet1!#REF!</c15:sqref>
                        </c15:formulaRef>
                      </c:ext>
                    </c:extLst>
                    <c:numCache>
                      <c:formatCode>General</c:formatCode>
                      <c:ptCount val="1"/>
                      <c:pt idx="0">
                        <c:v>1</c:v>
                      </c:pt>
                    </c:numCache>
                  </c:numRef>
                </c:val>
              </c15:ser>
            </c15:filteredPieSeries>
          </c:ext>
        </c:extLst>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980056980057"/>
          <c:y val="0.271370420624152"/>
          <c:w val="0.692083225416559"/>
          <c:h val="0.643609226594301"/>
        </c:manualLayout>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Lbls>
            <c:dLbl>
              <c:idx val="0"/>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3057.84</a:t>
                    </a:r>
                    <a:endParaRPr lang="en-US" altLang="zh-CN"/>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2458.25</a:t>
                    </a:r>
                    <a:endParaRPr lang="en-US" altLang="zh-CN"/>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Sheet1!$A$2:$A$3</c:f>
              <c:strCache>
                <c:ptCount val="2"/>
                <c:pt idx="0">
                  <c:v>2019年度收支合计</c:v>
                </c:pt>
                <c:pt idx="1">
                  <c:v>2020年度收支合计</c:v>
                </c:pt>
              </c:strCache>
            </c:strRef>
          </c:cat>
          <c:val>
            <c:numRef>
              <c:f>Sheet1!$B$2:$B$3</c:f>
              <c:numCache>
                <c:formatCode>General</c:formatCode>
                <c:ptCount val="2"/>
                <c:pt idx="0">
                  <c:v>3057.84</c:v>
                </c:pt>
                <c:pt idx="1">
                  <c:v>2458.25</c:v>
                </c:pt>
              </c:numCache>
            </c:numRef>
          </c:val>
        </c:ser>
        <c:dLbls>
          <c:showLegendKey val="0"/>
          <c:showVal val="1"/>
          <c:showCatName val="0"/>
          <c:showSerName val="0"/>
          <c:showPercent val="0"/>
          <c:showBubbleSize val="0"/>
        </c:dLbls>
        <c:gapWidth val="150"/>
        <c:overlap val="100"/>
        <c:axId val="508296519"/>
        <c:axId val="92982050"/>
      </c:barChart>
      <c:catAx>
        <c:axId val="508296519"/>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982050"/>
        <c:crosses val="autoZero"/>
        <c:auto val="1"/>
        <c:lblAlgn val="ctr"/>
        <c:lblOffset val="100"/>
        <c:noMultiLvlLbl val="0"/>
      </c:catAx>
      <c:valAx>
        <c:axId val="92982050"/>
        <c:scaling>
          <c:orientation val="minMax"/>
          <c:max val="3500"/>
          <c:min val="2000"/>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8296519"/>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教育支出</c:v>
                </c:pt>
                <c:pt idx="1">
                  <c:v>社会保障和就业支出</c:v>
                </c:pt>
                <c:pt idx="2">
                  <c:v>卫生健康支出</c:v>
                </c:pt>
                <c:pt idx="3">
                  <c:v>住房保障支出</c:v>
                </c:pt>
                <c:pt idx="4">
                  <c:v>农林水支出</c:v>
                </c:pt>
              </c:strCache>
            </c:strRef>
          </c:cat>
          <c:val>
            <c:numRef>
              <c:f>Sheet1!$B$2:$B$6</c:f>
              <c:numCache>
                <c:formatCode>0%</c:formatCode>
                <c:ptCount val="5"/>
                <c:pt idx="0">
                  <c:v>0.935</c:v>
                </c:pt>
                <c:pt idx="1" c:formatCode="0.00%">
                  <c:v>0.0281</c:v>
                </c:pt>
                <c:pt idx="2" c:formatCode="0.00%">
                  <c:v>0.0154</c:v>
                </c:pt>
                <c:pt idx="3" c:formatCode="0.00%">
                  <c:v>0.0221</c:v>
                </c:pt>
                <c:pt idx="4" c:formatCode="0.00%">
                  <c:v>0.0004</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因公出境</c:v>
                </c:pt>
                <c:pt idx="1">
                  <c:v>公务车购置及运行维护费</c:v>
                </c:pt>
                <c:pt idx="2">
                  <c:v>公务接待费</c:v>
                </c:pt>
              </c:strCache>
            </c:strRef>
          </c:cat>
          <c:val>
            <c:numRef>
              <c:f>Sheet1!$B$2:$B$4</c:f>
              <c:numCache>
                <c:formatCode>General</c:formatCode>
                <c:ptCount val="3"/>
                <c:pt idx="0">
                  <c:v>0</c:v>
                </c:pt>
                <c:pt idx="1">
                  <c:v>0</c:v>
                </c:pt>
                <c:pt idx="2">
                  <c:v>100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E69E0ECE11EF4E7AB0F0995CFB7AE5C9</vt:lpwstr>
  </property>
</Properties>
</file>

<file path=customXml/item3.xml><?xml version="1.0" encoding="utf-8"?>
<Properties xmlns="http://schemas.openxmlformats.org/officeDocument/2006/extended-properties" xmlns:vt="http://schemas.openxmlformats.org/officeDocument/2006/docPropsVTypes">
  <Template>Normal</Template>
  <Company>四川省财政厅</Company>
  <Pages>47</Pages>
  <Words>3189</Words>
  <Characters>18182</Characters>
  <Lines>151</Lines>
  <Paragraphs>42</Paragraphs>
  <TotalTime>1</TotalTime>
  <ScaleCrop>false</ScaleCrop>
  <LinksUpToDate>false</LinksUpToDate>
  <CharactersWithSpaces>21329</CharactersWithSpaces>
  <Application>WPS Office_11.1.0.10356_F1E327BC-269C-435d-A152-05C5408002CA</Application>
  <DocSecurity>0</DocSecuri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2019-08-01T01:14:00Z</dcterms:created>
  <dc:creator>张彬茜</dc:creator>
  <cp:lastModifiedBy>Administrator</cp:lastModifiedBy>
  <cp:lastPrinted>2020-10-26T16:43:00Z</cp:lastPrinted>
  <dcterms:modified xsi:type="dcterms:W3CDTF">2021-10-13T06:50:31Z</dcterms:modified>
  <dc:title>四川省***</dc:title>
  <cp:revision>19</cp:revision>
</cp:coreProperties>
</file>

<file path=customXml/item5.xml><?xml version="1.0" encoding="utf-8"?>
<Properties xmlns:vt="http://schemas.openxmlformats.org/officeDocument/2006/docPropsVTypes" xmlns="http://schemas.openxmlformats.org/officeDocument/2006/custom-properties">
  <property fmtid="{D5CDD505-2E9C-101B-9397-08002B2CF9AE}" pid="2" name="KSOProductBuildVer">
    <vt:lpstr>2052-11.1.0.10356</vt:lpstr>
  </property>
  <property fmtid="{D5CDD505-2E9C-101B-9397-08002B2CF9AE}" pid="3" name="ICV">
    <vt:lpstr>E69E0ECE11EF4E7AB0F0995CFB7AE5C9</vt:lpstr>
  </property>
</Properties>
</file>

<file path=customXml/item6.xml><?xml version="1.0" encoding="utf-8"?>
<Properties xmlns:vt="http://schemas.openxmlformats.org/officeDocument/2006/docPropsVTypes" xmlns="http://schemas.openxmlformats.org/officeDocument/2006/extended-properties">
  <Template>Normal</Template>
  <TotalTime>1</TotalTime>
  <Pages>47</Pages>
  <Words>3189</Words>
  <Characters>18182</Characters>
  <Application>WPS Office_11.1.0.10356_F1E327BC-269C-435d-A152-05C5408002CA</Application>
  <DocSecurity>0</DocSecurity>
  <Lines>151</Lines>
  <Paragraphs>42</Paragraphs>
  <Company>四川省财政厅</Company>
  <CharactersWithSpaces>21329</CharactersWithSpaces>
  <AppVersion>14.0000</AppVersion>
</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张彬茜</dc:creator>
  <cp:lastModifiedBy>Administrator</cp:lastModifiedBy>
  <cp:revision>19</cp:revision>
  <cp:lastPrinted>2020-10-26T16:43:00Z</cp:lastPrinted>
  <dcterms:created xsi:type="dcterms:W3CDTF">2019-08-01T01:14:00Z</dcterms:created>
  <dcterms:modified xsi:type="dcterms:W3CDTF">2021-10-13T06:50:31Z</dcterms:modified>
</cp:coreProperties>
</file>

<file path=customXml/itemProps1.xml><?xml version="1.0" encoding="utf-8"?>
<ds:datastoreItem xmlns:ds="http://schemas.openxmlformats.org/officeDocument/2006/customXml" ds:itemID="{255EE963-AE7E-4F3B-BBF1-9AF15C920BB6}">
  <ds:schemaRefs/>
</ds:datastoreItem>
</file>

<file path=customXml/itemProps2.xml><?xml version="1.0" encoding="utf-8"?>
<ds:datastoreItem xmlns:ds="http://schemas.openxmlformats.org/officeDocument/2006/customXml" ds:itemID="{b889da10-8eb8-42a1-9a0e-55c97a563809}">
  <ds:schemaRefs/>
</ds:datastoreItem>
</file>

<file path=customXml/itemProps3.xml><?xml version="1.0" encoding="utf-8"?>
<ds:datastoreItem xmlns:ds="http://schemas.openxmlformats.org/officeDocument/2006/customXml" ds:itemID="{192f4223-5758-447e-8d29-b0e891a7a36c}">
  <ds:schemaRefs/>
</ds:datastoreItem>
</file>

<file path=customXml/itemProps4.xml><?xml version="1.0" encoding="utf-8"?>
<ds:datastoreItem xmlns:ds="http://schemas.openxmlformats.org/officeDocument/2006/customXml" ds:itemID="{d4166808-ffbb-4599-ba04-eeaf66a50f45}">
  <ds:schemaRefs/>
</ds:datastoreItem>
</file>

<file path=customXml/itemProps5.xml><?xml version="1.0" encoding="utf-8"?>
<ds:datastoreItem xmlns:ds="http://schemas.openxmlformats.org/officeDocument/2006/customXml" ds:itemID="{2028c956-3f84-4074-81b1-7e64e20d3f05}">
  <ds:schemaRefs/>
</ds:datastoreItem>
</file>

<file path=customXml/itemProps6.xml><?xml version="1.0" encoding="utf-8"?>
<ds:datastoreItem xmlns:ds="http://schemas.openxmlformats.org/officeDocument/2006/customXml" ds:itemID="{2518bc35-6ef6-422e-b927-fd6d87b1a507}">
  <ds:schemaRefs/>
</ds:datastoreItem>
</file>

<file path=customXml/itemProps7.xml><?xml version="1.0" encoding="utf-8"?>
<ds:datastoreItem xmlns:ds="http://schemas.openxmlformats.org/officeDocument/2006/customXml" ds:itemID="{afdd749c-d80c-4f4e-958b-e5949293ce11}">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20</Pages>
  <Words>6082</Words>
  <Characters>6709</Characters>
  <Lines>151</Lines>
  <Paragraphs>42</Paragraphs>
  <TotalTime>25</TotalTime>
  <ScaleCrop>false</ScaleCrop>
  <LinksUpToDate>false</LinksUpToDate>
  <CharactersWithSpaces>6816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2019-08-01T01:14:00Z</dcterms:created>
  <dc:creator>张彬茜</dc:creator>
  <cp:lastModifiedBy>狂奔的蜗牛</cp:lastModifiedBy>
  <cp:lastPrinted>2022-06-21T09:27:00Z</cp:lastPrinted>
  <dcterms:modified xsi:type="dcterms:W3CDTF">2022-09-14T09:47:32Z</dcterms:modified>
  <dc:title>四川省_x002A__x002A__x002A_</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2BA6D43F7E624F6880A8E129C2E5E40C</vt:lpwstr>
  </property>
</Properties>
</file>