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77425"/>
      <w:bookmarkStart w:id="2" w:name="_Toc15396597"/>
      <w:bookmarkStart w:id="3" w:name="_Toc15377193"/>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Start w:id="6" w:name="_Toc15377194"/>
      <w:bookmarkStart w:id="7" w:name="_Toc15378442"/>
      <w:bookmarkStart w:id="8" w:name="_Toc15396598"/>
      <w:bookmarkStart w:id="9" w:name="_Toc15396476"/>
      <w:bookmarkStart w:id="10" w:name="_Toc1537742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通江县唱歌镇</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2"/>
        <w:adjustRightInd w:val="0"/>
        <w:snapToGrid w:val="0"/>
        <w:spacing w:line="440" w:lineRule="exact"/>
        <w:jc w:val="left"/>
        <w:rPr>
          <w:rFonts w:hint="default" w:ascii="仿宋" w:hAnsi="仿宋" w:eastAsia="宋体"/>
          <w:color w:val="auto"/>
          <w:sz w:val="24"/>
          <w:highlight w:val="none"/>
          <w:lang w:val="en-US" w:eastAsia="zh-CN"/>
        </w:rPr>
      </w:pPr>
      <w:r>
        <w:rPr>
          <w:rFonts w:hint="eastAsia"/>
          <w:color w:val="auto"/>
          <w:sz w:val="24"/>
          <w:highlight w:val="none"/>
        </w:rPr>
        <w:t>一、基本职能及主要工作</w:t>
      </w:r>
      <w:r>
        <w:rPr>
          <w:rFonts w:hint="eastAsia" w:asciiTheme="minorEastAsia" w:hAnsiTheme="minorEastAsia" w:eastAsiaTheme="minorEastAsia" w:cstheme="minorEastAsia"/>
          <w:color w:val="auto"/>
          <w:sz w:val="24"/>
          <w:szCs w:val="24"/>
          <w:highlight w:val="none"/>
          <w:lang w:val="en-US" w:eastAsia="zh-CN"/>
        </w:rPr>
        <w:t>.......................................4</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二、机构设置</w:t>
      </w:r>
      <w:r>
        <w:rPr>
          <w:rFonts w:hint="eastAsia" w:asciiTheme="minorEastAsia" w:hAnsiTheme="minorEastAsia" w:eastAsiaTheme="minorEastAsia" w:cstheme="minorEastAsia"/>
          <w:color w:val="auto"/>
          <w:sz w:val="24"/>
          <w:szCs w:val="24"/>
          <w:highlight w:val="none"/>
          <w:lang w:val="en-US" w:eastAsia="zh-CN"/>
        </w:rPr>
        <w:t>.................................................6</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asciiTheme="minorEastAsia" w:hAnsiTheme="minorEastAsia" w:eastAsiaTheme="minorEastAsia" w:cstheme="minorEastAsia"/>
          <w:color w:val="auto"/>
          <w:sz w:val="24"/>
          <w:szCs w:val="24"/>
          <w:highlight w:val="none"/>
          <w:lang w:val="en-US" w:eastAsia="zh-CN"/>
        </w:rPr>
        <w:t>.................................7</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二、收入决算情况说明</w:t>
      </w:r>
      <w:r>
        <w:rPr>
          <w:rFonts w:hint="eastAsia" w:asciiTheme="minorEastAsia" w:hAnsiTheme="minorEastAsia" w:eastAsiaTheme="minorEastAsia" w:cstheme="minorEastAsia"/>
          <w:color w:val="auto"/>
          <w:sz w:val="24"/>
          <w:szCs w:val="24"/>
          <w:highlight w:val="none"/>
          <w:lang w:val="en-US" w:eastAsia="zh-CN"/>
        </w:rPr>
        <w:t>.........................................8</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asciiTheme="minorEastAsia" w:hAnsiTheme="minorEastAsia" w:eastAsiaTheme="minorEastAsia" w:cstheme="minorEastAsia"/>
          <w:color w:val="auto"/>
          <w:sz w:val="24"/>
          <w:szCs w:val="24"/>
          <w:highlight w:val="none"/>
          <w:lang w:val="en-US" w:eastAsia="zh-CN"/>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asciiTheme="minorEastAsia" w:hAnsiTheme="minorEastAsia" w:eastAsiaTheme="minorEastAsia" w:cstheme="minorEastAsia"/>
          <w:color w:val="auto"/>
          <w:sz w:val="24"/>
          <w:szCs w:val="24"/>
          <w:highlight w:val="none"/>
          <w:lang w:val="en-US" w:eastAsia="zh-CN"/>
        </w:rPr>
        <w:t>........................10</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hint="eastAsia" w:asciiTheme="minorEastAsia" w:hAnsiTheme="minorEastAsia" w:eastAsiaTheme="minorEastAsia" w:cstheme="minorEastAsia"/>
          <w:color w:val="auto"/>
          <w:sz w:val="24"/>
          <w:szCs w:val="24"/>
          <w:highlight w:val="none"/>
          <w:lang w:val="en-US" w:eastAsia="zh-CN"/>
        </w:rPr>
        <w:t>....................11</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Theme="minorEastAsia" w:hAnsiTheme="minorEastAsia" w:eastAsiaTheme="minorEastAsia" w:cstheme="minorEastAsia"/>
          <w:color w:val="auto"/>
          <w:sz w:val="24"/>
          <w:szCs w:val="24"/>
          <w:highlight w:val="none"/>
          <w:lang w:val="en-US" w:eastAsia="zh-CN"/>
        </w:rPr>
        <w:t>................17</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Theme="minorEastAsia" w:hAnsiTheme="minorEastAsia" w:eastAsiaTheme="minorEastAsia" w:cstheme="minorEastAsia"/>
          <w:color w:val="auto"/>
          <w:sz w:val="24"/>
          <w:szCs w:val="24"/>
          <w:highlight w:val="none"/>
          <w:lang w:val="en-US" w:eastAsia="zh-CN"/>
        </w:rPr>
        <w:t>....................18</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Theme="minorEastAsia" w:hAnsiTheme="minorEastAsia" w:eastAsiaTheme="minorEastAsia" w:cstheme="minorEastAsia"/>
          <w:color w:val="auto"/>
          <w:sz w:val="24"/>
          <w:szCs w:val="24"/>
          <w:highlight w:val="none"/>
          <w:lang w:val="en-US" w:eastAsia="zh-CN"/>
        </w:rPr>
        <w:t>..........................20</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szCs w:val="24"/>
          <w:highlight w:val="none"/>
          <w:lang w:val="en-US" w:eastAsia="zh-CN"/>
        </w:rPr>
        <w:t>........................20</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7"/>
          <w:rFonts w:hint="eastAsia" w:asciiTheme="minorEastAsia" w:hAnsiTheme="minorEastAsia" w:eastAsiaTheme="minorEastAsia" w:cstheme="minorEastAsia"/>
          <w:color w:val="auto"/>
          <w:sz w:val="24"/>
          <w:highlight w:val="none"/>
          <w:u w:val="none"/>
          <w:lang w:eastAsia="zh-CN"/>
        </w:rPr>
        <w:t>十</w:t>
      </w:r>
      <w:r>
        <w:rPr>
          <w:rStyle w:val="17"/>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highlight w:val="none"/>
        </w:rPr>
        <w:tab/>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Theme="minorEastAsia" w:hAnsiTheme="minorEastAsia" w:eastAsiaTheme="minorEastAsia" w:cstheme="minorEastAsia"/>
          <w:color w:val="auto"/>
          <w:sz w:val="24"/>
          <w:szCs w:val="24"/>
          <w:highlight w:val="none"/>
          <w:lang w:val="en-US" w:eastAsia="zh-CN"/>
        </w:rPr>
        <w:t>...............................................22</w:t>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heme="minorEastAsia" w:hAnsiTheme="minorEastAsia" w:eastAsiaTheme="minorEastAsia" w:cstheme="minorEastAsia"/>
          <w:color w:val="auto"/>
          <w:sz w:val="24"/>
          <w:szCs w:val="24"/>
          <w:highlight w:val="none"/>
          <w:lang w:val="en-US" w:eastAsia="zh-CN"/>
        </w:rPr>
        <w:t>...................................................29</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Theme="minorEastAsia" w:hAnsiTheme="minorEastAsia" w:eastAsiaTheme="minorEastAsia" w:cstheme="minorEastAsia"/>
          <w:color w:val="auto"/>
          <w:sz w:val="24"/>
          <w:szCs w:val="24"/>
          <w:highlight w:val="none"/>
          <w:lang w:val="en-US" w:eastAsia="zh-CN"/>
        </w:rPr>
        <w:t>...................................................29</w:t>
      </w:r>
    </w:p>
    <w:p>
      <w:pPr>
        <w:pStyle w:val="12"/>
        <w:adjustRightInd w:val="0"/>
        <w:snapToGrid w:val="0"/>
        <w:spacing w:line="440" w:lineRule="exact"/>
        <w:jc w:val="left"/>
        <w:rPr>
          <w:rFonts w:hint="eastAsia" w:asciiTheme="minorEastAsia" w:hAnsiTheme="minorEastAsia" w:eastAsiaTheme="minorEastAsia" w:cstheme="minorEastAsia"/>
          <w:color w:val="auto"/>
          <w:sz w:val="24"/>
          <w:szCs w:val="24"/>
          <w:highlight w:val="none"/>
          <w:lang w:val="en-US" w:eastAsia="zh-CN"/>
        </w:rPr>
      </w:pPr>
      <w:r>
        <w:rPr>
          <w:rFonts w:hint="eastAsia" w:ascii="仿宋" w:hAnsi="仿宋" w:eastAsia="仿宋"/>
          <w:color w:val="auto"/>
          <w:sz w:val="24"/>
          <w:highlight w:val="none"/>
        </w:rPr>
        <w:t>一、</w:t>
      </w:r>
      <w:r>
        <w:rPr>
          <w:rFonts w:hint="eastAsia"/>
          <w:color w:val="auto"/>
          <w:sz w:val="24"/>
          <w:highlight w:val="none"/>
        </w:rPr>
        <w:t>收入支出决算总表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r>
        <w:rPr>
          <w:rFonts w:hint="eastAsia" w:asciiTheme="minorEastAsia" w:hAnsiTheme="minorEastAsia" w:eastAsiaTheme="minorEastAsia" w:cstheme="minorEastAsia"/>
          <w:color w:val="auto"/>
          <w:sz w:val="24"/>
          <w:szCs w:val="24"/>
          <w:highlight w:val="none"/>
          <w:lang w:val="en-US" w:eastAsia="zh-CN"/>
        </w:rPr>
        <w:t>.................43</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r>
        <w:rPr>
          <w:rFonts w:hint="eastAsia" w:asciiTheme="minorEastAsia" w:hAnsiTheme="minorEastAsia" w:eastAsiaTheme="minorEastAsia" w:cstheme="minorEastAsia"/>
          <w:color w:val="auto"/>
          <w:sz w:val="24"/>
          <w:szCs w:val="24"/>
          <w:highlight w:val="none"/>
          <w:lang w:val="en-US" w:eastAsia="zh-CN"/>
        </w:rPr>
        <w:t>.....................43</w:t>
      </w:r>
    </w:p>
    <w:p>
      <w:pPr>
        <w:widowControl/>
        <w:adjustRightInd w:val="0"/>
        <w:snapToGrid w:val="0"/>
        <w:spacing w:line="440" w:lineRule="exact"/>
        <w:ind w:firstLine="1320" w:firstLineChars="550"/>
        <w:jc w:val="left"/>
        <w:rPr>
          <w:rFonts w:ascii="仿宋" w:hAnsi="仿宋" w:eastAsia="仿宋"/>
          <w:color w:val="auto"/>
          <w:sz w:val="24"/>
          <w:highlight w:val="none"/>
        </w:rPr>
      </w:pPr>
    </w:p>
    <w:p>
      <w:pPr>
        <w:pStyle w:val="2"/>
        <w:rPr>
          <w:rFonts w:ascii="仿宋" w:hAnsi="仿宋" w:eastAsia="仿宋"/>
          <w:color w:val="auto"/>
          <w:sz w:val="24"/>
          <w:highlight w:val="none"/>
        </w:rPr>
      </w:pPr>
    </w:p>
    <w:p>
      <w:pPr>
        <w:pStyle w:val="3"/>
        <w:rPr>
          <w:rFonts w:ascii="仿宋" w:hAnsi="仿宋" w:eastAsia="仿宋"/>
          <w:color w:val="auto"/>
          <w:sz w:val="24"/>
          <w:highlight w:val="none"/>
        </w:rPr>
      </w:pPr>
    </w:p>
    <w:p>
      <w:pPr>
        <w:rPr>
          <w:rFonts w:ascii="仿宋" w:hAnsi="仿宋" w:eastAsia="仿宋"/>
          <w:color w:val="auto"/>
          <w:sz w:val="24"/>
          <w:highlight w:val="none"/>
        </w:rPr>
      </w:pPr>
    </w:p>
    <w:p>
      <w:pPr>
        <w:pStyle w:val="2"/>
        <w:rPr>
          <w:rFonts w:ascii="仿宋" w:hAnsi="仿宋" w:eastAsia="仿宋"/>
          <w:color w:val="auto"/>
          <w:sz w:val="24"/>
          <w:highlight w:val="none"/>
        </w:rPr>
      </w:pPr>
    </w:p>
    <w:p>
      <w:pPr>
        <w:pStyle w:val="3"/>
        <w:rPr>
          <w:rFonts w:ascii="仿宋" w:hAnsi="仿宋" w:eastAsia="仿宋"/>
          <w:color w:val="auto"/>
          <w:sz w:val="24"/>
          <w:highlight w:val="none"/>
        </w:rPr>
      </w:pPr>
    </w:p>
    <w:p>
      <w:pPr>
        <w:rPr>
          <w:rFonts w:ascii="仿宋" w:hAnsi="仿宋" w:eastAsia="仿宋"/>
          <w:color w:val="auto"/>
          <w:sz w:val="24"/>
          <w:highlight w:val="none"/>
        </w:rPr>
      </w:pPr>
    </w:p>
    <w:p>
      <w:pPr>
        <w:pStyle w:val="2"/>
        <w:rPr>
          <w:rFonts w:ascii="仿宋" w:hAnsi="仿宋" w:eastAsia="仿宋"/>
          <w:color w:val="auto"/>
          <w:sz w:val="24"/>
          <w:highlight w:val="none"/>
        </w:rPr>
      </w:pPr>
    </w:p>
    <w:p>
      <w:pPr>
        <w:pStyle w:val="3"/>
        <w:rPr>
          <w:rFonts w:ascii="仿宋" w:hAnsi="仿宋" w:eastAsia="仿宋"/>
          <w:color w:val="auto"/>
          <w:sz w:val="24"/>
          <w:highlight w:val="none"/>
        </w:rPr>
      </w:pPr>
    </w:p>
    <w:p>
      <w:pPr>
        <w:rPr>
          <w:rFonts w:ascii="仿宋" w:hAnsi="仿宋" w:eastAsia="仿宋"/>
          <w:color w:val="auto"/>
          <w:sz w:val="24"/>
          <w:highlight w:val="none"/>
        </w:rPr>
      </w:pPr>
    </w:p>
    <w:p>
      <w:pPr>
        <w:pStyle w:val="2"/>
        <w:rPr>
          <w:rFonts w:ascii="仿宋" w:hAnsi="仿宋" w:eastAsia="仿宋"/>
          <w:color w:val="auto"/>
          <w:sz w:val="24"/>
          <w:highlight w:val="none"/>
        </w:rPr>
      </w:pPr>
    </w:p>
    <w:p>
      <w:pPr>
        <w:pStyle w:val="3"/>
        <w:rPr>
          <w:rFonts w:ascii="仿宋" w:hAnsi="仿宋" w:eastAsia="仿宋"/>
          <w:color w:val="auto"/>
          <w:sz w:val="24"/>
          <w:highlight w:val="none"/>
        </w:rPr>
      </w:pPr>
    </w:p>
    <w:p>
      <w:pPr>
        <w:rPr>
          <w:rFonts w:ascii="仿宋" w:hAnsi="仿宋" w:eastAsia="仿宋"/>
          <w:color w:val="auto"/>
          <w:sz w:val="24"/>
          <w:highlight w:val="none"/>
        </w:rPr>
      </w:pPr>
    </w:p>
    <w:p>
      <w:pPr>
        <w:pStyle w:val="2"/>
        <w:rPr>
          <w:rFonts w:ascii="仿宋" w:hAnsi="仿宋" w:eastAsia="仿宋"/>
          <w:color w:val="auto"/>
          <w:sz w:val="24"/>
          <w:highlight w:val="none"/>
        </w:rPr>
      </w:pPr>
    </w:p>
    <w:p>
      <w:pPr>
        <w:pStyle w:val="3"/>
        <w:rPr>
          <w:rFonts w:ascii="仿宋" w:hAnsi="仿宋" w:eastAsia="仿宋"/>
          <w:color w:val="auto"/>
          <w:sz w:val="24"/>
          <w:highlight w:val="none"/>
        </w:rPr>
      </w:pPr>
    </w:p>
    <w:p>
      <w:pPr>
        <w:rPr>
          <w:rFonts w:ascii="仿宋" w:hAnsi="仿宋" w:eastAsia="仿宋"/>
          <w:color w:val="auto"/>
          <w:sz w:val="24"/>
          <w:highlight w:val="none"/>
        </w:rPr>
      </w:pPr>
    </w:p>
    <w:p>
      <w:pPr>
        <w:pStyle w:val="2"/>
        <w:rPr>
          <w:rFonts w:ascii="仿宋" w:hAnsi="仿宋" w:eastAsia="仿宋"/>
          <w:color w:val="auto"/>
          <w:sz w:val="24"/>
          <w:highlight w:val="none"/>
        </w:rPr>
      </w:pPr>
    </w:p>
    <w:p>
      <w:pPr>
        <w:pStyle w:val="3"/>
        <w:rPr>
          <w:rFonts w:ascii="仿宋" w:hAnsi="仿宋" w:eastAsia="仿宋"/>
          <w:color w:val="auto"/>
          <w:sz w:val="24"/>
          <w:highlight w:val="none"/>
        </w:rPr>
      </w:pPr>
    </w:p>
    <w:p>
      <w:pPr>
        <w:rPr>
          <w:rFonts w:ascii="仿宋" w:hAnsi="仿宋" w:eastAsia="仿宋"/>
          <w:color w:val="auto"/>
          <w:sz w:val="24"/>
          <w:highlight w:val="none"/>
        </w:rPr>
      </w:pPr>
    </w:p>
    <w:p>
      <w:pPr>
        <w:pStyle w:val="2"/>
      </w:pP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p>
    <w:p>
      <w:pPr>
        <w:pStyle w:val="4"/>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6"/>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5"/>
        <w:rPr>
          <w:rStyle w:val="27"/>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27"/>
          <w:rFonts w:hint="eastAsia" w:ascii="黑体" w:hAnsi="黑体" w:eastAsia="黑体"/>
          <w:b w:val="0"/>
          <w:bCs w:val="0"/>
          <w:color w:val="auto"/>
          <w:highlight w:val="none"/>
        </w:rPr>
        <w:t>本职能及主要工作</w:t>
      </w:r>
      <w:bookmarkEnd w:id="14"/>
      <w:bookmarkEnd w:id="15"/>
    </w:p>
    <w:p>
      <w:pPr>
        <w:pStyle w:val="2"/>
        <w:adjustRightInd w:val="0"/>
        <w:snapToGrid w:val="0"/>
        <w:spacing w:before="93" w:line="600" w:lineRule="exact"/>
        <w:ind w:firstLine="675" w:firstLineChars="210"/>
        <w:outlineLvl w:val="2"/>
        <w:rPr>
          <w:rFonts w:hint="eastAsia" w:ascii="仿宋" w:hAnsi="仿宋" w:eastAsia="仿宋"/>
          <w:b/>
          <w:bCs w:val="0"/>
          <w:color w:val="auto"/>
          <w:sz w:val="32"/>
          <w:szCs w:val="32"/>
          <w:highlight w:val="none"/>
        </w:rPr>
      </w:pPr>
      <w:bookmarkStart w:id="16" w:name="_Toc15377198"/>
      <w:bookmarkStart w:id="17" w:name="_Toc15378445"/>
      <w:r>
        <w:rPr>
          <w:rFonts w:hint="eastAsia" w:ascii="仿宋" w:hAnsi="仿宋" w:eastAsia="仿宋"/>
          <w:b/>
          <w:bCs w:val="0"/>
          <w:color w:val="auto"/>
          <w:sz w:val="32"/>
          <w:szCs w:val="32"/>
          <w:highlight w:val="none"/>
        </w:rPr>
        <w:t>（一）主要职能。</w:t>
      </w:r>
      <w:bookmarkEnd w:id="16"/>
      <w:bookmarkEnd w:id="17"/>
    </w:p>
    <w:p>
      <w:pPr>
        <w:pStyle w:val="2"/>
        <w:pageBreakBefore w:val="0"/>
        <w:kinsoku/>
        <w:wordWrap/>
        <w:overflowPunct/>
        <w:topLinePunct w:val="0"/>
        <w:bidi w:val="0"/>
        <w:adjustRightInd w:val="0"/>
        <w:snapToGrid w:val="0"/>
        <w:spacing w:before="93" w:line="48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、贯彻执行党和国家的路线方针政策、法律法规和上级党委政府的决定、命令</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接受同级党委（党工委）的领导，执行本级人民代表大会的各项决议，并报告执行决议、决定和命令的情况。</w:t>
      </w:r>
    </w:p>
    <w:p>
      <w:pPr>
        <w:pStyle w:val="2"/>
        <w:pageBreakBefore w:val="0"/>
        <w:kinsoku/>
        <w:wordWrap/>
        <w:overflowPunct/>
        <w:topLinePunct w:val="0"/>
        <w:bidi w:val="0"/>
        <w:adjustRightInd w:val="0"/>
        <w:snapToGrid w:val="0"/>
        <w:spacing w:before="93" w:line="480" w:lineRule="exact"/>
        <w:ind w:firstLine="640" w:firstLineChars="200"/>
        <w:outlineLvl w:val="9"/>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pStyle w:val="2"/>
        <w:pageBreakBefore w:val="0"/>
        <w:kinsoku/>
        <w:wordWrap/>
        <w:overflowPunct/>
        <w:topLinePunct w:val="0"/>
        <w:bidi w:val="0"/>
        <w:adjustRightInd w:val="0"/>
        <w:snapToGrid w:val="0"/>
        <w:spacing w:before="93" w:line="480" w:lineRule="exact"/>
        <w:ind w:firstLine="640" w:firstLineChars="200"/>
        <w:outlineLvl w:val="9"/>
        <w:rPr>
          <w:rFonts w:hint="eastAsia" w:ascii="仿宋" w:hAnsi="仿宋" w:eastAsia="仿宋"/>
          <w:bCs/>
          <w:color w:val="000000"/>
          <w:sz w:val="32"/>
          <w:szCs w:val="32"/>
          <w:lang w:eastAsia="zh-CN"/>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r>
        <w:rPr>
          <w:rFonts w:hint="eastAsia" w:ascii="仿宋" w:hAnsi="仿宋" w:eastAsia="仿宋"/>
          <w:bCs/>
          <w:color w:val="000000"/>
          <w:sz w:val="32"/>
          <w:szCs w:val="32"/>
          <w:lang w:eastAsia="zh-CN"/>
        </w:rPr>
        <w:t>。</w:t>
      </w:r>
    </w:p>
    <w:p>
      <w:pPr>
        <w:pStyle w:val="2"/>
        <w:pageBreakBefore w:val="0"/>
        <w:kinsoku/>
        <w:wordWrap/>
        <w:overflowPunct/>
        <w:topLinePunct w:val="0"/>
        <w:bidi w:val="0"/>
        <w:adjustRightInd w:val="0"/>
        <w:snapToGrid w:val="0"/>
        <w:spacing w:before="93" w:line="48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pStyle w:val="2"/>
        <w:pageBreakBefore w:val="0"/>
        <w:kinsoku/>
        <w:wordWrap/>
        <w:overflowPunct/>
        <w:topLinePunct w:val="0"/>
        <w:bidi w:val="0"/>
        <w:adjustRightInd w:val="0"/>
        <w:snapToGrid w:val="0"/>
        <w:spacing w:before="93" w:line="480" w:lineRule="exact"/>
        <w:ind w:firstLine="672" w:firstLineChars="210"/>
        <w:outlineLvl w:val="9"/>
        <w:rPr>
          <w:rFonts w:hint="eastAsia" w:ascii="仿宋" w:hAnsi="仿宋" w:eastAsia="仿宋"/>
          <w:bCs/>
          <w:color w:val="auto"/>
          <w:sz w:val="32"/>
          <w:szCs w:val="32"/>
          <w:highlight w:val="none"/>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、完成县委、县人民政府交办的其他任务。</w:t>
      </w:r>
    </w:p>
    <w:p>
      <w:pPr>
        <w:pStyle w:val="2"/>
        <w:adjustRightInd w:val="0"/>
        <w:snapToGrid w:val="0"/>
        <w:spacing w:before="93" w:line="600" w:lineRule="exact"/>
        <w:ind w:firstLine="675" w:firstLineChars="210"/>
        <w:outlineLvl w:val="2"/>
        <w:rPr>
          <w:rFonts w:hint="eastAsia" w:ascii="方正楷体简体" w:hAnsi="方正楷体简体" w:eastAsia="方正楷体简体" w:cs="方正楷体简体"/>
          <w:b/>
          <w:bCs/>
          <w:color w:val="auto"/>
          <w:sz w:val="32"/>
          <w:szCs w:val="32"/>
          <w:lang w:val="en-US" w:eastAsia="zh-CN"/>
        </w:rPr>
      </w:pPr>
      <w:bookmarkStart w:id="18" w:name="_Toc15377199"/>
      <w:bookmarkStart w:id="19" w:name="_Toc15378446"/>
      <w:r>
        <w:rPr>
          <w:rFonts w:hint="eastAsia" w:ascii="仿宋" w:hAnsi="仿宋" w:eastAsia="仿宋"/>
          <w:b/>
          <w:bCs w:val="0"/>
          <w:color w:val="auto"/>
          <w:sz w:val="32"/>
          <w:szCs w:val="32"/>
          <w:highlight w:val="none"/>
        </w:rPr>
        <w:t>（二）</w:t>
      </w:r>
      <w:r>
        <w:rPr>
          <w:rFonts w:ascii="仿宋" w:hAnsi="仿宋" w:eastAsia="仿宋"/>
          <w:b/>
          <w:bCs w:val="0"/>
          <w:color w:val="auto"/>
          <w:sz w:val="32"/>
          <w:szCs w:val="32"/>
          <w:highlight w:val="none"/>
        </w:rPr>
        <w:t>20</w:t>
      </w:r>
      <w:r>
        <w:rPr>
          <w:rFonts w:hint="eastAsia" w:ascii="仿宋" w:hAnsi="仿宋" w:eastAsia="仿宋"/>
          <w:b/>
          <w:bCs w:val="0"/>
          <w:color w:val="auto"/>
          <w:sz w:val="32"/>
          <w:szCs w:val="32"/>
          <w:highlight w:val="none"/>
          <w:lang w:val="en-US" w:eastAsia="zh-CN"/>
        </w:rPr>
        <w:t>21</w:t>
      </w:r>
      <w:r>
        <w:rPr>
          <w:rFonts w:hint="eastAsia" w:ascii="仿宋" w:hAnsi="仿宋" w:eastAsia="仿宋"/>
          <w:b/>
          <w:bCs w:val="0"/>
          <w:color w:val="auto"/>
          <w:sz w:val="32"/>
          <w:szCs w:val="32"/>
          <w:highlight w:val="none"/>
        </w:rPr>
        <w:t>年重点工作完成情况</w:t>
      </w:r>
      <w:r>
        <w:rPr>
          <w:rFonts w:hint="eastAsia" w:ascii="仿宋" w:hAnsi="仿宋" w:eastAsia="仿宋"/>
          <w:bCs/>
          <w:color w:val="auto"/>
          <w:sz w:val="32"/>
          <w:szCs w:val="32"/>
          <w:highlight w:val="none"/>
        </w:rPr>
        <w:t>。</w:t>
      </w:r>
      <w:bookmarkEnd w:id="18"/>
      <w:bookmarkEnd w:id="19"/>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Cs/>
          <w:color w:val="auto"/>
          <w:sz w:val="32"/>
          <w:szCs w:val="32"/>
          <w:highlight w:val="none"/>
        </w:rPr>
      </w:pPr>
      <w:r>
        <w:rPr>
          <w:rFonts w:hint="eastAsia" w:ascii="仿宋" w:hAnsi="仿宋" w:eastAsia="仿宋" w:cs="仿宋"/>
          <w:b/>
          <w:bCs/>
          <w:color w:val="auto"/>
          <w:sz w:val="32"/>
          <w:szCs w:val="32"/>
          <w:lang w:val="en-US" w:eastAsia="zh-CN"/>
        </w:rPr>
        <w:t>一是加快交通建设。</w:t>
      </w:r>
      <w:r>
        <w:rPr>
          <w:rFonts w:hint="eastAsia" w:ascii="仿宋" w:hAnsi="仿宋" w:eastAsia="仿宋" w:cs="仿宋"/>
          <w:color w:val="auto"/>
          <w:sz w:val="32"/>
          <w:szCs w:val="32"/>
          <w:lang w:val="en-US" w:eastAsia="zh-CN"/>
        </w:rPr>
        <w:t>按照“构筑大交通、连接主干道、织密基础网、联运提质效、做亮交通+”发展思路，着力打造交通重镇，加快推进场镇至巴万</w:t>
      </w:r>
      <w:r>
        <w:rPr>
          <w:rFonts w:hint="default" w:ascii="Times New Roman" w:hAnsi="Times New Roman" w:eastAsia="仿宋" w:cs="Times New Roman"/>
          <w:color w:val="auto"/>
          <w:sz w:val="32"/>
          <w:szCs w:val="32"/>
          <w:lang w:val="en-US" w:eastAsia="zh-CN"/>
        </w:rPr>
        <w:t>高速连接道、石林景区旅游公路和云</w:t>
      </w:r>
      <w:r>
        <w:rPr>
          <w:rFonts w:hint="eastAsia" w:ascii="Times New Roman" w:hAnsi="Times New Roman" w:eastAsia="仿宋" w:cs="Times New Roman"/>
          <w:color w:val="auto"/>
          <w:kern w:val="2"/>
          <w:sz w:val="32"/>
          <w:szCs w:val="32"/>
          <w:highlight w:val="none"/>
          <w:lang w:val="en-US" w:eastAsia="zh-CN" w:bidi="ar-SA"/>
        </w:rPr>
        <w:t>昙</w:t>
      </w:r>
      <w:r>
        <w:rPr>
          <w:rFonts w:hint="default" w:ascii="Times New Roman" w:hAnsi="Times New Roman" w:eastAsia="仿宋" w:cs="Times New Roman"/>
          <w:color w:val="auto"/>
          <w:sz w:val="32"/>
          <w:szCs w:val="32"/>
          <w:lang w:val="en-US" w:eastAsia="zh-CN"/>
        </w:rPr>
        <w:t>、至诚、玉带、镇龙等周边乡镇旅游线路建设，大力实施乡村客运</w:t>
      </w:r>
      <w:r>
        <w:rPr>
          <w:rFonts w:hint="eastAsia" w:ascii="仿宋" w:hAnsi="仿宋" w:eastAsia="仿宋" w:cs="仿宋"/>
          <w:color w:val="auto"/>
          <w:sz w:val="32"/>
          <w:szCs w:val="32"/>
          <w:lang w:val="en-US" w:eastAsia="zh-CN"/>
        </w:rPr>
        <w:t>“金通工程”，畅通物流体系，构建更加畅通安全便捷的交通网络。</w:t>
      </w:r>
      <w:r>
        <w:rPr>
          <w:rFonts w:hint="eastAsia" w:ascii="仿宋" w:hAnsi="仿宋" w:eastAsia="仿宋" w:cs="仿宋"/>
          <w:b/>
          <w:bCs/>
          <w:color w:val="auto"/>
          <w:sz w:val="32"/>
          <w:szCs w:val="32"/>
          <w:lang w:val="en-US" w:eastAsia="zh-CN"/>
        </w:rPr>
        <w:t>二是着力打造特色康养。</w:t>
      </w:r>
      <w:r>
        <w:rPr>
          <w:rFonts w:hint="eastAsia" w:ascii="仿宋" w:hAnsi="仿宋" w:eastAsia="仿宋" w:cs="仿宋"/>
          <w:color w:val="auto"/>
          <w:sz w:val="32"/>
          <w:szCs w:val="32"/>
          <w:lang w:val="en-US" w:eastAsia="zh-CN"/>
        </w:rPr>
        <w:t>依托唱歌石林国家</w:t>
      </w:r>
      <w:r>
        <w:rPr>
          <w:rFonts w:hint="default" w:ascii="Times New Roman" w:hAnsi="Times New Roman" w:eastAsia="仿宋" w:cs="Times New Roman"/>
          <w:color w:val="auto"/>
          <w:sz w:val="32"/>
          <w:szCs w:val="32"/>
          <w:lang w:val="en-US" w:eastAsia="zh-CN"/>
        </w:rPr>
        <w:t>AAAA</w:t>
      </w:r>
      <w:r>
        <w:rPr>
          <w:rFonts w:hint="eastAsia" w:ascii="仿宋" w:hAnsi="仿宋" w:eastAsia="仿宋" w:cs="仿宋"/>
          <w:color w:val="auto"/>
          <w:sz w:val="32"/>
          <w:szCs w:val="32"/>
          <w:lang w:val="en-US" w:eastAsia="zh-CN"/>
        </w:rPr>
        <w:t>级景区，</w:t>
      </w:r>
      <w:r>
        <w:rPr>
          <w:rFonts w:hint="eastAsia" w:ascii="仿宋_GB2312" w:hAnsi="仿宋_GB2312" w:eastAsia="仿宋_GB2312" w:cs="仿宋_GB2312"/>
          <w:b w:val="0"/>
          <w:bCs w:val="0"/>
          <w:sz w:val="32"/>
          <w:szCs w:val="32"/>
          <w:u w:val="none"/>
          <w:lang w:eastAsia="zh-CN"/>
        </w:rPr>
        <w:t>充分利用资源禀赋和地理区位优势，</w:t>
      </w:r>
      <w:r>
        <w:rPr>
          <w:rFonts w:hint="eastAsia" w:ascii="仿宋_GB2312" w:hAnsi="仿宋_GB2312" w:eastAsia="仿宋_GB2312" w:cs="仿宋_GB2312"/>
          <w:b w:val="0"/>
          <w:bCs w:val="0"/>
          <w:sz w:val="32"/>
          <w:szCs w:val="32"/>
          <w:u w:val="none"/>
        </w:rPr>
        <w:t>大力推进森林康养基地建设，推行绿色生态颐养模式，积极开发森林康养产品，拓展省内外异地养老、田园养老、候鸟式养老市场，打造森林康养知名品牌</w:t>
      </w:r>
      <w:r>
        <w:rPr>
          <w:rFonts w:hint="eastAsia" w:ascii="仿宋_GB2312" w:hAnsi="仿宋_GB2312" w:eastAsia="仿宋_GB2312" w:cs="仿宋_GB2312"/>
          <w:b w:val="0"/>
          <w:bCs w:val="0"/>
          <w:sz w:val="32"/>
          <w:szCs w:val="32"/>
          <w:u w:val="none"/>
          <w:lang w:eastAsia="zh-CN"/>
        </w:rPr>
        <w:t>。</w:t>
      </w:r>
      <w:r>
        <w:rPr>
          <w:rFonts w:hint="eastAsia" w:ascii="仿宋" w:hAnsi="仿宋" w:eastAsia="仿宋" w:cs="仿宋"/>
          <w:b/>
          <w:bCs/>
          <w:color w:val="auto"/>
          <w:sz w:val="32"/>
          <w:szCs w:val="32"/>
          <w:lang w:val="en-US" w:eastAsia="zh-CN"/>
        </w:rPr>
        <w:t>三是加快民生建设。</w:t>
      </w:r>
      <w:r>
        <w:rPr>
          <w:rFonts w:hint="eastAsia" w:ascii="仿宋" w:hAnsi="仿宋" w:eastAsia="仿宋" w:cs="仿宋"/>
          <w:color w:val="auto"/>
          <w:sz w:val="32"/>
          <w:szCs w:val="32"/>
          <w:lang w:val="en-US" w:eastAsia="zh-CN"/>
        </w:rPr>
        <w:t>全面推进公共服务体系均衡发展，促进基本公共服务标准化、规范化、均等化。持续完善疾病防控机制和公共卫生应急体系，全面提升城乡卫生健康服务能力，常态化抓好疫情防控，有序推进疫苗强化接种，全力降低疫情传播风险。加强社会保障体系建设，建立完善增收致富长效机制，大力发展社会福利、老龄及养老事业，切实筑牢基本民生保障网。</w:t>
      </w:r>
      <w:r>
        <w:rPr>
          <w:rFonts w:hint="eastAsia" w:ascii="仿宋" w:hAnsi="仿宋" w:eastAsia="仿宋" w:cs="仿宋"/>
          <w:b/>
          <w:bCs/>
          <w:color w:val="auto"/>
          <w:sz w:val="32"/>
          <w:szCs w:val="32"/>
          <w:lang w:val="en-US" w:eastAsia="zh-CN"/>
        </w:rPr>
        <w:t>四是加快平安共建。</w:t>
      </w:r>
      <w:r>
        <w:rPr>
          <w:rFonts w:hint="eastAsia" w:ascii="仿宋" w:hAnsi="仿宋" w:eastAsia="仿宋" w:cs="仿宋"/>
          <w:color w:val="auto"/>
          <w:sz w:val="32"/>
          <w:szCs w:val="32"/>
          <w:lang w:val="en-US" w:eastAsia="zh-CN"/>
        </w:rPr>
        <w:t>继续深化“网格化管理”，严格落实安全生产责任制，切实筑牢公共卫生、食品药品、安全生产等各领域安全防线，坚决遏制重特大安全事故发生。完善社会治安防控体系，健全扫黑除恶长效常治机制，依法打击各类违法犯罪行为。认真落实信访工作责任制，坚持社会矛盾层级调处，完善多元化矛盾纠纷调解机制，促进社会和谐稳定，</w:t>
      </w:r>
      <w:r>
        <w:rPr>
          <w:rFonts w:hint="eastAsia" w:ascii="仿宋" w:hAnsi="仿宋" w:eastAsia="仿宋" w:cs="仿宋"/>
          <w:b w:val="0"/>
          <w:bCs w:val="0"/>
          <w:color w:val="auto"/>
          <w:sz w:val="32"/>
          <w:szCs w:val="32"/>
          <w:lang w:val="en-US" w:eastAsia="zh-CN"/>
        </w:rPr>
        <w:t>切实提升群众安全感、幸福感、获得感。</w:t>
      </w:r>
    </w:p>
    <w:p>
      <w:pPr>
        <w:pStyle w:val="5"/>
        <w:rPr>
          <w:rStyle w:val="27"/>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7"/>
          <w:rFonts w:hint="eastAsia" w:ascii="黑体" w:hAnsi="黑体" w:eastAsia="黑体"/>
          <w:b w:val="0"/>
          <w:bCs w:val="0"/>
          <w:color w:val="auto"/>
          <w:highlight w:val="none"/>
        </w:rPr>
        <w:t>构设置</w:t>
      </w:r>
      <w:bookmarkEnd w:id="20"/>
      <w:bookmarkEnd w:id="21"/>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唱歌镇</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w:t>
      </w:r>
    </w:p>
    <w:p>
      <w:pPr>
        <w:pStyle w:val="2"/>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唱歌镇2</w:t>
      </w:r>
      <w:r>
        <w:rPr>
          <w:rFonts w:hint="eastAsia" w:ascii="仿宋" w:hAnsi="仿宋" w:eastAsia="仿宋"/>
          <w:color w:val="auto"/>
          <w:sz w:val="32"/>
          <w:szCs w:val="32"/>
          <w:highlight w:val="none"/>
        </w:rPr>
        <w:t>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2"/>
        <w:numPr>
          <w:ilvl w:val="0"/>
          <w:numId w:val="1"/>
        </w:numPr>
        <w:adjustRightInd w:val="0"/>
        <w:snapToGrid w:val="0"/>
        <w:spacing w:before="93" w:line="600" w:lineRule="exact"/>
        <w:outlineLvl w:val="2"/>
        <w:rPr>
          <w:rFonts w:ascii="仿宋" w:hAnsi="仿宋" w:eastAsia="仿宋"/>
          <w:color w:val="auto"/>
          <w:sz w:val="32"/>
          <w:szCs w:val="32"/>
          <w:highlight w:val="none"/>
        </w:rPr>
      </w:pPr>
      <w:bookmarkStart w:id="22" w:name="_Toc15377202"/>
      <w:bookmarkStart w:id="23" w:name="_Toc15378449"/>
      <w:bookmarkStart w:id="24" w:name="_Toc15306276"/>
      <w:bookmarkStart w:id="25" w:name="_Toc15377433"/>
      <w:r>
        <w:rPr>
          <w:rFonts w:hint="eastAsia" w:ascii="仿宋" w:hAnsi="仿宋" w:eastAsia="仿宋" w:cs="Times New Roman"/>
          <w:color w:val="000000"/>
          <w:sz w:val="32"/>
          <w:szCs w:val="32"/>
          <w:lang w:val="en-US" w:eastAsia="zh-CN"/>
        </w:rPr>
        <w:t>通江县唱歌镇</w:t>
      </w:r>
      <w:r>
        <w:rPr>
          <w:rFonts w:hint="eastAsia" w:ascii="仿宋" w:hAnsi="仿宋" w:eastAsia="仿宋" w:cs="Times New Roman"/>
          <w:color w:val="000000"/>
          <w:sz w:val="32"/>
          <w:szCs w:val="32"/>
          <w:lang w:eastAsia="zh-CN"/>
        </w:rPr>
        <w:t>人民政府（</w:t>
      </w:r>
      <w:r>
        <w:rPr>
          <w:rFonts w:hint="eastAsia" w:ascii="仿宋" w:hAnsi="仿宋" w:eastAsia="仿宋" w:cs="Times New Roman"/>
          <w:color w:val="000000"/>
          <w:sz w:val="32"/>
          <w:szCs w:val="32"/>
          <w:lang w:val="en-US" w:eastAsia="zh-CN"/>
        </w:rPr>
        <w:t>本级</w:t>
      </w:r>
      <w:r>
        <w:rPr>
          <w:rFonts w:hint="eastAsia" w:ascii="仿宋" w:hAnsi="仿宋" w:eastAsia="仿宋" w:cs="Times New Roman"/>
          <w:color w:val="000000"/>
          <w:sz w:val="32"/>
          <w:szCs w:val="32"/>
          <w:lang w:eastAsia="zh-CN"/>
        </w:rPr>
        <w:t>）</w:t>
      </w:r>
      <w:bookmarkEnd w:id="22"/>
      <w:bookmarkEnd w:id="23"/>
      <w:bookmarkEnd w:id="24"/>
      <w:bookmarkEnd w:id="25"/>
    </w:p>
    <w:p>
      <w:pPr>
        <w:pStyle w:val="2"/>
        <w:numPr>
          <w:ilvl w:val="0"/>
          <w:numId w:val="1"/>
        </w:numPr>
        <w:adjustRightInd w:val="0"/>
        <w:snapToGrid w:val="0"/>
        <w:spacing w:before="93" w:line="600" w:lineRule="exact"/>
        <w:outlineLvl w:val="2"/>
        <w:rPr>
          <w:rFonts w:ascii="仿宋" w:hAnsi="仿宋" w:eastAsia="仿宋"/>
          <w:color w:val="auto"/>
          <w:sz w:val="32"/>
          <w:szCs w:val="32"/>
          <w:highlight w:val="none"/>
        </w:rPr>
      </w:pPr>
      <w:r>
        <w:rPr>
          <w:rFonts w:hint="eastAsia" w:ascii="仿宋" w:hAnsi="仿宋" w:eastAsia="仿宋" w:cs="Times New Roman"/>
          <w:color w:val="000000"/>
          <w:sz w:val="32"/>
          <w:szCs w:val="32"/>
          <w:lang w:val="en-US" w:eastAsia="zh-CN"/>
        </w:rPr>
        <w:t>通江县唱歌镇石林卫生院</w:t>
      </w:r>
    </w:p>
    <w:p>
      <w:pPr>
        <w:pStyle w:val="2"/>
        <w:numPr>
          <w:ilvl w:val="0"/>
          <w:numId w:val="1"/>
        </w:numPr>
        <w:adjustRightInd w:val="0"/>
        <w:snapToGrid w:val="0"/>
        <w:spacing w:before="93" w:line="600" w:lineRule="exact"/>
        <w:outlineLvl w:val="2"/>
        <w:rPr>
          <w:rFonts w:ascii="仿宋" w:hAnsi="仿宋" w:eastAsia="仿宋"/>
          <w:color w:val="auto"/>
          <w:sz w:val="32"/>
          <w:szCs w:val="32"/>
          <w:highlight w:val="none"/>
        </w:rPr>
      </w:pPr>
      <w:r>
        <w:rPr>
          <w:rFonts w:hint="eastAsia" w:ascii="仿宋" w:hAnsi="仿宋" w:eastAsia="仿宋" w:cs="Times New Roman"/>
          <w:color w:val="000000"/>
          <w:sz w:val="32"/>
          <w:szCs w:val="32"/>
          <w:lang w:val="en-US" w:eastAsia="zh-CN"/>
        </w:rPr>
        <w:t>通江县唱歌镇石林小学</w:t>
      </w:r>
    </w:p>
    <w:p>
      <w:pPr>
        <w:pStyle w:val="2"/>
        <w:numPr>
          <w:ilvl w:val="0"/>
          <w:numId w:val="1"/>
        </w:numPr>
        <w:adjustRightInd w:val="0"/>
        <w:snapToGrid w:val="0"/>
        <w:spacing w:before="93" w:line="600" w:lineRule="exact"/>
        <w:outlineLvl w:val="2"/>
        <w:rPr>
          <w:rFonts w:ascii="仿宋" w:hAnsi="仿宋" w:eastAsia="仿宋"/>
          <w:color w:val="auto"/>
          <w:sz w:val="32"/>
          <w:szCs w:val="32"/>
          <w:highlight w:val="none"/>
        </w:rPr>
      </w:pPr>
      <w:r>
        <w:rPr>
          <w:rFonts w:hint="eastAsia" w:ascii="仿宋" w:hAnsi="仿宋" w:eastAsia="仿宋" w:cs="Times New Roman"/>
          <w:color w:val="000000"/>
          <w:sz w:val="32"/>
          <w:szCs w:val="32"/>
          <w:lang w:val="en-US" w:eastAsia="zh-CN"/>
        </w:rPr>
        <w:t>通江县唱歌镇卫生院</w:t>
      </w:r>
    </w:p>
    <w:p>
      <w:pPr>
        <w:pStyle w:val="2"/>
        <w:numPr>
          <w:ilvl w:val="0"/>
          <w:numId w:val="1"/>
        </w:numPr>
        <w:adjustRightInd w:val="0"/>
        <w:snapToGrid w:val="0"/>
        <w:spacing w:before="93" w:line="600" w:lineRule="exact"/>
        <w:outlineLvl w:val="2"/>
        <w:rPr>
          <w:rFonts w:ascii="仿宋" w:hAnsi="仿宋" w:eastAsia="仿宋"/>
          <w:color w:val="auto"/>
          <w:sz w:val="32"/>
          <w:szCs w:val="32"/>
          <w:highlight w:val="none"/>
        </w:rPr>
      </w:pPr>
      <w:r>
        <w:rPr>
          <w:rFonts w:hint="eastAsia" w:ascii="仿宋" w:hAnsi="仿宋" w:eastAsia="仿宋" w:cs="Times New Roman"/>
          <w:color w:val="000000"/>
          <w:sz w:val="32"/>
          <w:szCs w:val="32"/>
          <w:lang w:val="en-US" w:eastAsia="zh-CN"/>
        </w:rPr>
        <w:t>通江县唱歌镇俞家河</w:t>
      </w:r>
      <w:r>
        <w:rPr>
          <w:rFonts w:hint="eastAsia" w:ascii="仿宋" w:hAnsi="仿宋" w:eastAsia="仿宋" w:cs="Times New Roman"/>
          <w:color w:val="000000"/>
          <w:sz w:val="32"/>
          <w:szCs w:val="32"/>
          <w:lang w:eastAsia="zh-CN"/>
        </w:rPr>
        <w:t>小学</w:t>
      </w:r>
    </w:p>
    <w:p>
      <w:pPr>
        <w:pStyle w:val="2"/>
        <w:numPr>
          <w:ilvl w:val="0"/>
          <w:numId w:val="1"/>
        </w:numPr>
        <w:adjustRightInd w:val="0"/>
        <w:snapToGrid w:val="0"/>
        <w:spacing w:before="93" w:line="600" w:lineRule="exact"/>
        <w:outlineLvl w:val="2"/>
        <w:rPr>
          <w:rFonts w:ascii="仿宋" w:hAnsi="仿宋" w:eastAsia="仿宋"/>
          <w:color w:val="auto"/>
          <w:sz w:val="32"/>
          <w:szCs w:val="32"/>
          <w:highlight w:val="none"/>
        </w:rPr>
      </w:pPr>
      <w:r>
        <w:rPr>
          <w:rFonts w:hint="eastAsia" w:ascii="仿宋" w:hAnsi="仿宋" w:eastAsia="仿宋" w:cs="Times New Roman"/>
          <w:color w:val="000000"/>
          <w:sz w:val="32"/>
          <w:szCs w:val="32"/>
          <w:lang w:val="en-US" w:eastAsia="zh-CN"/>
        </w:rPr>
        <w:t>通江县唱歌镇中心小学</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center"/>
        <w:rPr>
          <w:rStyle w:val="26"/>
          <w:rFonts w:ascii="黑体" w:hAnsi="黑体" w:eastAsia="黑体"/>
          <w:b w:val="0"/>
          <w:bCs/>
          <w:color w:val="auto"/>
          <w:highlight w:val="none"/>
        </w:rPr>
      </w:pPr>
      <w:bookmarkStart w:id="26" w:name="_Toc15377204"/>
      <w:bookmarkStart w:id="2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rPr>
        <w:t>部门决算情况说明</w:t>
      </w:r>
      <w:bookmarkEnd w:id="26"/>
      <w:bookmarkEnd w:id="27"/>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8" w:name="_Toc15396603"/>
      <w:bookmarkStart w:id="29"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8"/>
      <w:bookmarkEnd w:id="29"/>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5313.09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lang w:val="en-US" w:eastAsia="zh-CN"/>
        </w:rPr>
        <w:t>5253.99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入增加</w:t>
      </w:r>
      <w:r>
        <w:rPr>
          <w:rFonts w:hint="eastAsia" w:ascii="仿宋" w:hAnsi="仿宋" w:eastAsia="仿宋"/>
          <w:color w:val="auto"/>
          <w:sz w:val="32"/>
          <w:szCs w:val="32"/>
          <w:highlight w:val="none"/>
          <w:lang w:val="en-US" w:eastAsia="zh-CN"/>
        </w:rPr>
        <w:t>1391.94万元，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35.5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1524.03万元，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40.86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行政区划调整以及卫生健康支出（新冠疫情防控费用）增加。</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420" w:firstLineChars="200"/>
        <w:jc w:val="left"/>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133985</wp:posOffset>
            </wp:positionH>
            <wp:positionV relativeFrom="paragraph">
              <wp:posOffset>269875</wp:posOffset>
            </wp:positionV>
            <wp:extent cx="4846320" cy="4806950"/>
            <wp:effectExtent l="4445" t="4445" r="6985" b="825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0" w:name="_Toc15396604"/>
      <w:bookmarkStart w:id="31"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0"/>
      <w:bookmarkEnd w:id="31"/>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年本年收入合计5121.9万元，其中：一般公共预算财政拨款收入4814.86万元，占</w:t>
      </w:r>
      <w:r>
        <w:rPr>
          <w:rFonts w:hint="eastAsia" w:ascii="仿宋" w:hAnsi="仿宋" w:eastAsia="仿宋"/>
          <w:color w:val="auto"/>
          <w:sz w:val="32"/>
          <w:szCs w:val="32"/>
          <w:highlight w:val="none"/>
          <w:lang w:val="en-US" w:eastAsia="zh-CN"/>
        </w:rPr>
        <w:t>94</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；政府性基金预算财政拨款收入17万元，占</w:t>
      </w:r>
      <w:r>
        <w:rPr>
          <w:rFonts w:hint="eastAsia" w:ascii="仿宋" w:hAnsi="仿宋" w:eastAsia="仿宋"/>
          <w:color w:val="auto"/>
          <w:sz w:val="32"/>
          <w:szCs w:val="32"/>
          <w:highlight w:val="none"/>
          <w:lang w:val="en-US" w:eastAsia="zh-CN"/>
        </w:rPr>
        <w:t>0.33</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；事业收入290.04万元，占</w:t>
      </w:r>
      <w:r>
        <w:rPr>
          <w:rFonts w:hint="eastAsia" w:ascii="仿宋" w:hAnsi="仿宋" w:eastAsia="仿宋"/>
          <w:color w:val="auto"/>
          <w:sz w:val="32"/>
          <w:szCs w:val="32"/>
          <w:highlight w:val="none"/>
          <w:lang w:val="en-US" w:eastAsia="zh-CN"/>
        </w:rPr>
        <w:t>5.67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480" w:lineRule="exact"/>
        <w:ind w:firstLine="640" w:firstLineChars="200"/>
        <w:outlineLvl w:val="9"/>
        <w:rPr>
          <w:rFonts w:hint="eastAsia" w:ascii="仿宋" w:hAnsi="仿宋" w:eastAsia="仿宋"/>
          <w:color w:val="auto"/>
          <w:sz w:val="32"/>
          <w:szCs w:val="32"/>
          <w:highlight w:val="none"/>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2"/>
        <w:rPr>
          <w:rFonts w:hint="eastAsia" w:eastAsia="仿宋_GB2312"/>
          <w:lang w:eastAsia="zh-CN"/>
        </w:rPr>
      </w:pPr>
      <w:r>
        <w:rPr>
          <w:rFonts w:hint="eastAsia" w:eastAsia="仿宋_GB2312"/>
          <w:lang w:eastAsia="zh-CN"/>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pPr>
    </w:p>
    <w:p/>
    <w:p>
      <w:pPr>
        <w:pStyle w:val="2"/>
      </w:pPr>
    </w:p>
    <w:p>
      <w:pPr>
        <w:pStyle w:val="3"/>
      </w:pPr>
    </w:p>
    <w:p/>
    <w:p>
      <w:pPr>
        <w:pStyle w:val="2"/>
      </w:pPr>
    </w:p>
    <w:p>
      <w:pPr>
        <w:pStyle w:val="3"/>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2" w:name="_Toc15377207"/>
      <w:bookmarkStart w:id="33"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2"/>
      <w:bookmarkEnd w:id="3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年本年支出合计5253.99万元，其中：基本支出2630.34万元，占</w:t>
      </w:r>
      <w:r>
        <w:rPr>
          <w:rFonts w:hint="eastAsia" w:ascii="仿宋" w:hAnsi="仿宋" w:eastAsia="仿宋"/>
          <w:color w:val="auto"/>
          <w:sz w:val="32"/>
          <w:szCs w:val="32"/>
          <w:highlight w:val="none"/>
          <w:lang w:val="en-US" w:eastAsia="zh-CN"/>
        </w:rPr>
        <w:t>50.06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；项目支出2623.65万元，占</w:t>
      </w:r>
      <w:r>
        <w:rPr>
          <w:rFonts w:hint="eastAsia" w:ascii="仿宋" w:hAnsi="仿宋" w:eastAsia="仿宋"/>
          <w:color w:val="auto"/>
          <w:sz w:val="32"/>
          <w:szCs w:val="32"/>
          <w:highlight w:val="none"/>
          <w:lang w:val="en-US" w:eastAsia="zh-CN"/>
        </w:rPr>
        <w:t>49.96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rPr>
          <w:rFonts w:hint="eastAsia" w:ascii="仿宋" w:hAnsi="仿宋" w:eastAsia="仿宋"/>
          <w:color w:val="auto"/>
          <w:sz w:val="32"/>
          <w:szCs w:val="32"/>
          <w:highlight w:val="none"/>
        </w:rPr>
      </w:pPr>
    </w:p>
    <w:p/>
    <w:p>
      <w:pPr>
        <w:spacing w:line="600" w:lineRule="exact"/>
        <w:ind w:firstLine="640" w:firstLineChars="200"/>
        <w:rPr>
          <w:rFonts w:hint="eastAsia" w:ascii="黑体" w:hAnsi="黑体" w:eastAsia="黑体"/>
          <w:color w:val="auto"/>
          <w:sz w:val="32"/>
          <w:szCs w:val="32"/>
          <w:highlight w:val="none"/>
        </w:rPr>
      </w:pPr>
      <w:bookmarkStart w:id="34" w:name="_Toc15377208"/>
      <w:bookmarkStart w:id="35" w:name="_Toc15396606"/>
    </w:p>
    <w:p>
      <w:pPr>
        <w:spacing w:line="600" w:lineRule="exact"/>
        <w:ind w:firstLine="640" w:firstLineChars="200"/>
        <w:rPr>
          <w:rFonts w:hint="eastAsia" w:ascii="黑体" w:hAnsi="黑体" w:eastAsia="黑体"/>
          <w:color w:val="auto"/>
          <w:sz w:val="32"/>
          <w:szCs w:val="32"/>
          <w:highlight w:val="none"/>
        </w:rPr>
      </w:pPr>
    </w:p>
    <w:p>
      <w:pPr>
        <w:spacing w:line="600" w:lineRule="exact"/>
        <w:ind w:firstLine="640" w:firstLineChars="200"/>
        <w:rPr>
          <w:rFonts w:hint="eastAsia" w:ascii="黑体" w:hAnsi="黑体" w:eastAsia="黑体"/>
          <w:color w:val="auto"/>
          <w:sz w:val="32"/>
          <w:szCs w:val="32"/>
          <w:highlight w:val="none"/>
        </w:rPr>
      </w:pPr>
    </w:p>
    <w:p>
      <w:pPr>
        <w:spacing w:line="600" w:lineRule="exact"/>
        <w:ind w:firstLine="640" w:firstLineChars="200"/>
        <w:rPr>
          <w:rFonts w:hint="eastAsia" w:ascii="黑体" w:hAnsi="黑体" w:eastAsia="黑体"/>
          <w:color w:val="auto"/>
          <w:sz w:val="32"/>
          <w:szCs w:val="32"/>
          <w:highlight w:val="none"/>
        </w:rPr>
      </w:pPr>
    </w:p>
    <w:p>
      <w:pPr>
        <w:spacing w:line="600" w:lineRule="exact"/>
        <w:ind w:firstLine="640" w:firstLineChars="200"/>
        <w:rPr>
          <w:rFonts w:hint="eastAsia" w:ascii="黑体" w:hAnsi="黑体" w:eastAsia="黑体"/>
          <w:color w:val="auto"/>
          <w:sz w:val="32"/>
          <w:szCs w:val="32"/>
          <w:highlight w:val="none"/>
        </w:rPr>
      </w:pPr>
    </w:p>
    <w:p>
      <w:pPr>
        <w:spacing w:line="600" w:lineRule="exact"/>
        <w:ind w:firstLine="640" w:firstLineChars="200"/>
        <w:rPr>
          <w:rFonts w:hint="eastAsia" w:ascii="黑体" w:hAnsi="黑体" w:eastAsia="黑体"/>
          <w:color w:val="auto"/>
          <w:sz w:val="32"/>
          <w:szCs w:val="32"/>
          <w:highlight w:val="none"/>
        </w:rPr>
      </w:pPr>
    </w:p>
    <w:p>
      <w:pPr>
        <w:spacing w:line="600" w:lineRule="exact"/>
        <w:ind w:firstLine="640" w:firstLineChars="200"/>
        <w:rPr>
          <w:rStyle w:val="27"/>
          <w:rFonts w:ascii="黑体" w:hAnsi="黑体" w:eastAsia="黑体"/>
          <w:b w:val="0"/>
          <w:color w:val="auto"/>
          <w:highlight w:val="none"/>
        </w:rPr>
      </w:pPr>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4"/>
      <w:bookmarkEnd w:id="3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48</w:t>
      </w:r>
      <w:r>
        <w:rPr>
          <w:rFonts w:hint="eastAsia" w:ascii="仿宋" w:hAnsi="仿宋" w:eastAsia="仿宋"/>
          <w:color w:val="auto"/>
          <w:sz w:val="32"/>
          <w:szCs w:val="32"/>
          <w:highlight w:val="none"/>
          <w:lang w:val="en-US" w:eastAsia="zh-CN"/>
        </w:rPr>
        <w:t>31</w:t>
      </w:r>
      <w:r>
        <w:rPr>
          <w:rFonts w:hint="eastAsia" w:ascii="仿宋" w:hAnsi="仿宋" w:eastAsia="仿宋"/>
          <w:color w:val="auto"/>
          <w:sz w:val="32"/>
          <w:szCs w:val="32"/>
          <w:highlight w:val="none"/>
        </w:rPr>
        <w:t>.86万元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48</w:t>
      </w:r>
      <w:r>
        <w:rPr>
          <w:rFonts w:hint="eastAsia" w:ascii="仿宋" w:hAnsi="仿宋" w:eastAsia="仿宋"/>
          <w:color w:val="auto"/>
          <w:sz w:val="32"/>
          <w:szCs w:val="32"/>
          <w:highlight w:val="none"/>
          <w:lang w:val="en-US" w:eastAsia="zh-CN"/>
        </w:rPr>
        <w:t>40</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1310.36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37.21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1313.35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37.24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行政区划调整以及卫生健康支出（新冠疫情防控费用）增加。</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r>
        <w:drawing>
          <wp:inline distT="0" distB="0" distL="114300" distR="114300">
            <wp:extent cx="5016500" cy="3347085"/>
            <wp:effectExtent l="4445" t="4445" r="8255" b="2032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3"/>
      </w:pPr>
    </w:p>
    <w:p>
      <w:pPr>
        <w:pStyle w:val="2"/>
        <w:rPr>
          <w:rFonts w:ascii="仿宋" w:hAnsi="仿宋" w:eastAsia="仿宋"/>
          <w:b/>
          <w:color w:val="auto"/>
          <w:sz w:val="32"/>
          <w:szCs w:val="32"/>
          <w:highlight w:val="none"/>
        </w:rPr>
      </w:pPr>
    </w:p>
    <w:p>
      <w:pPr>
        <w:pStyle w:val="3"/>
        <w:rPr>
          <w:rFonts w:ascii="仿宋" w:hAnsi="仿宋" w:eastAsia="仿宋"/>
          <w:b/>
          <w:color w:val="auto"/>
          <w:sz w:val="32"/>
          <w:szCs w:val="32"/>
          <w:highlight w:val="none"/>
        </w:rPr>
      </w:pPr>
    </w:p>
    <w:p>
      <w:pPr>
        <w:pStyle w:val="3"/>
        <w:ind w:left="0" w:leftChars="0" w:firstLine="0" w:firstLineChars="0"/>
        <w:jc w:val="both"/>
      </w:pPr>
    </w:p>
    <w:p>
      <w:pPr>
        <w:spacing w:line="600" w:lineRule="exact"/>
        <w:outlineLvl w:val="1"/>
        <w:rPr>
          <w:rFonts w:hint="eastAsia" w:ascii="黑体" w:hAnsi="黑体" w:eastAsia="黑体"/>
          <w:color w:val="auto"/>
          <w:sz w:val="32"/>
          <w:szCs w:val="32"/>
          <w:highlight w:val="none"/>
        </w:rPr>
      </w:pPr>
      <w:bookmarkStart w:id="36" w:name="_Toc15377209"/>
      <w:bookmarkStart w:id="37" w:name="_Toc15396607"/>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6"/>
      <w:bookmarkEnd w:id="37"/>
    </w:p>
    <w:p>
      <w:pPr>
        <w:spacing w:line="600" w:lineRule="exact"/>
        <w:ind w:firstLine="643" w:firstLineChars="200"/>
        <w:outlineLvl w:val="2"/>
        <w:rPr>
          <w:rFonts w:ascii="仿宋" w:hAnsi="仿宋" w:eastAsia="仿宋"/>
          <w:b/>
          <w:color w:val="auto"/>
          <w:sz w:val="32"/>
          <w:szCs w:val="32"/>
          <w:highlight w:val="none"/>
        </w:rPr>
      </w:pPr>
      <w:bookmarkStart w:id="38" w:name="_Toc15377210"/>
      <w:r>
        <w:rPr>
          <w:rFonts w:hint="eastAsia" w:ascii="仿宋" w:hAnsi="仿宋" w:eastAsia="仿宋"/>
          <w:b/>
          <w:color w:val="auto"/>
          <w:sz w:val="32"/>
          <w:szCs w:val="32"/>
          <w:highlight w:val="none"/>
        </w:rPr>
        <w:t>（一）一般公共预算财政拨款支出决算总体情况</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4823.23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增加1296.35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增加36.76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行政区划调整以及卫生健康支出（新冠疫情防控费用）增加。</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3"/>
      </w:pPr>
    </w:p>
    <w:p/>
    <w:p>
      <w:pPr>
        <w:spacing w:line="600" w:lineRule="exact"/>
        <w:ind w:firstLine="643" w:firstLineChars="200"/>
        <w:outlineLvl w:val="2"/>
        <w:rPr>
          <w:rFonts w:ascii="仿宋" w:hAnsi="仿宋" w:eastAsia="仿宋"/>
          <w:b/>
          <w:color w:val="auto"/>
          <w:sz w:val="32"/>
          <w:szCs w:val="32"/>
          <w:highlight w:val="none"/>
        </w:rPr>
      </w:pPr>
      <w:bookmarkStart w:id="39" w:name="_Toc15377211"/>
      <w:r>
        <w:rPr>
          <w:rFonts w:hint="eastAsia" w:ascii="仿宋" w:hAnsi="仿宋" w:eastAsia="仿宋"/>
          <w:b/>
          <w:color w:val="auto"/>
          <w:sz w:val="32"/>
          <w:szCs w:val="32"/>
          <w:highlight w:val="none"/>
        </w:rPr>
        <w:t>（二）一般公共预算财政拨款支出决算结构情况</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4823.23</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576.46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11.95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rPr>
        <w:t>1003.12万元，占</w:t>
      </w:r>
      <w:r>
        <w:rPr>
          <w:rFonts w:hint="eastAsia" w:ascii="仿宋" w:hAnsi="仿宋" w:eastAsia="仿宋"/>
          <w:color w:val="auto"/>
          <w:sz w:val="32"/>
          <w:szCs w:val="32"/>
          <w:highlight w:val="none"/>
          <w:lang w:val="en-US" w:eastAsia="zh-CN"/>
        </w:rPr>
        <w:t>20.8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w:t>
      </w:r>
      <w:r>
        <w:rPr>
          <w:rFonts w:hint="eastAsia" w:ascii="仿宋" w:hAnsi="仿宋" w:eastAsia="仿宋"/>
          <w:b w:val="0"/>
          <w:bCs w:val="0"/>
          <w:color w:val="auto"/>
          <w:sz w:val="32"/>
          <w:szCs w:val="32"/>
          <w:highlight w:val="none"/>
        </w:rPr>
        <w:t>支出</w:t>
      </w:r>
      <w:r>
        <w:rPr>
          <w:rFonts w:hint="eastAsia" w:ascii="仿宋" w:hAnsi="仿宋" w:eastAsia="仿宋"/>
          <w:b/>
          <w:bCs/>
          <w:color w:val="auto"/>
          <w:sz w:val="32"/>
          <w:szCs w:val="32"/>
          <w:highlight w:val="none"/>
        </w:rPr>
        <w:t>53.8万元，占</w:t>
      </w:r>
      <w:r>
        <w:rPr>
          <w:rFonts w:hint="eastAsia" w:ascii="仿宋" w:hAnsi="仿宋" w:eastAsia="仿宋"/>
          <w:b/>
          <w:bCs/>
          <w:color w:val="auto"/>
          <w:sz w:val="32"/>
          <w:szCs w:val="32"/>
          <w:highlight w:val="none"/>
          <w:lang w:val="en-US" w:eastAsia="zh-CN"/>
        </w:rPr>
        <w:t>1.12</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支出300.41万元，占</w:t>
      </w:r>
      <w:r>
        <w:rPr>
          <w:rFonts w:hint="eastAsia" w:ascii="仿宋" w:hAnsi="仿宋" w:eastAsia="仿宋"/>
          <w:color w:val="auto"/>
          <w:sz w:val="32"/>
          <w:szCs w:val="32"/>
          <w:highlight w:val="none"/>
          <w:lang w:val="en-US" w:eastAsia="zh-CN"/>
        </w:rPr>
        <w:t>6.23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卫生健康（类）</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rPr>
        <w:t>320.96万元，占</w:t>
      </w:r>
      <w:r>
        <w:rPr>
          <w:rFonts w:hint="eastAsia" w:ascii="仿宋" w:hAnsi="仿宋" w:eastAsia="仿宋"/>
          <w:color w:val="auto"/>
          <w:sz w:val="32"/>
          <w:szCs w:val="32"/>
          <w:highlight w:val="none"/>
          <w:lang w:val="en-US" w:eastAsia="zh-CN"/>
        </w:rPr>
        <w:t>6.65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农林水</w:t>
      </w:r>
      <w:r>
        <w:rPr>
          <w:rFonts w:hint="eastAsia" w:ascii="仿宋" w:hAnsi="仿宋" w:eastAsia="仿宋"/>
          <w:b/>
          <w:bCs/>
          <w:color w:val="auto"/>
          <w:sz w:val="32"/>
          <w:szCs w:val="32"/>
          <w:highlight w:val="none"/>
        </w:rPr>
        <w:t>（类）</w:t>
      </w:r>
      <w:r>
        <w:rPr>
          <w:rFonts w:hint="eastAsia" w:ascii="仿宋" w:hAnsi="仿宋" w:eastAsia="仿宋"/>
          <w:color w:val="auto"/>
          <w:sz w:val="32"/>
          <w:szCs w:val="32"/>
          <w:highlight w:val="none"/>
          <w:lang w:val="en-US" w:eastAsia="zh-CN"/>
        </w:rPr>
        <w:t>支出1824.37万元，占37.82%；</w:t>
      </w:r>
      <w:r>
        <w:rPr>
          <w:rFonts w:hint="eastAsia" w:ascii="仿宋" w:hAnsi="仿宋" w:eastAsia="仿宋"/>
          <w:b/>
          <w:bCs/>
          <w:color w:val="auto"/>
          <w:sz w:val="32"/>
          <w:szCs w:val="32"/>
          <w:highlight w:val="none"/>
          <w:lang w:val="en-US" w:eastAsia="zh-CN"/>
        </w:rPr>
        <w:t>交通运输</w:t>
      </w:r>
      <w:r>
        <w:rPr>
          <w:rFonts w:hint="eastAsia" w:ascii="仿宋" w:hAnsi="仿宋" w:eastAsia="仿宋"/>
          <w:b/>
          <w:bCs/>
          <w:color w:val="auto"/>
          <w:sz w:val="32"/>
          <w:szCs w:val="32"/>
          <w:highlight w:val="none"/>
        </w:rPr>
        <w:t>（类）</w:t>
      </w:r>
      <w:r>
        <w:rPr>
          <w:rFonts w:hint="eastAsia" w:ascii="仿宋" w:hAnsi="仿宋" w:eastAsia="仿宋"/>
          <w:color w:val="auto"/>
          <w:sz w:val="32"/>
          <w:szCs w:val="32"/>
          <w:highlight w:val="none"/>
          <w:lang w:val="en-US" w:eastAsia="zh-CN"/>
        </w:rPr>
        <w:t>支出52.33万元，占1.08%；</w:t>
      </w:r>
      <w:r>
        <w:rPr>
          <w:rFonts w:hint="eastAsia" w:ascii="仿宋" w:hAnsi="仿宋" w:eastAsia="仿宋"/>
          <w:b/>
          <w:bCs/>
          <w:color w:val="auto"/>
          <w:sz w:val="32"/>
          <w:szCs w:val="32"/>
          <w:highlight w:val="none"/>
        </w:rPr>
        <w:t>住房保障（类）</w:t>
      </w:r>
      <w:r>
        <w:rPr>
          <w:rFonts w:hint="eastAsia" w:ascii="仿宋" w:hAnsi="仿宋" w:eastAsia="仿宋"/>
          <w:color w:val="auto"/>
          <w:sz w:val="32"/>
          <w:szCs w:val="32"/>
          <w:highlight w:val="none"/>
        </w:rPr>
        <w:t>支出691.7</w:t>
      </w:r>
      <w:r>
        <w:rPr>
          <w:rFonts w:hint="eastAsia" w:ascii="仿宋" w:hAnsi="仿宋" w:eastAsia="仿宋"/>
          <w:color w:val="auto"/>
          <w:sz w:val="32"/>
          <w:szCs w:val="32"/>
          <w:highlight w:val="none"/>
          <w:lang w:val="en-US" w:eastAsia="zh-CN"/>
        </w:rPr>
        <w:t>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14.34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3"/>
        <w:ind w:left="0" w:leftChars="0" w:firstLine="0" w:firstLineChars="0"/>
        <w:jc w:val="both"/>
      </w:pPr>
    </w:p>
    <w:p/>
    <w:p/>
    <w:p>
      <w:pPr>
        <w:spacing w:line="600" w:lineRule="exact"/>
        <w:ind w:firstLine="643" w:firstLineChars="200"/>
        <w:outlineLvl w:val="2"/>
        <w:rPr>
          <w:rFonts w:ascii="仿宋" w:hAnsi="仿宋" w:eastAsia="仿宋"/>
          <w:b/>
          <w:color w:val="auto"/>
          <w:sz w:val="32"/>
          <w:szCs w:val="32"/>
          <w:highlight w:val="none"/>
        </w:rPr>
      </w:pPr>
      <w:bookmarkStart w:id="40" w:name="_Toc15377212"/>
      <w:r>
        <w:rPr>
          <w:rFonts w:hint="eastAsia" w:ascii="仿宋" w:hAnsi="仿宋" w:eastAsia="仿宋"/>
          <w:b/>
          <w:color w:val="auto"/>
          <w:sz w:val="32"/>
          <w:szCs w:val="32"/>
          <w:highlight w:val="none"/>
        </w:rPr>
        <w:t>（三）一般公共预算财政拨款支出决算具体情况</w:t>
      </w:r>
      <w:bookmarkEnd w:id="40"/>
    </w:p>
    <w:p>
      <w:pPr>
        <w:spacing w:line="600" w:lineRule="exact"/>
        <w:ind w:firstLine="643" w:firstLineChars="200"/>
        <w:outlineLvl w:val="2"/>
        <w:rPr>
          <w:rFonts w:ascii="仿宋" w:hAnsi="仿宋" w:eastAsia="仿宋"/>
          <w:color w:val="auto"/>
          <w:sz w:val="32"/>
          <w:szCs w:val="32"/>
          <w:highlight w:val="none"/>
        </w:rPr>
      </w:pPr>
      <w:bookmarkStart w:id="41" w:name="_Toc15377444"/>
      <w:bookmarkStart w:id="42" w:name="_Toc15378460"/>
      <w:bookmarkStart w:id="4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4823.23万元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1"/>
      <w:bookmarkEnd w:id="42"/>
      <w:bookmarkEnd w:id="43"/>
    </w:p>
    <w:p>
      <w:pPr>
        <w:pageBreakBefore w:val="0"/>
        <w:kinsoku/>
        <w:wordWrap/>
        <w:overflowPunct/>
        <w:topLinePunct w:val="0"/>
        <w:bidi w:val="0"/>
        <w:spacing w:line="480" w:lineRule="exact"/>
        <w:ind w:firstLine="630" w:firstLineChars="196"/>
        <w:outlineLvl w:val="9"/>
        <w:rPr>
          <w:rFonts w:ascii="仿宋" w:hAnsi="仿宋" w:eastAsia="仿宋"/>
          <w:b/>
          <w:color w:val="auto"/>
          <w:sz w:val="32"/>
          <w:szCs w:val="32"/>
          <w:highlight w:val="none"/>
        </w:rPr>
      </w:pPr>
      <w:r>
        <w:rPr>
          <w:rStyle w:val="16"/>
          <w:rFonts w:ascii="仿宋" w:hAnsi="仿宋" w:eastAsia="仿宋"/>
          <w:bCs/>
          <w:color w:val="auto"/>
          <w:sz w:val="32"/>
          <w:szCs w:val="32"/>
          <w:highlight w:val="none"/>
        </w:rPr>
        <w:t>1.</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人大事务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支出决算为20.42万元，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pageBreakBefore w:val="0"/>
        <w:kinsoku/>
        <w:wordWrap/>
        <w:overflowPunct/>
        <w:topLinePunct w:val="0"/>
        <w:bidi w:val="0"/>
        <w:spacing w:line="480" w:lineRule="exact"/>
        <w:ind w:firstLine="630" w:firstLineChars="196"/>
        <w:outlineLvl w:val="9"/>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2</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支出决算为429.89万元，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pageBreakBefore w:val="0"/>
        <w:kinsoku/>
        <w:wordWrap/>
        <w:overflowPunct/>
        <w:topLinePunct w:val="0"/>
        <w:bidi w:val="0"/>
        <w:spacing w:line="480" w:lineRule="exact"/>
        <w:ind w:firstLine="630" w:firstLineChars="196"/>
        <w:outlineLvl w:val="9"/>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3</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一般行政管理事务</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支出决算为8.27万元，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pageBreakBefore w:val="0"/>
        <w:kinsoku/>
        <w:wordWrap/>
        <w:overflowPunct/>
        <w:topLinePunct w:val="0"/>
        <w:bidi w:val="0"/>
        <w:spacing w:line="480" w:lineRule="exact"/>
        <w:ind w:firstLine="630" w:firstLineChars="196"/>
        <w:outlineLvl w:val="9"/>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4</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信访事务</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支出决算为21.89万元，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支出决算为1.71万元，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highlight w:val="none"/>
          <w:lang w:val="en-US" w:eastAsia="zh-CN"/>
        </w:rPr>
        <w:t>6</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其他政府办公厅（室）及相关机构事务支出</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支出决算为6万元，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highlight w:val="none"/>
          <w:lang w:val="en-US" w:eastAsia="zh-CN"/>
        </w:rPr>
        <w:t>7</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支出决算为27.51万元，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highlight w:val="none"/>
          <w:lang w:val="en-US" w:eastAsia="zh-CN"/>
        </w:rPr>
        <w:t>8</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支出决算为31.36万元，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highlight w:val="none"/>
          <w:lang w:val="en-US" w:eastAsia="zh-CN"/>
        </w:rPr>
        <w:t>9</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纪检监察事务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支出决算为19.47万元，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highlight w:val="none"/>
          <w:lang w:val="en-US" w:eastAsia="zh-CN"/>
        </w:rPr>
        <w:t>10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党委办公厅（室）及相关机构事务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highlight w:val="none"/>
        </w:rPr>
        <w:t>支出决算为9.93万元，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Cs/>
          <w:color w:val="auto"/>
          <w:sz w:val="32"/>
          <w:szCs w:val="32"/>
          <w:lang w:val="en-US" w:eastAsia="zh-CN"/>
        </w:rPr>
        <w:t>11.</w:t>
      </w:r>
      <w:r>
        <w:rPr>
          <w:rStyle w:val="16"/>
          <w:rFonts w:hint="eastAsia" w:ascii="仿宋" w:hAnsi="仿宋" w:eastAsia="仿宋"/>
          <w:bCs/>
          <w:color w:val="auto"/>
          <w:sz w:val="32"/>
          <w:szCs w:val="32"/>
        </w:rPr>
        <w:t>教育（类）</w:t>
      </w:r>
      <w:r>
        <w:rPr>
          <w:rStyle w:val="16"/>
          <w:rFonts w:hint="eastAsia" w:ascii="仿宋" w:hAnsi="仿宋" w:eastAsia="仿宋"/>
          <w:bCs/>
          <w:color w:val="auto"/>
          <w:sz w:val="32"/>
          <w:szCs w:val="32"/>
          <w:lang w:eastAsia="zh-CN"/>
        </w:rPr>
        <w:t>普通教育</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学前教育</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14.26</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Style w:val="16"/>
          <w:rFonts w:hint="eastAsia" w:ascii="仿宋" w:hAnsi="仿宋" w:eastAsia="仿宋"/>
          <w:b w:val="0"/>
          <w:bCs/>
          <w:color w:val="auto"/>
          <w:sz w:val="32"/>
          <w:szCs w:val="32"/>
          <w:lang w:eastAsia="zh-CN"/>
        </w:rPr>
      </w:pPr>
      <w:r>
        <w:rPr>
          <w:rStyle w:val="16"/>
          <w:rFonts w:hint="eastAsia" w:ascii="仿宋" w:hAnsi="仿宋" w:eastAsia="仿宋"/>
          <w:bCs/>
          <w:color w:val="auto"/>
          <w:sz w:val="32"/>
          <w:szCs w:val="32"/>
          <w:lang w:val="en-US" w:eastAsia="zh-CN"/>
        </w:rPr>
        <w:t>12.</w:t>
      </w:r>
      <w:r>
        <w:rPr>
          <w:rStyle w:val="16"/>
          <w:rFonts w:hint="eastAsia" w:ascii="仿宋" w:hAnsi="仿宋" w:eastAsia="仿宋"/>
          <w:bCs/>
          <w:color w:val="auto"/>
          <w:sz w:val="32"/>
          <w:szCs w:val="32"/>
        </w:rPr>
        <w:t>教育（类）</w:t>
      </w:r>
      <w:r>
        <w:rPr>
          <w:rStyle w:val="16"/>
          <w:rFonts w:hint="eastAsia" w:ascii="仿宋" w:hAnsi="仿宋" w:eastAsia="仿宋"/>
          <w:bCs/>
          <w:color w:val="auto"/>
          <w:sz w:val="32"/>
          <w:szCs w:val="32"/>
          <w:lang w:eastAsia="zh-CN"/>
        </w:rPr>
        <w:t>普通教育</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小学教育</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940.28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Style w:val="16"/>
          <w:rFonts w:hint="eastAsia" w:ascii="仿宋" w:hAnsi="仿宋" w:eastAsia="仿宋"/>
          <w:b w:val="0"/>
          <w:bCs/>
          <w:color w:val="auto"/>
          <w:sz w:val="32"/>
          <w:szCs w:val="32"/>
          <w:lang w:eastAsia="zh-CN"/>
        </w:rPr>
      </w:pP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教育（类）</w:t>
      </w:r>
      <w:r>
        <w:rPr>
          <w:rStyle w:val="16"/>
          <w:rFonts w:hint="eastAsia" w:ascii="仿宋" w:hAnsi="仿宋" w:eastAsia="仿宋"/>
          <w:bCs/>
          <w:color w:val="auto"/>
          <w:sz w:val="32"/>
          <w:szCs w:val="32"/>
          <w:lang w:eastAsia="zh-CN"/>
        </w:rPr>
        <w:t>普通教育</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其他普通教育支出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48.58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14.</w:t>
      </w:r>
      <w:r>
        <w:rPr>
          <w:rStyle w:val="16"/>
          <w:rFonts w:hint="eastAsia" w:ascii="仿宋" w:hAnsi="仿宋" w:eastAsia="仿宋"/>
          <w:bCs/>
          <w:color w:val="auto"/>
          <w:sz w:val="32"/>
          <w:szCs w:val="32"/>
        </w:rPr>
        <w:t>文化体育与传媒（类）</w:t>
      </w:r>
      <w:r>
        <w:rPr>
          <w:rStyle w:val="16"/>
          <w:rFonts w:hint="eastAsia" w:ascii="仿宋" w:hAnsi="仿宋" w:eastAsia="仿宋"/>
          <w:bCs/>
          <w:color w:val="auto"/>
          <w:sz w:val="32"/>
          <w:szCs w:val="32"/>
          <w:lang w:eastAsia="zh-CN"/>
        </w:rPr>
        <w:t>文化和旅游</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其他文化和旅游支出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53.8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15.</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人力资源和社会保障管理事务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21.81</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16.</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行政事业单位养老支出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机关事业单位基本养老保险缴费支出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167.07</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17.</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行政事业单位养老支出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机关事业单位职业年金缴费支出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39.65</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18.</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就业补助</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公益性岗位补贴</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58.38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19.</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就业补助</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其他就业补助支出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13.5</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20.</w:t>
      </w:r>
      <w:r>
        <w:rPr>
          <w:rStyle w:val="16"/>
          <w:rFonts w:hint="eastAsia" w:ascii="仿宋" w:hAnsi="仿宋" w:eastAsia="仿宋"/>
          <w:bCs/>
          <w:color w:val="auto"/>
          <w:sz w:val="32"/>
          <w:szCs w:val="32"/>
        </w:rPr>
        <w:t>卫生健康支出（类）</w:t>
      </w:r>
      <w:r>
        <w:rPr>
          <w:rStyle w:val="16"/>
          <w:rFonts w:hint="eastAsia" w:ascii="仿宋" w:hAnsi="仿宋" w:eastAsia="仿宋"/>
          <w:bCs/>
          <w:color w:val="auto"/>
          <w:sz w:val="32"/>
          <w:szCs w:val="32"/>
          <w:lang w:eastAsia="zh-CN"/>
        </w:rPr>
        <w:t>基层医疗卫生机构</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乡镇卫生院</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502.4</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21.</w:t>
      </w:r>
      <w:r>
        <w:rPr>
          <w:rStyle w:val="16"/>
          <w:rFonts w:hint="eastAsia" w:ascii="仿宋" w:hAnsi="仿宋" w:eastAsia="仿宋"/>
          <w:bCs/>
          <w:color w:val="auto"/>
          <w:sz w:val="32"/>
          <w:szCs w:val="32"/>
        </w:rPr>
        <w:t>卫生健康支出（类）</w:t>
      </w:r>
      <w:r>
        <w:rPr>
          <w:rStyle w:val="16"/>
          <w:rFonts w:hint="eastAsia" w:ascii="仿宋" w:hAnsi="仿宋" w:eastAsia="仿宋"/>
          <w:bCs/>
          <w:color w:val="auto"/>
          <w:sz w:val="32"/>
          <w:szCs w:val="32"/>
          <w:lang w:eastAsia="zh-CN"/>
        </w:rPr>
        <w:t>基层医疗卫生机构</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其他基层医疗卫生机构支出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32.74</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color w:val="auto"/>
          <w:sz w:val="32"/>
          <w:szCs w:val="32"/>
        </w:rPr>
      </w:pPr>
      <w:r>
        <w:rPr>
          <w:rStyle w:val="16"/>
          <w:rFonts w:hint="eastAsia" w:ascii="仿宋" w:hAnsi="仿宋" w:eastAsia="仿宋"/>
          <w:b/>
          <w:bCs w:val="0"/>
          <w:color w:val="auto"/>
          <w:sz w:val="32"/>
          <w:szCs w:val="32"/>
          <w:lang w:val="en-US" w:eastAsia="zh-CN"/>
        </w:rPr>
        <w:t>22.</w:t>
      </w:r>
      <w:r>
        <w:rPr>
          <w:rStyle w:val="16"/>
          <w:rFonts w:hint="eastAsia" w:ascii="仿宋" w:hAnsi="仿宋" w:eastAsia="仿宋"/>
          <w:bCs/>
          <w:color w:val="auto"/>
          <w:sz w:val="32"/>
          <w:szCs w:val="32"/>
        </w:rPr>
        <w:t>卫生健康支出（类）</w:t>
      </w:r>
      <w:r>
        <w:rPr>
          <w:rStyle w:val="16"/>
          <w:rFonts w:hint="eastAsia" w:ascii="仿宋" w:hAnsi="仿宋" w:eastAsia="仿宋"/>
          <w:bCs/>
          <w:color w:val="auto"/>
          <w:sz w:val="32"/>
          <w:szCs w:val="32"/>
          <w:lang w:eastAsia="zh-CN"/>
        </w:rPr>
        <w:t>公共卫生</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基本公共卫生服务</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97.07</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Style w:val="16"/>
          <w:rFonts w:hint="default" w:ascii="仿宋" w:hAnsi="仿宋" w:eastAsia="仿宋"/>
          <w:b w:val="0"/>
          <w:bCs/>
          <w:color w:val="auto"/>
          <w:sz w:val="32"/>
          <w:szCs w:val="32"/>
          <w:lang w:val="en-US" w:eastAsia="zh-CN"/>
        </w:rPr>
      </w:pPr>
      <w:r>
        <w:rPr>
          <w:rStyle w:val="16"/>
          <w:rFonts w:hint="eastAsia" w:ascii="仿宋" w:hAnsi="仿宋" w:eastAsia="仿宋"/>
          <w:b/>
          <w:bCs w:val="0"/>
          <w:color w:val="auto"/>
          <w:sz w:val="32"/>
          <w:szCs w:val="32"/>
          <w:lang w:val="en-US" w:eastAsia="zh-CN"/>
        </w:rPr>
        <w:t xml:space="preserve">23.卫生健康支出（类）行政事业单位医疗（款）行政单位医疗（项）: </w:t>
      </w:r>
      <w:r>
        <w:rPr>
          <w:rStyle w:val="16"/>
          <w:rFonts w:hint="eastAsia" w:ascii="仿宋" w:hAnsi="仿宋" w:eastAsia="仿宋"/>
          <w:b w:val="0"/>
          <w:bCs/>
          <w:color w:val="auto"/>
          <w:sz w:val="32"/>
          <w:szCs w:val="32"/>
          <w:lang w:val="en-US" w:eastAsia="zh-CN"/>
        </w:rPr>
        <w:t>支出决算为21.35万元，完成预算100%，决算数等于预算数。</w:t>
      </w:r>
    </w:p>
    <w:p>
      <w:pPr>
        <w:numPr>
          <w:ilvl w:val="0"/>
          <w:numId w:val="0"/>
        </w:numPr>
        <w:spacing w:line="600" w:lineRule="exact"/>
        <w:ind w:firstLine="643" w:firstLineChars="200"/>
        <w:rPr>
          <w:rStyle w:val="16"/>
          <w:rFonts w:hint="default" w:ascii="仿宋" w:hAnsi="仿宋" w:eastAsia="仿宋"/>
          <w:b w:val="0"/>
          <w:bCs/>
          <w:color w:val="auto"/>
          <w:sz w:val="32"/>
          <w:szCs w:val="32"/>
          <w:lang w:val="en-US" w:eastAsia="zh-CN"/>
        </w:rPr>
      </w:pPr>
      <w:r>
        <w:rPr>
          <w:rStyle w:val="16"/>
          <w:rFonts w:hint="eastAsia" w:ascii="仿宋" w:hAnsi="仿宋" w:eastAsia="仿宋"/>
          <w:b/>
          <w:bCs w:val="0"/>
          <w:color w:val="auto"/>
          <w:sz w:val="32"/>
          <w:szCs w:val="32"/>
          <w:lang w:val="en-US" w:eastAsia="zh-CN"/>
        </w:rPr>
        <w:t xml:space="preserve">24.卫生健康支出（类）行政事业单位医疗（款）事业单位医疗（项）: </w:t>
      </w:r>
      <w:r>
        <w:rPr>
          <w:rStyle w:val="16"/>
          <w:rFonts w:hint="eastAsia" w:ascii="仿宋" w:hAnsi="仿宋" w:eastAsia="仿宋"/>
          <w:b w:val="0"/>
          <w:bCs/>
          <w:color w:val="auto"/>
          <w:sz w:val="32"/>
          <w:szCs w:val="32"/>
          <w:lang w:val="en-US" w:eastAsia="zh-CN"/>
        </w:rPr>
        <w:t>支出决算为77.27万元，完成预算100%，决算数等于预算数。</w:t>
      </w:r>
    </w:p>
    <w:p>
      <w:pPr>
        <w:numPr>
          <w:ilvl w:val="0"/>
          <w:numId w:val="0"/>
        </w:numPr>
        <w:spacing w:line="600" w:lineRule="exact"/>
        <w:ind w:firstLine="643" w:firstLineChars="200"/>
        <w:rPr>
          <w:rStyle w:val="16"/>
          <w:rFonts w:hint="default" w:ascii="仿宋" w:hAnsi="仿宋" w:eastAsia="仿宋"/>
          <w:b w:val="0"/>
          <w:bCs/>
          <w:color w:val="auto"/>
          <w:sz w:val="32"/>
          <w:szCs w:val="32"/>
          <w:lang w:val="en-US" w:eastAsia="zh-CN"/>
        </w:rPr>
      </w:pPr>
      <w:r>
        <w:rPr>
          <w:rStyle w:val="16"/>
          <w:rFonts w:hint="eastAsia" w:ascii="仿宋" w:hAnsi="仿宋" w:eastAsia="仿宋"/>
          <w:b/>
          <w:bCs w:val="0"/>
          <w:color w:val="auto"/>
          <w:sz w:val="32"/>
          <w:szCs w:val="32"/>
          <w:lang w:val="en-US" w:eastAsia="zh-CN"/>
        </w:rPr>
        <w:t xml:space="preserve">25.卫生健康支出（类）行政事业单位医疗（款）公务员医疗补助（项）: </w:t>
      </w:r>
      <w:r>
        <w:rPr>
          <w:rStyle w:val="16"/>
          <w:rFonts w:hint="eastAsia" w:ascii="仿宋" w:hAnsi="仿宋" w:eastAsia="仿宋"/>
          <w:b w:val="0"/>
          <w:bCs/>
          <w:color w:val="auto"/>
          <w:sz w:val="32"/>
          <w:szCs w:val="32"/>
          <w:lang w:val="en-US" w:eastAsia="zh-CN"/>
        </w:rPr>
        <w:t>支出决算为3.89万元，完成预算100%，决算数等于预算数。</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26.</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农业农村</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135.52</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27.</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林业和草原</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事业机构（</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29.2</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28.</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扶贫</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农村基础设施建设（</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1047.46</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29.</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扶贫</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生产发展（</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134.7</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30.</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扶贫</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其他扶贫支出（</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82.34</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31.</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农村综合改革</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对村民委员会和村党支部的补助（</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315.15</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32.</w:t>
      </w:r>
      <w:r>
        <w:rPr>
          <w:rFonts w:hint="eastAsia" w:ascii="仿宋" w:hAnsi="仿宋" w:eastAsia="仿宋"/>
          <w:b/>
          <w:color w:val="auto"/>
          <w:sz w:val="32"/>
          <w:szCs w:val="32"/>
          <w:lang w:eastAsia="zh-CN"/>
        </w:rPr>
        <w:t>农林水支出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农村综合改革</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对村集体经济组织的补助（</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80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hint="default"/>
          <w:lang w:val="en-US" w:eastAsia="zh-CN"/>
        </w:rPr>
      </w:pPr>
      <w:r>
        <w:rPr>
          <w:rFonts w:hint="eastAsia" w:ascii="仿宋" w:hAnsi="仿宋" w:eastAsia="仿宋"/>
          <w:b/>
          <w:color w:val="auto"/>
          <w:sz w:val="32"/>
          <w:szCs w:val="32"/>
          <w:lang w:val="en-US" w:eastAsia="zh-CN"/>
        </w:rPr>
        <w:t>33.</w:t>
      </w:r>
      <w:r>
        <w:rPr>
          <w:rFonts w:hint="eastAsia" w:ascii="仿宋" w:hAnsi="仿宋" w:eastAsia="仿宋"/>
          <w:b/>
          <w:color w:val="auto"/>
          <w:sz w:val="32"/>
          <w:szCs w:val="32"/>
          <w:lang w:eastAsia="zh-CN"/>
        </w:rPr>
        <w:t>交通运输支出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公路水路运输</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公路运输管理（</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43.33</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spacing w:line="600" w:lineRule="exact"/>
        <w:ind w:firstLine="643" w:firstLineChars="200"/>
        <w:rPr>
          <w:rFonts w:hint="eastAsia" w:ascii="仿宋" w:hAnsi="仿宋" w:eastAsia="仿宋"/>
          <w:b/>
          <w:color w:val="auto"/>
          <w:sz w:val="32"/>
          <w:szCs w:val="32"/>
          <w:highlight w:val="none"/>
        </w:rPr>
      </w:pPr>
      <w:r>
        <w:rPr>
          <w:rFonts w:hint="eastAsia" w:ascii="仿宋" w:hAnsi="仿宋" w:eastAsia="仿宋"/>
          <w:b/>
          <w:color w:val="auto"/>
          <w:sz w:val="32"/>
          <w:szCs w:val="32"/>
          <w:lang w:val="en-US" w:eastAsia="zh-CN"/>
        </w:rPr>
        <w:t>34.</w:t>
      </w:r>
      <w:r>
        <w:rPr>
          <w:rFonts w:hint="eastAsia" w:ascii="仿宋" w:hAnsi="仿宋" w:eastAsia="仿宋"/>
          <w:b/>
          <w:color w:val="auto"/>
          <w:sz w:val="32"/>
          <w:szCs w:val="32"/>
          <w:lang w:eastAsia="zh-CN"/>
        </w:rPr>
        <w:t>交通运输支出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车辆购置税支出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车辆购置税用于公路等基础设施建设支出（</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9</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spacing w:line="600" w:lineRule="exact"/>
        <w:ind w:firstLine="643" w:firstLineChars="200"/>
        <w:rPr>
          <w:rFonts w:hint="eastAsia" w:ascii="仿宋" w:hAnsi="仿宋" w:eastAsia="仿宋"/>
          <w:b/>
          <w:color w:val="auto"/>
          <w:sz w:val="32"/>
          <w:szCs w:val="32"/>
          <w:highlight w:val="none"/>
        </w:rPr>
      </w:pPr>
      <w:r>
        <w:rPr>
          <w:rFonts w:hint="eastAsia" w:ascii="仿宋" w:hAnsi="仿宋" w:eastAsia="仿宋"/>
          <w:b/>
          <w:color w:val="auto"/>
          <w:sz w:val="32"/>
          <w:szCs w:val="32"/>
          <w:lang w:val="en-US" w:eastAsia="zh-CN"/>
        </w:rPr>
        <w:t>35.</w:t>
      </w:r>
      <w:r>
        <w:rPr>
          <w:rFonts w:hint="eastAsia" w:ascii="仿宋" w:hAnsi="仿宋" w:eastAsia="仿宋"/>
          <w:b/>
          <w:color w:val="auto"/>
          <w:sz w:val="32"/>
          <w:szCs w:val="32"/>
          <w:lang w:eastAsia="zh-CN"/>
        </w:rPr>
        <w:t>住房保障支出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保障性安居工程支出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农村危房改造（</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566.48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r>
        <w:rPr>
          <w:rStyle w:val="16"/>
          <w:rFonts w:hint="eastAsia" w:ascii="仿宋" w:hAnsi="仿宋" w:eastAsia="仿宋"/>
          <w:b w:val="0"/>
          <w:bCs/>
          <w:color w:val="auto"/>
          <w:sz w:val="32"/>
          <w:szCs w:val="32"/>
          <w:lang w:eastAsia="zh-CN"/>
        </w:rPr>
        <w:t>。</w:t>
      </w:r>
    </w:p>
    <w:p>
      <w:pPr>
        <w:pStyle w:val="2"/>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lang w:val="en-US" w:eastAsia="zh-CN"/>
        </w:rPr>
        <w:t>36.</w:t>
      </w:r>
      <w:r>
        <w:rPr>
          <w:rFonts w:hint="eastAsia" w:ascii="仿宋" w:hAnsi="仿宋" w:eastAsia="仿宋"/>
          <w:b/>
          <w:color w:val="auto"/>
          <w:sz w:val="32"/>
          <w:szCs w:val="32"/>
          <w:lang w:eastAsia="zh-CN"/>
        </w:rPr>
        <w:t>住房保障支出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住房改革支出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住房公积金（</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125.3</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tabs>
          <w:tab w:val="right" w:pos="8306"/>
        </w:tabs>
        <w:spacing w:line="600" w:lineRule="exact"/>
        <w:ind w:firstLine="640"/>
        <w:outlineLvl w:val="1"/>
        <w:rPr>
          <w:rStyle w:val="27"/>
          <w:color w:val="auto"/>
          <w:highlight w:val="none"/>
        </w:rPr>
      </w:pPr>
      <w:bookmarkStart w:id="44" w:name="_Toc15377214"/>
      <w:bookmarkStart w:id="4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4"/>
      <w:bookmarkEnd w:id="4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2216.59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2001.89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214.7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auto"/>
          <w:highlight w:val="none"/>
        </w:rPr>
      </w:pPr>
      <w:bookmarkStart w:id="46" w:name="_Toc15396609"/>
      <w:bookmarkStart w:id="47"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46"/>
      <w:bookmarkEnd w:id="47"/>
    </w:p>
    <w:p>
      <w:pPr>
        <w:spacing w:line="600" w:lineRule="exact"/>
        <w:ind w:firstLine="640"/>
        <w:outlineLvl w:val="2"/>
        <w:rPr>
          <w:rFonts w:ascii="仿宋" w:hAnsi="仿宋" w:eastAsia="仿宋"/>
          <w:b/>
          <w:color w:val="auto"/>
          <w:sz w:val="32"/>
          <w:szCs w:val="32"/>
          <w:highlight w:val="none"/>
        </w:rPr>
      </w:pPr>
      <w:bookmarkStart w:id="48" w:name="_Toc15377216"/>
      <w:r>
        <w:rPr>
          <w:rFonts w:hint="eastAsia" w:ascii="仿宋" w:hAnsi="仿宋" w:eastAsia="仿宋"/>
          <w:b/>
          <w:color w:val="auto"/>
          <w:sz w:val="32"/>
          <w:szCs w:val="32"/>
          <w:highlight w:val="none"/>
        </w:rPr>
        <w:t>（一）“三公”经费财政拨款支出决算总体情况说明</w:t>
      </w:r>
      <w:bookmarkEnd w:id="4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年“三公”经费财政拨款支出决算为2.5万元，完成预算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9" w:name="_Toc15377217"/>
      <w:r>
        <w:rPr>
          <w:rFonts w:hint="eastAsia" w:ascii="仿宋" w:hAnsi="仿宋" w:eastAsia="仿宋"/>
          <w:b/>
          <w:color w:val="auto"/>
          <w:sz w:val="32"/>
          <w:szCs w:val="32"/>
          <w:highlight w:val="none"/>
        </w:rPr>
        <w:t>（二）“三公”经费财政拨款支出决算具体情况说明</w:t>
      </w:r>
      <w:bookmarkEnd w:id="4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165090" cy="2740660"/>
            <wp:effectExtent l="4445" t="4445" r="12065" b="171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万元。主要用于公务用车燃料费、维修费、过路过桥费、保险费等支出。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0.44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21.36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行政区划调整</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2.5</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86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320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万元。</w:t>
      </w:r>
    </w:p>
    <w:p>
      <w:pPr>
        <w:spacing w:line="600" w:lineRule="exact"/>
        <w:ind w:firstLine="643" w:firstLineChars="200"/>
        <w:rPr>
          <w:rFonts w:hint="eastAsia"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50" w:name="_Toc15396610"/>
      <w:bookmarkStart w:id="51" w:name="_Toc15377218"/>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50"/>
      <w:bookmarkEnd w:id="5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ascii="黑体" w:hAnsi="黑体" w:eastAsia="黑体"/>
          <w:b w:val="0"/>
          <w:color w:val="auto"/>
          <w:highlight w:val="none"/>
        </w:rPr>
      </w:pPr>
      <w:bookmarkStart w:id="52" w:name="_Toc15396611"/>
      <w:bookmarkStart w:id="53" w:name="_Toc15377219"/>
      <w:r>
        <w:rPr>
          <w:rStyle w:val="27"/>
          <w:rFonts w:hint="eastAsia" w:ascii="黑体" w:hAnsi="黑体" w:eastAsia="黑体"/>
          <w:b w:val="0"/>
          <w:color w:val="auto"/>
          <w:highlight w:val="none"/>
        </w:rPr>
        <w:t>国有资本经营预算支出决算情况说明</w:t>
      </w:r>
      <w:bookmarkEnd w:id="52"/>
      <w:bookmarkEnd w:id="5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54" w:name="_Toc15396612"/>
      <w:bookmarkStart w:id="55" w:name="_Toc15377221"/>
      <w:r>
        <w:rPr>
          <w:rStyle w:val="27"/>
          <w:rFonts w:hint="eastAsia" w:ascii="黑体" w:hAnsi="黑体" w:eastAsia="黑体"/>
          <w:b w:val="0"/>
          <w:color w:val="auto"/>
          <w:highlight w:val="none"/>
        </w:rPr>
        <w:t>其他重要事项的情况说明</w:t>
      </w:r>
      <w:bookmarkEnd w:id="54"/>
      <w:bookmarkEnd w:id="55"/>
    </w:p>
    <w:p>
      <w:pPr>
        <w:spacing w:line="600" w:lineRule="exact"/>
        <w:ind w:firstLine="643" w:firstLineChars="200"/>
        <w:outlineLvl w:val="2"/>
        <w:rPr>
          <w:rFonts w:ascii="仿宋" w:hAnsi="仿宋" w:eastAsia="仿宋"/>
          <w:color w:val="auto"/>
          <w:sz w:val="32"/>
          <w:szCs w:val="32"/>
          <w:highlight w:val="none"/>
        </w:rPr>
      </w:pPr>
      <w:bookmarkStart w:id="56" w:name="_Toc15377222"/>
      <w:r>
        <w:rPr>
          <w:rFonts w:hint="eastAsia" w:ascii="仿宋" w:hAnsi="仿宋" w:eastAsia="仿宋"/>
          <w:b/>
          <w:color w:val="auto"/>
          <w:sz w:val="32"/>
          <w:szCs w:val="32"/>
          <w:highlight w:val="none"/>
        </w:rPr>
        <w:t>（一）机关运行经费支出情况</w:t>
      </w:r>
      <w:bookmarkEnd w:id="56"/>
    </w:p>
    <w:p>
      <w:pPr>
        <w:spacing w:line="60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唱歌镇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7" w:name="_Toc15377223"/>
      <w:r>
        <w:rPr>
          <w:rFonts w:hint="eastAsia" w:ascii="仿宋" w:hAnsi="仿宋" w:eastAsia="仿宋"/>
          <w:b/>
          <w:color w:val="auto"/>
          <w:sz w:val="32"/>
          <w:szCs w:val="32"/>
          <w:highlight w:val="none"/>
        </w:rPr>
        <w:t>（二）政府采购支出情况</w:t>
      </w:r>
      <w:bookmarkEnd w:id="5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唱歌镇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8" w:name="_Toc15377224"/>
      <w:r>
        <w:rPr>
          <w:rFonts w:hint="eastAsia" w:ascii="仿宋" w:hAnsi="仿宋" w:eastAsia="仿宋"/>
          <w:b/>
          <w:color w:val="auto"/>
          <w:sz w:val="32"/>
          <w:szCs w:val="32"/>
          <w:highlight w:val="none"/>
        </w:rPr>
        <w:t>（三）国有资产占有使用情况</w:t>
      </w:r>
      <w:bookmarkEnd w:id="5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唱歌镇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危房改造等</w:t>
      </w:r>
      <w:r>
        <w:rPr>
          <w:rFonts w:hint="eastAsia" w:ascii="仿宋_GB2312" w:hAnsi="仿宋_GB2312" w:eastAsia="仿宋_GB2312" w:cs="仿宋_GB2312"/>
          <w:color w:val="auto"/>
          <w:sz w:val="32"/>
          <w:szCs w:val="32"/>
          <w:highlight w:val="none"/>
          <w:lang w:val="en-US" w:eastAsia="zh-CN"/>
        </w:rPr>
        <w:t>15个项目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唱歌镇</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59" w:name="_Toc15377225"/>
      <w:bookmarkStart w:id="6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59"/>
      <w:bookmarkEnd w:id="60"/>
    </w:p>
    <w:p>
      <w:pPr>
        <w:spacing w:line="600" w:lineRule="exact"/>
        <w:jc w:val="left"/>
        <w:rPr>
          <w:rFonts w:ascii="宋体"/>
          <w:b/>
          <w:color w:val="auto"/>
          <w:sz w:val="44"/>
          <w:szCs w:val="44"/>
          <w:highlight w:val="none"/>
        </w:rPr>
      </w:pPr>
    </w:p>
    <w:p>
      <w:pPr>
        <w:pStyle w:val="24"/>
        <w:pageBreakBefore w:val="0"/>
        <w:kinsoku/>
        <w:wordWrap/>
        <w:overflowPunct/>
        <w:topLinePunct w:val="0"/>
        <w:bidi w:val="0"/>
        <w:spacing w:line="480" w:lineRule="exact"/>
        <w:ind w:firstLine="640" w:firstLineChars="200"/>
        <w:rPr>
          <w:rFonts w:ascii="仿宋_GB2312" w:eastAsia="仿宋_GB2312"/>
          <w:sz w:val="32"/>
          <w:szCs w:val="32"/>
        </w:rPr>
      </w:pPr>
      <w:bookmarkStart w:id="61"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ascii="仿宋_GB2312" w:eastAsia="仿宋_GB2312"/>
          <w:sz w:val="32"/>
          <w:szCs w:val="32"/>
        </w:rPr>
        <w:t>2.</w:t>
      </w:r>
      <w:r>
        <w:rPr>
          <w:rFonts w:hint="eastAsia" w:ascii="仿宋_GB2312" w:hAnsi="Calibri" w:eastAsia="仿宋_GB2312" w:cs="仿宋"/>
          <w:color w:val="000000"/>
          <w:kern w:val="0"/>
          <w:sz w:val="32"/>
          <w:szCs w:val="32"/>
          <w:lang w:val="en-US" w:eastAsia="zh-CN" w:bidi="ar-SA"/>
        </w:rPr>
        <w:t>事业收入：指事业单位开展专业业务活动及辅助活动取得的收入 。</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3.经营收入：指事业单位在专业业务活动及其辅助活动之外开展非独立核算经营活动取得的收入。　　</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4.其他收入：指单位取得的除上述收入以外的各项收入。</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6.年初结转和结余：指以前年度尚未完成、结转到本年按有关规定继续使用的资金。</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7.结余分配：指事业单位按照事业单位会计制度的规定从非财政补助结余中分配的事业基金和职工福利基金等。</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8、年末结转和结余：指单位按有关规定结转到下年或以后年度继续使用的资金。</w:t>
      </w:r>
    </w:p>
    <w:p>
      <w:pPr>
        <w:pageBreakBefore w:val="0"/>
        <w:numPr>
          <w:ilvl w:val="0"/>
          <w:numId w:val="5"/>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一般公共服务（类）反映政府提供一般公共服务的支出。</w:t>
      </w:r>
    </w:p>
    <w:p>
      <w:pPr>
        <w:pageBreakBefore w:val="0"/>
        <w:numPr>
          <w:ilvl w:val="0"/>
          <w:numId w:val="6"/>
        </w:numPr>
        <w:kinsoku/>
        <w:wordWrap/>
        <w:overflowPunct/>
        <w:topLinePunct w:val="0"/>
        <w:autoSpaceDE w:val="0"/>
        <w:autoSpaceDN w:val="0"/>
        <w:bidi w:val="0"/>
        <w:adjustRightInd w:val="0"/>
        <w:spacing w:line="480" w:lineRule="exact"/>
        <w:ind w:left="0" w:leftChars="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人大事务（款）反映各级人民代表大会（以下简称“人大”）的支出。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行政运行（项）反映行政单位（包括实行公务员管理的事业单位）的基本支出。</w:t>
      </w:r>
    </w:p>
    <w:p>
      <w:pPr>
        <w:pageBreakBefore w:val="0"/>
        <w:numPr>
          <w:ilvl w:val="0"/>
          <w:numId w:val="6"/>
        </w:numPr>
        <w:kinsoku/>
        <w:wordWrap/>
        <w:overflowPunct/>
        <w:topLinePunct w:val="0"/>
        <w:autoSpaceDE w:val="0"/>
        <w:autoSpaceDN w:val="0"/>
        <w:bidi w:val="0"/>
        <w:adjustRightInd w:val="0"/>
        <w:spacing w:line="480" w:lineRule="exact"/>
        <w:ind w:left="0" w:leftChars="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政府办公厅（室）及相关机构事务（款）反映各级政府办公厅（室）及相关机构的支出。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行政运行（项）反映行政单位（包括实行公务员管理的事业单位）的基本支出。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一般行政管理事务（项）反映行政单位（包括实行公务员管理的事业单位）未单独设置项级科目的其他项目支出。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信访事务（项）信访事务</w:t>
      </w:r>
      <w:r>
        <w:rPr>
          <w:rFonts w:hint="eastAsia" w:ascii="仿宋_GB2312" w:hAnsi="Calibri" w:eastAsia="仿宋_GB2312" w:cs="仿宋"/>
          <w:color w:val="000000"/>
          <w:kern w:val="0"/>
          <w:sz w:val="32"/>
          <w:szCs w:val="32"/>
          <w:lang w:val="en-US" w:eastAsia="zh-CN" w:bidi="ar-SA"/>
        </w:rPr>
        <w:tab/>
      </w:r>
      <w:r>
        <w:rPr>
          <w:rFonts w:hint="eastAsia" w:ascii="仿宋_GB2312" w:hAnsi="Calibri" w:eastAsia="仿宋_GB2312" w:cs="仿宋"/>
          <w:color w:val="000000"/>
          <w:kern w:val="0"/>
          <w:sz w:val="32"/>
          <w:szCs w:val="32"/>
          <w:lang w:val="en-US" w:eastAsia="zh-CN" w:bidi="ar-SA"/>
        </w:rPr>
        <w:t>反映各级政府用于接待群众来信来访方面的支出。</w:t>
      </w:r>
    </w:p>
    <w:p>
      <w:pPr>
        <w:pageBreakBefore w:val="0"/>
        <w:numPr>
          <w:ilvl w:val="0"/>
          <w:numId w:val="6"/>
        </w:numPr>
        <w:kinsoku/>
        <w:wordWrap/>
        <w:overflowPunct/>
        <w:topLinePunct w:val="0"/>
        <w:autoSpaceDE w:val="0"/>
        <w:autoSpaceDN w:val="0"/>
        <w:bidi w:val="0"/>
        <w:adjustRightInd w:val="0"/>
        <w:spacing w:line="480" w:lineRule="exact"/>
        <w:ind w:left="0" w:leftChars="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财政事务（款）反映财政事务方面的支出。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行政运行（项）反映行政单位（包括实行公务员管理的事业单位）的基本支出。</w:t>
      </w:r>
    </w:p>
    <w:p>
      <w:pPr>
        <w:pageBreakBefore w:val="0"/>
        <w:numPr>
          <w:ilvl w:val="0"/>
          <w:numId w:val="6"/>
        </w:numPr>
        <w:kinsoku/>
        <w:wordWrap/>
        <w:overflowPunct/>
        <w:topLinePunct w:val="0"/>
        <w:autoSpaceDE w:val="0"/>
        <w:autoSpaceDN w:val="0"/>
        <w:bidi w:val="0"/>
        <w:adjustRightInd w:val="0"/>
        <w:spacing w:line="480" w:lineRule="exact"/>
        <w:ind w:left="0" w:leftChars="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纪检监察事务（款）反映纪检、监察方面的支出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行政运行（项）反映行政单位（包括实行公务员管理的事业单位）的基本支出。</w:t>
      </w:r>
    </w:p>
    <w:p>
      <w:pPr>
        <w:pageBreakBefore w:val="0"/>
        <w:numPr>
          <w:ilvl w:val="0"/>
          <w:numId w:val="6"/>
        </w:numPr>
        <w:kinsoku/>
        <w:wordWrap/>
        <w:overflowPunct/>
        <w:topLinePunct w:val="0"/>
        <w:autoSpaceDE w:val="0"/>
        <w:autoSpaceDN w:val="0"/>
        <w:bidi w:val="0"/>
        <w:adjustRightInd w:val="0"/>
        <w:spacing w:line="480" w:lineRule="exact"/>
        <w:ind w:left="0" w:leftChars="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党委办公厅（室）及相关机构事务（款） 反映党委办公厅（室）及相关机构的支出。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行政运行（项）反映行政单位（包括实行公务员管理的事业单位）的基本支出。</w:t>
      </w:r>
    </w:p>
    <w:p>
      <w:pPr>
        <w:pageBreakBefore w:val="0"/>
        <w:numPr>
          <w:ilvl w:val="0"/>
          <w:numId w:val="6"/>
        </w:numPr>
        <w:kinsoku/>
        <w:wordWrap/>
        <w:overflowPunct/>
        <w:topLinePunct w:val="0"/>
        <w:autoSpaceDE w:val="0"/>
        <w:autoSpaceDN w:val="0"/>
        <w:bidi w:val="0"/>
        <w:adjustRightInd w:val="0"/>
        <w:spacing w:line="480" w:lineRule="exact"/>
        <w:ind w:left="0" w:leftChars="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其他共产党事务支出（款）反映上述款项以外其他用于中国共产党事务的支出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行政运行（项）反映行政单位（包括实行公务员管理的事业单位）的基本支出。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10、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普通教育（款）</w:t>
      </w:r>
      <w:r>
        <w:rPr>
          <w:rFonts w:hint="eastAsia" w:ascii="仿宋_GB2312" w:hAnsi="Calibri" w:eastAsia="仿宋_GB2312" w:cs="仿宋"/>
          <w:color w:val="000000"/>
          <w:kern w:val="0"/>
          <w:sz w:val="32"/>
          <w:szCs w:val="32"/>
          <w:lang w:val="en-US" w:eastAsia="zh-CN" w:bidi="ar-SA"/>
        </w:rPr>
        <w:tab/>
      </w:r>
      <w:r>
        <w:rPr>
          <w:rFonts w:hint="eastAsia" w:ascii="仿宋_GB2312" w:hAnsi="Calibri" w:eastAsia="仿宋_GB2312" w:cs="仿宋"/>
          <w:color w:val="000000"/>
          <w:kern w:val="0"/>
          <w:sz w:val="32"/>
          <w:szCs w:val="32"/>
          <w:lang w:val="en-US" w:eastAsia="zh-CN" w:bidi="ar-SA"/>
        </w:rPr>
        <w:t>反映各类普通教育支出。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学前教育（项）反映各部门举办的学前教育支出。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小学教育（项）</w:t>
      </w:r>
      <w:r>
        <w:rPr>
          <w:rFonts w:hint="eastAsia" w:ascii="仿宋_GB2312" w:hAnsi="Calibri" w:eastAsia="仿宋_GB2312" w:cs="仿宋"/>
          <w:color w:val="000000"/>
          <w:kern w:val="0"/>
          <w:sz w:val="32"/>
          <w:szCs w:val="32"/>
          <w:lang w:val="en-US" w:eastAsia="zh-CN" w:bidi="ar-SA"/>
        </w:rPr>
        <w:tab/>
      </w:r>
      <w:r>
        <w:rPr>
          <w:rFonts w:hint="eastAsia" w:ascii="仿宋_GB2312" w:hAnsi="Calibri" w:eastAsia="仿宋_GB2312" w:cs="仿宋"/>
          <w:color w:val="000000"/>
          <w:kern w:val="0"/>
          <w:sz w:val="32"/>
          <w:szCs w:val="32"/>
          <w:lang w:val="en-US" w:eastAsia="zh-CN" w:bidi="ar-SA"/>
        </w:rPr>
        <w:t>反映各部门举办的小学教育支出。政府各部门对社会中介组织等举办的小学的资助，如各类捐赠、补贴等，也在本科目反映。</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其他普通教育支出（项）反映除上述项目以外其他用于普通教育方面的支出。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11、文化体育与传媒支出（类）反映政府在文化、文物、体育、广播影视、新闻出版等方面的支出。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文化（款）反映政府用于公用文化设施、艺术表演团体及文化艺术活动等方面的支出。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其他文化支出（项）反映除上述项目以外其他用于文化方面的支出。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②</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新闻出版广播影视（款） 反映新闻出版方面的支出。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广播（项）</w:t>
      </w:r>
      <w:r>
        <w:rPr>
          <w:rFonts w:hint="eastAsia" w:ascii="仿宋_GB2312" w:hAnsi="Calibri" w:eastAsia="仿宋_GB2312" w:cs="仿宋"/>
          <w:color w:val="000000"/>
          <w:kern w:val="0"/>
          <w:sz w:val="32"/>
          <w:szCs w:val="32"/>
          <w:lang w:val="en-US" w:eastAsia="zh-CN" w:bidi="ar-SA"/>
        </w:rPr>
        <w:tab/>
      </w:r>
      <w:r>
        <w:rPr>
          <w:rFonts w:hint="eastAsia" w:ascii="仿宋_GB2312" w:hAnsi="Calibri" w:eastAsia="仿宋_GB2312" w:cs="仿宋"/>
          <w:color w:val="000000"/>
          <w:kern w:val="0"/>
          <w:sz w:val="32"/>
          <w:szCs w:val="32"/>
          <w:lang w:val="en-US" w:eastAsia="zh-CN" w:bidi="ar-SA"/>
        </w:rPr>
        <w:t>反映广播电台、广播发射台、广播转播台及有线广播站的支出。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12、社会保障和就业（类）反映政府在社会保障与就业方面的支出。有关事项包括社会保障和就业管理事务、民政管理事务、财政对社会保险基金的补助、补充全国社会保障基金、行政事业单位离退休、企业改革补助、就业补助、抚恤、退役安置、社会福利、残疾人事业、城市居民最低生活保障、其他城镇社会救济、农村社会救济、自然灾害生活救助、红十字事务等。</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人力资源和社会保障管理事务（款）反映人力资源和社会保障管理事务支出。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社会保险经办机构（项）反映社会保险经办机构开展业务工作的支出。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②</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行政事业单位离退休（款）反映用于行政事业单位离退休方面的支出。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机关事业单位基本养老保险缴费支出（项）反映实行归口管理的事业单位开支的离退休经费。</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13、医疗卫生与计划生育支出（类）反映政府医疗卫生与计划生育管理方面的支出。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仿宋_GB2312" w:hAnsi="Calibri" w:eastAsia="仿宋_GB2312" w:cs="仿宋"/>
          <w:color w:val="000000"/>
          <w:kern w:val="0"/>
          <w:sz w:val="32"/>
          <w:szCs w:val="32"/>
          <w:lang w:val="en-US" w:eastAsia="zh-CN" w:bidi="ar-SA"/>
        </w:rPr>
        <w:t>基层医疗卫生机构（款）反映用于基层医疗卫生机构方面的支出。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乡镇卫生院（项）反映用于乡镇卫生院方面的支出。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其他基层医疗卫生机构支出（项）</w:t>
      </w:r>
      <w:r>
        <w:rPr>
          <w:rFonts w:hint="eastAsia" w:ascii="仿宋_GB2312" w:hAnsi="Calibri" w:eastAsia="仿宋_GB2312" w:cs="仿宋"/>
          <w:color w:val="000000"/>
          <w:kern w:val="0"/>
          <w:sz w:val="32"/>
          <w:szCs w:val="32"/>
          <w:lang w:val="en-US" w:eastAsia="zh-CN" w:bidi="ar-SA"/>
        </w:rPr>
        <w:tab/>
      </w:r>
      <w:r>
        <w:rPr>
          <w:rFonts w:hint="eastAsia" w:ascii="仿宋_GB2312" w:hAnsi="Calibri" w:eastAsia="仿宋_GB2312" w:cs="仿宋"/>
          <w:color w:val="000000"/>
          <w:kern w:val="0"/>
          <w:sz w:val="32"/>
          <w:szCs w:val="32"/>
          <w:lang w:val="en-US" w:eastAsia="zh-CN" w:bidi="ar-SA"/>
        </w:rPr>
        <w:t>反映除上述项目以外的其他用于基层医疗卫生机构方面的支出。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②</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公共卫生（款）反映公共卫生支出。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基本公共卫生服务（项）反映基本公共卫生服务支出。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③</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财政对基本医疗保险基金的补助（款）反映财政对基本医疗保险基金的补助支出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财政对城乡居民基本医疗保险基金的补助（项）反映财政对已将新型农村合作医疗基金和城镇居民基本医疗保险基金整合为城乡居民基本医疗保险基金的补助支出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14、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退耕还林（款）反映专项用于退耕还林工程的各项补助支出。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退耕现金（项）反映专项用于退耕户的医疗、教育等日常生活需要的支出。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15、城乡社区支出（类）反映政府城乡社区事务支出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城乡社区公共设施（款）反映城乡社区道路、桥涵、燃气、供暖、公共交通（含轮渡、轻轨、地铁）、道路照明等公共设施建设维护与管理方面的支出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其他城乡社区公共设施支出（项）反映除上述项目以外其他用于其他城乡社区公共设施方面的支出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16、农林水支出（类）反映政府农林水事务支出。具体包括：农业支出、林业支出、水利支出、扶贫支出、农业综合开发支出等。</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农业（款）反映财政用于种植业、畜牧业、渔业、兽医、农机、农垦、农场、农业产业化经营组织、农村和垦区公益事业、农产品加工等方面的支出。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事业运行（项）反映用于农业事业单位基本支出，事业单位设施、系统运行与资产维护等方面的支出。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农业生产支出补贴（项）反映对种粮农民直接补贴，对农业生产资料补贴、技术物化补贴，推广先进适用农机农艺技术等方面的支出。</w:t>
      </w:r>
    </w:p>
    <w:p>
      <w:pPr>
        <w:pageBreakBefore w:val="0"/>
        <w:numPr>
          <w:ilvl w:val="0"/>
          <w:numId w:val="0"/>
        </w:numPr>
        <w:kinsoku/>
        <w:wordWrap/>
        <w:overflowPunct/>
        <w:topLinePunct w:val="0"/>
        <w:autoSpaceDE w:val="0"/>
        <w:autoSpaceDN w:val="0"/>
        <w:bidi w:val="0"/>
        <w:adjustRightInd w:val="0"/>
        <w:spacing w:line="480" w:lineRule="exact"/>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农村道路建设（项）反映用于农村公路、乡村道路建设方面的支出。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②</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林业（款）反映政府用于林业方面的支出。</w:t>
      </w:r>
    </w:p>
    <w:p>
      <w:pPr>
        <w:pageBreakBefore w:val="0"/>
        <w:numPr>
          <w:ilvl w:val="0"/>
          <w:numId w:val="0"/>
        </w:numPr>
        <w:kinsoku/>
        <w:wordWrap/>
        <w:overflowPunct/>
        <w:topLinePunct w:val="0"/>
        <w:autoSpaceDE w:val="0"/>
        <w:autoSpaceDN w:val="0"/>
        <w:bidi w:val="0"/>
        <w:adjustRightInd w:val="0"/>
        <w:spacing w:line="480" w:lineRule="exact"/>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林业事业机构（项）</w:t>
      </w:r>
      <w:r>
        <w:rPr>
          <w:rFonts w:hint="eastAsia" w:ascii="仿宋_GB2312" w:hAnsi="Calibri" w:eastAsia="仿宋_GB2312" w:cs="仿宋"/>
          <w:color w:val="000000"/>
          <w:kern w:val="0"/>
          <w:sz w:val="32"/>
          <w:szCs w:val="32"/>
          <w:lang w:val="en-US" w:eastAsia="zh-CN" w:bidi="ar-SA"/>
        </w:rPr>
        <w:tab/>
      </w:r>
      <w:r>
        <w:rPr>
          <w:rFonts w:hint="eastAsia" w:ascii="仿宋_GB2312" w:hAnsi="Calibri" w:eastAsia="仿宋_GB2312" w:cs="仿宋"/>
          <w:color w:val="000000"/>
          <w:kern w:val="0"/>
          <w:sz w:val="32"/>
          <w:szCs w:val="32"/>
          <w:lang w:val="en-US" w:eastAsia="zh-CN" w:bidi="ar-SA"/>
        </w:rPr>
        <w:t>反映用于林业事业单位的基本支出。</w:t>
      </w:r>
    </w:p>
    <w:p>
      <w:pPr>
        <w:pageBreakBefore w:val="0"/>
        <w:numPr>
          <w:ilvl w:val="0"/>
          <w:numId w:val="0"/>
        </w:numPr>
        <w:kinsoku/>
        <w:wordWrap/>
        <w:overflowPunct/>
        <w:topLinePunct w:val="0"/>
        <w:autoSpaceDE w:val="0"/>
        <w:autoSpaceDN w:val="0"/>
        <w:bidi w:val="0"/>
        <w:adjustRightInd w:val="0"/>
        <w:spacing w:line="480" w:lineRule="exact"/>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森林生态效益补偿（项）反映由森林生态效益补偿基金安排用于公益林营造、抚育、管理和保护等方面的支出。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③</w:t>
      </w:r>
      <w:r>
        <w:rPr>
          <w:rFonts w:hint="eastAsia" w:ascii="仿宋_GB2312" w:hAnsi="Calibri" w:eastAsia="仿宋_GB2312" w:cs="仿宋"/>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水利（款）反映政府用于水利方面的支出。</w:t>
      </w:r>
    </w:p>
    <w:p>
      <w:pPr>
        <w:pageBreakBefore w:val="0"/>
        <w:numPr>
          <w:ilvl w:val="0"/>
          <w:numId w:val="0"/>
        </w:numPr>
        <w:kinsoku/>
        <w:wordWrap/>
        <w:overflowPunct/>
        <w:topLinePunct w:val="0"/>
        <w:autoSpaceDE w:val="0"/>
        <w:autoSpaceDN w:val="0"/>
        <w:bidi w:val="0"/>
        <w:adjustRightInd w:val="0"/>
        <w:spacing w:line="480" w:lineRule="exact"/>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水利技术推广（项）反映水利系统纳入预算管理的技术推广事业单位的支出。有关事项包括国内外先进水利技术的引进、试验、技术创新、推广、应用、宣传以及水利系统人员培训等。</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④</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扶贫（款）反映用于农村（包括国有农场、国有林场）扶贫开发等方面的支出。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生产发展（项）反映用于农村贫困地区发展种植业、养殖业、畜牧业、农副产品加工、林果地建设等生产发展项目以及相关技术推广和培训、县乡村干部培训、贫困地区劳务输出培训等方面的项目支出。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其他扶贫支出（项）反映除上述项目以外其他用于扶贫方面的支出。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⑤</w:t>
      </w:r>
      <w:r>
        <w:rPr>
          <w:rFonts w:hint="eastAsia" w:ascii="Calibri" w:hAnsi="Calibri" w:eastAsia="仿宋_GB2312" w:cs="Calibri"/>
          <w:color w:val="000000"/>
          <w:kern w:val="0"/>
          <w:sz w:val="28"/>
          <w:szCs w:val="28"/>
          <w:lang w:val="en-US" w:eastAsia="zh-CN" w:bidi="ar-SA"/>
        </w:rPr>
        <w:t xml:space="preserve"> </w:t>
      </w:r>
      <w:r>
        <w:rPr>
          <w:rFonts w:hint="eastAsia" w:ascii="仿宋_GB2312" w:hAnsi="Calibri" w:eastAsia="仿宋_GB2312" w:cs="仿宋"/>
          <w:color w:val="000000"/>
          <w:kern w:val="0"/>
          <w:sz w:val="32"/>
          <w:szCs w:val="32"/>
          <w:lang w:val="en-US" w:eastAsia="zh-CN" w:bidi="ar-SA"/>
        </w:rPr>
        <w:t>农村综合改革（款）反映有关农村综合改革方面的支出。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对村民委员会和村党支部的补助（项）反映各级财政对村民委员会和村党支部的补助支出，以及支持建立县级基本财力保障机制安排的村级组织运转奖补资金。</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对村集体经济组织的补助（项）反映农村税费改革后对村集体经济组织的补助支出。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其他农村综合改革支出（项）反映上述项目以外其他用于农村综合改革方面的支出。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17、交通运输支出（类）反映政府交通运输和邮政业方面的支出。包括公路运输支出、水路运输支出、铁路运输支出、民用航空运输支出和邮政业支出等。</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仿宋_GB2312" w:hAnsi="Calibri" w:eastAsia="仿宋_GB2312" w:cs="仿宋"/>
          <w:color w:val="000000"/>
          <w:kern w:val="0"/>
          <w:sz w:val="32"/>
          <w:szCs w:val="32"/>
          <w:lang w:val="en-US" w:eastAsia="zh-CN" w:bidi="ar-SA"/>
        </w:rPr>
        <w:t xml:space="preserve"> 公路水路运输（款）反映与公路、水路运输相关的支出。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公路运输管理（项）反映公路运输管理支出。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18、住房保障支出（类）集中反映政府用于住房方面的支出。</w:t>
      </w:r>
    </w:p>
    <w:p>
      <w:pPr>
        <w:pageBreakBefore w:val="0"/>
        <w:numPr>
          <w:ilvl w:val="0"/>
          <w:numId w:val="0"/>
        </w:numPr>
        <w:kinsoku/>
        <w:wordWrap/>
        <w:overflowPunct/>
        <w:topLinePunct w:val="0"/>
        <w:autoSpaceDE w:val="0"/>
        <w:autoSpaceDN w:val="0"/>
        <w:bidi w:val="0"/>
        <w:adjustRightInd w:val="0"/>
        <w:spacing w:line="480" w:lineRule="exact"/>
        <w:ind w:firstLine="560" w:firstLineChars="200"/>
        <w:jc w:val="left"/>
        <w:rPr>
          <w:rFonts w:hint="eastAsia" w:ascii="仿宋_GB2312" w:hAnsi="Calibri" w:eastAsia="仿宋_GB2312" w:cs="仿宋"/>
          <w:color w:val="000000"/>
          <w:kern w:val="0"/>
          <w:sz w:val="32"/>
          <w:szCs w:val="32"/>
          <w:lang w:val="en-US" w:eastAsia="zh-CN" w:bidi="ar-SA"/>
        </w:rPr>
      </w:pPr>
      <w:r>
        <w:rPr>
          <w:rFonts w:hint="default" w:ascii="Calibri" w:hAnsi="Calibri" w:eastAsia="仿宋_GB2312" w:cs="Calibri"/>
          <w:color w:val="000000"/>
          <w:kern w:val="0"/>
          <w:sz w:val="28"/>
          <w:szCs w:val="28"/>
          <w:lang w:val="en-US" w:eastAsia="zh-CN" w:bidi="ar-SA"/>
        </w:rPr>
        <w:t>①</w:t>
      </w:r>
      <w:r>
        <w:rPr>
          <w:rFonts w:hint="eastAsia" w:ascii="仿宋_GB2312" w:hAnsi="Calibri" w:eastAsia="仿宋_GB2312" w:cs="仿宋"/>
          <w:color w:val="000000"/>
          <w:kern w:val="0"/>
          <w:sz w:val="32"/>
          <w:szCs w:val="32"/>
          <w:lang w:val="en-US" w:eastAsia="zh-CN" w:bidi="ar-SA"/>
        </w:rPr>
        <w:t xml:space="preserve"> 住房改革支出（款）反映行政事业单位用财政拨款资金和其他资金等安排的住房改革支出。</w:t>
      </w:r>
    </w:p>
    <w:p>
      <w:pPr>
        <w:pageBreakBefore w:val="0"/>
        <w:numPr>
          <w:ilvl w:val="0"/>
          <w:numId w:val="0"/>
        </w:numPr>
        <w:kinsoku/>
        <w:wordWrap/>
        <w:overflowPunct/>
        <w:topLinePunct w:val="0"/>
        <w:autoSpaceDE w:val="0"/>
        <w:autoSpaceDN w:val="0"/>
        <w:bidi w:val="0"/>
        <w:adjustRightInd w:val="0"/>
        <w:spacing w:line="48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lang w:val="en-US" w:eastAsia="zh-CN" w:bidi="ar-SA"/>
        </w:rPr>
        <w:t>住房公积金（项）反映行政事业单位按人事部和财政部规定的基本工资和津贴补贴以及规定比例为职工缴纳的住房公积金。</w:t>
      </w:r>
    </w:p>
    <w:p>
      <w:pPr>
        <w:pageBreakBefore w:val="0"/>
        <w:kinsoku/>
        <w:wordWrap/>
        <w:overflowPunct/>
        <w:topLinePunct w:val="0"/>
        <w:bidi w:val="0"/>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ageBreakBefore w:val="0"/>
        <w:kinsoku/>
        <w:wordWrap/>
        <w:overflowPunct/>
        <w:topLinePunct w:val="0"/>
        <w:bidi w:val="0"/>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pageBreakBefore w:val="0"/>
        <w:kinsoku/>
        <w:wordWrap/>
        <w:overflowPunct/>
        <w:topLinePunct w:val="0"/>
        <w:bidi w:val="0"/>
        <w:spacing w:line="480" w:lineRule="exact"/>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80" w:lineRule="exact"/>
        <w:ind w:firstLine="640"/>
        <w:contextualSpacing/>
        <w:jc w:val="left"/>
        <w:rPr>
          <w:rFonts w:hint="eastAsia"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62" w:name="_Toc15396614"/>
    </w:p>
    <w:p>
      <w:pPr>
        <w:widowControl/>
        <w:spacing w:line="580" w:lineRule="exact"/>
        <w:ind w:firstLine="640"/>
        <w:contextualSpacing/>
        <w:jc w:val="center"/>
        <w:rPr>
          <w:rFonts w:hint="eastAsia" w:ascii="仿宋_GB2312" w:eastAsia="仿宋_GB2312"/>
          <w:sz w:val="32"/>
          <w:szCs w:val="32"/>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Fonts w:hint="eastAsia" w:ascii="黑体" w:hAnsi="黑体" w:eastAsia="黑体"/>
          <w:color w:val="auto"/>
          <w:sz w:val="44"/>
          <w:szCs w:val="44"/>
          <w:highlight w:val="none"/>
        </w:rPr>
      </w:pPr>
    </w:p>
    <w:p>
      <w:pPr>
        <w:widowControl/>
        <w:spacing w:line="580" w:lineRule="exact"/>
        <w:ind w:firstLine="640"/>
        <w:contextualSpacing/>
        <w:jc w:val="center"/>
        <w:rPr>
          <w:rStyle w:val="26"/>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62"/>
    </w:p>
    <w:p>
      <w:pPr>
        <w:widowControl/>
        <w:spacing w:line="580" w:lineRule="exact"/>
        <w:ind w:firstLine="640"/>
        <w:contextualSpacing/>
        <w:jc w:val="center"/>
        <w:rPr>
          <w:rFonts w:hint="eastAsia" w:ascii="黑体" w:hAnsi="黑体" w:eastAsia="黑体" w:cs="黑体"/>
          <w:b/>
          <w:sz w:val="44"/>
          <w:szCs w:val="44"/>
          <w:shd w:val="clear" w:color="auto" w:fill="FFFFFF"/>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s="Times New Roman"/>
          <w:color w:val="auto"/>
          <w:kern w:val="0"/>
          <w:sz w:val="40"/>
          <w:szCs w:val="44"/>
          <w:highlight w:val="none"/>
          <w:lang w:val="en-US" w:eastAsia="zh-CN"/>
        </w:rPr>
      </w:pPr>
      <w:r>
        <w:rPr>
          <w:rFonts w:hint="eastAsia" w:ascii="方正小标宋简体" w:hAnsi="宋体" w:eastAsia="方正小标宋简体" w:cs="Times New Roman"/>
          <w:color w:val="auto"/>
          <w:kern w:val="0"/>
          <w:sz w:val="40"/>
          <w:szCs w:val="44"/>
          <w:highlight w:val="none"/>
          <w:lang w:val="en-US" w:eastAsia="zh-CN"/>
        </w:rPr>
        <w:t>通江县唱歌镇人民政府</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黑体" w:eastAsia="黑体" w:cs="黑体"/>
          <w:b/>
          <w:sz w:val="44"/>
          <w:szCs w:val="44"/>
          <w:shd w:val="clear" w:color="auto" w:fill="FFFFFF"/>
        </w:rPr>
      </w:pPr>
      <w:r>
        <w:rPr>
          <w:rFonts w:hint="eastAsia" w:ascii="方正小标宋简体" w:hAnsi="宋体" w:eastAsia="方正小标宋简体" w:cs="Times New Roman"/>
          <w:color w:val="auto"/>
          <w:kern w:val="0"/>
          <w:sz w:val="40"/>
          <w:szCs w:val="44"/>
          <w:highlight w:val="none"/>
          <w:lang w:val="en-US" w:eastAsia="zh-CN"/>
        </w:rPr>
        <w:t>关于</w:t>
      </w:r>
      <w:r>
        <w:rPr>
          <w:rFonts w:hint="eastAsia" w:ascii="方正小标宋简体" w:hAnsi="宋体" w:eastAsia="方正小标宋简体" w:cs="Times New Roman"/>
          <w:color w:val="auto"/>
          <w:kern w:val="0"/>
          <w:sz w:val="40"/>
          <w:szCs w:val="44"/>
          <w:highlight w:val="none"/>
        </w:rPr>
        <w:t>20</w:t>
      </w:r>
      <w:r>
        <w:rPr>
          <w:rFonts w:hint="eastAsia" w:ascii="方正小标宋简体" w:hAnsi="宋体" w:eastAsia="方正小标宋简体" w:cs="Times New Roman"/>
          <w:color w:val="auto"/>
          <w:kern w:val="0"/>
          <w:sz w:val="40"/>
          <w:szCs w:val="44"/>
          <w:highlight w:val="none"/>
          <w:lang w:val="en-US" w:eastAsia="zh-CN"/>
        </w:rPr>
        <w:t>21</w:t>
      </w:r>
      <w:r>
        <w:rPr>
          <w:rFonts w:hint="eastAsia" w:ascii="方正小标宋简体" w:hAnsi="宋体" w:eastAsia="方正小标宋简体" w:cs="Times New Roman"/>
          <w:color w:val="auto"/>
          <w:kern w:val="0"/>
          <w:sz w:val="40"/>
          <w:szCs w:val="44"/>
          <w:highlight w:val="none"/>
        </w:rPr>
        <w:t>年整体支出绩效评价</w:t>
      </w:r>
      <w:r>
        <w:rPr>
          <w:rFonts w:hint="eastAsia" w:ascii="方正小标宋简体" w:hAnsi="宋体" w:eastAsia="方正小标宋简体" w:cs="Times New Roman"/>
          <w:color w:val="auto"/>
          <w:kern w:val="0"/>
          <w:sz w:val="40"/>
          <w:szCs w:val="44"/>
          <w:highlight w:val="none"/>
          <w:lang w:val="en-US" w:eastAsia="zh-CN"/>
        </w:rPr>
        <w:t>的</w:t>
      </w:r>
      <w:r>
        <w:rPr>
          <w:rFonts w:hint="eastAsia" w:ascii="方正小标宋简体" w:hAnsi="宋体" w:eastAsia="方正小标宋简体" w:cs="Times New Roman"/>
          <w:color w:val="auto"/>
          <w:kern w:val="0"/>
          <w:sz w:val="40"/>
          <w:szCs w:val="44"/>
          <w:highlight w:val="none"/>
        </w:rPr>
        <w:t>报告</w:t>
      </w:r>
    </w:p>
    <w:p>
      <w:pPr>
        <w:widowControl/>
        <w:spacing w:line="580" w:lineRule="exact"/>
        <w:contextualSpacing/>
        <w:jc w:val="both"/>
        <w:rPr>
          <w:rFonts w:hint="eastAsia" w:ascii="黑体" w:hAnsi="黑体" w:eastAsia="黑体" w:cs="黑体"/>
          <w:b/>
          <w:sz w:val="44"/>
          <w:szCs w:val="44"/>
          <w:shd w:val="clear" w:color="auto" w:fill="FFFFFF"/>
        </w:rPr>
      </w:pPr>
    </w:p>
    <w:p>
      <w:pPr>
        <w:widowControl/>
        <w:spacing w:line="580" w:lineRule="exact"/>
        <w:ind w:firstLine="640"/>
        <w:contextualSpacing/>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为进一步规范财政资金管理，</w:t>
      </w:r>
      <w:r>
        <w:rPr>
          <w:rFonts w:hint="eastAsia" w:ascii="仿宋_GB2312" w:hAnsi="Times New Roman" w:eastAsia="仿宋_GB2312" w:cs="Times New Roman"/>
          <w:sz w:val="32"/>
          <w:szCs w:val="32"/>
          <w:lang w:val="en-US" w:eastAsia="zh-CN"/>
        </w:rPr>
        <w:t>运用科学</w:t>
      </w:r>
      <w:r>
        <w:rPr>
          <w:rFonts w:hint="eastAsia" w:ascii="仿宋_GB2312" w:eastAsia="仿宋_GB2312" w:cs="Times New Roman"/>
          <w:sz w:val="32"/>
          <w:szCs w:val="32"/>
          <w:lang w:val="en-US" w:eastAsia="zh-CN"/>
        </w:rPr>
        <w:t>合理的评价</w:t>
      </w:r>
      <w:r>
        <w:rPr>
          <w:rFonts w:hint="eastAsia" w:ascii="仿宋_GB2312" w:hAnsi="Times New Roman" w:eastAsia="仿宋_GB2312" w:cs="Times New Roman"/>
          <w:sz w:val="32"/>
          <w:szCs w:val="32"/>
          <w:lang w:val="en-US" w:eastAsia="zh-CN"/>
        </w:rPr>
        <w:t>指标、评价标准和评价方法，对支出的经济性、效率性和效益性进行客观、公开的综合评价和判断，</w:t>
      </w:r>
      <w:r>
        <w:rPr>
          <w:rFonts w:hint="eastAsia" w:ascii="仿宋_GB2312" w:hAnsi="Times New Roman" w:eastAsia="仿宋_GB2312" w:cs="Times New Roman"/>
          <w:sz w:val="32"/>
          <w:szCs w:val="32"/>
        </w:rPr>
        <w:t>牢固树立预算绩效理念，强化支出责任，提高</w:t>
      </w:r>
      <w:r>
        <w:rPr>
          <w:rFonts w:hint="eastAsia" w:ascii="仿宋_GB2312" w:eastAsia="仿宋_GB2312" w:cs="Times New Roman"/>
          <w:sz w:val="32"/>
          <w:szCs w:val="32"/>
          <w:lang w:eastAsia="zh-CN"/>
        </w:rPr>
        <w:t>财政资金</w:t>
      </w:r>
      <w:r>
        <w:rPr>
          <w:rFonts w:hint="eastAsia" w:ascii="仿宋_GB2312" w:hAnsi="Times New Roman" w:eastAsia="仿宋_GB2312" w:cs="Times New Roman"/>
          <w:sz w:val="32"/>
          <w:szCs w:val="32"/>
        </w:rPr>
        <w:t>使用效益，</w:t>
      </w:r>
      <w:r>
        <w:rPr>
          <w:rFonts w:hint="eastAsia" w:ascii="仿宋_GB2312" w:hAnsi="Times New Roman" w:eastAsia="仿宋_GB2312" w:cs="Times New Roman"/>
          <w:sz w:val="32"/>
          <w:szCs w:val="32"/>
          <w:lang w:eastAsia="zh-CN"/>
        </w:rPr>
        <w:t>我镇</w:t>
      </w:r>
      <w:r>
        <w:rPr>
          <w:rFonts w:hint="eastAsia" w:ascii="仿宋_GB2312" w:hAnsi="Times New Roman" w:eastAsia="仿宋_GB2312" w:cs="Times New Roman"/>
          <w:sz w:val="32"/>
          <w:szCs w:val="32"/>
        </w:rPr>
        <w:t>根据《通江县财政局关于</w:t>
      </w:r>
      <w:r>
        <w:rPr>
          <w:rFonts w:hint="eastAsia" w:ascii="仿宋_GB2312" w:hAnsi="Times New Roman" w:eastAsia="仿宋_GB2312" w:cs="Times New Roman"/>
          <w:sz w:val="32"/>
          <w:szCs w:val="32"/>
          <w:lang w:eastAsia="zh-CN"/>
        </w:rPr>
        <w:t>开展</w:t>
      </w:r>
      <w:r>
        <w:rPr>
          <w:rFonts w:hint="eastAsia" w:ascii="仿宋_GB2312" w:hAnsi="Times New Roman" w:eastAsia="仿宋_GB2312" w:cs="Times New Roman"/>
          <w:sz w:val="32"/>
          <w:szCs w:val="32"/>
          <w:lang w:val="en-US" w:eastAsia="zh-CN"/>
        </w:rPr>
        <w:t>2021年度预算</w:t>
      </w:r>
      <w:r>
        <w:rPr>
          <w:rFonts w:hint="eastAsia" w:ascii="仿宋_GB2312" w:hAnsi="Times New Roman" w:eastAsia="仿宋_GB2312" w:cs="Times New Roman"/>
          <w:sz w:val="32"/>
          <w:szCs w:val="32"/>
        </w:rPr>
        <w:t>绩效</w:t>
      </w:r>
      <w:r>
        <w:rPr>
          <w:rFonts w:hint="eastAsia" w:ascii="仿宋_GB2312" w:hAnsi="Times New Roman" w:eastAsia="仿宋_GB2312" w:cs="Times New Roman"/>
          <w:sz w:val="32"/>
          <w:szCs w:val="32"/>
          <w:lang w:eastAsia="zh-CN"/>
        </w:rPr>
        <w:t>自评</w:t>
      </w:r>
      <w:r>
        <w:rPr>
          <w:rFonts w:hint="eastAsia" w:ascii="仿宋_GB2312" w:hAnsi="Times New Roman" w:eastAsia="仿宋_GB2312" w:cs="Times New Roman"/>
          <w:sz w:val="32"/>
          <w:szCs w:val="32"/>
        </w:rPr>
        <w:t>的通知》</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通财</w:t>
      </w:r>
      <w:r>
        <w:rPr>
          <w:rFonts w:hint="eastAsia" w:ascii="仿宋_GB2312" w:hAnsi="Times New Roman" w:eastAsia="仿宋_GB2312" w:cs="Times New Roman"/>
          <w:sz w:val="32"/>
          <w:szCs w:val="32"/>
          <w:lang w:val="en-US" w:eastAsia="zh-CN"/>
        </w:rPr>
        <w:t>绩</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号</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的</w:t>
      </w:r>
      <w:r>
        <w:rPr>
          <w:rFonts w:hint="eastAsia" w:ascii="仿宋_GB2312" w:hAnsi="Times New Roman" w:eastAsia="仿宋_GB2312" w:cs="Times New Roman"/>
          <w:sz w:val="32"/>
          <w:szCs w:val="32"/>
          <w:lang w:val="en-US" w:eastAsia="zh-CN"/>
        </w:rPr>
        <w:t>文件要求</w:t>
      </w:r>
      <w:r>
        <w:rPr>
          <w:rFonts w:hint="eastAsia" w:ascii="仿宋_GB2312" w:hAnsi="Times New Roman" w:eastAsia="仿宋_GB2312" w:cs="Times New Roman"/>
          <w:sz w:val="32"/>
          <w:szCs w:val="32"/>
        </w:rPr>
        <w:t>，结合</w:t>
      </w:r>
      <w:r>
        <w:rPr>
          <w:rFonts w:hint="eastAsia" w:ascii="仿宋_GB2312" w:hAnsi="Times New Roman" w:eastAsia="仿宋_GB2312" w:cs="Times New Roman"/>
          <w:sz w:val="32"/>
          <w:szCs w:val="32"/>
          <w:lang w:eastAsia="zh-CN"/>
        </w:rPr>
        <w:t>我镇</w:t>
      </w:r>
      <w:r>
        <w:rPr>
          <w:rFonts w:hint="eastAsia" w:ascii="仿宋_GB2312" w:hAnsi="Times New Roman" w:eastAsia="仿宋_GB2312" w:cs="Times New Roman"/>
          <w:sz w:val="32"/>
          <w:szCs w:val="32"/>
        </w:rPr>
        <w:t>实际情况，认真组织开展了</w:t>
      </w:r>
      <w:r>
        <w:rPr>
          <w:rFonts w:hint="eastAsia" w:ascii="仿宋_GB2312" w:hAnsi="Times New Roman" w:eastAsia="仿宋_GB2312" w:cs="Times New Roman"/>
          <w:sz w:val="32"/>
          <w:szCs w:val="32"/>
          <w:lang w:eastAsia="zh-CN"/>
        </w:rPr>
        <w:t>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年预算绩效自评工作，现将整体支出绩效评价情况</w:t>
      </w:r>
      <w:r>
        <w:rPr>
          <w:rFonts w:hint="eastAsia" w:ascii="仿宋_GB2312" w:hAnsi="Times New Roman" w:eastAsia="仿宋_GB2312" w:cs="Times New Roman"/>
          <w:sz w:val="32"/>
          <w:szCs w:val="32"/>
          <w:lang w:eastAsia="zh-CN"/>
        </w:rPr>
        <w:t>汇报</w:t>
      </w:r>
      <w:r>
        <w:rPr>
          <w:rFonts w:hint="eastAsia" w:ascii="仿宋_GB2312" w:hAnsi="Times New Roman" w:eastAsia="仿宋_GB2312" w:cs="Times New Roman"/>
          <w:sz w:val="32"/>
          <w:szCs w:val="32"/>
        </w:rPr>
        <w:t>如下。</w:t>
      </w:r>
    </w:p>
    <w:p>
      <w:pPr>
        <w:widowControl/>
        <w:spacing w:line="580" w:lineRule="exact"/>
        <w:ind w:firstLine="640"/>
        <w:contextualSpacing/>
        <w:jc w:val="left"/>
        <w:rPr>
          <w:rFonts w:hint="eastAsia" w:ascii="仿宋_GB2312" w:hAnsi="Times New Roman" w:eastAsia="仿宋_GB2312" w:cs="Times New Roman"/>
          <w:b/>
          <w:bCs/>
          <w:sz w:val="32"/>
          <w:szCs w:val="32"/>
          <w:lang w:val="zh-CN" w:eastAsia="zh-CN"/>
        </w:rPr>
      </w:pPr>
      <w:r>
        <w:rPr>
          <w:rFonts w:hint="eastAsia" w:ascii="仿宋_GB2312" w:hAnsi="Times New Roman" w:eastAsia="仿宋_GB2312" w:cs="Times New Roman"/>
          <w:b/>
          <w:bCs/>
          <w:sz w:val="32"/>
          <w:szCs w:val="32"/>
          <w:lang w:val="en-US" w:eastAsia="zh-CN"/>
        </w:rPr>
        <w:t>一、</w:t>
      </w:r>
      <w:r>
        <w:rPr>
          <w:rFonts w:hint="eastAsia" w:ascii="仿宋_GB2312" w:hAnsi="Times New Roman" w:eastAsia="仿宋_GB2312" w:cs="Times New Roman"/>
          <w:b/>
          <w:bCs/>
          <w:sz w:val="32"/>
          <w:szCs w:val="32"/>
          <w:lang w:val="zh-CN" w:eastAsia="zh-CN"/>
        </w:rPr>
        <w:t>单位概况</w:t>
      </w:r>
    </w:p>
    <w:p>
      <w:pPr>
        <w:widowControl/>
        <w:spacing w:line="580" w:lineRule="exact"/>
        <w:ind w:firstLine="640"/>
        <w:contextualSpacing/>
        <w:jc w:val="left"/>
        <w:rPr>
          <w:rFonts w:hint="eastAsia" w:ascii="仿宋_GB2312" w:hAnsi="Times New Roman" w:eastAsia="仿宋_GB2312" w:cs="Times New Roman"/>
          <w:sz w:val="32"/>
          <w:szCs w:val="32"/>
          <w:lang w:val="zh-CN"/>
        </w:rPr>
      </w:pPr>
      <w:r>
        <w:rPr>
          <w:rFonts w:hint="eastAsia" w:ascii="仿宋_GB2312" w:hAnsi="Times New Roman" w:eastAsia="仿宋_GB2312" w:cs="Times New Roman"/>
          <w:b/>
          <w:bCs/>
          <w:sz w:val="32"/>
          <w:szCs w:val="32"/>
          <w:lang w:val="zh-CN"/>
        </w:rPr>
        <w:t>（一）机构组成</w:t>
      </w:r>
      <w:r>
        <w:rPr>
          <w:rFonts w:hint="eastAsia" w:ascii="仿宋_GB2312" w:hAnsi="Times New Roman" w:eastAsia="仿宋_GB2312" w:cs="Times New Roman"/>
          <w:sz w:val="32"/>
          <w:szCs w:val="32"/>
          <w:lang w:val="zh-CN"/>
        </w:rPr>
        <w:t>。</w:t>
      </w:r>
      <w:r>
        <w:rPr>
          <w:rFonts w:hint="eastAsia" w:ascii="仿宋_GB2312" w:hAnsi="Times New Roman" w:eastAsia="仿宋_GB2312" w:cs="Times New Roman"/>
          <w:sz w:val="32"/>
          <w:szCs w:val="32"/>
          <w:lang w:val="en-US" w:eastAsia="zh-CN"/>
        </w:rPr>
        <w:t>唱歌镇人民政府</w:t>
      </w:r>
      <w:r>
        <w:rPr>
          <w:rFonts w:hint="eastAsia" w:ascii="仿宋_GB2312" w:hAnsi="Times New Roman" w:eastAsia="仿宋_GB2312" w:cs="Times New Roman"/>
          <w:sz w:val="32"/>
          <w:szCs w:val="32"/>
        </w:rPr>
        <w:t>下属单位</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个，包括：</w:t>
      </w:r>
      <w:r>
        <w:rPr>
          <w:rFonts w:hint="eastAsia" w:ascii="仿宋_GB2312" w:hAnsi="Times New Roman" w:eastAsia="仿宋_GB2312" w:cs="Times New Roman"/>
          <w:sz w:val="32"/>
          <w:szCs w:val="32"/>
          <w:lang w:val="en-US" w:eastAsia="zh-CN"/>
        </w:rPr>
        <w:t>党政综合办公室、党建工作办公室、经济发展和乡村振兴办公室、综合行政执法办公室、社会事务管理办公室、社会治理办公室、财政所；便民服务中心、农业综合服务中心、公共事务服务中心、农民工服务中心、村镇建设服务中心</w:t>
      </w:r>
      <w:r>
        <w:rPr>
          <w:rFonts w:hint="eastAsia" w:ascii="仿宋_GB2312" w:hAnsi="Times New Roman" w:eastAsia="仿宋_GB2312" w:cs="Times New Roman"/>
          <w:sz w:val="32"/>
          <w:szCs w:val="32"/>
        </w:rPr>
        <w:t>。</w:t>
      </w:r>
    </w:p>
    <w:p>
      <w:pPr>
        <w:widowControl/>
        <w:spacing w:line="580" w:lineRule="exact"/>
        <w:ind w:firstLine="640"/>
        <w:contextualSpacing/>
        <w:jc w:val="left"/>
        <w:rPr>
          <w:rFonts w:hint="eastAsia" w:ascii="仿宋_GB2312" w:hAnsi="Times New Roman" w:eastAsia="仿宋_GB2312" w:cs="Times New Roman"/>
          <w:sz w:val="32"/>
          <w:szCs w:val="32"/>
          <w:lang w:val="zh-CN"/>
        </w:rPr>
      </w:pPr>
      <w:r>
        <w:rPr>
          <w:rFonts w:hint="eastAsia" w:ascii="仿宋_GB2312" w:hAnsi="Times New Roman" w:eastAsia="仿宋_GB2312" w:cs="Times New Roman"/>
          <w:b/>
          <w:bCs/>
          <w:sz w:val="32"/>
          <w:szCs w:val="32"/>
          <w:lang w:val="zh-CN"/>
        </w:rPr>
        <w:t>（二）机构职能</w:t>
      </w:r>
      <w:r>
        <w:rPr>
          <w:rFonts w:hint="eastAsia" w:ascii="仿宋_GB2312" w:hAnsi="Times New Roman" w:eastAsia="仿宋_GB2312" w:cs="Times New Roman"/>
          <w:sz w:val="32"/>
          <w:szCs w:val="32"/>
          <w:lang w:val="zh-CN"/>
        </w:rPr>
        <w:t>。贯彻执行党和国家的路线方针政策、法律法规和上级党委政府的决定、命令</w:t>
      </w:r>
      <w:r>
        <w:rPr>
          <w:rFonts w:hint="eastAsia" w:ascii="仿宋_GB2312" w:eastAsia="仿宋_GB2312" w:cs="Times New Roman"/>
          <w:sz w:val="32"/>
          <w:szCs w:val="32"/>
          <w:lang w:val="zh-CN"/>
        </w:rPr>
        <w:t>，</w:t>
      </w:r>
      <w:r>
        <w:rPr>
          <w:rFonts w:hint="eastAsia" w:ascii="仿宋_GB2312" w:hAnsi="Times New Roman" w:eastAsia="仿宋_GB2312" w:cs="Times New Roman"/>
          <w:sz w:val="32"/>
          <w:szCs w:val="32"/>
          <w:lang w:val="zh-CN"/>
        </w:rPr>
        <w:t>接受同级党委（党工委）的领导，执行本级人民代表大会的各项决议，并报告执行决议、决定和命令的情况。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widowControl/>
        <w:spacing w:line="580" w:lineRule="exact"/>
        <w:ind w:firstLine="640"/>
        <w:contextualSpacing/>
        <w:jc w:val="left"/>
        <w:rPr>
          <w:rFonts w:hint="eastAsia" w:ascii="仿宋_GB2312" w:hAnsi="Times New Roman" w:eastAsia="仿宋_GB2312" w:cs="Times New Roman"/>
          <w:sz w:val="32"/>
          <w:szCs w:val="32"/>
          <w:lang w:val="zh-CN"/>
        </w:rPr>
      </w:pPr>
      <w:r>
        <w:rPr>
          <w:rFonts w:hint="eastAsia" w:ascii="仿宋_GB2312" w:hAnsi="Times New Roman" w:eastAsia="仿宋_GB2312" w:cs="Times New Roman"/>
          <w:b/>
          <w:bCs/>
          <w:sz w:val="32"/>
          <w:szCs w:val="32"/>
          <w:lang w:val="zh-CN"/>
        </w:rPr>
        <w:t>（三）人员概况</w:t>
      </w:r>
      <w:r>
        <w:rPr>
          <w:rFonts w:hint="eastAsia" w:ascii="仿宋_GB2312" w:hAnsi="Times New Roman" w:eastAsia="仿宋_GB2312" w:cs="Times New Roman"/>
          <w:sz w:val="32"/>
          <w:szCs w:val="32"/>
          <w:lang w:val="zh-CN"/>
        </w:rPr>
        <w:t>。</w:t>
      </w:r>
      <w:r>
        <w:rPr>
          <w:rFonts w:hint="eastAsia" w:ascii="仿宋_GB2312" w:hAnsi="Times New Roman" w:eastAsia="仿宋_GB2312" w:cs="Times New Roman"/>
          <w:sz w:val="32"/>
          <w:szCs w:val="32"/>
        </w:rPr>
        <w:t>职工总数</w:t>
      </w:r>
      <w:r>
        <w:rPr>
          <w:rFonts w:hint="eastAsia" w:ascii="仿宋_GB2312" w:hAnsi="Times New Roman" w:eastAsia="仿宋_GB2312" w:cs="Times New Roman"/>
          <w:sz w:val="32"/>
          <w:szCs w:val="32"/>
          <w:lang w:val="en-US" w:eastAsia="zh-CN"/>
        </w:rPr>
        <w:t>62</w:t>
      </w:r>
      <w:r>
        <w:rPr>
          <w:rFonts w:hint="eastAsia" w:ascii="仿宋_GB2312" w:hAnsi="Times New Roman" w:eastAsia="仿宋_GB2312" w:cs="Times New Roman"/>
          <w:sz w:val="32"/>
          <w:szCs w:val="32"/>
        </w:rPr>
        <w:t>人，其中：行政人员</w:t>
      </w:r>
      <w:r>
        <w:rPr>
          <w:rFonts w:hint="eastAsia" w:ascii="仿宋_GB2312" w:hAnsi="Times New Roman" w:eastAsia="仿宋_GB2312" w:cs="Times New Roman"/>
          <w:sz w:val="32"/>
          <w:szCs w:val="32"/>
          <w:lang w:val="en-US" w:eastAsia="zh-CN"/>
        </w:rPr>
        <w:t>27</w:t>
      </w:r>
      <w:r>
        <w:rPr>
          <w:rFonts w:hint="eastAsia" w:ascii="仿宋_GB2312" w:hAnsi="Times New Roman" w:eastAsia="仿宋_GB2312" w:cs="Times New Roman"/>
          <w:sz w:val="32"/>
          <w:szCs w:val="32"/>
        </w:rPr>
        <w:t>人，定额定项事业、工勤等人员</w:t>
      </w:r>
      <w:r>
        <w:rPr>
          <w:rFonts w:hint="eastAsia" w:ascii="仿宋_GB2312" w:hAnsi="Times New Roman" w:eastAsia="仿宋_GB2312" w:cs="Times New Roman"/>
          <w:sz w:val="32"/>
          <w:szCs w:val="32"/>
          <w:lang w:val="en-US" w:eastAsia="zh-CN"/>
        </w:rPr>
        <w:t>35</w:t>
      </w:r>
      <w:r>
        <w:rPr>
          <w:rFonts w:hint="eastAsia" w:ascii="仿宋_GB2312" w:hAnsi="Times New Roman" w:eastAsia="仿宋_GB2312" w:cs="Times New Roman"/>
          <w:sz w:val="32"/>
          <w:szCs w:val="32"/>
        </w:rPr>
        <w:t>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离退休人员</w:t>
      </w:r>
      <w:r>
        <w:rPr>
          <w:rFonts w:hint="eastAsia" w:ascii="仿宋_GB2312" w:hAnsi="Times New Roman" w:eastAsia="仿宋_GB2312" w:cs="Times New Roman"/>
          <w:sz w:val="32"/>
          <w:szCs w:val="32"/>
          <w:lang w:val="en-US" w:eastAsia="zh-CN"/>
        </w:rPr>
        <w:t>31</w:t>
      </w:r>
      <w:r>
        <w:rPr>
          <w:rFonts w:hint="eastAsia" w:ascii="仿宋_GB2312" w:hAnsi="Times New Roman" w:eastAsia="仿宋_GB2312" w:cs="Times New Roman"/>
          <w:sz w:val="32"/>
          <w:szCs w:val="32"/>
        </w:rPr>
        <w:t>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遗嘱人员10人</w:t>
      </w:r>
      <w:r>
        <w:rPr>
          <w:rFonts w:hint="eastAsia" w:ascii="仿宋_GB2312" w:hAnsi="Times New Roman" w:eastAsia="仿宋_GB2312" w:cs="Times New Roman"/>
          <w:sz w:val="32"/>
          <w:szCs w:val="32"/>
        </w:rPr>
        <w:t>。</w:t>
      </w:r>
    </w:p>
    <w:p>
      <w:pPr>
        <w:widowControl/>
        <w:spacing w:line="580" w:lineRule="exact"/>
        <w:ind w:firstLine="640"/>
        <w:contextualSpacing/>
        <w:jc w:val="lef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二、部门财政资金收支情况</w:t>
      </w:r>
    </w:p>
    <w:p>
      <w:pPr>
        <w:widowControl/>
        <w:spacing w:line="580" w:lineRule="exact"/>
        <w:ind w:firstLine="640"/>
        <w:contextualSpacing/>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zh-CN"/>
        </w:rPr>
        <w:t>（一）部门财政资金收入情况</w:t>
      </w:r>
      <w:r>
        <w:rPr>
          <w:rFonts w:hint="eastAsia" w:ascii="仿宋_GB2312" w:hAnsi="Times New Roman" w:eastAsia="仿宋_GB2312" w:cs="Times New Roman"/>
          <w:sz w:val="32"/>
          <w:szCs w:val="32"/>
          <w:lang w:val="zh-CN"/>
        </w:rPr>
        <w:t>。</w:t>
      </w:r>
      <w:r>
        <w:rPr>
          <w:rFonts w:hint="eastAsia" w:ascii="仿宋_GB2312" w:hAnsi="Times New Roman" w:eastAsia="仿宋_GB2312" w:cs="Times New Roman"/>
          <w:sz w:val="32"/>
          <w:szCs w:val="32"/>
          <w:lang w:val="en-US" w:eastAsia="zh-CN"/>
        </w:rPr>
        <w:t>本年收入合计为5313.09万元，主要收入来源为上级财政拨款收入。</w:t>
      </w:r>
    </w:p>
    <w:p>
      <w:pPr>
        <w:widowControl/>
        <w:spacing w:line="580" w:lineRule="exact"/>
        <w:ind w:firstLine="640"/>
        <w:contextualSpacing/>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zh-CN"/>
        </w:rPr>
        <w:t>（二）部门财政资金支出情况</w:t>
      </w:r>
      <w:r>
        <w:rPr>
          <w:rFonts w:hint="eastAsia" w:ascii="仿宋_GB2312" w:hAnsi="Times New Roman" w:eastAsia="仿宋_GB2312" w:cs="Times New Roman"/>
          <w:sz w:val="32"/>
          <w:szCs w:val="32"/>
          <w:lang w:val="zh-CN"/>
        </w:rPr>
        <w:t>。</w:t>
      </w:r>
      <w:r>
        <w:rPr>
          <w:rFonts w:hint="eastAsia" w:ascii="仿宋_GB2312" w:hAnsi="Times New Roman" w:eastAsia="仿宋_GB2312" w:cs="Times New Roman"/>
          <w:sz w:val="32"/>
          <w:szCs w:val="32"/>
          <w:lang w:val="en-US" w:eastAsia="zh-CN"/>
        </w:rPr>
        <w:t>本年支出合计为5253.99万元，其中基本支出为2630.34万元，项目支出为2623.65万元。</w:t>
      </w:r>
    </w:p>
    <w:p>
      <w:pPr>
        <w:widowControl/>
        <w:spacing w:line="580" w:lineRule="exact"/>
        <w:ind w:firstLine="640"/>
        <w:contextualSpacing/>
        <w:jc w:val="lef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三、部门整体预算绩效管理情况</w:t>
      </w:r>
    </w:p>
    <w:p>
      <w:pPr>
        <w:widowControl/>
        <w:spacing w:line="580" w:lineRule="exact"/>
        <w:ind w:firstLine="640"/>
        <w:contextualSpacing/>
        <w:jc w:val="left"/>
        <w:rPr>
          <w:rFonts w:hint="eastAsia" w:ascii="仿宋_GB2312" w:hAnsi="Times New Roman" w:eastAsia="仿宋_GB2312" w:cs="Times New Roman"/>
          <w:b/>
          <w:bCs/>
          <w:sz w:val="32"/>
          <w:szCs w:val="32"/>
          <w:lang w:val="zh-CN"/>
        </w:rPr>
      </w:pPr>
      <w:r>
        <w:rPr>
          <w:rFonts w:hint="eastAsia" w:ascii="仿宋_GB2312" w:hAnsi="Times New Roman" w:eastAsia="仿宋_GB2312" w:cs="Times New Roman"/>
          <w:b/>
          <w:bCs/>
          <w:sz w:val="32"/>
          <w:szCs w:val="32"/>
          <w:lang w:val="zh-CN"/>
        </w:rPr>
        <w:t>（一）部门预算项目绩效管理。</w:t>
      </w:r>
    </w:p>
    <w:p>
      <w:pPr>
        <w:widowControl/>
        <w:spacing w:line="580" w:lineRule="exact"/>
        <w:ind w:firstLine="640"/>
        <w:contextualSpacing/>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严格按照预算管理的相关规定和部门预算编制要求</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 科学合理编制次年项目预算</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按时完成了20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rPr>
        <w:t>年预算编制工作。20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rPr>
        <w:t>年收入预算总额为</w:t>
      </w:r>
      <w:r>
        <w:rPr>
          <w:rFonts w:hint="eastAsia" w:ascii="仿宋_GB2312" w:hAnsi="Times New Roman" w:eastAsia="仿宋_GB2312" w:cs="Times New Roman"/>
          <w:sz w:val="32"/>
          <w:szCs w:val="32"/>
          <w:lang w:val="en-US" w:eastAsia="zh-CN"/>
        </w:rPr>
        <w:t>5313.09</w:t>
      </w:r>
      <w:r>
        <w:rPr>
          <w:rFonts w:hint="default" w:ascii="仿宋_GB2312" w:hAnsi="Times New Roman" w:eastAsia="仿宋_GB2312" w:cs="Times New Roman"/>
          <w:sz w:val="32"/>
          <w:szCs w:val="32"/>
        </w:rPr>
        <w:t>万元。相应安排支出预算</w:t>
      </w:r>
      <w:r>
        <w:rPr>
          <w:rFonts w:hint="eastAsia" w:ascii="仿宋_GB2312" w:hAnsi="Times New Roman" w:eastAsia="仿宋_GB2312" w:cs="Times New Roman"/>
          <w:sz w:val="32"/>
          <w:szCs w:val="32"/>
          <w:lang w:val="en-US" w:eastAsia="zh-CN"/>
        </w:rPr>
        <w:t>5313.09</w:t>
      </w:r>
      <w:r>
        <w:rPr>
          <w:rFonts w:hint="default" w:ascii="仿宋_GB2312" w:hAnsi="Times New Roman" w:eastAsia="仿宋_GB2312" w:cs="Times New Roman"/>
          <w:sz w:val="32"/>
          <w:szCs w:val="32"/>
        </w:rPr>
        <w:t>万元，其中：</w:t>
      </w:r>
      <w:r>
        <w:rPr>
          <w:rFonts w:hint="eastAsia" w:ascii="仿宋_GB2312" w:hAnsi="Times New Roman" w:eastAsia="仿宋_GB2312" w:cs="Times New Roman"/>
          <w:sz w:val="32"/>
          <w:szCs w:val="32"/>
          <w:lang w:val="en-US" w:eastAsia="zh-CN"/>
        </w:rPr>
        <w:t>基本支出为2630.34万元，项目支出为2623.65万元，年末结转和结余59.09万元。</w:t>
      </w:r>
    </w:p>
    <w:p>
      <w:pPr>
        <w:widowControl/>
        <w:spacing w:line="580" w:lineRule="exact"/>
        <w:ind w:firstLine="640"/>
        <w:contextualSpacing/>
        <w:jc w:val="left"/>
        <w:rPr>
          <w:rFonts w:hint="eastAsia" w:ascii="仿宋_GB2312" w:hAnsi="Times New Roman" w:eastAsia="仿宋_GB2312" w:cs="Times New Roman"/>
          <w:b/>
          <w:bCs/>
          <w:sz w:val="32"/>
          <w:szCs w:val="32"/>
          <w:lang w:val="zh-CN"/>
        </w:rPr>
      </w:pPr>
      <w:r>
        <w:rPr>
          <w:rFonts w:hint="eastAsia" w:ascii="仿宋_GB2312" w:hAnsi="Times New Roman" w:eastAsia="仿宋_GB2312" w:cs="Times New Roman"/>
          <w:b/>
          <w:bCs/>
          <w:sz w:val="32"/>
          <w:szCs w:val="32"/>
          <w:lang w:val="zh-CN"/>
        </w:rPr>
        <w:t>（二）结果应用情况。</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default" w:ascii="仿宋_GB2312" w:hAnsi="Times New Roman" w:eastAsia="仿宋_GB2312" w:cs="Times New Roman"/>
          <w:sz w:val="32"/>
          <w:szCs w:val="32"/>
        </w:rPr>
        <w:t>严格执行财务管理制度。严格执行中央和上级有关部门出台的财经纪律相关规定，严控</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三公经费</w:t>
      </w:r>
      <w:r>
        <w:rPr>
          <w:rFonts w:hint="default" w:ascii="仿宋_GB2312" w:eastAsia="仿宋_GB2312" w:cs="Times New Roman"/>
          <w:sz w:val="32"/>
          <w:szCs w:val="32"/>
          <w:lang w:val="en-US" w:eastAsia="zh-CN"/>
        </w:rPr>
        <w:t>”</w:t>
      </w:r>
      <w:r>
        <w:rPr>
          <w:rFonts w:hint="default" w:ascii="仿宋_GB2312" w:hAnsi="Times New Roman" w:eastAsia="仿宋_GB2312" w:cs="Times New Roman"/>
          <w:sz w:val="32"/>
          <w:szCs w:val="32"/>
        </w:rPr>
        <w:t>、会议费、培训费、差旅费等支出。严格报账程序，严把票据审核关。认真做好会计核算，做到账账相符、账实相符。强化内控建设，防范防控岗位风险</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确保各项工作有序运转。</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2.加强政府采购管理。严格按照《</w:t>
      </w:r>
      <w:r>
        <w:rPr>
          <w:rFonts w:hint="eastAsia" w:ascii="仿宋_GB2312" w:eastAsia="仿宋_GB2312" w:cs="Times New Roman"/>
          <w:sz w:val="32"/>
          <w:szCs w:val="32"/>
          <w:lang w:eastAsia="zh-CN"/>
        </w:rPr>
        <w:t>中华人民共和国</w:t>
      </w:r>
      <w:r>
        <w:rPr>
          <w:rFonts w:hint="default" w:ascii="仿宋_GB2312" w:hAnsi="Times New Roman" w:eastAsia="仿宋_GB2312" w:cs="Times New Roman"/>
          <w:sz w:val="32"/>
          <w:szCs w:val="32"/>
        </w:rPr>
        <w:t>政府采购法》和《</w:t>
      </w:r>
      <w:r>
        <w:rPr>
          <w:rFonts w:hint="eastAsia" w:ascii="仿宋_GB2312" w:eastAsia="仿宋_GB2312" w:cs="Times New Roman"/>
          <w:sz w:val="32"/>
          <w:szCs w:val="32"/>
          <w:lang w:eastAsia="zh-CN"/>
        </w:rPr>
        <w:t>中华人民共和国</w:t>
      </w:r>
      <w:r>
        <w:rPr>
          <w:rFonts w:hint="default" w:ascii="仿宋_GB2312" w:hAnsi="Times New Roman" w:eastAsia="仿宋_GB2312" w:cs="Times New Roman"/>
          <w:sz w:val="32"/>
          <w:szCs w:val="32"/>
        </w:rPr>
        <w:t>政府采购法实施条例》等相关管理规定，根据采购目录和财政部门预算管理要求，编制政府采购计划，将采购项目全部纳入部门预算管理。</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default" w:ascii="仿宋_GB2312" w:hAnsi="Times New Roman" w:eastAsia="仿宋_GB2312" w:cs="Times New Roman"/>
          <w:sz w:val="32"/>
          <w:szCs w:val="32"/>
        </w:rPr>
        <w:t>加强政府信息公开。20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rPr>
        <w:t>年，我</w:t>
      </w:r>
      <w:r>
        <w:rPr>
          <w:rFonts w:hint="eastAsia" w:ascii="仿宋_GB2312" w:hAnsi="Times New Roman" w:eastAsia="仿宋_GB2312" w:cs="Times New Roman"/>
          <w:sz w:val="32"/>
          <w:szCs w:val="32"/>
          <w:lang w:val="en-US" w:eastAsia="zh-CN"/>
        </w:rPr>
        <w:t>镇</w:t>
      </w:r>
      <w:r>
        <w:rPr>
          <w:rFonts w:hint="default" w:ascii="仿宋_GB2312" w:hAnsi="Times New Roman" w:eastAsia="仿宋_GB2312" w:cs="Times New Roman"/>
          <w:sz w:val="32"/>
          <w:szCs w:val="32"/>
        </w:rPr>
        <w:t>全面推进政府信息公开工作的统一安排，突出重点，狠抓落实，细化公开内容，拓宽公开渠道，不断提高政府信息公开的质量和实效。</w:t>
      </w:r>
    </w:p>
    <w:p>
      <w:pPr>
        <w:widowControl/>
        <w:spacing w:line="580" w:lineRule="exact"/>
        <w:ind w:firstLine="640"/>
        <w:contextualSpacing/>
        <w:jc w:val="left"/>
        <w:rPr>
          <w:rFonts w:hint="eastAsia" w:ascii="仿宋_GB2312" w:hAnsi="Times New Roman" w:eastAsia="仿宋_GB2312" w:cs="Times New Roman"/>
          <w:b/>
          <w:bCs/>
          <w:sz w:val="32"/>
          <w:szCs w:val="32"/>
          <w:lang w:val="zh-CN"/>
        </w:rPr>
      </w:pPr>
      <w:r>
        <w:rPr>
          <w:rFonts w:hint="eastAsia" w:ascii="仿宋_GB2312" w:hAnsi="Times New Roman" w:eastAsia="仿宋_GB2312" w:cs="Times New Roman"/>
          <w:b/>
          <w:bCs/>
          <w:sz w:val="32"/>
          <w:szCs w:val="32"/>
          <w:lang w:val="zh-CN"/>
        </w:rPr>
        <w:t>（</w:t>
      </w:r>
      <w:r>
        <w:rPr>
          <w:rFonts w:hint="eastAsia" w:ascii="仿宋_GB2312" w:hAnsi="Times New Roman" w:eastAsia="仿宋_GB2312" w:cs="Times New Roman"/>
          <w:b/>
          <w:bCs/>
          <w:sz w:val="32"/>
          <w:szCs w:val="32"/>
          <w:lang w:val="en-US" w:eastAsia="zh-CN"/>
        </w:rPr>
        <w:t>三</w:t>
      </w:r>
      <w:r>
        <w:rPr>
          <w:rFonts w:hint="eastAsia" w:ascii="仿宋_GB2312" w:hAnsi="Times New Roman" w:eastAsia="仿宋_GB2312" w:cs="Times New Roman"/>
          <w:b/>
          <w:bCs/>
          <w:sz w:val="32"/>
          <w:szCs w:val="32"/>
          <w:lang w:val="zh-CN"/>
        </w:rPr>
        <w:t>）自评质量</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严格按照财务制度，规范各项资金的开支。根据项目支出的性质、范围、用途，坚持专款专用，未发生挤占挪用截留等现象。</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eastAsia" w:ascii="仿宋_GB2312" w:hAnsi="Times New Roman" w:eastAsia="仿宋_GB2312" w:cs="Times New Roman"/>
          <w:b/>
          <w:bCs/>
          <w:sz w:val="32"/>
          <w:szCs w:val="32"/>
        </w:rPr>
        <w:t>四、评价结论及建议</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rPr>
        <w:t>年，我</w:t>
      </w:r>
      <w:r>
        <w:rPr>
          <w:rFonts w:hint="eastAsia" w:ascii="仿宋_GB2312" w:hAnsi="Times New Roman" w:eastAsia="仿宋_GB2312" w:cs="Times New Roman"/>
          <w:sz w:val="32"/>
          <w:szCs w:val="32"/>
          <w:lang w:val="en-US" w:eastAsia="zh-CN"/>
        </w:rPr>
        <w:t>镇</w:t>
      </w:r>
      <w:r>
        <w:rPr>
          <w:rFonts w:hint="default" w:ascii="仿宋_GB2312" w:hAnsi="Times New Roman" w:eastAsia="仿宋_GB2312" w:cs="Times New Roman"/>
          <w:sz w:val="32"/>
          <w:szCs w:val="32"/>
        </w:rPr>
        <w:t>严格按照年初预算批复认真组织实施</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 严格执行财经纪律相关管理规定，做到各项收支安排使用符合事业发展计划和财政政策的要求，确保了单位正常运行和重大项目的实施，较好地完成了20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rPr>
        <w:t>年部门预算编制和决算汇总工作</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 xml:space="preserve"> 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rPr>
        <w:t>年目标任务基本完成，预算执行情况较好。但仍存在预算编制不够完善</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个别项目进度缓慢、绩效管理工作有待加强等问题。</w:t>
      </w:r>
    </w:p>
    <w:p>
      <w:pPr>
        <w:widowControl/>
        <w:spacing w:line="580" w:lineRule="exact"/>
        <w:ind w:firstLine="640"/>
        <w:contextualSpacing/>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在今后的工作中</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我</w:t>
      </w:r>
      <w:r>
        <w:rPr>
          <w:rFonts w:hint="eastAsia" w:ascii="仿宋_GB2312" w:hAnsi="Times New Roman" w:eastAsia="仿宋_GB2312" w:cs="Times New Roman"/>
          <w:sz w:val="32"/>
          <w:szCs w:val="32"/>
          <w:lang w:val="en-US" w:eastAsia="zh-CN"/>
        </w:rPr>
        <w:t>镇</w:t>
      </w:r>
      <w:r>
        <w:rPr>
          <w:rFonts w:hint="default" w:ascii="仿宋_GB2312" w:hAnsi="Times New Roman" w:eastAsia="仿宋_GB2312" w:cs="Times New Roman"/>
          <w:sz w:val="32"/>
          <w:szCs w:val="32"/>
        </w:rPr>
        <w:t>将严格按照新《</w:t>
      </w:r>
      <w:r>
        <w:rPr>
          <w:rFonts w:hint="eastAsia" w:ascii="仿宋_GB2312" w:eastAsia="仿宋_GB2312" w:cs="Times New Roman"/>
          <w:sz w:val="32"/>
          <w:szCs w:val="32"/>
          <w:lang w:eastAsia="zh-CN"/>
        </w:rPr>
        <w:t>中华人民共和国</w:t>
      </w:r>
      <w:r>
        <w:rPr>
          <w:rFonts w:hint="default" w:ascii="仿宋_GB2312" w:hAnsi="Times New Roman" w:eastAsia="仿宋_GB2312" w:cs="Times New Roman"/>
          <w:sz w:val="32"/>
          <w:szCs w:val="32"/>
        </w:rPr>
        <w:t>预算法》的要求，加强预算编制的科学性、合理性</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让预算编制</w:t>
      </w:r>
      <w:r>
        <w:rPr>
          <w:rFonts w:hint="eastAsia" w:ascii="仿宋_GB2312" w:eastAsia="仿宋_GB2312" w:cs="Times New Roman"/>
          <w:sz w:val="32"/>
          <w:szCs w:val="32"/>
          <w:lang w:eastAsia="zh-CN"/>
        </w:rPr>
        <w:t>更加</w:t>
      </w:r>
      <w:r>
        <w:rPr>
          <w:rFonts w:hint="default" w:ascii="仿宋_GB2312" w:hAnsi="Times New Roman" w:eastAsia="仿宋_GB2312" w:cs="Times New Roman"/>
          <w:sz w:val="32"/>
          <w:szCs w:val="32"/>
        </w:rPr>
        <w:t>贴合实际，使项目预算与工作结合更加紧密。严格按照批复预算执行，并按照项目开展进度有计划申请资金及时支付。加强预算绩效管理，增强预算约束力，做好预算项目支出绩效目标及各项绩效指标的细化、量化工作</w:t>
      </w:r>
      <w:r>
        <w:rPr>
          <w:rFonts w:hint="eastAsia" w:ascii="仿宋_GB2312" w:eastAsia="仿宋_GB2312" w:cs="Times New Roman"/>
          <w:sz w:val="32"/>
          <w:szCs w:val="32"/>
          <w:lang w:eastAsia="zh-CN"/>
        </w:rPr>
        <w:t>，</w:t>
      </w:r>
      <w:r>
        <w:rPr>
          <w:rFonts w:hint="default" w:ascii="仿宋_GB2312" w:hAnsi="Times New Roman" w:eastAsia="仿宋_GB2312" w:cs="Times New Roman"/>
          <w:sz w:val="32"/>
          <w:szCs w:val="32"/>
        </w:rPr>
        <w:t>用好用活各类财政资金，提高财政资金的使用效益。</w:t>
      </w:r>
    </w:p>
    <w:p>
      <w:pPr>
        <w:widowControl/>
        <w:spacing w:line="580" w:lineRule="exact"/>
        <w:contextualSpacing/>
        <w:jc w:val="both"/>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s="Times New Roman"/>
          <w:color w:val="auto"/>
          <w:kern w:val="0"/>
          <w:sz w:val="40"/>
          <w:szCs w:val="44"/>
          <w:highlight w:val="none"/>
          <w:lang w:val="en-US" w:eastAsia="zh-CN"/>
        </w:rPr>
      </w:pPr>
      <w:r>
        <w:rPr>
          <w:rFonts w:hint="eastAsia" w:ascii="方正小标宋简体" w:hAnsi="宋体" w:eastAsia="方正小标宋简体" w:cs="Times New Roman"/>
          <w:color w:val="auto"/>
          <w:kern w:val="0"/>
          <w:sz w:val="40"/>
          <w:szCs w:val="44"/>
          <w:highlight w:val="none"/>
          <w:lang w:val="en-US" w:eastAsia="zh-CN"/>
        </w:rPr>
        <w:t>通江县唱歌镇人民政府</w:t>
      </w:r>
    </w:p>
    <w:p>
      <w:pPr>
        <w:keepNext w:val="0"/>
        <w:keepLines w:val="0"/>
        <w:pageBreakBefore w:val="0"/>
        <w:kinsoku/>
        <w:wordWrap/>
        <w:overflowPunct/>
        <w:topLinePunct w:val="0"/>
        <w:autoSpaceDE/>
        <w:autoSpaceDN/>
        <w:bidi w:val="0"/>
        <w:spacing w:line="572" w:lineRule="exact"/>
        <w:jc w:val="center"/>
        <w:textAlignment w:val="auto"/>
        <w:rPr>
          <w:rFonts w:hint="eastAsia" w:ascii="宋体" w:hAnsi="宋体" w:eastAsia="宋体" w:cs="宋体"/>
          <w:color w:val="333333"/>
          <w:kern w:val="2"/>
          <w:sz w:val="44"/>
          <w:szCs w:val="44"/>
          <w:lang w:val="en-US" w:eastAsia="zh-CN" w:bidi="ar"/>
        </w:rPr>
      </w:pPr>
      <w:r>
        <w:rPr>
          <w:rFonts w:hint="eastAsia" w:ascii="方正小标宋简体" w:hAnsi="宋体" w:eastAsia="方正小标宋简体" w:cs="Times New Roman"/>
          <w:color w:val="auto"/>
          <w:kern w:val="0"/>
          <w:sz w:val="40"/>
          <w:szCs w:val="44"/>
          <w:highlight w:val="none"/>
          <w:lang w:val="en-US" w:eastAsia="zh-CN"/>
        </w:rPr>
        <w:t>2021年农村危房改造绩效目标自评报告</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 w:hAnsi="仿宋" w:eastAsia="仿宋" w:cs="仿宋"/>
          <w:color w:val="333333"/>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 w:hAnsi="仿宋" w:eastAsia="仿宋" w:cs="仿宋"/>
          <w:color w:val="333333"/>
          <w:kern w:val="2"/>
          <w:sz w:val="32"/>
          <w:szCs w:val="32"/>
          <w:lang w:val="en-US" w:eastAsia="zh-CN" w:bidi="ar"/>
        </w:rPr>
      </w:pPr>
      <w:r>
        <w:rPr>
          <w:rFonts w:hint="eastAsia" w:ascii="仿宋" w:hAnsi="仿宋" w:eastAsia="仿宋" w:cs="仿宋"/>
          <w:color w:val="262626"/>
          <w:kern w:val="2"/>
          <w:sz w:val="32"/>
          <w:szCs w:val="32"/>
          <w:lang w:val="en-US" w:eastAsia="zh-CN" w:bidi="ar"/>
        </w:rPr>
        <w:t>唱歌镇根据《</w:t>
      </w:r>
      <w:r>
        <w:rPr>
          <w:rFonts w:hint="eastAsia" w:ascii="仿宋_GB2312" w:hAnsi="仿宋_GB2312" w:eastAsia="仿宋_GB2312" w:cs="仿宋_GB2312"/>
          <w:sz w:val="32"/>
          <w:szCs w:val="32"/>
        </w:rPr>
        <w:t>通江县财政局关于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2021年度预算</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的通知</w:t>
      </w:r>
      <w:r>
        <w:rPr>
          <w:rFonts w:hint="eastAsia" w:ascii="仿宋" w:hAnsi="仿宋" w:eastAsia="仿宋" w:cs="仿宋"/>
          <w:color w:val="262626"/>
          <w:kern w:val="2"/>
          <w:sz w:val="32"/>
          <w:szCs w:val="32"/>
          <w:lang w:val="en-US" w:eastAsia="zh-CN" w:bidi="ar"/>
        </w:rPr>
        <w:t>》（</w:t>
      </w:r>
      <w:r>
        <w:rPr>
          <w:rFonts w:hint="eastAsia" w:ascii="仿宋_GB2312" w:hAnsi="仿宋_GB2312" w:eastAsia="仿宋_GB2312" w:cs="仿宋_GB2312"/>
          <w:sz w:val="32"/>
          <w:szCs w:val="32"/>
        </w:rPr>
        <w:t>通财</w:t>
      </w:r>
      <w:r>
        <w:rPr>
          <w:rFonts w:hint="eastAsia" w:ascii="仿宋_GB2312" w:hAnsi="仿宋_GB2312" w:eastAsia="仿宋_GB2312" w:cs="仿宋_GB2312"/>
          <w:sz w:val="32"/>
          <w:szCs w:val="32"/>
          <w:lang w:val="en-US" w:eastAsia="zh-CN"/>
        </w:rPr>
        <w:t>绩</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 w:hAnsi="仿宋" w:eastAsia="仿宋" w:cs="仿宋"/>
          <w:color w:val="262626"/>
          <w:kern w:val="2"/>
          <w:sz w:val="32"/>
          <w:szCs w:val="32"/>
          <w:lang w:val="en-US" w:eastAsia="zh-CN" w:bidi="ar"/>
        </w:rPr>
        <w:t>文件精神，对2021年度农村危房改造资金绩效进行了全面综合评价。现将具体情况报告如下：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color w:val="333333"/>
          <w:kern w:val="2"/>
          <w:sz w:val="32"/>
          <w:szCs w:val="32"/>
          <w:lang w:val="en-US" w:eastAsia="zh-CN" w:bidi="ar"/>
        </w:rPr>
      </w:pPr>
      <w:r>
        <w:rPr>
          <w:rFonts w:hint="eastAsia" w:ascii="黑体" w:hAnsi="黑体" w:eastAsia="黑体" w:cs="黑体"/>
          <w:color w:val="333333"/>
          <w:kern w:val="2"/>
          <w:sz w:val="32"/>
          <w:szCs w:val="32"/>
          <w:lang w:val="en-US" w:eastAsia="zh-CN" w:bidi="ar"/>
        </w:rPr>
        <w:t>一、基本情况</w:t>
      </w:r>
    </w:p>
    <w:p>
      <w:pPr>
        <w:widowControl/>
        <w:adjustRightInd w:val="0"/>
        <w:snapToGrid w:val="0"/>
        <w:spacing w:line="580" w:lineRule="exact"/>
        <w:ind w:firstLine="643" w:firstLineChars="200"/>
        <w:contextualSpacing/>
        <w:jc w:val="left"/>
        <w:rPr>
          <w:rFonts w:hint="eastAsia" w:ascii="仿宋" w:hAnsi="仿宋" w:eastAsia="仿宋" w:cs="仿宋"/>
          <w:kern w:val="2"/>
          <w:sz w:val="32"/>
          <w:szCs w:val="32"/>
          <w:lang w:val="en-US" w:eastAsia="zh-CN" w:bidi="ar"/>
        </w:rPr>
      </w:pPr>
      <w:r>
        <w:rPr>
          <w:rFonts w:hint="eastAsia" w:ascii="楷体_GB2312" w:hAnsi="楷体_GB2312" w:eastAsia="楷体_GB2312" w:cs="楷体_GB2312"/>
          <w:b/>
          <w:bCs/>
          <w:color w:val="333333"/>
          <w:kern w:val="2"/>
          <w:sz w:val="32"/>
          <w:szCs w:val="32"/>
          <w:lang w:val="en-US" w:eastAsia="zh-CN" w:bidi="ar"/>
        </w:rPr>
        <w:t>（一）单位基本情况。</w:t>
      </w:r>
      <w:r>
        <w:rPr>
          <w:rFonts w:hint="eastAsia" w:ascii="仿宋_GB2312" w:hAnsi="仿宋_GB2312" w:eastAsia="仿宋_GB2312" w:cs="仿宋_GB2312"/>
          <w:color w:val="auto"/>
          <w:kern w:val="0"/>
          <w:sz w:val="32"/>
          <w:szCs w:val="32"/>
          <w:lang w:val="en-US" w:eastAsia="zh-CN"/>
        </w:rPr>
        <w:t>唱歌镇辖11个村，58个村民小组，现有人口17525人，耕地面积为14596亩，农民人均纯收入为</w:t>
      </w:r>
      <w:r>
        <w:rPr>
          <w:rFonts w:hint="eastAsia" w:ascii="仿宋_GB2312" w:hAnsi="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lang w:val="en-US" w:eastAsia="zh-CN"/>
        </w:rPr>
        <w:t>00元。现有</w:t>
      </w:r>
      <w:r>
        <w:rPr>
          <w:rFonts w:hint="eastAsia" w:ascii="仿宋_GB2312" w:hAnsi="仿宋_GB2312" w:eastAsia="仿宋_GB2312" w:cs="仿宋_GB2312"/>
          <w:color w:val="auto"/>
          <w:sz w:val="32"/>
          <w:szCs w:val="32"/>
          <w:highlight w:val="none"/>
        </w:rPr>
        <w:t>职工总数</w:t>
      </w: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人，其中：行政人员</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人，定额定项事业、工勤等人员</w:t>
      </w: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人</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离退休人员</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遗嘱人员10人</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val="0"/>
          <w:bCs w:val="0"/>
          <w:kern w:val="2"/>
          <w:sz w:val="32"/>
          <w:szCs w:val="32"/>
          <w:lang w:val="en-US" w:eastAsia="zh-CN" w:bidi="ar"/>
        </w:rPr>
      </w:pPr>
      <w:r>
        <w:rPr>
          <w:rFonts w:hint="eastAsia" w:ascii="楷体_GB2312" w:hAnsi="楷体_GB2312" w:eastAsia="楷体_GB2312" w:cs="楷体_GB2312"/>
          <w:b/>
          <w:bCs/>
          <w:kern w:val="2"/>
          <w:sz w:val="32"/>
          <w:szCs w:val="32"/>
          <w:lang w:val="en-US" w:eastAsia="zh-CN" w:bidi="ar"/>
        </w:rPr>
        <w:t>（二）绩效概况。</w:t>
      </w:r>
      <w:r>
        <w:rPr>
          <w:rFonts w:hint="eastAsia" w:ascii="仿宋" w:hAnsi="仿宋" w:eastAsia="仿宋" w:cs="仿宋"/>
          <w:b w:val="0"/>
          <w:bCs w:val="0"/>
          <w:kern w:val="2"/>
          <w:sz w:val="32"/>
          <w:szCs w:val="32"/>
          <w:lang w:val="en-US" w:eastAsia="zh-CN" w:bidi="ar"/>
        </w:rPr>
        <w:t>通江县财政局2021年下达我镇农村危房改造资金566.45万元。项目实施后，不仅改善了我镇各村住房条件与住房环境，同时有效保障了我镇基层村民组织的有序开展，为下一步乡村振兴任务提供了秩序保障和人力资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kern w:val="2"/>
          <w:sz w:val="32"/>
          <w:szCs w:val="32"/>
          <w:lang w:val="en-US" w:eastAsia="zh-CN" w:bidi="ar"/>
        </w:rPr>
      </w:pPr>
      <w:r>
        <w:rPr>
          <w:rFonts w:hint="eastAsia" w:ascii="黑体" w:hAnsi="黑体" w:eastAsia="黑体" w:cs="黑体"/>
          <w:b w:val="0"/>
          <w:bCs w:val="0"/>
          <w:kern w:val="2"/>
          <w:sz w:val="32"/>
          <w:szCs w:val="32"/>
          <w:lang w:val="en-US" w:eastAsia="zh-CN" w:bidi="ar"/>
        </w:rPr>
        <w:t>二、资金使用情况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（一）资金使用。截至评价时点，我镇的农村危房改造预算566.45万元已全部支付。支付范围及依据合规合法，资金支付与预算相符。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zh-CN" w:eastAsia="zh-CN" w:bidi="ar"/>
        </w:rPr>
        <w:t>（二）组织实施情况。实行</w:t>
      </w:r>
      <w:r>
        <w:rPr>
          <w:rFonts w:hint="eastAsia" w:ascii="仿宋" w:hAnsi="仿宋" w:eastAsia="仿宋" w:cs="仿宋"/>
          <w:b w:val="0"/>
          <w:bCs w:val="0"/>
          <w:kern w:val="2"/>
          <w:sz w:val="32"/>
          <w:szCs w:val="32"/>
          <w:lang w:val="en-US" w:eastAsia="zh-CN" w:bidi="ar"/>
        </w:rPr>
        <w:t>镇</w:t>
      </w:r>
      <w:r>
        <w:rPr>
          <w:rFonts w:hint="eastAsia" w:ascii="仿宋" w:hAnsi="仿宋" w:eastAsia="仿宋" w:cs="仿宋"/>
          <w:b w:val="0"/>
          <w:bCs w:val="0"/>
          <w:kern w:val="2"/>
          <w:sz w:val="32"/>
          <w:szCs w:val="32"/>
          <w:lang w:val="zh-CN" w:eastAsia="zh-CN" w:bidi="ar"/>
        </w:rPr>
        <w:t>长负责制，并制定了财务管理制度，设置了岗位目标责任制，严格考勤制度，形成了一整套管理制度并将所有的制度都张贴上墙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420" w:firstLineChars="200"/>
        <w:jc w:val="left"/>
        <w:textAlignment w:val="auto"/>
      </w:pPr>
      <w:r>
        <w:rPr>
          <w:rFonts w:hint="eastAsia" w:ascii="宋体" w:hAnsi="宋体" w:eastAsia="宋体" w:cs="宋体"/>
          <w:color w:val="333333"/>
          <w:kern w:val="2"/>
          <w:sz w:val="21"/>
          <w:szCs w:val="21"/>
          <w:lang w:val="en-US" w:eastAsia="zh-CN" w:bidi="ar"/>
        </w:rPr>
        <w:t xml:space="preserve"> </w:t>
      </w:r>
      <w:r>
        <w:rPr>
          <w:rFonts w:hint="eastAsia" w:ascii="黑体" w:hAnsi="黑体" w:eastAsia="黑体" w:cs="黑体"/>
          <w:color w:val="333333"/>
          <w:kern w:val="2"/>
          <w:sz w:val="32"/>
          <w:szCs w:val="32"/>
          <w:lang w:val="en-US" w:eastAsia="zh-CN" w:bidi="ar"/>
        </w:rPr>
        <w:t>三、目标完成情况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outlineLvl w:val="9"/>
        <w:rPr>
          <w:rFonts w:hint="eastAsia" w:ascii="仿宋" w:hAnsi="仿宋" w:eastAsia="仿宋" w:cs="仿宋"/>
          <w:b w:val="0"/>
          <w:bCs w:val="0"/>
          <w:color w:val="262626"/>
          <w:kern w:val="2"/>
          <w:sz w:val="32"/>
          <w:szCs w:val="32"/>
          <w:lang w:val="zh-CN" w:eastAsia="zh-CN" w:bidi="ar"/>
        </w:rPr>
      </w:pPr>
      <w:r>
        <w:rPr>
          <w:rFonts w:hint="eastAsia" w:ascii="仿宋" w:hAnsi="仿宋" w:eastAsia="仿宋" w:cs="仿宋"/>
          <w:b/>
          <w:bCs/>
          <w:color w:val="262626"/>
          <w:kern w:val="2"/>
          <w:sz w:val="32"/>
          <w:szCs w:val="32"/>
          <w:lang w:val="zh-CN" w:eastAsia="zh-CN" w:bidi="ar"/>
        </w:rPr>
        <w:t>（一）目标任务量完成情况</w:t>
      </w:r>
      <w:r>
        <w:rPr>
          <w:rFonts w:hint="eastAsia" w:ascii="仿宋" w:hAnsi="仿宋" w:eastAsia="仿宋" w:cs="仿宋"/>
          <w:b w:val="0"/>
          <w:bCs w:val="0"/>
          <w:color w:val="262626"/>
          <w:kern w:val="2"/>
          <w:sz w:val="32"/>
          <w:szCs w:val="32"/>
          <w:lang w:val="zh-CN"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outlineLvl w:val="9"/>
        <w:rPr>
          <w:rFonts w:hint="eastAsia" w:ascii="仿宋" w:hAnsi="仿宋" w:eastAsia="仿宋" w:cs="仿宋"/>
          <w:b w:val="0"/>
          <w:bCs w:val="0"/>
          <w:color w:val="262626"/>
          <w:kern w:val="2"/>
          <w:sz w:val="32"/>
          <w:szCs w:val="32"/>
          <w:lang w:val="zh-CN" w:eastAsia="zh-CN" w:bidi="ar"/>
        </w:rPr>
      </w:pPr>
      <w:r>
        <w:rPr>
          <w:rFonts w:hint="eastAsia" w:ascii="仿宋" w:hAnsi="仿宋" w:eastAsia="仿宋" w:cs="仿宋"/>
          <w:b w:val="0"/>
          <w:bCs w:val="0"/>
          <w:color w:val="262626"/>
          <w:kern w:val="2"/>
          <w:sz w:val="32"/>
          <w:szCs w:val="32"/>
          <w:lang w:val="zh-CN" w:eastAsia="zh-CN" w:bidi="ar"/>
        </w:rPr>
        <w:t>农村危房改</w:t>
      </w:r>
      <w:r>
        <w:rPr>
          <w:rFonts w:hint="eastAsia" w:ascii="仿宋" w:hAnsi="仿宋" w:eastAsia="仿宋" w:cs="仿宋"/>
          <w:b w:val="0"/>
          <w:bCs w:val="0"/>
          <w:color w:val="262626"/>
          <w:kern w:val="2"/>
          <w:sz w:val="32"/>
          <w:szCs w:val="32"/>
          <w:lang w:val="en-US" w:eastAsia="zh-CN" w:bidi="ar"/>
        </w:rPr>
        <w:t>造</w:t>
      </w:r>
      <w:r>
        <w:rPr>
          <w:rFonts w:hint="eastAsia" w:ascii="仿宋" w:hAnsi="仿宋" w:eastAsia="仿宋" w:cs="仿宋"/>
          <w:b w:val="0"/>
          <w:bCs w:val="0"/>
          <w:color w:val="262626"/>
          <w:kern w:val="2"/>
          <w:sz w:val="32"/>
          <w:szCs w:val="32"/>
          <w:lang w:val="zh-CN" w:eastAsia="zh-CN" w:bidi="ar"/>
        </w:rPr>
        <w:t>项目</w:t>
      </w:r>
      <w:r>
        <w:rPr>
          <w:rFonts w:hint="eastAsia" w:ascii="仿宋" w:hAnsi="仿宋" w:eastAsia="仿宋" w:cs="仿宋"/>
          <w:b w:val="0"/>
          <w:bCs w:val="0"/>
          <w:color w:val="262626"/>
          <w:kern w:val="2"/>
          <w:sz w:val="32"/>
          <w:szCs w:val="32"/>
          <w:lang w:val="en-US" w:eastAsia="zh-CN" w:bidi="ar"/>
        </w:rPr>
        <w:t>已严格按照要求应改尽改</w:t>
      </w:r>
      <w:r>
        <w:rPr>
          <w:rFonts w:hint="eastAsia" w:ascii="仿宋" w:hAnsi="仿宋" w:eastAsia="仿宋" w:cs="仿宋"/>
          <w:b w:val="0"/>
          <w:bCs w:val="0"/>
          <w:color w:val="262626"/>
          <w:kern w:val="2"/>
          <w:sz w:val="32"/>
          <w:szCs w:val="32"/>
          <w:lang w:val="zh-CN" w:eastAsia="zh-CN" w:bidi="ar"/>
        </w:rPr>
        <w:t>，</w:t>
      </w:r>
      <w:r>
        <w:rPr>
          <w:rFonts w:hint="eastAsia" w:ascii="仿宋" w:hAnsi="仿宋" w:eastAsia="仿宋" w:cs="仿宋"/>
          <w:b w:val="0"/>
          <w:bCs w:val="0"/>
          <w:color w:val="262626"/>
          <w:kern w:val="2"/>
          <w:sz w:val="32"/>
          <w:szCs w:val="32"/>
          <w:lang w:val="en-US" w:eastAsia="zh-CN" w:bidi="ar"/>
        </w:rPr>
        <w:t>完成既定计划投资</w:t>
      </w:r>
      <w:r>
        <w:rPr>
          <w:rFonts w:hint="eastAsia" w:ascii="仿宋" w:hAnsi="仿宋" w:eastAsia="仿宋" w:cs="仿宋"/>
          <w:b w:val="0"/>
          <w:bCs w:val="0"/>
          <w:color w:val="262626"/>
          <w:kern w:val="2"/>
          <w:sz w:val="32"/>
          <w:szCs w:val="32"/>
          <w:lang w:val="zh-CN"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outlineLvl w:val="9"/>
        <w:rPr>
          <w:rFonts w:hint="eastAsia" w:ascii="仿宋" w:hAnsi="仿宋" w:eastAsia="仿宋" w:cs="仿宋"/>
          <w:b w:val="0"/>
          <w:bCs w:val="0"/>
          <w:color w:val="262626"/>
          <w:kern w:val="2"/>
          <w:sz w:val="32"/>
          <w:szCs w:val="32"/>
          <w:lang w:val="zh-CN" w:eastAsia="zh-CN" w:bidi="ar"/>
        </w:rPr>
      </w:pPr>
      <w:r>
        <w:rPr>
          <w:rFonts w:hint="eastAsia" w:ascii="仿宋" w:hAnsi="仿宋" w:eastAsia="仿宋" w:cs="仿宋"/>
          <w:b/>
          <w:bCs/>
          <w:color w:val="262626"/>
          <w:kern w:val="2"/>
          <w:sz w:val="32"/>
          <w:szCs w:val="32"/>
          <w:lang w:val="zh-CN" w:eastAsia="zh-CN" w:bidi="ar"/>
        </w:rPr>
        <w:t>（二）目标质量完成情况</w:t>
      </w:r>
      <w:r>
        <w:rPr>
          <w:rFonts w:hint="eastAsia" w:ascii="仿宋" w:hAnsi="仿宋" w:eastAsia="仿宋" w:cs="仿宋"/>
          <w:b w:val="0"/>
          <w:bCs w:val="0"/>
          <w:color w:val="262626"/>
          <w:kern w:val="2"/>
          <w:sz w:val="32"/>
          <w:szCs w:val="32"/>
          <w:lang w:val="zh-CN"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outlineLvl w:val="9"/>
        <w:rPr>
          <w:rFonts w:hint="eastAsia" w:ascii="仿宋" w:hAnsi="仿宋" w:eastAsia="仿宋" w:cs="仿宋"/>
          <w:b w:val="0"/>
          <w:bCs w:val="0"/>
          <w:color w:val="262626"/>
          <w:kern w:val="2"/>
          <w:sz w:val="32"/>
          <w:szCs w:val="32"/>
          <w:lang w:val="zh-CN" w:eastAsia="zh-CN" w:bidi="ar"/>
        </w:rPr>
      </w:pPr>
      <w:r>
        <w:rPr>
          <w:rFonts w:hint="eastAsia" w:ascii="仿宋" w:hAnsi="仿宋" w:eastAsia="仿宋" w:cs="仿宋"/>
          <w:b w:val="0"/>
          <w:bCs w:val="0"/>
          <w:color w:val="262626"/>
          <w:kern w:val="2"/>
          <w:sz w:val="32"/>
          <w:szCs w:val="32"/>
          <w:lang w:val="en-US" w:eastAsia="zh-CN" w:bidi="ar"/>
        </w:rPr>
        <w:t>农村危房改造项目</w:t>
      </w:r>
      <w:r>
        <w:rPr>
          <w:rFonts w:hint="eastAsia" w:ascii="仿宋" w:hAnsi="仿宋" w:eastAsia="仿宋" w:cs="仿宋"/>
          <w:b w:val="0"/>
          <w:bCs w:val="0"/>
          <w:color w:val="262626"/>
          <w:kern w:val="2"/>
          <w:sz w:val="32"/>
          <w:szCs w:val="32"/>
          <w:lang w:val="zh-CN" w:eastAsia="zh-CN" w:bidi="ar"/>
        </w:rPr>
        <w:t>对照项目计划目标，全部高质量完成。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outlineLvl w:val="9"/>
        <w:rPr>
          <w:rFonts w:hint="eastAsia" w:ascii="仿宋" w:hAnsi="仿宋" w:eastAsia="仿宋" w:cs="仿宋"/>
          <w:b w:val="0"/>
          <w:bCs w:val="0"/>
          <w:color w:val="262626"/>
          <w:kern w:val="2"/>
          <w:sz w:val="32"/>
          <w:szCs w:val="32"/>
          <w:lang w:val="zh-CN" w:eastAsia="zh-CN" w:bidi="ar"/>
        </w:rPr>
      </w:pPr>
      <w:r>
        <w:rPr>
          <w:rFonts w:hint="eastAsia" w:ascii="仿宋" w:hAnsi="仿宋" w:eastAsia="仿宋" w:cs="仿宋"/>
          <w:b/>
          <w:bCs/>
          <w:color w:val="262626"/>
          <w:kern w:val="2"/>
          <w:sz w:val="32"/>
          <w:szCs w:val="32"/>
          <w:lang w:val="zh-CN" w:eastAsia="zh-CN" w:bidi="ar"/>
        </w:rPr>
        <w:t>（三）目标进度完成情况</w:t>
      </w:r>
      <w:r>
        <w:rPr>
          <w:rFonts w:hint="eastAsia" w:ascii="仿宋" w:hAnsi="仿宋" w:eastAsia="仿宋" w:cs="仿宋"/>
          <w:b w:val="0"/>
          <w:bCs w:val="0"/>
          <w:color w:val="262626"/>
          <w:kern w:val="2"/>
          <w:sz w:val="32"/>
          <w:szCs w:val="32"/>
          <w:lang w:val="zh-CN"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outlineLvl w:val="9"/>
        <w:rPr>
          <w:rFonts w:hint="eastAsia" w:ascii="仿宋" w:hAnsi="仿宋" w:eastAsia="仿宋" w:cs="仿宋"/>
          <w:b w:val="0"/>
          <w:bCs w:val="0"/>
          <w:color w:val="262626"/>
          <w:kern w:val="2"/>
          <w:sz w:val="32"/>
          <w:szCs w:val="32"/>
          <w:lang w:val="zh-CN" w:eastAsia="zh-CN" w:bidi="ar"/>
        </w:rPr>
      </w:pPr>
      <w:r>
        <w:rPr>
          <w:rFonts w:hint="eastAsia" w:ascii="仿宋" w:hAnsi="仿宋" w:eastAsia="仿宋" w:cs="仿宋"/>
          <w:b w:val="0"/>
          <w:bCs w:val="0"/>
          <w:color w:val="262626"/>
          <w:kern w:val="2"/>
          <w:sz w:val="32"/>
          <w:szCs w:val="32"/>
          <w:lang w:val="zh-CN" w:eastAsia="zh-CN" w:bidi="ar"/>
        </w:rPr>
        <w:t>此项目对照预定进度计划已按期完成。</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黑体" w:hAnsi="黑体" w:eastAsia="黑体" w:cs="黑体"/>
          <w:color w:val="333333"/>
          <w:kern w:val="2"/>
          <w:sz w:val="32"/>
          <w:szCs w:val="32"/>
          <w:lang w:val="en-US" w:eastAsia="zh-CN" w:bidi="ar"/>
        </w:rPr>
      </w:pPr>
      <w:r>
        <w:rPr>
          <w:rFonts w:hint="eastAsia" w:ascii="黑体" w:hAnsi="黑体" w:eastAsia="黑体" w:cs="黑体"/>
          <w:color w:val="333333"/>
          <w:kern w:val="2"/>
          <w:sz w:val="32"/>
          <w:szCs w:val="32"/>
          <w:lang w:val="en-US" w:eastAsia="zh-CN" w:bidi="ar"/>
        </w:rPr>
        <w:t>项目效益情况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楷体" w:hAnsi="楷体" w:eastAsia="楷体" w:cs="楷体"/>
          <w:b/>
          <w:bCs/>
          <w:sz w:val="32"/>
          <w:szCs w:val="32"/>
        </w:rPr>
      </w:pPr>
      <w:r>
        <w:rPr>
          <w:rFonts w:hint="eastAsia" w:ascii="黑体" w:hAnsi="黑体" w:eastAsia="黑体" w:cs="黑体"/>
          <w:color w:val="333333"/>
          <w:kern w:val="2"/>
          <w:sz w:val="32"/>
          <w:szCs w:val="32"/>
          <w:lang w:val="en-US" w:eastAsia="zh-CN" w:bidi="ar"/>
        </w:rPr>
        <w:t xml:space="preserve">   </w:t>
      </w:r>
      <w:r>
        <w:rPr>
          <w:rFonts w:hint="eastAsia" w:ascii="楷体" w:hAnsi="楷体" w:eastAsia="楷体" w:cs="楷体"/>
          <w:b/>
          <w:bCs/>
          <w:color w:val="333333"/>
          <w:kern w:val="2"/>
          <w:sz w:val="32"/>
          <w:szCs w:val="32"/>
          <w:lang w:val="en-US" w:eastAsia="zh-CN" w:bidi="ar"/>
        </w:rPr>
        <w:t>（一）完成情况分析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 w:hAnsi="仿宋" w:eastAsia="仿宋" w:cs="仿宋"/>
          <w:sz w:val="32"/>
          <w:szCs w:val="32"/>
          <w:lang w:val="en-US"/>
        </w:rPr>
      </w:pPr>
      <w:r>
        <w:rPr>
          <w:rFonts w:hint="eastAsia" w:ascii="仿宋" w:hAnsi="仿宋" w:eastAsia="仿宋" w:cs="仿宋"/>
          <w:color w:val="333333"/>
          <w:kern w:val="2"/>
          <w:sz w:val="32"/>
          <w:szCs w:val="32"/>
          <w:lang w:val="en-US" w:eastAsia="zh-CN" w:bidi="ar"/>
        </w:rPr>
        <w:t>我镇2021年农村危房改造项目绩效情况总体较好，按年初预期目标完成了相关的基础设施建设和农村危旧住房环境的改善。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楷体" w:hAnsi="楷体" w:eastAsia="楷体" w:cs="楷体"/>
          <w:b/>
          <w:bCs/>
          <w:sz w:val="32"/>
          <w:szCs w:val="32"/>
        </w:rPr>
      </w:pPr>
      <w:r>
        <w:rPr>
          <w:rFonts w:hint="eastAsia" w:ascii="宋体" w:hAnsi="宋体" w:eastAsia="宋体" w:cs="宋体"/>
          <w:color w:val="333333"/>
          <w:kern w:val="2"/>
          <w:sz w:val="21"/>
          <w:szCs w:val="21"/>
          <w:lang w:val="en-US" w:eastAsia="zh-CN" w:bidi="ar"/>
        </w:rPr>
        <w:t xml:space="preserve"> </w:t>
      </w:r>
      <w:r>
        <w:rPr>
          <w:rFonts w:hint="eastAsia" w:ascii="楷体" w:hAnsi="楷体" w:eastAsia="楷体" w:cs="楷体"/>
          <w:b/>
          <w:bCs/>
          <w:color w:val="333333"/>
          <w:kern w:val="2"/>
          <w:sz w:val="32"/>
          <w:szCs w:val="32"/>
          <w:lang w:val="en-US" w:eastAsia="zh-CN" w:bidi="ar"/>
        </w:rPr>
        <w:t xml:space="preserve">   （二）有效性分析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黑体" w:hAnsi="黑体" w:eastAsia="黑体" w:cs="黑体"/>
          <w:sz w:val="32"/>
          <w:szCs w:val="32"/>
          <w:lang w:val="en-US"/>
        </w:rPr>
      </w:pPr>
      <w:r>
        <w:rPr>
          <w:rFonts w:hint="eastAsia" w:ascii="仿宋" w:hAnsi="仿宋" w:eastAsia="仿宋" w:cs="仿宋"/>
          <w:color w:val="333333"/>
          <w:kern w:val="2"/>
          <w:sz w:val="32"/>
          <w:szCs w:val="32"/>
          <w:lang w:val="en-US" w:eastAsia="zh-CN" w:bidi="ar"/>
        </w:rPr>
        <w:t>我镇较好地完成了2021年初设定的工作任务，各项工作得到有序开展。我镇本着国家和地方有关财政资金管理的要求，严格执行会计制度和财务制度，依法管理，确保专款专用，对专项使用范围的各类支出，严格规范费用的开支标准和审批权限，依法理财，保证账目真实、完整、规范。同时建立健全各项财务管理制度，并切实有效执行，杜绝违法违纪现象发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320" w:firstLineChars="100"/>
        <w:jc w:val="left"/>
        <w:textAlignment w:val="auto"/>
        <w:rPr>
          <w:rFonts w:hint="eastAsia" w:ascii="仿宋" w:hAnsi="仿宋" w:eastAsia="仿宋" w:cs="仿宋"/>
          <w:color w:val="333333"/>
          <w:kern w:val="2"/>
          <w:sz w:val="32"/>
          <w:szCs w:val="32"/>
          <w:lang w:val="en-US" w:eastAsia="zh-CN" w:bidi="ar"/>
        </w:rPr>
      </w:pPr>
      <w:r>
        <w:rPr>
          <w:rFonts w:hint="eastAsia" w:ascii="黑体" w:hAnsi="黑体" w:eastAsia="黑体" w:cs="黑体"/>
          <w:color w:val="333333"/>
          <w:kern w:val="2"/>
          <w:sz w:val="32"/>
          <w:szCs w:val="32"/>
          <w:lang w:val="en-US" w:eastAsia="zh-CN" w:bidi="ar"/>
        </w:rPr>
        <w:t xml:space="preserve"> </w:t>
      </w:r>
      <w:r>
        <w:rPr>
          <w:rFonts w:hint="eastAsia" w:ascii="黑体" w:hAnsi="黑体" w:eastAsia="黑体" w:cs="黑体"/>
          <w:sz w:val="32"/>
          <w:szCs w:val="32"/>
          <w:lang w:val="en-US" w:eastAsia="zh-CN"/>
        </w:rPr>
        <w:t>五、问题及建议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（一）存在的问题。一是公用经费过少，不能满足工作需要；二是无专项工作经费，致使项目工作实施难度大； 三是效益指标有待提高。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rPr>
          <w:rFonts w:hint="eastAsia"/>
          <w:color w:val="auto"/>
          <w:highlight w:val="none"/>
          <w:lang w:val="zh-CN"/>
        </w:rPr>
      </w:pPr>
      <w:r>
        <w:rPr>
          <w:rFonts w:hint="eastAsia" w:ascii="仿宋" w:hAnsi="仿宋" w:eastAsia="仿宋" w:cs="仿宋"/>
          <w:b w:val="0"/>
          <w:bCs w:val="0"/>
          <w:kern w:val="2"/>
          <w:sz w:val="32"/>
          <w:szCs w:val="32"/>
          <w:lang w:val="en-US" w:eastAsia="zh-CN" w:bidi="ar"/>
        </w:rPr>
        <w:t>（二）相关建议增加工作经费投入。</w:t>
      </w: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eastAsia="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3</w:t>
      </w:r>
    </w:p>
    <w:tbl>
      <w:tblPr>
        <w:tblStyle w:val="14"/>
        <w:tblW w:w="8640" w:type="dxa"/>
        <w:tblInd w:w="0" w:type="dxa"/>
        <w:shd w:val="clear" w:color="auto" w:fill="auto"/>
        <w:tblLayout w:type="fixed"/>
        <w:tblCellMar>
          <w:top w:w="0" w:type="dxa"/>
          <w:left w:w="0" w:type="dxa"/>
          <w:bottom w:w="0" w:type="dxa"/>
          <w:right w:w="0" w:type="dxa"/>
        </w:tblCellMar>
      </w:tblPr>
      <w:tblGrid>
        <w:gridCol w:w="342"/>
        <w:gridCol w:w="619"/>
        <w:gridCol w:w="831"/>
        <w:gridCol w:w="1792"/>
        <w:gridCol w:w="492"/>
        <w:gridCol w:w="676"/>
        <w:gridCol w:w="1067"/>
        <w:gridCol w:w="889"/>
        <w:gridCol w:w="556"/>
        <w:gridCol w:w="630"/>
        <w:gridCol w:w="746"/>
      </w:tblGrid>
      <w:tr>
        <w:tblPrEx>
          <w:shd w:val="clear" w:color="auto" w:fill="auto"/>
          <w:tblLayout w:type="fixed"/>
          <w:tblCellMar>
            <w:top w:w="0" w:type="dxa"/>
            <w:left w:w="0" w:type="dxa"/>
            <w:bottom w:w="0" w:type="dxa"/>
            <w:right w:w="0" w:type="dxa"/>
          </w:tblCellMar>
        </w:tblPrEx>
        <w:trPr>
          <w:trHeight w:val="405" w:hRule="atLeast"/>
        </w:trPr>
        <w:tc>
          <w:tcPr>
            <w:tcW w:w="864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唱歌镇农村危房改造绩效目标自评表 </w:t>
            </w:r>
          </w:p>
        </w:tc>
      </w:tr>
      <w:tr>
        <w:tblPrEx>
          <w:tblLayout w:type="fixed"/>
          <w:tblCellMar>
            <w:top w:w="0" w:type="dxa"/>
            <w:left w:w="0" w:type="dxa"/>
            <w:bottom w:w="0" w:type="dxa"/>
            <w:right w:w="0" w:type="dxa"/>
          </w:tblCellMar>
        </w:tblPrEx>
        <w:trPr>
          <w:trHeight w:val="208" w:hRule="atLeast"/>
        </w:trPr>
        <w:tc>
          <w:tcPr>
            <w:tcW w:w="864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Layout w:type="fixed"/>
          <w:tblCellMar>
            <w:top w:w="0" w:type="dxa"/>
            <w:left w:w="0" w:type="dxa"/>
            <w:bottom w:w="0" w:type="dxa"/>
            <w:right w:w="0" w:type="dxa"/>
          </w:tblCellMar>
        </w:tblPrEx>
        <w:trPr>
          <w:trHeight w:val="412" w:hRule="atLeast"/>
        </w:trPr>
        <w:tc>
          <w:tcPr>
            <w:tcW w:w="17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农村危房改造项目</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刘芝佐18282116813</w:t>
            </w:r>
          </w:p>
        </w:tc>
      </w:tr>
      <w:tr>
        <w:tblPrEx>
          <w:tblLayout w:type="fixed"/>
          <w:tblCellMar>
            <w:top w:w="0" w:type="dxa"/>
            <w:left w:w="0" w:type="dxa"/>
            <w:bottom w:w="0" w:type="dxa"/>
            <w:right w:w="0" w:type="dxa"/>
          </w:tblCellMar>
        </w:tblPrEx>
        <w:trPr>
          <w:trHeight w:val="214" w:hRule="atLeast"/>
        </w:trPr>
        <w:tc>
          <w:tcPr>
            <w:tcW w:w="17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通江县住建局</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通江县唱歌镇人民政府</w:t>
            </w:r>
          </w:p>
        </w:tc>
      </w:tr>
      <w:tr>
        <w:tblPrEx>
          <w:tblLayout w:type="fixed"/>
          <w:tblCellMar>
            <w:top w:w="0" w:type="dxa"/>
            <w:left w:w="0" w:type="dxa"/>
            <w:bottom w:w="0" w:type="dxa"/>
            <w:right w:w="0" w:type="dxa"/>
          </w:tblCellMar>
        </w:tblPrEx>
        <w:trPr>
          <w:trHeight w:val="412" w:hRule="atLeast"/>
        </w:trPr>
        <w:tc>
          <w:tcPr>
            <w:tcW w:w="179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B/A)</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214" w:hRule="atLeast"/>
        </w:trPr>
        <w:tc>
          <w:tcPr>
            <w:tcW w:w="17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566.45</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566.45</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2" w:hRule="atLeast"/>
        </w:trPr>
        <w:tc>
          <w:tcPr>
            <w:tcW w:w="17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2"/>
                <w:lang w:val="en-US" w:eastAsia="zh-CN" w:bidi="ar"/>
              </w:rPr>
              <w:t xml:space="preserve"> 其中：本年财政拨款</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566.45</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566.45</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214" w:hRule="atLeast"/>
        </w:trPr>
        <w:tc>
          <w:tcPr>
            <w:tcW w:w="17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2"/>
                <w:lang w:val="en-US" w:eastAsia="zh-CN" w:bidi="ar"/>
              </w:rPr>
              <w:t xml:space="preserve">       其他资金</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214"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989"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解决危房改造问题，使农户能够安全、放心地居住。</w:t>
            </w: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拨付资金解决危房改造问题，使农户能够安全、放心地居住。</w:t>
            </w:r>
          </w:p>
        </w:tc>
      </w:tr>
      <w:tr>
        <w:tblPrEx>
          <w:tblLayout w:type="fixed"/>
          <w:tblCellMar>
            <w:top w:w="0" w:type="dxa"/>
            <w:left w:w="0" w:type="dxa"/>
            <w:bottom w:w="0" w:type="dxa"/>
            <w:right w:w="0" w:type="dxa"/>
          </w:tblCellMar>
        </w:tblPrEx>
        <w:trPr>
          <w:trHeight w:val="412"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50分</w:t>
            </w:r>
            <w:r>
              <w:rPr>
                <w:rFonts w:hint="eastAsia" w:ascii="宋体" w:hAnsi="宋体" w:cs="宋体"/>
                <w:i w:val="0"/>
                <w:color w:val="000000"/>
                <w:kern w:val="0"/>
                <w:sz w:val="20"/>
                <w:szCs w:val="20"/>
                <w:u w:val="none"/>
                <w:lang w:val="en-US" w:eastAsia="zh-CN" w:bidi="ar"/>
              </w:rPr>
              <w:t>）</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补助到户危房改造数量</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建档立卡贫困户危房改造面积</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受益建档立卡贫困人口数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≥1200次</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改造后验收合格率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改造后房屋满足基本居住功能需要比例</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当年资金到位率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当年资金完成率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危房改造补助标准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危房改造设施成本</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30分</w:t>
            </w:r>
            <w:r>
              <w:rPr>
                <w:rFonts w:hint="eastAsia" w:ascii="宋体" w:hAnsi="宋体" w:cs="宋体"/>
                <w:i w:val="0"/>
                <w:color w:val="000000"/>
                <w:kern w:val="0"/>
                <w:sz w:val="20"/>
                <w:szCs w:val="20"/>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基层组织人均增收数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≥0.75</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1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改造后房屋在相当于本地区抗震设防烈度地震中表现</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无严重毁损</w:t>
            </w:r>
            <w:r>
              <w:rPr>
                <w:rFonts w:hint="eastAsia" w:ascii="宋体" w:hAnsi="宋体" w:cs="宋体"/>
                <w:i w:val="0"/>
                <w:color w:val="000000"/>
                <w:kern w:val="0"/>
                <w:sz w:val="20"/>
                <w:szCs w:val="20"/>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1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改造后房屋人畜分离、卫生厕所等基本卫生条件</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有基本保障</w:t>
            </w:r>
            <w:r>
              <w:rPr>
                <w:rFonts w:hint="eastAsia" w:ascii="宋体" w:hAnsi="宋体" w:cs="宋体"/>
                <w:i w:val="0"/>
                <w:color w:val="000000"/>
                <w:kern w:val="0"/>
                <w:sz w:val="20"/>
                <w:szCs w:val="20"/>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建档立卡贫困户危房居住比例</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比去年下降</w:t>
            </w:r>
            <w:r>
              <w:rPr>
                <w:rFonts w:hint="eastAsia" w:ascii="宋体" w:hAnsi="宋体" w:cs="宋体"/>
                <w:i w:val="0"/>
                <w:color w:val="000000"/>
                <w:kern w:val="0"/>
                <w:sz w:val="20"/>
                <w:szCs w:val="20"/>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带动建档立卡贫困人口脱贫数（≥**人）</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3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改造后房屋保证安全期限</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项目持续发挥作用的期限</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05"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10分</w:t>
            </w:r>
            <w:r>
              <w:rPr>
                <w:rFonts w:hint="eastAsia" w:ascii="宋体" w:hAnsi="宋体" w:cs="宋体"/>
                <w:i w:val="0"/>
                <w:color w:val="000000"/>
                <w:kern w:val="0"/>
                <w:sz w:val="20"/>
                <w:szCs w:val="20"/>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受益建档立卡贫困人口满意度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407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val="0"/>
          <w:sz w:val="44"/>
          <w:szCs w:val="44"/>
          <w:lang w:eastAsia="zh-CN"/>
        </w:rPr>
      </w:pPr>
    </w:p>
    <w:p>
      <w:pPr>
        <w:pStyle w:val="35"/>
        <w:keepNext w:val="0"/>
        <w:keepLines w:val="0"/>
        <w:pageBreakBefore w:val="0"/>
        <w:widowControl w:val="0"/>
        <w:kinsoku/>
        <w:wordWrap/>
        <w:overflowPunct/>
        <w:topLinePunct w:val="0"/>
        <w:autoSpaceDE/>
        <w:autoSpaceDN/>
        <w:bidi w:val="0"/>
        <w:spacing w:line="576" w:lineRule="exact"/>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附件</w:t>
      </w:r>
      <w:r>
        <w:rPr>
          <w:rFonts w:hint="eastAsia" w:ascii="仿宋_GB2312" w:hAnsi="宋体" w:eastAsia="仿宋_GB2312" w:cs="宋体"/>
          <w:color w:val="auto"/>
          <w:kern w:val="0"/>
          <w:sz w:val="32"/>
          <w:szCs w:val="32"/>
          <w:highlight w:val="none"/>
          <w:shd w:val="clear" w:color="auto" w:fill="FFFFFF"/>
          <w:lang w:val="en-US" w:eastAsia="zh-CN" w:bidi="ar-SA"/>
        </w:rPr>
        <w:t>4</w:t>
      </w: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通江县唱歌镇人民政府</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易地扶贫搬迁集中安置区后续扶持</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项目支出绩效评价自评报告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b w:val="0"/>
          <w:bCs/>
          <w:sz w:val="32"/>
          <w:szCs w:val="32"/>
          <w:lang w:val="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为进一步规范财政资金管理，牢固树立预算绩效理念，强化支出责任，提高财政资金使用效益，结合我镇实际情况，认真组织开展了20</w:t>
      </w:r>
      <w:r>
        <w:rPr>
          <w:rFonts w:hint="eastAsia" w:ascii="仿宋_GB2312" w:hAnsi="宋体" w:eastAsia="仿宋_GB2312" w:cs="Times New Roman"/>
          <w:color w:val="auto"/>
          <w:sz w:val="32"/>
          <w:szCs w:val="32"/>
          <w:highlight w:val="none"/>
          <w:lang w:val="en-US" w:eastAsia="zh-CN"/>
        </w:rPr>
        <w:t>21</w:t>
      </w:r>
      <w:r>
        <w:rPr>
          <w:rFonts w:hint="eastAsia" w:ascii="仿宋_GB2312" w:hAnsi="宋体" w:eastAsia="仿宋_GB2312" w:cs="Times New Roman"/>
          <w:color w:val="auto"/>
          <w:sz w:val="32"/>
          <w:szCs w:val="32"/>
          <w:highlight w:val="none"/>
          <w:lang w:val="zh-CN"/>
        </w:rPr>
        <w:t>年易地扶贫搬迁集中安置区后续扶持资金项目预算绩效自评工作，现将20</w:t>
      </w:r>
      <w:r>
        <w:rPr>
          <w:rFonts w:hint="eastAsia" w:ascii="仿宋_GB2312" w:hAnsi="宋体" w:eastAsia="仿宋_GB2312" w:cs="Times New Roman"/>
          <w:color w:val="auto"/>
          <w:sz w:val="32"/>
          <w:szCs w:val="32"/>
          <w:highlight w:val="none"/>
          <w:lang w:val="en-US" w:eastAsia="zh-CN"/>
        </w:rPr>
        <w:t>21</w:t>
      </w:r>
      <w:r>
        <w:rPr>
          <w:rFonts w:hint="eastAsia" w:ascii="仿宋_GB2312" w:hAnsi="宋体" w:eastAsia="仿宋_GB2312" w:cs="Times New Roman"/>
          <w:color w:val="auto"/>
          <w:sz w:val="32"/>
          <w:szCs w:val="32"/>
          <w:highlight w:val="none"/>
          <w:lang w:val="zh-CN"/>
        </w:rPr>
        <w:t xml:space="preserve">年度易地扶贫搬迁集中安置区后续扶持项目绩效评价情况汇报如下：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en-US" w:eastAsia="zh-CN"/>
        </w:rPr>
      </w:pPr>
      <w:r>
        <w:rPr>
          <w:rFonts w:hint="eastAsia" w:ascii="仿宋_GB2312" w:hAnsi="宋体" w:eastAsia="仿宋_GB2312" w:cs="Times New Roman"/>
          <w:b/>
          <w:bCs/>
          <w:color w:val="auto"/>
          <w:sz w:val="32"/>
          <w:szCs w:val="32"/>
          <w:highlight w:val="none"/>
          <w:lang w:val="zh-CN"/>
        </w:rPr>
        <w:t>一、</w:t>
      </w:r>
      <w:r>
        <w:rPr>
          <w:rFonts w:hint="eastAsia" w:ascii="仿宋_GB2312" w:hAnsi="宋体" w:eastAsia="仿宋_GB2312" w:cs="Times New Roman"/>
          <w:b/>
          <w:bCs/>
          <w:color w:val="auto"/>
          <w:sz w:val="32"/>
          <w:szCs w:val="32"/>
          <w:highlight w:val="none"/>
          <w:lang w:val="zh-CN" w:eastAsia="zh-CN"/>
        </w:rPr>
        <w:t>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（一）项目资金申报情况</w:t>
      </w:r>
      <w:r>
        <w:rPr>
          <w:rFonts w:hint="eastAsia" w:ascii="仿宋_GB2312" w:hAnsi="宋体" w:eastAsia="仿宋_GB2312" w:cs="Times New Roman"/>
          <w:color w:val="auto"/>
          <w:sz w:val="32"/>
          <w:szCs w:val="32"/>
          <w:highlight w:val="none"/>
          <w:lang w:val="zh-CN"/>
        </w:rPr>
        <w:t>。</w:t>
      </w:r>
      <w:r>
        <w:rPr>
          <w:rFonts w:hint="eastAsia" w:ascii="仿宋_GB2312" w:hAnsi="宋体" w:eastAsia="仿宋_GB2312" w:cs="Times New Roman"/>
          <w:color w:val="auto"/>
          <w:sz w:val="32"/>
          <w:szCs w:val="32"/>
          <w:highlight w:val="none"/>
          <w:lang w:val="zh-CN" w:eastAsia="zh-CN"/>
        </w:rPr>
        <w:t>唱歌镇</w:t>
      </w:r>
      <w:r>
        <w:rPr>
          <w:rFonts w:hint="eastAsia" w:ascii="仿宋_GB2312" w:hAnsi="宋体" w:eastAsia="仿宋_GB2312" w:cs="Times New Roman"/>
          <w:color w:val="auto"/>
          <w:sz w:val="32"/>
          <w:szCs w:val="32"/>
          <w:highlight w:val="none"/>
          <w:lang w:val="en-US" w:eastAsia="zh-CN"/>
        </w:rPr>
        <w:t>2021年易地扶贫搬迁集中安置区后续扶持</w:t>
      </w:r>
      <w:r>
        <w:rPr>
          <w:rFonts w:hint="eastAsia" w:ascii="仿宋_GB2312" w:hAnsi="宋体" w:eastAsia="仿宋_GB2312" w:cs="Times New Roman"/>
          <w:color w:val="auto"/>
          <w:sz w:val="32"/>
          <w:szCs w:val="32"/>
          <w:highlight w:val="none"/>
          <w:lang w:val="zh-CN" w:eastAsia="zh-CN"/>
        </w:rPr>
        <w:t>项目资金</w:t>
      </w:r>
      <w:r>
        <w:rPr>
          <w:rFonts w:hint="eastAsia" w:ascii="仿宋_GB2312" w:hAnsi="宋体" w:eastAsia="仿宋_GB2312" w:cs="Times New Roman"/>
          <w:color w:val="auto"/>
          <w:sz w:val="32"/>
          <w:szCs w:val="32"/>
          <w:highlight w:val="none"/>
          <w:lang w:val="zh-CN"/>
        </w:rPr>
        <w:t>总预算</w:t>
      </w:r>
      <w:r>
        <w:rPr>
          <w:rFonts w:hint="eastAsia" w:ascii="仿宋_GB2312" w:hAnsi="宋体" w:eastAsia="仿宋_GB2312" w:cs="Times New Roman"/>
          <w:color w:val="auto"/>
          <w:sz w:val="32"/>
          <w:szCs w:val="32"/>
          <w:highlight w:val="none"/>
          <w:lang w:val="en-US" w:eastAsia="zh-CN"/>
        </w:rPr>
        <w:t>71.7万元，根据通财农〔2021〕21号资金下达文件要求，唱歌镇人民政府按照要求进行项目落实，</w:t>
      </w:r>
      <w:r>
        <w:rPr>
          <w:rFonts w:hint="eastAsia" w:ascii="仿宋_GB2312" w:hAnsi="宋体" w:eastAsia="仿宋_GB2312" w:cs="Times New Roman"/>
          <w:color w:val="auto"/>
          <w:sz w:val="32"/>
          <w:szCs w:val="32"/>
          <w:highlight w:val="none"/>
          <w:lang w:val="zh-CN"/>
        </w:rPr>
        <w:t>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（二）项目绩效目标</w:t>
      </w:r>
      <w:r>
        <w:rPr>
          <w:rFonts w:hint="eastAsia" w:ascii="仿宋_GB2312" w:hAnsi="宋体" w:eastAsia="仿宋_GB2312" w:cs="Times New Roman"/>
          <w:color w:val="auto"/>
          <w:sz w:val="32"/>
          <w:szCs w:val="32"/>
          <w:highlight w:val="none"/>
          <w:lang w:val="zh-CN"/>
        </w:rPr>
        <w:t>。全年完成</w:t>
      </w:r>
      <w:r>
        <w:rPr>
          <w:rFonts w:hint="eastAsia" w:ascii="仿宋_GB2312" w:hAnsi="宋体" w:eastAsia="仿宋_GB2312" w:cs="Times New Roman"/>
          <w:color w:val="auto"/>
          <w:sz w:val="32"/>
          <w:szCs w:val="32"/>
          <w:highlight w:val="none"/>
          <w:lang w:val="en-US" w:eastAsia="zh-CN"/>
        </w:rPr>
        <w:t>193</w:t>
      </w:r>
      <w:r>
        <w:rPr>
          <w:rFonts w:hint="eastAsia" w:ascii="仿宋_GB2312" w:hAnsi="宋体" w:eastAsia="仿宋_GB2312" w:cs="Times New Roman"/>
          <w:color w:val="auto"/>
          <w:sz w:val="32"/>
          <w:szCs w:val="32"/>
          <w:highlight w:val="none"/>
          <w:lang w:val="zh-CN"/>
        </w:rPr>
        <w:t>户</w:t>
      </w:r>
      <w:r>
        <w:rPr>
          <w:rFonts w:hint="eastAsia" w:ascii="仿宋_GB2312" w:hAnsi="宋体" w:eastAsia="仿宋_GB2312" w:cs="Times New Roman"/>
          <w:color w:val="auto"/>
          <w:sz w:val="32"/>
          <w:szCs w:val="32"/>
          <w:highlight w:val="none"/>
          <w:lang w:val="en-US" w:eastAsia="zh-CN"/>
        </w:rPr>
        <w:t>710人易地扶贫搬迁集中安置</w:t>
      </w:r>
      <w:r>
        <w:rPr>
          <w:rFonts w:hint="eastAsia" w:ascii="仿宋_GB2312" w:hAnsi="宋体" w:eastAsia="仿宋_GB2312" w:cs="Times New Roman"/>
          <w:color w:val="auto"/>
          <w:sz w:val="32"/>
          <w:szCs w:val="32"/>
          <w:highlight w:val="none"/>
          <w:lang w:val="zh-CN"/>
        </w:rPr>
        <w:t>户产业扶持（含外出务工）奖补和集中安置区公益岗位就业支持</w:t>
      </w:r>
      <w:r>
        <w:rPr>
          <w:rFonts w:hint="eastAsia" w:ascii="仿宋_GB2312" w:hAnsi="宋体" w:eastAsia="仿宋_GB2312" w:cs="Times New Roman"/>
          <w:color w:val="auto"/>
          <w:sz w:val="32"/>
          <w:szCs w:val="32"/>
          <w:highlight w:val="none"/>
          <w:lang w:val="en-US" w:eastAsia="zh-CN"/>
        </w:rPr>
        <w:t>，</w:t>
      </w:r>
      <w:r>
        <w:rPr>
          <w:rFonts w:hint="eastAsia" w:ascii="仿宋_GB2312" w:hAnsi="宋体" w:eastAsia="仿宋_GB2312" w:cs="Times New Roman"/>
          <w:color w:val="auto"/>
          <w:sz w:val="32"/>
          <w:szCs w:val="32"/>
          <w:highlight w:val="none"/>
          <w:lang w:val="zh-CN"/>
        </w:rPr>
        <w:t>计划于</w:t>
      </w:r>
      <w:r>
        <w:rPr>
          <w:rFonts w:hint="eastAsia" w:ascii="仿宋_GB2312" w:hAnsi="宋体" w:eastAsia="仿宋_GB2312" w:cs="Times New Roman"/>
          <w:color w:val="auto"/>
          <w:sz w:val="32"/>
          <w:szCs w:val="32"/>
          <w:highlight w:val="none"/>
          <w:lang w:val="en-US" w:eastAsia="zh-CN"/>
        </w:rPr>
        <w:t>2021年11月完成项目</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（三）项目资金申报相符性</w:t>
      </w:r>
      <w:r>
        <w:rPr>
          <w:rFonts w:hint="eastAsia" w:ascii="仿宋_GB2312" w:hAnsi="宋体" w:eastAsia="仿宋_GB2312" w:cs="Times New Roman"/>
          <w:color w:val="auto"/>
          <w:sz w:val="32"/>
          <w:szCs w:val="32"/>
          <w:highlight w:val="none"/>
          <w:lang w:val="zh-CN"/>
        </w:rPr>
        <w:t>。该项目申报内容与具体实施内容相符，申报目标合理可行。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二、</w:t>
      </w:r>
      <w:r>
        <w:rPr>
          <w:rFonts w:hint="eastAsia" w:ascii="仿宋_GB2312" w:hAnsi="宋体" w:eastAsia="仿宋_GB2312" w:cs="Times New Roman"/>
          <w:b/>
          <w:bCs/>
          <w:color w:val="auto"/>
          <w:sz w:val="32"/>
          <w:szCs w:val="32"/>
          <w:highlight w:val="none"/>
          <w:lang w:val="zh-CN" w:eastAsia="zh-CN"/>
        </w:rPr>
        <w:t>资金使用</w:t>
      </w:r>
      <w:r>
        <w:rPr>
          <w:rFonts w:hint="eastAsia" w:ascii="仿宋_GB2312" w:hAnsi="宋体" w:eastAsia="仿宋_GB2312" w:cs="Times New Roman"/>
          <w:b/>
          <w:bCs/>
          <w:color w:val="auto"/>
          <w:sz w:val="32"/>
          <w:szCs w:val="32"/>
          <w:highlight w:val="none"/>
          <w:lang w:val="zh-CN"/>
        </w:rPr>
        <w:t>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（一）资金使用情况。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1、资金计划及到位。县财政局下达</w:t>
      </w:r>
      <w:r>
        <w:rPr>
          <w:rFonts w:hint="eastAsia" w:ascii="仿宋_GB2312" w:hAnsi="宋体" w:eastAsia="仿宋_GB2312" w:cs="Times New Roman"/>
          <w:color w:val="auto"/>
          <w:sz w:val="32"/>
          <w:szCs w:val="32"/>
          <w:highlight w:val="none"/>
          <w:lang w:val="en-US" w:eastAsia="zh-CN"/>
        </w:rPr>
        <w:t>2021年易地扶贫搬迁集中安置区后续扶持</w:t>
      </w:r>
      <w:r>
        <w:rPr>
          <w:rFonts w:hint="eastAsia" w:ascii="仿宋_GB2312" w:hAnsi="宋体" w:eastAsia="仿宋_GB2312" w:cs="Times New Roman"/>
          <w:color w:val="auto"/>
          <w:sz w:val="32"/>
          <w:szCs w:val="32"/>
          <w:highlight w:val="none"/>
          <w:lang w:val="zh-CN" w:eastAsia="zh-CN"/>
        </w:rPr>
        <w:t>项目</w:t>
      </w:r>
      <w:r>
        <w:rPr>
          <w:rFonts w:hint="eastAsia" w:ascii="仿宋_GB2312" w:hAnsi="宋体" w:eastAsia="仿宋_GB2312" w:cs="Times New Roman"/>
          <w:color w:val="auto"/>
          <w:sz w:val="32"/>
          <w:szCs w:val="32"/>
          <w:highlight w:val="none"/>
          <w:lang w:val="zh-CN"/>
        </w:rPr>
        <w:t>总预算</w:t>
      </w:r>
      <w:r>
        <w:rPr>
          <w:rFonts w:hint="eastAsia" w:ascii="仿宋_GB2312" w:hAnsi="宋体" w:eastAsia="仿宋_GB2312" w:cs="Times New Roman"/>
          <w:color w:val="auto"/>
          <w:sz w:val="32"/>
          <w:szCs w:val="32"/>
          <w:highlight w:val="none"/>
          <w:lang w:val="en-US" w:eastAsia="zh-CN"/>
        </w:rPr>
        <w:t>71.7万元</w:t>
      </w:r>
      <w:r>
        <w:rPr>
          <w:rFonts w:hint="eastAsia" w:ascii="仿宋_GB2312" w:hAnsi="宋体" w:eastAsia="仿宋_GB2312" w:cs="Times New Roman"/>
          <w:color w:val="auto"/>
          <w:sz w:val="32"/>
          <w:szCs w:val="32"/>
          <w:highlight w:val="none"/>
          <w:lang w:val="zh-CN"/>
        </w:rPr>
        <w:t>至唱歌镇财政专户</w:t>
      </w:r>
      <w:r>
        <w:rPr>
          <w:rFonts w:hint="eastAsia" w:ascii="仿宋_GB2312" w:hAnsi="宋体"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2、资金使用情况。截至</w:t>
      </w:r>
      <w:r>
        <w:rPr>
          <w:rFonts w:hint="eastAsia" w:ascii="仿宋_GB2312" w:hAnsi="宋体" w:eastAsia="仿宋_GB2312" w:cs="Times New Roman"/>
          <w:color w:val="auto"/>
          <w:sz w:val="32"/>
          <w:szCs w:val="32"/>
          <w:highlight w:val="none"/>
          <w:lang w:val="en-US" w:eastAsia="zh-CN"/>
        </w:rPr>
        <w:t>评价时点，后续扶持资金</w:t>
      </w:r>
      <w:r>
        <w:rPr>
          <w:rFonts w:hint="eastAsia" w:ascii="仿宋_GB2312" w:hAnsi="宋体" w:eastAsia="仿宋_GB2312" w:cs="Times New Roman"/>
          <w:color w:val="auto"/>
          <w:sz w:val="32"/>
          <w:szCs w:val="32"/>
          <w:highlight w:val="none"/>
          <w:lang w:val="zh-CN" w:eastAsia="zh-CN"/>
        </w:rPr>
        <w:t>项目</w:t>
      </w:r>
      <w:r>
        <w:rPr>
          <w:rFonts w:hint="eastAsia" w:ascii="仿宋_GB2312" w:hAnsi="宋体" w:eastAsia="仿宋_GB2312" w:cs="Times New Roman"/>
          <w:color w:val="auto"/>
          <w:sz w:val="32"/>
          <w:szCs w:val="32"/>
          <w:highlight w:val="none"/>
          <w:lang w:val="en-US" w:eastAsia="zh-CN"/>
        </w:rPr>
        <w:t>已支付资金71.7万元。产业扶持支付标准按照搬迁户每人500—800元支付，人均支付不超过700元，支付程序及依据合规合法，资金支付与预算相符</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（二）项目组织实施情况</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eastAsia="zh-CN"/>
        </w:rPr>
        <w:t>唱歌镇党委政府高度重视，成立了以党委书记余波为组长、镇长刘芝佐为副组长、其他领导班子及相关部门负责人为成员的唱歌镇乡村振兴项目领导小组，组织实施唱歌镇易地扶贫搬迁集中安置区后续扶持项目建设。领导小组从项目组织架构及实施流程、管理、监管的全方面把控项目质量，以确保项目能够保质保量地完成。按照相关规定，依法依规落实，经公示无异议后，确定将搬迁群众后续扶持产业发展资金和公益岗位补助资金兑现给搬迁户，项目实施前后均按照程序进行公示公告</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三、目标完成情况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（一）目标任务量完成情况</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eastAsia="zh-CN"/>
        </w:rPr>
        <w:t>易地扶贫搬迁集中安置区后续扶持资金中搬迁群众发展产业资金</w:t>
      </w:r>
      <w:r>
        <w:rPr>
          <w:rFonts w:hint="eastAsia" w:ascii="仿宋_GB2312" w:hAnsi="宋体" w:eastAsia="仿宋_GB2312" w:cs="Times New Roman"/>
          <w:color w:val="auto"/>
          <w:sz w:val="32"/>
          <w:szCs w:val="32"/>
          <w:highlight w:val="none"/>
          <w:lang w:val="zh-CN"/>
        </w:rPr>
        <w:t>按照多种多补、差异化奖补的原则，公益岗位按照集中安置点搬迁人口多少和工作任务轻重进行补助，严格对照县镇两级制定实施进度进行补贴，并于</w:t>
      </w:r>
      <w:r>
        <w:rPr>
          <w:rFonts w:hint="eastAsia" w:ascii="仿宋_GB2312" w:hAnsi="宋体" w:eastAsia="仿宋_GB2312" w:cs="Times New Roman"/>
          <w:color w:val="auto"/>
          <w:sz w:val="32"/>
          <w:szCs w:val="32"/>
          <w:highlight w:val="none"/>
          <w:lang w:val="en-US" w:eastAsia="zh-CN"/>
        </w:rPr>
        <w:t>2021年12月全面完成补助，完成既定计划投资</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（二）目标质量完成情况</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eastAsia="zh-CN"/>
        </w:rPr>
        <w:t>唱歌镇易地扶贫搬迁集中安置区后续扶持项目</w:t>
      </w:r>
      <w:r>
        <w:rPr>
          <w:rFonts w:hint="eastAsia" w:ascii="仿宋_GB2312" w:hAnsi="宋体" w:eastAsia="仿宋_GB2312" w:cs="Times New Roman"/>
          <w:color w:val="auto"/>
          <w:sz w:val="32"/>
          <w:szCs w:val="32"/>
          <w:highlight w:val="none"/>
          <w:lang w:val="zh-CN"/>
        </w:rPr>
        <w:t>对照项目计划目标，全部高质量完成。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（三）目标进度完成情况</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此项目对照预定进度计划已按期完成。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四、项目效益情况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eastAsia="zh-CN"/>
        </w:rPr>
        <w:t>唱歌镇易地扶贫搬迁集中安置区后续扶持项目绩效情况总体较好，按预期目标完成了相关建设任务，使得我镇</w:t>
      </w:r>
      <w:r>
        <w:rPr>
          <w:rFonts w:hint="eastAsia" w:ascii="仿宋_GB2312" w:hAnsi="宋体" w:eastAsia="仿宋_GB2312" w:cs="Times New Roman"/>
          <w:color w:val="auto"/>
          <w:sz w:val="32"/>
          <w:szCs w:val="32"/>
          <w:highlight w:val="none"/>
          <w:lang w:val="en-US" w:eastAsia="zh-CN"/>
        </w:rPr>
        <w:t>193户710人搬迁人口实现了产业发展和公益岗位补助全覆盖，实现搬迁人口人均增加收入700元以上，</w:t>
      </w:r>
      <w:r>
        <w:rPr>
          <w:rFonts w:hint="eastAsia" w:ascii="仿宋_GB2312" w:hAnsi="宋体" w:eastAsia="仿宋_GB2312" w:cs="Times New Roman"/>
          <w:color w:val="auto"/>
          <w:sz w:val="32"/>
          <w:szCs w:val="32"/>
          <w:highlight w:val="none"/>
          <w:lang w:val="zh-CN" w:eastAsia="zh-CN"/>
        </w:rPr>
        <w:t>为实现巩固拓展脱贫攻坚成果同乡村振兴有效衔接打下坚实基础，受益农户满意度均达到</w:t>
      </w:r>
      <w:r>
        <w:rPr>
          <w:rFonts w:hint="eastAsia" w:ascii="仿宋_GB2312" w:hAnsi="宋体" w:eastAsia="仿宋_GB2312" w:cs="Times New Roman"/>
          <w:color w:val="auto"/>
          <w:sz w:val="32"/>
          <w:szCs w:val="32"/>
          <w:highlight w:val="none"/>
          <w:lang w:val="en-US" w:eastAsia="zh-CN"/>
        </w:rPr>
        <w:t>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五、问题及建议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通过我镇、村开展自查，无问题及建议。</w:t>
      </w:r>
    </w:p>
    <w:p>
      <w:pPr>
        <w:widowControl/>
        <w:jc w:val="left"/>
        <w:rPr>
          <w:rStyle w:val="26"/>
          <w:rFonts w:ascii="黑体" w:hAnsi="黑体" w:eastAsia="黑体"/>
          <w:b w:val="0"/>
          <w:color w:val="auto"/>
          <w:highlight w:val="none"/>
        </w:rPr>
      </w:pPr>
    </w:p>
    <w:p>
      <w:pPr>
        <w:widowControl/>
        <w:jc w:val="left"/>
        <w:rPr>
          <w:rStyle w:val="26"/>
          <w:rFonts w:ascii="黑体" w:hAnsi="黑体" w:eastAsia="黑体"/>
          <w:b w:val="0"/>
          <w:color w:val="auto"/>
          <w:highlight w:val="none"/>
        </w:rPr>
      </w:pPr>
      <w:r>
        <w:rPr>
          <w:rStyle w:val="26"/>
          <w:rFonts w:ascii="黑体" w:hAnsi="黑体" w:eastAsia="黑体"/>
          <w:b w:val="0"/>
          <w:color w:val="auto"/>
          <w:highlight w:val="none"/>
        </w:rPr>
        <w:br w:type="page"/>
      </w:r>
    </w:p>
    <w:p>
      <w:pPr>
        <w:pStyle w:val="2"/>
        <w:rPr>
          <w:rFonts w:hint="default" w:hAnsi="宋体"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zh-CN" w:eastAsia="zh-CN"/>
        </w:rPr>
        <w:t>附件</w:t>
      </w:r>
      <w:r>
        <w:rPr>
          <w:rFonts w:hint="eastAsia" w:hAnsi="宋体" w:cs="宋体"/>
          <w:color w:val="auto"/>
          <w:kern w:val="0"/>
          <w:sz w:val="32"/>
          <w:szCs w:val="32"/>
          <w:highlight w:val="none"/>
          <w:shd w:val="clear" w:color="auto" w:fill="FFFFFF"/>
          <w:lang w:val="en-US" w:eastAsia="zh-CN"/>
        </w:rPr>
        <w:t>5</w:t>
      </w:r>
    </w:p>
    <w:tbl>
      <w:tblPr>
        <w:tblStyle w:val="14"/>
        <w:tblW w:w="8260" w:type="dxa"/>
        <w:tblInd w:w="0" w:type="dxa"/>
        <w:shd w:val="clear" w:color="auto" w:fill="auto"/>
        <w:tblLayout w:type="fixed"/>
        <w:tblCellMar>
          <w:top w:w="0" w:type="dxa"/>
          <w:left w:w="0" w:type="dxa"/>
          <w:bottom w:w="0" w:type="dxa"/>
          <w:right w:w="0" w:type="dxa"/>
        </w:tblCellMar>
      </w:tblPr>
      <w:tblGrid>
        <w:gridCol w:w="433"/>
        <w:gridCol w:w="596"/>
        <w:gridCol w:w="809"/>
        <w:gridCol w:w="1954"/>
        <w:gridCol w:w="479"/>
        <w:gridCol w:w="470"/>
        <w:gridCol w:w="1018"/>
        <w:gridCol w:w="738"/>
        <w:gridCol w:w="537"/>
        <w:gridCol w:w="714"/>
        <w:gridCol w:w="512"/>
      </w:tblGrid>
      <w:tr>
        <w:tblPrEx>
          <w:shd w:val="clear" w:color="auto" w:fill="auto"/>
          <w:tblLayout w:type="fixed"/>
          <w:tblCellMar>
            <w:top w:w="0" w:type="dxa"/>
            <w:left w:w="0" w:type="dxa"/>
            <w:bottom w:w="0" w:type="dxa"/>
            <w:right w:w="0" w:type="dxa"/>
          </w:tblCellMar>
        </w:tblPrEx>
        <w:trPr>
          <w:trHeight w:val="90" w:hRule="atLeast"/>
        </w:trPr>
        <w:tc>
          <w:tcPr>
            <w:tcW w:w="826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bookmarkStart w:id="63" w:name="_Toc15396618"/>
            <w:r>
              <w:rPr>
                <w:rStyle w:val="36"/>
                <w:lang w:val="en-US" w:eastAsia="zh-CN" w:bidi="ar"/>
              </w:rPr>
              <w:t>绩效目标自评表</w:t>
            </w:r>
            <w:r>
              <w:rPr>
                <w:rStyle w:val="37"/>
                <w:lang w:val="en-US" w:eastAsia="zh-CN" w:bidi="ar"/>
              </w:rPr>
              <w:t xml:space="preserve"> </w:t>
            </w:r>
          </w:p>
        </w:tc>
      </w:tr>
      <w:tr>
        <w:tblPrEx>
          <w:tblLayout w:type="fixed"/>
          <w:tblCellMar>
            <w:top w:w="0" w:type="dxa"/>
            <w:left w:w="0" w:type="dxa"/>
            <w:bottom w:w="0" w:type="dxa"/>
            <w:right w:w="0" w:type="dxa"/>
          </w:tblCellMar>
        </w:tblPrEx>
        <w:trPr>
          <w:trHeight w:val="90" w:hRule="atLeast"/>
        </w:trPr>
        <w:tc>
          <w:tcPr>
            <w:tcW w:w="826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Layout w:type="fixed"/>
          <w:tblCellMar>
            <w:top w:w="0" w:type="dxa"/>
            <w:left w:w="0" w:type="dxa"/>
            <w:bottom w:w="0" w:type="dxa"/>
            <w:right w:w="0" w:type="dxa"/>
          </w:tblCellMar>
        </w:tblPrEx>
        <w:trPr>
          <w:trHeight w:val="90" w:hRule="atLeast"/>
        </w:trPr>
        <w:tc>
          <w:tcPr>
            <w:tcW w:w="18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9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易迁后续扶持项目</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5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刘芝佐</w:t>
            </w:r>
          </w:p>
        </w:tc>
      </w:tr>
      <w:tr>
        <w:tblPrEx>
          <w:tblLayout w:type="fixed"/>
          <w:tblCellMar>
            <w:top w:w="0" w:type="dxa"/>
            <w:left w:w="0" w:type="dxa"/>
            <w:bottom w:w="0" w:type="dxa"/>
            <w:right w:w="0" w:type="dxa"/>
          </w:tblCellMar>
        </w:tblPrEx>
        <w:trPr>
          <w:trHeight w:val="90" w:hRule="atLeast"/>
        </w:trPr>
        <w:tc>
          <w:tcPr>
            <w:tcW w:w="18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9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通江县发改局</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5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通江县民唱歌镇人民政府</w:t>
            </w:r>
          </w:p>
        </w:tc>
      </w:tr>
      <w:tr>
        <w:tblPrEx>
          <w:tblLayout w:type="fixed"/>
          <w:tblCellMar>
            <w:top w:w="0" w:type="dxa"/>
            <w:left w:w="0" w:type="dxa"/>
            <w:bottom w:w="0" w:type="dxa"/>
            <w:right w:w="0" w:type="dxa"/>
          </w:tblCellMar>
        </w:tblPrEx>
        <w:trPr>
          <w:trHeight w:val="90" w:hRule="atLeast"/>
        </w:trPr>
        <w:tc>
          <w:tcPr>
            <w:tcW w:w="18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B/A)</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90" w:hRule="atLeast"/>
        </w:trPr>
        <w:tc>
          <w:tcPr>
            <w:tcW w:w="1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1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8"/>
                <w:lang w:val="en-US" w:eastAsia="zh-CN" w:bidi="ar"/>
              </w:rPr>
              <w:t xml:space="preserve"> 其中：本年财政拨款</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90" w:hRule="atLeast"/>
        </w:trPr>
        <w:tc>
          <w:tcPr>
            <w:tcW w:w="18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8"/>
                <w:lang w:val="en-US" w:eastAsia="zh-CN" w:bidi="ar"/>
              </w:rPr>
              <w:t xml:space="preserve">       其他资金</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9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51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1.扶持易迁户发展经济，实现易迁户搬得出、</w:t>
            </w:r>
            <w:r>
              <w:rPr>
                <w:rFonts w:hint="eastAsia" w:ascii="宋体" w:hAnsi="宋体" w:cs="宋体"/>
                <w:i w:val="0"/>
                <w:color w:val="000000"/>
                <w:kern w:val="0"/>
                <w:sz w:val="20"/>
                <w:szCs w:val="20"/>
                <w:u w:val="none"/>
                <w:lang w:val="en-US" w:eastAsia="zh-CN" w:bidi="ar"/>
              </w:rPr>
              <w:t>坐</w:t>
            </w:r>
            <w:r>
              <w:rPr>
                <w:rFonts w:hint="eastAsia" w:ascii="宋体" w:hAnsi="宋体" w:eastAsia="宋体" w:cs="宋体"/>
                <w:i w:val="0"/>
                <w:color w:val="000000"/>
                <w:kern w:val="0"/>
                <w:sz w:val="20"/>
                <w:szCs w:val="20"/>
                <w:u w:val="none"/>
                <w:lang w:val="en-US" w:eastAsia="zh-CN" w:bidi="ar"/>
              </w:rPr>
              <w:t>得住、能致富目标；3.向易迁户提供发展资金支持，提</w:t>
            </w:r>
            <w:r>
              <w:rPr>
                <w:rFonts w:hint="eastAsia" w:ascii="宋体" w:hAnsi="宋体" w:cs="宋体"/>
                <w:i w:val="0"/>
                <w:color w:val="000000"/>
                <w:kern w:val="0"/>
                <w:sz w:val="20"/>
                <w:szCs w:val="20"/>
                <w:u w:val="none"/>
                <w:lang w:val="en-US" w:eastAsia="zh-CN" w:bidi="ar"/>
              </w:rPr>
              <w:t>高</w:t>
            </w:r>
            <w:bookmarkStart w:id="77" w:name="_GoBack"/>
            <w:bookmarkEnd w:id="77"/>
            <w:r>
              <w:rPr>
                <w:rFonts w:hint="eastAsia" w:ascii="宋体" w:hAnsi="宋体" w:eastAsia="宋体" w:cs="宋体"/>
                <w:i w:val="0"/>
                <w:color w:val="000000"/>
                <w:kern w:val="0"/>
                <w:sz w:val="20"/>
                <w:szCs w:val="20"/>
                <w:u w:val="none"/>
                <w:lang w:val="en-US" w:eastAsia="zh-CN" w:bidi="ar"/>
              </w:rPr>
              <w:t>易迁户经济收入，增强幸福感、获得感。3.救助低收入群体。</w:t>
            </w:r>
          </w:p>
        </w:tc>
        <w:tc>
          <w:tcPr>
            <w:tcW w:w="351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1.扶持易迁户发展经济，实现易迁户搬得出、</w:t>
            </w:r>
            <w:r>
              <w:rPr>
                <w:rFonts w:hint="eastAsia" w:ascii="宋体" w:hAnsi="宋体" w:cs="宋体"/>
                <w:i w:val="0"/>
                <w:color w:val="000000"/>
                <w:kern w:val="0"/>
                <w:sz w:val="20"/>
                <w:szCs w:val="20"/>
                <w:u w:val="none"/>
                <w:lang w:val="en-US" w:eastAsia="zh-CN" w:bidi="ar"/>
              </w:rPr>
              <w:t>坐</w:t>
            </w:r>
            <w:r>
              <w:rPr>
                <w:rFonts w:hint="eastAsia" w:ascii="宋体" w:hAnsi="宋体" w:eastAsia="宋体" w:cs="宋体"/>
                <w:i w:val="0"/>
                <w:color w:val="000000"/>
                <w:kern w:val="0"/>
                <w:sz w:val="20"/>
                <w:szCs w:val="20"/>
                <w:u w:val="none"/>
                <w:lang w:val="en-US" w:eastAsia="zh-CN" w:bidi="ar"/>
              </w:rPr>
              <w:t>得住、能致富目标；3.向易迁户提供发展资金支持，提易迁户经济收入，增强幸福感、获得感。3.救助低收入群体。</w:t>
            </w:r>
          </w:p>
        </w:tc>
      </w:tr>
      <w:tr>
        <w:tblPrEx>
          <w:tblLayout w:type="fixed"/>
          <w:tblCellMar>
            <w:top w:w="0" w:type="dxa"/>
            <w:left w:w="0" w:type="dxa"/>
            <w:bottom w:w="0" w:type="dxa"/>
            <w:right w:w="0" w:type="dxa"/>
          </w:tblCellMar>
        </w:tblPrEx>
        <w:trPr>
          <w:trHeight w:val="9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50分</w:t>
            </w:r>
            <w:r>
              <w:rPr>
                <w:rFonts w:hint="eastAsia" w:ascii="宋体" w:hAnsi="宋体" w:cs="宋体"/>
                <w:i w:val="0"/>
                <w:color w:val="000000"/>
                <w:kern w:val="0"/>
                <w:sz w:val="20"/>
                <w:szCs w:val="20"/>
                <w:u w:val="none"/>
                <w:lang w:val="en-US" w:eastAsia="zh-CN" w:bidi="ar"/>
              </w:rPr>
              <w:t>）</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财政支农搬迁资金占比</w:t>
            </w:r>
          </w:p>
        </w:tc>
        <w:tc>
          <w:tcPr>
            <w:tcW w:w="47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受益群众</w:t>
            </w:r>
            <w:r>
              <w:rPr>
                <w:rFonts w:hint="eastAsia" w:ascii="宋体" w:hAnsi="宋体" w:eastAsia="宋体" w:cs="宋体"/>
                <w:i w:val="0"/>
                <w:color w:val="000000"/>
                <w:kern w:val="0"/>
                <w:sz w:val="20"/>
                <w:szCs w:val="20"/>
                <w:u w:val="none"/>
                <w:lang w:val="en-US" w:eastAsia="zh-CN" w:bidi="ar"/>
              </w:rPr>
              <w:t>人口数</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≥710人</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710人</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资金使用率</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组织项目完成实效</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资金使用期限</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财政性投入资金</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≥71.7万元</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71.7万元</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30分</w:t>
            </w:r>
            <w:r>
              <w:rPr>
                <w:rFonts w:hint="eastAsia" w:ascii="宋体" w:hAnsi="宋体" w:cs="宋体"/>
                <w:i w:val="0"/>
                <w:color w:val="000000"/>
                <w:kern w:val="0"/>
                <w:sz w:val="20"/>
                <w:szCs w:val="20"/>
                <w:u w:val="none"/>
                <w:lang w:val="en-US" w:eastAsia="zh-CN" w:bidi="ar"/>
              </w:rPr>
              <w:t>）</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农户经济预计年收入</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≥0.4万元</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0.4万元</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带动增加受益群众人口全年总收入</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≥0.1万元</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0.1万元</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受益群众户数</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≥193户</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193户</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受益群众年限</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10分</w:t>
            </w:r>
            <w:r>
              <w:rPr>
                <w:rFonts w:hint="eastAsia" w:ascii="宋体" w:hAnsi="宋体" w:cs="宋体"/>
                <w:i w:val="0"/>
                <w:color w:val="000000"/>
                <w:kern w:val="0"/>
                <w:sz w:val="20"/>
                <w:szCs w:val="20"/>
                <w:u w:val="none"/>
                <w:lang w:val="en-US" w:eastAsia="zh-CN" w:bidi="ar"/>
              </w:rPr>
              <w:t>）</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受益群众满意度</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≥100% </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61"/>
      <w:bookmarkEnd w:id="63"/>
      <w:bookmarkStart w:id="64"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64"/>
    </w:p>
    <w:p>
      <w:pPr>
        <w:pStyle w:val="5"/>
        <w:rPr>
          <w:rFonts w:ascii="仿宋" w:hAnsi="仿宋" w:eastAsia="仿宋"/>
          <w:color w:val="auto"/>
          <w:highlight w:val="none"/>
        </w:rPr>
      </w:pPr>
      <w:bookmarkStart w:id="6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65"/>
    </w:p>
    <w:p>
      <w:pPr>
        <w:pStyle w:val="5"/>
        <w:rPr>
          <w:rFonts w:ascii="仿宋" w:hAnsi="仿宋" w:eastAsia="仿宋"/>
          <w:color w:val="auto"/>
          <w:highlight w:val="none"/>
        </w:rPr>
      </w:pPr>
      <w:bookmarkStart w:id="6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66"/>
    </w:p>
    <w:p>
      <w:pPr>
        <w:pStyle w:val="5"/>
        <w:rPr>
          <w:rFonts w:ascii="仿宋" w:hAnsi="仿宋" w:eastAsia="仿宋"/>
          <w:b w:val="0"/>
          <w:color w:val="auto"/>
          <w:highlight w:val="none"/>
        </w:rPr>
      </w:pPr>
      <w:bookmarkStart w:id="6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67"/>
    </w:p>
    <w:p>
      <w:pPr>
        <w:pStyle w:val="5"/>
        <w:rPr>
          <w:rStyle w:val="27"/>
          <w:rFonts w:ascii="仿宋" w:hAnsi="仿宋" w:eastAsia="仿宋"/>
          <w:b w:val="0"/>
          <w:bCs w:val="0"/>
          <w:color w:val="auto"/>
          <w:highlight w:val="none"/>
        </w:rPr>
      </w:pPr>
      <w:bookmarkStart w:id="6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68"/>
      <w:bookmarkStart w:id="69" w:name="_Toc15396624"/>
    </w:p>
    <w:p>
      <w:pPr>
        <w:pStyle w:val="5"/>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69"/>
    </w:p>
    <w:p>
      <w:pPr>
        <w:pStyle w:val="5"/>
        <w:rPr>
          <w:rFonts w:ascii="仿宋" w:hAnsi="仿宋" w:eastAsia="仿宋"/>
          <w:color w:val="auto"/>
          <w:highlight w:val="none"/>
        </w:rPr>
      </w:pPr>
      <w:bookmarkStart w:id="7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70"/>
    </w:p>
    <w:p>
      <w:pPr>
        <w:pStyle w:val="5"/>
        <w:rPr>
          <w:rFonts w:ascii="仿宋" w:hAnsi="仿宋" w:eastAsia="仿宋"/>
          <w:color w:val="auto"/>
          <w:highlight w:val="none"/>
        </w:rPr>
      </w:pPr>
      <w:bookmarkStart w:id="7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71"/>
    </w:p>
    <w:p>
      <w:pPr>
        <w:pStyle w:val="5"/>
        <w:rPr>
          <w:rFonts w:ascii="仿宋" w:hAnsi="仿宋" w:eastAsia="仿宋"/>
          <w:color w:val="auto"/>
          <w:highlight w:val="none"/>
        </w:rPr>
      </w:pPr>
      <w:bookmarkStart w:id="7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72"/>
    </w:p>
    <w:p>
      <w:pPr>
        <w:pStyle w:val="5"/>
        <w:rPr>
          <w:rFonts w:ascii="仿宋" w:hAnsi="仿宋" w:eastAsia="仿宋"/>
          <w:color w:val="auto"/>
          <w:highlight w:val="none"/>
        </w:rPr>
      </w:pPr>
      <w:bookmarkStart w:id="7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73"/>
    </w:p>
    <w:p>
      <w:pPr>
        <w:pStyle w:val="5"/>
        <w:rPr>
          <w:rFonts w:ascii="仿宋" w:hAnsi="仿宋" w:eastAsia="仿宋"/>
          <w:color w:val="auto"/>
          <w:highlight w:val="none"/>
        </w:rPr>
      </w:pPr>
      <w:bookmarkStart w:id="7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74"/>
    </w:p>
    <w:p>
      <w:pPr>
        <w:pStyle w:val="5"/>
        <w:rPr>
          <w:rFonts w:ascii="仿宋" w:hAnsi="仿宋" w:eastAsia="仿宋"/>
          <w:color w:val="auto"/>
          <w:highlight w:val="none"/>
        </w:rPr>
      </w:pPr>
      <w:bookmarkStart w:id="7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75"/>
    </w:p>
    <w:p>
      <w:pPr>
        <w:pStyle w:val="5"/>
        <w:rPr>
          <w:rStyle w:val="27"/>
          <w:rFonts w:hint="eastAsia" w:ascii="仿宋" w:hAnsi="仿宋" w:eastAsia="仿宋"/>
          <w:b w:val="0"/>
          <w:bCs w:val="0"/>
          <w:color w:val="auto"/>
          <w:highlight w:val="none"/>
        </w:rPr>
      </w:pPr>
      <w:bookmarkStart w:id="7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7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8B1499A"/>
    <w:multiLevelType w:val="singleLevel"/>
    <w:tmpl w:val="E8B1499A"/>
    <w:lvl w:ilvl="0" w:tentative="0">
      <w:start w:val="4"/>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EE0BC79"/>
    <w:multiLevelType w:val="singleLevel"/>
    <w:tmpl w:val="2EE0BC79"/>
    <w:lvl w:ilvl="0" w:tentative="0">
      <w:start w:val="9"/>
      <w:numFmt w:val="decimal"/>
      <w:suff w:val="nothing"/>
      <w:lvlText w:val="%1、"/>
      <w:lvlJc w:val="left"/>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6">
    <w:nsid w:val="675CBD9B"/>
    <w:multiLevelType w:val="singleLevel"/>
    <w:tmpl w:val="675CBD9B"/>
    <w:lvl w:ilvl="0" w:tentative="0">
      <w:start w:val="1"/>
      <w:numFmt w:val="decimalEnclosedCircleChinese"/>
      <w:suff w:val="nothing"/>
      <w:lvlText w:val="%1　"/>
      <w:lvlJc w:val="left"/>
      <w:pPr>
        <w:ind w:left="0" w:firstLine="400"/>
      </w:pPr>
      <w:rPr>
        <w:rFonts w:hint="eastAsia"/>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4E1D34"/>
    <w:rsid w:val="066E0107"/>
    <w:rsid w:val="07996F6E"/>
    <w:rsid w:val="0A0B7352"/>
    <w:rsid w:val="0A2032A3"/>
    <w:rsid w:val="0A5524E7"/>
    <w:rsid w:val="0BA86C26"/>
    <w:rsid w:val="0BC3731F"/>
    <w:rsid w:val="101860EC"/>
    <w:rsid w:val="10B53E8F"/>
    <w:rsid w:val="10C055FF"/>
    <w:rsid w:val="118107EC"/>
    <w:rsid w:val="12307142"/>
    <w:rsid w:val="13D50BC4"/>
    <w:rsid w:val="16BB723D"/>
    <w:rsid w:val="1A5D5475"/>
    <w:rsid w:val="1B612F16"/>
    <w:rsid w:val="1BE8440E"/>
    <w:rsid w:val="1D155CEE"/>
    <w:rsid w:val="1D9A2F7B"/>
    <w:rsid w:val="23505CFE"/>
    <w:rsid w:val="23860B96"/>
    <w:rsid w:val="240371BF"/>
    <w:rsid w:val="29FD04D3"/>
    <w:rsid w:val="2C8A61B5"/>
    <w:rsid w:val="2DF04E50"/>
    <w:rsid w:val="2F2A5806"/>
    <w:rsid w:val="30EE1123"/>
    <w:rsid w:val="319F7F4E"/>
    <w:rsid w:val="32E02F9F"/>
    <w:rsid w:val="34B021AD"/>
    <w:rsid w:val="352D221A"/>
    <w:rsid w:val="35881706"/>
    <w:rsid w:val="36AA5135"/>
    <w:rsid w:val="37E16F03"/>
    <w:rsid w:val="3A5464B0"/>
    <w:rsid w:val="3D98207C"/>
    <w:rsid w:val="3F4D2118"/>
    <w:rsid w:val="44E268DA"/>
    <w:rsid w:val="470976C4"/>
    <w:rsid w:val="4A3754BF"/>
    <w:rsid w:val="4A627F82"/>
    <w:rsid w:val="4B2B24CB"/>
    <w:rsid w:val="4B4F25DA"/>
    <w:rsid w:val="4BE068DB"/>
    <w:rsid w:val="4D577224"/>
    <w:rsid w:val="4E9F4995"/>
    <w:rsid w:val="4EAB630A"/>
    <w:rsid w:val="4EC45F9F"/>
    <w:rsid w:val="4ECE2238"/>
    <w:rsid w:val="5020757D"/>
    <w:rsid w:val="50A849F3"/>
    <w:rsid w:val="54C038F4"/>
    <w:rsid w:val="57AC3992"/>
    <w:rsid w:val="58A64B3F"/>
    <w:rsid w:val="5AF92295"/>
    <w:rsid w:val="5B875ADF"/>
    <w:rsid w:val="5CD71FC4"/>
    <w:rsid w:val="5E1D07CE"/>
    <w:rsid w:val="64FA579E"/>
    <w:rsid w:val="65BE2122"/>
    <w:rsid w:val="67DA65D9"/>
    <w:rsid w:val="69962CF7"/>
    <w:rsid w:val="6C4A05C8"/>
    <w:rsid w:val="6DBB4F1B"/>
    <w:rsid w:val="6E7E3605"/>
    <w:rsid w:val="6FF5CC65"/>
    <w:rsid w:val="70C54671"/>
    <w:rsid w:val="715C0E4B"/>
    <w:rsid w:val="72734D90"/>
    <w:rsid w:val="73AD73D5"/>
    <w:rsid w:val="73B6EB34"/>
    <w:rsid w:val="73F138AE"/>
    <w:rsid w:val="767C3B8B"/>
    <w:rsid w:val="77F004E8"/>
    <w:rsid w:val="78377D06"/>
    <w:rsid w:val="7866174C"/>
    <w:rsid w:val="79EE5BA4"/>
    <w:rsid w:val="7A894339"/>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23"/>
    <w:qFormat/>
    <w:uiPriority w:val="99"/>
    <w:pPr>
      <w:spacing w:beforeLines="30"/>
    </w:pPr>
    <w:rPr>
      <w:rFonts w:ascii="仿宋_GB2312" w:eastAsia="仿宋_GB2312"/>
      <w:kern w:val="0"/>
      <w:sz w:val="30"/>
    </w:r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21"/>
    <w:basedOn w:val="15"/>
    <w:qFormat/>
    <w:uiPriority w:val="0"/>
    <w:rPr>
      <w:rFonts w:hint="eastAsia" w:ascii="宋体" w:hAnsi="宋体" w:eastAsia="宋体" w:cs="宋体"/>
      <w:color w:val="000000"/>
      <w:sz w:val="20"/>
      <w:szCs w:val="20"/>
      <w:u w:val="none"/>
    </w:rPr>
  </w:style>
  <w:style w:type="character" w:customStyle="1" w:styleId="33">
    <w:name w:val="font81"/>
    <w:basedOn w:val="15"/>
    <w:qFormat/>
    <w:uiPriority w:val="0"/>
    <w:rPr>
      <w:rFonts w:hint="eastAsia" w:ascii="宋体" w:hAnsi="宋体" w:eastAsia="宋体" w:cs="宋体"/>
      <w:color w:val="000000"/>
      <w:sz w:val="18"/>
      <w:szCs w:val="18"/>
      <w:u w:val="none"/>
    </w:rPr>
  </w:style>
  <w:style w:type="character" w:customStyle="1" w:styleId="34">
    <w:name w:val="font61"/>
    <w:basedOn w:val="15"/>
    <w:qFormat/>
    <w:uiPriority w:val="0"/>
    <w:rPr>
      <w:rFonts w:hint="eastAsia" w:ascii="宋体" w:hAnsi="宋体" w:eastAsia="宋体" w:cs="宋体"/>
      <w:color w:val="000000"/>
      <w:sz w:val="12"/>
      <w:szCs w:val="12"/>
      <w:u w:val="none"/>
    </w:rPr>
  </w:style>
  <w:style w:type="paragraph" w:customStyle="1" w:styleId="35">
    <w:name w:val="四号正文"/>
    <w:basedOn w:val="1"/>
    <w:qFormat/>
    <w:uiPriority w:val="0"/>
    <w:pPr>
      <w:spacing w:line="360" w:lineRule="auto"/>
    </w:pPr>
    <w:rPr>
      <w:rFonts w:ascii="??" w:hAnsi="??" w:eastAsia="宋体" w:cs="宋体"/>
      <w:color w:val="000000"/>
      <w:kern w:val="0"/>
      <w:sz w:val="28"/>
      <w:szCs w:val="21"/>
    </w:rPr>
  </w:style>
  <w:style w:type="character" w:customStyle="1" w:styleId="36">
    <w:name w:val="font31"/>
    <w:basedOn w:val="15"/>
    <w:qFormat/>
    <w:uiPriority w:val="0"/>
    <w:rPr>
      <w:rFonts w:hint="eastAsia" w:ascii="宋体" w:hAnsi="宋体" w:eastAsia="宋体" w:cs="宋体"/>
      <w:b/>
      <w:color w:val="000000"/>
      <w:sz w:val="32"/>
      <w:szCs w:val="32"/>
      <w:u w:val="none"/>
    </w:rPr>
  </w:style>
  <w:style w:type="character" w:customStyle="1" w:styleId="37">
    <w:name w:val="font11"/>
    <w:basedOn w:val="15"/>
    <w:qFormat/>
    <w:uiPriority w:val="0"/>
    <w:rPr>
      <w:rFonts w:hint="eastAsia" w:ascii="宋体" w:hAnsi="宋体" w:eastAsia="宋体" w:cs="宋体"/>
      <w:color w:val="000000"/>
      <w:sz w:val="32"/>
      <w:szCs w:val="32"/>
      <w:u w:val="none"/>
    </w:rPr>
  </w:style>
  <w:style w:type="character" w:customStyle="1" w:styleId="38">
    <w:name w:val="font5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777777.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777777.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Sheet1!$A$5</c:f>
              <c:strCache>
                <c:ptCount val="1"/>
                <c:pt idx="0">
                  <c:v>2020</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Sheet1!$B$4:$C$4</c:f>
              <c:strCache>
                <c:ptCount val="2"/>
                <c:pt idx="0">
                  <c:v>收入</c:v>
                </c:pt>
                <c:pt idx="1">
                  <c:v>支出</c:v>
                </c:pt>
              </c:strCache>
            </c:strRef>
          </c:cat>
          <c:val>
            <c:numRef>
              <c:f>Sheet1!$B$5:$C$5</c:f>
              <c:numCache>
                <c:formatCode>#,##0.00</c:formatCode>
                <c:ptCount val="2"/>
                <c:pt idx="0">
                  <c:v>3921.15</c:v>
                </c:pt>
                <c:pt idx="1">
                  <c:v>3729.96</c:v>
                </c:pt>
              </c:numCache>
            </c:numRef>
          </c:val>
        </c:ser>
        <c:ser>
          <c:idx val="1"/>
          <c:order val="1"/>
          <c:tx>
            <c:strRef>
              <c:f>Sheet1!$A$6</c:f>
              <c:strCache>
                <c:ptCount val="1"/>
                <c:pt idx="0">
                  <c:v>2021</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Sheet1!$B$4:$C$4</c:f>
              <c:strCache>
                <c:ptCount val="2"/>
                <c:pt idx="0">
                  <c:v>收入</c:v>
                </c:pt>
                <c:pt idx="1">
                  <c:v>支出</c:v>
                </c:pt>
              </c:strCache>
            </c:strRef>
          </c:cat>
          <c:val>
            <c:numRef>
              <c:f>Sheet1!$B$6:$C$6</c:f>
              <c:numCache>
                <c:formatCode>General</c:formatCode>
                <c:ptCount val="2"/>
                <c:pt idx="0">
                  <c:v>5313.09</c:v>
                </c:pt>
                <c:pt idx="1" c:formatCode="#,##0.00">
                  <c:v>5253.99</c:v>
                </c:pt>
              </c:numCache>
            </c:numRef>
          </c:val>
        </c:ser>
        <c:dLbls>
          <c:showLegendKey val="0"/>
          <c:showVal val="1"/>
          <c:showCatName val="0"/>
          <c:showSerName val="0"/>
          <c:showPercent val="0"/>
          <c:showBubbleSize val="0"/>
        </c:dLbls>
        <c:gapWidth val="75"/>
        <c:overlap val="0"/>
        <c:axId val="651251692"/>
        <c:axId val="208112998"/>
      </c:barChart>
      <c:catAx>
        <c:axId val="6512516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208112998"/>
        <c:crosses val="autoZero"/>
        <c:auto val="1"/>
        <c:lblAlgn val="ctr"/>
        <c:lblOffset val="100"/>
        <c:noMultiLvlLbl val="0"/>
      </c:catAx>
      <c:valAx>
        <c:axId val="2081129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125169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413286220898505"/>
                  <c:y val="-0.3322213027676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政府性基金预算财政拨款收入</c:v>
                </c:pt>
                <c:pt idx="2">
                  <c:v>事业收入</c:v>
                </c:pt>
              </c:strCache>
            </c:strRef>
          </c:cat>
          <c:val>
            <c:numRef>
              <c:f>Sheet1!$B$2:$B$4</c:f>
              <c:numCache>
                <c:formatCode>0%</c:formatCode>
                <c:ptCount val="3"/>
                <c:pt idx="0">
                  <c:v>0.94</c:v>
                </c:pt>
                <c:pt idx="1" c:formatCode="0.00%">
                  <c:v>0.0033</c:v>
                </c:pt>
                <c:pt idx="2" c:formatCode="0.00%">
                  <c:v>0.0567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126"/>
          <c:y val="0.8685"/>
          <c:w val="0.748"/>
          <c:h val="0.1115"/>
        </c:manualLayout>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0.5006</c:v>
                </c:pt>
                <c:pt idx="1">
                  <c:v>0.4996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[777777.xls]Sheet1!$L$4</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[777777.xls]Sheet1!$M$3:$N$3</c:f>
              <c:strCache>
                <c:ptCount val="2"/>
                <c:pt idx="0">
                  <c:v>财政拨款收入</c:v>
                </c:pt>
                <c:pt idx="1">
                  <c:v>财政拨款支出</c:v>
                </c:pt>
              </c:strCache>
            </c:strRef>
          </c:cat>
          <c:val>
            <c:numRef>
              <c:f>[777777.xls]Sheet1!$M$4:$N$4</c:f>
              <c:numCache>
                <c:formatCode>#,##0.00</c:formatCode>
                <c:ptCount val="2"/>
                <c:pt idx="0">
                  <c:v>3521.5</c:v>
                </c:pt>
                <c:pt idx="1">
                  <c:v>3526.88</c:v>
                </c:pt>
              </c:numCache>
            </c:numRef>
          </c:val>
        </c:ser>
        <c:ser>
          <c:idx val="1"/>
          <c:order val="1"/>
          <c:tx>
            <c:strRef>
              <c:f>[777777.xls]Sheet1!$L$5</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[777777.xls]Sheet1!$M$3:$N$3</c:f>
              <c:strCache>
                <c:ptCount val="2"/>
                <c:pt idx="0">
                  <c:v>财政拨款收入</c:v>
                </c:pt>
                <c:pt idx="1">
                  <c:v>财政拨款支出</c:v>
                </c:pt>
              </c:strCache>
            </c:strRef>
          </c:cat>
          <c:val>
            <c:numRef>
              <c:f>[777777.xls]Sheet1!$M$5:$N$5</c:f>
              <c:numCache>
                <c:formatCode>#,##0.00</c:formatCode>
                <c:ptCount val="2"/>
                <c:pt idx="0">
                  <c:v>4831.86</c:v>
                </c:pt>
                <c:pt idx="1">
                  <c:v>4840.23</c:v>
                </c:pt>
              </c:numCache>
            </c:numRef>
          </c:val>
        </c:ser>
        <c:dLbls>
          <c:showLegendKey val="0"/>
          <c:showVal val="1"/>
          <c:showCatName val="0"/>
          <c:showSerName val="0"/>
          <c:showPercent val="0"/>
          <c:showBubbleSize val="0"/>
        </c:dLbls>
        <c:gapWidth val="75"/>
        <c:overlap val="0"/>
        <c:axId val="238642191"/>
        <c:axId val="218004451"/>
      </c:barChart>
      <c:catAx>
        <c:axId val="2386421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004451"/>
        <c:crosses val="autoZero"/>
        <c:auto val="1"/>
        <c:lblAlgn val="ctr"/>
        <c:lblOffset val="100"/>
        <c:noMultiLvlLbl val="0"/>
      </c:catAx>
      <c:valAx>
        <c:axId val="2180044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6421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c:f>
              <c:strCache>
                <c:ptCount val="1"/>
                <c:pt idx="0">
                  <c:v>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Sheet1!$B$1:$C$1</c:f>
              <c:numCache>
                <c:formatCode>General</c:formatCode>
                <c:ptCount val="2"/>
                <c:pt idx="0">
                  <c:v>2020</c:v>
                </c:pt>
                <c:pt idx="1">
                  <c:v>2021</c:v>
                </c:pt>
              </c:numCache>
            </c:numRef>
          </c:val>
        </c:ser>
        <c:ser>
          <c:idx val="1"/>
          <c:order val="1"/>
          <c:tx>
            <c:strRef>
              <c:f>Sheet1!$A$2</c:f>
              <c:strCache>
                <c:ptCount val="1"/>
                <c:pt idx="0">
                  <c:v>一般公共预算财政拨款支出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Sheet1!$B$2:$C$2</c:f>
              <c:numCache>
                <c:formatCode>General</c:formatCode>
                <c:ptCount val="2"/>
                <c:pt idx="0">
                  <c:v>3526.88</c:v>
                </c:pt>
                <c:pt idx="1">
                  <c:v>4823.23</c:v>
                </c:pt>
              </c:numCache>
            </c:numRef>
          </c:val>
        </c:ser>
        <c:dLbls>
          <c:showLegendKey val="0"/>
          <c:showVal val="1"/>
          <c:showCatName val="0"/>
          <c:showSerName val="0"/>
          <c:showPercent val="0"/>
          <c:showBubbleSize val="0"/>
        </c:dLbls>
        <c:gapWidth val="219"/>
        <c:overlap val="-27"/>
        <c:axId val="595972689"/>
        <c:axId val="25575644"/>
      </c:barChart>
      <c:catAx>
        <c:axId val="5959726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75644"/>
        <c:crosses val="autoZero"/>
        <c:auto val="1"/>
        <c:lblAlgn val="ctr"/>
        <c:lblOffset val="100"/>
        <c:noMultiLvlLbl val="0"/>
      </c:catAx>
      <c:valAx>
        <c:axId val="255756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9726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7"/>
              <c:layout>
                <c:manualLayout>
                  <c:x val="-0.015682185059687"/>
                  <c:y val="0.03130049630301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一般公共服务</c:v>
                </c:pt>
                <c:pt idx="1">
                  <c:v>教育支出</c:v>
                </c:pt>
                <c:pt idx="2">
                  <c:v>文化旅游体育与传媒</c:v>
                </c:pt>
                <c:pt idx="3">
                  <c:v>社会保障和就业</c:v>
                </c:pt>
                <c:pt idx="4">
                  <c:v>卫生健康</c:v>
                </c:pt>
                <c:pt idx="5">
                  <c:v>农林水</c:v>
                </c:pt>
                <c:pt idx="6">
                  <c:v>交通运输</c:v>
                </c:pt>
                <c:pt idx="7">
                  <c:v>住房保障</c:v>
                </c:pt>
              </c:strCache>
            </c:strRef>
          </c:cat>
          <c:val>
            <c:numRef>
              <c:f>Sheet1!$B$2:$B$9</c:f>
              <c:numCache>
                <c:formatCode>0.00%</c:formatCode>
                <c:ptCount val="8"/>
                <c:pt idx="0">
                  <c:v>0.1195</c:v>
                </c:pt>
                <c:pt idx="1">
                  <c:v>0.208</c:v>
                </c:pt>
                <c:pt idx="2">
                  <c:v>0.0112</c:v>
                </c:pt>
                <c:pt idx="3">
                  <c:v>0.0623</c:v>
                </c:pt>
                <c:pt idx="4">
                  <c:v>0.0665</c:v>
                </c:pt>
                <c:pt idx="5">
                  <c:v>0.3782</c:v>
                </c:pt>
                <c:pt idx="6">
                  <c:v>0.0108</c:v>
                </c:pt>
                <c:pt idx="7">
                  <c:v>0.1434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5"/>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6"/>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7"/>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017375"/>
          <c:y val="0.827333333333333"/>
          <c:w val="0.90425"/>
          <c:h val="0.1045"/>
        </c:manualLayout>
      </c:layout>
      <c:overlay val="0"/>
      <c:spPr>
        <a:noFill/>
        <a:ln>
          <a:noFill/>
        </a:ln>
        <a:effectLst/>
      </c:spPr>
      <c:txPr>
        <a:bodyPr rot="0" spcFirstLastPara="0" vertOverflow="ellipsis" vert="horz" wrap="square" anchor="ctr" anchorCtr="1"/>
        <a:lstStyle/>
        <a:p>
          <a:pPr>
            <a:defRPr lang="zh-CN"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Lbl>
              <c:idx val="0"/>
              <c:layout>
                <c:manualLayout>
                  <c:x val="0.00614635366591419"/>
                  <c:y val="-0.28569117533396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78264076715023"/>
                      <c:h val="0.0889712696941613"/>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公务接待费</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42</Pages>
  <Words>15421</Words>
  <Characters>17484</Characters>
  <Lines>61</Lines>
  <Paragraphs>17</Paragraphs>
  <TotalTime>1</TotalTime>
  <ScaleCrop>false</ScaleCrop>
  <LinksUpToDate>false</LinksUpToDate>
  <CharactersWithSpaces>17578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2022-10-21T03:06:29Z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AEAE812C423B41CE9DA6F902CECE0ECF</vt:lpwstr>
  </property>
</Properties>
</file>