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96597"/>
      <w:bookmarkStart w:id="1" w:name="_Toc15378441"/>
      <w:bookmarkStart w:id="2" w:name="_Toc15396475"/>
      <w:bookmarkStart w:id="3" w:name="_Toc15377193"/>
      <w:bookmarkStart w:id="4" w:name="_Toc1537742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33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32622"/>
      <w:r>
        <w:rPr>
          <w:rFonts w:hint="eastAsia" w:ascii="方正小标宋简体" w:hAnsi="宋体" w:eastAsia="方正小标宋简体"/>
          <w:color w:val="000000"/>
          <w:sz w:val="72"/>
          <w:szCs w:val="72"/>
        </w:rPr>
        <w:t>四川省</w:t>
      </w:r>
      <w:r>
        <w:rPr>
          <w:rFonts w:hint="eastAsia" w:ascii="方正小标宋简体" w:hAnsi="宋体" w:eastAsia="方正小标宋简体"/>
          <w:color w:val="000000"/>
          <w:sz w:val="72"/>
          <w:szCs w:val="72"/>
          <w:lang w:eastAsia="zh-CN"/>
        </w:rPr>
        <w:t>巴中市</w:t>
      </w:r>
      <w:r>
        <w:rPr>
          <w:rFonts w:hint="eastAsia" w:ascii="方正小标宋简体" w:hAnsi="宋体" w:eastAsia="方正小标宋简体"/>
          <w:color w:val="000000"/>
          <w:sz w:val="72"/>
          <w:szCs w:val="72"/>
        </w:rPr>
        <w:t>通江县</w:t>
      </w:r>
      <w:bookmarkEnd w:id="7"/>
    </w:p>
    <w:p>
      <w:pPr>
        <w:widowControl/>
        <w:jc w:val="center"/>
        <w:rPr>
          <w:rFonts w:hint="default" w:ascii="黑体" w:hAnsi="黑体" w:eastAsia="黑体"/>
          <w:color w:val="000000"/>
          <w:sz w:val="48"/>
          <w:szCs w:val="48"/>
          <w:lang w:val="en-US" w:eastAsia="zh-CN"/>
        </w:rPr>
      </w:pPr>
      <w:r>
        <w:rPr>
          <w:rFonts w:hint="eastAsia" w:ascii="方正小标宋简体" w:hAnsi="宋体" w:eastAsia="方正小标宋简体"/>
          <w:color w:val="000000"/>
          <w:sz w:val="72"/>
          <w:szCs w:val="72"/>
        </w:rPr>
        <w:t>涪阳镇部门决算</w:t>
      </w: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25</w:t>
      </w:r>
      <w:r>
        <w:rPr>
          <w:rFonts w:hint="eastAsia"/>
          <w:color w:val="auto"/>
          <w:highlight w:val="none"/>
        </w:rPr>
        <w:t>日</w:t>
      </w:r>
    </w:p>
    <w:sdt>
      <w:sdtPr>
        <w:rPr>
          <w:rFonts w:ascii="宋体" w:hAnsi="宋体" w:eastAsia="宋体" w:cs="Times New Roman"/>
          <w:kern w:val="2"/>
          <w:sz w:val="21"/>
          <w:szCs w:val="24"/>
          <w:lang w:val="en-US" w:eastAsia="zh-CN" w:bidi="ar-SA"/>
        </w:rPr>
        <w:id w:val="147482068"/>
        <w15:color w:val="DBDBDB"/>
        <w:docPartObj>
          <w:docPartGallery w:val="Table of Contents"/>
          <w:docPartUnique/>
        </w:docPartObj>
      </w:sdtPr>
      <w:sdtEndPr>
        <w:rPr>
          <w:rFonts w:ascii="Times New Roman" w:hAnsi="Times New Roman" w:eastAsia="宋体" w:cs="Times New Roman"/>
          <w:b/>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37"/>
            <w:tabs>
              <w:tab w:val="right" w:leader="dot" w:pos="8306"/>
            </w:tabs>
            <w:rPr>
              <w:b/>
            </w:rPr>
          </w:pPr>
          <w:r>
            <w:rPr>
              <w:color w:val="auto"/>
              <w:highlight w:val="none"/>
            </w:rPr>
            <w:fldChar w:fldCharType="begin"/>
          </w:r>
          <w:r>
            <w:rPr>
              <w:color w:val="auto"/>
              <w:highlight w:val="none"/>
            </w:rPr>
            <w:instrText xml:space="preserve">TOC \o "1-2" \h \u </w:instrText>
          </w:r>
          <w:r>
            <w:rPr>
              <w:color w:val="auto"/>
              <w:highlight w:val="none"/>
            </w:rPr>
            <w:fldChar w:fldCharType="separate"/>
          </w:r>
        </w:p>
        <w:p>
          <w:pPr>
            <w:pStyle w:val="37"/>
            <w:tabs>
              <w:tab w:val="right" w:leader="dot" w:pos="8306"/>
            </w:tabs>
            <w:rPr>
              <w:b w:val="0"/>
              <w:bCs/>
            </w:rPr>
          </w:pPr>
          <w:r>
            <w:rPr>
              <w:b w:val="0"/>
              <w:bCs/>
              <w:color w:val="auto"/>
              <w:highlight w:val="none"/>
            </w:rPr>
            <w:fldChar w:fldCharType="begin"/>
          </w:r>
          <w:r>
            <w:rPr>
              <w:b w:val="0"/>
              <w:bCs/>
              <w:highlight w:val="none"/>
            </w:rPr>
            <w:instrText xml:space="preserve"> HYPERLINK \l _Toc8298 </w:instrText>
          </w:r>
          <w:r>
            <w:rPr>
              <w:b w:val="0"/>
              <w:bCs/>
              <w:highlight w:val="none"/>
            </w:rPr>
            <w:fldChar w:fldCharType="separate"/>
          </w:r>
          <w:r>
            <w:rPr>
              <w:rFonts w:hint="eastAsia" w:ascii="黑体" w:hAnsi="黑体" w:eastAsia="黑体"/>
              <w:b w:val="0"/>
              <w:bCs/>
              <w:highlight w:val="none"/>
            </w:rPr>
            <w:t>第一部分 部门概况</w:t>
          </w:r>
          <w:r>
            <w:rPr>
              <w:b w:val="0"/>
              <w:bCs/>
            </w:rPr>
            <w:tab/>
          </w:r>
          <w:r>
            <w:rPr>
              <w:b w:val="0"/>
              <w:bCs/>
            </w:rPr>
            <w:fldChar w:fldCharType="begin"/>
          </w:r>
          <w:r>
            <w:rPr>
              <w:b w:val="0"/>
              <w:bCs/>
            </w:rPr>
            <w:instrText xml:space="preserve"> PAGEREF _Toc8298 \h </w:instrText>
          </w:r>
          <w:r>
            <w:rPr>
              <w:b w:val="0"/>
              <w:bCs/>
            </w:rPr>
            <w:fldChar w:fldCharType="separate"/>
          </w:r>
          <w:r>
            <w:rPr>
              <w:b w:val="0"/>
              <w:bCs/>
            </w:rPr>
            <w:t>3</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_Toc3918 </w:instrText>
          </w:r>
          <w:r>
            <w:rPr>
              <w:b w:val="0"/>
              <w:bCs/>
              <w:highlight w:val="none"/>
            </w:rPr>
            <w:fldChar w:fldCharType="separate"/>
          </w:r>
          <w:r>
            <w:rPr>
              <w:rFonts w:hint="eastAsia" w:ascii="黑体" w:hAnsi="黑体" w:eastAsia="黑体"/>
              <w:b w:val="0"/>
              <w:bCs/>
              <w:highlight w:val="none"/>
            </w:rPr>
            <w:t>一、基本职能及主要工作</w:t>
          </w:r>
          <w:r>
            <w:rPr>
              <w:b w:val="0"/>
              <w:bCs/>
            </w:rPr>
            <w:tab/>
          </w:r>
          <w:r>
            <w:rPr>
              <w:b w:val="0"/>
              <w:bCs/>
            </w:rPr>
            <w:fldChar w:fldCharType="begin"/>
          </w:r>
          <w:r>
            <w:rPr>
              <w:b w:val="0"/>
              <w:bCs/>
            </w:rPr>
            <w:instrText xml:space="preserve"> PAGEREF _Toc3918 \h </w:instrText>
          </w:r>
          <w:r>
            <w:rPr>
              <w:b w:val="0"/>
              <w:bCs/>
            </w:rPr>
            <w:fldChar w:fldCharType="separate"/>
          </w:r>
          <w:r>
            <w:rPr>
              <w:b w:val="0"/>
              <w:bCs/>
            </w:rPr>
            <w:t>3</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_Toc5855 </w:instrText>
          </w:r>
          <w:r>
            <w:rPr>
              <w:b w:val="0"/>
              <w:bCs/>
              <w:highlight w:val="none"/>
            </w:rPr>
            <w:fldChar w:fldCharType="separate"/>
          </w:r>
          <w:r>
            <w:rPr>
              <w:rFonts w:hint="eastAsia" w:ascii="黑体" w:eastAsia="黑体"/>
              <w:b w:val="0"/>
              <w:bCs/>
              <w:highlight w:val="none"/>
            </w:rPr>
            <w:t>二、</w:t>
          </w:r>
          <w:r>
            <w:rPr>
              <w:rFonts w:hint="eastAsia" w:ascii="黑体" w:hAnsi="黑体" w:eastAsia="黑体"/>
              <w:b w:val="0"/>
              <w:bCs/>
              <w:highlight w:val="none"/>
            </w:rPr>
            <w:t>机构设置</w:t>
          </w:r>
          <w:r>
            <w:rPr>
              <w:b w:val="0"/>
              <w:bCs/>
            </w:rPr>
            <w:tab/>
          </w:r>
          <w:r>
            <w:rPr>
              <w:b w:val="0"/>
              <w:bCs/>
            </w:rPr>
            <w:fldChar w:fldCharType="begin"/>
          </w:r>
          <w:r>
            <w:rPr>
              <w:b w:val="0"/>
              <w:bCs/>
            </w:rPr>
            <w:instrText xml:space="preserve"> PAGEREF _Toc5855 \h </w:instrText>
          </w:r>
          <w:r>
            <w:rPr>
              <w:b w:val="0"/>
              <w:bCs/>
            </w:rPr>
            <w:fldChar w:fldCharType="separate"/>
          </w:r>
          <w:r>
            <w:rPr>
              <w:b w:val="0"/>
              <w:bCs/>
            </w:rPr>
            <w:t>5</w:t>
          </w:r>
          <w:r>
            <w:rPr>
              <w:b w:val="0"/>
              <w:bCs/>
            </w:rPr>
            <w:fldChar w:fldCharType="end"/>
          </w:r>
          <w:r>
            <w:rPr>
              <w:b w:val="0"/>
              <w:bCs/>
              <w:color w:val="auto"/>
              <w:highlight w:val="none"/>
            </w:rPr>
            <w:fldChar w:fldCharType="end"/>
          </w:r>
        </w:p>
        <w:p>
          <w:pPr>
            <w:pStyle w:val="37"/>
            <w:tabs>
              <w:tab w:val="right" w:leader="dot" w:pos="8306"/>
            </w:tabs>
            <w:rPr>
              <w:b w:val="0"/>
              <w:bCs/>
            </w:rPr>
          </w:pPr>
          <w:r>
            <w:rPr>
              <w:b w:val="0"/>
              <w:bCs/>
              <w:color w:val="auto"/>
              <w:highlight w:val="none"/>
            </w:rPr>
            <w:fldChar w:fldCharType="begin"/>
          </w:r>
          <w:r>
            <w:rPr>
              <w:b w:val="0"/>
              <w:bCs/>
              <w:highlight w:val="none"/>
            </w:rPr>
            <w:instrText xml:space="preserve"> HYPERLINK \l _Toc26175 </w:instrText>
          </w:r>
          <w:r>
            <w:rPr>
              <w:b w:val="0"/>
              <w:bCs/>
              <w:highlight w:val="none"/>
            </w:rPr>
            <w:fldChar w:fldCharType="separate"/>
          </w:r>
          <w:r>
            <w:rPr>
              <w:rFonts w:hint="eastAsia" w:ascii="黑体" w:hAnsi="黑体" w:eastAsia="黑体"/>
              <w:b w:val="0"/>
              <w:bCs/>
              <w:highlight w:val="none"/>
            </w:rPr>
            <w:t xml:space="preserve">第二部分 </w:t>
          </w:r>
          <w:r>
            <w:rPr>
              <w:rFonts w:hint="eastAsia" w:ascii="黑体" w:hAnsi="黑体" w:eastAsia="黑体"/>
              <w:b w:val="0"/>
              <w:bCs/>
              <w:highlight w:val="none"/>
              <w:lang w:val="en-US" w:eastAsia="zh-CN"/>
            </w:rPr>
            <w:t>2021年度</w:t>
          </w:r>
          <w:r>
            <w:rPr>
              <w:rFonts w:hint="eastAsia" w:ascii="黑体" w:hAnsi="黑体" w:eastAsia="黑体"/>
              <w:b w:val="0"/>
              <w:bCs/>
              <w:highlight w:val="none"/>
            </w:rPr>
            <w:t>部门决算情况说明</w:t>
          </w:r>
          <w:r>
            <w:rPr>
              <w:b w:val="0"/>
              <w:bCs/>
            </w:rPr>
            <w:tab/>
          </w:r>
          <w:r>
            <w:rPr>
              <w:b w:val="0"/>
              <w:bCs/>
            </w:rPr>
            <w:fldChar w:fldCharType="begin"/>
          </w:r>
          <w:r>
            <w:rPr>
              <w:b w:val="0"/>
              <w:bCs/>
            </w:rPr>
            <w:instrText xml:space="preserve"> PAGEREF _Toc26175 \h </w:instrText>
          </w:r>
          <w:r>
            <w:rPr>
              <w:b w:val="0"/>
              <w:bCs/>
            </w:rPr>
            <w:fldChar w:fldCharType="separate"/>
          </w:r>
          <w:r>
            <w:rPr>
              <w:b w:val="0"/>
              <w:bCs/>
            </w:rPr>
            <w:t>6</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_Toc3991 </w:instrText>
          </w:r>
          <w:r>
            <w:rPr>
              <w:b w:val="0"/>
              <w:bCs/>
              <w:highlight w:val="none"/>
            </w:rPr>
            <w:fldChar w:fldCharType="separate"/>
          </w:r>
          <w:r>
            <w:rPr>
              <w:rFonts w:hint="default" w:ascii="黑体" w:hAnsi="黑体" w:eastAsia="黑体"/>
              <w:b w:val="0"/>
              <w:bCs/>
            </w:rPr>
            <w:t xml:space="preserve">一、 </w:t>
          </w:r>
          <w:r>
            <w:rPr>
              <w:rFonts w:hint="eastAsia" w:ascii="黑体" w:hAnsi="黑体" w:eastAsia="黑体"/>
              <w:b w:val="0"/>
              <w:bCs/>
              <w:szCs w:val="32"/>
              <w:highlight w:val="none"/>
            </w:rPr>
            <w:t>收</w:t>
          </w:r>
          <w:r>
            <w:rPr>
              <w:rFonts w:hint="eastAsia" w:ascii="黑体" w:hAnsi="黑体" w:eastAsia="黑体"/>
              <w:b w:val="0"/>
              <w:bCs/>
              <w:highlight w:val="none"/>
            </w:rPr>
            <w:t>入支出决算总体情况说明</w:t>
          </w:r>
          <w:r>
            <w:rPr>
              <w:b w:val="0"/>
              <w:bCs/>
            </w:rPr>
            <w:tab/>
          </w:r>
          <w:r>
            <w:rPr>
              <w:b w:val="0"/>
              <w:bCs/>
            </w:rPr>
            <w:fldChar w:fldCharType="begin"/>
          </w:r>
          <w:r>
            <w:rPr>
              <w:b w:val="0"/>
              <w:bCs/>
            </w:rPr>
            <w:instrText xml:space="preserve"> PAGEREF _Toc3991 \h </w:instrText>
          </w:r>
          <w:r>
            <w:rPr>
              <w:b w:val="0"/>
              <w:bCs/>
            </w:rPr>
            <w:fldChar w:fldCharType="separate"/>
          </w:r>
          <w:r>
            <w:rPr>
              <w:b w:val="0"/>
              <w:bCs/>
            </w:rPr>
            <w:t>6</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_Toc21021 </w:instrText>
          </w:r>
          <w:r>
            <w:rPr>
              <w:b w:val="0"/>
              <w:bCs/>
              <w:highlight w:val="none"/>
            </w:rPr>
            <w:fldChar w:fldCharType="separate"/>
          </w:r>
          <w:r>
            <w:rPr>
              <w:rFonts w:hint="eastAsia" w:ascii="黑体" w:hAnsi="黑体" w:eastAsia="黑体"/>
              <w:b w:val="0"/>
              <w:bCs/>
              <w:szCs w:val="32"/>
              <w:highlight w:val="none"/>
              <w:lang w:eastAsia="zh-CN"/>
            </w:rPr>
            <w:t>三、</w:t>
          </w:r>
          <w:r>
            <w:rPr>
              <w:rFonts w:hint="eastAsia" w:ascii="黑体" w:hAnsi="黑体" w:eastAsia="黑体"/>
              <w:b w:val="0"/>
              <w:bCs/>
              <w:szCs w:val="32"/>
              <w:highlight w:val="none"/>
            </w:rPr>
            <w:t>支</w:t>
          </w:r>
          <w:r>
            <w:rPr>
              <w:rFonts w:hint="eastAsia" w:ascii="黑体" w:hAnsi="黑体" w:eastAsia="黑体"/>
              <w:b w:val="0"/>
              <w:bCs/>
              <w:highlight w:val="none"/>
            </w:rPr>
            <w:t>出决算情况说明</w:t>
          </w:r>
          <w:r>
            <w:rPr>
              <w:b w:val="0"/>
              <w:bCs/>
            </w:rPr>
            <w:tab/>
          </w:r>
          <w:r>
            <w:rPr>
              <w:b w:val="0"/>
              <w:bCs/>
            </w:rPr>
            <w:fldChar w:fldCharType="begin"/>
          </w:r>
          <w:r>
            <w:rPr>
              <w:b w:val="0"/>
              <w:bCs/>
            </w:rPr>
            <w:instrText xml:space="preserve"> PAGEREF _Toc21021 \h </w:instrText>
          </w:r>
          <w:r>
            <w:rPr>
              <w:b w:val="0"/>
              <w:bCs/>
            </w:rPr>
            <w:fldChar w:fldCharType="separate"/>
          </w:r>
          <w:r>
            <w:rPr>
              <w:b w:val="0"/>
              <w:bCs/>
            </w:rPr>
            <w:t>7</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_Toc19458 </w:instrText>
          </w:r>
          <w:r>
            <w:rPr>
              <w:b w:val="0"/>
              <w:bCs/>
              <w:highlight w:val="none"/>
            </w:rPr>
            <w:fldChar w:fldCharType="separate"/>
          </w:r>
          <w:r>
            <w:rPr>
              <w:rFonts w:hint="eastAsia" w:ascii="黑体" w:hAnsi="黑体" w:eastAsia="黑体"/>
              <w:b w:val="0"/>
              <w:bCs/>
              <w:szCs w:val="32"/>
              <w:highlight w:val="none"/>
            </w:rPr>
            <w:t>五、一</w:t>
          </w:r>
          <w:r>
            <w:rPr>
              <w:rFonts w:hint="eastAsia" w:ascii="黑体" w:hAnsi="黑体" w:eastAsia="黑体"/>
              <w:b w:val="0"/>
              <w:bCs/>
              <w:highlight w:val="none"/>
            </w:rPr>
            <w:t>般公共预算财政拨款支出决算情况说明</w:t>
          </w:r>
          <w:r>
            <w:rPr>
              <w:b w:val="0"/>
              <w:bCs/>
            </w:rPr>
            <w:tab/>
          </w:r>
          <w:r>
            <w:rPr>
              <w:b w:val="0"/>
              <w:bCs/>
            </w:rPr>
            <w:fldChar w:fldCharType="begin"/>
          </w:r>
          <w:r>
            <w:rPr>
              <w:b w:val="0"/>
              <w:bCs/>
            </w:rPr>
            <w:instrText xml:space="preserve"> PAGEREF _Toc19458 \h </w:instrText>
          </w:r>
          <w:r>
            <w:rPr>
              <w:b w:val="0"/>
              <w:bCs/>
            </w:rPr>
            <w:fldChar w:fldCharType="separate"/>
          </w:r>
          <w:r>
            <w:rPr>
              <w:b w:val="0"/>
              <w:bCs/>
            </w:rPr>
            <w:t>8</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_Toc6555 </w:instrText>
          </w:r>
          <w:r>
            <w:rPr>
              <w:b w:val="0"/>
              <w:bCs/>
              <w:highlight w:val="none"/>
            </w:rPr>
            <w:fldChar w:fldCharType="separate"/>
          </w:r>
          <w:r>
            <w:rPr>
              <w:rFonts w:hint="eastAsia" w:ascii="黑体" w:eastAsia="黑体"/>
              <w:b w:val="0"/>
              <w:bCs/>
              <w:szCs w:val="32"/>
              <w:highlight w:val="none"/>
            </w:rPr>
            <w:t>七、</w:t>
          </w:r>
          <w:r>
            <w:rPr>
              <w:rFonts w:hint="eastAsia" w:ascii="黑体" w:hAnsi="黑体" w:eastAsia="黑体"/>
              <w:b w:val="0"/>
              <w:bCs/>
              <w:highlight w:val="none"/>
            </w:rPr>
            <w:t>“三公”经费财政拨款支出决算情况说明</w:t>
          </w:r>
          <w:r>
            <w:rPr>
              <w:b w:val="0"/>
              <w:bCs/>
            </w:rPr>
            <w:tab/>
          </w:r>
          <w:r>
            <w:rPr>
              <w:b w:val="0"/>
              <w:bCs/>
            </w:rPr>
            <w:fldChar w:fldCharType="begin"/>
          </w:r>
          <w:r>
            <w:rPr>
              <w:b w:val="0"/>
              <w:bCs/>
            </w:rPr>
            <w:instrText xml:space="preserve"> PAGEREF _Toc6555 \h </w:instrText>
          </w:r>
          <w:r>
            <w:rPr>
              <w:b w:val="0"/>
              <w:bCs/>
            </w:rPr>
            <w:fldChar w:fldCharType="separate"/>
          </w:r>
          <w:r>
            <w:rPr>
              <w:b w:val="0"/>
              <w:bCs/>
            </w:rPr>
            <w:t>13</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_Toc17430 </w:instrText>
          </w:r>
          <w:r>
            <w:rPr>
              <w:b w:val="0"/>
              <w:bCs/>
              <w:highlight w:val="none"/>
            </w:rPr>
            <w:fldChar w:fldCharType="separate"/>
          </w:r>
          <w:r>
            <w:rPr>
              <w:rFonts w:hint="eastAsia" w:ascii="黑体" w:eastAsia="黑体"/>
              <w:b w:val="0"/>
              <w:bCs/>
              <w:szCs w:val="32"/>
              <w:highlight w:val="none"/>
            </w:rPr>
            <w:t>八、</w:t>
          </w:r>
          <w:r>
            <w:rPr>
              <w:rFonts w:hint="eastAsia" w:ascii="黑体" w:hAnsi="黑体" w:eastAsia="黑体"/>
              <w:b w:val="0"/>
              <w:bCs/>
              <w:highlight w:val="none"/>
            </w:rPr>
            <w:t>政府性基金预算支出决算情况说明</w:t>
          </w:r>
          <w:r>
            <w:rPr>
              <w:b w:val="0"/>
              <w:bCs/>
            </w:rPr>
            <w:tab/>
          </w:r>
          <w:r>
            <w:rPr>
              <w:b w:val="0"/>
              <w:bCs/>
            </w:rPr>
            <w:fldChar w:fldCharType="begin"/>
          </w:r>
          <w:r>
            <w:rPr>
              <w:b w:val="0"/>
              <w:bCs/>
            </w:rPr>
            <w:instrText xml:space="preserve"> PAGEREF _Toc17430 \h </w:instrText>
          </w:r>
          <w:r>
            <w:rPr>
              <w:b w:val="0"/>
              <w:bCs/>
            </w:rPr>
            <w:fldChar w:fldCharType="separate"/>
          </w:r>
          <w:r>
            <w:rPr>
              <w:b w:val="0"/>
              <w:bCs/>
            </w:rPr>
            <w:t>14</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_Toc18947 </w:instrText>
          </w:r>
          <w:r>
            <w:rPr>
              <w:b w:val="0"/>
              <w:bCs/>
              <w:highlight w:val="none"/>
            </w:rPr>
            <w:fldChar w:fldCharType="separate"/>
          </w:r>
          <w:r>
            <w:rPr>
              <w:rFonts w:hint="eastAsia" w:ascii="黑体" w:hAnsi="黑体" w:eastAsia="黑体"/>
              <w:b w:val="0"/>
              <w:bCs/>
            </w:rPr>
            <w:t xml:space="preserve">九、 </w:t>
          </w:r>
          <w:r>
            <w:rPr>
              <w:rFonts w:hint="eastAsia" w:ascii="黑体" w:hAnsi="黑体" w:eastAsia="黑体"/>
              <w:b w:val="0"/>
              <w:bCs/>
              <w:highlight w:val="none"/>
            </w:rPr>
            <w:t>国有资本经营预算支出决算情况说明</w:t>
          </w:r>
          <w:r>
            <w:rPr>
              <w:b w:val="0"/>
              <w:bCs/>
            </w:rPr>
            <w:tab/>
          </w:r>
          <w:r>
            <w:rPr>
              <w:b w:val="0"/>
              <w:bCs/>
            </w:rPr>
            <w:fldChar w:fldCharType="begin"/>
          </w:r>
          <w:r>
            <w:rPr>
              <w:b w:val="0"/>
              <w:bCs/>
            </w:rPr>
            <w:instrText xml:space="preserve"> PAGEREF _Toc18947 \h </w:instrText>
          </w:r>
          <w:r>
            <w:rPr>
              <w:b w:val="0"/>
              <w:bCs/>
            </w:rPr>
            <w:fldChar w:fldCharType="separate"/>
          </w:r>
          <w:r>
            <w:rPr>
              <w:b w:val="0"/>
              <w:bCs/>
            </w:rPr>
            <w:t>14</w:t>
          </w:r>
          <w:r>
            <w:rPr>
              <w:b w:val="0"/>
              <w:bCs/>
            </w:rPr>
            <w:fldChar w:fldCharType="end"/>
          </w:r>
          <w:r>
            <w:rPr>
              <w:b w:val="0"/>
              <w:bCs/>
              <w:color w:val="auto"/>
              <w:highlight w:val="none"/>
            </w:rPr>
            <w:fldChar w:fldCharType="end"/>
          </w:r>
        </w:p>
        <w:p>
          <w:pPr>
            <w:pStyle w:val="38"/>
            <w:tabs>
              <w:tab w:val="right" w:leader="dot" w:pos="8306"/>
            </w:tabs>
            <w:rPr>
              <w:b w:val="0"/>
              <w:bCs/>
            </w:rPr>
          </w:pPr>
          <w:r>
            <w:rPr>
              <w:b w:val="0"/>
              <w:bCs/>
              <w:color w:val="auto"/>
              <w:highlight w:val="none"/>
            </w:rPr>
            <w:fldChar w:fldCharType="begin"/>
          </w:r>
          <w:r>
            <w:rPr>
              <w:b w:val="0"/>
              <w:bCs/>
              <w:highlight w:val="none"/>
            </w:rPr>
            <w:instrText xml:space="preserve"> HYPERLINK \l _Toc10896 </w:instrText>
          </w:r>
          <w:r>
            <w:rPr>
              <w:b w:val="0"/>
              <w:bCs/>
              <w:highlight w:val="none"/>
            </w:rPr>
            <w:fldChar w:fldCharType="separate"/>
          </w:r>
          <w:r>
            <w:rPr>
              <w:rFonts w:hint="eastAsia" w:ascii="黑体" w:hAnsi="黑体" w:eastAsia="黑体"/>
              <w:b w:val="0"/>
              <w:bCs/>
            </w:rPr>
            <w:t xml:space="preserve">十、 </w:t>
          </w:r>
          <w:r>
            <w:rPr>
              <w:rFonts w:hint="eastAsia" w:ascii="黑体" w:hAnsi="黑体" w:eastAsia="黑体"/>
              <w:b w:val="0"/>
              <w:bCs/>
              <w:highlight w:val="none"/>
            </w:rPr>
            <w:t>其他重要事项的情况说明</w:t>
          </w:r>
          <w:r>
            <w:rPr>
              <w:b w:val="0"/>
              <w:bCs/>
            </w:rPr>
            <w:tab/>
          </w:r>
          <w:r>
            <w:rPr>
              <w:b w:val="0"/>
              <w:bCs/>
            </w:rPr>
            <w:fldChar w:fldCharType="begin"/>
          </w:r>
          <w:r>
            <w:rPr>
              <w:b w:val="0"/>
              <w:bCs/>
            </w:rPr>
            <w:instrText xml:space="preserve"> PAGEREF _Toc10896 \h </w:instrText>
          </w:r>
          <w:r>
            <w:rPr>
              <w:b w:val="0"/>
              <w:bCs/>
            </w:rPr>
            <w:fldChar w:fldCharType="separate"/>
          </w:r>
          <w:r>
            <w:rPr>
              <w:b w:val="0"/>
              <w:bCs/>
            </w:rPr>
            <w:t>14</w:t>
          </w:r>
          <w:r>
            <w:rPr>
              <w:b w:val="0"/>
              <w:bCs/>
            </w:rPr>
            <w:fldChar w:fldCharType="end"/>
          </w:r>
          <w:r>
            <w:rPr>
              <w:b w:val="0"/>
              <w:bCs/>
              <w:color w:val="auto"/>
              <w:highlight w:val="none"/>
            </w:rPr>
            <w:fldChar w:fldCharType="end"/>
          </w:r>
        </w:p>
        <w:p>
          <w:pPr>
            <w:pStyle w:val="37"/>
            <w:tabs>
              <w:tab w:val="right" w:leader="dot" w:pos="8306"/>
            </w:tabs>
            <w:rPr>
              <w:b w:val="0"/>
              <w:bCs/>
            </w:rPr>
          </w:pPr>
          <w:r>
            <w:rPr>
              <w:b w:val="0"/>
              <w:bCs/>
              <w:color w:val="auto"/>
              <w:highlight w:val="none"/>
            </w:rPr>
            <w:fldChar w:fldCharType="begin"/>
          </w:r>
          <w:r>
            <w:rPr>
              <w:b w:val="0"/>
              <w:bCs/>
              <w:highlight w:val="none"/>
            </w:rPr>
            <w:instrText xml:space="preserve"> HYPERLINK \l _Toc27287 </w:instrText>
          </w:r>
          <w:r>
            <w:rPr>
              <w:b w:val="0"/>
              <w:bCs/>
              <w:highlight w:val="none"/>
            </w:rPr>
            <w:fldChar w:fldCharType="separate"/>
          </w:r>
          <w:r>
            <w:rPr>
              <w:rFonts w:hint="eastAsia" w:ascii="黑体" w:hAnsi="黑体" w:eastAsia="黑体"/>
              <w:b w:val="0"/>
              <w:bCs/>
            </w:rPr>
            <w:t xml:space="preserve">第三部分 </w:t>
          </w:r>
          <w:r>
            <w:rPr>
              <w:rFonts w:hint="eastAsia" w:ascii="黑体" w:hAnsi="黑体" w:eastAsia="黑体"/>
              <w:b w:val="0"/>
              <w:bCs/>
              <w:szCs w:val="44"/>
              <w:highlight w:val="none"/>
            </w:rPr>
            <w:t>名</w:t>
          </w:r>
          <w:r>
            <w:rPr>
              <w:rFonts w:hint="eastAsia" w:ascii="黑体" w:hAnsi="黑体" w:eastAsia="黑体"/>
              <w:b w:val="0"/>
              <w:bCs/>
              <w:highlight w:val="none"/>
            </w:rPr>
            <w:t>词解释</w:t>
          </w:r>
          <w:r>
            <w:rPr>
              <w:b w:val="0"/>
              <w:bCs/>
            </w:rPr>
            <w:tab/>
          </w:r>
          <w:r>
            <w:rPr>
              <w:b w:val="0"/>
              <w:bCs/>
            </w:rPr>
            <w:fldChar w:fldCharType="begin"/>
          </w:r>
          <w:r>
            <w:rPr>
              <w:b w:val="0"/>
              <w:bCs/>
            </w:rPr>
            <w:instrText xml:space="preserve"> PAGEREF _Toc27287 \h </w:instrText>
          </w:r>
          <w:r>
            <w:rPr>
              <w:b w:val="0"/>
              <w:bCs/>
            </w:rPr>
            <w:fldChar w:fldCharType="separate"/>
          </w:r>
          <w:r>
            <w:rPr>
              <w:b w:val="0"/>
              <w:bCs/>
            </w:rPr>
            <w:t>16</w:t>
          </w:r>
          <w:r>
            <w:rPr>
              <w:b w:val="0"/>
              <w:bCs/>
            </w:rPr>
            <w:fldChar w:fldCharType="end"/>
          </w:r>
          <w:r>
            <w:rPr>
              <w:b w:val="0"/>
              <w:bCs/>
              <w:color w:val="auto"/>
              <w:highlight w:val="none"/>
            </w:rPr>
            <w:fldChar w:fldCharType="end"/>
          </w:r>
        </w:p>
        <w:p>
          <w:pPr>
            <w:pStyle w:val="37"/>
            <w:tabs>
              <w:tab w:val="right" w:leader="dot" w:pos="8306"/>
            </w:tabs>
            <w:rPr>
              <w:b w:val="0"/>
              <w:bCs/>
            </w:rPr>
          </w:pPr>
          <w:r>
            <w:rPr>
              <w:b w:val="0"/>
              <w:bCs/>
              <w:color w:val="auto"/>
              <w:highlight w:val="none"/>
            </w:rPr>
            <w:fldChar w:fldCharType="begin"/>
          </w:r>
          <w:r>
            <w:rPr>
              <w:b w:val="0"/>
              <w:bCs/>
              <w:highlight w:val="none"/>
            </w:rPr>
            <w:instrText xml:space="preserve"> HYPERLINK \l _Toc7021 </w:instrText>
          </w:r>
          <w:r>
            <w:rPr>
              <w:b w:val="0"/>
              <w:bCs/>
              <w:highlight w:val="none"/>
            </w:rPr>
            <w:fldChar w:fldCharType="separate"/>
          </w:r>
          <w:r>
            <w:rPr>
              <w:rFonts w:hint="eastAsia" w:ascii="黑体" w:hAnsi="黑体" w:eastAsia="黑体"/>
              <w:b w:val="0"/>
              <w:bCs/>
              <w:szCs w:val="44"/>
              <w:highlight w:val="none"/>
            </w:rPr>
            <w:t>第</w:t>
          </w:r>
          <w:r>
            <w:rPr>
              <w:rFonts w:hint="eastAsia" w:ascii="黑体" w:hAnsi="黑体" w:eastAsia="黑体"/>
              <w:b w:val="0"/>
              <w:bCs/>
              <w:highlight w:val="none"/>
            </w:rPr>
            <w:t>四部分 附件</w:t>
          </w:r>
          <w:r>
            <w:rPr>
              <w:b w:val="0"/>
              <w:bCs/>
            </w:rPr>
            <w:tab/>
          </w:r>
          <w:r>
            <w:rPr>
              <w:b w:val="0"/>
              <w:bCs/>
            </w:rPr>
            <w:fldChar w:fldCharType="begin"/>
          </w:r>
          <w:r>
            <w:rPr>
              <w:b w:val="0"/>
              <w:bCs/>
            </w:rPr>
            <w:instrText xml:space="preserve"> PAGEREF _Toc7021 \h </w:instrText>
          </w:r>
          <w:r>
            <w:rPr>
              <w:b w:val="0"/>
              <w:bCs/>
            </w:rPr>
            <w:fldChar w:fldCharType="separate"/>
          </w:r>
          <w:r>
            <w:rPr>
              <w:b w:val="0"/>
              <w:bCs/>
            </w:rPr>
            <w:t>23</w:t>
          </w:r>
          <w:r>
            <w:rPr>
              <w:b w:val="0"/>
              <w:bCs/>
            </w:rPr>
            <w:fldChar w:fldCharType="end"/>
          </w:r>
          <w:r>
            <w:rPr>
              <w:b w:val="0"/>
              <w:bCs/>
              <w:color w:val="auto"/>
              <w:highlight w:val="none"/>
            </w:rPr>
            <w:fldChar w:fldCharType="end"/>
          </w:r>
        </w:p>
        <w:p>
          <w:pPr>
            <w:pStyle w:val="37"/>
            <w:tabs>
              <w:tab w:val="right" w:leader="dot" w:pos="8306"/>
            </w:tabs>
            <w:rPr>
              <w:b w:val="0"/>
              <w:bCs/>
            </w:rPr>
          </w:pPr>
          <w:r>
            <w:rPr>
              <w:b w:val="0"/>
              <w:bCs/>
              <w:color w:val="auto"/>
              <w:highlight w:val="none"/>
            </w:rPr>
            <w:fldChar w:fldCharType="begin"/>
          </w:r>
          <w:r>
            <w:rPr>
              <w:b w:val="0"/>
              <w:bCs/>
              <w:highlight w:val="none"/>
            </w:rPr>
            <w:instrText xml:space="preserve"> HYPERLINK \l _Toc13406 </w:instrText>
          </w:r>
          <w:r>
            <w:rPr>
              <w:b w:val="0"/>
              <w:bCs/>
              <w:highlight w:val="none"/>
            </w:rPr>
            <w:fldChar w:fldCharType="separate"/>
          </w:r>
          <w:r>
            <w:rPr>
              <w:rFonts w:hint="eastAsia" w:ascii="黑体" w:hAnsi="黑体" w:eastAsia="黑体" w:cs="黑体"/>
              <w:b w:val="0"/>
              <w:bCs/>
              <w:szCs w:val="32"/>
              <w:highlight w:val="none"/>
            </w:rPr>
            <w:t>附件</w:t>
          </w:r>
          <w:r>
            <w:rPr>
              <w:b w:val="0"/>
              <w:bCs/>
            </w:rPr>
            <w:tab/>
          </w:r>
          <w:r>
            <w:rPr>
              <w:b w:val="0"/>
              <w:bCs/>
            </w:rPr>
            <w:fldChar w:fldCharType="begin"/>
          </w:r>
          <w:r>
            <w:rPr>
              <w:b w:val="0"/>
              <w:bCs/>
            </w:rPr>
            <w:instrText xml:space="preserve"> PAGEREF _Toc13406 \h </w:instrText>
          </w:r>
          <w:r>
            <w:rPr>
              <w:b w:val="0"/>
              <w:bCs/>
            </w:rPr>
            <w:fldChar w:fldCharType="separate"/>
          </w:r>
          <w:r>
            <w:rPr>
              <w:b w:val="0"/>
              <w:bCs/>
            </w:rPr>
            <w:t>23</w:t>
          </w:r>
          <w:r>
            <w:rPr>
              <w:b w:val="0"/>
              <w:bCs/>
            </w:rPr>
            <w:fldChar w:fldCharType="end"/>
          </w:r>
          <w:r>
            <w:rPr>
              <w:b w:val="0"/>
              <w:bCs/>
              <w:color w:val="auto"/>
              <w:highlight w:val="none"/>
            </w:rPr>
            <w:fldChar w:fldCharType="end"/>
          </w:r>
        </w:p>
        <w:p>
          <w:pPr>
            <w:pStyle w:val="37"/>
            <w:tabs>
              <w:tab w:val="right" w:leader="dot" w:pos="8306"/>
            </w:tabs>
            <w:rPr>
              <w:b w:val="0"/>
              <w:bCs/>
            </w:rPr>
          </w:pPr>
          <w:r>
            <w:rPr>
              <w:b w:val="0"/>
              <w:bCs/>
              <w:color w:val="auto"/>
              <w:highlight w:val="none"/>
            </w:rPr>
            <w:fldChar w:fldCharType="begin"/>
          </w:r>
          <w:r>
            <w:rPr>
              <w:b w:val="0"/>
              <w:bCs/>
              <w:highlight w:val="none"/>
            </w:rPr>
            <w:instrText xml:space="preserve"> HYPERLINK \l _Toc12063 </w:instrText>
          </w:r>
          <w:r>
            <w:rPr>
              <w:b w:val="0"/>
              <w:bCs/>
              <w:highlight w:val="none"/>
            </w:rPr>
            <w:fldChar w:fldCharType="separate"/>
          </w:r>
          <w:r>
            <w:rPr>
              <w:rFonts w:hint="eastAsia" w:ascii="黑体" w:hAnsi="黑体" w:eastAsia="黑体"/>
              <w:b w:val="0"/>
              <w:bCs/>
              <w:szCs w:val="44"/>
              <w:highlight w:val="none"/>
            </w:rPr>
            <w:t>第</w:t>
          </w:r>
          <w:r>
            <w:rPr>
              <w:rFonts w:hint="eastAsia" w:ascii="黑体" w:hAnsi="黑体" w:eastAsia="黑体"/>
              <w:b w:val="0"/>
              <w:bCs/>
              <w:highlight w:val="none"/>
            </w:rPr>
            <w:t>五部分 附表</w:t>
          </w:r>
          <w:r>
            <w:rPr>
              <w:b w:val="0"/>
              <w:bCs/>
            </w:rPr>
            <w:tab/>
          </w:r>
          <w:r>
            <w:rPr>
              <w:b w:val="0"/>
              <w:bCs/>
            </w:rPr>
            <w:fldChar w:fldCharType="begin"/>
          </w:r>
          <w:r>
            <w:rPr>
              <w:b w:val="0"/>
              <w:bCs/>
            </w:rPr>
            <w:instrText xml:space="preserve"> PAGEREF _Toc12063 \h </w:instrText>
          </w:r>
          <w:r>
            <w:rPr>
              <w:b w:val="0"/>
              <w:bCs/>
            </w:rPr>
            <w:fldChar w:fldCharType="separate"/>
          </w:r>
          <w:r>
            <w:rPr>
              <w:b w:val="0"/>
              <w:bCs/>
            </w:rPr>
            <w:t>32</w:t>
          </w:r>
          <w:r>
            <w:rPr>
              <w:b w:val="0"/>
              <w:bCs/>
            </w:rPr>
            <w:fldChar w:fldCharType="end"/>
          </w:r>
          <w:r>
            <w:rPr>
              <w:b w:val="0"/>
              <w:bCs/>
              <w:color w:val="auto"/>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_Toc21637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一、收入支出决算总表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_Toc21637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_Toc184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二、收入决算表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_Toc184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_Toc32156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三、支出决算表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_Toc32156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_Toc15974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四、财政拨款收入支出决算总表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_Toc15974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_Toc25049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五、财政拨款支出决算明细表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_Toc25049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_Toc24959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六、一般公共预算财政拨款支出决算表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_Toc24959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_Toc4670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七、一般公共预算财政拨款支出决算明细表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_Toc4670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_Toc26589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八、一般公共预算财政拨款基本支出决算表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_Toc26589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_Toc2713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九、一般公共预算财政拨款项目支出决算表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_Toc2713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_Toc26123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十、一般公共预算财政拨款“三公”经费支出决算表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_Toc26123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_Toc15734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十一、政府性基金预算财政拨款收入支出决算表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_Toc15734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_Toc7141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十二、政府性基金预算财政拨款“三公”经费支出决算表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_Toc7141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rFonts w:hint="eastAsia" w:ascii="黑体" w:hAnsi="Times New Roman" w:eastAsia="黑体" w:cs="Times New Roman"/>
              <w:b w:val="0"/>
              <w:bCs/>
              <w:szCs w:val="32"/>
              <w:highlight w:val="none"/>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_Toc11444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十三、国有资本经营预算</w:t>
          </w:r>
          <w:r>
            <w:rPr>
              <w:rFonts w:hint="eastAsia" w:ascii="黑体" w:hAnsi="Times New Roman" w:eastAsia="黑体" w:cs="Times New Roman"/>
              <w:b w:val="0"/>
              <w:bCs/>
              <w:szCs w:val="32"/>
              <w:highlight w:val="none"/>
              <w:lang w:eastAsia="zh-CN"/>
            </w:rPr>
            <w:t>财政拨款收入</w:t>
          </w:r>
          <w:r>
            <w:rPr>
              <w:rFonts w:hint="eastAsia" w:ascii="黑体" w:hAnsi="Times New Roman" w:eastAsia="黑体" w:cs="Times New Roman"/>
              <w:b w:val="0"/>
              <w:bCs/>
              <w:szCs w:val="32"/>
              <w:highlight w:val="none"/>
            </w:rPr>
            <w:t>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_Toc11444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pStyle w:val="38"/>
            <w:tabs>
              <w:tab w:val="right" w:leader="dot" w:pos="8306"/>
            </w:tabs>
            <w:rPr>
              <w:b w:val="0"/>
              <w:bCs/>
            </w:rPr>
          </w:pP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HYPERLINK \l _Toc10080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lang w:eastAsia="zh-CN"/>
            </w:rPr>
            <w:t>十四、国有资本经营预算财政拨款支出决算表</w:t>
          </w:r>
          <w:r>
            <w:rPr>
              <w:rFonts w:hint="eastAsia" w:ascii="黑体" w:hAnsi="Times New Roman" w:eastAsia="黑体" w:cs="Times New Roman"/>
              <w:b w:val="0"/>
              <w:bCs/>
              <w:szCs w:val="32"/>
              <w:highlight w:val="none"/>
            </w:rPr>
            <w:tab/>
          </w:r>
          <w:r>
            <w:rPr>
              <w:rFonts w:hint="eastAsia" w:ascii="黑体" w:hAnsi="Times New Roman" w:eastAsia="黑体" w:cs="Times New Roman"/>
              <w:b w:val="0"/>
              <w:bCs/>
              <w:szCs w:val="32"/>
              <w:highlight w:val="none"/>
            </w:rPr>
            <w:fldChar w:fldCharType="begin"/>
          </w:r>
          <w:r>
            <w:rPr>
              <w:rFonts w:hint="eastAsia" w:ascii="黑体" w:hAnsi="Times New Roman" w:eastAsia="黑体" w:cs="Times New Roman"/>
              <w:b w:val="0"/>
              <w:bCs/>
              <w:szCs w:val="32"/>
              <w:highlight w:val="none"/>
            </w:rPr>
            <w:instrText xml:space="preserve"> PAGEREF _Toc10080 \h </w:instrText>
          </w:r>
          <w:r>
            <w:rPr>
              <w:rFonts w:hint="eastAsia" w:ascii="黑体" w:hAnsi="Times New Roman" w:eastAsia="黑体" w:cs="Times New Roman"/>
              <w:b w:val="0"/>
              <w:bCs/>
              <w:szCs w:val="32"/>
              <w:highlight w:val="none"/>
            </w:rPr>
            <w:fldChar w:fldCharType="separate"/>
          </w:r>
          <w:r>
            <w:rPr>
              <w:rFonts w:hint="eastAsia" w:ascii="黑体" w:hAnsi="Times New Roman" w:eastAsia="黑体" w:cs="Times New Roman"/>
              <w:b w:val="0"/>
              <w:bCs/>
              <w:szCs w:val="32"/>
              <w:highlight w:val="none"/>
            </w:rPr>
            <w:t>32</w:t>
          </w:r>
          <w:r>
            <w:rPr>
              <w:rFonts w:hint="eastAsia" w:ascii="黑体" w:hAnsi="Times New Roman" w:eastAsia="黑体" w:cs="Times New Roman"/>
              <w:b w:val="0"/>
              <w:bCs/>
              <w:szCs w:val="32"/>
              <w:highlight w:val="none"/>
            </w:rPr>
            <w:fldChar w:fldCharType="end"/>
          </w:r>
          <w:r>
            <w:rPr>
              <w:rFonts w:hint="eastAsia" w:ascii="黑体" w:hAnsi="Times New Roman" w:eastAsia="黑体" w:cs="Times New Roman"/>
              <w:b w:val="0"/>
              <w:bCs/>
              <w:szCs w:val="32"/>
              <w:highlight w:val="none"/>
            </w:rPr>
            <w:fldChar w:fldCharType="end"/>
          </w:r>
        </w:p>
        <w:p>
          <w:pPr>
            <w:rPr>
              <w:color w:val="auto"/>
              <w:highlight w:val="none"/>
            </w:rPr>
          </w:pPr>
          <w:r>
            <w:rPr>
              <w:b/>
              <w:color w:val="auto"/>
              <w:highlight w:val="none"/>
            </w:rPr>
            <w:fldChar w:fldCharType="end"/>
          </w:r>
        </w:p>
      </w:sdtContent>
    </w:sdt>
    <w:p>
      <w:pPr>
        <w:pStyle w:val="4"/>
        <w:keepNext/>
        <w:keepLines/>
        <w:pageBreakBefore/>
        <w:widowControl w:val="0"/>
        <w:kinsoku/>
        <w:wordWrap/>
        <w:overflowPunct/>
        <w:topLinePunct w:val="0"/>
        <w:autoSpaceDE/>
        <w:autoSpaceDN/>
        <w:bidi w:val="0"/>
        <w:adjustRightInd/>
        <w:snapToGrid/>
        <w:spacing w:line="579" w:lineRule="auto"/>
        <w:jc w:val="center"/>
        <w:textAlignment w:val="auto"/>
        <w:rPr>
          <w:rFonts w:ascii="黑体" w:eastAsia="黑体"/>
          <w:color w:val="auto"/>
          <w:sz w:val="32"/>
          <w:szCs w:val="32"/>
          <w:highlight w:val="none"/>
        </w:rPr>
      </w:pPr>
      <w:bookmarkStart w:id="8" w:name="_Toc15396599"/>
      <w:bookmarkStart w:id="9" w:name="_Toc8298"/>
      <w:bookmarkStart w:id="10" w:name="_Toc15377196"/>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8"/>
      <w:bookmarkEnd w:id="9"/>
      <w:bookmarkEnd w:id="10"/>
    </w:p>
    <w:p>
      <w:pPr>
        <w:pStyle w:val="5"/>
        <w:rPr>
          <w:rStyle w:val="28"/>
          <w:rFonts w:ascii="仿宋" w:hAnsi="仿宋" w:eastAsia="仿宋"/>
          <w:b w:val="0"/>
          <w:bCs w:val="0"/>
          <w:color w:val="auto"/>
          <w:highlight w:val="none"/>
        </w:rPr>
      </w:pPr>
      <w:bookmarkStart w:id="11" w:name="_Toc15377197"/>
      <w:bookmarkStart w:id="12" w:name="_Toc15396600"/>
      <w:bookmarkStart w:id="13" w:name="_Toc3918"/>
      <w:r>
        <w:rPr>
          <w:rFonts w:hint="eastAsia" w:ascii="黑体" w:hAnsi="黑体" w:eastAsia="黑体"/>
          <w:b w:val="0"/>
          <w:color w:val="auto"/>
          <w:highlight w:val="none"/>
        </w:rPr>
        <w:t>一、基</w:t>
      </w:r>
      <w:r>
        <w:rPr>
          <w:rStyle w:val="28"/>
          <w:rFonts w:hint="eastAsia" w:ascii="黑体" w:hAnsi="黑体" w:eastAsia="黑体"/>
          <w:b w:val="0"/>
          <w:bCs w:val="0"/>
          <w:color w:val="auto"/>
          <w:highlight w:val="none"/>
        </w:rPr>
        <w:t>本职能及主要工作</w:t>
      </w:r>
      <w:bookmarkEnd w:id="11"/>
      <w:bookmarkEnd w:id="12"/>
      <w:bookmarkEnd w:id="13"/>
    </w:p>
    <w:p>
      <w:pPr>
        <w:pStyle w:val="7"/>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4" w:name="_Toc15377198"/>
      <w:bookmarkStart w:id="15" w:name="_Toc15378445"/>
      <w:r>
        <w:rPr>
          <w:rFonts w:hint="eastAsia" w:ascii="仿宋" w:hAnsi="仿宋" w:eastAsia="仿宋"/>
          <w:bCs/>
          <w:color w:val="auto"/>
          <w:sz w:val="32"/>
          <w:szCs w:val="32"/>
          <w:highlight w:val="none"/>
        </w:rPr>
        <w:t>（一）主要职能</w:t>
      </w:r>
      <w:bookmarkEnd w:id="14"/>
      <w:bookmarkEnd w:id="15"/>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执行国家行政机关的决定、命令和国家制定的法令、法规，执行本级人民代表大会的各项决议，并报告执行决议、决定和命令的情况。</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 xml:space="preserve"> 制定并落实本行政区域的经济计划和措施，全面提高人民群众的生活水平和生活质量。</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承担国有资产、集体资产管理、监督及增值保值责任。</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开展社会主义民主和法制的宣传教育，保障公民的权利，打击违法犯罪，维护社会稳定。</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制定社会各项事业发展计划，发展教育、卫生、科技、民政、广播电视、文化、体育事业；加强计划生育工作；推进社会保障、社会福利事业和养老保险等工作。</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rPr>
        <w:t>加强镇级财政的监督和管理。</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7.</w:t>
      </w:r>
      <w:r>
        <w:rPr>
          <w:rFonts w:hint="eastAsia" w:ascii="仿宋" w:hAnsi="仿宋" w:eastAsia="仿宋"/>
          <w:bCs/>
          <w:color w:val="000000"/>
          <w:sz w:val="32"/>
          <w:szCs w:val="32"/>
        </w:rPr>
        <w:t>指导村（居）民委员会的组织制度建设和业务建设，促进村（居）民委员会民主自治。</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8.</w:t>
      </w:r>
      <w:r>
        <w:rPr>
          <w:rFonts w:hint="eastAsia" w:ascii="仿宋" w:hAnsi="仿宋" w:eastAsia="仿宋"/>
          <w:bCs/>
          <w:color w:val="000000"/>
          <w:sz w:val="32"/>
          <w:szCs w:val="32"/>
        </w:rPr>
        <w:t>制定和组织实施镇村建设规划，保护和改善生活环境和生态环境。</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协助和支持设置在本行政区域内不隶属于镇的国家机关和企事业单位工作，监督其遵守和执行国家的法律、法规和政策。</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10.</w:t>
      </w:r>
      <w:r>
        <w:rPr>
          <w:rFonts w:hint="eastAsia" w:ascii="仿宋" w:hAnsi="仿宋" w:eastAsia="仿宋"/>
          <w:bCs/>
          <w:color w:val="000000"/>
          <w:sz w:val="32"/>
          <w:szCs w:val="32"/>
        </w:rPr>
        <w:t xml:space="preserve"> 承办本级党委、人大和上级交办的</w:t>
      </w:r>
      <w:r>
        <w:rPr>
          <w:rFonts w:hint="eastAsia" w:ascii="仿宋" w:hAnsi="仿宋" w:eastAsia="仿宋"/>
          <w:bCs/>
          <w:color w:val="000000"/>
          <w:sz w:val="32"/>
          <w:szCs w:val="32"/>
          <w:lang w:eastAsia="zh-CN"/>
        </w:rPr>
        <w:t>其他事项</w:t>
      </w:r>
    </w:p>
    <w:p>
      <w:pPr>
        <w:pStyle w:val="7"/>
        <w:adjustRightInd w:val="0"/>
        <w:snapToGrid w:val="0"/>
        <w:spacing w:before="93" w:line="600" w:lineRule="exact"/>
        <w:outlineLvl w:val="2"/>
        <w:rPr>
          <w:rFonts w:hint="eastAsia" w:ascii="仿宋" w:hAnsi="仿宋" w:eastAsia="仿宋"/>
          <w:bCs/>
          <w:color w:val="auto"/>
          <w:sz w:val="32"/>
          <w:szCs w:val="32"/>
          <w:highlight w:val="none"/>
        </w:rPr>
      </w:pPr>
      <w:bookmarkStart w:id="16" w:name="_Toc15378446"/>
      <w:bookmarkStart w:id="17" w:name="_Toc15377199"/>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6"/>
      <w:bookmarkEnd w:id="17"/>
    </w:p>
    <w:p>
      <w:pPr>
        <w:pStyle w:val="5"/>
        <w:numPr>
          <w:ilvl w:val="0"/>
          <w:numId w:val="0"/>
        </w:numPr>
        <w:ind w:firstLine="640" w:firstLineChars="200"/>
        <w:rPr>
          <w:rFonts w:hint="eastAsia" w:ascii="仿宋" w:hAnsi="仿宋" w:eastAsia="仿宋" w:cs="仿宋"/>
          <w:b w:val="0"/>
          <w:bCs w:val="0"/>
          <w:spacing w:val="0"/>
          <w:sz w:val="32"/>
          <w:szCs w:val="32"/>
          <w:lang w:val="en-US" w:eastAsia="zh-CN"/>
        </w:rPr>
      </w:pPr>
      <w:bookmarkStart w:id="18" w:name="_Toc199"/>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保障民生，持续巩固脱贫成果。</w:t>
      </w:r>
      <w:r>
        <w:rPr>
          <w:rFonts w:hint="eastAsia" w:ascii="仿宋" w:hAnsi="仿宋" w:eastAsia="仿宋" w:cs="仿宋"/>
          <w:b w:val="0"/>
          <w:bCs w:val="0"/>
          <w:spacing w:val="0"/>
          <w:sz w:val="32"/>
          <w:szCs w:val="32"/>
          <w:lang w:val="en-US" w:eastAsia="zh-CN"/>
        </w:rPr>
        <w:t>按照“四个不摘”要求，落实提升脱贫质量、巩固脱贫成果“双十条”措施，防止返贫动态监测32户89人，地灾避险群众5户；</w:t>
      </w:r>
      <w:r>
        <w:rPr>
          <w:rFonts w:hint="eastAsia" w:ascii="仿宋" w:hAnsi="仿宋" w:eastAsia="仿宋" w:cs="仿宋"/>
          <w:b w:val="0"/>
          <w:bCs w:val="0"/>
          <w:sz w:val="32"/>
          <w:szCs w:val="32"/>
          <w:lang w:val="en-US" w:eastAsia="zh-CN"/>
        </w:rPr>
        <w:t>城乡居民基本养老保险、医疗保险参保达</w:t>
      </w:r>
      <w:r>
        <w:rPr>
          <w:rFonts w:hint="eastAsia" w:ascii="仿宋" w:hAnsi="仿宋" w:eastAsia="仿宋" w:cs="仿宋"/>
          <w:b w:val="0"/>
          <w:bCs w:val="0"/>
          <w:spacing w:val="0"/>
          <w:sz w:val="32"/>
          <w:szCs w:val="32"/>
          <w:lang w:val="en-US" w:eastAsia="zh-CN"/>
        </w:rPr>
        <w:t>2.2</w:t>
      </w:r>
      <w:r>
        <w:rPr>
          <w:rFonts w:hint="eastAsia" w:ascii="仿宋" w:hAnsi="仿宋" w:eastAsia="仿宋" w:cs="仿宋"/>
          <w:b w:val="0"/>
          <w:bCs w:val="0"/>
          <w:sz w:val="32"/>
          <w:szCs w:val="32"/>
          <w:lang w:val="en-US" w:eastAsia="zh-CN"/>
        </w:rPr>
        <w:t>余万人次、覆盖率100%</w:t>
      </w:r>
      <w:r>
        <w:rPr>
          <w:rFonts w:hint="eastAsia" w:ascii="仿宋" w:hAnsi="仿宋" w:eastAsia="仿宋" w:cs="仿宋"/>
          <w:b w:val="0"/>
          <w:bCs w:val="0"/>
          <w:spacing w:val="0"/>
          <w:sz w:val="32"/>
          <w:szCs w:val="32"/>
          <w:lang w:val="en-US" w:eastAsia="zh-CN"/>
        </w:rPr>
        <w:t>。</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聚力攻坚，筑牢疫情防控战线</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积极推进疫苗接种，加快构建免疫屏障，12周岁以上人群接种新冠疫苗20210人，接种率为</w:t>
      </w:r>
      <w:r>
        <w:rPr>
          <w:rFonts w:hint="eastAsia" w:ascii="仿宋" w:hAnsi="仿宋" w:eastAsia="仿宋" w:cs="仿宋"/>
          <w:b w:val="0"/>
          <w:bCs w:val="0"/>
          <w:spacing w:val="0"/>
          <w:sz w:val="32"/>
          <w:szCs w:val="32"/>
          <w:lang w:val="en-US" w:eastAsia="zh-CN"/>
        </w:rPr>
        <w:t>99.83%</w:t>
      </w:r>
      <w:r>
        <w:rPr>
          <w:rFonts w:hint="eastAsia" w:ascii="仿宋" w:hAnsi="仿宋" w:eastAsia="仿宋" w:cs="仿宋"/>
          <w:sz w:val="32"/>
          <w:szCs w:val="32"/>
          <w:lang w:val="en-US" w:eastAsia="zh-CN"/>
        </w:rPr>
        <w:t>，圆满完成县下达目标任务。累计排查中高风险地区返乡（涪）人员</w:t>
      </w:r>
      <w:r>
        <w:rPr>
          <w:rFonts w:hint="eastAsia" w:ascii="仿宋" w:hAnsi="仿宋" w:eastAsia="仿宋" w:cs="仿宋"/>
          <w:b w:val="0"/>
          <w:bCs w:val="0"/>
          <w:spacing w:val="0"/>
          <w:sz w:val="32"/>
          <w:szCs w:val="32"/>
          <w:lang w:val="en-US" w:eastAsia="zh-CN"/>
        </w:rPr>
        <w:t>300</w:t>
      </w:r>
      <w:r>
        <w:rPr>
          <w:rFonts w:hint="eastAsia" w:ascii="仿宋" w:hAnsi="仿宋" w:eastAsia="仿宋" w:cs="仿宋"/>
          <w:sz w:val="32"/>
          <w:szCs w:val="32"/>
          <w:lang w:val="en-US" w:eastAsia="zh-CN"/>
        </w:rPr>
        <w:t>余人，严格按照</w:t>
      </w:r>
      <w:r>
        <w:rPr>
          <w:rFonts w:hint="eastAsia" w:ascii="仿宋" w:hAnsi="仿宋" w:eastAsia="仿宋" w:cs="仿宋"/>
          <w:b w:val="0"/>
          <w:bCs w:val="0"/>
          <w:spacing w:val="0"/>
          <w:sz w:val="32"/>
          <w:szCs w:val="32"/>
          <w:lang w:val="en-US" w:eastAsia="zh-CN"/>
        </w:rPr>
        <w:t>“14+7”</w:t>
      </w:r>
      <w:r>
        <w:rPr>
          <w:rFonts w:hint="eastAsia" w:ascii="仿宋" w:hAnsi="仿宋" w:eastAsia="仿宋" w:cs="仿宋"/>
          <w:sz w:val="32"/>
          <w:szCs w:val="32"/>
          <w:lang w:val="en-US" w:eastAsia="zh-CN"/>
        </w:rPr>
        <w:t>疫情防控要求，确保辖区疫情</w:t>
      </w:r>
      <w:r>
        <w:rPr>
          <w:rFonts w:hint="eastAsia" w:ascii="仿宋" w:hAnsi="仿宋" w:eastAsia="仿宋" w:cs="仿宋"/>
          <w:b w:val="0"/>
          <w:bCs w:val="0"/>
          <w:spacing w:val="0"/>
          <w:sz w:val="32"/>
          <w:szCs w:val="32"/>
          <w:lang w:val="en-US" w:eastAsia="zh-CN"/>
        </w:rPr>
        <w:t>“0”</w:t>
      </w:r>
      <w:r>
        <w:rPr>
          <w:rFonts w:hint="eastAsia" w:ascii="仿宋" w:hAnsi="仿宋" w:eastAsia="仿宋" w:cs="仿宋"/>
          <w:sz w:val="32"/>
          <w:szCs w:val="32"/>
          <w:lang w:val="en-US" w:eastAsia="zh-CN"/>
        </w:rPr>
        <w:t>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真抓实干，产业发展提质增效。</w:t>
      </w:r>
      <w:r>
        <w:rPr>
          <w:rFonts w:hint="eastAsia" w:ascii="仿宋" w:hAnsi="仿宋" w:eastAsia="仿宋" w:cs="仿宋"/>
          <w:b w:val="0"/>
          <w:bCs w:val="0"/>
          <w:spacing w:val="0"/>
          <w:sz w:val="32"/>
          <w:szCs w:val="32"/>
          <w:lang w:val="en-US" w:eastAsia="zh-CN"/>
        </w:rPr>
        <w:t>粮油产量达4.5万吨；种植食用菌（两耳一菇）20万袋，产值1680万元；建成青花椒产业园2000余亩；出栏生猪3.5万头。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综合整治，城乡面貌焕然一新。</w:t>
      </w:r>
      <w:r>
        <w:rPr>
          <w:rFonts w:hint="eastAsia" w:ascii="仿宋" w:hAnsi="仿宋" w:eastAsia="仿宋" w:cs="仿宋"/>
          <w:b w:val="0"/>
          <w:bCs w:val="0"/>
          <w:spacing w:val="0"/>
          <w:sz w:val="32"/>
          <w:szCs w:val="32"/>
          <w:lang w:val="en-US" w:eastAsia="zh-CN"/>
        </w:rPr>
        <w:t>开展环境综合治理，</w:t>
      </w:r>
      <w:r>
        <w:rPr>
          <w:rFonts w:hint="eastAsia" w:ascii="仿宋" w:hAnsi="仿宋" w:eastAsia="仿宋" w:cs="仿宋"/>
          <w:b w:val="0"/>
          <w:bCs w:val="0"/>
          <w:sz w:val="32"/>
          <w:szCs w:val="32"/>
          <w:lang w:val="en-US" w:eastAsia="zh-CN"/>
        </w:rPr>
        <w:t>新建</w:t>
      </w:r>
      <w:r>
        <w:rPr>
          <w:rFonts w:hint="eastAsia" w:ascii="仿宋" w:hAnsi="仿宋" w:eastAsia="仿宋" w:cs="仿宋"/>
          <w:b w:val="0"/>
          <w:bCs w:val="0"/>
          <w:sz w:val="32"/>
          <w:szCs w:val="32"/>
        </w:rPr>
        <w:t>垃圾中转站</w:t>
      </w:r>
      <w:r>
        <w:rPr>
          <w:rFonts w:hint="eastAsia" w:ascii="仿宋" w:hAnsi="仿宋" w:eastAsia="仿宋" w:cs="仿宋"/>
          <w:b w:val="0"/>
          <w:bCs w:val="0"/>
          <w:spacing w:val="0"/>
          <w:sz w:val="32"/>
          <w:szCs w:val="32"/>
          <w:lang w:val="en-US" w:eastAsia="zh-CN"/>
        </w:rPr>
        <w:t>1</w:t>
      </w:r>
      <w:r>
        <w:rPr>
          <w:rFonts w:hint="eastAsia" w:ascii="仿宋" w:hAnsi="仿宋" w:eastAsia="仿宋" w:cs="仿宋"/>
          <w:b w:val="0"/>
          <w:bCs w:val="0"/>
          <w:sz w:val="32"/>
          <w:szCs w:val="32"/>
          <w:lang w:val="en-US" w:eastAsia="zh-CN"/>
        </w:rPr>
        <w:t>个，增添垃圾箱（池）20余个。</w:t>
      </w:r>
      <w:r>
        <w:rPr>
          <w:rFonts w:hint="eastAsia" w:ascii="仿宋" w:hAnsi="仿宋" w:eastAsia="仿宋" w:cs="仿宋"/>
          <w:b w:val="0"/>
          <w:bCs w:val="0"/>
          <w:spacing w:val="0"/>
          <w:sz w:val="32"/>
          <w:szCs w:val="32"/>
          <w:lang w:eastAsia="zh-CN"/>
        </w:rPr>
        <w:t>扎实开展“七五”普法和“法律七进”活动</w:t>
      </w:r>
      <w:r>
        <w:rPr>
          <w:rFonts w:hint="eastAsia" w:ascii="仿宋" w:hAnsi="仿宋" w:eastAsia="仿宋" w:cs="仿宋"/>
          <w:b w:val="0"/>
          <w:bCs w:val="0"/>
          <w:spacing w:val="0"/>
          <w:sz w:val="32"/>
          <w:szCs w:val="32"/>
          <w:lang w:val="en-US" w:eastAsia="zh-CN"/>
        </w:rPr>
        <w:t>10余次，开展地质灾害隐患点和安全隐患排查20余次。</w:t>
      </w:r>
    </w:p>
    <w:p>
      <w:pPr>
        <w:pStyle w:val="7"/>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5.务实作风，自身建设全面加强。扎实开展党史学习教育、“不忘初心、牢记使命”主题教育，</w:t>
      </w:r>
      <w:r>
        <w:rPr>
          <w:rFonts w:hint="eastAsia" w:ascii="仿宋" w:hAnsi="仿宋" w:eastAsia="仿宋" w:cs="仿宋"/>
          <w:b w:val="0"/>
          <w:bCs w:val="0"/>
          <w:spacing w:val="0"/>
          <w:sz w:val="32"/>
          <w:szCs w:val="32"/>
          <w:lang w:eastAsia="zh-CN"/>
        </w:rPr>
        <w:t>全面扛牢全面从严治党主体责任和“一岗双责”，正风肃纪，</w:t>
      </w:r>
      <w:r>
        <w:rPr>
          <w:rFonts w:hint="eastAsia" w:ascii="仿宋" w:hAnsi="仿宋" w:eastAsia="仿宋" w:cs="仿宋"/>
          <w:b w:val="0"/>
          <w:bCs w:val="0"/>
          <w:sz w:val="32"/>
          <w:szCs w:val="32"/>
          <w:lang w:val="en-US" w:eastAsia="zh-CN"/>
        </w:rPr>
        <w:t>“四个意识”更加牢固、“四个自信”更加坚定、“两个维护”更加坚决。</w:t>
      </w:r>
    </w:p>
    <w:p>
      <w:pPr>
        <w:pStyle w:val="5"/>
        <w:rPr>
          <w:rStyle w:val="28"/>
          <w:b w:val="0"/>
          <w:bCs w:val="0"/>
          <w:color w:val="auto"/>
          <w:highlight w:val="none"/>
        </w:rPr>
      </w:pPr>
      <w:bookmarkStart w:id="19" w:name="_Toc5855"/>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19"/>
      <w:bookmarkEnd w:id="20"/>
      <w:bookmarkEnd w:id="21"/>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bookmarkStart w:id="22" w:name="_Toc15396602"/>
      <w:bookmarkStart w:id="23" w:name="_Toc15377204"/>
      <w:r>
        <w:rPr>
          <w:rFonts w:hint="eastAsia" w:ascii="仿宋" w:hAnsi="仿宋" w:eastAsia="仿宋"/>
          <w:bCs/>
          <w:color w:val="000000"/>
          <w:sz w:val="32"/>
          <w:szCs w:val="32"/>
          <w:lang w:val="en-US" w:eastAsia="zh-CN"/>
        </w:rPr>
        <w:t>涪阳镇下属二级单位6个，其中行政单位1个，参照公务员管理的事业单位0个，其他事业单位5个。</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纳入涪阳镇2021年度部门决算编制范围的二级预算单位包括：</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1.涪阳中学</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2.涪阳中心卫生院</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3.涪阳镇中心小学</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4.涪阳镇草池小学</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5.涪阳镇草池卫生院</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6.涪阳镇人民政府（本级）</w:t>
      </w:r>
    </w:p>
    <w:p>
      <w:pPr>
        <w:pStyle w:val="7"/>
        <w:adjustRightInd w:val="0"/>
        <w:snapToGrid w:val="0"/>
        <w:spacing w:before="93" w:line="600" w:lineRule="exact"/>
        <w:ind w:firstLine="640" w:firstLineChars="200"/>
        <w:outlineLvl w:val="9"/>
        <w:rPr>
          <w:rFonts w:hint="eastAsia" w:ascii="仿宋" w:hAnsi="仿宋" w:eastAsia="仿宋"/>
          <w:bCs/>
          <w:color w:val="000000"/>
          <w:sz w:val="32"/>
          <w:szCs w:val="32"/>
          <w:lang w:val="en-US" w:eastAsia="zh-CN"/>
        </w:rPr>
      </w:pPr>
    </w:p>
    <w:p>
      <w:pPr>
        <w:pStyle w:val="4"/>
        <w:keepNext/>
        <w:keepLines/>
        <w:pageBreakBefore/>
        <w:widowControl w:val="0"/>
        <w:kinsoku/>
        <w:wordWrap/>
        <w:overflowPunct/>
        <w:topLinePunct w:val="0"/>
        <w:autoSpaceDE/>
        <w:autoSpaceDN/>
        <w:bidi w:val="0"/>
        <w:adjustRightInd/>
        <w:snapToGrid/>
        <w:spacing w:line="579" w:lineRule="auto"/>
        <w:ind w:right="442"/>
        <w:jc w:val="center"/>
        <w:textAlignment w:val="auto"/>
        <w:rPr>
          <w:rStyle w:val="27"/>
          <w:rFonts w:ascii="黑体" w:hAnsi="黑体" w:eastAsia="黑体"/>
          <w:b w:val="0"/>
          <w:bCs/>
          <w:color w:val="auto"/>
          <w:highlight w:val="none"/>
        </w:rPr>
      </w:pPr>
      <w:bookmarkStart w:id="24" w:name="_Toc26175"/>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rPr>
        <w:t>部门决算情况说明</w:t>
      </w:r>
      <w:bookmarkEnd w:id="22"/>
      <w:bookmarkEnd w:id="23"/>
      <w:bookmarkEnd w:id="24"/>
    </w:p>
    <w:p>
      <w:pPr>
        <w:rPr>
          <w:color w:val="auto"/>
          <w:highlight w:val="none"/>
        </w:rPr>
      </w:pP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5" w:name="_Toc15377205"/>
      <w:bookmarkStart w:id="26" w:name="_Toc15396603"/>
      <w:bookmarkStart w:id="27" w:name="_Toc3991"/>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收入</w:t>
      </w:r>
      <w:r>
        <w:rPr>
          <w:rFonts w:hint="eastAsia" w:ascii="仿宋" w:hAnsi="仿宋" w:eastAsia="仿宋"/>
          <w:color w:val="000000"/>
          <w:sz w:val="32"/>
          <w:szCs w:val="32"/>
          <w:lang w:val="en-US" w:eastAsia="zh-CN"/>
        </w:rPr>
        <w:t>10524.89万元，支出11056.7万元，收、</w:t>
      </w:r>
      <w:r>
        <w:rPr>
          <w:rFonts w:hint="eastAsia" w:ascii="仿宋" w:hAnsi="仿宋" w:eastAsia="仿宋"/>
          <w:color w:val="000000"/>
          <w:sz w:val="32"/>
          <w:szCs w:val="32"/>
        </w:rPr>
        <w:t>支总计</w:t>
      </w:r>
      <w:r>
        <w:rPr>
          <w:rFonts w:hint="eastAsia" w:ascii="仿宋" w:hAnsi="仿宋" w:eastAsia="仿宋"/>
          <w:color w:val="000000"/>
          <w:sz w:val="32"/>
          <w:szCs w:val="32"/>
          <w:lang w:val="en-US" w:eastAsia="zh-CN"/>
        </w:rPr>
        <w:t>21581.59</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收入增加</w:t>
      </w:r>
      <w:r>
        <w:rPr>
          <w:rFonts w:hint="eastAsia" w:ascii="仿宋" w:hAnsi="仿宋" w:eastAsia="仿宋"/>
          <w:color w:val="000000"/>
          <w:sz w:val="32"/>
          <w:szCs w:val="32"/>
          <w:lang w:val="en-US" w:eastAsia="zh-CN"/>
        </w:rPr>
        <w:t>59.6万元，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0.57%，</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460.35万元，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4.16%。收、支总计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519.95万元，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 xml:space="preserve">2.41%。主要变动原因是2021年疫情防控、产业发展增加。 </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000000"/>
          <w:sz w:val="32"/>
          <w:szCs w:val="32"/>
          <w:lang w:val="en-US" w:eastAsia="zh-CN"/>
        </w:rPr>
        <w:t xml:space="preserve"> </w: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jc w:val="left"/>
        <w:rPr>
          <w:rStyle w:val="28"/>
          <w:rFonts w:ascii="黑体" w:hAnsi="黑体" w:eastAsia="黑体"/>
          <w:b w:val="0"/>
          <w:color w:val="auto"/>
          <w:highlight w:val="none"/>
        </w:rPr>
      </w:pPr>
      <w:r>
        <w:rPr>
          <w:rFonts w:hint="eastAsia" w:ascii="黑体" w:hAnsi="黑体" w:eastAsia="黑体"/>
          <w:color w:val="auto"/>
          <w:sz w:val="32"/>
          <w:szCs w:val="32"/>
          <w:highlight w:val="none"/>
          <w:lang w:eastAsia="zh-CN"/>
        </w:rPr>
        <w:drawing>
          <wp:anchor distT="0" distB="0" distL="114300" distR="114300" simplePos="0" relativeHeight="251659264" behindDoc="1" locked="0" layoutInCell="1" allowOverlap="1">
            <wp:simplePos x="0" y="0"/>
            <wp:positionH relativeFrom="column">
              <wp:posOffset>-436880</wp:posOffset>
            </wp:positionH>
            <wp:positionV relativeFrom="paragraph">
              <wp:posOffset>186690</wp:posOffset>
            </wp:positionV>
            <wp:extent cx="6348730" cy="2750820"/>
            <wp:effectExtent l="4445" t="4445" r="9525" b="45085"/>
            <wp:wrapTight wrapText="bothSides">
              <wp:wrapPolygon>
                <wp:start x="-15" y="-35"/>
                <wp:lineTo x="-15" y="21505"/>
                <wp:lineTo x="21568" y="21505"/>
                <wp:lineTo x="21568" y="-35"/>
                <wp:lineTo x="-15" y="-3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Start w:id="28" w:name="_Toc15396604"/>
      <w:bookmarkStart w:id="29" w:name="_Toc15377206"/>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8"/>
      <w:bookmarkEnd w:id="29"/>
    </w:p>
    <w:p>
      <w:pPr>
        <w:spacing w:line="600" w:lineRule="exact"/>
        <w:ind w:firstLine="640" w:firstLineChars="200"/>
        <w:outlineLvl w:val="1"/>
        <w:rPr>
          <w:rFonts w:ascii="仿宋" w:hAnsi="仿宋" w:eastAsia="仿宋"/>
          <w:color w:val="auto"/>
          <w:sz w:val="32"/>
          <w:szCs w:val="32"/>
          <w:highlight w:val="none"/>
        </w:rPr>
      </w:pPr>
      <w:bookmarkStart w:id="30" w:name="_Toc1020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10524.89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9556.2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35.73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0.34</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825.91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107.05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0"/>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s="仿宋"/>
          <w:sz w:val="32"/>
          <w:szCs w:val="32"/>
          <w:lang w:eastAsia="zh-CN"/>
        </w:rPr>
        <w:drawing>
          <wp:anchor distT="0" distB="0" distL="114300" distR="114300" simplePos="0" relativeHeight="251660288" behindDoc="1" locked="0" layoutInCell="1" allowOverlap="1">
            <wp:simplePos x="0" y="0"/>
            <wp:positionH relativeFrom="column">
              <wp:posOffset>-27305</wp:posOffset>
            </wp:positionH>
            <wp:positionV relativeFrom="paragraph">
              <wp:posOffset>367030</wp:posOffset>
            </wp:positionV>
            <wp:extent cx="5007610" cy="2146300"/>
            <wp:effectExtent l="4445" t="4445" r="17145" b="59055"/>
            <wp:wrapTight wrapText="bothSides">
              <wp:wrapPolygon>
                <wp:start x="-19" y="-45"/>
                <wp:lineTo x="-19" y="21427"/>
                <wp:lineTo x="21510" y="21427"/>
                <wp:lineTo x="21510" y="-45"/>
                <wp:lineTo x="-19" y="-45"/>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6"/>
        <w:numPr>
          <w:ilvl w:val="0"/>
          <w:numId w:val="0"/>
        </w:numPr>
        <w:spacing w:line="600" w:lineRule="exact"/>
        <w:ind w:left="640" w:leftChars="0"/>
        <w:outlineLvl w:val="9"/>
        <w:rPr>
          <w:rFonts w:hint="eastAsia" w:ascii="黑体" w:hAnsi="黑体" w:eastAsia="黑体"/>
          <w:color w:val="auto"/>
          <w:sz w:val="32"/>
          <w:szCs w:val="32"/>
          <w:highlight w:val="none"/>
          <w:lang w:eastAsia="zh-CN"/>
        </w:rPr>
      </w:pPr>
      <w:bookmarkStart w:id="31" w:name="_Toc15377207"/>
      <w:bookmarkStart w:id="32" w:name="_Toc15396605"/>
    </w:p>
    <w:p>
      <w:pPr>
        <w:pStyle w:val="26"/>
        <w:numPr>
          <w:ilvl w:val="0"/>
          <w:numId w:val="0"/>
        </w:numPr>
        <w:spacing w:line="600" w:lineRule="exact"/>
        <w:ind w:left="640" w:leftChars="0"/>
        <w:outlineLvl w:val="9"/>
        <w:rPr>
          <w:rFonts w:hint="eastAsia" w:ascii="黑体" w:hAnsi="黑体" w:eastAsia="黑体"/>
          <w:color w:val="auto"/>
          <w:sz w:val="32"/>
          <w:szCs w:val="32"/>
          <w:highlight w:val="none"/>
          <w:lang w:eastAsia="zh-CN"/>
        </w:rPr>
      </w:pPr>
    </w:p>
    <w:p>
      <w:pPr>
        <w:pStyle w:val="26"/>
        <w:numPr>
          <w:ilvl w:val="0"/>
          <w:numId w:val="0"/>
        </w:numPr>
        <w:spacing w:line="600" w:lineRule="exact"/>
        <w:ind w:left="640" w:leftChars="0"/>
        <w:outlineLvl w:val="9"/>
        <w:rPr>
          <w:rFonts w:hint="eastAsia" w:ascii="黑体" w:hAnsi="黑体" w:eastAsia="黑体"/>
          <w:color w:val="auto"/>
          <w:sz w:val="32"/>
          <w:szCs w:val="32"/>
          <w:highlight w:val="none"/>
          <w:lang w:eastAsia="zh-CN"/>
        </w:rPr>
      </w:pPr>
    </w:p>
    <w:p>
      <w:pPr>
        <w:pStyle w:val="26"/>
        <w:numPr>
          <w:ilvl w:val="0"/>
          <w:numId w:val="0"/>
        </w:numPr>
        <w:spacing w:line="600" w:lineRule="exact"/>
        <w:ind w:left="640" w:leftChars="0"/>
        <w:outlineLvl w:val="9"/>
        <w:rPr>
          <w:rFonts w:hint="eastAsia" w:ascii="黑体" w:hAnsi="黑体" w:eastAsia="黑体"/>
          <w:color w:val="auto"/>
          <w:sz w:val="32"/>
          <w:szCs w:val="32"/>
          <w:highlight w:val="none"/>
          <w:lang w:eastAsia="zh-CN"/>
        </w:rPr>
      </w:pPr>
    </w:p>
    <w:p>
      <w:pPr>
        <w:pStyle w:val="26"/>
        <w:numPr>
          <w:ilvl w:val="0"/>
          <w:numId w:val="0"/>
        </w:numPr>
        <w:spacing w:line="600" w:lineRule="exact"/>
        <w:ind w:left="640" w:leftChars="0"/>
        <w:outlineLvl w:val="9"/>
        <w:rPr>
          <w:rFonts w:hint="eastAsia" w:ascii="黑体" w:hAnsi="黑体" w:eastAsia="黑体"/>
          <w:color w:val="auto"/>
          <w:sz w:val="32"/>
          <w:szCs w:val="32"/>
          <w:highlight w:val="none"/>
          <w:lang w:eastAsia="zh-CN"/>
        </w:rPr>
      </w:pPr>
    </w:p>
    <w:p>
      <w:pPr>
        <w:pStyle w:val="26"/>
        <w:numPr>
          <w:ilvl w:val="0"/>
          <w:numId w:val="0"/>
        </w:numPr>
        <w:spacing w:line="600" w:lineRule="exact"/>
        <w:ind w:left="640" w:leftChars="0"/>
        <w:outlineLvl w:val="9"/>
        <w:rPr>
          <w:rFonts w:hint="eastAsia" w:ascii="黑体" w:hAnsi="黑体" w:eastAsia="黑体"/>
          <w:color w:val="auto"/>
          <w:sz w:val="32"/>
          <w:szCs w:val="32"/>
          <w:highlight w:val="none"/>
          <w:lang w:eastAsia="zh-CN"/>
        </w:rPr>
      </w:pPr>
    </w:p>
    <w:p>
      <w:pPr>
        <w:pStyle w:val="26"/>
        <w:numPr>
          <w:ilvl w:val="0"/>
          <w:numId w:val="0"/>
        </w:numPr>
        <w:spacing w:line="600" w:lineRule="exact"/>
        <w:outlineLvl w:val="1"/>
        <w:rPr>
          <w:rStyle w:val="28"/>
          <w:rFonts w:ascii="黑体" w:hAnsi="黑体" w:eastAsia="黑体"/>
          <w:b w:val="0"/>
          <w:color w:val="auto"/>
          <w:highlight w:val="none"/>
        </w:rPr>
      </w:pPr>
      <w:bookmarkStart w:id="33" w:name="_Toc21021"/>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ascii="仿宋" w:hAnsi="仿宋" w:eastAsia="仿宋"/>
          <w:color w:val="auto"/>
          <w:sz w:val="32"/>
          <w:szCs w:val="32"/>
          <w:highlight w:val="none"/>
        </w:rPr>
      </w:pPr>
      <w:bookmarkStart w:id="34" w:name="_Toc1084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11056.7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7467.03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67.53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3589.67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Style w:val="28"/>
          <w:rFonts w:ascii="黑体" w:hAnsi="黑体" w:eastAsia="黑体"/>
          <w:b w:val="0"/>
          <w:color w:val="auto"/>
          <w:highlight w:val="none"/>
        </w:rPr>
      </w:pPr>
      <w:r>
        <w:rPr>
          <w:rFonts w:hint="eastAsia" w:ascii="仿宋" w:hAnsi="仿宋" w:eastAsia="仿宋" w:cs="仿宋"/>
          <w:sz w:val="32"/>
          <w:szCs w:val="32"/>
          <w:lang w:eastAsia="zh-CN"/>
        </w:rPr>
        <w:drawing>
          <wp:anchor distT="0" distB="0" distL="114300" distR="114300" simplePos="0" relativeHeight="251661312" behindDoc="1" locked="0" layoutInCell="1" allowOverlap="1">
            <wp:simplePos x="0" y="0"/>
            <wp:positionH relativeFrom="column">
              <wp:posOffset>363220</wp:posOffset>
            </wp:positionH>
            <wp:positionV relativeFrom="paragraph">
              <wp:posOffset>195580</wp:posOffset>
            </wp:positionV>
            <wp:extent cx="4956175" cy="2162175"/>
            <wp:effectExtent l="5080" t="4445" r="10795" b="62230"/>
            <wp:wrapTight wrapText="bothSides">
              <wp:wrapPolygon>
                <wp:start x="-22" y="-44"/>
                <wp:lineTo x="-22" y="21460"/>
                <wp:lineTo x="21564" y="21460"/>
                <wp:lineTo x="21564" y="-44"/>
                <wp:lineTo x="-22" y="-44"/>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Start w:id="35" w:name="_Toc15396606"/>
      <w:bookmarkStart w:id="36"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5"/>
      <w:bookmarkEnd w:id="3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年财政拨款</w:t>
      </w:r>
      <w:r>
        <w:rPr>
          <w:rFonts w:hint="eastAsia" w:ascii="仿宋" w:hAnsi="仿宋" w:eastAsia="仿宋"/>
          <w:color w:val="000000"/>
          <w:sz w:val="32"/>
          <w:szCs w:val="32"/>
          <w:lang w:eastAsia="zh-CN"/>
        </w:rPr>
        <w:t>收入</w:t>
      </w:r>
      <w:r>
        <w:rPr>
          <w:rFonts w:hint="eastAsia" w:ascii="仿宋" w:hAnsi="仿宋" w:eastAsia="仿宋"/>
          <w:color w:val="000000"/>
          <w:sz w:val="32"/>
          <w:szCs w:val="32"/>
          <w:lang w:val="en-US" w:eastAsia="zh-CN"/>
        </w:rPr>
        <w:t>9556.19万元，</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10088.01万元，收、</w:t>
      </w:r>
      <w:r>
        <w:rPr>
          <w:rFonts w:hint="eastAsia" w:ascii="仿宋" w:hAnsi="仿宋" w:eastAsia="仿宋"/>
          <w:color w:val="000000"/>
          <w:sz w:val="32"/>
          <w:szCs w:val="32"/>
        </w:rPr>
        <w:t>支总计</w:t>
      </w:r>
      <w:r>
        <w:rPr>
          <w:rFonts w:hint="eastAsia" w:ascii="仿宋" w:hAnsi="仿宋" w:eastAsia="仿宋"/>
          <w:color w:val="000000"/>
          <w:sz w:val="32"/>
          <w:szCs w:val="32"/>
          <w:lang w:val="en-US" w:eastAsia="zh-CN"/>
        </w:rPr>
        <w:t>19644.2</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w:t>
      </w:r>
      <w:r>
        <w:rPr>
          <w:rFonts w:hint="eastAsia" w:ascii="仿宋" w:hAnsi="仿宋" w:eastAsia="仿宋"/>
          <w:color w:val="000000"/>
          <w:sz w:val="32"/>
          <w:szCs w:val="32"/>
          <w:lang w:eastAsia="zh-CN"/>
        </w:rPr>
        <w:t>收入减少</w:t>
      </w:r>
      <w:r>
        <w:rPr>
          <w:rFonts w:hint="eastAsia" w:ascii="仿宋" w:hAnsi="仿宋" w:eastAsia="仿宋"/>
          <w:color w:val="000000"/>
          <w:sz w:val="32"/>
          <w:szCs w:val="32"/>
          <w:lang w:val="en-US" w:eastAsia="zh-CN"/>
        </w:rPr>
        <w:t>54.61万元，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0.57%，支出</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471.82万元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4.75%，</w:t>
      </w:r>
      <w:r>
        <w:rPr>
          <w:rFonts w:hint="eastAsia" w:ascii="仿宋" w:hAnsi="仿宋" w:eastAsia="仿宋"/>
          <w:color w:val="000000"/>
          <w:sz w:val="32"/>
          <w:szCs w:val="32"/>
        </w:rPr>
        <w:t>收、支总计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417.21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4.6</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w:t>
      </w:r>
      <w:r>
        <w:rPr>
          <w:rFonts w:hint="eastAsia" w:ascii="仿宋" w:hAnsi="仿宋" w:eastAsia="仿宋"/>
          <w:color w:val="000000"/>
          <w:sz w:val="32"/>
          <w:szCs w:val="32"/>
          <w:lang w:val="en-US" w:eastAsia="zh-CN"/>
        </w:rPr>
        <w:t>2021年疫情防控、产业发展增加。</w:t>
      </w:r>
    </w:p>
    <w:p>
      <w:pPr>
        <w:spacing w:line="600" w:lineRule="exact"/>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420" w:firstLineChars="200"/>
        <w:outlineLvl w:val="9"/>
        <w:rPr>
          <w:rFonts w:hint="eastAsia" w:ascii="黑体" w:hAnsi="黑体" w:eastAsia="黑体"/>
          <w:color w:val="auto"/>
          <w:sz w:val="32"/>
          <w:szCs w:val="32"/>
          <w:highlight w:val="none"/>
        </w:rPr>
      </w:pPr>
      <w:bookmarkStart w:id="37" w:name="_Toc15377209"/>
      <w:bookmarkStart w:id="38" w:name="_Toc15396607"/>
      <w:r>
        <w:rPr>
          <w:rFonts w:hint="eastAsia" w:eastAsia="宋体"/>
          <w:lang w:eastAsia="zh-CN"/>
        </w:rPr>
        <w:drawing>
          <wp:anchor distT="0" distB="0" distL="114300" distR="114300" simplePos="0" relativeHeight="251662336" behindDoc="1" locked="0" layoutInCell="1" allowOverlap="1">
            <wp:simplePos x="0" y="0"/>
            <wp:positionH relativeFrom="column">
              <wp:posOffset>-176530</wp:posOffset>
            </wp:positionH>
            <wp:positionV relativeFrom="paragraph">
              <wp:posOffset>230505</wp:posOffset>
            </wp:positionV>
            <wp:extent cx="5080000" cy="2627630"/>
            <wp:effectExtent l="4445" t="4445" r="20955" b="15875"/>
            <wp:wrapTight wrapText="bothSides">
              <wp:wrapPolygon>
                <wp:start x="-19" y="-37"/>
                <wp:lineTo x="-19" y="21417"/>
                <wp:lineTo x="21527" y="21417"/>
                <wp:lineTo x="21527" y="-37"/>
                <wp:lineTo x="-19" y="-37"/>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outlineLvl w:val="9"/>
        <w:rPr>
          <w:rFonts w:hint="eastAsia" w:ascii="黑体" w:hAnsi="黑体" w:eastAsia="黑体"/>
          <w:color w:val="auto"/>
          <w:sz w:val="32"/>
          <w:szCs w:val="32"/>
          <w:highlight w:val="none"/>
        </w:rPr>
      </w:pPr>
    </w:p>
    <w:p>
      <w:pPr>
        <w:pStyle w:val="2"/>
        <w:rPr>
          <w:rFonts w:hint="eastAsia" w:ascii="黑体" w:hAnsi="黑体" w:eastAsia="黑体"/>
          <w:color w:val="auto"/>
          <w:sz w:val="32"/>
          <w:szCs w:val="32"/>
          <w:highlight w:val="none"/>
        </w:rPr>
      </w:pPr>
    </w:p>
    <w:p>
      <w:pPr>
        <w:pStyle w:val="3"/>
        <w:rPr>
          <w:rFonts w:hint="eastAsia"/>
        </w:rPr>
      </w:pPr>
    </w:p>
    <w:p>
      <w:pPr>
        <w:spacing w:line="600" w:lineRule="exact"/>
        <w:ind w:firstLine="640" w:firstLineChars="200"/>
        <w:outlineLvl w:val="9"/>
        <w:rPr>
          <w:rFonts w:hint="eastAsia" w:ascii="黑体" w:hAnsi="黑体" w:eastAsia="黑体"/>
          <w:color w:val="auto"/>
          <w:sz w:val="32"/>
          <w:szCs w:val="32"/>
          <w:highlight w:val="none"/>
        </w:rPr>
      </w:pPr>
    </w:p>
    <w:p>
      <w:pPr>
        <w:spacing w:line="600" w:lineRule="exact"/>
        <w:outlineLvl w:val="9"/>
        <w:rPr>
          <w:rFonts w:hint="eastAsia" w:ascii="黑体" w:hAnsi="黑体" w:eastAsia="黑体"/>
          <w:color w:val="auto"/>
          <w:sz w:val="32"/>
          <w:szCs w:val="32"/>
          <w:highlight w:val="none"/>
        </w:rPr>
      </w:pPr>
    </w:p>
    <w:p>
      <w:pPr>
        <w:spacing w:line="600" w:lineRule="exact"/>
        <w:outlineLvl w:val="9"/>
        <w:rPr>
          <w:rFonts w:hint="eastAsia" w:ascii="黑体" w:hAnsi="黑体" w:eastAsia="黑体"/>
          <w:color w:val="auto"/>
          <w:sz w:val="32"/>
          <w:szCs w:val="32"/>
          <w:highlight w:val="none"/>
        </w:rPr>
      </w:pPr>
    </w:p>
    <w:p>
      <w:pPr>
        <w:spacing w:line="600" w:lineRule="exact"/>
        <w:outlineLvl w:val="9"/>
        <w:rPr>
          <w:rFonts w:hint="eastAsia" w:ascii="黑体" w:hAnsi="黑体" w:eastAsia="黑体"/>
          <w:color w:val="auto"/>
          <w:sz w:val="32"/>
          <w:szCs w:val="32"/>
          <w:highlight w:val="none"/>
        </w:rPr>
      </w:pPr>
    </w:p>
    <w:p>
      <w:pPr>
        <w:spacing w:line="600" w:lineRule="exact"/>
        <w:outlineLvl w:val="1"/>
        <w:rPr>
          <w:rStyle w:val="28"/>
          <w:rFonts w:ascii="黑体" w:hAnsi="黑体" w:eastAsia="黑体"/>
          <w:b w:val="0"/>
          <w:color w:val="auto"/>
          <w:highlight w:val="none"/>
        </w:rPr>
      </w:pPr>
      <w:bookmarkStart w:id="39" w:name="_Toc19458"/>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7"/>
      <w:bookmarkEnd w:id="38"/>
      <w:bookmarkEnd w:id="39"/>
    </w:p>
    <w:p>
      <w:pPr>
        <w:spacing w:line="600" w:lineRule="exact"/>
        <w:ind w:firstLine="643" w:firstLineChars="200"/>
        <w:outlineLvl w:val="2"/>
        <w:rPr>
          <w:rFonts w:ascii="仿宋" w:hAnsi="仿宋" w:eastAsia="仿宋"/>
          <w:b/>
          <w:color w:val="auto"/>
          <w:sz w:val="32"/>
          <w:szCs w:val="32"/>
          <w:highlight w:val="none"/>
        </w:rPr>
      </w:pPr>
      <w:bookmarkStart w:id="40" w:name="_Toc15377210"/>
      <w:r>
        <w:rPr>
          <w:rFonts w:hint="eastAsia" w:ascii="仿宋" w:hAnsi="仿宋" w:eastAsia="仿宋"/>
          <w:b/>
          <w:color w:val="auto"/>
          <w:sz w:val="32"/>
          <w:szCs w:val="32"/>
          <w:highlight w:val="none"/>
        </w:rPr>
        <w:t>（一）一般公共预算财政拨款支出决算总体情况</w:t>
      </w:r>
      <w:bookmarkEnd w:id="40"/>
    </w:p>
    <w:p>
      <w:pPr>
        <w:spacing w:line="600" w:lineRule="exact"/>
        <w:ind w:firstLine="640" w:firstLineChars="200"/>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10088.01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479.41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4.75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w:t>
      </w:r>
      <w:r>
        <w:rPr>
          <w:rFonts w:hint="eastAsia" w:ascii="仿宋" w:hAnsi="仿宋" w:eastAsia="仿宋"/>
          <w:color w:val="000000"/>
          <w:sz w:val="32"/>
          <w:szCs w:val="32"/>
          <w:lang w:val="en-US" w:eastAsia="zh-CN"/>
        </w:rPr>
        <w:t>21年疫情防控、产业发展增加</w:t>
      </w:r>
      <w:r>
        <w:rPr>
          <w:rFonts w:hint="eastAsia" w:ascii="仿宋" w:hAnsi="仿宋" w:eastAsia="仿宋"/>
          <w:color w:val="auto"/>
          <w:sz w:val="32"/>
          <w:szCs w:val="32"/>
          <w:highlight w:val="none"/>
        </w:rPr>
        <w:t>。</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r>
        <w:rPr>
          <w:rFonts w:hint="eastAsia" w:eastAsia="宋体"/>
          <w:lang w:eastAsia="zh-CN"/>
        </w:rPr>
        <w:drawing>
          <wp:anchor distT="0" distB="0" distL="114300" distR="114300" simplePos="0" relativeHeight="251663360" behindDoc="1" locked="0" layoutInCell="1" allowOverlap="1">
            <wp:simplePos x="0" y="0"/>
            <wp:positionH relativeFrom="column">
              <wp:posOffset>299720</wp:posOffset>
            </wp:positionH>
            <wp:positionV relativeFrom="paragraph">
              <wp:posOffset>433705</wp:posOffset>
            </wp:positionV>
            <wp:extent cx="4842510" cy="2172970"/>
            <wp:effectExtent l="4445" t="4445" r="10795" b="13335"/>
            <wp:wrapTight wrapText="bothSides">
              <wp:wrapPolygon>
                <wp:start x="-20" y="-44"/>
                <wp:lineTo x="-20" y="21543"/>
                <wp:lineTo x="21563" y="21543"/>
                <wp:lineTo x="21563" y="-44"/>
                <wp:lineTo x="-20" y="-44"/>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outlineLvl w:val="2"/>
        <w:rPr>
          <w:rFonts w:ascii="仿宋" w:hAnsi="仿宋" w:eastAsia="仿宋"/>
          <w:b/>
          <w:color w:val="auto"/>
          <w:sz w:val="32"/>
          <w:szCs w:val="32"/>
          <w:highlight w:val="none"/>
        </w:rPr>
      </w:pPr>
      <w:bookmarkStart w:id="41" w:name="_Toc15377211"/>
      <w:r>
        <w:rPr>
          <w:rFonts w:hint="eastAsia" w:ascii="仿宋" w:hAnsi="仿宋" w:eastAsia="仿宋"/>
          <w:b/>
          <w:color w:val="auto"/>
          <w:sz w:val="32"/>
          <w:szCs w:val="32"/>
          <w:highlight w:val="none"/>
        </w:rPr>
        <w:t>（二）一般公共预算财政拨款支出决算结构情况</w:t>
      </w:r>
      <w:bookmarkEnd w:id="41"/>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10088.01</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lang w:eastAsia="zh-CN"/>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1003.05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5362.88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53.116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0.2</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592.23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5.87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778.53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7.71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bCs/>
          <w:color w:val="000000" w:themeColor="text1"/>
          <w:sz w:val="32"/>
          <w:szCs w:val="32"/>
          <w:lang w:eastAsia="zh-CN"/>
          <w14:textFill>
            <w14:solidFill>
              <w14:schemeClr w14:val="tx1"/>
            </w14:solidFill>
          </w14:textFill>
        </w:rPr>
        <w:t>节能环保支出（类）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0.004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s="Times New Roman"/>
          <w:b/>
          <w:bCs/>
          <w:color w:val="000000" w:themeColor="text1"/>
          <w:sz w:val="32"/>
          <w:szCs w:val="32"/>
          <w:lang w:val="en-US" w:eastAsia="zh-CN"/>
          <w14:textFill>
            <w14:solidFill>
              <w14:schemeClr w14:val="tx1"/>
            </w14:solidFill>
          </w14:textFill>
        </w:rPr>
        <w:t>城乡社区支出（类）</w:t>
      </w:r>
      <w:r>
        <w:rPr>
          <w:rFonts w:hint="eastAsia" w:ascii="仿宋" w:hAnsi="仿宋" w:eastAsia="仿宋"/>
          <w:color w:val="000000" w:themeColor="text1"/>
          <w:sz w:val="32"/>
          <w:szCs w:val="32"/>
          <w:lang w:val="en-US" w:eastAsia="zh-CN"/>
          <w14:textFill>
            <w14:solidFill>
              <w14:schemeClr w14:val="tx1"/>
            </w14:solidFill>
          </w14:textFill>
        </w:rPr>
        <w:t>250万元，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2.48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s="Times New Roman"/>
          <w:b/>
          <w:bCs/>
          <w:color w:val="000000" w:themeColor="text1"/>
          <w:sz w:val="32"/>
          <w:szCs w:val="32"/>
          <w:lang w:val="en-US" w:eastAsia="zh-CN"/>
          <w14:textFill>
            <w14:solidFill>
              <w14:schemeClr w14:val="tx1"/>
            </w14:solidFill>
          </w14:textFill>
        </w:rPr>
        <w:t>农林水支出（类）</w:t>
      </w:r>
      <w:r>
        <w:rPr>
          <w:rFonts w:hint="eastAsia" w:ascii="仿宋" w:hAnsi="仿宋" w:eastAsia="仿宋"/>
          <w:color w:val="000000" w:themeColor="text1"/>
          <w:sz w:val="32"/>
          <w:szCs w:val="32"/>
          <w:lang w:val="en-US" w:eastAsia="zh-CN"/>
          <w14:textFill>
            <w14:solidFill>
              <w14:schemeClr w14:val="tx1"/>
            </w14:solidFill>
          </w14:textFill>
        </w:rPr>
        <w:t>1098.55万元，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10.88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s="Times New Roman"/>
          <w:b/>
          <w:bCs/>
          <w:color w:val="000000" w:themeColor="text1"/>
          <w:sz w:val="32"/>
          <w:szCs w:val="32"/>
          <w:lang w:val="en-US" w:eastAsia="zh-CN"/>
          <w14:textFill>
            <w14:solidFill>
              <w14:schemeClr w14:val="tx1"/>
            </w14:solidFill>
          </w14:textFill>
        </w:rPr>
        <w:t>商业服务业等支出（类）</w:t>
      </w:r>
      <w:r>
        <w:rPr>
          <w:rFonts w:hint="eastAsia" w:ascii="仿宋" w:hAnsi="仿宋" w:eastAsia="仿宋"/>
          <w:color w:val="000000" w:themeColor="text1"/>
          <w:sz w:val="32"/>
          <w:szCs w:val="32"/>
          <w:lang w:val="en-US" w:eastAsia="zh-CN"/>
          <w14:textFill>
            <w14:solidFill>
              <w14:schemeClr w14:val="tx1"/>
            </w14:solidFill>
          </w14:textFill>
        </w:rPr>
        <w:t>8.9万元，占0.09%；</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973.4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s="仿宋"/>
          <w:sz w:val="32"/>
          <w:szCs w:val="32"/>
          <w:lang w:eastAsia="zh-CN"/>
        </w:rPr>
        <w:drawing>
          <wp:anchor distT="0" distB="0" distL="114300" distR="114300" simplePos="0" relativeHeight="251664384" behindDoc="1" locked="0" layoutInCell="1" allowOverlap="1">
            <wp:simplePos x="0" y="0"/>
            <wp:positionH relativeFrom="column">
              <wp:posOffset>192405</wp:posOffset>
            </wp:positionH>
            <wp:positionV relativeFrom="paragraph">
              <wp:posOffset>213995</wp:posOffset>
            </wp:positionV>
            <wp:extent cx="5170805" cy="3207385"/>
            <wp:effectExtent l="4445" t="4445" r="6350" b="7620"/>
            <wp:wrapTight wrapText="bothSides">
              <wp:wrapPolygon>
                <wp:start x="-19" y="-30"/>
                <wp:lineTo x="-19" y="21523"/>
                <wp:lineTo x="21547" y="21523"/>
                <wp:lineTo x="21547" y="-30"/>
                <wp:lineTo x="-19" y="-3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outlineLvl w:val="2"/>
        <w:rPr>
          <w:rFonts w:ascii="仿宋" w:hAnsi="仿宋" w:eastAsia="仿宋"/>
          <w:b/>
          <w:color w:val="auto"/>
          <w:sz w:val="32"/>
          <w:szCs w:val="32"/>
          <w:highlight w:val="none"/>
        </w:rPr>
      </w:pPr>
      <w:bookmarkStart w:id="42" w:name="_Toc15377212"/>
      <w:r>
        <w:rPr>
          <w:rFonts w:hint="eastAsia" w:ascii="仿宋" w:hAnsi="仿宋" w:eastAsia="仿宋"/>
          <w:b/>
          <w:color w:val="auto"/>
          <w:sz w:val="32"/>
          <w:szCs w:val="32"/>
          <w:highlight w:val="none"/>
        </w:rPr>
        <w:t>（三）一般公共预算财政拨款支出决算具体情况</w:t>
      </w:r>
      <w:bookmarkEnd w:id="42"/>
    </w:p>
    <w:p>
      <w:pPr>
        <w:spacing w:line="600" w:lineRule="exact"/>
        <w:ind w:firstLine="643" w:firstLineChars="200"/>
        <w:outlineLvl w:val="2"/>
        <w:rPr>
          <w:rFonts w:ascii="仿宋" w:hAnsi="仿宋" w:eastAsia="仿宋"/>
          <w:color w:val="auto"/>
          <w:sz w:val="32"/>
          <w:szCs w:val="32"/>
          <w:highlight w:val="none"/>
        </w:rPr>
      </w:pPr>
      <w:bookmarkStart w:id="43" w:name="_Toc15377213"/>
      <w:bookmarkStart w:id="44" w:name="_Toc15378460"/>
      <w:bookmarkStart w:id="45"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10088.01万元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43"/>
      <w:bookmarkEnd w:id="44"/>
      <w:bookmarkEnd w:id="45"/>
    </w:p>
    <w:p>
      <w:pPr>
        <w:ind w:firstLine="643"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Cs/>
          <w:color w:val="000000"/>
          <w:sz w:val="32"/>
          <w:szCs w:val="32"/>
          <w:lang w:val="en-US" w:eastAsia="zh-CN"/>
        </w:rPr>
        <w:t>1</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一般公共服务（类）政府办公厅（室）及相关机构事务（款）行政运行（项）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609.16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lang w:eastAsia="zh-CN"/>
        </w:rPr>
        <w:t>一般行政管理</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Cs/>
          <w:color w:val="000000"/>
          <w:sz w:val="32"/>
          <w:szCs w:val="32"/>
          <w:lang w:eastAsia="zh-CN"/>
        </w:rPr>
        <w:t>信访事务</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事业运行</w:t>
      </w:r>
      <w:r>
        <w:rPr>
          <w:rStyle w:val="16"/>
          <w:rFonts w:hint="eastAsia" w:ascii="仿宋" w:hAnsi="仿宋" w:eastAsia="仿宋"/>
          <w:b/>
          <w:bCs w:val="0"/>
          <w:color w:val="000000"/>
          <w:sz w:val="32"/>
          <w:szCs w:val="32"/>
        </w:rPr>
        <w:t>（项）</w:t>
      </w:r>
      <w:r>
        <w:rPr>
          <w:rStyle w:val="16"/>
          <w:rFonts w:hint="eastAsia" w:ascii="仿宋" w:hAnsi="仿宋" w:eastAsia="仿宋"/>
          <w:b/>
          <w:bCs w:val="0"/>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384.39</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val="en-US" w:eastAsia="zh-CN"/>
        </w:rPr>
        <w:t>.</w:t>
      </w:r>
    </w:p>
    <w:p>
      <w:pPr>
        <w:ind w:firstLine="56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其他一般公共服务支出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其他一般公共服务支出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1.5</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ind w:firstLine="56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教育（类）普通教育（款）学前教育（项）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81.43</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小学教育（项）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1301.07</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初中教育（项）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513.47</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高中教育（项）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2131.32</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Cs/>
          <w:color w:val="000000"/>
          <w:sz w:val="32"/>
          <w:szCs w:val="32"/>
        </w:rPr>
        <w:t>其他普通教育支出（项）：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335.58</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ind w:firstLine="560"/>
        <w:rPr>
          <w:rStyle w:val="16"/>
          <w:rFonts w:ascii="仿宋" w:hAnsi="仿宋" w:eastAsia="仿宋"/>
          <w:bCs/>
          <w:color w:val="000000"/>
          <w:sz w:val="32"/>
          <w:szCs w:val="32"/>
        </w:rPr>
      </w:pPr>
      <w:r>
        <w:rPr>
          <w:rStyle w:val="16"/>
          <w:rFonts w:hint="eastAsia" w:ascii="仿宋" w:hAnsi="仿宋" w:eastAsia="仿宋"/>
          <w:bCs/>
          <w:color w:val="000000"/>
          <w:sz w:val="32"/>
          <w:szCs w:val="32"/>
          <w:lang w:val="en-US" w:eastAsia="zh-CN"/>
        </w:rPr>
        <w:t>4</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教育（类）</w:t>
      </w:r>
      <w:r>
        <w:rPr>
          <w:rStyle w:val="16"/>
          <w:rFonts w:hint="eastAsia" w:ascii="仿宋" w:hAnsi="仿宋" w:eastAsia="仿宋"/>
          <w:bCs/>
          <w:color w:val="000000"/>
          <w:sz w:val="32"/>
          <w:szCs w:val="32"/>
          <w:lang w:eastAsia="zh-CN"/>
        </w:rPr>
        <w:t>其他教育支出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其他教育支出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1000</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lang w:val="en-US" w:eastAsia="zh-CN"/>
        </w:rPr>
        <w:t>5</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文化</w:t>
      </w:r>
      <w:r>
        <w:rPr>
          <w:rStyle w:val="16"/>
          <w:rFonts w:hint="eastAsia" w:ascii="仿宋" w:hAnsi="仿宋" w:eastAsia="仿宋"/>
          <w:bCs/>
          <w:color w:val="000000"/>
          <w:sz w:val="32"/>
          <w:szCs w:val="32"/>
          <w:lang w:eastAsia="zh-CN"/>
        </w:rPr>
        <w:t>旅游</w:t>
      </w:r>
      <w:r>
        <w:rPr>
          <w:rStyle w:val="16"/>
          <w:rFonts w:hint="eastAsia" w:ascii="仿宋" w:hAnsi="仿宋" w:eastAsia="仿宋"/>
          <w:bCs/>
          <w:color w:val="000000"/>
          <w:sz w:val="32"/>
          <w:szCs w:val="32"/>
        </w:rPr>
        <w:t>体育与传媒（类）文化</w:t>
      </w:r>
      <w:r>
        <w:rPr>
          <w:rStyle w:val="16"/>
          <w:rFonts w:hint="eastAsia" w:ascii="仿宋" w:hAnsi="仿宋" w:eastAsia="仿宋"/>
          <w:bCs/>
          <w:color w:val="000000"/>
          <w:sz w:val="32"/>
          <w:szCs w:val="32"/>
          <w:lang w:eastAsia="zh-CN"/>
        </w:rPr>
        <w:t>和旅游</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其他文化和旅游支出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6</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文化</w:t>
      </w:r>
      <w:r>
        <w:rPr>
          <w:rStyle w:val="16"/>
          <w:rFonts w:hint="eastAsia" w:ascii="仿宋" w:hAnsi="仿宋" w:eastAsia="仿宋"/>
          <w:bCs/>
          <w:color w:val="000000"/>
          <w:sz w:val="32"/>
          <w:szCs w:val="32"/>
          <w:lang w:eastAsia="zh-CN"/>
        </w:rPr>
        <w:t>旅游</w:t>
      </w:r>
      <w:r>
        <w:rPr>
          <w:rStyle w:val="16"/>
          <w:rFonts w:hint="eastAsia" w:ascii="仿宋" w:hAnsi="仿宋" w:eastAsia="仿宋"/>
          <w:bCs/>
          <w:color w:val="000000"/>
          <w:sz w:val="32"/>
          <w:szCs w:val="32"/>
        </w:rPr>
        <w:t>体育与传媒（类）</w:t>
      </w:r>
      <w:r>
        <w:rPr>
          <w:rStyle w:val="16"/>
          <w:rFonts w:hint="eastAsia" w:ascii="仿宋" w:hAnsi="仿宋" w:eastAsia="仿宋"/>
          <w:bCs/>
          <w:color w:val="000000"/>
          <w:sz w:val="32"/>
          <w:szCs w:val="32"/>
          <w:lang w:eastAsia="zh-CN"/>
        </w:rPr>
        <w:t>其他文化旅游体育与传媒支出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其他文化旅游体育与传媒支出</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7</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机关事业单位基本养老保险支出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517.9</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事业单位离退休（项）</w:t>
      </w:r>
      <w:r>
        <w:rPr>
          <w:rStyle w:val="16"/>
          <w:rFonts w:hint="eastAsia" w:ascii="仿宋" w:hAnsi="仿宋" w:eastAsia="仿宋"/>
          <w:b w:val="0"/>
          <w:bCs/>
          <w:color w:val="000000"/>
          <w:sz w:val="32"/>
          <w:szCs w:val="32"/>
          <w:lang w:eastAsia="zh-CN"/>
        </w:rPr>
        <w:t>：支出决算数</w:t>
      </w:r>
      <w:r>
        <w:rPr>
          <w:rStyle w:val="16"/>
          <w:rFonts w:hint="eastAsia" w:ascii="仿宋" w:hAnsi="仿宋" w:eastAsia="仿宋"/>
          <w:b w:val="0"/>
          <w:bCs/>
          <w:color w:val="000000"/>
          <w:sz w:val="32"/>
          <w:szCs w:val="32"/>
          <w:lang w:val="en-US" w:eastAsia="zh-CN"/>
        </w:rPr>
        <w:t>4.32万元，完成预算100%；</w:t>
      </w:r>
      <w:r>
        <w:rPr>
          <w:rStyle w:val="16"/>
          <w:rFonts w:hint="eastAsia" w:ascii="仿宋" w:hAnsi="仿宋" w:eastAsia="仿宋"/>
          <w:b/>
          <w:bCs w:val="0"/>
          <w:color w:val="000000"/>
          <w:sz w:val="32"/>
          <w:szCs w:val="32"/>
          <w:lang w:val="en-US" w:eastAsia="zh-CN"/>
        </w:rPr>
        <w:t>机关事业单位职业年金缴费支出（项）：</w:t>
      </w:r>
      <w:r>
        <w:rPr>
          <w:rStyle w:val="16"/>
          <w:rFonts w:hint="eastAsia" w:ascii="仿宋" w:hAnsi="仿宋" w:eastAsia="仿宋"/>
          <w:b w:val="0"/>
          <w:bCs/>
          <w:color w:val="000000"/>
          <w:sz w:val="32"/>
          <w:szCs w:val="32"/>
          <w:lang w:val="en-US" w:eastAsia="zh-CN"/>
        </w:rPr>
        <w:t>支出决算数34.63万元，完成预算100%</w:t>
      </w:r>
      <w:r>
        <w:rPr>
          <w:rStyle w:val="16"/>
          <w:rFonts w:hint="eastAsia" w:ascii="仿宋" w:hAnsi="仿宋" w:eastAsia="仿宋"/>
          <w:b w:val="0"/>
          <w:bCs/>
          <w:color w:val="000000"/>
          <w:sz w:val="32"/>
          <w:szCs w:val="32"/>
        </w:rPr>
        <w:t>。</w:t>
      </w:r>
    </w:p>
    <w:p>
      <w:pPr>
        <w:spacing w:line="600" w:lineRule="exact"/>
        <w:ind w:firstLine="643" w:firstLineChars="200"/>
        <w:rPr>
          <w:rStyle w:val="16"/>
          <w:rFonts w:hint="default" w:ascii="仿宋" w:hAnsi="仿宋" w:eastAsia="仿宋"/>
          <w:b w:val="0"/>
          <w:bCs/>
          <w:color w:val="000000"/>
          <w:sz w:val="32"/>
          <w:szCs w:val="32"/>
          <w:lang w:val="en-US" w:eastAsia="zh-CN"/>
        </w:rPr>
      </w:pPr>
      <w:r>
        <w:rPr>
          <w:rStyle w:val="16"/>
          <w:rFonts w:hint="eastAsia" w:ascii="仿宋" w:hAnsi="仿宋" w:eastAsia="仿宋"/>
          <w:bCs/>
          <w:color w:val="000000"/>
          <w:sz w:val="32"/>
          <w:szCs w:val="32"/>
          <w:lang w:val="en-US" w:eastAsia="zh-CN"/>
        </w:rPr>
        <w:t>8</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eastAsia="zh-CN"/>
        </w:rPr>
        <w:t>就业补助</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公益性岗位补贴</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25.4万</w:t>
      </w:r>
      <w:r>
        <w:rPr>
          <w:rStyle w:val="16"/>
          <w:rFonts w:hint="eastAsia" w:ascii="仿宋" w:hAnsi="仿宋" w:eastAsia="仿宋"/>
          <w:b w:val="0"/>
          <w:bCs/>
          <w:color w:val="000000"/>
          <w:sz w:val="32"/>
          <w:szCs w:val="32"/>
        </w:rPr>
        <w:t>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Style w:val="16"/>
          <w:rFonts w:hint="eastAsia" w:ascii="仿宋" w:hAnsi="仿宋" w:eastAsia="仿宋"/>
          <w:b/>
          <w:bCs w:val="0"/>
          <w:color w:val="000000"/>
          <w:sz w:val="32"/>
          <w:szCs w:val="32"/>
          <w:lang w:eastAsia="zh-CN"/>
        </w:rPr>
        <w:t>社会保险补贴（项）：</w:t>
      </w:r>
      <w:r>
        <w:rPr>
          <w:rStyle w:val="16"/>
          <w:rFonts w:hint="eastAsia" w:ascii="仿宋" w:hAnsi="仿宋" w:eastAsia="仿宋"/>
          <w:b w:val="0"/>
          <w:bCs/>
          <w:color w:val="000000"/>
          <w:sz w:val="32"/>
          <w:szCs w:val="32"/>
          <w:lang w:eastAsia="zh-CN"/>
        </w:rPr>
        <w:t>支出决算数为</w:t>
      </w:r>
      <w:r>
        <w:rPr>
          <w:rStyle w:val="16"/>
          <w:rFonts w:hint="eastAsia" w:ascii="仿宋" w:hAnsi="仿宋" w:eastAsia="仿宋"/>
          <w:b w:val="0"/>
          <w:bCs/>
          <w:color w:val="000000"/>
          <w:sz w:val="32"/>
          <w:szCs w:val="32"/>
          <w:lang w:val="en-US" w:eastAsia="zh-CN"/>
        </w:rPr>
        <w:t>0.99万元，完成预算100%；</w:t>
      </w:r>
      <w:r>
        <w:rPr>
          <w:rStyle w:val="16"/>
          <w:rFonts w:hint="eastAsia" w:ascii="仿宋" w:hAnsi="仿宋" w:eastAsia="仿宋"/>
          <w:b/>
          <w:bCs w:val="0"/>
          <w:color w:val="000000"/>
          <w:sz w:val="32"/>
          <w:szCs w:val="32"/>
          <w:lang w:val="en-US" w:eastAsia="zh-CN"/>
        </w:rPr>
        <w:t>其他就业补助支出（项）：</w:t>
      </w:r>
      <w:r>
        <w:rPr>
          <w:rStyle w:val="16"/>
          <w:rFonts w:hint="eastAsia" w:ascii="仿宋" w:hAnsi="仿宋" w:eastAsia="仿宋"/>
          <w:b w:val="0"/>
          <w:bCs/>
          <w:color w:val="000000"/>
          <w:sz w:val="32"/>
          <w:szCs w:val="32"/>
          <w:lang w:eastAsia="zh-CN"/>
        </w:rPr>
        <w:t>支出决算数为</w:t>
      </w:r>
      <w:r>
        <w:rPr>
          <w:rStyle w:val="16"/>
          <w:rFonts w:hint="eastAsia" w:ascii="仿宋" w:hAnsi="仿宋" w:eastAsia="仿宋"/>
          <w:b w:val="0"/>
          <w:bCs/>
          <w:color w:val="000000"/>
          <w:sz w:val="32"/>
          <w:szCs w:val="32"/>
          <w:lang w:val="en-US" w:eastAsia="zh-CN"/>
        </w:rPr>
        <w:t>9万元，完成预算100%；</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rPr>
        <w:t>1</w:t>
      </w:r>
      <w:r>
        <w:rPr>
          <w:rStyle w:val="16"/>
          <w:rFonts w:hint="eastAsia" w:ascii="仿宋" w:hAnsi="仿宋" w:eastAsia="仿宋"/>
          <w:bCs/>
          <w:color w:val="000000"/>
          <w:sz w:val="32"/>
          <w:szCs w:val="32"/>
          <w:lang w:val="en-US" w:eastAsia="zh-CN"/>
        </w:rPr>
        <w:t>4</w:t>
      </w:r>
      <w:r>
        <w:rPr>
          <w:rStyle w:val="16"/>
          <w:rFonts w:ascii="仿宋" w:hAnsi="仿宋" w:eastAsia="仿宋"/>
          <w:bCs/>
          <w:color w:val="000000"/>
          <w:sz w:val="32"/>
          <w:szCs w:val="32"/>
        </w:rPr>
        <w:t>.</w:t>
      </w:r>
      <w:r>
        <w:rPr>
          <w:rStyle w:val="16"/>
          <w:rFonts w:hint="eastAsia" w:ascii="仿宋" w:hAnsi="仿宋" w:eastAsia="仿宋"/>
          <w:bCs/>
          <w:color w:val="000000"/>
          <w:sz w:val="32"/>
          <w:szCs w:val="32"/>
          <w:lang w:eastAsia="zh-CN"/>
        </w:rPr>
        <w:t>卫生健康</w:t>
      </w:r>
      <w:r>
        <w:rPr>
          <w:rStyle w:val="16"/>
          <w:rFonts w:hint="eastAsia" w:ascii="仿宋" w:hAnsi="仿宋" w:eastAsia="仿宋"/>
          <w:bCs/>
          <w:color w:val="000000"/>
          <w:sz w:val="32"/>
          <w:szCs w:val="32"/>
        </w:rPr>
        <w:t>（类）基层医疗卫生机构（款）乡镇卫生院（项）</w:t>
      </w:r>
      <w:r>
        <w:rPr>
          <w:rStyle w:val="16"/>
          <w:rFonts w:hint="eastAsia" w:ascii="仿宋" w:hAnsi="仿宋" w:eastAsia="仿宋"/>
          <w:bCs/>
          <w:color w:val="000000"/>
          <w:sz w:val="32"/>
          <w:szCs w:val="32"/>
          <w:lang w:eastAsia="zh-CN"/>
        </w:rPr>
        <w:t>：</w:t>
      </w:r>
      <w:r>
        <w:rPr>
          <w:rStyle w:val="16"/>
          <w:rFonts w:hint="eastAsia" w:ascii="仿宋" w:hAnsi="仿宋" w:eastAsia="仿宋"/>
          <w:b w:val="0"/>
          <w:bCs w:val="0"/>
          <w:color w:val="000000"/>
          <w:sz w:val="32"/>
          <w:szCs w:val="32"/>
        </w:rPr>
        <w:t>支出决算为</w:t>
      </w:r>
      <w:r>
        <w:rPr>
          <w:rStyle w:val="16"/>
          <w:rFonts w:hint="eastAsia" w:ascii="仿宋" w:hAnsi="仿宋" w:eastAsia="仿宋"/>
          <w:b w:val="0"/>
          <w:bCs w:val="0"/>
          <w:color w:val="000000"/>
          <w:sz w:val="32"/>
          <w:szCs w:val="32"/>
          <w:lang w:val="en-US" w:eastAsia="zh-CN"/>
        </w:rPr>
        <w:t>288.52</w:t>
      </w:r>
      <w:r>
        <w:rPr>
          <w:rStyle w:val="16"/>
          <w:rFonts w:hint="eastAsia" w:ascii="仿宋" w:hAnsi="仿宋" w:eastAsia="仿宋"/>
          <w:b w:val="0"/>
          <w:bCs w:val="0"/>
          <w:color w:val="000000"/>
          <w:sz w:val="32"/>
          <w:szCs w:val="32"/>
        </w:rPr>
        <w:t>万元，完成预算 100</w:t>
      </w:r>
      <w:r>
        <w:rPr>
          <w:rStyle w:val="16"/>
          <w:rFonts w:ascii="仿宋" w:hAnsi="仿宋" w:eastAsia="仿宋"/>
          <w:b w:val="0"/>
          <w:bCs w:val="0"/>
          <w:color w:val="000000"/>
          <w:sz w:val="32"/>
          <w:szCs w:val="32"/>
        </w:rPr>
        <w:t>%</w:t>
      </w:r>
      <w:r>
        <w:rPr>
          <w:rStyle w:val="16"/>
          <w:rFonts w:hint="eastAsia" w:ascii="仿宋" w:hAnsi="仿宋" w:eastAsia="仿宋"/>
          <w:b w:val="0"/>
          <w:bCs w:val="0"/>
          <w:color w:val="000000"/>
          <w:sz w:val="32"/>
          <w:szCs w:val="32"/>
        </w:rPr>
        <w:t>；</w:t>
      </w:r>
      <w:r>
        <w:rPr>
          <w:rStyle w:val="16"/>
          <w:rFonts w:hint="eastAsia" w:ascii="仿宋" w:hAnsi="仿宋" w:eastAsia="仿宋"/>
          <w:bCs/>
          <w:color w:val="000000"/>
          <w:sz w:val="32"/>
          <w:szCs w:val="32"/>
        </w:rPr>
        <w:t>其他基层医疗卫生机构支出（项）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63.98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3" w:firstLineChars="200"/>
        <w:rPr>
          <w:rStyle w:val="16"/>
          <w:rFonts w:hint="eastAsia" w:ascii="仿宋" w:hAnsi="仿宋" w:eastAsia="仿宋"/>
          <w:bCs/>
          <w:color w:val="000000"/>
          <w:sz w:val="32"/>
          <w:szCs w:val="32"/>
          <w:lang w:val="en-US" w:eastAsia="zh-CN"/>
        </w:rPr>
      </w:pPr>
      <w:r>
        <w:rPr>
          <w:rStyle w:val="16"/>
          <w:rFonts w:hint="eastAsia" w:ascii="仿宋" w:hAnsi="仿宋" w:eastAsia="仿宋"/>
          <w:bCs/>
          <w:color w:val="000000"/>
          <w:sz w:val="32"/>
          <w:szCs w:val="32"/>
        </w:rPr>
        <w:t>1</w:t>
      </w:r>
      <w:r>
        <w:rPr>
          <w:rStyle w:val="16"/>
          <w:rFonts w:hint="eastAsia" w:ascii="仿宋" w:hAnsi="仿宋" w:eastAsia="仿宋"/>
          <w:bCs/>
          <w:color w:val="000000"/>
          <w:sz w:val="32"/>
          <w:szCs w:val="32"/>
          <w:lang w:val="en-US" w:eastAsia="zh-CN"/>
        </w:rPr>
        <w:t>5</w:t>
      </w:r>
      <w:r>
        <w:rPr>
          <w:rStyle w:val="16"/>
          <w:rFonts w:ascii="仿宋" w:hAnsi="仿宋" w:eastAsia="仿宋"/>
          <w:bCs/>
          <w:color w:val="000000"/>
          <w:sz w:val="32"/>
          <w:szCs w:val="32"/>
        </w:rPr>
        <w:t>.</w:t>
      </w:r>
      <w:r>
        <w:rPr>
          <w:rStyle w:val="16"/>
          <w:rFonts w:hint="eastAsia" w:ascii="仿宋" w:hAnsi="仿宋" w:eastAsia="仿宋"/>
          <w:bCs/>
          <w:color w:val="000000"/>
          <w:sz w:val="32"/>
          <w:szCs w:val="32"/>
          <w:lang w:eastAsia="zh-CN"/>
        </w:rPr>
        <w:t>卫生健康</w:t>
      </w:r>
      <w:r>
        <w:rPr>
          <w:rStyle w:val="16"/>
          <w:rFonts w:hint="eastAsia" w:ascii="仿宋" w:hAnsi="仿宋" w:eastAsia="仿宋"/>
          <w:bCs/>
          <w:color w:val="000000"/>
          <w:sz w:val="32"/>
          <w:szCs w:val="32"/>
        </w:rPr>
        <w:t>（类）公共卫生（款）基本公共卫生服务（项）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120.59</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lang w:val="en-US" w:eastAsia="zh-CN"/>
        </w:rPr>
        <w:t>16</w:t>
      </w:r>
      <w:r>
        <w:rPr>
          <w:rStyle w:val="16"/>
          <w:rFonts w:ascii="仿宋" w:hAnsi="仿宋" w:eastAsia="仿宋"/>
          <w:bCs/>
          <w:color w:val="000000"/>
          <w:sz w:val="32"/>
          <w:szCs w:val="32"/>
        </w:rPr>
        <w:t>.</w:t>
      </w:r>
      <w:r>
        <w:rPr>
          <w:rStyle w:val="16"/>
          <w:rFonts w:hint="eastAsia" w:ascii="仿宋" w:hAnsi="仿宋" w:eastAsia="仿宋"/>
          <w:bCs/>
          <w:color w:val="000000"/>
          <w:sz w:val="32"/>
          <w:szCs w:val="32"/>
          <w:lang w:eastAsia="zh-CN"/>
        </w:rPr>
        <w:t>卫生健康</w:t>
      </w:r>
      <w:r>
        <w:rPr>
          <w:rStyle w:val="16"/>
          <w:rFonts w:hint="eastAsia" w:ascii="仿宋" w:hAnsi="仿宋" w:eastAsia="仿宋"/>
          <w:bCs/>
          <w:color w:val="000000"/>
          <w:sz w:val="32"/>
          <w:szCs w:val="32"/>
        </w:rPr>
        <w:t>（类）行政事业单位医疗（款）</w:t>
      </w:r>
      <w:r>
        <w:rPr>
          <w:rStyle w:val="16"/>
          <w:rFonts w:ascii="仿宋" w:hAnsi="仿宋" w:eastAsia="仿宋"/>
          <w:bCs/>
          <w:color w:val="000000"/>
          <w:sz w:val="32"/>
          <w:szCs w:val="32"/>
        </w:rPr>
        <w:t xml:space="preserve"> </w:t>
      </w:r>
      <w:r>
        <w:rPr>
          <w:rStyle w:val="16"/>
          <w:rFonts w:hint="eastAsia" w:ascii="仿宋" w:hAnsi="仿宋" w:eastAsia="仿宋"/>
          <w:bCs/>
          <w:color w:val="000000"/>
          <w:sz w:val="32"/>
          <w:szCs w:val="32"/>
        </w:rPr>
        <w:t>行政单位医疗（项）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25.39</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事业单位医疗（项）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274.86</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公务员医疗补助（项）：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5.17</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cs="Times New Roman"/>
          <w:b w:val="0"/>
          <w:bCs/>
          <w:color w:val="000000"/>
          <w:sz w:val="32"/>
          <w:szCs w:val="32"/>
          <w:highlight w:val="none"/>
        </w:rPr>
      </w:pPr>
      <w:r>
        <w:rPr>
          <w:rStyle w:val="16"/>
          <w:rFonts w:hint="eastAsia" w:ascii="仿宋" w:hAnsi="仿宋" w:eastAsia="仿宋" w:cs="Times New Roman"/>
          <w:bCs/>
          <w:color w:val="000000"/>
          <w:sz w:val="32"/>
          <w:szCs w:val="32"/>
          <w:highlight w:val="none"/>
          <w:lang w:val="en-US" w:eastAsia="zh-CN"/>
        </w:rPr>
        <w:t>17</w:t>
      </w:r>
      <w:r>
        <w:rPr>
          <w:rStyle w:val="16"/>
          <w:rFonts w:ascii="仿宋" w:hAnsi="仿宋" w:eastAsia="仿宋" w:cs="Times New Roman"/>
          <w:bCs/>
          <w:color w:val="000000"/>
          <w:sz w:val="32"/>
          <w:szCs w:val="32"/>
          <w:highlight w:val="none"/>
        </w:rPr>
        <w:t>.</w:t>
      </w:r>
      <w:r>
        <w:rPr>
          <w:rStyle w:val="16"/>
          <w:rFonts w:hint="eastAsia" w:ascii="仿宋" w:hAnsi="仿宋" w:eastAsia="仿宋" w:cs="Times New Roman"/>
          <w:bCs/>
          <w:color w:val="000000"/>
          <w:sz w:val="32"/>
          <w:szCs w:val="32"/>
          <w:highlight w:val="none"/>
        </w:rPr>
        <w:t>节能环保（类）</w:t>
      </w:r>
      <w:r>
        <w:rPr>
          <w:rStyle w:val="16"/>
          <w:rFonts w:hint="eastAsia" w:ascii="仿宋" w:hAnsi="仿宋" w:eastAsia="仿宋" w:cs="Times New Roman"/>
          <w:bCs/>
          <w:color w:val="000000"/>
          <w:sz w:val="32"/>
          <w:szCs w:val="32"/>
          <w:highlight w:val="none"/>
          <w:lang w:eastAsia="zh-CN"/>
        </w:rPr>
        <w:t>天然林保护</w:t>
      </w:r>
      <w:r>
        <w:rPr>
          <w:rStyle w:val="16"/>
          <w:rFonts w:hint="eastAsia" w:ascii="仿宋" w:hAnsi="仿宋" w:eastAsia="仿宋" w:cs="Times New Roman"/>
          <w:bCs/>
          <w:color w:val="000000"/>
          <w:sz w:val="32"/>
          <w:szCs w:val="32"/>
          <w:highlight w:val="none"/>
        </w:rPr>
        <w:t>（款）</w:t>
      </w:r>
      <w:r>
        <w:rPr>
          <w:rStyle w:val="16"/>
          <w:rFonts w:hint="eastAsia" w:ascii="仿宋" w:hAnsi="仿宋" w:eastAsia="仿宋" w:cs="Times New Roman"/>
          <w:bCs/>
          <w:color w:val="000000"/>
          <w:sz w:val="32"/>
          <w:szCs w:val="32"/>
          <w:highlight w:val="none"/>
          <w:lang w:eastAsia="zh-CN"/>
        </w:rPr>
        <w:t>森林管护</w:t>
      </w:r>
      <w:r>
        <w:rPr>
          <w:rStyle w:val="16"/>
          <w:rFonts w:hint="eastAsia" w:ascii="仿宋" w:hAnsi="仿宋" w:eastAsia="仿宋" w:cs="Times New Roman"/>
          <w:bCs/>
          <w:color w:val="000000"/>
          <w:sz w:val="32"/>
          <w:szCs w:val="32"/>
          <w:highlight w:val="none"/>
        </w:rPr>
        <w:t>（项）</w:t>
      </w:r>
      <w:r>
        <w:rPr>
          <w:rStyle w:val="16"/>
          <w:rFonts w:hint="eastAsia" w:ascii="仿宋" w:hAnsi="仿宋" w:eastAsia="仿宋" w:cs="Times New Roman"/>
          <w:bCs/>
          <w:color w:val="000000"/>
          <w:sz w:val="32"/>
          <w:szCs w:val="32"/>
          <w:highlight w:val="none"/>
          <w:lang w:eastAsia="zh-CN"/>
        </w:rPr>
        <w:t>：</w:t>
      </w:r>
      <w:r>
        <w:rPr>
          <w:rStyle w:val="16"/>
          <w:rFonts w:hint="eastAsia" w:ascii="仿宋" w:hAnsi="仿宋" w:eastAsia="仿宋" w:cs="Times New Roman"/>
          <w:b w:val="0"/>
          <w:bCs/>
          <w:color w:val="000000"/>
          <w:sz w:val="32"/>
          <w:szCs w:val="32"/>
          <w:highlight w:val="none"/>
        </w:rPr>
        <w:t>支出决算为</w:t>
      </w:r>
      <w:r>
        <w:rPr>
          <w:rStyle w:val="16"/>
          <w:rFonts w:hint="eastAsia" w:ascii="仿宋" w:hAnsi="仿宋" w:eastAsia="仿宋" w:cs="Times New Roman"/>
          <w:b w:val="0"/>
          <w:bCs/>
          <w:color w:val="000000"/>
          <w:sz w:val="32"/>
          <w:szCs w:val="32"/>
          <w:highlight w:val="none"/>
          <w:lang w:val="en-US" w:eastAsia="zh-CN"/>
        </w:rPr>
        <w:t>0.45</w:t>
      </w:r>
      <w:r>
        <w:rPr>
          <w:rStyle w:val="16"/>
          <w:rFonts w:hint="eastAsia" w:ascii="仿宋" w:hAnsi="仿宋" w:eastAsia="仿宋" w:cs="Times New Roman"/>
          <w:b w:val="0"/>
          <w:bCs/>
          <w:color w:val="000000"/>
          <w:sz w:val="32"/>
          <w:szCs w:val="32"/>
          <w:highlight w:val="none"/>
        </w:rPr>
        <w:t>万元，完成预算100%。</w:t>
      </w:r>
    </w:p>
    <w:p>
      <w:pPr>
        <w:spacing w:line="600" w:lineRule="exact"/>
        <w:ind w:firstLine="643" w:firstLineChars="200"/>
        <w:rPr>
          <w:rStyle w:val="16"/>
          <w:rFonts w:hint="eastAsia" w:ascii="仿宋" w:hAnsi="仿宋" w:eastAsia="仿宋"/>
          <w:b w:val="0"/>
          <w:bCs/>
          <w:color w:val="000000"/>
          <w:sz w:val="32"/>
          <w:szCs w:val="32"/>
          <w:highlight w:val="none"/>
        </w:rPr>
      </w:pPr>
      <w:r>
        <w:rPr>
          <w:rStyle w:val="16"/>
          <w:rFonts w:hint="eastAsia" w:ascii="仿宋" w:hAnsi="仿宋" w:eastAsia="仿宋"/>
          <w:bCs/>
          <w:color w:val="000000"/>
          <w:sz w:val="32"/>
          <w:szCs w:val="32"/>
          <w:highlight w:val="none"/>
          <w:lang w:val="en-US" w:eastAsia="zh-CN"/>
        </w:rPr>
        <w:t>18</w:t>
      </w:r>
      <w:r>
        <w:rPr>
          <w:rStyle w:val="16"/>
          <w:rFonts w:ascii="仿宋" w:hAnsi="仿宋" w:eastAsia="仿宋"/>
          <w:bCs/>
          <w:color w:val="000000"/>
          <w:sz w:val="32"/>
          <w:szCs w:val="32"/>
          <w:highlight w:val="none"/>
        </w:rPr>
        <w:t>.</w:t>
      </w:r>
      <w:r>
        <w:rPr>
          <w:rStyle w:val="16"/>
          <w:rFonts w:hint="eastAsia" w:ascii="仿宋" w:hAnsi="仿宋" w:eastAsia="仿宋"/>
          <w:bCs/>
          <w:color w:val="000000"/>
          <w:sz w:val="32"/>
          <w:szCs w:val="32"/>
          <w:highlight w:val="none"/>
        </w:rPr>
        <w:t>城乡社区（类）</w:t>
      </w:r>
      <w:r>
        <w:rPr>
          <w:rStyle w:val="16"/>
          <w:rFonts w:hint="eastAsia" w:ascii="仿宋" w:hAnsi="仿宋" w:eastAsia="仿宋"/>
          <w:bCs/>
          <w:color w:val="000000"/>
          <w:sz w:val="32"/>
          <w:szCs w:val="32"/>
          <w:highlight w:val="none"/>
          <w:lang w:eastAsia="zh-CN"/>
        </w:rPr>
        <w:t>其他城乡社区支出</w:t>
      </w:r>
      <w:r>
        <w:rPr>
          <w:rStyle w:val="16"/>
          <w:rFonts w:hint="eastAsia" w:ascii="仿宋" w:hAnsi="仿宋" w:eastAsia="仿宋"/>
          <w:bCs/>
          <w:color w:val="000000"/>
          <w:sz w:val="32"/>
          <w:szCs w:val="32"/>
          <w:highlight w:val="none"/>
        </w:rPr>
        <w:t>（款）</w:t>
      </w:r>
      <w:r>
        <w:rPr>
          <w:rStyle w:val="16"/>
          <w:rFonts w:hint="eastAsia" w:ascii="仿宋" w:hAnsi="仿宋" w:eastAsia="仿宋"/>
          <w:bCs/>
          <w:color w:val="000000"/>
          <w:sz w:val="32"/>
          <w:szCs w:val="32"/>
          <w:highlight w:val="none"/>
          <w:lang w:eastAsia="zh-CN"/>
        </w:rPr>
        <w:t>其他城乡社区支出</w:t>
      </w:r>
      <w:r>
        <w:rPr>
          <w:rStyle w:val="16"/>
          <w:rFonts w:hint="eastAsia" w:ascii="仿宋" w:hAnsi="仿宋" w:eastAsia="仿宋"/>
          <w:bCs/>
          <w:color w:val="000000"/>
          <w:sz w:val="32"/>
          <w:szCs w:val="32"/>
          <w:highlight w:val="none"/>
        </w:rPr>
        <w:t>（项）</w:t>
      </w:r>
      <w:r>
        <w:rPr>
          <w:rStyle w:val="16"/>
          <w:rFonts w:hint="eastAsia" w:ascii="仿宋" w:hAnsi="仿宋" w:eastAsia="仿宋"/>
          <w:bCs/>
          <w:color w:val="000000"/>
          <w:sz w:val="32"/>
          <w:szCs w:val="32"/>
          <w:highlight w:val="none"/>
          <w:lang w:eastAsia="zh-CN"/>
        </w:rPr>
        <w:t>：</w:t>
      </w:r>
      <w:r>
        <w:rPr>
          <w:rStyle w:val="16"/>
          <w:rFonts w:hint="eastAsia" w:ascii="仿宋" w:hAnsi="仿宋" w:eastAsia="仿宋"/>
          <w:b w:val="0"/>
          <w:bCs/>
          <w:color w:val="000000"/>
          <w:sz w:val="32"/>
          <w:szCs w:val="32"/>
          <w:highlight w:val="none"/>
        </w:rPr>
        <w:t>支出决算为</w:t>
      </w:r>
      <w:r>
        <w:rPr>
          <w:rStyle w:val="16"/>
          <w:rFonts w:hint="eastAsia" w:ascii="仿宋" w:hAnsi="仿宋" w:eastAsia="仿宋"/>
          <w:b w:val="0"/>
          <w:bCs/>
          <w:color w:val="000000"/>
          <w:sz w:val="32"/>
          <w:szCs w:val="32"/>
          <w:highlight w:val="none"/>
          <w:lang w:val="en-US" w:eastAsia="zh-CN"/>
        </w:rPr>
        <w:t>250</w:t>
      </w:r>
      <w:r>
        <w:rPr>
          <w:rStyle w:val="16"/>
          <w:rFonts w:hint="eastAsia" w:ascii="仿宋" w:hAnsi="仿宋" w:eastAsia="仿宋"/>
          <w:b w:val="0"/>
          <w:bCs/>
          <w:color w:val="000000"/>
          <w:sz w:val="32"/>
          <w:szCs w:val="32"/>
          <w:highlight w:val="none"/>
        </w:rPr>
        <w:t>万元，完成预算</w:t>
      </w:r>
      <w:r>
        <w:rPr>
          <w:rStyle w:val="16"/>
          <w:rFonts w:ascii="仿宋" w:hAnsi="仿宋" w:eastAsia="仿宋"/>
          <w:b w:val="0"/>
          <w:bCs/>
          <w:color w:val="000000"/>
          <w:sz w:val="32"/>
          <w:szCs w:val="32"/>
          <w:highlight w:val="none"/>
        </w:rPr>
        <w:t>100%</w:t>
      </w:r>
      <w:r>
        <w:rPr>
          <w:rStyle w:val="16"/>
          <w:rFonts w:hint="eastAsia" w:ascii="仿宋" w:hAnsi="仿宋" w:eastAsia="仿宋"/>
          <w:b w:val="0"/>
          <w:bCs/>
          <w:color w:val="000000"/>
          <w:sz w:val="32"/>
          <w:szCs w:val="32"/>
          <w:highlight w:val="none"/>
        </w:rPr>
        <w:t>。</w:t>
      </w:r>
    </w:p>
    <w:p>
      <w:pPr>
        <w:spacing w:line="600" w:lineRule="exact"/>
        <w:ind w:firstLine="643" w:firstLineChars="200"/>
        <w:rPr>
          <w:rStyle w:val="16"/>
          <w:rFonts w:hint="eastAsia" w:ascii="仿宋" w:hAnsi="仿宋" w:eastAsia="仿宋"/>
          <w:b w:val="0"/>
          <w:bCs/>
          <w:color w:val="000000"/>
          <w:sz w:val="32"/>
          <w:szCs w:val="32"/>
          <w:lang w:val="en-US" w:eastAsia="zh-CN"/>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lang w:val="en-US" w:eastAsia="zh-CN"/>
        </w:rPr>
        <w:t>9</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农林水（类）</w:t>
      </w:r>
      <w:r>
        <w:rPr>
          <w:rStyle w:val="16"/>
          <w:rFonts w:hint="eastAsia" w:ascii="仿宋" w:hAnsi="仿宋" w:eastAsia="仿宋"/>
          <w:bCs/>
          <w:color w:val="000000"/>
          <w:sz w:val="32"/>
          <w:szCs w:val="32"/>
          <w:lang w:eastAsia="zh-CN"/>
        </w:rPr>
        <w:t>扶贫</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农村基础设施建设</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609.19</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生产发展（项）：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79.61</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扶贫贷款奖补和贴息（项）：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0.061</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其他扶贫支出（项）：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49.33</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highlight w:val="none"/>
        </w:rPr>
        <w:t>。</w:t>
      </w:r>
    </w:p>
    <w:p>
      <w:pPr>
        <w:spacing w:line="600" w:lineRule="exact"/>
        <w:ind w:firstLine="643" w:firstLineChars="200"/>
        <w:rPr>
          <w:rStyle w:val="16"/>
          <w:rFonts w:ascii="仿宋" w:hAnsi="仿宋" w:eastAsia="仿宋"/>
          <w:b w:val="0"/>
          <w:bCs/>
          <w:color w:val="000000"/>
          <w:sz w:val="32"/>
          <w:szCs w:val="32"/>
        </w:rPr>
      </w:pPr>
      <w:r>
        <w:rPr>
          <w:rStyle w:val="16"/>
          <w:rFonts w:ascii="仿宋" w:hAnsi="仿宋" w:eastAsia="仿宋"/>
          <w:bCs/>
          <w:color w:val="000000"/>
          <w:sz w:val="32"/>
          <w:szCs w:val="32"/>
        </w:rPr>
        <w:t>2</w:t>
      </w:r>
      <w:r>
        <w:rPr>
          <w:rStyle w:val="16"/>
          <w:rFonts w:hint="eastAsia" w:ascii="仿宋" w:hAnsi="仿宋" w:eastAsia="仿宋"/>
          <w:bCs/>
          <w:color w:val="000000"/>
          <w:sz w:val="32"/>
          <w:szCs w:val="32"/>
          <w:lang w:val="en-US" w:eastAsia="zh-CN"/>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农林水（类）农村综合改革（款）对村民委员会和村党支部的补助（项）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339.91</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val="en-US" w:eastAsia="zh-CN"/>
        </w:rPr>
        <w:t>对村集体经济组织的补助</w:t>
      </w:r>
      <w:r>
        <w:rPr>
          <w:rStyle w:val="16"/>
          <w:rFonts w:hint="eastAsia" w:ascii="仿宋" w:hAnsi="仿宋" w:eastAsia="仿宋"/>
          <w:b/>
          <w:bCs w:val="0"/>
          <w:color w:val="000000"/>
          <w:sz w:val="32"/>
          <w:szCs w:val="32"/>
        </w:rPr>
        <w:t>（项）</w:t>
      </w:r>
      <w:r>
        <w:rPr>
          <w:rStyle w:val="16"/>
          <w:rFonts w:hint="eastAsia" w:ascii="仿宋" w:hAnsi="仿宋" w:eastAsia="仿宋"/>
          <w:b/>
          <w:bCs w:val="0"/>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20</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r>
        <w:rPr>
          <w:rStyle w:val="16"/>
          <w:rFonts w:ascii="仿宋" w:hAnsi="仿宋" w:eastAsia="仿宋"/>
          <w:b w:val="0"/>
          <w:bCs/>
          <w:color w:val="000000"/>
          <w:sz w:val="32"/>
          <w:szCs w:val="32"/>
        </w:rPr>
        <w:t xml:space="preserve"> </w:t>
      </w:r>
    </w:p>
    <w:p>
      <w:pPr>
        <w:spacing w:line="600" w:lineRule="exact"/>
        <w:ind w:firstLine="643" w:firstLineChars="200"/>
        <w:rPr>
          <w:rStyle w:val="16"/>
          <w:rFonts w:hint="eastAsia" w:ascii="仿宋" w:hAnsi="仿宋" w:eastAsia="仿宋"/>
          <w:b w:val="0"/>
          <w:bCs/>
          <w:color w:val="000000"/>
          <w:sz w:val="32"/>
          <w:szCs w:val="32"/>
        </w:rPr>
      </w:pPr>
      <w:r>
        <w:rPr>
          <w:rStyle w:val="16"/>
          <w:rFonts w:ascii="仿宋" w:hAnsi="仿宋" w:eastAsia="仿宋"/>
          <w:bCs/>
          <w:color w:val="000000"/>
          <w:sz w:val="32"/>
          <w:szCs w:val="32"/>
        </w:rPr>
        <w:t>2</w:t>
      </w:r>
      <w:r>
        <w:rPr>
          <w:rStyle w:val="16"/>
          <w:rFonts w:hint="eastAsia" w:ascii="仿宋" w:hAnsi="仿宋" w:eastAsia="仿宋"/>
          <w:bCs/>
          <w:color w:val="000000"/>
          <w:sz w:val="32"/>
          <w:szCs w:val="32"/>
          <w:lang w:val="en-US" w:eastAsia="zh-CN"/>
        </w:rPr>
        <w:t>3</w:t>
      </w:r>
      <w:r>
        <w:rPr>
          <w:rStyle w:val="16"/>
          <w:rFonts w:hint="eastAsia" w:ascii="仿宋" w:hAnsi="仿宋" w:eastAsia="仿宋"/>
          <w:bCs/>
          <w:color w:val="000000"/>
          <w:sz w:val="32"/>
          <w:szCs w:val="32"/>
          <w:lang w:eastAsia="zh-CN"/>
        </w:rPr>
        <w:t>.商业服务业</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商业流通事务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其他商业流通事务支出</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8.9</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24.</w:t>
      </w:r>
      <w:r>
        <w:rPr>
          <w:rStyle w:val="16"/>
          <w:rFonts w:hint="eastAsia" w:ascii="仿宋" w:hAnsi="仿宋" w:eastAsia="仿宋"/>
          <w:bCs/>
          <w:color w:val="000000"/>
          <w:sz w:val="32"/>
          <w:szCs w:val="32"/>
        </w:rPr>
        <w:t>住房保障（类）</w:t>
      </w:r>
      <w:r>
        <w:rPr>
          <w:rStyle w:val="16"/>
          <w:rFonts w:hint="eastAsia" w:ascii="仿宋" w:hAnsi="仿宋" w:eastAsia="仿宋"/>
          <w:bCs/>
          <w:color w:val="000000"/>
          <w:sz w:val="32"/>
          <w:szCs w:val="32"/>
          <w:lang w:eastAsia="zh-CN"/>
        </w:rPr>
        <w:t>保障性安居工程支出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其他保障性安居工程支出</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585</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25.</w:t>
      </w:r>
      <w:r>
        <w:rPr>
          <w:rStyle w:val="16"/>
          <w:rFonts w:hint="eastAsia" w:ascii="仿宋" w:hAnsi="仿宋" w:eastAsia="仿宋"/>
          <w:bCs/>
          <w:color w:val="000000"/>
          <w:sz w:val="32"/>
          <w:szCs w:val="32"/>
        </w:rPr>
        <w:t>住房保障（类）住房改革支出（款）住房公积金（项）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388.41</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bookmarkStart w:id="46" w:name="_Toc15396608"/>
      <w:bookmarkStart w:id="47" w:name="_Toc15377214"/>
    </w:p>
    <w:p>
      <w:pPr>
        <w:spacing w:line="600" w:lineRule="exact"/>
        <w:rPr>
          <w:rStyle w:val="28"/>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46"/>
      <w:bookmarkEnd w:id="47"/>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6602.29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5950.18</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652.11</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28"/>
          <w:rFonts w:ascii="黑体" w:hAnsi="黑体" w:eastAsia="黑体"/>
          <w:b w:val="0"/>
          <w:color w:val="auto"/>
          <w:highlight w:val="none"/>
        </w:rPr>
      </w:pPr>
      <w:bookmarkStart w:id="48" w:name="_Toc6555"/>
      <w:bookmarkStart w:id="49" w:name="_Toc15377215"/>
      <w:bookmarkStart w:id="50" w:name="_Toc15396609"/>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48"/>
      <w:bookmarkEnd w:id="49"/>
      <w:bookmarkEnd w:id="50"/>
    </w:p>
    <w:p>
      <w:pPr>
        <w:spacing w:line="600" w:lineRule="exact"/>
        <w:ind w:firstLine="640"/>
        <w:outlineLvl w:val="2"/>
        <w:rPr>
          <w:rFonts w:ascii="仿宋" w:hAnsi="仿宋" w:eastAsia="仿宋"/>
          <w:b/>
          <w:color w:val="auto"/>
          <w:sz w:val="32"/>
          <w:szCs w:val="32"/>
          <w:highlight w:val="none"/>
        </w:rPr>
      </w:pPr>
      <w:bookmarkStart w:id="51" w:name="_Toc15377216"/>
      <w:r>
        <w:rPr>
          <w:rFonts w:hint="eastAsia" w:ascii="仿宋" w:hAnsi="仿宋" w:eastAsia="仿宋"/>
          <w:b/>
          <w:color w:val="auto"/>
          <w:sz w:val="32"/>
          <w:szCs w:val="32"/>
          <w:highlight w:val="none"/>
        </w:rPr>
        <w:t>（一）“三公”经费财政拨款支出决算总体情况说明</w:t>
      </w:r>
      <w:bookmarkEnd w:id="5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9.73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2" w:name="_Toc15377217"/>
      <w:r>
        <w:rPr>
          <w:rFonts w:hint="eastAsia" w:ascii="仿宋" w:hAnsi="仿宋" w:eastAsia="仿宋"/>
          <w:b/>
          <w:color w:val="auto"/>
          <w:sz w:val="32"/>
          <w:szCs w:val="32"/>
          <w:highlight w:val="none"/>
        </w:rPr>
        <w:t>（二）“三公”经费财政拨款支出决算具体情况说明</w:t>
      </w:r>
      <w:bookmarkEnd w:id="5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9.73</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。具体情况如下：</w:t>
      </w:r>
    </w:p>
    <w:p>
      <w:pPr>
        <w:pStyle w:val="2"/>
        <w:rPr>
          <w:rFonts w:hint="eastAsia"/>
        </w:rPr>
      </w:pPr>
    </w:p>
    <w:p>
      <w:pPr>
        <w:spacing w:line="600" w:lineRule="exact"/>
        <w:ind w:firstLine="320" w:firstLineChars="1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7"/>
        <w:rPr>
          <w:rFonts w:hint="eastAsia" w:ascii="仿宋" w:hAnsi="仿宋" w:eastAsia="仿宋"/>
          <w:color w:val="auto"/>
          <w:sz w:val="32"/>
          <w:szCs w:val="32"/>
          <w:highlight w:val="none"/>
        </w:rPr>
      </w:pPr>
      <w:r>
        <w:rPr>
          <w:rFonts w:hint="eastAsia" w:ascii="仿宋" w:hAnsi="仿宋" w:eastAsia="仿宋" w:cs="仿宋"/>
          <w:sz w:val="32"/>
          <w:szCs w:val="32"/>
          <w:lang w:eastAsia="zh-CN"/>
        </w:rPr>
        <w:drawing>
          <wp:anchor distT="0" distB="0" distL="114300" distR="114300" simplePos="0" relativeHeight="251665408" behindDoc="1" locked="0" layoutInCell="1" allowOverlap="1">
            <wp:simplePos x="0" y="0"/>
            <wp:positionH relativeFrom="column">
              <wp:posOffset>215265</wp:posOffset>
            </wp:positionH>
            <wp:positionV relativeFrom="paragraph">
              <wp:posOffset>104140</wp:posOffset>
            </wp:positionV>
            <wp:extent cx="4543425" cy="1967230"/>
            <wp:effectExtent l="4445" t="4445" r="5080" b="9525"/>
            <wp:wrapTight wrapText="bothSides">
              <wp:wrapPolygon>
                <wp:start x="-21" y="-49"/>
                <wp:lineTo x="-21" y="21495"/>
                <wp:lineTo x="21534" y="21495"/>
                <wp:lineTo x="21534" y="-49"/>
                <wp:lineTo x="-21" y="-49"/>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7"/>
        <w:rPr>
          <w:rFonts w:hint="eastAsia" w:ascii="仿宋" w:hAnsi="仿宋" w:eastAsia="仿宋"/>
          <w:color w:val="auto"/>
          <w:sz w:val="32"/>
          <w:szCs w:val="32"/>
          <w:highlight w:val="none"/>
        </w:rPr>
      </w:pPr>
    </w:p>
    <w:p>
      <w:pPr>
        <w:pStyle w:val="7"/>
        <w:rPr>
          <w:rFonts w:hint="eastAsia" w:ascii="仿宋" w:hAnsi="仿宋" w:eastAsia="仿宋"/>
          <w:color w:val="auto"/>
          <w:sz w:val="32"/>
          <w:szCs w:val="32"/>
          <w:highlight w:val="none"/>
        </w:rPr>
      </w:pPr>
    </w:p>
    <w:p>
      <w:pPr>
        <w:numPr>
          <w:ilvl w:val="0"/>
          <w:numId w:val="0"/>
        </w:numPr>
        <w:spacing w:line="600" w:lineRule="exact"/>
        <w:ind w:firstLine="643" w:firstLineChars="200"/>
        <w:rPr>
          <w:rFonts w:hint="eastAsia" w:ascii="仿宋_GB2312" w:eastAsia="仿宋_GB2312"/>
          <w:b/>
          <w:color w:val="000000"/>
          <w:sz w:val="32"/>
          <w:szCs w:val="32"/>
          <w:lang w:val="en-US" w:eastAsia="zh-CN"/>
        </w:rPr>
      </w:pPr>
    </w:p>
    <w:p>
      <w:pPr>
        <w:numPr>
          <w:ilvl w:val="0"/>
          <w:numId w:val="0"/>
        </w:numPr>
        <w:spacing w:line="600" w:lineRule="exact"/>
        <w:ind w:firstLine="643" w:firstLineChars="200"/>
        <w:rPr>
          <w:rFonts w:hint="eastAsia" w:ascii="仿宋_GB2312" w:eastAsia="仿宋_GB2312"/>
          <w:b/>
          <w:color w:val="000000"/>
          <w:sz w:val="32"/>
          <w:szCs w:val="32"/>
          <w:lang w:val="en-US" w:eastAsia="zh-CN"/>
        </w:rPr>
      </w:pPr>
    </w:p>
    <w:p>
      <w:pPr>
        <w:numPr>
          <w:ilvl w:val="0"/>
          <w:numId w:val="0"/>
        </w:num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ascii="仿宋" w:hAnsi="仿宋" w:eastAsia="仿宋"/>
          <w:b w:val="0"/>
          <w:bCs/>
          <w:color w:val="000000"/>
          <w:sz w:val="32"/>
          <w:szCs w:val="32"/>
        </w:rPr>
        <w:t>0%</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6"/>
          <w:rFonts w:hint="eastAsia" w:ascii="仿宋" w:hAnsi="仿宋" w:eastAsia="仿宋"/>
          <w:b w:val="0"/>
          <w:bCs/>
          <w:color w:val="000000"/>
          <w:sz w:val="32"/>
          <w:szCs w:val="32"/>
        </w:rPr>
        <w:t>完成预算</w:t>
      </w:r>
      <w:r>
        <w:rPr>
          <w:rStyle w:val="16"/>
          <w:rFonts w:ascii="仿宋" w:hAnsi="仿宋" w:eastAsia="仿宋"/>
          <w:b w:val="0"/>
          <w:bCs/>
          <w:color w:val="000000"/>
          <w:sz w:val="32"/>
          <w:szCs w:val="32"/>
        </w:rPr>
        <w:t>0%</w:t>
      </w:r>
      <w:r>
        <w:rPr>
          <w:rStyle w:val="16"/>
          <w:rFonts w:hint="eastAsia" w:ascii="仿宋" w:hAnsi="仿宋" w:eastAsia="仿宋"/>
          <w:b w:val="0"/>
          <w:bCs/>
          <w:color w:val="000000"/>
          <w:sz w:val="32"/>
          <w:szCs w:val="32"/>
        </w:rPr>
        <w:t>。主要原因是：我</w:t>
      </w:r>
      <w:r>
        <w:rPr>
          <w:rStyle w:val="16"/>
          <w:rFonts w:hint="eastAsia" w:ascii="仿宋" w:hAnsi="仿宋" w:eastAsia="仿宋"/>
          <w:b w:val="0"/>
          <w:bCs/>
          <w:color w:val="000000"/>
          <w:sz w:val="32"/>
          <w:szCs w:val="32"/>
          <w:lang w:eastAsia="zh-CN"/>
        </w:rPr>
        <w:t>镇</w:t>
      </w:r>
      <w:r>
        <w:rPr>
          <w:rStyle w:val="16"/>
          <w:rFonts w:hint="eastAsia" w:ascii="仿宋" w:hAnsi="仿宋" w:eastAsia="仿宋"/>
          <w:b w:val="0"/>
          <w:bCs/>
          <w:color w:val="000000"/>
          <w:sz w:val="32"/>
          <w:szCs w:val="32"/>
        </w:rPr>
        <w:t>无公务用车，无相应开支。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3.公务接待费支出</w:t>
      </w:r>
      <w:r>
        <w:rPr>
          <w:rFonts w:hint="eastAsia" w:ascii="仿宋_GB2312" w:eastAsia="仿宋_GB2312"/>
          <w:color w:val="000000"/>
          <w:sz w:val="32"/>
          <w:szCs w:val="32"/>
          <w:lang w:val="en-US" w:eastAsia="zh-CN"/>
        </w:rPr>
        <w:t>9.73</w:t>
      </w:r>
      <w:r>
        <w:rPr>
          <w:rFonts w:hint="eastAsia" w:ascii="仿宋_GB2312" w:eastAsia="仿宋_GB2312"/>
          <w:color w:val="000000"/>
          <w:sz w:val="32"/>
          <w:szCs w:val="32"/>
        </w:rPr>
        <w:t>万元，完成预算100%。公务接待费支出决算比20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9.25</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厉行节约、减少接待</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000000"/>
          <w:sz w:val="32"/>
          <w:szCs w:val="32"/>
        </w:rPr>
        <w:t>主要用于执行公务、开展业务活动开支的用餐费等。具体内容包括：扶贫事务等接受相关部门检查指导工作发生的接待支出。</w:t>
      </w:r>
    </w:p>
    <w:p>
      <w:pPr>
        <w:spacing w:line="600" w:lineRule="exact"/>
        <w:ind w:firstLine="640" w:firstLineChars="200"/>
        <w:outlineLvl w:val="1"/>
        <w:rPr>
          <w:rStyle w:val="28"/>
          <w:rFonts w:ascii="黑体" w:hAnsi="黑体" w:eastAsia="黑体"/>
          <w:color w:val="auto"/>
          <w:highlight w:val="none"/>
        </w:rPr>
      </w:pPr>
      <w:bookmarkStart w:id="53" w:name="_Toc17430"/>
      <w:bookmarkStart w:id="54" w:name="_Toc15377218"/>
      <w:bookmarkStart w:id="55" w:name="_Toc15396610"/>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53"/>
      <w:bookmarkEnd w:id="54"/>
      <w:bookmarkEnd w:id="5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36</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ascii="黑体" w:hAnsi="黑体" w:eastAsia="黑体"/>
          <w:b w:val="0"/>
          <w:color w:val="auto"/>
          <w:highlight w:val="none"/>
        </w:rPr>
      </w:pPr>
      <w:bookmarkStart w:id="56" w:name="_Toc15396611"/>
      <w:bookmarkStart w:id="57" w:name="_Toc15377219"/>
      <w:bookmarkStart w:id="58" w:name="_Toc18947"/>
      <w:r>
        <w:rPr>
          <w:rStyle w:val="28"/>
          <w:rFonts w:hint="eastAsia" w:ascii="黑体" w:hAnsi="黑体" w:eastAsia="黑体"/>
          <w:b w:val="0"/>
          <w:color w:val="auto"/>
          <w:highlight w:val="none"/>
        </w:rPr>
        <w:t>国有资本经营预算支出决算情况说明</w:t>
      </w:r>
      <w:bookmarkEnd w:id="56"/>
      <w:bookmarkEnd w:id="57"/>
      <w:bookmarkEnd w:id="58"/>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hint="eastAsia" w:ascii="黑体" w:hAnsi="黑体" w:eastAsia="黑体"/>
          <w:b w:val="0"/>
          <w:color w:val="auto"/>
          <w:highlight w:val="none"/>
        </w:rPr>
      </w:pPr>
      <w:bookmarkStart w:id="59" w:name="_Toc10896"/>
      <w:bookmarkStart w:id="60" w:name="_Toc15377221"/>
      <w:bookmarkStart w:id="61" w:name="_Toc15396612"/>
      <w:r>
        <w:rPr>
          <w:rStyle w:val="28"/>
          <w:rFonts w:hint="eastAsia" w:ascii="黑体" w:hAnsi="黑体" w:eastAsia="黑体"/>
          <w:b w:val="0"/>
          <w:color w:val="auto"/>
          <w:highlight w:val="none"/>
        </w:rPr>
        <w:t>其他重要事项的情况说明</w:t>
      </w:r>
      <w:bookmarkEnd w:id="59"/>
      <w:bookmarkEnd w:id="60"/>
      <w:bookmarkEnd w:id="61"/>
    </w:p>
    <w:p>
      <w:pPr>
        <w:spacing w:line="600" w:lineRule="exact"/>
        <w:ind w:firstLine="643" w:firstLineChars="200"/>
        <w:outlineLvl w:val="2"/>
        <w:rPr>
          <w:rFonts w:ascii="仿宋" w:hAnsi="仿宋" w:eastAsia="仿宋"/>
          <w:color w:val="auto"/>
          <w:sz w:val="32"/>
          <w:szCs w:val="32"/>
          <w:highlight w:val="none"/>
        </w:rPr>
      </w:pPr>
      <w:bookmarkStart w:id="62" w:name="_Toc15377222"/>
      <w:r>
        <w:rPr>
          <w:rFonts w:hint="eastAsia" w:ascii="仿宋" w:hAnsi="仿宋" w:eastAsia="仿宋"/>
          <w:b/>
          <w:color w:val="auto"/>
          <w:sz w:val="32"/>
          <w:szCs w:val="32"/>
          <w:highlight w:val="none"/>
        </w:rPr>
        <w:t>（一）机关运行经费支出情况</w:t>
      </w:r>
      <w:bookmarkEnd w:id="62"/>
    </w:p>
    <w:p>
      <w:pPr>
        <w:spacing w:line="600" w:lineRule="exact"/>
        <w:ind w:firstLine="640" w:firstLineChars="200"/>
        <w:rPr>
          <w:rFonts w:hint="eastAsia" w:ascii="仿宋_GB2312" w:eastAsia="仿宋_GB2312"/>
          <w:color w:val="0000FF"/>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涪阳镇</w:t>
      </w:r>
      <w:r>
        <w:rPr>
          <w:rFonts w:hint="eastAsia" w:ascii="仿宋_GB2312" w:eastAsia="仿宋_GB2312"/>
          <w:color w:val="auto"/>
          <w:sz w:val="32"/>
          <w:szCs w:val="32"/>
          <w:highlight w:val="none"/>
        </w:rPr>
        <w:t>机关运行经费支出</w:t>
      </w:r>
      <w:r>
        <w:rPr>
          <w:rFonts w:hint="eastAsia" w:ascii="仿宋" w:hAnsi="仿宋" w:eastAsia="仿宋"/>
          <w:color w:val="auto"/>
          <w:sz w:val="32"/>
          <w:szCs w:val="32"/>
          <w:highlight w:val="none"/>
          <w:lang w:val="en-US" w:eastAsia="zh-CN"/>
        </w:rPr>
        <w:t>652.11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21.56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default" w:ascii="仿宋_GB2312" w:eastAsia="仿宋_GB2312"/>
          <w:color w:val="000000"/>
          <w:sz w:val="32"/>
          <w:szCs w:val="32"/>
        </w:rPr>
        <w:t>机关运行费用</w:t>
      </w:r>
      <w:r>
        <w:rPr>
          <w:rFonts w:hint="eastAsia" w:ascii="仿宋_GB2312" w:eastAsia="仿宋_GB2312"/>
          <w:color w:val="000000"/>
          <w:sz w:val="32"/>
          <w:szCs w:val="32"/>
          <w:lang w:eastAsia="zh-CN"/>
        </w:rPr>
        <w:t>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3" w:name="_Toc15377223"/>
      <w:r>
        <w:rPr>
          <w:rFonts w:hint="eastAsia" w:ascii="仿宋" w:hAnsi="仿宋" w:eastAsia="仿宋"/>
          <w:b/>
          <w:color w:val="auto"/>
          <w:sz w:val="32"/>
          <w:szCs w:val="32"/>
          <w:highlight w:val="none"/>
        </w:rPr>
        <w:t>（二）政府采购支出情况</w:t>
      </w:r>
      <w:bookmarkEnd w:id="6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涪阳镇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8.8</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6.2</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2.6</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lang w:val="en-US" w:eastAsia="zh-CN"/>
        </w:rPr>
        <w:t>乡镇合并会议室改造设施采购、办公设备采购等</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4" w:name="_Toc15377224"/>
      <w:r>
        <w:rPr>
          <w:rFonts w:hint="eastAsia" w:ascii="仿宋" w:hAnsi="仿宋" w:eastAsia="仿宋"/>
          <w:b/>
          <w:color w:val="auto"/>
          <w:sz w:val="32"/>
          <w:szCs w:val="32"/>
          <w:highlight w:val="none"/>
        </w:rPr>
        <w:t>（三）国有资产占有使用情况</w:t>
      </w:r>
      <w:bookmarkEnd w:id="64"/>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000000"/>
          <w:sz w:val="32"/>
          <w:szCs w:val="32"/>
        </w:rPr>
        <w:t>截至</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仿宋_GB2312" w:eastAsia="仿宋_GB2312" w:cs="仿宋_GB2312"/>
          <w:sz w:val="32"/>
          <w:szCs w:val="32"/>
        </w:rPr>
        <w:t>涪阳镇人民政府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，其中：</w:t>
      </w:r>
      <w:r>
        <w:rPr>
          <w:rFonts w:hint="eastAsia" w:ascii="仿宋_GB2312" w:eastAsia="仿宋_GB2312"/>
          <w:color w:val="000000"/>
          <w:sz w:val="32"/>
          <w:szCs w:val="32"/>
          <w:lang w:val="en-US" w:eastAsia="zh-CN"/>
        </w:rPr>
        <w:t>领导干部用车0辆、机要通信用车0辆、应急保障用车0辆、特种专业技术用车（垃圾压缩车）1辆。</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农村环境治理、活水沟村安全饮水补短板、文化院坝等</w:t>
      </w:r>
      <w:r>
        <w:rPr>
          <w:rFonts w:hint="eastAsia" w:ascii="仿宋_GB2312" w:hAnsi="仿宋_GB2312" w:eastAsia="仿宋_GB2312" w:cs="仿宋_GB2312"/>
          <w:color w:val="auto"/>
          <w:sz w:val="32"/>
          <w:szCs w:val="32"/>
          <w:highlight w:val="none"/>
          <w:lang w:val="en-US" w:eastAsia="zh-CN"/>
        </w:rPr>
        <w:t>14个项目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年XX部门整体绩效评价报告》见附件（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7"/>
          <w:rFonts w:ascii="黑体" w:hAnsi="黑体" w:eastAsia="黑体"/>
          <w:b w:val="0"/>
          <w:color w:val="auto"/>
          <w:highlight w:val="none"/>
        </w:rPr>
      </w:pPr>
      <w:bookmarkStart w:id="65" w:name="_Toc27287"/>
      <w:bookmarkStart w:id="66" w:name="_Toc15396613"/>
      <w:bookmarkStart w:id="67"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65"/>
      <w:bookmarkEnd w:id="66"/>
      <w:bookmarkEnd w:id="67"/>
    </w:p>
    <w:p>
      <w:pPr>
        <w:pStyle w:val="25"/>
        <w:spacing w:line="560" w:lineRule="exact"/>
        <w:ind w:firstLine="640" w:firstLineChars="200"/>
        <w:rPr>
          <w:rFonts w:ascii="仿宋_GB2312" w:eastAsia="仿宋_GB2312"/>
          <w:color w:val="auto"/>
          <w:sz w:val="32"/>
          <w:szCs w:val="32"/>
          <w:highlight w:val="none"/>
        </w:rPr>
      </w:pPr>
      <w:bookmarkStart w:id="68"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widowControl/>
        <w:suppressLineNumbers w:val="0"/>
        <w:shd w:val="clear" w:color="auto" w:fill="auto"/>
        <w:spacing w:before="0" w:beforeAutospacing="0" w:after="0" w:afterAutospacing="0"/>
        <w:ind w:left="0" w:right="0" w:firstLine="640"/>
        <w:jc w:val="left"/>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9.一般公共服务（类）人大事务（款）行政运行（项）: 反映行政单位（包括实行公务员管理的事业单位）的基本支出。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10.一般公共服务（类）政府办公厅（室）及相关机构事务（款）行政运行（项）</w:t>
      </w:r>
      <w:r>
        <w:rPr>
          <w:rFonts w:hint="eastAsia" w:ascii="仿宋_GB2312" w:eastAsia="仿宋_GB2312" w:cs="仿宋"/>
          <w:color w:val="000000"/>
          <w:kern w:val="0"/>
          <w:sz w:val="32"/>
          <w:szCs w:val="32"/>
          <w:lang w:val="en-US" w:eastAsia="zh-CN" w:bidi="ar-SA"/>
        </w:rPr>
        <w:t>：</w:t>
      </w:r>
      <w:r>
        <w:rPr>
          <w:rFonts w:hint="eastAsia" w:ascii="仿宋_GB2312" w:hAnsi="Times New Roman" w:eastAsia="仿宋_GB2312" w:cs="仿宋"/>
          <w:color w:val="000000"/>
          <w:kern w:val="0"/>
          <w:sz w:val="32"/>
          <w:szCs w:val="32"/>
          <w:lang w:val="en-US" w:eastAsia="zh-CN" w:bidi="ar-SA"/>
        </w:rPr>
        <w:t>反映行政单位（包括实行公务员管理的事业单位）的基本支出。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11.一般公共服务（类）政府办公厅（室）及相关机构事务（款）一般行政管理事务（项）</w:t>
      </w:r>
      <w:r>
        <w:rPr>
          <w:rFonts w:hint="eastAsia" w:ascii="仿宋_GB2312" w:eastAsia="仿宋_GB2312" w:cs="仿宋"/>
          <w:color w:val="000000"/>
          <w:kern w:val="0"/>
          <w:sz w:val="32"/>
          <w:szCs w:val="32"/>
          <w:lang w:val="en-US" w:eastAsia="zh-CN" w:bidi="ar-SA"/>
        </w:rPr>
        <w:t>：反映</w:t>
      </w:r>
      <w:r>
        <w:rPr>
          <w:rFonts w:hint="eastAsia" w:ascii="仿宋_GB2312" w:hAnsi="Times New Roman" w:eastAsia="仿宋_GB2312" w:cs="仿宋"/>
          <w:color w:val="000000"/>
          <w:kern w:val="0"/>
          <w:sz w:val="32"/>
          <w:szCs w:val="32"/>
          <w:lang w:val="en-US" w:eastAsia="zh-CN" w:bidi="ar-SA"/>
        </w:rPr>
        <w:t>行政单位</w:t>
      </w:r>
      <w:r>
        <w:rPr>
          <w:rFonts w:hint="eastAsia" w:ascii="仿宋_GB2312" w:eastAsia="仿宋_GB2312" w:cs="仿宋"/>
          <w:color w:val="000000"/>
          <w:kern w:val="0"/>
          <w:sz w:val="32"/>
          <w:szCs w:val="32"/>
          <w:lang w:val="en-US" w:eastAsia="zh-CN" w:bidi="ar-SA"/>
        </w:rPr>
        <w:t>行政管理事务</w:t>
      </w:r>
      <w:r>
        <w:rPr>
          <w:rFonts w:hint="eastAsia" w:ascii="仿宋_GB2312" w:hAnsi="Times New Roman" w:eastAsia="仿宋_GB2312" w:cs="仿宋"/>
          <w:color w:val="000000"/>
          <w:kern w:val="0"/>
          <w:sz w:val="32"/>
          <w:szCs w:val="32"/>
          <w:lang w:val="en-US" w:eastAsia="zh-CN" w:bidi="ar-SA"/>
        </w:rPr>
        <w:t>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12.一般公共服务（类）政府办公厅（室）及相关机构事务（款）信访事务（项）</w:t>
      </w:r>
      <w:r>
        <w:rPr>
          <w:rFonts w:hint="eastAsia" w:ascii="仿宋_GB2312" w:eastAsia="仿宋_GB2312" w:cs="仿宋"/>
          <w:color w:val="000000"/>
          <w:kern w:val="0"/>
          <w:sz w:val="32"/>
          <w:szCs w:val="32"/>
          <w:lang w:val="en-US" w:eastAsia="zh-CN" w:bidi="ar-SA"/>
        </w:rPr>
        <w:t>：</w:t>
      </w:r>
      <w:r>
        <w:rPr>
          <w:rFonts w:hint="eastAsia" w:ascii="仿宋_GB2312" w:hAnsi="Times New Roman" w:eastAsia="仿宋_GB2312" w:cs="仿宋"/>
          <w:color w:val="000000"/>
          <w:kern w:val="0"/>
          <w:sz w:val="32"/>
          <w:szCs w:val="32"/>
          <w:lang w:val="en-US" w:eastAsia="zh-CN" w:bidi="ar-SA"/>
        </w:rPr>
        <w:t>反映各级政府用于接待群众来信来访方面的支出。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13. 一般公共服务（类）财政事务（款）行政运行（项）:</w:t>
      </w:r>
    </w:p>
    <w:p>
      <w:pPr>
        <w:keepNext w:val="0"/>
        <w:keepLines w:val="0"/>
        <w:widowControl/>
        <w:suppressLineNumbers w:val="0"/>
        <w:shd w:val="clear" w:color="auto" w:fill="auto"/>
        <w:spacing w:before="0" w:beforeAutospacing="0" w:after="0" w:afterAutospacing="0"/>
        <w:ind w:left="0" w:right="0" w:firstLine="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反映行政单位（包括实行公务员管理的事业单位）的基本支出。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14. 一般公共服务（类）人力资源事务（款）其他人力资源事务支出（项）</w:t>
      </w:r>
      <w:r>
        <w:rPr>
          <w:rFonts w:hint="eastAsia" w:ascii="仿宋_GB2312" w:eastAsia="仿宋_GB2312" w:cs="仿宋"/>
          <w:color w:val="000000"/>
          <w:kern w:val="0"/>
          <w:sz w:val="32"/>
          <w:szCs w:val="32"/>
          <w:lang w:val="en-US" w:eastAsia="zh-CN" w:bidi="ar-SA"/>
        </w:rPr>
        <w:t>：</w:t>
      </w:r>
      <w:r>
        <w:rPr>
          <w:rFonts w:hint="eastAsia" w:ascii="仿宋_GB2312" w:hAnsi="Times New Roman" w:eastAsia="仿宋_GB2312" w:cs="仿宋"/>
          <w:color w:val="000000"/>
          <w:kern w:val="0"/>
          <w:sz w:val="32"/>
          <w:szCs w:val="32"/>
          <w:lang w:val="en-US" w:eastAsia="zh-CN" w:bidi="ar-SA"/>
        </w:rPr>
        <w:t>反映除上述项目以外其他人力资源事务方面的支出。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15. 一般公共服务（类）纪检监察事务（款）行政运行（项）</w:t>
      </w:r>
      <w:r>
        <w:rPr>
          <w:rFonts w:hint="eastAsia" w:ascii="仿宋_GB2312" w:eastAsia="仿宋_GB2312" w:cs="仿宋"/>
          <w:color w:val="000000"/>
          <w:kern w:val="0"/>
          <w:sz w:val="32"/>
          <w:szCs w:val="32"/>
          <w:lang w:val="en-US" w:eastAsia="zh-CN" w:bidi="ar-SA"/>
        </w:rPr>
        <w:t>：</w:t>
      </w:r>
      <w:r>
        <w:rPr>
          <w:rFonts w:hint="eastAsia" w:ascii="仿宋_GB2312" w:hAnsi="Times New Roman" w:eastAsia="仿宋_GB2312" w:cs="仿宋"/>
          <w:color w:val="000000"/>
          <w:kern w:val="0"/>
          <w:sz w:val="32"/>
          <w:szCs w:val="32"/>
          <w:lang w:val="en-US" w:eastAsia="zh-CN" w:bidi="ar-SA"/>
        </w:rPr>
        <w:t>反映行政单位（包括实行公务员管理的事业单位）的基本支出。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16. 一般公共服务（类）党委办公厅（室）及相关机构事务（款）行政运行（项）</w:t>
      </w:r>
      <w:r>
        <w:rPr>
          <w:rFonts w:hint="eastAsia" w:ascii="仿宋_GB2312" w:eastAsia="仿宋_GB2312" w:cs="仿宋"/>
          <w:color w:val="000000"/>
          <w:kern w:val="0"/>
          <w:sz w:val="32"/>
          <w:szCs w:val="32"/>
          <w:lang w:val="en-US" w:eastAsia="zh-CN" w:bidi="ar-SA"/>
        </w:rPr>
        <w:t>：</w:t>
      </w:r>
      <w:r>
        <w:rPr>
          <w:rFonts w:hint="eastAsia" w:ascii="仿宋_GB2312" w:hAnsi="Times New Roman" w:eastAsia="仿宋_GB2312" w:cs="仿宋"/>
          <w:color w:val="000000"/>
          <w:kern w:val="0"/>
          <w:sz w:val="32"/>
          <w:szCs w:val="32"/>
          <w:lang w:val="en-US" w:eastAsia="zh-CN" w:bidi="ar-SA"/>
        </w:rPr>
        <w:t>反映行政单位（包括实行公务员管理的事业单位）的基本支出。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17. 教育支出（类）普通教育（款）学前教育（项）: 反映各部门举办的学前教育支出。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18. 教育支出（类）普通教育（款）小学教育（项）：反映各部门举办的小学教育支出。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19. 教育支出（类）普通教育（款）初中教育（项）：反映各部门举办的初中教育支出。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20. 教育支出（类）普通教育（款）高中教育（项）：反映各部门举办的高中教育支出。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21. 教育支出（类）普通教育（款）其他普通教育支出（项）：反映除上述项目以外其他用于普通教育方面的支出。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22. 教育支出（类）其他教育支出（款）其他教育支出（项）：反映除上述项目以外其他用于教育方面的支出。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23. 文化体育与传媒支出（类）文化（款）群众文化（项）：反映群众文化方面的支出，包括基层文化馆（站）、群众艺术馆支出等。</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24. 文化体育与传媒支出（类）文化（款）其他文化支出（项）：反映除上述项目以外其他用于文化方面的支出。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25. 社会保障和就业支出（类）人力资源和社会保障管理事务（款）社会保险经办机构（项）：反映社会保险经办机构开展业务工作的支出。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26. 社会保障和就业支出（类）行政事业单位离退休（款）</w:t>
      </w:r>
    </w:p>
    <w:p>
      <w:pPr>
        <w:keepNext w:val="0"/>
        <w:keepLines w:val="0"/>
        <w:widowControl/>
        <w:suppressLineNumbers w:val="0"/>
        <w:shd w:val="clear" w:color="auto" w:fill="auto"/>
        <w:spacing w:before="0" w:beforeAutospacing="0" w:after="0" w:afterAutospacing="0"/>
        <w:ind w:left="0" w:right="0" w:firstLine="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机关事业单位基本养老保险缴费支出（项）：反映机关事业单位实施养老保险制度由单位缴纳的基本养老保险费支出。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27. 医疗卫生与计划生育支出（类）医疗卫生与计划生育管理事务（款）行政运行（项）：反映行政单位（包括实行公务员管理的事业单位）的基本支出。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28. 医疗卫生与计划生育支出（类）基层医疗卫生机构（款）乡镇卫生院（项）：反映用于乡镇卫生院的支出。</w:t>
      </w:r>
    </w:p>
    <w:p>
      <w:pPr>
        <w:keepNext w:val="0"/>
        <w:keepLines w:val="0"/>
        <w:widowControl/>
        <w:suppressLineNumbers w:val="0"/>
        <w:shd w:val="clear" w:color="auto" w:fill="auto"/>
        <w:spacing w:before="0" w:beforeAutospacing="0" w:after="0" w:afterAutospacing="0"/>
        <w:ind w:left="0" w:right="0" w:firstLine="640"/>
        <w:jc w:val="both"/>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29. 医疗卫生与计划生育支出（类）基层医疗卫生机构（款）其他基层医疗卫生机构支出（项）：反映除上述项目以外其他用于基层医疗卫生机构的支出。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30. 医疗卫生与计划生育支出（类）公共卫生（款）</w:t>
      </w:r>
    </w:p>
    <w:p>
      <w:pPr>
        <w:keepNext w:val="0"/>
        <w:keepLines w:val="0"/>
        <w:widowControl/>
        <w:suppressLineNumbers w:val="0"/>
        <w:shd w:val="clear" w:color="auto" w:fill="auto"/>
        <w:spacing w:before="0" w:beforeAutospacing="0" w:after="0" w:afterAutospacing="0"/>
        <w:ind w:left="0" w:right="0" w:firstLine="0"/>
        <w:jc w:val="both"/>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基本公共卫生服务（项）：反映基本公共卫生服务支出。</w:t>
      </w:r>
    </w:p>
    <w:p>
      <w:pPr>
        <w:keepNext w:val="0"/>
        <w:keepLines w:val="0"/>
        <w:widowControl/>
        <w:suppressLineNumbers w:val="0"/>
        <w:shd w:val="clear" w:color="auto" w:fill="auto"/>
        <w:spacing w:before="0" w:beforeAutospacing="0" w:after="0" w:afterAutospacing="0"/>
        <w:ind w:left="0" w:right="0" w:firstLine="640" w:firstLineChars="20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31.医疗卫生与计划生育支出（类）计划生育事务（款）</w:t>
      </w:r>
    </w:p>
    <w:p>
      <w:pPr>
        <w:keepNext w:val="0"/>
        <w:keepLines w:val="0"/>
        <w:widowControl/>
        <w:suppressLineNumbers w:val="0"/>
        <w:shd w:val="clear" w:color="auto" w:fill="auto"/>
        <w:spacing w:before="0" w:beforeAutospacing="0" w:after="0" w:afterAutospacing="0"/>
        <w:ind w:left="0" w:right="0" w:firstLine="0"/>
        <w:jc w:val="both"/>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计划生育服务（项）：反映计划生育服务支出。</w:t>
      </w:r>
    </w:p>
    <w:p>
      <w:pPr>
        <w:keepNext w:val="0"/>
        <w:keepLines w:val="0"/>
        <w:widowControl/>
        <w:suppressLineNumbers w:val="0"/>
        <w:shd w:val="clear" w:color="auto" w:fill="auto"/>
        <w:spacing w:before="0" w:beforeAutospacing="0" w:after="0" w:afterAutospacing="0"/>
        <w:ind w:left="0" w:right="0" w:firstLine="640" w:firstLineChars="20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32.医疗卫生与计划生育支出（类）财政对基本医疗保险基金的补助（款）财政对城乡居民基本医疗保险基金的补助（项）：反映财政对已将新型农村合作医疗基金和城镇居民基本医疗保险基金整合为城乡居民基本医疗保险基金的补助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33.城乡社区支出（类）城乡社区规划与管理（款）城乡社区规划与管理（项）: 指反映城乡社区、名胜风景区、防灾减灾、历史名城规划制定与管理等方面的支出。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34.城乡社区支出（类）城乡社区公共设施（款） 其他城乡社区公共设施支出（项）：反映除上述项目以外其他用于城乡社区公共设施的支出。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35. 农林水支出（类）农业（款） 事业运行（项）：反映用于农业事业单位基本支出，事业单位设施、系统运行与资产维护等方面的支出。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36. 农林水支出（类）农业（款）农业生产支持补贴（项）：反映对种粮农民直接补贴，对农业生产资料补贴、技术物化补贴，推广先进适用农机农艺技术等方面的支出。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37. 农林水支出（类）农业（款）农村道路建设（项）：反映用于农村公路、乡村道路建设方面的支出。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38. 农林水支出（类）林业（款）林业事业机构（项）：用于林业事业单位的基本支出。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39. 农林水支出（类）林业（款）森林生态效益补偿（项）：反映有森林生态效益补偿基金安排用于公益林营造、抚育、管理和保护等方面的支出。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40. 农林水支出（类）水利（款）水利技术推广（项）：反映水利系统纳入预算管理的技术推广事业单位的支出。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41. 农林水支出（类）扶贫（款）农村基础设施建设（项）：反映用于农村公路、道路建设方面等基础设施建设的支出。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42. 农林水支出（类）扶贫（款）生产发展（项）：反映用于农村贫困地区发展种植业、养殖业、畜牧业、农副产品加工、林果地建设等生产发展项目以及相关技术推广等方面的项目支出。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43. 农林水支出（类）扶贫（款）其他扶贫支出（项）：反映除上述项目以外其他用于其他扶贫支出。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44. 农林水支出（类）农村综合改革（款）对村民委员会和村</w:t>
      </w:r>
      <w:r>
        <w:rPr>
          <w:rFonts w:hint="eastAsia" w:ascii="仿宋_GB2312" w:eastAsia="仿宋_GB2312" w:cs="仿宋"/>
          <w:color w:val="000000"/>
          <w:kern w:val="0"/>
          <w:sz w:val="32"/>
          <w:szCs w:val="32"/>
          <w:lang w:val="en-US" w:eastAsia="zh-CN" w:bidi="ar-SA"/>
        </w:rPr>
        <w:t>党</w:t>
      </w:r>
      <w:r>
        <w:rPr>
          <w:rFonts w:hint="eastAsia" w:ascii="仿宋_GB2312" w:hAnsi="Times New Roman" w:eastAsia="仿宋_GB2312" w:cs="仿宋"/>
          <w:color w:val="000000"/>
          <w:kern w:val="0"/>
          <w:sz w:val="32"/>
          <w:szCs w:val="32"/>
          <w:lang w:val="en-US" w:eastAsia="zh-CN" w:bidi="ar-SA"/>
        </w:rPr>
        <w:t>支部的补助（项）：反映各级财政对村民委员会和村党支部的补助支出。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45. 农林水支出（类）农村综合改革（款）对村集体经济组织的补助（项）：反映农村税费改革后对村集体经济组织的补助支出。</w:t>
      </w:r>
    </w:p>
    <w:p>
      <w:pPr>
        <w:keepNext w:val="0"/>
        <w:keepLines w:val="0"/>
        <w:widowControl/>
        <w:suppressLineNumbers w:val="0"/>
        <w:shd w:val="clear" w:color="auto" w:fill="auto"/>
        <w:spacing w:before="0" w:beforeAutospacing="0" w:after="0" w:afterAutospacing="0"/>
        <w:ind w:left="0" w:right="0" w:firstLine="640"/>
        <w:jc w:val="both"/>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46. 农林水支出（类）其他农林水支出（款）其他农林水支出（项）：反映除化解债务支出以外其他用于农林水方面的支出。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47. 交通运输支出（类）公路水路运输（款）公路运输管理（项）：反映公路运输管理支出和公路路政管理支出。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Times New Roman" w:eastAsia="仿宋_GB2312" w:cs="仿宋"/>
          <w:color w:val="000000"/>
          <w:kern w:val="0"/>
          <w:sz w:val="32"/>
          <w:szCs w:val="32"/>
          <w:lang w:val="en-US" w:eastAsia="zh-CN" w:bidi="ar-SA"/>
        </w:rPr>
      </w:pPr>
      <w:r>
        <w:rPr>
          <w:rFonts w:hint="eastAsia" w:ascii="仿宋_GB2312" w:hAnsi="Times New Roman" w:eastAsia="仿宋_GB2312" w:cs="仿宋"/>
          <w:color w:val="000000"/>
          <w:kern w:val="0"/>
          <w:sz w:val="32"/>
          <w:szCs w:val="32"/>
          <w:lang w:val="en-US" w:eastAsia="zh-CN" w:bidi="ar-SA"/>
        </w:rPr>
        <w:t>48住房保障支出（类）住房改革支出（款）住房公积金（项）：反映用于本单位职工住房公积金缴存等支出。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hint="eastAsia" w:ascii="黑体" w:hAnsi="黑体" w:eastAsia="黑体"/>
          <w:b w:val="0"/>
          <w:color w:val="auto"/>
          <w:highlight w:val="none"/>
          <w:lang w:eastAsia="zh-CN"/>
        </w:rPr>
      </w:pPr>
      <w:r>
        <w:rPr>
          <w:rFonts w:ascii="宋体"/>
          <w:b/>
          <w:color w:val="auto"/>
          <w:sz w:val="44"/>
          <w:szCs w:val="44"/>
          <w:highlight w:val="none"/>
        </w:rPr>
        <w:br w:type="page"/>
      </w:r>
      <w:bookmarkStart w:id="69" w:name="_Toc15396614"/>
      <w:bookmarkStart w:id="70" w:name="_Toc7021"/>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69"/>
      <w:bookmarkEnd w:id="70"/>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71" w:name="_Toc13406"/>
      <w:r>
        <w:rPr>
          <w:rFonts w:hint="eastAsia" w:ascii="黑体" w:hAnsi="黑体" w:eastAsia="黑体" w:cs="黑体"/>
          <w:color w:val="auto"/>
          <w:sz w:val="32"/>
          <w:szCs w:val="32"/>
          <w:highlight w:val="none"/>
        </w:rPr>
        <w:t>附件</w:t>
      </w:r>
      <w:bookmarkEnd w:id="71"/>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涪阳镇</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spacing w:line="572" w:lineRule="exact"/>
        <w:ind w:firstLine="640" w:firstLineChars="200"/>
        <w:contextualSpacing/>
        <w:jc w:val="center"/>
        <w:textAlignment w:val="auto"/>
        <w:rPr>
          <w:rFonts w:ascii="仿宋_GB2312" w:hAnsi="宋体" w:eastAsia="仿宋_GB2312"/>
          <w:color w:val="auto"/>
          <w:sz w:val="32"/>
          <w:szCs w:val="32"/>
          <w:highlight w:val="none"/>
          <w:shd w:val="clear" w:color="auto" w:fill="FFFFFF"/>
        </w:rPr>
      </w:pPr>
      <w:r>
        <w:rPr>
          <w:rFonts w:hint="eastAsia" w:ascii="仿宋_GB2312" w:hAnsi="宋体" w:eastAsia="仿宋_GB2312"/>
          <w:color w:val="auto"/>
          <w:sz w:val="32"/>
          <w:szCs w:val="32"/>
          <w:highlight w:val="none"/>
          <w:shd w:val="clear" w:color="auto" w:fill="FFFFFF"/>
        </w:rPr>
        <w:t>（报告范围包括机关和下属单位）</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涪阳镇下属二级单位6个，其中行政单位1个，参照公务员管理的事业单位0个，其他事业单位5个。</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纳入涪阳镇2021年度部门决算编制范围的二级预算单位包括：</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1.涪阳中学</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2.涪阳中心卫生院</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3.涪阳镇中心小学</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4.涪阳镇草池小学</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5.涪阳镇草池卫生院</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6.涪阳镇人民政府（本级）</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（二）机构职能。</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执行国家行政机关的决定、命令和国家制定的法令、法规，执行本级人民代表大会的各项决议，并报告执行决议、决定和命令的情况。</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 xml:space="preserve"> 制定并落实本行政区域的经济计划和措施，全面提高人民群众的生活水平和生活质量。</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承担国有资产、集体资产管理、监督及增值保值责任。</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开展社会主义民主和法制的宣传教育，保障公民的权利，打击违法犯罪，维护社会稳定。</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制定社会各项事业发展计划，发展教育、卫生、科技、民政、广播电视、文化、体育事业；加强计划生育工作；推进社会保障、社会福利事业和养老保险等工作。</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rPr>
        <w:t>加强镇级财政的监督和管理。</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7.</w:t>
      </w:r>
      <w:r>
        <w:rPr>
          <w:rFonts w:hint="eastAsia" w:ascii="仿宋" w:hAnsi="仿宋" w:eastAsia="仿宋"/>
          <w:bCs/>
          <w:color w:val="000000"/>
          <w:sz w:val="32"/>
          <w:szCs w:val="32"/>
        </w:rPr>
        <w:t>指导村（居）民委员会的组织制度建设和业务建设，促进村（居）民委员会民主自治。</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8.</w:t>
      </w:r>
      <w:r>
        <w:rPr>
          <w:rFonts w:hint="eastAsia" w:ascii="仿宋" w:hAnsi="仿宋" w:eastAsia="仿宋"/>
          <w:bCs/>
          <w:color w:val="000000"/>
          <w:sz w:val="32"/>
          <w:szCs w:val="32"/>
        </w:rPr>
        <w:t>制定和组织实施镇村建设规划，保护和改善生活环境和生态环境。</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协助和支持设置在本行政区域内不隶属于镇的国家机关和企事业单位工作，监督其遵守和执行国家的法律、法规和政策。</w:t>
      </w:r>
    </w:p>
    <w:p>
      <w:pPr>
        <w:pStyle w:val="7"/>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10.</w:t>
      </w:r>
      <w:r>
        <w:rPr>
          <w:rFonts w:hint="eastAsia" w:ascii="仿宋" w:hAnsi="仿宋" w:eastAsia="仿宋"/>
          <w:bCs/>
          <w:color w:val="000000"/>
          <w:sz w:val="32"/>
          <w:szCs w:val="32"/>
        </w:rPr>
        <w:t xml:space="preserve"> 承办本级党委、人大和上级交办的</w:t>
      </w:r>
      <w:r>
        <w:rPr>
          <w:rFonts w:hint="eastAsia" w:ascii="仿宋" w:hAnsi="仿宋" w:eastAsia="仿宋"/>
          <w:bCs/>
          <w:color w:val="000000"/>
          <w:sz w:val="32"/>
          <w:szCs w:val="32"/>
          <w:lang w:eastAsia="zh-CN"/>
        </w:rPr>
        <w:t>其他事项</w:t>
      </w:r>
    </w:p>
    <w:p>
      <w:pPr>
        <w:keepNext w:val="0"/>
        <w:keepLines w:val="0"/>
        <w:pageBreakBefore w:val="0"/>
        <w:widowControl/>
        <w:kinsoku/>
        <w:wordWrap/>
        <w:overflowPunct/>
        <w:topLinePunct w:val="0"/>
        <w:autoSpaceDE/>
        <w:autoSpaceDN/>
        <w:bidi w:val="0"/>
        <w:adjustRightInd w:val="0"/>
        <w:snapToGrid w:val="0"/>
        <w:spacing w:line="572" w:lineRule="exact"/>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en-US" w:eastAsia="zh-CN"/>
        </w:rPr>
      </w:pPr>
      <w:r>
        <w:rPr>
          <w:rFonts w:hint="eastAsia" w:ascii="仿宋" w:hAnsi="仿宋" w:eastAsia="仿宋"/>
          <w:color w:val="auto"/>
          <w:sz w:val="32"/>
          <w:szCs w:val="32"/>
          <w:highlight w:val="none"/>
          <w:lang w:val="en-US" w:eastAsia="zh-CN"/>
        </w:rPr>
        <w:t>在职在编518人，其中行政编制42人，事业编制476人</w:t>
      </w:r>
      <w:r>
        <w:rPr>
          <w:rFonts w:hint="eastAsia" w:ascii="黑体" w:hAnsi="宋体" w:eastAsia="黑体" w:cs="宋体"/>
          <w:color w:val="auto"/>
          <w:kern w:val="0"/>
          <w:sz w:val="32"/>
          <w:szCs w:val="32"/>
          <w:highlight w:val="none"/>
          <w:shd w:val="clear" w:color="auto" w:fill="FFFFFF"/>
          <w:lang w:val="en-US" w:eastAsia="zh-CN"/>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spacing w:line="600" w:lineRule="exact"/>
        <w:ind w:firstLine="640" w:firstLineChars="200"/>
        <w:outlineLvl w:val="1"/>
        <w:rPr>
          <w:rFonts w:ascii="仿宋" w:hAnsi="仿宋" w:eastAsia="仿宋"/>
          <w:color w:val="auto"/>
          <w:sz w:val="32"/>
          <w:szCs w:val="32"/>
          <w:highlight w:val="none"/>
        </w:rPr>
      </w:pPr>
      <w:bookmarkStart w:id="72" w:name="_Toc1142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10524.89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9556.2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35.73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0.34</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825.91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107.05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72"/>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部门财政资金支出情况。</w:t>
      </w:r>
    </w:p>
    <w:p>
      <w:pPr>
        <w:spacing w:line="600" w:lineRule="exact"/>
        <w:ind w:firstLine="640" w:firstLineChars="200"/>
        <w:outlineLvl w:val="1"/>
        <w:rPr>
          <w:rFonts w:ascii="仿宋" w:hAnsi="仿宋" w:eastAsia="仿宋"/>
          <w:color w:val="auto"/>
          <w:sz w:val="32"/>
          <w:szCs w:val="32"/>
          <w:highlight w:val="none"/>
        </w:rPr>
      </w:pPr>
      <w:bookmarkStart w:id="73" w:name="_Toc2719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11056.7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7467.03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67.53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3589.67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73"/>
    </w:p>
    <w:p>
      <w:pPr>
        <w:keepNext w:val="0"/>
        <w:keepLines w:val="0"/>
        <w:pageBreakBefore w:val="0"/>
        <w:widowControl/>
        <w:kinsoku/>
        <w:wordWrap/>
        <w:overflowPunct/>
        <w:topLinePunct w:val="0"/>
        <w:autoSpaceDE/>
        <w:autoSpaceDN/>
        <w:bidi w:val="0"/>
        <w:adjustRightInd w:val="0"/>
        <w:snapToGrid w:val="0"/>
        <w:spacing w:line="572" w:lineRule="exact"/>
        <w:ind w:firstLine="320" w:firstLineChars="1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zh-CN"/>
        </w:rPr>
        <w:t>截至2021年</w:t>
      </w:r>
      <w:r>
        <w:rPr>
          <w:rFonts w:hint="eastAsia" w:ascii="仿宋_GB2312" w:hAnsi="宋体" w:eastAsia="仿宋_GB2312" w:cs="宋体"/>
          <w:color w:val="auto"/>
          <w:kern w:val="0"/>
          <w:sz w:val="32"/>
          <w:szCs w:val="32"/>
          <w:highlight w:val="none"/>
          <w:shd w:val="clear" w:color="auto" w:fill="FFFFFF"/>
          <w:lang w:val="en-US" w:eastAsia="zh-CN"/>
        </w:rPr>
        <w:t>12月31日，实际支付11056.7万元。资金按时按规定支付，支付依据合规合法，资金支付与预算相符。</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（二）结果应用情况。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zh-CN"/>
        </w:rPr>
        <w:t>对绩效评价结果为“优”的项目在</w:t>
      </w:r>
      <w:r>
        <w:rPr>
          <w:rFonts w:hint="eastAsia" w:ascii="仿宋_GB2312" w:hAnsi="宋体" w:eastAsia="仿宋_GB2312" w:cs="宋体"/>
          <w:color w:val="auto"/>
          <w:kern w:val="0"/>
          <w:sz w:val="32"/>
          <w:szCs w:val="32"/>
          <w:highlight w:val="none"/>
          <w:shd w:val="clear" w:color="auto" w:fill="FFFFFF"/>
          <w:lang w:val="en-US" w:eastAsia="zh-CN"/>
        </w:rPr>
        <w:t>2022年优先保障年度预算。</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en-US" w:eastAsia="zh-CN"/>
        </w:rPr>
        <w:t>（三）</w:t>
      </w:r>
      <w:r>
        <w:rPr>
          <w:rFonts w:hint="eastAsia" w:ascii="仿宋_GB2312" w:hAnsi="宋体" w:eastAsia="仿宋_GB2312" w:cs="宋体"/>
          <w:color w:val="auto"/>
          <w:kern w:val="0"/>
          <w:sz w:val="32"/>
          <w:szCs w:val="32"/>
          <w:highlight w:val="none"/>
          <w:u w:val="none"/>
          <w:shd w:val="clear" w:color="auto" w:fill="FFFFFF"/>
          <w:lang w:val="zh-CN"/>
        </w:rPr>
        <w:t>自评质量</w:t>
      </w:r>
    </w:p>
    <w:p>
      <w:pPr>
        <w:pStyle w:val="7"/>
        <w:ind w:firstLine="640" w:firstLineChars="200"/>
        <w:rPr>
          <w:rFonts w:hint="default" w:ascii="仿宋_GB2312" w:hAnsi="宋体" w:eastAsia="仿宋_GB2312" w:cs="宋体"/>
          <w:color w:val="auto"/>
          <w:kern w:val="0"/>
          <w:sz w:val="32"/>
          <w:szCs w:val="32"/>
          <w:highlight w:val="none"/>
          <w:shd w:val="clear" w:color="auto" w:fill="FFFFFF"/>
          <w:lang w:val="en-US" w:eastAsia="zh-CN"/>
        </w:rPr>
      </w:pPr>
      <w:r>
        <w:rPr>
          <w:rFonts w:hint="default" w:ascii="仿宋_GB2312" w:hAnsi="Calibri" w:eastAsia="仿宋_GB2312" w:cs="仿宋"/>
          <w:color w:val="auto"/>
          <w:kern w:val="0"/>
          <w:sz w:val="32"/>
          <w:szCs w:val="32"/>
          <w:lang w:val="zh-CN" w:eastAsia="zh-CN" w:bidi="ar-SA"/>
        </w:rPr>
        <w:t>指标设置合理，指标与项目关联，绩效目标内容填写规范，项目资金录入规范，自评结果的真实准确</w:t>
      </w:r>
      <w:r>
        <w:rPr>
          <w:rFonts w:hint="eastAsia" w:hAnsi="Calibri" w:cs="仿宋"/>
          <w:color w:val="auto"/>
          <w:kern w:val="0"/>
          <w:sz w:val="32"/>
          <w:szCs w:val="32"/>
          <w:lang w:val="zh-CN" w:eastAsia="zh-CN" w:bidi="ar-SA"/>
        </w:rPr>
        <w:t>，保证绩效</w:t>
      </w:r>
      <w:r>
        <w:rPr>
          <w:rFonts w:hint="default" w:ascii="仿宋_GB2312" w:hAnsi="Calibri" w:eastAsia="仿宋_GB2312" w:cs="仿宋"/>
          <w:color w:val="auto"/>
          <w:kern w:val="0"/>
          <w:sz w:val="32"/>
          <w:szCs w:val="32"/>
          <w:lang w:val="zh-CN" w:eastAsia="zh-CN" w:bidi="ar-SA"/>
        </w:rPr>
        <w:t>自评质量</w:t>
      </w:r>
      <w:r>
        <w:rPr>
          <w:rFonts w:hint="eastAsia" w:hAnsi="Calibri" w:cs="仿宋"/>
          <w:color w:val="auto"/>
          <w:kern w:val="0"/>
          <w:sz w:val="32"/>
          <w:szCs w:val="32"/>
          <w:lang w:val="zh-CN" w:eastAsia="zh-CN" w:bidi="ar-SA"/>
        </w:rPr>
        <w:t>。</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spacing w:line="58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通过对洪口镇整体支出绩效评价，截至2021年12月31日，基本完成年初预设目标，预算执行进度与预算目标进度一致，基本上按时按质完成预算目标。</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1.</w:t>
      </w:r>
      <w:r>
        <w:rPr>
          <w:rFonts w:hint="eastAsia" w:ascii="仿宋_GB2312" w:hAnsi="Calibri" w:eastAsia="仿宋_GB2312" w:cs="仿宋"/>
          <w:color w:val="auto"/>
          <w:kern w:val="0"/>
          <w:sz w:val="32"/>
          <w:szCs w:val="32"/>
          <w:lang w:val="en-US" w:eastAsia="zh-CN" w:bidi="ar-SA"/>
        </w:rPr>
        <w:t xml:space="preserve"> </w:t>
      </w:r>
      <w:r>
        <w:rPr>
          <w:rFonts w:hint="default" w:ascii="仿宋_GB2312" w:hAnsi="Calibri" w:eastAsia="仿宋_GB2312" w:cs="仿宋"/>
          <w:color w:val="auto"/>
          <w:kern w:val="0"/>
          <w:sz w:val="32"/>
          <w:szCs w:val="32"/>
          <w:lang w:val="zh-CN" w:eastAsia="zh-CN" w:bidi="ar-SA"/>
        </w:rPr>
        <w:t>项目绩效目标与指标不完整</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绩效指标较少，不能完全衡量条件建设经费项目的完成情况，绩效指标未涵盖所有工作事项，绩效标准表述不够准确，整体逻辑关系不够清晰。</w:t>
      </w:r>
    </w:p>
    <w:p>
      <w:pPr>
        <w:adjustRightInd w:val="0"/>
        <w:snapToGrid w:val="0"/>
        <w:spacing w:line="560" w:lineRule="exact"/>
        <w:ind w:firstLine="720"/>
        <w:rPr>
          <w:rFonts w:hint="default" w:ascii="仿宋_GB2312" w:hAnsi="Calibri" w:eastAsia="仿宋_GB2312" w:cs="仿宋"/>
          <w:color w:val="auto"/>
          <w:kern w:val="0"/>
          <w:sz w:val="32"/>
          <w:szCs w:val="32"/>
          <w:lang w:val="en-US" w:eastAsia="zh-CN" w:bidi="ar-SA"/>
        </w:rPr>
      </w:pPr>
      <w:r>
        <w:rPr>
          <w:rFonts w:hint="default" w:ascii="仿宋_GB2312" w:hAnsi="Calibri" w:eastAsia="仿宋_GB2312" w:cs="仿宋"/>
          <w:color w:val="auto"/>
          <w:kern w:val="0"/>
          <w:sz w:val="32"/>
          <w:szCs w:val="32"/>
          <w:lang w:val="zh-CN" w:eastAsia="zh-CN" w:bidi="ar-SA"/>
        </w:rPr>
        <w:t>2.</w:t>
      </w:r>
      <w:r>
        <w:rPr>
          <w:rFonts w:hint="default" w:ascii="仿宋_GB2312" w:hAnsi="Calibri" w:eastAsia="仿宋_GB2312" w:cs="仿宋"/>
          <w:color w:val="auto"/>
          <w:kern w:val="0"/>
          <w:sz w:val="32"/>
          <w:szCs w:val="32"/>
          <w:lang w:val="en-US" w:eastAsia="zh-CN" w:bidi="ar-SA"/>
        </w:rPr>
        <w:t xml:space="preserve"> 项目建设与项目资金不配套</w:t>
      </w:r>
    </w:p>
    <w:p>
      <w:pPr>
        <w:adjustRightInd w:val="0"/>
        <w:snapToGrid w:val="0"/>
        <w:spacing w:line="560" w:lineRule="exact"/>
        <w:ind w:firstLine="720"/>
        <w:rPr>
          <w:rFonts w:hint="default" w:ascii="仿宋_GB2312" w:hAnsi="Calibri" w:eastAsia="仿宋_GB2312" w:cs="仿宋"/>
          <w:color w:val="auto"/>
          <w:kern w:val="0"/>
          <w:sz w:val="32"/>
          <w:szCs w:val="32"/>
          <w:lang w:val="en-US" w:eastAsia="zh-CN" w:bidi="ar-SA"/>
        </w:rPr>
      </w:pPr>
      <w:r>
        <w:rPr>
          <w:rFonts w:hint="default" w:ascii="仿宋_GB2312" w:hAnsi="Calibri" w:eastAsia="仿宋_GB2312" w:cs="仿宋"/>
          <w:color w:val="auto"/>
          <w:kern w:val="0"/>
          <w:sz w:val="32"/>
          <w:szCs w:val="32"/>
          <w:lang w:val="en-US" w:eastAsia="zh-CN" w:bidi="ar-SA"/>
        </w:rPr>
        <w:t>项目建设与项目资金不配套，不吻合，资金缺口大，政府难以化解和难以应付债务矛盾。</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3.</w:t>
      </w:r>
      <w:r>
        <w:rPr>
          <w:rFonts w:hint="eastAsia" w:ascii="仿宋_GB2312" w:hAnsi="Calibri" w:eastAsia="仿宋_GB2312" w:cs="仿宋"/>
          <w:color w:val="auto"/>
          <w:kern w:val="0"/>
          <w:sz w:val="32"/>
          <w:szCs w:val="32"/>
          <w:lang w:val="en-US" w:eastAsia="zh-CN" w:bidi="ar-SA"/>
        </w:rPr>
        <w:t xml:space="preserve"> </w:t>
      </w:r>
      <w:r>
        <w:rPr>
          <w:rFonts w:hint="default" w:ascii="仿宋_GB2312" w:hAnsi="Calibri" w:eastAsia="仿宋_GB2312" w:cs="仿宋"/>
          <w:color w:val="auto"/>
          <w:kern w:val="0"/>
          <w:sz w:val="32"/>
          <w:szCs w:val="32"/>
          <w:lang w:val="zh-CN" w:eastAsia="zh-CN" w:bidi="ar-SA"/>
        </w:rPr>
        <w:t>资金监控机制有待进一步加强</w:t>
      </w:r>
    </w:p>
    <w:p>
      <w:pPr>
        <w:pStyle w:val="7"/>
        <w:rPr>
          <w:color w:val="auto"/>
          <w:lang w:val="zh-CN"/>
        </w:rPr>
      </w:pPr>
      <w:r>
        <w:rPr>
          <w:rFonts w:hint="default" w:ascii="仿宋_GB2312" w:hAnsi="Calibri" w:eastAsia="仿宋_GB2312" w:cs="仿宋"/>
          <w:color w:val="auto"/>
          <w:kern w:val="0"/>
          <w:sz w:val="32"/>
          <w:szCs w:val="32"/>
          <w:lang w:val="zh-CN" w:eastAsia="zh-CN" w:bidi="ar-SA"/>
        </w:rPr>
        <w:t>在执行过程中，未对项目资金使用及项目完成情况进行有效的监督，导致执行滞后的问题。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（三）改进建议。</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1</w:t>
      </w:r>
      <w:r>
        <w:rPr>
          <w:rFonts w:hint="default" w:ascii="仿宋_GB2312" w:hAnsi="Calibri" w:eastAsia="仿宋_GB2312" w:cs="仿宋"/>
          <w:color w:val="auto"/>
          <w:kern w:val="0"/>
          <w:sz w:val="32"/>
          <w:szCs w:val="32"/>
          <w:lang w:val="en-US" w:eastAsia="zh-CN" w:bidi="ar-SA"/>
        </w:rPr>
        <w:t>.</w:t>
      </w:r>
      <w:r>
        <w:rPr>
          <w:rFonts w:hint="eastAsia" w:ascii="仿宋_GB2312" w:hAnsi="Calibri" w:eastAsia="仿宋_GB2312" w:cs="仿宋"/>
          <w:color w:val="auto"/>
          <w:kern w:val="0"/>
          <w:sz w:val="32"/>
          <w:szCs w:val="32"/>
          <w:lang w:val="en-US" w:eastAsia="zh-CN" w:bidi="ar-SA"/>
        </w:rPr>
        <w:t xml:space="preserve"> </w:t>
      </w:r>
      <w:r>
        <w:rPr>
          <w:rFonts w:hint="default" w:ascii="仿宋_GB2312" w:hAnsi="Calibri" w:eastAsia="仿宋_GB2312" w:cs="仿宋"/>
          <w:color w:val="auto"/>
          <w:kern w:val="0"/>
          <w:sz w:val="32"/>
          <w:szCs w:val="32"/>
          <w:lang w:val="en-US" w:eastAsia="zh-CN" w:bidi="ar-SA"/>
        </w:rPr>
        <w:t>政府加强日常管理</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政府加强日常管理，节约支出，县级相关部门加大投入，解决人民群众的生产生活困难。同时财政所要加强财政财务管理，堵塞各种资金漏洞，提高财政资金的使用效率</w:t>
      </w:r>
      <w:r>
        <w:rPr>
          <w:rFonts w:hint="eastAsia" w:ascii="仿宋_GB2312" w:hAnsi="Calibri" w:eastAsia="仿宋_GB2312" w:cs="仿宋"/>
          <w:color w:val="auto"/>
          <w:kern w:val="0"/>
          <w:sz w:val="32"/>
          <w:szCs w:val="32"/>
          <w:lang w:val="zh-CN" w:eastAsia="zh-CN" w:bidi="ar-SA"/>
        </w:rPr>
        <w:t>。</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2</w:t>
      </w:r>
      <w:r>
        <w:rPr>
          <w:rFonts w:hint="default" w:ascii="仿宋_GB2312" w:hAnsi="Calibri" w:eastAsia="仿宋_GB2312" w:cs="仿宋"/>
          <w:color w:val="auto"/>
          <w:kern w:val="0"/>
          <w:sz w:val="32"/>
          <w:szCs w:val="32"/>
          <w:lang w:val="en-US" w:eastAsia="zh-CN" w:bidi="ar-SA"/>
        </w:rPr>
        <w:t>.</w:t>
      </w:r>
      <w:r>
        <w:rPr>
          <w:rFonts w:hint="eastAsia" w:ascii="仿宋_GB2312" w:hAnsi="Calibri" w:eastAsia="仿宋_GB2312" w:cs="仿宋"/>
          <w:color w:val="auto"/>
          <w:kern w:val="0"/>
          <w:sz w:val="32"/>
          <w:szCs w:val="32"/>
          <w:lang w:val="en-US" w:eastAsia="zh-CN" w:bidi="ar-SA"/>
        </w:rPr>
        <w:t xml:space="preserve"> </w:t>
      </w:r>
      <w:r>
        <w:rPr>
          <w:rFonts w:hint="default" w:ascii="仿宋_GB2312" w:hAnsi="Calibri" w:eastAsia="仿宋_GB2312" w:cs="仿宋"/>
          <w:color w:val="auto"/>
          <w:kern w:val="0"/>
          <w:sz w:val="32"/>
          <w:szCs w:val="32"/>
          <w:lang w:val="zh-CN" w:eastAsia="zh-CN" w:bidi="ar-SA"/>
        </w:rPr>
        <w:t>进一步完善项目绩效目标及绩效指标</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加强各执行部门的沟通，建立事权、财权、责任匹配制度，在绩效目标的设定方面，绩效目标有待准确化，使项目目标更简洁，更加明晰。项目绩效指标需结合项目明细具体设置，尽可能全面、</w:t>
      </w:r>
      <w:r>
        <w:rPr>
          <w:rFonts w:hint="eastAsia" w:ascii="仿宋_GB2312" w:hAnsi="Calibri" w:eastAsia="仿宋_GB2312" w:cs="仿宋"/>
          <w:color w:val="auto"/>
          <w:kern w:val="0"/>
          <w:sz w:val="32"/>
          <w:szCs w:val="32"/>
          <w:lang w:val="zh-CN" w:eastAsia="zh-CN" w:bidi="ar-SA"/>
        </w:rPr>
        <w:t>客观地反映项目</w:t>
      </w:r>
      <w:r>
        <w:rPr>
          <w:rFonts w:hint="default" w:ascii="仿宋_GB2312" w:hAnsi="Calibri" w:eastAsia="仿宋_GB2312" w:cs="仿宋"/>
          <w:color w:val="auto"/>
          <w:kern w:val="0"/>
          <w:sz w:val="32"/>
          <w:szCs w:val="32"/>
          <w:lang w:val="zh-CN" w:eastAsia="zh-CN" w:bidi="ar-SA"/>
        </w:rPr>
        <w:t>产出及效果。</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default" w:ascii="仿宋_GB2312" w:hAnsi="Calibri" w:eastAsia="仿宋_GB2312" w:cs="仿宋"/>
          <w:color w:val="auto"/>
          <w:kern w:val="0"/>
          <w:sz w:val="32"/>
          <w:szCs w:val="32"/>
          <w:lang w:val="zh-CN" w:eastAsia="zh-CN" w:bidi="ar-SA"/>
        </w:rPr>
        <w:t>3</w:t>
      </w:r>
      <w:r>
        <w:rPr>
          <w:rFonts w:hint="default" w:ascii="仿宋_GB2312" w:hAnsi="Calibri" w:eastAsia="仿宋_GB2312" w:cs="仿宋"/>
          <w:color w:val="auto"/>
          <w:kern w:val="0"/>
          <w:sz w:val="32"/>
          <w:szCs w:val="32"/>
          <w:lang w:val="en-US" w:eastAsia="zh-CN" w:bidi="ar-SA"/>
        </w:rPr>
        <w:t>.</w:t>
      </w:r>
      <w:r>
        <w:rPr>
          <w:rFonts w:hint="eastAsia" w:ascii="仿宋_GB2312" w:hAnsi="Calibri" w:eastAsia="仿宋_GB2312" w:cs="仿宋"/>
          <w:color w:val="auto"/>
          <w:kern w:val="0"/>
          <w:sz w:val="32"/>
          <w:szCs w:val="32"/>
          <w:lang w:val="en-US" w:eastAsia="zh-CN" w:bidi="ar-SA"/>
        </w:rPr>
        <w:t xml:space="preserve"> </w:t>
      </w:r>
      <w:r>
        <w:rPr>
          <w:rFonts w:hint="default" w:ascii="仿宋_GB2312" w:hAnsi="Calibri" w:eastAsia="仿宋_GB2312" w:cs="仿宋"/>
          <w:color w:val="auto"/>
          <w:kern w:val="0"/>
          <w:sz w:val="32"/>
          <w:szCs w:val="32"/>
          <w:lang w:val="zh-CN" w:eastAsia="zh-CN" w:bidi="ar-SA"/>
        </w:rPr>
        <w:t>提高项目资金使用率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default" w:ascii="仿宋_GB2312" w:hAnsi="Calibri" w:eastAsia="仿宋_GB2312" w:cs="仿宋"/>
          <w:color w:val="auto"/>
          <w:kern w:val="0"/>
          <w:sz w:val="32"/>
          <w:szCs w:val="32"/>
          <w:lang w:val="zh-CN" w:eastAsia="zh-CN" w:bidi="ar-SA"/>
        </w:rPr>
        <w:t>实时监控预算完成情况，对项目资金执行情况及项目进度进行通报，对执行进度滞后的情况，要求加快执行，确保项目能按计划执行。同时明确监管层次，对项目的时间节点控制，进一步提高内部控制意识，明确责任主体。</w:t>
      </w:r>
    </w:p>
    <w:p>
      <w:pPr>
        <w:pStyle w:val="2"/>
        <w:numPr>
          <w:ilvl w:val="0"/>
          <w:numId w:val="0"/>
        </w:numPr>
        <w:ind w:leftChars="200"/>
        <w:rPr>
          <w:rFonts w:hint="eastAsia"/>
          <w:lang w:val="zh-CN"/>
        </w:rPr>
      </w:pPr>
    </w:p>
    <w:p>
      <w:pPr>
        <w:pStyle w:val="33"/>
        <w:keepNext w:val="0"/>
        <w:keepLines w:val="0"/>
        <w:pageBreakBefore/>
        <w:widowControl w:val="0"/>
        <w:kinsoku/>
        <w:wordWrap/>
        <w:overflowPunct/>
        <w:topLinePunct w:val="0"/>
        <w:autoSpaceDE/>
        <w:autoSpaceDN/>
        <w:bidi w:val="0"/>
        <w:adjustRightInd/>
        <w:snapToGrid/>
        <w:spacing w:line="240" w:lineRule="auto"/>
        <w:jc w:val="center"/>
        <w:textAlignment w:val="auto"/>
        <w:rPr>
          <w:rFonts w:hint="eastAsia" w:ascii="宋体" w:hAnsi="宋体"/>
          <w:b/>
          <w:sz w:val="44"/>
          <w:szCs w:val="44"/>
        </w:rPr>
      </w:pPr>
      <w:r>
        <w:rPr>
          <w:rFonts w:hint="eastAsia" w:ascii="宋体" w:hAnsi="宋体"/>
          <w:b/>
          <w:sz w:val="44"/>
          <w:szCs w:val="44"/>
          <w:lang w:eastAsia="zh-CN"/>
        </w:rPr>
        <w:t>农村人居环境整治资金</w:t>
      </w:r>
      <w:r>
        <w:rPr>
          <w:rFonts w:hint="eastAsia" w:ascii="宋体" w:hAnsi="宋体"/>
          <w:b/>
          <w:sz w:val="44"/>
          <w:szCs w:val="44"/>
        </w:rPr>
        <w:t>绩效自评报告</w:t>
      </w:r>
    </w:p>
    <w:p>
      <w:pPr>
        <w:pStyle w:val="33"/>
        <w:spacing w:line="240" w:lineRule="auto"/>
        <w:jc w:val="center"/>
        <w:rPr>
          <w:rFonts w:hint="eastAsia" w:ascii="宋体" w:hAnsi="宋体"/>
          <w:b w:val="0"/>
          <w:bCs/>
          <w:sz w:val="32"/>
          <w:szCs w:val="32"/>
          <w:lang w:eastAsia="zh-CN"/>
        </w:rPr>
      </w:pP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一、基本情况</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 xml:space="preserve"> （一）单位基本情况</w:t>
      </w:r>
    </w:p>
    <w:p>
      <w:pPr>
        <w:adjustRightInd w:val="0"/>
        <w:snapToGrid w:val="0"/>
        <w:spacing w:line="560" w:lineRule="exact"/>
        <w:ind w:firstLine="72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涪阳镇</w:t>
      </w:r>
      <w:r>
        <w:rPr>
          <w:rFonts w:hint="eastAsia" w:ascii="仿宋_GB2312" w:hAnsi="Calibri" w:eastAsia="仿宋_GB2312" w:cs="仿宋"/>
          <w:color w:val="auto"/>
          <w:kern w:val="0"/>
          <w:sz w:val="32"/>
          <w:szCs w:val="32"/>
          <w:lang w:val="en-US" w:eastAsia="zh-CN" w:bidi="ar-SA"/>
        </w:rPr>
        <w:t>人民政府属行政区划调整乡镇（由原草池乡、涪阳镇合并，设立涪阳镇），涪阳镇辖11个村，74个村民小组，现有人口34231人。现有财政人员编制76人，遗属5人，实际年终财政供养人口81人。</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（二）绩效概况</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2021年涪阳镇在乡镇有限的财力下落实好了中央、省、县出台的各项方针、政策；落实好了安全生产，经济发展，环境保护等工作；做好了社会保障、民政、教、科文、卫等工作；完成了组织预算收支执行、监督财政资金使用，落实强农惠民政策，指导村级财务管理工作；完成了年度扶贫任务，巩固了扶贫成果；做好了便民服务和农业综合服务工作；抓好了新冠疫情防控。</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二、资金使用情况</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（一）资金使用。</w:t>
      </w:r>
    </w:p>
    <w:p>
      <w:pPr>
        <w:adjustRightInd w:val="0"/>
        <w:snapToGrid w:val="0"/>
        <w:spacing w:line="560" w:lineRule="exact"/>
        <w:ind w:firstLine="72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2021年财政下达我镇农村环境整治资金82.18万元，已全部支付到位。支付流程严格按照专项资金管理办法，严格执行财务管理制度规定，不存在挪用截留。</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（二）组织实施情况。</w:t>
      </w:r>
    </w:p>
    <w:p>
      <w:pPr>
        <w:adjustRightInd w:val="0"/>
        <w:snapToGrid w:val="0"/>
        <w:spacing w:line="560" w:lineRule="exact"/>
        <w:ind w:firstLine="72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为加强财政资金支出绩效管理，提高财政资金使用效益，我镇成立了财政资金绩效评价工作领导小组，负责组织、协调、监控部门预算编制与执行、预算绩效管理等工作。在使用各项资金时严格按照有关规章制度和工作流程，按照事前设定目标，事中跟踪监控目标实现过程，事后评价目标完成情况的科学可行的原则，保证各项财政资金使用安全、高效。</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三、目标完成情况</w:t>
      </w:r>
      <w:r>
        <w:rPr>
          <w:rFonts w:hint="eastAsia" w:ascii="仿宋_GB2312" w:hAnsi="Calibri" w:eastAsia="仿宋_GB2312" w:cs="仿宋"/>
          <w:color w:val="auto"/>
          <w:kern w:val="0"/>
          <w:sz w:val="32"/>
          <w:szCs w:val="32"/>
          <w:lang w:val="zh-CN" w:eastAsia="zh-CN" w:bidi="ar-SA"/>
        </w:rPr>
        <w:tab/>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（一）目标任务量完成情况。</w:t>
      </w:r>
    </w:p>
    <w:p>
      <w:pPr>
        <w:adjustRightInd w:val="0"/>
        <w:snapToGrid w:val="0"/>
        <w:spacing w:line="560" w:lineRule="exact"/>
        <w:ind w:firstLine="72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2021年我镇农村环境整治资金</w:t>
      </w:r>
      <w:r>
        <w:rPr>
          <w:rFonts w:hint="eastAsia" w:ascii="仿宋_GB2312" w:hAnsi="Calibri" w:eastAsia="仿宋_GB2312" w:cs="仿宋"/>
          <w:color w:val="auto"/>
          <w:kern w:val="0"/>
          <w:sz w:val="32"/>
          <w:szCs w:val="32"/>
          <w:lang w:val="zh-CN" w:eastAsia="zh-CN" w:bidi="ar-SA"/>
        </w:rPr>
        <w:t>按</w:t>
      </w:r>
      <w:r>
        <w:rPr>
          <w:rFonts w:hint="eastAsia" w:ascii="仿宋_GB2312" w:hAnsi="Calibri" w:eastAsia="仿宋_GB2312" w:cs="仿宋"/>
          <w:color w:val="auto"/>
          <w:kern w:val="0"/>
          <w:sz w:val="32"/>
          <w:szCs w:val="32"/>
          <w:lang w:val="en-US" w:eastAsia="zh-CN" w:bidi="ar-SA"/>
        </w:rPr>
        <w:t>2021</w:t>
      </w:r>
      <w:r>
        <w:rPr>
          <w:rFonts w:hint="eastAsia" w:ascii="仿宋_GB2312" w:hAnsi="Calibri" w:eastAsia="仿宋_GB2312" w:cs="仿宋"/>
          <w:color w:val="auto"/>
          <w:kern w:val="0"/>
          <w:sz w:val="32"/>
          <w:szCs w:val="32"/>
          <w:lang w:val="zh-CN" w:eastAsia="zh-CN" w:bidi="ar-SA"/>
        </w:rPr>
        <w:t>年初计划实施，并于</w:t>
      </w:r>
      <w:r>
        <w:rPr>
          <w:rFonts w:hint="eastAsia" w:ascii="仿宋_GB2312" w:hAnsi="Calibri" w:eastAsia="仿宋_GB2312" w:cs="仿宋"/>
          <w:color w:val="auto"/>
          <w:kern w:val="0"/>
          <w:sz w:val="32"/>
          <w:szCs w:val="32"/>
          <w:lang w:val="en-US" w:eastAsia="zh-CN" w:bidi="ar-SA"/>
        </w:rPr>
        <w:t>2021</w:t>
      </w:r>
      <w:r>
        <w:rPr>
          <w:rFonts w:hint="eastAsia" w:ascii="仿宋_GB2312" w:hAnsi="Calibri" w:eastAsia="仿宋_GB2312" w:cs="仿宋"/>
          <w:color w:val="auto"/>
          <w:kern w:val="0"/>
          <w:sz w:val="32"/>
          <w:szCs w:val="32"/>
          <w:lang w:val="zh-CN" w:eastAsia="zh-CN" w:bidi="ar-SA"/>
        </w:rPr>
        <w:t>年底完成年度绩效目标。</w:t>
      </w:r>
      <w:r>
        <w:rPr>
          <w:rFonts w:hint="eastAsia" w:ascii="仿宋_GB2312" w:hAnsi="Calibri" w:eastAsia="仿宋_GB2312" w:cs="仿宋"/>
          <w:color w:val="auto"/>
          <w:kern w:val="0"/>
          <w:sz w:val="32"/>
          <w:szCs w:val="32"/>
          <w:lang w:val="en-US" w:eastAsia="zh-CN" w:bidi="ar-SA"/>
        </w:rPr>
        <w:t>项目的开展主要根据乡党委、政府的安排，绩效总目标和阶段性目标按计划完成，未逾期。</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（二）目标质量完成情况。</w:t>
      </w:r>
    </w:p>
    <w:p>
      <w:pPr>
        <w:adjustRightInd w:val="0"/>
        <w:snapToGrid w:val="0"/>
        <w:spacing w:line="560" w:lineRule="exact"/>
        <w:ind w:firstLine="72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2021年我镇农村环境整治资金年初计划</w:t>
      </w:r>
      <w:r>
        <w:rPr>
          <w:rFonts w:hint="eastAsia" w:ascii="仿宋_GB2312" w:hAnsi="Calibri" w:eastAsia="仿宋_GB2312" w:cs="仿宋"/>
          <w:color w:val="auto"/>
          <w:kern w:val="0"/>
          <w:sz w:val="32"/>
          <w:szCs w:val="32"/>
          <w:lang w:val="zh-CN" w:eastAsia="zh-CN" w:bidi="ar-SA"/>
        </w:rPr>
        <w:t>依据充分、</w:t>
      </w:r>
      <w:r>
        <w:rPr>
          <w:rFonts w:hint="eastAsia" w:ascii="仿宋_GB2312" w:hAnsi="Calibri" w:eastAsia="仿宋_GB2312" w:cs="仿宋"/>
          <w:color w:val="auto"/>
          <w:kern w:val="0"/>
          <w:sz w:val="32"/>
          <w:szCs w:val="32"/>
          <w:lang w:val="en-US" w:eastAsia="zh-CN" w:bidi="ar-SA"/>
        </w:rPr>
        <w:t>制定科学、</w:t>
      </w:r>
      <w:r>
        <w:rPr>
          <w:rFonts w:hint="eastAsia" w:ascii="仿宋_GB2312" w:hAnsi="Calibri" w:eastAsia="仿宋_GB2312" w:cs="仿宋"/>
          <w:color w:val="auto"/>
          <w:kern w:val="0"/>
          <w:sz w:val="32"/>
          <w:szCs w:val="32"/>
          <w:lang w:val="zh-CN" w:eastAsia="zh-CN" w:bidi="ar-SA"/>
        </w:rPr>
        <w:t>目标明确，该项目实施后实现了预定的绩效目标，验收合格符合预期质量要求。</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（三）目标进度完成情况。</w:t>
      </w:r>
    </w:p>
    <w:p>
      <w:pPr>
        <w:adjustRightInd w:val="0"/>
        <w:snapToGrid w:val="0"/>
        <w:spacing w:line="560" w:lineRule="exact"/>
        <w:ind w:firstLine="72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2021年财政下达我镇农村环境整治资金82.18万元，项目实施严格按照实施进度进行，项目竣工后验收小组进行了验收，并及时予以兑现补助资金，资金已全部支付到位。</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四、项目效益情况</w:t>
      </w:r>
    </w:p>
    <w:p>
      <w:pPr>
        <w:adjustRightInd w:val="0"/>
        <w:snapToGrid w:val="0"/>
        <w:spacing w:line="560" w:lineRule="exact"/>
        <w:ind w:firstLine="72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一）农村垃圾得到有效治理。全镇已基本形成农村生活垃圾“村居收集一乡镇转运”的治理模式，初步实现了行政村生活垃圾治理全覆盖，90%左右的村庄生活垃圾得到有效治理。</w:t>
      </w:r>
    </w:p>
    <w:p>
      <w:pPr>
        <w:adjustRightInd w:val="0"/>
        <w:snapToGrid w:val="0"/>
        <w:spacing w:line="560" w:lineRule="exact"/>
        <w:ind w:firstLine="72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（二）农村污水得到初步治理。全镇建成14个乡镇污水处理设施。大力推广分散农户三级化粪池+一级简易湿地生活污水处理系统，农村生活污水处理率达到71%。</w:t>
      </w:r>
    </w:p>
    <w:p>
      <w:pPr>
        <w:adjustRightInd w:val="0"/>
        <w:snapToGrid w:val="0"/>
        <w:spacing w:line="560" w:lineRule="exact"/>
        <w:ind w:firstLine="72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（三）农村改厕不断深化。2021年全镇超额完成了6437户农村卫生厕所改造任务，卫生厕所普及率达到73%。</w:t>
      </w:r>
    </w:p>
    <w:p>
      <w:pPr>
        <w:adjustRightInd w:val="0"/>
        <w:snapToGrid w:val="0"/>
        <w:spacing w:line="560" w:lineRule="exact"/>
        <w:ind w:firstLine="72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（四）村庄清洁行动持续推进。全镇都开展了形式多样的村庄清洁活动，参与群众达1万人次，清运各类垃圾200余吨，清洁农田农地1000亩，教育规范了近100余户畜禽散养行为，村容环境卫生有了极大改观。</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五、问题及建议</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（一）存在的问题。</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专项资金规模太小，农村人居环境整治需要建设的项目多，从推进速度和建设数量上来说，专项资金明显不足。</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w:t>
      </w:r>
      <w:r>
        <w:rPr>
          <w:rFonts w:hint="eastAsia" w:ascii="仿宋_GB2312" w:hAnsi="Calibri" w:eastAsia="仿宋_GB2312" w:cs="仿宋"/>
          <w:color w:val="auto"/>
          <w:kern w:val="0"/>
          <w:sz w:val="32"/>
          <w:szCs w:val="32"/>
          <w:lang w:val="zh-CN" w:eastAsia="zh-CN" w:bidi="ar-SA"/>
        </w:rPr>
        <w:t>是资金使用范围线长面广，在资金使用监督管理上还存在一定困难，还不够完善和到位。</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（二）相关建议。</w:t>
      </w:r>
    </w:p>
    <w:p>
      <w:pPr>
        <w:adjustRightInd w:val="0"/>
        <w:snapToGrid w:val="0"/>
        <w:spacing w:line="560" w:lineRule="exact"/>
        <w:ind w:firstLine="72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加强资金使用管理力度，对项目资金使用情况至少每年例行检查一次，并不定期抽查。</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w:t>
      </w:r>
      <w:r>
        <w:rPr>
          <w:rFonts w:hint="eastAsia" w:ascii="仿宋_GB2312" w:hAnsi="Calibri" w:eastAsia="仿宋_GB2312" w:cs="仿宋"/>
          <w:color w:val="auto"/>
          <w:kern w:val="0"/>
          <w:sz w:val="32"/>
          <w:szCs w:val="32"/>
          <w:lang w:val="zh-CN" w:eastAsia="zh-CN" w:bidi="ar-SA"/>
        </w:rPr>
        <w:t>加大农村人居环境整治专项资金投入力度，进一步加快推进我市农村人居环境整治，助推乡村振兴。</w:t>
      </w:r>
    </w:p>
    <w:p>
      <w:pPr>
        <w:adjustRightInd w:val="0"/>
        <w:snapToGrid w:val="0"/>
        <w:spacing w:line="560" w:lineRule="exact"/>
        <w:ind w:firstLine="720"/>
        <w:rPr>
          <w:rFonts w:hint="default" w:ascii="仿宋_GB2312" w:hAnsi="Calibri" w:eastAsia="仿宋_GB2312" w:cs="仿宋"/>
          <w:color w:val="auto"/>
          <w:kern w:val="0"/>
          <w:sz w:val="32"/>
          <w:szCs w:val="32"/>
          <w:lang w:val="zh-CN" w:eastAsia="zh-CN" w:bidi="ar-SA"/>
        </w:rPr>
      </w:pPr>
    </w:p>
    <w:tbl>
      <w:tblPr>
        <w:tblStyle w:val="14"/>
        <w:tblW w:w="81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658"/>
        <w:gridCol w:w="777"/>
        <w:gridCol w:w="1062"/>
        <w:gridCol w:w="963"/>
        <w:gridCol w:w="207"/>
        <w:gridCol w:w="1072"/>
        <w:gridCol w:w="31"/>
        <w:gridCol w:w="137"/>
        <w:gridCol w:w="664"/>
        <w:gridCol w:w="214"/>
        <w:gridCol w:w="579"/>
        <w:gridCol w:w="552"/>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1" w:hRule="atLeast"/>
        </w:trPr>
        <w:tc>
          <w:tcPr>
            <w:tcW w:w="8166"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34"/>
                <w:lang w:val="en-US" w:eastAsia="zh-CN" w:bidi="ar"/>
              </w:rPr>
              <w:t>绩效目标自评表</w:t>
            </w:r>
            <w:r>
              <w:rPr>
                <w:rStyle w:val="35"/>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8166" w:type="dxa"/>
            <w:gridSpan w:val="14"/>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农村环境整治</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9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环保局</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9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trPr>
        <w:tc>
          <w:tcPr>
            <w:tcW w:w="11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B/A)</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82.18</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82.18</w:t>
            </w:r>
          </w:p>
        </w:tc>
        <w:tc>
          <w:tcPr>
            <w:tcW w:w="1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6"/>
                <w:lang w:val="en-US" w:eastAsia="zh-CN" w:bidi="ar"/>
              </w:rPr>
              <w:t xml:space="preserve"> 其中：本年财政拨款</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82.18</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82.18</w:t>
            </w:r>
          </w:p>
        </w:tc>
        <w:tc>
          <w:tcPr>
            <w:tcW w:w="1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1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6"/>
                <w:lang w:val="en-US" w:eastAsia="zh-CN" w:bidi="ar"/>
              </w:rPr>
              <w:t xml:space="preserve">       其他资金</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2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9"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改善生态环境质量，</w:t>
            </w:r>
            <w:r>
              <w:rPr>
                <w:rFonts w:hint="eastAsia" w:ascii="宋体" w:hAnsi="宋体" w:cs="宋体"/>
                <w:i w:val="0"/>
                <w:iCs w:val="0"/>
                <w:color w:val="000000"/>
                <w:kern w:val="0"/>
                <w:sz w:val="20"/>
                <w:szCs w:val="20"/>
                <w:u w:val="none"/>
                <w:lang w:val="en-US" w:eastAsia="zh-CN" w:bidi="ar"/>
              </w:rPr>
              <w:t>望得见山</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看得见水、</w:t>
            </w:r>
            <w:r>
              <w:rPr>
                <w:rFonts w:hint="eastAsia" w:ascii="宋体" w:hAnsi="宋体" w:eastAsia="宋体" w:cs="宋体"/>
                <w:i w:val="0"/>
                <w:iCs w:val="0"/>
                <w:color w:val="000000"/>
                <w:kern w:val="0"/>
                <w:sz w:val="20"/>
                <w:szCs w:val="20"/>
                <w:u w:val="none"/>
                <w:lang w:val="en-US" w:eastAsia="zh-CN" w:bidi="ar"/>
              </w:rPr>
              <w:t>记得住乡愁。</w:t>
            </w:r>
          </w:p>
        </w:tc>
        <w:tc>
          <w:tcPr>
            <w:tcW w:w="42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改善生态环境质量，</w:t>
            </w:r>
            <w:r>
              <w:rPr>
                <w:rFonts w:hint="eastAsia" w:ascii="宋体" w:hAnsi="宋体" w:cs="宋体"/>
                <w:i w:val="0"/>
                <w:iCs w:val="0"/>
                <w:color w:val="000000"/>
                <w:kern w:val="0"/>
                <w:sz w:val="20"/>
                <w:szCs w:val="20"/>
                <w:u w:val="none"/>
                <w:lang w:val="en-US" w:eastAsia="zh-CN" w:bidi="ar"/>
              </w:rPr>
              <w:t>望得见山</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看得见水、</w:t>
            </w:r>
            <w:bookmarkStart w:id="103" w:name="_GoBack"/>
            <w:bookmarkEnd w:id="103"/>
            <w:r>
              <w:rPr>
                <w:rFonts w:hint="eastAsia" w:ascii="宋体" w:hAnsi="宋体" w:eastAsia="宋体" w:cs="宋体"/>
                <w:i w:val="0"/>
                <w:iCs w:val="0"/>
                <w:color w:val="000000"/>
                <w:kern w:val="0"/>
                <w:sz w:val="20"/>
                <w:szCs w:val="20"/>
                <w:u w:val="none"/>
                <w:lang w:val="en-US" w:eastAsia="zh-CN" w:bidi="ar"/>
              </w:rPr>
              <w:t>记得住乡愁。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1"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50分</w:t>
            </w:r>
            <w:r>
              <w:rPr>
                <w:rFonts w:hint="eastAsia" w:ascii="宋体" w:hAnsi="宋体" w:cs="宋体"/>
                <w:i w:val="0"/>
                <w:iCs w:val="0"/>
                <w:color w:val="000000"/>
                <w:kern w:val="0"/>
                <w:sz w:val="20"/>
                <w:szCs w:val="20"/>
                <w:u w:val="none"/>
                <w:lang w:val="en-US" w:eastAsia="zh-CN" w:bidi="ar"/>
              </w:rPr>
              <w:t>）</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项目覆盖村</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生态环境整治</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≥20处</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20处</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资金兑现及时率</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项目完成及时率</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生态环境整治成效</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生态环境质量是否持续改善</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10分</w:t>
            </w:r>
            <w:r>
              <w:rPr>
                <w:rFonts w:hint="eastAsia" w:ascii="宋体" w:hAnsi="宋体" w:cs="宋体"/>
                <w:i w:val="0"/>
                <w:iCs w:val="0"/>
                <w:color w:val="000000"/>
                <w:kern w:val="0"/>
                <w:sz w:val="20"/>
                <w:szCs w:val="20"/>
                <w:u w:val="none"/>
                <w:lang w:val="en-US" w:eastAsia="zh-CN" w:bidi="ar"/>
              </w:rPr>
              <w:t>）</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trPr>
        <w:tc>
          <w:tcPr>
            <w:tcW w:w="39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6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w:t>
            </w:r>
          </w:p>
        </w:tc>
      </w:tr>
    </w:tbl>
    <w:p>
      <w:pPr>
        <w:keepNext w:val="0"/>
        <w:keepLines w:val="0"/>
        <w:pageBreakBefore/>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b w:val="0"/>
          <w:color w:val="auto"/>
          <w:highlight w:val="none"/>
        </w:rPr>
      </w:pPr>
      <w:bookmarkStart w:id="74" w:name="_Toc12063"/>
      <w:bookmarkStart w:id="75" w:name="_Toc15396618"/>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74"/>
      <w:bookmarkEnd w:id="75"/>
      <w:bookmarkStart w:id="76" w:name="_Toc15396619"/>
    </w:p>
    <w:p>
      <w:pPr>
        <w:pStyle w:val="5"/>
        <w:rPr>
          <w:rFonts w:ascii="仿宋" w:hAnsi="仿宋" w:eastAsia="仿宋"/>
          <w:color w:val="auto"/>
          <w:highlight w:val="none"/>
        </w:rPr>
      </w:pPr>
      <w:bookmarkStart w:id="77" w:name="_Toc21637"/>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76"/>
      <w:bookmarkEnd w:id="77"/>
    </w:p>
    <w:p>
      <w:pPr>
        <w:pStyle w:val="5"/>
        <w:rPr>
          <w:rFonts w:ascii="仿宋" w:hAnsi="仿宋" w:eastAsia="仿宋"/>
          <w:color w:val="auto"/>
          <w:highlight w:val="none"/>
        </w:rPr>
      </w:pPr>
      <w:bookmarkStart w:id="78" w:name="_Toc15396620"/>
      <w:bookmarkStart w:id="79" w:name="_Toc184"/>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78"/>
      <w:bookmarkEnd w:id="79"/>
    </w:p>
    <w:p>
      <w:pPr>
        <w:pStyle w:val="5"/>
        <w:rPr>
          <w:rFonts w:ascii="仿宋" w:hAnsi="仿宋" w:eastAsia="仿宋"/>
          <w:color w:val="auto"/>
          <w:highlight w:val="none"/>
        </w:rPr>
      </w:pPr>
      <w:bookmarkStart w:id="80" w:name="_Toc32156"/>
      <w:bookmarkStart w:id="81"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80"/>
      <w:bookmarkEnd w:id="81"/>
    </w:p>
    <w:p>
      <w:pPr>
        <w:pStyle w:val="5"/>
        <w:rPr>
          <w:rFonts w:ascii="仿宋" w:hAnsi="仿宋" w:eastAsia="仿宋"/>
          <w:b w:val="0"/>
          <w:color w:val="auto"/>
          <w:highlight w:val="none"/>
        </w:rPr>
      </w:pPr>
      <w:bookmarkStart w:id="82" w:name="_Toc15974"/>
      <w:bookmarkStart w:id="83"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82"/>
      <w:bookmarkEnd w:id="83"/>
    </w:p>
    <w:p>
      <w:pPr>
        <w:pStyle w:val="5"/>
        <w:rPr>
          <w:rStyle w:val="28"/>
          <w:rFonts w:ascii="仿宋" w:hAnsi="仿宋" w:eastAsia="仿宋"/>
          <w:b w:val="0"/>
          <w:bCs w:val="0"/>
          <w:color w:val="auto"/>
          <w:highlight w:val="none"/>
        </w:rPr>
      </w:pPr>
      <w:bookmarkStart w:id="84" w:name="_Toc25049"/>
      <w:bookmarkStart w:id="85"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84"/>
      <w:bookmarkEnd w:id="85"/>
      <w:bookmarkStart w:id="86" w:name="_Toc15396624"/>
    </w:p>
    <w:p>
      <w:pPr>
        <w:pStyle w:val="5"/>
        <w:rPr>
          <w:rFonts w:ascii="仿宋" w:hAnsi="仿宋" w:eastAsia="仿宋"/>
          <w:color w:val="auto"/>
          <w:highlight w:val="none"/>
        </w:rPr>
      </w:pPr>
      <w:bookmarkStart w:id="87" w:name="_Toc24959"/>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86"/>
      <w:bookmarkEnd w:id="87"/>
    </w:p>
    <w:p>
      <w:pPr>
        <w:pStyle w:val="5"/>
        <w:rPr>
          <w:rFonts w:ascii="仿宋" w:hAnsi="仿宋" w:eastAsia="仿宋"/>
          <w:color w:val="auto"/>
          <w:highlight w:val="none"/>
        </w:rPr>
      </w:pPr>
      <w:bookmarkStart w:id="88" w:name="_Toc15396625"/>
      <w:bookmarkStart w:id="89" w:name="_Toc4670"/>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88"/>
      <w:bookmarkEnd w:id="89"/>
    </w:p>
    <w:p>
      <w:pPr>
        <w:pStyle w:val="5"/>
        <w:rPr>
          <w:rFonts w:ascii="仿宋" w:hAnsi="仿宋" w:eastAsia="仿宋"/>
          <w:color w:val="auto"/>
          <w:highlight w:val="none"/>
        </w:rPr>
      </w:pPr>
      <w:bookmarkStart w:id="90" w:name="_Toc26589"/>
      <w:bookmarkStart w:id="9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90"/>
      <w:bookmarkEnd w:id="91"/>
    </w:p>
    <w:p>
      <w:pPr>
        <w:pStyle w:val="5"/>
        <w:rPr>
          <w:rFonts w:ascii="仿宋" w:hAnsi="仿宋" w:eastAsia="仿宋"/>
          <w:color w:val="auto"/>
          <w:highlight w:val="none"/>
        </w:rPr>
      </w:pPr>
      <w:bookmarkStart w:id="92" w:name="_Toc15396627"/>
      <w:bookmarkStart w:id="93" w:name="_Toc2713"/>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92"/>
      <w:bookmarkEnd w:id="93"/>
    </w:p>
    <w:p>
      <w:pPr>
        <w:pStyle w:val="5"/>
        <w:rPr>
          <w:rFonts w:ascii="仿宋" w:hAnsi="仿宋" w:eastAsia="仿宋"/>
          <w:color w:val="auto"/>
          <w:highlight w:val="none"/>
        </w:rPr>
      </w:pPr>
      <w:bookmarkStart w:id="94" w:name="_Toc26123"/>
      <w:bookmarkStart w:id="95"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94"/>
      <w:bookmarkEnd w:id="95"/>
    </w:p>
    <w:p>
      <w:pPr>
        <w:pStyle w:val="5"/>
        <w:rPr>
          <w:rFonts w:ascii="仿宋" w:hAnsi="仿宋" w:eastAsia="仿宋"/>
          <w:color w:val="auto"/>
          <w:highlight w:val="none"/>
        </w:rPr>
      </w:pPr>
      <w:bookmarkStart w:id="96" w:name="_Toc15396629"/>
      <w:bookmarkStart w:id="97" w:name="_Toc15734"/>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96"/>
      <w:bookmarkEnd w:id="97"/>
    </w:p>
    <w:p>
      <w:pPr>
        <w:pStyle w:val="5"/>
        <w:rPr>
          <w:rFonts w:ascii="仿宋" w:hAnsi="仿宋" w:eastAsia="仿宋"/>
          <w:color w:val="auto"/>
          <w:highlight w:val="none"/>
        </w:rPr>
      </w:pPr>
      <w:bookmarkStart w:id="98" w:name="_Toc15396630"/>
      <w:bookmarkStart w:id="99" w:name="_Toc7141"/>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98"/>
      <w:bookmarkEnd w:id="99"/>
    </w:p>
    <w:p>
      <w:pPr>
        <w:pStyle w:val="5"/>
        <w:rPr>
          <w:rStyle w:val="28"/>
          <w:rFonts w:hint="eastAsia" w:ascii="仿宋" w:hAnsi="仿宋" w:eastAsia="仿宋"/>
          <w:b w:val="0"/>
          <w:bCs w:val="0"/>
          <w:color w:val="auto"/>
          <w:highlight w:val="none"/>
        </w:rPr>
      </w:pPr>
      <w:bookmarkStart w:id="100" w:name="_Toc15396631"/>
      <w:bookmarkStart w:id="101" w:name="_Toc11444"/>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00"/>
      <w:bookmarkEnd w:id="101"/>
    </w:p>
    <w:p>
      <w:pPr>
        <w:rPr>
          <w:rFonts w:hint="eastAsia" w:eastAsia="仿宋"/>
          <w:color w:val="auto"/>
          <w:highlight w:val="none"/>
          <w:lang w:eastAsia="zh-CN"/>
        </w:rPr>
      </w:pPr>
      <w:bookmarkStart w:id="102" w:name="_Toc10080"/>
      <w:r>
        <w:rPr>
          <w:rStyle w:val="28"/>
          <w:rFonts w:hint="eastAsia" w:ascii="仿宋" w:hAnsi="仿宋" w:eastAsia="仿宋"/>
          <w:b w:val="0"/>
          <w:bCs w:val="0"/>
          <w:color w:val="auto"/>
          <w:highlight w:val="none"/>
          <w:lang w:eastAsia="zh-CN"/>
        </w:rPr>
        <w:t>十四、国有资本经营预算财政拨款支出决算表</w:t>
      </w:r>
      <w:bookmarkEnd w:id="102"/>
    </w:p>
    <w:bookmarkEnd w:id="68"/>
    <w:p>
      <w:pPr>
        <w:widowControl/>
        <w:jc w:val="left"/>
        <w:rPr>
          <w:rStyle w:val="27"/>
          <w:rFonts w:hint="eastAsia" w:ascii="黑体" w:hAnsi="黑体" w:eastAsia="黑体"/>
          <w:b w:val="0"/>
          <w:color w:val="auto"/>
          <w:highlight w:val="none"/>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38CE38D"/>
    <w:multiLevelType w:val="singleLevel"/>
    <w:tmpl w:val="D38CE38D"/>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03CE"/>
    <w:rsid w:val="00FD3CC1"/>
    <w:rsid w:val="00FF1E02"/>
    <w:rsid w:val="00FF30B4"/>
    <w:rsid w:val="01A3073B"/>
    <w:rsid w:val="0257013F"/>
    <w:rsid w:val="02651857"/>
    <w:rsid w:val="029B3915"/>
    <w:rsid w:val="037E1669"/>
    <w:rsid w:val="03AE39B3"/>
    <w:rsid w:val="04073203"/>
    <w:rsid w:val="062F50C2"/>
    <w:rsid w:val="066E0107"/>
    <w:rsid w:val="06E4782C"/>
    <w:rsid w:val="07896984"/>
    <w:rsid w:val="07996F6E"/>
    <w:rsid w:val="09880D71"/>
    <w:rsid w:val="0A0021F6"/>
    <w:rsid w:val="0A2032A3"/>
    <w:rsid w:val="0A7D595B"/>
    <w:rsid w:val="0B1D3113"/>
    <w:rsid w:val="0EEF06DD"/>
    <w:rsid w:val="0FD76AB8"/>
    <w:rsid w:val="0FF90755"/>
    <w:rsid w:val="101860EC"/>
    <w:rsid w:val="1082789A"/>
    <w:rsid w:val="10C055FF"/>
    <w:rsid w:val="118107EC"/>
    <w:rsid w:val="11863150"/>
    <w:rsid w:val="11C72224"/>
    <w:rsid w:val="13D50BC4"/>
    <w:rsid w:val="141408B6"/>
    <w:rsid w:val="16925AD3"/>
    <w:rsid w:val="16BB723D"/>
    <w:rsid w:val="182A0E16"/>
    <w:rsid w:val="19BC5937"/>
    <w:rsid w:val="1A6F348B"/>
    <w:rsid w:val="1BE8440E"/>
    <w:rsid w:val="1C0A168B"/>
    <w:rsid w:val="1C8B2C93"/>
    <w:rsid w:val="1CA613B3"/>
    <w:rsid w:val="1D155CEE"/>
    <w:rsid w:val="1DBE52BF"/>
    <w:rsid w:val="1DEA785E"/>
    <w:rsid w:val="1E1B7B7F"/>
    <w:rsid w:val="1EB772FB"/>
    <w:rsid w:val="1EDD4E34"/>
    <w:rsid w:val="1F7E03C6"/>
    <w:rsid w:val="20CD44FA"/>
    <w:rsid w:val="23860B96"/>
    <w:rsid w:val="238779AF"/>
    <w:rsid w:val="23B40C14"/>
    <w:rsid w:val="240371BF"/>
    <w:rsid w:val="24427D1A"/>
    <w:rsid w:val="2535779F"/>
    <w:rsid w:val="28E979EB"/>
    <w:rsid w:val="29FD04D3"/>
    <w:rsid w:val="2AD829F0"/>
    <w:rsid w:val="2B310E9A"/>
    <w:rsid w:val="2C8A61B5"/>
    <w:rsid w:val="2C9B4737"/>
    <w:rsid w:val="2CCA5413"/>
    <w:rsid w:val="2DC2595E"/>
    <w:rsid w:val="2DF04E50"/>
    <w:rsid w:val="319F7F4E"/>
    <w:rsid w:val="324D1554"/>
    <w:rsid w:val="326962DE"/>
    <w:rsid w:val="32A70375"/>
    <w:rsid w:val="334943EF"/>
    <w:rsid w:val="342C2B24"/>
    <w:rsid w:val="36814432"/>
    <w:rsid w:val="36AA5135"/>
    <w:rsid w:val="37E16F03"/>
    <w:rsid w:val="383061CF"/>
    <w:rsid w:val="39572CB9"/>
    <w:rsid w:val="39677BE4"/>
    <w:rsid w:val="3BE305C9"/>
    <w:rsid w:val="3CA15648"/>
    <w:rsid w:val="3D98207C"/>
    <w:rsid w:val="3DB9408A"/>
    <w:rsid w:val="412A2BC4"/>
    <w:rsid w:val="415D360C"/>
    <w:rsid w:val="42A87B2A"/>
    <w:rsid w:val="4361297B"/>
    <w:rsid w:val="43CF0B95"/>
    <w:rsid w:val="44E268DA"/>
    <w:rsid w:val="464A46ED"/>
    <w:rsid w:val="478723A6"/>
    <w:rsid w:val="4826374A"/>
    <w:rsid w:val="491F7608"/>
    <w:rsid w:val="49334435"/>
    <w:rsid w:val="4964439B"/>
    <w:rsid w:val="49713C00"/>
    <w:rsid w:val="4A627F82"/>
    <w:rsid w:val="4B2B505B"/>
    <w:rsid w:val="4B4F25DA"/>
    <w:rsid w:val="4BE068DB"/>
    <w:rsid w:val="4D3637DE"/>
    <w:rsid w:val="4D577224"/>
    <w:rsid w:val="4D685B13"/>
    <w:rsid w:val="4E0F5455"/>
    <w:rsid w:val="4EA560F4"/>
    <w:rsid w:val="4EAB630A"/>
    <w:rsid w:val="4ECE2238"/>
    <w:rsid w:val="4F9E41DF"/>
    <w:rsid w:val="507B04A0"/>
    <w:rsid w:val="50EC48E0"/>
    <w:rsid w:val="510B1E2B"/>
    <w:rsid w:val="52524C16"/>
    <w:rsid w:val="53921995"/>
    <w:rsid w:val="54043B32"/>
    <w:rsid w:val="54411E02"/>
    <w:rsid w:val="55D442E4"/>
    <w:rsid w:val="567C77AC"/>
    <w:rsid w:val="57652252"/>
    <w:rsid w:val="57DE16EF"/>
    <w:rsid w:val="58A60FBC"/>
    <w:rsid w:val="5AC31DC5"/>
    <w:rsid w:val="5AE863EE"/>
    <w:rsid w:val="5AF92295"/>
    <w:rsid w:val="5C6B65B4"/>
    <w:rsid w:val="5CD71FC4"/>
    <w:rsid w:val="5E1F3C01"/>
    <w:rsid w:val="5E8C732B"/>
    <w:rsid w:val="5EF34737"/>
    <w:rsid w:val="606E1034"/>
    <w:rsid w:val="61AC047F"/>
    <w:rsid w:val="61F0424A"/>
    <w:rsid w:val="624F27EE"/>
    <w:rsid w:val="64A13E88"/>
    <w:rsid w:val="64A72A10"/>
    <w:rsid w:val="65682056"/>
    <w:rsid w:val="65D879A0"/>
    <w:rsid w:val="67006EDF"/>
    <w:rsid w:val="68C15FFC"/>
    <w:rsid w:val="6B841E8D"/>
    <w:rsid w:val="6C4A05C8"/>
    <w:rsid w:val="6E7E3605"/>
    <w:rsid w:val="6F825E7E"/>
    <w:rsid w:val="6FF5CC65"/>
    <w:rsid w:val="70C60B42"/>
    <w:rsid w:val="715C0E4B"/>
    <w:rsid w:val="71BD7CD0"/>
    <w:rsid w:val="72581BDC"/>
    <w:rsid w:val="72734D90"/>
    <w:rsid w:val="73AB7EEE"/>
    <w:rsid w:val="73AD73D5"/>
    <w:rsid w:val="73B6EB34"/>
    <w:rsid w:val="73CD5C2F"/>
    <w:rsid w:val="74BC3835"/>
    <w:rsid w:val="752F5F80"/>
    <w:rsid w:val="761C248B"/>
    <w:rsid w:val="762D430E"/>
    <w:rsid w:val="77945AA1"/>
    <w:rsid w:val="79EE5BA4"/>
    <w:rsid w:val="7A894339"/>
    <w:rsid w:val="7B6831E9"/>
    <w:rsid w:val="7DF466F5"/>
    <w:rsid w:val="7EEF11D3"/>
    <w:rsid w:val="7F737DF6"/>
    <w:rsid w:val="7FA30C79"/>
    <w:rsid w:val="7FB15EAF"/>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1"/>
    <w:basedOn w:val="1"/>
    <w:next w:val="3"/>
    <w:qFormat/>
    <w:uiPriority w:val="0"/>
    <w:pPr>
      <w:jc w:val="left"/>
    </w:pPr>
    <w:rPr>
      <w:rFonts w:ascii="Calibri" w:hAnsi="Calibri" w:eastAsia="仿宋_GB2312"/>
      <w:sz w:val="32"/>
    </w:rPr>
  </w:style>
  <w:style w:type="paragraph" w:customStyle="1" w:styleId="3">
    <w:name w:val="样式2"/>
    <w:basedOn w:val="1"/>
    <w:qFormat/>
    <w:uiPriority w:val="0"/>
    <w:pPr>
      <w:ind w:firstLine="200" w:firstLineChars="200"/>
    </w:pPr>
    <w:rPr>
      <w:rFonts w:eastAsia="仿宋_GB2312"/>
      <w:sz w:val="32"/>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page number"/>
    <w:basedOn w:val="15"/>
    <w:qFormat/>
    <w:uiPriority w:val="0"/>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4"/>
    <w:qFormat/>
    <w:uiPriority w:val="9"/>
    <w:rPr>
      <w:rFonts w:ascii="Times New Roman" w:hAnsi="Times New Roman"/>
      <w:b/>
      <w:bCs/>
      <w:kern w:val="44"/>
      <w:sz w:val="44"/>
      <w:szCs w:val="44"/>
    </w:rPr>
  </w:style>
  <w:style w:type="character" w:customStyle="1" w:styleId="28">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9"/>
    <w:semiHidden/>
    <w:qFormat/>
    <w:uiPriority w:val="99"/>
    <w:rPr>
      <w:rFonts w:ascii="Times New Roman" w:hAnsi="Times New Roman"/>
      <w:kern w:val="2"/>
      <w:sz w:val="18"/>
      <w:szCs w:val="18"/>
    </w:rPr>
  </w:style>
  <w:style w:type="character" w:customStyle="1" w:styleId="31">
    <w:name w:val="标题 3 Char"/>
    <w:basedOn w:val="15"/>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s="宋体"/>
      <w:color w:val="000000"/>
      <w:kern w:val="0"/>
      <w:sz w:val="28"/>
      <w:szCs w:val="21"/>
    </w:rPr>
  </w:style>
  <w:style w:type="character" w:customStyle="1" w:styleId="34">
    <w:name w:val="font71"/>
    <w:basedOn w:val="15"/>
    <w:qFormat/>
    <w:uiPriority w:val="0"/>
    <w:rPr>
      <w:rFonts w:hint="eastAsia" w:ascii="宋体" w:hAnsi="宋体" w:eastAsia="宋体" w:cs="宋体"/>
      <w:b/>
      <w:bCs/>
      <w:color w:val="000000"/>
      <w:sz w:val="32"/>
      <w:szCs w:val="32"/>
      <w:u w:val="none"/>
    </w:rPr>
  </w:style>
  <w:style w:type="character" w:customStyle="1" w:styleId="35">
    <w:name w:val="font11"/>
    <w:basedOn w:val="15"/>
    <w:qFormat/>
    <w:uiPriority w:val="0"/>
    <w:rPr>
      <w:rFonts w:hint="eastAsia" w:ascii="宋体" w:hAnsi="宋体" w:eastAsia="宋体" w:cs="宋体"/>
      <w:color w:val="000000"/>
      <w:sz w:val="32"/>
      <w:szCs w:val="32"/>
      <w:u w:val="none"/>
    </w:rPr>
  </w:style>
  <w:style w:type="character" w:customStyle="1" w:styleId="36">
    <w:name w:val="font21"/>
    <w:basedOn w:val="15"/>
    <w:qFormat/>
    <w:uiPriority w:val="0"/>
    <w:rPr>
      <w:rFonts w:hint="eastAsia" w:ascii="宋体" w:hAnsi="宋体" w:eastAsia="宋体" w:cs="宋体"/>
      <w:color w:val="000000"/>
      <w:sz w:val="20"/>
      <w:szCs w:val="20"/>
      <w:u w:val="none"/>
    </w:rPr>
  </w:style>
  <w:style w:type="paragraph" w:customStyle="1" w:styleId="37">
    <w:name w:val="WPSOffice手动目录 1"/>
    <w:uiPriority w:val="0"/>
    <w:pPr>
      <w:ind w:leftChars="0"/>
    </w:pPr>
    <w:rPr>
      <w:rFonts w:ascii="Times New Roman" w:hAnsi="Times New Roman" w:eastAsia="宋体" w:cs="Times New Roman"/>
      <w:sz w:val="20"/>
      <w:szCs w:val="20"/>
    </w:rPr>
  </w:style>
  <w:style w:type="paragraph" w:customStyle="1" w:styleId="38">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收、支决算总计变动情况表</a:t>
            </a:r>
            <a:r>
              <a:rPr lang="en-US" altLang="zh-CN"/>
              <a:t>                   </a:t>
            </a:r>
            <a:r>
              <a:rPr altLang="en-US" sz="1200"/>
              <a:t>单位：万元</a:t>
            </a:r>
            <a:endParaRPr altLang="en-US" sz="1200"/>
          </a:p>
        </c:rich>
      </c:tx>
      <c:layout>
        <c:manualLayout>
          <c:xMode val="edge"/>
          <c:yMode val="edge"/>
          <c:x val="0.0849169833966793"/>
          <c:y val="0.0277008310249307"/>
        </c:manualLayout>
      </c:layout>
      <c:overlay val="0"/>
      <c:spPr>
        <a:noFill/>
        <a:ln>
          <a:noFill/>
        </a:ln>
        <a:effectLst/>
      </c:spPr>
    </c:title>
    <c:autoTitleDeleted val="0"/>
    <c:plotArea>
      <c:layout>
        <c:manualLayout>
          <c:layoutTarget val="inner"/>
          <c:xMode val="edge"/>
          <c:yMode val="edge"/>
          <c:x val="0.0286655281776043"/>
          <c:y val="0.151003167898627"/>
          <c:w val="0.946328372773847"/>
          <c:h val="0.68416050686378"/>
        </c:manualLayout>
      </c:layout>
      <c:barChart>
        <c:barDir val="col"/>
        <c:grouping val="clustered"/>
        <c:varyColors val="0"/>
        <c:ser>
          <c:idx val="0"/>
          <c:order val="0"/>
          <c:tx>
            <c:strRef>
              <c:f>Sheet1!$B$1</c:f>
              <c:strCache>
                <c:ptCount val="1"/>
                <c:pt idx="0">
                  <c:v>2020年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收入</c:v>
                </c:pt>
                <c:pt idx="1">
                  <c:v>支出</c:v>
                </c:pt>
              </c:strCache>
            </c:strRef>
          </c:cat>
          <c:val>
            <c:numRef>
              <c:f>Sheet1!$B$2:$B$3</c:f>
              <c:numCache>
                <c:formatCode>General</c:formatCode>
                <c:ptCount val="2"/>
                <c:pt idx="0">
                  <c:v>10465.29</c:v>
                </c:pt>
                <c:pt idx="1">
                  <c:v>10596.32</c:v>
                </c:pt>
              </c:numCache>
            </c:numRef>
          </c:val>
        </c:ser>
        <c:ser>
          <c:idx val="1"/>
          <c:order val="1"/>
          <c:tx>
            <c:strRef>
              <c:f>Sheet1!$C$1</c:f>
              <c:strCache>
                <c:ptCount val="1"/>
                <c:pt idx="0">
                  <c:v>2021年</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10524.8</a:t>
                    </a:r>
                    <a:r>
                      <a:rPr lang="en-US" altLang="zh-CN"/>
                      <a:t>9</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0.0108021604320864"/>
                  <c:y val="0.00277008310249307"/>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11056.</a:t>
                    </a:r>
                    <a:r>
                      <a:rPr lang="en-US" altLang="zh-CN"/>
                      <a:t>7</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Sheet1!$A$2:$A$3</c:f>
              <c:strCache>
                <c:ptCount val="2"/>
                <c:pt idx="0">
                  <c:v>收入</c:v>
                </c:pt>
                <c:pt idx="1">
                  <c:v>支出</c:v>
                </c:pt>
              </c:strCache>
            </c:strRef>
          </c:cat>
          <c:val>
            <c:numRef>
              <c:f>Sheet1!$C$2:$C$3</c:f>
              <c:numCache>
                <c:formatCode>General</c:formatCode>
                <c:ptCount val="2"/>
                <c:pt idx="0">
                  <c:v>10524.88</c:v>
                </c:pt>
                <c:pt idx="1">
                  <c:v>11056.98</c:v>
                </c:pt>
              </c:numCache>
            </c:numRef>
          </c:val>
        </c:ser>
        <c:dLbls>
          <c:showLegendKey val="0"/>
          <c:showVal val="1"/>
          <c:showCatName val="0"/>
          <c:showSerName val="0"/>
          <c:showPercent val="0"/>
          <c:showBubbleSize val="0"/>
        </c:dLbls>
        <c:gapWidth val="65"/>
        <c:overlap val="0"/>
        <c:axId val="431712397"/>
        <c:axId val="78096704"/>
      </c:barChart>
      <c:catAx>
        <c:axId val="431712397"/>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78096704"/>
        <c:crosses val="autoZero"/>
        <c:auto val="1"/>
        <c:lblAlgn val="ctr"/>
        <c:lblOffset val="100"/>
        <c:noMultiLvlLbl val="0"/>
      </c:catAx>
      <c:valAx>
        <c:axId val="78096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431712397"/>
        <c:crosses val="autoZero"/>
        <c:crossBetween val="between"/>
      </c:valAx>
      <c:spPr>
        <a:noFill/>
        <a:ln>
          <a:noFill/>
        </a:ln>
        <a:effectLst/>
      </c:spPr>
    </c:plotArea>
    <c:legend>
      <c:legendPos val="b"/>
      <c:layout>
        <c:manualLayout>
          <c:xMode val="edge"/>
          <c:yMode val="edge"/>
          <c:x val="0.419133826765353"/>
          <c:y val="0.877124907612712"/>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t>收入决算结构图</a:t>
            </a:r>
          </a:p>
          <a:p>
            <a:pPr defTabSz="914400">
              <a:defRPr lang="zh-CN" sz="1400" b="0" i="0" u="none" strike="noStrike" kern="1200" spc="0" baseline="0">
                <a:solidFill>
                  <a:sysClr val="windowText" lastClr="000000">
                    <a:lumMod val="65000"/>
                    <a:lumOff val="35000"/>
                  </a:sysClr>
                </a:solidFill>
                <a:latin typeface="+mn-lt"/>
                <a:ea typeface="+mn-ea"/>
                <a:cs typeface="+mn-cs"/>
              </a:defRPr>
            </a:pPr>
            <a:r>
              <a:t>20</a:t>
            </a:r>
            <a:r>
              <a:rPr lang="en-US" altLang="zh-CN"/>
              <a:t>21</a:t>
            </a:r>
            <a:r>
              <a:t>年涪阳镇收入合计</a:t>
            </a:r>
            <a:r>
              <a:rPr lang="en-US" altLang="zh-CN"/>
              <a:t>10524.89</a:t>
            </a:r>
            <a:r>
              <a:t>万元</a:t>
            </a:r>
          </a:p>
        </c:rich>
      </c:tx>
      <c:layout>
        <c:manualLayout>
          <c:xMode val="edge"/>
          <c:yMode val="edge"/>
          <c:x val="0.419857976160284"/>
          <c:y val="0.0118953211736717"/>
        </c:manualLayout>
      </c:layout>
      <c:overlay val="0"/>
      <c:spPr>
        <a:noFill/>
        <a:ln>
          <a:noFill/>
        </a:ln>
        <a:effectLst/>
      </c:spPr>
    </c:title>
    <c:autoTitleDeleted val="0"/>
    <c:plotArea>
      <c:layout>
        <c:manualLayout>
          <c:layoutTarget val="inner"/>
          <c:xMode val="edge"/>
          <c:yMode val="edge"/>
          <c:x val="0.140765765765766"/>
          <c:y val="0.21985494106981"/>
          <c:w val="0.379754754754755"/>
          <c:h val="0.687896645512239"/>
        </c:manualLayout>
      </c:layout>
      <c:pieChart>
        <c:varyColors val="1"/>
        <c:ser>
          <c:idx val="0"/>
          <c:order val="0"/>
          <c:tx>
            <c:strRef>
              <c:f>Sheet1!$B$1</c:f>
              <c:strCache>
                <c:ptCount val="1"/>
                <c:pt idx="0">
                  <c:v>收入</c:v>
                </c:pt>
              </c:strCache>
            </c:strRef>
          </c:tx>
          <c:spPr/>
          <c:explosion val="0"/>
          <c:dPt>
            <c:idx val="0"/>
            <c:bubble3D val="0"/>
            <c:explosion val="1"/>
            <c:spPr>
              <a:solidFill>
                <a:schemeClr val="accent2"/>
              </a:solidFill>
              <a:ln w="19050">
                <a:solidFill>
                  <a:sysClr val="window" lastClr="FFFFFF"/>
                </a:solidFill>
              </a:ln>
              <a:effectLst/>
            </c:spPr>
          </c:dPt>
          <c:dPt>
            <c:idx val="1"/>
            <c:bubble3D val="0"/>
            <c:spPr>
              <a:solidFill>
                <a:schemeClr val="accent4"/>
              </a:solidFill>
              <a:ln w="19050">
                <a:solidFill>
                  <a:sysClr val="window" lastClr="FFFFFF"/>
                </a:solidFill>
              </a:ln>
              <a:effectLst/>
            </c:spPr>
          </c:dPt>
          <c:dPt>
            <c:idx val="2"/>
            <c:bubble3D val="0"/>
            <c:spPr>
              <a:solidFill>
                <a:schemeClr val="accent6"/>
              </a:solidFill>
              <a:ln w="19050">
                <a:solidFill>
                  <a:sysClr val="window" lastClr="FFFFFF"/>
                </a:solidFill>
              </a:ln>
              <a:effectLst/>
            </c:spPr>
          </c:dPt>
          <c:dPt>
            <c:idx val="3"/>
            <c:bubble3D val="0"/>
            <c:spPr>
              <a:solidFill>
                <a:schemeClr val="accent2">
                  <a:lumMod val="60000"/>
                </a:schemeClr>
              </a:solidFill>
              <a:ln w="19050">
                <a:solidFill>
                  <a:sysClr val="window" lastClr="FFFFFF"/>
                </a:solidFill>
              </a:ln>
              <a:effectLst/>
            </c:spPr>
          </c:dPt>
          <c:dLbls>
            <c:dLbl>
              <c:idx val="0"/>
              <c:layout>
                <c:manualLayout>
                  <c:x val="0.196975950148487"/>
                  <c:y val="-0.04908764458445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6151233790135"/>
                  <c:y val="0.05952500978721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343323629057"/>
                  <c:y val="0.007624579017125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Sheet1!$A$2:$A$5</c:f>
              <c:strCache>
                <c:ptCount val="4"/>
                <c:pt idx="0">
                  <c:v>一般公共预算财政拨款收入</c:v>
                </c:pt>
                <c:pt idx="1">
                  <c:v>事业收入</c:v>
                </c:pt>
                <c:pt idx="2">
                  <c:v>政府性基金预算财政拨款收入</c:v>
                </c:pt>
                <c:pt idx="3">
                  <c:v>其他收入</c:v>
                </c:pt>
              </c:strCache>
            </c:strRef>
          </c:cat>
          <c:val>
            <c:numRef>
              <c:f>Sheet1!$B$2:$B$5</c:f>
              <c:numCache>
                <c:formatCode>General</c:formatCode>
                <c:ptCount val="4"/>
                <c:pt idx="0">
                  <c:v>9556.2</c:v>
                </c:pt>
                <c:pt idx="1">
                  <c:v>825.91</c:v>
                </c:pt>
                <c:pt idx="2">
                  <c:v>35.72</c:v>
                </c:pt>
                <c:pt idx="3">
                  <c:v>107.05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2946994674106"/>
          <c:y val="0.3255352894528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t>年涪阳镇支出合计</a:t>
            </a:r>
            <a:r>
              <a:rPr lang="en-US" altLang="zh-CN"/>
              <a:t>11056.69</a:t>
            </a:r>
            <a:r>
              <a:t>万元</a:t>
            </a:r>
          </a:p>
        </c:rich>
      </c:tx>
      <c:layout>
        <c:manualLayout>
          <c:xMode val="edge"/>
          <c:yMode val="edge"/>
          <c:x val="0.225797671752619"/>
          <c:y val="0.0435777419714248"/>
        </c:manualLayout>
      </c:layout>
      <c:overlay val="0"/>
      <c:spPr>
        <a:noFill/>
        <a:ln>
          <a:noFill/>
        </a:ln>
        <a:effectLst/>
      </c:spPr>
    </c:title>
    <c:autoTitleDeleted val="0"/>
    <c:plotArea>
      <c:layout/>
      <c:pieChart>
        <c:varyColors val="1"/>
        <c:ser>
          <c:idx val="0"/>
          <c:order val="0"/>
          <c:tx>
            <c:strRef>
              <c:f>Sheet1!$B$1</c:f>
              <c:strCache>
                <c:ptCount val="1"/>
                <c:pt idx="0">
                  <c:v>支出</c:v>
                </c:pt>
              </c:strCache>
            </c:strRef>
          </c:tx>
          <c:spPr>
            <a:solidFill>
              <a:srgbClr val="FF0000"/>
            </a:solidFill>
          </c:spPr>
          <c:explosion val="0"/>
          <c:dPt>
            <c:idx val="0"/>
            <c:bubble3D val="0"/>
            <c:spPr>
              <a:solidFill>
                <a:srgbClr val="FF0000"/>
              </a:solidFill>
              <a:ln w="19050">
                <a:solidFill>
                  <a:schemeClr val="lt1"/>
                </a:solidFill>
              </a:ln>
              <a:effectLst/>
            </c:spPr>
          </c:dPt>
          <c:dPt>
            <c:idx val="1"/>
            <c:bubble3D val="0"/>
            <c:spPr>
              <a:solidFill>
                <a:srgbClr val="FFFF00"/>
              </a:solidFill>
              <a:ln w="19050">
                <a:solidFill>
                  <a:schemeClr val="lt1"/>
                </a:solidFill>
              </a:ln>
              <a:effectLst/>
            </c:spPr>
          </c:dPt>
          <c:dLbls>
            <c:dLbl>
              <c:idx val="0"/>
              <c:layout>
                <c:manualLayout>
                  <c:x val="0.0883530264595186"/>
                  <c:y val="-0.1669262896444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16637001893966"/>
                  <c:y val="0.07949333134115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7467.02</c:v>
                </c:pt>
                <c:pt idx="1">
                  <c:v>3589.67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71125"/>
          <c:y val="0.635833333333333"/>
          <c:w val="0.215625"/>
          <c:h val="0.27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财政拨款收、支决算总计变动情况图                  万元</a:t>
            </a:r>
            <a:endParaRPr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rgbClr val="FFFF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Sheet1!$B$2:$B$3</c:f>
              <c:numCache>
                <c:formatCode>General</c:formatCode>
                <c:ptCount val="2"/>
                <c:pt idx="0">
                  <c:v>9556.19</c:v>
                </c:pt>
                <c:pt idx="1">
                  <c:v>9610.8</c:v>
                </c:pt>
              </c:numCache>
            </c:numRef>
          </c:val>
        </c:ser>
        <c:ser>
          <c:idx val="1"/>
          <c:order val="1"/>
          <c:tx>
            <c:strRef>
              <c:f>Sheet1!$C$1</c:f>
              <c:strCache>
                <c:ptCount val="1"/>
                <c:pt idx="0">
                  <c:v>支出</c:v>
                </c:pt>
              </c:strCache>
            </c:strRef>
          </c:tx>
          <c:spPr>
            <a:solidFill>
              <a:srgbClr val="FF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Sheet1!$C$2:$C$3</c:f>
              <c:numCache>
                <c:formatCode>General</c:formatCode>
                <c:ptCount val="2"/>
                <c:pt idx="0">
                  <c:v>10088.01</c:v>
                </c:pt>
                <c:pt idx="1">
                  <c:v>9616.19</c:v>
                </c:pt>
              </c:numCache>
            </c:numRef>
          </c:val>
        </c:ser>
        <c:dLbls>
          <c:showLegendKey val="0"/>
          <c:showVal val="0"/>
          <c:showCatName val="0"/>
          <c:showSerName val="0"/>
          <c:showPercent val="0"/>
          <c:showBubbleSize val="0"/>
        </c:dLbls>
        <c:gapWidth val="219"/>
        <c:overlap val="-27"/>
        <c:axId val="878095655"/>
        <c:axId val="822559658"/>
      </c:barChart>
      <c:catAx>
        <c:axId val="8780956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559658"/>
        <c:crosses val="autoZero"/>
        <c:auto val="1"/>
        <c:lblAlgn val="ctr"/>
        <c:lblOffset val="100"/>
        <c:noMultiLvlLbl val="0"/>
      </c:catAx>
      <c:valAx>
        <c:axId val="8225596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0956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一般公共预算财政拨款支出决算变动情况</a:t>
            </a:r>
            <a:endParaRPr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rgbClr val="FFFF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Sheet1!$B$2:$B$3</c:f>
              <c:numCache>
                <c:formatCode>General</c:formatCode>
                <c:ptCount val="2"/>
                <c:pt idx="0">
                  <c:v>10088.01</c:v>
                </c:pt>
                <c:pt idx="1">
                  <c:v>9616.19</c:v>
                </c:pt>
              </c:numCache>
            </c:numRef>
          </c:val>
        </c:ser>
        <c:ser>
          <c:idx val="1"/>
          <c:order val="1"/>
          <c:tx>
            <c:strRef>
              <c:f>Sheet1!$C$1</c:f>
              <c:strCache>
                <c:ptCount val="1"/>
                <c:pt idx="0">
                  <c:v>本年支出合计</c:v>
                </c:pt>
              </c:strCache>
            </c:strRef>
          </c:tx>
          <c:spPr>
            <a:solidFill>
              <a:srgbClr val="FF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Sheet1!$C$2:$C$3</c:f>
              <c:numCache>
                <c:formatCode>General</c:formatCode>
                <c:ptCount val="2"/>
                <c:pt idx="0">
                  <c:v>11056.7</c:v>
                </c:pt>
                <c:pt idx="1">
                  <c:v>10596.32</c:v>
                </c:pt>
              </c:numCache>
            </c:numRef>
          </c:val>
        </c:ser>
        <c:dLbls>
          <c:showLegendKey val="0"/>
          <c:showVal val="0"/>
          <c:showCatName val="0"/>
          <c:showSerName val="0"/>
          <c:showPercent val="0"/>
          <c:showBubbleSize val="0"/>
        </c:dLbls>
        <c:gapWidth val="219"/>
        <c:overlap val="-27"/>
        <c:axId val="878095655"/>
        <c:axId val="822559658"/>
      </c:barChart>
      <c:catAx>
        <c:axId val="8780956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559658"/>
        <c:crosses val="autoZero"/>
        <c:auto val="1"/>
        <c:lblAlgn val="ctr"/>
        <c:lblOffset val="100"/>
        <c:noMultiLvlLbl val="0"/>
      </c:catAx>
      <c:valAx>
        <c:axId val="8225596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095655"/>
        <c:crosses val="autoZero"/>
        <c:crossBetween val="between"/>
      </c:valAx>
      <c:spPr>
        <a:noFill/>
        <a:ln>
          <a:noFill/>
        </a:ln>
        <a:effectLst/>
      </c:spPr>
    </c:plotArea>
    <c:legend>
      <c:legendPos val="b"/>
      <c:layout>
        <c:manualLayout>
          <c:xMode val="edge"/>
          <c:yMode val="edge"/>
          <c:x val="0.403094676108051"/>
          <c:y val="0.751252967554735"/>
          <c:w val="0.297010228166798"/>
          <c:h val="0.24083355315220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165487538450518"/>
          <c:y val="0.0118048504033308"/>
        </c:manualLayout>
      </c:layout>
      <c:overlay val="0"/>
      <c:spPr>
        <a:noFill/>
        <a:ln>
          <a:noFill/>
        </a:ln>
        <a:effectLst/>
      </c:spPr>
    </c:title>
    <c:autoTitleDeleted val="0"/>
    <c:plotArea>
      <c:layout>
        <c:manualLayout>
          <c:layoutTarget val="inner"/>
          <c:xMode val="edge"/>
          <c:yMode val="edge"/>
          <c:x val="0.0794622831206902"/>
          <c:y val="0.146428571428571"/>
          <c:w val="0.508097416244282"/>
          <c:h val="0.698979591836735"/>
        </c:manualLayout>
      </c:layout>
      <c:pieChart>
        <c:varyColors val="1"/>
        <c:ser>
          <c:idx val="0"/>
          <c:order val="0"/>
          <c:tx>
            <c:strRef>
              <c:f>Sheet1!$B$1</c:f>
              <c:strCache>
                <c:ptCount val="1"/>
                <c:pt idx="0">
                  <c:v>支出</c:v>
                </c:pt>
              </c:strCache>
            </c:strRef>
          </c:tx>
          <c:spPr>
            <a:solidFill>
              <a:srgbClr val="FF0000"/>
            </a:solidFill>
          </c:spPr>
          <c:explosion val="0"/>
          <c:dPt>
            <c:idx val="0"/>
            <c:bubble3D val="0"/>
            <c:spPr>
              <a:gradFill>
                <a:gsLst>
                  <a:gs pos="0">
                    <a:srgbClr val="E30000"/>
                  </a:gs>
                  <a:gs pos="100000">
                    <a:srgbClr val="760303"/>
                  </a:gs>
                </a:gsLst>
                <a:lin ang="5400000" scaled="0"/>
              </a:gradFill>
              <a:ln w="19050">
                <a:solidFill>
                  <a:schemeClr val="lt1"/>
                </a:solidFill>
              </a:ln>
              <a:effectLst/>
            </c:spPr>
          </c:dPt>
          <c:dPt>
            <c:idx val="1"/>
            <c:bubble3D val="0"/>
            <c:spPr>
              <a:gradFill>
                <a:gsLst>
                  <a:gs pos="0">
                    <a:srgbClr val="9EE256"/>
                  </a:gs>
                  <a:gs pos="100000">
                    <a:srgbClr val="52762D"/>
                  </a:gs>
                </a:gsLst>
                <a:lin ang="5400000" scaled="0"/>
              </a:gradFill>
              <a:ln w="19050">
                <a:solidFill>
                  <a:schemeClr val="lt1"/>
                </a:solidFill>
              </a:ln>
              <a:effectLst/>
            </c:spPr>
          </c:dPt>
          <c:dPt>
            <c:idx val="2"/>
            <c:bubble3D val="0"/>
            <c:spPr>
              <a:solidFill>
                <a:schemeClr val="accent2">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tx1"/>
              </a:solidFill>
              <a:ln w="19050">
                <a:solidFill>
                  <a:schemeClr val="lt1"/>
                </a:solidFill>
              </a:ln>
              <a:effectLst/>
            </c:spPr>
          </c:dPt>
          <c:dPt>
            <c:idx val="5"/>
            <c:bubble3D val="0"/>
            <c:spPr>
              <a:solidFill>
                <a:schemeClr val="accent5"/>
              </a:solidFill>
              <a:ln w="19050">
                <a:solidFill>
                  <a:schemeClr val="lt1"/>
                </a:solidFill>
              </a:ln>
              <a:effectLst/>
            </c:spPr>
          </c:dPt>
          <c:dPt>
            <c:idx val="6"/>
            <c:bubble3D val="0"/>
            <c:spPr>
              <a:gradFill>
                <a:gsLst>
                  <a:gs pos="0">
                    <a:srgbClr val="FBFB11"/>
                  </a:gs>
                  <a:gs pos="100000">
                    <a:srgbClr val="838309"/>
                  </a:gs>
                </a:gsLst>
                <a:lin ang="5400000" scaled="0"/>
              </a:gradFill>
              <a:ln w="19050">
                <a:solidFill>
                  <a:schemeClr val="lt1"/>
                </a:solidFill>
              </a:ln>
              <a:effectLst/>
            </c:spPr>
          </c:dPt>
          <c:dPt>
            <c:idx val="7"/>
            <c:bubble3D val="0"/>
            <c:spPr>
              <a:solidFill>
                <a:schemeClr val="accent2">
                  <a:lumMod val="20000"/>
                  <a:lumOff val="80000"/>
                </a:schemeClr>
              </a:solidFill>
              <a:ln w="19050">
                <a:solidFill>
                  <a:schemeClr val="lt1"/>
                </a:solidFill>
              </a:ln>
              <a:effectLst/>
            </c:spPr>
          </c:dPt>
          <c:dPt>
            <c:idx val="8"/>
            <c:bubble3D val="0"/>
            <c:spPr>
              <a:solidFill>
                <a:srgbClr val="FF0000"/>
              </a:solidFill>
              <a:ln w="19050">
                <a:solidFill>
                  <a:schemeClr val="lt1"/>
                </a:solidFill>
              </a:ln>
              <a:effectLst/>
            </c:spPr>
          </c:dPt>
          <c:dPt>
            <c:idx val="9"/>
            <c:bubble3D val="0"/>
            <c:spPr>
              <a:solidFill>
                <a:srgbClr val="FF0000"/>
              </a:solidFill>
              <a:ln w="19050">
                <a:solidFill>
                  <a:schemeClr val="lt1"/>
                </a:solidFill>
              </a:ln>
              <a:effectLst/>
            </c:spPr>
          </c:dPt>
          <c:dLbls>
            <c:dLbl>
              <c:idx val="0"/>
              <c:layout>
                <c:manualLayout>
                  <c:x val="0.0932673186221283"/>
                  <c:y val="0.01463109301727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84646308775187"/>
                  <c:y val="-0.001292723263046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1094718038496"/>
                  <c:y val="0.09703360527427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9242098690581"/>
                  <c:y val="-0.0008241248718786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425457097689"/>
                  <c:y val="0.01795859214612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05587559709013"/>
                  <c:y val="0.013346747386911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02215656229465"/>
                  <c:y val="-0.066607647116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0329199154238941"/>
                  <c:y val="-0.027726742838168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968017364387826"/>
                  <c:y val="-0.0175955549623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一般公共服务支出</c:v>
                </c:pt>
                <c:pt idx="1">
                  <c:v>教育支出</c:v>
                </c:pt>
                <c:pt idx="2">
                  <c:v>文化旅游体育与传媒支出</c:v>
                </c:pt>
                <c:pt idx="3">
                  <c:v>社会保障和就业支出</c:v>
                </c:pt>
                <c:pt idx="4">
                  <c:v>卫生健康支出</c:v>
                </c:pt>
                <c:pt idx="5">
                  <c:v>节能环保支出</c:v>
                </c:pt>
                <c:pt idx="6">
                  <c:v>城乡社区支出</c:v>
                </c:pt>
                <c:pt idx="7">
                  <c:v>农林水支出</c:v>
                </c:pt>
                <c:pt idx="8">
                  <c:v>商业服务业等支出</c:v>
                </c:pt>
                <c:pt idx="9">
                  <c:v>住房保障支出</c:v>
                </c:pt>
              </c:strCache>
            </c:strRef>
          </c:cat>
          <c:val>
            <c:numRef>
              <c:f>Sheet1!$B$2:$B$11</c:f>
              <c:numCache>
                <c:formatCode>0.00%</c:formatCode>
                <c:ptCount val="10"/>
                <c:pt idx="0">
                  <c:v>0.1001</c:v>
                </c:pt>
                <c:pt idx="1">
                  <c:v>0.53116</c:v>
                </c:pt>
                <c:pt idx="2">
                  <c:v>0.002</c:v>
                </c:pt>
                <c:pt idx="3">
                  <c:v>0.0587</c:v>
                </c:pt>
                <c:pt idx="4">
                  <c:v>0.0771</c:v>
                </c:pt>
                <c:pt idx="5">
                  <c:v>4e-5</c:v>
                </c:pt>
                <c:pt idx="6">
                  <c:v>0.0248</c:v>
                </c:pt>
                <c:pt idx="7">
                  <c:v>0.1088</c:v>
                </c:pt>
                <c:pt idx="8">
                  <c:v>0.0009</c:v>
                </c:pt>
                <c:pt idx="9">
                  <c:v>0.0964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1954506119421"/>
          <c:y val="0.212939921791681"/>
          <c:w val="0.274817653603659"/>
          <c:h val="0.6825453252755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经费财政拨款支出结构图                          万元</a:t>
            </a:r>
            <a:endParaRPr altLang="en-US"/>
          </a:p>
        </c:rich>
      </c:tx>
      <c:layout>
        <c:manualLayout>
          <c:xMode val="edge"/>
          <c:yMode val="edge"/>
          <c:x val="0.233193644141785"/>
          <c:y val="0.0195694716242661"/>
        </c:manualLayout>
      </c:layout>
      <c:overlay val="0"/>
      <c:spPr>
        <a:noFill/>
        <a:ln>
          <a:noFill/>
        </a:ln>
        <a:effectLst/>
      </c:spPr>
    </c:title>
    <c:autoTitleDeleted val="0"/>
    <c:plotArea>
      <c:layout>
        <c:manualLayout>
          <c:layoutTarget val="inner"/>
          <c:xMode val="edge"/>
          <c:yMode val="edge"/>
          <c:x val="0.140765765765766"/>
          <c:y val="0.21985494106981"/>
          <c:w val="0.379754754754755"/>
          <c:h val="0.687896645512239"/>
        </c:manualLayout>
      </c:layout>
      <c:pieChart>
        <c:varyColors val="1"/>
        <c:ser>
          <c:idx val="0"/>
          <c:order val="0"/>
          <c:tx>
            <c:strRef>
              <c:f>Sheet1!$B$1</c:f>
              <c:strCache>
                <c:ptCount val="1"/>
                <c:pt idx="0">
                  <c:v>收入</c:v>
                </c:pt>
              </c:strCache>
            </c:strRef>
          </c:tx>
          <c:spPr/>
          <c:explosion val="0"/>
          <c:dPt>
            <c:idx val="0"/>
            <c:bubble3D val="0"/>
            <c:spPr>
              <a:solidFill>
                <a:srgbClr val="FF000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00B0F0"/>
              </a:solidFill>
              <a:ln w="19050">
                <a:solidFill>
                  <a:schemeClr val="lt1"/>
                </a:solidFill>
              </a:ln>
              <a:effectLst/>
            </c:spPr>
          </c:dPt>
          <c:dLbls>
            <c:dLbl>
              <c:idx val="2"/>
              <c:layout>
                <c:manualLayout>
                  <c:x val="-0.05398499144249"/>
                  <c:y val="-0.10278638272915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9.73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因公出国（境）费用</c:v>
                </c:pt>
                <c:pt idx="1">
                  <c:v>公务用车购置及运行维护费</c:v>
                </c:pt>
                <c:pt idx="2">
                  <c:v>公务接待费</c:v>
                </c:pt>
              </c:strCache>
            </c:strRef>
          </c:cat>
          <c:val>
            <c:numRef>
              <c:f>Sheet1!$B$2:$B$4</c:f>
              <c:numCache>
                <c:formatCode>General</c:formatCode>
                <c:ptCount val="3"/>
                <c:pt idx="0">
                  <c:v>0</c:v>
                </c:pt>
                <c:pt idx="1">
                  <c:v>0</c:v>
                </c:pt>
                <c:pt idx="2">
                  <c:v>9.73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96204445788598"/>
          <c:y val="0.24901185770751"/>
          <c:w val="0.290488431876607"/>
          <c:h val="0.7086391869000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32</Pages>
  <Words>11391</Words>
  <Characters>12557</Characters>
  <Lines>61</Lines>
  <Paragraphs>17</Paragraphs>
  <TotalTime>13</TotalTime>
  <ScaleCrop>false</ScaleCrop>
  <LinksUpToDate>false</LinksUpToDate>
  <CharactersWithSpaces>12730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2022-10-21T03:27:39Z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E375399685714EF2B85289C6187DB163</vt:lpwstr>
  </property>
</Properties>
</file>