
<file path=[Content_Types].xml><?xml version="1.0" encoding="utf-8"?>
<Types xmlns="http://schemas.openxmlformats.org/package/2006/content-types">
  <Default Extension="xml" ContentType="application/xml"/>
  <Default Extension="xls" ContentType="application/vnd.ms-exce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方正小标宋简体" w:hAnsi="宋体" w:eastAsia="方正小标宋简体"/>
          <w:sz w:val="72"/>
          <w:szCs w:val="72"/>
        </w:rPr>
      </w:pPr>
      <w:bookmarkStart w:id="0" w:name="_Toc15396597"/>
      <w:bookmarkStart w:id="1" w:name="_Toc15396475"/>
      <w:bookmarkStart w:id="2" w:name="_Toc15378441"/>
      <w:bookmarkStart w:id="3" w:name="_Toc15377425"/>
      <w:bookmarkStart w:id="4" w:name="_Toc15377193"/>
      <w:bookmarkStart w:id="5" w:name="_Toc15306267"/>
    </w:p>
    <w:p>
      <w:pPr>
        <w:spacing w:line="600" w:lineRule="exact"/>
        <w:jc w:val="center"/>
        <w:rPr>
          <w:rFonts w:ascii="方正小标宋简体" w:hAnsi="宋体" w:eastAsia="方正小标宋简体"/>
          <w:sz w:val="72"/>
          <w:szCs w:val="72"/>
        </w:rPr>
      </w:pPr>
    </w:p>
    <w:p>
      <w:pPr>
        <w:spacing w:line="600" w:lineRule="exact"/>
        <w:jc w:val="center"/>
        <w:rPr>
          <w:rFonts w:ascii="方正小标宋简体" w:hAnsi="宋体" w:eastAsia="方正小标宋简体"/>
          <w:sz w:val="72"/>
          <w:szCs w:val="72"/>
        </w:rPr>
      </w:pPr>
    </w:p>
    <w:p>
      <w:pPr>
        <w:spacing w:line="600" w:lineRule="exact"/>
        <w:jc w:val="center"/>
        <w:rPr>
          <w:rFonts w:ascii="方正小标宋简体" w:hAnsi="宋体" w:eastAsia="方正小标宋简体"/>
          <w:sz w:val="72"/>
          <w:szCs w:val="72"/>
        </w:rPr>
      </w:pPr>
    </w:p>
    <w:p>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6" w:name="_Toc14748"/>
      <w:r>
        <w:rPr>
          <w:rFonts w:hint="eastAsia" w:ascii="方正小标宋简体" w:hAnsi="方正小标宋简体" w:eastAsia="方正小标宋简体" w:cs="方正小标宋简体"/>
          <w:sz w:val="72"/>
          <w:szCs w:val="72"/>
        </w:rPr>
        <w:t>2021年度</w:t>
      </w:r>
      <w:bookmarkEnd w:id="0"/>
      <w:bookmarkEnd w:id="1"/>
      <w:bookmarkEnd w:id="2"/>
      <w:bookmarkEnd w:id="3"/>
      <w:bookmarkEnd w:id="4"/>
      <w:bookmarkEnd w:id="5"/>
      <w:bookmarkEnd w:id="6"/>
    </w:p>
    <w:p>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7" w:name="_Toc15396476"/>
      <w:bookmarkStart w:id="8" w:name="_Toc15377194"/>
      <w:bookmarkStart w:id="9" w:name="_Toc15378442"/>
      <w:bookmarkStart w:id="10" w:name="_Toc15306268"/>
      <w:bookmarkStart w:id="11" w:name="_Toc15396598"/>
      <w:bookmarkStart w:id="12" w:name="_Toc15377426"/>
      <w:bookmarkStart w:id="13" w:name="_Toc24365"/>
      <w:r>
        <w:rPr>
          <w:rFonts w:hint="eastAsia" w:ascii="方正小标宋简体" w:hAnsi="方正小标宋简体" w:eastAsia="方正小标宋简体" w:cs="方正小标宋简体"/>
          <w:sz w:val="72"/>
          <w:szCs w:val="72"/>
        </w:rPr>
        <w:t>四川省通江县行政审批局部门决算</w:t>
      </w:r>
      <w:bookmarkEnd w:id="7"/>
      <w:bookmarkEnd w:id="8"/>
      <w:bookmarkEnd w:id="9"/>
      <w:bookmarkEnd w:id="10"/>
      <w:bookmarkEnd w:id="11"/>
      <w:bookmarkEnd w:id="12"/>
      <w:bookmarkEnd w:id="13"/>
    </w:p>
    <w:p>
      <w:pPr>
        <w:widowControl/>
        <w:jc w:val="center"/>
        <w:rPr>
          <w:rFonts w:ascii="黑体" w:hAnsi="黑体" w:eastAsia="黑体"/>
          <w:sz w:val="48"/>
          <w:szCs w:val="4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425" w:num="1"/>
          <w:titlePg/>
          <w:docGrid w:type="lines" w:linePitch="312" w:charSpace="0"/>
        </w:sectPr>
      </w:pPr>
    </w:p>
    <w:p>
      <w:pPr>
        <w:widowControl/>
        <w:jc w:val="center"/>
        <w:rPr>
          <w:rFonts w:ascii="黑体" w:hAnsi="黑体" w:eastAsia="黑体"/>
          <w:sz w:val="48"/>
          <w:szCs w:val="48"/>
        </w:rPr>
      </w:pPr>
      <w:r>
        <w:rPr>
          <w:rFonts w:hint="eastAsia" w:ascii="黑体" w:hAnsi="黑体" w:eastAsia="黑体"/>
          <w:sz w:val="48"/>
          <w:szCs w:val="48"/>
        </w:rPr>
        <w:t>目录</w:t>
      </w:r>
    </w:p>
    <w:p>
      <w:pPr>
        <w:widowControl/>
        <w:jc w:val="center"/>
        <w:rPr>
          <w:rFonts w:ascii="黑体" w:hAnsi="黑体" w:eastAsia="黑体" w:cstheme="minorBidi"/>
          <w:sz w:val="28"/>
          <w:szCs w:val="28"/>
        </w:rPr>
      </w:pPr>
    </w:p>
    <w:p>
      <w:pPr>
        <w:pStyle w:val="17"/>
      </w:pPr>
      <w:r>
        <w:rPr>
          <w:rFonts w:hint="eastAsia"/>
        </w:rPr>
        <w:t>公开时间：2022年8月25日</w:t>
      </w:r>
    </w:p>
    <w:p/>
    <w:sdt>
      <w:sdtPr>
        <w:rPr>
          <w:rFonts w:ascii="宋体" w:hAnsi="宋体"/>
        </w:rPr>
        <w:id w:val="147483298"/>
        <w:docPartObj>
          <w:docPartGallery w:val="Table of Contents"/>
          <w:docPartUnique/>
        </w:docPartObj>
      </w:sdtPr>
      <w:sdtEndPr>
        <w:rPr>
          <w:rFonts w:ascii="宋体" w:hAnsi="宋体"/>
          <w:b/>
        </w:rPr>
      </w:sdtEndPr>
      <w:sdtContent>
        <w:p>
          <w:pPr>
            <w:jc w:val="center"/>
          </w:pPr>
          <w:bookmarkStart w:id="14" w:name="_Toc15396599"/>
        </w:p>
        <w:p>
          <w:pPr>
            <w:pStyle w:val="40"/>
            <w:tabs>
              <w:tab w:val="right" w:leader="dot" w:pos="8306"/>
            </w:tabs>
            <w:rPr>
              <w:b/>
            </w:rPr>
          </w:pPr>
          <w:r>
            <w:fldChar w:fldCharType="begin"/>
          </w:r>
          <w:r>
            <w:instrText xml:space="preserve">TOC \o "1-2" \h \u</w:instrText>
          </w:r>
          <w:r>
            <w:fldChar w:fldCharType="separate"/>
          </w:r>
          <w:r>
            <w:fldChar w:fldCharType="begin"/>
          </w:r>
          <w:r>
            <w:instrText xml:space="preserve"> HYPERLINK \l "_Toc31886" </w:instrText>
          </w:r>
          <w:r>
            <w:fldChar w:fldCharType="separate"/>
          </w:r>
          <w:r>
            <w:rPr>
              <w:rFonts w:hint="eastAsia" w:ascii="黑体" w:hAnsi="黑体" w:eastAsia="黑体"/>
              <w:b/>
            </w:rPr>
            <w:t>第一部分 部门概况</w:t>
          </w:r>
          <w:r>
            <w:rPr>
              <w:b/>
            </w:rPr>
            <w:tab/>
          </w:r>
          <w:r>
            <w:rPr>
              <w:b/>
            </w:rPr>
            <w:fldChar w:fldCharType="begin"/>
          </w:r>
          <w:r>
            <w:rPr>
              <w:b/>
            </w:rPr>
            <w:instrText xml:space="preserve"> PAGEREF _Toc31886 </w:instrText>
          </w:r>
          <w:r>
            <w:rPr>
              <w:b/>
            </w:rPr>
            <w:fldChar w:fldCharType="separate"/>
          </w:r>
          <w:r>
            <w:rPr>
              <w:b/>
            </w:rPr>
            <w:t>1</w:t>
          </w:r>
          <w:r>
            <w:rPr>
              <w:b/>
            </w:rPr>
            <w:fldChar w:fldCharType="end"/>
          </w:r>
          <w:r>
            <w:rPr>
              <w:b/>
            </w:rPr>
            <w:fldChar w:fldCharType="end"/>
          </w:r>
        </w:p>
        <w:p>
          <w:pPr>
            <w:pStyle w:val="41"/>
            <w:tabs>
              <w:tab w:val="right" w:leader="dot" w:pos="8306"/>
            </w:tabs>
            <w:ind w:left="420"/>
          </w:pPr>
          <w:r>
            <w:fldChar w:fldCharType="begin"/>
          </w:r>
          <w:r>
            <w:instrText xml:space="preserve"> HYPERLINK \l "_Toc10274" </w:instrText>
          </w:r>
          <w:r>
            <w:fldChar w:fldCharType="separate"/>
          </w:r>
          <w:r>
            <w:rPr>
              <w:rFonts w:hint="eastAsia" w:ascii="黑体" w:hAnsi="黑体" w:eastAsia="黑体"/>
            </w:rPr>
            <w:t>一、基本职能及主要工作</w:t>
          </w:r>
          <w:r>
            <w:tab/>
          </w:r>
          <w:r>
            <w:fldChar w:fldCharType="begin"/>
          </w:r>
          <w:r>
            <w:instrText xml:space="preserve"> PAGEREF _Toc10274 </w:instrText>
          </w:r>
          <w:r>
            <w:fldChar w:fldCharType="separate"/>
          </w:r>
          <w:r>
            <w:t>1</w:t>
          </w:r>
          <w:r>
            <w:fldChar w:fldCharType="end"/>
          </w:r>
          <w:r>
            <w:fldChar w:fldCharType="end"/>
          </w:r>
        </w:p>
        <w:p>
          <w:pPr>
            <w:pStyle w:val="41"/>
            <w:tabs>
              <w:tab w:val="right" w:leader="dot" w:pos="8306"/>
            </w:tabs>
            <w:ind w:left="420"/>
          </w:pPr>
          <w:r>
            <w:fldChar w:fldCharType="begin"/>
          </w:r>
          <w:r>
            <w:instrText xml:space="preserve"> HYPERLINK \l "_Toc20589" </w:instrText>
          </w:r>
          <w:r>
            <w:fldChar w:fldCharType="separate"/>
          </w:r>
          <w:r>
            <w:rPr>
              <w:rFonts w:hint="eastAsia" w:ascii="黑体" w:eastAsia="黑体"/>
            </w:rPr>
            <w:t>二、</w:t>
          </w:r>
          <w:r>
            <w:rPr>
              <w:rFonts w:hint="eastAsia" w:ascii="黑体" w:hAnsi="黑体" w:eastAsia="黑体"/>
            </w:rPr>
            <w:t>机构设置</w:t>
          </w:r>
          <w:r>
            <w:tab/>
          </w:r>
          <w:r>
            <w:fldChar w:fldCharType="begin"/>
          </w:r>
          <w:r>
            <w:instrText xml:space="preserve"> PAGEREF _Toc20589 </w:instrText>
          </w:r>
          <w:r>
            <w:fldChar w:fldCharType="separate"/>
          </w:r>
          <w:r>
            <w:t>3</w:t>
          </w:r>
          <w:r>
            <w:fldChar w:fldCharType="end"/>
          </w:r>
          <w:r>
            <w:fldChar w:fldCharType="end"/>
          </w:r>
        </w:p>
        <w:p>
          <w:pPr>
            <w:pStyle w:val="40"/>
            <w:tabs>
              <w:tab w:val="right" w:leader="dot" w:pos="8306"/>
            </w:tabs>
            <w:rPr>
              <w:b/>
            </w:rPr>
          </w:pPr>
          <w:r>
            <w:fldChar w:fldCharType="begin"/>
          </w:r>
          <w:r>
            <w:instrText xml:space="preserve"> HYPERLINK \l "_Toc29667" </w:instrText>
          </w:r>
          <w:r>
            <w:fldChar w:fldCharType="separate"/>
          </w:r>
          <w:r>
            <w:rPr>
              <w:rFonts w:hint="eastAsia" w:ascii="黑体" w:hAnsi="黑体" w:eastAsia="黑体"/>
              <w:b/>
              <w:bCs/>
            </w:rPr>
            <w:t>第二部分 2021年度部门决算情况说明</w:t>
          </w:r>
          <w:r>
            <w:rPr>
              <w:b/>
            </w:rPr>
            <w:tab/>
          </w:r>
          <w:r>
            <w:rPr>
              <w:b/>
            </w:rPr>
            <w:fldChar w:fldCharType="begin"/>
          </w:r>
          <w:r>
            <w:rPr>
              <w:b/>
            </w:rPr>
            <w:instrText xml:space="preserve"> PAGEREF _Toc29667 </w:instrText>
          </w:r>
          <w:r>
            <w:rPr>
              <w:b/>
            </w:rPr>
            <w:fldChar w:fldCharType="separate"/>
          </w:r>
          <w:r>
            <w:rPr>
              <w:b/>
            </w:rPr>
            <w:t>4</w:t>
          </w:r>
          <w:r>
            <w:rPr>
              <w:b/>
            </w:rPr>
            <w:fldChar w:fldCharType="end"/>
          </w:r>
          <w:r>
            <w:rPr>
              <w:b/>
            </w:rPr>
            <w:fldChar w:fldCharType="end"/>
          </w:r>
        </w:p>
        <w:p>
          <w:pPr>
            <w:pStyle w:val="41"/>
            <w:tabs>
              <w:tab w:val="right" w:leader="dot" w:pos="8306"/>
            </w:tabs>
            <w:ind w:left="420"/>
          </w:pPr>
          <w:r>
            <w:fldChar w:fldCharType="begin"/>
          </w:r>
          <w:r>
            <w:instrText xml:space="preserve"> HYPERLINK \l "_Toc7216" </w:instrText>
          </w:r>
          <w:r>
            <w:fldChar w:fldCharType="separate"/>
          </w:r>
          <w:r>
            <w:rPr>
              <w:rFonts w:hint="eastAsia" w:ascii="黑体" w:hAnsi="黑体" w:eastAsia="黑体"/>
              <w:szCs w:val="32"/>
            </w:rPr>
            <w:t>一、收</w:t>
          </w:r>
          <w:r>
            <w:rPr>
              <w:rFonts w:hint="eastAsia" w:ascii="黑体" w:hAnsi="黑体" w:eastAsia="黑体"/>
            </w:rPr>
            <w:t>入支出决算总体情况说明</w:t>
          </w:r>
          <w:r>
            <w:tab/>
          </w:r>
          <w:r>
            <w:fldChar w:fldCharType="begin"/>
          </w:r>
          <w:r>
            <w:instrText xml:space="preserve"> PAGEREF _Toc7216 </w:instrText>
          </w:r>
          <w:r>
            <w:fldChar w:fldCharType="separate"/>
          </w:r>
          <w:r>
            <w:t>4</w:t>
          </w:r>
          <w:r>
            <w:fldChar w:fldCharType="end"/>
          </w:r>
          <w:r>
            <w:fldChar w:fldCharType="end"/>
          </w:r>
        </w:p>
        <w:p>
          <w:pPr>
            <w:pStyle w:val="41"/>
            <w:tabs>
              <w:tab w:val="right" w:leader="dot" w:pos="8306"/>
            </w:tabs>
            <w:ind w:left="420"/>
          </w:pPr>
          <w:r>
            <w:fldChar w:fldCharType="begin"/>
          </w:r>
          <w:r>
            <w:instrText xml:space="preserve"> HYPERLINK \l "_Toc29744" </w:instrText>
          </w:r>
          <w:r>
            <w:fldChar w:fldCharType="separate"/>
          </w:r>
          <w:r>
            <w:rPr>
              <w:rFonts w:hint="eastAsia" w:ascii="黑体" w:hAnsi="黑体" w:eastAsia="黑体"/>
            </w:rPr>
            <w:t>二、收入决算情况说明</w:t>
          </w:r>
          <w:r>
            <w:tab/>
          </w:r>
          <w:r>
            <w:fldChar w:fldCharType="begin"/>
          </w:r>
          <w:r>
            <w:instrText xml:space="preserve"> PAGEREF _Toc29744 </w:instrText>
          </w:r>
          <w:r>
            <w:fldChar w:fldCharType="separate"/>
          </w:r>
          <w:r>
            <w:t>4</w:t>
          </w:r>
          <w:r>
            <w:fldChar w:fldCharType="end"/>
          </w:r>
          <w:r>
            <w:fldChar w:fldCharType="end"/>
          </w:r>
        </w:p>
        <w:p>
          <w:pPr>
            <w:pStyle w:val="41"/>
            <w:tabs>
              <w:tab w:val="right" w:leader="dot" w:pos="8306"/>
            </w:tabs>
            <w:ind w:left="420"/>
          </w:pPr>
          <w:r>
            <w:fldChar w:fldCharType="begin"/>
          </w:r>
          <w:r>
            <w:instrText xml:space="preserve"> HYPERLINK \l "_Toc22595" </w:instrText>
          </w:r>
          <w:r>
            <w:fldChar w:fldCharType="separate"/>
          </w:r>
          <w:r>
            <w:rPr>
              <w:rFonts w:hint="eastAsia" w:ascii="黑体" w:hAnsi="黑体" w:eastAsia="黑体"/>
              <w:szCs w:val="32"/>
            </w:rPr>
            <w:t>三、支出</w:t>
          </w:r>
          <w:r>
            <w:rPr>
              <w:rFonts w:hint="eastAsia" w:ascii="黑体" w:hAnsi="黑体" w:eastAsia="黑体"/>
            </w:rPr>
            <w:t>决算情况说明</w:t>
          </w:r>
          <w:r>
            <w:tab/>
          </w:r>
          <w:r>
            <w:fldChar w:fldCharType="begin"/>
          </w:r>
          <w:r>
            <w:instrText xml:space="preserve"> PAGEREF _Toc22595 </w:instrText>
          </w:r>
          <w:r>
            <w:fldChar w:fldCharType="separate"/>
          </w:r>
          <w:r>
            <w:t>5</w:t>
          </w:r>
          <w:r>
            <w:fldChar w:fldCharType="end"/>
          </w:r>
          <w:r>
            <w:fldChar w:fldCharType="end"/>
          </w:r>
        </w:p>
        <w:p>
          <w:pPr>
            <w:pStyle w:val="41"/>
            <w:tabs>
              <w:tab w:val="right" w:leader="dot" w:pos="8306"/>
            </w:tabs>
            <w:ind w:left="420"/>
          </w:pPr>
          <w:r>
            <w:fldChar w:fldCharType="begin"/>
          </w:r>
          <w:r>
            <w:instrText xml:space="preserve"> HYPERLINK \l "_Toc21400" </w:instrText>
          </w:r>
          <w:r>
            <w:fldChar w:fldCharType="separate"/>
          </w:r>
          <w:r>
            <w:rPr>
              <w:rFonts w:hint="eastAsia" w:ascii="黑体" w:hAnsi="黑体" w:eastAsia="黑体"/>
              <w:szCs w:val="32"/>
            </w:rPr>
            <w:t>四、财</w:t>
          </w:r>
          <w:r>
            <w:rPr>
              <w:rFonts w:hint="eastAsia" w:ascii="黑体" w:hAnsi="黑体" w:eastAsia="黑体"/>
            </w:rPr>
            <w:t>政拨款收入支出决算总体情况说明</w:t>
          </w:r>
          <w:r>
            <w:tab/>
          </w:r>
          <w:r>
            <w:fldChar w:fldCharType="begin"/>
          </w:r>
          <w:r>
            <w:instrText xml:space="preserve"> PAGEREF _Toc21400 </w:instrText>
          </w:r>
          <w:r>
            <w:fldChar w:fldCharType="separate"/>
          </w:r>
          <w:r>
            <w:t>6</w:t>
          </w:r>
          <w:r>
            <w:fldChar w:fldCharType="end"/>
          </w:r>
          <w:r>
            <w:fldChar w:fldCharType="end"/>
          </w:r>
        </w:p>
        <w:p>
          <w:pPr>
            <w:pStyle w:val="41"/>
            <w:tabs>
              <w:tab w:val="right" w:leader="dot" w:pos="8306"/>
            </w:tabs>
            <w:ind w:left="420"/>
          </w:pPr>
          <w:r>
            <w:fldChar w:fldCharType="begin"/>
          </w:r>
          <w:r>
            <w:instrText xml:space="preserve"> HYPERLINK \l "_Toc20291" </w:instrText>
          </w:r>
          <w:r>
            <w:fldChar w:fldCharType="separate"/>
          </w:r>
          <w:r>
            <w:rPr>
              <w:rFonts w:hint="eastAsia" w:ascii="黑体" w:hAnsi="黑体" w:eastAsia="黑体"/>
              <w:szCs w:val="32"/>
            </w:rPr>
            <w:t>五、一</w:t>
          </w:r>
          <w:r>
            <w:rPr>
              <w:rFonts w:hint="eastAsia" w:ascii="黑体" w:hAnsi="黑体" w:eastAsia="黑体"/>
            </w:rPr>
            <w:t>般公共预算财政拨款支出决算情况说明</w:t>
          </w:r>
          <w:r>
            <w:tab/>
          </w:r>
          <w:r>
            <w:fldChar w:fldCharType="begin"/>
          </w:r>
          <w:r>
            <w:instrText xml:space="preserve"> PAGEREF _Toc20291 </w:instrText>
          </w:r>
          <w:r>
            <w:fldChar w:fldCharType="separate"/>
          </w:r>
          <w:r>
            <w:t>6</w:t>
          </w:r>
          <w:r>
            <w:fldChar w:fldCharType="end"/>
          </w:r>
          <w:r>
            <w:fldChar w:fldCharType="end"/>
          </w:r>
        </w:p>
        <w:p>
          <w:pPr>
            <w:pStyle w:val="41"/>
            <w:tabs>
              <w:tab w:val="right" w:leader="dot" w:pos="8306"/>
            </w:tabs>
            <w:ind w:left="420"/>
          </w:pPr>
          <w:r>
            <w:fldChar w:fldCharType="begin"/>
          </w:r>
          <w:r>
            <w:instrText xml:space="preserve"> HYPERLINK \l "_Toc13376" </w:instrText>
          </w:r>
          <w:r>
            <w:fldChar w:fldCharType="separate"/>
          </w:r>
          <w:r>
            <w:rPr>
              <w:rFonts w:hint="eastAsia" w:ascii="黑体" w:eastAsia="黑体"/>
              <w:szCs w:val="32"/>
            </w:rPr>
            <w:t>六、</w:t>
          </w:r>
          <w:r>
            <w:rPr>
              <w:rFonts w:hint="eastAsia" w:ascii="黑体" w:hAnsi="黑体" w:eastAsia="黑体"/>
              <w:szCs w:val="32"/>
            </w:rPr>
            <w:t>一</w:t>
          </w:r>
          <w:r>
            <w:rPr>
              <w:rFonts w:hint="eastAsia" w:ascii="黑体" w:hAnsi="黑体" w:eastAsia="黑体"/>
            </w:rPr>
            <w:t>般公共预算财政拨款基本支出决算情况说明</w:t>
          </w:r>
          <w:r>
            <w:tab/>
          </w:r>
          <w:r>
            <w:fldChar w:fldCharType="begin"/>
          </w:r>
          <w:r>
            <w:instrText xml:space="preserve"> PAGEREF _Toc13376 </w:instrText>
          </w:r>
          <w:r>
            <w:fldChar w:fldCharType="separate"/>
          </w:r>
          <w:r>
            <w:t>9</w:t>
          </w:r>
          <w:r>
            <w:fldChar w:fldCharType="end"/>
          </w:r>
          <w:r>
            <w:fldChar w:fldCharType="end"/>
          </w:r>
        </w:p>
        <w:p>
          <w:pPr>
            <w:pStyle w:val="41"/>
            <w:tabs>
              <w:tab w:val="right" w:leader="dot" w:pos="8306"/>
            </w:tabs>
            <w:ind w:left="420"/>
          </w:pPr>
          <w:r>
            <w:fldChar w:fldCharType="begin"/>
          </w:r>
          <w:r>
            <w:instrText xml:space="preserve"> HYPERLINK \l "_Toc25342" </w:instrText>
          </w:r>
          <w:r>
            <w:fldChar w:fldCharType="separate"/>
          </w:r>
          <w:r>
            <w:rPr>
              <w:rFonts w:hint="eastAsia" w:ascii="黑体" w:eastAsia="黑体"/>
              <w:szCs w:val="32"/>
            </w:rPr>
            <w:t>七、</w:t>
          </w:r>
          <w:r>
            <w:rPr>
              <w:rFonts w:hint="eastAsia" w:ascii="黑体" w:hAnsi="黑体" w:eastAsia="黑体"/>
            </w:rPr>
            <w:t>“三公”经费财政拨款支出决算情况说明</w:t>
          </w:r>
          <w:r>
            <w:tab/>
          </w:r>
          <w:r>
            <w:fldChar w:fldCharType="begin"/>
          </w:r>
          <w:r>
            <w:instrText xml:space="preserve"> PAGEREF _Toc25342 </w:instrText>
          </w:r>
          <w:r>
            <w:fldChar w:fldCharType="separate"/>
          </w:r>
          <w:r>
            <w:t>9</w:t>
          </w:r>
          <w:r>
            <w:fldChar w:fldCharType="end"/>
          </w:r>
          <w:r>
            <w:fldChar w:fldCharType="end"/>
          </w:r>
        </w:p>
        <w:p>
          <w:pPr>
            <w:pStyle w:val="41"/>
            <w:tabs>
              <w:tab w:val="right" w:leader="dot" w:pos="8306"/>
            </w:tabs>
            <w:ind w:left="420"/>
          </w:pPr>
          <w:r>
            <w:fldChar w:fldCharType="begin"/>
          </w:r>
          <w:r>
            <w:instrText xml:space="preserve"> HYPERLINK \l "_Toc19599" </w:instrText>
          </w:r>
          <w:r>
            <w:fldChar w:fldCharType="separate"/>
          </w:r>
          <w:r>
            <w:rPr>
              <w:rFonts w:hint="eastAsia" w:ascii="黑体" w:eastAsia="黑体"/>
              <w:szCs w:val="32"/>
            </w:rPr>
            <w:t>八、</w:t>
          </w:r>
          <w:r>
            <w:rPr>
              <w:rFonts w:hint="eastAsia" w:ascii="黑体" w:hAnsi="黑体" w:eastAsia="黑体"/>
            </w:rPr>
            <w:t>政府性基金预算支出决算情况说明</w:t>
          </w:r>
          <w:r>
            <w:tab/>
          </w:r>
          <w:r>
            <w:fldChar w:fldCharType="begin"/>
          </w:r>
          <w:r>
            <w:instrText xml:space="preserve"> PAGEREF _Toc19599 </w:instrText>
          </w:r>
          <w:r>
            <w:fldChar w:fldCharType="separate"/>
          </w:r>
          <w:r>
            <w:t>11</w:t>
          </w:r>
          <w:r>
            <w:fldChar w:fldCharType="end"/>
          </w:r>
          <w:r>
            <w:fldChar w:fldCharType="end"/>
          </w:r>
        </w:p>
        <w:p>
          <w:pPr>
            <w:pStyle w:val="41"/>
            <w:tabs>
              <w:tab w:val="right" w:leader="dot" w:pos="8306"/>
            </w:tabs>
            <w:ind w:left="420"/>
          </w:pPr>
          <w:r>
            <w:fldChar w:fldCharType="begin"/>
          </w:r>
          <w:r>
            <w:instrText xml:space="preserve"> HYPERLINK \l "_Toc16811" </w:instrText>
          </w:r>
          <w:r>
            <w:fldChar w:fldCharType="separate"/>
          </w:r>
          <w:r>
            <w:rPr>
              <w:rFonts w:hint="eastAsia" w:ascii="黑体" w:hAnsi="黑体" w:eastAsia="黑体"/>
            </w:rPr>
            <w:t>九、 国有资本经营预算支出决算情况说明</w:t>
          </w:r>
          <w:r>
            <w:tab/>
          </w:r>
          <w:r>
            <w:fldChar w:fldCharType="begin"/>
          </w:r>
          <w:r>
            <w:instrText xml:space="preserve"> PAGEREF _Toc16811 </w:instrText>
          </w:r>
          <w:r>
            <w:fldChar w:fldCharType="separate"/>
          </w:r>
          <w:r>
            <w:t>11</w:t>
          </w:r>
          <w:r>
            <w:fldChar w:fldCharType="end"/>
          </w:r>
          <w:r>
            <w:fldChar w:fldCharType="end"/>
          </w:r>
        </w:p>
        <w:p>
          <w:pPr>
            <w:pStyle w:val="41"/>
            <w:tabs>
              <w:tab w:val="right" w:leader="dot" w:pos="8306"/>
            </w:tabs>
            <w:ind w:left="420"/>
          </w:pPr>
          <w:r>
            <w:fldChar w:fldCharType="begin"/>
          </w:r>
          <w:r>
            <w:instrText xml:space="preserve"> HYPERLINK \l "_Toc21339" </w:instrText>
          </w:r>
          <w:r>
            <w:fldChar w:fldCharType="separate"/>
          </w:r>
          <w:r>
            <w:rPr>
              <w:rFonts w:hint="eastAsia" w:ascii="黑体" w:hAnsi="黑体" w:eastAsia="黑体"/>
            </w:rPr>
            <w:t>十、 其他重要事项的情况说明</w:t>
          </w:r>
          <w:r>
            <w:tab/>
          </w:r>
          <w:r>
            <w:fldChar w:fldCharType="begin"/>
          </w:r>
          <w:r>
            <w:instrText xml:space="preserve"> PAGEREF _Toc21339 </w:instrText>
          </w:r>
          <w:r>
            <w:fldChar w:fldCharType="separate"/>
          </w:r>
          <w:r>
            <w:t>11</w:t>
          </w:r>
          <w:r>
            <w:fldChar w:fldCharType="end"/>
          </w:r>
          <w:r>
            <w:fldChar w:fldCharType="end"/>
          </w:r>
        </w:p>
        <w:p>
          <w:pPr>
            <w:pStyle w:val="40"/>
            <w:tabs>
              <w:tab w:val="right" w:leader="dot" w:pos="8306"/>
            </w:tabs>
            <w:rPr>
              <w:b/>
            </w:rPr>
          </w:pPr>
          <w:r>
            <w:fldChar w:fldCharType="begin"/>
          </w:r>
          <w:r>
            <w:instrText xml:space="preserve"> HYPERLINK \l "_Toc30704" </w:instrText>
          </w:r>
          <w:r>
            <w:fldChar w:fldCharType="separate"/>
          </w:r>
          <w:r>
            <w:rPr>
              <w:rFonts w:hint="eastAsia" w:ascii="黑体" w:hAnsi="黑体" w:eastAsia="黑体"/>
              <w:b/>
            </w:rPr>
            <w:t xml:space="preserve">第三部分 </w:t>
          </w:r>
          <w:r>
            <w:rPr>
              <w:rFonts w:hint="eastAsia" w:ascii="黑体" w:hAnsi="黑体" w:eastAsia="黑体"/>
              <w:b/>
              <w:szCs w:val="44"/>
            </w:rPr>
            <w:t>名</w:t>
          </w:r>
          <w:r>
            <w:rPr>
              <w:rFonts w:hint="eastAsia" w:ascii="黑体" w:hAnsi="黑体" w:eastAsia="黑体"/>
              <w:b/>
            </w:rPr>
            <w:t>词解释</w:t>
          </w:r>
          <w:r>
            <w:rPr>
              <w:b/>
            </w:rPr>
            <w:tab/>
          </w:r>
          <w:r>
            <w:rPr>
              <w:b/>
            </w:rPr>
            <w:fldChar w:fldCharType="begin"/>
          </w:r>
          <w:r>
            <w:rPr>
              <w:b/>
            </w:rPr>
            <w:instrText xml:space="preserve"> PAGEREF _Toc30704 </w:instrText>
          </w:r>
          <w:r>
            <w:rPr>
              <w:b/>
            </w:rPr>
            <w:fldChar w:fldCharType="separate"/>
          </w:r>
          <w:r>
            <w:rPr>
              <w:b/>
            </w:rPr>
            <w:t>13</w:t>
          </w:r>
          <w:r>
            <w:rPr>
              <w:b/>
            </w:rPr>
            <w:fldChar w:fldCharType="end"/>
          </w:r>
          <w:r>
            <w:rPr>
              <w:b/>
            </w:rPr>
            <w:fldChar w:fldCharType="end"/>
          </w:r>
        </w:p>
        <w:p>
          <w:pPr>
            <w:pStyle w:val="40"/>
            <w:tabs>
              <w:tab w:val="right" w:leader="dot" w:pos="8306"/>
            </w:tabs>
            <w:rPr>
              <w:b/>
            </w:rPr>
          </w:pPr>
          <w:r>
            <w:fldChar w:fldCharType="begin"/>
          </w:r>
          <w:r>
            <w:instrText xml:space="preserve"> HYPERLINK \l "_Toc14129" </w:instrText>
          </w:r>
          <w:r>
            <w:fldChar w:fldCharType="separate"/>
          </w:r>
          <w:r>
            <w:rPr>
              <w:rFonts w:hint="eastAsia" w:ascii="黑体" w:hAnsi="黑体" w:eastAsia="黑体"/>
              <w:b/>
              <w:szCs w:val="44"/>
            </w:rPr>
            <w:t>第</w:t>
          </w:r>
          <w:r>
            <w:rPr>
              <w:rFonts w:hint="eastAsia" w:ascii="黑体" w:hAnsi="黑体" w:eastAsia="黑体"/>
              <w:b/>
            </w:rPr>
            <w:t xml:space="preserve">四部分 </w:t>
          </w:r>
          <w:r>
            <w:rPr>
              <w:rFonts w:hint="eastAsia" w:ascii="黑体" w:hAnsi="黑体" w:eastAsia="黑体"/>
              <w:b/>
              <w:u w:val="none" w:color="000000"/>
              <w:shd w:val="clear" w:fill="auto"/>
            </w:rPr>
            <w:t>附件</w:t>
          </w:r>
          <w:r>
            <w:rPr>
              <w:b/>
            </w:rPr>
            <w:tab/>
          </w:r>
          <w:r>
            <w:rPr>
              <w:b/>
            </w:rPr>
            <w:fldChar w:fldCharType="begin"/>
          </w:r>
          <w:r>
            <w:rPr>
              <w:b/>
            </w:rPr>
            <w:instrText xml:space="preserve"> PAGEREF _Toc14129 </w:instrText>
          </w:r>
          <w:r>
            <w:rPr>
              <w:b/>
            </w:rPr>
            <w:fldChar w:fldCharType="separate"/>
          </w:r>
          <w:r>
            <w:rPr>
              <w:b/>
            </w:rPr>
            <w:t>15</w:t>
          </w:r>
          <w:r>
            <w:rPr>
              <w:b/>
            </w:rPr>
            <w:fldChar w:fldCharType="end"/>
          </w:r>
          <w:r>
            <w:rPr>
              <w:b/>
            </w:rPr>
            <w:fldChar w:fldCharType="end"/>
          </w:r>
        </w:p>
        <w:p>
          <w:pPr>
            <w:pStyle w:val="40"/>
            <w:tabs>
              <w:tab w:val="right" w:leader="dot" w:pos="8306"/>
            </w:tabs>
            <w:rPr>
              <w:b/>
            </w:rPr>
          </w:pPr>
          <w:r>
            <w:fldChar w:fldCharType="begin"/>
          </w:r>
          <w:r>
            <w:instrText xml:space="preserve"> HYPERLINK \l "_Toc1186" </w:instrText>
          </w:r>
          <w:r>
            <w:fldChar w:fldCharType="separate"/>
          </w:r>
          <w:r>
            <w:rPr>
              <w:rFonts w:hint="eastAsia" w:ascii="黑体" w:hAnsi="黑体" w:eastAsia="黑体" w:cs="黑体"/>
              <w:b/>
              <w:szCs w:val="32"/>
            </w:rPr>
            <w:t>附件</w:t>
          </w:r>
          <w:r>
            <w:rPr>
              <w:b/>
            </w:rPr>
            <w:tab/>
          </w:r>
          <w:r>
            <w:rPr>
              <w:b/>
            </w:rPr>
            <w:fldChar w:fldCharType="begin"/>
          </w:r>
          <w:r>
            <w:rPr>
              <w:b/>
            </w:rPr>
            <w:instrText xml:space="preserve"> PAGEREF _Toc1186 </w:instrText>
          </w:r>
          <w:r>
            <w:rPr>
              <w:b/>
            </w:rPr>
            <w:fldChar w:fldCharType="separate"/>
          </w:r>
          <w:r>
            <w:rPr>
              <w:b/>
            </w:rPr>
            <w:t>15</w:t>
          </w:r>
          <w:r>
            <w:rPr>
              <w:b/>
            </w:rPr>
            <w:fldChar w:fldCharType="end"/>
          </w:r>
          <w:r>
            <w:rPr>
              <w:b/>
            </w:rPr>
            <w:fldChar w:fldCharType="end"/>
          </w:r>
        </w:p>
        <w:p>
          <w:pPr>
            <w:pStyle w:val="40"/>
            <w:tabs>
              <w:tab w:val="right" w:leader="dot" w:pos="8306"/>
            </w:tabs>
            <w:rPr>
              <w:b/>
            </w:rPr>
          </w:pPr>
          <w:r>
            <w:fldChar w:fldCharType="begin"/>
          </w:r>
          <w:r>
            <w:instrText xml:space="preserve"> HYPERLINK \l "_Toc1058" </w:instrText>
          </w:r>
          <w:r>
            <w:fldChar w:fldCharType="separate"/>
          </w:r>
          <w:r>
            <w:rPr>
              <w:rFonts w:hint="eastAsia" w:ascii="黑体" w:hAnsi="黑体" w:eastAsia="黑体"/>
              <w:b/>
              <w:szCs w:val="44"/>
            </w:rPr>
            <w:t>第</w:t>
          </w:r>
          <w:r>
            <w:rPr>
              <w:rFonts w:hint="eastAsia" w:ascii="黑体" w:hAnsi="黑体" w:eastAsia="黑体"/>
              <w:b/>
            </w:rPr>
            <w:t>五部分 附表</w:t>
          </w:r>
          <w:r>
            <w:rPr>
              <w:b/>
            </w:rPr>
            <w:tab/>
          </w:r>
          <w:r>
            <w:rPr>
              <w:b/>
            </w:rPr>
            <w:fldChar w:fldCharType="begin"/>
          </w:r>
          <w:r>
            <w:rPr>
              <w:b/>
            </w:rPr>
            <w:instrText xml:space="preserve"> PAGEREF _Toc1058 </w:instrText>
          </w:r>
          <w:r>
            <w:rPr>
              <w:b/>
            </w:rPr>
            <w:fldChar w:fldCharType="separate"/>
          </w:r>
          <w:r>
            <w:rPr>
              <w:b/>
            </w:rPr>
            <w:t>24</w:t>
          </w:r>
          <w:r>
            <w:rPr>
              <w:b/>
            </w:rPr>
            <w:fldChar w:fldCharType="end"/>
          </w:r>
          <w:r>
            <w:rPr>
              <w:b/>
            </w:rPr>
            <w:fldChar w:fldCharType="end"/>
          </w:r>
        </w:p>
        <w:p>
          <w:pPr>
            <w:pStyle w:val="41"/>
            <w:tabs>
              <w:tab w:val="right" w:leader="dot" w:pos="8306"/>
            </w:tabs>
            <w:ind w:left="420"/>
          </w:pPr>
          <w:r>
            <w:fldChar w:fldCharType="begin"/>
          </w:r>
          <w:r>
            <w:instrText xml:space="preserve"> HYPERLINK \l "_Toc29139" </w:instrText>
          </w:r>
          <w:r>
            <w:fldChar w:fldCharType="separate"/>
          </w:r>
          <w:r>
            <w:rPr>
              <w:rFonts w:hint="eastAsia" w:ascii="仿宋" w:hAnsi="仿宋" w:eastAsia="仿宋"/>
            </w:rPr>
            <w:t>一、收入支出决算总表</w:t>
          </w:r>
          <w:r>
            <w:tab/>
          </w:r>
          <w:r>
            <w:fldChar w:fldCharType="begin"/>
          </w:r>
          <w:r>
            <w:instrText xml:space="preserve"> PAGEREF _Toc29139 </w:instrText>
          </w:r>
          <w:r>
            <w:fldChar w:fldCharType="separate"/>
          </w:r>
          <w:r>
            <w:t>24</w:t>
          </w:r>
          <w:r>
            <w:fldChar w:fldCharType="end"/>
          </w:r>
          <w:r>
            <w:fldChar w:fldCharType="end"/>
          </w:r>
        </w:p>
        <w:p>
          <w:pPr>
            <w:pStyle w:val="41"/>
            <w:tabs>
              <w:tab w:val="right" w:leader="dot" w:pos="8306"/>
            </w:tabs>
            <w:ind w:left="420"/>
          </w:pPr>
          <w:r>
            <w:fldChar w:fldCharType="begin"/>
          </w:r>
          <w:r>
            <w:instrText xml:space="preserve"> HYPERLINK \l "_Toc14624" </w:instrText>
          </w:r>
          <w:r>
            <w:fldChar w:fldCharType="separate"/>
          </w:r>
          <w:r>
            <w:rPr>
              <w:rFonts w:hint="eastAsia" w:ascii="仿宋" w:hAnsi="仿宋" w:eastAsia="仿宋"/>
            </w:rPr>
            <w:t>二、收入决算表</w:t>
          </w:r>
          <w:r>
            <w:tab/>
          </w:r>
          <w:r>
            <w:fldChar w:fldCharType="begin"/>
          </w:r>
          <w:r>
            <w:instrText xml:space="preserve"> PAGEREF _Toc14624 </w:instrText>
          </w:r>
          <w:r>
            <w:fldChar w:fldCharType="separate"/>
          </w:r>
          <w:r>
            <w:t>24</w:t>
          </w:r>
          <w:r>
            <w:fldChar w:fldCharType="end"/>
          </w:r>
          <w:r>
            <w:fldChar w:fldCharType="end"/>
          </w:r>
        </w:p>
        <w:p>
          <w:pPr>
            <w:pStyle w:val="41"/>
            <w:tabs>
              <w:tab w:val="right" w:leader="dot" w:pos="8306"/>
            </w:tabs>
            <w:ind w:left="420"/>
          </w:pPr>
          <w:r>
            <w:fldChar w:fldCharType="begin"/>
          </w:r>
          <w:r>
            <w:instrText xml:space="preserve"> HYPERLINK \l "_Toc29518" </w:instrText>
          </w:r>
          <w:r>
            <w:fldChar w:fldCharType="separate"/>
          </w:r>
          <w:r>
            <w:rPr>
              <w:rFonts w:hint="eastAsia" w:ascii="仿宋" w:hAnsi="仿宋" w:eastAsia="仿宋"/>
            </w:rPr>
            <w:t>三、支出决算表</w:t>
          </w:r>
          <w:r>
            <w:tab/>
          </w:r>
          <w:r>
            <w:fldChar w:fldCharType="begin"/>
          </w:r>
          <w:r>
            <w:instrText xml:space="preserve"> PAGEREF _Toc29518 </w:instrText>
          </w:r>
          <w:r>
            <w:fldChar w:fldCharType="separate"/>
          </w:r>
          <w:r>
            <w:t>24</w:t>
          </w:r>
          <w:r>
            <w:fldChar w:fldCharType="end"/>
          </w:r>
          <w:r>
            <w:fldChar w:fldCharType="end"/>
          </w:r>
        </w:p>
        <w:p>
          <w:pPr>
            <w:pStyle w:val="41"/>
            <w:tabs>
              <w:tab w:val="right" w:leader="dot" w:pos="8306"/>
            </w:tabs>
            <w:ind w:left="420"/>
          </w:pPr>
          <w:r>
            <w:fldChar w:fldCharType="begin"/>
          </w:r>
          <w:r>
            <w:instrText xml:space="preserve"> HYPERLINK \l "_Toc4343" </w:instrText>
          </w:r>
          <w:r>
            <w:fldChar w:fldCharType="separate"/>
          </w:r>
          <w:r>
            <w:rPr>
              <w:rFonts w:hint="eastAsia" w:ascii="仿宋" w:hAnsi="仿宋" w:eastAsia="仿宋"/>
            </w:rPr>
            <w:t>四、财政拨款收入支出决算总表</w:t>
          </w:r>
          <w:r>
            <w:tab/>
          </w:r>
          <w:r>
            <w:fldChar w:fldCharType="begin"/>
          </w:r>
          <w:r>
            <w:instrText xml:space="preserve"> PAGEREF _Toc4343 </w:instrText>
          </w:r>
          <w:r>
            <w:fldChar w:fldCharType="separate"/>
          </w:r>
          <w:r>
            <w:t>24</w:t>
          </w:r>
          <w:r>
            <w:fldChar w:fldCharType="end"/>
          </w:r>
          <w:r>
            <w:fldChar w:fldCharType="end"/>
          </w:r>
        </w:p>
        <w:p>
          <w:pPr>
            <w:pStyle w:val="41"/>
            <w:tabs>
              <w:tab w:val="right" w:leader="dot" w:pos="8306"/>
            </w:tabs>
            <w:ind w:left="420"/>
          </w:pPr>
          <w:r>
            <w:fldChar w:fldCharType="begin"/>
          </w:r>
          <w:r>
            <w:instrText xml:space="preserve"> HYPERLINK \l "_Toc7697" </w:instrText>
          </w:r>
          <w:r>
            <w:fldChar w:fldCharType="separate"/>
          </w:r>
          <w:r>
            <w:rPr>
              <w:rFonts w:hint="eastAsia" w:ascii="仿宋" w:hAnsi="仿宋" w:eastAsia="仿宋"/>
            </w:rPr>
            <w:t>五、财政拨款支出决算明细表</w:t>
          </w:r>
          <w:r>
            <w:tab/>
          </w:r>
          <w:r>
            <w:fldChar w:fldCharType="begin"/>
          </w:r>
          <w:r>
            <w:instrText xml:space="preserve"> PAGEREF _Toc7697 </w:instrText>
          </w:r>
          <w:r>
            <w:fldChar w:fldCharType="separate"/>
          </w:r>
          <w:r>
            <w:t>24</w:t>
          </w:r>
          <w:r>
            <w:fldChar w:fldCharType="end"/>
          </w:r>
          <w:r>
            <w:fldChar w:fldCharType="end"/>
          </w:r>
        </w:p>
        <w:p>
          <w:pPr>
            <w:pStyle w:val="41"/>
            <w:tabs>
              <w:tab w:val="right" w:leader="dot" w:pos="8306"/>
            </w:tabs>
            <w:ind w:left="420"/>
          </w:pPr>
          <w:r>
            <w:fldChar w:fldCharType="begin"/>
          </w:r>
          <w:r>
            <w:instrText xml:space="preserve"> HYPERLINK \l "_Toc9326" </w:instrText>
          </w:r>
          <w:r>
            <w:fldChar w:fldCharType="separate"/>
          </w:r>
          <w:r>
            <w:rPr>
              <w:rFonts w:hint="eastAsia" w:ascii="仿宋" w:hAnsi="仿宋" w:eastAsia="仿宋"/>
            </w:rPr>
            <w:t>六、一般公共预算财政拨款支出决算表</w:t>
          </w:r>
          <w:r>
            <w:tab/>
          </w:r>
          <w:r>
            <w:fldChar w:fldCharType="begin"/>
          </w:r>
          <w:r>
            <w:instrText xml:space="preserve"> PAGEREF _Toc9326 </w:instrText>
          </w:r>
          <w:r>
            <w:fldChar w:fldCharType="separate"/>
          </w:r>
          <w:r>
            <w:t>24</w:t>
          </w:r>
          <w:r>
            <w:fldChar w:fldCharType="end"/>
          </w:r>
          <w:r>
            <w:fldChar w:fldCharType="end"/>
          </w:r>
        </w:p>
        <w:p>
          <w:pPr>
            <w:pStyle w:val="41"/>
            <w:tabs>
              <w:tab w:val="right" w:leader="dot" w:pos="8306"/>
            </w:tabs>
            <w:ind w:left="420"/>
          </w:pPr>
          <w:r>
            <w:fldChar w:fldCharType="begin"/>
          </w:r>
          <w:r>
            <w:instrText xml:space="preserve"> HYPERLINK \l "_Toc10377" </w:instrText>
          </w:r>
          <w:r>
            <w:fldChar w:fldCharType="separate"/>
          </w:r>
          <w:r>
            <w:rPr>
              <w:rFonts w:hint="eastAsia" w:ascii="仿宋" w:hAnsi="仿宋" w:eastAsia="仿宋"/>
            </w:rPr>
            <w:t>七、一般公共预算财政拨款支出决算明细表</w:t>
          </w:r>
          <w:r>
            <w:tab/>
          </w:r>
          <w:r>
            <w:fldChar w:fldCharType="begin"/>
          </w:r>
          <w:r>
            <w:instrText xml:space="preserve"> PAGEREF _Toc10377 </w:instrText>
          </w:r>
          <w:r>
            <w:fldChar w:fldCharType="separate"/>
          </w:r>
          <w:r>
            <w:t>24</w:t>
          </w:r>
          <w:r>
            <w:fldChar w:fldCharType="end"/>
          </w:r>
          <w:r>
            <w:fldChar w:fldCharType="end"/>
          </w:r>
        </w:p>
        <w:p>
          <w:pPr>
            <w:pStyle w:val="41"/>
            <w:tabs>
              <w:tab w:val="right" w:leader="dot" w:pos="8306"/>
            </w:tabs>
            <w:ind w:left="420"/>
          </w:pPr>
          <w:r>
            <w:fldChar w:fldCharType="begin"/>
          </w:r>
          <w:r>
            <w:instrText xml:space="preserve"> HYPERLINK \l "_Toc13843" </w:instrText>
          </w:r>
          <w:r>
            <w:fldChar w:fldCharType="separate"/>
          </w:r>
          <w:r>
            <w:rPr>
              <w:rFonts w:hint="eastAsia" w:ascii="仿宋" w:hAnsi="仿宋" w:eastAsia="仿宋"/>
            </w:rPr>
            <w:t>八、一般公共预算财政拨款基本支出决算表</w:t>
          </w:r>
          <w:r>
            <w:tab/>
          </w:r>
          <w:r>
            <w:fldChar w:fldCharType="begin"/>
          </w:r>
          <w:r>
            <w:instrText xml:space="preserve"> PAGEREF _Toc13843 </w:instrText>
          </w:r>
          <w:r>
            <w:fldChar w:fldCharType="separate"/>
          </w:r>
          <w:r>
            <w:t>24</w:t>
          </w:r>
          <w:r>
            <w:fldChar w:fldCharType="end"/>
          </w:r>
          <w:r>
            <w:fldChar w:fldCharType="end"/>
          </w:r>
        </w:p>
        <w:p>
          <w:pPr>
            <w:pStyle w:val="41"/>
            <w:tabs>
              <w:tab w:val="right" w:leader="dot" w:pos="8306"/>
            </w:tabs>
            <w:ind w:left="420"/>
          </w:pPr>
          <w:r>
            <w:fldChar w:fldCharType="begin"/>
          </w:r>
          <w:r>
            <w:instrText xml:space="preserve"> HYPERLINK \l "_Toc24976" </w:instrText>
          </w:r>
          <w:r>
            <w:fldChar w:fldCharType="separate"/>
          </w:r>
          <w:r>
            <w:rPr>
              <w:rFonts w:hint="eastAsia" w:ascii="仿宋" w:hAnsi="仿宋" w:eastAsia="仿宋"/>
            </w:rPr>
            <w:t>九、一般公共预算财政拨款项目支出决算表</w:t>
          </w:r>
          <w:r>
            <w:tab/>
          </w:r>
          <w:r>
            <w:fldChar w:fldCharType="begin"/>
          </w:r>
          <w:r>
            <w:instrText xml:space="preserve"> PAGEREF _Toc24976 </w:instrText>
          </w:r>
          <w:r>
            <w:fldChar w:fldCharType="separate"/>
          </w:r>
          <w:r>
            <w:t>24</w:t>
          </w:r>
          <w:r>
            <w:fldChar w:fldCharType="end"/>
          </w:r>
          <w:r>
            <w:fldChar w:fldCharType="end"/>
          </w:r>
        </w:p>
        <w:p>
          <w:pPr>
            <w:pStyle w:val="41"/>
            <w:tabs>
              <w:tab w:val="right" w:leader="dot" w:pos="8306"/>
            </w:tabs>
            <w:ind w:left="420"/>
          </w:pPr>
          <w:r>
            <w:fldChar w:fldCharType="begin"/>
          </w:r>
          <w:r>
            <w:instrText xml:space="preserve"> HYPERLINK \l "_Toc15805" </w:instrText>
          </w:r>
          <w:r>
            <w:fldChar w:fldCharType="separate"/>
          </w:r>
          <w:r>
            <w:rPr>
              <w:rFonts w:hint="eastAsia" w:ascii="仿宋" w:hAnsi="仿宋" w:eastAsia="仿宋"/>
            </w:rPr>
            <w:t>十、一般公共预算财政拨款“三公”经费支出决算表</w:t>
          </w:r>
          <w:r>
            <w:tab/>
          </w:r>
          <w:r>
            <w:fldChar w:fldCharType="begin"/>
          </w:r>
          <w:r>
            <w:instrText xml:space="preserve"> PAGEREF _Toc15805 </w:instrText>
          </w:r>
          <w:r>
            <w:fldChar w:fldCharType="separate"/>
          </w:r>
          <w:r>
            <w:t>24</w:t>
          </w:r>
          <w:r>
            <w:fldChar w:fldCharType="end"/>
          </w:r>
          <w:r>
            <w:fldChar w:fldCharType="end"/>
          </w:r>
        </w:p>
        <w:p>
          <w:pPr>
            <w:pStyle w:val="41"/>
            <w:tabs>
              <w:tab w:val="right" w:leader="dot" w:pos="8306"/>
            </w:tabs>
            <w:ind w:left="420"/>
          </w:pPr>
          <w:r>
            <w:fldChar w:fldCharType="begin"/>
          </w:r>
          <w:r>
            <w:instrText xml:space="preserve"> HYPERLINK \l "_Toc15487" </w:instrText>
          </w:r>
          <w:r>
            <w:fldChar w:fldCharType="separate"/>
          </w:r>
          <w:r>
            <w:rPr>
              <w:rFonts w:hint="eastAsia" w:ascii="仿宋" w:hAnsi="仿宋" w:eastAsia="仿宋"/>
            </w:rPr>
            <w:t>十一、政府性基金预算财政拨款收入支出决算表</w:t>
          </w:r>
          <w:r>
            <w:tab/>
          </w:r>
          <w:r>
            <w:fldChar w:fldCharType="begin"/>
          </w:r>
          <w:r>
            <w:instrText xml:space="preserve"> PAGEREF _Toc15487 </w:instrText>
          </w:r>
          <w:r>
            <w:fldChar w:fldCharType="separate"/>
          </w:r>
          <w:r>
            <w:t>24</w:t>
          </w:r>
          <w:r>
            <w:fldChar w:fldCharType="end"/>
          </w:r>
          <w:r>
            <w:fldChar w:fldCharType="end"/>
          </w:r>
        </w:p>
        <w:p>
          <w:pPr>
            <w:pStyle w:val="41"/>
            <w:tabs>
              <w:tab w:val="right" w:leader="dot" w:pos="8306"/>
            </w:tabs>
            <w:ind w:left="420"/>
          </w:pPr>
          <w:r>
            <w:fldChar w:fldCharType="begin"/>
          </w:r>
          <w:r>
            <w:instrText xml:space="preserve"> HYPERLINK \l "_Toc14539" </w:instrText>
          </w:r>
          <w:r>
            <w:fldChar w:fldCharType="separate"/>
          </w:r>
          <w:r>
            <w:rPr>
              <w:rFonts w:hint="eastAsia" w:ascii="仿宋" w:hAnsi="仿宋" w:eastAsia="仿宋"/>
            </w:rPr>
            <w:t>十二、政府性基金预算财政拨款“三公”经费支出决算表</w:t>
          </w:r>
          <w:r>
            <w:tab/>
          </w:r>
          <w:r>
            <w:fldChar w:fldCharType="begin"/>
          </w:r>
          <w:r>
            <w:instrText xml:space="preserve"> PAGEREF _Toc14539 </w:instrText>
          </w:r>
          <w:r>
            <w:fldChar w:fldCharType="separate"/>
          </w:r>
          <w:r>
            <w:t>24</w:t>
          </w:r>
          <w:r>
            <w:fldChar w:fldCharType="end"/>
          </w:r>
          <w:r>
            <w:fldChar w:fldCharType="end"/>
          </w:r>
        </w:p>
        <w:p>
          <w:pPr>
            <w:pStyle w:val="41"/>
            <w:tabs>
              <w:tab w:val="right" w:leader="dot" w:pos="8306"/>
            </w:tabs>
            <w:ind w:left="420"/>
          </w:pPr>
          <w:r>
            <w:fldChar w:fldCharType="begin"/>
          </w:r>
          <w:r>
            <w:instrText xml:space="preserve"> HYPERLINK \l "_Toc737" </w:instrText>
          </w:r>
          <w:r>
            <w:fldChar w:fldCharType="separate"/>
          </w:r>
          <w:r>
            <w:rPr>
              <w:rFonts w:hint="eastAsia" w:ascii="仿宋" w:hAnsi="仿宋" w:eastAsia="仿宋"/>
            </w:rPr>
            <w:t>十三、国有资本经营预算财政拨款收入支出决算表</w:t>
          </w:r>
          <w:r>
            <w:tab/>
          </w:r>
          <w:r>
            <w:fldChar w:fldCharType="begin"/>
          </w:r>
          <w:r>
            <w:instrText xml:space="preserve"> PAGEREF _Toc737 </w:instrText>
          </w:r>
          <w:r>
            <w:fldChar w:fldCharType="separate"/>
          </w:r>
          <w:r>
            <w:t>24</w:t>
          </w:r>
          <w:r>
            <w:fldChar w:fldCharType="end"/>
          </w:r>
          <w:r>
            <w:fldChar w:fldCharType="end"/>
          </w:r>
        </w:p>
        <w:p>
          <w:pPr>
            <w:pStyle w:val="41"/>
            <w:tabs>
              <w:tab w:val="right" w:leader="dot" w:pos="8306"/>
            </w:tabs>
            <w:ind w:left="420"/>
          </w:pPr>
          <w:r>
            <w:fldChar w:fldCharType="begin"/>
          </w:r>
          <w:r>
            <w:instrText xml:space="preserve"> HYPERLINK \l "_Toc11684" </w:instrText>
          </w:r>
          <w:r>
            <w:fldChar w:fldCharType="separate"/>
          </w:r>
          <w:r>
            <w:rPr>
              <w:rFonts w:hint="eastAsia" w:ascii="仿宋" w:hAnsi="仿宋" w:eastAsia="仿宋"/>
            </w:rPr>
            <w:t>十四、国有资本经营预算财政拨款支出决算表</w:t>
          </w:r>
          <w:r>
            <w:tab/>
          </w:r>
          <w:r>
            <w:fldChar w:fldCharType="begin"/>
          </w:r>
          <w:r>
            <w:instrText xml:space="preserve"> PAGEREF _Toc11684 </w:instrText>
          </w:r>
          <w:r>
            <w:fldChar w:fldCharType="separate"/>
          </w:r>
          <w:r>
            <w:t>24</w:t>
          </w:r>
          <w:r>
            <w:fldChar w:fldCharType="end"/>
          </w:r>
          <w:r>
            <w:fldChar w:fldCharType="end"/>
          </w:r>
        </w:p>
        <w:p>
          <w:r>
            <w:rPr>
              <w:b/>
            </w:rPr>
            <w:fldChar w:fldCharType="end"/>
          </w:r>
        </w:p>
      </w:sdtContent>
    </w:sdt>
    <w:p>
      <w:pPr>
        <w:pStyle w:val="11"/>
        <w:jc w:val="center"/>
        <w:rPr>
          <w:rFonts w:ascii="黑体" w:hAnsi="黑体" w:eastAsia="黑体"/>
          <w:b w:val="0"/>
        </w:rPr>
        <w:sectPr>
          <w:footerReference r:id="rId10" w:type="first"/>
          <w:footerReference r:id="rId9" w:type="default"/>
          <w:pgSz w:w="11906" w:h="16838"/>
          <w:pgMar w:top="1440" w:right="1800" w:bottom="1440" w:left="1800" w:header="851" w:footer="992" w:gutter="0"/>
          <w:pgNumType w:start="1"/>
          <w:cols w:space="425" w:num="1"/>
          <w:titlePg/>
          <w:docGrid w:type="lines" w:linePitch="312" w:charSpace="0"/>
        </w:sectPr>
      </w:pPr>
      <w:bookmarkStart w:id="15" w:name="_Toc31886"/>
    </w:p>
    <w:p>
      <w:pPr>
        <w:pStyle w:val="11"/>
        <w:jc w:val="center"/>
        <w:rPr>
          <w:rFonts w:ascii="黑体" w:eastAsia="黑体"/>
          <w:sz w:val="32"/>
          <w:szCs w:val="32"/>
        </w:rPr>
      </w:pPr>
      <w:r>
        <w:rPr>
          <w:rFonts w:hint="eastAsia" w:ascii="黑体" w:hAnsi="黑体" w:eastAsia="黑体"/>
          <w:b w:val="0"/>
        </w:rPr>
        <w:t xml:space="preserve">第一部分 </w:t>
      </w:r>
      <w:r>
        <w:rPr>
          <w:rStyle w:val="27"/>
          <w:rFonts w:hint="eastAsia" w:ascii="黑体" w:hAnsi="黑体" w:eastAsia="黑体"/>
          <w:b w:val="0"/>
          <w:bCs w:val="0"/>
        </w:rPr>
        <w:t>部门概况</w:t>
      </w:r>
      <w:bookmarkEnd w:id="14"/>
      <w:bookmarkEnd w:id="15"/>
    </w:p>
    <w:p>
      <w:pPr>
        <w:pStyle w:val="12"/>
        <w:spacing w:before="0" w:after="0" w:line="560" w:lineRule="exact"/>
        <w:ind w:firstLine="640" w:firstLineChars="200"/>
        <w:rPr>
          <w:rStyle w:val="28"/>
          <w:rFonts w:ascii="仿宋" w:hAnsi="仿宋" w:eastAsia="仿宋"/>
          <w:b w:val="0"/>
          <w:bCs w:val="0"/>
        </w:rPr>
      </w:pPr>
      <w:bookmarkStart w:id="16" w:name="_Toc15377197"/>
      <w:bookmarkStart w:id="17" w:name="_Toc15396600"/>
      <w:bookmarkStart w:id="18" w:name="_Toc10274"/>
      <w:r>
        <w:rPr>
          <w:rFonts w:hint="eastAsia" w:ascii="黑体" w:hAnsi="黑体" w:eastAsia="黑体"/>
          <w:b w:val="0"/>
        </w:rPr>
        <w:t>一、基本</w:t>
      </w:r>
      <w:r>
        <w:rPr>
          <w:rFonts w:hint="eastAsia" w:ascii="黑体" w:hAnsi="黑体" w:eastAsia="黑体"/>
          <w:b w:val="0"/>
          <w:bCs w:val="0"/>
        </w:rPr>
        <w:t>职能及主要工作</w:t>
      </w:r>
      <w:bookmarkEnd w:id="16"/>
      <w:bookmarkEnd w:id="17"/>
      <w:bookmarkEnd w:id="18"/>
    </w:p>
    <w:p>
      <w:pPr>
        <w:pStyle w:val="33"/>
        <w:spacing w:line="560" w:lineRule="exact"/>
        <w:ind w:firstLine="657"/>
        <w:rPr>
          <w:rFonts w:ascii="方正楷体_GB2312" w:hAnsi="方正楷体_GB2312" w:eastAsia="方正楷体_GB2312" w:cs="方正楷体_GB2312"/>
          <w:b/>
          <w:sz w:val="32"/>
          <w:szCs w:val="32"/>
        </w:rPr>
      </w:pPr>
      <w:bookmarkStart w:id="19" w:name="_Toc15378445"/>
      <w:bookmarkStart w:id="20" w:name="_Toc15377198"/>
      <w:r>
        <w:rPr>
          <w:rFonts w:hint="eastAsia" w:ascii="方正楷体_GB2312" w:hAnsi="方正楷体_GB2312" w:eastAsia="方正楷体_GB2312" w:cs="方正楷体_GB2312"/>
          <w:b/>
          <w:sz w:val="32"/>
          <w:szCs w:val="32"/>
        </w:rPr>
        <w:t>（一）主要职能。</w:t>
      </w:r>
    </w:p>
    <w:p>
      <w:pPr>
        <w:pStyle w:val="33"/>
        <w:spacing w:line="555" w:lineRule="exact"/>
        <w:ind w:firstLine="640"/>
        <w:rPr>
          <w:rFonts w:ascii="Times New Roman" w:eastAsia="仿宋_GB2312"/>
          <w:bCs/>
          <w:color w:val="000000"/>
          <w:spacing w:val="0"/>
          <w:kern w:val="0"/>
          <w:sz w:val="32"/>
          <w:szCs w:val="32"/>
        </w:rPr>
      </w:pPr>
      <w:r>
        <w:rPr>
          <w:rFonts w:ascii="Times New Roman" w:eastAsia="仿宋_GB2312"/>
          <w:bCs/>
          <w:color w:val="000000"/>
          <w:spacing w:val="0"/>
          <w:kern w:val="0"/>
          <w:sz w:val="32"/>
          <w:szCs w:val="32"/>
        </w:rPr>
        <w:t>1.贯彻执行中央、省、市、县有关“放管服”改革、行政审批制度改革、政务服务、便民服务、行政权力依法规范公开运行和大数据应用及管理等方面的方针政策、法律法规和决策部署</w:t>
      </w:r>
      <w:r>
        <w:rPr>
          <w:rFonts w:hint="eastAsia" w:ascii="Times New Roman" w:eastAsia="仿宋_GB2312"/>
          <w:bCs/>
          <w:color w:val="000000"/>
          <w:spacing w:val="0"/>
          <w:kern w:val="0"/>
          <w:sz w:val="32"/>
          <w:szCs w:val="32"/>
        </w:rPr>
        <w:t>并</w:t>
      </w:r>
      <w:r>
        <w:rPr>
          <w:rFonts w:ascii="Times New Roman" w:eastAsia="仿宋_GB2312"/>
          <w:bCs/>
          <w:color w:val="000000"/>
          <w:spacing w:val="0"/>
          <w:kern w:val="0"/>
          <w:sz w:val="32"/>
          <w:szCs w:val="32"/>
        </w:rPr>
        <w:t>结合有关地方性法规、政府规章</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制定有关政策措施并组织实施。</w:t>
      </w:r>
    </w:p>
    <w:p>
      <w:pPr>
        <w:pStyle w:val="33"/>
        <w:spacing w:line="555" w:lineRule="exact"/>
        <w:ind w:firstLine="640"/>
        <w:rPr>
          <w:rFonts w:ascii="Times New Roman" w:eastAsia="仿宋_GB2312"/>
          <w:bCs/>
          <w:color w:val="000000"/>
          <w:spacing w:val="0"/>
          <w:kern w:val="0"/>
          <w:sz w:val="32"/>
          <w:szCs w:val="32"/>
        </w:rPr>
      </w:pPr>
      <w:r>
        <w:rPr>
          <w:rFonts w:ascii="Times New Roman" w:eastAsia="仿宋_GB2312"/>
          <w:bCs/>
          <w:color w:val="000000"/>
          <w:spacing w:val="0"/>
          <w:kern w:val="0"/>
          <w:sz w:val="32"/>
          <w:szCs w:val="32"/>
        </w:rPr>
        <w:t>2.负责承担行政权力及责任清单制度建设、行政审批制度改革、相对集中行政许可权改革等工作</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推进全县行政权力依法规范公开运行</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清理、审核、动态调整县乡行政权力事项。</w:t>
      </w:r>
    </w:p>
    <w:p>
      <w:pPr>
        <w:pStyle w:val="33"/>
        <w:spacing w:line="555" w:lineRule="exact"/>
        <w:ind w:firstLine="640"/>
        <w:rPr>
          <w:rFonts w:ascii="Times New Roman" w:eastAsia="仿宋_GB2312"/>
          <w:bCs/>
          <w:color w:val="000000"/>
          <w:spacing w:val="0"/>
          <w:kern w:val="0"/>
          <w:sz w:val="32"/>
          <w:szCs w:val="32"/>
        </w:rPr>
      </w:pPr>
      <w:r>
        <w:rPr>
          <w:rFonts w:ascii="Times New Roman" w:eastAsia="仿宋_GB2312"/>
          <w:bCs/>
          <w:color w:val="000000"/>
          <w:spacing w:val="0"/>
          <w:kern w:val="0"/>
          <w:sz w:val="32"/>
          <w:szCs w:val="32"/>
        </w:rPr>
        <w:t>3.指导、协调、监督全县政务服务、便民服务和行政权力事项运行、审批业务开展工作</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监督行政效能及投诉、举报办理情况。推进政务服务</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便民服务</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体系建设。</w:t>
      </w:r>
    </w:p>
    <w:p>
      <w:pPr>
        <w:pStyle w:val="33"/>
        <w:spacing w:line="555" w:lineRule="exact"/>
        <w:ind w:firstLine="640"/>
        <w:rPr>
          <w:rFonts w:ascii="Times New Roman" w:eastAsia="仿宋_GB2312"/>
          <w:bCs/>
          <w:color w:val="000000"/>
          <w:spacing w:val="0"/>
          <w:kern w:val="0"/>
          <w:sz w:val="32"/>
          <w:szCs w:val="32"/>
        </w:rPr>
      </w:pPr>
      <w:r>
        <w:rPr>
          <w:rFonts w:ascii="Times New Roman" w:eastAsia="仿宋_GB2312"/>
          <w:bCs/>
          <w:color w:val="000000"/>
          <w:spacing w:val="0"/>
          <w:kern w:val="0"/>
          <w:sz w:val="32"/>
          <w:szCs w:val="32"/>
        </w:rPr>
        <w:t>4.负责政务服务、便民服务、行政权力依法规范公开运行、行政效能、大数据相关平台的建设、运行和管理。</w:t>
      </w:r>
    </w:p>
    <w:p>
      <w:pPr>
        <w:pStyle w:val="33"/>
        <w:spacing w:line="555" w:lineRule="exact"/>
        <w:ind w:firstLine="640"/>
        <w:rPr>
          <w:rFonts w:ascii="Times New Roman" w:eastAsia="仿宋_GB2312"/>
          <w:bCs/>
          <w:color w:val="000000"/>
          <w:spacing w:val="0"/>
          <w:kern w:val="0"/>
          <w:sz w:val="32"/>
          <w:szCs w:val="32"/>
        </w:rPr>
      </w:pPr>
      <w:r>
        <w:rPr>
          <w:rFonts w:ascii="Times New Roman" w:eastAsia="仿宋_GB2312"/>
          <w:bCs/>
          <w:color w:val="000000"/>
          <w:spacing w:val="0"/>
          <w:kern w:val="0"/>
          <w:sz w:val="32"/>
          <w:szCs w:val="32"/>
        </w:rPr>
        <w:t>5.负责政府投资大数据项目的审核、监督和验收</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推进政府数据采集汇聚、登记管理、共享开放和社会数据汇聚融合互联互通以及大数据安全运用工作</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加强大数据安全体系建设和安全保障监督管理工作。</w:t>
      </w:r>
    </w:p>
    <w:p>
      <w:pPr>
        <w:pStyle w:val="33"/>
        <w:spacing w:line="555" w:lineRule="exact"/>
        <w:ind w:firstLine="640"/>
        <w:rPr>
          <w:rFonts w:ascii="Times New Roman" w:eastAsia="仿宋_GB2312"/>
          <w:bCs/>
          <w:color w:val="000000"/>
          <w:spacing w:val="0"/>
          <w:kern w:val="0"/>
          <w:sz w:val="32"/>
          <w:szCs w:val="32"/>
        </w:rPr>
      </w:pPr>
      <w:r>
        <w:rPr>
          <w:rFonts w:ascii="Times New Roman" w:eastAsia="仿宋_GB2312"/>
          <w:bCs/>
          <w:color w:val="000000"/>
          <w:spacing w:val="0"/>
          <w:kern w:val="0"/>
          <w:sz w:val="32"/>
          <w:szCs w:val="32"/>
        </w:rPr>
        <w:t>6.负责上级部门下放和集中行使的</w:t>
      </w:r>
      <w:r>
        <w:rPr>
          <w:rFonts w:hint="eastAsia" w:ascii="Times New Roman" w:eastAsia="仿宋_GB2312"/>
          <w:bCs/>
          <w:color w:val="000000"/>
          <w:spacing w:val="0"/>
          <w:kern w:val="0"/>
          <w:sz w:val="32"/>
          <w:szCs w:val="32"/>
          <w:lang w:eastAsia="zh-CN"/>
        </w:rPr>
        <w:t>行政审批权</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行政许可、行政确认、其他行政权力</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及相关政务服务事项办理</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建立健全行政审批服务工作机制并组织实施。</w:t>
      </w:r>
    </w:p>
    <w:p>
      <w:pPr>
        <w:pStyle w:val="33"/>
        <w:spacing w:line="555" w:lineRule="exact"/>
        <w:ind w:firstLine="640"/>
        <w:rPr>
          <w:rFonts w:ascii="Times New Roman" w:eastAsia="仿宋_GB2312"/>
          <w:bCs/>
          <w:color w:val="000000"/>
          <w:spacing w:val="0"/>
          <w:kern w:val="0"/>
          <w:sz w:val="32"/>
          <w:szCs w:val="32"/>
        </w:rPr>
      </w:pPr>
      <w:r>
        <w:rPr>
          <w:rFonts w:ascii="Times New Roman" w:eastAsia="仿宋_GB2312"/>
          <w:bCs/>
          <w:color w:val="000000"/>
          <w:spacing w:val="0"/>
          <w:kern w:val="0"/>
          <w:sz w:val="32"/>
          <w:szCs w:val="32"/>
        </w:rPr>
        <w:t>7.负责未集中行使的行政审批</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行政许可、行政确认、其他行政权力</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和公共服务事项集中、规范受</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办</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理工作</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监督指导乡镇</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街道</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行政审批和公共服务事项集中、规范受</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办</w:t>
      </w:r>
      <w:r>
        <w:rPr>
          <w:rFonts w:hint="eastAsia" w:ascii="Times New Roman" w:eastAsia="仿宋_GB2312"/>
          <w:bCs/>
          <w:color w:val="000000"/>
          <w:spacing w:val="0"/>
          <w:kern w:val="0"/>
          <w:sz w:val="32"/>
          <w:szCs w:val="32"/>
        </w:rPr>
        <w:t>）</w:t>
      </w:r>
      <w:r>
        <w:rPr>
          <w:rFonts w:ascii="Times New Roman" w:eastAsia="仿宋_GB2312"/>
          <w:bCs/>
          <w:color w:val="000000"/>
          <w:spacing w:val="0"/>
          <w:kern w:val="0"/>
          <w:sz w:val="32"/>
          <w:szCs w:val="32"/>
        </w:rPr>
        <w:t>理工作。</w:t>
      </w:r>
    </w:p>
    <w:p>
      <w:pPr>
        <w:pStyle w:val="33"/>
        <w:spacing w:line="555" w:lineRule="exact"/>
        <w:ind w:firstLine="640"/>
        <w:rPr>
          <w:rFonts w:ascii="Times New Roman" w:eastAsia="仿宋_GB2312"/>
          <w:bCs/>
          <w:color w:val="000000"/>
          <w:spacing w:val="0"/>
          <w:kern w:val="0"/>
          <w:sz w:val="32"/>
          <w:szCs w:val="32"/>
        </w:rPr>
      </w:pPr>
      <w:r>
        <w:rPr>
          <w:rFonts w:ascii="Times New Roman" w:eastAsia="仿宋_GB2312"/>
          <w:bCs/>
          <w:color w:val="000000"/>
          <w:spacing w:val="0"/>
          <w:kern w:val="0"/>
          <w:sz w:val="32"/>
          <w:szCs w:val="32"/>
        </w:rPr>
        <w:t>8.负责全县行政审批工作的运行监管、培训指导、考核评价和政务服务窗口规范化建设工作。</w:t>
      </w:r>
    </w:p>
    <w:p>
      <w:pPr>
        <w:pStyle w:val="33"/>
        <w:spacing w:line="555" w:lineRule="exact"/>
        <w:ind w:firstLine="640"/>
      </w:pPr>
      <w:r>
        <w:rPr>
          <w:rFonts w:ascii="Times New Roman" w:eastAsia="仿宋_GB2312"/>
          <w:bCs/>
          <w:color w:val="000000"/>
          <w:spacing w:val="0"/>
          <w:kern w:val="0"/>
          <w:sz w:val="32"/>
          <w:szCs w:val="32"/>
        </w:rPr>
        <w:t>9.完成县委、县政府交办的其他任务。</w:t>
      </w:r>
    </w:p>
    <w:p>
      <w:pPr>
        <w:pStyle w:val="33"/>
        <w:spacing w:line="555" w:lineRule="exact"/>
        <w:ind w:firstLine="657"/>
        <w:rPr>
          <w:rFonts w:ascii="方正楷体_GB2312" w:hAnsi="方正楷体_GB2312" w:eastAsia="方正楷体_GB2312" w:cs="方正楷体_GB2312"/>
          <w:b/>
          <w:sz w:val="32"/>
          <w:szCs w:val="32"/>
        </w:rPr>
      </w:pPr>
      <w:r>
        <w:rPr>
          <w:rFonts w:hint="eastAsia" w:ascii="方正楷体_GB2312" w:hAnsi="方正楷体_GB2312" w:eastAsia="方正楷体_GB2312" w:cs="方正楷体_GB2312"/>
          <w:b/>
          <w:sz w:val="32"/>
          <w:szCs w:val="32"/>
        </w:rPr>
        <w:t>（二）2021年重点工作完成情况。</w:t>
      </w:r>
    </w:p>
    <w:p>
      <w:pPr>
        <w:pStyle w:val="3"/>
        <w:topLinePunct/>
        <w:spacing w:before="93" w:line="595" w:lineRule="exact"/>
        <w:ind w:firstLine="643" w:firstLineChars="200"/>
        <w:rPr>
          <w:rFonts w:cs="仿宋_GB2312"/>
          <w:sz w:val="32"/>
          <w:szCs w:val="32"/>
        </w:rPr>
      </w:pPr>
      <w:r>
        <w:rPr>
          <w:rFonts w:hint="eastAsia" w:hAnsi="仿宋_GB2312" w:cs="仿宋_GB2312"/>
          <w:b/>
          <w:bCs/>
          <w:sz w:val="32"/>
          <w:szCs w:val="32"/>
        </w:rPr>
        <w:t>1.动态清理行权事项。</w:t>
      </w:r>
      <w:r>
        <w:rPr>
          <w:rFonts w:hint="eastAsia" w:ascii="楷体_GB2312" w:hAnsi="楷体_GB2312" w:eastAsia="楷体_GB2312" w:cs="楷体_GB2312"/>
          <w:b/>
          <w:bCs/>
          <w:sz w:val="32"/>
          <w:szCs w:val="32"/>
        </w:rPr>
        <w:t>一是</w:t>
      </w:r>
      <w:r>
        <w:rPr>
          <w:rFonts w:hint="eastAsia" w:hAnsi="仿宋_GB2312" w:cs="仿宋_GB2312"/>
          <w:spacing w:val="6"/>
          <w:kern w:val="2"/>
          <w:sz w:val="32"/>
          <w:szCs w:val="32"/>
        </w:rPr>
        <w:t>清理调整县级部门行政权力清单，印发《通江县县级部门行政权力清单（2021年本）》（通府发〔2021〕7号），公布县级行政权力事项共5194项，</w:t>
      </w:r>
      <w:r>
        <w:rPr>
          <w:rFonts w:hint="eastAsia" w:cs="仿宋_GB2312"/>
          <w:b/>
          <w:bCs/>
          <w:kern w:val="2"/>
          <w:sz w:val="32"/>
          <w:szCs w:val="32"/>
          <w:lang w:bidi="zh-CN"/>
        </w:rPr>
        <w:t>二是</w:t>
      </w:r>
      <w:r>
        <w:rPr>
          <w:rFonts w:hint="eastAsia" w:hAnsi="仿宋_GB2312" w:cs="仿宋_GB2312"/>
          <w:spacing w:val="6"/>
          <w:kern w:val="2"/>
          <w:sz w:val="32"/>
          <w:szCs w:val="32"/>
        </w:rPr>
        <w:t>清理公布2021</w:t>
      </w:r>
      <w:r>
        <w:rPr>
          <w:rFonts w:hint="eastAsia" w:cs="仿宋_GB2312"/>
          <w:spacing w:val="6"/>
          <w:kern w:val="2"/>
          <w:sz w:val="32"/>
          <w:szCs w:val="32"/>
        </w:rPr>
        <w:t>年</w:t>
      </w:r>
      <w:r>
        <w:rPr>
          <w:rFonts w:hint="eastAsia" w:hAnsi="仿宋_GB2312" w:cs="仿宋_GB2312"/>
          <w:spacing w:val="6"/>
          <w:kern w:val="2"/>
          <w:sz w:val="32"/>
          <w:szCs w:val="32"/>
        </w:rPr>
        <w:t>乡镇（街道）法定行政权力事项116项，赋予乡镇（街道）县级行政权力事项53项，印发《通江县乡镇（街道）法定行政权力事项清单》《通江县赋予乡镇（街道）县级行政权力事项清单》的通知（通府办发〔2021〕23号）。</w:t>
      </w:r>
    </w:p>
    <w:p>
      <w:pPr>
        <w:pStyle w:val="15"/>
        <w:spacing w:line="595"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2.全力推进政务服务“一网通办”能力提升。</w:t>
      </w:r>
      <w:r>
        <w:rPr>
          <w:rFonts w:hint="eastAsia" w:ascii="仿宋_GB2312" w:hAnsi="仿宋_GB2312" w:cs="仿宋_GB2312"/>
          <w:spacing w:val="6"/>
          <w:kern w:val="2"/>
          <w:sz w:val="32"/>
          <w:szCs w:val="32"/>
        </w:rPr>
        <w:t>实现</w:t>
      </w:r>
      <w:r>
        <w:rPr>
          <w:rFonts w:hint="eastAsia" w:ascii="仿宋_GB2312" w:hAnsi="仿宋_GB2312" w:eastAsia="仿宋_GB2312" w:cs="仿宋_GB2312"/>
          <w:spacing w:val="6"/>
          <w:kern w:val="2"/>
          <w:sz w:val="32"/>
          <w:szCs w:val="32"/>
        </w:rPr>
        <w:t>政务服务事项“一次办”100%，“网上办”100%，“马上办”65%，“全程网办”95.3%。</w:t>
      </w:r>
    </w:p>
    <w:p>
      <w:pPr>
        <w:pStyle w:val="3"/>
        <w:spacing w:before="93" w:line="595" w:lineRule="exact"/>
        <w:ind w:firstLine="643" w:firstLineChars="200"/>
        <w:rPr>
          <w:rFonts w:ascii="楷体_GB2312" w:hAnsi="楷体_GB2312" w:eastAsia="楷体_GB2312" w:cs="楷体_GB2312"/>
          <w:b/>
          <w:bCs/>
          <w:sz w:val="32"/>
          <w:szCs w:val="32"/>
        </w:rPr>
      </w:pPr>
      <w:r>
        <w:rPr>
          <w:rFonts w:hint="eastAsia" w:hAnsi="仿宋_GB2312" w:cs="仿宋_GB2312"/>
          <w:b/>
          <w:bCs/>
          <w:sz w:val="32"/>
          <w:szCs w:val="32"/>
        </w:rPr>
        <w:t>3.做实两项改革“后半篇”文章，提升基层治理能力。</w:t>
      </w:r>
      <w:r>
        <w:rPr>
          <w:rFonts w:hint="eastAsia" w:hAnsi="仿宋_GB2312" w:cs="仿宋_GB2312"/>
          <w:spacing w:val="6"/>
          <w:kern w:val="2"/>
          <w:sz w:val="32"/>
          <w:szCs w:val="32"/>
        </w:rPr>
        <w:t>在全县367个村（社区）推行代办制度，指导乡镇（街道）组建以村干部为主体的便民服务“红色代办队”。</w:t>
      </w:r>
    </w:p>
    <w:p>
      <w:pPr>
        <w:spacing w:line="595" w:lineRule="exact"/>
        <w:ind w:firstLine="643" w:firstLineChars="200"/>
        <w:rPr>
          <w:rFonts w:eastAsia="仿宋_GB2312"/>
          <w:sz w:val="32"/>
          <w:szCs w:val="32"/>
        </w:rPr>
      </w:pPr>
      <w:r>
        <w:rPr>
          <w:rFonts w:hint="eastAsia" w:ascii="仿宋_GB2312" w:hAnsi="仿宋_GB2312" w:eastAsia="仿宋_GB2312" w:cs="仿宋_GB2312"/>
          <w:b/>
          <w:bCs/>
          <w:kern w:val="0"/>
          <w:sz w:val="32"/>
          <w:szCs w:val="32"/>
        </w:rPr>
        <w:t>4.牵头开展优化营商环境“七个一”提升工作。</w:t>
      </w:r>
      <w:r>
        <w:rPr>
          <w:rFonts w:hint="eastAsia" w:ascii="仿宋_GB2312" w:hAnsi="仿宋_GB2312" w:eastAsia="仿宋_GB2312" w:cs="仿宋_GB2312"/>
          <w:spacing w:val="6"/>
          <w:sz w:val="32"/>
          <w:szCs w:val="32"/>
        </w:rPr>
        <w:t>抓实顽瘴痼疾整改、起草《优化营商环境十条措施》政策、深入企业“大走访”</w:t>
      </w:r>
      <w:r>
        <w:rPr>
          <w:rFonts w:hint="eastAsia" w:ascii="Times New Roman" w:hAnsi="Times New Roman" w:eastAsia="仿宋_GB2312" w:cs="Times New Roman"/>
          <w:bCs/>
          <w:color w:val="000000"/>
          <w:spacing w:val="0"/>
          <w:kern w:val="0"/>
          <w:sz w:val="32"/>
          <w:szCs w:val="32"/>
          <w:lang w:val="en-US" w:eastAsia="zh-CN" w:bidi="ar-SA"/>
        </w:rPr>
        <w:t>促进营商</w:t>
      </w:r>
      <w:r>
        <w:rPr>
          <w:rFonts w:hint="eastAsia" w:ascii="仿宋_GB2312" w:hAnsi="仿宋_GB2312" w:eastAsia="仿宋_GB2312" w:cs="仿宋_GB2312"/>
          <w:spacing w:val="6"/>
          <w:sz w:val="32"/>
          <w:szCs w:val="32"/>
        </w:rPr>
        <w:t>环境全面提升。</w:t>
      </w:r>
    </w:p>
    <w:p>
      <w:pPr>
        <w:pStyle w:val="15"/>
        <w:spacing w:line="595" w:lineRule="exact"/>
        <w:ind w:firstLine="643" w:firstLineChars="200"/>
        <w:rPr>
          <w:rFonts w:ascii="黑体" w:hAnsi="黑体" w:eastAsia="黑体" w:cs="黑体"/>
          <w:b/>
          <w:bCs/>
          <w:sz w:val="32"/>
          <w:szCs w:val="32"/>
        </w:rPr>
      </w:pPr>
      <w:r>
        <w:rPr>
          <w:rFonts w:hint="eastAsia" w:ascii="仿宋_GB2312" w:hAnsi="仿宋_GB2312" w:eastAsia="仿宋_GB2312" w:cs="仿宋_GB2312"/>
          <w:b/>
          <w:bCs/>
          <w:sz w:val="32"/>
          <w:szCs w:val="32"/>
        </w:rPr>
        <w:t>5.推动全县“证照分离”改革全覆盖</w:t>
      </w:r>
      <w:r>
        <w:rPr>
          <w:rFonts w:hint="eastAsia" w:ascii="楷体_GB2312" w:hAnsi="楷体_GB2312" w:eastAsia="楷体_GB2312" w:cs="楷体_GB2312"/>
          <w:b/>
          <w:bCs/>
          <w:kern w:val="2"/>
          <w:sz w:val="32"/>
          <w:szCs w:val="32"/>
          <w:lang w:bidi="zh-CN"/>
        </w:rPr>
        <w:t>。</w:t>
      </w:r>
      <w:r>
        <w:rPr>
          <w:rFonts w:hint="eastAsia" w:ascii="仿宋_GB2312" w:hAnsi="仿宋_GB2312" w:eastAsia="仿宋_GB2312" w:cs="仿宋_GB2312"/>
          <w:spacing w:val="6"/>
          <w:kern w:val="2"/>
          <w:sz w:val="32"/>
          <w:szCs w:val="32"/>
        </w:rPr>
        <w:t>通过直接取消审批、审批改为备案、实行告知承诺、优化审批服务的改革要求，进一步降低企业准入和经营门槛。</w:t>
      </w:r>
    </w:p>
    <w:p>
      <w:pPr>
        <w:topLinePunct/>
        <w:spacing w:line="595" w:lineRule="exact"/>
        <w:ind w:firstLine="643" w:firstLineChars="200"/>
        <w:rPr>
          <w:rFonts w:ascii="仿宋_GB2312" w:hAnsi="仿宋_GB2312" w:cs="仿宋_GB2312"/>
          <w:spacing w:val="6"/>
          <w:sz w:val="32"/>
          <w:szCs w:val="32"/>
        </w:rPr>
      </w:pPr>
      <w:r>
        <w:rPr>
          <w:rFonts w:hint="eastAsia" w:ascii="仿宋_GB2312" w:hAnsi="仿宋_GB2312" w:eastAsia="仿宋_GB2312" w:cs="仿宋_GB2312"/>
          <w:b/>
          <w:bCs/>
          <w:kern w:val="0"/>
          <w:sz w:val="32"/>
          <w:szCs w:val="32"/>
        </w:rPr>
        <w:t>6.乡村振兴。</w:t>
      </w:r>
      <w:r>
        <w:rPr>
          <w:rFonts w:hint="eastAsia" w:ascii="仿宋_GB2312" w:hAnsi="仿宋_GB2312" w:eastAsia="仿宋_GB2312" w:cs="仿宋_GB2312"/>
          <w:spacing w:val="6"/>
          <w:sz w:val="32"/>
          <w:szCs w:val="32"/>
        </w:rPr>
        <w:t>我局派驻</w:t>
      </w:r>
      <w:r>
        <w:rPr>
          <w:rFonts w:hint="eastAsia" w:ascii="仿宋_GB2312" w:hAnsi="仿宋_GB2312" w:cs="仿宋_GB2312"/>
          <w:spacing w:val="6"/>
          <w:sz w:val="32"/>
          <w:szCs w:val="32"/>
        </w:rPr>
        <w:t>一名</w:t>
      </w:r>
      <w:r>
        <w:rPr>
          <w:rFonts w:hint="eastAsia" w:ascii="仿宋_GB2312" w:hAnsi="仿宋_GB2312" w:eastAsia="仿宋_GB2312" w:cs="仿宋_GB2312"/>
          <w:spacing w:val="6"/>
          <w:sz w:val="32"/>
          <w:szCs w:val="32"/>
        </w:rPr>
        <w:t>驻村工作队员</w:t>
      </w:r>
      <w:r>
        <w:rPr>
          <w:rFonts w:hint="eastAsia" w:ascii="仿宋_GB2312" w:hAnsi="仿宋_GB2312" w:cs="仿宋_GB2312"/>
          <w:spacing w:val="6"/>
          <w:sz w:val="32"/>
          <w:szCs w:val="32"/>
        </w:rPr>
        <w:t>到帮扶村</w:t>
      </w:r>
      <w:r>
        <w:rPr>
          <w:rFonts w:hint="eastAsia" w:ascii="仿宋_GB2312" w:hAnsi="仿宋_GB2312" w:eastAsia="仿宋_GB2312" w:cs="仿宋_GB2312"/>
          <w:spacing w:val="6"/>
          <w:sz w:val="32"/>
          <w:szCs w:val="32"/>
        </w:rPr>
        <w:t>，协助村支两委开展产业</w:t>
      </w:r>
      <w:r>
        <w:rPr>
          <w:rFonts w:hint="eastAsia" w:ascii="仿宋_GB2312" w:hAnsi="仿宋_GB2312" w:cs="仿宋_GB2312"/>
          <w:spacing w:val="6"/>
          <w:sz w:val="32"/>
          <w:szCs w:val="32"/>
        </w:rPr>
        <w:t>发展</w:t>
      </w:r>
      <w:r>
        <w:rPr>
          <w:rFonts w:hint="eastAsia" w:ascii="仿宋_GB2312" w:hAnsi="仿宋_GB2312" w:eastAsia="仿宋_GB2312" w:cs="仿宋_GB2312"/>
          <w:spacing w:val="6"/>
          <w:sz w:val="32"/>
          <w:szCs w:val="32"/>
        </w:rPr>
        <w:t>帮扶</w:t>
      </w:r>
      <w:r>
        <w:rPr>
          <w:rFonts w:hint="eastAsia" w:ascii="仿宋_GB2312" w:hAnsi="仿宋_GB2312" w:cs="仿宋_GB2312"/>
          <w:spacing w:val="6"/>
          <w:sz w:val="32"/>
          <w:szCs w:val="32"/>
        </w:rPr>
        <w:t>。</w:t>
      </w:r>
    </w:p>
    <w:p>
      <w:pPr>
        <w:spacing w:line="560" w:lineRule="exact"/>
        <w:ind w:firstLine="643" w:firstLineChars="200"/>
      </w:pPr>
      <w:r>
        <w:rPr>
          <w:rFonts w:hint="eastAsia" w:ascii="仿宋_GB2312" w:hAnsi="仿宋_GB2312" w:eastAsia="仿宋_GB2312" w:cs="仿宋_GB2312"/>
          <w:b/>
          <w:bCs/>
          <w:kern w:val="0"/>
          <w:sz w:val="32"/>
          <w:szCs w:val="32"/>
        </w:rPr>
        <w:t>7.党建工作。</w:t>
      </w:r>
      <w:r>
        <w:rPr>
          <w:rFonts w:hint="eastAsia" w:ascii="仿宋_GB2312" w:hAnsi="仿宋_GB2312" w:eastAsia="仿宋_GB2312" w:cs="仿宋_GB2312"/>
          <w:spacing w:val="6"/>
          <w:sz w:val="32"/>
          <w:szCs w:val="32"/>
        </w:rPr>
        <w:t>深入开展党史学习教育</w:t>
      </w:r>
      <w:r>
        <w:rPr>
          <w:rFonts w:hint="eastAsia" w:ascii="仿宋_GB2312" w:hAnsi="仿宋_GB2312" w:cs="仿宋_GB2312"/>
          <w:spacing w:val="6"/>
          <w:sz w:val="32"/>
          <w:szCs w:val="32"/>
        </w:rPr>
        <w:t>，</w:t>
      </w:r>
      <w:r>
        <w:rPr>
          <w:rFonts w:hint="eastAsia" w:ascii="仿宋_GB2312" w:hAnsi="仿宋_GB2312" w:eastAsia="仿宋_GB2312" w:cs="仿宋_GB2312"/>
          <w:spacing w:val="6"/>
          <w:sz w:val="32"/>
          <w:szCs w:val="32"/>
        </w:rPr>
        <w:t>认真落实“三会一课”制度。</w:t>
      </w:r>
      <w:bookmarkEnd w:id="19"/>
      <w:bookmarkEnd w:id="20"/>
    </w:p>
    <w:p>
      <w:pPr>
        <w:pStyle w:val="12"/>
        <w:spacing w:before="0" w:after="0" w:line="560" w:lineRule="exact"/>
        <w:ind w:firstLine="640" w:firstLineChars="200"/>
        <w:rPr>
          <w:rStyle w:val="28"/>
          <w:b w:val="0"/>
          <w:bCs w:val="0"/>
        </w:rPr>
      </w:pPr>
      <w:bookmarkStart w:id="21" w:name="_Toc20589"/>
      <w:bookmarkStart w:id="22" w:name="_Toc15396601"/>
      <w:bookmarkStart w:id="23" w:name="_Toc15377200"/>
      <w:r>
        <w:rPr>
          <w:rFonts w:hint="eastAsia" w:ascii="黑体" w:eastAsia="黑体"/>
          <w:b w:val="0"/>
        </w:rPr>
        <w:t>二、</w:t>
      </w:r>
      <w:r>
        <w:rPr>
          <w:rFonts w:hint="eastAsia" w:ascii="黑体" w:hAnsi="黑体" w:eastAsia="黑体"/>
          <w:b w:val="0"/>
        </w:rPr>
        <w:t>机</w:t>
      </w:r>
      <w:r>
        <w:rPr>
          <w:rStyle w:val="28"/>
          <w:rFonts w:hint="eastAsia" w:ascii="黑体" w:hAnsi="黑体" w:eastAsia="黑体"/>
          <w:b w:val="0"/>
          <w:bCs w:val="0"/>
        </w:rPr>
        <w:t>构设置</w:t>
      </w:r>
      <w:bookmarkEnd w:id="21"/>
      <w:bookmarkEnd w:id="22"/>
      <w:bookmarkEnd w:id="23"/>
    </w:p>
    <w:p>
      <w:pPr>
        <w:spacing w:line="560" w:lineRule="exact"/>
        <w:ind w:firstLine="800" w:firstLineChars="250"/>
        <w:rPr>
          <w:rFonts w:ascii="仿宋" w:hAnsi="仿宋" w:eastAsia="仿宋"/>
          <w:sz w:val="32"/>
          <w:szCs w:val="32"/>
        </w:rPr>
      </w:pPr>
      <w:r>
        <w:rPr>
          <w:rFonts w:hint="eastAsia" w:ascii="仿宋" w:hAnsi="仿宋" w:eastAsia="仿宋"/>
          <w:sz w:val="32"/>
          <w:szCs w:val="32"/>
        </w:rPr>
        <w:t>通江县行政审批局下属二级单位0个，其中行政单位0个，参照公务员法管理的事业单位</w:t>
      </w:r>
      <w:r>
        <w:rPr>
          <w:rFonts w:hint="eastAsia" w:ascii="仿宋" w:hAnsi="仿宋" w:eastAsia="仿宋"/>
          <w:bCs/>
          <w:sz w:val="32"/>
          <w:szCs w:val="32"/>
        </w:rPr>
        <w:t>0</w:t>
      </w:r>
      <w:r>
        <w:rPr>
          <w:rFonts w:hint="eastAsia" w:ascii="仿宋" w:hAnsi="仿宋" w:eastAsia="仿宋"/>
          <w:sz w:val="32"/>
          <w:szCs w:val="32"/>
        </w:rPr>
        <w:t>个，其他事业单位0个。</w:t>
      </w:r>
    </w:p>
    <w:p>
      <w:pPr>
        <w:widowControl/>
        <w:jc w:val="left"/>
        <w:rPr>
          <w:rFonts w:ascii="仿宋" w:hAnsi="仿宋" w:eastAsia="仿宋"/>
          <w:kern w:val="0"/>
          <w:sz w:val="32"/>
          <w:szCs w:val="32"/>
        </w:rPr>
      </w:pPr>
    </w:p>
    <w:p>
      <w:pPr>
        <w:pStyle w:val="3"/>
        <w:spacing w:before="93"/>
        <w:rPr>
          <w:rFonts w:ascii="仿宋" w:hAnsi="仿宋" w:eastAsia="仿宋"/>
          <w:sz w:val="32"/>
          <w:szCs w:val="32"/>
        </w:rPr>
      </w:pPr>
    </w:p>
    <w:p>
      <w:pPr>
        <w:pStyle w:val="3"/>
        <w:spacing w:before="93"/>
        <w:rPr>
          <w:rFonts w:ascii="仿宋" w:hAnsi="仿宋" w:eastAsia="仿宋"/>
          <w:sz w:val="32"/>
          <w:szCs w:val="32"/>
        </w:rPr>
      </w:pPr>
    </w:p>
    <w:p>
      <w:pPr>
        <w:pStyle w:val="3"/>
        <w:spacing w:before="93"/>
        <w:rPr>
          <w:rFonts w:ascii="仿宋" w:hAnsi="仿宋" w:eastAsia="仿宋"/>
          <w:sz w:val="32"/>
          <w:szCs w:val="32"/>
        </w:rPr>
      </w:pPr>
    </w:p>
    <w:p>
      <w:pPr>
        <w:pStyle w:val="3"/>
        <w:spacing w:before="93"/>
        <w:rPr>
          <w:rFonts w:ascii="仿宋" w:hAnsi="仿宋" w:eastAsia="仿宋"/>
          <w:sz w:val="32"/>
          <w:szCs w:val="32"/>
        </w:rPr>
      </w:pPr>
    </w:p>
    <w:p>
      <w:pPr>
        <w:pStyle w:val="3"/>
        <w:spacing w:before="93"/>
        <w:rPr>
          <w:rFonts w:ascii="仿宋" w:hAnsi="仿宋" w:eastAsia="仿宋"/>
          <w:sz w:val="32"/>
          <w:szCs w:val="32"/>
        </w:rPr>
      </w:pPr>
    </w:p>
    <w:p>
      <w:pPr>
        <w:pStyle w:val="3"/>
        <w:spacing w:before="93"/>
        <w:rPr>
          <w:rFonts w:ascii="仿宋" w:hAnsi="仿宋" w:eastAsia="仿宋"/>
          <w:sz w:val="32"/>
          <w:szCs w:val="32"/>
        </w:rPr>
      </w:pPr>
    </w:p>
    <w:p>
      <w:pPr>
        <w:pStyle w:val="3"/>
        <w:spacing w:before="93"/>
        <w:rPr>
          <w:rFonts w:ascii="仿宋" w:hAnsi="仿宋" w:eastAsia="仿宋"/>
          <w:sz w:val="32"/>
          <w:szCs w:val="32"/>
        </w:rPr>
      </w:pPr>
    </w:p>
    <w:p>
      <w:pPr>
        <w:pStyle w:val="11"/>
        <w:ind w:right="440"/>
        <w:jc w:val="center"/>
        <w:rPr>
          <w:rStyle w:val="27"/>
          <w:rFonts w:ascii="黑体" w:hAnsi="黑体" w:eastAsia="黑体"/>
          <w:b w:val="0"/>
          <w:bCs/>
        </w:rPr>
      </w:pPr>
      <w:bookmarkStart w:id="24" w:name="_Toc15396602"/>
      <w:bookmarkStart w:id="25" w:name="_Toc15377204"/>
      <w:bookmarkStart w:id="26" w:name="_Toc29667"/>
      <w:r>
        <w:rPr>
          <w:rFonts w:hint="eastAsia" w:ascii="黑体" w:hAnsi="黑体" w:eastAsia="黑体"/>
          <w:b w:val="0"/>
        </w:rPr>
        <w:t>第</w:t>
      </w:r>
      <w:r>
        <w:rPr>
          <w:rFonts w:hint="eastAsia" w:ascii="黑体" w:hAnsi="黑体" w:eastAsia="黑体"/>
          <w:b w:val="0"/>
          <w:u w:val="none" w:color="000000"/>
          <w:shd w:val="clear" w:fill="auto"/>
        </w:rPr>
        <w:t>二</w:t>
      </w:r>
      <w:r>
        <w:rPr>
          <w:rFonts w:hint="eastAsia" w:ascii="黑体" w:hAnsi="黑体" w:eastAsia="黑体"/>
          <w:b w:val="0"/>
          <w:u w:val="none" w:color="000000"/>
          <w:shd w:val="clear" w:fill="auto"/>
        </w:rPr>
        <w:t>部分</w:t>
      </w:r>
      <w:r>
        <w:rPr>
          <w:rFonts w:hint="eastAsia" w:ascii="黑体" w:hAnsi="黑体" w:eastAsia="黑体"/>
          <w:b w:val="0"/>
        </w:rPr>
        <w:t xml:space="preserve"> 2021年度</w:t>
      </w:r>
      <w:r>
        <w:rPr>
          <w:rStyle w:val="27"/>
          <w:rFonts w:hint="eastAsia" w:ascii="黑体" w:hAnsi="黑体" w:eastAsia="黑体"/>
          <w:b w:val="0"/>
          <w:bCs/>
        </w:rPr>
        <w:t>部门决算情况说明</w:t>
      </w:r>
      <w:bookmarkEnd w:id="24"/>
      <w:bookmarkEnd w:id="25"/>
      <w:bookmarkEnd w:id="26"/>
    </w:p>
    <w:p/>
    <w:p>
      <w:pPr>
        <w:pStyle w:val="26"/>
        <w:spacing w:line="600" w:lineRule="exact"/>
        <w:ind w:firstLine="640"/>
        <w:outlineLvl w:val="1"/>
        <w:rPr>
          <w:rStyle w:val="28"/>
          <w:rFonts w:ascii="黑体" w:hAnsi="黑体" w:eastAsia="黑体"/>
          <w:b w:val="0"/>
        </w:rPr>
      </w:pPr>
      <w:bookmarkStart w:id="27" w:name="_Toc15377205"/>
      <w:bookmarkStart w:id="28" w:name="_Toc7216"/>
      <w:bookmarkStart w:id="29" w:name="_Toc15396603"/>
      <w:r>
        <w:rPr>
          <w:rFonts w:hint="eastAsia" w:ascii="黑体" w:hAnsi="黑体" w:eastAsia="黑体"/>
          <w:sz w:val="32"/>
          <w:szCs w:val="32"/>
        </w:rPr>
        <w:t>一、收</w:t>
      </w:r>
      <w:r>
        <w:rPr>
          <w:rStyle w:val="28"/>
          <w:rFonts w:hint="eastAsia" w:ascii="黑体" w:hAnsi="黑体" w:eastAsia="黑体"/>
          <w:b w:val="0"/>
        </w:rPr>
        <w:t>入支出</w:t>
      </w:r>
      <w:r>
        <w:rPr>
          <w:rFonts w:hint="eastAsia" w:ascii="黑体" w:hAnsi="黑体" w:eastAsia="黑体"/>
        </w:rPr>
        <w:t>决算总体情况说明</w:t>
      </w:r>
      <w:bookmarkEnd w:id="27"/>
      <w:bookmarkEnd w:id="28"/>
      <w:bookmarkEnd w:id="29"/>
    </w:p>
    <w:p>
      <w:pPr>
        <w:spacing w:line="600" w:lineRule="exact"/>
        <w:ind w:firstLine="640" w:firstLineChars="200"/>
        <w:rPr>
          <w:rFonts w:ascii="仿宋" w:hAnsi="仿宋" w:eastAsia="仿宋"/>
          <w:sz w:val="32"/>
          <w:szCs w:val="32"/>
        </w:rPr>
      </w:pPr>
      <w:r>
        <w:rPr>
          <w:rFonts w:hint="eastAsia" w:ascii="仿宋" w:hAnsi="仿宋" w:eastAsia="仿宋"/>
          <w:sz w:val="32"/>
          <w:szCs w:val="32"/>
        </w:rPr>
        <w:t>2021年度收、支总计221.77万元。与2020年相比，收、支总计各减少25.99万元，下降10.49</w:t>
      </w:r>
      <w:r>
        <w:rPr>
          <w:rFonts w:ascii="仿宋" w:hAnsi="仿宋" w:eastAsia="仿宋"/>
          <w:sz w:val="32"/>
          <w:szCs w:val="32"/>
        </w:rPr>
        <w:t>%</w:t>
      </w:r>
      <w:r>
        <w:rPr>
          <w:rFonts w:hint="eastAsia" w:ascii="仿宋" w:hAnsi="仿宋" w:eastAsia="仿宋"/>
          <w:sz w:val="32"/>
          <w:szCs w:val="32"/>
        </w:rPr>
        <w:t>。主要变动原因是减少项目支出。</w:t>
      </w:r>
    </w:p>
    <w:p>
      <w:pPr>
        <w:spacing w:line="600" w:lineRule="exact"/>
        <w:ind w:firstLine="640" w:firstLineChars="200"/>
        <w:rPr>
          <w:rFonts w:ascii="仿宋" w:hAnsi="仿宋" w:eastAsia="仿宋"/>
          <w:sz w:val="32"/>
          <w:szCs w:val="32"/>
        </w:rPr>
      </w:pPr>
      <w:bookmarkStart w:id="30" w:name="_Toc15396604"/>
      <w:bookmarkStart w:id="31" w:name="_Toc15377206"/>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w:t>
      </w:r>
    </w:p>
    <w:p>
      <w:pPr>
        <w:pStyle w:val="26"/>
        <w:ind w:firstLine="0" w:firstLineChars="0"/>
        <w:outlineLvl w:val="1"/>
        <w:rPr>
          <w:rStyle w:val="28"/>
          <w:rFonts w:ascii="黑体" w:hAnsi="黑体" w:eastAsia="黑体"/>
          <w:b w:val="0"/>
        </w:rPr>
      </w:pPr>
      <w:bookmarkStart w:id="32" w:name="_Toc29744"/>
      <w:r>
        <w:object>
          <v:shape id="_x0000_i1025" o:spt="75" type="#_x0000_t75" style="height:226.2pt;width:423pt;" o:ole="t" filled="f" coordsize="21600,21600">
            <v:path/>
            <v:fill on="f" focussize="0,0"/>
            <v:stroke/>
            <v:imagedata r:id="rId15" o:title=""/>
            <o:lock v:ext="edit" aspectratio="t"/>
            <w10:wrap type="none"/>
            <w10:anchorlock/>
          </v:shape>
          <o:OLEObject Type="Embed" ProgID="Excel.Sheet.8" ShapeID="_x0000_i1025" DrawAspect="Content" ObjectID="_1468075725" r:id="rId14">
            <o:LockedField>false</o:LockedField>
          </o:OLEObject>
        </w:object>
      </w:r>
      <w:r>
        <w:rPr>
          <w:rStyle w:val="28"/>
          <w:rFonts w:hint="eastAsia" w:ascii="黑体" w:hAnsi="黑体" w:eastAsia="黑体"/>
          <w:b w:val="0"/>
        </w:rPr>
        <w:t>二、收入决算情况说明</w:t>
      </w:r>
      <w:bookmarkEnd w:id="30"/>
      <w:bookmarkEnd w:id="31"/>
      <w:bookmarkEnd w:id="32"/>
    </w:p>
    <w:p>
      <w:pPr>
        <w:spacing w:line="600" w:lineRule="exact"/>
        <w:ind w:firstLine="640" w:firstLineChars="200"/>
        <w:outlineLvl w:val="1"/>
        <w:rPr>
          <w:rFonts w:ascii="仿宋" w:hAnsi="仿宋" w:eastAsia="仿宋"/>
          <w:sz w:val="32"/>
          <w:szCs w:val="32"/>
        </w:rPr>
      </w:pPr>
      <w:bookmarkStart w:id="33" w:name="_Toc7849"/>
      <w:r>
        <w:rPr>
          <w:rFonts w:ascii="仿宋" w:hAnsi="仿宋" w:eastAsia="仿宋"/>
          <w:sz w:val="32"/>
          <w:szCs w:val="32"/>
        </w:rPr>
        <w:t>20</w:t>
      </w:r>
      <w:r>
        <w:rPr>
          <w:rFonts w:hint="eastAsia" w:ascii="仿宋" w:hAnsi="仿宋" w:eastAsia="仿宋"/>
          <w:sz w:val="32"/>
          <w:szCs w:val="32"/>
        </w:rPr>
        <w:t>21年本年收入合计221.77万元，其中：一般公共预算财政拨款收入221.77万元，占100</w:t>
      </w:r>
      <w:r>
        <w:rPr>
          <w:rFonts w:ascii="仿宋" w:hAnsi="仿宋" w:eastAsia="仿宋"/>
          <w:sz w:val="32"/>
          <w:szCs w:val="32"/>
        </w:rPr>
        <w:t>%</w:t>
      </w:r>
      <w:r>
        <w:rPr>
          <w:rFonts w:hint="eastAsia" w:ascii="仿宋" w:hAnsi="仿宋" w:eastAsia="仿宋"/>
          <w:sz w:val="32"/>
          <w:szCs w:val="32"/>
        </w:rPr>
        <w:t>；政府性基金预算财政拨款收入0万元，占0</w:t>
      </w:r>
      <w:r>
        <w:rPr>
          <w:rFonts w:ascii="仿宋" w:hAnsi="仿宋" w:eastAsia="仿宋"/>
          <w:sz w:val="32"/>
          <w:szCs w:val="32"/>
        </w:rPr>
        <w:t>%</w:t>
      </w:r>
      <w:r>
        <w:rPr>
          <w:rFonts w:hint="eastAsia" w:ascii="仿宋" w:hAnsi="仿宋" w:eastAsia="仿宋"/>
          <w:sz w:val="32"/>
          <w:szCs w:val="32"/>
        </w:rPr>
        <w:t>；国有资本经营预算财政拨款收入0万元，占0</w:t>
      </w:r>
      <w:r>
        <w:rPr>
          <w:rFonts w:ascii="仿宋" w:hAnsi="仿宋" w:eastAsia="仿宋"/>
          <w:sz w:val="32"/>
          <w:szCs w:val="32"/>
        </w:rPr>
        <w:t>%</w:t>
      </w:r>
      <w:r>
        <w:rPr>
          <w:rFonts w:hint="eastAsia" w:ascii="仿宋" w:hAnsi="仿宋" w:eastAsia="仿宋"/>
          <w:sz w:val="32"/>
          <w:szCs w:val="32"/>
        </w:rPr>
        <w:t>；上级补助收入0万元，占0</w:t>
      </w:r>
      <w:r>
        <w:rPr>
          <w:rFonts w:ascii="仿宋" w:hAnsi="仿宋" w:eastAsia="仿宋"/>
          <w:sz w:val="32"/>
          <w:szCs w:val="32"/>
        </w:rPr>
        <w:t>%</w:t>
      </w:r>
      <w:r>
        <w:rPr>
          <w:rFonts w:hint="eastAsia" w:ascii="仿宋" w:hAnsi="仿宋" w:eastAsia="仿宋"/>
          <w:sz w:val="32"/>
          <w:szCs w:val="32"/>
        </w:rPr>
        <w:t>；事业收入0万元，占0</w:t>
      </w:r>
      <w:r>
        <w:rPr>
          <w:rFonts w:ascii="仿宋" w:hAnsi="仿宋" w:eastAsia="仿宋"/>
          <w:sz w:val="32"/>
          <w:szCs w:val="32"/>
        </w:rPr>
        <w:t>%</w:t>
      </w:r>
      <w:r>
        <w:rPr>
          <w:rFonts w:hint="eastAsia" w:ascii="仿宋" w:hAnsi="仿宋" w:eastAsia="仿宋"/>
          <w:sz w:val="32"/>
          <w:szCs w:val="32"/>
        </w:rPr>
        <w:t>；经营收入0万元，占比0</w:t>
      </w:r>
      <w:r>
        <w:rPr>
          <w:rFonts w:ascii="仿宋" w:hAnsi="仿宋" w:eastAsia="仿宋"/>
          <w:sz w:val="32"/>
          <w:szCs w:val="32"/>
        </w:rPr>
        <w:t>%</w:t>
      </w:r>
      <w:r>
        <w:rPr>
          <w:rFonts w:hint="eastAsia" w:ascii="仿宋" w:hAnsi="仿宋" w:eastAsia="仿宋"/>
          <w:sz w:val="32"/>
          <w:szCs w:val="32"/>
        </w:rPr>
        <w:t>；附属单位上缴收入0万元，占0</w:t>
      </w:r>
      <w:r>
        <w:rPr>
          <w:rFonts w:ascii="仿宋" w:hAnsi="仿宋" w:eastAsia="仿宋"/>
          <w:sz w:val="32"/>
          <w:szCs w:val="32"/>
        </w:rPr>
        <w:t>%</w:t>
      </w:r>
      <w:r>
        <w:rPr>
          <w:rFonts w:hint="eastAsia" w:ascii="仿宋" w:hAnsi="仿宋" w:eastAsia="仿宋"/>
          <w:sz w:val="32"/>
          <w:szCs w:val="32"/>
        </w:rPr>
        <w:t>；其他收入0万元，占0</w:t>
      </w:r>
      <w:r>
        <w:rPr>
          <w:rFonts w:ascii="仿宋" w:hAnsi="仿宋" w:eastAsia="仿宋"/>
          <w:sz w:val="32"/>
          <w:szCs w:val="32"/>
        </w:rPr>
        <w:t>%</w:t>
      </w:r>
      <w:r>
        <w:rPr>
          <w:rFonts w:hint="eastAsia" w:ascii="仿宋" w:hAnsi="仿宋" w:eastAsia="仿宋"/>
          <w:sz w:val="32"/>
          <w:szCs w:val="32"/>
        </w:rPr>
        <w:t>。</w:t>
      </w:r>
      <w:bookmarkEnd w:id="33"/>
    </w:p>
    <w:p>
      <w:pPr>
        <w:spacing w:line="600" w:lineRule="exact"/>
        <w:ind w:firstLine="640" w:firstLineChars="200"/>
        <w:rPr>
          <w:rFonts w:ascii="仿宋" w:hAnsi="仿宋" w:eastAsia="仿宋"/>
          <w:sz w:val="32"/>
          <w:szCs w:val="32"/>
        </w:rPr>
      </w:pPr>
    </w:p>
    <w:p>
      <w:pPr>
        <w:spacing w:line="600" w:lineRule="exact"/>
        <w:ind w:firstLine="640" w:firstLineChars="200"/>
        <w:rPr>
          <w:rFonts w:ascii="仿宋" w:hAnsi="仿宋" w:eastAsia="仿宋"/>
          <w:sz w:val="32"/>
          <w:szCs w:val="32"/>
        </w:rPr>
      </w:pPr>
      <w:r>
        <w:rPr>
          <w:rFonts w:hint="eastAsia" w:ascii="仿宋" w:hAnsi="仿宋" w:eastAsia="仿宋"/>
          <w:sz w:val="32"/>
          <w:szCs w:val="32"/>
        </w:rPr>
        <w:t>图2：收入决算结构图</w:t>
      </w:r>
    </w:p>
    <w:p>
      <w:pPr>
        <w:pStyle w:val="3"/>
        <w:spacing w:before="93"/>
        <w:rPr>
          <w:b/>
          <w:bCs/>
        </w:rPr>
      </w:pPr>
      <w:r>
        <w:rPr>
          <w:rFonts w:hint="eastAsia" w:ascii="宋体" w:hAnsi="宋体" w:eastAsia="宋体" w:cs="宋体"/>
        </w:rPr>
        <w:object>
          <v:shape id="_x0000_i1026" o:spt="75" type="#_x0000_t75" style="height:214.8pt;width:431.4pt;" o:ole="t" filled="f" coordsize="21600,21600">
            <v:path/>
            <v:fill on="f" focussize="0,0"/>
            <v:stroke/>
            <v:imagedata r:id="rId17" o:title=""/>
            <o:lock v:ext="edit" aspectratio="t"/>
            <w10:wrap type="none"/>
            <w10:anchorlock/>
          </v:shape>
          <o:OLEObject Type="Embed" ProgID="Excel.Sheet.8" ShapeID="_x0000_i1026" DrawAspect="Content" ObjectID="_1468075726" r:id="rId16">
            <o:LockedField>false</o:LockedField>
          </o:OLEObject>
        </w:object>
      </w:r>
    </w:p>
    <w:p>
      <w:pPr>
        <w:pStyle w:val="26"/>
        <w:spacing w:line="600" w:lineRule="exact"/>
        <w:ind w:firstLine="640"/>
        <w:outlineLvl w:val="1"/>
        <w:rPr>
          <w:rStyle w:val="28"/>
          <w:rFonts w:ascii="黑体" w:hAnsi="黑体" w:eastAsia="黑体"/>
          <w:b w:val="0"/>
        </w:rPr>
      </w:pPr>
      <w:bookmarkStart w:id="34" w:name="_Toc22595"/>
      <w:bookmarkStart w:id="35" w:name="_Toc15396605"/>
      <w:bookmarkStart w:id="36" w:name="_Toc15377207"/>
      <w:r>
        <w:rPr>
          <w:rFonts w:hint="eastAsia" w:ascii="黑体" w:hAnsi="黑体" w:eastAsia="黑体"/>
          <w:sz w:val="32"/>
          <w:szCs w:val="32"/>
        </w:rPr>
        <w:t>三、支出决算情况说明</w:t>
      </w:r>
      <w:bookmarkEnd w:id="34"/>
      <w:bookmarkEnd w:id="35"/>
      <w:bookmarkEnd w:id="36"/>
    </w:p>
    <w:p>
      <w:pPr>
        <w:spacing w:line="600" w:lineRule="exact"/>
        <w:ind w:firstLine="640" w:firstLineChars="200"/>
        <w:outlineLvl w:val="1"/>
        <w:rPr>
          <w:rFonts w:ascii="仿宋" w:hAnsi="仿宋" w:eastAsia="仿宋"/>
          <w:sz w:val="32"/>
          <w:szCs w:val="32"/>
        </w:rPr>
      </w:pPr>
      <w:bookmarkStart w:id="37" w:name="_Toc20249"/>
      <w:r>
        <w:rPr>
          <w:rFonts w:ascii="仿宋" w:hAnsi="仿宋" w:eastAsia="仿宋"/>
          <w:sz w:val="32"/>
          <w:szCs w:val="32"/>
        </w:rPr>
        <w:t>20</w:t>
      </w:r>
      <w:r>
        <w:rPr>
          <w:rFonts w:hint="eastAsia" w:ascii="仿宋" w:hAnsi="仿宋" w:eastAsia="仿宋"/>
          <w:sz w:val="32"/>
          <w:szCs w:val="32"/>
        </w:rPr>
        <w:t>21年本年支出合计221.77万元，其中：基本支出209.57万元，占94.50</w:t>
      </w:r>
      <w:r>
        <w:rPr>
          <w:rFonts w:ascii="仿宋" w:hAnsi="仿宋" w:eastAsia="仿宋"/>
          <w:sz w:val="32"/>
          <w:szCs w:val="32"/>
        </w:rPr>
        <w:t>%</w:t>
      </w:r>
      <w:r>
        <w:rPr>
          <w:rFonts w:hint="eastAsia" w:ascii="仿宋" w:hAnsi="仿宋" w:eastAsia="仿宋"/>
          <w:sz w:val="32"/>
          <w:szCs w:val="32"/>
        </w:rPr>
        <w:t>；项目支出12.2万元，占比5.5</w:t>
      </w:r>
      <w:r>
        <w:rPr>
          <w:rFonts w:ascii="仿宋" w:hAnsi="仿宋" w:eastAsia="仿宋"/>
          <w:sz w:val="32"/>
          <w:szCs w:val="32"/>
        </w:rPr>
        <w:t>%</w:t>
      </w:r>
      <w:r>
        <w:rPr>
          <w:rFonts w:hint="eastAsia" w:ascii="仿宋" w:hAnsi="仿宋" w:eastAsia="仿宋"/>
          <w:sz w:val="32"/>
          <w:szCs w:val="32"/>
        </w:rPr>
        <w:t>；上缴上级支出0万元，占0</w:t>
      </w:r>
      <w:r>
        <w:rPr>
          <w:rFonts w:ascii="仿宋" w:hAnsi="仿宋" w:eastAsia="仿宋"/>
          <w:sz w:val="32"/>
          <w:szCs w:val="32"/>
        </w:rPr>
        <w:t>%</w:t>
      </w:r>
      <w:r>
        <w:rPr>
          <w:rFonts w:hint="eastAsia" w:ascii="仿宋" w:hAnsi="仿宋" w:eastAsia="仿宋"/>
          <w:sz w:val="32"/>
          <w:szCs w:val="32"/>
        </w:rPr>
        <w:t>；经营支出0万元，占0</w:t>
      </w:r>
      <w:r>
        <w:rPr>
          <w:rFonts w:ascii="仿宋" w:hAnsi="仿宋" w:eastAsia="仿宋"/>
          <w:sz w:val="32"/>
          <w:szCs w:val="32"/>
        </w:rPr>
        <w:t>%</w:t>
      </w:r>
      <w:r>
        <w:rPr>
          <w:rFonts w:hint="eastAsia" w:ascii="仿宋" w:hAnsi="仿宋" w:eastAsia="仿宋"/>
          <w:sz w:val="32"/>
          <w:szCs w:val="32"/>
        </w:rPr>
        <w:t>；对附属单位补助支出0万元，占0</w:t>
      </w:r>
      <w:r>
        <w:rPr>
          <w:rFonts w:ascii="仿宋" w:hAnsi="仿宋" w:eastAsia="仿宋"/>
          <w:sz w:val="32"/>
          <w:szCs w:val="32"/>
        </w:rPr>
        <w:t>%</w:t>
      </w:r>
      <w:r>
        <w:rPr>
          <w:rFonts w:hint="eastAsia" w:ascii="仿宋" w:hAnsi="仿宋" w:eastAsia="仿宋"/>
          <w:sz w:val="32"/>
          <w:szCs w:val="32"/>
        </w:rPr>
        <w:t>。</w:t>
      </w:r>
      <w:bookmarkEnd w:id="37"/>
    </w:p>
    <w:p>
      <w:pPr>
        <w:spacing w:line="600" w:lineRule="exact"/>
        <w:ind w:firstLine="640" w:firstLineChars="200"/>
        <w:rPr>
          <w:color w:val="000000" w:themeColor="text1"/>
          <w:sz w:val="28"/>
          <w:szCs w:val="28"/>
        </w:rPr>
      </w:pPr>
      <w:r>
        <w:rPr>
          <w:rFonts w:hint="eastAsia" w:ascii="仿宋" w:hAnsi="仿宋" w:eastAsia="仿宋"/>
          <w:sz w:val="32"/>
          <w:szCs w:val="32"/>
        </w:rPr>
        <w:t>图3：支出决算结构图</w:t>
      </w:r>
    </w:p>
    <w:p>
      <w:pPr>
        <w:ind w:firstLine="420" w:firstLineChars="200"/>
        <w:rPr>
          <w:rFonts w:ascii="仿宋" w:hAnsi="仿宋" w:eastAsia="仿宋"/>
          <w:sz w:val="32"/>
          <w:szCs w:val="32"/>
        </w:rPr>
      </w:pPr>
      <w:bookmarkStart w:id="107" w:name="_GoBack"/>
      <w:r>
        <w:object>
          <v:shape id="_x0000_i1027" o:spt="75" alt="" type="#_x0000_t75" style="height:220.45pt;width:391.8pt;" o:ole="t" filled="f" o:preferrelative="t" stroked="f" coordsize="21600,21600">
            <v:path/>
            <v:fill on="f" focussize="0,0"/>
            <v:stroke on="f"/>
            <v:imagedata r:id="rId19" o:title=""/>
            <o:lock v:ext="edit" aspectratio="t"/>
            <w10:wrap type="none"/>
            <w10:anchorlock/>
          </v:shape>
          <o:OLEObject Type="Embed" ProgID="Excel.Sheet.8" ShapeID="_x0000_i1027" DrawAspect="Content" ObjectID="_1468075727" r:id="rId18">
            <o:LockedField>false</o:LockedField>
          </o:OLEObject>
        </w:object>
      </w:r>
      <w:bookmarkEnd w:id="107"/>
    </w:p>
    <w:p>
      <w:pPr>
        <w:spacing w:line="600" w:lineRule="exact"/>
        <w:rPr>
          <w:rFonts w:ascii="仿宋_GB2312" w:eastAsia="仿宋_GB2312"/>
          <w:sz w:val="32"/>
          <w:szCs w:val="32"/>
        </w:rPr>
      </w:pPr>
    </w:p>
    <w:p>
      <w:pPr>
        <w:spacing w:line="600" w:lineRule="exact"/>
        <w:ind w:firstLine="640" w:firstLineChars="200"/>
        <w:outlineLvl w:val="1"/>
        <w:rPr>
          <w:rStyle w:val="28"/>
          <w:rFonts w:ascii="黑体" w:hAnsi="黑体" w:eastAsia="黑体"/>
          <w:b w:val="0"/>
        </w:rPr>
      </w:pPr>
      <w:bookmarkStart w:id="38" w:name="_Toc15377208"/>
      <w:bookmarkStart w:id="39" w:name="_Toc15396606"/>
      <w:bookmarkStart w:id="40" w:name="_Toc21400"/>
      <w:r>
        <w:rPr>
          <w:rFonts w:hint="eastAsia" w:ascii="黑体" w:hAnsi="黑体" w:eastAsia="黑体"/>
          <w:sz w:val="32"/>
          <w:szCs w:val="32"/>
        </w:rPr>
        <w:t>四、财</w:t>
      </w:r>
      <w:r>
        <w:rPr>
          <w:rStyle w:val="28"/>
          <w:rFonts w:hint="eastAsia" w:ascii="黑体" w:hAnsi="黑体" w:eastAsia="黑体"/>
          <w:b w:val="0"/>
        </w:rPr>
        <w:t>政拨款收入支出</w:t>
      </w:r>
      <w:r>
        <w:rPr>
          <w:rFonts w:hint="eastAsia" w:ascii="黑体" w:hAnsi="黑体" w:eastAsia="黑体"/>
          <w:sz w:val="32"/>
          <w:szCs w:val="32"/>
        </w:rPr>
        <w:t>决算总体情况说明</w:t>
      </w:r>
      <w:bookmarkEnd w:id="38"/>
      <w:bookmarkEnd w:id="39"/>
      <w:bookmarkEnd w:id="40"/>
    </w:p>
    <w:p>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21年财政拨款收、支总计221.77万元。与</w:t>
      </w:r>
      <w:r>
        <w:rPr>
          <w:rFonts w:ascii="仿宋" w:hAnsi="仿宋" w:eastAsia="仿宋"/>
          <w:sz w:val="32"/>
          <w:szCs w:val="32"/>
        </w:rPr>
        <w:t>20</w:t>
      </w:r>
      <w:r>
        <w:rPr>
          <w:rFonts w:hint="eastAsia" w:ascii="仿宋" w:hAnsi="仿宋" w:eastAsia="仿宋"/>
          <w:sz w:val="32"/>
          <w:szCs w:val="32"/>
        </w:rPr>
        <w:t>20年相比，财政拨款收、支总计各减少25.99万元，下降10.49</w:t>
      </w:r>
      <w:r>
        <w:rPr>
          <w:rFonts w:ascii="仿宋" w:hAnsi="仿宋" w:eastAsia="仿宋"/>
          <w:sz w:val="32"/>
          <w:szCs w:val="32"/>
        </w:rPr>
        <w:t>%</w:t>
      </w:r>
      <w:r>
        <w:rPr>
          <w:rFonts w:hint="eastAsia" w:ascii="仿宋" w:hAnsi="仿宋" w:eastAsia="仿宋"/>
          <w:sz w:val="32"/>
          <w:szCs w:val="32"/>
        </w:rPr>
        <w:t>。主要变动原因是项目支出减少。</w:t>
      </w:r>
    </w:p>
    <w:p>
      <w:pPr>
        <w:rPr>
          <w:rFonts w:ascii="仿宋" w:hAnsi="仿宋" w:eastAsia="仿宋"/>
          <w:b/>
          <w:sz w:val="32"/>
          <w:szCs w:val="32"/>
        </w:rPr>
      </w:pPr>
      <w:r>
        <w:object>
          <v:shape id="_x0000_i1028" o:spt="75" type="#_x0000_t75" style="height:203.4pt;width:396pt;" o:ole="t" filled="f" coordsize="21600,21600">
            <v:path/>
            <v:fill on="f" focussize="0,0"/>
            <v:stroke/>
            <v:imagedata r:id="rId21" o:title=""/>
            <o:lock v:ext="edit" aspectratio="t"/>
            <w10:wrap type="none"/>
            <w10:anchorlock/>
          </v:shape>
          <o:OLEObject Type="Embed" ProgID="Excel.Sheet.8" ShapeID="_x0000_i1028" DrawAspect="Content" ObjectID="_1468075728" r:id="rId20">
            <o:LockedField>false</o:LockedField>
          </o:OLEObject>
        </w:object>
      </w:r>
    </w:p>
    <w:p>
      <w:pPr>
        <w:spacing w:line="600" w:lineRule="exact"/>
        <w:ind w:firstLine="640" w:firstLineChars="200"/>
        <w:outlineLvl w:val="1"/>
        <w:rPr>
          <w:rStyle w:val="28"/>
          <w:rFonts w:ascii="黑体" w:hAnsi="黑体" w:eastAsia="黑体"/>
          <w:b w:val="0"/>
        </w:rPr>
      </w:pPr>
      <w:bookmarkStart w:id="41" w:name="_Toc15377209"/>
      <w:bookmarkStart w:id="42" w:name="_Toc20291"/>
      <w:bookmarkStart w:id="43" w:name="_Toc15396607"/>
      <w:r>
        <w:rPr>
          <w:rFonts w:hint="eastAsia" w:ascii="黑体" w:hAnsi="黑体" w:eastAsia="黑体"/>
          <w:sz w:val="32"/>
          <w:szCs w:val="32"/>
        </w:rPr>
        <w:t>五、</w:t>
      </w:r>
      <w:r>
        <w:rPr>
          <w:rFonts w:hint="eastAsia" w:ascii="黑体" w:hAnsi="黑体" w:eastAsia="黑体"/>
          <w:b/>
          <w:sz w:val="32"/>
          <w:szCs w:val="32"/>
        </w:rPr>
        <w:t>一</w:t>
      </w:r>
      <w:r>
        <w:rPr>
          <w:rStyle w:val="28"/>
          <w:rFonts w:hint="eastAsia" w:ascii="黑体" w:hAnsi="黑体" w:eastAsia="黑体"/>
          <w:b w:val="0"/>
        </w:rPr>
        <w:t>般公</w:t>
      </w:r>
      <w:r>
        <w:rPr>
          <w:rFonts w:hint="eastAsia" w:ascii="黑体" w:hAnsi="黑体" w:eastAsia="黑体"/>
        </w:rPr>
        <w:t>共</w:t>
      </w:r>
      <w:r>
        <w:rPr>
          <w:rStyle w:val="28"/>
          <w:rFonts w:hint="eastAsia" w:ascii="黑体" w:hAnsi="黑体" w:eastAsia="黑体"/>
          <w:b w:val="0"/>
        </w:rPr>
        <w:t>预算</w:t>
      </w:r>
      <w:r>
        <w:rPr>
          <w:rFonts w:hint="eastAsia" w:ascii="黑体" w:hAnsi="黑体" w:eastAsia="黑体"/>
          <w:sz w:val="32"/>
          <w:szCs w:val="32"/>
        </w:rPr>
        <w:t>财政拨款支出决算情况说明</w:t>
      </w:r>
      <w:bookmarkEnd w:id="41"/>
      <w:bookmarkEnd w:id="42"/>
      <w:bookmarkEnd w:id="43"/>
    </w:p>
    <w:p>
      <w:pPr>
        <w:spacing w:line="600" w:lineRule="exact"/>
        <w:ind w:firstLine="643" w:firstLineChars="200"/>
        <w:outlineLvl w:val="2"/>
        <w:rPr>
          <w:rFonts w:ascii="仿宋" w:hAnsi="仿宋" w:eastAsia="仿宋"/>
          <w:b/>
          <w:sz w:val="32"/>
          <w:szCs w:val="32"/>
        </w:rPr>
      </w:pPr>
      <w:bookmarkStart w:id="44" w:name="_Toc15377210"/>
      <w:r>
        <w:rPr>
          <w:rFonts w:hint="eastAsia" w:ascii="仿宋" w:hAnsi="仿宋" w:eastAsia="仿宋"/>
          <w:b/>
          <w:sz w:val="32"/>
          <w:szCs w:val="32"/>
        </w:rPr>
        <w:t>（一）一般公共预算财政拨款支出决算总体情况</w:t>
      </w:r>
      <w:bookmarkEnd w:id="44"/>
    </w:p>
    <w:p>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21年一般公共预算财政拨款支出221.77万元，占本年支出合计的100</w:t>
      </w:r>
      <w:r>
        <w:rPr>
          <w:rFonts w:ascii="仿宋" w:hAnsi="仿宋" w:eastAsia="仿宋"/>
          <w:sz w:val="32"/>
          <w:szCs w:val="32"/>
        </w:rPr>
        <w:t>%</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20年相比，一般公共预算财政拨款支出减少25.99万元，下降10.49</w:t>
      </w:r>
      <w:r>
        <w:rPr>
          <w:rFonts w:ascii="仿宋" w:hAnsi="仿宋" w:eastAsia="仿宋"/>
          <w:sz w:val="32"/>
          <w:szCs w:val="32"/>
        </w:rPr>
        <w:t>%</w:t>
      </w:r>
      <w:r>
        <w:rPr>
          <w:rFonts w:hint="eastAsia" w:ascii="仿宋" w:hAnsi="仿宋" w:eastAsia="仿宋"/>
          <w:sz w:val="32"/>
          <w:szCs w:val="32"/>
        </w:rPr>
        <w:t>。主要变动原因是项目支出减少。</w:t>
      </w:r>
    </w:p>
    <w:p>
      <w:pPr>
        <w:ind w:firstLine="640" w:firstLineChars="200"/>
        <w:rPr>
          <w:rFonts w:ascii="仿宋" w:hAnsi="仿宋" w:eastAsia="仿宋"/>
          <w:sz w:val="32"/>
          <w:szCs w:val="32"/>
        </w:rPr>
      </w:pPr>
      <w:r>
        <w:rPr>
          <w:rFonts w:ascii="仿宋" w:hAnsi="仿宋" w:eastAsia="仿宋"/>
          <w:color w:val="000000"/>
          <w:sz w:val="32"/>
          <w:szCs w:val="32"/>
        </w:rPr>
        <w:object>
          <v:shape id="_x0000_i1029" o:spt="75" type="#_x0000_t75" style="height:169.2pt;width:341.4pt;" o:ole="t" filled="f" coordsize="21600,21600">
            <v:path/>
            <v:fill on="f" focussize="0,0"/>
            <v:stroke/>
            <v:imagedata r:id="rId23" o:title=""/>
            <o:lock v:ext="edit" aspectratio="t"/>
            <w10:wrap type="none"/>
            <w10:anchorlock/>
          </v:shape>
          <o:OLEObject Type="Embed" ProgID="Excel.Sheet.8" ShapeID="_x0000_i1029" DrawAspect="Content" ObjectID="_1468075729" r:id="rId22">
            <o:LockedField>false</o:LockedField>
          </o:OLEObject>
        </w:object>
      </w:r>
    </w:p>
    <w:p>
      <w:pPr>
        <w:spacing w:line="600" w:lineRule="exact"/>
        <w:ind w:firstLine="643" w:firstLineChars="200"/>
        <w:outlineLvl w:val="2"/>
        <w:rPr>
          <w:rFonts w:ascii="仿宋" w:hAnsi="仿宋" w:eastAsia="仿宋"/>
          <w:b/>
          <w:sz w:val="32"/>
          <w:szCs w:val="32"/>
        </w:rPr>
      </w:pPr>
      <w:bookmarkStart w:id="45" w:name="_Toc15377211"/>
      <w:r>
        <w:rPr>
          <w:rFonts w:hint="eastAsia" w:ascii="仿宋" w:hAnsi="仿宋" w:eastAsia="仿宋"/>
          <w:b/>
          <w:sz w:val="32"/>
          <w:szCs w:val="32"/>
        </w:rPr>
        <w:t>（二）一般公共预算财政拨款支出决算结构情况</w:t>
      </w:r>
      <w:bookmarkEnd w:id="45"/>
    </w:p>
    <w:p>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21年一般公共预算财政拨款支出221.77万元，主要用于以下方面：</w:t>
      </w:r>
      <w:r>
        <w:rPr>
          <w:rFonts w:hint="eastAsia" w:ascii="仿宋" w:hAnsi="仿宋" w:eastAsia="仿宋"/>
          <w:b/>
          <w:sz w:val="32"/>
          <w:szCs w:val="32"/>
        </w:rPr>
        <w:t>一般公共服务（类）</w:t>
      </w:r>
      <w:r>
        <w:rPr>
          <w:rFonts w:hint="eastAsia" w:ascii="仿宋" w:hAnsi="仿宋" w:eastAsia="仿宋"/>
          <w:sz w:val="32"/>
          <w:szCs w:val="32"/>
        </w:rPr>
        <w:t>支出181.52万元，占81.85</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教育支出（类）</w:t>
      </w:r>
      <w:r>
        <w:rPr>
          <w:rFonts w:hint="eastAsia" w:ascii="仿宋" w:hAnsi="仿宋" w:eastAsia="仿宋"/>
          <w:sz w:val="32"/>
          <w:szCs w:val="32"/>
        </w:rPr>
        <w:t>0万元，占0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科学技术（类）</w:t>
      </w:r>
      <w:r>
        <w:rPr>
          <w:rFonts w:hint="eastAsia" w:ascii="仿宋" w:hAnsi="仿宋" w:eastAsia="仿宋"/>
          <w:sz w:val="32"/>
          <w:szCs w:val="32"/>
        </w:rPr>
        <w:t>支出0万元，占0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文化旅游体育与传媒（类）支出0万元，占0</w:t>
      </w:r>
      <w:r>
        <w:rPr>
          <w:rFonts w:ascii="仿宋" w:hAnsi="仿宋" w:eastAsia="仿宋"/>
          <w:b/>
          <w:bCs/>
          <w:sz w:val="32"/>
          <w:szCs w:val="32"/>
        </w:rPr>
        <w:t>%</w:t>
      </w:r>
      <w:r>
        <w:rPr>
          <w:rFonts w:hint="eastAsia" w:ascii="仿宋" w:hAnsi="仿宋" w:eastAsia="仿宋"/>
          <w:sz w:val="32"/>
          <w:szCs w:val="32"/>
        </w:rPr>
        <w:t>；</w:t>
      </w:r>
      <w:r>
        <w:rPr>
          <w:rFonts w:hint="eastAsia" w:ascii="仿宋" w:hAnsi="仿宋" w:eastAsia="仿宋"/>
          <w:b/>
          <w:sz w:val="32"/>
          <w:szCs w:val="32"/>
        </w:rPr>
        <w:t>社会保障和就业（类）</w:t>
      </w:r>
      <w:r>
        <w:rPr>
          <w:rFonts w:hint="eastAsia" w:ascii="仿宋" w:hAnsi="仿宋" w:eastAsia="仿宋"/>
          <w:sz w:val="32"/>
          <w:szCs w:val="32"/>
        </w:rPr>
        <w:t>支出15.56万元，占比7</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rPr>
        <w:t>10.83万元，占4.89</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w:t>
      </w:r>
      <w:r>
        <w:rPr>
          <w:rFonts w:hint="eastAsia" w:ascii="仿宋" w:hAnsi="仿宋" w:eastAsia="仿宋"/>
          <w:sz w:val="32"/>
          <w:szCs w:val="32"/>
        </w:rPr>
        <w:t>支出11.67万元，占比5.27</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农林水</w:t>
      </w:r>
      <w:r>
        <w:rPr>
          <w:rFonts w:hint="eastAsia" w:ascii="仿宋" w:hAnsi="仿宋" w:eastAsia="仿宋"/>
          <w:sz w:val="32"/>
          <w:szCs w:val="32"/>
        </w:rPr>
        <w:t>支出2.2万元，占0.99</w:t>
      </w:r>
      <w:r>
        <w:rPr>
          <w:rFonts w:ascii="仿宋" w:hAnsi="仿宋" w:eastAsia="仿宋"/>
          <w:sz w:val="32"/>
          <w:szCs w:val="32"/>
        </w:rPr>
        <w:t>%</w:t>
      </w:r>
      <w:r>
        <w:rPr>
          <w:rFonts w:hint="eastAsia" w:ascii="仿宋" w:hAnsi="仿宋" w:eastAsia="仿宋"/>
          <w:sz w:val="32"/>
          <w:szCs w:val="32"/>
        </w:rPr>
        <w:t>。</w:t>
      </w:r>
    </w:p>
    <w:p>
      <w:pPr>
        <w:pStyle w:val="3"/>
        <w:spacing w:before="93"/>
      </w:pPr>
    </w:p>
    <w:p>
      <w:pPr>
        <w:rPr>
          <w:rFonts w:ascii="仿宋" w:hAnsi="仿宋" w:eastAsia="仿宋"/>
          <w:sz w:val="32"/>
          <w:szCs w:val="32"/>
        </w:rPr>
      </w:pPr>
      <w:r>
        <w:object>
          <v:shape id="_x0000_i1030" o:spt="75" alt="" type="#_x0000_t75" style="height:241.2pt;width:438.6pt;" o:ole="t" filled="f" o:preferrelative="t" stroked="f" coordsize="21600,21600">
            <v:path/>
            <v:fill on="f" focussize="0,0"/>
            <v:stroke on="f"/>
            <v:imagedata r:id="rId25" o:title=""/>
            <o:lock v:ext="edit" aspectratio="t"/>
            <w10:wrap type="none"/>
            <w10:anchorlock/>
          </v:shape>
          <o:OLEObject Type="Embed" ProgID="Excel.Sheet.8" ShapeID="_x0000_i1030" DrawAspect="Content" ObjectID="_1468075730" r:id="rId24">
            <o:LockedField>false</o:LockedField>
          </o:OLEObject>
        </w:object>
      </w:r>
    </w:p>
    <w:p>
      <w:pPr>
        <w:spacing w:line="600" w:lineRule="exact"/>
        <w:ind w:firstLine="643" w:firstLineChars="200"/>
        <w:outlineLvl w:val="2"/>
        <w:rPr>
          <w:rFonts w:ascii="仿宋" w:hAnsi="仿宋" w:eastAsia="仿宋"/>
          <w:b/>
          <w:sz w:val="32"/>
          <w:szCs w:val="32"/>
        </w:rPr>
      </w:pPr>
      <w:bookmarkStart w:id="46" w:name="_Toc15377212"/>
      <w:r>
        <w:rPr>
          <w:rFonts w:hint="eastAsia" w:ascii="仿宋" w:hAnsi="仿宋" w:eastAsia="仿宋"/>
          <w:b/>
          <w:sz w:val="32"/>
          <w:szCs w:val="32"/>
        </w:rPr>
        <w:t>（三）一般公共预算财政拨款支出决算具体情况</w:t>
      </w:r>
      <w:bookmarkEnd w:id="46"/>
    </w:p>
    <w:p>
      <w:pPr>
        <w:spacing w:line="600" w:lineRule="exact"/>
        <w:ind w:firstLine="643" w:firstLineChars="200"/>
        <w:outlineLvl w:val="2"/>
        <w:rPr>
          <w:rFonts w:ascii="仿宋" w:hAnsi="仿宋" w:eastAsia="仿宋"/>
          <w:sz w:val="32"/>
          <w:szCs w:val="32"/>
        </w:rPr>
      </w:pPr>
      <w:bookmarkStart w:id="47" w:name="_Toc15377444"/>
      <w:bookmarkStart w:id="48" w:name="_Toc15378460"/>
      <w:bookmarkStart w:id="49" w:name="_Toc15377213"/>
      <w:r>
        <w:rPr>
          <w:rFonts w:hint="eastAsia" w:ascii="仿宋" w:hAnsi="仿宋" w:eastAsia="仿宋"/>
          <w:b/>
          <w:sz w:val="32"/>
          <w:szCs w:val="32"/>
        </w:rPr>
        <w:t>2021年一般公共预算支出决算数为</w:t>
      </w:r>
      <w:r>
        <w:rPr>
          <w:rFonts w:ascii="仿宋" w:hAnsi="仿宋" w:eastAsia="仿宋"/>
          <w:b/>
          <w:sz w:val="32"/>
          <w:szCs w:val="32"/>
        </w:rPr>
        <w:t>**</w:t>
      </w:r>
      <w:r>
        <w:rPr>
          <w:rFonts w:hint="eastAsia" w:ascii="仿宋" w:hAnsi="仿宋" w:eastAsia="仿宋"/>
          <w:sz w:val="32"/>
          <w:szCs w:val="32"/>
        </w:rPr>
        <w:t>，</w:t>
      </w:r>
      <w:r>
        <w:rPr>
          <w:rStyle w:val="8"/>
          <w:rFonts w:hint="eastAsia" w:ascii="仿宋" w:hAnsi="仿宋" w:eastAsia="仿宋"/>
          <w:bCs/>
          <w:sz w:val="32"/>
          <w:szCs w:val="32"/>
        </w:rPr>
        <w:t>完成预算</w:t>
      </w:r>
      <w:r>
        <w:rPr>
          <w:rStyle w:val="8"/>
          <w:rFonts w:ascii="仿宋" w:hAnsi="仿宋" w:eastAsia="仿宋"/>
          <w:bCs/>
          <w:sz w:val="32"/>
          <w:szCs w:val="32"/>
        </w:rPr>
        <w:t>**%</w:t>
      </w:r>
      <w:r>
        <w:rPr>
          <w:rStyle w:val="8"/>
          <w:rFonts w:hint="eastAsia" w:ascii="仿宋" w:hAnsi="仿宋" w:eastAsia="仿宋"/>
          <w:bCs/>
          <w:sz w:val="32"/>
          <w:szCs w:val="32"/>
        </w:rPr>
        <w:t>。其中：</w:t>
      </w:r>
      <w:bookmarkEnd w:id="47"/>
      <w:bookmarkEnd w:id="48"/>
      <w:bookmarkEnd w:id="49"/>
    </w:p>
    <w:p>
      <w:pPr>
        <w:spacing w:line="600" w:lineRule="exact"/>
        <w:ind w:firstLine="643" w:firstLineChars="200"/>
        <w:rPr>
          <w:rStyle w:val="8"/>
          <w:rFonts w:ascii="仿宋" w:hAnsi="仿宋" w:eastAsia="仿宋"/>
          <w:b w:val="0"/>
          <w:bCs/>
          <w:sz w:val="32"/>
          <w:szCs w:val="32"/>
        </w:rPr>
      </w:pPr>
      <w:r>
        <w:rPr>
          <w:rStyle w:val="8"/>
          <w:rFonts w:hint="eastAsia" w:ascii="仿宋" w:hAnsi="仿宋" w:eastAsia="仿宋"/>
          <w:bCs/>
          <w:sz w:val="32"/>
          <w:szCs w:val="32"/>
        </w:rPr>
        <w:t>1.一般公</w:t>
      </w:r>
      <w:r>
        <w:rPr>
          <w:rFonts w:hint="eastAsia" w:ascii="仿宋" w:hAnsi="仿宋" w:eastAsia="仿宋"/>
          <w:bCs/>
          <w:sz w:val="32"/>
          <w:szCs w:val="32"/>
        </w:rPr>
        <w:t>共服务（类）</w:t>
      </w:r>
      <w:r>
        <w:rPr>
          <w:rStyle w:val="8"/>
          <w:rFonts w:eastAsia="仿宋_GB2312"/>
          <w:bCs/>
          <w:color w:val="000000"/>
          <w:sz w:val="32"/>
          <w:szCs w:val="32"/>
        </w:rPr>
        <w:t>政府办公</w:t>
      </w:r>
      <w:r>
        <w:rPr>
          <w:rFonts w:eastAsia="仿宋_GB2312"/>
          <w:bCs/>
          <w:color w:val="000000"/>
          <w:sz w:val="32"/>
          <w:szCs w:val="32"/>
        </w:rPr>
        <w:t>厅（室）及相关机构事务</w:t>
      </w:r>
      <w:r>
        <w:rPr>
          <w:rStyle w:val="8"/>
          <w:rFonts w:eastAsia="仿宋_GB2312"/>
          <w:bCs/>
          <w:color w:val="000000"/>
          <w:sz w:val="32"/>
          <w:szCs w:val="32"/>
        </w:rPr>
        <w:t>（款）</w:t>
      </w:r>
      <w:r>
        <w:rPr>
          <w:rStyle w:val="8"/>
          <w:rFonts w:hint="eastAsia" w:eastAsia="仿宋_GB2312"/>
          <w:bCs/>
          <w:color w:val="000000"/>
          <w:sz w:val="32"/>
          <w:szCs w:val="32"/>
        </w:rPr>
        <w:t>行政运行</w:t>
      </w:r>
      <w:r>
        <w:rPr>
          <w:rStyle w:val="8"/>
          <w:rFonts w:eastAsia="仿宋_GB2312"/>
          <w:bCs/>
          <w:color w:val="000000"/>
          <w:sz w:val="32"/>
          <w:szCs w:val="32"/>
        </w:rPr>
        <w:t>（项）</w:t>
      </w:r>
      <w:r>
        <w:rPr>
          <w:rStyle w:val="8"/>
          <w:rFonts w:ascii="仿宋" w:hAnsi="仿宋" w:eastAsia="仿宋"/>
          <w:bCs/>
          <w:sz w:val="32"/>
          <w:szCs w:val="32"/>
        </w:rPr>
        <w:t>:</w:t>
      </w:r>
      <w:r>
        <w:rPr>
          <w:rStyle w:val="8"/>
          <w:rFonts w:hint="eastAsia" w:ascii="仿宋" w:hAnsi="仿宋" w:eastAsia="仿宋"/>
          <w:b w:val="0"/>
          <w:bCs/>
          <w:sz w:val="32"/>
          <w:szCs w:val="32"/>
        </w:rPr>
        <w:t>支出</w:t>
      </w:r>
      <w:r>
        <w:rPr>
          <w:rFonts w:hint="eastAsia" w:ascii="仿宋" w:hAnsi="仿宋" w:eastAsia="仿宋"/>
          <w:bCs/>
          <w:sz w:val="32"/>
          <w:szCs w:val="32"/>
        </w:rPr>
        <w:t>决算为</w:t>
      </w:r>
      <w:r>
        <w:rPr>
          <w:rStyle w:val="8"/>
          <w:rFonts w:hint="eastAsia" w:ascii="仿宋" w:hAnsi="仿宋" w:eastAsia="仿宋"/>
          <w:b w:val="0"/>
          <w:bCs/>
          <w:sz w:val="32"/>
          <w:szCs w:val="32"/>
        </w:rPr>
        <w:t>97.08万元，完成</w:t>
      </w:r>
      <w:r>
        <w:rPr>
          <w:rStyle w:val="8"/>
          <w:rFonts w:hint="eastAsia" w:ascii="仿宋" w:hAnsi="仿宋" w:eastAsia="仿宋"/>
          <w:b w:val="0"/>
          <w:bCs/>
          <w:sz w:val="32"/>
          <w:szCs w:val="32"/>
          <w:lang w:eastAsia="zh-CN"/>
        </w:rPr>
        <w:t>预算的100%</w:t>
      </w:r>
      <w:r>
        <w:rPr>
          <w:rStyle w:val="8"/>
          <w:rFonts w:hint="eastAsia" w:ascii="仿宋" w:hAnsi="仿宋" w:eastAsia="仿宋"/>
          <w:b w:val="0"/>
          <w:bCs/>
          <w:sz w:val="32"/>
          <w:szCs w:val="32"/>
        </w:rPr>
        <w:t>。</w:t>
      </w:r>
    </w:p>
    <w:p>
      <w:pPr>
        <w:spacing w:line="600" w:lineRule="exact"/>
        <w:ind w:firstLine="643" w:firstLineChars="200"/>
        <w:rPr>
          <w:rFonts w:ascii="仿宋" w:hAnsi="仿宋" w:eastAsia="仿宋"/>
          <w:b/>
          <w:sz w:val="32"/>
          <w:szCs w:val="32"/>
        </w:rPr>
      </w:pPr>
      <w:r>
        <w:rPr>
          <w:rStyle w:val="8"/>
          <w:rFonts w:hint="eastAsia" w:ascii="仿宋" w:hAnsi="仿宋" w:eastAsia="仿宋"/>
          <w:bCs/>
          <w:sz w:val="32"/>
          <w:szCs w:val="32"/>
        </w:rPr>
        <w:t>2</w:t>
      </w:r>
      <w:r>
        <w:rPr>
          <w:rStyle w:val="8"/>
          <w:rFonts w:ascii="仿宋" w:hAnsi="仿宋" w:eastAsia="仿宋"/>
          <w:bCs/>
          <w:sz w:val="32"/>
          <w:szCs w:val="32"/>
        </w:rPr>
        <w:t>.</w:t>
      </w:r>
      <w:r>
        <w:rPr>
          <w:rStyle w:val="8"/>
          <w:rFonts w:hint="eastAsia" w:ascii="仿宋" w:hAnsi="仿宋" w:eastAsia="仿宋"/>
          <w:bCs/>
          <w:sz w:val="32"/>
          <w:szCs w:val="32"/>
        </w:rPr>
        <w:t>一般公</w:t>
      </w:r>
      <w:r>
        <w:rPr>
          <w:rFonts w:hint="eastAsia" w:ascii="仿宋" w:hAnsi="仿宋" w:eastAsia="仿宋"/>
          <w:bCs/>
          <w:sz w:val="32"/>
          <w:szCs w:val="32"/>
        </w:rPr>
        <w:t>共服务（类）</w:t>
      </w:r>
      <w:r>
        <w:rPr>
          <w:rStyle w:val="8"/>
          <w:rFonts w:eastAsia="仿宋_GB2312"/>
          <w:bCs/>
          <w:color w:val="000000"/>
          <w:sz w:val="32"/>
          <w:szCs w:val="32"/>
        </w:rPr>
        <w:t>政府办公</w:t>
      </w:r>
      <w:r>
        <w:rPr>
          <w:rFonts w:eastAsia="仿宋_GB2312"/>
          <w:bCs/>
          <w:color w:val="000000"/>
          <w:sz w:val="32"/>
          <w:szCs w:val="32"/>
        </w:rPr>
        <w:t>厅（室）及相关机构事务</w:t>
      </w:r>
      <w:r>
        <w:rPr>
          <w:rStyle w:val="8"/>
          <w:rFonts w:eastAsia="仿宋_GB2312"/>
          <w:bCs/>
          <w:color w:val="000000"/>
          <w:sz w:val="32"/>
          <w:szCs w:val="32"/>
        </w:rPr>
        <w:t>（款）政务公</w:t>
      </w:r>
      <w:r>
        <w:rPr>
          <w:rFonts w:eastAsia="仿宋_GB2312"/>
          <w:bCs/>
          <w:color w:val="000000"/>
          <w:sz w:val="32"/>
          <w:szCs w:val="32"/>
        </w:rPr>
        <w:t>开审批（项）</w:t>
      </w:r>
      <w:r>
        <w:rPr>
          <w:rStyle w:val="8"/>
          <w:rFonts w:hint="eastAsia" w:eastAsia="仿宋_GB2312"/>
          <w:bCs/>
          <w:color w:val="000000"/>
          <w:sz w:val="32"/>
          <w:szCs w:val="32"/>
        </w:rPr>
        <w:t>指政务公</w:t>
      </w:r>
      <w:r>
        <w:rPr>
          <w:rFonts w:hint="eastAsia" w:eastAsia="仿宋_GB2312"/>
          <w:bCs/>
          <w:color w:val="000000"/>
          <w:sz w:val="32"/>
          <w:szCs w:val="32"/>
        </w:rPr>
        <w:t>开审批方面</w:t>
      </w:r>
      <w:r>
        <w:rPr>
          <w:rStyle w:val="8"/>
          <w:rFonts w:hint="eastAsia" w:eastAsia="仿宋_GB2312"/>
          <w:bCs/>
          <w:color w:val="000000"/>
          <w:sz w:val="32"/>
          <w:szCs w:val="32"/>
        </w:rPr>
        <w:t>支出。</w:t>
      </w:r>
      <w:r>
        <w:rPr>
          <w:rStyle w:val="8"/>
          <w:rFonts w:hint="eastAsia" w:ascii="仿宋" w:hAnsi="仿宋" w:eastAsia="仿宋"/>
          <w:b w:val="0"/>
          <w:bCs/>
          <w:sz w:val="32"/>
          <w:szCs w:val="32"/>
        </w:rPr>
        <w:t>支出</w:t>
      </w:r>
      <w:r>
        <w:rPr>
          <w:rFonts w:hint="eastAsia" w:ascii="仿宋" w:hAnsi="仿宋" w:eastAsia="仿宋"/>
          <w:bCs/>
          <w:sz w:val="32"/>
          <w:szCs w:val="32"/>
        </w:rPr>
        <w:t>决算为</w:t>
      </w:r>
      <w:r>
        <w:rPr>
          <w:rStyle w:val="8"/>
          <w:rFonts w:hint="eastAsia" w:ascii="仿宋" w:hAnsi="仿宋" w:eastAsia="仿宋"/>
          <w:b w:val="0"/>
          <w:bCs/>
          <w:sz w:val="32"/>
          <w:szCs w:val="32"/>
        </w:rPr>
        <w:t>56.59万元，完成预算的100</w:t>
      </w:r>
      <w:r>
        <w:rPr>
          <w:rStyle w:val="8"/>
          <w:rFonts w:ascii="仿宋" w:hAnsi="仿宋" w:eastAsia="仿宋"/>
          <w:b w:val="0"/>
          <w:bCs/>
          <w:sz w:val="32"/>
          <w:szCs w:val="32"/>
        </w:rPr>
        <w:t>%</w:t>
      </w:r>
      <w:r>
        <w:rPr>
          <w:rStyle w:val="8"/>
          <w:rFonts w:hint="eastAsia" w:ascii="仿宋" w:hAnsi="仿宋" w:eastAsia="仿宋"/>
          <w:b w:val="0"/>
          <w:bCs/>
          <w:sz w:val="32"/>
          <w:szCs w:val="32"/>
        </w:rPr>
        <w:t>。</w:t>
      </w:r>
    </w:p>
    <w:p>
      <w:pPr>
        <w:spacing w:line="600" w:lineRule="exact"/>
        <w:ind w:firstLine="643" w:firstLineChars="200"/>
        <w:rPr>
          <w:rFonts w:ascii="仿宋" w:hAnsi="仿宋" w:eastAsia="仿宋"/>
          <w:b/>
          <w:sz w:val="32"/>
          <w:szCs w:val="32"/>
        </w:rPr>
      </w:pPr>
      <w:r>
        <w:rPr>
          <w:rStyle w:val="8"/>
          <w:rFonts w:hint="eastAsia" w:ascii="仿宋" w:hAnsi="仿宋" w:eastAsia="仿宋"/>
          <w:bCs/>
          <w:sz w:val="32"/>
          <w:szCs w:val="32"/>
        </w:rPr>
        <w:t>3.一般公</w:t>
      </w:r>
      <w:r>
        <w:rPr>
          <w:rFonts w:hint="eastAsia" w:ascii="仿宋" w:hAnsi="仿宋" w:eastAsia="仿宋"/>
          <w:bCs/>
          <w:sz w:val="32"/>
          <w:szCs w:val="32"/>
        </w:rPr>
        <w:t>共服务（类）</w:t>
      </w:r>
      <w:r>
        <w:rPr>
          <w:rStyle w:val="8"/>
          <w:rFonts w:eastAsia="仿宋_GB2312"/>
          <w:bCs/>
          <w:color w:val="000000"/>
          <w:sz w:val="32"/>
          <w:szCs w:val="32"/>
        </w:rPr>
        <w:t>政府办公</w:t>
      </w:r>
      <w:r>
        <w:rPr>
          <w:rFonts w:eastAsia="仿宋_GB2312"/>
          <w:bCs/>
          <w:color w:val="000000"/>
          <w:sz w:val="32"/>
          <w:szCs w:val="32"/>
        </w:rPr>
        <w:t>厅（室）及相关机构事务</w:t>
      </w:r>
      <w:r>
        <w:rPr>
          <w:rStyle w:val="8"/>
          <w:rFonts w:eastAsia="仿宋_GB2312"/>
          <w:bCs/>
          <w:color w:val="000000"/>
          <w:sz w:val="32"/>
          <w:szCs w:val="32"/>
        </w:rPr>
        <w:t>（款）</w:t>
      </w:r>
      <w:r>
        <w:rPr>
          <w:rStyle w:val="8"/>
          <w:rFonts w:hint="eastAsia" w:eastAsia="仿宋_GB2312"/>
          <w:bCs/>
          <w:color w:val="000000"/>
          <w:sz w:val="32"/>
          <w:szCs w:val="32"/>
        </w:rPr>
        <w:t>其他</w:t>
      </w:r>
      <w:r>
        <w:rPr>
          <w:rStyle w:val="8"/>
          <w:rFonts w:eastAsia="仿宋_GB2312"/>
          <w:bCs/>
          <w:color w:val="000000"/>
          <w:sz w:val="32"/>
          <w:szCs w:val="32"/>
        </w:rPr>
        <w:t>政府办公</w:t>
      </w:r>
      <w:r>
        <w:rPr>
          <w:rFonts w:eastAsia="仿宋_GB2312"/>
          <w:bCs/>
          <w:color w:val="000000"/>
          <w:sz w:val="32"/>
          <w:szCs w:val="32"/>
        </w:rPr>
        <w:t>厅（室）及相关机构事务</w:t>
      </w:r>
      <w:r>
        <w:rPr>
          <w:rStyle w:val="8"/>
          <w:rFonts w:hint="eastAsia" w:eastAsia="仿宋_GB2312"/>
          <w:bCs/>
          <w:color w:val="000000"/>
          <w:sz w:val="32"/>
          <w:szCs w:val="32"/>
        </w:rPr>
        <w:t>支出</w:t>
      </w:r>
      <w:r>
        <w:rPr>
          <w:rStyle w:val="8"/>
          <w:rFonts w:eastAsia="仿宋_GB2312"/>
          <w:bCs/>
          <w:color w:val="000000"/>
          <w:sz w:val="32"/>
          <w:szCs w:val="32"/>
        </w:rPr>
        <w:t>（项）</w:t>
      </w:r>
      <w:r>
        <w:rPr>
          <w:rStyle w:val="8"/>
          <w:rFonts w:hint="eastAsia" w:eastAsia="仿宋_GB2312"/>
          <w:bCs/>
          <w:color w:val="000000"/>
          <w:sz w:val="32"/>
          <w:szCs w:val="32"/>
          <w:lang w:eastAsia="zh-CN"/>
        </w:rPr>
        <w:t>：</w:t>
      </w:r>
      <w:r>
        <w:rPr>
          <w:rStyle w:val="8"/>
          <w:rFonts w:hint="eastAsia" w:ascii="仿宋" w:hAnsi="仿宋" w:eastAsia="仿宋"/>
          <w:b w:val="0"/>
          <w:bCs/>
          <w:sz w:val="32"/>
          <w:szCs w:val="32"/>
        </w:rPr>
        <w:t>支出</w:t>
      </w:r>
      <w:r>
        <w:rPr>
          <w:rFonts w:hint="eastAsia" w:ascii="仿宋" w:hAnsi="仿宋" w:eastAsia="仿宋"/>
          <w:bCs/>
          <w:sz w:val="32"/>
          <w:szCs w:val="32"/>
        </w:rPr>
        <w:t>决算为</w:t>
      </w:r>
      <w:r>
        <w:rPr>
          <w:rStyle w:val="8"/>
          <w:rFonts w:hint="eastAsia" w:ascii="仿宋" w:hAnsi="仿宋" w:eastAsia="仿宋"/>
          <w:b w:val="0"/>
          <w:bCs/>
          <w:sz w:val="32"/>
          <w:szCs w:val="32"/>
        </w:rPr>
        <w:t>27.86万元，完成</w:t>
      </w:r>
      <w:r>
        <w:rPr>
          <w:rStyle w:val="8"/>
          <w:rFonts w:hint="eastAsia" w:ascii="仿宋" w:hAnsi="仿宋" w:eastAsia="仿宋"/>
          <w:b w:val="0"/>
          <w:bCs/>
          <w:sz w:val="32"/>
          <w:szCs w:val="32"/>
          <w:lang w:eastAsia="zh-CN"/>
        </w:rPr>
        <w:t>预算的100%</w:t>
      </w:r>
      <w:r>
        <w:rPr>
          <w:rStyle w:val="8"/>
          <w:rFonts w:hint="eastAsia" w:ascii="仿宋" w:hAnsi="仿宋" w:eastAsia="仿宋"/>
          <w:b w:val="0"/>
          <w:bCs/>
          <w:sz w:val="32"/>
          <w:szCs w:val="32"/>
        </w:rPr>
        <w:t>。</w:t>
      </w:r>
    </w:p>
    <w:p>
      <w:pPr>
        <w:spacing w:line="600" w:lineRule="exact"/>
        <w:ind w:firstLine="643" w:firstLineChars="200"/>
        <w:rPr>
          <w:rFonts w:ascii="仿宋" w:hAnsi="仿宋" w:eastAsia="仿宋"/>
          <w:b/>
          <w:sz w:val="32"/>
          <w:szCs w:val="32"/>
        </w:rPr>
      </w:pPr>
      <w:r>
        <w:rPr>
          <w:rStyle w:val="8"/>
          <w:rFonts w:hint="eastAsia" w:ascii="仿宋" w:hAnsi="仿宋" w:eastAsia="仿宋"/>
          <w:bCs/>
          <w:sz w:val="32"/>
          <w:szCs w:val="32"/>
        </w:rPr>
        <w:t>4</w:t>
      </w:r>
      <w:r>
        <w:rPr>
          <w:rStyle w:val="8"/>
          <w:rFonts w:ascii="仿宋" w:hAnsi="仿宋" w:eastAsia="仿宋"/>
          <w:bCs/>
          <w:sz w:val="32"/>
          <w:szCs w:val="32"/>
        </w:rPr>
        <w:t>.</w:t>
      </w:r>
      <w:r>
        <w:rPr>
          <w:rStyle w:val="8"/>
          <w:rFonts w:hint="eastAsia" w:ascii="仿宋" w:hAnsi="仿宋" w:eastAsia="仿宋"/>
          <w:bCs/>
          <w:sz w:val="32"/>
          <w:szCs w:val="32"/>
        </w:rPr>
        <w:t>教育（类）</w:t>
      </w:r>
      <w:r>
        <w:rPr>
          <w:rStyle w:val="8"/>
          <w:rFonts w:ascii="仿宋" w:hAnsi="仿宋" w:eastAsia="仿宋"/>
          <w:bCs/>
          <w:sz w:val="32"/>
          <w:szCs w:val="32"/>
        </w:rPr>
        <w:t>***</w:t>
      </w:r>
      <w:r>
        <w:rPr>
          <w:rStyle w:val="8"/>
          <w:rFonts w:hint="eastAsia" w:ascii="仿宋" w:hAnsi="仿宋" w:eastAsia="仿宋"/>
          <w:bCs/>
          <w:sz w:val="32"/>
          <w:szCs w:val="32"/>
        </w:rPr>
        <w:t>（款）</w:t>
      </w:r>
      <w:r>
        <w:rPr>
          <w:rStyle w:val="8"/>
          <w:rFonts w:ascii="仿宋" w:hAnsi="仿宋" w:eastAsia="仿宋"/>
          <w:bCs/>
          <w:sz w:val="32"/>
          <w:szCs w:val="32"/>
        </w:rPr>
        <w:t>***</w:t>
      </w:r>
      <w:r>
        <w:rPr>
          <w:rStyle w:val="8"/>
          <w:rFonts w:hint="eastAsia" w:ascii="仿宋" w:hAnsi="仿宋" w:eastAsia="仿宋"/>
          <w:bCs/>
          <w:sz w:val="32"/>
          <w:szCs w:val="32"/>
        </w:rPr>
        <w:t>（项）</w:t>
      </w:r>
      <w:r>
        <w:rPr>
          <w:rStyle w:val="8"/>
          <w:rFonts w:hint="eastAsia" w:ascii="仿宋" w:hAnsi="仿宋" w:eastAsia="仿宋"/>
          <w:bCs/>
          <w:sz w:val="32"/>
          <w:szCs w:val="32"/>
          <w:lang w:eastAsia="zh-CN"/>
        </w:rPr>
        <w:t>：</w:t>
      </w:r>
      <w:r>
        <w:rPr>
          <w:rStyle w:val="8"/>
          <w:rFonts w:hint="eastAsia" w:ascii="仿宋" w:hAnsi="仿宋" w:eastAsia="仿宋"/>
          <w:b w:val="0"/>
          <w:bCs/>
          <w:sz w:val="32"/>
          <w:szCs w:val="32"/>
        </w:rPr>
        <w:t>支出</w:t>
      </w:r>
      <w:r>
        <w:rPr>
          <w:rFonts w:hint="eastAsia" w:ascii="仿宋" w:hAnsi="仿宋" w:eastAsia="仿宋"/>
          <w:bCs/>
          <w:sz w:val="32"/>
          <w:szCs w:val="32"/>
        </w:rPr>
        <w:t>决算为</w:t>
      </w:r>
      <w:r>
        <w:rPr>
          <w:rStyle w:val="8"/>
          <w:rFonts w:hint="eastAsia" w:ascii="仿宋" w:hAnsi="仿宋" w:eastAsia="仿宋"/>
          <w:b w:val="0"/>
          <w:bCs/>
          <w:sz w:val="32"/>
          <w:szCs w:val="32"/>
        </w:rPr>
        <w:t>0万元，完成</w:t>
      </w:r>
      <w:r>
        <w:rPr>
          <w:rFonts w:hint="eastAsia" w:ascii="Times New Roman" w:hAnsi="Times New Roman" w:eastAsia="仿宋_GB2312" w:cs="Times New Roman"/>
          <w:bCs/>
          <w:color w:val="000000"/>
          <w:spacing w:val="0"/>
          <w:kern w:val="0"/>
          <w:sz w:val="32"/>
          <w:szCs w:val="32"/>
          <w:lang w:val="en-US" w:eastAsia="zh-CN" w:bidi="ar-SA"/>
        </w:rPr>
        <w:t>预算的</w:t>
      </w:r>
      <w:r>
        <w:rPr>
          <w:rStyle w:val="8"/>
          <w:rFonts w:hint="eastAsia" w:ascii="仿宋" w:hAnsi="仿宋" w:eastAsia="仿宋"/>
          <w:b w:val="0"/>
          <w:bCs/>
          <w:sz w:val="32"/>
          <w:szCs w:val="32"/>
        </w:rPr>
        <w:t>0</w:t>
      </w:r>
      <w:r>
        <w:rPr>
          <w:rStyle w:val="8"/>
          <w:rFonts w:ascii="仿宋" w:hAnsi="仿宋" w:eastAsia="仿宋"/>
          <w:b w:val="0"/>
          <w:bCs/>
          <w:sz w:val="32"/>
          <w:szCs w:val="32"/>
        </w:rPr>
        <w:t>%</w:t>
      </w:r>
      <w:r>
        <w:rPr>
          <w:rStyle w:val="8"/>
          <w:rFonts w:hint="eastAsia" w:ascii="仿宋" w:hAnsi="仿宋" w:eastAsia="仿宋"/>
          <w:b w:val="0"/>
          <w:bCs/>
          <w:sz w:val="32"/>
          <w:szCs w:val="32"/>
        </w:rPr>
        <w:t>，决算数小于</w:t>
      </w:r>
      <w:r>
        <w:rPr>
          <w:rStyle w:val="8"/>
          <w:rFonts w:ascii="仿宋" w:hAnsi="仿宋" w:eastAsia="仿宋"/>
          <w:b w:val="0"/>
          <w:bCs/>
          <w:sz w:val="32"/>
          <w:szCs w:val="32"/>
        </w:rPr>
        <w:t>/</w:t>
      </w:r>
      <w:r>
        <w:rPr>
          <w:rStyle w:val="8"/>
          <w:rFonts w:hint="eastAsia" w:ascii="仿宋" w:hAnsi="仿宋" w:eastAsia="仿宋"/>
          <w:b w:val="0"/>
          <w:bCs/>
          <w:sz w:val="32"/>
          <w:szCs w:val="32"/>
        </w:rPr>
        <w:t>等于预算</w:t>
      </w:r>
      <w:r>
        <w:rPr>
          <w:rFonts w:hint="eastAsia" w:ascii="仿宋" w:hAnsi="仿宋" w:eastAsia="仿宋"/>
          <w:bCs/>
          <w:sz w:val="32"/>
          <w:szCs w:val="32"/>
        </w:rPr>
        <w:t>数的主要原因是</w:t>
      </w:r>
      <w:r>
        <w:rPr>
          <w:rStyle w:val="8"/>
          <w:rFonts w:hint="eastAsia" w:ascii="仿宋" w:hAnsi="仿宋" w:eastAsia="仿宋"/>
          <w:b w:val="0"/>
          <w:bCs/>
          <w:sz w:val="32"/>
          <w:szCs w:val="32"/>
        </w:rPr>
        <w:t>不涉及此项预算。</w:t>
      </w:r>
    </w:p>
    <w:p>
      <w:pPr>
        <w:spacing w:line="600" w:lineRule="exact"/>
        <w:ind w:firstLine="643" w:firstLineChars="200"/>
        <w:rPr>
          <w:rFonts w:ascii="仿宋" w:hAnsi="仿宋" w:eastAsia="仿宋"/>
          <w:b/>
          <w:sz w:val="32"/>
          <w:szCs w:val="32"/>
        </w:rPr>
      </w:pPr>
      <w:r>
        <w:rPr>
          <w:rStyle w:val="8"/>
          <w:rFonts w:hint="eastAsia" w:ascii="仿宋" w:hAnsi="仿宋" w:eastAsia="仿宋"/>
          <w:bCs/>
          <w:sz w:val="32"/>
          <w:szCs w:val="32"/>
        </w:rPr>
        <w:t>5</w:t>
      </w:r>
      <w:r>
        <w:rPr>
          <w:rStyle w:val="8"/>
          <w:rFonts w:ascii="仿宋" w:hAnsi="仿宋" w:eastAsia="仿宋"/>
          <w:bCs/>
          <w:sz w:val="32"/>
          <w:szCs w:val="32"/>
        </w:rPr>
        <w:t>.</w:t>
      </w:r>
      <w:r>
        <w:rPr>
          <w:rStyle w:val="8"/>
          <w:rFonts w:hint="eastAsia" w:ascii="仿宋" w:hAnsi="仿宋" w:eastAsia="仿宋"/>
          <w:bCs/>
          <w:sz w:val="32"/>
          <w:szCs w:val="32"/>
        </w:rPr>
        <w:t>科学技术（类）</w:t>
      </w:r>
      <w:r>
        <w:rPr>
          <w:rStyle w:val="8"/>
          <w:rFonts w:ascii="仿宋" w:hAnsi="仿宋" w:eastAsia="仿宋"/>
          <w:bCs/>
          <w:sz w:val="32"/>
          <w:szCs w:val="32"/>
        </w:rPr>
        <w:t>***</w:t>
      </w:r>
      <w:r>
        <w:rPr>
          <w:rStyle w:val="8"/>
          <w:rFonts w:hint="eastAsia" w:ascii="仿宋" w:hAnsi="仿宋" w:eastAsia="仿宋"/>
          <w:bCs/>
          <w:sz w:val="32"/>
          <w:szCs w:val="32"/>
        </w:rPr>
        <w:t>（款）</w:t>
      </w:r>
      <w:r>
        <w:rPr>
          <w:rStyle w:val="8"/>
          <w:rFonts w:ascii="仿宋" w:hAnsi="仿宋" w:eastAsia="仿宋"/>
          <w:bCs/>
          <w:sz w:val="32"/>
          <w:szCs w:val="32"/>
        </w:rPr>
        <w:t>***</w:t>
      </w:r>
      <w:r>
        <w:rPr>
          <w:rStyle w:val="8"/>
          <w:rFonts w:hint="eastAsia" w:ascii="仿宋" w:hAnsi="仿宋" w:eastAsia="仿宋"/>
          <w:bCs/>
          <w:sz w:val="32"/>
          <w:szCs w:val="32"/>
        </w:rPr>
        <w:t>（项）</w:t>
      </w:r>
      <w:r>
        <w:rPr>
          <w:rStyle w:val="8"/>
          <w:rFonts w:hint="eastAsia" w:ascii="仿宋" w:hAnsi="仿宋" w:eastAsia="仿宋"/>
          <w:bCs/>
          <w:sz w:val="32"/>
          <w:szCs w:val="32"/>
          <w:lang w:eastAsia="zh-CN"/>
        </w:rPr>
        <w:t>：</w:t>
      </w:r>
      <w:r>
        <w:rPr>
          <w:rStyle w:val="8"/>
          <w:rFonts w:hint="eastAsia" w:ascii="仿宋" w:hAnsi="仿宋" w:eastAsia="仿宋"/>
          <w:b w:val="0"/>
          <w:bCs/>
          <w:sz w:val="32"/>
          <w:szCs w:val="32"/>
        </w:rPr>
        <w:t>支出</w:t>
      </w:r>
      <w:r>
        <w:rPr>
          <w:rFonts w:hint="eastAsia" w:ascii="仿宋" w:hAnsi="仿宋" w:eastAsia="仿宋"/>
          <w:bCs/>
          <w:sz w:val="32"/>
          <w:szCs w:val="32"/>
        </w:rPr>
        <w:t>决算为</w:t>
      </w:r>
      <w:r>
        <w:rPr>
          <w:rStyle w:val="8"/>
          <w:rFonts w:hint="eastAsia" w:ascii="仿宋" w:hAnsi="仿宋" w:eastAsia="仿宋"/>
          <w:b w:val="0"/>
          <w:bCs/>
          <w:sz w:val="32"/>
          <w:szCs w:val="32"/>
        </w:rPr>
        <w:t>0万元，完</w:t>
      </w:r>
      <w:r>
        <w:rPr>
          <w:rStyle w:val="8"/>
          <w:rFonts w:hint="eastAsia" w:ascii="仿宋" w:hAnsi="仿宋" w:eastAsia="仿宋"/>
          <w:b w:val="0"/>
          <w:bCs/>
          <w:sz w:val="32"/>
          <w:szCs w:val="32"/>
          <w:u w:val="none" w:color="000000"/>
          <w:shd w:val="clear" w:fill="auto"/>
        </w:rPr>
        <w:t>成</w:t>
      </w:r>
      <w:r>
        <w:rPr>
          <w:rFonts w:hint="eastAsia" w:ascii="Times New Roman" w:hAnsi="Times New Roman" w:eastAsia="仿宋_GB2312" w:cs="Times New Roman"/>
          <w:bCs/>
          <w:color w:val="000000"/>
          <w:spacing w:val="0"/>
          <w:kern w:val="0"/>
          <w:sz w:val="32"/>
          <w:szCs w:val="32"/>
          <w:lang w:val="en-US" w:eastAsia="zh-CN" w:bidi="ar-SA"/>
        </w:rPr>
        <w:t>预算的0</w:t>
      </w:r>
      <w:r>
        <w:rPr>
          <w:rStyle w:val="8"/>
          <w:rFonts w:ascii="仿宋" w:hAnsi="仿宋" w:eastAsia="仿宋"/>
          <w:b w:val="0"/>
          <w:bCs/>
          <w:sz w:val="32"/>
          <w:szCs w:val="32"/>
        </w:rPr>
        <w:t>%</w:t>
      </w:r>
      <w:r>
        <w:rPr>
          <w:rStyle w:val="8"/>
          <w:rFonts w:hint="eastAsia" w:ascii="仿宋" w:hAnsi="仿宋" w:eastAsia="仿宋"/>
          <w:b w:val="0"/>
          <w:bCs/>
          <w:sz w:val="32"/>
          <w:szCs w:val="32"/>
        </w:rPr>
        <w:t>，决算数小于</w:t>
      </w:r>
      <w:r>
        <w:rPr>
          <w:rStyle w:val="8"/>
          <w:rFonts w:ascii="仿宋" w:hAnsi="仿宋" w:eastAsia="仿宋"/>
          <w:b w:val="0"/>
          <w:bCs/>
          <w:sz w:val="32"/>
          <w:szCs w:val="32"/>
        </w:rPr>
        <w:t>/</w:t>
      </w:r>
      <w:r>
        <w:rPr>
          <w:rStyle w:val="8"/>
          <w:rFonts w:hint="eastAsia" w:ascii="仿宋" w:hAnsi="仿宋" w:eastAsia="仿宋"/>
          <w:b w:val="0"/>
          <w:bCs/>
          <w:sz w:val="32"/>
          <w:szCs w:val="32"/>
        </w:rPr>
        <w:t>等于预算</w:t>
      </w:r>
      <w:r>
        <w:rPr>
          <w:rFonts w:hint="eastAsia" w:ascii="仿宋" w:hAnsi="仿宋" w:eastAsia="仿宋"/>
          <w:bCs/>
          <w:sz w:val="32"/>
          <w:szCs w:val="32"/>
        </w:rPr>
        <w:t>数的主要原因是</w:t>
      </w:r>
      <w:r>
        <w:rPr>
          <w:rStyle w:val="8"/>
          <w:rFonts w:hint="eastAsia" w:ascii="仿宋" w:hAnsi="仿宋" w:eastAsia="仿宋"/>
          <w:b w:val="0"/>
          <w:bCs/>
          <w:sz w:val="32"/>
          <w:szCs w:val="32"/>
        </w:rPr>
        <w:t>不涉及此项预算。</w:t>
      </w:r>
    </w:p>
    <w:p>
      <w:pPr>
        <w:spacing w:line="600" w:lineRule="exact"/>
        <w:ind w:firstLine="643" w:firstLineChars="200"/>
        <w:rPr>
          <w:rFonts w:ascii="仿宋" w:hAnsi="仿宋" w:eastAsia="仿宋"/>
          <w:b/>
          <w:sz w:val="32"/>
          <w:szCs w:val="32"/>
        </w:rPr>
      </w:pPr>
      <w:r>
        <w:rPr>
          <w:rStyle w:val="8"/>
          <w:rFonts w:hint="eastAsia" w:ascii="仿宋" w:hAnsi="仿宋" w:eastAsia="仿宋"/>
          <w:bCs/>
          <w:sz w:val="32"/>
          <w:szCs w:val="32"/>
        </w:rPr>
        <w:t>6</w:t>
      </w:r>
      <w:r>
        <w:rPr>
          <w:rStyle w:val="8"/>
          <w:rFonts w:ascii="仿宋" w:hAnsi="仿宋" w:eastAsia="仿宋"/>
          <w:bCs/>
          <w:sz w:val="32"/>
          <w:szCs w:val="32"/>
        </w:rPr>
        <w:t>.</w:t>
      </w:r>
      <w:r>
        <w:rPr>
          <w:rStyle w:val="8"/>
          <w:rFonts w:hint="eastAsia" w:ascii="仿宋" w:hAnsi="仿宋" w:eastAsia="仿宋"/>
          <w:bCs/>
          <w:sz w:val="32"/>
          <w:szCs w:val="32"/>
        </w:rPr>
        <w:t>文化旅游体育与传媒（类）</w:t>
      </w:r>
      <w:r>
        <w:rPr>
          <w:rStyle w:val="8"/>
          <w:rFonts w:ascii="仿宋" w:hAnsi="仿宋" w:eastAsia="仿宋"/>
          <w:bCs/>
          <w:sz w:val="32"/>
          <w:szCs w:val="32"/>
        </w:rPr>
        <w:t>***</w:t>
      </w:r>
      <w:r>
        <w:rPr>
          <w:rStyle w:val="8"/>
          <w:rFonts w:hint="eastAsia" w:ascii="仿宋" w:hAnsi="仿宋" w:eastAsia="仿宋"/>
          <w:bCs/>
          <w:sz w:val="32"/>
          <w:szCs w:val="32"/>
        </w:rPr>
        <w:t>（款）</w:t>
      </w:r>
      <w:r>
        <w:rPr>
          <w:rStyle w:val="8"/>
          <w:rFonts w:ascii="仿宋" w:hAnsi="仿宋" w:eastAsia="仿宋"/>
          <w:bCs/>
          <w:sz w:val="32"/>
          <w:szCs w:val="32"/>
        </w:rPr>
        <w:t>***</w:t>
      </w:r>
      <w:r>
        <w:rPr>
          <w:rStyle w:val="8"/>
          <w:rFonts w:hint="eastAsia" w:ascii="仿宋" w:hAnsi="仿宋" w:eastAsia="仿宋"/>
          <w:bCs/>
          <w:sz w:val="32"/>
          <w:szCs w:val="32"/>
        </w:rPr>
        <w:t>（项）</w:t>
      </w:r>
      <w:r>
        <w:rPr>
          <w:rStyle w:val="8"/>
          <w:rFonts w:hint="eastAsia" w:ascii="仿宋" w:hAnsi="仿宋" w:eastAsia="仿宋"/>
          <w:bCs/>
          <w:sz w:val="32"/>
          <w:szCs w:val="32"/>
          <w:lang w:eastAsia="zh-CN"/>
        </w:rPr>
        <w:t>：</w:t>
      </w:r>
      <w:r>
        <w:rPr>
          <w:rStyle w:val="8"/>
          <w:rFonts w:hint="eastAsia" w:ascii="仿宋" w:hAnsi="仿宋" w:eastAsia="仿宋"/>
          <w:b w:val="0"/>
          <w:bCs/>
          <w:sz w:val="32"/>
          <w:szCs w:val="32"/>
        </w:rPr>
        <w:t>支出</w:t>
      </w:r>
      <w:r>
        <w:rPr>
          <w:rFonts w:hint="eastAsia" w:ascii="仿宋" w:hAnsi="仿宋" w:eastAsia="仿宋"/>
          <w:bCs/>
          <w:sz w:val="32"/>
          <w:szCs w:val="32"/>
        </w:rPr>
        <w:t>决算为</w:t>
      </w:r>
      <w:r>
        <w:rPr>
          <w:rStyle w:val="8"/>
          <w:rFonts w:hint="eastAsia" w:ascii="仿宋" w:hAnsi="仿宋" w:eastAsia="仿宋"/>
          <w:b w:val="0"/>
          <w:bCs/>
          <w:sz w:val="32"/>
          <w:szCs w:val="32"/>
        </w:rPr>
        <w:t>0万元，完</w:t>
      </w:r>
      <w:r>
        <w:rPr>
          <w:rStyle w:val="8"/>
          <w:rFonts w:hint="eastAsia" w:ascii="仿宋" w:hAnsi="仿宋" w:eastAsia="仿宋"/>
          <w:b w:val="0"/>
          <w:bCs/>
          <w:sz w:val="32"/>
          <w:szCs w:val="32"/>
          <w:u w:val="none" w:color="000000"/>
          <w:shd w:val="clear" w:fill="auto"/>
        </w:rPr>
        <w:t>成</w:t>
      </w:r>
      <w:r>
        <w:rPr>
          <w:rFonts w:hint="eastAsia" w:ascii="Times New Roman" w:hAnsi="Times New Roman" w:eastAsia="仿宋_GB2312" w:cs="Times New Roman"/>
          <w:bCs/>
          <w:color w:val="000000"/>
          <w:spacing w:val="0"/>
          <w:kern w:val="0"/>
          <w:sz w:val="32"/>
          <w:szCs w:val="32"/>
          <w:lang w:val="en-US" w:eastAsia="zh-CN" w:bidi="ar-SA"/>
        </w:rPr>
        <w:t>预算的0</w:t>
      </w:r>
      <w:r>
        <w:rPr>
          <w:rStyle w:val="8"/>
          <w:rFonts w:ascii="仿宋" w:hAnsi="仿宋" w:eastAsia="仿宋"/>
          <w:b w:val="0"/>
          <w:bCs/>
          <w:sz w:val="32"/>
          <w:szCs w:val="32"/>
        </w:rPr>
        <w:t>%</w:t>
      </w:r>
      <w:r>
        <w:rPr>
          <w:rStyle w:val="8"/>
          <w:rFonts w:hint="eastAsia" w:ascii="仿宋" w:hAnsi="仿宋" w:eastAsia="仿宋"/>
          <w:b w:val="0"/>
          <w:bCs/>
          <w:sz w:val="32"/>
          <w:szCs w:val="32"/>
        </w:rPr>
        <w:t>，决算数小于</w:t>
      </w:r>
      <w:r>
        <w:rPr>
          <w:rStyle w:val="8"/>
          <w:rFonts w:ascii="仿宋" w:hAnsi="仿宋" w:eastAsia="仿宋"/>
          <w:b w:val="0"/>
          <w:bCs/>
          <w:sz w:val="32"/>
          <w:szCs w:val="32"/>
        </w:rPr>
        <w:t>/</w:t>
      </w:r>
      <w:r>
        <w:rPr>
          <w:rStyle w:val="8"/>
          <w:rFonts w:hint="eastAsia" w:ascii="仿宋" w:hAnsi="仿宋" w:eastAsia="仿宋"/>
          <w:b w:val="0"/>
          <w:bCs/>
          <w:sz w:val="32"/>
          <w:szCs w:val="32"/>
        </w:rPr>
        <w:t>等于预算</w:t>
      </w:r>
      <w:r>
        <w:rPr>
          <w:rFonts w:hint="eastAsia" w:ascii="仿宋" w:hAnsi="仿宋" w:eastAsia="仿宋"/>
          <w:bCs/>
          <w:sz w:val="32"/>
          <w:szCs w:val="32"/>
        </w:rPr>
        <w:t>数的主要原因是</w:t>
      </w:r>
      <w:r>
        <w:rPr>
          <w:rStyle w:val="8"/>
          <w:rFonts w:hint="eastAsia" w:ascii="仿宋" w:hAnsi="仿宋" w:eastAsia="仿宋"/>
          <w:b w:val="0"/>
          <w:bCs/>
          <w:sz w:val="32"/>
          <w:szCs w:val="32"/>
        </w:rPr>
        <w:t>不涉及此项预算。</w:t>
      </w:r>
    </w:p>
    <w:p>
      <w:pPr>
        <w:spacing w:line="600" w:lineRule="exact"/>
        <w:ind w:firstLine="643" w:firstLineChars="200"/>
        <w:rPr>
          <w:rFonts w:ascii="仿宋" w:hAnsi="仿宋" w:eastAsia="仿宋"/>
          <w:b/>
          <w:sz w:val="32"/>
          <w:szCs w:val="32"/>
        </w:rPr>
      </w:pPr>
      <w:r>
        <w:rPr>
          <w:rStyle w:val="8"/>
          <w:rFonts w:hint="eastAsia" w:ascii="仿宋" w:hAnsi="仿宋" w:eastAsia="仿宋"/>
          <w:bCs/>
          <w:sz w:val="32"/>
          <w:szCs w:val="32"/>
        </w:rPr>
        <w:t>7</w:t>
      </w:r>
      <w:r>
        <w:rPr>
          <w:rStyle w:val="8"/>
          <w:rFonts w:ascii="仿宋" w:hAnsi="仿宋" w:eastAsia="仿宋"/>
          <w:bCs/>
          <w:sz w:val="32"/>
          <w:szCs w:val="32"/>
        </w:rPr>
        <w:t>.</w:t>
      </w:r>
      <w:r>
        <w:rPr>
          <w:rStyle w:val="8"/>
          <w:rFonts w:hint="eastAsia" w:ascii="仿宋" w:hAnsi="仿宋" w:eastAsia="仿宋"/>
          <w:bCs/>
          <w:sz w:val="32"/>
          <w:szCs w:val="32"/>
        </w:rPr>
        <w:t>社会保障和就业（类）</w:t>
      </w:r>
      <w:r>
        <w:rPr>
          <w:rStyle w:val="8"/>
          <w:rFonts w:eastAsia="仿宋_GB2312"/>
          <w:bCs/>
          <w:color w:val="000000"/>
          <w:sz w:val="32"/>
          <w:szCs w:val="32"/>
        </w:rPr>
        <w:t>行政事业单位养老支出</w:t>
      </w:r>
      <w:r>
        <w:rPr>
          <w:rFonts w:eastAsia="仿宋_GB2312"/>
          <w:bCs/>
          <w:color w:val="000000"/>
          <w:sz w:val="32"/>
          <w:szCs w:val="32"/>
        </w:rPr>
        <w:t>（款）机关事业单位基本养老保险缴费支出（项）</w:t>
      </w:r>
      <w:r>
        <w:rPr>
          <w:rStyle w:val="8"/>
          <w:rFonts w:hint="eastAsia" w:eastAsia="仿宋_GB2312"/>
          <w:bCs/>
          <w:color w:val="000000"/>
          <w:sz w:val="32"/>
          <w:szCs w:val="32"/>
        </w:rPr>
        <w:t>：</w:t>
      </w:r>
      <w:r>
        <w:rPr>
          <w:rStyle w:val="8"/>
          <w:rFonts w:hint="eastAsia" w:ascii="仿宋" w:hAnsi="仿宋" w:eastAsia="仿宋"/>
          <w:b w:val="0"/>
          <w:bCs/>
          <w:sz w:val="32"/>
          <w:szCs w:val="32"/>
        </w:rPr>
        <w:t>支出</w:t>
      </w:r>
      <w:r>
        <w:rPr>
          <w:rFonts w:hint="eastAsia" w:ascii="仿宋" w:hAnsi="仿宋" w:eastAsia="仿宋"/>
          <w:bCs/>
          <w:sz w:val="32"/>
          <w:szCs w:val="32"/>
        </w:rPr>
        <w:t>决算为</w:t>
      </w:r>
      <w:r>
        <w:rPr>
          <w:rStyle w:val="8"/>
          <w:rFonts w:hint="eastAsia" w:ascii="仿宋" w:hAnsi="仿宋" w:eastAsia="仿宋"/>
          <w:b w:val="0"/>
          <w:bCs/>
          <w:sz w:val="32"/>
          <w:szCs w:val="32"/>
        </w:rPr>
        <w:t>15.56万元，完成</w:t>
      </w:r>
      <w:r>
        <w:rPr>
          <w:rStyle w:val="8"/>
          <w:rFonts w:hint="eastAsia" w:ascii="仿宋" w:hAnsi="仿宋" w:eastAsia="仿宋"/>
          <w:b w:val="0"/>
          <w:bCs/>
          <w:sz w:val="32"/>
          <w:szCs w:val="32"/>
          <w:lang w:eastAsia="zh-CN"/>
        </w:rPr>
        <w:t>预算的100%</w:t>
      </w:r>
      <w:r>
        <w:rPr>
          <w:rStyle w:val="8"/>
          <w:rFonts w:hint="eastAsia" w:ascii="仿宋" w:hAnsi="仿宋" w:eastAsia="仿宋"/>
          <w:b w:val="0"/>
          <w:bCs/>
          <w:sz w:val="32"/>
          <w:szCs w:val="32"/>
        </w:rPr>
        <w:t>。</w:t>
      </w:r>
    </w:p>
    <w:p>
      <w:pPr>
        <w:spacing w:line="600" w:lineRule="exact"/>
        <w:ind w:firstLine="643" w:firstLineChars="200"/>
        <w:rPr>
          <w:rStyle w:val="8"/>
          <w:rFonts w:ascii="仿宋" w:hAnsi="仿宋" w:eastAsia="仿宋"/>
          <w:b w:val="0"/>
          <w:bCs/>
          <w:sz w:val="32"/>
          <w:szCs w:val="32"/>
        </w:rPr>
      </w:pPr>
      <w:r>
        <w:rPr>
          <w:rStyle w:val="8"/>
          <w:rFonts w:hint="eastAsia" w:ascii="仿宋" w:hAnsi="仿宋" w:eastAsia="仿宋"/>
          <w:bCs/>
          <w:sz w:val="32"/>
          <w:szCs w:val="32"/>
        </w:rPr>
        <w:t>8</w:t>
      </w:r>
      <w:r>
        <w:rPr>
          <w:rStyle w:val="8"/>
          <w:rFonts w:ascii="仿宋" w:hAnsi="仿宋" w:eastAsia="仿宋"/>
          <w:bCs/>
          <w:sz w:val="32"/>
          <w:szCs w:val="32"/>
        </w:rPr>
        <w:t>.</w:t>
      </w:r>
      <w:r>
        <w:rPr>
          <w:rFonts w:hint="eastAsia" w:ascii="仿宋" w:hAnsi="仿宋" w:eastAsia="仿宋"/>
          <w:b/>
          <w:bCs/>
          <w:sz w:val="32"/>
          <w:szCs w:val="32"/>
        </w:rPr>
        <w:t>卫生健康</w:t>
      </w:r>
      <w:r>
        <w:rPr>
          <w:rStyle w:val="8"/>
          <w:rFonts w:hint="eastAsia" w:ascii="仿宋" w:hAnsi="仿宋" w:eastAsia="仿宋"/>
          <w:bCs/>
          <w:sz w:val="32"/>
          <w:szCs w:val="32"/>
        </w:rPr>
        <w:t>（类）</w:t>
      </w:r>
      <w:r>
        <w:rPr>
          <w:rStyle w:val="8"/>
          <w:rFonts w:eastAsia="仿宋_GB2312"/>
          <w:color w:val="000000"/>
          <w:sz w:val="32"/>
          <w:szCs w:val="32"/>
        </w:rPr>
        <w:t>行政事业单位医疗</w:t>
      </w:r>
      <w:r>
        <w:rPr>
          <w:rFonts w:eastAsia="仿宋_GB2312"/>
          <w:b/>
          <w:color w:val="000000"/>
          <w:sz w:val="32"/>
          <w:szCs w:val="32"/>
        </w:rPr>
        <w:t>（款）行政单位医疗（项）</w:t>
      </w:r>
      <w:r>
        <w:rPr>
          <w:rStyle w:val="8"/>
          <w:rFonts w:hint="eastAsia" w:ascii="仿宋" w:hAnsi="仿宋" w:eastAsia="仿宋"/>
          <w:bCs/>
          <w:sz w:val="32"/>
          <w:szCs w:val="32"/>
        </w:rPr>
        <w:t>：</w:t>
      </w:r>
      <w:r>
        <w:rPr>
          <w:rStyle w:val="8"/>
          <w:rFonts w:hint="eastAsia" w:ascii="仿宋" w:hAnsi="仿宋" w:eastAsia="仿宋"/>
          <w:b w:val="0"/>
          <w:bCs/>
          <w:sz w:val="32"/>
          <w:szCs w:val="32"/>
        </w:rPr>
        <w:t>支出</w:t>
      </w:r>
      <w:r>
        <w:rPr>
          <w:rFonts w:hint="eastAsia" w:ascii="仿宋" w:hAnsi="仿宋" w:eastAsia="仿宋"/>
          <w:bCs/>
          <w:sz w:val="32"/>
          <w:szCs w:val="32"/>
        </w:rPr>
        <w:t>决算为</w:t>
      </w:r>
      <w:r>
        <w:rPr>
          <w:rStyle w:val="8"/>
          <w:rFonts w:hint="eastAsia" w:ascii="仿宋" w:hAnsi="仿宋" w:eastAsia="仿宋"/>
          <w:b w:val="0"/>
          <w:bCs/>
          <w:sz w:val="32"/>
          <w:szCs w:val="32"/>
        </w:rPr>
        <w:t>8.89万元，完成</w:t>
      </w:r>
      <w:r>
        <w:rPr>
          <w:rStyle w:val="8"/>
          <w:rFonts w:hint="eastAsia" w:ascii="仿宋" w:hAnsi="仿宋" w:eastAsia="仿宋"/>
          <w:b w:val="0"/>
          <w:bCs/>
          <w:sz w:val="32"/>
          <w:szCs w:val="32"/>
          <w:lang w:eastAsia="zh-CN"/>
        </w:rPr>
        <w:t>预算的100%</w:t>
      </w:r>
      <w:r>
        <w:rPr>
          <w:rStyle w:val="8"/>
          <w:rFonts w:hint="eastAsia" w:ascii="仿宋" w:hAnsi="仿宋" w:eastAsia="仿宋"/>
          <w:b w:val="0"/>
          <w:bCs/>
          <w:sz w:val="32"/>
          <w:szCs w:val="32"/>
        </w:rPr>
        <w:t>。</w:t>
      </w:r>
    </w:p>
    <w:p>
      <w:pPr>
        <w:spacing w:line="600" w:lineRule="exact"/>
        <w:ind w:firstLine="643" w:firstLineChars="200"/>
        <w:rPr>
          <w:rFonts w:ascii="仿宋" w:hAnsi="仿宋" w:eastAsia="仿宋"/>
          <w:b/>
          <w:sz w:val="32"/>
          <w:szCs w:val="32"/>
        </w:rPr>
      </w:pPr>
      <w:r>
        <w:rPr>
          <w:rStyle w:val="8"/>
          <w:rFonts w:hint="eastAsia" w:ascii="仿宋" w:hAnsi="仿宋" w:eastAsia="仿宋"/>
          <w:bCs/>
          <w:sz w:val="32"/>
          <w:szCs w:val="32"/>
        </w:rPr>
        <w:t>9</w:t>
      </w:r>
      <w:r>
        <w:rPr>
          <w:rStyle w:val="8"/>
          <w:rFonts w:ascii="仿宋" w:hAnsi="仿宋" w:eastAsia="仿宋"/>
          <w:bCs/>
          <w:sz w:val="32"/>
          <w:szCs w:val="32"/>
        </w:rPr>
        <w:t>.</w:t>
      </w:r>
      <w:r>
        <w:rPr>
          <w:rFonts w:hint="eastAsia" w:ascii="仿宋" w:hAnsi="仿宋" w:eastAsia="仿宋"/>
          <w:b/>
          <w:bCs/>
          <w:sz w:val="32"/>
          <w:szCs w:val="32"/>
        </w:rPr>
        <w:t>卫生健康</w:t>
      </w:r>
      <w:r>
        <w:rPr>
          <w:rStyle w:val="8"/>
          <w:rFonts w:hint="eastAsia" w:ascii="仿宋" w:hAnsi="仿宋" w:eastAsia="仿宋"/>
          <w:bCs/>
          <w:sz w:val="32"/>
          <w:szCs w:val="32"/>
        </w:rPr>
        <w:t>（类）</w:t>
      </w:r>
      <w:r>
        <w:rPr>
          <w:rStyle w:val="8"/>
          <w:rFonts w:eastAsia="仿宋_GB2312"/>
          <w:color w:val="000000"/>
          <w:sz w:val="32"/>
          <w:szCs w:val="32"/>
        </w:rPr>
        <w:t>行政事业单位医疗</w:t>
      </w:r>
      <w:r>
        <w:rPr>
          <w:rStyle w:val="8"/>
          <w:rFonts w:hint="eastAsia" w:eastAsia="仿宋_GB2312"/>
          <w:color w:val="000000"/>
          <w:sz w:val="32"/>
          <w:szCs w:val="32"/>
        </w:rPr>
        <w:t>补助</w:t>
      </w:r>
      <w:r>
        <w:rPr>
          <w:rFonts w:eastAsia="仿宋_GB2312"/>
          <w:b/>
          <w:color w:val="000000"/>
          <w:sz w:val="32"/>
          <w:szCs w:val="32"/>
        </w:rPr>
        <w:t>（款）公务员医疗补助（项）</w:t>
      </w:r>
      <w:r>
        <w:rPr>
          <w:rStyle w:val="8"/>
          <w:rFonts w:hint="eastAsia" w:ascii="仿宋" w:hAnsi="仿宋" w:eastAsia="仿宋"/>
          <w:bCs/>
          <w:sz w:val="32"/>
          <w:szCs w:val="32"/>
        </w:rPr>
        <w:t>：</w:t>
      </w:r>
      <w:r>
        <w:rPr>
          <w:rStyle w:val="8"/>
          <w:rFonts w:hint="eastAsia" w:ascii="仿宋" w:hAnsi="仿宋" w:eastAsia="仿宋"/>
          <w:b w:val="0"/>
          <w:bCs/>
          <w:sz w:val="32"/>
          <w:szCs w:val="32"/>
        </w:rPr>
        <w:t>支出</w:t>
      </w:r>
      <w:r>
        <w:rPr>
          <w:rFonts w:hint="eastAsia" w:ascii="仿宋" w:hAnsi="仿宋" w:eastAsia="仿宋"/>
          <w:bCs/>
          <w:sz w:val="32"/>
          <w:szCs w:val="32"/>
        </w:rPr>
        <w:t>决算为</w:t>
      </w:r>
      <w:r>
        <w:rPr>
          <w:rStyle w:val="8"/>
          <w:rFonts w:hint="eastAsia" w:ascii="仿宋" w:hAnsi="仿宋" w:eastAsia="仿宋"/>
          <w:b w:val="0"/>
          <w:bCs/>
          <w:sz w:val="32"/>
          <w:szCs w:val="32"/>
        </w:rPr>
        <w:t>1.94万元，完成</w:t>
      </w:r>
      <w:r>
        <w:rPr>
          <w:rStyle w:val="8"/>
          <w:rFonts w:hint="eastAsia" w:ascii="仿宋" w:hAnsi="仿宋" w:eastAsia="仿宋"/>
          <w:b w:val="0"/>
          <w:bCs/>
          <w:sz w:val="32"/>
          <w:szCs w:val="32"/>
          <w:lang w:eastAsia="zh-CN"/>
        </w:rPr>
        <w:t>预算的100%</w:t>
      </w:r>
      <w:r>
        <w:rPr>
          <w:rStyle w:val="8"/>
          <w:rFonts w:hint="eastAsia" w:ascii="仿宋" w:hAnsi="仿宋" w:eastAsia="仿宋"/>
          <w:b w:val="0"/>
          <w:bCs/>
          <w:sz w:val="32"/>
          <w:szCs w:val="32"/>
        </w:rPr>
        <w:t>。</w:t>
      </w:r>
    </w:p>
    <w:p>
      <w:pPr>
        <w:spacing w:line="600" w:lineRule="exact"/>
        <w:ind w:firstLine="643" w:firstLineChars="200"/>
        <w:rPr>
          <w:rStyle w:val="8"/>
          <w:rFonts w:eastAsia="仿宋_GB2312"/>
          <w:b w:val="0"/>
          <w:bCs/>
          <w:color w:val="000000"/>
          <w:sz w:val="32"/>
          <w:szCs w:val="32"/>
        </w:rPr>
      </w:pPr>
      <w:r>
        <w:rPr>
          <w:rStyle w:val="8"/>
          <w:rFonts w:hint="eastAsia" w:eastAsia="仿宋_GB2312"/>
          <w:bCs/>
          <w:color w:val="000000"/>
          <w:sz w:val="32"/>
          <w:szCs w:val="32"/>
        </w:rPr>
        <w:t>10</w:t>
      </w:r>
      <w:r>
        <w:rPr>
          <w:rStyle w:val="8"/>
          <w:rFonts w:eastAsia="仿宋_GB2312"/>
          <w:bCs/>
          <w:color w:val="000000"/>
          <w:sz w:val="32"/>
          <w:szCs w:val="32"/>
        </w:rPr>
        <w:t>.农林水支出（类）扶贫（款）其他扶贫支出</w:t>
      </w:r>
      <w:r>
        <w:rPr>
          <w:rFonts w:eastAsia="仿宋_GB2312"/>
          <w:bCs/>
          <w:color w:val="000000"/>
          <w:sz w:val="32"/>
          <w:szCs w:val="32"/>
        </w:rPr>
        <w:t>（项）：</w:t>
      </w:r>
      <w:r>
        <w:rPr>
          <w:rStyle w:val="8"/>
          <w:rFonts w:eastAsia="仿宋_GB2312"/>
          <w:b w:val="0"/>
          <w:bCs/>
          <w:color w:val="000000"/>
          <w:sz w:val="32"/>
          <w:szCs w:val="32"/>
        </w:rPr>
        <w:t>支出</w:t>
      </w:r>
      <w:r>
        <w:rPr>
          <w:rFonts w:eastAsia="仿宋_GB2312"/>
          <w:bCs/>
          <w:color w:val="000000"/>
          <w:sz w:val="32"/>
          <w:szCs w:val="32"/>
        </w:rPr>
        <w:t>决算为</w:t>
      </w:r>
      <w:r>
        <w:rPr>
          <w:rStyle w:val="8"/>
          <w:rFonts w:hint="eastAsia" w:eastAsia="仿宋_GB2312"/>
          <w:b w:val="0"/>
          <w:bCs/>
          <w:color w:val="000000"/>
          <w:sz w:val="32"/>
          <w:szCs w:val="32"/>
        </w:rPr>
        <w:t>2.2万</w:t>
      </w:r>
      <w:r>
        <w:rPr>
          <w:rFonts w:eastAsia="仿宋_GB2312"/>
          <w:bCs/>
          <w:color w:val="000000"/>
          <w:sz w:val="32"/>
          <w:szCs w:val="32"/>
        </w:rPr>
        <w:t>元，</w:t>
      </w:r>
      <w:r>
        <w:rPr>
          <w:rStyle w:val="8"/>
          <w:rFonts w:eastAsia="仿宋_GB2312"/>
          <w:b w:val="0"/>
          <w:bCs/>
          <w:color w:val="000000"/>
          <w:sz w:val="32"/>
          <w:szCs w:val="32"/>
        </w:rPr>
        <w:t>完成</w:t>
      </w:r>
      <w:r>
        <w:rPr>
          <w:rStyle w:val="8"/>
          <w:rFonts w:hint="eastAsia" w:eastAsia="仿宋_GB2312"/>
          <w:b w:val="0"/>
          <w:bCs/>
          <w:color w:val="000000"/>
          <w:sz w:val="32"/>
          <w:szCs w:val="32"/>
          <w:lang w:eastAsia="zh-CN"/>
        </w:rPr>
        <w:t>预算的100%</w:t>
      </w:r>
      <w:r>
        <w:rPr>
          <w:rStyle w:val="8"/>
          <w:rFonts w:eastAsia="仿宋_GB2312"/>
          <w:b w:val="0"/>
          <w:bCs/>
          <w:color w:val="000000"/>
          <w:sz w:val="32"/>
          <w:szCs w:val="32"/>
        </w:rPr>
        <w:t>。</w:t>
      </w:r>
    </w:p>
    <w:p>
      <w:pPr>
        <w:spacing w:line="600" w:lineRule="exact"/>
        <w:ind w:firstLine="643" w:firstLineChars="200"/>
        <w:rPr>
          <w:rFonts w:ascii="仿宋" w:hAnsi="仿宋" w:eastAsia="仿宋"/>
          <w:b/>
          <w:sz w:val="32"/>
          <w:szCs w:val="32"/>
        </w:rPr>
      </w:pPr>
      <w:r>
        <w:rPr>
          <w:rStyle w:val="8"/>
          <w:rFonts w:hint="eastAsia" w:eastAsia="仿宋_GB2312"/>
          <w:bCs/>
          <w:color w:val="000000"/>
          <w:sz w:val="32"/>
          <w:szCs w:val="32"/>
        </w:rPr>
        <w:t>11</w:t>
      </w:r>
      <w:r>
        <w:rPr>
          <w:rStyle w:val="8"/>
          <w:rFonts w:eastAsia="仿宋_GB2312"/>
          <w:bCs/>
          <w:color w:val="000000"/>
          <w:sz w:val="32"/>
          <w:szCs w:val="32"/>
        </w:rPr>
        <w:t>.住房保障支出（类）住房改革支出（款）住房公</w:t>
      </w:r>
      <w:r>
        <w:rPr>
          <w:rFonts w:eastAsia="仿宋_GB2312"/>
          <w:bCs/>
          <w:color w:val="000000"/>
          <w:sz w:val="32"/>
          <w:szCs w:val="32"/>
        </w:rPr>
        <w:t>积金（项）：</w:t>
      </w:r>
      <w:r>
        <w:rPr>
          <w:rStyle w:val="8"/>
          <w:rFonts w:eastAsia="仿宋_GB2312"/>
          <w:b w:val="0"/>
          <w:bCs/>
          <w:color w:val="000000"/>
          <w:sz w:val="32"/>
          <w:szCs w:val="32"/>
        </w:rPr>
        <w:t>支出</w:t>
      </w:r>
      <w:r>
        <w:rPr>
          <w:rFonts w:eastAsia="仿宋_GB2312"/>
          <w:bCs/>
          <w:color w:val="000000"/>
          <w:sz w:val="32"/>
          <w:szCs w:val="32"/>
        </w:rPr>
        <w:t>决算为</w:t>
      </w:r>
      <w:r>
        <w:rPr>
          <w:rStyle w:val="8"/>
          <w:rFonts w:hint="eastAsia" w:eastAsia="仿宋_GB2312"/>
          <w:b w:val="0"/>
          <w:bCs/>
          <w:color w:val="000000"/>
          <w:sz w:val="32"/>
          <w:szCs w:val="32"/>
        </w:rPr>
        <w:t>11.67</w:t>
      </w:r>
      <w:r>
        <w:rPr>
          <w:rStyle w:val="8"/>
          <w:rFonts w:eastAsia="仿宋_GB2312"/>
          <w:b w:val="0"/>
          <w:bCs/>
          <w:color w:val="000000"/>
          <w:sz w:val="32"/>
          <w:szCs w:val="32"/>
        </w:rPr>
        <w:t>万元，完成</w:t>
      </w:r>
      <w:r>
        <w:rPr>
          <w:rStyle w:val="8"/>
          <w:rFonts w:hint="eastAsia" w:eastAsia="仿宋_GB2312"/>
          <w:b w:val="0"/>
          <w:bCs/>
          <w:color w:val="000000"/>
          <w:sz w:val="32"/>
          <w:szCs w:val="32"/>
          <w:lang w:eastAsia="zh-CN"/>
        </w:rPr>
        <w:t>预算的100%</w:t>
      </w:r>
      <w:r>
        <w:rPr>
          <w:rStyle w:val="8"/>
          <w:rFonts w:eastAsia="仿宋_GB2312"/>
          <w:b w:val="0"/>
          <w:bCs/>
          <w:color w:val="000000"/>
          <w:sz w:val="32"/>
          <w:szCs w:val="32"/>
        </w:rPr>
        <w:t>。</w:t>
      </w:r>
    </w:p>
    <w:p>
      <w:pPr>
        <w:tabs>
          <w:tab w:val="right" w:pos="8306"/>
        </w:tabs>
        <w:spacing w:line="600" w:lineRule="exact"/>
        <w:ind w:firstLine="640"/>
        <w:outlineLvl w:val="1"/>
        <w:rPr>
          <w:rStyle w:val="28"/>
          <w:rFonts w:ascii="黑体" w:hAnsi="黑体" w:eastAsia="黑体"/>
          <w:b w:val="0"/>
        </w:rPr>
      </w:pPr>
      <w:bookmarkStart w:id="50" w:name="_Toc15396608"/>
      <w:bookmarkStart w:id="51" w:name="_Toc15377214"/>
      <w:bookmarkStart w:id="52" w:name="_Toc13376"/>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8"/>
          <w:rFonts w:hint="eastAsia" w:ascii="黑体" w:hAnsi="黑体" w:eastAsia="黑体"/>
          <w:b w:val="0"/>
        </w:rPr>
        <w:t>般公</w:t>
      </w:r>
      <w:r>
        <w:rPr>
          <w:rFonts w:hint="eastAsia" w:ascii="黑体" w:hAnsi="黑体" w:eastAsia="黑体"/>
          <w:sz w:val="32"/>
          <w:szCs w:val="32"/>
        </w:rPr>
        <w:t>共</w:t>
      </w:r>
      <w:r>
        <w:rPr>
          <w:rStyle w:val="28"/>
          <w:rFonts w:hint="eastAsia" w:ascii="黑体" w:hAnsi="黑体" w:eastAsia="黑体"/>
          <w:b w:val="0"/>
        </w:rPr>
        <w:t>预算</w:t>
      </w:r>
      <w:r>
        <w:rPr>
          <w:rFonts w:hint="eastAsia" w:ascii="黑体" w:hAnsi="黑体" w:eastAsia="黑体"/>
          <w:sz w:val="32"/>
          <w:szCs w:val="32"/>
        </w:rPr>
        <w:t>财政拨款基本支出决算情况说明</w:t>
      </w:r>
      <w:bookmarkEnd w:id="50"/>
      <w:bookmarkEnd w:id="51"/>
      <w:bookmarkEnd w:id="52"/>
    </w:p>
    <w:p>
      <w:pPr>
        <w:spacing w:line="600" w:lineRule="exact"/>
        <w:ind w:firstLine="645"/>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21年一般公共预算财政拨款基本支出209.57万元，其中：</w:t>
      </w:r>
    </w:p>
    <w:p>
      <w:pPr>
        <w:spacing w:line="600" w:lineRule="exact"/>
        <w:ind w:firstLine="645"/>
        <w:rPr>
          <w:rFonts w:ascii="仿宋" w:hAnsi="仿宋" w:eastAsia="仿宋"/>
          <w:sz w:val="32"/>
          <w:szCs w:val="32"/>
        </w:rPr>
      </w:pPr>
      <w:r>
        <w:rPr>
          <w:rFonts w:hint="eastAsia" w:ascii="仿宋" w:hAnsi="仿宋" w:eastAsia="仿宋"/>
          <w:sz w:val="32"/>
          <w:szCs w:val="32"/>
        </w:rPr>
        <w:t>人员经费182.27万元，主要包括：基本工资、津贴补贴、奖金、伙食补助费、绩效工资、机关事业单位基本养老保险缴费、其他社会保障缴费、其他工资福利支出、生活补助、医疗费补助、奖励金、住房公积金、其他对个人和家庭的补助支出等。</w:t>
      </w:r>
    </w:p>
    <w:p>
      <w:pPr>
        <w:spacing w:line="600" w:lineRule="exact"/>
        <w:ind w:firstLine="645"/>
        <w:rPr>
          <w:rFonts w:ascii="仿宋" w:hAnsi="仿宋" w:eastAsia="仿宋"/>
          <w:b/>
          <w:sz w:val="32"/>
          <w:szCs w:val="32"/>
        </w:rPr>
      </w:pPr>
      <w:r>
        <w:rPr>
          <w:rFonts w:hint="eastAsia" w:ascii="仿宋" w:hAnsi="仿宋" w:eastAsia="仿宋"/>
          <w:sz w:val="32"/>
          <w:szCs w:val="32"/>
        </w:rPr>
        <w:t>公用经费27.10万元，主要包括：办公费、印刷费、水费、电费、差旅费、维修（护）费、租赁费、会议费、培训费、公务接待费、委托业务费、工会经费、福利费、其他交通费、其他商品和服务支出、办公设备购置、信息网络及软件购置更新、其他资本性支出等。</w:t>
      </w:r>
    </w:p>
    <w:p>
      <w:pPr>
        <w:spacing w:line="600" w:lineRule="exact"/>
        <w:ind w:firstLine="640"/>
        <w:outlineLvl w:val="1"/>
        <w:rPr>
          <w:rStyle w:val="28"/>
          <w:rFonts w:ascii="黑体" w:hAnsi="黑体" w:eastAsia="黑体"/>
          <w:b w:val="0"/>
        </w:rPr>
      </w:pPr>
      <w:bookmarkStart w:id="53" w:name="_Toc15377215"/>
      <w:bookmarkStart w:id="54" w:name="_Toc15396609"/>
      <w:bookmarkStart w:id="55" w:name="_Toc25342"/>
      <w:r>
        <w:rPr>
          <w:rFonts w:hint="eastAsia" w:ascii="黑体" w:eastAsia="黑体"/>
          <w:sz w:val="32"/>
          <w:szCs w:val="32"/>
        </w:rPr>
        <w:t>七、</w:t>
      </w:r>
      <w:r>
        <w:rPr>
          <w:rStyle w:val="28"/>
          <w:rFonts w:hint="eastAsia" w:ascii="黑体" w:hAnsi="黑体" w:eastAsia="黑体"/>
        </w:rPr>
        <w:t>“</w:t>
      </w:r>
      <w:r>
        <w:rPr>
          <w:rStyle w:val="28"/>
          <w:rFonts w:hint="eastAsia" w:ascii="黑体" w:hAnsi="黑体" w:eastAsia="黑体"/>
          <w:b w:val="0"/>
        </w:rPr>
        <w:t>三公</w:t>
      </w:r>
      <w:r>
        <w:rPr>
          <w:rFonts w:hint="eastAsia" w:ascii="黑体" w:hAnsi="黑体" w:eastAsia="黑体"/>
          <w:sz w:val="32"/>
          <w:szCs w:val="32"/>
        </w:rPr>
        <w:t>”经费财政拨款</w:t>
      </w:r>
      <w:r>
        <w:rPr>
          <w:rStyle w:val="28"/>
          <w:rFonts w:hint="eastAsia" w:ascii="黑体" w:hAnsi="黑体" w:eastAsia="黑体"/>
          <w:b w:val="0"/>
        </w:rPr>
        <w:t>支出</w:t>
      </w:r>
      <w:r>
        <w:rPr>
          <w:rFonts w:hint="eastAsia" w:ascii="黑体" w:hAnsi="黑体" w:eastAsia="黑体"/>
          <w:sz w:val="32"/>
          <w:szCs w:val="32"/>
        </w:rPr>
        <w:t>决算情况说明</w:t>
      </w:r>
      <w:bookmarkEnd w:id="53"/>
      <w:bookmarkEnd w:id="54"/>
      <w:bookmarkEnd w:id="55"/>
    </w:p>
    <w:p>
      <w:pPr>
        <w:spacing w:line="600" w:lineRule="exact"/>
        <w:ind w:firstLine="640"/>
        <w:outlineLvl w:val="2"/>
        <w:rPr>
          <w:rFonts w:ascii="仿宋" w:hAnsi="仿宋" w:eastAsia="仿宋"/>
          <w:b/>
          <w:sz w:val="32"/>
          <w:szCs w:val="32"/>
        </w:rPr>
      </w:pPr>
      <w:bookmarkStart w:id="56" w:name="_Toc15377216"/>
      <w:r>
        <w:rPr>
          <w:rFonts w:hint="eastAsia" w:ascii="仿宋" w:hAnsi="仿宋" w:eastAsia="仿宋"/>
          <w:b/>
          <w:sz w:val="32"/>
          <w:szCs w:val="32"/>
        </w:rPr>
        <w:t>（一）“三公”经费财政拨款支出决算总体情况说明</w:t>
      </w:r>
      <w:bookmarkEnd w:id="56"/>
    </w:p>
    <w:p>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21年“三公”经费财政拨款支出决算为0.18万元，完成预算的50</w:t>
      </w:r>
      <w:r>
        <w:rPr>
          <w:rFonts w:ascii="仿宋" w:hAnsi="仿宋" w:eastAsia="仿宋"/>
          <w:sz w:val="32"/>
          <w:szCs w:val="32"/>
        </w:rPr>
        <w:t>%</w:t>
      </w:r>
      <w:r>
        <w:rPr>
          <w:rFonts w:hint="eastAsia" w:ascii="仿宋" w:hAnsi="仿宋" w:eastAsia="仿宋"/>
          <w:sz w:val="32"/>
          <w:szCs w:val="32"/>
        </w:rPr>
        <w:t>，决算数小于预算数的主要原因是减少公务活动，厉行节约。</w:t>
      </w:r>
    </w:p>
    <w:p>
      <w:pPr>
        <w:spacing w:line="600" w:lineRule="exact"/>
        <w:ind w:firstLine="640"/>
        <w:outlineLvl w:val="2"/>
        <w:rPr>
          <w:rFonts w:ascii="仿宋" w:hAnsi="仿宋" w:eastAsia="仿宋"/>
          <w:b/>
          <w:sz w:val="32"/>
          <w:szCs w:val="32"/>
        </w:rPr>
      </w:pPr>
      <w:bookmarkStart w:id="57" w:name="_Toc15377217"/>
      <w:r>
        <w:rPr>
          <w:rFonts w:hint="eastAsia" w:ascii="仿宋" w:hAnsi="仿宋" w:eastAsia="仿宋"/>
          <w:b/>
          <w:sz w:val="32"/>
          <w:szCs w:val="32"/>
        </w:rPr>
        <w:t>（二）“三公”经费财政拨款支出决算具体情况说明</w:t>
      </w:r>
      <w:bookmarkEnd w:id="57"/>
    </w:p>
    <w:p>
      <w:pPr>
        <w:pStyle w:val="3"/>
        <w:spacing w:beforeLines="0"/>
        <w:ind w:firstLine="640" w:firstLineChars="200"/>
        <w:rPr>
          <w:b/>
          <w:sz w:val="32"/>
          <w:szCs w:val="32"/>
        </w:rPr>
      </w:pPr>
      <w:r>
        <w:rPr>
          <w:rFonts w:ascii="仿宋" w:hAnsi="仿宋" w:eastAsia="仿宋"/>
          <w:sz w:val="32"/>
          <w:szCs w:val="32"/>
        </w:rPr>
        <w:t>20</w:t>
      </w:r>
      <w:r>
        <w:rPr>
          <w:rFonts w:hint="eastAsia" w:ascii="仿宋" w:hAnsi="仿宋" w:eastAsia="仿宋"/>
          <w:sz w:val="32"/>
          <w:szCs w:val="32"/>
        </w:rPr>
        <w:t>21年“三公”经费财政拨款支出决算中，因公出国（境）费支出决算0万元，占0</w:t>
      </w:r>
      <w:r>
        <w:rPr>
          <w:rFonts w:ascii="仿宋" w:hAnsi="仿宋" w:eastAsia="仿宋"/>
          <w:sz w:val="32"/>
          <w:szCs w:val="32"/>
        </w:rPr>
        <w:t>%</w:t>
      </w:r>
      <w:r>
        <w:rPr>
          <w:rFonts w:hint="eastAsia" w:ascii="仿宋" w:hAnsi="仿宋" w:eastAsia="仿宋"/>
          <w:sz w:val="32"/>
          <w:szCs w:val="32"/>
        </w:rPr>
        <w:t>；公务用车购置及运行维护费支出决算0万元，占0</w:t>
      </w:r>
      <w:r>
        <w:rPr>
          <w:rFonts w:ascii="仿宋" w:hAnsi="仿宋" w:eastAsia="仿宋"/>
          <w:sz w:val="32"/>
          <w:szCs w:val="32"/>
        </w:rPr>
        <w:t>%</w:t>
      </w:r>
      <w:r>
        <w:rPr>
          <w:rFonts w:hint="eastAsia" w:ascii="仿宋" w:hAnsi="仿宋" w:eastAsia="仿宋"/>
          <w:sz w:val="32"/>
          <w:szCs w:val="32"/>
        </w:rPr>
        <w:t>；公务接待费支出决算0.18万元，占比50</w:t>
      </w:r>
      <w:r>
        <w:rPr>
          <w:rFonts w:ascii="仿宋" w:hAnsi="仿宋" w:eastAsia="仿宋"/>
          <w:sz w:val="32"/>
          <w:szCs w:val="32"/>
        </w:rPr>
        <w:t>%</w:t>
      </w:r>
      <w:r>
        <w:rPr>
          <w:rFonts w:hint="eastAsia" w:ascii="仿宋" w:hAnsi="仿宋" w:eastAsia="仿宋"/>
          <w:sz w:val="32"/>
          <w:szCs w:val="32"/>
        </w:rPr>
        <w:t>。</w:t>
      </w:r>
    </w:p>
    <w:p>
      <w:pPr>
        <w:spacing w:line="600" w:lineRule="exact"/>
        <w:ind w:firstLine="640"/>
        <w:rPr>
          <w:rFonts w:ascii="仿宋_GB2312" w:eastAsia="仿宋_GB2312"/>
          <w:b/>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rFonts w:hint="eastAsia" w:ascii="仿宋_GB2312" w:eastAsia="仿宋_GB2312"/>
          <w:sz w:val="32"/>
          <w:szCs w:val="32"/>
        </w:rPr>
        <w:t>0万元，</w:t>
      </w:r>
      <w:r>
        <w:rPr>
          <w:rStyle w:val="8"/>
          <w:rFonts w:hint="eastAsia" w:ascii="仿宋" w:hAnsi="仿宋" w:eastAsia="仿宋"/>
          <w:b w:val="0"/>
          <w:bCs/>
          <w:sz w:val="32"/>
          <w:szCs w:val="32"/>
        </w:rPr>
        <w:t>完</w:t>
      </w:r>
      <w:r>
        <w:rPr>
          <w:rStyle w:val="8"/>
          <w:rFonts w:hint="eastAsia" w:ascii="仿宋" w:hAnsi="仿宋" w:eastAsia="仿宋"/>
          <w:b w:val="0"/>
          <w:bCs/>
          <w:sz w:val="32"/>
          <w:szCs w:val="32"/>
          <w:u w:val="none" w:color="000000"/>
          <w:shd w:val="clear" w:fill="auto"/>
        </w:rPr>
        <w:t>成</w:t>
      </w:r>
      <w:r>
        <w:rPr>
          <w:rFonts w:hint="eastAsia" w:ascii="Times New Roman" w:hAnsi="Times New Roman" w:eastAsia="仿宋_GB2312" w:cs="Times New Roman"/>
          <w:bCs/>
          <w:color w:val="000000"/>
          <w:spacing w:val="0"/>
          <w:kern w:val="0"/>
          <w:sz w:val="32"/>
          <w:szCs w:val="32"/>
          <w:lang w:val="en-US" w:eastAsia="zh-CN" w:bidi="ar-SA"/>
        </w:rPr>
        <w:t>预算的</w:t>
      </w:r>
      <w:r>
        <w:rPr>
          <w:rStyle w:val="8"/>
          <w:rFonts w:hint="eastAsia" w:ascii="仿宋" w:hAnsi="仿宋" w:eastAsia="仿宋"/>
          <w:b w:val="0"/>
          <w:bCs/>
          <w:sz w:val="32"/>
          <w:szCs w:val="32"/>
        </w:rPr>
        <w:t>0</w:t>
      </w:r>
      <w:r>
        <w:rPr>
          <w:rStyle w:val="8"/>
          <w:rFonts w:ascii="仿宋" w:hAnsi="仿宋" w:eastAsia="仿宋"/>
          <w:b w:val="0"/>
          <w:bCs/>
          <w:sz w:val="32"/>
          <w:szCs w:val="32"/>
        </w:rPr>
        <w:t>%</w:t>
      </w:r>
      <w:r>
        <w:rPr>
          <w:rStyle w:val="8"/>
          <w:rFonts w:hint="eastAsia" w:ascii="仿宋" w:hAnsi="仿宋" w:eastAsia="仿宋"/>
          <w:b w:val="0"/>
          <w:bCs/>
          <w:sz w:val="32"/>
          <w:szCs w:val="32"/>
        </w:rPr>
        <w:t>。</w:t>
      </w:r>
      <w:r>
        <w:rPr>
          <w:rFonts w:hint="eastAsia" w:ascii="仿宋_GB2312" w:eastAsia="仿宋_GB2312"/>
          <w:sz w:val="32"/>
          <w:szCs w:val="32"/>
        </w:rPr>
        <w:t>全年安排因公出国（境）团组0次，出国（境）0人。因公出国（境）支出决算比</w:t>
      </w:r>
      <w:r>
        <w:rPr>
          <w:rFonts w:ascii="仿宋_GB2312" w:eastAsia="仿宋_GB2312"/>
          <w:sz w:val="32"/>
          <w:szCs w:val="32"/>
        </w:rPr>
        <w:t>20</w:t>
      </w:r>
      <w:r>
        <w:rPr>
          <w:rFonts w:hint="eastAsia" w:ascii="仿宋_GB2312" w:eastAsia="仿宋_GB2312"/>
          <w:sz w:val="32"/>
          <w:szCs w:val="32"/>
        </w:rPr>
        <w:t>20年增加</w:t>
      </w:r>
      <w:r>
        <w:rPr>
          <w:rFonts w:ascii="仿宋_GB2312" w:eastAsia="仿宋_GB2312"/>
          <w:sz w:val="32"/>
          <w:szCs w:val="32"/>
        </w:rPr>
        <w:t>/</w:t>
      </w:r>
      <w:r>
        <w:rPr>
          <w:rFonts w:hint="eastAsia" w:ascii="仿宋_GB2312" w:eastAsia="仿宋_GB2312"/>
          <w:sz w:val="32"/>
          <w:szCs w:val="32"/>
        </w:rPr>
        <w:t>减少0万元，增长</w:t>
      </w:r>
      <w:r>
        <w:rPr>
          <w:rFonts w:ascii="仿宋_GB2312" w:eastAsia="仿宋_GB2312"/>
          <w:sz w:val="32"/>
          <w:szCs w:val="32"/>
        </w:rPr>
        <w:t>/</w:t>
      </w:r>
      <w:r>
        <w:rPr>
          <w:rFonts w:hint="eastAsia" w:ascii="仿宋_GB2312" w:eastAsia="仿宋_GB2312"/>
          <w:sz w:val="32"/>
          <w:szCs w:val="32"/>
        </w:rPr>
        <w:t>下降0</w:t>
      </w:r>
      <w:r>
        <w:rPr>
          <w:rFonts w:ascii="仿宋_GB2312" w:eastAsia="仿宋_GB2312"/>
          <w:sz w:val="32"/>
          <w:szCs w:val="32"/>
        </w:rPr>
        <w:t>%</w:t>
      </w:r>
      <w:r>
        <w:rPr>
          <w:rFonts w:hint="eastAsia" w:ascii="仿宋_GB2312" w:eastAsia="仿宋_GB2312"/>
          <w:sz w:val="32"/>
          <w:szCs w:val="32"/>
        </w:rPr>
        <w:t>。</w:t>
      </w:r>
    </w:p>
    <w:p>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hint="eastAsia" w:ascii="仿宋_GB2312" w:eastAsia="仿宋_GB2312"/>
          <w:sz w:val="32"/>
          <w:szCs w:val="32"/>
        </w:rPr>
        <w:t>0万元，</w:t>
      </w:r>
      <w:r>
        <w:rPr>
          <w:rStyle w:val="8"/>
          <w:rFonts w:hint="eastAsia" w:ascii="仿宋" w:hAnsi="仿宋" w:eastAsia="仿宋"/>
          <w:b w:val="0"/>
          <w:bCs/>
          <w:sz w:val="32"/>
          <w:szCs w:val="32"/>
        </w:rPr>
        <w:t>完</w:t>
      </w:r>
      <w:r>
        <w:rPr>
          <w:rStyle w:val="8"/>
          <w:rFonts w:hint="eastAsia" w:ascii="仿宋" w:hAnsi="仿宋" w:eastAsia="仿宋"/>
          <w:b w:val="0"/>
          <w:bCs/>
          <w:sz w:val="32"/>
          <w:szCs w:val="32"/>
          <w:u w:val="none" w:color="000000"/>
          <w:shd w:val="clear" w:fill="auto"/>
        </w:rPr>
        <w:t>成</w:t>
      </w:r>
      <w:r>
        <w:rPr>
          <w:rFonts w:hint="eastAsia" w:ascii="Times New Roman" w:hAnsi="Times New Roman" w:eastAsia="仿宋_GB2312" w:cs="Times New Roman"/>
          <w:bCs/>
          <w:color w:val="000000"/>
          <w:spacing w:val="0"/>
          <w:kern w:val="0"/>
          <w:sz w:val="32"/>
          <w:szCs w:val="32"/>
          <w:lang w:val="en-US" w:eastAsia="zh-CN" w:bidi="ar-SA"/>
        </w:rPr>
        <w:t>预算的</w:t>
      </w:r>
      <w:r>
        <w:rPr>
          <w:rStyle w:val="8"/>
          <w:rFonts w:hint="eastAsia" w:ascii="仿宋" w:hAnsi="仿宋" w:eastAsia="仿宋"/>
          <w:b w:val="0"/>
          <w:bCs/>
          <w:sz w:val="32"/>
          <w:szCs w:val="32"/>
        </w:rPr>
        <w:t>0</w:t>
      </w:r>
      <w:r>
        <w:rPr>
          <w:rStyle w:val="8"/>
          <w:rFonts w:ascii="仿宋" w:hAnsi="仿宋" w:eastAsia="仿宋"/>
          <w:b w:val="0"/>
          <w:bCs/>
          <w:sz w:val="32"/>
          <w:szCs w:val="32"/>
        </w:rPr>
        <w:t>%</w:t>
      </w:r>
      <w:r>
        <w:rPr>
          <w:rStyle w:val="8"/>
          <w:rFonts w:hint="eastAsia" w:ascii="仿宋" w:hAnsi="仿宋" w:eastAsia="仿宋"/>
          <w:b w:val="0"/>
          <w:bCs/>
          <w:sz w:val="32"/>
          <w:szCs w:val="32"/>
        </w:rPr>
        <w:t>。</w:t>
      </w:r>
      <w:r>
        <w:rPr>
          <w:rFonts w:hint="eastAsia" w:ascii="仿宋_GB2312" w:eastAsia="仿宋_GB2312"/>
          <w:sz w:val="32"/>
          <w:szCs w:val="32"/>
        </w:rPr>
        <w:t>公务用车购置及运行维护费支出决算比</w:t>
      </w:r>
      <w:r>
        <w:rPr>
          <w:rFonts w:ascii="仿宋_GB2312" w:eastAsia="仿宋_GB2312"/>
          <w:sz w:val="32"/>
          <w:szCs w:val="32"/>
        </w:rPr>
        <w:t>20</w:t>
      </w:r>
      <w:r>
        <w:rPr>
          <w:rFonts w:hint="eastAsia" w:ascii="仿宋_GB2312" w:eastAsia="仿宋_GB2312"/>
          <w:sz w:val="32"/>
          <w:szCs w:val="32"/>
        </w:rPr>
        <w:t>20年增加</w:t>
      </w:r>
      <w:r>
        <w:rPr>
          <w:rFonts w:ascii="仿宋_GB2312" w:eastAsia="仿宋_GB2312"/>
          <w:sz w:val="32"/>
          <w:szCs w:val="32"/>
        </w:rPr>
        <w:t>/</w:t>
      </w:r>
      <w:r>
        <w:rPr>
          <w:rFonts w:hint="eastAsia" w:ascii="仿宋_GB2312" w:eastAsia="仿宋_GB2312"/>
          <w:sz w:val="32"/>
          <w:szCs w:val="32"/>
        </w:rPr>
        <w:t>减少0万元，增长</w:t>
      </w:r>
      <w:r>
        <w:rPr>
          <w:rFonts w:ascii="仿宋_GB2312" w:eastAsia="仿宋_GB2312"/>
          <w:sz w:val="32"/>
          <w:szCs w:val="32"/>
        </w:rPr>
        <w:t>/</w:t>
      </w:r>
      <w:r>
        <w:rPr>
          <w:rFonts w:hint="eastAsia" w:ascii="仿宋_GB2312" w:eastAsia="仿宋_GB2312"/>
          <w:sz w:val="32"/>
          <w:szCs w:val="32"/>
        </w:rPr>
        <w:t>下降0</w:t>
      </w:r>
      <w:r>
        <w:rPr>
          <w:rFonts w:ascii="仿宋_GB2312" w:eastAsia="仿宋_GB2312"/>
          <w:sz w:val="32"/>
          <w:szCs w:val="32"/>
        </w:rPr>
        <w:t>%</w:t>
      </w:r>
      <w:r>
        <w:rPr>
          <w:rFonts w:hint="eastAsia" w:ascii="仿宋_GB2312" w:eastAsia="仿宋_GB2312"/>
          <w:sz w:val="32"/>
          <w:szCs w:val="32"/>
        </w:rPr>
        <w:t>。</w:t>
      </w:r>
    </w:p>
    <w:p>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hint="eastAsia" w:ascii="仿宋_GB2312" w:eastAsia="仿宋_GB2312"/>
          <w:sz w:val="32"/>
          <w:szCs w:val="32"/>
        </w:rPr>
        <w:t>0万元。全年按规定更新购置公务用车0辆，截至</w:t>
      </w:r>
      <w:r>
        <w:rPr>
          <w:rFonts w:ascii="仿宋_GB2312" w:eastAsia="仿宋_GB2312"/>
          <w:sz w:val="32"/>
          <w:szCs w:val="32"/>
        </w:rPr>
        <w:t>20</w:t>
      </w:r>
      <w:r>
        <w:rPr>
          <w:rFonts w:hint="eastAsia" w:ascii="仿宋_GB2312" w:eastAsia="仿宋_GB2312"/>
          <w:sz w:val="32"/>
          <w:szCs w:val="32"/>
        </w:rPr>
        <w:t>21年</w:t>
      </w:r>
      <w:r>
        <w:rPr>
          <w:rFonts w:ascii="仿宋_GB2312" w:eastAsia="仿宋_GB2312"/>
          <w:sz w:val="32"/>
          <w:szCs w:val="32"/>
        </w:rPr>
        <w:t>12</w:t>
      </w:r>
      <w:r>
        <w:rPr>
          <w:rFonts w:hint="eastAsia" w:ascii="仿宋_GB2312" w:eastAsia="仿宋_GB2312"/>
          <w:sz w:val="32"/>
          <w:szCs w:val="32"/>
        </w:rPr>
        <w:t>月底，单位共有公务用车0辆，其中：轿车0辆、越野车0辆、载客汽车0辆。</w:t>
      </w:r>
    </w:p>
    <w:p>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rFonts w:hint="eastAsia" w:ascii="仿宋_GB2312" w:eastAsia="仿宋_GB2312"/>
          <w:sz w:val="32"/>
          <w:szCs w:val="32"/>
        </w:rPr>
        <w:t>0万元。</w:t>
      </w:r>
    </w:p>
    <w:p>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hint="eastAsia" w:ascii="仿宋_GB2312" w:eastAsia="仿宋_GB2312"/>
          <w:sz w:val="32"/>
          <w:szCs w:val="32"/>
        </w:rPr>
        <w:t>0.18万元，</w:t>
      </w:r>
      <w:r>
        <w:rPr>
          <w:rStyle w:val="8"/>
          <w:rFonts w:hint="eastAsia" w:ascii="仿宋" w:hAnsi="仿宋" w:eastAsia="仿宋"/>
          <w:b w:val="0"/>
          <w:bCs/>
          <w:sz w:val="32"/>
          <w:szCs w:val="32"/>
        </w:rPr>
        <w:t>完成预算的100</w:t>
      </w:r>
      <w:r>
        <w:rPr>
          <w:rStyle w:val="8"/>
          <w:rFonts w:ascii="仿宋" w:hAnsi="仿宋" w:eastAsia="仿宋"/>
          <w:b w:val="0"/>
          <w:bCs/>
          <w:sz w:val="32"/>
          <w:szCs w:val="32"/>
        </w:rPr>
        <w:t>%</w:t>
      </w:r>
      <w:r>
        <w:rPr>
          <w:rStyle w:val="8"/>
          <w:rFonts w:hint="eastAsia" w:ascii="仿宋" w:hAnsi="仿宋" w:eastAsia="仿宋"/>
          <w:b w:val="0"/>
          <w:bCs/>
          <w:sz w:val="32"/>
          <w:szCs w:val="32"/>
        </w:rPr>
        <w:t>。</w:t>
      </w:r>
      <w:r>
        <w:rPr>
          <w:rFonts w:hint="eastAsia" w:ascii="仿宋_GB2312" w:eastAsia="仿宋_GB2312"/>
          <w:sz w:val="32"/>
          <w:szCs w:val="32"/>
        </w:rPr>
        <w:t>公务接待费支出决算比</w:t>
      </w:r>
      <w:r>
        <w:rPr>
          <w:rFonts w:ascii="仿宋_GB2312" w:eastAsia="仿宋_GB2312"/>
          <w:sz w:val="32"/>
          <w:szCs w:val="32"/>
        </w:rPr>
        <w:t>20</w:t>
      </w:r>
      <w:r>
        <w:rPr>
          <w:rFonts w:hint="eastAsia" w:ascii="仿宋_GB2312" w:eastAsia="仿宋_GB2312"/>
          <w:sz w:val="32"/>
          <w:szCs w:val="32"/>
        </w:rPr>
        <w:t>20年增加</w:t>
      </w:r>
      <w:r>
        <w:rPr>
          <w:rFonts w:ascii="仿宋_GB2312" w:eastAsia="仿宋_GB2312"/>
          <w:sz w:val="32"/>
          <w:szCs w:val="32"/>
        </w:rPr>
        <w:t>/</w:t>
      </w:r>
      <w:r>
        <w:rPr>
          <w:rFonts w:hint="eastAsia" w:ascii="仿宋_GB2312" w:eastAsia="仿宋_GB2312"/>
          <w:sz w:val="32"/>
          <w:szCs w:val="32"/>
        </w:rPr>
        <w:t>减少0万元，增长</w:t>
      </w:r>
      <w:r>
        <w:rPr>
          <w:rFonts w:ascii="仿宋_GB2312" w:eastAsia="仿宋_GB2312"/>
          <w:sz w:val="32"/>
          <w:szCs w:val="32"/>
        </w:rPr>
        <w:t>/</w:t>
      </w:r>
      <w:r>
        <w:rPr>
          <w:rFonts w:hint="eastAsia" w:ascii="仿宋_GB2312" w:eastAsia="仿宋_GB2312"/>
          <w:sz w:val="32"/>
          <w:szCs w:val="32"/>
        </w:rPr>
        <w:t>下降0</w:t>
      </w:r>
      <w:r>
        <w:rPr>
          <w:rFonts w:ascii="仿宋_GB2312" w:eastAsia="仿宋_GB2312"/>
          <w:sz w:val="32"/>
          <w:szCs w:val="32"/>
        </w:rPr>
        <w:t>%</w:t>
      </w:r>
      <w:r>
        <w:rPr>
          <w:rFonts w:hint="eastAsia" w:ascii="仿宋_GB2312" w:eastAsia="仿宋_GB2312"/>
          <w:sz w:val="32"/>
          <w:szCs w:val="32"/>
        </w:rPr>
        <w:t>。其中：</w:t>
      </w:r>
    </w:p>
    <w:p>
      <w:pPr>
        <w:spacing w:line="600" w:lineRule="exact"/>
        <w:ind w:firstLine="640"/>
        <w:rPr>
          <w:rFonts w:ascii="仿宋_GB2312" w:eastAsia="仿宋_GB2312"/>
          <w:sz w:val="32"/>
          <w:szCs w:val="32"/>
        </w:rPr>
      </w:pPr>
      <w:r>
        <w:rPr>
          <w:rFonts w:hint="eastAsia" w:ascii="仿宋" w:hAnsi="仿宋" w:eastAsia="仿宋"/>
          <w:b/>
          <w:sz w:val="32"/>
          <w:szCs w:val="32"/>
        </w:rPr>
        <w:t>国内公务接待支出0.18</w:t>
      </w:r>
      <w:r>
        <w:rPr>
          <w:rFonts w:hint="eastAsia" w:ascii="仿宋_GB2312" w:eastAsia="仿宋_GB2312"/>
          <w:sz w:val="32"/>
          <w:szCs w:val="32"/>
        </w:rPr>
        <w:t>万元，主要用于开展政务服务调研活动等开支的用餐费等。国内公务接待1批次，13人次（不包括陪同人员），共计支出0.18万元，具体内容包括：</w:t>
      </w:r>
      <w:r>
        <w:rPr>
          <w:rFonts w:eastAsia="仿宋_GB2312"/>
          <w:color w:val="000000"/>
          <w:sz w:val="32"/>
          <w:szCs w:val="32"/>
        </w:rPr>
        <w:t>用餐费0.18万元。</w:t>
      </w:r>
    </w:p>
    <w:p>
      <w:pPr>
        <w:spacing w:line="600" w:lineRule="exact"/>
        <w:ind w:firstLine="643" w:firstLineChars="200"/>
        <w:rPr>
          <w:rFonts w:ascii="黑体" w:eastAsia="黑体"/>
          <w:sz w:val="32"/>
          <w:szCs w:val="32"/>
        </w:rPr>
      </w:pPr>
      <w:r>
        <w:rPr>
          <w:rFonts w:hint="eastAsia" w:ascii="仿宋" w:hAnsi="仿宋" w:eastAsia="仿宋"/>
          <w:b/>
          <w:sz w:val="32"/>
          <w:szCs w:val="32"/>
        </w:rPr>
        <w:t>外事接待支出</w:t>
      </w:r>
      <w:r>
        <w:rPr>
          <w:rFonts w:hint="eastAsia" w:ascii="仿宋" w:hAnsi="仿宋" w:eastAsia="仿宋"/>
          <w:sz w:val="32"/>
          <w:szCs w:val="32"/>
        </w:rPr>
        <w:t>0</w:t>
      </w:r>
      <w:r>
        <w:rPr>
          <w:rFonts w:hint="eastAsia" w:ascii="仿宋_GB2312" w:eastAsia="仿宋_GB2312"/>
          <w:sz w:val="32"/>
          <w:szCs w:val="32"/>
        </w:rPr>
        <w:t>万元，外事接待0批次，0人，共计支出0万元。</w:t>
      </w:r>
      <w:bookmarkStart w:id="58" w:name="_Toc15396610"/>
      <w:bookmarkStart w:id="59" w:name="_Toc15377218"/>
    </w:p>
    <w:p>
      <w:pPr>
        <w:spacing w:line="600" w:lineRule="exact"/>
        <w:ind w:firstLine="640"/>
        <w:outlineLvl w:val="1"/>
        <w:rPr>
          <w:rStyle w:val="28"/>
          <w:rFonts w:ascii="黑体" w:hAnsi="黑体" w:eastAsia="黑体"/>
        </w:rPr>
      </w:pPr>
      <w:bookmarkStart w:id="60" w:name="_Toc19599"/>
      <w:r>
        <w:rPr>
          <w:rFonts w:hint="eastAsia" w:ascii="黑体" w:eastAsia="黑体"/>
          <w:sz w:val="32"/>
          <w:szCs w:val="32"/>
        </w:rPr>
        <w:t>八、</w:t>
      </w:r>
      <w:r>
        <w:rPr>
          <w:rStyle w:val="28"/>
          <w:rFonts w:hint="eastAsia" w:ascii="黑体" w:hAnsi="黑体" w:eastAsia="黑体"/>
          <w:b w:val="0"/>
        </w:rPr>
        <w:t>政府性基金预算</w:t>
      </w:r>
      <w:r>
        <w:rPr>
          <w:rFonts w:hint="eastAsia" w:ascii="黑体" w:hAnsi="黑体" w:eastAsia="黑体"/>
          <w:sz w:val="32"/>
          <w:szCs w:val="32"/>
        </w:rPr>
        <w:t>支出决算情况说明</w:t>
      </w:r>
      <w:bookmarkEnd w:id="58"/>
      <w:bookmarkEnd w:id="59"/>
      <w:bookmarkEnd w:id="60"/>
    </w:p>
    <w:p>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21年政府性基金预算财政拨款支出0万元。</w:t>
      </w:r>
    </w:p>
    <w:p>
      <w:pPr>
        <w:numPr>
          <w:ilvl w:val="0"/>
          <w:numId w:val="1"/>
        </w:numPr>
        <w:spacing w:line="600" w:lineRule="exact"/>
        <w:ind w:firstLine="640"/>
        <w:outlineLvl w:val="1"/>
        <w:rPr>
          <w:rStyle w:val="28"/>
          <w:rFonts w:ascii="黑体" w:hAnsi="黑体" w:eastAsia="黑体"/>
          <w:b w:val="0"/>
        </w:rPr>
      </w:pPr>
      <w:bookmarkStart w:id="61" w:name="_Toc15396611"/>
      <w:bookmarkStart w:id="62" w:name="_Toc15377219"/>
      <w:bookmarkStart w:id="63" w:name="_Toc16811"/>
      <w:r>
        <w:rPr>
          <w:rStyle w:val="28"/>
          <w:rFonts w:hint="eastAsia" w:ascii="黑体" w:hAnsi="黑体" w:eastAsia="黑体"/>
          <w:b w:val="0"/>
        </w:rPr>
        <w:t>国有资本经营预算</w:t>
      </w:r>
      <w:r>
        <w:rPr>
          <w:rFonts w:hint="eastAsia" w:ascii="黑体" w:hAnsi="黑体" w:eastAsia="黑体"/>
          <w:sz w:val="32"/>
          <w:szCs w:val="32"/>
        </w:rPr>
        <w:t>支出决算情况说明</w:t>
      </w:r>
      <w:bookmarkEnd w:id="61"/>
      <w:bookmarkEnd w:id="62"/>
      <w:bookmarkEnd w:id="63"/>
    </w:p>
    <w:p>
      <w:pPr>
        <w:spacing w:line="600" w:lineRule="exact"/>
        <w:ind w:firstLine="640"/>
        <w:rPr>
          <w:rFonts w:ascii="方正小标宋简体" w:hAnsi="方正小标宋简体" w:eastAsia="方正小标宋简体" w:cs="方正小标宋简体"/>
          <w:sz w:val="44"/>
          <w:szCs w:val="44"/>
        </w:rPr>
      </w:pPr>
      <w:r>
        <w:rPr>
          <w:rFonts w:ascii="仿宋_GB2312" w:eastAsia="仿宋_GB2312"/>
          <w:sz w:val="32"/>
          <w:szCs w:val="32"/>
        </w:rPr>
        <w:t>20</w:t>
      </w:r>
      <w:r>
        <w:rPr>
          <w:rFonts w:hint="eastAsia" w:ascii="仿宋_GB2312" w:eastAsia="仿宋_GB2312"/>
          <w:sz w:val="32"/>
          <w:szCs w:val="32"/>
        </w:rPr>
        <w:t>21年国有资本经营预算财政拨款支出0万元。</w:t>
      </w:r>
    </w:p>
    <w:p>
      <w:pPr>
        <w:numPr>
          <w:ilvl w:val="0"/>
          <w:numId w:val="1"/>
        </w:numPr>
        <w:spacing w:line="600" w:lineRule="exact"/>
        <w:ind w:firstLine="640"/>
        <w:outlineLvl w:val="1"/>
        <w:rPr>
          <w:rStyle w:val="28"/>
          <w:rFonts w:ascii="黑体" w:hAnsi="黑体" w:eastAsia="黑体"/>
          <w:b w:val="0"/>
        </w:rPr>
      </w:pPr>
      <w:bookmarkStart w:id="64" w:name="_Toc15396612"/>
      <w:bookmarkStart w:id="65" w:name="_Toc21339"/>
      <w:bookmarkStart w:id="66" w:name="_Toc15377221"/>
      <w:r>
        <w:rPr>
          <w:rStyle w:val="28"/>
          <w:rFonts w:hint="eastAsia" w:ascii="黑体" w:hAnsi="黑体" w:eastAsia="黑体"/>
          <w:b w:val="0"/>
        </w:rPr>
        <w:t>其他重要事项的情况说明</w:t>
      </w:r>
      <w:bookmarkEnd w:id="64"/>
      <w:bookmarkEnd w:id="65"/>
      <w:bookmarkEnd w:id="66"/>
    </w:p>
    <w:p>
      <w:pPr>
        <w:spacing w:line="600" w:lineRule="exact"/>
        <w:ind w:firstLine="643" w:firstLineChars="200"/>
        <w:outlineLvl w:val="2"/>
        <w:rPr>
          <w:rFonts w:ascii="仿宋" w:hAnsi="仿宋" w:eastAsia="仿宋"/>
          <w:sz w:val="32"/>
          <w:szCs w:val="32"/>
        </w:rPr>
      </w:pPr>
      <w:bookmarkStart w:id="67" w:name="_Toc15377222"/>
      <w:r>
        <w:rPr>
          <w:rFonts w:hint="eastAsia" w:ascii="仿宋" w:hAnsi="仿宋" w:eastAsia="仿宋"/>
          <w:b/>
          <w:sz w:val="32"/>
          <w:szCs w:val="32"/>
        </w:rPr>
        <w:t>（一）机关运行经费支出情况</w:t>
      </w:r>
      <w:bookmarkEnd w:id="67"/>
    </w:p>
    <w:p>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w:t>
      </w:r>
      <w:r>
        <w:rPr>
          <w:rFonts w:eastAsia="仿宋_GB2312"/>
          <w:color w:val="000000"/>
          <w:sz w:val="32"/>
          <w:szCs w:val="32"/>
        </w:rPr>
        <w:t>通江县行政审批局</w:t>
      </w:r>
      <w:r>
        <w:rPr>
          <w:rFonts w:hint="eastAsia" w:ascii="仿宋_GB2312" w:eastAsia="仿宋_GB2312"/>
          <w:sz w:val="32"/>
          <w:szCs w:val="32"/>
        </w:rPr>
        <w:t>机关运行经费支出27.10万元，比</w:t>
      </w:r>
      <w:r>
        <w:rPr>
          <w:rFonts w:ascii="仿宋_GB2312" w:eastAsia="仿宋_GB2312"/>
          <w:sz w:val="32"/>
          <w:szCs w:val="32"/>
        </w:rPr>
        <w:t>20</w:t>
      </w:r>
      <w:r>
        <w:rPr>
          <w:rFonts w:hint="eastAsia" w:ascii="仿宋_GB2312" w:eastAsia="仿宋_GB2312"/>
          <w:sz w:val="32"/>
          <w:szCs w:val="32"/>
        </w:rPr>
        <w:t>20年增加2.34万元，增长9.45</w:t>
      </w:r>
      <w:r>
        <w:rPr>
          <w:rFonts w:ascii="仿宋_GB2312" w:eastAsia="仿宋_GB2312"/>
          <w:sz w:val="32"/>
          <w:szCs w:val="32"/>
        </w:rPr>
        <w:t>%</w:t>
      </w:r>
      <w:r>
        <w:rPr>
          <w:rFonts w:hint="eastAsia" w:ascii="仿宋_GB2312" w:eastAsia="仿宋_GB2312"/>
          <w:sz w:val="32"/>
          <w:szCs w:val="32"/>
        </w:rPr>
        <w:t>。主要原因是人员增加。</w:t>
      </w:r>
    </w:p>
    <w:p>
      <w:pPr>
        <w:autoSpaceDE w:val="0"/>
        <w:autoSpaceDN w:val="0"/>
        <w:adjustRightInd w:val="0"/>
        <w:spacing w:line="600" w:lineRule="exact"/>
        <w:ind w:firstLine="643" w:firstLineChars="200"/>
        <w:jc w:val="left"/>
        <w:outlineLvl w:val="2"/>
        <w:rPr>
          <w:rFonts w:ascii="仿宋" w:hAnsi="仿宋" w:eastAsia="仿宋"/>
          <w:b/>
          <w:sz w:val="32"/>
          <w:szCs w:val="32"/>
        </w:rPr>
      </w:pPr>
      <w:bookmarkStart w:id="68" w:name="_Toc15377223"/>
      <w:r>
        <w:rPr>
          <w:rFonts w:hint="eastAsia" w:ascii="仿宋" w:hAnsi="仿宋" w:eastAsia="仿宋"/>
          <w:b/>
          <w:sz w:val="32"/>
          <w:szCs w:val="32"/>
        </w:rPr>
        <w:t>（二）政府采购支出情况</w:t>
      </w:r>
      <w:bookmarkEnd w:id="68"/>
    </w:p>
    <w:p>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通江县行政审批局政府采购支出总额1.48万元，其中：政府采购货物支出1.48万元、政府采购工程支出0万元、政府采购服务支出0万元。主要用于政务服务工作办公设备添置。授予中小微企业合同金额1.48万元，占政府采购支出总额的100%。</w:t>
      </w:r>
    </w:p>
    <w:p>
      <w:pPr>
        <w:numPr>
          <w:ilvl w:val="0"/>
          <w:numId w:val="2"/>
        </w:numPr>
        <w:autoSpaceDE w:val="0"/>
        <w:autoSpaceDN w:val="0"/>
        <w:adjustRightInd w:val="0"/>
        <w:spacing w:line="600" w:lineRule="exact"/>
        <w:ind w:firstLine="643" w:firstLineChars="200"/>
        <w:jc w:val="left"/>
        <w:outlineLvl w:val="2"/>
        <w:rPr>
          <w:rFonts w:ascii="仿宋" w:hAnsi="仿宋" w:eastAsia="仿宋"/>
          <w:b/>
          <w:sz w:val="32"/>
          <w:szCs w:val="32"/>
        </w:rPr>
      </w:pPr>
      <w:bookmarkStart w:id="69" w:name="_Toc15377224"/>
      <w:r>
        <w:rPr>
          <w:rFonts w:hint="eastAsia" w:ascii="仿宋" w:hAnsi="仿宋" w:eastAsia="仿宋"/>
          <w:b/>
          <w:sz w:val="32"/>
          <w:szCs w:val="32"/>
        </w:rPr>
        <w:t>国有资产占有使用情况</w:t>
      </w:r>
      <w:bookmarkEnd w:id="69"/>
    </w:p>
    <w:p>
      <w:pPr>
        <w:autoSpaceDE w:val="0"/>
        <w:autoSpaceDN w:val="0"/>
        <w:adjustRightInd w:val="0"/>
        <w:spacing w:line="600" w:lineRule="exact"/>
        <w:ind w:firstLine="640" w:firstLineChars="200"/>
        <w:jc w:val="left"/>
      </w:pPr>
      <w:r>
        <w:rPr>
          <w:rFonts w:eastAsia="仿宋_GB2312"/>
          <w:sz w:val="32"/>
          <w:szCs w:val="32"/>
        </w:rPr>
        <w:t>截至2021年12月31日，通江县行政审批局共有车辆0辆，其中：主要领导干部用车0辆、机要通信用车0辆、应急保障用车0辆、其他用车0辆，单价50万元以上通用设备0台（套），单价100万元以上专用设备0台（套）。</w:t>
      </w:r>
    </w:p>
    <w:p>
      <w:pPr>
        <w:numPr>
          <w:ilvl w:val="0"/>
          <w:numId w:val="2"/>
        </w:num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预算绩效管理情况</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根据预算绩效管理要求，本单位在2021年度预算编制阶段，组织对</w:t>
      </w:r>
      <w:r>
        <w:rPr>
          <w:rFonts w:eastAsia="仿宋_GB2312"/>
          <w:sz w:val="32"/>
          <w:szCs w:val="32"/>
        </w:rPr>
        <w:t>政务服务监督管理、省一体化政务服务平台运行、乡镇便民服务中心业务指导、创建一流营商环境和行政审批制度改革</w:t>
      </w:r>
      <w:r>
        <w:rPr>
          <w:rFonts w:hint="eastAsia" w:ascii="仿宋_GB2312" w:hAnsi="仿宋_GB2312" w:eastAsia="仿宋_GB2312" w:cs="仿宋_GB2312"/>
          <w:sz w:val="32"/>
          <w:szCs w:val="32"/>
        </w:rPr>
        <w:t>等4个项目开展了预算事前绩效评估，对4个项目编制了绩效目标，预算执行过程中，选取4个项目开展绩效监控，年终执行完毕后，对4个项目开展了绩效自评。从评价情况来看，我局顺利完成全年目标和任务，得到各级领导、全体职工及社会的认可。《2021年通江县行政审批局部门整体绩效评价报告》见附件（第四部分）。</w:t>
      </w:r>
    </w:p>
    <w:p>
      <w:pPr>
        <w:pStyle w:val="3"/>
        <w:spacing w:before="93"/>
        <w:rPr>
          <w:rFonts w:hAnsi="仿宋_GB2312" w:cs="仿宋_GB2312"/>
          <w:sz w:val="32"/>
          <w:szCs w:val="32"/>
        </w:rPr>
      </w:pPr>
    </w:p>
    <w:p>
      <w:pPr>
        <w:pStyle w:val="3"/>
        <w:spacing w:before="93"/>
        <w:rPr>
          <w:rFonts w:hAnsi="仿宋_GB2312" w:cs="仿宋_GB2312"/>
          <w:sz w:val="32"/>
          <w:szCs w:val="32"/>
        </w:rPr>
      </w:pPr>
    </w:p>
    <w:p>
      <w:pPr>
        <w:pStyle w:val="3"/>
        <w:spacing w:before="93"/>
        <w:rPr>
          <w:rFonts w:hAnsi="仿宋_GB2312" w:cs="仿宋_GB2312"/>
          <w:sz w:val="32"/>
          <w:szCs w:val="32"/>
        </w:rPr>
      </w:pPr>
    </w:p>
    <w:p>
      <w:pPr>
        <w:pStyle w:val="3"/>
        <w:spacing w:before="93"/>
        <w:rPr>
          <w:rFonts w:hAnsi="仿宋_GB2312" w:cs="仿宋_GB2312"/>
          <w:sz w:val="32"/>
          <w:szCs w:val="32"/>
        </w:rPr>
      </w:pPr>
    </w:p>
    <w:p>
      <w:pPr>
        <w:pStyle w:val="3"/>
        <w:spacing w:before="93"/>
        <w:rPr>
          <w:rFonts w:hAnsi="仿宋_GB2312" w:cs="仿宋_GB2312"/>
          <w:sz w:val="32"/>
          <w:szCs w:val="32"/>
        </w:rPr>
      </w:pPr>
    </w:p>
    <w:p>
      <w:pPr>
        <w:pStyle w:val="3"/>
        <w:spacing w:before="93"/>
        <w:rPr>
          <w:rFonts w:hAnsi="仿宋_GB2312" w:cs="仿宋_GB2312"/>
          <w:sz w:val="32"/>
          <w:szCs w:val="32"/>
        </w:rPr>
      </w:pPr>
    </w:p>
    <w:p>
      <w:pPr>
        <w:pStyle w:val="3"/>
        <w:spacing w:before="93"/>
        <w:rPr>
          <w:rFonts w:hAnsi="仿宋_GB2312" w:cs="仿宋_GB2312"/>
          <w:sz w:val="32"/>
          <w:szCs w:val="32"/>
        </w:rPr>
      </w:pPr>
    </w:p>
    <w:p>
      <w:pPr>
        <w:pStyle w:val="3"/>
        <w:spacing w:before="93"/>
        <w:rPr>
          <w:rFonts w:hAnsi="仿宋_GB2312" w:cs="仿宋_GB2312"/>
          <w:sz w:val="32"/>
          <w:szCs w:val="32"/>
        </w:rPr>
      </w:pPr>
    </w:p>
    <w:p>
      <w:pPr>
        <w:pStyle w:val="3"/>
        <w:spacing w:before="93"/>
        <w:rPr>
          <w:rFonts w:hAnsi="仿宋_GB2312" w:cs="仿宋_GB2312"/>
          <w:sz w:val="32"/>
          <w:szCs w:val="32"/>
        </w:rPr>
      </w:pPr>
    </w:p>
    <w:p>
      <w:pPr>
        <w:pStyle w:val="3"/>
        <w:spacing w:before="93"/>
        <w:rPr>
          <w:rFonts w:hAnsi="仿宋_GB2312" w:cs="仿宋_GB2312"/>
          <w:sz w:val="32"/>
          <w:szCs w:val="32"/>
        </w:rPr>
      </w:pPr>
    </w:p>
    <w:p>
      <w:pPr>
        <w:pStyle w:val="3"/>
        <w:spacing w:before="93"/>
        <w:rPr>
          <w:rFonts w:hAnsi="仿宋_GB2312" w:cs="仿宋_GB2312"/>
          <w:sz w:val="32"/>
          <w:szCs w:val="32"/>
        </w:rPr>
      </w:pPr>
    </w:p>
    <w:p>
      <w:pPr>
        <w:pStyle w:val="3"/>
        <w:spacing w:before="93"/>
        <w:rPr>
          <w:rFonts w:hAnsi="仿宋_GB2312" w:cs="仿宋_GB2312"/>
          <w:sz w:val="32"/>
          <w:szCs w:val="32"/>
        </w:rPr>
      </w:pPr>
    </w:p>
    <w:p>
      <w:pPr>
        <w:pStyle w:val="3"/>
        <w:spacing w:before="93"/>
        <w:rPr>
          <w:rFonts w:hAnsi="仿宋_GB2312" w:cs="仿宋_GB2312"/>
          <w:sz w:val="32"/>
          <w:szCs w:val="32"/>
        </w:rPr>
      </w:pPr>
    </w:p>
    <w:p>
      <w:pPr>
        <w:numPr>
          <w:ilvl w:val="0"/>
          <w:numId w:val="3"/>
        </w:numPr>
        <w:spacing w:line="600" w:lineRule="exact"/>
        <w:ind w:firstLine="660" w:firstLineChars="150"/>
        <w:jc w:val="center"/>
        <w:outlineLvl w:val="0"/>
        <w:rPr>
          <w:rStyle w:val="27"/>
          <w:rFonts w:ascii="黑体" w:hAnsi="黑体" w:eastAsia="黑体"/>
          <w:b w:val="0"/>
        </w:rPr>
      </w:pPr>
      <w:bookmarkStart w:id="70" w:name="_Toc30704"/>
      <w:bookmarkStart w:id="71" w:name="_Toc15396613"/>
      <w:bookmarkStart w:id="72" w:name="_Toc15377225"/>
      <w:r>
        <w:rPr>
          <w:rFonts w:hint="eastAsia" w:ascii="黑体" w:hAnsi="黑体" w:eastAsia="黑体"/>
          <w:sz w:val="44"/>
          <w:szCs w:val="44"/>
        </w:rPr>
        <w:t>名</w:t>
      </w:r>
      <w:r>
        <w:rPr>
          <w:rStyle w:val="27"/>
          <w:rFonts w:hint="eastAsia" w:ascii="黑体" w:hAnsi="黑体" w:eastAsia="黑体"/>
          <w:b w:val="0"/>
        </w:rPr>
        <w:t>词解释</w:t>
      </w:r>
      <w:bookmarkEnd w:id="70"/>
      <w:bookmarkEnd w:id="71"/>
      <w:bookmarkEnd w:id="72"/>
    </w:p>
    <w:p>
      <w:pPr>
        <w:spacing w:line="600" w:lineRule="exact"/>
        <w:jc w:val="left"/>
        <w:rPr>
          <w:rFonts w:ascii="宋体"/>
          <w:b/>
          <w:sz w:val="44"/>
          <w:szCs w:val="44"/>
        </w:rPr>
      </w:pPr>
    </w:p>
    <w:p>
      <w:pPr>
        <w:pStyle w:val="25"/>
        <w:spacing w:line="520" w:lineRule="exact"/>
        <w:ind w:firstLine="640" w:firstLineChars="200"/>
        <w:rPr>
          <w:rFonts w:ascii="仿宋_GB2312" w:eastAsia="仿宋_GB2312"/>
          <w:color w:val="auto"/>
          <w:sz w:val="32"/>
          <w:szCs w:val="32"/>
        </w:rPr>
      </w:pPr>
      <w:r>
        <w:rPr>
          <w:rFonts w:ascii="仿宋_GB2312" w:eastAsia="仿宋_GB2312"/>
          <w:color w:val="auto"/>
          <w:sz w:val="32"/>
          <w:szCs w:val="32"/>
        </w:rPr>
        <w:t>1.</w:t>
      </w:r>
      <w:r>
        <w:rPr>
          <w:rFonts w:hint="eastAsia" w:ascii="仿宋_GB2312" w:eastAsia="仿宋_GB2312"/>
          <w:color w:val="auto"/>
          <w:sz w:val="32"/>
          <w:szCs w:val="32"/>
        </w:rPr>
        <w:t>财政拨款收入：指单位从同级财政部门取得的财政预算资金。</w:t>
      </w:r>
    </w:p>
    <w:p>
      <w:pPr>
        <w:pStyle w:val="25"/>
        <w:spacing w:line="520" w:lineRule="exact"/>
        <w:ind w:firstLine="640" w:firstLineChars="200"/>
        <w:rPr>
          <w:rFonts w:ascii="Times New Roman" w:hAnsi="Times New Roman" w:eastAsia="仿宋_GB2312" w:cs="Times New Roman"/>
          <w:bCs/>
          <w:color w:val="000000"/>
          <w:spacing w:val="0"/>
          <w:kern w:val="0"/>
          <w:sz w:val="32"/>
          <w:szCs w:val="32"/>
          <w:lang w:val="en-US" w:eastAsia="zh-CN" w:bidi="ar-SA"/>
        </w:rPr>
      </w:pPr>
      <w:r>
        <w:rPr>
          <w:rFonts w:hint="eastAsia" w:ascii="仿宋_GB2312" w:eastAsia="仿宋_GB2312"/>
          <w:color w:val="auto"/>
          <w:sz w:val="32"/>
          <w:szCs w:val="32"/>
        </w:rPr>
        <w:t>2</w:t>
      </w:r>
      <w:r>
        <w:rPr>
          <w:rFonts w:ascii="仿宋_GB2312" w:eastAsia="仿宋_GB2312"/>
          <w:color w:val="auto"/>
          <w:sz w:val="32"/>
          <w:szCs w:val="32"/>
        </w:rPr>
        <w:t>.</w:t>
      </w:r>
      <w:r>
        <w:rPr>
          <w:rFonts w:hint="eastAsia" w:ascii="仿宋_GB2312" w:eastAsia="仿宋_GB2312"/>
          <w:color w:val="auto"/>
          <w:sz w:val="32"/>
          <w:szCs w:val="32"/>
        </w:rPr>
        <w:t>年初结转和结余：指以前年度尚未完成、结转</w:t>
      </w:r>
      <w:r>
        <w:rPr>
          <w:rFonts w:hint="eastAsia" w:ascii="仿宋_GB2312" w:eastAsia="仿宋_GB2312"/>
          <w:color w:val="auto"/>
          <w:sz w:val="32"/>
          <w:szCs w:val="32"/>
          <w:u w:val="none" w:color="000000"/>
          <w:shd w:val="clear" w:fill="auto"/>
        </w:rPr>
        <w:t>到</w:t>
      </w:r>
      <w:r>
        <w:rPr>
          <w:rFonts w:hint="eastAsia" w:ascii="Times New Roman" w:hAnsi="Times New Roman" w:eastAsia="仿宋_GB2312" w:cs="Times New Roman"/>
          <w:bCs/>
          <w:color w:val="000000"/>
          <w:spacing w:val="0"/>
          <w:kern w:val="0"/>
          <w:sz w:val="32"/>
          <w:szCs w:val="32"/>
          <w:lang w:val="en-US" w:eastAsia="zh-CN" w:bidi="ar-SA"/>
        </w:rPr>
        <w:t>本年度按有关规定继续使用的资金。</w:t>
      </w:r>
    </w:p>
    <w:p>
      <w:pPr>
        <w:pStyle w:val="25"/>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3.年末结转和结余：指单位按有关规定结转到下年或以后年度继续使用的资金。</w:t>
      </w:r>
    </w:p>
    <w:p>
      <w:pPr>
        <w:spacing w:line="520" w:lineRule="exact"/>
        <w:ind w:firstLine="640" w:firstLineChars="200"/>
        <w:rPr>
          <w:rFonts w:ascii="仿宋_GB2312" w:hAnsi="Calibri" w:eastAsia="仿宋_GB2312" w:cs="仿宋"/>
          <w:kern w:val="0"/>
          <w:sz w:val="32"/>
          <w:szCs w:val="32"/>
        </w:rPr>
      </w:pPr>
      <w:r>
        <w:rPr>
          <w:rFonts w:hint="eastAsia" w:ascii="仿宋_GB2312" w:hAnsi="Calibri" w:eastAsia="仿宋_GB2312" w:cs="仿宋"/>
          <w:kern w:val="0"/>
          <w:sz w:val="32"/>
          <w:szCs w:val="32"/>
        </w:rPr>
        <w:t>4.一般公共服务（类）</w:t>
      </w:r>
      <w:r>
        <w:rPr>
          <w:rFonts w:ascii="仿宋_GB2312" w:hAnsi="Calibri" w:eastAsia="仿宋_GB2312" w:cs="仿宋"/>
          <w:kern w:val="0"/>
          <w:sz w:val="32"/>
          <w:szCs w:val="32"/>
        </w:rPr>
        <w:t>政府办公厅（室）及相关机构事务（款）</w:t>
      </w:r>
      <w:r>
        <w:rPr>
          <w:rFonts w:hint="eastAsia" w:ascii="仿宋_GB2312" w:hAnsi="Calibri" w:eastAsia="仿宋_GB2312" w:cs="仿宋"/>
          <w:kern w:val="0"/>
          <w:sz w:val="32"/>
          <w:szCs w:val="32"/>
        </w:rPr>
        <w:t>行政运行</w:t>
      </w:r>
      <w:r>
        <w:rPr>
          <w:rFonts w:ascii="仿宋_GB2312" w:hAnsi="Calibri" w:eastAsia="仿宋_GB2312" w:cs="仿宋"/>
          <w:kern w:val="0"/>
          <w:sz w:val="32"/>
          <w:szCs w:val="32"/>
        </w:rPr>
        <w:t>（项）</w:t>
      </w:r>
      <w:r>
        <w:rPr>
          <w:rFonts w:hint="eastAsia" w:ascii="仿宋_GB2312" w:hAnsi="Calibri" w:eastAsia="仿宋_GB2312" w:cs="仿宋"/>
          <w:kern w:val="0"/>
          <w:sz w:val="32"/>
          <w:szCs w:val="32"/>
        </w:rPr>
        <w:t>指行政单位运行支出。</w:t>
      </w:r>
    </w:p>
    <w:p>
      <w:pPr>
        <w:spacing w:line="520" w:lineRule="exact"/>
        <w:ind w:firstLine="640" w:firstLineChars="200"/>
        <w:rPr>
          <w:rFonts w:ascii="仿宋_GB2312" w:hAnsi="Calibri" w:eastAsia="仿宋_GB2312" w:cs="仿宋"/>
          <w:kern w:val="0"/>
          <w:sz w:val="32"/>
          <w:szCs w:val="32"/>
        </w:rPr>
      </w:pPr>
      <w:r>
        <w:rPr>
          <w:rFonts w:hint="eastAsia" w:ascii="仿宋_GB2312" w:hAnsi="Calibri" w:eastAsia="仿宋_GB2312" w:cs="仿宋"/>
          <w:kern w:val="0"/>
          <w:sz w:val="32"/>
          <w:szCs w:val="32"/>
        </w:rPr>
        <w:t>5.一般公共服务（类）</w:t>
      </w:r>
      <w:r>
        <w:rPr>
          <w:rFonts w:ascii="仿宋_GB2312" w:hAnsi="Calibri" w:eastAsia="仿宋_GB2312" w:cs="仿宋"/>
          <w:kern w:val="0"/>
          <w:sz w:val="32"/>
          <w:szCs w:val="32"/>
        </w:rPr>
        <w:t>政府办公厅（室）及相关机构事务（款）政务公开审批（项）</w:t>
      </w:r>
      <w:r>
        <w:rPr>
          <w:rFonts w:hint="eastAsia" w:ascii="仿宋_GB2312" w:hAnsi="Calibri" w:eastAsia="仿宋_GB2312" w:cs="仿宋"/>
          <w:kern w:val="0"/>
          <w:sz w:val="32"/>
          <w:szCs w:val="32"/>
        </w:rPr>
        <w:t>指政府政务公开审批方面的支出。</w:t>
      </w:r>
    </w:p>
    <w:p>
      <w:pPr>
        <w:spacing w:line="520" w:lineRule="exact"/>
        <w:ind w:firstLine="640" w:firstLineChars="200"/>
        <w:rPr>
          <w:rFonts w:ascii="仿宋_GB2312" w:hAnsi="Calibri" w:eastAsia="仿宋_GB2312" w:cs="仿宋"/>
          <w:kern w:val="0"/>
          <w:sz w:val="32"/>
          <w:szCs w:val="32"/>
        </w:rPr>
      </w:pPr>
      <w:r>
        <w:rPr>
          <w:rFonts w:hint="eastAsia" w:ascii="仿宋_GB2312" w:hAnsi="Calibri" w:eastAsia="仿宋_GB2312" w:cs="仿宋"/>
          <w:kern w:val="0"/>
          <w:sz w:val="32"/>
          <w:szCs w:val="32"/>
        </w:rPr>
        <w:t>6.一般公共服务（类）</w:t>
      </w:r>
      <w:r>
        <w:rPr>
          <w:rFonts w:ascii="仿宋_GB2312" w:hAnsi="Calibri" w:eastAsia="仿宋_GB2312" w:cs="仿宋"/>
          <w:kern w:val="0"/>
          <w:sz w:val="32"/>
          <w:szCs w:val="32"/>
        </w:rPr>
        <w:t>政府办公厅（室）及相关机构事务（款）</w:t>
      </w:r>
      <w:r>
        <w:rPr>
          <w:rFonts w:hint="eastAsia" w:ascii="仿宋_GB2312" w:hAnsi="Calibri" w:eastAsia="仿宋_GB2312" w:cs="仿宋"/>
          <w:kern w:val="0"/>
          <w:sz w:val="32"/>
          <w:szCs w:val="32"/>
        </w:rPr>
        <w:t>其他</w:t>
      </w:r>
      <w:r>
        <w:rPr>
          <w:rFonts w:ascii="仿宋_GB2312" w:hAnsi="Calibri" w:eastAsia="仿宋_GB2312" w:cs="仿宋"/>
          <w:kern w:val="0"/>
          <w:sz w:val="32"/>
          <w:szCs w:val="32"/>
        </w:rPr>
        <w:t>政府办公厅（室）及相关机构事务</w:t>
      </w:r>
      <w:r>
        <w:rPr>
          <w:rFonts w:hint="eastAsia" w:ascii="仿宋_GB2312" w:hAnsi="Calibri" w:eastAsia="仿宋_GB2312" w:cs="仿宋"/>
          <w:kern w:val="0"/>
          <w:sz w:val="32"/>
          <w:szCs w:val="32"/>
        </w:rPr>
        <w:t>支出</w:t>
      </w:r>
      <w:r>
        <w:rPr>
          <w:rFonts w:ascii="仿宋_GB2312" w:hAnsi="Calibri" w:eastAsia="仿宋_GB2312" w:cs="仿宋"/>
          <w:kern w:val="0"/>
          <w:sz w:val="32"/>
          <w:szCs w:val="32"/>
        </w:rPr>
        <w:t>（项）</w:t>
      </w:r>
      <w:r>
        <w:rPr>
          <w:rFonts w:hint="eastAsia" w:ascii="仿宋_GB2312" w:hAnsi="Calibri" w:eastAsia="仿宋_GB2312" w:cs="仿宋"/>
          <w:kern w:val="0"/>
          <w:sz w:val="32"/>
          <w:szCs w:val="32"/>
        </w:rPr>
        <w:t>指除上述项目以外的其他</w:t>
      </w:r>
      <w:r>
        <w:rPr>
          <w:rFonts w:ascii="仿宋_GB2312" w:hAnsi="Calibri" w:eastAsia="仿宋_GB2312" w:cs="仿宋"/>
          <w:kern w:val="0"/>
          <w:sz w:val="32"/>
          <w:szCs w:val="32"/>
        </w:rPr>
        <w:t>政府办公厅（室）及相关机构事务</w:t>
      </w:r>
      <w:r>
        <w:rPr>
          <w:rFonts w:hint="eastAsia" w:ascii="仿宋_GB2312" w:hAnsi="Calibri" w:eastAsia="仿宋_GB2312" w:cs="仿宋"/>
          <w:kern w:val="0"/>
          <w:sz w:val="32"/>
          <w:szCs w:val="32"/>
        </w:rPr>
        <w:t>支出。</w:t>
      </w:r>
    </w:p>
    <w:p>
      <w:pPr>
        <w:pStyle w:val="25"/>
        <w:spacing w:line="520" w:lineRule="exact"/>
        <w:ind w:firstLine="640" w:firstLineChars="200"/>
        <w:rPr>
          <w:rFonts w:ascii="仿宋_GB2312" w:eastAsia="仿宋_GB2312"/>
          <w:sz w:val="32"/>
          <w:szCs w:val="32"/>
        </w:rPr>
      </w:pPr>
      <w:r>
        <w:rPr>
          <w:rFonts w:hint="eastAsia" w:ascii="仿宋_GB2312" w:eastAsia="仿宋_GB2312"/>
          <w:sz w:val="32"/>
          <w:szCs w:val="32"/>
        </w:rPr>
        <w:t>7.社会保障和就业支出（类）行政事业单位养老支出（款）机关事业单位基本养老保险缴费支出（项）：指用于机关事业单位基本养老保险缴费支出。</w:t>
      </w:r>
    </w:p>
    <w:p>
      <w:pPr>
        <w:pStyle w:val="25"/>
        <w:spacing w:line="520" w:lineRule="exact"/>
        <w:ind w:firstLine="640" w:firstLineChars="200"/>
        <w:rPr>
          <w:rFonts w:ascii="仿宋_GB2312" w:eastAsia="仿宋_GB2312"/>
          <w:sz w:val="32"/>
          <w:szCs w:val="32"/>
        </w:rPr>
      </w:pPr>
      <w:r>
        <w:rPr>
          <w:rFonts w:hint="eastAsia" w:ascii="仿宋_GB2312" w:eastAsia="仿宋_GB2312"/>
          <w:sz w:val="32"/>
          <w:szCs w:val="32"/>
        </w:rPr>
        <w:t>8.卫生健康支出（类）行政事业单位医疗（款）行政单位医疗（项）：指用于按政策规定为行政单位职工缴</w:t>
      </w:r>
      <w:r>
        <w:rPr>
          <w:rFonts w:hint="eastAsia" w:ascii="仿宋_GB2312" w:eastAsia="仿宋_GB2312"/>
          <w:sz w:val="32"/>
          <w:szCs w:val="32"/>
          <w:u w:val="none" w:color="000000"/>
          <w:shd w:val="clear" w:fill="auto"/>
        </w:rPr>
        <w:t>纳</w:t>
      </w:r>
      <w:r>
        <w:rPr>
          <w:rFonts w:hint="eastAsia" w:ascii="仿宋_GB2312" w:eastAsia="仿宋_GB2312"/>
          <w:sz w:val="32"/>
          <w:szCs w:val="32"/>
          <w:u w:val="none" w:color="000000"/>
          <w:shd w:val="clear" w:fill="auto"/>
        </w:rPr>
        <w:t>医疗保</w:t>
      </w:r>
      <w:r>
        <w:rPr>
          <w:rFonts w:hint="eastAsia" w:ascii="Times New Roman" w:hAnsi="Times New Roman" w:eastAsia="仿宋_GB2312" w:cs="Times New Roman"/>
          <w:bCs/>
          <w:color w:val="000000"/>
          <w:spacing w:val="0"/>
          <w:kern w:val="0"/>
          <w:sz w:val="32"/>
          <w:szCs w:val="32"/>
          <w:lang w:val="en-US" w:eastAsia="zh-CN" w:bidi="ar-SA"/>
        </w:rPr>
        <w:t>险的</w:t>
      </w:r>
      <w:r>
        <w:rPr>
          <w:rFonts w:hint="eastAsia" w:ascii="仿宋_GB2312" w:eastAsia="仿宋_GB2312"/>
          <w:sz w:val="32"/>
          <w:szCs w:val="32"/>
        </w:rPr>
        <w:t>支出。</w:t>
      </w:r>
    </w:p>
    <w:p>
      <w:pPr>
        <w:pStyle w:val="25"/>
        <w:spacing w:line="520" w:lineRule="exact"/>
        <w:ind w:firstLine="640" w:firstLineChars="200"/>
      </w:pPr>
      <w:r>
        <w:rPr>
          <w:rFonts w:hint="eastAsia" w:ascii="仿宋_GB2312" w:eastAsia="仿宋_GB2312"/>
          <w:sz w:val="32"/>
          <w:szCs w:val="32"/>
        </w:rPr>
        <w:t>9.卫生健康支出（类）行政事业单位医疗（款）公务员医疗补助（项）：指用于按政策规定为职工缴纳公务员医疗补助支出。</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10.农林水（类）扶贫（款）其他扶贫（项）：指用于扶贫项目的支出。</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11.住房保障（类）住房改革（款）住房公积金（项）：指行政事业单位按人力资源和社会保障部、财政部规定的基本工资和津贴补贴以及规定比例为职工缴纳的住房公积金。</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12</w:t>
      </w:r>
      <w:r>
        <w:rPr>
          <w:rFonts w:ascii="仿宋_GB2312" w:eastAsia="仿宋_GB2312"/>
          <w:sz w:val="32"/>
          <w:szCs w:val="32"/>
        </w:rPr>
        <w:t>.</w:t>
      </w:r>
      <w:r>
        <w:rPr>
          <w:rFonts w:hint="eastAsia" w:ascii="仿宋_GB2312" w:eastAsia="仿宋_GB2312"/>
          <w:sz w:val="32"/>
          <w:szCs w:val="32"/>
        </w:rPr>
        <w:t>基本支出：指为保障机构正常运转、完成日常工作任务而发生的人员支出和公用支出。</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13</w:t>
      </w:r>
      <w:r>
        <w:rPr>
          <w:rFonts w:ascii="仿宋_GB2312" w:eastAsia="仿宋_GB2312"/>
          <w:sz w:val="32"/>
          <w:szCs w:val="32"/>
        </w:rPr>
        <w:t>.</w:t>
      </w:r>
      <w:r>
        <w:rPr>
          <w:rFonts w:hint="eastAsia" w:ascii="仿宋_GB2312" w:eastAsia="仿宋_GB2312"/>
          <w:sz w:val="32"/>
          <w:szCs w:val="32"/>
        </w:rPr>
        <w:t>项目支出：指在基本支出之外为完成特定行政任务和事业发展目标所发生的支出。</w:t>
      </w:r>
    </w:p>
    <w:p>
      <w:pPr>
        <w:pStyle w:val="25"/>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14</w:t>
      </w:r>
      <w:r>
        <w:rPr>
          <w:rFonts w:ascii="仿宋_GB2312" w:eastAsia="仿宋_GB2312"/>
          <w:color w:val="auto"/>
          <w:sz w:val="32"/>
          <w:szCs w:val="32"/>
        </w:rPr>
        <w:t>.</w:t>
      </w:r>
      <w:r>
        <w:rPr>
          <w:rFonts w:hint="eastAsia" w:ascii="仿宋_GB2312" w:eastAsia="仿宋_GB2312"/>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5"/>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14</w:t>
      </w:r>
      <w:r>
        <w:rPr>
          <w:rFonts w:ascii="仿宋_GB2312" w:eastAsia="仿宋_GB2312"/>
          <w:color w:val="auto"/>
          <w:sz w:val="32"/>
          <w:szCs w:val="32"/>
        </w:rPr>
        <w:t>.</w:t>
      </w:r>
      <w:r>
        <w:rPr>
          <w:rFonts w:hint="eastAsia" w:ascii="仿宋_GB2312" w:eastAsia="仿宋_GB2312"/>
          <w:color w:val="auto"/>
          <w:sz w:val="32"/>
          <w:szCs w:val="32"/>
        </w:rPr>
        <w:t>机关运行经费：</w:t>
      </w:r>
      <w:r>
        <w:rPr>
          <w:rFonts w:hint="eastAsia" w:ascii="Times New Roman" w:hAnsi="Times New Roman" w:eastAsia="仿宋_GB2312" w:cs="Times New Roman"/>
          <w:bCs/>
          <w:color w:val="000000"/>
          <w:spacing w:val="0"/>
          <w:kern w:val="0"/>
          <w:sz w:val="32"/>
          <w:szCs w:val="32"/>
          <w:lang w:val="en-US" w:eastAsia="zh-CN" w:bidi="ar-SA"/>
        </w:rPr>
        <w:t>为保障行政单位（含参照公务员法管理的事业单位）运行用于购买货物和服务的各项资金，包括办公费及印刷费、邮电费、差旅</w:t>
      </w:r>
      <w:r>
        <w:rPr>
          <w:rFonts w:hint="eastAsia" w:ascii="仿宋_GB2312" w:eastAsia="仿宋_GB2312"/>
          <w:color w:val="auto"/>
          <w:sz w:val="32"/>
          <w:szCs w:val="32"/>
        </w:rPr>
        <w:t>费、会议费、福利费、日常维修费、专用材料及一般设备购置费、办公用房水电费、办公用房取暖费、办公用房物业管理费、公务用车运行维护费以及其他费用。</w:t>
      </w:r>
    </w:p>
    <w:p>
      <w:pPr>
        <w:spacing w:line="520" w:lineRule="exact"/>
        <w:jc w:val="center"/>
        <w:rPr>
          <w:rFonts w:ascii="黑体" w:hAnsi="黑体" w:eastAsia="黑体"/>
          <w:sz w:val="44"/>
          <w:szCs w:val="44"/>
        </w:rPr>
      </w:pPr>
      <w:bookmarkStart w:id="73" w:name="_Toc15396614"/>
      <w:bookmarkStart w:id="74" w:name="_Toc15377226"/>
    </w:p>
    <w:p>
      <w:pPr>
        <w:spacing w:line="520" w:lineRule="exact"/>
        <w:jc w:val="center"/>
        <w:rPr>
          <w:rFonts w:ascii="黑体" w:hAnsi="黑体" w:eastAsia="黑体"/>
          <w:sz w:val="44"/>
          <w:szCs w:val="44"/>
        </w:rPr>
      </w:pPr>
    </w:p>
    <w:p>
      <w:pPr>
        <w:spacing w:line="52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spacing w:line="600" w:lineRule="exact"/>
        <w:jc w:val="center"/>
        <w:outlineLvl w:val="0"/>
        <w:rPr>
          <w:rStyle w:val="27"/>
          <w:rFonts w:ascii="黑体" w:hAnsi="黑体" w:eastAsia="黑体"/>
          <w:b w:val="0"/>
        </w:rPr>
      </w:pPr>
      <w:bookmarkStart w:id="75" w:name="_Toc14129"/>
      <w:r>
        <w:rPr>
          <w:rFonts w:hint="eastAsia" w:ascii="黑体" w:hAnsi="黑体" w:eastAsia="黑体"/>
          <w:sz w:val="44"/>
          <w:szCs w:val="44"/>
        </w:rPr>
        <w:t>第</w:t>
      </w:r>
      <w:r>
        <w:rPr>
          <w:rStyle w:val="27"/>
          <w:rFonts w:hint="eastAsia" w:ascii="黑体" w:hAnsi="黑体" w:eastAsia="黑体"/>
          <w:b w:val="0"/>
        </w:rPr>
        <w:t>四部分 附件</w:t>
      </w:r>
      <w:bookmarkEnd w:id="73"/>
      <w:bookmarkEnd w:id="75"/>
    </w:p>
    <w:p>
      <w:pPr>
        <w:spacing w:line="572" w:lineRule="exact"/>
        <w:jc w:val="left"/>
        <w:outlineLvl w:val="0"/>
        <w:rPr>
          <w:rFonts w:ascii="方正小标宋简体" w:hAnsi="方正小标宋简体" w:eastAsia="方正小标宋简体" w:cs="方正小标宋简体"/>
          <w:sz w:val="44"/>
          <w:szCs w:val="44"/>
        </w:rPr>
      </w:pPr>
      <w:bookmarkStart w:id="76" w:name="_Toc1186"/>
      <w:r>
        <w:rPr>
          <w:rFonts w:hint="eastAsia" w:ascii="黑体" w:hAnsi="黑体" w:eastAsia="黑体" w:cs="黑体"/>
          <w:sz w:val="32"/>
          <w:szCs w:val="32"/>
        </w:rPr>
        <w:t>附件</w:t>
      </w:r>
      <w:bookmarkEnd w:id="76"/>
    </w:p>
    <w:p>
      <w:pPr>
        <w:spacing w:line="572" w:lineRule="exact"/>
        <w:jc w:val="center"/>
        <w:rPr>
          <w:rFonts w:ascii="方正小标宋简体" w:hAnsi="宋体" w:eastAsia="方正小标宋简体"/>
          <w:kern w:val="0"/>
          <w:sz w:val="40"/>
          <w:szCs w:val="44"/>
          <w:lang w:val="zh-CN"/>
        </w:rPr>
      </w:pPr>
      <w:r>
        <w:rPr>
          <w:rFonts w:hint="eastAsia" w:ascii="方正小标宋简体" w:hAnsi="宋体" w:eastAsia="方正小标宋简体"/>
          <w:kern w:val="0"/>
          <w:sz w:val="40"/>
          <w:szCs w:val="44"/>
        </w:rPr>
        <w:t>2021年通江县行政审批局整体绩效评价报告</w:t>
      </w:r>
    </w:p>
    <w:p>
      <w:pPr>
        <w:pStyle w:val="26"/>
        <w:spacing w:line="560" w:lineRule="exact"/>
        <w:ind w:firstLine="643"/>
        <w:rPr>
          <w:rFonts w:eastAsia="黑体"/>
          <w:b/>
          <w:kern w:val="0"/>
          <w:sz w:val="32"/>
          <w:szCs w:val="32"/>
        </w:rPr>
      </w:pPr>
    </w:p>
    <w:p>
      <w:pPr>
        <w:pStyle w:val="26"/>
        <w:spacing w:line="560" w:lineRule="exact"/>
        <w:ind w:firstLine="643"/>
        <w:rPr>
          <w:rFonts w:eastAsia="黑体"/>
          <w:b/>
          <w:kern w:val="0"/>
          <w:sz w:val="32"/>
          <w:szCs w:val="32"/>
        </w:rPr>
      </w:pPr>
      <w:r>
        <w:rPr>
          <w:rFonts w:eastAsia="黑体"/>
          <w:b/>
          <w:kern w:val="0"/>
          <w:sz w:val="32"/>
          <w:szCs w:val="32"/>
        </w:rPr>
        <w:t>一、</w:t>
      </w:r>
      <w:r>
        <w:rPr>
          <w:rFonts w:eastAsia="黑体"/>
          <w:b/>
          <w:sz w:val="32"/>
          <w:szCs w:val="32"/>
        </w:rPr>
        <w:t>部门基本情况</w:t>
      </w:r>
    </w:p>
    <w:p>
      <w:pPr>
        <w:spacing w:line="560" w:lineRule="exact"/>
        <w:ind w:firstLine="643" w:firstLineChars="200"/>
        <w:rPr>
          <w:rFonts w:eastAsia="仿宋_GB2312"/>
          <w:sz w:val="32"/>
          <w:szCs w:val="32"/>
        </w:rPr>
      </w:pPr>
      <w:r>
        <w:rPr>
          <w:rFonts w:eastAsia="楷体_GB2312"/>
          <w:b/>
          <w:bCs/>
          <w:kern w:val="0"/>
          <w:sz w:val="32"/>
          <w:szCs w:val="32"/>
        </w:rPr>
        <w:t>（一）机构组成。</w:t>
      </w:r>
      <w:r>
        <w:rPr>
          <w:rFonts w:eastAsia="仿宋_GB2312"/>
          <w:sz w:val="32"/>
          <w:szCs w:val="32"/>
        </w:rPr>
        <w:t>本单位属一级预算单位，性质为行政机关。内设机构6个：办公室（党建工作办公室）、政策法规股、政务服务管理股、大数据资源管理股、并联审批股、效能监察股；下设事业机构0个。</w:t>
      </w:r>
    </w:p>
    <w:p>
      <w:pPr>
        <w:spacing w:line="560" w:lineRule="exact"/>
        <w:ind w:firstLine="643" w:firstLineChars="200"/>
        <w:rPr>
          <w:rFonts w:eastAsia="楷体_GB2312"/>
          <w:b/>
          <w:bCs/>
          <w:kern w:val="0"/>
          <w:sz w:val="32"/>
          <w:szCs w:val="32"/>
        </w:rPr>
      </w:pPr>
      <w:r>
        <w:rPr>
          <w:rFonts w:eastAsia="楷体_GB2312"/>
          <w:b/>
          <w:bCs/>
          <w:kern w:val="0"/>
          <w:sz w:val="32"/>
          <w:szCs w:val="32"/>
        </w:rPr>
        <w:t>（二）机构职能。</w:t>
      </w:r>
    </w:p>
    <w:p>
      <w:pPr>
        <w:spacing w:line="560" w:lineRule="exact"/>
        <w:ind w:firstLine="640" w:firstLineChars="200"/>
        <w:rPr>
          <w:rFonts w:eastAsia="仿宋_GB2312"/>
          <w:sz w:val="32"/>
          <w:szCs w:val="32"/>
        </w:rPr>
      </w:pPr>
      <w:r>
        <w:rPr>
          <w:rFonts w:eastAsia="仿宋_GB2312"/>
          <w:sz w:val="32"/>
          <w:szCs w:val="32"/>
        </w:rPr>
        <w:t>1.贯彻执行中央、省、市、县有关</w:t>
      </w:r>
      <w:r>
        <w:rPr>
          <w:rFonts w:hint="eastAsia" w:eastAsia="仿宋_GB2312"/>
          <w:sz w:val="32"/>
          <w:szCs w:val="32"/>
        </w:rPr>
        <w:t>“</w:t>
      </w:r>
      <w:r>
        <w:rPr>
          <w:rFonts w:eastAsia="仿宋_GB2312"/>
          <w:sz w:val="32"/>
          <w:szCs w:val="32"/>
        </w:rPr>
        <w:t>放管服</w:t>
      </w:r>
      <w:r>
        <w:rPr>
          <w:rFonts w:hint="eastAsia" w:eastAsia="仿宋_GB2312"/>
          <w:sz w:val="32"/>
          <w:szCs w:val="32"/>
        </w:rPr>
        <w:t>”</w:t>
      </w:r>
      <w:r>
        <w:rPr>
          <w:rFonts w:eastAsia="仿宋_GB2312"/>
          <w:sz w:val="32"/>
          <w:szCs w:val="32"/>
        </w:rPr>
        <w:t>改革、行政审批制度改革、政务服务、便民服务、行政权力依法规范公开运行和大数据应用及管理等方面的方针政策、法律法规和决策部署</w:t>
      </w:r>
      <w:r>
        <w:rPr>
          <w:rFonts w:hint="eastAsia" w:eastAsia="仿宋_GB2312"/>
          <w:sz w:val="32"/>
          <w:szCs w:val="32"/>
        </w:rPr>
        <w:t>，</w:t>
      </w:r>
      <w:r>
        <w:rPr>
          <w:rFonts w:eastAsia="仿宋_GB2312"/>
          <w:sz w:val="32"/>
          <w:szCs w:val="32"/>
        </w:rPr>
        <w:t xml:space="preserve"> 结合有关地方性法规、政府规章</w:t>
      </w:r>
      <w:r>
        <w:rPr>
          <w:rFonts w:hint="eastAsia" w:eastAsia="仿宋_GB2312"/>
          <w:sz w:val="32"/>
          <w:szCs w:val="32"/>
        </w:rPr>
        <w:t>，</w:t>
      </w:r>
      <w:r>
        <w:rPr>
          <w:rFonts w:eastAsia="仿宋_GB2312"/>
          <w:sz w:val="32"/>
          <w:szCs w:val="32"/>
        </w:rPr>
        <w:t>制定有关政策措施并组织实施。</w:t>
      </w:r>
    </w:p>
    <w:p>
      <w:pPr>
        <w:spacing w:line="560" w:lineRule="exact"/>
        <w:ind w:firstLine="640" w:firstLineChars="200"/>
        <w:rPr>
          <w:rFonts w:eastAsia="仿宋_GB2312"/>
          <w:sz w:val="32"/>
          <w:szCs w:val="32"/>
        </w:rPr>
      </w:pPr>
      <w:r>
        <w:rPr>
          <w:rFonts w:eastAsia="仿宋_GB2312"/>
          <w:sz w:val="32"/>
          <w:szCs w:val="32"/>
        </w:rPr>
        <w:t>2.负责承担行政权力及责任清单制度建设、行政审批制 度改革、相对集中行政许可权改革等工作</w:t>
      </w:r>
      <w:r>
        <w:rPr>
          <w:rFonts w:hint="eastAsia" w:eastAsia="仿宋_GB2312"/>
          <w:sz w:val="32"/>
          <w:szCs w:val="32"/>
        </w:rPr>
        <w:t>，</w:t>
      </w:r>
      <w:r>
        <w:rPr>
          <w:rFonts w:eastAsia="仿宋_GB2312"/>
          <w:sz w:val="32"/>
          <w:szCs w:val="32"/>
        </w:rPr>
        <w:t>推进全县行政权力依 法规范公开运行</w:t>
      </w:r>
      <w:r>
        <w:rPr>
          <w:rFonts w:hint="eastAsia" w:eastAsia="仿宋_GB2312"/>
          <w:sz w:val="32"/>
          <w:szCs w:val="32"/>
        </w:rPr>
        <w:t>，</w:t>
      </w:r>
      <w:r>
        <w:rPr>
          <w:rFonts w:eastAsia="仿宋_GB2312"/>
          <w:sz w:val="32"/>
          <w:szCs w:val="32"/>
        </w:rPr>
        <w:t>清理、审核、动态调整县乡行政权力事项。</w:t>
      </w:r>
    </w:p>
    <w:p>
      <w:pPr>
        <w:spacing w:line="560" w:lineRule="exact"/>
        <w:ind w:firstLine="640" w:firstLineChars="200"/>
        <w:rPr>
          <w:rFonts w:eastAsia="仿宋_GB2312"/>
          <w:sz w:val="32"/>
          <w:szCs w:val="32"/>
        </w:rPr>
      </w:pPr>
      <w:r>
        <w:rPr>
          <w:rFonts w:eastAsia="仿宋_GB2312"/>
          <w:sz w:val="32"/>
          <w:szCs w:val="32"/>
        </w:rPr>
        <w:t>3.指导、协调、监督全县政务服务、便民服务和行政权 力事项运行、审批业务开展工作</w:t>
      </w:r>
      <w:r>
        <w:rPr>
          <w:rFonts w:hint="eastAsia" w:eastAsia="仿宋_GB2312"/>
          <w:sz w:val="32"/>
          <w:szCs w:val="32"/>
        </w:rPr>
        <w:t>，</w:t>
      </w:r>
      <w:r>
        <w:rPr>
          <w:rFonts w:eastAsia="仿宋_GB2312"/>
          <w:sz w:val="32"/>
          <w:szCs w:val="32"/>
        </w:rPr>
        <w:t>监督行政效能及投诉、举报办理情况。推进政务服务</w:t>
      </w:r>
      <w:r>
        <w:rPr>
          <w:rFonts w:hint="eastAsia" w:eastAsia="仿宋_GB2312"/>
          <w:sz w:val="32"/>
          <w:szCs w:val="32"/>
        </w:rPr>
        <w:t>（</w:t>
      </w:r>
      <w:r>
        <w:rPr>
          <w:rFonts w:eastAsia="仿宋_GB2312"/>
          <w:sz w:val="32"/>
          <w:szCs w:val="32"/>
        </w:rPr>
        <w:t>便民服务</w:t>
      </w:r>
      <w:r>
        <w:rPr>
          <w:rFonts w:hint="eastAsia" w:eastAsia="仿宋_GB2312"/>
          <w:sz w:val="32"/>
          <w:szCs w:val="32"/>
        </w:rPr>
        <w:t>）</w:t>
      </w:r>
      <w:r>
        <w:rPr>
          <w:rFonts w:eastAsia="仿宋_GB2312"/>
          <w:sz w:val="32"/>
          <w:szCs w:val="32"/>
        </w:rPr>
        <w:t>体系建设。</w:t>
      </w:r>
    </w:p>
    <w:p>
      <w:pPr>
        <w:spacing w:line="560" w:lineRule="exact"/>
        <w:ind w:firstLine="640" w:firstLineChars="200"/>
        <w:rPr>
          <w:rFonts w:eastAsia="仿宋_GB2312"/>
          <w:sz w:val="32"/>
          <w:szCs w:val="32"/>
        </w:rPr>
      </w:pPr>
      <w:r>
        <w:rPr>
          <w:rFonts w:eastAsia="仿宋_GB2312"/>
          <w:sz w:val="32"/>
          <w:szCs w:val="32"/>
        </w:rPr>
        <w:t>4.负责政务服务、便民服务、行政权力依法规范公开运行、行政效能、大数据相关平台的建设、运行和管理。</w:t>
      </w:r>
    </w:p>
    <w:p>
      <w:pPr>
        <w:spacing w:line="560" w:lineRule="exact"/>
        <w:ind w:firstLine="640" w:firstLineChars="200"/>
        <w:rPr>
          <w:rFonts w:eastAsia="仿宋_GB2312"/>
          <w:sz w:val="32"/>
          <w:szCs w:val="32"/>
        </w:rPr>
      </w:pPr>
      <w:r>
        <w:rPr>
          <w:rFonts w:eastAsia="仿宋_GB2312"/>
          <w:sz w:val="32"/>
          <w:szCs w:val="32"/>
        </w:rPr>
        <w:t>5.负责政府投资大数据项目的审核、监督和验收</w:t>
      </w:r>
      <w:r>
        <w:rPr>
          <w:rFonts w:hint="eastAsia" w:eastAsia="仿宋_GB2312"/>
          <w:sz w:val="32"/>
          <w:szCs w:val="32"/>
        </w:rPr>
        <w:t>，</w:t>
      </w:r>
      <w:r>
        <w:rPr>
          <w:rFonts w:eastAsia="仿宋_GB2312"/>
          <w:sz w:val="32"/>
          <w:szCs w:val="32"/>
        </w:rPr>
        <w:t>推进 政府数据采集汇聚、登记管理、共享开放和社会数据汇聚融合、 互联互通以及大数据安全运用工作。加强大数据安全体系建设和安全保障监督管理工作。</w:t>
      </w:r>
    </w:p>
    <w:p>
      <w:pPr>
        <w:spacing w:line="560" w:lineRule="exact"/>
        <w:ind w:firstLine="640" w:firstLineChars="200"/>
        <w:rPr>
          <w:rFonts w:eastAsia="仿宋_GB2312"/>
          <w:sz w:val="32"/>
          <w:szCs w:val="32"/>
        </w:rPr>
      </w:pPr>
      <w:r>
        <w:rPr>
          <w:rFonts w:eastAsia="仿宋_GB2312"/>
          <w:sz w:val="32"/>
          <w:szCs w:val="32"/>
        </w:rPr>
        <w:t>6.负责上级部门下放和集中</w:t>
      </w:r>
      <w:r>
        <w:rPr>
          <w:rFonts w:hint="eastAsia" w:ascii="Times New Roman" w:hAnsi="Times New Roman" w:eastAsia="仿宋_GB2312" w:cs="Times New Roman"/>
          <w:bCs/>
          <w:color w:val="000000"/>
          <w:spacing w:val="0"/>
          <w:kern w:val="0"/>
          <w:sz w:val="32"/>
          <w:szCs w:val="32"/>
          <w:lang w:val="en-US" w:eastAsia="zh-CN" w:bidi="ar-SA"/>
        </w:rPr>
        <w:t>行政审批权（</w:t>
      </w:r>
      <w:r>
        <w:rPr>
          <w:rFonts w:ascii="Times New Roman" w:hAnsi="Times New Roman" w:eastAsia="仿宋_GB2312" w:cs="Times New Roman"/>
          <w:bCs/>
          <w:color w:val="000000"/>
          <w:spacing w:val="0"/>
          <w:kern w:val="0"/>
          <w:sz w:val="32"/>
          <w:szCs w:val="32"/>
          <w:lang w:val="en-US" w:eastAsia="zh-CN" w:bidi="ar-SA"/>
        </w:rPr>
        <w:t>行政许可、 行政确认、其他行政权力</w:t>
      </w:r>
      <w:r>
        <w:rPr>
          <w:rFonts w:hint="eastAsia" w:ascii="Times New Roman" w:hAnsi="Times New Roman" w:eastAsia="仿宋_GB2312" w:cs="Times New Roman"/>
          <w:bCs/>
          <w:color w:val="000000"/>
          <w:spacing w:val="0"/>
          <w:kern w:val="0"/>
          <w:sz w:val="32"/>
          <w:szCs w:val="32"/>
          <w:lang w:val="en-US" w:eastAsia="zh-CN" w:bidi="ar-SA"/>
        </w:rPr>
        <w:t>）</w:t>
      </w:r>
      <w:r>
        <w:rPr>
          <w:rFonts w:ascii="Times New Roman" w:hAnsi="Times New Roman" w:eastAsia="仿宋_GB2312" w:cs="Times New Roman"/>
          <w:bCs/>
          <w:color w:val="000000"/>
          <w:spacing w:val="0"/>
          <w:kern w:val="0"/>
          <w:sz w:val="32"/>
          <w:szCs w:val="32"/>
          <w:lang w:val="en-US" w:eastAsia="zh-CN" w:bidi="ar-SA"/>
        </w:rPr>
        <w:t>及相关政务服务事</w:t>
      </w:r>
      <w:r>
        <w:rPr>
          <w:rFonts w:eastAsia="仿宋_GB2312"/>
          <w:sz w:val="32"/>
          <w:szCs w:val="32"/>
        </w:rPr>
        <w:t>项办理</w:t>
      </w:r>
      <w:r>
        <w:rPr>
          <w:rFonts w:hint="eastAsia" w:eastAsia="仿宋_GB2312"/>
          <w:sz w:val="32"/>
          <w:szCs w:val="32"/>
        </w:rPr>
        <w:t>，</w:t>
      </w:r>
      <w:r>
        <w:rPr>
          <w:rFonts w:eastAsia="仿宋_GB2312"/>
          <w:sz w:val="32"/>
          <w:szCs w:val="32"/>
        </w:rPr>
        <w:t>建立健全 行政审批服务工作机制并组织实施。</w:t>
      </w:r>
    </w:p>
    <w:p>
      <w:pPr>
        <w:spacing w:line="560" w:lineRule="exact"/>
        <w:ind w:firstLine="640" w:firstLineChars="200"/>
        <w:rPr>
          <w:rFonts w:eastAsia="仿宋_GB2312"/>
          <w:sz w:val="32"/>
          <w:szCs w:val="32"/>
        </w:rPr>
      </w:pPr>
      <w:r>
        <w:rPr>
          <w:rFonts w:eastAsia="仿宋_GB2312"/>
          <w:sz w:val="32"/>
          <w:szCs w:val="32"/>
        </w:rPr>
        <w:t>7.负责未集中行使的行政审批</w:t>
      </w:r>
      <w:r>
        <w:rPr>
          <w:rFonts w:hint="eastAsia" w:eastAsia="仿宋_GB2312"/>
          <w:sz w:val="32"/>
          <w:szCs w:val="32"/>
        </w:rPr>
        <w:t>（</w:t>
      </w:r>
      <w:r>
        <w:rPr>
          <w:rFonts w:eastAsia="仿宋_GB2312"/>
          <w:sz w:val="32"/>
          <w:szCs w:val="32"/>
        </w:rPr>
        <w:t>行政许可、行政确认、 其他行政权力</w:t>
      </w:r>
      <w:r>
        <w:rPr>
          <w:rFonts w:hint="eastAsia" w:eastAsia="仿宋_GB2312"/>
          <w:sz w:val="32"/>
          <w:szCs w:val="32"/>
        </w:rPr>
        <w:t>）</w:t>
      </w:r>
      <w:r>
        <w:rPr>
          <w:rFonts w:eastAsia="仿宋_GB2312"/>
          <w:sz w:val="32"/>
          <w:szCs w:val="32"/>
        </w:rPr>
        <w:t>和公共服务事项集中、规范受</w:t>
      </w:r>
      <w:r>
        <w:rPr>
          <w:rFonts w:hint="eastAsia" w:eastAsia="仿宋_GB2312"/>
          <w:sz w:val="32"/>
          <w:szCs w:val="32"/>
        </w:rPr>
        <w:t>（</w:t>
      </w:r>
      <w:r>
        <w:rPr>
          <w:rFonts w:eastAsia="仿宋_GB2312"/>
          <w:sz w:val="32"/>
          <w:szCs w:val="32"/>
        </w:rPr>
        <w:t>办</w:t>
      </w:r>
      <w:r>
        <w:rPr>
          <w:rFonts w:hint="eastAsia" w:eastAsia="仿宋_GB2312"/>
          <w:sz w:val="32"/>
          <w:szCs w:val="32"/>
        </w:rPr>
        <w:t>）</w:t>
      </w:r>
      <w:r>
        <w:rPr>
          <w:rFonts w:eastAsia="仿宋_GB2312"/>
          <w:sz w:val="32"/>
          <w:szCs w:val="32"/>
        </w:rPr>
        <w:t>理工作。监督指导乡镇</w:t>
      </w:r>
      <w:r>
        <w:rPr>
          <w:rFonts w:hint="eastAsia" w:eastAsia="仿宋_GB2312"/>
          <w:sz w:val="32"/>
          <w:szCs w:val="32"/>
        </w:rPr>
        <w:t>（</w:t>
      </w:r>
      <w:r>
        <w:rPr>
          <w:rFonts w:eastAsia="仿宋_GB2312"/>
          <w:sz w:val="32"/>
          <w:szCs w:val="32"/>
        </w:rPr>
        <w:t>街道</w:t>
      </w:r>
      <w:r>
        <w:rPr>
          <w:rFonts w:hint="eastAsia" w:eastAsia="仿宋_GB2312"/>
          <w:sz w:val="32"/>
          <w:szCs w:val="32"/>
        </w:rPr>
        <w:t>）</w:t>
      </w:r>
      <w:r>
        <w:rPr>
          <w:rFonts w:eastAsia="仿宋_GB2312"/>
          <w:sz w:val="32"/>
          <w:szCs w:val="32"/>
        </w:rPr>
        <w:t>行政审批和公共服务事项集中、规范受</w:t>
      </w:r>
      <w:r>
        <w:rPr>
          <w:rFonts w:hint="eastAsia" w:eastAsia="仿宋_GB2312"/>
          <w:sz w:val="32"/>
          <w:szCs w:val="32"/>
        </w:rPr>
        <w:t>（</w:t>
      </w:r>
      <w:r>
        <w:rPr>
          <w:rFonts w:eastAsia="仿宋_GB2312"/>
          <w:sz w:val="32"/>
          <w:szCs w:val="32"/>
        </w:rPr>
        <w:t>办</w:t>
      </w:r>
      <w:r>
        <w:rPr>
          <w:rFonts w:hint="eastAsia" w:eastAsia="仿宋_GB2312"/>
          <w:sz w:val="32"/>
          <w:szCs w:val="32"/>
        </w:rPr>
        <w:t>）</w:t>
      </w:r>
      <w:r>
        <w:rPr>
          <w:rFonts w:eastAsia="仿宋_GB2312"/>
          <w:sz w:val="32"/>
          <w:szCs w:val="32"/>
        </w:rPr>
        <w:t>理工作。</w:t>
      </w:r>
    </w:p>
    <w:p>
      <w:pPr>
        <w:spacing w:line="560" w:lineRule="exact"/>
        <w:ind w:firstLine="640" w:firstLineChars="200"/>
        <w:rPr>
          <w:rFonts w:ascii="Times New Roman" w:hAnsi="Times New Roman" w:eastAsia="仿宋_GB2312" w:cs="Times New Roman"/>
          <w:bCs/>
          <w:color w:val="000000"/>
          <w:spacing w:val="0"/>
          <w:kern w:val="0"/>
          <w:sz w:val="32"/>
          <w:szCs w:val="32"/>
          <w:lang w:val="en-US" w:eastAsia="zh-CN" w:bidi="ar-SA"/>
        </w:rPr>
      </w:pPr>
      <w:r>
        <w:rPr>
          <w:rFonts w:eastAsia="仿宋_GB2312"/>
          <w:sz w:val="32"/>
          <w:szCs w:val="32"/>
        </w:rPr>
        <w:t>8.负责全县行政审批工作的运行监管、培训</w:t>
      </w:r>
      <w:r>
        <w:rPr>
          <w:rFonts w:eastAsia="仿宋_GB2312"/>
          <w:sz w:val="32"/>
          <w:szCs w:val="32"/>
          <w:u w:val="none" w:color="000000"/>
          <w:shd w:val="clear" w:fill="auto"/>
        </w:rPr>
        <w:t>指</w:t>
      </w:r>
      <w:r>
        <w:rPr>
          <w:rFonts w:ascii="Times New Roman" w:hAnsi="Times New Roman" w:eastAsia="仿宋_GB2312" w:cs="Times New Roman"/>
          <w:bCs/>
          <w:color w:val="000000"/>
          <w:spacing w:val="0"/>
          <w:kern w:val="0"/>
          <w:sz w:val="32"/>
          <w:szCs w:val="32"/>
          <w:lang w:val="en-US" w:eastAsia="zh-CN" w:bidi="ar-SA"/>
        </w:rPr>
        <w:t>导、考核 评价和政务服务窗口规范化建设工作。</w:t>
      </w:r>
    </w:p>
    <w:p>
      <w:pPr>
        <w:spacing w:line="560" w:lineRule="exact"/>
        <w:ind w:firstLine="640" w:firstLineChars="200"/>
        <w:rPr>
          <w:rFonts w:eastAsia="仿宋_GB2312"/>
          <w:sz w:val="32"/>
          <w:szCs w:val="32"/>
        </w:rPr>
      </w:pPr>
      <w:r>
        <w:rPr>
          <w:rFonts w:eastAsia="仿宋_GB2312"/>
          <w:sz w:val="32"/>
          <w:szCs w:val="32"/>
        </w:rPr>
        <w:t>9.完成县委、县政府交办的其他任务。</w:t>
      </w:r>
    </w:p>
    <w:p>
      <w:pPr>
        <w:spacing w:line="560" w:lineRule="exact"/>
        <w:ind w:firstLine="643" w:firstLineChars="200"/>
        <w:rPr>
          <w:rFonts w:eastAsia="楷体_GB2312"/>
          <w:b/>
          <w:bCs/>
          <w:sz w:val="32"/>
          <w:szCs w:val="32"/>
        </w:rPr>
      </w:pPr>
      <w:r>
        <w:rPr>
          <w:rFonts w:eastAsia="楷体_GB2312"/>
          <w:b/>
          <w:bCs/>
          <w:sz w:val="32"/>
          <w:szCs w:val="32"/>
        </w:rPr>
        <w:t>（三）人员情况</w:t>
      </w:r>
    </w:p>
    <w:p>
      <w:pPr>
        <w:spacing w:line="560" w:lineRule="exact"/>
        <w:ind w:firstLine="640" w:firstLineChars="200"/>
        <w:rPr>
          <w:rFonts w:eastAsia="仿宋_GB2312"/>
          <w:sz w:val="32"/>
          <w:szCs w:val="32"/>
        </w:rPr>
      </w:pPr>
      <w:r>
        <w:rPr>
          <w:rFonts w:eastAsia="仿宋_GB2312"/>
          <w:sz w:val="32"/>
          <w:szCs w:val="32"/>
        </w:rPr>
        <w:t>2021年初，我单位编制人员为13人，其中公务员12人，机关工勤1人。年末实有在编人员为13人。</w:t>
      </w:r>
    </w:p>
    <w:p>
      <w:pPr>
        <w:pStyle w:val="26"/>
        <w:spacing w:line="560" w:lineRule="exact"/>
        <w:ind w:firstLine="643"/>
        <w:rPr>
          <w:rFonts w:eastAsia="黑体"/>
          <w:b/>
          <w:kern w:val="0"/>
          <w:sz w:val="32"/>
          <w:szCs w:val="32"/>
        </w:rPr>
      </w:pPr>
      <w:bookmarkStart w:id="77" w:name="YS060102"/>
      <w:r>
        <w:rPr>
          <w:rFonts w:eastAsia="黑体"/>
          <w:b/>
          <w:kern w:val="0"/>
          <w:sz w:val="32"/>
          <w:szCs w:val="32"/>
        </w:rPr>
        <w:t>二、部门财政资金收入支出</w:t>
      </w:r>
      <w:bookmarkEnd w:id="77"/>
      <w:r>
        <w:rPr>
          <w:rFonts w:eastAsia="黑体"/>
          <w:b/>
          <w:kern w:val="0"/>
          <w:sz w:val="32"/>
          <w:szCs w:val="32"/>
        </w:rPr>
        <w:t>情况</w:t>
      </w:r>
    </w:p>
    <w:p>
      <w:pPr>
        <w:snapToGrid w:val="0"/>
        <w:spacing w:line="560" w:lineRule="exact"/>
        <w:ind w:firstLine="643" w:firstLineChars="200"/>
        <w:rPr>
          <w:rStyle w:val="28"/>
          <w:rFonts w:ascii="Times New Roman" w:hAnsi="Times New Roman" w:eastAsia="黑体" w:cs="Times New Roman"/>
        </w:rPr>
      </w:pPr>
      <w:r>
        <w:rPr>
          <w:rFonts w:eastAsia="楷体_GB2312"/>
          <w:b/>
          <w:sz w:val="32"/>
          <w:szCs w:val="32"/>
        </w:rPr>
        <w:t>（一）部门财政资金收入情况。</w:t>
      </w:r>
    </w:p>
    <w:p>
      <w:pPr>
        <w:spacing w:line="560" w:lineRule="exact"/>
        <w:ind w:firstLine="640" w:firstLineChars="200"/>
        <w:rPr>
          <w:rFonts w:eastAsia="仿宋_GB2312"/>
          <w:sz w:val="32"/>
          <w:szCs w:val="32"/>
        </w:rPr>
      </w:pPr>
      <w:r>
        <w:rPr>
          <w:rFonts w:eastAsia="仿宋_GB2312"/>
          <w:sz w:val="32"/>
          <w:szCs w:val="32"/>
        </w:rPr>
        <w:t>2021年度我局实际收到的一般公共预算财政拨款221.7731万元。其中基本支出219.5731万元，项目支出2.2万元。</w:t>
      </w:r>
    </w:p>
    <w:p>
      <w:pPr>
        <w:spacing w:line="560" w:lineRule="exact"/>
        <w:ind w:firstLine="643" w:firstLineChars="200"/>
        <w:rPr>
          <w:rFonts w:eastAsia="楷体_GB2312"/>
          <w:b/>
          <w:bCs/>
          <w:sz w:val="32"/>
          <w:szCs w:val="32"/>
        </w:rPr>
      </w:pPr>
      <w:r>
        <w:rPr>
          <w:rFonts w:eastAsia="楷体_GB2312"/>
          <w:b/>
          <w:bCs/>
          <w:sz w:val="32"/>
          <w:szCs w:val="32"/>
        </w:rPr>
        <w:t>（二）部门财政资金支出情况。</w:t>
      </w:r>
    </w:p>
    <w:p>
      <w:pPr>
        <w:spacing w:line="560" w:lineRule="exact"/>
        <w:ind w:firstLine="643" w:firstLineChars="200"/>
        <w:rPr>
          <w:rFonts w:eastAsia="仿宋_GB2312"/>
          <w:b/>
          <w:bCs/>
          <w:sz w:val="32"/>
          <w:szCs w:val="32"/>
        </w:rPr>
      </w:pPr>
      <w:r>
        <w:rPr>
          <w:rFonts w:eastAsia="仿宋_GB2312"/>
          <w:b/>
          <w:bCs/>
          <w:sz w:val="32"/>
          <w:szCs w:val="32"/>
        </w:rPr>
        <w:t>1.基本支出</w:t>
      </w:r>
    </w:p>
    <w:p>
      <w:pPr>
        <w:spacing w:line="560" w:lineRule="exact"/>
        <w:ind w:firstLine="640" w:firstLineChars="200"/>
        <w:rPr>
          <w:rFonts w:eastAsia="仿宋_GB2312"/>
          <w:sz w:val="32"/>
          <w:szCs w:val="32"/>
        </w:rPr>
      </w:pPr>
      <w:r>
        <w:rPr>
          <w:rFonts w:eastAsia="仿宋_GB2312"/>
          <w:sz w:val="32"/>
          <w:szCs w:val="32"/>
        </w:rPr>
        <w:t>2021年财政拨款基本支出：219.5731万元。其中工资福利支出：182.2722万元；商品服务支出：35.6209万元；对个人及家庭补助支出：0.2万元、资本性支出1.48万元。</w:t>
      </w:r>
    </w:p>
    <w:p>
      <w:pPr>
        <w:spacing w:line="560" w:lineRule="exact"/>
        <w:ind w:firstLine="643" w:firstLineChars="200"/>
        <w:rPr>
          <w:rFonts w:eastAsia="仿宋_GB2312"/>
          <w:b/>
          <w:bCs/>
          <w:sz w:val="32"/>
          <w:szCs w:val="32"/>
        </w:rPr>
      </w:pPr>
      <w:r>
        <w:rPr>
          <w:rFonts w:eastAsia="仿宋_GB2312"/>
          <w:b/>
          <w:bCs/>
          <w:sz w:val="32"/>
          <w:szCs w:val="32"/>
        </w:rPr>
        <w:t>2.专项支出</w:t>
      </w:r>
    </w:p>
    <w:p>
      <w:pPr>
        <w:spacing w:line="560" w:lineRule="exact"/>
        <w:ind w:firstLine="640" w:firstLineChars="200"/>
        <w:rPr>
          <w:rFonts w:eastAsia="仿宋_GB2312"/>
          <w:sz w:val="32"/>
          <w:szCs w:val="32"/>
        </w:rPr>
      </w:pPr>
      <w:r>
        <w:rPr>
          <w:rFonts w:eastAsia="仿宋_GB2312"/>
          <w:sz w:val="32"/>
          <w:szCs w:val="32"/>
        </w:rPr>
        <w:t>专项资金2.2万元。根据部门行政事业发展目标，结合财力可能，2021年我局项目支出2.2万元，主要是扶贫支出2.2万</w:t>
      </w:r>
      <w:r>
        <w:rPr>
          <w:rFonts w:hint="eastAsia" w:eastAsia="仿宋_GB2312"/>
          <w:sz w:val="32"/>
          <w:szCs w:val="32"/>
        </w:rPr>
        <w:t>元</w:t>
      </w:r>
      <w:r>
        <w:rPr>
          <w:rFonts w:eastAsia="仿宋_GB2312"/>
          <w:sz w:val="32"/>
          <w:szCs w:val="32"/>
        </w:rPr>
        <w:t>（用于巩固脱贫攻坚成果联系村驻村工作人员</w:t>
      </w:r>
      <w:r>
        <w:rPr>
          <w:rFonts w:hint="eastAsia" w:eastAsia="仿宋_GB2312"/>
          <w:sz w:val="32"/>
          <w:szCs w:val="32"/>
        </w:rPr>
        <w:t>差旅</w:t>
      </w:r>
      <w:r>
        <w:rPr>
          <w:rFonts w:eastAsia="仿宋_GB2312"/>
          <w:sz w:val="32"/>
          <w:szCs w:val="32"/>
        </w:rPr>
        <w:t>补助及生活用品购置）。</w:t>
      </w:r>
    </w:p>
    <w:p>
      <w:pPr>
        <w:pStyle w:val="26"/>
        <w:spacing w:line="560" w:lineRule="exact"/>
        <w:ind w:firstLine="643"/>
        <w:rPr>
          <w:rFonts w:eastAsia="黑体"/>
          <w:b/>
          <w:kern w:val="0"/>
          <w:sz w:val="32"/>
          <w:szCs w:val="32"/>
        </w:rPr>
      </w:pPr>
      <w:r>
        <w:rPr>
          <w:rFonts w:eastAsia="黑体"/>
          <w:b/>
          <w:kern w:val="0"/>
          <w:sz w:val="32"/>
          <w:szCs w:val="32"/>
        </w:rPr>
        <w:t>三、部门整体预算绩效管理情况</w:t>
      </w:r>
    </w:p>
    <w:p>
      <w:pPr>
        <w:widowControl/>
        <w:spacing w:line="560" w:lineRule="exact"/>
        <w:ind w:firstLine="643" w:firstLineChars="200"/>
        <w:rPr>
          <w:rFonts w:eastAsia="仿宋_GB2312"/>
          <w:sz w:val="32"/>
          <w:szCs w:val="32"/>
        </w:rPr>
      </w:pPr>
      <w:r>
        <w:rPr>
          <w:rFonts w:eastAsia="楷体_GB2312"/>
          <w:b/>
          <w:bCs/>
          <w:sz w:val="32"/>
          <w:szCs w:val="21"/>
        </w:rPr>
        <w:t>（一）部门预算项目绩效管理。</w:t>
      </w:r>
      <w:r>
        <w:rPr>
          <w:rFonts w:eastAsia="仿宋_GB2312"/>
          <w:sz w:val="32"/>
          <w:szCs w:val="32"/>
        </w:rPr>
        <w:t>一是保障人员经费足额发放，保障局机关工作运转正常，确保我局扶贫帮扶驻村工作任务全面高质</w:t>
      </w:r>
      <w:r>
        <w:rPr>
          <w:rFonts w:hint="eastAsia" w:eastAsia="仿宋_GB2312"/>
          <w:sz w:val="32"/>
          <w:szCs w:val="32"/>
        </w:rPr>
        <w:t>量</w:t>
      </w:r>
      <w:r>
        <w:rPr>
          <w:rFonts w:eastAsia="仿宋_GB2312"/>
          <w:sz w:val="32"/>
          <w:szCs w:val="32"/>
        </w:rPr>
        <w:t>完成，人员派驻到位，补助到位，切实保障各项工作推进高效有力</w:t>
      </w:r>
      <w:r>
        <w:rPr>
          <w:rFonts w:eastAsia="仿宋_GB2312"/>
          <w:sz w:val="32"/>
          <w:szCs w:val="32"/>
          <w:lang w:val="zh-CN"/>
        </w:rPr>
        <w:t>；二</w:t>
      </w:r>
      <w:r>
        <w:rPr>
          <w:rFonts w:eastAsia="仿宋_GB2312"/>
          <w:sz w:val="32"/>
          <w:szCs w:val="32"/>
        </w:rPr>
        <w:t>是资金支付依据合法合规，资金审批程序严格；三是项目资金做到专款专用。因局机关人头经费少，涉及迎接省市各项指标任务考核方面以及办公区域维修等方面开支较大，通过向县财政争取经费弥补各项的开支，严格控制资金的使用合理、严谨。2021年底各专项资金目标顺利完成。</w:t>
      </w:r>
    </w:p>
    <w:p>
      <w:pPr>
        <w:pStyle w:val="3"/>
        <w:spacing w:beforeLines="0" w:line="560" w:lineRule="exact"/>
        <w:ind w:firstLine="643" w:firstLineChars="200"/>
        <w:rPr>
          <w:rFonts w:ascii="Times New Roman"/>
          <w:kern w:val="2"/>
          <w:sz w:val="32"/>
          <w:szCs w:val="32"/>
        </w:rPr>
      </w:pPr>
      <w:r>
        <w:rPr>
          <w:rFonts w:ascii="Times New Roman" w:eastAsia="楷体_GB2312"/>
          <w:b/>
          <w:bCs/>
          <w:kern w:val="2"/>
          <w:sz w:val="32"/>
          <w:szCs w:val="21"/>
        </w:rPr>
        <w:t>（二）结果应用情况。</w:t>
      </w:r>
      <w:r>
        <w:rPr>
          <w:rFonts w:ascii="Times New Roman"/>
          <w:kern w:val="2"/>
          <w:sz w:val="32"/>
          <w:szCs w:val="32"/>
        </w:rPr>
        <w:t>县行政审批局对部门整体支出的预算执行高度重视，突出对支出的合理性、规范性及支出</w:t>
      </w:r>
      <w:r>
        <w:rPr>
          <w:rFonts w:ascii="Times New Roman"/>
          <w:kern w:val="2"/>
          <w:sz w:val="32"/>
          <w:szCs w:val="32"/>
          <w:u w:val="none" w:color="000000"/>
          <w:shd w:val="clear" w:fill="auto"/>
        </w:rPr>
        <w:t>与</w:t>
      </w:r>
      <w:r>
        <w:rPr>
          <w:rFonts w:ascii="Times New Roman" w:hAnsi="Times New Roman" w:eastAsia="仿宋_GB2312" w:cs="Times New Roman"/>
          <w:bCs/>
          <w:color w:val="000000"/>
          <w:spacing w:val="0"/>
          <w:kern w:val="0"/>
          <w:sz w:val="32"/>
          <w:szCs w:val="32"/>
          <w:lang w:val="en-US" w:eastAsia="zh-CN" w:bidi="ar-SA"/>
        </w:rPr>
        <w:t>预算安排</w:t>
      </w:r>
      <w:r>
        <w:rPr>
          <w:rFonts w:hint="eastAsia" w:ascii="Times New Roman"/>
          <w:kern w:val="2"/>
          <w:sz w:val="32"/>
          <w:szCs w:val="32"/>
          <w:u w:val="none" w:color="000000"/>
          <w:shd w:val="clear" w:fill="auto"/>
          <w:lang w:val="en-US" w:eastAsia="zh-CN"/>
        </w:rPr>
        <w:t>的</w:t>
      </w:r>
      <w:r>
        <w:rPr>
          <w:rFonts w:ascii="Times New Roman"/>
          <w:kern w:val="2"/>
          <w:sz w:val="32"/>
          <w:szCs w:val="32"/>
        </w:rPr>
        <w:t>一致性。一是坚持专款专用，厉行勤俭节约，把有限的经费用在刀刃上；二是严格规范财务审签流程，坚持所有</w:t>
      </w:r>
      <w:r>
        <w:rPr>
          <w:rFonts w:hint="eastAsia" w:ascii="Times New Roman"/>
          <w:kern w:val="2"/>
          <w:sz w:val="32"/>
          <w:szCs w:val="32"/>
        </w:rPr>
        <w:t>财务</w:t>
      </w:r>
      <w:r>
        <w:rPr>
          <w:rFonts w:ascii="Times New Roman"/>
          <w:kern w:val="2"/>
          <w:sz w:val="32"/>
          <w:szCs w:val="32"/>
        </w:rPr>
        <w:t>支出一单三签，谁经办谁申报，重大支出</w:t>
      </w:r>
      <w:r>
        <w:rPr>
          <w:rFonts w:hint="eastAsia" w:ascii="Times New Roman"/>
          <w:kern w:val="2"/>
          <w:sz w:val="32"/>
          <w:szCs w:val="32"/>
        </w:rPr>
        <w:t>经</w:t>
      </w:r>
      <w:r>
        <w:rPr>
          <w:rFonts w:ascii="Times New Roman"/>
          <w:kern w:val="2"/>
          <w:sz w:val="32"/>
          <w:szCs w:val="32"/>
        </w:rPr>
        <w:t>党组决议通过后执行，每月</w:t>
      </w:r>
      <w:r>
        <w:rPr>
          <w:rFonts w:hint="eastAsia" w:ascii="Times New Roman"/>
          <w:kern w:val="2"/>
          <w:sz w:val="32"/>
          <w:szCs w:val="32"/>
        </w:rPr>
        <w:t>对</w:t>
      </w:r>
      <w:r>
        <w:rPr>
          <w:rFonts w:ascii="Times New Roman"/>
          <w:kern w:val="2"/>
          <w:sz w:val="32"/>
          <w:szCs w:val="32"/>
        </w:rPr>
        <w:t>开支预算执行情况进行调度；三是严格财经纪律，严格财务制度，坚持先预算后支出，先审签后支付；四是采购方面对财政采购目录内的内容严格按采购程序执行。</w:t>
      </w:r>
    </w:p>
    <w:p>
      <w:pPr>
        <w:pStyle w:val="3"/>
        <w:spacing w:beforeLines="0" w:line="560" w:lineRule="exact"/>
        <w:ind w:firstLine="643" w:firstLineChars="200"/>
        <w:rPr>
          <w:rFonts w:ascii="Times New Roman" w:eastAsia="仿宋"/>
          <w:sz w:val="32"/>
          <w:szCs w:val="32"/>
        </w:rPr>
      </w:pPr>
      <w:r>
        <w:rPr>
          <w:rFonts w:ascii="Times New Roman" w:eastAsia="楷体_GB2312"/>
          <w:b/>
          <w:bCs/>
          <w:kern w:val="2"/>
          <w:sz w:val="32"/>
          <w:szCs w:val="21"/>
        </w:rPr>
        <w:t>（三）自评质量。</w:t>
      </w:r>
      <w:r>
        <w:rPr>
          <w:rFonts w:ascii="Times New Roman"/>
          <w:kern w:val="2"/>
          <w:sz w:val="32"/>
          <w:szCs w:val="32"/>
        </w:rPr>
        <w:t>2021年度我局整体支出绩</w:t>
      </w:r>
      <w:r>
        <w:rPr>
          <w:rFonts w:ascii="Times New Roman"/>
          <w:kern w:val="2"/>
          <w:sz w:val="32"/>
          <w:szCs w:val="32"/>
          <w:u w:val="none" w:color="000000"/>
          <w:shd w:val="clear" w:fill="auto"/>
        </w:rPr>
        <w:t>效</w:t>
      </w:r>
      <w:r>
        <w:rPr>
          <w:rFonts w:ascii="Times New Roman" w:hAnsi="Times New Roman" w:eastAsia="仿宋_GB2312" w:cs="Times New Roman"/>
          <w:bCs/>
          <w:color w:val="000000"/>
          <w:spacing w:val="0"/>
          <w:kern w:val="0"/>
          <w:sz w:val="32"/>
          <w:szCs w:val="32"/>
          <w:lang w:val="en-US" w:eastAsia="zh-CN" w:bidi="ar-SA"/>
        </w:rPr>
        <w:t>自评得分</w:t>
      </w:r>
      <w:r>
        <w:rPr>
          <w:rFonts w:hint="eastAsia" w:ascii="Times New Roman" w:hAnsi="Times New Roman" w:eastAsia="仿宋_GB2312" w:cs="Times New Roman"/>
          <w:bCs/>
          <w:color w:val="000000"/>
          <w:spacing w:val="0"/>
          <w:kern w:val="0"/>
          <w:sz w:val="32"/>
          <w:szCs w:val="32"/>
          <w:lang w:val="en-US" w:eastAsia="zh-CN" w:bidi="ar-SA"/>
        </w:rPr>
        <w:t>为</w:t>
      </w:r>
      <w:r>
        <w:rPr>
          <w:rFonts w:ascii="Times New Roman" w:hAnsi="Times New Roman" w:eastAsia="仿宋_GB2312" w:cs="Times New Roman"/>
          <w:bCs/>
          <w:color w:val="000000"/>
          <w:spacing w:val="0"/>
          <w:kern w:val="0"/>
          <w:sz w:val="32"/>
          <w:szCs w:val="32"/>
          <w:lang w:val="en-US" w:eastAsia="zh-CN" w:bidi="ar-SA"/>
        </w:rPr>
        <w:t>96分，评价结果为良好。本单位将按照上级文件要求，及时准确公开此次评价工作结果。我局注重评价结果反馈整改，突出对支出的合理性、规范性及支出与预算安排</w:t>
      </w:r>
      <w:r>
        <w:rPr>
          <w:rFonts w:hint="eastAsia" w:ascii="Times New Roman" w:hAnsi="Times New Roman" w:eastAsia="仿宋_GB2312" w:cs="Times New Roman"/>
          <w:bCs/>
          <w:color w:val="000000"/>
          <w:spacing w:val="0"/>
          <w:kern w:val="0"/>
          <w:sz w:val="32"/>
          <w:szCs w:val="32"/>
          <w:lang w:val="en-US" w:eastAsia="zh-CN" w:bidi="ar-SA"/>
        </w:rPr>
        <w:t>的</w:t>
      </w:r>
      <w:r>
        <w:rPr>
          <w:rFonts w:ascii="Times New Roman" w:hAnsi="Times New Roman" w:eastAsia="仿宋_GB2312" w:cs="Times New Roman"/>
          <w:bCs/>
          <w:color w:val="000000"/>
          <w:spacing w:val="0"/>
          <w:kern w:val="0"/>
          <w:sz w:val="32"/>
          <w:szCs w:val="32"/>
          <w:lang w:val="en-US" w:eastAsia="zh-CN" w:bidi="ar-SA"/>
        </w:rPr>
        <w:t>一</w:t>
      </w:r>
      <w:r>
        <w:rPr>
          <w:rFonts w:ascii="Times New Roman"/>
          <w:kern w:val="2"/>
          <w:sz w:val="32"/>
          <w:szCs w:val="32"/>
        </w:rPr>
        <w:t>致性，主动接受社会公众监督，进一步规范单位预算管理绩效，提高绩效信息透明度。</w:t>
      </w:r>
    </w:p>
    <w:p>
      <w:pPr>
        <w:pStyle w:val="3"/>
        <w:spacing w:beforeLines="0" w:line="560" w:lineRule="exact"/>
        <w:ind w:firstLine="640" w:firstLineChars="200"/>
        <w:rPr>
          <w:rFonts w:ascii="Times New Roman" w:eastAsia="黑体"/>
          <w:sz w:val="32"/>
          <w:szCs w:val="32"/>
        </w:rPr>
      </w:pPr>
      <w:r>
        <w:rPr>
          <w:rFonts w:ascii="Times New Roman" w:eastAsia="黑体"/>
          <w:sz w:val="32"/>
          <w:szCs w:val="32"/>
        </w:rPr>
        <w:t>四、评价结论及建议</w:t>
      </w:r>
    </w:p>
    <w:p>
      <w:pPr>
        <w:widowControl/>
        <w:spacing w:line="560" w:lineRule="exact"/>
        <w:ind w:firstLine="643" w:firstLineChars="200"/>
        <w:rPr>
          <w:rFonts w:eastAsia="楷体_GB2312"/>
          <w:b/>
          <w:bCs/>
          <w:kern w:val="0"/>
          <w:sz w:val="32"/>
          <w:szCs w:val="32"/>
        </w:rPr>
      </w:pPr>
      <w:r>
        <w:rPr>
          <w:rFonts w:eastAsia="楷体_GB2312"/>
          <w:b/>
          <w:bCs/>
          <w:kern w:val="0"/>
          <w:sz w:val="32"/>
          <w:szCs w:val="32"/>
        </w:rPr>
        <w:t>（一）评价结论</w:t>
      </w:r>
    </w:p>
    <w:p>
      <w:pPr>
        <w:widowControl/>
        <w:spacing w:line="560" w:lineRule="exact"/>
        <w:ind w:firstLine="640" w:firstLineChars="200"/>
        <w:rPr>
          <w:rFonts w:eastAsia="仿宋_GB2312"/>
          <w:sz w:val="32"/>
          <w:szCs w:val="32"/>
        </w:rPr>
      </w:pPr>
      <w:r>
        <w:rPr>
          <w:rFonts w:eastAsia="仿宋_GB2312"/>
          <w:sz w:val="32"/>
          <w:szCs w:val="32"/>
        </w:rPr>
        <w:t>2021年，我单位全面贯彻落实中央、省、市、县关于全面实施预算绩效管理的决策部署，加强预算绩效管理，不断提高财政资源配置效率和资金使用效益，成立预算绩效管理自评小组，专门负责本次绩效自评工作。以通财绩【2022】13号文件精神为指导，对整体绩效支出的质量指标，数量指标，时效指标、效益指标、满意度指标等对指标内容进行一一的评价考核打分。本次绩效评价遵循科学规范、公开公正、分级分类、绩效相关的原则，对2021年度行政审批局整体支出情况进行评价，从实施方案及相关制度健全，专款专用，资金使用效果等进行科学评价。</w:t>
      </w:r>
    </w:p>
    <w:p>
      <w:pPr>
        <w:widowControl/>
        <w:spacing w:line="560" w:lineRule="exact"/>
        <w:ind w:firstLine="640" w:firstLineChars="200"/>
        <w:rPr>
          <w:rFonts w:eastAsia="仿宋_GB2312"/>
          <w:sz w:val="32"/>
          <w:szCs w:val="32"/>
        </w:rPr>
      </w:pPr>
      <w:r>
        <w:rPr>
          <w:rFonts w:eastAsia="仿宋_GB2312"/>
          <w:sz w:val="32"/>
          <w:szCs w:val="32"/>
        </w:rPr>
        <w:t>2021年度行政审批局实际收到的一般公共预算财政拨款221.7731万元。其中基本</w:t>
      </w:r>
      <w:r>
        <w:rPr>
          <w:rFonts w:hint="eastAsia" w:eastAsia="仿宋_GB2312"/>
          <w:sz w:val="32"/>
          <w:szCs w:val="32"/>
        </w:rPr>
        <w:t>性</w:t>
      </w:r>
      <w:r>
        <w:rPr>
          <w:rFonts w:eastAsia="仿宋_GB2312"/>
          <w:sz w:val="32"/>
          <w:szCs w:val="32"/>
        </w:rPr>
        <w:t>支出2</w:t>
      </w:r>
      <w:r>
        <w:rPr>
          <w:rFonts w:hint="eastAsia" w:eastAsia="仿宋_GB2312"/>
          <w:sz w:val="32"/>
          <w:szCs w:val="32"/>
        </w:rPr>
        <w:t>0</w:t>
      </w:r>
      <w:r>
        <w:rPr>
          <w:rFonts w:eastAsia="仿宋_GB2312"/>
          <w:sz w:val="32"/>
          <w:szCs w:val="32"/>
        </w:rPr>
        <w:t>9.5731万元，项目</w:t>
      </w:r>
      <w:r>
        <w:rPr>
          <w:rFonts w:hint="eastAsia" w:eastAsia="仿宋_GB2312"/>
          <w:sz w:val="32"/>
          <w:szCs w:val="32"/>
        </w:rPr>
        <w:t>性</w:t>
      </w:r>
      <w:r>
        <w:rPr>
          <w:rFonts w:eastAsia="仿宋_GB2312"/>
          <w:sz w:val="32"/>
          <w:szCs w:val="32"/>
        </w:rPr>
        <w:t>支出</w:t>
      </w:r>
      <w:r>
        <w:rPr>
          <w:rFonts w:hint="eastAsia" w:eastAsia="仿宋_GB2312"/>
          <w:sz w:val="32"/>
          <w:szCs w:val="32"/>
        </w:rPr>
        <w:t>1</w:t>
      </w:r>
      <w:r>
        <w:rPr>
          <w:rFonts w:eastAsia="仿宋_GB2312"/>
          <w:sz w:val="32"/>
          <w:szCs w:val="32"/>
        </w:rPr>
        <w:t>2.2万元</w:t>
      </w:r>
      <w:r>
        <w:rPr>
          <w:rFonts w:hint="eastAsia" w:eastAsia="仿宋_GB2312"/>
          <w:sz w:val="32"/>
          <w:szCs w:val="32"/>
        </w:rPr>
        <w:t>，其中</w:t>
      </w:r>
      <w:r>
        <w:rPr>
          <w:rFonts w:eastAsia="仿宋_GB2312"/>
          <w:sz w:val="32"/>
          <w:szCs w:val="32"/>
        </w:rPr>
        <w:t>资本性支出1.48万元。全年执行数221.7731万元，执行率100 %。资金使用规范、合理、合法。</w:t>
      </w:r>
    </w:p>
    <w:p>
      <w:pPr>
        <w:spacing w:line="560" w:lineRule="exact"/>
        <w:ind w:firstLine="643" w:firstLineChars="200"/>
        <w:rPr>
          <w:rFonts w:eastAsia="楷体_GB2312"/>
          <w:b/>
          <w:bCs/>
          <w:kern w:val="0"/>
          <w:sz w:val="32"/>
          <w:szCs w:val="32"/>
        </w:rPr>
      </w:pPr>
      <w:r>
        <w:rPr>
          <w:rFonts w:eastAsia="楷体_GB2312"/>
          <w:b/>
          <w:bCs/>
          <w:kern w:val="0"/>
          <w:sz w:val="32"/>
          <w:szCs w:val="32"/>
        </w:rPr>
        <w:t xml:space="preserve">（二）存在问题  </w:t>
      </w:r>
    </w:p>
    <w:p>
      <w:pPr>
        <w:widowControl/>
        <w:spacing w:line="560" w:lineRule="exact"/>
        <w:ind w:firstLine="640" w:firstLineChars="200"/>
        <w:rPr>
          <w:rFonts w:eastAsia="仿宋_GB2312"/>
          <w:sz w:val="32"/>
          <w:szCs w:val="32"/>
        </w:rPr>
      </w:pPr>
      <w:r>
        <w:rPr>
          <w:rFonts w:eastAsia="仿宋_GB2312"/>
          <w:sz w:val="32"/>
          <w:szCs w:val="32"/>
        </w:rPr>
        <w:t>因单位编制少人员少，对单位经费支出的预算和决算的整体把控能力培养不足，没有配备专职财务人员，相关制度建设还有待进一步加强。</w:t>
      </w:r>
    </w:p>
    <w:p>
      <w:pPr>
        <w:widowControl/>
        <w:spacing w:line="560" w:lineRule="exact"/>
        <w:ind w:firstLine="643" w:firstLineChars="200"/>
        <w:rPr>
          <w:rFonts w:eastAsia="楷体_GB2312"/>
          <w:b/>
          <w:bCs/>
          <w:kern w:val="0"/>
          <w:sz w:val="32"/>
          <w:szCs w:val="32"/>
        </w:rPr>
      </w:pPr>
      <w:r>
        <w:rPr>
          <w:rFonts w:eastAsia="楷体_GB2312"/>
          <w:b/>
          <w:bCs/>
          <w:kern w:val="0"/>
          <w:sz w:val="32"/>
          <w:szCs w:val="32"/>
        </w:rPr>
        <w:t>（三）改进建议</w:t>
      </w:r>
    </w:p>
    <w:p>
      <w:pPr>
        <w:widowControl/>
        <w:adjustRightInd w:val="0"/>
        <w:snapToGrid w:val="0"/>
        <w:spacing w:line="572" w:lineRule="exact"/>
        <w:ind w:firstLine="640" w:firstLineChars="200"/>
        <w:contextualSpacing/>
        <w:jc w:val="left"/>
        <w:rPr>
          <w:rFonts w:ascii="Times New Roman" w:hAnsi="Times New Roman" w:eastAsia="仿宋_GB2312" w:cs="Times New Roman"/>
          <w:bCs/>
          <w:color w:val="000000"/>
          <w:spacing w:val="0"/>
          <w:kern w:val="0"/>
          <w:sz w:val="32"/>
          <w:szCs w:val="32"/>
          <w:lang w:val="en-US" w:eastAsia="zh-CN" w:bidi="ar-SA"/>
        </w:rPr>
      </w:pPr>
      <w:r>
        <w:rPr>
          <w:rFonts w:eastAsia="仿宋_GB2312"/>
          <w:sz w:val="32"/>
          <w:szCs w:val="32"/>
        </w:rPr>
        <w:t>现在的经费支出指标可能面临着新增任务落实相关支出</w:t>
      </w:r>
      <w:r>
        <w:rPr>
          <w:rFonts w:hint="eastAsia" w:eastAsia="仿宋_GB2312"/>
          <w:sz w:val="32"/>
          <w:szCs w:val="32"/>
        </w:rPr>
        <w:t>要求</w:t>
      </w:r>
      <w:r>
        <w:rPr>
          <w:rFonts w:eastAsia="仿宋_GB2312"/>
          <w:sz w:val="32"/>
          <w:szCs w:val="32"/>
        </w:rPr>
        <w:t>，我局将尽可能地做到科学、合理、精细的分配，并</w:t>
      </w:r>
      <w:r>
        <w:rPr>
          <w:rFonts w:eastAsia="仿宋_GB2312"/>
          <w:sz w:val="32"/>
          <w:szCs w:val="32"/>
          <w:lang w:val="zh-CN"/>
        </w:rPr>
        <w:t>继续加强财政经费支</w:t>
      </w:r>
      <w:r>
        <w:rPr>
          <w:rFonts w:eastAsia="仿宋_GB2312"/>
          <w:sz w:val="32"/>
          <w:szCs w:val="32"/>
          <w:u w:val="none" w:color="000000"/>
          <w:shd w:val="clear" w:fill="auto"/>
          <w:lang w:val="zh-CN"/>
        </w:rPr>
        <w:t>出</w:t>
      </w:r>
      <w:r>
        <w:rPr>
          <w:rFonts w:eastAsia="仿宋_GB2312"/>
          <w:sz w:val="32"/>
          <w:szCs w:val="32"/>
          <w:u w:val="none" w:color="000000"/>
          <w:shd w:val="clear" w:fill="auto"/>
          <w:lang w:val="zh-CN"/>
        </w:rPr>
        <w:t>管理</w:t>
      </w:r>
      <w:r>
        <w:rPr>
          <w:rFonts w:ascii="Times New Roman" w:hAnsi="Times New Roman" w:eastAsia="仿宋_GB2312" w:cs="Times New Roman"/>
          <w:bCs/>
          <w:color w:val="000000"/>
          <w:spacing w:val="0"/>
          <w:kern w:val="0"/>
          <w:sz w:val="32"/>
          <w:szCs w:val="32"/>
          <w:lang w:val="en-US" w:eastAsia="zh-CN" w:bidi="ar-SA"/>
        </w:rPr>
        <w:t xml:space="preserve">。   </w:t>
      </w:r>
    </w:p>
    <w:p>
      <w:pPr>
        <w:pStyle w:val="3"/>
        <w:spacing w:before="93"/>
        <w:rPr>
          <w:rFonts w:hAnsi="宋体" w:cs="宋体"/>
          <w:sz w:val="32"/>
          <w:szCs w:val="32"/>
          <w:u w:val="thick" w:color="4B6EE0"/>
          <w:shd w:val="clear" w:color="auto" w:fill="E8EBF5"/>
          <w:lang w:val="zh-CN"/>
        </w:rPr>
      </w:pPr>
    </w:p>
    <w:p>
      <w:pPr>
        <w:pStyle w:val="3"/>
        <w:spacing w:before="93"/>
        <w:rPr>
          <w:rFonts w:hAnsi="宋体" w:cs="宋体"/>
          <w:sz w:val="32"/>
          <w:szCs w:val="32"/>
          <w:u w:val="thick" w:color="4B6EE0"/>
          <w:shd w:val="clear" w:color="auto" w:fill="E8EBF5"/>
          <w:lang w:val="zh-CN"/>
        </w:rPr>
      </w:pPr>
    </w:p>
    <w:p>
      <w:pPr>
        <w:pStyle w:val="3"/>
        <w:spacing w:before="93"/>
        <w:rPr>
          <w:rFonts w:hAnsi="宋体" w:cs="宋体"/>
          <w:sz w:val="32"/>
          <w:szCs w:val="32"/>
          <w:u w:val="thick" w:color="4B6EE0"/>
          <w:shd w:val="clear" w:color="auto" w:fill="E8EBF5"/>
          <w:lang w:val="zh-CN"/>
        </w:rPr>
      </w:pPr>
    </w:p>
    <w:p>
      <w:pPr>
        <w:pStyle w:val="3"/>
        <w:spacing w:before="93"/>
        <w:rPr>
          <w:rFonts w:hAnsi="宋体" w:cs="宋体"/>
          <w:sz w:val="32"/>
          <w:szCs w:val="32"/>
          <w:u w:val="thick" w:color="4B6EE0"/>
          <w:shd w:val="clear" w:color="auto" w:fill="E8EBF5"/>
          <w:lang w:val="zh-CN"/>
        </w:rPr>
      </w:pPr>
    </w:p>
    <w:p>
      <w:pPr>
        <w:pStyle w:val="3"/>
        <w:spacing w:before="93"/>
        <w:rPr>
          <w:rFonts w:hAnsi="宋体" w:cs="宋体"/>
          <w:sz w:val="32"/>
          <w:szCs w:val="32"/>
          <w:u w:val="thick" w:color="4B6EE0"/>
          <w:shd w:val="clear" w:color="auto" w:fill="E8EBF5"/>
          <w:lang w:val="zh-CN"/>
        </w:rPr>
      </w:pPr>
    </w:p>
    <w:p>
      <w:pPr>
        <w:pStyle w:val="3"/>
        <w:spacing w:before="93"/>
        <w:rPr>
          <w:rFonts w:hAnsi="宋体" w:cs="宋体"/>
          <w:sz w:val="32"/>
          <w:szCs w:val="32"/>
          <w:u w:val="thick" w:color="4B6EE0"/>
          <w:shd w:val="clear" w:color="auto" w:fill="E8EBF5"/>
          <w:lang w:val="zh-CN"/>
        </w:rPr>
      </w:pPr>
    </w:p>
    <w:p>
      <w:pPr>
        <w:pStyle w:val="3"/>
        <w:spacing w:before="93"/>
        <w:rPr>
          <w:rFonts w:hAnsi="宋体" w:cs="宋体"/>
          <w:sz w:val="32"/>
          <w:szCs w:val="32"/>
          <w:u w:val="thick" w:color="4B6EE0"/>
          <w:shd w:val="clear" w:color="auto" w:fill="E8EBF5"/>
          <w:lang w:val="zh-CN"/>
        </w:rPr>
      </w:pPr>
    </w:p>
    <w:p>
      <w:pPr>
        <w:pStyle w:val="3"/>
        <w:spacing w:before="93"/>
        <w:rPr>
          <w:rFonts w:hAnsi="宋体" w:cs="宋体"/>
          <w:sz w:val="32"/>
          <w:szCs w:val="32"/>
          <w:u w:val="thick" w:color="4B6EE0"/>
          <w:shd w:val="clear" w:color="auto" w:fill="E8EBF5"/>
          <w:lang w:val="zh-CN"/>
        </w:rPr>
      </w:pPr>
    </w:p>
    <w:p>
      <w:pPr>
        <w:pStyle w:val="3"/>
        <w:spacing w:before="93"/>
        <w:rPr>
          <w:rFonts w:hAnsi="宋体" w:cs="宋体"/>
          <w:sz w:val="32"/>
          <w:szCs w:val="32"/>
          <w:u w:val="thick" w:color="4B6EE0"/>
          <w:shd w:val="clear" w:color="auto" w:fill="E8EBF5"/>
          <w:lang w:val="zh-CN"/>
        </w:rPr>
      </w:pPr>
    </w:p>
    <w:p>
      <w:pPr>
        <w:pStyle w:val="3"/>
        <w:spacing w:before="93"/>
        <w:rPr>
          <w:rFonts w:hAnsi="宋体" w:cs="宋体"/>
          <w:sz w:val="32"/>
          <w:szCs w:val="32"/>
          <w:u w:val="thick" w:color="4B6EE0"/>
          <w:shd w:val="clear" w:color="auto" w:fill="E8EBF5"/>
          <w:lang w:val="zh-CN"/>
        </w:rPr>
      </w:pPr>
    </w:p>
    <w:p>
      <w:pPr>
        <w:pStyle w:val="3"/>
        <w:spacing w:before="93"/>
        <w:rPr>
          <w:rFonts w:hAnsi="宋体" w:cs="宋体"/>
          <w:sz w:val="32"/>
          <w:szCs w:val="32"/>
          <w:u w:val="thick" w:color="4B6EE0"/>
          <w:shd w:val="clear" w:color="auto" w:fill="E8EBF5"/>
          <w:lang w:val="zh-CN"/>
        </w:rPr>
      </w:pPr>
    </w:p>
    <w:tbl>
      <w:tblPr>
        <w:tblStyle w:val="5"/>
        <w:tblW w:w="6002" w:type="pct"/>
        <w:tblInd w:w="-1007" w:type="dxa"/>
        <w:tblLayout w:type="fixed"/>
        <w:tblCellMar>
          <w:top w:w="0" w:type="dxa"/>
          <w:left w:w="108" w:type="dxa"/>
          <w:bottom w:w="0" w:type="dxa"/>
          <w:right w:w="108" w:type="dxa"/>
        </w:tblCellMar>
      </w:tblPr>
      <w:tblGrid>
        <w:gridCol w:w="511"/>
        <w:gridCol w:w="811"/>
        <w:gridCol w:w="2109"/>
        <w:gridCol w:w="917"/>
        <w:gridCol w:w="1019"/>
        <w:gridCol w:w="929"/>
        <w:gridCol w:w="872"/>
        <w:gridCol w:w="925"/>
        <w:gridCol w:w="1015"/>
        <w:gridCol w:w="565"/>
        <w:gridCol w:w="557"/>
      </w:tblGrid>
      <w:tr>
        <w:tblPrEx>
          <w:tblCellMar>
            <w:top w:w="0" w:type="dxa"/>
            <w:left w:w="108" w:type="dxa"/>
            <w:bottom w:w="0" w:type="dxa"/>
            <w:right w:w="108" w:type="dxa"/>
          </w:tblCellMar>
        </w:tblPrEx>
        <w:trPr>
          <w:trHeight w:val="90" w:hRule="atLeast"/>
        </w:trPr>
        <w:tc>
          <w:tcPr>
            <w:tcW w:w="5000" w:type="pct"/>
            <w:gridSpan w:val="11"/>
            <w:tcBorders>
              <w:top w:val="nil"/>
              <w:left w:val="nil"/>
              <w:bottom w:val="nil"/>
              <w:right w:val="nil"/>
            </w:tcBorders>
            <w:shd w:val="clear" w:color="auto" w:fill="auto"/>
            <w:vAlign w:val="center"/>
          </w:tcPr>
          <w:p>
            <w:pPr>
              <w:widowControl/>
              <w:adjustRightInd w:val="0"/>
              <w:snapToGrid w:val="0"/>
              <w:spacing w:line="580" w:lineRule="exact"/>
              <w:ind w:firstLine="640" w:firstLineChars="200"/>
              <w:contextualSpacing/>
              <w:jc w:val="left"/>
              <w:rPr>
                <w:rFonts w:ascii="Times New Roman" w:hAnsi="Times New Roman" w:eastAsia="仿宋_GB2312" w:cs="Times New Roman"/>
                <w:bCs/>
                <w:color w:val="000000"/>
                <w:spacing w:val="0"/>
                <w:kern w:val="0"/>
                <w:sz w:val="32"/>
                <w:szCs w:val="32"/>
                <w:lang w:val="en-US" w:eastAsia="zh-CN" w:bidi="ar-SA"/>
              </w:rPr>
            </w:pPr>
            <w:r>
              <w:rPr>
                <w:rFonts w:hint="eastAsia" w:ascii="Times New Roman" w:hAnsi="Times New Roman" w:eastAsia="仿宋_GB2312" w:cs="Times New Roman"/>
                <w:bCs/>
                <w:color w:val="000000"/>
                <w:spacing w:val="0"/>
                <w:kern w:val="0"/>
                <w:sz w:val="32"/>
                <w:szCs w:val="32"/>
                <w:lang w:val="zh-CN" w:eastAsia="zh-CN" w:bidi="ar-SA"/>
              </w:rPr>
              <w:t>附表：</w:t>
            </w:r>
          </w:p>
          <w:p>
            <w:pPr>
              <w:widowControl/>
              <w:jc w:val="center"/>
              <w:textAlignment w:val="center"/>
              <w:rPr>
                <w:rFonts w:ascii="宋体" w:hAnsi="宋体" w:cs="宋体"/>
                <w:b/>
                <w:bCs/>
                <w:color w:val="000000"/>
                <w:sz w:val="32"/>
                <w:szCs w:val="32"/>
              </w:rPr>
            </w:pPr>
            <w:r>
              <w:rPr>
                <w:rFonts w:hint="eastAsia" w:ascii="宋体" w:hAnsi="宋体" w:cs="宋体"/>
                <w:b/>
                <w:bCs/>
                <w:color w:val="000000"/>
                <w:kern w:val="0"/>
                <w:sz w:val="32"/>
                <w:szCs w:val="32"/>
              </w:rPr>
              <w:t xml:space="preserve">整体支出绩效目标自评表 </w:t>
            </w:r>
          </w:p>
        </w:tc>
      </w:tr>
      <w:tr>
        <w:tblPrEx>
          <w:tblCellMar>
            <w:top w:w="0" w:type="dxa"/>
            <w:left w:w="108" w:type="dxa"/>
            <w:bottom w:w="0" w:type="dxa"/>
            <w:right w:w="108" w:type="dxa"/>
          </w:tblCellMar>
        </w:tblPrEx>
        <w:trPr>
          <w:trHeight w:val="420" w:hRule="atLeast"/>
        </w:trPr>
        <w:tc>
          <w:tcPr>
            <w:tcW w:w="5000" w:type="pct"/>
            <w:gridSpan w:val="11"/>
            <w:tcBorders>
              <w:top w:val="nil"/>
              <w:left w:val="nil"/>
              <w:bottom w:val="single" w:color="000000" w:sz="4" w:space="0"/>
              <w:right w:val="nil"/>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（2021年度）</w:t>
            </w:r>
          </w:p>
        </w:tc>
      </w:tr>
      <w:tr>
        <w:tblPrEx>
          <w:tblCellMar>
            <w:top w:w="0" w:type="dxa"/>
            <w:left w:w="108" w:type="dxa"/>
            <w:bottom w:w="0" w:type="dxa"/>
            <w:right w:w="108" w:type="dxa"/>
          </w:tblCellMar>
        </w:tblPrEx>
        <w:trPr>
          <w:trHeight w:val="240" w:hRule="atLeast"/>
        </w:trPr>
        <w:tc>
          <w:tcPr>
            <w:tcW w:w="167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部门名称</w:t>
            </w:r>
          </w:p>
        </w:tc>
        <w:tc>
          <w:tcPr>
            <w:tcW w:w="3321"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 通江县行政审批局</w:t>
            </w:r>
          </w:p>
        </w:tc>
      </w:tr>
      <w:tr>
        <w:tblPrEx>
          <w:tblCellMar>
            <w:top w:w="0" w:type="dxa"/>
            <w:left w:w="108" w:type="dxa"/>
            <w:bottom w:w="0" w:type="dxa"/>
            <w:right w:w="108" w:type="dxa"/>
          </w:tblCellMar>
        </w:tblPrEx>
        <w:trPr>
          <w:trHeight w:val="300" w:hRule="atLeast"/>
        </w:trPr>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年度主要任务</w:t>
            </w:r>
          </w:p>
        </w:tc>
        <w:tc>
          <w:tcPr>
            <w:tcW w:w="397" w:type="pct"/>
            <w:vMerge w:val="restart"/>
            <w:tcBorders>
              <w:top w:val="single" w:color="000000" w:sz="4" w:space="0"/>
              <w:left w:val="single" w:color="000000" w:sz="4" w:space="0"/>
              <w:bottom w:val="single" w:color="000000" w:sz="4" w:space="0"/>
              <w:right w:val="nil"/>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任务名称</w:t>
            </w:r>
          </w:p>
        </w:tc>
        <w:tc>
          <w:tcPr>
            <w:tcW w:w="10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主要内容</w:t>
            </w:r>
          </w:p>
        </w:tc>
        <w:tc>
          <w:tcPr>
            <w:tcW w:w="4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分值</w:t>
            </w:r>
          </w:p>
        </w:tc>
        <w:tc>
          <w:tcPr>
            <w:tcW w:w="137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预算金额（万元）</w:t>
            </w:r>
          </w:p>
        </w:tc>
        <w:tc>
          <w:tcPr>
            <w:tcW w:w="1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实际执行（万元）</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得分</w:t>
            </w:r>
          </w:p>
        </w:tc>
      </w:tr>
      <w:tr>
        <w:tblPrEx>
          <w:tblCellMar>
            <w:top w:w="0" w:type="dxa"/>
            <w:left w:w="108" w:type="dxa"/>
            <w:bottom w:w="0" w:type="dxa"/>
            <w:right w:w="108" w:type="dxa"/>
          </w:tblCellMar>
        </w:tblPrEx>
        <w:trPr>
          <w:trHeight w:val="40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color w:val="000000"/>
                <w:sz w:val="20"/>
                <w:szCs w:val="20"/>
              </w:rPr>
            </w:pPr>
          </w:p>
        </w:tc>
        <w:tc>
          <w:tcPr>
            <w:tcW w:w="397" w:type="pct"/>
            <w:vMerge w:val="continue"/>
            <w:tcBorders>
              <w:top w:val="single" w:color="000000" w:sz="4" w:space="0"/>
              <w:left w:val="single" w:color="000000" w:sz="4" w:space="0"/>
              <w:bottom w:val="single" w:color="000000" w:sz="4" w:space="0"/>
              <w:right w:val="nil"/>
            </w:tcBorders>
            <w:shd w:val="clear" w:color="auto" w:fill="auto"/>
            <w:vAlign w:val="center"/>
          </w:tcPr>
          <w:p>
            <w:pPr>
              <w:widowControl/>
              <w:spacing w:line="260" w:lineRule="exact"/>
              <w:jc w:val="center"/>
              <w:rPr>
                <w:rFonts w:ascii="宋体" w:hAnsi="宋体" w:cs="宋体"/>
                <w:color w:val="000000"/>
                <w:sz w:val="18"/>
                <w:szCs w:val="18"/>
              </w:rPr>
            </w:pPr>
          </w:p>
        </w:tc>
        <w:tc>
          <w:tcPr>
            <w:tcW w:w="10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4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总额</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财政拨款</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其他资金</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总额</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财政拨款</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其他资金</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r>
      <w:tr>
        <w:tblPrEx>
          <w:tblCellMar>
            <w:top w:w="0" w:type="dxa"/>
            <w:left w:w="108" w:type="dxa"/>
            <w:bottom w:w="0" w:type="dxa"/>
            <w:right w:w="108" w:type="dxa"/>
          </w:tblCellMar>
        </w:tblPrEx>
        <w:trPr>
          <w:trHeight w:val="54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color w:val="000000"/>
                <w:sz w:val="20"/>
                <w:szCs w:val="20"/>
              </w:rPr>
            </w:pPr>
          </w:p>
        </w:tc>
        <w:tc>
          <w:tcPr>
            <w:tcW w:w="397" w:type="pct"/>
            <w:tcBorders>
              <w:top w:val="single" w:color="000000" w:sz="4" w:space="0"/>
              <w:left w:val="single" w:color="000000" w:sz="4" w:space="0"/>
              <w:bottom w:val="single" w:color="000000" w:sz="4" w:space="0"/>
              <w:right w:val="nil"/>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基本支出</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宋体" w:hAnsi="宋体" w:cs="宋体"/>
                <w:color w:val="000000"/>
                <w:sz w:val="18"/>
                <w:szCs w:val="18"/>
              </w:rPr>
            </w:pPr>
            <w:r>
              <w:rPr>
                <w:rFonts w:hint="eastAsia" w:ascii="宋体" w:hAnsi="宋体" w:cs="宋体"/>
                <w:color w:val="000000"/>
                <w:kern w:val="0"/>
                <w:sz w:val="18"/>
                <w:szCs w:val="18"/>
              </w:rPr>
              <w:t>保障人员及运转基本支出</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171.0731</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171.0731</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rPr>
                <w:rFonts w:ascii="宋体" w:hAnsi="宋体" w:cs="宋体"/>
                <w:color w:val="000000"/>
                <w:sz w:val="18"/>
                <w:szCs w:val="18"/>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171.0731</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171.0731</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r>
      <w:tr>
        <w:tblPrEx>
          <w:tblCellMar>
            <w:top w:w="0" w:type="dxa"/>
            <w:left w:w="108" w:type="dxa"/>
            <w:bottom w:w="0" w:type="dxa"/>
            <w:right w:w="108" w:type="dxa"/>
          </w:tblCellMar>
        </w:tblPrEx>
        <w:trPr>
          <w:trHeight w:val="163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color w:val="000000"/>
                <w:sz w:val="20"/>
                <w:szCs w:val="20"/>
              </w:rPr>
            </w:pPr>
          </w:p>
        </w:tc>
        <w:tc>
          <w:tcPr>
            <w:tcW w:w="397" w:type="pct"/>
            <w:tcBorders>
              <w:top w:val="single" w:color="000000" w:sz="4" w:space="0"/>
              <w:left w:val="single" w:color="000000" w:sz="4" w:space="0"/>
              <w:bottom w:val="single" w:color="000000" w:sz="4" w:space="0"/>
              <w:right w:val="nil"/>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政务服务监管</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宋体" w:hAnsi="宋体" w:cs="宋体"/>
                <w:color w:val="000000"/>
                <w:sz w:val="15"/>
                <w:szCs w:val="15"/>
              </w:rPr>
            </w:pPr>
            <w:r>
              <w:rPr>
                <w:rFonts w:hint="eastAsia" w:ascii="宋体" w:hAnsi="宋体" w:cs="宋体"/>
                <w:color w:val="000000"/>
                <w:kern w:val="0"/>
                <w:sz w:val="15"/>
                <w:szCs w:val="15"/>
              </w:rPr>
              <w:t>负责全县行政权力和公共服务事项运行督查和监管，实现政务服务事项全部纳入省一体化平台运行，全部进驻县政务服务大厅实行“一窗”受办，杜绝厅外受理、体外循环。</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8.5</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8.5</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rPr>
                <w:rFonts w:ascii="宋体" w:hAnsi="宋体" w:cs="宋体"/>
                <w:color w:val="000000"/>
                <w:sz w:val="18"/>
                <w:szCs w:val="18"/>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8.5</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8.5</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r>
      <w:tr>
        <w:tblPrEx>
          <w:tblCellMar>
            <w:top w:w="0" w:type="dxa"/>
            <w:left w:w="108" w:type="dxa"/>
            <w:bottom w:w="0" w:type="dxa"/>
            <w:right w:w="108" w:type="dxa"/>
          </w:tblCellMar>
        </w:tblPrEx>
        <w:trPr>
          <w:trHeight w:val="163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color w:val="000000"/>
                <w:sz w:val="20"/>
                <w:szCs w:val="20"/>
              </w:rPr>
            </w:pPr>
          </w:p>
        </w:tc>
        <w:tc>
          <w:tcPr>
            <w:tcW w:w="397" w:type="pct"/>
            <w:tcBorders>
              <w:top w:val="single" w:color="000000" w:sz="4" w:space="0"/>
              <w:left w:val="single" w:color="000000" w:sz="4" w:space="0"/>
              <w:bottom w:val="single" w:color="000000" w:sz="4" w:space="0"/>
              <w:right w:val="nil"/>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省一体化政务服务平台运行</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宋体" w:hAnsi="宋体" w:cs="宋体"/>
                <w:color w:val="000000"/>
                <w:sz w:val="15"/>
                <w:szCs w:val="15"/>
              </w:rPr>
            </w:pPr>
            <w:r>
              <w:rPr>
                <w:rFonts w:hint="eastAsia" w:ascii="宋体" w:hAnsi="宋体" w:cs="宋体"/>
                <w:color w:val="000000"/>
                <w:kern w:val="0"/>
                <w:sz w:val="15"/>
                <w:szCs w:val="15"/>
              </w:rPr>
              <w:t>负责省一体化政务服务平台向村、社区延伸，实现全县一体化政务服务平台在县、乡、村（社区）全覆盖，县、乡行权事项和公共服务事项全部纳入一体化平台运行。</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rPr>
                <w:rFonts w:ascii="宋体" w:hAnsi="宋体" w:cs="宋体"/>
                <w:color w:val="000000"/>
                <w:sz w:val="18"/>
                <w:szCs w:val="18"/>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r>
      <w:tr>
        <w:tblPrEx>
          <w:tblCellMar>
            <w:top w:w="0" w:type="dxa"/>
            <w:left w:w="108" w:type="dxa"/>
            <w:bottom w:w="0" w:type="dxa"/>
            <w:right w:w="108" w:type="dxa"/>
          </w:tblCellMar>
        </w:tblPrEx>
        <w:trPr>
          <w:trHeight w:val="162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color w:val="000000"/>
                <w:sz w:val="20"/>
                <w:szCs w:val="20"/>
              </w:rPr>
            </w:pPr>
          </w:p>
        </w:tc>
        <w:tc>
          <w:tcPr>
            <w:tcW w:w="397" w:type="pct"/>
            <w:tcBorders>
              <w:top w:val="single" w:color="000000" w:sz="4" w:space="0"/>
              <w:left w:val="single" w:color="000000" w:sz="4" w:space="0"/>
              <w:bottom w:val="single" w:color="000000" w:sz="4" w:space="0"/>
              <w:right w:val="nil"/>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乡镇便民服务中心业务指导</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宋体" w:hAnsi="宋体" w:cs="宋体"/>
                <w:color w:val="000000"/>
                <w:sz w:val="15"/>
                <w:szCs w:val="15"/>
              </w:rPr>
            </w:pPr>
            <w:r>
              <w:rPr>
                <w:rFonts w:hint="eastAsia" w:ascii="宋体" w:hAnsi="宋体" w:cs="宋体"/>
                <w:color w:val="000000"/>
                <w:kern w:val="0"/>
                <w:sz w:val="15"/>
                <w:szCs w:val="15"/>
              </w:rPr>
              <w:t>负责全县乡镇便民服务中心标准化建设及规范运行指导，推进村（社区）便民服务室规范化建设、政务服务延伸到基层，提升便民服务能力和效能，让群众办事更便捷，更满意。</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rPr>
                <w:rFonts w:ascii="宋体" w:hAnsi="宋体" w:cs="宋体"/>
                <w:color w:val="000000"/>
                <w:sz w:val="18"/>
                <w:szCs w:val="18"/>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r>
      <w:tr>
        <w:tblPrEx>
          <w:tblCellMar>
            <w:top w:w="0" w:type="dxa"/>
            <w:left w:w="108" w:type="dxa"/>
            <w:bottom w:w="0" w:type="dxa"/>
            <w:right w:w="108" w:type="dxa"/>
          </w:tblCellMar>
        </w:tblPrEx>
        <w:trPr>
          <w:trHeight w:val="503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创建一流营商环境和行政审批制度改革</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宋体" w:hAnsi="宋体" w:cs="宋体"/>
                <w:color w:val="000000"/>
                <w:sz w:val="18"/>
                <w:szCs w:val="18"/>
              </w:rPr>
            </w:pPr>
            <w:r>
              <w:rPr>
                <w:rFonts w:hint="eastAsia" w:ascii="宋体" w:hAnsi="宋体" w:cs="宋体"/>
                <w:color w:val="000000"/>
                <w:kern w:val="0"/>
                <w:sz w:val="15"/>
                <w:szCs w:val="15"/>
              </w:rPr>
              <w:t>1.负责通江县创建一流营商环境工作，加强创建任务业务培训和指导，按时高质完成市县营商环境建设各项工作任务。全面优化通江企业和群众办事创业营商环境，全面检查解决政务服务中的堵点和难点，全面加强政务服务“好差评”活动宣传。2.负责全县县级相对集中行使行政审批事项的清理及业务指导和培训工作，负责县级部门行政审批事项在一体化平台运行的业务指导和培训，落实县级行政审批制度改革和“放管服”改革各项任务落实及完成，负责职责范围内行政审批事项投诉举报的承办、转办及督办工作。</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rPr>
                <w:rFonts w:ascii="宋体" w:hAnsi="宋体" w:cs="宋体"/>
                <w:color w:val="000000"/>
                <w:sz w:val="18"/>
                <w:szCs w:val="18"/>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r>
      <w:tr>
        <w:tblPrEx>
          <w:tblCellMar>
            <w:top w:w="0" w:type="dxa"/>
            <w:left w:w="108" w:type="dxa"/>
            <w:bottom w:w="0" w:type="dxa"/>
            <w:right w:w="108" w:type="dxa"/>
          </w:tblCellMar>
        </w:tblPrEx>
        <w:trPr>
          <w:trHeight w:val="48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驻村工作</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宋体" w:hAnsi="宋体" w:cs="宋体"/>
                <w:color w:val="000000"/>
                <w:sz w:val="18"/>
                <w:szCs w:val="18"/>
              </w:rPr>
            </w:pPr>
            <w:r>
              <w:rPr>
                <w:rFonts w:hint="eastAsia" w:ascii="宋体" w:hAnsi="宋体" w:cs="宋体"/>
                <w:color w:val="000000"/>
                <w:kern w:val="0"/>
                <w:sz w:val="18"/>
                <w:szCs w:val="18"/>
              </w:rPr>
              <w:t>保障驻村工作支出</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rPr>
                <w:rFonts w:ascii="宋体" w:hAnsi="宋体" w:cs="宋体"/>
                <w:color w:val="000000"/>
                <w:sz w:val="18"/>
                <w:szCs w:val="18"/>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r>
      <w:tr>
        <w:tblPrEx>
          <w:tblCellMar>
            <w:top w:w="0" w:type="dxa"/>
            <w:left w:w="108" w:type="dxa"/>
            <w:bottom w:w="0" w:type="dxa"/>
            <w:right w:w="108" w:type="dxa"/>
          </w:tblCellMar>
        </w:tblPrEx>
        <w:trPr>
          <w:trHeight w:val="44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color w:val="000000"/>
                <w:sz w:val="20"/>
                <w:szCs w:val="20"/>
              </w:rPr>
            </w:pPr>
          </w:p>
        </w:tc>
        <w:tc>
          <w:tcPr>
            <w:tcW w:w="142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合   计</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221.7731</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221.7731</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rPr>
                <w:rFonts w:ascii="宋体" w:hAnsi="宋体" w:cs="宋体"/>
                <w:color w:val="000000"/>
                <w:sz w:val="18"/>
                <w:szCs w:val="18"/>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221.7731</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221.7731</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r>
      <w:tr>
        <w:tblPrEx>
          <w:tblCellMar>
            <w:top w:w="0" w:type="dxa"/>
            <w:left w:w="108" w:type="dxa"/>
            <w:bottom w:w="0" w:type="dxa"/>
            <w:right w:w="108" w:type="dxa"/>
          </w:tblCellMar>
        </w:tblPrEx>
        <w:trPr>
          <w:trHeight w:val="330" w:hRule="atLeast"/>
        </w:trPr>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年度总体目标</w:t>
            </w:r>
          </w:p>
        </w:tc>
        <w:tc>
          <w:tcPr>
            <w:tcW w:w="282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预期目标</w:t>
            </w:r>
          </w:p>
        </w:tc>
        <w:tc>
          <w:tcPr>
            <w:tcW w:w="192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实际完成目标</w:t>
            </w:r>
          </w:p>
        </w:tc>
      </w:tr>
      <w:tr>
        <w:tblPrEx>
          <w:tblCellMar>
            <w:top w:w="0" w:type="dxa"/>
            <w:left w:w="108" w:type="dxa"/>
            <w:bottom w:w="0" w:type="dxa"/>
            <w:right w:w="108" w:type="dxa"/>
          </w:tblCellMar>
        </w:tblPrEx>
        <w:trPr>
          <w:trHeight w:val="192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color w:val="000000"/>
                <w:sz w:val="20"/>
                <w:szCs w:val="20"/>
              </w:rPr>
            </w:pPr>
          </w:p>
        </w:tc>
        <w:tc>
          <w:tcPr>
            <w:tcW w:w="282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宋体" w:hAnsi="宋体" w:cs="宋体"/>
                <w:color w:val="000000"/>
                <w:sz w:val="18"/>
                <w:szCs w:val="18"/>
              </w:rPr>
            </w:pPr>
            <w:r>
              <w:rPr>
                <w:rFonts w:hint="eastAsia" w:ascii="宋体" w:hAnsi="宋体" w:cs="宋体"/>
                <w:color w:val="000000"/>
                <w:kern w:val="0"/>
                <w:sz w:val="18"/>
                <w:szCs w:val="18"/>
              </w:rPr>
              <w:t>1.认真执行党和国家的方针、政策，加强财政资金管理，保障人员及运转支出规范化，实现预算资金全方位、全过程、全覆盖绩效管理；2.行政权力和公共服务事项运行督查和监管全覆盖；3.保障县乡政务服务事项全部纳入省一体化平台公开运行；4.保障全县乡村政务服务网络全覆盖，便民服务事项规范化运行；5.完成创建一流营商环境和行政审批制度改革工作；6.全面完成驻村帮扶工作任务，巩固脱贫攻坚成果，努力提高群众满意度。</w:t>
            </w:r>
          </w:p>
        </w:tc>
        <w:tc>
          <w:tcPr>
            <w:tcW w:w="192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宋体" w:hAnsi="宋体" w:cs="宋体"/>
                <w:color w:val="000000"/>
                <w:sz w:val="18"/>
                <w:szCs w:val="18"/>
              </w:rPr>
            </w:pPr>
            <w:r>
              <w:rPr>
                <w:rFonts w:hint="eastAsia" w:ascii="宋体" w:hAnsi="宋体" w:cs="宋体"/>
                <w:color w:val="000000"/>
                <w:kern w:val="0"/>
                <w:sz w:val="18"/>
                <w:szCs w:val="18"/>
              </w:rPr>
              <w:t>1.保障财政人员工资支出及单位办公业务支出正常运转；2.全面完成行政权力和公共服务</w:t>
            </w:r>
            <w:r>
              <w:rPr>
                <w:rFonts w:hint="eastAsia" w:ascii="宋体" w:hAnsi="宋体" w:cs="宋体"/>
                <w:color w:val="000000"/>
                <w:kern w:val="0"/>
                <w:sz w:val="18"/>
                <w:szCs w:val="18"/>
                <w:u w:val="none" w:color="000000"/>
                <w:shd w:val="clear" w:fill="auto"/>
              </w:rPr>
              <w:t>事</w:t>
            </w:r>
            <w:r>
              <w:rPr>
                <w:rFonts w:hint="eastAsia" w:ascii="宋体" w:hAnsi="宋体" w:cs="宋体"/>
                <w:color w:val="000000"/>
                <w:kern w:val="0"/>
                <w:sz w:val="18"/>
                <w:szCs w:val="18"/>
                <w:u w:val="none" w:color="000000"/>
                <w:shd w:val="clear" w:fill="auto"/>
              </w:rPr>
              <w:t>项清</w:t>
            </w:r>
            <w:r>
              <w:rPr>
                <w:rFonts w:hint="eastAsia" w:ascii="宋体" w:hAnsi="宋体" w:cs="宋体"/>
                <w:color w:val="000000"/>
                <w:kern w:val="0"/>
                <w:sz w:val="18"/>
                <w:szCs w:val="18"/>
              </w:rPr>
              <w:t>理及运行督查和监管全覆</w:t>
            </w:r>
            <w:r>
              <w:rPr>
                <w:rFonts w:hint="eastAsia" w:ascii="宋体" w:hAnsi="宋体" w:cs="宋体"/>
                <w:color w:val="000000"/>
                <w:kern w:val="0"/>
                <w:sz w:val="18"/>
                <w:szCs w:val="18"/>
              </w:rPr>
              <w:t>盖。3.县乡政务服务事项全部纳入省一体化平台公开运行。4.全面实现全县乡村政务服务网络全覆盖，便民服务事项规范化运行。5.全面完成创建一流营商环境和行政审批制度改革工作。6.实现服务事项最多跑一次占比达100%，极大便捷了群众办事。7.全面完成驻村帮扶工作。8.服务效能全面提升，群众满意度提高。</w:t>
            </w:r>
          </w:p>
        </w:tc>
      </w:tr>
      <w:tr>
        <w:tblPrEx>
          <w:tblCellMar>
            <w:top w:w="0" w:type="dxa"/>
            <w:left w:w="108" w:type="dxa"/>
            <w:bottom w:w="0" w:type="dxa"/>
            <w:right w:w="108" w:type="dxa"/>
          </w:tblCellMar>
        </w:tblPrEx>
        <w:trPr>
          <w:trHeight w:val="480" w:hRule="atLeast"/>
        </w:trPr>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绩效指标</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一级</w:t>
            </w:r>
          </w:p>
          <w:p>
            <w:pPr>
              <w:widowControl/>
              <w:spacing w:line="260" w:lineRule="exact"/>
              <w:jc w:val="center"/>
              <w:textAlignment w:val="center"/>
              <w:rPr>
                <w:rFonts w:ascii="宋体" w:hAnsi="宋体" w:cs="宋体"/>
                <w:color w:val="000000"/>
                <w:sz w:val="18"/>
                <w:szCs w:val="18"/>
                <w:u w:val="none" w:color="000000"/>
                <w:shd w:val="clear" w:fill="auto"/>
              </w:rPr>
            </w:pPr>
            <w:r>
              <w:rPr>
                <w:rFonts w:hint="eastAsia" w:ascii="宋体" w:hAnsi="宋体" w:cs="宋体"/>
                <w:color w:val="000000"/>
                <w:kern w:val="0"/>
                <w:sz w:val="18"/>
                <w:szCs w:val="18"/>
              </w:rPr>
              <w:t>指标</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u w:val="thick" w:color="4B6EE0"/>
                <w:shd w:val="clear" w:fill="E8EBF5"/>
              </w:rPr>
            </w:pPr>
            <w:r>
              <w:rPr>
                <w:rFonts w:hint="eastAsia" w:ascii="宋体" w:hAnsi="宋体" w:cs="宋体"/>
                <w:color w:val="000000"/>
                <w:kern w:val="0"/>
                <w:sz w:val="18"/>
                <w:szCs w:val="18"/>
                <w:u w:val="none" w:color="000000"/>
                <w:shd w:val="clear" w:fill="auto"/>
              </w:rPr>
              <w:t>二级</w:t>
            </w:r>
            <w:r>
              <w:rPr>
                <w:rFonts w:hint="eastAsia" w:ascii="宋体" w:hAnsi="宋体" w:cs="宋体"/>
                <w:color w:val="000000"/>
                <w:kern w:val="0"/>
                <w:sz w:val="18"/>
                <w:szCs w:val="18"/>
                <w:u w:val="thick" w:color="4B6EE0"/>
                <w:shd w:val="clear" w:fill="E8EBF5"/>
              </w:rPr>
              <w:t>指标</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三级指标</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分值</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年度指标值</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全年实际值</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得分</w:t>
            </w:r>
          </w:p>
        </w:tc>
        <w:tc>
          <w:tcPr>
            <w:tcW w:w="10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未完成原因及拟采取的改进措施</w:t>
            </w:r>
          </w:p>
        </w:tc>
      </w:tr>
      <w:tr>
        <w:tblPrEx>
          <w:tblCellMar>
            <w:top w:w="0" w:type="dxa"/>
            <w:left w:w="108" w:type="dxa"/>
            <w:bottom w:w="0" w:type="dxa"/>
            <w:right w:w="108" w:type="dxa"/>
          </w:tblCellMar>
        </w:tblPrEx>
        <w:trPr>
          <w:trHeight w:val="38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color w:val="000000"/>
                <w:sz w:val="20"/>
                <w:szCs w:val="20"/>
              </w:rPr>
            </w:pPr>
          </w:p>
        </w:tc>
        <w:tc>
          <w:tcPr>
            <w:tcW w:w="397" w:type="pct"/>
            <w:vMerge w:val="restart"/>
            <w:tcBorders>
              <w:top w:val="single" w:color="000000" w:sz="4" w:space="0"/>
              <w:left w:val="single" w:color="000000" w:sz="4" w:space="0"/>
              <w:bottom w:val="nil"/>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产</w:t>
            </w:r>
          </w:p>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出</w:t>
            </w:r>
          </w:p>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指</w:t>
            </w:r>
          </w:p>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标</w:t>
            </w:r>
          </w:p>
          <w:p>
            <w:pPr>
              <w:widowControl/>
              <w:spacing w:line="260" w:lineRule="exact"/>
              <w:jc w:val="center"/>
              <w:textAlignment w:val="center"/>
              <w:rPr>
                <w:rFonts w:ascii="宋体" w:hAnsi="宋体" w:cs="宋体"/>
                <w:color w:val="000000"/>
                <w:sz w:val="18"/>
                <w:szCs w:val="18"/>
              </w:rPr>
            </w:pPr>
            <w:r>
              <w:t>（</w:t>
            </w:r>
            <w:r>
              <w:rPr>
                <w:rFonts w:hint="eastAsia" w:ascii="宋体" w:hAnsi="宋体" w:cs="宋体"/>
                <w:color w:val="000000"/>
                <w:kern w:val="0"/>
                <w:sz w:val="18"/>
                <w:szCs w:val="18"/>
              </w:rPr>
              <w:t>50分）</w:t>
            </w:r>
          </w:p>
        </w:tc>
        <w:tc>
          <w:tcPr>
            <w:tcW w:w="1030" w:type="pct"/>
            <w:vMerge w:val="restart"/>
            <w:tcBorders>
              <w:top w:val="single" w:color="000000" w:sz="4" w:space="0"/>
              <w:left w:val="single" w:color="000000" w:sz="4" w:space="0"/>
              <w:bottom w:val="nil"/>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数量指标</w:t>
            </w:r>
          </w:p>
        </w:tc>
        <w:tc>
          <w:tcPr>
            <w:tcW w:w="447" w:type="pct"/>
            <w:tcBorders>
              <w:top w:val="single" w:color="000000" w:sz="4" w:space="0"/>
              <w:left w:val="single" w:color="000000" w:sz="4" w:space="0"/>
              <w:bottom w:val="single" w:color="000000" w:sz="4" w:space="0"/>
              <w:right w:val="nil"/>
            </w:tcBorders>
            <w:shd w:val="clear" w:color="auto" w:fill="FFFFFF"/>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工资福利保障人数</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p>
        </w:tc>
        <w:tc>
          <w:tcPr>
            <w:tcW w:w="4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=13人</w:t>
            </w:r>
          </w:p>
        </w:tc>
        <w:tc>
          <w:tcPr>
            <w:tcW w:w="4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=13人</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p>
        </w:tc>
        <w:tc>
          <w:tcPr>
            <w:tcW w:w="10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46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color w:val="000000"/>
                <w:sz w:val="20"/>
                <w:szCs w:val="20"/>
              </w:rPr>
            </w:pPr>
          </w:p>
        </w:tc>
        <w:tc>
          <w:tcPr>
            <w:tcW w:w="397" w:type="pct"/>
            <w:vMerge w:val="continue"/>
            <w:tcBorders>
              <w:top w:val="single" w:color="000000" w:sz="4" w:space="0"/>
              <w:left w:val="single" w:color="000000" w:sz="4" w:space="0"/>
              <w:bottom w:val="nil"/>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1030" w:type="pct"/>
            <w:vMerge w:val="continue"/>
            <w:tcBorders>
              <w:top w:val="single" w:color="000000" w:sz="4" w:space="0"/>
              <w:left w:val="single" w:color="000000" w:sz="4" w:space="0"/>
              <w:bottom w:val="nil"/>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447" w:type="pct"/>
            <w:tcBorders>
              <w:top w:val="single" w:color="000000" w:sz="4" w:space="0"/>
              <w:left w:val="single" w:color="000000" w:sz="4" w:space="0"/>
              <w:bottom w:val="single" w:color="000000" w:sz="4" w:space="0"/>
              <w:right w:val="nil"/>
            </w:tcBorders>
            <w:shd w:val="clear" w:color="auto" w:fill="FFFFFF"/>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公务接待批次</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p>
        </w:tc>
        <w:tc>
          <w:tcPr>
            <w:tcW w:w="4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≧2批次</w:t>
            </w:r>
          </w:p>
        </w:tc>
        <w:tc>
          <w:tcPr>
            <w:tcW w:w="4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0批次</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p>
        </w:tc>
        <w:tc>
          <w:tcPr>
            <w:tcW w:w="10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执行中央八项规定，厉行节约。</w:t>
            </w:r>
          </w:p>
        </w:tc>
      </w:tr>
      <w:tr>
        <w:tblPrEx>
          <w:tblCellMar>
            <w:top w:w="0" w:type="dxa"/>
            <w:left w:w="108" w:type="dxa"/>
            <w:bottom w:w="0" w:type="dxa"/>
            <w:right w:w="108" w:type="dxa"/>
          </w:tblCellMar>
        </w:tblPrEx>
        <w:trPr>
          <w:trHeight w:val="48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color w:val="000000"/>
                <w:sz w:val="20"/>
                <w:szCs w:val="20"/>
                <w:u w:val="thick" w:color="4B6EE0"/>
                <w:shd w:val="clear" w:fill="E8EBF5"/>
              </w:rPr>
            </w:pPr>
          </w:p>
        </w:tc>
        <w:tc>
          <w:tcPr>
            <w:tcW w:w="397" w:type="pct"/>
            <w:vMerge w:val="continue"/>
            <w:tcBorders>
              <w:top w:val="single" w:color="000000" w:sz="4" w:space="0"/>
              <w:left w:val="single" w:color="000000" w:sz="4" w:space="0"/>
              <w:bottom w:val="nil"/>
              <w:right w:val="single" w:color="000000" w:sz="4" w:space="0"/>
            </w:tcBorders>
            <w:shd w:val="clear" w:color="auto" w:fill="auto"/>
            <w:vAlign w:val="center"/>
          </w:tcPr>
          <w:p>
            <w:pPr>
              <w:widowControl/>
              <w:spacing w:line="260" w:lineRule="exact"/>
              <w:jc w:val="center"/>
              <w:rPr>
                <w:rFonts w:ascii="宋体" w:hAnsi="宋体" w:cs="宋体"/>
                <w:color w:val="000000"/>
                <w:sz w:val="18"/>
                <w:szCs w:val="18"/>
                <w:u w:val="thick" w:color="4B6EE0"/>
                <w:shd w:val="clear" w:fill="E8EBF5"/>
              </w:rPr>
            </w:pPr>
          </w:p>
        </w:tc>
        <w:tc>
          <w:tcPr>
            <w:tcW w:w="1030" w:type="pct"/>
            <w:vMerge w:val="continue"/>
            <w:tcBorders>
              <w:top w:val="single" w:color="000000" w:sz="4" w:space="0"/>
              <w:left w:val="single" w:color="000000" w:sz="4" w:space="0"/>
              <w:bottom w:val="nil"/>
              <w:right w:val="single" w:color="000000" w:sz="4" w:space="0"/>
            </w:tcBorders>
            <w:shd w:val="clear" w:color="auto" w:fill="auto"/>
            <w:vAlign w:val="center"/>
          </w:tcPr>
          <w:p>
            <w:pPr>
              <w:widowControl/>
              <w:spacing w:line="260" w:lineRule="exact"/>
              <w:jc w:val="center"/>
              <w:rPr>
                <w:rFonts w:ascii="宋体" w:hAnsi="宋体" w:cs="宋体"/>
                <w:color w:val="000000"/>
                <w:sz w:val="18"/>
                <w:szCs w:val="18"/>
                <w:u w:val="thick" w:color="4B6EE0"/>
                <w:shd w:val="clear" w:fill="E8EBF5"/>
              </w:rPr>
            </w:pPr>
          </w:p>
        </w:tc>
        <w:tc>
          <w:tcPr>
            <w:tcW w:w="447" w:type="pct"/>
            <w:tcBorders>
              <w:top w:val="single" w:color="000000" w:sz="4" w:space="0"/>
              <w:left w:val="single" w:color="000000" w:sz="4" w:space="0"/>
              <w:bottom w:val="single" w:color="000000" w:sz="4" w:space="0"/>
              <w:right w:val="nil"/>
            </w:tcBorders>
            <w:shd w:val="clear" w:color="auto" w:fill="FFFFFF"/>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脱贫帮扶天数</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p>
        </w:tc>
        <w:tc>
          <w:tcPr>
            <w:tcW w:w="4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left"/>
              <w:textAlignment w:val="center"/>
              <w:rPr>
                <w:rFonts w:hint="eastAsia" w:ascii="宋体" w:hAnsi="宋体" w:cs="宋体"/>
                <w:color w:val="000000"/>
                <w:kern w:val="0"/>
                <w:sz w:val="18"/>
                <w:szCs w:val="18"/>
              </w:rPr>
            </w:pPr>
            <w:r>
              <w:rPr>
                <w:rFonts w:hint="default" w:ascii="宋体" w:hAnsi="宋体" w:cs="宋体"/>
                <w:color w:val="000000"/>
                <w:kern w:val="0"/>
                <w:sz w:val="18"/>
                <w:szCs w:val="18"/>
              </w:rPr>
              <w:t>≧</w:t>
            </w:r>
            <w:r>
              <w:rPr>
                <w:rFonts w:hint="eastAsia" w:ascii="宋体" w:hAnsi="宋体" w:cs="宋体"/>
                <w:color w:val="000000"/>
                <w:kern w:val="0"/>
                <w:sz w:val="18"/>
                <w:szCs w:val="18"/>
              </w:rPr>
              <w:t>1200</w:t>
            </w:r>
            <w:r>
              <w:rPr>
                <w:rFonts w:hint="default" w:ascii="宋体" w:hAnsi="宋体" w:cs="宋体"/>
                <w:color w:val="000000"/>
                <w:kern w:val="0"/>
                <w:sz w:val="18"/>
                <w:szCs w:val="18"/>
              </w:rPr>
              <w:t>天</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≧1300次</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p>
        </w:tc>
        <w:tc>
          <w:tcPr>
            <w:tcW w:w="10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365"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color w:val="000000"/>
                <w:sz w:val="20"/>
                <w:szCs w:val="20"/>
              </w:rPr>
            </w:pPr>
          </w:p>
        </w:tc>
        <w:tc>
          <w:tcPr>
            <w:tcW w:w="397" w:type="pct"/>
            <w:vMerge w:val="continue"/>
            <w:tcBorders>
              <w:top w:val="single" w:color="000000" w:sz="4" w:space="0"/>
              <w:left w:val="single" w:color="000000" w:sz="4" w:space="0"/>
              <w:bottom w:val="nil"/>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1030" w:type="pct"/>
            <w:vMerge w:val="continue"/>
            <w:tcBorders>
              <w:top w:val="single" w:color="000000" w:sz="4" w:space="0"/>
              <w:left w:val="single" w:color="000000" w:sz="4" w:space="0"/>
              <w:bottom w:val="nil"/>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447" w:type="pct"/>
            <w:tcBorders>
              <w:top w:val="single" w:color="000000" w:sz="4" w:space="0"/>
              <w:left w:val="single" w:color="000000" w:sz="4" w:space="0"/>
              <w:bottom w:val="single" w:color="000000" w:sz="4" w:space="0"/>
              <w:right w:val="nil"/>
            </w:tcBorders>
            <w:shd w:val="clear" w:color="auto" w:fill="FFFFFF"/>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购置办公设备数量</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p>
        </w:tc>
        <w:tc>
          <w:tcPr>
            <w:tcW w:w="4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≧2台</w:t>
            </w:r>
          </w:p>
        </w:tc>
        <w:tc>
          <w:tcPr>
            <w:tcW w:w="4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=2台</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p>
        </w:tc>
        <w:tc>
          <w:tcPr>
            <w:tcW w:w="10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72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color w:val="000000"/>
                <w:sz w:val="20"/>
                <w:szCs w:val="20"/>
              </w:rPr>
            </w:pPr>
          </w:p>
        </w:tc>
        <w:tc>
          <w:tcPr>
            <w:tcW w:w="397" w:type="pct"/>
            <w:vMerge w:val="continue"/>
            <w:tcBorders>
              <w:top w:val="single" w:color="000000" w:sz="4" w:space="0"/>
              <w:left w:val="single" w:color="000000" w:sz="4" w:space="0"/>
              <w:bottom w:val="nil"/>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10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质量指标</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宋体" w:hAnsi="宋体" w:cs="宋体"/>
                <w:color w:val="000000"/>
                <w:sz w:val="18"/>
                <w:szCs w:val="18"/>
              </w:rPr>
            </w:pPr>
            <w:r>
              <w:rPr>
                <w:rFonts w:hint="eastAsia" w:ascii="宋体" w:hAnsi="宋体" w:cs="宋体"/>
                <w:color w:val="000000"/>
                <w:kern w:val="0"/>
                <w:sz w:val="18"/>
                <w:szCs w:val="18"/>
              </w:rPr>
              <w:t>工资福利、运转、民生保障率</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10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rPr>
                <w:rFonts w:ascii="宋体" w:hAnsi="宋体" w:cs="宋体"/>
                <w:color w:val="000000"/>
                <w:sz w:val="18"/>
                <w:szCs w:val="18"/>
              </w:rPr>
            </w:pPr>
          </w:p>
        </w:tc>
      </w:tr>
      <w:tr>
        <w:tblPrEx>
          <w:tblCellMar>
            <w:top w:w="0" w:type="dxa"/>
            <w:left w:w="108" w:type="dxa"/>
            <w:bottom w:w="0" w:type="dxa"/>
            <w:right w:w="108" w:type="dxa"/>
          </w:tblCellMar>
        </w:tblPrEx>
        <w:trPr>
          <w:trHeight w:val="48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color w:val="000000"/>
                <w:sz w:val="20"/>
                <w:szCs w:val="20"/>
              </w:rPr>
            </w:pPr>
          </w:p>
        </w:tc>
        <w:tc>
          <w:tcPr>
            <w:tcW w:w="397" w:type="pct"/>
            <w:vMerge w:val="continue"/>
            <w:tcBorders>
              <w:top w:val="single" w:color="000000" w:sz="4" w:space="0"/>
              <w:left w:val="single" w:color="000000" w:sz="4" w:space="0"/>
              <w:bottom w:val="nil"/>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10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447" w:type="pct"/>
            <w:tcBorders>
              <w:top w:val="single" w:color="000000" w:sz="4" w:space="0"/>
              <w:left w:val="single" w:color="000000" w:sz="4" w:space="0"/>
              <w:bottom w:val="single" w:color="000000" w:sz="4" w:space="0"/>
              <w:right w:val="nil"/>
            </w:tcBorders>
            <w:shd w:val="clear" w:color="auto" w:fill="auto"/>
            <w:vAlign w:val="center"/>
          </w:tcPr>
          <w:p>
            <w:pPr>
              <w:widowControl/>
              <w:spacing w:line="260" w:lineRule="exact"/>
              <w:jc w:val="left"/>
              <w:textAlignment w:val="center"/>
              <w:rPr>
                <w:rFonts w:ascii="宋体" w:hAnsi="宋体" w:cs="宋体"/>
                <w:color w:val="000000"/>
                <w:sz w:val="18"/>
                <w:szCs w:val="18"/>
              </w:rPr>
            </w:pPr>
            <w:r>
              <w:rPr>
                <w:rFonts w:hint="eastAsia" w:ascii="宋体" w:hAnsi="宋体" w:cs="宋体"/>
                <w:color w:val="000000"/>
                <w:kern w:val="0"/>
                <w:sz w:val="18"/>
                <w:szCs w:val="18"/>
              </w:rPr>
              <w:t>“三公”经费下降率</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10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rPr>
                <w:rFonts w:ascii="宋体" w:hAnsi="宋体" w:cs="宋体"/>
                <w:color w:val="000000"/>
                <w:sz w:val="18"/>
                <w:szCs w:val="18"/>
              </w:rPr>
            </w:pPr>
          </w:p>
        </w:tc>
      </w:tr>
      <w:tr>
        <w:tblPrEx>
          <w:tblCellMar>
            <w:top w:w="0" w:type="dxa"/>
            <w:left w:w="108" w:type="dxa"/>
            <w:bottom w:w="0" w:type="dxa"/>
            <w:right w:w="108" w:type="dxa"/>
          </w:tblCellMar>
        </w:tblPrEx>
        <w:trPr>
          <w:trHeight w:val="72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color w:val="000000"/>
                <w:sz w:val="20"/>
                <w:szCs w:val="20"/>
              </w:rPr>
            </w:pPr>
          </w:p>
        </w:tc>
        <w:tc>
          <w:tcPr>
            <w:tcW w:w="397" w:type="pct"/>
            <w:vMerge w:val="continue"/>
            <w:tcBorders>
              <w:top w:val="single" w:color="000000" w:sz="4" w:space="0"/>
              <w:left w:val="single" w:color="000000" w:sz="4" w:space="0"/>
              <w:bottom w:val="nil"/>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10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447" w:type="pct"/>
            <w:tcBorders>
              <w:top w:val="single" w:color="000000" w:sz="4" w:space="0"/>
              <w:left w:val="single" w:color="000000" w:sz="4" w:space="0"/>
              <w:bottom w:val="single" w:color="000000" w:sz="4" w:space="0"/>
              <w:right w:val="nil"/>
            </w:tcBorders>
            <w:shd w:val="clear" w:color="auto" w:fill="auto"/>
            <w:vAlign w:val="center"/>
          </w:tcPr>
          <w:p>
            <w:pPr>
              <w:widowControl/>
              <w:spacing w:line="260" w:lineRule="exact"/>
              <w:jc w:val="left"/>
              <w:textAlignment w:val="center"/>
              <w:rPr>
                <w:rFonts w:ascii="宋体" w:hAnsi="宋体" w:cs="宋体"/>
                <w:color w:val="000000"/>
                <w:sz w:val="18"/>
                <w:szCs w:val="18"/>
              </w:rPr>
            </w:pPr>
            <w:r>
              <w:rPr>
                <w:rFonts w:hint="eastAsia" w:ascii="宋体" w:hAnsi="宋体" w:cs="宋体"/>
                <w:color w:val="000000"/>
                <w:kern w:val="0"/>
                <w:sz w:val="18"/>
                <w:szCs w:val="18"/>
              </w:rPr>
              <w:t>巩固脱贫成效工作任务完成率</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Style w:val="34"/>
                <w:rFonts w:hint="default"/>
                <w:sz w:val="18"/>
                <w:szCs w:val="18"/>
              </w:rPr>
              <w:t>≥99</w:t>
            </w:r>
            <w:r>
              <w:rPr>
                <w:rStyle w:val="36"/>
                <w:sz w:val="18"/>
                <w:szCs w:val="18"/>
              </w:rPr>
              <w:t>%</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10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r>
      <w:tr>
        <w:tblPrEx>
          <w:tblCellMar>
            <w:top w:w="0" w:type="dxa"/>
            <w:left w:w="108" w:type="dxa"/>
            <w:bottom w:w="0" w:type="dxa"/>
            <w:right w:w="108" w:type="dxa"/>
          </w:tblCellMar>
        </w:tblPrEx>
        <w:trPr>
          <w:trHeight w:val="585"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color w:val="000000"/>
                <w:sz w:val="20"/>
                <w:szCs w:val="20"/>
              </w:rPr>
            </w:pPr>
          </w:p>
        </w:tc>
        <w:tc>
          <w:tcPr>
            <w:tcW w:w="397" w:type="pct"/>
            <w:vMerge w:val="continue"/>
            <w:tcBorders>
              <w:top w:val="single" w:color="000000" w:sz="4" w:space="0"/>
              <w:left w:val="single" w:color="000000" w:sz="4" w:space="0"/>
              <w:bottom w:val="nil"/>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10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时效指标</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宋体" w:hAnsi="宋体" w:cs="宋体"/>
                <w:color w:val="000000"/>
                <w:sz w:val="18"/>
                <w:szCs w:val="18"/>
                <w:u w:val="thick" w:color="4B6EE0"/>
                <w:shd w:val="clear" w:fill="E8EBF5"/>
              </w:rPr>
            </w:pPr>
            <w:r>
              <w:rPr>
                <w:rFonts w:hint="eastAsia" w:ascii="宋体" w:hAnsi="宋体" w:cs="宋体"/>
                <w:color w:val="000000"/>
                <w:kern w:val="0"/>
                <w:sz w:val="18"/>
                <w:szCs w:val="18"/>
              </w:rPr>
              <w:t>工资福利发放及时</w:t>
            </w:r>
            <w:r>
              <w:rPr>
                <w:rFonts w:hint="eastAsia" w:ascii="宋体" w:hAnsi="宋体" w:cs="宋体"/>
                <w:color w:val="000000"/>
                <w:kern w:val="0"/>
                <w:sz w:val="18"/>
                <w:szCs w:val="18"/>
                <w:u w:val="thick" w:color="4B6EE0"/>
                <w:shd w:val="clear" w:fill="E8EBF5"/>
              </w:rPr>
              <w:t>率</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u w:val="thick" w:color="4B6EE0"/>
                <w:shd w:val="clear" w:fill="E8EBF5"/>
              </w:rPr>
            </w:pPr>
            <w:r>
              <w:rPr>
                <w:rFonts w:hint="eastAsia" w:ascii="宋体" w:hAnsi="宋体" w:cs="宋体"/>
                <w:color w:val="000000"/>
                <w:kern w:val="0"/>
                <w:sz w:val="18"/>
                <w:szCs w:val="18"/>
                <w:u w:val="thick" w:color="4B6EE0"/>
                <w:shd w:val="clear" w:fill="E8EBF5"/>
              </w:rPr>
              <w:t>5</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10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rPr>
                <w:rFonts w:ascii="宋体" w:hAnsi="宋体" w:cs="宋体"/>
                <w:color w:val="000000"/>
                <w:sz w:val="18"/>
                <w:szCs w:val="18"/>
              </w:rPr>
            </w:pPr>
          </w:p>
        </w:tc>
      </w:tr>
      <w:tr>
        <w:tblPrEx>
          <w:tblCellMar>
            <w:top w:w="0" w:type="dxa"/>
            <w:left w:w="108" w:type="dxa"/>
            <w:bottom w:w="0" w:type="dxa"/>
            <w:right w:w="108" w:type="dxa"/>
          </w:tblCellMar>
        </w:tblPrEx>
        <w:trPr>
          <w:trHeight w:val="50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color w:val="000000"/>
                <w:sz w:val="20"/>
                <w:szCs w:val="20"/>
              </w:rPr>
            </w:pPr>
          </w:p>
        </w:tc>
        <w:tc>
          <w:tcPr>
            <w:tcW w:w="397" w:type="pct"/>
            <w:vMerge w:val="continue"/>
            <w:tcBorders>
              <w:top w:val="single" w:color="000000" w:sz="4" w:space="0"/>
              <w:left w:val="single" w:color="000000" w:sz="4" w:space="0"/>
              <w:bottom w:val="nil"/>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10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宋体" w:hAnsi="宋体" w:cs="宋体"/>
                <w:color w:val="000000"/>
                <w:sz w:val="18"/>
                <w:szCs w:val="18"/>
              </w:rPr>
            </w:pPr>
            <w:r>
              <w:rPr>
                <w:rFonts w:hint="eastAsia" w:ascii="宋体" w:hAnsi="宋体" w:cs="宋体"/>
                <w:color w:val="000000"/>
                <w:kern w:val="0"/>
                <w:sz w:val="18"/>
                <w:szCs w:val="18"/>
              </w:rPr>
              <w:t>保证机关正常运转</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每年</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u w:val="thick" w:color="4B6EE0"/>
                <w:shd w:val="clear" w:fill="E8EBF5"/>
              </w:rPr>
            </w:pPr>
            <w:r>
              <w:rPr>
                <w:rFonts w:hint="eastAsia" w:ascii="宋体" w:hAnsi="宋体" w:cs="宋体"/>
                <w:color w:val="000000"/>
                <w:kern w:val="0"/>
                <w:sz w:val="18"/>
                <w:szCs w:val="18"/>
              </w:rPr>
              <w:t>每年</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u w:val="thick" w:color="4B6EE0"/>
                <w:shd w:val="clear" w:fill="E8EBF5"/>
              </w:rPr>
            </w:pPr>
            <w:r>
              <w:rPr>
                <w:rFonts w:hint="eastAsia" w:ascii="宋体" w:hAnsi="宋体" w:cs="宋体"/>
                <w:color w:val="000000"/>
                <w:kern w:val="0"/>
                <w:sz w:val="18"/>
                <w:szCs w:val="18"/>
                <w:u w:val="thick" w:color="4B6EE0"/>
                <w:shd w:val="clear" w:fill="E8EBF5"/>
              </w:rPr>
              <w:t>5</w:t>
            </w:r>
          </w:p>
        </w:tc>
        <w:tc>
          <w:tcPr>
            <w:tcW w:w="10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rPr>
                <w:rFonts w:ascii="宋体" w:hAnsi="宋体" w:cs="宋体"/>
                <w:color w:val="000000"/>
                <w:sz w:val="18"/>
                <w:szCs w:val="18"/>
                <w:u w:val="thick" w:color="4B6EE0"/>
                <w:shd w:val="clear" w:fill="E8EBF5"/>
              </w:rPr>
            </w:pPr>
          </w:p>
        </w:tc>
      </w:tr>
      <w:tr>
        <w:tblPrEx>
          <w:tblCellMar>
            <w:top w:w="0" w:type="dxa"/>
            <w:left w:w="108" w:type="dxa"/>
            <w:bottom w:w="0" w:type="dxa"/>
            <w:right w:w="108" w:type="dxa"/>
          </w:tblCellMar>
        </w:tblPrEx>
        <w:trPr>
          <w:trHeight w:val="385"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color w:val="000000"/>
                <w:sz w:val="20"/>
                <w:szCs w:val="20"/>
              </w:rPr>
            </w:pPr>
          </w:p>
        </w:tc>
        <w:tc>
          <w:tcPr>
            <w:tcW w:w="397" w:type="pct"/>
            <w:vMerge w:val="continue"/>
            <w:tcBorders>
              <w:top w:val="single" w:color="000000" w:sz="4" w:space="0"/>
              <w:left w:val="single" w:color="000000" w:sz="4" w:space="0"/>
              <w:bottom w:val="nil"/>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1030" w:type="pct"/>
            <w:tcBorders>
              <w:top w:val="single" w:color="000000" w:sz="4" w:space="0"/>
              <w:left w:val="single" w:color="000000" w:sz="4" w:space="0"/>
              <w:bottom w:val="nil"/>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成本指标</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驻村工作支出</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≤2.2万元</w:t>
            </w:r>
          </w:p>
        </w:tc>
        <w:tc>
          <w:tcPr>
            <w:tcW w:w="4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=2.2万元</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u w:val="thick" w:color="4B6EE0"/>
                <w:shd w:val="clear" w:fill="E8EBF5"/>
              </w:rPr>
            </w:pPr>
            <w:r>
              <w:rPr>
                <w:rFonts w:hint="eastAsia" w:ascii="宋体" w:hAnsi="宋体" w:cs="宋体"/>
                <w:color w:val="000000"/>
                <w:kern w:val="0"/>
                <w:sz w:val="18"/>
                <w:szCs w:val="18"/>
                <w:u w:val="none" w:color="000000"/>
                <w:shd w:val="clear" w:fill="auto"/>
              </w:rPr>
              <w:t>5</w:t>
            </w:r>
          </w:p>
        </w:tc>
        <w:tc>
          <w:tcPr>
            <w:tcW w:w="10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rPr>
                <w:rFonts w:ascii="宋体" w:hAnsi="宋体" w:cs="宋体"/>
                <w:color w:val="000000"/>
                <w:sz w:val="18"/>
                <w:szCs w:val="18"/>
                <w:u w:val="thick" w:color="4B6EE0"/>
                <w:shd w:val="clear" w:fill="E8EBF5"/>
              </w:rPr>
            </w:pPr>
          </w:p>
        </w:tc>
      </w:tr>
      <w:tr>
        <w:tblPrEx>
          <w:tblCellMar>
            <w:top w:w="0" w:type="dxa"/>
            <w:left w:w="108" w:type="dxa"/>
            <w:bottom w:w="0" w:type="dxa"/>
            <w:right w:w="108" w:type="dxa"/>
          </w:tblCellMar>
        </w:tblPrEx>
        <w:trPr>
          <w:trHeight w:val="96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color w:val="000000"/>
                <w:sz w:val="20"/>
                <w:szCs w:val="20"/>
                <w:u w:val="thick" w:color="4B6EE0"/>
                <w:shd w:val="clear" w:fill="E8EBF5"/>
              </w:rPr>
            </w:pPr>
          </w:p>
        </w:tc>
        <w:tc>
          <w:tcPr>
            <w:tcW w:w="3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kern w:val="0"/>
                <w:sz w:val="18"/>
                <w:szCs w:val="18"/>
                <w:u w:val="none" w:color="000000"/>
                <w:shd w:val="clear" w:fill="auto"/>
              </w:rPr>
            </w:pPr>
            <w:r>
              <w:rPr>
                <w:rFonts w:hint="eastAsia" w:ascii="宋体" w:hAnsi="宋体" w:cs="宋体"/>
                <w:color w:val="000000"/>
                <w:kern w:val="0"/>
                <w:sz w:val="18"/>
                <w:szCs w:val="18"/>
                <w:u w:val="thick" w:color="4B6EE0"/>
                <w:shd w:val="clear" w:fill="E8EBF5"/>
              </w:rPr>
              <w:t>效</w:t>
            </w:r>
          </w:p>
          <w:p>
            <w:pPr>
              <w:widowControl/>
              <w:spacing w:line="260" w:lineRule="exact"/>
              <w:jc w:val="center"/>
              <w:textAlignment w:val="center"/>
              <w:rPr>
                <w:rFonts w:ascii="宋体" w:hAnsi="宋体" w:cs="宋体"/>
                <w:color w:val="000000"/>
                <w:kern w:val="0"/>
                <w:sz w:val="18"/>
                <w:szCs w:val="18"/>
                <w:u w:val="none" w:color="000000"/>
                <w:shd w:val="clear" w:fill="auto"/>
              </w:rPr>
            </w:pPr>
            <w:r>
              <w:rPr>
                <w:rFonts w:hint="eastAsia" w:ascii="宋体" w:hAnsi="宋体" w:cs="宋体"/>
                <w:color w:val="000000"/>
                <w:kern w:val="0"/>
                <w:sz w:val="18"/>
                <w:szCs w:val="18"/>
                <w:u w:val="none" w:color="000000"/>
                <w:shd w:val="clear" w:fill="auto"/>
              </w:rPr>
              <w:t>益</w:t>
            </w:r>
          </w:p>
          <w:p>
            <w:pPr>
              <w:widowControl/>
              <w:spacing w:line="260" w:lineRule="exact"/>
              <w:jc w:val="center"/>
              <w:textAlignment w:val="center"/>
              <w:rPr>
                <w:rFonts w:ascii="宋体" w:hAnsi="宋体" w:cs="宋体"/>
                <w:color w:val="000000"/>
                <w:kern w:val="0"/>
                <w:sz w:val="18"/>
                <w:szCs w:val="18"/>
                <w:u w:val="thick" w:color="4B6EE0"/>
                <w:shd w:val="clear" w:fill="E8EBF5"/>
              </w:rPr>
            </w:pPr>
            <w:r>
              <w:rPr>
                <w:rFonts w:hint="eastAsia" w:ascii="宋体" w:hAnsi="宋体" w:cs="宋体"/>
                <w:color w:val="000000"/>
                <w:kern w:val="0"/>
                <w:sz w:val="18"/>
                <w:szCs w:val="18"/>
                <w:u w:val="thick" w:color="4B6EE0"/>
                <w:shd w:val="clear" w:fill="E8EBF5"/>
              </w:rPr>
              <w:t>指</w:t>
            </w:r>
          </w:p>
          <w:p>
            <w:pPr>
              <w:widowControl/>
              <w:spacing w:line="260" w:lineRule="exact"/>
              <w:jc w:val="center"/>
              <w:textAlignment w:val="center"/>
              <w:rPr>
                <w:rFonts w:ascii="宋体" w:hAnsi="宋体" w:cs="宋体"/>
                <w:color w:val="000000"/>
                <w:kern w:val="0"/>
                <w:sz w:val="18"/>
                <w:szCs w:val="18"/>
                <w:u w:val="thick" w:color="4B6EE0"/>
                <w:shd w:val="clear" w:fill="E8EBF5"/>
              </w:rPr>
            </w:pPr>
            <w:r>
              <w:rPr>
                <w:rFonts w:hint="eastAsia" w:ascii="宋体" w:hAnsi="宋体" w:cs="宋体"/>
                <w:color w:val="000000"/>
                <w:kern w:val="0"/>
                <w:sz w:val="18"/>
                <w:szCs w:val="18"/>
              </w:rPr>
              <w:t>标</w:t>
            </w:r>
          </w:p>
          <w:p>
            <w:pPr>
              <w:widowControl/>
              <w:spacing w:line="260" w:lineRule="exact"/>
              <w:jc w:val="center"/>
              <w:textAlignment w:val="center"/>
              <w:rPr>
                <w:rFonts w:ascii="宋体" w:hAnsi="宋体" w:cs="宋体"/>
                <w:color w:val="000000"/>
                <w:sz w:val="18"/>
                <w:szCs w:val="18"/>
              </w:rPr>
            </w:pPr>
            <w:r>
              <w:rPr>
                <w:u w:val="thick" w:color="4B6EE0"/>
                <w:shd w:val="clear" w:fill="E8EBF5"/>
              </w:rPr>
              <w:t>（</w:t>
            </w:r>
            <w:r>
              <w:rPr>
                <w:rFonts w:hint="eastAsia" w:ascii="宋体" w:hAnsi="宋体" w:cs="宋体"/>
                <w:color w:val="000000"/>
                <w:kern w:val="0"/>
                <w:sz w:val="18"/>
                <w:szCs w:val="18"/>
                <w:u w:val="thick" w:color="4B6EE0"/>
                <w:shd w:val="clear" w:fill="E8EBF5"/>
              </w:rPr>
              <w:t>30分</w:t>
            </w:r>
            <w:r>
              <w:rPr>
                <w:rFonts w:hint="eastAsia" w:ascii="宋体" w:hAnsi="宋体" w:cs="宋体"/>
                <w:color w:val="000000"/>
                <w:kern w:val="0"/>
                <w:sz w:val="18"/>
                <w:szCs w:val="18"/>
              </w:rPr>
              <w:t>）</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社会效益</w:t>
            </w:r>
          </w:p>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指</w:t>
            </w:r>
            <w:r>
              <w:rPr>
                <w:rFonts w:hint="eastAsia" w:ascii="宋体" w:hAnsi="宋体" w:cs="宋体"/>
                <w:color w:val="000000"/>
                <w:kern w:val="0"/>
                <w:sz w:val="18"/>
                <w:szCs w:val="18"/>
              </w:rPr>
              <w:t>标</w:t>
            </w:r>
          </w:p>
        </w:tc>
        <w:tc>
          <w:tcPr>
            <w:tcW w:w="447" w:type="pct"/>
            <w:tcBorders>
              <w:top w:val="single" w:color="000000" w:sz="4" w:space="0"/>
              <w:left w:val="single" w:color="000000" w:sz="4" w:space="0"/>
              <w:bottom w:val="nil"/>
              <w:right w:val="nil"/>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驻村工作带动脱贫户持续增收，巩固脱贫成果</w:t>
            </w:r>
            <w:r>
              <w:rPr>
                <w:rFonts w:hint="eastAsia" w:ascii="宋体" w:hAnsi="宋体" w:cs="宋体"/>
                <w:color w:val="000000"/>
                <w:kern w:val="0"/>
                <w:sz w:val="18"/>
                <w:szCs w:val="18"/>
              </w:rPr>
              <w:t>。</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8</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default" w:ascii="宋体" w:hAnsi="宋体" w:cs="宋体"/>
                <w:color w:val="000000"/>
                <w:kern w:val="0"/>
                <w:sz w:val="18"/>
                <w:szCs w:val="18"/>
              </w:rPr>
              <w:t>≥95</w:t>
            </w:r>
            <w:r>
              <w:rPr>
                <w:rFonts w:hint="eastAsia" w:ascii="宋体" w:hAnsi="宋体" w:cs="宋体"/>
                <w:color w:val="000000"/>
                <w:kern w:val="0"/>
                <w:sz w:val="18"/>
                <w:szCs w:val="18"/>
              </w:rPr>
              <w:t>%</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default" w:ascii="宋体" w:hAnsi="宋体" w:cs="宋体"/>
                <w:color w:val="000000"/>
                <w:kern w:val="0"/>
                <w:sz w:val="18"/>
                <w:szCs w:val="18"/>
              </w:rPr>
              <w:t>≥90</w:t>
            </w:r>
            <w:r>
              <w:rPr>
                <w:rFonts w:hint="eastAsia" w:ascii="宋体" w:hAnsi="宋体" w:cs="宋体"/>
                <w:color w:val="000000"/>
                <w:kern w:val="0"/>
                <w:sz w:val="18"/>
                <w:szCs w:val="18"/>
              </w:rPr>
              <w:t>%</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10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宋体" w:hAnsi="宋体" w:cs="宋体"/>
                <w:color w:val="000000"/>
                <w:sz w:val="18"/>
                <w:szCs w:val="18"/>
                <w:u w:val="none" w:color="000000"/>
                <w:shd w:val="clear" w:fill="auto"/>
              </w:rPr>
            </w:pPr>
            <w:r>
              <w:rPr>
                <w:rFonts w:hint="eastAsia" w:ascii="宋体" w:hAnsi="宋体" w:cs="宋体"/>
                <w:color w:val="000000"/>
                <w:kern w:val="0"/>
                <w:sz w:val="18"/>
                <w:szCs w:val="18"/>
              </w:rPr>
              <w:t>因疫情影响，收入较去年有减少</w:t>
            </w:r>
            <w:r>
              <w:t>。</w:t>
            </w:r>
          </w:p>
        </w:tc>
      </w:tr>
      <w:tr>
        <w:tblPrEx>
          <w:tblCellMar>
            <w:top w:w="0" w:type="dxa"/>
            <w:left w:w="108" w:type="dxa"/>
            <w:bottom w:w="0" w:type="dxa"/>
            <w:right w:w="108" w:type="dxa"/>
          </w:tblCellMar>
        </w:tblPrEx>
        <w:trPr>
          <w:trHeight w:val="27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color w:val="000000"/>
                <w:sz w:val="20"/>
                <w:szCs w:val="20"/>
                <w:u w:val="none" w:color="000000"/>
                <w:shd w:val="clear" w:fill="auto"/>
              </w:rPr>
            </w:pPr>
          </w:p>
        </w:tc>
        <w:tc>
          <w:tcPr>
            <w:tcW w:w="3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u w:val="none" w:color="000000"/>
                <w:shd w:val="clear" w:fill="auto"/>
              </w:rPr>
            </w:pPr>
          </w:p>
        </w:tc>
        <w:tc>
          <w:tcPr>
            <w:tcW w:w="10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生态效</w:t>
            </w:r>
            <w:r>
              <w:rPr>
                <w:rFonts w:hint="eastAsia" w:ascii="宋体" w:hAnsi="宋体" w:cs="宋体"/>
                <w:color w:val="000000"/>
                <w:kern w:val="0"/>
                <w:sz w:val="18"/>
                <w:szCs w:val="18"/>
              </w:rPr>
              <w:t>益</w:t>
            </w:r>
          </w:p>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指标</w:t>
            </w:r>
          </w:p>
        </w:tc>
        <w:tc>
          <w:tcPr>
            <w:tcW w:w="447" w:type="pct"/>
            <w:tcBorders>
              <w:top w:val="single" w:color="000000" w:sz="4" w:space="0"/>
              <w:left w:val="single" w:color="000000" w:sz="4" w:space="0"/>
              <w:bottom w:val="nil"/>
              <w:right w:val="nil"/>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能耗下降率</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6</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≥13%</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6</w:t>
            </w:r>
          </w:p>
        </w:tc>
        <w:tc>
          <w:tcPr>
            <w:tcW w:w="10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48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color w:val="000000"/>
                <w:sz w:val="20"/>
                <w:szCs w:val="20"/>
                <w:u w:val="thick" w:color="4B6EE0"/>
                <w:shd w:val="clear" w:fill="E8EBF5"/>
              </w:rPr>
            </w:pPr>
          </w:p>
        </w:tc>
        <w:tc>
          <w:tcPr>
            <w:tcW w:w="3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u w:val="thick" w:color="4B6EE0"/>
                <w:shd w:val="clear" w:fill="E8EBF5"/>
              </w:rPr>
            </w:pPr>
          </w:p>
        </w:tc>
        <w:tc>
          <w:tcPr>
            <w:tcW w:w="10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p>
        </w:tc>
        <w:tc>
          <w:tcPr>
            <w:tcW w:w="447" w:type="pct"/>
            <w:tcBorders>
              <w:top w:val="single" w:color="000000" w:sz="4" w:space="0"/>
              <w:left w:val="single" w:color="000000" w:sz="4" w:space="0"/>
              <w:bottom w:val="nil"/>
              <w:right w:val="nil"/>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水电能源节约率</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6</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≥4%</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p>
        </w:tc>
        <w:tc>
          <w:tcPr>
            <w:tcW w:w="10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设备陈</w:t>
            </w:r>
            <w:r>
              <w:rPr>
                <w:rFonts w:hint="eastAsia" w:ascii="宋体" w:hAnsi="宋体" w:cs="宋体"/>
                <w:color w:val="000000"/>
                <w:kern w:val="0"/>
                <w:sz w:val="18"/>
                <w:szCs w:val="18"/>
              </w:rPr>
              <w:t>旧、电路老化</w:t>
            </w:r>
          </w:p>
        </w:tc>
      </w:tr>
      <w:tr>
        <w:tblPrEx>
          <w:tblCellMar>
            <w:top w:w="0" w:type="dxa"/>
            <w:left w:w="108" w:type="dxa"/>
            <w:bottom w:w="0" w:type="dxa"/>
            <w:right w:w="108" w:type="dxa"/>
          </w:tblCellMar>
        </w:tblPrEx>
        <w:trPr>
          <w:trHeight w:val="48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color w:val="000000"/>
                <w:sz w:val="20"/>
                <w:szCs w:val="20"/>
              </w:rPr>
            </w:pPr>
          </w:p>
        </w:tc>
        <w:tc>
          <w:tcPr>
            <w:tcW w:w="3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可持续影响指标</w:t>
            </w:r>
          </w:p>
        </w:tc>
        <w:tc>
          <w:tcPr>
            <w:tcW w:w="447" w:type="pct"/>
            <w:tcBorders>
              <w:top w:val="single" w:color="000000" w:sz="4" w:space="0"/>
              <w:left w:val="single" w:color="000000" w:sz="4" w:space="0"/>
              <w:bottom w:val="single" w:color="000000" w:sz="4" w:space="0"/>
              <w:right w:val="nil"/>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项目持续发</w:t>
            </w:r>
            <w:r>
              <w:rPr>
                <w:rFonts w:hint="eastAsia" w:ascii="宋体" w:hAnsi="宋体" w:cs="宋体"/>
                <w:color w:val="000000"/>
                <w:kern w:val="0"/>
                <w:sz w:val="18"/>
                <w:szCs w:val="18"/>
              </w:rPr>
              <w:t>挥作用的期限</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=长期</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=长期</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10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48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color w:val="000000"/>
                <w:sz w:val="20"/>
                <w:szCs w:val="20"/>
                <w:u w:val="none" w:color="000000"/>
                <w:shd w:val="clear" w:fill="auto"/>
              </w:rPr>
            </w:pPr>
          </w:p>
        </w:tc>
        <w:tc>
          <w:tcPr>
            <w:tcW w:w="3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color w:val="000000"/>
                <w:kern w:val="0"/>
                <w:sz w:val="18"/>
                <w:szCs w:val="18"/>
                <w:u w:val="thick" w:color="4B6EE0"/>
                <w:shd w:val="clear" w:fill="E8EBF5"/>
              </w:rPr>
            </w:pPr>
            <w:r>
              <w:rPr>
                <w:rFonts w:hint="eastAsia" w:ascii="宋体" w:hAnsi="宋体" w:cs="宋体"/>
                <w:color w:val="000000"/>
                <w:kern w:val="0"/>
                <w:sz w:val="18"/>
                <w:szCs w:val="18"/>
                <w:u w:val="none" w:color="000000"/>
                <w:shd w:val="clear" w:fill="auto"/>
              </w:rPr>
              <w:t>满意</w:t>
            </w:r>
            <w:r>
              <w:rPr>
                <w:rFonts w:hint="eastAsia" w:ascii="宋体" w:hAnsi="宋体" w:cs="宋体"/>
                <w:color w:val="000000"/>
                <w:kern w:val="0"/>
                <w:sz w:val="18"/>
                <w:szCs w:val="18"/>
                <w:u w:val="thick" w:color="4B6EE0"/>
                <w:shd w:val="clear" w:fill="E8EBF5"/>
              </w:rPr>
              <w:t>度指标</w:t>
            </w:r>
          </w:p>
          <w:p>
            <w:pPr>
              <w:widowControl/>
              <w:spacing w:line="260" w:lineRule="exact"/>
              <w:jc w:val="center"/>
              <w:textAlignment w:val="center"/>
              <w:rPr>
                <w:rFonts w:ascii="宋体" w:hAnsi="宋体" w:cs="宋体"/>
                <w:color w:val="000000"/>
                <w:sz w:val="18"/>
                <w:szCs w:val="18"/>
                <w:u w:val="none" w:color="000000"/>
                <w:shd w:val="clear" w:fill="auto"/>
              </w:rPr>
            </w:pPr>
            <w:r>
              <w:rPr>
                <w:u w:val="thick" w:color="4B6EE0"/>
                <w:shd w:val="clear" w:fill="E8EBF5"/>
              </w:rPr>
              <w:t>（</w:t>
            </w:r>
            <w:r>
              <w:rPr>
                <w:rFonts w:hint="eastAsia" w:ascii="宋体" w:hAnsi="宋体" w:cs="宋体"/>
                <w:color w:val="000000"/>
                <w:kern w:val="0"/>
                <w:sz w:val="18"/>
                <w:szCs w:val="18"/>
                <w:u w:val="none" w:color="000000"/>
                <w:shd w:val="clear" w:fill="auto"/>
              </w:rPr>
              <w:t>10</w:t>
            </w:r>
            <w:r>
              <w:rPr>
                <w:rFonts w:hint="eastAsia" w:ascii="宋体" w:hAnsi="宋体" w:cs="宋体"/>
                <w:color w:val="000000"/>
                <w:kern w:val="0"/>
                <w:sz w:val="18"/>
                <w:szCs w:val="18"/>
                <w:u w:val="thick" w:color="4B6EE0"/>
                <w:shd w:val="clear" w:fill="E8EBF5"/>
              </w:rPr>
              <w:t>分</w:t>
            </w:r>
            <w:r>
              <w:rPr>
                <w:rFonts w:hint="eastAsia" w:ascii="宋体" w:hAnsi="宋体" w:cs="宋体"/>
                <w:color w:val="000000"/>
                <w:kern w:val="0"/>
                <w:sz w:val="18"/>
                <w:szCs w:val="18"/>
                <w:u w:val="none" w:color="000000"/>
                <w:shd w:val="clear" w:fill="auto"/>
              </w:rPr>
              <w:t>）</w:t>
            </w:r>
          </w:p>
        </w:tc>
        <w:tc>
          <w:tcPr>
            <w:tcW w:w="10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服务对象</w:t>
            </w:r>
          </w:p>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满意度指标</w:t>
            </w:r>
          </w:p>
        </w:tc>
        <w:tc>
          <w:tcPr>
            <w:tcW w:w="447" w:type="pct"/>
            <w:tcBorders>
              <w:top w:val="single" w:color="000000" w:sz="4" w:space="0"/>
              <w:left w:val="single" w:color="000000" w:sz="4" w:space="0"/>
              <w:bottom w:val="nil"/>
              <w:right w:val="nil"/>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建档贫困户满意度</w:t>
            </w:r>
          </w:p>
        </w:tc>
        <w:tc>
          <w:tcPr>
            <w:tcW w:w="498" w:type="pct"/>
            <w:tcBorders>
              <w:top w:val="single" w:color="000000" w:sz="4" w:space="0"/>
              <w:left w:val="single" w:color="000000" w:sz="4" w:space="0"/>
              <w:bottom w:val="nil"/>
              <w:right w:val="nil"/>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p>
        </w:tc>
        <w:tc>
          <w:tcPr>
            <w:tcW w:w="454" w:type="pct"/>
            <w:tcBorders>
              <w:top w:val="single" w:color="000000" w:sz="4" w:space="0"/>
              <w:left w:val="single" w:color="000000" w:sz="4" w:space="0"/>
              <w:bottom w:val="nil"/>
              <w:right w:val="nil"/>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default" w:ascii="宋体" w:hAnsi="宋体" w:cs="宋体"/>
                <w:color w:val="000000"/>
                <w:kern w:val="0"/>
                <w:sz w:val="18"/>
                <w:szCs w:val="18"/>
              </w:rPr>
              <w:t>≥95%</w:t>
            </w:r>
          </w:p>
        </w:tc>
        <w:tc>
          <w:tcPr>
            <w:tcW w:w="425" w:type="pct"/>
            <w:tcBorders>
              <w:top w:val="single" w:color="000000" w:sz="4" w:space="0"/>
              <w:left w:val="single" w:color="000000" w:sz="4" w:space="0"/>
              <w:bottom w:val="nil"/>
              <w:right w:val="nil"/>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default" w:ascii="宋体" w:hAnsi="宋体" w:cs="宋体"/>
                <w:color w:val="000000"/>
                <w:kern w:val="0"/>
                <w:sz w:val="18"/>
                <w:szCs w:val="18"/>
              </w:rPr>
              <w:t>=100%</w:t>
            </w:r>
          </w:p>
        </w:tc>
        <w:tc>
          <w:tcPr>
            <w:tcW w:w="452" w:type="pct"/>
            <w:tcBorders>
              <w:top w:val="single" w:color="000000" w:sz="4" w:space="0"/>
              <w:left w:val="single" w:color="000000" w:sz="4" w:space="0"/>
              <w:bottom w:val="nil"/>
              <w:right w:val="nil"/>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p>
        </w:tc>
        <w:tc>
          <w:tcPr>
            <w:tcW w:w="10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74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color w:val="000000"/>
                <w:sz w:val="20"/>
                <w:szCs w:val="20"/>
                <w:u w:val="thick" w:color="4B6EE0"/>
                <w:shd w:val="clear" w:fill="E8EBF5"/>
              </w:rPr>
            </w:pPr>
          </w:p>
        </w:tc>
        <w:tc>
          <w:tcPr>
            <w:tcW w:w="3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u w:val="thick" w:color="4B6EE0"/>
                <w:shd w:val="clear" w:fill="E8EBF5"/>
              </w:rPr>
            </w:pPr>
          </w:p>
        </w:tc>
        <w:tc>
          <w:tcPr>
            <w:tcW w:w="10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p>
        </w:tc>
        <w:tc>
          <w:tcPr>
            <w:tcW w:w="447" w:type="pct"/>
            <w:tcBorders>
              <w:top w:val="single" w:color="000000" w:sz="4" w:space="0"/>
              <w:left w:val="single" w:color="000000" w:sz="4" w:space="0"/>
              <w:bottom w:val="nil"/>
              <w:right w:val="nil"/>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干部职工满</w:t>
            </w:r>
            <w:r>
              <w:rPr>
                <w:rFonts w:hint="eastAsia" w:ascii="宋体" w:hAnsi="宋体" w:cs="宋体"/>
                <w:color w:val="000000"/>
                <w:kern w:val="0"/>
                <w:sz w:val="18"/>
                <w:szCs w:val="18"/>
              </w:rPr>
              <w:t>意度</w:t>
            </w:r>
          </w:p>
        </w:tc>
        <w:tc>
          <w:tcPr>
            <w:tcW w:w="498" w:type="pct"/>
            <w:tcBorders>
              <w:top w:val="single" w:color="000000" w:sz="4" w:space="0"/>
              <w:left w:val="single" w:color="000000" w:sz="4" w:space="0"/>
              <w:bottom w:val="nil"/>
              <w:right w:val="nil"/>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p>
        </w:tc>
        <w:tc>
          <w:tcPr>
            <w:tcW w:w="454" w:type="pct"/>
            <w:tcBorders>
              <w:top w:val="single" w:color="000000" w:sz="4" w:space="0"/>
              <w:left w:val="single" w:color="000000" w:sz="4" w:space="0"/>
              <w:bottom w:val="nil"/>
              <w:right w:val="nil"/>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default" w:ascii="宋体" w:hAnsi="宋体" w:cs="宋体"/>
                <w:color w:val="000000"/>
                <w:kern w:val="0"/>
                <w:sz w:val="18"/>
                <w:szCs w:val="18"/>
              </w:rPr>
              <w:t>≥99</w:t>
            </w:r>
            <w:r>
              <w:rPr>
                <w:rFonts w:hint="eastAsia" w:ascii="宋体" w:hAnsi="宋体" w:cs="宋体"/>
                <w:color w:val="000000"/>
                <w:kern w:val="0"/>
                <w:sz w:val="18"/>
                <w:szCs w:val="18"/>
              </w:rPr>
              <w:t>%</w:t>
            </w:r>
          </w:p>
        </w:tc>
        <w:tc>
          <w:tcPr>
            <w:tcW w:w="425" w:type="pct"/>
            <w:tcBorders>
              <w:top w:val="single" w:color="000000" w:sz="4" w:space="0"/>
              <w:left w:val="single" w:color="000000" w:sz="4" w:space="0"/>
              <w:bottom w:val="nil"/>
              <w:right w:val="nil"/>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default" w:ascii="宋体" w:hAnsi="宋体" w:cs="宋体"/>
                <w:color w:val="000000"/>
                <w:kern w:val="0"/>
                <w:sz w:val="18"/>
                <w:szCs w:val="18"/>
              </w:rPr>
              <w:t>≥98%</w:t>
            </w:r>
          </w:p>
        </w:tc>
        <w:tc>
          <w:tcPr>
            <w:tcW w:w="452" w:type="pct"/>
            <w:tcBorders>
              <w:top w:val="single" w:color="000000" w:sz="4" w:space="0"/>
              <w:left w:val="single" w:color="000000" w:sz="4" w:space="0"/>
              <w:bottom w:val="nil"/>
              <w:right w:val="nil"/>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4</w:t>
            </w:r>
          </w:p>
        </w:tc>
        <w:tc>
          <w:tcPr>
            <w:tcW w:w="10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财政资金不足，达不到单位职工提出的要求。</w:t>
            </w:r>
          </w:p>
        </w:tc>
      </w:tr>
      <w:tr>
        <w:tblPrEx>
          <w:tblCellMar>
            <w:top w:w="0" w:type="dxa"/>
            <w:left w:w="108" w:type="dxa"/>
            <w:bottom w:w="0" w:type="dxa"/>
            <w:right w:w="108" w:type="dxa"/>
          </w:tblCellMar>
        </w:tblPrEx>
        <w:trPr>
          <w:trHeight w:val="270" w:hRule="atLeast"/>
        </w:trPr>
        <w:tc>
          <w:tcPr>
            <w:tcW w:w="212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b/>
                <w:bCs/>
                <w:color w:val="000000"/>
                <w:sz w:val="18"/>
                <w:szCs w:val="18"/>
                <w:u w:val="thick" w:color="4B6EE0"/>
                <w:shd w:val="clear" w:fill="E8EBF5"/>
              </w:rPr>
            </w:pPr>
            <w:r>
              <w:rPr>
                <w:rFonts w:hint="eastAsia" w:ascii="宋体" w:hAnsi="宋体" w:cs="宋体"/>
                <w:b/>
                <w:bCs/>
                <w:color w:val="000000"/>
                <w:kern w:val="0"/>
                <w:sz w:val="18"/>
                <w:szCs w:val="18"/>
              </w:rPr>
              <w:t>总分</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b/>
                <w:bCs/>
                <w:color w:val="000000"/>
                <w:sz w:val="18"/>
                <w:szCs w:val="18"/>
                <w:u w:val="thick" w:color="4B6EE0"/>
                <w:shd w:val="clear" w:fill="E8EBF5"/>
              </w:rPr>
            </w:pPr>
            <w:r>
              <w:rPr>
                <w:rFonts w:hint="eastAsia" w:ascii="宋体" w:hAnsi="宋体" w:cs="宋体"/>
                <w:b/>
                <w:bCs/>
                <w:color w:val="000000"/>
                <w:kern w:val="0"/>
                <w:sz w:val="18"/>
                <w:szCs w:val="18"/>
                <w:u w:val="thick" w:color="4B6EE0"/>
                <w:shd w:val="clear" w:fill="E8EBF5"/>
              </w:rPr>
              <w:t>100</w:t>
            </w:r>
          </w:p>
        </w:tc>
        <w:tc>
          <w:tcPr>
            <w:tcW w:w="87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b/>
                <w:bCs/>
                <w:color w:val="000000"/>
                <w:sz w:val="18"/>
                <w:szCs w:val="18"/>
                <w:u w:val="thick" w:color="4B6EE0"/>
                <w:shd w:val="clear" w:fill="E8EBF5"/>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96</w:t>
            </w:r>
          </w:p>
        </w:tc>
        <w:tc>
          <w:tcPr>
            <w:tcW w:w="10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r>
      <w:tr>
        <w:tblPrEx>
          <w:tblCellMar>
            <w:top w:w="0" w:type="dxa"/>
            <w:left w:w="108" w:type="dxa"/>
            <w:bottom w:w="0" w:type="dxa"/>
            <w:right w:w="108" w:type="dxa"/>
          </w:tblCellMar>
        </w:tblPrEx>
        <w:trPr>
          <w:trHeight w:val="270"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宋体" w:hAnsi="宋体" w:cs="宋体"/>
                <w:color w:val="000000"/>
                <w:sz w:val="18"/>
                <w:szCs w:val="18"/>
              </w:rPr>
            </w:pPr>
          </w:p>
        </w:tc>
      </w:tr>
    </w:tbl>
    <w:tbl>
      <w:tblPr>
        <w:tblStyle w:val="5"/>
        <w:tblpPr w:leftFromText="180" w:rightFromText="180" w:vertAnchor="text" w:horzAnchor="page" w:tblpX="1281" w:tblpY="660"/>
        <w:tblOverlap w:val="never"/>
        <w:tblW w:w="9811" w:type="dxa"/>
        <w:tblInd w:w="0" w:type="dxa"/>
        <w:tblLayout w:type="fixed"/>
        <w:tblCellMar>
          <w:top w:w="0" w:type="dxa"/>
          <w:left w:w="108" w:type="dxa"/>
          <w:bottom w:w="0" w:type="dxa"/>
          <w:right w:w="108" w:type="dxa"/>
        </w:tblCellMar>
      </w:tblPr>
      <w:tblGrid>
        <w:gridCol w:w="1977"/>
        <w:gridCol w:w="1142"/>
        <w:gridCol w:w="1635"/>
        <w:gridCol w:w="1189"/>
        <w:gridCol w:w="1224"/>
        <w:gridCol w:w="2404"/>
        <w:gridCol w:w="240"/>
      </w:tblGrid>
      <w:tr>
        <w:tblPrEx>
          <w:tblCellMar>
            <w:top w:w="0" w:type="dxa"/>
            <w:left w:w="108" w:type="dxa"/>
            <w:bottom w:w="0" w:type="dxa"/>
            <w:right w:w="108" w:type="dxa"/>
          </w:tblCellMar>
        </w:tblPrEx>
        <w:trPr>
          <w:trHeight w:val="675" w:hRule="atLeast"/>
        </w:trPr>
        <w:tc>
          <w:tcPr>
            <w:tcW w:w="9571" w:type="dxa"/>
            <w:gridSpan w:val="6"/>
            <w:tcBorders>
              <w:top w:val="nil"/>
              <w:left w:val="nil"/>
              <w:bottom w:val="nil"/>
              <w:right w:val="nil"/>
            </w:tcBorders>
            <w:shd w:val="clear" w:color="auto" w:fill="auto"/>
            <w:vAlign w:val="center"/>
          </w:tcPr>
          <w:p>
            <w:pPr>
              <w:pStyle w:val="3"/>
              <w:spacing w:before="93" w:line="240" w:lineRule="exact"/>
            </w:pPr>
          </w:p>
          <w:p>
            <w:pPr>
              <w:pStyle w:val="3"/>
              <w:spacing w:before="93" w:line="240" w:lineRule="exact"/>
            </w:pPr>
          </w:p>
          <w:p>
            <w:pPr>
              <w:pStyle w:val="3"/>
              <w:spacing w:before="93" w:line="240" w:lineRule="exact"/>
            </w:pPr>
          </w:p>
          <w:p>
            <w:pPr>
              <w:pStyle w:val="3"/>
              <w:spacing w:before="93" w:line="240" w:lineRule="exact"/>
            </w:pPr>
          </w:p>
          <w:p>
            <w:pPr>
              <w:pStyle w:val="3"/>
              <w:spacing w:before="93" w:line="240" w:lineRule="exact"/>
            </w:pPr>
          </w:p>
          <w:p>
            <w:pPr>
              <w:pStyle w:val="3"/>
              <w:spacing w:before="93" w:line="240" w:lineRule="exact"/>
            </w:pPr>
          </w:p>
          <w:p>
            <w:pPr>
              <w:pStyle w:val="3"/>
              <w:spacing w:before="93" w:line="240" w:lineRule="exact"/>
            </w:pPr>
          </w:p>
          <w:p>
            <w:pPr>
              <w:pStyle w:val="3"/>
              <w:spacing w:before="93" w:line="240" w:lineRule="exact"/>
            </w:pPr>
          </w:p>
          <w:p>
            <w:pPr>
              <w:pStyle w:val="3"/>
              <w:spacing w:before="93" w:line="240" w:lineRule="exact"/>
              <w:rPr>
                <w:u w:val="none" w:color="000000"/>
                <w:shd w:val="clear" w:fill="auto"/>
              </w:rPr>
            </w:pPr>
          </w:p>
          <w:p>
            <w:pPr>
              <w:pStyle w:val="3"/>
              <w:spacing w:before="93" w:line="240" w:lineRule="exact"/>
              <w:rPr>
                <w:u w:val="none" w:color="000000"/>
                <w:shd w:val="clear" w:fill="auto"/>
              </w:rPr>
            </w:pPr>
          </w:p>
          <w:p>
            <w:pPr>
              <w:pStyle w:val="3"/>
              <w:spacing w:before="93" w:line="240" w:lineRule="exact"/>
              <w:rPr>
                <w:u w:val="none" w:color="000000"/>
                <w:shd w:val="clear" w:fill="auto"/>
              </w:rPr>
            </w:pPr>
          </w:p>
          <w:p>
            <w:pPr>
              <w:pStyle w:val="3"/>
              <w:spacing w:before="93" w:line="240" w:lineRule="exact"/>
              <w:rPr>
                <w:u w:val="none" w:color="000000"/>
                <w:shd w:val="clear" w:fill="auto"/>
              </w:rPr>
            </w:pPr>
          </w:p>
          <w:p>
            <w:pPr>
              <w:pStyle w:val="3"/>
              <w:spacing w:before="93" w:line="240" w:lineRule="exact"/>
              <w:rPr>
                <w:u w:val="none" w:color="000000"/>
                <w:shd w:val="clear" w:fill="auto"/>
              </w:rPr>
            </w:pPr>
          </w:p>
          <w:p>
            <w:pPr>
              <w:pStyle w:val="3"/>
              <w:spacing w:before="93" w:line="240" w:lineRule="exact"/>
              <w:rPr>
                <w:u w:val="none" w:color="000000"/>
                <w:shd w:val="clear" w:fill="auto"/>
              </w:rPr>
            </w:pPr>
          </w:p>
          <w:p>
            <w:pPr>
              <w:pStyle w:val="3"/>
              <w:spacing w:before="93" w:line="240" w:lineRule="exact"/>
              <w:rPr>
                <w:u w:val="none" w:color="000000"/>
                <w:shd w:val="clear" w:fill="auto"/>
              </w:rPr>
            </w:pPr>
          </w:p>
          <w:p>
            <w:pPr>
              <w:pStyle w:val="3"/>
              <w:spacing w:before="93" w:line="240" w:lineRule="exact"/>
              <w:rPr>
                <w:u w:val="thick" w:color="4B6EE0"/>
                <w:shd w:val="clear" w:fill="E8EBF5"/>
              </w:rPr>
            </w:pPr>
          </w:p>
          <w:p>
            <w:pPr>
              <w:pStyle w:val="3"/>
              <w:spacing w:before="93" w:line="240" w:lineRule="exact"/>
              <w:rPr>
                <w:u w:val="thick" w:color="4B6EE0"/>
                <w:shd w:val="clear" w:fill="E8EBF5"/>
              </w:rPr>
            </w:pPr>
          </w:p>
          <w:p>
            <w:pPr>
              <w:pStyle w:val="3"/>
              <w:spacing w:before="93" w:line="240" w:lineRule="exact"/>
            </w:pPr>
          </w:p>
          <w:p>
            <w:pPr>
              <w:pStyle w:val="3"/>
              <w:spacing w:before="93" w:line="240" w:lineRule="exact"/>
            </w:pPr>
          </w:p>
          <w:p>
            <w:pPr>
              <w:pStyle w:val="3"/>
              <w:spacing w:before="93" w:line="240" w:lineRule="exact"/>
            </w:pPr>
          </w:p>
          <w:p>
            <w:pPr>
              <w:pStyle w:val="3"/>
              <w:spacing w:before="93" w:line="240" w:lineRule="exact"/>
            </w:pPr>
          </w:p>
          <w:p>
            <w:pPr>
              <w:pStyle w:val="3"/>
              <w:spacing w:before="93" w:line="240" w:lineRule="exact"/>
            </w:pPr>
          </w:p>
          <w:p>
            <w:pPr>
              <w:widowControl/>
              <w:textAlignment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2021年100万元以上（含</w:t>
            </w:r>
            <w:r>
              <w:rPr>
                <w:rFonts w:hint="eastAsia" w:ascii="方正小标宋_GBK" w:hAnsi="方正小标宋_GBK" w:eastAsia="方正小标宋_GBK" w:cs="方正小标宋_GBK"/>
                <w:sz w:val="32"/>
                <w:szCs w:val="32"/>
              </w:rPr>
              <w:t>）特定目标类部门预算项目绩效目标自评</w:t>
            </w:r>
          </w:p>
          <w:p>
            <w:pPr>
              <w:pStyle w:val="3"/>
              <w:spacing w:before="93"/>
              <w:rPr>
                <w:u w:val="none" w:color="000000"/>
                <w:shd w:val="clear" w:fill="auto"/>
              </w:rPr>
            </w:pPr>
          </w:p>
        </w:tc>
        <w:tc>
          <w:tcPr>
            <w:tcW w:w="240" w:type="dxa"/>
            <w:tcBorders>
              <w:top w:val="nil"/>
              <w:left w:val="nil"/>
              <w:bottom w:val="nil"/>
              <w:right w:val="nil"/>
            </w:tcBorders>
            <w:shd w:val="clear" w:color="auto" w:fill="auto"/>
            <w:vAlign w:val="center"/>
          </w:tcPr>
          <w:p>
            <w:pPr>
              <w:widowControl/>
              <w:jc w:val="center"/>
              <w:textAlignment w:val="center"/>
              <w:rPr>
                <w:rFonts w:ascii="宋体" w:hAnsi="宋体" w:cs="宋体"/>
                <w:b/>
                <w:kern w:val="0"/>
                <w:sz w:val="32"/>
                <w:szCs w:val="32"/>
                <w:u w:val="none" w:color="000000"/>
                <w:shd w:val="clear" w:fill="auto"/>
              </w:rPr>
            </w:pPr>
          </w:p>
        </w:tc>
      </w:tr>
      <w:tr>
        <w:tblPrEx>
          <w:tblCellMar>
            <w:top w:w="0" w:type="dxa"/>
            <w:left w:w="108" w:type="dxa"/>
            <w:bottom w:w="0" w:type="dxa"/>
            <w:right w:w="108" w:type="dxa"/>
          </w:tblCellMar>
        </w:tblPrEx>
        <w:trPr>
          <w:gridAfter w:val="1"/>
          <w:wAfter w:w="240" w:type="dxa"/>
          <w:trHeight w:val="254" w:hRule="atLeast"/>
        </w:trPr>
        <w:tc>
          <w:tcPr>
            <w:tcW w:w="31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sz w:val="24"/>
              </w:rPr>
            </w:pPr>
            <w:r>
              <w:rPr>
                <w:rFonts w:hint="eastAsia" w:ascii="宋体" w:hAnsi="宋体" w:cs="宋体"/>
                <w:kern w:val="0"/>
                <w:sz w:val="24"/>
                <w:u w:val="thick" w:color="4B6EE0"/>
                <w:shd w:val="clear" w:fill="E8EBF5"/>
              </w:rPr>
              <w:t>主</w:t>
            </w:r>
            <w:r>
              <w:rPr>
                <w:rFonts w:hint="eastAsia" w:ascii="宋体" w:hAnsi="宋体" w:cs="宋体"/>
                <w:kern w:val="0"/>
                <w:sz w:val="24"/>
                <w:u w:val="thick" w:color="4B6EE0"/>
                <w:shd w:val="clear" w:fill="E8EBF5"/>
              </w:rPr>
              <w:t>管</w:t>
            </w:r>
            <w:r>
              <w:rPr>
                <w:rFonts w:hint="eastAsia" w:ascii="宋体" w:hAnsi="宋体" w:cs="宋体"/>
                <w:kern w:val="0"/>
                <w:sz w:val="24"/>
              </w:rPr>
              <w:t>部门及代码</w:t>
            </w:r>
          </w:p>
        </w:tc>
        <w:tc>
          <w:tcPr>
            <w:tcW w:w="2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textAlignment w:val="center"/>
              <w:rPr>
                <w:rFonts w:ascii="宋体" w:hAnsi="宋体" w:cs="宋体"/>
                <w:sz w:val="24"/>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sz w:val="24"/>
                <w:u w:val="thick" w:color="4B6EE0"/>
                <w:shd w:val="clear" w:fill="E8EBF5"/>
              </w:rPr>
            </w:pPr>
            <w:r>
              <w:rPr>
                <w:rFonts w:hint="eastAsia" w:ascii="宋体" w:hAnsi="宋体" w:cs="宋体"/>
                <w:kern w:val="0"/>
                <w:sz w:val="24"/>
                <w:u w:val="thick" w:color="4B6EE0"/>
                <w:shd w:val="clear" w:fill="E8EBF5"/>
              </w:rPr>
              <w:t>实施单位</w:t>
            </w:r>
          </w:p>
        </w:tc>
        <w:tc>
          <w:tcPr>
            <w:tcW w:w="24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sz w:val="24"/>
                <w:u w:val="thick" w:color="4B6EE0"/>
                <w:shd w:val="clear" w:fill="E8EBF5"/>
              </w:rPr>
            </w:pPr>
          </w:p>
        </w:tc>
      </w:tr>
      <w:tr>
        <w:tblPrEx>
          <w:tblCellMar>
            <w:top w:w="0" w:type="dxa"/>
            <w:left w:w="108" w:type="dxa"/>
            <w:bottom w:w="0" w:type="dxa"/>
            <w:right w:w="108" w:type="dxa"/>
          </w:tblCellMar>
        </w:tblPrEx>
        <w:trPr>
          <w:gridAfter w:val="1"/>
          <w:wAfter w:w="240" w:type="dxa"/>
          <w:trHeight w:val="341" w:hRule="atLeast"/>
        </w:trPr>
        <w:tc>
          <w:tcPr>
            <w:tcW w:w="311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kern w:val="0"/>
                <w:sz w:val="24"/>
              </w:rPr>
            </w:pPr>
            <w:r>
              <w:rPr>
                <w:rFonts w:hint="eastAsia" w:ascii="宋体" w:hAnsi="宋体" w:cs="宋体"/>
                <w:kern w:val="0"/>
                <w:sz w:val="24"/>
              </w:rPr>
              <w:t>项目预算</w:t>
            </w:r>
          </w:p>
          <w:p>
            <w:pPr>
              <w:widowControl/>
              <w:spacing w:line="320" w:lineRule="exact"/>
              <w:jc w:val="center"/>
              <w:textAlignment w:val="center"/>
              <w:rPr>
                <w:rFonts w:ascii="宋体" w:hAnsi="宋体" w:cs="宋体"/>
                <w:kern w:val="0"/>
                <w:sz w:val="24"/>
              </w:rPr>
            </w:pPr>
            <w:r>
              <w:rPr>
                <w:rFonts w:hint="eastAsia" w:ascii="宋体" w:hAnsi="宋体" w:cs="宋体"/>
                <w:kern w:val="0"/>
                <w:sz w:val="24"/>
              </w:rPr>
              <w:t>执行情况</w:t>
            </w:r>
          </w:p>
          <w:p>
            <w:pPr>
              <w:widowControl/>
              <w:spacing w:line="320" w:lineRule="exact"/>
              <w:jc w:val="center"/>
              <w:textAlignment w:val="center"/>
              <w:rPr>
                <w:rFonts w:ascii="宋体" w:hAnsi="宋体" w:cs="宋体"/>
                <w:sz w:val="24"/>
              </w:rPr>
            </w:pPr>
            <w:r>
              <w:rPr>
                <w:rFonts w:hint="eastAsia" w:ascii="宋体" w:hAnsi="宋体" w:cs="宋体"/>
                <w:kern w:val="0"/>
                <w:sz w:val="24"/>
                <w:u w:val="thick" w:color="4B6EE0"/>
                <w:shd w:val="clear" w:fill="E8EBF5"/>
              </w:rPr>
              <w:t>（</w:t>
            </w:r>
            <w:r>
              <w:rPr>
                <w:rFonts w:hint="eastAsia" w:ascii="宋体" w:hAnsi="宋体" w:cs="宋体"/>
                <w:kern w:val="0"/>
                <w:sz w:val="24"/>
              </w:rPr>
              <w:t>万元）</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left"/>
              <w:textAlignment w:val="center"/>
              <w:rPr>
                <w:rFonts w:ascii="宋体" w:hAnsi="宋体" w:cs="宋体"/>
                <w:sz w:val="24"/>
              </w:rPr>
            </w:pPr>
            <w:r>
              <w:rPr>
                <w:rFonts w:hint="eastAsia" w:ascii="宋体" w:hAnsi="宋体" w:cs="宋体"/>
                <w:kern w:val="0"/>
                <w:sz w:val="24"/>
              </w:rPr>
              <w:t>预算数：</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left"/>
              <w:textAlignment w:val="center"/>
              <w:rPr>
                <w:rFonts w:ascii="宋体" w:hAnsi="宋体" w:cs="宋体"/>
                <w:sz w:val="24"/>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left"/>
              <w:textAlignment w:val="center"/>
              <w:rPr>
                <w:rFonts w:ascii="宋体" w:hAnsi="宋体" w:cs="宋体"/>
                <w:sz w:val="24"/>
              </w:rPr>
            </w:pPr>
            <w:r>
              <w:rPr>
                <w:rFonts w:hint="eastAsia" w:ascii="宋体" w:hAnsi="宋体" w:cs="宋体"/>
                <w:kern w:val="0"/>
                <w:sz w:val="24"/>
              </w:rPr>
              <w:t xml:space="preserve"> 执行数：</w:t>
            </w:r>
          </w:p>
        </w:tc>
        <w:tc>
          <w:tcPr>
            <w:tcW w:w="24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right"/>
              <w:textAlignment w:val="center"/>
              <w:rPr>
                <w:rFonts w:ascii="宋体" w:hAnsi="宋体" w:cs="宋体"/>
                <w:sz w:val="24"/>
              </w:rPr>
            </w:pPr>
          </w:p>
        </w:tc>
      </w:tr>
      <w:tr>
        <w:tblPrEx>
          <w:tblCellMar>
            <w:top w:w="0" w:type="dxa"/>
            <w:left w:w="108" w:type="dxa"/>
            <w:bottom w:w="0" w:type="dxa"/>
            <w:right w:w="108" w:type="dxa"/>
          </w:tblCellMar>
        </w:tblPrEx>
        <w:trPr>
          <w:gridAfter w:val="1"/>
          <w:wAfter w:w="240" w:type="dxa"/>
          <w:trHeight w:val="555" w:hRule="atLeast"/>
        </w:trPr>
        <w:tc>
          <w:tcPr>
            <w:tcW w:w="31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宋体" w:hAnsi="宋体" w:cs="宋体"/>
                <w:sz w:val="24"/>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left"/>
              <w:textAlignment w:val="center"/>
              <w:rPr>
                <w:rFonts w:ascii="宋体" w:hAnsi="宋体" w:cs="宋体"/>
                <w:sz w:val="24"/>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24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textAlignment w:val="center"/>
              <w:rPr>
                <w:rFonts w:ascii="宋体" w:hAnsi="宋体" w:cs="宋体"/>
                <w:sz w:val="24"/>
              </w:rPr>
            </w:pPr>
          </w:p>
        </w:tc>
      </w:tr>
      <w:tr>
        <w:tblPrEx>
          <w:tblCellMar>
            <w:top w:w="0" w:type="dxa"/>
            <w:left w:w="108" w:type="dxa"/>
            <w:bottom w:w="0" w:type="dxa"/>
            <w:right w:w="108" w:type="dxa"/>
          </w:tblCellMar>
        </w:tblPrEx>
        <w:trPr>
          <w:gridAfter w:val="1"/>
          <w:wAfter w:w="240" w:type="dxa"/>
          <w:trHeight w:val="341" w:hRule="atLeast"/>
        </w:trPr>
        <w:tc>
          <w:tcPr>
            <w:tcW w:w="31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宋体" w:hAnsi="宋体" w:cs="宋体"/>
                <w:sz w:val="24"/>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left"/>
              <w:textAlignment w:val="center"/>
              <w:rPr>
                <w:rFonts w:ascii="宋体" w:hAnsi="宋体" w:cs="宋体"/>
                <w:sz w:val="24"/>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24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sz w:val="24"/>
              </w:rPr>
            </w:pPr>
          </w:p>
        </w:tc>
      </w:tr>
      <w:tr>
        <w:tblPrEx>
          <w:tblCellMar>
            <w:top w:w="0" w:type="dxa"/>
            <w:left w:w="108" w:type="dxa"/>
            <w:bottom w:w="0" w:type="dxa"/>
            <w:right w:w="108" w:type="dxa"/>
          </w:tblCellMar>
        </w:tblPrEx>
        <w:trPr>
          <w:gridAfter w:val="1"/>
          <w:wAfter w:w="240" w:type="dxa"/>
          <w:trHeight w:val="217" w:hRule="atLeast"/>
        </w:trPr>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kern w:val="0"/>
                <w:sz w:val="24"/>
                <w:u w:val="none" w:color="000000"/>
                <w:shd w:val="clear" w:fill="auto"/>
              </w:rPr>
            </w:pPr>
            <w:r>
              <w:rPr>
                <w:rFonts w:hint="eastAsia" w:ascii="宋体" w:hAnsi="宋体" w:cs="宋体"/>
                <w:kern w:val="0"/>
                <w:sz w:val="24"/>
              </w:rPr>
              <w:t>年度总体目</w:t>
            </w:r>
            <w:r>
              <w:rPr>
                <w:rFonts w:hint="eastAsia" w:ascii="宋体" w:hAnsi="宋体" w:cs="宋体"/>
                <w:kern w:val="0"/>
                <w:sz w:val="24"/>
                <w:u w:val="none" w:color="000000"/>
                <w:shd w:val="clear" w:fill="auto"/>
              </w:rPr>
              <w:t>标</w:t>
            </w:r>
          </w:p>
          <w:p>
            <w:pPr>
              <w:widowControl/>
              <w:spacing w:line="320" w:lineRule="exact"/>
              <w:jc w:val="center"/>
              <w:textAlignment w:val="center"/>
              <w:rPr>
                <w:rFonts w:ascii="宋体" w:hAnsi="宋体" w:cs="宋体"/>
                <w:sz w:val="24"/>
                <w:u w:val="none" w:color="000000"/>
                <w:shd w:val="clear" w:fill="auto"/>
              </w:rPr>
            </w:pPr>
            <w:r>
              <w:rPr>
                <w:rFonts w:hint="eastAsia" w:ascii="宋体" w:hAnsi="宋体" w:cs="宋体"/>
                <w:kern w:val="0"/>
                <w:sz w:val="24"/>
                <w:u w:val="none" w:color="000000"/>
                <w:shd w:val="clear" w:fill="auto"/>
              </w:rPr>
              <w:t>完成情况</w:t>
            </w: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sz w:val="24"/>
                <w:u w:val="none" w:color="000000"/>
                <w:shd w:val="clear" w:fill="auto"/>
              </w:rPr>
            </w:pPr>
            <w:r>
              <w:rPr>
                <w:rFonts w:hint="eastAsia" w:ascii="宋体" w:hAnsi="宋体" w:cs="宋体"/>
                <w:kern w:val="0"/>
                <w:sz w:val="24"/>
                <w:u w:val="none" w:color="000000"/>
                <w:shd w:val="clear" w:fill="auto"/>
              </w:rPr>
              <w:t>预期目标</w:t>
            </w:r>
          </w:p>
        </w:tc>
        <w:tc>
          <w:tcPr>
            <w:tcW w:w="36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宋体" w:hAnsi="宋体" w:cs="宋体"/>
                <w:sz w:val="24"/>
                <w:u w:val="thick" w:color="4B6EE0"/>
                <w:shd w:val="clear" w:fill="E8EBF5"/>
              </w:rPr>
            </w:pPr>
            <w:r>
              <w:rPr>
                <w:rFonts w:hint="eastAsia" w:ascii="宋体" w:hAnsi="宋体" w:cs="宋体"/>
                <w:kern w:val="0"/>
                <w:sz w:val="24"/>
                <w:u w:val="none" w:color="000000"/>
                <w:shd w:val="clear" w:fill="auto"/>
              </w:rPr>
              <w:t>目标实际完</w:t>
            </w:r>
            <w:r>
              <w:rPr>
                <w:rFonts w:hint="eastAsia" w:ascii="宋体" w:hAnsi="宋体" w:cs="宋体"/>
                <w:kern w:val="0"/>
                <w:sz w:val="24"/>
                <w:u w:val="thick" w:color="4B6EE0"/>
                <w:shd w:val="clear" w:fill="E8EBF5"/>
              </w:rPr>
              <w:t>成情况</w:t>
            </w:r>
          </w:p>
        </w:tc>
      </w:tr>
      <w:tr>
        <w:tblPrEx>
          <w:tblCellMar>
            <w:top w:w="0" w:type="dxa"/>
            <w:left w:w="108" w:type="dxa"/>
            <w:bottom w:w="0" w:type="dxa"/>
            <w:right w:w="108" w:type="dxa"/>
          </w:tblCellMar>
        </w:tblPrEx>
        <w:trPr>
          <w:gridAfter w:val="1"/>
          <w:wAfter w:w="240" w:type="dxa"/>
          <w:trHeight w:val="797"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宋体" w:hAnsi="宋体" w:cs="宋体"/>
                <w:sz w:val="24"/>
                <w:u w:val="thick" w:color="4B6EE0"/>
                <w:shd w:val="clear" w:fill="E8EBF5"/>
              </w:rPr>
            </w:pP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tcPr>
          <w:p>
            <w:pPr>
              <w:widowControl/>
              <w:spacing w:line="320" w:lineRule="exact"/>
              <w:jc w:val="left"/>
              <w:textAlignment w:val="top"/>
              <w:rPr>
                <w:rFonts w:ascii="宋体" w:hAnsi="宋体" w:cs="宋体"/>
                <w:sz w:val="24"/>
                <w:u w:val="thick" w:color="4B6EE0"/>
                <w:shd w:val="clear" w:fill="E8EBF5"/>
              </w:rPr>
            </w:pPr>
          </w:p>
        </w:tc>
        <w:tc>
          <w:tcPr>
            <w:tcW w:w="3628" w:type="dxa"/>
            <w:gridSpan w:val="2"/>
            <w:tcBorders>
              <w:top w:val="single" w:color="000000" w:sz="4" w:space="0"/>
              <w:left w:val="single" w:color="000000" w:sz="4" w:space="0"/>
              <w:bottom w:val="single" w:color="000000" w:sz="4" w:space="0"/>
              <w:right w:val="single" w:color="000000" w:sz="4" w:space="0"/>
            </w:tcBorders>
            <w:shd w:val="clear" w:color="auto" w:fill="auto"/>
          </w:tcPr>
          <w:p>
            <w:pPr>
              <w:widowControl/>
              <w:spacing w:line="320" w:lineRule="exact"/>
              <w:jc w:val="left"/>
              <w:textAlignment w:val="top"/>
              <w:rPr>
                <w:rFonts w:ascii="宋体" w:hAnsi="宋体" w:cs="宋体"/>
                <w:sz w:val="24"/>
                <w:u w:val="thick" w:color="4B6EE0"/>
                <w:shd w:val="clear" w:fill="E8EBF5"/>
              </w:rPr>
            </w:pPr>
          </w:p>
        </w:tc>
      </w:tr>
      <w:tr>
        <w:tblPrEx>
          <w:tblCellMar>
            <w:top w:w="0" w:type="dxa"/>
            <w:left w:w="108" w:type="dxa"/>
            <w:bottom w:w="0" w:type="dxa"/>
            <w:right w:w="108" w:type="dxa"/>
          </w:tblCellMar>
        </w:tblPrEx>
        <w:trPr>
          <w:gridAfter w:val="1"/>
          <w:wAfter w:w="240" w:type="dxa"/>
          <w:trHeight w:val="693" w:hRule="atLeast"/>
        </w:trPr>
        <w:tc>
          <w:tcPr>
            <w:tcW w:w="1977" w:type="dxa"/>
            <w:vMerge w:val="restart"/>
            <w:tcBorders>
              <w:top w:val="single" w:color="000000" w:sz="4" w:space="0"/>
              <w:left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仿宋_GB2312" w:eastAsia="仿宋_GB2312" w:cs="仿宋_GB2312"/>
                <w:sz w:val="28"/>
                <w:szCs w:val="28"/>
              </w:rPr>
            </w:pPr>
            <w:r>
              <w:rPr>
                <w:rFonts w:hint="eastAsia" w:ascii="宋体" w:hAnsi="宋体" w:cs="宋体"/>
                <w:kern w:val="0"/>
                <w:sz w:val="24"/>
              </w:rPr>
              <w:t>年度绩效指标完成情况</w:t>
            </w:r>
          </w:p>
        </w:tc>
        <w:tc>
          <w:tcPr>
            <w:tcW w:w="1142" w:type="dxa"/>
            <w:tcBorders>
              <w:top w:val="single" w:color="000000" w:sz="4" w:space="0"/>
              <w:left w:val="nil"/>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一级</w:t>
            </w:r>
          </w:p>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二级</w:t>
            </w:r>
          </w:p>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三级</w:t>
            </w:r>
          </w:p>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仿宋_GB2312" w:eastAsia="仿宋_GB2312" w:cs="仿宋_GB2312"/>
                <w:sz w:val="28"/>
                <w:szCs w:val="28"/>
                <w:u w:val="none" w:color="000000"/>
                <w:shd w:val="clear" w:fill="auto"/>
              </w:rPr>
            </w:pPr>
            <w:r>
              <w:rPr>
                <w:rFonts w:hint="eastAsia" w:ascii="仿宋_GB2312" w:hAnsi="仿宋_GB2312" w:eastAsia="仿宋_GB2312" w:cs="仿宋_GB2312"/>
                <w:kern w:val="0"/>
                <w:sz w:val="28"/>
                <w:szCs w:val="28"/>
              </w:rPr>
              <w:t>预期指标</w:t>
            </w:r>
            <w:r>
              <w:rPr>
                <w:rFonts w:hint="eastAsia" w:ascii="仿宋_GB2312" w:hAnsi="仿宋_GB2312" w:eastAsia="仿宋_GB2312" w:cs="仿宋_GB2312"/>
                <w:kern w:val="0"/>
                <w:sz w:val="28"/>
                <w:szCs w:val="28"/>
                <w:u w:val="none" w:color="000000"/>
                <w:shd w:val="clear" w:fill="auto"/>
              </w:rPr>
              <w:t>值</w:t>
            </w:r>
          </w:p>
        </w:tc>
        <w:tc>
          <w:tcPr>
            <w:tcW w:w="24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_GB2312" w:hAnsi="仿宋_GB2312" w:eastAsia="仿宋_GB2312" w:cs="仿宋_GB2312"/>
                <w:sz w:val="28"/>
                <w:szCs w:val="28"/>
                <w:u w:val="thick" w:color="4B6EE0"/>
                <w:shd w:val="clear" w:fill="E8EBF5"/>
              </w:rPr>
            </w:pPr>
            <w:r>
              <w:rPr>
                <w:rFonts w:hint="eastAsia" w:ascii="仿宋_GB2312" w:hAnsi="仿宋_GB2312" w:eastAsia="仿宋_GB2312" w:cs="仿宋_GB2312"/>
                <w:kern w:val="0"/>
                <w:sz w:val="28"/>
                <w:szCs w:val="28"/>
                <w:u w:val="none" w:color="000000"/>
                <w:shd w:val="clear" w:fill="auto"/>
              </w:rPr>
              <w:t>实际完成指标值</w:t>
            </w:r>
          </w:p>
        </w:tc>
      </w:tr>
      <w:tr>
        <w:tblPrEx>
          <w:tblCellMar>
            <w:top w:w="0" w:type="dxa"/>
            <w:left w:w="108" w:type="dxa"/>
            <w:bottom w:w="0" w:type="dxa"/>
            <w:right w:w="108" w:type="dxa"/>
          </w:tblCellMar>
        </w:tblPrEx>
        <w:trPr>
          <w:gridAfter w:val="1"/>
          <w:wAfter w:w="240" w:type="dxa"/>
          <w:trHeight w:val="415" w:hRule="atLeast"/>
        </w:trPr>
        <w:tc>
          <w:tcPr>
            <w:tcW w:w="1977" w:type="dxa"/>
            <w:vMerge w:val="continue"/>
            <w:tcBorders>
              <w:left w:val="single" w:color="000000" w:sz="4" w:space="0"/>
              <w:right w:val="single" w:color="000000" w:sz="4" w:space="0"/>
            </w:tcBorders>
            <w:shd w:val="clear" w:color="auto" w:fill="auto"/>
            <w:vAlign w:val="center"/>
          </w:tcPr>
          <w:p>
            <w:pPr>
              <w:spacing w:line="320" w:lineRule="exact"/>
              <w:jc w:val="center"/>
              <w:rPr>
                <w:rFonts w:ascii="仿宋_GB2312" w:hAnsi="仿宋_GB2312" w:eastAsia="仿宋_GB2312" w:cs="仿宋_GB2312"/>
                <w:sz w:val="28"/>
                <w:szCs w:val="28"/>
                <w:u w:val="none" w:color="000000"/>
                <w:shd w:val="clear" w:fill="auto"/>
              </w:rPr>
            </w:pPr>
          </w:p>
        </w:tc>
        <w:tc>
          <w:tcPr>
            <w:tcW w:w="11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完成</w:t>
            </w:r>
          </w:p>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数量指标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thick" w:color="4B6EE0"/>
                <w:shd w:val="clear" w:fill="E8EBF5"/>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thick" w:color="4B6EE0"/>
                <w:shd w:val="clear" w:fill="E8EBF5"/>
              </w:rPr>
            </w:pPr>
          </w:p>
        </w:tc>
        <w:tc>
          <w:tcPr>
            <w:tcW w:w="240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none" w:color="000000"/>
                <w:shd w:val="clear" w:fill="auto"/>
              </w:rPr>
            </w:pPr>
          </w:p>
        </w:tc>
      </w:tr>
      <w:tr>
        <w:tblPrEx>
          <w:tblCellMar>
            <w:top w:w="0" w:type="dxa"/>
            <w:left w:w="108" w:type="dxa"/>
            <w:bottom w:w="0" w:type="dxa"/>
            <w:right w:w="108" w:type="dxa"/>
          </w:tblCellMar>
        </w:tblPrEx>
        <w:trPr>
          <w:gridAfter w:val="1"/>
          <w:wAfter w:w="240" w:type="dxa"/>
          <w:trHeight w:val="415" w:hRule="atLeast"/>
        </w:trPr>
        <w:tc>
          <w:tcPr>
            <w:tcW w:w="1977" w:type="dxa"/>
            <w:vMerge w:val="continue"/>
            <w:tcBorders>
              <w:left w:val="single" w:color="000000" w:sz="4" w:space="0"/>
              <w:right w:val="single" w:color="000000" w:sz="4" w:space="0"/>
            </w:tcBorders>
            <w:shd w:val="clear" w:color="auto" w:fill="auto"/>
            <w:vAlign w:val="center"/>
          </w:tcPr>
          <w:p>
            <w:pPr>
              <w:spacing w:line="320" w:lineRule="exact"/>
              <w:jc w:val="center"/>
              <w:rPr>
                <w:rFonts w:ascii="仿宋_GB2312" w:hAnsi="仿宋_GB2312" w:eastAsia="仿宋_GB2312" w:cs="仿宋_GB2312"/>
                <w:sz w:val="28"/>
                <w:szCs w:val="28"/>
                <w:u w:val="none" w:color="000000"/>
                <w:shd w:val="clear" w:fill="auto"/>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center"/>
              <w:rPr>
                <w:rFonts w:hint="eastAsia" w:ascii="仿宋_GB2312" w:hAnsi="仿宋_GB2312" w:eastAsia="仿宋_GB2312" w:cs="仿宋_GB2312"/>
                <w:kern w:val="0"/>
                <w:sz w:val="28"/>
                <w:szCs w:val="28"/>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质量指标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none" w:color="000000"/>
                <w:shd w:val="clear" w:fill="auto"/>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none" w:color="000000"/>
                <w:shd w:val="clear" w:fill="auto"/>
              </w:rPr>
            </w:pPr>
          </w:p>
        </w:tc>
        <w:tc>
          <w:tcPr>
            <w:tcW w:w="240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none" w:color="000000"/>
                <w:shd w:val="clear" w:fill="auto"/>
              </w:rPr>
            </w:pPr>
          </w:p>
        </w:tc>
      </w:tr>
      <w:tr>
        <w:tblPrEx>
          <w:tblCellMar>
            <w:top w:w="0" w:type="dxa"/>
            <w:left w:w="108" w:type="dxa"/>
            <w:bottom w:w="0" w:type="dxa"/>
            <w:right w:w="108" w:type="dxa"/>
          </w:tblCellMar>
        </w:tblPrEx>
        <w:trPr>
          <w:gridAfter w:val="1"/>
          <w:wAfter w:w="240" w:type="dxa"/>
          <w:trHeight w:val="415" w:hRule="atLeast"/>
        </w:trPr>
        <w:tc>
          <w:tcPr>
            <w:tcW w:w="1977" w:type="dxa"/>
            <w:vMerge w:val="continue"/>
            <w:tcBorders>
              <w:left w:val="single" w:color="000000" w:sz="4" w:space="0"/>
              <w:right w:val="single" w:color="000000" w:sz="4" w:space="0"/>
            </w:tcBorders>
            <w:shd w:val="clear" w:color="auto" w:fill="auto"/>
            <w:vAlign w:val="center"/>
          </w:tcPr>
          <w:p>
            <w:pPr>
              <w:spacing w:line="320" w:lineRule="exact"/>
              <w:jc w:val="center"/>
              <w:rPr>
                <w:rFonts w:ascii="仿宋_GB2312" w:hAnsi="仿宋_GB2312" w:eastAsia="仿宋_GB2312" w:cs="仿宋_GB2312"/>
                <w:sz w:val="28"/>
                <w:szCs w:val="28"/>
                <w:u w:val="none" w:color="000000"/>
                <w:shd w:val="clear" w:fill="auto"/>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center"/>
              <w:rPr>
                <w:rFonts w:hint="eastAsia" w:ascii="仿宋_GB2312" w:hAnsi="仿宋_GB2312" w:eastAsia="仿宋_GB2312" w:cs="仿宋_GB2312"/>
                <w:kern w:val="0"/>
                <w:sz w:val="28"/>
                <w:szCs w:val="28"/>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时效指标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none" w:color="000000"/>
                <w:shd w:val="clear" w:fill="auto"/>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none" w:color="000000"/>
                <w:shd w:val="clear" w:fill="auto"/>
              </w:rPr>
            </w:pPr>
          </w:p>
        </w:tc>
        <w:tc>
          <w:tcPr>
            <w:tcW w:w="240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none" w:color="000000"/>
                <w:shd w:val="clear" w:fill="auto"/>
              </w:rPr>
            </w:pPr>
          </w:p>
        </w:tc>
      </w:tr>
      <w:tr>
        <w:tblPrEx>
          <w:tblCellMar>
            <w:top w:w="0" w:type="dxa"/>
            <w:left w:w="108" w:type="dxa"/>
            <w:bottom w:w="0" w:type="dxa"/>
            <w:right w:w="108" w:type="dxa"/>
          </w:tblCellMar>
        </w:tblPrEx>
        <w:trPr>
          <w:gridAfter w:val="1"/>
          <w:wAfter w:w="240" w:type="dxa"/>
          <w:trHeight w:val="480" w:hRule="atLeast"/>
        </w:trPr>
        <w:tc>
          <w:tcPr>
            <w:tcW w:w="1977" w:type="dxa"/>
            <w:vMerge w:val="continue"/>
            <w:tcBorders>
              <w:left w:val="single" w:color="000000" w:sz="4" w:space="0"/>
              <w:right w:val="single" w:color="000000" w:sz="4" w:space="0"/>
            </w:tcBorders>
            <w:shd w:val="clear" w:color="auto" w:fill="auto"/>
            <w:vAlign w:val="center"/>
          </w:tcPr>
          <w:p>
            <w:pPr>
              <w:spacing w:line="320" w:lineRule="exact"/>
              <w:jc w:val="center"/>
              <w:rPr>
                <w:rFonts w:ascii="仿宋_GB2312" w:hAnsi="仿宋_GB2312" w:eastAsia="仿宋_GB2312" w:cs="仿宋_GB2312"/>
                <w:sz w:val="28"/>
                <w:szCs w:val="28"/>
                <w:u w:val="none" w:color="000000"/>
                <w:shd w:val="clear" w:fill="auto"/>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center"/>
              <w:rPr>
                <w:rFonts w:hint="eastAsia" w:ascii="仿宋_GB2312" w:hAnsi="仿宋_GB2312" w:eastAsia="仿宋_GB2312" w:cs="仿宋_GB2312"/>
                <w:kern w:val="0"/>
                <w:sz w:val="28"/>
                <w:szCs w:val="28"/>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成本指标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none" w:color="000000"/>
                <w:shd w:val="clear" w:fill="auto"/>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none" w:color="000000"/>
                <w:shd w:val="clear" w:fill="auto"/>
              </w:rPr>
            </w:pPr>
          </w:p>
        </w:tc>
        <w:tc>
          <w:tcPr>
            <w:tcW w:w="240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none" w:color="000000"/>
                <w:shd w:val="clear" w:fill="auto"/>
              </w:rPr>
            </w:pPr>
          </w:p>
        </w:tc>
      </w:tr>
      <w:tr>
        <w:tblPrEx>
          <w:tblCellMar>
            <w:top w:w="0" w:type="dxa"/>
            <w:left w:w="108" w:type="dxa"/>
            <w:bottom w:w="0" w:type="dxa"/>
            <w:right w:w="108" w:type="dxa"/>
          </w:tblCellMar>
        </w:tblPrEx>
        <w:trPr>
          <w:gridAfter w:val="1"/>
          <w:wAfter w:w="240" w:type="dxa"/>
          <w:trHeight w:val="480" w:hRule="atLeast"/>
        </w:trPr>
        <w:tc>
          <w:tcPr>
            <w:tcW w:w="1977" w:type="dxa"/>
            <w:vMerge w:val="continue"/>
            <w:tcBorders>
              <w:left w:val="single" w:color="000000" w:sz="4" w:space="0"/>
              <w:right w:val="single" w:color="000000" w:sz="4" w:space="0"/>
            </w:tcBorders>
            <w:shd w:val="clear" w:color="auto" w:fill="auto"/>
            <w:vAlign w:val="center"/>
          </w:tcPr>
          <w:p>
            <w:pPr>
              <w:spacing w:line="320" w:lineRule="exact"/>
              <w:jc w:val="center"/>
              <w:rPr>
                <w:rFonts w:ascii="仿宋_GB2312" w:hAnsi="仿宋_GB2312" w:eastAsia="仿宋_GB2312" w:cs="仿宋_GB2312"/>
                <w:sz w:val="28"/>
                <w:szCs w:val="28"/>
                <w:u w:val="none" w:color="000000"/>
                <w:shd w:val="clear" w:fill="auto"/>
              </w:rPr>
            </w:pPr>
          </w:p>
        </w:tc>
        <w:tc>
          <w:tcPr>
            <w:tcW w:w="11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效益</w:t>
            </w:r>
          </w:p>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经济效益  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thick" w:color="4B6EE0"/>
                <w:shd w:val="clear" w:fill="E8EBF5"/>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thick" w:color="4B6EE0"/>
                <w:shd w:val="clear" w:fill="E8EBF5"/>
              </w:rPr>
            </w:pPr>
          </w:p>
        </w:tc>
        <w:tc>
          <w:tcPr>
            <w:tcW w:w="240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rPr>
            </w:pPr>
          </w:p>
        </w:tc>
      </w:tr>
      <w:tr>
        <w:tblPrEx>
          <w:tblCellMar>
            <w:top w:w="0" w:type="dxa"/>
            <w:left w:w="108" w:type="dxa"/>
            <w:bottom w:w="0" w:type="dxa"/>
            <w:right w:w="108" w:type="dxa"/>
          </w:tblCellMar>
        </w:tblPrEx>
        <w:trPr>
          <w:gridAfter w:val="1"/>
          <w:wAfter w:w="240" w:type="dxa"/>
          <w:trHeight w:val="480" w:hRule="atLeast"/>
        </w:trPr>
        <w:tc>
          <w:tcPr>
            <w:tcW w:w="1977" w:type="dxa"/>
            <w:vMerge w:val="continue"/>
            <w:tcBorders>
              <w:left w:val="single" w:color="000000" w:sz="4" w:space="0"/>
              <w:right w:val="single" w:color="000000" w:sz="4" w:space="0"/>
            </w:tcBorders>
            <w:shd w:val="clear" w:color="auto" w:fill="auto"/>
            <w:vAlign w:val="center"/>
          </w:tcPr>
          <w:p>
            <w:pPr>
              <w:spacing w:line="320" w:lineRule="exact"/>
              <w:jc w:val="center"/>
              <w:rPr>
                <w:rFonts w:ascii="仿宋_GB2312" w:hAnsi="仿宋_GB2312" w:eastAsia="仿宋_GB2312" w:cs="仿宋_GB2312"/>
                <w:sz w:val="28"/>
                <w:szCs w:val="28"/>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center"/>
              <w:rPr>
                <w:rFonts w:hint="eastAsia" w:ascii="仿宋_GB2312" w:hAnsi="仿宋_GB2312" w:eastAsia="仿宋_GB2312" w:cs="仿宋_GB2312"/>
                <w:kern w:val="0"/>
                <w:sz w:val="28"/>
                <w:szCs w:val="28"/>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社会效益  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none" w:color="000000"/>
                <w:shd w:val="clear" w:fill="auto"/>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none" w:color="000000"/>
                <w:shd w:val="clear" w:fill="auto"/>
              </w:rPr>
            </w:pPr>
          </w:p>
        </w:tc>
        <w:tc>
          <w:tcPr>
            <w:tcW w:w="240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none" w:color="000000"/>
                <w:shd w:val="clear" w:fill="auto"/>
              </w:rPr>
            </w:pPr>
          </w:p>
        </w:tc>
      </w:tr>
      <w:tr>
        <w:tblPrEx>
          <w:tblCellMar>
            <w:top w:w="0" w:type="dxa"/>
            <w:left w:w="108" w:type="dxa"/>
            <w:bottom w:w="0" w:type="dxa"/>
            <w:right w:w="108" w:type="dxa"/>
          </w:tblCellMar>
        </w:tblPrEx>
        <w:trPr>
          <w:gridAfter w:val="1"/>
          <w:wAfter w:w="240" w:type="dxa"/>
          <w:trHeight w:val="577" w:hRule="atLeast"/>
        </w:trPr>
        <w:tc>
          <w:tcPr>
            <w:tcW w:w="1977" w:type="dxa"/>
            <w:vMerge w:val="continue"/>
            <w:tcBorders>
              <w:left w:val="single" w:color="000000" w:sz="4" w:space="0"/>
              <w:right w:val="single" w:color="000000" w:sz="4" w:space="0"/>
            </w:tcBorders>
            <w:shd w:val="clear" w:color="auto" w:fill="auto"/>
            <w:vAlign w:val="center"/>
          </w:tcPr>
          <w:p>
            <w:pPr>
              <w:spacing w:line="320" w:lineRule="exact"/>
              <w:jc w:val="center"/>
              <w:rPr>
                <w:rFonts w:ascii="仿宋_GB2312" w:hAnsi="仿宋_GB2312" w:eastAsia="仿宋_GB2312" w:cs="仿宋_GB2312"/>
                <w:sz w:val="28"/>
                <w:szCs w:val="28"/>
                <w:u w:val="none" w:color="000000"/>
                <w:shd w:val="clear" w:fill="auto"/>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center"/>
              <w:rPr>
                <w:rFonts w:hint="eastAsia" w:ascii="仿宋_GB2312" w:hAnsi="仿宋_GB2312" w:eastAsia="仿宋_GB2312" w:cs="仿宋_GB2312"/>
                <w:kern w:val="0"/>
                <w:sz w:val="28"/>
                <w:szCs w:val="28"/>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生态效益  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thick" w:color="4B6EE0"/>
                <w:shd w:val="clear" w:fill="E8EBF5"/>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thick" w:color="4B6EE0"/>
                <w:shd w:val="clear" w:fill="E8EBF5"/>
              </w:rPr>
            </w:pPr>
          </w:p>
        </w:tc>
        <w:tc>
          <w:tcPr>
            <w:tcW w:w="240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thick" w:color="4B6EE0"/>
                <w:shd w:val="clear" w:fill="E8EBF5"/>
              </w:rPr>
            </w:pPr>
          </w:p>
        </w:tc>
      </w:tr>
      <w:tr>
        <w:tblPrEx>
          <w:tblCellMar>
            <w:top w:w="0" w:type="dxa"/>
            <w:left w:w="108" w:type="dxa"/>
            <w:bottom w:w="0" w:type="dxa"/>
            <w:right w:w="108" w:type="dxa"/>
          </w:tblCellMar>
        </w:tblPrEx>
        <w:trPr>
          <w:gridAfter w:val="1"/>
          <w:wAfter w:w="240" w:type="dxa"/>
          <w:trHeight w:val="480" w:hRule="atLeast"/>
        </w:trPr>
        <w:tc>
          <w:tcPr>
            <w:tcW w:w="1977" w:type="dxa"/>
            <w:vMerge w:val="continue"/>
            <w:tcBorders>
              <w:left w:val="single" w:color="000000" w:sz="4" w:space="0"/>
              <w:right w:val="single" w:color="000000" w:sz="4" w:space="0"/>
            </w:tcBorders>
            <w:shd w:val="clear" w:color="auto" w:fill="auto"/>
            <w:vAlign w:val="center"/>
          </w:tcPr>
          <w:p>
            <w:pPr>
              <w:spacing w:line="320" w:lineRule="exact"/>
              <w:jc w:val="center"/>
              <w:rPr>
                <w:rFonts w:ascii="仿宋_GB2312" w:hAnsi="仿宋_GB2312" w:eastAsia="仿宋_GB2312" w:cs="仿宋_GB2312"/>
                <w:sz w:val="28"/>
                <w:szCs w:val="28"/>
                <w:u w:val="none" w:color="000000"/>
                <w:shd w:val="clear" w:fill="auto"/>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center"/>
              <w:rPr>
                <w:rFonts w:hint="eastAsia" w:ascii="仿宋_GB2312" w:hAnsi="仿宋_GB2312" w:eastAsia="仿宋_GB2312" w:cs="仿宋_GB2312"/>
                <w:kern w:val="0"/>
                <w:sz w:val="28"/>
                <w:szCs w:val="28"/>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可持续影响指标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thick" w:color="4B6EE0"/>
                <w:shd w:val="clear" w:fill="E8EBF5"/>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thick" w:color="4B6EE0"/>
                <w:shd w:val="clear" w:fill="E8EBF5"/>
              </w:rPr>
            </w:pPr>
          </w:p>
        </w:tc>
        <w:tc>
          <w:tcPr>
            <w:tcW w:w="240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thick" w:color="4B6EE0"/>
                <w:shd w:val="clear" w:fill="E8EBF5"/>
              </w:rPr>
            </w:pPr>
          </w:p>
        </w:tc>
      </w:tr>
      <w:tr>
        <w:tblPrEx>
          <w:tblCellMar>
            <w:top w:w="0" w:type="dxa"/>
            <w:left w:w="108" w:type="dxa"/>
            <w:bottom w:w="0" w:type="dxa"/>
            <w:right w:w="108" w:type="dxa"/>
          </w:tblCellMar>
        </w:tblPrEx>
        <w:trPr>
          <w:gridAfter w:val="1"/>
          <w:wAfter w:w="240" w:type="dxa"/>
          <w:trHeight w:val="530" w:hRule="atLeast"/>
        </w:trPr>
        <w:tc>
          <w:tcPr>
            <w:tcW w:w="1977" w:type="dxa"/>
            <w:vMerge w:val="continue"/>
            <w:tcBorders>
              <w:left w:val="single" w:color="000000" w:sz="4" w:space="0"/>
              <w:bottom w:val="single" w:color="000000" w:sz="4" w:space="0"/>
              <w:right w:val="single" w:color="000000" w:sz="4" w:space="0"/>
            </w:tcBorders>
            <w:shd w:val="clear" w:color="auto" w:fill="auto"/>
            <w:vAlign w:val="center"/>
          </w:tcPr>
          <w:p>
            <w:pPr>
              <w:spacing w:line="320" w:lineRule="exact"/>
              <w:jc w:val="center"/>
              <w:rPr>
                <w:rFonts w:ascii="仿宋_GB2312" w:hAnsi="仿宋_GB2312" w:eastAsia="仿宋_GB2312" w:cs="仿宋_GB2312"/>
                <w:sz w:val="28"/>
                <w:szCs w:val="28"/>
                <w:u w:val="none" w:color="000000"/>
                <w:shd w:val="clear" w:fill="auto"/>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满意</w:t>
            </w:r>
          </w:p>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度指标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满意度</w:t>
            </w:r>
          </w:p>
          <w:p>
            <w:pPr>
              <w:widowControl/>
              <w:spacing w:line="32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none" w:color="000000"/>
                <w:shd w:val="clear" w:fill="auto"/>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none" w:color="000000"/>
                <w:shd w:val="clear" w:fill="auto"/>
              </w:rPr>
            </w:pPr>
          </w:p>
        </w:tc>
        <w:tc>
          <w:tcPr>
            <w:tcW w:w="240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line="320" w:lineRule="exact"/>
              <w:jc w:val="center"/>
              <w:textAlignment w:val="bottom"/>
              <w:rPr>
                <w:rFonts w:ascii="仿宋_GB2312" w:hAnsi="仿宋_GB2312" w:eastAsia="仿宋_GB2312" w:cs="仿宋_GB2312"/>
                <w:sz w:val="28"/>
                <w:szCs w:val="28"/>
                <w:u w:val="thick" w:color="4B6EE0"/>
                <w:shd w:val="clear" w:fill="E8EBF5"/>
              </w:rPr>
            </w:pPr>
          </w:p>
        </w:tc>
      </w:tr>
    </w:tbl>
    <w:p>
      <w:pPr>
        <w:spacing w:line="600" w:lineRule="exact"/>
        <w:jc w:val="center"/>
        <w:rPr>
          <w:rFonts w:ascii="黑体" w:hAnsi="黑体" w:eastAsia="黑体"/>
          <w:sz w:val="44"/>
          <w:szCs w:val="44"/>
          <w:u w:val="thick" w:color="4B6EE0"/>
          <w:shd w:val="clear" w:fill="E8EBF5"/>
        </w:rPr>
      </w:pPr>
      <w:bookmarkStart w:id="78" w:name="_Toc15396618"/>
    </w:p>
    <w:p>
      <w:pPr>
        <w:pStyle w:val="3"/>
        <w:spacing w:before="93"/>
        <w:rPr>
          <w:rFonts w:ascii="黑体" w:hAnsi="黑体" w:eastAsia="黑体"/>
          <w:sz w:val="44"/>
          <w:szCs w:val="44"/>
          <w:u w:val="thick" w:color="4B6EE0"/>
          <w:shd w:val="clear" w:fill="E8EBF5"/>
        </w:rPr>
      </w:pPr>
    </w:p>
    <w:p>
      <w:pPr>
        <w:pStyle w:val="3"/>
        <w:spacing w:before="93"/>
        <w:rPr>
          <w:rFonts w:ascii="黑体" w:hAnsi="黑体" w:eastAsia="黑体"/>
          <w:sz w:val="44"/>
          <w:szCs w:val="44"/>
          <w:u w:val="thick" w:color="4B6EE0"/>
          <w:shd w:val="clear" w:fill="E8EBF5"/>
        </w:rPr>
      </w:pPr>
    </w:p>
    <w:p>
      <w:pPr>
        <w:spacing w:line="600" w:lineRule="exact"/>
        <w:jc w:val="center"/>
        <w:rPr>
          <w:rFonts w:ascii="黑体" w:hAnsi="黑体" w:eastAsia="黑体"/>
          <w:sz w:val="44"/>
          <w:szCs w:val="44"/>
          <w:u w:val="thick" w:color="4B6EE0"/>
          <w:shd w:val="clear" w:fill="E8EBF5"/>
        </w:rPr>
      </w:pPr>
    </w:p>
    <w:p>
      <w:pPr>
        <w:pStyle w:val="3"/>
        <w:spacing w:before="93"/>
        <w:rPr>
          <w:u w:val="thick" w:color="4B6EE0"/>
          <w:shd w:val="clear" w:fill="E8EBF5"/>
        </w:rPr>
      </w:pPr>
    </w:p>
    <w:p>
      <w:pPr>
        <w:spacing w:line="600" w:lineRule="exact"/>
        <w:jc w:val="center"/>
        <w:rPr>
          <w:rFonts w:ascii="黑体" w:hAnsi="黑体" w:eastAsia="黑体"/>
          <w:sz w:val="44"/>
          <w:szCs w:val="44"/>
          <w:u w:val="thick" w:color="4B6EE0"/>
          <w:shd w:val="clear" w:fill="E8EBF5"/>
        </w:rPr>
      </w:pPr>
    </w:p>
    <w:p>
      <w:pPr>
        <w:spacing w:line="600" w:lineRule="exact"/>
        <w:jc w:val="center"/>
        <w:outlineLvl w:val="0"/>
        <w:rPr>
          <w:rStyle w:val="27"/>
          <w:rFonts w:hint="eastAsia" w:ascii="黑体" w:hAnsi="黑体" w:eastAsia="黑体"/>
          <w:b w:val="0"/>
        </w:rPr>
      </w:pPr>
      <w:bookmarkStart w:id="79" w:name="_Toc1058"/>
      <w:r>
        <w:rPr>
          <w:rStyle w:val="27"/>
          <w:rFonts w:hint="eastAsia" w:ascii="黑体" w:hAnsi="黑体" w:eastAsia="黑体"/>
          <w:b w:val="0"/>
        </w:rPr>
        <w:t>第五</w:t>
      </w:r>
      <w:r>
        <w:rPr>
          <w:rStyle w:val="27"/>
          <w:rFonts w:hint="eastAsia" w:ascii="黑体" w:hAnsi="黑体" w:eastAsia="黑体"/>
          <w:b w:val="0"/>
        </w:rPr>
        <w:t>部分 附表</w:t>
      </w:r>
      <w:bookmarkEnd w:id="74"/>
      <w:bookmarkEnd w:id="78"/>
      <w:bookmarkEnd w:id="79"/>
      <w:bookmarkStart w:id="80" w:name="_Toc15396619"/>
    </w:p>
    <w:p>
      <w:pPr>
        <w:pStyle w:val="12"/>
        <w:rPr>
          <w:rFonts w:ascii="Times New Roman" w:hAnsi="Times New Roman" w:eastAsia="仿宋_GB2312" w:cs="Times New Roman"/>
          <w:b w:val="0"/>
          <w:bCs/>
          <w:color w:val="000000"/>
          <w:spacing w:val="0"/>
          <w:kern w:val="0"/>
          <w:sz w:val="32"/>
          <w:szCs w:val="32"/>
          <w:lang w:val="en-US" w:eastAsia="zh-CN" w:bidi="ar-SA"/>
        </w:rPr>
      </w:pPr>
      <w:bookmarkStart w:id="81" w:name="_Toc29139"/>
      <w:r>
        <w:rPr>
          <w:rFonts w:hint="eastAsia" w:ascii="Times New Roman" w:hAnsi="Times New Roman" w:eastAsia="仿宋_GB2312" w:cs="Times New Roman"/>
          <w:b w:val="0"/>
          <w:bCs/>
          <w:color w:val="000000"/>
          <w:spacing w:val="0"/>
          <w:kern w:val="0"/>
          <w:sz w:val="32"/>
          <w:szCs w:val="32"/>
          <w:lang w:val="en-US" w:eastAsia="zh-CN" w:bidi="ar-SA"/>
        </w:rPr>
        <w:t>一、收入支出决算总表</w:t>
      </w:r>
      <w:bookmarkEnd w:id="80"/>
      <w:bookmarkEnd w:id="81"/>
    </w:p>
    <w:p>
      <w:pPr>
        <w:pStyle w:val="12"/>
        <w:rPr>
          <w:rFonts w:ascii="Times New Roman" w:hAnsi="Times New Roman" w:eastAsia="仿宋_GB2312" w:cs="Times New Roman"/>
          <w:b w:val="0"/>
          <w:bCs/>
          <w:color w:val="000000"/>
          <w:spacing w:val="0"/>
          <w:kern w:val="0"/>
          <w:sz w:val="32"/>
          <w:szCs w:val="32"/>
          <w:lang w:val="en-US" w:eastAsia="zh-CN" w:bidi="ar-SA"/>
        </w:rPr>
      </w:pPr>
      <w:bookmarkStart w:id="82" w:name="_Toc14624"/>
      <w:bookmarkStart w:id="83" w:name="_Toc15396620"/>
      <w:r>
        <w:rPr>
          <w:rFonts w:hint="eastAsia" w:ascii="Times New Roman" w:hAnsi="Times New Roman" w:eastAsia="仿宋_GB2312" w:cs="Times New Roman"/>
          <w:b w:val="0"/>
          <w:bCs/>
          <w:color w:val="000000"/>
          <w:spacing w:val="0"/>
          <w:kern w:val="0"/>
          <w:sz w:val="32"/>
          <w:szCs w:val="32"/>
          <w:lang w:val="en-US" w:eastAsia="zh-CN" w:bidi="ar-SA"/>
        </w:rPr>
        <w:t>二、收入决算表</w:t>
      </w:r>
      <w:bookmarkEnd w:id="82"/>
      <w:bookmarkEnd w:id="83"/>
    </w:p>
    <w:p>
      <w:pPr>
        <w:pStyle w:val="12"/>
        <w:rPr>
          <w:rFonts w:ascii="Times New Roman" w:hAnsi="Times New Roman" w:eastAsia="仿宋_GB2312" w:cs="Times New Roman"/>
          <w:b w:val="0"/>
          <w:bCs/>
          <w:color w:val="000000"/>
          <w:spacing w:val="0"/>
          <w:kern w:val="0"/>
          <w:sz w:val="32"/>
          <w:szCs w:val="32"/>
          <w:lang w:val="en-US" w:eastAsia="zh-CN" w:bidi="ar-SA"/>
        </w:rPr>
      </w:pPr>
      <w:bookmarkStart w:id="84" w:name="_Toc29518"/>
      <w:bookmarkStart w:id="85" w:name="_Toc15396621"/>
      <w:r>
        <w:rPr>
          <w:rFonts w:hint="eastAsia" w:ascii="Times New Roman" w:hAnsi="Times New Roman" w:eastAsia="仿宋_GB2312" w:cs="Times New Roman"/>
          <w:b w:val="0"/>
          <w:bCs/>
          <w:color w:val="000000"/>
          <w:spacing w:val="0"/>
          <w:kern w:val="0"/>
          <w:sz w:val="32"/>
          <w:szCs w:val="32"/>
          <w:lang w:val="en-US" w:eastAsia="zh-CN" w:bidi="ar-SA"/>
        </w:rPr>
        <w:t>三、支出决算表</w:t>
      </w:r>
      <w:bookmarkEnd w:id="84"/>
      <w:bookmarkEnd w:id="85"/>
    </w:p>
    <w:p>
      <w:pPr>
        <w:pStyle w:val="12"/>
        <w:rPr>
          <w:rFonts w:ascii="Times New Roman" w:hAnsi="Times New Roman" w:eastAsia="仿宋_GB2312" w:cs="Times New Roman"/>
          <w:b w:val="0"/>
          <w:bCs/>
          <w:color w:val="000000"/>
          <w:spacing w:val="0"/>
          <w:kern w:val="0"/>
          <w:sz w:val="32"/>
          <w:szCs w:val="32"/>
          <w:lang w:val="en-US" w:eastAsia="zh-CN" w:bidi="ar-SA"/>
        </w:rPr>
      </w:pPr>
      <w:bookmarkStart w:id="86" w:name="_Toc15396622"/>
      <w:bookmarkStart w:id="87" w:name="_Toc4343"/>
      <w:r>
        <w:rPr>
          <w:rFonts w:hint="eastAsia" w:ascii="Times New Roman" w:hAnsi="Times New Roman" w:eastAsia="仿宋_GB2312" w:cs="Times New Roman"/>
          <w:b w:val="0"/>
          <w:bCs/>
          <w:color w:val="000000"/>
          <w:spacing w:val="0"/>
          <w:kern w:val="0"/>
          <w:sz w:val="32"/>
          <w:szCs w:val="32"/>
          <w:lang w:val="en-US" w:eastAsia="zh-CN" w:bidi="ar-SA"/>
        </w:rPr>
        <w:t>四、财政拨款收入支出决算总表</w:t>
      </w:r>
      <w:bookmarkEnd w:id="86"/>
      <w:bookmarkEnd w:id="87"/>
    </w:p>
    <w:p>
      <w:pPr>
        <w:pStyle w:val="12"/>
        <w:rPr>
          <w:rFonts w:ascii="Times New Roman" w:hAnsi="Times New Roman" w:eastAsia="仿宋_GB2312" w:cs="Times New Roman"/>
          <w:b w:val="0"/>
          <w:bCs/>
          <w:color w:val="000000"/>
          <w:spacing w:val="0"/>
          <w:kern w:val="0"/>
          <w:sz w:val="32"/>
          <w:szCs w:val="32"/>
          <w:lang w:val="en-US" w:eastAsia="zh-CN" w:bidi="ar-SA"/>
        </w:rPr>
      </w:pPr>
      <w:bookmarkStart w:id="88" w:name="_Toc7697"/>
      <w:bookmarkStart w:id="89" w:name="_Toc15396623"/>
      <w:r>
        <w:rPr>
          <w:rFonts w:hint="eastAsia" w:ascii="Times New Roman" w:hAnsi="Times New Roman" w:eastAsia="仿宋_GB2312" w:cs="Times New Roman"/>
          <w:b w:val="0"/>
          <w:bCs/>
          <w:color w:val="000000"/>
          <w:spacing w:val="0"/>
          <w:kern w:val="0"/>
          <w:sz w:val="32"/>
          <w:szCs w:val="32"/>
          <w:lang w:val="en-US" w:eastAsia="zh-CN" w:bidi="ar-SA"/>
        </w:rPr>
        <w:t>五、财政拨款支出决算明细表</w:t>
      </w:r>
      <w:bookmarkEnd w:id="88"/>
      <w:bookmarkEnd w:id="89"/>
      <w:bookmarkStart w:id="90" w:name="_Toc15396624"/>
    </w:p>
    <w:p>
      <w:pPr>
        <w:pStyle w:val="12"/>
        <w:rPr>
          <w:rFonts w:ascii="Times New Roman" w:hAnsi="Times New Roman" w:eastAsia="仿宋_GB2312" w:cs="Times New Roman"/>
          <w:b w:val="0"/>
          <w:bCs/>
          <w:color w:val="000000"/>
          <w:spacing w:val="0"/>
          <w:kern w:val="0"/>
          <w:sz w:val="32"/>
          <w:szCs w:val="32"/>
          <w:lang w:val="en-US" w:eastAsia="zh-CN" w:bidi="ar-SA"/>
        </w:rPr>
      </w:pPr>
      <w:bookmarkStart w:id="91" w:name="_Toc9326"/>
      <w:r>
        <w:rPr>
          <w:rFonts w:hint="eastAsia" w:ascii="Times New Roman" w:hAnsi="Times New Roman" w:eastAsia="仿宋_GB2312" w:cs="Times New Roman"/>
          <w:b w:val="0"/>
          <w:bCs/>
          <w:color w:val="000000"/>
          <w:spacing w:val="0"/>
          <w:kern w:val="0"/>
          <w:sz w:val="32"/>
          <w:szCs w:val="32"/>
          <w:lang w:val="en-US" w:eastAsia="zh-CN" w:bidi="ar-SA"/>
        </w:rPr>
        <w:t>六、一般公共预算财政拨款支出决算表</w:t>
      </w:r>
      <w:bookmarkEnd w:id="90"/>
      <w:bookmarkEnd w:id="91"/>
    </w:p>
    <w:p>
      <w:pPr>
        <w:pStyle w:val="12"/>
        <w:rPr>
          <w:rFonts w:ascii="Times New Roman" w:hAnsi="Times New Roman" w:eastAsia="仿宋_GB2312" w:cs="Times New Roman"/>
          <w:b w:val="0"/>
          <w:bCs/>
          <w:color w:val="000000"/>
          <w:spacing w:val="0"/>
          <w:kern w:val="0"/>
          <w:sz w:val="32"/>
          <w:szCs w:val="32"/>
          <w:lang w:val="en-US" w:eastAsia="zh-CN" w:bidi="ar-SA"/>
        </w:rPr>
      </w:pPr>
      <w:bookmarkStart w:id="92" w:name="_Toc10377"/>
      <w:bookmarkStart w:id="93" w:name="_Toc15396625"/>
      <w:r>
        <w:rPr>
          <w:rFonts w:hint="eastAsia" w:ascii="Times New Roman" w:hAnsi="Times New Roman" w:eastAsia="仿宋_GB2312" w:cs="Times New Roman"/>
          <w:b w:val="0"/>
          <w:bCs/>
          <w:color w:val="000000"/>
          <w:spacing w:val="0"/>
          <w:kern w:val="0"/>
          <w:sz w:val="32"/>
          <w:szCs w:val="32"/>
          <w:lang w:val="en-US" w:eastAsia="zh-CN" w:bidi="ar-SA"/>
        </w:rPr>
        <w:t>七、一般公共预算财政拨款支出决算明细表</w:t>
      </w:r>
      <w:bookmarkEnd w:id="92"/>
      <w:bookmarkEnd w:id="93"/>
    </w:p>
    <w:p>
      <w:pPr>
        <w:pStyle w:val="12"/>
        <w:rPr>
          <w:rFonts w:ascii="Times New Roman" w:hAnsi="Times New Roman" w:eastAsia="仿宋_GB2312" w:cs="Times New Roman"/>
          <w:b w:val="0"/>
          <w:bCs/>
          <w:color w:val="000000"/>
          <w:spacing w:val="0"/>
          <w:kern w:val="0"/>
          <w:sz w:val="32"/>
          <w:szCs w:val="32"/>
          <w:lang w:val="en-US" w:eastAsia="zh-CN" w:bidi="ar-SA"/>
        </w:rPr>
      </w:pPr>
      <w:bookmarkStart w:id="94" w:name="_Toc13843"/>
      <w:bookmarkStart w:id="95" w:name="_Toc15396626"/>
      <w:r>
        <w:rPr>
          <w:rFonts w:hint="eastAsia" w:ascii="Times New Roman" w:hAnsi="Times New Roman" w:eastAsia="仿宋_GB2312" w:cs="Times New Roman"/>
          <w:b w:val="0"/>
          <w:bCs/>
          <w:color w:val="000000"/>
          <w:spacing w:val="0"/>
          <w:kern w:val="0"/>
          <w:sz w:val="32"/>
          <w:szCs w:val="32"/>
          <w:lang w:val="en-US" w:eastAsia="zh-CN" w:bidi="ar-SA"/>
        </w:rPr>
        <w:t>八、一般公共预算财政拨款基本支出决算表</w:t>
      </w:r>
      <w:bookmarkEnd w:id="94"/>
      <w:bookmarkEnd w:id="95"/>
    </w:p>
    <w:p>
      <w:pPr>
        <w:pStyle w:val="12"/>
        <w:rPr>
          <w:rFonts w:ascii="Times New Roman" w:hAnsi="Times New Roman" w:eastAsia="仿宋_GB2312" w:cs="Times New Roman"/>
          <w:b w:val="0"/>
          <w:bCs/>
          <w:color w:val="000000"/>
          <w:spacing w:val="0"/>
          <w:kern w:val="0"/>
          <w:sz w:val="32"/>
          <w:szCs w:val="32"/>
          <w:lang w:val="en-US" w:eastAsia="zh-CN" w:bidi="ar-SA"/>
        </w:rPr>
      </w:pPr>
      <w:bookmarkStart w:id="96" w:name="_Toc24976"/>
      <w:bookmarkStart w:id="97" w:name="_Toc15396627"/>
      <w:r>
        <w:rPr>
          <w:rFonts w:hint="eastAsia" w:ascii="Times New Roman" w:hAnsi="Times New Roman" w:eastAsia="仿宋_GB2312" w:cs="Times New Roman"/>
          <w:b w:val="0"/>
          <w:bCs/>
          <w:color w:val="000000"/>
          <w:spacing w:val="0"/>
          <w:kern w:val="0"/>
          <w:sz w:val="32"/>
          <w:szCs w:val="32"/>
          <w:lang w:val="en-US" w:eastAsia="zh-CN" w:bidi="ar-SA"/>
        </w:rPr>
        <w:t>九、一般公共预算财政拨款项目支出决算表</w:t>
      </w:r>
      <w:bookmarkEnd w:id="96"/>
      <w:bookmarkEnd w:id="97"/>
    </w:p>
    <w:p>
      <w:pPr>
        <w:pStyle w:val="12"/>
        <w:rPr>
          <w:rFonts w:ascii="Times New Roman" w:hAnsi="Times New Roman" w:eastAsia="仿宋_GB2312" w:cs="Times New Roman"/>
          <w:b w:val="0"/>
          <w:bCs/>
          <w:color w:val="000000"/>
          <w:spacing w:val="0"/>
          <w:kern w:val="0"/>
          <w:sz w:val="32"/>
          <w:szCs w:val="32"/>
          <w:lang w:val="en-US" w:eastAsia="zh-CN" w:bidi="ar-SA"/>
        </w:rPr>
      </w:pPr>
      <w:bookmarkStart w:id="98" w:name="_Toc15805"/>
      <w:bookmarkStart w:id="99" w:name="_Toc15396628"/>
      <w:r>
        <w:rPr>
          <w:rFonts w:hint="eastAsia" w:ascii="Times New Roman" w:hAnsi="Times New Roman" w:eastAsia="仿宋_GB2312" w:cs="Times New Roman"/>
          <w:b w:val="0"/>
          <w:bCs/>
          <w:color w:val="000000"/>
          <w:spacing w:val="0"/>
          <w:kern w:val="0"/>
          <w:sz w:val="32"/>
          <w:szCs w:val="32"/>
          <w:lang w:val="en-US" w:eastAsia="zh-CN" w:bidi="ar-SA"/>
        </w:rPr>
        <w:t>十、一般公共预算财政拨款“三公”经费支出决算表</w:t>
      </w:r>
      <w:bookmarkEnd w:id="98"/>
      <w:bookmarkEnd w:id="99"/>
    </w:p>
    <w:p>
      <w:pPr>
        <w:pStyle w:val="12"/>
        <w:rPr>
          <w:rFonts w:ascii="Times New Roman" w:hAnsi="Times New Roman" w:eastAsia="仿宋_GB2312" w:cs="Times New Roman"/>
          <w:b w:val="0"/>
          <w:bCs/>
          <w:color w:val="000000"/>
          <w:spacing w:val="0"/>
          <w:kern w:val="0"/>
          <w:sz w:val="32"/>
          <w:szCs w:val="32"/>
          <w:lang w:val="en-US" w:eastAsia="zh-CN" w:bidi="ar-SA"/>
        </w:rPr>
      </w:pPr>
      <w:bookmarkStart w:id="100" w:name="_Toc15487"/>
      <w:bookmarkStart w:id="101" w:name="_Toc15396629"/>
      <w:r>
        <w:rPr>
          <w:rFonts w:hint="eastAsia" w:ascii="Times New Roman" w:hAnsi="Times New Roman" w:eastAsia="仿宋_GB2312" w:cs="Times New Roman"/>
          <w:b w:val="0"/>
          <w:bCs/>
          <w:color w:val="000000"/>
          <w:spacing w:val="0"/>
          <w:kern w:val="0"/>
          <w:sz w:val="32"/>
          <w:szCs w:val="32"/>
          <w:lang w:val="en-US" w:eastAsia="zh-CN" w:bidi="ar-SA"/>
        </w:rPr>
        <w:t>十一、政府性基金预算财政拨款收入支出决算表</w:t>
      </w:r>
      <w:bookmarkEnd w:id="100"/>
      <w:bookmarkEnd w:id="101"/>
    </w:p>
    <w:p>
      <w:pPr>
        <w:pStyle w:val="12"/>
        <w:rPr>
          <w:rFonts w:ascii="Times New Roman" w:hAnsi="Times New Roman" w:eastAsia="仿宋_GB2312" w:cs="Times New Roman"/>
          <w:b w:val="0"/>
          <w:bCs/>
          <w:color w:val="000000"/>
          <w:spacing w:val="0"/>
          <w:kern w:val="0"/>
          <w:sz w:val="32"/>
          <w:szCs w:val="32"/>
          <w:lang w:val="en-US" w:eastAsia="zh-CN" w:bidi="ar-SA"/>
        </w:rPr>
      </w:pPr>
      <w:bookmarkStart w:id="102" w:name="_Toc14539"/>
      <w:bookmarkStart w:id="103" w:name="_Toc15396630"/>
      <w:r>
        <w:rPr>
          <w:rFonts w:hint="eastAsia" w:ascii="Times New Roman" w:hAnsi="Times New Roman" w:eastAsia="仿宋_GB2312" w:cs="Times New Roman"/>
          <w:b w:val="0"/>
          <w:bCs/>
          <w:color w:val="000000"/>
          <w:spacing w:val="0"/>
          <w:kern w:val="0"/>
          <w:sz w:val="32"/>
          <w:szCs w:val="32"/>
          <w:lang w:val="en-US" w:eastAsia="zh-CN" w:bidi="ar-SA"/>
        </w:rPr>
        <w:t>十二、政府性基金预算财政拨款“三公”经费支出决算表</w:t>
      </w:r>
      <w:bookmarkEnd w:id="102"/>
      <w:bookmarkEnd w:id="103"/>
    </w:p>
    <w:p>
      <w:pPr>
        <w:pStyle w:val="12"/>
        <w:rPr>
          <w:rFonts w:ascii="Times New Roman" w:hAnsi="Times New Roman" w:eastAsia="仿宋_GB2312" w:cs="Times New Roman"/>
          <w:b w:val="0"/>
          <w:bCs/>
          <w:color w:val="000000"/>
          <w:spacing w:val="0"/>
          <w:kern w:val="0"/>
          <w:sz w:val="32"/>
          <w:szCs w:val="32"/>
          <w:lang w:val="en-US" w:eastAsia="zh-CN" w:bidi="ar-SA"/>
        </w:rPr>
      </w:pPr>
      <w:bookmarkStart w:id="104" w:name="_Toc15396631"/>
      <w:bookmarkStart w:id="105" w:name="_Toc737"/>
      <w:r>
        <w:rPr>
          <w:rFonts w:hint="eastAsia" w:ascii="Times New Roman" w:hAnsi="Times New Roman" w:eastAsia="仿宋_GB2312" w:cs="Times New Roman"/>
          <w:b w:val="0"/>
          <w:bCs/>
          <w:color w:val="000000"/>
          <w:spacing w:val="0"/>
          <w:kern w:val="0"/>
          <w:sz w:val="32"/>
          <w:szCs w:val="32"/>
          <w:lang w:val="en-US" w:eastAsia="zh-CN" w:bidi="ar-SA"/>
        </w:rPr>
        <w:t>十三、国有资本经营预算财政拨款收入支出决算表</w:t>
      </w:r>
      <w:bookmarkEnd w:id="104"/>
      <w:bookmarkEnd w:id="105"/>
    </w:p>
    <w:p>
      <w:pPr>
        <w:rPr>
          <w:rFonts w:ascii="Times New Roman" w:hAnsi="Times New Roman" w:eastAsia="仿宋_GB2312" w:cs="Times New Roman"/>
          <w:b w:val="0"/>
          <w:bCs/>
          <w:color w:val="000000"/>
          <w:spacing w:val="0"/>
          <w:kern w:val="0"/>
          <w:sz w:val="32"/>
          <w:szCs w:val="32"/>
          <w:lang w:val="en-US" w:eastAsia="zh-CN" w:bidi="ar-SA"/>
        </w:rPr>
      </w:pPr>
      <w:bookmarkStart w:id="106" w:name="_Toc11684"/>
      <w:r>
        <w:rPr>
          <w:rFonts w:hint="eastAsia" w:ascii="Times New Roman" w:hAnsi="Times New Roman" w:eastAsia="仿宋_GB2312" w:cs="Times New Roman"/>
          <w:b w:val="0"/>
          <w:bCs/>
          <w:color w:val="000000"/>
          <w:spacing w:val="0"/>
          <w:kern w:val="0"/>
          <w:sz w:val="32"/>
          <w:szCs w:val="32"/>
          <w:lang w:val="en-US" w:eastAsia="zh-CN" w:bidi="ar-SA"/>
        </w:rPr>
        <w:t>十四、国有资本经营预算财政拨款支出决算表</w:t>
      </w:r>
      <w:bookmarkEnd w:id="106"/>
    </w:p>
    <w:sectPr>
      <w:footerReference r:id="rId12" w:type="first"/>
      <w:footerReference r:id="rId11"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769E0D8-E861-4C30-853C-63F08EA4A9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78C69FE-76FE-4402-93D7-39B5C1F816BF}"/>
  </w:font>
  <w:font w:name="Cambria">
    <w:panose1 w:val="02040503050406030204"/>
    <w:charset w:val="00"/>
    <w:family w:val="auto"/>
    <w:pitch w:val="default"/>
    <w:sig w:usb0="E00006FF" w:usb1="420024FF" w:usb2="02000000" w:usb3="00000000" w:csb0="2000019F" w:csb1="00000000"/>
    <w:embedRegular r:id="rId3" w:fontKey="{81ED2174-7553-4F95-BC58-82C754548872}"/>
  </w:font>
  <w:font w:name="仿宋_GB2312">
    <w:panose1 w:val="02010609030101010101"/>
    <w:charset w:val="86"/>
    <w:family w:val="auto"/>
    <w:pitch w:val="default"/>
    <w:sig w:usb0="00000001" w:usb1="080E0000" w:usb2="00000000" w:usb3="00000000" w:csb0="00040000" w:csb1="00000000"/>
    <w:embedRegular r:id="rId4" w:fontKey="{2A27AA9D-6908-471F-B4E8-3BAF19E5357A}"/>
  </w:font>
  <w:font w:name="仿宋">
    <w:panose1 w:val="02010609060101010101"/>
    <w:charset w:val="86"/>
    <w:family w:val="auto"/>
    <w:pitch w:val="default"/>
    <w:sig w:usb0="800002BF" w:usb1="38CF7CFA" w:usb2="00000016" w:usb3="00000000" w:csb0="00040001" w:csb1="00000000"/>
    <w:embedRegular r:id="rId5" w:fontKey="{6A3C30AA-3402-45B9-8BAC-D34D6BA7AC12}"/>
  </w:font>
  <w:font w:name="Arial">
    <w:panose1 w:val="020B0604020202020204"/>
    <w:charset w:val="00"/>
    <w:family w:val="auto"/>
    <w:pitch w:val="default"/>
    <w:sig w:usb0="E0002EFF" w:usb1="C000785B" w:usb2="00000009" w:usb3="00000000" w:csb0="400001FF" w:csb1="FFFF0000"/>
    <w:embedRegular r:id="rId6" w:fontKey="{436B0C01-A0A5-46AF-A10D-6030D1B44B59}"/>
  </w:font>
  <w:font w:name="微软雅黑">
    <w:panose1 w:val="020B0503020204020204"/>
    <w:charset w:val="86"/>
    <w:family w:val="auto"/>
    <w:pitch w:val="default"/>
    <w:sig w:usb0="80000287" w:usb1="2ACF3C50" w:usb2="00000016" w:usb3="00000000" w:csb0="0004001F" w:csb1="00000000"/>
    <w:embedRegular r:id="rId7" w:fontKey="{60B9E844-8E3A-470B-B204-DAC8BB37EDCE}"/>
  </w:font>
  <w:font w:name="方正小标宋简体">
    <w:panose1 w:val="02010601030101010101"/>
    <w:charset w:val="86"/>
    <w:family w:val="auto"/>
    <w:pitch w:val="default"/>
    <w:sig w:usb0="00000001" w:usb1="080E0000" w:usb2="00000000" w:usb3="00000000" w:csb0="00040000" w:csb1="00000000"/>
  </w:font>
  <w:font w:name="方正楷体_GB2312">
    <w:altName w:val="楷体_GB2312"/>
    <w:panose1 w:val="00000000000000000000"/>
    <w:charset w:val="86"/>
    <w:family w:val="auto"/>
    <w:pitch w:val="default"/>
    <w:sig w:usb0="00000000" w:usb1="00000000" w:usb2="00000000" w:usb3="00000000" w:csb0="00000000" w:csb1="00000000"/>
    <w:embedRegular r:id="rId8" w:fontKey="{1384E437-EA88-4A17-9DE7-607D2323FDCE}"/>
  </w:font>
  <w:font w:name="楷体_GB2312">
    <w:panose1 w:val="02010609030101010101"/>
    <w:charset w:val="86"/>
    <w:family w:val="auto"/>
    <w:pitch w:val="default"/>
    <w:sig w:usb0="00000001" w:usb1="080E0000" w:usb2="00000000" w:usb3="00000000" w:csb0="00040000" w:csb1="00000000"/>
    <w:embedRegular r:id="rId9" w:fontKey="{65902116-D261-4153-BCAC-956C68EFD42B}"/>
  </w:font>
  <w:font w:name="方正小标宋_GBK">
    <w:altName w:val="Arial Unicode MS"/>
    <w:panose1 w:val="00000000000000000000"/>
    <w:charset w:val="86"/>
    <w:family w:val="auto"/>
    <w:pitch w:val="default"/>
    <w:sig w:usb0="00000000" w:usb1="00000000" w:usb2="00000000" w:usb3="00000000" w:csb0="00000000" w:csb1="00000000"/>
    <w:embedRegular r:id="rId10" w:fontKey="{A816A4D0-3D06-4994-95EA-B50E7DFC88C1}"/>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PAGE   \* MERGEFORMAT</w:instrText>
    </w:r>
    <w:r>
      <w:fldChar w:fldCharType="separate"/>
    </w:r>
    <w:r>
      <w:rPr>
        <w:lang w:val="zh-CN"/>
      </w:rPr>
      <w:t>8</w:t>
    </w:r>
    <w: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15"/>
          <w:jc w:val="center"/>
        </w:pPr>
        <w:r>
          <w:fldChar w:fldCharType="begin"/>
        </w:r>
        <w:r>
          <w:instrText xml:space="preserve">PAGE   \* MERGEFORMAT</w:instrText>
        </w:r>
        <w:r>
          <w:fldChar w:fldCharType="separate"/>
        </w:r>
        <w:r>
          <w:rPr>
            <w:lang w:val="zh-CN"/>
          </w:rPr>
          <w:t>24</w:t>
        </w:r>
        <w:r>
          <w:fldChar w:fldCharType="end"/>
        </w:r>
      </w:p>
    </w:sdtContent>
  </w:sdt>
  <w:p>
    <w:pPr>
      <w:pStyle w:val="1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singleLevel"/>
    <w:tmpl w:val="CF092B84"/>
    <w:lvl w:ilvl="0" w:tentative="0">
      <w:start w:val="3"/>
      <w:numFmt w:val="chineseCounting"/>
      <w:suff w:val="nothing"/>
      <w:lvlText w:val="（%1）"/>
      <w:lvlJc w:val="left"/>
      <w:rPr>
        <w:rFonts w:hint="eastAsia"/>
      </w:rPr>
    </w:lvl>
  </w:abstractNum>
  <w:abstractNum w:abstractNumId="1">
    <w:nsid w:val="0053208E"/>
    <w:multiLevelType w:val="singleLevel"/>
    <w:tmpl w:val="0053208E"/>
    <w:lvl w:ilvl="0" w:tentative="0">
      <w:start w:val="9"/>
      <w:numFmt w:val="chineseCounting"/>
      <w:suff w:val="nothing"/>
      <w:lvlText w:val="%1、"/>
      <w:lvlJc w:val="left"/>
      <w:rPr>
        <w:rFonts w:hint="eastAsia"/>
      </w:rPr>
    </w:lvl>
  </w:abstractNum>
  <w:abstractNum w:abstractNumId="2">
    <w:nsid w:val="59ADCABA"/>
    <w:multiLevelType w:val="singleLevel"/>
    <w:tmpl w:val="59ADCABA"/>
    <w:lvl w:ilvl="0" w:tentative="0">
      <w:start w:val="3"/>
      <w:numFmt w:val="chineseCounting"/>
      <w:suff w:val="space"/>
      <w:lvlText w:val="第%1部分"/>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NotTrackMoves/>
  <w:documentProtection w:edit="trackedChanges"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TUyYTBhZThmOTU4YTliMjhiZDc4ZDk4MjhmMTAzNjkifQ=="/>
  </w:docVars>
  <w:rsids>
    <w:rsidRoot w:val="00000000"/>
    <w:rsid w:val="15365555"/>
    <w:rsid w:val="44114C72"/>
    <w:rsid w:val="4B497625"/>
    <w:rsid w:val="744D516C"/>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ody Text"/>
    <w:basedOn w:val="1"/>
    <w:qFormat/>
    <w:uiPriority w:val="99"/>
    <w:pPr>
      <w:spacing w:beforeLines="30"/>
    </w:pPr>
    <w:rPr>
      <w:rFonts w:ascii="仿宋_GB2312" w:eastAsia="仿宋_GB2312"/>
      <w:kern w:val="0"/>
      <w:sz w:val="30"/>
    </w:rPr>
  </w:style>
  <w:style w:type="paragraph" w:styleId="4">
    <w:name w:val="Balloon Text"/>
    <w:basedOn w:val="1"/>
    <w:semiHidden/>
    <w:unhideWhenUsed/>
    <w:qFormat/>
    <w:uiPriority w:val="99"/>
    <w:rPr>
      <w:sz w:val="18"/>
      <w:szCs w:val="18"/>
    </w:rPr>
  </w:style>
  <w:style w:type="table" w:styleId="6">
    <w:name w:val="Table Grid"/>
    <w:basedOn w:val="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8">
    <w:name w:val="Strong"/>
    <w:basedOn w:val="7"/>
    <w:qFormat/>
    <w:uiPriority w:val="99"/>
    <w:rPr>
      <w:b/>
    </w:rPr>
  </w:style>
  <w:style w:type="character" w:styleId="9">
    <w:name w:val="Hyperlink"/>
    <w:basedOn w:val="7"/>
    <w:unhideWhenUsed/>
    <w:qFormat/>
    <w:uiPriority w:val="99"/>
    <w:rPr>
      <w:color w:val="0000FF" w:themeColor="hyperlink"/>
      <w:u w:val="single"/>
    </w:rPr>
  </w:style>
  <w:style w:type="character" w:styleId="10">
    <w:name w:val="annotation reference"/>
    <w:basedOn w:val="7"/>
    <w:semiHidden/>
    <w:unhideWhenUsed/>
    <w:qFormat/>
    <w:uiPriority w:val="99"/>
    <w:rPr>
      <w:sz w:val="21"/>
      <w:szCs w:val="21"/>
    </w:rPr>
  </w:style>
  <w:style w:type="paragraph" w:customStyle="1" w:styleId="11">
    <w:name w:val="Heading 1"/>
    <w:basedOn w:val="1"/>
    <w:next w:val="1"/>
    <w:link w:val="27"/>
    <w:qFormat/>
    <w:uiPriority w:val="9"/>
    <w:pPr>
      <w:keepNext/>
      <w:keepLines/>
      <w:spacing w:before="340" w:after="330" w:line="578" w:lineRule="auto"/>
      <w:outlineLvl w:val="0"/>
    </w:pPr>
    <w:rPr>
      <w:b/>
      <w:bCs/>
      <w:kern w:val="44"/>
      <w:sz w:val="44"/>
      <w:szCs w:val="44"/>
    </w:rPr>
  </w:style>
  <w:style w:type="paragraph" w:customStyle="1" w:styleId="12">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customStyle="1" w:styleId="13">
    <w:name w:val="Heading 3"/>
    <w:basedOn w:val="1"/>
    <w:next w:val="1"/>
    <w:link w:val="31"/>
    <w:unhideWhenUsed/>
    <w:qFormat/>
    <w:uiPriority w:val="9"/>
    <w:pPr>
      <w:keepNext/>
      <w:keepLines/>
      <w:spacing w:before="260" w:after="260" w:line="416" w:lineRule="auto"/>
      <w:outlineLvl w:val="2"/>
    </w:pPr>
    <w:rPr>
      <w:b/>
      <w:bCs/>
      <w:sz w:val="32"/>
      <w:szCs w:val="32"/>
    </w:rPr>
  </w:style>
  <w:style w:type="paragraph" w:customStyle="1" w:styleId="14">
    <w:name w:val="TOC 3"/>
    <w:basedOn w:val="1"/>
    <w:next w:val="1"/>
    <w:unhideWhenUsed/>
    <w:qFormat/>
    <w:uiPriority w:val="39"/>
    <w:pPr>
      <w:tabs>
        <w:tab w:val="right" w:leader="dot" w:pos="8296"/>
      </w:tabs>
      <w:ind w:left="840" w:leftChars="400"/>
    </w:pPr>
  </w:style>
  <w:style w:type="paragraph" w:customStyle="1" w:styleId="15">
    <w:name w:val="Footer"/>
    <w:basedOn w:val="1"/>
    <w:qFormat/>
    <w:uiPriority w:val="99"/>
    <w:pPr>
      <w:tabs>
        <w:tab w:val="center" w:pos="4153"/>
        <w:tab w:val="right" w:pos="8306"/>
      </w:tabs>
      <w:snapToGrid w:val="0"/>
      <w:jc w:val="left"/>
    </w:pPr>
    <w:rPr>
      <w:rFonts w:ascii="Calibri" w:hAnsi="Calibri"/>
      <w:kern w:val="0"/>
      <w:sz w:val="18"/>
      <w:szCs w:val="18"/>
    </w:rPr>
  </w:style>
  <w:style w:type="paragraph" w:customStyle="1" w:styleId="16">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customStyle="1" w:styleId="17">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customStyle="1" w:styleId="18">
    <w:name w:val="TOC 2"/>
    <w:basedOn w:val="1"/>
    <w:next w:val="1"/>
    <w:unhideWhenUsed/>
    <w:qFormat/>
    <w:uiPriority w:val="39"/>
    <w:pPr>
      <w:tabs>
        <w:tab w:val="right" w:leader="dot" w:pos="8296"/>
      </w:tabs>
      <w:ind w:left="420" w:leftChars="200"/>
    </w:pPr>
  </w:style>
  <w:style w:type="character" w:customStyle="1" w:styleId="19">
    <w:name w:val="Header Char"/>
    <w:basedOn w:val="7"/>
    <w:semiHidden/>
    <w:qFormat/>
    <w:uiPriority w:val="99"/>
    <w:rPr>
      <w:rFonts w:ascii="Times New Roman" w:hAnsi="Times New Roman"/>
      <w:sz w:val="18"/>
      <w:szCs w:val="18"/>
    </w:rPr>
  </w:style>
  <w:style w:type="character" w:customStyle="1" w:styleId="20">
    <w:name w:val="页眉 Char"/>
    <w:semiHidden/>
    <w:qFormat/>
    <w:locked/>
    <w:uiPriority w:val="99"/>
    <w:rPr>
      <w:sz w:val="18"/>
    </w:rPr>
  </w:style>
  <w:style w:type="character" w:customStyle="1" w:styleId="21">
    <w:name w:val="Footer Char"/>
    <w:basedOn w:val="7"/>
    <w:semiHidden/>
    <w:qFormat/>
    <w:uiPriority w:val="99"/>
    <w:rPr>
      <w:rFonts w:ascii="Times New Roman" w:hAnsi="Times New Roman"/>
      <w:sz w:val="18"/>
      <w:szCs w:val="18"/>
    </w:rPr>
  </w:style>
  <w:style w:type="character" w:customStyle="1" w:styleId="22">
    <w:name w:val="页脚 Char"/>
    <w:qFormat/>
    <w:locked/>
    <w:uiPriority w:val="99"/>
    <w:rPr>
      <w:sz w:val="18"/>
    </w:rPr>
  </w:style>
  <w:style w:type="character" w:customStyle="1" w:styleId="23">
    <w:name w:val="Body Text Char"/>
    <w:basedOn w:val="7"/>
    <w:semiHidden/>
    <w:qFormat/>
    <w:uiPriority w:val="99"/>
    <w:rPr>
      <w:rFonts w:ascii="Times New Roman" w:hAnsi="Times New Roman"/>
      <w:szCs w:val="24"/>
    </w:rPr>
  </w:style>
  <w:style w:type="character" w:customStyle="1" w:styleId="24">
    <w:name w:val="正文文本 Char"/>
    <w:qFormat/>
    <w:locked/>
    <w:uiPriority w:val="99"/>
    <w:rPr>
      <w:rFonts w:ascii="仿宋_GB2312" w:hAnsi="Times New Roman" w:eastAsia="仿宋_GB2312"/>
      <w:sz w:val="24"/>
    </w:rPr>
  </w:style>
  <w:style w:type="paragraph" w:customStyle="1" w:styleId="2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6">
    <w:name w:val="List Paragraph"/>
    <w:basedOn w:val="1"/>
    <w:qFormat/>
    <w:uiPriority w:val="34"/>
    <w:pPr>
      <w:ind w:firstLine="420" w:firstLineChars="200"/>
    </w:pPr>
  </w:style>
  <w:style w:type="character" w:customStyle="1" w:styleId="27">
    <w:name w:val="标题 1 Char"/>
    <w:basedOn w:val="7"/>
    <w:link w:val="11"/>
    <w:qFormat/>
    <w:uiPriority w:val="9"/>
    <w:rPr>
      <w:rFonts w:ascii="Times New Roman" w:hAnsi="Times New Roman"/>
      <w:b/>
      <w:bCs/>
      <w:kern w:val="44"/>
      <w:sz w:val="44"/>
      <w:szCs w:val="44"/>
    </w:rPr>
  </w:style>
  <w:style w:type="character" w:customStyle="1" w:styleId="28">
    <w:name w:val="标题 2 Char"/>
    <w:basedOn w:val="7"/>
    <w:link w:val="12"/>
    <w:qFormat/>
    <w:uiPriority w:val="9"/>
    <w:rPr>
      <w:rFonts w:asciiTheme="majorHAnsi" w:hAnsiTheme="majorHAnsi" w:eastAsiaTheme="majorEastAsia" w:cstheme="majorBidi"/>
      <w:b/>
      <w:bCs/>
      <w:kern w:val="2"/>
      <w:sz w:val="32"/>
      <w:szCs w:val="32"/>
    </w:rPr>
  </w:style>
  <w:style w:type="paragraph" w:customStyle="1" w:styleId="29">
    <w:name w:val="TOC 标题1"/>
    <w:basedOn w:val="11"/>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0">
    <w:name w:val="批注框文本 Char"/>
    <w:basedOn w:val="7"/>
    <w:semiHidden/>
    <w:qFormat/>
    <w:uiPriority w:val="99"/>
    <w:rPr>
      <w:rFonts w:ascii="Times New Roman" w:hAnsi="Times New Roman"/>
      <w:kern w:val="2"/>
      <w:sz w:val="18"/>
      <w:szCs w:val="18"/>
    </w:rPr>
  </w:style>
  <w:style w:type="character" w:customStyle="1" w:styleId="31">
    <w:name w:val="标题 3 Char"/>
    <w:basedOn w:val="7"/>
    <w:link w:val="13"/>
    <w:qFormat/>
    <w:uiPriority w:val="9"/>
    <w:rPr>
      <w:rFonts w:ascii="Times New Roman" w:hAnsi="Times New Roman"/>
      <w:b/>
      <w:bCs/>
      <w:kern w:val="2"/>
      <w:sz w:val="32"/>
      <w:szCs w:val="32"/>
    </w:rPr>
  </w:style>
  <w:style w:type="paragraph" w:customStyle="1" w:styleId="32">
    <w:name w:val="TOC 标题2"/>
    <w:basedOn w:val="11"/>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33">
    <w:name w:val="样式1"/>
    <w:basedOn w:val="1"/>
    <w:qFormat/>
    <w:uiPriority w:val="0"/>
    <w:pPr>
      <w:spacing w:line="600" w:lineRule="exact"/>
      <w:ind w:firstLine="607" w:firstLineChars="200"/>
    </w:pPr>
    <w:rPr>
      <w:rFonts w:ascii="仿宋_GB2312"/>
      <w:spacing w:val="4"/>
      <w:szCs w:val="30"/>
    </w:rPr>
  </w:style>
  <w:style w:type="character" w:customStyle="1" w:styleId="34">
    <w:name w:val="font61"/>
    <w:basedOn w:val="7"/>
    <w:qFormat/>
    <w:uiPriority w:val="0"/>
    <w:rPr>
      <w:rFonts w:hint="eastAsia" w:ascii="宋体" w:hAnsi="宋体" w:eastAsia="宋体" w:cs="宋体"/>
      <w:color w:val="000000"/>
      <w:sz w:val="20"/>
      <w:szCs w:val="20"/>
      <w:u w:val="none"/>
    </w:rPr>
  </w:style>
  <w:style w:type="character" w:customStyle="1" w:styleId="35">
    <w:name w:val="font111"/>
    <w:basedOn w:val="7"/>
    <w:qFormat/>
    <w:uiPriority w:val="0"/>
    <w:rPr>
      <w:rFonts w:ascii="Arial" w:hAnsi="Arial" w:cs="Arial"/>
      <w:color w:val="000000"/>
      <w:sz w:val="20"/>
      <w:szCs w:val="20"/>
      <w:u w:val="none"/>
    </w:rPr>
  </w:style>
  <w:style w:type="character" w:customStyle="1" w:styleId="36">
    <w:name w:val="font13"/>
    <w:basedOn w:val="7"/>
    <w:qFormat/>
    <w:uiPriority w:val="0"/>
    <w:rPr>
      <w:rFonts w:ascii="微软雅黑" w:hAnsi="微软雅黑" w:eastAsia="微软雅黑" w:cs="微软雅黑"/>
      <w:color w:val="000000"/>
      <w:sz w:val="12"/>
      <w:szCs w:val="12"/>
      <w:u w:val="none"/>
    </w:rPr>
  </w:style>
  <w:style w:type="character" w:customStyle="1" w:styleId="37">
    <w:name w:val="font121"/>
    <w:basedOn w:val="7"/>
    <w:qFormat/>
    <w:uiPriority w:val="0"/>
    <w:rPr>
      <w:rFonts w:hint="eastAsia" w:ascii="微软雅黑" w:hAnsi="微软雅黑" w:eastAsia="微软雅黑" w:cs="微软雅黑"/>
      <w:color w:val="000000"/>
      <w:sz w:val="12"/>
      <w:szCs w:val="12"/>
      <w:u w:val="none"/>
    </w:rPr>
  </w:style>
  <w:style w:type="character" w:customStyle="1" w:styleId="38">
    <w:name w:val="font101"/>
    <w:basedOn w:val="7"/>
    <w:qFormat/>
    <w:uiPriority w:val="0"/>
    <w:rPr>
      <w:rFonts w:hint="eastAsia" w:ascii="宋体" w:hAnsi="宋体" w:eastAsia="宋体" w:cs="宋体"/>
      <w:color w:val="000000"/>
      <w:sz w:val="18"/>
      <w:szCs w:val="18"/>
      <w:u w:val="none"/>
    </w:rPr>
  </w:style>
  <w:style w:type="character" w:customStyle="1" w:styleId="39">
    <w:name w:val="font132"/>
    <w:basedOn w:val="7"/>
    <w:qFormat/>
    <w:uiPriority w:val="0"/>
    <w:rPr>
      <w:rFonts w:hint="eastAsia" w:ascii="宋体" w:hAnsi="宋体" w:eastAsia="宋体" w:cs="宋体"/>
      <w:color w:val="000000"/>
      <w:sz w:val="12"/>
      <w:szCs w:val="12"/>
      <w:u w:val="none"/>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2">
    <w:name w:val="批注文字 Char"/>
    <w:basedOn w:val="7"/>
    <w:semiHidden/>
    <w:qFormat/>
    <w:uiPriority w:val="99"/>
    <w:rPr>
      <w:kern w:val="2"/>
      <w:sz w:val="21"/>
      <w:szCs w:val="24"/>
    </w:rPr>
  </w:style>
  <w:style w:type="paragraph" w:customStyle="1" w:styleId="43">
    <w:name w:val="Header0"/>
    <w:basedOn w:val="1"/>
    <w:semiHidden/>
    <w:qFormat/>
    <w:uiPriority w:val="99"/>
    <w:pPr>
      <w:pBdr>
        <w:bottom w:val="single" w:color="auto" w:sz="6" w:space="1"/>
      </w:pBdr>
      <w:tabs>
        <w:tab w:val="center" w:pos="4153"/>
        <w:tab w:val="right" w:pos="8306"/>
      </w:tabs>
      <w:snapToGrid w:val="0"/>
      <w:jc w:val="center"/>
    </w:pPr>
    <w:rPr>
      <w:sz w:val="18"/>
      <w:szCs w:val="18"/>
    </w:rPr>
  </w:style>
  <w:style w:type="character" w:customStyle="1" w:styleId="44">
    <w:name w:val="页眉 Char1"/>
    <w:basedOn w:val="7"/>
    <w:semiHidden/>
    <w:qFormat/>
    <w:uiPriority w:val="99"/>
    <w:rPr>
      <w:kern w:val="2"/>
      <w:sz w:val="18"/>
      <w:szCs w:val="18"/>
    </w:rPr>
  </w:style>
  <w:style w:type="paragraph" w:customStyle="1" w:styleId="45">
    <w:name w:val="Footer0"/>
    <w:basedOn w:val="1"/>
    <w:qFormat/>
    <w:uiPriority w:val="99"/>
    <w:pPr>
      <w:tabs>
        <w:tab w:val="center" w:pos="4153"/>
        <w:tab w:val="right" w:pos="8306"/>
      </w:tabs>
      <w:snapToGrid w:val="0"/>
      <w:jc w:val="left"/>
    </w:pPr>
    <w:rPr>
      <w:sz w:val="18"/>
      <w:szCs w:val="18"/>
    </w:rPr>
  </w:style>
  <w:style w:type="character" w:customStyle="1" w:styleId="46">
    <w:name w:val="页脚 Char1"/>
    <w:basedOn w:val="7"/>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12.xml"/><Relationship Id="rId37" Type="http://schemas.openxmlformats.org/officeDocument/2006/relationships/customXml" Target="../customXml/item11.xml"/><Relationship Id="rId36" Type="http://schemas.openxmlformats.org/officeDocument/2006/relationships/customXml" Target="../customXml/item10.xml"/><Relationship Id="rId35" Type="http://schemas.openxmlformats.org/officeDocument/2006/relationships/customXml" Target="../customXml/item9.xml"/><Relationship Id="rId34" Type="http://schemas.openxmlformats.org/officeDocument/2006/relationships/customXml" Target="../customXml/item8.xml"/><Relationship Id="rId33" Type="http://schemas.openxmlformats.org/officeDocument/2006/relationships/customXml" Target="../customXml/item7.xml"/><Relationship Id="rId32" Type="http://schemas.openxmlformats.org/officeDocument/2006/relationships/customXml" Target="../customXml/item6.xml"/><Relationship Id="rId31" Type="http://schemas.openxmlformats.org/officeDocument/2006/relationships/customXml" Target="../customXml/item5.xml"/><Relationship Id="rId30" Type="http://schemas.openxmlformats.org/officeDocument/2006/relationships/customXml" Target="../customXml/item4.xml"/><Relationship Id="rId3" Type="http://schemas.openxmlformats.org/officeDocument/2006/relationships/header" Target="header1.xml"/><Relationship Id="rId29" Type="http://schemas.openxmlformats.org/officeDocument/2006/relationships/customXml" Target="../customXml/item3.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6.emf"/><Relationship Id="rId24" Type="http://schemas.openxmlformats.org/officeDocument/2006/relationships/oleObject" Target="embeddings/Workbook6.xls"/><Relationship Id="rId23" Type="http://schemas.openxmlformats.org/officeDocument/2006/relationships/image" Target="media/image5.emf"/><Relationship Id="rId22" Type="http://schemas.openxmlformats.org/officeDocument/2006/relationships/oleObject" Target="embeddings/Workbook5.xls"/><Relationship Id="rId21" Type="http://schemas.openxmlformats.org/officeDocument/2006/relationships/image" Target="media/image4.emf"/><Relationship Id="rId20" Type="http://schemas.openxmlformats.org/officeDocument/2006/relationships/oleObject" Target="embeddings/Workbook4.xls"/><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Workbook3.xls"/><Relationship Id="rId17" Type="http://schemas.openxmlformats.org/officeDocument/2006/relationships/image" Target="media/image2.emf"/><Relationship Id="rId16" Type="http://schemas.openxmlformats.org/officeDocument/2006/relationships/oleObject" Target="embeddings/Workbook2.xls"/><Relationship Id="rId15" Type="http://schemas.openxmlformats.org/officeDocument/2006/relationships/image" Target="media/image1.emf"/><Relationship Id="rId14" Type="http://schemas.openxmlformats.org/officeDocument/2006/relationships/oleObject" Target="embeddings/Workbook1.xls"/><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D02A032783AC476CA38D58EE049C6395</vt:lpstr>
  </property>
</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asd</cp:lastModifiedBy>
  <cp:revision>32</cp:revision>
  <cp:lastPrinted>2022-09-08T08:43:00Z</cp:lastPrinted>
  <dcterms:created xsi:type="dcterms:W3CDTF">2020-08-05T01:49:00Z</dcterms:created>
  <dcterms:modified xsi:type="dcterms:W3CDTF">2022-09-30T01:08:17Z</dcterms:modified>
</cp:coreProperties>
</file>

<file path=customXml/item11.xml><?xml version="1.0" encoding="utf-8"?>
<Properties xmlns:vt="http://schemas.openxmlformats.org/officeDocument/2006/docPropsVTypes" xmlns="http://schemas.openxmlformats.org/officeDocument/2006/extended-properties">
  <Template>Normal.dotm</Template>
  <TotalTime>3</TotalTime>
  <Pages>27</Pages>
  <Words>9918</Words>
  <Characters>10741</Characters>
  <Application>WPS Office_11.1.0.9208_F1E327BC-269C-435d-A152-05C5408002CA</Application>
  <DocSecurity>0</DocSecurity>
  <Lines>61</Lines>
  <Paragraphs>17</Paragraphs>
  <Company>四川省财政厅</Company>
  <CharactersWithSpaces>10915</CharactersWithSpaces>
  <AppVersion>14.0000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User</cp:lastModifiedBy>
  <cp:revision>38</cp:revision>
  <cp:lastPrinted>2022-09-08T08:43:00Z</cp:lastPrinted>
  <dcterms:created xsi:type="dcterms:W3CDTF">2020-08-05T01:49:00Z</dcterms:created>
  <dcterms:modified xsi:type="dcterms:W3CDTF">2023-02-28T04:00:00Z</dcterms:modified>
</cp:coreProperties>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D02A032783AC476CA38D58EE049C6395</vt:lpwstr>
  </property>
</Properties>
</file>

<file path=customXml/item3.xml><?xml version="1.0" encoding="utf-8"?>
<Properties xmlns="http://schemas.openxmlformats.org/officeDocument/2006/extended-properties" xmlns:vt="http://schemas.openxmlformats.org/officeDocument/2006/docPropsVTypes">
  <Template>Normal</Template>
  <TotalTime>8</TotalTime>
  <Pages>26</Pages>
  <Words>1906</Words>
  <Characters>10865</Characters>
  <Application>Microsoft Office Word</Application>
  <DocSecurity>0</DocSecurity>
  <Lines>90</Lines>
  <Paragraphs>25</Paragraphs>
  <ScaleCrop>false</ScaleCrop>
  <Company>四川省财政厅</Company>
  <LinksUpToDate>false</LinksUpToDate>
  <CharactersWithSpaces>12746</CharactersWithSpaces>
  <SharedDoc>false</SharedDoc>
  <HyperlinksChanged>false</HyperlinksChanged>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asd</cp:lastModifiedBy>
  <cp:lastPrinted>2022-09-08T08:43:00Z</cp:lastPrinted>
  <dcterms:modified xsi:type="dcterms:W3CDTF">2022-09-30T01:08:17Z</dcterms:modified>
  <dc:title>四川省***</dc:title>
  <cp:revision>32</cp:revision>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User</cp:lastModifiedBy>
  <cp:revision>38</cp:revision>
  <cp:lastPrinted>2022-09-08T08:43:00Z</cp:lastPrinted>
  <dcterms:created xsi:type="dcterms:W3CDTF">2020-08-05T01:49:00Z</dcterms:created>
  <dcterms:modified xsi:type="dcterms:W3CDTF">2023-02-28T04:00:00Z</dcterms:modified>
</cp:coreProperties>
</file>

<file path=customXml/item6.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D02A032783AC476CA38D58EE049C6395</vt:lpstr>
  </property>
</Properties>
</file>

<file path=customXml/item7.xml><?xml version="1.0" encoding="utf-8"?>
<Properties xmlns:vt="http://schemas.openxmlformats.org/officeDocument/2006/docPropsVTypes" xmlns="http://schemas.openxmlformats.org/officeDocument/2006/extended-properties">
  <Template>Normal</Template>
  <TotalTime>8</TotalTime>
  <Pages>26</Pages>
  <Words>1906</Words>
  <Characters>10865</Characters>
  <Application>Microsoft Office Word</Application>
  <DocSecurity>0</DocSecurity>
  <Lines>90</Lines>
  <Paragraphs>25</Paragraphs>
  <Company>四川省财政厅</Company>
  <CharactersWithSpaces>12746</CharactersWithSpaces>
  <AppVersion>12.0000</AppVersion>
</Properties>
</file>

<file path=customXml/item8.xml><?xml version="1.0" encoding="utf-8"?>
<Properties xmlns="http://schemas.openxmlformats.org/officeDocument/2006/extended-properties" xmlns:vt="http://schemas.openxmlformats.org/officeDocument/2006/docPropsVTypes">
  <Template>Normal.dotm</Template>
  <Company>四川省财政厅</Company>
  <Pages>27</Pages>
  <Words>9918</Words>
  <Characters>10741</Characters>
  <Lines>61</Lines>
  <Paragraphs>17</Paragraphs>
  <TotalTime>3</TotalTime>
  <ScaleCrop>false</ScaleCrop>
  <LinksUpToDate>false</LinksUpToDate>
  <CharactersWithSpaces>10915</CharactersWithSpaces>
  <Application>WPS Office_11.1.0.9208_F1E327BC-269C-435d-A152-05C5408002CA</Application>
  <DocSecurity>0</DocSecurity>
</Properties>
</file>

<file path=customXml/item9.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D02A032783AC476CA38D58EE049C6395</vt:lpwstr>
  </property>
</Properties>
</file>

<file path=customXml/itemProps1.xml><?xml version="1.0" encoding="utf-8"?>
<ds:datastoreItem xmlns:ds="http://schemas.openxmlformats.org/officeDocument/2006/customXml" ds:itemID="{3DC9D580-F2FC-4976-B443-B5D82B76CEDE}">
  <ds:schemaRefs/>
</ds:datastoreItem>
</file>

<file path=customXml/itemProps10.xml><?xml version="1.0" encoding="utf-8"?>
<ds:datastoreItem xmlns:ds="http://schemas.openxmlformats.org/officeDocument/2006/customXml" ds:itemID="{56A7F400-3456-4462-8029-38D0DCE5EC36}">
  <ds:schemaRefs/>
</ds:datastoreItem>
</file>

<file path=customXml/itemProps11.xml><?xml version="1.0" encoding="utf-8"?>
<ds:datastoreItem xmlns:ds="http://schemas.openxmlformats.org/officeDocument/2006/customXml" ds:itemID="{AF17E945-E575-45E6-8DFD-A8101835C261}">
  <ds:schemaRefs/>
</ds:datastoreItem>
</file>

<file path=customXml/itemProps12.xml><?xml version="1.0" encoding="utf-8"?>
<ds:datastoreItem xmlns:ds="http://schemas.openxmlformats.org/officeDocument/2006/customXml" ds:itemID="{f5bf01c0-a18c-4d0f-88bb-e0b64e60cfa3}">
  <ds:schemaRefs/>
</ds:datastoreItem>
</file>

<file path=customXml/itemProps2.xml><?xml version="1.0" encoding="utf-8"?>
<ds:datastoreItem xmlns:ds="http://schemas.openxmlformats.org/officeDocument/2006/customXml" ds:itemID="{ef2a3174-9122-436e-b5e2-102320455b92}">
  <ds:schemaRefs/>
</ds:datastoreItem>
</file>

<file path=customXml/itemProps3.xml><?xml version="1.0" encoding="utf-8"?>
<ds:datastoreItem xmlns:ds="http://schemas.openxmlformats.org/officeDocument/2006/customXml" ds:itemID="{e6a4ff00-e71a-47bf-ac91-66c3822fcf59}">
  <ds:schemaRefs/>
</ds:datastoreItem>
</file>

<file path=customXml/itemProps4.xml><?xml version="1.0" encoding="utf-8"?>
<ds:datastoreItem xmlns:ds="http://schemas.openxmlformats.org/officeDocument/2006/customXml" ds:itemID="{26F9D4A7-9F11-46BF-B8D1-AFED8D0CC448}">
  <ds:schemaRefs/>
</ds:datastoreItem>
</file>

<file path=customXml/itemProps5.xml><?xml version="1.0" encoding="utf-8"?>
<ds:datastoreItem xmlns:ds="http://schemas.openxmlformats.org/officeDocument/2006/customXml" ds:itemID="{3a92b0a8-18aa-4374-be6f-01c261c60fe5}">
  <ds:schemaRefs/>
</ds:datastoreItem>
</file>

<file path=customXml/itemProps6.xml><?xml version="1.0" encoding="utf-8"?>
<ds:datastoreItem xmlns:ds="http://schemas.openxmlformats.org/officeDocument/2006/customXml" ds:itemID="{e8d17a14-8c78-459a-bc4f-de7c63b262b8}">
  <ds:schemaRefs/>
</ds:datastoreItem>
</file>

<file path=customXml/itemProps7.xml><?xml version="1.0" encoding="utf-8"?>
<ds:datastoreItem xmlns:ds="http://schemas.openxmlformats.org/officeDocument/2006/customXml" ds:itemID="{9840b0fc-999a-4aa7-8440-3d60ee141a94}">
  <ds:schemaRefs/>
</ds:datastoreItem>
</file>

<file path=customXml/itemProps8.xml><?xml version="1.0" encoding="utf-8"?>
<ds:datastoreItem xmlns:ds="http://schemas.openxmlformats.org/officeDocument/2006/customXml" ds:itemID="{D68DD246-397D-4A7D-A852-417315E0D6BC}">
  <ds:schemaRefs/>
</ds:datastoreItem>
</file>

<file path=customXml/itemProps9.xml><?xml version="1.0" encoding="utf-8"?>
<ds:datastoreItem xmlns:ds="http://schemas.openxmlformats.org/officeDocument/2006/customXml" ds:itemID="{FA4179AA-3FEF-4CDA-B2FF-F3774A98625F}">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26</Pages>
  <Words>9515</Words>
  <Characters>10309</Characters>
  <Lines>90</Lines>
  <Paragraphs>25</Paragraphs>
  <TotalTime>15</TotalTime>
  <ScaleCrop>false</ScaleCrop>
  <LinksUpToDate>false</LinksUpToDate>
  <CharactersWithSpaces>10573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狂奔的蜗牛</cp:lastModifiedBy>
  <cp:lastPrinted>2022-09-08T08:43:00Z</cp:lastPrinted>
  <dcterms:modified xsi:type="dcterms:W3CDTF">2023-03-13T11:20:21Z</dcterms:modified>
  <dc:title>四川省_x002A__x002A__x002A_</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56DD1234C22049F68E04C4B1B3C9E3B1</vt:lpwstr>
  </property>
</Properties>
</file>