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sz w:val="72"/>
          <w:szCs w:val="72"/>
          <w:u w:val="none" w:color="auto"/>
          <w:shd w:val="clear" w:fill="auto"/>
        </w:rPr>
      </w:pPr>
      <w:bookmarkStart w:id="0" w:name="_Toc15306267"/>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spacing w:line="600" w:lineRule="exact"/>
        <w:jc w:val="center"/>
        <w:rPr>
          <w:rFonts w:ascii="方正小标宋简体" w:hAnsi="宋体" w:eastAsia="方正小标宋简体"/>
          <w:sz w:val="72"/>
          <w:szCs w:val="72"/>
          <w:u w:val="none" w:color="auto"/>
          <w:shd w:val="clear" w:fill="auto"/>
        </w:rPr>
      </w:pPr>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1" w:name="_Toc15396597"/>
      <w:bookmarkStart w:id="2" w:name="_Toc15378441"/>
      <w:bookmarkStart w:id="3" w:name="_Toc15377193"/>
      <w:bookmarkStart w:id="4" w:name="_Toc15377425"/>
      <w:bookmarkStart w:id="5" w:name="_Toc15396475"/>
      <w:bookmarkStart w:id="6" w:name="_Toc28800"/>
      <w:r>
        <w:rPr>
          <w:rFonts w:hint="eastAsia" w:ascii="方正小标宋简体" w:hAnsi="方正小标宋简体" w:eastAsia="方正小标宋简体" w:cs="方正小标宋简体"/>
          <w:sz w:val="72"/>
          <w:szCs w:val="72"/>
          <w:u w:val="none" w:color="auto"/>
          <w:shd w:val="clear" w:fill="auto"/>
        </w:rPr>
        <w:t>2021年度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方正小标宋简体" w:eastAsia="方正小标宋简体" w:cs="方正小标宋简体"/>
          <w:sz w:val="72"/>
          <w:szCs w:val="72"/>
          <w:u w:val="none" w:color="auto"/>
          <w:shd w:val="clear" w:fill="auto"/>
        </w:rPr>
      </w:pPr>
      <w:bookmarkStart w:id="7" w:name="_Toc15377194"/>
      <w:bookmarkStart w:id="8" w:name="_Toc16513"/>
      <w:bookmarkStart w:id="9" w:name="_Toc15396476"/>
      <w:bookmarkStart w:id="10" w:name="_Toc15396598"/>
      <w:bookmarkStart w:id="11" w:name="_Toc15378442"/>
      <w:bookmarkStart w:id="12" w:name="_Toc15377426"/>
      <w:r>
        <w:rPr>
          <w:rFonts w:hint="eastAsia" w:ascii="方正小标宋简体" w:hAnsi="方正小标宋简体" w:eastAsia="方正小标宋简体" w:cs="方正小标宋简体"/>
          <w:sz w:val="72"/>
          <w:szCs w:val="72"/>
          <w:u w:val="none" w:color="auto"/>
          <w:shd w:val="clear" w:fill="auto"/>
        </w:rPr>
        <w:t>四川省</w:t>
      </w:r>
      <w:bookmarkEnd w:id="0"/>
      <w:bookmarkStart w:id="13" w:name="_Toc15306268"/>
      <w:r>
        <w:rPr>
          <w:rFonts w:hint="eastAsia" w:ascii="方正小标宋简体" w:hAnsi="方正小标宋简体" w:eastAsia="方正小标宋简体" w:cs="方正小标宋简体"/>
          <w:sz w:val="72"/>
          <w:szCs w:val="72"/>
          <w:u w:val="none" w:color="auto"/>
          <w:shd w:val="clear" w:fill="auto"/>
        </w:rPr>
        <w:t>通江县机关事业单位社会保险局单位决算</w:t>
      </w:r>
      <w:bookmarkEnd w:id="7"/>
      <w:bookmarkEnd w:id="8"/>
      <w:bookmarkEnd w:id="9"/>
      <w:bookmarkEnd w:id="10"/>
      <w:bookmarkEnd w:id="11"/>
      <w:bookmarkEnd w:id="12"/>
      <w:bookmarkEnd w:id="13"/>
    </w:p>
    <w:p>
      <w:pPr>
        <w:widowControl/>
        <w:jc w:val="center"/>
        <w:rPr>
          <w:rFonts w:ascii="黑体" w:hAnsi="黑体" w:eastAsia="黑体"/>
          <w:sz w:val="48"/>
          <w:szCs w:val="48"/>
          <w:u w:val="none" w:color="auto"/>
          <w:shd w:val="clear" w:fill="auto"/>
        </w:rPr>
      </w:pPr>
      <w:r>
        <w:rPr>
          <w:u w:val="none" w:color="auto"/>
          <w:shd w:val="clear" w:fill="auto"/>
        </w:rPr>
        <w:br w:type="page"/>
      </w:r>
      <w:r>
        <w:rPr>
          <w:rFonts w:hint="eastAsia" w:ascii="黑体" w:hAnsi="黑体" w:eastAsia="黑体"/>
          <w:sz w:val="48"/>
          <w:szCs w:val="48"/>
          <w:u w:val="none" w:color="auto"/>
          <w:shd w:val="clear" w:fill="auto"/>
        </w:rPr>
        <w:t>目录</w:t>
      </w:r>
    </w:p>
    <w:p>
      <w:pPr>
        <w:widowControl/>
        <w:jc w:val="center"/>
        <w:rPr>
          <w:rFonts w:ascii="黑体" w:hAnsi="黑体" w:eastAsia="黑体" w:cstheme="minorBidi"/>
          <w:sz w:val="28"/>
          <w:szCs w:val="28"/>
          <w:u w:val="none" w:color="auto"/>
          <w:shd w:val="clear" w:fill="auto"/>
        </w:rPr>
      </w:pPr>
    </w:p>
    <w:p>
      <w:pPr>
        <w:pStyle w:val="19"/>
        <w:rPr>
          <w:u w:val="none" w:color="auto"/>
          <w:shd w:val="clear" w:fill="auto"/>
        </w:rPr>
      </w:pPr>
      <w:r>
        <w:rPr>
          <w:rFonts w:hint="eastAsia"/>
          <w:u w:val="none" w:color="auto"/>
          <w:shd w:val="clear" w:fill="auto"/>
        </w:rPr>
        <w:t>公开时间：2022年8月25日</w:t>
      </w:r>
    </w:p>
    <w:sdt>
      <w:sdtPr>
        <w:rPr>
          <w:rFonts w:ascii="宋体" w:hAnsi="宋体" w:eastAsia="仿宋_GB2312"/>
          <w:kern w:val="0"/>
          <w:sz w:val="30"/>
          <w:u w:val="none" w:color="auto"/>
          <w:shd w:val="clear" w:fill="auto"/>
        </w:rPr>
        <w:id w:val="147473822"/>
        <w:docPartObj>
          <w:docPartGallery w:val="Table of Contents"/>
          <w:docPartUnique/>
        </w:docPartObj>
      </w:sdtPr>
      <w:sdtEndPr>
        <w:rPr>
          <w:rFonts w:ascii="仿宋_GB2312" w:hAnsi="Times New Roman" w:eastAsia="仿宋_GB2312"/>
          <w:b/>
          <w:kern w:val="0"/>
          <w:sz w:val="30"/>
          <w:u w:val="none" w:color="auto"/>
          <w:shd w:val="clear" w:fill="auto"/>
        </w:rPr>
      </w:sdtEndPr>
      <w:sdtContent>
        <w:p>
          <w:pPr>
            <w:jc w:val="center"/>
            <w:rPr>
              <w:b/>
              <w:u w:val="none" w:color="auto"/>
              <w:shd w:val="clear" w:fill="auto"/>
            </w:rPr>
          </w:pPr>
          <w:r>
            <w:rPr>
              <w:u w:val="none" w:color="auto"/>
              <w:shd w:val="clear" w:fill="auto"/>
            </w:rPr>
            <w:fldChar w:fldCharType="begin"/>
          </w:r>
          <w:r>
            <w:rPr>
              <w:u w:val="none" w:color="auto"/>
              <w:shd w:val="clear" w:fill="auto"/>
            </w:rPr>
            <w:instrText xml:space="preserve">TOC \o "1-2" \h \u</w:instrText>
          </w:r>
          <w:r>
            <w:rPr>
              <w:u w:val="none" w:color="auto"/>
              <w:shd w:val="clear" w:fill="auto"/>
            </w:rPr>
            <w:fldChar w:fldCharType="separate"/>
          </w:r>
        </w:p>
        <w:p>
          <w:pPr>
            <w:pStyle w:val="19"/>
            <w:adjustRightInd w:val="0"/>
            <w:snapToGrid w:val="0"/>
            <w:spacing w:before="0"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"_Toc22054" </w:instrText>
          </w:r>
          <w:r>
            <w:rPr>
              <w:u w:val="none" w:color="auto"/>
              <w:shd w:val="clear" w:fill="auto"/>
            </w:rPr>
            <w:fldChar w:fldCharType="separate"/>
          </w:r>
          <w:r>
            <w:rPr>
              <w:rFonts w:hint="eastAsia"/>
              <w:sz w:val="24"/>
              <w:u w:val="none" w:color="auto"/>
              <w:shd w:val="clear" w:fill="auto"/>
            </w:rPr>
            <w:t>第一部分单位概况</w:t>
          </w:r>
          <w:r>
            <w:rPr>
              <w:rFonts w:hint="eastAsia" w:ascii="Times New Roman" w:hAnsi="Times New Roman" w:eastAsia="宋体"/>
              <w:sz w:val="24"/>
              <w:szCs w:val="24"/>
              <w:u w:val="none" w:color="auto"/>
              <w:shd w:val="clear" w:fill="auto"/>
            </w:rPr>
            <w:tab/>
          </w:r>
          <w:r>
            <w:rPr>
              <w:rFonts w:ascii="Times New Roman" w:hAnsi="Times New Roman"/>
              <w:sz w:val="24"/>
              <w:u w:val="none" w:color="auto"/>
              <w:shd w:val="clear" w:fill="auto"/>
            </w:rPr>
            <w:fldChar w:fldCharType="begin"/>
          </w:r>
          <w:r>
            <w:rPr>
              <w:rFonts w:ascii="Times New Roman" w:hAnsi="Times New Roman"/>
              <w:sz w:val="24"/>
              <w:u w:val="none" w:color="auto"/>
              <w:shd w:val="clear" w:fill="auto"/>
            </w:rPr>
            <w:instrText xml:space="preserve"> PAGEREF _Toc22054 \h </w:instrText>
          </w:r>
          <w:r>
            <w:rPr>
              <w:rFonts w:ascii="Times New Roman" w:hAnsi="Times New Roman"/>
              <w:sz w:val="24"/>
              <w:u w:val="none" w:color="auto"/>
              <w:shd w:val="clear" w:fill="auto"/>
            </w:rPr>
            <w:fldChar w:fldCharType="separate"/>
          </w:r>
          <w:r>
            <w:rPr>
              <w:rFonts w:ascii="Times New Roman" w:hAnsi="Times New Roman"/>
              <w:sz w:val="24"/>
              <w:u w:val="none" w:color="auto"/>
              <w:shd w:val="clear" w:fill="auto"/>
            </w:rPr>
            <w:t>4</w:t>
          </w:r>
          <w:r>
            <w:rPr>
              <w:rFonts w:ascii="Times New Roman" w:hAnsi="Times New Roman"/>
              <w:sz w:val="24"/>
              <w:u w:val="none" w:color="auto"/>
              <w:shd w:val="clear" w:fill="auto"/>
            </w:rPr>
            <w:fldChar w:fldCharType="end"/>
          </w:r>
          <w:r>
            <w:rPr>
              <w:rFonts w:ascii="Times New Roman" w:hAnsi="Times New Roman"/>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"_Toc13294" </w:instrText>
          </w:r>
          <w:r>
            <w:rPr>
              <w:u w:val="none" w:color="auto"/>
              <w:shd w:val="clear" w:fill="auto"/>
            </w:rPr>
            <w:fldChar w:fldCharType="separate"/>
          </w:r>
          <w:r>
            <w:rPr>
              <w:rFonts w:hint="eastAsia"/>
              <w:sz w:val="24"/>
              <w:u w:val="none" w:color="auto"/>
              <w:shd w:val="clear" w:fill="auto"/>
            </w:rPr>
            <w:t>一、职能简介</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_Toc13294 \h </w:instrText>
          </w:r>
          <w:r>
            <w:rPr>
              <w:rFonts w:hint="eastAsia"/>
              <w:sz w:val="24"/>
              <w:u w:val="none" w:color="auto"/>
              <w:shd w:val="clear" w:fill="auto"/>
            </w:rPr>
            <w:fldChar w:fldCharType="separate"/>
          </w:r>
          <w:r>
            <w:rPr>
              <w:rFonts w:hint="eastAsia"/>
              <w:sz w:val="24"/>
              <w:u w:val="none" w:color="auto"/>
              <w:shd w:val="clear" w:fill="auto"/>
            </w:rPr>
            <w:t>4</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"_Toc28510" </w:instrText>
          </w:r>
          <w:r>
            <w:rPr>
              <w:u w:val="none" w:color="auto"/>
              <w:shd w:val="clear" w:fill="auto"/>
            </w:rPr>
            <w:fldChar w:fldCharType="separate"/>
          </w:r>
          <w:r>
            <w:rPr>
              <w:rFonts w:hint="eastAsia"/>
              <w:sz w:val="24"/>
              <w:u w:val="none" w:color="auto"/>
              <w:shd w:val="clear" w:fill="auto"/>
            </w:rPr>
            <w:t>二、2021年重点工作完成情况</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_Toc28510 \h </w:instrText>
          </w:r>
          <w:r>
            <w:rPr>
              <w:rFonts w:hint="eastAsia"/>
              <w:sz w:val="24"/>
              <w:u w:val="none" w:color="auto"/>
              <w:shd w:val="clear" w:fill="auto"/>
            </w:rPr>
            <w:fldChar w:fldCharType="separate"/>
          </w:r>
          <w:r>
            <w:rPr>
              <w:rFonts w:hint="eastAsia"/>
              <w:sz w:val="24"/>
              <w:u w:val="none" w:color="auto"/>
              <w:shd w:val="clear" w:fill="auto"/>
            </w:rPr>
            <w:t>4</w:t>
          </w:r>
          <w:r>
            <w:rPr>
              <w:rFonts w:hint="eastAsia"/>
              <w:sz w:val="24"/>
              <w:u w:val="none" w:color="auto"/>
              <w:shd w:val="clear" w:fill="auto"/>
            </w:rPr>
            <w:fldChar w:fldCharType="end"/>
          </w:r>
          <w:r>
            <w:rPr>
              <w:rFonts w:hint="eastAsia"/>
              <w:sz w:val="24"/>
              <w:u w:val="none" w:color="auto"/>
              <w:shd w:val="clear" w:fill="auto"/>
            </w:rPr>
            <w:fldChar w:fldCharType="end"/>
          </w:r>
        </w:p>
        <w:p>
          <w:pPr>
            <w:pStyle w:val="19"/>
            <w:adjustRightInd w:val="0"/>
            <w:snapToGrid w:val="0"/>
            <w:spacing w:before="0"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"_Toc27619" </w:instrText>
          </w:r>
          <w:r>
            <w:rPr>
              <w:u w:val="none" w:color="auto"/>
              <w:shd w:val="clear" w:fill="auto"/>
            </w:rPr>
            <w:fldChar w:fldCharType="separate"/>
          </w:r>
          <w:r>
            <w:rPr>
              <w:rFonts w:hint="eastAsia"/>
              <w:sz w:val="24"/>
              <w:u w:val="none" w:color="auto"/>
              <w:shd w:val="clear" w:fill="auto"/>
            </w:rPr>
            <w:t>第二部分 2021年度单位决算情况说明</w:t>
          </w:r>
          <w:r>
            <w:rPr>
              <w:rFonts w:hint="eastAsia" w:ascii="Times New Roman" w:hAnsi="Times New Roman" w:eastAsia="宋体"/>
              <w:sz w:val="24"/>
              <w:szCs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_Toc27619 \h </w:instrText>
          </w:r>
          <w:r>
            <w:rPr>
              <w:rFonts w:hint="eastAsia"/>
              <w:sz w:val="24"/>
              <w:u w:val="none" w:color="auto"/>
              <w:shd w:val="clear" w:fill="auto"/>
            </w:rPr>
            <w:fldChar w:fldCharType="separate"/>
          </w:r>
          <w:r>
            <w:rPr>
              <w:rFonts w:hint="eastAsia"/>
              <w:sz w:val="24"/>
              <w:u w:val="none" w:color="auto"/>
              <w:shd w:val="clear" w:fill="auto"/>
            </w:rPr>
            <w:t>5</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"_Toc8778" </w:instrText>
          </w:r>
          <w:r>
            <w:rPr>
              <w:u w:val="none" w:color="auto"/>
              <w:shd w:val="clear" w:fill="auto"/>
            </w:rPr>
            <w:fldChar w:fldCharType="separate"/>
          </w:r>
          <w:r>
            <w:rPr>
              <w:sz w:val="24"/>
              <w:u w:val="none" w:color="auto"/>
              <w:shd w:val="clear" w:fill="auto"/>
            </w:rPr>
            <w:t>一、</w:t>
          </w:r>
          <w:r>
            <w:rPr>
              <w:rFonts w:hint="eastAsia"/>
              <w:sz w:val="24"/>
              <w:u w:val="none" w:color="auto"/>
              <w:shd w:val="clear" w:fill="auto"/>
            </w:rPr>
            <w:t>收入支出决算总体情况说明</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_Toc8778 \h </w:instrText>
          </w:r>
          <w:r>
            <w:rPr>
              <w:rFonts w:hint="eastAsia"/>
              <w:sz w:val="24"/>
              <w:u w:val="none" w:color="auto"/>
              <w:shd w:val="clear" w:fill="auto"/>
            </w:rPr>
            <w:fldChar w:fldCharType="separate"/>
          </w:r>
          <w:r>
            <w:rPr>
              <w:rFonts w:hint="eastAsia"/>
              <w:sz w:val="24"/>
              <w:u w:val="none" w:color="auto"/>
              <w:shd w:val="clear" w:fill="auto"/>
            </w:rPr>
            <w:t>5</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"_Toc4578" </w:instrText>
          </w:r>
          <w:r>
            <w:rPr>
              <w:u w:val="none" w:color="auto"/>
              <w:shd w:val="clear" w:fill="auto"/>
            </w:rPr>
            <w:fldChar w:fldCharType="separate"/>
          </w:r>
          <w:r>
            <w:rPr>
              <w:sz w:val="24"/>
              <w:u w:val="none" w:color="auto"/>
              <w:shd w:val="clear" w:fill="auto"/>
            </w:rPr>
            <w:t>二、</w:t>
          </w:r>
          <w:r>
            <w:rPr>
              <w:rFonts w:hint="eastAsia"/>
              <w:sz w:val="24"/>
              <w:u w:val="none" w:color="auto"/>
              <w:shd w:val="clear" w:fill="auto"/>
            </w:rPr>
            <w:t>收入决算情况说明</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_Toc4578 \h </w:instrText>
          </w:r>
          <w:r>
            <w:rPr>
              <w:rFonts w:hint="eastAsia"/>
              <w:sz w:val="24"/>
              <w:u w:val="none" w:color="auto"/>
              <w:shd w:val="clear" w:fill="auto"/>
            </w:rPr>
            <w:fldChar w:fldCharType="separate"/>
          </w:r>
          <w:r>
            <w:rPr>
              <w:rFonts w:hint="eastAsia"/>
              <w:sz w:val="24"/>
              <w:u w:val="none" w:color="auto"/>
              <w:shd w:val="clear" w:fill="auto"/>
            </w:rPr>
            <w:t>5</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"_Toc5734" </w:instrText>
          </w:r>
          <w:r>
            <w:rPr>
              <w:u w:val="none" w:color="auto"/>
              <w:shd w:val="clear" w:fill="auto"/>
            </w:rPr>
            <w:fldChar w:fldCharType="separate"/>
          </w:r>
          <w:r>
            <w:rPr>
              <w:sz w:val="24"/>
              <w:u w:val="none" w:color="auto"/>
              <w:shd w:val="clear" w:fill="auto"/>
            </w:rPr>
            <w:t>三、</w:t>
          </w:r>
          <w:r>
            <w:rPr>
              <w:rFonts w:hint="eastAsia"/>
              <w:sz w:val="24"/>
              <w:u w:val="none" w:color="auto"/>
              <w:shd w:val="clear" w:fill="auto"/>
            </w:rPr>
            <w:t>支出决算情况说明</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_Toc5734 \h </w:instrText>
          </w:r>
          <w:r>
            <w:rPr>
              <w:rFonts w:hint="eastAsia"/>
              <w:sz w:val="24"/>
              <w:u w:val="none" w:color="auto"/>
              <w:shd w:val="clear" w:fill="auto"/>
            </w:rPr>
            <w:fldChar w:fldCharType="separate"/>
          </w:r>
          <w:r>
            <w:rPr>
              <w:rFonts w:hint="eastAsia"/>
              <w:sz w:val="24"/>
              <w:u w:val="none" w:color="auto"/>
              <w:shd w:val="clear" w:fill="auto"/>
            </w:rPr>
            <w:t>6</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"_Toc22295" </w:instrText>
          </w:r>
          <w:r>
            <w:rPr>
              <w:u w:val="none" w:color="auto"/>
              <w:shd w:val="clear" w:fill="auto"/>
            </w:rPr>
            <w:fldChar w:fldCharType="separate"/>
          </w:r>
          <w:r>
            <w:rPr>
              <w:rFonts w:hint="eastAsia"/>
              <w:sz w:val="24"/>
              <w:u w:val="none" w:color="auto"/>
              <w:shd w:val="clear" w:fill="auto"/>
            </w:rPr>
            <w:t>四、财政拨款收入支出决算总体情况说明</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_Toc22295 \h </w:instrText>
          </w:r>
          <w:r>
            <w:rPr>
              <w:rFonts w:hint="eastAsia"/>
              <w:sz w:val="24"/>
              <w:u w:val="none" w:color="auto"/>
              <w:shd w:val="clear" w:fill="auto"/>
            </w:rPr>
            <w:fldChar w:fldCharType="separate"/>
          </w:r>
          <w:r>
            <w:rPr>
              <w:rFonts w:hint="eastAsia"/>
              <w:sz w:val="24"/>
              <w:u w:val="none" w:color="auto"/>
              <w:shd w:val="clear" w:fill="auto"/>
            </w:rPr>
            <w:t>7</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"_Toc32701" </w:instrText>
          </w:r>
          <w:r>
            <w:rPr>
              <w:u w:val="none" w:color="auto"/>
              <w:shd w:val="clear" w:fill="auto"/>
            </w:rPr>
            <w:fldChar w:fldCharType="separate"/>
          </w:r>
          <w:r>
            <w:rPr>
              <w:rFonts w:hint="eastAsia"/>
              <w:sz w:val="24"/>
              <w:u w:val="none" w:color="auto"/>
              <w:shd w:val="clear" w:fill="auto"/>
            </w:rPr>
            <w:t>五、一般公共预算财政拨款支出决算情况说明</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_Toc32701 \h </w:instrText>
          </w:r>
          <w:r>
            <w:rPr>
              <w:rFonts w:hint="eastAsia"/>
              <w:sz w:val="24"/>
              <w:u w:val="none" w:color="auto"/>
              <w:shd w:val="clear" w:fill="auto"/>
            </w:rPr>
            <w:fldChar w:fldCharType="separate"/>
          </w:r>
          <w:r>
            <w:rPr>
              <w:rFonts w:hint="eastAsia"/>
              <w:sz w:val="24"/>
              <w:u w:val="none" w:color="auto"/>
              <w:shd w:val="clear" w:fill="auto"/>
            </w:rPr>
            <w:t>7</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"_Toc17475" </w:instrText>
          </w:r>
          <w:r>
            <w:rPr>
              <w:u w:val="none" w:color="auto"/>
              <w:shd w:val="clear" w:fill="auto"/>
            </w:rPr>
            <w:fldChar w:fldCharType="separate"/>
          </w:r>
          <w:r>
            <w:rPr>
              <w:rFonts w:hint="eastAsia"/>
              <w:sz w:val="24"/>
              <w:u w:val="none" w:color="auto"/>
              <w:shd w:val="clear" w:fill="auto"/>
            </w:rPr>
            <w:t>六、一般公共预算财政拨款基本支出决算情况说明</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_Toc17475 \h </w:instrText>
          </w:r>
          <w:r>
            <w:rPr>
              <w:rFonts w:hint="eastAsia"/>
              <w:sz w:val="24"/>
              <w:u w:val="none" w:color="auto"/>
              <w:shd w:val="clear" w:fill="auto"/>
            </w:rPr>
            <w:fldChar w:fldCharType="separate"/>
          </w:r>
          <w:r>
            <w:rPr>
              <w:rFonts w:hint="eastAsia"/>
              <w:sz w:val="24"/>
              <w:u w:val="none" w:color="auto"/>
              <w:shd w:val="clear" w:fill="auto"/>
            </w:rPr>
            <w:t>10</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"_Toc23030" </w:instrText>
          </w:r>
          <w:r>
            <w:rPr>
              <w:u w:val="none" w:color="auto"/>
              <w:shd w:val="clear" w:fill="auto"/>
            </w:rPr>
            <w:fldChar w:fldCharType="separate"/>
          </w:r>
          <w:r>
            <w:rPr>
              <w:rFonts w:hint="eastAsia"/>
              <w:sz w:val="24"/>
              <w:u w:val="none" w:color="auto"/>
              <w:shd w:val="clear" w:fill="auto"/>
            </w:rPr>
            <w:t>七、“三公”经费财政拨款支出决算情况说明</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_Toc23030 \h </w:instrText>
          </w:r>
          <w:r>
            <w:rPr>
              <w:rFonts w:hint="eastAsia"/>
              <w:sz w:val="24"/>
              <w:u w:val="none" w:color="auto"/>
              <w:shd w:val="clear" w:fill="auto"/>
            </w:rPr>
            <w:fldChar w:fldCharType="separate"/>
          </w:r>
          <w:r>
            <w:rPr>
              <w:rFonts w:hint="eastAsia"/>
              <w:sz w:val="24"/>
              <w:u w:val="none" w:color="auto"/>
              <w:shd w:val="clear" w:fill="auto"/>
            </w:rPr>
            <w:t>11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"_Toc7301" </w:instrText>
          </w:r>
          <w:r>
            <w:rPr>
              <w:u w:val="none" w:color="auto"/>
              <w:shd w:val="clear" w:fill="auto"/>
            </w:rPr>
            <w:fldChar w:fldCharType="separate"/>
          </w:r>
          <w:r>
            <w:rPr>
              <w:rFonts w:hint="eastAsia"/>
              <w:sz w:val="24"/>
              <w:u w:val="none" w:color="auto"/>
              <w:shd w:val="clear" w:fill="auto"/>
            </w:rPr>
            <w:t>八、政府性基金预算支出决算情况说明</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_Toc7301 \h </w:instrText>
          </w:r>
          <w:r>
            <w:rPr>
              <w:rFonts w:hint="eastAsia"/>
              <w:sz w:val="24"/>
              <w:u w:val="none" w:color="auto"/>
              <w:shd w:val="clear" w:fill="auto"/>
            </w:rPr>
            <w:fldChar w:fldCharType="separate"/>
          </w:r>
          <w:r>
            <w:rPr>
              <w:rFonts w:hint="eastAsia"/>
              <w:sz w:val="24"/>
              <w:u w:val="none" w:color="auto"/>
              <w:shd w:val="clear" w:fill="auto"/>
            </w:rPr>
            <w:t>12</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"_Toc13713" </w:instrText>
          </w:r>
          <w:r>
            <w:rPr>
              <w:u w:val="none" w:color="auto"/>
              <w:shd w:val="clear" w:fill="auto"/>
            </w:rPr>
            <w:fldChar w:fldCharType="separate"/>
          </w:r>
          <w:r>
            <w:rPr>
              <w:rFonts w:hint="eastAsia"/>
              <w:sz w:val="24"/>
              <w:u w:val="none" w:color="auto"/>
              <w:shd w:val="clear" w:fill="auto"/>
            </w:rPr>
            <w:t>九、国有资本经营预算支出决算情况说明</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_Toc13713 \h </w:instrText>
          </w:r>
          <w:r>
            <w:rPr>
              <w:rFonts w:hint="eastAsia"/>
              <w:sz w:val="24"/>
              <w:u w:val="none" w:color="auto"/>
              <w:shd w:val="clear" w:fill="auto"/>
            </w:rPr>
            <w:fldChar w:fldCharType="separate"/>
          </w:r>
          <w:r>
            <w:rPr>
              <w:rFonts w:hint="eastAsia"/>
              <w:sz w:val="24"/>
              <w:u w:val="none" w:color="auto"/>
              <w:shd w:val="clear" w:fill="auto"/>
            </w:rPr>
            <w:t>12</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u w:val="none" w:color="auto"/>
              <w:shd w:val="clear" w:fill="auto"/>
            </w:rPr>
          </w:pPr>
          <w:r>
            <w:rPr>
              <w:u w:val="none" w:color="auto"/>
              <w:shd w:val="clear" w:fill="auto"/>
            </w:rPr>
            <w:fldChar w:fldCharType="begin"/>
          </w:r>
          <w:r>
            <w:rPr>
              <w:u w:val="none" w:color="auto"/>
              <w:shd w:val="clear" w:fill="auto"/>
            </w:rPr>
            <w:instrText xml:space="preserve"> HYPERLINK \l "_Toc17711" </w:instrText>
          </w:r>
          <w:r>
            <w:rPr>
              <w:u w:val="none" w:color="auto"/>
              <w:shd w:val="clear" w:fill="auto"/>
            </w:rPr>
            <w:fldChar w:fldCharType="separate"/>
          </w:r>
          <w:r>
            <w:rPr>
              <w:rFonts w:hint="eastAsia"/>
              <w:sz w:val="24"/>
              <w:u w:val="none" w:color="auto"/>
              <w:shd w:val="clear" w:fill="auto"/>
            </w:rPr>
            <w:t>十、其他重要事项的情况说明</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_Toc17711 \h </w:instrText>
          </w:r>
          <w:r>
            <w:rPr>
              <w:rFonts w:hint="eastAsia"/>
              <w:sz w:val="24"/>
              <w:u w:val="none" w:color="auto"/>
              <w:shd w:val="clear" w:fill="auto"/>
            </w:rPr>
            <w:fldChar w:fldCharType="separate"/>
          </w:r>
          <w:r>
            <w:rPr>
              <w:rFonts w:hint="eastAsia"/>
              <w:sz w:val="24"/>
              <w:u w:val="none" w:color="auto"/>
              <w:shd w:val="clear" w:fill="auto"/>
            </w:rPr>
            <w:t>12</w:t>
          </w:r>
          <w:r>
            <w:rPr>
              <w:rFonts w:hint="eastAsia"/>
              <w:sz w:val="24"/>
              <w:u w:val="none" w:color="auto"/>
              <w:shd w:val="clear" w:fill="auto"/>
            </w:rPr>
            <w:fldChar w:fldCharType="end"/>
          </w:r>
          <w:r>
            <w:rPr>
              <w:rFonts w:hint="eastAsia"/>
              <w:sz w:val="24"/>
              <w:u w:val="none" w:color="auto"/>
              <w:shd w:val="clear" w:fill="auto"/>
            </w:rPr>
            <w:fldChar w:fldCharType="end"/>
          </w:r>
        </w:p>
        <w:p>
          <w:pPr>
            <w:pStyle w:val="19"/>
            <w:adjustRightInd w:val="0"/>
            <w:snapToGrid w:val="0"/>
            <w:spacing w:before="0"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"_Toc20293" </w:instrText>
          </w:r>
          <w:r>
            <w:rPr>
              <w:u w:val="none" w:color="auto"/>
              <w:shd w:val="clear" w:fill="auto"/>
            </w:rPr>
            <w:fldChar w:fldCharType="separate"/>
          </w:r>
          <w:r>
            <w:rPr>
              <w:rFonts w:hint="eastAsia"/>
              <w:sz w:val="24"/>
              <w:u w:val="none" w:color="auto"/>
              <w:shd w:val="clear" w:fill="auto"/>
            </w:rPr>
            <w:t>第三部分名词解释</w:t>
          </w:r>
          <w:r>
            <w:rPr>
              <w:rFonts w:hint="eastAsia" w:ascii="Times New Roman" w:hAnsi="Times New Roman" w:eastAsia="宋体"/>
              <w:sz w:val="24"/>
              <w:szCs w:val="24"/>
              <w:u w:val="none" w:color="auto"/>
              <w:shd w:val="clear" w:fill="auto"/>
            </w:rPr>
            <w:tab/>
          </w:r>
          <w:r>
            <w:rPr>
              <w:rFonts w:ascii="Times New Roman" w:hAnsi="Times New Roman"/>
              <w:sz w:val="24"/>
              <w:u w:val="none" w:color="auto"/>
              <w:shd w:val="clear" w:fill="auto"/>
            </w:rPr>
            <w:fldChar w:fldCharType="begin"/>
          </w:r>
          <w:r>
            <w:rPr>
              <w:rFonts w:ascii="Times New Roman" w:hAnsi="Times New Roman"/>
              <w:sz w:val="24"/>
              <w:u w:val="none" w:color="auto"/>
              <w:shd w:val="clear" w:fill="auto"/>
            </w:rPr>
            <w:instrText xml:space="preserve"> PAGEREF _Toc20293 \h </w:instrText>
          </w:r>
          <w:r>
            <w:rPr>
              <w:rFonts w:ascii="Times New Roman" w:hAnsi="Times New Roman"/>
              <w:sz w:val="24"/>
              <w:u w:val="none" w:color="auto"/>
              <w:shd w:val="clear" w:fill="auto"/>
            </w:rPr>
            <w:fldChar w:fldCharType="separate"/>
          </w:r>
          <w:r>
            <w:rPr>
              <w:rFonts w:ascii="Times New Roman" w:hAnsi="Times New Roman"/>
              <w:sz w:val="24"/>
              <w:u w:val="none" w:color="auto"/>
              <w:shd w:val="clear" w:fill="auto"/>
            </w:rPr>
            <w:t>14</w:t>
          </w:r>
          <w:r>
            <w:rPr>
              <w:rFonts w:ascii="Times New Roman" w:hAnsi="Times New Roman"/>
              <w:sz w:val="24"/>
              <w:u w:val="none" w:color="auto"/>
              <w:shd w:val="clear" w:fill="auto"/>
            </w:rPr>
            <w:fldChar w:fldCharType="end"/>
          </w:r>
          <w:r>
            <w:rPr>
              <w:rFonts w:ascii="Times New Roman" w:hAnsi="Times New Roman"/>
              <w:sz w:val="24"/>
              <w:u w:val="none" w:color="auto"/>
              <w:shd w:val="clear" w:fill="auto"/>
            </w:rPr>
            <w:fldChar w:fldCharType="end"/>
          </w:r>
        </w:p>
        <w:p>
          <w:pPr>
            <w:pStyle w:val="19"/>
            <w:adjustRightInd w:val="0"/>
            <w:snapToGrid w:val="0"/>
            <w:spacing w:before="0"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"_Toc27303" </w:instrText>
          </w:r>
          <w:r>
            <w:rPr>
              <w:u w:val="none" w:color="auto"/>
              <w:shd w:val="clear" w:fill="auto"/>
            </w:rPr>
            <w:fldChar w:fldCharType="separate"/>
          </w:r>
          <w:r>
            <w:rPr>
              <w:rFonts w:hint="eastAsia"/>
              <w:sz w:val="24"/>
              <w:u w:val="none" w:color="auto"/>
              <w:shd w:val="clear" w:fill="auto"/>
            </w:rPr>
            <w:t>第四部分附件</w:t>
          </w:r>
          <w:r>
            <w:rPr>
              <w:rFonts w:hint="eastAsia" w:ascii="Times New Roman" w:hAnsi="Times New Roman" w:eastAsia="宋体"/>
              <w:sz w:val="24"/>
              <w:szCs w:val="24"/>
              <w:u w:val="none" w:color="auto"/>
              <w:shd w:val="clear" w:fill="auto"/>
            </w:rPr>
            <w:tab/>
          </w:r>
          <w:r>
            <w:rPr>
              <w:rFonts w:ascii="Times New Roman" w:hAnsi="Times New Roman"/>
              <w:sz w:val="24"/>
              <w:u w:val="none" w:color="auto"/>
              <w:shd w:val="clear" w:fill="auto"/>
            </w:rPr>
            <w:fldChar w:fldCharType="begin"/>
          </w:r>
          <w:r>
            <w:rPr>
              <w:rFonts w:ascii="Times New Roman" w:hAnsi="Times New Roman"/>
              <w:sz w:val="24"/>
              <w:u w:val="none" w:color="auto"/>
              <w:shd w:val="clear" w:fill="auto"/>
            </w:rPr>
            <w:instrText xml:space="preserve"> PAGEREF _Toc27303 \h </w:instrText>
          </w:r>
          <w:r>
            <w:rPr>
              <w:rFonts w:ascii="Times New Roman" w:hAnsi="Times New Roman"/>
              <w:sz w:val="24"/>
              <w:u w:val="none" w:color="auto"/>
              <w:shd w:val="clear" w:fill="auto"/>
            </w:rPr>
            <w:fldChar w:fldCharType="separate"/>
          </w:r>
          <w:r>
            <w:rPr>
              <w:rFonts w:ascii="Times New Roman" w:hAnsi="Times New Roman"/>
              <w:sz w:val="24"/>
              <w:u w:val="none" w:color="auto"/>
              <w:shd w:val="clear" w:fill="auto"/>
            </w:rPr>
            <w:t>18</w:t>
          </w:r>
          <w:r>
            <w:rPr>
              <w:rFonts w:ascii="Times New Roman" w:hAnsi="Times New Roman"/>
              <w:sz w:val="24"/>
              <w:u w:val="none" w:color="auto"/>
              <w:shd w:val="clear" w:fill="auto"/>
            </w:rPr>
            <w:fldChar w:fldCharType="end"/>
          </w:r>
          <w:r>
            <w:rPr>
              <w:rFonts w:ascii="Times New Roman" w:hAnsi="Times New Roman"/>
              <w:sz w:val="24"/>
              <w:u w:val="none" w:color="auto"/>
              <w:shd w:val="clear" w:fill="auto"/>
            </w:rPr>
            <w:fldChar w:fldCharType="end"/>
          </w:r>
        </w:p>
        <w:p>
          <w:pPr>
            <w:pStyle w:val="19"/>
            <w:adjustRightInd w:val="0"/>
            <w:snapToGrid w:val="0"/>
            <w:spacing w:before="0"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"_Toc6682" </w:instrText>
          </w:r>
          <w:r>
            <w:rPr>
              <w:u w:val="none" w:color="auto"/>
              <w:shd w:val="clear" w:fill="auto"/>
            </w:rPr>
            <w:fldChar w:fldCharType="separate"/>
          </w:r>
          <w:r>
            <w:rPr>
              <w:rFonts w:hint="eastAsia"/>
              <w:sz w:val="24"/>
              <w:u w:val="none" w:color="auto"/>
              <w:shd w:val="clear" w:fill="auto"/>
            </w:rPr>
            <w:t>第五部分附表</w:t>
          </w:r>
          <w:r>
            <w:rPr>
              <w:rFonts w:hint="eastAsia" w:ascii="Times New Roman" w:hAnsi="Times New Roman" w:eastAsia="宋体"/>
              <w:sz w:val="24"/>
              <w:szCs w:val="24"/>
              <w:u w:val="none" w:color="auto"/>
              <w:shd w:val="clear" w:fill="auto"/>
            </w:rPr>
            <w:tab/>
          </w:r>
          <w:r>
            <w:rPr>
              <w:rFonts w:ascii="Times New Roman" w:hAnsi="Times New Roman"/>
              <w:sz w:val="24"/>
              <w:u w:val="none" w:color="auto"/>
              <w:shd w:val="clear" w:fill="auto"/>
            </w:rPr>
            <w:fldChar w:fldCharType="begin"/>
          </w:r>
          <w:r>
            <w:rPr>
              <w:rFonts w:ascii="Times New Roman" w:hAnsi="Times New Roman"/>
              <w:sz w:val="24"/>
              <w:u w:val="none" w:color="auto"/>
              <w:shd w:val="clear" w:fill="auto"/>
            </w:rPr>
            <w:instrText xml:space="preserve"> PAGEREF _Toc6682 \h </w:instrText>
          </w:r>
          <w:r>
            <w:rPr>
              <w:rFonts w:ascii="Times New Roman" w:hAnsi="Times New Roman"/>
              <w:sz w:val="24"/>
              <w:u w:val="none" w:color="auto"/>
              <w:shd w:val="clear" w:fill="auto"/>
            </w:rPr>
            <w:fldChar w:fldCharType="separate"/>
          </w:r>
          <w:r>
            <w:rPr>
              <w:rFonts w:ascii="Times New Roman" w:hAnsi="Times New Roman"/>
              <w:sz w:val="24"/>
              <w:u w:val="none" w:color="auto"/>
              <w:shd w:val="clear" w:fill="auto"/>
            </w:rPr>
            <w:t>21</w:t>
          </w:r>
          <w:r>
            <w:rPr>
              <w:rFonts w:ascii="Times New Roman" w:hAnsi="Times New Roman"/>
              <w:sz w:val="24"/>
              <w:u w:val="none" w:color="auto"/>
              <w:shd w:val="clear" w:fill="auto"/>
            </w:rPr>
            <w:fldChar w:fldCharType="end"/>
          </w:r>
          <w:r>
            <w:rPr>
              <w:rFonts w:ascii="Times New Roman" w:hAnsi="Times New Roman"/>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"_Toc27327" </w:instrText>
          </w:r>
          <w:r>
            <w:rPr>
              <w:u w:val="none" w:color="auto"/>
              <w:shd w:val="clear" w:fill="auto"/>
            </w:rPr>
            <w:fldChar w:fldCharType="separate"/>
          </w:r>
          <w:r>
            <w:rPr>
              <w:rFonts w:hint="eastAsia"/>
              <w:sz w:val="24"/>
              <w:u w:val="none" w:color="auto"/>
              <w:shd w:val="clear" w:fill="auto"/>
            </w:rPr>
            <w:t>一、收入支出决算总表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_Toc27327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"_Toc21440" </w:instrText>
          </w:r>
          <w:r>
            <w:rPr>
              <w:u w:val="none" w:color="auto"/>
              <w:shd w:val="clear" w:fill="auto"/>
            </w:rPr>
            <w:fldChar w:fldCharType="separate"/>
          </w:r>
          <w:r>
            <w:rPr>
              <w:rFonts w:hint="eastAsia"/>
              <w:sz w:val="24"/>
              <w:u w:val="none" w:color="auto"/>
              <w:shd w:val="clear" w:fill="auto"/>
            </w:rPr>
            <w:t>二、收入决算表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_Toc21440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"_Toc29090" </w:instrText>
          </w:r>
          <w:r>
            <w:rPr>
              <w:u w:val="none" w:color="auto"/>
              <w:shd w:val="clear" w:fill="auto"/>
            </w:rPr>
            <w:fldChar w:fldCharType="separate"/>
          </w:r>
          <w:r>
            <w:rPr>
              <w:rFonts w:hint="eastAsia"/>
              <w:sz w:val="24"/>
              <w:u w:val="none" w:color="auto"/>
              <w:shd w:val="clear" w:fill="auto"/>
            </w:rPr>
            <w:t>三、支出决算表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_Toc29090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"_Toc4159" </w:instrText>
          </w:r>
          <w:r>
            <w:rPr>
              <w:u w:val="none" w:color="auto"/>
              <w:shd w:val="clear" w:fill="auto"/>
            </w:rPr>
            <w:fldChar w:fldCharType="separate"/>
          </w:r>
          <w:r>
            <w:rPr>
              <w:rFonts w:hint="eastAsia"/>
              <w:sz w:val="24"/>
              <w:u w:val="none" w:color="auto"/>
              <w:shd w:val="clear" w:fill="auto"/>
            </w:rPr>
            <w:t>四、财政拨款收入支出决算总表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_Toc4159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"_Toc715" </w:instrText>
          </w:r>
          <w:r>
            <w:rPr>
              <w:u w:val="none" w:color="auto"/>
              <w:shd w:val="clear" w:fill="auto"/>
            </w:rPr>
            <w:fldChar w:fldCharType="separate"/>
          </w:r>
          <w:r>
            <w:rPr>
              <w:rFonts w:hint="eastAsia"/>
              <w:sz w:val="24"/>
              <w:u w:val="none" w:color="auto"/>
              <w:shd w:val="clear" w:fill="auto"/>
            </w:rPr>
            <w:t>五、财政拨款支出决算明细表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_Toc715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"_Toc23147" </w:instrText>
          </w:r>
          <w:r>
            <w:rPr>
              <w:u w:val="none" w:color="auto"/>
              <w:shd w:val="clear" w:fill="auto"/>
            </w:rPr>
            <w:fldChar w:fldCharType="separate"/>
          </w:r>
          <w:r>
            <w:rPr>
              <w:rFonts w:hint="eastAsia"/>
              <w:sz w:val="24"/>
              <w:u w:val="none" w:color="auto"/>
              <w:shd w:val="clear" w:fill="auto"/>
            </w:rPr>
            <w:t>六、一般公共预算财政拨款支出决算表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_Toc23147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"_Toc13935" </w:instrText>
          </w:r>
          <w:r>
            <w:rPr>
              <w:u w:val="none" w:color="auto"/>
              <w:shd w:val="clear" w:fill="auto"/>
            </w:rPr>
            <w:fldChar w:fldCharType="separate"/>
          </w:r>
          <w:r>
            <w:rPr>
              <w:rFonts w:hint="eastAsia"/>
              <w:sz w:val="24"/>
              <w:u w:val="none" w:color="auto"/>
              <w:shd w:val="clear" w:fill="auto"/>
            </w:rPr>
            <w:t>七、一般公共预算财政拨款支出决算明细表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_Toc13935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"_Toc26538" </w:instrText>
          </w:r>
          <w:r>
            <w:rPr>
              <w:u w:val="none" w:color="auto"/>
              <w:shd w:val="clear" w:fill="auto"/>
            </w:rPr>
            <w:fldChar w:fldCharType="separate"/>
          </w:r>
          <w:r>
            <w:rPr>
              <w:rFonts w:hint="eastAsia"/>
              <w:sz w:val="24"/>
              <w:u w:val="none" w:color="auto"/>
              <w:shd w:val="clear" w:fill="auto"/>
            </w:rPr>
            <w:t>八、一般公共预算财政拨款基本支出决算表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_Toc26538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"_Toc31313" </w:instrText>
          </w:r>
          <w:r>
            <w:rPr>
              <w:u w:val="none" w:color="auto"/>
              <w:shd w:val="clear" w:fill="auto"/>
            </w:rPr>
            <w:fldChar w:fldCharType="separate"/>
          </w:r>
          <w:r>
            <w:rPr>
              <w:rFonts w:hint="eastAsia"/>
              <w:sz w:val="24"/>
              <w:u w:val="none" w:color="auto"/>
              <w:shd w:val="clear" w:fill="auto"/>
            </w:rPr>
            <w:t>九、一般公共预算财政拨款项目支出决算表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_Toc31313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"_Toc11458" </w:instrText>
          </w:r>
          <w:r>
            <w:rPr>
              <w:u w:val="none" w:color="auto"/>
              <w:shd w:val="clear" w:fill="auto"/>
            </w:rPr>
            <w:fldChar w:fldCharType="separate"/>
          </w:r>
          <w:r>
            <w:rPr>
              <w:rFonts w:hint="eastAsia"/>
              <w:sz w:val="24"/>
              <w:u w:val="none" w:color="auto"/>
              <w:shd w:val="clear" w:fill="auto"/>
            </w:rPr>
            <w:t>十、一般公共预算财政拨款“三公”经费支出决算表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_Toc11458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"_Toc32238" </w:instrText>
          </w:r>
          <w:r>
            <w:rPr>
              <w:u w:val="none" w:color="auto"/>
              <w:shd w:val="clear" w:fill="auto"/>
            </w:rPr>
            <w:fldChar w:fldCharType="separate"/>
          </w:r>
          <w:r>
            <w:rPr>
              <w:rFonts w:hint="eastAsia"/>
              <w:sz w:val="24"/>
              <w:u w:val="none" w:color="auto"/>
              <w:shd w:val="clear" w:fill="auto"/>
            </w:rPr>
            <w:t>十一、政府性基金预算财政拨款收入支出决算表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_Toc32238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"_Toc6627" </w:instrText>
          </w:r>
          <w:r>
            <w:rPr>
              <w:u w:val="none" w:color="auto"/>
              <w:shd w:val="clear" w:fill="auto"/>
            </w:rPr>
            <w:fldChar w:fldCharType="separate"/>
          </w:r>
          <w:r>
            <w:rPr>
              <w:rFonts w:hint="eastAsia"/>
              <w:sz w:val="24"/>
              <w:u w:val="none" w:color="auto"/>
              <w:shd w:val="clear" w:fill="auto"/>
            </w:rPr>
            <w:t>十二、政府性基金预算财政拨款“三公”经费支出决算表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_Toc6627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sz w:val="24"/>
              <w:u w:val="none" w:color="auto"/>
              <w:shd w:val="clear" w:fill="auto"/>
            </w:rPr>
          </w:pPr>
          <w:r>
            <w:rPr>
              <w:u w:val="none" w:color="auto"/>
              <w:shd w:val="clear" w:fill="auto"/>
            </w:rPr>
            <w:fldChar w:fldCharType="begin"/>
          </w:r>
          <w:r>
            <w:rPr>
              <w:u w:val="none" w:color="auto"/>
              <w:shd w:val="clear" w:fill="auto"/>
            </w:rPr>
            <w:instrText xml:space="preserve"> HYPERLINK \l "_Toc31949" </w:instrText>
          </w:r>
          <w:r>
            <w:rPr>
              <w:u w:val="none" w:color="auto"/>
              <w:shd w:val="clear" w:fill="auto"/>
            </w:rPr>
            <w:fldChar w:fldCharType="separate"/>
          </w:r>
          <w:r>
            <w:rPr>
              <w:rFonts w:hint="eastAsia"/>
              <w:sz w:val="24"/>
              <w:u w:val="none" w:color="auto"/>
              <w:shd w:val="clear" w:fill="auto"/>
            </w:rPr>
            <w:t>十三、国有资本经营预算财政拨款收入支出决算表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_Toc31949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20"/>
            <w:adjustRightInd w:val="0"/>
            <w:snapToGrid w:val="0"/>
            <w:spacing w:line="440" w:lineRule="exact"/>
            <w:jc w:val="left"/>
            <w:rPr>
              <w:u w:val="none" w:color="auto"/>
              <w:shd w:val="clear" w:fill="auto"/>
            </w:rPr>
          </w:pPr>
          <w:r>
            <w:rPr>
              <w:u w:val="none" w:color="auto"/>
              <w:shd w:val="clear" w:fill="auto"/>
            </w:rPr>
            <w:fldChar w:fldCharType="begin"/>
          </w:r>
          <w:r>
            <w:rPr>
              <w:u w:val="none" w:color="auto"/>
              <w:shd w:val="clear" w:fill="auto"/>
            </w:rPr>
            <w:instrText xml:space="preserve"> HYPERLINK \l "_Toc16418" </w:instrText>
          </w:r>
          <w:r>
            <w:rPr>
              <w:u w:val="none" w:color="auto"/>
              <w:shd w:val="clear" w:fill="auto"/>
            </w:rPr>
            <w:fldChar w:fldCharType="separate"/>
          </w:r>
          <w:r>
            <w:rPr>
              <w:rFonts w:hint="eastAsia"/>
              <w:sz w:val="24"/>
              <w:u w:val="none" w:color="auto"/>
              <w:shd w:val="clear" w:fill="auto"/>
            </w:rPr>
            <w:t>十四、国有资本经营预算财政拨款支出决算表</w:t>
          </w:r>
          <w:r>
            <w:rPr>
              <w:rFonts w:hint="eastAsia"/>
              <w:sz w:val="24"/>
              <w:u w:val="none" w:color="auto"/>
              <w:shd w:val="clear" w:fill="auto"/>
            </w:rPr>
            <w:tab/>
          </w:r>
          <w:r>
            <w:rPr>
              <w:rFonts w:hint="eastAsia"/>
              <w:sz w:val="24"/>
              <w:u w:val="none" w:color="auto"/>
              <w:shd w:val="clear" w:fill="auto"/>
            </w:rPr>
            <w:fldChar w:fldCharType="begin"/>
          </w:r>
          <w:r>
            <w:rPr>
              <w:rFonts w:hint="eastAsia"/>
              <w:sz w:val="24"/>
              <w:u w:val="none" w:color="auto"/>
              <w:shd w:val="clear" w:fill="auto"/>
            </w:rPr>
            <w:instrText xml:space="preserve"> PAGEREF _Toc16418 \h </w:instrText>
          </w:r>
          <w:r>
            <w:rPr>
              <w:rFonts w:hint="eastAsia"/>
              <w:sz w:val="24"/>
              <w:u w:val="none" w:color="auto"/>
              <w:shd w:val="clear" w:fill="auto"/>
            </w:rPr>
            <w:fldChar w:fldCharType="separate"/>
          </w:r>
          <w:r>
            <w:rPr>
              <w:rFonts w:hint="eastAsia"/>
              <w:sz w:val="24"/>
              <w:u w:val="none" w:color="auto"/>
              <w:shd w:val="clear" w:fill="auto"/>
            </w:rPr>
            <w:t>21</w:t>
          </w:r>
          <w:r>
            <w:rPr>
              <w:rFonts w:hint="eastAsia"/>
              <w:sz w:val="24"/>
              <w:u w:val="none" w:color="auto"/>
              <w:shd w:val="clear" w:fill="auto"/>
            </w:rPr>
            <w:fldChar w:fldCharType="end"/>
          </w:r>
          <w:r>
            <w:rPr>
              <w:rFonts w:hint="eastAsia"/>
              <w:sz w:val="24"/>
              <w:u w:val="none" w:color="auto"/>
              <w:shd w:val="clear" w:fill="auto"/>
            </w:rPr>
            <w:fldChar w:fldCharType="end"/>
          </w:r>
        </w:p>
        <w:p>
          <w:pPr>
            <w:pStyle w:val="3"/>
            <w:spacing w:before="93"/>
            <w:rPr>
              <w:u w:val="none" w:color="auto"/>
              <w:shd w:val="clear" w:fill="auto"/>
            </w:rPr>
          </w:pPr>
          <w:r>
            <w:rPr>
              <w:b/>
              <w:u w:val="none" w:color="auto"/>
              <w:shd w:val="clear" w:fill="auto"/>
            </w:rPr>
            <w:fldChar w:fldCharType="end"/>
          </w:r>
        </w:p>
      </w:sdtContent>
    </w:sdt>
    <w:p>
      <w:pPr>
        <w:widowControl/>
        <w:spacing w:line="440" w:lineRule="exact"/>
        <w:jc w:val="left"/>
        <w:rPr>
          <w:u w:val="none" w:color="auto"/>
          <w:shd w:val="clear" w:fill="auto"/>
        </w:rPr>
      </w:pPr>
      <w:bookmarkStart w:id="14" w:name="_Toc15377196"/>
      <w:bookmarkStart w:id="15" w:name="_Toc15396599"/>
      <w:r>
        <w:rPr>
          <w:u w:val="none" w:color="auto"/>
          <w:shd w:val="clear" w:fill="auto"/>
        </w:rPr>
        <w:br w:type="page"/>
      </w:r>
    </w:p>
    <w:p>
      <w:pPr>
        <w:pStyle w:val="13"/>
        <w:jc w:val="center"/>
        <w:rPr>
          <w:rStyle w:val="29"/>
          <w:rFonts w:ascii="黑体" w:hAnsi="黑体" w:eastAsia="黑体"/>
          <w:b/>
          <w:bCs w:val="0"/>
          <w:u w:val="none" w:color="auto"/>
          <w:shd w:val="clear" w:fill="auto"/>
        </w:rPr>
      </w:pPr>
      <w:bookmarkStart w:id="16" w:name="_Toc22054"/>
      <w:r>
        <w:rPr>
          <w:rFonts w:hint="eastAsia" w:ascii="黑体" w:hAnsi="黑体" w:eastAsia="黑体"/>
          <w:b w:val="0"/>
          <w:u w:val="none" w:color="auto"/>
          <w:shd w:val="clear" w:fill="auto"/>
        </w:rPr>
        <w:t>第一部分</w:t>
      </w:r>
      <w:r>
        <w:rPr>
          <w:rFonts w:hint="eastAsia" w:ascii="黑体" w:hAnsi="黑体" w:eastAsia="黑体"/>
          <w:b w:val="0"/>
          <w:u w:val="none" w:color="auto"/>
          <w:shd w:val="clear" w:fill="auto"/>
          <w:lang w:val="en-US" w:eastAsia="zh-CN"/>
        </w:rPr>
        <w:t xml:space="preserve"> </w:t>
      </w:r>
      <w:bookmarkStart w:id="105" w:name="_GoBack"/>
      <w:bookmarkEnd w:id="105"/>
      <w:r>
        <w:rPr>
          <w:rFonts w:hint="eastAsia" w:ascii="黑体" w:hAnsi="黑体" w:eastAsia="黑体"/>
          <w:b w:val="0"/>
          <w:u w:val="none" w:color="auto"/>
          <w:shd w:val="clear" w:fill="auto"/>
        </w:rPr>
        <w:t>单位</w:t>
      </w:r>
      <w:r>
        <w:rPr>
          <w:rStyle w:val="29"/>
          <w:rFonts w:hint="eastAsia" w:ascii="黑体" w:hAnsi="黑体" w:eastAsia="黑体"/>
          <w:b w:val="0"/>
          <w:bCs w:val="0"/>
          <w:u w:val="none" w:color="auto"/>
          <w:shd w:val="clear" w:fill="auto"/>
        </w:rPr>
        <w:t>概况</w:t>
      </w:r>
      <w:bookmarkEnd w:id="14"/>
      <w:bookmarkEnd w:id="15"/>
      <w:bookmarkEnd w:id="16"/>
    </w:p>
    <w:p>
      <w:pPr>
        <w:pStyle w:val="14"/>
        <w:spacing w:before="0" w:after="0" w:line="560" w:lineRule="exact"/>
        <w:ind w:firstLine="640" w:firstLineChars="200"/>
        <w:rPr>
          <w:rStyle w:val="30"/>
          <w:rFonts w:ascii="黑体" w:hAnsi="黑体" w:eastAsia="黑体"/>
          <w:b w:val="0"/>
          <w:bCs w:val="0"/>
          <w:u w:val="none" w:color="auto"/>
          <w:shd w:val="clear" w:fill="auto"/>
        </w:rPr>
      </w:pPr>
      <w:bookmarkStart w:id="17" w:name="_Toc13294"/>
      <w:bookmarkStart w:id="18" w:name="_Toc15377197"/>
      <w:bookmarkStart w:id="19" w:name="_Toc15396600"/>
      <w:r>
        <w:rPr>
          <w:rStyle w:val="30"/>
          <w:rFonts w:hint="eastAsia" w:ascii="黑体" w:hAnsi="黑体" w:eastAsia="黑体"/>
          <w:b w:val="0"/>
          <w:bCs w:val="0"/>
          <w:u w:val="none" w:color="auto"/>
          <w:shd w:val="clear" w:fill="auto"/>
        </w:rPr>
        <w:t>一、职能简介</w:t>
      </w:r>
      <w:bookmarkEnd w:id="17"/>
    </w:p>
    <w:p>
      <w:pPr>
        <w:spacing w:line="560" w:lineRule="exact"/>
        <w:ind w:firstLine="640" w:firstLineChars="200"/>
        <w:rPr>
          <w:u w:val="none" w:color="auto"/>
          <w:shd w:val="clear" w:fill="auto"/>
        </w:rPr>
      </w:pPr>
      <w:r>
        <w:rPr>
          <w:rFonts w:hint="eastAsia" w:ascii="仿宋_GB2312" w:hAnsi="仿宋_GB2312" w:eastAsia="仿宋_GB2312" w:cs="仿宋_GB2312"/>
          <w:sz w:val="32"/>
          <w:szCs w:val="32"/>
          <w:u w:val="none" w:color="auto"/>
          <w:shd w:val="clear" w:fill="auto"/>
        </w:rPr>
        <w:t>一是负责对国家、省、市、县颁布的机关事业单位人员养老政策宣传工作。二是负责全县范围内机关事业单位人员养老保险基金的筹集、管理、支付等具体业务经办工作。三是负责办理养老保险参保登记、审核养老保险缴费申报及养老保险关系建立、中断、转移、接续和终止等工作。四是负责办理养老保险个人账户建立和管理缴费档案的业务工作。五是负责全县机关事业人员养老保险基金的稽核工作，建立健全防范瞒报少缴养老保险费和虚报冒领养老保险待遇的工作制度。</w:t>
      </w:r>
    </w:p>
    <w:p>
      <w:pPr>
        <w:pStyle w:val="14"/>
        <w:spacing w:before="0" w:after="0" w:line="560" w:lineRule="exact"/>
        <w:ind w:firstLine="640" w:firstLineChars="200"/>
        <w:rPr>
          <w:rFonts w:ascii="黑体" w:hAnsi="黑体" w:eastAsia="黑体"/>
          <w:b w:val="0"/>
          <w:u w:val="none" w:color="auto"/>
          <w:shd w:val="clear" w:fill="auto"/>
        </w:rPr>
      </w:pPr>
      <w:bookmarkStart w:id="20" w:name="_Toc28510"/>
      <w:r>
        <w:rPr>
          <w:rFonts w:hint="eastAsia" w:ascii="黑体" w:hAnsi="黑体" w:eastAsia="黑体"/>
          <w:b w:val="0"/>
          <w:u w:val="none" w:color="auto"/>
          <w:shd w:val="clear" w:fill="auto"/>
        </w:rPr>
        <w:t>二、2021年重点工作</w:t>
      </w:r>
      <w:bookmarkEnd w:id="18"/>
      <w:bookmarkEnd w:id="19"/>
      <w:r>
        <w:rPr>
          <w:rFonts w:hint="eastAsia" w:ascii="黑体" w:hAnsi="黑体" w:eastAsia="黑体"/>
          <w:b w:val="0"/>
          <w:u w:val="none" w:color="auto"/>
          <w:shd w:val="clear" w:fill="auto"/>
        </w:rPr>
        <w:t>完成情况</w:t>
      </w:r>
      <w:bookmarkEnd w:id="20"/>
    </w:p>
    <w:p>
      <w:pPr>
        <w:spacing w:line="560" w:lineRule="exact"/>
        <w:ind w:firstLine="640" w:firstLineChars="200"/>
        <w:rPr>
          <w:u w:val="none" w:color="auto"/>
          <w:shd w:val="clear" w:fill="auto"/>
        </w:rPr>
      </w:pPr>
      <w:r>
        <w:rPr>
          <w:rFonts w:hint="eastAsia" w:ascii="仿宋_GB2312" w:hAnsi="仿宋_GB2312" w:eastAsia="仿宋_GB2312" w:cs="仿宋_GB2312"/>
          <w:sz w:val="32"/>
          <w:szCs w:val="32"/>
          <w:u w:val="none" w:color="auto"/>
          <w:shd w:val="clear" w:fill="auto"/>
        </w:rPr>
        <w:t>一是征缴业务。进一步加强机关养老保险及职业年金费用的缴纳、欠费催收，及时办理缴费基数申报、参保信息变更、人员增减变动、转移接续等。二是退管业务。及时办理退休人员申报、信息维护、待遇延续及死亡暂停人员清理等。三是基金管理。进一步严格基金管理，确保基金安全保值增值，对日常经办业务加强审核管理，对风险监测数据及时再核实，完成退休人员生存认证等。四是其他重点业务。</w:t>
      </w:r>
    </w:p>
    <w:p>
      <w:pPr>
        <w:widowControl/>
        <w:jc w:val="left"/>
        <w:rPr>
          <w:rFonts w:ascii="仿宋" w:hAnsi="仿宋" w:eastAsia="仿宋"/>
          <w:kern w:val="0"/>
          <w:sz w:val="32"/>
          <w:szCs w:val="32"/>
          <w:u w:val="none" w:color="auto"/>
          <w:shd w:val="clear" w:fill="auto"/>
        </w:rPr>
      </w:pPr>
      <w:r>
        <w:rPr>
          <w:u w:val="none" w:color="auto"/>
          <w:shd w:val="clear" w:fill="auto"/>
        </w:rPr>
        <w:br w:type="page"/>
      </w:r>
    </w:p>
    <w:p>
      <w:pPr>
        <w:pStyle w:val="13"/>
        <w:ind w:right="440"/>
        <w:jc w:val="center"/>
        <w:rPr>
          <w:rStyle w:val="29"/>
          <w:rFonts w:ascii="黑体" w:hAnsi="黑体" w:eastAsia="黑体"/>
          <w:b w:val="0"/>
          <w:bCs/>
          <w:u w:val="none" w:color="auto"/>
          <w:shd w:val="clear" w:fill="auto"/>
        </w:rPr>
      </w:pPr>
      <w:bookmarkStart w:id="21" w:name="_Toc27619"/>
      <w:bookmarkStart w:id="22" w:name="_Toc15377204"/>
      <w:bookmarkStart w:id="23" w:name="_Toc15396602"/>
      <w:r>
        <w:rPr>
          <w:rFonts w:hint="eastAsia" w:ascii="黑体" w:hAnsi="黑体" w:eastAsia="黑体"/>
          <w:b w:val="0"/>
          <w:u w:val="none" w:color="auto"/>
          <w:shd w:val="clear" w:fill="auto"/>
        </w:rPr>
        <w:t>第二部分 2021年度</w:t>
      </w:r>
      <w:r>
        <w:rPr>
          <w:rStyle w:val="29"/>
          <w:rFonts w:hint="eastAsia" w:ascii="黑体" w:hAnsi="黑体" w:eastAsia="黑体"/>
          <w:b w:val="0"/>
          <w:bCs/>
          <w:u w:val="none" w:color="auto"/>
          <w:shd w:val="clear" w:fill="auto"/>
        </w:rPr>
        <w:t>单位决算情况说明</w:t>
      </w:r>
      <w:bookmarkEnd w:id="21"/>
      <w:bookmarkEnd w:id="22"/>
      <w:bookmarkEnd w:id="23"/>
    </w:p>
    <w:p>
      <w:pPr>
        <w:rPr>
          <w:u w:val="none" w:color="auto"/>
          <w:shd w:val="clear" w:fill="auto"/>
        </w:rPr>
      </w:pPr>
    </w:p>
    <w:p>
      <w:pPr>
        <w:pStyle w:val="28"/>
        <w:numPr>
          <w:ilvl w:val="0"/>
          <w:numId w:val="1"/>
        </w:numPr>
        <w:spacing w:line="600" w:lineRule="exact"/>
        <w:ind w:firstLineChars="0"/>
        <w:outlineLvl w:val="1"/>
        <w:rPr>
          <w:rFonts w:hint="eastAsia" w:ascii="黑体" w:hAnsi="黑体" w:eastAsia="黑体"/>
          <w:sz w:val="32"/>
          <w:szCs w:val="32"/>
          <w:u w:val="none" w:color="auto"/>
          <w:shd w:val="clear" w:fill="auto"/>
        </w:rPr>
      </w:pPr>
      <w:bookmarkStart w:id="24" w:name="_Toc15377205"/>
      <w:bookmarkStart w:id="25" w:name="_Toc15396603"/>
      <w:bookmarkStart w:id="26" w:name="_Toc8778"/>
      <w:r>
        <w:rPr>
          <w:rFonts w:hint="eastAsia" w:ascii="黑体" w:hAnsi="黑体" w:eastAsia="黑体"/>
          <w:sz w:val="32"/>
          <w:szCs w:val="32"/>
          <w:u w:val="none" w:color="auto"/>
          <w:shd w:val="clear" w:fill="auto"/>
        </w:rPr>
        <w:t>收</w:t>
      </w:r>
      <w:r>
        <w:rPr>
          <w:rStyle w:val="30"/>
          <w:rFonts w:hint="eastAsia" w:ascii="黑体" w:hAnsi="黑体" w:eastAsia="黑体"/>
          <w:b w:val="0"/>
          <w:u w:val="none" w:color="auto"/>
          <w:shd w:val="clear" w:fill="auto"/>
        </w:rPr>
        <w:t>入支出</w:t>
      </w:r>
      <w:r>
        <w:rPr>
          <w:rFonts w:hint="eastAsia" w:ascii="黑体" w:hAnsi="黑体" w:eastAsia="黑体"/>
          <w:sz w:val="32"/>
          <w:szCs w:val="32"/>
          <w:u w:val="none" w:color="auto"/>
          <w:shd w:val="clear" w:fill="auto"/>
        </w:rPr>
        <w:t>决算总体情况说明</w:t>
      </w:r>
      <w:bookmarkEnd w:id="24"/>
      <w:bookmarkEnd w:id="25"/>
      <w:bookmarkEnd w:id="26"/>
    </w:p>
    <w:p>
      <w:pPr>
        <w:spacing w:line="600" w:lineRule="exact"/>
        <w:ind w:firstLine="640" w:firstLineChars="200"/>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2021年度收、支总计2972.87万元。与2020年相比，收、支总计各增加106.16万元，增长3.70%。主要变动原因是2021年财政统拨代发退休人员生活补助增加及2021年度期间存在人员调进调出导致工资福利支出增加。</w:t>
      </w:r>
    </w:p>
    <w:p>
      <w:pPr>
        <w:pStyle w:val="3"/>
        <w:spacing w:before="93"/>
        <w:rPr>
          <w:u w:val="none" w:color="auto"/>
          <w:shd w:val="clear" w:fill="auto"/>
        </w:rPr>
      </w:pPr>
      <w:r>
        <w:rPr>
          <w:rFonts w:hint="eastAsia"/>
          <w:u w:val="none" w:color="auto"/>
          <w:shd w:val="clear" w:fill="auto"/>
        </w:rPr>
        <w:drawing>
          <wp:inline distT="0" distB="0" distL="114300" distR="114300">
            <wp:extent cx="5153025" cy="3259455"/>
            <wp:effectExtent l="4445" t="4445" r="5080" b="12700"/>
            <wp:docPr id="132" name="_x0000_i136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图1：收、支决算总计变动情况图</w:t>
      </w:r>
    </w:p>
    <w:p>
      <w:pPr>
        <w:pStyle w:val="28"/>
        <w:numPr>
          <w:ilvl w:val="0"/>
          <w:numId w:val="1"/>
        </w:numPr>
        <w:spacing w:line="600" w:lineRule="exact"/>
        <w:ind w:firstLineChars="0"/>
        <w:outlineLvl w:val="1"/>
        <w:rPr>
          <w:rStyle w:val="30"/>
          <w:rFonts w:ascii="黑体" w:hAnsi="黑体" w:eastAsia="黑体"/>
          <w:b w:val="0"/>
          <w:u w:val="none" w:color="auto"/>
          <w:shd w:val="clear" w:fill="auto"/>
        </w:rPr>
      </w:pPr>
      <w:bookmarkStart w:id="27" w:name="_Toc15396604"/>
      <w:bookmarkStart w:id="28" w:name="_Toc4578"/>
      <w:bookmarkStart w:id="29" w:name="_Toc15377206"/>
      <w:r>
        <w:rPr>
          <w:rFonts w:hint="eastAsia" w:ascii="黑体" w:hAnsi="黑体" w:eastAsia="黑体"/>
          <w:sz w:val="32"/>
          <w:szCs w:val="32"/>
          <w:u w:val="none" w:color="auto"/>
          <w:shd w:val="clear" w:fill="auto"/>
        </w:rPr>
        <w:t>收</w:t>
      </w:r>
      <w:r>
        <w:rPr>
          <w:rStyle w:val="30"/>
          <w:rFonts w:hint="eastAsia" w:ascii="黑体" w:hAnsi="黑体" w:eastAsia="黑体"/>
          <w:b w:val="0"/>
          <w:u w:val="none" w:color="auto"/>
          <w:shd w:val="clear" w:fill="auto"/>
        </w:rPr>
        <w:t>入决算情况说明</w:t>
      </w:r>
      <w:bookmarkEnd w:id="27"/>
      <w:bookmarkEnd w:id="28"/>
      <w:bookmarkEnd w:id="29"/>
    </w:p>
    <w:p>
      <w:pPr>
        <w:spacing w:line="600" w:lineRule="exact"/>
        <w:ind w:firstLine="640" w:firstLineChars="200"/>
        <w:rPr>
          <w:rFonts w:ascii="仿宋_GB2312" w:hAnsi="仿宋" w:eastAsia="仿宋_GB2312"/>
          <w:sz w:val="32"/>
          <w:szCs w:val="32"/>
          <w:u w:val="none" w:color="auto"/>
          <w:shd w:val="clear" w:fill="auto"/>
        </w:rPr>
      </w:pPr>
      <w:bookmarkStart w:id="30" w:name="_Toc1696"/>
      <w:r>
        <w:rPr>
          <w:rFonts w:ascii="仿宋_GB2312" w:hAnsi="仿宋" w:eastAsia="仿宋_GB2312"/>
          <w:sz w:val="32"/>
          <w:szCs w:val="32"/>
          <w:u w:val="none" w:color="auto"/>
          <w:shd w:val="clear" w:fill="auto"/>
        </w:rPr>
        <w:t>20</w:t>
      </w:r>
      <w:r>
        <w:rPr>
          <w:rFonts w:hint="eastAsia" w:ascii="仿宋_GB2312" w:hAnsi="仿宋" w:eastAsia="仿宋_GB2312"/>
          <w:sz w:val="32"/>
          <w:szCs w:val="32"/>
          <w:u w:val="none" w:color="auto"/>
          <w:shd w:val="clear" w:fill="auto"/>
        </w:rPr>
        <w:t>21年本年收入合计2972.87万元，其中：一般公共预算财政拨款收入2972.87万元，占100</w:t>
      </w:r>
      <w:r>
        <w:rPr>
          <w:rFonts w:ascii="仿宋_GB2312" w:hAnsi="仿宋" w:eastAsia="仿宋_GB2312"/>
          <w:sz w:val="32"/>
          <w:szCs w:val="32"/>
          <w:u w:val="none" w:color="auto"/>
          <w:shd w:val="clear" w:fill="auto"/>
        </w:rPr>
        <w:t>%</w:t>
      </w:r>
      <w:r>
        <w:rPr>
          <w:rFonts w:hint="eastAsia" w:ascii="仿宋_GB2312" w:hAnsi="仿宋" w:eastAsia="仿宋_GB2312"/>
          <w:sz w:val="32"/>
          <w:szCs w:val="32"/>
          <w:u w:val="none" w:color="auto"/>
          <w:shd w:val="clear" w:fill="auto"/>
        </w:rPr>
        <w:t>；政府性基金预算财政拨款收入0万元，占0</w:t>
      </w:r>
      <w:r>
        <w:rPr>
          <w:rFonts w:ascii="仿宋_GB2312" w:hAnsi="仿宋" w:eastAsia="仿宋_GB2312"/>
          <w:sz w:val="32"/>
          <w:szCs w:val="32"/>
          <w:u w:val="none" w:color="auto"/>
          <w:shd w:val="clear" w:fill="auto"/>
        </w:rPr>
        <w:t>%</w:t>
      </w:r>
      <w:r>
        <w:rPr>
          <w:rFonts w:hint="eastAsia" w:ascii="仿宋_GB2312" w:hAnsi="仿宋" w:eastAsia="仿宋_GB2312"/>
          <w:sz w:val="32"/>
          <w:szCs w:val="32"/>
          <w:u w:val="none" w:color="auto"/>
          <w:shd w:val="clear" w:fill="auto"/>
        </w:rPr>
        <w:t>；国有资本经营预算财政拨款收入0万元，占0</w:t>
      </w:r>
      <w:r>
        <w:rPr>
          <w:rFonts w:ascii="仿宋_GB2312" w:hAnsi="仿宋" w:eastAsia="仿宋_GB2312"/>
          <w:sz w:val="32"/>
          <w:szCs w:val="32"/>
          <w:u w:val="none" w:color="auto"/>
          <w:shd w:val="clear" w:fill="auto"/>
        </w:rPr>
        <w:t>%</w:t>
      </w:r>
      <w:r>
        <w:rPr>
          <w:rFonts w:hint="eastAsia" w:ascii="仿宋_GB2312" w:hAnsi="仿宋" w:eastAsia="仿宋_GB2312"/>
          <w:sz w:val="32"/>
          <w:szCs w:val="32"/>
          <w:u w:val="none" w:color="auto"/>
          <w:shd w:val="clear" w:fill="auto"/>
        </w:rPr>
        <w:t>；上级补助收入0万元，占0</w:t>
      </w:r>
      <w:r>
        <w:rPr>
          <w:rFonts w:ascii="仿宋_GB2312" w:hAnsi="仿宋" w:eastAsia="仿宋_GB2312"/>
          <w:sz w:val="32"/>
          <w:szCs w:val="32"/>
          <w:u w:val="none" w:color="auto"/>
          <w:shd w:val="clear" w:fill="auto"/>
        </w:rPr>
        <w:t>%</w:t>
      </w:r>
      <w:r>
        <w:rPr>
          <w:rFonts w:hint="eastAsia" w:ascii="仿宋_GB2312" w:hAnsi="仿宋" w:eastAsia="仿宋_GB2312"/>
          <w:sz w:val="32"/>
          <w:szCs w:val="32"/>
          <w:u w:val="none" w:color="auto"/>
          <w:shd w:val="clear" w:fill="auto"/>
        </w:rPr>
        <w:t>；营业收入0万元，占比0</w:t>
      </w:r>
      <w:r>
        <w:rPr>
          <w:rFonts w:ascii="仿宋_GB2312" w:hAnsi="仿宋" w:eastAsia="仿宋_GB2312"/>
          <w:sz w:val="32"/>
          <w:szCs w:val="32"/>
          <w:u w:val="none" w:color="auto"/>
          <w:shd w:val="clear" w:fill="auto"/>
        </w:rPr>
        <w:t>%</w:t>
      </w:r>
      <w:r>
        <w:rPr>
          <w:rFonts w:hint="eastAsia" w:ascii="仿宋_GB2312" w:hAnsi="仿宋" w:eastAsia="仿宋_GB2312"/>
          <w:sz w:val="32"/>
          <w:szCs w:val="32"/>
          <w:u w:val="none" w:color="auto"/>
          <w:shd w:val="clear" w:fill="auto"/>
        </w:rPr>
        <w:t>；经营收入0万元，占比0</w:t>
      </w:r>
      <w:r>
        <w:rPr>
          <w:rFonts w:ascii="仿宋_GB2312" w:hAnsi="仿宋" w:eastAsia="仿宋_GB2312"/>
          <w:sz w:val="32"/>
          <w:szCs w:val="32"/>
          <w:u w:val="none" w:color="auto"/>
          <w:shd w:val="clear" w:fill="auto"/>
        </w:rPr>
        <w:t>%</w:t>
      </w:r>
      <w:r>
        <w:rPr>
          <w:rFonts w:hint="eastAsia" w:ascii="仿宋_GB2312" w:hAnsi="仿宋" w:eastAsia="仿宋_GB2312"/>
          <w:sz w:val="32"/>
          <w:szCs w:val="32"/>
          <w:u w:val="none" w:color="auto"/>
          <w:shd w:val="clear" w:fill="auto"/>
        </w:rPr>
        <w:t>；附属单位上缴收入0万元，占0</w:t>
      </w:r>
      <w:r>
        <w:rPr>
          <w:rFonts w:ascii="仿宋_GB2312" w:hAnsi="仿宋" w:eastAsia="仿宋_GB2312"/>
          <w:sz w:val="32"/>
          <w:szCs w:val="32"/>
          <w:u w:val="none" w:color="auto"/>
          <w:shd w:val="clear" w:fill="auto"/>
        </w:rPr>
        <w:t>%</w:t>
      </w:r>
      <w:r>
        <w:rPr>
          <w:rFonts w:hint="eastAsia" w:ascii="仿宋_GB2312" w:hAnsi="仿宋" w:eastAsia="仿宋_GB2312"/>
          <w:sz w:val="32"/>
          <w:szCs w:val="32"/>
          <w:u w:val="none" w:color="auto"/>
          <w:shd w:val="clear" w:fill="auto"/>
        </w:rPr>
        <w:t>；其他收入0万元，占0</w:t>
      </w:r>
      <w:r>
        <w:rPr>
          <w:rFonts w:ascii="仿宋_GB2312" w:hAnsi="仿宋" w:eastAsia="仿宋_GB2312"/>
          <w:sz w:val="32"/>
          <w:szCs w:val="32"/>
          <w:u w:val="none" w:color="auto"/>
          <w:shd w:val="clear" w:fill="auto"/>
        </w:rPr>
        <w:t>%</w:t>
      </w:r>
      <w:r>
        <w:rPr>
          <w:rFonts w:hint="eastAsia" w:ascii="仿宋_GB2312" w:hAnsi="仿宋" w:eastAsia="仿宋_GB2312"/>
          <w:sz w:val="32"/>
          <w:szCs w:val="32"/>
          <w:u w:val="none" w:color="auto"/>
          <w:shd w:val="clear" w:fill="auto"/>
        </w:rPr>
        <w:t>。</w:t>
      </w:r>
      <w:bookmarkEnd w:id="30"/>
    </w:p>
    <w:p>
      <w:pPr>
        <w:spacing w:line="600" w:lineRule="exact"/>
        <w:jc w:val="center"/>
        <w:rPr>
          <w:rFonts w:ascii="仿宋" w:hAnsi="仿宋" w:eastAsia="仿宋"/>
          <w:sz w:val="32"/>
          <w:szCs w:val="32"/>
          <w:u w:val="none" w:color="auto"/>
          <w:shd w:val="clear" w:fill="auto"/>
        </w:rPr>
      </w:pPr>
      <w:bookmarkStart w:id="31" w:name="_Toc10757"/>
      <w:r>
        <w:rPr>
          <w:rFonts w:hint="eastAsia" w:ascii="仿宋" w:hAnsi="仿宋" w:eastAsia="仿宋"/>
          <w:sz w:val="32"/>
          <w:szCs w:val="32"/>
          <w:u w:val="none" w:color="auto"/>
          <w:shd w:val="clear" w:fill="auto"/>
        </w:rPr>
        <w:drawing>
          <wp:anchor distT="0" distB="0" distL="114300" distR="114300" simplePos="0" relativeHeight="251660288" behindDoc="0" locked="0" layoutInCell="1" allowOverlap="1">
            <wp:simplePos x="0" y="0"/>
            <wp:positionH relativeFrom="column">
              <wp:posOffset>110490</wp:posOffset>
            </wp:positionH>
            <wp:positionV relativeFrom="paragraph">
              <wp:posOffset>138430</wp:posOffset>
            </wp:positionV>
            <wp:extent cx="5076825" cy="2335530"/>
            <wp:effectExtent l="4445" t="4445" r="5080" b="22225"/>
            <wp:wrapSquare wrapText="bothSides"/>
            <wp:docPr id="133" name="_x0000_s136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bookmarkEnd w:id="31"/>
      <w:r>
        <w:rPr>
          <w:rFonts w:hint="eastAsia" w:ascii="仿宋" w:hAnsi="仿宋" w:eastAsia="仿宋"/>
          <w:sz w:val="32"/>
          <w:szCs w:val="32"/>
          <w:u w:val="none" w:color="auto"/>
          <w:shd w:val="clear" w:fill="auto"/>
        </w:rPr>
        <w:t>图2：收入决算结构图</w:t>
      </w:r>
    </w:p>
    <w:p>
      <w:pPr>
        <w:pStyle w:val="28"/>
        <w:numPr>
          <w:ilvl w:val="0"/>
          <w:numId w:val="1"/>
        </w:numPr>
        <w:spacing w:line="600" w:lineRule="exact"/>
        <w:ind w:left="1361" w:firstLineChars="0"/>
        <w:outlineLvl w:val="1"/>
        <w:rPr>
          <w:rStyle w:val="30"/>
          <w:rFonts w:ascii="黑体" w:hAnsi="黑体" w:eastAsia="黑体"/>
          <w:b w:val="0"/>
          <w:u w:val="none" w:color="auto"/>
          <w:shd w:val="clear" w:fill="auto"/>
        </w:rPr>
      </w:pPr>
      <w:bookmarkStart w:id="32" w:name="_Toc5734"/>
      <w:bookmarkStart w:id="33" w:name="_Toc15396605"/>
      <w:bookmarkStart w:id="34" w:name="_Toc15377207"/>
      <w:r>
        <w:rPr>
          <w:rFonts w:hint="eastAsia" w:ascii="黑体" w:hAnsi="黑体" w:eastAsia="黑体"/>
          <w:sz w:val="32"/>
          <w:szCs w:val="32"/>
          <w:u w:val="none" w:color="auto"/>
          <w:shd w:val="clear" w:fill="auto"/>
        </w:rPr>
        <w:t>支</w:t>
      </w:r>
      <w:r>
        <w:rPr>
          <w:rStyle w:val="30"/>
          <w:rFonts w:hint="eastAsia" w:ascii="黑体" w:hAnsi="黑体" w:eastAsia="黑体"/>
          <w:b w:val="0"/>
          <w:u w:val="none" w:color="auto"/>
          <w:shd w:val="clear" w:fill="auto"/>
        </w:rPr>
        <w:t>出</w:t>
      </w:r>
      <w:r>
        <w:rPr>
          <w:rFonts w:hint="eastAsia" w:ascii="黑体" w:hAnsi="黑体" w:eastAsia="黑体"/>
          <w:u w:val="none" w:color="auto"/>
          <w:shd w:val="clear" w:fill="auto"/>
        </w:rPr>
        <w:t>决算情况说明</w:t>
      </w:r>
      <w:bookmarkEnd w:id="32"/>
      <w:bookmarkEnd w:id="33"/>
      <w:bookmarkEnd w:id="34"/>
    </w:p>
    <w:p>
      <w:pPr>
        <w:spacing w:line="600" w:lineRule="exact"/>
        <w:ind w:firstLine="640" w:firstLineChars="200"/>
        <w:outlineLvl w:val="1"/>
        <w:rPr>
          <w:rFonts w:ascii="仿宋_GB2312" w:hAnsi="仿宋" w:eastAsia="仿宋_GB2312"/>
          <w:sz w:val="32"/>
          <w:szCs w:val="32"/>
          <w:u w:val="none" w:color="auto"/>
          <w:shd w:val="pct10" w:color="auto" w:fill="auto"/>
        </w:rPr>
      </w:pPr>
      <w:bookmarkStart w:id="35" w:name="_Toc1426"/>
      <w:bookmarkStart w:id="36" w:name="_Toc31558"/>
      <w:r>
        <w:rPr>
          <w:rFonts w:hint="eastAsia" w:ascii="仿宋_GB2312" w:hAnsi="仿宋" w:eastAsia="仿宋_GB2312"/>
          <w:sz w:val="32"/>
          <w:szCs w:val="32"/>
          <w:u w:val="none" w:color="auto"/>
          <w:shd w:val="clear" w:fill="auto"/>
        </w:rPr>
        <w:drawing>
          <wp:anchor distT="0" distB="0" distL="114300" distR="114300" simplePos="0" relativeHeight="251661312" behindDoc="0" locked="0" layoutInCell="1" allowOverlap="1">
            <wp:simplePos x="0" y="0"/>
            <wp:positionH relativeFrom="column">
              <wp:posOffset>212090</wp:posOffset>
            </wp:positionH>
            <wp:positionV relativeFrom="paragraph">
              <wp:posOffset>1638300</wp:posOffset>
            </wp:positionV>
            <wp:extent cx="4927600" cy="2664460"/>
            <wp:effectExtent l="5080" t="4445" r="20320" b="17145"/>
            <wp:wrapSquare wrapText="bothSides"/>
            <wp:docPr id="134" name="_x0000_s136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End w:id="35"/>
      <w:r>
        <w:rPr>
          <w:rFonts w:hint="eastAsia" w:ascii="仿宋_GB2312" w:hAnsi="仿宋" w:eastAsia="仿宋_GB2312"/>
          <w:sz w:val="32"/>
          <w:szCs w:val="32"/>
          <w:u w:val="none" w:color="auto"/>
          <w:shd w:val="clear" w:fill="auto"/>
        </w:rPr>
        <w:t>2021年本年支出合计2972.87万元，其中：基本支出2927.27万元，占98.47%；项目支出45.6万元，占1.53%；上缴上级支出0万元，占0%；经营支出0万元，占0%；对附属单位补助支出0万元，占0%。</w:t>
      </w:r>
      <w:bookmarkEnd w:id="36"/>
    </w:p>
    <w:p>
      <w:pPr>
        <w:spacing w:line="600" w:lineRule="exact"/>
        <w:jc w:val="center"/>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图3：支出决算结构图</w:t>
      </w:r>
    </w:p>
    <w:p>
      <w:pPr>
        <w:spacing w:line="600" w:lineRule="exact"/>
        <w:ind w:firstLine="640" w:firstLineChars="200"/>
        <w:outlineLvl w:val="1"/>
        <w:rPr>
          <w:rStyle w:val="30"/>
          <w:rFonts w:ascii="黑体" w:hAnsi="黑体" w:eastAsia="黑体"/>
          <w:b w:val="0"/>
          <w:u w:val="none" w:color="auto"/>
          <w:shd w:val="clear" w:fill="auto"/>
        </w:rPr>
      </w:pPr>
      <w:bookmarkStart w:id="37" w:name="_Toc22295"/>
      <w:bookmarkStart w:id="38" w:name="_Toc15396606"/>
      <w:bookmarkStart w:id="39" w:name="_Toc15377208"/>
      <w:r>
        <w:rPr>
          <w:rFonts w:hint="eastAsia" w:ascii="黑体" w:hAnsi="黑体" w:eastAsia="黑体"/>
          <w:sz w:val="32"/>
          <w:szCs w:val="32"/>
          <w:u w:val="none" w:color="auto"/>
          <w:shd w:val="clear" w:fill="auto"/>
        </w:rPr>
        <w:t>四、财</w:t>
      </w:r>
      <w:r>
        <w:rPr>
          <w:rStyle w:val="30"/>
          <w:rFonts w:hint="eastAsia" w:ascii="黑体" w:hAnsi="黑体" w:eastAsia="黑体"/>
          <w:b w:val="0"/>
          <w:u w:val="none" w:color="auto"/>
          <w:shd w:val="clear" w:fill="auto"/>
        </w:rPr>
        <w:t>政拨</w:t>
      </w:r>
      <w:r>
        <w:rPr>
          <w:rFonts w:hint="eastAsia" w:ascii="黑体" w:hAnsi="黑体" w:eastAsia="黑体"/>
          <w:sz w:val="32"/>
          <w:szCs w:val="32"/>
          <w:u w:val="none" w:color="auto"/>
          <w:shd w:val="clear" w:fill="auto"/>
        </w:rPr>
        <w:t>款收入支出决算总体情况说明</w:t>
      </w:r>
      <w:bookmarkEnd w:id="37"/>
      <w:bookmarkEnd w:id="38"/>
      <w:bookmarkEnd w:id="39"/>
    </w:p>
    <w:p>
      <w:pPr>
        <w:spacing w:line="600" w:lineRule="exact"/>
        <w:ind w:firstLine="640"/>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2021年财政拨款收、支总计2972.87万元。与2020年相比，财政拨款收、支总计各增加106.16万元，增长3.70%。主要变动原因是2021年财政统拨代发退休人员生活补助增加及2021年度期间存在人员调进调出导致工资福利支出增加。</w:t>
      </w:r>
    </w:p>
    <w:p>
      <w:pPr>
        <w:pStyle w:val="3"/>
        <w:spacing w:before="93"/>
        <w:rPr>
          <w:u w:val="none" w:color="auto"/>
          <w:shd w:val="clear" w:fill="auto"/>
        </w:rPr>
      </w:pPr>
      <w:r>
        <w:rPr>
          <w:rFonts w:hint="eastAsia"/>
          <w:u w:val="none" w:color="auto"/>
          <w:shd w:val="clear" w:fill="auto"/>
        </w:rPr>
        <w:drawing>
          <wp:inline distT="0" distB="0" distL="114300" distR="114300">
            <wp:extent cx="5216525" cy="3533140"/>
            <wp:effectExtent l="5080" t="4445" r="17145" b="5715"/>
            <wp:docPr id="135" name="_x0000_i136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图4：财政拨款收、支决算总计变动情况</w:t>
      </w:r>
    </w:p>
    <w:p>
      <w:pPr>
        <w:spacing w:line="600" w:lineRule="exact"/>
        <w:ind w:firstLine="640" w:firstLineChars="200"/>
        <w:outlineLvl w:val="1"/>
        <w:rPr>
          <w:rStyle w:val="30"/>
          <w:rFonts w:ascii="黑体" w:hAnsi="黑体" w:eastAsia="黑体"/>
          <w:b w:val="0"/>
          <w:u w:val="none" w:color="auto"/>
          <w:shd w:val="clear" w:fill="auto"/>
        </w:rPr>
      </w:pPr>
      <w:bookmarkStart w:id="40" w:name="_Toc15396607"/>
      <w:bookmarkStart w:id="41" w:name="_Toc32701"/>
      <w:bookmarkStart w:id="42" w:name="_Toc15377209"/>
      <w:r>
        <w:rPr>
          <w:rFonts w:hint="eastAsia" w:ascii="黑体" w:hAnsi="黑体" w:eastAsia="黑体"/>
          <w:sz w:val="32"/>
          <w:szCs w:val="32"/>
          <w:u w:val="none" w:color="auto"/>
          <w:shd w:val="clear" w:fill="auto"/>
        </w:rPr>
        <w:t>五、</w:t>
      </w:r>
      <w:r>
        <w:rPr>
          <w:rFonts w:hint="eastAsia" w:ascii="黑体" w:hAnsi="黑体" w:eastAsia="黑体"/>
          <w:b/>
          <w:sz w:val="32"/>
          <w:szCs w:val="32"/>
          <w:u w:val="none" w:color="auto"/>
          <w:shd w:val="clear" w:fill="auto"/>
        </w:rPr>
        <w:t>一</w:t>
      </w:r>
      <w:r>
        <w:rPr>
          <w:rStyle w:val="30"/>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w:t>
      </w:r>
      <w:r>
        <w:rPr>
          <w:rStyle w:val="30"/>
          <w:rFonts w:hint="eastAsia" w:ascii="黑体" w:hAnsi="黑体" w:eastAsia="黑体"/>
          <w:b w:val="0"/>
          <w:u w:val="none" w:color="auto"/>
          <w:shd w:val="clear" w:fill="auto"/>
        </w:rPr>
        <w:t>拨</w:t>
      </w:r>
      <w:r>
        <w:rPr>
          <w:rFonts w:hint="eastAsia" w:ascii="黑体" w:hAnsi="黑体" w:eastAsia="黑体"/>
          <w:sz w:val="32"/>
          <w:szCs w:val="32"/>
          <w:u w:val="none" w:color="auto"/>
          <w:shd w:val="clear" w:fill="auto"/>
        </w:rPr>
        <w:t>款支出决算情况说明</w:t>
      </w:r>
      <w:bookmarkEnd w:id="40"/>
      <w:bookmarkEnd w:id="41"/>
      <w:bookmarkEnd w:id="42"/>
    </w:p>
    <w:p>
      <w:pPr>
        <w:spacing w:line="600" w:lineRule="exact"/>
        <w:ind w:firstLine="643" w:firstLineChars="200"/>
        <w:outlineLvl w:val="2"/>
        <w:rPr>
          <w:rFonts w:ascii="仿宋_GB2312" w:hAnsi="仿宋" w:eastAsia="仿宋_GB2312"/>
          <w:b/>
          <w:sz w:val="32"/>
          <w:szCs w:val="32"/>
          <w:u w:val="none" w:color="auto"/>
          <w:shd w:val="clear" w:fill="auto"/>
        </w:rPr>
      </w:pPr>
      <w:bookmarkStart w:id="43" w:name="_Toc15377210"/>
      <w:r>
        <w:rPr>
          <w:rFonts w:hint="eastAsia" w:ascii="仿宋_GB2312" w:hAnsi="仿宋" w:eastAsia="仿宋_GB2312"/>
          <w:b/>
          <w:sz w:val="32"/>
          <w:szCs w:val="32"/>
          <w:u w:val="none" w:color="auto"/>
          <w:shd w:val="clear" w:fill="auto"/>
        </w:rPr>
        <w:t>（一）一般公共预算财政拨款支出决算总体情况</w:t>
      </w:r>
      <w:bookmarkEnd w:id="43"/>
    </w:p>
    <w:p>
      <w:pPr>
        <w:spacing w:line="600" w:lineRule="exact"/>
        <w:ind w:firstLine="640" w:firstLineChars="200"/>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2021年一般公共预算财政拨款支出2972.87万元，占本年支出合计的100%。与2020年相比，一般公共预算财政拨款支出增加106.16万元，增长3.70%。主要变动原因是2021年财政统拨代发退休人员生活补助增加及2021年度期间存在人员调进调出导致工资福利支出增加。</w:t>
      </w:r>
    </w:p>
    <w:p>
      <w:pPr>
        <w:pStyle w:val="3"/>
        <w:spacing w:before="93"/>
        <w:rPr>
          <w:u w:val="none" w:color="auto"/>
          <w:shd w:val="clear" w:fill="auto"/>
        </w:rPr>
      </w:pPr>
      <w:r>
        <w:rPr>
          <w:rFonts w:hint="eastAsia"/>
          <w:u w:val="none" w:color="auto"/>
          <w:shd w:val="clear" w:fill="auto"/>
        </w:rPr>
        <w:drawing>
          <wp:inline distT="0" distB="0" distL="114300" distR="114300">
            <wp:extent cx="5307330" cy="2445385"/>
            <wp:effectExtent l="4445" t="4445" r="22225" b="7620"/>
            <wp:docPr id="136" name="_x0000_i137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u w:val="none" w:color="auto"/>
          <w:shd w:val="clear" w:fill="auto"/>
        </w:rPr>
      </w:pPr>
      <w:r>
        <w:rPr>
          <w:rFonts w:hint="eastAsia" w:ascii="仿宋_GB2312" w:hAnsi="仿宋" w:eastAsia="仿宋_GB2312"/>
          <w:sz w:val="32"/>
          <w:szCs w:val="32"/>
          <w:u w:val="none" w:color="auto"/>
          <w:shd w:val="clear" w:fill="auto"/>
        </w:rPr>
        <w:t>图5：一般公共预算财政拨款支出决算变动情况</w:t>
      </w:r>
    </w:p>
    <w:p>
      <w:pPr>
        <w:spacing w:line="560" w:lineRule="exact"/>
        <w:ind w:firstLine="643" w:firstLineChars="200"/>
        <w:outlineLvl w:val="2"/>
        <w:rPr>
          <w:rFonts w:ascii="仿宋_GB2312" w:hAnsi="仿宋" w:eastAsia="仿宋_GB2312"/>
          <w:b/>
          <w:sz w:val="32"/>
          <w:szCs w:val="32"/>
          <w:u w:val="none" w:color="auto"/>
          <w:shd w:val="clear" w:fill="auto"/>
        </w:rPr>
      </w:pPr>
      <w:bookmarkStart w:id="44" w:name="_Toc15377211"/>
      <w:r>
        <w:rPr>
          <w:rFonts w:hint="eastAsia" w:ascii="仿宋_GB2312" w:hAnsi="仿宋" w:eastAsia="仿宋_GB2312"/>
          <w:b/>
          <w:sz w:val="32"/>
          <w:szCs w:val="32"/>
          <w:u w:val="none" w:color="auto"/>
          <w:shd w:val="clear" w:fill="auto"/>
        </w:rPr>
        <w:t>（二）一般公共预算财政拨款支出决算结构情况</w:t>
      </w:r>
      <w:bookmarkEnd w:id="44"/>
    </w:p>
    <w:p>
      <w:pPr>
        <w:spacing w:line="560" w:lineRule="exact"/>
        <w:ind w:firstLine="640"/>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drawing>
          <wp:anchor distT="0" distB="0" distL="114300" distR="114300" simplePos="0" relativeHeight="251662336" behindDoc="0" locked="0" layoutInCell="1" allowOverlap="1">
            <wp:simplePos x="0" y="0"/>
            <wp:positionH relativeFrom="column">
              <wp:posOffset>184150</wp:posOffset>
            </wp:positionH>
            <wp:positionV relativeFrom="paragraph">
              <wp:posOffset>2959735</wp:posOffset>
            </wp:positionV>
            <wp:extent cx="5250180" cy="2390140"/>
            <wp:effectExtent l="5080" t="4445" r="21590" b="5715"/>
            <wp:wrapSquare wrapText="bothSides"/>
            <wp:docPr id="137" name="_x0000_s137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_GB2312" w:hAnsi="仿宋" w:eastAsia="仿宋_GB2312"/>
          <w:sz w:val="32"/>
          <w:szCs w:val="32"/>
          <w:u w:val="none" w:color="auto"/>
          <w:shd w:val="clear" w:fill="auto"/>
        </w:rPr>
        <w:t>2021年一般公共预算财政拨款支出2972.87万元，主要用于以下方面</w:t>
      </w:r>
      <w:r>
        <w:rPr>
          <w:u w:val="none" w:color="auto"/>
          <w:shd w:val="clear" w:fill="auto"/>
        </w:rPr>
        <w:t>：</w:t>
      </w:r>
      <w:r>
        <w:rPr>
          <w:rFonts w:hint="eastAsia" w:ascii="仿宋_GB2312" w:hAnsi="仿宋" w:eastAsia="仿宋_GB2312"/>
          <w:b/>
          <w:sz w:val="32"/>
          <w:szCs w:val="32"/>
          <w:u w:val="none" w:color="auto"/>
          <w:shd w:val="clear" w:fill="auto"/>
        </w:rPr>
        <w:t>一般公共服务（类）</w:t>
      </w:r>
      <w:r>
        <w:rPr>
          <w:rFonts w:hint="eastAsia" w:ascii="仿宋_GB2312" w:hAnsi="仿宋" w:eastAsia="仿宋_GB2312"/>
          <w:sz w:val="32"/>
          <w:szCs w:val="32"/>
          <w:u w:val="none" w:color="auto"/>
          <w:shd w:val="clear" w:fill="auto"/>
        </w:rPr>
        <w:t>支出0万元，占0%；</w:t>
      </w:r>
      <w:r>
        <w:rPr>
          <w:rFonts w:hint="eastAsia" w:ascii="仿宋_GB2312" w:hAnsi="仿宋" w:eastAsia="仿宋_GB2312"/>
          <w:b/>
          <w:sz w:val="32"/>
          <w:szCs w:val="32"/>
          <w:u w:val="none" w:color="auto"/>
          <w:shd w:val="clear" w:fill="auto"/>
        </w:rPr>
        <w:t>教育支出（类）</w:t>
      </w:r>
      <w:r>
        <w:rPr>
          <w:rFonts w:hint="eastAsia" w:ascii="仿宋_GB2312" w:hAnsi="仿宋" w:eastAsia="仿宋_GB2312"/>
          <w:sz w:val="32"/>
          <w:szCs w:val="32"/>
          <w:u w:val="none" w:color="auto"/>
          <w:shd w:val="clear" w:fill="auto"/>
        </w:rPr>
        <w:t>0万元，占0%；</w:t>
      </w:r>
      <w:r>
        <w:rPr>
          <w:rFonts w:hint="eastAsia" w:ascii="仿宋_GB2312" w:hAnsi="仿宋" w:eastAsia="仿宋_GB2312"/>
          <w:b/>
          <w:sz w:val="32"/>
          <w:szCs w:val="32"/>
          <w:u w:val="none" w:color="auto"/>
          <w:shd w:val="clear" w:fill="auto"/>
        </w:rPr>
        <w:t>科学技术（类）</w:t>
      </w:r>
      <w:r>
        <w:rPr>
          <w:rFonts w:hint="eastAsia" w:ascii="仿宋_GB2312" w:hAnsi="仿宋" w:eastAsia="仿宋_GB2312"/>
          <w:sz w:val="32"/>
          <w:szCs w:val="32"/>
          <w:u w:val="none" w:color="auto"/>
          <w:shd w:val="clear" w:fill="auto"/>
        </w:rPr>
        <w:t>支出0万元，占0%；</w:t>
      </w:r>
      <w:r>
        <w:rPr>
          <w:rFonts w:hint="eastAsia" w:ascii="仿宋_GB2312" w:hAnsi="仿宋" w:eastAsia="仿宋_GB2312"/>
          <w:b/>
          <w:bCs/>
          <w:sz w:val="32"/>
          <w:szCs w:val="32"/>
          <w:u w:val="none" w:color="auto"/>
          <w:shd w:val="clear" w:fill="auto"/>
        </w:rPr>
        <w:t>文化旅游体育与传媒（类）</w:t>
      </w:r>
      <w:r>
        <w:rPr>
          <w:rFonts w:hint="eastAsia" w:ascii="仿宋_GB2312" w:hAnsi="仿宋" w:eastAsia="仿宋_GB2312"/>
          <w:sz w:val="32"/>
          <w:szCs w:val="32"/>
          <w:u w:val="none" w:color="auto"/>
          <w:shd w:val="clear" w:fill="auto"/>
        </w:rPr>
        <w:t>支出</w:t>
      </w:r>
      <w:r>
        <w:rPr>
          <w:rFonts w:hint="eastAsia" w:ascii="仿宋_GB2312" w:hAnsi="仿宋" w:eastAsia="仿宋_GB2312"/>
          <w:b/>
          <w:bCs/>
          <w:sz w:val="32"/>
          <w:szCs w:val="32"/>
          <w:u w:val="none" w:color="auto"/>
          <w:shd w:val="clear" w:fill="auto"/>
        </w:rPr>
        <w:t>0万元，占0%</w:t>
      </w:r>
      <w:r>
        <w:rPr>
          <w:rFonts w:hint="eastAsia" w:ascii="仿宋_GB2312" w:hAnsi="仿宋" w:eastAsia="仿宋_GB2312"/>
          <w:sz w:val="32"/>
          <w:szCs w:val="32"/>
          <w:u w:val="none" w:color="auto"/>
          <w:shd w:val="clear" w:fill="auto"/>
        </w:rPr>
        <w:t>；</w:t>
      </w:r>
      <w:r>
        <w:rPr>
          <w:rFonts w:hint="eastAsia" w:ascii="仿宋_GB2312" w:hAnsi="仿宋" w:eastAsia="仿宋_GB2312"/>
          <w:b/>
          <w:sz w:val="32"/>
          <w:szCs w:val="32"/>
          <w:u w:val="none" w:color="auto"/>
          <w:shd w:val="clear" w:fill="auto"/>
        </w:rPr>
        <w:t>社会保障和就业（类）</w:t>
      </w:r>
      <w:r>
        <w:rPr>
          <w:rFonts w:hint="eastAsia" w:ascii="仿宋_GB2312" w:hAnsi="仿宋" w:eastAsia="仿宋_GB2312"/>
          <w:sz w:val="32"/>
          <w:szCs w:val="32"/>
          <w:u w:val="none" w:color="auto"/>
          <w:shd w:val="clear" w:fill="auto"/>
        </w:rPr>
        <w:t>支出2952.37万元，占99.31%；</w:t>
      </w:r>
      <w:r>
        <w:rPr>
          <w:rFonts w:hint="eastAsia" w:ascii="仿宋_GB2312" w:hAnsi="仿宋" w:eastAsia="仿宋_GB2312"/>
          <w:b/>
          <w:bCs/>
          <w:sz w:val="32"/>
          <w:szCs w:val="32"/>
          <w:u w:val="none" w:color="auto"/>
          <w:shd w:val="clear" w:fill="auto"/>
        </w:rPr>
        <w:t>卫生健康（类）</w:t>
      </w:r>
      <w:r>
        <w:rPr>
          <w:rFonts w:hint="eastAsia" w:ascii="仿宋_GB2312" w:hAnsi="仿宋" w:eastAsia="仿宋_GB2312"/>
          <w:sz w:val="32"/>
          <w:szCs w:val="32"/>
          <w:u w:val="none" w:color="auto"/>
          <w:shd w:val="clear" w:fill="auto"/>
        </w:rPr>
        <w:t>支出9.62万元，占0.33%；农林水支出0.4万元，占0.01%；住房保障（类）支出10.49万元，占比0.35%。</w:t>
      </w:r>
    </w:p>
    <w:p>
      <w:pPr>
        <w:spacing w:line="600" w:lineRule="exact"/>
        <w:ind w:firstLine="640" w:firstLineChars="200"/>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图6：一般公共预算财政拨款支出决算结构</w:t>
      </w:r>
    </w:p>
    <w:p>
      <w:pPr>
        <w:spacing w:line="600" w:lineRule="exact"/>
        <w:ind w:firstLine="643" w:firstLineChars="200"/>
        <w:outlineLvl w:val="2"/>
        <w:rPr>
          <w:rFonts w:ascii="仿宋_GB2312" w:hAnsi="仿宋" w:eastAsia="仿宋_GB2312"/>
          <w:b/>
          <w:sz w:val="32"/>
          <w:szCs w:val="32"/>
          <w:u w:val="none" w:color="auto"/>
          <w:shd w:val="clear" w:fill="auto"/>
        </w:rPr>
      </w:pPr>
      <w:bookmarkStart w:id="45" w:name="_Toc15377212"/>
      <w:r>
        <w:rPr>
          <w:rFonts w:hint="eastAsia" w:ascii="仿宋_GB2312" w:hAnsi="仿宋" w:eastAsia="仿宋_GB2312"/>
          <w:b/>
          <w:sz w:val="32"/>
          <w:szCs w:val="32"/>
          <w:u w:val="none" w:color="auto"/>
          <w:shd w:val="clear" w:fill="auto"/>
        </w:rPr>
        <w:t>（三）一般公共预算财政拨款支出决算具体情况</w:t>
      </w:r>
      <w:bookmarkEnd w:id="45"/>
    </w:p>
    <w:p>
      <w:pPr>
        <w:spacing w:line="600" w:lineRule="exact"/>
        <w:ind w:firstLine="643" w:firstLineChars="200"/>
        <w:outlineLvl w:val="1"/>
        <w:rPr>
          <w:rFonts w:ascii="仿宋_GB2312" w:hAnsi="仿宋" w:eastAsia="仿宋_GB2312"/>
          <w:sz w:val="32"/>
          <w:szCs w:val="32"/>
          <w:u w:val="none" w:color="auto"/>
          <w:shd w:val="clear" w:fill="auto"/>
        </w:rPr>
      </w:pPr>
      <w:bookmarkStart w:id="46" w:name="_Toc15378460"/>
      <w:bookmarkStart w:id="47" w:name="_Toc8922"/>
      <w:bookmarkStart w:id="48" w:name="_Toc15377213"/>
      <w:bookmarkStart w:id="49" w:name="_Toc15377444"/>
      <w:r>
        <w:rPr>
          <w:rFonts w:hint="eastAsia" w:ascii="仿宋_GB2312" w:hAnsi="仿宋" w:eastAsia="仿宋_GB2312"/>
          <w:b/>
          <w:sz w:val="32"/>
          <w:szCs w:val="32"/>
          <w:u w:val="none" w:color="auto"/>
          <w:shd w:val="clear" w:fill="auto"/>
        </w:rPr>
        <w:t>2021年一般公共预算支出决算数为2972.87万元</w:t>
      </w:r>
      <w:r>
        <w:rPr>
          <w:rFonts w:hint="eastAsia" w:ascii="仿宋_GB2312" w:hAnsi="仿宋" w:eastAsia="仿宋_GB2312"/>
          <w:sz w:val="32"/>
          <w:szCs w:val="32"/>
          <w:u w:val="none" w:color="auto"/>
          <w:shd w:val="clear" w:fill="auto"/>
        </w:rPr>
        <w:t>，</w:t>
      </w:r>
      <w:r>
        <w:rPr>
          <w:rStyle w:val="10"/>
          <w:rFonts w:hint="eastAsia" w:ascii="仿宋_GB2312" w:hAnsi="仿宋" w:eastAsia="仿宋_GB2312"/>
          <w:bCs/>
          <w:sz w:val="32"/>
          <w:szCs w:val="32"/>
          <w:u w:val="none" w:color="auto"/>
          <w:shd w:val="clear" w:fill="auto"/>
        </w:rPr>
        <w:t>完成预算的</w:t>
      </w:r>
      <w:r>
        <w:rPr>
          <w:rFonts w:hint="eastAsia" w:ascii="仿宋_GB2312" w:hAnsi="仿宋" w:eastAsia="仿宋_GB2312"/>
          <w:bCs/>
          <w:sz w:val="32"/>
          <w:szCs w:val="32"/>
          <w:u w:val="none" w:color="auto"/>
          <w:shd w:val="clear" w:fill="auto"/>
        </w:rPr>
        <w:t>100%。其中：</w:t>
      </w:r>
      <w:bookmarkEnd w:id="46"/>
      <w:bookmarkEnd w:id="47"/>
      <w:bookmarkEnd w:id="48"/>
      <w:bookmarkEnd w:id="49"/>
    </w:p>
    <w:p>
      <w:pPr>
        <w:spacing w:line="600" w:lineRule="exact"/>
        <w:ind w:firstLine="643" w:firstLineChars="200"/>
        <w:rPr>
          <w:rFonts w:ascii="仿宋_GB2312" w:hAnsi="仿宋" w:eastAsia="仿宋_GB2312"/>
          <w:b/>
          <w:sz w:val="32"/>
          <w:szCs w:val="32"/>
          <w:u w:val="none" w:color="auto"/>
          <w:shd w:val="clear" w:fill="auto"/>
        </w:rPr>
      </w:pPr>
      <w:r>
        <w:rPr>
          <w:rStyle w:val="10"/>
          <w:rFonts w:hint="eastAsia" w:ascii="仿宋_GB2312" w:hAnsi="仿宋" w:eastAsia="仿宋_GB2312"/>
          <w:bCs/>
          <w:sz w:val="32"/>
          <w:szCs w:val="32"/>
          <w:u w:val="none" w:color="auto"/>
          <w:shd w:val="clear" w:fill="auto"/>
        </w:rPr>
        <w:t>1.社会保障和就业支出</w:t>
      </w:r>
      <w:r>
        <w:rPr>
          <w:rFonts w:hint="eastAsia" w:ascii="仿宋_GB2312" w:hAnsi="仿宋" w:eastAsia="仿宋_GB2312"/>
          <w:bCs/>
          <w:sz w:val="32"/>
          <w:szCs w:val="32"/>
          <w:u w:val="none" w:color="auto"/>
          <w:shd w:val="clear" w:fill="auto"/>
        </w:rPr>
        <w:t>（类）人力资源和社会保障管理事务（款）社保经办机构（项）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2808.93万元，完成</w:t>
      </w:r>
      <w:r>
        <w:rPr>
          <w:rStyle w:val="10"/>
          <w:rFonts w:hint="eastAsia" w:ascii="仿宋_GB2312" w:hAnsi="仿宋" w:eastAsia="仿宋_GB2312"/>
          <w:b w:val="0"/>
          <w:bCs/>
          <w:sz w:val="32"/>
          <w:szCs w:val="32"/>
          <w:u w:val="none" w:color="auto"/>
          <w:shd w:val="clear" w:fill="auto"/>
          <w:lang w:eastAsia="zh-CN"/>
        </w:rPr>
        <w:t>预算</w:t>
      </w:r>
      <w:r>
        <w:rPr>
          <w:rStyle w:val="10"/>
          <w:rFonts w:hint="eastAsia" w:ascii="仿宋_GB2312" w:hAnsi="仿宋" w:eastAsia="仿宋_GB2312"/>
          <w:b w:val="0"/>
          <w:bCs/>
          <w:sz w:val="32"/>
          <w:szCs w:val="32"/>
          <w:u w:val="none" w:color="auto"/>
          <w:shd w:val="clear" w:fill="auto"/>
          <w:lang w:eastAsia="zh-CN"/>
        </w:rPr>
        <w:t>的100%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Fonts w:ascii="仿宋_GB2312" w:hAnsi="仿宋" w:eastAsia="仿宋_GB2312"/>
          <w:b/>
          <w:sz w:val="32"/>
          <w:szCs w:val="32"/>
          <w:u w:val="none" w:color="auto"/>
          <w:shd w:val="clear" w:fill="auto"/>
        </w:rPr>
      </w:pPr>
      <w:r>
        <w:rPr>
          <w:rStyle w:val="10"/>
          <w:rFonts w:hint="eastAsia" w:ascii="仿宋_GB2312" w:hAnsi="仿宋" w:eastAsia="仿宋_GB2312"/>
          <w:bCs/>
          <w:sz w:val="32"/>
          <w:szCs w:val="32"/>
          <w:u w:val="none" w:color="auto"/>
          <w:shd w:val="clear" w:fill="auto"/>
        </w:rPr>
        <w:t>2.社会保障和就业支出</w:t>
      </w:r>
      <w:r>
        <w:rPr>
          <w:rFonts w:hint="eastAsia" w:ascii="仿宋_GB2312" w:hAnsi="仿宋" w:eastAsia="仿宋_GB2312"/>
          <w:bCs/>
          <w:sz w:val="32"/>
          <w:szCs w:val="32"/>
          <w:u w:val="none" w:color="auto"/>
          <w:shd w:val="clear" w:fill="auto"/>
        </w:rPr>
        <w:t>（类）人力资源和社会保障管理事务（款）其他人力资源和社会保障管理事务支出（项）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8.00万元，完成</w:t>
      </w:r>
      <w:r>
        <w:rPr>
          <w:rStyle w:val="10"/>
          <w:rFonts w:hint="eastAsia" w:ascii="仿宋_GB2312" w:hAnsi="仿宋" w:eastAsia="仿宋_GB2312"/>
          <w:b w:val="0"/>
          <w:bCs/>
          <w:sz w:val="32"/>
          <w:szCs w:val="32"/>
          <w:u w:val="none" w:color="auto"/>
          <w:shd w:val="clear" w:fill="auto"/>
          <w:lang w:eastAsia="zh-CN"/>
        </w:rPr>
        <w:t>预算</w:t>
      </w:r>
      <w:r>
        <w:rPr>
          <w:rStyle w:val="10"/>
          <w:rFonts w:hint="eastAsia" w:ascii="仿宋_GB2312" w:hAnsi="仿宋" w:eastAsia="仿宋_GB2312"/>
          <w:b w:val="0"/>
          <w:bCs/>
          <w:sz w:val="32"/>
          <w:szCs w:val="32"/>
          <w:u w:val="none" w:color="auto"/>
          <w:shd w:val="clear" w:fill="auto"/>
          <w:lang w:eastAsia="zh-CN"/>
        </w:rPr>
        <w:t>的1</w:t>
      </w:r>
      <w:r>
        <w:rPr>
          <w:rStyle w:val="10"/>
          <w:rFonts w:hint="eastAsia" w:ascii="仿宋_GB2312" w:hAnsi="仿宋" w:eastAsia="仿宋_GB2312"/>
          <w:b w:val="0"/>
          <w:bCs/>
          <w:sz w:val="32"/>
          <w:szCs w:val="32"/>
          <w:u w:val="none" w:color="auto"/>
          <w:shd w:val="clear" w:fill="auto"/>
          <w:lang w:eastAsia="zh-CN"/>
        </w:rPr>
        <w:t>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Fonts w:ascii="仿宋_GB2312" w:hAnsi="仿宋" w:eastAsia="仿宋_GB2312"/>
          <w:b/>
          <w:sz w:val="32"/>
          <w:szCs w:val="32"/>
          <w:u w:val="none" w:color="auto"/>
          <w:shd w:val="clear" w:fill="auto"/>
        </w:rPr>
      </w:pPr>
      <w:r>
        <w:rPr>
          <w:rStyle w:val="10"/>
          <w:rFonts w:hint="eastAsia" w:ascii="仿宋_GB2312" w:hAnsi="仿宋" w:eastAsia="仿宋_GB2312"/>
          <w:bCs/>
          <w:sz w:val="32"/>
          <w:szCs w:val="32"/>
          <w:u w:val="none" w:color="auto"/>
          <w:shd w:val="clear" w:fill="auto"/>
        </w:rPr>
        <w:t>3.社会保障和就业支出</w:t>
      </w:r>
      <w:r>
        <w:rPr>
          <w:rFonts w:hint="eastAsia" w:ascii="仿宋_GB2312" w:hAnsi="仿宋" w:eastAsia="仿宋_GB2312"/>
          <w:bCs/>
          <w:sz w:val="32"/>
          <w:szCs w:val="32"/>
          <w:u w:val="none" w:color="auto"/>
          <w:shd w:val="clear" w:fill="auto"/>
        </w:rPr>
        <w:t>（类）行政事业单位养老支出（款）行政单位离退休（项）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80.04万元，完成</w:t>
      </w:r>
      <w:r>
        <w:rPr>
          <w:rStyle w:val="10"/>
          <w:rFonts w:hint="eastAsia" w:ascii="仿宋_GB2312" w:hAnsi="仿宋" w:eastAsia="仿宋_GB2312"/>
          <w:b w:val="0"/>
          <w:bCs/>
          <w:sz w:val="32"/>
          <w:szCs w:val="32"/>
          <w:u w:val="none" w:color="auto"/>
          <w:shd w:val="clear" w:fill="auto"/>
          <w:lang w:eastAsia="zh-CN"/>
        </w:rPr>
        <w:t>预算</w:t>
      </w:r>
      <w:r>
        <w:rPr>
          <w:rStyle w:val="10"/>
          <w:rFonts w:hint="eastAsia" w:ascii="仿宋_GB2312" w:hAnsi="仿宋" w:eastAsia="仿宋_GB2312"/>
          <w:b w:val="0"/>
          <w:bCs/>
          <w:sz w:val="32"/>
          <w:szCs w:val="32"/>
          <w:u w:val="none" w:color="auto"/>
          <w:shd w:val="clear" w:fill="auto"/>
          <w:lang w:eastAsia="zh-CN"/>
        </w:rPr>
        <w:t>的100%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Style w:val="10"/>
          <w:rFonts w:ascii="仿宋_GB2312" w:hAnsi="仿宋" w:eastAsia="仿宋_GB2312"/>
          <w:b w:val="0"/>
          <w:bCs/>
          <w:sz w:val="32"/>
          <w:szCs w:val="32"/>
          <w:u w:val="none" w:color="auto"/>
          <w:shd w:val="clear" w:fill="auto"/>
        </w:rPr>
      </w:pPr>
      <w:r>
        <w:rPr>
          <w:rStyle w:val="10"/>
          <w:rFonts w:hint="eastAsia" w:ascii="仿宋_GB2312" w:hAnsi="仿宋" w:eastAsia="仿宋_GB2312"/>
          <w:bCs/>
          <w:sz w:val="32"/>
          <w:szCs w:val="32"/>
          <w:u w:val="none" w:color="auto"/>
          <w:shd w:val="clear" w:fill="auto"/>
        </w:rPr>
        <w:t>4.社会保障和就业支出</w:t>
      </w:r>
      <w:r>
        <w:rPr>
          <w:rFonts w:hint="eastAsia" w:ascii="仿宋_GB2312" w:hAnsi="仿宋" w:eastAsia="仿宋_GB2312"/>
          <w:bCs/>
          <w:sz w:val="32"/>
          <w:szCs w:val="32"/>
          <w:u w:val="none" w:color="auto"/>
          <w:shd w:val="clear" w:fill="auto"/>
        </w:rPr>
        <w:t>（类）行政事业单位养老支出（款）机关事业单位基本养老保险缴费支出（项）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13.99万元，完成</w:t>
      </w:r>
      <w:r>
        <w:rPr>
          <w:rStyle w:val="10"/>
          <w:rFonts w:hint="eastAsia" w:ascii="仿宋_GB2312" w:hAnsi="仿宋" w:eastAsia="仿宋_GB2312"/>
          <w:b w:val="0"/>
          <w:bCs/>
          <w:sz w:val="32"/>
          <w:szCs w:val="32"/>
          <w:u w:val="none" w:color="auto"/>
          <w:shd w:val="clear" w:fill="auto"/>
          <w:lang w:eastAsia="zh-CN"/>
        </w:rPr>
        <w:t>预算</w:t>
      </w:r>
      <w:r>
        <w:rPr>
          <w:rStyle w:val="10"/>
          <w:rFonts w:hint="eastAsia" w:ascii="仿宋_GB2312" w:hAnsi="仿宋" w:eastAsia="仿宋_GB2312"/>
          <w:b w:val="0"/>
          <w:bCs/>
          <w:sz w:val="32"/>
          <w:szCs w:val="32"/>
          <w:u w:val="none" w:color="auto"/>
          <w:shd w:val="clear" w:fill="auto"/>
          <w:lang w:eastAsia="zh-CN"/>
        </w:rPr>
        <w:t>的100%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Style w:val="10"/>
          <w:rFonts w:ascii="仿宋_GB2312" w:hAnsi="仿宋" w:eastAsia="仿宋_GB2312"/>
          <w:b w:val="0"/>
          <w:bCs/>
          <w:sz w:val="32"/>
          <w:szCs w:val="32"/>
          <w:u w:val="none" w:color="auto"/>
          <w:shd w:val="clear" w:fill="auto"/>
        </w:rPr>
      </w:pPr>
      <w:r>
        <w:rPr>
          <w:rStyle w:val="10"/>
          <w:rFonts w:hint="eastAsia" w:ascii="仿宋_GB2312" w:hAnsi="仿宋" w:eastAsia="仿宋_GB2312"/>
          <w:bCs/>
          <w:sz w:val="32"/>
          <w:szCs w:val="32"/>
          <w:u w:val="none" w:color="auto"/>
          <w:shd w:val="clear" w:fill="auto"/>
        </w:rPr>
        <w:t>5.社会保障和就业支出</w:t>
      </w:r>
      <w:r>
        <w:rPr>
          <w:rFonts w:hint="eastAsia" w:ascii="仿宋_GB2312" w:hAnsi="仿宋" w:eastAsia="仿宋_GB2312"/>
          <w:bCs/>
          <w:sz w:val="32"/>
          <w:szCs w:val="32"/>
          <w:u w:val="none" w:color="auto"/>
          <w:shd w:val="clear" w:fill="auto"/>
        </w:rPr>
        <w:t>（类）行政事业单位养老支出（款）机关事业单位职业年金缴费支出（项）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2.83万元，完成</w:t>
      </w:r>
      <w:r>
        <w:rPr>
          <w:rStyle w:val="10"/>
          <w:rFonts w:hint="eastAsia" w:ascii="仿宋_GB2312" w:hAnsi="仿宋" w:eastAsia="仿宋_GB2312"/>
          <w:b w:val="0"/>
          <w:bCs/>
          <w:sz w:val="32"/>
          <w:szCs w:val="32"/>
          <w:u w:val="none" w:color="auto"/>
          <w:shd w:val="clear" w:fill="auto"/>
          <w:lang w:eastAsia="zh-CN"/>
        </w:rPr>
        <w:t>预算</w:t>
      </w:r>
      <w:r>
        <w:rPr>
          <w:rStyle w:val="10"/>
          <w:rFonts w:hint="eastAsia" w:ascii="仿宋_GB2312" w:hAnsi="仿宋" w:eastAsia="仿宋_GB2312"/>
          <w:b w:val="0"/>
          <w:bCs/>
          <w:sz w:val="32"/>
          <w:szCs w:val="32"/>
          <w:u w:val="none" w:color="auto"/>
          <w:shd w:val="clear" w:fill="auto"/>
          <w:lang w:eastAsia="zh-CN"/>
        </w:rPr>
        <w:t>的100%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Style w:val="10"/>
          <w:rFonts w:ascii="仿宋_GB2312" w:hAnsi="仿宋" w:eastAsia="仿宋_GB2312"/>
          <w:b w:val="0"/>
          <w:bCs/>
          <w:sz w:val="32"/>
          <w:szCs w:val="32"/>
          <w:u w:val="none" w:color="auto"/>
          <w:shd w:val="clear" w:fill="auto"/>
        </w:rPr>
      </w:pPr>
      <w:r>
        <w:rPr>
          <w:rStyle w:val="10"/>
          <w:rFonts w:hint="eastAsia" w:ascii="仿宋_GB2312" w:hAnsi="仿宋" w:eastAsia="仿宋_GB2312"/>
          <w:bCs/>
          <w:sz w:val="32"/>
          <w:szCs w:val="32"/>
          <w:u w:val="none" w:color="auto"/>
          <w:shd w:val="clear" w:fill="auto"/>
        </w:rPr>
        <w:t>6.社会保障和就业支出</w:t>
      </w:r>
      <w:r>
        <w:rPr>
          <w:rFonts w:hint="eastAsia" w:ascii="仿宋_GB2312" w:hAnsi="仿宋" w:eastAsia="仿宋_GB2312"/>
          <w:bCs/>
          <w:sz w:val="32"/>
          <w:szCs w:val="32"/>
          <w:u w:val="none" w:color="auto"/>
          <w:shd w:val="clear" w:fill="auto"/>
        </w:rPr>
        <w:t>（类）就业补助（款）就业见习补贴（项）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1.39万元，完成</w:t>
      </w:r>
      <w:r>
        <w:rPr>
          <w:rStyle w:val="10"/>
          <w:rFonts w:hint="eastAsia" w:ascii="仿宋_GB2312" w:hAnsi="仿宋" w:eastAsia="仿宋_GB2312"/>
          <w:b w:val="0"/>
          <w:bCs/>
          <w:sz w:val="32"/>
          <w:szCs w:val="32"/>
          <w:u w:val="none" w:color="auto"/>
          <w:shd w:val="clear" w:fill="auto"/>
          <w:lang w:eastAsia="zh-CN"/>
        </w:rPr>
        <w:t>预算</w:t>
      </w:r>
      <w:r>
        <w:rPr>
          <w:rStyle w:val="10"/>
          <w:rFonts w:hint="eastAsia" w:ascii="仿宋_GB2312" w:hAnsi="仿宋" w:eastAsia="仿宋_GB2312"/>
          <w:b w:val="0"/>
          <w:bCs/>
          <w:sz w:val="32"/>
          <w:szCs w:val="32"/>
          <w:u w:val="none" w:color="auto"/>
          <w:shd w:val="clear" w:fill="auto"/>
          <w:lang w:eastAsia="zh-CN"/>
        </w:rPr>
        <w:t>的100%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Style w:val="10"/>
          <w:rFonts w:ascii="仿宋_GB2312" w:hAnsi="仿宋" w:eastAsia="仿宋_GB2312"/>
          <w:b w:val="0"/>
          <w:bCs/>
          <w:sz w:val="32"/>
          <w:szCs w:val="32"/>
          <w:u w:val="none" w:color="auto"/>
          <w:shd w:val="clear" w:fill="auto"/>
        </w:rPr>
      </w:pPr>
      <w:r>
        <w:rPr>
          <w:rStyle w:val="10"/>
          <w:rFonts w:hint="eastAsia" w:ascii="仿宋_GB2312" w:hAnsi="仿宋" w:eastAsia="仿宋_GB2312"/>
          <w:bCs/>
          <w:sz w:val="32"/>
          <w:szCs w:val="32"/>
          <w:u w:val="none" w:color="auto"/>
          <w:shd w:val="clear" w:fill="auto"/>
        </w:rPr>
        <w:t>7.社会保障和就业支出</w:t>
      </w:r>
      <w:r>
        <w:rPr>
          <w:rFonts w:hint="eastAsia" w:ascii="仿宋_GB2312" w:hAnsi="仿宋" w:eastAsia="仿宋_GB2312"/>
          <w:bCs/>
          <w:sz w:val="32"/>
          <w:szCs w:val="32"/>
          <w:u w:val="none" w:color="auto"/>
          <w:shd w:val="clear" w:fill="auto"/>
        </w:rPr>
        <w:t>（类）就业补助（款）其他就业补助支出（项）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37.2万元，完成</w:t>
      </w:r>
      <w:r>
        <w:rPr>
          <w:rStyle w:val="10"/>
          <w:rFonts w:hint="eastAsia" w:ascii="仿宋_GB2312" w:hAnsi="仿宋" w:eastAsia="仿宋_GB2312"/>
          <w:b w:val="0"/>
          <w:bCs/>
          <w:sz w:val="32"/>
          <w:szCs w:val="32"/>
          <w:u w:val="none" w:color="auto"/>
          <w:shd w:val="clear" w:fill="auto"/>
          <w:lang w:eastAsia="zh-CN"/>
        </w:rPr>
        <w:t>预算的100%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Style w:val="10"/>
          <w:rFonts w:ascii="仿宋_GB2312" w:hAnsi="仿宋" w:eastAsia="仿宋_GB2312"/>
          <w:b w:val="0"/>
          <w:bCs/>
          <w:sz w:val="32"/>
          <w:szCs w:val="32"/>
          <w:u w:val="none" w:color="auto"/>
          <w:shd w:val="clear" w:fill="auto"/>
        </w:rPr>
      </w:pPr>
      <w:r>
        <w:rPr>
          <w:rStyle w:val="10"/>
          <w:rFonts w:hint="eastAsia" w:ascii="仿宋_GB2312" w:hAnsi="仿宋" w:eastAsia="仿宋_GB2312"/>
          <w:bCs/>
          <w:sz w:val="32"/>
          <w:szCs w:val="32"/>
          <w:u w:val="none" w:color="auto"/>
          <w:shd w:val="clear" w:fill="auto"/>
        </w:rPr>
        <w:t>8.卫生健康支出</w:t>
      </w:r>
      <w:r>
        <w:rPr>
          <w:rFonts w:hint="eastAsia" w:ascii="仿宋_GB2312" w:hAnsi="仿宋" w:eastAsia="仿宋_GB2312"/>
          <w:bCs/>
          <w:sz w:val="32"/>
          <w:szCs w:val="32"/>
          <w:u w:val="none" w:color="auto"/>
          <w:shd w:val="clear" w:fill="auto"/>
        </w:rPr>
        <w:t>（类）行政事业单位医疗（款）行政单位医疗（项）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6.42万元，完成</w:t>
      </w:r>
      <w:r>
        <w:rPr>
          <w:rStyle w:val="10"/>
          <w:rFonts w:hint="eastAsia" w:ascii="仿宋_GB2312" w:hAnsi="仿宋" w:eastAsia="仿宋_GB2312"/>
          <w:b w:val="0"/>
          <w:bCs/>
          <w:sz w:val="32"/>
          <w:szCs w:val="32"/>
          <w:u w:val="none" w:color="auto"/>
          <w:shd w:val="clear" w:fill="auto"/>
          <w:lang w:eastAsia="zh-CN"/>
        </w:rPr>
        <w:t>预算的100%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Style w:val="10"/>
          <w:rFonts w:ascii="仿宋_GB2312" w:hAnsi="仿宋" w:eastAsia="仿宋_GB2312"/>
          <w:b w:val="0"/>
          <w:bCs/>
          <w:sz w:val="32"/>
          <w:szCs w:val="32"/>
          <w:u w:val="none" w:color="auto"/>
          <w:shd w:val="clear" w:fill="auto"/>
        </w:rPr>
      </w:pPr>
      <w:r>
        <w:rPr>
          <w:rStyle w:val="10"/>
          <w:rFonts w:hint="eastAsia" w:ascii="仿宋_GB2312" w:hAnsi="仿宋" w:eastAsia="仿宋_GB2312"/>
          <w:bCs/>
          <w:sz w:val="32"/>
          <w:szCs w:val="32"/>
          <w:u w:val="none" w:color="auto"/>
          <w:shd w:val="clear" w:fill="auto"/>
        </w:rPr>
        <w:t>9.卫生健康支出</w:t>
      </w:r>
      <w:r>
        <w:rPr>
          <w:rFonts w:hint="eastAsia" w:ascii="仿宋_GB2312" w:hAnsi="仿宋" w:eastAsia="仿宋_GB2312"/>
          <w:bCs/>
          <w:sz w:val="32"/>
          <w:szCs w:val="32"/>
          <w:u w:val="none" w:color="auto"/>
          <w:shd w:val="clear" w:fill="auto"/>
        </w:rPr>
        <w:t>（类）行政事业单位医疗（款）事业单位医疗（项）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1.75万元，完成</w:t>
      </w:r>
      <w:r>
        <w:rPr>
          <w:rStyle w:val="10"/>
          <w:rFonts w:hint="eastAsia" w:ascii="仿宋_GB2312" w:hAnsi="仿宋" w:eastAsia="仿宋_GB2312"/>
          <w:b w:val="0"/>
          <w:bCs/>
          <w:sz w:val="32"/>
          <w:szCs w:val="32"/>
          <w:u w:val="none" w:color="auto"/>
          <w:shd w:val="clear" w:fill="auto"/>
          <w:lang w:eastAsia="zh-CN"/>
        </w:rPr>
        <w:t>预算的100%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Style w:val="10"/>
          <w:rFonts w:ascii="仿宋_GB2312" w:hAnsi="仿宋" w:eastAsia="仿宋_GB2312"/>
          <w:b w:val="0"/>
          <w:bCs/>
          <w:sz w:val="32"/>
          <w:szCs w:val="32"/>
          <w:u w:val="none" w:color="auto"/>
          <w:shd w:val="clear" w:fill="auto"/>
        </w:rPr>
      </w:pPr>
      <w:r>
        <w:rPr>
          <w:rStyle w:val="10"/>
          <w:rFonts w:hint="eastAsia" w:ascii="仿宋_GB2312" w:hAnsi="仿宋" w:eastAsia="仿宋_GB2312"/>
          <w:bCs/>
          <w:sz w:val="32"/>
          <w:szCs w:val="32"/>
          <w:u w:val="none" w:color="auto"/>
          <w:shd w:val="clear" w:fill="auto"/>
        </w:rPr>
        <w:t>10.卫生健康支出</w:t>
      </w:r>
      <w:r>
        <w:rPr>
          <w:rFonts w:hint="eastAsia" w:ascii="仿宋_GB2312" w:hAnsi="仿宋" w:eastAsia="仿宋_GB2312"/>
          <w:bCs/>
          <w:sz w:val="32"/>
          <w:szCs w:val="32"/>
          <w:u w:val="none" w:color="auto"/>
          <w:shd w:val="clear" w:fill="auto"/>
        </w:rPr>
        <w:t>（类）行政事业单位医疗</w:t>
      </w:r>
      <w:r>
        <w:rPr>
          <w:rStyle w:val="10"/>
          <w:rFonts w:hint="eastAsia" w:ascii="仿宋_GB2312" w:hAnsi="仿宋" w:eastAsia="仿宋_GB2312"/>
          <w:bCs/>
          <w:sz w:val="32"/>
          <w:szCs w:val="32"/>
          <w:u w:val="none" w:color="auto"/>
          <w:shd w:val="clear" w:fill="auto"/>
        </w:rPr>
        <w:t>补助</w:t>
      </w:r>
      <w:r>
        <w:rPr>
          <w:rFonts w:hint="eastAsia" w:ascii="仿宋_GB2312" w:hAnsi="仿宋" w:eastAsia="仿宋_GB2312"/>
          <w:bCs/>
          <w:sz w:val="32"/>
          <w:szCs w:val="32"/>
          <w:u w:val="none" w:color="auto"/>
          <w:shd w:val="clear" w:fill="auto"/>
        </w:rPr>
        <w:t>（款）公务员医疗补助（项）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1.45万元，完成</w:t>
      </w:r>
      <w:r>
        <w:rPr>
          <w:rStyle w:val="10"/>
          <w:rFonts w:hint="eastAsia" w:ascii="仿宋_GB2312" w:hAnsi="仿宋" w:eastAsia="仿宋_GB2312"/>
          <w:b w:val="0"/>
          <w:bCs/>
          <w:sz w:val="32"/>
          <w:szCs w:val="32"/>
          <w:u w:val="none" w:color="auto"/>
          <w:shd w:val="clear" w:fill="auto"/>
          <w:lang w:eastAsia="zh-CN"/>
        </w:rPr>
        <w:t>预算的100%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Style w:val="10"/>
          <w:rFonts w:ascii="仿宋_GB2312" w:hAnsi="仿宋" w:eastAsia="仿宋_GB2312"/>
          <w:b w:val="0"/>
          <w:bCs/>
          <w:sz w:val="32"/>
          <w:szCs w:val="32"/>
          <w:u w:val="none" w:color="auto"/>
          <w:shd w:val="clear" w:fill="auto"/>
        </w:rPr>
      </w:pPr>
      <w:r>
        <w:rPr>
          <w:rStyle w:val="10"/>
          <w:rFonts w:hint="eastAsia" w:ascii="仿宋_GB2312" w:hAnsi="仿宋" w:eastAsia="仿宋_GB2312"/>
          <w:bCs/>
          <w:sz w:val="32"/>
          <w:szCs w:val="32"/>
          <w:u w:val="none" w:color="auto"/>
          <w:shd w:val="clear" w:fill="auto"/>
        </w:rPr>
        <w:t>11.农林水支出</w:t>
      </w:r>
      <w:r>
        <w:rPr>
          <w:rFonts w:hint="eastAsia" w:ascii="仿宋_GB2312" w:hAnsi="仿宋" w:eastAsia="仿宋_GB2312"/>
          <w:bCs/>
          <w:sz w:val="32"/>
          <w:szCs w:val="32"/>
          <w:u w:val="none" w:color="auto"/>
          <w:shd w:val="clear" w:fill="auto"/>
        </w:rPr>
        <w:t>（类）扶贫（款）其他扶贫支出（项）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0.4万元，完成</w:t>
      </w:r>
      <w:r>
        <w:rPr>
          <w:rStyle w:val="10"/>
          <w:rFonts w:hint="eastAsia" w:ascii="仿宋_GB2312" w:hAnsi="仿宋" w:eastAsia="仿宋_GB2312"/>
          <w:b w:val="0"/>
          <w:bCs/>
          <w:sz w:val="32"/>
          <w:szCs w:val="32"/>
          <w:u w:val="none" w:color="auto"/>
          <w:shd w:val="clear" w:fill="auto"/>
          <w:lang w:eastAsia="zh-CN"/>
        </w:rPr>
        <w:t>预算的100%</w:t>
      </w:r>
      <w:r>
        <w:rPr>
          <w:rFonts w:hint="eastAsia" w:ascii="仿宋_GB2312" w:hAnsi="仿宋" w:eastAsia="仿宋_GB2312"/>
          <w:bCs/>
          <w:sz w:val="32"/>
          <w:szCs w:val="32"/>
          <w:u w:val="none" w:color="auto"/>
          <w:shd w:val="clear" w:fill="auto"/>
        </w:rPr>
        <w:t>，决算数等于预算数。</w:t>
      </w:r>
    </w:p>
    <w:p>
      <w:pPr>
        <w:spacing w:line="600" w:lineRule="exact"/>
        <w:ind w:firstLine="643" w:firstLineChars="200"/>
        <w:rPr>
          <w:rFonts w:ascii="仿宋_GB2312" w:hAnsi="仿宋" w:eastAsia="仿宋_GB2312"/>
          <w:bCs/>
          <w:sz w:val="32"/>
          <w:szCs w:val="32"/>
          <w:u w:val="none" w:color="auto"/>
          <w:shd w:val="clear" w:fill="auto"/>
        </w:rPr>
      </w:pPr>
      <w:r>
        <w:rPr>
          <w:rStyle w:val="10"/>
          <w:rFonts w:hint="eastAsia" w:ascii="仿宋_GB2312" w:hAnsi="仿宋" w:eastAsia="仿宋_GB2312"/>
          <w:bCs/>
          <w:sz w:val="32"/>
          <w:szCs w:val="32"/>
          <w:u w:val="none" w:color="auto"/>
          <w:shd w:val="clear" w:fill="auto"/>
        </w:rPr>
        <w:t>12.住房保障支出</w:t>
      </w:r>
      <w:r>
        <w:rPr>
          <w:rFonts w:hint="eastAsia" w:ascii="仿宋_GB2312" w:hAnsi="仿宋" w:eastAsia="仿宋_GB2312"/>
          <w:bCs/>
          <w:sz w:val="32"/>
          <w:szCs w:val="32"/>
          <w:u w:val="none" w:color="auto"/>
          <w:shd w:val="clear" w:fill="auto"/>
        </w:rPr>
        <w:t>（类）住房改革支出（款）住房公积金（项）</w:t>
      </w:r>
      <w:r>
        <w:rPr>
          <w:rStyle w:val="10"/>
          <w:rFonts w:hint="eastAsia" w:ascii="仿宋_GB2312" w:hAnsi="仿宋" w:eastAsia="仿宋_GB2312"/>
          <w:bCs/>
          <w:sz w:val="32"/>
          <w:szCs w:val="32"/>
          <w:u w:val="none" w:color="auto"/>
          <w:shd w:val="clear" w:fill="auto"/>
        </w:rPr>
        <w:t>:</w:t>
      </w:r>
      <w:r>
        <w:rPr>
          <w:rStyle w:val="10"/>
          <w:rFonts w:hint="eastAsia" w:ascii="仿宋_GB2312" w:hAnsi="仿宋" w:eastAsia="仿宋_GB2312"/>
          <w:b w:val="0"/>
          <w:bCs/>
          <w:sz w:val="32"/>
          <w:szCs w:val="32"/>
          <w:u w:val="none" w:color="auto"/>
          <w:shd w:val="clear" w:fill="auto"/>
        </w:rPr>
        <w:t>支出</w:t>
      </w:r>
      <w:r>
        <w:rPr>
          <w:rFonts w:hint="eastAsia" w:ascii="仿宋_GB2312" w:hAnsi="仿宋" w:eastAsia="仿宋_GB2312"/>
          <w:bCs/>
          <w:sz w:val="32"/>
          <w:szCs w:val="32"/>
          <w:u w:val="none" w:color="auto"/>
          <w:shd w:val="clear" w:fill="auto"/>
        </w:rPr>
        <w:t>决算为</w:t>
      </w:r>
      <w:r>
        <w:rPr>
          <w:rStyle w:val="10"/>
          <w:rFonts w:hint="eastAsia" w:ascii="仿宋_GB2312" w:hAnsi="仿宋" w:eastAsia="仿宋_GB2312"/>
          <w:b w:val="0"/>
          <w:bCs/>
          <w:sz w:val="32"/>
          <w:szCs w:val="32"/>
          <w:u w:val="none" w:color="auto"/>
          <w:shd w:val="clear" w:fill="auto"/>
        </w:rPr>
        <w:t>10.49万元，完成</w:t>
      </w:r>
      <w:r>
        <w:rPr>
          <w:rStyle w:val="10"/>
          <w:rFonts w:hint="eastAsia" w:ascii="仿宋_GB2312" w:hAnsi="仿宋" w:eastAsia="仿宋_GB2312"/>
          <w:b w:val="0"/>
          <w:bCs/>
          <w:sz w:val="32"/>
          <w:szCs w:val="32"/>
          <w:u w:val="none" w:color="auto"/>
          <w:shd w:val="clear" w:fill="auto"/>
          <w:lang w:eastAsia="zh-CN"/>
        </w:rPr>
        <w:t>预算的100%</w:t>
      </w:r>
      <w:r>
        <w:rPr>
          <w:rFonts w:hint="eastAsia" w:ascii="仿宋_GB2312" w:hAnsi="仿宋" w:eastAsia="仿宋_GB2312"/>
          <w:bCs/>
          <w:sz w:val="32"/>
          <w:szCs w:val="32"/>
          <w:u w:val="none" w:color="auto"/>
          <w:shd w:val="clear" w:fill="auto"/>
        </w:rPr>
        <w:t>，决算数等于预算数。</w:t>
      </w:r>
    </w:p>
    <w:p>
      <w:pPr>
        <w:tabs>
          <w:tab w:val="right" w:pos="8306"/>
        </w:tabs>
        <w:spacing w:line="600" w:lineRule="exact"/>
        <w:ind w:firstLine="640"/>
        <w:outlineLvl w:val="1"/>
        <w:rPr>
          <w:rStyle w:val="30"/>
          <w:u w:val="none" w:color="auto"/>
          <w:shd w:val="clear" w:fill="auto"/>
        </w:rPr>
      </w:pPr>
      <w:bookmarkStart w:id="50" w:name="_Toc17475"/>
      <w:bookmarkStart w:id="51" w:name="_Toc15396608"/>
      <w:bookmarkStart w:id="52" w:name="_Toc15377214"/>
      <w:r>
        <w:rPr>
          <w:rFonts w:hint="eastAsia" w:ascii="黑体" w:eastAsia="黑体"/>
          <w:sz w:val="32"/>
          <w:szCs w:val="32"/>
          <w:u w:val="none" w:color="auto"/>
          <w:shd w:val="clear" w:fill="auto"/>
        </w:rPr>
        <w:t>六</w:t>
      </w:r>
      <w:r>
        <w:rPr>
          <w:rFonts w:hint="eastAsia" w:ascii="黑体" w:eastAsia="黑体"/>
          <w:b/>
          <w:sz w:val="32"/>
          <w:szCs w:val="32"/>
          <w:u w:val="none" w:color="auto"/>
          <w:shd w:val="clear" w:fill="auto"/>
        </w:rPr>
        <w:t>、</w:t>
      </w:r>
      <w:r>
        <w:rPr>
          <w:rFonts w:hint="eastAsia" w:ascii="黑体" w:hAnsi="黑体" w:eastAsia="黑体"/>
          <w:b/>
          <w:sz w:val="32"/>
          <w:szCs w:val="32"/>
          <w:u w:val="none" w:color="auto"/>
          <w:shd w:val="clear" w:fill="auto"/>
        </w:rPr>
        <w:t>一</w:t>
      </w:r>
      <w:r>
        <w:rPr>
          <w:rStyle w:val="30"/>
          <w:rFonts w:hint="eastAsia" w:ascii="黑体" w:hAnsi="黑体" w:eastAsia="黑体"/>
          <w:b w:val="0"/>
          <w:u w:val="none" w:color="auto"/>
          <w:shd w:val="clear" w:fill="auto"/>
        </w:rPr>
        <w:t>般公共预算</w:t>
      </w:r>
      <w:r>
        <w:rPr>
          <w:rFonts w:hint="eastAsia" w:ascii="黑体" w:hAnsi="黑体" w:eastAsia="黑体"/>
          <w:sz w:val="32"/>
          <w:szCs w:val="32"/>
          <w:u w:val="none" w:color="auto"/>
          <w:shd w:val="clear" w:fill="auto"/>
        </w:rPr>
        <w:t>财政</w:t>
      </w:r>
      <w:r>
        <w:rPr>
          <w:rStyle w:val="30"/>
          <w:rFonts w:hint="eastAsia" w:ascii="黑体" w:hAnsi="黑体" w:eastAsia="黑体"/>
          <w:b w:val="0"/>
          <w:u w:val="none" w:color="auto"/>
          <w:shd w:val="clear" w:fill="auto"/>
        </w:rPr>
        <w:t>拨</w:t>
      </w:r>
      <w:r>
        <w:rPr>
          <w:rFonts w:hint="eastAsia" w:ascii="黑体" w:hAnsi="黑体" w:eastAsia="黑体"/>
          <w:sz w:val="32"/>
          <w:szCs w:val="32"/>
          <w:u w:val="none" w:color="auto"/>
          <w:shd w:val="clear" w:fill="auto"/>
        </w:rPr>
        <w:t>款基本支出决算情况说明</w:t>
      </w:r>
      <w:bookmarkEnd w:id="50"/>
      <w:bookmarkEnd w:id="51"/>
      <w:bookmarkEnd w:id="52"/>
      <w:r>
        <w:rPr>
          <w:rStyle w:val="30"/>
          <w:rFonts w:ascii="黑体" w:hAnsi="黑体" w:eastAsia="黑体"/>
          <w:b w:val="0"/>
          <w:u w:val="none" w:color="auto"/>
          <w:shd w:val="clear" w:fill="auto"/>
        </w:rPr>
        <w:tab/>
      </w:r>
    </w:p>
    <w:p>
      <w:pPr>
        <w:spacing w:line="600" w:lineRule="exact"/>
        <w:ind w:firstLine="645"/>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2021年一般公共预算财政拨款基本支出2927.27万元，其中：</w:t>
      </w:r>
    </w:p>
    <w:p>
      <w:pPr>
        <w:spacing w:line="600" w:lineRule="exact"/>
        <w:ind w:firstLine="645"/>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人员经费2904.19万元，主要包括：基本工资、津贴补贴、奖金、绩效工资、机关事业单位基本养老保险缴费、职业年金缴费、职工基本医疗保险缴费、公务员医疗补助缴费、其他社会保障缴费、住房公积金、离休费、生活补助、其他个人和家庭的补助支出。</w:t>
      </w:r>
    </w:p>
    <w:p>
      <w:pPr>
        <w:spacing w:line="600" w:lineRule="exact"/>
        <w:ind w:firstLine="645"/>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公用经费23.08万元，主要包括：办公费、印刷费、水费、电费、邮电费、物业管理费、差旅费、会议费、培训费、公务接待费、劳务费、工会经费、福利费、其他交通费用、其他商品和服务支出。</w:t>
      </w:r>
    </w:p>
    <w:p>
      <w:pPr>
        <w:spacing w:line="600" w:lineRule="exact"/>
        <w:ind w:firstLine="640"/>
        <w:outlineLvl w:val="1"/>
        <w:rPr>
          <w:rStyle w:val="30"/>
          <w:rFonts w:ascii="黑体" w:hAnsi="黑体" w:eastAsia="黑体"/>
          <w:b w:val="0"/>
          <w:u w:val="none" w:color="auto"/>
          <w:shd w:val="clear" w:fill="auto"/>
        </w:rPr>
      </w:pPr>
      <w:bookmarkStart w:id="53" w:name="_Toc15377215"/>
      <w:bookmarkStart w:id="54" w:name="_Toc15396609"/>
      <w:bookmarkStart w:id="55" w:name="_Toc23030"/>
      <w:r>
        <w:rPr>
          <w:rFonts w:hint="eastAsia" w:ascii="黑体" w:eastAsia="黑体"/>
          <w:sz w:val="32"/>
          <w:szCs w:val="32"/>
          <w:u w:val="none" w:color="auto"/>
          <w:shd w:val="clear" w:fill="auto"/>
        </w:rPr>
        <w:t>七、</w:t>
      </w:r>
      <w:r>
        <w:rPr>
          <w:rStyle w:val="30"/>
          <w:rFonts w:hint="eastAsia" w:ascii="黑体" w:hAnsi="黑体" w:eastAsia="黑体"/>
          <w:u w:val="none" w:color="auto"/>
          <w:shd w:val="clear" w:fill="auto"/>
        </w:rPr>
        <w:t>“</w:t>
      </w:r>
      <w:r>
        <w:rPr>
          <w:rStyle w:val="30"/>
          <w:rFonts w:hint="eastAsia" w:ascii="黑体" w:hAnsi="黑体" w:eastAsia="黑体"/>
          <w:b w:val="0"/>
          <w:u w:val="none" w:color="auto"/>
          <w:shd w:val="clear" w:fill="auto"/>
        </w:rPr>
        <w:t>三公”经费财政拨</w:t>
      </w:r>
      <w:r>
        <w:rPr>
          <w:rFonts w:hint="eastAsia" w:ascii="黑体" w:hAnsi="黑体" w:eastAsia="黑体"/>
          <w:sz w:val="32"/>
          <w:szCs w:val="32"/>
          <w:u w:val="none" w:color="auto"/>
          <w:shd w:val="clear" w:fill="auto"/>
        </w:rPr>
        <w:t>款支出决算情况说明</w:t>
      </w:r>
      <w:bookmarkEnd w:id="53"/>
      <w:bookmarkEnd w:id="54"/>
      <w:bookmarkEnd w:id="55"/>
    </w:p>
    <w:p>
      <w:pPr>
        <w:spacing w:line="600" w:lineRule="exact"/>
        <w:ind w:firstLine="640"/>
        <w:outlineLvl w:val="2"/>
        <w:rPr>
          <w:rFonts w:ascii="仿宋_GB2312" w:hAnsi="仿宋" w:eastAsia="仿宋_GB2312"/>
          <w:b/>
          <w:sz w:val="32"/>
          <w:szCs w:val="32"/>
          <w:u w:val="none" w:color="auto"/>
          <w:shd w:val="clear" w:fill="auto"/>
        </w:rPr>
      </w:pPr>
      <w:bookmarkStart w:id="56" w:name="_Toc15377216"/>
      <w:r>
        <w:rPr>
          <w:rFonts w:hint="eastAsia" w:ascii="仿宋_GB2312" w:hAnsi="仿宋" w:eastAsia="仿宋_GB2312"/>
          <w:b/>
          <w:sz w:val="32"/>
          <w:szCs w:val="32"/>
          <w:u w:val="none" w:color="auto"/>
          <w:shd w:val="clear" w:fill="auto"/>
        </w:rPr>
        <w:t>（一）“三公”经费财政拨款支出决算总体情况说明</w:t>
      </w:r>
      <w:bookmarkEnd w:id="56"/>
    </w:p>
    <w:p>
      <w:pPr>
        <w:spacing w:line="600" w:lineRule="exact"/>
        <w:ind w:firstLine="640"/>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t>2021年“三公”经费财政拨款支出决算为0.2万元，完成</w:t>
      </w:r>
      <w:r>
        <w:rPr>
          <w:rFonts w:hint="eastAsia" w:ascii="仿宋_GB2312" w:hAnsi="仿宋" w:eastAsia="仿宋_GB2312"/>
          <w:sz w:val="32"/>
          <w:szCs w:val="32"/>
          <w:u w:val="none" w:color="auto"/>
          <w:shd w:val="clear" w:fill="auto"/>
          <w:lang w:eastAsia="zh-CN"/>
        </w:rPr>
        <w:t>预算的100%</w:t>
      </w:r>
      <w:r>
        <w:rPr>
          <w:rFonts w:hint="eastAsia" w:ascii="仿宋_GB2312" w:hAnsi="仿宋" w:eastAsia="仿宋_GB2312"/>
          <w:sz w:val="32"/>
          <w:szCs w:val="32"/>
          <w:u w:val="none" w:color="auto"/>
          <w:shd w:val="clear" w:fill="auto"/>
        </w:rPr>
        <w:t>，决算数与预算数持平。</w:t>
      </w:r>
    </w:p>
    <w:p>
      <w:pPr>
        <w:spacing w:line="600" w:lineRule="exact"/>
        <w:ind w:firstLine="640"/>
        <w:outlineLvl w:val="2"/>
        <w:rPr>
          <w:rFonts w:ascii="仿宋_GB2312" w:hAnsi="仿宋" w:eastAsia="仿宋_GB2312"/>
          <w:b/>
          <w:sz w:val="32"/>
          <w:szCs w:val="32"/>
          <w:u w:val="none" w:color="auto"/>
          <w:shd w:val="clear" w:fill="auto"/>
        </w:rPr>
      </w:pPr>
      <w:bookmarkStart w:id="57" w:name="_Toc15377217"/>
      <w:r>
        <w:rPr>
          <w:rFonts w:hint="eastAsia" w:ascii="仿宋_GB2312" w:hAnsi="仿宋" w:eastAsia="仿宋_GB2312"/>
          <w:b/>
          <w:sz w:val="32"/>
          <w:szCs w:val="32"/>
          <w:u w:val="none" w:color="auto"/>
          <w:shd w:val="clear" w:fill="auto"/>
        </w:rPr>
        <w:t>（二）“三公”经费财政拨款支出决算具体情况说明</w:t>
      </w:r>
      <w:bookmarkEnd w:id="57"/>
    </w:p>
    <w:p>
      <w:pPr>
        <w:spacing w:line="600" w:lineRule="exact"/>
        <w:ind w:firstLine="640"/>
        <w:rPr>
          <w:rFonts w:ascii="仿宋_GB2312" w:eastAsia="仿宋_GB2312"/>
          <w:u w:val="none" w:color="auto"/>
          <w:shd w:val="clear" w:fill="auto"/>
        </w:rPr>
      </w:pPr>
      <w:r>
        <w:rPr>
          <w:rFonts w:hint="eastAsia" w:ascii="仿宋_GB2312" w:hAnsi="仿宋" w:eastAsia="仿宋_GB2312"/>
          <w:sz w:val="32"/>
          <w:szCs w:val="32"/>
          <w:u w:val="none" w:color="auto"/>
          <w:shd w:val="clear" w:fill="auto"/>
        </w:rPr>
        <w:t>2021年“三公”经费财政拨款支出决算中，因公出国（境）费支出决算0万元，占0%；公务用车购置及运行维护费支出决算0万元，占0%；公务接待费支出决算0.2万元，占比100%。具体情况如下：</w:t>
      </w:r>
    </w:p>
    <w:p>
      <w:pPr>
        <w:spacing w:line="600" w:lineRule="exact"/>
        <w:ind w:firstLine="640"/>
        <w:rPr>
          <w:rFonts w:ascii="仿宋_GB2312" w:hAnsi="仿宋" w:eastAsia="仿宋_GB2312"/>
          <w:sz w:val="32"/>
          <w:szCs w:val="32"/>
          <w:u w:val="none" w:color="auto"/>
          <w:shd w:val="clear" w:fill="auto"/>
        </w:rPr>
      </w:pPr>
      <w:r>
        <w:rPr>
          <w:rFonts w:hint="eastAsia" w:ascii="仿宋_GB2312" w:hAnsi="仿宋" w:eastAsia="仿宋_GB2312"/>
          <w:sz w:val="32"/>
          <w:szCs w:val="32"/>
          <w:u w:val="none" w:color="auto"/>
          <w:shd w:val="clear" w:fill="auto"/>
        </w:rPr>
        <w:drawing>
          <wp:anchor distT="0" distB="0" distL="114300" distR="114300" simplePos="0" relativeHeight="251663360" behindDoc="0" locked="0" layoutInCell="1" allowOverlap="1">
            <wp:simplePos x="0" y="0"/>
            <wp:positionH relativeFrom="column">
              <wp:posOffset>290830</wp:posOffset>
            </wp:positionH>
            <wp:positionV relativeFrom="paragraph">
              <wp:posOffset>160020</wp:posOffset>
            </wp:positionV>
            <wp:extent cx="5016500" cy="2518410"/>
            <wp:effectExtent l="4445" t="4445" r="8255" b="10795"/>
            <wp:wrapSquare wrapText="bothSides"/>
            <wp:docPr id="138" name="_x0000_s137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hint="eastAsia" w:ascii="仿宋_GB2312" w:hAnsi="仿宋" w:eastAsia="仿宋_GB2312"/>
          <w:sz w:val="32"/>
          <w:szCs w:val="32"/>
          <w:u w:val="none" w:color="auto"/>
          <w:shd w:val="clear" w:fill="auto"/>
        </w:rPr>
        <w:t>图7：“三公”经费财政拨款支出结构</w:t>
      </w:r>
    </w:p>
    <w:p>
      <w:pPr>
        <w:spacing w:line="600" w:lineRule="exact"/>
        <w:ind w:firstLine="640"/>
        <w:rPr>
          <w:rFonts w:ascii="仿宋_GB2312" w:eastAsia="仿宋_GB2312"/>
          <w:b/>
          <w:sz w:val="32"/>
          <w:szCs w:val="32"/>
          <w:u w:val="none" w:color="auto"/>
          <w:shd w:val="clear" w:fill="auto"/>
        </w:rPr>
      </w:pPr>
      <w:r>
        <w:rPr>
          <w:rFonts w:ascii="仿宋_GB2312" w:eastAsia="仿宋_GB2312"/>
          <w:b/>
          <w:sz w:val="32"/>
          <w:szCs w:val="32"/>
          <w:u w:val="none" w:color="auto"/>
          <w:shd w:val="clear" w:fill="auto"/>
        </w:rPr>
        <w:t>1.</w:t>
      </w:r>
      <w:r>
        <w:rPr>
          <w:rFonts w:hint="eastAsia" w:ascii="仿宋_GB2312" w:eastAsia="仿宋_GB2312"/>
          <w:b/>
          <w:sz w:val="32"/>
          <w:szCs w:val="32"/>
          <w:u w:val="none" w:color="auto"/>
          <w:shd w:val="clear" w:fill="auto"/>
        </w:rPr>
        <w:t>因公出国（境）经费支出</w:t>
      </w:r>
      <w:r>
        <w:rPr>
          <w:rFonts w:hint="eastAsia" w:ascii="仿宋_GB2312" w:eastAsia="仿宋_GB2312"/>
          <w:sz w:val="32"/>
          <w:szCs w:val="32"/>
          <w:u w:val="none" w:color="auto"/>
          <w:shd w:val="clear" w:fill="auto"/>
        </w:rPr>
        <w:t>0万元</w:t>
      </w:r>
      <w:r>
        <w:rPr>
          <w:rStyle w:val="10"/>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全年安排因公出国（境）团组0次，出国（境）0人。因公出国（境）支出决算比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20年无变化。</w:t>
      </w:r>
    </w:p>
    <w:p>
      <w:pPr>
        <w:spacing w:line="600" w:lineRule="exact"/>
        <w:ind w:firstLine="640"/>
        <w:rPr>
          <w:rFonts w:ascii="仿宋_GB2312" w:eastAsia="仿宋_GB2312"/>
          <w:b/>
          <w:sz w:val="32"/>
          <w:szCs w:val="32"/>
          <w:u w:val="none" w:color="auto"/>
          <w:shd w:val="clear" w:fill="auto"/>
        </w:rPr>
      </w:pPr>
      <w:r>
        <w:rPr>
          <w:rFonts w:ascii="仿宋_GB2312" w:eastAsia="仿宋_GB2312"/>
          <w:b/>
          <w:sz w:val="32"/>
          <w:szCs w:val="32"/>
          <w:u w:val="none" w:color="auto"/>
          <w:shd w:val="clear" w:fill="auto"/>
        </w:rPr>
        <w:t>2.</w:t>
      </w:r>
      <w:r>
        <w:rPr>
          <w:rFonts w:hint="eastAsia" w:ascii="仿宋_GB2312" w:eastAsia="仿宋_GB2312"/>
          <w:b/>
          <w:sz w:val="32"/>
          <w:szCs w:val="32"/>
          <w:u w:val="none" w:color="auto"/>
          <w:shd w:val="clear" w:fill="auto"/>
        </w:rPr>
        <w:t>公务用车购置及运行维护费支出</w:t>
      </w:r>
      <w:r>
        <w:rPr>
          <w:rFonts w:hint="eastAsia" w:ascii="仿宋_GB2312" w:eastAsia="仿宋_GB2312"/>
          <w:sz w:val="32"/>
          <w:szCs w:val="32"/>
          <w:u w:val="none" w:color="auto"/>
          <w:shd w:val="clear" w:fill="auto"/>
        </w:rPr>
        <w:t>0万元</w:t>
      </w:r>
      <w:r>
        <w:rPr>
          <w:rStyle w:val="10"/>
          <w:rFonts w:hint="eastAsia" w:ascii="仿宋" w:hAnsi="仿宋" w:eastAsia="仿宋"/>
          <w:b w:val="0"/>
          <w:bCs/>
          <w:sz w:val="32"/>
          <w:szCs w:val="32"/>
          <w:u w:val="none" w:color="auto"/>
          <w:shd w:val="clear" w:fill="auto"/>
        </w:rPr>
        <w:t>。</w:t>
      </w:r>
      <w:r>
        <w:rPr>
          <w:rFonts w:hint="eastAsia" w:ascii="仿宋_GB2312" w:eastAsia="仿宋_GB2312"/>
          <w:sz w:val="32"/>
          <w:szCs w:val="32"/>
          <w:u w:val="none" w:color="auto"/>
          <w:shd w:val="clear" w:fill="auto"/>
        </w:rPr>
        <w:t>公务用车购置及运行维护费支出决算比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20年无变化。</w:t>
      </w:r>
    </w:p>
    <w:p>
      <w:pPr>
        <w:spacing w:line="600" w:lineRule="exact"/>
        <w:ind w:firstLine="640" w:firstLineChars="200"/>
        <w:rPr>
          <w:rFonts w:ascii="仿宋_GB2312" w:eastAsia="仿宋_GB2312"/>
          <w:b/>
          <w:sz w:val="32"/>
          <w:szCs w:val="32"/>
          <w:u w:val="none" w:color="auto"/>
          <w:shd w:val="clear" w:fill="auto"/>
        </w:rPr>
      </w:pPr>
      <w:r>
        <w:rPr>
          <w:rFonts w:hint="eastAsia" w:ascii="仿宋_GB2312" w:eastAsia="仿宋_GB2312"/>
          <w:sz w:val="32"/>
          <w:szCs w:val="32"/>
          <w:u w:val="none" w:color="auto"/>
          <w:shd w:val="clear" w:fill="auto"/>
        </w:rPr>
        <w:t>其中：</w:t>
      </w:r>
      <w:r>
        <w:rPr>
          <w:rFonts w:hint="eastAsia" w:ascii="仿宋_GB2312" w:eastAsia="仿宋_GB2312"/>
          <w:b/>
          <w:sz w:val="32"/>
          <w:szCs w:val="32"/>
          <w:u w:val="none" w:color="auto"/>
          <w:shd w:val="clear" w:fill="auto"/>
        </w:rPr>
        <w:t>公务用车购置支出</w:t>
      </w:r>
      <w:r>
        <w:rPr>
          <w:rFonts w:hint="eastAsia" w:ascii="仿宋_GB2312" w:eastAsia="仿宋_GB2312"/>
          <w:sz w:val="32"/>
          <w:szCs w:val="32"/>
          <w:u w:val="none" w:color="auto"/>
          <w:shd w:val="clear" w:fill="auto"/>
        </w:rPr>
        <w:t>0万元。全年按规定更新购置公务用车0辆，截至</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w:t>
      </w:r>
      <w:r>
        <w:rPr>
          <w:rFonts w:ascii="仿宋_GB2312" w:eastAsia="仿宋_GB2312"/>
          <w:sz w:val="32"/>
          <w:szCs w:val="32"/>
          <w:u w:val="none" w:color="auto"/>
          <w:shd w:val="clear" w:fill="auto"/>
        </w:rPr>
        <w:t>12</w:t>
      </w:r>
      <w:r>
        <w:rPr>
          <w:rFonts w:hint="eastAsia" w:ascii="仿宋_GB2312" w:eastAsia="仿宋_GB2312"/>
          <w:sz w:val="32"/>
          <w:szCs w:val="32"/>
          <w:u w:val="none" w:color="auto"/>
          <w:shd w:val="clear" w:fill="auto"/>
        </w:rPr>
        <w:t>月底，单位共有公务用车0辆，其中：轿车0辆、越野车0辆、载客汽车0辆。</w:t>
      </w:r>
    </w:p>
    <w:p>
      <w:pPr>
        <w:spacing w:line="600" w:lineRule="exact"/>
        <w:ind w:firstLine="640"/>
        <w:rPr>
          <w:rFonts w:ascii="仿宋_GB2312" w:eastAsia="仿宋_GB2312"/>
          <w:sz w:val="32"/>
          <w:szCs w:val="32"/>
          <w:u w:val="none" w:color="auto"/>
          <w:shd w:val="clear" w:fill="auto"/>
        </w:rPr>
      </w:pPr>
      <w:r>
        <w:rPr>
          <w:rFonts w:hint="eastAsia" w:ascii="仿宋_GB2312" w:eastAsia="仿宋_GB2312"/>
          <w:b/>
          <w:sz w:val="32"/>
          <w:szCs w:val="32"/>
          <w:u w:val="none" w:color="auto"/>
          <w:shd w:val="clear" w:fill="auto"/>
        </w:rPr>
        <w:t>公务用车运行维护费支出</w:t>
      </w:r>
      <w:r>
        <w:rPr>
          <w:rFonts w:hint="eastAsia" w:ascii="仿宋_GB2312" w:eastAsia="仿宋_GB2312"/>
          <w:sz w:val="32"/>
          <w:szCs w:val="32"/>
          <w:u w:val="none" w:color="auto"/>
          <w:shd w:val="clear" w:fill="auto"/>
        </w:rPr>
        <w:t>0万元。</w:t>
      </w:r>
    </w:p>
    <w:p>
      <w:pPr>
        <w:spacing w:line="600" w:lineRule="exact"/>
        <w:ind w:firstLine="640"/>
        <w:rPr>
          <w:rFonts w:ascii="仿宋_GB2312" w:eastAsia="仿宋_GB2312"/>
          <w:sz w:val="32"/>
          <w:szCs w:val="32"/>
          <w:u w:val="none" w:color="auto"/>
          <w:shd w:val="clear" w:fill="auto"/>
        </w:rPr>
      </w:pPr>
      <w:r>
        <w:rPr>
          <w:rFonts w:ascii="仿宋_GB2312" w:eastAsia="仿宋_GB2312"/>
          <w:b/>
          <w:sz w:val="32"/>
          <w:szCs w:val="32"/>
          <w:u w:val="none" w:color="auto"/>
          <w:shd w:val="clear" w:fill="auto"/>
        </w:rPr>
        <w:t>3.</w:t>
      </w:r>
      <w:r>
        <w:rPr>
          <w:rFonts w:hint="eastAsia" w:ascii="仿宋_GB2312" w:eastAsia="仿宋_GB2312"/>
          <w:b/>
          <w:sz w:val="32"/>
          <w:szCs w:val="32"/>
          <w:u w:val="none" w:color="auto"/>
          <w:shd w:val="clear" w:fill="auto"/>
        </w:rPr>
        <w:t>公务接待费支出</w:t>
      </w:r>
      <w:r>
        <w:rPr>
          <w:rFonts w:hint="eastAsia" w:ascii="仿宋_GB2312" w:eastAsia="仿宋_GB2312"/>
          <w:sz w:val="32"/>
          <w:szCs w:val="32"/>
          <w:u w:val="none" w:color="auto"/>
          <w:shd w:val="clear" w:fill="auto"/>
        </w:rPr>
        <w:t>0.2万元，</w:t>
      </w:r>
      <w:r>
        <w:rPr>
          <w:rStyle w:val="10"/>
          <w:rFonts w:hint="eastAsia" w:ascii="仿宋_GB2312" w:hAnsi="仿宋" w:eastAsia="仿宋_GB2312"/>
          <w:b w:val="0"/>
          <w:bCs/>
          <w:sz w:val="32"/>
          <w:szCs w:val="32"/>
          <w:u w:val="none" w:color="auto"/>
          <w:shd w:val="clear" w:fill="auto"/>
        </w:rPr>
        <w:t>完成预算的</w:t>
      </w:r>
      <w:r>
        <w:rPr>
          <w:rFonts w:hint="eastAsia" w:ascii="仿宋_GB2312" w:hAnsi="仿宋" w:eastAsia="仿宋_GB2312"/>
          <w:bCs/>
          <w:sz w:val="32"/>
          <w:szCs w:val="32"/>
          <w:u w:val="none" w:color="auto"/>
          <w:shd w:val="clear" w:fill="auto"/>
        </w:rPr>
        <w:t>100%。</w:t>
      </w:r>
      <w:r>
        <w:rPr>
          <w:rFonts w:hint="eastAsia" w:ascii="仿宋_GB2312" w:eastAsia="仿宋_GB2312"/>
          <w:sz w:val="32"/>
          <w:szCs w:val="32"/>
          <w:u w:val="none" w:color="auto"/>
          <w:shd w:val="clear" w:fill="auto"/>
        </w:rPr>
        <w:t>公务接待费支出决算比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20年无变化。其中：</w:t>
      </w:r>
    </w:p>
    <w:p>
      <w:pPr>
        <w:spacing w:line="600" w:lineRule="exact"/>
        <w:ind w:firstLine="643" w:firstLineChars="200"/>
        <w:rPr>
          <w:rFonts w:ascii="仿宋_GB2312" w:eastAsia="仿宋_GB2312"/>
          <w:sz w:val="32"/>
          <w:szCs w:val="32"/>
          <w:u w:val="none" w:color="auto"/>
          <w:shd w:val="clear" w:fill="auto"/>
        </w:rPr>
      </w:pPr>
      <w:r>
        <w:rPr>
          <w:rFonts w:hint="eastAsia" w:ascii="仿宋_GB2312" w:hAnsi="仿宋" w:eastAsia="仿宋_GB2312"/>
          <w:b/>
          <w:sz w:val="32"/>
          <w:szCs w:val="32"/>
          <w:u w:val="none" w:color="auto"/>
          <w:shd w:val="clear" w:fill="auto"/>
        </w:rPr>
        <w:t>国内公务接待支出0.2</w:t>
      </w:r>
      <w:r>
        <w:rPr>
          <w:rFonts w:hint="eastAsia" w:ascii="仿宋_GB2312" w:eastAsia="仿宋_GB2312"/>
          <w:sz w:val="32"/>
          <w:szCs w:val="32"/>
          <w:u w:val="none" w:color="auto"/>
          <w:shd w:val="clear" w:fill="auto"/>
        </w:rPr>
        <w:t>万元，主要用于</w:t>
      </w:r>
      <w:r>
        <w:rPr>
          <w:rFonts w:hint="eastAsia" w:ascii="仿宋_GB2312" w:eastAsia="仿宋_GB2312"/>
          <w:color w:val="000000"/>
          <w:sz w:val="32"/>
          <w:szCs w:val="32"/>
          <w:u w:val="none" w:color="auto"/>
          <w:shd w:val="clear" w:fill="auto"/>
        </w:rPr>
        <w:t>接待省、市局来我县调研、专项检查等工作公务活动开支</w:t>
      </w:r>
      <w:r>
        <w:rPr>
          <w:rFonts w:hint="eastAsia" w:ascii="仿宋_GB2312" w:eastAsia="仿宋_GB2312"/>
          <w:sz w:val="32"/>
          <w:szCs w:val="32"/>
          <w:u w:val="none" w:color="auto"/>
          <w:shd w:val="clear" w:fill="auto"/>
        </w:rPr>
        <w:t>。国内公务接待3批次，26人次（不包括陪同人员），共计支出0.2万元。</w:t>
      </w:r>
    </w:p>
    <w:p>
      <w:pPr>
        <w:spacing w:line="600" w:lineRule="exact"/>
        <w:ind w:firstLine="643" w:firstLineChars="200"/>
        <w:rPr>
          <w:rFonts w:ascii="仿宋_GB2312" w:eastAsia="仿宋_GB2312"/>
          <w:sz w:val="32"/>
          <w:szCs w:val="32"/>
          <w:u w:val="none" w:color="auto"/>
          <w:shd w:val="clear" w:fill="auto"/>
        </w:rPr>
      </w:pPr>
      <w:r>
        <w:rPr>
          <w:rFonts w:hint="eastAsia" w:ascii="仿宋_GB2312" w:hAnsi="仿宋" w:eastAsia="仿宋_GB2312"/>
          <w:b/>
          <w:sz w:val="32"/>
          <w:szCs w:val="32"/>
          <w:u w:val="none" w:color="auto"/>
          <w:shd w:val="clear" w:fill="auto"/>
        </w:rPr>
        <w:t>外事接待支出</w:t>
      </w:r>
      <w:r>
        <w:rPr>
          <w:rFonts w:hint="eastAsia" w:ascii="仿宋_GB2312" w:hAnsi="仿宋" w:eastAsia="仿宋_GB2312"/>
          <w:sz w:val="32"/>
          <w:szCs w:val="32"/>
          <w:u w:val="none" w:color="auto"/>
          <w:shd w:val="clear" w:fill="auto"/>
        </w:rPr>
        <w:t>0</w:t>
      </w:r>
      <w:r>
        <w:rPr>
          <w:rFonts w:hint="eastAsia" w:ascii="仿宋_GB2312" w:eastAsia="仿宋_GB2312"/>
          <w:sz w:val="32"/>
          <w:szCs w:val="32"/>
          <w:u w:val="none" w:color="auto"/>
          <w:shd w:val="clear" w:fill="auto"/>
        </w:rPr>
        <w:t>万元，外事接待0批次，0人，共计支出0万元。</w:t>
      </w:r>
      <w:bookmarkStart w:id="58" w:name="_Toc15396610"/>
      <w:bookmarkStart w:id="59" w:name="_Toc15377218"/>
    </w:p>
    <w:p>
      <w:pPr>
        <w:spacing w:line="600" w:lineRule="exact"/>
        <w:ind w:firstLine="640"/>
        <w:outlineLvl w:val="1"/>
        <w:rPr>
          <w:rStyle w:val="30"/>
          <w:rFonts w:ascii="黑体" w:hAnsi="黑体" w:eastAsia="黑体"/>
          <w:u w:val="none" w:color="auto"/>
          <w:shd w:val="clear" w:fill="auto"/>
        </w:rPr>
      </w:pPr>
      <w:bookmarkStart w:id="60" w:name="_Toc7301"/>
      <w:r>
        <w:rPr>
          <w:rFonts w:hint="eastAsia" w:ascii="黑体" w:eastAsia="黑体"/>
          <w:sz w:val="32"/>
          <w:szCs w:val="32"/>
          <w:u w:val="none" w:color="auto"/>
          <w:shd w:val="clear" w:fill="auto"/>
        </w:rPr>
        <w:t>八、</w:t>
      </w:r>
      <w:r>
        <w:rPr>
          <w:rStyle w:val="30"/>
          <w:rFonts w:hint="eastAsia" w:ascii="黑体" w:hAnsi="黑体" w:eastAsia="黑体"/>
          <w:b w:val="0"/>
          <w:u w:val="none" w:color="auto"/>
          <w:shd w:val="clear" w:fill="auto"/>
        </w:rPr>
        <w:t>政府性基金预算</w:t>
      </w:r>
      <w:r>
        <w:rPr>
          <w:rFonts w:hint="eastAsia" w:ascii="黑体" w:hAnsi="黑体" w:eastAsia="黑体"/>
          <w:sz w:val="32"/>
          <w:szCs w:val="32"/>
          <w:u w:val="none" w:color="auto"/>
          <w:shd w:val="clear" w:fill="auto"/>
        </w:rPr>
        <w:t>支出决算情况说明</w:t>
      </w:r>
      <w:bookmarkEnd w:id="58"/>
      <w:bookmarkEnd w:id="59"/>
      <w:bookmarkEnd w:id="60"/>
    </w:p>
    <w:p>
      <w:pPr>
        <w:spacing w:line="600" w:lineRule="exact"/>
        <w:ind w:firstLine="64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21年政府性基金预算财政拨款支出0万元。</w:t>
      </w:r>
    </w:p>
    <w:p>
      <w:pPr>
        <w:numPr>
          <w:ilvl w:val="0"/>
          <w:numId w:val="2"/>
        </w:numPr>
        <w:spacing w:line="600" w:lineRule="exact"/>
        <w:ind w:firstLine="640"/>
        <w:outlineLvl w:val="1"/>
        <w:rPr>
          <w:rStyle w:val="30"/>
          <w:rFonts w:ascii="黑体" w:hAnsi="黑体" w:eastAsia="黑体"/>
          <w:b w:val="0"/>
          <w:u w:val="none" w:color="auto"/>
          <w:shd w:val="clear" w:fill="auto"/>
        </w:rPr>
      </w:pPr>
      <w:bookmarkStart w:id="61" w:name="_Toc15396611"/>
      <w:bookmarkStart w:id="62" w:name="_Toc15377219"/>
      <w:bookmarkStart w:id="63" w:name="_Toc13713"/>
      <w:r>
        <w:rPr>
          <w:rStyle w:val="30"/>
          <w:rFonts w:hint="eastAsia" w:ascii="黑体" w:hAnsi="黑体" w:eastAsia="黑体"/>
          <w:b w:val="0"/>
          <w:u w:val="none" w:color="auto"/>
          <w:shd w:val="clear" w:fill="auto"/>
        </w:rPr>
        <w:t>国有资本经营预算</w:t>
      </w:r>
      <w:r>
        <w:rPr>
          <w:rFonts w:hint="eastAsia" w:ascii="黑体" w:hAnsi="黑体" w:eastAsia="黑体"/>
          <w:sz w:val="32"/>
          <w:szCs w:val="32"/>
          <w:u w:val="none" w:color="auto"/>
          <w:shd w:val="clear" w:fill="auto"/>
        </w:rPr>
        <w:t>支出决算情况说明</w:t>
      </w:r>
      <w:bookmarkEnd w:id="61"/>
      <w:bookmarkEnd w:id="62"/>
      <w:bookmarkEnd w:id="63"/>
    </w:p>
    <w:p>
      <w:pPr>
        <w:spacing w:line="600" w:lineRule="exact"/>
        <w:ind w:firstLine="64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21年国有资本经营预算财政拨款支出0万元。</w:t>
      </w:r>
    </w:p>
    <w:p>
      <w:pPr>
        <w:numPr>
          <w:ilvl w:val="0"/>
          <w:numId w:val="2"/>
        </w:numPr>
        <w:spacing w:line="600" w:lineRule="exact"/>
        <w:ind w:firstLine="640"/>
        <w:outlineLvl w:val="1"/>
        <w:rPr>
          <w:rStyle w:val="30"/>
          <w:rFonts w:ascii="黑体" w:hAnsi="黑体" w:eastAsia="黑体"/>
          <w:b w:val="0"/>
          <w:u w:val="none" w:color="auto"/>
          <w:shd w:val="clear" w:fill="auto"/>
        </w:rPr>
      </w:pPr>
      <w:bookmarkStart w:id="64" w:name="_Toc17711"/>
      <w:bookmarkStart w:id="65" w:name="_Toc15377221"/>
      <w:bookmarkStart w:id="66" w:name="_Toc15396612"/>
      <w:r>
        <w:rPr>
          <w:rStyle w:val="30"/>
          <w:rFonts w:hint="eastAsia" w:ascii="黑体" w:hAnsi="黑体" w:eastAsia="黑体"/>
          <w:b w:val="0"/>
          <w:u w:val="none" w:color="auto"/>
          <w:shd w:val="clear" w:fill="auto"/>
        </w:rPr>
        <w:t>其他重要事项的情况说明</w:t>
      </w:r>
      <w:bookmarkEnd w:id="64"/>
      <w:bookmarkEnd w:id="65"/>
      <w:bookmarkEnd w:id="66"/>
    </w:p>
    <w:p>
      <w:pPr>
        <w:spacing w:line="600" w:lineRule="exact"/>
        <w:ind w:firstLine="643" w:firstLineChars="200"/>
        <w:outlineLvl w:val="2"/>
        <w:rPr>
          <w:rFonts w:ascii="仿宋_GB2312" w:hAnsi="仿宋" w:eastAsia="仿宋_GB2312"/>
          <w:sz w:val="32"/>
          <w:szCs w:val="32"/>
          <w:u w:val="none" w:color="auto"/>
          <w:shd w:val="clear" w:fill="auto"/>
        </w:rPr>
      </w:pPr>
      <w:bookmarkStart w:id="67" w:name="_Toc15377222"/>
      <w:r>
        <w:rPr>
          <w:rFonts w:hint="eastAsia" w:ascii="仿宋_GB2312" w:hAnsi="仿宋" w:eastAsia="仿宋_GB2312"/>
          <w:b/>
          <w:sz w:val="32"/>
          <w:szCs w:val="32"/>
          <w:u w:val="none" w:color="auto"/>
          <w:shd w:val="clear" w:fill="auto"/>
        </w:rPr>
        <w:t>（一）机关运行经费支出情况</w:t>
      </w:r>
      <w:bookmarkEnd w:id="67"/>
    </w:p>
    <w:p>
      <w:pPr>
        <w:spacing w:line="600" w:lineRule="exact"/>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21年，通江县机关事业单位社会保险局机关运行经费支出23.08万元，比</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20年减少4.39万元，下降15.98</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。主要原因是本年办公费用较上年减少。</w:t>
      </w:r>
    </w:p>
    <w:p>
      <w:pPr>
        <w:autoSpaceDE w:val="0"/>
        <w:autoSpaceDN w:val="0"/>
        <w:adjustRightInd w:val="0"/>
        <w:spacing w:line="600" w:lineRule="exact"/>
        <w:ind w:firstLine="643" w:firstLineChars="200"/>
        <w:jc w:val="left"/>
        <w:outlineLvl w:val="2"/>
        <w:rPr>
          <w:rFonts w:ascii="仿宋_GB2312" w:hAnsi="仿宋" w:eastAsia="仿宋_GB2312"/>
          <w:b/>
          <w:sz w:val="32"/>
          <w:szCs w:val="32"/>
          <w:u w:val="none" w:color="auto"/>
          <w:shd w:val="clear" w:fill="auto"/>
        </w:rPr>
      </w:pPr>
      <w:bookmarkStart w:id="68" w:name="_Toc15377223"/>
      <w:r>
        <w:rPr>
          <w:rFonts w:hint="eastAsia" w:ascii="仿宋_GB2312" w:hAnsi="仿宋" w:eastAsia="仿宋_GB2312"/>
          <w:b/>
          <w:sz w:val="32"/>
          <w:szCs w:val="32"/>
          <w:u w:val="none" w:color="auto"/>
          <w:shd w:val="clear" w:fill="auto"/>
        </w:rPr>
        <w:t>（二）政府采购支出情况</w:t>
      </w:r>
      <w:bookmarkEnd w:id="68"/>
    </w:p>
    <w:p>
      <w:pPr>
        <w:spacing w:line="600" w:lineRule="exact"/>
        <w:ind w:firstLine="640" w:firstLineChars="200"/>
        <w:rPr>
          <w:rFonts w:ascii="仿宋" w:hAnsi="仿宋" w:eastAsia="仿宋"/>
          <w:b/>
          <w:sz w:val="32"/>
          <w:szCs w:val="32"/>
          <w:u w:val="none" w:color="auto"/>
          <w:shd w:val="clear" w:fill="auto"/>
        </w:rPr>
      </w:pP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21年，通江县机关事业单位社会保险局政府采购支出</w:t>
      </w:r>
      <w:r>
        <w:rPr>
          <w:rFonts w:hint="eastAsia"/>
          <w:u w:val="none" w:color="auto"/>
          <w:shd w:val="clear" w:fill="auto"/>
        </w:rPr>
        <w:t>。</w:t>
      </w:r>
    </w:p>
    <w:p>
      <w:pPr>
        <w:autoSpaceDE w:val="0"/>
        <w:autoSpaceDN w:val="0"/>
        <w:adjustRightInd w:val="0"/>
        <w:spacing w:line="600" w:lineRule="exact"/>
        <w:ind w:firstLine="643" w:firstLineChars="200"/>
        <w:jc w:val="left"/>
        <w:outlineLvl w:val="2"/>
        <w:rPr>
          <w:rFonts w:ascii="仿宋_GB2312" w:hAnsi="仿宋" w:eastAsia="仿宋_GB2312"/>
          <w:b/>
          <w:sz w:val="32"/>
          <w:szCs w:val="32"/>
          <w:u w:val="none" w:color="auto"/>
          <w:shd w:val="clear" w:fill="auto"/>
        </w:rPr>
      </w:pPr>
      <w:bookmarkStart w:id="69" w:name="_Toc15377224"/>
      <w:r>
        <w:rPr>
          <w:rFonts w:hint="eastAsia" w:ascii="仿宋_GB2312" w:hAnsi="仿宋" w:eastAsia="仿宋_GB2312"/>
          <w:b/>
          <w:sz w:val="32"/>
          <w:szCs w:val="32"/>
          <w:u w:val="none" w:color="auto"/>
          <w:shd w:val="clear" w:fill="auto"/>
        </w:rPr>
        <w:t>（三）国有资产占有使用情况</w:t>
      </w:r>
      <w:bookmarkEnd w:id="69"/>
    </w:p>
    <w:p>
      <w:pPr>
        <w:autoSpaceDE w:val="0"/>
        <w:autoSpaceDN w:val="0"/>
        <w:adjustRightInd w:val="0"/>
        <w:spacing w:line="600" w:lineRule="exact"/>
        <w:ind w:firstLine="640" w:firstLineChars="200"/>
        <w:jc w:val="left"/>
        <w:rPr>
          <w:rFonts w:ascii="仿宋_GB2312" w:eastAsia="仿宋_GB2312"/>
          <w:sz w:val="32"/>
          <w:szCs w:val="32"/>
          <w:u w:val="none" w:color="auto"/>
          <w:shd w:val="clear" w:fill="auto"/>
        </w:rPr>
      </w:pPr>
      <w:r>
        <w:rPr>
          <w:rFonts w:hint="eastAsia" w:ascii="仿宋_GB2312" w:eastAsia="仿宋_GB2312"/>
          <w:sz w:val="32"/>
          <w:szCs w:val="32"/>
          <w:u w:val="none" w:color="auto"/>
          <w:shd w:val="clear" w:fill="auto"/>
        </w:rPr>
        <w:t>截至</w:t>
      </w:r>
      <w:r>
        <w:rPr>
          <w:rFonts w:ascii="仿宋_GB2312" w:eastAsia="仿宋_GB2312"/>
          <w:sz w:val="32"/>
          <w:szCs w:val="32"/>
          <w:u w:val="none" w:color="auto"/>
          <w:shd w:val="clear" w:fill="auto"/>
        </w:rPr>
        <w:t>20</w:t>
      </w:r>
      <w:r>
        <w:rPr>
          <w:rFonts w:hint="eastAsia" w:ascii="仿宋_GB2312" w:eastAsia="仿宋_GB2312"/>
          <w:sz w:val="32"/>
          <w:szCs w:val="32"/>
          <w:u w:val="none" w:color="auto"/>
          <w:shd w:val="clear" w:fill="auto"/>
        </w:rPr>
        <w:t>21年</w:t>
      </w:r>
      <w:r>
        <w:rPr>
          <w:rFonts w:ascii="仿宋_GB2312" w:eastAsia="仿宋_GB2312"/>
          <w:sz w:val="32"/>
          <w:szCs w:val="32"/>
          <w:u w:val="none" w:color="auto"/>
          <w:shd w:val="clear" w:fill="auto"/>
        </w:rPr>
        <w:t>12</w:t>
      </w:r>
      <w:r>
        <w:rPr>
          <w:rFonts w:hint="eastAsia" w:ascii="仿宋_GB2312" w:eastAsia="仿宋_GB2312"/>
          <w:sz w:val="32"/>
          <w:szCs w:val="32"/>
          <w:u w:val="none" w:color="auto"/>
          <w:shd w:val="clear" w:fill="auto"/>
        </w:rPr>
        <w:t>月</w:t>
      </w:r>
      <w:r>
        <w:rPr>
          <w:rFonts w:ascii="仿宋_GB2312" w:eastAsia="仿宋_GB2312"/>
          <w:sz w:val="32"/>
          <w:szCs w:val="32"/>
          <w:u w:val="none" w:color="auto"/>
          <w:shd w:val="clear" w:fill="auto"/>
        </w:rPr>
        <w:t>31</w:t>
      </w:r>
      <w:r>
        <w:rPr>
          <w:rFonts w:hint="eastAsia" w:ascii="仿宋_GB2312" w:eastAsia="仿宋_GB2312"/>
          <w:sz w:val="32"/>
          <w:szCs w:val="32"/>
          <w:u w:val="none" w:color="auto"/>
          <w:shd w:val="clear" w:fill="auto"/>
        </w:rPr>
        <w:t>日，通江县机关事业单位社会保险局共有车辆0辆，其中：主要领导干部用车0辆、机要通信用车0辆、应急保障用车0辆、其他用车0辆，单价</w:t>
      </w:r>
      <w:r>
        <w:rPr>
          <w:rFonts w:ascii="仿宋_GB2312" w:eastAsia="仿宋_GB2312"/>
          <w:sz w:val="32"/>
          <w:szCs w:val="32"/>
          <w:u w:val="none" w:color="auto"/>
          <w:shd w:val="clear" w:fill="auto"/>
        </w:rPr>
        <w:t>50</w:t>
      </w:r>
      <w:r>
        <w:rPr>
          <w:rFonts w:hint="eastAsia" w:ascii="仿宋_GB2312" w:eastAsia="仿宋_GB2312"/>
          <w:sz w:val="32"/>
          <w:szCs w:val="32"/>
          <w:u w:val="none" w:color="auto"/>
          <w:shd w:val="clear" w:fill="auto"/>
        </w:rPr>
        <w:t>万元以上通用设备0台（套），单价</w:t>
      </w:r>
      <w:r>
        <w:rPr>
          <w:rFonts w:ascii="仿宋_GB2312" w:eastAsia="仿宋_GB2312"/>
          <w:sz w:val="32"/>
          <w:szCs w:val="32"/>
          <w:u w:val="none" w:color="auto"/>
          <w:shd w:val="clear" w:fill="auto"/>
        </w:rPr>
        <w:t>100</w:t>
      </w:r>
      <w:r>
        <w:rPr>
          <w:rFonts w:hint="eastAsia" w:ascii="仿宋_GB2312" w:eastAsia="仿宋_GB2312"/>
          <w:sz w:val="32"/>
          <w:szCs w:val="32"/>
          <w:u w:val="none" w:color="auto"/>
          <w:shd w:val="clear" w:fill="auto"/>
        </w:rPr>
        <w:t>万元以上专用设备0台（套）。</w:t>
      </w:r>
    </w:p>
    <w:p>
      <w:pPr>
        <w:autoSpaceDE w:val="0"/>
        <w:autoSpaceDN w:val="0"/>
        <w:adjustRightInd w:val="0"/>
        <w:spacing w:line="600" w:lineRule="exact"/>
        <w:ind w:firstLine="643" w:firstLineChars="200"/>
        <w:jc w:val="left"/>
        <w:outlineLvl w:val="2"/>
        <w:rPr>
          <w:rFonts w:ascii="仿宋_GB2312" w:hAnsi="仿宋" w:eastAsia="仿宋_GB2312"/>
          <w:b/>
          <w:sz w:val="32"/>
          <w:szCs w:val="32"/>
          <w:u w:val="none" w:color="auto"/>
          <w:shd w:val="clear" w:fill="auto"/>
        </w:rPr>
      </w:pPr>
      <w:r>
        <w:rPr>
          <w:rFonts w:hint="eastAsia" w:ascii="仿宋_GB2312" w:hAnsi="仿宋" w:eastAsia="仿宋_GB2312"/>
          <w:b/>
          <w:sz w:val="32"/>
          <w:szCs w:val="32"/>
          <w:u w:val="none" w:color="auto"/>
          <w:shd w:val="clear" w:fill="auto"/>
        </w:rPr>
        <w:t>（四）预算绩效管理情况</w:t>
      </w:r>
    </w:p>
    <w:p>
      <w:pPr>
        <w:spacing w:line="580" w:lineRule="exact"/>
        <w:ind w:firstLine="640" w:firstLineChars="200"/>
        <w:rPr>
          <w:rFonts w:ascii="仿宋_GB2312" w:hAnsi="仿宋_GB2312" w:eastAsia="仿宋_GB2312" w:cs="仿宋_GB2312"/>
          <w:sz w:val="32"/>
          <w:szCs w:val="32"/>
          <w:u w:val="none" w:color="auto"/>
          <w:shd w:val="clear" w:fill="auto"/>
        </w:rPr>
      </w:pPr>
      <w:r>
        <w:rPr>
          <w:rFonts w:hint="eastAsia" w:ascii="仿宋_GB2312" w:hAnsi="仿宋_GB2312" w:eastAsia="仿宋_GB2312" w:cs="仿宋_GB2312"/>
          <w:sz w:val="32"/>
          <w:szCs w:val="32"/>
          <w:u w:val="none" w:color="auto"/>
          <w:shd w:val="clear" w:fill="auto"/>
        </w:rPr>
        <w:t>根据预算绩效管理要求，本单位在2021年度预算编制阶段，组织对专项工作经费项目等3个项目开展了预算事前绩效评估，对3个项目编制了绩效目标，预算执行过程中，选取3个项目开展绩效监控，年终执行完毕后，对3个项目开展了绩效自评，2021年特定目标类部门预算项目绩效目标自评表见附件（第四部分）。</w:t>
      </w:r>
    </w:p>
    <w:p>
      <w:pPr>
        <w:pStyle w:val="3"/>
        <w:spacing w:before="93"/>
        <w:rPr>
          <w:highlight w:val="yellow"/>
          <w:u w:val="none" w:color="auto"/>
          <w:shd w:val="clear" w:fill="auto"/>
        </w:rPr>
      </w:pPr>
    </w:p>
    <w:p>
      <w:pPr>
        <w:widowControl/>
        <w:jc w:val="left"/>
        <w:rPr>
          <w:rFonts w:ascii="仿宋_GB2312" w:eastAsia="仿宋_GB2312"/>
          <w:b/>
          <w:sz w:val="32"/>
          <w:szCs w:val="32"/>
          <w:u w:val="none" w:color="auto"/>
          <w:shd w:val="clear" w:fill="auto"/>
        </w:rPr>
      </w:pPr>
      <w:r>
        <w:rPr>
          <w:u w:val="none" w:color="auto"/>
          <w:shd w:val="clear" w:fill="auto"/>
        </w:rPr>
        <w:br w:type="page"/>
      </w:r>
    </w:p>
    <w:p>
      <w:pPr>
        <w:numPr>
          <w:ilvl w:val="0"/>
          <w:numId w:val="3"/>
        </w:numPr>
        <w:spacing w:line="600" w:lineRule="exact"/>
        <w:ind w:firstLine="660" w:firstLineChars="150"/>
        <w:jc w:val="center"/>
        <w:outlineLvl w:val="0"/>
        <w:rPr>
          <w:rStyle w:val="29"/>
          <w:rFonts w:ascii="黑体" w:hAnsi="黑体" w:eastAsia="黑体"/>
          <w:b w:val="0"/>
          <w:u w:val="none" w:color="auto"/>
          <w:shd w:val="clear" w:fill="auto"/>
        </w:rPr>
      </w:pPr>
      <w:bookmarkStart w:id="70" w:name="_Toc20293"/>
      <w:bookmarkStart w:id="71" w:name="_Toc15396613"/>
      <w:bookmarkStart w:id="72" w:name="_Toc15377225"/>
      <w:r>
        <w:rPr>
          <w:rFonts w:hint="eastAsia" w:ascii="黑体" w:hAnsi="黑体" w:eastAsia="黑体"/>
          <w:sz w:val="44"/>
          <w:szCs w:val="44"/>
          <w:u w:val="none" w:color="auto"/>
          <w:shd w:val="clear" w:fill="auto"/>
        </w:rPr>
        <w:t>名</w:t>
      </w:r>
      <w:r>
        <w:rPr>
          <w:rStyle w:val="29"/>
          <w:rFonts w:hint="eastAsia" w:ascii="黑体" w:hAnsi="黑体" w:eastAsia="黑体"/>
          <w:b w:val="0"/>
          <w:u w:val="none" w:color="auto"/>
          <w:shd w:val="clear" w:fill="auto"/>
        </w:rPr>
        <w:t>词解释</w:t>
      </w:r>
      <w:bookmarkEnd w:id="70"/>
      <w:bookmarkEnd w:id="71"/>
      <w:bookmarkEnd w:id="72"/>
    </w:p>
    <w:p>
      <w:pPr>
        <w:spacing w:line="600" w:lineRule="exact"/>
        <w:jc w:val="left"/>
        <w:rPr>
          <w:rFonts w:ascii="宋体"/>
          <w:b/>
          <w:sz w:val="44"/>
          <w:szCs w:val="44"/>
          <w:u w:val="none" w:color="auto"/>
          <w:shd w:val="clear" w:fill="auto"/>
        </w:rPr>
      </w:pP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1.</w:t>
      </w:r>
      <w:r>
        <w:rPr>
          <w:rFonts w:hint="eastAsia" w:ascii="仿宋_GB2312" w:eastAsia="仿宋_GB2312"/>
          <w:color w:val="auto"/>
          <w:sz w:val="32"/>
          <w:szCs w:val="32"/>
          <w:u w:val="none" w:color="auto"/>
          <w:shd w:val="clear" w:fill="auto"/>
        </w:rPr>
        <w:t>财政拨款收入：指单位从同级财政部门取得的财政预算资金。</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2.</w:t>
      </w:r>
      <w:r>
        <w:rPr>
          <w:rFonts w:hint="eastAsia" w:ascii="仿宋_GB2312" w:eastAsia="仿宋_GB2312"/>
          <w:color w:val="auto"/>
          <w:sz w:val="32"/>
          <w:szCs w:val="32"/>
          <w:u w:val="none" w:color="auto"/>
          <w:shd w:val="clear" w:fill="auto"/>
        </w:rPr>
        <w:t>事业收入：指事业单位开展专业业务活动及辅助活动取得的收入。</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3.</w:t>
      </w:r>
      <w:r>
        <w:rPr>
          <w:rFonts w:hint="eastAsia" w:ascii="仿宋_GB2312" w:eastAsia="仿宋_GB2312"/>
          <w:color w:val="auto"/>
          <w:sz w:val="32"/>
          <w:szCs w:val="32"/>
          <w:u w:val="none" w:color="auto"/>
          <w:shd w:val="clear" w:fill="auto"/>
        </w:rPr>
        <w:t>经营收入：指事业单位在专业业务活动及其辅助活动之外开展非独立核算经营活动取得的收入。</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4.</w:t>
      </w:r>
      <w:r>
        <w:rPr>
          <w:rFonts w:hint="eastAsia" w:ascii="仿宋_GB2312" w:eastAsia="仿宋_GB2312"/>
          <w:color w:val="auto"/>
          <w:sz w:val="32"/>
          <w:szCs w:val="32"/>
          <w:u w:val="none" w:color="auto"/>
          <w:shd w:val="clear" w:fill="auto"/>
        </w:rPr>
        <w:t>其他收入：指单位取得的除上述收入以外的各项收入。</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5.</w:t>
      </w:r>
      <w:r>
        <w:rPr>
          <w:rFonts w:hint="eastAsia" w:ascii="仿宋_GB2312" w:eastAsia="仿宋_GB2312"/>
          <w:color w:val="auto"/>
          <w:sz w:val="32"/>
          <w:szCs w:val="32"/>
          <w:u w:val="none" w:color="auto"/>
          <w:shd w:val="clear" w:fill="auto"/>
        </w:rPr>
        <w:t>使用非财政拨款结余：指事业单位使用以前年度积累的非财政拨款结余弥补当年收支差额的金额。</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6.</w:t>
      </w:r>
      <w:r>
        <w:rPr>
          <w:rFonts w:hint="eastAsia" w:ascii="仿宋_GB2312" w:eastAsia="仿宋_GB2312"/>
          <w:color w:val="auto"/>
          <w:sz w:val="32"/>
          <w:szCs w:val="32"/>
          <w:u w:val="none" w:color="auto"/>
          <w:shd w:val="clear" w:fill="auto"/>
        </w:rPr>
        <w:t>年初结转和结余：指以前年度尚未完成、结转到</w:t>
      </w:r>
      <w:r>
        <w:rPr>
          <w:rFonts w:hint="eastAsia" w:ascii="仿宋_GB2312" w:eastAsia="仿宋_GB2312"/>
          <w:color w:val="auto"/>
          <w:sz w:val="32"/>
          <w:szCs w:val="32"/>
          <w:u w:val="none" w:color="auto"/>
          <w:shd w:val="clear" w:fill="auto"/>
          <w:lang w:eastAsia="zh-CN"/>
        </w:rPr>
        <w:t>本年度</w:t>
      </w:r>
      <w:r>
        <w:rPr>
          <w:rFonts w:hint="eastAsia" w:ascii="仿宋_GB2312" w:eastAsia="仿宋_GB2312"/>
          <w:color w:val="auto"/>
          <w:sz w:val="32"/>
          <w:szCs w:val="32"/>
          <w:u w:val="none" w:color="auto"/>
          <w:shd w:val="clear" w:fill="auto"/>
          <w:lang w:val="en-US" w:eastAsia="zh-CN"/>
        </w:rPr>
        <w:t>按</w:t>
      </w:r>
      <w:r>
        <w:rPr>
          <w:rFonts w:hint="eastAsia" w:ascii="仿宋_GB2312" w:eastAsia="仿宋_GB2312"/>
          <w:color w:val="auto"/>
          <w:sz w:val="32"/>
          <w:szCs w:val="32"/>
          <w:u w:val="none" w:color="auto"/>
          <w:shd w:val="clear" w:fill="auto"/>
        </w:rPr>
        <w:t>有关规定继续使用的资金。</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7.</w:t>
      </w:r>
      <w:r>
        <w:rPr>
          <w:rFonts w:hint="eastAsia" w:ascii="仿宋_GB2312" w:eastAsia="仿宋_GB2312"/>
          <w:color w:val="auto"/>
          <w:sz w:val="32"/>
          <w:szCs w:val="32"/>
          <w:u w:val="none" w:color="auto"/>
          <w:shd w:val="clear" w:fill="auto"/>
        </w:rPr>
        <w:t>结余分配：指事业单位按照会计制度规定缴纳的所得税、提取的专用结余以及转入非财政拨款结余的金额等。</w:t>
      </w:r>
    </w:p>
    <w:p>
      <w:pPr>
        <w:pStyle w:val="27"/>
        <w:spacing w:line="560" w:lineRule="exact"/>
        <w:ind w:firstLine="640" w:firstLineChars="200"/>
        <w:rPr>
          <w:rFonts w:ascii="仿宋_GB2312" w:eastAsia="仿宋_GB2312"/>
          <w:color w:val="auto"/>
          <w:sz w:val="32"/>
          <w:szCs w:val="32"/>
          <w:u w:val="none" w:color="auto"/>
          <w:shd w:val="clear" w:fill="auto"/>
        </w:rPr>
      </w:pPr>
      <w:r>
        <w:rPr>
          <w:rFonts w:ascii="仿宋_GB2312" w:eastAsia="仿宋_GB2312"/>
          <w:color w:val="auto"/>
          <w:sz w:val="32"/>
          <w:szCs w:val="32"/>
          <w:u w:val="none" w:color="auto"/>
          <w:shd w:val="clear" w:fill="auto"/>
        </w:rPr>
        <w:t>8</w:t>
      </w:r>
      <w:r>
        <w:rPr>
          <w:rFonts w:hint="eastAsia" w:ascii="仿宋_GB2312" w:eastAsia="仿宋_GB2312"/>
          <w:color w:val="auto"/>
          <w:sz w:val="32"/>
          <w:szCs w:val="32"/>
          <w:u w:val="none" w:color="auto"/>
          <w:shd w:val="clear" w:fill="auto"/>
        </w:rPr>
        <w:t>、年末结转和结余：指单位按有关规定结转到下年或以后年度继续使用的资金。</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9.社会保障和就业支出（类）人力资源和社会保障管理事务（款）社保经办机构（项）: 反映社会保险经办机构开展业务工作的支出。</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10.社会保障和就业支出（类）人力资源和社会保障管理事务（款）其他人力资源和社会保障管理事务支出（项）:</w:t>
      </w:r>
    </w:p>
    <w:p>
      <w:pPr>
        <w:pStyle w:val="27"/>
        <w:spacing w:line="560" w:lineRule="exact"/>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反映除人力资源和社会保障管理事务、行政运行和一般行政管理事务等项目以外其他用于人力资源和社会保障管理事务方面的支出。</w:t>
      </w:r>
    </w:p>
    <w:p>
      <w:pPr>
        <w:pStyle w:val="27"/>
        <w:numPr>
          <w:ilvl w:val="0"/>
          <w:numId w:val="4"/>
        </w:numPr>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社会保障和就业支出（类）行政事业单位养老支出（款）行政单位离退休经费（项）: 反映行政单位（包括实行公务员管理的事业单位）开支的离退休经费。</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12.社会保障和就业支出（类）行政事业单位养老支出（款）机关事业单位基本养老保险缴费支出（项）: 反映机关事业单位实施养老保险制度由单位缴纳的基本养老保险费支出。</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13.社会保障和就业支出（类）行政事业单位养老支出（款）机关事业单位职业年金缴费支出（项）: 反映机关事业单位实施养老保险制度由单位实际缴纳的职业年金支出。</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14.社会保障和就业支出（类）就业补助（款）就业见习补贴（项）: 反映财政对高校毕业生就业见习基本生活费给予的补贴支出。</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15.社会保障和</w:t>
      </w:r>
      <w:r>
        <w:rPr>
          <w:rFonts w:hint="eastAsia" w:ascii="仿宋_GB2312" w:eastAsia="仿宋_GB2312"/>
          <w:color w:val="auto"/>
          <w:sz w:val="32"/>
          <w:szCs w:val="32"/>
          <w:u w:val="thick" w:color="FFB23A"/>
          <w:shd w:val="clear" w:fill="FFEFD8"/>
        </w:rPr>
        <w:t>就业</w:t>
      </w:r>
      <w:r>
        <w:rPr>
          <w:rFonts w:hint="eastAsia" w:ascii="仿宋_GB2312" w:eastAsia="仿宋_GB2312"/>
          <w:color w:val="auto"/>
          <w:sz w:val="32"/>
          <w:szCs w:val="32"/>
          <w:u w:val="none" w:color="auto"/>
          <w:shd w:val="clear" w:fill="auto"/>
        </w:rPr>
        <w:t>支出（类）就业补助（款）其他就业补助支出（项）: 反映除就业创业服务补贴、职业培训补贴和社会保险补贴等项目以外按规定确定的其他用于促进就业的补助支出。</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16.卫生健康支出（类）行政事业单位医疗（款）行政单位医疗（项）: 反映财政部门安排的行政单位（包括实行公务员管理的事业单位，下同）基本医疗保险缴费经费，未参加医疗保险的行政单位的公费医疗经费，按国家规定享受离休人员、红军老战士待遇人员的医疗经费。</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17.卫生健康支出（类）行政事业单位医疗（款）事业单位医疗（项）: 反映财政部门安排的事业单位基本医疗保险缴费经费，未参加医疗保险的事业单位的公费医疗经费，按国家规定享受离休人员待遇的医疗经费。</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18.卫生健康支出（类）行政事业单位医疗补助（款）公务员医疗补助（项）: 反映财政部门安排的公务员医疗补助经费。</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19.农林水支出（类）扶贫（款）其他扶贫支出（项）:反映除生产发展、社会发展和扶贫贷款奖补和贴息等项目以外其他用于扶贫方面的支出。</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20.住房保障支出（类）住房改革支出（款）住房公积金（项）: 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w:t>
      </w:r>
      <w:r>
        <w:rPr>
          <w:rFonts w:hint="eastAsia" w:ascii="仿宋_GB2312" w:eastAsia="仿宋_GB2312"/>
          <w:sz w:val="32"/>
          <w:szCs w:val="32"/>
          <w:u w:val="none" w:color="auto"/>
          <w:shd w:val="clear" w:fill="auto"/>
        </w:rPr>
        <w:t>1</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基本支出：指为保障机构正常运转、完成日常工作任务而发生的人员支出和公用支出。</w:t>
      </w:r>
    </w:p>
    <w:p>
      <w:pPr>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w:t>
      </w:r>
      <w:r>
        <w:rPr>
          <w:rFonts w:hint="eastAsia" w:ascii="仿宋_GB2312" w:eastAsia="仿宋_GB2312"/>
          <w:sz w:val="32"/>
          <w:szCs w:val="32"/>
          <w:u w:val="none" w:color="auto"/>
          <w:shd w:val="clear" w:fill="auto"/>
        </w:rPr>
        <w:t>2</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项目支出：指在基本支出之外为完成特定行政任务和事业发展目标所发生的支出。</w:t>
      </w:r>
    </w:p>
    <w:p>
      <w:pPr>
        <w:ind w:firstLine="640" w:firstLineChars="200"/>
        <w:rPr>
          <w:rFonts w:ascii="仿宋_GB2312" w:eastAsia="仿宋_GB2312"/>
          <w:sz w:val="32"/>
          <w:szCs w:val="32"/>
          <w:u w:val="none" w:color="auto"/>
          <w:shd w:val="clear" w:fill="auto"/>
        </w:rPr>
      </w:pPr>
      <w:r>
        <w:rPr>
          <w:rFonts w:ascii="仿宋_GB2312" w:eastAsia="仿宋_GB2312"/>
          <w:sz w:val="32"/>
          <w:szCs w:val="32"/>
          <w:u w:val="none" w:color="auto"/>
          <w:shd w:val="clear" w:fill="auto"/>
        </w:rPr>
        <w:t>2</w:t>
      </w:r>
      <w:r>
        <w:rPr>
          <w:rFonts w:hint="eastAsia" w:ascii="仿宋_GB2312" w:eastAsia="仿宋_GB2312"/>
          <w:sz w:val="32"/>
          <w:szCs w:val="32"/>
          <w:u w:val="none" w:color="auto"/>
          <w:shd w:val="clear" w:fill="auto"/>
        </w:rPr>
        <w:t>3</w:t>
      </w:r>
      <w:r>
        <w:rPr>
          <w:rFonts w:ascii="仿宋_GB2312" w:eastAsia="仿宋_GB2312"/>
          <w:sz w:val="32"/>
          <w:szCs w:val="32"/>
          <w:u w:val="none" w:color="auto"/>
          <w:shd w:val="clear" w:fill="auto"/>
        </w:rPr>
        <w:t>.</w:t>
      </w:r>
      <w:r>
        <w:rPr>
          <w:rFonts w:hint="eastAsia" w:ascii="仿宋_GB2312" w:eastAsia="仿宋_GB2312"/>
          <w:sz w:val="32"/>
          <w:szCs w:val="32"/>
          <w:u w:val="none" w:color="auto"/>
          <w:shd w:val="clear" w:fill="auto"/>
        </w:rPr>
        <w:t>经营支出：指事业单位在专业业务活动及其辅助活动之外开展非独立核算经营活动发生的支出。</w:t>
      </w:r>
    </w:p>
    <w:p>
      <w:pPr>
        <w:pStyle w:val="27"/>
        <w:spacing w:line="560" w:lineRule="exact"/>
        <w:ind w:firstLine="640" w:firstLineChars="200"/>
        <w:rPr>
          <w:rFonts w:ascii="仿宋_GB2312" w:eastAsia="仿宋_GB2312"/>
          <w:color w:val="auto"/>
          <w:sz w:val="32"/>
          <w:szCs w:val="32"/>
          <w:u w:val="none" w:color="auto"/>
          <w:shd w:val="clear" w:fill="auto"/>
        </w:rPr>
      </w:pPr>
      <w:r>
        <w:rPr>
          <w:rFonts w:hint="eastAsia" w:ascii="仿宋_GB2312" w:eastAsia="仿宋_GB2312"/>
          <w:color w:val="auto"/>
          <w:sz w:val="32"/>
          <w:szCs w:val="32"/>
          <w:u w:val="none" w:color="auto"/>
          <w:shd w:val="clear" w:fill="auto"/>
        </w:rPr>
        <w:t>24</w:t>
      </w:r>
      <w:r>
        <w:rPr>
          <w:rFonts w:ascii="仿宋_GB2312" w:eastAsia="仿宋_GB2312"/>
          <w:color w:val="auto"/>
          <w:sz w:val="32"/>
          <w:szCs w:val="32"/>
          <w:u w:val="none" w:color="auto"/>
          <w:shd w:val="clear" w:fill="auto"/>
        </w:rPr>
        <w:t>.</w:t>
      </w:r>
      <w:r>
        <w:rPr>
          <w:rFonts w:hint="eastAsia" w:ascii="仿宋_GB2312" w:eastAsia="仿宋_GB2312"/>
          <w:color w:val="auto"/>
          <w:sz w:val="32"/>
          <w:szCs w:val="32"/>
          <w:u w:val="none" w:color="auto"/>
          <w:shd w:val="clear" w:fill="auto"/>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7"/>
        <w:spacing w:line="560" w:lineRule="exact"/>
        <w:ind w:firstLine="640" w:firstLineChars="200"/>
        <w:rPr>
          <w:rFonts w:ascii="仿宋_GB2312" w:eastAsia="仿宋_GB2312" w:cs="黑体"/>
          <w:color w:val="auto"/>
          <w:sz w:val="32"/>
          <w:szCs w:val="32"/>
          <w:u w:val="none" w:color="auto"/>
          <w:shd w:val="clear" w:fill="auto"/>
        </w:rPr>
      </w:pPr>
      <w:r>
        <w:rPr>
          <w:rFonts w:hint="eastAsia" w:ascii="仿宋_GB2312" w:eastAsia="仿宋_GB2312"/>
          <w:color w:val="auto"/>
          <w:sz w:val="32"/>
          <w:szCs w:val="32"/>
          <w:u w:val="none" w:color="auto"/>
          <w:shd w:val="clear" w:fill="auto"/>
        </w:rPr>
        <w:t>25</w:t>
      </w:r>
      <w:r>
        <w:rPr>
          <w:rFonts w:ascii="仿宋_GB2312" w:eastAsia="仿宋_GB2312"/>
          <w:color w:val="auto"/>
          <w:sz w:val="32"/>
          <w:szCs w:val="32"/>
          <w:u w:val="none" w:color="auto"/>
          <w:shd w:val="clear" w:fill="auto"/>
        </w:rPr>
        <w:t>.</w:t>
      </w:r>
      <w:r>
        <w:rPr>
          <w:rFonts w:hint="eastAsia" w:ascii="仿宋_GB2312" w:eastAsia="仿宋_GB2312"/>
          <w:color w:val="auto"/>
          <w:sz w:val="32"/>
          <w:szCs w:val="32"/>
          <w:u w:val="none" w:color="auto"/>
          <w:shd w:val="clear" w:fill="auto"/>
        </w:rPr>
        <w:t>机关运行经费：为保障行政单位（含参照公务员法管理的事业单位）运行用于购买货物和服务的各项资金，包括：办公费、印刷费、水费、电费、邮电费、物业管理费、差旅费、会议费、培训费、公务接待费、劳务费、工会经费、福利费、其他交通费用、其他商品和服务支出。</w:t>
      </w:r>
    </w:p>
    <w:p>
      <w:pPr>
        <w:spacing w:line="600" w:lineRule="exact"/>
        <w:jc w:val="center"/>
        <w:outlineLvl w:val="0"/>
        <w:rPr>
          <w:rStyle w:val="29"/>
          <w:rFonts w:ascii="黑体" w:hAnsi="黑体" w:eastAsia="黑体"/>
          <w:b w:val="0"/>
          <w:u w:val="none" w:color="auto"/>
          <w:shd w:val="clear" w:fill="auto"/>
        </w:rPr>
      </w:pPr>
      <w:bookmarkStart w:id="73" w:name="_Toc15377226"/>
      <w:r>
        <w:rPr>
          <w:u w:val="none" w:color="auto"/>
          <w:shd w:val="clear" w:fill="auto"/>
        </w:rPr>
        <w:br w:type="page"/>
      </w:r>
      <w:bookmarkStart w:id="74" w:name="_Toc27303"/>
      <w:bookmarkStart w:id="75" w:name="_Toc15396614"/>
      <w:r>
        <w:rPr>
          <w:rFonts w:hint="eastAsia" w:ascii="黑体" w:hAnsi="黑体" w:eastAsia="黑体"/>
          <w:sz w:val="44"/>
          <w:szCs w:val="44"/>
          <w:u w:val="none" w:color="auto"/>
          <w:shd w:val="clear" w:fill="auto"/>
        </w:rPr>
        <w:t>第</w:t>
      </w:r>
      <w:r>
        <w:rPr>
          <w:rStyle w:val="29"/>
          <w:rFonts w:hint="eastAsia" w:ascii="黑体" w:hAnsi="黑体" w:eastAsia="黑体"/>
          <w:b w:val="0"/>
          <w:u w:val="none" w:color="auto"/>
          <w:shd w:val="clear" w:fill="auto"/>
        </w:rPr>
        <w:t>四部分</w:t>
      </w:r>
      <w:r>
        <w:rPr>
          <w:rStyle w:val="29"/>
          <w:rFonts w:hint="eastAsia" w:ascii="黑体" w:hAnsi="黑体" w:eastAsia="黑体"/>
          <w:b w:val="0"/>
          <w:u w:val="none" w:color="auto"/>
          <w:shd w:val="clear" w:fill="auto"/>
          <w:lang w:val="en-US" w:eastAsia="zh-CN"/>
        </w:rPr>
        <w:t xml:space="preserve"> </w:t>
      </w:r>
      <w:r>
        <w:rPr>
          <w:rStyle w:val="29"/>
          <w:rFonts w:hint="eastAsia" w:ascii="黑体" w:hAnsi="黑体" w:eastAsia="黑体"/>
          <w:b w:val="0"/>
          <w:u w:val="none" w:color="auto"/>
          <w:shd w:val="clear" w:fill="auto"/>
        </w:rPr>
        <w:t>附件</w:t>
      </w:r>
      <w:bookmarkEnd w:id="74"/>
      <w:bookmarkEnd w:id="75"/>
    </w:p>
    <w:tbl>
      <w:tblPr>
        <w:tblStyle w:val="7"/>
        <w:tblpPr w:leftFromText="180" w:rightFromText="180" w:vertAnchor="text" w:horzAnchor="page" w:tblpX="1437" w:tblpY="669"/>
        <w:tblOverlap w:val="never"/>
        <w:tblW w:w="9817" w:type="dxa"/>
        <w:tblInd w:w="0" w:type="dxa"/>
        <w:tblLayout w:type="fixed"/>
        <w:tblCellMar>
          <w:top w:w="0" w:type="dxa"/>
          <w:left w:w="108" w:type="dxa"/>
          <w:bottom w:w="0" w:type="dxa"/>
          <w:right w:w="108" w:type="dxa"/>
        </w:tblCellMar>
      </w:tblPr>
      <w:tblGrid>
        <w:gridCol w:w="923"/>
        <w:gridCol w:w="1233"/>
        <w:gridCol w:w="1977"/>
        <w:gridCol w:w="1717"/>
        <w:gridCol w:w="1767"/>
        <w:gridCol w:w="1960"/>
        <w:gridCol w:w="240"/>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u w:val="none" w:color="auto"/>
                <w:shd w:val="clear" w:fill="auto"/>
              </w:rPr>
            </w:pPr>
            <w:r>
              <w:rPr>
                <w:rFonts w:hint="eastAsia" w:ascii="宋体" w:hAnsi="宋体" w:cs="宋体"/>
                <w:b/>
                <w:sz w:val="32"/>
                <w:szCs w:val="32"/>
                <w:u w:val="none" w:color="auto"/>
                <w:shd w:val="clear" w:fill="auto"/>
              </w:rPr>
              <w:t>2021年通江县环保局专项工作经费项目绩效目标自评</w:t>
            </w:r>
          </w:p>
        </w:tc>
        <w:tc>
          <w:tcPr>
            <w:tcW w:w="240"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u w:val="none" w:color="auto"/>
                <w:shd w:val="clear" w:fill="auto"/>
              </w:rPr>
            </w:pPr>
          </w:p>
        </w:tc>
      </w:tr>
      <w:tr>
        <w:tblPrEx>
          <w:tblCellMar>
            <w:top w:w="0" w:type="dxa"/>
            <w:left w:w="108" w:type="dxa"/>
            <w:bottom w:w="0" w:type="dxa"/>
            <w:right w:w="108" w:type="dxa"/>
          </w:tblCellMar>
        </w:tblPrEx>
        <w:trPr>
          <w:gridAfter w:val="1"/>
          <w:wAfter w:w="240" w:type="dxa"/>
          <w:trHeight w:val="646" w:hRule="atLeast"/>
        </w:trPr>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主管部门及代码</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通江县人力资源和社会保障局 547005</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实施单位</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通江县机关事业单位社会保险局</w:t>
            </w:r>
          </w:p>
        </w:tc>
      </w:tr>
      <w:tr>
        <w:tblPrEx>
          <w:tblCellMar>
            <w:top w:w="0" w:type="dxa"/>
            <w:left w:w="108" w:type="dxa"/>
            <w:bottom w:w="0" w:type="dxa"/>
            <w:right w:w="108" w:type="dxa"/>
          </w:tblCellMar>
        </w:tblPrEx>
        <w:trPr>
          <w:gridAfter w:val="1"/>
          <w:wAfter w:w="240" w:type="dxa"/>
          <w:trHeight w:val="341" w:hRule="atLeast"/>
        </w:trPr>
        <w:tc>
          <w:tcPr>
            <w:tcW w:w="21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项目预算</w:t>
            </w:r>
          </w:p>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执行情况</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（万元）</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预算数：</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8.0万元</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执行数：</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8.0万元</w:t>
            </w:r>
          </w:p>
        </w:tc>
      </w:tr>
      <w:tr>
        <w:tblPrEx>
          <w:tblCellMar>
            <w:top w:w="0" w:type="dxa"/>
            <w:left w:w="108" w:type="dxa"/>
            <w:bottom w:w="0" w:type="dxa"/>
            <w:right w:w="108" w:type="dxa"/>
          </w:tblCellMar>
        </w:tblPrEx>
        <w:trPr>
          <w:gridAfter w:val="1"/>
          <w:wAfter w:w="240" w:type="dxa"/>
          <w:trHeight w:val="555" w:hRule="atLeast"/>
        </w:trPr>
        <w:tc>
          <w:tcPr>
            <w:tcW w:w="21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8.0万元</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8.0万元</w:t>
            </w:r>
          </w:p>
        </w:tc>
      </w:tr>
      <w:tr>
        <w:tblPrEx>
          <w:tblCellMar>
            <w:top w:w="0" w:type="dxa"/>
            <w:left w:w="108" w:type="dxa"/>
            <w:bottom w:w="0" w:type="dxa"/>
            <w:right w:w="108" w:type="dxa"/>
          </w:tblCellMar>
        </w:tblPrEx>
        <w:trPr>
          <w:gridAfter w:val="1"/>
          <w:wAfter w:w="240" w:type="dxa"/>
          <w:trHeight w:val="341" w:hRule="atLeast"/>
        </w:trPr>
        <w:tc>
          <w:tcPr>
            <w:tcW w:w="21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r>
      <w:tr>
        <w:tblPrEx>
          <w:tblCellMar>
            <w:top w:w="0" w:type="dxa"/>
            <w:left w:w="108" w:type="dxa"/>
            <w:bottom w:w="0" w:type="dxa"/>
            <w:right w:w="108" w:type="dxa"/>
          </w:tblCellMar>
        </w:tblPrEx>
        <w:trPr>
          <w:gridAfter w:val="1"/>
          <w:wAfter w:w="240" w:type="dxa"/>
          <w:trHeight w:val="217" w:hRule="atLeast"/>
        </w:trPr>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年度总体目标</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完成情况</w:t>
            </w:r>
          </w:p>
        </w:tc>
        <w:tc>
          <w:tcPr>
            <w:tcW w:w="4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预期目标</w:t>
            </w:r>
          </w:p>
        </w:tc>
        <w:tc>
          <w:tcPr>
            <w:tcW w:w="3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40" w:type="dxa"/>
          <w:trHeight w:val="1593"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4927"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1、开展机关事业单位社会保险及职业年金征缴，养老待遇发放等工作宣传及开展，做到全县360个机关事业单位及全县机关事业单位工作人员参保全覆盖；2、全县退休人员6658人每月按时领取养老待遇</w:t>
            </w:r>
            <w:r>
              <w:rPr>
                <w:u w:val="none" w:color="auto"/>
                <w:shd w:val="clear" w:fill="auto"/>
              </w:rPr>
              <w:t>。</w:t>
            </w:r>
          </w:p>
        </w:tc>
        <w:tc>
          <w:tcPr>
            <w:tcW w:w="372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1、按时按质完成2021年度职业年金及养老保险征缴，做到全县360个机关事业单位及全县机关事业单位工作人员参保全覆盖</w:t>
            </w:r>
            <w:r>
              <w:rPr>
                <w:u w:val="none" w:color="auto"/>
                <w:shd w:val="clear" w:fill="auto"/>
              </w:rPr>
              <w:t>。</w:t>
            </w:r>
          </w:p>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2、全县退休人员6658人每月按时领取养老待遇</w:t>
            </w:r>
          </w:p>
        </w:tc>
      </w:tr>
      <w:tr>
        <w:tblPrEx>
          <w:tblCellMar>
            <w:top w:w="0" w:type="dxa"/>
            <w:left w:w="108" w:type="dxa"/>
            <w:bottom w:w="0" w:type="dxa"/>
            <w:right w:w="108" w:type="dxa"/>
          </w:tblCellMar>
        </w:tblPrEx>
        <w:trPr>
          <w:gridAfter w:val="1"/>
          <w:wAfter w:w="240" w:type="dxa"/>
          <w:trHeight w:val="693" w:hRule="atLeast"/>
        </w:trPr>
        <w:tc>
          <w:tcPr>
            <w:tcW w:w="92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年度绩效指标完成情况</w:t>
            </w:r>
          </w:p>
        </w:tc>
        <w:tc>
          <w:tcPr>
            <w:tcW w:w="1233"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一级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二级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三级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预期指标值</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实际完成指标值</w:t>
            </w:r>
          </w:p>
        </w:tc>
      </w:tr>
      <w:tr>
        <w:tblPrEx>
          <w:tblCellMar>
            <w:top w:w="0" w:type="dxa"/>
            <w:left w:w="108" w:type="dxa"/>
            <w:bottom w:w="0" w:type="dxa"/>
            <w:right w:w="108" w:type="dxa"/>
          </w:tblCellMar>
        </w:tblPrEx>
        <w:trPr>
          <w:gridAfter w:val="1"/>
          <w:wAfter w:w="240" w:type="dxa"/>
          <w:trHeight w:val="35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完成</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数量指标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参保单位</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360个</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360个</w:t>
            </w:r>
          </w:p>
        </w:tc>
      </w:tr>
      <w:tr>
        <w:tblPrEx>
          <w:tblCellMar>
            <w:top w:w="0" w:type="dxa"/>
            <w:left w:w="108" w:type="dxa"/>
            <w:bottom w:w="0" w:type="dxa"/>
            <w:right w:w="108" w:type="dxa"/>
          </w:tblCellMar>
        </w:tblPrEx>
        <w:trPr>
          <w:gridAfter w:val="1"/>
          <w:wAfter w:w="240" w:type="dxa"/>
          <w:trHeight w:val="35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数量指标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参保人数</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14973人</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14973人</w:t>
            </w:r>
          </w:p>
        </w:tc>
      </w:tr>
      <w:tr>
        <w:tblPrEx>
          <w:tblCellMar>
            <w:top w:w="0" w:type="dxa"/>
            <w:left w:w="108" w:type="dxa"/>
            <w:bottom w:w="0" w:type="dxa"/>
            <w:right w:w="108" w:type="dxa"/>
          </w:tblCellMar>
        </w:tblPrEx>
        <w:trPr>
          <w:gridAfter w:val="1"/>
          <w:wAfter w:w="240" w:type="dxa"/>
          <w:trHeight w:val="323"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数量指标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退休人数</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6658人</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6658人</w:t>
            </w:r>
          </w:p>
        </w:tc>
      </w:tr>
      <w:tr>
        <w:tblPrEx>
          <w:tblCellMar>
            <w:top w:w="0" w:type="dxa"/>
            <w:left w:w="108" w:type="dxa"/>
            <w:bottom w:w="0" w:type="dxa"/>
            <w:right w:w="108" w:type="dxa"/>
          </w:tblCellMar>
        </w:tblPrEx>
        <w:trPr>
          <w:gridAfter w:val="1"/>
          <w:wAfter w:w="240" w:type="dxa"/>
          <w:trHeight w:val="392"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时效指标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本年按期完成</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415"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成本指标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未超过项目预算</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48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效益</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社会效益指标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用人单位工作有序运行</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577"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可持续影响指标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符合国家政策的，继续实施</w:t>
            </w:r>
            <w:r>
              <w:rPr>
                <w:u w:val="none" w:color="auto"/>
                <w:shd w:val="clear" w:fill="auto"/>
              </w:rPr>
              <w:t>。</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37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度指标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满意度指标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参保单位</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373" w:hRule="atLeast"/>
        </w:trPr>
        <w:tc>
          <w:tcPr>
            <w:tcW w:w="92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满意度指标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参保满意度</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bl>
    <w:p>
      <w:pPr>
        <w:pStyle w:val="3"/>
        <w:spacing w:before="93"/>
        <w:rPr>
          <w:rFonts w:ascii="黑体" w:hAnsi="黑体" w:eastAsia="黑体"/>
          <w:sz w:val="44"/>
          <w:szCs w:val="44"/>
          <w:u w:val="none" w:color="auto"/>
          <w:shd w:val="clear" w:fill="auto"/>
        </w:rPr>
      </w:pPr>
      <w:bookmarkStart w:id="76" w:name="_Toc15396618"/>
    </w:p>
    <w:p>
      <w:pPr>
        <w:pStyle w:val="3"/>
        <w:spacing w:before="93"/>
        <w:rPr>
          <w:rFonts w:ascii="黑体" w:hAnsi="黑体" w:eastAsia="黑体"/>
          <w:sz w:val="44"/>
          <w:szCs w:val="44"/>
          <w:u w:val="none" w:color="auto"/>
          <w:shd w:val="clear" w:fill="auto"/>
        </w:rPr>
      </w:pPr>
    </w:p>
    <w:p>
      <w:pPr>
        <w:pStyle w:val="3"/>
        <w:spacing w:before="93"/>
        <w:rPr>
          <w:rFonts w:ascii="黑体" w:hAnsi="黑体" w:eastAsia="黑体"/>
          <w:sz w:val="44"/>
          <w:szCs w:val="44"/>
          <w:u w:val="none" w:color="auto"/>
          <w:shd w:val="clear" w:fill="auto"/>
        </w:rPr>
      </w:pPr>
    </w:p>
    <w:p>
      <w:pPr>
        <w:pStyle w:val="3"/>
        <w:spacing w:before="93"/>
        <w:rPr>
          <w:rFonts w:ascii="黑体" w:hAnsi="黑体" w:eastAsia="黑体"/>
          <w:sz w:val="44"/>
          <w:szCs w:val="44"/>
          <w:u w:val="none" w:color="auto"/>
          <w:shd w:val="clear" w:fill="auto"/>
        </w:rPr>
      </w:pPr>
    </w:p>
    <w:tbl>
      <w:tblPr>
        <w:tblStyle w:val="7"/>
        <w:tblpPr w:leftFromText="180" w:rightFromText="180" w:vertAnchor="text" w:horzAnchor="page" w:tblpX="1437" w:tblpY="669"/>
        <w:tblOverlap w:val="never"/>
        <w:tblW w:w="9817" w:type="dxa"/>
        <w:tblInd w:w="0" w:type="dxa"/>
        <w:tblLayout w:type="fixed"/>
        <w:tblCellMar>
          <w:top w:w="0" w:type="dxa"/>
          <w:left w:w="108" w:type="dxa"/>
          <w:bottom w:w="0" w:type="dxa"/>
          <w:right w:w="108" w:type="dxa"/>
        </w:tblCellMar>
      </w:tblPr>
      <w:tblGrid>
        <w:gridCol w:w="923"/>
        <w:gridCol w:w="1233"/>
        <w:gridCol w:w="1977"/>
        <w:gridCol w:w="1717"/>
        <w:gridCol w:w="1767"/>
        <w:gridCol w:w="1960"/>
        <w:gridCol w:w="240"/>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u w:val="none" w:color="auto"/>
                <w:shd w:val="clear" w:fill="auto"/>
              </w:rPr>
            </w:pPr>
            <w:r>
              <w:rPr>
                <w:rFonts w:hint="eastAsia" w:ascii="宋体" w:hAnsi="宋体" w:cs="宋体"/>
                <w:b/>
                <w:sz w:val="32"/>
                <w:szCs w:val="32"/>
                <w:u w:val="none" w:color="auto"/>
                <w:shd w:val="clear" w:fill="auto"/>
              </w:rPr>
              <w:t>2021年通江县社保局信息平台建设项目绩效目标自评</w:t>
            </w:r>
          </w:p>
        </w:tc>
        <w:tc>
          <w:tcPr>
            <w:tcW w:w="240"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u w:val="none" w:color="auto"/>
                <w:shd w:val="clear" w:fill="auto"/>
              </w:rPr>
            </w:pPr>
          </w:p>
        </w:tc>
      </w:tr>
      <w:tr>
        <w:tblPrEx>
          <w:tblCellMar>
            <w:top w:w="0" w:type="dxa"/>
            <w:left w:w="108" w:type="dxa"/>
            <w:bottom w:w="0" w:type="dxa"/>
            <w:right w:w="108" w:type="dxa"/>
          </w:tblCellMar>
        </w:tblPrEx>
        <w:trPr>
          <w:gridAfter w:val="1"/>
          <w:wAfter w:w="240" w:type="dxa"/>
          <w:trHeight w:val="254" w:hRule="atLeast"/>
        </w:trPr>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主管部门及代码</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通江县人力资源和社会保障局 547005</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实施单位</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通江县机关事业单位社会保险局</w:t>
            </w:r>
          </w:p>
        </w:tc>
      </w:tr>
      <w:tr>
        <w:tblPrEx>
          <w:tblCellMar>
            <w:top w:w="0" w:type="dxa"/>
            <w:left w:w="108" w:type="dxa"/>
            <w:bottom w:w="0" w:type="dxa"/>
            <w:right w:w="108" w:type="dxa"/>
          </w:tblCellMar>
        </w:tblPrEx>
        <w:trPr>
          <w:gridAfter w:val="1"/>
          <w:wAfter w:w="240" w:type="dxa"/>
          <w:trHeight w:val="341" w:hRule="atLeast"/>
        </w:trPr>
        <w:tc>
          <w:tcPr>
            <w:tcW w:w="21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项目预算</w:t>
            </w:r>
          </w:p>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执行情况</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（万元）</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预算数：</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37.2万元</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执行数：</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37.2万元</w:t>
            </w:r>
          </w:p>
        </w:tc>
      </w:tr>
      <w:tr>
        <w:tblPrEx>
          <w:tblCellMar>
            <w:top w:w="0" w:type="dxa"/>
            <w:left w:w="108" w:type="dxa"/>
            <w:bottom w:w="0" w:type="dxa"/>
            <w:right w:w="108" w:type="dxa"/>
          </w:tblCellMar>
        </w:tblPrEx>
        <w:trPr>
          <w:gridAfter w:val="1"/>
          <w:wAfter w:w="240" w:type="dxa"/>
          <w:trHeight w:val="555" w:hRule="atLeast"/>
        </w:trPr>
        <w:tc>
          <w:tcPr>
            <w:tcW w:w="21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37.2万元</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37.2万元</w:t>
            </w:r>
          </w:p>
        </w:tc>
      </w:tr>
      <w:tr>
        <w:tblPrEx>
          <w:tblCellMar>
            <w:top w:w="0" w:type="dxa"/>
            <w:left w:w="108" w:type="dxa"/>
            <w:bottom w:w="0" w:type="dxa"/>
            <w:right w:w="108" w:type="dxa"/>
          </w:tblCellMar>
        </w:tblPrEx>
        <w:trPr>
          <w:gridAfter w:val="1"/>
          <w:wAfter w:w="240" w:type="dxa"/>
          <w:trHeight w:val="341" w:hRule="atLeast"/>
        </w:trPr>
        <w:tc>
          <w:tcPr>
            <w:tcW w:w="21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r>
      <w:tr>
        <w:tblPrEx>
          <w:tblCellMar>
            <w:top w:w="0" w:type="dxa"/>
            <w:left w:w="108" w:type="dxa"/>
            <w:bottom w:w="0" w:type="dxa"/>
            <w:right w:w="108" w:type="dxa"/>
          </w:tblCellMar>
        </w:tblPrEx>
        <w:trPr>
          <w:gridAfter w:val="1"/>
          <w:wAfter w:w="240" w:type="dxa"/>
          <w:trHeight w:val="217" w:hRule="atLeast"/>
        </w:trPr>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年度总体目标</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完成情况</w:t>
            </w:r>
          </w:p>
        </w:tc>
        <w:tc>
          <w:tcPr>
            <w:tcW w:w="4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预期目标</w:t>
            </w:r>
          </w:p>
        </w:tc>
        <w:tc>
          <w:tcPr>
            <w:tcW w:w="3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40" w:type="dxa"/>
          <w:trHeight w:val="1593"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4927"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1、提升机关事业单位社会保险基层服务信息平台建设</w:t>
            </w:r>
            <w:r>
              <w:rPr>
                <w:u w:val="none" w:color="auto"/>
                <w:shd w:val="clear" w:fill="auto"/>
              </w:rPr>
              <w:t>。</w:t>
            </w:r>
          </w:p>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2、提升机关事业单位社会保险基层业务经办服务水平</w:t>
            </w:r>
          </w:p>
        </w:tc>
        <w:tc>
          <w:tcPr>
            <w:tcW w:w="372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实现基层业务经办计算机硬件全覆盖、信息化网络建设有序高效及“内网”与“外网”物理隔离</w:t>
            </w:r>
          </w:p>
        </w:tc>
      </w:tr>
      <w:tr>
        <w:tblPrEx>
          <w:tblCellMar>
            <w:top w:w="0" w:type="dxa"/>
            <w:left w:w="108" w:type="dxa"/>
            <w:bottom w:w="0" w:type="dxa"/>
            <w:right w:w="108" w:type="dxa"/>
          </w:tblCellMar>
        </w:tblPrEx>
        <w:trPr>
          <w:gridAfter w:val="1"/>
          <w:wAfter w:w="240" w:type="dxa"/>
          <w:trHeight w:val="693" w:hRule="atLeast"/>
        </w:trPr>
        <w:tc>
          <w:tcPr>
            <w:tcW w:w="92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年度绩效指标完成情况</w:t>
            </w:r>
          </w:p>
        </w:tc>
        <w:tc>
          <w:tcPr>
            <w:tcW w:w="1233"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一级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二级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三级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预期指标值</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实际完成指标值</w:t>
            </w:r>
          </w:p>
        </w:tc>
      </w:tr>
      <w:tr>
        <w:tblPrEx>
          <w:tblCellMar>
            <w:top w:w="0" w:type="dxa"/>
            <w:left w:w="108" w:type="dxa"/>
            <w:bottom w:w="0" w:type="dxa"/>
            <w:right w:w="108" w:type="dxa"/>
          </w:tblCellMar>
        </w:tblPrEx>
        <w:trPr>
          <w:gridAfter w:val="1"/>
          <w:wAfter w:w="240" w:type="dxa"/>
          <w:trHeight w:val="35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完成</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数量指标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ascii="宋体" w:hAnsi="宋体" w:cs="宋体"/>
                <w:sz w:val="24"/>
                <w:u w:val="none" w:color="auto"/>
                <w:shd w:val="clear" w:fill="auto"/>
              </w:rPr>
              <w:t>常态化工作计算机硬件设备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25台</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25台</w:t>
            </w:r>
          </w:p>
        </w:tc>
      </w:tr>
      <w:tr>
        <w:tblPrEx>
          <w:tblCellMar>
            <w:top w:w="0" w:type="dxa"/>
            <w:left w:w="108" w:type="dxa"/>
            <w:bottom w:w="0" w:type="dxa"/>
            <w:right w:w="108" w:type="dxa"/>
          </w:tblCellMar>
        </w:tblPrEx>
        <w:trPr>
          <w:gridAfter w:val="1"/>
          <w:wAfter w:w="240" w:type="dxa"/>
          <w:trHeight w:val="35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质量指标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实现计算机软硬件设备全覆盖</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323"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质量指标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实现“内外网”物理隔离</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392"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时效指标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本年按期完成</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415"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成本指标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未超过项目预算</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48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效益</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社会效益指标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整体工作高效、有序运行</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577"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可持续影响指标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符合国家政策，具有可持续影响</w:t>
            </w:r>
            <w:r>
              <w:rPr>
                <w:u w:val="none" w:color="auto"/>
                <w:shd w:val="clear" w:fill="auto"/>
              </w:rPr>
              <w:t>。</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37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度指标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满意度指标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参保单位</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373" w:hRule="atLeast"/>
        </w:trPr>
        <w:tc>
          <w:tcPr>
            <w:tcW w:w="92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满意度指标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参保满意度</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bl>
    <w:p>
      <w:pPr>
        <w:pStyle w:val="3"/>
        <w:spacing w:before="93"/>
        <w:rPr>
          <w:rFonts w:ascii="黑体" w:hAnsi="黑体" w:eastAsia="黑体"/>
          <w:sz w:val="44"/>
          <w:szCs w:val="44"/>
          <w:u w:val="none" w:color="auto"/>
          <w:shd w:val="clear" w:fill="auto"/>
        </w:rPr>
      </w:pPr>
    </w:p>
    <w:p>
      <w:pPr>
        <w:widowControl/>
        <w:adjustRightInd w:val="0"/>
        <w:snapToGrid w:val="0"/>
        <w:spacing w:line="580" w:lineRule="exact"/>
        <w:contextualSpacing/>
        <w:jc w:val="left"/>
        <w:rPr>
          <w:rFonts w:ascii="仿宋_GB2312" w:hAnsi="宋体" w:eastAsia="仿宋_GB2312" w:cs="宋体"/>
          <w:color w:val="000000"/>
          <w:kern w:val="0"/>
          <w:sz w:val="32"/>
          <w:szCs w:val="32"/>
          <w:u w:val="none" w:color="auto"/>
          <w:shd w:val="clear" w:color="auto" w:fill="auto"/>
        </w:rPr>
      </w:pPr>
    </w:p>
    <w:p>
      <w:pPr>
        <w:widowControl/>
        <w:adjustRightInd w:val="0"/>
        <w:snapToGrid w:val="0"/>
        <w:spacing w:line="580" w:lineRule="exact"/>
        <w:contextualSpacing/>
        <w:jc w:val="left"/>
        <w:rPr>
          <w:rFonts w:ascii="仿宋_GB2312" w:hAnsi="宋体" w:eastAsia="仿宋_GB2312" w:cs="宋体"/>
          <w:color w:val="000000"/>
          <w:kern w:val="0"/>
          <w:sz w:val="32"/>
          <w:szCs w:val="32"/>
          <w:u w:val="none" w:color="auto"/>
          <w:shd w:val="clear" w:color="auto" w:fill="auto"/>
        </w:rPr>
      </w:pPr>
    </w:p>
    <w:p>
      <w:pPr>
        <w:widowControl/>
        <w:adjustRightInd w:val="0"/>
        <w:snapToGrid w:val="0"/>
        <w:spacing w:line="580" w:lineRule="exact"/>
        <w:contextualSpacing/>
        <w:jc w:val="left"/>
        <w:rPr>
          <w:rFonts w:ascii="仿宋_GB2312" w:hAnsi="宋体" w:eastAsia="仿宋_GB2312" w:cs="宋体"/>
          <w:color w:val="000000"/>
          <w:kern w:val="0"/>
          <w:sz w:val="32"/>
          <w:szCs w:val="32"/>
          <w:u w:val="none" w:color="auto"/>
          <w:shd w:val="clear" w:color="auto" w:fill="auto"/>
        </w:rPr>
      </w:pPr>
    </w:p>
    <w:p>
      <w:pPr>
        <w:widowControl/>
        <w:adjustRightInd w:val="0"/>
        <w:snapToGrid w:val="0"/>
        <w:spacing w:line="580" w:lineRule="exact"/>
        <w:contextualSpacing/>
        <w:jc w:val="left"/>
        <w:rPr>
          <w:rFonts w:ascii="仿宋_GB2312" w:hAnsi="宋体" w:eastAsia="仿宋_GB2312" w:cs="宋体"/>
          <w:color w:val="000000"/>
          <w:kern w:val="0"/>
          <w:sz w:val="32"/>
          <w:szCs w:val="32"/>
          <w:u w:val="none" w:color="auto"/>
          <w:shd w:val="clear" w:color="auto" w:fill="auto"/>
        </w:rPr>
      </w:pPr>
    </w:p>
    <w:tbl>
      <w:tblPr>
        <w:tblStyle w:val="7"/>
        <w:tblpPr w:leftFromText="180" w:rightFromText="180" w:vertAnchor="text" w:horzAnchor="page" w:tblpX="1437" w:tblpY="669"/>
        <w:tblOverlap w:val="never"/>
        <w:tblW w:w="9817" w:type="dxa"/>
        <w:tblInd w:w="0" w:type="dxa"/>
        <w:tblLayout w:type="fixed"/>
        <w:tblCellMar>
          <w:top w:w="0" w:type="dxa"/>
          <w:left w:w="108" w:type="dxa"/>
          <w:bottom w:w="0" w:type="dxa"/>
          <w:right w:w="108" w:type="dxa"/>
        </w:tblCellMar>
      </w:tblPr>
      <w:tblGrid>
        <w:gridCol w:w="923"/>
        <w:gridCol w:w="1233"/>
        <w:gridCol w:w="1977"/>
        <w:gridCol w:w="1717"/>
        <w:gridCol w:w="1767"/>
        <w:gridCol w:w="1960"/>
        <w:gridCol w:w="240"/>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jc w:val="center"/>
              <w:textAlignment w:val="center"/>
              <w:rPr>
                <w:rFonts w:ascii="宋体" w:hAnsi="宋体" w:cs="宋体"/>
                <w:b/>
                <w:sz w:val="32"/>
                <w:szCs w:val="32"/>
                <w:u w:val="none" w:color="auto"/>
                <w:shd w:val="clear" w:fill="auto"/>
              </w:rPr>
            </w:pPr>
            <w:r>
              <w:rPr>
                <w:rFonts w:hint="eastAsia" w:ascii="宋体" w:hAnsi="宋体" w:cs="宋体"/>
                <w:b/>
                <w:sz w:val="32"/>
                <w:szCs w:val="32"/>
                <w:u w:val="none" w:color="auto"/>
                <w:shd w:val="clear" w:fill="auto"/>
              </w:rPr>
              <w:t>2021年通江县医保局驻村工作经费项目绩效目标自评</w:t>
            </w:r>
          </w:p>
        </w:tc>
        <w:tc>
          <w:tcPr>
            <w:tcW w:w="240"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u w:val="none" w:color="auto"/>
                <w:shd w:val="clear" w:fill="auto"/>
              </w:rPr>
            </w:pPr>
          </w:p>
        </w:tc>
      </w:tr>
      <w:tr>
        <w:tblPrEx>
          <w:tblCellMar>
            <w:top w:w="0" w:type="dxa"/>
            <w:left w:w="108" w:type="dxa"/>
            <w:bottom w:w="0" w:type="dxa"/>
            <w:right w:w="108" w:type="dxa"/>
          </w:tblCellMar>
        </w:tblPrEx>
        <w:trPr>
          <w:gridAfter w:val="1"/>
          <w:wAfter w:w="240" w:type="dxa"/>
          <w:trHeight w:val="254" w:hRule="atLeast"/>
        </w:trPr>
        <w:tc>
          <w:tcPr>
            <w:tcW w:w="215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主管部门及代码</w:t>
            </w:r>
          </w:p>
        </w:tc>
        <w:tc>
          <w:tcPr>
            <w:tcW w:w="3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通江县人力资源和社会保障局 547005</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实施单位</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sz w:val="24"/>
                <w:u w:val="none" w:color="auto"/>
                <w:shd w:val="clear" w:fill="auto"/>
              </w:rPr>
              <w:t>通江县机关事业单位社会保险局</w:t>
            </w:r>
          </w:p>
        </w:tc>
      </w:tr>
      <w:tr>
        <w:tblPrEx>
          <w:tblCellMar>
            <w:top w:w="0" w:type="dxa"/>
            <w:left w:w="108" w:type="dxa"/>
            <w:bottom w:w="0" w:type="dxa"/>
            <w:right w:w="108" w:type="dxa"/>
          </w:tblCellMar>
        </w:tblPrEx>
        <w:trPr>
          <w:gridAfter w:val="1"/>
          <w:wAfter w:w="240" w:type="dxa"/>
          <w:trHeight w:val="341" w:hRule="atLeast"/>
        </w:trPr>
        <w:tc>
          <w:tcPr>
            <w:tcW w:w="215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项目预算</w:t>
            </w:r>
          </w:p>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执行情况</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（万元）</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预算数：</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0.4万元</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执行数：</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0.4万元</w:t>
            </w:r>
          </w:p>
        </w:tc>
      </w:tr>
      <w:tr>
        <w:tblPrEx>
          <w:tblCellMar>
            <w:top w:w="0" w:type="dxa"/>
            <w:left w:w="108" w:type="dxa"/>
            <w:bottom w:w="0" w:type="dxa"/>
            <w:right w:w="108" w:type="dxa"/>
          </w:tblCellMar>
        </w:tblPrEx>
        <w:trPr>
          <w:gridAfter w:val="1"/>
          <w:wAfter w:w="240" w:type="dxa"/>
          <w:trHeight w:val="555" w:hRule="atLeast"/>
        </w:trPr>
        <w:tc>
          <w:tcPr>
            <w:tcW w:w="21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sz w:val="24"/>
                <w:u w:val="none" w:color="auto"/>
                <w:shd w:val="clear" w:fill="auto"/>
              </w:rPr>
              <w:t>0.4万元</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其中：</w:t>
            </w:r>
          </w:p>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财政拨款</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u w:val="none" w:color="auto"/>
                <w:shd w:val="clear" w:fill="auto"/>
              </w:rPr>
            </w:pPr>
            <w:r>
              <w:rPr>
                <w:rFonts w:hint="eastAsia" w:ascii="宋体" w:hAnsi="宋体" w:cs="宋体"/>
                <w:sz w:val="24"/>
                <w:u w:val="none" w:color="auto"/>
                <w:shd w:val="clear" w:fill="auto"/>
              </w:rPr>
              <w:t>0.4万元</w:t>
            </w:r>
          </w:p>
        </w:tc>
      </w:tr>
      <w:tr>
        <w:tblPrEx>
          <w:tblCellMar>
            <w:top w:w="0" w:type="dxa"/>
            <w:left w:w="108" w:type="dxa"/>
            <w:bottom w:w="0" w:type="dxa"/>
            <w:right w:w="108" w:type="dxa"/>
          </w:tblCellMar>
        </w:tblPrEx>
        <w:trPr>
          <w:gridAfter w:val="1"/>
          <w:wAfter w:w="240" w:type="dxa"/>
          <w:trHeight w:val="341" w:hRule="atLeast"/>
        </w:trPr>
        <w:tc>
          <w:tcPr>
            <w:tcW w:w="215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其他资金</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p>
        </w:tc>
      </w:tr>
      <w:tr>
        <w:tblPrEx>
          <w:tblCellMar>
            <w:top w:w="0" w:type="dxa"/>
            <w:left w:w="108" w:type="dxa"/>
            <w:bottom w:w="0" w:type="dxa"/>
            <w:right w:w="108" w:type="dxa"/>
          </w:tblCellMar>
        </w:tblPrEx>
        <w:trPr>
          <w:gridAfter w:val="1"/>
          <w:wAfter w:w="240" w:type="dxa"/>
          <w:trHeight w:val="217" w:hRule="atLeast"/>
        </w:trPr>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u w:val="none" w:color="auto"/>
                <w:shd w:val="clear" w:fill="auto"/>
              </w:rPr>
            </w:pPr>
            <w:r>
              <w:rPr>
                <w:rFonts w:hint="eastAsia" w:ascii="宋体" w:hAnsi="宋体" w:cs="宋体"/>
                <w:kern w:val="0"/>
                <w:sz w:val="24"/>
                <w:u w:val="none" w:color="auto"/>
                <w:shd w:val="clear" w:fill="auto"/>
              </w:rPr>
              <w:t>年度总体目标</w:t>
            </w:r>
          </w:p>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完成情况</w:t>
            </w:r>
          </w:p>
        </w:tc>
        <w:tc>
          <w:tcPr>
            <w:tcW w:w="4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预期目标</w:t>
            </w:r>
          </w:p>
        </w:tc>
        <w:tc>
          <w:tcPr>
            <w:tcW w:w="37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u w:val="none" w:color="auto"/>
                <w:shd w:val="clear" w:fill="auto"/>
              </w:rPr>
            </w:pPr>
            <w:r>
              <w:rPr>
                <w:rFonts w:hint="eastAsia" w:ascii="宋体" w:hAnsi="宋体" w:cs="宋体"/>
                <w:kern w:val="0"/>
                <w:sz w:val="24"/>
                <w:u w:val="none" w:color="auto"/>
                <w:shd w:val="clear" w:fill="auto"/>
              </w:rPr>
              <w:t>目标实际完成情况</w:t>
            </w:r>
          </w:p>
        </w:tc>
      </w:tr>
      <w:tr>
        <w:tblPrEx>
          <w:tblCellMar>
            <w:top w:w="0" w:type="dxa"/>
            <w:left w:w="108" w:type="dxa"/>
            <w:bottom w:w="0" w:type="dxa"/>
            <w:right w:w="108" w:type="dxa"/>
          </w:tblCellMar>
        </w:tblPrEx>
        <w:trPr>
          <w:gridAfter w:val="1"/>
          <w:wAfter w:w="240" w:type="dxa"/>
          <w:trHeight w:val="1593" w:hRule="atLeast"/>
        </w:trPr>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u w:val="none" w:color="auto"/>
                <w:shd w:val="clear" w:fill="auto"/>
              </w:rPr>
            </w:pPr>
          </w:p>
        </w:tc>
        <w:tc>
          <w:tcPr>
            <w:tcW w:w="49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top"/>
              <w:rPr>
                <w:rFonts w:ascii="宋体" w:hAnsi="宋体" w:cs="宋体"/>
                <w:sz w:val="24"/>
                <w:u w:val="none" w:color="auto"/>
                <w:shd w:val="clear" w:fill="auto"/>
              </w:rPr>
            </w:pPr>
            <w:r>
              <w:rPr>
                <w:rFonts w:hint="eastAsia" w:ascii="宋体" w:hAnsi="宋体" w:cs="宋体"/>
                <w:sz w:val="24"/>
                <w:u w:val="none" w:color="auto"/>
                <w:shd w:val="clear" w:fill="auto"/>
              </w:rPr>
              <w:t>保障驻村工作的有序开展</w:t>
            </w:r>
          </w:p>
        </w:tc>
        <w:tc>
          <w:tcPr>
            <w:tcW w:w="372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1、保障了驻村工作队帮扶工作正常开展，提升了帮扶户、监测户及广大群众的满意度</w:t>
            </w:r>
            <w:r>
              <w:rPr>
                <w:u w:val="none" w:color="auto"/>
                <w:shd w:val="clear" w:fill="auto"/>
              </w:rPr>
              <w:t>。</w:t>
            </w:r>
          </w:p>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2、驻村工作队全面完成了2021年度驻村帮扶任务</w:t>
            </w:r>
          </w:p>
        </w:tc>
      </w:tr>
      <w:tr>
        <w:tblPrEx>
          <w:tblCellMar>
            <w:top w:w="0" w:type="dxa"/>
            <w:left w:w="108" w:type="dxa"/>
            <w:bottom w:w="0" w:type="dxa"/>
            <w:right w:w="108" w:type="dxa"/>
          </w:tblCellMar>
        </w:tblPrEx>
        <w:trPr>
          <w:gridAfter w:val="1"/>
          <w:wAfter w:w="240" w:type="dxa"/>
          <w:trHeight w:val="693" w:hRule="atLeast"/>
        </w:trPr>
        <w:tc>
          <w:tcPr>
            <w:tcW w:w="92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年度绩效指标完成情况</w:t>
            </w:r>
          </w:p>
        </w:tc>
        <w:tc>
          <w:tcPr>
            <w:tcW w:w="1233"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一级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二级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三级</w:t>
            </w:r>
          </w:p>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预期指标值</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实际完成指标值</w:t>
            </w:r>
          </w:p>
        </w:tc>
      </w:tr>
      <w:tr>
        <w:tblPrEx>
          <w:tblCellMar>
            <w:top w:w="0" w:type="dxa"/>
            <w:left w:w="108" w:type="dxa"/>
            <w:bottom w:w="0" w:type="dxa"/>
            <w:right w:w="108" w:type="dxa"/>
          </w:tblCellMar>
        </w:tblPrEx>
        <w:trPr>
          <w:gridAfter w:val="1"/>
          <w:wAfter w:w="240" w:type="dxa"/>
          <w:trHeight w:val="35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完成</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数量指标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驻村联系帮扶脱贫户</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71户</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71户</w:t>
            </w:r>
          </w:p>
        </w:tc>
      </w:tr>
      <w:tr>
        <w:tblPrEx>
          <w:tblCellMar>
            <w:top w:w="0" w:type="dxa"/>
            <w:left w:w="108" w:type="dxa"/>
            <w:bottom w:w="0" w:type="dxa"/>
            <w:right w:w="108" w:type="dxa"/>
          </w:tblCellMar>
        </w:tblPrEx>
        <w:trPr>
          <w:gridAfter w:val="1"/>
          <w:wAfter w:w="240" w:type="dxa"/>
          <w:trHeight w:val="35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数量指标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驻村联系帮扶监测户1户</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1户</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1户</w:t>
            </w:r>
          </w:p>
        </w:tc>
      </w:tr>
      <w:tr>
        <w:tblPrEx>
          <w:tblCellMar>
            <w:top w:w="0" w:type="dxa"/>
            <w:left w:w="108" w:type="dxa"/>
            <w:bottom w:w="0" w:type="dxa"/>
            <w:right w:w="108" w:type="dxa"/>
          </w:tblCellMar>
        </w:tblPrEx>
        <w:trPr>
          <w:gridAfter w:val="1"/>
          <w:wAfter w:w="240" w:type="dxa"/>
          <w:trHeight w:val="392"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时效指标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本年按期完成</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415"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成本指标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未超过项目预算</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48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效益</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社会效益指标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驻村帮扶工作有序进行</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577"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可持续影响指标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符合国家政策，具有可持续影响</w:t>
            </w:r>
            <w:r>
              <w:rPr>
                <w:u w:val="none" w:color="auto"/>
                <w:shd w:val="clear" w:fill="auto"/>
              </w:rPr>
              <w:t>。</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370" w:hRule="atLeast"/>
        </w:trPr>
        <w:tc>
          <w:tcPr>
            <w:tcW w:w="923"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满意</w:t>
            </w:r>
          </w:p>
          <w:p>
            <w:pPr>
              <w:widowControl/>
              <w:spacing w:line="320" w:lineRule="exact"/>
              <w:jc w:val="center"/>
              <w:textAlignment w:val="bottom"/>
              <w:rPr>
                <w:rFonts w:ascii="仿宋_GB2312" w:hAnsi="仿宋_GB2312" w:eastAsia="仿宋_GB2312" w:cs="仿宋_GB2312"/>
                <w:sz w:val="28"/>
                <w:szCs w:val="28"/>
                <w:u w:val="none" w:color="auto"/>
                <w:shd w:val="clear" w:fill="auto"/>
              </w:rPr>
            </w:pPr>
            <w:r>
              <w:rPr>
                <w:rFonts w:hint="eastAsia" w:ascii="仿宋_GB2312" w:hAnsi="仿宋_GB2312" w:eastAsia="仿宋_GB2312" w:cs="仿宋_GB2312"/>
                <w:kern w:val="0"/>
                <w:sz w:val="28"/>
                <w:szCs w:val="28"/>
                <w:u w:val="none" w:color="auto"/>
                <w:shd w:val="clear" w:fill="auto"/>
              </w:rPr>
              <w:t>度指标</w:t>
            </w: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满意度指标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脱贫户满意度</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r>
        <w:tblPrEx>
          <w:tblCellMar>
            <w:top w:w="0" w:type="dxa"/>
            <w:left w:w="108" w:type="dxa"/>
            <w:bottom w:w="0" w:type="dxa"/>
            <w:right w:w="108" w:type="dxa"/>
          </w:tblCellMar>
        </w:tblPrEx>
        <w:trPr>
          <w:gridAfter w:val="1"/>
          <w:wAfter w:w="240" w:type="dxa"/>
          <w:trHeight w:val="373" w:hRule="atLeast"/>
        </w:trPr>
        <w:tc>
          <w:tcPr>
            <w:tcW w:w="923"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u w:val="none" w:color="auto"/>
                <w:shd w:val="clear" w:fill="auto"/>
              </w:rPr>
            </w:pPr>
          </w:p>
        </w:tc>
        <w:tc>
          <w:tcPr>
            <w:tcW w:w="1233"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u w:val="none" w:color="auto"/>
                <w:shd w:val="clear" w:fill="auto"/>
              </w:rPr>
            </w:pPr>
          </w:p>
        </w:tc>
        <w:tc>
          <w:tcPr>
            <w:tcW w:w="1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满意度指标</w:t>
            </w:r>
          </w:p>
        </w:tc>
        <w:tc>
          <w:tcPr>
            <w:tcW w:w="17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监测户满意度</w:t>
            </w:r>
          </w:p>
        </w:tc>
        <w:tc>
          <w:tcPr>
            <w:tcW w:w="17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c>
          <w:tcPr>
            <w:tcW w:w="1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top"/>
              <w:rPr>
                <w:rFonts w:ascii="宋体" w:hAnsi="宋体" w:cs="宋体"/>
                <w:sz w:val="24"/>
                <w:u w:val="none" w:color="auto"/>
                <w:shd w:val="clear" w:fill="auto"/>
              </w:rPr>
            </w:pPr>
            <w:r>
              <w:rPr>
                <w:rFonts w:hint="eastAsia" w:ascii="宋体" w:hAnsi="宋体" w:cs="宋体"/>
                <w:sz w:val="24"/>
                <w:u w:val="none" w:color="auto"/>
                <w:shd w:val="clear" w:fill="auto"/>
              </w:rPr>
              <w:t>100%</w:t>
            </w:r>
          </w:p>
        </w:tc>
      </w:tr>
    </w:tbl>
    <w:p>
      <w:pPr>
        <w:widowControl/>
        <w:adjustRightInd w:val="0"/>
        <w:snapToGrid w:val="0"/>
        <w:spacing w:line="580" w:lineRule="exact"/>
        <w:contextualSpacing/>
        <w:jc w:val="left"/>
        <w:rPr>
          <w:rFonts w:ascii="仿宋_GB2312" w:hAnsi="宋体" w:eastAsia="仿宋_GB2312" w:cs="宋体"/>
          <w:color w:val="000000"/>
          <w:kern w:val="0"/>
          <w:sz w:val="32"/>
          <w:szCs w:val="32"/>
          <w:u w:val="none" w:color="auto"/>
          <w:shd w:val="clear" w:color="auto" w:fill="auto"/>
        </w:rPr>
      </w:pPr>
    </w:p>
    <w:p>
      <w:pPr>
        <w:widowControl/>
        <w:adjustRightInd w:val="0"/>
        <w:snapToGrid w:val="0"/>
        <w:spacing w:line="580" w:lineRule="exact"/>
        <w:contextualSpacing/>
        <w:jc w:val="left"/>
        <w:rPr>
          <w:rFonts w:ascii="仿宋_GB2312" w:hAnsi="宋体" w:eastAsia="仿宋_GB2312" w:cs="宋体"/>
          <w:color w:val="000000"/>
          <w:kern w:val="0"/>
          <w:sz w:val="32"/>
          <w:szCs w:val="32"/>
          <w:u w:val="none" w:color="auto"/>
          <w:shd w:val="clear" w:color="auto"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pPr>
    </w:p>
    <w:p>
      <w:pPr>
        <w:spacing w:line="600" w:lineRule="exact"/>
        <w:jc w:val="center"/>
        <w:rPr>
          <w:rFonts w:ascii="黑体" w:hAnsi="黑体" w:eastAsia="黑体"/>
          <w:sz w:val="44"/>
          <w:szCs w:val="44"/>
          <w:u w:val="none" w:color="auto"/>
          <w:shd w:val="clear" w:fill="auto"/>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p>
    <w:p>
      <w:pPr>
        <w:spacing w:line="600" w:lineRule="exact"/>
        <w:jc w:val="center"/>
        <w:outlineLvl w:val="0"/>
        <w:rPr>
          <w:rFonts w:ascii="仿宋" w:hAnsi="仿宋" w:eastAsia="仿宋"/>
          <w:u w:val="none" w:color="auto"/>
          <w:shd w:val="clear" w:fill="auto"/>
        </w:rPr>
      </w:pPr>
      <w:bookmarkStart w:id="77" w:name="_Toc6682"/>
      <w:r>
        <w:rPr>
          <w:rFonts w:hint="eastAsia" w:ascii="黑体" w:hAnsi="黑体" w:eastAsia="黑体"/>
          <w:sz w:val="44"/>
          <w:szCs w:val="44"/>
          <w:u w:val="none" w:color="auto"/>
          <w:shd w:val="clear" w:fill="auto"/>
        </w:rPr>
        <w:t>第</w:t>
      </w:r>
      <w:r>
        <w:rPr>
          <w:rStyle w:val="29"/>
          <w:rFonts w:hint="eastAsia" w:ascii="黑体" w:hAnsi="黑体" w:eastAsia="黑体"/>
          <w:b w:val="0"/>
          <w:u w:val="none" w:color="auto"/>
          <w:shd w:val="clear" w:fill="auto"/>
        </w:rPr>
        <w:t>五部分</w:t>
      </w:r>
      <w:r>
        <w:rPr>
          <w:rStyle w:val="29"/>
          <w:rFonts w:hint="eastAsia" w:ascii="黑体" w:hAnsi="黑体" w:eastAsia="黑体"/>
          <w:b w:val="0"/>
          <w:u w:val="none" w:color="auto"/>
          <w:shd w:val="clear" w:fill="auto"/>
          <w:lang w:val="en-US" w:eastAsia="zh-CN"/>
        </w:rPr>
        <w:t xml:space="preserve"> </w:t>
      </w:r>
      <w:r>
        <w:rPr>
          <w:rStyle w:val="29"/>
          <w:rFonts w:hint="eastAsia" w:ascii="黑体" w:hAnsi="黑体" w:eastAsia="黑体"/>
          <w:b w:val="0"/>
          <w:u w:val="none" w:color="auto"/>
          <w:shd w:val="clear" w:fill="auto"/>
        </w:rPr>
        <w:t>附表</w:t>
      </w:r>
      <w:bookmarkEnd w:id="73"/>
      <w:bookmarkEnd w:id="76"/>
      <w:bookmarkEnd w:id="77"/>
      <w:bookmarkStart w:id="78" w:name="_Toc15396619"/>
    </w:p>
    <w:p>
      <w:pPr>
        <w:pStyle w:val="14"/>
        <w:rPr>
          <w:rFonts w:hint="eastAsia" w:ascii="仿宋_GB2312" w:hAnsi="仿宋" w:eastAsia="仿宋_GB2312"/>
          <w:b w:val="0"/>
          <w:bCs w:val="0"/>
          <w:u w:val="none" w:color="auto"/>
          <w:shd w:val="clear" w:fill="auto"/>
        </w:rPr>
      </w:pPr>
      <w:bookmarkStart w:id="79" w:name="_Toc27327"/>
      <w:r>
        <w:rPr>
          <w:rFonts w:hint="eastAsia" w:ascii="仿宋_GB2312" w:hAnsi="仿宋" w:eastAsia="仿宋_GB2312"/>
          <w:b w:val="0"/>
          <w:u w:val="none" w:color="auto"/>
          <w:shd w:val="clear" w:fill="auto"/>
        </w:rPr>
        <w:t>一、收</w:t>
      </w:r>
      <w:r>
        <w:rPr>
          <w:rStyle w:val="30"/>
          <w:rFonts w:hint="eastAsia" w:ascii="仿宋_GB2312" w:hAnsi="仿宋" w:eastAsia="仿宋_GB2312"/>
          <w:b w:val="0"/>
          <w:bCs w:val="0"/>
          <w:u w:val="none" w:color="auto"/>
          <w:shd w:val="clear" w:fill="auto"/>
        </w:rPr>
        <w:t>入支</w:t>
      </w:r>
      <w:r>
        <w:rPr>
          <w:rFonts w:hint="eastAsia" w:ascii="仿宋_GB2312" w:hAnsi="仿宋" w:eastAsia="仿宋_GB2312"/>
          <w:b w:val="0"/>
          <w:bCs w:val="0"/>
          <w:u w:val="none" w:color="auto"/>
          <w:shd w:val="clear" w:fill="auto"/>
        </w:rPr>
        <w:t>出决算总表</w:t>
      </w:r>
      <w:bookmarkEnd w:id="78"/>
      <w:bookmarkEnd w:id="79"/>
    </w:p>
    <w:p>
      <w:pPr>
        <w:pStyle w:val="14"/>
        <w:rPr>
          <w:rFonts w:hint="eastAsia" w:ascii="仿宋_GB2312" w:hAnsi="仿宋" w:eastAsia="仿宋_GB2312"/>
          <w:b w:val="0"/>
          <w:bCs w:val="0"/>
          <w:u w:val="none" w:color="auto"/>
          <w:shd w:val="clear" w:fill="auto"/>
        </w:rPr>
      </w:pPr>
      <w:bookmarkStart w:id="80" w:name="_Toc21440"/>
      <w:bookmarkStart w:id="81" w:name="_Toc15396620"/>
      <w:r>
        <w:rPr>
          <w:rFonts w:hint="eastAsia" w:ascii="仿宋_GB2312" w:hAnsi="仿宋" w:eastAsia="仿宋_GB2312"/>
          <w:b w:val="0"/>
          <w:bCs w:val="0"/>
          <w:u w:val="none" w:color="auto"/>
          <w:shd w:val="clear" w:fill="auto"/>
        </w:rPr>
        <w:t>二、收入决算表</w:t>
      </w:r>
      <w:bookmarkEnd w:id="80"/>
      <w:bookmarkEnd w:id="81"/>
    </w:p>
    <w:p>
      <w:pPr>
        <w:pStyle w:val="14"/>
        <w:rPr>
          <w:rFonts w:hint="eastAsia" w:ascii="仿宋_GB2312" w:hAnsi="仿宋" w:eastAsia="仿宋_GB2312"/>
          <w:b w:val="0"/>
          <w:bCs w:val="0"/>
          <w:u w:val="none" w:color="auto"/>
          <w:shd w:val="clear" w:fill="auto"/>
        </w:rPr>
      </w:pPr>
      <w:bookmarkStart w:id="82" w:name="_Toc15396621"/>
      <w:bookmarkStart w:id="83" w:name="_Toc29090"/>
      <w:r>
        <w:rPr>
          <w:rFonts w:hint="eastAsia" w:ascii="仿宋_GB2312" w:hAnsi="仿宋" w:eastAsia="仿宋_GB2312"/>
          <w:b w:val="0"/>
          <w:bCs w:val="0"/>
          <w:u w:val="none" w:color="auto"/>
          <w:shd w:val="clear" w:fill="auto"/>
        </w:rPr>
        <w:t>三、支出决算表</w:t>
      </w:r>
      <w:bookmarkEnd w:id="82"/>
      <w:bookmarkEnd w:id="83"/>
    </w:p>
    <w:p>
      <w:pPr>
        <w:pStyle w:val="14"/>
        <w:rPr>
          <w:rFonts w:ascii="仿宋_GB2312" w:hAnsi="仿宋" w:eastAsia="仿宋_GB2312"/>
          <w:b w:val="0"/>
          <w:u w:val="none" w:color="auto"/>
          <w:shd w:val="clear" w:fill="auto"/>
        </w:rPr>
      </w:pPr>
      <w:bookmarkStart w:id="84" w:name="_Toc4159"/>
      <w:bookmarkStart w:id="85" w:name="_Toc15396622"/>
      <w:r>
        <w:rPr>
          <w:rStyle w:val="30"/>
          <w:rFonts w:hint="eastAsia" w:ascii="仿宋_GB2312" w:hAnsi="仿宋" w:eastAsia="仿宋_GB2312"/>
          <w:b w:val="0"/>
          <w:bCs w:val="0"/>
          <w:u w:val="none" w:color="auto"/>
          <w:shd w:val="clear" w:fill="auto"/>
        </w:rPr>
        <w:t>四、</w:t>
      </w:r>
      <w:r>
        <w:rPr>
          <w:rFonts w:hint="eastAsia" w:ascii="仿宋_GB2312" w:hAnsi="仿宋" w:eastAsia="仿宋_GB2312"/>
          <w:b w:val="0"/>
          <w:u w:val="none" w:color="auto"/>
          <w:shd w:val="clear" w:fill="auto"/>
        </w:rPr>
        <w:t>财</w:t>
      </w:r>
      <w:r>
        <w:rPr>
          <w:rStyle w:val="30"/>
          <w:rFonts w:hint="eastAsia" w:ascii="仿宋_GB2312" w:hAnsi="仿宋" w:eastAsia="仿宋_GB2312"/>
          <w:b w:val="0"/>
          <w:bCs w:val="0"/>
          <w:u w:val="none" w:color="auto"/>
          <w:shd w:val="clear" w:fill="auto"/>
        </w:rPr>
        <w:t>政拨</w:t>
      </w:r>
      <w:r>
        <w:rPr>
          <w:rFonts w:hint="eastAsia" w:ascii="仿宋_GB2312" w:hAnsi="仿宋" w:eastAsia="仿宋_GB2312"/>
          <w:b w:val="0"/>
          <w:bCs w:val="0"/>
          <w:u w:val="none" w:color="auto"/>
          <w:shd w:val="clear" w:fill="auto"/>
        </w:rPr>
        <w:t>款收入支出决算总表</w:t>
      </w:r>
      <w:bookmarkEnd w:id="84"/>
      <w:bookmarkEnd w:id="85"/>
    </w:p>
    <w:p>
      <w:pPr>
        <w:pStyle w:val="14"/>
        <w:rPr>
          <w:rStyle w:val="30"/>
          <w:rFonts w:ascii="仿宋_GB2312" w:hAnsi="仿宋" w:eastAsia="仿宋_GB2312"/>
          <w:b w:val="0"/>
          <w:bCs w:val="0"/>
          <w:u w:val="none" w:color="auto"/>
          <w:shd w:val="clear" w:fill="auto"/>
        </w:rPr>
      </w:pPr>
      <w:bookmarkStart w:id="86" w:name="_Toc15396623"/>
      <w:bookmarkStart w:id="87" w:name="_Toc715"/>
      <w:r>
        <w:rPr>
          <w:rStyle w:val="30"/>
          <w:rFonts w:hint="eastAsia" w:ascii="仿宋_GB2312" w:hAnsi="仿宋" w:eastAsia="仿宋_GB2312"/>
          <w:b w:val="0"/>
          <w:bCs w:val="0"/>
          <w:u w:val="none" w:color="auto"/>
          <w:shd w:val="clear" w:fill="auto"/>
        </w:rPr>
        <w:t>五、</w:t>
      </w:r>
      <w:r>
        <w:rPr>
          <w:rFonts w:hint="eastAsia" w:ascii="仿宋_GB2312" w:hAnsi="仿宋" w:eastAsia="仿宋_GB2312"/>
          <w:b w:val="0"/>
          <w:u w:val="none" w:color="auto"/>
          <w:shd w:val="clear" w:fill="auto"/>
        </w:rPr>
        <w:t>财</w:t>
      </w:r>
      <w:r>
        <w:rPr>
          <w:rStyle w:val="30"/>
          <w:rFonts w:hint="eastAsia" w:ascii="仿宋_GB2312" w:hAnsi="仿宋" w:eastAsia="仿宋_GB2312"/>
          <w:b w:val="0"/>
          <w:bCs w:val="0"/>
          <w:u w:val="none" w:color="auto"/>
          <w:shd w:val="clear" w:fill="auto"/>
        </w:rPr>
        <w:t>政拨</w:t>
      </w:r>
      <w:r>
        <w:rPr>
          <w:rFonts w:hint="eastAsia" w:ascii="仿宋_GB2312" w:hAnsi="仿宋" w:eastAsia="仿宋_GB2312"/>
          <w:b w:val="0"/>
          <w:bCs w:val="0"/>
          <w:u w:val="none" w:color="auto"/>
          <w:shd w:val="clear" w:fill="auto"/>
        </w:rPr>
        <w:t>款支出决算明细表</w:t>
      </w:r>
      <w:bookmarkEnd w:id="86"/>
      <w:bookmarkEnd w:id="87"/>
      <w:bookmarkStart w:id="88" w:name="_Toc15396624"/>
    </w:p>
    <w:p>
      <w:pPr>
        <w:pStyle w:val="14"/>
        <w:rPr>
          <w:rFonts w:ascii="仿宋_GB2312" w:hAnsi="仿宋" w:eastAsia="仿宋_GB2312"/>
          <w:u w:val="none" w:color="auto"/>
          <w:shd w:val="clear" w:fill="auto"/>
        </w:rPr>
      </w:pPr>
      <w:bookmarkStart w:id="89" w:name="_Toc23147"/>
      <w:r>
        <w:rPr>
          <w:rStyle w:val="30"/>
          <w:rFonts w:hint="eastAsia" w:ascii="仿宋_GB2312" w:hAnsi="仿宋" w:eastAsia="仿宋_GB2312"/>
          <w:b w:val="0"/>
          <w:bCs w:val="0"/>
          <w:u w:val="none" w:color="auto"/>
          <w:shd w:val="clear" w:fill="auto"/>
        </w:rPr>
        <w:t>六、</w:t>
      </w:r>
      <w:r>
        <w:rPr>
          <w:rFonts w:hint="eastAsia" w:ascii="仿宋_GB2312" w:hAnsi="仿宋" w:eastAsia="仿宋_GB2312"/>
          <w:b w:val="0"/>
          <w:u w:val="none" w:color="auto"/>
          <w:shd w:val="clear" w:fill="auto"/>
        </w:rPr>
        <w:t>一</w:t>
      </w:r>
      <w:r>
        <w:rPr>
          <w:rStyle w:val="30"/>
          <w:rFonts w:hint="eastAsia" w:ascii="仿宋_GB2312" w:hAnsi="仿宋" w:eastAsia="仿宋_GB2312"/>
          <w:b w:val="0"/>
          <w:bCs w:val="0"/>
          <w:u w:val="none" w:color="auto"/>
          <w:shd w:val="clear" w:fill="auto"/>
        </w:rPr>
        <w:t>般公共预算</w:t>
      </w:r>
      <w:r>
        <w:rPr>
          <w:rFonts w:hint="eastAsia" w:ascii="仿宋_GB2312" w:hAnsi="仿宋" w:eastAsia="仿宋_GB2312"/>
          <w:b w:val="0"/>
          <w:bCs w:val="0"/>
          <w:u w:val="none" w:color="auto"/>
          <w:shd w:val="clear" w:fill="auto"/>
        </w:rPr>
        <w:t>财政</w:t>
      </w:r>
      <w:r>
        <w:rPr>
          <w:rStyle w:val="30"/>
          <w:rFonts w:hint="eastAsia" w:ascii="仿宋_GB2312" w:hAnsi="仿宋" w:eastAsia="仿宋_GB2312"/>
          <w:b w:val="0"/>
          <w:bCs w:val="0"/>
          <w:u w:val="none" w:color="auto"/>
          <w:shd w:val="clear" w:fill="auto"/>
        </w:rPr>
        <w:t>拨</w:t>
      </w:r>
      <w:r>
        <w:rPr>
          <w:rFonts w:hint="eastAsia" w:ascii="仿宋_GB2312" w:hAnsi="仿宋" w:eastAsia="仿宋_GB2312"/>
          <w:b w:val="0"/>
          <w:bCs w:val="0"/>
          <w:u w:val="none" w:color="auto"/>
          <w:shd w:val="clear" w:fill="auto"/>
        </w:rPr>
        <w:t>款支出决算表</w:t>
      </w:r>
      <w:bookmarkEnd w:id="88"/>
      <w:bookmarkEnd w:id="89"/>
    </w:p>
    <w:p>
      <w:pPr>
        <w:pStyle w:val="14"/>
        <w:rPr>
          <w:rFonts w:ascii="仿宋_GB2312" w:hAnsi="仿宋" w:eastAsia="仿宋_GB2312"/>
          <w:u w:val="none" w:color="auto"/>
          <w:shd w:val="clear" w:fill="auto"/>
        </w:rPr>
      </w:pPr>
      <w:bookmarkStart w:id="90" w:name="_Toc15396625"/>
      <w:bookmarkStart w:id="91" w:name="_Toc13935"/>
      <w:r>
        <w:rPr>
          <w:rStyle w:val="30"/>
          <w:rFonts w:hint="eastAsia" w:ascii="仿宋_GB2312" w:hAnsi="仿宋" w:eastAsia="仿宋_GB2312"/>
          <w:b w:val="0"/>
          <w:bCs w:val="0"/>
          <w:u w:val="none" w:color="auto"/>
          <w:shd w:val="clear" w:fill="auto"/>
        </w:rPr>
        <w:t>七、</w:t>
      </w:r>
      <w:r>
        <w:rPr>
          <w:rFonts w:hint="eastAsia" w:ascii="仿宋_GB2312" w:hAnsi="仿宋" w:eastAsia="仿宋_GB2312"/>
          <w:b w:val="0"/>
          <w:u w:val="none" w:color="auto"/>
          <w:shd w:val="clear" w:fill="auto"/>
        </w:rPr>
        <w:t>一</w:t>
      </w:r>
      <w:r>
        <w:rPr>
          <w:rStyle w:val="30"/>
          <w:rFonts w:hint="eastAsia" w:ascii="仿宋_GB2312" w:hAnsi="仿宋" w:eastAsia="仿宋_GB2312"/>
          <w:b w:val="0"/>
          <w:bCs w:val="0"/>
          <w:u w:val="none" w:color="auto"/>
          <w:shd w:val="clear" w:fill="auto"/>
        </w:rPr>
        <w:t>般公共预算</w:t>
      </w:r>
      <w:r>
        <w:rPr>
          <w:rFonts w:hint="eastAsia" w:ascii="仿宋_GB2312" w:hAnsi="仿宋" w:eastAsia="仿宋_GB2312"/>
          <w:b w:val="0"/>
          <w:bCs w:val="0"/>
          <w:u w:val="none" w:color="auto"/>
          <w:shd w:val="clear" w:fill="auto"/>
        </w:rPr>
        <w:t>财政</w:t>
      </w:r>
      <w:r>
        <w:rPr>
          <w:rStyle w:val="30"/>
          <w:rFonts w:hint="eastAsia" w:ascii="仿宋_GB2312" w:hAnsi="仿宋" w:eastAsia="仿宋_GB2312"/>
          <w:b w:val="0"/>
          <w:bCs w:val="0"/>
          <w:u w:val="none" w:color="auto"/>
          <w:shd w:val="clear" w:fill="auto"/>
        </w:rPr>
        <w:t>拨</w:t>
      </w:r>
      <w:r>
        <w:rPr>
          <w:rFonts w:hint="eastAsia" w:ascii="仿宋_GB2312" w:hAnsi="仿宋" w:eastAsia="仿宋_GB2312"/>
          <w:b w:val="0"/>
          <w:bCs w:val="0"/>
          <w:u w:val="none" w:color="auto"/>
          <w:shd w:val="clear" w:fill="auto"/>
        </w:rPr>
        <w:t>款支出决算明细表</w:t>
      </w:r>
      <w:bookmarkEnd w:id="90"/>
      <w:bookmarkEnd w:id="91"/>
    </w:p>
    <w:p>
      <w:pPr>
        <w:pStyle w:val="14"/>
        <w:rPr>
          <w:rFonts w:ascii="仿宋_GB2312" w:hAnsi="仿宋" w:eastAsia="仿宋_GB2312"/>
          <w:u w:val="none" w:color="auto"/>
          <w:shd w:val="clear" w:fill="auto"/>
        </w:rPr>
      </w:pPr>
      <w:bookmarkStart w:id="92" w:name="_Toc15396626"/>
      <w:bookmarkStart w:id="93" w:name="_Toc26538"/>
      <w:r>
        <w:rPr>
          <w:rStyle w:val="30"/>
          <w:rFonts w:hint="eastAsia" w:ascii="仿宋_GB2312" w:hAnsi="仿宋" w:eastAsia="仿宋_GB2312"/>
          <w:b w:val="0"/>
          <w:bCs w:val="0"/>
          <w:u w:val="none" w:color="auto"/>
          <w:shd w:val="clear" w:fill="auto"/>
        </w:rPr>
        <w:t>八、</w:t>
      </w:r>
      <w:r>
        <w:rPr>
          <w:rFonts w:hint="eastAsia" w:ascii="仿宋_GB2312" w:hAnsi="仿宋" w:eastAsia="仿宋_GB2312"/>
          <w:b w:val="0"/>
          <w:u w:val="none" w:color="auto"/>
          <w:shd w:val="clear" w:fill="auto"/>
        </w:rPr>
        <w:t>一</w:t>
      </w:r>
      <w:r>
        <w:rPr>
          <w:rStyle w:val="30"/>
          <w:rFonts w:hint="eastAsia" w:ascii="仿宋_GB2312" w:hAnsi="仿宋" w:eastAsia="仿宋_GB2312"/>
          <w:b w:val="0"/>
          <w:bCs w:val="0"/>
          <w:u w:val="none" w:color="auto"/>
          <w:shd w:val="clear" w:fill="auto"/>
        </w:rPr>
        <w:t>般公共预算</w:t>
      </w:r>
      <w:r>
        <w:rPr>
          <w:rFonts w:hint="eastAsia" w:ascii="仿宋_GB2312" w:hAnsi="仿宋" w:eastAsia="仿宋_GB2312"/>
          <w:b w:val="0"/>
          <w:bCs w:val="0"/>
          <w:u w:val="none" w:color="auto"/>
          <w:shd w:val="clear" w:fill="auto"/>
        </w:rPr>
        <w:t>财政</w:t>
      </w:r>
      <w:r>
        <w:rPr>
          <w:rStyle w:val="30"/>
          <w:rFonts w:hint="eastAsia" w:ascii="仿宋_GB2312" w:hAnsi="仿宋" w:eastAsia="仿宋_GB2312"/>
          <w:b w:val="0"/>
          <w:bCs w:val="0"/>
          <w:u w:val="none" w:color="auto"/>
          <w:shd w:val="clear" w:fill="auto"/>
        </w:rPr>
        <w:t>拨</w:t>
      </w:r>
      <w:r>
        <w:rPr>
          <w:rFonts w:hint="eastAsia" w:ascii="仿宋_GB2312" w:hAnsi="仿宋" w:eastAsia="仿宋_GB2312"/>
          <w:b w:val="0"/>
          <w:bCs w:val="0"/>
          <w:u w:val="none" w:color="auto"/>
          <w:shd w:val="clear" w:fill="auto"/>
        </w:rPr>
        <w:t>款基本支出决算表</w:t>
      </w:r>
      <w:bookmarkEnd w:id="92"/>
      <w:bookmarkEnd w:id="93"/>
    </w:p>
    <w:p>
      <w:pPr>
        <w:pStyle w:val="14"/>
        <w:rPr>
          <w:rFonts w:ascii="仿宋_GB2312" w:hAnsi="仿宋" w:eastAsia="仿宋_GB2312"/>
          <w:u w:val="none" w:color="auto"/>
          <w:shd w:val="clear" w:fill="auto"/>
        </w:rPr>
      </w:pPr>
      <w:bookmarkStart w:id="94" w:name="_Toc31313"/>
      <w:bookmarkStart w:id="95" w:name="_Toc15396627"/>
      <w:r>
        <w:rPr>
          <w:rStyle w:val="30"/>
          <w:rFonts w:hint="eastAsia" w:ascii="仿宋_GB2312" w:hAnsi="仿宋" w:eastAsia="仿宋_GB2312"/>
          <w:b w:val="0"/>
          <w:bCs w:val="0"/>
          <w:u w:val="none" w:color="auto"/>
          <w:shd w:val="clear" w:fill="auto"/>
        </w:rPr>
        <w:t>九、</w:t>
      </w:r>
      <w:r>
        <w:rPr>
          <w:rFonts w:hint="eastAsia" w:ascii="仿宋_GB2312" w:hAnsi="仿宋" w:eastAsia="仿宋_GB2312"/>
          <w:b w:val="0"/>
          <w:u w:val="none" w:color="auto"/>
          <w:shd w:val="clear" w:fill="auto"/>
        </w:rPr>
        <w:t>一</w:t>
      </w:r>
      <w:r>
        <w:rPr>
          <w:rStyle w:val="30"/>
          <w:rFonts w:hint="eastAsia" w:ascii="仿宋_GB2312" w:hAnsi="仿宋" w:eastAsia="仿宋_GB2312"/>
          <w:b w:val="0"/>
          <w:bCs w:val="0"/>
          <w:u w:val="none" w:color="auto"/>
          <w:shd w:val="clear" w:fill="auto"/>
        </w:rPr>
        <w:t>般公共预算</w:t>
      </w:r>
      <w:r>
        <w:rPr>
          <w:rFonts w:hint="eastAsia" w:ascii="仿宋_GB2312" w:hAnsi="仿宋" w:eastAsia="仿宋_GB2312"/>
          <w:b w:val="0"/>
          <w:bCs w:val="0"/>
          <w:u w:val="none" w:color="auto"/>
          <w:shd w:val="clear" w:fill="auto"/>
        </w:rPr>
        <w:t>财政</w:t>
      </w:r>
      <w:r>
        <w:rPr>
          <w:rStyle w:val="30"/>
          <w:rFonts w:hint="eastAsia" w:ascii="仿宋_GB2312" w:hAnsi="仿宋" w:eastAsia="仿宋_GB2312"/>
          <w:b w:val="0"/>
          <w:bCs w:val="0"/>
          <w:u w:val="none" w:color="auto"/>
          <w:shd w:val="clear" w:fill="auto"/>
        </w:rPr>
        <w:t>拨</w:t>
      </w:r>
      <w:r>
        <w:rPr>
          <w:rFonts w:hint="eastAsia" w:ascii="仿宋_GB2312" w:hAnsi="仿宋" w:eastAsia="仿宋_GB2312"/>
          <w:b w:val="0"/>
          <w:bCs w:val="0"/>
          <w:u w:val="none" w:color="auto"/>
          <w:shd w:val="clear" w:fill="auto"/>
        </w:rPr>
        <w:t>款项目支出决算表</w:t>
      </w:r>
      <w:bookmarkEnd w:id="94"/>
      <w:bookmarkEnd w:id="95"/>
    </w:p>
    <w:p>
      <w:pPr>
        <w:pStyle w:val="14"/>
        <w:rPr>
          <w:rFonts w:ascii="仿宋_GB2312" w:hAnsi="仿宋" w:eastAsia="仿宋_GB2312"/>
          <w:u w:val="none" w:color="auto"/>
          <w:shd w:val="clear" w:fill="auto"/>
        </w:rPr>
      </w:pPr>
      <w:bookmarkStart w:id="96" w:name="_Toc15396628"/>
      <w:bookmarkStart w:id="97" w:name="_Toc11458"/>
      <w:r>
        <w:rPr>
          <w:rStyle w:val="30"/>
          <w:rFonts w:hint="eastAsia" w:ascii="仿宋_GB2312" w:hAnsi="仿宋" w:eastAsia="仿宋_GB2312"/>
          <w:b w:val="0"/>
          <w:bCs w:val="0"/>
          <w:u w:val="none" w:color="auto"/>
          <w:shd w:val="clear" w:fill="auto"/>
        </w:rPr>
        <w:t>十、</w:t>
      </w:r>
      <w:r>
        <w:rPr>
          <w:rFonts w:hint="eastAsia" w:ascii="仿宋_GB2312" w:hAnsi="仿宋" w:eastAsia="仿宋_GB2312"/>
          <w:b w:val="0"/>
          <w:u w:val="none" w:color="auto"/>
          <w:shd w:val="clear" w:fill="auto"/>
        </w:rPr>
        <w:t>一</w:t>
      </w:r>
      <w:r>
        <w:rPr>
          <w:rStyle w:val="30"/>
          <w:rFonts w:hint="eastAsia" w:ascii="仿宋_GB2312" w:hAnsi="仿宋" w:eastAsia="仿宋_GB2312"/>
          <w:b w:val="0"/>
          <w:bCs w:val="0"/>
          <w:u w:val="none" w:color="auto"/>
          <w:shd w:val="clear" w:fill="auto"/>
        </w:rPr>
        <w:t>般公共预算</w:t>
      </w:r>
      <w:r>
        <w:rPr>
          <w:rFonts w:hint="eastAsia" w:ascii="仿宋_GB2312" w:hAnsi="仿宋" w:eastAsia="仿宋_GB2312"/>
          <w:b w:val="0"/>
          <w:bCs w:val="0"/>
          <w:u w:val="none" w:color="auto"/>
          <w:shd w:val="clear" w:fill="auto"/>
        </w:rPr>
        <w:t>财政</w:t>
      </w:r>
      <w:r>
        <w:rPr>
          <w:rStyle w:val="30"/>
          <w:rFonts w:hint="eastAsia" w:ascii="仿宋_GB2312" w:hAnsi="仿宋" w:eastAsia="仿宋_GB2312"/>
          <w:b w:val="0"/>
          <w:bCs w:val="0"/>
          <w:u w:val="none" w:color="auto"/>
          <w:shd w:val="clear" w:fill="auto"/>
        </w:rPr>
        <w:t>拨</w:t>
      </w:r>
      <w:r>
        <w:rPr>
          <w:rFonts w:hint="eastAsia" w:ascii="仿宋_GB2312" w:hAnsi="仿宋" w:eastAsia="仿宋_GB2312"/>
          <w:b w:val="0"/>
          <w:bCs w:val="0"/>
          <w:u w:val="none" w:color="auto"/>
          <w:shd w:val="clear" w:fill="auto"/>
        </w:rPr>
        <w:t>款“三公”经费支出决算表</w:t>
      </w:r>
      <w:bookmarkEnd w:id="96"/>
      <w:bookmarkEnd w:id="97"/>
    </w:p>
    <w:p>
      <w:pPr>
        <w:pStyle w:val="14"/>
        <w:rPr>
          <w:rFonts w:ascii="仿宋_GB2312" w:hAnsi="仿宋" w:eastAsia="仿宋_GB2312"/>
          <w:u w:val="none" w:color="auto"/>
          <w:shd w:val="clear" w:fill="auto"/>
        </w:rPr>
      </w:pPr>
      <w:bookmarkStart w:id="98" w:name="_Toc32238"/>
      <w:bookmarkStart w:id="99" w:name="_Toc15396629"/>
      <w:r>
        <w:rPr>
          <w:rStyle w:val="30"/>
          <w:rFonts w:hint="eastAsia" w:ascii="仿宋_GB2312" w:hAnsi="仿宋" w:eastAsia="仿宋_GB2312"/>
          <w:b w:val="0"/>
          <w:bCs w:val="0"/>
          <w:u w:val="none" w:color="auto"/>
          <w:shd w:val="clear" w:fill="auto"/>
        </w:rPr>
        <w:t>十一、</w:t>
      </w:r>
      <w:r>
        <w:rPr>
          <w:rFonts w:hint="eastAsia" w:ascii="仿宋_GB2312" w:hAnsi="仿宋" w:eastAsia="仿宋_GB2312"/>
          <w:b w:val="0"/>
          <w:u w:val="none" w:color="auto"/>
          <w:shd w:val="clear" w:fill="auto"/>
        </w:rPr>
        <w:t>政</w:t>
      </w:r>
      <w:r>
        <w:rPr>
          <w:rStyle w:val="30"/>
          <w:rFonts w:hint="eastAsia" w:ascii="仿宋_GB2312" w:hAnsi="仿宋" w:eastAsia="仿宋_GB2312"/>
          <w:b w:val="0"/>
          <w:bCs w:val="0"/>
          <w:u w:val="none" w:color="auto"/>
          <w:shd w:val="clear" w:fill="auto"/>
        </w:rPr>
        <w:t>府性基金预算</w:t>
      </w:r>
      <w:r>
        <w:rPr>
          <w:rFonts w:hint="eastAsia" w:ascii="仿宋_GB2312" w:hAnsi="仿宋" w:eastAsia="仿宋_GB2312"/>
          <w:b w:val="0"/>
          <w:bCs w:val="0"/>
          <w:u w:val="none" w:color="auto"/>
          <w:shd w:val="clear" w:fill="auto"/>
        </w:rPr>
        <w:t>财政</w:t>
      </w:r>
      <w:r>
        <w:rPr>
          <w:rStyle w:val="30"/>
          <w:rFonts w:hint="eastAsia" w:ascii="仿宋_GB2312" w:hAnsi="仿宋" w:eastAsia="仿宋_GB2312"/>
          <w:b w:val="0"/>
          <w:bCs w:val="0"/>
          <w:u w:val="none" w:color="auto"/>
          <w:shd w:val="clear" w:fill="auto"/>
        </w:rPr>
        <w:t>拨</w:t>
      </w:r>
      <w:r>
        <w:rPr>
          <w:rFonts w:hint="eastAsia" w:ascii="仿宋_GB2312" w:hAnsi="仿宋" w:eastAsia="仿宋_GB2312"/>
          <w:b w:val="0"/>
          <w:bCs w:val="0"/>
          <w:u w:val="none" w:color="auto"/>
          <w:shd w:val="clear" w:fill="auto"/>
        </w:rPr>
        <w:t>款收入支出决算表</w:t>
      </w:r>
      <w:bookmarkEnd w:id="98"/>
      <w:bookmarkEnd w:id="99"/>
    </w:p>
    <w:p>
      <w:pPr>
        <w:pStyle w:val="14"/>
        <w:rPr>
          <w:rFonts w:ascii="仿宋_GB2312" w:hAnsi="仿宋" w:eastAsia="仿宋_GB2312"/>
          <w:u w:val="none" w:color="auto"/>
          <w:shd w:val="clear" w:fill="auto"/>
        </w:rPr>
      </w:pPr>
      <w:bookmarkStart w:id="100" w:name="_Toc6627"/>
      <w:bookmarkStart w:id="101" w:name="_Toc15396630"/>
      <w:r>
        <w:rPr>
          <w:rStyle w:val="30"/>
          <w:rFonts w:hint="eastAsia" w:ascii="仿宋_GB2312" w:hAnsi="仿宋" w:eastAsia="仿宋_GB2312"/>
          <w:b w:val="0"/>
          <w:bCs w:val="0"/>
          <w:u w:val="none" w:color="auto"/>
          <w:shd w:val="clear" w:fill="auto"/>
        </w:rPr>
        <w:t>十二、</w:t>
      </w:r>
      <w:r>
        <w:rPr>
          <w:rFonts w:hint="eastAsia" w:ascii="仿宋_GB2312" w:hAnsi="仿宋" w:eastAsia="仿宋_GB2312"/>
          <w:b w:val="0"/>
          <w:u w:val="none" w:color="auto"/>
          <w:shd w:val="clear" w:fill="auto"/>
        </w:rPr>
        <w:t>政</w:t>
      </w:r>
      <w:r>
        <w:rPr>
          <w:rStyle w:val="30"/>
          <w:rFonts w:hint="eastAsia" w:ascii="仿宋_GB2312" w:hAnsi="仿宋" w:eastAsia="仿宋_GB2312"/>
          <w:b w:val="0"/>
          <w:bCs w:val="0"/>
          <w:u w:val="none" w:color="auto"/>
          <w:shd w:val="clear" w:fill="auto"/>
        </w:rPr>
        <w:t>府性基金预算</w:t>
      </w:r>
      <w:r>
        <w:rPr>
          <w:rFonts w:hint="eastAsia" w:ascii="仿宋_GB2312" w:hAnsi="仿宋" w:eastAsia="仿宋_GB2312"/>
          <w:b w:val="0"/>
          <w:bCs w:val="0"/>
          <w:u w:val="none" w:color="auto"/>
          <w:shd w:val="clear" w:fill="auto"/>
        </w:rPr>
        <w:t>财政</w:t>
      </w:r>
      <w:r>
        <w:rPr>
          <w:rStyle w:val="30"/>
          <w:rFonts w:hint="eastAsia" w:ascii="仿宋_GB2312" w:hAnsi="仿宋" w:eastAsia="仿宋_GB2312"/>
          <w:b w:val="0"/>
          <w:bCs w:val="0"/>
          <w:u w:val="none" w:color="auto"/>
          <w:shd w:val="clear" w:fill="auto"/>
        </w:rPr>
        <w:t>拨</w:t>
      </w:r>
      <w:r>
        <w:rPr>
          <w:rFonts w:hint="eastAsia" w:ascii="仿宋_GB2312" w:hAnsi="仿宋" w:eastAsia="仿宋_GB2312"/>
          <w:b w:val="0"/>
          <w:bCs w:val="0"/>
          <w:u w:val="none" w:color="auto"/>
          <w:shd w:val="clear" w:fill="auto"/>
        </w:rPr>
        <w:t>款“三公”经费支出决算表</w:t>
      </w:r>
      <w:bookmarkEnd w:id="100"/>
      <w:bookmarkEnd w:id="101"/>
    </w:p>
    <w:p>
      <w:pPr>
        <w:pStyle w:val="14"/>
        <w:rPr>
          <w:rStyle w:val="30"/>
          <w:rFonts w:ascii="仿宋_GB2312" w:hAnsi="仿宋" w:eastAsia="仿宋_GB2312"/>
          <w:b w:val="0"/>
          <w:bCs w:val="0"/>
          <w:u w:val="none" w:color="auto"/>
          <w:shd w:val="clear" w:fill="auto"/>
        </w:rPr>
      </w:pPr>
      <w:bookmarkStart w:id="102" w:name="_Toc15396631"/>
      <w:bookmarkStart w:id="103" w:name="_Toc31949"/>
      <w:r>
        <w:rPr>
          <w:rStyle w:val="30"/>
          <w:rFonts w:hint="eastAsia" w:ascii="仿宋_GB2312" w:hAnsi="仿宋" w:eastAsia="仿宋_GB2312"/>
          <w:b w:val="0"/>
          <w:bCs w:val="0"/>
          <w:u w:val="none" w:color="auto"/>
          <w:shd w:val="clear" w:fill="auto"/>
        </w:rPr>
        <w:t>十三、</w:t>
      </w:r>
      <w:r>
        <w:rPr>
          <w:rFonts w:hint="eastAsia" w:ascii="仿宋_GB2312" w:hAnsi="仿宋" w:eastAsia="仿宋_GB2312"/>
          <w:b w:val="0"/>
          <w:u w:val="none" w:color="auto"/>
          <w:shd w:val="clear" w:fill="auto"/>
        </w:rPr>
        <w:t>国</w:t>
      </w:r>
      <w:r>
        <w:rPr>
          <w:rStyle w:val="30"/>
          <w:rFonts w:hint="eastAsia" w:ascii="仿宋_GB2312" w:hAnsi="仿宋" w:eastAsia="仿宋_GB2312"/>
          <w:b w:val="0"/>
          <w:bCs w:val="0"/>
          <w:u w:val="none" w:color="auto"/>
          <w:shd w:val="clear" w:fill="auto"/>
        </w:rPr>
        <w:t>有资本经营预算</w:t>
      </w:r>
      <w:r>
        <w:rPr>
          <w:rFonts w:hint="eastAsia" w:ascii="仿宋_GB2312" w:hAnsi="仿宋" w:eastAsia="仿宋_GB2312"/>
          <w:b w:val="0"/>
          <w:bCs w:val="0"/>
          <w:u w:val="none" w:color="auto"/>
          <w:shd w:val="clear" w:fill="auto"/>
        </w:rPr>
        <w:t>财政</w:t>
      </w:r>
      <w:r>
        <w:rPr>
          <w:rStyle w:val="30"/>
          <w:rFonts w:hint="eastAsia" w:ascii="仿宋_GB2312" w:hAnsi="仿宋" w:eastAsia="仿宋_GB2312"/>
          <w:b w:val="0"/>
          <w:bCs w:val="0"/>
          <w:u w:val="none" w:color="auto"/>
          <w:shd w:val="clear" w:fill="auto"/>
        </w:rPr>
        <w:t>拨</w:t>
      </w:r>
      <w:r>
        <w:rPr>
          <w:rFonts w:hint="eastAsia" w:ascii="仿宋_GB2312" w:hAnsi="仿宋" w:eastAsia="仿宋_GB2312"/>
          <w:b w:val="0"/>
          <w:bCs w:val="0"/>
          <w:u w:val="none" w:color="auto"/>
          <w:shd w:val="clear" w:fill="auto"/>
        </w:rPr>
        <w:t>款收入支出决算表</w:t>
      </w:r>
      <w:bookmarkEnd w:id="102"/>
      <w:bookmarkEnd w:id="103"/>
    </w:p>
    <w:p>
      <w:pPr>
        <w:rPr>
          <w:rFonts w:ascii="仿宋_GB2312" w:eastAsia="仿宋_GB2312"/>
          <w:sz w:val="32"/>
          <w:szCs w:val="32"/>
          <w:u w:val="none" w:color="auto"/>
          <w:shd w:val="clear" w:fill="auto"/>
        </w:rPr>
      </w:pPr>
      <w:bookmarkStart w:id="104" w:name="_Toc16418"/>
      <w:r>
        <w:rPr>
          <w:rStyle w:val="30"/>
          <w:rFonts w:hint="eastAsia" w:ascii="仿宋_GB2312" w:hAnsi="仿宋" w:eastAsia="仿宋_GB2312"/>
          <w:b w:val="0"/>
          <w:bCs w:val="0"/>
          <w:u w:val="none" w:color="auto"/>
          <w:shd w:val="clear" w:fill="auto"/>
        </w:rPr>
        <w:t>十四、国有资本经营预算</w:t>
      </w:r>
      <w:r>
        <w:rPr>
          <w:rFonts w:hint="eastAsia" w:ascii="仿宋_GB2312" w:hAnsi="仿宋" w:eastAsia="仿宋_GB2312"/>
          <w:sz w:val="32"/>
          <w:szCs w:val="32"/>
          <w:u w:val="none" w:color="auto"/>
          <w:shd w:val="clear" w:fill="auto"/>
        </w:rPr>
        <w:t>财政</w:t>
      </w:r>
      <w:r>
        <w:rPr>
          <w:rStyle w:val="30"/>
          <w:rFonts w:hint="eastAsia" w:ascii="仿宋_GB2312" w:hAnsi="仿宋" w:eastAsia="仿宋_GB2312"/>
          <w:b w:val="0"/>
          <w:bCs w:val="0"/>
          <w:u w:val="none" w:color="auto"/>
          <w:shd w:val="clear" w:fill="auto"/>
        </w:rPr>
        <w:t>拨</w:t>
      </w:r>
      <w:r>
        <w:rPr>
          <w:rFonts w:hint="eastAsia" w:ascii="仿宋_GB2312" w:hAnsi="仿宋" w:eastAsia="仿宋_GB2312"/>
          <w:sz w:val="32"/>
          <w:szCs w:val="32"/>
          <w:u w:val="none" w:color="auto"/>
          <w:shd w:val="clear" w:fill="auto"/>
        </w:rPr>
        <w:t>款支出决算表</w:t>
      </w:r>
      <w:bookmarkEnd w:id="104"/>
    </w:p>
    <w:sectPr>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pict>
        <v:shape id="_x0000_s1373" o:spid="_x0000_s13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sdt>
                <w:sdtPr>
                  <w:id w:val="-1994781956"/>
                </w:sdtPr>
                <w:sdtContent>
                  <w:p>
                    <w:pPr>
                      <w:pStyle w:val="17"/>
                      <w:jc w:val="center"/>
                    </w:pPr>
                    <w:r>
                      <w:fldChar w:fldCharType="begin"/>
                    </w:r>
                    <w:r>
                      <w:instrText xml:space="preserve">PAGE   \* MERGEFORMAT</w:instrText>
                    </w:r>
                    <w:r>
                      <w:fldChar w:fldCharType="separate"/>
                    </w:r>
                    <w:r>
                      <w:rPr>
                        <w:lang w:val="zh-CN"/>
                      </w:rPr>
                      <w:t>13</w:t>
                    </w:r>
                    <w:r>
                      <w:fldChar w:fldCharType="end"/>
                    </w:r>
                  </w:p>
                </w:sdtContent>
              </w:sdt>
              <w:p>
                <w:pPr>
                  <w:pStyle w:val="3"/>
                  <w:spacing w:before="72"/>
                </w:pPr>
              </w:p>
            </w:txbxContent>
          </v:textbox>
        </v:shape>
      </w:pict>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pict>
        <v:shape id="_x0000_s1374" o:spid="_x0000_s1374"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17"/>
                </w:pPr>
                <w:r>
                  <w:fldChar w:fldCharType="begin"/>
                </w:r>
                <w:r>
                  <w:instrText xml:space="preserve"> PAGE  \* MERGEFORMAT </w:instrText>
                </w:r>
                <w:r>
                  <w:fldChar w:fldCharType="separate"/>
                </w:r>
                <w:r>
                  <w:t>21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C07AC"/>
    <w:multiLevelType w:val="singleLevel"/>
    <w:tmpl w:val="02CC07AC"/>
    <w:lvl w:ilvl="0" w:tentative="0">
      <w:start w:val="9"/>
      <w:numFmt w:val="chineseCounting"/>
      <w:suff w:val="nothing"/>
      <w:lvlText w:val="%1、"/>
      <w:lvlJc w:val="left"/>
      <w:rPr>
        <w:rFonts w:hint="eastAsia"/>
      </w:rPr>
    </w:lvl>
  </w:abstractNum>
  <w:abstractNum w:abstractNumId="1">
    <w:nsid w:val="23DC76DD"/>
    <w:multiLevelType w:val="singleLevel"/>
    <w:tmpl w:val="23DC76DD"/>
    <w:lvl w:ilvl="0" w:tentative="0">
      <w:start w:val="11"/>
      <w:numFmt w:val="decimal"/>
      <w:lvlText w:val="%1."/>
      <w:lvlJc w:val="left"/>
      <w:pPr>
        <w:tabs>
          <w:tab w:val="left" w:pos="312"/>
        </w:tabs>
      </w:pPr>
    </w:lvl>
  </w:abstractNum>
  <w:abstractNum w:abstractNumId="2">
    <w:nsid w:val="330F0E3F"/>
    <w:multiLevelType w:val="multilevel"/>
    <w:tmpl w:val="330F0E3F"/>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76DA6096"/>
    <w:multiLevelType w:val="singleLevel"/>
    <w:tmpl w:val="76DA6096"/>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7"/>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BhZThmOTU4YTliMjhiZDc4ZDk4MjhmMTAzNjkifQ=="/>
  </w:docVars>
  <w:rsids>
    <w:rsidRoot w:val="00DD74B5"/>
    <w:rsid w:val="00110BBF"/>
    <w:rsid w:val="00434593"/>
    <w:rsid w:val="004D2195"/>
    <w:rsid w:val="00C64D32"/>
    <w:rsid w:val="00CB62F8"/>
    <w:rsid w:val="00DD74B5"/>
    <w:rsid w:val="02093EE8"/>
    <w:rsid w:val="425863FC"/>
    <w:rsid w:val="618B5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99"/>
    <w:pPr>
      <w:spacing w:beforeLines="30"/>
    </w:pPr>
    <w:rPr>
      <w:rFonts w:ascii="仿宋_GB2312" w:eastAsia="仿宋_GB2312"/>
      <w:kern w:val="0"/>
      <w:sz w:val="30"/>
    </w:rPr>
  </w:style>
  <w:style w:type="paragraph" w:styleId="4">
    <w:name w:val="Balloon Text"/>
    <w:basedOn w:val="1"/>
    <w:semiHidden/>
    <w:unhideWhenUsed/>
    <w:qFormat/>
    <w:uiPriority w:val="99"/>
    <w:rPr>
      <w:sz w:val="18"/>
      <w:szCs w:val="18"/>
    </w:rPr>
  </w:style>
  <w:style w:type="paragraph" w:styleId="5">
    <w:name w:val="footer"/>
    <w:basedOn w:val="1"/>
    <w:link w:val="43"/>
    <w:qFormat/>
    <w:uiPriority w:val="99"/>
    <w:pPr>
      <w:tabs>
        <w:tab w:val="center" w:pos="4153"/>
        <w:tab w:val="right" w:pos="8306"/>
      </w:tabs>
      <w:snapToGrid w:val="0"/>
      <w:jc w:val="left"/>
    </w:pPr>
    <w:rPr>
      <w:sz w:val="18"/>
      <w:szCs w:val="18"/>
    </w:rPr>
  </w:style>
  <w:style w:type="paragraph" w:styleId="6">
    <w:name w:val="header"/>
    <w:basedOn w:val="1"/>
    <w:link w:val="42"/>
    <w:semiHidden/>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99"/>
    <w:rPr>
      <w:b/>
    </w:rPr>
  </w:style>
  <w:style w:type="character" w:styleId="11">
    <w:name w:val="Hyperlink"/>
    <w:basedOn w:val="9"/>
    <w:unhideWhenUsed/>
    <w:qFormat/>
    <w:uiPriority w:val="99"/>
    <w:rPr>
      <w:color w:val="0000FF" w:themeColor="hyperlink"/>
      <w:u w:val="single"/>
    </w:rPr>
  </w:style>
  <w:style w:type="character" w:styleId="12">
    <w:name w:val="annotation reference"/>
    <w:basedOn w:val="9"/>
    <w:semiHidden/>
    <w:unhideWhenUsed/>
    <w:qFormat/>
    <w:uiPriority w:val="99"/>
    <w:rPr>
      <w:sz w:val="21"/>
      <w:szCs w:val="21"/>
    </w:rPr>
  </w:style>
  <w:style w:type="paragraph" w:customStyle="1" w:styleId="13">
    <w:name w:val="Heading 1"/>
    <w:basedOn w:val="1"/>
    <w:next w:val="1"/>
    <w:link w:val="29"/>
    <w:qFormat/>
    <w:uiPriority w:val="9"/>
    <w:pPr>
      <w:keepNext/>
      <w:keepLines/>
      <w:spacing w:before="340" w:after="330" w:line="578" w:lineRule="auto"/>
      <w:outlineLvl w:val="0"/>
    </w:pPr>
    <w:rPr>
      <w:b/>
      <w:bCs/>
      <w:kern w:val="44"/>
      <w:sz w:val="44"/>
      <w:szCs w:val="44"/>
    </w:rPr>
  </w:style>
  <w:style w:type="paragraph" w:customStyle="1" w:styleId="14">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customStyle="1" w:styleId="15">
    <w:name w:val="Heading 3"/>
    <w:basedOn w:val="1"/>
    <w:next w:val="1"/>
    <w:link w:val="33"/>
    <w:unhideWhenUsed/>
    <w:qFormat/>
    <w:uiPriority w:val="9"/>
    <w:pPr>
      <w:keepNext/>
      <w:keepLines/>
      <w:spacing w:before="260" w:after="260" w:line="416" w:lineRule="auto"/>
      <w:outlineLvl w:val="2"/>
    </w:pPr>
    <w:rPr>
      <w:b/>
      <w:bCs/>
      <w:sz w:val="32"/>
      <w:szCs w:val="32"/>
    </w:rPr>
  </w:style>
  <w:style w:type="paragraph" w:customStyle="1" w:styleId="16">
    <w:name w:val="TOC 3"/>
    <w:basedOn w:val="1"/>
    <w:next w:val="1"/>
    <w:unhideWhenUsed/>
    <w:qFormat/>
    <w:uiPriority w:val="39"/>
    <w:pPr>
      <w:tabs>
        <w:tab w:val="right" w:leader="dot" w:pos="8296"/>
      </w:tabs>
      <w:ind w:left="840" w:leftChars="400"/>
    </w:pPr>
  </w:style>
  <w:style w:type="paragraph" w:customStyle="1" w:styleId="17">
    <w:name w:val="Footer"/>
    <w:basedOn w:val="1"/>
    <w:qFormat/>
    <w:uiPriority w:val="99"/>
    <w:pPr>
      <w:tabs>
        <w:tab w:val="center" w:pos="4153"/>
        <w:tab w:val="right" w:pos="8306"/>
      </w:tabs>
      <w:snapToGrid w:val="0"/>
      <w:jc w:val="left"/>
    </w:pPr>
    <w:rPr>
      <w:rFonts w:ascii="Calibri" w:hAnsi="Calibri"/>
      <w:kern w:val="0"/>
      <w:sz w:val="18"/>
      <w:szCs w:val="18"/>
    </w:rPr>
  </w:style>
  <w:style w:type="paragraph" w:customStyle="1" w:styleId="18">
    <w:name w:val="Header"/>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customStyle="1" w:styleId="19">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0">
    <w:name w:val="TOC 2"/>
    <w:basedOn w:val="1"/>
    <w:next w:val="1"/>
    <w:unhideWhenUsed/>
    <w:qFormat/>
    <w:uiPriority w:val="39"/>
    <w:pPr>
      <w:tabs>
        <w:tab w:val="right" w:leader="dot" w:pos="8296"/>
      </w:tabs>
      <w:ind w:left="420" w:leftChars="200"/>
    </w:pPr>
  </w:style>
  <w:style w:type="character" w:customStyle="1" w:styleId="21">
    <w:name w:val="Header Char"/>
    <w:basedOn w:val="9"/>
    <w:semiHidden/>
    <w:qFormat/>
    <w:uiPriority w:val="99"/>
    <w:rPr>
      <w:rFonts w:ascii="Times New Roman" w:hAnsi="Times New Roman"/>
      <w:sz w:val="18"/>
      <w:szCs w:val="18"/>
    </w:rPr>
  </w:style>
  <w:style w:type="character" w:customStyle="1" w:styleId="22">
    <w:name w:val="页眉 Char"/>
    <w:semiHidden/>
    <w:qFormat/>
    <w:locked/>
    <w:uiPriority w:val="99"/>
    <w:rPr>
      <w:sz w:val="18"/>
    </w:rPr>
  </w:style>
  <w:style w:type="character" w:customStyle="1" w:styleId="23">
    <w:name w:val="Footer Char"/>
    <w:basedOn w:val="9"/>
    <w:semiHidden/>
    <w:qFormat/>
    <w:uiPriority w:val="99"/>
    <w:rPr>
      <w:rFonts w:ascii="Times New Roman" w:hAnsi="Times New Roman"/>
      <w:sz w:val="18"/>
      <w:szCs w:val="18"/>
    </w:rPr>
  </w:style>
  <w:style w:type="character" w:customStyle="1" w:styleId="24">
    <w:name w:val="页脚 Char"/>
    <w:qFormat/>
    <w:locked/>
    <w:uiPriority w:val="99"/>
    <w:rPr>
      <w:sz w:val="18"/>
    </w:rPr>
  </w:style>
  <w:style w:type="character" w:customStyle="1" w:styleId="25">
    <w:name w:val="Body Text Char"/>
    <w:basedOn w:val="9"/>
    <w:semiHidden/>
    <w:qFormat/>
    <w:uiPriority w:val="99"/>
    <w:rPr>
      <w:rFonts w:ascii="Times New Roman" w:hAnsi="Times New Roman"/>
      <w:szCs w:val="24"/>
    </w:rPr>
  </w:style>
  <w:style w:type="character" w:customStyle="1" w:styleId="26">
    <w:name w:val="正文文本 Char"/>
    <w:qFormat/>
    <w:locked/>
    <w:uiPriority w:val="99"/>
    <w:rPr>
      <w:rFonts w:ascii="仿宋_GB2312" w:hAnsi="Times New Roman" w:eastAsia="仿宋_GB2312"/>
      <w:sz w:val="24"/>
    </w:rPr>
  </w:style>
  <w:style w:type="paragraph" w:customStyle="1" w:styleId="27">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8">
    <w:name w:val="List Paragraph"/>
    <w:basedOn w:val="1"/>
    <w:qFormat/>
    <w:uiPriority w:val="34"/>
    <w:pPr>
      <w:ind w:firstLine="420" w:firstLineChars="200"/>
    </w:pPr>
  </w:style>
  <w:style w:type="character" w:customStyle="1" w:styleId="29">
    <w:name w:val="标题 1 Char"/>
    <w:basedOn w:val="9"/>
    <w:link w:val="13"/>
    <w:qFormat/>
    <w:uiPriority w:val="9"/>
    <w:rPr>
      <w:rFonts w:ascii="Times New Roman" w:hAnsi="Times New Roman"/>
      <w:b/>
      <w:bCs/>
      <w:kern w:val="44"/>
      <w:sz w:val="44"/>
      <w:szCs w:val="44"/>
    </w:rPr>
  </w:style>
  <w:style w:type="character" w:customStyle="1" w:styleId="30">
    <w:name w:val="标题 2 Char"/>
    <w:basedOn w:val="9"/>
    <w:link w:val="14"/>
    <w:qFormat/>
    <w:uiPriority w:val="9"/>
    <w:rPr>
      <w:rFonts w:asciiTheme="majorHAnsi" w:hAnsiTheme="majorHAnsi" w:eastAsiaTheme="majorEastAsia" w:cstheme="majorBidi"/>
      <w:b/>
      <w:bCs/>
      <w:kern w:val="2"/>
      <w:sz w:val="32"/>
      <w:szCs w:val="32"/>
    </w:rPr>
  </w:style>
  <w:style w:type="paragraph" w:customStyle="1" w:styleId="31">
    <w:name w:val="TOC 标题1"/>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9"/>
    <w:semiHidden/>
    <w:qFormat/>
    <w:uiPriority w:val="99"/>
    <w:rPr>
      <w:rFonts w:ascii="Times New Roman" w:hAnsi="Times New Roman"/>
      <w:kern w:val="2"/>
      <w:sz w:val="18"/>
      <w:szCs w:val="18"/>
    </w:rPr>
  </w:style>
  <w:style w:type="character" w:customStyle="1" w:styleId="33">
    <w:name w:val="标题 3 Char"/>
    <w:basedOn w:val="9"/>
    <w:link w:val="15"/>
    <w:qFormat/>
    <w:uiPriority w:val="9"/>
    <w:rPr>
      <w:rFonts w:ascii="Times New Roman" w:hAnsi="Times New Roman"/>
      <w:b/>
      <w:bCs/>
      <w:kern w:val="2"/>
      <w:sz w:val="32"/>
      <w:szCs w:val="32"/>
    </w:rPr>
  </w:style>
  <w:style w:type="paragraph" w:customStyle="1" w:styleId="34">
    <w:name w:val="TOC 标题2"/>
    <w:basedOn w:val="1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5">
    <w:name w:val="WPSOffice手动目录 1"/>
    <w:qFormat/>
    <w:uiPriority w:val="0"/>
    <w:rPr>
      <w:rFonts w:asciiTheme="minorHAnsi" w:hAnsiTheme="minorHAnsi" w:eastAsiaTheme="minorEastAsia" w:cstheme="minorBidi"/>
      <w:lang w:val="en-US" w:eastAsia="zh-CN" w:bidi="ar-SA"/>
    </w:rPr>
  </w:style>
  <w:style w:type="paragraph" w:customStyle="1" w:styleId="36">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7">
    <w:name w:val="批注文字 Char"/>
    <w:basedOn w:val="9"/>
    <w:semiHidden/>
    <w:qFormat/>
    <w:uiPriority w:val="99"/>
    <w:rPr>
      <w:rFonts w:ascii="Times New Roman" w:hAnsi="Times New Roman" w:eastAsia="宋体" w:cs="Times New Roman"/>
      <w:kern w:val="2"/>
      <w:sz w:val="21"/>
      <w:szCs w:val="24"/>
    </w:rPr>
  </w:style>
  <w:style w:type="paragraph" w:customStyle="1" w:styleId="38">
    <w:name w:val="Header0"/>
    <w:basedOn w:val="1"/>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39">
    <w:name w:val="页眉 Char1"/>
    <w:basedOn w:val="9"/>
    <w:semiHidden/>
    <w:uiPriority w:val="99"/>
    <w:rPr>
      <w:rFonts w:ascii="Times New Roman" w:hAnsi="Times New Roman" w:eastAsia="宋体" w:cs="Times New Roman"/>
      <w:kern w:val="2"/>
      <w:sz w:val="18"/>
      <w:szCs w:val="18"/>
    </w:rPr>
  </w:style>
  <w:style w:type="paragraph" w:customStyle="1" w:styleId="40">
    <w:name w:val="Footer0"/>
    <w:basedOn w:val="1"/>
    <w:qFormat/>
    <w:uiPriority w:val="99"/>
    <w:pPr>
      <w:tabs>
        <w:tab w:val="center" w:pos="4153"/>
        <w:tab w:val="right" w:pos="8306"/>
      </w:tabs>
      <w:snapToGrid w:val="0"/>
      <w:jc w:val="left"/>
    </w:pPr>
    <w:rPr>
      <w:sz w:val="18"/>
      <w:szCs w:val="18"/>
    </w:rPr>
  </w:style>
  <w:style w:type="character" w:customStyle="1" w:styleId="41">
    <w:name w:val="页脚 Char1"/>
    <w:basedOn w:val="9"/>
    <w:qFormat/>
    <w:uiPriority w:val="99"/>
    <w:rPr>
      <w:rFonts w:ascii="Times New Roman" w:hAnsi="Times New Roman" w:eastAsia="宋体" w:cs="Times New Roman"/>
      <w:kern w:val="2"/>
      <w:sz w:val="18"/>
      <w:szCs w:val="18"/>
    </w:rPr>
  </w:style>
  <w:style w:type="character" w:customStyle="1" w:styleId="42">
    <w:name w:val="页眉 Char2"/>
    <w:basedOn w:val="9"/>
    <w:link w:val="6"/>
    <w:semiHidden/>
    <w:qFormat/>
    <w:uiPriority w:val="99"/>
    <w:rPr>
      <w:rFonts w:ascii="Times New Roman" w:hAnsi="Times New Roman" w:eastAsia="宋体" w:cs="Times New Roman"/>
      <w:kern w:val="2"/>
      <w:sz w:val="18"/>
      <w:szCs w:val="18"/>
    </w:rPr>
  </w:style>
  <w:style w:type="character" w:customStyle="1" w:styleId="43">
    <w:name w:val="页脚 Char2"/>
    <w:basedOn w:val="9"/>
    <w:link w:val="5"/>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13.xml"/><Relationship Id="rId26" Type="http://schemas.openxmlformats.org/officeDocument/2006/relationships/customXml" Target="../customXml/item12.xml"/><Relationship Id="rId25" Type="http://schemas.openxmlformats.org/officeDocument/2006/relationships/customXml" Target="../customXml/item11.xml"/><Relationship Id="rId24" Type="http://schemas.openxmlformats.org/officeDocument/2006/relationships/customXml" Target="../customXml/item10.xml"/><Relationship Id="rId23" Type="http://schemas.openxmlformats.org/officeDocument/2006/relationships/customXml" Target="../customXml/item9.xml"/><Relationship Id="rId22" Type="http://schemas.openxmlformats.org/officeDocument/2006/relationships/customXml" Target="../customXml/item8.xml"/><Relationship Id="rId21" Type="http://schemas.openxmlformats.org/officeDocument/2006/relationships/customXml" Target="../customXml/item7.xml"/><Relationship Id="rId20" Type="http://schemas.openxmlformats.org/officeDocument/2006/relationships/customXml" Target="../customXml/item6.xml"/><Relationship Id="rId2" Type="http://schemas.openxmlformats.org/officeDocument/2006/relationships/settings" Target="settings.xml"/><Relationship Id="rId19" Type="http://schemas.openxmlformats.org/officeDocument/2006/relationships/customXml" Target="../customXml/item5.xml"/><Relationship Id="rId18" Type="http://schemas.openxmlformats.org/officeDocument/2006/relationships/customXml" Target="../customXml/item4.xml"/><Relationship Id="rId17" Type="http://schemas.openxmlformats.org/officeDocument/2006/relationships/customXml" Target="../customXml/item3.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1</a:t>
            </a:r>
            <a:r>
              <a:rPr altLang="en-US"/>
              <a:t>：收、支决算总计变动情况图</a:t>
            </a:r>
            <a:r>
              <a:rPr lang="en-US" altLang="zh-CN"/>
              <a:t>      </a:t>
            </a:r>
            <a:r>
              <a:rPr altLang="en-US"/>
              <a:t>单位：万元</a:t>
            </a:r>
            <a:endParaRPr lang="en-US" altLang="zh-CN"/>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2866.71</a:t>
                    </a:r>
                    <a:endParaRPr sz="1200"/>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2972.87</a:t>
                    </a:r>
                    <a:endParaRPr sz="1200"/>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2866.71</c:v>
                </c:pt>
                <c:pt idx="1">
                  <c:v>2972.87</c:v>
                </c:pt>
              </c:numCache>
            </c:numRef>
          </c:val>
        </c:ser>
        <c:ser>
          <c:idx val="1"/>
          <c:order val="1"/>
          <c:tx>
            <c:strRef>
              <c:f>Sheet1!$C$1</c:f>
              <c:strCache>
                <c:ptCount val="1"/>
                <c:pt idx="0">
                  <c:v>支出</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2866.71</a:t>
                    </a:r>
                    <a:endParaRPr sz="1200"/>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2972.87</a:t>
                    </a:r>
                    <a:endParaRPr sz="1200"/>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2866.71</c:v>
                </c:pt>
                <c:pt idx="1">
                  <c:v>2972.87</c:v>
                </c:pt>
              </c:numCache>
            </c:numRef>
          </c:val>
        </c:ser>
        <c:dLbls>
          <c:showLegendKey val="0"/>
          <c:showVal val="1"/>
          <c:showCatName val="0"/>
          <c:showSerName val="0"/>
          <c:showPercent val="0"/>
          <c:showBubbleSize val="0"/>
        </c:dLbls>
        <c:gapWidth val="219"/>
        <c:overlap val="-27"/>
        <c:axId val="225509760"/>
        <c:axId val="225511296"/>
      </c:barChart>
      <c:catAx>
        <c:axId val="2255097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511296"/>
        <c:crosses val="autoZero"/>
        <c:auto val="1"/>
        <c:lblAlgn val="ctr"/>
        <c:lblOffset val="100"/>
        <c:noMultiLvlLbl val="0"/>
      </c:catAx>
      <c:valAx>
        <c:axId val="225511296"/>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25509760"/>
        <c:crosses val="autoZero"/>
        <c:crossBetween val="between"/>
      </c:valAx>
      <c:spPr>
        <a:noFill/>
        <a:ln>
          <a:noFill/>
        </a:ln>
        <a:effectLst/>
      </c:spPr>
    </c:plotArea>
    <c:legend>
      <c:legendPos val="b"/>
      <c:layout>
        <c:manualLayout>
          <c:xMode val="edge"/>
          <c:yMode val="edge"/>
          <c:x val="0.0797500000000001"/>
          <c:y val="0.905166666666667"/>
          <c:w val="0.891625"/>
          <c:h val="0.08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r>
              <a:rPr lang="en-US" altLang="zh-CN"/>
              <a:t>     </a:t>
            </a:r>
            <a:r>
              <a:rPr altLang="en-US"/>
              <a:t>单位：万元</a:t>
            </a:r>
            <a:endParaRPr lang="en-US" altLang="zh-CN"/>
          </a:p>
        </c:rich>
      </c:tx>
      <c:layout/>
      <c:overlay val="0"/>
      <c:spPr>
        <a:noFill/>
        <a:ln>
          <a:noFill/>
        </a:ln>
        <a:effectLst/>
      </c:spPr>
    </c:title>
    <c:autoTitleDeleted val="0"/>
    <c:plotArea>
      <c:layout/>
      <c:pieChart>
        <c:varyColors val="1"/>
        <c:ser>
          <c:idx val="0"/>
          <c:order val="0"/>
          <c:tx>
            <c:strRef>
              <c:f>Sheet1!$B$1</c:f>
              <c:strCache>
                <c:ptCount val="1"/>
                <c:pt idx="0">
                  <c:v>收入决算结构</c:v>
                </c:pt>
              </c:strCache>
            </c:strRef>
          </c:tx>
          <c:explosion val="0"/>
          <c:dPt>
            <c:idx val="0"/>
            <c:bubble3D val="0"/>
            <c:spPr>
              <a:solidFill>
                <a:schemeClr val="accent1"/>
              </a:solidFill>
              <a:ln w="19050">
                <a:solidFill>
                  <a:schemeClr val="lt1"/>
                </a:solidFill>
              </a:ln>
              <a:effectLst/>
            </c:spPr>
          </c:dPt>
          <c:dLbls>
            <c:dLbl>
              <c:idx val="0"/>
              <c:layout>
                <c:manualLayout>
                  <c:x val="0.325125"/>
                  <c:y val="-0.69733333333333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a:t>2972.87 100%</a:t>
                    </a:r>
                    <a:endParaRPr sz="140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253033"/>
                      <c:h val="0.078166666666666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一般公共预算财政拨款收入</c:v>
                </c:pt>
              </c:strCache>
            </c:strRef>
          </c:cat>
          <c:val>
            <c:numRef>
              <c:f>Sheet1!$B$2</c:f>
              <c:numCache>
                <c:formatCode>General</c:formatCode>
                <c:ptCount val="1"/>
                <c:pt idx="0">
                  <c:v>2972.87</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3</a:t>
            </a:r>
            <a:r>
              <a:rPr altLang="en-US"/>
              <a:t>：支出</a:t>
            </a:r>
            <a:r>
              <a:t>决算结构图</a:t>
            </a:r>
            <a:r>
              <a:rPr lang="en-US" altLang="zh-CN"/>
              <a:t>     </a:t>
            </a:r>
            <a:r>
              <a:rPr altLang="en-US"/>
              <a:t>单位：万元</a:t>
            </a:r>
            <a:endParaRPr lang="en-US" altLang="zh-CN"/>
          </a:p>
        </c:rich>
      </c:tx>
      <c:layout>
        <c:manualLayout>
          <c:xMode val="edge"/>
          <c:yMode val="edge"/>
          <c:x val="0.2251875"/>
          <c:y val="0.0226666666666667"/>
        </c:manualLayout>
      </c:layout>
      <c:overlay val="0"/>
      <c:spPr>
        <a:noFill/>
        <a:ln>
          <a:noFill/>
        </a:ln>
        <a:effectLst/>
      </c:spPr>
    </c:title>
    <c:autoTitleDeleted val="0"/>
    <c:plotArea>
      <c:layout/>
      <c:pieChart>
        <c:varyColors val="1"/>
        <c:ser>
          <c:idx val="0"/>
          <c:order val="0"/>
          <c:tx>
            <c:strRef>
              <c:f>Sheet1!$B$1</c:f>
              <c:strCache>
                <c:ptCount val="1"/>
                <c:pt idx="0">
                  <c:v>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30425"/>
                  <c:y val="-0.64166666666666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a:t>29</a:t>
                    </a:r>
                    <a:r>
                      <a:rPr lang="en-US" altLang="zh-CN" sz="1400"/>
                      <a:t>27.27 </a:t>
                    </a:r>
                    <a:r>
                      <a:rPr sz="1400"/>
                      <a:t> </a:t>
                    </a:r>
                    <a:r>
                      <a:rPr lang="en-US" altLang="zh-CN" sz="1400"/>
                      <a:t> 98.47</a:t>
                    </a:r>
                    <a:r>
                      <a:rPr sz="1400"/>
                      <a:t>%</a:t>
                    </a:r>
                    <a:endParaRPr sz="140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2765"/>
                      <c:h val="0.0781666666666667"/>
                    </c:manualLayout>
                  </c15:layout>
                </c:ext>
              </c:extLst>
            </c:dLbl>
            <c:dLbl>
              <c:idx val="1"/>
              <c:layout>
                <c:manualLayout>
                  <c:x val="-0.13325"/>
                  <c:y val="0.013833333333333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a:t>45.6</a:t>
                    </a:r>
                    <a:r>
                      <a:rPr lang="en-US" altLang="zh-CN" sz="1400"/>
                      <a:t>   </a:t>
                    </a:r>
                    <a:r>
                      <a:rPr sz="1400"/>
                      <a:t> </a:t>
                    </a:r>
                    <a:r>
                      <a:rPr lang="en-US" altLang="zh-CN" sz="1400"/>
                      <a:t>1.53</a:t>
                    </a:r>
                    <a:r>
                      <a:rPr sz="1400"/>
                      <a:t>%</a:t>
                    </a:r>
                    <a:endParaRPr sz="140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339024079500573"/>
                      <c:h val="0.082227621005419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2927.27</c:v>
                </c:pt>
                <c:pt idx="1">
                  <c:v>45.6</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manualLayout>
          <c:xMode val="edge"/>
          <c:yMode val="edge"/>
          <c:x val="0.28666072111097"/>
          <c:y val="0.86880956830499"/>
          <c:w val="0.418906867116831"/>
          <c:h val="0.083535787703233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：财政拨款收、支决算总计变动情况</a:t>
            </a:r>
            <a:r>
              <a:rPr lang="en-US" altLang="zh-CN"/>
              <a:t>      </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r>
              <a:rPr altLang="en-US"/>
              <a:t>单位：万元</a:t>
            </a:r>
            <a:endParaRPr lang="en-US" altLang="zh-CN"/>
          </a:p>
        </c:rich>
      </c:tx>
      <c:layout>
        <c:manualLayout>
          <c:xMode val="edge"/>
          <c:yMode val="edge"/>
          <c:x val="0.225"/>
          <c:y val="0.039333333333333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财政拨款收入</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2866.71</a:t>
                    </a:r>
                    <a:endParaRPr sz="1200"/>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2972.87</a:t>
                    </a:r>
                    <a:endParaRPr sz="1200"/>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2866.71</c:v>
                </c:pt>
                <c:pt idx="1">
                  <c:v>2972.87</c:v>
                </c:pt>
              </c:numCache>
            </c:numRef>
          </c:val>
        </c:ser>
        <c:ser>
          <c:idx val="1"/>
          <c:order val="1"/>
          <c:tx>
            <c:strRef>
              <c:f>Sheet1!$C$1</c:f>
              <c:strCache>
                <c:ptCount val="1"/>
                <c:pt idx="0">
                  <c:v>财政拨款支出</c:v>
                </c:pt>
              </c:strCache>
            </c:strRef>
          </c:tx>
          <c:spPr>
            <a:solidFill>
              <a:schemeClr val="accent2"/>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2866.71</a:t>
                    </a:r>
                    <a:endParaRPr sz="1200"/>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2972.87</a:t>
                    </a:r>
                    <a:endParaRPr sz="1200"/>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2866.71</c:v>
                </c:pt>
                <c:pt idx="1">
                  <c:v>2972.87</c:v>
                </c:pt>
              </c:numCache>
            </c:numRef>
          </c:val>
        </c:ser>
        <c:dLbls>
          <c:showLegendKey val="0"/>
          <c:showVal val="1"/>
          <c:showCatName val="0"/>
          <c:showSerName val="0"/>
          <c:showPercent val="0"/>
          <c:showBubbleSize val="0"/>
        </c:dLbls>
        <c:gapWidth val="219"/>
        <c:overlap val="-27"/>
        <c:axId val="233719680"/>
        <c:axId val="233721216"/>
      </c:barChart>
      <c:catAx>
        <c:axId val="2337196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721216"/>
        <c:crosses val="autoZero"/>
        <c:auto val="1"/>
        <c:lblAlgn val="ctr"/>
        <c:lblOffset val="100"/>
        <c:noMultiLvlLbl val="0"/>
      </c:catAx>
      <c:valAx>
        <c:axId val="233721216"/>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3719680"/>
        <c:crosses val="autoZero"/>
        <c:crossBetween val="between"/>
      </c:valAx>
      <c:spPr>
        <a:noFill/>
        <a:ln>
          <a:noFill/>
        </a:ln>
        <a:effectLst/>
      </c:spPr>
    </c:plotArea>
    <c:legend>
      <c:legendPos val="b"/>
      <c:layout>
        <c:manualLayout>
          <c:xMode val="edge"/>
          <c:yMode val="edge"/>
          <c:x val="0.0797500000000001"/>
          <c:y val="0.905166666666667"/>
          <c:w val="0.891625"/>
          <c:h val="0.08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5</a:t>
            </a:r>
            <a:r>
              <a:rPr altLang="en-US"/>
              <a:t>：一般公共预算财政拨款支出决算变动情况</a:t>
            </a:r>
            <a:r>
              <a:rPr lang="en-US" altLang="zh-CN"/>
              <a:t>      </a:t>
            </a:r>
            <a:endParaRPr lang="en-US" altLang="zh-CN"/>
          </a:p>
          <a:p>
            <a:pPr defTabSz="914400">
              <a:defRPr lang="zh-CN" sz="1400" b="0" i="0" u="none" strike="noStrike" kern="1200" spc="0" baseline="0">
                <a:solidFill>
                  <a:schemeClr val="tx1">
                    <a:lumMod val="65000"/>
                    <a:lumOff val="35000"/>
                  </a:schemeClr>
                </a:solidFill>
                <a:latin typeface="+mn-lt"/>
                <a:ea typeface="+mn-ea"/>
                <a:cs typeface="+mn-cs"/>
              </a:defRPr>
            </a:pPr>
            <a:r>
              <a:rPr altLang="en-US"/>
              <a:t>单位：万元</a:t>
            </a:r>
            <a:endParaRPr lang="en-US" altLang="zh-CN"/>
          </a:p>
        </c:rich>
      </c:tx>
      <c:layout>
        <c:manualLayout>
          <c:xMode val="edge"/>
          <c:yMode val="edge"/>
          <c:x val="0.1895"/>
          <c:y val="0.0393333333333333"/>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dLbl>
              <c:idx val="0"/>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2866.71</a:t>
                    </a:r>
                    <a:endParaRPr sz="1200"/>
                  </a:p>
                </c:rich>
              </c:tx>
              <c:dLblPos val="outEnd"/>
              <c:showLegendKey val="0"/>
              <c:showVal val="1"/>
              <c:showCatName val="0"/>
              <c:showSerName val="0"/>
              <c:showPercent val="0"/>
              <c:showBubbleSize val="0"/>
              <c:extLst>
                <c:ext xmlns:c15="http://schemas.microsoft.com/office/drawing/2012/chart" uri="{CE6537A1-D6FC-4f65-9D91-7224C49458BB}">
                  <c15:layout>
                    <c:manualLayout>
                      <c:w val="0.172062136843354"/>
                      <c:h val="0.0822244289970209"/>
                    </c:manualLayout>
                  </c15:layout>
                </c:ext>
              </c:extLst>
            </c:dLbl>
            <c:dLbl>
              <c:idx val="1"/>
              <c:layout>
                <c:manualLayout>
                  <c:x val="0"/>
                  <c:y val="0.039721946375372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200"/>
                      <a:t>2972.87</a:t>
                    </a:r>
                    <a:endParaRPr sz="1200"/>
                  </a:p>
                </c:rich>
              </c:tx>
              <c:dLblPos val="outEnd"/>
              <c:showLegendKey val="0"/>
              <c:showVal val="1"/>
              <c:showCatName val="0"/>
              <c:showSerName val="0"/>
              <c:showPercent val="0"/>
              <c:showBubbleSize val="0"/>
              <c:extLst>
                <c:ext xmlns:c15="http://schemas.microsoft.com/office/drawing/2012/chart" uri="{CE6537A1-D6FC-4f65-9D91-7224C49458BB}">
                  <c15:layout>
                    <c:manualLayout>
                      <c:w val="0.16269417763548"/>
                      <c:h val="0.12909632571996"/>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2866.71</c:v>
                </c:pt>
                <c:pt idx="1">
                  <c:v>2972.87</c:v>
                </c:pt>
              </c:numCache>
            </c:numRef>
          </c:val>
        </c:ser>
        <c:dLbls>
          <c:showLegendKey val="0"/>
          <c:showVal val="1"/>
          <c:showCatName val="0"/>
          <c:showSerName val="0"/>
          <c:showPercent val="0"/>
          <c:showBubbleSize val="0"/>
        </c:dLbls>
        <c:gapWidth val="219"/>
        <c:overlap val="-27"/>
        <c:axId val="235340160"/>
        <c:axId val="235341696"/>
      </c:barChart>
      <c:catAx>
        <c:axId val="23534016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341696"/>
        <c:crosses val="autoZero"/>
        <c:auto val="1"/>
        <c:lblAlgn val="ctr"/>
        <c:lblOffset val="100"/>
        <c:noMultiLvlLbl val="0"/>
      </c:catAx>
      <c:valAx>
        <c:axId val="235341696"/>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5340160"/>
        <c:crosses val="autoZero"/>
        <c:crossBetween val="between"/>
      </c:valAx>
      <c:spPr>
        <a:noFill/>
        <a:ln>
          <a:noFill/>
        </a:ln>
        <a:effectLst/>
      </c:spPr>
    </c:plotArea>
    <c:legend>
      <c:legendPos val="b"/>
      <c:layout>
        <c:manualLayout>
          <c:xMode val="edge"/>
          <c:yMode val="edge"/>
          <c:x val="0.0797500000000001"/>
          <c:y val="0.905166666666667"/>
          <c:w val="0.891625"/>
          <c:h val="0.085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6</a:t>
            </a:r>
            <a:r>
              <a:rPr altLang="en-US"/>
              <a:t>：一般公共预算财政拨款支出决算结构图</a:t>
            </a:r>
            <a:endParaRPr altLang="en-US"/>
          </a:p>
          <a:p>
            <a:pPr defTabSz="914400">
              <a:defRPr lang="zh-CN" sz="1400" b="0" i="0" u="none" strike="noStrike" kern="1200" spc="0" baseline="0">
                <a:solidFill>
                  <a:schemeClr val="tx1">
                    <a:lumMod val="65000"/>
                    <a:lumOff val="35000"/>
                  </a:schemeClr>
                </a:solidFill>
                <a:latin typeface="+mn-lt"/>
                <a:ea typeface="+mn-ea"/>
                <a:cs typeface="+mn-cs"/>
              </a:defRPr>
            </a:pPr>
            <a:r>
              <a:rPr altLang="en-US"/>
              <a:t>单位：万元</a:t>
            </a:r>
            <a:endParaRPr lang="en-US" altLang="zh-CN"/>
          </a:p>
        </c:rich>
      </c:tx>
      <c:layout>
        <c:manualLayout>
          <c:xMode val="edge"/>
          <c:yMode val="edge"/>
          <c:x val="0.164751067362429"/>
          <c:y val="0.0321919473566808"/>
        </c:manualLayout>
      </c:layout>
      <c:overlay val="0"/>
      <c:spPr>
        <a:noFill/>
        <a:ln>
          <a:noFill/>
        </a:ln>
        <a:effectLst/>
      </c:spPr>
    </c:title>
    <c:autoTitleDeleted val="0"/>
    <c:plotArea>
      <c:layout/>
      <c:pieChart>
        <c:varyColors val="1"/>
        <c:ser>
          <c:idx val="0"/>
          <c:order val="0"/>
          <c:tx>
            <c:strRef>
              <c:f>Sheet1!$B$1</c:f>
              <c:strCache>
                <c:ptCount val="1"/>
                <c:pt idx="0">
                  <c:v>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295862877458355"/>
                  <c:y val="-0.49911491997166"/>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a:t>29</a:t>
                    </a:r>
                    <a:r>
                      <a:rPr lang="en-US" altLang="zh-CN" sz="1400"/>
                      <a:t>52.37</a:t>
                    </a:r>
                    <a:r>
                      <a:rPr sz="1400"/>
                      <a:t> </a:t>
                    </a:r>
                    <a:r>
                      <a:rPr lang="en-US" altLang="zh-CN" sz="1400"/>
                      <a:t>   99.31</a:t>
                    </a:r>
                    <a:r>
                      <a:rPr sz="1400"/>
                      <a:t>%</a:t>
                    </a:r>
                    <a:endParaRPr sz="140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2765"/>
                      <c:h val="0.0781666666666667"/>
                    </c:manualLayout>
                  </c15:layout>
                </c:ext>
              </c:extLst>
            </c:dLbl>
            <c:dLbl>
              <c:idx val="1"/>
              <c:layout>
                <c:manualLayout>
                  <c:x val="0.064625"/>
                  <c:y val="-0.014"/>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sz="1400"/>
                      <a:t>9.62   0.33</a:t>
                    </a:r>
                    <a:r>
                      <a:rPr sz="1400"/>
                      <a:t>%</a:t>
                    </a:r>
                    <a:endParaRPr sz="140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ext>
              </c:extLst>
            </c:dLbl>
            <c:dLbl>
              <c:idx val="2"/>
              <c:layout>
                <c:manualLayout>
                  <c:x val="-0.176264705882353"/>
                  <c:y val="0.0244309614097702"/>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a:t>0.4</a:t>
                    </a:r>
                    <a:r>
                      <a:rPr lang="en-US" altLang="zh-CN" sz="1400"/>
                      <a:t>   </a:t>
                    </a:r>
                    <a:r>
                      <a:rPr sz="1400"/>
                      <a:t> </a:t>
                    </a:r>
                    <a:r>
                      <a:rPr lang="en-US" altLang="zh-CN" sz="1400"/>
                      <a:t>0.01</a:t>
                    </a:r>
                    <a:r>
                      <a:rPr sz="1400"/>
                      <a:t>%</a:t>
                    </a:r>
                    <a:endParaRPr sz="1400"/>
                  </a:p>
                </c:rich>
              </c:tx>
              <c:dLblPos val="bestFit"/>
              <c:showLegendKey val="0"/>
              <c:showVal val="1"/>
              <c:showCatName val="0"/>
              <c:showSerName val="0"/>
              <c:showPercent val="1"/>
              <c:showBubbleSize val="0"/>
              <c:extLst>
                <c:ext xmlns:c15="http://schemas.microsoft.com/office/drawing/2012/chart" uri="{CE6537A1-D6FC-4f65-9D91-7224C49458BB}">
                  <c15:layout>
                    <c:manualLayout>
                      <c:w val="0.19"/>
                      <c:h val="0.0726666666666667"/>
                    </c:manualLayout>
                  </c15:layout>
                </c:ext>
              </c:extLst>
            </c:dLbl>
            <c:dLbl>
              <c:idx val="3"/>
              <c:layout>
                <c:manualLayout>
                  <c:x val="0.285195920303605"/>
                  <c:y val="0.0398055245743178"/>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400"/>
                      <a:t>10.49</a:t>
                    </a:r>
                    <a:r>
                      <a:rPr lang="en-US" altLang="zh-CN" sz="1400"/>
                      <a:t>    0.35</a:t>
                    </a:r>
                    <a:r>
                      <a:rPr sz="1400"/>
                      <a:t>%</a:t>
                    </a:r>
                    <a:endParaRPr sz="1400"/>
                  </a:p>
                </c:rich>
              </c:tx>
              <c:dLblPos val="bestFit"/>
              <c:showLegendKey val="0"/>
              <c:showVal val="1"/>
              <c:showCatName val="0"/>
              <c:showSerName val="0"/>
              <c:showPercent val="1"/>
              <c:showBubbleSize val="0"/>
              <c:extLst>
                <c:ext xmlns:c15="http://schemas.microsoft.com/office/drawing/2012/chart" uri="{CE6537A1-D6FC-4f65-9D91-7224C49458BB}">
                  <c15:layout>
                    <c:manualLayout>
                      <c:w val="0.253375"/>
                      <c:h val="0.073166666666666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Sheet1!$A$2:$A$5</c:f>
              <c:strCache>
                <c:ptCount val="4"/>
                <c:pt idx="0">
                  <c:v>社会保障和就业支出</c:v>
                </c:pt>
                <c:pt idx="1">
                  <c:v>卫生健康支出</c:v>
                </c:pt>
                <c:pt idx="2">
                  <c:v>农林水支出</c:v>
                </c:pt>
                <c:pt idx="3">
                  <c:v>住房保障支出</c:v>
                </c:pt>
              </c:strCache>
            </c:strRef>
          </c:cat>
          <c:val>
            <c:numRef>
              <c:f>Sheet1!$B$2:$B$5</c:f>
              <c:numCache>
                <c:formatCode>General</c:formatCode>
                <c:ptCount val="4"/>
                <c:pt idx="0">
                  <c:v>2952.37</c:v>
                </c:pt>
                <c:pt idx="1">
                  <c:v>9.62</c:v>
                </c:pt>
                <c:pt idx="2">
                  <c:v>0.4</c:v>
                </c:pt>
                <c:pt idx="3">
                  <c:v>10.49</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7</a:t>
            </a:r>
            <a:r>
              <a:rPr altLang="en-US"/>
              <a:t>：</a:t>
            </a:r>
            <a:r>
              <a:rPr lang="en-US" altLang="zh-CN"/>
              <a:t>“</a:t>
            </a:r>
            <a:r>
              <a:rPr altLang="en-US"/>
              <a:t>三公</a:t>
            </a:r>
            <a:r>
              <a:rPr lang="en-US" altLang="zh-CN"/>
              <a:t>”</a:t>
            </a:r>
            <a:r>
              <a:rPr altLang="en-US"/>
              <a:t>经费财政拨款支出结构图</a:t>
            </a:r>
            <a:r>
              <a:rPr lang="en-US" altLang="zh-CN"/>
              <a:t>   </a:t>
            </a:r>
            <a:r>
              <a:rPr altLang="en-US"/>
              <a:t>单位：万元</a:t>
            </a:r>
            <a:endParaRPr lang="en-US" altLang="zh-CN"/>
          </a:p>
        </c:rich>
      </c:tx>
      <c:layout>
        <c:manualLayout>
          <c:xMode val="edge"/>
          <c:yMode val="edge"/>
          <c:x val="0.1126875"/>
          <c:y val="0.0361541425818883"/>
        </c:manualLayout>
      </c:layout>
      <c:overlay val="0"/>
      <c:spPr>
        <a:noFill/>
        <a:ln>
          <a:noFill/>
        </a:ln>
        <a:effectLst/>
      </c:spPr>
    </c:title>
    <c:autoTitleDeleted val="0"/>
    <c:plotArea>
      <c:layout/>
      <c:pieChart>
        <c:varyColors val="1"/>
        <c:ser>
          <c:idx val="0"/>
          <c:order val="0"/>
          <c:tx>
            <c:strRef>
              <c:f>Sheet1!$B$1</c:f>
              <c:strCache>
                <c:ptCount val="1"/>
                <c:pt idx="0">
                  <c:v>“三公”经费财政拨款支出结构</c:v>
                </c:pt>
              </c:strCache>
            </c:strRef>
          </c:tx>
          <c:explosion val="0"/>
          <c:dPt>
            <c:idx val="0"/>
            <c:bubble3D val="0"/>
            <c:spPr>
              <a:solidFill>
                <a:schemeClr val="accent1"/>
              </a:solidFill>
              <a:ln w="19050">
                <a:solidFill>
                  <a:schemeClr val="lt1"/>
                </a:solidFill>
              </a:ln>
              <a:effectLst/>
            </c:spPr>
          </c:dPt>
          <c:dLbls>
            <c:dLbl>
              <c:idx val="0"/>
              <c:layout>
                <c:manualLayout>
                  <c:x val="0.304990974764835"/>
                  <c:y val="-0.456633654076953"/>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sz="1600"/>
                      <a:t>0.2 100%</a:t>
                    </a:r>
                    <a:endParaRPr sz="1600"/>
                  </a:p>
                </c:rich>
              </c:tx>
              <c:dLblPos val="bestFit"/>
              <c:showLegendKey val="0"/>
              <c:showVal val="1"/>
              <c:showCatName val="0"/>
              <c:showSerName val="0"/>
              <c:showPercent val="1"/>
              <c:showBubbleSize val="0"/>
              <c:separator> </c:separator>
              <c:extLst>
                <c:ext xmlns:c15="http://schemas.microsoft.com/office/drawing/2012/chart" uri="{CE6537A1-D6FC-4f65-9D91-7224C49458BB}">
                  <c15:layout>
                    <c:manualLayout>
                      <c:w val="0.276484501431595"/>
                      <c:h val="0.167590027700831"/>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Sheet1!$A$2</c:f>
              <c:strCache>
                <c:ptCount val="1"/>
                <c:pt idx="0">
                  <c:v>公务接待支出</c:v>
                </c:pt>
              </c:strCache>
            </c:strRef>
          </c:cat>
          <c:val>
            <c:numRef>
              <c:f>Sheet1!$B$2</c:f>
              <c:numCache>
                <c:formatCode>General</c:formatCode>
                <c:ptCount val="1"/>
                <c:pt idx="0">
                  <c:v>0.2</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373"/>
    <customShpInfo spid="_x0000_s1374"/>
  </customShpExt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User</cp:lastModifiedBy>
  <cp:revision>71</cp:revision>
  <cp:lastPrinted>2022-08-06T02:23:00Z</cp:lastPrinted>
  <dcterms:created xsi:type="dcterms:W3CDTF">2020-08-05T01:49:00Z</dcterms:created>
  <dcterms:modified xsi:type="dcterms:W3CDTF">2023-02-20T02:04:00Z</dcterms:modified>
</cp:coreProperties>
</file>

<file path=customXml/item11.xml><?xml version="1.0" encoding="utf-8"?>
<Properties xmlns:vt="http://schemas.openxmlformats.org/officeDocument/2006/docPropsVTypes" xmlns="http://schemas.openxmlformats.org/officeDocument/2006/extended-properties">
  <Template>Normal.dotm</Template>
  <TotalTime>3</TotalTime>
  <Pages>24</Pages>
  <Words>1519</Words>
  <Characters>8663</Characters>
  <Application>WPS Office_11.1.0.9208_F1E327BC-269C-435d-A152-05C5408002CA</Application>
  <DocSecurity>0</DocSecurity>
  <Lines>72</Lines>
  <Paragraphs>20</Paragraphs>
  <Company>四川省财政厅</Company>
  <CharactersWithSpaces>10162</CharactersWithSpaces>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asd</cp:lastModifiedBy>
  <cp:lastPrinted>2022-08-06T02:23:00Z</cp:lastPrinted>
  <dcterms:modified xsi:type="dcterms:W3CDTF">2022-10-14T07:26:20Z</dcterms:modified>
  <dc:title>四川省***</dc:title>
  <cp:revision>43</cp:revision>
</cp:coreProperties>
</file>

<file path=customXml/item13.xml><?xml version="1.0" encoding="utf-8"?>
<Properties xmlns="http://schemas.openxmlformats.org/officeDocument/2006/extended-properties" xmlns:vt="http://schemas.openxmlformats.org/officeDocument/2006/docPropsVTypes">
  <Template>Normal.dotm</Template>
  <Company>四川省财政厅</Company>
  <Pages>24</Pages>
  <Words>1519</Words>
  <Characters>8663</Characters>
  <Lines>72</Lines>
  <Paragraphs>20</Paragraphs>
  <TotalTime>3</TotalTime>
  <ScaleCrop>false</ScaleCrop>
  <LinksUpToDate>false</LinksUpToDate>
  <CharactersWithSpaces>10162</CharactersWithSpaces>
  <Application>WPS Office_11.1.0.9208_F1E327BC-269C-435d-A152-05C5408002CA</Application>
  <DocSecurity>0</DocSecurity>
</Properties>
</file>

<file path=customXml/item2.xml><?xml version="1.0" encoding="utf-8"?>
<Properties xmlns="http://schemas.openxmlformats.org/officeDocument/2006/extended-properties" xmlns:vt="http://schemas.openxmlformats.org/officeDocument/2006/docPropsVTypes">
  <Template>Normal</Template>
  <TotalTime>12</TotalTime>
  <Pages>21</Pages>
  <Words>1494</Words>
  <Characters>8520</Characters>
  <Application>Microsoft Office Word</Application>
  <DocSecurity>0</DocSecurity>
  <Lines>71</Lines>
  <Paragraphs>19</Paragraphs>
  <ScaleCrop>false</ScaleCrop>
  <Company>四川省财政厅</Company>
  <LinksUpToDate>false</LinksUpToDate>
  <CharactersWithSpaces>9995</CharactersWithSpaces>
  <SharedDoc>false</SharedDoc>
  <HyperlinksChanged>false</HyperlinksChanged>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asd</cp:lastModifiedBy>
  <cp:revision>43</cp:revision>
  <cp:lastPrinted>2022-08-06T02:23:00Z</cp:lastPrinted>
  <dcterms:created xsi:type="dcterms:W3CDTF">2020-08-05T01:49:00Z</dcterms:created>
  <dcterms:modified xsi:type="dcterms:W3CDTF">2022-10-14T07:26:20Z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User</cp:lastModifiedBy>
  <cp:revision>71</cp:revision>
  <cp:lastPrinted>2022-08-06T02:23:00Z</cp:lastPrinted>
  <dcterms:created xsi:type="dcterms:W3CDTF">2020-08-05T01:49:00Z</dcterms:created>
  <dcterms:modified xsi:type="dcterms:W3CDTF">2023-02-20T02:04:00Z</dcterms:modified>
</cp:coreProperties>
</file>

<file path=customXml/item5.xml><?xml version="1.0" encoding="utf-8"?>
<Properties xmlns:vt="http://schemas.openxmlformats.org/officeDocument/2006/docPropsVTypes" xmlns="http://schemas.openxmlformats.org/officeDocument/2006/extended-properties">
  <Template>Normal</Template>
  <TotalTime>12</TotalTime>
  <Pages>21</Pages>
  <Words>1494</Words>
  <Characters>8520</Characters>
  <Application>Microsoft Office Word</Application>
  <DocSecurity>0</DocSecurity>
  <Lines>71</Lines>
  <Paragraphs>19</Paragraphs>
  <Company>四川省财政厅</Company>
  <CharactersWithSpaces>9995</CharactersWithSpaces>
  <AppVersion>12.0000</AppVersion>
</Properties>
</file>

<file path=customXml/item6.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F817F446E8584AA38D213D6434E947FA</vt:lpwstr>
  </proper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F817F446E8584AA38D213D6434E947FA</vt:lpwstr>
  </property>
</Properties>
</file>

<file path=customXml/item8.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F817F446E8584AA38D213D6434E947FA</vt:lpstr>
  </property>
</Properties>
</file>

<file path=customXml/item9.xml><?xml version="1.0" encoding="utf-8"?>
<Properties xmlns:vt="http://schemas.openxmlformats.org/officeDocument/2006/docPropsVTypes" xmlns="http://schemas.openxmlformats.org/officeDocument/2006/custom-properties">
  <property fmtid="{D5CDD505-2E9C-101B-9397-08002B2CF9AE}" pid="2" name="KSOProductBuildVer">
    <vt:lpstr>2052-11.1.0.9208</vt:lpstr>
  </property>
  <property fmtid="{D5CDD505-2E9C-101B-9397-08002B2CF9AE}" pid="3" name="ICV">
    <vt:lpstr>F817F446E8584AA38D213D6434E947FA</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83872DD5-6AD9-4558-8775-79EAA881ECA0}">
  <ds:schemaRefs/>
</ds:datastoreItem>
</file>

<file path=customXml/itemProps11.xml><?xml version="1.0" encoding="utf-8"?>
<ds:datastoreItem xmlns:ds="http://schemas.openxmlformats.org/officeDocument/2006/customXml" ds:itemID="{81B1C46E-BD35-40FF-A3CE-0465BA965F77}">
  <ds:schemaRefs/>
</ds:datastoreItem>
</file>

<file path=customXml/itemProps12.xml><?xml version="1.0" encoding="utf-8"?>
<ds:datastoreItem xmlns:ds="http://schemas.openxmlformats.org/officeDocument/2006/customXml" ds:itemID="{68ADC273-9E86-429B-AA99-C7385FCE72EE}">
  <ds:schemaRefs/>
</ds:datastoreItem>
</file>

<file path=customXml/itemProps13.xml><?xml version="1.0" encoding="utf-8"?>
<ds:datastoreItem xmlns:ds="http://schemas.openxmlformats.org/officeDocument/2006/customXml" ds:itemID="{06CE4387-78CB-4AC5-B2B8-212402F700A8}">
  <ds:schemaRefs/>
</ds:datastoreItem>
</file>

<file path=customXml/itemProps2.xml><?xml version="1.0" encoding="utf-8"?>
<ds:datastoreItem xmlns:ds="http://schemas.openxmlformats.org/officeDocument/2006/customXml" ds:itemID="{70A4D065-350F-42AB-80D8-F8874624A679}">
  <ds:schemaRefs/>
</ds:datastoreItem>
</file>

<file path=customXml/itemProps3.xml><?xml version="1.0" encoding="utf-8"?>
<ds:datastoreItem xmlns:ds="http://schemas.openxmlformats.org/officeDocument/2006/customXml" ds:itemID="{270B66F8-6C1A-428B-8B86-69B8EA2390FB}">
  <ds:schemaRefs/>
</ds:datastoreItem>
</file>

<file path=customXml/itemProps4.xml><?xml version="1.0" encoding="utf-8"?>
<ds:datastoreItem xmlns:ds="http://schemas.openxmlformats.org/officeDocument/2006/customXml" ds:itemID="{1AE0324D-E0AB-4ECB-9F86-8FE5EA943F82}">
  <ds:schemaRefs/>
</ds:datastoreItem>
</file>

<file path=customXml/itemProps5.xml><?xml version="1.0" encoding="utf-8"?>
<ds:datastoreItem xmlns:ds="http://schemas.openxmlformats.org/officeDocument/2006/customXml" ds:itemID="{01954BD9-B4BE-4F8A-A034-F4FBBF78FE5B}">
  <ds:schemaRefs/>
</ds:datastoreItem>
</file>

<file path=customXml/itemProps6.xml><?xml version="1.0" encoding="utf-8"?>
<ds:datastoreItem xmlns:ds="http://schemas.openxmlformats.org/officeDocument/2006/customXml" ds:itemID="{6E319673-4763-4DA6-AF8A-72C5377CA5F6}">
  <ds:schemaRefs/>
</ds:datastoreItem>
</file>

<file path=customXml/itemProps7.xml><?xml version="1.0" encoding="utf-8"?>
<ds:datastoreItem xmlns:ds="http://schemas.openxmlformats.org/officeDocument/2006/customXml" ds:itemID="{F3EABA24-7190-49FC-8FD2-03DBC9783CD5}">
  <ds:schemaRefs/>
</ds:datastoreItem>
</file>

<file path=customXml/itemProps8.xml><?xml version="1.0" encoding="utf-8"?>
<ds:datastoreItem xmlns:ds="http://schemas.openxmlformats.org/officeDocument/2006/customXml" ds:itemID="{FED7FB47-F064-4804-9B9D-E63065F0C193}">
  <ds:schemaRefs/>
</ds:datastoreItem>
</file>

<file path=customXml/itemProps9.xml><?xml version="1.0" encoding="utf-8"?>
<ds:datastoreItem xmlns:ds="http://schemas.openxmlformats.org/officeDocument/2006/customXml" ds:itemID="{08A6F7DE-935C-4140-BE67-C807408745C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21</Pages>
  <Words>7004</Words>
  <Characters>7685</Characters>
  <Lines>70</Lines>
  <Paragraphs>19</Paragraphs>
  <TotalTime>14</TotalTime>
  <ScaleCrop>false</ScaleCrop>
  <LinksUpToDate>false</LinksUpToDate>
  <CharactersWithSpaces>8361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狂奔的蜗牛</cp:lastModifiedBy>
  <cp:lastPrinted>2022-08-06T02:23:00Z</cp:lastPrinted>
  <dcterms:modified xsi:type="dcterms:W3CDTF">2023-03-26T15:40:12Z</dcterms:modified>
  <dc:title>四川省***</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F817F446E8584AA38D213D6434E947FA</vt:lpwstr>
  </property>
</Properties>
</file>