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bookmarkStart w:id="115" w:name="_GoBack"/>
      <w:bookmarkEnd w:id="115"/>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96597"/>
      <w:bookmarkStart w:id="2" w:name="_Toc15378441"/>
      <w:bookmarkStart w:id="3" w:name="_Toc15377425"/>
      <w:bookmarkStart w:id="4" w:name="_Toc15396475"/>
      <w:bookmarkStart w:id="5" w:name="_Toc15377193"/>
      <w:r>
        <w:rPr>
          <w:rFonts w:hint="eastAsia" w:ascii="方正小标宋简体" w:hAnsi="方正小标宋简体" w:eastAsia="方正小标宋简体" w:cs="方正小标宋简体"/>
          <w:sz w:val="72"/>
          <w:szCs w:val="72"/>
        </w:rPr>
        <w:t>2021年度</w:t>
      </w:r>
      <w:bookmarkEnd w:id="1"/>
      <w:bookmarkEnd w:id="2"/>
      <w:bookmarkEnd w:id="3"/>
      <w:bookmarkEnd w:id="4"/>
      <w:bookmarkEnd w:id="5"/>
      <w:bookmarkStart w:id="6" w:name="_Toc15378442"/>
      <w:bookmarkStart w:id="7" w:name="_Toc15377426"/>
      <w:bookmarkStart w:id="8" w:name="_Toc15377194"/>
      <w:bookmarkStart w:id="9" w:name="_Toc15396598"/>
      <w:bookmarkStart w:id="10" w:name="_Toc15396476"/>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四川省</w:t>
      </w:r>
      <w:bookmarkEnd w:id="0"/>
      <w:bookmarkStart w:id="11" w:name="_Toc15306268"/>
      <w:r>
        <w:rPr>
          <w:rFonts w:hint="eastAsia" w:ascii="方正小标宋简体" w:hAnsi="方正小标宋简体" w:eastAsia="方正小标宋简体" w:cs="方正小标宋简体"/>
          <w:sz w:val="72"/>
          <w:szCs w:val="72"/>
        </w:rPr>
        <w:t>通江县唱歌镇</w:t>
      </w: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单位决算</w:t>
      </w:r>
      <w:bookmarkEnd w:id="6"/>
      <w:bookmarkEnd w:id="7"/>
      <w:bookmarkEnd w:id="8"/>
      <w:bookmarkEnd w:id="9"/>
      <w:bookmarkEnd w:id="10"/>
      <w:bookmarkEnd w:id="11"/>
    </w:p>
    <w:p>
      <w:pPr>
        <w:widowControl/>
        <w:jc w:val="center"/>
        <w:rPr>
          <w:rFonts w:ascii="黑体" w:hAnsi="黑体" w:eastAsia="黑体"/>
          <w:sz w:val="48"/>
          <w:szCs w:val="48"/>
        </w:rPr>
      </w:pPr>
      <w:r>
        <w:br w:type="page"/>
      </w:r>
      <w:r>
        <w:rPr>
          <w:rFonts w:hint="eastAsia" w:ascii="黑体" w:hAnsi="黑体" w:eastAsia="黑体"/>
          <w:sz w:val="48"/>
          <w:szCs w:val="48"/>
        </w:rPr>
        <w:t>目录</w:t>
      </w:r>
    </w:p>
    <w:p>
      <w:pPr>
        <w:pStyle w:val="20"/>
      </w:pPr>
      <w:r>
        <w:rPr>
          <w:rFonts w:hint="eastAsia"/>
        </w:rPr>
        <w:t>公开时间：2022年8月25日</w:t>
      </w:r>
    </w:p>
    <w:sdt>
      <w:sdtPr>
        <w:rPr>
          <w:rFonts w:ascii="宋体" w:hAnsi="宋体"/>
          <w:kern w:val="0"/>
          <w:sz w:val="20"/>
          <w:szCs w:val="20"/>
        </w:rPr>
        <w:id w:val="147467761"/>
        <w:docPartObj>
          <w:docPartGallery w:val="Table of Contents"/>
          <w:docPartUnique/>
        </w:docPartObj>
      </w:sdtPr>
      <w:sdtEndPr>
        <w:rPr>
          <w:rFonts w:ascii="宋体" w:hAnsi="宋体"/>
          <w:kern w:val="0"/>
          <w:sz w:val="20"/>
          <w:szCs w:val="20"/>
        </w:rPr>
      </w:sdtEndPr>
      <w:sdtContent>
        <w:p>
          <w:pPr>
            <w:jc w:val="center"/>
          </w:pPr>
        </w:p>
        <w:p>
          <w:pPr>
            <w:pStyle w:val="41"/>
            <w:tabs>
              <w:tab w:val="right" w:leader="dot" w:pos="8306"/>
            </w:tabs>
            <w:rPr>
              <w:rFonts w:ascii="宋体" w:hAnsi="宋体" w:cs="宋体"/>
              <w:sz w:val="28"/>
              <w:szCs w:val="28"/>
            </w:rPr>
          </w:pPr>
          <w:r>
            <w:fldChar w:fldCharType="begin"/>
          </w:r>
          <w:r>
            <w:instrText xml:space="preserve"> HYPERLINK \l "_Toc8076" </w:instrText>
          </w:r>
          <w:r>
            <w:fldChar w:fldCharType="separate"/>
          </w:r>
          <w:r>
            <w:rPr>
              <w:rFonts w:hint="eastAsia" w:ascii="宋体" w:hAnsi="宋体" w:cs="宋体"/>
              <w:b/>
              <w:bCs/>
              <w:sz w:val="28"/>
              <w:szCs w:val="28"/>
            </w:rPr>
            <w:t>第一部分</w:t>
          </w:r>
          <w:r>
            <w:rPr>
              <w:rFonts w:hint="eastAsia" w:ascii="宋体" w:hAnsi="宋体" w:cs="宋体"/>
              <w:b/>
              <w:bCs/>
              <w:sz w:val="28"/>
              <w:szCs w:val="28"/>
              <w:lang w:val="en-US" w:eastAsia="zh-CN"/>
            </w:rPr>
            <w:t xml:space="preserve"> </w:t>
          </w:r>
          <w:r>
            <w:rPr>
              <w:rFonts w:hint="eastAsia" w:ascii="宋体" w:hAnsi="宋体" w:cs="宋体"/>
              <w:b/>
              <w:bCs/>
              <w:sz w:val="28"/>
              <w:szCs w:val="28"/>
            </w:rPr>
            <w:t>单位概况</w:t>
          </w:r>
          <w:r>
            <w:rPr>
              <w:rFonts w:hint="eastAsia" w:ascii="宋体" w:hAnsi="宋体" w:cs="宋体"/>
              <w:b/>
              <w:bCs/>
              <w:sz w:val="28"/>
              <w:szCs w:val="28"/>
            </w:rPr>
            <w:tab/>
          </w:r>
          <w:r>
            <w:rPr>
              <w:rFonts w:hint="eastAsia" w:ascii="宋体" w:hAnsi="宋体" w:cs="宋体"/>
              <w:b/>
              <w:bCs/>
              <w:sz w:val="28"/>
              <w:szCs w:val="28"/>
            </w:rPr>
            <w:t>4</w:t>
          </w:r>
          <w:r>
            <w:rPr>
              <w:rFonts w:hint="eastAsia" w:ascii="宋体" w:hAnsi="宋体" w:cs="宋体"/>
              <w:b/>
              <w:bCs/>
              <w:sz w:val="28"/>
              <w:szCs w:val="28"/>
            </w:rPr>
            <w:fldChar w:fldCharType="end"/>
          </w:r>
        </w:p>
        <w:p>
          <w:pPr>
            <w:pStyle w:val="42"/>
            <w:tabs>
              <w:tab w:val="right" w:leader="dot" w:pos="8306"/>
            </w:tabs>
            <w:ind w:left="420"/>
            <w:rPr>
              <w:rFonts w:ascii="宋体" w:hAnsi="宋体" w:cs="宋体"/>
              <w:sz w:val="28"/>
              <w:szCs w:val="28"/>
            </w:rPr>
          </w:pPr>
          <w:r>
            <w:fldChar w:fldCharType="begin"/>
          </w:r>
          <w:r>
            <w:instrText xml:space="preserve"> HYPERLINK \l "_Toc20130" </w:instrText>
          </w:r>
          <w:r>
            <w:fldChar w:fldCharType="separate"/>
          </w:r>
          <w:r>
            <w:rPr>
              <w:rFonts w:hint="eastAsia" w:ascii="宋体" w:hAnsi="宋体" w:cs="宋体"/>
              <w:sz w:val="28"/>
              <w:szCs w:val="28"/>
            </w:rPr>
            <w:t>一、职能简介</w:t>
          </w:r>
          <w:r>
            <w:rPr>
              <w:rFonts w:hint="eastAsia" w:ascii="宋体" w:hAnsi="宋体" w:cs="宋体"/>
              <w:sz w:val="28"/>
              <w:szCs w:val="28"/>
            </w:rPr>
            <w:tab/>
          </w:r>
          <w:r>
            <w:rPr>
              <w:rFonts w:hint="eastAsia" w:ascii="宋体" w:hAnsi="宋体" w:cs="宋体"/>
              <w:sz w:val="28"/>
              <w:szCs w:val="28"/>
            </w:rPr>
            <w:t>4</w:t>
          </w:r>
          <w:r>
            <w:rPr>
              <w:rFonts w:hint="eastAsia" w:ascii="宋体" w:hAnsi="宋体" w:cs="宋体"/>
              <w:sz w:val="28"/>
              <w:szCs w:val="28"/>
            </w:rPr>
            <w:fldChar w:fldCharType="end"/>
          </w:r>
        </w:p>
        <w:p>
          <w:pPr>
            <w:pStyle w:val="42"/>
            <w:tabs>
              <w:tab w:val="right" w:leader="dot" w:pos="8306"/>
            </w:tabs>
            <w:ind w:left="420"/>
            <w:rPr>
              <w:rFonts w:ascii="宋体" w:hAnsi="宋体" w:cs="宋体"/>
              <w:sz w:val="28"/>
              <w:szCs w:val="28"/>
            </w:rPr>
          </w:pPr>
          <w:r>
            <w:fldChar w:fldCharType="begin"/>
          </w:r>
          <w:r>
            <w:instrText xml:space="preserve"> HYPERLINK \l "_Toc8974" </w:instrText>
          </w:r>
          <w:r>
            <w:fldChar w:fldCharType="separate"/>
          </w:r>
          <w:r>
            <w:rPr>
              <w:rFonts w:hint="eastAsia" w:ascii="宋体" w:hAnsi="宋体" w:cs="宋体"/>
              <w:sz w:val="28"/>
              <w:szCs w:val="28"/>
            </w:rPr>
            <w:t>二、2021年重点工作完成情况</w:t>
          </w:r>
          <w:r>
            <w:rPr>
              <w:rFonts w:hint="eastAsia" w:ascii="宋体" w:hAnsi="宋体" w:cs="宋体"/>
              <w:sz w:val="28"/>
              <w:szCs w:val="28"/>
            </w:rPr>
            <w:tab/>
          </w:r>
          <w:r>
            <w:rPr>
              <w:rFonts w:hint="eastAsia" w:ascii="宋体" w:hAnsi="宋体" w:cs="宋体"/>
              <w:sz w:val="28"/>
              <w:szCs w:val="28"/>
            </w:rPr>
            <w:t>5</w:t>
          </w:r>
          <w:r>
            <w:rPr>
              <w:rFonts w:hint="eastAsia" w:ascii="宋体" w:hAnsi="宋体" w:cs="宋体"/>
              <w:sz w:val="28"/>
              <w:szCs w:val="28"/>
            </w:rPr>
            <w:fldChar w:fldCharType="end"/>
          </w:r>
        </w:p>
        <w:p>
          <w:pPr>
            <w:pStyle w:val="41"/>
            <w:tabs>
              <w:tab w:val="right" w:leader="dot" w:pos="8306"/>
            </w:tabs>
            <w:rPr>
              <w:rFonts w:ascii="宋体" w:hAnsi="宋体" w:cs="宋体"/>
              <w:sz w:val="28"/>
              <w:szCs w:val="28"/>
            </w:rPr>
          </w:pPr>
          <w:r>
            <w:fldChar w:fldCharType="begin"/>
          </w:r>
          <w:r>
            <w:instrText xml:space="preserve"> HYPERLINK \l "_Toc5285" </w:instrText>
          </w:r>
          <w:r>
            <w:fldChar w:fldCharType="separate"/>
          </w:r>
          <w:r>
            <w:rPr>
              <w:rFonts w:hint="eastAsia" w:ascii="宋体" w:hAnsi="宋体" w:cs="宋体"/>
              <w:b/>
              <w:bCs/>
              <w:sz w:val="28"/>
              <w:szCs w:val="28"/>
            </w:rPr>
            <w:t>第二部分 2021年度单位决算情况说明</w:t>
          </w:r>
          <w:r>
            <w:rPr>
              <w:rFonts w:hint="eastAsia" w:ascii="宋体" w:hAnsi="宋体" w:cs="宋体"/>
              <w:b/>
              <w:bCs/>
              <w:sz w:val="28"/>
              <w:szCs w:val="28"/>
            </w:rPr>
            <w:tab/>
          </w:r>
          <w:r>
            <w:rPr>
              <w:rFonts w:hint="eastAsia" w:ascii="宋体" w:hAnsi="宋体" w:cs="宋体"/>
              <w:b/>
              <w:bCs/>
              <w:sz w:val="28"/>
              <w:szCs w:val="28"/>
            </w:rPr>
            <w:t>7</w:t>
          </w:r>
          <w:r>
            <w:rPr>
              <w:rFonts w:hint="eastAsia" w:ascii="宋体" w:hAnsi="宋体" w:cs="宋体"/>
              <w:b/>
              <w:bCs/>
              <w:sz w:val="28"/>
              <w:szCs w:val="28"/>
            </w:rPr>
            <w:fldChar w:fldCharType="end"/>
          </w:r>
        </w:p>
        <w:p>
          <w:pPr>
            <w:pStyle w:val="42"/>
            <w:tabs>
              <w:tab w:val="right" w:leader="dot" w:pos="8306"/>
            </w:tabs>
            <w:ind w:left="420"/>
            <w:rPr>
              <w:rFonts w:ascii="宋体" w:hAnsi="宋体" w:cs="宋体"/>
              <w:sz w:val="28"/>
              <w:szCs w:val="28"/>
            </w:rPr>
          </w:pPr>
          <w:r>
            <w:fldChar w:fldCharType="begin"/>
          </w:r>
          <w:r>
            <w:instrText xml:space="preserve"> HYPERLINK \l "_Toc12028" </w:instrText>
          </w:r>
          <w:r>
            <w:fldChar w:fldCharType="separate"/>
          </w:r>
          <w:r>
            <w:rPr>
              <w:rFonts w:hint="eastAsia" w:ascii="宋体" w:hAnsi="宋体" w:cs="宋体"/>
              <w:sz w:val="28"/>
              <w:szCs w:val="28"/>
            </w:rPr>
            <w:t>一、收入支出决算总体情况说明</w:t>
          </w:r>
          <w:r>
            <w:rPr>
              <w:rFonts w:hint="eastAsia" w:ascii="宋体" w:hAnsi="宋体" w:cs="宋体"/>
              <w:sz w:val="28"/>
              <w:szCs w:val="28"/>
            </w:rPr>
            <w:tab/>
          </w:r>
          <w:r>
            <w:rPr>
              <w:rFonts w:hint="eastAsia" w:ascii="宋体" w:hAnsi="宋体" w:cs="宋体"/>
              <w:sz w:val="28"/>
              <w:szCs w:val="28"/>
            </w:rPr>
            <w:t>7</w:t>
          </w:r>
          <w:r>
            <w:rPr>
              <w:rFonts w:hint="eastAsia" w:ascii="宋体" w:hAnsi="宋体" w:cs="宋体"/>
              <w:sz w:val="28"/>
              <w:szCs w:val="28"/>
            </w:rPr>
            <w:fldChar w:fldCharType="end"/>
          </w:r>
        </w:p>
        <w:p>
          <w:pPr>
            <w:pStyle w:val="42"/>
            <w:tabs>
              <w:tab w:val="right" w:leader="dot" w:pos="8306"/>
            </w:tabs>
            <w:ind w:left="420"/>
            <w:rPr>
              <w:rFonts w:ascii="宋体" w:hAnsi="宋体" w:cs="宋体"/>
              <w:sz w:val="28"/>
              <w:szCs w:val="28"/>
            </w:rPr>
          </w:pPr>
          <w:r>
            <w:fldChar w:fldCharType="begin"/>
          </w:r>
          <w:r>
            <w:instrText xml:space="preserve"> HYPERLINK \l "_Toc10319" </w:instrText>
          </w:r>
          <w:r>
            <w:fldChar w:fldCharType="separate"/>
          </w:r>
          <w:r>
            <w:rPr>
              <w:rFonts w:hint="eastAsia" w:ascii="宋体" w:hAnsi="宋体" w:cs="宋体"/>
              <w:sz w:val="28"/>
              <w:szCs w:val="28"/>
            </w:rPr>
            <w:t>二、收入决算情况说明</w:t>
          </w:r>
          <w:r>
            <w:rPr>
              <w:rFonts w:hint="eastAsia" w:ascii="宋体" w:hAnsi="宋体" w:cs="宋体"/>
              <w:sz w:val="28"/>
              <w:szCs w:val="28"/>
            </w:rPr>
            <w:tab/>
          </w:r>
          <w:r>
            <w:rPr>
              <w:rFonts w:hint="eastAsia" w:ascii="宋体" w:hAnsi="宋体" w:cs="宋体"/>
              <w:sz w:val="28"/>
              <w:szCs w:val="28"/>
            </w:rPr>
            <w:t>7</w:t>
          </w:r>
          <w:r>
            <w:rPr>
              <w:rFonts w:hint="eastAsia" w:ascii="宋体" w:hAnsi="宋体" w:cs="宋体"/>
              <w:sz w:val="28"/>
              <w:szCs w:val="28"/>
            </w:rPr>
            <w:fldChar w:fldCharType="end"/>
          </w:r>
        </w:p>
        <w:p>
          <w:pPr>
            <w:pStyle w:val="42"/>
            <w:tabs>
              <w:tab w:val="right" w:leader="dot" w:pos="8306"/>
            </w:tabs>
            <w:ind w:left="420"/>
            <w:rPr>
              <w:rFonts w:ascii="宋体" w:hAnsi="宋体" w:cs="宋体"/>
              <w:sz w:val="28"/>
              <w:szCs w:val="28"/>
            </w:rPr>
          </w:pPr>
          <w:r>
            <w:fldChar w:fldCharType="begin"/>
          </w:r>
          <w:r>
            <w:instrText xml:space="preserve"> HYPERLINK \l "_Toc29472" </w:instrText>
          </w:r>
          <w:r>
            <w:fldChar w:fldCharType="separate"/>
          </w:r>
          <w:r>
            <w:rPr>
              <w:rFonts w:hint="eastAsia" w:ascii="宋体" w:hAnsi="宋体" w:cs="宋体"/>
              <w:sz w:val="28"/>
              <w:szCs w:val="28"/>
            </w:rPr>
            <w:t>三、支出决算情况说明</w:t>
          </w:r>
          <w:r>
            <w:rPr>
              <w:rFonts w:hint="eastAsia" w:ascii="宋体" w:hAnsi="宋体" w:cs="宋体"/>
              <w:sz w:val="28"/>
              <w:szCs w:val="28"/>
            </w:rPr>
            <w:tab/>
          </w:r>
          <w:r>
            <w:rPr>
              <w:rFonts w:hint="eastAsia" w:ascii="宋体" w:hAnsi="宋体" w:cs="宋体"/>
              <w:sz w:val="28"/>
              <w:szCs w:val="28"/>
            </w:rPr>
            <w:t>8</w:t>
          </w:r>
          <w:r>
            <w:rPr>
              <w:rFonts w:hint="eastAsia" w:ascii="宋体" w:hAnsi="宋体" w:cs="宋体"/>
              <w:sz w:val="28"/>
              <w:szCs w:val="28"/>
            </w:rPr>
            <w:fldChar w:fldCharType="end"/>
          </w:r>
        </w:p>
        <w:p>
          <w:pPr>
            <w:pStyle w:val="42"/>
            <w:tabs>
              <w:tab w:val="right" w:leader="dot" w:pos="8306"/>
            </w:tabs>
            <w:ind w:left="420"/>
            <w:rPr>
              <w:rFonts w:ascii="宋体" w:hAnsi="宋体" w:cs="宋体"/>
              <w:sz w:val="28"/>
              <w:szCs w:val="28"/>
            </w:rPr>
          </w:pPr>
          <w:r>
            <w:fldChar w:fldCharType="begin"/>
          </w:r>
          <w:r>
            <w:instrText xml:space="preserve"> HYPERLINK \l "_Toc17939" </w:instrText>
          </w:r>
          <w:r>
            <w:fldChar w:fldCharType="separate"/>
          </w:r>
          <w:r>
            <w:rPr>
              <w:rFonts w:hint="eastAsia" w:ascii="宋体" w:hAnsi="宋体" w:cs="宋体"/>
              <w:sz w:val="28"/>
              <w:szCs w:val="28"/>
            </w:rPr>
            <w:t>四、财政拨款收入支出决算总体情况说明</w:t>
          </w:r>
          <w:r>
            <w:rPr>
              <w:rFonts w:hint="eastAsia" w:ascii="宋体" w:hAnsi="宋体" w:cs="宋体"/>
              <w:sz w:val="28"/>
              <w:szCs w:val="28"/>
            </w:rPr>
            <w:tab/>
          </w:r>
          <w:r>
            <w:rPr>
              <w:rFonts w:hint="eastAsia" w:ascii="宋体" w:hAnsi="宋体" w:cs="宋体"/>
              <w:sz w:val="28"/>
              <w:szCs w:val="28"/>
            </w:rPr>
            <w:t>9</w:t>
          </w:r>
          <w:r>
            <w:rPr>
              <w:rFonts w:hint="eastAsia" w:ascii="宋体" w:hAnsi="宋体" w:cs="宋体"/>
              <w:sz w:val="28"/>
              <w:szCs w:val="28"/>
            </w:rPr>
            <w:fldChar w:fldCharType="end"/>
          </w:r>
        </w:p>
        <w:p>
          <w:pPr>
            <w:pStyle w:val="42"/>
            <w:tabs>
              <w:tab w:val="right" w:leader="dot" w:pos="8306"/>
            </w:tabs>
            <w:ind w:left="420"/>
            <w:rPr>
              <w:rFonts w:ascii="宋体" w:hAnsi="宋体" w:cs="宋体"/>
              <w:sz w:val="28"/>
              <w:szCs w:val="28"/>
            </w:rPr>
          </w:pPr>
          <w:r>
            <w:fldChar w:fldCharType="begin"/>
          </w:r>
          <w:r>
            <w:instrText xml:space="preserve"> HYPERLINK \l "_Toc19194" </w:instrText>
          </w:r>
          <w:r>
            <w:fldChar w:fldCharType="separate"/>
          </w:r>
          <w:r>
            <w:rPr>
              <w:rFonts w:hint="eastAsia" w:ascii="宋体" w:hAnsi="宋体" w:cs="宋体"/>
              <w:sz w:val="28"/>
              <w:szCs w:val="28"/>
            </w:rPr>
            <w:t>五、一般公共预算财政拨款支出决算情况说明</w:t>
          </w:r>
          <w:r>
            <w:rPr>
              <w:rFonts w:hint="eastAsia" w:ascii="宋体" w:hAnsi="宋体" w:cs="宋体"/>
              <w:sz w:val="28"/>
              <w:szCs w:val="28"/>
            </w:rPr>
            <w:tab/>
          </w:r>
          <w:r>
            <w:rPr>
              <w:rFonts w:hint="eastAsia" w:ascii="宋体" w:hAnsi="宋体" w:cs="宋体"/>
              <w:sz w:val="28"/>
              <w:szCs w:val="28"/>
            </w:rPr>
            <w:t>9</w:t>
          </w:r>
          <w:r>
            <w:rPr>
              <w:rFonts w:hint="eastAsia" w:ascii="宋体" w:hAnsi="宋体" w:cs="宋体"/>
              <w:sz w:val="28"/>
              <w:szCs w:val="28"/>
            </w:rPr>
            <w:fldChar w:fldCharType="end"/>
          </w:r>
        </w:p>
        <w:p>
          <w:pPr>
            <w:pStyle w:val="42"/>
            <w:tabs>
              <w:tab w:val="right" w:leader="dot" w:pos="8306"/>
            </w:tabs>
            <w:ind w:left="420"/>
            <w:rPr>
              <w:rFonts w:ascii="宋体" w:hAnsi="宋体" w:cs="宋体"/>
              <w:sz w:val="28"/>
              <w:szCs w:val="28"/>
            </w:rPr>
          </w:pPr>
          <w:r>
            <w:fldChar w:fldCharType="begin"/>
          </w:r>
          <w:r>
            <w:instrText xml:space="preserve"> HYPERLINK \l "_Toc15155" </w:instrText>
          </w:r>
          <w:r>
            <w:fldChar w:fldCharType="separate"/>
          </w:r>
          <w:r>
            <w:rPr>
              <w:rFonts w:hint="eastAsia" w:ascii="宋体" w:hAnsi="宋体" w:cs="宋体"/>
              <w:sz w:val="28"/>
              <w:szCs w:val="28"/>
            </w:rPr>
            <w:t>六、一般公共预算财政拨款基本支出决算情况说明</w:t>
          </w:r>
          <w:r>
            <w:rPr>
              <w:rFonts w:hint="eastAsia" w:ascii="宋体" w:hAnsi="宋体" w:cs="宋体"/>
              <w:sz w:val="28"/>
              <w:szCs w:val="28"/>
            </w:rPr>
            <w:tab/>
          </w:r>
          <w:r>
            <w:rPr>
              <w:rFonts w:hint="eastAsia" w:ascii="宋体" w:hAnsi="宋体" w:cs="宋体"/>
              <w:sz w:val="28"/>
              <w:szCs w:val="28"/>
            </w:rPr>
            <w:t>15</w:t>
          </w:r>
          <w:r>
            <w:rPr>
              <w:rFonts w:hint="eastAsia" w:ascii="宋体" w:hAnsi="宋体" w:cs="宋体"/>
              <w:sz w:val="28"/>
              <w:szCs w:val="28"/>
            </w:rPr>
            <w:fldChar w:fldCharType="end"/>
          </w:r>
        </w:p>
        <w:p>
          <w:pPr>
            <w:pStyle w:val="42"/>
            <w:tabs>
              <w:tab w:val="right" w:leader="dot" w:pos="8306"/>
            </w:tabs>
            <w:ind w:left="420"/>
            <w:rPr>
              <w:rFonts w:ascii="宋体" w:hAnsi="宋体" w:cs="宋体"/>
              <w:sz w:val="28"/>
              <w:szCs w:val="28"/>
            </w:rPr>
          </w:pPr>
          <w:r>
            <w:fldChar w:fldCharType="begin"/>
          </w:r>
          <w:r>
            <w:instrText xml:space="preserve"> HYPERLINK \l "_Toc17707" </w:instrText>
          </w:r>
          <w:r>
            <w:fldChar w:fldCharType="separate"/>
          </w:r>
          <w:r>
            <w:rPr>
              <w:rFonts w:hint="eastAsia" w:ascii="宋体" w:hAnsi="宋体" w:cs="宋体"/>
              <w:sz w:val="28"/>
              <w:szCs w:val="28"/>
            </w:rPr>
            <w:t>七、“三公”经费财政拨款支出决算情况说明</w:t>
          </w:r>
          <w:r>
            <w:rPr>
              <w:rFonts w:hint="eastAsia" w:ascii="宋体" w:hAnsi="宋体" w:cs="宋体"/>
              <w:sz w:val="28"/>
              <w:szCs w:val="28"/>
            </w:rPr>
            <w:tab/>
          </w:r>
          <w:r>
            <w:rPr>
              <w:rFonts w:hint="eastAsia" w:ascii="宋体" w:hAnsi="宋体" w:cs="宋体"/>
              <w:sz w:val="28"/>
              <w:szCs w:val="28"/>
            </w:rPr>
            <w:t>15</w:t>
          </w:r>
          <w:r>
            <w:rPr>
              <w:rFonts w:hint="eastAsia" w:ascii="宋体" w:hAnsi="宋体" w:cs="宋体"/>
              <w:sz w:val="28"/>
              <w:szCs w:val="28"/>
            </w:rPr>
            <w:fldChar w:fldCharType="end"/>
          </w:r>
        </w:p>
        <w:p>
          <w:pPr>
            <w:pStyle w:val="42"/>
            <w:tabs>
              <w:tab w:val="right" w:leader="dot" w:pos="8306"/>
            </w:tabs>
            <w:ind w:left="420"/>
            <w:rPr>
              <w:rFonts w:ascii="宋体" w:hAnsi="宋体" w:cs="宋体"/>
              <w:sz w:val="28"/>
              <w:szCs w:val="28"/>
            </w:rPr>
          </w:pPr>
          <w:r>
            <w:fldChar w:fldCharType="begin"/>
          </w:r>
          <w:r>
            <w:instrText xml:space="preserve"> HYPERLINK \l "_Toc20748" </w:instrText>
          </w:r>
          <w:r>
            <w:fldChar w:fldCharType="separate"/>
          </w:r>
          <w:r>
            <w:rPr>
              <w:rFonts w:hint="eastAsia" w:ascii="宋体" w:hAnsi="宋体" w:cs="宋体"/>
              <w:sz w:val="28"/>
              <w:szCs w:val="28"/>
            </w:rPr>
            <w:t>八、政府性基金预算支出决算情况说明</w:t>
          </w:r>
          <w:r>
            <w:rPr>
              <w:rFonts w:hint="eastAsia" w:ascii="宋体" w:hAnsi="宋体" w:cs="宋体"/>
              <w:sz w:val="28"/>
              <w:szCs w:val="28"/>
            </w:rPr>
            <w:tab/>
          </w:r>
          <w:r>
            <w:rPr>
              <w:rFonts w:hint="eastAsia" w:ascii="宋体" w:hAnsi="宋体" w:cs="宋体"/>
              <w:sz w:val="28"/>
              <w:szCs w:val="28"/>
            </w:rPr>
            <w:t>17</w:t>
          </w:r>
          <w:r>
            <w:rPr>
              <w:rFonts w:hint="eastAsia" w:ascii="宋体" w:hAnsi="宋体" w:cs="宋体"/>
              <w:sz w:val="28"/>
              <w:szCs w:val="28"/>
            </w:rPr>
            <w:fldChar w:fldCharType="end"/>
          </w:r>
        </w:p>
        <w:p>
          <w:pPr>
            <w:pStyle w:val="42"/>
            <w:tabs>
              <w:tab w:val="right" w:leader="dot" w:pos="8306"/>
            </w:tabs>
            <w:ind w:left="420"/>
            <w:rPr>
              <w:rFonts w:ascii="宋体" w:hAnsi="宋体" w:cs="宋体"/>
              <w:sz w:val="28"/>
              <w:szCs w:val="28"/>
            </w:rPr>
          </w:pPr>
          <w:r>
            <w:fldChar w:fldCharType="begin"/>
          </w:r>
          <w:r>
            <w:instrText xml:space="preserve"> HYPERLINK \l "_Toc17151" </w:instrText>
          </w:r>
          <w:r>
            <w:fldChar w:fldCharType="separate"/>
          </w:r>
          <w:r>
            <w:rPr>
              <w:rFonts w:hint="eastAsia" w:ascii="宋体" w:hAnsi="宋体" w:cs="宋体"/>
              <w:sz w:val="28"/>
              <w:szCs w:val="28"/>
            </w:rPr>
            <w:t>九、国有资本经营预算支出决算情况说明</w:t>
          </w:r>
          <w:r>
            <w:rPr>
              <w:rFonts w:hint="eastAsia" w:ascii="宋体" w:hAnsi="宋体" w:cs="宋体"/>
              <w:sz w:val="28"/>
              <w:szCs w:val="28"/>
            </w:rPr>
            <w:tab/>
          </w:r>
          <w:r>
            <w:rPr>
              <w:rFonts w:hint="eastAsia" w:ascii="宋体" w:hAnsi="宋体" w:cs="宋体"/>
              <w:sz w:val="28"/>
              <w:szCs w:val="28"/>
            </w:rPr>
            <w:t>17</w:t>
          </w:r>
          <w:r>
            <w:rPr>
              <w:rFonts w:hint="eastAsia" w:ascii="宋体" w:hAnsi="宋体" w:cs="宋体"/>
              <w:sz w:val="28"/>
              <w:szCs w:val="28"/>
            </w:rPr>
            <w:fldChar w:fldCharType="end"/>
          </w:r>
        </w:p>
        <w:p>
          <w:pPr>
            <w:pStyle w:val="42"/>
            <w:tabs>
              <w:tab w:val="right" w:leader="dot" w:pos="8306"/>
            </w:tabs>
            <w:ind w:left="420"/>
            <w:rPr>
              <w:rFonts w:ascii="宋体" w:hAnsi="宋体" w:cs="宋体"/>
              <w:sz w:val="28"/>
              <w:szCs w:val="28"/>
            </w:rPr>
          </w:pPr>
          <w:r>
            <w:fldChar w:fldCharType="begin"/>
          </w:r>
          <w:r>
            <w:instrText xml:space="preserve"> HYPERLINK \l "_Toc13197" </w:instrText>
          </w:r>
          <w:r>
            <w:fldChar w:fldCharType="separate"/>
          </w:r>
          <w:r>
            <w:rPr>
              <w:rFonts w:hint="eastAsia" w:ascii="宋体" w:hAnsi="宋体" w:cs="宋体"/>
              <w:sz w:val="28"/>
              <w:szCs w:val="28"/>
            </w:rPr>
            <w:t>十、其他重要事项的情况说明</w:t>
          </w:r>
          <w:r>
            <w:rPr>
              <w:rFonts w:hint="eastAsia" w:ascii="宋体" w:hAnsi="宋体" w:cs="宋体"/>
              <w:sz w:val="28"/>
              <w:szCs w:val="28"/>
            </w:rPr>
            <w:tab/>
          </w:r>
          <w:r>
            <w:rPr>
              <w:rFonts w:hint="eastAsia" w:ascii="宋体" w:hAnsi="宋体" w:cs="宋体"/>
              <w:sz w:val="28"/>
              <w:szCs w:val="28"/>
            </w:rPr>
            <w:t>17</w:t>
          </w:r>
          <w:r>
            <w:rPr>
              <w:rFonts w:hint="eastAsia" w:ascii="宋体" w:hAnsi="宋体" w:cs="宋体"/>
              <w:sz w:val="28"/>
              <w:szCs w:val="28"/>
            </w:rPr>
            <w:fldChar w:fldCharType="end"/>
          </w:r>
        </w:p>
        <w:p>
          <w:pPr>
            <w:pStyle w:val="41"/>
            <w:tabs>
              <w:tab w:val="right" w:leader="dot" w:pos="8306"/>
            </w:tabs>
            <w:rPr>
              <w:rFonts w:ascii="宋体" w:hAnsi="宋体" w:cs="宋体"/>
              <w:sz w:val="28"/>
              <w:szCs w:val="28"/>
            </w:rPr>
          </w:pPr>
          <w:r>
            <w:fldChar w:fldCharType="begin"/>
          </w:r>
          <w:r>
            <w:instrText xml:space="preserve"> HYPERLINK \l "_Toc14620" </w:instrText>
          </w:r>
          <w:r>
            <w:fldChar w:fldCharType="separate"/>
          </w:r>
          <w:r>
            <w:rPr>
              <w:rFonts w:hint="eastAsia" w:ascii="宋体" w:hAnsi="宋体" w:cs="宋体"/>
              <w:b/>
              <w:bCs/>
              <w:sz w:val="28"/>
              <w:szCs w:val="28"/>
            </w:rPr>
            <w:t>第三部分</w:t>
          </w:r>
          <w:r>
            <w:rPr>
              <w:rFonts w:hint="eastAsia" w:ascii="宋体" w:hAnsi="宋体" w:cs="宋体"/>
              <w:b/>
              <w:bCs/>
              <w:sz w:val="28"/>
              <w:szCs w:val="28"/>
              <w:lang w:val="en-US" w:eastAsia="zh-CN"/>
            </w:rPr>
            <w:t xml:space="preserve"> </w:t>
          </w:r>
          <w:r>
            <w:rPr>
              <w:rFonts w:hint="eastAsia" w:ascii="宋体" w:hAnsi="宋体" w:cs="宋体"/>
              <w:b/>
              <w:bCs/>
              <w:sz w:val="28"/>
              <w:szCs w:val="28"/>
            </w:rPr>
            <w:t>名词解释</w:t>
          </w:r>
          <w:r>
            <w:rPr>
              <w:rFonts w:hint="eastAsia" w:ascii="宋体" w:hAnsi="宋体" w:cs="宋体"/>
              <w:b/>
              <w:bCs/>
              <w:sz w:val="28"/>
              <w:szCs w:val="28"/>
            </w:rPr>
            <w:tab/>
          </w:r>
          <w:r>
            <w:rPr>
              <w:rFonts w:hint="eastAsia" w:ascii="宋体" w:hAnsi="宋体" w:cs="宋体"/>
              <w:b/>
              <w:bCs/>
              <w:sz w:val="28"/>
              <w:szCs w:val="28"/>
            </w:rPr>
            <w:t>18</w:t>
          </w:r>
          <w:r>
            <w:rPr>
              <w:rFonts w:hint="eastAsia" w:ascii="宋体" w:hAnsi="宋体" w:cs="宋体"/>
              <w:b/>
              <w:bCs/>
              <w:sz w:val="28"/>
              <w:szCs w:val="28"/>
            </w:rPr>
            <w:fldChar w:fldCharType="end"/>
          </w:r>
        </w:p>
        <w:p>
          <w:pPr>
            <w:pStyle w:val="41"/>
            <w:tabs>
              <w:tab w:val="right" w:leader="dot" w:pos="8306"/>
            </w:tabs>
            <w:rPr>
              <w:rFonts w:ascii="宋体" w:hAnsi="宋体" w:cs="宋体"/>
              <w:sz w:val="28"/>
              <w:szCs w:val="28"/>
            </w:rPr>
          </w:pPr>
          <w:r>
            <w:fldChar w:fldCharType="begin"/>
          </w:r>
          <w:r>
            <w:instrText xml:space="preserve"> HYPERLINK \l "_Toc25462" </w:instrText>
          </w:r>
          <w:r>
            <w:fldChar w:fldCharType="separate"/>
          </w:r>
          <w:r>
            <w:rPr>
              <w:rFonts w:hint="eastAsia" w:ascii="宋体" w:hAnsi="宋体" w:cs="宋体"/>
              <w:b/>
              <w:bCs/>
              <w:sz w:val="28"/>
              <w:szCs w:val="28"/>
            </w:rPr>
            <w:t>第四部分</w:t>
          </w:r>
          <w:r>
            <w:rPr>
              <w:rFonts w:hint="eastAsia" w:ascii="宋体" w:hAnsi="宋体" w:cs="宋体"/>
              <w:b/>
              <w:bCs/>
              <w:sz w:val="28"/>
              <w:szCs w:val="28"/>
              <w:lang w:val="en-US" w:eastAsia="zh-CN"/>
            </w:rPr>
            <w:t xml:space="preserve"> </w:t>
          </w:r>
          <w:r>
            <w:rPr>
              <w:rFonts w:hint="eastAsia" w:ascii="宋体" w:hAnsi="宋体" w:cs="宋体"/>
              <w:b/>
              <w:bCs/>
              <w:sz w:val="28"/>
              <w:szCs w:val="28"/>
            </w:rPr>
            <w:t>附件</w:t>
          </w:r>
          <w:r>
            <w:rPr>
              <w:rFonts w:hint="eastAsia" w:ascii="宋体" w:hAnsi="宋体" w:cs="宋体"/>
              <w:b/>
              <w:bCs/>
              <w:sz w:val="28"/>
              <w:szCs w:val="28"/>
            </w:rPr>
            <w:tab/>
          </w:r>
          <w:r>
            <w:rPr>
              <w:rFonts w:hint="eastAsia" w:ascii="宋体" w:hAnsi="宋体" w:cs="宋体"/>
              <w:b/>
              <w:bCs/>
              <w:sz w:val="28"/>
              <w:szCs w:val="28"/>
            </w:rPr>
            <w:t>25</w:t>
          </w:r>
          <w:r>
            <w:rPr>
              <w:rFonts w:hint="eastAsia" w:ascii="宋体" w:hAnsi="宋体" w:cs="宋体"/>
              <w:b/>
              <w:bCs/>
              <w:sz w:val="28"/>
              <w:szCs w:val="28"/>
            </w:rPr>
            <w:fldChar w:fldCharType="end"/>
          </w:r>
        </w:p>
        <w:p>
          <w:pPr>
            <w:pStyle w:val="42"/>
            <w:tabs>
              <w:tab w:val="right" w:leader="dot" w:pos="8306"/>
            </w:tabs>
            <w:ind w:left="420"/>
            <w:rPr>
              <w:rFonts w:ascii="宋体" w:hAnsi="宋体" w:cs="宋体"/>
              <w:sz w:val="28"/>
              <w:szCs w:val="28"/>
            </w:rPr>
          </w:pPr>
          <w:r>
            <w:fldChar w:fldCharType="begin"/>
          </w:r>
          <w:r>
            <w:instrText xml:space="preserve"> HYPERLINK \l "_Toc12614" </w:instrText>
          </w:r>
          <w:r>
            <w:fldChar w:fldCharType="separate"/>
          </w:r>
          <w:r>
            <w:rPr>
              <w:rFonts w:hint="eastAsia" w:ascii="宋体" w:hAnsi="宋体" w:cs="宋体"/>
              <w:sz w:val="28"/>
              <w:szCs w:val="28"/>
            </w:rPr>
            <w:t>通江县唱歌镇人民政府</w:t>
          </w:r>
          <w:r>
            <w:rPr>
              <w:rFonts w:hint="eastAsia" w:ascii="宋体" w:hAnsi="宋体" w:cs="宋体"/>
              <w:sz w:val="28"/>
              <w:szCs w:val="28"/>
            </w:rPr>
            <w:tab/>
          </w:r>
          <w:r>
            <w:rPr>
              <w:rFonts w:hint="eastAsia" w:ascii="宋体" w:hAnsi="宋体" w:cs="宋体"/>
              <w:sz w:val="28"/>
              <w:szCs w:val="28"/>
            </w:rPr>
            <w:t>25</w:t>
          </w:r>
          <w:r>
            <w:rPr>
              <w:rFonts w:hint="eastAsia" w:ascii="宋体" w:hAnsi="宋体" w:cs="宋体"/>
              <w:sz w:val="28"/>
              <w:szCs w:val="28"/>
            </w:rPr>
            <w:fldChar w:fldCharType="end"/>
          </w:r>
        </w:p>
        <w:p>
          <w:pPr>
            <w:pStyle w:val="42"/>
            <w:tabs>
              <w:tab w:val="right" w:leader="dot" w:pos="8306"/>
            </w:tabs>
            <w:ind w:left="420"/>
            <w:rPr>
              <w:rFonts w:ascii="宋体" w:hAnsi="宋体" w:cs="宋体"/>
              <w:sz w:val="28"/>
              <w:szCs w:val="28"/>
            </w:rPr>
          </w:pPr>
          <w:r>
            <w:fldChar w:fldCharType="begin"/>
          </w:r>
          <w:r>
            <w:instrText xml:space="preserve"> HYPERLINK \l "_Toc10097" </w:instrText>
          </w:r>
          <w:r>
            <w:fldChar w:fldCharType="separate"/>
          </w:r>
          <w:r>
            <w:rPr>
              <w:rFonts w:hint="eastAsia" w:ascii="宋体" w:hAnsi="宋体" w:cs="宋体"/>
              <w:sz w:val="28"/>
              <w:szCs w:val="28"/>
            </w:rPr>
            <w:t>关于2021年整体支出绩效评价的报告</w:t>
          </w:r>
          <w:r>
            <w:rPr>
              <w:rFonts w:hint="eastAsia" w:ascii="宋体" w:hAnsi="宋体" w:cs="宋体"/>
              <w:sz w:val="28"/>
              <w:szCs w:val="28"/>
            </w:rPr>
            <w:tab/>
          </w:r>
          <w:r>
            <w:rPr>
              <w:rFonts w:hint="eastAsia" w:ascii="宋体" w:hAnsi="宋体" w:cs="宋体"/>
              <w:sz w:val="28"/>
              <w:szCs w:val="28"/>
            </w:rPr>
            <w:t>25</w:t>
          </w:r>
          <w:r>
            <w:rPr>
              <w:rFonts w:hint="eastAsia" w:ascii="宋体" w:hAnsi="宋体" w:cs="宋体"/>
              <w:sz w:val="28"/>
              <w:szCs w:val="28"/>
            </w:rPr>
            <w:fldChar w:fldCharType="end"/>
          </w:r>
        </w:p>
        <w:p>
          <w:pPr>
            <w:pStyle w:val="42"/>
            <w:tabs>
              <w:tab w:val="right" w:leader="dot" w:pos="8306"/>
            </w:tabs>
            <w:ind w:left="420"/>
            <w:rPr>
              <w:rFonts w:ascii="宋体" w:hAnsi="宋体" w:cs="宋体"/>
              <w:sz w:val="28"/>
              <w:szCs w:val="28"/>
            </w:rPr>
          </w:pPr>
          <w:r>
            <w:fldChar w:fldCharType="begin"/>
          </w:r>
          <w:r>
            <w:instrText xml:space="preserve"> HYPERLINK \l "_Toc5003" </w:instrText>
          </w:r>
          <w:r>
            <w:fldChar w:fldCharType="separate"/>
          </w:r>
          <w:r>
            <w:rPr>
              <w:rFonts w:hint="eastAsia" w:ascii="宋体" w:hAnsi="宋体" w:cs="宋体"/>
              <w:sz w:val="28"/>
              <w:szCs w:val="28"/>
            </w:rPr>
            <w:t>一、单位概况</w:t>
          </w:r>
          <w:r>
            <w:rPr>
              <w:rFonts w:hint="eastAsia" w:ascii="宋体" w:hAnsi="宋体" w:cs="宋体"/>
              <w:sz w:val="28"/>
              <w:szCs w:val="28"/>
            </w:rPr>
            <w:tab/>
          </w:r>
          <w:r>
            <w:rPr>
              <w:rFonts w:hint="eastAsia" w:ascii="宋体" w:hAnsi="宋体" w:cs="宋体"/>
              <w:sz w:val="28"/>
              <w:szCs w:val="28"/>
            </w:rPr>
            <w:t>25</w:t>
          </w:r>
          <w:r>
            <w:rPr>
              <w:rFonts w:hint="eastAsia" w:ascii="宋体" w:hAnsi="宋体" w:cs="宋体"/>
              <w:sz w:val="28"/>
              <w:szCs w:val="28"/>
            </w:rPr>
            <w:fldChar w:fldCharType="end"/>
          </w:r>
        </w:p>
        <w:p>
          <w:pPr>
            <w:pStyle w:val="42"/>
            <w:tabs>
              <w:tab w:val="right" w:leader="dot" w:pos="8306"/>
            </w:tabs>
            <w:ind w:left="420"/>
            <w:rPr>
              <w:rFonts w:ascii="宋体" w:hAnsi="宋体" w:cs="宋体"/>
              <w:sz w:val="28"/>
              <w:szCs w:val="28"/>
            </w:rPr>
          </w:pPr>
          <w:r>
            <w:fldChar w:fldCharType="begin"/>
          </w:r>
          <w:r>
            <w:instrText xml:space="preserve"> HYPERLINK \l "_Toc23326" </w:instrText>
          </w:r>
          <w:r>
            <w:fldChar w:fldCharType="separate"/>
          </w:r>
          <w:r>
            <w:rPr>
              <w:rFonts w:hint="eastAsia" w:ascii="宋体" w:hAnsi="宋体" w:cs="宋体"/>
              <w:sz w:val="28"/>
              <w:szCs w:val="28"/>
            </w:rPr>
            <w:t>二、部门财政资金收支情况</w:t>
          </w:r>
          <w:r>
            <w:rPr>
              <w:rFonts w:hint="eastAsia" w:ascii="宋体" w:hAnsi="宋体" w:cs="宋体"/>
              <w:sz w:val="28"/>
              <w:szCs w:val="28"/>
            </w:rPr>
            <w:tab/>
          </w:r>
          <w:r>
            <w:rPr>
              <w:rFonts w:hint="eastAsia" w:ascii="宋体" w:hAnsi="宋体" w:cs="宋体"/>
              <w:sz w:val="28"/>
              <w:szCs w:val="28"/>
            </w:rPr>
            <w:t>27</w:t>
          </w:r>
          <w:r>
            <w:rPr>
              <w:rFonts w:hint="eastAsia" w:ascii="宋体" w:hAnsi="宋体" w:cs="宋体"/>
              <w:sz w:val="28"/>
              <w:szCs w:val="28"/>
            </w:rPr>
            <w:fldChar w:fldCharType="end"/>
          </w:r>
        </w:p>
        <w:p>
          <w:pPr>
            <w:pStyle w:val="42"/>
            <w:tabs>
              <w:tab w:val="right" w:leader="dot" w:pos="8306"/>
            </w:tabs>
            <w:ind w:left="420"/>
            <w:rPr>
              <w:rFonts w:ascii="宋体" w:hAnsi="宋体" w:cs="宋体"/>
              <w:sz w:val="28"/>
              <w:szCs w:val="28"/>
            </w:rPr>
          </w:pPr>
          <w:r>
            <w:fldChar w:fldCharType="begin"/>
          </w:r>
          <w:r>
            <w:instrText xml:space="preserve"> HYPERLINK \l "_Toc14769" </w:instrText>
          </w:r>
          <w:r>
            <w:fldChar w:fldCharType="separate"/>
          </w:r>
          <w:r>
            <w:rPr>
              <w:rFonts w:hint="eastAsia" w:ascii="宋体" w:hAnsi="宋体" w:cs="宋体"/>
              <w:sz w:val="28"/>
              <w:szCs w:val="28"/>
            </w:rPr>
            <w:t>三、部门整体预算绩效管理情况</w:t>
          </w:r>
          <w:r>
            <w:rPr>
              <w:rFonts w:hint="eastAsia" w:ascii="宋体" w:hAnsi="宋体" w:cs="宋体"/>
              <w:sz w:val="28"/>
              <w:szCs w:val="28"/>
            </w:rPr>
            <w:tab/>
          </w:r>
          <w:r>
            <w:rPr>
              <w:rFonts w:hint="eastAsia" w:ascii="宋体" w:hAnsi="宋体" w:cs="宋体"/>
              <w:sz w:val="28"/>
              <w:szCs w:val="28"/>
            </w:rPr>
            <w:t>27</w:t>
          </w:r>
          <w:r>
            <w:rPr>
              <w:rFonts w:hint="eastAsia" w:ascii="宋体" w:hAnsi="宋体" w:cs="宋体"/>
              <w:sz w:val="28"/>
              <w:szCs w:val="28"/>
            </w:rPr>
            <w:fldChar w:fldCharType="end"/>
          </w:r>
        </w:p>
        <w:p>
          <w:pPr>
            <w:pStyle w:val="42"/>
            <w:tabs>
              <w:tab w:val="right" w:leader="dot" w:pos="8306"/>
            </w:tabs>
            <w:ind w:left="420"/>
            <w:rPr>
              <w:rFonts w:ascii="宋体" w:hAnsi="宋体" w:cs="宋体"/>
              <w:sz w:val="28"/>
              <w:szCs w:val="28"/>
            </w:rPr>
          </w:pPr>
          <w:r>
            <w:fldChar w:fldCharType="begin"/>
          </w:r>
          <w:r>
            <w:instrText xml:space="preserve"> HYPERLINK \l "_Toc13126" </w:instrText>
          </w:r>
          <w:r>
            <w:fldChar w:fldCharType="separate"/>
          </w:r>
          <w:r>
            <w:rPr>
              <w:rFonts w:hint="eastAsia" w:ascii="宋体" w:hAnsi="宋体" w:cs="宋体"/>
              <w:sz w:val="28"/>
              <w:szCs w:val="28"/>
            </w:rPr>
            <w:t>四、评价结论及建议</w:t>
          </w:r>
          <w:r>
            <w:rPr>
              <w:rFonts w:hint="eastAsia" w:ascii="宋体" w:hAnsi="宋体" w:cs="宋体"/>
              <w:sz w:val="28"/>
              <w:szCs w:val="28"/>
            </w:rPr>
            <w:tab/>
          </w:r>
          <w:r>
            <w:rPr>
              <w:rFonts w:hint="eastAsia" w:ascii="宋体" w:hAnsi="宋体" w:cs="宋体"/>
              <w:sz w:val="28"/>
              <w:szCs w:val="28"/>
            </w:rPr>
            <w:t>28</w:t>
          </w:r>
          <w:r>
            <w:rPr>
              <w:rFonts w:hint="eastAsia" w:ascii="宋体" w:hAnsi="宋体" w:cs="宋体"/>
              <w:sz w:val="28"/>
              <w:szCs w:val="28"/>
            </w:rPr>
            <w:fldChar w:fldCharType="end"/>
          </w:r>
        </w:p>
        <w:p>
          <w:pPr>
            <w:pStyle w:val="41"/>
            <w:tabs>
              <w:tab w:val="right" w:leader="dot" w:pos="8306"/>
            </w:tabs>
            <w:rPr>
              <w:rFonts w:ascii="宋体" w:hAnsi="宋体" w:cs="宋体"/>
              <w:sz w:val="28"/>
              <w:szCs w:val="28"/>
            </w:rPr>
          </w:pPr>
          <w:r>
            <w:fldChar w:fldCharType="begin"/>
          </w:r>
          <w:r>
            <w:instrText xml:space="preserve"> HYPERLINK \l "_Toc18691" </w:instrText>
          </w:r>
          <w:r>
            <w:fldChar w:fldCharType="separate"/>
          </w:r>
          <w:r>
            <w:rPr>
              <w:rFonts w:hint="eastAsia" w:ascii="宋体" w:hAnsi="宋体" w:cs="宋体"/>
              <w:b/>
              <w:bCs/>
              <w:sz w:val="28"/>
              <w:szCs w:val="28"/>
            </w:rPr>
            <w:t>第五部分附表</w:t>
          </w:r>
          <w:r>
            <w:rPr>
              <w:rFonts w:hint="eastAsia" w:ascii="宋体" w:hAnsi="宋体" w:cs="宋体"/>
              <w:b/>
              <w:bCs/>
              <w:sz w:val="28"/>
              <w:szCs w:val="28"/>
            </w:rPr>
            <w:tab/>
          </w:r>
          <w:r>
            <w:rPr>
              <w:rFonts w:hint="eastAsia" w:ascii="宋体" w:hAnsi="宋体" w:cs="宋体"/>
              <w:b/>
              <w:bCs/>
              <w:sz w:val="28"/>
              <w:szCs w:val="28"/>
            </w:rPr>
            <w:t>39</w:t>
          </w:r>
          <w:r>
            <w:rPr>
              <w:rFonts w:hint="eastAsia" w:ascii="宋体" w:hAnsi="宋体" w:cs="宋体"/>
              <w:b/>
              <w:bCs/>
              <w:sz w:val="28"/>
              <w:szCs w:val="28"/>
            </w:rPr>
            <w:fldChar w:fldCharType="end"/>
          </w:r>
        </w:p>
        <w:p>
          <w:pPr>
            <w:pStyle w:val="42"/>
            <w:tabs>
              <w:tab w:val="right" w:leader="dot" w:pos="8306"/>
            </w:tabs>
            <w:ind w:left="420"/>
            <w:rPr>
              <w:rFonts w:ascii="宋体" w:hAnsi="宋体" w:cs="宋体"/>
              <w:sz w:val="28"/>
              <w:szCs w:val="28"/>
            </w:rPr>
          </w:pPr>
          <w:r>
            <w:fldChar w:fldCharType="begin"/>
          </w:r>
          <w:r>
            <w:instrText xml:space="preserve"> HYPERLINK \l "_Toc27195" </w:instrText>
          </w:r>
          <w:r>
            <w:fldChar w:fldCharType="separate"/>
          </w:r>
          <w:r>
            <w:rPr>
              <w:rFonts w:hint="eastAsia" w:ascii="宋体" w:hAnsi="宋体" w:cs="宋体"/>
              <w:sz w:val="28"/>
              <w:szCs w:val="28"/>
            </w:rPr>
            <w:t>一、收入支出决算总表</w:t>
          </w:r>
          <w:r>
            <w:rPr>
              <w:rFonts w:hint="eastAsia" w:ascii="宋体" w:hAnsi="宋体" w:cs="宋体"/>
              <w:sz w:val="28"/>
              <w:szCs w:val="28"/>
            </w:rPr>
            <w:tab/>
          </w:r>
          <w:r>
            <w:rPr>
              <w:rFonts w:hint="eastAsia" w:ascii="宋体" w:hAnsi="宋体" w:cs="宋体"/>
              <w:sz w:val="28"/>
              <w:szCs w:val="28"/>
            </w:rPr>
            <w:t>39</w:t>
          </w:r>
          <w:r>
            <w:rPr>
              <w:rFonts w:hint="eastAsia" w:ascii="宋体" w:hAnsi="宋体" w:cs="宋体"/>
              <w:sz w:val="28"/>
              <w:szCs w:val="28"/>
            </w:rPr>
            <w:fldChar w:fldCharType="end"/>
          </w:r>
        </w:p>
        <w:p>
          <w:pPr>
            <w:pStyle w:val="42"/>
            <w:tabs>
              <w:tab w:val="right" w:leader="dot" w:pos="8306"/>
            </w:tabs>
            <w:ind w:left="420"/>
            <w:rPr>
              <w:rFonts w:ascii="宋体" w:hAnsi="宋体" w:cs="宋体"/>
              <w:sz w:val="28"/>
              <w:szCs w:val="28"/>
            </w:rPr>
          </w:pPr>
          <w:r>
            <w:fldChar w:fldCharType="begin"/>
          </w:r>
          <w:r>
            <w:instrText xml:space="preserve"> HYPERLINK \l "_Toc20254" </w:instrText>
          </w:r>
          <w:r>
            <w:fldChar w:fldCharType="separate"/>
          </w:r>
          <w:r>
            <w:rPr>
              <w:rFonts w:hint="eastAsia" w:ascii="宋体" w:hAnsi="宋体" w:cs="宋体"/>
              <w:sz w:val="28"/>
              <w:szCs w:val="28"/>
            </w:rPr>
            <w:t>二、收入决算表</w:t>
          </w:r>
          <w:r>
            <w:rPr>
              <w:rFonts w:hint="eastAsia" w:ascii="宋体" w:hAnsi="宋体" w:cs="宋体"/>
              <w:sz w:val="28"/>
              <w:szCs w:val="28"/>
            </w:rPr>
            <w:tab/>
          </w:r>
          <w:r>
            <w:rPr>
              <w:rFonts w:hint="eastAsia" w:ascii="宋体" w:hAnsi="宋体" w:cs="宋体"/>
              <w:sz w:val="28"/>
              <w:szCs w:val="28"/>
            </w:rPr>
            <w:t>39</w:t>
          </w:r>
          <w:r>
            <w:rPr>
              <w:rFonts w:hint="eastAsia" w:ascii="宋体" w:hAnsi="宋体" w:cs="宋体"/>
              <w:sz w:val="28"/>
              <w:szCs w:val="28"/>
            </w:rPr>
            <w:fldChar w:fldCharType="end"/>
          </w:r>
        </w:p>
        <w:p>
          <w:pPr>
            <w:pStyle w:val="42"/>
            <w:tabs>
              <w:tab w:val="right" w:leader="dot" w:pos="8306"/>
            </w:tabs>
            <w:ind w:left="420"/>
            <w:rPr>
              <w:rFonts w:ascii="宋体" w:hAnsi="宋体" w:cs="宋体"/>
              <w:sz w:val="28"/>
              <w:szCs w:val="28"/>
            </w:rPr>
          </w:pPr>
          <w:r>
            <w:fldChar w:fldCharType="begin"/>
          </w:r>
          <w:r>
            <w:instrText xml:space="preserve"> HYPERLINK \l "_Toc30401" </w:instrText>
          </w:r>
          <w:r>
            <w:fldChar w:fldCharType="separate"/>
          </w:r>
          <w:r>
            <w:rPr>
              <w:rFonts w:hint="eastAsia" w:ascii="宋体" w:hAnsi="宋体" w:cs="宋体"/>
              <w:sz w:val="28"/>
              <w:szCs w:val="28"/>
            </w:rPr>
            <w:t>三、支出决算表</w:t>
          </w:r>
          <w:r>
            <w:rPr>
              <w:rFonts w:hint="eastAsia" w:ascii="宋体" w:hAnsi="宋体" w:cs="宋体"/>
              <w:sz w:val="28"/>
              <w:szCs w:val="28"/>
            </w:rPr>
            <w:tab/>
          </w:r>
          <w:r>
            <w:rPr>
              <w:rFonts w:hint="eastAsia" w:ascii="宋体" w:hAnsi="宋体" w:cs="宋体"/>
              <w:sz w:val="28"/>
              <w:szCs w:val="28"/>
            </w:rPr>
            <w:t>39</w:t>
          </w:r>
          <w:r>
            <w:rPr>
              <w:rFonts w:hint="eastAsia" w:ascii="宋体" w:hAnsi="宋体" w:cs="宋体"/>
              <w:sz w:val="28"/>
              <w:szCs w:val="28"/>
            </w:rPr>
            <w:fldChar w:fldCharType="end"/>
          </w:r>
        </w:p>
        <w:p>
          <w:pPr>
            <w:pStyle w:val="42"/>
            <w:tabs>
              <w:tab w:val="right" w:leader="dot" w:pos="8306"/>
            </w:tabs>
            <w:ind w:left="420"/>
            <w:rPr>
              <w:rFonts w:ascii="宋体" w:hAnsi="宋体" w:cs="宋体"/>
              <w:sz w:val="28"/>
              <w:szCs w:val="28"/>
            </w:rPr>
          </w:pPr>
          <w:r>
            <w:fldChar w:fldCharType="begin"/>
          </w:r>
          <w:r>
            <w:instrText xml:space="preserve"> HYPERLINK \l "_Toc11550" </w:instrText>
          </w:r>
          <w:r>
            <w:fldChar w:fldCharType="separate"/>
          </w:r>
          <w:r>
            <w:rPr>
              <w:rFonts w:hint="eastAsia" w:ascii="宋体" w:hAnsi="宋体" w:cs="宋体"/>
              <w:sz w:val="28"/>
              <w:szCs w:val="28"/>
            </w:rPr>
            <w:t>四、财政拨款收入支出决算总表</w:t>
          </w:r>
          <w:r>
            <w:rPr>
              <w:rFonts w:hint="eastAsia" w:ascii="宋体" w:hAnsi="宋体" w:cs="宋体"/>
              <w:sz w:val="28"/>
              <w:szCs w:val="28"/>
            </w:rPr>
            <w:tab/>
          </w:r>
          <w:r>
            <w:rPr>
              <w:rFonts w:hint="eastAsia" w:ascii="宋体" w:hAnsi="宋体" w:cs="宋体"/>
              <w:sz w:val="28"/>
              <w:szCs w:val="28"/>
            </w:rPr>
            <w:t>39</w:t>
          </w:r>
          <w:r>
            <w:rPr>
              <w:rFonts w:hint="eastAsia" w:ascii="宋体" w:hAnsi="宋体" w:cs="宋体"/>
              <w:sz w:val="28"/>
              <w:szCs w:val="28"/>
            </w:rPr>
            <w:fldChar w:fldCharType="end"/>
          </w:r>
        </w:p>
        <w:p>
          <w:pPr>
            <w:pStyle w:val="42"/>
            <w:tabs>
              <w:tab w:val="right" w:leader="dot" w:pos="8306"/>
            </w:tabs>
            <w:ind w:left="420"/>
            <w:rPr>
              <w:rFonts w:ascii="宋体" w:hAnsi="宋体" w:cs="宋体"/>
              <w:sz w:val="28"/>
              <w:szCs w:val="28"/>
            </w:rPr>
          </w:pPr>
          <w:r>
            <w:fldChar w:fldCharType="begin"/>
          </w:r>
          <w:r>
            <w:instrText xml:space="preserve"> HYPERLINK \l "_Toc12714" </w:instrText>
          </w:r>
          <w:r>
            <w:fldChar w:fldCharType="separate"/>
          </w:r>
          <w:r>
            <w:rPr>
              <w:rFonts w:hint="eastAsia" w:ascii="宋体" w:hAnsi="宋体" w:cs="宋体"/>
              <w:sz w:val="28"/>
              <w:szCs w:val="28"/>
            </w:rPr>
            <w:t>五、财政拨款支出决算明细表</w:t>
          </w:r>
          <w:r>
            <w:rPr>
              <w:rFonts w:hint="eastAsia" w:ascii="宋体" w:hAnsi="宋体" w:cs="宋体"/>
              <w:sz w:val="28"/>
              <w:szCs w:val="28"/>
            </w:rPr>
            <w:tab/>
          </w:r>
          <w:r>
            <w:rPr>
              <w:rFonts w:hint="eastAsia" w:ascii="宋体" w:hAnsi="宋体" w:cs="宋体"/>
              <w:sz w:val="28"/>
              <w:szCs w:val="28"/>
            </w:rPr>
            <w:t>39</w:t>
          </w:r>
          <w:r>
            <w:rPr>
              <w:rFonts w:hint="eastAsia" w:ascii="宋体" w:hAnsi="宋体" w:cs="宋体"/>
              <w:sz w:val="28"/>
              <w:szCs w:val="28"/>
            </w:rPr>
            <w:fldChar w:fldCharType="end"/>
          </w:r>
        </w:p>
        <w:p>
          <w:pPr>
            <w:pStyle w:val="42"/>
            <w:tabs>
              <w:tab w:val="right" w:leader="dot" w:pos="8306"/>
            </w:tabs>
            <w:ind w:left="420"/>
            <w:rPr>
              <w:rFonts w:ascii="宋体" w:hAnsi="宋体" w:cs="宋体"/>
              <w:sz w:val="28"/>
              <w:szCs w:val="28"/>
            </w:rPr>
          </w:pPr>
          <w:r>
            <w:fldChar w:fldCharType="begin"/>
          </w:r>
          <w:r>
            <w:instrText xml:space="preserve"> HYPERLINK \l "_Toc24276" </w:instrText>
          </w:r>
          <w:r>
            <w:fldChar w:fldCharType="separate"/>
          </w:r>
          <w:sdt>
            <w:sdtPr>
              <w:rPr>
                <w:rFonts w:hint="eastAsia" w:ascii="宋体" w:hAnsi="宋体" w:cs="宋体"/>
                <w:kern w:val="2"/>
                <w:sz w:val="28"/>
                <w:szCs w:val="28"/>
              </w:rPr>
              <w:id w:val="147467764"/>
            </w:sdtPr>
            <w:sdtEndPr>
              <w:rPr>
                <w:rFonts w:hint="eastAsia" w:ascii="宋体" w:hAnsi="宋体" w:cs="宋体"/>
                <w:kern w:val="2"/>
                <w:sz w:val="28"/>
                <w:szCs w:val="28"/>
              </w:rPr>
            </w:sdtEndPr>
            <w:sdtContent>
              <w:r>
                <w:rPr>
                  <w:rFonts w:hint="eastAsia" w:ascii="宋体" w:hAnsi="宋体" w:cs="宋体"/>
                  <w:sz w:val="28"/>
                  <w:szCs w:val="28"/>
                </w:rPr>
                <w:t>六、一般公共预算财政拨款支出决算表</w:t>
              </w:r>
            </w:sdtContent>
          </w:sdt>
          <w:r>
            <w:rPr>
              <w:rFonts w:hint="eastAsia" w:ascii="宋体" w:hAnsi="宋体" w:cs="宋体"/>
              <w:sz w:val="28"/>
              <w:szCs w:val="28"/>
            </w:rPr>
            <w:tab/>
          </w:r>
          <w:r>
            <w:rPr>
              <w:rFonts w:hint="eastAsia" w:ascii="宋体" w:hAnsi="宋体" w:cs="宋体"/>
              <w:sz w:val="28"/>
              <w:szCs w:val="28"/>
            </w:rPr>
            <w:t>39</w:t>
          </w:r>
          <w:r>
            <w:rPr>
              <w:rFonts w:hint="eastAsia" w:ascii="宋体" w:hAnsi="宋体" w:cs="宋体"/>
              <w:sz w:val="28"/>
              <w:szCs w:val="28"/>
            </w:rPr>
            <w:fldChar w:fldCharType="end"/>
          </w:r>
        </w:p>
        <w:p>
          <w:pPr>
            <w:pStyle w:val="42"/>
            <w:tabs>
              <w:tab w:val="right" w:leader="dot" w:pos="8306"/>
            </w:tabs>
            <w:ind w:left="420"/>
            <w:rPr>
              <w:rFonts w:ascii="宋体" w:hAnsi="宋体" w:cs="宋体"/>
              <w:sz w:val="28"/>
              <w:szCs w:val="28"/>
            </w:rPr>
          </w:pPr>
          <w:r>
            <w:fldChar w:fldCharType="begin"/>
          </w:r>
          <w:r>
            <w:instrText xml:space="preserve"> HYPERLINK \l "_Toc20956" </w:instrText>
          </w:r>
          <w:r>
            <w:fldChar w:fldCharType="separate"/>
          </w:r>
          <w:r>
            <w:rPr>
              <w:rFonts w:hint="eastAsia" w:ascii="宋体" w:hAnsi="宋体" w:cs="宋体"/>
              <w:sz w:val="28"/>
              <w:szCs w:val="28"/>
            </w:rPr>
            <w:t>七、一般公共预算财政拨款支出决算明细表</w:t>
          </w:r>
          <w:r>
            <w:rPr>
              <w:rFonts w:hint="eastAsia" w:ascii="宋体" w:hAnsi="宋体" w:cs="宋体"/>
              <w:sz w:val="28"/>
              <w:szCs w:val="28"/>
            </w:rPr>
            <w:tab/>
          </w:r>
          <w:r>
            <w:rPr>
              <w:rFonts w:hint="eastAsia" w:ascii="宋体" w:hAnsi="宋体" w:cs="宋体"/>
              <w:sz w:val="28"/>
              <w:szCs w:val="28"/>
            </w:rPr>
            <w:t>39</w:t>
          </w:r>
          <w:r>
            <w:rPr>
              <w:rFonts w:hint="eastAsia" w:ascii="宋体" w:hAnsi="宋体" w:cs="宋体"/>
              <w:sz w:val="28"/>
              <w:szCs w:val="28"/>
            </w:rPr>
            <w:fldChar w:fldCharType="end"/>
          </w:r>
        </w:p>
        <w:p>
          <w:pPr>
            <w:pStyle w:val="42"/>
            <w:tabs>
              <w:tab w:val="right" w:leader="dot" w:pos="8306"/>
            </w:tabs>
            <w:ind w:left="420"/>
            <w:rPr>
              <w:rFonts w:ascii="宋体" w:hAnsi="宋体" w:cs="宋体"/>
              <w:sz w:val="28"/>
              <w:szCs w:val="28"/>
            </w:rPr>
          </w:pPr>
          <w:r>
            <w:fldChar w:fldCharType="begin"/>
          </w:r>
          <w:r>
            <w:instrText xml:space="preserve"> HYPERLINK \l "_Toc30878" </w:instrText>
          </w:r>
          <w:r>
            <w:fldChar w:fldCharType="separate"/>
          </w:r>
          <w:r>
            <w:rPr>
              <w:rFonts w:hint="eastAsia" w:ascii="宋体" w:hAnsi="宋体" w:cs="宋体"/>
              <w:sz w:val="28"/>
              <w:szCs w:val="28"/>
            </w:rPr>
            <w:t>八、一般公共预算财政拨款基本支出决算表</w:t>
          </w:r>
          <w:r>
            <w:rPr>
              <w:rFonts w:hint="eastAsia" w:ascii="宋体" w:hAnsi="宋体" w:cs="宋体"/>
              <w:sz w:val="28"/>
              <w:szCs w:val="28"/>
            </w:rPr>
            <w:tab/>
          </w:r>
          <w:r>
            <w:rPr>
              <w:rFonts w:hint="eastAsia" w:ascii="宋体" w:hAnsi="宋体" w:cs="宋体"/>
              <w:sz w:val="28"/>
              <w:szCs w:val="28"/>
            </w:rPr>
            <w:t>39</w:t>
          </w:r>
          <w:r>
            <w:rPr>
              <w:rFonts w:hint="eastAsia" w:ascii="宋体" w:hAnsi="宋体" w:cs="宋体"/>
              <w:sz w:val="28"/>
              <w:szCs w:val="28"/>
            </w:rPr>
            <w:fldChar w:fldCharType="end"/>
          </w:r>
        </w:p>
        <w:p>
          <w:pPr>
            <w:pStyle w:val="42"/>
            <w:tabs>
              <w:tab w:val="right" w:leader="dot" w:pos="8306"/>
            </w:tabs>
            <w:ind w:left="420"/>
            <w:rPr>
              <w:rFonts w:ascii="宋体" w:hAnsi="宋体" w:cs="宋体"/>
              <w:sz w:val="28"/>
              <w:szCs w:val="28"/>
            </w:rPr>
          </w:pPr>
          <w:r>
            <w:fldChar w:fldCharType="begin"/>
          </w:r>
          <w:r>
            <w:instrText xml:space="preserve"> HYPERLINK \l "_Toc26838" </w:instrText>
          </w:r>
          <w:r>
            <w:fldChar w:fldCharType="separate"/>
          </w:r>
          <w:r>
            <w:rPr>
              <w:rFonts w:hint="eastAsia" w:ascii="宋体" w:hAnsi="宋体" w:cs="宋体"/>
              <w:sz w:val="28"/>
              <w:szCs w:val="28"/>
            </w:rPr>
            <w:t>九、一般公共预算财政拨款项目支出决算表</w:t>
          </w:r>
          <w:r>
            <w:rPr>
              <w:rFonts w:hint="eastAsia" w:ascii="宋体" w:hAnsi="宋体" w:cs="宋体"/>
              <w:sz w:val="28"/>
              <w:szCs w:val="28"/>
            </w:rPr>
            <w:tab/>
          </w:r>
          <w:r>
            <w:rPr>
              <w:rFonts w:hint="eastAsia" w:ascii="宋体" w:hAnsi="宋体" w:cs="宋体"/>
              <w:sz w:val="28"/>
              <w:szCs w:val="28"/>
            </w:rPr>
            <w:t>39</w:t>
          </w:r>
          <w:r>
            <w:rPr>
              <w:rFonts w:hint="eastAsia" w:ascii="宋体" w:hAnsi="宋体" w:cs="宋体"/>
              <w:sz w:val="28"/>
              <w:szCs w:val="28"/>
            </w:rPr>
            <w:fldChar w:fldCharType="end"/>
          </w:r>
        </w:p>
        <w:p>
          <w:pPr>
            <w:pStyle w:val="42"/>
            <w:tabs>
              <w:tab w:val="right" w:leader="dot" w:pos="8306"/>
            </w:tabs>
            <w:ind w:left="420"/>
            <w:rPr>
              <w:rFonts w:ascii="宋体" w:hAnsi="宋体" w:cs="宋体"/>
              <w:sz w:val="28"/>
              <w:szCs w:val="28"/>
            </w:rPr>
          </w:pPr>
          <w:r>
            <w:fldChar w:fldCharType="begin"/>
          </w:r>
          <w:r>
            <w:instrText xml:space="preserve"> HYPERLINK \l "_Toc29349" </w:instrText>
          </w:r>
          <w:r>
            <w:fldChar w:fldCharType="separate"/>
          </w:r>
          <w:r>
            <w:rPr>
              <w:rFonts w:hint="eastAsia" w:ascii="宋体" w:hAnsi="宋体" w:cs="宋体"/>
              <w:sz w:val="28"/>
              <w:szCs w:val="28"/>
            </w:rPr>
            <w:t>十、一般公共预算财政拨款“三公”经费支出决算表</w:t>
          </w:r>
          <w:r>
            <w:rPr>
              <w:rFonts w:hint="eastAsia" w:ascii="宋体" w:hAnsi="宋体" w:cs="宋体"/>
              <w:sz w:val="28"/>
              <w:szCs w:val="28"/>
            </w:rPr>
            <w:tab/>
          </w:r>
          <w:r>
            <w:rPr>
              <w:rFonts w:hint="eastAsia" w:ascii="宋体" w:hAnsi="宋体" w:cs="宋体"/>
              <w:sz w:val="28"/>
              <w:szCs w:val="28"/>
            </w:rPr>
            <w:t>39</w:t>
          </w:r>
          <w:r>
            <w:rPr>
              <w:rFonts w:hint="eastAsia" w:ascii="宋体" w:hAnsi="宋体" w:cs="宋体"/>
              <w:sz w:val="28"/>
              <w:szCs w:val="28"/>
            </w:rPr>
            <w:fldChar w:fldCharType="end"/>
          </w:r>
        </w:p>
        <w:p>
          <w:pPr>
            <w:pStyle w:val="42"/>
            <w:tabs>
              <w:tab w:val="right" w:leader="dot" w:pos="8306"/>
            </w:tabs>
            <w:ind w:left="420"/>
            <w:rPr>
              <w:rFonts w:ascii="宋体" w:hAnsi="宋体" w:cs="宋体"/>
              <w:sz w:val="28"/>
              <w:szCs w:val="28"/>
            </w:rPr>
          </w:pPr>
          <w:r>
            <w:fldChar w:fldCharType="begin"/>
          </w:r>
          <w:r>
            <w:instrText xml:space="preserve"> HYPERLINK \l "_Toc22343" </w:instrText>
          </w:r>
          <w:r>
            <w:fldChar w:fldCharType="separate"/>
          </w:r>
          <w:r>
            <w:rPr>
              <w:rFonts w:hint="eastAsia" w:ascii="宋体" w:hAnsi="宋体" w:cs="宋体"/>
              <w:sz w:val="28"/>
              <w:szCs w:val="28"/>
            </w:rPr>
            <w:t>十一、政府性基金预算财政拨款收入支出决算表</w:t>
          </w:r>
          <w:r>
            <w:rPr>
              <w:rFonts w:hint="eastAsia" w:ascii="宋体" w:hAnsi="宋体" w:cs="宋体"/>
              <w:sz w:val="28"/>
              <w:szCs w:val="28"/>
            </w:rPr>
            <w:tab/>
          </w:r>
          <w:r>
            <w:rPr>
              <w:rFonts w:hint="eastAsia" w:ascii="宋体" w:hAnsi="宋体" w:cs="宋体"/>
              <w:sz w:val="28"/>
              <w:szCs w:val="28"/>
            </w:rPr>
            <w:t>39</w:t>
          </w:r>
          <w:r>
            <w:rPr>
              <w:rFonts w:hint="eastAsia" w:ascii="宋体" w:hAnsi="宋体" w:cs="宋体"/>
              <w:sz w:val="28"/>
              <w:szCs w:val="28"/>
            </w:rPr>
            <w:fldChar w:fldCharType="end"/>
          </w:r>
        </w:p>
        <w:p>
          <w:pPr>
            <w:pStyle w:val="42"/>
            <w:tabs>
              <w:tab w:val="right" w:leader="dot" w:pos="8306"/>
            </w:tabs>
            <w:ind w:left="420"/>
            <w:rPr>
              <w:rFonts w:ascii="宋体" w:hAnsi="宋体" w:cs="宋体"/>
              <w:sz w:val="28"/>
              <w:szCs w:val="28"/>
            </w:rPr>
          </w:pPr>
          <w:r>
            <w:fldChar w:fldCharType="begin"/>
          </w:r>
          <w:r>
            <w:instrText xml:space="preserve"> HYPERLINK \l "_Toc12003" </w:instrText>
          </w:r>
          <w:r>
            <w:fldChar w:fldCharType="separate"/>
          </w:r>
          <w:r>
            <w:rPr>
              <w:rFonts w:hint="eastAsia" w:ascii="宋体" w:hAnsi="宋体" w:cs="宋体"/>
              <w:sz w:val="28"/>
              <w:szCs w:val="28"/>
            </w:rPr>
            <w:t>十二、政府性基金预算财政拨款“三公”经费支出决算表</w:t>
          </w:r>
          <w:r>
            <w:rPr>
              <w:rFonts w:hint="eastAsia" w:ascii="宋体" w:hAnsi="宋体" w:cs="宋体"/>
              <w:sz w:val="28"/>
              <w:szCs w:val="28"/>
            </w:rPr>
            <w:tab/>
          </w:r>
          <w:r>
            <w:rPr>
              <w:rFonts w:hint="eastAsia" w:ascii="宋体" w:hAnsi="宋体" w:cs="宋体"/>
              <w:sz w:val="28"/>
              <w:szCs w:val="28"/>
            </w:rPr>
            <w:t>39</w:t>
          </w:r>
          <w:r>
            <w:rPr>
              <w:rFonts w:hint="eastAsia" w:ascii="宋体" w:hAnsi="宋体" w:cs="宋体"/>
              <w:sz w:val="28"/>
              <w:szCs w:val="28"/>
            </w:rPr>
            <w:fldChar w:fldCharType="end"/>
          </w:r>
        </w:p>
        <w:p>
          <w:pPr>
            <w:pStyle w:val="42"/>
            <w:tabs>
              <w:tab w:val="right" w:leader="dot" w:pos="8306"/>
            </w:tabs>
            <w:ind w:left="420"/>
            <w:rPr>
              <w:rFonts w:ascii="宋体" w:hAnsi="宋体" w:cs="宋体"/>
              <w:sz w:val="28"/>
              <w:szCs w:val="28"/>
            </w:rPr>
          </w:pPr>
          <w:r>
            <w:fldChar w:fldCharType="begin"/>
          </w:r>
          <w:r>
            <w:instrText xml:space="preserve"> HYPERLINK \l "_Toc13431" </w:instrText>
          </w:r>
          <w:r>
            <w:fldChar w:fldCharType="separate"/>
          </w:r>
          <w:r>
            <w:rPr>
              <w:rFonts w:hint="eastAsia" w:ascii="宋体" w:hAnsi="宋体" w:cs="宋体"/>
              <w:sz w:val="28"/>
              <w:szCs w:val="28"/>
            </w:rPr>
            <w:t>十三、国有资本经营预算财政拨款收入支出决算表</w:t>
          </w:r>
          <w:r>
            <w:rPr>
              <w:rFonts w:hint="eastAsia" w:ascii="宋体" w:hAnsi="宋体" w:cs="宋体"/>
              <w:sz w:val="28"/>
              <w:szCs w:val="28"/>
            </w:rPr>
            <w:tab/>
          </w:r>
          <w:r>
            <w:rPr>
              <w:rFonts w:hint="eastAsia" w:ascii="宋体" w:hAnsi="宋体" w:cs="宋体"/>
              <w:sz w:val="28"/>
              <w:szCs w:val="28"/>
            </w:rPr>
            <w:t>39</w:t>
          </w:r>
          <w:r>
            <w:rPr>
              <w:rFonts w:hint="eastAsia" w:ascii="宋体" w:hAnsi="宋体" w:cs="宋体"/>
              <w:sz w:val="28"/>
              <w:szCs w:val="28"/>
            </w:rPr>
            <w:fldChar w:fldCharType="end"/>
          </w:r>
        </w:p>
        <w:p>
          <w:pPr>
            <w:pStyle w:val="42"/>
            <w:tabs>
              <w:tab w:val="right" w:leader="dot" w:pos="8306"/>
            </w:tabs>
            <w:ind w:left="420"/>
          </w:pPr>
          <w:r>
            <w:fldChar w:fldCharType="begin"/>
          </w:r>
          <w:r>
            <w:instrText xml:space="preserve"> HYPERLINK \l "_Toc26544" </w:instrText>
          </w:r>
          <w:r>
            <w:fldChar w:fldCharType="separate"/>
          </w:r>
          <w:r>
            <w:rPr>
              <w:rFonts w:hint="eastAsia" w:ascii="宋体" w:hAnsi="宋体" w:cs="宋体"/>
              <w:sz w:val="28"/>
              <w:szCs w:val="28"/>
            </w:rPr>
            <w:t>十四、国有资本经营预算财政拨款支出决算表</w:t>
          </w:r>
          <w:r>
            <w:rPr>
              <w:rFonts w:hint="eastAsia" w:ascii="宋体" w:hAnsi="宋体" w:cs="宋体"/>
              <w:sz w:val="28"/>
              <w:szCs w:val="28"/>
            </w:rPr>
            <w:tab/>
          </w:r>
          <w:r>
            <w:rPr>
              <w:rFonts w:hint="eastAsia" w:ascii="宋体" w:hAnsi="宋体" w:cs="宋体"/>
              <w:sz w:val="28"/>
              <w:szCs w:val="28"/>
            </w:rPr>
            <w:t>39</w:t>
          </w:r>
          <w:r>
            <w:rPr>
              <w:rFonts w:hint="eastAsia" w:ascii="宋体" w:hAnsi="宋体" w:cs="宋体"/>
              <w:sz w:val="28"/>
              <w:szCs w:val="28"/>
            </w:rPr>
            <w:fldChar w:fldCharType="end"/>
          </w:r>
        </w:p>
      </w:sdtContent>
    </w:sdt>
    <w:p/>
    <w:p>
      <w:pPr>
        <w:pStyle w:val="13"/>
        <w:keepNext w:val="0"/>
        <w:keepLines w:val="0"/>
        <w:pageBreakBefore/>
        <w:spacing w:line="579" w:lineRule="auto"/>
        <w:jc w:val="center"/>
        <w:rPr>
          <w:rStyle w:val="30"/>
          <w:rFonts w:ascii="黑体" w:hAnsi="黑体" w:eastAsia="黑体"/>
          <w:b/>
          <w:bCs w:val="0"/>
        </w:rPr>
      </w:pPr>
      <w:bookmarkStart w:id="12" w:name="_Toc15396599"/>
      <w:bookmarkStart w:id="13" w:name="_Toc8076"/>
      <w:bookmarkStart w:id="14" w:name="_Toc15377196"/>
      <w:r>
        <w:rPr>
          <w:rFonts w:hint="eastAsia" w:ascii="黑体" w:hAnsi="黑体" w:eastAsia="黑体"/>
          <w:b w:val="0"/>
        </w:rPr>
        <w:t>第一部分</w:t>
      </w:r>
      <w:r>
        <w:rPr>
          <w:rFonts w:hint="eastAsia" w:ascii="黑体" w:hAnsi="黑体" w:eastAsia="黑体"/>
          <w:b w:val="0"/>
          <w:lang w:val="en-US" w:eastAsia="zh-CN"/>
        </w:rPr>
        <w:t xml:space="preserve"> </w:t>
      </w:r>
      <w:r>
        <w:rPr>
          <w:rFonts w:hint="eastAsia" w:ascii="黑体" w:hAnsi="黑体" w:eastAsia="黑体"/>
          <w:b w:val="0"/>
        </w:rPr>
        <w:t>单位</w:t>
      </w:r>
      <w:r>
        <w:rPr>
          <w:rStyle w:val="30"/>
          <w:rFonts w:hint="eastAsia" w:ascii="黑体" w:hAnsi="黑体" w:eastAsia="黑体"/>
          <w:b w:val="0"/>
          <w:bCs w:val="0"/>
        </w:rPr>
        <w:t>概况</w:t>
      </w:r>
      <w:bookmarkEnd w:id="12"/>
      <w:bookmarkEnd w:id="13"/>
      <w:bookmarkEnd w:id="14"/>
    </w:p>
    <w:p>
      <w:pPr>
        <w:widowControl/>
        <w:jc w:val="left"/>
        <w:rPr>
          <w:rFonts w:ascii="黑体" w:eastAsia="黑体"/>
          <w:sz w:val="32"/>
          <w:szCs w:val="32"/>
        </w:rPr>
      </w:pPr>
    </w:p>
    <w:p>
      <w:pPr>
        <w:pStyle w:val="14"/>
        <w:numPr>
          <w:ilvl w:val="0"/>
          <w:numId w:val="1"/>
        </w:numPr>
        <w:rPr>
          <w:rStyle w:val="31"/>
          <w:rFonts w:ascii="黑体" w:hAnsi="黑体" w:eastAsia="黑体"/>
          <w:b w:val="0"/>
          <w:bCs w:val="0"/>
        </w:rPr>
      </w:pPr>
      <w:bookmarkStart w:id="15" w:name="_Toc20130"/>
      <w:bookmarkStart w:id="16" w:name="_Toc15377197"/>
      <w:bookmarkStart w:id="17" w:name="_Toc15396600"/>
      <w:r>
        <w:rPr>
          <w:rStyle w:val="31"/>
          <w:rFonts w:hint="eastAsia" w:ascii="黑体" w:hAnsi="黑体" w:eastAsia="黑体"/>
          <w:b w:val="0"/>
          <w:bCs w:val="0"/>
        </w:rPr>
        <w:t>职能简介</w:t>
      </w:r>
      <w:bookmarkEnd w:id="15"/>
    </w:p>
    <w:p>
      <w:pPr>
        <w:pStyle w:val="3"/>
        <w:adjustRightInd w:val="0"/>
        <w:snapToGrid w:val="0"/>
        <w:spacing w:before="93" w:line="480" w:lineRule="exact"/>
        <w:ind w:firstLine="672" w:firstLineChars="210"/>
        <w:rPr>
          <w:rFonts w:ascii="仿宋" w:hAnsi="仿宋" w:eastAsia="仿宋"/>
          <w:bCs/>
          <w:color w:val="000000"/>
          <w:sz w:val="32"/>
          <w:szCs w:val="32"/>
        </w:rPr>
      </w:pPr>
      <w:r>
        <w:rPr>
          <w:rFonts w:hint="eastAsia" w:ascii="仿宋" w:hAnsi="仿宋" w:eastAsia="仿宋"/>
          <w:bCs/>
          <w:color w:val="000000"/>
          <w:sz w:val="32"/>
          <w:szCs w:val="32"/>
        </w:rPr>
        <w:t>1、贯彻执行党和国家的路线方针政策、法律法规和上级党委政府的决定、命令</w:t>
      </w:r>
      <w:r>
        <w:t>，</w:t>
      </w:r>
      <w:r>
        <w:rPr>
          <w:rFonts w:hint="eastAsia" w:ascii="仿宋" w:hAnsi="仿宋" w:eastAsia="仿宋"/>
          <w:bCs/>
          <w:color w:val="000000"/>
          <w:sz w:val="32"/>
          <w:szCs w:val="32"/>
        </w:rPr>
        <w:t>接受同级党委（党工委）的领导，执行本级人民代表大会的各项决议，并报告执行决议、决定和命令的情况。</w:t>
      </w:r>
    </w:p>
    <w:p>
      <w:pPr>
        <w:pStyle w:val="3"/>
        <w:adjustRightInd w:val="0"/>
        <w:snapToGrid w:val="0"/>
        <w:spacing w:before="93" w:line="480" w:lineRule="exact"/>
        <w:ind w:firstLine="640" w:firstLineChars="200"/>
        <w:rPr>
          <w:rFonts w:ascii="仿宋" w:hAnsi="仿宋" w:eastAsia="仿宋"/>
          <w:bCs/>
          <w:color w:val="000000"/>
          <w:sz w:val="32"/>
          <w:szCs w:val="32"/>
        </w:rPr>
      </w:pPr>
      <w:r>
        <w:rPr>
          <w:rFonts w:hint="eastAsia" w:ascii="仿宋" w:hAnsi="仿宋" w:eastAsia="仿宋"/>
          <w:bCs/>
          <w:color w:val="000000"/>
          <w:sz w:val="32"/>
          <w:szCs w:val="32"/>
        </w:rPr>
        <w:t>2、促进本地经济发展。编制区域内经济发展规划、年度计划并组织实施；指导经济结构调整和推进经济发展方式转变；因地制宜组织发展区域特色经济；营造经济发展环境，提供示范引导和政策服务；发展农村经济，加强农村经济管理工作；引导和促进新型农村专业合作经济组织发展，提高农民进入市场的组织化程度。</w:t>
      </w:r>
    </w:p>
    <w:p>
      <w:pPr>
        <w:pStyle w:val="3"/>
        <w:adjustRightInd w:val="0"/>
        <w:snapToGrid w:val="0"/>
        <w:spacing w:before="93" w:line="480" w:lineRule="exact"/>
        <w:ind w:firstLine="640" w:firstLineChars="200"/>
        <w:rPr>
          <w:rFonts w:ascii="仿宋" w:hAnsi="仿宋" w:eastAsia="仿宋"/>
          <w:bCs/>
          <w:color w:val="000000"/>
          <w:sz w:val="32"/>
          <w:szCs w:val="32"/>
        </w:rPr>
      </w:pPr>
      <w:r>
        <w:rPr>
          <w:rFonts w:hint="eastAsia" w:ascii="仿宋" w:hAnsi="仿宋" w:eastAsia="仿宋"/>
          <w:bCs/>
          <w:color w:val="000000"/>
          <w:sz w:val="32"/>
          <w:szCs w:val="32"/>
        </w:rPr>
        <w:t>3、提供区域公共服务。编制区域内各项社会事业发展规划，完善社会化服务体系；充分利用和整合农村（城镇）资源，为城乡居民提供科技、教育、体育、文化、信息、卫生、医疗、人才开发、劳动就业、社会保障、计划生育、安全生产、防灾减灾、城乡低保、社会救助、社会治安等方面的服务，管好用好国家转移到农村的各项资金；做好统计工作；加强基础设施建设和新型城乡服务体系建设，抓好农田水利、镇村道路、生态环境等各项公益事业建设；推进社会主义新农村建设。</w:t>
      </w:r>
    </w:p>
    <w:p>
      <w:pPr>
        <w:pStyle w:val="3"/>
        <w:adjustRightInd w:val="0"/>
        <w:snapToGrid w:val="0"/>
        <w:spacing w:before="93" w:line="480" w:lineRule="exact"/>
        <w:ind w:firstLine="672" w:firstLineChars="210"/>
        <w:rPr>
          <w:rFonts w:ascii="仿宋" w:hAnsi="仿宋" w:eastAsia="仿宋"/>
          <w:bCs/>
          <w:color w:val="000000"/>
          <w:sz w:val="32"/>
          <w:szCs w:val="32"/>
        </w:rPr>
      </w:pPr>
      <w:r>
        <w:rPr>
          <w:rFonts w:hint="eastAsia" w:ascii="仿宋" w:hAnsi="仿宋" w:eastAsia="仿宋"/>
          <w:bCs/>
          <w:color w:val="000000"/>
          <w:sz w:val="32"/>
          <w:szCs w:val="32"/>
        </w:rPr>
        <w:t>4、全面加强社会管理。承担区域内的财政、税收、民政、公安、司法、人民武装等管理工作；加强环境保护，努力改善人居环境，促进人与人、人与自然、人与社会的和谐发展；负责区域内的社区、社团和经济组织的管理，发挥社团、行业组织和社会中介组织的作用；推行依法行政，严格依法履行职责；推行政务公开；综合发挥人民调解、行政调解和司法调解作用，妥善处理突发性、群体性事件，及时化解辖区内各种利益矛盾和纠纷，保障人民生命财产安全，确保社会稳定；指导、支持、帮助村（居）民委员会的组织建设和服务能力建设，促进村（居）民委员会民主自治。</w:t>
      </w:r>
    </w:p>
    <w:p>
      <w:pPr>
        <w:ind w:firstLine="640" w:firstLineChars="200"/>
      </w:pPr>
      <w:r>
        <w:rPr>
          <w:rFonts w:hint="eastAsia" w:ascii="仿宋" w:hAnsi="仿宋" w:eastAsia="仿宋"/>
          <w:bCs/>
          <w:color w:val="000000"/>
          <w:sz w:val="32"/>
          <w:szCs w:val="32"/>
        </w:rPr>
        <w:t>5、完成县委、县人民政府交办的其他任务。</w:t>
      </w:r>
    </w:p>
    <w:p>
      <w:pPr>
        <w:pStyle w:val="14"/>
        <w:rPr>
          <w:rFonts w:ascii="黑体" w:hAnsi="黑体" w:eastAsia="黑体"/>
          <w:b w:val="0"/>
        </w:rPr>
      </w:pPr>
      <w:bookmarkStart w:id="18" w:name="_Toc8974"/>
      <w:r>
        <w:rPr>
          <w:rFonts w:hint="eastAsia" w:ascii="黑体" w:hAnsi="黑体" w:eastAsia="黑体"/>
          <w:b w:val="0"/>
          <w:u w:val="thick" w:color="FFB03A"/>
          <w:shd w:val="clear" w:fill="FFEFD8"/>
        </w:rPr>
        <w:t>二、</w:t>
      </w:r>
      <w:r>
        <w:rPr>
          <w:rFonts w:hint="eastAsia" w:ascii="黑体" w:hAnsi="黑体" w:eastAsia="黑体"/>
          <w:b w:val="0"/>
        </w:rPr>
        <w:t>2021年重点工作</w:t>
      </w:r>
      <w:bookmarkEnd w:id="16"/>
      <w:bookmarkEnd w:id="17"/>
      <w:r>
        <w:rPr>
          <w:rFonts w:hint="eastAsia" w:ascii="黑体" w:hAnsi="黑体" w:eastAsia="黑体"/>
          <w:b w:val="0"/>
        </w:rPr>
        <w:t>完成情况</w:t>
      </w:r>
      <w:bookmarkEnd w:id="18"/>
    </w:p>
    <w:p>
      <w:pPr>
        <w:ind w:firstLine="643" w:firstLineChars="200"/>
      </w:pPr>
      <w:r>
        <w:rPr>
          <w:rFonts w:hint="eastAsia" w:ascii="仿宋" w:hAnsi="仿宋" w:eastAsia="仿宋" w:cs="仿宋"/>
          <w:b/>
          <w:bCs/>
          <w:sz w:val="32"/>
          <w:szCs w:val="32"/>
        </w:rPr>
        <w:t>一是加快交通建设。</w:t>
      </w:r>
      <w:r>
        <w:rPr>
          <w:rFonts w:hint="eastAsia" w:ascii="仿宋" w:hAnsi="仿宋" w:eastAsia="仿宋" w:cs="仿宋"/>
          <w:sz w:val="32"/>
          <w:szCs w:val="32"/>
        </w:rPr>
        <w:t>按照“构筑大交通、连接主干道、织密基础网、联运提质效、做亮交通+”发展思路，着力打造交通重镇，加快推进场镇至巴万</w:t>
      </w:r>
      <w:r>
        <w:rPr>
          <w:rFonts w:eastAsia="仿宋"/>
          <w:sz w:val="32"/>
          <w:szCs w:val="32"/>
        </w:rPr>
        <w:t>高速连接道、石林景区旅游公路和云</w:t>
      </w:r>
      <w:r>
        <w:rPr>
          <w:rFonts w:hint="eastAsia" w:eastAsia="仿宋"/>
          <w:sz w:val="32"/>
          <w:szCs w:val="32"/>
        </w:rPr>
        <w:t>昙</w:t>
      </w:r>
      <w:r>
        <w:rPr>
          <w:rFonts w:eastAsia="仿宋"/>
          <w:sz w:val="32"/>
          <w:szCs w:val="32"/>
        </w:rPr>
        <w:t>、至诚、玉带、镇龙等周边乡镇旅游线路建设，大力实施乡村客运</w:t>
      </w:r>
      <w:r>
        <w:rPr>
          <w:rFonts w:hint="eastAsia" w:ascii="仿宋" w:hAnsi="仿宋" w:eastAsia="仿宋" w:cs="仿宋"/>
          <w:sz w:val="32"/>
          <w:szCs w:val="32"/>
        </w:rPr>
        <w:t>“金通工程”，畅通物流体系，构建更加畅通安全便捷的交通网络。</w:t>
      </w:r>
      <w:r>
        <w:rPr>
          <w:rFonts w:hint="eastAsia" w:ascii="仿宋" w:hAnsi="仿宋" w:eastAsia="仿宋" w:cs="仿宋"/>
          <w:b/>
          <w:bCs/>
          <w:sz w:val="32"/>
          <w:szCs w:val="32"/>
        </w:rPr>
        <w:t>二是着力打造特色康养。</w:t>
      </w:r>
      <w:r>
        <w:rPr>
          <w:rFonts w:hint="eastAsia" w:ascii="仿宋" w:hAnsi="仿宋" w:eastAsia="仿宋" w:cs="仿宋"/>
          <w:sz w:val="32"/>
          <w:szCs w:val="32"/>
        </w:rPr>
        <w:t>依托石岭国家</w:t>
      </w:r>
      <w:r>
        <w:rPr>
          <w:rFonts w:eastAsia="仿宋"/>
          <w:sz w:val="32"/>
          <w:szCs w:val="32"/>
        </w:rPr>
        <w:t>AAAA</w:t>
      </w:r>
      <w:r>
        <w:rPr>
          <w:rFonts w:hint="eastAsia" w:ascii="仿宋" w:hAnsi="仿宋" w:eastAsia="仿宋" w:cs="仿宋"/>
          <w:sz w:val="32"/>
          <w:szCs w:val="32"/>
        </w:rPr>
        <w:t>级景区，</w:t>
      </w:r>
      <w:r>
        <w:rPr>
          <w:rFonts w:hint="eastAsia" w:ascii="仿宋_GB2312" w:hAnsi="仿宋_GB2312" w:eastAsia="仿宋_GB2312" w:cs="仿宋_GB2312"/>
          <w:sz w:val="32"/>
          <w:szCs w:val="32"/>
        </w:rPr>
        <w:t>充分利用资源禀赋和地理区位优势，大力推进森林康养基地建设，推行绿色生态颐养模式，积极开发森林康养产品，拓展省内外</w:t>
      </w:r>
      <w:r>
        <w:rPr>
          <w:rFonts w:hint="eastAsia" w:ascii="仿宋_GB2312" w:hAnsi="仿宋_GB2312" w:eastAsia="仿宋_GB2312" w:cs="仿宋_GB2312"/>
          <w:sz w:val="32"/>
          <w:szCs w:val="32"/>
          <w:u w:val="none" w:color="46CD7E"/>
          <w:shd w:val="clear" w:fill="auto"/>
          <w:lang w:eastAsia="zh-CN"/>
        </w:rPr>
        <w:t>异地式</w:t>
      </w:r>
      <w:r>
        <w:rPr>
          <w:rFonts w:hint="eastAsia" w:ascii="仿宋_GB2312" w:hAnsi="仿宋_GB2312" w:eastAsia="仿宋_GB2312" w:cs="仿宋_GB2312"/>
          <w:sz w:val="32"/>
          <w:szCs w:val="32"/>
        </w:rPr>
        <w:t>养老、</w:t>
      </w:r>
      <w:r>
        <w:rPr>
          <w:rFonts w:hint="eastAsia" w:ascii="仿宋_GB2312" w:hAnsi="仿宋_GB2312" w:eastAsia="仿宋_GB2312" w:cs="仿宋_GB2312"/>
          <w:sz w:val="32"/>
          <w:szCs w:val="32"/>
          <w:u w:val="none" w:color="46CD7E"/>
          <w:shd w:val="clear" w:fill="auto"/>
          <w:lang w:eastAsia="zh-CN"/>
        </w:rPr>
        <w:t>田园式养老</w:t>
      </w:r>
      <w:r>
        <w:rPr>
          <w:rFonts w:hint="eastAsia" w:ascii="仿宋_GB2312" w:hAnsi="仿宋_GB2312" w:eastAsia="仿宋_GB2312" w:cs="仿宋_GB2312"/>
          <w:sz w:val="32"/>
          <w:szCs w:val="32"/>
        </w:rPr>
        <w:t>、候鸟式养老市场，打造森林康养知名品牌。</w:t>
      </w:r>
      <w:r>
        <w:rPr>
          <w:rFonts w:hint="eastAsia" w:ascii="仿宋" w:hAnsi="仿宋" w:eastAsia="仿宋" w:cs="仿宋"/>
          <w:b/>
          <w:bCs/>
          <w:sz w:val="32"/>
          <w:szCs w:val="32"/>
        </w:rPr>
        <w:t>三是加快民生建设。</w:t>
      </w:r>
      <w:r>
        <w:rPr>
          <w:rFonts w:hint="eastAsia" w:ascii="仿宋" w:hAnsi="仿宋" w:eastAsia="仿宋" w:cs="仿宋"/>
          <w:sz w:val="32"/>
          <w:szCs w:val="32"/>
        </w:rPr>
        <w:t>全面</w:t>
      </w:r>
      <w:r>
        <w:rPr>
          <w:rFonts w:hint="eastAsia" w:ascii="仿宋" w:hAnsi="仿宋" w:eastAsia="仿宋" w:cs="仿宋"/>
          <w:sz w:val="32"/>
          <w:szCs w:val="32"/>
          <w:u w:val="none" w:color="46CD7E"/>
          <w:shd w:val="clear" w:fill="auto"/>
          <w:lang w:eastAsia="zh-CN"/>
        </w:rPr>
        <w:t>推进基本</w:t>
      </w:r>
      <w:r>
        <w:rPr>
          <w:rFonts w:hint="eastAsia" w:ascii="仿宋" w:hAnsi="仿宋" w:eastAsia="仿宋" w:cs="仿宋"/>
          <w:sz w:val="32"/>
          <w:szCs w:val="32"/>
        </w:rPr>
        <w:t>公共服务体系均衡发展，促进基本公共服务标准化、规范化、均等化。持续完善疾病防控机制和公共卫生应急体系，全面提升城乡卫生健康服务能力，常态化抓好疫情防控，有序推进疫苗强化接种，全力降低疫情传播风险。加强社会保障体系建设，建立完善增收致富长效机制，大力发展社会福利、老龄及养老事业，切实筑牢基本民生保障网。</w:t>
      </w:r>
      <w:r>
        <w:rPr>
          <w:rFonts w:hint="eastAsia" w:ascii="仿宋" w:hAnsi="仿宋" w:eastAsia="仿宋" w:cs="仿宋"/>
          <w:b/>
          <w:bCs/>
          <w:sz w:val="32"/>
          <w:szCs w:val="32"/>
        </w:rPr>
        <w:t>四是加快平安共建。</w:t>
      </w:r>
      <w:r>
        <w:rPr>
          <w:rFonts w:hint="eastAsia" w:ascii="仿宋" w:hAnsi="仿宋" w:eastAsia="仿宋" w:cs="仿宋"/>
          <w:sz w:val="32"/>
          <w:szCs w:val="32"/>
        </w:rPr>
        <w:t>继续深化“网格化管理”，严格落实安全生产责任制，切实筑牢公共卫生、食品药品、安全生产等各领域安全防线，坚决遏制重特大安全事故发生。完善社会治安防控体系，健全扫黑除恶长效常治机制，依法打击各类违法犯罪行为。认真落实信访工作责任制，坚持社会矛盾层级调处，完善多元化矛盾纠纷调解机制，促进社会和谐稳定，切实提升群众安全感、幸福感、获得感</w:t>
      </w:r>
      <w:r>
        <w:t>。</w:t>
      </w:r>
    </w:p>
    <w:p>
      <w:pPr>
        <w:widowControl/>
        <w:jc w:val="left"/>
        <w:rPr>
          <w:rFonts w:ascii="仿宋" w:hAnsi="仿宋" w:eastAsia="仿宋"/>
          <w:kern w:val="0"/>
          <w:sz w:val="32"/>
          <w:szCs w:val="32"/>
        </w:rPr>
      </w:pPr>
      <w:r>
        <w:br w:type="page"/>
      </w:r>
    </w:p>
    <w:p>
      <w:pPr>
        <w:pStyle w:val="13"/>
        <w:ind w:right="440"/>
        <w:jc w:val="center"/>
        <w:rPr>
          <w:rStyle w:val="30"/>
          <w:rFonts w:ascii="黑体" w:hAnsi="黑体" w:eastAsia="黑体"/>
          <w:b w:val="0"/>
          <w:bCs/>
        </w:rPr>
      </w:pPr>
      <w:bookmarkStart w:id="19" w:name="_Toc15396602"/>
      <w:bookmarkStart w:id="20" w:name="_Toc5285"/>
      <w:bookmarkStart w:id="21" w:name="_Toc15377204"/>
      <w:r>
        <w:rPr>
          <w:rFonts w:hint="eastAsia" w:ascii="黑体" w:hAnsi="黑体" w:eastAsia="黑体"/>
          <w:b w:val="0"/>
        </w:rPr>
        <w:t>第二</w:t>
      </w:r>
      <w:r>
        <w:rPr>
          <w:rFonts w:hint="eastAsia" w:ascii="黑体" w:hAnsi="黑体" w:eastAsia="黑体"/>
          <w:b w:val="0"/>
          <w:u w:val="none" w:color="46CD7E"/>
          <w:shd w:val="clear" w:fill="auto"/>
        </w:rPr>
        <w:t>部分</w:t>
      </w:r>
      <w:r>
        <w:rPr>
          <w:rFonts w:hint="eastAsia" w:ascii="黑体" w:hAnsi="黑体" w:eastAsia="黑体"/>
          <w:b w:val="0"/>
          <w:u w:val="thick" w:color="FFB03A"/>
          <w:shd w:val="clear" w:fill="FFEFD8"/>
          <w:lang w:val="en-US" w:eastAsia="zh-CN"/>
        </w:rPr>
        <w:t xml:space="preserve"> </w:t>
      </w:r>
      <w:r>
        <w:rPr>
          <w:rFonts w:hint="eastAsia" w:ascii="黑体" w:hAnsi="黑体" w:eastAsia="黑体"/>
          <w:b w:val="0"/>
        </w:rPr>
        <w:t>2021年度</w:t>
      </w:r>
      <w:r>
        <w:rPr>
          <w:rStyle w:val="30"/>
          <w:rFonts w:hint="eastAsia" w:ascii="黑体" w:hAnsi="黑体" w:eastAsia="黑体"/>
          <w:b w:val="0"/>
          <w:bCs/>
        </w:rPr>
        <w:t>单位决算情况说明</w:t>
      </w:r>
      <w:bookmarkEnd w:id="19"/>
      <w:bookmarkEnd w:id="20"/>
      <w:bookmarkEnd w:id="21"/>
    </w:p>
    <w:p/>
    <w:p>
      <w:pPr>
        <w:pStyle w:val="29"/>
        <w:numPr>
          <w:ilvl w:val="0"/>
          <w:numId w:val="2"/>
        </w:numPr>
        <w:spacing w:line="600" w:lineRule="exact"/>
        <w:ind w:firstLineChars="0"/>
        <w:outlineLvl w:val="1"/>
        <w:rPr>
          <w:rStyle w:val="31"/>
          <w:rFonts w:ascii="黑体" w:hAnsi="黑体" w:eastAsia="黑体"/>
          <w:b w:val="0"/>
        </w:rPr>
      </w:pPr>
      <w:bookmarkStart w:id="22" w:name="_Toc12028"/>
      <w:bookmarkStart w:id="23" w:name="_Toc15396603"/>
      <w:bookmarkStart w:id="24" w:name="_Toc15377205"/>
      <w:r>
        <w:rPr>
          <w:rFonts w:hint="eastAsia" w:ascii="黑体" w:hAnsi="黑体" w:eastAsia="黑体"/>
          <w:sz w:val="32"/>
          <w:szCs w:val="32"/>
        </w:rPr>
        <w:t>收</w:t>
      </w:r>
      <w:r>
        <w:rPr>
          <w:rStyle w:val="31"/>
          <w:rFonts w:hint="eastAsia" w:ascii="黑体" w:hAnsi="黑体" w:eastAsia="黑体"/>
          <w:b w:val="0"/>
        </w:rPr>
        <w:t>入支出</w:t>
      </w:r>
      <w:r>
        <w:rPr>
          <w:rFonts w:hint="eastAsia" w:ascii="黑体" w:hAnsi="黑体" w:eastAsia="黑体"/>
          <w:sz w:val="32"/>
          <w:szCs w:val="32"/>
        </w:rPr>
        <w:t>决算总体情况说明</w:t>
      </w:r>
      <w:bookmarkEnd w:id="22"/>
      <w:bookmarkEnd w:id="23"/>
      <w:bookmarkEnd w:id="24"/>
    </w:p>
    <w:p>
      <w:pPr>
        <w:spacing w:line="600" w:lineRule="exact"/>
        <w:ind w:firstLine="640" w:firstLineChars="200"/>
        <w:rPr>
          <w:rFonts w:ascii="仿宋" w:hAnsi="仿宋" w:eastAsia="仿宋"/>
          <w:sz w:val="32"/>
          <w:szCs w:val="32"/>
        </w:rPr>
      </w:pPr>
      <w:r>
        <w:rPr>
          <w:rFonts w:hint="eastAsia" w:ascii="仿宋" w:hAnsi="仿宋" w:eastAsia="仿宋"/>
          <w:sz w:val="32"/>
          <w:szCs w:val="32"/>
        </w:rPr>
        <w:t>2021年度收、支总计3351.87万元。与2020年相比，收、支总计各增加1238.96万元，增长58.64</w:t>
      </w:r>
      <w:r>
        <w:rPr>
          <w:rFonts w:ascii="仿宋" w:hAnsi="仿宋" w:eastAsia="仿宋"/>
          <w:sz w:val="32"/>
          <w:szCs w:val="32"/>
        </w:rPr>
        <w:t>%</w:t>
      </w:r>
      <w:r>
        <w:rPr>
          <w:rFonts w:hint="eastAsia" w:ascii="仿宋" w:hAnsi="仿宋" w:eastAsia="仿宋"/>
          <w:sz w:val="32"/>
          <w:szCs w:val="32"/>
        </w:rPr>
        <w:t>。主要变动原因是行政区划调整以及卫生健康支出（新冠疫情防控费用）增加。</w:t>
      </w:r>
    </w:p>
    <w:p>
      <w:pPr>
        <w:spacing w:line="600" w:lineRule="exact"/>
        <w:ind w:firstLine="640" w:firstLineChars="200"/>
        <w:rPr>
          <w:rFonts w:ascii="仿宋_GB2312" w:eastAsia="仿宋_GB2312"/>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spacing w:line="600" w:lineRule="exact"/>
        <w:jc w:val="left"/>
        <w:rPr>
          <w:rFonts w:ascii="仿宋_GB2312" w:eastAsia="仿宋_GB2312"/>
          <w:sz w:val="32"/>
          <w:szCs w:val="32"/>
        </w:rPr>
      </w:pPr>
      <w:r>
        <w:rPr>
          <w:rFonts w:hint="eastAsia" w:ascii="仿宋_GB2312" w:eastAsia="仿宋_GB2312"/>
          <w:sz w:val="32"/>
          <w:szCs w:val="32"/>
        </w:rPr>
        <w:drawing>
          <wp:anchor distT="0" distB="0" distL="114300" distR="114300" simplePos="0" relativeHeight="251659264" behindDoc="0" locked="0" layoutInCell="1" allowOverlap="1">
            <wp:simplePos x="0" y="0"/>
            <wp:positionH relativeFrom="column">
              <wp:posOffset>188595</wp:posOffset>
            </wp:positionH>
            <wp:positionV relativeFrom="paragraph">
              <wp:posOffset>145415</wp:posOffset>
            </wp:positionV>
            <wp:extent cx="4646295" cy="2508250"/>
            <wp:effectExtent l="4445" t="4445" r="16510" b="20955"/>
            <wp:wrapTopAndBottom/>
            <wp:docPr id="188" name="_x0000_s14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29"/>
        <w:spacing w:line="600" w:lineRule="exact"/>
        <w:ind w:left="640" w:firstLine="0" w:firstLineChars="0"/>
        <w:outlineLvl w:val="1"/>
        <w:rPr>
          <w:rStyle w:val="31"/>
          <w:rFonts w:ascii="黑体" w:hAnsi="黑体" w:eastAsia="黑体"/>
          <w:b w:val="0"/>
        </w:rPr>
      </w:pPr>
      <w:bookmarkStart w:id="25" w:name="_Toc15377206"/>
      <w:bookmarkStart w:id="26" w:name="_Toc15396604"/>
    </w:p>
    <w:p>
      <w:pPr>
        <w:pStyle w:val="29"/>
        <w:spacing w:line="600" w:lineRule="exact"/>
        <w:ind w:left="640" w:firstLine="0" w:firstLineChars="0"/>
        <w:outlineLvl w:val="1"/>
        <w:rPr>
          <w:rStyle w:val="31"/>
          <w:rFonts w:ascii="黑体" w:hAnsi="黑体" w:eastAsia="黑体"/>
          <w:b w:val="0"/>
        </w:rPr>
      </w:pPr>
    </w:p>
    <w:p>
      <w:pPr>
        <w:pStyle w:val="29"/>
        <w:numPr>
          <w:ilvl w:val="0"/>
          <w:numId w:val="2"/>
        </w:numPr>
        <w:spacing w:line="600" w:lineRule="exact"/>
        <w:ind w:firstLineChars="0"/>
        <w:outlineLvl w:val="1"/>
        <w:rPr>
          <w:rStyle w:val="31"/>
          <w:rFonts w:ascii="黑体" w:hAnsi="黑体" w:eastAsia="黑体"/>
          <w:b w:val="0"/>
        </w:rPr>
      </w:pPr>
      <w:bookmarkStart w:id="27" w:name="_Toc10319"/>
      <w:r>
        <w:rPr>
          <w:rFonts w:hint="eastAsia" w:ascii="黑体" w:hAnsi="黑体" w:eastAsia="黑体"/>
          <w:sz w:val="32"/>
          <w:szCs w:val="32"/>
        </w:rPr>
        <w:t>收</w:t>
      </w:r>
      <w:r>
        <w:rPr>
          <w:rStyle w:val="31"/>
          <w:rFonts w:hint="eastAsia" w:ascii="黑体" w:hAnsi="黑体" w:eastAsia="黑体"/>
          <w:b w:val="0"/>
        </w:rPr>
        <w:t>入决算情况说明</w:t>
      </w:r>
      <w:bookmarkEnd w:id="25"/>
      <w:bookmarkEnd w:id="26"/>
      <w:bookmarkEnd w:id="27"/>
    </w:p>
    <w:p>
      <w:pPr>
        <w:spacing w:line="600" w:lineRule="exact"/>
        <w:ind w:firstLine="640" w:firstLineChars="200"/>
        <w:outlineLvl w:val="1"/>
      </w:pPr>
      <w:r>
        <w:rPr>
          <w:rFonts w:ascii="仿宋" w:hAnsi="仿宋" w:eastAsia="仿宋"/>
          <w:sz w:val="32"/>
          <w:szCs w:val="32"/>
        </w:rPr>
        <w:t>20</w:t>
      </w:r>
      <w:r>
        <w:rPr>
          <w:rFonts w:hint="eastAsia" w:ascii="仿宋" w:hAnsi="仿宋" w:eastAsia="仿宋"/>
          <w:sz w:val="32"/>
          <w:szCs w:val="32"/>
        </w:rPr>
        <w:t>21年本年收入合计3351.87万元，其中：一般公共预算财政拨款收入3334.87万元，占99.5</w:t>
      </w:r>
      <w:r>
        <w:rPr>
          <w:rFonts w:ascii="仿宋" w:hAnsi="仿宋" w:eastAsia="仿宋"/>
          <w:sz w:val="32"/>
          <w:szCs w:val="32"/>
        </w:rPr>
        <w:t>%</w:t>
      </w:r>
      <w:r>
        <w:rPr>
          <w:rFonts w:hint="eastAsia" w:ascii="仿宋" w:hAnsi="仿宋" w:eastAsia="仿宋"/>
          <w:sz w:val="32"/>
          <w:szCs w:val="32"/>
        </w:rPr>
        <w:t>；政府性基金预算财政拨款收入17万元，占0.5</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仿宋_GB2312" w:eastAsia="仿宋_GB2312"/>
          <w:sz w:val="32"/>
          <w:szCs w:val="32"/>
        </w:rPr>
      </w:pPr>
      <w:r>
        <w:rPr>
          <w:rFonts w:hint="eastAsia" w:ascii="仿宋" w:hAnsi="仿宋" w:eastAsia="仿宋"/>
          <w:sz w:val="32"/>
          <w:szCs w:val="32"/>
        </w:rPr>
        <w:t>图2：收入决算结构图</w:t>
      </w:r>
    </w:p>
    <w:p>
      <w:pPr>
        <w:pStyle w:val="3"/>
        <w:spacing w:before="93"/>
        <w:rPr>
          <w:sz w:val="32"/>
          <w:szCs w:val="32"/>
        </w:rPr>
      </w:pPr>
      <w:r>
        <w:rPr>
          <w:rFonts w:hint="eastAsia"/>
          <w:sz w:val="32"/>
          <w:szCs w:val="32"/>
        </w:rPr>
        <w:drawing>
          <wp:anchor distT="0" distB="0" distL="114300" distR="114300" simplePos="0" relativeHeight="251662336" behindDoc="0" locked="0" layoutInCell="1" allowOverlap="1">
            <wp:simplePos x="0" y="0"/>
            <wp:positionH relativeFrom="column">
              <wp:posOffset>4445</wp:posOffset>
            </wp:positionH>
            <wp:positionV relativeFrom="paragraph">
              <wp:posOffset>134620</wp:posOffset>
            </wp:positionV>
            <wp:extent cx="4212590" cy="3006090"/>
            <wp:effectExtent l="4445" t="4445" r="12065" b="18415"/>
            <wp:wrapTopAndBottom/>
            <wp:docPr id="189" name="_x0000_s14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3"/>
        <w:spacing w:before="93"/>
        <w:rPr>
          <w:sz w:val="32"/>
          <w:szCs w:val="32"/>
        </w:rPr>
      </w:pPr>
    </w:p>
    <w:p>
      <w:pPr>
        <w:pStyle w:val="29"/>
        <w:numPr>
          <w:ilvl w:val="0"/>
          <w:numId w:val="2"/>
        </w:numPr>
        <w:spacing w:line="600" w:lineRule="exact"/>
        <w:ind w:firstLineChars="0"/>
        <w:outlineLvl w:val="1"/>
        <w:rPr>
          <w:rStyle w:val="31"/>
          <w:rFonts w:ascii="黑体" w:hAnsi="黑体" w:eastAsia="黑体"/>
          <w:b w:val="0"/>
        </w:rPr>
      </w:pPr>
      <w:bookmarkStart w:id="28" w:name="_Toc15377207"/>
      <w:bookmarkStart w:id="29" w:name="_Toc15396605"/>
      <w:bookmarkStart w:id="30" w:name="_Toc29472"/>
      <w:r>
        <w:rPr>
          <w:rFonts w:hint="eastAsia" w:ascii="黑体" w:hAnsi="黑体" w:eastAsia="黑体"/>
          <w:sz w:val="32"/>
          <w:szCs w:val="32"/>
        </w:rPr>
        <w:t>支</w:t>
      </w:r>
      <w:r>
        <w:rPr>
          <w:rStyle w:val="31"/>
          <w:rFonts w:hint="eastAsia" w:ascii="黑体" w:hAnsi="黑体" w:eastAsia="黑体"/>
          <w:b w:val="0"/>
        </w:rPr>
        <w:t>出</w:t>
      </w:r>
      <w:r>
        <w:rPr>
          <w:rFonts w:hint="eastAsia" w:ascii="黑体" w:hAnsi="黑体" w:eastAsia="黑体"/>
          <w:sz w:val="32"/>
          <w:szCs w:val="32"/>
        </w:rPr>
        <w:t>决算情况说明</w:t>
      </w:r>
      <w:bookmarkEnd w:id="28"/>
      <w:bookmarkEnd w:id="29"/>
      <w:bookmarkEnd w:id="30"/>
    </w:p>
    <w:p>
      <w:pPr>
        <w:spacing w:line="600" w:lineRule="exact"/>
        <w:ind w:firstLine="640" w:firstLineChars="200"/>
        <w:outlineLvl w:val="1"/>
        <w:rPr>
          <w:rFonts w:ascii="仿宋" w:hAnsi="仿宋" w:eastAsia="仿宋"/>
          <w:sz w:val="32"/>
          <w:szCs w:val="32"/>
          <w:shd w:val="pct10" w:color="auto" w:fill="FFFFFF"/>
        </w:rPr>
      </w:pPr>
      <w:r>
        <w:rPr>
          <w:rFonts w:ascii="仿宋" w:hAnsi="仿宋" w:eastAsia="仿宋"/>
          <w:sz w:val="32"/>
          <w:szCs w:val="32"/>
        </w:rPr>
        <w:t>20</w:t>
      </w:r>
      <w:r>
        <w:rPr>
          <w:rFonts w:hint="eastAsia" w:ascii="仿宋" w:hAnsi="仿宋" w:eastAsia="仿宋"/>
          <w:sz w:val="32"/>
          <w:szCs w:val="32"/>
        </w:rPr>
        <w:t>21年本年支出合计3351.87万元，其中：基本支出940.89万元，占28.07</w:t>
      </w:r>
      <w:r>
        <w:rPr>
          <w:rFonts w:ascii="仿宋" w:hAnsi="仿宋" w:eastAsia="仿宋"/>
          <w:sz w:val="32"/>
          <w:szCs w:val="32"/>
        </w:rPr>
        <w:t>%</w:t>
      </w:r>
      <w:r>
        <w:rPr>
          <w:rFonts w:hint="eastAsia" w:ascii="仿宋" w:hAnsi="仿宋" w:eastAsia="仿宋"/>
          <w:sz w:val="32"/>
          <w:szCs w:val="32"/>
        </w:rPr>
        <w:t>；项目支出2410.98万元，占71.93</w:t>
      </w:r>
      <w:r>
        <w:rPr>
          <w:rFonts w:ascii="仿宋" w:hAnsi="仿宋" w:eastAsia="仿宋"/>
          <w:sz w:val="32"/>
          <w:szCs w:val="32"/>
        </w:rPr>
        <w:t>%</w:t>
      </w:r>
      <w:r>
        <w:t>。</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drawing>
          <wp:anchor distT="0" distB="0" distL="114300" distR="114300" simplePos="0" relativeHeight="251661312" behindDoc="0" locked="0" layoutInCell="1" allowOverlap="1">
            <wp:simplePos x="0" y="0"/>
            <wp:positionH relativeFrom="column">
              <wp:posOffset>68580</wp:posOffset>
            </wp:positionH>
            <wp:positionV relativeFrom="paragraph">
              <wp:posOffset>455930</wp:posOffset>
            </wp:positionV>
            <wp:extent cx="5090795" cy="2444750"/>
            <wp:effectExtent l="4445" t="4445" r="10160" b="8255"/>
            <wp:wrapTopAndBottom/>
            <wp:docPr id="190" name="_x0000_s14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 w:hAnsi="仿宋" w:eastAsia="仿宋"/>
          <w:sz w:val="32"/>
          <w:szCs w:val="32"/>
        </w:rPr>
        <w:t>图3：支出决算结构图</w:t>
      </w:r>
    </w:p>
    <w:p>
      <w:pPr>
        <w:spacing w:line="600" w:lineRule="exact"/>
        <w:ind w:firstLine="640" w:firstLineChars="200"/>
        <w:outlineLvl w:val="1"/>
        <w:rPr>
          <w:rStyle w:val="31"/>
          <w:rFonts w:ascii="黑体" w:hAnsi="黑体" w:eastAsia="黑体"/>
          <w:b w:val="0"/>
        </w:rPr>
      </w:pPr>
      <w:bookmarkStart w:id="31" w:name="_Toc15396606"/>
      <w:bookmarkStart w:id="32" w:name="_Toc15377208"/>
      <w:bookmarkStart w:id="33" w:name="_Toc17939"/>
      <w:r>
        <w:rPr>
          <w:rFonts w:hint="eastAsia" w:ascii="黑体" w:hAnsi="黑体" w:eastAsia="黑体"/>
          <w:sz w:val="32"/>
          <w:szCs w:val="32"/>
        </w:rPr>
        <w:t>四、财</w:t>
      </w:r>
      <w:r>
        <w:rPr>
          <w:rStyle w:val="31"/>
          <w:rFonts w:hint="eastAsia" w:ascii="黑体" w:hAnsi="黑体" w:eastAsia="黑体"/>
          <w:b w:val="0"/>
        </w:rPr>
        <w:t>政拨款收入支出</w:t>
      </w:r>
      <w:r>
        <w:rPr>
          <w:rFonts w:hint="eastAsia" w:ascii="黑体" w:hAnsi="黑体" w:eastAsia="黑体"/>
          <w:sz w:val="32"/>
          <w:szCs w:val="32"/>
        </w:rPr>
        <w:t>决算总体情况说明</w:t>
      </w:r>
      <w:bookmarkEnd w:id="31"/>
      <w:bookmarkEnd w:id="32"/>
      <w:bookmarkEnd w:id="33"/>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21年财政拨款收、支总计3351.87万元。与</w:t>
      </w:r>
      <w:r>
        <w:rPr>
          <w:rFonts w:ascii="仿宋" w:hAnsi="仿宋" w:eastAsia="仿宋"/>
          <w:sz w:val="32"/>
          <w:szCs w:val="32"/>
        </w:rPr>
        <w:t>20</w:t>
      </w:r>
      <w:r>
        <w:rPr>
          <w:rFonts w:hint="eastAsia" w:ascii="仿宋" w:hAnsi="仿宋" w:eastAsia="仿宋"/>
          <w:sz w:val="32"/>
          <w:szCs w:val="32"/>
        </w:rPr>
        <w:t>20年相比，财政拨款收入增加1252.72万元，增长59.68</w:t>
      </w:r>
      <w:r>
        <w:rPr>
          <w:rFonts w:ascii="仿宋" w:hAnsi="仿宋" w:eastAsia="仿宋"/>
          <w:sz w:val="32"/>
          <w:szCs w:val="32"/>
        </w:rPr>
        <w:t>%</w:t>
      </w:r>
      <w:r>
        <w:rPr>
          <w:rFonts w:hint="eastAsia" w:ascii="仿宋" w:hAnsi="仿宋" w:eastAsia="仿宋"/>
          <w:sz w:val="32"/>
          <w:szCs w:val="32"/>
        </w:rPr>
        <w:t>，支出增加1238.96万元，增长58.64</w:t>
      </w:r>
      <w:r>
        <w:rPr>
          <w:rFonts w:ascii="仿宋" w:hAnsi="仿宋" w:eastAsia="仿宋"/>
          <w:sz w:val="32"/>
          <w:szCs w:val="32"/>
        </w:rPr>
        <w:t>%</w:t>
      </w:r>
      <w:r>
        <w:rPr>
          <w:rFonts w:hint="eastAsia" w:ascii="仿宋" w:hAnsi="仿宋" w:eastAsia="仿宋"/>
          <w:sz w:val="32"/>
          <w:szCs w:val="32"/>
        </w:rPr>
        <w:t>。主要变动原因是行政区划调整以及卫生健康支出（新冠疫情防控费用）增加。</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图4：财政拨款收、支决算总计变动情况</w:t>
      </w:r>
    </w:p>
    <w:p>
      <w:pPr>
        <w:spacing w:line="600" w:lineRule="exact"/>
        <w:ind w:firstLine="640"/>
        <w:rPr>
          <w:rFonts w:ascii="仿宋" w:hAnsi="仿宋" w:eastAsia="仿宋"/>
          <w:b/>
          <w:sz w:val="32"/>
          <w:szCs w:val="32"/>
        </w:rPr>
      </w:pPr>
      <w:r>
        <w:rPr>
          <w:rFonts w:hint="eastAsia" w:ascii="仿宋" w:hAnsi="仿宋" w:eastAsia="仿宋"/>
          <w:b/>
          <w:sz w:val="32"/>
          <w:szCs w:val="32"/>
        </w:rPr>
        <w:drawing>
          <wp:anchor distT="0" distB="0" distL="114300" distR="114300" simplePos="0" relativeHeight="251660288" behindDoc="0" locked="0" layoutInCell="1" allowOverlap="1">
            <wp:simplePos x="0" y="0"/>
            <wp:positionH relativeFrom="column">
              <wp:posOffset>427990</wp:posOffset>
            </wp:positionH>
            <wp:positionV relativeFrom="paragraph">
              <wp:posOffset>186690</wp:posOffset>
            </wp:positionV>
            <wp:extent cx="4265930" cy="2879090"/>
            <wp:effectExtent l="4445" t="4445" r="15875" b="12065"/>
            <wp:wrapTopAndBottom/>
            <wp:docPr id="191" name="_x0000_s14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outlineLvl w:val="1"/>
        <w:rPr>
          <w:rStyle w:val="31"/>
          <w:rFonts w:ascii="黑体" w:hAnsi="黑体" w:eastAsia="黑体"/>
          <w:b w:val="0"/>
        </w:rPr>
      </w:pPr>
      <w:bookmarkStart w:id="34" w:name="_Toc15377209"/>
      <w:bookmarkStart w:id="35" w:name="_Toc15396607"/>
      <w:bookmarkStart w:id="36" w:name="_Toc19194"/>
      <w:r>
        <w:rPr>
          <w:rFonts w:hint="eastAsia" w:ascii="黑体" w:hAnsi="黑体" w:eastAsia="黑体"/>
          <w:sz w:val="32"/>
          <w:szCs w:val="32"/>
        </w:rPr>
        <w:t>五、</w:t>
      </w:r>
      <w:r>
        <w:rPr>
          <w:rFonts w:hint="eastAsia" w:ascii="黑体" w:hAnsi="黑体" w:eastAsia="黑体"/>
          <w:b/>
          <w:sz w:val="32"/>
          <w:szCs w:val="32"/>
        </w:rPr>
        <w:t>一</w:t>
      </w:r>
      <w:r>
        <w:rPr>
          <w:rStyle w:val="31"/>
          <w:rFonts w:hint="eastAsia" w:ascii="黑体" w:hAnsi="黑体" w:eastAsia="黑体"/>
          <w:b w:val="0"/>
        </w:rPr>
        <w:t>般公共预算</w:t>
      </w:r>
      <w:r>
        <w:rPr>
          <w:rFonts w:hint="eastAsia" w:ascii="黑体" w:hAnsi="黑体" w:eastAsia="黑体"/>
          <w:sz w:val="32"/>
          <w:szCs w:val="32"/>
        </w:rPr>
        <w:t>财政拨款支出决算情况说明</w:t>
      </w:r>
      <w:bookmarkEnd w:id="34"/>
      <w:bookmarkEnd w:id="35"/>
      <w:bookmarkEnd w:id="36"/>
    </w:p>
    <w:p>
      <w:pPr>
        <w:spacing w:line="600" w:lineRule="exact"/>
        <w:ind w:firstLine="643" w:firstLineChars="200"/>
        <w:outlineLvl w:val="2"/>
        <w:rPr>
          <w:rFonts w:ascii="仿宋" w:hAnsi="仿宋" w:eastAsia="仿宋"/>
          <w:b/>
          <w:sz w:val="32"/>
          <w:szCs w:val="32"/>
        </w:rPr>
      </w:pPr>
      <w:bookmarkStart w:id="37" w:name="_Toc15377210"/>
      <w:r>
        <w:rPr>
          <w:rFonts w:hint="eastAsia" w:ascii="仿宋" w:hAnsi="仿宋" w:eastAsia="仿宋"/>
          <w:b/>
          <w:sz w:val="32"/>
          <w:szCs w:val="32"/>
        </w:rPr>
        <w:t>（一）一般公共预算财政拨款支出决算总体情况</w:t>
      </w:r>
      <w:bookmarkEnd w:id="37"/>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21年一般公共预算财政拨款支出3334.87万元，占本年支出合计的99.5</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20年相比，一般公共预算财政拨款支出增加1221.96万元，增长57.83</w:t>
      </w:r>
      <w:r>
        <w:rPr>
          <w:rFonts w:ascii="仿宋" w:hAnsi="仿宋" w:eastAsia="仿宋"/>
          <w:sz w:val="32"/>
          <w:szCs w:val="32"/>
        </w:rPr>
        <w:t>%</w:t>
      </w:r>
      <w:r>
        <w:rPr>
          <w:rFonts w:hint="eastAsia" w:ascii="仿宋" w:hAnsi="仿宋" w:eastAsia="仿宋"/>
          <w:sz w:val="32"/>
          <w:szCs w:val="32"/>
        </w:rPr>
        <w:t>。主要变动原因是行政区划调整以及卫生健康支出（新冠疫情防控费用）增加。</w:t>
      </w: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w:t>
      </w:r>
    </w:p>
    <w:p>
      <w:pPr>
        <w:pStyle w:val="3"/>
        <w:spacing w:before="93"/>
      </w:pPr>
      <w:r>
        <w:rPr>
          <w:rFonts w:hint="eastAsia" w:ascii="仿宋" w:hAnsi="仿宋" w:eastAsia="仿宋"/>
          <w:sz w:val="32"/>
          <w:szCs w:val="32"/>
        </w:rPr>
        <w:drawing>
          <wp:anchor distT="0" distB="0" distL="114300" distR="114300" simplePos="0" relativeHeight="251663360" behindDoc="0" locked="0" layoutInCell="1" allowOverlap="1">
            <wp:simplePos x="0" y="0"/>
            <wp:positionH relativeFrom="column">
              <wp:posOffset>469265</wp:posOffset>
            </wp:positionH>
            <wp:positionV relativeFrom="paragraph">
              <wp:posOffset>197485</wp:posOffset>
            </wp:positionV>
            <wp:extent cx="4519295" cy="3268980"/>
            <wp:effectExtent l="5080" t="4445" r="9525" b="22225"/>
            <wp:wrapTopAndBottom/>
            <wp:docPr id="192" name="_x0000_s14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3" w:firstLineChars="200"/>
        <w:outlineLvl w:val="2"/>
        <w:rPr>
          <w:rFonts w:ascii="仿宋" w:hAnsi="仿宋" w:eastAsia="仿宋"/>
          <w:b/>
          <w:sz w:val="32"/>
          <w:szCs w:val="32"/>
        </w:rPr>
      </w:pPr>
      <w:bookmarkStart w:id="38" w:name="_Toc15377211"/>
      <w:r>
        <w:rPr>
          <w:rFonts w:hint="eastAsia" w:ascii="仿宋" w:hAnsi="仿宋" w:eastAsia="仿宋"/>
          <w:b/>
          <w:sz w:val="32"/>
          <w:szCs w:val="32"/>
        </w:rPr>
        <w:t>（二）一般公共预算财政拨款支出决算结构情况</w:t>
      </w:r>
      <w:bookmarkEnd w:id="38"/>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21年一般公共预算财政拨款支出3334.87万元，主要用于以下方面</w:t>
      </w:r>
      <w:r>
        <w:t>：</w:t>
      </w:r>
      <w:r>
        <w:rPr>
          <w:rFonts w:hint="eastAsia" w:ascii="仿宋" w:hAnsi="仿宋" w:eastAsia="仿宋"/>
          <w:b/>
          <w:sz w:val="32"/>
          <w:szCs w:val="32"/>
        </w:rPr>
        <w:t>一般公共服务（类）</w:t>
      </w:r>
      <w:r>
        <w:rPr>
          <w:rFonts w:hint="eastAsia" w:ascii="仿宋" w:hAnsi="仿宋" w:eastAsia="仿宋"/>
          <w:sz w:val="32"/>
          <w:szCs w:val="32"/>
        </w:rPr>
        <w:t>支出576.46万元，占17.29</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文化旅游体育与传媒（类）</w:t>
      </w:r>
      <w:r>
        <w:rPr>
          <w:rFonts w:hint="eastAsia" w:ascii="仿宋" w:hAnsi="仿宋" w:eastAsia="仿宋"/>
          <w:sz w:val="32"/>
          <w:szCs w:val="32"/>
        </w:rPr>
        <w:t>支出</w:t>
      </w:r>
      <w:r>
        <w:rPr>
          <w:rFonts w:hint="eastAsia" w:ascii="仿宋" w:hAnsi="仿宋" w:eastAsia="仿宋"/>
          <w:b/>
          <w:bCs/>
          <w:sz w:val="32"/>
          <w:szCs w:val="32"/>
        </w:rPr>
        <w:t>53.8万元，占1.61</w:t>
      </w:r>
      <w:r>
        <w:rPr>
          <w:rFonts w:ascii="仿宋" w:hAnsi="仿宋" w:eastAsia="仿宋"/>
          <w:b/>
          <w:bCs/>
          <w:sz w:val="32"/>
          <w:szCs w:val="32"/>
        </w:rPr>
        <w:t>%</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支出164.66万元，占4.94</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w:t>
      </w:r>
      <w:r>
        <w:rPr>
          <w:rFonts w:hint="eastAsia" w:ascii="仿宋" w:hAnsi="仿宋" w:eastAsia="仿宋"/>
          <w:b/>
          <w:sz w:val="32"/>
          <w:szCs w:val="32"/>
        </w:rPr>
        <w:t>（类）</w:t>
      </w:r>
      <w:r>
        <w:rPr>
          <w:rFonts w:hint="eastAsia" w:ascii="仿宋" w:hAnsi="仿宋" w:eastAsia="仿宋"/>
          <w:sz w:val="32"/>
          <w:szCs w:val="32"/>
        </w:rPr>
        <w:t>支出46.56万元，占1.4</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农林水</w:t>
      </w:r>
      <w:r>
        <w:rPr>
          <w:rFonts w:hint="eastAsia" w:ascii="仿宋" w:hAnsi="仿宋" w:eastAsia="仿宋"/>
          <w:b/>
          <w:sz w:val="32"/>
          <w:szCs w:val="32"/>
        </w:rPr>
        <w:t>（类）</w:t>
      </w:r>
      <w:r>
        <w:rPr>
          <w:rFonts w:hint="eastAsia" w:ascii="仿宋" w:hAnsi="仿宋" w:eastAsia="仿宋"/>
          <w:sz w:val="32"/>
          <w:szCs w:val="32"/>
        </w:rPr>
        <w:t>支出1821.37万元，占54.62</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交通运输</w:t>
      </w:r>
      <w:r>
        <w:rPr>
          <w:rFonts w:hint="eastAsia" w:ascii="仿宋" w:hAnsi="仿宋" w:eastAsia="仿宋"/>
          <w:b/>
          <w:sz w:val="32"/>
          <w:szCs w:val="32"/>
        </w:rPr>
        <w:t>（类）</w:t>
      </w:r>
      <w:r>
        <w:rPr>
          <w:rFonts w:hint="eastAsia" w:ascii="仿宋" w:hAnsi="仿宋" w:eastAsia="仿宋"/>
          <w:sz w:val="32"/>
          <w:szCs w:val="32"/>
        </w:rPr>
        <w:t>支出52.33万元，占1.57</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w:t>
      </w:r>
      <w:r>
        <w:rPr>
          <w:rFonts w:hint="eastAsia" w:ascii="仿宋" w:hAnsi="仿宋" w:eastAsia="仿宋"/>
          <w:b/>
          <w:sz w:val="32"/>
          <w:szCs w:val="32"/>
        </w:rPr>
        <w:t>（类）</w:t>
      </w:r>
      <w:r>
        <w:rPr>
          <w:rFonts w:hint="eastAsia" w:ascii="仿宋" w:hAnsi="仿宋" w:eastAsia="仿宋"/>
          <w:sz w:val="32"/>
          <w:szCs w:val="32"/>
        </w:rPr>
        <w:t>支出619.71万元，占18.58</w:t>
      </w:r>
      <w:r>
        <w:rPr>
          <w:rFonts w:ascii="仿宋" w:hAnsi="仿宋" w:eastAsia="仿宋"/>
          <w:sz w:val="32"/>
          <w:szCs w:val="32"/>
        </w:rPr>
        <w:t>%</w:t>
      </w:r>
      <w:r>
        <w:t>。</w:t>
      </w: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w:t>
      </w:r>
    </w:p>
    <w:p>
      <w:pPr>
        <w:pStyle w:val="3"/>
        <w:spacing w:before="93"/>
        <w:rPr>
          <w:rFonts w:ascii="仿宋" w:hAnsi="仿宋" w:eastAsia="仿宋"/>
          <w:sz w:val="32"/>
          <w:szCs w:val="32"/>
        </w:rPr>
      </w:pPr>
      <w:r>
        <w:rPr>
          <w:rFonts w:hint="eastAsia" w:ascii="仿宋" w:hAnsi="仿宋" w:eastAsia="仿宋"/>
          <w:sz w:val="32"/>
          <w:szCs w:val="32"/>
        </w:rPr>
        <w:drawing>
          <wp:inline distT="0" distB="0" distL="114300" distR="114300">
            <wp:extent cx="5080000" cy="3461385"/>
            <wp:effectExtent l="4445" t="4445" r="20955" b="20320"/>
            <wp:docPr id="193" name="_x0000_i14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
      <w:pPr>
        <w:spacing w:line="600" w:lineRule="exact"/>
        <w:ind w:firstLine="643" w:firstLineChars="200"/>
        <w:outlineLvl w:val="2"/>
        <w:rPr>
          <w:rFonts w:ascii="仿宋" w:hAnsi="仿宋" w:eastAsia="仿宋"/>
          <w:b/>
          <w:sz w:val="32"/>
          <w:szCs w:val="32"/>
        </w:rPr>
      </w:pPr>
      <w:bookmarkStart w:id="39" w:name="_Toc15377212"/>
      <w:r>
        <w:rPr>
          <w:rFonts w:hint="eastAsia" w:ascii="仿宋" w:hAnsi="仿宋" w:eastAsia="仿宋"/>
          <w:b/>
          <w:sz w:val="32"/>
          <w:szCs w:val="32"/>
        </w:rPr>
        <w:t>（三）一般公共预算财政拨款支出决算具体情况</w:t>
      </w:r>
      <w:bookmarkEnd w:id="39"/>
    </w:p>
    <w:p>
      <w:pPr>
        <w:spacing w:line="600" w:lineRule="exact"/>
        <w:ind w:firstLine="643" w:firstLineChars="200"/>
        <w:outlineLvl w:val="2"/>
        <w:rPr>
          <w:rFonts w:ascii="仿宋" w:hAnsi="仿宋" w:eastAsia="仿宋"/>
          <w:sz w:val="32"/>
          <w:szCs w:val="32"/>
        </w:rPr>
      </w:pPr>
      <w:r>
        <w:rPr>
          <w:rFonts w:hint="eastAsia" w:ascii="仿宋" w:hAnsi="仿宋" w:eastAsia="仿宋"/>
          <w:b/>
          <w:sz w:val="32"/>
          <w:szCs w:val="32"/>
        </w:rPr>
        <w:t>2021年一般公共预算的支出决算数为3334.87万元</w:t>
      </w:r>
      <w:r>
        <w:rPr>
          <w:rFonts w:hint="eastAsia" w:ascii="仿宋" w:hAnsi="仿宋" w:eastAsia="仿宋"/>
          <w:sz w:val="32"/>
          <w:szCs w:val="32"/>
        </w:rPr>
        <w:t>，</w:t>
      </w:r>
      <w:r>
        <w:rPr>
          <w:rStyle w:val="10"/>
          <w:rFonts w:hint="eastAsia" w:ascii="仿宋" w:hAnsi="仿宋" w:eastAsia="仿宋"/>
          <w:bCs/>
          <w:sz w:val="32"/>
          <w:szCs w:val="32"/>
        </w:rPr>
        <w:t>完成</w:t>
      </w:r>
      <w:r>
        <w:rPr>
          <w:rStyle w:val="10"/>
          <w:rFonts w:hint="eastAsia" w:ascii="仿宋" w:hAnsi="仿宋" w:eastAsia="仿宋"/>
          <w:bCs/>
          <w:sz w:val="32"/>
          <w:szCs w:val="32"/>
          <w:lang w:eastAsia="zh-CN"/>
        </w:rPr>
        <w:t>预算的100%</w:t>
      </w:r>
      <w:r>
        <w:rPr>
          <w:rStyle w:val="10"/>
          <w:rFonts w:hint="eastAsia" w:ascii="仿宋" w:hAnsi="仿宋" w:eastAsia="仿宋"/>
          <w:bCs/>
          <w:sz w:val="32"/>
          <w:szCs w:val="32"/>
        </w:rPr>
        <w:t>。其中：</w:t>
      </w:r>
    </w:p>
    <w:p>
      <w:pPr>
        <w:spacing w:line="480" w:lineRule="exact"/>
        <w:ind w:firstLine="630" w:firstLineChars="196"/>
        <w:rPr>
          <w:rFonts w:ascii="仿宋" w:hAnsi="仿宋" w:eastAsia="仿宋"/>
          <w:b/>
          <w:sz w:val="32"/>
          <w:szCs w:val="32"/>
        </w:rPr>
      </w:pPr>
      <w:r>
        <w:rPr>
          <w:rStyle w:val="10"/>
          <w:rFonts w:ascii="仿宋" w:hAnsi="仿宋" w:eastAsia="仿宋"/>
          <w:bCs/>
          <w:sz w:val="32"/>
          <w:szCs w:val="32"/>
        </w:rPr>
        <w:t>1.</w:t>
      </w:r>
      <w:r>
        <w:rPr>
          <w:rStyle w:val="10"/>
          <w:rFonts w:hint="eastAsia" w:ascii="仿宋" w:hAnsi="仿宋" w:eastAsia="仿宋"/>
          <w:bCs/>
          <w:sz w:val="32"/>
          <w:szCs w:val="32"/>
        </w:rPr>
        <w:t>一般公共服务（</w:t>
      </w:r>
      <w:r>
        <w:rPr>
          <w:rFonts w:hint="eastAsia" w:ascii="仿宋" w:hAnsi="仿宋" w:eastAsia="仿宋"/>
          <w:bCs/>
          <w:sz w:val="32"/>
          <w:szCs w:val="32"/>
        </w:rPr>
        <w:t>类）</w:t>
      </w:r>
      <w:r>
        <w:rPr>
          <w:rStyle w:val="10"/>
          <w:rFonts w:hint="eastAsia" w:ascii="仿宋" w:hAnsi="仿宋" w:eastAsia="仿宋"/>
          <w:bCs/>
          <w:sz w:val="32"/>
          <w:szCs w:val="32"/>
        </w:rPr>
        <w:t>人大事务（</w:t>
      </w:r>
      <w:r>
        <w:rPr>
          <w:rFonts w:hint="eastAsia" w:ascii="仿宋" w:hAnsi="仿宋" w:eastAsia="仿宋"/>
          <w:bCs/>
          <w:sz w:val="32"/>
          <w:szCs w:val="32"/>
        </w:rPr>
        <w:t>款）</w:t>
      </w:r>
      <w:r>
        <w:rPr>
          <w:rStyle w:val="10"/>
          <w:rFonts w:hint="eastAsia" w:ascii="仿宋" w:hAnsi="仿宋" w:eastAsia="仿宋"/>
          <w:bCs/>
          <w:sz w:val="32"/>
          <w:szCs w:val="32"/>
        </w:rPr>
        <w:t>行政运行（项</w:t>
      </w:r>
      <w:r>
        <w:rPr>
          <w:rFonts w:hint="eastAsia" w:ascii="仿宋" w:hAnsi="仿宋" w:eastAsia="仿宋"/>
          <w:bCs/>
          <w:sz w:val="32"/>
          <w:szCs w:val="32"/>
        </w:rPr>
        <w:t>）</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决算为20.42万元，</w:t>
      </w:r>
      <w:r>
        <w:rPr>
          <w:rStyle w:val="10"/>
          <w:rFonts w:hint="eastAsia" w:ascii="仿宋" w:hAnsi="仿宋" w:eastAsia="仿宋"/>
          <w:b w:val="0"/>
          <w:bCs/>
          <w:sz w:val="32"/>
          <w:szCs w:val="32"/>
        </w:rPr>
        <w:t>完成</w:t>
      </w:r>
      <w:r>
        <w:rPr>
          <w:rStyle w:val="10"/>
          <w:rFonts w:hint="eastAsia" w:ascii="仿宋" w:hAnsi="仿宋" w:eastAsia="仿宋"/>
          <w:b w:val="0"/>
          <w:bCs/>
          <w:sz w:val="32"/>
          <w:szCs w:val="32"/>
          <w:lang w:eastAsia="zh-CN"/>
        </w:rPr>
        <w:t>预算的100%</w:t>
      </w:r>
      <w:r>
        <w:rPr>
          <w:rStyle w:val="10"/>
          <w:rFonts w:hint="eastAsia" w:ascii="仿宋" w:hAnsi="仿宋" w:eastAsia="仿宋"/>
          <w:b w:val="0"/>
          <w:bCs/>
          <w:sz w:val="32"/>
          <w:szCs w:val="32"/>
        </w:rPr>
        <w:t>，决算数</w:t>
      </w:r>
      <w:r>
        <w:rPr>
          <w:rFonts w:hint="eastAsia" w:ascii="仿宋" w:hAnsi="仿宋" w:eastAsia="仿宋"/>
          <w:bCs/>
          <w:sz w:val="32"/>
          <w:szCs w:val="32"/>
        </w:rPr>
        <w:t>等于</w:t>
      </w:r>
      <w:r>
        <w:rPr>
          <w:rStyle w:val="10"/>
          <w:rFonts w:hint="eastAsia" w:ascii="仿宋" w:hAnsi="仿宋" w:eastAsia="仿宋"/>
          <w:b w:val="0"/>
          <w:bCs/>
          <w:sz w:val="32"/>
          <w:szCs w:val="32"/>
        </w:rPr>
        <w:t>预算</w:t>
      </w:r>
      <w:r>
        <w:rPr>
          <w:rFonts w:hint="eastAsia" w:ascii="仿宋" w:hAnsi="仿宋" w:eastAsia="仿宋"/>
          <w:bCs/>
          <w:sz w:val="32"/>
          <w:szCs w:val="32"/>
        </w:rPr>
        <w:t>数。</w:t>
      </w:r>
    </w:p>
    <w:p>
      <w:pPr>
        <w:spacing w:line="480" w:lineRule="exact"/>
        <w:ind w:firstLine="630" w:firstLineChars="196"/>
        <w:rPr>
          <w:rFonts w:ascii="仿宋" w:hAnsi="仿宋" w:eastAsia="仿宋"/>
          <w:b/>
          <w:sz w:val="32"/>
          <w:szCs w:val="32"/>
        </w:rPr>
      </w:pPr>
      <w:r>
        <w:rPr>
          <w:rStyle w:val="10"/>
          <w:rFonts w:hint="eastAsia" w:ascii="仿宋" w:hAnsi="仿宋" w:eastAsia="仿宋"/>
          <w:bCs/>
          <w:sz w:val="32"/>
          <w:szCs w:val="32"/>
        </w:rPr>
        <w:t>2</w:t>
      </w:r>
      <w:r>
        <w:rPr>
          <w:rStyle w:val="10"/>
          <w:rFonts w:ascii="仿宋" w:hAnsi="仿宋" w:eastAsia="仿宋"/>
          <w:bCs/>
          <w:sz w:val="32"/>
          <w:szCs w:val="32"/>
        </w:rPr>
        <w:t>.</w:t>
      </w:r>
      <w:r>
        <w:rPr>
          <w:rStyle w:val="10"/>
          <w:rFonts w:hint="eastAsia" w:ascii="仿宋" w:hAnsi="仿宋" w:eastAsia="仿宋"/>
          <w:bCs/>
          <w:sz w:val="32"/>
          <w:szCs w:val="32"/>
        </w:rPr>
        <w:t>一般公共服务（</w:t>
      </w:r>
      <w:r>
        <w:rPr>
          <w:rFonts w:hint="eastAsia" w:ascii="仿宋" w:hAnsi="仿宋" w:eastAsia="仿宋"/>
          <w:bCs/>
          <w:sz w:val="32"/>
          <w:szCs w:val="32"/>
        </w:rPr>
        <w:t>类）</w:t>
      </w:r>
      <w:r>
        <w:rPr>
          <w:rStyle w:val="10"/>
          <w:rFonts w:hint="eastAsia" w:ascii="仿宋" w:hAnsi="仿宋" w:eastAsia="仿宋"/>
          <w:bCs/>
          <w:sz w:val="32"/>
          <w:szCs w:val="32"/>
        </w:rPr>
        <w:t>政府办公厅（</w:t>
      </w:r>
      <w:r>
        <w:rPr>
          <w:rFonts w:hint="eastAsia" w:ascii="仿宋" w:hAnsi="仿宋" w:eastAsia="仿宋"/>
          <w:bCs/>
          <w:sz w:val="32"/>
          <w:szCs w:val="32"/>
        </w:rPr>
        <w:t>室）及相关机构事务</w:t>
      </w:r>
      <w:r>
        <w:rPr>
          <w:rStyle w:val="10"/>
          <w:rFonts w:hint="eastAsia" w:ascii="仿宋" w:hAnsi="仿宋" w:eastAsia="仿宋"/>
          <w:bCs/>
          <w:sz w:val="32"/>
          <w:szCs w:val="32"/>
        </w:rPr>
        <w:t>（</w:t>
      </w:r>
      <w:r>
        <w:rPr>
          <w:rFonts w:hint="eastAsia" w:ascii="仿宋" w:hAnsi="仿宋" w:eastAsia="仿宋"/>
          <w:bCs/>
          <w:sz w:val="32"/>
          <w:szCs w:val="32"/>
        </w:rPr>
        <w:t>款）</w:t>
      </w:r>
      <w:r>
        <w:rPr>
          <w:rStyle w:val="10"/>
          <w:rFonts w:hint="eastAsia" w:ascii="仿宋" w:hAnsi="仿宋" w:eastAsia="仿宋"/>
          <w:bCs/>
          <w:sz w:val="32"/>
          <w:szCs w:val="32"/>
        </w:rPr>
        <w:t>行政运行（项</w:t>
      </w:r>
      <w:r>
        <w:rPr>
          <w:rFonts w:hint="eastAsia" w:ascii="仿宋" w:hAnsi="仿宋" w:eastAsia="仿宋"/>
          <w:bCs/>
          <w:sz w:val="32"/>
          <w:szCs w:val="32"/>
        </w:rPr>
        <w:t>）</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决算为429.89万元，</w:t>
      </w:r>
      <w:r>
        <w:rPr>
          <w:rStyle w:val="10"/>
          <w:rFonts w:hint="eastAsia" w:ascii="仿宋" w:hAnsi="仿宋" w:eastAsia="仿宋"/>
          <w:b w:val="0"/>
          <w:bCs/>
          <w:sz w:val="32"/>
          <w:szCs w:val="32"/>
        </w:rPr>
        <w:t>完成</w:t>
      </w:r>
      <w:r>
        <w:rPr>
          <w:rStyle w:val="10"/>
          <w:rFonts w:hint="eastAsia" w:ascii="仿宋" w:hAnsi="仿宋" w:eastAsia="仿宋"/>
          <w:b w:val="0"/>
          <w:bCs/>
          <w:sz w:val="32"/>
          <w:szCs w:val="32"/>
          <w:lang w:eastAsia="zh-CN"/>
        </w:rPr>
        <w:t>预算的100%</w:t>
      </w:r>
      <w:r>
        <w:rPr>
          <w:rStyle w:val="10"/>
          <w:rFonts w:hint="eastAsia" w:ascii="仿宋" w:hAnsi="仿宋" w:eastAsia="仿宋"/>
          <w:b w:val="0"/>
          <w:bCs/>
          <w:sz w:val="32"/>
          <w:szCs w:val="32"/>
        </w:rPr>
        <w:t>，决算数</w:t>
      </w:r>
      <w:r>
        <w:rPr>
          <w:rFonts w:hint="eastAsia" w:ascii="仿宋" w:hAnsi="仿宋" w:eastAsia="仿宋"/>
          <w:bCs/>
          <w:sz w:val="32"/>
          <w:szCs w:val="32"/>
        </w:rPr>
        <w:t>等于</w:t>
      </w:r>
      <w:r>
        <w:rPr>
          <w:rStyle w:val="10"/>
          <w:rFonts w:hint="eastAsia" w:ascii="仿宋" w:hAnsi="仿宋" w:eastAsia="仿宋"/>
          <w:b w:val="0"/>
          <w:bCs/>
          <w:sz w:val="32"/>
          <w:szCs w:val="32"/>
        </w:rPr>
        <w:t>预算</w:t>
      </w:r>
      <w:r>
        <w:rPr>
          <w:rFonts w:hint="eastAsia" w:ascii="仿宋" w:hAnsi="仿宋" w:eastAsia="仿宋"/>
          <w:bCs/>
          <w:sz w:val="32"/>
          <w:szCs w:val="32"/>
        </w:rPr>
        <w:t>数。</w:t>
      </w:r>
    </w:p>
    <w:p>
      <w:pPr>
        <w:spacing w:line="480" w:lineRule="exact"/>
        <w:ind w:firstLine="630" w:firstLineChars="196"/>
        <w:rPr>
          <w:rFonts w:ascii="仿宋" w:hAnsi="仿宋" w:eastAsia="仿宋"/>
          <w:b/>
          <w:sz w:val="32"/>
          <w:szCs w:val="32"/>
        </w:rPr>
      </w:pPr>
      <w:r>
        <w:rPr>
          <w:rStyle w:val="10"/>
          <w:rFonts w:hint="eastAsia" w:ascii="仿宋" w:hAnsi="仿宋" w:eastAsia="仿宋"/>
          <w:bCs/>
          <w:sz w:val="32"/>
          <w:szCs w:val="32"/>
        </w:rPr>
        <w:t>3</w:t>
      </w:r>
      <w:r>
        <w:rPr>
          <w:rStyle w:val="10"/>
          <w:rFonts w:ascii="仿宋" w:hAnsi="仿宋" w:eastAsia="仿宋"/>
          <w:bCs/>
          <w:sz w:val="32"/>
          <w:szCs w:val="32"/>
        </w:rPr>
        <w:t>.</w:t>
      </w:r>
      <w:r>
        <w:rPr>
          <w:rStyle w:val="10"/>
          <w:rFonts w:hint="eastAsia" w:ascii="仿宋" w:hAnsi="仿宋" w:eastAsia="仿宋"/>
          <w:bCs/>
          <w:sz w:val="32"/>
          <w:szCs w:val="32"/>
        </w:rPr>
        <w:t>一般公共服务（</w:t>
      </w:r>
      <w:r>
        <w:rPr>
          <w:rFonts w:hint="eastAsia" w:ascii="仿宋" w:hAnsi="仿宋" w:eastAsia="仿宋"/>
          <w:bCs/>
          <w:sz w:val="32"/>
          <w:szCs w:val="32"/>
        </w:rPr>
        <w:t>类）</w:t>
      </w:r>
      <w:r>
        <w:rPr>
          <w:rStyle w:val="10"/>
          <w:rFonts w:hint="eastAsia" w:ascii="仿宋" w:hAnsi="仿宋" w:eastAsia="仿宋"/>
          <w:bCs/>
          <w:sz w:val="32"/>
          <w:szCs w:val="32"/>
        </w:rPr>
        <w:t>政府办公厅（</w:t>
      </w:r>
      <w:r>
        <w:rPr>
          <w:rFonts w:hint="eastAsia" w:ascii="仿宋" w:hAnsi="仿宋" w:eastAsia="仿宋"/>
          <w:bCs/>
          <w:sz w:val="32"/>
          <w:szCs w:val="32"/>
        </w:rPr>
        <w:t>室）及相关机构事务</w:t>
      </w:r>
      <w:r>
        <w:rPr>
          <w:rStyle w:val="10"/>
          <w:rFonts w:hint="eastAsia" w:ascii="仿宋" w:hAnsi="仿宋" w:eastAsia="仿宋"/>
          <w:bCs/>
          <w:sz w:val="32"/>
          <w:szCs w:val="32"/>
        </w:rPr>
        <w:t>（</w:t>
      </w:r>
      <w:r>
        <w:rPr>
          <w:rFonts w:hint="eastAsia" w:ascii="仿宋" w:hAnsi="仿宋" w:eastAsia="仿宋"/>
          <w:bCs/>
          <w:sz w:val="32"/>
          <w:szCs w:val="32"/>
        </w:rPr>
        <w:t>款）</w:t>
      </w:r>
      <w:r>
        <w:rPr>
          <w:rStyle w:val="10"/>
          <w:rFonts w:hint="eastAsia" w:ascii="仿宋" w:hAnsi="仿宋" w:eastAsia="仿宋"/>
          <w:bCs/>
          <w:sz w:val="32"/>
          <w:szCs w:val="32"/>
        </w:rPr>
        <w:t>一般行政管理事务（项</w:t>
      </w:r>
      <w:r>
        <w:rPr>
          <w:rFonts w:hint="eastAsia" w:ascii="仿宋" w:hAnsi="仿宋" w:eastAsia="仿宋"/>
          <w:bCs/>
          <w:sz w:val="32"/>
          <w:szCs w:val="32"/>
        </w:rPr>
        <w:t>）</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决算为8.27万元，</w:t>
      </w:r>
      <w:r>
        <w:rPr>
          <w:rStyle w:val="10"/>
          <w:rFonts w:hint="eastAsia" w:ascii="仿宋" w:hAnsi="仿宋" w:eastAsia="仿宋"/>
          <w:b w:val="0"/>
          <w:bCs/>
          <w:sz w:val="32"/>
          <w:szCs w:val="32"/>
        </w:rPr>
        <w:t>完成</w:t>
      </w:r>
      <w:r>
        <w:rPr>
          <w:rStyle w:val="10"/>
          <w:rFonts w:hint="eastAsia" w:ascii="仿宋" w:hAnsi="仿宋" w:eastAsia="仿宋"/>
          <w:b w:val="0"/>
          <w:bCs/>
          <w:sz w:val="32"/>
          <w:szCs w:val="32"/>
          <w:lang w:eastAsia="zh-CN"/>
        </w:rPr>
        <w:t>预算的100%</w:t>
      </w:r>
      <w:r>
        <w:rPr>
          <w:rStyle w:val="10"/>
          <w:rFonts w:hint="eastAsia" w:ascii="仿宋" w:hAnsi="仿宋" w:eastAsia="仿宋"/>
          <w:b w:val="0"/>
          <w:bCs/>
          <w:sz w:val="32"/>
          <w:szCs w:val="32"/>
        </w:rPr>
        <w:t>，决算数</w:t>
      </w:r>
      <w:r>
        <w:rPr>
          <w:rFonts w:hint="eastAsia" w:ascii="仿宋" w:hAnsi="仿宋" w:eastAsia="仿宋"/>
          <w:bCs/>
          <w:sz w:val="32"/>
          <w:szCs w:val="32"/>
        </w:rPr>
        <w:t>等于</w:t>
      </w:r>
      <w:r>
        <w:rPr>
          <w:rStyle w:val="10"/>
          <w:rFonts w:hint="eastAsia" w:ascii="仿宋" w:hAnsi="仿宋" w:eastAsia="仿宋"/>
          <w:b w:val="0"/>
          <w:bCs/>
          <w:sz w:val="32"/>
          <w:szCs w:val="32"/>
        </w:rPr>
        <w:t>预算</w:t>
      </w:r>
      <w:r>
        <w:rPr>
          <w:rFonts w:hint="eastAsia" w:ascii="仿宋" w:hAnsi="仿宋" w:eastAsia="仿宋"/>
          <w:bCs/>
          <w:sz w:val="32"/>
          <w:szCs w:val="32"/>
        </w:rPr>
        <w:t>数。</w:t>
      </w:r>
    </w:p>
    <w:p>
      <w:pPr>
        <w:spacing w:line="480" w:lineRule="exact"/>
        <w:ind w:firstLine="630" w:firstLineChars="196"/>
        <w:rPr>
          <w:rFonts w:ascii="仿宋" w:hAnsi="仿宋" w:eastAsia="仿宋"/>
          <w:b/>
          <w:sz w:val="32"/>
          <w:szCs w:val="32"/>
        </w:rPr>
      </w:pPr>
      <w:r>
        <w:rPr>
          <w:rStyle w:val="10"/>
          <w:rFonts w:hint="eastAsia" w:ascii="仿宋" w:hAnsi="仿宋" w:eastAsia="仿宋"/>
          <w:bCs/>
          <w:sz w:val="32"/>
          <w:szCs w:val="32"/>
        </w:rPr>
        <w:t>4</w:t>
      </w:r>
      <w:r>
        <w:rPr>
          <w:rStyle w:val="10"/>
          <w:rFonts w:ascii="仿宋" w:hAnsi="仿宋" w:eastAsia="仿宋"/>
          <w:bCs/>
          <w:sz w:val="32"/>
          <w:szCs w:val="32"/>
        </w:rPr>
        <w:t>.</w:t>
      </w:r>
      <w:r>
        <w:rPr>
          <w:rStyle w:val="10"/>
          <w:rFonts w:hint="eastAsia" w:ascii="仿宋" w:hAnsi="仿宋" w:eastAsia="仿宋"/>
          <w:bCs/>
          <w:sz w:val="32"/>
          <w:szCs w:val="32"/>
        </w:rPr>
        <w:t>一般公共服务（</w:t>
      </w:r>
      <w:r>
        <w:rPr>
          <w:rFonts w:hint="eastAsia" w:ascii="仿宋" w:hAnsi="仿宋" w:eastAsia="仿宋"/>
          <w:bCs/>
          <w:sz w:val="32"/>
          <w:szCs w:val="32"/>
        </w:rPr>
        <w:t>类）</w:t>
      </w:r>
      <w:r>
        <w:rPr>
          <w:rStyle w:val="10"/>
          <w:rFonts w:hint="eastAsia" w:ascii="仿宋" w:hAnsi="仿宋" w:eastAsia="仿宋"/>
          <w:bCs/>
          <w:sz w:val="32"/>
          <w:szCs w:val="32"/>
        </w:rPr>
        <w:t>政府办公厅（</w:t>
      </w:r>
      <w:r>
        <w:rPr>
          <w:rFonts w:hint="eastAsia" w:ascii="仿宋" w:hAnsi="仿宋" w:eastAsia="仿宋"/>
          <w:bCs/>
          <w:sz w:val="32"/>
          <w:szCs w:val="32"/>
        </w:rPr>
        <w:t>室）及相关机构事务</w:t>
      </w:r>
      <w:r>
        <w:rPr>
          <w:rStyle w:val="10"/>
          <w:rFonts w:hint="eastAsia" w:ascii="仿宋" w:hAnsi="仿宋" w:eastAsia="仿宋"/>
          <w:bCs/>
          <w:sz w:val="32"/>
          <w:szCs w:val="32"/>
        </w:rPr>
        <w:t>（</w:t>
      </w:r>
      <w:r>
        <w:rPr>
          <w:rFonts w:hint="eastAsia" w:ascii="仿宋" w:hAnsi="仿宋" w:eastAsia="仿宋"/>
          <w:bCs/>
          <w:sz w:val="32"/>
          <w:szCs w:val="32"/>
        </w:rPr>
        <w:t>款）</w:t>
      </w:r>
      <w:r>
        <w:rPr>
          <w:rStyle w:val="10"/>
          <w:rFonts w:hint="eastAsia" w:ascii="仿宋" w:hAnsi="仿宋" w:eastAsia="仿宋"/>
          <w:bCs/>
          <w:sz w:val="32"/>
          <w:szCs w:val="32"/>
        </w:rPr>
        <w:t>信访事务（项</w:t>
      </w:r>
      <w:r>
        <w:rPr>
          <w:rFonts w:hint="eastAsia" w:ascii="仿宋" w:hAnsi="仿宋" w:eastAsia="仿宋"/>
          <w:bCs/>
          <w:sz w:val="32"/>
          <w:szCs w:val="32"/>
        </w:rPr>
        <w:t>）</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决算为21.89万元，</w:t>
      </w:r>
      <w:r>
        <w:rPr>
          <w:rStyle w:val="10"/>
          <w:rFonts w:hint="eastAsia" w:ascii="仿宋" w:hAnsi="仿宋" w:eastAsia="仿宋"/>
          <w:b w:val="0"/>
          <w:bCs/>
          <w:sz w:val="32"/>
          <w:szCs w:val="32"/>
        </w:rPr>
        <w:t>完成</w:t>
      </w:r>
      <w:r>
        <w:rPr>
          <w:rStyle w:val="10"/>
          <w:rFonts w:hint="eastAsia" w:ascii="仿宋" w:hAnsi="仿宋" w:eastAsia="仿宋"/>
          <w:b w:val="0"/>
          <w:bCs/>
          <w:sz w:val="32"/>
          <w:szCs w:val="32"/>
          <w:lang w:eastAsia="zh-CN"/>
        </w:rPr>
        <w:t>预算的100%</w:t>
      </w:r>
      <w:r>
        <w:rPr>
          <w:rStyle w:val="10"/>
          <w:rFonts w:hint="eastAsia" w:ascii="仿宋" w:hAnsi="仿宋" w:eastAsia="仿宋"/>
          <w:b w:val="0"/>
          <w:bCs/>
          <w:sz w:val="32"/>
          <w:szCs w:val="32"/>
        </w:rPr>
        <w:t>，决算数</w:t>
      </w:r>
      <w:r>
        <w:rPr>
          <w:rFonts w:hint="eastAsia" w:ascii="仿宋" w:hAnsi="仿宋" w:eastAsia="仿宋"/>
          <w:bCs/>
          <w:sz w:val="32"/>
          <w:szCs w:val="32"/>
        </w:rPr>
        <w:t>等于</w:t>
      </w:r>
      <w:r>
        <w:rPr>
          <w:rStyle w:val="10"/>
          <w:rFonts w:hint="eastAsia" w:ascii="仿宋" w:hAnsi="仿宋" w:eastAsia="仿宋"/>
          <w:b w:val="0"/>
          <w:bCs/>
          <w:sz w:val="32"/>
          <w:szCs w:val="32"/>
        </w:rPr>
        <w:t>预算</w:t>
      </w:r>
      <w:r>
        <w:rPr>
          <w:rFonts w:hint="eastAsia" w:ascii="仿宋" w:hAnsi="仿宋" w:eastAsia="仿宋"/>
          <w:bCs/>
          <w:sz w:val="32"/>
          <w:szCs w:val="32"/>
        </w:rPr>
        <w:t>数。</w:t>
      </w:r>
    </w:p>
    <w:p>
      <w:pPr>
        <w:spacing w:line="600" w:lineRule="exact"/>
        <w:ind w:firstLine="643" w:firstLineChars="200"/>
        <w:rPr>
          <w:rStyle w:val="10"/>
          <w:rFonts w:ascii="仿宋" w:hAnsi="仿宋" w:eastAsia="仿宋"/>
          <w:b w:val="0"/>
          <w:bCs/>
          <w:sz w:val="32"/>
          <w:szCs w:val="32"/>
        </w:rPr>
      </w:pPr>
      <w:r>
        <w:rPr>
          <w:rStyle w:val="10"/>
          <w:rFonts w:hint="eastAsia" w:ascii="仿宋" w:hAnsi="仿宋" w:eastAsia="仿宋"/>
          <w:bCs/>
          <w:sz w:val="32"/>
          <w:szCs w:val="32"/>
        </w:rPr>
        <w:t>5</w:t>
      </w:r>
      <w:r>
        <w:rPr>
          <w:rStyle w:val="10"/>
          <w:rFonts w:ascii="仿宋" w:hAnsi="仿宋" w:eastAsia="仿宋"/>
          <w:bCs/>
          <w:sz w:val="32"/>
          <w:szCs w:val="32"/>
        </w:rPr>
        <w:t>.</w:t>
      </w:r>
      <w:r>
        <w:rPr>
          <w:rStyle w:val="10"/>
          <w:rFonts w:hint="eastAsia" w:ascii="仿宋" w:hAnsi="仿宋" w:eastAsia="仿宋"/>
          <w:bCs/>
          <w:sz w:val="32"/>
          <w:szCs w:val="32"/>
        </w:rPr>
        <w:t>一般公共服务（</w:t>
      </w:r>
      <w:r>
        <w:rPr>
          <w:rFonts w:hint="eastAsia" w:ascii="仿宋" w:hAnsi="仿宋" w:eastAsia="仿宋"/>
          <w:bCs/>
          <w:sz w:val="32"/>
          <w:szCs w:val="32"/>
        </w:rPr>
        <w:t>类）</w:t>
      </w:r>
      <w:r>
        <w:rPr>
          <w:rStyle w:val="10"/>
          <w:rFonts w:hint="eastAsia" w:ascii="仿宋" w:hAnsi="仿宋" w:eastAsia="仿宋"/>
          <w:bCs/>
          <w:sz w:val="32"/>
          <w:szCs w:val="32"/>
        </w:rPr>
        <w:t>政府办公厅（</w:t>
      </w:r>
      <w:r>
        <w:rPr>
          <w:rFonts w:hint="eastAsia" w:ascii="仿宋" w:hAnsi="仿宋" w:eastAsia="仿宋"/>
          <w:bCs/>
          <w:sz w:val="32"/>
          <w:szCs w:val="32"/>
        </w:rPr>
        <w:t>室）及相关机构事务</w:t>
      </w:r>
      <w:r>
        <w:rPr>
          <w:rStyle w:val="10"/>
          <w:rFonts w:hint="eastAsia" w:ascii="仿宋" w:hAnsi="仿宋" w:eastAsia="仿宋"/>
          <w:bCs/>
          <w:sz w:val="32"/>
          <w:szCs w:val="32"/>
        </w:rPr>
        <w:t>（</w:t>
      </w:r>
      <w:r>
        <w:rPr>
          <w:rFonts w:hint="eastAsia" w:ascii="仿宋" w:hAnsi="仿宋" w:eastAsia="仿宋"/>
          <w:bCs/>
          <w:sz w:val="32"/>
          <w:szCs w:val="32"/>
        </w:rPr>
        <w:t>款）</w:t>
      </w:r>
      <w:r>
        <w:rPr>
          <w:rStyle w:val="10"/>
          <w:rFonts w:hint="eastAsia" w:ascii="仿宋" w:hAnsi="仿宋" w:eastAsia="仿宋"/>
          <w:bCs/>
          <w:sz w:val="32"/>
          <w:szCs w:val="32"/>
        </w:rPr>
        <w:t>事业运行（项</w:t>
      </w:r>
      <w:r>
        <w:rPr>
          <w:rFonts w:hint="eastAsia" w:ascii="仿宋" w:hAnsi="仿宋" w:eastAsia="仿宋"/>
          <w:bCs/>
          <w:sz w:val="32"/>
          <w:szCs w:val="32"/>
        </w:rPr>
        <w:t>）</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决算为1.71万元，</w:t>
      </w:r>
      <w:r>
        <w:rPr>
          <w:rStyle w:val="10"/>
          <w:rFonts w:hint="eastAsia" w:ascii="仿宋" w:hAnsi="仿宋" w:eastAsia="仿宋"/>
          <w:b w:val="0"/>
          <w:bCs/>
          <w:sz w:val="32"/>
          <w:szCs w:val="32"/>
        </w:rPr>
        <w:t>完成</w:t>
      </w:r>
      <w:r>
        <w:rPr>
          <w:rStyle w:val="10"/>
          <w:rFonts w:hint="eastAsia" w:ascii="仿宋" w:hAnsi="仿宋" w:eastAsia="仿宋"/>
          <w:b w:val="0"/>
          <w:bCs/>
          <w:sz w:val="32"/>
          <w:szCs w:val="32"/>
          <w:lang w:eastAsia="zh-CN"/>
        </w:rPr>
        <w:t>预算的100%</w:t>
      </w:r>
      <w:r>
        <w:rPr>
          <w:rStyle w:val="10"/>
          <w:rFonts w:hint="eastAsia" w:ascii="仿宋" w:hAnsi="仿宋" w:eastAsia="仿宋"/>
          <w:b w:val="0"/>
          <w:bCs/>
          <w:sz w:val="32"/>
          <w:szCs w:val="32"/>
        </w:rPr>
        <w:t>，决算数</w:t>
      </w:r>
      <w:r>
        <w:rPr>
          <w:rFonts w:hint="eastAsia" w:ascii="仿宋" w:hAnsi="仿宋" w:eastAsia="仿宋"/>
          <w:bCs/>
          <w:sz w:val="32"/>
          <w:szCs w:val="32"/>
        </w:rPr>
        <w:t>等于</w:t>
      </w:r>
      <w:r>
        <w:rPr>
          <w:rStyle w:val="10"/>
          <w:rFonts w:hint="eastAsia" w:ascii="仿宋" w:hAnsi="仿宋" w:eastAsia="仿宋"/>
          <w:b w:val="0"/>
          <w:bCs/>
          <w:sz w:val="32"/>
          <w:szCs w:val="32"/>
        </w:rPr>
        <w:t>预算</w:t>
      </w:r>
      <w:r>
        <w:rPr>
          <w:rFonts w:hint="eastAsia" w:ascii="仿宋" w:hAnsi="仿宋" w:eastAsia="仿宋"/>
          <w:bCs/>
          <w:sz w:val="32"/>
          <w:szCs w:val="32"/>
        </w:rPr>
        <w:t>数。</w:t>
      </w:r>
    </w:p>
    <w:p>
      <w:pPr>
        <w:spacing w:line="600" w:lineRule="exact"/>
        <w:ind w:firstLine="643" w:firstLineChars="200"/>
        <w:rPr>
          <w:rStyle w:val="10"/>
          <w:rFonts w:ascii="仿宋" w:hAnsi="仿宋" w:eastAsia="仿宋"/>
          <w:b w:val="0"/>
          <w:bCs/>
          <w:sz w:val="32"/>
          <w:szCs w:val="32"/>
        </w:rPr>
      </w:pPr>
      <w:r>
        <w:rPr>
          <w:rStyle w:val="10"/>
          <w:rFonts w:hint="eastAsia" w:ascii="仿宋" w:hAnsi="仿宋" w:eastAsia="仿宋"/>
          <w:bCs/>
          <w:sz w:val="32"/>
          <w:szCs w:val="32"/>
        </w:rPr>
        <w:t>6</w:t>
      </w:r>
      <w:r>
        <w:rPr>
          <w:rStyle w:val="10"/>
          <w:rFonts w:ascii="仿宋" w:hAnsi="仿宋" w:eastAsia="仿宋"/>
          <w:bCs/>
          <w:sz w:val="32"/>
          <w:szCs w:val="32"/>
        </w:rPr>
        <w:t>.</w:t>
      </w:r>
      <w:r>
        <w:rPr>
          <w:rStyle w:val="10"/>
          <w:rFonts w:hint="eastAsia" w:ascii="仿宋" w:hAnsi="仿宋" w:eastAsia="仿宋"/>
          <w:bCs/>
          <w:sz w:val="32"/>
          <w:szCs w:val="32"/>
        </w:rPr>
        <w:t>一般公共服务（</w:t>
      </w:r>
      <w:r>
        <w:rPr>
          <w:rFonts w:hint="eastAsia" w:ascii="仿宋" w:hAnsi="仿宋" w:eastAsia="仿宋"/>
          <w:bCs/>
          <w:sz w:val="32"/>
          <w:szCs w:val="32"/>
        </w:rPr>
        <w:t>类）</w:t>
      </w:r>
      <w:r>
        <w:rPr>
          <w:rStyle w:val="10"/>
          <w:rFonts w:hint="eastAsia" w:ascii="仿宋" w:hAnsi="仿宋" w:eastAsia="仿宋"/>
          <w:bCs/>
          <w:sz w:val="32"/>
          <w:szCs w:val="32"/>
        </w:rPr>
        <w:t>政府办公厅（</w:t>
      </w:r>
      <w:r>
        <w:rPr>
          <w:rFonts w:hint="eastAsia" w:ascii="仿宋" w:hAnsi="仿宋" w:eastAsia="仿宋"/>
          <w:bCs/>
          <w:sz w:val="32"/>
          <w:szCs w:val="32"/>
        </w:rPr>
        <w:t>室）及相关机构事务</w:t>
      </w:r>
      <w:r>
        <w:rPr>
          <w:rStyle w:val="10"/>
          <w:rFonts w:hint="eastAsia" w:ascii="仿宋" w:hAnsi="仿宋" w:eastAsia="仿宋"/>
          <w:bCs/>
          <w:sz w:val="32"/>
          <w:szCs w:val="32"/>
        </w:rPr>
        <w:t>（</w:t>
      </w:r>
      <w:r>
        <w:rPr>
          <w:rFonts w:hint="eastAsia" w:ascii="仿宋" w:hAnsi="仿宋" w:eastAsia="仿宋"/>
          <w:bCs/>
          <w:sz w:val="32"/>
          <w:szCs w:val="32"/>
        </w:rPr>
        <w:t>款）</w:t>
      </w:r>
      <w:r>
        <w:rPr>
          <w:rStyle w:val="10"/>
          <w:rFonts w:hint="eastAsia" w:ascii="仿宋" w:hAnsi="仿宋" w:eastAsia="仿宋"/>
          <w:bCs/>
          <w:sz w:val="32"/>
          <w:szCs w:val="32"/>
        </w:rPr>
        <w:t>其他政府办公厅（</w:t>
      </w:r>
      <w:r>
        <w:rPr>
          <w:rFonts w:hint="eastAsia" w:ascii="仿宋" w:hAnsi="仿宋" w:eastAsia="仿宋"/>
          <w:bCs/>
          <w:sz w:val="32"/>
          <w:szCs w:val="32"/>
        </w:rPr>
        <w:t>室）及相关机构事务支</w:t>
      </w:r>
      <w:r>
        <w:rPr>
          <w:rStyle w:val="10"/>
          <w:rFonts w:hint="eastAsia" w:ascii="仿宋" w:hAnsi="仿宋" w:eastAsia="仿宋"/>
          <w:bCs/>
          <w:sz w:val="32"/>
          <w:szCs w:val="32"/>
        </w:rPr>
        <w:t>出（项</w:t>
      </w:r>
      <w:r>
        <w:rPr>
          <w:rFonts w:hint="eastAsia" w:ascii="仿宋" w:hAnsi="仿宋" w:eastAsia="仿宋"/>
          <w:bCs/>
          <w:sz w:val="32"/>
          <w:szCs w:val="32"/>
        </w:rPr>
        <w:t>）</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决算为6万元，</w:t>
      </w:r>
      <w:r>
        <w:rPr>
          <w:rStyle w:val="10"/>
          <w:rFonts w:hint="eastAsia" w:ascii="仿宋" w:hAnsi="仿宋" w:eastAsia="仿宋"/>
          <w:b w:val="0"/>
          <w:bCs/>
          <w:sz w:val="32"/>
          <w:szCs w:val="32"/>
        </w:rPr>
        <w:t>完成</w:t>
      </w:r>
      <w:r>
        <w:rPr>
          <w:rStyle w:val="10"/>
          <w:rFonts w:hint="eastAsia" w:ascii="仿宋" w:hAnsi="仿宋" w:eastAsia="仿宋"/>
          <w:b w:val="0"/>
          <w:bCs/>
          <w:sz w:val="32"/>
          <w:szCs w:val="32"/>
          <w:lang w:eastAsia="zh-CN"/>
        </w:rPr>
        <w:t>预算的100%</w:t>
      </w:r>
      <w:r>
        <w:rPr>
          <w:rStyle w:val="10"/>
          <w:rFonts w:hint="eastAsia" w:ascii="仿宋" w:hAnsi="仿宋" w:eastAsia="仿宋"/>
          <w:b w:val="0"/>
          <w:bCs/>
          <w:sz w:val="32"/>
          <w:szCs w:val="32"/>
        </w:rPr>
        <w:t>，决算数</w:t>
      </w:r>
      <w:r>
        <w:rPr>
          <w:rFonts w:hint="eastAsia" w:ascii="仿宋" w:hAnsi="仿宋" w:eastAsia="仿宋"/>
          <w:bCs/>
          <w:sz w:val="32"/>
          <w:szCs w:val="32"/>
        </w:rPr>
        <w:t>等于</w:t>
      </w:r>
      <w:r>
        <w:rPr>
          <w:rStyle w:val="10"/>
          <w:rFonts w:hint="eastAsia" w:ascii="仿宋" w:hAnsi="仿宋" w:eastAsia="仿宋"/>
          <w:b w:val="0"/>
          <w:bCs/>
          <w:sz w:val="32"/>
          <w:szCs w:val="32"/>
        </w:rPr>
        <w:t>预算</w:t>
      </w:r>
      <w:r>
        <w:rPr>
          <w:rFonts w:hint="eastAsia" w:ascii="仿宋" w:hAnsi="仿宋" w:eastAsia="仿宋"/>
          <w:bCs/>
          <w:sz w:val="32"/>
          <w:szCs w:val="32"/>
        </w:rPr>
        <w:t>数。</w:t>
      </w:r>
    </w:p>
    <w:p>
      <w:pPr>
        <w:spacing w:line="600" w:lineRule="exact"/>
        <w:ind w:firstLine="643" w:firstLineChars="200"/>
        <w:rPr>
          <w:rStyle w:val="10"/>
          <w:rFonts w:ascii="仿宋" w:hAnsi="仿宋" w:eastAsia="仿宋"/>
          <w:b w:val="0"/>
          <w:bCs/>
          <w:sz w:val="32"/>
          <w:szCs w:val="32"/>
        </w:rPr>
      </w:pPr>
      <w:r>
        <w:rPr>
          <w:rStyle w:val="10"/>
          <w:rFonts w:hint="eastAsia" w:ascii="仿宋" w:hAnsi="仿宋" w:eastAsia="仿宋"/>
          <w:bCs/>
          <w:sz w:val="32"/>
          <w:szCs w:val="32"/>
        </w:rPr>
        <w:t>7</w:t>
      </w:r>
      <w:r>
        <w:rPr>
          <w:rStyle w:val="10"/>
          <w:rFonts w:ascii="仿宋" w:hAnsi="仿宋" w:eastAsia="仿宋"/>
          <w:bCs/>
          <w:sz w:val="32"/>
          <w:szCs w:val="32"/>
        </w:rPr>
        <w:t>.</w:t>
      </w:r>
      <w:r>
        <w:rPr>
          <w:rStyle w:val="10"/>
          <w:rFonts w:hint="eastAsia" w:ascii="仿宋" w:hAnsi="仿宋" w:eastAsia="仿宋"/>
          <w:bCs/>
          <w:sz w:val="32"/>
          <w:szCs w:val="32"/>
        </w:rPr>
        <w:t>一般公共服务（</w:t>
      </w:r>
      <w:r>
        <w:rPr>
          <w:rFonts w:hint="eastAsia" w:ascii="仿宋" w:hAnsi="仿宋" w:eastAsia="仿宋"/>
          <w:bCs/>
          <w:sz w:val="32"/>
          <w:szCs w:val="32"/>
        </w:rPr>
        <w:t>类）</w:t>
      </w:r>
      <w:r>
        <w:rPr>
          <w:rStyle w:val="10"/>
          <w:rFonts w:hint="eastAsia" w:ascii="仿宋" w:hAnsi="仿宋" w:eastAsia="仿宋"/>
          <w:bCs/>
          <w:sz w:val="32"/>
          <w:szCs w:val="32"/>
        </w:rPr>
        <w:t>财政事务（</w:t>
      </w:r>
      <w:r>
        <w:rPr>
          <w:rFonts w:hint="eastAsia" w:ascii="仿宋" w:hAnsi="仿宋" w:eastAsia="仿宋"/>
          <w:bCs/>
          <w:sz w:val="32"/>
          <w:szCs w:val="32"/>
        </w:rPr>
        <w:t>款）</w:t>
      </w:r>
      <w:r>
        <w:rPr>
          <w:rStyle w:val="10"/>
          <w:rFonts w:hint="eastAsia" w:ascii="仿宋" w:hAnsi="仿宋" w:eastAsia="仿宋"/>
          <w:bCs/>
          <w:sz w:val="32"/>
          <w:szCs w:val="32"/>
        </w:rPr>
        <w:t>行政运行（项</w:t>
      </w:r>
      <w:r>
        <w:rPr>
          <w:rFonts w:hint="eastAsia" w:ascii="仿宋" w:hAnsi="仿宋" w:eastAsia="仿宋"/>
          <w:bCs/>
          <w:sz w:val="32"/>
          <w:szCs w:val="32"/>
        </w:rPr>
        <w:t>）</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决算为27.51万元，</w:t>
      </w:r>
      <w:r>
        <w:rPr>
          <w:rStyle w:val="10"/>
          <w:rFonts w:hint="eastAsia" w:ascii="仿宋" w:hAnsi="仿宋" w:eastAsia="仿宋"/>
          <w:b w:val="0"/>
          <w:bCs/>
          <w:sz w:val="32"/>
          <w:szCs w:val="32"/>
        </w:rPr>
        <w:t>完成</w:t>
      </w:r>
      <w:r>
        <w:rPr>
          <w:rStyle w:val="10"/>
          <w:rFonts w:hint="eastAsia" w:ascii="仿宋" w:hAnsi="仿宋" w:eastAsia="仿宋"/>
          <w:b w:val="0"/>
          <w:bCs/>
          <w:sz w:val="32"/>
          <w:szCs w:val="32"/>
          <w:lang w:eastAsia="zh-CN"/>
        </w:rPr>
        <w:t>预算的100%</w:t>
      </w:r>
      <w:r>
        <w:rPr>
          <w:rStyle w:val="10"/>
          <w:rFonts w:hint="eastAsia" w:ascii="仿宋" w:hAnsi="仿宋" w:eastAsia="仿宋"/>
          <w:b w:val="0"/>
          <w:bCs/>
          <w:sz w:val="32"/>
          <w:szCs w:val="32"/>
        </w:rPr>
        <w:t>，决算数</w:t>
      </w:r>
      <w:r>
        <w:rPr>
          <w:rFonts w:hint="eastAsia" w:ascii="仿宋" w:hAnsi="仿宋" w:eastAsia="仿宋"/>
          <w:bCs/>
          <w:sz w:val="32"/>
          <w:szCs w:val="32"/>
        </w:rPr>
        <w:t>等于</w:t>
      </w:r>
      <w:r>
        <w:rPr>
          <w:rStyle w:val="10"/>
          <w:rFonts w:hint="eastAsia" w:ascii="仿宋" w:hAnsi="仿宋" w:eastAsia="仿宋"/>
          <w:b w:val="0"/>
          <w:bCs/>
          <w:sz w:val="32"/>
          <w:szCs w:val="32"/>
        </w:rPr>
        <w:t>预算</w:t>
      </w:r>
      <w:r>
        <w:rPr>
          <w:rFonts w:hint="eastAsia" w:ascii="仿宋" w:hAnsi="仿宋" w:eastAsia="仿宋"/>
          <w:bCs/>
          <w:sz w:val="32"/>
          <w:szCs w:val="32"/>
        </w:rPr>
        <w:t>数。</w:t>
      </w:r>
    </w:p>
    <w:p>
      <w:pPr>
        <w:spacing w:line="600" w:lineRule="exact"/>
        <w:ind w:firstLine="643" w:firstLineChars="200"/>
        <w:rPr>
          <w:rStyle w:val="10"/>
          <w:rFonts w:ascii="仿宋" w:hAnsi="仿宋" w:eastAsia="仿宋"/>
          <w:b w:val="0"/>
          <w:bCs/>
          <w:sz w:val="32"/>
          <w:szCs w:val="32"/>
        </w:rPr>
      </w:pPr>
      <w:r>
        <w:rPr>
          <w:rStyle w:val="10"/>
          <w:rFonts w:hint="eastAsia" w:ascii="仿宋" w:hAnsi="仿宋" w:eastAsia="仿宋"/>
          <w:bCs/>
          <w:sz w:val="32"/>
          <w:szCs w:val="32"/>
        </w:rPr>
        <w:t>8</w:t>
      </w:r>
      <w:r>
        <w:rPr>
          <w:rStyle w:val="10"/>
          <w:rFonts w:ascii="仿宋" w:hAnsi="仿宋" w:eastAsia="仿宋"/>
          <w:bCs/>
          <w:sz w:val="32"/>
          <w:szCs w:val="32"/>
        </w:rPr>
        <w:t>.</w:t>
      </w:r>
      <w:r>
        <w:rPr>
          <w:rStyle w:val="10"/>
          <w:rFonts w:hint="eastAsia" w:ascii="仿宋" w:hAnsi="仿宋" w:eastAsia="仿宋"/>
          <w:bCs/>
          <w:sz w:val="32"/>
          <w:szCs w:val="32"/>
        </w:rPr>
        <w:t>一般公共服务（</w:t>
      </w:r>
      <w:r>
        <w:rPr>
          <w:rFonts w:hint="eastAsia" w:ascii="仿宋" w:hAnsi="仿宋" w:eastAsia="仿宋"/>
          <w:bCs/>
          <w:sz w:val="32"/>
          <w:szCs w:val="32"/>
        </w:rPr>
        <w:t>类）</w:t>
      </w:r>
      <w:r>
        <w:rPr>
          <w:rStyle w:val="10"/>
          <w:rFonts w:hint="eastAsia" w:ascii="仿宋" w:hAnsi="仿宋" w:eastAsia="仿宋"/>
          <w:bCs/>
          <w:sz w:val="32"/>
          <w:szCs w:val="32"/>
        </w:rPr>
        <w:t>财政事务（</w:t>
      </w:r>
      <w:r>
        <w:rPr>
          <w:rFonts w:hint="eastAsia" w:ascii="仿宋" w:hAnsi="仿宋" w:eastAsia="仿宋"/>
          <w:bCs/>
          <w:sz w:val="32"/>
          <w:szCs w:val="32"/>
        </w:rPr>
        <w:t>款）</w:t>
      </w:r>
      <w:r>
        <w:rPr>
          <w:rStyle w:val="10"/>
          <w:rFonts w:hint="eastAsia" w:ascii="仿宋" w:hAnsi="仿宋" w:eastAsia="仿宋"/>
          <w:bCs/>
          <w:sz w:val="32"/>
          <w:szCs w:val="32"/>
        </w:rPr>
        <w:t>事业运行（项</w:t>
      </w:r>
      <w:r>
        <w:rPr>
          <w:rFonts w:hint="eastAsia" w:ascii="仿宋" w:hAnsi="仿宋" w:eastAsia="仿宋"/>
          <w:bCs/>
          <w:sz w:val="32"/>
          <w:szCs w:val="32"/>
        </w:rPr>
        <w:t>）</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决算为31.36万元，</w:t>
      </w:r>
      <w:r>
        <w:rPr>
          <w:rStyle w:val="10"/>
          <w:rFonts w:hint="eastAsia" w:ascii="仿宋" w:hAnsi="仿宋" w:eastAsia="仿宋"/>
          <w:b w:val="0"/>
          <w:bCs/>
          <w:sz w:val="32"/>
          <w:szCs w:val="32"/>
        </w:rPr>
        <w:t>完成</w:t>
      </w:r>
      <w:r>
        <w:rPr>
          <w:rStyle w:val="10"/>
          <w:rFonts w:hint="eastAsia" w:ascii="仿宋" w:hAnsi="仿宋" w:eastAsia="仿宋"/>
          <w:b w:val="0"/>
          <w:bCs/>
          <w:sz w:val="32"/>
          <w:szCs w:val="32"/>
          <w:lang w:eastAsia="zh-CN"/>
        </w:rPr>
        <w:t>预算的100%</w:t>
      </w:r>
      <w:r>
        <w:rPr>
          <w:rStyle w:val="10"/>
          <w:rFonts w:hint="eastAsia" w:ascii="仿宋" w:hAnsi="仿宋" w:eastAsia="仿宋"/>
          <w:b w:val="0"/>
          <w:bCs/>
          <w:sz w:val="32"/>
          <w:szCs w:val="32"/>
        </w:rPr>
        <w:t>，决算数</w:t>
      </w:r>
      <w:r>
        <w:rPr>
          <w:rFonts w:hint="eastAsia" w:ascii="仿宋" w:hAnsi="仿宋" w:eastAsia="仿宋"/>
          <w:bCs/>
          <w:sz w:val="32"/>
          <w:szCs w:val="32"/>
        </w:rPr>
        <w:t>等于</w:t>
      </w:r>
      <w:r>
        <w:rPr>
          <w:rStyle w:val="10"/>
          <w:rFonts w:hint="eastAsia" w:ascii="仿宋" w:hAnsi="仿宋" w:eastAsia="仿宋"/>
          <w:b w:val="0"/>
          <w:bCs/>
          <w:sz w:val="32"/>
          <w:szCs w:val="32"/>
        </w:rPr>
        <w:t>预算</w:t>
      </w:r>
      <w:r>
        <w:rPr>
          <w:rFonts w:hint="eastAsia" w:ascii="仿宋" w:hAnsi="仿宋" w:eastAsia="仿宋"/>
          <w:bCs/>
          <w:sz w:val="32"/>
          <w:szCs w:val="32"/>
        </w:rPr>
        <w:t>数。</w:t>
      </w:r>
    </w:p>
    <w:p>
      <w:pPr>
        <w:spacing w:line="600" w:lineRule="exact"/>
        <w:ind w:firstLine="643" w:firstLineChars="200"/>
        <w:rPr>
          <w:rStyle w:val="10"/>
          <w:rFonts w:ascii="仿宋" w:hAnsi="仿宋" w:eastAsia="仿宋"/>
          <w:b w:val="0"/>
          <w:bCs/>
          <w:sz w:val="32"/>
          <w:szCs w:val="32"/>
        </w:rPr>
      </w:pPr>
      <w:r>
        <w:rPr>
          <w:rStyle w:val="10"/>
          <w:rFonts w:hint="eastAsia" w:ascii="仿宋" w:hAnsi="仿宋" w:eastAsia="仿宋"/>
          <w:bCs/>
          <w:sz w:val="32"/>
          <w:szCs w:val="32"/>
        </w:rPr>
        <w:t>9</w:t>
      </w:r>
      <w:r>
        <w:rPr>
          <w:rStyle w:val="10"/>
          <w:rFonts w:ascii="仿宋" w:hAnsi="仿宋" w:eastAsia="仿宋"/>
          <w:bCs/>
          <w:sz w:val="32"/>
          <w:szCs w:val="32"/>
        </w:rPr>
        <w:t>.</w:t>
      </w:r>
      <w:r>
        <w:rPr>
          <w:rStyle w:val="10"/>
          <w:rFonts w:hint="eastAsia" w:ascii="仿宋" w:hAnsi="仿宋" w:eastAsia="仿宋"/>
          <w:bCs/>
          <w:sz w:val="32"/>
          <w:szCs w:val="32"/>
        </w:rPr>
        <w:t>一般公共服务（</w:t>
      </w:r>
      <w:r>
        <w:rPr>
          <w:rFonts w:hint="eastAsia" w:ascii="仿宋" w:hAnsi="仿宋" w:eastAsia="仿宋"/>
          <w:bCs/>
          <w:sz w:val="32"/>
          <w:szCs w:val="32"/>
        </w:rPr>
        <w:t>类）</w:t>
      </w:r>
      <w:r>
        <w:rPr>
          <w:rStyle w:val="10"/>
          <w:rFonts w:hint="eastAsia" w:ascii="仿宋" w:hAnsi="仿宋" w:eastAsia="仿宋"/>
          <w:bCs/>
          <w:sz w:val="32"/>
          <w:szCs w:val="32"/>
        </w:rPr>
        <w:t>纪检监察事务（</w:t>
      </w:r>
      <w:r>
        <w:rPr>
          <w:rFonts w:hint="eastAsia" w:ascii="仿宋" w:hAnsi="仿宋" w:eastAsia="仿宋"/>
          <w:bCs/>
          <w:sz w:val="32"/>
          <w:szCs w:val="32"/>
        </w:rPr>
        <w:t>款）</w:t>
      </w:r>
      <w:r>
        <w:rPr>
          <w:rStyle w:val="10"/>
          <w:rFonts w:hint="eastAsia" w:ascii="仿宋" w:hAnsi="仿宋" w:eastAsia="仿宋"/>
          <w:bCs/>
          <w:sz w:val="32"/>
          <w:szCs w:val="32"/>
        </w:rPr>
        <w:t>行政运行（项</w:t>
      </w:r>
      <w:r>
        <w:rPr>
          <w:rFonts w:hint="eastAsia" w:ascii="仿宋" w:hAnsi="仿宋" w:eastAsia="仿宋"/>
          <w:bCs/>
          <w:sz w:val="32"/>
          <w:szCs w:val="32"/>
        </w:rPr>
        <w:t>）</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决算为19.47万元，</w:t>
      </w:r>
      <w:r>
        <w:rPr>
          <w:rStyle w:val="10"/>
          <w:rFonts w:hint="eastAsia" w:ascii="仿宋" w:hAnsi="仿宋" w:eastAsia="仿宋"/>
          <w:b w:val="0"/>
          <w:bCs/>
          <w:sz w:val="32"/>
          <w:szCs w:val="32"/>
        </w:rPr>
        <w:t>完成</w:t>
      </w:r>
      <w:r>
        <w:rPr>
          <w:rStyle w:val="10"/>
          <w:rFonts w:hint="eastAsia" w:ascii="仿宋" w:hAnsi="仿宋" w:eastAsia="仿宋"/>
          <w:b w:val="0"/>
          <w:bCs/>
          <w:sz w:val="32"/>
          <w:szCs w:val="32"/>
          <w:lang w:eastAsia="zh-CN"/>
        </w:rPr>
        <w:t>预算的100%</w:t>
      </w:r>
      <w:r>
        <w:rPr>
          <w:rStyle w:val="10"/>
          <w:rFonts w:hint="eastAsia" w:ascii="仿宋" w:hAnsi="仿宋" w:eastAsia="仿宋"/>
          <w:b w:val="0"/>
          <w:bCs/>
          <w:sz w:val="32"/>
          <w:szCs w:val="32"/>
        </w:rPr>
        <w:t>，决算数</w:t>
      </w:r>
      <w:r>
        <w:rPr>
          <w:rFonts w:hint="eastAsia" w:ascii="仿宋" w:hAnsi="仿宋" w:eastAsia="仿宋"/>
          <w:bCs/>
          <w:sz w:val="32"/>
          <w:szCs w:val="32"/>
        </w:rPr>
        <w:t>等于</w:t>
      </w:r>
      <w:r>
        <w:rPr>
          <w:rStyle w:val="10"/>
          <w:rFonts w:hint="eastAsia" w:ascii="仿宋" w:hAnsi="仿宋" w:eastAsia="仿宋"/>
          <w:b w:val="0"/>
          <w:bCs/>
          <w:sz w:val="32"/>
          <w:szCs w:val="32"/>
        </w:rPr>
        <w:t>预算</w:t>
      </w:r>
      <w:r>
        <w:rPr>
          <w:rFonts w:hint="eastAsia" w:ascii="仿宋" w:hAnsi="仿宋" w:eastAsia="仿宋"/>
          <w:bCs/>
          <w:sz w:val="32"/>
          <w:szCs w:val="32"/>
        </w:rPr>
        <w:t>数。</w:t>
      </w:r>
    </w:p>
    <w:p>
      <w:pPr>
        <w:spacing w:line="600" w:lineRule="exact"/>
        <w:ind w:firstLine="643" w:firstLineChars="200"/>
        <w:rPr>
          <w:rStyle w:val="10"/>
          <w:rFonts w:ascii="仿宋" w:hAnsi="仿宋" w:eastAsia="仿宋"/>
          <w:b w:val="0"/>
          <w:bCs/>
          <w:sz w:val="32"/>
          <w:szCs w:val="32"/>
        </w:rPr>
      </w:pPr>
      <w:r>
        <w:rPr>
          <w:rStyle w:val="10"/>
          <w:rFonts w:hint="eastAsia" w:ascii="仿宋" w:hAnsi="仿宋" w:eastAsia="仿宋"/>
          <w:bCs/>
          <w:sz w:val="32"/>
          <w:szCs w:val="32"/>
        </w:rPr>
        <w:t>10</w:t>
      </w:r>
      <w:r>
        <w:rPr>
          <w:rStyle w:val="10"/>
          <w:rFonts w:ascii="仿宋" w:hAnsi="仿宋" w:eastAsia="仿宋"/>
          <w:bCs/>
          <w:sz w:val="32"/>
          <w:szCs w:val="32"/>
        </w:rPr>
        <w:t>.</w:t>
      </w:r>
      <w:r>
        <w:rPr>
          <w:rStyle w:val="10"/>
          <w:rFonts w:hint="eastAsia" w:ascii="仿宋" w:hAnsi="仿宋" w:eastAsia="仿宋"/>
          <w:bCs/>
          <w:sz w:val="32"/>
          <w:szCs w:val="32"/>
        </w:rPr>
        <w:t>一般公共服务（</w:t>
      </w:r>
      <w:r>
        <w:rPr>
          <w:rFonts w:hint="eastAsia" w:ascii="仿宋" w:hAnsi="仿宋" w:eastAsia="仿宋"/>
          <w:bCs/>
          <w:sz w:val="32"/>
          <w:szCs w:val="32"/>
        </w:rPr>
        <w:t>类）</w:t>
      </w:r>
      <w:r>
        <w:rPr>
          <w:rStyle w:val="10"/>
          <w:rFonts w:hint="eastAsia" w:ascii="仿宋" w:hAnsi="仿宋" w:eastAsia="仿宋"/>
          <w:bCs/>
          <w:sz w:val="32"/>
          <w:szCs w:val="32"/>
        </w:rPr>
        <w:t>党委办公厅（</w:t>
      </w:r>
      <w:r>
        <w:rPr>
          <w:rFonts w:hint="eastAsia" w:ascii="仿宋" w:hAnsi="仿宋" w:eastAsia="仿宋"/>
          <w:bCs/>
          <w:sz w:val="32"/>
          <w:szCs w:val="32"/>
        </w:rPr>
        <w:t>室）及相关机构事务</w:t>
      </w:r>
      <w:r>
        <w:rPr>
          <w:rStyle w:val="10"/>
          <w:rFonts w:hint="eastAsia" w:ascii="仿宋" w:hAnsi="仿宋" w:eastAsia="仿宋"/>
          <w:bCs/>
          <w:sz w:val="32"/>
          <w:szCs w:val="32"/>
        </w:rPr>
        <w:t>（</w:t>
      </w:r>
      <w:r>
        <w:rPr>
          <w:rFonts w:hint="eastAsia" w:ascii="仿宋" w:hAnsi="仿宋" w:eastAsia="仿宋"/>
          <w:bCs/>
          <w:sz w:val="32"/>
          <w:szCs w:val="32"/>
        </w:rPr>
        <w:t>款）</w:t>
      </w:r>
      <w:r>
        <w:rPr>
          <w:rStyle w:val="10"/>
          <w:rFonts w:hint="eastAsia" w:ascii="仿宋" w:hAnsi="仿宋" w:eastAsia="仿宋"/>
          <w:bCs/>
          <w:sz w:val="32"/>
          <w:szCs w:val="32"/>
        </w:rPr>
        <w:t>行政运行（项</w:t>
      </w:r>
      <w:r>
        <w:rPr>
          <w:rFonts w:hint="eastAsia" w:ascii="仿宋" w:hAnsi="仿宋" w:eastAsia="仿宋"/>
          <w:bCs/>
          <w:sz w:val="32"/>
          <w:szCs w:val="32"/>
        </w:rPr>
        <w:t>）</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决算为9.93万元，</w:t>
      </w:r>
      <w:r>
        <w:rPr>
          <w:rStyle w:val="10"/>
          <w:rFonts w:hint="eastAsia" w:ascii="仿宋" w:hAnsi="仿宋" w:eastAsia="仿宋"/>
          <w:b w:val="0"/>
          <w:bCs/>
          <w:sz w:val="32"/>
          <w:szCs w:val="32"/>
        </w:rPr>
        <w:t>完成</w:t>
      </w:r>
      <w:r>
        <w:rPr>
          <w:rStyle w:val="10"/>
          <w:rFonts w:hint="eastAsia" w:ascii="仿宋" w:hAnsi="仿宋" w:eastAsia="仿宋"/>
          <w:b w:val="0"/>
          <w:bCs/>
          <w:sz w:val="32"/>
          <w:szCs w:val="32"/>
          <w:lang w:eastAsia="zh-CN"/>
        </w:rPr>
        <w:t>预算的100%</w:t>
      </w:r>
      <w:r>
        <w:rPr>
          <w:rStyle w:val="10"/>
          <w:rFonts w:hint="eastAsia" w:ascii="仿宋" w:hAnsi="仿宋" w:eastAsia="仿宋"/>
          <w:b w:val="0"/>
          <w:bCs/>
          <w:sz w:val="32"/>
          <w:szCs w:val="32"/>
        </w:rPr>
        <w:t>，决算数</w:t>
      </w:r>
      <w:r>
        <w:rPr>
          <w:rFonts w:hint="eastAsia" w:ascii="仿宋" w:hAnsi="仿宋" w:eastAsia="仿宋"/>
          <w:bCs/>
          <w:sz w:val="32"/>
          <w:szCs w:val="32"/>
        </w:rPr>
        <w:t>等于</w:t>
      </w:r>
      <w:r>
        <w:rPr>
          <w:rStyle w:val="10"/>
          <w:rFonts w:hint="eastAsia" w:ascii="仿宋" w:hAnsi="仿宋" w:eastAsia="仿宋"/>
          <w:b w:val="0"/>
          <w:bCs/>
          <w:sz w:val="32"/>
          <w:szCs w:val="32"/>
        </w:rPr>
        <w:t>预算</w:t>
      </w:r>
      <w:r>
        <w:rPr>
          <w:rFonts w:hint="eastAsia" w:ascii="仿宋" w:hAnsi="仿宋" w:eastAsia="仿宋"/>
          <w:bCs/>
          <w:sz w:val="32"/>
          <w:szCs w:val="32"/>
        </w:rPr>
        <w:t>数。</w:t>
      </w:r>
    </w:p>
    <w:p>
      <w:pPr>
        <w:spacing w:line="600" w:lineRule="exact"/>
        <w:ind w:firstLine="643" w:firstLineChars="200"/>
        <w:rPr>
          <w:rStyle w:val="10"/>
          <w:rFonts w:ascii="仿宋" w:hAnsi="仿宋" w:eastAsia="仿宋"/>
          <w:b w:val="0"/>
          <w:bCs/>
          <w:sz w:val="32"/>
          <w:szCs w:val="32"/>
        </w:rPr>
      </w:pPr>
      <w:r>
        <w:rPr>
          <w:rStyle w:val="10"/>
          <w:rFonts w:hint="eastAsia" w:ascii="仿宋" w:hAnsi="仿宋" w:eastAsia="仿宋"/>
          <w:bCs/>
          <w:sz w:val="32"/>
          <w:szCs w:val="32"/>
        </w:rPr>
        <w:t>11.文化体育与传媒（</w:t>
      </w:r>
      <w:r>
        <w:rPr>
          <w:rFonts w:hint="eastAsia" w:ascii="仿宋" w:hAnsi="仿宋" w:eastAsia="仿宋"/>
          <w:bCs/>
          <w:sz w:val="32"/>
          <w:szCs w:val="32"/>
        </w:rPr>
        <w:t>类）</w:t>
      </w:r>
      <w:r>
        <w:rPr>
          <w:rStyle w:val="10"/>
          <w:rFonts w:hint="eastAsia" w:ascii="仿宋" w:hAnsi="仿宋" w:eastAsia="仿宋"/>
          <w:bCs/>
          <w:sz w:val="32"/>
          <w:szCs w:val="32"/>
        </w:rPr>
        <w:t>文化和旅游（</w:t>
      </w:r>
      <w:r>
        <w:rPr>
          <w:rFonts w:hint="eastAsia" w:ascii="仿宋" w:hAnsi="仿宋" w:eastAsia="仿宋"/>
          <w:bCs/>
          <w:sz w:val="32"/>
          <w:szCs w:val="32"/>
        </w:rPr>
        <w:t>款）</w:t>
      </w:r>
      <w:r>
        <w:rPr>
          <w:rStyle w:val="10"/>
          <w:rFonts w:hint="eastAsia" w:ascii="仿宋" w:hAnsi="仿宋" w:eastAsia="仿宋"/>
          <w:bCs/>
          <w:sz w:val="32"/>
          <w:szCs w:val="32"/>
        </w:rPr>
        <w:t>其他文化和旅游支出（项</w:t>
      </w:r>
      <w:r>
        <w:rPr>
          <w:rFonts w:hint="eastAsia" w:ascii="仿宋" w:hAnsi="仿宋" w:eastAsia="仿宋"/>
          <w:bCs/>
          <w:sz w:val="32"/>
          <w:szCs w:val="32"/>
        </w:rPr>
        <w:t>）</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53.8万元，完成</w:t>
      </w:r>
      <w:r>
        <w:rPr>
          <w:rStyle w:val="10"/>
          <w:rFonts w:hint="eastAsia" w:ascii="仿宋" w:hAnsi="仿宋" w:eastAsia="仿宋"/>
          <w:b w:val="0"/>
          <w:bCs/>
          <w:sz w:val="32"/>
          <w:szCs w:val="32"/>
          <w:lang w:eastAsia="zh-CN"/>
        </w:rPr>
        <w:t>预算的100%</w:t>
      </w:r>
      <w:r>
        <w:rPr>
          <w:rStyle w:val="10"/>
          <w:rFonts w:hint="eastAsia" w:ascii="仿宋" w:hAnsi="仿宋" w:eastAsia="仿宋"/>
          <w:b w:val="0"/>
          <w:bCs/>
          <w:sz w:val="32"/>
          <w:szCs w:val="32"/>
        </w:rPr>
        <w:t>，决算数</w:t>
      </w:r>
      <w:r>
        <w:rPr>
          <w:rFonts w:hint="eastAsia" w:ascii="仿宋" w:hAnsi="仿宋" w:eastAsia="仿宋"/>
          <w:bCs/>
          <w:sz w:val="32"/>
          <w:szCs w:val="32"/>
        </w:rPr>
        <w:t>等于</w:t>
      </w:r>
      <w:r>
        <w:rPr>
          <w:rStyle w:val="10"/>
          <w:rFonts w:hint="eastAsia" w:ascii="仿宋" w:hAnsi="仿宋" w:eastAsia="仿宋"/>
          <w:b w:val="0"/>
          <w:bCs/>
          <w:sz w:val="32"/>
          <w:szCs w:val="32"/>
        </w:rPr>
        <w:t>预算</w:t>
      </w:r>
      <w:r>
        <w:rPr>
          <w:rFonts w:hint="eastAsia" w:ascii="仿宋" w:hAnsi="仿宋" w:eastAsia="仿宋"/>
          <w:bCs/>
          <w:sz w:val="32"/>
          <w:szCs w:val="32"/>
        </w:rPr>
        <w:t>数。</w:t>
      </w:r>
    </w:p>
    <w:p>
      <w:pPr>
        <w:spacing w:line="600" w:lineRule="exact"/>
        <w:ind w:firstLine="643" w:firstLineChars="200"/>
        <w:rPr>
          <w:rFonts w:ascii="仿宋" w:hAnsi="仿宋" w:eastAsia="仿宋"/>
          <w:b/>
          <w:sz w:val="32"/>
          <w:szCs w:val="32"/>
        </w:rPr>
      </w:pPr>
      <w:r>
        <w:rPr>
          <w:rStyle w:val="10"/>
          <w:rFonts w:hint="eastAsia" w:ascii="仿宋" w:hAnsi="仿宋" w:eastAsia="仿宋"/>
          <w:sz w:val="32"/>
          <w:szCs w:val="32"/>
        </w:rPr>
        <w:t>12.</w:t>
      </w:r>
      <w:r>
        <w:rPr>
          <w:rStyle w:val="10"/>
          <w:rFonts w:hint="eastAsia" w:ascii="仿宋" w:hAnsi="仿宋" w:eastAsia="仿宋"/>
          <w:bCs/>
          <w:sz w:val="32"/>
          <w:szCs w:val="32"/>
        </w:rPr>
        <w:t>社会保障和就业（</w:t>
      </w:r>
      <w:r>
        <w:rPr>
          <w:rFonts w:hint="eastAsia" w:ascii="仿宋" w:hAnsi="仿宋" w:eastAsia="仿宋"/>
          <w:bCs/>
          <w:sz w:val="32"/>
          <w:szCs w:val="32"/>
        </w:rPr>
        <w:t>类）</w:t>
      </w:r>
      <w:r>
        <w:rPr>
          <w:rStyle w:val="10"/>
          <w:rFonts w:hint="eastAsia" w:ascii="仿宋" w:hAnsi="仿宋" w:eastAsia="仿宋"/>
          <w:bCs/>
          <w:sz w:val="32"/>
          <w:szCs w:val="32"/>
        </w:rPr>
        <w:t>人力资源和社会保障管理事务（</w:t>
      </w:r>
      <w:r>
        <w:rPr>
          <w:rFonts w:hint="eastAsia" w:ascii="仿宋" w:hAnsi="仿宋" w:eastAsia="仿宋"/>
          <w:bCs/>
          <w:sz w:val="32"/>
          <w:szCs w:val="32"/>
        </w:rPr>
        <w:t>款）</w:t>
      </w:r>
      <w:r>
        <w:rPr>
          <w:rStyle w:val="10"/>
          <w:rFonts w:hint="eastAsia" w:ascii="仿宋" w:hAnsi="仿宋" w:eastAsia="仿宋"/>
          <w:bCs/>
          <w:sz w:val="32"/>
          <w:szCs w:val="32"/>
        </w:rPr>
        <w:t>事业运行（项</w:t>
      </w:r>
      <w:r>
        <w:rPr>
          <w:rFonts w:hint="eastAsia" w:ascii="仿宋" w:hAnsi="仿宋" w:eastAsia="仿宋"/>
          <w:bCs/>
          <w:sz w:val="32"/>
          <w:szCs w:val="32"/>
        </w:rPr>
        <w:t>）</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21.81万元，完成</w:t>
      </w:r>
      <w:r>
        <w:rPr>
          <w:rStyle w:val="10"/>
          <w:rFonts w:hint="eastAsia" w:ascii="仿宋" w:hAnsi="仿宋" w:eastAsia="仿宋"/>
          <w:b w:val="0"/>
          <w:bCs/>
          <w:sz w:val="32"/>
          <w:szCs w:val="32"/>
          <w:lang w:eastAsia="zh-CN"/>
        </w:rPr>
        <w:t>预算的100%</w:t>
      </w:r>
      <w:r>
        <w:rPr>
          <w:rStyle w:val="10"/>
          <w:rFonts w:hint="eastAsia" w:ascii="仿宋" w:hAnsi="仿宋" w:eastAsia="仿宋"/>
          <w:b w:val="0"/>
          <w:bCs/>
          <w:sz w:val="32"/>
          <w:szCs w:val="32"/>
        </w:rPr>
        <w:t>，决算数</w:t>
      </w:r>
      <w:r>
        <w:rPr>
          <w:rFonts w:hint="eastAsia" w:ascii="仿宋" w:hAnsi="仿宋" w:eastAsia="仿宋"/>
          <w:bCs/>
          <w:sz w:val="32"/>
          <w:szCs w:val="32"/>
        </w:rPr>
        <w:t>等于</w:t>
      </w:r>
      <w:r>
        <w:rPr>
          <w:rStyle w:val="10"/>
          <w:rFonts w:hint="eastAsia" w:ascii="仿宋" w:hAnsi="仿宋" w:eastAsia="仿宋"/>
          <w:b w:val="0"/>
          <w:bCs/>
          <w:sz w:val="32"/>
          <w:szCs w:val="32"/>
        </w:rPr>
        <w:t>预算</w:t>
      </w:r>
      <w:r>
        <w:rPr>
          <w:rFonts w:hint="eastAsia" w:ascii="仿宋" w:hAnsi="仿宋" w:eastAsia="仿宋"/>
          <w:bCs/>
          <w:sz w:val="32"/>
          <w:szCs w:val="32"/>
        </w:rPr>
        <w:t>数。</w:t>
      </w:r>
    </w:p>
    <w:p>
      <w:pPr>
        <w:spacing w:line="600" w:lineRule="exact"/>
        <w:ind w:firstLine="643" w:firstLineChars="200"/>
        <w:rPr>
          <w:rFonts w:ascii="仿宋" w:hAnsi="仿宋" w:eastAsia="仿宋"/>
          <w:b/>
          <w:sz w:val="32"/>
          <w:szCs w:val="32"/>
        </w:rPr>
      </w:pPr>
      <w:r>
        <w:rPr>
          <w:rStyle w:val="10"/>
          <w:rFonts w:hint="eastAsia" w:ascii="仿宋" w:hAnsi="仿宋" w:eastAsia="仿宋"/>
          <w:sz w:val="32"/>
          <w:szCs w:val="32"/>
        </w:rPr>
        <w:t>13.</w:t>
      </w:r>
      <w:r>
        <w:rPr>
          <w:rStyle w:val="10"/>
          <w:rFonts w:hint="eastAsia" w:ascii="仿宋" w:hAnsi="仿宋" w:eastAsia="仿宋"/>
          <w:bCs/>
          <w:sz w:val="32"/>
          <w:szCs w:val="32"/>
        </w:rPr>
        <w:t>社会保障和就业（</w:t>
      </w:r>
      <w:r>
        <w:rPr>
          <w:rFonts w:hint="eastAsia" w:ascii="仿宋" w:hAnsi="仿宋" w:eastAsia="仿宋"/>
          <w:bCs/>
          <w:sz w:val="32"/>
          <w:szCs w:val="32"/>
        </w:rPr>
        <w:t>类）</w:t>
      </w:r>
      <w:r>
        <w:rPr>
          <w:rStyle w:val="10"/>
          <w:rFonts w:hint="eastAsia" w:ascii="仿宋" w:hAnsi="仿宋" w:eastAsia="仿宋"/>
          <w:bCs/>
          <w:sz w:val="32"/>
          <w:szCs w:val="32"/>
        </w:rPr>
        <w:t>行政事业单位养老支出（</w:t>
      </w:r>
      <w:r>
        <w:rPr>
          <w:rFonts w:hint="eastAsia" w:ascii="仿宋" w:hAnsi="仿宋" w:eastAsia="仿宋"/>
          <w:bCs/>
          <w:sz w:val="32"/>
          <w:szCs w:val="32"/>
        </w:rPr>
        <w:t>款）</w:t>
      </w:r>
      <w:r>
        <w:rPr>
          <w:rStyle w:val="10"/>
          <w:rFonts w:hint="eastAsia" w:ascii="仿宋" w:hAnsi="仿宋" w:eastAsia="仿宋"/>
          <w:bCs/>
          <w:sz w:val="32"/>
          <w:szCs w:val="32"/>
        </w:rPr>
        <w:t>机关事业单位基本养老保险缴费支出（项</w:t>
      </w:r>
      <w:r>
        <w:rPr>
          <w:rFonts w:hint="eastAsia" w:ascii="仿宋" w:hAnsi="仿宋" w:eastAsia="仿宋"/>
          <w:bCs/>
          <w:sz w:val="32"/>
          <w:szCs w:val="32"/>
        </w:rPr>
        <w:t>）</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70.97万元，完成</w:t>
      </w:r>
      <w:r>
        <w:rPr>
          <w:rStyle w:val="10"/>
          <w:rFonts w:hint="eastAsia" w:ascii="仿宋" w:hAnsi="仿宋" w:eastAsia="仿宋"/>
          <w:b w:val="0"/>
          <w:bCs/>
          <w:sz w:val="32"/>
          <w:szCs w:val="32"/>
          <w:lang w:eastAsia="zh-CN"/>
        </w:rPr>
        <w:t>预算的100%</w:t>
      </w:r>
      <w:r>
        <w:rPr>
          <w:rStyle w:val="10"/>
          <w:rFonts w:hint="eastAsia" w:ascii="仿宋" w:hAnsi="仿宋" w:eastAsia="仿宋"/>
          <w:b w:val="0"/>
          <w:bCs/>
          <w:sz w:val="32"/>
          <w:szCs w:val="32"/>
        </w:rPr>
        <w:t>，决算数</w:t>
      </w:r>
      <w:r>
        <w:rPr>
          <w:rFonts w:hint="eastAsia" w:ascii="仿宋" w:hAnsi="仿宋" w:eastAsia="仿宋"/>
          <w:bCs/>
          <w:sz w:val="32"/>
          <w:szCs w:val="32"/>
        </w:rPr>
        <w:t>等于</w:t>
      </w:r>
      <w:r>
        <w:rPr>
          <w:rStyle w:val="10"/>
          <w:rFonts w:hint="eastAsia" w:ascii="仿宋" w:hAnsi="仿宋" w:eastAsia="仿宋"/>
          <w:b w:val="0"/>
          <w:bCs/>
          <w:sz w:val="32"/>
          <w:szCs w:val="32"/>
        </w:rPr>
        <w:t>预算</w:t>
      </w:r>
      <w:r>
        <w:rPr>
          <w:rFonts w:hint="eastAsia" w:ascii="仿宋" w:hAnsi="仿宋" w:eastAsia="仿宋"/>
          <w:bCs/>
          <w:sz w:val="32"/>
          <w:szCs w:val="32"/>
        </w:rPr>
        <w:t>数。</w:t>
      </w:r>
    </w:p>
    <w:p>
      <w:pPr>
        <w:spacing w:line="600" w:lineRule="exact"/>
        <w:ind w:firstLine="643" w:firstLineChars="200"/>
        <w:rPr>
          <w:rFonts w:ascii="仿宋" w:hAnsi="仿宋" w:eastAsia="仿宋"/>
          <w:b/>
          <w:sz w:val="32"/>
          <w:szCs w:val="32"/>
        </w:rPr>
      </w:pPr>
      <w:r>
        <w:rPr>
          <w:rStyle w:val="10"/>
          <w:rFonts w:hint="eastAsia" w:ascii="仿宋" w:hAnsi="仿宋" w:eastAsia="仿宋"/>
          <w:sz w:val="32"/>
          <w:szCs w:val="32"/>
        </w:rPr>
        <w:t>14.</w:t>
      </w:r>
      <w:r>
        <w:rPr>
          <w:rStyle w:val="10"/>
          <w:rFonts w:hint="eastAsia" w:ascii="仿宋" w:hAnsi="仿宋" w:eastAsia="仿宋"/>
          <w:bCs/>
          <w:sz w:val="32"/>
          <w:szCs w:val="32"/>
        </w:rPr>
        <w:t>社会保障和就业（</w:t>
      </w:r>
      <w:r>
        <w:rPr>
          <w:rFonts w:hint="eastAsia" w:ascii="仿宋" w:hAnsi="仿宋" w:eastAsia="仿宋"/>
          <w:bCs/>
          <w:sz w:val="32"/>
          <w:szCs w:val="32"/>
        </w:rPr>
        <w:t>类）</w:t>
      </w:r>
      <w:r>
        <w:rPr>
          <w:rStyle w:val="10"/>
          <w:rFonts w:hint="eastAsia" w:ascii="仿宋" w:hAnsi="仿宋" w:eastAsia="仿宋"/>
          <w:bCs/>
          <w:sz w:val="32"/>
          <w:szCs w:val="32"/>
        </w:rPr>
        <w:t>就业补助（</w:t>
      </w:r>
      <w:r>
        <w:rPr>
          <w:rFonts w:hint="eastAsia" w:ascii="仿宋" w:hAnsi="仿宋" w:eastAsia="仿宋"/>
          <w:bCs/>
          <w:sz w:val="32"/>
          <w:szCs w:val="32"/>
        </w:rPr>
        <w:t>款）</w:t>
      </w:r>
      <w:r>
        <w:rPr>
          <w:rStyle w:val="10"/>
          <w:rFonts w:hint="eastAsia" w:ascii="仿宋" w:hAnsi="仿宋" w:eastAsia="仿宋"/>
          <w:bCs/>
          <w:sz w:val="32"/>
          <w:szCs w:val="32"/>
        </w:rPr>
        <w:t>公益性岗位补贴（项</w:t>
      </w:r>
      <w:r>
        <w:rPr>
          <w:rFonts w:hint="eastAsia" w:ascii="仿宋" w:hAnsi="仿宋" w:eastAsia="仿宋"/>
          <w:bCs/>
          <w:sz w:val="32"/>
          <w:szCs w:val="32"/>
        </w:rPr>
        <w:t>）</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58.38万元，完成</w:t>
      </w:r>
      <w:r>
        <w:rPr>
          <w:rStyle w:val="10"/>
          <w:rFonts w:hint="eastAsia" w:ascii="仿宋" w:hAnsi="仿宋" w:eastAsia="仿宋"/>
          <w:b w:val="0"/>
          <w:bCs/>
          <w:sz w:val="32"/>
          <w:szCs w:val="32"/>
          <w:lang w:eastAsia="zh-CN"/>
        </w:rPr>
        <w:t>预算的100%</w:t>
      </w:r>
      <w:r>
        <w:rPr>
          <w:rStyle w:val="10"/>
          <w:rFonts w:hint="eastAsia" w:ascii="仿宋" w:hAnsi="仿宋" w:eastAsia="仿宋"/>
          <w:b w:val="0"/>
          <w:bCs/>
          <w:sz w:val="32"/>
          <w:szCs w:val="32"/>
        </w:rPr>
        <w:t>，决算数</w:t>
      </w:r>
      <w:r>
        <w:rPr>
          <w:rFonts w:hint="eastAsia" w:ascii="仿宋" w:hAnsi="仿宋" w:eastAsia="仿宋"/>
          <w:bCs/>
          <w:sz w:val="32"/>
          <w:szCs w:val="32"/>
        </w:rPr>
        <w:t>等于</w:t>
      </w:r>
      <w:r>
        <w:rPr>
          <w:rStyle w:val="10"/>
          <w:rFonts w:hint="eastAsia" w:ascii="仿宋" w:hAnsi="仿宋" w:eastAsia="仿宋"/>
          <w:b w:val="0"/>
          <w:bCs/>
          <w:sz w:val="32"/>
          <w:szCs w:val="32"/>
        </w:rPr>
        <w:t>预算</w:t>
      </w:r>
      <w:r>
        <w:rPr>
          <w:rFonts w:hint="eastAsia" w:ascii="仿宋" w:hAnsi="仿宋" w:eastAsia="仿宋"/>
          <w:bCs/>
          <w:sz w:val="32"/>
          <w:szCs w:val="32"/>
        </w:rPr>
        <w:t>数。</w:t>
      </w:r>
    </w:p>
    <w:p>
      <w:pPr>
        <w:spacing w:line="600" w:lineRule="exact"/>
        <w:ind w:firstLine="643" w:firstLineChars="200"/>
        <w:rPr>
          <w:rFonts w:ascii="仿宋" w:hAnsi="仿宋" w:eastAsia="仿宋"/>
          <w:b/>
          <w:sz w:val="32"/>
          <w:szCs w:val="32"/>
        </w:rPr>
      </w:pPr>
      <w:r>
        <w:rPr>
          <w:rStyle w:val="10"/>
          <w:rFonts w:hint="eastAsia" w:ascii="仿宋" w:hAnsi="仿宋" w:eastAsia="仿宋"/>
          <w:sz w:val="32"/>
          <w:szCs w:val="32"/>
        </w:rPr>
        <w:t>15.</w:t>
      </w:r>
      <w:r>
        <w:rPr>
          <w:rStyle w:val="10"/>
          <w:rFonts w:hint="eastAsia" w:ascii="仿宋" w:hAnsi="仿宋" w:eastAsia="仿宋"/>
          <w:bCs/>
          <w:sz w:val="32"/>
          <w:szCs w:val="32"/>
        </w:rPr>
        <w:t>社会保障和就业（</w:t>
      </w:r>
      <w:r>
        <w:rPr>
          <w:rFonts w:hint="eastAsia" w:ascii="仿宋" w:hAnsi="仿宋" w:eastAsia="仿宋"/>
          <w:bCs/>
          <w:sz w:val="32"/>
          <w:szCs w:val="32"/>
        </w:rPr>
        <w:t>类）</w:t>
      </w:r>
      <w:r>
        <w:rPr>
          <w:rStyle w:val="10"/>
          <w:rFonts w:hint="eastAsia" w:ascii="仿宋" w:hAnsi="仿宋" w:eastAsia="仿宋"/>
          <w:bCs/>
          <w:sz w:val="32"/>
          <w:szCs w:val="32"/>
        </w:rPr>
        <w:t>就业补助（</w:t>
      </w:r>
      <w:r>
        <w:rPr>
          <w:rFonts w:hint="eastAsia" w:ascii="仿宋" w:hAnsi="仿宋" w:eastAsia="仿宋"/>
          <w:bCs/>
          <w:sz w:val="32"/>
          <w:szCs w:val="32"/>
        </w:rPr>
        <w:t>款）</w:t>
      </w:r>
      <w:r>
        <w:rPr>
          <w:rStyle w:val="10"/>
          <w:rFonts w:hint="eastAsia" w:ascii="仿宋" w:hAnsi="仿宋" w:eastAsia="仿宋"/>
          <w:bCs/>
          <w:sz w:val="32"/>
          <w:szCs w:val="32"/>
        </w:rPr>
        <w:t>其他就业补助支出（项</w:t>
      </w:r>
      <w:r>
        <w:rPr>
          <w:rFonts w:hint="eastAsia" w:ascii="仿宋" w:hAnsi="仿宋" w:eastAsia="仿宋"/>
          <w:bCs/>
          <w:sz w:val="32"/>
          <w:szCs w:val="32"/>
        </w:rPr>
        <w:t>）</w:t>
      </w:r>
      <w:r>
        <w:rPr>
          <w:rStyle w:val="10"/>
          <w:rFonts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13.5万元，完成</w:t>
      </w:r>
      <w:r>
        <w:rPr>
          <w:rStyle w:val="10"/>
          <w:rFonts w:hint="eastAsia" w:ascii="仿宋" w:hAnsi="仿宋" w:eastAsia="仿宋"/>
          <w:b w:val="0"/>
          <w:bCs/>
          <w:sz w:val="32"/>
          <w:szCs w:val="32"/>
          <w:lang w:eastAsia="zh-CN"/>
        </w:rPr>
        <w:t>预算的100%</w:t>
      </w:r>
      <w:r>
        <w:rPr>
          <w:rStyle w:val="10"/>
          <w:rFonts w:hint="eastAsia" w:ascii="仿宋" w:hAnsi="仿宋" w:eastAsia="仿宋"/>
          <w:b w:val="0"/>
          <w:bCs/>
          <w:sz w:val="32"/>
          <w:szCs w:val="32"/>
        </w:rPr>
        <w:t>，决算数</w:t>
      </w:r>
      <w:r>
        <w:rPr>
          <w:rFonts w:hint="eastAsia" w:ascii="仿宋" w:hAnsi="仿宋" w:eastAsia="仿宋"/>
          <w:bCs/>
          <w:sz w:val="32"/>
          <w:szCs w:val="32"/>
        </w:rPr>
        <w:t>等于</w:t>
      </w:r>
      <w:r>
        <w:rPr>
          <w:rStyle w:val="10"/>
          <w:rFonts w:hint="eastAsia" w:ascii="仿宋" w:hAnsi="仿宋" w:eastAsia="仿宋"/>
          <w:b w:val="0"/>
          <w:bCs/>
          <w:sz w:val="32"/>
          <w:szCs w:val="32"/>
        </w:rPr>
        <w:t>预算</w:t>
      </w:r>
      <w:r>
        <w:rPr>
          <w:rFonts w:hint="eastAsia" w:ascii="仿宋" w:hAnsi="仿宋" w:eastAsia="仿宋"/>
          <w:bCs/>
          <w:sz w:val="32"/>
          <w:szCs w:val="32"/>
        </w:rPr>
        <w:t>数。</w:t>
      </w:r>
    </w:p>
    <w:p>
      <w:pPr>
        <w:spacing w:line="600" w:lineRule="exact"/>
        <w:ind w:firstLine="643" w:firstLineChars="200"/>
        <w:rPr>
          <w:rStyle w:val="10"/>
          <w:rFonts w:ascii="仿宋" w:hAnsi="仿宋" w:eastAsia="仿宋"/>
          <w:b w:val="0"/>
          <w:bCs/>
          <w:sz w:val="32"/>
          <w:szCs w:val="32"/>
        </w:rPr>
      </w:pPr>
      <w:r>
        <w:rPr>
          <w:rStyle w:val="10"/>
          <w:rFonts w:hint="eastAsia" w:ascii="仿宋" w:hAnsi="仿宋" w:eastAsia="仿宋"/>
          <w:sz w:val="32"/>
          <w:szCs w:val="32"/>
        </w:rPr>
        <w:t>16.卫生健康支出</w:t>
      </w:r>
      <w:r>
        <w:rPr>
          <w:rFonts w:hint="eastAsia" w:ascii="仿宋" w:hAnsi="仿宋" w:eastAsia="仿宋"/>
          <w:b/>
          <w:sz w:val="32"/>
          <w:szCs w:val="32"/>
        </w:rPr>
        <w:t>（类）行政事业单位</w:t>
      </w:r>
      <w:r>
        <w:rPr>
          <w:rStyle w:val="10"/>
          <w:rFonts w:hint="eastAsia" w:ascii="仿宋" w:hAnsi="仿宋" w:eastAsia="仿宋"/>
          <w:sz w:val="32"/>
          <w:szCs w:val="32"/>
        </w:rPr>
        <w:t>医疗</w:t>
      </w:r>
      <w:r>
        <w:rPr>
          <w:rFonts w:hint="eastAsia" w:ascii="仿宋" w:hAnsi="仿宋" w:eastAsia="仿宋"/>
          <w:b/>
          <w:sz w:val="32"/>
          <w:szCs w:val="32"/>
        </w:rPr>
        <w:t>（款）行政单位医疗（项）</w:t>
      </w:r>
      <w:r>
        <w:rPr>
          <w:rStyle w:val="10"/>
          <w:rFonts w:hint="eastAsia" w:ascii="仿宋" w:hAnsi="仿宋" w:eastAsia="仿宋"/>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决算为21.35万元，完成</w:t>
      </w:r>
      <w:r>
        <w:rPr>
          <w:rFonts w:hint="eastAsia" w:ascii="仿宋" w:hAnsi="仿宋" w:eastAsia="仿宋"/>
          <w:bCs/>
          <w:sz w:val="32"/>
          <w:szCs w:val="32"/>
          <w:lang w:eastAsia="zh-CN"/>
        </w:rPr>
        <w:t>预算的100%</w:t>
      </w:r>
      <w:r>
        <w:rPr>
          <w:rFonts w:hint="eastAsia" w:ascii="仿宋" w:hAnsi="仿宋" w:eastAsia="仿宋"/>
          <w:bCs/>
          <w:sz w:val="32"/>
          <w:szCs w:val="32"/>
        </w:rPr>
        <w:t>，决算数等于预算数。</w:t>
      </w:r>
    </w:p>
    <w:p>
      <w:pPr>
        <w:spacing w:line="600" w:lineRule="exact"/>
        <w:ind w:firstLine="643" w:firstLineChars="200"/>
        <w:rPr>
          <w:rStyle w:val="10"/>
          <w:rFonts w:ascii="仿宋" w:hAnsi="仿宋" w:eastAsia="仿宋"/>
          <w:b w:val="0"/>
          <w:bCs/>
          <w:sz w:val="32"/>
          <w:szCs w:val="32"/>
        </w:rPr>
      </w:pPr>
      <w:r>
        <w:rPr>
          <w:rStyle w:val="10"/>
          <w:rFonts w:hint="eastAsia" w:ascii="仿宋" w:hAnsi="仿宋" w:eastAsia="仿宋"/>
          <w:sz w:val="32"/>
          <w:szCs w:val="32"/>
        </w:rPr>
        <w:t>17.卫生健康支出</w:t>
      </w:r>
      <w:r>
        <w:rPr>
          <w:rFonts w:hint="eastAsia" w:ascii="仿宋" w:hAnsi="仿宋" w:eastAsia="仿宋"/>
          <w:b/>
          <w:sz w:val="32"/>
          <w:szCs w:val="32"/>
        </w:rPr>
        <w:t>（类）行政事业单位</w:t>
      </w:r>
      <w:r>
        <w:rPr>
          <w:rStyle w:val="10"/>
          <w:rFonts w:hint="eastAsia" w:ascii="仿宋" w:hAnsi="仿宋" w:eastAsia="仿宋"/>
          <w:sz w:val="32"/>
          <w:szCs w:val="32"/>
        </w:rPr>
        <w:t>医疗</w:t>
      </w:r>
      <w:r>
        <w:rPr>
          <w:rFonts w:hint="eastAsia" w:ascii="仿宋" w:hAnsi="仿宋" w:eastAsia="仿宋"/>
          <w:b/>
          <w:sz w:val="32"/>
          <w:szCs w:val="32"/>
        </w:rPr>
        <w:t>（款）事业单位医疗（项）</w:t>
      </w:r>
      <w:r>
        <w:rPr>
          <w:rStyle w:val="10"/>
          <w:rFonts w:hint="eastAsia" w:ascii="仿宋" w:hAnsi="仿宋" w:eastAsia="仿宋"/>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决算为21.31万元，完成</w:t>
      </w:r>
      <w:r>
        <w:rPr>
          <w:rFonts w:hint="eastAsia" w:ascii="仿宋" w:hAnsi="仿宋" w:eastAsia="仿宋"/>
          <w:bCs/>
          <w:sz w:val="32"/>
          <w:szCs w:val="32"/>
          <w:lang w:eastAsia="zh-CN"/>
        </w:rPr>
        <w:t>预算的100%</w:t>
      </w:r>
      <w:r>
        <w:rPr>
          <w:rFonts w:hint="eastAsia" w:ascii="仿宋" w:hAnsi="仿宋" w:eastAsia="仿宋"/>
          <w:bCs/>
          <w:sz w:val="32"/>
          <w:szCs w:val="32"/>
        </w:rPr>
        <w:t>，决算数等于预算数。</w:t>
      </w:r>
    </w:p>
    <w:p>
      <w:pPr>
        <w:spacing w:line="600" w:lineRule="exact"/>
        <w:ind w:firstLine="643" w:firstLineChars="200"/>
        <w:rPr>
          <w:rStyle w:val="10"/>
          <w:rFonts w:ascii="仿宋" w:hAnsi="仿宋" w:eastAsia="仿宋"/>
          <w:b w:val="0"/>
          <w:bCs/>
          <w:sz w:val="32"/>
          <w:szCs w:val="32"/>
        </w:rPr>
      </w:pPr>
      <w:r>
        <w:rPr>
          <w:rStyle w:val="10"/>
          <w:rFonts w:hint="eastAsia" w:ascii="仿宋" w:hAnsi="仿宋" w:eastAsia="仿宋"/>
          <w:sz w:val="32"/>
          <w:szCs w:val="32"/>
        </w:rPr>
        <w:t>18.卫生健康支出</w:t>
      </w:r>
      <w:r>
        <w:rPr>
          <w:rFonts w:hint="eastAsia" w:ascii="仿宋" w:hAnsi="仿宋" w:eastAsia="仿宋"/>
          <w:b/>
          <w:sz w:val="32"/>
          <w:szCs w:val="32"/>
        </w:rPr>
        <w:t>（类）行政事业单位</w:t>
      </w:r>
      <w:r>
        <w:rPr>
          <w:rStyle w:val="10"/>
          <w:rFonts w:hint="eastAsia" w:ascii="仿宋" w:hAnsi="仿宋" w:eastAsia="仿宋"/>
          <w:sz w:val="32"/>
          <w:szCs w:val="32"/>
        </w:rPr>
        <w:t>医疗补助</w:t>
      </w:r>
      <w:r>
        <w:rPr>
          <w:rFonts w:hint="eastAsia" w:ascii="仿宋" w:hAnsi="仿宋" w:eastAsia="仿宋"/>
          <w:b/>
          <w:sz w:val="32"/>
          <w:szCs w:val="32"/>
        </w:rPr>
        <w:t>（款）公务员医疗补助（项）</w:t>
      </w:r>
      <w:r>
        <w:rPr>
          <w:rStyle w:val="10"/>
          <w:rFonts w:hint="eastAsia" w:ascii="仿宋" w:hAnsi="仿宋" w:eastAsia="仿宋"/>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决算为3.89万元，完成</w:t>
      </w:r>
      <w:r>
        <w:rPr>
          <w:rFonts w:hint="eastAsia" w:ascii="仿宋" w:hAnsi="仿宋" w:eastAsia="仿宋"/>
          <w:bCs/>
          <w:sz w:val="32"/>
          <w:szCs w:val="32"/>
          <w:lang w:eastAsia="zh-CN"/>
        </w:rPr>
        <w:t>预算的100%</w:t>
      </w:r>
      <w:r>
        <w:rPr>
          <w:rFonts w:hint="eastAsia" w:ascii="仿宋" w:hAnsi="仿宋" w:eastAsia="仿宋"/>
          <w:bCs/>
          <w:sz w:val="32"/>
          <w:szCs w:val="32"/>
        </w:rPr>
        <w:t>，决算数等于预算数。</w:t>
      </w:r>
    </w:p>
    <w:p>
      <w:pPr>
        <w:pStyle w:val="3"/>
        <w:spacing w:before="93"/>
        <w:ind w:firstLine="643" w:firstLineChars="200"/>
      </w:pPr>
      <w:r>
        <w:rPr>
          <w:rFonts w:hint="eastAsia" w:ascii="仿宋" w:hAnsi="仿宋" w:eastAsia="仿宋"/>
          <w:b/>
          <w:sz w:val="32"/>
          <w:szCs w:val="32"/>
        </w:rPr>
        <w:t>19.农林水支出</w:t>
      </w:r>
      <w:r>
        <w:rPr>
          <w:rStyle w:val="10"/>
          <w:rFonts w:hint="eastAsia" w:ascii="仿宋" w:hAnsi="仿宋" w:eastAsia="仿宋"/>
          <w:bCs/>
          <w:sz w:val="32"/>
          <w:szCs w:val="32"/>
        </w:rPr>
        <w:t>（</w:t>
      </w:r>
      <w:r>
        <w:rPr>
          <w:rFonts w:hint="eastAsia" w:ascii="仿宋" w:hAnsi="仿宋" w:eastAsia="仿宋"/>
          <w:bCs/>
          <w:sz w:val="32"/>
          <w:szCs w:val="32"/>
        </w:rPr>
        <w:t>类）</w:t>
      </w:r>
      <w:r>
        <w:rPr>
          <w:rStyle w:val="10"/>
          <w:rFonts w:hint="eastAsia" w:ascii="仿宋" w:hAnsi="仿宋" w:eastAsia="仿宋"/>
          <w:bCs/>
          <w:sz w:val="32"/>
          <w:szCs w:val="32"/>
        </w:rPr>
        <w:t>农业农村（</w:t>
      </w:r>
      <w:r>
        <w:rPr>
          <w:rFonts w:hint="eastAsia" w:ascii="仿宋" w:hAnsi="仿宋" w:eastAsia="仿宋"/>
          <w:bCs/>
          <w:sz w:val="32"/>
          <w:szCs w:val="32"/>
        </w:rPr>
        <w:t>款）</w:t>
      </w:r>
      <w:r>
        <w:rPr>
          <w:rStyle w:val="10"/>
          <w:rFonts w:hint="eastAsia" w:ascii="仿宋" w:hAnsi="仿宋" w:eastAsia="仿宋"/>
          <w:bCs/>
          <w:sz w:val="32"/>
          <w:szCs w:val="32"/>
        </w:rPr>
        <w:t>事业运行（项</w:t>
      </w:r>
      <w:r>
        <w:rPr>
          <w:rFonts w:hint="eastAsia" w:ascii="仿宋" w:hAnsi="仿宋" w:eastAsia="仿宋"/>
          <w:bCs/>
          <w:sz w:val="32"/>
          <w:szCs w:val="32"/>
        </w:rPr>
        <w:t>）</w:t>
      </w:r>
      <w:r>
        <w:rPr>
          <w:rStyle w:val="10"/>
          <w:rFonts w:hint="eastAsia"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135.52万元，完成</w:t>
      </w:r>
      <w:r>
        <w:rPr>
          <w:rStyle w:val="10"/>
          <w:rFonts w:hint="eastAsia" w:ascii="仿宋" w:hAnsi="仿宋" w:eastAsia="仿宋"/>
          <w:b w:val="0"/>
          <w:bCs/>
          <w:sz w:val="32"/>
          <w:szCs w:val="32"/>
          <w:lang w:eastAsia="zh-CN"/>
        </w:rPr>
        <w:t>预算的100%</w:t>
      </w:r>
      <w:r>
        <w:rPr>
          <w:rStyle w:val="10"/>
          <w:rFonts w:hint="eastAsia" w:ascii="仿宋" w:hAnsi="仿宋" w:eastAsia="仿宋"/>
          <w:b w:val="0"/>
          <w:bCs/>
          <w:sz w:val="32"/>
          <w:szCs w:val="32"/>
        </w:rPr>
        <w:t>，决算数</w:t>
      </w:r>
      <w:r>
        <w:rPr>
          <w:rFonts w:hint="eastAsia" w:ascii="仿宋" w:hAnsi="仿宋" w:eastAsia="仿宋"/>
          <w:bCs/>
          <w:sz w:val="32"/>
          <w:szCs w:val="32"/>
        </w:rPr>
        <w:t>等于</w:t>
      </w:r>
      <w:r>
        <w:rPr>
          <w:rStyle w:val="10"/>
          <w:rFonts w:hint="eastAsia" w:ascii="仿宋" w:hAnsi="仿宋" w:eastAsia="仿宋"/>
          <w:b w:val="0"/>
          <w:bCs/>
          <w:sz w:val="32"/>
          <w:szCs w:val="32"/>
        </w:rPr>
        <w:t>预算</w:t>
      </w:r>
      <w:r>
        <w:rPr>
          <w:rFonts w:hint="eastAsia" w:ascii="仿宋" w:hAnsi="仿宋" w:eastAsia="仿宋"/>
          <w:bCs/>
          <w:sz w:val="32"/>
          <w:szCs w:val="32"/>
        </w:rPr>
        <w:t>数</w:t>
      </w:r>
      <w:r>
        <w:rPr>
          <w:rStyle w:val="10"/>
          <w:rFonts w:hint="eastAsia" w:ascii="仿宋" w:hAnsi="仿宋" w:eastAsia="仿宋"/>
          <w:b w:val="0"/>
          <w:bCs/>
          <w:sz w:val="32"/>
          <w:szCs w:val="32"/>
        </w:rPr>
        <w:t>。</w:t>
      </w:r>
    </w:p>
    <w:p>
      <w:pPr>
        <w:pStyle w:val="3"/>
        <w:spacing w:before="93"/>
        <w:ind w:firstLine="643" w:firstLineChars="200"/>
      </w:pPr>
      <w:r>
        <w:rPr>
          <w:rFonts w:hint="eastAsia" w:ascii="仿宋" w:hAnsi="仿宋" w:eastAsia="仿宋"/>
          <w:b/>
          <w:sz w:val="32"/>
          <w:szCs w:val="32"/>
        </w:rPr>
        <w:t>20.农林水支出</w:t>
      </w:r>
      <w:r>
        <w:rPr>
          <w:rStyle w:val="10"/>
          <w:rFonts w:hint="eastAsia" w:ascii="仿宋" w:hAnsi="仿宋" w:eastAsia="仿宋"/>
          <w:bCs/>
          <w:sz w:val="32"/>
          <w:szCs w:val="32"/>
        </w:rPr>
        <w:t>（</w:t>
      </w:r>
      <w:r>
        <w:rPr>
          <w:rFonts w:hint="eastAsia" w:ascii="仿宋" w:hAnsi="仿宋" w:eastAsia="仿宋"/>
          <w:bCs/>
          <w:sz w:val="32"/>
          <w:szCs w:val="32"/>
        </w:rPr>
        <w:t>类）</w:t>
      </w:r>
      <w:r>
        <w:rPr>
          <w:rStyle w:val="10"/>
          <w:rFonts w:hint="eastAsia" w:ascii="仿宋" w:hAnsi="仿宋" w:eastAsia="仿宋"/>
          <w:bCs/>
          <w:sz w:val="32"/>
          <w:szCs w:val="32"/>
        </w:rPr>
        <w:t>林</w:t>
      </w:r>
      <w:r>
        <w:rPr>
          <w:rFonts w:hint="eastAsia" w:ascii="仿宋" w:hAnsi="仿宋" w:eastAsia="仿宋"/>
          <w:bCs/>
          <w:sz w:val="32"/>
          <w:szCs w:val="32"/>
        </w:rPr>
        <w:t>业和草原</w:t>
      </w:r>
      <w:r>
        <w:rPr>
          <w:rStyle w:val="10"/>
          <w:rFonts w:hint="eastAsia" w:ascii="仿宋" w:hAnsi="仿宋" w:eastAsia="仿宋"/>
          <w:bCs/>
          <w:sz w:val="32"/>
          <w:szCs w:val="32"/>
        </w:rPr>
        <w:t>（</w:t>
      </w:r>
      <w:r>
        <w:rPr>
          <w:rFonts w:hint="eastAsia" w:ascii="仿宋" w:hAnsi="仿宋" w:eastAsia="仿宋"/>
          <w:bCs/>
          <w:sz w:val="32"/>
          <w:szCs w:val="32"/>
        </w:rPr>
        <w:t>款）</w:t>
      </w:r>
      <w:r>
        <w:rPr>
          <w:rStyle w:val="10"/>
          <w:rFonts w:hint="eastAsia" w:ascii="仿宋" w:hAnsi="仿宋" w:eastAsia="仿宋"/>
          <w:bCs/>
          <w:sz w:val="32"/>
          <w:szCs w:val="32"/>
        </w:rPr>
        <w:t>事业机构（项</w:t>
      </w:r>
      <w:r>
        <w:rPr>
          <w:rFonts w:hint="eastAsia" w:ascii="仿宋" w:hAnsi="仿宋" w:eastAsia="仿宋"/>
          <w:bCs/>
          <w:sz w:val="32"/>
          <w:szCs w:val="32"/>
        </w:rPr>
        <w:t>）</w:t>
      </w:r>
      <w:r>
        <w:rPr>
          <w:rStyle w:val="10"/>
          <w:rFonts w:hint="eastAsia"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29.2万元，完成</w:t>
      </w:r>
      <w:r>
        <w:rPr>
          <w:rStyle w:val="10"/>
          <w:rFonts w:hint="eastAsia" w:ascii="仿宋" w:hAnsi="仿宋" w:eastAsia="仿宋"/>
          <w:b w:val="0"/>
          <w:bCs/>
          <w:sz w:val="32"/>
          <w:szCs w:val="32"/>
          <w:lang w:eastAsia="zh-CN"/>
        </w:rPr>
        <w:t>预算的100%</w:t>
      </w:r>
      <w:r>
        <w:rPr>
          <w:rStyle w:val="10"/>
          <w:rFonts w:hint="eastAsia" w:ascii="仿宋" w:hAnsi="仿宋" w:eastAsia="仿宋"/>
          <w:b w:val="0"/>
          <w:bCs/>
          <w:sz w:val="32"/>
          <w:szCs w:val="32"/>
        </w:rPr>
        <w:t>，决算数</w:t>
      </w:r>
      <w:r>
        <w:rPr>
          <w:rFonts w:hint="eastAsia" w:ascii="仿宋" w:hAnsi="仿宋" w:eastAsia="仿宋"/>
          <w:bCs/>
          <w:sz w:val="32"/>
          <w:szCs w:val="32"/>
        </w:rPr>
        <w:t>等于</w:t>
      </w:r>
      <w:r>
        <w:rPr>
          <w:rStyle w:val="10"/>
          <w:rFonts w:hint="eastAsia" w:ascii="仿宋" w:hAnsi="仿宋" w:eastAsia="仿宋"/>
          <w:b w:val="0"/>
          <w:bCs/>
          <w:sz w:val="32"/>
          <w:szCs w:val="32"/>
        </w:rPr>
        <w:t>预算</w:t>
      </w:r>
      <w:r>
        <w:rPr>
          <w:rFonts w:hint="eastAsia" w:ascii="仿宋" w:hAnsi="仿宋" w:eastAsia="仿宋"/>
          <w:bCs/>
          <w:sz w:val="32"/>
          <w:szCs w:val="32"/>
        </w:rPr>
        <w:t>数</w:t>
      </w:r>
      <w:r>
        <w:rPr>
          <w:rStyle w:val="10"/>
          <w:rFonts w:hint="eastAsia" w:ascii="仿宋" w:hAnsi="仿宋" w:eastAsia="仿宋"/>
          <w:b w:val="0"/>
          <w:bCs/>
          <w:sz w:val="32"/>
          <w:szCs w:val="32"/>
        </w:rPr>
        <w:t>。</w:t>
      </w:r>
    </w:p>
    <w:p>
      <w:pPr>
        <w:pStyle w:val="3"/>
        <w:spacing w:before="93"/>
        <w:ind w:firstLine="643" w:firstLineChars="200"/>
      </w:pPr>
      <w:r>
        <w:rPr>
          <w:rFonts w:hint="eastAsia" w:ascii="仿宋" w:hAnsi="仿宋" w:eastAsia="仿宋"/>
          <w:b/>
          <w:sz w:val="32"/>
          <w:szCs w:val="32"/>
        </w:rPr>
        <w:t>21.农林水支出</w:t>
      </w:r>
      <w:r>
        <w:rPr>
          <w:rStyle w:val="10"/>
          <w:rFonts w:hint="eastAsia" w:ascii="仿宋" w:hAnsi="仿宋" w:eastAsia="仿宋"/>
          <w:bCs/>
          <w:sz w:val="32"/>
          <w:szCs w:val="32"/>
        </w:rPr>
        <w:t>（</w:t>
      </w:r>
      <w:r>
        <w:rPr>
          <w:rFonts w:hint="eastAsia" w:ascii="仿宋" w:hAnsi="仿宋" w:eastAsia="仿宋"/>
          <w:bCs/>
          <w:sz w:val="32"/>
          <w:szCs w:val="32"/>
        </w:rPr>
        <w:t>类）</w:t>
      </w:r>
      <w:r>
        <w:rPr>
          <w:rStyle w:val="10"/>
          <w:rFonts w:hint="eastAsia" w:ascii="仿宋" w:hAnsi="仿宋" w:eastAsia="仿宋"/>
          <w:bCs/>
          <w:sz w:val="32"/>
          <w:szCs w:val="32"/>
        </w:rPr>
        <w:t>扶贫（</w:t>
      </w:r>
      <w:r>
        <w:rPr>
          <w:rFonts w:hint="eastAsia" w:ascii="仿宋" w:hAnsi="仿宋" w:eastAsia="仿宋"/>
          <w:bCs/>
          <w:sz w:val="32"/>
          <w:szCs w:val="32"/>
        </w:rPr>
        <w:t>款）</w:t>
      </w:r>
      <w:r>
        <w:rPr>
          <w:rStyle w:val="10"/>
          <w:rFonts w:hint="eastAsia" w:ascii="仿宋" w:hAnsi="仿宋" w:eastAsia="仿宋"/>
          <w:bCs/>
          <w:sz w:val="32"/>
          <w:szCs w:val="32"/>
        </w:rPr>
        <w:t>农村基础设施建设（项</w:t>
      </w:r>
      <w:r>
        <w:rPr>
          <w:rFonts w:hint="eastAsia" w:ascii="仿宋" w:hAnsi="仿宋" w:eastAsia="仿宋"/>
          <w:bCs/>
          <w:sz w:val="32"/>
          <w:szCs w:val="32"/>
        </w:rPr>
        <w:t>）</w:t>
      </w:r>
      <w:r>
        <w:rPr>
          <w:rStyle w:val="10"/>
          <w:rFonts w:hint="eastAsia"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1047.46万元，完成</w:t>
      </w:r>
      <w:r>
        <w:rPr>
          <w:rStyle w:val="10"/>
          <w:rFonts w:hint="eastAsia" w:ascii="仿宋" w:hAnsi="仿宋" w:eastAsia="仿宋"/>
          <w:b w:val="0"/>
          <w:bCs/>
          <w:sz w:val="32"/>
          <w:szCs w:val="32"/>
          <w:lang w:eastAsia="zh-CN"/>
        </w:rPr>
        <w:t>预算的100%</w:t>
      </w:r>
      <w:r>
        <w:rPr>
          <w:rStyle w:val="10"/>
          <w:rFonts w:hint="eastAsia" w:ascii="仿宋" w:hAnsi="仿宋" w:eastAsia="仿宋"/>
          <w:b w:val="0"/>
          <w:bCs/>
          <w:sz w:val="32"/>
          <w:szCs w:val="32"/>
        </w:rPr>
        <w:t>，决算数</w:t>
      </w:r>
      <w:r>
        <w:rPr>
          <w:rFonts w:hint="eastAsia" w:ascii="仿宋" w:hAnsi="仿宋" w:eastAsia="仿宋"/>
          <w:bCs/>
          <w:sz w:val="32"/>
          <w:szCs w:val="32"/>
        </w:rPr>
        <w:t>等于</w:t>
      </w:r>
      <w:r>
        <w:rPr>
          <w:rStyle w:val="10"/>
          <w:rFonts w:hint="eastAsia" w:ascii="仿宋" w:hAnsi="仿宋" w:eastAsia="仿宋"/>
          <w:b w:val="0"/>
          <w:bCs/>
          <w:sz w:val="32"/>
          <w:szCs w:val="32"/>
        </w:rPr>
        <w:t>预算</w:t>
      </w:r>
      <w:r>
        <w:rPr>
          <w:rFonts w:hint="eastAsia" w:ascii="仿宋" w:hAnsi="仿宋" w:eastAsia="仿宋"/>
          <w:bCs/>
          <w:sz w:val="32"/>
          <w:szCs w:val="32"/>
        </w:rPr>
        <w:t>数</w:t>
      </w:r>
      <w:r>
        <w:rPr>
          <w:rStyle w:val="10"/>
          <w:rFonts w:hint="eastAsia" w:ascii="仿宋" w:hAnsi="仿宋" w:eastAsia="仿宋"/>
          <w:b w:val="0"/>
          <w:bCs/>
          <w:sz w:val="32"/>
          <w:szCs w:val="32"/>
        </w:rPr>
        <w:t>。</w:t>
      </w:r>
    </w:p>
    <w:p>
      <w:pPr>
        <w:pStyle w:val="3"/>
        <w:spacing w:before="93"/>
        <w:ind w:firstLine="643" w:firstLineChars="200"/>
      </w:pPr>
      <w:r>
        <w:rPr>
          <w:rFonts w:hint="eastAsia" w:ascii="仿宋" w:hAnsi="仿宋" w:eastAsia="仿宋"/>
          <w:b/>
          <w:sz w:val="32"/>
          <w:szCs w:val="32"/>
        </w:rPr>
        <w:t>22.农林水支出</w:t>
      </w:r>
      <w:r>
        <w:rPr>
          <w:rStyle w:val="10"/>
          <w:rFonts w:hint="eastAsia" w:ascii="仿宋" w:hAnsi="仿宋" w:eastAsia="仿宋"/>
          <w:bCs/>
          <w:sz w:val="32"/>
          <w:szCs w:val="32"/>
        </w:rPr>
        <w:t>（</w:t>
      </w:r>
      <w:r>
        <w:rPr>
          <w:rFonts w:hint="eastAsia" w:ascii="仿宋" w:hAnsi="仿宋" w:eastAsia="仿宋"/>
          <w:bCs/>
          <w:sz w:val="32"/>
          <w:szCs w:val="32"/>
        </w:rPr>
        <w:t>类）</w:t>
      </w:r>
      <w:r>
        <w:rPr>
          <w:rStyle w:val="10"/>
          <w:rFonts w:hint="eastAsia" w:ascii="仿宋" w:hAnsi="仿宋" w:eastAsia="仿宋"/>
          <w:bCs/>
          <w:sz w:val="32"/>
          <w:szCs w:val="32"/>
        </w:rPr>
        <w:t>扶贫（</w:t>
      </w:r>
      <w:r>
        <w:rPr>
          <w:rFonts w:hint="eastAsia" w:ascii="仿宋" w:hAnsi="仿宋" w:eastAsia="仿宋"/>
          <w:bCs/>
          <w:sz w:val="32"/>
          <w:szCs w:val="32"/>
        </w:rPr>
        <w:t>款）</w:t>
      </w:r>
      <w:r>
        <w:rPr>
          <w:rStyle w:val="10"/>
          <w:rFonts w:hint="eastAsia" w:ascii="仿宋" w:hAnsi="仿宋" w:eastAsia="仿宋"/>
          <w:bCs/>
          <w:sz w:val="32"/>
          <w:szCs w:val="32"/>
        </w:rPr>
        <w:t>生产发展（项</w:t>
      </w:r>
      <w:r>
        <w:rPr>
          <w:rFonts w:hint="eastAsia" w:ascii="仿宋" w:hAnsi="仿宋" w:eastAsia="仿宋"/>
          <w:bCs/>
          <w:sz w:val="32"/>
          <w:szCs w:val="32"/>
        </w:rPr>
        <w:t>）</w:t>
      </w:r>
      <w:r>
        <w:rPr>
          <w:rStyle w:val="10"/>
          <w:rFonts w:hint="eastAsia"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134.7万元，完成</w:t>
      </w:r>
      <w:r>
        <w:rPr>
          <w:rStyle w:val="10"/>
          <w:rFonts w:hint="eastAsia" w:ascii="仿宋" w:hAnsi="仿宋" w:eastAsia="仿宋"/>
          <w:b w:val="0"/>
          <w:bCs/>
          <w:sz w:val="32"/>
          <w:szCs w:val="32"/>
          <w:lang w:eastAsia="zh-CN"/>
        </w:rPr>
        <w:t>预算的100%</w:t>
      </w:r>
      <w:r>
        <w:rPr>
          <w:rStyle w:val="10"/>
          <w:rFonts w:hint="eastAsia" w:ascii="仿宋" w:hAnsi="仿宋" w:eastAsia="仿宋"/>
          <w:b w:val="0"/>
          <w:bCs/>
          <w:sz w:val="32"/>
          <w:szCs w:val="32"/>
        </w:rPr>
        <w:t>，决算数</w:t>
      </w:r>
      <w:r>
        <w:rPr>
          <w:rFonts w:hint="eastAsia" w:ascii="仿宋" w:hAnsi="仿宋" w:eastAsia="仿宋"/>
          <w:bCs/>
          <w:sz w:val="32"/>
          <w:szCs w:val="32"/>
        </w:rPr>
        <w:t>等于</w:t>
      </w:r>
      <w:r>
        <w:rPr>
          <w:rStyle w:val="10"/>
          <w:rFonts w:hint="eastAsia" w:ascii="仿宋" w:hAnsi="仿宋" w:eastAsia="仿宋"/>
          <w:b w:val="0"/>
          <w:bCs/>
          <w:sz w:val="32"/>
          <w:szCs w:val="32"/>
        </w:rPr>
        <w:t>预算</w:t>
      </w:r>
      <w:r>
        <w:rPr>
          <w:rFonts w:hint="eastAsia" w:ascii="仿宋" w:hAnsi="仿宋" w:eastAsia="仿宋"/>
          <w:bCs/>
          <w:sz w:val="32"/>
          <w:szCs w:val="32"/>
        </w:rPr>
        <w:t>数</w:t>
      </w:r>
      <w:r>
        <w:rPr>
          <w:rStyle w:val="10"/>
          <w:rFonts w:hint="eastAsia" w:ascii="仿宋" w:hAnsi="仿宋" w:eastAsia="仿宋"/>
          <w:b w:val="0"/>
          <w:bCs/>
          <w:sz w:val="32"/>
          <w:szCs w:val="32"/>
        </w:rPr>
        <w:t>。</w:t>
      </w:r>
    </w:p>
    <w:p>
      <w:pPr>
        <w:pStyle w:val="3"/>
        <w:spacing w:before="93"/>
        <w:ind w:firstLine="643" w:firstLineChars="200"/>
      </w:pPr>
      <w:r>
        <w:rPr>
          <w:rFonts w:hint="eastAsia" w:ascii="仿宋" w:hAnsi="仿宋" w:eastAsia="仿宋"/>
          <w:b/>
          <w:sz w:val="32"/>
          <w:szCs w:val="32"/>
        </w:rPr>
        <w:t>23.农林水支出</w:t>
      </w:r>
      <w:r>
        <w:rPr>
          <w:rStyle w:val="10"/>
          <w:rFonts w:hint="eastAsia" w:ascii="仿宋" w:hAnsi="仿宋" w:eastAsia="仿宋"/>
          <w:bCs/>
          <w:sz w:val="32"/>
          <w:szCs w:val="32"/>
        </w:rPr>
        <w:t>（</w:t>
      </w:r>
      <w:r>
        <w:rPr>
          <w:rFonts w:hint="eastAsia" w:ascii="仿宋" w:hAnsi="仿宋" w:eastAsia="仿宋"/>
          <w:bCs/>
          <w:sz w:val="32"/>
          <w:szCs w:val="32"/>
        </w:rPr>
        <w:t>类）</w:t>
      </w:r>
      <w:r>
        <w:rPr>
          <w:rStyle w:val="10"/>
          <w:rFonts w:hint="eastAsia" w:ascii="仿宋" w:hAnsi="仿宋" w:eastAsia="仿宋"/>
          <w:bCs/>
          <w:sz w:val="32"/>
          <w:szCs w:val="32"/>
        </w:rPr>
        <w:t>扶贫（</w:t>
      </w:r>
      <w:r>
        <w:rPr>
          <w:rFonts w:hint="eastAsia" w:ascii="仿宋" w:hAnsi="仿宋" w:eastAsia="仿宋"/>
          <w:bCs/>
          <w:sz w:val="32"/>
          <w:szCs w:val="32"/>
        </w:rPr>
        <w:t>款）</w:t>
      </w:r>
      <w:r>
        <w:rPr>
          <w:rStyle w:val="10"/>
          <w:rFonts w:hint="eastAsia" w:ascii="仿宋" w:hAnsi="仿宋" w:eastAsia="仿宋"/>
          <w:bCs/>
          <w:sz w:val="32"/>
          <w:szCs w:val="32"/>
        </w:rPr>
        <w:t>其他扶贫支出</w:t>
      </w:r>
      <w:r>
        <w:rPr>
          <w:rFonts w:hint="eastAsia" w:ascii="仿宋" w:hAnsi="仿宋" w:eastAsia="仿宋"/>
          <w:bCs/>
          <w:sz w:val="32"/>
          <w:szCs w:val="32"/>
        </w:rPr>
        <w:t>（</w:t>
      </w:r>
      <w:r>
        <w:rPr>
          <w:rStyle w:val="10"/>
          <w:rFonts w:hint="eastAsia" w:ascii="仿宋" w:hAnsi="仿宋" w:eastAsia="仿宋"/>
          <w:bCs/>
          <w:sz w:val="32"/>
          <w:szCs w:val="32"/>
        </w:rPr>
        <w:t>项</w:t>
      </w:r>
      <w:r>
        <w:rPr>
          <w:rFonts w:hint="eastAsia" w:ascii="仿宋" w:hAnsi="仿宋" w:eastAsia="仿宋"/>
          <w:bCs/>
          <w:sz w:val="32"/>
          <w:szCs w:val="32"/>
        </w:rPr>
        <w:t>）</w:t>
      </w:r>
      <w:r>
        <w:rPr>
          <w:rStyle w:val="10"/>
          <w:rFonts w:hint="eastAsia"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79.34万元，完成</w:t>
      </w:r>
      <w:r>
        <w:rPr>
          <w:rStyle w:val="10"/>
          <w:rFonts w:hint="eastAsia" w:ascii="仿宋" w:hAnsi="仿宋" w:eastAsia="仿宋"/>
          <w:b w:val="0"/>
          <w:bCs/>
          <w:sz w:val="32"/>
          <w:szCs w:val="32"/>
          <w:lang w:eastAsia="zh-CN"/>
        </w:rPr>
        <w:t>预算的100%</w:t>
      </w:r>
      <w:r>
        <w:rPr>
          <w:rStyle w:val="10"/>
          <w:rFonts w:hint="eastAsia" w:ascii="仿宋" w:hAnsi="仿宋" w:eastAsia="仿宋"/>
          <w:b w:val="0"/>
          <w:bCs/>
          <w:sz w:val="32"/>
          <w:szCs w:val="32"/>
        </w:rPr>
        <w:t>，决算数</w:t>
      </w:r>
      <w:r>
        <w:rPr>
          <w:rFonts w:hint="eastAsia" w:ascii="仿宋" w:hAnsi="仿宋" w:eastAsia="仿宋"/>
          <w:bCs/>
          <w:sz w:val="32"/>
          <w:szCs w:val="32"/>
        </w:rPr>
        <w:t>等于</w:t>
      </w:r>
      <w:r>
        <w:rPr>
          <w:rStyle w:val="10"/>
          <w:rFonts w:hint="eastAsia" w:ascii="仿宋" w:hAnsi="仿宋" w:eastAsia="仿宋"/>
          <w:b w:val="0"/>
          <w:bCs/>
          <w:sz w:val="32"/>
          <w:szCs w:val="32"/>
        </w:rPr>
        <w:t>预算</w:t>
      </w:r>
      <w:r>
        <w:rPr>
          <w:rFonts w:hint="eastAsia" w:ascii="仿宋" w:hAnsi="仿宋" w:eastAsia="仿宋"/>
          <w:bCs/>
          <w:sz w:val="32"/>
          <w:szCs w:val="32"/>
        </w:rPr>
        <w:t>数</w:t>
      </w:r>
      <w:r>
        <w:rPr>
          <w:rStyle w:val="10"/>
          <w:rFonts w:hint="eastAsia" w:ascii="仿宋" w:hAnsi="仿宋" w:eastAsia="仿宋"/>
          <w:b w:val="0"/>
          <w:bCs/>
          <w:sz w:val="32"/>
          <w:szCs w:val="32"/>
        </w:rPr>
        <w:t>。</w:t>
      </w:r>
    </w:p>
    <w:p>
      <w:pPr>
        <w:pStyle w:val="3"/>
        <w:spacing w:before="93"/>
        <w:ind w:firstLine="643" w:firstLineChars="200"/>
      </w:pPr>
      <w:r>
        <w:rPr>
          <w:rFonts w:hint="eastAsia" w:ascii="仿宋" w:hAnsi="仿宋" w:eastAsia="仿宋"/>
          <w:b/>
          <w:sz w:val="32"/>
          <w:szCs w:val="32"/>
        </w:rPr>
        <w:t>24.农林水支出</w:t>
      </w:r>
      <w:r>
        <w:rPr>
          <w:rStyle w:val="10"/>
          <w:rFonts w:hint="eastAsia" w:ascii="仿宋" w:hAnsi="仿宋" w:eastAsia="仿宋"/>
          <w:bCs/>
          <w:sz w:val="32"/>
          <w:szCs w:val="32"/>
        </w:rPr>
        <w:t>（</w:t>
      </w:r>
      <w:r>
        <w:rPr>
          <w:rFonts w:hint="eastAsia" w:ascii="仿宋" w:hAnsi="仿宋" w:eastAsia="仿宋"/>
          <w:bCs/>
          <w:sz w:val="32"/>
          <w:szCs w:val="32"/>
        </w:rPr>
        <w:t>类）</w:t>
      </w:r>
      <w:r>
        <w:rPr>
          <w:rStyle w:val="10"/>
          <w:rFonts w:hint="eastAsia" w:ascii="仿宋" w:hAnsi="仿宋" w:eastAsia="仿宋"/>
          <w:bCs/>
          <w:sz w:val="32"/>
          <w:szCs w:val="32"/>
        </w:rPr>
        <w:t>农村综合改革（</w:t>
      </w:r>
      <w:r>
        <w:rPr>
          <w:rFonts w:hint="eastAsia" w:ascii="仿宋" w:hAnsi="仿宋" w:eastAsia="仿宋"/>
          <w:bCs/>
          <w:sz w:val="32"/>
          <w:szCs w:val="32"/>
        </w:rPr>
        <w:t>款）</w:t>
      </w:r>
      <w:r>
        <w:rPr>
          <w:rStyle w:val="10"/>
          <w:rFonts w:hint="eastAsia" w:ascii="仿宋" w:hAnsi="仿宋" w:eastAsia="仿宋"/>
          <w:bCs/>
          <w:sz w:val="32"/>
          <w:szCs w:val="32"/>
        </w:rPr>
        <w:t>对村民委员会和村党支部的补助（项</w:t>
      </w:r>
      <w:r>
        <w:rPr>
          <w:rFonts w:hint="eastAsia" w:ascii="仿宋" w:hAnsi="仿宋" w:eastAsia="仿宋"/>
          <w:bCs/>
          <w:sz w:val="32"/>
          <w:szCs w:val="32"/>
        </w:rPr>
        <w:t>）</w:t>
      </w:r>
      <w:r>
        <w:rPr>
          <w:rStyle w:val="10"/>
          <w:rFonts w:hint="eastAsia"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315.15万元，完成</w:t>
      </w:r>
      <w:r>
        <w:rPr>
          <w:rStyle w:val="10"/>
          <w:rFonts w:hint="eastAsia" w:ascii="仿宋" w:hAnsi="仿宋" w:eastAsia="仿宋"/>
          <w:b w:val="0"/>
          <w:bCs/>
          <w:sz w:val="32"/>
          <w:szCs w:val="32"/>
          <w:lang w:eastAsia="zh-CN"/>
        </w:rPr>
        <w:t>预算的100%</w:t>
      </w:r>
      <w:r>
        <w:rPr>
          <w:rStyle w:val="10"/>
          <w:rFonts w:hint="eastAsia" w:ascii="仿宋" w:hAnsi="仿宋" w:eastAsia="仿宋"/>
          <w:b w:val="0"/>
          <w:bCs/>
          <w:sz w:val="32"/>
          <w:szCs w:val="32"/>
        </w:rPr>
        <w:t>，决算数</w:t>
      </w:r>
      <w:r>
        <w:rPr>
          <w:rFonts w:hint="eastAsia" w:ascii="仿宋" w:hAnsi="仿宋" w:eastAsia="仿宋"/>
          <w:bCs/>
          <w:sz w:val="32"/>
          <w:szCs w:val="32"/>
        </w:rPr>
        <w:t>等于</w:t>
      </w:r>
      <w:r>
        <w:rPr>
          <w:rStyle w:val="10"/>
          <w:rFonts w:hint="eastAsia" w:ascii="仿宋" w:hAnsi="仿宋" w:eastAsia="仿宋"/>
          <w:b w:val="0"/>
          <w:bCs/>
          <w:sz w:val="32"/>
          <w:szCs w:val="32"/>
        </w:rPr>
        <w:t>预算</w:t>
      </w:r>
      <w:r>
        <w:rPr>
          <w:rFonts w:hint="eastAsia" w:ascii="仿宋" w:hAnsi="仿宋" w:eastAsia="仿宋"/>
          <w:bCs/>
          <w:sz w:val="32"/>
          <w:szCs w:val="32"/>
        </w:rPr>
        <w:t>数</w:t>
      </w:r>
      <w:r>
        <w:rPr>
          <w:rStyle w:val="10"/>
          <w:rFonts w:hint="eastAsia" w:ascii="仿宋" w:hAnsi="仿宋" w:eastAsia="仿宋"/>
          <w:b w:val="0"/>
          <w:bCs/>
          <w:sz w:val="32"/>
          <w:szCs w:val="32"/>
        </w:rPr>
        <w:t>。</w:t>
      </w:r>
    </w:p>
    <w:p>
      <w:pPr>
        <w:pStyle w:val="3"/>
        <w:spacing w:before="93"/>
        <w:ind w:firstLine="643" w:firstLineChars="200"/>
      </w:pPr>
      <w:r>
        <w:rPr>
          <w:rFonts w:hint="eastAsia" w:ascii="仿宋" w:hAnsi="仿宋" w:eastAsia="仿宋"/>
          <w:b/>
          <w:sz w:val="32"/>
          <w:szCs w:val="32"/>
        </w:rPr>
        <w:t>25.农林水支出</w:t>
      </w:r>
      <w:r>
        <w:rPr>
          <w:rStyle w:val="10"/>
          <w:rFonts w:hint="eastAsia" w:ascii="仿宋" w:hAnsi="仿宋" w:eastAsia="仿宋"/>
          <w:bCs/>
          <w:sz w:val="32"/>
          <w:szCs w:val="32"/>
        </w:rPr>
        <w:t>（</w:t>
      </w:r>
      <w:r>
        <w:rPr>
          <w:rFonts w:hint="eastAsia" w:ascii="仿宋" w:hAnsi="仿宋" w:eastAsia="仿宋"/>
          <w:bCs/>
          <w:sz w:val="32"/>
          <w:szCs w:val="32"/>
        </w:rPr>
        <w:t>类）</w:t>
      </w:r>
      <w:r>
        <w:rPr>
          <w:rStyle w:val="10"/>
          <w:rFonts w:hint="eastAsia" w:ascii="仿宋" w:hAnsi="仿宋" w:eastAsia="仿宋"/>
          <w:bCs/>
          <w:sz w:val="32"/>
          <w:szCs w:val="32"/>
        </w:rPr>
        <w:t>农村综合改革（</w:t>
      </w:r>
      <w:r>
        <w:rPr>
          <w:rFonts w:hint="eastAsia" w:ascii="仿宋" w:hAnsi="仿宋" w:eastAsia="仿宋"/>
          <w:bCs/>
          <w:sz w:val="32"/>
          <w:szCs w:val="32"/>
        </w:rPr>
        <w:t>款）</w:t>
      </w:r>
      <w:r>
        <w:rPr>
          <w:rStyle w:val="10"/>
          <w:rFonts w:hint="eastAsia" w:ascii="仿宋" w:hAnsi="仿宋" w:eastAsia="仿宋"/>
          <w:bCs/>
          <w:sz w:val="32"/>
          <w:szCs w:val="32"/>
        </w:rPr>
        <w:t>对村集体经济组织的补助（项</w:t>
      </w:r>
      <w:r>
        <w:rPr>
          <w:rFonts w:hint="eastAsia" w:ascii="仿宋" w:hAnsi="仿宋" w:eastAsia="仿宋"/>
          <w:bCs/>
          <w:sz w:val="32"/>
          <w:szCs w:val="32"/>
        </w:rPr>
        <w:t>）</w:t>
      </w:r>
      <w:r>
        <w:rPr>
          <w:rStyle w:val="10"/>
          <w:rFonts w:hint="eastAsia"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80万元，完成</w:t>
      </w:r>
      <w:r>
        <w:rPr>
          <w:rStyle w:val="10"/>
          <w:rFonts w:hint="eastAsia" w:ascii="仿宋" w:hAnsi="仿宋" w:eastAsia="仿宋"/>
          <w:b w:val="0"/>
          <w:bCs/>
          <w:sz w:val="32"/>
          <w:szCs w:val="32"/>
          <w:lang w:eastAsia="zh-CN"/>
        </w:rPr>
        <w:t>预算的100%</w:t>
      </w:r>
      <w:r>
        <w:rPr>
          <w:rStyle w:val="10"/>
          <w:rFonts w:hint="eastAsia" w:ascii="仿宋" w:hAnsi="仿宋" w:eastAsia="仿宋"/>
          <w:b w:val="0"/>
          <w:bCs/>
          <w:sz w:val="32"/>
          <w:szCs w:val="32"/>
        </w:rPr>
        <w:t>，决算数</w:t>
      </w:r>
      <w:r>
        <w:rPr>
          <w:rFonts w:hint="eastAsia" w:ascii="仿宋" w:hAnsi="仿宋" w:eastAsia="仿宋"/>
          <w:bCs/>
          <w:sz w:val="32"/>
          <w:szCs w:val="32"/>
        </w:rPr>
        <w:t>等于</w:t>
      </w:r>
      <w:r>
        <w:rPr>
          <w:rStyle w:val="10"/>
          <w:rFonts w:hint="eastAsia" w:ascii="仿宋" w:hAnsi="仿宋" w:eastAsia="仿宋"/>
          <w:b w:val="0"/>
          <w:bCs/>
          <w:sz w:val="32"/>
          <w:szCs w:val="32"/>
        </w:rPr>
        <w:t>预算</w:t>
      </w:r>
      <w:r>
        <w:rPr>
          <w:rFonts w:hint="eastAsia" w:ascii="仿宋" w:hAnsi="仿宋" w:eastAsia="仿宋"/>
          <w:bCs/>
          <w:sz w:val="32"/>
          <w:szCs w:val="32"/>
        </w:rPr>
        <w:t>数</w:t>
      </w:r>
      <w:r>
        <w:rPr>
          <w:rStyle w:val="10"/>
          <w:rFonts w:hint="eastAsia" w:ascii="仿宋" w:hAnsi="仿宋" w:eastAsia="仿宋"/>
          <w:b w:val="0"/>
          <w:bCs/>
          <w:sz w:val="32"/>
          <w:szCs w:val="32"/>
        </w:rPr>
        <w:t>。</w:t>
      </w:r>
    </w:p>
    <w:p>
      <w:pPr>
        <w:pStyle w:val="3"/>
        <w:spacing w:before="93"/>
        <w:ind w:firstLine="643" w:firstLineChars="200"/>
      </w:pPr>
      <w:r>
        <w:rPr>
          <w:rFonts w:hint="eastAsia" w:ascii="仿宋" w:hAnsi="仿宋" w:eastAsia="仿宋"/>
          <w:b/>
          <w:sz w:val="32"/>
          <w:szCs w:val="32"/>
        </w:rPr>
        <w:t>26.交通运输支出</w:t>
      </w:r>
      <w:r>
        <w:rPr>
          <w:rStyle w:val="10"/>
          <w:rFonts w:hint="eastAsia" w:ascii="仿宋" w:hAnsi="仿宋" w:eastAsia="仿宋"/>
          <w:bCs/>
          <w:sz w:val="32"/>
          <w:szCs w:val="32"/>
        </w:rPr>
        <w:t>（</w:t>
      </w:r>
      <w:r>
        <w:rPr>
          <w:rFonts w:hint="eastAsia" w:ascii="仿宋" w:hAnsi="仿宋" w:eastAsia="仿宋"/>
          <w:bCs/>
          <w:sz w:val="32"/>
          <w:szCs w:val="32"/>
        </w:rPr>
        <w:t>类）</w:t>
      </w:r>
      <w:r>
        <w:rPr>
          <w:rStyle w:val="10"/>
          <w:rFonts w:hint="eastAsia" w:ascii="仿宋" w:hAnsi="仿宋" w:eastAsia="仿宋"/>
          <w:bCs/>
          <w:sz w:val="32"/>
          <w:szCs w:val="32"/>
        </w:rPr>
        <w:t>公路水路运输（</w:t>
      </w:r>
      <w:r>
        <w:rPr>
          <w:rFonts w:hint="eastAsia" w:ascii="仿宋" w:hAnsi="仿宋" w:eastAsia="仿宋"/>
          <w:bCs/>
          <w:sz w:val="32"/>
          <w:szCs w:val="32"/>
        </w:rPr>
        <w:t>款）</w:t>
      </w:r>
      <w:r>
        <w:rPr>
          <w:rStyle w:val="10"/>
          <w:rFonts w:hint="eastAsia" w:ascii="仿宋" w:hAnsi="仿宋" w:eastAsia="仿宋"/>
          <w:bCs/>
          <w:sz w:val="32"/>
          <w:szCs w:val="32"/>
        </w:rPr>
        <w:t>公路运输管理（项</w:t>
      </w:r>
      <w:r>
        <w:rPr>
          <w:rFonts w:hint="eastAsia" w:ascii="仿宋" w:hAnsi="仿宋" w:eastAsia="仿宋"/>
          <w:bCs/>
          <w:sz w:val="32"/>
          <w:szCs w:val="32"/>
        </w:rPr>
        <w:t>）</w:t>
      </w:r>
      <w:r>
        <w:rPr>
          <w:rStyle w:val="10"/>
          <w:rFonts w:hint="eastAsia"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43.33万元，完成预算的100</w:t>
      </w:r>
      <w:r>
        <w:rPr>
          <w:rStyle w:val="10"/>
          <w:rFonts w:ascii="仿宋" w:hAnsi="仿宋" w:eastAsia="仿宋"/>
          <w:b w:val="0"/>
          <w:bCs/>
          <w:sz w:val="32"/>
          <w:szCs w:val="32"/>
        </w:rPr>
        <w:t>%</w:t>
      </w:r>
      <w:r>
        <w:rPr>
          <w:rStyle w:val="10"/>
          <w:rFonts w:hint="eastAsia" w:ascii="仿宋" w:hAnsi="仿宋" w:eastAsia="仿宋"/>
          <w:b w:val="0"/>
          <w:bCs/>
          <w:sz w:val="32"/>
          <w:szCs w:val="32"/>
        </w:rPr>
        <w:t>，决算数</w:t>
      </w:r>
      <w:r>
        <w:rPr>
          <w:rFonts w:hint="eastAsia" w:ascii="仿宋" w:hAnsi="仿宋" w:eastAsia="仿宋"/>
          <w:bCs/>
          <w:sz w:val="32"/>
          <w:szCs w:val="32"/>
        </w:rPr>
        <w:t>等于</w:t>
      </w:r>
      <w:r>
        <w:rPr>
          <w:rStyle w:val="10"/>
          <w:rFonts w:hint="eastAsia" w:ascii="仿宋" w:hAnsi="仿宋" w:eastAsia="仿宋"/>
          <w:b w:val="0"/>
          <w:bCs/>
          <w:sz w:val="32"/>
          <w:szCs w:val="32"/>
        </w:rPr>
        <w:t>预算</w:t>
      </w:r>
      <w:r>
        <w:rPr>
          <w:rFonts w:hint="eastAsia" w:ascii="仿宋" w:hAnsi="仿宋" w:eastAsia="仿宋"/>
          <w:bCs/>
          <w:sz w:val="32"/>
          <w:szCs w:val="32"/>
        </w:rPr>
        <w:t>数</w:t>
      </w:r>
      <w:r>
        <w:rPr>
          <w:rStyle w:val="10"/>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27.交通运输支出</w:t>
      </w:r>
      <w:r>
        <w:rPr>
          <w:rStyle w:val="10"/>
          <w:rFonts w:hint="eastAsia" w:ascii="仿宋" w:hAnsi="仿宋" w:eastAsia="仿宋"/>
          <w:bCs/>
          <w:sz w:val="32"/>
          <w:szCs w:val="32"/>
        </w:rPr>
        <w:t>（</w:t>
      </w:r>
      <w:r>
        <w:rPr>
          <w:rFonts w:hint="eastAsia" w:ascii="仿宋" w:hAnsi="仿宋" w:eastAsia="仿宋"/>
          <w:bCs/>
          <w:sz w:val="32"/>
          <w:szCs w:val="32"/>
        </w:rPr>
        <w:t>类）</w:t>
      </w:r>
      <w:r>
        <w:rPr>
          <w:rStyle w:val="10"/>
          <w:rFonts w:hint="eastAsia" w:ascii="仿宋" w:hAnsi="仿宋" w:eastAsia="仿宋"/>
          <w:bCs/>
          <w:sz w:val="32"/>
          <w:szCs w:val="32"/>
        </w:rPr>
        <w:t>车辆购置税支出（</w:t>
      </w:r>
      <w:r>
        <w:rPr>
          <w:rFonts w:hint="eastAsia" w:ascii="仿宋" w:hAnsi="仿宋" w:eastAsia="仿宋"/>
          <w:bCs/>
          <w:sz w:val="32"/>
          <w:szCs w:val="32"/>
        </w:rPr>
        <w:t>款）</w:t>
      </w:r>
      <w:r>
        <w:rPr>
          <w:rStyle w:val="10"/>
          <w:rFonts w:hint="eastAsia" w:ascii="仿宋" w:hAnsi="仿宋" w:eastAsia="仿宋"/>
          <w:bCs/>
          <w:sz w:val="32"/>
          <w:szCs w:val="32"/>
        </w:rPr>
        <w:t>车辆购置税用于公路等基础设施建设支出</w:t>
      </w:r>
      <w:r>
        <w:rPr>
          <w:rFonts w:hint="eastAsia" w:ascii="仿宋" w:hAnsi="仿宋" w:eastAsia="仿宋"/>
          <w:bCs/>
          <w:sz w:val="32"/>
          <w:szCs w:val="32"/>
        </w:rPr>
        <w:t>（</w:t>
      </w:r>
      <w:r>
        <w:rPr>
          <w:rStyle w:val="10"/>
          <w:rFonts w:hint="eastAsia" w:ascii="仿宋" w:hAnsi="仿宋" w:eastAsia="仿宋"/>
          <w:bCs/>
          <w:sz w:val="32"/>
          <w:szCs w:val="32"/>
        </w:rPr>
        <w:t>项</w:t>
      </w:r>
      <w:r>
        <w:rPr>
          <w:rFonts w:hint="eastAsia" w:ascii="仿宋" w:hAnsi="仿宋" w:eastAsia="仿宋"/>
          <w:bCs/>
          <w:sz w:val="32"/>
          <w:szCs w:val="32"/>
        </w:rPr>
        <w:t>）</w:t>
      </w:r>
      <w:r>
        <w:rPr>
          <w:rStyle w:val="10"/>
          <w:rFonts w:hint="eastAsia"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9万元，完成</w:t>
      </w:r>
      <w:r>
        <w:rPr>
          <w:rStyle w:val="10"/>
          <w:rFonts w:hint="eastAsia" w:ascii="仿宋" w:hAnsi="仿宋" w:eastAsia="仿宋"/>
          <w:b w:val="0"/>
          <w:bCs/>
          <w:sz w:val="32"/>
          <w:szCs w:val="32"/>
          <w:lang w:eastAsia="zh-CN"/>
        </w:rPr>
        <w:t>预算的100%</w:t>
      </w:r>
      <w:r>
        <w:rPr>
          <w:rStyle w:val="10"/>
          <w:rFonts w:hint="eastAsia" w:ascii="仿宋" w:hAnsi="仿宋" w:eastAsia="仿宋"/>
          <w:b w:val="0"/>
          <w:bCs/>
          <w:sz w:val="32"/>
          <w:szCs w:val="32"/>
        </w:rPr>
        <w:t>，决算数</w:t>
      </w:r>
      <w:r>
        <w:rPr>
          <w:rFonts w:hint="eastAsia" w:ascii="仿宋" w:hAnsi="仿宋" w:eastAsia="仿宋"/>
          <w:bCs/>
          <w:sz w:val="32"/>
          <w:szCs w:val="32"/>
        </w:rPr>
        <w:t>等于</w:t>
      </w:r>
      <w:r>
        <w:rPr>
          <w:rStyle w:val="10"/>
          <w:rFonts w:hint="eastAsia" w:ascii="仿宋" w:hAnsi="仿宋" w:eastAsia="仿宋"/>
          <w:b w:val="0"/>
          <w:bCs/>
          <w:sz w:val="32"/>
          <w:szCs w:val="32"/>
        </w:rPr>
        <w:t>预算</w:t>
      </w:r>
      <w:r>
        <w:rPr>
          <w:rFonts w:hint="eastAsia" w:ascii="仿宋" w:hAnsi="仿宋" w:eastAsia="仿宋"/>
          <w:bCs/>
          <w:sz w:val="32"/>
          <w:szCs w:val="32"/>
        </w:rPr>
        <w:t>数</w:t>
      </w:r>
      <w:r>
        <w:rPr>
          <w:rStyle w:val="10"/>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28.住房保障支出</w:t>
      </w:r>
      <w:r>
        <w:rPr>
          <w:rStyle w:val="10"/>
          <w:rFonts w:hint="eastAsia" w:ascii="仿宋" w:hAnsi="仿宋" w:eastAsia="仿宋"/>
          <w:bCs/>
          <w:sz w:val="32"/>
          <w:szCs w:val="32"/>
        </w:rPr>
        <w:t>（</w:t>
      </w:r>
      <w:r>
        <w:rPr>
          <w:rFonts w:hint="eastAsia" w:ascii="仿宋" w:hAnsi="仿宋" w:eastAsia="仿宋"/>
          <w:bCs/>
          <w:sz w:val="32"/>
          <w:szCs w:val="32"/>
        </w:rPr>
        <w:t>类）</w:t>
      </w:r>
      <w:r>
        <w:rPr>
          <w:rStyle w:val="10"/>
          <w:rFonts w:hint="eastAsia" w:ascii="仿宋" w:hAnsi="仿宋" w:eastAsia="仿宋"/>
          <w:bCs/>
          <w:sz w:val="32"/>
          <w:szCs w:val="32"/>
        </w:rPr>
        <w:t>保障性安居工程支出（</w:t>
      </w:r>
      <w:r>
        <w:rPr>
          <w:rFonts w:hint="eastAsia" w:ascii="仿宋" w:hAnsi="仿宋" w:eastAsia="仿宋"/>
          <w:bCs/>
          <w:sz w:val="32"/>
          <w:szCs w:val="32"/>
        </w:rPr>
        <w:t>款）</w:t>
      </w:r>
      <w:r>
        <w:rPr>
          <w:rStyle w:val="10"/>
          <w:rFonts w:hint="eastAsia" w:ascii="仿宋" w:hAnsi="仿宋" w:eastAsia="仿宋"/>
          <w:bCs/>
          <w:sz w:val="32"/>
          <w:szCs w:val="32"/>
        </w:rPr>
        <w:t>农村危房改造（项</w:t>
      </w:r>
      <w:r>
        <w:rPr>
          <w:rFonts w:hint="eastAsia" w:ascii="仿宋" w:hAnsi="仿宋" w:eastAsia="仿宋"/>
          <w:bCs/>
          <w:sz w:val="32"/>
          <w:szCs w:val="32"/>
        </w:rPr>
        <w:t>）</w:t>
      </w:r>
      <w:r>
        <w:rPr>
          <w:rStyle w:val="10"/>
          <w:rFonts w:hint="eastAsia"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566.48万元，完成</w:t>
      </w:r>
      <w:r>
        <w:rPr>
          <w:rStyle w:val="10"/>
          <w:rFonts w:hint="eastAsia" w:ascii="仿宋" w:hAnsi="仿宋" w:eastAsia="仿宋"/>
          <w:b w:val="0"/>
          <w:bCs/>
          <w:sz w:val="32"/>
          <w:szCs w:val="32"/>
          <w:lang w:eastAsia="zh-CN"/>
        </w:rPr>
        <w:t>预算的100%</w:t>
      </w:r>
      <w:r>
        <w:rPr>
          <w:rStyle w:val="10"/>
          <w:rFonts w:hint="eastAsia" w:ascii="仿宋" w:hAnsi="仿宋" w:eastAsia="仿宋"/>
          <w:b w:val="0"/>
          <w:bCs/>
          <w:sz w:val="32"/>
          <w:szCs w:val="32"/>
        </w:rPr>
        <w:t>，决算数</w:t>
      </w:r>
      <w:r>
        <w:rPr>
          <w:rFonts w:hint="eastAsia" w:ascii="仿宋" w:hAnsi="仿宋" w:eastAsia="仿宋"/>
          <w:bCs/>
          <w:sz w:val="32"/>
          <w:szCs w:val="32"/>
        </w:rPr>
        <w:t>等于</w:t>
      </w:r>
      <w:r>
        <w:rPr>
          <w:rStyle w:val="10"/>
          <w:rFonts w:hint="eastAsia" w:ascii="仿宋" w:hAnsi="仿宋" w:eastAsia="仿宋"/>
          <w:b w:val="0"/>
          <w:bCs/>
          <w:sz w:val="32"/>
          <w:szCs w:val="32"/>
        </w:rPr>
        <w:t>预算</w:t>
      </w:r>
      <w:r>
        <w:rPr>
          <w:rFonts w:hint="eastAsia" w:ascii="仿宋" w:hAnsi="仿宋" w:eastAsia="仿宋"/>
          <w:bCs/>
          <w:sz w:val="32"/>
          <w:szCs w:val="32"/>
        </w:rPr>
        <w:t>数</w:t>
      </w:r>
      <w:r>
        <w:rPr>
          <w:rStyle w:val="10"/>
          <w:rFonts w:hint="eastAsia" w:ascii="仿宋" w:hAnsi="仿宋" w:eastAsia="仿宋"/>
          <w:b w:val="0"/>
          <w:bCs/>
          <w:sz w:val="32"/>
          <w:szCs w:val="32"/>
        </w:rPr>
        <w:t>。</w:t>
      </w:r>
    </w:p>
    <w:p>
      <w:pPr>
        <w:pStyle w:val="3"/>
        <w:spacing w:before="93"/>
        <w:ind w:firstLine="643" w:firstLineChars="200"/>
      </w:pPr>
      <w:r>
        <w:rPr>
          <w:rFonts w:hint="eastAsia" w:ascii="仿宋" w:hAnsi="仿宋" w:eastAsia="仿宋"/>
          <w:b/>
          <w:sz w:val="32"/>
          <w:szCs w:val="32"/>
        </w:rPr>
        <w:t>29.住房保障支出</w:t>
      </w:r>
      <w:r>
        <w:rPr>
          <w:rStyle w:val="10"/>
          <w:rFonts w:hint="eastAsia" w:ascii="仿宋" w:hAnsi="仿宋" w:eastAsia="仿宋"/>
          <w:bCs/>
          <w:sz w:val="32"/>
          <w:szCs w:val="32"/>
        </w:rPr>
        <w:t>（</w:t>
      </w:r>
      <w:r>
        <w:rPr>
          <w:rFonts w:hint="eastAsia" w:ascii="仿宋" w:hAnsi="仿宋" w:eastAsia="仿宋"/>
          <w:bCs/>
          <w:sz w:val="32"/>
          <w:szCs w:val="32"/>
        </w:rPr>
        <w:t>类）</w:t>
      </w:r>
      <w:r>
        <w:rPr>
          <w:rStyle w:val="10"/>
          <w:rFonts w:hint="eastAsia" w:ascii="仿宋" w:hAnsi="仿宋" w:eastAsia="仿宋"/>
          <w:bCs/>
          <w:sz w:val="32"/>
          <w:szCs w:val="32"/>
        </w:rPr>
        <w:t>住房改革支出（</w:t>
      </w:r>
      <w:r>
        <w:rPr>
          <w:rFonts w:hint="eastAsia" w:ascii="仿宋" w:hAnsi="仿宋" w:eastAsia="仿宋"/>
          <w:bCs/>
          <w:sz w:val="32"/>
          <w:szCs w:val="32"/>
        </w:rPr>
        <w:t>款）</w:t>
      </w:r>
      <w:r>
        <w:rPr>
          <w:rStyle w:val="10"/>
          <w:rFonts w:hint="eastAsia" w:ascii="仿宋" w:hAnsi="仿宋" w:eastAsia="仿宋"/>
          <w:bCs/>
          <w:sz w:val="32"/>
          <w:szCs w:val="32"/>
        </w:rPr>
        <w:t>住房公积金（项</w:t>
      </w:r>
      <w:r>
        <w:rPr>
          <w:rFonts w:hint="eastAsia" w:ascii="仿宋" w:hAnsi="仿宋" w:eastAsia="仿宋"/>
          <w:bCs/>
          <w:sz w:val="32"/>
          <w:szCs w:val="32"/>
        </w:rPr>
        <w:t>）</w:t>
      </w:r>
      <w:r>
        <w:rPr>
          <w:rStyle w:val="10"/>
          <w:rFonts w:hint="eastAsia" w:ascii="仿宋" w:hAnsi="仿宋" w:eastAsia="仿宋"/>
          <w:bCs/>
          <w:sz w:val="32"/>
          <w:szCs w:val="32"/>
        </w:rPr>
        <w:t>：</w:t>
      </w:r>
      <w:r>
        <w:rPr>
          <w:rStyle w:val="10"/>
          <w:rFonts w:hint="eastAsia" w:ascii="仿宋" w:hAnsi="仿宋" w:eastAsia="仿宋"/>
          <w:b w:val="0"/>
          <w:bCs/>
          <w:sz w:val="32"/>
          <w:szCs w:val="32"/>
        </w:rPr>
        <w:t>支出</w:t>
      </w:r>
      <w:r>
        <w:rPr>
          <w:rFonts w:hint="eastAsia" w:ascii="仿宋" w:hAnsi="仿宋" w:eastAsia="仿宋"/>
          <w:bCs/>
          <w:sz w:val="32"/>
          <w:szCs w:val="32"/>
        </w:rPr>
        <w:t>决算为</w:t>
      </w:r>
      <w:r>
        <w:rPr>
          <w:rStyle w:val="10"/>
          <w:rFonts w:hint="eastAsia" w:ascii="仿宋" w:hAnsi="仿宋" w:eastAsia="仿宋"/>
          <w:b w:val="0"/>
          <w:bCs/>
          <w:sz w:val="32"/>
          <w:szCs w:val="32"/>
        </w:rPr>
        <w:t>53.22万元，完成</w:t>
      </w:r>
      <w:r>
        <w:rPr>
          <w:rStyle w:val="10"/>
          <w:rFonts w:hint="eastAsia" w:ascii="仿宋" w:hAnsi="仿宋" w:eastAsia="仿宋"/>
          <w:b w:val="0"/>
          <w:bCs/>
          <w:sz w:val="32"/>
          <w:szCs w:val="32"/>
          <w:lang w:eastAsia="zh-CN"/>
        </w:rPr>
        <w:t>预算的100%</w:t>
      </w:r>
      <w:r>
        <w:rPr>
          <w:rStyle w:val="10"/>
          <w:rFonts w:hint="eastAsia" w:ascii="仿宋" w:hAnsi="仿宋" w:eastAsia="仿宋"/>
          <w:b w:val="0"/>
          <w:bCs/>
          <w:sz w:val="32"/>
          <w:szCs w:val="32"/>
        </w:rPr>
        <w:t>，决算数</w:t>
      </w:r>
      <w:r>
        <w:rPr>
          <w:rFonts w:hint="eastAsia" w:ascii="仿宋" w:hAnsi="仿宋" w:eastAsia="仿宋"/>
          <w:bCs/>
          <w:sz w:val="32"/>
          <w:szCs w:val="32"/>
        </w:rPr>
        <w:t>等于</w:t>
      </w:r>
      <w:r>
        <w:rPr>
          <w:rStyle w:val="10"/>
          <w:rFonts w:hint="eastAsia" w:ascii="仿宋" w:hAnsi="仿宋" w:eastAsia="仿宋"/>
          <w:b w:val="0"/>
          <w:bCs/>
          <w:sz w:val="32"/>
          <w:szCs w:val="32"/>
        </w:rPr>
        <w:t>预算</w:t>
      </w:r>
      <w:r>
        <w:rPr>
          <w:rFonts w:hint="eastAsia" w:ascii="仿宋" w:hAnsi="仿宋" w:eastAsia="仿宋"/>
          <w:bCs/>
          <w:sz w:val="32"/>
          <w:szCs w:val="32"/>
        </w:rPr>
        <w:t>数</w:t>
      </w:r>
      <w:r>
        <w:t>。</w:t>
      </w:r>
    </w:p>
    <w:p>
      <w:pPr>
        <w:tabs>
          <w:tab w:val="right" w:pos="8306"/>
        </w:tabs>
        <w:spacing w:line="600" w:lineRule="exact"/>
        <w:ind w:firstLine="640"/>
        <w:outlineLvl w:val="1"/>
        <w:rPr>
          <w:rStyle w:val="31"/>
        </w:rPr>
      </w:pPr>
      <w:bookmarkStart w:id="40" w:name="_Toc15377214"/>
      <w:bookmarkStart w:id="41" w:name="_Toc15155"/>
      <w:bookmarkStart w:id="42"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1"/>
          <w:rFonts w:hint="eastAsia" w:ascii="黑体" w:hAnsi="黑体" w:eastAsia="黑体"/>
          <w:b w:val="0"/>
        </w:rPr>
        <w:t>般公共预算</w:t>
      </w:r>
      <w:r>
        <w:rPr>
          <w:rFonts w:hint="eastAsia" w:ascii="黑体" w:hAnsi="黑体" w:eastAsia="黑体"/>
          <w:sz w:val="32"/>
          <w:szCs w:val="32"/>
        </w:rPr>
        <w:t>财政拨款基本支出决算情况说明</w:t>
      </w:r>
      <w:bookmarkEnd w:id="40"/>
      <w:bookmarkEnd w:id="41"/>
      <w:bookmarkEnd w:id="42"/>
      <w:r>
        <w:rPr>
          <w:rStyle w:val="31"/>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21年一般公共预算财政拨款基本支出940.89万元，其中：</w:t>
      </w:r>
    </w:p>
    <w:p>
      <w:pPr>
        <w:spacing w:line="600" w:lineRule="exact"/>
        <w:ind w:firstLine="645"/>
        <w:rPr>
          <w:rFonts w:ascii="仿宋" w:hAnsi="仿宋" w:eastAsia="仿宋"/>
          <w:b/>
          <w:sz w:val="32"/>
          <w:szCs w:val="32"/>
        </w:rPr>
      </w:pPr>
      <w:r>
        <w:rPr>
          <w:rFonts w:hint="eastAsia" w:ascii="仿宋" w:hAnsi="仿宋" w:eastAsia="仿宋"/>
          <w:sz w:val="32"/>
          <w:szCs w:val="32"/>
        </w:rPr>
        <w:t>人员经费811.28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129.61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服务费等。</w:t>
      </w:r>
    </w:p>
    <w:p>
      <w:pPr>
        <w:spacing w:line="600" w:lineRule="exact"/>
        <w:ind w:firstLine="640"/>
        <w:outlineLvl w:val="1"/>
        <w:rPr>
          <w:rStyle w:val="31"/>
          <w:rFonts w:ascii="黑体" w:hAnsi="黑体" w:eastAsia="黑体"/>
          <w:b w:val="0"/>
        </w:rPr>
      </w:pPr>
      <w:bookmarkStart w:id="43" w:name="_Toc15377215"/>
      <w:bookmarkStart w:id="44" w:name="_Toc15396609"/>
      <w:bookmarkStart w:id="45" w:name="_Toc17707"/>
      <w:r>
        <w:rPr>
          <w:rFonts w:hint="eastAsia" w:ascii="黑体" w:eastAsia="黑体"/>
          <w:sz w:val="32"/>
          <w:szCs w:val="32"/>
        </w:rPr>
        <w:t>七、</w:t>
      </w:r>
      <w:r>
        <w:rPr>
          <w:rStyle w:val="31"/>
          <w:rFonts w:hint="eastAsia" w:ascii="黑体" w:hAnsi="黑体" w:eastAsia="黑体"/>
        </w:rPr>
        <w:t>“</w:t>
      </w:r>
      <w:r>
        <w:rPr>
          <w:rStyle w:val="31"/>
          <w:rFonts w:hint="eastAsia" w:ascii="黑体" w:hAnsi="黑体" w:eastAsia="黑体"/>
          <w:b w:val="0"/>
        </w:rPr>
        <w:t>三公”经费财政拨款支出</w:t>
      </w:r>
      <w:r>
        <w:rPr>
          <w:rFonts w:hint="eastAsia" w:ascii="黑体" w:hAnsi="黑体" w:eastAsia="黑体"/>
          <w:sz w:val="32"/>
          <w:szCs w:val="32"/>
        </w:rPr>
        <w:t>决算情况说明</w:t>
      </w:r>
      <w:bookmarkEnd w:id="43"/>
      <w:bookmarkEnd w:id="44"/>
      <w:bookmarkEnd w:id="45"/>
    </w:p>
    <w:p>
      <w:pPr>
        <w:spacing w:line="600" w:lineRule="exact"/>
        <w:ind w:firstLine="640"/>
        <w:outlineLvl w:val="2"/>
        <w:rPr>
          <w:rFonts w:ascii="仿宋" w:hAnsi="仿宋" w:eastAsia="仿宋"/>
          <w:b/>
          <w:sz w:val="32"/>
          <w:szCs w:val="32"/>
        </w:rPr>
      </w:pPr>
      <w:bookmarkStart w:id="46" w:name="_Toc15377216"/>
      <w:r>
        <w:rPr>
          <w:rFonts w:hint="eastAsia" w:ascii="仿宋" w:hAnsi="仿宋" w:eastAsia="仿宋"/>
          <w:b/>
          <w:sz w:val="32"/>
          <w:szCs w:val="32"/>
        </w:rPr>
        <w:t>（一）“三公”经费财政拨款支出决算总体情况说明</w:t>
      </w:r>
      <w:bookmarkEnd w:id="46"/>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21年“三公”经费财政拨款支出决算为2万元，完成</w:t>
      </w:r>
      <w:r>
        <w:rPr>
          <w:rFonts w:hint="eastAsia" w:ascii="仿宋" w:hAnsi="仿宋" w:eastAsia="仿宋"/>
          <w:sz w:val="32"/>
          <w:szCs w:val="32"/>
          <w:lang w:eastAsia="zh-CN"/>
        </w:rPr>
        <w:t>预算的100%</w:t>
      </w:r>
      <w:r>
        <w:rPr>
          <w:rFonts w:hint="eastAsia" w:ascii="仿宋" w:hAnsi="仿宋" w:eastAsia="仿宋"/>
          <w:sz w:val="32"/>
          <w:szCs w:val="32"/>
        </w:rPr>
        <w:t>，决算数等于预算数。</w:t>
      </w:r>
    </w:p>
    <w:p>
      <w:pPr>
        <w:spacing w:line="600" w:lineRule="exact"/>
        <w:ind w:firstLine="640"/>
        <w:outlineLvl w:val="2"/>
        <w:rPr>
          <w:rFonts w:ascii="仿宋" w:hAnsi="仿宋" w:eastAsia="仿宋"/>
          <w:b/>
          <w:sz w:val="32"/>
          <w:szCs w:val="32"/>
        </w:rPr>
      </w:pPr>
      <w:bookmarkStart w:id="47" w:name="_Toc15377217"/>
      <w:r>
        <w:rPr>
          <w:rFonts w:hint="eastAsia" w:ascii="仿宋" w:hAnsi="仿宋" w:eastAsia="仿宋"/>
          <w:b/>
          <w:sz w:val="32"/>
          <w:szCs w:val="32"/>
        </w:rPr>
        <w:t>（二）“三公”经费财政拨款支出决算具体情况说明</w:t>
      </w:r>
      <w:bookmarkEnd w:id="47"/>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；公务用车购置及运行维护费支出决算0万元，占0</w:t>
      </w:r>
      <w:r>
        <w:rPr>
          <w:rFonts w:ascii="仿宋" w:hAnsi="仿宋" w:eastAsia="仿宋"/>
          <w:sz w:val="32"/>
          <w:szCs w:val="32"/>
        </w:rPr>
        <w:t>%</w:t>
      </w:r>
      <w:r>
        <w:rPr>
          <w:rFonts w:hint="eastAsia" w:ascii="仿宋" w:hAnsi="仿宋" w:eastAsia="仿宋"/>
          <w:sz w:val="32"/>
          <w:szCs w:val="32"/>
        </w:rPr>
        <w:t>；公务接待费支出决算2万元，占比100</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rPr>
          <w:rFonts w:ascii="仿宋" w:hAnsi="仿宋" w:eastAsia="仿宋"/>
          <w:sz w:val="32"/>
          <w:szCs w:val="32"/>
        </w:rPr>
      </w:pPr>
      <w:r>
        <w:rPr>
          <w:rFonts w:hint="eastAsia" w:ascii="仿宋" w:hAnsi="仿宋" w:eastAsia="仿宋"/>
          <w:sz w:val="32"/>
          <w:szCs w:val="32"/>
        </w:rPr>
        <w:t>图7：“三公”经费财政拨款支出结构</w:t>
      </w:r>
    </w:p>
    <w:p>
      <w:pPr>
        <w:spacing w:line="600" w:lineRule="exact"/>
        <w:ind w:firstLine="640"/>
        <w:rPr>
          <w:rFonts w:ascii="仿宋" w:hAnsi="仿宋" w:eastAsia="仿宋"/>
          <w:sz w:val="32"/>
          <w:szCs w:val="32"/>
        </w:rPr>
      </w:pPr>
      <w:r>
        <w:rPr>
          <w:rFonts w:hint="eastAsia" w:ascii="仿宋" w:hAnsi="仿宋" w:eastAsia="仿宋"/>
          <w:sz w:val="32"/>
          <w:szCs w:val="32"/>
        </w:rPr>
        <w:drawing>
          <wp:anchor distT="0" distB="0" distL="114300" distR="114300" simplePos="0" relativeHeight="251664384" behindDoc="0" locked="0" layoutInCell="1" allowOverlap="1">
            <wp:simplePos x="0" y="0"/>
            <wp:positionH relativeFrom="column">
              <wp:posOffset>198755</wp:posOffset>
            </wp:positionH>
            <wp:positionV relativeFrom="paragraph">
              <wp:posOffset>243205</wp:posOffset>
            </wp:positionV>
            <wp:extent cx="4762500" cy="2445385"/>
            <wp:effectExtent l="4445" t="4445" r="14605" b="7620"/>
            <wp:wrapTopAndBottom/>
            <wp:docPr id="194" name="_x0000_s14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0"/>
          <w:rFonts w:hint="eastAsia" w:ascii="仿宋" w:hAnsi="仿宋" w:eastAsia="仿宋"/>
          <w:b w:val="0"/>
          <w:bCs/>
          <w:sz w:val="32"/>
          <w:szCs w:val="32"/>
        </w:rPr>
        <w:t>完成</w:t>
      </w:r>
      <w:r>
        <w:rPr>
          <w:rStyle w:val="10"/>
          <w:rFonts w:hint="eastAsia" w:ascii="仿宋" w:hAnsi="仿宋" w:eastAsia="仿宋"/>
          <w:b w:val="0"/>
          <w:bCs/>
          <w:sz w:val="32"/>
          <w:szCs w:val="32"/>
          <w:u w:val="none" w:color="46CD7E"/>
          <w:shd w:val="clear" w:fill="auto"/>
          <w:lang w:eastAsia="zh-CN"/>
        </w:rPr>
        <w:t>预算的</w:t>
      </w:r>
      <w:r>
        <w:rPr>
          <w:rStyle w:val="10"/>
          <w:rFonts w:hint="eastAsia" w:ascii="仿宋" w:hAnsi="仿宋" w:eastAsia="仿宋"/>
          <w:b w:val="0"/>
          <w:bCs/>
          <w:sz w:val="32"/>
          <w:szCs w:val="32"/>
        </w:rPr>
        <w:t>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0万元</w:t>
      </w:r>
      <w:r>
        <w:t>，</w:t>
      </w:r>
      <w:r>
        <w:rPr>
          <w:rStyle w:val="10"/>
          <w:rFonts w:hint="eastAsia" w:ascii="仿宋" w:hAnsi="仿宋" w:eastAsia="仿宋"/>
          <w:b w:val="0"/>
          <w:bCs/>
          <w:sz w:val="32"/>
          <w:szCs w:val="32"/>
        </w:rPr>
        <w:t>完成预算的0</w:t>
      </w:r>
      <w:r>
        <w:rPr>
          <w:rStyle w:val="10"/>
          <w:rFonts w:ascii="仿宋" w:hAnsi="仿宋" w:eastAsia="仿宋"/>
          <w:b w:val="0"/>
          <w:bCs/>
          <w:sz w:val="32"/>
          <w:szCs w:val="32"/>
        </w:rPr>
        <w:t>%</w:t>
      </w:r>
      <w:r>
        <w:rPr>
          <w:rStyle w:val="10"/>
          <w:rFonts w:hint="eastAsia" w:ascii="仿宋" w:hAnsi="仿宋" w:eastAsia="仿宋"/>
          <w:b w:val="0"/>
          <w:bCs/>
          <w:sz w:val="32"/>
          <w:szCs w:val="32"/>
        </w:rPr>
        <w:t>。</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2万元，</w:t>
      </w:r>
      <w:r>
        <w:rPr>
          <w:rStyle w:val="10"/>
          <w:rFonts w:hint="eastAsia" w:ascii="仿宋" w:hAnsi="仿宋" w:eastAsia="仿宋"/>
          <w:b w:val="0"/>
          <w:bCs/>
          <w:sz w:val="32"/>
          <w:szCs w:val="32"/>
        </w:rPr>
        <w:t>完成</w:t>
      </w:r>
      <w:r>
        <w:rPr>
          <w:rStyle w:val="10"/>
          <w:rFonts w:hint="eastAsia" w:ascii="仿宋" w:hAnsi="仿宋" w:eastAsia="仿宋"/>
          <w:b w:val="0"/>
          <w:bCs/>
          <w:sz w:val="32"/>
          <w:szCs w:val="32"/>
          <w:lang w:eastAsia="zh-CN"/>
        </w:rPr>
        <w:t>预算的100%</w:t>
      </w:r>
      <w:r>
        <w:rPr>
          <w:rStyle w:val="10"/>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20年增加0.74万元，增长58.73</w:t>
      </w:r>
      <w:r>
        <w:rPr>
          <w:rFonts w:ascii="仿宋_GB2312" w:eastAsia="仿宋_GB2312"/>
          <w:sz w:val="32"/>
          <w:szCs w:val="32"/>
        </w:rPr>
        <w:t>%</w:t>
      </w:r>
      <w:r>
        <w:rPr>
          <w:rFonts w:hint="eastAsia" w:ascii="仿宋_GB2312" w:eastAsia="仿宋_GB2312"/>
          <w:sz w:val="32"/>
          <w:szCs w:val="32"/>
        </w:rPr>
        <w:t>。主要原因是行政区划调整。其中：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rPr>
        <w:t>2</w:t>
      </w:r>
      <w:r>
        <w:rPr>
          <w:rFonts w:hint="eastAsia" w:ascii="仿宋_GB2312" w:eastAsia="仿宋_GB2312"/>
          <w:sz w:val="32"/>
          <w:szCs w:val="32"/>
        </w:rPr>
        <w:t>万元，主要用于开展业务活动开支的交通费、住宿费、用餐费等。国内公务接待86批次，320人次（不包括陪同人员），共计支出2万元。</w:t>
      </w:r>
    </w:p>
    <w:p>
      <w:pPr>
        <w:spacing w:line="600" w:lineRule="exact"/>
        <w:ind w:firstLine="643"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万元，外事接待0批次，0人，共计支出0万元。</w:t>
      </w:r>
    </w:p>
    <w:p>
      <w:pPr>
        <w:spacing w:line="600" w:lineRule="exact"/>
        <w:ind w:firstLine="640"/>
        <w:outlineLvl w:val="1"/>
        <w:rPr>
          <w:rStyle w:val="31"/>
          <w:rFonts w:ascii="黑体" w:hAnsi="黑体" w:eastAsia="黑体"/>
        </w:rPr>
      </w:pPr>
      <w:bookmarkStart w:id="48" w:name="_Toc15396610"/>
      <w:bookmarkStart w:id="49" w:name="_Toc15377218"/>
      <w:bookmarkStart w:id="50" w:name="_Toc20748"/>
      <w:r>
        <w:rPr>
          <w:rFonts w:hint="eastAsia" w:ascii="黑体" w:eastAsia="黑体"/>
          <w:sz w:val="32"/>
          <w:szCs w:val="32"/>
        </w:rPr>
        <w:t>八、</w:t>
      </w:r>
      <w:r>
        <w:rPr>
          <w:rStyle w:val="31"/>
          <w:rFonts w:hint="eastAsia" w:ascii="黑体" w:hAnsi="黑体" w:eastAsia="黑体"/>
          <w:b w:val="0"/>
        </w:rPr>
        <w:t>政府性基金预算</w:t>
      </w:r>
      <w:r>
        <w:rPr>
          <w:rFonts w:hint="eastAsia" w:ascii="黑体" w:hAnsi="黑体" w:eastAsia="黑体"/>
          <w:sz w:val="32"/>
          <w:szCs w:val="32"/>
        </w:rPr>
        <w:t>支出决算情况说明</w:t>
      </w:r>
      <w:bookmarkEnd w:id="48"/>
      <w:bookmarkEnd w:id="49"/>
      <w:bookmarkEnd w:id="50"/>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21年政府性基金预算财政拨款支出17万元。</w:t>
      </w:r>
    </w:p>
    <w:p>
      <w:pPr>
        <w:spacing w:line="600" w:lineRule="exact"/>
        <w:ind w:firstLine="640"/>
        <w:rPr>
          <w:rFonts w:ascii="仿宋_GB2312" w:eastAsia="仿宋_GB2312"/>
          <w:sz w:val="32"/>
          <w:szCs w:val="32"/>
        </w:rPr>
      </w:pPr>
    </w:p>
    <w:p>
      <w:pPr>
        <w:numPr>
          <w:ilvl w:val="0"/>
          <w:numId w:val="3"/>
        </w:numPr>
        <w:spacing w:line="600" w:lineRule="exact"/>
        <w:ind w:firstLine="640"/>
        <w:outlineLvl w:val="1"/>
        <w:rPr>
          <w:rStyle w:val="31"/>
          <w:rFonts w:ascii="黑体" w:hAnsi="黑体" w:eastAsia="黑体"/>
          <w:b w:val="0"/>
        </w:rPr>
      </w:pPr>
      <w:bookmarkStart w:id="51" w:name="_Toc17151"/>
      <w:bookmarkStart w:id="52" w:name="_Toc15396611"/>
      <w:bookmarkStart w:id="53" w:name="_Toc15377219"/>
      <w:r>
        <w:rPr>
          <w:rStyle w:val="31"/>
          <w:rFonts w:hint="eastAsia" w:ascii="黑体" w:hAnsi="黑体" w:eastAsia="黑体"/>
          <w:b w:val="0"/>
        </w:rPr>
        <w:t>国有资本经营预算</w:t>
      </w:r>
      <w:r>
        <w:rPr>
          <w:rFonts w:hint="eastAsia" w:ascii="黑体" w:hAnsi="黑体" w:eastAsia="黑体"/>
          <w:sz w:val="32"/>
          <w:szCs w:val="32"/>
        </w:rPr>
        <w:t>支出决算情况说明</w:t>
      </w:r>
      <w:bookmarkEnd w:id="51"/>
      <w:bookmarkEnd w:id="52"/>
      <w:bookmarkEnd w:id="53"/>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21年国有资本经营预算财政拨款支出0万元。</w:t>
      </w:r>
    </w:p>
    <w:p>
      <w:pPr>
        <w:spacing w:line="580" w:lineRule="exact"/>
        <w:jc w:val="center"/>
        <w:rPr>
          <w:rFonts w:ascii="方正小标宋简体" w:hAnsi="方正小标宋简体" w:eastAsia="方正小标宋简体" w:cs="方正小标宋简体"/>
          <w:sz w:val="44"/>
          <w:szCs w:val="44"/>
        </w:rPr>
      </w:pPr>
    </w:p>
    <w:p>
      <w:pPr>
        <w:numPr>
          <w:ilvl w:val="0"/>
          <w:numId w:val="3"/>
        </w:numPr>
        <w:spacing w:line="600" w:lineRule="exact"/>
        <w:ind w:firstLine="640"/>
        <w:outlineLvl w:val="1"/>
        <w:rPr>
          <w:rStyle w:val="31"/>
          <w:rFonts w:ascii="黑体" w:hAnsi="黑体" w:eastAsia="黑体"/>
          <w:b w:val="0"/>
        </w:rPr>
      </w:pPr>
      <w:bookmarkStart w:id="54" w:name="_Toc15396612"/>
      <w:bookmarkStart w:id="55" w:name="_Toc15377221"/>
      <w:bookmarkStart w:id="56" w:name="_Toc13197"/>
      <w:r>
        <w:rPr>
          <w:rStyle w:val="31"/>
          <w:rFonts w:hint="eastAsia" w:ascii="黑体" w:hAnsi="黑体" w:eastAsia="黑体"/>
          <w:b w:val="0"/>
        </w:rPr>
        <w:t>其他重要事项</w:t>
      </w:r>
      <w:r>
        <w:rPr>
          <w:rFonts w:hint="eastAsia" w:ascii="黑体" w:hAnsi="黑体" w:eastAsia="黑体"/>
          <w:sz w:val="32"/>
          <w:szCs w:val="32"/>
        </w:rPr>
        <w:t>的情况说明</w:t>
      </w:r>
      <w:bookmarkEnd w:id="54"/>
      <w:bookmarkEnd w:id="55"/>
      <w:bookmarkEnd w:id="56"/>
    </w:p>
    <w:p>
      <w:pPr>
        <w:spacing w:line="600" w:lineRule="exact"/>
        <w:ind w:firstLine="643" w:firstLineChars="200"/>
        <w:outlineLvl w:val="2"/>
        <w:rPr>
          <w:rFonts w:ascii="仿宋" w:hAnsi="仿宋" w:eastAsia="仿宋"/>
          <w:sz w:val="32"/>
          <w:szCs w:val="32"/>
        </w:rPr>
      </w:pPr>
      <w:bookmarkStart w:id="57" w:name="_Toc15377222"/>
      <w:r>
        <w:rPr>
          <w:rFonts w:hint="eastAsia" w:ascii="仿宋" w:hAnsi="仿宋" w:eastAsia="仿宋"/>
          <w:b/>
          <w:sz w:val="32"/>
          <w:szCs w:val="32"/>
        </w:rPr>
        <w:t>（一）机关运行经费支出情况</w:t>
      </w:r>
      <w:bookmarkEnd w:id="57"/>
    </w:p>
    <w:p>
      <w:pPr>
        <w:spacing w:line="600" w:lineRule="exact"/>
        <w:ind w:firstLine="640" w:firstLineChars="200"/>
        <w:rPr>
          <w:rFonts w:ascii="仿宋_GB2312" w:eastAsia="仿宋_GB2312"/>
          <w:sz w:val="32"/>
          <w:szCs w:val="32"/>
        </w:rPr>
      </w:pPr>
      <w:r>
        <w:rPr>
          <w:rFonts w:ascii="仿宋_GB2312" w:eastAsia="仿宋_GB2312"/>
          <w:sz w:val="32"/>
          <w:szCs w:val="32"/>
        </w:rPr>
        <w:t>2021年唱歌镇无机关运行经费。</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8" w:name="_Toc15377223"/>
      <w:r>
        <w:rPr>
          <w:rFonts w:hint="eastAsia" w:ascii="仿宋" w:hAnsi="仿宋" w:eastAsia="仿宋"/>
          <w:b/>
          <w:sz w:val="32"/>
          <w:szCs w:val="32"/>
        </w:rPr>
        <w:t>（二）政府采购支出情况</w:t>
      </w:r>
      <w:bookmarkEnd w:id="58"/>
    </w:p>
    <w:p>
      <w:pPr>
        <w:spacing w:line="600" w:lineRule="exact"/>
        <w:ind w:firstLine="640" w:firstLineChars="200"/>
        <w:rPr>
          <w:rFonts w:ascii="仿宋" w:hAnsi="仿宋" w:eastAsia="仿宋"/>
          <w:b/>
          <w:sz w:val="32"/>
          <w:szCs w:val="32"/>
        </w:rPr>
      </w:pPr>
      <w:r>
        <w:rPr>
          <w:rFonts w:ascii="仿宋_GB2312" w:eastAsia="仿宋_GB2312"/>
          <w:sz w:val="32"/>
          <w:szCs w:val="32"/>
        </w:rPr>
        <w:t>20</w:t>
      </w:r>
      <w:r>
        <w:rPr>
          <w:rFonts w:hint="eastAsia" w:ascii="仿宋_GB2312" w:eastAsia="仿宋_GB2312"/>
          <w:sz w:val="32"/>
          <w:szCs w:val="32"/>
        </w:rPr>
        <w:t>21年，唱歌镇政府采购支出总额0万元。</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9" w:name="_Toc15377224"/>
      <w:r>
        <w:rPr>
          <w:rFonts w:hint="eastAsia" w:ascii="仿宋" w:hAnsi="仿宋" w:eastAsia="仿宋"/>
          <w:b/>
          <w:sz w:val="32"/>
          <w:szCs w:val="32"/>
        </w:rPr>
        <w:t>（三）国有资产占有使用情况</w:t>
      </w:r>
      <w:bookmarkEnd w:id="59"/>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日，唱歌镇共有车辆0辆。</w:t>
      </w:r>
    </w:p>
    <w:p>
      <w:pPr>
        <w:autoSpaceDE w:val="0"/>
        <w:autoSpaceDN w:val="0"/>
        <w:adjustRightInd w:val="0"/>
        <w:spacing w:line="600" w:lineRule="exact"/>
        <w:ind w:firstLine="643" w:firstLineChars="200"/>
        <w:jc w:val="left"/>
        <w:rPr>
          <w:rFonts w:ascii="仿宋" w:hAnsi="仿宋" w:eastAsia="仿宋"/>
          <w:b/>
          <w:sz w:val="32"/>
          <w:szCs w:val="32"/>
        </w:rPr>
      </w:pP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2021年度预算编制阶段，组织对危房改造等15个项目开展了预算事前绩效评估，对15个项目编制了绩效目标，预算执行过程中，选取2个项目开展绩效监控，年终执行完毕后，对2个项目开展了绩效自评。同时，本部门对2021年部门整体开展绩效自评，《2021年唱歌镇整体绩效评价报告》见附件（第四部分）。</w:t>
      </w:r>
    </w:p>
    <w:p>
      <w:pPr>
        <w:widowControl/>
        <w:jc w:val="left"/>
        <w:rPr>
          <w:rFonts w:ascii="仿宋_GB2312" w:eastAsia="仿宋_GB2312"/>
          <w:b/>
          <w:sz w:val="32"/>
          <w:szCs w:val="32"/>
        </w:rPr>
      </w:pPr>
      <w:r>
        <w:br w:type="page"/>
      </w:r>
    </w:p>
    <w:p>
      <w:pPr>
        <w:numPr>
          <w:ilvl w:val="0"/>
          <w:numId w:val="4"/>
        </w:numPr>
        <w:spacing w:line="600" w:lineRule="exact"/>
        <w:ind w:firstLine="660" w:firstLineChars="150"/>
        <w:jc w:val="center"/>
        <w:outlineLvl w:val="0"/>
        <w:rPr>
          <w:rStyle w:val="30"/>
          <w:rFonts w:ascii="黑体" w:hAnsi="黑体" w:eastAsia="黑体"/>
          <w:b w:val="0"/>
        </w:rPr>
      </w:pPr>
      <w:bookmarkStart w:id="60" w:name="_Toc15396613"/>
      <w:bookmarkStart w:id="61" w:name="_Toc14620"/>
      <w:bookmarkStart w:id="62" w:name="_Toc15377225"/>
      <w:r>
        <w:rPr>
          <w:rFonts w:hint="eastAsia" w:ascii="黑体" w:hAnsi="黑体" w:eastAsia="黑体"/>
          <w:sz w:val="44"/>
          <w:szCs w:val="44"/>
        </w:rPr>
        <w:t>名</w:t>
      </w:r>
      <w:r>
        <w:rPr>
          <w:rStyle w:val="30"/>
          <w:rFonts w:hint="eastAsia" w:ascii="黑体" w:hAnsi="黑体" w:eastAsia="黑体"/>
          <w:b w:val="0"/>
        </w:rPr>
        <w:t>词解释</w:t>
      </w:r>
      <w:bookmarkEnd w:id="60"/>
      <w:bookmarkEnd w:id="61"/>
      <w:bookmarkEnd w:id="62"/>
    </w:p>
    <w:p>
      <w:pPr>
        <w:spacing w:line="600" w:lineRule="exact"/>
        <w:jc w:val="left"/>
        <w:rPr>
          <w:rFonts w:ascii="宋体"/>
          <w:b/>
          <w:sz w:val="44"/>
          <w:szCs w:val="44"/>
        </w:rPr>
      </w:pPr>
    </w:p>
    <w:p>
      <w:pPr>
        <w:pStyle w:val="28"/>
        <w:spacing w:line="480" w:lineRule="exact"/>
        <w:ind w:firstLine="640" w:firstLineChars="200"/>
        <w:rPr>
          <w:rFonts w:ascii="仿宋_GB2312" w:eastAsia="仿宋_GB2312"/>
          <w:sz w:val="32"/>
          <w:szCs w:val="32"/>
        </w:rPr>
      </w:pPr>
      <w:bookmarkStart w:id="63" w:name="_Toc15377226"/>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autoSpaceDE w:val="0"/>
        <w:autoSpaceDN w:val="0"/>
        <w:adjustRightInd w:val="0"/>
        <w:spacing w:line="480" w:lineRule="exact"/>
        <w:ind w:firstLine="640" w:firstLineChars="200"/>
        <w:jc w:val="left"/>
        <w:rPr>
          <w:rFonts w:ascii="仿宋_GB2312" w:hAnsi="Calibri" w:eastAsia="仿宋_GB2312" w:cs="仿宋"/>
          <w:color w:val="000000"/>
          <w:kern w:val="0"/>
          <w:sz w:val="32"/>
          <w:szCs w:val="32"/>
        </w:rPr>
      </w:pPr>
      <w:r>
        <w:rPr>
          <w:rFonts w:ascii="仿宋_GB2312" w:eastAsia="仿宋_GB2312"/>
          <w:sz w:val="32"/>
          <w:szCs w:val="32"/>
        </w:rPr>
        <w:t>2.</w:t>
      </w:r>
      <w:r>
        <w:rPr>
          <w:rFonts w:hint="eastAsia" w:ascii="仿宋_GB2312" w:hAnsi="Calibri" w:eastAsia="仿宋_GB2312" w:cs="仿宋"/>
          <w:color w:val="000000"/>
          <w:kern w:val="0"/>
          <w:sz w:val="32"/>
          <w:szCs w:val="32"/>
        </w:rPr>
        <w:t>事业收入：指事业单位开展专业业务活动及辅助活动取得的收入。</w:t>
      </w:r>
    </w:p>
    <w:p>
      <w:pPr>
        <w:autoSpaceDE w:val="0"/>
        <w:autoSpaceDN w:val="0"/>
        <w:adjustRightInd w:val="0"/>
        <w:spacing w:line="48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3.经营收入：指事业单位在专业业务活动及其辅助活动之外开展非独立核算经营活动取得的收入。　　</w:t>
      </w:r>
    </w:p>
    <w:p>
      <w:pPr>
        <w:autoSpaceDE w:val="0"/>
        <w:autoSpaceDN w:val="0"/>
        <w:adjustRightInd w:val="0"/>
        <w:spacing w:line="48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4.其他收入：指单位取得的除上述收入以外的各项收入。</w:t>
      </w:r>
    </w:p>
    <w:p>
      <w:pPr>
        <w:autoSpaceDE w:val="0"/>
        <w:autoSpaceDN w:val="0"/>
        <w:adjustRightInd w:val="0"/>
        <w:spacing w:line="48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autoSpaceDE w:val="0"/>
        <w:autoSpaceDN w:val="0"/>
        <w:adjustRightInd w:val="0"/>
        <w:spacing w:line="48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6.年初结转和结余：指以前年度尚未完成、结转到</w:t>
      </w:r>
      <w:r>
        <w:rPr>
          <w:rFonts w:hint="eastAsia" w:ascii="仿宋_GB2312" w:hAnsi="Calibri" w:eastAsia="仿宋_GB2312" w:cs="仿宋"/>
          <w:color w:val="000000"/>
          <w:kern w:val="0"/>
          <w:sz w:val="32"/>
          <w:szCs w:val="32"/>
          <w:u w:val="none" w:color="46CD7E"/>
          <w:shd w:val="clear" w:fill="auto"/>
          <w:lang w:eastAsia="zh-CN"/>
        </w:rPr>
        <w:t>本年度</w:t>
      </w:r>
      <w:r>
        <w:rPr>
          <w:rFonts w:hint="eastAsia" w:ascii="仿宋_GB2312" w:hAnsi="Calibri" w:eastAsia="仿宋_GB2312" w:cs="仿宋"/>
          <w:color w:val="000000"/>
          <w:kern w:val="0"/>
          <w:sz w:val="32"/>
          <w:szCs w:val="32"/>
        </w:rPr>
        <w:t>按有关规定继续使用的资金。</w:t>
      </w:r>
    </w:p>
    <w:p>
      <w:pPr>
        <w:autoSpaceDE w:val="0"/>
        <w:autoSpaceDN w:val="0"/>
        <w:adjustRightInd w:val="0"/>
        <w:spacing w:line="48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7.结余分配：指事业单位按照事业单位会计制度的规定从非财政补助结余中分配的事业基金和职工福利基金等。</w:t>
      </w:r>
    </w:p>
    <w:p>
      <w:pPr>
        <w:autoSpaceDE w:val="0"/>
        <w:autoSpaceDN w:val="0"/>
        <w:adjustRightInd w:val="0"/>
        <w:spacing w:line="48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8、年末结转和结余：指单位按有关规定结转到下年或以后年度继续使用的资金。</w:t>
      </w:r>
    </w:p>
    <w:p>
      <w:pPr>
        <w:numPr>
          <w:ilvl w:val="0"/>
          <w:numId w:val="5"/>
        </w:numPr>
        <w:autoSpaceDE w:val="0"/>
        <w:autoSpaceDN w:val="0"/>
        <w:adjustRightInd w:val="0"/>
        <w:spacing w:line="48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一般公共服务（类）反映政府提供一般公共服务的支出。</w:t>
      </w:r>
    </w:p>
    <w:p>
      <w:pPr>
        <w:numPr>
          <w:ilvl w:val="0"/>
          <w:numId w:val="6"/>
        </w:numPr>
        <w:autoSpaceDE w:val="0"/>
        <w:autoSpaceDN w:val="0"/>
        <w:adjustRightInd w:val="0"/>
        <w:spacing w:line="48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人大事务（款）反映各级人民代表大会（以下简称人大）的支出。</w:t>
      </w:r>
    </w:p>
    <w:p>
      <w:pPr>
        <w:autoSpaceDE w:val="0"/>
        <w:autoSpaceDN w:val="0"/>
        <w:adjustRightInd w:val="0"/>
        <w:spacing w:line="48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行政运行（项）反映行政单位（包括实行公务员管理的事业单位）的基本支出。</w:t>
      </w:r>
    </w:p>
    <w:p>
      <w:pPr>
        <w:numPr>
          <w:ilvl w:val="0"/>
          <w:numId w:val="6"/>
        </w:numPr>
        <w:autoSpaceDE w:val="0"/>
        <w:autoSpaceDN w:val="0"/>
        <w:adjustRightInd w:val="0"/>
        <w:spacing w:line="48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政府办公厅（室）及相关机构事务（款）反映各级政府办公厅（室）及相关机构的支出。</w:t>
      </w:r>
    </w:p>
    <w:p>
      <w:pPr>
        <w:autoSpaceDE w:val="0"/>
        <w:autoSpaceDN w:val="0"/>
        <w:adjustRightInd w:val="0"/>
        <w:spacing w:line="48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行政运行（项）反映行政单位（包括实行公务员管理的事业单位）的基本支出。</w:t>
      </w:r>
    </w:p>
    <w:p>
      <w:pPr>
        <w:autoSpaceDE w:val="0"/>
        <w:autoSpaceDN w:val="0"/>
        <w:adjustRightInd w:val="0"/>
        <w:spacing w:line="48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一般行政管理事务（项）反映行政单位（包括实行公务员管理的事业单位）未单独设置项级科目的其他项目支出。</w:t>
      </w:r>
    </w:p>
    <w:p>
      <w:pPr>
        <w:autoSpaceDE w:val="0"/>
        <w:autoSpaceDN w:val="0"/>
        <w:adjustRightInd w:val="0"/>
        <w:spacing w:line="48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信访事务（项）信访事务</w:t>
      </w:r>
      <w:r>
        <w:rPr>
          <w:rFonts w:hint="eastAsia" w:ascii="仿宋_GB2312" w:hAnsi="Calibri" w:eastAsia="仿宋_GB2312" w:cs="仿宋"/>
          <w:color w:val="000000"/>
          <w:kern w:val="0"/>
          <w:sz w:val="32"/>
          <w:szCs w:val="32"/>
        </w:rPr>
        <w:tab/>
      </w:r>
      <w:r>
        <w:rPr>
          <w:rFonts w:hint="eastAsia" w:ascii="仿宋_GB2312" w:hAnsi="Calibri" w:eastAsia="仿宋_GB2312" w:cs="仿宋"/>
          <w:color w:val="000000"/>
          <w:kern w:val="0"/>
          <w:sz w:val="32"/>
          <w:szCs w:val="32"/>
        </w:rPr>
        <w:t>反映各级政府用于接待群众来信来访方面的支出。</w:t>
      </w:r>
    </w:p>
    <w:p>
      <w:pPr>
        <w:numPr>
          <w:ilvl w:val="0"/>
          <w:numId w:val="6"/>
        </w:numPr>
        <w:autoSpaceDE w:val="0"/>
        <w:autoSpaceDN w:val="0"/>
        <w:adjustRightInd w:val="0"/>
        <w:spacing w:line="48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财政事务（款）反映财政事务方面的支出。</w:t>
      </w:r>
    </w:p>
    <w:p>
      <w:pPr>
        <w:autoSpaceDE w:val="0"/>
        <w:autoSpaceDN w:val="0"/>
        <w:adjustRightInd w:val="0"/>
        <w:spacing w:line="48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行政运行（项）反映行政单位（包括实行公务员管理的事业单位）的基本支出。</w:t>
      </w:r>
    </w:p>
    <w:p>
      <w:pPr>
        <w:numPr>
          <w:ilvl w:val="0"/>
          <w:numId w:val="6"/>
        </w:numPr>
        <w:autoSpaceDE w:val="0"/>
        <w:autoSpaceDN w:val="0"/>
        <w:adjustRightInd w:val="0"/>
        <w:spacing w:line="48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纪检监察事务（款）反映纪检、监察方面的支出</w:t>
      </w:r>
    </w:p>
    <w:p>
      <w:pPr>
        <w:autoSpaceDE w:val="0"/>
        <w:autoSpaceDN w:val="0"/>
        <w:adjustRightInd w:val="0"/>
        <w:spacing w:line="48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行政运行（项）反映行政单位（包括实行公务员管理的事业单位）的基本支出。</w:t>
      </w:r>
    </w:p>
    <w:p>
      <w:pPr>
        <w:numPr>
          <w:ilvl w:val="0"/>
          <w:numId w:val="6"/>
        </w:numPr>
        <w:autoSpaceDE w:val="0"/>
        <w:autoSpaceDN w:val="0"/>
        <w:adjustRightInd w:val="0"/>
        <w:spacing w:line="48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党委办公厅（室）及相关机构事务（款）反映党委办公厅（室）及相关机构的支出。</w:t>
      </w:r>
    </w:p>
    <w:p>
      <w:pPr>
        <w:autoSpaceDE w:val="0"/>
        <w:autoSpaceDN w:val="0"/>
        <w:adjustRightInd w:val="0"/>
        <w:spacing w:line="48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行政运行（项）反映行政单位（包括实行公务员管理的事业单位）的基本支出。</w:t>
      </w:r>
    </w:p>
    <w:p>
      <w:pPr>
        <w:numPr>
          <w:ilvl w:val="0"/>
          <w:numId w:val="6"/>
        </w:numPr>
        <w:autoSpaceDE w:val="0"/>
        <w:autoSpaceDN w:val="0"/>
        <w:adjustRightInd w:val="0"/>
        <w:spacing w:line="48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其他共产党事务支出（款）</w:t>
      </w:r>
      <w:r>
        <w:rPr>
          <w:rFonts w:hint="eastAsia" w:ascii="仿宋_GB2312" w:hAnsi="Calibri" w:eastAsia="仿宋_GB2312" w:cs="仿宋"/>
          <w:color w:val="000000"/>
          <w:kern w:val="0"/>
          <w:sz w:val="32"/>
          <w:szCs w:val="32"/>
          <w:u w:val="none" w:color="46CD7E"/>
          <w:shd w:val="clear" w:fill="auto"/>
          <w:lang w:eastAsia="zh-CN"/>
        </w:rPr>
        <w:t>反映除</w:t>
      </w:r>
      <w:r>
        <w:rPr>
          <w:rFonts w:hint="eastAsia" w:ascii="仿宋_GB2312" w:hAnsi="Calibri" w:eastAsia="仿宋_GB2312" w:cs="仿宋"/>
          <w:color w:val="000000"/>
          <w:kern w:val="0"/>
          <w:sz w:val="32"/>
          <w:szCs w:val="32"/>
        </w:rPr>
        <w:t>上述款项以外其他用于中国共产党事务的支出</w:t>
      </w:r>
    </w:p>
    <w:p>
      <w:pPr>
        <w:autoSpaceDE w:val="0"/>
        <w:autoSpaceDN w:val="0"/>
        <w:adjustRightInd w:val="0"/>
        <w:spacing w:line="48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行政运行（项）反映行政单位（包括实行公务员管理的事业单位）的基本支出。</w:t>
      </w:r>
    </w:p>
    <w:p>
      <w:pPr>
        <w:autoSpaceDE w:val="0"/>
        <w:autoSpaceDN w:val="0"/>
        <w:adjustRightInd w:val="0"/>
        <w:spacing w:line="48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10、教育支出（类）反映政府教育事务支出。有关具体事务包括教育行政管理、学前教育、小学教育、初中教育、普通高中教育、普通高等教育、初等职业教育、中专教育、技校教育、职业高中教育、高等职业教育、广播电视教育、留学生教育、特殊教育、干部继续教育、教育机关服务等。</w:t>
      </w:r>
    </w:p>
    <w:p>
      <w:pPr>
        <w:autoSpaceDE w:val="0"/>
        <w:autoSpaceDN w:val="0"/>
        <w:adjustRightInd w:val="0"/>
        <w:spacing w:line="48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①</w:t>
      </w:r>
      <w:r>
        <w:rPr>
          <w:rFonts w:hint="eastAsia" w:ascii="仿宋_GB2312" w:hAnsi="Calibri" w:eastAsia="仿宋_GB2312" w:cs="仿宋"/>
          <w:color w:val="000000"/>
          <w:kern w:val="0"/>
          <w:sz w:val="32"/>
          <w:szCs w:val="32"/>
        </w:rPr>
        <w:t>普通教育（款）</w:t>
      </w:r>
      <w:r>
        <w:rPr>
          <w:rFonts w:hint="eastAsia" w:ascii="仿宋_GB2312" w:hAnsi="Calibri" w:eastAsia="仿宋_GB2312" w:cs="仿宋"/>
          <w:color w:val="000000"/>
          <w:kern w:val="0"/>
          <w:sz w:val="32"/>
          <w:szCs w:val="32"/>
        </w:rPr>
        <w:tab/>
      </w:r>
      <w:r>
        <w:rPr>
          <w:rFonts w:hint="eastAsia" w:ascii="仿宋_GB2312" w:hAnsi="Calibri" w:eastAsia="仿宋_GB2312" w:cs="仿宋"/>
          <w:color w:val="000000"/>
          <w:kern w:val="0"/>
          <w:sz w:val="32"/>
          <w:szCs w:val="32"/>
        </w:rPr>
        <w:t>反映各类普通教育支出。</w:t>
      </w:r>
    </w:p>
    <w:p>
      <w:pPr>
        <w:autoSpaceDE w:val="0"/>
        <w:autoSpaceDN w:val="0"/>
        <w:adjustRightInd w:val="0"/>
        <w:spacing w:line="48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学前教育（项）反映各部门举办的学前教育支出。</w:t>
      </w:r>
    </w:p>
    <w:p>
      <w:pPr>
        <w:autoSpaceDE w:val="0"/>
        <w:autoSpaceDN w:val="0"/>
        <w:adjustRightInd w:val="0"/>
        <w:spacing w:line="48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小学教育（项）</w:t>
      </w:r>
      <w:r>
        <w:rPr>
          <w:rFonts w:hint="eastAsia" w:ascii="仿宋_GB2312" w:hAnsi="Calibri" w:eastAsia="仿宋_GB2312" w:cs="仿宋"/>
          <w:color w:val="000000"/>
          <w:kern w:val="0"/>
          <w:sz w:val="32"/>
          <w:szCs w:val="32"/>
        </w:rPr>
        <w:tab/>
      </w:r>
      <w:r>
        <w:rPr>
          <w:rFonts w:hint="eastAsia" w:ascii="仿宋_GB2312" w:hAnsi="Calibri" w:eastAsia="仿宋_GB2312" w:cs="仿宋"/>
          <w:color w:val="000000"/>
          <w:kern w:val="0"/>
          <w:sz w:val="32"/>
          <w:szCs w:val="32"/>
        </w:rPr>
        <w:t>反映各部门举办的小学教育支出。政府各部门对社会中介组织等举办的小学的资助，如各类捐赠、补贴等，也在本科目反映。</w:t>
      </w:r>
    </w:p>
    <w:p>
      <w:pPr>
        <w:autoSpaceDE w:val="0"/>
        <w:autoSpaceDN w:val="0"/>
        <w:adjustRightInd w:val="0"/>
        <w:spacing w:line="48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其他普通教育支出（项）反映除上述项目以外其他用于普通教育方面的支出。</w:t>
      </w:r>
    </w:p>
    <w:p>
      <w:pPr>
        <w:autoSpaceDE w:val="0"/>
        <w:autoSpaceDN w:val="0"/>
        <w:adjustRightInd w:val="0"/>
        <w:spacing w:line="48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11、文化体育与传媒支出（类）反映政府在文化、文物、体育、广播影视、新闻出版等方面的支出。</w:t>
      </w:r>
    </w:p>
    <w:p>
      <w:pPr>
        <w:autoSpaceDE w:val="0"/>
        <w:autoSpaceDN w:val="0"/>
        <w:adjustRightInd w:val="0"/>
        <w:spacing w:line="48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①</w:t>
      </w:r>
      <w:r>
        <w:rPr>
          <w:rFonts w:hint="eastAsia" w:ascii="仿宋_GB2312" w:hAnsi="Calibri" w:eastAsia="仿宋_GB2312" w:cs="仿宋"/>
          <w:color w:val="000000"/>
          <w:kern w:val="0"/>
          <w:sz w:val="32"/>
          <w:szCs w:val="32"/>
        </w:rPr>
        <w:t>文化（款）反映政府用于公用文化设施、艺术表演团体及文化艺术活动等方面的支出。</w:t>
      </w:r>
    </w:p>
    <w:p>
      <w:pPr>
        <w:autoSpaceDE w:val="0"/>
        <w:autoSpaceDN w:val="0"/>
        <w:adjustRightInd w:val="0"/>
        <w:spacing w:line="48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其他文化支出（项）反映除上述项目以外其他用于文化方面的支出。</w:t>
      </w:r>
    </w:p>
    <w:p>
      <w:pPr>
        <w:autoSpaceDE w:val="0"/>
        <w:autoSpaceDN w:val="0"/>
        <w:adjustRightInd w:val="0"/>
        <w:spacing w:line="48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②</w:t>
      </w:r>
      <w:r>
        <w:rPr>
          <w:rFonts w:hint="eastAsia" w:ascii="仿宋_GB2312" w:hAnsi="Calibri" w:eastAsia="仿宋_GB2312" w:cs="仿宋"/>
          <w:color w:val="000000"/>
          <w:kern w:val="0"/>
          <w:sz w:val="32"/>
          <w:szCs w:val="32"/>
        </w:rPr>
        <w:t>新闻出版广播影视（款）反映新闻出版方面的支出。</w:t>
      </w:r>
    </w:p>
    <w:p>
      <w:pPr>
        <w:autoSpaceDE w:val="0"/>
        <w:autoSpaceDN w:val="0"/>
        <w:adjustRightInd w:val="0"/>
        <w:spacing w:line="48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广播（项）</w:t>
      </w:r>
      <w:r>
        <w:rPr>
          <w:rFonts w:hint="eastAsia" w:ascii="仿宋_GB2312" w:hAnsi="Calibri" w:eastAsia="仿宋_GB2312" w:cs="仿宋"/>
          <w:color w:val="000000"/>
          <w:kern w:val="0"/>
          <w:sz w:val="32"/>
          <w:szCs w:val="32"/>
        </w:rPr>
        <w:tab/>
      </w:r>
      <w:r>
        <w:rPr>
          <w:rFonts w:hint="eastAsia" w:ascii="仿宋_GB2312" w:hAnsi="Calibri" w:eastAsia="仿宋_GB2312" w:cs="仿宋"/>
          <w:color w:val="000000"/>
          <w:kern w:val="0"/>
          <w:sz w:val="32"/>
          <w:szCs w:val="32"/>
        </w:rPr>
        <w:t>反映广播电台、广播发射台、广播转播台及有线广播站的支出。</w:t>
      </w:r>
    </w:p>
    <w:p>
      <w:pPr>
        <w:autoSpaceDE w:val="0"/>
        <w:autoSpaceDN w:val="0"/>
        <w:adjustRightInd w:val="0"/>
        <w:spacing w:line="48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12、社会保障和就业（类）反映政府在社会保障与就业方面的支出。有关事项包括社会保障和就业管理事务、民政管理事务、</w:t>
      </w:r>
      <w:r>
        <w:rPr>
          <w:rFonts w:hint="eastAsia" w:ascii="仿宋_GB2312" w:hAnsi="Calibri" w:eastAsia="仿宋_GB2312" w:cs="仿宋"/>
          <w:color w:val="000000"/>
          <w:kern w:val="0"/>
          <w:sz w:val="32"/>
          <w:szCs w:val="32"/>
          <w:u w:val="none" w:color="F56C6C"/>
          <w:shd w:val="clear" w:fill="auto"/>
          <w:lang w:val="en-US" w:eastAsia="zh-CN"/>
        </w:rPr>
        <w:t>各级</w:t>
      </w:r>
      <w:r>
        <w:rPr>
          <w:rFonts w:hint="eastAsia" w:ascii="仿宋_GB2312" w:hAnsi="Calibri" w:eastAsia="仿宋_GB2312" w:cs="仿宋"/>
          <w:color w:val="000000"/>
          <w:kern w:val="0"/>
          <w:sz w:val="32"/>
          <w:szCs w:val="32"/>
          <w:u w:val="none" w:color="F56C6C"/>
          <w:shd w:val="clear" w:fill="auto"/>
        </w:rPr>
        <w:t>财政</w:t>
      </w:r>
      <w:r>
        <w:rPr>
          <w:rFonts w:hint="eastAsia" w:ascii="仿宋_GB2312" w:hAnsi="Calibri" w:eastAsia="仿宋_GB2312" w:cs="仿宋"/>
          <w:color w:val="000000"/>
          <w:kern w:val="0"/>
          <w:sz w:val="32"/>
          <w:szCs w:val="32"/>
        </w:rPr>
        <w:t>对社会保险基金的补助、补充全国社会保障基金、行政事业单位</w:t>
      </w:r>
      <w:r>
        <w:rPr>
          <w:rFonts w:hint="eastAsia" w:ascii="仿宋_GB2312" w:hAnsi="Calibri" w:eastAsia="仿宋_GB2312" w:cs="仿宋"/>
          <w:color w:val="000000"/>
          <w:kern w:val="0"/>
          <w:sz w:val="32"/>
          <w:szCs w:val="32"/>
          <w:u w:val="none" w:color="46CD7E"/>
          <w:shd w:val="clear" w:fill="auto"/>
          <w:lang w:eastAsia="zh-CN"/>
        </w:rPr>
        <w:t>离退休补助</w:t>
      </w:r>
      <w:r>
        <w:rPr>
          <w:rFonts w:hint="eastAsia" w:ascii="仿宋_GB2312" w:hAnsi="Calibri" w:eastAsia="仿宋_GB2312" w:cs="仿宋"/>
          <w:color w:val="000000"/>
          <w:kern w:val="0"/>
          <w:sz w:val="32"/>
          <w:szCs w:val="32"/>
        </w:rPr>
        <w:t>、企业改革补助、就业补助、抚恤、退役安置、社会福利、残疾人事业、城市居民最低生活保障、其他城镇社会救济、农村社会救济、自然灾害生活救助、红十字事务等。</w:t>
      </w:r>
    </w:p>
    <w:p>
      <w:pPr>
        <w:autoSpaceDE w:val="0"/>
        <w:autoSpaceDN w:val="0"/>
        <w:adjustRightInd w:val="0"/>
        <w:spacing w:line="48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①</w:t>
      </w:r>
      <w:r>
        <w:rPr>
          <w:rFonts w:hint="eastAsia" w:ascii="仿宋_GB2312" w:hAnsi="Calibri" w:eastAsia="仿宋_GB2312" w:cs="仿宋"/>
          <w:color w:val="000000"/>
          <w:kern w:val="0"/>
          <w:sz w:val="32"/>
          <w:szCs w:val="32"/>
        </w:rPr>
        <w:t>人力资源和社会保障管理事务（款）反映人力资源和社会保障管理事务支出。</w:t>
      </w:r>
    </w:p>
    <w:p>
      <w:pPr>
        <w:autoSpaceDE w:val="0"/>
        <w:autoSpaceDN w:val="0"/>
        <w:adjustRightInd w:val="0"/>
        <w:spacing w:line="48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社会保险经办机构（项）反映社会保险经办机构开展业务工作的支出。</w:t>
      </w:r>
    </w:p>
    <w:p>
      <w:pPr>
        <w:autoSpaceDE w:val="0"/>
        <w:autoSpaceDN w:val="0"/>
        <w:adjustRightInd w:val="0"/>
        <w:spacing w:line="48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②</w:t>
      </w:r>
      <w:r>
        <w:rPr>
          <w:rFonts w:hint="eastAsia" w:ascii="仿宋_GB2312" w:hAnsi="Calibri" w:eastAsia="仿宋_GB2312" w:cs="仿宋"/>
          <w:color w:val="000000"/>
          <w:kern w:val="0"/>
          <w:sz w:val="32"/>
          <w:szCs w:val="32"/>
        </w:rPr>
        <w:t>行政事业单位离退休（款）反映用于行政事业单位离退休方面的支出。</w:t>
      </w:r>
    </w:p>
    <w:p>
      <w:pPr>
        <w:autoSpaceDE w:val="0"/>
        <w:autoSpaceDN w:val="0"/>
        <w:adjustRightInd w:val="0"/>
        <w:spacing w:line="48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机关事业单位基本养老保险缴费支出（项）反映实行归口管理的事业单位开支的离退休经费。</w:t>
      </w:r>
    </w:p>
    <w:p>
      <w:pPr>
        <w:autoSpaceDE w:val="0"/>
        <w:autoSpaceDN w:val="0"/>
        <w:adjustRightInd w:val="0"/>
        <w:spacing w:line="48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13、医疗卫生与计划生育支出（类）反映政府医疗卫生与计划生育管理方面的支出。</w:t>
      </w:r>
    </w:p>
    <w:p>
      <w:pPr>
        <w:autoSpaceDE w:val="0"/>
        <w:autoSpaceDN w:val="0"/>
        <w:adjustRightInd w:val="0"/>
        <w:spacing w:line="48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①</w:t>
      </w:r>
      <w:r>
        <w:rPr>
          <w:rFonts w:hint="eastAsia" w:ascii="仿宋_GB2312" w:hAnsi="Calibri" w:eastAsia="仿宋_GB2312" w:cs="仿宋"/>
          <w:color w:val="000000"/>
          <w:kern w:val="0"/>
          <w:sz w:val="32"/>
          <w:szCs w:val="32"/>
        </w:rPr>
        <w:t>基层医疗卫生机构（款）反映用于基层医疗卫生机构方面的支出。</w:t>
      </w:r>
    </w:p>
    <w:p>
      <w:pPr>
        <w:autoSpaceDE w:val="0"/>
        <w:autoSpaceDN w:val="0"/>
        <w:adjustRightInd w:val="0"/>
        <w:spacing w:line="48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乡镇卫生院（项）反映用于乡镇卫生院方面的支出。</w:t>
      </w:r>
    </w:p>
    <w:p>
      <w:pPr>
        <w:autoSpaceDE w:val="0"/>
        <w:autoSpaceDN w:val="0"/>
        <w:adjustRightInd w:val="0"/>
        <w:spacing w:line="48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其他基层医疗卫生机构支出（项）</w:t>
      </w:r>
      <w:r>
        <w:rPr>
          <w:rFonts w:hint="eastAsia" w:ascii="仿宋_GB2312" w:hAnsi="Calibri" w:eastAsia="仿宋_GB2312" w:cs="仿宋"/>
          <w:color w:val="000000"/>
          <w:kern w:val="0"/>
          <w:sz w:val="32"/>
          <w:szCs w:val="32"/>
        </w:rPr>
        <w:tab/>
      </w:r>
      <w:r>
        <w:rPr>
          <w:rFonts w:hint="eastAsia" w:ascii="仿宋_GB2312" w:hAnsi="Calibri" w:eastAsia="仿宋_GB2312" w:cs="仿宋"/>
          <w:color w:val="000000"/>
          <w:kern w:val="0"/>
          <w:sz w:val="32"/>
          <w:szCs w:val="32"/>
        </w:rPr>
        <w:t>反映除上述项目以外的其他用于基层医疗卫生机构方面的支出。</w:t>
      </w:r>
    </w:p>
    <w:p>
      <w:pPr>
        <w:autoSpaceDE w:val="0"/>
        <w:autoSpaceDN w:val="0"/>
        <w:adjustRightInd w:val="0"/>
        <w:spacing w:line="48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②</w:t>
      </w:r>
      <w:r>
        <w:rPr>
          <w:rFonts w:hint="eastAsia" w:ascii="仿宋_GB2312" w:hAnsi="Calibri" w:eastAsia="仿宋_GB2312" w:cs="仿宋"/>
          <w:color w:val="000000"/>
          <w:kern w:val="0"/>
          <w:sz w:val="32"/>
          <w:szCs w:val="32"/>
        </w:rPr>
        <w:t>公共卫生（款）反映公共卫生支出。</w:t>
      </w:r>
    </w:p>
    <w:p>
      <w:pPr>
        <w:autoSpaceDE w:val="0"/>
        <w:autoSpaceDN w:val="0"/>
        <w:adjustRightInd w:val="0"/>
        <w:spacing w:line="48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基本公共卫生服务（项）反映基本公共卫生服务支出。</w:t>
      </w:r>
    </w:p>
    <w:p>
      <w:pPr>
        <w:autoSpaceDE w:val="0"/>
        <w:autoSpaceDN w:val="0"/>
        <w:adjustRightInd w:val="0"/>
        <w:spacing w:line="48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③</w:t>
      </w:r>
      <w:r>
        <w:rPr>
          <w:rFonts w:hint="eastAsia" w:ascii="仿宋_GB2312" w:hAnsi="Calibri" w:eastAsia="仿宋_GB2312" w:cs="仿宋"/>
          <w:color w:val="000000"/>
          <w:kern w:val="0"/>
          <w:sz w:val="32"/>
          <w:szCs w:val="32"/>
        </w:rPr>
        <w:t>财政对基本医疗保险基金的补助（款）反映财政对基本医疗保险基金的补助支出</w:t>
      </w:r>
    </w:p>
    <w:p>
      <w:pPr>
        <w:autoSpaceDE w:val="0"/>
        <w:autoSpaceDN w:val="0"/>
        <w:adjustRightInd w:val="0"/>
        <w:spacing w:line="48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财政对城乡居民基本医疗保险基金的补助（项）反映财政对已将新型农村合作医疗基金和城镇居民基本医疗保险基金整合为城乡居民基本医疗保险基金的补助支出</w:t>
      </w:r>
    </w:p>
    <w:p>
      <w:pPr>
        <w:autoSpaceDE w:val="0"/>
        <w:autoSpaceDN w:val="0"/>
        <w:adjustRightInd w:val="0"/>
        <w:spacing w:line="48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14、节能环保支出（类）反映政府节能环保支出。具体包括：环境保护管理事务支出、环境监测与监察支出、污染治理支出、自然生态保护支出、天然林保护工程支出、退耕还林支出、风沙荒漠治理支出、退牧还草支出、已垦草原退耕还草、能源节约利用、污染减排、可再生能源和资源综合利用等支出。</w:t>
      </w:r>
    </w:p>
    <w:p>
      <w:pPr>
        <w:autoSpaceDE w:val="0"/>
        <w:autoSpaceDN w:val="0"/>
        <w:adjustRightInd w:val="0"/>
        <w:spacing w:line="48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①</w:t>
      </w:r>
      <w:r>
        <w:rPr>
          <w:rFonts w:hint="eastAsia" w:ascii="仿宋_GB2312" w:hAnsi="Calibri" w:eastAsia="仿宋_GB2312" w:cs="仿宋"/>
          <w:color w:val="000000"/>
          <w:kern w:val="0"/>
          <w:sz w:val="32"/>
          <w:szCs w:val="32"/>
        </w:rPr>
        <w:t>退耕还林（款）反映专项用于退耕还林工程的各项补助支出。</w:t>
      </w:r>
    </w:p>
    <w:p>
      <w:pPr>
        <w:autoSpaceDE w:val="0"/>
        <w:autoSpaceDN w:val="0"/>
        <w:adjustRightInd w:val="0"/>
        <w:spacing w:line="48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退耕现金（项）反映专项用于退耕户的医疗、教育等日常生活需要的支出。</w:t>
      </w:r>
    </w:p>
    <w:p>
      <w:pPr>
        <w:autoSpaceDE w:val="0"/>
        <w:autoSpaceDN w:val="0"/>
        <w:adjustRightInd w:val="0"/>
        <w:spacing w:line="48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15、城乡社区事务支出（类）反映政府城乡社区事务支出</w:t>
      </w:r>
    </w:p>
    <w:p>
      <w:pPr>
        <w:autoSpaceDE w:val="0"/>
        <w:autoSpaceDN w:val="0"/>
        <w:adjustRightInd w:val="0"/>
        <w:spacing w:line="48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①</w:t>
      </w:r>
      <w:r>
        <w:rPr>
          <w:rFonts w:hint="eastAsia" w:ascii="仿宋_GB2312" w:hAnsi="Calibri" w:eastAsia="仿宋_GB2312" w:cs="仿宋"/>
          <w:color w:val="000000"/>
          <w:kern w:val="0"/>
          <w:sz w:val="32"/>
          <w:szCs w:val="32"/>
        </w:rPr>
        <w:t>城乡社区公共设施（款）反映城乡社区道路、桥涵、燃气、供暖、公共交通（含轮渡、轻轨、地铁）、道路照明等公共设施建设维护与管理方面的支出</w:t>
      </w:r>
    </w:p>
    <w:p>
      <w:pPr>
        <w:autoSpaceDE w:val="0"/>
        <w:autoSpaceDN w:val="0"/>
        <w:adjustRightInd w:val="0"/>
        <w:spacing w:line="48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其他城乡社区公共设施支出（项）反映除上述项目以外其他用于其他城乡社区公共设施方面的支出</w:t>
      </w:r>
    </w:p>
    <w:p>
      <w:pPr>
        <w:autoSpaceDE w:val="0"/>
        <w:autoSpaceDN w:val="0"/>
        <w:adjustRightInd w:val="0"/>
        <w:spacing w:line="48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16、</w:t>
      </w:r>
      <w:r>
        <w:rPr>
          <w:rFonts w:hint="eastAsia" w:ascii="仿宋_GB2312" w:hAnsi="Calibri" w:eastAsia="仿宋_GB2312" w:cs="仿宋"/>
          <w:color w:val="000000"/>
          <w:kern w:val="0"/>
          <w:sz w:val="32"/>
          <w:szCs w:val="32"/>
          <w:u w:val="thick" w:color="FFB03A"/>
          <w:shd w:val="clear" w:fill="FFEFD8"/>
        </w:rPr>
        <w:t>农林水</w:t>
      </w:r>
      <w:r>
        <w:rPr>
          <w:rFonts w:hint="eastAsia" w:ascii="仿宋_GB2312" w:hAnsi="Calibri" w:eastAsia="仿宋_GB2312" w:cs="仿宋"/>
          <w:color w:val="000000"/>
          <w:kern w:val="0"/>
          <w:sz w:val="32"/>
          <w:szCs w:val="32"/>
        </w:rPr>
        <w:t>支出（类）反映政府农林水事务支出。具体包括：农业支出、林业支出、水利支出、扶贫支出、农业综合开发支出等。</w:t>
      </w:r>
    </w:p>
    <w:p>
      <w:pPr>
        <w:autoSpaceDE w:val="0"/>
        <w:autoSpaceDN w:val="0"/>
        <w:adjustRightInd w:val="0"/>
        <w:spacing w:line="48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①</w:t>
      </w:r>
      <w:r>
        <w:rPr>
          <w:rFonts w:hint="eastAsia" w:ascii="仿宋_GB2312" w:hAnsi="Calibri" w:eastAsia="仿宋_GB2312" w:cs="仿宋"/>
          <w:color w:val="000000"/>
          <w:kern w:val="0"/>
          <w:sz w:val="32"/>
          <w:szCs w:val="32"/>
        </w:rPr>
        <w:t>农业（款）反映财政用于种植业、畜牧业、渔业、兽医、农机、农垦、农场、农业产业化经营组织、农村和垦区公益事业、农产品加工等方面的支出。</w:t>
      </w:r>
    </w:p>
    <w:p>
      <w:pPr>
        <w:autoSpaceDE w:val="0"/>
        <w:autoSpaceDN w:val="0"/>
        <w:adjustRightInd w:val="0"/>
        <w:spacing w:line="48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事业运行（项目）反映用于农业事业单位基本支出，事业单位设施、系统运行与资产维护等方面的支出。</w:t>
      </w:r>
    </w:p>
    <w:p>
      <w:pPr>
        <w:autoSpaceDE w:val="0"/>
        <w:autoSpaceDN w:val="0"/>
        <w:adjustRightInd w:val="0"/>
        <w:spacing w:line="48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农业生产支持补贴（项）反映对种粮农民直接补贴，对农业生产资料补贴、技术物化补贴，推广先进适用农机农艺技术等方面的支出</w:t>
      </w:r>
    </w:p>
    <w:p>
      <w:pPr>
        <w:autoSpaceDE w:val="0"/>
        <w:autoSpaceDN w:val="0"/>
        <w:adjustRightInd w:val="0"/>
        <w:spacing w:line="480" w:lineRule="exact"/>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农村道路建设（项目）反映用于农村公路、乡村道路建设方面的支出。</w:t>
      </w:r>
    </w:p>
    <w:p>
      <w:pPr>
        <w:autoSpaceDE w:val="0"/>
        <w:autoSpaceDN w:val="0"/>
        <w:adjustRightInd w:val="0"/>
        <w:spacing w:line="48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②</w:t>
      </w:r>
      <w:r>
        <w:rPr>
          <w:rFonts w:hint="eastAsia" w:ascii="仿宋_GB2312" w:hAnsi="Calibri" w:eastAsia="仿宋_GB2312" w:cs="仿宋"/>
          <w:color w:val="000000"/>
          <w:kern w:val="0"/>
          <w:sz w:val="32"/>
          <w:szCs w:val="32"/>
        </w:rPr>
        <w:t>林业（款）反映政府用于林业方面的支出。</w:t>
      </w:r>
    </w:p>
    <w:p>
      <w:pPr>
        <w:autoSpaceDE w:val="0"/>
        <w:autoSpaceDN w:val="0"/>
        <w:adjustRightInd w:val="0"/>
        <w:spacing w:line="480" w:lineRule="exact"/>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林业事业机构（项）</w:t>
      </w:r>
      <w:r>
        <w:rPr>
          <w:rFonts w:hint="eastAsia" w:ascii="仿宋_GB2312" w:hAnsi="Calibri" w:eastAsia="仿宋_GB2312" w:cs="仿宋"/>
          <w:color w:val="000000"/>
          <w:kern w:val="0"/>
          <w:sz w:val="32"/>
          <w:szCs w:val="32"/>
        </w:rPr>
        <w:tab/>
      </w:r>
      <w:r>
        <w:rPr>
          <w:rFonts w:hint="eastAsia" w:ascii="仿宋_GB2312" w:hAnsi="Calibri" w:eastAsia="仿宋_GB2312" w:cs="仿宋"/>
          <w:color w:val="000000"/>
          <w:kern w:val="0"/>
          <w:sz w:val="32"/>
          <w:szCs w:val="32"/>
        </w:rPr>
        <w:t>反映用于</w:t>
      </w:r>
      <w:r>
        <w:rPr>
          <w:rFonts w:hint="eastAsia" w:ascii="仿宋_GB2312" w:hAnsi="Calibri" w:eastAsia="仿宋_GB2312" w:cs="仿宋"/>
          <w:color w:val="000000"/>
          <w:kern w:val="0"/>
          <w:sz w:val="32"/>
          <w:szCs w:val="32"/>
          <w:u w:val="none" w:color="46CD7E"/>
          <w:shd w:val="clear" w:fill="auto"/>
        </w:rPr>
        <w:t>林业</w:t>
      </w:r>
      <w:r>
        <w:rPr>
          <w:rFonts w:hint="eastAsia" w:ascii="仿宋_GB2312" w:hAnsi="Calibri" w:eastAsia="仿宋_GB2312" w:cs="仿宋"/>
          <w:color w:val="000000"/>
          <w:kern w:val="0"/>
          <w:sz w:val="32"/>
          <w:szCs w:val="32"/>
          <w:u w:val="thick" w:color="FFB03A"/>
          <w:shd w:val="clear" w:fill="FFEFD8"/>
          <w:lang w:val="en-US" w:eastAsia="zh-CN"/>
        </w:rPr>
        <w:t>系统</w:t>
      </w:r>
      <w:r>
        <w:rPr>
          <w:rFonts w:hint="eastAsia" w:ascii="仿宋_GB2312" w:hAnsi="Calibri" w:eastAsia="仿宋_GB2312" w:cs="仿宋"/>
          <w:color w:val="000000"/>
          <w:kern w:val="0"/>
          <w:sz w:val="32"/>
          <w:szCs w:val="32"/>
        </w:rPr>
        <w:t>事业单位的基本支出。</w:t>
      </w:r>
    </w:p>
    <w:p>
      <w:pPr>
        <w:autoSpaceDE w:val="0"/>
        <w:autoSpaceDN w:val="0"/>
        <w:adjustRightInd w:val="0"/>
        <w:spacing w:line="480" w:lineRule="exact"/>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森林生态效益补偿（项）反映由森林生态效益补偿基金安排用于公益林营造、抚育、管理和保护等方面的支出。</w:t>
      </w:r>
    </w:p>
    <w:p>
      <w:pPr>
        <w:autoSpaceDE w:val="0"/>
        <w:autoSpaceDN w:val="0"/>
        <w:adjustRightInd w:val="0"/>
        <w:spacing w:line="48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③</w:t>
      </w:r>
      <w:r>
        <w:rPr>
          <w:rFonts w:hint="eastAsia" w:ascii="仿宋_GB2312" w:hAnsi="Calibri" w:eastAsia="仿宋_GB2312" w:cs="仿宋"/>
          <w:color w:val="000000"/>
          <w:kern w:val="0"/>
          <w:sz w:val="32"/>
          <w:szCs w:val="32"/>
        </w:rPr>
        <w:t>水利（款）反映政府用于水利方面的支出。</w:t>
      </w:r>
    </w:p>
    <w:p>
      <w:pPr>
        <w:autoSpaceDE w:val="0"/>
        <w:autoSpaceDN w:val="0"/>
        <w:adjustRightInd w:val="0"/>
        <w:spacing w:line="480" w:lineRule="exact"/>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水利技术推广（项）反映水利系统纳入预算管理的技术推广事业单位的支出。有关事项包括国内外先进水利技术的引进、试验、技术创新、推广、应用、宣传以及水利系统人员培训等。</w:t>
      </w:r>
    </w:p>
    <w:p>
      <w:pPr>
        <w:autoSpaceDE w:val="0"/>
        <w:autoSpaceDN w:val="0"/>
        <w:adjustRightInd w:val="0"/>
        <w:spacing w:line="48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④</w:t>
      </w:r>
      <w:r>
        <w:rPr>
          <w:rFonts w:hint="eastAsia" w:ascii="仿宋_GB2312" w:hAnsi="Calibri" w:eastAsia="仿宋_GB2312" w:cs="仿宋"/>
          <w:color w:val="000000"/>
          <w:kern w:val="0"/>
          <w:sz w:val="32"/>
          <w:szCs w:val="32"/>
        </w:rPr>
        <w:t>扶贫资金（款）反映用于农村（包括国有农场、国有林场）扶贫开发等方面的支出。</w:t>
      </w:r>
    </w:p>
    <w:p>
      <w:pPr>
        <w:autoSpaceDE w:val="0"/>
        <w:autoSpaceDN w:val="0"/>
        <w:adjustRightInd w:val="0"/>
        <w:spacing w:line="48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生产发展（项）反映用于农村贫困地区发展种植业、养殖业、畜牧业、农副产品加工、林果地建设等生产发展项目以及相关技术推广和培训、县乡村干部培训、贫困地区劳务输出培训等方面的项目支出。</w:t>
      </w:r>
    </w:p>
    <w:p>
      <w:pPr>
        <w:autoSpaceDE w:val="0"/>
        <w:autoSpaceDN w:val="0"/>
        <w:adjustRightInd w:val="0"/>
        <w:spacing w:line="48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其他扶贫支出（项）反映除上述项目以外其他用于扶贫方面的支出。</w:t>
      </w:r>
    </w:p>
    <w:p>
      <w:pPr>
        <w:autoSpaceDE w:val="0"/>
        <w:autoSpaceDN w:val="0"/>
        <w:adjustRightInd w:val="0"/>
        <w:spacing w:line="48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⑤</w:t>
      </w:r>
      <w:r>
        <w:rPr>
          <w:rFonts w:hint="eastAsia" w:ascii="仿宋_GB2312" w:hAnsi="Calibri" w:eastAsia="仿宋_GB2312" w:cs="仿宋"/>
          <w:color w:val="000000"/>
          <w:kern w:val="0"/>
          <w:sz w:val="32"/>
          <w:szCs w:val="32"/>
        </w:rPr>
        <w:t>农村综合改革（款）反映有关农村综合改革方面的支出。</w:t>
      </w:r>
    </w:p>
    <w:p>
      <w:pPr>
        <w:autoSpaceDE w:val="0"/>
        <w:autoSpaceDN w:val="0"/>
        <w:adjustRightInd w:val="0"/>
        <w:spacing w:line="48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对村民委员会和村党支部的补助（项）反映各级财政对村民委员会和村党支部的补助支出，以及支持建立县级基本财力保障机制安排的村级组织运转奖补资金。</w:t>
      </w:r>
    </w:p>
    <w:p>
      <w:pPr>
        <w:autoSpaceDE w:val="0"/>
        <w:autoSpaceDN w:val="0"/>
        <w:adjustRightInd w:val="0"/>
        <w:spacing w:line="48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对村集体经济组织的补助（项）反映农村税费改革后对村集体经济组织的补助支出。</w:t>
      </w:r>
    </w:p>
    <w:p>
      <w:pPr>
        <w:autoSpaceDE w:val="0"/>
        <w:autoSpaceDN w:val="0"/>
        <w:adjustRightInd w:val="0"/>
        <w:spacing w:line="48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其他农村综合改革支出（项）</w:t>
      </w:r>
      <w:r>
        <w:rPr>
          <w:rFonts w:hint="eastAsia" w:ascii="仿宋_GB2312" w:hAnsi="Calibri" w:eastAsia="仿宋_GB2312" w:cs="仿宋"/>
          <w:color w:val="000000"/>
          <w:kern w:val="0"/>
          <w:sz w:val="32"/>
          <w:szCs w:val="32"/>
          <w:u w:val="none" w:color="46CD7E"/>
          <w:shd w:val="clear" w:fill="auto"/>
          <w:lang w:eastAsia="zh-CN"/>
        </w:rPr>
        <w:t>反映除</w:t>
      </w:r>
      <w:r>
        <w:rPr>
          <w:rFonts w:hint="eastAsia" w:ascii="仿宋_GB2312" w:hAnsi="Calibri" w:eastAsia="仿宋_GB2312" w:cs="仿宋"/>
          <w:color w:val="000000"/>
          <w:kern w:val="0"/>
          <w:sz w:val="32"/>
          <w:szCs w:val="32"/>
        </w:rPr>
        <w:t>上述项目以外其他用于农村综合改革方面的支出。</w:t>
      </w:r>
    </w:p>
    <w:p>
      <w:pPr>
        <w:autoSpaceDE w:val="0"/>
        <w:autoSpaceDN w:val="0"/>
        <w:adjustRightInd w:val="0"/>
        <w:spacing w:line="48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17、交通运输支出（类）反映政府交通运输和邮政业方面的支出。包括公路运输支出、水路运输支出、铁路运输支出、民用航空运输支出和邮政业支出等。</w:t>
      </w:r>
    </w:p>
    <w:p>
      <w:pPr>
        <w:autoSpaceDE w:val="0"/>
        <w:autoSpaceDN w:val="0"/>
        <w:adjustRightInd w:val="0"/>
        <w:spacing w:line="48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①</w:t>
      </w:r>
      <w:r>
        <w:rPr>
          <w:rFonts w:hint="eastAsia" w:ascii="仿宋_GB2312" w:hAnsi="Calibri" w:eastAsia="仿宋_GB2312" w:cs="仿宋"/>
          <w:color w:val="000000"/>
          <w:kern w:val="0"/>
          <w:sz w:val="32"/>
          <w:szCs w:val="32"/>
        </w:rPr>
        <w:t>公路水路运输（款）反映与公路、水路运输相关的支出。</w:t>
      </w:r>
    </w:p>
    <w:p>
      <w:pPr>
        <w:autoSpaceDE w:val="0"/>
        <w:autoSpaceDN w:val="0"/>
        <w:adjustRightInd w:val="0"/>
        <w:spacing w:line="48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公路运输管理（项）反映公路运输管理支出。</w:t>
      </w:r>
    </w:p>
    <w:p>
      <w:pPr>
        <w:autoSpaceDE w:val="0"/>
        <w:autoSpaceDN w:val="0"/>
        <w:adjustRightInd w:val="0"/>
        <w:spacing w:line="48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18、住房保障支出（类）集中反映政府用于</w:t>
      </w:r>
      <w:r>
        <w:rPr>
          <w:rFonts w:hint="eastAsia" w:ascii="仿宋_GB2312" w:hAnsi="Calibri" w:eastAsia="仿宋_GB2312" w:cs="仿宋"/>
          <w:color w:val="000000"/>
          <w:kern w:val="0"/>
          <w:sz w:val="32"/>
          <w:szCs w:val="32"/>
          <w:u w:val="none" w:color="46CD7E"/>
          <w:shd w:val="clear" w:fill="auto"/>
          <w:lang w:eastAsia="zh-CN"/>
        </w:rPr>
        <w:t>住房保障</w:t>
      </w:r>
      <w:r>
        <w:rPr>
          <w:rFonts w:hint="eastAsia" w:ascii="仿宋_GB2312" w:hAnsi="Calibri" w:eastAsia="仿宋_GB2312" w:cs="仿宋"/>
          <w:color w:val="000000"/>
          <w:kern w:val="0"/>
          <w:sz w:val="32"/>
          <w:szCs w:val="32"/>
        </w:rPr>
        <w:t>方面的支出。</w:t>
      </w:r>
    </w:p>
    <w:p>
      <w:pPr>
        <w:autoSpaceDE w:val="0"/>
        <w:autoSpaceDN w:val="0"/>
        <w:adjustRightInd w:val="0"/>
        <w:spacing w:line="480" w:lineRule="exact"/>
        <w:ind w:firstLine="560" w:firstLineChars="200"/>
        <w:jc w:val="left"/>
        <w:rPr>
          <w:rFonts w:ascii="仿宋_GB2312" w:hAnsi="Calibri" w:eastAsia="仿宋_GB2312" w:cs="仿宋"/>
          <w:color w:val="000000"/>
          <w:kern w:val="0"/>
          <w:sz w:val="32"/>
          <w:szCs w:val="32"/>
        </w:rPr>
      </w:pPr>
      <w:r>
        <w:rPr>
          <w:rFonts w:ascii="Calibri" w:hAnsi="Calibri" w:eastAsia="仿宋_GB2312" w:cs="Calibri"/>
          <w:color w:val="000000"/>
          <w:kern w:val="0"/>
          <w:sz w:val="28"/>
          <w:szCs w:val="28"/>
        </w:rPr>
        <w:t>①</w:t>
      </w:r>
      <w:r>
        <w:rPr>
          <w:rFonts w:hint="eastAsia" w:ascii="仿宋_GB2312" w:hAnsi="Calibri" w:eastAsia="仿宋_GB2312" w:cs="仿宋"/>
          <w:color w:val="000000"/>
          <w:kern w:val="0"/>
          <w:sz w:val="32"/>
          <w:szCs w:val="32"/>
        </w:rPr>
        <w:t>住房改革支出（款）反映行政事业单位用财政拨款资金和其他资金等安排的住房改革支出。</w:t>
      </w:r>
    </w:p>
    <w:p>
      <w:pPr>
        <w:autoSpaceDE w:val="0"/>
        <w:autoSpaceDN w:val="0"/>
        <w:adjustRightInd w:val="0"/>
        <w:spacing w:line="480" w:lineRule="exact"/>
        <w:ind w:firstLine="640" w:firstLineChars="200"/>
        <w:jc w:val="left"/>
        <w:rPr>
          <w:rFonts w:ascii="仿宋_GB2312" w:eastAsia="仿宋_GB2312"/>
          <w:color w:val="000000"/>
          <w:sz w:val="32"/>
          <w:szCs w:val="32"/>
        </w:rPr>
      </w:pPr>
      <w:r>
        <w:rPr>
          <w:rFonts w:hint="eastAsia" w:ascii="仿宋_GB2312" w:hAnsi="Calibri" w:eastAsia="仿宋_GB2312" w:cs="仿宋"/>
          <w:color w:val="000000"/>
          <w:kern w:val="0"/>
          <w:sz w:val="32"/>
          <w:szCs w:val="32"/>
        </w:rPr>
        <w:t>住房公积金（项）反映行政事业单位按人事部和财政部规定的基本工资和津贴补贴以及规定比例为职工缴纳的住房公积金。</w:t>
      </w:r>
    </w:p>
    <w:p>
      <w:pPr>
        <w:spacing w:line="4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19</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spacing w:line="4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spacing w:line="4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21</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8"/>
        <w:spacing w:line="480" w:lineRule="exact"/>
        <w:ind w:firstLine="640" w:firstLineChars="200"/>
        <w:rPr>
          <w:rFonts w:ascii="仿宋_GB2312" w:eastAsia="仿宋_GB2312"/>
          <w:sz w:val="32"/>
          <w:szCs w:val="32"/>
        </w:rPr>
      </w:pPr>
      <w:r>
        <w:rPr>
          <w:rFonts w:hint="eastAsia" w:ascii="仿宋_GB2312" w:eastAsia="仿宋_GB2312"/>
          <w:sz w:val="32"/>
          <w:szCs w:val="32"/>
        </w:rPr>
        <w:t>22</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widowControl/>
        <w:spacing w:line="580" w:lineRule="exact"/>
        <w:ind w:firstLine="640"/>
        <w:contextualSpacing/>
        <w:jc w:val="left"/>
        <w:rPr>
          <w:rFonts w:ascii="仿宋_GB2312" w:eastAsia="仿宋_GB2312"/>
          <w:sz w:val="32"/>
          <w:szCs w:val="32"/>
        </w:rPr>
      </w:pPr>
      <w:r>
        <w:rPr>
          <w:rFonts w:hint="eastAsia" w:ascii="仿宋_GB2312" w:eastAsia="仿宋_GB2312"/>
          <w:sz w:val="32"/>
          <w:szCs w:val="32"/>
        </w:rPr>
        <w:t>23</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80" w:lineRule="exact"/>
        <w:ind w:firstLine="640"/>
        <w:contextualSpacing/>
        <w:jc w:val="center"/>
        <w:rPr>
          <w:rStyle w:val="30"/>
          <w:rFonts w:ascii="黑体" w:hAnsi="黑体" w:eastAsia="黑体"/>
          <w:b w:val="0"/>
        </w:rPr>
      </w:pPr>
      <w:r>
        <w:br w:type="page"/>
      </w:r>
      <w:bookmarkStart w:id="64" w:name="_Toc25462"/>
      <w:bookmarkStart w:id="65" w:name="_Toc15396618"/>
      <w:r>
        <w:rPr>
          <w:rFonts w:hint="eastAsia" w:ascii="黑体" w:hAnsi="黑体" w:eastAsia="黑体"/>
          <w:sz w:val="44"/>
          <w:szCs w:val="44"/>
        </w:rPr>
        <w:t>第</w:t>
      </w:r>
      <w:r>
        <w:rPr>
          <w:rStyle w:val="30"/>
          <w:rFonts w:hint="eastAsia" w:ascii="黑体" w:hAnsi="黑体" w:eastAsia="黑体"/>
          <w:b w:val="0"/>
        </w:rPr>
        <w:t>四部分</w:t>
      </w:r>
      <w:r>
        <w:rPr>
          <w:rStyle w:val="30"/>
          <w:rFonts w:hint="eastAsia" w:ascii="黑体" w:hAnsi="黑体" w:eastAsia="黑体"/>
          <w:b w:val="0"/>
          <w:lang w:val="en-US" w:eastAsia="zh-CN"/>
        </w:rPr>
        <w:t xml:space="preserve"> </w:t>
      </w:r>
      <w:r>
        <w:rPr>
          <w:rStyle w:val="30"/>
          <w:rFonts w:hint="eastAsia" w:ascii="黑体" w:hAnsi="黑体" w:eastAsia="黑体"/>
          <w:b w:val="0"/>
        </w:rPr>
        <w:t>附件</w:t>
      </w:r>
      <w:bookmarkEnd w:id="64"/>
    </w:p>
    <w:p>
      <w:pPr>
        <w:widowControl/>
        <w:spacing w:line="580" w:lineRule="exact"/>
        <w:ind w:firstLine="640"/>
        <w:contextualSpacing/>
        <w:jc w:val="center"/>
        <w:rPr>
          <w:rFonts w:ascii="黑体" w:hAnsi="黑体" w:eastAsia="黑体" w:cs="黑体"/>
          <w:b/>
          <w:sz w:val="44"/>
          <w:szCs w:val="44"/>
          <w:shd w:val="clear" w:color="auto" w:fill="FFFFFF"/>
        </w:rPr>
      </w:pPr>
    </w:p>
    <w:p>
      <w:pPr>
        <w:spacing w:line="572" w:lineRule="exact"/>
        <w:jc w:val="left"/>
        <w:outlineLvl w:val="0"/>
        <w:rPr>
          <w:rFonts w:ascii="黑体" w:hAnsi="黑体" w:eastAsia="黑体" w:cs="黑体"/>
          <w:sz w:val="32"/>
          <w:szCs w:val="32"/>
        </w:rPr>
      </w:pPr>
      <w:r>
        <w:rPr>
          <w:rFonts w:hint="eastAsia" w:ascii="黑体" w:hAnsi="黑体" w:eastAsia="黑体" w:cs="黑体"/>
          <w:sz w:val="32"/>
          <w:szCs w:val="32"/>
        </w:rPr>
        <w:t>附件1</w:t>
      </w:r>
    </w:p>
    <w:p>
      <w:pPr>
        <w:spacing w:line="572" w:lineRule="exact"/>
        <w:jc w:val="center"/>
        <w:rPr>
          <w:rFonts w:ascii="方正小标宋简体" w:hAnsi="宋体" w:eastAsia="方正小标宋简体"/>
          <w:kern w:val="0"/>
          <w:sz w:val="40"/>
          <w:szCs w:val="44"/>
        </w:rPr>
      </w:pPr>
      <w:bookmarkStart w:id="66" w:name="_Toc12614"/>
      <w:r>
        <w:rPr>
          <w:rFonts w:hint="eastAsia" w:ascii="方正小标宋简体" w:hAnsi="宋体" w:eastAsia="方正小标宋简体"/>
          <w:kern w:val="0"/>
          <w:sz w:val="40"/>
          <w:szCs w:val="44"/>
        </w:rPr>
        <w:t>通江县唱歌镇人民政府</w:t>
      </w:r>
      <w:bookmarkEnd w:id="66"/>
    </w:p>
    <w:p>
      <w:pPr>
        <w:spacing w:line="572" w:lineRule="exact"/>
        <w:jc w:val="center"/>
        <w:rPr>
          <w:rFonts w:ascii="黑体" w:hAnsi="黑体" w:eastAsia="黑体" w:cs="黑体"/>
          <w:b/>
          <w:sz w:val="44"/>
          <w:szCs w:val="44"/>
          <w:shd w:val="clear" w:color="auto" w:fill="FFFFFF"/>
        </w:rPr>
      </w:pPr>
      <w:bookmarkStart w:id="67" w:name="_Toc10097"/>
      <w:r>
        <w:rPr>
          <w:rFonts w:hint="eastAsia" w:ascii="方正小标宋简体" w:hAnsi="宋体" w:eastAsia="方正小标宋简体"/>
          <w:kern w:val="0"/>
          <w:sz w:val="40"/>
          <w:szCs w:val="44"/>
        </w:rPr>
        <w:t>关于2021年整体支出绩效评价的报告</w:t>
      </w:r>
      <w:bookmarkEnd w:id="67"/>
    </w:p>
    <w:p>
      <w:pPr>
        <w:widowControl/>
        <w:spacing w:line="580" w:lineRule="exact"/>
        <w:contextualSpacing/>
        <w:rPr>
          <w:rFonts w:ascii="黑体" w:hAnsi="黑体" w:eastAsia="黑体" w:cs="黑体"/>
          <w:b/>
          <w:sz w:val="44"/>
          <w:szCs w:val="44"/>
          <w:shd w:val="clear" w:color="auto" w:fill="FFFFFF"/>
        </w:rPr>
      </w:pPr>
    </w:p>
    <w:p>
      <w:pPr>
        <w:widowControl/>
        <w:spacing w:line="580" w:lineRule="exact"/>
        <w:ind w:firstLine="640"/>
        <w:contextualSpacing/>
        <w:jc w:val="left"/>
        <w:rPr>
          <w:rFonts w:ascii="仿宋_GB2312" w:eastAsia="仿宋_GB2312"/>
          <w:sz w:val="32"/>
          <w:szCs w:val="32"/>
        </w:rPr>
      </w:pPr>
      <w:r>
        <w:rPr>
          <w:rFonts w:hint="eastAsia" w:ascii="仿宋_GB2312" w:eastAsia="仿宋_GB2312"/>
          <w:sz w:val="32"/>
          <w:szCs w:val="32"/>
        </w:rPr>
        <w:t>为进一步规范财政资金管理，运用科学合理的评价指标、评价标准和评价方法，对支出的经济性、效率性和效益性进行客观、公开的综合评价和判断，牢固树立预算绩效理念，强化支出责任，提高财政资金使用效益，我镇根据《通江县财政局关于开展2021年度预算绩效自评的通知》</w:t>
      </w:r>
      <w:r>
        <w:t>（</w:t>
      </w:r>
      <w:r>
        <w:rPr>
          <w:rFonts w:hint="eastAsia" w:ascii="仿宋_GB2312" w:eastAsia="仿宋_GB2312"/>
          <w:sz w:val="32"/>
          <w:szCs w:val="32"/>
        </w:rPr>
        <w:t>通财绩﹝2022﹞13号</w:t>
      </w:r>
      <w:r>
        <w:t>）</w:t>
      </w:r>
      <w:r>
        <w:rPr>
          <w:rFonts w:hint="eastAsia" w:ascii="仿宋_GB2312" w:eastAsia="仿宋_GB2312"/>
          <w:sz w:val="32"/>
          <w:szCs w:val="32"/>
        </w:rPr>
        <w:t>的文件要求，结合我镇实际情况，认真组织开展了2021年预算绩效自评工作，现将整体支出绩效评价情况汇报如下。</w:t>
      </w:r>
    </w:p>
    <w:p>
      <w:pPr>
        <w:widowControl/>
        <w:spacing w:line="580" w:lineRule="exact"/>
        <w:ind w:firstLine="640"/>
        <w:contextualSpacing/>
        <w:jc w:val="left"/>
        <w:rPr>
          <w:rFonts w:ascii="仿宋_GB2312" w:eastAsia="仿宋_GB2312"/>
          <w:b/>
          <w:bCs/>
          <w:sz w:val="32"/>
          <w:szCs w:val="32"/>
          <w:lang w:val="zh-CN"/>
        </w:rPr>
      </w:pPr>
      <w:bookmarkStart w:id="68" w:name="_Toc5003"/>
      <w:r>
        <w:rPr>
          <w:rFonts w:hint="eastAsia" w:ascii="仿宋_GB2312" w:eastAsia="仿宋_GB2312"/>
          <w:b/>
          <w:bCs/>
          <w:sz w:val="32"/>
          <w:szCs w:val="32"/>
        </w:rPr>
        <w:t>一、</w:t>
      </w:r>
      <w:r>
        <w:rPr>
          <w:rFonts w:hint="eastAsia" w:ascii="仿宋_GB2312" w:eastAsia="仿宋_GB2312"/>
          <w:b/>
          <w:bCs/>
          <w:sz w:val="32"/>
          <w:szCs w:val="32"/>
          <w:lang w:val="zh-CN"/>
        </w:rPr>
        <w:t>单位概况</w:t>
      </w:r>
      <w:bookmarkEnd w:id="68"/>
    </w:p>
    <w:p>
      <w:pPr>
        <w:widowControl/>
        <w:spacing w:line="580" w:lineRule="exact"/>
        <w:ind w:firstLine="640"/>
        <w:contextualSpacing/>
        <w:jc w:val="left"/>
        <w:rPr>
          <w:rFonts w:ascii="仿宋_GB2312" w:eastAsia="仿宋_GB2312"/>
          <w:sz w:val="32"/>
          <w:szCs w:val="32"/>
          <w:lang w:val="zh-CN"/>
        </w:rPr>
      </w:pPr>
      <w:r>
        <w:rPr>
          <w:rFonts w:hint="eastAsia" w:ascii="仿宋_GB2312" w:eastAsia="仿宋_GB2312"/>
          <w:b/>
          <w:bCs/>
          <w:sz w:val="32"/>
          <w:szCs w:val="32"/>
          <w:lang w:val="zh-CN"/>
        </w:rPr>
        <w:t>（一）机构组成</w:t>
      </w:r>
      <w:r>
        <w:rPr>
          <w:rFonts w:hint="eastAsia" w:ascii="仿宋_GB2312" w:eastAsia="仿宋_GB2312"/>
          <w:sz w:val="32"/>
          <w:szCs w:val="32"/>
          <w:lang w:val="zh-CN"/>
        </w:rPr>
        <w:t>。</w:t>
      </w:r>
      <w:r>
        <w:rPr>
          <w:rFonts w:hint="eastAsia" w:ascii="仿宋_GB2312" w:eastAsia="仿宋_GB2312"/>
          <w:sz w:val="32"/>
          <w:szCs w:val="32"/>
        </w:rPr>
        <w:t>唱歌镇人民政府下属单位12个，包括：党政综合办公室、党建工作办公室、经济发展和乡村振兴办公室、综合行政执法办公室、社会事务管理办公室、社会治理办公室、财政所；便民服务中心、农业综合服务中心、公共事务服务中心、农民工服务中心、村镇建设服务中心。</w:t>
      </w:r>
    </w:p>
    <w:p>
      <w:pPr>
        <w:widowControl/>
        <w:spacing w:line="580" w:lineRule="exact"/>
        <w:ind w:firstLine="640"/>
        <w:contextualSpacing/>
        <w:jc w:val="left"/>
        <w:rPr>
          <w:rFonts w:ascii="仿宋_GB2312" w:eastAsia="仿宋_GB2312"/>
          <w:sz w:val="32"/>
          <w:szCs w:val="32"/>
          <w:lang w:val="zh-CN"/>
        </w:rPr>
      </w:pPr>
      <w:r>
        <w:rPr>
          <w:rFonts w:hint="eastAsia" w:ascii="仿宋_GB2312" w:eastAsia="仿宋_GB2312"/>
          <w:b/>
          <w:bCs/>
          <w:sz w:val="32"/>
          <w:szCs w:val="32"/>
          <w:lang w:val="zh-CN"/>
        </w:rPr>
        <w:t>（二）机构职能</w:t>
      </w:r>
      <w:r>
        <w:rPr>
          <w:rFonts w:hint="eastAsia" w:ascii="仿宋_GB2312" w:eastAsia="仿宋_GB2312"/>
          <w:sz w:val="32"/>
          <w:szCs w:val="32"/>
          <w:lang w:val="zh-CN"/>
        </w:rPr>
        <w:t>。贯彻执行党和国家的路线方针政策、法律法规和上级党委政府的决定、命令</w:t>
      </w:r>
      <w:r>
        <w:t>，</w:t>
      </w:r>
      <w:r>
        <w:rPr>
          <w:rFonts w:hint="eastAsia" w:ascii="仿宋_GB2312" w:eastAsia="仿宋_GB2312"/>
          <w:sz w:val="32"/>
          <w:szCs w:val="32"/>
          <w:lang w:val="zh-CN"/>
        </w:rPr>
        <w:t>接受同级党委（党工委）的领导，执行本级人民代表大会的各项决议，并报告执行决议、决定和命令的情况。促进本地经济发展。编制区域内经济发展规划、年度计划并组织实施；指导经济结构调整和推进经济发展方式转变；因地制宜组织发展区域特色经济；营造经济发展环境，提供示范引导和政策服务；发展农村经济，加强农村经济管理工作；引导和促进新型农村专业合作经济组织发展，提高农民进入市场的组织化程度。提供区域公共服务。编制区域内各项社会事业发展规划，完善社会化服务体系；充分利用和整合农村（城镇）资源，为城乡居民提供科技、教育、体育、文化、信息、卫生、医疗、人才开发、劳动就业、社会保障、计划生育、安全生产、防灾减灾、城乡低保、社会救助、社会治安等方面的服务，管好用好国家转移到农村的各项资金；做好统计工作；加强基础设施建设和新型城乡服务体系建设，抓好农田水利、镇村道路、生态环境等各项公益事业建设；推进社会主义新农村建设。全面加强社会管理。承担区域内的财政、税收、民政、公安、司法、人民武装等管理工作；加强环境保护，努力改善人居环境，促进人与人、人与自然、人与社会的和谐发展；负责区域内的社区、社团和经济组织的管理，发挥社团、行业组织和社会中介组织的作用；推行依法行政，严格依法履行职责；推行政务公开；综合发挥人民调解、行政调解和司法调解作用，妥善处理突发性、群体性事件，及时化解辖区内各种利益矛盾和纠纷，保障人民生命财产安全，确保社会稳定；指导、支持、帮助村（居）民委员会的组织建设和服务能力建设，促进村（居）民委员会民主自治。</w:t>
      </w:r>
    </w:p>
    <w:p>
      <w:pPr>
        <w:widowControl/>
        <w:spacing w:line="580" w:lineRule="exact"/>
        <w:ind w:firstLine="640"/>
        <w:contextualSpacing/>
        <w:jc w:val="left"/>
        <w:rPr>
          <w:rFonts w:ascii="仿宋_GB2312" w:eastAsia="仿宋_GB2312"/>
          <w:sz w:val="32"/>
          <w:szCs w:val="32"/>
          <w:lang w:val="zh-CN"/>
        </w:rPr>
      </w:pPr>
      <w:r>
        <w:rPr>
          <w:rFonts w:hint="eastAsia" w:ascii="仿宋_GB2312" w:eastAsia="仿宋_GB2312"/>
          <w:b/>
          <w:bCs/>
          <w:sz w:val="32"/>
          <w:szCs w:val="32"/>
          <w:lang w:val="zh-CN"/>
        </w:rPr>
        <w:t>（三）人员概况</w:t>
      </w:r>
      <w:r>
        <w:rPr>
          <w:rFonts w:hint="eastAsia" w:ascii="仿宋_GB2312" w:eastAsia="仿宋_GB2312"/>
          <w:sz w:val="32"/>
          <w:szCs w:val="32"/>
          <w:lang w:val="zh-CN"/>
        </w:rPr>
        <w:t>。</w:t>
      </w:r>
      <w:r>
        <w:rPr>
          <w:rFonts w:hint="eastAsia" w:ascii="仿宋_GB2312" w:eastAsia="仿宋_GB2312"/>
          <w:sz w:val="32"/>
          <w:szCs w:val="32"/>
        </w:rPr>
        <w:t>职工总数62人，其中：行政人员27人，定额定项事业、工勤等人员35人。离退休人员31人，遗嘱人员10人。</w:t>
      </w:r>
    </w:p>
    <w:p>
      <w:pPr>
        <w:widowControl/>
        <w:spacing w:line="580" w:lineRule="exact"/>
        <w:ind w:firstLine="640"/>
        <w:contextualSpacing/>
        <w:jc w:val="left"/>
        <w:rPr>
          <w:rFonts w:ascii="仿宋_GB2312" w:eastAsia="仿宋_GB2312"/>
          <w:b/>
          <w:bCs/>
          <w:sz w:val="32"/>
          <w:szCs w:val="32"/>
        </w:rPr>
      </w:pPr>
      <w:bookmarkStart w:id="69" w:name="_Toc23326"/>
      <w:r>
        <w:rPr>
          <w:rFonts w:hint="eastAsia" w:ascii="仿宋_GB2312" w:eastAsia="仿宋_GB2312"/>
          <w:b/>
          <w:bCs/>
          <w:sz w:val="32"/>
          <w:szCs w:val="32"/>
        </w:rPr>
        <w:t>二、部门财政资金收支情况</w:t>
      </w:r>
      <w:bookmarkEnd w:id="69"/>
    </w:p>
    <w:p>
      <w:pPr>
        <w:widowControl/>
        <w:spacing w:line="580" w:lineRule="exact"/>
        <w:ind w:firstLine="640"/>
        <w:contextualSpacing/>
        <w:jc w:val="left"/>
        <w:rPr>
          <w:rFonts w:ascii="仿宋_GB2312" w:eastAsia="仿宋_GB2312"/>
          <w:sz w:val="32"/>
          <w:szCs w:val="32"/>
        </w:rPr>
      </w:pPr>
      <w:r>
        <w:rPr>
          <w:rFonts w:hint="eastAsia" w:ascii="仿宋_GB2312" w:eastAsia="仿宋_GB2312"/>
          <w:b/>
          <w:bCs/>
          <w:sz w:val="32"/>
          <w:szCs w:val="32"/>
          <w:lang w:val="zh-CN"/>
        </w:rPr>
        <w:t>（一）部门财政资金收入情况</w:t>
      </w:r>
      <w:r>
        <w:rPr>
          <w:rFonts w:hint="eastAsia" w:ascii="仿宋_GB2312" w:eastAsia="仿宋_GB2312"/>
          <w:sz w:val="32"/>
          <w:szCs w:val="32"/>
          <w:lang w:val="zh-CN"/>
        </w:rPr>
        <w:t>。</w:t>
      </w:r>
      <w:r>
        <w:rPr>
          <w:rFonts w:hint="eastAsia" w:ascii="仿宋_GB2312" w:eastAsia="仿宋_GB2312"/>
          <w:sz w:val="32"/>
          <w:szCs w:val="32"/>
        </w:rPr>
        <w:t>本年收入合计为3351.87万元，主要收入来源为上级财政拨款收入。</w:t>
      </w:r>
    </w:p>
    <w:p>
      <w:pPr>
        <w:widowControl/>
        <w:spacing w:line="580" w:lineRule="exact"/>
        <w:ind w:firstLine="640"/>
        <w:contextualSpacing/>
        <w:jc w:val="left"/>
        <w:rPr>
          <w:rFonts w:ascii="仿宋_GB2312" w:eastAsia="仿宋_GB2312"/>
          <w:sz w:val="32"/>
          <w:szCs w:val="32"/>
        </w:rPr>
      </w:pPr>
      <w:r>
        <w:rPr>
          <w:rFonts w:hint="eastAsia" w:ascii="仿宋_GB2312" w:eastAsia="仿宋_GB2312"/>
          <w:b/>
          <w:bCs/>
          <w:sz w:val="32"/>
          <w:szCs w:val="32"/>
          <w:lang w:val="zh-CN"/>
        </w:rPr>
        <w:t>（二）部门财政资金支出情况</w:t>
      </w:r>
      <w:r>
        <w:rPr>
          <w:rFonts w:hint="eastAsia" w:ascii="仿宋_GB2312" w:eastAsia="仿宋_GB2312"/>
          <w:sz w:val="32"/>
          <w:szCs w:val="32"/>
          <w:lang w:val="zh-CN"/>
        </w:rPr>
        <w:t>。</w:t>
      </w:r>
      <w:r>
        <w:rPr>
          <w:rFonts w:hint="eastAsia" w:ascii="仿宋_GB2312" w:eastAsia="仿宋_GB2312"/>
          <w:sz w:val="32"/>
          <w:szCs w:val="32"/>
        </w:rPr>
        <w:t>本年支出合计为3351.87万元，其中基本支出为940.89万元，项目支出为2410.98万元。</w:t>
      </w:r>
    </w:p>
    <w:p>
      <w:pPr>
        <w:widowControl/>
        <w:spacing w:line="580" w:lineRule="exact"/>
        <w:ind w:firstLine="640"/>
        <w:contextualSpacing/>
        <w:jc w:val="left"/>
        <w:rPr>
          <w:rFonts w:ascii="仿宋_GB2312" w:eastAsia="仿宋_GB2312"/>
          <w:b/>
          <w:bCs/>
          <w:sz w:val="32"/>
          <w:szCs w:val="32"/>
        </w:rPr>
      </w:pPr>
      <w:bookmarkStart w:id="70" w:name="_Toc14769"/>
      <w:r>
        <w:rPr>
          <w:rFonts w:hint="eastAsia" w:ascii="仿宋_GB2312" w:eastAsia="仿宋_GB2312"/>
          <w:b/>
          <w:bCs/>
          <w:sz w:val="32"/>
          <w:szCs w:val="32"/>
        </w:rPr>
        <w:t>三、部门整体预算绩效管理情况</w:t>
      </w:r>
      <w:bookmarkEnd w:id="70"/>
    </w:p>
    <w:p>
      <w:pPr>
        <w:widowControl/>
        <w:spacing w:line="580" w:lineRule="exact"/>
        <w:ind w:firstLine="640"/>
        <w:contextualSpacing/>
        <w:jc w:val="left"/>
        <w:rPr>
          <w:rFonts w:ascii="仿宋_GB2312" w:eastAsia="仿宋_GB2312"/>
          <w:b/>
          <w:bCs/>
          <w:sz w:val="32"/>
          <w:szCs w:val="32"/>
          <w:lang w:val="zh-CN"/>
        </w:rPr>
      </w:pPr>
      <w:r>
        <w:rPr>
          <w:rFonts w:hint="eastAsia" w:ascii="仿宋_GB2312" w:eastAsia="仿宋_GB2312"/>
          <w:b/>
          <w:bCs/>
          <w:sz w:val="32"/>
          <w:szCs w:val="32"/>
          <w:lang w:val="zh-CN"/>
        </w:rPr>
        <w:t>（一）部门预算项目绩效管理。</w:t>
      </w:r>
    </w:p>
    <w:p>
      <w:pPr>
        <w:widowControl/>
        <w:spacing w:line="580" w:lineRule="exact"/>
        <w:ind w:firstLine="640"/>
        <w:contextualSpacing/>
        <w:jc w:val="left"/>
        <w:rPr>
          <w:rFonts w:ascii="仿宋_GB2312" w:eastAsia="仿宋_GB2312"/>
          <w:sz w:val="32"/>
          <w:szCs w:val="32"/>
        </w:rPr>
      </w:pPr>
      <w:r>
        <w:rPr>
          <w:rFonts w:hint="eastAsia" w:ascii="仿宋_GB2312" w:eastAsia="仿宋_GB2312"/>
          <w:sz w:val="32"/>
          <w:szCs w:val="32"/>
        </w:rPr>
        <w:t>严格按照预算管理的相关规定和部门预算编制要求</w:t>
      </w:r>
      <w:r>
        <w:rPr>
          <w:rFonts w:ascii="仿宋_GB2312" w:eastAsia="仿宋_GB2312"/>
          <w:sz w:val="32"/>
          <w:szCs w:val="32"/>
        </w:rPr>
        <w:t>, 科学</w:t>
      </w:r>
      <w:r>
        <w:rPr>
          <w:rFonts w:hint="eastAsia" w:ascii="仿宋_GB2312" w:eastAsia="仿宋_GB2312"/>
          <w:sz w:val="32"/>
          <w:szCs w:val="32"/>
          <w:u w:val="none" w:color="46CD7E"/>
          <w:shd w:val="clear" w:fill="auto"/>
          <w:lang w:eastAsia="zh-CN"/>
        </w:rPr>
        <w:t>合理地编制了</w:t>
      </w:r>
      <w:r>
        <w:rPr>
          <w:rFonts w:ascii="仿宋_GB2312" w:eastAsia="仿宋_GB2312"/>
          <w:sz w:val="32"/>
          <w:szCs w:val="32"/>
        </w:rPr>
        <w:t>次年项目预算</w:t>
      </w:r>
      <w:r>
        <w:t>，</w:t>
      </w:r>
      <w:r>
        <w:rPr>
          <w:rFonts w:ascii="仿宋_GB2312" w:eastAsia="仿宋_GB2312"/>
          <w:sz w:val="32"/>
          <w:szCs w:val="32"/>
        </w:rPr>
        <w:t>按时完成了20</w:t>
      </w:r>
      <w:r>
        <w:rPr>
          <w:rFonts w:hint="eastAsia" w:ascii="仿宋_GB2312" w:eastAsia="仿宋_GB2312"/>
          <w:sz w:val="32"/>
          <w:szCs w:val="32"/>
        </w:rPr>
        <w:t>21</w:t>
      </w:r>
      <w:r>
        <w:rPr>
          <w:rFonts w:ascii="仿宋_GB2312" w:eastAsia="仿宋_GB2312"/>
          <w:sz w:val="32"/>
          <w:szCs w:val="32"/>
        </w:rPr>
        <w:t>年预算编制工作。20</w:t>
      </w:r>
      <w:r>
        <w:rPr>
          <w:rFonts w:hint="eastAsia" w:ascii="仿宋_GB2312" w:eastAsia="仿宋_GB2312"/>
          <w:sz w:val="32"/>
          <w:szCs w:val="32"/>
        </w:rPr>
        <w:t>21</w:t>
      </w:r>
      <w:r>
        <w:rPr>
          <w:rFonts w:ascii="仿宋_GB2312" w:eastAsia="仿宋_GB2312"/>
          <w:sz w:val="32"/>
          <w:szCs w:val="32"/>
        </w:rPr>
        <w:t>年收入预算总额为</w:t>
      </w:r>
      <w:r>
        <w:rPr>
          <w:rFonts w:hint="eastAsia" w:ascii="仿宋_GB2312" w:eastAsia="仿宋_GB2312"/>
          <w:sz w:val="32"/>
          <w:szCs w:val="32"/>
        </w:rPr>
        <w:t>3351.87</w:t>
      </w:r>
      <w:r>
        <w:rPr>
          <w:rFonts w:ascii="仿宋_GB2312" w:eastAsia="仿宋_GB2312"/>
          <w:sz w:val="32"/>
          <w:szCs w:val="32"/>
        </w:rPr>
        <w:t>万元。相应安排支出</w:t>
      </w:r>
      <w:r>
        <w:rPr>
          <w:rFonts w:hint="eastAsia" w:ascii="仿宋_GB2312" w:eastAsia="仿宋_GB2312"/>
          <w:sz w:val="32"/>
          <w:szCs w:val="32"/>
          <w:u w:val="none" w:color="46CD7E"/>
          <w:shd w:val="clear" w:fill="auto"/>
          <w:lang w:eastAsia="zh-CN"/>
        </w:rPr>
        <w:t>预算为</w:t>
      </w:r>
      <w:r>
        <w:rPr>
          <w:rFonts w:hint="eastAsia" w:ascii="仿宋_GB2312" w:eastAsia="仿宋_GB2312"/>
          <w:sz w:val="32"/>
          <w:szCs w:val="32"/>
        </w:rPr>
        <w:t>3351.87</w:t>
      </w:r>
      <w:r>
        <w:rPr>
          <w:rFonts w:ascii="仿宋_GB2312" w:eastAsia="仿宋_GB2312"/>
          <w:sz w:val="32"/>
          <w:szCs w:val="32"/>
        </w:rPr>
        <w:t>万元，其中：</w:t>
      </w:r>
      <w:r>
        <w:rPr>
          <w:rFonts w:hint="eastAsia" w:ascii="仿宋_GB2312" w:eastAsia="仿宋_GB2312"/>
          <w:sz w:val="32"/>
          <w:szCs w:val="32"/>
        </w:rPr>
        <w:t>其中基本支出为940.89万元，项目支出为2410.98万元。</w:t>
      </w:r>
    </w:p>
    <w:p>
      <w:pPr>
        <w:widowControl/>
        <w:spacing w:line="580" w:lineRule="exact"/>
        <w:ind w:firstLine="640"/>
        <w:contextualSpacing/>
        <w:jc w:val="left"/>
        <w:rPr>
          <w:rFonts w:ascii="仿宋_GB2312" w:eastAsia="仿宋_GB2312"/>
          <w:b/>
          <w:bCs/>
          <w:sz w:val="32"/>
          <w:szCs w:val="32"/>
          <w:lang w:val="zh-CN"/>
        </w:rPr>
      </w:pPr>
      <w:r>
        <w:rPr>
          <w:rFonts w:hint="eastAsia" w:ascii="仿宋_GB2312" w:eastAsia="仿宋_GB2312"/>
          <w:b/>
          <w:bCs/>
          <w:sz w:val="32"/>
          <w:szCs w:val="32"/>
          <w:lang w:val="zh-CN"/>
        </w:rPr>
        <w:t>（二）结果应用情况。</w:t>
      </w:r>
    </w:p>
    <w:p>
      <w:pPr>
        <w:widowControl/>
        <w:spacing w:line="580" w:lineRule="exact"/>
        <w:ind w:firstLine="640"/>
        <w:contextualSpacing/>
        <w:jc w:val="left"/>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严格执行财务管理制度。严格执行中央和上级有关部门出台的财经纪律相关规定，严控三公经费、会议费、培训费、差旅费等支出。严格报账程序，严把票据审核关。认真做好会计核算，做到账账相符、账实相符。强化内控建设，防范防控岗位风险</w:t>
      </w:r>
      <w:r>
        <w:t>，</w:t>
      </w:r>
      <w:r>
        <w:rPr>
          <w:rFonts w:ascii="仿宋_GB2312" w:eastAsia="仿宋_GB2312"/>
          <w:sz w:val="32"/>
          <w:szCs w:val="32"/>
        </w:rPr>
        <w:t>确保各项工作有序运转。</w:t>
      </w:r>
    </w:p>
    <w:p>
      <w:pPr>
        <w:widowControl/>
        <w:spacing w:line="580" w:lineRule="exact"/>
        <w:ind w:firstLine="640"/>
        <w:contextualSpacing/>
        <w:jc w:val="left"/>
        <w:rPr>
          <w:rFonts w:ascii="仿宋_GB2312" w:eastAsia="仿宋_GB2312"/>
          <w:sz w:val="32"/>
          <w:szCs w:val="32"/>
        </w:rPr>
      </w:pPr>
      <w:r>
        <w:rPr>
          <w:rFonts w:ascii="仿宋_GB2312" w:eastAsia="仿宋_GB2312"/>
          <w:sz w:val="32"/>
          <w:szCs w:val="32"/>
        </w:rPr>
        <w:t>2.加强政府采购管理。严格按照《</w:t>
      </w:r>
      <w:r>
        <w:rPr>
          <w:rFonts w:hint="eastAsia" w:ascii="仿宋_GB2312" w:eastAsia="仿宋_GB2312"/>
          <w:sz w:val="32"/>
          <w:szCs w:val="32"/>
        </w:rPr>
        <w:t>中华人民共和国</w:t>
      </w:r>
      <w:r>
        <w:rPr>
          <w:rFonts w:ascii="仿宋_GB2312" w:eastAsia="仿宋_GB2312"/>
          <w:sz w:val="32"/>
          <w:szCs w:val="32"/>
        </w:rPr>
        <w:t>政府采购法》和《</w:t>
      </w:r>
      <w:r>
        <w:rPr>
          <w:rFonts w:hint="eastAsia" w:ascii="仿宋_GB2312" w:eastAsia="仿宋_GB2312"/>
          <w:sz w:val="32"/>
          <w:szCs w:val="32"/>
        </w:rPr>
        <w:t>中华人民共和国</w:t>
      </w:r>
      <w:r>
        <w:rPr>
          <w:rFonts w:ascii="仿宋_GB2312" w:eastAsia="仿宋_GB2312"/>
          <w:sz w:val="32"/>
          <w:szCs w:val="32"/>
        </w:rPr>
        <w:t>政府采购法实施条例》等相关管理规定，根据采购目录和财政部门预算管理要求，编制政府采购计划，将采购项目全部纳入部门预算管理。</w:t>
      </w:r>
    </w:p>
    <w:p>
      <w:pPr>
        <w:widowControl/>
        <w:spacing w:line="580" w:lineRule="exact"/>
        <w:ind w:firstLine="640"/>
        <w:contextualSpacing/>
        <w:jc w:val="left"/>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加强政府信息公开。20</w:t>
      </w:r>
      <w:r>
        <w:rPr>
          <w:rFonts w:hint="eastAsia" w:ascii="仿宋_GB2312" w:eastAsia="仿宋_GB2312"/>
          <w:sz w:val="32"/>
          <w:szCs w:val="32"/>
        </w:rPr>
        <w:t>21</w:t>
      </w:r>
      <w:r>
        <w:rPr>
          <w:rFonts w:ascii="仿宋_GB2312" w:eastAsia="仿宋_GB2312"/>
          <w:sz w:val="32"/>
          <w:szCs w:val="32"/>
        </w:rPr>
        <w:t>年，我</w:t>
      </w:r>
      <w:r>
        <w:rPr>
          <w:rFonts w:hint="eastAsia" w:ascii="仿宋_GB2312" w:eastAsia="仿宋_GB2312"/>
          <w:sz w:val="32"/>
          <w:szCs w:val="32"/>
        </w:rPr>
        <w:t>镇</w:t>
      </w:r>
      <w:r>
        <w:rPr>
          <w:rFonts w:ascii="仿宋_GB2312" w:eastAsia="仿宋_GB2312"/>
          <w:sz w:val="32"/>
          <w:szCs w:val="32"/>
        </w:rPr>
        <w:t>全面推进政府信息公开工作的统一部署，突出重点，狠抓落实，细化公开内容，拓宽公开渠道，不断提高政府信息公开的质量和实效。</w:t>
      </w:r>
    </w:p>
    <w:p>
      <w:pPr>
        <w:widowControl/>
        <w:spacing w:line="580" w:lineRule="exact"/>
        <w:ind w:firstLine="640"/>
        <w:contextualSpacing/>
        <w:jc w:val="left"/>
        <w:rPr>
          <w:rFonts w:ascii="仿宋_GB2312" w:eastAsia="仿宋_GB2312"/>
          <w:b/>
          <w:bCs/>
          <w:sz w:val="32"/>
          <w:szCs w:val="32"/>
          <w:lang w:val="zh-CN"/>
        </w:rPr>
      </w:pPr>
      <w:r>
        <w:rPr>
          <w:rFonts w:hint="eastAsia" w:ascii="仿宋_GB2312" w:eastAsia="仿宋_GB2312"/>
          <w:b/>
          <w:bCs/>
          <w:sz w:val="32"/>
          <w:szCs w:val="32"/>
          <w:lang w:val="zh-CN"/>
        </w:rPr>
        <w:t>（</w:t>
      </w:r>
      <w:r>
        <w:rPr>
          <w:rFonts w:hint="eastAsia" w:ascii="仿宋_GB2312" w:eastAsia="仿宋_GB2312"/>
          <w:b/>
          <w:bCs/>
          <w:sz w:val="32"/>
          <w:szCs w:val="32"/>
        </w:rPr>
        <w:t>三</w:t>
      </w:r>
      <w:r>
        <w:rPr>
          <w:rFonts w:hint="eastAsia" w:ascii="仿宋_GB2312" w:eastAsia="仿宋_GB2312"/>
          <w:b/>
          <w:bCs/>
          <w:sz w:val="32"/>
          <w:szCs w:val="32"/>
          <w:lang w:val="zh-CN"/>
        </w:rPr>
        <w:t>）自评质量</w:t>
      </w:r>
    </w:p>
    <w:p>
      <w:pPr>
        <w:widowControl/>
        <w:spacing w:line="580" w:lineRule="exact"/>
        <w:ind w:firstLine="640"/>
        <w:contextualSpacing/>
        <w:jc w:val="left"/>
        <w:rPr>
          <w:rFonts w:ascii="仿宋_GB2312" w:eastAsia="仿宋_GB2312"/>
          <w:sz w:val="32"/>
          <w:szCs w:val="32"/>
        </w:rPr>
      </w:pPr>
      <w:r>
        <w:rPr>
          <w:rFonts w:hint="eastAsia" w:ascii="仿宋_GB2312" w:eastAsia="仿宋_GB2312"/>
          <w:sz w:val="32"/>
          <w:szCs w:val="32"/>
        </w:rPr>
        <w:t>严格按照财务制度，规范各项资金的开支。根据项目支出的性质、范围、用途，坚持专款专用，未发生挤占挪用截留等现象。</w:t>
      </w:r>
    </w:p>
    <w:p>
      <w:pPr>
        <w:widowControl/>
        <w:spacing w:line="580" w:lineRule="exact"/>
        <w:ind w:firstLine="640"/>
        <w:contextualSpacing/>
        <w:jc w:val="left"/>
        <w:rPr>
          <w:rFonts w:ascii="仿宋_GB2312" w:eastAsia="仿宋_GB2312"/>
          <w:sz w:val="32"/>
          <w:szCs w:val="32"/>
        </w:rPr>
      </w:pPr>
      <w:bookmarkStart w:id="71" w:name="_Toc13126"/>
      <w:r>
        <w:rPr>
          <w:rFonts w:hint="eastAsia" w:ascii="仿宋_GB2312" w:eastAsia="仿宋_GB2312"/>
          <w:b/>
          <w:bCs/>
          <w:sz w:val="32"/>
          <w:szCs w:val="32"/>
        </w:rPr>
        <w:t>四、评价结论及建议</w:t>
      </w:r>
      <w:bookmarkEnd w:id="71"/>
    </w:p>
    <w:p>
      <w:pPr>
        <w:widowControl/>
        <w:spacing w:line="580" w:lineRule="exact"/>
        <w:ind w:firstLine="640"/>
        <w:contextualSpacing/>
        <w:jc w:val="left"/>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w:t>
      </w:r>
      <w:r>
        <w:rPr>
          <w:rFonts w:ascii="仿宋_GB2312" w:eastAsia="仿宋_GB2312"/>
          <w:sz w:val="32"/>
          <w:szCs w:val="32"/>
        </w:rPr>
        <w:t>年，我</w:t>
      </w:r>
      <w:r>
        <w:rPr>
          <w:rFonts w:hint="eastAsia" w:ascii="仿宋_GB2312" w:eastAsia="仿宋_GB2312"/>
          <w:sz w:val="32"/>
          <w:szCs w:val="32"/>
        </w:rPr>
        <w:t>镇</w:t>
      </w:r>
      <w:r>
        <w:rPr>
          <w:rFonts w:ascii="仿宋_GB2312" w:eastAsia="仿宋_GB2312"/>
          <w:sz w:val="32"/>
          <w:szCs w:val="32"/>
        </w:rPr>
        <w:t>严格按照年初预算批复认真组织实施, 严格执行财经纪律相关管理规定，做到各项收支安排使用符合事业发展计划和财政政策的要求，确保了单位正常运行和重大项目的实施，较好地完成了20</w:t>
      </w:r>
      <w:r>
        <w:rPr>
          <w:rFonts w:hint="eastAsia" w:ascii="仿宋_GB2312" w:eastAsia="仿宋_GB2312"/>
          <w:sz w:val="32"/>
          <w:szCs w:val="32"/>
        </w:rPr>
        <w:t>21</w:t>
      </w:r>
      <w:r>
        <w:rPr>
          <w:rFonts w:ascii="仿宋_GB2312" w:eastAsia="仿宋_GB2312"/>
          <w:sz w:val="32"/>
          <w:szCs w:val="32"/>
        </w:rPr>
        <w:t>年部门预算编制和决算汇总工作</w:t>
      </w:r>
      <w:r>
        <w:t>，</w:t>
      </w:r>
      <w:r>
        <w:rPr>
          <w:rFonts w:ascii="仿宋_GB2312" w:eastAsia="仿宋_GB2312"/>
          <w:sz w:val="32"/>
          <w:szCs w:val="32"/>
        </w:rPr>
        <w:t xml:space="preserve"> 20</w:t>
      </w:r>
      <w:r>
        <w:rPr>
          <w:rFonts w:hint="eastAsia" w:ascii="仿宋_GB2312" w:eastAsia="仿宋_GB2312"/>
          <w:sz w:val="32"/>
          <w:szCs w:val="32"/>
        </w:rPr>
        <w:t>21</w:t>
      </w:r>
      <w:r>
        <w:rPr>
          <w:rFonts w:ascii="仿宋_GB2312" w:eastAsia="仿宋_GB2312"/>
          <w:sz w:val="32"/>
          <w:szCs w:val="32"/>
        </w:rPr>
        <w:t>年目标任务基本完成，预算执行情况较好。但仍存在预算编制不够完善</w:t>
      </w:r>
      <w:r>
        <w:t>，</w:t>
      </w:r>
      <w:r>
        <w:rPr>
          <w:rFonts w:ascii="仿宋_GB2312" w:eastAsia="仿宋_GB2312"/>
          <w:sz w:val="32"/>
          <w:szCs w:val="32"/>
        </w:rPr>
        <w:t>个别项目进度缓慢、绩效管理工作有待加强等问题。</w:t>
      </w:r>
    </w:p>
    <w:p>
      <w:pPr>
        <w:widowControl/>
        <w:spacing w:line="580" w:lineRule="exact"/>
        <w:ind w:firstLine="640"/>
        <w:contextualSpacing/>
        <w:jc w:val="left"/>
        <w:rPr>
          <w:rFonts w:ascii="仿宋_GB2312" w:eastAsia="仿宋_GB2312"/>
          <w:sz w:val="32"/>
          <w:szCs w:val="32"/>
        </w:rPr>
      </w:pPr>
      <w:r>
        <w:rPr>
          <w:rFonts w:ascii="仿宋_GB2312" w:eastAsia="仿宋_GB2312"/>
          <w:sz w:val="32"/>
          <w:szCs w:val="32"/>
        </w:rPr>
        <w:t>在今后的工作中</w:t>
      </w:r>
      <w:r>
        <w:t>，</w:t>
      </w:r>
      <w:r>
        <w:rPr>
          <w:rFonts w:ascii="仿宋_GB2312" w:eastAsia="仿宋_GB2312"/>
          <w:sz w:val="32"/>
          <w:szCs w:val="32"/>
        </w:rPr>
        <w:t>我</w:t>
      </w:r>
      <w:r>
        <w:rPr>
          <w:rFonts w:hint="eastAsia" w:ascii="仿宋_GB2312" w:eastAsia="仿宋_GB2312"/>
          <w:sz w:val="32"/>
          <w:szCs w:val="32"/>
        </w:rPr>
        <w:t>镇</w:t>
      </w:r>
      <w:r>
        <w:rPr>
          <w:rFonts w:ascii="仿宋_GB2312" w:eastAsia="仿宋_GB2312"/>
          <w:sz w:val="32"/>
          <w:szCs w:val="32"/>
        </w:rPr>
        <w:t>将严格按照新《</w:t>
      </w:r>
      <w:r>
        <w:rPr>
          <w:rFonts w:hint="eastAsia" w:ascii="仿宋_GB2312" w:eastAsia="仿宋_GB2312"/>
          <w:sz w:val="32"/>
          <w:szCs w:val="32"/>
        </w:rPr>
        <w:t>中华人民共和国</w:t>
      </w:r>
      <w:r>
        <w:rPr>
          <w:rFonts w:ascii="仿宋_GB2312" w:eastAsia="仿宋_GB2312"/>
          <w:sz w:val="32"/>
          <w:szCs w:val="32"/>
        </w:rPr>
        <w:t>预算法》的要求，加强预算编制的科学性、合理性</w:t>
      </w:r>
      <w:r>
        <w:t>，</w:t>
      </w:r>
      <w:r>
        <w:rPr>
          <w:rFonts w:ascii="仿宋_GB2312" w:eastAsia="仿宋_GB2312"/>
          <w:sz w:val="32"/>
          <w:szCs w:val="32"/>
        </w:rPr>
        <w:t>让预算编制</w:t>
      </w:r>
      <w:r>
        <w:rPr>
          <w:rFonts w:hint="eastAsia" w:ascii="仿宋_GB2312" w:eastAsia="仿宋_GB2312"/>
          <w:sz w:val="32"/>
          <w:szCs w:val="32"/>
          <w:lang w:eastAsia="zh-CN"/>
        </w:rPr>
        <w:t>更加</w:t>
      </w:r>
      <w:r>
        <w:rPr>
          <w:rFonts w:ascii="仿宋_GB2312" w:eastAsia="仿宋_GB2312"/>
          <w:sz w:val="32"/>
          <w:szCs w:val="32"/>
        </w:rPr>
        <w:t>贴合实际，使项目预算与工作结合更加紧密。严格按照批复预算执行，并按照项目开展进度有计划</w:t>
      </w:r>
      <w:r>
        <w:rPr>
          <w:rFonts w:hint="eastAsia" w:ascii="仿宋_GB2312" w:eastAsia="仿宋_GB2312"/>
          <w:sz w:val="32"/>
          <w:szCs w:val="32"/>
        </w:rPr>
        <w:t>地</w:t>
      </w:r>
      <w:r>
        <w:rPr>
          <w:rFonts w:ascii="仿宋_GB2312" w:eastAsia="仿宋_GB2312"/>
          <w:sz w:val="32"/>
          <w:szCs w:val="32"/>
        </w:rPr>
        <w:t>申请资金</w:t>
      </w:r>
      <w:r>
        <w:rPr>
          <w:rFonts w:hint="eastAsia" w:ascii="仿宋_GB2312" w:eastAsia="仿宋_GB2312"/>
          <w:sz w:val="32"/>
          <w:szCs w:val="32"/>
        </w:rPr>
        <w:t>并</w:t>
      </w:r>
      <w:r>
        <w:rPr>
          <w:rFonts w:ascii="仿宋_GB2312" w:eastAsia="仿宋_GB2312"/>
          <w:sz w:val="32"/>
          <w:szCs w:val="32"/>
        </w:rPr>
        <w:t>及时支付。加强预算绩效管理，增强预算约束力，做好预算项目支出绩效目标及各项绩效指标的细化、量化工作</w:t>
      </w:r>
      <w:r>
        <w:t>，</w:t>
      </w:r>
      <w:r>
        <w:rPr>
          <w:rFonts w:ascii="仿宋_GB2312" w:eastAsia="仿宋_GB2312"/>
          <w:sz w:val="32"/>
          <w:szCs w:val="32"/>
        </w:rPr>
        <w:t>用好用活各类财政资金，提高财政资金的使用效益。</w:t>
      </w:r>
    </w:p>
    <w:p>
      <w:pPr>
        <w:widowControl/>
        <w:spacing w:line="580" w:lineRule="exact"/>
        <w:contextualSpacing/>
        <w:rPr>
          <w:rFonts w:eastAsia="仿宋_GB2312"/>
        </w:rPr>
      </w:pPr>
      <w:r>
        <w:rPr>
          <w:rFonts w:hint="eastAsia" w:hAnsi="宋体" w:cs="宋体"/>
          <w:kern w:val="0"/>
          <w:sz w:val="32"/>
          <w:szCs w:val="32"/>
          <w:shd w:val="clear" w:color="auto" w:fill="FFFFFF"/>
          <w:lang w:val="zh-CN"/>
        </w:rPr>
        <w:t>附件</w:t>
      </w:r>
      <w:r>
        <w:rPr>
          <w:rFonts w:hint="eastAsia" w:hAnsi="宋体" w:cs="宋体"/>
          <w:kern w:val="0"/>
          <w:sz w:val="32"/>
          <w:szCs w:val="32"/>
          <w:shd w:val="clear" w:color="auto" w:fill="FFFFFF"/>
        </w:rPr>
        <w:t>2</w:t>
      </w:r>
    </w:p>
    <w:p>
      <w:pPr>
        <w:spacing w:line="572" w:lineRule="exact"/>
        <w:jc w:val="center"/>
        <w:rPr>
          <w:rFonts w:ascii="方正小标宋简体" w:hAnsi="宋体" w:eastAsia="方正小标宋简体"/>
          <w:kern w:val="0"/>
          <w:sz w:val="40"/>
          <w:szCs w:val="44"/>
        </w:rPr>
      </w:pPr>
      <w:bookmarkStart w:id="72" w:name="_Toc9999"/>
      <w:r>
        <w:rPr>
          <w:rFonts w:hint="eastAsia" w:ascii="方正小标宋简体" w:hAnsi="宋体" w:eastAsia="方正小标宋简体"/>
          <w:kern w:val="0"/>
          <w:sz w:val="40"/>
          <w:szCs w:val="44"/>
        </w:rPr>
        <w:t>通江县唱歌镇人民政府</w:t>
      </w:r>
      <w:bookmarkEnd w:id="72"/>
    </w:p>
    <w:p>
      <w:pPr>
        <w:spacing w:line="572" w:lineRule="exact"/>
        <w:jc w:val="center"/>
        <w:rPr>
          <w:rFonts w:ascii="宋体" w:hAnsi="宋体" w:cs="宋体"/>
          <w:color w:val="333333"/>
          <w:sz w:val="44"/>
          <w:szCs w:val="44"/>
        </w:rPr>
      </w:pPr>
      <w:bookmarkStart w:id="73" w:name="_Toc2251"/>
      <w:r>
        <w:rPr>
          <w:rFonts w:hint="eastAsia" w:ascii="方正小标宋简体" w:hAnsi="宋体" w:eastAsia="方正小标宋简体"/>
          <w:kern w:val="0"/>
          <w:sz w:val="40"/>
          <w:szCs w:val="44"/>
        </w:rPr>
        <w:t>2021年农村危房改造绩效目标自评报告</w:t>
      </w:r>
      <w:bookmarkEnd w:id="73"/>
    </w:p>
    <w:p>
      <w:pPr>
        <w:spacing w:line="576" w:lineRule="exact"/>
        <w:rPr>
          <w:rFonts w:ascii="仿宋" w:hAnsi="仿宋" w:eastAsia="仿宋" w:cs="仿宋"/>
          <w:color w:val="333333"/>
          <w:sz w:val="32"/>
          <w:szCs w:val="32"/>
        </w:rPr>
      </w:pPr>
    </w:p>
    <w:p>
      <w:pPr>
        <w:spacing w:line="576" w:lineRule="exact"/>
        <w:ind w:firstLine="640" w:firstLineChars="200"/>
        <w:rPr>
          <w:rFonts w:ascii="仿宋" w:hAnsi="仿宋" w:eastAsia="仿宋" w:cs="仿宋"/>
          <w:color w:val="333333"/>
          <w:sz w:val="32"/>
          <w:szCs w:val="32"/>
        </w:rPr>
      </w:pPr>
      <w:r>
        <w:rPr>
          <w:rFonts w:hint="eastAsia" w:ascii="仿宋" w:hAnsi="仿宋" w:eastAsia="仿宋" w:cs="仿宋"/>
          <w:color w:val="262626"/>
          <w:sz w:val="32"/>
          <w:szCs w:val="32"/>
        </w:rPr>
        <w:t>唱歌镇根据《</w:t>
      </w:r>
      <w:r>
        <w:rPr>
          <w:rFonts w:hint="eastAsia" w:ascii="仿宋_GB2312" w:hAnsi="仿宋_GB2312" w:eastAsia="仿宋_GB2312" w:cs="仿宋_GB2312"/>
          <w:sz w:val="32"/>
          <w:szCs w:val="32"/>
        </w:rPr>
        <w:t>通江县财政局关于开展2021年度预算绩效自评的通知</w:t>
      </w:r>
      <w:r>
        <w:rPr>
          <w:rFonts w:hint="eastAsia" w:ascii="仿宋" w:hAnsi="仿宋" w:eastAsia="仿宋" w:cs="仿宋"/>
          <w:color w:val="262626"/>
          <w:sz w:val="32"/>
          <w:szCs w:val="32"/>
        </w:rPr>
        <w:t>》</w:t>
      </w:r>
      <w:r>
        <w:t>（</w:t>
      </w:r>
      <w:r>
        <w:rPr>
          <w:rFonts w:hint="eastAsia" w:ascii="仿宋_GB2312" w:hAnsi="仿宋_GB2312" w:eastAsia="仿宋_GB2312" w:cs="仿宋_GB2312"/>
          <w:sz w:val="32"/>
          <w:szCs w:val="32"/>
        </w:rPr>
        <w:t>通财绩﹝2022﹞13号</w:t>
      </w:r>
      <w:r>
        <w:t>）</w:t>
      </w:r>
      <w:r>
        <w:rPr>
          <w:rFonts w:hint="eastAsia" w:ascii="仿宋" w:hAnsi="仿宋" w:eastAsia="仿宋" w:cs="仿宋"/>
          <w:color w:val="262626"/>
          <w:sz w:val="32"/>
          <w:szCs w:val="32"/>
        </w:rPr>
        <w:t>文件精神，对2021年度农村危房改造资金绩效进行了全面综合评价。现将具体情况报告如下：</w:t>
      </w:r>
    </w:p>
    <w:p>
      <w:pPr>
        <w:spacing w:line="576" w:lineRule="exact"/>
        <w:ind w:firstLine="640" w:firstLineChars="200"/>
        <w:rPr>
          <w:rFonts w:ascii="黑体" w:hAnsi="黑体" w:eastAsia="黑体" w:cs="黑体"/>
          <w:color w:val="333333"/>
          <w:sz w:val="32"/>
          <w:szCs w:val="32"/>
        </w:rPr>
      </w:pPr>
      <w:bookmarkStart w:id="74" w:name="_Toc20543"/>
      <w:r>
        <w:rPr>
          <w:rFonts w:hint="eastAsia" w:ascii="黑体" w:hAnsi="黑体" w:eastAsia="黑体" w:cs="黑体"/>
          <w:color w:val="333333"/>
          <w:sz w:val="32"/>
          <w:szCs w:val="32"/>
        </w:rPr>
        <w:t>一、基本情况</w:t>
      </w:r>
      <w:bookmarkEnd w:id="74"/>
    </w:p>
    <w:p>
      <w:pPr>
        <w:widowControl/>
        <w:adjustRightInd w:val="0"/>
        <w:snapToGrid w:val="0"/>
        <w:spacing w:line="580" w:lineRule="exact"/>
        <w:ind w:firstLine="643" w:firstLineChars="200"/>
        <w:contextualSpacing/>
        <w:jc w:val="left"/>
        <w:rPr>
          <w:rFonts w:ascii="仿宋" w:hAnsi="仿宋" w:eastAsia="仿宋" w:cs="仿宋"/>
          <w:sz w:val="32"/>
          <w:szCs w:val="32"/>
        </w:rPr>
      </w:pPr>
      <w:r>
        <w:rPr>
          <w:rFonts w:hint="eastAsia" w:ascii="楷体_GB2312" w:hAnsi="楷体_GB2312" w:eastAsia="楷体_GB2312" w:cs="楷体_GB2312"/>
          <w:b/>
          <w:bCs/>
          <w:color w:val="333333"/>
          <w:sz w:val="32"/>
          <w:szCs w:val="32"/>
        </w:rPr>
        <w:t>（一）单位基本情况。</w:t>
      </w:r>
      <w:r>
        <w:rPr>
          <w:rFonts w:hint="eastAsia" w:ascii="仿宋_GB2312" w:hAnsi="仿宋_GB2312" w:eastAsia="仿宋_GB2312" w:cs="仿宋_GB2312"/>
          <w:kern w:val="0"/>
          <w:sz w:val="32"/>
          <w:szCs w:val="32"/>
        </w:rPr>
        <w:t>唱歌镇辖11个村，58个村民小组，现有人口17525人，耕地面积为14596亩，农民人均纯收入为</w:t>
      </w:r>
      <w:r>
        <w:rPr>
          <w:rFonts w:hint="eastAsia" w:ascii="仿宋_GB2312" w:hAnsi="仿宋_GB2312" w:cs="仿宋_GB2312"/>
          <w:kern w:val="0"/>
          <w:sz w:val="32"/>
          <w:szCs w:val="32"/>
        </w:rPr>
        <w:t>50</w:t>
      </w:r>
      <w:r>
        <w:rPr>
          <w:rFonts w:hint="eastAsia" w:ascii="仿宋_GB2312" w:hAnsi="仿宋_GB2312" w:eastAsia="仿宋_GB2312" w:cs="仿宋_GB2312"/>
          <w:kern w:val="0"/>
          <w:sz w:val="32"/>
          <w:szCs w:val="32"/>
        </w:rPr>
        <w:t>00元。现有</w:t>
      </w:r>
      <w:r>
        <w:rPr>
          <w:rFonts w:hint="eastAsia" w:ascii="仿宋_GB2312" w:hAnsi="仿宋_GB2312" w:eastAsia="仿宋_GB2312" w:cs="仿宋_GB2312"/>
          <w:sz w:val="32"/>
          <w:szCs w:val="32"/>
        </w:rPr>
        <w:t>职工总数62人，其中：行政人员27人，定额定项事业、工勤等人员35人</w:t>
      </w:r>
      <w:r>
        <w:rPr>
          <w:rFonts w:hint="eastAsia" w:ascii="仿宋_GB2312" w:hAnsi="仿宋_GB2312" w:cs="仿宋_GB2312"/>
          <w:sz w:val="32"/>
          <w:szCs w:val="32"/>
        </w:rPr>
        <w:t>。</w:t>
      </w:r>
      <w:r>
        <w:rPr>
          <w:rFonts w:hint="eastAsia" w:ascii="仿宋_GB2312" w:hAnsi="仿宋_GB2312" w:eastAsia="仿宋_GB2312" w:cs="仿宋_GB2312"/>
          <w:sz w:val="32"/>
          <w:szCs w:val="32"/>
        </w:rPr>
        <w:t>离退休人员31人，遗嘱人员10人。</w:t>
      </w:r>
    </w:p>
    <w:p>
      <w:pPr>
        <w:spacing w:line="576" w:lineRule="exact"/>
        <w:ind w:firstLine="643" w:firstLineChars="200"/>
        <w:rPr>
          <w:rFonts w:ascii="仿宋" w:hAnsi="仿宋" w:eastAsia="仿宋" w:cs="仿宋"/>
          <w:sz w:val="32"/>
          <w:szCs w:val="32"/>
        </w:rPr>
      </w:pPr>
      <w:r>
        <w:rPr>
          <w:rFonts w:hint="eastAsia" w:ascii="楷体_GB2312" w:hAnsi="楷体_GB2312" w:eastAsia="楷体_GB2312" w:cs="楷体_GB2312"/>
          <w:b/>
          <w:bCs/>
          <w:sz w:val="32"/>
          <w:szCs w:val="32"/>
        </w:rPr>
        <w:t>（二）绩效概况。</w:t>
      </w:r>
      <w:r>
        <w:rPr>
          <w:rFonts w:hint="eastAsia" w:ascii="仿宋" w:hAnsi="仿宋" w:eastAsia="仿宋" w:cs="仿宋"/>
          <w:sz w:val="32"/>
          <w:szCs w:val="32"/>
        </w:rPr>
        <w:t>通江县财政局2021年下达我镇农村危房改造资金566.45万元。项目实施后，不仅改善了我镇各村住房条件与住房环境，同时有效保障了我镇基层村民组织的有序开展，为下一步乡村振兴任务提供了秩序保障和人力资源。</w:t>
      </w:r>
    </w:p>
    <w:p>
      <w:pPr>
        <w:spacing w:line="576" w:lineRule="exact"/>
        <w:ind w:firstLine="640" w:firstLineChars="200"/>
        <w:rPr>
          <w:rFonts w:ascii="黑体" w:hAnsi="黑体" w:eastAsia="黑体" w:cs="黑体"/>
          <w:sz w:val="32"/>
          <w:szCs w:val="32"/>
        </w:rPr>
      </w:pPr>
      <w:bookmarkStart w:id="75" w:name="_Toc2075"/>
      <w:r>
        <w:rPr>
          <w:rFonts w:hint="eastAsia" w:ascii="黑体" w:hAnsi="黑体" w:eastAsia="黑体" w:cs="黑体"/>
          <w:sz w:val="32"/>
          <w:szCs w:val="32"/>
        </w:rPr>
        <w:t>二、资金使用情况</w:t>
      </w:r>
      <w:bookmarkEnd w:id="75"/>
    </w:p>
    <w:p>
      <w:pPr>
        <w:spacing w:line="576" w:lineRule="exact"/>
        <w:ind w:firstLine="640"/>
        <w:rPr>
          <w:rFonts w:ascii="仿宋" w:hAnsi="仿宋" w:eastAsia="仿宋" w:cs="仿宋"/>
          <w:sz w:val="32"/>
          <w:szCs w:val="32"/>
        </w:rPr>
      </w:pPr>
      <w:r>
        <w:rPr>
          <w:rFonts w:hint="eastAsia" w:ascii="仿宋" w:hAnsi="仿宋" w:eastAsia="仿宋" w:cs="仿宋"/>
          <w:sz w:val="32"/>
          <w:szCs w:val="32"/>
        </w:rPr>
        <w:t>（一）资金使用。截至评价时点，我镇的农村危房改造预算566.45万元已全部支付。支付范围及依据合规合法，资金支付与预算相符。</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lang w:val="zh-CN"/>
        </w:rPr>
        <w:t>（二）组织实施情况。实行</w:t>
      </w:r>
      <w:r>
        <w:rPr>
          <w:rFonts w:hint="eastAsia" w:ascii="仿宋" w:hAnsi="仿宋" w:eastAsia="仿宋" w:cs="仿宋"/>
          <w:sz w:val="32"/>
          <w:szCs w:val="32"/>
        </w:rPr>
        <w:t>镇</w:t>
      </w:r>
      <w:r>
        <w:rPr>
          <w:rFonts w:hint="eastAsia" w:ascii="仿宋" w:hAnsi="仿宋" w:eastAsia="仿宋" w:cs="仿宋"/>
          <w:sz w:val="32"/>
          <w:szCs w:val="32"/>
          <w:lang w:val="zh-CN"/>
        </w:rPr>
        <w:t>长负责制，并制定了财务管理制度，设置了岗位目标责任制，严格考勤制度，形成了一整套管理制度并将所有的制度都张贴上墙</w:t>
      </w:r>
    </w:p>
    <w:p>
      <w:pPr>
        <w:widowControl/>
        <w:spacing w:line="576" w:lineRule="exact"/>
        <w:ind w:firstLine="640" w:firstLineChars="200"/>
        <w:jc w:val="left"/>
      </w:pPr>
      <w:bookmarkStart w:id="76" w:name="_Toc31049"/>
      <w:r>
        <w:rPr>
          <w:rFonts w:hint="eastAsia" w:ascii="黑体" w:hAnsi="黑体" w:eastAsia="黑体" w:cs="黑体"/>
          <w:color w:val="333333"/>
          <w:sz w:val="32"/>
          <w:szCs w:val="32"/>
        </w:rPr>
        <w:t>三、目标完成情况</w:t>
      </w:r>
      <w:bookmarkEnd w:id="76"/>
    </w:p>
    <w:p>
      <w:pPr>
        <w:spacing w:line="576" w:lineRule="exact"/>
        <w:ind w:firstLine="640"/>
        <w:rPr>
          <w:rFonts w:ascii="仿宋" w:hAnsi="仿宋" w:eastAsia="仿宋" w:cs="仿宋"/>
          <w:color w:val="262626"/>
          <w:sz w:val="32"/>
          <w:szCs w:val="32"/>
          <w:lang w:val="zh-CN"/>
        </w:rPr>
      </w:pPr>
      <w:r>
        <w:rPr>
          <w:rFonts w:hint="eastAsia" w:ascii="仿宋" w:hAnsi="仿宋" w:eastAsia="仿宋" w:cs="仿宋"/>
          <w:b/>
          <w:bCs/>
          <w:color w:val="262626"/>
          <w:sz w:val="32"/>
          <w:szCs w:val="32"/>
          <w:lang w:val="zh-CN"/>
        </w:rPr>
        <w:t>（一）目标任务量完成情况</w:t>
      </w:r>
      <w:r>
        <w:rPr>
          <w:rFonts w:hint="eastAsia" w:ascii="仿宋" w:hAnsi="仿宋" w:eastAsia="仿宋" w:cs="仿宋"/>
          <w:color w:val="262626"/>
          <w:sz w:val="32"/>
          <w:szCs w:val="32"/>
          <w:lang w:val="zh-CN"/>
        </w:rPr>
        <w:t>。</w:t>
      </w:r>
    </w:p>
    <w:p>
      <w:pPr>
        <w:spacing w:line="576" w:lineRule="exact"/>
        <w:ind w:firstLine="640"/>
        <w:rPr>
          <w:rFonts w:ascii="仿宋" w:hAnsi="仿宋" w:eastAsia="仿宋" w:cs="仿宋"/>
          <w:color w:val="262626"/>
          <w:sz w:val="32"/>
          <w:szCs w:val="32"/>
          <w:lang w:val="zh-CN"/>
        </w:rPr>
      </w:pPr>
      <w:r>
        <w:rPr>
          <w:rFonts w:hint="eastAsia" w:ascii="仿宋" w:hAnsi="仿宋" w:eastAsia="仿宋" w:cs="仿宋"/>
          <w:color w:val="262626"/>
          <w:sz w:val="32"/>
          <w:szCs w:val="32"/>
          <w:lang w:val="zh-CN"/>
        </w:rPr>
        <w:t>农村危房改</w:t>
      </w:r>
      <w:r>
        <w:rPr>
          <w:rFonts w:hint="eastAsia" w:ascii="仿宋" w:hAnsi="仿宋" w:eastAsia="仿宋" w:cs="仿宋"/>
          <w:color w:val="262626"/>
          <w:sz w:val="32"/>
          <w:szCs w:val="32"/>
        </w:rPr>
        <w:t>造</w:t>
      </w:r>
      <w:r>
        <w:rPr>
          <w:rFonts w:hint="eastAsia" w:ascii="仿宋" w:hAnsi="仿宋" w:eastAsia="仿宋" w:cs="仿宋"/>
          <w:color w:val="262626"/>
          <w:sz w:val="32"/>
          <w:szCs w:val="32"/>
          <w:lang w:val="zh-CN"/>
        </w:rPr>
        <w:t>项目</w:t>
      </w:r>
      <w:r>
        <w:rPr>
          <w:rFonts w:hint="eastAsia" w:ascii="仿宋" w:hAnsi="仿宋" w:eastAsia="仿宋" w:cs="仿宋"/>
          <w:color w:val="262626"/>
          <w:sz w:val="32"/>
          <w:szCs w:val="32"/>
        </w:rPr>
        <w:t>已严格按照要求应改尽改</w:t>
      </w:r>
      <w:r>
        <w:rPr>
          <w:rFonts w:hint="eastAsia" w:ascii="仿宋" w:hAnsi="仿宋" w:eastAsia="仿宋" w:cs="仿宋"/>
          <w:color w:val="262626"/>
          <w:sz w:val="32"/>
          <w:szCs w:val="32"/>
          <w:lang w:val="zh-CN"/>
        </w:rPr>
        <w:t>，</w:t>
      </w:r>
      <w:r>
        <w:rPr>
          <w:rFonts w:hint="eastAsia" w:ascii="仿宋" w:hAnsi="仿宋" w:eastAsia="仿宋" w:cs="仿宋"/>
          <w:color w:val="262626"/>
          <w:sz w:val="32"/>
          <w:szCs w:val="32"/>
        </w:rPr>
        <w:t>完成既定计划投资</w:t>
      </w:r>
      <w:r>
        <w:rPr>
          <w:rFonts w:hint="eastAsia" w:ascii="仿宋" w:hAnsi="仿宋" w:eastAsia="仿宋" w:cs="仿宋"/>
          <w:color w:val="262626"/>
          <w:sz w:val="32"/>
          <w:szCs w:val="32"/>
          <w:lang w:val="zh-CN"/>
        </w:rPr>
        <w:t>。</w:t>
      </w:r>
    </w:p>
    <w:p>
      <w:pPr>
        <w:spacing w:line="576" w:lineRule="exact"/>
        <w:ind w:firstLine="640"/>
        <w:rPr>
          <w:rFonts w:ascii="仿宋" w:hAnsi="仿宋" w:eastAsia="仿宋" w:cs="仿宋"/>
          <w:color w:val="262626"/>
          <w:sz w:val="32"/>
          <w:szCs w:val="32"/>
          <w:lang w:val="zh-CN"/>
        </w:rPr>
      </w:pPr>
      <w:r>
        <w:rPr>
          <w:rFonts w:hint="eastAsia" w:ascii="仿宋" w:hAnsi="仿宋" w:eastAsia="仿宋" w:cs="仿宋"/>
          <w:b/>
          <w:bCs/>
          <w:color w:val="262626"/>
          <w:sz w:val="32"/>
          <w:szCs w:val="32"/>
          <w:lang w:val="zh-CN"/>
        </w:rPr>
        <w:t>（二）目标质量完成情况</w:t>
      </w:r>
      <w:r>
        <w:rPr>
          <w:rFonts w:hint="eastAsia" w:ascii="仿宋" w:hAnsi="仿宋" w:eastAsia="仿宋" w:cs="仿宋"/>
          <w:color w:val="262626"/>
          <w:sz w:val="32"/>
          <w:szCs w:val="32"/>
          <w:lang w:val="zh-CN"/>
        </w:rPr>
        <w:t>。</w:t>
      </w:r>
    </w:p>
    <w:p>
      <w:pPr>
        <w:spacing w:line="576" w:lineRule="exact"/>
        <w:ind w:firstLine="640"/>
        <w:rPr>
          <w:rFonts w:ascii="仿宋" w:hAnsi="仿宋" w:eastAsia="仿宋" w:cs="仿宋"/>
          <w:color w:val="262626"/>
          <w:sz w:val="32"/>
          <w:szCs w:val="32"/>
          <w:lang w:val="zh-CN"/>
        </w:rPr>
      </w:pPr>
      <w:r>
        <w:rPr>
          <w:rFonts w:hint="eastAsia" w:ascii="仿宋" w:hAnsi="仿宋" w:eastAsia="仿宋" w:cs="仿宋"/>
          <w:color w:val="262626"/>
          <w:sz w:val="32"/>
          <w:szCs w:val="32"/>
        </w:rPr>
        <w:t>农村危房改造项目</w:t>
      </w:r>
      <w:r>
        <w:rPr>
          <w:rFonts w:hint="eastAsia" w:ascii="仿宋" w:hAnsi="仿宋" w:eastAsia="仿宋" w:cs="仿宋"/>
          <w:color w:val="262626"/>
          <w:sz w:val="32"/>
          <w:szCs w:val="32"/>
          <w:lang w:val="zh-CN"/>
        </w:rPr>
        <w:t>对照项目计划目标，全部高质量完成。</w:t>
      </w:r>
    </w:p>
    <w:p>
      <w:pPr>
        <w:spacing w:line="576" w:lineRule="exact"/>
        <w:ind w:firstLine="640"/>
        <w:rPr>
          <w:rFonts w:ascii="仿宋" w:hAnsi="仿宋" w:eastAsia="仿宋" w:cs="仿宋"/>
          <w:color w:val="262626"/>
          <w:sz w:val="32"/>
          <w:szCs w:val="32"/>
          <w:lang w:val="zh-CN"/>
        </w:rPr>
      </w:pPr>
      <w:r>
        <w:rPr>
          <w:rFonts w:hint="eastAsia" w:ascii="仿宋" w:hAnsi="仿宋" w:eastAsia="仿宋" w:cs="仿宋"/>
          <w:b/>
          <w:bCs/>
          <w:color w:val="262626"/>
          <w:sz w:val="32"/>
          <w:szCs w:val="32"/>
          <w:lang w:val="zh-CN"/>
        </w:rPr>
        <w:t>（三）目标进度完成情况</w:t>
      </w:r>
      <w:r>
        <w:rPr>
          <w:rFonts w:hint="eastAsia" w:ascii="仿宋" w:hAnsi="仿宋" w:eastAsia="仿宋" w:cs="仿宋"/>
          <w:color w:val="262626"/>
          <w:sz w:val="32"/>
          <w:szCs w:val="32"/>
          <w:lang w:val="zh-CN"/>
        </w:rPr>
        <w:t>。</w:t>
      </w:r>
    </w:p>
    <w:p>
      <w:pPr>
        <w:spacing w:line="576" w:lineRule="exact"/>
        <w:ind w:firstLine="640"/>
        <w:rPr>
          <w:rFonts w:ascii="仿宋" w:hAnsi="仿宋" w:eastAsia="仿宋" w:cs="仿宋"/>
          <w:color w:val="262626"/>
          <w:sz w:val="32"/>
          <w:szCs w:val="32"/>
          <w:lang w:val="zh-CN"/>
        </w:rPr>
      </w:pPr>
      <w:r>
        <w:rPr>
          <w:rFonts w:hint="eastAsia" w:ascii="仿宋" w:hAnsi="仿宋" w:eastAsia="仿宋" w:cs="仿宋"/>
          <w:color w:val="262626"/>
          <w:sz w:val="32"/>
          <w:szCs w:val="32"/>
          <w:lang w:val="zh-CN"/>
        </w:rPr>
        <w:t>此项目对照预定进度计划已按期完成。</w:t>
      </w:r>
    </w:p>
    <w:p>
      <w:pPr>
        <w:widowControl/>
        <w:numPr>
          <w:ilvl w:val="0"/>
          <w:numId w:val="7"/>
        </w:numPr>
        <w:spacing w:line="576" w:lineRule="exact"/>
        <w:ind w:firstLine="640" w:firstLineChars="200"/>
        <w:jc w:val="left"/>
        <w:rPr>
          <w:rFonts w:ascii="黑体" w:hAnsi="黑体" w:eastAsia="黑体" w:cs="黑体"/>
          <w:color w:val="333333"/>
          <w:sz w:val="32"/>
          <w:szCs w:val="32"/>
        </w:rPr>
      </w:pPr>
      <w:bookmarkStart w:id="77" w:name="_Toc20779"/>
      <w:r>
        <w:rPr>
          <w:rFonts w:hint="eastAsia" w:ascii="黑体" w:hAnsi="黑体" w:eastAsia="黑体" w:cs="黑体"/>
          <w:color w:val="333333"/>
          <w:sz w:val="32"/>
          <w:szCs w:val="32"/>
        </w:rPr>
        <w:t>项目效益情况</w:t>
      </w:r>
      <w:bookmarkEnd w:id="77"/>
    </w:p>
    <w:p>
      <w:pPr>
        <w:widowControl/>
        <w:spacing w:line="576" w:lineRule="exact"/>
        <w:jc w:val="left"/>
        <w:rPr>
          <w:rFonts w:ascii="楷体" w:hAnsi="楷体" w:eastAsia="楷体" w:cs="楷体"/>
          <w:b/>
          <w:bCs/>
          <w:sz w:val="32"/>
          <w:szCs w:val="32"/>
        </w:rPr>
      </w:pPr>
      <w:r>
        <w:rPr>
          <w:rFonts w:hint="eastAsia" w:ascii="楷体" w:hAnsi="楷体" w:eastAsia="楷体" w:cs="楷体"/>
          <w:b/>
          <w:bCs/>
          <w:color w:val="333333"/>
          <w:sz w:val="32"/>
          <w:szCs w:val="32"/>
        </w:rPr>
        <w:t>（一）完成情况分析</w:t>
      </w:r>
    </w:p>
    <w:p>
      <w:pPr>
        <w:widowControl/>
        <w:spacing w:line="576" w:lineRule="exact"/>
        <w:ind w:firstLine="640" w:firstLineChars="200"/>
        <w:jc w:val="left"/>
        <w:rPr>
          <w:rFonts w:ascii="仿宋" w:hAnsi="仿宋" w:eastAsia="仿宋" w:cs="仿宋"/>
          <w:sz w:val="32"/>
          <w:szCs w:val="32"/>
        </w:rPr>
      </w:pPr>
      <w:r>
        <w:rPr>
          <w:rFonts w:hint="eastAsia" w:ascii="仿宋" w:hAnsi="仿宋" w:eastAsia="仿宋" w:cs="仿宋"/>
          <w:color w:val="333333"/>
          <w:sz w:val="32"/>
          <w:szCs w:val="32"/>
        </w:rPr>
        <w:t>我镇2021年</w:t>
      </w:r>
      <w:r>
        <w:rPr>
          <w:rFonts w:hint="eastAsia" w:ascii="仿宋" w:hAnsi="仿宋" w:eastAsia="仿宋" w:cs="仿宋"/>
          <w:color w:val="333333"/>
          <w:sz w:val="32"/>
          <w:szCs w:val="32"/>
          <w:u w:val="none" w:color="46CD7E"/>
          <w:shd w:val="clear" w:fill="auto"/>
          <w:lang w:eastAsia="zh-CN"/>
        </w:rPr>
        <w:t>农村危旧住房改造</w:t>
      </w:r>
      <w:r>
        <w:rPr>
          <w:rFonts w:hint="eastAsia" w:ascii="仿宋" w:hAnsi="仿宋" w:eastAsia="仿宋" w:cs="仿宋"/>
          <w:color w:val="333333"/>
          <w:sz w:val="32"/>
          <w:szCs w:val="32"/>
        </w:rPr>
        <w:t>项目绩效情况总体较好，按年初预期目标完成了相关的基础设施建设和农村危旧住房环境的改善。</w:t>
      </w:r>
    </w:p>
    <w:p>
      <w:pPr>
        <w:widowControl/>
        <w:spacing w:line="576" w:lineRule="exact"/>
        <w:jc w:val="left"/>
        <w:rPr>
          <w:rFonts w:ascii="楷体" w:hAnsi="楷体" w:eastAsia="楷体" w:cs="楷体"/>
          <w:b/>
          <w:bCs/>
          <w:sz w:val="32"/>
          <w:szCs w:val="32"/>
        </w:rPr>
      </w:pPr>
      <w:r>
        <w:t>（</w:t>
      </w:r>
      <w:r>
        <w:rPr>
          <w:rFonts w:hint="eastAsia" w:ascii="楷体" w:hAnsi="楷体" w:eastAsia="楷体" w:cs="楷体"/>
          <w:b/>
          <w:bCs/>
          <w:color w:val="333333"/>
          <w:sz w:val="32"/>
          <w:szCs w:val="32"/>
        </w:rPr>
        <w:t>二</w:t>
      </w:r>
      <w:r>
        <w:t>）</w:t>
      </w:r>
      <w:r>
        <w:rPr>
          <w:rFonts w:hint="eastAsia" w:ascii="楷体" w:hAnsi="楷体" w:eastAsia="楷体" w:cs="楷体"/>
          <w:b/>
          <w:bCs/>
          <w:color w:val="333333"/>
          <w:sz w:val="32"/>
          <w:szCs w:val="32"/>
        </w:rPr>
        <w:t>有效性分析</w:t>
      </w:r>
    </w:p>
    <w:p>
      <w:pPr>
        <w:widowControl/>
        <w:spacing w:line="576" w:lineRule="exact"/>
        <w:ind w:firstLine="640" w:firstLineChars="200"/>
        <w:jc w:val="left"/>
        <w:rPr>
          <w:rFonts w:ascii="黑体" w:hAnsi="黑体" w:eastAsia="黑体" w:cs="黑体"/>
          <w:sz w:val="32"/>
          <w:szCs w:val="32"/>
        </w:rPr>
      </w:pPr>
      <w:r>
        <w:rPr>
          <w:rFonts w:hint="eastAsia" w:ascii="仿宋" w:hAnsi="仿宋" w:eastAsia="仿宋" w:cs="仿宋"/>
          <w:color w:val="333333"/>
          <w:sz w:val="32"/>
          <w:szCs w:val="32"/>
        </w:rPr>
        <w:t>我镇较好地完成了2021年初设定的工作任务，各项工作得到有序开展。我镇本着国家和地方有关财政资金管理的要求，严格执行会计制度和财务制度，依法管理，确保专款专用，对专项使用</w:t>
      </w:r>
      <w:r>
        <w:rPr>
          <w:rFonts w:hint="eastAsia" w:ascii="仿宋" w:hAnsi="仿宋" w:eastAsia="仿宋" w:cs="仿宋"/>
          <w:color w:val="333333"/>
          <w:sz w:val="32"/>
          <w:szCs w:val="32"/>
          <w:u w:val="none" w:color="46CD7E"/>
          <w:shd w:val="clear" w:fill="auto"/>
          <w:lang w:eastAsia="zh-CN"/>
        </w:rPr>
        <w:t>范围内</w:t>
      </w:r>
      <w:r>
        <w:rPr>
          <w:rFonts w:hint="eastAsia" w:ascii="仿宋" w:hAnsi="仿宋" w:eastAsia="仿宋" w:cs="仿宋"/>
          <w:color w:val="333333"/>
          <w:sz w:val="32"/>
          <w:szCs w:val="32"/>
        </w:rPr>
        <w:t>的各类支出，严格规范费用的开支标准和审批权限，依法理财，保证账目真实、完整、规范。同时建立健全各项财务管理制度，并切实有效执行，杜绝违法违纪现象发生。</w:t>
      </w:r>
    </w:p>
    <w:p>
      <w:pPr>
        <w:widowControl/>
        <w:ind w:firstLine="320" w:firstLineChars="100"/>
        <w:jc w:val="left"/>
        <w:rPr>
          <w:rFonts w:ascii="仿宋" w:hAnsi="仿宋" w:eastAsia="仿宋" w:cs="仿宋"/>
          <w:color w:val="333333"/>
          <w:sz w:val="32"/>
          <w:szCs w:val="32"/>
        </w:rPr>
      </w:pPr>
      <w:bookmarkStart w:id="78" w:name="_Toc9779"/>
      <w:r>
        <w:rPr>
          <w:rFonts w:hint="eastAsia" w:ascii="黑体" w:hAnsi="黑体" w:eastAsia="黑体" w:cs="黑体"/>
          <w:sz w:val="32"/>
          <w:szCs w:val="32"/>
          <w:u w:val="thick" w:color="FFB03A"/>
          <w:shd w:val="clear" w:fill="FFEFD8"/>
        </w:rPr>
        <w:t>五、</w:t>
      </w:r>
      <w:r>
        <w:rPr>
          <w:rFonts w:hint="eastAsia" w:ascii="黑体" w:hAnsi="黑体" w:eastAsia="黑体" w:cs="黑体"/>
          <w:sz w:val="32"/>
          <w:szCs w:val="32"/>
        </w:rPr>
        <w:t>问题及建议</w:t>
      </w:r>
      <w:bookmarkEnd w:id="78"/>
    </w:p>
    <w:p>
      <w:pPr>
        <w:spacing w:line="576" w:lineRule="exact"/>
        <w:ind w:firstLine="640"/>
        <w:rPr>
          <w:rFonts w:ascii="仿宋" w:hAnsi="仿宋" w:eastAsia="仿宋" w:cs="仿宋"/>
          <w:sz w:val="32"/>
          <w:szCs w:val="32"/>
        </w:rPr>
      </w:pPr>
      <w:r>
        <w:rPr>
          <w:rFonts w:hint="eastAsia" w:ascii="仿宋" w:hAnsi="仿宋" w:eastAsia="仿宋" w:cs="仿宋"/>
          <w:sz w:val="32"/>
          <w:szCs w:val="32"/>
        </w:rPr>
        <w:t>（一）存在的问题。一是公用经费过少，不能满足工作需要</w:t>
      </w:r>
      <w:r>
        <w:t>；</w:t>
      </w:r>
      <w:r>
        <w:rPr>
          <w:rFonts w:hint="eastAsia" w:ascii="仿宋" w:hAnsi="仿宋" w:eastAsia="仿宋" w:cs="仿宋"/>
          <w:sz w:val="32"/>
          <w:szCs w:val="32"/>
        </w:rPr>
        <w:t>二是无专项工作经费，致使项目工作实施难度大</w:t>
      </w:r>
      <w:r>
        <w:t>；</w:t>
      </w:r>
      <w:r>
        <w:rPr>
          <w:rFonts w:hint="eastAsia" w:ascii="仿宋" w:hAnsi="仿宋" w:eastAsia="仿宋" w:cs="仿宋"/>
          <w:sz w:val="32"/>
          <w:szCs w:val="32"/>
        </w:rPr>
        <w:t>三是效益指标有待提高。</w:t>
      </w:r>
    </w:p>
    <w:p>
      <w:pPr>
        <w:spacing w:line="576" w:lineRule="exact"/>
        <w:ind w:firstLine="640"/>
        <w:rPr>
          <w:lang w:val="zh-CN"/>
        </w:rPr>
      </w:pPr>
      <w:r>
        <w:rPr>
          <w:rFonts w:hint="eastAsia" w:ascii="仿宋" w:hAnsi="仿宋" w:eastAsia="仿宋" w:cs="仿宋"/>
          <w:sz w:val="32"/>
          <w:szCs w:val="32"/>
        </w:rPr>
        <w:t>（二）相关建议增加工作经费投入。</w:t>
      </w:r>
    </w:p>
    <w:p>
      <w:pPr>
        <w:pStyle w:val="3"/>
        <w:spacing w:before="93"/>
        <w:rPr>
          <w:lang w:val="zh-CN"/>
        </w:rPr>
      </w:pPr>
    </w:p>
    <w:p>
      <w:pPr>
        <w:pStyle w:val="3"/>
        <w:spacing w:before="93"/>
        <w:rPr>
          <w:lang w:val="zh-CN"/>
        </w:rPr>
      </w:pPr>
    </w:p>
    <w:p>
      <w:pPr>
        <w:pStyle w:val="3"/>
        <w:spacing w:before="93"/>
        <w:rPr>
          <w:lang w:val="zh-CN"/>
        </w:rPr>
      </w:pPr>
    </w:p>
    <w:p>
      <w:pPr>
        <w:pStyle w:val="3"/>
        <w:spacing w:before="93"/>
        <w:rPr>
          <w:lang w:val="zh-CN"/>
        </w:rPr>
      </w:pPr>
    </w:p>
    <w:p>
      <w:pPr>
        <w:pStyle w:val="3"/>
        <w:spacing w:before="93"/>
        <w:rPr>
          <w:lang w:val="zh-CN"/>
        </w:rPr>
      </w:pPr>
    </w:p>
    <w:p>
      <w:pPr>
        <w:pStyle w:val="3"/>
        <w:spacing w:before="93"/>
        <w:rPr>
          <w:lang w:val="zh-CN"/>
        </w:rPr>
      </w:pPr>
    </w:p>
    <w:p>
      <w:pPr>
        <w:pStyle w:val="3"/>
        <w:spacing w:before="93"/>
        <w:rPr>
          <w:lang w:val="zh-CN"/>
        </w:rPr>
      </w:pPr>
    </w:p>
    <w:p>
      <w:pPr>
        <w:pStyle w:val="3"/>
        <w:spacing w:before="93"/>
        <w:rPr>
          <w:lang w:val="zh-CN"/>
        </w:rPr>
      </w:pPr>
    </w:p>
    <w:p>
      <w:pPr>
        <w:pStyle w:val="3"/>
        <w:spacing w:before="93"/>
        <w:rPr>
          <w:lang w:val="zh-CN"/>
        </w:rPr>
      </w:pPr>
    </w:p>
    <w:p>
      <w:pPr>
        <w:pStyle w:val="3"/>
        <w:spacing w:before="93"/>
        <w:rPr>
          <w:lang w:val="zh-CN"/>
        </w:rPr>
      </w:pPr>
    </w:p>
    <w:p>
      <w:pPr>
        <w:pStyle w:val="3"/>
        <w:spacing w:before="93"/>
        <w:rPr>
          <w:lang w:val="zh-CN"/>
        </w:rPr>
      </w:pPr>
    </w:p>
    <w:p>
      <w:pPr>
        <w:pStyle w:val="3"/>
        <w:spacing w:before="93"/>
        <w:rPr>
          <w:lang w:val="zh-CN"/>
        </w:rPr>
      </w:pPr>
    </w:p>
    <w:p>
      <w:pPr>
        <w:widowControl/>
        <w:adjustRightInd w:val="0"/>
        <w:snapToGrid w:val="0"/>
        <w:spacing w:line="580" w:lineRule="exact"/>
        <w:ind w:firstLine="640" w:firstLineChars="200"/>
        <w:contextualSpacing/>
        <w:jc w:val="left"/>
        <w:rPr>
          <w:rFonts w:ascii="仿宋_GB2312" w:hAnsi="宋体" w:eastAsia="仿宋_GB2312" w:cs="宋体"/>
          <w:kern w:val="0"/>
          <w:sz w:val="32"/>
          <w:szCs w:val="32"/>
          <w:shd w:val="clear" w:color="auto" w:fill="FFFFFF"/>
          <w:lang w:val="zh-CN"/>
        </w:rPr>
      </w:pPr>
    </w:p>
    <w:p>
      <w:pPr>
        <w:widowControl/>
        <w:adjustRightInd w:val="0"/>
        <w:snapToGrid w:val="0"/>
        <w:spacing w:line="580" w:lineRule="exact"/>
        <w:ind w:firstLine="640" w:firstLineChars="200"/>
        <w:contextualSpacing/>
        <w:jc w:val="left"/>
        <w:rPr>
          <w:rFonts w:ascii="仿宋_GB2312" w:hAnsi="宋体" w:eastAsia="仿宋_GB2312" w:cs="宋体"/>
          <w:kern w:val="0"/>
          <w:sz w:val="32"/>
          <w:szCs w:val="32"/>
          <w:shd w:val="clear" w:color="auto" w:fill="FFFFFF"/>
          <w:lang w:val="zh-CN"/>
        </w:rPr>
      </w:pPr>
    </w:p>
    <w:p>
      <w:pPr>
        <w:widowControl/>
        <w:adjustRightInd w:val="0"/>
        <w:snapToGrid w:val="0"/>
        <w:spacing w:line="580" w:lineRule="exact"/>
        <w:ind w:firstLine="640" w:firstLineChars="200"/>
        <w:contextualSpacing/>
        <w:jc w:val="left"/>
        <w:rPr>
          <w:rFonts w:ascii="仿宋_GB2312" w:hAnsi="宋体" w:eastAsia="仿宋_GB2312" w:cs="宋体"/>
          <w:kern w:val="0"/>
          <w:sz w:val="32"/>
          <w:szCs w:val="32"/>
          <w:shd w:val="clear" w:color="auto" w:fill="FFFFFF"/>
          <w:lang w:val="zh-CN"/>
        </w:rPr>
      </w:pPr>
    </w:p>
    <w:p>
      <w:pPr>
        <w:widowControl/>
        <w:adjustRightInd w:val="0"/>
        <w:snapToGrid w:val="0"/>
        <w:spacing w:line="580" w:lineRule="exact"/>
        <w:ind w:firstLine="640" w:firstLineChars="200"/>
        <w:contextualSpacing/>
        <w:jc w:val="left"/>
        <w:rPr>
          <w:rFonts w:ascii="仿宋_GB2312" w:hAnsi="宋体" w:eastAsia="仿宋_GB2312" w:cs="宋体"/>
          <w:kern w:val="0"/>
          <w:sz w:val="32"/>
          <w:szCs w:val="32"/>
          <w:shd w:val="clear" w:color="auto" w:fill="FFFFFF"/>
          <w:lang w:val="zh-CN"/>
        </w:rPr>
      </w:pPr>
    </w:p>
    <w:p>
      <w:pPr>
        <w:widowControl/>
        <w:adjustRightInd w:val="0"/>
        <w:snapToGrid w:val="0"/>
        <w:spacing w:line="580" w:lineRule="exact"/>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附表</w:t>
      </w:r>
      <w:r>
        <w:rPr>
          <w:rFonts w:hint="eastAsia" w:ascii="仿宋_GB2312" w:hAnsi="宋体" w:eastAsia="仿宋_GB2312" w:cs="宋体"/>
          <w:kern w:val="0"/>
          <w:sz w:val="32"/>
          <w:szCs w:val="32"/>
          <w:shd w:val="clear" w:color="auto" w:fill="FFFFFF"/>
        </w:rPr>
        <w:t>3</w:t>
      </w:r>
    </w:p>
    <w:tbl>
      <w:tblPr>
        <w:tblStyle w:val="7"/>
        <w:tblW w:w="8640" w:type="dxa"/>
        <w:tblInd w:w="0" w:type="dxa"/>
        <w:tblLayout w:type="fixed"/>
        <w:tblCellMar>
          <w:top w:w="0" w:type="dxa"/>
          <w:left w:w="0" w:type="dxa"/>
          <w:bottom w:w="0" w:type="dxa"/>
          <w:right w:w="0" w:type="dxa"/>
        </w:tblCellMar>
      </w:tblPr>
      <w:tblGrid>
        <w:gridCol w:w="342"/>
        <w:gridCol w:w="619"/>
        <w:gridCol w:w="831"/>
        <w:gridCol w:w="1792"/>
        <w:gridCol w:w="492"/>
        <w:gridCol w:w="676"/>
        <w:gridCol w:w="1067"/>
        <w:gridCol w:w="889"/>
        <w:gridCol w:w="556"/>
        <w:gridCol w:w="630"/>
        <w:gridCol w:w="746"/>
      </w:tblGrid>
      <w:tr>
        <w:tblPrEx>
          <w:tblCellMar>
            <w:top w:w="0" w:type="dxa"/>
            <w:left w:w="0" w:type="dxa"/>
            <w:bottom w:w="0" w:type="dxa"/>
            <w:right w:w="0" w:type="dxa"/>
          </w:tblCellMar>
        </w:tblPrEx>
        <w:trPr>
          <w:trHeight w:val="405" w:hRule="atLeast"/>
        </w:trPr>
        <w:tc>
          <w:tcPr>
            <w:tcW w:w="8640" w:type="dxa"/>
            <w:gridSpan w:val="11"/>
            <w:tcBorders>
              <w:top w:val="nil"/>
              <w:left w:val="nil"/>
              <w:bottom w:val="nil"/>
              <w:right w:val="nil"/>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b/>
                <w:color w:val="000000"/>
                <w:sz w:val="32"/>
                <w:szCs w:val="32"/>
              </w:rPr>
            </w:pPr>
            <w:r>
              <w:rPr>
                <w:rFonts w:hint="eastAsia" w:ascii="宋体" w:hAnsi="宋体" w:cs="宋体"/>
                <w:b/>
                <w:color w:val="000000"/>
                <w:kern w:val="0"/>
                <w:sz w:val="32"/>
                <w:szCs w:val="32"/>
                <w:u w:val="thick" w:color="909090"/>
                <w:shd w:val="clear" w:fill="DDDDDD"/>
              </w:rPr>
              <w:t xml:space="preserve">唱歌镇农村危房改造项目绩效目标自评表 </w:t>
            </w:r>
          </w:p>
        </w:tc>
      </w:tr>
      <w:tr>
        <w:tblPrEx>
          <w:tblCellMar>
            <w:top w:w="0" w:type="dxa"/>
            <w:left w:w="0" w:type="dxa"/>
            <w:bottom w:w="0" w:type="dxa"/>
            <w:right w:w="0" w:type="dxa"/>
          </w:tblCellMar>
        </w:tblPrEx>
        <w:trPr>
          <w:trHeight w:val="208" w:hRule="atLeast"/>
        </w:trPr>
        <w:tc>
          <w:tcPr>
            <w:tcW w:w="8640" w:type="dxa"/>
            <w:gridSpan w:val="11"/>
            <w:tcBorders>
              <w:top w:val="nil"/>
              <w:left w:val="nil"/>
              <w:bottom w:val="single" w:color="000000" w:sz="4" w:space="0"/>
              <w:right w:val="nil"/>
            </w:tcBorders>
            <w:shd w:val="clear" w:color="auto" w:fill="auto"/>
            <w:tcMar>
              <w:top w:w="15" w:type="dxa"/>
              <w:left w:w="15" w:type="dxa"/>
              <w:bottom w:w="0" w:type="dxa"/>
              <w:right w:w="15" w:type="dxa"/>
            </w:tcMar>
          </w:tcPr>
          <w:p>
            <w:pPr>
              <w:widowControl/>
              <w:jc w:val="center"/>
              <w:textAlignment w:val="top"/>
              <w:rPr>
                <w:rFonts w:ascii="宋体" w:hAnsi="宋体" w:cs="宋体"/>
                <w:color w:val="000000"/>
                <w:sz w:val="22"/>
                <w:szCs w:val="22"/>
              </w:rPr>
            </w:pPr>
            <w:r>
              <w:rPr>
                <w:rFonts w:hint="eastAsia" w:ascii="宋体" w:hAnsi="宋体" w:cs="宋体"/>
                <w:color w:val="000000"/>
                <w:kern w:val="0"/>
                <w:sz w:val="22"/>
                <w:szCs w:val="22"/>
              </w:rPr>
              <w:t>（2021年度）</w:t>
            </w:r>
          </w:p>
        </w:tc>
      </w:tr>
      <w:tr>
        <w:tblPrEx>
          <w:tblCellMar>
            <w:top w:w="0" w:type="dxa"/>
            <w:left w:w="0" w:type="dxa"/>
            <w:bottom w:w="0" w:type="dxa"/>
            <w:right w:w="0" w:type="dxa"/>
          </w:tblCellMar>
        </w:tblPrEx>
        <w:trPr>
          <w:trHeight w:val="412" w:hRule="atLeast"/>
        </w:trPr>
        <w:tc>
          <w:tcPr>
            <w:tcW w:w="179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项目名称</w:t>
            </w:r>
          </w:p>
        </w:tc>
        <w:tc>
          <w:tcPr>
            <w:tcW w:w="29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农村危房改造项目</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项目负责人及电话</w:t>
            </w:r>
          </w:p>
        </w:tc>
        <w:tc>
          <w:tcPr>
            <w:tcW w:w="282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0"/>
                <w:szCs w:val="20"/>
                <w:u w:val="none"/>
                <w:lang w:eastAsia="zh-CN"/>
              </w:rPr>
            </w:pPr>
            <w:r>
              <w:rPr>
                <w:rFonts w:hint="eastAsia" w:ascii="宋体" w:hAnsi="宋体" w:cs="宋体"/>
                <w:color w:val="000000"/>
                <w:kern w:val="0"/>
                <w:sz w:val="20"/>
                <w:szCs w:val="20"/>
              </w:rPr>
              <w:t>刘芝佐</w:t>
            </w:r>
          </w:p>
        </w:tc>
      </w:tr>
      <w:tr>
        <w:tblPrEx>
          <w:tblCellMar>
            <w:top w:w="0" w:type="dxa"/>
            <w:left w:w="0" w:type="dxa"/>
            <w:bottom w:w="0" w:type="dxa"/>
            <w:right w:w="0" w:type="dxa"/>
          </w:tblCellMar>
        </w:tblPrEx>
        <w:trPr>
          <w:trHeight w:val="214" w:hRule="atLeast"/>
        </w:trPr>
        <w:tc>
          <w:tcPr>
            <w:tcW w:w="179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主管部门</w:t>
            </w:r>
          </w:p>
        </w:tc>
        <w:tc>
          <w:tcPr>
            <w:tcW w:w="29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通江县住建局</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实施单位</w:t>
            </w:r>
          </w:p>
        </w:tc>
        <w:tc>
          <w:tcPr>
            <w:tcW w:w="282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通江县唱歌镇人民政府</w:t>
            </w:r>
          </w:p>
        </w:tc>
      </w:tr>
      <w:tr>
        <w:tblPrEx>
          <w:tblCellMar>
            <w:top w:w="0" w:type="dxa"/>
            <w:left w:w="0" w:type="dxa"/>
            <w:bottom w:w="0" w:type="dxa"/>
            <w:right w:w="0" w:type="dxa"/>
          </w:tblCellMar>
        </w:tblPrEx>
        <w:trPr>
          <w:trHeight w:val="412" w:hRule="atLeast"/>
        </w:trPr>
        <w:tc>
          <w:tcPr>
            <w:tcW w:w="179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资金情况</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（万元）</w:t>
            </w:r>
          </w:p>
        </w:tc>
        <w:tc>
          <w:tcPr>
            <w:tcW w:w="1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116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全年预算数（A）</w:t>
            </w:r>
          </w:p>
        </w:tc>
        <w:tc>
          <w:tcPr>
            <w:tcW w:w="19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全年执行数（B）</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分值</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执行率（B/A</w:t>
            </w:r>
            <w:r>
              <w:t>）</w:t>
            </w:r>
          </w:p>
        </w:tc>
        <w:tc>
          <w:tcPr>
            <w:tcW w:w="7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得分</w:t>
            </w:r>
          </w:p>
        </w:tc>
      </w:tr>
      <w:tr>
        <w:tblPrEx>
          <w:tblCellMar>
            <w:top w:w="0" w:type="dxa"/>
            <w:left w:w="0" w:type="dxa"/>
            <w:bottom w:w="0" w:type="dxa"/>
            <w:right w:w="0" w:type="dxa"/>
          </w:tblCellMar>
        </w:tblPrEx>
        <w:trPr>
          <w:trHeight w:val="214" w:hRule="atLeast"/>
        </w:trPr>
        <w:tc>
          <w:tcPr>
            <w:tcW w:w="179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1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年度资金总额：</w:t>
            </w:r>
          </w:p>
        </w:tc>
        <w:tc>
          <w:tcPr>
            <w:tcW w:w="116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566.45</w:t>
            </w:r>
          </w:p>
        </w:tc>
        <w:tc>
          <w:tcPr>
            <w:tcW w:w="19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566.45</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7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412" w:hRule="atLeast"/>
        </w:trPr>
        <w:tc>
          <w:tcPr>
            <w:tcW w:w="179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1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left"/>
              <w:textAlignment w:val="center"/>
              <w:rPr>
                <w:rFonts w:ascii="宋体" w:hAnsi="宋体" w:cs="宋体"/>
                <w:color w:val="000000"/>
                <w:sz w:val="20"/>
                <w:szCs w:val="20"/>
              </w:rPr>
            </w:pPr>
            <w:r>
              <w:rPr>
                <w:rStyle w:val="36"/>
                <w:rFonts w:hint="default"/>
              </w:rPr>
              <w:t>其中：本年财政拨款</w:t>
            </w:r>
          </w:p>
        </w:tc>
        <w:tc>
          <w:tcPr>
            <w:tcW w:w="116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566.45</w:t>
            </w:r>
          </w:p>
        </w:tc>
        <w:tc>
          <w:tcPr>
            <w:tcW w:w="19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566.45</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left"/>
              <w:rPr>
                <w:rFonts w:ascii="宋体" w:hAnsi="宋体" w:cs="宋体"/>
                <w:color w:val="000000"/>
                <w:sz w:val="20"/>
                <w:szCs w:val="20"/>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0" w:type="dxa"/>
            <w:left w:w="0" w:type="dxa"/>
            <w:bottom w:w="0" w:type="dxa"/>
            <w:right w:w="0" w:type="dxa"/>
          </w:tblCellMar>
        </w:tblPrEx>
        <w:trPr>
          <w:trHeight w:val="214" w:hRule="atLeast"/>
        </w:trPr>
        <w:tc>
          <w:tcPr>
            <w:tcW w:w="179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1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left"/>
              <w:textAlignment w:val="center"/>
              <w:rPr>
                <w:rFonts w:ascii="宋体" w:hAnsi="宋体" w:cs="宋体"/>
                <w:color w:val="000000"/>
                <w:sz w:val="20"/>
                <w:szCs w:val="20"/>
              </w:rPr>
            </w:pPr>
            <w:r>
              <w:rPr>
                <w:rStyle w:val="36"/>
                <w:rFonts w:hint="default"/>
              </w:rPr>
              <w:t>其他资金</w:t>
            </w:r>
          </w:p>
        </w:tc>
        <w:tc>
          <w:tcPr>
            <w:tcW w:w="116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19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left"/>
              <w:rPr>
                <w:rFonts w:ascii="宋体" w:hAnsi="宋体" w:cs="宋体"/>
                <w:color w:val="000000"/>
                <w:sz w:val="20"/>
                <w:szCs w:val="20"/>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0" w:type="dxa"/>
            <w:left w:w="0" w:type="dxa"/>
            <w:bottom w:w="0" w:type="dxa"/>
            <w:right w:w="0" w:type="dxa"/>
          </w:tblCellMar>
        </w:tblPrEx>
        <w:trPr>
          <w:trHeight w:val="214" w:hRule="atLeast"/>
        </w:trPr>
        <w:tc>
          <w:tcPr>
            <w:tcW w:w="3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年度总体目标</w:t>
            </w:r>
          </w:p>
        </w:tc>
        <w:tc>
          <w:tcPr>
            <w:tcW w:w="441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w:t>
            </w:r>
            <w:r>
              <w:rPr>
                <w:rFonts w:hint="eastAsia" w:ascii="宋体" w:hAnsi="宋体" w:cs="宋体"/>
                <w:color w:val="000000"/>
                <w:kern w:val="0"/>
                <w:sz w:val="20"/>
                <w:szCs w:val="20"/>
                <w:u w:val="none" w:color="46CD7E"/>
                <w:shd w:val="clear" w:fill="auto"/>
                <w:lang w:eastAsia="zh-CN"/>
              </w:rPr>
              <w:t>设定的</w:t>
            </w:r>
            <w:r>
              <w:rPr>
                <w:rFonts w:hint="eastAsia" w:ascii="宋体" w:hAnsi="宋体" w:cs="宋体"/>
                <w:color w:val="000000"/>
                <w:kern w:val="0"/>
                <w:sz w:val="20"/>
                <w:szCs w:val="20"/>
              </w:rPr>
              <w:t>目标</w:t>
            </w:r>
          </w:p>
        </w:tc>
        <w:tc>
          <w:tcPr>
            <w:tcW w:w="388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年度总体目标完成情况综述</w:t>
            </w:r>
          </w:p>
        </w:tc>
      </w:tr>
      <w:tr>
        <w:tblPrEx>
          <w:tblCellMar>
            <w:top w:w="0" w:type="dxa"/>
            <w:left w:w="0" w:type="dxa"/>
            <w:bottom w:w="0" w:type="dxa"/>
            <w:right w:w="0" w:type="dxa"/>
          </w:tblCellMar>
        </w:tblPrEx>
        <w:trPr>
          <w:trHeight w:val="989" w:hRule="atLeast"/>
        </w:trPr>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441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解决危房改造问题，使农户能够安全、放心地居住。</w:t>
            </w:r>
          </w:p>
        </w:tc>
        <w:tc>
          <w:tcPr>
            <w:tcW w:w="388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拨付资金解决危房改造问题，使农户能够安全、放心地居住。</w:t>
            </w:r>
          </w:p>
        </w:tc>
      </w:tr>
      <w:tr>
        <w:tblPrEx>
          <w:tblCellMar>
            <w:top w:w="0" w:type="dxa"/>
            <w:left w:w="0" w:type="dxa"/>
            <w:bottom w:w="0" w:type="dxa"/>
            <w:right w:w="0" w:type="dxa"/>
          </w:tblCellMar>
        </w:tblPrEx>
        <w:trPr>
          <w:trHeight w:val="412" w:hRule="atLeast"/>
        </w:trPr>
        <w:tc>
          <w:tcPr>
            <w:tcW w:w="3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绩效指标</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二级指标</w:t>
            </w:r>
          </w:p>
        </w:tc>
        <w:tc>
          <w:tcPr>
            <w:tcW w:w="22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三级指标</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分值</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年度指标值</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全年实际值</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得分</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未完成原因拟采取的改进措施</w:t>
            </w:r>
          </w:p>
        </w:tc>
      </w:tr>
      <w:tr>
        <w:tblPrEx>
          <w:tblCellMar>
            <w:top w:w="0" w:type="dxa"/>
            <w:left w:w="0" w:type="dxa"/>
            <w:bottom w:w="0" w:type="dxa"/>
            <w:right w:w="0" w:type="dxa"/>
          </w:tblCellMar>
        </w:tblPrEx>
        <w:trPr>
          <w:trHeight w:val="214" w:hRule="atLeast"/>
        </w:trPr>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jc w:val="center"/>
              <w:rPr>
                <w:rFonts w:ascii="宋体" w:hAnsi="宋体" w:cs="宋体"/>
                <w:color w:val="000000"/>
                <w:sz w:val="20"/>
                <w:szCs w:val="20"/>
              </w:rPr>
            </w:pPr>
          </w:p>
        </w:tc>
        <w:tc>
          <w:tcPr>
            <w:tcW w:w="6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标</w:t>
            </w:r>
            <w:r>
              <w:rPr>
                <w:rFonts w:hint="eastAsia" w:ascii="宋体" w:hAnsi="宋体" w:cs="宋体"/>
                <w:color w:val="000000"/>
                <w:kern w:val="0"/>
                <w:sz w:val="20"/>
                <w:szCs w:val="20"/>
              </w:rPr>
              <w:br w:type="textWrapping"/>
            </w:r>
            <w:r>
              <w:t>（</w:t>
            </w:r>
            <w:r>
              <w:rPr>
                <w:rFonts w:hint="eastAsia" w:ascii="宋体" w:hAnsi="宋体" w:cs="宋体"/>
                <w:color w:val="000000"/>
                <w:kern w:val="0"/>
                <w:sz w:val="20"/>
                <w:szCs w:val="20"/>
              </w:rPr>
              <w:t>50分</w:t>
            </w:r>
            <w:r>
              <w:t>）</w:t>
            </w:r>
          </w:p>
        </w:tc>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数量指标</w:t>
            </w:r>
          </w:p>
        </w:tc>
        <w:tc>
          <w:tcPr>
            <w:tcW w:w="22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补助到户危房改造数量</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221</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221</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12" w:hRule="atLeast"/>
        </w:trPr>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jc w:val="center"/>
              <w:rPr>
                <w:rFonts w:ascii="宋体" w:hAnsi="宋体" w:cs="宋体"/>
                <w:color w:val="000000"/>
                <w:sz w:val="20"/>
                <w:szCs w:val="20"/>
              </w:rPr>
            </w:pPr>
          </w:p>
        </w:tc>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22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建档立卡贫困户危房改造面积</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214" w:hRule="atLeast"/>
        </w:trPr>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jc w:val="center"/>
              <w:rPr>
                <w:rFonts w:ascii="宋体" w:hAnsi="宋体" w:cs="宋体"/>
                <w:color w:val="000000"/>
                <w:sz w:val="20"/>
                <w:szCs w:val="20"/>
              </w:rPr>
            </w:pPr>
          </w:p>
        </w:tc>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22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受益建档立卡贫困人口数</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≥1200次</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≥1200次</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214" w:hRule="atLeast"/>
        </w:trPr>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jc w:val="center"/>
              <w:rPr>
                <w:rFonts w:ascii="宋体" w:hAnsi="宋体" w:cs="宋体"/>
                <w:color w:val="000000"/>
                <w:sz w:val="20"/>
                <w:szCs w:val="20"/>
              </w:rPr>
            </w:pPr>
          </w:p>
        </w:tc>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质量指标</w:t>
            </w:r>
          </w:p>
        </w:tc>
        <w:tc>
          <w:tcPr>
            <w:tcW w:w="22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改造后验收合格率</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12" w:hRule="atLeast"/>
        </w:trPr>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jc w:val="center"/>
              <w:rPr>
                <w:rFonts w:ascii="宋体" w:hAnsi="宋体" w:cs="宋体"/>
                <w:color w:val="000000"/>
                <w:sz w:val="20"/>
                <w:szCs w:val="20"/>
              </w:rPr>
            </w:pPr>
          </w:p>
        </w:tc>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22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改造后房屋满足基本居住功能需要的比例</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98%</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12"/>
                <w:szCs w:val="12"/>
              </w:rPr>
            </w:pPr>
          </w:p>
        </w:tc>
      </w:tr>
      <w:tr>
        <w:tblPrEx>
          <w:tblCellMar>
            <w:top w:w="0" w:type="dxa"/>
            <w:left w:w="0" w:type="dxa"/>
            <w:bottom w:w="0" w:type="dxa"/>
            <w:right w:w="0" w:type="dxa"/>
          </w:tblCellMar>
        </w:tblPrEx>
        <w:trPr>
          <w:trHeight w:val="214" w:hRule="atLeast"/>
        </w:trPr>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jc w:val="center"/>
              <w:rPr>
                <w:rFonts w:ascii="宋体" w:hAnsi="宋体" w:cs="宋体"/>
                <w:color w:val="000000"/>
                <w:sz w:val="20"/>
                <w:szCs w:val="20"/>
              </w:rPr>
            </w:pPr>
          </w:p>
        </w:tc>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时效指标</w:t>
            </w:r>
          </w:p>
        </w:tc>
        <w:tc>
          <w:tcPr>
            <w:tcW w:w="22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当年资金到位率</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214" w:hRule="atLeast"/>
        </w:trPr>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jc w:val="center"/>
              <w:rPr>
                <w:rFonts w:ascii="宋体" w:hAnsi="宋体" w:cs="宋体"/>
                <w:color w:val="000000"/>
                <w:sz w:val="20"/>
                <w:szCs w:val="20"/>
              </w:rPr>
            </w:pPr>
          </w:p>
        </w:tc>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22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当年资金完成率</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214" w:hRule="atLeast"/>
        </w:trPr>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jc w:val="center"/>
              <w:rPr>
                <w:rFonts w:ascii="宋体" w:hAnsi="宋体" w:cs="宋体"/>
                <w:color w:val="000000"/>
                <w:sz w:val="20"/>
                <w:szCs w:val="20"/>
              </w:rPr>
            </w:pPr>
          </w:p>
        </w:tc>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成本指标</w:t>
            </w:r>
          </w:p>
        </w:tc>
        <w:tc>
          <w:tcPr>
            <w:tcW w:w="22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危房改造补助标准</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214" w:hRule="atLeast"/>
        </w:trPr>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jc w:val="center"/>
              <w:rPr>
                <w:rFonts w:ascii="宋体" w:hAnsi="宋体" w:cs="宋体"/>
                <w:color w:val="000000"/>
                <w:sz w:val="20"/>
                <w:szCs w:val="20"/>
              </w:rPr>
            </w:pPr>
          </w:p>
        </w:tc>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22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危房改造设施成本</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≤26.9</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≤26.9</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12" w:hRule="atLeast"/>
        </w:trPr>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jc w:val="center"/>
              <w:rPr>
                <w:rFonts w:ascii="宋体" w:hAnsi="宋体" w:cs="宋体"/>
                <w:color w:val="000000"/>
                <w:sz w:val="20"/>
                <w:szCs w:val="20"/>
              </w:rPr>
            </w:pPr>
          </w:p>
        </w:tc>
        <w:tc>
          <w:tcPr>
            <w:tcW w:w="6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效</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标</w:t>
            </w:r>
            <w:r>
              <w:rPr>
                <w:rFonts w:hint="eastAsia" w:ascii="宋体" w:hAnsi="宋体" w:cs="宋体"/>
                <w:color w:val="000000"/>
                <w:kern w:val="0"/>
                <w:sz w:val="20"/>
                <w:szCs w:val="20"/>
              </w:rPr>
              <w:br w:type="textWrapping"/>
            </w:r>
            <w:r>
              <w:t>（</w:t>
            </w:r>
            <w:r>
              <w:rPr>
                <w:rFonts w:hint="eastAsia" w:ascii="宋体" w:hAnsi="宋体" w:cs="宋体"/>
                <w:color w:val="000000"/>
                <w:kern w:val="0"/>
                <w:sz w:val="20"/>
                <w:szCs w:val="20"/>
              </w:rPr>
              <w:t>30分</w:t>
            </w:r>
            <w:r>
              <w:t>）</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经济效益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22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基层组织人均增收数</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≥0.75</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≥0.75</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610" w:hRule="atLeast"/>
        </w:trPr>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jc w:val="center"/>
              <w:rPr>
                <w:rFonts w:ascii="宋体" w:hAnsi="宋体" w:cs="宋体"/>
                <w:color w:val="000000"/>
                <w:sz w:val="20"/>
                <w:szCs w:val="20"/>
              </w:rPr>
            </w:pPr>
          </w:p>
        </w:tc>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社会效益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22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改造后房屋在相当于本地区抗震设防烈度的地震中表现</w:t>
            </w:r>
            <w:r>
              <w:t>（</w:t>
            </w:r>
            <w:r>
              <w:rPr>
                <w:rFonts w:hint="eastAsia" w:ascii="宋体" w:hAnsi="宋体" w:cs="宋体"/>
                <w:color w:val="000000"/>
                <w:kern w:val="0"/>
                <w:sz w:val="20"/>
                <w:szCs w:val="20"/>
              </w:rPr>
              <w:t>无严重毁损</w:t>
            </w:r>
            <w: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610" w:hRule="atLeast"/>
        </w:trPr>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jc w:val="center"/>
              <w:rPr>
                <w:rFonts w:ascii="宋体" w:hAnsi="宋体" w:cs="宋体"/>
                <w:color w:val="000000"/>
                <w:sz w:val="20"/>
                <w:szCs w:val="20"/>
              </w:rPr>
            </w:pPr>
          </w:p>
        </w:tc>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22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改造后房屋人畜分离、卫生厕所等基本卫生条件</w:t>
            </w:r>
            <w:r>
              <w:t>（</w:t>
            </w:r>
            <w:r>
              <w:rPr>
                <w:rFonts w:hint="eastAsia" w:ascii="宋体" w:hAnsi="宋体" w:cs="宋体"/>
                <w:color w:val="000000"/>
                <w:kern w:val="0"/>
                <w:sz w:val="20"/>
                <w:szCs w:val="20"/>
              </w:rPr>
              <w:t>有基本保障</w:t>
            </w:r>
            <w: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≥92%</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≥93%</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12" w:hRule="atLeast"/>
        </w:trPr>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jc w:val="center"/>
              <w:rPr>
                <w:rFonts w:ascii="宋体" w:hAnsi="宋体" w:cs="宋体"/>
                <w:color w:val="000000"/>
                <w:sz w:val="20"/>
                <w:szCs w:val="20"/>
              </w:rPr>
            </w:pPr>
          </w:p>
        </w:tc>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生态效益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22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r>
              <w:rPr>
                <w:rFonts w:hint="eastAsia" w:ascii="宋体" w:hAnsi="宋体" w:cs="宋体"/>
                <w:color w:val="000000"/>
                <w:kern w:val="0"/>
                <w:sz w:val="20"/>
                <w:szCs w:val="20"/>
              </w:rPr>
              <w:t>建档立卡贫困户危房居住比例</w:t>
            </w:r>
            <w:r>
              <w:t>（</w:t>
            </w:r>
            <w:r>
              <w:rPr>
                <w:rFonts w:hint="eastAsia" w:ascii="宋体" w:hAnsi="宋体" w:cs="宋体"/>
                <w:color w:val="000000"/>
                <w:kern w:val="0"/>
                <w:sz w:val="20"/>
                <w:szCs w:val="20"/>
              </w:rPr>
              <w:t>比去年下降</w:t>
            </w:r>
            <w: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12" w:hRule="atLeast"/>
        </w:trPr>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jc w:val="center"/>
              <w:rPr>
                <w:rFonts w:ascii="宋体" w:hAnsi="宋体" w:cs="宋体"/>
                <w:color w:val="000000"/>
                <w:sz w:val="20"/>
                <w:szCs w:val="20"/>
              </w:rPr>
            </w:pPr>
          </w:p>
        </w:tc>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22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u w:val="thick" w:color="909090"/>
                <w:shd w:val="clear" w:fill="DDDDDD"/>
              </w:rPr>
              <w:t>带动建档立卡贫困人口脱贫数</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1330" w:hRule="atLeast"/>
        </w:trPr>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jc w:val="center"/>
              <w:rPr>
                <w:rFonts w:ascii="宋体" w:hAnsi="宋体" w:cs="宋体"/>
                <w:color w:val="000000"/>
                <w:sz w:val="20"/>
                <w:szCs w:val="20"/>
              </w:rPr>
            </w:pPr>
          </w:p>
        </w:tc>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可持续影响指标</w:t>
            </w:r>
          </w:p>
        </w:tc>
        <w:tc>
          <w:tcPr>
            <w:tcW w:w="22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after="200"/>
              <w:jc w:val="center"/>
              <w:textAlignment w:val="center"/>
              <w:rPr>
                <w:rFonts w:ascii="宋体" w:hAnsi="宋体" w:cs="宋体"/>
                <w:color w:val="000000"/>
                <w:sz w:val="20"/>
                <w:szCs w:val="20"/>
              </w:rPr>
            </w:pPr>
            <w:r>
              <w:rPr>
                <w:rFonts w:hint="eastAsia" w:ascii="宋体" w:hAnsi="宋体" w:cs="宋体"/>
                <w:color w:val="000000"/>
                <w:kern w:val="0"/>
                <w:sz w:val="20"/>
                <w:szCs w:val="20"/>
              </w:rPr>
              <w:t>改造后房屋保障安全期限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br w:type="textWrapping"/>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长期</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长期</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214" w:hRule="atLeast"/>
        </w:trPr>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jc w:val="center"/>
              <w:rPr>
                <w:rFonts w:ascii="宋体" w:hAnsi="宋体" w:cs="宋体"/>
                <w:color w:val="000000"/>
                <w:sz w:val="20"/>
                <w:szCs w:val="20"/>
              </w:rPr>
            </w:pPr>
          </w:p>
        </w:tc>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22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项目持续发挥作用的期限</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长期</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长期</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1005" w:hRule="atLeast"/>
        </w:trPr>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jc w:val="center"/>
              <w:rPr>
                <w:rFonts w:ascii="宋体" w:hAnsi="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r>
              <w:rPr>
                <w:rFonts w:hint="eastAsia" w:ascii="宋体" w:hAnsi="宋体" w:cs="宋体"/>
                <w:color w:val="000000"/>
                <w:kern w:val="0"/>
                <w:sz w:val="20"/>
                <w:szCs w:val="20"/>
              </w:rPr>
              <w:t>满意度指标</w:t>
            </w:r>
            <w:r>
              <w:rPr>
                <w:rFonts w:hint="eastAsia" w:ascii="宋体" w:hAnsi="宋体" w:cs="宋体"/>
                <w:color w:val="000000"/>
                <w:kern w:val="0"/>
                <w:sz w:val="20"/>
                <w:szCs w:val="20"/>
              </w:rPr>
              <w:br w:type="textWrapping"/>
            </w:r>
            <w:r>
              <w:t>（</w:t>
            </w:r>
            <w:r>
              <w:rPr>
                <w:rFonts w:hint="eastAsia" w:ascii="宋体" w:hAnsi="宋体" w:cs="宋体"/>
                <w:color w:val="000000"/>
                <w:kern w:val="0"/>
                <w:sz w:val="20"/>
                <w:szCs w:val="20"/>
              </w:rPr>
              <w:t>10分</w:t>
            </w:r>
            <w:r>
              <w:t>）</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服务对象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满意度指标</w:t>
            </w:r>
          </w:p>
        </w:tc>
        <w:tc>
          <w:tcPr>
            <w:tcW w:w="22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受益建档立卡贫困人口满意度</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≥91%</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≥91%</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214" w:hRule="atLeast"/>
        </w:trPr>
        <w:tc>
          <w:tcPr>
            <w:tcW w:w="407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总分</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100</w:t>
            </w:r>
          </w:p>
        </w:tc>
        <w:tc>
          <w:tcPr>
            <w:tcW w:w="19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b/>
                <w:color w:val="000000"/>
                <w:sz w:val="20"/>
                <w:szCs w:val="20"/>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95</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r>
    </w:tbl>
    <w:p>
      <w:pPr>
        <w:pStyle w:val="37"/>
        <w:spacing w:line="576" w:lineRule="exact"/>
        <w:jc w:val="center"/>
        <w:rPr>
          <w:rFonts w:ascii="方正小标宋简体" w:hAnsi="方正小标宋简体" w:eastAsia="方正小标宋简体" w:cs="方正小标宋简体"/>
          <w:b/>
          <w:sz w:val="44"/>
          <w:szCs w:val="44"/>
        </w:rPr>
      </w:pPr>
    </w:p>
    <w:p>
      <w:pPr>
        <w:pStyle w:val="37"/>
        <w:spacing w:line="576" w:lineRule="exact"/>
        <w:jc w:val="center"/>
        <w:rPr>
          <w:rFonts w:ascii="方正小标宋简体" w:hAnsi="方正小标宋简体" w:eastAsia="方正小标宋简体" w:cs="方正小标宋简体"/>
          <w:b/>
          <w:sz w:val="44"/>
          <w:szCs w:val="44"/>
        </w:rPr>
      </w:pPr>
    </w:p>
    <w:p>
      <w:pPr>
        <w:pStyle w:val="37"/>
        <w:spacing w:line="576" w:lineRule="exact"/>
        <w:jc w:val="center"/>
        <w:rPr>
          <w:rFonts w:ascii="方正小标宋简体" w:hAnsi="方正小标宋简体" w:eastAsia="方正小标宋简体" w:cs="方正小标宋简体"/>
          <w:b/>
          <w:sz w:val="44"/>
          <w:szCs w:val="44"/>
        </w:rPr>
      </w:pPr>
    </w:p>
    <w:p>
      <w:pPr>
        <w:pStyle w:val="37"/>
        <w:spacing w:line="576" w:lineRule="exact"/>
        <w:jc w:val="center"/>
        <w:rPr>
          <w:rFonts w:ascii="方正小标宋简体" w:hAnsi="方正小标宋简体" w:eastAsia="方正小标宋简体" w:cs="方正小标宋简体"/>
          <w:b/>
          <w:sz w:val="44"/>
          <w:szCs w:val="44"/>
        </w:rPr>
      </w:pPr>
    </w:p>
    <w:p>
      <w:pPr>
        <w:pStyle w:val="37"/>
        <w:spacing w:line="576" w:lineRule="exact"/>
        <w:jc w:val="center"/>
        <w:rPr>
          <w:rFonts w:ascii="方正小标宋简体" w:hAnsi="方正小标宋简体" w:eastAsia="方正小标宋简体" w:cs="方正小标宋简体"/>
          <w:b/>
          <w:sz w:val="44"/>
          <w:szCs w:val="44"/>
        </w:rPr>
      </w:pPr>
    </w:p>
    <w:p>
      <w:pPr>
        <w:pStyle w:val="37"/>
        <w:spacing w:line="576" w:lineRule="exact"/>
        <w:jc w:val="center"/>
        <w:rPr>
          <w:rFonts w:ascii="方正小标宋简体" w:hAnsi="方正小标宋简体" w:eastAsia="方正小标宋简体" w:cs="方正小标宋简体"/>
          <w:b/>
          <w:sz w:val="44"/>
          <w:szCs w:val="44"/>
        </w:rPr>
      </w:pPr>
    </w:p>
    <w:p>
      <w:pPr>
        <w:pStyle w:val="37"/>
        <w:spacing w:line="576" w:lineRule="exact"/>
        <w:jc w:val="center"/>
        <w:rPr>
          <w:rFonts w:ascii="方正小标宋简体" w:hAnsi="方正小标宋简体" w:eastAsia="方正小标宋简体" w:cs="方正小标宋简体"/>
          <w:b/>
          <w:sz w:val="44"/>
          <w:szCs w:val="44"/>
        </w:rPr>
      </w:pPr>
    </w:p>
    <w:p>
      <w:pPr>
        <w:pStyle w:val="37"/>
        <w:spacing w:line="576" w:lineRule="exact"/>
        <w:jc w:val="center"/>
        <w:rPr>
          <w:rFonts w:ascii="方正小标宋简体" w:hAnsi="方正小标宋简体" w:eastAsia="方正小标宋简体" w:cs="方正小标宋简体"/>
          <w:b/>
          <w:sz w:val="44"/>
          <w:szCs w:val="44"/>
        </w:rPr>
      </w:pPr>
    </w:p>
    <w:p>
      <w:pPr>
        <w:pStyle w:val="37"/>
        <w:spacing w:line="576" w:lineRule="exact"/>
        <w:jc w:val="center"/>
        <w:rPr>
          <w:rFonts w:ascii="方正小标宋简体" w:hAnsi="方正小标宋简体" w:eastAsia="方正小标宋简体" w:cs="方正小标宋简体"/>
          <w:b/>
          <w:sz w:val="44"/>
          <w:szCs w:val="44"/>
        </w:rPr>
      </w:pPr>
    </w:p>
    <w:p>
      <w:pPr>
        <w:pStyle w:val="37"/>
        <w:spacing w:line="576" w:lineRule="exact"/>
        <w:jc w:val="center"/>
        <w:rPr>
          <w:rFonts w:ascii="方正小标宋简体" w:hAnsi="方正小标宋简体" w:eastAsia="方正小标宋简体" w:cs="方正小标宋简体"/>
          <w:b/>
          <w:sz w:val="44"/>
          <w:szCs w:val="44"/>
        </w:rPr>
      </w:pPr>
    </w:p>
    <w:p>
      <w:pPr>
        <w:pStyle w:val="37"/>
        <w:spacing w:line="576" w:lineRule="exact"/>
        <w:jc w:val="center"/>
        <w:rPr>
          <w:rFonts w:ascii="方正小标宋简体" w:hAnsi="方正小标宋简体" w:eastAsia="方正小标宋简体" w:cs="方正小标宋简体"/>
          <w:b/>
          <w:sz w:val="44"/>
          <w:szCs w:val="44"/>
        </w:rPr>
      </w:pPr>
    </w:p>
    <w:p>
      <w:pPr>
        <w:pStyle w:val="37"/>
        <w:spacing w:line="576" w:lineRule="exact"/>
        <w:jc w:val="center"/>
        <w:rPr>
          <w:rFonts w:ascii="方正小标宋简体" w:hAnsi="方正小标宋简体" w:eastAsia="方正小标宋简体" w:cs="方正小标宋简体"/>
          <w:b/>
          <w:sz w:val="44"/>
          <w:szCs w:val="44"/>
        </w:rPr>
      </w:pPr>
    </w:p>
    <w:p>
      <w:pPr>
        <w:pStyle w:val="37"/>
        <w:spacing w:line="576" w:lineRule="exact"/>
        <w:jc w:val="center"/>
        <w:rPr>
          <w:rFonts w:ascii="方正小标宋简体" w:hAnsi="方正小标宋简体" w:eastAsia="方正小标宋简体" w:cs="方正小标宋简体"/>
          <w:b/>
          <w:sz w:val="44"/>
          <w:szCs w:val="44"/>
        </w:rPr>
      </w:pPr>
    </w:p>
    <w:p>
      <w:pPr>
        <w:pStyle w:val="37"/>
        <w:spacing w:line="576" w:lineRule="exact"/>
        <w:jc w:val="center"/>
        <w:rPr>
          <w:rFonts w:ascii="方正小标宋简体" w:hAnsi="方正小标宋简体" w:eastAsia="方正小标宋简体" w:cs="方正小标宋简体"/>
          <w:b/>
          <w:sz w:val="44"/>
          <w:szCs w:val="44"/>
        </w:rPr>
      </w:pPr>
    </w:p>
    <w:p>
      <w:pPr>
        <w:pStyle w:val="37"/>
        <w:spacing w:line="576" w:lineRule="exact"/>
        <w:jc w:val="center"/>
        <w:rPr>
          <w:rFonts w:ascii="方正小标宋简体" w:hAnsi="方正小标宋简体" w:eastAsia="方正小标宋简体" w:cs="方正小标宋简体"/>
          <w:b/>
          <w:sz w:val="44"/>
          <w:szCs w:val="44"/>
        </w:rPr>
      </w:pPr>
    </w:p>
    <w:p>
      <w:pPr>
        <w:pStyle w:val="37"/>
        <w:spacing w:line="576" w:lineRule="exact"/>
        <w:jc w:val="center"/>
        <w:rPr>
          <w:rFonts w:ascii="方正小标宋简体" w:hAnsi="方正小标宋简体" w:eastAsia="方正小标宋简体" w:cs="方正小标宋简体"/>
          <w:b/>
          <w:sz w:val="44"/>
          <w:szCs w:val="44"/>
        </w:rPr>
      </w:pPr>
    </w:p>
    <w:p>
      <w:pPr>
        <w:pStyle w:val="37"/>
        <w:spacing w:line="576" w:lineRule="exact"/>
        <w:rPr>
          <w:rFonts w:ascii="仿宋_GB2312" w:hAnsi="宋体" w:eastAsia="仿宋_GB2312"/>
          <w:color w:val="auto"/>
          <w:sz w:val="32"/>
          <w:szCs w:val="32"/>
          <w:shd w:val="clear" w:color="auto" w:fill="FFFFFF"/>
        </w:rPr>
      </w:pPr>
      <w:r>
        <w:rPr>
          <w:rFonts w:hint="eastAsia" w:ascii="仿宋_GB2312" w:hAnsi="宋体" w:eastAsia="仿宋_GB2312"/>
          <w:color w:val="auto"/>
          <w:sz w:val="32"/>
          <w:szCs w:val="32"/>
          <w:shd w:val="clear" w:color="auto" w:fill="FFFFFF"/>
          <w:lang w:val="zh-CN"/>
        </w:rPr>
        <w:t>附件</w:t>
      </w:r>
      <w:r>
        <w:rPr>
          <w:rFonts w:hint="eastAsia" w:ascii="仿宋_GB2312" w:hAnsi="宋体" w:eastAsia="仿宋_GB2312"/>
          <w:color w:val="auto"/>
          <w:sz w:val="32"/>
          <w:szCs w:val="32"/>
          <w:shd w:val="clear" w:color="auto" w:fill="FFFFFF"/>
        </w:rPr>
        <w:t>4</w:t>
      </w:r>
    </w:p>
    <w:p>
      <w:pPr>
        <w:pStyle w:val="37"/>
        <w:spacing w:line="576" w:lineRule="exact"/>
        <w:jc w:val="center"/>
        <w:rPr>
          <w:rFonts w:ascii="方正小标宋简体" w:hAnsi="方正小标宋简体" w:eastAsia="方正小标宋简体" w:cs="方正小标宋简体"/>
          <w:color w:val="auto"/>
          <w:kern w:val="2"/>
          <w:sz w:val="40"/>
          <w:szCs w:val="40"/>
          <w:lang w:val="zh-CN"/>
        </w:rPr>
      </w:pPr>
      <w:bookmarkStart w:id="79" w:name="_Toc13375"/>
      <w:r>
        <w:rPr>
          <w:rFonts w:hint="eastAsia" w:ascii="方正小标宋简体" w:hAnsi="方正小标宋简体" w:eastAsia="方正小标宋简体" w:cs="方正小标宋简体"/>
          <w:color w:val="auto"/>
          <w:kern w:val="2"/>
          <w:sz w:val="40"/>
          <w:szCs w:val="40"/>
          <w:lang w:val="zh-CN"/>
        </w:rPr>
        <w:t>通江县唱歌镇人民政府</w:t>
      </w:r>
      <w:bookmarkEnd w:id="79"/>
    </w:p>
    <w:p>
      <w:pPr>
        <w:spacing w:line="576" w:lineRule="exact"/>
        <w:jc w:val="center"/>
        <w:rPr>
          <w:rFonts w:ascii="方正小标宋简体" w:hAnsi="方正小标宋简体" w:eastAsia="方正小标宋简体" w:cs="方正小标宋简体"/>
          <w:sz w:val="40"/>
          <w:szCs w:val="40"/>
          <w:lang w:val="zh-CN"/>
        </w:rPr>
      </w:pPr>
      <w:bookmarkStart w:id="80" w:name="_Toc14628"/>
      <w:r>
        <w:rPr>
          <w:rFonts w:hint="eastAsia" w:ascii="方正小标宋简体" w:hAnsi="方正小标宋简体" w:eastAsia="方正小标宋简体" w:cs="方正小标宋简体"/>
          <w:sz w:val="40"/>
          <w:szCs w:val="40"/>
        </w:rPr>
        <w:t>2021年</w:t>
      </w:r>
      <w:r>
        <w:rPr>
          <w:rFonts w:hint="eastAsia" w:ascii="方正小标宋简体" w:hAnsi="方正小标宋简体" w:eastAsia="方正小标宋简体" w:cs="方正小标宋简体"/>
          <w:sz w:val="40"/>
          <w:szCs w:val="40"/>
          <w:lang w:val="zh-CN"/>
        </w:rPr>
        <w:t>易地扶贫搬迁集中安置区后续扶持</w:t>
      </w:r>
      <w:bookmarkEnd w:id="80"/>
    </w:p>
    <w:p>
      <w:pPr>
        <w:spacing w:line="576" w:lineRule="exact"/>
        <w:jc w:val="center"/>
        <w:rPr>
          <w:rFonts w:ascii="方正小标宋简体" w:hAnsi="方正小标宋简体" w:eastAsia="方正小标宋简体" w:cs="方正小标宋简体"/>
          <w:sz w:val="40"/>
          <w:szCs w:val="40"/>
          <w:lang w:val="zh-CN"/>
        </w:rPr>
      </w:pPr>
      <w:bookmarkStart w:id="81" w:name="_Toc23054"/>
      <w:r>
        <w:rPr>
          <w:rFonts w:hint="eastAsia" w:ascii="方正小标宋简体" w:hAnsi="方正小标宋简体" w:eastAsia="方正小标宋简体" w:cs="方正小标宋简体"/>
          <w:sz w:val="40"/>
          <w:szCs w:val="40"/>
          <w:lang w:val="zh-CN"/>
        </w:rPr>
        <w:t>项目支出绩效评价自评报告</w:t>
      </w:r>
      <w:bookmarkEnd w:id="81"/>
    </w:p>
    <w:p>
      <w:pPr>
        <w:adjustRightInd w:val="0"/>
        <w:snapToGrid w:val="0"/>
        <w:spacing w:line="540" w:lineRule="exact"/>
        <w:rPr>
          <w:rFonts w:ascii="仿宋" w:hAnsi="仿宋" w:eastAsia="仿宋" w:cs="仿宋"/>
          <w:bCs/>
          <w:sz w:val="32"/>
          <w:szCs w:val="32"/>
          <w:lang w:val="zh-CN"/>
        </w:rPr>
      </w:pP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为进一步规范财政资金管理，牢固树立预算绩效理念，强化支出责任，提高财政资金使用效益，结合我镇实际情况，认真组织开展了20</w:t>
      </w:r>
      <w:r>
        <w:rPr>
          <w:rFonts w:hint="eastAsia" w:ascii="仿宋_GB2312" w:hAnsi="宋体" w:eastAsia="仿宋_GB2312"/>
          <w:sz w:val="32"/>
          <w:szCs w:val="32"/>
        </w:rPr>
        <w:t>21</w:t>
      </w:r>
      <w:r>
        <w:rPr>
          <w:rFonts w:hint="eastAsia" w:ascii="仿宋_GB2312" w:hAnsi="宋体" w:eastAsia="仿宋_GB2312"/>
          <w:sz w:val="32"/>
          <w:szCs w:val="32"/>
          <w:lang w:val="zh-CN"/>
        </w:rPr>
        <w:t>年易地扶贫搬迁集中安置区后续扶持资金项目预算绩效自评工作，现将20</w:t>
      </w:r>
      <w:r>
        <w:rPr>
          <w:rFonts w:hint="eastAsia" w:ascii="仿宋_GB2312" w:hAnsi="宋体" w:eastAsia="仿宋_GB2312"/>
          <w:sz w:val="32"/>
          <w:szCs w:val="32"/>
        </w:rPr>
        <w:t>21</w:t>
      </w:r>
      <w:r>
        <w:rPr>
          <w:rFonts w:hint="eastAsia" w:ascii="仿宋_GB2312" w:hAnsi="宋体" w:eastAsia="仿宋_GB2312"/>
          <w:sz w:val="32"/>
          <w:szCs w:val="32"/>
          <w:lang w:val="zh-CN"/>
        </w:rPr>
        <w:t>年度易地扶贫搬迁集中安置区后续扶持项目绩效评价情况汇报如下</w:t>
      </w:r>
      <w:r>
        <w:t>：</w:t>
      </w:r>
    </w:p>
    <w:p>
      <w:pPr>
        <w:adjustRightInd w:val="0"/>
        <w:snapToGrid w:val="0"/>
        <w:spacing w:line="600" w:lineRule="exact"/>
        <w:ind w:firstLine="720"/>
        <w:rPr>
          <w:rFonts w:ascii="仿宋_GB2312" w:hAnsi="宋体" w:eastAsia="仿宋_GB2312"/>
          <w:b/>
          <w:bCs/>
          <w:sz w:val="32"/>
          <w:szCs w:val="32"/>
        </w:rPr>
      </w:pPr>
      <w:bookmarkStart w:id="82" w:name="_Toc29299"/>
      <w:r>
        <w:rPr>
          <w:rFonts w:hint="eastAsia" w:ascii="仿宋_GB2312" w:hAnsi="宋体" w:eastAsia="仿宋_GB2312"/>
          <w:b/>
          <w:bCs/>
          <w:sz w:val="32"/>
          <w:szCs w:val="32"/>
          <w:lang w:val="zh-CN"/>
        </w:rPr>
        <w:t>一、基本情况</w:t>
      </w:r>
      <w:bookmarkEnd w:id="82"/>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b/>
          <w:bCs/>
          <w:sz w:val="32"/>
          <w:szCs w:val="32"/>
          <w:lang w:val="zh-CN"/>
        </w:rPr>
        <w:t>（一）项目资金申报情况</w:t>
      </w:r>
      <w:r>
        <w:rPr>
          <w:rFonts w:hint="eastAsia" w:ascii="仿宋_GB2312" w:hAnsi="宋体" w:eastAsia="仿宋_GB2312"/>
          <w:sz w:val="32"/>
          <w:szCs w:val="32"/>
          <w:lang w:val="zh-CN"/>
        </w:rPr>
        <w:t>。唱歌镇</w:t>
      </w:r>
      <w:r>
        <w:rPr>
          <w:rFonts w:hint="eastAsia" w:ascii="仿宋_GB2312" w:hAnsi="宋体" w:eastAsia="仿宋_GB2312"/>
          <w:sz w:val="32"/>
          <w:szCs w:val="32"/>
        </w:rPr>
        <w:t>2021年易地扶贫搬迁集中安置区后续扶持</w:t>
      </w:r>
      <w:r>
        <w:rPr>
          <w:rFonts w:hint="eastAsia" w:ascii="仿宋_GB2312" w:hAnsi="宋体" w:eastAsia="仿宋_GB2312"/>
          <w:sz w:val="32"/>
          <w:szCs w:val="32"/>
          <w:lang w:val="zh-CN"/>
        </w:rPr>
        <w:t>项目资金</w:t>
      </w:r>
      <w:r>
        <w:rPr>
          <w:rFonts w:hint="eastAsia" w:ascii="仿宋_GB2312" w:hAnsi="宋体" w:eastAsia="仿宋_GB2312"/>
          <w:sz w:val="32"/>
          <w:szCs w:val="32"/>
          <w:u w:val="none" w:color="46CD7E"/>
          <w:shd w:val="clear" w:fill="auto"/>
          <w:lang w:val="zh-CN"/>
        </w:rPr>
        <w:t>总预算为</w:t>
      </w:r>
      <w:r>
        <w:rPr>
          <w:rFonts w:hint="eastAsia" w:ascii="仿宋_GB2312" w:hAnsi="宋体" w:eastAsia="仿宋_GB2312"/>
          <w:sz w:val="32"/>
          <w:szCs w:val="32"/>
        </w:rPr>
        <w:t>71.7万元，根据通财农〔2021〕21号资金下达文件要求，唱歌镇人民政府按照要求进行项目落实，</w:t>
      </w:r>
      <w:r>
        <w:rPr>
          <w:rFonts w:hint="eastAsia" w:ascii="仿宋_GB2312" w:hAnsi="宋体" w:eastAsia="仿宋_GB2312"/>
          <w:sz w:val="32"/>
          <w:szCs w:val="32"/>
          <w:lang w:val="zh-CN"/>
        </w:rPr>
        <w:t>符合资金管理办法等相关规定。</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b/>
          <w:bCs/>
          <w:sz w:val="32"/>
          <w:szCs w:val="32"/>
          <w:lang w:val="zh-CN"/>
        </w:rPr>
        <w:t>（二）项目绩效目标</w:t>
      </w:r>
      <w:r>
        <w:rPr>
          <w:rFonts w:hint="eastAsia" w:ascii="仿宋_GB2312" w:hAnsi="宋体" w:eastAsia="仿宋_GB2312"/>
          <w:sz w:val="32"/>
          <w:szCs w:val="32"/>
          <w:lang w:val="zh-CN"/>
        </w:rPr>
        <w:t>。全年完成</w:t>
      </w:r>
      <w:r>
        <w:rPr>
          <w:rFonts w:hint="eastAsia" w:ascii="仿宋_GB2312" w:hAnsi="宋体" w:eastAsia="仿宋_GB2312"/>
          <w:sz w:val="32"/>
          <w:szCs w:val="32"/>
        </w:rPr>
        <w:t>193</w:t>
      </w:r>
      <w:r>
        <w:rPr>
          <w:rFonts w:hint="eastAsia" w:ascii="仿宋_GB2312" w:hAnsi="宋体" w:eastAsia="仿宋_GB2312"/>
          <w:sz w:val="32"/>
          <w:szCs w:val="32"/>
          <w:lang w:val="zh-CN"/>
        </w:rPr>
        <w:t>户</w:t>
      </w:r>
      <w:r>
        <w:rPr>
          <w:rFonts w:hint="eastAsia" w:ascii="仿宋_GB2312" w:hAnsi="宋体" w:eastAsia="仿宋_GB2312"/>
          <w:sz w:val="32"/>
          <w:szCs w:val="32"/>
        </w:rPr>
        <w:t>710</w:t>
      </w:r>
      <w:r>
        <w:rPr>
          <w:rFonts w:hint="eastAsia" w:ascii="仿宋_GB2312" w:hAnsi="宋体" w:eastAsia="仿宋_GB2312"/>
          <w:sz w:val="32"/>
          <w:szCs w:val="32"/>
          <w:u w:val="none" w:color="46CD7E"/>
          <w:shd w:val="clear" w:fill="auto"/>
          <w:lang w:eastAsia="zh-CN"/>
        </w:rPr>
        <w:t>名</w:t>
      </w:r>
      <w:r>
        <w:rPr>
          <w:rFonts w:hint="eastAsia" w:ascii="仿宋_GB2312" w:hAnsi="宋体" w:eastAsia="仿宋_GB2312"/>
          <w:sz w:val="32"/>
          <w:szCs w:val="32"/>
        </w:rPr>
        <w:t>易地扶贫搬迁集中安置</w:t>
      </w:r>
      <w:r>
        <w:rPr>
          <w:rFonts w:hint="eastAsia" w:ascii="仿宋_GB2312" w:hAnsi="宋体" w:eastAsia="仿宋_GB2312"/>
          <w:sz w:val="32"/>
          <w:szCs w:val="32"/>
          <w:lang w:val="zh-CN"/>
        </w:rPr>
        <w:t>户产业扶持（含外出务工）奖补和集中安置区</w:t>
      </w:r>
      <w:r>
        <w:rPr>
          <w:rFonts w:hint="eastAsia" w:ascii="仿宋_GB2312" w:hAnsi="宋体" w:eastAsia="仿宋_GB2312"/>
          <w:sz w:val="32"/>
          <w:szCs w:val="32"/>
          <w:u w:val="none" w:color="46CD7E"/>
          <w:shd w:val="clear" w:fill="auto"/>
          <w:lang w:val="zh-CN"/>
        </w:rPr>
        <w:t>公益性</w:t>
      </w:r>
      <w:r>
        <w:rPr>
          <w:rFonts w:hint="eastAsia" w:ascii="仿宋_GB2312" w:hAnsi="宋体" w:eastAsia="仿宋_GB2312"/>
          <w:sz w:val="32"/>
          <w:szCs w:val="32"/>
          <w:lang w:val="zh-CN"/>
        </w:rPr>
        <w:t>岗位就业支持</w:t>
      </w:r>
      <w:r>
        <w:rPr>
          <w:rFonts w:hint="eastAsia" w:ascii="仿宋_GB2312" w:hAnsi="宋体" w:eastAsia="仿宋_GB2312"/>
          <w:sz w:val="32"/>
          <w:szCs w:val="32"/>
        </w:rPr>
        <w:t>，</w:t>
      </w:r>
      <w:r>
        <w:rPr>
          <w:rFonts w:hint="eastAsia" w:ascii="仿宋_GB2312" w:hAnsi="宋体" w:eastAsia="仿宋_GB2312"/>
          <w:sz w:val="32"/>
          <w:szCs w:val="32"/>
          <w:lang w:val="zh-CN"/>
        </w:rPr>
        <w:t>计划于</w:t>
      </w:r>
      <w:r>
        <w:rPr>
          <w:rFonts w:hint="eastAsia" w:ascii="仿宋_GB2312" w:hAnsi="宋体" w:eastAsia="仿宋_GB2312"/>
          <w:sz w:val="32"/>
          <w:szCs w:val="32"/>
        </w:rPr>
        <w:t>2021年11月完成项目</w:t>
      </w:r>
      <w:r>
        <w:rPr>
          <w:rFonts w:hint="eastAsia" w:ascii="仿宋_GB2312" w:hAnsi="宋体" w:eastAsia="仿宋_GB2312"/>
          <w:sz w:val="32"/>
          <w:szCs w:val="32"/>
          <w:lang w:val="zh-CN"/>
        </w:rPr>
        <w:t>。</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b/>
          <w:bCs/>
          <w:sz w:val="32"/>
          <w:szCs w:val="32"/>
          <w:lang w:val="zh-CN"/>
        </w:rPr>
        <w:t>（三）项目资金申报相符性</w:t>
      </w:r>
      <w:r>
        <w:rPr>
          <w:rFonts w:hint="eastAsia" w:ascii="仿宋_GB2312" w:hAnsi="宋体" w:eastAsia="仿宋_GB2312"/>
          <w:sz w:val="32"/>
          <w:szCs w:val="32"/>
          <w:lang w:val="zh-CN"/>
        </w:rPr>
        <w:t>。该项目申报内容与具体实施内容相符，申报目标合理可行。</w:t>
      </w:r>
    </w:p>
    <w:p>
      <w:pPr>
        <w:adjustRightInd w:val="0"/>
        <w:snapToGrid w:val="0"/>
        <w:spacing w:line="600" w:lineRule="exact"/>
        <w:ind w:firstLine="720"/>
        <w:rPr>
          <w:rFonts w:ascii="仿宋_GB2312" w:hAnsi="宋体" w:eastAsia="仿宋_GB2312"/>
          <w:b/>
          <w:bCs/>
          <w:sz w:val="32"/>
          <w:szCs w:val="32"/>
          <w:lang w:val="zh-CN"/>
        </w:rPr>
      </w:pPr>
      <w:bookmarkStart w:id="83" w:name="_Toc23051"/>
      <w:r>
        <w:rPr>
          <w:rFonts w:hint="eastAsia" w:ascii="仿宋_GB2312" w:hAnsi="宋体" w:eastAsia="仿宋_GB2312"/>
          <w:b/>
          <w:bCs/>
          <w:sz w:val="32"/>
          <w:szCs w:val="32"/>
          <w:lang w:val="zh-CN"/>
        </w:rPr>
        <w:t>二、资金使用情况</w:t>
      </w:r>
      <w:bookmarkEnd w:id="83"/>
    </w:p>
    <w:p>
      <w:pPr>
        <w:adjustRightInd w:val="0"/>
        <w:snapToGrid w:val="0"/>
        <w:spacing w:line="600" w:lineRule="exact"/>
        <w:ind w:firstLine="720"/>
        <w:rPr>
          <w:rFonts w:ascii="仿宋_GB2312" w:hAnsi="宋体" w:eastAsia="仿宋_GB2312"/>
          <w:b/>
          <w:bCs/>
          <w:sz w:val="32"/>
          <w:szCs w:val="32"/>
          <w:lang w:val="zh-CN"/>
        </w:rPr>
      </w:pPr>
      <w:r>
        <w:rPr>
          <w:rFonts w:hint="eastAsia" w:ascii="仿宋_GB2312" w:hAnsi="宋体" w:eastAsia="仿宋_GB2312"/>
          <w:b/>
          <w:bCs/>
          <w:sz w:val="32"/>
          <w:szCs w:val="32"/>
          <w:lang w:val="zh-CN"/>
        </w:rPr>
        <w:t>（一）资金使用情况。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1、资金计划及时到位。县财政局下达</w:t>
      </w:r>
      <w:r>
        <w:rPr>
          <w:rFonts w:hint="eastAsia" w:ascii="仿宋_GB2312" w:hAnsi="宋体" w:eastAsia="仿宋_GB2312"/>
          <w:sz w:val="32"/>
          <w:szCs w:val="32"/>
        </w:rPr>
        <w:t>2021年易地扶贫搬迁集中安置区后续扶持</w:t>
      </w:r>
      <w:r>
        <w:rPr>
          <w:rFonts w:hint="eastAsia" w:ascii="仿宋_GB2312" w:hAnsi="宋体" w:eastAsia="仿宋_GB2312"/>
          <w:sz w:val="32"/>
          <w:szCs w:val="32"/>
          <w:lang w:val="zh-CN"/>
        </w:rPr>
        <w:t>项目总预算</w:t>
      </w:r>
      <w:r>
        <w:rPr>
          <w:rFonts w:hint="eastAsia" w:ascii="仿宋_GB2312" w:hAnsi="宋体" w:eastAsia="仿宋_GB2312"/>
          <w:sz w:val="32"/>
          <w:szCs w:val="32"/>
        </w:rPr>
        <w:t>71.7万元</w:t>
      </w:r>
      <w:r>
        <w:rPr>
          <w:rFonts w:hint="eastAsia" w:ascii="仿宋_GB2312" w:hAnsi="宋体" w:eastAsia="仿宋_GB2312"/>
          <w:sz w:val="32"/>
          <w:szCs w:val="32"/>
          <w:lang w:val="zh-CN"/>
        </w:rPr>
        <w:t>至唱歌镇财政专户</w:t>
      </w:r>
      <w:r>
        <w:rPr>
          <w:rFonts w:hint="eastAsia" w:ascii="仿宋_GB2312" w:hAnsi="宋体" w:eastAsia="仿宋_GB2312"/>
          <w:sz w:val="32"/>
          <w:szCs w:val="32"/>
        </w:rPr>
        <w:t>。</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2、资金使用情况。</w:t>
      </w:r>
      <w:r>
        <w:rPr>
          <w:rFonts w:hint="eastAsia" w:ascii="仿宋_GB2312" w:hAnsi="宋体" w:eastAsia="仿宋_GB2312"/>
          <w:sz w:val="32"/>
          <w:szCs w:val="32"/>
        </w:rPr>
        <w:t>截至评价时点，后续扶持资金</w:t>
      </w:r>
      <w:r>
        <w:rPr>
          <w:rFonts w:hint="eastAsia" w:ascii="仿宋_GB2312" w:hAnsi="宋体" w:eastAsia="仿宋_GB2312"/>
          <w:sz w:val="32"/>
          <w:szCs w:val="32"/>
          <w:lang w:val="zh-CN"/>
        </w:rPr>
        <w:t>项目</w:t>
      </w:r>
      <w:r>
        <w:rPr>
          <w:rFonts w:hint="eastAsia" w:ascii="仿宋_GB2312" w:hAnsi="宋体" w:eastAsia="仿宋_GB2312"/>
          <w:sz w:val="32"/>
          <w:szCs w:val="32"/>
        </w:rPr>
        <w:t>已支付资金71.7万元。产业扶持支付标准按照搬迁户每人500—800元支付，人均支付不超过700元，支付程序及依据合规合法，资金支付与预算相符</w:t>
      </w:r>
      <w:r>
        <w:rPr>
          <w:rFonts w:hint="eastAsia" w:ascii="仿宋_GB2312" w:hAnsi="宋体" w:eastAsia="仿宋_GB2312"/>
          <w:sz w:val="32"/>
          <w:szCs w:val="32"/>
          <w:lang w:val="zh-CN"/>
        </w:rPr>
        <w:t>。</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b/>
          <w:bCs/>
          <w:sz w:val="32"/>
          <w:szCs w:val="32"/>
          <w:lang w:val="zh-CN"/>
        </w:rPr>
        <w:t>（二）项目组织实施情况</w:t>
      </w:r>
      <w:r>
        <w:rPr>
          <w:rFonts w:hint="eastAsia" w:ascii="仿宋_GB2312" w:hAnsi="宋体" w:eastAsia="仿宋_GB2312"/>
          <w:sz w:val="32"/>
          <w:szCs w:val="32"/>
          <w:lang w:val="zh-CN"/>
        </w:rPr>
        <w:t>。</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唱歌镇党委政府高度重视，成立了以党委书记余波为组长、镇长刘芝佐为副组长、其他领导班子及相关部门负责人为成员的唱歌镇乡村振兴项目领导小组，组织实施唱歌镇易地扶贫搬迁集中安置区后续扶持项目建设。领导小组从项目组织架构及实施流程、管理、监管等全方面把控项目质量，以确保项目能够保质保量地完成。按照相关规定，依法依规落实，经公示无异议后，确定将搬迁群众后续扶持产业发展资金和</w:t>
      </w:r>
      <w:r>
        <w:rPr>
          <w:rFonts w:hint="eastAsia" w:ascii="仿宋_GB2312" w:hAnsi="宋体" w:eastAsia="仿宋_GB2312"/>
          <w:sz w:val="32"/>
          <w:szCs w:val="32"/>
          <w:u w:val="none" w:color="46CD7E"/>
          <w:shd w:val="clear" w:fill="auto"/>
          <w:lang w:val="zh-CN"/>
        </w:rPr>
        <w:t>公益性岗位补助</w:t>
      </w:r>
      <w:r>
        <w:rPr>
          <w:rFonts w:hint="eastAsia" w:ascii="仿宋_GB2312" w:hAnsi="宋体" w:eastAsia="仿宋_GB2312"/>
          <w:sz w:val="32"/>
          <w:szCs w:val="32"/>
          <w:lang w:val="zh-CN"/>
        </w:rPr>
        <w:t>资金兑现给搬迁户，项目实施前后均按照程序进行公示公告。</w:t>
      </w:r>
    </w:p>
    <w:p>
      <w:pPr>
        <w:adjustRightInd w:val="0"/>
        <w:snapToGrid w:val="0"/>
        <w:spacing w:line="600" w:lineRule="exact"/>
        <w:ind w:firstLine="720"/>
        <w:rPr>
          <w:rFonts w:ascii="仿宋_GB2312" w:hAnsi="宋体" w:eastAsia="仿宋_GB2312"/>
          <w:b/>
          <w:bCs/>
          <w:sz w:val="32"/>
          <w:szCs w:val="32"/>
          <w:lang w:val="zh-CN"/>
        </w:rPr>
      </w:pPr>
      <w:bookmarkStart w:id="84" w:name="_Toc27226"/>
      <w:r>
        <w:rPr>
          <w:rFonts w:hint="eastAsia" w:ascii="仿宋_GB2312" w:hAnsi="宋体" w:eastAsia="仿宋_GB2312"/>
          <w:b/>
          <w:bCs/>
          <w:sz w:val="32"/>
          <w:szCs w:val="32"/>
          <w:lang w:val="zh-CN"/>
        </w:rPr>
        <w:t>三、目标完成情况</w:t>
      </w:r>
      <w:bookmarkEnd w:id="84"/>
      <w:r>
        <w:rPr>
          <w:rFonts w:hint="eastAsia" w:ascii="仿宋_GB2312" w:hAnsi="宋体" w:eastAsia="仿宋_GB2312"/>
          <w:b/>
          <w:bCs/>
          <w:sz w:val="32"/>
          <w:szCs w:val="32"/>
          <w:lang w:val="zh-CN"/>
        </w:rPr>
        <w:tab/>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b/>
          <w:bCs/>
          <w:sz w:val="32"/>
          <w:szCs w:val="32"/>
          <w:lang w:val="zh-CN"/>
        </w:rPr>
        <w:t>（一）目标任务量完成情况</w:t>
      </w:r>
      <w:r>
        <w:rPr>
          <w:rFonts w:hint="eastAsia" w:ascii="仿宋_GB2312" w:hAnsi="宋体" w:eastAsia="仿宋_GB2312"/>
          <w:sz w:val="32"/>
          <w:szCs w:val="32"/>
          <w:lang w:val="zh-CN"/>
        </w:rPr>
        <w:t>。</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易地扶贫搬迁集中安置区后续扶持资金中搬迁群众发展产业资金按照多种多补、差异化奖补的原则，公益岗位按照集中安置点搬迁人口多少和工作任务轻重进行补助，严格对照县镇两级</w:t>
      </w:r>
      <w:r>
        <w:rPr>
          <w:rFonts w:hint="eastAsia" w:ascii="仿宋_GB2312" w:hAnsi="宋体" w:eastAsia="仿宋_GB2312"/>
          <w:sz w:val="32"/>
          <w:szCs w:val="32"/>
          <w:lang w:val="en-US" w:eastAsia="zh-CN"/>
        </w:rPr>
        <w:t>计划</w:t>
      </w:r>
      <w:r>
        <w:rPr>
          <w:rFonts w:hint="eastAsia" w:ascii="仿宋_GB2312" w:hAnsi="宋体" w:eastAsia="仿宋_GB2312"/>
          <w:sz w:val="32"/>
          <w:szCs w:val="32"/>
          <w:lang w:val="zh-CN"/>
        </w:rPr>
        <w:t>实施进度进行补贴，并于</w:t>
      </w:r>
      <w:r>
        <w:rPr>
          <w:rFonts w:hint="eastAsia" w:ascii="仿宋_GB2312" w:hAnsi="宋体" w:eastAsia="仿宋_GB2312"/>
          <w:sz w:val="32"/>
          <w:szCs w:val="32"/>
        </w:rPr>
        <w:t>2021年12月全面完成补助，完成既定计划投资</w:t>
      </w:r>
      <w:r>
        <w:rPr>
          <w:rFonts w:hint="eastAsia" w:ascii="仿宋_GB2312" w:hAnsi="宋体" w:eastAsia="仿宋_GB2312"/>
          <w:sz w:val="32"/>
          <w:szCs w:val="32"/>
          <w:lang w:val="zh-CN"/>
        </w:rPr>
        <w:t>。</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b/>
          <w:bCs/>
          <w:sz w:val="32"/>
          <w:szCs w:val="32"/>
          <w:lang w:val="zh-CN"/>
        </w:rPr>
        <w:t>（二）目标质量完成情况</w:t>
      </w:r>
      <w:r>
        <w:rPr>
          <w:rFonts w:hint="eastAsia" w:ascii="仿宋_GB2312" w:hAnsi="宋体" w:eastAsia="仿宋_GB2312"/>
          <w:sz w:val="32"/>
          <w:szCs w:val="32"/>
          <w:lang w:val="zh-CN"/>
        </w:rPr>
        <w:t>。</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唱歌镇易地扶贫搬迁集中安置区后续扶持项目对照项目计划目标，全部高质量完成。</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b/>
          <w:bCs/>
          <w:sz w:val="32"/>
          <w:szCs w:val="32"/>
          <w:lang w:val="zh-CN"/>
        </w:rPr>
        <w:t>（三）目标进度完成情况</w:t>
      </w:r>
      <w:r>
        <w:rPr>
          <w:rFonts w:hint="eastAsia" w:ascii="仿宋_GB2312" w:hAnsi="宋体" w:eastAsia="仿宋_GB2312"/>
          <w:sz w:val="32"/>
          <w:szCs w:val="32"/>
          <w:lang w:val="zh-CN"/>
        </w:rPr>
        <w:t>。</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此项目对照预定进度计划已按期完成。</w:t>
      </w:r>
    </w:p>
    <w:p>
      <w:pPr>
        <w:adjustRightInd w:val="0"/>
        <w:snapToGrid w:val="0"/>
        <w:spacing w:line="600" w:lineRule="exact"/>
        <w:ind w:firstLine="720"/>
        <w:rPr>
          <w:rFonts w:ascii="仿宋_GB2312" w:hAnsi="宋体" w:eastAsia="仿宋_GB2312"/>
          <w:b/>
          <w:bCs/>
          <w:sz w:val="32"/>
          <w:szCs w:val="32"/>
          <w:lang w:val="zh-CN"/>
        </w:rPr>
      </w:pPr>
      <w:bookmarkStart w:id="85" w:name="_Toc6098"/>
      <w:r>
        <w:rPr>
          <w:rFonts w:hint="eastAsia" w:ascii="仿宋_GB2312" w:hAnsi="宋体" w:eastAsia="仿宋_GB2312"/>
          <w:b/>
          <w:bCs/>
          <w:sz w:val="32"/>
          <w:szCs w:val="32"/>
          <w:lang w:val="zh-CN"/>
        </w:rPr>
        <w:t>四、项目效益情况</w:t>
      </w:r>
      <w:bookmarkEnd w:id="85"/>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唱歌镇易地扶贫搬迁集中安置区后续扶持项目绩效情况总体较好，按预期目标完成了相关建设任务，使得我镇</w:t>
      </w:r>
      <w:r>
        <w:rPr>
          <w:rFonts w:hint="eastAsia" w:ascii="仿宋_GB2312" w:hAnsi="宋体" w:eastAsia="仿宋_GB2312"/>
          <w:sz w:val="32"/>
          <w:szCs w:val="32"/>
        </w:rPr>
        <w:t>193户710</w:t>
      </w:r>
      <w:r>
        <w:rPr>
          <w:rFonts w:hint="eastAsia" w:ascii="仿宋_GB2312" w:hAnsi="宋体" w:eastAsia="仿宋_GB2312"/>
          <w:sz w:val="32"/>
          <w:szCs w:val="32"/>
          <w:u w:val="none" w:color="46CD7E"/>
          <w:shd w:val="clear" w:fill="auto"/>
          <w:lang w:eastAsia="zh-CN"/>
        </w:rPr>
        <w:t>名</w:t>
      </w:r>
      <w:r>
        <w:rPr>
          <w:rFonts w:hint="eastAsia" w:ascii="仿宋_GB2312" w:hAnsi="宋体" w:eastAsia="仿宋_GB2312"/>
          <w:sz w:val="32"/>
          <w:szCs w:val="32"/>
        </w:rPr>
        <w:t>搬迁人口实现了产业发展和公益岗位补助全覆盖，实现搬迁人口人均增加收入700元以上，</w:t>
      </w:r>
      <w:r>
        <w:rPr>
          <w:rFonts w:hint="eastAsia" w:ascii="仿宋_GB2312" w:hAnsi="宋体" w:eastAsia="仿宋_GB2312"/>
          <w:sz w:val="32"/>
          <w:szCs w:val="32"/>
          <w:lang w:val="zh-CN"/>
        </w:rPr>
        <w:t>为实现巩固拓展脱贫攻坚成果同乡村振兴有效衔接打下坚实基础，受益农户满意度均达到</w:t>
      </w:r>
      <w:r>
        <w:rPr>
          <w:rFonts w:hint="eastAsia" w:ascii="仿宋_GB2312" w:hAnsi="宋体" w:eastAsia="仿宋_GB2312"/>
          <w:sz w:val="32"/>
          <w:szCs w:val="32"/>
        </w:rPr>
        <w:t>95%以上。</w:t>
      </w:r>
    </w:p>
    <w:p>
      <w:pPr>
        <w:adjustRightInd w:val="0"/>
        <w:snapToGrid w:val="0"/>
        <w:spacing w:line="600" w:lineRule="exact"/>
        <w:ind w:firstLine="720"/>
        <w:rPr>
          <w:rFonts w:ascii="仿宋_GB2312" w:hAnsi="宋体" w:eastAsia="仿宋_GB2312"/>
          <w:b/>
          <w:bCs/>
          <w:sz w:val="32"/>
          <w:szCs w:val="32"/>
          <w:lang w:val="zh-CN"/>
        </w:rPr>
      </w:pPr>
      <w:bookmarkStart w:id="86" w:name="_Toc6446"/>
      <w:r>
        <w:rPr>
          <w:rFonts w:hint="eastAsia" w:ascii="仿宋_GB2312" w:hAnsi="宋体" w:eastAsia="仿宋_GB2312"/>
          <w:b/>
          <w:bCs/>
          <w:sz w:val="32"/>
          <w:szCs w:val="32"/>
          <w:lang w:val="zh-CN"/>
        </w:rPr>
        <w:t>五、问题及建议</w:t>
      </w:r>
      <w:bookmarkEnd w:id="86"/>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通过我镇、村开展自查，无问题及建议。</w:t>
      </w:r>
    </w:p>
    <w:p>
      <w:pPr>
        <w:widowControl/>
        <w:jc w:val="left"/>
        <w:rPr>
          <w:rStyle w:val="30"/>
          <w:rFonts w:ascii="黑体" w:hAnsi="黑体" w:eastAsia="黑体"/>
          <w:b w:val="0"/>
        </w:rPr>
      </w:pPr>
    </w:p>
    <w:p>
      <w:pPr>
        <w:widowControl/>
        <w:jc w:val="left"/>
        <w:rPr>
          <w:rStyle w:val="30"/>
          <w:rFonts w:ascii="黑体" w:hAnsi="黑体" w:eastAsia="黑体"/>
          <w:b w:val="0"/>
        </w:rPr>
      </w:pPr>
      <w:r>
        <w:br w:type="page"/>
      </w:r>
    </w:p>
    <w:p>
      <w:pPr>
        <w:pStyle w:val="3"/>
        <w:spacing w:before="93"/>
        <w:rPr>
          <w:rFonts w:hAnsi="宋体" w:cs="宋体"/>
          <w:sz w:val="32"/>
          <w:szCs w:val="32"/>
          <w:shd w:val="clear" w:color="auto" w:fill="FFFFFF"/>
        </w:rPr>
      </w:pPr>
      <w:r>
        <w:rPr>
          <w:rFonts w:hint="eastAsia" w:hAnsi="宋体" w:cs="宋体"/>
          <w:sz w:val="32"/>
          <w:szCs w:val="32"/>
          <w:shd w:val="clear" w:color="auto" w:fill="FFFFFF"/>
          <w:lang w:val="zh-CN"/>
        </w:rPr>
        <w:t>附件</w:t>
      </w:r>
      <w:r>
        <w:rPr>
          <w:rFonts w:hint="eastAsia" w:hAnsi="宋体" w:cs="宋体"/>
          <w:sz w:val="32"/>
          <w:szCs w:val="32"/>
          <w:shd w:val="clear" w:color="auto" w:fill="FFFFFF"/>
        </w:rPr>
        <w:t>5</w:t>
      </w:r>
    </w:p>
    <w:tbl>
      <w:tblPr>
        <w:tblStyle w:val="7"/>
        <w:tblW w:w="8592" w:type="dxa"/>
        <w:tblInd w:w="0" w:type="dxa"/>
        <w:tblLayout w:type="fixed"/>
        <w:tblCellMar>
          <w:top w:w="0" w:type="dxa"/>
          <w:left w:w="0" w:type="dxa"/>
          <w:bottom w:w="0" w:type="dxa"/>
          <w:right w:w="0" w:type="dxa"/>
        </w:tblCellMar>
      </w:tblPr>
      <w:tblGrid>
        <w:gridCol w:w="433"/>
        <w:gridCol w:w="715"/>
        <w:gridCol w:w="863"/>
        <w:gridCol w:w="1781"/>
        <w:gridCol w:w="479"/>
        <w:gridCol w:w="470"/>
        <w:gridCol w:w="1018"/>
        <w:gridCol w:w="738"/>
        <w:gridCol w:w="689"/>
        <w:gridCol w:w="919"/>
        <w:gridCol w:w="487"/>
      </w:tblGrid>
      <w:tr>
        <w:tblPrEx>
          <w:tblCellMar>
            <w:top w:w="0" w:type="dxa"/>
            <w:left w:w="0" w:type="dxa"/>
            <w:bottom w:w="0" w:type="dxa"/>
            <w:right w:w="0" w:type="dxa"/>
          </w:tblCellMar>
        </w:tblPrEx>
        <w:trPr>
          <w:trHeight w:val="90" w:hRule="atLeast"/>
        </w:trPr>
        <w:tc>
          <w:tcPr>
            <w:tcW w:w="8592" w:type="dxa"/>
            <w:gridSpan w:val="11"/>
            <w:tcBorders>
              <w:top w:val="nil"/>
              <w:left w:val="nil"/>
              <w:bottom w:val="nil"/>
              <w:right w:val="nil"/>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32"/>
                <w:szCs w:val="32"/>
              </w:rPr>
            </w:pPr>
            <w:r>
              <w:rPr>
                <w:rStyle w:val="38"/>
                <w:rFonts w:hint="default"/>
              </w:rPr>
              <w:t>绩效目标自评表</w:t>
            </w:r>
          </w:p>
        </w:tc>
      </w:tr>
      <w:tr>
        <w:tblPrEx>
          <w:tblCellMar>
            <w:top w:w="0" w:type="dxa"/>
            <w:left w:w="0" w:type="dxa"/>
            <w:bottom w:w="0" w:type="dxa"/>
            <w:right w:w="0" w:type="dxa"/>
          </w:tblCellMar>
        </w:tblPrEx>
        <w:trPr>
          <w:trHeight w:val="90" w:hRule="atLeast"/>
        </w:trPr>
        <w:tc>
          <w:tcPr>
            <w:tcW w:w="8592" w:type="dxa"/>
            <w:gridSpan w:val="11"/>
            <w:tcBorders>
              <w:top w:val="nil"/>
              <w:left w:val="nil"/>
              <w:bottom w:val="single" w:color="000000" w:sz="4" w:space="0"/>
              <w:right w:val="nil"/>
            </w:tcBorders>
            <w:shd w:val="clear" w:color="auto" w:fill="auto"/>
            <w:tcMar>
              <w:top w:w="15" w:type="dxa"/>
              <w:left w:w="15" w:type="dxa"/>
              <w:bottom w:w="0" w:type="dxa"/>
              <w:right w:w="15" w:type="dxa"/>
            </w:tcMar>
          </w:tcPr>
          <w:p>
            <w:pPr>
              <w:widowControl/>
              <w:jc w:val="center"/>
              <w:textAlignment w:val="top"/>
              <w:rPr>
                <w:rFonts w:ascii="宋体" w:hAnsi="宋体" w:cs="宋体"/>
                <w:color w:val="000000"/>
                <w:sz w:val="22"/>
                <w:szCs w:val="22"/>
              </w:rPr>
            </w:pPr>
            <w:r>
              <w:rPr>
                <w:rFonts w:hint="eastAsia" w:ascii="宋体" w:hAnsi="宋体" w:cs="宋体"/>
                <w:color w:val="000000"/>
                <w:kern w:val="0"/>
                <w:sz w:val="22"/>
                <w:szCs w:val="22"/>
              </w:rPr>
              <w:t>（2021年度）</w:t>
            </w:r>
          </w:p>
        </w:tc>
      </w:tr>
      <w:tr>
        <w:tblPrEx>
          <w:tblCellMar>
            <w:top w:w="0" w:type="dxa"/>
            <w:left w:w="0" w:type="dxa"/>
            <w:bottom w:w="0" w:type="dxa"/>
            <w:right w:w="0" w:type="dxa"/>
          </w:tblCellMar>
        </w:tblPrEx>
        <w:trPr>
          <w:trHeight w:val="90" w:hRule="atLeast"/>
        </w:trPr>
        <w:tc>
          <w:tcPr>
            <w:tcW w:w="201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项目名称</w:t>
            </w:r>
          </w:p>
        </w:tc>
        <w:tc>
          <w:tcPr>
            <w:tcW w:w="27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易迁后续扶持项目</w:t>
            </w: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项目负责人及电话</w:t>
            </w:r>
          </w:p>
        </w:tc>
        <w:tc>
          <w:tcPr>
            <w:tcW w:w="283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0"/>
                <w:szCs w:val="20"/>
                <w:u w:val="none"/>
                <w:lang w:eastAsia="zh-CN"/>
              </w:rPr>
            </w:pPr>
            <w:r>
              <w:rPr>
                <w:rFonts w:hint="eastAsia" w:ascii="宋体" w:hAnsi="宋体" w:cs="宋体"/>
                <w:color w:val="000000"/>
                <w:kern w:val="0"/>
                <w:sz w:val="20"/>
                <w:szCs w:val="20"/>
              </w:rPr>
              <w:t>刘芝佐</w:t>
            </w:r>
          </w:p>
        </w:tc>
      </w:tr>
      <w:tr>
        <w:tblPrEx>
          <w:tblCellMar>
            <w:top w:w="0" w:type="dxa"/>
            <w:left w:w="0" w:type="dxa"/>
            <w:bottom w:w="0" w:type="dxa"/>
            <w:right w:w="0" w:type="dxa"/>
          </w:tblCellMar>
        </w:tblPrEx>
        <w:trPr>
          <w:trHeight w:val="90" w:hRule="atLeast"/>
        </w:trPr>
        <w:tc>
          <w:tcPr>
            <w:tcW w:w="201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主管部门</w:t>
            </w:r>
          </w:p>
        </w:tc>
        <w:tc>
          <w:tcPr>
            <w:tcW w:w="27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通江县发改局</w:t>
            </w: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实施单位</w:t>
            </w:r>
          </w:p>
        </w:tc>
        <w:tc>
          <w:tcPr>
            <w:tcW w:w="283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通江县唱歌镇人民政府</w:t>
            </w:r>
          </w:p>
        </w:tc>
      </w:tr>
      <w:tr>
        <w:tblPrEx>
          <w:tblCellMar>
            <w:top w:w="0" w:type="dxa"/>
            <w:left w:w="0" w:type="dxa"/>
            <w:bottom w:w="0" w:type="dxa"/>
            <w:right w:w="0" w:type="dxa"/>
          </w:tblCellMar>
        </w:tblPrEx>
        <w:trPr>
          <w:trHeight w:val="90" w:hRule="atLeast"/>
        </w:trPr>
        <w:tc>
          <w:tcPr>
            <w:tcW w:w="201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资金情况</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（万元）</w:t>
            </w: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9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全年预算数（A）</w:t>
            </w:r>
          </w:p>
        </w:tc>
        <w:tc>
          <w:tcPr>
            <w:tcW w:w="17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全年执行数（B）</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分值</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执行率（B/A</w:t>
            </w:r>
            <w:r>
              <w:t>）</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得分</w:t>
            </w:r>
          </w:p>
        </w:tc>
      </w:tr>
      <w:tr>
        <w:tblPrEx>
          <w:tblCellMar>
            <w:top w:w="0" w:type="dxa"/>
            <w:left w:w="0" w:type="dxa"/>
            <w:bottom w:w="0" w:type="dxa"/>
            <w:right w:w="0" w:type="dxa"/>
          </w:tblCellMar>
        </w:tblPrEx>
        <w:trPr>
          <w:trHeight w:val="90" w:hRule="atLeast"/>
        </w:trPr>
        <w:tc>
          <w:tcPr>
            <w:tcW w:w="201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年度资金总额：</w:t>
            </w:r>
          </w:p>
        </w:tc>
        <w:tc>
          <w:tcPr>
            <w:tcW w:w="9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71.7</w:t>
            </w:r>
          </w:p>
        </w:tc>
        <w:tc>
          <w:tcPr>
            <w:tcW w:w="17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71.7</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left"/>
              <w:rPr>
                <w:rFonts w:ascii="宋体" w:hAnsi="宋体" w:cs="宋体"/>
                <w:color w:val="000000"/>
                <w:sz w:val="20"/>
                <w:szCs w:val="20"/>
              </w:rPr>
            </w:pP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90" w:hRule="atLeast"/>
        </w:trPr>
        <w:tc>
          <w:tcPr>
            <w:tcW w:w="201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left"/>
              <w:textAlignment w:val="center"/>
              <w:rPr>
                <w:rFonts w:ascii="宋体" w:hAnsi="宋体" w:cs="宋体"/>
                <w:color w:val="000000"/>
                <w:sz w:val="20"/>
                <w:szCs w:val="20"/>
              </w:rPr>
            </w:pPr>
            <w:r>
              <w:rPr>
                <w:rStyle w:val="40"/>
                <w:rFonts w:hint="default"/>
              </w:rPr>
              <w:t>其中：本年财政拨款</w:t>
            </w:r>
          </w:p>
        </w:tc>
        <w:tc>
          <w:tcPr>
            <w:tcW w:w="9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71.7</w:t>
            </w:r>
          </w:p>
        </w:tc>
        <w:tc>
          <w:tcPr>
            <w:tcW w:w="17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71.7</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left"/>
              <w:rPr>
                <w:rFonts w:ascii="宋体" w:hAnsi="宋体" w:cs="宋体"/>
                <w:color w:val="000000"/>
                <w:sz w:val="20"/>
                <w:szCs w:val="20"/>
              </w:rPr>
            </w:pP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0" w:type="dxa"/>
            <w:left w:w="0" w:type="dxa"/>
            <w:bottom w:w="0" w:type="dxa"/>
            <w:right w:w="0" w:type="dxa"/>
          </w:tblCellMar>
        </w:tblPrEx>
        <w:trPr>
          <w:trHeight w:val="90" w:hRule="atLeast"/>
        </w:trPr>
        <w:tc>
          <w:tcPr>
            <w:tcW w:w="201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left"/>
              <w:textAlignment w:val="center"/>
              <w:rPr>
                <w:rFonts w:ascii="宋体" w:hAnsi="宋体" w:cs="宋体"/>
                <w:color w:val="000000"/>
                <w:sz w:val="20"/>
                <w:szCs w:val="20"/>
              </w:rPr>
            </w:pPr>
            <w:r>
              <w:rPr>
                <w:rStyle w:val="40"/>
                <w:rFonts w:hint="default"/>
              </w:rPr>
              <w:t>其他资金</w:t>
            </w:r>
          </w:p>
        </w:tc>
        <w:tc>
          <w:tcPr>
            <w:tcW w:w="9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17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left"/>
              <w:rPr>
                <w:rFonts w:ascii="宋体" w:hAnsi="宋体" w:cs="宋体"/>
                <w:color w:val="000000"/>
                <w:sz w:val="20"/>
                <w:szCs w:val="20"/>
              </w:rPr>
            </w:pP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0" w:type="dxa"/>
            <w:left w:w="0" w:type="dxa"/>
            <w:bottom w:w="0" w:type="dxa"/>
            <w:right w:w="0" w:type="dxa"/>
          </w:tblCellMar>
        </w:tblPrEx>
        <w:trPr>
          <w:trHeight w:val="90" w:hRule="atLeast"/>
        </w:trPr>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年度总体目标</w:t>
            </w:r>
          </w:p>
        </w:tc>
        <w:tc>
          <w:tcPr>
            <w:tcW w:w="430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w:t>
            </w:r>
            <w:r>
              <w:rPr>
                <w:rFonts w:hint="eastAsia" w:ascii="宋体" w:hAnsi="宋体" w:cs="宋体"/>
                <w:color w:val="000000"/>
                <w:kern w:val="0"/>
                <w:sz w:val="20"/>
                <w:szCs w:val="20"/>
                <w:u w:val="none" w:color="46CD7E"/>
                <w:shd w:val="clear" w:fill="auto"/>
                <w:lang w:eastAsia="zh-CN"/>
              </w:rPr>
              <w:t>设定的</w:t>
            </w:r>
            <w:r>
              <w:rPr>
                <w:rFonts w:hint="eastAsia" w:ascii="宋体" w:hAnsi="宋体" w:cs="宋体"/>
                <w:color w:val="000000"/>
                <w:kern w:val="0"/>
                <w:sz w:val="20"/>
                <w:szCs w:val="20"/>
              </w:rPr>
              <w:t>目标</w:t>
            </w:r>
          </w:p>
        </w:tc>
        <w:tc>
          <w:tcPr>
            <w:tcW w:w="385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年度总体目标完成情况综述</w:t>
            </w:r>
          </w:p>
        </w:tc>
      </w:tr>
      <w:tr>
        <w:tblPrEx>
          <w:tblCellMar>
            <w:top w:w="0" w:type="dxa"/>
            <w:left w:w="0" w:type="dxa"/>
            <w:bottom w:w="0" w:type="dxa"/>
            <w:right w:w="0" w:type="dxa"/>
          </w:tblCellMar>
        </w:tblPrEx>
        <w:trPr>
          <w:trHeight w:val="9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430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1.扶持易迁户发展经济，实现易迁户搬得出、坐得住、能致富目标；3.向易迁户提供发展资金支持，提高易迁户经济收入，增强幸福感、获得感。3.救助低收入群体。</w:t>
            </w:r>
          </w:p>
        </w:tc>
        <w:tc>
          <w:tcPr>
            <w:tcW w:w="385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1.扶持易迁户发展经济，实现易迁户搬得出、坐得住、能致富目标；3.向易迁户提供发展资金支持，提高易迁户经济收入，增强幸福感、获得感。3.救助低收入群体。</w:t>
            </w:r>
          </w:p>
        </w:tc>
      </w:tr>
      <w:tr>
        <w:tblPrEx>
          <w:tblCellMar>
            <w:top w:w="0" w:type="dxa"/>
            <w:left w:w="0" w:type="dxa"/>
            <w:bottom w:w="0" w:type="dxa"/>
            <w:right w:w="0" w:type="dxa"/>
          </w:tblCellMar>
        </w:tblPrEx>
        <w:trPr>
          <w:trHeight w:val="90" w:hRule="atLeast"/>
        </w:trPr>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绩效指标</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二级指标</w:t>
            </w:r>
          </w:p>
        </w:tc>
        <w:tc>
          <w:tcPr>
            <w:tcW w:w="22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三级指标</w:t>
            </w:r>
          </w:p>
        </w:tc>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分值</w:t>
            </w: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年度指标值</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全年实际值</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得分</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未完成原因及拟采取的改进措施</w:t>
            </w:r>
          </w:p>
        </w:tc>
      </w:tr>
      <w:tr>
        <w:tblPrEx>
          <w:tblCellMar>
            <w:top w:w="0" w:type="dxa"/>
            <w:left w:w="0" w:type="dxa"/>
            <w:bottom w:w="0" w:type="dxa"/>
            <w:right w:w="0" w:type="dxa"/>
          </w:tblCellMar>
        </w:tblPrEx>
        <w:trPr>
          <w:trHeight w:val="9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jc w:val="center"/>
              <w:rPr>
                <w:rFonts w:ascii="宋体" w:hAnsi="宋体" w:cs="宋体"/>
                <w:color w:val="000000"/>
                <w:sz w:val="20"/>
                <w:szCs w:val="20"/>
              </w:rPr>
            </w:pPr>
          </w:p>
        </w:tc>
        <w:tc>
          <w:tcPr>
            <w:tcW w:w="7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标</w:t>
            </w:r>
            <w:r>
              <w:rPr>
                <w:rFonts w:hint="eastAsia" w:ascii="宋体" w:hAnsi="宋体" w:cs="宋体"/>
                <w:color w:val="000000"/>
                <w:kern w:val="0"/>
                <w:sz w:val="20"/>
                <w:szCs w:val="20"/>
              </w:rPr>
              <w:br w:type="textWrapping"/>
            </w:r>
            <w:r>
              <w:t>（</w:t>
            </w:r>
            <w:r>
              <w:rPr>
                <w:rFonts w:hint="eastAsia" w:ascii="宋体" w:hAnsi="宋体" w:cs="宋体"/>
                <w:color w:val="000000"/>
                <w:kern w:val="0"/>
                <w:sz w:val="20"/>
                <w:szCs w:val="20"/>
              </w:rPr>
              <w:t>50分</w:t>
            </w:r>
            <w:r>
              <w:t>）</w:t>
            </w:r>
          </w:p>
        </w:tc>
        <w:tc>
          <w:tcPr>
            <w:tcW w:w="8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数量指标</w:t>
            </w:r>
          </w:p>
        </w:tc>
        <w:tc>
          <w:tcPr>
            <w:tcW w:w="226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财政支农搬迁资金占比</w:t>
            </w:r>
          </w:p>
        </w:tc>
        <w:tc>
          <w:tcPr>
            <w:tcW w:w="470" w:type="dxa"/>
            <w:tcBorders>
              <w:top w:val="single" w:color="000000" w:sz="4" w:space="0"/>
              <w:left w:val="nil"/>
              <w:bottom w:val="single" w:color="000000" w:sz="4" w:space="0"/>
              <w:right w:val="nil"/>
            </w:tcBorders>
            <w:shd w:val="clear" w:color="auto" w:fill="FFFFFF"/>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7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9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jc w:val="center"/>
              <w:rPr>
                <w:rFonts w:ascii="宋体" w:hAnsi="宋体" w:cs="宋体"/>
                <w:color w:val="000000"/>
                <w:sz w:val="20"/>
                <w:szCs w:val="20"/>
              </w:rPr>
            </w:pPr>
          </w:p>
        </w:tc>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226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受益群众人口数</w:t>
            </w:r>
          </w:p>
        </w:tc>
        <w:tc>
          <w:tcPr>
            <w:tcW w:w="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≥710人</w:t>
            </w:r>
          </w:p>
        </w:tc>
        <w:tc>
          <w:tcPr>
            <w:tcW w:w="7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710人</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9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jc w:val="center"/>
              <w:rPr>
                <w:rFonts w:ascii="宋体" w:hAnsi="宋体" w:cs="宋体"/>
                <w:color w:val="000000"/>
                <w:sz w:val="20"/>
                <w:szCs w:val="20"/>
              </w:rPr>
            </w:pPr>
          </w:p>
        </w:tc>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质量指标</w:t>
            </w:r>
          </w:p>
        </w:tc>
        <w:tc>
          <w:tcPr>
            <w:tcW w:w="22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资金使用率</w:t>
            </w:r>
          </w:p>
        </w:tc>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7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9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jc w:val="center"/>
              <w:rPr>
                <w:rFonts w:ascii="宋体" w:hAnsi="宋体" w:cs="宋体"/>
                <w:color w:val="000000"/>
                <w:sz w:val="20"/>
                <w:szCs w:val="20"/>
              </w:rPr>
            </w:pPr>
          </w:p>
        </w:tc>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8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时效指标</w:t>
            </w:r>
          </w:p>
        </w:tc>
        <w:tc>
          <w:tcPr>
            <w:tcW w:w="226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组织项目完成实效</w:t>
            </w:r>
          </w:p>
        </w:tc>
        <w:tc>
          <w:tcPr>
            <w:tcW w:w="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7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9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jc w:val="center"/>
              <w:rPr>
                <w:rFonts w:ascii="宋体" w:hAnsi="宋体" w:cs="宋体"/>
                <w:color w:val="000000"/>
                <w:sz w:val="20"/>
                <w:szCs w:val="20"/>
              </w:rPr>
            </w:pPr>
          </w:p>
        </w:tc>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226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资金使用期限</w:t>
            </w:r>
          </w:p>
        </w:tc>
        <w:tc>
          <w:tcPr>
            <w:tcW w:w="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≤1年</w:t>
            </w:r>
          </w:p>
        </w:tc>
        <w:tc>
          <w:tcPr>
            <w:tcW w:w="7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1年</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98"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jc w:val="center"/>
              <w:rPr>
                <w:rFonts w:ascii="宋体" w:hAnsi="宋体" w:cs="宋体"/>
                <w:color w:val="000000"/>
                <w:sz w:val="20"/>
                <w:szCs w:val="20"/>
              </w:rPr>
            </w:pPr>
          </w:p>
        </w:tc>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成本指标</w:t>
            </w:r>
          </w:p>
        </w:tc>
        <w:tc>
          <w:tcPr>
            <w:tcW w:w="22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财政性投入资金</w:t>
            </w:r>
          </w:p>
        </w:tc>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≥71.7万元</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71.7万元</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9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jc w:val="center"/>
              <w:rPr>
                <w:rFonts w:ascii="宋体" w:hAnsi="宋体" w:cs="宋体"/>
                <w:color w:val="000000"/>
                <w:sz w:val="20"/>
                <w:szCs w:val="20"/>
              </w:rPr>
            </w:pPr>
          </w:p>
        </w:tc>
        <w:tc>
          <w:tcPr>
            <w:tcW w:w="7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效</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标</w:t>
            </w:r>
            <w:r>
              <w:rPr>
                <w:rFonts w:hint="eastAsia" w:ascii="宋体" w:hAnsi="宋体" w:cs="宋体"/>
                <w:color w:val="000000"/>
                <w:kern w:val="0"/>
                <w:sz w:val="20"/>
                <w:szCs w:val="20"/>
              </w:rPr>
              <w:br w:type="textWrapping"/>
            </w:r>
            <w:r>
              <w:t>（</w:t>
            </w:r>
            <w:r>
              <w:rPr>
                <w:rFonts w:hint="eastAsia" w:ascii="宋体" w:hAnsi="宋体" w:cs="宋体"/>
                <w:color w:val="000000"/>
                <w:kern w:val="0"/>
                <w:sz w:val="20"/>
                <w:szCs w:val="20"/>
              </w:rPr>
              <w:t>30分</w:t>
            </w:r>
            <w:r>
              <w:t>）</w:t>
            </w:r>
          </w:p>
        </w:tc>
        <w:tc>
          <w:tcPr>
            <w:tcW w:w="8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经济效益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226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农户经济预计年收入</w:t>
            </w:r>
          </w:p>
        </w:tc>
        <w:tc>
          <w:tcPr>
            <w:tcW w:w="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≥0.4万元</w:t>
            </w:r>
          </w:p>
        </w:tc>
        <w:tc>
          <w:tcPr>
            <w:tcW w:w="7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0.4万元</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9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jc w:val="center"/>
              <w:rPr>
                <w:rFonts w:ascii="宋体" w:hAnsi="宋体" w:cs="宋体"/>
                <w:color w:val="000000"/>
                <w:sz w:val="20"/>
                <w:szCs w:val="20"/>
              </w:rPr>
            </w:pPr>
          </w:p>
        </w:tc>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226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带动增加受益群众人口全年总收入</w:t>
            </w:r>
          </w:p>
        </w:tc>
        <w:tc>
          <w:tcPr>
            <w:tcW w:w="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≥0.1万元</w:t>
            </w:r>
          </w:p>
        </w:tc>
        <w:tc>
          <w:tcPr>
            <w:tcW w:w="7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0.1万元</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9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jc w:val="center"/>
              <w:rPr>
                <w:rFonts w:ascii="宋体" w:hAnsi="宋体" w:cs="宋体"/>
                <w:color w:val="000000"/>
                <w:sz w:val="20"/>
                <w:szCs w:val="20"/>
              </w:rPr>
            </w:pPr>
          </w:p>
        </w:tc>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社会效益指标</w:t>
            </w:r>
          </w:p>
        </w:tc>
        <w:tc>
          <w:tcPr>
            <w:tcW w:w="22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受益群众户数</w:t>
            </w:r>
          </w:p>
        </w:tc>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≥193户</w:t>
            </w:r>
          </w:p>
        </w:tc>
        <w:tc>
          <w:tcPr>
            <w:tcW w:w="7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193户</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9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jc w:val="center"/>
              <w:rPr>
                <w:rFonts w:ascii="宋体" w:hAnsi="宋体" w:cs="宋体"/>
                <w:color w:val="000000"/>
                <w:sz w:val="20"/>
                <w:szCs w:val="20"/>
              </w:rPr>
            </w:pPr>
          </w:p>
        </w:tc>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生态效益指标</w:t>
            </w:r>
          </w:p>
        </w:tc>
        <w:tc>
          <w:tcPr>
            <w:tcW w:w="22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9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jc w:val="center"/>
              <w:rPr>
                <w:rFonts w:ascii="宋体" w:hAnsi="宋体" w:cs="宋体"/>
                <w:color w:val="000000"/>
                <w:sz w:val="20"/>
                <w:szCs w:val="20"/>
              </w:rPr>
            </w:pPr>
          </w:p>
        </w:tc>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可持续影响指标</w:t>
            </w:r>
          </w:p>
        </w:tc>
        <w:tc>
          <w:tcPr>
            <w:tcW w:w="22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受益群众年限</w:t>
            </w:r>
          </w:p>
        </w:tc>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长期</w:t>
            </w:r>
          </w:p>
        </w:tc>
        <w:tc>
          <w:tcPr>
            <w:tcW w:w="7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长期</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9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jc w:val="center"/>
              <w:rPr>
                <w:rFonts w:ascii="宋体" w:hAnsi="宋体" w:cs="宋体"/>
                <w:color w:val="000000"/>
                <w:sz w:val="20"/>
                <w:szCs w:val="20"/>
              </w:rPr>
            </w:pP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满意度指标</w:t>
            </w:r>
            <w:r>
              <w:rPr>
                <w:rFonts w:hint="eastAsia" w:ascii="宋体" w:hAnsi="宋体" w:cs="宋体"/>
                <w:color w:val="000000"/>
                <w:kern w:val="0"/>
                <w:sz w:val="20"/>
                <w:szCs w:val="20"/>
              </w:rPr>
              <w:br w:type="textWrapping"/>
            </w:r>
            <w:r>
              <w:t>（</w:t>
            </w:r>
            <w:r>
              <w:rPr>
                <w:rFonts w:hint="eastAsia" w:ascii="宋体" w:hAnsi="宋体" w:cs="宋体"/>
                <w:color w:val="000000"/>
                <w:kern w:val="0"/>
                <w:sz w:val="20"/>
                <w:szCs w:val="20"/>
              </w:rPr>
              <w:t>10分</w:t>
            </w:r>
            <w:r>
              <w:t>）</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服务对象满意度指标</w:t>
            </w:r>
          </w:p>
        </w:tc>
        <w:tc>
          <w:tcPr>
            <w:tcW w:w="22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受益群众满意度</w:t>
            </w:r>
          </w:p>
        </w:tc>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0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7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95%</w:t>
            </w: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90" w:hRule="atLeast"/>
        </w:trPr>
        <w:tc>
          <w:tcPr>
            <w:tcW w:w="427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总分</w:t>
            </w:r>
          </w:p>
        </w:tc>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100</w:t>
            </w:r>
          </w:p>
        </w:tc>
        <w:tc>
          <w:tcPr>
            <w:tcW w:w="17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b/>
                <w:color w:val="000000"/>
                <w:sz w:val="20"/>
                <w:szCs w:val="20"/>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rPr>
              <w:t>99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r>
    </w:tbl>
    <w:p>
      <w:pPr>
        <w:spacing w:line="600" w:lineRule="exact"/>
        <w:jc w:val="center"/>
        <w:outlineLvl w:val="0"/>
        <w:rPr>
          <w:rFonts w:ascii="黑体" w:hAnsi="黑体" w:eastAsia="黑体"/>
          <w:sz w:val="44"/>
          <w:szCs w:val="44"/>
        </w:rPr>
      </w:pPr>
    </w:p>
    <w:p>
      <w:pPr>
        <w:spacing w:line="600" w:lineRule="exact"/>
        <w:jc w:val="center"/>
        <w:outlineLvl w:val="0"/>
        <w:rPr>
          <w:rFonts w:ascii="仿宋" w:hAnsi="仿宋" w:eastAsia="仿宋"/>
        </w:rPr>
      </w:pPr>
      <w:bookmarkStart w:id="87" w:name="_Toc18691"/>
      <w:r>
        <w:rPr>
          <w:rFonts w:hint="eastAsia" w:ascii="黑体" w:hAnsi="黑体" w:eastAsia="黑体"/>
          <w:sz w:val="44"/>
          <w:szCs w:val="44"/>
        </w:rPr>
        <w:t>第</w:t>
      </w:r>
      <w:r>
        <w:rPr>
          <w:rStyle w:val="30"/>
          <w:rFonts w:hint="eastAsia" w:ascii="黑体" w:hAnsi="黑体" w:eastAsia="黑体"/>
          <w:b w:val="0"/>
        </w:rPr>
        <w:t>五部分</w:t>
      </w:r>
      <w:r>
        <w:rPr>
          <w:rStyle w:val="30"/>
          <w:rFonts w:hint="eastAsia" w:ascii="黑体" w:hAnsi="黑体" w:eastAsia="黑体"/>
          <w:b w:val="0"/>
          <w:lang w:val="en-US" w:eastAsia="zh-CN"/>
        </w:rPr>
        <w:t xml:space="preserve"> </w:t>
      </w:r>
      <w:r>
        <w:rPr>
          <w:rStyle w:val="30"/>
          <w:rFonts w:hint="eastAsia" w:ascii="黑体" w:hAnsi="黑体" w:eastAsia="黑体"/>
          <w:b w:val="0"/>
        </w:rPr>
        <w:t>附表</w:t>
      </w:r>
      <w:bookmarkEnd w:id="63"/>
      <w:bookmarkEnd w:id="65"/>
      <w:bookmarkEnd w:id="87"/>
      <w:bookmarkStart w:id="88" w:name="_Toc15396619"/>
    </w:p>
    <w:p>
      <w:pPr>
        <w:pStyle w:val="14"/>
        <w:rPr>
          <w:rFonts w:ascii="仿宋" w:hAnsi="仿宋" w:eastAsia="仿宋"/>
        </w:rPr>
      </w:pPr>
      <w:bookmarkStart w:id="89" w:name="_Toc27195"/>
      <w:r>
        <w:rPr>
          <w:rFonts w:hint="eastAsia" w:ascii="仿宋" w:hAnsi="仿宋" w:eastAsia="仿宋"/>
          <w:b w:val="0"/>
        </w:rPr>
        <w:t>一、收</w:t>
      </w:r>
      <w:r>
        <w:rPr>
          <w:rStyle w:val="31"/>
          <w:rFonts w:hint="eastAsia" w:ascii="仿宋" w:hAnsi="仿宋" w:eastAsia="仿宋"/>
          <w:b w:val="0"/>
          <w:bCs w:val="0"/>
        </w:rPr>
        <w:t>入支出</w:t>
      </w:r>
      <w:r>
        <w:rPr>
          <w:rFonts w:hint="eastAsia" w:ascii="仿宋" w:hAnsi="仿宋" w:eastAsia="仿宋"/>
          <w:b w:val="0"/>
          <w:bCs w:val="0"/>
        </w:rPr>
        <w:t>决算总表</w:t>
      </w:r>
      <w:bookmarkEnd w:id="88"/>
      <w:bookmarkEnd w:id="89"/>
    </w:p>
    <w:p>
      <w:pPr>
        <w:pStyle w:val="14"/>
        <w:rPr>
          <w:rFonts w:ascii="仿宋" w:hAnsi="仿宋" w:eastAsia="仿宋"/>
        </w:rPr>
      </w:pPr>
      <w:bookmarkStart w:id="90" w:name="_Toc15396620"/>
      <w:bookmarkStart w:id="91" w:name="_Toc20254"/>
      <w:r>
        <w:rPr>
          <w:rFonts w:hint="eastAsia" w:ascii="仿宋" w:hAnsi="仿宋" w:eastAsia="仿宋"/>
          <w:b w:val="0"/>
        </w:rPr>
        <w:t>二、收</w:t>
      </w:r>
      <w:r>
        <w:rPr>
          <w:rStyle w:val="31"/>
          <w:rFonts w:hint="eastAsia" w:ascii="仿宋" w:hAnsi="仿宋" w:eastAsia="仿宋"/>
          <w:b w:val="0"/>
          <w:bCs w:val="0"/>
        </w:rPr>
        <w:t>入决算表</w:t>
      </w:r>
      <w:bookmarkEnd w:id="90"/>
      <w:bookmarkEnd w:id="91"/>
    </w:p>
    <w:p>
      <w:pPr>
        <w:pStyle w:val="14"/>
        <w:rPr>
          <w:rFonts w:ascii="仿宋" w:hAnsi="仿宋" w:eastAsia="仿宋"/>
        </w:rPr>
      </w:pPr>
      <w:bookmarkStart w:id="92" w:name="_Toc15396621"/>
      <w:bookmarkStart w:id="93" w:name="_Toc30401"/>
      <w:r>
        <w:rPr>
          <w:rStyle w:val="31"/>
          <w:rFonts w:hint="eastAsia" w:ascii="仿宋" w:hAnsi="仿宋" w:eastAsia="仿宋"/>
          <w:b w:val="0"/>
          <w:bCs w:val="0"/>
        </w:rPr>
        <w:t>三、</w:t>
      </w:r>
      <w:r>
        <w:rPr>
          <w:rFonts w:hint="eastAsia" w:ascii="仿宋" w:hAnsi="仿宋" w:eastAsia="仿宋"/>
          <w:b w:val="0"/>
        </w:rPr>
        <w:t>支</w:t>
      </w:r>
      <w:r>
        <w:rPr>
          <w:rStyle w:val="31"/>
          <w:rFonts w:hint="eastAsia" w:ascii="仿宋" w:hAnsi="仿宋" w:eastAsia="仿宋"/>
          <w:b w:val="0"/>
          <w:bCs w:val="0"/>
        </w:rPr>
        <w:t>出</w:t>
      </w:r>
      <w:r>
        <w:rPr>
          <w:rFonts w:hint="eastAsia" w:ascii="仿宋" w:hAnsi="仿宋" w:eastAsia="仿宋"/>
          <w:b w:val="0"/>
          <w:bCs w:val="0"/>
        </w:rPr>
        <w:t>决算表</w:t>
      </w:r>
      <w:bookmarkEnd w:id="92"/>
      <w:bookmarkEnd w:id="93"/>
    </w:p>
    <w:p>
      <w:pPr>
        <w:pStyle w:val="14"/>
        <w:rPr>
          <w:rFonts w:ascii="仿宋" w:hAnsi="仿宋" w:eastAsia="仿宋"/>
          <w:b w:val="0"/>
        </w:rPr>
      </w:pPr>
      <w:bookmarkStart w:id="94" w:name="_Toc11550"/>
      <w:bookmarkStart w:id="95" w:name="_Toc15396622"/>
      <w:r>
        <w:rPr>
          <w:rStyle w:val="31"/>
          <w:rFonts w:hint="eastAsia" w:ascii="仿宋" w:hAnsi="仿宋" w:eastAsia="仿宋"/>
          <w:b w:val="0"/>
          <w:bCs w:val="0"/>
        </w:rPr>
        <w:t>四、</w:t>
      </w:r>
      <w:r>
        <w:rPr>
          <w:rFonts w:hint="eastAsia" w:ascii="仿宋" w:hAnsi="仿宋" w:eastAsia="仿宋"/>
          <w:b w:val="0"/>
        </w:rPr>
        <w:t>财</w:t>
      </w:r>
      <w:r>
        <w:rPr>
          <w:rStyle w:val="31"/>
          <w:rFonts w:hint="eastAsia" w:ascii="仿宋" w:hAnsi="仿宋" w:eastAsia="仿宋"/>
          <w:b w:val="0"/>
          <w:bCs w:val="0"/>
        </w:rPr>
        <w:t>政拨款收入支出</w:t>
      </w:r>
      <w:r>
        <w:rPr>
          <w:rFonts w:hint="eastAsia" w:ascii="仿宋" w:hAnsi="仿宋" w:eastAsia="仿宋"/>
          <w:b w:val="0"/>
          <w:bCs w:val="0"/>
        </w:rPr>
        <w:t>决算总表</w:t>
      </w:r>
      <w:bookmarkEnd w:id="94"/>
      <w:bookmarkEnd w:id="95"/>
    </w:p>
    <w:p>
      <w:pPr>
        <w:pStyle w:val="14"/>
        <w:rPr>
          <w:rStyle w:val="31"/>
          <w:rFonts w:ascii="仿宋" w:hAnsi="仿宋" w:eastAsia="仿宋"/>
          <w:b w:val="0"/>
          <w:bCs w:val="0"/>
        </w:rPr>
      </w:pPr>
      <w:bookmarkStart w:id="96" w:name="_Toc15396623"/>
      <w:bookmarkStart w:id="97" w:name="_Toc12714"/>
      <w:r>
        <w:rPr>
          <w:rStyle w:val="31"/>
          <w:rFonts w:hint="eastAsia" w:ascii="仿宋" w:hAnsi="仿宋" w:eastAsia="仿宋"/>
          <w:b w:val="0"/>
          <w:bCs w:val="0"/>
        </w:rPr>
        <w:t>五、</w:t>
      </w:r>
      <w:r>
        <w:rPr>
          <w:rFonts w:hint="eastAsia" w:ascii="仿宋" w:hAnsi="仿宋" w:eastAsia="仿宋"/>
          <w:b w:val="0"/>
        </w:rPr>
        <w:t>财</w:t>
      </w:r>
      <w:r>
        <w:rPr>
          <w:rStyle w:val="31"/>
          <w:rFonts w:hint="eastAsia" w:ascii="仿宋" w:hAnsi="仿宋" w:eastAsia="仿宋"/>
          <w:b w:val="0"/>
          <w:bCs w:val="0"/>
        </w:rPr>
        <w:t>政拨款支出</w:t>
      </w:r>
      <w:r>
        <w:rPr>
          <w:rFonts w:hint="eastAsia" w:ascii="仿宋" w:hAnsi="仿宋" w:eastAsia="仿宋"/>
          <w:b w:val="0"/>
          <w:bCs w:val="0"/>
        </w:rPr>
        <w:t>决算明细表</w:t>
      </w:r>
      <w:bookmarkEnd w:id="96"/>
      <w:bookmarkEnd w:id="97"/>
      <w:bookmarkStart w:id="98" w:name="_Toc15396624"/>
    </w:p>
    <w:p>
      <w:pPr>
        <w:pStyle w:val="14"/>
        <w:rPr>
          <w:rFonts w:ascii="仿宋" w:hAnsi="仿宋" w:eastAsia="仿宋"/>
        </w:rPr>
      </w:pPr>
      <w:bookmarkStart w:id="99" w:name="_Toc24276"/>
      <w:r>
        <w:rPr>
          <w:rStyle w:val="31"/>
          <w:rFonts w:hint="eastAsia" w:ascii="仿宋" w:hAnsi="仿宋" w:eastAsia="仿宋"/>
          <w:b w:val="0"/>
          <w:bCs w:val="0"/>
        </w:rPr>
        <w:t>六、</w:t>
      </w:r>
      <w:r>
        <w:rPr>
          <w:rFonts w:hint="eastAsia" w:ascii="仿宋" w:hAnsi="仿宋" w:eastAsia="仿宋"/>
          <w:b w:val="0"/>
        </w:rPr>
        <w:t>一</w:t>
      </w:r>
      <w:r>
        <w:rPr>
          <w:rStyle w:val="31"/>
          <w:rFonts w:hint="eastAsia" w:ascii="仿宋" w:hAnsi="仿宋" w:eastAsia="仿宋"/>
          <w:b w:val="0"/>
          <w:bCs w:val="0"/>
        </w:rPr>
        <w:t>般公共预算</w:t>
      </w:r>
      <w:r>
        <w:rPr>
          <w:rFonts w:hint="eastAsia" w:ascii="仿宋" w:hAnsi="仿宋" w:eastAsia="仿宋"/>
          <w:b w:val="0"/>
          <w:bCs w:val="0"/>
        </w:rPr>
        <w:t>财政拨款支出决算表</w:t>
      </w:r>
      <w:bookmarkEnd w:id="98"/>
      <w:bookmarkEnd w:id="99"/>
    </w:p>
    <w:p>
      <w:pPr>
        <w:pStyle w:val="14"/>
        <w:rPr>
          <w:rFonts w:ascii="仿宋" w:hAnsi="仿宋" w:eastAsia="仿宋"/>
        </w:rPr>
      </w:pPr>
      <w:bookmarkStart w:id="100" w:name="_Toc20956"/>
      <w:bookmarkStart w:id="101" w:name="_Toc15396625"/>
      <w:r>
        <w:rPr>
          <w:rStyle w:val="31"/>
          <w:rFonts w:hint="eastAsia" w:ascii="仿宋" w:hAnsi="仿宋" w:eastAsia="仿宋"/>
          <w:b w:val="0"/>
          <w:bCs w:val="0"/>
        </w:rPr>
        <w:t>七、</w:t>
      </w:r>
      <w:r>
        <w:rPr>
          <w:rFonts w:hint="eastAsia" w:ascii="仿宋" w:hAnsi="仿宋" w:eastAsia="仿宋"/>
          <w:b w:val="0"/>
        </w:rPr>
        <w:t>一</w:t>
      </w:r>
      <w:r>
        <w:rPr>
          <w:rStyle w:val="31"/>
          <w:rFonts w:hint="eastAsia" w:ascii="仿宋" w:hAnsi="仿宋" w:eastAsia="仿宋"/>
          <w:b w:val="0"/>
          <w:bCs w:val="0"/>
        </w:rPr>
        <w:t>般公共预算</w:t>
      </w:r>
      <w:r>
        <w:rPr>
          <w:rFonts w:hint="eastAsia" w:ascii="仿宋" w:hAnsi="仿宋" w:eastAsia="仿宋"/>
          <w:b w:val="0"/>
          <w:bCs w:val="0"/>
        </w:rPr>
        <w:t>财政拨款支出决算明细表</w:t>
      </w:r>
      <w:bookmarkEnd w:id="100"/>
      <w:bookmarkEnd w:id="101"/>
    </w:p>
    <w:p>
      <w:pPr>
        <w:pStyle w:val="14"/>
        <w:rPr>
          <w:rFonts w:ascii="仿宋" w:hAnsi="仿宋" w:eastAsia="仿宋"/>
        </w:rPr>
      </w:pPr>
      <w:bookmarkStart w:id="102" w:name="_Toc15396626"/>
      <w:bookmarkStart w:id="103" w:name="_Toc30878"/>
      <w:r>
        <w:rPr>
          <w:rStyle w:val="31"/>
          <w:rFonts w:hint="eastAsia" w:ascii="仿宋" w:hAnsi="仿宋" w:eastAsia="仿宋"/>
          <w:b w:val="0"/>
          <w:bCs w:val="0"/>
        </w:rPr>
        <w:t>八、</w:t>
      </w:r>
      <w:r>
        <w:rPr>
          <w:rFonts w:hint="eastAsia" w:ascii="仿宋" w:hAnsi="仿宋" w:eastAsia="仿宋"/>
          <w:b w:val="0"/>
        </w:rPr>
        <w:t>一</w:t>
      </w:r>
      <w:r>
        <w:rPr>
          <w:rStyle w:val="31"/>
          <w:rFonts w:hint="eastAsia" w:ascii="仿宋" w:hAnsi="仿宋" w:eastAsia="仿宋"/>
          <w:b w:val="0"/>
          <w:bCs w:val="0"/>
        </w:rPr>
        <w:t>般公共预算</w:t>
      </w:r>
      <w:r>
        <w:rPr>
          <w:rFonts w:hint="eastAsia" w:ascii="仿宋" w:hAnsi="仿宋" w:eastAsia="仿宋"/>
          <w:b w:val="0"/>
          <w:bCs w:val="0"/>
        </w:rPr>
        <w:t>财政拨款基本支出决算表</w:t>
      </w:r>
      <w:bookmarkEnd w:id="102"/>
      <w:bookmarkEnd w:id="103"/>
    </w:p>
    <w:p>
      <w:pPr>
        <w:pStyle w:val="14"/>
        <w:rPr>
          <w:rFonts w:ascii="仿宋" w:hAnsi="仿宋" w:eastAsia="仿宋"/>
        </w:rPr>
      </w:pPr>
      <w:bookmarkStart w:id="104" w:name="_Toc15396627"/>
      <w:bookmarkStart w:id="105" w:name="_Toc26838"/>
      <w:r>
        <w:rPr>
          <w:rStyle w:val="31"/>
          <w:rFonts w:hint="eastAsia" w:ascii="仿宋" w:hAnsi="仿宋" w:eastAsia="仿宋"/>
          <w:b w:val="0"/>
          <w:bCs w:val="0"/>
        </w:rPr>
        <w:t>九、</w:t>
      </w:r>
      <w:r>
        <w:rPr>
          <w:rFonts w:hint="eastAsia" w:ascii="仿宋" w:hAnsi="仿宋" w:eastAsia="仿宋"/>
          <w:b w:val="0"/>
        </w:rPr>
        <w:t>一</w:t>
      </w:r>
      <w:r>
        <w:rPr>
          <w:rStyle w:val="31"/>
          <w:rFonts w:hint="eastAsia" w:ascii="仿宋" w:hAnsi="仿宋" w:eastAsia="仿宋"/>
          <w:b w:val="0"/>
          <w:bCs w:val="0"/>
        </w:rPr>
        <w:t>般公共预算</w:t>
      </w:r>
      <w:r>
        <w:rPr>
          <w:rFonts w:hint="eastAsia" w:ascii="仿宋" w:hAnsi="仿宋" w:eastAsia="仿宋"/>
          <w:b w:val="0"/>
          <w:bCs w:val="0"/>
        </w:rPr>
        <w:t>财政拨款项目支出决算表</w:t>
      </w:r>
      <w:bookmarkEnd w:id="104"/>
      <w:bookmarkEnd w:id="105"/>
    </w:p>
    <w:p>
      <w:pPr>
        <w:pStyle w:val="14"/>
        <w:rPr>
          <w:rFonts w:ascii="仿宋" w:hAnsi="仿宋" w:eastAsia="仿宋"/>
        </w:rPr>
      </w:pPr>
      <w:bookmarkStart w:id="106" w:name="_Toc15396628"/>
      <w:bookmarkStart w:id="107" w:name="_Toc29349"/>
      <w:r>
        <w:rPr>
          <w:rStyle w:val="31"/>
          <w:rFonts w:hint="eastAsia" w:ascii="仿宋" w:hAnsi="仿宋" w:eastAsia="仿宋"/>
          <w:b w:val="0"/>
          <w:bCs w:val="0"/>
        </w:rPr>
        <w:t>十、</w:t>
      </w:r>
      <w:r>
        <w:rPr>
          <w:rFonts w:hint="eastAsia" w:ascii="仿宋" w:hAnsi="仿宋" w:eastAsia="仿宋"/>
          <w:b w:val="0"/>
        </w:rPr>
        <w:t>一</w:t>
      </w:r>
      <w:r>
        <w:rPr>
          <w:rStyle w:val="31"/>
          <w:rFonts w:hint="eastAsia" w:ascii="仿宋" w:hAnsi="仿宋" w:eastAsia="仿宋"/>
          <w:b w:val="0"/>
          <w:bCs w:val="0"/>
        </w:rPr>
        <w:t>般公共预算</w:t>
      </w:r>
      <w:r>
        <w:rPr>
          <w:rFonts w:hint="eastAsia" w:ascii="仿宋" w:hAnsi="仿宋" w:eastAsia="仿宋"/>
          <w:b w:val="0"/>
          <w:bCs w:val="0"/>
        </w:rPr>
        <w:t>财政拨款“三公”经费支出决算表</w:t>
      </w:r>
      <w:bookmarkEnd w:id="106"/>
      <w:bookmarkEnd w:id="107"/>
    </w:p>
    <w:p>
      <w:pPr>
        <w:pStyle w:val="14"/>
        <w:rPr>
          <w:rFonts w:ascii="仿宋" w:hAnsi="仿宋" w:eastAsia="仿宋"/>
        </w:rPr>
      </w:pPr>
      <w:bookmarkStart w:id="108" w:name="_Toc15396629"/>
      <w:bookmarkStart w:id="109" w:name="_Toc22343"/>
      <w:r>
        <w:rPr>
          <w:rStyle w:val="31"/>
          <w:rFonts w:hint="eastAsia" w:ascii="仿宋" w:hAnsi="仿宋" w:eastAsia="仿宋"/>
          <w:b w:val="0"/>
          <w:bCs w:val="0"/>
        </w:rPr>
        <w:t>十一、</w:t>
      </w:r>
      <w:r>
        <w:rPr>
          <w:rFonts w:hint="eastAsia" w:ascii="仿宋" w:hAnsi="仿宋" w:eastAsia="仿宋"/>
          <w:b w:val="0"/>
        </w:rPr>
        <w:t>政</w:t>
      </w:r>
      <w:r>
        <w:rPr>
          <w:rStyle w:val="31"/>
          <w:rFonts w:hint="eastAsia" w:ascii="仿宋" w:hAnsi="仿宋" w:eastAsia="仿宋"/>
          <w:b w:val="0"/>
          <w:bCs w:val="0"/>
        </w:rPr>
        <w:t>府性基金预算</w:t>
      </w:r>
      <w:r>
        <w:rPr>
          <w:rFonts w:hint="eastAsia" w:ascii="仿宋" w:hAnsi="仿宋" w:eastAsia="仿宋"/>
          <w:b w:val="0"/>
          <w:bCs w:val="0"/>
        </w:rPr>
        <w:t>财政拨款收入支出决算表</w:t>
      </w:r>
      <w:bookmarkEnd w:id="108"/>
      <w:bookmarkEnd w:id="109"/>
    </w:p>
    <w:p>
      <w:pPr>
        <w:pStyle w:val="14"/>
        <w:rPr>
          <w:rFonts w:ascii="仿宋" w:hAnsi="仿宋" w:eastAsia="仿宋"/>
        </w:rPr>
      </w:pPr>
      <w:bookmarkStart w:id="110" w:name="_Toc12003"/>
      <w:bookmarkStart w:id="111" w:name="_Toc15396630"/>
      <w:r>
        <w:rPr>
          <w:rStyle w:val="31"/>
          <w:rFonts w:hint="eastAsia" w:ascii="仿宋" w:hAnsi="仿宋" w:eastAsia="仿宋"/>
          <w:b w:val="0"/>
          <w:bCs w:val="0"/>
        </w:rPr>
        <w:t>十二、</w:t>
      </w:r>
      <w:r>
        <w:rPr>
          <w:rFonts w:hint="eastAsia" w:ascii="仿宋" w:hAnsi="仿宋" w:eastAsia="仿宋"/>
          <w:b w:val="0"/>
        </w:rPr>
        <w:t>政</w:t>
      </w:r>
      <w:r>
        <w:rPr>
          <w:rStyle w:val="31"/>
          <w:rFonts w:hint="eastAsia" w:ascii="仿宋" w:hAnsi="仿宋" w:eastAsia="仿宋"/>
          <w:b w:val="0"/>
          <w:bCs w:val="0"/>
        </w:rPr>
        <w:t>府性基金预算</w:t>
      </w:r>
      <w:r>
        <w:rPr>
          <w:rFonts w:hint="eastAsia" w:ascii="仿宋" w:hAnsi="仿宋" w:eastAsia="仿宋"/>
          <w:b w:val="0"/>
          <w:bCs w:val="0"/>
        </w:rPr>
        <w:t>财政拨款“三公”经费支出决算表</w:t>
      </w:r>
      <w:bookmarkEnd w:id="110"/>
      <w:bookmarkEnd w:id="111"/>
    </w:p>
    <w:p>
      <w:pPr>
        <w:pStyle w:val="14"/>
        <w:rPr>
          <w:rStyle w:val="31"/>
          <w:rFonts w:ascii="仿宋" w:hAnsi="仿宋" w:eastAsia="仿宋"/>
          <w:b w:val="0"/>
          <w:bCs w:val="0"/>
        </w:rPr>
      </w:pPr>
      <w:bookmarkStart w:id="112" w:name="_Toc13431"/>
      <w:bookmarkStart w:id="113" w:name="_Toc15396631"/>
      <w:r>
        <w:rPr>
          <w:rStyle w:val="31"/>
          <w:rFonts w:hint="eastAsia" w:ascii="仿宋" w:hAnsi="仿宋" w:eastAsia="仿宋"/>
          <w:b w:val="0"/>
          <w:bCs w:val="0"/>
        </w:rPr>
        <w:t>十三、</w:t>
      </w:r>
      <w:r>
        <w:rPr>
          <w:rFonts w:hint="eastAsia" w:ascii="仿宋" w:hAnsi="仿宋" w:eastAsia="仿宋"/>
          <w:b w:val="0"/>
        </w:rPr>
        <w:t>国</w:t>
      </w:r>
      <w:r>
        <w:rPr>
          <w:rStyle w:val="31"/>
          <w:rFonts w:hint="eastAsia" w:ascii="仿宋" w:hAnsi="仿宋" w:eastAsia="仿宋"/>
          <w:b w:val="0"/>
          <w:bCs w:val="0"/>
        </w:rPr>
        <w:t>有资本经营预算财政拨款收入支出</w:t>
      </w:r>
      <w:r>
        <w:rPr>
          <w:rFonts w:hint="eastAsia" w:ascii="仿宋" w:hAnsi="仿宋" w:eastAsia="仿宋"/>
          <w:b w:val="0"/>
          <w:bCs w:val="0"/>
        </w:rPr>
        <w:t>决算表</w:t>
      </w:r>
      <w:bookmarkEnd w:id="112"/>
      <w:bookmarkEnd w:id="113"/>
    </w:p>
    <w:p>
      <w:pPr>
        <w:rPr>
          <w:rFonts w:eastAsia="仿宋"/>
          <w:sz w:val="32"/>
          <w:szCs w:val="32"/>
        </w:rPr>
      </w:pPr>
      <w:bookmarkStart w:id="114" w:name="_Toc26544"/>
      <w:r>
        <w:rPr>
          <w:rStyle w:val="31"/>
          <w:rFonts w:hint="eastAsia" w:ascii="仿宋" w:hAnsi="仿宋" w:eastAsia="仿宋"/>
          <w:b w:val="0"/>
          <w:bCs w:val="0"/>
        </w:rPr>
        <w:t>十四、国有资本经营预算</w:t>
      </w:r>
      <w:r>
        <w:rPr>
          <w:rFonts w:hint="eastAsia" w:ascii="仿宋" w:hAnsi="仿宋" w:eastAsia="仿宋"/>
          <w:sz w:val="32"/>
          <w:szCs w:val="32"/>
        </w:rPr>
        <w:t>财政拨款支出决算表</w:t>
      </w:r>
      <w:bookmarkEnd w:id="114"/>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8"/>
          <w:jc w:val="center"/>
        </w:pPr>
        <w:r>
          <w:fldChar w:fldCharType="begin"/>
        </w:r>
        <w:r>
          <w:instrText xml:space="preserve">PAGE   \* MERGEFORMAT</w:instrText>
        </w:r>
        <w:r>
          <w:fldChar w:fldCharType="separate"/>
        </w:r>
        <w:r>
          <w:rPr>
            <w:lang w:val="zh-CN"/>
          </w:rPr>
          <w:t>39</w:t>
        </w:r>
        <w:r>
          <w:fldChar w:fldCharType="end"/>
        </w:r>
      </w:p>
    </w:sdtContent>
  </w:sdt>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6A1F97"/>
    <w:multiLevelType w:val="singleLevel"/>
    <w:tmpl w:val="036A1F97"/>
    <w:lvl w:ilvl="0" w:tentative="0">
      <w:start w:val="3"/>
      <w:numFmt w:val="chineseCounting"/>
      <w:suff w:val="space"/>
      <w:lvlText w:val="第%1部分"/>
      <w:lvlJc w:val="left"/>
      <w:rPr>
        <w:rFonts w:hint="eastAsia" w:ascii="黑体" w:hAnsi="黑体" w:eastAsia="黑体" w:cs="黑体"/>
        <w:sz w:val="44"/>
        <w:szCs w:val="44"/>
      </w:rPr>
    </w:lvl>
  </w:abstractNum>
  <w:abstractNum w:abstractNumId="1">
    <w:nsid w:val="037A7C34"/>
    <w:multiLevelType w:val="singleLevel"/>
    <w:tmpl w:val="037A7C34"/>
    <w:lvl w:ilvl="0" w:tentative="0">
      <w:start w:val="1"/>
      <w:numFmt w:val="decimalEnclosedCircleChinese"/>
      <w:suff w:val="nothing"/>
      <w:lvlText w:val="%1　"/>
      <w:lvlJc w:val="left"/>
      <w:pPr>
        <w:ind w:left="0" w:firstLine="400"/>
      </w:pPr>
      <w:rPr>
        <w:rFonts w:hint="eastAsia"/>
      </w:rPr>
    </w:lvl>
  </w:abstractNum>
  <w:abstractNum w:abstractNumId="2">
    <w:nsid w:val="11017B4C"/>
    <w:multiLevelType w:val="singleLevel"/>
    <w:tmpl w:val="11017B4C"/>
    <w:lvl w:ilvl="0" w:tentative="0">
      <w:start w:val="9"/>
      <w:numFmt w:val="decimal"/>
      <w:suff w:val="nothing"/>
      <w:lvlText w:val="%1、"/>
      <w:lvlJc w:val="left"/>
    </w:lvl>
  </w:abstractNum>
  <w:abstractNum w:abstractNumId="3">
    <w:nsid w:val="135605D7"/>
    <w:multiLevelType w:val="singleLevel"/>
    <w:tmpl w:val="135605D7"/>
    <w:lvl w:ilvl="0" w:tentative="0">
      <w:start w:val="9"/>
      <w:numFmt w:val="chineseCounting"/>
      <w:suff w:val="nothing"/>
      <w:lvlText w:val="%1、"/>
      <w:lvlJc w:val="left"/>
      <w:rPr>
        <w:rFonts w:hint="eastAsia"/>
      </w:rPr>
    </w:lvl>
  </w:abstractNum>
  <w:abstractNum w:abstractNumId="4">
    <w:nsid w:val="3F7110B2"/>
    <w:multiLevelType w:val="singleLevel"/>
    <w:tmpl w:val="3F7110B2"/>
    <w:lvl w:ilvl="0" w:tentative="0">
      <w:start w:val="4"/>
      <w:numFmt w:val="chineseCounting"/>
      <w:suff w:val="nothing"/>
      <w:lvlText w:val="%1、"/>
      <w:lvlJc w:val="left"/>
      <w:rPr>
        <w:rFonts w:hint="eastAsia"/>
      </w:rPr>
    </w:lvl>
  </w:abstractNum>
  <w:abstractNum w:abstractNumId="5">
    <w:nsid w:val="5FB32576"/>
    <w:multiLevelType w:val="multilevel"/>
    <w:tmpl w:val="5FB32576"/>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75C67CC3"/>
    <w:multiLevelType w:val="singleLevel"/>
    <w:tmpl w:val="75C67CC3"/>
    <w:lvl w:ilvl="0" w:tentative="0">
      <w:start w:val="1"/>
      <w:numFmt w:val="chineseCounting"/>
      <w:suff w:val="nothing"/>
      <w:lvlText w:val="%1、"/>
      <w:lvlJc w:val="left"/>
      <w:rPr>
        <w:rFonts w:hint="eastAsia"/>
      </w:rPr>
    </w:lvl>
  </w:abstractNum>
  <w:num w:numId="1">
    <w:abstractNumId w:val="6"/>
  </w:num>
  <w:num w:numId="2">
    <w:abstractNumId w:val="5"/>
  </w:num>
  <w:num w:numId="3">
    <w:abstractNumId w:val="3"/>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NotTrackMoves/>
  <w:documentProtection w:edit="trackedChanges"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zM4ZDZhZGYyYjgzNzFmMmU3YTczMjUxMWY3YTZmZDIifQ=="/>
  </w:docVars>
  <w:rsids>
    <w:rsidRoot w:val="008405D1"/>
    <w:rsid w:val="008405D1"/>
    <w:rsid w:val="00AF4BB3"/>
    <w:rsid w:val="00D3668F"/>
    <w:rsid w:val="00E02347"/>
    <w:rsid w:val="00F32034"/>
    <w:rsid w:val="0A310043"/>
    <w:rsid w:val="34FD1707"/>
    <w:rsid w:val="359D7D3F"/>
    <w:rsid w:val="3BBF16F2"/>
    <w:rsid w:val="49625B03"/>
    <w:rsid w:val="53BA0CC5"/>
    <w:rsid w:val="56C97471"/>
    <w:rsid w:val="5A491020"/>
    <w:rsid w:val="73797DFD"/>
    <w:rsid w:val="7BC71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ody Text"/>
    <w:basedOn w:val="1"/>
    <w:qFormat/>
    <w:uiPriority w:val="99"/>
    <w:pPr>
      <w:spacing w:beforeLines="30"/>
    </w:pPr>
    <w:rPr>
      <w:rFonts w:ascii="仿宋_GB2312" w:eastAsia="仿宋_GB2312"/>
      <w:kern w:val="0"/>
      <w:sz w:val="30"/>
    </w:rPr>
  </w:style>
  <w:style w:type="paragraph" w:styleId="4">
    <w:name w:val="Balloon Text"/>
    <w:basedOn w:val="1"/>
    <w:semiHidden/>
    <w:unhideWhenUsed/>
    <w:qFormat/>
    <w:uiPriority w:val="99"/>
    <w:rPr>
      <w:sz w:val="18"/>
      <w:szCs w:val="18"/>
    </w:rPr>
  </w:style>
  <w:style w:type="paragraph" w:styleId="5">
    <w:name w:val="footer"/>
    <w:basedOn w:val="1"/>
    <w:link w:val="49"/>
    <w:qFormat/>
    <w:uiPriority w:val="99"/>
    <w:pPr>
      <w:tabs>
        <w:tab w:val="center" w:pos="4153"/>
        <w:tab w:val="right" w:pos="8306"/>
      </w:tabs>
      <w:snapToGrid w:val="0"/>
      <w:jc w:val="left"/>
    </w:pPr>
    <w:rPr>
      <w:sz w:val="18"/>
      <w:szCs w:val="18"/>
    </w:rPr>
  </w:style>
  <w:style w:type="paragraph" w:styleId="6">
    <w:name w:val="header"/>
    <w:basedOn w:val="1"/>
    <w:link w:val="48"/>
    <w:semiHidden/>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Strong"/>
    <w:basedOn w:val="9"/>
    <w:qFormat/>
    <w:uiPriority w:val="99"/>
    <w:rPr>
      <w:b/>
    </w:rPr>
  </w:style>
  <w:style w:type="character" w:styleId="11">
    <w:name w:val="Hyperlink"/>
    <w:basedOn w:val="9"/>
    <w:unhideWhenUsed/>
    <w:qFormat/>
    <w:uiPriority w:val="99"/>
    <w:rPr>
      <w:color w:val="0000FF" w:themeColor="hyperlink"/>
      <w:u w:val="single"/>
    </w:rPr>
  </w:style>
  <w:style w:type="character" w:styleId="12">
    <w:name w:val="annotation reference"/>
    <w:basedOn w:val="9"/>
    <w:semiHidden/>
    <w:unhideWhenUsed/>
    <w:uiPriority w:val="99"/>
    <w:rPr>
      <w:sz w:val="21"/>
      <w:szCs w:val="21"/>
    </w:rPr>
  </w:style>
  <w:style w:type="paragraph" w:customStyle="1" w:styleId="13">
    <w:name w:val="Heading 1"/>
    <w:basedOn w:val="1"/>
    <w:next w:val="1"/>
    <w:link w:val="30"/>
    <w:qFormat/>
    <w:uiPriority w:val="9"/>
    <w:pPr>
      <w:keepNext/>
      <w:keepLines/>
      <w:spacing w:before="340" w:after="330" w:line="578" w:lineRule="auto"/>
      <w:outlineLvl w:val="0"/>
    </w:pPr>
    <w:rPr>
      <w:b/>
      <w:bCs/>
      <w:kern w:val="44"/>
      <w:sz w:val="44"/>
      <w:szCs w:val="44"/>
    </w:rPr>
  </w:style>
  <w:style w:type="paragraph" w:customStyle="1" w:styleId="14">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customStyle="1" w:styleId="15">
    <w:name w:val="Heading 3"/>
    <w:basedOn w:val="1"/>
    <w:next w:val="1"/>
    <w:link w:val="34"/>
    <w:unhideWhenUsed/>
    <w:qFormat/>
    <w:uiPriority w:val="9"/>
    <w:pPr>
      <w:keepNext/>
      <w:keepLines/>
      <w:spacing w:before="260" w:after="260" w:line="416" w:lineRule="auto"/>
      <w:outlineLvl w:val="2"/>
    </w:pPr>
    <w:rPr>
      <w:b/>
      <w:bCs/>
      <w:sz w:val="32"/>
      <w:szCs w:val="32"/>
    </w:rPr>
  </w:style>
  <w:style w:type="paragraph" w:customStyle="1" w:styleId="16">
    <w:name w:val="引用1"/>
    <w:next w:val="1"/>
    <w:qFormat/>
    <w:uiPriority w:val="0"/>
    <w:pPr>
      <w:wordWrap w:val="0"/>
      <w:spacing w:before="200" w:after="160"/>
      <w:ind w:left="864" w:right="864"/>
      <w:jc w:val="center"/>
    </w:pPr>
    <w:rPr>
      <w:rFonts w:ascii="Times New Roman" w:hAnsi="Times New Roman" w:eastAsia="宋体" w:cs="Times New Roman"/>
      <w:i/>
      <w:sz w:val="21"/>
      <w:szCs w:val="22"/>
      <w:lang w:val="en-US" w:eastAsia="zh-CN" w:bidi="ar-SA"/>
    </w:rPr>
  </w:style>
  <w:style w:type="paragraph" w:customStyle="1" w:styleId="17">
    <w:name w:val="TOC 3"/>
    <w:basedOn w:val="1"/>
    <w:next w:val="1"/>
    <w:unhideWhenUsed/>
    <w:qFormat/>
    <w:uiPriority w:val="39"/>
    <w:pPr>
      <w:tabs>
        <w:tab w:val="right" w:leader="dot" w:pos="8296"/>
      </w:tabs>
      <w:ind w:left="840" w:leftChars="400"/>
    </w:pPr>
  </w:style>
  <w:style w:type="paragraph" w:customStyle="1" w:styleId="18">
    <w:name w:val="Footer"/>
    <w:basedOn w:val="1"/>
    <w:qFormat/>
    <w:uiPriority w:val="99"/>
    <w:pPr>
      <w:tabs>
        <w:tab w:val="center" w:pos="4153"/>
        <w:tab w:val="right" w:pos="8306"/>
      </w:tabs>
      <w:snapToGrid w:val="0"/>
      <w:jc w:val="left"/>
    </w:pPr>
    <w:rPr>
      <w:rFonts w:ascii="Calibri" w:hAnsi="Calibri"/>
      <w:kern w:val="0"/>
      <w:sz w:val="18"/>
      <w:szCs w:val="18"/>
    </w:rPr>
  </w:style>
  <w:style w:type="paragraph" w:customStyle="1" w:styleId="19">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customStyle="1" w:styleId="2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21">
    <w:name w:val="TOC 2"/>
    <w:basedOn w:val="1"/>
    <w:next w:val="1"/>
    <w:unhideWhenUsed/>
    <w:qFormat/>
    <w:uiPriority w:val="39"/>
    <w:pPr>
      <w:tabs>
        <w:tab w:val="right" w:leader="dot" w:pos="8296"/>
      </w:tabs>
      <w:ind w:left="420" w:leftChars="200"/>
    </w:pPr>
  </w:style>
  <w:style w:type="character" w:customStyle="1" w:styleId="22">
    <w:name w:val="Header Char"/>
    <w:basedOn w:val="9"/>
    <w:semiHidden/>
    <w:qFormat/>
    <w:uiPriority w:val="99"/>
    <w:rPr>
      <w:rFonts w:ascii="Times New Roman" w:hAnsi="Times New Roman"/>
      <w:sz w:val="18"/>
      <w:szCs w:val="18"/>
    </w:rPr>
  </w:style>
  <w:style w:type="character" w:customStyle="1" w:styleId="23">
    <w:name w:val="页眉 Char"/>
    <w:semiHidden/>
    <w:qFormat/>
    <w:locked/>
    <w:uiPriority w:val="99"/>
    <w:rPr>
      <w:sz w:val="18"/>
    </w:rPr>
  </w:style>
  <w:style w:type="character" w:customStyle="1" w:styleId="24">
    <w:name w:val="Footer Char"/>
    <w:basedOn w:val="9"/>
    <w:semiHidden/>
    <w:qFormat/>
    <w:uiPriority w:val="99"/>
    <w:rPr>
      <w:rFonts w:ascii="Times New Roman" w:hAnsi="Times New Roman"/>
      <w:sz w:val="18"/>
      <w:szCs w:val="18"/>
    </w:rPr>
  </w:style>
  <w:style w:type="character" w:customStyle="1" w:styleId="25">
    <w:name w:val="页脚 Char"/>
    <w:qFormat/>
    <w:locked/>
    <w:uiPriority w:val="99"/>
    <w:rPr>
      <w:sz w:val="18"/>
    </w:rPr>
  </w:style>
  <w:style w:type="character" w:customStyle="1" w:styleId="26">
    <w:name w:val="Body Text Char"/>
    <w:basedOn w:val="9"/>
    <w:semiHidden/>
    <w:qFormat/>
    <w:uiPriority w:val="99"/>
    <w:rPr>
      <w:rFonts w:ascii="Times New Roman" w:hAnsi="Times New Roman"/>
      <w:szCs w:val="24"/>
    </w:rPr>
  </w:style>
  <w:style w:type="character" w:customStyle="1" w:styleId="27">
    <w:name w:val="正文文本 Char"/>
    <w:qFormat/>
    <w:locked/>
    <w:uiPriority w:val="99"/>
    <w:rPr>
      <w:rFonts w:ascii="仿宋_GB2312" w:hAnsi="Times New Roman" w:eastAsia="仿宋_GB2312"/>
      <w:sz w:val="24"/>
    </w:rPr>
  </w:style>
  <w:style w:type="paragraph" w:customStyle="1" w:styleId="28">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9">
    <w:name w:val="List Paragraph"/>
    <w:basedOn w:val="1"/>
    <w:qFormat/>
    <w:uiPriority w:val="34"/>
    <w:pPr>
      <w:ind w:firstLine="420" w:firstLineChars="200"/>
    </w:pPr>
  </w:style>
  <w:style w:type="character" w:customStyle="1" w:styleId="30">
    <w:name w:val="标题 1 Char"/>
    <w:basedOn w:val="9"/>
    <w:link w:val="13"/>
    <w:qFormat/>
    <w:uiPriority w:val="9"/>
    <w:rPr>
      <w:rFonts w:ascii="Times New Roman" w:hAnsi="Times New Roman"/>
      <w:b/>
      <w:bCs/>
      <w:kern w:val="44"/>
      <w:sz w:val="44"/>
      <w:szCs w:val="44"/>
    </w:rPr>
  </w:style>
  <w:style w:type="character" w:customStyle="1" w:styleId="31">
    <w:name w:val="标题 2 Char"/>
    <w:basedOn w:val="9"/>
    <w:link w:val="14"/>
    <w:qFormat/>
    <w:uiPriority w:val="9"/>
    <w:rPr>
      <w:rFonts w:asciiTheme="majorHAnsi" w:hAnsiTheme="majorHAnsi" w:eastAsiaTheme="majorEastAsia" w:cstheme="majorBidi"/>
      <w:b/>
      <w:bCs/>
      <w:kern w:val="2"/>
      <w:sz w:val="32"/>
      <w:szCs w:val="32"/>
    </w:rPr>
  </w:style>
  <w:style w:type="paragraph" w:customStyle="1" w:styleId="32">
    <w:name w:val="TOC 标题1"/>
    <w:basedOn w:val="1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3">
    <w:name w:val="批注框文本 Char"/>
    <w:basedOn w:val="9"/>
    <w:semiHidden/>
    <w:qFormat/>
    <w:uiPriority w:val="99"/>
    <w:rPr>
      <w:rFonts w:ascii="Times New Roman" w:hAnsi="Times New Roman"/>
      <w:kern w:val="2"/>
      <w:sz w:val="18"/>
      <w:szCs w:val="18"/>
    </w:rPr>
  </w:style>
  <w:style w:type="character" w:customStyle="1" w:styleId="34">
    <w:name w:val="标题 3 Char"/>
    <w:basedOn w:val="9"/>
    <w:link w:val="15"/>
    <w:qFormat/>
    <w:uiPriority w:val="9"/>
    <w:rPr>
      <w:rFonts w:ascii="Times New Roman" w:hAnsi="Times New Roman"/>
      <w:b/>
      <w:bCs/>
      <w:kern w:val="2"/>
      <w:sz w:val="32"/>
      <w:szCs w:val="32"/>
    </w:rPr>
  </w:style>
  <w:style w:type="paragraph" w:customStyle="1" w:styleId="35">
    <w:name w:val="TOC 标题2"/>
    <w:basedOn w:val="1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6">
    <w:name w:val="font21"/>
    <w:basedOn w:val="9"/>
    <w:qFormat/>
    <w:uiPriority w:val="0"/>
    <w:rPr>
      <w:rFonts w:hint="eastAsia" w:ascii="宋体" w:hAnsi="宋体" w:eastAsia="宋体" w:cs="宋体"/>
      <w:color w:val="000000"/>
      <w:sz w:val="20"/>
      <w:szCs w:val="20"/>
      <w:u w:val="none"/>
    </w:rPr>
  </w:style>
  <w:style w:type="paragraph" w:customStyle="1" w:styleId="37">
    <w:name w:val="四号正文"/>
    <w:basedOn w:val="1"/>
    <w:qFormat/>
    <w:uiPriority w:val="0"/>
    <w:pPr>
      <w:spacing w:line="360" w:lineRule="auto"/>
    </w:pPr>
    <w:rPr>
      <w:rFonts w:ascii="??" w:hAnsi="??" w:cs="宋体"/>
      <w:color w:val="000000"/>
      <w:kern w:val="0"/>
      <w:sz w:val="28"/>
      <w:szCs w:val="21"/>
    </w:rPr>
  </w:style>
  <w:style w:type="character" w:customStyle="1" w:styleId="38">
    <w:name w:val="font31"/>
    <w:basedOn w:val="9"/>
    <w:qFormat/>
    <w:uiPriority w:val="0"/>
    <w:rPr>
      <w:rFonts w:hint="eastAsia" w:ascii="宋体" w:hAnsi="宋体" w:eastAsia="宋体" w:cs="宋体"/>
      <w:b/>
      <w:color w:val="000000"/>
      <w:sz w:val="32"/>
      <w:szCs w:val="32"/>
      <w:u w:val="none"/>
    </w:rPr>
  </w:style>
  <w:style w:type="character" w:customStyle="1" w:styleId="39">
    <w:name w:val="font11"/>
    <w:basedOn w:val="9"/>
    <w:qFormat/>
    <w:uiPriority w:val="0"/>
    <w:rPr>
      <w:rFonts w:hint="eastAsia" w:ascii="宋体" w:hAnsi="宋体" w:eastAsia="宋体" w:cs="宋体"/>
      <w:color w:val="000000"/>
      <w:sz w:val="32"/>
      <w:szCs w:val="32"/>
      <w:u w:val="none"/>
    </w:rPr>
  </w:style>
  <w:style w:type="character" w:customStyle="1" w:styleId="40">
    <w:name w:val="font51"/>
    <w:basedOn w:val="9"/>
    <w:qFormat/>
    <w:uiPriority w:val="0"/>
    <w:rPr>
      <w:rFonts w:hint="eastAsia" w:ascii="宋体" w:hAnsi="宋体" w:eastAsia="宋体" w:cs="宋体"/>
      <w:color w:val="000000"/>
      <w:sz w:val="20"/>
      <w:szCs w:val="20"/>
      <w:u w:val="none"/>
    </w:rPr>
  </w:style>
  <w:style w:type="paragraph" w:customStyle="1" w:styleId="41">
    <w:name w:val="WPSOffice手动目录 1"/>
    <w:qFormat/>
    <w:uiPriority w:val="0"/>
    <w:rPr>
      <w:rFonts w:ascii="Times New Roman" w:hAnsi="Times New Roman" w:eastAsia="宋体" w:cs="Times New Roman"/>
      <w:lang w:val="en-US" w:eastAsia="zh-CN" w:bidi="ar-SA"/>
    </w:rPr>
  </w:style>
  <w:style w:type="paragraph" w:customStyle="1" w:styleId="42">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43">
    <w:name w:val="批注文字 Char"/>
    <w:basedOn w:val="9"/>
    <w:semiHidden/>
    <w:uiPriority w:val="99"/>
    <w:rPr>
      <w:kern w:val="2"/>
      <w:sz w:val="21"/>
      <w:szCs w:val="24"/>
    </w:rPr>
  </w:style>
  <w:style w:type="paragraph" w:customStyle="1" w:styleId="44">
    <w:name w:val="Header0"/>
    <w:basedOn w:val="1"/>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45">
    <w:name w:val="页眉 Char1"/>
    <w:basedOn w:val="9"/>
    <w:semiHidden/>
    <w:uiPriority w:val="99"/>
    <w:rPr>
      <w:kern w:val="2"/>
      <w:sz w:val="18"/>
      <w:szCs w:val="18"/>
    </w:rPr>
  </w:style>
  <w:style w:type="paragraph" w:customStyle="1" w:styleId="46">
    <w:name w:val="Footer0"/>
    <w:basedOn w:val="1"/>
    <w:qFormat/>
    <w:uiPriority w:val="99"/>
    <w:pPr>
      <w:tabs>
        <w:tab w:val="center" w:pos="4153"/>
        <w:tab w:val="right" w:pos="8306"/>
      </w:tabs>
      <w:snapToGrid w:val="0"/>
      <w:jc w:val="left"/>
    </w:pPr>
    <w:rPr>
      <w:sz w:val="18"/>
      <w:szCs w:val="18"/>
    </w:rPr>
  </w:style>
  <w:style w:type="character" w:customStyle="1" w:styleId="47">
    <w:name w:val="页脚 Char1"/>
    <w:basedOn w:val="9"/>
    <w:uiPriority w:val="99"/>
    <w:rPr>
      <w:kern w:val="2"/>
      <w:sz w:val="18"/>
      <w:szCs w:val="18"/>
    </w:rPr>
  </w:style>
  <w:style w:type="character" w:customStyle="1" w:styleId="48">
    <w:name w:val="页眉 Char2"/>
    <w:basedOn w:val="9"/>
    <w:link w:val="6"/>
    <w:semiHidden/>
    <w:uiPriority w:val="99"/>
    <w:rPr>
      <w:kern w:val="2"/>
      <w:sz w:val="18"/>
      <w:szCs w:val="18"/>
    </w:rPr>
  </w:style>
  <w:style w:type="character" w:customStyle="1" w:styleId="49">
    <w:name w:val="页脚 Char2"/>
    <w:basedOn w:val="9"/>
    <w:link w:val="5"/>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12.xml"/><Relationship Id="rId24" Type="http://schemas.openxmlformats.org/officeDocument/2006/relationships/customXml" Target="../customXml/item11.xml"/><Relationship Id="rId23" Type="http://schemas.openxmlformats.org/officeDocument/2006/relationships/customXml" Target="../customXml/item10.xml"/><Relationship Id="rId22" Type="http://schemas.openxmlformats.org/officeDocument/2006/relationships/customXml" Target="../customXml/item9.xml"/><Relationship Id="rId21" Type="http://schemas.openxmlformats.org/officeDocument/2006/relationships/customXml" Target="../customXml/item8.xml"/><Relationship Id="rId20" Type="http://schemas.openxmlformats.org/officeDocument/2006/relationships/customXml" Target="../customXml/item7.xml"/><Relationship Id="rId2" Type="http://schemas.openxmlformats.org/officeDocument/2006/relationships/settings" Target="settings.xml"/><Relationship Id="rId19" Type="http://schemas.openxmlformats.org/officeDocument/2006/relationships/customXml" Target="../customXml/item6.xml"/><Relationship Id="rId18" Type="http://schemas.openxmlformats.org/officeDocument/2006/relationships/customXml" Target="../customXml/item5.xml"/><Relationship Id="rId17" Type="http://schemas.openxmlformats.org/officeDocument/2006/relationships/customXml" Target="../customXml/item4.xml"/><Relationship Id="rId16" Type="http://schemas.openxmlformats.org/officeDocument/2006/relationships/customXml" Target="../customXml/item3.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Sheet1!$A$2</c:f>
              <c:strCache>
                <c:ptCount val="1"/>
                <c:pt idx="0">
                  <c:v>2021年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Sheet1!$B$1:$C$1</c:f>
              <c:strCache>
                <c:ptCount val="2"/>
                <c:pt idx="0">
                  <c:v>收入</c:v>
                </c:pt>
                <c:pt idx="1">
                  <c:v>支出</c:v>
                </c:pt>
              </c:strCache>
            </c:strRef>
          </c:cat>
          <c:val>
            <c:numRef>
              <c:f>Sheet1!$B$2:$C$2</c:f>
              <c:numCache>
                <c:formatCode>General</c:formatCode>
                <c:ptCount val="2"/>
                <c:pt idx="0">
                  <c:v>3351.87</c:v>
                </c:pt>
                <c:pt idx="1">
                  <c:v>3351.87</c:v>
                </c:pt>
              </c:numCache>
            </c:numRef>
          </c:val>
        </c:ser>
        <c:ser>
          <c:idx val="1"/>
          <c:order val="1"/>
          <c:tx>
            <c:strRef>
              <c:f>Sheet1!$A$3</c:f>
              <c:strCache>
                <c:ptCount val="1"/>
                <c:pt idx="0">
                  <c:v>2020年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Sheet1!$B$1:$C$1</c:f>
              <c:strCache>
                <c:ptCount val="2"/>
                <c:pt idx="0">
                  <c:v>收入</c:v>
                </c:pt>
                <c:pt idx="1">
                  <c:v>支出</c:v>
                </c:pt>
              </c:strCache>
            </c:strRef>
          </c:cat>
          <c:val>
            <c:numRef>
              <c:f>Sheet1!$B$3:$C$3</c:f>
              <c:numCache>
                <c:formatCode>#,##0.00</c:formatCode>
                <c:ptCount val="2"/>
                <c:pt idx="0">
                  <c:v>2112.91</c:v>
                </c:pt>
                <c:pt idx="1">
                  <c:v>2112.91</c:v>
                </c:pt>
              </c:numCache>
            </c:numRef>
          </c:val>
        </c:ser>
        <c:dLbls>
          <c:showLegendKey val="0"/>
          <c:showVal val="1"/>
          <c:showCatName val="0"/>
          <c:showSerName val="0"/>
          <c:showPercent val="0"/>
          <c:showBubbleSize val="0"/>
        </c:dLbls>
        <c:gapWidth val="219"/>
        <c:overlap val="-27"/>
        <c:axId val="191788928"/>
        <c:axId val="191790464"/>
      </c:barChart>
      <c:catAx>
        <c:axId val="191788928"/>
        <c:scaling>
          <c:orientation val="minMax"/>
        </c:scaling>
        <c:delete val="0"/>
        <c:axPos val="b"/>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1790464"/>
        <c:crosses val="autoZero"/>
        <c:auto val="1"/>
        <c:lblAlgn val="ctr"/>
        <c:lblOffset val="100"/>
        <c:noMultiLvlLbl val="0"/>
      </c:catAx>
      <c:valAx>
        <c:axId val="19179046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out"/>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178892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0626549705800016"/>
                  <c:y val="-0.28055645964299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一般公共预算财政拨款收入</c:v>
                </c:pt>
                <c:pt idx="1">
                  <c:v>政府性基金预算财政拨款收入</c:v>
                </c:pt>
              </c:strCache>
            </c:strRef>
          </c:cat>
          <c:val>
            <c:numRef>
              <c:f>Sheet1!$B$2:$B$3</c:f>
              <c:numCache>
                <c:formatCode>0.00%</c:formatCode>
                <c:ptCount val="2"/>
                <c:pt idx="0">
                  <c:v>0.995</c:v>
                </c:pt>
                <c:pt idx="1">
                  <c:v>0.005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1000" b="1"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1"/>
        <c:txPr>
          <a:bodyPr rot="0" spcFirstLastPara="0" vertOverflow="ellipsis" vert="horz" wrap="square" anchor="ctr" anchorCtr="1"/>
          <a:lstStyle/>
          <a:p>
            <a:pPr>
              <a:defRPr lang="zh-CN" sz="1000" b="1"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1000" b="1"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10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基本支出</c:v>
                </c:pt>
                <c:pt idx="1">
                  <c:v>项目支出</c:v>
                </c:pt>
              </c:strCache>
            </c:strRef>
          </c:cat>
          <c:val>
            <c:numRef>
              <c:f>Sheet1!$B$2:$B$3</c:f>
              <c:numCache>
                <c:formatCode>0.00%</c:formatCode>
                <c:ptCount val="2"/>
                <c:pt idx="0">
                  <c:v>0.280705993967546</c:v>
                </c:pt>
                <c:pt idx="1">
                  <c:v>0.719294006032454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1000" b="1"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1"/>
        <c:txPr>
          <a:bodyPr rot="0" spcFirstLastPara="0" vertOverflow="ellipsis" vert="horz" wrap="square" anchor="ctr" anchorCtr="1"/>
          <a:lstStyle/>
          <a:p>
            <a:pPr>
              <a:defRPr lang="zh-CN" sz="1000" b="1"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1000" b="1"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Sheet1!$E$2</c:f>
              <c:strCache>
                <c:ptCount val="1"/>
                <c:pt idx="0">
                  <c:v>2020</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Sheet1!$F$1:$G$1</c:f>
              <c:strCache>
                <c:ptCount val="2"/>
                <c:pt idx="0">
                  <c:v>收入</c:v>
                </c:pt>
                <c:pt idx="1">
                  <c:v>支出</c:v>
                </c:pt>
              </c:strCache>
            </c:strRef>
          </c:cat>
          <c:val>
            <c:numRef>
              <c:f>Sheet1!$F$2:$G$2</c:f>
              <c:numCache>
                <c:formatCode>#,##0.00</c:formatCode>
                <c:ptCount val="2"/>
                <c:pt idx="0">
                  <c:v>2099.15</c:v>
                </c:pt>
                <c:pt idx="1">
                  <c:v>2112.91</c:v>
                </c:pt>
              </c:numCache>
            </c:numRef>
          </c:val>
        </c:ser>
        <c:ser>
          <c:idx val="1"/>
          <c:order val="1"/>
          <c:tx>
            <c:strRef>
              <c:f>Sheet1!$E$3</c:f>
              <c:strCache>
                <c:ptCount val="1"/>
                <c:pt idx="0">
                  <c:v>2021</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Sheet1!$F$1:$G$1</c:f>
              <c:strCache>
                <c:ptCount val="2"/>
                <c:pt idx="0">
                  <c:v>收入</c:v>
                </c:pt>
                <c:pt idx="1">
                  <c:v>支出</c:v>
                </c:pt>
              </c:strCache>
            </c:strRef>
          </c:cat>
          <c:val>
            <c:numRef>
              <c:f>Sheet1!$F$3:$G$3</c:f>
              <c:numCache>
                <c:formatCode>General</c:formatCode>
                <c:ptCount val="2"/>
                <c:pt idx="0">
                  <c:v>3351.87</c:v>
                </c:pt>
                <c:pt idx="1">
                  <c:v>3351.87</c:v>
                </c:pt>
              </c:numCache>
            </c:numRef>
          </c:val>
        </c:ser>
        <c:dLbls>
          <c:showLegendKey val="0"/>
          <c:showVal val="1"/>
          <c:showCatName val="0"/>
          <c:showSerName val="0"/>
          <c:showPercent val="0"/>
          <c:showBubbleSize val="0"/>
        </c:dLbls>
        <c:gapWidth val="219"/>
        <c:overlap val="-27"/>
        <c:axId val="234862464"/>
        <c:axId val="234864000"/>
      </c:barChart>
      <c:catAx>
        <c:axId val="23486246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1000" b="1"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crossAx val="234864000"/>
        <c:crosses val="autoZero"/>
        <c:auto val="1"/>
        <c:lblAlgn val="ctr"/>
        <c:lblOffset val="100"/>
        <c:noMultiLvlLbl val="0"/>
      </c:catAx>
      <c:valAx>
        <c:axId val="23486400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486246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532010965973"/>
          <c:y val="0.108081948701403"/>
          <c:w val="0.810578938880826"/>
          <c:h val="0.73405387965801"/>
        </c:manualLayout>
      </c:layout>
      <c:barChart>
        <c:barDir val="col"/>
        <c:grouping val="clustered"/>
        <c:varyColors val="0"/>
        <c:ser>
          <c:idx val="0"/>
          <c:order val="0"/>
          <c:tx>
            <c:strRef>
              <c:f>Sheet1!$A$2</c:f>
              <c:strCache>
                <c:ptCount val="1"/>
                <c:pt idx="0">
                  <c:v>一般公共预算财政拨款支出</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Sheet1!$B$1:$C$1</c:f>
              <c:strCache>
                <c:ptCount val="2"/>
                <c:pt idx="0">
                  <c:v>2021年</c:v>
                </c:pt>
                <c:pt idx="1">
                  <c:v>2020年</c:v>
                </c:pt>
              </c:strCache>
            </c:strRef>
          </c:cat>
          <c:val>
            <c:numRef>
              <c:f>Sheet1!$B$2:$C$2</c:f>
              <c:numCache>
                <c:formatCode>General</c:formatCode>
                <c:ptCount val="2"/>
                <c:pt idx="0">
                  <c:v>3334.87</c:v>
                </c:pt>
                <c:pt idx="1" c:formatCode="#,##0.00">
                  <c:v>2112.91</c:v>
                </c:pt>
              </c:numCache>
            </c:numRef>
          </c:val>
        </c:ser>
        <c:dLbls>
          <c:showLegendKey val="0"/>
          <c:showVal val="1"/>
          <c:showCatName val="0"/>
          <c:showSerName val="0"/>
          <c:showPercent val="0"/>
          <c:showBubbleSize val="0"/>
        </c:dLbls>
        <c:gapWidth val="150"/>
        <c:axId val="185027584"/>
        <c:axId val="185508608"/>
      </c:barChart>
      <c:catAx>
        <c:axId val="18502758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5508608"/>
        <c:crosses val="autoZero"/>
        <c:auto val="1"/>
        <c:lblAlgn val="ctr"/>
        <c:lblOffset val="100"/>
        <c:noMultiLvlLbl val="0"/>
      </c:catAx>
      <c:valAx>
        <c:axId val="18550860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5027584"/>
        <c:crosses val="autoZero"/>
        <c:crossBetween val="between"/>
      </c:valAx>
      <c:spPr>
        <a:noFill/>
        <a:ln>
          <a:noFill/>
        </a:ln>
        <a:effectLst/>
      </c:spPr>
    </c:plotArea>
    <c:legend>
      <c:legendPos val="r"/>
      <c:layout>
        <c:manualLayout>
          <c:xMode val="edge"/>
          <c:yMode val="edge"/>
          <c:x val="0.113852604418642"/>
          <c:y val="0.917262528480835"/>
          <c:w val="0.819545234639575"/>
          <c:h val="0.076463945797709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6"/>
              <c:layout>
                <c:manualLayout>
                  <c:x val="0.00202163609196322"/>
                  <c:y val="-0.014583130956726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Sheet1!$A$2:$A$8</c:f>
              <c:strCache>
                <c:ptCount val="7"/>
                <c:pt idx="0">
                  <c:v>一般公共服务</c:v>
                </c:pt>
                <c:pt idx="1">
                  <c:v>文化旅游体育与传媒</c:v>
                </c:pt>
                <c:pt idx="2">
                  <c:v>社会保障和就业</c:v>
                </c:pt>
                <c:pt idx="3">
                  <c:v>卫生健康</c:v>
                </c:pt>
                <c:pt idx="4">
                  <c:v>农林水</c:v>
                </c:pt>
                <c:pt idx="5">
                  <c:v>交通运输</c:v>
                </c:pt>
                <c:pt idx="6">
                  <c:v>住房保障</c:v>
                </c:pt>
              </c:strCache>
            </c:strRef>
          </c:cat>
          <c:val>
            <c:numRef>
              <c:f>Sheet1!$B$2:$B$8</c:f>
              <c:numCache>
                <c:formatCode>0.00%</c:formatCode>
                <c:ptCount val="7"/>
                <c:pt idx="0">
                  <c:v>0.172858312318021</c:v>
                </c:pt>
                <c:pt idx="1">
                  <c:v>0.0161325628885084</c:v>
                </c:pt>
                <c:pt idx="2">
                  <c:v>0.049375238015275</c:v>
                </c:pt>
                <c:pt idx="3">
                  <c:v>0.0139615637191255</c:v>
                </c:pt>
                <c:pt idx="4">
                  <c:v>0.546159220599304</c:v>
                </c:pt>
                <c:pt idx="5">
                  <c:v>0.0156917660958298</c:v>
                </c:pt>
                <c:pt idx="6">
                  <c:v>0.185827333599211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1000" b="1"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1"/>
        <c:txPr>
          <a:bodyPr rot="0" spcFirstLastPara="0" vertOverflow="ellipsis" vert="horz" wrap="square" anchor="ctr" anchorCtr="1"/>
          <a:lstStyle/>
          <a:p>
            <a:pPr>
              <a:defRPr lang="zh-CN" sz="1000" b="1"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2"/>
        <c:txPr>
          <a:bodyPr rot="0" spcFirstLastPara="0" vertOverflow="ellipsis" vert="horz" wrap="square" anchor="ctr" anchorCtr="1"/>
          <a:lstStyle/>
          <a:p>
            <a:pPr>
              <a:defRPr lang="zh-CN" sz="1000" b="1"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3"/>
        <c:txPr>
          <a:bodyPr rot="0" spcFirstLastPara="0" vertOverflow="ellipsis" vert="horz" wrap="square" anchor="ctr" anchorCtr="1"/>
          <a:lstStyle/>
          <a:p>
            <a:pPr>
              <a:defRPr lang="zh-CN" sz="1000" b="1"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4"/>
        <c:txPr>
          <a:bodyPr rot="0" spcFirstLastPara="0" vertOverflow="ellipsis" vert="horz" wrap="square" anchor="ctr" anchorCtr="1"/>
          <a:lstStyle/>
          <a:p>
            <a:pPr>
              <a:defRPr lang="zh-CN" sz="1000" b="1"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5"/>
        <c:txPr>
          <a:bodyPr rot="0" spcFirstLastPara="0" vertOverflow="ellipsis" vert="horz" wrap="square" anchor="ctr" anchorCtr="1"/>
          <a:lstStyle/>
          <a:p>
            <a:pPr>
              <a:defRPr lang="zh-CN" sz="1000" b="1"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6"/>
        <c:txPr>
          <a:bodyPr rot="0" spcFirstLastPara="0" vertOverflow="ellipsis" vert="horz" wrap="square" anchor="ctr" anchorCtr="1"/>
          <a:lstStyle/>
          <a:p>
            <a:pPr>
              <a:defRPr lang="zh-CN" sz="1000" b="1"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1000" b="1"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accent1"/>
              </a:solidFill>
              <a:ln w="19050">
                <a:solidFill>
                  <a:schemeClr val="lt1"/>
                </a:solidFill>
              </a:ln>
              <a:effectLst/>
            </c:spPr>
          </c:dPt>
          <c:dLbls>
            <c:dLbl>
              <c:idx val="0"/>
              <c:layout>
                <c:manualLayout>
                  <c:x val="0.0533326779174811"/>
                  <c:y val="-0.31847943709610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公务接待费支出</c:v>
                </c:pt>
              </c:strCache>
            </c:strRef>
          </c:cat>
          <c:val>
            <c:numRef>
              <c:f>Sheet1!$B$2</c:f>
              <c:numCache>
                <c:formatCode>0%</c:formatCode>
                <c:ptCount val="1"/>
                <c:pt idx="0">
                  <c:v>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1000" b="1"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1000" b="1"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http://schemas.openxmlformats.org/officeDocument/2006/extended-properties" xmlns:vt="http://schemas.openxmlformats.org/officeDocument/2006/docPropsVTypes">
  <Template>Normal</Template>
  <TotalTime>21</TotalTime>
  <Pages>39</Pages>
  <Words>2655</Words>
  <Characters>15139</Characters>
  <Application>Microsoft Office Word</Application>
  <DocSecurity>0</DocSecurity>
  <Lines>126</Lines>
  <Paragraphs>35</Paragraphs>
  <ScaleCrop>false</ScaleCrop>
  <Company>四川省财政厅</Company>
  <LinksUpToDate>false</LinksUpToDate>
  <CharactersWithSpaces>17759</CharactersWithSpaces>
  <SharedDoc>false</SharedDoc>
  <HyperlinksChanged>false</HyperlinksChanged>
  <AppVersion>12.0000</AppVersion>
</Properties>
</file>

<file path=customXml/item10.xml><?xml version="1.0" encoding="utf-8"?>
<Properties xmlns:vt="http://schemas.openxmlformats.org/officeDocument/2006/docPropsVTypes" xmlns="http://schemas.openxmlformats.org/officeDocument/2006/extended-properties">
  <Template>Normal.dotm</Template>
  <TotalTime>8</TotalTime>
  <Pages>24</Pages>
  <Words>1299</Words>
  <Characters>7410</Characters>
  <Application>WPS Office_10.8.2.6784_F1E327BC-269C-435d-A152-05C5408002CA</Application>
  <DocSecurity>0</DocSecurity>
  <Lines>61</Lines>
  <Paragraphs>17</Paragraphs>
  <Company>四川省财政厅</Company>
  <CharactersWithSpaces>8692</CharactersWithSpaces>
  <AppVersion>14.0000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2022-08-06T02:23:00Z</cp:lastPrinted>
  <dcterms:modified xsi:type="dcterms:W3CDTF">2022-09-14T01:45:39Z</dcterms:modified>
  <dc:title>四川省***</dc:title>
  <cp:revision>32</cp:revision>
</cp:coreProperties>
</file>

<file path=customXml/item12.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8</TotalTime>
  <ScaleCrop>false</ScaleCrop>
  <LinksUpToDate>false</LinksUpToDate>
  <CharactersWithSpaces>8692</CharactersWithSpaces>
  <Application>WPS Office_10.8.2.6784_F1E327BC-269C-435d-A152-05C5408002CA</Application>
  <DocSecurity>0</DocSecuri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Administrator</cp:lastModifiedBy>
  <cp:revision>32</cp:revision>
  <cp:lastPrinted>2022-08-06T02:23:00Z</cp:lastPrinted>
  <dcterms:created xsi:type="dcterms:W3CDTF">2020-08-05T01:49:00Z</dcterms:created>
  <dcterms:modified xsi:type="dcterms:W3CDTF">2022-09-14T01:45:39Z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37</cp:revision>
  <cp:lastPrinted>2022-08-06T02:23:00Z</cp:lastPrinted>
  <dcterms:created xsi:type="dcterms:W3CDTF">2020-08-05T01:49:00Z</dcterms:created>
  <dcterms:modified xsi:type="dcterms:W3CDTF">2023-03-01T03:04:00Z</dcterms:modified>
</cp:coreProperties>
</file>

<file path=customXml/item4.xml><?xml version="1.0" encoding="utf-8"?>
<Properties xmlns:vt="http://schemas.openxmlformats.org/officeDocument/2006/docPropsVTypes" xmlns="http://schemas.openxmlformats.org/officeDocument/2006/extended-properties">
  <Template>Normal</Template>
  <TotalTime>21</TotalTime>
  <Pages>39</Pages>
  <Words>2655</Words>
  <Characters>15139</Characters>
  <Application>Microsoft Office Word</Application>
  <DocSecurity>0</DocSecurity>
  <Lines>126</Lines>
  <Paragraphs>35</Paragraphs>
  <Company>四川省财政厅</Company>
  <CharactersWithSpaces>17759</CharactersWithSpaces>
  <AppVersion>12.0000</AppVersion>
</Properties>
</file>

<file path=customXml/item5.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

<file path=customXml/item6.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

<file path=customXml/item7.xml><?xml version="1.0" encoding="utf-8"?>
<Properties xmlns:vt="http://schemas.openxmlformats.org/officeDocument/2006/docPropsVTypes" xmlns="http://schemas.openxmlformats.org/officeDocument/2006/custom-properties">
  <property fmtid="{D5CDD505-2E9C-101B-9397-08002B2CF9AE}" pid="2" name="KSOProductBuildVer">
    <vt:lpstr>2052-10.8.2.6784</vt:lpstr>
  </property>
</Properties>
</file>

<file path=customXml/item8.xml><?xml version="1.0" encoding="utf-8"?>
<Properties xmlns:vt="http://schemas.openxmlformats.org/officeDocument/2006/docPropsVTypes" xmlns="http://schemas.openxmlformats.org/officeDocument/2006/custom-properties">
  <property fmtid="{D5CDD505-2E9C-101B-9397-08002B2CF9AE}" pid="2" name="KSOProductBuildVer">
    <vt:lpstr>2052-10.8.2.6784</vt:lpstr>
  </property>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37</cp:revision>
  <cp:lastPrinted>2022-08-06T02:23:00Z</cp:lastPrinted>
  <dcterms:created xsi:type="dcterms:W3CDTF">2020-08-05T01:49:00Z</dcterms:created>
  <dcterms:modified xsi:type="dcterms:W3CDTF">2023-03-01T03:04:00Z</dcterms:modified>
</cp:coreProperties>
</file>

<file path=customXml/itemProps1.xml><?xml version="1.0" encoding="utf-8"?>
<ds:datastoreItem xmlns:ds="http://schemas.openxmlformats.org/officeDocument/2006/customXml" ds:itemID="{33354D34-C72F-420B-A5BD-98A67FF6BB66}">
  <ds:schemaRefs/>
</ds:datastoreItem>
</file>

<file path=customXml/itemProps10.xml><?xml version="1.0" encoding="utf-8"?>
<ds:datastoreItem xmlns:ds="http://schemas.openxmlformats.org/officeDocument/2006/customXml" ds:itemID="{E681DD87-7A8F-47DE-B6C6-B880C1EEF1FC}">
  <ds:schemaRefs/>
</ds:datastoreItem>
</file>

<file path=customXml/itemProps11.xml><?xml version="1.0" encoding="utf-8"?>
<ds:datastoreItem xmlns:ds="http://schemas.openxmlformats.org/officeDocument/2006/customXml" ds:itemID="{A41E531D-47A4-424D-ABA7-34C54DA36233}">
  <ds:schemaRefs/>
</ds:datastoreItem>
</file>

<file path=customXml/itemProps12.xml><?xml version="1.0" encoding="utf-8"?>
<ds:datastoreItem xmlns:ds="http://schemas.openxmlformats.org/officeDocument/2006/customXml" ds:itemID="{BC2D730A-818C-4FC5-A483-6F21C3FAE3AD}">
  <ds:schemaRefs/>
</ds:datastoreItem>
</file>

<file path=customXml/itemProps2.xml><?xml version="1.0" encoding="utf-8"?>
<ds:datastoreItem xmlns:ds="http://schemas.openxmlformats.org/officeDocument/2006/customXml" ds:itemID="{C13658CD-80AE-4CD1-BEBE-83FFA92E4E9E}">
  <ds:schemaRefs/>
</ds:datastoreItem>
</file>

<file path=customXml/itemProps3.xml><?xml version="1.0" encoding="utf-8"?>
<ds:datastoreItem xmlns:ds="http://schemas.openxmlformats.org/officeDocument/2006/customXml" ds:itemID="{069E3DC0-C337-4292-9969-BCB306C24AB7}">
  <ds:schemaRefs/>
</ds:datastoreItem>
</file>

<file path=customXml/itemProps4.xml><?xml version="1.0" encoding="utf-8"?>
<ds:datastoreItem xmlns:ds="http://schemas.openxmlformats.org/officeDocument/2006/customXml" ds:itemID="{B8DBA5DD-548B-4447-9959-6973F9F711FC}">
  <ds:schemaRefs/>
</ds:datastoreItem>
</file>

<file path=customXml/itemProps5.xml><?xml version="1.0" encoding="utf-8"?>
<ds:datastoreItem xmlns:ds="http://schemas.openxmlformats.org/officeDocument/2006/customXml" ds:itemID="{4D852A17-72C4-41EA-8D57-8B3ED0436243}">
  <ds:schemaRefs/>
</ds:datastoreItem>
</file>

<file path=customXml/itemProps6.xml><?xml version="1.0" encoding="utf-8"?>
<ds:datastoreItem xmlns:ds="http://schemas.openxmlformats.org/officeDocument/2006/customXml" ds:itemID="{CE87B2D3-50C8-4841-AEE3-ED749E809ACE}">
  <ds:schemaRefs/>
</ds:datastoreItem>
</file>

<file path=customXml/itemProps7.xml><?xml version="1.0" encoding="utf-8"?>
<ds:datastoreItem xmlns:ds="http://schemas.openxmlformats.org/officeDocument/2006/customXml" ds:itemID="{B424C6D8-A342-48ED-BD11-3CB78A4E69BC}">
  <ds:schemaRefs/>
</ds:datastoreItem>
</file>

<file path=customXml/itemProps8.xml><?xml version="1.0" encoding="utf-8"?>
<ds:datastoreItem xmlns:ds="http://schemas.openxmlformats.org/officeDocument/2006/customXml" ds:itemID="{71A44D42-279B-43DA-83C9-0ABB97EA5A51}">
  <ds:schemaRefs/>
</ds:datastoreItem>
</file>

<file path=customXml/itemProps9.xml><?xml version="1.0" encoding="utf-8"?>
<ds:datastoreItem xmlns:ds="http://schemas.openxmlformats.org/officeDocument/2006/customXml" ds:itemID="{2AC0BD97-4136-4463-9525-922FCFB00E8E}">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39</Pages>
  <Words>14585</Words>
  <Characters>15588</Characters>
  <Lines>125</Lines>
  <Paragraphs>35</Paragraphs>
  <TotalTime>34</TotalTime>
  <ScaleCrop>false</ScaleCrop>
  <LinksUpToDate>false</LinksUpToDate>
  <CharactersWithSpaces>15731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狂奔的蜗牛</cp:lastModifiedBy>
  <cp:lastPrinted>2022-08-06T02:23:00Z</cp:lastPrinted>
  <dcterms:modified xsi:type="dcterms:W3CDTF">2023-04-16T09:56:40Z</dcterms:modified>
  <dc:title>四川省***</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00B48AE97F054BD995751796FA68A78D_12</vt:lpwstr>
  </property>
</Properties>
</file>