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600" w:lineRule="exact"/>
        <w:jc w:val="center"/>
        <w:rPr>
          <w:rFonts w:ascii="方正小标宋简体" w:hAnsi="方正小标宋简体" w:eastAsia="方正小标宋简体"/>
          <w:sz w:val="72"/>
          <w:szCs w:val="72"/>
        </w:rPr>
      </w:pPr>
    </w:p>
    <w:p>
      <w:pPr>
        <w:pStyle w:val="14"/>
        <w:spacing w:line="600" w:lineRule="exact"/>
        <w:jc w:val="center"/>
        <w:rPr>
          <w:rFonts w:ascii="方正小标宋简体" w:hAnsi="方正小标宋简体" w:eastAsia="方正小标宋简体"/>
          <w:sz w:val="72"/>
          <w:szCs w:val="72"/>
        </w:rPr>
      </w:pPr>
    </w:p>
    <w:p>
      <w:pPr>
        <w:pStyle w:val="14"/>
        <w:spacing w:line="600" w:lineRule="exact"/>
        <w:jc w:val="center"/>
        <w:rPr>
          <w:rFonts w:ascii="方正小标宋简体" w:hAnsi="方正小标宋简体" w:eastAsia="方正小标宋简体"/>
          <w:sz w:val="72"/>
          <w:szCs w:val="72"/>
        </w:rPr>
      </w:pPr>
    </w:p>
    <w:p>
      <w:pPr>
        <w:pStyle w:val="14"/>
        <w:spacing w:line="600" w:lineRule="exact"/>
        <w:jc w:val="center"/>
        <w:rPr>
          <w:rFonts w:ascii="方正小标宋简体" w:hAnsi="方正小标宋简体" w:eastAsia="方正小标宋简体"/>
          <w:sz w:val="72"/>
          <w:szCs w:val="72"/>
        </w:rPr>
      </w:pPr>
    </w:p>
    <w:p>
      <w:pPr>
        <w:adjustRightInd w:val="0"/>
        <w:snapToGrid w:val="0"/>
        <w:spacing w:line="360" w:lineRule="auto"/>
        <w:jc w:val="center"/>
        <w:outlineLvl w:val="0"/>
        <w:rPr>
          <w:rFonts w:ascii="方正小标宋简体" w:hAnsi="宋体" w:eastAsia="方正小标宋简体"/>
          <w:color w:val="000000"/>
          <w:kern w:val="2"/>
          <w:sz w:val="72"/>
          <w:szCs w:val="72"/>
        </w:rPr>
      </w:pPr>
      <w:bookmarkStart w:id="0" w:name="_Toc15377193"/>
      <w:bookmarkStart w:id="1" w:name="_Toc15377425"/>
      <w:bookmarkStart w:id="2" w:name="_Toc15378441"/>
      <w:bookmarkStart w:id="3" w:name="_Toc15396597"/>
      <w:bookmarkStart w:id="4" w:name="_Toc15396475"/>
      <w:bookmarkStart w:id="5" w:name="_Toc12959"/>
      <w:r>
        <w:rPr>
          <w:rFonts w:hint="eastAsia" w:ascii="方正小标宋简体" w:hAnsi="宋体" w:eastAsia="方正小标宋简体"/>
          <w:color w:val="000000"/>
          <w:kern w:val="2"/>
          <w:sz w:val="72"/>
          <w:szCs w:val="72"/>
        </w:rPr>
        <w:t>2021年度</w:t>
      </w:r>
      <w:bookmarkEnd w:id="0"/>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kern w:val="2"/>
          <w:sz w:val="72"/>
          <w:szCs w:val="72"/>
        </w:rPr>
      </w:pPr>
      <w:bookmarkStart w:id="6" w:name="_Toc15306268"/>
      <w:bookmarkEnd w:id="6"/>
      <w:bookmarkStart w:id="7" w:name="_Toc32212"/>
      <w:r>
        <w:rPr>
          <w:rFonts w:hint="eastAsia" w:ascii="方正小标宋简体" w:hAnsi="宋体" w:eastAsia="方正小标宋简体"/>
          <w:color w:val="000000"/>
          <w:kern w:val="2"/>
          <w:sz w:val="72"/>
          <w:szCs w:val="72"/>
        </w:rPr>
        <w:t>通江县唱歌镇石林小学</w:t>
      </w:r>
      <w:bookmarkEnd w:id="7"/>
    </w:p>
    <w:p>
      <w:pPr>
        <w:adjustRightInd w:val="0"/>
        <w:snapToGrid w:val="0"/>
        <w:spacing w:line="360" w:lineRule="auto"/>
        <w:jc w:val="center"/>
        <w:outlineLvl w:val="0"/>
        <w:rPr>
          <w:rFonts w:ascii="方正小标宋简体" w:hAnsi="方正小标宋简体" w:eastAsia="方正小标宋简体"/>
          <w:sz w:val="52"/>
          <w:szCs w:val="52"/>
        </w:rPr>
      </w:pPr>
      <w:bookmarkStart w:id="8" w:name="_Toc15396476"/>
      <w:bookmarkStart w:id="9" w:name="_Toc15396598"/>
      <w:bookmarkStart w:id="10" w:name="_Toc15377194"/>
      <w:bookmarkStart w:id="11" w:name="_Toc15378442"/>
      <w:bookmarkStart w:id="12" w:name="_Toc15377426"/>
      <w:bookmarkStart w:id="13" w:name="_Toc31321"/>
      <w:r>
        <w:rPr>
          <w:rFonts w:hint="eastAsia" w:ascii="方正小标宋简体" w:hAnsi="宋体" w:eastAsia="方正小标宋简体"/>
          <w:color w:val="000000"/>
          <w:kern w:val="2"/>
          <w:sz w:val="72"/>
          <w:szCs w:val="72"/>
        </w:rPr>
        <w:t>单位决算</w:t>
      </w:r>
      <w:bookmarkEnd w:id="8"/>
      <w:bookmarkEnd w:id="9"/>
      <w:bookmarkEnd w:id="10"/>
      <w:bookmarkEnd w:id="11"/>
      <w:bookmarkEnd w:id="12"/>
      <w:bookmarkStart w:id="14" w:name="_Toc153062681"/>
      <w:bookmarkEnd w:id="14"/>
      <w:r>
        <w:br w:type="page"/>
      </w:r>
      <w:bookmarkEnd w:id="13"/>
    </w:p>
    <w:p>
      <w:pPr>
        <w:pStyle w:val="14"/>
        <w:widowControl/>
        <w:jc w:val="center"/>
        <w:rPr>
          <w:rFonts w:ascii="黑体" w:hAnsi="黑体" w:eastAsia="黑体"/>
          <w:sz w:val="48"/>
          <w:szCs w:val="48"/>
        </w:rPr>
      </w:pPr>
      <w:r>
        <w:rPr>
          <w:rFonts w:ascii="黑体" w:hAnsi="黑体" w:eastAsia="黑体"/>
          <w:sz w:val="48"/>
          <w:szCs w:val="48"/>
        </w:rPr>
        <w:t>目录</w:t>
      </w:r>
    </w:p>
    <w:p>
      <w:pPr>
        <w:pStyle w:val="14"/>
        <w:widowControl/>
        <w:jc w:val="center"/>
        <w:rPr>
          <w:rFonts w:ascii="黑体" w:hAnsi="黑体" w:eastAsia="黑体" w:cstheme="minorBidi"/>
          <w:sz w:val="28"/>
          <w:szCs w:val="28"/>
        </w:rPr>
      </w:pPr>
    </w:p>
    <w:p>
      <w:pPr>
        <w:pStyle w:val="20"/>
      </w:pPr>
      <w:r>
        <w:t>公开时间：2022年</w:t>
      </w:r>
      <w:r>
        <w:rPr>
          <w:rFonts w:hint="eastAsia"/>
        </w:rPr>
        <w:t>8</w:t>
      </w:r>
      <w:r>
        <w:t>月</w:t>
      </w:r>
      <w:r>
        <w:rPr>
          <w:rFonts w:hint="eastAsia"/>
        </w:rPr>
        <w:t>25</w:t>
      </w:r>
      <w:r>
        <w:t>日</w:t>
      </w:r>
    </w:p>
    <w:p>
      <w:pPr>
        <w:pStyle w:val="14"/>
      </w:pPr>
    </w:p>
    <w:sdt>
      <w:sdtPr>
        <w:rPr>
          <w:rFonts w:ascii="宋体" w:hAnsi="宋体"/>
          <w:sz w:val="21"/>
        </w:rPr>
        <w:id w:val="147464669"/>
        <w:docPartObj>
          <w:docPartGallery w:val="Table of Contents"/>
          <w:docPartUnique/>
        </w:docPartObj>
      </w:sdtPr>
      <w:sdtEndPr>
        <w:rPr>
          <w:rFonts w:ascii="宋体" w:hAnsi="宋体"/>
          <w:b/>
          <w:sz w:val="21"/>
        </w:rPr>
      </w:sdtEndPr>
      <w:sdtContent>
        <w:p>
          <w:pPr>
            <w:jc w:val="center"/>
          </w:pPr>
          <w:bookmarkStart w:id="15" w:name="_Toc15396599"/>
        </w:p>
        <w:p>
          <w:pPr>
            <w:pStyle w:val="25"/>
            <w:tabs>
              <w:tab w:val="right" w:leader="dot" w:pos="8306"/>
            </w:tabs>
            <w:rPr>
              <w:b/>
            </w:rPr>
          </w:pPr>
          <w:r>
            <w:fldChar w:fldCharType="begin"/>
          </w:r>
          <w:r>
            <w:instrText xml:space="preserve">TOC \o "1-2" \h \u</w:instrText>
          </w:r>
          <w:r>
            <w:fldChar w:fldCharType="separate"/>
          </w:r>
          <w:r>
            <w:fldChar w:fldCharType="begin"/>
          </w:r>
          <w:r>
            <w:instrText xml:space="preserve"> HYPERLINK \l "_Toc32013" </w:instrText>
          </w:r>
          <w:r>
            <w:fldChar w:fldCharType="separate"/>
          </w:r>
          <w:r>
            <w:rPr>
              <w:rFonts w:ascii="黑体" w:hAnsi="黑体" w:eastAsia="黑体"/>
              <w:b/>
            </w:rPr>
            <w:t>第一部分</w:t>
          </w:r>
          <w:r>
            <w:rPr>
              <w:rFonts w:hint="eastAsia" w:ascii="黑体" w:hAnsi="黑体" w:eastAsia="黑体"/>
              <w:b/>
              <w:lang w:val="en-US" w:eastAsia="zh-CN"/>
            </w:rPr>
            <w:t xml:space="preserve"> </w:t>
          </w:r>
          <w:r>
            <w:rPr>
              <w:rFonts w:ascii="黑体" w:hAnsi="黑体" w:eastAsia="黑体"/>
              <w:b/>
            </w:rPr>
            <w:t>单位概况</w:t>
          </w:r>
          <w:r>
            <w:rPr>
              <w:b/>
            </w:rPr>
            <w:tab/>
          </w:r>
          <w:r>
            <w:rPr>
              <w:b/>
            </w:rPr>
            <w:fldChar w:fldCharType="begin"/>
          </w:r>
          <w:r>
            <w:rPr>
              <w:b/>
            </w:rPr>
            <w:instrText xml:space="preserve"> PAGEREF _Toc32013 </w:instrText>
          </w:r>
          <w:r>
            <w:rPr>
              <w:b/>
            </w:rPr>
            <w:fldChar w:fldCharType="separate"/>
          </w:r>
          <w:r>
            <w:rPr>
              <w:b/>
            </w:rPr>
            <w:t>3</w:t>
          </w:r>
          <w:r>
            <w:rPr>
              <w:b/>
            </w:rPr>
            <w:fldChar w:fldCharType="end"/>
          </w:r>
          <w:r>
            <w:rPr>
              <w:b/>
            </w:rPr>
            <w:fldChar w:fldCharType="end"/>
          </w:r>
        </w:p>
        <w:p>
          <w:pPr>
            <w:pStyle w:val="26"/>
            <w:tabs>
              <w:tab w:val="right" w:leader="dot" w:pos="8306"/>
            </w:tabs>
            <w:ind w:left="400"/>
          </w:pPr>
          <w:r>
            <w:fldChar w:fldCharType="begin"/>
          </w:r>
          <w:r>
            <w:instrText xml:space="preserve"> HYPERLINK \l "_Toc5148" </w:instrText>
          </w:r>
          <w:r>
            <w:fldChar w:fldCharType="separate"/>
          </w:r>
          <w:r>
            <w:rPr>
              <w:rFonts w:ascii="黑体" w:hAnsi="黑体" w:eastAsia="黑体"/>
            </w:rPr>
            <w:t>二、2021年重点工作完成情况</w:t>
          </w:r>
          <w:r>
            <w:tab/>
          </w:r>
          <w:r>
            <w:fldChar w:fldCharType="begin"/>
          </w:r>
          <w:r>
            <w:instrText xml:space="preserve"> PAGEREF _Toc5148 </w:instrText>
          </w:r>
          <w:r>
            <w:fldChar w:fldCharType="separate"/>
          </w:r>
          <w:r>
            <w:t>3</w:t>
          </w:r>
          <w:r>
            <w:fldChar w:fldCharType="end"/>
          </w:r>
          <w:r>
            <w:fldChar w:fldCharType="end"/>
          </w:r>
        </w:p>
        <w:p>
          <w:pPr>
            <w:pStyle w:val="25"/>
            <w:tabs>
              <w:tab w:val="right" w:leader="dot" w:pos="8306"/>
            </w:tabs>
            <w:rPr>
              <w:b/>
            </w:rPr>
          </w:pPr>
          <w:r>
            <w:fldChar w:fldCharType="begin"/>
          </w:r>
          <w:r>
            <w:instrText xml:space="preserve"> HYPERLINK \l "_Toc6554" </w:instrText>
          </w:r>
          <w:r>
            <w:fldChar w:fldCharType="separate"/>
          </w:r>
          <w:r>
            <w:rPr>
              <w:rFonts w:ascii="黑体" w:hAnsi="黑体" w:eastAsia="黑体"/>
              <w:b/>
            </w:rPr>
            <w:t>第二部分 2021年度</w:t>
          </w:r>
          <w:r>
            <w:rPr>
              <w:rFonts w:ascii="黑体" w:hAnsi="黑体" w:eastAsia="黑体"/>
              <w:b/>
              <w:bCs/>
            </w:rPr>
            <w:t>单位决算情况说明</w:t>
          </w:r>
          <w:r>
            <w:rPr>
              <w:b/>
            </w:rPr>
            <w:tab/>
          </w:r>
          <w:r>
            <w:rPr>
              <w:b/>
            </w:rPr>
            <w:fldChar w:fldCharType="begin"/>
          </w:r>
          <w:r>
            <w:rPr>
              <w:b/>
            </w:rPr>
            <w:instrText xml:space="preserve"> PAGEREF _Toc6554 </w:instrText>
          </w:r>
          <w:r>
            <w:rPr>
              <w:b/>
            </w:rPr>
            <w:fldChar w:fldCharType="separate"/>
          </w:r>
          <w:r>
            <w:rPr>
              <w:b/>
            </w:rPr>
            <w:t>4</w:t>
          </w:r>
          <w:r>
            <w:rPr>
              <w:b/>
            </w:rPr>
            <w:fldChar w:fldCharType="end"/>
          </w:r>
          <w:r>
            <w:rPr>
              <w:b/>
            </w:rPr>
            <w:fldChar w:fldCharType="end"/>
          </w:r>
        </w:p>
        <w:p>
          <w:pPr>
            <w:pStyle w:val="26"/>
            <w:tabs>
              <w:tab w:val="right" w:leader="dot" w:pos="8306"/>
            </w:tabs>
            <w:ind w:left="400"/>
          </w:pPr>
          <w:r>
            <w:fldChar w:fldCharType="begin"/>
          </w:r>
          <w:r>
            <w:instrText xml:space="preserve"> HYPERLINK \l "_Toc28815" </w:instrText>
          </w:r>
          <w:r>
            <w:fldChar w:fldCharType="separate"/>
          </w:r>
          <w:r>
            <w:rPr>
              <w:rFonts w:hint="eastAsia" w:ascii="黑体" w:hAnsi="黑体" w:eastAsia="黑体"/>
              <w:szCs w:val="32"/>
              <w:u w:val="thick" w:color="FFB03A"/>
              <w:shd w:val="clear" w:fill="FFEFD8"/>
            </w:rPr>
            <w:t>一、</w:t>
          </w:r>
          <w:r>
            <w:rPr>
              <w:rFonts w:ascii="黑体" w:hAnsi="黑体" w:eastAsia="黑体"/>
              <w:szCs w:val="32"/>
            </w:rPr>
            <w:t>收</w:t>
          </w:r>
          <w:r>
            <w:rPr>
              <w:rFonts w:ascii="黑体" w:hAnsi="黑体" w:eastAsia="黑体"/>
            </w:rPr>
            <w:t>入支出决算总体情况说明</w:t>
          </w:r>
          <w:r>
            <w:tab/>
          </w:r>
          <w:r>
            <w:fldChar w:fldCharType="begin"/>
          </w:r>
          <w:r>
            <w:instrText xml:space="preserve"> PAGEREF _Toc28815 </w:instrText>
          </w:r>
          <w:r>
            <w:fldChar w:fldCharType="separate"/>
          </w:r>
          <w:r>
            <w:t>4</w:t>
          </w:r>
          <w:r>
            <w:fldChar w:fldCharType="end"/>
          </w:r>
          <w:r>
            <w:fldChar w:fldCharType="end"/>
          </w:r>
        </w:p>
        <w:p>
          <w:pPr>
            <w:pStyle w:val="26"/>
            <w:tabs>
              <w:tab w:val="right" w:leader="dot" w:pos="8306"/>
            </w:tabs>
            <w:ind w:left="400"/>
          </w:pPr>
          <w:r>
            <w:fldChar w:fldCharType="begin"/>
          </w:r>
          <w:r>
            <w:instrText xml:space="preserve"> HYPERLINK \l "_Toc7956" </w:instrText>
          </w:r>
          <w:r>
            <w:fldChar w:fldCharType="separate"/>
          </w:r>
          <w:r>
            <w:rPr>
              <w:rFonts w:hint="eastAsia" w:ascii="黑体" w:hAnsi="黑体" w:eastAsia="黑体"/>
              <w:szCs w:val="32"/>
            </w:rPr>
            <w:t>二、</w:t>
          </w:r>
          <w:r>
            <w:rPr>
              <w:rFonts w:ascii="黑体" w:hAnsi="黑体" w:eastAsia="黑体"/>
              <w:szCs w:val="32"/>
            </w:rPr>
            <w:t>收</w:t>
          </w:r>
          <w:r>
            <w:rPr>
              <w:rFonts w:ascii="黑体" w:hAnsi="黑体" w:eastAsia="黑体"/>
            </w:rPr>
            <w:t>入决算情况说明</w:t>
          </w:r>
          <w:r>
            <w:tab/>
          </w:r>
          <w:r>
            <w:fldChar w:fldCharType="begin"/>
          </w:r>
          <w:r>
            <w:instrText xml:space="preserve"> PAGEREF _Toc7956 </w:instrText>
          </w:r>
          <w:r>
            <w:fldChar w:fldCharType="separate"/>
          </w:r>
          <w:r>
            <w:t>5</w:t>
          </w:r>
          <w:r>
            <w:fldChar w:fldCharType="end"/>
          </w:r>
          <w:r>
            <w:fldChar w:fldCharType="end"/>
          </w:r>
        </w:p>
        <w:p>
          <w:pPr>
            <w:pStyle w:val="26"/>
            <w:tabs>
              <w:tab w:val="right" w:leader="dot" w:pos="8306"/>
            </w:tabs>
            <w:ind w:left="400"/>
          </w:pPr>
          <w:r>
            <w:fldChar w:fldCharType="begin"/>
          </w:r>
          <w:r>
            <w:instrText xml:space="preserve"> HYPERLINK \l "_Toc24970" </w:instrText>
          </w:r>
          <w:r>
            <w:fldChar w:fldCharType="separate"/>
          </w:r>
          <w:r>
            <w:rPr>
              <w:rFonts w:hint="eastAsia" w:ascii="黑体" w:hAnsi="黑体" w:eastAsia="黑体"/>
              <w:szCs w:val="32"/>
            </w:rPr>
            <w:t>三、</w:t>
          </w:r>
          <w:r>
            <w:rPr>
              <w:rFonts w:ascii="黑体" w:hAnsi="黑体" w:eastAsia="黑体"/>
              <w:szCs w:val="32"/>
            </w:rPr>
            <w:t>支</w:t>
          </w:r>
          <w:r>
            <w:rPr>
              <w:rFonts w:ascii="黑体" w:hAnsi="黑体" w:eastAsia="黑体"/>
            </w:rPr>
            <w:t>出决算情况说明</w:t>
          </w:r>
          <w:r>
            <w:tab/>
          </w:r>
          <w:r>
            <w:fldChar w:fldCharType="begin"/>
          </w:r>
          <w:r>
            <w:instrText xml:space="preserve"> PAGEREF _Toc24970 </w:instrText>
          </w:r>
          <w:r>
            <w:fldChar w:fldCharType="separate"/>
          </w:r>
          <w:r>
            <w:t>5</w:t>
          </w:r>
          <w:r>
            <w:fldChar w:fldCharType="end"/>
          </w:r>
          <w:r>
            <w:fldChar w:fldCharType="end"/>
          </w:r>
        </w:p>
        <w:p>
          <w:pPr>
            <w:pStyle w:val="26"/>
            <w:tabs>
              <w:tab w:val="right" w:leader="dot" w:pos="8306"/>
            </w:tabs>
            <w:ind w:left="400"/>
          </w:pPr>
          <w:r>
            <w:fldChar w:fldCharType="begin"/>
          </w:r>
          <w:r>
            <w:instrText xml:space="preserve"> HYPERLINK \l "_Toc32480" </w:instrText>
          </w:r>
          <w:r>
            <w:fldChar w:fldCharType="separate"/>
          </w:r>
          <w:r>
            <w:rPr>
              <w:rFonts w:ascii="黑体" w:hAnsi="黑体" w:eastAsia="黑体"/>
              <w:szCs w:val="32"/>
            </w:rPr>
            <w:t>四、财</w:t>
          </w:r>
          <w:r>
            <w:rPr>
              <w:rFonts w:ascii="黑体" w:hAnsi="黑体" w:eastAsia="黑体"/>
            </w:rPr>
            <w:t>政拨款收入支出决算总体情况说明</w:t>
          </w:r>
          <w:r>
            <w:tab/>
          </w:r>
          <w:r>
            <w:fldChar w:fldCharType="begin"/>
          </w:r>
          <w:r>
            <w:instrText xml:space="preserve"> PAGEREF _Toc32480 </w:instrText>
          </w:r>
          <w:r>
            <w:fldChar w:fldCharType="separate"/>
          </w:r>
          <w:r>
            <w:t>6</w:t>
          </w:r>
          <w:r>
            <w:fldChar w:fldCharType="end"/>
          </w:r>
          <w:r>
            <w:fldChar w:fldCharType="end"/>
          </w:r>
        </w:p>
        <w:p>
          <w:pPr>
            <w:pStyle w:val="26"/>
            <w:tabs>
              <w:tab w:val="right" w:leader="dot" w:pos="8306"/>
            </w:tabs>
            <w:ind w:left="400"/>
          </w:pPr>
          <w:r>
            <w:fldChar w:fldCharType="begin"/>
          </w:r>
          <w:r>
            <w:instrText xml:space="preserve"> HYPERLINK \l "_Toc24759" </w:instrText>
          </w:r>
          <w:r>
            <w:fldChar w:fldCharType="separate"/>
          </w:r>
          <w:r>
            <w:rPr>
              <w:rFonts w:ascii="黑体" w:hAnsi="黑体" w:eastAsia="黑体"/>
              <w:szCs w:val="32"/>
            </w:rPr>
            <w:t>五、一</w:t>
          </w:r>
          <w:r>
            <w:rPr>
              <w:rFonts w:ascii="黑体" w:hAnsi="黑体" w:eastAsia="黑体"/>
            </w:rPr>
            <w:t>般公共预算财政拨款支出决算情况说明</w:t>
          </w:r>
          <w:r>
            <w:tab/>
          </w:r>
          <w:r>
            <w:fldChar w:fldCharType="begin"/>
          </w:r>
          <w:r>
            <w:instrText xml:space="preserve"> PAGEREF _Toc24759 </w:instrText>
          </w:r>
          <w:r>
            <w:fldChar w:fldCharType="separate"/>
          </w:r>
          <w:r>
            <w:t>7</w:t>
          </w:r>
          <w:r>
            <w:fldChar w:fldCharType="end"/>
          </w:r>
          <w:r>
            <w:fldChar w:fldCharType="end"/>
          </w:r>
        </w:p>
        <w:p>
          <w:pPr>
            <w:pStyle w:val="26"/>
            <w:tabs>
              <w:tab w:val="right" w:leader="dot" w:pos="8306"/>
            </w:tabs>
            <w:ind w:left="400"/>
          </w:pPr>
          <w:r>
            <w:fldChar w:fldCharType="begin"/>
          </w:r>
          <w:r>
            <w:instrText xml:space="preserve"> HYPERLINK \l "_Toc6155" </w:instrText>
          </w:r>
          <w:r>
            <w:fldChar w:fldCharType="separate"/>
          </w:r>
          <w:r>
            <w:rPr>
              <w:rFonts w:ascii="黑体" w:hAnsi="黑体" w:eastAsia="黑体"/>
              <w:szCs w:val="32"/>
            </w:rPr>
            <w:t>六、一</w:t>
          </w:r>
          <w:r>
            <w:rPr>
              <w:rFonts w:ascii="黑体" w:hAnsi="黑体" w:eastAsia="黑体"/>
            </w:rPr>
            <w:t>般公共预算财政拨款基本支出决算情况说明</w:t>
          </w:r>
          <w:r>
            <w:tab/>
          </w:r>
          <w:r>
            <w:fldChar w:fldCharType="begin"/>
          </w:r>
          <w:r>
            <w:instrText xml:space="preserve"> PAGEREF _Toc6155 </w:instrText>
          </w:r>
          <w:r>
            <w:fldChar w:fldCharType="separate"/>
          </w:r>
          <w:r>
            <w:t>9</w:t>
          </w:r>
          <w:r>
            <w:fldChar w:fldCharType="end"/>
          </w:r>
          <w:r>
            <w:fldChar w:fldCharType="end"/>
          </w:r>
        </w:p>
        <w:p>
          <w:pPr>
            <w:pStyle w:val="26"/>
            <w:tabs>
              <w:tab w:val="right" w:leader="dot" w:pos="8306"/>
            </w:tabs>
            <w:ind w:left="400"/>
          </w:pPr>
          <w:r>
            <w:fldChar w:fldCharType="begin"/>
          </w:r>
          <w:r>
            <w:instrText xml:space="preserve"> HYPERLINK \l "_Toc14581" </w:instrText>
          </w:r>
          <w:r>
            <w:fldChar w:fldCharType="separate"/>
          </w:r>
          <w:r>
            <w:rPr>
              <w:rFonts w:ascii="黑体" w:hAnsi="黑体" w:eastAsia="黑体"/>
              <w:szCs w:val="32"/>
            </w:rPr>
            <w:t>七、</w:t>
          </w:r>
          <w:r>
            <w:rPr>
              <w:rFonts w:ascii="黑体" w:hAnsi="黑体" w:eastAsia="黑体"/>
            </w:rPr>
            <w:t>“三公”经费财政拨款支出决算情况说明</w:t>
          </w:r>
          <w:r>
            <w:tab/>
          </w:r>
          <w:r>
            <w:fldChar w:fldCharType="begin"/>
          </w:r>
          <w:r>
            <w:instrText xml:space="preserve"> PAGEREF _Toc14581 </w:instrText>
          </w:r>
          <w:r>
            <w:fldChar w:fldCharType="separate"/>
          </w:r>
          <w:r>
            <w:t>9</w:t>
          </w:r>
          <w:r>
            <w:fldChar w:fldCharType="end"/>
          </w:r>
          <w:r>
            <w:fldChar w:fldCharType="end"/>
          </w:r>
        </w:p>
        <w:p>
          <w:pPr>
            <w:pStyle w:val="26"/>
            <w:tabs>
              <w:tab w:val="right" w:leader="dot" w:pos="8306"/>
            </w:tabs>
            <w:ind w:left="400"/>
          </w:pPr>
          <w:r>
            <w:fldChar w:fldCharType="begin"/>
          </w:r>
          <w:r>
            <w:instrText xml:space="preserve"> HYPERLINK \l "_Toc10550" </w:instrText>
          </w:r>
          <w:r>
            <w:fldChar w:fldCharType="separate"/>
          </w:r>
          <w:r>
            <w:rPr>
              <w:rFonts w:ascii="黑体" w:hAnsi="黑体" w:eastAsia="黑体"/>
              <w:szCs w:val="32"/>
            </w:rPr>
            <w:t>八、</w:t>
          </w:r>
          <w:r>
            <w:rPr>
              <w:rFonts w:ascii="黑体" w:hAnsi="黑体" w:eastAsia="黑体"/>
            </w:rPr>
            <w:t>政府性基金预算支出决算情况说明</w:t>
          </w:r>
          <w:r>
            <w:tab/>
          </w:r>
          <w:r>
            <w:fldChar w:fldCharType="begin"/>
          </w:r>
          <w:r>
            <w:instrText xml:space="preserve"> PAGEREF _Toc10550 </w:instrText>
          </w:r>
          <w:r>
            <w:fldChar w:fldCharType="separate"/>
          </w:r>
          <w:r>
            <w:t>11</w:t>
          </w:r>
          <w:r>
            <w:fldChar w:fldCharType="end"/>
          </w:r>
          <w:r>
            <w:fldChar w:fldCharType="end"/>
          </w:r>
        </w:p>
        <w:p>
          <w:pPr>
            <w:pStyle w:val="26"/>
            <w:tabs>
              <w:tab w:val="right" w:leader="dot" w:pos="8306"/>
            </w:tabs>
            <w:ind w:left="400"/>
          </w:pPr>
          <w:r>
            <w:fldChar w:fldCharType="begin"/>
          </w:r>
          <w:r>
            <w:instrText xml:space="preserve"> HYPERLINK \l "_Toc10345" </w:instrText>
          </w:r>
          <w:r>
            <w:fldChar w:fldCharType="separate"/>
          </w:r>
          <w:r>
            <w:rPr>
              <w:rFonts w:ascii="黑体" w:hAnsi="黑体" w:eastAsia="黑体"/>
              <w:szCs w:val="32"/>
            </w:rPr>
            <w:t>九、国有资本经营预算支出决算情况说明</w:t>
          </w:r>
          <w:r>
            <w:tab/>
          </w:r>
          <w:r>
            <w:fldChar w:fldCharType="begin"/>
          </w:r>
          <w:r>
            <w:instrText xml:space="preserve"> PAGEREF _Toc10345 </w:instrText>
          </w:r>
          <w:r>
            <w:fldChar w:fldCharType="separate"/>
          </w:r>
          <w:r>
            <w:t>11</w:t>
          </w:r>
          <w:r>
            <w:fldChar w:fldCharType="end"/>
          </w:r>
          <w:r>
            <w:fldChar w:fldCharType="end"/>
          </w:r>
        </w:p>
        <w:p>
          <w:pPr>
            <w:pStyle w:val="26"/>
            <w:tabs>
              <w:tab w:val="right" w:leader="dot" w:pos="8306"/>
            </w:tabs>
            <w:ind w:left="400"/>
          </w:pPr>
          <w:r>
            <w:fldChar w:fldCharType="begin"/>
          </w:r>
          <w:r>
            <w:instrText xml:space="preserve"> HYPERLINK \l "_Toc8218" </w:instrText>
          </w:r>
          <w:r>
            <w:fldChar w:fldCharType="separate"/>
          </w:r>
          <w:r>
            <w:rPr>
              <w:rFonts w:hint="eastAsia" w:ascii="黑体" w:hAnsi="黑体" w:eastAsia="黑体"/>
              <w:szCs w:val="32"/>
            </w:rPr>
            <w:t>十、</w:t>
          </w:r>
          <w:r>
            <w:rPr>
              <w:rFonts w:ascii="黑体" w:hAnsi="黑体" w:eastAsia="黑体"/>
              <w:szCs w:val="32"/>
            </w:rPr>
            <w:t>其他重要事项的情况说明</w:t>
          </w:r>
          <w:r>
            <w:tab/>
          </w:r>
          <w:r>
            <w:fldChar w:fldCharType="begin"/>
          </w:r>
          <w:r>
            <w:instrText xml:space="preserve"> PAGEREF _Toc8218 </w:instrText>
          </w:r>
          <w:r>
            <w:fldChar w:fldCharType="separate"/>
          </w:r>
          <w:r>
            <w:t>11</w:t>
          </w:r>
          <w:r>
            <w:fldChar w:fldCharType="end"/>
          </w:r>
          <w:r>
            <w:fldChar w:fldCharType="end"/>
          </w:r>
        </w:p>
        <w:p>
          <w:pPr>
            <w:pStyle w:val="25"/>
            <w:tabs>
              <w:tab w:val="right" w:leader="dot" w:pos="8306"/>
            </w:tabs>
            <w:rPr>
              <w:b/>
            </w:rPr>
          </w:pPr>
          <w:r>
            <w:fldChar w:fldCharType="begin"/>
          </w:r>
          <w:r>
            <w:instrText xml:space="preserve"> HYPERLINK \l "_Toc27034" </w:instrText>
          </w:r>
          <w:r>
            <w:fldChar w:fldCharType="separate"/>
          </w:r>
          <w:r>
            <w:rPr>
              <w:rFonts w:ascii="黑体" w:hAnsi="黑体" w:eastAsia="黑体" w:cs="黑体"/>
              <w:b/>
              <w:szCs w:val="44"/>
            </w:rPr>
            <w:t>第三部分</w:t>
          </w:r>
          <w:r>
            <w:rPr>
              <w:rFonts w:hint="eastAsia" w:ascii="黑体" w:hAnsi="黑体" w:eastAsia="黑体" w:cs="黑体"/>
              <w:b/>
              <w:szCs w:val="44"/>
              <w:lang w:val="en-US" w:eastAsia="zh-CN"/>
            </w:rPr>
            <w:t xml:space="preserve"> </w:t>
          </w:r>
          <w:r>
            <w:rPr>
              <w:rFonts w:ascii="黑体" w:hAnsi="黑体" w:eastAsia="黑体"/>
              <w:b/>
              <w:szCs w:val="44"/>
            </w:rPr>
            <w:t>名</w:t>
          </w:r>
          <w:r>
            <w:rPr>
              <w:rFonts w:ascii="黑体" w:hAnsi="黑体" w:eastAsia="黑体"/>
              <w:b/>
            </w:rPr>
            <w:t>词解释</w:t>
          </w:r>
          <w:r>
            <w:rPr>
              <w:b/>
            </w:rPr>
            <w:tab/>
          </w:r>
          <w:r>
            <w:rPr>
              <w:b/>
            </w:rPr>
            <w:fldChar w:fldCharType="begin"/>
          </w:r>
          <w:r>
            <w:rPr>
              <w:b/>
            </w:rPr>
            <w:instrText xml:space="preserve"> PAGEREF _Toc27034 </w:instrText>
          </w:r>
          <w:r>
            <w:rPr>
              <w:b/>
            </w:rPr>
            <w:fldChar w:fldCharType="separate"/>
          </w:r>
          <w:r>
            <w:rPr>
              <w:b/>
            </w:rPr>
            <w:t>12</w:t>
          </w:r>
          <w:r>
            <w:rPr>
              <w:b/>
            </w:rPr>
            <w:fldChar w:fldCharType="end"/>
          </w:r>
          <w:r>
            <w:rPr>
              <w:b/>
            </w:rPr>
            <w:fldChar w:fldCharType="end"/>
          </w:r>
        </w:p>
        <w:p>
          <w:pPr>
            <w:pStyle w:val="25"/>
            <w:tabs>
              <w:tab w:val="right" w:leader="dot" w:pos="8306"/>
            </w:tabs>
            <w:rPr>
              <w:b/>
            </w:rPr>
          </w:pPr>
          <w:r>
            <w:fldChar w:fldCharType="begin"/>
          </w:r>
          <w:r>
            <w:instrText xml:space="preserve"> HYPERLINK \l "_Toc2575" </w:instrText>
          </w:r>
          <w:r>
            <w:fldChar w:fldCharType="separate"/>
          </w:r>
          <w:r>
            <w:rPr>
              <w:rFonts w:hint="eastAsia" w:ascii="黑体" w:hAnsi="黑体" w:eastAsia="黑体"/>
              <w:b/>
            </w:rPr>
            <w:t>第四部分</w:t>
          </w:r>
          <w:r>
            <w:rPr>
              <w:rFonts w:hint="eastAsia" w:ascii="黑体" w:hAnsi="黑体" w:eastAsia="黑体"/>
              <w:b/>
              <w:lang w:val="en-US" w:eastAsia="zh-CN"/>
            </w:rPr>
            <w:t xml:space="preserve"> </w:t>
          </w:r>
          <w:r>
            <w:rPr>
              <w:rFonts w:ascii="黑体" w:hAnsi="黑体" w:eastAsia="黑体"/>
              <w:b/>
            </w:rPr>
            <w:t>附件</w:t>
          </w:r>
          <w:r>
            <w:rPr>
              <w:b/>
            </w:rPr>
            <w:tab/>
          </w:r>
          <w:r>
            <w:rPr>
              <w:b/>
            </w:rPr>
            <w:fldChar w:fldCharType="begin"/>
          </w:r>
          <w:r>
            <w:rPr>
              <w:b/>
            </w:rPr>
            <w:instrText xml:space="preserve"> PAGEREF _Toc2575 </w:instrText>
          </w:r>
          <w:r>
            <w:rPr>
              <w:b/>
            </w:rPr>
            <w:fldChar w:fldCharType="separate"/>
          </w:r>
          <w:r>
            <w:rPr>
              <w:b/>
            </w:rPr>
            <w:t>14</w:t>
          </w:r>
          <w:r>
            <w:rPr>
              <w:b/>
            </w:rPr>
            <w:fldChar w:fldCharType="end"/>
          </w:r>
          <w:r>
            <w:rPr>
              <w:b/>
            </w:rPr>
            <w:fldChar w:fldCharType="end"/>
          </w:r>
        </w:p>
        <w:p>
          <w:pPr>
            <w:pStyle w:val="25"/>
            <w:tabs>
              <w:tab w:val="right" w:leader="dot" w:pos="8306"/>
            </w:tabs>
            <w:rPr>
              <w:b/>
            </w:rPr>
          </w:pPr>
          <w:r>
            <w:fldChar w:fldCharType="begin"/>
          </w:r>
          <w:r>
            <w:instrText xml:space="preserve"> HYPERLINK \l "_Toc17904" </w:instrText>
          </w:r>
          <w:r>
            <w:fldChar w:fldCharType="separate"/>
          </w:r>
          <w:r>
            <w:rPr>
              <w:rFonts w:ascii="黑体" w:hAnsi="黑体" w:eastAsia="黑体"/>
              <w:b/>
              <w:szCs w:val="44"/>
            </w:rPr>
            <w:t>第</w:t>
          </w:r>
          <w:r>
            <w:rPr>
              <w:rFonts w:ascii="黑体" w:hAnsi="黑体" w:eastAsia="黑体"/>
              <w:b/>
            </w:rPr>
            <w:t>五部分</w:t>
          </w:r>
          <w:r>
            <w:rPr>
              <w:rFonts w:hint="eastAsia" w:ascii="黑体" w:hAnsi="黑体" w:eastAsia="黑体"/>
              <w:b/>
              <w:lang w:val="en-US" w:eastAsia="zh-CN"/>
            </w:rPr>
            <w:t xml:space="preserve"> </w:t>
          </w:r>
          <w:r>
            <w:rPr>
              <w:rFonts w:ascii="黑体" w:hAnsi="黑体" w:eastAsia="黑体"/>
              <w:b/>
            </w:rPr>
            <w:t>附表</w:t>
          </w:r>
          <w:r>
            <w:rPr>
              <w:b/>
            </w:rPr>
            <w:tab/>
          </w:r>
          <w:r>
            <w:rPr>
              <w:b/>
            </w:rPr>
            <w:fldChar w:fldCharType="begin"/>
          </w:r>
          <w:r>
            <w:rPr>
              <w:b/>
            </w:rPr>
            <w:instrText xml:space="preserve"> PAGEREF _Toc17904 </w:instrText>
          </w:r>
          <w:r>
            <w:rPr>
              <w:b/>
            </w:rPr>
            <w:fldChar w:fldCharType="separate"/>
          </w:r>
          <w:r>
            <w:rPr>
              <w:b/>
            </w:rPr>
            <w:t>17</w:t>
          </w:r>
          <w:r>
            <w:rPr>
              <w:b/>
            </w:rPr>
            <w:fldChar w:fldCharType="end"/>
          </w:r>
          <w:r>
            <w:rPr>
              <w:b/>
            </w:rPr>
            <w:fldChar w:fldCharType="end"/>
          </w:r>
        </w:p>
        <w:p>
          <w:pPr>
            <w:pStyle w:val="26"/>
            <w:tabs>
              <w:tab w:val="right" w:leader="dot" w:pos="8306"/>
            </w:tabs>
            <w:ind w:left="400"/>
          </w:pPr>
          <w:r>
            <w:fldChar w:fldCharType="begin"/>
          </w:r>
          <w:r>
            <w:instrText xml:space="preserve"> HYPERLINK \l "_Toc25792" </w:instrText>
          </w:r>
          <w:r>
            <w:fldChar w:fldCharType="separate"/>
          </w:r>
          <w:r>
            <w:rPr>
              <w:rFonts w:ascii="仿宋" w:hAnsi="仿宋" w:eastAsia="仿宋"/>
            </w:rPr>
            <w:t>一、收入支出决算总表</w:t>
          </w:r>
          <w:r>
            <w:tab/>
          </w:r>
          <w:r>
            <w:fldChar w:fldCharType="begin"/>
          </w:r>
          <w:r>
            <w:instrText xml:space="preserve"> PAGEREF _Toc25792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"_Toc11957" </w:instrText>
          </w:r>
          <w:r>
            <w:fldChar w:fldCharType="separate"/>
          </w:r>
          <w:r>
            <w:rPr>
              <w:rFonts w:ascii="仿宋" w:hAnsi="仿宋" w:eastAsia="仿宋"/>
            </w:rPr>
            <w:t>二、收入决算表</w:t>
          </w:r>
          <w:r>
            <w:tab/>
          </w:r>
          <w:r>
            <w:fldChar w:fldCharType="begin"/>
          </w:r>
          <w:r>
            <w:instrText xml:space="preserve"> PAGEREF _Toc11957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"_Toc16727" </w:instrText>
          </w:r>
          <w:r>
            <w:fldChar w:fldCharType="separate"/>
          </w:r>
          <w:r>
            <w:rPr>
              <w:rFonts w:ascii="仿宋" w:hAnsi="仿宋" w:eastAsia="仿宋"/>
            </w:rPr>
            <w:t>三、支出决算表</w:t>
          </w:r>
          <w:r>
            <w:tab/>
          </w:r>
          <w:r>
            <w:fldChar w:fldCharType="begin"/>
          </w:r>
          <w:r>
            <w:instrText xml:space="preserve"> PAGEREF _Toc16727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"_Toc19679" </w:instrText>
          </w:r>
          <w:r>
            <w:fldChar w:fldCharType="separate"/>
          </w:r>
          <w:r>
            <w:rPr>
              <w:rFonts w:ascii="仿宋" w:hAnsi="仿宋" w:eastAsia="仿宋"/>
            </w:rPr>
            <w:t>四、财政拨款收入支出决算总表</w:t>
          </w:r>
          <w:r>
            <w:tab/>
          </w:r>
          <w:r>
            <w:fldChar w:fldCharType="begin"/>
          </w:r>
          <w:r>
            <w:instrText xml:space="preserve"> PAGEREF _Toc19679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"_Toc24875" </w:instrText>
          </w:r>
          <w:r>
            <w:fldChar w:fldCharType="separate"/>
          </w:r>
          <w:r>
            <w:rPr>
              <w:rFonts w:ascii="仿宋" w:hAnsi="仿宋" w:eastAsia="仿宋"/>
            </w:rPr>
            <w:t>五、财政拨款支出决算明细表</w:t>
          </w:r>
          <w:r>
            <w:tab/>
          </w:r>
          <w:r>
            <w:fldChar w:fldCharType="begin"/>
          </w:r>
          <w:r>
            <w:instrText xml:space="preserve"> PAGEREF _Toc24875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"_Toc15372" </w:instrText>
          </w:r>
          <w:r>
            <w:fldChar w:fldCharType="separate"/>
          </w:r>
          <w:r>
            <w:rPr>
              <w:rFonts w:ascii="仿宋" w:hAnsi="仿宋" w:eastAsia="仿宋"/>
            </w:rPr>
            <w:t>六、一般公共预算财政拨款支出决算表</w:t>
          </w:r>
          <w:r>
            <w:tab/>
          </w:r>
          <w:r>
            <w:fldChar w:fldCharType="begin"/>
          </w:r>
          <w:r>
            <w:instrText xml:space="preserve"> PAGEREF _Toc15372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"_Toc28368" </w:instrText>
          </w:r>
          <w:r>
            <w:fldChar w:fldCharType="separate"/>
          </w:r>
          <w:r>
            <w:rPr>
              <w:rFonts w:ascii="仿宋" w:hAnsi="仿宋" w:eastAsia="仿宋"/>
            </w:rPr>
            <w:t>七、一般公共预算财政拨款支出决算明细表</w:t>
          </w:r>
          <w:r>
            <w:tab/>
          </w:r>
          <w:r>
            <w:fldChar w:fldCharType="begin"/>
          </w:r>
          <w:r>
            <w:instrText xml:space="preserve"> PAGEREF _Toc28368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"_Toc11325" </w:instrText>
          </w:r>
          <w:r>
            <w:fldChar w:fldCharType="separate"/>
          </w:r>
          <w:r>
            <w:rPr>
              <w:rFonts w:ascii="仿宋" w:hAnsi="仿宋" w:eastAsia="仿宋"/>
            </w:rPr>
            <w:t>八、一般公共预算财政拨款基本支出决算表</w:t>
          </w:r>
          <w:r>
            <w:tab/>
          </w:r>
          <w:r>
            <w:fldChar w:fldCharType="begin"/>
          </w:r>
          <w:r>
            <w:instrText xml:space="preserve"> PAGEREF _Toc11325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"_Toc21241" </w:instrText>
          </w:r>
          <w:r>
            <w:fldChar w:fldCharType="separate"/>
          </w:r>
          <w:r>
            <w:rPr>
              <w:rFonts w:ascii="仿宋" w:hAnsi="仿宋" w:eastAsia="仿宋"/>
            </w:rPr>
            <w:t>九、一般公共预算财政拨款项目支出决算表</w:t>
          </w:r>
          <w:r>
            <w:tab/>
          </w:r>
          <w:r>
            <w:fldChar w:fldCharType="begin"/>
          </w:r>
          <w:r>
            <w:instrText xml:space="preserve"> PAGEREF _Toc21241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"_Toc24880" </w:instrText>
          </w:r>
          <w:r>
            <w:fldChar w:fldCharType="separate"/>
          </w:r>
          <w:r>
            <w:rPr>
              <w:rFonts w:ascii="仿宋" w:hAnsi="仿宋" w:eastAsia="仿宋"/>
            </w:rPr>
            <w:t>十、一般公共预算财政拨款“三公”经费支出决算表</w:t>
          </w:r>
          <w:r>
            <w:tab/>
          </w:r>
          <w:r>
            <w:fldChar w:fldCharType="begin"/>
          </w:r>
          <w:r>
            <w:instrText xml:space="preserve"> PAGEREF _Toc24880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"_Toc4341" </w:instrText>
          </w:r>
          <w:r>
            <w:fldChar w:fldCharType="separate"/>
          </w:r>
          <w:r>
            <w:rPr>
              <w:rFonts w:ascii="仿宋" w:hAnsi="仿宋" w:eastAsia="仿宋"/>
            </w:rPr>
            <w:t>十一、政府性基金预算财政拨款收入支出决算表</w:t>
          </w:r>
          <w:r>
            <w:tab/>
          </w:r>
          <w:r>
            <w:fldChar w:fldCharType="begin"/>
          </w:r>
          <w:r>
            <w:instrText xml:space="preserve"> PAGEREF _Toc4341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"_Toc3418" </w:instrText>
          </w:r>
          <w:r>
            <w:fldChar w:fldCharType="separate"/>
          </w:r>
          <w:r>
            <w:rPr>
              <w:rFonts w:ascii="仿宋" w:hAnsi="仿宋" w:eastAsia="仿宋"/>
            </w:rPr>
            <w:t>十二、政府性基金预算财政拨款“三公”经费支出决算表</w:t>
          </w:r>
          <w:r>
            <w:tab/>
          </w:r>
          <w:r>
            <w:fldChar w:fldCharType="begin"/>
          </w:r>
          <w:r>
            <w:instrText xml:space="preserve"> PAGEREF _Toc3418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"_Toc25668" </w:instrText>
          </w:r>
          <w:r>
            <w:fldChar w:fldCharType="separate"/>
          </w:r>
          <w:r>
            <w:rPr>
              <w:rFonts w:ascii="仿宋" w:hAnsi="仿宋" w:eastAsia="仿宋"/>
            </w:rPr>
            <w:t>十三、国有资本经营预算财政拨款收入支出决算表</w:t>
          </w:r>
          <w:r>
            <w:tab/>
          </w:r>
          <w:r>
            <w:fldChar w:fldCharType="begin"/>
          </w:r>
          <w:r>
            <w:instrText xml:space="preserve"> PAGEREF _Toc25668 </w:instrText>
          </w:r>
          <w:r>
            <w:fldChar w:fldCharType="separate"/>
          </w:r>
          <w:r>
            <w:t>17</w:t>
          </w:r>
          <w:r>
            <w:fldChar w:fldCharType="end"/>
          </w:r>
          <w:r>
            <w:fldChar w:fldCharType="end"/>
          </w:r>
        </w:p>
        <w:p>
          <w:pPr>
            <w:pStyle w:val="26"/>
            <w:tabs>
              <w:tab w:val="right" w:leader="dot" w:pos="8306"/>
            </w:tabs>
            <w:ind w:left="400"/>
          </w:pPr>
          <w:r>
            <w:fldChar w:fldCharType="begin"/>
          </w:r>
          <w:r>
            <w:instrText xml:space="preserve"> HYPERLINK \l "_Toc28071" </w:instrText>
          </w:r>
          <w:r>
            <w:fldChar w:fldCharType="separate"/>
          </w:r>
          <w:r>
            <w:rPr>
              <w:rFonts w:ascii="仿宋" w:hAnsi="仿宋" w:eastAsia="仿宋"/>
            </w:rPr>
            <w:t>十四、国有资本经营预算财政拨款支出决算表</w:t>
          </w:r>
          <w:r>
            <w:tab/>
          </w:r>
          <w:r>
            <w:fldChar w:fldCharType="begin"/>
          </w:r>
          <w:r>
            <w:instrText xml:space="preserve"> PAGEREF _Toc28071 </w:instrText>
          </w:r>
          <w:r>
            <w:fldChar w:fldCharType="separate"/>
          </w:r>
          <w:r>
            <w:t>17</w:t>
          </w:r>
          <w:r>
            <w:fldChar w:fldCharType="end"/>
          </w:r>
          <w:r>
            <w:fldChar w:fldCharType="end"/>
          </w:r>
        </w:p>
        <w:p>
          <w:r>
            <w:rPr>
              <w:b/>
            </w:rPr>
            <w:fldChar w:fldCharType="end"/>
          </w:r>
        </w:p>
      </w:sdtContent>
    </w:sdt>
    <w:p>
      <w:pPr>
        <w:pStyle w:val="13"/>
        <w:jc w:val="center"/>
        <w:rPr>
          <w:rStyle w:val="12"/>
          <w:rFonts w:ascii="黑体" w:hAnsi="黑体" w:eastAsia="黑体"/>
          <w:b/>
          <w:bCs w:val="0"/>
        </w:rPr>
      </w:pPr>
      <w:bookmarkStart w:id="16" w:name="_Toc32013"/>
      <w:r>
        <w:rPr>
          <w:rFonts w:ascii="黑体" w:hAnsi="黑体" w:eastAsia="黑体"/>
          <w:b w:val="0"/>
        </w:rPr>
        <w:t>第一部分</w:t>
      </w:r>
      <w:r>
        <w:rPr>
          <w:rFonts w:hint="eastAsia" w:ascii="黑体" w:hAnsi="黑体" w:eastAsia="黑体"/>
          <w:b w:val="0"/>
          <w:lang w:val="en-US" w:eastAsia="zh-CN"/>
        </w:rPr>
        <w:t xml:space="preserve"> </w:t>
      </w:r>
      <w:r>
        <w:rPr>
          <w:rFonts w:ascii="黑体" w:hAnsi="黑体" w:eastAsia="黑体"/>
          <w:b w:val="0"/>
        </w:rPr>
        <w:t>单位</w:t>
      </w:r>
      <w:r>
        <w:rPr>
          <w:rStyle w:val="12"/>
          <w:rFonts w:ascii="黑体" w:hAnsi="黑体" w:eastAsia="黑体"/>
          <w:b w:val="0"/>
          <w:bCs w:val="0"/>
        </w:rPr>
        <w:t>概况</w:t>
      </w:r>
      <w:bookmarkEnd w:id="15"/>
      <w:bookmarkEnd w:id="16"/>
    </w:p>
    <w:p>
      <w:pPr>
        <w:ind w:firstLine="800" w:firstLineChars="250"/>
        <w:rPr>
          <w:rFonts w:ascii="仿宋" w:hAnsi="仿宋" w:eastAsia="仿宋"/>
          <w:kern w:val="2"/>
          <w:sz w:val="32"/>
          <w:szCs w:val="32"/>
        </w:rPr>
      </w:pPr>
      <w:bookmarkStart w:id="17" w:name="_Toc15377197"/>
      <w:bookmarkStart w:id="18" w:name="_Toc15396600"/>
      <w:r>
        <w:rPr>
          <w:rFonts w:hint="eastAsia" w:ascii="仿宋" w:hAnsi="仿宋" w:eastAsia="仿宋"/>
          <w:kern w:val="2"/>
          <w:sz w:val="32"/>
          <w:szCs w:val="32"/>
        </w:rPr>
        <w:t>1.认真贯彻落实党和国家的方针、政策，正确执行上级主管部门的决议和指示，全面实施素质教育，</w:t>
      </w:r>
      <w:r>
        <w:rPr>
          <w:rFonts w:hint="eastAsia" w:ascii="仿宋" w:hAnsi="仿宋" w:eastAsia="仿宋"/>
          <w:kern w:val="2"/>
          <w:sz w:val="32"/>
          <w:szCs w:val="32"/>
          <w:u w:val="none" w:color="FFB03A"/>
          <w:shd w:val="clear" w:fill="auto"/>
        </w:rPr>
        <w:t>培养</w:t>
      </w:r>
      <w:r>
        <w:rPr>
          <w:rFonts w:hint="eastAsia" w:ascii="仿宋" w:hAnsi="仿宋" w:eastAsia="仿宋"/>
          <w:kern w:val="2"/>
          <w:sz w:val="32"/>
          <w:szCs w:val="32"/>
        </w:rPr>
        <w:t>德智体美等方面全面发展的社会主义事业的建设者和接班人。</w:t>
      </w:r>
    </w:p>
    <w:p>
      <w:pPr>
        <w:ind w:firstLine="800" w:firstLineChars="250"/>
        <w:rPr>
          <w:rFonts w:ascii="仿宋" w:hAnsi="仿宋" w:eastAsia="仿宋"/>
          <w:kern w:val="2"/>
          <w:sz w:val="32"/>
          <w:szCs w:val="32"/>
        </w:rPr>
      </w:pPr>
      <w:r>
        <w:rPr>
          <w:rFonts w:hint="eastAsia" w:ascii="仿宋" w:hAnsi="仿宋" w:eastAsia="仿宋"/>
          <w:kern w:val="2"/>
          <w:sz w:val="32"/>
          <w:szCs w:val="32"/>
        </w:rPr>
        <w:t>2.编制年度财政预算并执行，管理和监督各项财政收支。</w:t>
      </w:r>
    </w:p>
    <w:p>
      <w:pPr>
        <w:ind w:firstLine="800" w:firstLineChars="250"/>
        <w:rPr>
          <w:rFonts w:ascii="仿宋" w:hAnsi="仿宋" w:eastAsia="仿宋"/>
          <w:kern w:val="2"/>
          <w:sz w:val="32"/>
          <w:szCs w:val="32"/>
        </w:rPr>
      </w:pPr>
      <w:r>
        <w:rPr>
          <w:rFonts w:hint="eastAsia" w:ascii="仿宋" w:hAnsi="仿宋" w:eastAsia="仿宋"/>
          <w:kern w:val="2"/>
          <w:sz w:val="32"/>
          <w:szCs w:val="32"/>
        </w:rPr>
        <w:t>3.</w:t>
      </w:r>
      <w:r>
        <w:rPr>
          <w:rFonts w:hint="eastAsia" w:ascii="仿宋" w:hAnsi="仿宋" w:eastAsia="仿宋"/>
          <w:kern w:val="2"/>
          <w:sz w:val="32"/>
          <w:szCs w:val="32"/>
          <w:u w:val="none" w:color="46CD7E"/>
          <w:shd w:val="clear" w:fill="auto"/>
          <w:lang w:eastAsia="zh-CN"/>
        </w:rPr>
        <w:t>管理好</w:t>
      </w:r>
      <w:r>
        <w:rPr>
          <w:rFonts w:hint="eastAsia" w:ascii="仿宋" w:hAnsi="仿宋" w:eastAsia="仿宋"/>
          <w:kern w:val="2"/>
          <w:sz w:val="32"/>
          <w:szCs w:val="32"/>
        </w:rPr>
        <w:t>各类政策性补贴资金，进一步完善财政补贴惠民资金“一卡（折）通”发放机制。</w:t>
      </w:r>
    </w:p>
    <w:p>
      <w:pPr>
        <w:ind w:firstLine="800" w:firstLineChars="250"/>
        <w:rPr>
          <w:rFonts w:ascii="仿宋" w:hAnsi="仿宋" w:eastAsia="仿宋"/>
          <w:kern w:val="2"/>
          <w:sz w:val="32"/>
          <w:szCs w:val="32"/>
        </w:rPr>
      </w:pPr>
      <w:r>
        <w:rPr>
          <w:rFonts w:hint="eastAsia" w:ascii="仿宋" w:hAnsi="仿宋" w:eastAsia="仿宋"/>
          <w:kern w:val="2"/>
          <w:sz w:val="32"/>
          <w:szCs w:val="32"/>
        </w:rPr>
        <w:t>4.负责对各类专项资金的监管，提高财政资金使用效率。</w:t>
      </w:r>
    </w:p>
    <w:p>
      <w:pPr>
        <w:ind w:firstLine="800" w:firstLineChars="250"/>
        <w:rPr>
          <w:rFonts w:ascii="仿宋" w:hAnsi="仿宋" w:eastAsia="仿宋"/>
          <w:kern w:val="2"/>
          <w:sz w:val="32"/>
          <w:szCs w:val="32"/>
        </w:rPr>
      </w:pPr>
      <w:r>
        <w:rPr>
          <w:rFonts w:hint="eastAsia" w:ascii="仿宋" w:hAnsi="仿宋" w:eastAsia="仿宋"/>
          <w:kern w:val="2"/>
          <w:sz w:val="32"/>
          <w:szCs w:val="32"/>
        </w:rPr>
        <w:t>5.管理好幼儿园非税收入。</w:t>
      </w:r>
    </w:p>
    <w:p>
      <w:pPr>
        <w:ind w:firstLine="800" w:firstLineChars="250"/>
        <w:rPr>
          <w:rFonts w:ascii="仿宋" w:hAnsi="仿宋" w:eastAsia="仿宋"/>
          <w:kern w:val="2"/>
          <w:sz w:val="32"/>
          <w:szCs w:val="32"/>
        </w:rPr>
      </w:pPr>
      <w:r>
        <w:rPr>
          <w:rFonts w:hint="eastAsia" w:ascii="仿宋" w:hAnsi="仿宋" w:eastAsia="仿宋"/>
          <w:kern w:val="2"/>
          <w:sz w:val="32"/>
          <w:szCs w:val="32"/>
        </w:rPr>
        <w:t>6.提供加强财政管理的政策建议，负责</w:t>
      </w:r>
      <w:r>
        <w:rPr>
          <w:rFonts w:hint="eastAsia" w:ascii="仿宋" w:hAnsi="仿宋" w:eastAsia="仿宋"/>
          <w:kern w:val="2"/>
          <w:sz w:val="32"/>
          <w:szCs w:val="32"/>
          <w:u w:val="none" w:color="FFB03A"/>
          <w:shd w:val="clear" w:fill="auto"/>
        </w:rPr>
        <w:t>财政</w:t>
      </w:r>
      <w:r>
        <w:rPr>
          <w:rFonts w:hint="eastAsia" w:ascii="仿宋" w:hAnsi="仿宋" w:eastAsia="仿宋"/>
          <w:kern w:val="2"/>
          <w:sz w:val="32"/>
          <w:szCs w:val="32"/>
        </w:rPr>
        <w:t>、税收</w:t>
      </w:r>
      <w:r>
        <w:rPr>
          <w:rFonts w:hint="eastAsia" w:ascii="仿宋" w:hAnsi="仿宋" w:eastAsia="仿宋"/>
          <w:kern w:val="2"/>
          <w:sz w:val="32"/>
          <w:szCs w:val="32"/>
          <w:lang w:val="en-US" w:eastAsia="zh-CN"/>
        </w:rPr>
        <w:t>的</w:t>
      </w:r>
      <w:r>
        <w:rPr>
          <w:rFonts w:hint="eastAsia" w:ascii="仿宋" w:hAnsi="仿宋" w:eastAsia="仿宋"/>
          <w:kern w:val="2"/>
          <w:sz w:val="32"/>
          <w:szCs w:val="32"/>
        </w:rPr>
        <w:t>政策法规宣传工作。</w:t>
      </w:r>
    </w:p>
    <w:p>
      <w:pPr>
        <w:ind w:firstLine="800" w:firstLineChars="250"/>
        <w:rPr>
          <w:rFonts w:ascii="仿宋" w:hAnsi="仿宋" w:eastAsia="仿宋"/>
          <w:kern w:val="2"/>
          <w:sz w:val="32"/>
          <w:szCs w:val="32"/>
        </w:rPr>
      </w:pPr>
      <w:r>
        <w:rPr>
          <w:rFonts w:hint="eastAsia" w:ascii="仿宋" w:hAnsi="仿宋" w:eastAsia="仿宋"/>
          <w:kern w:val="2"/>
          <w:sz w:val="32"/>
          <w:szCs w:val="32"/>
        </w:rPr>
        <w:t>7.执行会计集中核算，严格按照上级财政部门规定的工作程序开展工作，充分发挥财政资金使用效率。</w:t>
      </w:r>
    </w:p>
    <w:p>
      <w:pPr>
        <w:ind w:firstLine="800" w:firstLineChars="250"/>
        <w:rPr>
          <w:rFonts w:ascii="仿宋" w:hAnsi="仿宋" w:eastAsia="仿宋"/>
          <w:kern w:val="2"/>
          <w:sz w:val="32"/>
          <w:szCs w:val="32"/>
        </w:rPr>
      </w:pPr>
      <w:r>
        <w:rPr>
          <w:rFonts w:hint="eastAsia" w:ascii="仿宋" w:hAnsi="仿宋" w:eastAsia="仿宋"/>
          <w:kern w:val="2"/>
          <w:sz w:val="32"/>
          <w:szCs w:val="32"/>
        </w:rPr>
        <w:t>8.负责本单位的国有资产监督管理工作。</w:t>
      </w:r>
    </w:p>
    <w:p>
      <w:pPr>
        <w:ind w:firstLine="800" w:firstLineChars="250"/>
        <w:rPr>
          <w:rFonts w:ascii="仿宋" w:hAnsi="仿宋" w:eastAsia="仿宋"/>
          <w:kern w:val="2"/>
          <w:sz w:val="32"/>
          <w:szCs w:val="32"/>
        </w:rPr>
      </w:pPr>
      <w:r>
        <w:rPr>
          <w:rFonts w:hint="eastAsia" w:ascii="仿宋" w:hAnsi="仿宋" w:eastAsia="仿宋"/>
          <w:kern w:val="2"/>
          <w:sz w:val="32"/>
          <w:szCs w:val="32"/>
        </w:rPr>
        <w:t>9.承办上级部门交办的其他事项。</w:t>
      </w:r>
    </w:p>
    <w:p>
      <w:pPr>
        <w:pStyle w:val="17"/>
        <w:spacing w:before="0" w:after="0" w:line="560" w:lineRule="exact"/>
        <w:ind w:firstLine="640" w:firstLineChars="200"/>
      </w:pPr>
      <w:bookmarkStart w:id="19" w:name="_Toc5148"/>
      <w:r>
        <w:rPr>
          <w:rFonts w:ascii="黑体" w:hAnsi="黑体" w:eastAsia="黑体"/>
          <w:b w:val="0"/>
          <w:u w:val="thick" w:color="FFB03A"/>
          <w:shd w:val="clear" w:fill="FFEFD8"/>
        </w:rPr>
        <w:t>二、</w:t>
      </w:r>
      <w:r>
        <w:rPr>
          <w:rFonts w:ascii="黑体" w:hAnsi="黑体" w:eastAsia="黑体"/>
          <w:b w:val="0"/>
        </w:rPr>
        <w:t>2021年重点工作</w:t>
      </w:r>
      <w:bookmarkEnd w:id="17"/>
      <w:bookmarkEnd w:id="18"/>
      <w:r>
        <w:rPr>
          <w:rFonts w:ascii="黑体" w:hAnsi="黑体" w:eastAsia="黑体"/>
          <w:b w:val="0"/>
        </w:rPr>
        <w:t>完成情况</w:t>
      </w:r>
      <w:bookmarkEnd w:id="19"/>
    </w:p>
    <w:p>
      <w:pPr>
        <w:ind w:firstLine="800" w:firstLineChars="250"/>
        <w:rPr>
          <w:rFonts w:ascii="仿宋" w:hAnsi="仿宋" w:eastAsia="仿宋"/>
          <w:kern w:val="2"/>
          <w:sz w:val="32"/>
          <w:szCs w:val="32"/>
        </w:rPr>
      </w:pPr>
      <w:r>
        <w:rPr>
          <w:rFonts w:hint="eastAsia" w:ascii="仿宋" w:hAnsi="仿宋" w:eastAsia="仿宋"/>
          <w:kern w:val="2"/>
          <w:sz w:val="32"/>
          <w:szCs w:val="32"/>
        </w:rPr>
        <w:t>通江县唱歌镇石林小学在县委、县政府的领导下，在上级主管部门的指导下，2021年，我校完成工作情况：实施小学教育教学管理和小学义务教育。做好小学教育教学管理，教育经费管理、教师管理工作。做好小学教育教学管理和小学义务教育，培育在校学生。教育教学目标考评，促进基础教育发展。规范管理并充分使用教育经费，保障教育教学工作顺利进行。继续做好紧急疏散演练和食品安全检查。</w:t>
      </w:r>
    </w:p>
    <w:p>
      <w:pPr>
        <w:ind w:firstLine="800" w:firstLineChars="250"/>
        <w:rPr>
          <w:rFonts w:ascii="仿宋" w:hAnsi="仿宋" w:eastAsia="仿宋"/>
          <w:kern w:val="2"/>
          <w:sz w:val="32"/>
          <w:szCs w:val="32"/>
        </w:rPr>
      </w:pPr>
    </w:p>
    <w:p>
      <w:pPr>
        <w:pStyle w:val="13"/>
        <w:ind w:right="440"/>
        <w:jc w:val="center"/>
        <w:rPr>
          <w:rStyle w:val="12"/>
          <w:rFonts w:ascii="黑体" w:hAnsi="黑体" w:eastAsia="黑体"/>
          <w:b w:val="0"/>
          <w:bCs/>
        </w:rPr>
      </w:pPr>
      <w:bookmarkStart w:id="20" w:name="_Toc15377204"/>
      <w:bookmarkStart w:id="21" w:name="_Toc15396602"/>
      <w:bookmarkStart w:id="22" w:name="_Toc6554"/>
      <w:r>
        <w:rPr>
          <w:rFonts w:ascii="黑体" w:hAnsi="黑体" w:eastAsia="黑体"/>
          <w:b w:val="0"/>
        </w:rPr>
        <w:t>第二部分 2021年度</w:t>
      </w:r>
      <w:r>
        <w:rPr>
          <w:rStyle w:val="12"/>
          <w:rFonts w:ascii="黑体" w:hAnsi="黑体" w:eastAsia="黑体"/>
          <w:b w:val="0"/>
          <w:bCs/>
        </w:rPr>
        <w:t>单位决算情况说明</w:t>
      </w:r>
      <w:bookmarkEnd w:id="20"/>
      <w:bookmarkEnd w:id="21"/>
      <w:bookmarkEnd w:id="22"/>
    </w:p>
    <w:p>
      <w:pPr>
        <w:pStyle w:val="14"/>
      </w:pPr>
    </w:p>
    <w:p>
      <w:pPr>
        <w:pStyle w:val="23"/>
        <w:spacing w:line="600" w:lineRule="exact"/>
        <w:ind w:left="400" w:leftChars="200" w:firstLine="320" w:firstLineChars="100"/>
        <w:outlineLvl w:val="1"/>
        <w:rPr>
          <w:rStyle w:val="16"/>
          <w:rFonts w:ascii="黑体" w:hAnsi="黑体" w:eastAsia="黑体"/>
          <w:b w:val="0"/>
        </w:rPr>
      </w:pPr>
      <w:bookmarkStart w:id="23" w:name="_Toc15377205"/>
      <w:bookmarkStart w:id="24" w:name="_Toc15396603"/>
      <w:bookmarkStart w:id="25" w:name="_Toc28815"/>
      <w:r>
        <w:rPr>
          <w:rFonts w:hint="eastAsia" w:ascii="黑体" w:hAnsi="黑体" w:eastAsia="黑体"/>
          <w:sz w:val="32"/>
          <w:szCs w:val="32"/>
        </w:rPr>
        <w:t>一、</w:t>
      </w:r>
      <w:r>
        <w:rPr>
          <w:rFonts w:ascii="黑体" w:hAnsi="黑体" w:eastAsia="黑体"/>
          <w:sz w:val="32"/>
          <w:szCs w:val="32"/>
        </w:rPr>
        <w:t>收</w:t>
      </w:r>
      <w:r>
        <w:rPr>
          <w:rStyle w:val="16"/>
          <w:rFonts w:ascii="黑体" w:hAnsi="黑体" w:eastAsia="黑体"/>
          <w:b w:val="0"/>
        </w:rPr>
        <w:t>入支出</w:t>
      </w:r>
      <w:r>
        <w:rPr>
          <w:rFonts w:ascii="黑体" w:hAnsi="黑体" w:eastAsia="黑体"/>
          <w:sz w:val="32"/>
          <w:szCs w:val="32"/>
        </w:rPr>
        <w:t>决算总体情况说明</w:t>
      </w:r>
      <w:bookmarkEnd w:id="23"/>
      <w:bookmarkEnd w:id="24"/>
      <w:bookmarkEnd w:id="25"/>
    </w:p>
    <w:p>
      <w:pPr>
        <w:pStyle w:val="14"/>
        <w:spacing w:line="600" w:lineRule="exact"/>
        <w:ind w:firstLine="640" w:firstLineChars="200"/>
        <w:rPr>
          <w:rFonts w:ascii="仿宋" w:hAnsi="仿宋" w:eastAsia="仿宋"/>
          <w:sz w:val="32"/>
          <w:szCs w:val="32"/>
        </w:rPr>
      </w:pPr>
      <w:r>
        <w:rPr>
          <w:rFonts w:ascii="仿宋" w:hAnsi="仿宋" w:eastAsia="仿宋"/>
          <w:sz w:val="32"/>
          <w:szCs w:val="32"/>
        </w:rPr>
        <w:t>2021年度收、支总计364.05万元。与2020年相比，收、支总计各增加73.91万元，增长25.5%。主要变动原因是校舍维修项目投入。</w:t>
      </w:r>
    </w:p>
    <w:p>
      <w:pPr>
        <w:pStyle w:val="15"/>
        <w:spacing w:before="93"/>
        <w:rPr>
          <w:rFonts w:ascii="仿宋" w:hAnsi="仿宋" w:eastAsia="仿宋"/>
          <w:sz w:val="32"/>
          <w:szCs w:val="32"/>
        </w:rPr>
      </w:pPr>
      <w:r>
        <w:drawing>
          <wp:inline distT="0" distB="0" distL="0" distR="0">
            <wp:extent cx="4784725" cy="2838450"/>
            <wp:effectExtent l="4445" t="5080" r="11430" b="13970"/>
            <wp:docPr id="174" name="_x0000_i12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5"/>
        <w:spacing w:before="93"/>
        <w:rPr>
          <w:rFonts w:ascii="仿宋" w:hAnsi="仿宋" w:eastAsia="仿宋"/>
          <w:sz w:val="32"/>
          <w:szCs w:val="32"/>
        </w:rPr>
      </w:pPr>
      <w:r>
        <w:rPr>
          <w:rFonts w:ascii="仿宋" w:hAnsi="仿宋" w:eastAsia="仿宋"/>
          <w:sz w:val="32"/>
          <w:szCs w:val="32"/>
        </w:rPr>
        <w:t>（图1：收、支决算总计变动情况图）</w:t>
      </w:r>
    </w:p>
    <w:p>
      <w:pPr>
        <w:pStyle w:val="23"/>
        <w:spacing w:line="600" w:lineRule="exact"/>
        <w:ind w:left="400" w:leftChars="200" w:firstLine="320" w:firstLineChars="100"/>
        <w:outlineLvl w:val="1"/>
        <w:rPr>
          <w:rStyle w:val="16"/>
          <w:rFonts w:ascii="黑体" w:hAnsi="黑体" w:eastAsia="黑体"/>
          <w:b w:val="0"/>
        </w:rPr>
      </w:pPr>
      <w:bookmarkStart w:id="26" w:name="_Toc15377206"/>
      <w:bookmarkStart w:id="27" w:name="_Toc7956"/>
      <w:bookmarkStart w:id="28" w:name="_Toc15396604"/>
      <w:r>
        <w:rPr>
          <w:rFonts w:hint="eastAsia" w:ascii="黑体" w:hAnsi="黑体" w:eastAsia="黑体"/>
          <w:sz w:val="32"/>
          <w:szCs w:val="32"/>
        </w:rPr>
        <w:t>二、</w:t>
      </w:r>
      <w:r>
        <w:rPr>
          <w:rFonts w:ascii="黑体" w:hAnsi="黑体" w:eastAsia="黑体"/>
          <w:sz w:val="32"/>
          <w:szCs w:val="32"/>
        </w:rPr>
        <w:t>收</w:t>
      </w:r>
      <w:r>
        <w:rPr>
          <w:rStyle w:val="16"/>
          <w:rFonts w:ascii="黑体" w:hAnsi="黑体" w:eastAsia="黑体"/>
          <w:b w:val="0"/>
        </w:rPr>
        <w:t>入决算情况说明</w:t>
      </w:r>
      <w:bookmarkEnd w:id="26"/>
      <w:bookmarkEnd w:id="27"/>
      <w:bookmarkEnd w:id="28"/>
    </w:p>
    <w:p>
      <w:pPr>
        <w:pStyle w:val="14"/>
        <w:spacing w:line="600" w:lineRule="exact"/>
        <w:ind w:firstLine="640" w:firstLineChars="200"/>
        <w:outlineLvl w:val="1"/>
        <w:rPr>
          <w:rFonts w:ascii="仿宋" w:hAnsi="仿宋" w:eastAsia="仿宋"/>
          <w:sz w:val="32"/>
          <w:szCs w:val="32"/>
        </w:rPr>
      </w:pPr>
      <w:bookmarkStart w:id="29" w:name="_Toc31818"/>
      <w:r>
        <w:rPr>
          <w:rFonts w:ascii="仿宋" w:hAnsi="仿宋" w:eastAsia="仿宋"/>
          <w:sz w:val="32"/>
          <w:szCs w:val="32"/>
        </w:rPr>
        <w:t>2021年本年收入合计364.05万元，其中：一般公共预算财政拨款收入364.05万元，占100%；政府性基金预算财政拨款收入0万元，占0%；国有资本经营</w:t>
      </w:r>
      <w:r>
        <w:rPr>
          <w:rFonts w:hint="eastAsia" w:ascii="仿宋" w:hAnsi="仿宋" w:eastAsia="仿宋"/>
          <w:sz w:val="32"/>
          <w:szCs w:val="32"/>
          <w:u w:val="none" w:color="46CD7E"/>
          <w:shd w:val="clear" w:fill="auto"/>
          <w:lang w:eastAsia="zh-CN"/>
        </w:rPr>
        <w:t>预算中</w:t>
      </w:r>
      <w:r>
        <w:rPr>
          <w:rFonts w:ascii="仿宋" w:hAnsi="仿宋" w:eastAsia="仿宋"/>
          <w:sz w:val="32"/>
          <w:szCs w:val="32"/>
        </w:rPr>
        <w:t>财政拨款收入0万元，占0%；上级补助收入0万元，占0%；</w:t>
      </w:r>
      <w:r>
        <w:rPr>
          <w:rFonts w:hint="eastAsia" w:ascii="仿宋" w:hAnsi="仿宋" w:eastAsia="仿宋"/>
          <w:sz w:val="32"/>
          <w:szCs w:val="32"/>
        </w:rPr>
        <w:t>营业</w:t>
      </w:r>
      <w:r>
        <w:rPr>
          <w:rFonts w:ascii="仿宋" w:hAnsi="仿宋" w:eastAsia="仿宋"/>
          <w:sz w:val="32"/>
          <w:szCs w:val="32"/>
        </w:rPr>
        <w:t>收入0万元，占</w:t>
      </w:r>
      <w:r>
        <w:rPr>
          <w:rFonts w:hint="eastAsia" w:ascii="仿宋" w:hAnsi="仿宋" w:eastAsia="仿宋"/>
          <w:sz w:val="32"/>
          <w:szCs w:val="32"/>
        </w:rPr>
        <w:t>比</w:t>
      </w:r>
      <w:r>
        <w:rPr>
          <w:rFonts w:ascii="仿宋" w:hAnsi="仿宋" w:eastAsia="仿宋"/>
          <w:sz w:val="32"/>
          <w:szCs w:val="32"/>
        </w:rPr>
        <w:t>0%；经营收入0万元，占</w:t>
      </w:r>
      <w:r>
        <w:rPr>
          <w:rFonts w:hint="eastAsia" w:ascii="仿宋" w:hAnsi="仿宋" w:eastAsia="仿宋"/>
          <w:sz w:val="32"/>
          <w:szCs w:val="32"/>
        </w:rPr>
        <w:t>比</w:t>
      </w:r>
      <w:r>
        <w:rPr>
          <w:rFonts w:ascii="仿宋" w:hAnsi="仿宋" w:eastAsia="仿宋"/>
          <w:sz w:val="32"/>
          <w:szCs w:val="32"/>
        </w:rPr>
        <w:t>0%；附属单位上缴收入0万元，占0%；其他收入0万元，占0%。</w:t>
      </w:r>
      <w:bookmarkEnd w:id="29"/>
    </w:p>
    <w:p>
      <w:pPr>
        <w:pStyle w:val="15"/>
        <w:spacing w:before="93"/>
        <w:rPr>
          <w:rFonts w:ascii="仿宋" w:hAnsi="仿宋" w:eastAsia="仿宋"/>
          <w:sz w:val="32"/>
          <w:szCs w:val="32"/>
        </w:rPr>
      </w:pPr>
      <w:r>
        <w:drawing>
          <wp:inline distT="0" distB="0" distL="0" distR="0">
            <wp:extent cx="4956810" cy="2800350"/>
            <wp:effectExtent l="4445" t="4445" r="10795" b="14605"/>
            <wp:docPr id="175" name="_x0000_i12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4"/>
        <w:spacing w:line="600" w:lineRule="exact"/>
        <w:ind w:firstLine="640" w:firstLineChars="200"/>
        <w:rPr>
          <w:rFonts w:ascii="仿宋" w:hAnsi="仿宋" w:eastAsia="仿宋"/>
          <w:sz w:val="32"/>
          <w:szCs w:val="32"/>
        </w:rPr>
      </w:pPr>
      <w:r>
        <w:rPr>
          <w:rFonts w:ascii="仿宋" w:hAnsi="仿宋" w:eastAsia="仿宋"/>
          <w:sz w:val="32"/>
          <w:szCs w:val="32"/>
        </w:rPr>
        <w:t>（图2：收入决算结构图）</w:t>
      </w:r>
    </w:p>
    <w:p>
      <w:pPr>
        <w:pStyle w:val="23"/>
        <w:spacing w:line="600" w:lineRule="exact"/>
        <w:ind w:firstLine="640"/>
        <w:outlineLvl w:val="1"/>
        <w:rPr>
          <w:rStyle w:val="16"/>
          <w:rFonts w:ascii="黑体" w:hAnsi="黑体" w:eastAsia="黑体"/>
          <w:b w:val="0"/>
        </w:rPr>
      </w:pPr>
      <w:bookmarkStart w:id="30" w:name="_Toc15377207"/>
      <w:bookmarkStart w:id="31" w:name="_Toc24970"/>
      <w:bookmarkStart w:id="32" w:name="_Toc15396605"/>
      <w:r>
        <w:rPr>
          <w:rFonts w:hint="eastAsia" w:ascii="黑体" w:hAnsi="黑体" w:eastAsia="黑体"/>
          <w:sz w:val="32"/>
          <w:szCs w:val="32"/>
        </w:rPr>
        <w:t>三、</w:t>
      </w:r>
      <w:r>
        <w:rPr>
          <w:rFonts w:ascii="黑体" w:hAnsi="黑体" w:eastAsia="黑体"/>
          <w:sz w:val="32"/>
          <w:szCs w:val="32"/>
        </w:rPr>
        <w:t>支</w:t>
      </w:r>
      <w:r>
        <w:rPr>
          <w:rStyle w:val="16"/>
          <w:rFonts w:ascii="黑体" w:hAnsi="黑体" w:eastAsia="黑体"/>
          <w:b w:val="0"/>
        </w:rPr>
        <w:t>出</w:t>
      </w:r>
      <w:r>
        <w:rPr>
          <w:rFonts w:ascii="黑体" w:hAnsi="黑体" w:eastAsia="黑体"/>
        </w:rPr>
        <w:t>决算情况说明</w:t>
      </w:r>
      <w:bookmarkEnd w:id="30"/>
      <w:bookmarkEnd w:id="31"/>
      <w:bookmarkEnd w:id="32"/>
    </w:p>
    <w:p>
      <w:pPr>
        <w:pStyle w:val="14"/>
        <w:spacing w:line="600" w:lineRule="exact"/>
        <w:ind w:firstLine="640" w:firstLineChars="200"/>
        <w:outlineLvl w:val="1"/>
        <w:rPr>
          <w:rFonts w:ascii="仿宋" w:hAnsi="仿宋" w:eastAsia="仿宋"/>
          <w:sz w:val="32"/>
          <w:szCs w:val="32"/>
        </w:rPr>
      </w:pPr>
      <w:bookmarkStart w:id="33" w:name="_Toc21904"/>
      <w:r>
        <w:rPr>
          <w:rFonts w:ascii="仿宋" w:hAnsi="仿宋" w:eastAsia="仿宋"/>
          <w:sz w:val="32"/>
          <w:szCs w:val="32"/>
        </w:rPr>
        <w:t>2021年本年支出合计364.05万元，其中：基本支出320.07万元，占88%；项目支出43.98万元，占</w:t>
      </w:r>
      <w:r>
        <w:rPr>
          <w:rFonts w:hint="eastAsia" w:ascii="仿宋" w:hAnsi="仿宋" w:eastAsia="仿宋"/>
          <w:sz w:val="32"/>
          <w:szCs w:val="32"/>
        </w:rPr>
        <w:t>比</w:t>
      </w:r>
      <w:r>
        <w:rPr>
          <w:rFonts w:ascii="仿宋" w:hAnsi="仿宋" w:eastAsia="仿宋"/>
          <w:sz w:val="32"/>
          <w:szCs w:val="32"/>
        </w:rPr>
        <w:t>12%；上缴上级支出0万元，占0%；经营支出0万元，占0%；对附属单位补助支出0万元，占0%。</w:t>
      </w:r>
      <w:bookmarkEnd w:id="33"/>
    </w:p>
    <w:p>
      <w:pPr>
        <w:pStyle w:val="14"/>
        <w:spacing w:line="600" w:lineRule="exact"/>
        <w:ind w:firstLine="640"/>
        <w:rPr>
          <w:rFonts w:ascii="仿宋" w:hAnsi="仿宋" w:eastAsia="仿宋"/>
          <w:sz w:val="32"/>
          <w:szCs w:val="32"/>
          <w:shd w:val="clear" w:color="auto" w:fill="E5E5E5"/>
        </w:rPr>
      </w:pPr>
    </w:p>
    <w:p>
      <w:pPr>
        <w:pStyle w:val="15"/>
        <w:spacing w:before="93"/>
        <w:rPr>
          <w:rFonts w:ascii="仿宋" w:hAnsi="仿宋" w:eastAsia="仿宋"/>
          <w:sz w:val="32"/>
          <w:szCs w:val="32"/>
          <w:shd w:val="clear" w:color="auto" w:fill="E5E5E5"/>
        </w:rPr>
      </w:pPr>
      <w:r>
        <w:drawing>
          <wp:inline distT="0" distB="0" distL="0" distR="0">
            <wp:extent cx="5327015" cy="3133725"/>
            <wp:effectExtent l="0" t="0" r="0" b="0"/>
            <wp:docPr id="176" name="_x0000_i12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4"/>
        <w:spacing w:line="600" w:lineRule="exact"/>
        <w:ind w:firstLine="640" w:firstLineChars="200"/>
        <w:rPr>
          <w:rFonts w:ascii="仿宋" w:hAnsi="仿宋" w:eastAsia="仿宋"/>
          <w:sz w:val="32"/>
          <w:szCs w:val="32"/>
        </w:rPr>
      </w:pPr>
      <w:r>
        <w:rPr>
          <w:rFonts w:ascii="仿宋" w:hAnsi="仿宋" w:eastAsia="仿宋"/>
          <w:sz w:val="32"/>
          <w:szCs w:val="32"/>
        </w:rPr>
        <w:t>（图3：支出决算结构图）</w:t>
      </w:r>
    </w:p>
    <w:p>
      <w:pPr>
        <w:pStyle w:val="14"/>
        <w:spacing w:line="600" w:lineRule="exact"/>
        <w:ind w:firstLine="640" w:firstLineChars="200"/>
        <w:outlineLvl w:val="1"/>
        <w:rPr>
          <w:rStyle w:val="16"/>
          <w:rFonts w:ascii="黑体" w:hAnsi="黑体" w:eastAsia="黑体"/>
          <w:b w:val="0"/>
        </w:rPr>
      </w:pPr>
      <w:bookmarkStart w:id="34" w:name="_Toc32480"/>
      <w:bookmarkStart w:id="35" w:name="_Toc15377208"/>
      <w:bookmarkStart w:id="36" w:name="_Toc15396606"/>
      <w:r>
        <w:rPr>
          <w:rFonts w:ascii="黑体" w:hAnsi="黑体" w:eastAsia="黑体"/>
          <w:sz w:val="32"/>
          <w:szCs w:val="32"/>
        </w:rPr>
        <w:t>四、财</w:t>
      </w:r>
      <w:r>
        <w:rPr>
          <w:rStyle w:val="16"/>
          <w:rFonts w:ascii="黑体" w:hAnsi="黑体" w:eastAsia="黑体"/>
          <w:b w:val="0"/>
        </w:rPr>
        <w:t>政拨款收入支出</w:t>
      </w:r>
      <w:r>
        <w:rPr>
          <w:rFonts w:ascii="黑体" w:hAnsi="黑体" w:eastAsia="黑体"/>
          <w:sz w:val="32"/>
          <w:szCs w:val="32"/>
        </w:rPr>
        <w:t>决算总体情况说明</w:t>
      </w:r>
      <w:bookmarkEnd w:id="34"/>
      <w:bookmarkEnd w:id="35"/>
      <w:bookmarkEnd w:id="36"/>
    </w:p>
    <w:p>
      <w:pPr>
        <w:pStyle w:val="14"/>
        <w:spacing w:line="600" w:lineRule="exact"/>
        <w:ind w:firstLine="640"/>
        <w:rPr>
          <w:rFonts w:ascii="仿宋" w:hAnsi="仿宋" w:eastAsia="仿宋"/>
          <w:sz w:val="32"/>
          <w:szCs w:val="32"/>
        </w:rPr>
      </w:pPr>
      <w:r>
        <w:rPr>
          <w:rFonts w:ascii="仿宋" w:hAnsi="仿宋" w:eastAsia="仿宋"/>
          <w:sz w:val="32"/>
          <w:szCs w:val="32"/>
        </w:rPr>
        <w:t>2021年财政拨款收、支总计364.05万元。与2020年相比，财政拨款收、支总计各增加73.91万元，增长25.5%。主要变动原因是校舍维修项目投入。</w:t>
      </w:r>
    </w:p>
    <w:p>
      <w:pPr>
        <w:pStyle w:val="15"/>
        <w:spacing w:before="93"/>
        <w:rPr>
          <w:rFonts w:ascii="仿宋" w:hAnsi="仿宋" w:eastAsia="仿宋"/>
          <w:sz w:val="32"/>
          <w:szCs w:val="32"/>
        </w:rPr>
      </w:pPr>
      <w:r>
        <w:drawing>
          <wp:inline distT="0" distB="0" distL="0" distR="0">
            <wp:extent cx="5215255" cy="2451735"/>
            <wp:effectExtent l="0" t="0" r="0" b="0"/>
            <wp:docPr id="177" name="_x0000_i12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4"/>
        <w:spacing w:line="600" w:lineRule="exact"/>
        <w:ind w:firstLine="640" w:firstLineChars="200"/>
        <w:rPr>
          <w:rFonts w:ascii="仿宋" w:hAnsi="仿宋" w:eastAsia="仿宋"/>
          <w:sz w:val="32"/>
          <w:szCs w:val="32"/>
        </w:rPr>
      </w:pPr>
      <w:r>
        <w:rPr>
          <w:rFonts w:ascii="仿宋" w:hAnsi="仿宋" w:eastAsia="仿宋"/>
          <w:sz w:val="32"/>
          <w:szCs w:val="32"/>
        </w:rPr>
        <w:t>（图4：财政拨款收、支决算总计变动情况）</w:t>
      </w:r>
    </w:p>
    <w:p>
      <w:pPr>
        <w:pStyle w:val="15"/>
      </w:pPr>
    </w:p>
    <w:p>
      <w:pPr>
        <w:pStyle w:val="14"/>
        <w:spacing w:line="600" w:lineRule="exact"/>
        <w:ind w:firstLine="640" w:firstLineChars="200"/>
        <w:outlineLvl w:val="1"/>
        <w:rPr>
          <w:rStyle w:val="16"/>
          <w:rFonts w:ascii="黑体" w:hAnsi="黑体" w:eastAsia="黑体"/>
          <w:b w:val="0"/>
        </w:rPr>
      </w:pPr>
      <w:bookmarkStart w:id="37" w:name="_Toc15396607"/>
      <w:bookmarkStart w:id="38" w:name="_Toc15377209"/>
      <w:bookmarkStart w:id="39" w:name="_Toc24759"/>
      <w:r>
        <w:rPr>
          <w:rFonts w:ascii="黑体" w:hAnsi="黑体" w:eastAsia="黑体"/>
          <w:sz w:val="32"/>
          <w:szCs w:val="32"/>
        </w:rPr>
        <w:t>五、</w:t>
      </w:r>
      <w:r>
        <w:rPr>
          <w:rFonts w:ascii="黑体" w:hAnsi="黑体" w:eastAsia="黑体"/>
          <w:b/>
          <w:sz w:val="32"/>
          <w:szCs w:val="32"/>
        </w:rPr>
        <w:t>一</w:t>
      </w:r>
      <w:r>
        <w:rPr>
          <w:rStyle w:val="16"/>
          <w:rFonts w:ascii="黑体" w:hAnsi="黑体" w:eastAsia="黑体"/>
          <w:b w:val="0"/>
        </w:rPr>
        <w:t>般公共预算</w:t>
      </w:r>
      <w:r>
        <w:rPr>
          <w:rFonts w:ascii="黑体" w:hAnsi="黑体" w:eastAsia="黑体"/>
          <w:sz w:val="32"/>
          <w:szCs w:val="32"/>
        </w:rPr>
        <w:t>财政拨款支出决算情况说明</w:t>
      </w:r>
      <w:bookmarkEnd w:id="37"/>
      <w:bookmarkEnd w:id="38"/>
      <w:bookmarkEnd w:id="39"/>
    </w:p>
    <w:p>
      <w:pPr>
        <w:pStyle w:val="14"/>
        <w:spacing w:line="600" w:lineRule="exact"/>
        <w:ind w:firstLine="643" w:firstLineChars="200"/>
        <w:outlineLvl w:val="2"/>
        <w:rPr>
          <w:rFonts w:ascii="仿宋" w:hAnsi="仿宋" w:eastAsia="仿宋"/>
          <w:b/>
          <w:sz w:val="32"/>
          <w:szCs w:val="32"/>
        </w:rPr>
      </w:pPr>
      <w:bookmarkStart w:id="40" w:name="_Toc15377210"/>
      <w:r>
        <w:rPr>
          <w:rFonts w:ascii="仿宋" w:hAnsi="仿宋" w:eastAsia="仿宋"/>
          <w:b/>
          <w:sz w:val="32"/>
          <w:szCs w:val="32"/>
        </w:rPr>
        <w:t>（一）一般公共预算财政拨款支出决算总体情况</w:t>
      </w:r>
      <w:bookmarkEnd w:id="40"/>
    </w:p>
    <w:p>
      <w:pPr>
        <w:pStyle w:val="14"/>
        <w:spacing w:line="600" w:lineRule="exact"/>
        <w:ind w:firstLine="640" w:firstLineChars="200"/>
        <w:rPr>
          <w:rFonts w:ascii="仿宋" w:hAnsi="仿宋" w:eastAsia="仿宋"/>
          <w:sz w:val="32"/>
          <w:szCs w:val="32"/>
        </w:rPr>
      </w:pPr>
      <w:r>
        <w:rPr>
          <w:rFonts w:ascii="仿宋" w:hAnsi="仿宋" w:eastAsia="仿宋"/>
          <w:sz w:val="32"/>
          <w:szCs w:val="32"/>
        </w:rPr>
        <w:t>2021年一般公共预算财政拨款支出364.05万元，占本年支出合计的100%。与2020年相比，一般公共预算财政拨款支出增加73.91万元，增长25.5%。主要变动原因是校舍维修项目投入。</w:t>
      </w:r>
    </w:p>
    <w:p>
      <w:pPr>
        <w:pStyle w:val="15"/>
        <w:spacing w:before="93"/>
        <w:rPr>
          <w:rFonts w:ascii="仿宋" w:hAnsi="仿宋" w:eastAsia="仿宋"/>
          <w:sz w:val="32"/>
          <w:szCs w:val="32"/>
        </w:rPr>
      </w:pPr>
      <w:r>
        <w:drawing>
          <wp:inline distT="0" distB="0" distL="0" distR="0">
            <wp:extent cx="5307965" cy="3177540"/>
            <wp:effectExtent l="0" t="0" r="0" b="0"/>
            <wp:docPr id="178" name="_x0000_i12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4"/>
        <w:spacing w:line="600" w:lineRule="exact"/>
        <w:ind w:firstLine="640" w:firstLineChars="200"/>
        <w:rPr>
          <w:rFonts w:ascii="仿宋" w:hAnsi="仿宋" w:eastAsia="仿宋"/>
          <w:sz w:val="32"/>
          <w:szCs w:val="32"/>
        </w:rPr>
      </w:pPr>
      <w:r>
        <w:rPr>
          <w:rFonts w:ascii="仿宋" w:hAnsi="仿宋" w:eastAsia="仿宋"/>
          <w:sz w:val="32"/>
          <w:szCs w:val="32"/>
        </w:rPr>
        <w:t>（图5：一般公共预算财政拨款支出决算变动情况）</w:t>
      </w:r>
    </w:p>
    <w:p>
      <w:pPr>
        <w:pStyle w:val="14"/>
        <w:spacing w:line="600" w:lineRule="exact"/>
        <w:ind w:firstLine="643" w:firstLineChars="200"/>
        <w:outlineLvl w:val="2"/>
        <w:rPr>
          <w:rFonts w:ascii="仿宋" w:hAnsi="仿宋" w:eastAsia="仿宋"/>
          <w:b/>
          <w:sz w:val="32"/>
          <w:szCs w:val="32"/>
        </w:rPr>
      </w:pPr>
      <w:bookmarkStart w:id="41" w:name="_Toc15377211"/>
      <w:r>
        <w:rPr>
          <w:rFonts w:ascii="仿宋" w:hAnsi="仿宋" w:eastAsia="仿宋"/>
          <w:b/>
          <w:sz w:val="32"/>
          <w:szCs w:val="32"/>
        </w:rPr>
        <w:t>（二）一般公共预算财政拨款支出决算结构情况</w:t>
      </w:r>
      <w:bookmarkEnd w:id="41"/>
    </w:p>
    <w:p>
      <w:pPr>
        <w:pStyle w:val="14"/>
        <w:spacing w:line="600" w:lineRule="exact"/>
        <w:ind w:firstLine="640"/>
        <w:rPr>
          <w:rFonts w:ascii="仿宋" w:hAnsi="仿宋" w:eastAsia="仿宋"/>
          <w:b/>
          <w:sz w:val="32"/>
          <w:szCs w:val="32"/>
        </w:rPr>
      </w:pPr>
      <w:r>
        <w:rPr>
          <w:rFonts w:ascii="仿宋" w:hAnsi="仿宋" w:eastAsia="仿宋"/>
          <w:sz w:val="32"/>
          <w:szCs w:val="32"/>
        </w:rPr>
        <w:t>2021年一般公共预算财政拨款支出364.05万元，主要用于以下方面</w:t>
      </w:r>
      <w:r>
        <w:t>：</w:t>
      </w:r>
      <w:r>
        <w:rPr>
          <w:rFonts w:ascii="仿宋" w:hAnsi="仿宋" w:eastAsia="仿宋"/>
          <w:b/>
          <w:sz w:val="32"/>
          <w:szCs w:val="32"/>
        </w:rPr>
        <w:t>教育支出（类）300.01</w:t>
      </w:r>
      <w:r>
        <w:rPr>
          <w:rFonts w:ascii="仿宋" w:hAnsi="仿宋" w:eastAsia="仿宋"/>
          <w:sz w:val="32"/>
          <w:szCs w:val="32"/>
        </w:rPr>
        <w:t>万元，占82%；</w:t>
      </w:r>
      <w:r>
        <w:rPr>
          <w:rFonts w:ascii="仿宋" w:hAnsi="仿宋" w:eastAsia="仿宋"/>
          <w:b/>
          <w:sz w:val="32"/>
          <w:szCs w:val="32"/>
        </w:rPr>
        <w:t>社会保障和就业（类）</w:t>
      </w:r>
      <w:r>
        <w:rPr>
          <w:rFonts w:ascii="仿宋" w:hAnsi="仿宋" w:eastAsia="仿宋"/>
          <w:sz w:val="32"/>
          <w:szCs w:val="32"/>
        </w:rPr>
        <w:t>支出32.35万元，占</w:t>
      </w:r>
      <w:r>
        <w:rPr>
          <w:rFonts w:hint="eastAsia" w:ascii="仿宋" w:hAnsi="仿宋" w:eastAsia="仿宋"/>
          <w:sz w:val="32"/>
          <w:szCs w:val="32"/>
        </w:rPr>
        <w:t>比</w:t>
      </w:r>
      <w:r>
        <w:rPr>
          <w:rFonts w:ascii="仿宋" w:hAnsi="仿宋" w:eastAsia="仿宋"/>
          <w:sz w:val="32"/>
          <w:szCs w:val="32"/>
        </w:rPr>
        <w:t>9%；</w:t>
      </w:r>
      <w:r>
        <w:rPr>
          <w:rFonts w:ascii="仿宋" w:hAnsi="仿宋" w:eastAsia="仿宋"/>
          <w:b/>
          <w:bCs/>
          <w:sz w:val="32"/>
          <w:szCs w:val="32"/>
        </w:rPr>
        <w:t>卫生健康支出13.64</w:t>
      </w:r>
      <w:r>
        <w:rPr>
          <w:rFonts w:ascii="仿宋" w:hAnsi="仿宋" w:eastAsia="仿宋"/>
          <w:sz w:val="32"/>
          <w:szCs w:val="32"/>
        </w:rPr>
        <w:t>万元，占</w:t>
      </w:r>
      <w:r>
        <w:rPr>
          <w:rFonts w:hint="eastAsia" w:ascii="仿宋" w:hAnsi="仿宋" w:eastAsia="仿宋"/>
          <w:sz w:val="32"/>
          <w:szCs w:val="32"/>
        </w:rPr>
        <w:t>比</w:t>
      </w:r>
      <w:r>
        <w:rPr>
          <w:rFonts w:ascii="仿宋" w:hAnsi="仿宋" w:eastAsia="仿宋"/>
          <w:sz w:val="32"/>
          <w:szCs w:val="32"/>
        </w:rPr>
        <w:t>4%；</w:t>
      </w:r>
      <w:r>
        <w:rPr>
          <w:rFonts w:ascii="仿宋" w:hAnsi="仿宋" w:eastAsia="仿宋"/>
          <w:b/>
          <w:bCs/>
          <w:sz w:val="32"/>
          <w:szCs w:val="32"/>
        </w:rPr>
        <w:t>农林水支出0</w:t>
      </w:r>
      <w:r>
        <w:rPr>
          <w:rFonts w:ascii="仿宋" w:hAnsi="仿宋" w:eastAsia="仿宋"/>
          <w:sz w:val="32"/>
          <w:szCs w:val="32"/>
        </w:rPr>
        <w:t>.50万元，占0%；</w:t>
      </w:r>
      <w:r>
        <w:rPr>
          <w:rFonts w:ascii="仿宋" w:hAnsi="仿宋" w:eastAsia="仿宋"/>
          <w:b/>
          <w:bCs/>
          <w:sz w:val="32"/>
          <w:szCs w:val="32"/>
        </w:rPr>
        <w:t>住房保障支出17.55</w:t>
      </w:r>
      <w:r>
        <w:rPr>
          <w:rFonts w:ascii="仿宋" w:hAnsi="仿宋" w:eastAsia="仿宋"/>
          <w:sz w:val="32"/>
          <w:szCs w:val="32"/>
        </w:rPr>
        <w:t>万元，占</w:t>
      </w:r>
      <w:r>
        <w:rPr>
          <w:rFonts w:hint="eastAsia" w:ascii="仿宋" w:hAnsi="仿宋" w:eastAsia="仿宋"/>
          <w:sz w:val="32"/>
          <w:szCs w:val="32"/>
        </w:rPr>
        <w:t>比</w:t>
      </w:r>
      <w:r>
        <w:rPr>
          <w:rFonts w:ascii="仿宋" w:hAnsi="仿宋" w:eastAsia="仿宋"/>
          <w:sz w:val="32"/>
          <w:szCs w:val="32"/>
        </w:rPr>
        <w:t>5%。</w:t>
      </w:r>
    </w:p>
    <w:p>
      <w:pPr>
        <w:pStyle w:val="15"/>
        <w:spacing w:before="93"/>
        <w:rPr>
          <w:rFonts w:ascii="仿宋" w:hAnsi="仿宋" w:eastAsia="仿宋"/>
          <w:b/>
          <w:sz w:val="32"/>
          <w:szCs w:val="32"/>
        </w:rPr>
      </w:pPr>
      <w:r>
        <w:drawing>
          <wp:inline distT="0" distB="0" distL="0" distR="0">
            <wp:extent cx="5079365" cy="3924300"/>
            <wp:effectExtent l="0" t="0" r="0" b="0"/>
            <wp:docPr id="179" name="_x0000_i12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4"/>
        <w:spacing w:line="600" w:lineRule="exact"/>
        <w:ind w:firstLine="640" w:firstLineChars="200"/>
        <w:rPr>
          <w:rFonts w:ascii="仿宋" w:hAnsi="仿宋" w:eastAsia="仿宋"/>
          <w:sz w:val="32"/>
          <w:szCs w:val="32"/>
        </w:rPr>
      </w:pPr>
      <w:r>
        <w:rPr>
          <w:rFonts w:ascii="仿宋" w:hAnsi="仿宋" w:eastAsia="仿宋"/>
          <w:sz w:val="32"/>
          <w:szCs w:val="32"/>
        </w:rPr>
        <w:t>（图6：一般公共预算财政拨款支出决算结构）</w:t>
      </w:r>
    </w:p>
    <w:p>
      <w:pPr>
        <w:pStyle w:val="14"/>
        <w:spacing w:line="600" w:lineRule="exact"/>
        <w:ind w:firstLine="643" w:firstLineChars="200"/>
        <w:outlineLvl w:val="2"/>
        <w:rPr>
          <w:rFonts w:ascii="仿宋" w:hAnsi="仿宋" w:eastAsia="仿宋"/>
          <w:b/>
          <w:sz w:val="32"/>
          <w:szCs w:val="32"/>
        </w:rPr>
      </w:pPr>
      <w:bookmarkStart w:id="42" w:name="_Toc15377212"/>
      <w:r>
        <w:rPr>
          <w:rFonts w:ascii="仿宋" w:hAnsi="仿宋" w:eastAsia="仿宋"/>
          <w:b/>
          <w:sz w:val="32"/>
          <w:szCs w:val="32"/>
        </w:rPr>
        <w:t>（三）一般公共预算财政拨款支出决算具体情况</w:t>
      </w:r>
      <w:bookmarkEnd w:id="42"/>
    </w:p>
    <w:p>
      <w:pPr>
        <w:pStyle w:val="14"/>
        <w:spacing w:line="600" w:lineRule="exact"/>
        <w:ind w:firstLine="643" w:firstLineChars="200"/>
        <w:outlineLvl w:val="2"/>
        <w:rPr>
          <w:rStyle w:val="11"/>
          <w:rFonts w:ascii="仿宋" w:hAnsi="仿宋" w:eastAsia="仿宋"/>
          <w:bCs/>
          <w:sz w:val="32"/>
          <w:szCs w:val="32"/>
        </w:rPr>
      </w:pPr>
      <w:bookmarkStart w:id="43" w:name="_Toc15378460"/>
      <w:bookmarkStart w:id="44" w:name="_Toc15377444"/>
      <w:bookmarkStart w:id="45" w:name="_Toc15377213"/>
      <w:r>
        <w:rPr>
          <w:rFonts w:ascii="仿宋" w:hAnsi="仿宋" w:eastAsia="仿宋"/>
          <w:b/>
          <w:sz w:val="32"/>
          <w:szCs w:val="32"/>
        </w:rPr>
        <w:t>2021年一般公共预算支出决算数为364.05万元</w:t>
      </w:r>
      <w:r>
        <w:rPr>
          <w:rFonts w:ascii="仿宋" w:hAnsi="仿宋" w:eastAsia="仿宋"/>
          <w:sz w:val="32"/>
          <w:szCs w:val="32"/>
        </w:rPr>
        <w:t>，</w:t>
      </w:r>
      <w:r>
        <w:rPr>
          <w:rStyle w:val="11"/>
          <w:rFonts w:ascii="仿宋" w:hAnsi="仿宋" w:eastAsia="仿宋"/>
          <w:bCs/>
          <w:sz w:val="32"/>
          <w:szCs w:val="32"/>
        </w:rPr>
        <w:t>完成预算</w:t>
      </w:r>
      <w:r>
        <w:rPr>
          <w:rStyle w:val="11"/>
          <w:rFonts w:hint="eastAsia" w:ascii="仿宋" w:hAnsi="仿宋" w:eastAsia="仿宋"/>
          <w:bCs/>
          <w:sz w:val="32"/>
          <w:szCs w:val="32"/>
        </w:rPr>
        <w:t>的</w:t>
      </w:r>
      <w:r>
        <w:rPr>
          <w:rFonts w:ascii="仿宋" w:hAnsi="仿宋" w:eastAsia="仿宋"/>
          <w:bCs/>
          <w:sz w:val="32"/>
          <w:szCs w:val="32"/>
        </w:rPr>
        <w:t>100%。其中：</w:t>
      </w:r>
      <w:bookmarkEnd w:id="43"/>
      <w:bookmarkEnd w:id="44"/>
      <w:bookmarkEnd w:id="45"/>
    </w:p>
    <w:p>
      <w:pPr>
        <w:pStyle w:val="14"/>
        <w:spacing w:line="600" w:lineRule="exact"/>
        <w:ind w:firstLine="643" w:firstLineChars="200"/>
        <w:outlineLvl w:val="2"/>
        <w:rPr>
          <w:rStyle w:val="11"/>
          <w:rFonts w:ascii="仿宋" w:hAnsi="仿宋" w:eastAsia="仿宋"/>
          <w:b w:val="0"/>
          <w:bCs/>
          <w:sz w:val="32"/>
          <w:szCs w:val="32"/>
        </w:rPr>
      </w:pPr>
      <w:r>
        <w:rPr>
          <w:rStyle w:val="9"/>
          <w:rFonts w:ascii="仿宋" w:hAnsi="仿宋" w:eastAsia="仿宋"/>
          <w:bCs/>
          <w:color w:val="000000"/>
          <w:sz w:val="32"/>
          <w:szCs w:val="32"/>
        </w:rPr>
        <w:t>1.</w:t>
      </w:r>
      <w:r>
        <w:rPr>
          <w:rStyle w:val="11"/>
          <w:rFonts w:ascii="仿宋" w:hAnsi="仿宋" w:eastAsia="仿宋"/>
          <w:bCs/>
          <w:sz w:val="32"/>
          <w:szCs w:val="32"/>
        </w:rPr>
        <w:t>教育（</w:t>
      </w:r>
      <w:r>
        <w:rPr>
          <w:rFonts w:ascii="仿宋" w:hAnsi="仿宋" w:eastAsia="仿宋"/>
          <w:bCs/>
          <w:sz w:val="32"/>
          <w:szCs w:val="32"/>
        </w:rPr>
        <w:t>类）普通教育（款）小学教育（项）</w:t>
      </w:r>
      <w:r>
        <w:rPr>
          <w:rStyle w:val="11"/>
          <w:rFonts w:ascii="仿宋" w:hAnsi="仿宋" w:eastAsia="仿宋"/>
          <w:bCs/>
          <w:sz w:val="32"/>
          <w:szCs w:val="32"/>
        </w:rPr>
        <w:t>:</w:t>
      </w:r>
      <w:r>
        <w:rPr>
          <w:rStyle w:val="11"/>
          <w:rFonts w:ascii="仿宋" w:hAnsi="仿宋" w:eastAsia="仿宋"/>
          <w:b w:val="0"/>
          <w:bCs/>
          <w:sz w:val="32"/>
          <w:szCs w:val="32"/>
        </w:rPr>
        <w:t>支出</w:t>
      </w:r>
      <w:r>
        <w:rPr>
          <w:rFonts w:ascii="仿宋" w:hAnsi="仿宋" w:eastAsia="仿宋"/>
          <w:bCs/>
          <w:sz w:val="32"/>
          <w:szCs w:val="32"/>
        </w:rPr>
        <w:t>决算为</w:t>
      </w:r>
      <w:r>
        <w:rPr>
          <w:rStyle w:val="11"/>
          <w:rFonts w:ascii="仿宋" w:hAnsi="仿宋" w:eastAsia="仿宋"/>
          <w:b w:val="0"/>
          <w:bCs/>
          <w:sz w:val="32"/>
          <w:szCs w:val="32"/>
        </w:rPr>
        <w:t>300.01万元，完成</w:t>
      </w:r>
      <w:r>
        <w:rPr>
          <w:rStyle w:val="11"/>
          <w:rFonts w:hint="eastAsia" w:ascii="仿宋" w:hAnsi="仿宋" w:eastAsia="仿宋"/>
          <w:b w:val="0"/>
          <w:bCs/>
          <w:sz w:val="32"/>
          <w:szCs w:val="32"/>
          <w:lang w:eastAsia="zh-CN"/>
        </w:rPr>
        <w:t>预算的100%</w:t>
      </w:r>
      <w:r>
        <w:rPr>
          <w:rFonts w:ascii="仿宋" w:hAnsi="仿宋" w:eastAsia="仿宋"/>
          <w:bCs/>
          <w:sz w:val="32"/>
          <w:szCs w:val="32"/>
        </w:rPr>
        <w:t>。</w:t>
      </w:r>
    </w:p>
    <w:p>
      <w:pPr>
        <w:pStyle w:val="14"/>
        <w:spacing w:line="600" w:lineRule="exact"/>
        <w:ind w:firstLine="643" w:firstLineChars="200"/>
        <w:rPr>
          <w:rFonts w:ascii="仿宋" w:hAnsi="仿宋" w:eastAsia="仿宋"/>
          <w:b/>
          <w:sz w:val="32"/>
          <w:szCs w:val="32"/>
        </w:rPr>
      </w:pPr>
      <w:r>
        <w:rPr>
          <w:rStyle w:val="11"/>
          <w:rFonts w:hint="eastAsia" w:ascii="仿宋" w:hAnsi="仿宋" w:eastAsia="仿宋"/>
          <w:bCs/>
          <w:sz w:val="32"/>
          <w:szCs w:val="32"/>
        </w:rPr>
        <w:t>2</w:t>
      </w:r>
      <w:r>
        <w:rPr>
          <w:rStyle w:val="11"/>
          <w:rFonts w:ascii="仿宋" w:hAnsi="仿宋" w:eastAsia="仿宋"/>
          <w:bCs/>
          <w:sz w:val="32"/>
          <w:szCs w:val="32"/>
        </w:rPr>
        <w:t>.社会保障和就业（</w:t>
      </w:r>
      <w:r>
        <w:rPr>
          <w:rFonts w:ascii="仿宋" w:hAnsi="仿宋" w:eastAsia="仿宋"/>
          <w:bCs/>
          <w:sz w:val="32"/>
          <w:szCs w:val="32"/>
        </w:rPr>
        <w:t>类）人力资源和社会保障管理事务（款）引进人才费用（项）</w:t>
      </w:r>
      <w:r>
        <w:rPr>
          <w:rStyle w:val="11"/>
          <w:rFonts w:ascii="仿宋" w:hAnsi="仿宋" w:eastAsia="仿宋"/>
          <w:bCs/>
          <w:sz w:val="32"/>
          <w:szCs w:val="32"/>
        </w:rPr>
        <w:t>:</w:t>
      </w:r>
      <w:r>
        <w:rPr>
          <w:rFonts w:ascii="仿宋" w:hAnsi="仿宋" w:eastAsia="仿宋"/>
          <w:bCs/>
          <w:sz w:val="32"/>
          <w:szCs w:val="32"/>
        </w:rPr>
        <w:t>行政事业养老支出（款）机关事业单位基本养老保险缴费支出（项）:</w:t>
      </w:r>
      <w:r>
        <w:rPr>
          <w:rStyle w:val="11"/>
          <w:rFonts w:ascii="仿宋" w:hAnsi="仿宋" w:eastAsia="仿宋"/>
          <w:b w:val="0"/>
          <w:bCs/>
          <w:sz w:val="32"/>
          <w:szCs w:val="32"/>
        </w:rPr>
        <w:t>支出</w:t>
      </w:r>
      <w:r>
        <w:rPr>
          <w:rFonts w:ascii="仿宋" w:hAnsi="仿宋" w:eastAsia="仿宋"/>
          <w:bCs/>
          <w:sz w:val="32"/>
          <w:szCs w:val="32"/>
        </w:rPr>
        <w:t>决算为32.35万元，完成</w:t>
      </w:r>
      <w:r>
        <w:rPr>
          <w:rFonts w:hint="eastAsia" w:ascii="仿宋" w:hAnsi="仿宋" w:eastAsia="仿宋"/>
          <w:bCs/>
          <w:sz w:val="32"/>
          <w:szCs w:val="32"/>
          <w:lang w:eastAsia="zh-CN"/>
        </w:rPr>
        <w:t>预算的100%</w:t>
      </w:r>
      <w:r>
        <w:rPr>
          <w:rFonts w:ascii="仿宋" w:hAnsi="仿宋" w:eastAsia="仿宋"/>
          <w:bCs/>
          <w:sz w:val="32"/>
          <w:szCs w:val="32"/>
        </w:rPr>
        <w:t>。</w:t>
      </w:r>
    </w:p>
    <w:p>
      <w:pPr>
        <w:pStyle w:val="14"/>
        <w:spacing w:line="600" w:lineRule="exact"/>
        <w:ind w:firstLine="643" w:firstLineChars="200"/>
        <w:rPr>
          <w:rFonts w:ascii="仿宋" w:hAnsi="仿宋" w:eastAsia="仿宋"/>
          <w:b/>
          <w:sz w:val="32"/>
          <w:szCs w:val="32"/>
        </w:rPr>
      </w:pPr>
      <w:r>
        <w:rPr>
          <w:rStyle w:val="11"/>
          <w:rFonts w:hint="eastAsia" w:ascii="仿宋" w:hAnsi="仿宋" w:eastAsia="仿宋"/>
          <w:bCs/>
          <w:sz w:val="32"/>
          <w:szCs w:val="32"/>
        </w:rPr>
        <w:t>3</w:t>
      </w:r>
      <w:r>
        <w:rPr>
          <w:rStyle w:val="11"/>
          <w:rFonts w:ascii="仿宋" w:hAnsi="仿宋" w:eastAsia="仿宋"/>
          <w:bCs/>
          <w:sz w:val="32"/>
          <w:szCs w:val="32"/>
        </w:rPr>
        <w:t>.</w:t>
      </w:r>
      <w:r>
        <w:rPr>
          <w:rFonts w:ascii="仿宋" w:hAnsi="仿宋" w:eastAsia="仿宋"/>
          <w:b/>
          <w:bCs/>
          <w:sz w:val="32"/>
          <w:szCs w:val="32"/>
        </w:rPr>
        <w:t>卫生健康</w:t>
      </w:r>
      <w:r>
        <w:rPr>
          <w:rStyle w:val="11"/>
          <w:rFonts w:ascii="仿宋" w:hAnsi="仿宋" w:eastAsia="仿宋"/>
          <w:bCs/>
          <w:sz w:val="32"/>
          <w:szCs w:val="32"/>
        </w:rPr>
        <w:t>（</w:t>
      </w:r>
      <w:r>
        <w:rPr>
          <w:rFonts w:ascii="仿宋" w:hAnsi="仿宋" w:eastAsia="仿宋"/>
          <w:bCs/>
          <w:sz w:val="32"/>
          <w:szCs w:val="32"/>
        </w:rPr>
        <w:t>类）行政事业单位医疗（款）事业单位医疗</w:t>
      </w:r>
      <w:r>
        <w:t>：</w:t>
      </w:r>
      <w:r>
        <w:rPr>
          <w:rStyle w:val="11"/>
          <w:rFonts w:ascii="仿宋" w:hAnsi="仿宋" w:eastAsia="仿宋"/>
          <w:b w:val="0"/>
          <w:bCs/>
          <w:sz w:val="32"/>
          <w:szCs w:val="32"/>
        </w:rPr>
        <w:t>支出</w:t>
      </w:r>
      <w:r>
        <w:rPr>
          <w:rFonts w:ascii="仿宋" w:hAnsi="仿宋" w:eastAsia="仿宋"/>
          <w:bCs/>
          <w:sz w:val="32"/>
          <w:szCs w:val="32"/>
        </w:rPr>
        <w:t>决算为</w:t>
      </w:r>
      <w:r>
        <w:rPr>
          <w:rStyle w:val="11"/>
          <w:rFonts w:ascii="仿宋" w:hAnsi="仿宋" w:eastAsia="仿宋"/>
          <w:b w:val="0"/>
          <w:bCs/>
          <w:sz w:val="32"/>
          <w:szCs w:val="32"/>
        </w:rPr>
        <w:t>13.64万元，完成</w:t>
      </w:r>
      <w:r>
        <w:rPr>
          <w:rStyle w:val="11"/>
          <w:rFonts w:hint="eastAsia" w:ascii="仿宋" w:hAnsi="仿宋" w:eastAsia="仿宋"/>
          <w:b w:val="0"/>
          <w:bCs/>
          <w:sz w:val="32"/>
          <w:szCs w:val="32"/>
          <w:lang w:eastAsia="zh-CN"/>
        </w:rPr>
        <w:t>预算的100%</w:t>
      </w:r>
      <w:r>
        <w:rPr>
          <w:rFonts w:ascii="仿宋" w:hAnsi="仿宋" w:eastAsia="仿宋"/>
          <w:bCs/>
          <w:sz w:val="32"/>
          <w:szCs w:val="32"/>
        </w:rPr>
        <w:t>。</w:t>
      </w:r>
    </w:p>
    <w:p>
      <w:pPr>
        <w:pStyle w:val="14"/>
        <w:spacing w:line="600" w:lineRule="exact"/>
        <w:ind w:firstLine="643" w:firstLineChars="200"/>
        <w:rPr>
          <w:rStyle w:val="11"/>
          <w:rFonts w:ascii="仿宋" w:hAnsi="仿宋" w:eastAsia="仿宋"/>
          <w:b w:val="0"/>
          <w:bCs/>
          <w:sz w:val="32"/>
          <w:szCs w:val="32"/>
        </w:rPr>
      </w:pPr>
      <w:r>
        <w:rPr>
          <w:rFonts w:hint="eastAsia" w:ascii="仿宋" w:hAnsi="仿宋" w:eastAsia="仿宋"/>
          <w:b/>
          <w:bCs/>
          <w:sz w:val="32"/>
          <w:szCs w:val="32"/>
        </w:rPr>
        <w:t>4</w:t>
      </w:r>
      <w:r>
        <w:rPr>
          <w:rFonts w:ascii="仿宋" w:hAnsi="仿宋" w:eastAsia="仿宋"/>
          <w:b/>
          <w:bCs/>
          <w:sz w:val="32"/>
          <w:szCs w:val="32"/>
        </w:rPr>
        <w:t>.农林水支出（类）扶贫（款</w:t>
      </w:r>
      <w:r>
        <w:t>）</w:t>
      </w:r>
      <w:r>
        <w:rPr>
          <w:rFonts w:ascii="仿宋" w:hAnsi="仿宋" w:eastAsia="仿宋"/>
          <w:b/>
          <w:bCs/>
          <w:sz w:val="32"/>
          <w:szCs w:val="32"/>
        </w:rPr>
        <w:t>其他扶贫支出（项）：</w:t>
      </w:r>
      <w:r>
        <w:rPr>
          <w:rFonts w:hint="eastAsia" w:ascii="仿宋" w:hAnsi="仿宋" w:eastAsia="仿宋"/>
          <w:b/>
          <w:bCs/>
          <w:sz w:val="32"/>
          <w:szCs w:val="32"/>
        </w:rPr>
        <w:t>支</w:t>
      </w:r>
      <w:r>
        <w:rPr>
          <w:rStyle w:val="11"/>
          <w:rFonts w:ascii="仿宋" w:hAnsi="仿宋" w:eastAsia="仿宋"/>
          <w:b w:val="0"/>
          <w:bCs/>
          <w:sz w:val="32"/>
          <w:szCs w:val="32"/>
        </w:rPr>
        <w:t>出</w:t>
      </w:r>
      <w:r>
        <w:rPr>
          <w:rFonts w:ascii="仿宋" w:hAnsi="仿宋" w:eastAsia="仿宋"/>
          <w:bCs/>
          <w:sz w:val="32"/>
          <w:szCs w:val="32"/>
        </w:rPr>
        <w:t>决算为0.50万元，完成</w:t>
      </w:r>
      <w:r>
        <w:rPr>
          <w:rFonts w:hint="eastAsia" w:ascii="仿宋" w:hAnsi="仿宋" w:eastAsia="仿宋"/>
          <w:bCs/>
          <w:sz w:val="32"/>
          <w:szCs w:val="32"/>
          <w:lang w:eastAsia="zh-CN"/>
        </w:rPr>
        <w:t>预算的100%</w:t>
      </w:r>
      <w:r>
        <w:rPr>
          <w:rFonts w:ascii="仿宋" w:hAnsi="仿宋" w:eastAsia="仿宋"/>
          <w:bCs/>
          <w:sz w:val="32"/>
          <w:szCs w:val="32"/>
        </w:rPr>
        <w:t>。</w:t>
      </w:r>
    </w:p>
    <w:p>
      <w:pPr>
        <w:pStyle w:val="14"/>
        <w:spacing w:line="600" w:lineRule="exact"/>
        <w:ind w:firstLine="643" w:firstLineChars="200"/>
        <w:rPr>
          <w:rStyle w:val="11"/>
          <w:rFonts w:ascii="仿宋" w:hAnsi="仿宋" w:eastAsia="仿宋"/>
          <w:b w:val="0"/>
          <w:bCs/>
          <w:sz w:val="32"/>
          <w:szCs w:val="32"/>
        </w:rPr>
      </w:pPr>
      <w:r>
        <w:rPr>
          <w:rFonts w:hint="eastAsia" w:ascii="仿宋" w:hAnsi="仿宋" w:eastAsia="仿宋"/>
          <w:b/>
          <w:bCs/>
          <w:sz w:val="32"/>
          <w:szCs w:val="32"/>
        </w:rPr>
        <w:t>5</w:t>
      </w:r>
      <w:r>
        <w:rPr>
          <w:rFonts w:ascii="仿宋" w:hAnsi="仿宋" w:eastAsia="仿宋"/>
          <w:b/>
          <w:bCs/>
          <w:sz w:val="32"/>
          <w:szCs w:val="32"/>
        </w:rPr>
        <w:t>.住房保障支出（类）住房改革支出（款</w:t>
      </w:r>
      <w:r>
        <w:t>）</w:t>
      </w:r>
      <w:r>
        <w:rPr>
          <w:rFonts w:ascii="仿宋" w:hAnsi="仿宋" w:eastAsia="仿宋"/>
          <w:b/>
          <w:bCs/>
          <w:sz w:val="32"/>
          <w:szCs w:val="32"/>
        </w:rPr>
        <w:t>住房公积金（项）：</w:t>
      </w:r>
      <w:r>
        <w:rPr>
          <w:rFonts w:hint="eastAsia" w:ascii="仿宋" w:hAnsi="仿宋" w:eastAsia="仿宋"/>
          <w:b/>
          <w:bCs/>
          <w:sz w:val="32"/>
          <w:szCs w:val="32"/>
        </w:rPr>
        <w:t>支</w:t>
      </w:r>
      <w:r>
        <w:rPr>
          <w:rStyle w:val="11"/>
          <w:rFonts w:ascii="仿宋" w:hAnsi="仿宋" w:eastAsia="仿宋"/>
          <w:b w:val="0"/>
          <w:bCs/>
          <w:sz w:val="32"/>
          <w:szCs w:val="32"/>
        </w:rPr>
        <w:t>出</w:t>
      </w:r>
      <w:r>
        <w:rPr>
          <w:rFonts w:ascii="仿宋" w:hAnsi="仿宋" w:eastAsia="仿宋"/>
          <w:bCs/>
          <w:sz w:val="32"/>
          <w:szCs w:val="32"/>
        </w:rPr>
        <w:t>决算为17.55万元，完成</w:t>
      </w:r>
      <w:r>
        <w:rPr>
          <w:rStyle w:val="11"/>
          <w:rFonts w:ascii="仿宋" w:hAnsi="仿宋" w:eastAsia="仿宋"/>
          <w:b w:val="0"/>
          <w:bCs/>
          <w:sz w:val="32"/>
          <w:szCs w:val="32"/>
        </w:rPr>
        <w:t>预算</w:t>
      </w:r>
      <w:r>
        <w:rPr>
          <w:rStyle w:val="11"/>
          <w:rFonts w:hint="eastAsia" w:ascii="仿宋" w:hAnsi="仿宋" w:eastAsia="仿宋"/>
          <w:b w:val="0"/>
          <w:bCs/>
          <w:sz w:val="32"/>
          <w:szCs w:val="32"/>
        </w:rPr>
        <w:t>的</w:t>
      </w:r>
      <w:r>
        <w:rPr>
          <w:rFonts w:ascii="仿宋" w:hAnsi="仿宋" w:eastAsia="仿宋"/>
          <w:bCs/>
          <w:sz w:val="32"/>
          <w:szCs w:val="32"/>
        </w:rPr>
        <w:t>100%。</w:t>
      </w:r>
    </w:p>
    <w:p>
      <w:pPr>
        <w:pStyle w:val="14"/>
        <w:tabs>
          <w:tab w:val="right" w:pos="8306"/>
        </w:tabs>
        <w:spacing w:line="600" w:lineRule="exact"/>
        <w:ind w:firstLine="640" w:firstLineChars="200"/>
        <w:outlineLvl w:val="1"/>
        <w:rPr>
          <w:rStyle w:val="16"/>
        </w:rPr>
      </w:pPr>
      <w:bookmarkStart w:id="46" w:name="_Toc15377214"/>
      <w:bookmarkStart w:id="47" w:name="_Toc15396608"/>
      <w:bookmarkStart w:id="48" w:name="_Toc6155"/>
      <w:r>
        <w:rPr>
          <w:rFonts w:ascii="黑体" w:hAnsi="黑体" w:eastAsia="黑体"/>
          <w:sz w:val="32"/>
          <w:szCs w:val="32"/>
        </w:rPr>
        <w:t>六</w:t>
      </w:r>
      <w:r>
        <w:rPr>
          <w:rFonts w:ascii="黑体" w:hAnsi="黑体" w:eastAsia="黑体"/>
          <w:b/>
          <w:sz w:val="32"/>
          <w:szCs w:val="32"/>
        </w:rPr>
        <w:t>、一</w:t>
      </w:r>
      <w:r>
        <w:rPr>
          <w:rStyle w:val="16"/>
          <w:rFonts w:ascii="黑体" w:hAnsi="黑体" w:eastAsia="黑体"/>
          <w:b w:val="0"/>
        </w:rPr>
        <w:t>般公共预算</w:t>
      </w:r>
      <w:r>
        <w:rPr>
          <w:rFonts w:ascii="黑体" w:hAnsi="黑体" w:eastAsia="黑体"/>
          <w:sz w:val="32"/>
          <w:szCs w:val="32"/>
        </w:rPr>
        <w:t>财政拨款基本支出决算情况说明</w:t>
      </w:r>
      <w:bookmarkEnd w:id="46"/>
      <w:bookmarkEnd w:id="47"/>
      <w:bookmarkEnd w:id="48"/>
      <w:r>
        <w:rPr>
          <w:rStyle w:val="16"/>
          <w:rFonts w:ascii="黑体" w:hAnsi="黑体" w:eastAsia="黑体"/>
          <w:b w:val="0"/>
        </w:rPr>
        <w:tab/>
      </w:r>
    </w:p>
    <w:p>
      <w:pPr>
        <w:pStyle w:val="14"/>
        <w:spacing w:line="600" w:lineRule="exact"/>
        <w:ind w:firstLine="645"/>
        <w:rPr>
          <w:rFonts w:ascii="仿宋" w:hAnsi="仿宋" w:eastAsia="仿宋"/>
          <w:sz w:val="32"/>
          <w:szCs w:val="32"/>
        </w:rPr>
      </w:pPr>
      <w:r>
        <w:rPr>
          <w:rFonts w:ascii="仿宋" w:hAnsi="仿宋" w:eastAsia="仿宋"/>
          <w:sz w:val="32"/>
          <w:szCs w:val="32"/>
        </w:rPr>
        <w:t>2021年一般公共预算财政拨款基本支出320.07万元，其中：</w:t>
      </w:r>
    </w:p>
    <w:p>
      <w:pPr>
        <w:pStyle w:val="14"/>
        <w:spacing w:line="600" w:lineRule="exact"/>
        <w:ind w:firstLine="645"/>
        <w:rPr>
          <w:rFonts w:ascii="仿宋" w:hAnsi="仿宋" w:eastAsia="仿宋"/>
          <w:sz w:val="32"/>
          <w:szCs w:val="32"/>
        </w:rPr>
      </w:pPr>
      <w:r>
        <w:rPr>
          <w:rFonts w:ascii="仿宋" w:hAnsi="仿宋" w:eastAsia="仿宋"/>
          <w:sz w:val="32"/>
          <w:szCs w:val="32"/>
        </w:rPr>
        <w:t>人员经费295.78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pStyle w:val="14"/>
        <w:spacing w:line="600" w:lineRule="exact"/>
        <w:ind w:firstLine="645"/>
        <w:rPr>
          <w:rFonts w:ascii="仿宋" w:hAnsi="仿宋" w:eastAsia="仿宋"/>
          <w:b/>
          <w:sz w:val="32"/>
          <w:szCs w:val="32"/>
        </w:rPr>
      </w:pPr>
      <w:r>
        <w:rPr>
          <w:rFonts w:ascii="仿宋" w:hAnsi="仿宋" w:eastAsia="仿宋"/>
          <w:sz w:val="32"/>
          <w:szCs w:val="32"/>
        </w:rPr>
        <w:t>公用经费24.30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14"/>
        <w:spacing w:line="600" w:lineRule="exact"/>
        <w:ind w:firstLine="640" w:firstLineChars="200"/>
        <w:outlineLvl w:val="1"/>
        <w:rPr>
          <w:rStyle w:val="16"/>
          <w:rFonts w:ascii="黑体" w:hAnsi="黑体" w:eastAsia="黑体"/>
          <w:b w:val="0"/>
        </w:rPr>
      </w:pPr>
      <w:bookmarkStart w:id="49" w:name="_Toc15396609"/>
      <w:bookmarkStart w:id="50" w:name="_Toc15377215"/>
      <w:bookmarkStart w:id="51" w:name="_Toc14581"/>
      <w:r>
        <w:rPr>
          <w:rFonts w:ascii="黑体" w:hAnsi="黑体" w:eastAsia="黑体"/>
          <w:sz w:val="32"/>
          <w:szCs w:val="32"/>
        </w:rPr>
        <w:t>七、</w:t>
      </w:r>
      <w:r>
        <w:rPr>
          <w:rStyle w:val="16"/>
          <w:rFonts w:ascii="黑体" w:hAnsi="黑体" w:eastAsia="黑体"/>
        </w:rPr>
        <w:t>“</w:t>
      </w:r>
      <w:r>
        <w:rPr>
          <w:rStyle w:val="16"/>
          <w:rFonts w:ascii="黑体" w:hAnsi="黑体" w:eastAsia="黑体"/>
          <w:b w:val="0"/>
        </w:rPr>
        <w:t>三公”经费</w:t>
      </w:r>
      <w:r>
        <w:rPr>
          <w:rFonts w:ascii="黑体" w:hAnsi="黑体" w:eastAsia="黑体"/>
        </w:rPr>
        <w:t>财政拨款支</w:t>
      </w:r>
      <w:r>
        <w:rPr>
          <w:rStyle w:val="16"/>
          <w:rFonts w:ascii="黑体" w:hAnsi="黑体" w:eastAsia="黑体"/>
          <w:b w:val="0"/>
        </w:rPr>
        <w:t>出</w:t>
      </w:r>
      <w:r>
        <w:rPr>
          <w:rFonts w:ascii="黑体" w:hAnsi="黑体" w:eastAsia="黑体"/>
        </w:rPr>
        <w:t>决算情况说明</w:t>
      </w:r>
      <w:bookmarkEnd w:id="49"/>
      <w:bookmarkEnd w:id="50"/>
      <w:bookmarkEnd w:id="51"/>
    </w:p>
    <w:p>
      <w:pPr>
        <w:pStyle w:val="14"/>
        <w:spacing w:line="600" w:lineRule="exact"/>
        <w:ind w:firstLine="643" w:firstLineChars="200"/>
        <w:outlineLvl w:val="2"/>
        <w:rPr>
          <w:rFonts w:ascii="仿宋" w:hAnsi="仿宋" w:eastAsia="仿宋"/>
          <w:b/>
          <w:sz w:val="32"/>
          <w:szCs w:val="32"/>
        </w:rPr>
      </w:pPr>
      <w:bookmarkStart w:id="52" w:name="_Toc15377216"/>
      <w:r>
        <w:rPr>
          <w:rFonts w:ascii="仿宋" w:hAnsi="仿宋" w:eastAsia="仿宋"/>
          <w:b/>
          <w:sz w:val="32"/>
          <w:szCs w:val="32"/>
        </w:rPr>
        <w:t>（一）“三公”经费财政拨款支出决算总体情况说明</w:t>
      </w:r>
      <w:bookmarkEnd w:id="52"/>
    </w:p>
    <w:p>
      <w:pPr>
        <w:pStyle w:val="14"/>
        <w:spacing w:line="600" w:lineRule="exact"/>
        <w:ind w:firstLine="640"/>
        <w:rPr>
          <w:rFonts w:ascii="仿宋" w:hAnsi="仿宋" w:eastAsia="仿宋"/>
          <w:sz w:val="32"/>
          <w:szCs w:val="32"/>
        </w:rPr>
      </w:pPr>
      <w:r>
        <w:rPr>
          <w:rFonts w:ascii="仿宋" w:hAnsi="仿宋" w:eastAsia="仿宋"/>
          <w:sz w:val="32"/>
          <w:szCs w:val="32"/>
        </w:rPr>
        <w:t>2021年“三公”经费财政拨款支出决算为0.3万元，完成预算</w:t>
      </w:r>
      <w:r>
        <w:rPr>
          <w:rFonts w:hint="eastAsia" w:ascii="仿宋" w:hAnsi="仿宋" w:eastAsia="仿宋"/>
          <w:sz w:val="32"/>
          <w:szCs w:val="32"/>
        </w:rPr>
        <w:t>的</w:t>
      </w:r>
      <w:r>
        <w:rPr>
          <w:rFonts w:ascii="仿宋" w:hAnsi="仿宋" w:eastAsia="仿宋"/>
          <w:sz w:val="32"/>
          <w:szCs w:val="32"/>
        </w:rPr>
        <w:t>100%。</w:t>
      </w:r>
    </w:p>
    <w:p>
      <w:pPr>
        <w:pStyle w:val="14"/>
        <w:spacing w:line="600" w:lineRule="exact"/>
        <w:ind w:firstLine="643" w:firstLineChars="200"/>
        <w:outlineLvl w:val="2"/>
        <w:rPr>
          <w:rFonts w:ascii="仿宋" w:hAnsi="仿宋" w:eastAsia="仿宋"/>
          <w:b/>
          <w:sz w:val="32"/>
          <w:szCs w:val="32"/>
        </w:rPr>
      </w:pPr>
      <w:bookmarkStart w:id="53" w:name="_Toc15377217"/>
      <w:r>
        <w:rPr>
          <w:rFonts w:ascii="仿宋" w:hAnsi="仿宋" w:eastAsia="仿宋"/>
          <w:b/>
          <w:sz w:val="32"/>
          <w:szCs w:val="32"/>
        </w:rPr>
        <w:t>（二）“三公”经费财政拨款支出决算具体情况说明</w:t>
      </w:r>
      <w:bookmarkEnd w:id="53"/>
    </w:p>
    <w:p>
      <w:pPr>
        <w:pStyle w:val="14"/>
        <w:spacing w:line="600" w:lineRule="exact"/>
        <w:ind w:firstLine="640"/>
        <w:rPr>
          <w:rFonts w:ascii="仿宋" w:hAnsi="仿宋" w:eastAsia="仿宋"/>
          <w:sz w:val="32"/>
          <w:szCs w:val="32"/>
        </w:rPr>
      </w:pPr>
      <w:r>
        <w:rPr>
          <w:rFonts w:ascii="仿宋" w:hAnsi="仿宋" w:eastAsia="仿宋"/>
          <w:sz w:val="32"/>
          <w:szCs w:val="32"/>
        </w:rPr>
        <w:t>2021年“三公”经费财政拨款支出决算中，因公出国（境）费支出决算0万元；公务用车购置及运行维护费支出决算0万元；公务接待费支出决算0.3万元，占</w:t>
      </w:r>
      <w:r>
        <w:rPr>
          <w:rFonts w:hint="eastAsia" w:ascii="仿宋" w:hAnsi="仿宋" w:eastAsia="仿宋"/>
          <w:sz w:val="32"/>
          <w:szCs w:val="32"/>
        </w:rPr>
        <w:t>比</w:t>
      </w:r>
      <w:r>
        <w:rPr>
          <w:rFonts w:ascii="仿宋" w:hAnsi="仿宋" w:eastAsia="仿宋"/>
          <w:sz w:val="32"/>
          <w:szCs w:val="32"/>
        </w:rPr>
        <w:t>100%。具体情况如下：</w:t>
      </w:r>
    </w:p>
    <w:p>
      <w:pPr>
        <w:pStyle w:val="15"/>
        <w:spacing w:before="93"/>
        <w:rPr>
          <w:rFonts w:ascii="仿宋" w:hAnsi="仿宋" w:eastAsia="仿宋"/>
          <w:sz w:val="32"/>
          <w:szCs w:val="32"/>
        </w:rPr>
      </w:pPr>
      <w:r>
        <w:drawing>
          <wp:inline distT="0" distB="0" distL="0" distR="0">
            <wp:extent cx="5345430" cy="2811145"/>
            <wp:effectExtent l="0" t="0" r="0" b="0"/>
            <wp:docPr id="180" name="_x0000_i12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4"/>
        <w:spacing w:line="600" w:lineRule="exact"/>
        <w:ind w:firstLine="640"/>
        <w:rPr>
          <w:rFonts w:ascii="仿宋" w:hAnsi="仿宋" w:eastAsia="仿宋"/>
          <w:sz w:val="32"/>
          <w:szCs w:val="32"/>
        </w:rPr>
      </w:pPr>
      <w:r>
        <w:rPr>
          <w:rFonts w:ascii="仿宋" w:hAnsi="仿宋" w:eastAsia="仿宋"/>
          <w:sz w:val="32"/>
          <w:szCs w:val="32"/>
        </w:rPr>
        <w:t>（图7：“三公”经费财政拨款支出结构）</w:t>
      </w:r>
    </w:p>
    <w:p>
      <w:pPr>
        <w:pStyle w:val="14"/>
        <w:spacing w:line="540" w:lineRule="exact"/>
        <w:ind w:firstLine="640"/>
        <w:rPr>
          <w:rFonts w:ascii="仿宋_GB2312" w:hAnsi="仿宋_GB2312" w:eastAsia="仿宋_GB2312"/>
          <w:b/>
          <w:sz w:val="32"/>
          <w:szCs w:val="32"/>
        </w:rPr>
      </w:pPr>
      <w:r>
        <w:rPr>
          <w:rFonts w:ascii="仿宋_GB2312" w:hAnsi="仿宋_GB2312" w:eastAsia="仿宋_GB2312"/>
          <w:b/>
          <w:sz w:val="32"/>
          <w:szCs w:val="32"/>
        </w:rPr>
        <w:t>1.因公出国（境）经费支出</w:t>
      </w:r>
      <w:r>
        <w:rPr>
          <w:rFonts w:ascii="仿宋_GB2312" w:hAnsi="仿宋_GB2312" w:eastAsia="仿宋_GB2312"/>
          <w:sz w:val="32"/>
          <w:szCs w:val="32"/>
        </w:rPr>
        <w:t>0万元。</w:t>
      </w:r>
    </w:p>
    <w:p>
      <w:pPr>
        <w:pStyle w:val="14"/>
        <w:spacing w:line="540" w:lineRule="exact"/>
        <w:ind w:firstLine="640"/>
        <w:rPr>
          <w:rFonts w:ascii="仿宋_GB2312" w:hAnsi="仿宋_GB2312" w:eastAsia="仿宋_GB2312"/>
          <w:b/>
          <w:sz w:val="32"/>
          <w:szCs w:val="32"/>
        </w:rPr>
      </w:pPr>
      <w:r>
        <w:rPr>
          <w:rFonts w:ascii="仿宋_GB2312" w:hAnsi="仿宋_GB2312" w:eastAsia="仿宋_GB2312"/>
          <w:b/>
          <w:sz w:val="32"/>
          <w:szCs w:val="32"/>
        </w:rPr>
        <w:t>2.公务用车购置及运行维护费支出</w:t>
      </w:r>
      <w:r>
        <w:rPr>
          <w:rFonts w:ascii="仿宋_GB2312" w:hAnsi="仿宋_GB2312" w:eastAsia="仿宋_GB2312"/>
          <w:sz w:val="32"/>
          <w:szCs w:val="32"/>
        </w:rPr>
        <w:t>0万元。</w:t>
      </w:r>
    </w:p>
    <w:p>
      <w:pPr>
        <w:pStyle w:val="14"/>
        <w:spacing w:line="540" w:lineRule="exact"/>
        <w:ind w:firstLine="640" w:firstLineChars="200"/>
        <w:rPr>
          <w:rFonts w:ascii="仿宋_GB2312" w:hAnsi="仿宋_GB2312" w:eastAsia="仿宋_GB2312"/>
          <w:b/>
          <w:sz w:val="32"/>
          <w:szCs w:val="32"/>
        </w:rPr>
      </w:pPr>
      <w:r>
        <w:rPr>
          <w:rFonts w:ascii="仿宋_GB2312" w:hAnsi="仿宋_GB2312" w:eastAsia="仿宋_GB2312"/>
          <w:sz w:val="32"/>
          <w:szCs w:val="32"/>
        </w:rPr>
        <w:t>其中：</w:t>
      </w:r>
      <w:r>
        <w:rPr>
          <w:rFonts w:ascii="仿宋_GB2312" w:hAnsi="仿宋_GB2312" w:eastAsia="仿宋_GB2312"/>
          <w:b/>
          <w:sz w:val="32"/>
          <w:szCs w:val="32"/>
        </w:rPr>
        <w:t>公务用车购置支出</w:t>
      </w:r>
      <w:r>
        <w:rPr>
          <w:rFonts w:ascii="仿宋_GB2312" w:hAnsi="仿宋_GB2312" w:eastAsia="仿宋_GB2312"/>
          <w:sz w:val="32"/>
          <w:szCs w:val="32"/>
        </w:rPr>
        <w:t>0万元。</w:t>
      </w:r>
    </w:p>
    <w:p>
      <w:pPr>
        <w:pStyle w:val="14"/>
        <w:spacing w:line="540" w:lineRule="exact"/>
        <w:ind w:firstLine="640"/>
        <w:rPr>
          <w:rFonts w:ascii="仿宋_GB2312" w:hAnsi="仿宋_GB2312" w:eastAsia="仿宋_GB2312"/>
          <w:sz w:val="32"/>
          <w:szCs w:val="32"/>
        </w:rPr>
      </w:pPr>
      <w:r>
        <w:rPr>
          <w:rFonts w:ascii="仿宋_GB2312" w:hAnsi="仿宋_GB2312" w:eastAsia="仿宋_GB2312"/>
          <w:b/>
          <w:sz w:val="32"/>
          <w:szCs w:val="32"/>
        </w:rPr>
        <w:t>公务用车运行维护费支出</w:t>
      </w:r>
      <w:r>
        <w:rPr>
          <w:rFonts w:ascii="仿宋_GB2312" w:hAnsi="仿宋_GB2312" w:eastAsia="仿宋_GB2312"/>
          <w:sz w:val="32"/>
          <w:szCs w:val="32"/>
        </w:rPr>
        <w:t>0万元。</w:t>
      </w:r>
    </w:p>
    <w:p>
      <w:pPr>
        <w:pStyle w:val="14"/>
        <w:numPr>
          <w:ilvl w:val="0"/>
          <w:numId w:val="1"/>
        </w:numPr>
        <w:spacing w:line="540" w:lineRule="exact"/>
        <w:ind w:firstLine="640"/>
        <w:rPr>
          <w:rFonts w:ascii="仿宋_GB2312" w:hAnsi="仿宋_GB2312" w:eastAsia="仿宋_GB2312"/>
          <w:sz w:val="32"/>
          <w:szCs w:val="32"/>
        </w:rPr>
      </w:pPr>
      <w:r>
        <w:rPr>
          <w:rFonts w:ascii="仿宋_GB2312" w:hAnsi="仿宋_GB2312" w:eastAsia="仿宋_GB2312"/>
          <w:b/>
          <w:sz w:val="32"/>
          <w:szCs w:val="32"/>
        </w:rPr>
        <w:t>公务接待费支出0.3</w:t>
      </w:r>
      <w:r>
        <w:rPr>
          <w:rFonts w:ascii="仿宋_GB2312" w:hAnsi="仿宋_GB2312" w:eastAsia="仿宋_GB2312"/>
          <w:sz w:val="32"/>
          <w:szCs w:val="32"/>
        </w:rPr>
        <w:t>万元，</w:t>
      </w:r>
      <w:r>
        <w:rPr>
          <w:rStyle w:val="11"/>
          <w:rFonts w:ascii="仿宋" w:hAnsi="仿宋" w:eastAsia="仿宋"/>
          <w:b w:val="0"/>
          <w:bCs/>
          <w:sz w:val="32"/>
          <w:szCs w:val="32"/>
        </w:rPr>
        <w:t>完成预算</w:t>
      </w:r>
      <w:r>
        <w:rPr>
          <w:rStyle w:val="11"/>
          <w:rFonts w:hint="eastAsia" w:ascii="仿宋" w:hAnsi="仿宋" w:eastAsia="仿宋"/>
          <w:b w:val="0"/>
          <w:bCs/>
          <w:sz w:val="32"/>
          <w:szCs w:val="32"/>
        </w:rPr>
        <w:t>的</w:t>
      </w:r>
      <w:r>
        <w:rPr>
          <w:rFonts w:ascii="仿宋" w:hAnsi="仿宋" w:eastAsia="仿宋"/>
          <w:bCs/>
          <w:sz w:val="32"/>
          <w:szCs w:val="32"/>
        </w:rPr>
        <w:t>100%。</w:t>
      </w:r>
      <w:r>
        <w:rPr>
          <w:rFonts w:ascii="仿宋_GB2312" w:hAnsi="仿宋_GB2312" w:eastAsia="仿宋_GB2312"/>
          <w:sz w:val="32"/>
          <w:szCs w:val="32"/>
        </w:rPr>
        <w:t>公务接待费支出决算比2020年持平。其中：</w:t>
      </w:r>
    </w:p>
    <w:p>
      <w:pPr>
        <w:pStyle w:val="14"/>
        <w:spacing w:line="540" w:lineRule="exact"/>
        <w:ind w:firstLine="640"/>
        <w:rPr>
          <w:rFonts w:ascii="仿宋_GB2312" w:hAnsi="仿宋_GB2312" w:eastAsia="仿宋_GB2312"/>
          <w:sz w:val="32"/>
          <w:szCs w:val="32"/>
        </w:rPr>
      </w:pPr>
      <w:r>
        <w:rPr>
          <w:rFonts w:ascii="仿宋" w:hAnsi="仿宋" w:eastAsia="仿宋"/>
          <w:b/>
          <w:sz w:val="32"/>
          <w:szCs w:val="32"/>
        </w:rPr>
        <w:t>国内公务接待支出0.3</w:t>
      </w:r>
      <w:r>
        <w:rPr>
          <w:rFonts w:ascii="仿宋_GB2312" w:hAnsi="仿宋_GB2312" w:eastAsia="仿宋_GB2312"/>
          <w:sz w:val="32"/>
          <w:szCs w:val="32"/>
        </w:rPr>
        <w:t>万元，主要用于用餐费等。国内公务接待6批次，30人次（不包括陪同人员），共计支出0.3万元。</w:t>
      </w:r>
    </w:p>
    <w:p>
      <w:pPr>
        <w:pStyle w:val="14"/>
        <w:spacing w:line="600" w:lineRule="exact"/>
        <w:ind w:firstLine="643" w:firstLineChars="200"/>
        <w:rPr>
          <w:rFonts w:ascii="黑体" w:hAnsi="黑体" w:eastAsia="黑体"/>
          <w:sz w:val="32"/>
          <w:szCs w:val="32"/>
        </w:rPr>
      </w:pPr>
      <w:r>
        <w:rPr>
          <w:rFonts w:ascii="仿宋" w:hAnsi="仿宋" w:eastAsia="仿宋"/>
          <w:b/>
          <w:sz w:val="32"/>
          <w:szCs w:val="32"/>
        </w:rPr>
        <w:t>外事接待支出</w:t>
      </w:r>
      <w:r>
        <w:rPr>
          <w:rFonts w:ascii="仿宋" w:hAnsi="仿宋" w:eastAsia="仿宋"/>
          <w:sz w:val="32"/>
          <w:szCs w:val="32"/>
        </w:rPr>
        <w:t>0</w:t>
      </w:r>
      <w:r>
        <w:rPr>
          <w:rFonts w:ascii="仿宋_GB2312" w:hAnsi="仿宋_GB2312" w:eastAsia="仿宋_GB2312"/>
          <w:sz w:val="32"/>
          <w:szCs w:val="32"/>
        </w:rPr>
        <w:t>万元。</w:t>
      </w:r>
      <w:bookmarkStart w:id="54" w:name="_Toc15396610"/>
      <w:bookmarkStart w:id="55" w:name="_Toc15377218"/>
    </w:p>
    <w:p>
      <w:pPr>
        <w:pStyle w:val="14"/>
        <w:spacing w:line="600" w:lineRule="exact"/>
        <w:ind w:firstLine="640" w:firstLineChars="200"/>
        <w:outlineLvl w:val="1"/>
        <w:rPr>
          <w:rStyle w:val="16"/>
          <w:rFonts w:ascii="黑体" w:hAnsi="黑体" w:eastAsia="黑体"/>
        </w:rPr>
      </w:pPr>
      <w:bookmarkStart w:id="56" w:name="_Toc10550"/>
      <w:r>
        <w:rPr>
          <w:rFonts w:ascii="黑体" w:hAnsi="黑体" w:eastAsia="黑体"/>
          <w:sz w:val="32"/>
          <w:szCs w:val="32"/>
        </w:rPr>
        <w:t>八、</w:t>
      </w:r>
      <w:r>
        <w:rPr>
          <w:rStyle w:val="16"/>
          <w:rFonts w:ascii="黑体" w:hAnsi="黑体" w:eastAsia="黑体"/>
          <w:b w:val="0"/>
        </w:rPr>
        <w:t>政府性基金预算</w:t>
      </w:r>
      <w:r>
        <w:rPr>
          <w:rFonts w:ascii="黑体" w:hAnsi="黑体" w:eastAsia="黑体"/>
          <w:sz w:val="32"/>
          <w:szCs w:val="32"/>
        </w:rPr>
        <w:t>支出决算情况说明</w:t>
      </w:r>
      <w:bookmarkEnd w:id="54"/>
      <w:bookmarkEnd w:id="55"/>
      <w:bookmarkEnd w:id="56"/>
    </w:p>
    <w:p>
      <w:pPr>
        <w:pStyle w:val="14"/>
        <w:spacing w:line="600" w:lineRule="exact"/>
        <w:ind w:firstLine="640"/>
        <w:rPr>
          <w:rFonts w:ascii="仿宋_GB2312" w:hAnsi="仿宋_GB2312" w:eastAsia="仿宋_GB2312"/>
          <w:sz w:val="32"/>
          <w:szCs w:val="32"/>
        </w:rPr>
      </w:pPr>
      <w:r>
        <w:rPr>
          <w:rFonts w:ascii="仿宋_GB2312" w:hAnsi="仿宋_GB2312" w:eastAsia="仿宋_GB2312"/>
          <w:sz w:val="32"/>
          <w:szCs w:val="32"/>
        </w:rPr>
        <w:t>2021年政府性基金预算财政拨款支出0万元。</w:t>
      </w:r>
    </w:p>
    <w:p>
      <w:pPr>
        <w:pStyle w:val="14"/>
        <w:spacing w:line="600" w:lineRule="exact"/>
        <w:ind w:firstLine="640" w:firstLineChars="200"/>
        <w:outlineLvl w:val="1"/>
        <w:rPr>
          <w:rFonts w:ascii="黑体" w:hAnsi="黑体" w:eastAsia="黑体"/>
          <w:sz w:val="32"/>
          <w:szCs w:val="32"/>
        </w:rPr>
      </w:pPr>
      <w:bookmarkStart w:id="57" w:name="_Toc10345"/>
      <w:r>
        <w:rPr>
          <w:rFonts w:ascii="黑体" w:hAnsi="黑体" w:eastAsia="黑体"/>
          <w:sz w:val="32"/>
          <w:szCs w:val="32"/>
        </w:rPr>
        <w:t>九、</w:t>
      </w:r>
      <w:bookmarkStart w:id="58" w:name="_Toc15377219"/>
      <w:bookmarkStart w:id="59" w:name="_Toc15396611"/>
      <w:r>
        <w:rPr>
          <w:rFonts w:ascii="黑体" w:hAnsi="黑体" w:eastAsia="黑体"/>
          <w:sz w:val="32"/>
          <w:szCs w:val="32"/>
        </w:rPr>
        <w:t>国有资本经营预算支出决算情况说明</w:t>
      </w:r>
      <w:bookmarkEnd w:id="57"/>
      <w:bookmarkEnd w:id="58"/>
      <w:bookmarkEnd w:id="59"/>
    </w:p>
    <w:p>
      <w:pPr>
        <w:pStyle w:val="14"/>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2021年国有资本经营预算财政拨款支出0万元。</w:t>
      </w:r>
    </w:p>
    <w:p>
      <w:pPr>
        <w:pStyle w:val="14"/>
        <w:spacing w:line="600" w:lineRule="exact"/>
        <w:ind w:firstLine="640" w:firstLineChars="200"/>
        <w:outlineLvl w:val="1"/>
        <w:rPr>
          <w:rFonts w:ascii="黑体" w:hAnsi="黑体" w:eastAsia="黑体"/>
          <w:sz w:val="32"/>
          <w:szCs w:val="32"/>
        </w:rPr>
      </w:pPr>
      <w:bookmarkStart w:id="60" w:name="_Toc15396612"/>
      <w:bookmarkStart w:id="61" w:name="_Toc15377221"/>
      <w:bookmarkStart w:id="62" w:name="_Toc8218"/>
      <w:r>
        <w:rPr>
          <w:rFonts w:hint="eastAsia" w:ascii="黑体" w:hAnsi="黑体" w:eastAsia="黑体"/>
          <w:sz w:val="32"/>
          <w:szCs w:val="32"/>
        </w:rPr>
        <w:t>十、</w:t>
      </w:r>
      <w:r>
        <w:rPr>
          <w:rFonts w:ascii="黑体" w:hAnsi="黑体" w:eastAsia="黑体"/>
          <w:sz w:val="32"/>
          <w:szCs w:val="32"/>
        </w:rPr>
        <w:t>其他重要事项的情况说明</w:t>
      </w:r>
      <w:bookmarkEnd w:id="60"/>
      <w:bookmarkEnd w:id="61"/>
      <w:bookmarkEnd w:id="62"/>
    </w:p>
    <w:p>
      <w:pPr>
        <w:pStyle w:val="14"/>
        <w:spacing w:line="600" w:lineRule="exact"/>
        <w:ind w:firstLine="643" w:firstLineChars="200"/>
        <w:outlineLvl w:val="2"/>
        <w:rPr>
          <w:rFonts w:ascii="仿宋" w:hAnsi="仿宋" w:eastAsia="仿宋"/>
          <w:sz w:val="32"/>
          <w:szCs w:val="32"/>
        </w:rPr>
      </w:pPr>
      <w:bookmarkStart w:id="63" w:name="_Toc15377222"/>
      <w:r>
        <w:rPr>
          <w:rFonts w:ascii="仿宋" w:hAnsi="仿宋" w:eastAsia="仿宋"/>
          <w:b/>
          <w:sz w:val="32"/>
          <w:szCs w:val="32"/>
        </w:rPr>
        <w:t>（一）机关运行经费支出情况</w:t>
      </w:r>
      <w:bookmarkEnd w:id="63"/>
    </w:p>
    <w:p>
      <w:pPr>
        <w:pStyle w:val="14"/>
        <w:spacing w:line="600" w:lineRule="exact"/>
        <w:ind w:firstLine="640" w:firstLineChars="200"/>
        <w:rPr>
          <w:rFonts w:ascii="仿宋" w:hAnsi="仿宋" w:eastAsia="仿宋_GB2312"/>
          <w:b/>
          <w:sz w:val="32"/>
          <w:szCs w:val="32"/>
        </w:rPr>
      </w:pPr>
      <w:r>
        <w:rPr>
          <w:rFonts w:ascii="仿宋_GB2312" w:hAnsi="仿宋_GB2312" w:eastAsia="仿宋_GB2312"/>
          <w:sz w:val="32"/>
          <w:szCs w:val="32"/>
        </w:rPr>
        <w:t>2021年唱歌镇石林小学机关运行经费支出0万元。</w:t>
      </w:r>
    </w:p>
    <w:p>
      <w:pPr>
        <w:pStyle w:val="14"/>
        <w:autoSpaceDE w:val="0"/>
        <w:autoSpaceDN w:val="0"/>
        <w:spacing w:line="600" w:lineRule="exact"/>
        <w:ind w:firstLine="643" w:firstLineChars="200"/>
        <w:jc w:val="left"/>
        <w:outlineLvl w:val="2"/>
        <w:rPr>
          <w:rFonts w:ascii="仿宋" w:hAnsi="仿宋" w:eastAsia="仿宋"/>
          <w:b/>
          <w:sz w:val="32"/>
          <w:szCs w:val="32"/>
        </w:rPr>
      </w:pPr>
      <w:bookmarkStart w:id="64" w:name="_Toc15377223"/>
      <w:r>
        <w:rPr>
          <w:rFonts w:ascii="仿宋" w:hAnsi="仿宋" w:eastAsia="仿宋"/>
          <w:b/>
          <w:sz w:val="32"/>
          <w:szCs w:val="32"/>
        </w:rPr>
        <w:t>（二）政府采购支出情况</w:t>
      </w:r>
      <w:bookmarkEnd w:id="64"/>
    </w:p>
    <w:p>
      <w:pPr>
        <w:pStyle w:val="14"/>
        <w:spacing w:line="600" w:lineRule="exact"/>
        <w:ind w:firstLine="640" w:firstLineChars="200"/>
        <w:rPr>
          <w:rFonts w:ascii="仿宋" w:hAnsi="仿宋" w:eastAsia="仿宋"/>
          <w:b/>
          <w:sz w:val="32"/>
          <w:szCs w:val="32"/>
        </w:rPr>
      </w:pPr>
      <w:r>
        <w:rPr>
          <w:rFonts w:ascii="仿宋_GB2312" w:hAnsi="仿宋_GB2312" w:eastAsia="仿宋_GB2312"/>
          <w:sz w:val="32"/>
          <w:szCs w:val="32"/>
        </w:rPr>
        <w:t>2021年，通江县唱歌镇石林小学政府采购支出总额0万元。</w:t>
      </w:r>
    </w:p>
    <w:p>
      <w:pPr>
        <w:pStyle w:val="14"/>
        <w:autoSpaceDE w:val="0"/>
        <w:autoSpaceDN w:val="0"/>
        <w:spacing w:line="600" w:lineRule="exact"/>
        <w:ind w:firstLine="643" w:firstLineChars="200"/>
        <w:jc w:val="left"/>
        <w:outlineLvl w:val="2"/>
        <w:rPr>
          <w:rFonts w:ascii="仿宋" w:hAnsi="仿宋" w:eastAsia="仿宋"/>
          <w:b/>
          <w:sz w:val="32"/>
          <w:szCs w:val="32"/>
        </w:rPr>
      </w:pPr>
      <w:bookmarkStart w:id="65" w:name="_Toc15377224"/>
      <w:r>
        <w:rPr>
          <w:rFonts w:ascii="仿宋" w:hAnsi="仿宋" w:eastAsia="仿宋"/>
          <w:b/>
          <w:sz w:val="32"/>
          <w:szCs w:val="32"/>
        </w:rPr>
        <w:t>（三）国有资产占有使用情况</w:t>
      </w:r>
      <w:bookmarkEnd w:id="65"/>
    </w:p>
    <w:p>
      <w:pPr>
        <w:pStyle w:val="14"/>
        <w:autoSpaceDE w:val="0"/>
        <w:autoSpaceDN w:val="0"/>
        <w:spacing w:line="600" w:lineRule="exact"/>
        <w:ind w:firstLine="640" w:firstLineChars="200"/>
        <w:jc w:val="left"/>
        <w:rPr>
          <w:rFonts w:ascii="仿宋" w:hAnsi="仿宋" w:eastAsia="仿宋"/>
          <w:b/>
          <w:sz w:val="32"/>
          <w:szCs w:val="32"/>
        </w:rPr>
      </w:pPr>
      <w:r>
        <w:rPr>
          <w:rFonts w:ascii="仿宋_GB2312" w:hAnsi="仿宋_GB2312" w:eastAsia="仿宋_GB2312"/>
          <w:sz w:val="32"/>
          <w:szCs w:val="32"/>
        </w:rPr>
        <w:t>截至2021年12月31日，通江县唱歌镇石林小学共有车辆0辆。单价50万元以上通用设备0台（套），单价100万元以上专用设备0台（套）。</w:t>
      </w:r>
    </w:p>
    <w:p>
      <w:pPr>
        <w:pStyle w:val="14"/>
        <w:autoSpaceDE w:val="0"/>
        <w:autoSpaceDN w:val="0"/>
        <w:spacing w:line="600" w:lineRule="exact"/>
        <w:ind w:firstLine="643" w:firstLineChars="200"/>
        <w:jc w:val="left"/>
        <w:outlineLvl w:val="2"/>
        <w:rPr>
          <w:rFonts w:ascii="仿宋" w:hAnsi="仿宋" w:eastAsia="仿宋"/>
          <w:b/>
          <w:sz w:val="32"/>
          <w:szCs w:val="32"/>
        </w:rPr>
      </w:pPr>
      <w:r>
        <w:rPr>
          <w:rFonts w:ascii="仿宋" w:hAnsi="仿宋" w:eastAsia="仿宋"/>
          <w:b/>
          <w:sz w:val="32"/>
          <w:szCs w:val="32"/>
        </w:rPr>
        <w:t>（四）预算绩效管理情况</w:t>
      </w:r>
    </w:p>
    <w:p>
      <w:pPr>
        <w:pStyle w:val="14"/>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根据预算绩效管理要求，本单位在2021年度预算编制阶段，对项目开展了绩效自评，2021年特定目标类部门预算项目绩效目标自评表见附件（第四部分）。</w:t>
      </w:r>
    </w:p>
    <w:p>
      <w:pPr>
        <w:pStyle w:val="14"/>
        <w:spacing w:line="580" w:lineRule="exact"/>
        <w:ind w:firstLine="640" w:firstLineChars="200"/>
        <w:rPr>
          <w:rFonts w:ascii="仿宋_GB2312" w:hAnsi="仿宋_GB2312" w:eastAsia="仿宋_GB2312" w:cs="仿宋_GB2312"/>
          <w:sz w:val="32"/>
          <w:szCs w:val="32"/>
        </w:rPr>
      </w:pPr>
    </w:p>
    <w:p>
      <w:pPr>
        <w:pStyle w:val="14"/>
        <w:spacing w:line="580" w:lineRule="exact"/>
        <w:ind w:firstLine="640" w:firstLineChars="200"/>
        <w:rPr>
          <w:rFonts w:ascii="仿宋_GB2312" w:hAnsi="仿宋_GB2312" w:eastAsia="仿宋_GB2312" w:cs="仿宋_GB2312"/>
          <w:sz w:val="32"/>
          <w:szCs w:val="32"/>
        </w:rPr>
      </w:pPr>
    </w:p>
    <w:p>
      <w:pPr>
        <w:pStyle w:val="14"/>
        <w:spacing w:line="580" w:lineRule="exact"/>
        <w:ind w:firstLine="640" w:firstLineChars="200"/>
        <w:rPr>
          <w:rFonts w:ascii="仿宋_GB2312" w:hAnsi="仿宋_GB2312" w:eastAsia="仿宋_GB2312" w:cs="仿宋_GB2312"/>
          <w:sz w:val="32"/>
          <w:szCs w:val="32"/>
        </w:rPr>
      </w:pPr>
    </w:p>
    <w:p>
      <w:pPr>
        <w:pStyle w:val="14"/>
        <w:spacing w:line="580" w:lineRule="exact"/>
        <w:ind w:firstLine="640" w:firstLineChars="200"/>
        <w:rPr>
          <w:rFonts w:ascii="仿宋_GB2312" w:hAnsi="仿宋_GB2312" w:eastAsia="仿宋_GB2312" w:cs="仿宋_GB2312"/>
          <w:sz w:val="32"/>
          <w:szCs w:val="32"/>
        </w:rPr>
      </w:pPr>
    </w:p>
    <w:p>
      <w:pPr>
        <w:pStyle w:val="14"/>
        <w:numPr>
          <w:ilvl w:val="0"/>
          <w:numId w:val="2"/>
        </w:numPr>
        <w:spacing w:line="600" w:lineRule="exact"/>
        <w:ind w:firstLine="660" w:firstLineChars="150"/>
        <w:jc w:val="center"/>
        <w:outlineLvl w:val="0"/>
        <w:rPr>
          <w:rStyle w:val="12"/>
          <w:rFonts w:ascii="黑体" w:hAnsi="黑体" w:eastAsia="黑体"/>
          <w:b w:val="0"/>
        </w:rPr>
      </w:pPr>
      <w:bookmarkStart w:id="66" w:name="_Toc15377225"/>
      <w:bookmarkStart w:id="67" w:name="_Toc27034"/>
      <w:bookmarkStart w:id="68" w:name="_Toc15396613"/>
      <w:r>
        <w:rPr>
          <w:rFonts w:ascii="黑体" w:hAnsi="黑体" w:eastAsia="黑体"/>
          <w:sz w:val="44"/>
          <w:szCs w:val="44"/>
        </w:rPr>
        <w:t>名</w:t>
      </w:r>
      <w:r>
        <w:rPr>
          <w:rStyle w:val="12"/>
          <w:rFonts w:ascii="黑体" w:hAnsi="黑体" w:eastAsia="黑体"/>
          <w:b w:val="0"/>
        </w:rPr>
        <w:t>词解释</w:t>
      </w:r>
      <w:bookmarkEnd w:id="66"/>
      <w:bookmarkEnd w:id="67"/>
      <w:bookmarkEnd w:id="68"/>
    </w:p>
    <w:p>
      <w:pPr>
        <w:pStyle w:val="22"/>
        <w:spacing w:line="560" w:lineRule="exact"/>
        <w:ind w:firstLine="640" w:firstLineChars="200"/>
        <w:rPr>
          <w:rFonts w:ascii="仿宋_GB2312" w:eastAsia="仿宋_GB2312"/>
          <w:sz w:val="32"/>
          <w:szCs w:val="32"/>
        </w:rPr>
      </w:pPr>
      <w:bookmarkStart w:id="69" w:name="_Toc15396614"/>
      <w:bookmarkStart w:id="70" w:name="_Toc15377226"/>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 w:hAnsi="仿宋" w:eastAsia="仿宋"/>
          <w:b/>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color w:val="000000"/>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spacing w:line="600" w:lineRule="exact"/>
        <w:jc w:val="center"/>
        <w:rPr>
          <w:rFonts w:ascii="黑体" w:hAnsi="黑体" w:eastAsia="黑体"/>
          <w:sz w:val="44"/>
          <w:szCs w:val="44"/>
        </w:rPr>
      </w:pPr>
    </w:p>
    <w:p>
      <w:pPr>
        <w:pStyle w:val="14"/>
        <w:numPr>
          <w:ilvl w:val="0"/>
          <w:numId w:val="3"/>
        </w:numPr>
        <w:spacing w:line="600" w:lineRule="exact"/>
        <w:jc w:val="center"/>
        <w:outlineLvl w:val="0"/>
        <w:rPr>
          <w:rStyle w:val="12"/>
          <w:rFonts w:ascii="黑体" w:hAnsi="黑体" w:eastAsia="黑体"/>
          <w:b w:val="0"/>
        </w:rPr>
      </w:pPr>
      <w:bookmarkStart w:id="71" w:name="_Toc2575"/>
      <w:r>
        <w:rPr>
          <w:rStyle w:val="12"/>
          <w:rFonts w:ascii="黑体" w:hAnsi="黑体" w:eastAsia="黑体"/>
          <w:b w:val="0"/>
        </w:rPr>
        <w:t>附件</w:t>
      </w:r>
      <w:bookmarkEnd w:id="69"/>
      <w:bookmarkEnd w:id="71"/>
    </w:p>
    <w:p>
      <w:pPr>
        <w:pStyle w:val="15"/>
      </w:pPr>
    </w:p>
    <w:p>
      <w:pPr>
        <w:pStyle w:val="14"/>
        <w:jc w:val="center"/>
        <w:outlineLvl w:val="1"/>
        <w:rPr>
          <w:rFonts w:ascii="华文中宋" w:hAnsi="华文中宋" w:eastAsia="华文中宋"/>
          <w:b/>
          <w:sz w:val="40"/>
          <w:szCs w:val="40"/>
        </w:rPr>
      </w:pPr>
      <w:bookmarkStart w:id="72" w:name="_Toc17860"/>
      <w:r>
        <w:rPr>
          <w:rFonts w:ascii="华文中宋" w:hAnsi="华文中宋" w:eastAsia="华文中宋"/>
          <w:b/>
          <w:sz w:val="40"/>
          <w:szCs w:val="40"/>
        </w:rPr>
        <w:t>通江县唱歌镇石林小学</w:t>
      </w:r>
      <w:bookmarkEnd w:id="72"/>
    </w:p>
    <w:p>
      <w:pPr>
        <w:pStyle w:val="24"/>
        <w:spacing w:line="240" w:lineRule="auto"/>
        <w:jc w:val="center"/>
        <w:outlineLvl w:val="1"/>
        <w:rPr>
          <w:rFonts w:ascii="华文中宋" w:hAnsi="华文中宋" w:eastAsia="华文中宋"/>
          <w:b/>
          <w:sz w:val="40"/>
          <w:szCs w:val="40"/>
        </w:rPr>
      </w:pPr>
      <w:bookmarkStart w:id="73" w:name="_Toc16283"/>
      <w:r>
        <w:rPr>
          <w:rFonts w:ascii="华文中宋" w:hAnsi="华文中宋" w:eastAsia="华文中宋"/>
          <w:b/>
          <w:sz w:val="40"/>
          <w:szCs w:val="40"/>
        </w:rPr>
        <w:t>关于2021年度财政资金整体</w:t>
      </w:r>
      <w:r>
        <w:rPr>
          <w:rFonts w:hint="eastAsia" w:ascii="华文中宋" w:hAnsi="华文中宋" w:eastAsia="华文中宋"/>
          <w:b/>
          <w:sz w:val="40"/>
          <w:szCs w:val="40"/>
          <w:u w:val="none" w:color="46CD7E"/>
          <w:shd w:val="clear" w:fill="auto"/>
          <w:lang w:eastAsia="zh-CN"/>
        </w:rPr>
        <w:t>支出进行</w:t>
      </w:r>
      <w:r>
        <w:rPr>
          <w:rFonts w:ascii="华文中宋" w:hAnsi="华文中宋" w:eastAsia="华文中宋"/>
          <w:b/>
          <w:sz w:val="40"/>
          <w:szCs w:val="40"/>
        </w:rPr>
        <w:t>绩效</w:t>
      </w:r>
    </w:p>
    <w:p>
      <w:pPr>
        <w:pStyle w:val="24"/>
        <w:spacing w:line="240" w:lineRule="auto"/>
        <w:jc w:val="center"/>
        <w:outlineLvl w:val="1"/>
        <w:rPr>
          <w:rFonts w:ascii="华文中宋" w:hAnsi="华文中宋" w:eastAsia="华文中宋"/>
          <w:b/>
          <w:sz w:val="40"/>
          <w:szCs w:val="40"/>
        </w:rPr>
      </w:pPr>
      <w:r>
        <w:rPr>
          <w:rFonts w:ascii="华文中宋" w:hAnsi="华文中宋" w:eastAsia="华文中宋"/>
          <w:b/>
          <w:sz w:val="40"/>
          <w:szCs w:val="40"/>
        </w:rPr>
        <w:t>自评</w:t>
      </w:r>
      <w:bookmarkEnd w:id="73"/>
      <w:bookmarkStart w:id="74" w:name="_Toc32421"/>
      <w:r>
        <w:rPr>
          <w:rFonts w:ascii="华文中宋" w:hAnsi="华文中宋" w:eastAsia="华文中宋"/>
          <w:b/>
          <w:sz w:val="40"/>
          <w:szCs w:val="40"/>
        </w:rPr>
        <w:t>报告</w:t>
      </w:r>
      <w:bookmarkEnd w:id="74"/>
    </w:p>
    <w:p>
      <w:pPr>
        <w:pStyle w:val="24"/>
        <w:spacing w:line="240" w:lineRule="auto"/>
        <w:rPr>
          <w:rFonts w:ascii="宋体" w:hAnsi="宋体"/>
          <w:b/>
          <w:bCs/>
          <w:sz w:val="32"/>
          <w:szCs w:val="32"/>
        </w:rPr>
      </w:pPr>
    </w:p>
    <w:p>
      <w:pPr>
        <w:pStyle w:val="24"/>
        <w:spacing w:line="240" w:lineRule="auto"/>
        <w:rPr>
          <w:rFonts w:ascii="仿宋_GB2312" w:hAnsi="仿宋_GB2312" w:eastAsia="仿宋_GB2312" w:cs="Times New Roman"/>
          <w:color w:val="auto"/>
          <w:kern w:val="2"/>
          <w:sz w:val="30"/>
          <w:szCs w:val="30"/>
        </w:rPr>
      </w:pPr>
      <w:r>
        <w:rPr>
          <w:rFonts w:ascii="仿宋_GB2312" w:hAnsi="Times New Roman" w:eastAsia="仿宋_GB2312" w:cs="Times New Roman"/>
          <w:sz w:val="32"/>
          <w:szCs w:val="32"/>
        </w:rPr>
        <w:t>为加强学校管理，充分发挥教育服务作用，调动我校人员的积极性。根据四川省教育系统绩效考核标准及通江县财政局关于全面实施预算绩效管理的通知《通财绩【2022】13号》文件精神，我校进行了自查自评，现将绩效自查情况报告如下</w:t>
      </w:r>
      <w:r>
        <w:rPr>
          <w:rFonts w:ascii="仿宋_GB2312" w:hAnsi="仿宋_GB2312" w:eastAsia="仿宋_GB2312" w:cs="Times New Roman"/>
          <w:color w:val="auto"/>
          <w:kern w:val="2"/>
          <w:sz w:val="30"/>
          <w:szCs w:val="30"/>
        </w:rPr>
        <w:t>：</w:t>
      </w:r>
    </w:p>
    <w:p>
      <w:pPr>
        <w:pStyle w:val="14"/>
        <w:tabs>
          <w:tab w:val="left" w:pos="6804"/>
          <w:tab w:val="left" w:pos="7088"/>
          <w:tab w:val="left" w:pos="7513"/>
          <w:tab w:val="left" w:pos="8080"/>
        </w:tabs>
        <w:spacing w:line="520" w:lineRule="exact"/>
        <w:ind w:firstLine="723" w:firstLineChars="200"/>
        <w:jc w:val="left"/>
        <w:outlineLvl w:val="1"/>
        <w:rPr>
          <w:rFonts w:ascii="仿宋_GB2312" w:hAnsi="仿宋_GB2312" w:eastAsia="仿宋_GB2312"/>
          <w:b/>
          <w:sz w:val="36"/>
          <w:szCs w:val="36"/>
        </w:rPr>
      </w:pPr>
      <w:bookmarkStart w:id="75" w:name="_Toc10158"/>
      <w:r>
        <w:rPr>
          <w:rFonts w:ascii="仿宋_GB2312" w:hAnsi="仿宋_GB2312" w:eastAsia="仿宋_GB2312"/>
          <w:b/>
          <w:sz w:val="36"/>
          <w:szCs w:val="36"/>
        </w:rPr>
        <w:t>一、学校基本情况</w:t>
      </w:r>
      <w:bookmarkEnd w:id="75"/>
    </w:p>
    <w:p>
      <w:pPr>
        <w:pStyle w:val="14"/>
        <w:snapToGrid w:val="0"/>
        <w:spacing w:line="560" w:lineRule="exact"/>
        <w:ind w:firstLine="720"/>
        <w:rPr>
          <w:rFonts w:ascii="仿宋_GB2312" w:hAnsi="仿宋_GB2312" w:eastAsia="仿宋_GB2312"/>
          <w:sz w:val="30"/>
          <w:szCs w:val="30"/>
        </w:rPr>
      </w:pPr>
      <w:r>
        <w:rPr>
          <w:rFonts w:ascii="仿宋_GB2312" w:eastAsia="仿宋_GB2312"/>
          <w:color w:val="000000"/>
          <w:kern w:val="0"/>
          <w:sz w:val="32"/>
          <w:szCs w:val="32"/>
        </w:rPr>
        <w:t>通江县唱歌镇石林小学属财政拨款事业单位，主要职能是认真贯彻落实党和国家的方针、政策，正确执行上级主管部门的决议和指示，全面实施素质教育，培养德、智、体、美等方面全面发展的社会主义事业的建设者和接班人。年末编制数21人，实际在岗教职工22人（其中，专技人员20人），遗属人员2人，年末财政供养人员22人。年末实有小学生57人。</w:t>
      </w:r>
    </w:p>
    <w:p>
      <w:pPr>
        <w:pStyle w:val="14"/>
        <w:tabs>
          <w:tab w:val="left" w:pos="6804"/>
          <w:tab w:val="left" w:pos="7088"/>
          <w:tab w:val="left" w:pos="7513"/>
          <w:tab w:val="left" w:pos="8080"/>
        </w:tabs>
        <w:spacing w:line="520" w:lineRule="exact"/>
        <w:ind w:firstLine="643" w:firstLineChars="200"/>
        <w:jc w:val="left"/>
        <w:outlineLvl w:val="1"/>
        <w:rPr>
          <w:rFonts w:ascii="仿宋_GB2312" w:hAnsi="仿宋_GB2312" w:eastAsia="仿宋_GB2312"/>
          <w:b/>
          <w:sz w:val="32"/>
          <w:szCs w:val="32"/>
        </w:rPr>
      </w:pPr>
      <w:bookmarkStart w:id="76" w:name="_Toc23532"/>
      <w:r>
        <w:rPr>
          <w:rFonts w:ascii="仿宋_GB2312" w:hAnsi="仿宋_GB2312" w:eastAsia="仿宋_GB2312"/>
          <w:b/>
          <w:sz w:val="32"/>
          <w:szCs w:val="32"/>
        </w:rPr>
        <w:t>二、财政资金收支情况</w:t>
      </w:r>
      <w:bookmarkEnd w:id="76"/>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（一）财政资金收入</w:t>
      </w:r>
    </w:p>
    <w:p>
      <w:pPr>
        <w:pStyle w:val="14"/>
        <w:snapToGrid w:val="0"/>
        <w:spacing w:line="560" w:lineRule="exact"/>
        <w:ind w:firstLine="720"/>
        <w:rPr>
          <w:rFonts w:ascii="仿宋_GB2312" w:hAnsi="仿宋_GB2312" w:eastAsia="仿宋_GB2312"/>
          <w:sz w:val="30"/>
          <w:szCs w:val="30"/>
        </w:rPr>
      </w:pPr>
      <w:r>
        <w:rPr>
          <w:rFonts w:ascii="仿宋_GB2312" w:eastAsia="仿宋_GB2312"/>
          <w:color w:val="000000"/>
          <w:kern w:val="0"/>
          <w:sz w:val="32"/>
          <w:szCs w:val="32"/>
        </w:rPr>
        <w:t>2021年度财政拨款资金为364.05万元，其中：人员经费295.78万元，公用经费24.30万元，项目资金43.98万元。开</w:t>
      </w:r>
      <w:r>
        <w:rPr>
          <w:rFonts w:ascii="仿宋_GB2312" w:hAnsi="仿宋_GB2312" w:eastAsia="仿宋_GB2312"/>
          <w:sz w:val="30"/>
          <w:szCs w:val="30"/>
        </w:rPr>
        <w:t>支用于学校教职工工资福利支出及商品服务支出等，支出依据合规合法，资金支付与预算相符。</w:t>
      </w:r>
    </w:p>
    <w:p>
      <w:pPr>
        <w:pStyle w:val="14"/>
        <w:snapToGrid w:val="0"/>
        <w:spacing w:line="560" w:lineRule="exact"/>
        <w:ind w:firstLine="720"/>
        <w:rPr>
          <w:rFonts w:ascii="仿宋_GB2312" w:hAnsi="仿宋_GB2312" w:eastAsia="仿宋_GB2312"/>
          <w:sz w:val="30"/>
          <w:szCs w:val="30"/>
        </w:rPr>
      </w:pPr>
      <w:r>
        <w:rPr>
          <w:rFonts w:ascii="仿宋_GB2312" w:hAnsi="仿宋_GB2312" w:eastAsia="仿宋_GB2312"/>
          <w:sz w:val="30"/>
          <w:szCs w:val="30"/>
        </w:rPr>
        <w:t>（二）财政资金支出</w:t>
      </w:r>
    </w:p>
    <w:p>
      <w:pPr>
        <w:pStyle w:val="14"/>
        <w:ind w:firstLine="600" w:firstLineChars="200"/>
        <w:rPr>
          <w:rFonts w:ascii="仿宋_GB2312" w:hAnsi="仿宋_GB2312" w:eastAsia="仿宋_GB2312"/>
          <w:sz w:val="30"/>
          <w:szCs w:val="30"/>
        </w:rPr>
      </w:pPr>
      <w:r>
        <w:rPr>
          <w:rFonts w:ascii="仿宋_GB2312" w:hAnsi="仿宋_GB2312" w:eastAsia="仿宋_GB2312"/>
          <w:sz w:val="30"/>
          <w:szCs w:val="30"/>
        </w:rPr>
        <w:t>2021年度财政资金支出364.05万元，其中：人员经费295.78万元，公用经费24.30万元，项目资金43.98万元。</w:t>
      </w:r>
    </w:p>
    <w:p>
      <w:pPr>
        <w:pStyle w:val="14"/>
        <w:snapToGrid w:val="0"/>
        <w:spacing w:line="560" w:lineRule="exact"/>
        <w:ind w:firstLine="720"/>
        <w:outlineLvl w:val="1"/>
        <w:rPr>
          <w:rFonts w:ascii="仿宋_GB2312" w:hAnsi="仿宋_GB2312" w:eastAsia="仿宋_GB2312"/>
          <w:b/>
          <w:sz w:val="32"/>
          <w:szCs w:val="32"/>
        </w:rPr>
      </w:pPr>
      <w:bookmarkStart w:id="77" w:name="_Toc29123"/>
      <w:r>
        <w:rPr>
          <w:rFonts w:ascii="仿宋_GB2312" w:hAnsi="仿宋_GB2312" w:eastAsia="仿宋_GB2312"/>
          <w:b/>
          <w:sz w:val="32"/>
          <w:szCs w:val="32"/>
        </w:rPr>
        <w:t>三、学校整体预算绩效管理情况</w:t>
      </w:r>
      <w:bookmarkEnd w:id="77"/>
    </w:p>
    <w:p>
      <w:pPr>
        <w:pStyle w:val="14"/>
        <w:snapToGrid w:val="0"/>
        <w:spacing w:line="560" w:lineRule="exact"/>
        <w:ind w:firstLine="720"/>
        <w:rPr>
          <w:rFonts w:ascii="仿宋_GB2312" w:hAnsi="仿宋_GB2312" w:eastAsia="仿宋_GB2312"/>
          <w:b/>
          <w:sz w:val="32"/>
          <w:szCs w:val="32"/>
        </w:rPr>
      </w:pPr>
      <w:r>
        <w:rPr>
          <w:rFonts w:ascii="仿宋_GB2312" w:hAnsi="仿宋_GB2312" w:eastAsia="仿宋_GB2312"/>
          <w:b/>
          <w:sz w:val="32"/>
          <w:szCs w:val="32"/>
          <w:lang w:val="zh-CN"/>
        </w:rPr>
        <w:t>（一）学校预算项目绩效管理</w:t>
      </w:r>
      <w:r>
        <w:rPr>
          <w:rFonts w:ascii="仿宋_GB2312" w:hAnsi="仿宋_GB2312" w:eastAsia="仿宋_GB2312"/>
          <w:b/>
          <w:sz w:val="32"/>
          <w:szCs w:val="32"/>
        </w:rPr>
        <w:t>。</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w:t>
      </w:r>
      <w:r>
        <w:rPr>
          <w:rFonts w:hint="eastAsia" w:ascii="仿宋_GB2312" w:eastAsia="仿宋_GB2312"/>
          <w:color w:val="000000"/>
          <w:kern w:val="0"/>
          <w:sz w:val="32"/>
          <w:szCs w:val="32"/>
          <w:u w:val="none" w:color="46CD7E"/>
          <w:shd w:val="clear" w:fill="auto"/>
          <w:lang w:eastAsia="zh-CN"/>
        </w:rPr>
        <w:t>绩效管理</w:t>
      </w:r>
      <w:r>
        <w:rPr>
          <w:rFonts w:ascii="仿宋_GB2312" w:eastAsia="仿宋_GB2312"/>
          <w:color w:val="000000"/>
          <w:kern w:val="0"/>
          <w:sz w:val="32"/>
          <w:szCs w:val="32"/>
        </w:rPr>
        <w:t>实施细则，由学校工会监督执行，绩效考核按照学校绩效分配制度执行。</w:t>
      </w:r>
    </w:p>
    <w:p>
      <w:pPr>
        <w:pStyle w:val="14"/>
        <w:snapToGrid w:val="0"/>
        <w:spacing w:line="560" w:lineRule="exact"/>
        <w:ind w:firstLine="720"/>
        <w:rPr>
          <w:rFonts w:ascii="仿宋_GB2312" w:hAnsi="仿宋_GB2312" w:eastAsia="仿宋_GB2312"/>
          <w:b/>
          <w:sz w:val="32"/>
          <w:szCs w:val="32"/>
          <w:lang w:val="zh-CN"/>
        </w:rPr>
      </w:pPr>
      <w:r>
        <w:rPr>
          <w:rFonts w:ascii="仿宋_GB2312" w:hAnsi="仿宋_GB2312" w:eastAsia="仿宋_GB2312"/>
          <w:b/>
          <w:sz w:val="32"/>
          <w:szCs w:val="32"/>
          <w:lang w:val="zh-CN"/>
        </w:rPr>
        <w:t>（二）结果应用情况。</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1.目标任务量完成情况。</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全校教职工</w:t>
      </w:r>
      <w:r>
        <w:rPr>
          <w:rFonts w:hint="eastAsia" w:ascii="仿宋_GB2312" w:eastAsia="仿宋_GB2312"/>
          <w:color w:val="000000"/>
          <w:kern w:val="0"/>
          <w:sz w:val="32"/>
          <w:szCs w:val="32"/>
          <w:u w:val="none" w:color="46CD7E"/>
          <w:shd w:val="clear" w:fill="auto"/>
          <w:lang w:eastAsia="zh-CN"/>
        </w:rPr>
        <w:t>完成了</w:t>
      </w:r>
      <w:r>
        <w:rPr>
          <w:rFonts w:ascii="仿宋_GB2312" w:eastAsia="仿宋_GB2312"/>
          <w:color w:val="000000"/>
          <w:kern w:val="0"/>
          <w:sz w:val="32"/>
          <w:szCs w:val="32"/>
        </w:rPr>
        <w:t>学期目标任务，达到了相关教学要求，学校</w:t>
      </w:r>
      <w:r>
        <w:rPr>
          <w:rFonts w:hint="eastAsia" w:ascii="仿宋_GB2312" w:eastAsia="仿宋_GB2312"/>
          <w:color w:val="000000"/>
          <w:kern w:val="0"/>
          <w:sz w:val="32"/>
          <w:szCs w:val="32"/>
          <w:u w:val="none" w:color="46CD7E"/>
          <w:shd w:val="clear" w:fill="auto"/>
          <w:lang w:eastAsia="zh-CN"/>
        </w:rPr>
        <w:t>整体教学</w:t>
      </w:r>
      <w:r>
        <w:rPr>
          <w:rFonts w:ascii="仿宋_GB2312" w:eastAsia="仿宋_GB2312"/>
          <w:color w:val="000000"/>
          <w:kern w:val="0"/>
          <w:sz w:val="32"/>
          <w:szCs w:val="32"/>
        </w:rPr>
        <w:t>工作取得了较好成效。</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2.目标质量完成情况。</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按照年初目标任务，实际完成较好，个别教职工做得很优秀。</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3.目标进度完成情况。</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对照预定计划，全部完成了目标任务。</w:t>
      </w:r>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4.项目效益情况实施目标绩效考核，充分调动了教职工积极性，学校各方面工作都有序，高质量完成，产生较好的社会效益，严格执行目标管理，充分保障学校正常运转。</w:t>
      </w:r>
    </w:p>
    <w:p>
      <w:pPr>
        <w:pStyle w:val="14"/>
        <w:tabs>
          <w:tab w:val="left" w:pos="6804"/>
          <w:tab w:val="left" w:pos="7088"/>
          <w:tab w:val="left" w:pos="7513"/>
          <w:tab w:val="left" w:pos="8080"/>
        </w:tabs>
        <w:spacing w:line="520" w:lineRule="exact"/>
        <w:ind w:firstLine="643" w:firstLineChars="200"/>
        <w:jc w:val="left"/>
        <w:outlineLvl w:val="1"/>
        <w:rPr>
          <w:rFonts w:ascii="仿宋_GB2312" w:hAnsi="仿宋_GB2312" w:eastAsia="仿宋_GB2312"/>
          <w:b/>
          <w:sz w:val="32"/>
          <w:szCs w:val="32"/>
        </w:rPr>
      </w:pPr>
      <w:bookmarkStart w:id="78" w:name="_Toc1332"/>
      <w:r>
        <w:rPr>
          <w:rFonts w:ascii="仿宋_GB2312" w:hAnsi="仿宋_GB2312" w:eastAsia="仿宋_GB2312"/>
          <w:b/>
          <w:sz w:val="32"/>
          <w:szCs w:val="32"/>
        </w:rPr>
        <w:t>四、评价结论及建议</w:t>
      </w:r>
      <w:bookmarkEnd w:id="78"/>
    </w:p>
    <w:p>
      <w:pPr>
        <w:pStyle w:val="14"/>
        <w:snapToGrid w:val="0"/>
        <w:spacing w:line="560" w:lineRule="exact"/>
        <w:ind w:firstLine="720"/>
        <w:rPr>
          <w:rFonts w:ascii="仿宋_GB2312" w:eastAsia="仿宋_GB2312"/>
          <w:color w:val="000000"/>
          <w:kern w:val="0"/>
          <w:sz w:val="32"/>
          <w:szCs w:val="32"/>
        </w:rPr>
      </w:pPr>
      <w:r>
        <w:rPr>
          <w:rFonts w:ascii="仿宋_GB2312" w:eastAsia="仿宋_GB2312"/>
          <w:color w:val="000000"/>
          <w:kern w:val="0"/>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bookmarkStart w:id="79" w:name="_Toc15396618"/>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napToGrid w:val="0"/>
        <w:spacing w:line="560" w:lineRule="exact"/>
        <w:ind w:firstLine="720"/>
        <w:rPr>
          <w:rFonts w:ascii="仿宋_GB2312" w:eastAsia="仿宋_GB2312"/>
          <w:color w:val="000000"/>
          <w:kern w:val="0"/>
          <w:sz w:val="32"/>
          <w:szCs w:val="32"/>
        </w:rPr>
      </w:pPr>
    </w:p>
    <w:p>
      <w:pPr>
        <w:pStyle w:val="14"/>
        <w:spacing w:line="600" w:lineRule="exact"/>
        <w:jc w:val="center"/>
        <w:outlineLvl w:val="0"/>
        <w:rPr>
          <w:rFonts w:ascii="仿宋" w:hAnsi="仿宋" w:eastAsia="仿宋"/>
        </w:rPr>
      </w:pPr>
      <w:bookmarkStart w:id="80" w:name="_Toc17904"/>
      <w:r>
        <w:rPr>
          <w:rFonts w:ascii="黑体" w:hAnsi="黑体" w:eastAsia="黑体"/>
          <w:sz w:val="44"/>
          <w:szCs w:val="44"/>
        </w:rPr>
        <w:t>第</w:t>
      </w:r>
      <w:r>
        <w:rPr>
          <w:rStyle w:val="12"/>
          <w:rFonts w:ascii="黑体" w:hAnsi="黑体" w:eastAsia="黑体"/>
          <w:b w:val="0"/>
        </w:rPr>
        <w:t>五部分</w:t>
      </w:r>
      <w:r>
        <w:rPr>
          <w:rStyle w:val="12"/>
          <w:rFonts w:hint="eastAsia" w:ascii="黑体" w:hAnsi="黑体" w:eastAsia="黑体"/>
          <w:b w:val="0"/>
          <w:lang w:val="en-US" w:eastAsia="zh-CN"/>
        </w:rPr>
        <w:t xml:space="preserve"> </w:t>
      </w:r>
      <w:bookmarkStart w:id="108" w:name="_GoBack"/>
      <w:bookmarkEnd w:id="108"/>
      <w:r>
        <w:rPr>
          <w:rStyle w:val="12"/>
          <w:rFonts w:ascii="黑体" w:hAnsi="黑体" w:eastAsia="黑体"/>
          <w:b w:val="0"/>
        </w:rPr>
        <w:t>附表</w:t>
      </w:r>
      <w:bookmarkEnd w:id="70"/>
      <w:bookmarkEnd w:id="79"/>
      <w:bookmarkEnd w:id="80"/>
      <w:bookmarkStart w:id="81" w:name="_Toc15396619"/>
    </w:p>
    <w:p>
      <w:pPr>
        <w:pStyle w:val="17"/>
        <w:spacing w:before="0" w:after="0" w:line="640" w:lineRule="exact"/>
        <w:rPr>
          <w:rFonts w:ascii="仿宋" w:hAnsi="仿宋" w:eastAsia="仿宋"/>
          <w:b w:val="0"/>
        </w:rPr>
      </w:pPr>
      <w:bookmarkStart w:id="82" w:name="_Toc25792"/>
    </w:p>
    <w:p>
      <w:pPr>
        <w:pStyle w:val="17"/>
        <w:spacing w:before="0" w:after="0" w:line="640" w:lineRule="exact"/>
        <w:rPr>
          <w:rFonts w:ascii="仿宋" w:hAnsi="仿宋" w:eastAsia="仿宋"/>
        </w:rPr>
      </w:pPr>
      <w:r>
        <w:rPr>
          <w:rFonts w:ascii="仿宋" w:hAnsi="仿宋" w:eastAsia="仿宋"/>
          <w:b w:val="0"/>
        </w:rPr>
        <w:t>一、收</w:t>
      </w:r>
      <w:r>
        <w:rPr>
          <w:rStyle w:val="16"/>
          <w:rFonts w:ascii="仿宋" w:hAnsi="仿宋" w:eastAsia="仿宋"/>
          <w:b w:val="0"/>
          <w:bCs w:val="0"/>
        </w:rPr>
        <w:t>入支出</w:t>
      </w:r>
      <w:r>
        <w:rPr>
          <w:rFonts w:ascii="仿宋" w:hAnsi="仿宋" w:eastAsia="仿宋"/>
          <w:b w:val="0"/>
          <w:bCs w:val="0"/>
        </w:rPr>
        <w:t>决算总表</w:t>
      </w:r>
      <w:bookmarkEnd w:id="81"/>
      <w:bookmarkEnd w:id="82"/>
    </w:p>
    <w:p>
      <w:pPr>
        <w:pStyle w:val="17"/>
        <w:spacing w:before="0" w:after="0" w:line="640" w:lineRule="exact"/>
        <w:rPr>
          <w:rFonts w:ascii="仿宋" w:hAnsi="仿宋" w:eastAsia="仿宋"/>
        </w:rPr>
      </w:pPr>
      <w:bookmarkStart w:id="83" w:name="_Toc15396620"/>
      <w:bookmarkStart w:id="84" w:name="_Toc11957"/>
      <w:r>
        <w:rPr>
          <w:rFonts w:ascii="仿宋" w:hAnsi="仿宋" w:eastAsia="仿宋"/>
          <w:b w:val="0"/>
        </w:rPr>
        <w:t>二、收</w:t>
      </w:r>
      <w:r>
        <w:rPr>
          <w:rStyle w:val="16"/>
          <w:rFonts w:ascii="仿宋" w:hAnsi="仿宋" w:eastAsia="仿宋"/>
          <w:b w:val="0"/>
          <w:bCs w:val="0"/>
        </w:rPr>
        <w:t>入决算表</w:t>
      </w:r>
      <w:bookmarkEnd w:id="83"/>
      <w:bookmarkEnd w:id="84"/>
    </w:p>
    <w:p>
      <w:pPr>
        <w:pStyle w:val="17"/>
        <w:spacing w:before="0" w:after="0" w:line="640" w:lineRule="exact"/>
        <w:rPr>
          <w:rFonts w:ascii="仿宋" w:hAnsi="仿宋" w:eastAsia="仿宋"/>
        </w:rPr>
      </w:pPr>
      <w:bookmarkStart w:id="85" w:name="_Toc15396621"/>
      <w:bookmarkStart w:id="86" w:name="_Toc16727"/>
      <w:r>
        <w:rPr>
          <w:rStyle w:val="16"/>
          <w:rFonts w:ascii="仿宋" w:hAnsi="仿宋" w:eastAsia="仿宋"/>
          <w:b w:val="0"/>
          <w:bCs w:val="0"/>
        </w:rPr>
        <w:t>三、</w:t>
      </w:r>
      <w:r>
        <w:rPr>
          <w:rFonts w:ascii="仿宋" w:hAnsi="仿宋" w:eastAsia="仿宋"/>
          <w:b w:val="0"/>
        </w:rPr>
        <w:t>支</w:t>
      </w:r>
      <w:r>
        <w:rPr>
          <w:rStyle w:val="16"/>
          <w:rFonts w:ascii="仿宋" w:hAnsi="仿宋" w:eastAsia="仿宋"/>
          <w:b w:val="0"/>
          <w:bCs w:val="0"/>
        </w:rPr>
        <w:t>出</w:t>
      </w:r>
      <w:r>
        <w:rPr>
          <w:rFonts w:ascii="仿宋" w:hAnsi="仿宋" w:eastAsia="仿宋"/>
          <w:b w:val="0"/>
          <w:bCs w:val="0"/>
        </w:rPr>
        <w:t>决算表</w:t>
      </w:r>
      <w:bookmarkEnd w:id="85"/>
      <w:bookmarkEnd w:id="86"/>
    </w:p>
    <w:p>
      <w:pPr>
        <w:pStyle w:val="17"/>
        <w:spacing w:before="0" w:after="0" w:line="640" w:lineRule="exact"/>
        <w:rPr>
          <w:rFonts w:ascii="仿宋" w:hAnsi="仿宋" w:eastAsia="仿宋"/>
          <w:b w:val="0"/>
        </w:rPr>
      </w:pPr>
      <w:bookmarkStart w:id="87" w:name="_Toc19679"/>
      <w:bookmarkStart w:id="88" w:name="_Toc15396622"/>
      <w:r>
        <w:rPr>
          <w:rStyle w:val="16"/>
          <w:rFonts w:ascii="仿宋" w:hAnsi="仿宋" w:eastAsia="仿宋"/>
          <w:b w:val="0"/>
          <w:bCs w:val="0"/>
        </w:rPr>
        <w:t>四、</w:t>
      </w:r>
      <w:r>
        <w:rPr>
          <w:rFonts w:ascii="仿宋" w:hAnsi="仿宋" w:eastAsia="仿宋"/>
          <w:b w:val="0"/>
        </w:rPr>
        <w:t>财</w:t>
      </w:r>
      <w:r>
        <w:rPr>
          <w:rStyle w:val="16"/>
          <w:rFonts w:ascii="仿宋" w:hAnsi="仿宋" w:eastAsia="仿宋"/>
          <w:b w:val="0"/>
          <w:bCs w:val="0"/>
        </w:rPr>
        <w:t>政拨款收入支出</w:t>
      </w:r>
      <w:r>
        <w:rPr>
          <w:rFonts w:ascii="仿宋" w:hAnsi="仿宋" w:eastAsia="仿宋"/>
          <w:b w:val="0"/>
          <w:bCs w:val="0"/>
        </w:rPr>
        <w:t>决算总表</w:t>
      </w:r>
      <w:bookmarkEnd w:id="87"/>
      <w:bookmarkEnd w:id="88"/>
    </w:p>
    <w:p>
      <w:pPr>
        <w:pStyle w:val="17"/>
        <w:spacing w:before="0" w:after="0" w:line="640" w:lineRule="exact"/>
        <w:rPr>
          <w:rStyle w:val="16"/>
          <w:rFonts w:ascii="仿宋" w:hAnsi="仿宋" w:eastAsia="仿宋"/>
          <w:b w:val="0"/>
          <w:bCs w:val="0"/>
        </w:rPr>
      </w:pPr>
      <w:bookmarkStart w:id="89" w:name="_Toc15396623"/>
      <w:bookmarkStart w:id="90" w:name="_Toc24875"/>
      <w:r>
        <w:rPr>
          <w:rStyle w:val="16"/>
          <w:rFonts w:ascii="仿宋" w:hAnsi="仿宋" w:eastAsia="仿宋"/>
          <w:b w:val="0"/>
          <w:bCs w:val="0"/>
        </w:rPr>
        <w:t>五、</w:t>
      </w:r>
      <w:r>
        <w:rPr>
          <w:rFonts w:ascii="仿宋" w:hAnsi="仿宋" w:eastAsia="仿宋"/>
          <w:b w:val="0"/>
        </w:rPr>
        <w:t>财</w:t>
      </w:r>
      <w:r>
        <w:rPr>
          <w:rStyle w:val="16"/>
          <w:rFonts w:ascii="仿宋" w:hAnsi="仿宋" w:eastAsia="仿宋"/>
          <w:b w:val="0"/>
          <w:bCs w:val="0"/>
        </w:rPr>
        <w:t>政拨款支出</w:t>
      </w:r>
      <w:r>
        <w:rPr>
          <w:rFonts w:ascii="仿宋" w:hAnsi="仿宋" w:eastAsia="仿宋"/>
          <w:b w:val="0"/>
          <w:bCs w:val="0"/>
        </w:rPr>
        <w:t>决算明细表</w:t>
      </w:r>
      <w:bookmarkEnd w:id="89"/>
      <w:bookmarkEnd w:id="90"/>
      <w:bookmarkStart w:id="91" w:name="_Toc15396624"/>
    </w:p>
    <w:p>
      <w:pPr>
        <w:pStyle w:val="17"/>
        <w:spacing w:before="0" w:after="0" w:line="640" w:lineRule="exact"/>
        <w:rPr>
          <w:rFonts w:ascii="仿宋" w:hAnsi="仿宋" w:eastAsia="仿宋"/>
        </w:rPr>
      </w:pPr>
      <w:bookmarkStart w:id="92" w:name="_Toc15372"/>
      <w:r>
        <w:rPr>
          <w:rStyle w:val="16"/>
          <w:rFonts w:ascii="仿宋" w:hAnsi="仿宋" w:eastAsia="仿宋"/>
          <w:b w:val="0"/>
          <w:bCs w:val="0"/>
        </w:rPr>
        <w:t>六、</w:t>
      </w:r>
      <w:r>
        <w:rPr>
          <w:rFonts w:ascii="仿宋" w:hAnsi="仿宋" w:eastAsia="仿宋"/>
          <w:b w:val="0"/>
        </w:rPr>
        <w:t>一</w:t>
      </w:r>
      <w:r>
        <w:rPr>
          <w:rStyle w:val="16"/>
          <w:rFonts w:ascii="仿宋" w:hAnsi="仿宋" w:eastAsia="仿宋"/>
          <w:b w:val="0"/>
          <w:bCs w:val="0"/>
        </w:rPr>
        <w:t>般公共预算</w:t>
      </w:r>
      <w:r>
        <w:rPr>
          <w:rFonts w:ascii="仿宋" w:hAnsi="仿宋" w:eastAsia="仿宋"/>
          <w:b w:val="0"/>
          <w:bCs w:val="0"/>
        </w:rPr>
        <w:t>财政拨款支出决算表</w:t>
      </w:r>
      <w:bookmarkEnd w:id="91"/>
      <w:bookmarkEnd w:id="92"/>
    </w:p>
    <w:p>
      <w:pPr>
        <w:pStyle w:val="17"/>
        <w:spacing w:before="0" w:after="0" w:line="640" w:lineRule="exact"/>
        <w:rPr>
          <w:rFonts w:ascii="仿宋" w:hAnsi="仿宋" w:eastAsia="仿宋"/>
        </w:rPr>
      </w:pPr>
      <w:bookmarkStart w:id="93" w:name="_Toc15396625"/>
      <w:bookmarkStart w:id="94" w:name="_Toc28368"/>
      <w:r>
        <w:rPr>
          <w:rStyle w:val="16"/>
          <w:rFonts w:ascii="仿宋" w:hAnsi="仿宋" w:eastAsia="仿宋"/>
          <w:b w:val="0"/>
          <w:bCs w:val="0"/>
        </w:rPr>
        <w:t>七、</w:t>
      </w:r>
      <w:r>
        <w:rPr>
          <w:rFonts w:ascii="仿宋" w:hAnsi="仿宋" w:eastAsia="仿宋"/>
          <w:b w:val="0"/>
        </w:rPr>
        <w:t>一</w:t>
      </w:r>
      <w:r>
        <w:rPr>
          <w:rStyle w:val="16"/>
          <w:rFonts w:ascii="仿宋" w:hAnsi="仿宋" w:eastAsia="仿宋"/>
          <w:b w:val="0"/>
          <w:bCs w:val="0"/>
        </w:rPr>
        <w:t>般公共预算</w:t>
      </w:r>
      <w:r>
        <w:rPr>
          <w:rFonts w:ascii="仿宋" w:hAnsi="仿宋" w:eastAsia="仿宋"/>
          <w:b w:val="0"/>
          <w:bCs w:val="0"/>
        </w:rPr>
        <w:t>财政拨款支出决算明细表</w:t>
      </w:r>
      <w:bookmarkEnd w:id="93"/>
      <w:bookmarkEnd w:id="94"/>
    </w:p>
    <w:p>
      <w:pPr>
        <w:pStyle w:val="17"/>
        <w:spacing w:before="0" w:after="0" w:line="640" w:lineRule="exact"/>
        <w:rPr>
          <w:rFonts w:ascii="仿宋" w:hAnsi="仿宋" w:eastAsia="仿宋"/>
        </w:rPr>
      </w:pPr>
      <w:bookmarkStart w:id="95" w:name="_Toc15396626"/>
      <w:bookmarkStart w:id="96" w:name="_Toc11325"/>
      <w:r>
        <w:rPr>
          <w:rStyle w:val="16"/>
          <w:rFonts w:ascii="仿宋" w:hAnsi="仿宋" w:eastAsia="仿宋"/>
          <w:b w:val="0"/>
          <w:bCs w:val="0"/>
        </w:rPr>
        <w:t>八、</w:t>
      </w:r>
      <w:r>
        <w:rPr>
          <w:rFonts w:ascii="仿宋" w:hAnsi="仿宋" w:eastAsia="仿宋"/>
          <w:b w:val="0"/>
        </w:rPr>
        <w:t>一</w:t>
      </w:r>
      <w:r>
        <w:rPr>
          <w:rStyle w:val="16"/>
          <w:rFonts w:ascii="仿宋" w:hAnsi="仿宋" w:eastAsia="仿宋"/>
          <w:b w:val="0"/>
          <w:bCs w:val="0"/>
        </w:rPr>
        <w:t>般公共预算</w:t>
      </w:r>
      <w:r>
        <w:rPr>
          <w:rFonts w:ascii="仿宋" w:hAnsi="仿宋" w:eastAsia="仿宋"/>
          <w:b w:val="0"/>
          <w:bCs w:val="0"/>
        </w:rPr>
        <w:t>财政拨款基本支出决算表</w:t>
      </w:r>
      <w:bookmarkEnd w:id="95"/>
      <w:bookmarkEnd w:id="96"/>
    </w:p>
    <w:p>
      <w:pPr>
        <w:pStyle w:val="17"/>
        <w:spacing w:before="0" w:after="0" w:line="640" w:lineRule="exact"/>
        <w:rPr>
          <w:rFonts w:ascii="仿宋" w:hAnsi="仿宋" w:eastAsia="仿宋"/>
        </w:rPr>
      </w:pPr>
      <w:bookmarkStart w:id="97" w:name="_Toc21241"/>
      <w:bookmarkStart w:id="98" w:name="_Toc15396627"/>
      <w:r>
        <w:rPr>
          <w:rStyle w:val="16"/>
          <w:rFonts w:ascii="仿宋" w:hAnsi="仿宋" w:eastAsia="仿宋"/>
          <w:b w:val="0"/>
          <w:bCs w:val="0"/>
        </w:rPr>
        <w:t>九、</w:t>
      </w:r>
      <w:r>
        <w:rPr>
          <w:rFonts w:ascii="仿宋" w:hAnsi="仿宋" w:eastAsia="仿宋"/>
          <w:b w:val="0"/>
        </w:rPr>
        <w:t>一</w:t>
      </w:r>
      <w:r>
        <w:rPr>
          <w:rStyle w:val="16"/>
          <w:rFonts w:ascii="仿宋" w:hAnsi="仿宋" w:eastAsia="仿宋"/>
          <w:b w:val="0"/>
          <w:bCs w:val="0"/>
        </w:rPr>
        <w:t>般公共预算</w:t>
      </w:r>
      <w:r>
        <w:rPr>
          <w:rFonts w:ascii="仿宋" w:hAnsi="仿宋" w:eastAsia="仿宋"/>
          <w:b w:val="0"/>
          <w:bCs w:val="0"/>
        </w:rPr>
        <w:t>财政拨款项目支出决算表</w:t>
      </w:r>
      <w:bookmarkEnd w:id="97"/>
      <w:bookmarkEnd w:id="98"/>
    </w:p>
    <w:p>
      <w:pPr>
        <w:pStyle w:val="17"/>
        <w:spacing w:before="0" w:after="0" w:line="640" w:lineRule="exact"/>
        <w:rPr>
          <w:rFonts w:ascii="仿宋" w:hAnsi="仿宋" w:eastAsia="仿宋"/>
        </w:rPr>
      </w:pPr>
      <w:bookmarkStart w:id="99" w:name="_Toc15396628"/>
      <w:bookmarkStart w:id="100" w:name="_Toc24880"/>
      <w:r>
        <w:rPr>
          <w:rStyle w:val="16"/>
          <w:rFonts w:ascii="仿宋" w:hAnsi="仿宋" w:eastAsia="仿宋"/>
          <w:b w:val="0"/>
          <w:bCs w:val="0"/>
        </w:rPr>
        <w:t>十、</w:t>
      </w:r>
      <w:r>
        <w:rPr>
          <w:rFonts w:ascii="仿宋" w:hAnsi="仿宋" w:eastAsia="仿宋"/>
          <w:b w:val="0"/>
        </w:rPr>
        <w:t>一</w:t>
      </w:r>
      <w:r>
        <w:rPr>
          <w:rStyle w:val="16"/>
          <w:rFonts w:ascii="仿宋" w:hAnsi="仿宋" w:eastAsia="仿宋"/>
          <w:b w:val="0"/>
          <w:bCs w:val="0"/>
        </w:rPr>
        <w:t>般公共预算</w:t>
      </w:r>
      <w:r>
        <w:rPr>
          <w:rFonts w:ascii="仿宋" w:hAnsi="仿宋" w:eastAsia="仿宋"/>
          <w:b w:val="0"/>
          <w:bCs w:val="0"/>
        </w:rPr>
        <w:t>财政拨款“三公”经费支出决算表</w:t>
      </w:r>
      <w:bookmarkEnd w:id="99"/>
      <w:bookmarkEnd w:id="100"/>
    </w:p>
    <w:p>
      <w:pPr>
        <w:pStyle w:val="17"/>
        <w:spacing w:before="0" w:after="0" w:line="640" w:lineRule="exact"/>
        <w:rPr>
          <w:rFonts w:ascii="仿宋" w:hAnsi="仿宋" w:eastAsia="仿宋"/>
        </w:rPr>
      </w:pPr>
      <w:bookmarkStart w:id="101" w:name="_Toc4341"/>
      <w:bookmarkStart w:id="102" w:name="_Toc15396629"/>
      <w:r>
        <w:rPr>
          <w:rStyle w:val="16"/>
          <w:rFonts w:ascii="仿宋" w:hAnsi="仿宋" w:eastAsia="仿宋"/>
          <w:b w:val="0"/>
          <w:bCs w:val="0"/>
        </w:rPr>
        <w:t>十一、</w:t>
      </w:r>
      <w:r>
        <w:rPr>
          <w:rFonts w:ascii="仿宋" w:hAnsi="仿宋" w:eastAsia="仿宋"/>
          <w:b w:val="0"/>
        </w:rPr>
        <w:t>政</w:t>
      </w:r>
      <w:r>
        <w:rPr>
          <w:rStyle w:val="16"/>
          <w:rFonts w:ascii="仿宋" w:hAnsi="仿宋" w:eastAsia="仿宋"/>
          <w:b w:val="0"/>
          <w:bCs w:val="0"/>
        </w:rPr>
        <w:t>府性基金预算</w:t>
      </w:r>
      <w:r>
        <w:rPr>
          <w:rFonts w:ascii="仿宋" w:hAnsi="仿宋" w:eastAsia="仿宋"/>
          <w:b w:val="0"/>
          <w:bCs w:val="0"/>
        </w:rPr>
        <w:t>财政拨款收入支出决算表</w:t>
      </w:r>
      <w:bookmarkEnd w:id="101"/>
      <w:bookmarkEnd w:id="102"/>
    </w:p>
    <w:p>
      <w:pPr>
        <w:pStyle w:val="17"/>
        <w:spacing w:before="0" w:after="0" w:line="640" w:lineRule="exact"/>
        <w:rPr>
          <w:rFonts w:ascii="仿宋" w:hAnsi="仿宋" w:eastAsia="仿宋"/>
        </w:rPr>
      </w:pPr>
      <w:bookmarkStart w:id="103" w:name="_Toc3418"/>
      <w:bookmarkStart w:id="104" w:name="_Toc15396630"/>
      <w:r>
        <w:rPr>
          <w:rStyle w:val="16"/>
          <w:rFonts w:ascii="仿宋" w:hAnsi="仿宋" w:eastAsia="仿宋"/>
          <w:b w:val="0"/>
          <w:bCs w:val="0"/>
        </w:rPr>
        <w:t>十二、</w:t>
      </w:r>
      <w:r>
        <w:rPr>
          <w:rFonts w:ascii="仿宋" w:hAnsi="仿宋" w:eastAsia="仿宋"/>
          <w:b w:val="0"/>
        </w:rPr>
        <w:t>政</w:t>
      </w:r>
      <w:r>
        <w:rPr>
          <w:rStyle w:val="16"/>
          <w:rFonts w:ascii="仿宋" w:hAnsi="仿宋" w:eastAsia="仿宋"/>
          <w:b w:val="0"/>
          <w:bCs w:val="0"/>
        </w:rPr>
        <w:t>府性基金预算</w:t>
      </w:r>
      <w:r>
        <w:rPr>
          <w:rFonts w:ascii="仿宋" w:hAnsi="仿宋" w:eastAsia="仿宋"/>
          <w:b w:val="0"/>
          <w:bCs w:val="0"/>
        </w:rPr>
        <w:t>财政拨款“三公”经费支出决算表</w:t>
      </w:r>
      <w:bookmarkEnd w:id="103"/>
      <w:bookmarkEnd w:id="104"/>
    </w:p>
    <w:p>
      <w:pPr>
        <w:pStyle w:val="17"/>
        <w:spacing w:before="0" w:after="0" w:line="640" w:lineRule="exact"/>
        <w:rPr>
          <w:rStyle w:val="16"/>
          <w:rFonts w:ascii="仿宋" w:hAnsi="仿宋" w:eastAsia="仿宋"/>
          <w:b w:val="0"/>
          <w:bCs w:val="0"/>
        </w:rPr>
      </w:pPr>
      <w:bookmarkStart w:id="105" w:name="_Toc25668"/>
      <w:bookmarkStart w:id="106" w:name="_Toc15396631"/>
      <w:r>
        <w:rPr>
          <w:rStyle w:val="16"/>
          <w:rFonts w:ascii="仿宋" w:hAnsi="仿宋" w:eastAsia="仿宋"/>
          <w:b w:val="0"/>
          <w:bCs w:val="0"/>
        </w:rPr>
        <w:t>十三、</w:t>
      </w:r>
      <w:r>
        <w:rPr>
          <w:rFonts w:ascii="仿宋" w:hAnsi="仿宋" w:eastAsia="仿宋"/>
          <w:b w:val="0"/>
        </w:rPr>
        <w:t>国</w:t>
      </w:r>
      <w:r>
        <w:rPr>
          <w:rStyle w:val="16"/>
          <w:rFonts w:ascii="仿宋" w:hAnsi="仿宋" w:eastAsia="仿宋"/>
          <w:b w:val="0"/>
          <w:bCs w:val="0"/>
        </w:rPr>
        <w:t>有资本经营预算</w:t>
      </w:r>
      <w:r>
        <w:rPr>
          <w:rFonts w:ascii="仿宋" w:hAnsi="仿宋" w:eastAsia="仿宋"/>
          <w:b w:val="0"/>
          <w:bCs w:val="0"/>
        </w:rPr>
        <w:t>财政拨款收入支出决算表</w:t>
      </w:r>
      <w:bookmarkEnd w:id="105"/>
      <w:bookmarkEnd w:id="106"/>
    </w:p>
    <w:p>
      <w:pPr>
        <w:pStyle w:val="14"/>
        <w:spacing w:line="640" w:lineRule="exact"/>
        <w:rPr>
          <w:rFonts w:eastAsia="仿宋"/>
          <w:sz w:val="32"/>
          <w:szCs w:val="32"/>
        </w:rPr>
      </w:pPr>
      <w:bookmarkStart w:id="107" w:name="_Toc28071"/>
      <w:r>
        <w:rPr>
          <w:rStyle w:val="16"/>
          <w:rFonts w:ascii="仿宋" w:hAnsi="仿宋" w:eastAsia="仿宋"/>
          <w:b w:val="0"/>
          <w:bCs w:val="0"/>
        </w:rPr>
        <w:t>十四、国有资本经营预算</w:t>
      </w:r>
      <w:r>
        <w:rPr>
          <w:rFonts w:ascii="仿宋" w:hAnsi="仿宋" w:eastAsia="仿宋"/>
          <w:sz w:val="32"/>
          <w:szCs w:val="32"/>
        </w:rPr>
        <w:t>财政拨款支出决算表</w:t>
      </w:r>
      <w:bookmarkEnd w:id="107"/>
    </w:p>
    <w:sectPr>
      <w:headerReference r:id="rId3" w:type="default"/>
      <w:footerReference r:id="rId4" w:type="default"/>
      <w:pgSz w:w="11906" w:h="16838"/>
      <w:pgMar w:top="1440" w:right="1800" w:bottom="1440" w:left="1800" w:header="851" w:footer="992" w:gutter="0"/>
      <w:pgNumType w:start="1"/>
      <w:cols w:space="720" w:num="1"/>
      <w:formProt w:val="0"/>
      <w:titlePg/>
      <w:docGrid w:type="lines" w:linePitch="312" w:charSpace="2877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Calibri">
    <w:panose1 w:val="020F0502020204030204"/>
    <w:charset w:val="01"/>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PAGE</w:instrText>
    </w:r>
    <w:r>
      <w:rPr>
        <w:lang w:val="zh-CN"/>
      </w:rPr>
      <w:fldChar w:fldCharType="separate"/>
    </w:r>
    <w:r>
      <w:rPr>
        <w:lang w:val="zh-CN"/>
      </w:rPr>
      <w:t>17</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8C2BD1"/>
    <w:multiLevelType w:val="singleLevel"/>
    <w:tmpl w:val="518C2BD1"/>
    <w:lvl w:ilvl="0" w:tentative="0">
      <w:start w:val="4"/>
      <w:numFmt w:val="chineseCounting"/>
      <w:suff w:val="space"/>
      <w:lvlText w:val="第%1部分"/>
      <w:lvlJc w:val="left"/>
      <w:rPr>
        <w:rFonts w:hint="eastAsia"/>
      </w:rPr>
    </w:lvl>
  </w:abstractNum>
  <w:abstractNum w:abstractNumId="1">
    <w:nsid w:val="51B96BAC"/>
    <w:multiLevelType w:val="multilevel"/>
    <w:tmpl w:val="51B96BAC"/>
    <w:lvl w:ilvl="0" w:tentative="0">
      <w:start w:val="3"/>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52C80C96"/>
    <w:multiLevelType w:val="multilevel"/>
    <w:tmpl w:val="52C80C96"/>
    <w:lvl w:ilvl="0" w:tentative="0">
      <w:start w:val="3"/>
      <w:numFmt w:val="chineseCountingThousand"/>
      <w:suff w:val="space"/>
      <w:lvlText w:val="第%1部分"/>
      <w:lvlJc w:val="left"/>
      <w:pPr>
        <w:tabs>
          <w:tab w:val="left" w:pos="0"/>
        </w:tabs>
        <w:ind w:left="0" w:firstLine="0"/>
      </w:pPr>
      <w:rPr>
        <w:rFonts w:ascii="黑体" w:hAnsi="黑体" w:eastAsia="黑体" w:cs="黑体"/>
        <w:sz w:val="44"/>
        <w:szCs w:val="4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autoHyphenation/>
  <w:characterSpacingControl w:val="doNotCompress"/>
  <w:compat>
    <w:balanceSingleByteDoubleByteWidth/>
    <w:ulTrailSpace/>
    <w:doNotExpandShiftReturn/>
    <w:useFELayout/>
    <w:compatSetting w:name="compatibilityMode" w:uri="http://schemas.microsoft.com/office/word" w:val="12"/>
  </w:compat>
  <w:docVars>
    <w:docVar w:name="commondata" w:val="eyJoZGlkIjoiYzM4ZDZhZGYyYjgzNzFmMmU3YTczMjUxMWY3YTZmZDIifQ=="/>
  </w:docVars>
  <w:rsids>
    <w:rsidRoot w:val="00424064"/>
    <w:rsid w:val="000214B1"/>
    <w:rsid w:val="002921C4"/>
    <w:rsid w:val="00424064"/>
    <w:rsid w:val="13C44C6D"/>
    <w:rsid w:val="2F8C268B"/>
    <w:rsid w:val="48D3553D"/>
    <w:rsid w:val="4C2F01CE"/>
    <w:rsid w:val="58BE32CF"/>
    <w:rsid w:val="668006C5"/>
    <w:rsid w:val="69B11CDD"/>
    <w:rsid w:val="7D8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semiHidden/>
    <w:unhideWhenUsed/>
    <w:qFormat/>
    <w:uiPriority w:val="99"/>
    <w:rPr>
      <w:sz w:val="18"/>
      <w:szCs w:val="18"/>
    </w:rPr>
  </w:style>
  <w:style w:type="paragraph" w:styleId="4">
    <w:name w:val="footer"/>
    <w:basedOn w:val="1"/>
    <w:link w:val="34"/>
    <w:qFormat/>
    <w:uiPriority w:val="99"/>
    <w:pPr>
      <w:tabs>
        <w:tab w:val="center" w:pos="4153"/>
        <w:tab w:val="right" w:pos="8306"/>
      </w:tabs>
      <w:snapToGrid w:val="0"/>
      <w:jc w:val="left"/>
    </w:pPr>
    <w:rPr>
      <w:sz w:val="18"/>
      <w:szCs w:val="18"/>
    </w:rPr>
  </w:style>
  <w:style w:type="paragraph" w:styleId="5">
    <w:name w:val="header"/>
    <w:basedOn w:val="1"/>
    <w:link w:val="33"/>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annotation reference"/>
    <w:basedOn w:val="8"/>
    <w:semiHidden/>
    <w:unhideWhenUsed/>
    <w:uiPriority w:val="99"/>
    <w:rPr>
      <w:sz w:val="21"/>
      <w:szCs w:val="21"/>
    </w:rPr>
  </w:style>
  <w:style w:type="character" w:customStyle="1" w:styleId="11">
    <w:name w:val="要点1"/>
    <w:basedOn w:val="8"/>
    <w:qFormat/>
    <w:uiPriority w:val="99"/>
    <w:rPr>
      <w:b/>
    </w:rPr>
  </w:style>
  <w:style w:type="character" w:customStyle="1" w:styleId="12">
    <w:name w:val="标题 1 Char"/>
    <w:basedOn w:val="8"/>
    <w:qFormat/>
    <w:uiPriority w:val="9"/>
    <w:rPr>
      <w:rFonts w:ascii="Times New Roman" w:hAnsi="Times New Roman"/>
      <w:b/>
      <w:bCs/>
      <w:kern w:val="2"/>
      <w:sz w:val="44"/>
      <w:szCs w:val="44"/>
    </w:rPr>
  </w:style>
  <w:style w:type="paragraph" w:customStyle="1" w:styleId="13">
    <w:name w:val="标题 11"/>
    <w:basedOn w:val="14"/>
    <w:qFormat/>
    <w:uiPriority w:val="9"/>
    <w:pPr>
      <w:keepNext/>
      <w:keepLines/>
      <w:spacing w:before="340" w:after="330" w:line="578" w:lineRule="auto"/>
      <w:outlineLvl w:val="0"/>
    </w:pPr>
    <w:rPr>
      <w:b/>
      <w:bCs/>
      <w:sz w:val="44"/>
      <w:szCs w:val="44"/>
    </w:rPr>
  </w:style>
  <w:style w:type="paragraph" w:customStyle="1" w:styleId="14">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文本1"/>
    <w:basedOn w:val="14"/>
    <w:qFormat/>
    <w:uiPriority w:val="99"/>
    <w:rPr>
      <w:rFonts w:ascii="仿宋_GB2312" w:hAnsi="仿宋_GB2312" w:eastAsia="仿宋_GB2312"/>
      <w:kern w:val="0"/>
      <w:sz w:val="30"/>
    </w:rPr>
  </w:style>
  <w:style w:type="character" w:customStyle="1" w:styleId="16">
    <w:name w:val="标题 2 Char"/>
    <w:basedOn w:val="8"/>
    <w:qFormat/>
    <w:uiPriority w:val="9"/>
    <w:rPr>
      <w:rFonts w:asciiTheme="majorHAnsi" w:hAnsiTheme="majorHAnsi" w:eastAsiaTheme="majorEastAsia" w:cstheme="majorBidi"/>
      <w:b/>
      <w:bCs/>
      <w:kern w:val="2"/>
      <w:sz w:val="32"/>
      <w:szCs w:val="32"/>
    </w:rPr>
  </w:style>
  <w:style w:type="paragraph" w:customStyle="1" w:styleId="17">
    <w:name w:val="标题 21"/>
    <w:basedOn w:val="14"/>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customStyle="1" w:styleId="18">
    <w:name w:val="页脚1"/>
    <w:basedOn w:val="14"/>
    <w:qFormat/>
    <w:uiPriority w:val="99"/>
    <w:pPr>
      <w:tabs>
        <w:tab w:val="center" w:pos="4153"/>
        <w:tab w:val="right" w:pos="8306"/>
      </w:tabs>
      <w:snapToGrid w:val="0"/>
      <w:jc w:val="left"/>
    </w:pPr>
    <w:rPr>
      <w:rFonts w:ascii="Calibri" w:hAnsi="Calibri"/>
      <w:kern w:val="0"/>
      <w:sz w:val="18"/>
      <w:szCs w:val="18"/>
    </w:rPr>
  </w:style>
  <w:style w:type="paragraph" w:customStyle="1" w:styleId="19">
    <w:name w:val="页眉1"/>
    <w:basedOn w:val="14"/>
    <w:semiHidden/>
    <w:qFormat/>
    <w:uiPriority w:val="99"/>
    <w:pPr>
      <w:pBdr>
        <w:bottom w:val="single" w:color="000000" w:sz="6" w:space="1"/>
      </w:pBdr>
      <w:tabs>
        <w:tab w:val="center" w:pos="4153"/>
        <w:tab w:val="right" w:pos="8306"/>
      </w:tabs>
      <w:snapToGrid w:val="0"/>
      <w:jc w:val="center"/>
    </w:pPr>
    <w:rPr>
      <w:rFonts w:ascii="Calibri" w:hAnsi="Calibri"/>
      <w:kern w:val="0"/>
      <w:sz w:val="18"/>
      <w:szCs w:val="18"/>
    </w:rPr>
  </w:style>
  <w:style w:type="paragraph" w:customStyle="1" w:styleId="20">
    <w:name w:val="目录 11"/>
    <w:basedOn w:val="14"/>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目录 21"/>
    <w:basedOn w:val="14"/>
    <w:unhideWhenUsed/>
    <w:qFormat/>
    <w:uiPriority w:val="39"/>
    <w:pPr>
      <w:tabs>
        <w:tab w:val="right" w:leader="dot" w:pos="8296"/>
      </w:tabs>
      <w:ind w:left="420" w:leftChars="200"/>
    </w:pPr>
  </w:style>
  <w:style w:type="paragraph" w:customStyle="1" w:styleId="22">
    <w:name w:val="Default"/>
    <w:qFormat/>
    <w:uiPriority w:val="99"/>
    <w:pPr>
      <w:widowControl w:val="0"/>
    </w:pPr>
    <w:rPr>
      <w:rFonts w:ascii="仿宋" w:hAnsi="仿宋" w:eastAsia="仿宋" w:cs="仿宋"/>
      <w:color w:val="000000"/>
      <w:sz w:val="24"/>
      <w:szCs w:val="24"/>
      <w:lang w:val="en-US" w:eastAsia="zh-CN" w:bidi="ar-SA"/>
    </w:rPr>
  </w:style>
  <w:style w:type="paragraph" w:customStyle="1" w:styleId="23">
    <w:name w:val="列表段落"/>
    <w:basedOn w:val="14"/>
    <w:qFormat/>
    <w:uiPriority w:val="34"/>
    <w:pPr>
      <w:ind w:firstLine="200" w:firstLineChars="200"/>
    </w:pPr>
  </w:style>
  <w:style w:type="paragraph" w:customStyle="1" w:styleId="24">
    <w:name w:val="四号正文"/>
    <w:basedOn w:val="14"/>
    <w:qFormat/>
    <w:uiPriority w:val="0"/>
    <w:pPr>
      <w:spacing w:line="360" w:lineRule="auto"/>
    </w:pPr>
    <w:rPr>
      <w:rFonts w:ascii="??" w:hAnsi="??" w:cs="宋体"/>
      <w:color w:val="000000"/>
      <w:kern w:val="0"/>
      <w:sz w:val="28"/>
      <w:szCs w:val="21"/>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7">
    <w:name w:val="批注文字 Char"/>
    <w:basedOn w:val="8"/>
    <w:semiHidden/>
    <w:uiPriority w:val="99"/>
  </w:style>
  <w:style w:type="paragraph" w:customStyle="1" w:styleId="28">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29">
    <w:name w:val="页眉 Char"/>
    <w:basedOn w:val="8"/>
    <w:semiHidden/>
    <w:uiPriority w:val="99"/>
    <w:rPr>
      <w:sz w:val="18"/>
      <w:szCs w:val="18"/>
    </w:rPr>
  </w:style>
  <w:style w:type="paragraph" w:customStyle="1" w:styleId="30">
    <w:name w:val="Footer"/>
    <w:basedOn w:val="1"/>
    <w:qFormat/>
    <w:uiPriority w:val="99"/>
    <w:pPr>
      <w:tabs>
        <w:tab w:val="center" w:pos="4153"/>
        <w:tab w:val="right" w:pos="8306"/>
      </w:tabs>
      <w:snapToGrid w:val="0"/>
      <w:jc w:val="left"/>
    </w:pPr>
    <w:rPr>
      <w:sz w:val="18"/>
      <w:szCs w:val="18"/>
    </w:rPr>
  </w:style>
  <w:style w:type="character" w:customStyle="1" w:styleId="31">
    <w:name w:val="页脚 Char"/>
    <w:basedOn w:val="8"/>
    <w:uiPriority w:val="99"/>
    <w:rPr>
      <w:sz w:val="18"/>
      <w:szCs w:val="18"/>
    </w:rPr>
  </w:style>
  <w:style w:type="character" w:customStyle="1" w:styleId="32">
    <w:name w:val="批注框文本 Char"/>
    <w:basedOn w:val="8"/>
    <w:semiHidden/>
    <w:uiPriority w:val="99"/>
    <w:rPr>
      <w:sz w:val="18"/>
      <w:szCs w:val="18"/>
    </w:rPr>
  </w:style>
  <w:style w:type="character" w:customStyle="1" w:styleId="33">
    <w:name w:val="页眉 Char1"/>
    <w:basedOn w:val="8"/>
    <w:link w:val="5"/>
    <w:semiHidden/>
    <w:uiPriority w:val="99"/>
    <w:rPr>
      <w:sz w:val="18"/>
      <w:szCs w:val="18"/>
    </w:rPr>
  </w:style>
  <w:style w:type="character" w:customStyle="1" w:styleId="34">
    <w:name w:val="页脚 Char1"/>
    <w:basedOn w:val="8"/>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400" b="0" i="0" u="none" strike="noStrike" kern="1200" spc="-1" baseline="0">
                <a:solidFill>
                  <a:srgbClr val="595959"/>
                </a:solidFill>
                <a:latin typeface="Calibri" panose="020F0502020204030204"/>
                <a:ea typeface="+mn-ea"/>
                <a:cs typeface="+mn-cs"/>
              </a:defRPr>
            </a:pPr>
            <a:r>
              <a:rPr lang="en-US" sz="1400" b="0" strike="noStrike" spc="-1">
                <a:solidFill>
                  <a:srgbClr val="595959"/>
                </a:solidFill>
                <a:latin typeface="Calibri" panose="020F0502020204030204"/>
              </a:rPr>
              <a:t>2021年、2020年收、支决算变动情况图</a:t>
            </a:r>
            <a:endParaRPr lang="en-US" sz="1400" b="0" strike="noStrike" spc="-1">
              <a:solidFill>
                <a:srgbClr val="595959"/>
              </a:solidFill>
              <a:latin typeface="Calibri" panose="020F0502020204030204"/>
            </a:endParaRPr>
          </a:p>
        </c:rich>
      </c:tx>
      <c:layout/>
      <c:overlay val="0"/>
      <c:spPr>
        <a:noFill/>
        <a:ln w="0">
          <a:noFill/>
        </a:ln>
      </c:spPr>
    </c:title>
    <c:autoTitleDeleted val="0"/>
    <c:plotArea>
      <c:layout>
        <c:manualLayout>
          <c:layoutTarget val="inner"/>
          <c:xMode val="edge"/>
          <c:yMode val="edge"/>
          <c:x val="0.0805625000000001"/>
          <c:y val="0.127555555555556"/>
          <c:w val="0.8938125"/>
          <c:h val="0.716111111111111"/>
        </c:manualLayout>
      </c:layout>
      <c:barChart>
        <c:barDir val="col"/>
        <c:grouping val="clustered"/>
        <c:varyColors val="0"/>
        <c:ser>
          <c:idx val="0"/>
          <c:order val="0"/>
          <c:tx>
            <c:strRef>
              <c:f>label 0</c:f>
              <c:strCache>
                <c:ptCount val="1"/>
                <c:pt idx="0">
                  <c:v>2021年收支决算</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1"/>
                <c:pt idx="0">
                  <c:v>1</c:v>
                </c:pt>
              </c:numCache>
            </c:numRef>
          </c:cat>
          <c:val>
            <c:numRef>
              <c:f>0</c:f>
              <c:numCache>
                <c:formatCode>General</c:formatCode>
                <c:ptCount val="1"/>
                <c:pt idx="0">
                  <c:v>364.05</c:v>
                </c:pt>
              </c:numCache>
            </c:numRef>
          </c:val>
        </c:ser>
        <c:ser>
          <c:idx val="1"/>
          <c:order val="1"/>
          <c:tx>
            <c:strRef>
              <c:f>label 1</c:f>
              <c:strCache>
                <c:ptCount val="1"/>
                <c:pt idx="0">
                  <c:v>2020年收支决算</c:v>
                </c:pt>
              </c:strCache>
            </c:strRef>
          </c:tx>
          <c:spPr>
            <a:solidFill>
              <a:srgbClr val="C0504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1"/>
                <c:pt idx="0">
                  <c:v>1</c:v>
                </c:pt>
              </c:numCache>
            </c:numRef>
          </c:cat>
          <c:val>
            <c:numRef>
              <c:f>1</c:f>
              <c:numCache>
                <c:formatCode>General</c:formatCode>
                <c:ptCount val="1"/>
                <c:pt idx="0">
                  <c:v>290.14</c:v>
                </c:pt>
              </c:numCache>
            </c:numRef>
          </c:val>
        </c:ser>
        <c:dLbls>
          <c:showLegendKey val="0"/>
          <c:showVal val="1"/>
          <c:showCatName val="0"/>
          <c:showSerName val="0"/>
          <c:showPercent val="0"/>
          <c:showBubbleSize val="1"/>
        </c:dLbls>
        <c:gapWidth val="219"/>
        <c:overlap val="-27"/>
        <c:axId val="209133568"/>
        <c:axId val="209850368"/>
      </c:barChart>
      <c:catAx>
        <c:axId val="209133568"/>
        <c:scaling>
          <c:orientation val="minMax"/>
        </c:scaling>
        <c:delete val="0"/>
        <c:axPos val="b"/>
        <c:numFmt formatCode="[$-804]yyyy/m/d"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209850368"/>
        <c:crosses val="autoZero"/>
        <c:auto val="1"/>
        <c:lblAlgn val="ctr"/>
        <c:lblOffset val="100"/>
        <c:noMultiLvlLbl val="0"/>
      </c:catAx>
      <c:valAx>
        <c:axId val="209850368"/>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936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209133568"/>
        <c:crosses val="autoZero"/>
        <c:crossBetween val="between"/>
      </c:valAx>
      <c:spPr>
        <a:noFill/>
        <a:ln w="0">
          <a:noFill/>
        </a:ln>
      </c:spPr>
    </c:plotArea>
    <c:legend>
      <c:legendPos val="b"/>
      <c:layout>
        <c:manualLayout>
          <c:xMode val="edge"/>
          <c:yMode val="edge"/>
          <c:x val="0.266125"/>
          <c:y val="0.924"/>
          <c:w val="0.551409463091443"/>
          <c:h val="0.055783975997333"/>
        </c:manualLayout>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400" b="0" i="0" u="none" strike="noStrike" kern="1200" spc="4" baseline="0">
                <a:solidFill>
                  <a:srgbClr val="808080"/>
                </a:solidFill>
                <a:latin typeface="Calibri" panose="020F0502020204030204"/>
                <a:ea typeface="+mn-ea"/>
                <a:cs typeface="+mn-cs"/>
              </a:defRPr>
            </a:pPr>
            <a:r>
              <a:rPr lang="en-US" sz="1400" b="0" strike="noStrike" spc="4">
                <a:solidFill>
                  <a:srgbClr val="808080"/>
                </a:solidFill>
                <a:latin typeface="Calibri" panose="020F0502020204030204"/>
              </a:rPr>
              <a:t>2021年收入决算结构图</a:t>
            </a:r>
            <a:endParaRPr lang="en-US" sz="1400" b="0" strike="noStrike" spc="4">
              <a:solidFill>
                <a:srgbClr val="80808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2021年收入决算结构图</c:v>
                </c:pt>
              </c:strCache>
            </c:strRef>
          </c:tx>
          <c:spPr>
            <a:solidFill>
              <a:srgbClr val="4F81BD"/>
            </a:solidFill>
            <a:ln w="0">
              <a:noFill/>
            </a:ln>
          </c:spPr>
          <c:explosion val="0"/>
          <c:dPt>
            <c:idx val="0"/>
            <c:bubble3D val="0"/>
            <c:spPr>
              <a:gradFill>
                <a:gsLst>
                  <a:gs pos="0">
                    <a:srgbClr val="BFD4FE"/>
                  </a:gs>
                  <a:gs pos="100000">
                    <a:srgbClr val="E5EFFF"/>
                  </a:gs>
                </a:gsLst>
                <a:lin ang="16200000"/>
              </a:gradFill>
              <a:ln w="9360">
                <a:solidFill>
                  <a:srgbClr val="4D7EB8"/>
                </a:solidFill>
                <a:round/>
              </a:ln>
            </c:spPr>
          </c:dPt>
          <c:dLbls>
            <c:dLbl>
              <c:idx val="0"/>
              <c:layout/>
              <c:tx>
                <c:rich>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r>
                      <a:rPr sz="1000" b="0" strike="noStrike" spc="-1">
                        <a:solidFill>
                          <a:srgbClr val="000000"/>
                        </a:solidFill>
                        <a:latin typeface="Calibri" panose="020F0502020204030204"/>
                      </a:rPr>
                      <a:t>100%</a:t>
                    </a:r>
                    <a:endParaRPr sz="1000" b="0" strike="noStrike" spc="-1">
                      <a:solidFill>
                        <a:srgbClr val="000000"/>
                      </a:solidFill>
                      <a:latin typeface="Calibri" panose="020F0502020204030204"/>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separator>; </c:separator>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595959"/>
                    </a:solidFill>
                    <a:latin typeface="Calibri" panose="020F0502020204030204"/>
                    <a:ea typeface="+mn-ea"/>
                    <a:cs typeface="+mn-cs"/>
                  </a:defRPr>
                </a:pPr>
              </a:p>
            </c:txPr>
            <c:dLblPos val="bestFit"/>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1"/>
                <c:pt idx="0">
                  <c:v>一般公共预算财政拨款收入</c:v>
                </c:pt>
              </c:strCache>
            </c:strRef>
          </c:cat>
          <c:val>
            <c:numRef>
              <c:f>0</c:f>
              <c:numCache>
                <c:formatCode>General</c:formatCode>
                <c:ptCount val="1"/>
                <c:pt idx="0">
                  <c:v>1821.21</c:v>
                </c:pt>
              </c:numCache>
            </c:numRef>
          </c:val>
        </c:ser>
        <c:dLbls>
          <c:showLegendKey val="0"/>
          <c:showVal val="1"/>
          <c:showCatName val="0"/>
          <c:showSerName val="0"/>
          <c:showPercent val="0"/>
          <c:showBubbleSize val="1"/>
          <c:showLeaderLines val="1"/>
        </c:dLbls>
        <c:firstSliceAng val="0"/>
      </c:pie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808080"/>
              </a:solidFill>
              <a:latin typeface="Calibri" panose="020F0502020204030204"/>
              <a:ea typeface="+mn-ea"/>
              <a:cs typeface="+mn-cs"/>
            </a:defRPr>
          </a:pPr>
        </a:p>
      </c:txPr>
    </c:legend>
    <c:plotVisOnly val="1"/>
    <c:dispBlanksAs val="zero"/>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2021年支出决算结构图</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2021年支出决算结构图</c:v>
                </c:pt>
              </c:strCache>
            </c:strRef>
          </c:tx>
          <c:spPr>
            <a:solidFill>
              <a:srgbClr val="4F81BD"/>
            </a:solidFill>
            <a:ln w="0">
              <a:noFill/>
            </a:ln>
          </c:spPr>
          <c:explosion val="0"/>
          <c:dPt>
            <c:idx val="0"/>
            <c:bubble3D val="0"/>
            <c:spPr>
              <a:gradFill>
                <a:gsLst>
                  <a:gs pos="0">
                    <a:srgbClr val="BFD4FE"/>
                  </a:gs>
                  <a:gs pos="100000">
                    <a:srgbClr val="E5EFFF"/>
                  </a:gs>
                </a:gsLst>
                <a:lin ang="16200000"/>
              </a:gradFill>
              <a:ln w="9360">
                <a:solidFill>
                  <a:srgbClr val="4D7EB8"/>
                </a:solidFill>
                <a:round/>
              </a:ln>
            </c:spPr>
          </c:dPt>
          <c:dPt>
            <c:idx val="1"/>
            <c:bubble3D val="0"/>
            <c:spPr>
              <a:gradFill>
                <a:gsLst>
                  <a:gs pos="0">
                    <a:srgbClr val="FFC1BE"/>
                  </a:gs>
                  <a:gs pos="100000">
                    <a:srgbClr val="FFE5E5"/>
                  </a:gs>
                </a:gsLst>
                <a:lin ang="16200000"/>
              </a:gradFill>
              <a:ln w="9360">
                <a:solidFill>
                  <a:srgbClr val="BB4E4B"/>
                </a:solidFill>
                <a:round/>
              </a:ln>
            </c:spPr>
          </c:dPt>
          <c:dPt>
            <c:idx val="2"/>
            <c:bubble3D val="0"/>
            <c:spPr>
              <a:solidFill>
                <a:srgbClr val="9BBB59"/>
              </a:solidFill>
              <a:ln w="0">
                <a:noFill/>
              </a:ln>
            </c:spPr>
          </c:dPt>
          <c:dPt>
            <c:idx val="3"/>
            <c:bubble3D val="0"/>
            <c:spPr>
              <a:solidFill>
                <a:srgbClr val="8064A2"/>
              </a:solidFill>
              <a:ln w="0">
                <a:noFill/>
              </a:ln>
            </c:spPr>
          </c:dPt>
          <c:dPt>
            <c:idx val="4"/>
            <c:bubble3D val="0"/>
            <c:spPr>
              <a:solidFill>
                <a:srgbClr val="4BACC6"/>
              </a:solidFill>
              <a:ln w="0">
                <a:noFill/>
              </a:ln>
            </c:spPr>
          </c:dPt>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0"/>
            <c:showCatName val="0"/>
            <c:showSerName val="0"/>
            <c:showPercent val="1"/>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5"/>
                <c:pt idx="0">
                  <c:v>基本支出</c:v>
                </c:pt>
                <c:pt idx="1">
                  <c:v>项目支出</c:v>
                </c:pt>
                <c:pt idx="2">
                  <c:v>上缴上级支出</c:v>
                </c:pt>
                <c:pt idx="3">
                  <c:v>经营支出</c:v>
                </c:pt>
                <c:pt idx="4">
                  <c:v>对附属单位补助支出</c:v>
                </c:pt>
              </c:strCache>
            </c:strRef>
          </c:cat>
          <c:val>
            <c:numRef>
              <c:f>0</c:f>
              <c:numCache>
                <c:formatCode>General</c:formatCode>
                <c:ptCount val="5"/>
                <c:pt idx="0">
                  <c:v>320.07</c:v>
                </c:pt>
                <c:pt idx="1">
                  <c:v>43.98</c:v>
                </c:pt>
                <c:pt idx="2">
                  <c:v>0</c:v>
                </c:pt>
                <c:pt idx="3">
                  <c:v>0</c:v>
                </c:pt>
                <c:pt idx="4">
                  <c:v>0</c:v>
                </c:pt>
              </c:numCache>
            </c:numRef>
          </c:val>
        </c:ser>
        <c:dLbls>
          <c:showLegendKey val="0"/>
          <c:showVal val="0"/>
          <c:showCatName val="0"/>
          <c:showSerName val="0"/>
          <c:showPercent val="1"/>
          <c:showBubbleSize val="1"/>
          <c:showLeaderLines val="1"/>
        </c:dLbls>
        <c:firstSliceAng val="0"/>
      </c:pieChart>
      <c:spPr>
        <a:no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zero"/>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1" baseline="0">
                <a:solidFill>
                  <a:srgbClr val="595959"/>
                </a:solidFill>
                <a:latin typeface="Calibri" panose="020F0502020204030204"/>
                <a:ea typeface="+mn-ea"/>
                <a:cs typeface="+mn-cs"/>
              </a:defRPr>
            </a:pPr>
            <a:r>
              <a:rPr sz="1400" b="0" strike="noStrike" spc="-1">
                <a:solidFill>
                  <a:srgbClr val="595959"/>
                </a:solidFill>
                <a:latin typeface="Calibri" panose="020F0502020204030204"/>
              </a:rPr>
              <a:t>财政拨款收、支决算总计变动情况</a:t>
            </a:r>
            <a:endParaRPr sz="1400" b="0" strike="noStrike" spc="-1">
              <a:solidFill>
                <a:srgbClr val="595959"/>
              </a:solidFill>
              <a:latin typeface="Calibri" panose="020F0502020204030204"/>
            </a:endParaRPr>
          </a:p>
        </c:rich>
      </c:tx>
      <c:layout>
        <c:manualLayout>
          <c:xMode val="edge"/>
          <c:yMode val="edge"/>
          <c:x val="0.163053983156151"/>
          <c:y val="0.038913362701909"/>
        </c:manualLayout>
      </c:layout>
      <c:overlay val="0"/>
      <c:spPr>
        <a:noFill/>
        <a:ln w="0">
          <a:noFill/>
        </a:ln>
      </c:spPr>
    </c:title>
    <c:autoTitleDeleted val="0"/>
    <c:plotArea>
      <c:layout/>
      <c:barChart>
        <c:barDir val="col"/>
        <c:grouping val="clustered"/>
        <c:varyColors val="0"/>
        <c:ser>
          <c:idx val="0"/>
          <c:order val="0"/>
          <c:tx>
            <c:strRef>
              <c:f>label 0</c:f>
              <c:strCache>
                <c:ptCount val="1"/>
                <c:pt idx="0">
                  <c:v>2021年财政拨款收、支决算</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1"/>
                <c:pt idx="0">
                  <c:v>1</c:v>
                </c:pt>
              </c:numCache>
            </c:numRef>
          </c:cat>
          <c:val>
            <c:numRef>
              <c:f>0</c:f>
              <c:numCache>
                <c:formatCode>General</c:formatCode>
                <c:ptCount val="1"/>
                <c:pt idx="0">
                  <c:v>364.05</c:v>
                </c:pt>
              </c:numCache>
            </c:numRef>
          </c:val>
        </c:ser>
        <c:ser>
          <c:idx val="1"/>
          <c:order val="1"/>
          <c:tx>
            <c:strRef>
              <c:f>label 1</c:f>
              <c:strCache>
                <c:ptCount val="1"/>
                <c:pt idx="0">
                  <c:v>2020年财政拨款收、支决算</c:v>
                </c:pt>
              </c:strCache>
            </c:strRef>
          </c:tx>
          <c:spPr>
            <a:solidFill>
              <a:srgbClr val="C0504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1"/>
                <c:pt idx="0">
                  <c:v>1</c:v>
                </c:pt>
              </c:numCache>
            </c:numRef>
          </c:cat>
          <c:val>
            <c:numRef>
              <c:f>1</c:f>
              <c:numCache>
                <c:formatCode>General</c:formatCode>
                <c:ptCount val="1"/>
                <c:pt idx="0">
                  <c:v>0</c:v>
                </c:pt>
              </c:numCache>
            </c:numRef>
          </c:val>
        </c:ser>
        <c:dLbls>
          <c:showLegendKey val="0"/>
          <c:showVal val="1"/>
          <c:showCatName val="0"/>
          <c:showSerName val="0"/>
          <c:showPercent val="0"/>
          <c:showBubbleSize val="1"/>
        </c:dLbls>
        <c:gapWidth val="219"/>
        <c:overlap val="-27"/>
        <c:axId val="208304384"/>
        <c:axId val="208310272"/>
      </c:barChart>
      <c:catAx>
        <c:axId val="208304384"/>
        <c:scaling>
          <c:orientation val="minMax"/>
        </c:scaling>
        <c:delete val="0"/>
        <c:axPos val="b"/>
        <c:numFmt formatCode="[$-804]yyyy/m/d"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208310272"/>
        <c:crosses val="autoZero"/>
        <c:auto val="1"/>
        <c:lblAlgn val="ctr"/>
        <c:lblOffset val="100"/>
        <c:noMultiLvlLbl val="0"/>
      </c:catAx>
      <c:valAx>
        <c:axId val="208310272"/>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936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208304384"/>
        <c:crosses val="autoZero"/>
        <c:crossBetween val="between"/>
      </c:valAx>
      <c:spPr>
        <a:noFill/>
        <a:ln w="0">
          <a:noFill/>
        </a:ln>
      </c:spPr>
    </c:plotArea>
    <c:legend>
      <c:legendPos val="b"/>
      <c:layout>
        <c:manualLayout>
          <c:xMode val="edge"/>
          <c:yMode val="edge"/>
          <c:x val="0.2660625"/>
          <c:y val="0.897111111111111"/>
          <c:w val="0.551409463091443"/>
          <c:h val="0.0562284698299811"/>
        </c:manualLayout>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1" baseline="0">
                <a:solidFill>
                  <a:srgbClr val="595959"/>
                </a:solidFill>
                <a:latin typeface="Calibri" panose="020F0502020204030204"/>
                <a:ea typeface="+mn-ea"/>
                <a:cs typeface="+mn-cs"/>
              </a:defRPr>
            </a:pPr>
            <a:r>
              <a:rPr sz="1400" b="0" strike="noStrike" spc="-1">
                <a:solidFill>
                  <a:srgbClr val="595959"/>
                </a:solidFill>
                <a:latin typeface="Calibri" panose="020F0502020204030204"/>
              </a:rPr>
              <a:t>一般公共预算财政拨款支出决算总计变动情况</a:t>
            </a:r>
            <a:endParaRPr sz="1400" b="0" strike="noStrike" spc="-1">
              <a:solidFill>
                <a:srgbClr val="595959"/>
              </a:solidFill>
              <a:latin typeface="Calibri" panose="020F0502020204030204"/>
            </a:endParaRPr>
          </a:p>
        </c:rich>
      </c:tx>
      <c:layout>
        <c:manualLayout>
          <c:xMode val="edge"/>
          <c:yMode val="edge"/>
          <c:x val="0.163185024416712"/>
          <c:y val="0.0387491502379334"/>
        </c:manualLayout>
      </c:layout>
      <c:overlay val="0"/>
      <c:spPr>
        <a:noFill/>
        <a:ln w="0">
          <a:noFill/>
        </a:ln>
      </c:spPr>
    </c:title>
    <c:autoTitleDeleted val="0"/>
    <c:plotArea>
      <c:layout>
        <c:manualLayout>
          <c:layoutTarget val="inner"/>
          <c:xMode val="edge"/>
          <c:yMode val="edge"/>
          <c:x val="0.0786875"/>
          <c:y val="0.117"/>
          <c:w val="0.8938125"/>
          <c:h val="0.716444444444444"/>
        </c:manualLayout>
      </c:layout>
      <c:barChart>
        <c:barDir val="col"/>
        <c:grouping val="clustered"/>
        <c:varyColors val="0"/>
        <c:ser>
          <c:idx val="0"/>
          <c:order val="0"/>
          <c:tx>
            <c:strRef>
              <c:f>label 0</c:f>
              <c:strCache>
                <c:ptCount val="1"/>
                <c:pt idx="0">
                  <c:v>2021年一般财政公共预算拨款支出决算</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1"/>
                <c:pt idx="0">
                  <c:v>1</c:v>
                </c:pt>
              </c:numCache>
            </c:numRef>
          </c:cat>
          <c:val>
            <c:numRef>
              <c:f>0</c:f>
              <c:numCache>
                <c:formatCode>General</c:formatCode>
                <c:ptCount val="1"/>
                <c:pt idx="0">
                  <c:v>364.05</c:v>
                </c:pt>
              </c:numCache>
            </c:numRef>
          </c:val>
        </c:ser>
        <c:ser>
          <c:idx val="1"/>
          <c:order val="1"/>
          <c:tx>
            <c:strRef>
              <c:f>label 1</c:f>
              <c:strCache>
                <c:ptCount val="1"/>
                <c:pt idx="0">
                  <c:v>2020年一般财政公共预算拨款支出决算</c:v>
                </c:pt>
              </c:strCache>
            </c:strRef>
          </c:tx>
          <c:spPr>
            <a:solidFill>
              <a:srgbClr val="C0504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1"/>
                <c:pt idx="0">
                  <c:v>1</c:v>
                </c:pt>
              </c:numCache>
            </c:numRef>
          </c:cat>
          <c:val>
            <c:numRef>
              <c:f>1</c:f>
              <c:numCache>
                <c:formatCode>General</c:formatCode>
                <c:ptCount val="1"/>
                <c:pt idx="0">
                  <c:v>290.14</c:v>
                </c:pt>
              </c:numCache>
            </c:numRef>
          </c:val>
        </c:ser>
        <c:dLbls>
          <c:showLegendKey val="0"/>
          <c:showVal val="1"/>
          <c:showCatName val="0"/>
          <c:showSerName val="0"/>
          <c:showPercent val="0"/>
          <c:showBubbleSize val="1"/>
        </c:dLbls>
        <c:gapWidth val="219"/>
        <c:overlap val="-27"/>
        <c:axId val="208278656"/>
        <c:axId val="208280192"/>
      </c:barChart>
      <c:catAx>
        <c:axId val="208278656"/>
        <c:scaling>
          <c:orientation val="minMax"/>
        </c:scaling>
        <c:delete val="0"/>
        <c:axPos val="b"/>
        <c:numFmt formatCode="[$-804]yyyy/m/d"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208280192"/>
        <c:crosses val="autoZero"/>
        <c:auto val="1"/>
        <c:lblAlgn val="ctr"/>
        <c:lblOffset val="100"/>
        <c:noMultiLvlLbl val="0"/>
      </c:catAx>
      <c:valAx>
        <c:axId val="208280192"/>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936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208278656"/>
        <c:crosses val="autoZero"/>
        <c:crossBetween val="between"/>
      </c:valAx>
      <c:spPr>
        <a:noFill/>
        <a:ln w="0">
          <a:noFill/>
        </a:ln>
      </c:spPr>
    </c:plotArea>
    <c:legend>
      <c:legendPos val="b"/>
      <c:layout>
        <c:manualLayout>
          <c:xMode val="edge"/>
          <c:yMode val="edge"/>
          <c:x val="0.266125"/>
          <c:y val="0.924"/>
          <c:w val="0.551409463091443"/>
          <c:h val="0.055783975997333"/>
        </c:manualLayout>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金额（元）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金额（元）</c:v>
                </c:pt>
              </c:strCache>
            </c:strRef>
          </c:tx>
          <c:spPr>
            <a:solidFill>
              <a:srgbClr val="4F81BD"/>
            </a:solidFill>
            <a:ln w="0">
              <a:noFill/>
            </a:ln>
          </c:spPr>
          <c:explosion val="0"/>
          <c:dPt>
            <c:idx val="0"/>
            <c:bubble3D val="0"/>
            <c:spPr>
              <a:solidFill>
                <a:srgbClr val="4F81BD"/>
              </a:solidFill>
              <a:ln w="19080">
                <a:solidFill>
                  <a:srgbClr val="FFFFFF"/>
                </a:solidFill>
                <a:round/>
              </a:ln>
            </c:spPr>
          </c:dPt>
          <c:dPt>
            <c:idx val="1"/>
            <c:bubble3D val="0"/>
            <c:spPr>
              <a:solidFill>
                <a:srgbClr val="C0504D"/>
              </a:solidFill>
              <a:ln w="19080">
                <a:solidFill>
                  <a:srgbClr val="FFFFFF"/>
                </a:solidFill>
                <a:round/>
              </a:ln>
            </c:spPr>
          </c:dPt>
          <c:dPt>
            <c:idx val="2"/>
            <c:bubble3D val="0"/>
            <c:spPr>
              <a:solidFill>
                <a:srgbClr val="9BBB59"/>
              </a:solidFill>
              <a:ln w="19080">
                <a:solidFill>
                  <a:srgbClr val="FFFFFF"/>
                </a:solidFill>
                <a:round/>
              </a:ln>
            </c:spPr>
          </c:dPt>
          <c:dPt>
            <c:idx val="3"/>
            <c:bubble3D val="0"/>
            <c:spPr>
              <a:solidFill>
                <a:srgbClr val="8064A2"/>
              </a:solidFill>
              <a:ln w="19080">
                <a:solidFill>
                  <a:srgbClr val="FFFFFF"/>
                </a:solidFill>
                <a:round/>
              </a:ln>
            </c:spPr>
          </c:dPt>
          <c:dPt>
            <c:idx val="4"/>
            <c:bubble3D val="0"/>
            <c:spPr>
              <a:solidFill>
                <a:srgbClr val="4BACC6"/>
              </a:solidFill>
              <a:ln w="19080">
                <a:solidFill>
                  <a:srgbClr val="FFFFFF"/>
                </a:solidFill>
                <a:round/>
              </a:ln>
            </c:spPr>
          </c:dPt>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0"/>
            <c:showCatName val="0"/>
            <c:showSerName val="0"/>
            <c:showPercent val="1"/>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5"/>
                <c:pt idx="0">
                  <c:v>教育支出</c:v>
                </c:pt>
                <c:pt idx="1">
                  <c:v>社会保障和就业支出</c:v>
                </c:pt>
                <c:pt idx="2">
                  <c:v>卫生健康支出</c:v>
                </c:pt>
                <c:pt idx="3">
                  <c:v>农林水支出</c:v>
                </c:pt>
                <c:pt idx="4">
                  <c:v>住房保障支出</c:v>
                </c:pt>
              </c:strCache>
            </c:strRef>
          </c:cat>
          <c:val>
            <c:numRef>
              <c:f>0</c:f>
              <c:numCache>
                <c:formatCode>General</c:formatCode>
                <c:ptCount val="5"/>
                <c:pt idx="0">
                  <c:v>300.51</c:v>
                </c:pt>
                <c:pt idx="1">
                  <c:v>32.35</c:v>
                </c:pt>
                <c:pt idx="2">
                  <c:v>13.64</c:v>
                </c:pt>
                <c:pt idx="3">
                  <c:v>0.5</c:v>
                </c:pt>
                <c:pt idx="4">
                  <c:v>17.55</c:v>
                </c:pt>
              </c:numCache>
            </c:numRef>
          </c:val>
        </c:ser>
        <c:dLbls>
          <c:showLegendKey val="0"/>
          <c:showVal val="0"/>
          <c:showCatName val="0"/>
          <c:showSerName val="0"/>
          <c:showPercent val="1"/>
          <c:showBubbleSize val="1"/>
          <c:showLeaderLines val="1"/>
        </c:dLbls>
        <c:firstSliceAng val="0"/>
      </c:pieChart>
      <c:spPr>
        <a:no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zero"/>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1" baseline="0">
                <a:solidFill>
                  <a:srgbClr val="595959"/>
                </a:solidFill>
                <a:latin typeface="Calibri" panose="020F0502020204030204"/>
                <a:ea typeface="+mn-ea"/>
                <a:cs typeface="+mn-cs"/>
              </a:defRPr>
            </a:pPr>
            <a:r>
              <a:rPr sz="1400" b="0" strike="noStrike" spc="-1">
                <a:solidFill>
                  <a:srgbClr val="595959"/>
                </a:solidFill>
                <a:latin typeface="Calibri" panose="020F0502020204030204"/>
              </a:rPr>
              <a:t>“三公经”费财政拨款支出结构图</a:t>
            </a:r>
            <a:endParaRPr sz="1400" b="0" strike="noStrike" spc="-1">
              <a:solidFill>
                <a:srgbClr val="595959"/>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销售额</c:v>
                </c:pt>
              </c:strCache>
            </c:strRef>
          </c:tx>
          <c:spPr>
            <a:solidFill>
              <a:srgbClr val="4F81BD"/>
            </a:solidFill>
            <a:ln w="0">
              <a:noFill/>
            </a:ln>
          </c:spPr>
          <c:explosion val="0"/>
          <c:dPt>
            <c:idx val="0"/>
            <c:bubble3D val="0"/>
            <c:spPr>
              <a:solidFill>
                <a:srgbClr val="4F81BD"/>
              </a:solidFill>
              <a:ln w="19080">
                <a:solidFill>
                  <a:srgbClr val="FFFFFF"/>
                </a:solidFill>
                <a:round/>
              </a:ln>
            </c:spPr>
          </c:dPt>
          <c:dPt>
            <c:idx val="1"/>
            <c:bubble3D val="0"/>
            <c:spPr>
              <a:solidFill>
                <a:srgbClr val="C0504D"/>
              </a:solidFill>
              <a:ln w="19080">
                <a:solidFill>
                  <a:srgbClr val="FFFFFF"/>
                </a:solidFill>
                <a:round/>
              </a:ln>
            </c:spPr>
          </c:dPt>
          <c:dPt>
            <c:idx val="2"/>
            <c:bubble3D val="0"/>
            <c:spPr>
              <a:solidFill>
                <a:srgbClr val="9BBB59"/>
              </a:solidFill>
              <a:ln w="19080">
                <a:solidFill>
                  <a:srgbClr val="FFFFFF"/>
                </a:solidFill>
                <a:round/>
              </a:ln>
            </c:spPr>
          </c:dPt>
          <c:dPt>
            <c:idx val="3"/>
            <c:bubble3D val="0"/>
            <c:spPr>
              <a:solidFill>
                <a:srgbClr val="8064A2"/>
              </a:solidFill>
              <a:ln w="19080">
                <a:solidFill>
                  <a:srgbClr val="FFFFFF"/>
                </a:solidFill>
                <a:round/>
              </a:ln>
            </c:spPr>
          </c:dPt>
          <c:dLbls>
            <c:dLbl>
              <c:idx val="2"/>
              <c:layout/>
              <c:tx>
                <c:rich>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r>
                      <a:rPr sz="1000" b="0" strike="noStrike" spc="-1">
                        <a:solidFill>
                          <a:srgbClr val="000000"/>
                        </a:solidFill>
                        <a:latin typeface="Calibri" panose="020F0502020204030204"/>
                      </a:rPr>
                      <a:t>100%</a:t>
                    </a:r>
                    <a:endParaRPr sz="1000" b="0" strike="noStrike" spc="-1">
                      <a:solidFill>
                        <a:srgbClr val="000000"/>
                      </a:solidFill>
                      <a:latin typeface="Calibri" panose="020F0502020204030204"/>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separator>; </c:separator>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     因公出国（境）费</c:v>
                </c:pt>
                <c:pt idx="1">
                  <c:v>     公务用车购置及运行维护费</c:v>
                </c:pt>
                <c:pt idx="2">
                  <c:v>     公务接待费</c:v>
                </c:pt>
              </c:strCache>
            </c:strRef>
          </c:cat>
          <c:val>
            <c:numRef>
              <c:f>0</c:f>
              <c:numCache>
                <c:formatCode>General</c:formatCode>
                <c:ptCount val="4"/>
                <c:pt idx="0">
                  <c:v>0</c:v>
                </c:pt>
                <c:pt idx="1">
                  <c:v>0</c:v>
                </c:pt>
                <c:pt idx="2">
                  <c:v>10200</c:v>
                </c:pt>
              </c:numCache>
            </c:numRef>
          </c:val>
        </c:ser>
        <c:dLbls>
          <c:showLegendKey val="0"/>
          <c:showVal val="1"/>
          <c:showCatName val="0"/>
          <c:showSerName val="0"/>
          <c:showPercent val="0"/>
          <c:showBubbleSize val="1"/>
          <c:showLeaderLines val="1"/>
        </c:dLbls>
        <c:firstSliceAng val="0"/>
      </c:pie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zero"/>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2022-09-06T14:16:00Z</cp:lastPrinted>
  <dcterms:modified xsi:type="dcterms:W3CDTF">2022-11-04T07:20:35Z</dcterms:modified>
  <dc:title>四川省***</dc:title>
  <cp:revision>22</cp:revision>
</cp:coreProperties>
</file>

<file path=customXml/item10.xml><?xml version="1.0" encoding="utf-8"?>
<Properties xmlns="http://schemas.openxmlformats.org/officeDocument/2006/custom-properties" xmlns:vt="http://schemas.openxmlformats.org/officeDocument/2006/docPropsVTypes">
  <property fmtid="{D5CDD505-2E9C-101B-9397-08002B2CF9AE}" pid="2" name="ICV">
    <vt:lpwstr>53FE8F97FCF64496AD8B8824D9BCC224</vt:lpwstr>
  </property>
  <property fmtid="{D5CDD505-2E9C-101B-9397-08002B2CF9AE}" pid="3" name="KSOProductBuildVer">
    <vt:lpwstr>2052-11.1.0.9208</vt:lpw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ICV">
    <vt:lpstr>53FE8F97FCF64496AD8B8824D9BCC224</vt:lpstr>
  </property>
  <property fmtid="{D5CDD505-2E9C-101B-9397-08002B2CF9AE}" pid="3" name="KSOProductBuildVer">
    <vt:lpstr>2052-11.1.0.9208</vt:lpstr>
  </property>
</Properties>
</file>

<file path=customXml/item12.xml><?xml version="1.0" encoding="utf-8"?>
<Properties xmlns="http://schemas.openxmlformats.org/officeDocument/2006/extended-properties" xmlns:vt="http://schemas.openxmlformats.org/officeDocument/2006/docPropsVTypes">
  <Template>Normal</Template>
  <Company>四川省财政厅</Company>
  <Pages>11</Pages>
  <Words>6046</Words>
  <Characters>7910</Characters>
  <Paragraphs>175</Paragraphs>
  <TotalTime>8</TotalTime>
  <ScaleCrop>false</ScaleCrop>
  <LinksUpToDate>false</LinksUpToDate>
  <CharactersWithSpaces>7991</CharactersWithSpaces>
  <Application>WPS Office_11.1.0.9208_F1E327BC-269C-435d-A152-05C5408002CA</Applicat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22</cp:revision>
  <cp:lastPrinted>2022-09-06T14:16:00Z</cp:lastPrinted>
  <dcterms:created xsi:type="dcterms:W3CDTF">2020-08-05T01:49:00Z</dcterms:created>
  <dcterms:modified xsi:type="dcterms:W3CDTF">2022-11-04T07:20:35Z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29</cp:revision>
  <cp:lastPrinted>2022-09-06T14:16:00Z</cp:lastPrinted>
  <dcterms:created xsi:type="dcterms:W3CDTF">2020-08-05T01:49:00Z</dcterms:created>
  <dcterms:modified xsi:type="dcterms:W3CDTF">2023-02-24T00:57:00Z</dcterms:modified>
</cp:coreProperties>
</file>

<file path=customXml/item3.xml><?xml version="1.0" encoding="utf-8"?>
<Properties xmlns:vt="http://schemas.openxmlformats.org/officeDocument/2006/docPropsVTypes" xmlns="http://schemas.openxmlformats.org/officeDocument/2006/extended-properties">
  <Template>Normal</Template>
  <TotalTime>14</TotalTime>
  <Pages>17</Pages>
  <Words>1117</Words>
  <Characters>6373</Characters>
  <Application>Microsoft Office Word</Application>
  <DocSecurity>0</DocSecurity>
  <Lines>53</Lines>
  <Paragraphs>14</Paragraphs>
  <Company>四川省财政厅</Company>
  <CharactersWithSpaces>7476</CharactersWithSpaces>
  <AppVersion>12.0000</AppVersion>
</Properties>
</file>

<file path=customXml/item4.xml><?xml version="1.0" encoding="utf-8"?>
<Properties xmlns="http://schemas.openxmlformats.org/officeDocument/2006/extended-properties" xmlns:vt="http://schemas.openxmlformats.org/officeDocument/2006/docPropsVTypes">
  <Template>Normal</Template>
  <TotalTime>14</TotalTime>
  <Pages>17</Pages>
  <Words>1117</Words>
  <Characters>6373</Characters>
  <Application>Microsoft Office Word</Application>
  <DocSecurity>0</DocSecurity>
  <Lines>53</Lines>
  <Paragraphs>14</Paragraphs>
  <ScaleCrop>false</ScaleCrop>
  <Company>四川省财政厅</Company>
  <LinksUpToDate>false</LinksUpToDate>
  <CharactersWithSpaces>7476</CharactersWithSpaces>
  <SharedDoc>false</SharedDoc>
  <HyperlinksChanged>false</HyperlinksChanged>
  <AppVersion>12.0000</AppVersion>
</Properties>
</file>

<file path=customXml/item5.xml><?xml version="1.0" encoding="utf-8"?>
<Properties xmlns:vt="http://schemas.openxmlformats.org/officeDocument/2006/docPropsVTypes" xmlns="http://schemas.openxmlformats.org/officeDocument/2006/extended-properties">
  <Template>Normal</Template>
  <TotalTime>8</TotalTime>
  <Pages>11</Pages>
  <Words>6046</Words>
  <Characters>7910</Characters>
  <Application>WPS Office_11.1.0.9208_F1E327BC-269C-435d-A152-05C5408002CA</Application>
  <Paragraphs>175</Paragraphs>
  <Company>四川省财政厅</Company>
  <CharactersWithSpaces>7991</CharactersWithSpaces>
  <AppVersion>12.0000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ICV">
    <vt:lpstr>53FE8F97FCF64496AD8B8824D9BCC224</vt:lpstr>
  </property>
  <property fmtid="{D5CDD505-2E9C-101B-9397-08002B2CF9AE}" pid="3" name="KSOProductBuildVer">
    <vt:lpstr>2052-11.1.0.9208</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ICV">
    <vt:lpwstr>53FE8F97FCF64496AD8B8824D9BCC224</vt:lpwstr>
  </property>
  <property fmtid="{D5CDD505-2E9C-101B-9397-08002B2CF9AE}" pid="3" name="KSOProductBuildVer">
    <vt:lpwstr>2052-11.1.0.9208</vt:lpwstr>
  </property>
</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29</cp:revision>
  <cp:lastPrinted>2022-09-06T14:16:00Z</cp:lastPrinted>
  <dcterms:created xsi:type="dcterms:W3CDTF">2020-08-05T01:49:00Z</dcterms:created>
  <dcterms:modified xsi:type="dcterms:W3CDTF">2023-02-24T00:57:00Z</dcterms:modified>
</cp:coreProperties>
</file>

<file path=customXml/itemProps1.xml><?xml version="1.0" encoding="utf-8"?>
<ds:datastoreItem xmlns:ds="http://schemas.openxmlformats.org/officeDocument/2006/customXml" ds:itemID="{C8607541-A648-4EAD-A78E-76D1F9AA9420}">
  <ds:schemaRefs/>
</ds:datastoreItem>
</file>

<file path=customXml/itemProps10.xml><?xml version="1.0" encoding="utf-8"?>
<ds:datastoreItem xmlns:ds="http://schemas.openxmlformats.org/officeDocument/2006/customXml" ds:itemID="{66CB5C18-2066-4476-B1AF-B0131783610B}">
  <ds:schemaRefs/>
</ds:datastoreItem>
</file>

<file path=customXml/itemProps11.xml><?xml version="1.0" encoding="utf-8"?>
<ds:datastoreItem xmlns:ds="http://schemas.openxmlformats.org/officeDocument/2006/customXml" ds:itemID="{04D4DB76-C713-4E2E-9E51-78AA5E093165}">
  <ds:schemaRefs/>
</ds:datastoreItem>
</file>

<file path=customXml/itemProps12.xml><?xml version="1.0" encoding="utf-8"?>
<ds:datastoreItem xmlns:ds="http://schemas.openxmlformats.org/officeDocument/2006/customXml" ds:itemID="{C5BC687A-7272-46F1-8EA1-5FEE9BB85FC3}">
  <ds:schemaRefs/>
</ds:datastoreItem>
</file>

<file path=customXml/itemProps13.xml><?xml version="1.0" encoding="utf-8"?>
<ds:datastoreItem xmlns:ds="http://schemas.openxmlformats.org/officeDocument/2006/customXml" ds:itemID="{A96D74F5-0972-4A12-AF7E-102B0456BEEC}">
  <ds:schemaRefs/>
</ds:datastoreItem>
</file>

<file path=customXml/itemProps2.xml><?xml version="1.0" encoding="utf-8"?>
<ds:datastoreItem xmlns:ds="http://schemas.openxmlformats.org/officeDocument/2006/customXml" ds:itemID="{49CFD430-49B6-4810-A8C1-B4D3295C8153}">
  <ds:schemaRefs/>
</ds:datastoreItem>
</file>

<file path=customXml/itemProps3.xml><?xml version="1.0" encoding="utf-8"?>
<ds:datastoreItem xmlns:ds="http://schemas.openxmlformats.org/officeDocument/2006/customXml" ds:itemID="{54A8D270-D897-4B64-9315-813E99FAF070}">
  <ds:schemaRefs/>
</ds:datastoreItem>
</file>

<file path=customXml/itemProps4.xml><?xml version="1.0" encoding="utf-8"?>
<ds:datastoreItem xmlns:ds="http://schemas.openxmlformats.org/officeDocument/2006/customXml" ds:itemID="{E9A528D7-891D-4866-8117-F076586CD690}">
  <ds:schemaRefs/>
</ds:datastoreItem>
</file>

<file path=customXml/itemProps5.xml><?xml version="1.0" encoding="utf-8"?>
<ds:datastoreItem xmlns:ds="http://schemas.openxmlformats.org/officeDocument/2006/customXml" ds:itemID="{8FD88ECE-5DB8-436C-A376-41B1A825A830}">
  <ds:schemaRefs/>
</ds:datastoreItem>
</file>

<file path=customXml/itemProps6.xml><?xml version="1.0" encoding="utf-8"?>
<ds:datastoreItem xmlns:ds="http://schemas.openxmlformats.org/officeDocument/2006/customXml" ds:itemID="{1774999B-01EE-429C-BFFF-75D2481DAF43}">
  <ds:schemaRefs/>
</ds:datastoreItem>
</file>

<file path=customXml/itemProps7.xml><?xml version="1.0" encoding="utf-8"?>
<ds:datastoreItem xmlns:ds="http://schemas.openxmlformats.org/officeDocument/2006/customXml" ds:itemID="{AF93BD91-7066-4DBE-895E-D3404B464433}">
  <ds:schemaRefs/>
</ds:datastoreItem>
</file>

<file path=customXml/itemProps8.xml><?xml version="1.0" encoding="utf-8"?>
<ds:datastoreItem xmlns:ds="http://schemas.openxmlformats.org/officeDocument/2006/customXml" ds:itemID="{C1E9E712-DF0B-4ECB-BE88-ECED36A8B7FE}">
  <ds:schemaRefs/>
</ds:datastoreItem>
</file>

<file path=customXml/itemProps9.xml><?xml version="1.0" encoding="utf-8"?>
<ds:datastoreItem xmlns:ds="http://schemas.openxmlformats.org/officeDocument/2006/customXml" ds:itemID="{0509D28A-0E9B-46C7-B3F9-30E970351D2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5318</Words>
  <Characters>5719</Characters>
  <Lines>52</Lines>
  <Paragraphs>14</Paragraphs>
  <TotalTime>11</TotalTime>
  <ScaleCrop>false</ScaleCrop>
  <LinksUpToDate>false</LinksUpToDate>
  <CharactersWithSpaces>6172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2022-09-06T14:16:00Z</cp:lastPrinted>
  <dcterms:modified xsi:type="dcterms:W3CDTF">2023-04-16T10:34:02Z</dcterms:modified>
  <dc:title>四川省***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53FE8F97FCF64496AD8B8824D9BCC224</vt:lpwstr>
  </property>
  <property fmtid="{D5CDD505-2E9C-101B-9397-08002B2CF9AE}" pid="3" name="KSOProductBuildVer">
    <vt:lpwstr>2052-11.1.0.14036</vt:lpwstr>
  </property>
</Properties>
</file>