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方正小标宋简体" w:hAnsi="宋体" w:eastAsia="方正小标宋简体"/>
          <w:sz w:val="72"/>
          <w:szCs w:val="72"/>
        </w:rPr>
      </w:pPr>
      <w:bookmarkStart w:id="0" w:name="_Toc15306267"/>
    </w:p>
    <w:p>
      <w:pPr>
        <w:spacing w:line="600" w:lineRule="exact"/>
        <w:jc w:val="center"/>
        <w:rPr>
          <w:rFonts w:ascii="方正小标宋简体" w:hAnsi="宋体" w:eastAsia="方正小标宋简体"/>
          <w:sz w:val="72"/>
          <w:szCs w:val="72"/>
        </w:rPr>
      </w:pPr>
    </w:p>
    <w:p>
      <w:pPr>
        <w:spacing w:line="600" w:lineRule="exact"/>
        <w:jc w:val="center"/>
        <w:rPr>
          <w:rFonts w:ascii="方正小标宋简体" w:hAnsi="宋体" w:eastAsia="方正小标宋简体"/>
          <w:sz w:val="72"/>
          <w:szCs w:val="72"/>
        </w:rPr>
      </w:pPr>
    </w:p>
    <w:p>
      <w:pPr>
        <w:spacing w:line="600" w:lineRule="exact"/>
        <w:jc w:val="center"/>
        <w:rPr>
          <w:rFonts w:ascii="方正小标宋简体" w:hAnsi="宋体" w:eastAsia="方正小标宋简体"/>
          <w:sz w:val="72"/>
          <w:szCs w:val="72"/>
        </w:rPr>
      </w:pPr>
    </w:p>
    <w:p>
      <w:pPr>
        <w:adjustRightInd w:val="0"/>
        <w:snapToGrid w:val="0"/>
        <w:spacing w:line="360" w:lineRule="auto"/>
        <w:jc w:val="center"/>
        <w:outlineLvl w:val="0"/>
        <w:rPr>
          <w:rFonts w:ascii="方正小标宋简体" w:hAnsi="方正小标宋简体" w:eastAsia="方正小标宋简体" w:cs="方正小标宋简体"/>
          <w:sz w:val="52"/>
          <w:szCs w:val="52"/>
        </w:rPr>
      </w:pPr>
      <w:bookmarkStart w:id="1" w:name="_Toc15378441"/>
      <w:bookmarkStart w:id="2" w:name="_Toc15396597"/>
      <w:bookmarkStart w:id="3" w:name="_Toc15377425"/>
      <w:bookmarkStart w:id="4" w:name="_Toc15377193"/>
      <w:bookmarkStart w:id="5" w:name="_Toc15396475"/>
      <w:bookmarkStart w:id="6" w:name="_Toc15458"/>
      <w:r>
        <w:rPr>
          <w:rFonts w:hint="eastAsia" w:ascii="方正小标宋简体" w:hAnsi="方正小标宋简体" w:eastAsia="方正小标宋简体" w:cs="方正小标宋简体"/>
          <w:sz w:val="52"/>
          <w:szCs w:val="52"/>
        </w:rPr>
        <w:t>2021年度</w:t>
      </w:r>
      <w:bookmarkEnd w:id="1"/>
      <w:bookmarkEnd w:id="2"/>
      <w:bookmarkEnd w:id="3"/>
      <w:bookmarkEnd w:id="4"/>
      <w:bookmarkEnd w:id="5"/>
      <w:bookmarkEnd w:id="6"/>
    </w:p>
    <w:p>
      <w:pPr>
        <w:adjustRightInd w:val="0"/>
        <w:snapToGrid w:val="0"/>
        <w:spacing w:line="360" w:lineRule="auto"/>
        <w:jc w:val="center"/>
        <w:outlineLvl w:val="0"/>
        <w:rPr>
          <w:rFonts w:ascii="方正小标宋简体" w:hAnsi="方正小标宋简体" w:eastAsia="方正小标宋简体" w:cs="方正小标宋简体"/>
          <w:sz w:val="52"/>
          <w:szCs w:val="52"/>
        </w:rPr>
      </w:pPr>
      <w:bookmarkStart w:id="7" w:name="_Toc21644"/>
      <w:bookmarkStart w:id="8" w:name="_Toc15396476"/>
      <w:bookmarkStart w:id="9" w:name="_Toc15377426"/>
      <w:bookmarkStart w:id="10" w:name="_Toc15378442"/>
      <w:bookmarkStart w:id="11" w:name="_Toc15396598"/>
      <w:bookmarkStart w:id="12" w:name="_Toc15377194"/>
      <w:r>
        <w:rPr>
          <w:rFonts w:hint="eastAsia" w:ascii="方正小标宋简体" w:hAnsi="方正小标宋简体" w:eastAsia="方正小标宋简体" w:cs="方正小标宋简体"/>
          <w:sz w:val="52"/>
          <w:szCs w:val="52"/>
        </w:rPr>
        <w:t>四川省</w:t>
      </w:r>
      <w:bookmarkEnd w:id="0"/>
      <w:bookmarkStart w:id="13" w:name="_Toc15306268"/>
      <w:r>
        <w:rPr>
          <w:rFonts w:hint="eastAsia" w:ascii="方正小标宋简体" w:hAnsi="方正小标宋简体" w:eastAsia="方正小标宋简体" w:cs="方正小标宋简体"/>
          <w:sz w:val="52"/>
          <w:szCs w:val="52"/>
        </w:rPr>
        <w:t>通江县涪阳镇中心小学</w:t>
      </w:r>
      <w:bookmarkEnd w:id="7"/>
    </w:p>
    <w:p>
      <w:pPr>
        <w:adjustRightInd w:val="0"/>
        <w:snapToGrid w:val="0"/>
        <w:spacing w:line="360" w:lineRule="auto"/>
        <w:jc w:val="center"/>
        <w:outlineLvl w:val="0"/>
        <w:rPr>
          <w:rFonts w:ascii="方正小标宋简体" w:hAnsi="宋体" w:eastAsia="方正小标宋简体"/>
          <w:sz w:val="52"/>
          <w:szCs w:val="52"/>
        </w:rPr>
      </w:pPr>
      <w:bookmarkStart w:id="14" w:name="_Toc32155"/>
      <w:r>
        <w:rPr>
          <w:rFonts w:hint="eastAsia" w:ascii="方正小标宋简体" w:hAnsi="方正小标宋简体" w:eastAsia="方正小标宋简体" w:cs="方正小标宋简体"/>
          <w:sz w:val="52"/>
          <w:szCs w:val="52"/>
        </w:rPr>
        <w:t>单位决算</w:t>
      </w:r>
      <w:bookmarkEnd w:id="8"/>
      <w:bookmarkEnd w:id="9"/>
      <w:bookmarkEnd w:id="10"/>
      <w:bookmarkEnd w:id="11"/>
      <w:bookmarkEnd w:id="12"/>
      <w:bookmarkEnd w:id="13"/>
      <w:bookmarkEnd w:id="14"/>
    </w:p>
    <w:p>
      <w:pPr>
        <w:widowControl/>
        <w:jc w:val="center"/>
        <w:rPr>
          <w:rFonts w:ascii="黑体" w:hAnsi="黑体" w:eastAsia="黑体"/>
          <w:sz w:val="48"/>
          <w:szCs w:val="48"/>
        </w:rPr>
      </w:pPr>
      <w:r>
        <w:br w:type="page"/>
      </w:r>
      <w:r>
        <w:rPr>
          <w:rFonts w:hint="eastAsia" w:ascii="黑体" w:hAnsi="黑体" w:eastAsia="黑体"/>
          <w:sz w:val="48"/>
          <w:szCs w:val="48"/>
        </w:rPr>
        <w:t>目录</w:t>
      </w:r>
    </w:p>
    <w:p>
      <w:pPr>
        <w:pStyle w:val="21"/>
      </w:pPr>
      <w:r>
        <w:rPr>
          <w:rFonts w:hint="eastAsia"/>
        </w:rPr>
        <w:t>公开时间：2022年8月25日</w:t>
      </w:r>
    </w:p>
    <w:p/>
    <w:sdt>
      <w:sdtPr>
        <w:rPr>
          <w:rFonts w:ascii="宋体" w:hAnsi="宋体"/>
        </w:rPr>
        <w:id w:val="147452021"/>
        <w:docPartObj>
          <w:docPartGallery w:val="Table of Contents"/>
          <w:docPartUnique/>
        </w:docPartObj>
      </w:sdtPr>
      <w:sdtEndPr>
        <w:rPr>
          <w:rFonts w:ascii="宋体" w:hAnsi="宋体"/>
          <w:b/>
        </w:rPr>
      </w:sdtEndPr>
      <w:sdtContent>
        <w:p>
          <w:pPr>
            <w:jc w:val="center"/>
          </w:pPr>
          <w:bookmarkStart w:id="15" w:name="_Toc15396599"/>
        </w:p>
        <w:p>
          <w:pPr>
            <w:pStyle w:val="43"/>
            <w:tabs>
              <w:tab w:val="right" w:leader="dot" w:pos="8306"/>
            </w:tabs>
            <w:rPr>
              <w:b/>
            </w:rPr>
          </w:pPr>
          <w:r>
            <w:fldChar w:fldCharType="begin"/>
          </w:r>
          <w:r>
            <w:instrText xml:space="preserve">TOC \o "1-2" \h \u</w:instrText>
          </w:r>
          <w:r>
            <w:fldChar w:fldCharType="separate"/>
          </w:r>
          <w:r>
            <w:fldChar w:fldCharType="begin"/>
          </w:r>
          <w:r>
            <w:instrText xml:space="preserve"> HYPERLINK \l "_Toc29367" </w:instrText>
          </w:r>
          <w:r>
            <w:fldChar w:fldCharType="separate"/>
          </w:r>
          <w:r>
            <w:rPr>
              <w:rFonts w:hint="eastAsia" w:ascii="黑体" w:hAnsi="黑体" w:eastAsia="黑体"/>
              <w:b/>
            </w:rPr>
            <w:t>第一部分</w:t>
          </w:r>
          <w:r>
            <w:rPr>
              <w:rFonts w:hint="eastAsia" w:ascii="黑体" w:hAnsi="黑体" w:eastAsia="黑体"/>
              <w:b/>
              <w:lang w:val="en-US" w:eastAsia="zh-CN"/>
            </w:rPr>
            <w:t xml:space="preserve"> </w:t>
          </w:r>
          <w:r>
            <w:rPr>
              <w:rFonts w:hint="eastAsia" w:ascii="黑体" w:hAnsi="黑体" w:eastAsia="黑体"/>
              <w:b/>
            </w:rPr>
            <w:t>单位概况</w:t>
          </w:r>
          <w:r>
            <w:rPr>
              <w:b/>
            </w:rPr>
            <w:tab/>
          </w:r>
          <w:r>
            <w:rPr>
              <w:b/>
            </w:rPr>
            <w:fldChar w:fldCharType="begin"/>
          </w:r>
          <w:r>
            <w:rPr>
              <w:b/>
            </w:rPr>
            <w:instrText xml:space="preserve"> PAGEREF _Toc29367 </w:instrText>
          </w:r>
          <w:r>
            <w:rPr>
              <w:b/>
            </w:rPr>
            <w:fldChar w:fldCharType="separate"/>
          </w:r>
          <w:r>
            <w:rPr>
              <w:b/>
            </w:rPr>
            <w:t>3</w:t>
          </w:r>
          <w:r>
            <w:rPr>
              <w:b/>
            </w:rPr>
            <w:fldChar w:fldCharType="end"/>
          </w:r>
          <w:r>
            <w:rPr>
              <w:b/>
            </w:rPr>
            <w:fldChar w:fldCharType="end"/>
          </w:r>
        </w:p>
        <w:p>
          <w:pPr>
            <w:pStyle w:val="44"/>
            <w:tabs>
              <w:tab w:val="right" w:leader="dot" w:pos="8306"/>
            </w:tabs>
            <w:ind w:left="420"/>
          </w:pPr>
          <w:r>
            <w:fldChar w:fldCharType="begin"/>
          </w:r>
          <w:r>
            <w:instrText xml:space="preserve"> HYPERLINK \l "_Toc13236" </w:instrText>
          </w:r>
          <w:r>
            <w:fldChar w:fldCharType="separate"/>
          </w:r>
          <w:r>
            <w:rPr>
              <w:rFonts w:hint="eastAsia" w:ascii="黑体" w:hAnsi="黑体" w:eastAsia="黑体"/>
            </w:rPr>
            <w:t>一、职能简介</w:t>
          </w:r>
          <w:r>
            <w:tab/>
          </w:r>
          <w:r>
            <w:fldChar w:fldCharType="begin"/>
          </w:r>
          <w:r>
            <w:instrText xml:space="preserve"> PAGEREF _Toc13236 </w:instrText>
          </w:r>
          <w:r>
            <w:fldChar w:fldCharType="separate"/>
          </w:r>
          <w:r>
            <w:t>3</w:t>
          </w:r>
          <w:r>
            <w:fldChar w:fldCharType="end"/>
          </w:r>
          <w:r>
            <w:fldChar w:fldCharType="end"/>
          </w:r>
        </w:p>
        <w:p>
          <w:pPr>
            <w:pStyle w:val="44"/>
            <w:tabs>
              <w:tab w:val="right" w:leader="dot" w:pos="8306"/>
            </w:tabs>
            <w:ind w:left="420"/>
          </w:pPr>
          <w:r>
            <w:fldChar w:fldCharType="begin"/>
          </w:r>
          <w:r>
            <w:instrText xml:space="preserve"> HYPERLINK \l "_Toc31804" </w:instrText>
          </w:r>
          <w:r>
            <w:fldChar w:fldCharType="separate"/>
          </w:r>
          <w:r>
            <w:rPr>
              <w:rFonts w:hint="eastAsia" w:ascii="黑体" w:hAnsi="黑体" w:eastAsia="黑体"/>
            </w:rPr>
            <w:t>二、2021年重点工作完成情况</w:t>
          </w:r>
          <w:r>
            <w:tab/>
          </w:r>
          <w:r>
            <w:fldChar w:fldCharType="begin"/>
          </w:r>
          <w:r>
            <w:instrText xml:space="preserve"> PAGEREF _Toc31804 </w:instrText>
          </w:r>
          <w:r>
            <w:fldChar w:fldCharType="separate"/>
          </w:r>
          <w:r>
            <w:t>3</w:t>
          </w:r>
          <w:r>
            <w:fldChar w:fldCharType="end"/>
          </w:r>
          <w:r>
            <w:fldChar w:fldCharType="end"/>
          </w:r>
        </w:p>
        <w:p>
          <w:pPr>
            <w:pStyle w:val="43"/>
            <w:tabs>
              <w:tab w:val="right" w:leader="dot" w:pos="8306"/>
            </w:tabs>
            <w:rPr>
              <w:b/>
            </w:rPr>
          </w:pPr>
          <w:r>
            <w:fldChar w:fldCharType="begin"/>
          </w:r>
          <w:r>
            <w:instrText xml:space="preserve"> HYPERLINK \l "_Toc31448" </w:instrText>
          </w:r>
          <w:r>
            <w:fldChar w:fldCharType="separate"/>
          </w:r>
          <w:r>
            <w:rPr>
              <w:rFonts w:hint="eastAsia" w:ascii="黑体" w:hAnsi="黑体" w:eastAsia="黑体"/>
              <w:b/>
            </w:rPr>
            <w:t>第二部分 2021年度</w:t>
          </w:r>
          <w:r>
            <w:rPr>
              <w:rFonts w:hint="eastAsia" w:ascii="黑体" w:hAnsi="黑体" w:eastAsia="黑体"/>
              <w:b/>
              <w:bCs/>
            </w:rPr>
            <w:t>单位决算情况说明</w:t>
          </w:r>
          <w:r>
            <w:rPr>
              <w:b/>
            </w:rPr>
            <w:tab/>
          </w:r>
          <w:r>
            <w:rPr>
              <w:b/>
            </w:rPr>
            <w:fldChar w:fldCharType="begin"/>
          </w:r>
          <w:r>
            <w:rPr>
              <w:b/>
            </w:rPr>
            <w:instrText xml:space="preserve"> PAGEREF _Toc31448 </w:instrText>
          </w:r>
          <w:r>
            <w:rPr>
              <w:b/>
            </w:rPr>
            <w:fldChar w:fldCharType="separate"/>
          </w:r>
          <w:r>
            <w:rPr>
              <w:b/>
            </w:rPr>
            <w:t>4</w:t>
          </w:r>
          <w:r>
            <w:rPr>
              <w:b/>
            </w:rPr>
            <w:fldChar w:fldCharType="end"/>
          </w:r>
          <w:r>
            <w:rPr>
              <w:b/>
            </w:rPr>
            <w:fldChar w:fldCharType="end"/>
          </w:r>
        </w:p>
        <w:p>
          <w:pPr>
            <w:pStyle w:val="44"/>
            <w:tabs>
              <w:tab w:val="right" w:leader="dot" w:pos="8306"/>
            </w:tabs>
            <w:ind w:left="420"/>
          </w:pPr>
          <w:r>
            <w:fldChar w:fldCharType="begin"/>
          </w:r>
          <w:r>
            <w:instrText xml:space="preserve"> HYPERLINK \l "_Toc18009" </w:instrText>
          </w:r>
          <w:r>
            <w:fldChar w:fldCharType="separate"/>
          </w:r>
          <w:r>
            <w:rPr>
              <w:rFonts w:ascii="黑体" w:hAnsi="黑体" w:eastAsia="黑体"/>
            </w:rPr>
            <w:t>一、</w:t>
          </w:r>
          <w:r>
            <w:rPr>
              <w:rFonts w:hint="eastAsia" w:ascii="黑体" w:hAnsi="黑体" w:eastAsia="黑体"/>
              <w:szCs w:val="32"/>
            </w:rPr>
            <w:t>收</w:t>
          </w:r>
          <w:r>
            <w:rPr>
              <w:rFonts w:hint="eastAsia" w:ascii="黑体" w:hAnsi="黑体" w:eastAsia="黑体"/>
            </w:rPr>
            <w:t>入支出决算总体情况说明</w:t>
          </w:r>
          <w:r>
            <w:tab/>
          </w:r>
          <w:r>
            <w:fldChar w:fldCharType="begin"/>
          </w:r>
          <w:r>
            <w:instrText xml:space="preserve"> PAGEREF _Toc18009 </w:instrText>
          </w:r>
          <w:r>
            <w:fldChar w:fldCharType="separate"/>
          </w:r>
          <w:r>
            <w:t>4</w:t>
          </w:r>
          <w:r>
            <w:fldChar w:fldCharType="end"/>
          </w:r>
          <w:r>
            <w:fldChar w:fldCharType="end"/>
          </w:r>
        </w:p>
        <w:p>
          <w:pPr>
            <w:pStyle w:val="44"/>
            <w:tabs>
              <w:tab w:val="right" w:leader="dot" w:pos="8306"/>
            </w:tabs>
            <w:ind w:left="420"/>
          </w:pPr>
          <w:r>
            <w:fldChar w:fldCharType="begin"/>
          </w:r>
          <w:r>
            <w:instrText xml:space="preserve"> HYPERLINK \l "_Toc24067" </w:instrText>
          </w:r>
          <w:r>
            <w:fldChar w:fldCharType="separate"/>
          </w:r>
          <w:r>
            <w:rPr>
              <w:rFonts w:ascii="黑体" w:hAnsi="黑体" w:eastAsia="黑体"/>
            </w:rPr>
            <w:t>二、</w:t>
          </w:r>
          <w:r>
            <w:rPr>
              <w:rFonts w:hint="eastAsia" w:ascii="黑体" w:hAnsi="黑体" w:eastAsia="黑体"/>
              <w:szCs w:val="32"/>
            </w:rPr>
            <w:t>收</w:t>
          </w:r>
          <w:r>
            <w:rPr>
              <w:rFonts w:hint="eastAsia" w:ascii="黑体" w:hAnsi="黑体" w:eastAsia="黑体"/>
            </w:rPr>
            <w:t>入决算情况说明</w:t>
          </w:r>
          <w:r>
            <w:tab/>
          </w:r>
          <w:r>
            <w:fldChar w:fldCharType="begin"/>
          </w:r>
          <w:r>
            <w:instrText xml:space="preserve"> PAGEREF _Toc24067 </w:instrText>
          </w:r>
          <w:r>
            <w:fldChar w:fldCharType="separate"/>
          </w:r>
          <w:r>
            <w:t>4</w:t>
          </w:r>
          <w:r>
            <w:fldChar w:fldCharType="end"/>
          </w:r>
          <w:r>
            <w:fldChar w:fldCharType="end"/>
          </w:r>
        </w:p>
        <w:p>
          <w:pPr>
            <w:pStyle w:val="44"/>
            <w:tabs>
              <w:tab w:val="right" w:leader="dot" w:pos="8306"/>
            </w:tabs>
            <w:ind w:left="420"/>
          </w:pPr>
          <w:r>
            <w:fldChar w:fldCharType="begin"/>
          </w:r>
          <w:r>
            <w:instrText xml:space="preserve"> HYPERLINK \l "_Toc22819" </w:instrText>
          </w:r>
          <w:r>
            <w:fldChar w:fldCharType="separate"/>
          </w:r>
          <w:r>
            <w:rPr>
              <w:rFonts w:ascii="黑体" w:hAnsi="黑体" w:eastAsia="黑体"/>
            </w:rPr>
            <w:t>三、</w:t>
          </w:r>
          <w:r>
            <w:rPr>
              <w:rFonts w:hint="eastAsia" w:ascii="黑体" w:hAnsi="黑体" w:eastAsia="黑体"/>
              <w:szCs w:val="32"/>
            </w:rPr>
            <w:t>支</w:t>
          </w:r>
          <w:r>
            <w:rPr>
              <w:rFonts w:hint="eastAsia" w:ascii="黑体" w:hAnsi="黑体" w:eastAsia="黑体"/>
            </w:rPr>
            <w:t>出决算情况说明</w:t>
          </w:r>
          <w:r>
            <w:tab/>
          </w:r>
          <w:r>
            <w:fldChar w:fldCharType="begin"/>
          </w:r>
          <w:r>
            <w:instrText xml:space="preserve"> PAGEREF _Toc22819 </w:instrText>
          </w:r>
          <w:r>
            <w:fldChar w:fldCharType="separate"/>
          </w:r>
          <w:r>
            <w:t>5</w:t>
          </w:r>
          <w:r>
            <w:fldChar w:fldCharType="end"/>
          </w:r>
          <w:r>
            <w:fldChar w:fldCharType="end"/>
          </w:r>
        </w:p>
        <w:p>
          <w:pPr>
            <w:pStyle w:val="44"/>
            <w:tabs>
              <w:tab w:val="right" w:leader="dot" w:pos="8306"/>
            </w:tabs>
            <w:ind w:left="420"/>
          </w:pPr>
          <w:r>
            <w:fldChar w:fldCharType="begin"/>
          </w:r>
          <w:r>
            <w:instrText xml:space="preserve"> HYPERLINK \l "_Toc18764" </w:instrText>
          </w:r>
          <w:r>
            <w:fldChar w:fldCharType="separate"/>
          </w:r>
          <w:r>
            <w:rPr>
              <w:rFonts w:hint="eastAsia" w:ascii="黑体" w:hAnsi="黑体" w:eastAsia="黑体"/>
              <w:szCs w:val="32"/>
            </w:rPr>
            <w:t>四、财</w:t>
          </w:r>
          <w:r>
            <w:rPr>
              <w:rFonts w:hint="eastAsia" w:ascii="黑体" w:hAnsi="黑体" w:eastAsia="黑体"/>
            </w:rPr>
            <w:t>政拨款收入支出决算总体情况说明</w:t>
          </w:r>
          <w:r>
            <w:tab/>
          </w:r>
          <w:r>
            <w:fldChar w:fldCharType="begin"/>
          </w:r>
          <w:r>
            <w:instrText xml:space="preserve"> PAGEREF _Toc18764 </w:instrText>
          </w:r>
          <w:r>
            <w:fldChar w:fldCharType="separate"/>
          </w:r>
          <w:r>
            <w:t>5</w:t>
          </w:r>
          <w:r>
            <w:fldChar w:fldCharType="end"/>
          </w:r>
          <w:r>
            <w:fldChar w:fldCharType="end"/>
          </w:r>
        </w:p>
        <w:p>
          <w:pPr>
            <w:pStyle w:val="44"/>
            <w:tabs>
              <w:tab w:val="right" w:leader="dot" w:pos="8306"/>
            </w:tabs>
            <w:ind w:left="420"/>
          </w:pPr>
          <w:r>
            <w:fldChar w:fldCharType="begin"/>
          </w:r>
          <w:r>
            <w:instrText xml:space="preserve"> HYPERLINK \l "_Toc31611" </w:instrText>
          </w:r>
          <w:r>
            <w:fldChar w:fldCharType="separate"/>
          </w:r>
          <w:r>
            <w:rPr>
              <w:rFonts w:hint="eastAsia" w:ascii="黑体" w:hAnsi="黑体" w:eastAsia="黑体"/>
              <w:szCs w:val="32"/>
            </w:rPr>
            <w:t>五、一</w:t>
          </w:r>
          <w:r>
            <w:rPr>
              <w:rFonts w:hint="eastAsia" w:ascii="黑体" w:hAnsi="黑体" w:eastAsia="黑体"/>
            </w:rPr>
            <w:t>般公共预算财政拨款支出决算情况说明</w:t>
          </w:r>
          <w:r>
            <w:tab/>
          </w:r>
          <w:r>
            <w:fldChar w:fldCharType="begin"/>
          </w:r>
          <w:r>
            <w:instrText xml:space="preserve"> PAGEREF _Toc31611 </w:instrText>
          </w:r>
          <w:r>
            <w:fldChar w:fldCharType="separate"/>
          </w:r>
          <w:r>
            <w:t>6</w:t>
          </w:r>
          <w:r>
            <w:fldChar w:fldCharType="end"/>
          </w:r>
          <w:r>
            <w:fldChar w:fldCharType="end"/>
          </w:r>
        </w:p>
        <w:p>
          <w:pPr>
            <w:pStyle w:val="44"/>
            <w:tabs>
              <w:tab w:val="right" w:leader="dot" w:pos="8306"/>
            </w:tabs>
            <w:ind w:left="420"/>
          </w:pPr>
          <w:r>
            <w:fldChar w:fldCharType="begin"/>
          </w:r>
          <w:r>
            <w:instrText xml:space="preserve"> HYPERLINK \l "_Toc9092" </w:instrText>
          </w:r>
          <w:r>
            <w:fldChar w:fldCharType="separate"/>
          </w:r>
          <w:r>
            <w:rPr>
              <w:rFonts w:hint="eastAsia" w:ascii="黑体" w:eastAsia="黑体"/>
              <w:szCs w:val="32"/>
            </w:rPr>
            <w:t>六、</w:t>
          </w:r>
          <w:r>
            <w:rPr>
              <w:rFonts w:hint="eastAsia" w:ascii="黑体" w:hAnsi="黑体" w:eastAsia="黑体"/>
              <w:szCs w:val="32"/>
            </w:rPr>
            <w:t>一</w:t>
          </w:r>
          <w:r>
            <w:rPr>
              <w:rFonts w:hint="eastAsia" w:ascii="黑体" w:hAnsi="黑体" w:eastAsia="黑体"/>
            </w:rPr>
            <w:t>般公共预算财政拨款基本支出决算情况说明</w:t>
          </w:r>
          <w:r>
            <w:tab/>
          </w:r>
          <w:r>
            <w:fldChar w:fldCharType="begin"/>
          </w:r>
          <w:r>
            <w:instrText xml:space="preserve"> PAGEREF _Toc9092 </w:instrText>
          </w:r>
          <w:r>
            <w:fldChar w:fldCharType="separate"/>
          </w:r>
          <w:r>
            <w:t>8</w:t>
          </w:r>
          <w:r>
            <w:fldChar w:fldCharType="end"/>
          </w:r>
          <w:r>
            <w:fldChar w:fldCharType="end"/>
          </w:r>
        </w:p>
        <w:p>
          <w:pPr>
            <w:pStyle w:val="44"/>
            <w:tabs>
              <w:tab w:val="right" w:leader="dot" w:pos="8306"/>
            </w:tabs>
            <w:ind w:left="420"/>
          </w:pPr>
          <w:r>
            <w:fldChar w:fldCharType="begin"/>
          </w:r>
          <w:r>
            <w:instrText xml:space="preserve"> HYPERLINK \l "_Toc9628" </w:instrText>
          </w:r>
          <w:r>
            <w:fldChar w:fldCharType="separate"/>
          </w:r>
          <w:r>
            <w:rPr>
              <w:rFonts w:hint="eastAsia" w:ascii="黑体" w:eastAsia="黑体"/>
              <w:szCs w:val="32"/>
            </w:rPr>
            <w:t>七、</w:t>
          </w:r>
          <w:r>
            <w:rPr>
              <w:rFonts w:hint="eastAsia" w:ascii="黑体" w:hAnsi="黑体" w:eastAsia="黑体"/>
            </w:rPr>
            <w:t>“三公”经费财政拨款支出决算情况说明</w:t>
          </w:r>
          <w:r>
            <w:tab/>
          </w:r>
          <w:r>
            <w:fldChar w:fldCharType="begin"/>
          </w:r>
          <w:r>
            <w:instrText xml:space="preserve"> PAGEREF _Toc9628 </w:instrText>
          </w:r>
          <w:r>
            <w:fldChar w:fldCharType="separate"/>
          </w:r>
          <w:r>
            <w:t>9</w:t>
          </w:r>
          <w:r>
            <w:fldChar w:fldCharType="end"/>
          </w:r>
          <w:r>
            <w:fldChar w:fldCharType="end"/>
          </w:r>
        </w:p>
        <w:p>
          <w:pPr>
            <w:pStyle w:val="44"/>
            <w:tabs>
              <w:tab w:val="right" w:leader="dot" w:pos="8306"/>
            </w:tabs>
            <w:ind w:left="420"/>
          </w:pPr>
          <w:r>
            <w:fldChar w:fldCharType="begin"/>
          </w:r>
          <w:r>
            <w:instrText xml:space="preserve"> HYPERLINK \l "_Toc20205" </w:instrText>
          </w:r>
          <w:r>
            <w:fldChar w:fldCharType="separate"/>
          </w:r>
          <w:r>
            <w:rPr>
              <w:rFonts w:hint="eastAsia" w:ascii="黑体" w:eastAsia="黑体"/>
              <w:szCs w:val="32"/>
            </w:rPr>
            <w:t>八、</w:t>
          </w:r>
          <w:r>
            <w:rPr>
              <w:rFonts w:hint="eastAsia" w:ascii="黑体" w:hAnsi="黑体" w:eastAsia="黑体"/>
            </w:rPr>
            <w:t>政府性基金预算支出决算情况说明</w:t>
          </w:r>
          <w:r>
            <w:tab/>
          </w:r>
          <w:r>
            <w:fldChar w:fldCharType="begin"/>
          </w:r>
          <w:r>
            <w:instrText xml:space="preserve"> PAGEREF _Toc20205 </w:instrText>
          </w:r>
          <w:r>
            <w:fldChar w:fldCharType="separate"/>
          </w:r>
          <w:r>
            <w:t>10</w:t>
          </w:r>
          <w:r>
            <w:fldChar w:fldCharType="end"/>
          </w:r>
          <w:r>
            <w:fldChar w:fldCharType="end"/>
          </w:r>
        </w:p>
        <w:p>
          <w:pPr>
            <w:pStyle w:val="44"/>
            <w:tabs>
              <w:tab w:val="right" w:leader="dot" w:pos="8306"/>
            </w:tabs>
            <w:ind w:left="420"/>
          </w:pPr>
          <w:r>
            <w:fldChar w:fldCharType="begin"/>
          </w:r>
          <w:r>
            <w:instrText xml:space="preserve"> HYPERLINK \l "_Toc10650" </w:instrText>
          </w:r>
          <w:r>
            <w:fldChar w:fldCharType="separate"/>
          </w:r>
          <w:r>
            <w:rPr>
              <w:rFonts w:hint="eastAsia" w:ascii="黑体" w:hAnsi="黑体" w:eastAsia="黑体"/>
            </w:rPr>
            <w:t>九、国有资本经营预算支出决算情况说明</w:t>
          </w:r>
          <w:r>
            <w:tab/>
          </w:r>
          <w:r>
            <w:fldChar w:fldCharType="begin"/>
          </w:r>
          <w:r>
            <w:instrText xml:space="preserve"> PAGEREF _Toc10650 </w:instrText>
          </w:r>
          <w:r>
            <w:fldChar w:fldCharType="separate"/>
          </w:r>
          <w:r>
            <w:t>10</w:t>
          </w:r>
          <w:r>
            <w:fldChar w:fldCharType="end"/>
          </w:r>
          <w:r>
            <w:fldChar w:fldCharType="end"/>
          </w:r>
        </w:p>
        <w:p>
          <w:pPr>
            <w:pStyle w:val="44"/>
            <w:tabs>
              <w:tab w:val="right" w:leader="dot" w:pos="8306"/>
            </w:tabs>
            <w:ind w:left="420"/>
          </w:pPr>
          <w:r>
            <w:fldChar w:fldCharType="begin"/>
          </w:r>
          <w:r>
            <w:instrText xml:space="preserve"> HYPERLINK \l "_Toc9570" </w:instrText>
          </w:r>
          <w:r>
            <w:fldChar w:fldCharType="separate"/>
          </w:r>
          <w:r>
            <w:rPr>
              <w:rFonts w:hint="eastAsia" w:ascii="黑体" w:hAnsi="黑体" w:eastAsia="黑体"/>
            </w:rPr>
            <w:t>十、其他重要事项的情况说明</w:t>
          </w:r>
          <w:r>
            <w:tab/>
          </w:r>
          <w:r>
            <w:fldChar w:fldCharType="begin"/>
          </w:r>
          <w:r>
            <w:instrText xml:space="preserve"> PAGEREF _Toc9570 </w:instrText>
          </w:r>
          <w:r>
            <w:fldChar w:fldCharType="separate"/>
          </w:r>
          <w:r>
            <w:t>10</w:t>
          </w:r>
          <w:r>
            <w:fldChar w:fldCharType="end"/>
          </w:r>
          <w:r>
            <w:fldChar w:fldCharType="end"/>
          </w:r>
        </w:p>
        <w:p>
          <w:pPr>
            <w:pStyle w:val="43"/>
            <w:tabs>
              <w:tab w:val="right" w:leader="dot" w:pos="8306"/>
            </w:tabs>
            <w:rPr>
              <w:b/>
            </w:rPr>
          </w:pPr>
          <w:r>
            <w:fldChar w:fldCharType="begin"/>
          </w:r>
          <w:r>
            <w:instrText xml:space="preserve"> HYPERLINK \l "_Toc8077" </w:instrText>
          </w:r>
          <w:r>
            <w:fldChar w:fldCharType="separate"/>
          </w:r>
          <w:r>
            <w:rPr>
              <w:rFonts w:hint="eastAsia" w:ascii="黑体" w:hAnsi="黑体" w:eastAsia="黑体" w:cs="黑体"/>
              <w:b/>
              <w:szCs w:val="44"/>
            </w:rPr>
            <w:t>第三部分</w:t>
          </w:r>
          <w:r>
            <w:rPr>
              <w:rFonts w:hint="eastAsia" w:ascii="黑体" w:hAnsi="黑体" w:eastAsia="黑体" w:cs="黑体"/>
              <w:b/>
              <w:szCs w:val="44"/>
              <w:lang w:val="en-US" w:eastAsia="zh-CN"/>
            </w:rPr>
            <w:t xml:space="preserve"> </w:t>
          </w:r>
          <w:r>
            <w:rPr>
              <w:rFonts w:hint="eastAsia" w:ascii="黑体" w:hAnsi="黑体" w:eastAsia="黑体"/>
              <w:b/>
              <w:szCs w:val="44"/>
            </w:rPr>
            <w:t>名</w:t>
          </w:r>
          <w:r>
            <w:rPr>
              <w:rFonts w:hint="eastAsia" w:ascii="黑体" w:hAnsi="黑体" w:eastAsia="黑体"/>
              <w:b/>
            </w:rPr>
            <w:t>词解释</w:t>
          </w:r>
          <w:r>
            <w:rPr>
              <w:b/>
            </w:rPr>
            <w:tab/>
          </w:r>
          <w:r>
            <w:rPr>
              <w:b/>
            </w:rPr>
            <w:fldChar w:fldCharType="begin"/>
          </w:r>
          <w:r>
            <w:rPr>
              <w:b/>
            </w:rPr>
            <w:instrText xml:space="preserve"> PAGEREF _Toc8077 </w:instrText>
          </w:r>
          <w:r>
            <w:rPr>
              <w:b/>
            </w:rPr>
            <w:fldChar w:fldCharType="separate"/>
          </w:r>
          <w:r>
            <w:rPr>
              <w:b/>
            </w:rPr>
            <w:t>11</w:t>
          </w:r>
          <w:r>
            <w:rPr>
              <w:b/>
            </w:rPr>
            <w:fldChar w:fldCharType="end"/>
          </w:r>
          <w:r>
            <w:rPr>
              <w:b/>
            </w:rPr>
            <w:fldChar w:fldCharType="end"/>
          </w:r>
        </w:p>
        <w:p>
          <w:pPr>
            <w:pStyle w:val="43"/>
            <w:tabs>
              <w:tab w:val="right" w:leader="dot" w:pos="8306"/>
            </w:tabs>
            <w:rPr>
              <w:b/>
            </w:rPr>
          </w:pPr>
          <w:r>
            <w:fldChar w:fldCharType="begin"/>
          </w:r>
          <w:r>
            <w:instrText xml:space="preserve"> HYPERLINK \l "_Toc30135" </w:instrText>
          </w:r>
          <w:r>
            <w:fldChar w:fldCharType="separate"/>
          </w:r>
          <w:r>
            <w:rPr>
              <w:rFonts w:hint="eastAsia" w:ascii="黑体" w:hAnsi="黑体" w:eastAsia="黑体" w:cs="黑体"/>
              <w:b/>
              <w:szCs w:val="44"/>
            </w:rPr>
            <w:t>第四部分</w:t>
          </w:r>
          <w:r>
            <w:rPr>
              <w:rFonts w:hint="eastAsia" w:ascii="黑体" w:hAnsi="黑体" w:eastAsia="黑体" w:cs="黑体"/>
              <w:b/>
              <w:szCs w:val="44"/>
              <w:lang w:val="en-US" w:eastAsia="zh-CN"/>
            </w:rPr>
            <w:t xml:space="preserve"> </w:t>
          </w:r>
          <w:r>
            <w:rPr>
              <w:rFonts w:hint="eastAsia" w:ascii="黑体" w:hAnsi="黑体" w:eastAsia="黑体"/>
              <w:b/>
            </w:rPr>
            <w:t>附件</w:t>
          </w:r>
          <w:r>
            <w:rPr>
              <w:b/>
            </w:rPr>
            <w:tab/>
          </w:r>
          <w:r>
            <w:rPr>
              <w:b/>
            </w:rPr>
            <w:fldChar w:fldCharType="begin"/>
          </w:r>
          <w:r>
            <w:rPr>
              <w:b/>
            </w:rPr>
            <w:instrText xml:space="preserve"> PAGEREF _Toc30135 </w:instrText>
          </w:r>
          <w:r>
            <w:rPr>
              <w:b/>
            </w:rPr>
            <w:fldChar w:fldCharType="separate"/>
          </w:r>
          <w:r>
            <w:rPr>
              <w:b/>
            </w:rPr>
            <w:t>14</w:t>
          </w:r>
          <w:r>
            <w:rPr>
              <w:b/>
            </w:rPr>
            <w:fldChar w:fldCharType="end"/>
          </w:r>
          <w:r>
            <w:rPr>
              <w:b/>
            </w:rPr>
            <w:fldChar w:fldCharType="end"/>
          </w:r>
        </w:p>
        <w:p>
          <w:pPr>
            <w:pStyle w:val="43"/>
            <w:tabs>
              <w:tab w:val="right" w:leader="dot" w:pos="8306"/>
            </w:tabs>
            <w:rPr>
              <w:b/>
            </w:rPr>
          </w:pPr>
          <w:r>
            <w:fldChar w:fldCharType="begin"/>
          </w:r>
          <w:r>
            <w:instrText xml:space="preserve"> HYPERLINK \l "_Toc12683" </w:instrText>
          </w:r>
          <w:r>
            <w:fldChar w:fldCharType="separate"/>
          </w:r>
          <w:r>
            <w:rPr>
              <w:rFonts w:hint="eastAsia" w:ascii="黑体" w:hAnsi="黑体" w:eastAsia="黑体"/>
              <w:b/>
              <w:szCs w:val="44"/>
            </w:rPr>
            <w:t>第</w:t>
          </w:r>
          <w:r>
            <w:rPr>
              <w:rFonts w:hint="eastAsia" w:ascii="黑体" w:hAnsi="黑体" w:eastAsia="黑体"/>
              <w:b/>
            </w:rPr>
            <w:t>五部分</w:t>
          </w:r>
          <w:r>
            <w:rPr>
              <w:rFonts w:hint="eastAsia" w:ascii="黑体" w:hAnsi="黑体" w:eastAsia="黑体"/>
              <w:b/>
              <w:lang w:val="en-US" w:eastAsia="zh-CN"/>
            </w:rPr>
            <w:t xml:space="preserve"> </w:t>
          </w:r>
          <w:r>
            <w:rPr>
              <w:rFonts w:hint="eastAsia" w:ascii="黑体" w:hAnsi="黑体" w:eastAsia="黑体"/>
              <w:b/>
            </w:rPr>
            <w:t>附表</w:t>
          </w:r>
          <w:r>
            <w:rPr>
              <w:b/>
            </w:rPr>
            <w:tab/>
          </w:r>
          <w:r>
            <w:rPr>
              <w:b/>
            </w:rPr>
            <w:fldChar w:fldCharType="begin"/>
          </w:r>
          <w:r>
            <w:rPr>
              <w:b/>
            </w:rPr>
            <w:instrText xml:space="preserve"> PAGEREF _Toc12683 </w:instrText>
          </w:r>
          <w:r>
            <w:rPr>
              <w:b/>
            </w:rPr>
            <w:fldChar w:fldCharType="separate"/>
          </w:r>
          <w:r>
            <w:rPr>
              <w:b/>
            </w:rPr>
            <w:t>23</w:t>
          </w:r>
          <w:r>
            <w:rPr>
              <w:b/>
            </w:rPr>
            <w:fldChar w:fldCharType="end"/>
          </w:r>
          <w:r>
            <w:rPr>
              <w:b/>
            </w:rPr>
            <w:fldChar w:fldCharType="end"/>
          </w:r>
        </w:p>
        <w:p>
          <w:pPr>
            <w:pStyle w:val="44"/>
            <w:tabs>
              <w:tab w:val="right" w:leader="dot" w:pos="8306"/>
            </w:tabs>
            <w:ind w:left="420"/>
          </w:pPr>
          <w:r>
            <w:fldChar w:fldCharType="begin"/>
          </w:r>
          <w:r>
            <w:instrText xml:space="preserve"> HYPERLINK \l "_Toc15227" </w:instrText>
          </w:r>
          <w:r>
            <w:fldChar w:fldCharType="separate"/>
          </w:r>
          <w:r>
            <w:rPr>
              <w:rFonts w:hint="eastAsia" w:ascii="仿宋" w:hAnsi="仿宋" w:eastAsia="仿宋"/>
            </w:rPr>
            <w:t>一、收入支出决算总表</w:t>
          </w:r>
          <w:r>
            <w:tab/>
          </w:r>
          <w:r>
            <w:fldChar w:fldCharType="begin"/>
          </w:r>
          <w:r>
            <w:instrText xml:space="preserve"> PAGEREF _Toc15227 </w:instrText>
          </w:r>
          <w:r>
            <w:fldChar w:fldCharType="separate"/>
          </w:r>
          <w:r>
            <w:t>23</w:t>
          </w:r>
          <w:r>
            <w:fldChar w:fldCharType="end"/>
          </w:r>
          <w:r>
            <w:fldChar w:fldCharType="end"/>
          </w:r>
        </w:p>
        <w:p>
          <w:pPr>
            <w:pStyle w:val="44"/>
            <w:tabs>
              <w:tab w:val="right" w:leader="dot" w:pos="8306"/>
            </w:tabs>
            <w:ind w:left="420"/>
          </w:pPr>
          <w:r>
            <w:fldChar w:fldCharType="begin"/>
          </w:r>
          <w:r>
            <w:instrText xml:space="preserve"> HYPERLINK \l "_Toc30290" </w:instrText>
          </w:r>
          <w:r>
            <w:fldChar w:fldCharType="separate"/>
          </w:r>
          <w:r>
            <w:rPr>
              <w:rFonts w:hint="eastAsia" w:ascii="仿宋" w:hAnsi="仿宋" w:eastAsia="仿宋"/>
            </w:rPr>
            <w:t>二、收入决算表</w:t>
          </w:r>
          <w:r>
            <w:tab/>
          </w:r>
          <w:r>
            <w:fldChar w:fldCharType="begin"/>
          </w:r>
          <w:r>
            <w:instrText xml:space="preserve"> PAGEREF _Toc30290 </w:instrText>
          </w:r>
          <w:r>
            <w:fldChar w:fldCharType="separate"/>
          </w:r>
          <w:r>
            <w:t>23</w:t>
          </w:r>
          <w:r>
            <w:fldChar w:fldCharType="end"/>
          </w:r>
          <w:r>
            <w:fldChar w:fldCharType="end"/>
          </w:r>
        </w:p>
        <w:p>
          <w:pPr>
            <w:pStyle w:val="44"/>
            <w:tabs>
              <w:tab w:val="right" w:leader="dot" w:pos="8306"/>
            </w:tabs>
            <w:ind w:left="420"/>
          </w:pPr>
          <w:r>
            <w:fldChar w:fldCharType="begin"/>
          </w:r>
          <w:r>
            <w:instrText xml:space="preserve"> HYPERLINK \l "_Toc32198" </w:instrText>
          </w:r>
          <w:r>
            <w:fldChar w:fldCharType="separate"/>
          </w:r>
          <w:r>
            <w:rPr>
              <w:rFonts w:hint="eastAsia" w:ascii="仿宋" w:hAnsi="仿宋" w:eastAsia="仿宋"/>
            </w:rPr>
            <w:t>三、支出决算表</w:t>
          </w:r>
          <w:r>
            <w:tab/>
          </w:r>
          <w:r>
            <w:fldChar w:fldCharType="begin"/>
          </w:r>
          <w:r>
            <w:instrText xml:space="preserve"> PAGEREF _Toc32198 </w:instrText>
          </w:r>
          <w:r>
            <w:fldChar w:fldCharType="separate"/>
          </w:r>
          <w:r>
            <w:t>23</w:t>
          </w:r>
          <w:r>
            <w:fldChar w:fldCharType="end"/>
          </w:r>
          <w:r>
            <w:fldChar w:fldCharType="end"/>
          </w:r>
        </w:p>
        <w:p>
          <w:pPr>
            <w:pStyle w:val="44"/>
            <w:tabs>
              <w:tab w:val="right" w:leader="dot" w:pos="8306"/>
            </w:tabs>
            <w:ind w:left="420"/>
          </w:pPr>
          <w:r>
            <w:fldChar w:fldCharType="begin"/>
          </w:r>
          <w:r>
            <w:instrText xml:space="preserve"> HYPERLINK \l "_Toc14769" </w:instrText>
          </w:r>
          <w:r>
            <w:fldChar w:fldCharType="separate"/>
          </w:r>
          <w:r>
            <w:rPr>
              <w:rFonts w:hint="eastAsia" w:ascii="仿宋" w:hAnsi="仿宋" w:eastAsia="仿宋"/>
            </w:rPr>
            <w:t>四、财政拨款收入支出决算总表</w:t>
          </w:r>
          <w:r>
            <w:tab/>
          </w:r>
          <w:r>
            <w:fldChar w:fldCharType="begin"/>
          </w:r>
          <w:r>
            <w:instrText xml:space="preserve"> PAGEREF _Toc14769 </w:instrText>
          </w:r>
          <w:r>
            <w:fldChar w:fldCharType="separate"/>
          </w:r>
          <w:r>
            <w:t>23</w:t>
          </w:r>
          <w:r>
            <w:fldChar w:fldCharType="end"/>
          </w:r>
          <w:r>
            <w:fldChar w:fldCharType="end"/>
          </w:r>
        </w:p>
        <w:p>
          <w:pPr>
            <w:pStyle w:val="44"/>
            <w:tabs>
              <w:tab w:val="right" w:leader="dot" w:pos="8306"/>
            </w:tabs>
            <w:ind w:left="420"/>
          </w:pPr>
          <w:r>
            <w:fldChar w:fldCharType="begin"/>
          </w:r>
          <w:r>
            <w:instrText xml:space="preserve"> HYPERLINK \l "_Toc24717" </w:instrText>
          </w:r>
          <w:r>
            <w:fldChar w:fldCharType="separate"/>
          </w:r>
          <w:r>
            <w:rPr>
              <w:rFonts w:hint="eastAsia" w:ascii="仿宋" w:hAnsi="仿宋" w:eastAsia="仿宋"/>
            </w:rPr>
            <w:t>五、财政拨款支出决算明细表</w:t>
          </w:r>
          <w:r>
            <w:tab/>
          </w:r>
          <w:r>
            <w:fldChar w:fldCharType="begin"/>
          </w:r>
          <w:r>
            <w:instrText xml:space="preserve"> PAGEREF _Toc24717 </w:instrText>
          </w:r>
          <w:r>
            <w:fldChar w:fldCharType="separate"/>
          </w:r>
          <w:r>
            <w:t>23</w:t>
          </w:r>
          <w:r>
            <w:fldChar w:fldCharType="end"/>
          </w:r>
          <w:r>
            <w:fldChar w:fldCharType="end"/>
          </w:r>
        </w:p>
        <w:p>
          <w:pPr>
            <w:pStyle w:val="44"/>
            <w:tabs>
              <w:tab w:val="right" w:leader="dot" w:pos="8306"/>
            </w:tabs>
            <w:ind w:left="420"/>
          </w:pPr>
          <w:r>
            <w:fldChar w:fldCharType="begin"/>
          </w:r>
          <w:r>
            <w:instrText xml:space="preserve"> HYPERLINK \l "_Toc10189" </w:instrText>
          </w:r>
          <w:r>
            <w:fldChar w:fldCharType="separate"/>
          </w:r>
          <w:r>
            <w:rPr>
              <w:rFonts w:hint="eastAsia" w:ascii="仿宋" w:hAnsi="仿宋" w:eastAsia="仿宋"/>
            </w:rPr>
            <w:t>六、一般公共预算财政拨款支出决算表</w:t>
          </w:r>
          <w:r>
            <w:tab/>
          </w:r>
          <w:r>
            <w:fldChar w:fldCharType="begin"/>
          </w:r>
          <w:r>
            <w:instrText xml:space="preserve"> PAGEREF _Toc10189 </w:instrText>
          </w:r>
          <w:r>
            <w:fldChar w:fldCharType="separate"/>
          </w:r>
          <w:r>
            <w:t>23</w:t>
          </w:r>
          <w:r>
            <w:fldChar w:fldCharType="end"/>
          </w:r>
          <w:r>
            <w:fldChar w:fldCharType="end"/>
          </w:r>
        </w:p>
        <w:p>
          <w:pPr>
            <w:pStyle w:val="44"/>
            <w:tabs>
              <w:tab w:val="right" w:leader="dot" w:pos="8306"/>
            </w:tabs>
            <w:ind w:left="420"/>
          </w:pPr>
          <w:r>
            <w:fldChar w:fldCharType="begin"/>
          </w:r>
          <w:r>
            <w:instrText xml:space="preserve"> HYPERLINK \l "_Toc31621" </w:instrText>
          </w:r>
          <w:r>
            <w:fldChar w:fldCharType="separate"/>
          </w:r>
          <w:r>
            <w:rPr>
              <w:rFonts w:hint="eastAsia" w:ascii="仿宋" w:hAnsi="仿宋" w:eastAsia="仿宋"/>
            </w:rPr>
            <w:t>七、一般公共预算财政拨款支出决算明细表</w:t>
          </w:r>
          <w:r>
            <w:tab/>
          </w:r>
          <w:r>
            <w:fldChar w:fldCharType="begin"/>
          </w:r>
          <w:r>
            <w:instrText xml:space="preserve"> PAGEREF _Toc31621 </w:instrText>
          </w:r>
          <w:r>
            <w:fldChar w:fldCharType="separate"/>
          </w:r>
          <w:r>
            <w:t>23</w:t>
          </w:r>
          <w:r>
            <w:fldChar w:fldCharType="end"/>
          </w:r>
          <w:r>
            <w:fldChar w:fldCharType="end"/>
          </w:r>
        </w:p>
        <w:p>
          <w:pPr>
            <w:pStyle w:val="44"/>
            <w:tabs>
              <w:tab w:val="right" w:leader="dot" w:pos="8306"/>
            </w:tabs>
            <w:ind w:left="420"/>
          </w:pPr>
          <w:r>
            <w:fldChar w:fldCharType="begin"/>
          </w:r>
          <w:r>
            <w:instrText xml:space="preserve"> HYPERLINK \l "_Toc11555" </w:instrText>
          </w:r>
          <w:r>
            <w:fldChar w:fldCharType="separate"/>
          </w:r>
          <w:r>
            <w:rPr>
              <w:rFonts w:hint="eastAsia" w:ascii="仿宋" w:hAnsi="仿宋" w:eastAsia="仿宋"/>
            </w:rPr>
            <w:t>八、一般公共预算财政拨款基本支出决算表</w:t>
          </w:r>
          <w:r>
            <w:tab/>
          </w:r>
          <w:r>
            <w:fldChar w:fldCharType="begin"/>
          </w:r>
          <w:r>
            <w:instrText xml:space="preserve"> PAGEREF _Toc11555 </w:instrText>
          </w:r>
          <w:r>
            <w:fldChar w:fldCharType="separate"/>
          </w:r>
          <w:r>
            <w:t>23</w:t>
          </w:r>
          <w:r>
            <w:fldChar w:fldCharType="end"/>
          </w:r>
          <w:r>
            <w:fldChar w:fldCharType="end"/>
          </w:r>
        </w:p>
        <w:p>
          <w:pPr>
            <w:pStyle w:val="44"/>
            <w:tabs>
              <w:tab w:val="right" w:leader="dot" w:pos="8306"/>
            </w:tabs>
            <w:ind w:left="420"/>
          </w:pPr>
          <w:r>
            <w:fldChar w:fldCharType="begin"/>
          </w:r>
          <w:r>
            <w:instrText xml:space="preserve"> HYPERLINK \l "_Toc22120" </w:instrText>
          </w:r>
          <w:r>
            <w:fldChar w:fldCharType="separate"/>
          </w:r>
          <w:r>
            <w:rPr>
              <w:rFonts w:hint="eastAsia" w:ascii="仿宋" w:hAnsi="仿宋" w:eastAsia="仿宋"/>
            </w:rPr>
            <w:t>九、一般公共预算财政拨款项目支出决算表</w:t>
          </w:r>
          <w:r>
            <w:tab/>
          </w:r>
          <w:r>
            <w:fldChar w:fldCharType="begin"/>
          </w:r>
          <w:r>
            <w:instrText xml:space="preserve"> PAGEREF _Toc22120 </w:instrText>
          </w:r>
          <w:r>
            <w:fldChar w:fldCharType="separate"/>
          </w:r>
          <w:r>
            <w:t>23</w:t>
          </w:r>
          <w:r>
            <w:fldChar w:fldCharType="end"/>
          </w:r>
          <w:r>
            <w:fldChar w:fldCharType="end"/>
          </w:r>
        </w:p>
        <w:p>
          <w:pPr>
            <w:pStyle w:val="44"/>
            <w:tabs>
              <w:tab w:val="right" w:leader="dot" w:pos="8306"/>
            </w:tabs>
            <w:ind w:left="420"/>
          </w:pPr>
          <w:r>
            <w:fldChar w:fldCharType="begin"/>
          </w:r>
          <w:r>
            <w:instrText xml:space="preserve"> HYPERLINK \l "_Toc4849" </w:instrText>
          </w:r>
          <w:r>
            <w:fldChar w:fldCharType="separate"/>
          </w:r>
          <w:r>
            <w:rPr>
              <w:rFonts w:hint="eastAsia" w:ascii="仿宋" w:hAnsi="仿宋" w:eastAsia="仿宋"/>
            </w:rPr>
            <w:t>十、一般公共预算财政拨款“三公”经费支出决算表</w:t>
          </w:r>
          <w:r>
            <w:tab/>
          </w:r>
          <w:r>
            <w:fldChar w:fldCharType="begin"/>
          </w:r>
          <w:r>
            <w:instrText xml:space="preserve"> PAGEREF _Toc4849 </w:instrText>
          </w:r>
          <w:r>
            <w:fldChar w:fldCharType="separate"/>
          </w:r>
          <w:r>
            <w:t>23</w:t>
          </w:r>
          <w:r>
            <w:fldChar w:fldCharType="end"/>
          </w:r>
          <w:r>
            <w:fldChar w:fldCharType="end"/>
          </w:r>
        </w:p>
        <w:p>
          <w:pPr>
            <w:pStyle w:val="44"/>
            <w:tabs>
              <w:tab w:val="right" w:leader="dot" w:pos="8306"/>
            </w:tabs>
            <w:ind w:left="420"/>
          </w:pPr>
          <w:r>
            <w:fldChar w:fldCharType="begin"/>
          </w:r>
          <w:r>
            <w:instrText xml:space="preserve"> HYPERLINK \l "_Toc7226" </w:instrText>
          </w:r>
          <w:r>
            <w:fldChar w:fldCharType="separate"/>
          </w:r>
          <w:r>
            <w:rPr>
              <w:rFonts w:hint="eastAsia" w:ascii="仿宋" w:hAnsi="仿宋" w:eastAsia="仿宋"/>
            </w:rPr>
            <w:t>十一、政府性基金预算财政拨款收入支出决算表</w:t>
          </w:r>
          <w:r>
            <w:tab/>
          </w:r>
          <w:r>
            <w:fldChar w:fldCharType="begin"/>
          </w:r>
          <w:r>
            <w:instrText xml:space="preserve"> PAGEREF _Toc7226 </w:instrText>
          </w:r>
          <w:r>
            <w:fldChar w:fldCharType="separate"/>
          </w:r>
          <w:r>
            <w:t>23</w:t>
          </w:r>
          <w:r>
            <w:fldChar w:fldCharType="end"/>
          </w:r>
          <w:r>
            <w:fldChar w:fldCharType="end"/>
          </w:r>
        </w:p>
        <w:p>
          <w:pPr>
            <w:pStyle w:val="44"/>
            <w:tabs>
              <w:tab w:val="right" w:leader="dot" w:pos="8306"/>
            </w:tabs>
            <w:ind w:left="420"/>
          </w:pPr>
          <w:r>
            <w:fldChar w:fldCharType="begin"/>
          </w:r>
          <w:r>
            <w:instrText xml:space="preserve"> HYPERLINK \l "_Toc19425" </w:instrText>
          </w:r>
          <w:r>
            <w:fldChar w:fldCharType="separate"/>
          </w:r>
          <w:r>
            <w:rPr>
              <w:rFonts w:hint="eastAsia" w:ascii="仿宋" w:hAnsi="仿宋" w:eastAsia="仿宋"/>
            </w:rPr>
            <w:t>十二、政府性基金预算财政拨款“三公”经费支出决算表</w:t>
          </w:r>
          <w:r>
            <w:tab/>
          </w:r>
          <w:r>
            <w:fldChar w:fldCharType="begin"/>
          </w:r>
          <w:r>
            <w:instrText xml:space="preserve"> PAGEREF _Toc19425 </w:instrText>
          </w:r>
          <w:r>
            <w:fldChar w:fldCharType="separate"/>
          </w:r>
          <w:r>
            <w:t>23</w:t>
          </w:r>
          <w:r>
            <w:fldChar w:fldCharType="end"/>
          </w:r>
          <w:r>
            <w:fldChar w:fldCharType="end"/>
          </w:r>
        </w:p>
        <w:p>
          <w:pPr>
            <w:pStyle w:val="44"/>
            <w:tabs>
              <w:tab w:val="right" w:leader="dot" w:pos="8306"/>
            </w:tabs>
            <w:ind w:left="420"/>
          </w:pPr>
          <w:r>
            <w:fldChar w:fldCharType="begin"/>
          </w:r>
          <w:r>
            <w:instrText xml:space="preserve"> HYPERLINK \l "_Toc467" </w:instrText>
          </w:r>
          <w:r>
            <w:fldChar w:fldCharType="separate"/>
          </w:r>
          <w:r>
            <w:rPr>
              <w:rFonts w:hint="eastAsia" w:ascii="仿宋" w:hAnsi="仿宋" w:eastAsia="仿宋"/>
            </w:rPr>
            <w:t>十三、国有资本经营预算财政拨款收入支出决算表</w:t>
          </w:r>
          <w:r>
            <w:tab/>
          </w:r>
          <w:r>
            <w:fldChar w:fldCharType="begin"/>
          </w:r>
          <w:r>
            <w:instrText xml:space="preserve"> PAGEREF _Toc467 </w:instrText>
          </w:r>
          <w:r>
            <w:fldChar w:fldCharType="separate"/>
          </w:r>
          <w:r>
            <w:t>23</w:t>
          </w:r>
          <w:r>
            <w:fldChar w:fldCharType="end"/>
          </w:r>
          <w:r>
            <w:fldChar w:fldCharType="end"/>
          </w:r>
        </w:p>
        <w:p>
          <w:pPr>
            <w:pStyle w:val="44"/>
            <w:tabs>
              <w:tab w:val="right" w:leader="dot" w:pos="8306"/>
            </w:tabs>
            <w:ind w:left="420"/>
          </w:pPr>
          <w:r>
            <w:fldChar w:fldCharType="begin"/>
          </w:r>
          <w:r>
            <w:instrText xml:space="preserve"> HYPERLINK \l "_Toc23289" </w:instrText>
          </w:r>
          <w:r>
            <w:fldChar w:fldCharType="separate"/>
          </w:r>
          <w:r>
            <w:rPr>
              <w:rFonts w:hint="eastAsia" w:ascii="仿宋" w:hAnsi="仿宋" w:eastAsia="仿宋"/>
            </w:rPr>
            <w:t>十四、国有资本经营预算财政拨款支出决算表</w:t>
          </w:r>
          <w:r>
            <w:tab/>
          </w:r>
          <w:r>
            <w:fldChar w:fldCharType="begin"/>
          </w:r>
          <w:r>
            <w:instrText xml:space="preserve"> PAGEREF _Toc23289 </w:instrText>
          </w:r>
          <w:r>
            <w:fldChar w:fldCharType="separate"/>
          </w:r>
          <w:r>
            <w:t>23</w:t>
          </w:r>
          <w:r>
            <w:fldChar w:fldCharType="end"/>
          </w:r>
          <w:r>
            <w:fldChar w:fldCharType="end"/>
          </w:r>
        </w:p>
        <w:p>
          <w:r>
            <w:rPr>
              <w:b/>
            </w:rPr>
            <w:fldChar w:fldCharType="end"/>
          </w:r>
        </w:p>
      </w:sdtContent>
    </w:sdt>
    <w:p>
      <w:pPr>
        <w:widowControl/>
        <w:spacing w:line="440" w:lineRule="exact"/>
        <w:jc w:val="left"/>
        <w:rPr>
          <w:rFonts w:ascii="仿宋" w:hAnsi="仿宋" w:eastAsia="仿宋"/>
          <w:bCs/>
          <w:kern w:val="44"/>
          <w:sz w:val="24"/>
        </w:rPr>
      </w:pPr>
      <w:r>
        <w:br w:type="page"/>
      </w:r>
    </w:p>
    <w:p>
      <w:pPr>
        <w:pStyle w:val="15"/>
        <w:jc w:val="center"/>
        <w:rPr>
          <w:rStyle w:val="32"/>
          <w:rFonts w:ascii="黑体" w:hAnsi="黑体" w:eastAsia="黑体"/>
          <w:b/>
          <w:bCs w:val="0"/>
        </w:rPr>
      </w:pPr>
      <w:bookmarkStart w:id="16" w:name="_Toc29367"/>
      <w:r>
        <w:rPr>
          <w:rFonts w:hint="eastAsia" w:ascii="黑体" w:hAnsi="黑体" w:eastAsia="黑体"/>
          <w:b w:val="0"/>
        </w:rPr>
        <w:t>第一部分</w:t>
      </w:r>
      <w:r>
        <w:rPr>
          <w:rFonts w:hint="eastAsia" w:ascii="黑体" w:hAnsi="黑体" w:eastAsia="黑体"/>
          <w:b w:val="0"/>
          <w:lang w:val="en-US" w:eastAsia="zh-CN"/>
        </w:rPr>
        <w:t xml:space="preserve"> </w:t>
      </w:r>
      <w:r>
        <w:rPr>
          <w:rFonts w:hint="eastAsia" w:ascii="黑体" w:hAnsi="黑体" w:eastAsia="黑体"/>
          <w:b w:val="0"/>
        </w:rPr>
        <w:t>单位</w:t>
      </w:r>
      <w:r>
        <w:rPr>
          <w:rStyle w:val="32"/>
          <w:rFonts w:hint="eastAsia" w:ascii="黑体" w:hAnsi="黑体" w:eastAsia="黑体"/>
          <w:b w:val="0"/>
          <w:bCs w:val="0"/>
        </w:rPr>
        <w:t>概况</w:t>
      </w:r>
      <w:bookmarkEnd w:id="15"/>
      <w:bookmarkEnd w:id="16"/>
    </w:p>
    <w:p>
      <w:pPr>
        <w:pStyle w:val="16"/>
        <w:spacing w:before="0" w:after="0" w:line="560" w:lineRule="exact"/>
        <w:ind w:firstLine="640" w:firstLineChars="200"/>
      </w:pPr>
      <w:bookmarkStart w:id="17" w:name="_Toc13236"/>
      <w:bookmarkStart w:id="18" w:name="_Toc15396600"/>
      <w:bookmarkStart w:id="19" w:name="_Toc15377197"/>
      <w:r>
        <w:rPr>
          <w:rStyle w:val="33"/>
          <w:rFonts w:hint="eastAsia" w:ascii="黑体" w:hAnsi="黑体" w:eastAsia="黑体"/>
          <w:b w:val="0"/>
          <w:bCs w:val="0"/>
        </w:rPr>
        <w:t>一、职能简介</w:t>
      </w:r>
      <w:bookmarkEnd w:id="17"/>
    </w:p>
    <w:p>
      <w:pPr>
        <w:spacing w:line="560" w:lineRule="exact"/>
        <w:ind w:firstLine="600" w:firstLineChars="200"/>
        <w:rPr>
          <w:rFonts w:ascii="仿宋" w:hAnsi="仿宋" w:eastAsia="仿宋"/>
          <w:sz w:val="30"/>
          <w:szCs w:val="30"/>
        </w:rPr>
      </w:pPr>
      <w:r>
        <w:rPr>
          <w:rFonts w:hint="eastAsia" w:ascii="仿宋" w:hAnsi="仿宋" w:eastAsia="仿宋"/>
          <w:sz w:val="30"/>
          <w:szCs w:val="30"/>
        </w:rPr>
        <w:t>通江县涪阳镇中心小学是一所乡镇义务教育小学学校，贯彻落实党和国家的教育方针、政策，严格执行上级主管部门的决议和指示，全面实施素质教育，培养德、智、体、美等方面全面发展的社会主义事业的建设者和接班人，做到为党育人，为国育才。</w:t>
      </w:r>
    </w:p>
    <w:p>
      <w:pPr>
        <w:numPr>
          <w:ilvl w:val="0"/>
          <w:numId w:val="1"/>
        </w:numPr>
        <w:spacing w:line="560" w:lineRule="exact"/>
        <w:ind w:firstLine="600" w:firstLineChars="200"/>
        <w:rPr>
          <w:rFonts w:ascii="仿宋" w:hAnsi="仿宋" w:eastAsia="仿宋"/>
          <w:sz w:val="30"/>
          <w:szCs w:val="30"/>
        </w:rPr>
      </w:pPr>
      <w:r>
        <w:rPr>
          <w:rFonts w:hint="eastAsia" w:ascii="仿宋" w:hAnsi="仿宋" w:eastAsia="仿宋"/>
          <w:sz w:val="30"/>
          <w:szCs w:val="30"/>
        </w:rPr>
        <w:t>研究拟定学校教育发展规划，贯彻执行党和国家的教育方针、政策。</w:t>
      </w:r>
    </w:p>
    <w:p>
      <w:pPr>
        <w:numPr>
          <w:ilvl w:val="0"/>
          <w:numId w:val="1"/>
        </w:numPr>
        <w:spacing w:line="560" w:lineRule="exact"/>
        <w:ind w:firstLine="600" w:firstLineChars="200"/>
        <w:rPr>
          <w:rFonts w:ascii="仿宋" w:hAnsi="仿宋" w:eastAsia="仿宋"/>
          <w:sz w:val="30"/>
          <w:szCs w:val="30"/>
        </w:rPr>
      </w:pPr>
      <w:r>
        <w:rPr>
          <w:rFonts w:hint="eastAsia" w:ascii="仿宋" w:hAnsi="仿宋" w:eastAsia="仿宋"/>
          <w:sz w:val="30"/>
          <w:szCs w:val="30"/>
        </w:rPr>
        <w:t>研究拟定学校年度教育计划，组织实施教育教学活动。</w:t>
      </w:r>
    </w:p>
    <w:p>
      <w:pPr>
        <w:numPr>
          <w:ilvl w:val="0"/>
          <w:numId w:val="1"/>
        </w:numPr>
        <w:spacing w:line="560" w:lineRule="exact"/>
        <w:ind w:firstLine="600" w:firstLineChars="200"/>
        <w:rPr>
          <w:rFonts w:ascii="仿宋" w:hAnsi="仿宋" w:eastAsia="仿宋"/>
          <w:sz w:val="30"/>
          <w:szCs w:val="30"/>
        </w:rPr>
      </w:pPr>
      <w:r>
        <w:rPr>
          <w:rFonts w:hint="eastAsia" w:ascii="仿宋" w:hAnsi="仿宋" w:eastAsia="仿宋"/>
          <w:sz w:val="30"/>
          <w:szCs w:val="30"/>
        </w:rPr>
        <w:t>管理和指导学校教育教学工作；确保普及九年义务教育工作成果。</w:t>
      </w:r>
    </w:p>
    <w:p>
      <w:pPr>
        <w:numPr>
          <w:ilvl w:val="0"/>
          <w:numId w:val="1"/>
        </w:numPr>
        <w:spacing w:line="560" w:lineRule="exact"/>
        <w:ind w:firstLine="600" w:firstLineChars="200"/>
        <w:rPr>
          <w:rFonts w:ascii="仿宋" w:hAnsi="仿宋" w:eastAsia="仿宋"/>
          <w:sz w:val="30"/>
          <w:szCs w:val="30"/>
        </w:rPr>
      </w:pPr>
      <w:r>
        <w:rPr>
          <w:rFonts w:hint="eastAsia" w:ascii="仿宋" w:hAnsi="仿宋" w:eastAsia="仿宋"/>
          <w:sz w:val="30"/>
          <w:szCs w:val="30"/>
        </w:rPr>
        <w:t>管理学校教育经费；严格执行财务管理制度，保障学校教育教学活动正常开展。</w:t>
      </w:r>
    </w:p>
    <w:p>
      <w:pPr>
        <w:numPr>
          <w:ilvl w:val="0"/>
          <w:numId w:val="1"/>
        </w:numPr>
        <w:spacing w:line="560" w:lineRule="exact"/>
        <w:ind w:firstLine="600" w:firstLineChars="200"/>
      </w:pPr>
      <w:r>
        <w:rPr>
          <w:rFonts w:hint="eastAsia" w:ascii="仿宋" w:hAnsi="仿宋" w:eastAsia="仿宋"/>
          <w:sz w:val="30"/>
          <w:szCs w:val="30"/>
        </w:rPr>
        <w:t>负责和指导学校教职工的思想政治工作，规划学校思想品德教育、体育卫生教育、安全教育、艺术教育和国防教育工作；负责做好社会治安综合治理及安全保卫工作。</w:t>
      </w:r>
    </w:p>
    <w:p>
      <w:pPr>
        <w:pStyle w:val="3"/>
        <w:spacing w:beforeLines="0" w:line="560" w:lineRule="exact"/>
      </w:pPr>
      <w:r>
        <w:rPr>
          <w:rFonts w:hint="eastAsia" w:ascii="仿宋" w:hAnsi="仿宋" w:eastAsia="仿宋"/>
          <w:szCs w:val="30"/>
        </w:rPr>
        <w:t>（六）完成小学学历教育。</w:t>
      </w:r>
    </w:p>
    <w:p>
      <w:pPr>
        <w:pStyle w:val="16"/>
        <w:spacing w:before="0" w:after="0" w:line="560" w:lineRule="exact"/>
        <w:ind w:firstLine="640" w:firstLineChars="200"/>
        <w:rPr>
          <w:rFonts w:ascii="黑体" w:hAnsi="黑体" w:eastAsia="黑体"/>
          <w:b w:val="0"/>
        </w:rPr>
      </w:pPr>
      <w:bookmarkStart w:id="20" w:name="_Toc31804"/>
      <w:r>
        <w:rPr>
          <w:rFonts w:hint="eastAsia" w:ascii="黑体" w:hAnsi="黑体" w:eastAsia="黑体"/>
          <w:b w:val="0"/>
        </w:rPr>
        <w:t>二、2021年重点工作</w:t>
      </w:r>
      <w:bookmarkEnd w:id="18"/>
      <w:bookmarkEnd w:id="19"/>
      <w:r>
        <w:rPr>
          <w:rFonts w:hint="eastAsia" w:ascii="黑体" w:hAnsi="黑体" w:eastAsia="黑体"/>
          <w:b w:val="0"/>
        </w:rPr>
        <w:t>完成情况</w:t>
      </w:r>
      <w:bookmarkEnd w:id="20"/>
    </w:p>
    <w:p>
      <w:pPr>
        <w:spacing w:line="560" w:lineRule="exact"/>
        <w:ind w:firstLine="600" w:firstLineChars="200"/>
        <w:rPr>
          <w:rFonts w:ascii="仿宋" w:hAnsi="仿宋" w:eastAsia="仿宋"/>
          <w:kern w:val="0"/>
          <w:sz w:val="32"/>
          <w:szCs w:val="32"/>
        </w:rPr>
      </w:pPr>
      <w:r>
        <w:rPr>
          <w:rFonts w:hint="eastAsia" w:ascii="仿宋" w:hAnsi="仿宋" w:eastAsia="仿宋"/>
          <w:sz w:val="30"/>
          <w:szCs w:val="30"/>
        </w:rPr>
        <w:t>通江县涪阳镇中心小学在县委、县政府的领导下，在上级主管部门的指导下，以尚美承道，立德树人为办学理念，以传统文化香校园、红色血脉代代传、家校共育助成长、艺术活动雅身心为办学特色，全面完成了2021年教育教学工作。</w:t>
      </w:r>
    </w:p>
    <w:p>
      <w:pPr>
        <w:pStyle w:val="15"/>
        <w:ind w:right="440"/>
        <w:jc w:val="center"/>
        <w:rPr>
          <w:rStyle w:val="32"/>
          <w:rFonts w:ascii="黑体" w:hAnsi="黑体" w:eastAsia="黑体"/>
          <w:b w:val="0"/>
          <w:bCs/>
        </w:rPr>
      </w:pPr>
      <w:bookmarkStart w:id="21" w:name="_Toc15377204"/>
      <w:bookmarkStart w:id="22" w:name="_Toc31448"/>
      <w:bookmarkStart w:id="23" w:name="_Toc15396602"/>
      <w:r>
        <w:rPr>
          <w:rFonts w:hint="eastAsia" w:ascii="黑体" w:hAnsi="黑体" w:eastAsia="黑体"/>
          <w:b w:val="0"/>
        </w:rPr>
        <w:t>第二部分 2021年度</w:t>
      </w:r>
      <w:r>
        <w:rPr>
          <w:rStyle w:val="32"/>
          <w:rFonts w:hint="eastAsia" w:ascii="黑体" w:hAnsi="黑体" w:eastAsia="黑体"/>
          <w:b w:val="0"/>
          <w:bCs/>
        </w:rPr>
        <w:t>单位决算情况说明</w:t>
      </w:r>
      <w:bookmarkEnd w:id="21"/>
      <w:bookmarkEnd w:id="22"/>
      <w:bookmarkEnd w:id="23"/>
    </w:p>
    <w:p/>
    <w:p>
      <w:pPr>
        <w:pStyle w:val="31"/>
        <w:numPr>
          <w:ilvl w:val="0"/>
          <w:numId w:val="2"/>
        </w:numPr>
        <w:spacing w:line="600" w:lineRule="exact"/>
        <w:ind w:firstLineChars="0"/>
        <w:outlineLvl w:val="1"/>
        <w:rPr>
          <w:rFonts w:hint="eastAsia" w:ascii="黑体" w:hAnsi="黑体" w:eastAsia="黑体"/>
          <w:sz w:val="32"/>
          <w:szCs w:val="32"/>
        </w:rPr>
      </w:pPr>
      <w:bookmarkStart w:id="24" w:name="_Toc15396603"/>
      <w:bookmarkStart w:id="25" w:name="_Toc15377205"/>
      <w:bookmarkStart w:id="26" w:name="_Toc18009"/>
      <w:r>
        <w:rPr>
          <w:rFonts w:hint="eastAsia" w:ascii="黑体" w:hAnsi="黑体" w:eastAsia="黑体"/>
          <w:sz w:val="32"/>
          <w:szCs w:val="32"/>
        </w:rPr>
        <w:t>收</w:t>
      </w:r>
      <w:r>
        <w:rPr>
          <w:rStyle w:val="33"/>
          <w:rFonts w:hint="eastAsia" w:ascii="黑体" w:hAnsi="黑体" w:eastAsia="黑体"/>
          <w:b w:val="0"/>
        </w:rPr>
        <w:t>入支出</w:t>
      </w:r>
      <w:r>
        <w:rPr>
          <w:rFonts w:hint="eastAsia" w:ascii="黑体" w:hAnsi="黑体" w:eastAsia="黑体"/>
          <w:sz w:val="32"/>
          <w:szCs w:val="32"/>
        </w:rPr>
        <w:t>决算总体情况说明</w:t>
      </w:r>
      <w:bookmarkEnd w:id="24"/>
      <w:bookmarkEnd w:id="25"/>
      <w:bookmarkEnd w:id="26"/>
    </w:p>
    <w:p>
      <w:pPr>
        <w:spacing w:line="600" w:lineRule="exact"/>
        <w:ind w:firstLine="640" w:firstLineChars="200"/>
        <w:rPr>
          <w:rFonts w:ascii="仿宋" w:hAnsi="仿宋" w:eastAsia="仿宋"/>
          <w:sz w:val="32"/>
          <w:szCs w:val="32"/>
        </w:rPr>
      </w:pPr>
      <w:r>
        <w:rPr>
          <w:rFonts w:hint="eastAsia" w:ascii="仿宋" w:hAnsi="仿宋" w:eastAsia="仿宋"/>
          <w:sz w:val="32"/>
          <w:szCs w:val="32"/>
        </w:rPr>
        <w:t>2021年度收、支总计2395.51万元。与2020年相比，收、支总计各减少949.7万元，减少28.39</w:t>
      </w:r>
      <w:r>
        <w:rPr>
          <w:rFonts w:ascii="仿宋" w:hAnsi="仿宋" w:eastAsia="仿宋"/>
          <w:sz w:val="32"/>
          <w:szCs w:val="32"/>
        </w:rPr>
        <w:t>%</w:t>
      </w:r>
      <w:r>
        <w:rPr>
          <w:rFonts w:hint="eastAsia" w:ascii="仿宋" w:hAnsi="仿宋" w:eastAsia="仿宋"/>
          <w:sz w:val="32"/>
          <w:szCs w:val="32"/>
        </w:rPr>
        <w:t>。主要变动原因是项目支出减少。</w:t>
      </w:r>
    </w:p>
    <w:p>
      <w:pPr>
        <w:pStyle w:val="3"/>
        <w:spacing w:before="93"/>
        <w:rPr>
          <w:rFonts w:ascii="仿宋" w:hAnsi="仿宋" w:eastAsia="仿宋"/>
          <w:sz w:val="32"/>
          <w:szCs w:val="32"/>
        </w:rPr>
      </w:pPr>
      <w:r>
        <w:drawing>
          <wp:inline distT="0" distB="0" distL="114300" distR="114300">
            <wp:extent cx="5438140" cy="2733040"/>
            <wp:effectExtent l="4445" t="4445" r="5715" b="5715"/>
            <wp:docPr id="648" name="_x0000_i19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3"/>
        <w:spacing w:before="93"/>
        <w:jc w:val="center"/>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w:t>
      </w:r>
    </w:p>
    <w:p/>
    <w:p>
      <w:pPr>
        <w:pStyle w:val="31"/>
        <w:numPr>
          <w:ilvl w:val="0"/>
          <w:numId w:val="2"/>
        </w:numPr>
        <w:spacing w:line="600" w:lineRule="exact"/>
        <w:ind w:firstLineChars="0"/>
        <w:outlineLvl w:val="1"/>
        <w:rPr>
          <w:rStyle w:val="33"/>
          <w:rFonts w:ascii="黑体" w:hAnsi="黑体" w:eastAsia="黑体"/>
          <w:b w:val="0"/>
        </w:rPr>
      </w:pPr>
      <w:bookmarkStart w:id="27" w:name="_Toc15396604"/>
      <w:bookmarkStart w:id="28" w:name="_Toc24067"/>
      <w:bookmarkStart w:id="29" w:name="_Toc15377206"/>
      <w:r>
        <w:rPr>
          <w:rFonts w:hint="eastAsia" w:ascii="黑体" w:hAnsi="黑体" w:eastAsia="黑体"/>
          <w:sz w:val="32"/>
          <w:szCs w:val="32"/>
        </w:rPr>
        <w:t>收</w:t>
      </w:r>
      <w:r>
        <w:rPr>
          <w:rStyle w:val="33"/>
          <w:rFonts w:hint="eastAsia" w:ascii="黑体" w:hAnsi="黑体" w:eastAsia="黑体"/>
          <w:b w:val="0"/>
        </w:rPr>
        <w:t>入决算情况说明</w:t>
      </w:r>
      <w:bookmarkEnd w:id="27"/>
      <w:bookmarkEnd w:id="28"/>
      <w:bookmarkEnd w:id="29"/>
    </w:p>
    <w:p>
      <w:pPr>
        <w:spacing w:line="600" w:lineRule="exact"/>
        <w:ind w:firstLine="640" w:firstLineChars="200"/>
        <w:outlineLvl w:val="1"/>
        <w:rPr>
          <w:rFonts w:ascii="仿宋" w:hAnsi="仿宋" w:eastAsia="仿宋"/>
          <w:sz w:val="32"/>
          <w:szCs w:val="32"/>
        </w:rPr>
      </w:pPr>
      <w:bookmarkStart w:id="30" w:name="_Toc30702"/>
      <w:r>
        <w:rPr>
          <w:rFonts w:ascii="仿宋" w:hAnsi="仿宋" w:eastAsia="仿宋"/>
          <w:sz w:val="32"/>
          <w:szCs w:val="32"/>
        </w:rPr>
        <w:t>20</w:t>
      </w:r>
      <w:r>
        <w:rPr>
          <w:rFonts w:hint="eastAsia" w:ascii="仿宋" w:hAnsi="仿宋" w:eastAsia="仿宋"/>
          <w:sz w:val="32"/>
          <w:szCs w:val="32"/>
        </w:rPr>
        <w:t>21年本年收入合计2395.51万元，其中：一般公共预算财政拨款收入2395.51万元，占100</w:t>
      </w:r>
      <w:r>
        <w:rPr>
          <w:rFonts w:ascii="仿宋" w:hAnsi="仿宋" w:eastAsia="仿宋"/>
          <w:sz w:val="32"/>
          <w:szCs w:val="32"/>
        </w:rPr>
        <w:t>%</w:t>
      </w:r>
      <w:r>
        <w:rPr>
          <w:rFonts w:hint="eastAsia" w:ascii="仿宋" w:hAnsi="仿宋" w:eastAsia="仿宋"/>
          <w:sz w:val="32"/>
          <w:szCs w:val="32"/>
        </w:rPr>
        <w:t>；政府性基金预算财政拨款收入0万元，占0</w:t>
      </w:r>
      <w:r>
        <w:rPr>
          <w:rFonts w:ascii="仿宋" w:hAnsi="仿宋" w:eastAsia="仿宋"/>
          <w:sz w:val="32"/>
          <w:szCs w:val="32"/>
        </w:rPr>
        <w:t>%</w:t>
      </w:r>
      <w:r>
        <w:rPr>
          <w:rFonts w:hint="eastAsia" w:ascii="仿宋" w:hAnsi="仿宋" w:eastAsia="仿宋"/>
          <w:sz w:val="32"/>
          <w:szCs w:val="32"/>
        </w:rPr>
        <w:t>；国有资本经营</w:t>
      </w:r>
      <w:r>
        <w:rPr>
          <w:rFonts w:hint="eastAsia" w:ascii="仿宋" w:hAnsi="仿宋" w:eastAsia="仿宋"/>
          <w:sz w:val="32"/>
          <w:szCs w:val="32"/>
          <w:u w:val="none" w:color="46CD7E"/>
          <w:shd w:val="clear" w:fill="auto"/>
          <w:lang w:eastAsia="zh-CN"/>
        </w:rPr>
        <w:t>预算中</w:t>
      </w:r>
      <w:r>
        <w:rPr>
          <w:rFonts w:hint="eastAsia" w:ascii="仿宋" w:hAnsi="仿宋" w:eastAsia="仿宋"/>
          <w:sz w:val="32"/>
          <w:szCs w:val="32"/>
        </w:rPr>
        <w:t>财政拨款收入0万元，占0</w:t>
      </w:r>
      <w:r>
        <w:rPr>
          <w:rFonts w:ascii="仿宋" w:hAnsi="仿宋" w:eastAsia="仿宋"/>
          <w:sz w:val="32"/>
          <w:szCs w:val="32"/>
        </w:rPr>
        <w:t>%</w:t>
      </w:r>
      <w:r>
        <w:rPr>
          <w:rFonts w:hint="eastAsia" w:ascii="仿宋" w:hAnsi="仿宋" w:eastAsia="仿宋"/>
          <w:sz w:val="32"/>
          <w:szCs w:val="32"/>
        </w:rPr>
        <w:t>；上级补助收入0万元，占0</w:t>
      </w:r>
      <w:r>
        <w:rPr>
          <w:rFonts w:ascii="仿宋" w:hAnsi="仿宋" w:eastAsia="仿宋"/>
          <w:sz w:val="32"/>
          <w:szCs w:val="32"/>
        </w:rPr>
        <w:t>%</w:t>
      </w:r>
      <w:r>
        <w:rPr>
          <w:rFonts w:hint="eastAsia" w:ascii="仿宋" w:hAnsi="仿宋" w:eastAsia="仿宋"/>
          <w:sz w:val="32"/>
          <w:szCs w:val="32"/>
        </w:rPr>
        <w:t>；营业收入0万元，占比0</w:t>
      </w:r>
      <w:r>
        <w:rPr>
          <w:rFonts w:ascii="仿宋" w:hAnsi="仿宋" w:eastAsia="仿宋"/>
          <w:sz w:val="32"/>
          <w:szCs w:val="32"/>
        </w:rPr>
        <w:t>%</w:t>
      </w:r>
      <w:r>
        <w:rPr>
          <w:rFonts w:hint="eastAsia" w:ascii="仿宋" w:hAnsi="仿宋" w:eastAsia="仿宋"/>
          <w:sz w:val="32"/>
          <w:szCs w:val="32"/>
        </w:rPr>
        <w:t>；经营收入0万元，占比0</w:t>
      </w:r>
      <w:r>
        <w:rPr>
          <w:rFonts w:ascii="仿宋" w:hAnsi="仿宋" w:eastAsia="仿宋"/>
          <w:sz w:val="32"/>
          <w:szCs w:val="32"/>
        </w:rPr>
        <w:t>%</w:t>
      </w:r>
      <w:r>
        <w:rPr>
          <w:rFonts w:hint="eastAsia" w:ascii="仿宋" w:hAnsi="仿宋" w:eastAsia="仿宋"/>
          <w:sz w:val="32"/>
          <w:szCs w:val="32"/>
        </w:rPr>
        <w:t>；附属单位上缴收入0万元，占0</w:t>
      </w:r>
      <w:r>
        <w:rPr>
          <w:rFonts w:ascii="仿宋" w:hAnsi="仿宋" w:eastAsia="仿宋"/>
          <w:sz w:val="32"/>
          <w:szCs w:val="32"/>
        </w:rPr>
        <w:t>%</w:t>
      </w:r>
      <w:r>
        <w:rPr>
          <w:rFonts w:hint="eastAsia" w:ascii="仿宋" w:hAnsi="仿宋" w:eastAsia="仿宋"/>
          <w:sz w:val="32"/>
          <w:szCs w:val="32"/>
        </w:rPr>
        <w:t>；其他收入0万元，占0</w:t>
      </w:r>
      <w:r>
        <w:rPr>
          <w:rFonts w:ascii="仿宋" w:hAnsi="仿宋" w:eastAsia="仿宋"/>
          <w:sz w:val="32"/>
          <w:szCs w:val="32"/>
        </w:rPr>
        <w:t>%</w:t>
      </w:r>
      <w:r>
        <w:rPr>
          <w:rFonts w:hint="eastAsia" w:ascii="仿宋" w:hAnsi="仿宋" w:eastAsia="仿宋"/>
          <w:sz w:val="32"/>
          <w:szCs w:val="32"/>
        </w:rPr>
        <w:t>。</w:t>
      </w:r>
      <w:bookmarkEnd w:id="30"/>
    </w:p>
    <w:p>
      <w:pPr>
        <w:pStyle w:val="3"/>
        <w:spacing w:before="93"/>
        <w:rPr>
          <w:rFonts w:ascii="仿宋" w:hAnsi="仿宋" w:eastAsia="仿宋"/>
          <w:sz w:val="32"/>
          <w:szCs w:val="32"/>
        </w:rPr>
      </w:pPr>
      <w:r>
        <w:rPr>
          <w:rFonts w:hint="eastAsia" w:ascii="仿宋" w:hAnsi="仿宋" w:eastAsia="仿宋"/>
          <w:sz w:val="32"/>
          <w:szCs w:val="32"/>
        </w:rPr>
        <w:drawing>
          <wp:anchor distT="0" distB="0" distL="114300" distR="114300" simplePos="0" relativeHeight="251665408" behindDoc="0" locked="0" layoutInCell="1" allowOverlap="1">
            <wp:simplePos x="0" y="0"/>
            <wp:positionH relativeFrom="column">
              <wp:posOffset>-24130</wp:posOffset>
            </wp:positionH>
            <wp:positionV relativeFrom="paragraph">
              <wp:posOffset>154305</wp:posOffset>
            </wp:positionV>
            <wp:extent cx="4890770" cy="2412365"/>
            <wp:effectExtent l="4445" t="4445" r="19685" b="21590"/>
            <wp:wrapNone/>
            <wp:docPr id="649" name="_x0000_s19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pPr>
        <w:pStyle w:val="3"/>
        <w:spacing w:before="93"/>
        <w:rPr>
          <w:rFonts w:ascii="仿宋" w:hAnsi="仿宋" w:eastAsia="仿宋"/>
          <w:sz w:val="32"/>
          <w:szCs w:val="32"/>
        </w:rPr>
      </w:pPr>
    </w:p>
    <w:p>
      <w:pPr>
        <w:pStyle w:val="3"/>
        <w:spacing w:before="93"/>
        <w:rPr>
          <w:rFonts w:ascii="仿宋" w:hAnsi="仿宋" w:eastAsia="仿宋"/>
          <w:sz w:val="32"/>
          <w:szCs w:val="32"/>
        </w:rPr>
      </w:pPr>
    </w:p>
    <w:p>
      <w:pPr>
        <w:pStyle w:val="3"/>
        <w:spacing w:before="93"/>
        <w:rPr>
          <w:rFonts w:ascii="仿宋" w:hAnsi="仿宋" w:eastAsia="仿宋"/>
          <w:sz w:val="32"/>
          <w:szCs w:val="32"/>
        </w:rPr>
      </w:pPr>
    </w:p>
    <w:p>
      <w:pPr>
        <w:pStyle w:val="3"/>
        <w:spacing w:before="93"/>
        <w:rPr>
          <w:rFonts w:ascii="仿宋" w:hAnsi="仿宋" w:eastAsia="仿宋"/>
          <w:sz w:val="32"/>
          <w:szCs w:val="32"/>
        </w:rPr>
      </w:pPr>
    </w:p>
    <w:p>
      <w:pPr>
        <w:spacing w:line="600" w:lineRule="exact"/>
        <w:jc w:val="center"/>
        <w:rPr>
          <w:rFonts w:ascii="仿宋" w:hAnsi="仿宋" w:eastAsia="仿宋"/>
          <w:sz w:val="32"/>
          <w:szCs w:val="32"/>
        </w:rPr>
      </w:pPr>
    </w:p>
    <w:p>
      <w:pPr>
        <w:spacing w:line="600" w:lineRule="exact"/>
        <w:jc w:val="center"/>
      </w:pPr>
      <w:r>
        <w:rPr>
          <w:rFonts w:hint="eastAsia" w:ascii="仿宋" w:hAnsi="仿宋" w:eastAsia="仿宋"/>
          <w:sz w:val="32"/>
          <w:szCs w:val="32"/>
        </w:rPr>
        <w:t>（图2：收入决算结构图）</w:t>
      </w:r>
    </w:p>
    <w:p>
      <w:pPr>
        <w:pStyle w:val="31"/>
        <w:numPr>
          <w:ilvl w:val="0"/>
          <w:numId w:val="2"/>
        </w:numPr>
        <w:spacing w:line="600" w:lineRule="exact"/>
        <w:ind w:firstLineChars="0"/>
        <w:outlineLvl w:val="1"/>
        <w:rPr>
          <w:rFonts w:hint="eastAsia" w:ascii="黑体" w:hAnsi="黑体" w:eastAsia="黑体"/>
          <w:sz w:val="32"/>
          <w:szCs w:val="32"/>
        </w:rPr>
      </w:pPr>
      <w:bookmarkStart w:id="31" w:name="_Toc15396605"/>
      <w:bookmarkStart w:id="32" w:name="_Toc15377207"/>
      <w:bookmarkStart w:id="33" w:name="_Toc22819"/>
      <w:r>
        <w:rPr>
          <w:rFonts w:hint="eastAsia" w:ascii="黑体" w:hAnsi="黑体" w:eastAsia="黑体"/>
          <w:sz w:val="32"/>
          <w:szCs w:val="32"/>
        </w:rPr>
        <w:t>支</w:t>
      </w:r>
      <w:r>
        <w:rPr>
          <w:rStyle w:val="33"/>
          <w:rFonts w:hint="eastAsia" w:ascii="黑体" w:hAnsi="黑体" w:eastAsia="黑体"/>
          <w:b w:val="0"/>
        </w:rPr>
        <w:t>出</w:t>
      </w:r>
      <w:r>
        <w:rPr>
          <w:rFonts w:hint="eastAsia" w:ascii="黑体" w:hAnsi="黑体" w:eastAsia="黑体"/>
          <w:sz w:val="32"/>
          <w:szCs w:val="32"/>
        </w:rPr>
        <w:t>决算情况说明</w:t>
      </w:r>
      <w:bookmarkEnd w:id="31"/>
      <w:bookmarkEnd w:id="32"/>
      <w:bookmarkEnd w:id="33"/>
    </w:p>
    <w:p>
      <w:pPr>
        <w:spacing w:line="600" w:lineRule="exact"/>
        <w:ind w:firstLine="640" w:firstLineChars="200"/>
        <w:outlineLvl w:val="1"/>
        <w:rPr>
          <w:rFonts w:ascii="仿宋" w:hAnsi="仿宋" w:eastAsia="仿宋"/>
          <w:sz w:val="32"/>
          <w:szCs w:val="32"/>
        </w:rPr>
      </w:pPr>
      <w:bookmarkStart w:id="34" w:name="_Toc29586"/>
      <w:r>
        <w:rPr>
          <w:rFonts w:ascii="仿宋" w:hAnsi="仿宋" w:eastAsia="仿宋"/>
          <w:sz w:val="32"/>
          <w:szCs w:val="32"/>
        </w:rPr>
        <w:t>20</w:t>
      </w:r>
      <w:r>
        <w:rPr>
          <w:rFonts w:hint="eastAsia" w:ascii="仿宋" w:hAnsi="仿宋" w:eastAsia="仿宋"/>
          <w:sz w:val="32"/>
          <w:szCs w:val="32"/>
        </w:rPr>
        <w:t>21年本年支出合计2395.51万元，其中：基本支出1225.92万元，占51.18</w:t>
      </w:r>
      <w:r>
        <w:rPr>
          <w:rFonts w:ascii="仿宋" w:hAnsi="仿宋" w:eastAsia="仿宋"/>
          <w:sz w:val="32"/>
          <w:szCs w:val="32"/>
        </w:rPr>
        <w:t>%</w:t>
      </w:r>
      <w:r>
        <w:rPr>
          <w:rFonts w:hint="eastAsia" w:ascii="仿宋" w:hAnsi="仿宋" w:eastAsia="仿宋"/>
          <w:sz w:val="32"/>
          <w:szCs w:val="32"/>
        </w:rPr>
        <w:t>；项目支出1169.59万元，占48.82</w:t>
      </w:r>
      <w:r>
        <w:rPr>
          <w:rFonts w:ascii="仿宋" w:hAnsi="仿宋" w:eastAsia="仿宋"/>
          <w:sz w:val="32"/>
          <w:szCs w:val="32"/>
        </w:rPr>
        <w:t>%</w:t>
      </w:r>
      <w:r>
        <w:rPr>
          <w:rFonts w:hint="eastAsia" w:ascii="仿宋" w:hAnsi="仿宋" w:eastAsia="仿宋"/>
          <w:sz w:val="32"/>
          <w:szCs w:val="32"/>
        </w:rPr>
        <w:t>；上缴上级支出0万元，占0</w:t>
      </w:r>
      <w:r>
        <w:rPr>
          <w:rFonts w:ascii="仿宋" w:hAnsi="仿宋" w:eastAsia="仿宋"/>
          <w:sz w:val="32"/>
          <w:szCs w:val="32"/>
        </w:rPr>
        <w:t>%</w:t>
      </w:r>
      <w:r>
        <w:rPr>
          <w:rFonts w:hint="eastAsia" w:ascii="仿宋" w:hAnsi="仿宋" w:eastAsia="仿宋"/>
          <w:sz w:val="32"/>
          <w:szCs w:val="32"/>
        </w:rPr>
        <w:t>；经营支出0万元，占0</w:t>
      </w:r>
      <w:r>
        <w:rPr>
          <w:rFonts w:ascii="仿宋" w:hAnsi="仿宋" w:eastAsia="仿宋"/>
          <w:sz w:val="32"/>
          <w:szCs w:val="32"/>
        </w:rPr>
        <w:t>%</w:t>
      </w:r>
      <w:r>
        <w:rPr>
          <w:rFonts w:hint="eastAsia" w:ascii="仿宋" w:hAnsi="仿宋" w:eastAsia="仿宋"/>
          <w:sz w:val="32"/>
          <w:szCs w:val="32"/>
        </w:rPr>
        <w:t>；对附属单位补助支出0万元，占0</w:t>
      </w:r>
      <w:r>
        <w:rPr>
          <w:rFonts w:ascii="仿宋" w:hAnsi="仿宋" w:eastAsia="仿宋"/>
          <w:sz w:val="32"/>
          <w:szCs w:val="32"/>
        </w:rPr>
        <w:t>%</w:t>
      </w:r>
      <w:r>
        <w:rPr>
          <w:rFonts w:hint="eastAsia" w:ascii="仿宋" w:hAnsi="仿宋" w:eastAsia="仿宋"/>
          <w:sz w:val="32"/>
          <w:szCs w:val="32"/>
        </w:rPr>
        <w:t>。</w:t>
      </w:r>
      <w:bookmarkEnd w:id="34"/>
    </w:p>
    <w:p>
      <w:pPr>
        <w:pStyle w:val="3"/>
        <w:spacing w:before="93"/>
        <w:rPr>
          <w:rFonts w:ascii="仿宋" w:hAnsi="仿宋" w:eastAsia="仿宋"/>
          <w:sz w:val="32"/>
          <w:szCs w:val="32"/>
          <w:shd w:val="pct10" w:color="auto" w:fill="FFFFFF"/>
        </w:rPr>
      </w:pPr>
      <w:r>
        <w:rPr>
          <w:rFonts w:hint="eastAsia" w:ascii="仿宋" w:hAnsi="仿宋" w:eastAsia="仿宋"/>
          <w:sz w:val="32"/>
          <w:szCs w:val="32"/>
        </w:rPr>
        <w:drawing>
          <wp:anchor distT="0" distB="0" distL="114300" distR="114300" simplePos="0" relativeHeight="251666432" behindDoc="0" locked="0" layoutInCell="1" allowOverlap="1">
            <wp:simplePos x="0" y="0"/>
            <wp:positionH relativeFrom="column">
              <wp:posOffset>-157480</wp:posOffset>
            </wp:positionH>
            <wp:positionV relativeFrom="paragraph">
              <wp:posOffset>93980</wp:posOffset>
            </wp:positionV>
            <wp:extent cx="5414010" cy="2638425"/>
            <wp:effectExtent l="4445" t="4445" r="10795" b="5080"/>
            <wp:wrapNone/>
            <wp:docPr id="650" name="_x0000_s19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pStyle w:val="3"/>
        <w:spacing w:before="93"/>
        <w:rPr>
          <w:rFonts w:ascii="仿宋" w:hAnsi="仿宋" w:eastAsia="仿宋"/>
          <w:sz w:val="32"/>
          <w:szCs w:val="32"/>
          <w:shd w:val="pct10" w:color="auto" w:fill="FFFFFF"/>
        </w:rPr>
      </w:pPr>
    </w:p>
    <w:p>
      <w:pPr>
        <w:pStyle w:val="3"/>
        <w:spacing w:before="93"/>
        <w:rPr>
          <w:rFonts w:ascii="仿宋" w:hAnsi="仿宋" w:eastAsia="仿宋"/>
          <w:sz w:val="32"/>
          <w:szCs w:val="32"/>
          <w:shd w:val="pct10" w:color="auto" w:fill="FFFFFF"/>
        </w:rPr>
      </w:pPr>
    </w:p>
    <w:p>
      <w:pPr>
        <w:pStyle w:val="3"/>
        <w:spacing w:before="93"/>
        <w:rPr>
          <w:rFonts w:ascii="仿宋" w:hAnsi="仿宋" w:eastAsia="仿宋"/>
          <w:sz w:val="32"/>
          <w:szCs w:val="32"/>
          <w:shd w:val="pct10" w:color="auto" w:fill="FFFFFF"/>
        </w:rPr>
      </w:pPr>
    </w:p>
    <w:p>
      <w:pPr>
        <w:pStyle w:val="3"/>
        <w:spacing w:before="93"/>
        <w:rPr>
          <w:rFonts w:ascii="仿宋" w:hAnsi="仿宋" w:eastAsia="仿宋"/>
          <w:sz w:val="32"/>
          <w:szCs w:val="32"/>
          <w:shd w:val="pct10" w:color="auto" w:fill="FFFFFF"/>
        </w:rPr>
      </w:pPr>
    </w:p>
    <w:p>
      <w:pPr>
        <w:pStyle w:val="3"/>
        <w:spacing w:before="93"/>
        <w:rPr>
          <w:rFonts w:ascii="仿宋" w:hAnsi="仿宋" w:eastAsia="仿宋"/>
          <w:sz w:val="32"/>
          <w:szCs w:val="32"/>
          <w:shd w:val="pct10" w:color="auto" w:fill="FFFFFF"/>
        </w:rPr>
      </w:pPr>
    </w:p>
    <w:p>
      <w:pPr>
        <w:spacing w:line="600" w:lineRule="exact"/>
        <w:jc w:val="center"/>
        <w:rPr>
          <w:rFonts w:ascii="仿宋_GB2312" w:eastAsia="仿宋_GB2312"/>
          <w:sz w:val="32"/>
          <w:szCs w:val="32"/>
        </w:rPr>
      </w:pPr>
      <w:r>
        <w:rPr>
          <w:rFonts w:hint="eastAsia" w:ascii="仿宋" w:hAnsi="仿宋" w:eastAsia="仿宋"/>
          <w:sz w:val="32"/>
          <w:szCs w:val="32"/>
        </w:rPr>
        <w:t>（图3：支出决算结构图）</w:t>
      </w:r>
    </w:p>
    <w:p>
      <w:pPr>
        <w:spacing w:line="600" w:lineRule="exact"/>
        <w:ind w:firstLine="640" w:firstLineChars="200"/>
        <w:outlineLvl w:val="1"/>
        <w:rPr>
          <w:rFonts w:hint="eastAsia" w:ascii="黑体" w:hAnsi="黑体" w:eastAsia="黑体" w:cs="Times New Roman"/>
          <w:kern w:val="2"/>
          <w:sz w:val="32"/>
          <w:szCs w:val="32"/>
          <w:lang w:val="en-US" w:eastAsia="zh-CN" w:bidi="ar-SA"/>
        </w:rPr>
      </w:pPr>
      <w:bookmarkStart w:id="35" w:name="_Toc15377208"/>
      <w:bookmarkStart w:id="36" w:name="_Toc18764"/>
      <w:bookmarkStart w:id="37" w:name="_Toc15396606"/>
      <w:r>
        <w:rPr>
          <w:rFonts w:hint="eastAsia" w:ascii="黑体" w:hAnsi="黑体" w:eastAsia="黑体" w:cs="Times New Roman"/>
          <w:kern w:val="2"/>
          <w:sz w:val="32"/>
          <w:szCs w:val="32"/>
          <w:lang w:val="en-US" w:eastAsia="zh-CN" w:bidi="ar-SA"/>
        </w:rPr>
        <w:t>四、财政</w:t>
      </w:r>
      <w:r>
        <w:rPr>
          <w:rStyle w:val="33"/>
          <w:rFonts w:hint="eastAsia" w:ascii="黑体" w:hAnsi="黑体" w:eastAsia="黑体"/>
          <w:b w:val="0"/>
        </w:rPr>
        <w:t>拨款收入支出</w:t>
      </w:r>
      <w:r>
        <w:rPr>
          <w:rFonts w:hint="eastAsia" w:ascii="黑体" w:hAnsi="黑体" w:eastAsia="黑体" w:cs="Times New Roman"/>
          <w:kern w:val="2"/>
          <w:sz w:val="32"/>
          <w:szCs w:val="32"/>
          <w:lang w:val="en-US" w:eastAsia="zh-CN" w:bidi="ar-SA"/>
        </w:rPr>
        <w:t>决算总体情况说明</w:t>
      </w:r>
      <w:bookmarkEnd w:id="35"/>
      <w:bookmarkEnd w:id="36"/>
      <w:bookmarkEnd w:id="37"/>
    </w:p>
    <w:p>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21年财政拨款收、支总计2395.51万元。与</w:t>
      </w:r>
      <w:r>
        <w:rPr>
          <w:rFonts w:ascii="仿宋" w:hAnsi="仿宋" w:eastAsia="仿宋"/>
          <w:sz w:val="32"/>
          <w:szCs w:val="32"/>
        </w:rPr>
        <w:t>20</w:t>
      </w:r>
      <w:r>
        <w:rPr>
          <w:rFonts w:hint="eastAsia" w:ascii="仿宋" w:hAnsi="仿宋" w:eastAsia="仿宋"/>
          <w:sz w:val="32"/>
          <w:szCs w:val="32"/>
        </w:rPr>
        <w:t>20年相比，财政拨款收、支总计各减少949.7万元，减少28.39</w:t>
      </w:r>
      <w:r>
        <w:rPr>
          <w:rFonts w:ascii="仿宋" w:hAnsi="仿宋" w:eastAsia="仿宋"/>
          <w:sz w:val="32"/>
          <w:szCs w:val="32"/>
        </w:rPr>
        <w:t>%</w:t>
      </w:r>
      <w:r>
        <w:rPr>
          <w:rFonts w:hint="eastAsia" w:ascii="仿宋" w:hAnsi="仿宋" w:eastAsia="仿宋"/>
          <w:sz w:val="32"/>
          <w:szCs w:val="32"/>
        </w:rPr>
        <w:t>。主要变动原因是项目支出减少。</w:t>
      </w:r>
    </w:p>
    <w:p>
      <w:pPr>
        <w:pStyle w:val="3"/>
        <w:spacing w:before="93"/>
        <w:rPr>
          <w:rFonts w:ascii="仿宋" w:hAnsi="仿宋" w:eastAsia="仿宋"/>
          <w:sz w:val="32"/>
          <w:szCs w:val="32"/>
        </w:rPr>
      </w:pPr>
      <w:r>
        <w:drawing>
          <wp:inline distT="0" distB="0" distL="114300" distR="114300">
            <wp:extent cx="4892675" cy="2360930"/>
            <wp:effectExtent l="4445" t="4445" r="17780" b="15875"/>
            <wp:docPr id="651" name="_x0000_i19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（图4：财政拨款收、支决算总计变动情况）</w:t>
      </w:r>
    </w:p>
    <w:p>
      <w:pPr>
        <w:spacing w:line="600" w:lineRule="exact"/>
        <w:ind w:firstLine="640" w:firstLineChars="200"/>
        <w:outlineLvl w:val="1"/>
        <w:rPr>
          <w:rFonts w:hint="eastAsia" w:ascii="黑体" w:hAnsi="黑体" w:eastAsia="黑体" w:cs="Times New Roman"/>
          <w:kern w:val="2"/>
          <w:sz w:val="32"/>
          <w:szCs w:val="32"/>
          <w:lang w:val="en-US" w:eastAsia="zh-CN" w:bidi="ar-SA"/>
        </w:rPr>
      </w:pPr>
      <w:bookmarkStart w:id="38" w:name="_Toc15377209"/>
      <w:bookmarkStart w:id="39" w:name="_Toc15396607"/>
      <w:bookmarkStart w:id="40" w:name="_Toc31611"/>
      <w:r>
        <w:rPr>
          <w:rFonts w:hint="eastAsia" w:ascii="黑体" w:hAnsi="黑体" w:eastAsia="黑体"/>
          <w:sz w:val="32"/>
          <w:szCs w:val="32"/>
        </w:rPr>
        <w:t>五、</w:t>
      </w:r>
      <w:r>
        <w:rPr>
          <w:rFonts w:hint="eastAsia" w:ascii="黑体" w:hAnsi="黑体" w:eastAsia="黑体"/>
          <w:b/>
          <w:sz w:val="32"/>
          <w:szCs w:val="32"/>
        </w:rPr>
        <w:t>一</w:t>
      </w:r>
      <w:r>
        <w:rPr>
          <w:rStyle w:val="33"/>
          <w:rFonts w:hint="eastAsia" w:ascii="黑体" w:hAnsi="黑体" w:eastAsia="黑体"/>
          <w:b w:val="0"/>
        </w:rPr>
        <w:t>般公共预算</w:t>
      </w:r>
      <w:r>
        <w:rPr>
          <w:rFonts w:hint="eastAsia" w:ascii="黑体" w:hAnsi="黑体" w:eastAsia="黑体" w:cs="Times New Roman"/>
          <w:kern w:val="2"/>
          <w:sz w:val="32"/>
          <w:szCs w:val="32"/>
          <w:lang w:val="en-US" w:eastAsia="zh-CN" w:bidi="ar-SA"/>
        </w:rPr>
        <w:t>财政拨款支出决算情况说明</w:t>
      </w:r>
      <w:bookmarkEnd w:id="38"/>
      <w:bookmarkEnd w:id="39"/>
      <w:bookmarkEnd w:id="40"/>
    </w:p>
    <w:p>
      <w:pPr>
        <w:spacing w:line="600" w:lineRule="exact"/>
        <w:ind w:firstLine="643" w:firstLineChars="200"/>
        <w:outlineLvl w:val="2"/>
        <w:rPr>
          <w:rFonts w:ascii="仿宋" w:hAnsi="仿宋" w:eastAsia="仿宋"/>
          <w:b/>
          <w:sz w:val="32"/>
          <w:szCs w:val="32"/>
        </w:rPr>
      </w:pPr>
      <w:bookmarkStart w:id="41" w:name="_Toc15377210"/>
      <w:r>
        <w:rPr>
          <w:rFonts w:hint="eastAsia" w:ascii="仿宋" w:hAnsi="仿宋" w:eastAsia="仿宋"/>
          <w:b/>
          <w:sz w:val="32"/>
          <w:szCs w:val="32"/>
          <w:u w:val="thick" w:color="FFB03A"/>
          <w:shd w:val="clear" w:fill="FFEFD8"/>
        </w:rPr>
        <w:t>（一）</w:t>
      </w:r>
      <w:r>
        <w:rPr>
          <w:rFonts w:hint="eastAsia" w:ascii="仿宋" w:hAnsi="仿宋" w:eastAsia="仿宋"/>
          <w:b/>
          <w:sz w:val="32"/>
          <w:szCs w:val="32"/>
        </w:rPr>
        <w:t>一般公共预算财政拨款支出决算总体情况</w:t>
      </w:r>
      <w:bookmarkEnd w:id="41"/>
    </w:p>
    <w:p>
      <w:pPr>
        <w:spacing w:line="600" w:lineRule="exact"/>
        <w:ind w:firstLine="640" w:firstLineChars="20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21年一般公共预算财政拨款支出2395.51万元，占本年支出合计的100</w:t>
      </w:r>
      <w:r>
        <w:rPr>
          <w:rFonts w:ascii="仿宋" w:hAnsi="仿宋" w:eastAsia="仿宋"/>
          <w:sz w:val="32"/>
          <w:szCs w:val="32"/>
        </w:rPr>
        <w:t>%</w:t>
      </w:r>
      <w:r>
        <w:rPr>
          <w:rFonts w:hint="eastAsia" w:ascii="仿宋" w:hAnsi="仿宋" w:eastAsia="仿宋"/>
          <w:sz w:val="32"/>
          <w:szCs w:val="32"/>
        </w:rPr>
        <w:t>。与</w:t>
      </w:r>
      <w:r>
        <w:rPr>
          <w:rFonts w:ascii="仿宋" w:hAnsi="仿宋" w:eastAsia="仿宋"/>
          <w:sz w:val="32"/>
          <w:szCs w:val="32"/>
        </w:rPr>
        <w:t>20</w:t>
      </w:r>
      <w:r>
        <w:rPr>
          <w:rFonts w:hint="eastAsia" w:ascii="仿宋" w:hAnsi="仿宋" w:eastAsia="仿宋"/>
          <w:sz w:val="32"/>
          <w:szCs w:val="32"/>
        </w:rPr>
        <w:t>20年相比，一般公共预算财政拨款支出减少949.7万元，减少28.39</w:t>
      </w:r>
      <w:r>
        <w:rPr>
          <w:rFonts w:ascii="仿宋" w:hAnsi="仿宋" w:eastAsia="仿宋"/>
          <w:sz w:val="32"/>
          <w:szCs w:val="32"/>
        </w:rPr>
        <w:t>%</w:t>
      </w:r>
      <w:r>
        <w:rPr>
          <w:rFonts w:hint="eastAsia" w:ascii="仿宋" w:hAnsi="仿宋" w:eastAsia="仿宋"/>
          <w:sz w:val="32"/>
          <w:szCs w:val="32"/>
        </w:rPr>
        <w:t>。主要变动原因是项目支出减少。</w:t>
      </w:r>
    </w:p>
    <w:p>
      <w:pPr>
        <w:pStyle w:val="3"/>
        <w:spacing w:before="93"/>
        <w:rPr>
          <w:rFonts w:ascii="仿宋" w:hAnsi="仿宋" w:eastAsia="仿宋"/>
          <w:sz w:val="32"/>
          <w:szCs w:val="32"/>
        </w:rPr>
      </w:pPr>
      <w:r>
        <w:rPr>
          <w:rFonts w:hint="eastAsia" w:ascii="仿宋" w:hAnsi="仿宋" w:eastAsia="仿宋"/>
          <w:sz w:val="32"/>
          <w:szCs w:val="32"/>
        </w:rPr>
        <w:drawing>
          <wp:inline distT="0" distB="0" distL="114300" distR="114300">
            <wp:extent cx="4924425" cy="2508885"/>
            <wp:effectExtent l="4445" t="4445" r="5080" b="20320"/>
            <wp:docPr id="652" name="_x0000_i19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spacing w:line="600" w:lineRule="exact"/>
        <w:ind w:firstLine="560" w:firstLineChars="200"/>
        <w:rPr>
          <w:rFonts w:ascii="仿宋" w:hAnsi="仿宋" w:eastAsia="仿宋"/>
          <w:spacing w:val="-20"/>
          <w:sz w:val="32"/>
          <w:szCs w:val="32"/>
        </w:rPr>
      </w:pPr>
      <w:r>
        <w:rPr>
          <w:rFonts w:hint="eastAsia" w:ascii="仿宋" w:hAnsi="仿宋" w:eastAsia="仿宋"/>
          <w:spacing w:val="-20"/>
          <w:sz w:val="32"/>
          <w:szCs w:val="32"/>
        </w:rPr>
        <w:t>（图5：一般公共预算财政拨款支出决算变动情况）</w:t>
      </w:r>
    </w:p>
    <w:p>
      <w:pPr>
        <w:spacing w:line="600" w:lineRule="exact"/>
        <w:ind w:firstLine="643" w:firstLineChars="200"/>
        <w:outlineLvl w:val="2"/>
        <w:rPr>
          <w:rFonts w:ascii="仿宋" w:hAnsi="仿宋" w:eastAsia="仿宋"/>
          <w:b/>
          <w:sz w:val="32"/>
          <w:szCs w:val="32"/>
        </w:rPr>
      </w:pPr>
      <w:bookmarkStart w:id="42" w:name="_Toc15377211"/>
      <w:r>
        <w:rPr>
          <w:rFonts w:hint="eastAsia" w:ascii="仿宋" w:hAnsi="仿宋" w:eastAsia="仿宋"/>
          <w:b/>
          <w:sz w:val="32"/>
          <w:szCs w:val="32"/>
        </w:rPr>
        <w:t>（二）一般公共预算财政拨款支出决算结构情况</w:t>
      </w:r>
      <w:bookmarkEnd w:id="42"/>
    </w:p>
    <w:p>
      <w:pPr>
        <w:spacing w:line="600" w:lineRule="exact"/>
        <w:ind w:firstLine="640"/>
        <w:rPr>
          <w:rFonts w:ascii="仿宋" w:hAnsi="仿宋" w:eastAsia="仿宋"/>
          <w:b/>
          <w:sz w:val="32"/>
          <w:szCs w:val="32"/>
        </w:rPr>
      </w:pPr>
      <w:r>
        <w:rPr>
          <w:rFonts w:ascii="仿宋" w:hAnsi="仿宋" w:eastAsia="仿宋"/>
          <w:sz w:val="32"/>
          <w:szCs w:val="32"/>
        </w:rPr>
        <w:t>20</w:t>
      </w:r>
      <w:r>
        <w:rPr>
          <w:rFonts w:hint="eastAsia" w:ascii="仿宋" w:hAnsi="仿宋" w:eastAsia="仿宋"/>
          <w:sz w:val="32"/>
          <w:szCs w:val="32"/>
        </w:rPr>
        <w:t>21年一般公共预算财政拨款支出2395.51万元，主要用于以下方面</w:t>
      </w:r>
      <w:r>
        <w:t>：</w:t>
      </w:r>
      <w:r>
        <w:rPr>
          <w:rFonts w:hint="eastAsia" w:ascii="仿宋" w:hAnsi="仿宋" w:eastAsia="仿宋"/>
          <w:b/>
          <w:sz w:val="32"/>
          <w:szCs w:val="32"/>
        </w:rPr>
        <w:t>一般公共服务（类）</w:t>
      </w:r>
      <w:r>
        <w:rPr>
          <w:rFonts w:hint="eastAsia" w:ascii="仿宋" w:hAnsi="仿宋" w:eastAsia="仿宋"/>
          <w:sz w:val="32"/>
          <w:szCs w:val="32"/>
        </w:rPr>
        <w:t>支出0万元，占0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教育支出（类）2135.37</w:t>
      </w:r>
      <w:r>
        <w:rPr>
          <w:rFonts w:hint="eastAsia" w:ascii="仿宋" w:hAnsi="仿宋" w:eastAsia="仿宋"/>
          <w:sz w:val="32"/>
          <w:szCs w:val="32"/>
        </w:rPr>
        <w:t>万元，占89.14</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sz w:val="32"/>
          <w:szCs w:val="32"/>
        </w:rPr>
        <w:t>科学技术（类）</w:t>
      </w:r>
      <w:r>
        <w:rPr>
          <w:rFonts w:hint="eastAsia" w:ascii="仿宋" w:hAnsi="仿宋" w:eastAsia="仿宋"/>
          <w:sz w:val="32"/>
          <w:szCs w:val="32"/>
        </w:rPr>
        <w:t>支出0万元，占0</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文化旅游体育与传媒（类）支出0万元，占0</w:t>
      </w:r>
      <w:r>
        <w:rPr>
          <w:rFonts w:ascii="仿宋" w:hAnsi="仿宋" w:eastAsia="仿宋"/>
          <w:b/>
          <w:bCs/>
          <w:sz w:val="32"/>
          <w:szCs w:val="32"/>
        </w:rPr>
        <w:t>%</w:t>
      </w:r>
      <w:r>
        <w:rPr>
          <w:rFonts w:hint="eastAsia" w:ascii="仿宋" w:hAnsi="仿宋" w:eastAsia="仿宋"/>
          <w:sz w:val="32"/>
          <w:szCs w:val="32"/>
        </w:rPr>
        <w:t>；</w:t>
      </w:r>
      <w:r>
        <w:rPr>
          <w:rFonts w:hint="eastAsia" w:ascii="仿宋" w:hAnsi="仿宋" w:eastAsia="仿宋"/>
          <w:b/>
          <w:sz w:val="32"/>
          <w:szCs w:val="32"/>
        </w:rPr>
        <w:t>社会保障和就业（类）</w:t>
      </w:r>
      <w:r>
        <w:rPr>
          <w:rFonts w:hint="eastAsia" w:ascii="仿宋" w:hAnsi="仿宋" w:eastAsia="仿宋"/>
          <w:sz w:val="32"/>
          <w:szCs w:val="32"/>
        </w:rPr>
        <w:t>支出118.23万元，占4.94</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卫生健康支出</w:t>
      </w:r>
      <w:r>
        <w:rPr>
          <w:rFonts w:hint="eastAsia" w:ascii="仿宋" w:hAnsi="仿宋" w:eastAsia="仿宋"/>
          <w:sz w:val="32"/>
          <w:szCs w:val="32"/>
        </w:rPr>
        <w:t>61.39万元，占2.56</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农林水支出</w:t>
      </w:r>
      <w:r>
        <w:rPr>
          <w:rFonts w:hint="eastAsia" w:ascii="仿宋" w:hAnsi="仿宋" w:eastAsia="仿宋"/>
          <w:sz w:val="32"/>
          <w:szCs w:val="32"/>
        </w:rPr>
        <w:t>2.25万元，占0.09</w:t>
      </w:r>
      <w:r>
        <w:rPr>
          <w:rFonts w:ascii="仿宋" w:hAnsi="仿宋" w:eastAsia="仿宋"/>
          <w:sz w:val="32"/>
          <w:szCs w:val="32"/>
        </w:rPr>
        <w:t>%</w:t>
      </w:r>
      <w:r>
        <w:rPr>
          <w:rFonts w:hint="eastAsia" w:ascii="仿宋" w:hAnsi="仿宋" w:eastAsia="仿宋"/>
          <w:sz w:val="32"/>
          <w:szCs w:val="32"/>
        </w:rPr>
        <w:t>；</w:t>
      </w:r>
      <w:r>
        <w:rPr>
          <w:rFonts w:hint="eastAsia" w:ascii="仿宋" w:hAnsi="仿宋" w:eastAsia="仿宋"/>
          <w:b/>
          <w:bCs/>
          <w:sz w:val="32"/>
          <w:szCs w:val="32"/>
        </w:rPr>
        <w:t>住房保障支出</w:t>
      </w:r>
      <w:r>
        <w:rPr>
          <w:rFonts w:hint="eastAsia" w:ascii="仿宋" w:hAnsi="仿宋" w:eastAsia="仿宋"/>
          <w:sz w:val="32"/>
          <w:szCs w:val="32"/>
        </w:rPr>
        <w:t>78.26万元，占比3.27</w:t>
      </w:r>
      <w:r>
        <w:rPr>
          <w:rFonts w:ascii="仿宋" w:hAnsi="仿宋" w:eastAsia="仿宋"/>
          <w:sz w:val="32"/>
          <w:szCs w:val="32"/>
        </w:rPr>
        <w:t>%</w:t>
      </w:r>
      <w:r>
        <w:rPr>
          <w:rFonts w:hint="eastAsia" w:ascii="仿宋" w:hAnsi="仿宋" w:eastAsia="仿宋"/>
          <w:sz w:val="32"/>
          <w:szCs w:val="32"/>
        </w:rPr>
        <w:t>。</w:t>
      </w:r>
    </w:p>
    <w:p>
      <w:pPr>
        <w:pStyle w:val="3"/>
        <w:spacing w:before="93"/>
        <w:rPr>
          <w:rFonts w:ascii="仿宋" w:hAnsi="仿宋" w:eastAsia="仿宋"/>
          <w:b/>
          <w:sz w:val="32"/>
          <w:szCs w:val="32"/>
        </w:rPr>
      </w:pPr>
      <w:r>
        <w:rPr>
          <w:rFonts w:hint="eastAsia" w:ascii="仿宋" w:hAnsi="仿宋" w:eastAsia="仿宋"/>
          <w:b/>
          <w:sz w:val="32"/>
          <w:szCs w:val="32"/>
        </w:rPr>
        <w:drawing>
          <wp:inline distT="0" distB="0" distL="114300" distR="114300">
            <wp:extent cx="4950460" cy="2703195"/>
            <wp:effectExtent l="4445" t="4445" r="17145" b="16510"/>
            <wp:docPr id="653" name="_x0000_i19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line="600" w:lineRule="exact"/>
        <w:jc w:val="center"/>
        <w:rPr>
          <w:rFonts w:ascii="仿宋" w:hAnsi="仿宋" w:eastAsia="仿宋"/>
          <w:spacing w:val="-20"/>
          <w:sz w:val="32"/>
          <w:szCs w:val="32"/>
        </w:rPr>
      </w:pPr>
      <w:r>
        <w:rPr>
          <w:rFonts w:hint="eastAsia" w:ascii="仿宋" w:hAnsi="仿宋" w:eastAsia="仿宋"/>
          <w:spacing w:val="-20"/>
          <w:sz w:val="32"/>
          <w:szCs w:val="32"/>
        </w:rPr>
        <w:t>（图6：一般公共预算财政拨款支出决算结构）</w:t>
      </w:r>
    </w:p>
    <w:p>
      <w:pPr>
        <w:spacing w:line="600" w:lineRule="exact"/>
        <w:ind w:firstLine="643" w:firstLineChars="200"/>
        <w:outlineLvl w:val="2"/>
        <w:rPr>
          <w:rFonts w:ascii="仿宋" w:hAnsi="仿宋" w:eastAsia="仿宋"/>
          <w:b/>
          <w:sz w:val="32"/>
          <w:szCs w:val="32"/>
        </w:rPr>
      </w:pPr>
      <w:bookmarkStart w:id="43" w:name="_Toc15377212"/>
      <w:r>
        <w:rPr>
          <w:rFonts w:hint="eastAsia" w:ascii="仿宋" w:hAnsi="仿宋" w:eastAsia="仿宋"/>
          <w:b/>
          <w:sz w:val="32"/>
          <w:szCs w:val="32"/>
        </w:rPr>
        <w:t>（三）一般公共预算财政拨款支出决算具体情况</w:t>
      </w:r>
      <w:bookmarkEnd w:id="43"/>
    </w:p>
    <w:p>
      <w:pPr>
        <w:spacing w:line="600" w:lineRule="exact"/>
        <w:ind w:firstLine="643" w:firstLineChars="200"/>
        <w:outlineLvl w:val="2"/>
        <w:rPr>
          <w:rFonts w:ascii="仿宋" w:hAnsi="仿宋" w:eastAsia="仿宋"/>
          <w:sz w:val="32"/>
          <w:szCs w:val="32"/>
        </w:rPr>
      </w:pPr>
      <w:bookmarkStart w:id="44" w:name="_Toc15377213"/>
      <w:bookmarkStart w:id="45" w:name="_Toc15377444"/>
      <w:bookmarkStart w:id="46" w:name="_Toc15378460"/>
      <w:r>
        <w:rPr>
          <w:rFonts w:hint="eastAsia" w:ascii="仿宋" w:hAnsi="仿宋" w:eastAsia="仿宋"/>
          <w:b/>
          <w:sz w:val="32"/>
          <w:szCs w:val="32"/>
        </w:rPr>
        <w:t>2021年一般公共预算支出决算数为2395.51万元</w:t>
      </w:r>
      <w:r>
        <w:rPr>
          <w:rFonts w:hint="eastAsia" w:ascii="仿宋" w:hAnsi="仿宋" w:eastAsia="仿宋"/>
          <w:sz w:val="32"/>
          <w:szCs w:val="32"/>
        </w:rPr>
        <w:t>，</w:t>
      </w:r>
      <w:r>
        <w:rPr>
          <w:rStyle w:val="12"/>
          <w:rFonts w:hint="eastAsia" w:ascii="仿宋" w:hAnsi="仿宋" w:eastAsia="仿宋"/>
          <w:bCs/>
          <w:sz w:val="32"/>
          <w:szCs w:val="32"/>
        </w:rPr>
        <w:t>完成预算的</w:t>
      </w:r>
      <w:r>
        <w:rPr>
          <w:rFonts w:hint="eastAsia" w:ascii="仿宋" w:hAnsi="仿宋" w:eastAsia="仿宋"/>
          <w:bCs/>
          <w:sz w:val="32"/>
          <w:szCs w:val="32"/>
        </w:rPr>
        <w:t>100</w:t>
      </w:r>
      <w:r>
        <w:rPr>
          <w:rStyle w:val="12"/>
          <w:rFonts w:ascii="仿宋" w:hAnsi="仿宋" w:eastAsia="仿宋"/>
          <w:bCs/>
          <w:sz w:val="32"/>
          <w:szCs w:val="32"/>
        </w:rPr>
        <w:t>%</w:t>
      </w:r>
      <w:r>
        <w:rPr>
          <w:rStyle w:val="12"/>
          <w:rFonts w:hint="eastAsia" w:ascii="仿宋" w:hAnsi="仿宋" w:eastAsia="仿宋"/>
          <w:bCs/>
          <w:sz w:val="32"/>
          <w:szCs w:val="32"/>
        </w:rPr>
        <w:t>。其中：</w:t>
      </w:r>
      <w:bookmarkEnd w:id="44"/>
      <w:bookmarkEnd w:id="45"/>
      <w:bookmarkEnd w:id="46"/>
    </w:p>
    <w:p>
      <w:pPr>
        <w:spacing w:line="600" w:lineRule="exact"/>
        <w:ind w:firstLine="643" w:firstLineChars="200"/>
        <w:rPr>
          <w:rFonts w:ascii="仿宋" w:hAnsi="仿宋" w:eastAsia="仿宋"/>
          <w:b/>
          <w:sz w:val="32"/>
          <w:szCs w:val="32"/>
        </w:rPr>
      </w:pPr>
      <w:r>
        <w:rPr>
          <w:rStyle w:val="12"/>
          <w:rFonts w:hint="eastAsia" w:ascii="仿宋" w:hAnsi="仿宋" w:eastAsia="仿宋"/>
          <w:bCs/>
          <w:sz w:val="32"/>
          <w:szCs w:val="32"/>
        </w:rPr>
        <w:t>1</w:t>
      </w:r>
      <w:r>
        <w:rPr>
          <w:rStyle w:val="12"/>
          <w:rFonts w:ascii="仿宋" w:hAnsi="仿宋" w:eastAsia="仿宋"/>
          <w:bCs/>
          <w:sz w:val="32"/>
          <w:szCs w:val="32"/>
        </w:rPr>
        <w:t>.</w:t>
      </w:r>
      <w:r>
        <w:rPr>
          <w:rStyle w:val="12"/>
          <w:rFonts w:hint="eastAsia" w:ascii="仿宋" w:hAnsi="仿宋" w:eastAsia="仿宋"/>
          <w:bCs/>
          <w:sz w:val="32"/>
          <w:szCs w:val="32"/>
        </w:rPr>
        <w:t>教育（类）</w:t>
      </w:r>
      <w:r>
        <w:rPr>
          <w:rFonts w:hint="eastAsia" w:ascii="仿宋" w:hAnsi="仿宋" w:eastAsia="仿宋"/>
          <w:bCs/>
          <w:sz w:val="32"/>
          <w:szCs w:val="32"/>
        </w:rPr>
        <w:t>普通教育（款）小学教育（项）</w:t>
      </w:r>
      <w:r>
        <w:rPr>
          <w:rStyle w:val="12"/>
          <w:rFonts w:ascii="仿宋" w:hAnsi="仿宋" w:eastAsia="仿宋"/>
          <w:bCs/>
          <w:sz w:val="32"/>
          <w:szCs w:val="32"/>
        </w:rPr>
        <w:t>:</w:t>
      </w:r>
      <w:r>
        <w:rPr>
          <w:rStyle w:val="12"/>
          <w:rFonts w:hint="eastAsia" w:ascii="仿宋" w:hAnsi="仿宋" w:eastAsia="仿宋"/>
          <w:b w:val="0"/>
          <w:bCs/>
          <w:sz w:val="32"/>
          <w:szCs w:val="32"/>
        </w:rPr>
        <w:t>支出</w:t>
      </w:r>
      <w:r>
        <w:rPr>
          <w:rFonts w:hint="eastAsia" w:ascii="仿宋" w:hAnsi="仿宋" w:eastAsia="仿宋"/>
          <w:bCs/>
          <w:sz w:val="32"/>
          <w:szCs w:val="32"/>
        </w:rPr>
        <w:t>决算为</w:t>
      </w:r>
      <w:r>
        <w:rPr>
          <w:rStyle w:val="12"/>
          <w:rFonts w:hint="eastAsia" w:ascii="仿宋" w:hAnsi="仿宋" w:eastAsia="仿宋"/>
          <w:b w:val="0"/>
          <w:bCs/>
          <w:sz w:val="32"/>
          <w:szCs w:val="32"/>
        </w:rPr>
        <w:t>2135.37万元，完成</w:t>
      </w:r>
      <w:r>
        <w:rPr>
          <w:rStyle w:val="12"/>
          <w:rFonts w:hint="eastAsia" w:ascii="仿宋" w:hAnsi="仿宋" w:eastAsia="仿宋"/>
          <w:b w:val="0"/>
          <w:bCs/>
          <w:sz w:val="32"/>
          <w:szCs w:val="32"/>
          <w:lang w:eastAsia="zh-CN"/>
        </w:rPr>
        <w:t>预算的100%</w:t>
      </w:r>
      <w:r>
        <w:rPr>
          <w:rStyle w:val="12"/>
          <w:rFonts w:hint="eastAsia" w:ascii="仿宋" w:hAnsi="仿宋" w:eastAsia="仿宋"/>
          <w:b w:val="0"/>
          <w:bCs/>
          <w:sz w:val="32"/>
          <w:szCs w:val="32"/>
        </w:rPr>
        <w:t>。</w:t>
      </w:r>
    </w:p>
    <w:p>
      <w:pPr>
        <w:spacing w:line="600" w:lineRule="exact"/>
        <w:ind w:firstLine="643" w:firstLineChars="200"/>
        <w:rPr>
          <w:rFonts w:ascii="仿宋" w:hAnsi="仿宋" w:eastAsia="仿宋"/>
          <w:b/>
          <w:sz w:val="32"/>
          <w:szCs w:val="32"/>
        </w:rPr>
      </w:pPr>
      <w:r>
        <w:rPr>
          <w:rStyle w:val="12"/>
          <w:rFonts w:hint="eastAsia" w:ascii="仿宋" w:hAnsi="仿宋" w:eastAsia="仿宋"/>
          <w:bCs/>
          <w:sz w:val="32"/>
          <w:szCs w:val="32"/>
        </w:rPr>
        <w:t>2</w:t>
      </w:r>
      <w:r>
        <w:rPr>
          <w:rStyle w:val="12"/>
          <w:rFonts w:ascii="仿宋" w:hAnsi="仿宋" w:eastAsia="仿宋"/>
          <w:bCs/>
          <w:sz w:val="32"/>
          <w:szCs w:val="32"/>
        </w:rPr>
        <w:t>.</w:t>
      </w:r>
      <w:r>
        <w:rPr>
          <w:rStyle w:val="12"/>
          <w:rFonts w:hint="eastAsia" w:ascii="仿宋" w:hAnsi="仿宋" w:eastAsia="仿宋"/>
          <w:bCs/>
          <w:sz w:val="32"/>
          <w:szCs w:val="32"/>
        </w:rPr>
        <w:t>社会保障和就业（类）</w:t>
      </w:r>
      <w:r>
        <w:rPr>
          <w:rFonts w:hint="eastAsia" w:ascii="仿宋" w:hAnsi="仿宋" w:eastAsia="仿宋"/>
          <w:bCs/>
          <w:sz w:val="32"/>
          <w:szCs w:val="32"/>
        </w:rPr>
        <w:t>人力资源和社会保障管理事务（款）引进人才费用（项）</w:t>
      </w:r>
      <w:r>
        <w:rPr>
          <w:rStyle w:val="12"/>
          <w:rFonts w:ascii="仿宋" w:hAnsi="仿宋" w:eastAsia="仿宋"/>
          <w:bCs/>
          <w:sz w:val="32"/>
          <w:szCs w:val="32"/>
        </w:rPr>
        <w:t>:</w:t>
      </w:r>
      <w:r>
        <w:rPr>
          <w:rStyle w:val="12"/>
          <w:rFonts w:hint="eastAsia" w:ascii="仿宋" w:hAnsi="仿宋" w:eastAsia="仿宋"/>
          <w:bCs/>
          <w:sz w:val="32"/>
          <w:szCs w:val="32"/>
        </w:rPr>
        <w:t>行政事业养</w:t>
      </w:r>
      <w:r>
        <w:rPr>
          <w:rFonts w:hint="eastAsia" w:ascii="仿宋" w:hAnsi="仿宋" w:eastAsia="仿宋"/>
          <w:bCs/>
          <w:sz w:val="32"/>
          <w:szCs w:val="32"/>
        </w:rPr>
        <w:t>老支</w:t>
      </w:r>
      <w:r>
        <w:rPr>
          <w:rStyle w:val="12"/>
          <w:rFonts w:hint="eastAsia" w:ascii="仿宋" w:hAnsi="仿宋" w:eastAsia="仿宋"/>
          <w:bCs/>
          <w:sz w:val="32"/>
          <w:szCs w:val="32"/>
        </w:rPr>
        <w:t>出</w:t>
      </w:r>
      <w:r>
        <w:rPr>
          <w:rFonts w:hint="eastAsia" w:ascii="仿宋" w:hAnsi="仿宋" w:eastAsia="仿宋"/>
          <w:bCs/>
          <w:sz w:val="32"/>
          <w:szCs w:val="32"/>
        </w:rPr>
        <w:t>（款</w:t>
      </w:r>
      <w:r>
        <w:rPr>
          <w:rStyle w:val="12"/>
          <w:rFonts w:hint="eastAsia" w:ascii="仿宋" w:hAnsi="仿宋" w:eastAsia="仿宋"/>
          <w:bCs/>
          <w:sz w:val="32"/>
          <w:szCs w:val="32"/>
        </w:rPr>
        <w:t>）</w:t>
      </w:r>
      <w:r>
        <w:rPr>
          <w:rFonts w:hint="eastAsia" w:ascii="仿宋" w:hAnsi="仿宋" w:eastAsia="仿宋"/>
          <w:bCs/>
          <w:sz w:val="32"/>
          <w:szCs w:val="32"/>
        </w:rPr>
        <w:t>机关事业单位基本养老保险缴费支出（项）</w:t>
      </w:r>
      <w:r>
        <w:rPr>
          <w:rStyle w:val="12"/>
          <w:rFonts w:ascii="仿宋" w:hAnsi="仿宋" w:eastAsia="仿宋"/>
          <w:bCs/>
          <w:sz w:val="32"/>
          <w:szCs w:val="32"/>
        </w:rPr>
        <w:t>:</w:t>
      </w:r>
      <w:r>
        <w:rPr>
          <w:rStyle w:val="12"/>
          <w:rFonts w:hint="eastAsia" w:ascii="仿宋" w:hAnsi="仿宋" w:eastAsia="仿宋"/>
          <w:b w:val="0"/>
          <w:bCs/>
          <w:sz w:val="32"/>
          <w:szCs w:val="32"/>
        </w:rPr>
        <w:t>支出</w:t>
      </w:r>
      <w:r>
        <w:rPr>
          <w:rFonts w:hint="eastAsia" w:ascii="仿宋" w:hAnsi="仿宋" w:eastAsia="仿宋"/>
          <w:bCs/>
          <w:sz w:val="32"/>
          <w:szCs w:val="32"/>
        </w:rPr>
        <w:t>决算为</w:t>
      </w:r>
      <w:r>
        <w:rPr>
          <w:rStyle w:val="12"/>
          <w:rFonts w:hint="eastAsia" w:ascii="仿宋" w:hAnsi="仿宋" w:eastAsia="仿宋"/>
          <w:b w:val="0"/>
          <w:bCs/>
          <w:sz w:val="32"/>
          <w:szCs w:val="32"/>
        </w:rPr>
        <w:t>118.23万元，完成</w:t>
      </w:r>
      <w:r>
        <w:rPr>
          <w:rStyle w:val="12"/>
          <w:rFonts w:hint="eastAsia" w:ascii="仿宋" w:hAnsi="仿宋" w:eastAsia="仿宋"/>
          <w:b w:val="0"/>
          <w:bCs/>
          <w:sz w:val="32"/>
          <w:szCs w:val="32"/>
          <w:lang w:eastAsia="zh-CN"/>
        </w:rPr>
        <w:t>预算的100%</w:t>
      </w:r>
      <w:r>
        <w:rPr>
          <w:rStyle w:val="12"/>
          <w:rFonts w:hint="eastAsia" w:ascii="仿宋" w:hAnsi="仿宋" w:eastAsia="仿宋"/>
          <w:b w:val="0"/>
          <w:bCs/>
          <w:sz w:val="32"/>
          <w:szCs w:val="32"/>
        </w:rPr>
        <w:t>。</w:t>
      </w:r>
    </w:p>
    <w:p>
      <w:pPr>
        <w:spacing w:line="600" w:lineRule="exact"/>
        <w:ind w:firstLine="643" w:firstLineChars="200"/>
        <w:rPr>
          <w:rFonts w:ascii="仿宋" w:hAnsi="仿宋" w:eastAsia="仿宋"/>
          <w:b/>
          <w:sz w:val="32"/>
          <w:szCs w:val="32"/>
        </w:rPr>
      </w:pPr>
      <w:r>
        <w:rPr>
          <w:rStyle w:val="12"/>
          <w:rFonts w:hint="eastAsia" w:ascii="仿宋" w:hAnsi="仿宋" w:eastAsia="仿宋"/>
          <w:bCs/>
          <w:sz w:val="32"/>
          <w:szCs w:val="32"/>
        </w:rPr>
        <w:t>3</w:t>
      </w:r>
      <w:r>
        <w:rPr>
          <w:rStyle w:val="12"/>
          <w:rFonts w:ascii="仿宋" w:hAnsi="仿宋" w:eastAsia="仿宋"/>
          <w:bCs/>
          <w:sz w:val="32"/>
          <w:szCs w:val="32"/>
        </w:rPr>
        <w:t>.</w:t>
      </w:r>
      <w:r>
        <w:rPr>
          <w:rFonts w:hint="eastAsia" w:ascii="仿宋" w:hAnsi="仿宋" w:eastAsia="仿宋"/>
          <w:b/>
          <w:bCs/>
          <w:sz w:val="32"/>
          <w:szCs w:val="32"/>
        </w:rPr>
        <w:t>卫生健康</w:t>
      </w:r>
      <w:r>
        <w:rPr>
          <w:rStyle w:val="12"/>
          <w:rFonts w:hint="eastAsia" w:ascii="仿宋" w:hAnsi="仿宋" w:eastAsia="仿宋"/>
          <w:bCs/>
          <w:sz w:val="32"/>
          <w:szCs w:val="32"/>
        </w:rPr>
        <w:t>（类）</w:t>
      </w:r>
      <w:r>
        <w:rPr>
          <w:rFonts w:hint="eastAsia" w:ascii="仿宋" w:hAnsi="仿宋" w:eastAsia="仿宋"/>
          <w:bCs/>
          <w:sz w:val="32"/>
          <w:szCs w:val="32"/>
        </w:rPr>
        <w:t>行政事业单位医疗（款）事业单位医疗</w:t>
      </w:r>
      <w:r>
        <w:rPr>
          <w:rFonts w:hint="eastAsia" w:ascii="仿宋" w:hAnsi="仿宋" w:eastAsia="仿宋"/>
          <w:bCs/>
          <w:sz w:val="32"/>
          <w:szCs w:val="32"/>
          <w:u w:val="none" w:color="909090"/>
          <w:shd w:val="clear" w:fill="auto"/>
        </w:rPr>
        <w:t>（项）</w:t>
      </w:r>
      <w:r>
        <w:rPr>
          <w:rStyle w:val="12"/>
          <w:rFonts w:ascii="仿宋" w:hAnsi="仿宋" w:eastAsia="仿宋"/>
          <w:bCs/>
          <w:sz w:val="32"/>
          <w:szCs w:val="32"/>
        </w:rPr>
        <w:t>:</w:t>
      </w:r>
      <w:r>
        <w:rPr>
          <w:rStyle w:val="12"/>
          <w:rFonts w:hint="eastAsia" w:ascii="仿宋" w:hAnsi="仿宋" w:eastAsia="仿宋"/>
          <w:b w:val="0"/>
          <w:bCs/>
          <w:sz w:val="32"/>
          <w:szCs w:val="32"/>
        </w:rPr>
        <w:t>支出</w:t>
      </w:r>
      <w:r>
        <w:rPr>
          <w:rFonts w:hint="eastAsia" w:ascii="仿宋" w:hAnsi="仿宋" w:eastAsia="仿宋"/>
          <w:bCs/>
          <w:sz w:val="32"/>
          <w:szCs w:val="32"/>
        </w:rPr>
        <w:t>决算为</w:t>
      </w:r>
      <w:r>
        <w:rPr>
          <w:rStyle w:val="12"/>
          <w:rFonts w:hint="eastAsia" w:ascii="仿宋" w:hAnsi="仿宋" w:eastAsia="仿宋"/>
          <w:b w:val="0"/>
          <w:bCs/>
          <w:sz w:val="32"/>
          <w:szCs w:val="32"/>
        </w:rPr>
        <w:t>61.39万元，完成</w:t>
      </w:r>
      <w:r>
        <w:rPr>
          <w:rStyle w:val="12"/>
          <w:rFonts w:hint="eastAsia" w:ascii="仿宋" w:hAnsi="仿宋" w:eastAsia="仿宋"/>
          <w:b w:val="0"/>
          <w:bCs/>
          <w:sz w:val="32"/>
          <w:szCs w:val="32"/>
          <w:lang w:eastAsia="zh-CN"/>
        </w:rPr>
        <w:t>预算的100%</w:t>
      </w:r>
      <w:r>
        <w:rPr>
          <w:rStyle w:val="12"/>
          <w:rFonts w:hint="eastAsia" w:ascii="仿宋" w:hAnsi="仿宋" w:eastAsia="仿宋"/>
          <w:b w:val="0"/>
          <w:bCs/>
          <w:sz w:val="32"/>
          <w:szCs w:val="32"/>
        </w:rPr>
        <w:t>。</w:t>
      </w:r>
    </w:p>
    <w:p>
      <w:pPr>
        <w:spacing w:line="600" w:lineRule="exact"/>
        <w:ind w:firstLine="640" w:firstLineChars="200"/>
        <w:rPr>
          <w:rStyle w:val="12"/>
          <w:rFonts w:ascii="仿宋" w:hAnsi="仿宋" w:eastAsia="仿宋"/>
          <w:b w:val="0"/>
          <w:bCs/>
          <w:sz w:val="32"/>
          <w:szCs w:val="32"/>
        </w:rPr>
      </w:pPr>
      <w:r>
        <w:rPr>
          <w:rFonts w:hint="eastAsia" w:ascii="仿宋" w:hAnsi="仿宋" w:eastAsia="仿宋"/>
          <w:sz w:val="32"/>
          <w:szCs w:val="32"/>
        </w:rPr>
        <w:t>4.农林水支出（类）扶贫（款</w:t>
      </w:r>
      <w:r>
        <w:t>）</w:t>
      </w:r>
      <w:r>
        <w:rPr>
          <w:rFonts w:hint="eastAsia" w:ascii="仿宋" w:hAnsi="仿宋" w:eastAsia="仿宋"/>
          <w:sz w:val="32"/>
          <w:szCs w:val="32"/>
        </w:rPr>
        <w:t>其他扶贫支出（项）：支</w:t>
      </w:r>
      <w:r>
        <w:rPr>
          <w:rStyle w:val="12"/>
          <w:rFonts w:hint="eastAsia" w:ascii="仿宋" w:hAnsi="仿宋" w:eastAsia="仿宋"/>
          <w:b w:val="0"/>
          <w:bCs/>
          <w:sz w:val="32"/>
          <w:szCs w:val="32"/>
        </w:rPr>
        <w:t>出</w:t>
      </w:r>
      <w:r>
        <w:rPr>
          <w:rFonts w:hint="eastAsia" w:ascii="仿宋" w:hAnsi="仿宋" w:eastAsia="仿宋"/>
          <w:bCs/>
          <w:sz w:val="32"/>
          <w:szCs w:val="32"/>
        </w:rPr>
        <w:t>决算为</w:t>
      </w:r>
      <w:r>
        <w:rPr>
          <w:rStyle w:val="12"/>
          <w:rFonts w:hint="eastAsia" w:ascii="仿宋" w:hAnsi="仿宋" w:eastAsia="仿宋"/>
          <w:b w:val="0"/>
          <w:bCs/>
          <w:sz w:val="32"/>
          <w:szCs w:val="32"/>
        </w:rPr>
        <w:t>2.25万元，完成</w:t>
      </w:r>
      <w:r>
        <w:rPr>
          <w:rStyle w:val="12"/>
          <w:rFonts w:hint="eastAsia" w:ascii="仿宋" w:hAnsi="仿宋" w:eastAsia="仿宋"/>
          <w:b w:val="0"/>
          <w:bCs/>
          <w:sz w:val="32"/>
          <w:szCs w:val="32"/>
          <w:lang w:eastAsia="zh-CN"/>
        </w:rPr>
        <w:t>预算的100%</w:t>
      </w:r>
      <w:r>
        <w:rPr>
          <w:rStyle w:val="12"/>
          <w:rFonts w:hint="eastAsia" w:ascii="仿宋" w:hAnsi="仿宋" w:eastAsia="仿宋"/>
          <w:b w:val="0"/>
          <w:bCs/>
          <w:sz w:val="32"/>
          <w:szCs w:val="32"/>
        </w:rPr>
        <w:t>。</w:t>
      </w:r>
    </w:p>
    <w:p>
      <w:pPr>
        <w:spacing w:line="600" w:lineRule="exact"/>
        <w:ind w:firstLine="420" w:firstLineChars="200"/>
        <w:rPr>
          <w:rFonts w:ascii="仿宋" w:hAnsi="仿宋" w:eastAsia="仿宋"/>
          <w:b/>
          <w:sz w:val="32"/>
          <w:szCs w:val="32"/>
        </w:rPr>
      </w:pPr>
      <w:r>
        <w:rPr>
          <w:rFonts w:hint="eastAsia"/>
        </w:rPr>
        <w:t xml:space="preserve">   5</w:t>
      </w:r>
      <w:r>
        <w:rPr>
          <w:rFonts w:hint="eastAsia" w:ascii="仿宋" w:hAnsi="仿宋" w:eastAsia="仿宋"/>
          <w:sz w:val="32"/>
          <w:szCs w:val="32"/>
        </w:rPr>
        <w:t>.住房保障支出（类）住房改革支出（款</w:t>
      </w:r>
      <w:r>
        <w:rPr>
          <w:rFonts w:hint="eastAsia" w:ascii="仿宋" w:hAnsi="仿宋" w:eastAsia="仿宋"/>
          <w:sz w:val="32"/>
          <w:szCs w:val="32"/>
          <w:lang w:eastAsia="zh-CN"/>
        </w:rPr>
        <w:t>）</w:t>
      </w:r>
      <w:r>
        <w:rPr>
          <w:rFonts w:hint="eastAsia" w:ascii="仿宋" w:hAnsi="仿宋" w:eastAsia="仿宋"/>
          <w:sz w:val="32"/>
          <w:szCs w:val="32"/>
        </w:rPr>
        <w:t>住房公积金（项）：支</w:t>
      </w:r>
      <w:r>
        <w:rPr>
          <w:rStyle w:val="12"/>
          <w:rFonts w:hint="eastAsia" w:ascii="仿宋" w:hAnsi="仿宋" w:eastAsia="仿宋"/>
          <w:b w:val="0"/>
          <w:bCs/>
          <w:sz w:val="32"/>
          <w:szCs w:val="32"/>
        </w:rPr>
        <w:t>出</w:t>
      </w:r>
      <w:r>
        <w:rPr>
          <w:rFonts w:hint="eastAsia" w:ascii="仿宋" w:hAnsi="仿宋" w:eastAsia="仿宋"/>
          <w:bCs/>
          <w:sz w:val="32"/>
          <w:szCs w:val="32"/>
        </w:rPr>
        <w:t>决算为</w:t>
      </w:r>
      <w:r>
        <w:rPr>
          <w:rStyle w:val="12"/>
          <w:rFonts w:hint="eastAsia" w:ascii="仿宋" w:hAnsi="仿宋" w:eastAsia="仿宋"/>
          <w:b w:val="0"/>
          <w:bCs/>
          <w:sz w:val="32"/>
          <w:szCs w:val="32"/>
        </w:rPr>
        <w:t>78.26万元，完成预算的</w:t>
      </w:r>
      <w:r>
        <w:rPr>
          <w:rFonts w:hint="eastAsia" w:ascii="仿宋" w:hAnsi="仿宋" w:eastAsia="仿宋"/>
          <w:bCs/>
          <w:sz w:val="32"/>
          <w:szCs w:val="32"/>
        </w:rPr>
        <w:t>100</w:t>
      </w:r>
      <w:r>
        <w:rPr>
          <w:rStyle w:val="12"/>
          <w:rFonts w:ascii="仿宋" w:hAnsi="仿宋" w:eastAsia="仿宋"/>
          <w:b w:val="0"/>
          <w:bCs/>
          <w:sz w:val="32"/>
          <w:szCs w:val="32"/>
        </w:rPr>
        <w:t>%</w:t>
      </w:r>
      <w:r>
        <w:rPr>
          <w:rStyle w:val="12"/>
          <w:rFonts w:hint="eastAsia" w:ascii="仿宋" w:hAnsi="仿宋" w:eastAsia="仿宋"/>
          <w:b w:val="0"/>
          <w:bCs/>
          <w:sz w:val="32"/>
          <w:szCs w:val="32"/>
        </w:rPr>
        <w:t>。</w:t>
      </w:r>
    </w:p>
    <w:p>
      <w:pPr>
        <w:tabs>
          <w:tab w:val="right" w:pos="8306"/>
        </w:tabs>
        <w:spacing w:line="600" w:lineRule="exact"/>
        <w:ind w:firstLine="640"/>
        <w:outlineLvl w:val="1"/>
        <w:rPr>
          <w:rStyle w:val="33"/>
        </w:rPr>
      </w:pPr>
      <w:bookmarkStart w:id="47" w:name="_Toc9092"/>
      <w:bookmarkStart w:id="48" w:name="_Toc15377214"/>
      <w:bookmarkStart w:id="49" w:name="_Toc15396608"/>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33"/>
          <w:rFonts w:hint="eastAsia" w:ascii="黑体" w:hAnsi="黑体" w:eastAsia="黑体"/>
          <w:b w:val="0"/>
        </w:rPr>
        <w:t>般公共预算</w:t>
      </w:r>
      <w:r>
        <w:rPr>
          <w:rFonts w:hint="eastAsia" w:ascii="黑体" w:hAnsi="黑体" w:eastAsia="黑体"/>
          <w:sz w:val="32"/>
          <w:szCs w:val="32"/>
        </w:rPr>
        <w:t>财政拨款基本支出决算情况说明</w:t>
      </w:r>
      <w:bookmarkEnd w:id="47"/>
      <w:bookmarkEnd w:id="48"/>
      <w:bookmarkEnd w:id="49"/>
      <w:r>
        <w:rPr>
          <w:rStyle w:val="33"/>
          <w:rFonts w:ascii="黑体" w:hAnsi="黑体" w:eastAsia="黑体"/>
          <w:b w:val="0"/>
        </w:rPr>
        <w:tab/>
      </w:r>
    </w:p>
    <w:p>
      <w:pPr>
        <w:spacing w:line="600" w:lineRule="exact"/>
        <w:ind w:firstLine="645"/>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21年一般公共预算财政拨款基本支出1225.92万元，其中：</w:t>
      </w:r>
    </w:p>
    <w:p>
      <w:pPr>
        <w:spacing w:line="600" w:lineRule="exact"/>
        <w:ind w:firstLine="645"/>
        <w:rPr>
          <w:rFonts w:ascii="仿宋" w:hAnsi="仿宋" w:eastAsia="仿宋"/>
          <w:sz w:val="32"/>
          <w:szCs w:val="32"/>
        </w:rPr>
      </w:pPr>
      <w:r>
        <w:rPr>
          <w:rFonts w:hint="eastAsia" w:ascii="仿宋" w:hAnsi="仿宋" w:eastAsia="仿宋"/>
          <w:sz w:val="32"/>
          <w:szCs w:val="32"/>
        </w:rPr>
        <w:t>人员经费1132.9万元，主要包括：基本工资、津贴补贴、奖金、伙食补助费、绩效工资、机关事业单位基本养老保险缴费、职业年金缴费、其他社会保障缴费、其他工资福利支出、离休费、退休费、抚恤金、生活补助、医疗补助、奖励金、住房公积金、其他对个人和家庭的补助支出等。</w:t>
      </w:r>
    </w:p>
    <w:p>
      <w:pPr>
        <w:spacing w:line="600" w:lineRule="exact"/>
        <w:ind w:firstLine="645"/>
        <w:rPr>
          <w:rFonts w:ascii="仿宋" w:hAnsi="仿宋" w:eastAsia="仿宋"/>
          <w:b/>
          <w:sz w:val="32"/>
          <w:szCs w:val="32"/>
        </w:rPr>
      </w:pPr>
      <w:r>
        <w:rPr>
          <w:rFonts w:hint="eastAsia" w:ascii="仿宋" w:hAnsi="仿宋" w:eastAsia="仿宋"/>
          <w:sz w:val="32"/>
          <w:szCs w:val="32"/>
        </w:rPr>
        <w:t>公用经费93.02万元，主要包括：办公费、印刷费、咨询费、手续费、水费、电费、邮电费、物业管理费、差旅费、因公出国（境</w:t>
      </w:r>
      <w:r>
        <w:rPr>
          <w:rFonts w:hint="eastAsia" w:ascii="仿宋" w:hAnsi="仿宋" w:eastAsia="仿宋"/>
          <w:sz w:val="32"/>
          <w:szCs w:val="32"/>
          <w:lang w:eastAsia="zh-CN"/>
        </w:rPr>
        <w:t>）</w:t>
      </w:r>
      <w:r>
        <w:rPr>
          <w:rFonts w:hint="eastAsia" w:ascii="仿宋" w:hAnsi="仿宋" w:eastAsia="仿宋"/>
          <w:sz w:val="32"/>
          <w:szCs w:val="32"/>
        </w:rPr>
        <w:t>费用、维修（护）费、租赁费、会议费、培训费、公务接待费、劳务费、委托业务费、工会经费、福利费、公务用车运行维护费、其他交通费、税金及附加费用、其他服务费等。</w:t>
      </w:r>
    </w:p>
    <w:p>
      <w:pPr>
        <w:spacing w:line="600" w:lineRule="exact"/>
        <w:ind w:firstLine="640"/>
        <w:outlineLvl w:val="1"/>
        <w:rPr>
          <w:rStyle w:val="33"/>
          <w:rFonts w:ascii="黑体" w:hAnsi="黑体" w:eastAsia="黑体"/>
          <w:b w:val="0"/>
        </w:rPr>
      </w:pPr>
      <w:bookmarkStart w:id="50" w:name="_Toc9628"/>
      <w:bookmarkStart w:id="51" w:name="_Toc15377215"/>
      <w:bookmarkStart w:id="52" w:name="_Toc15396609"/>
      <w:r>
        <w:rPr>
          <w:rFonts w:hint="eastAsia" w:ascii="黑体" w:eastAsia="黑体"/>
          <w:sz w:val="32"/>
          <w:szCs w:val="32"/>
        </w:rPr>
        <w:t>七、</w:t>
      </w:r>
      <w:r>
        <w:rPr>
          <w:rStyle w:val="33"/>
          <w:rFonts w:hint="eastAsia" w:ascii="黑体" w:hAnsi="黑体" w:eastAsia="黑体"/>
        </w:rPr>
        <w:t>“</w:t>
      </w:r>
      <w:r>
        <w:rPr>
          <w:rStyle w:val="33"/>
          <w:rFonts w:hint="eastAsia" w:ascii="黑体" w:hAnsi="黑体" w:eastAsia="黑体"/>
          <w:b w:val="0"/>
        </w:rPr>
        <w:t>三公”经费</w:t>
      </w:r>
      <w:r>
        <w:rPr>
          <w:rFonts w:hint="eastAsia" w:ascii="黑体" w:hAnsi="黑体" w:eastAsia="黑体"/>
          <w:sz w:val="32"/>
          <w:szCs w:val="32"/>
        </w:rPr>
        <w:t>财政拨款支</w:t>
      </w:r>
      <w:r>
        <w:rPr>
          <w:rStyle w:val="33"/>
          <w:rFonts w:hint="eastAsia" w:ascii="黑体" w:hAnsi="黑体" w:eastAsia="黑体"/>
          <w:b w:val="0"/>
        </w:rPr>
        <w:t>出</w:t>
      </w:r>
      <w:r>
        <w:rPr>
          <w:rFonts w:hint="eastAsia" w:ascii="黑体" w:hAnsi="黑体" w:eastAsia="黑体"/>
          <w:sz w:val="32"/>
          <w:szCs w:val="32"/>
        </w:rPr>
        <w:t>决算情况说明</w:t>
      </w:r>
      <w:bookmarkEnd w:id="50"/>
      <w:bookmarkEnd w:id="51"/>
      <w:bookmarkEnd w:id="52"/>
    </w:p>
    <w:p>
      <w:pPr>
        <w:spacing w:line="600" w:lineRule="exact"/>
        <w:ind w:firstLine="640"/>
        <w:outlineLvl w:val="2"/>
        <w:rPr>
          <w:rFonts w:ascii="仿宋" w:hAnsi="仿宋" w:eastAsia="仿宋"/>
          <w:b/>
          <w:sz w:val="32"/>
          <w:szCs w:val="32"/>
        </w:rPr>
      </w:pPr>
      <w:bookmarkStart w:id="53" w:name="_Toc15377216"/>
      <w:r>
        <w:rPr>
          <w:rFonts w:hint="eastAsia" w:ascii="仿宋" w:hAnsi="仿宋" w:eastAsia="仿宋"/>
          <w:b/>
          <w:sz w:val="32"/>
          <w:szCs w:val="32"/>
        </w:rPr>
        <w:t>（一）“三公”经费财政拨款支出决算总体情况说明</w:t>
      </w:r>
      <w:bookmarkEnd w:id="53"/>
    </w:p>
    <w:p>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21年“三公”经费财政拨款支出决算为0.7万元，完成预算的100</w:t>
      </w:r>
      <w:r>
        <w:rPr>
          <w:rFonts w:ascii="仿宋" w:hAnsi="仿宋" w:eastAsia="仿宋"/>
          <w:sz w:val="32"/>
          <w:szCs w:val="32"/>
        </w:rPr>
        <w:t>%</w:t>
      </w:r>
      <w:r>
        <w:rPr>
          <w:rFonts w:hint="eastAsia" w:ascii="仿宋" w:hAnsi="仿宋" w:eastAsia="仿宋"/>
          <w:sz w:val="32"/>
          <w:szCs w:val="32"/>
        </w:rPr>
        <w:t>。</w:t>
      </w:r>
    </w:p>
    <w:p>
      <w:pPr>
        <w:spacing w:line="600" w:lineRule="exact"/>
        <w:ind w:firstLine="640"/>
        <w:outlineLvl w:val="2"/>
        <w:rPr>
          <w:rFonts w:ascii="仿宋" w:hAnsi="仿宋" w:eastAsia="仿宋"/>
          <w:b/>
          <w:sz w:val="32"/>
          <w:szCs w:val="32"/>
        </w:rPr>
      </w:pPr>
      <w:bookmarkStart w:id="54" w:name="_Toc15377217"/>
      <w:r>
        <w:rPr>
          <w:rFonts w:hint="eastAsia" w:ascii="仿宋" w:hAnsi="仿宋" w:eastAsia="仿宋"/>
          <w:b/>
          <w:sz w:val="32"/>
          <w:szCs w:val="32"/>
        </w:rPr>
        <w:t>（二）“三公”经费财政拨款支出决算具体情况说明</w:t>
      </w:r>
      <w:bookmarkEnd w:id="54"/>
    </w:p>
    <w:p>
      <w:pPr>
        <w:spacing w:line="600" w:lineRule="exact"/>
        <w:ind w:firstLine="640"/>
        <w:rPr>
          <w:rFonts w:ascii="仿宋" w:hAnsi="仿宋" w:eastAsia="仿宋"/>
          <w:sz w:val="32"/>
          <w:szCs w:val="32"/>
        </w:rPr>
      </w:pPr>
      <w:r>
        <w:rPr>
          <w:rFonts w:ascii="仿宋" w:hAnsi="仿宋" w:eastAsia="仿宋"/>
          <w:sz w:val="32"/>
          <w:szCs w:val="32"/>
        </w:rPr>
        <w:t>20</w:t>
      </w:r>
      <w:r>
        <w:rPr>
          <w:rFonts w:hint="eastAsia" w:ascii="仿宋" w:hAnsi="仿宋" w:eastAsia="仿宋"/>
          <w:sz w:val="32"/>
          <w:szCs w:val="32"/>
        </w:rPr>
        <w:t>21年“三公”经费财政拨款支出决算中，因公出国（境）费支出决算0万元，占0</w:t>
      </w:r>
      <w:r>
        <w:rPr>
          <w:rFonts w:ascii="仿宋" w:hAnsi="仿宋" w:eastAsia="仿宋"/>
          <w:sz w:val="32"/>
          <w:szCs w:val="32"/>
        </w:rPr>
        <w:t>%</w:t>
      </w:r>
      <w:r>
        <w:rPr>
          <w:rFonts w:hint="eastAsia" w:ascii="仿宋" w:hAnsi="仿宋" w:eastAsia="仿宋"/>
          <w:sz w:val="32"/>
          <w:szCs w:val="32"/>
        </w:rPr>
        <w:t>；公务用车购置及运行维护费支出决算0万元，占0</w:t>
      </w:r>
      <w:r>
        <w:rPr>
          <w:rFonts w:ascii="仿宋" w:hAnsi="仿宋" w:eastAsia="仿宋"/>
          <w:sz w:val="32"/>
          <w:szCs w:val="32"/>
        </w:rPr>
        <w:t>%</w:t>
      </w:r>
      <w:r>
        <w:rPr>
          <w:rFonts w:hint="eastAsia" w:ascii="仿宋" w:hAnsi="仿宋" w:eastAsia="仿宋"/>
          <w:sz w:val="32"/>
          <w:szCs w:val="32"/>
        </w:rPr>
        <w:t>；公务接待费支出决算0.7万元，占比100</w:t>
      </w:r>
      <w:r>
        <w:rPr>
          <w:rFonts w:ascii="仿宋" w:hAnsi="仿宋" w:eastAsia="仿宋"/>
          <w:sz w:val="32"/>
          <w:szCs w:val="32"/>
        </w:rPr>
        <w:t>%</w:t>
      </w:r>
      <w:r>
        <w:rPr>
          <w:rFonts w:hint="eastAsia" w:ascii="仿宋" w:hAnsi="仿宋" w:eastAsia="仿宋"/>
          <w:sz w:val="32"/>
          <w:szCs w:val="32"/>
        </w:rPr>
        <w:t>。具体情况如下：</w:t>
      </w:r>
    </w:p>
    <w:p>
      <w:pPr>
        <w:pStyle w:val="3"/>
        <w:spacing w:before="93"/>
        <w:rPr>
          <w:rFonts w:ascii="仿宋" w:hAnsi="仿宋" w:eastAsia="仿宋"/>
          <w:sz w:val="32"/>
          <w:szCs w:val="32"/>
        </w:rPr>
      </w:pPr>
      <w:r>
        <w:rPr>
          <w:rFonts w:hint="eastAsia" w:ascii="仿宋" w:hAnsi="仿宋" w:eastAsia="仿宋"/>
          <w:sz w:val="32"/>
          <w:szCs w:val="32"/>
        </w:rPr>
        <w:drawing>
          <wp:inline distT="0" distB="0" distL="114300" distR="114300">
            <wp:extent cx="5346700" cy="2811145"/>
            <wp:effectExtent l="4445" t="4445" r="20955" b="22860"/>
            <wp:docPr id="654" name="_x0000_i19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spacing w:line="600" w:lineRule="exact"/>
        <w:ind w:firstLine="640"/>
        <w:rPr>
          <w:rFonts w:ascii="仿宋" w:hAnsi="仿宋" w:eastAsia="仿宋"/>
          <w:sz w:val="32"/>
          <w:szCs w:val="32"/>
        </w:rPr>
      </w:pPr>
      <w:r>
        <w:rPr>
          <w:rFonts w:hint="eastAsia" w:ascii="仿宋" w:hAnsi="仿宋" w:eastAsia="仿宋"/>
          <w:sz w:val="32"/>
          <w:szCs w:val="32"/>
        </w:rPr>
        <w:t>（图7：“三公”经费财政拨款支出结构）</w:t>
      </w:r>
    </w:p>
    <w:p>
      <w:pPr>
        <w:spacing w:line="600" w:lineRule="exact"/>
        <w:ind w:firstLine="640"/>
        <w:rPr>
          <w:rFonts w:ascii="仿宋_GB2312" w:eastAsia="仿宋_GB2312"/>
          <w:b/>
          <w:sz w:val="32"/>
          <w:szCs w:val="32"/>
        </w:rPr>
      </w:pPr>
      <w:r>
        <w:rPr>
          <w:rFonts w:ascii="仿宋_GB2312" w:eastAsia="仿宋_GB2312"/>
          <w:b/>
          <w:sz w:val="32"/>
          <w:szCs w:val="32"/>
        </w:rPr>
        <w:t>1.</w:t>
      </w:r>
      <w:r>
        <w:rPr>
          <w:rFonts w:hint="eastAsia" w:ascii="仿宋_GB2312" w:eastAsia="仿宋_GB2312"/>
          <w:b/>
          <w:sz w:val="32"/>
          <w:szCs w:val="32"/>
        </w:rPr>
        <w:t>因公出国（境）经费支出</w:t>
      </w:r>
      <w:r>
        <w:rPr>
          <w:rFonts w:hint="eastAsia" w:ascii="仿宋_GB2312" w:eastAsia="仿宋_GB2312"/>
          <w:sz w:val="32"/>
          <w:szCs w:val="32"/>
        </w:rPr>
        <w:t>0万元。</w:t>
      </w:r>
    </w:p>
    <w:p>
      <w:pPr>
        <w:spacing w:line="600" w:lineRule="exact"/>
        <w:ind w:firstLine="64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rFonts w:hint="eastAsia" w:ascii="仿宋_GB2312" w:eastAsia="仿宋_GB2312"/>
          <w:sz w:val="32"/>
          <w:szCs w:val="32"/>
        </w:rPr>
        <w:t>0万元。</w:t>
      </w:r>
    </w:p>
    <w:p>
      <w:pPr>
        <w:spacing w:line="600" w:lineRule="exact"/>
        <w:ind w:firstLine="640" w:firstLineChars="200"/>
        <w:rPr>
          <w:rFonts w:ascii="仿宋_GB2312" w:eastAsia="仿宋_GB2312"/>
          <w:b/>
          <w:sz w:val="32"/>
          <w:szCs w:val="32"/>
        </w:rPr>
      </w:pPr>
      <w:r>
        <w:rPr>
          <w:rFonts w:hint="eastAsia" w:ascii="仿宋_GB2312" w:eastAsia="仿宋_GB2312"/>
          <w:sz w:val="32"/>
          <w:szCs w:val="32"/>
        </w:rPr>
        <w:t>其中：</w:t>
      </w:r>
      <w:r>
        <w:rPr>
          <w:rFonts w:hint="eastAsia" w:ascii="仿宋_GB2312" w:eastAsia="仿宋_GB2312"/>
          <w:b/>
          <w:sz w:val="32"/>
          <w:szCs w:val="32"/>
        </w:rPr>
        <w:t>公务用车购置支出</w:t>
      </w:r>
      <w:r>
        <w:rPr>
          <w:rFonts w:hint="eastAsia" w:ascii="仿宋_GB2312" w:eastAsia="仿宋_GB2312"/>
          <w:sz w:val="32"/>
          <w:szCs w:val="32"/>
        </w:rPr>
        <w:t>0万元。</w:t>
      </w:r>
    </w:p>
    <w:p>
      <w:pPr>
        <w:spacing w:line="600" w:lineRule="exact"/>
        <w:ind w:firstLine="640"/>
        <w:rPr>
          <w:rFonts w:ascii="仿宋_GB2312" w:eastAsia="仿宋_GB2312"/>
          <w:sz w:val="32"/>
          <w:szCs w:val="32"/>
        </w:rPr>
      </w:pPr>
      <w:r>
        <w:rPr>
          <w:rFonts w:hint="eastAsia" w:ascii="仿宋_GB2312" w:eastAsia="仿宋_GB2312"/>
          <w:b/>
          <w:sz w:val="32"/>
          <w:szCs w:val="32"/>
        </w:rPr>
        <w:t>公务用车运行维护费支出</w:t>
      </w:r>
      <w:r>
        <w:rPr>
          <w:rFonts w:hint="eastAsia" w:ascii="仿宋_GB2312" w:eastAsia="仿宋_GB2312"/>
          <w:sz w:val="32"/>
          <w:szCs w:val="32"/>
        </w:rPr>
        <w:t>0万元。</w:t>
      </w:r>
    </w:p>
    <w:p>
      <w:pPr>
        <w:numPr>
          <w:ilvl w:val="0"/>
          <w:numId w:val="3"/>
        </w:numPr>
        <w:spacing w:line="600" w:lineRule="exact"/>
        <w:ind w:firstLine="640"/>
        <w:rPr>
          <w:rFonts w:ascii="仿宋_GB2312" w:eastAsia="仿宋_GB2312"/>
          <w:sz w:val="32"/>
          <w:szCs w:val="32"/>
        </w:rPr>
      </w:pPr>
      <w:r>
        <w:rPr>
          <w:rFonts w:hint="eastAsia" w:ascii="仿宋_GB2312" w:eastAsia="仿宋_GB2312"/>
          <w:b/>
          <w:sz w:val="32"/>
          <w:szCs w:val="32"/>
        </w:rPr>
        <w:t>公务接待费支出</w:t>
      </w:r>
      <w:r>
        <w:rPr>
          <w:rFonts w:hint="eastAsia" w:ascii="仿宋_GB2312" w:eastAsia="仿宋_GB2312"/>
          <w:sz w:val="32"/>
          <w:szCs w:val="32"/>
        </w:rPr>
        <w:t>0.7万元，</w:t>
      </w:r>
      <w:r>
        <w:rPr>
          <w:rStyle w:val="12"/>
          <w:rFonts w:hint="eastAsia" w:ascii="仿宋" w:hAnsi="仿宋" w:eastAsia="仿宋"/>
          <w:b w:val="0"/>
          <w:bCs/>
          <w:sz w:val="32"/>
          <w:szCs w:val="32"/>
        </w:rPr>
        <w:t>完成预算的</w:t>
      </w:r>
      <w:r>
        <w:rPr>
          <w:rFonts w:hint="eastAsia" w:ascii="仿宋" w:hAnsi="仿宋" w:eastAsia="仿宋"/>
          <w:bCs/>
          <w:sz w:val="32"/>
          <w:szCs w:val="32"/>
        </w:rPr>
        <w:t>100</w:t>
      </w:r>
      <w:r>
        <w:rPr>
          <w:rStyle w:val="12"/>
          <w:rFonts w:ascii="仿宋" w:hAnsi="仿宋" w:eastAsia="仿宋"/>
          <w:b w:val="0"/>
          <w:bCs/>
          <w:sz w:val="32"/>
          <w:szCs w:val="32"/>
        </w:rPr>
        <w:t>%</w:t>
      </w:r>
      <w:r>
        <w:rPr>
          <w:rStyle w:val="12"/>
          <w:rFonts w:hint="eastAsia" w:ascii="仿宋" w:hAnsi="仿宋" w:eastAsia="仿宋"/>
          <w:b w:val="0"/>
          <w:bCs/>
          <w:sz w:val="32"/>
          <w:szCs w:val="32"/>
        </w:rPr>
        <w:t>。</w:t>
      </w:r>
      <w:r>
        <w:rPr>
          <w:rFonts w:hint="eastAsia" w:ascii="仿宋_GB2312" w:eastAsia="仿宋_GB2312"/>
          <w:sz w:val="32"/>
          <w:szCs w:val="32"/>
        </w:rPr>
        <w:t>公务接待费支出决算比</w:t>
      </w:r>
      <w:r>
        <w:rPr>
          <w:rFonts w:ascii="仿宋_GB2312" w:eastAsia="仿宋_GB2312"/>
          <w:sz w:val="32"/>
          <w:szCs w:val="32"/>
        </w:rPr>
        <w:t>20</w:t>
      </w:r>
      <w:r>
        <w:rPr>
          <w:rFonts w:hint="eastAsia" w:ascii="仿宋_GB2312" w:eastAsia="仿宋_GB2312"/>
          <w:sz w:val="32"/>
          <w:szCs w:val="32"/>
        </w:rPr>
        <w:t>20年减少1.7万元。其中：</w:t>
      </w:r>
    </w:p>
    <w:p>
      <w:pPr>
        <w:spacing w:line="600" w:lineRule="exact"/>
        <w:ind w:firstLine="640"/>
        <w:rPr>
          <w:rFonts w:ascii="仿宋_GB2312" w:eastAsia="仿宋_GB2312"/>
          <w:sz w:val="32"/>
          <w:szCs w:val="32"/>
        </w:rPr>
      </w:pPr>
      <w:r>
        <w:rPr>
          <w:rFonts w:hint="eastAsia" w:ascii="仿宋" w:hAnsi="仿宋" w:eastAsia="仿宋"/>
          <w:b/>
          <w:sz w:val="32"/>
          <w:szCs w:val="32"/>
        </w:rPr>
        <w:t>国内公务接待支出</w:t>
      </w:r>
      <w:r>
        <w:rPr>
          <w:rFonts w:hint="eastAsia" w:ascii="仿宋" w:hAnsi="仿宋" w:eastAsia="仿宋"/>
          <w:sz w:val="32"/>
          <w:szCs w:val="32"/>
        </w:rPr>
        <w:t>0.7</w:t>
      </w:r>
      <w:r>
        <w:rPr>
          <w:rFonts w:hint="eastAsia" w:ascii="仿宋_GB2312" w:eastAsia="仿宋_GB2312"/>
          <w:sz w:val="32"/>
          <w:szCs w:val="32"/>
        </w:rPr>
        <w:t>万元，主要用于开展业务活动开支的交通费、住宿费、用餐费等。国内公务接待12批次，90人次（不包括陪同人员），共计支出0.7万元。</w:t>
      </w:r>
    </w:p>
    <w:p>
      <w:pPr>
        <w:spacing w:line="600" w:lineRule="exact"/>
        <w:ind w:firstLine="643" w:firstLineChars="200"/>
        <w:rPr>
          <w:rFonts w:ascii="黑体" w:eastAsia="黑体"/>
          <w:sz w:val="32"/>
          <w:szCs w:val="32"/>
        </w:rPr>
      </w:pPr>
      <w:r>
        <w:rPr>
          <w:rFonts w:hint="eastAsia" w:ascii="仿宋" w:hAnsi="仿宋" w:eastAsia="仿宋"/>
          <w:b/>
          <w:sz w:val="32"/>
          <w:szCs w:val="32"/>
        </w:rPr>
        <w:t>外事接待支出</w:t>
      </w:r>
      <w:r>
        <w:rPr>
          <w:rFonts w:hint="eastAsia" w:ascii="仿宋" w:hAnsi="仿宋" w:eastAsia="仿宋"/>
          <w:sz w:val="32"/>
          <w:szCs w:val="32"/>
        </w:rPr>
        <w:t>0</w:t>
      </w:r>
      <w:r>
        <w:rPr>
          <w:rFonts w:hint="eastAsia" w:ascii="仿宋_GB2312" w:eastAsia="仿宋_GB2312"/>
          <w:sz w:val="32"/>
          <w:szCs w:val="32"/>
        </w:rPr>
        <w:t>万元。</w:t>
      </w:r>
      <w:bookmarkStart w:id="55" w:name="_Toc15377218"/>
      <w:bookmarkStart w:id="56" w:name="_Toc15396610"/>
    </w:p>
    <w:p>
      <w:pPr>
        <w:spacing w:line="600" w:lineRule="exact"/>
        <w:ind w:firstLine="640"/>
        <w:outlineLvl w:val="1"/>
        <w:rPr>
          <w:rStyle w:val="33"/>
          <w:rFonts w:ascii="黑体" w:hAnsi="黑体" w:eastAsia="黑体"/>
        </w:rPr>
      </w:pPr>
      <w:bookmarkStart w:id="57" w:name="_Toc20205"/>
      <w:r>
        <w:rPr>
          <w:rFonts w:hint="eastAsia" w:ascii="黑体" w:eastAsia="黑体"/>
          <w:sz w:val="32"/>
          <w:szCs w:val="32"/>
        </w:rPr>
        <w:t>八、</w:t>
      </w:r>
      <w:r>
        <w:rPr>
          <w:rStyle w:val="33"/>
          <w:rFonts w:hint="eastAsia" w:ascii="黑体" w:hAnsi="黑体" w:eastAsia="黑体"/>
          <w:b w:val="0"/>
        </w:rPr>
        <w:t>政府性基金预算</w:t>
      </w:r>
      <w:r>
        <w:rPr>
          <w:rFonts w:hint="eastAsia" w:ascii="黑体" w:hAnsi="黑体" w:eastAsia="黑体"/>
          <w:sz w:val="32"/>
          <w:szCs w:val="32"/>
        </w:rPr>
        <w:t>支出决算情况说明</w:t>
      </w:r>
      <w:bookmarkEnd w:id="55"/>
      <w:bookmarkEnd w:id="56"/>
      <w:bookmarkEnd w:id="57"/>
    </w:p>
    <w:p>
      <w:pPr>
        <w:spacing w:line="600" w:lineRule="exact"/>
        <w:ind w:firstLine="640"/>
        <w:rPr>
          <w:rFonts w:ascii="仿宋_GB2312" w:eastAsia="仿宋_GB2312"/>
          <w:sz w:val="32"/>
          <w:szCs w:val="32"/>
        </w:rPr>
      </w:pPr>
      <w:r>
        <w:rPr>
          <w:rFonts w:ascii="仿宋_GB2312" w:eastAsia="仿宋_GB2312"/>
          <w:sz w:val="32"/>
          <w:szCs w:val="32"/>
        </w:rPr>
        <w:t>20</w:t>
      </w:r>
      <w:r>
        <w:rPr>
          <w:rFonts w:hint="eastAsia" w:ascii="仿宋_GB2312" w:eastAsia="仿宋_GB2312"/>
          <w:sz w:val="32"/>
          <w:szCs w:val="32"/>
        </w:rPr>
        <w:t>21年政府性基金预算财政拨款支出0万元。</w:t>
      </w:r>
    </w:p>
    <w:p>
      <w:pPr>
        <w:numPr>
          <w:ilvl w:val="0"/>
          <w:numId w:val="4"/>
        </w:numPr>
        <w:spacing w:line="600" w:lineRule="exact"/>
        <w:ind w:firstLine="640"/>
        <w:outlineLvl w:val="1"/>
        <w:rPr>
          <w:rStyle w:val="33"/>
          <w:rFonts w:ascii="黑体" w:hAnsi="黑体" w:eastAsia="黑体"/>
          <w:b w:val="0"/>
        </w:rPr>
      </w:pPr>
      <w:bookmarkStart w:id="58" w:name="_Toc15396611"/>
      <w:bookmarkStart w:id="59" w:name="_Toc15377219"/>
      <w:bookmarkStart w:id="60" w:name="_Toc10650"/>
      <w:r>
        <w:rPr>
          <w:rStyle w:val="33"/>
          <w:rFonts w:hint="eastAsia" w:ascii="黑体" w:hAnsi="黑体" w:eastAsia="黑体"/>
          <w:b w:val="0"/>
        </w:rPr>
        <w:t>国有资本经营预算</w:t>
      </w:r>
      <w:r>
        <w:rPr>
          <w:rFonts w:hint="eastAsia" w:ascii="黑体" w:hAnsi="黑体" w:eastAsia="黑体"/>
          <w:sz w:val="32"/>
          <w:szCs w:val="32"/>
        </w:rPr>
        <w:t>支出决算情况说明</w:t>
      </w:r>
      <w:bookmarkEnd w:id="58"/>
      <w:bookmarkEnd w:id="59"/>
      <w:bookmarkEnd w:id="60"/>
    </w:p>
    <w:p>
      <w:pPr>
        <w:spacing w:line="600" w:lineRule="exact"/>
        <w:ind w:firstLine="640"/>
        <w:rPr>
          <w:rFonts w:ascii="方正小标宋简体" w:hAnsi="方正小标宋简体" w:eastAsia="方正小标宋简体" w:cs="方正小标宋简体"/>
          <w:sz w:val="44"/>
          <w:szCs w:val="44"/>
        </w:rPr>
      </w:pPr>
      <w:r>
        <w:rPr>
          <w:rFonts w:ascii="仿宋_GB2312" w:eastAsia="仿宋_GB2312"/>
          <w:sz w:val="32"/>
          <w:szCs w:val="32"/>
        </w:rPr>
        <w:t>20</w:t>
      </w:r>
      <w:r>
        <w:rPr>
          <w:rFonts w:hint="eastAsia" w:ascii="仿宋_GB2312" w:eastAsia="仿宋_GB2312"/>
          <w:sz w:val="32"/>
          <w:szCs w:val="32"/>
        </w:rPr>
        <w:t>21年国有资本经营预算财政拨款支出0万元。</w:t>
      </w:r>
    </w:p>
    <w:p>
      <w:pPr>
        <w:numPr>
          <w:ilvl w:val="0"/>
          <w:numId w:val="4"/>
        </w:numPr>
        <w:spacing w:line="600" w:lineRule="exact"/>
        <w:ind w:firstLine="640"/>
        <w:outlineLvl w:val="1"/>
        <w:rPr>
          <w:rStyle w:val="33"/>
          <w:rFonts w:ascii="黑体" w:hAnsi="黑体" w:eastAsia="黑体"/>
          <w:b w:val="0"/>
        </w:rPr>
      </w:pPr>
      <w:bookmarkStart w:id="61" w:name="_Toc9570"/>
      <w:bookmarkStart w:id="62" w:name="_Toc15377221"/>
      <w:bookmarkStart w:id="63" w:name="_Toc15396612"/>
      <w:r>
        <w:rPr>
          <w:rStyle w:val="33"/>
          <w:rFonts w:hint="eastAsia" w:ascii="黑体" w:hAnsi="黑体" w:eastAsia="黑体"/>
          <w:b w:val="0"/>
        </w:rPr>
        <w:t>其他重要事项的情况说明</w:t>
      </w:r>
      <w:bookmarkEnd w:id="61"/>
      <w:bookmarkEnd w:id="62"/>
      <w:bookmarkEnd w:id="63"/>
    </w:p>
    <w:p>
      <w:pPr>
        <w:spacing w:line="600" w:lineRule="exact"/>
        <w:ind w:firstLine="643" w:firstLineChars="200"/>
        <w:outlineLvl w:val="2"/>
        <w:rPr>
          <w:rFonts w:ascii="仿宋" w:hAnsi="仿宋" w:eastAsia="仿宋"/>
          <w:sz w:val="32"/>
          <w:szCs w:val="32"/>
        </w:rPr>
      </w:pPr>
      <w:bookmarkStart w:id="64" w:name="_Toc15377222"/>
      <w:r>
        <w:rPr>
          <w:rFonts w:hint="eastAsia" w:ascii="仿宋" w:hAnsi="仿宋" w:eastAsia="仿宋"/>
          <w:b/>
          <w:sz w:val="32"/>
          <w:szCs w:val="32"/>
        </w:rPr>
        <w:t>（一）机关运行经费支出情况</w:t>
      </w:r>
      <w:bookmarkEnd w:id="64"/>
    </w:p>
    <w:p>
      <w:pPr>
        <w:spacing w:line="600" w:lineRule="exact"/>
        <w:ind w:firstLine="640" w:firstLineChars="200"/>
        <w:rPr>
          <w:rFonts w:ascii="仿宋" w:hAnsi="仿宋" w:eastAsia="仿宋_GB2312"/>
          <w:b/>
          <w:sz w:val="32"/>
          <w:szCs w:val="32"/>
        </w:rPr>
      </w:pPr>
      <w:r>
        <w:rPr>
          <w:rFonts w:ascii="仿宋_GB2312" w:eastAsia="仿宋_GB2312"/>
          <w:sz w:val="32"/>
          <w:szCs w:val="32"/>
        </w:rPr>
        <w:t>20</w:t>
      </w:r>
      <w:r>
        <w:rPr>
          <w:rFonts w:hint="eastAsia" w:ascii="仿宋_GB2312" w:eastAsia="仿宋_GB2312"/>
          <w:sz w:val="32"/>
          <w:szCs w:val="32"/>
        </w:rPr>
        <w:t>21年，通江县涪阳镇中心小学机关运行经费支出0万元。</w:t>
      </w:r>
    </w:p>
    <w:p>
      <w:pPr>
        <w:autoSpaceDE w:val="0"/>
        <w:autoSpaceDN w:val="0"/>
        <w:adjustRightInd w:val="0"/>
        <w:spacing w:line="600" w:lineRule="exact"/>
        <w:ind w:firstLine="643" w:firstLineChars="200"/>
        <w:jc w:val="left"/>
        <w:outlineLvl w:val="2"/>
        <w:rPr>
          <w:rFonts w:ascii="仿宋" w:hAnsi="仿宋" w:eastAsia="仿宋"/>
          <w:b/>
          <w:sz w:val="32"/>
          <w:szCs w:val="32"/>
        </w:rPr>
      </w:pPr>
      <w:bookmarkStart w:id="65" w:name="_Toc15377223"/>
      <w:r>
        <w:rPr>
          <w:rFonts w:hint="eastAsia" w:ascii="仿宋" w:hAnsi="仿宋" w:eastAsia="仿宋"/>
          <w:b/>
          <w:sz w:val="32"/>
          <w:szCs w:val="32"/>
        </w:rPr>
        <w:t>（二）政府采购支出情况</w:t>
      </w:r>
      <w:bookmarkEnd w:id="65"/>
    </w:p>
    <w:p>
      <w:pPr>
        <w:spacing w:line="600" w:lineRule="exact"/>
        <w:ind w:firstLine="640" w:firstLineChars="200"/>
        <w:rPr>
          <w:rFonts w:ascii="仿宋" w:hAnsi="仿宋" w:eastAsia="仿宋"/>
          <w:b/>
          <w:sz w:val="32"/>
          <w:szCs w:val="32"/>
        </w:rPr>
      </w:pPr>
      <w:r>
        <w:rPr>
          <w:rFonts w:ascii="仿宋_GB2312" w:eastAsia="仿宋_GB2312"/>
          <w:sz w:val="32"/>
          <w:szCs w:val="32"/>
        </w:rPr>
        <w:t>20</w:t>
      </w:r>
      <w:r>
        <w:rPr>
          <w:rFonts w:hint="eastAsia" w:ascii="仿宋_GB2312" w:eastAsia="仿宋_GB2312"/>
          <w:sz w:val="32"/>
          <w:szCs w:val="32"/>
        </w:rPr>
        <w:t>21年，通江县涪阳镇中心小学政府采购支出</w:t>
      </w:r>
      <w:r>
        <w:rPr>
          <w:rFonts w:hint="eastAsia" w:ascii="仿宋_GB2312" w:eastAsia="仿宋_GB2312"/>
          <w:sz w:val="32"/>
          <w:szCs w:val="32"/>
          <w:u w:val="none" w:color="46CD7E"/>
          <w:shd w:val="clear" w:fill="auto"/>
          <w:lang w:eastAsia="zh-CN"/>
        </w:rPr>
        <w:t>总额为</w:t>
      </w:r>
      <w:r>
        <w:rPr>
          <w:rFonts w:hint="eastAsia" w:ascii="仿宋_GB2312" w:eastAsia="仿宋_GB2312"/>
          <w:sz w:val="32"/>
          <w:szCs w:val="32"/>
        </w:rPr>
        <w:t>0万元。</w:t>
      </w:r>
    </w:p>
    <w:p>
      <w:pPr>
        <w:autoSpaceDE w:val="0"/>
        <w:autoSpaceDN w:val="0"/>
        <w:adjustRightInd w:val="0"/>
        <w:spacing w:line="600" w:lineRule="exact"/>
        <w:ind w:firstLine="643" w:firstLineChars="200"/>
        <w:jc w:val="left"/>
        <w:outlineLvl w:val="2"/>
        <w:rPr>
          <w:rFonts w:ascii="仿宋" w:hAnsi="仿宋" w:eastAsia="仿宋"/>
          <w:b/>
          <w:sz w:val="32"/>
          <w:szCs w:val="32"/>
        </w:rPr>
      </w:pPr>
      <w:bookmarkStart w:id="66" w:name="_Toc15377224"/>
      <w:r>
        <w:rPr>
          <w:rFonts w:hint="eastAsia" w:ascii="仿宋" w:hAnsi="仿宋" w:eastAsia="仿宋"/>
          <w:b/>
          <w:sz w:val="32"/>
          <w:szCs w:val="32"/>
        </w:rPr>
        <w:t>（三）国有资产占有使用情况</w:t>
      </w:r>
      <w:bookmarkEnd w:id="66"/>
    </w:p>
    <w:p>
      <w:pPr>
        <w:autoSpaceDE w:val="0"/>
        <w:autoSpaceDN w:val="0"/>
        <w:adjustRightInd w:val="0"/>
        <w:spacing w:line="600" w:lineRule="exact"/>
        <w:ind w:firstLine="640" w:firstLineChars="200"/>
        <w:jc w:val="left"/>
        <w:rPr>
          <w:rFonts w:ascii="仿宋" w:hAnsi="仿宋" w:eastAsia="仿宋"/>
          <w:b/>
          <w:sz w:val="32"/>
          <w:szCs w:val="32"/>
        </w:rPr>
      </w:pPr>
      <w:r>
        <w:rPr>
          <w:rFonts w:hint="eastAsia" w:ascii="仿宋_GB2312" w:eastAsia="仿宋_GB2312"/>
          <w:sz w:val="32"/>
          <w:szCs w:val="32"/>
        </w:rPr>
        <w:t>截至</w:t>
      </w:r>
      <w:r>
        <w:rPr>
          <w:rFonts w:ascii="仿宋_GB2312" w:eastAsia="仿宋_GB2312"/>
          <w:sz w:val="32"/>
          <w:szCs w:val="32"/>
        </w:rPr>
        <w:t>20</w:t>
      </w:r>
      <w:r>
        <w:rPr>
          <w:rFonts w:hint="eastAsia" w:ascii="仿宋_GB2312" w:eastAsia="仿宋_GB2312"/>
          <w:sz w:val="32"/>
          <w:szCs w:val="32"/>
        </w:rPr>
        <w:t>21年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日，通江县涪阳镇中心小学共有车辆0辆。单价</w:t>
      </w:r>
      <w:r>
        <w:rPr>
          <w:rFonts w:ascii="仿宋_GB2312" w:eastAsia="仿宋_GB2312"/>
          <w:sz w:val="32"/>
          <w:szCs w:val="32"/>
        </w:rPr>
        <w:t>50</w:t>
      </w:r>
      <w:r>
        <w:rPr>
          <w:rFonts w:hint="eastAsia" w:ascii="仿宋_GB2312" w:eastAsia="仿宋_GB2312"/>
          <w:sz w:val="32"/>
          <w:szCs w:val="32"/>
        </w:rPr>
        <w:t>万元以上通用设备0台（套），单价</w:t>
      </w:r>
      <w:r>
        <w:rPr>
          <w:rFonts w:ascii="仿宋_GB2312" w:eastAsia="仿宋_GB2312"/>
          <w:sz w:val="32"/>
          <w:szCs w:val="32"/>
        </w:rPr>
        <w:t>100</w:t>
      </w:r>
      <w:r>
        <w:rPr>
          <w:rFonts w:hint="eastAsia" w:ascii="仿宋_GB2312" w:eastAsia="仿宋_GB2312"/>
          <w:sz w:val="32"/>
          <w:szCs w:val="32"/>
        </w:rPr>
        <w:t>万元以上专用设备0台（套）。</w:t>
      </w:r>
    </w:p>
    <w:p>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pPr>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根据预算绩效管理要求，本单位在2021年度预算编制阶段，组织对迁建项目、免作业本费项目、学生营养餐项目、</w:t>
      </w:r>
      <w:r>
        <w:rPr>
          <w:rFonts w:hint="eastAsia" w:ascii="仿宋_GB2312" w:hAnsi="仿宋_GB2312" w:eastAsia="仿宋_GB2312" w:cs="仿宋_GB2312"/>
          <w:sz w:val="32"/>
          <w:szCs w:val="32"/>
          <w:u w:val="none" w:color="46CD7E"/>
          <w:shd w:val="clear" w:fill="auto"/>
          <w:lang w:eastAsia="zh-CN"/>
        </w:rPr>
        <w:t>义务教育</w:t>
      </w:r>
      <w:r>
        <w:rPr>
          <w:rFonts w:hint="eastAsia" w:ascii="仿宋_GB2312" w:hAnsi="仿宋_GB2312" w:eastAsia="仿宋_GB2312" w:cs="仿宋_GB2312"/>
          <w:sz w:val="32"/>
          <w:szCs w:val="32"/>
        </w:rPr>
        <w:t>生活补助项目、驻村人员差旅费补助5个项目开展了事前预算绩效评估，预算执行过程中，扎实进行绩效自评，2021年特定目标类部门预算项目绩效目标自评表见附件（第四部分）。</w:t>
      </w:r>
    </w:p>
    <w:p>
      <w:pPr>
        <w:pStyle w:val="8"/>
        <w:ind w:left="420"/>
      </w:pPr>
    </w:p>
    <w:p>
      <w:pPr>
        <w:numPr>
          <w:ilvl w:val="0"/>
          <w:numId w:val="5"/>
        </w:numPr>
        <w:spacing w:line="600" w:lineRule="exact"/>
        <w:ind w:firstLine="660" w:firstLineChars="150"/>
        <w:jc w:val="center"/>
        <w:outlineLvl w:val="0"/>
        <w:rPr>
          <w:rStyle w:val="32"/>
          <w:rFonts w:ascii="黑体" w:hAnsi="黑体" w:eastAsia="黑体"/>
          <w:b w:val="0"/>
        </w:rPr>
      </w:pPr>
      <w:bookmarkStart w:id="67" w:name="_Toc15377225"/>
      <w:bookmarkStart w:id="68" w:name="_Toc15396613"/>
      <w:bookmarkStart w:id="69" w:name="_Toc8077"/>
      <w:r>
        <w:rPr>
          <w:rFonts w:hint="eastAsia" w:ascii="黑体" w:hAnsi="黑体" w:eastAsia="黑体"/>
          <w:sz w:val="44"/>
          <w:szCs w:val="44"/>
        </w:rPr>
        <w:t>名</w:t>
      </w:r>
      <w:r>
        <w:rPr>
          <w:rStyle w:val="32"/>
          <w:rFonts w:hint="eastAsia" w:ascii="黑体" w:hAnsi="黑体" w:eastAsia="黑体"/>
          <w:b w:val="0"/>
        </w:rPr>
        <w:t>词解释</w:t>
      </w:r>
      <w:bookmarkEnd w:id="67"/>
      <w:bookmarkEnd w:id="68"/>
      <w:bookmarkEnd w:id="69"/>
    </w:p>
    <w:p/>
    <w:p>
      <w:pPr>
        <w:pStyle w:val="30"/>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1.</w:t>
      </w:r>
      <w:r>
        <w:rPr>
          <w:rFonts w:hint="eastAsia" w:ascii="仿宋_GB2312" w:eastAsia="仿宋_GB2312"/>
          <w:color w:val="auto"/>
          <w:sz w:val="32"/>
          <w:szCs w:val="32"/>
        </w:rPr>
        <w:t>财政拨款收入：指单位从同级财政部门取得的财政预算资金。</w:t>
      </w:r>
    </w:p>
    <w:p>
      <w:pPr>
        <w:pStyle w:val="30"/>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2.</w:t>
      </w:r>
      <w:r>
        <w:rPr>
          <w:rFonts w:hint="eastAsia" w:ascii="仿宋_GB2312" w:eastAsia="仿宋_GB2312"/>
          <w:color w:val="auto"/>
          <w:sz w:val="32"/>
          <w:szCs w:val="32"/>
        </w:rPr>
        <w:t>事业收入：指事业单位开展专业业务活动及辅助活动取得的收入。</w:t>
      </w:r>
    </w:p>
    <w:p>
      <w:pPr>
        <w:pStyle w:val="30"/>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3.</w:t>
      </w:r>
      <w:r>
        <w:rPr>
          <w:rFonts w:hint="eastAsia" w:ascii="仿宋_GB2312" w:eastAsia="仿宋_GB2312"/>
          <w:color w:val="auto"/>
          <w:sz w:val="32"/>
          <w:szCs w:val="32"/>
        </w:rPr>
        <w:t>经营收入：指事业单位在专业业务活动及其辅助活动之外开展非独立核算经营活动取得的收入。</w:t>
      </w:r>
    </w:p>
    <w:p>
      <w:pPr>
        <w:pStyle w:val="30"/>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4.</w:t>
      </w:r>
      <w:r>
        <w:rPr>
          <w:rFonts w:hint="eastAsia" w:ascii="仿宋_GB2312" w:eastAsia="仿宋_GB2312"/>
          <w:color w:val="auto"/>
          <w:sz w:val="32"/>
          <w:szCs w:val="32"/>
        </w:rPr>
        <w:t>其他收入：指单位取得的除上述收入以外的各项收入。</w:t>
      </w:r>
    </w:p>
    <w:p>
      <w:pPr>
        <w:pStyle w:val="30"/>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5.</w:t>
      </w:r>
      <w:r>
        <w:rPr>
          <w:rFonts w:hint="eastAsia" w:ascii="仿宋_GB2312" w:eastAsia="仿宋_GB2312"/>
          <w:color w:val="auto"/>
          <w:sz w:val="32"/>
          <w:szCs w:val="32"/>
        </w:rPr>
        <w:t>使用非财政拨款结余：指事业单位使用以前年度积累的非财政拨款结余弥补当年收支差额的金额。</w:t>
      </w:r>
    </w:p>
    <w:p>
      <w:pPr>
        <w:pStyle w:val="30"/>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6.</w:t>
      </w:r>
      <w:r>
        <w:rPr>
          <w:rFonts w:hint="eastAsia" w:ascii="仿宋_GB2312" w:eastAsia="仿宋_GB2312"/>
          <w:color w:val="auto"/>
          <w:sz w:val="32"/>
          <w:szCs w:val="32"/>
        </w:rPr>
        <w:t>年初结转和结余：指以前年度尚未完成、结转到</w:t>
      </w:r>
      <w:r>
        <w:rPr>
          <w:rFonts w:hint="eastAsia" w:ascii="仿宋_GB2312" w:eastAsia="仿宋_GB2312"/>
          <w:color w:val="auto"/>
          <w:sz w:val="32"/>
          <w:szCs w:val="32"/>
          <w:u w:val="none" w:color="46CD7E"/>
          <w:shd w:val="clear" w:fill="auto"/>
          <w:lang w:eastAsia="zh-CN"/>
        </w:rPr>
        <w:t>本年度</w:t>
      </w:r>
      <w:r>
        <w:rPr>
          <w:rFonts w:hint="eastAsia" w:ascii="仿宋_GB2312" w:eastAsia="仿宋_GB2312"/>
          <w:color w:val="auto"/>
          <w:sz w:val="32"/>
          <w:szCs w:val="32"/>
        </w:rPr>
        <w:t>按有关规定继续使用的资金。</w:t>
      </w:r>
    </w:p>
    <w:p>
      <w:pPr>
        <w:pStyle w:val="30"/>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7.</w:t>
      </w:r>
      <w:r>
        <w:rPr>
          <w:rFonts w:hint="eastAsia" w:ascii="仿宋_GB2312" w:eastAsia="仿宋_GB2312"/>
          <w:color w:val="auto"/>
          <w:sz w:val="32"/>
          <w:szCs w:val="32"/>
        </w:rPr>
        <w:t>结余分配：指事业单位按照会计制度规定缴纳的所得税、提取的专用结余以及转入非财政拨款结余的金额等。</w:t>
      </w:r>
    </w:p>
    <w:p>
      <w:pPr>
        <w:pStyle w:val="30"/>
        <w:spacing w:line="560" w:lineRule="exact"/>
        <w:ind w:firstLine="640" w:firstLineChars="200"/>
        <w:rPr>
          <w:rFonts w:ascii="仿宋_GB2312" w:eastAsia="仿宋_GB2312"/>
          <w:color w:val="auto"/>
          <w:sz w:val="32"/>
          <w:szCs w:val="32"/>
        </w:rPr>
      </w:pPr>
      <w:r>
        <w:rPr>
          <w:rFonts w:ascii="仿宋_GB2312" w:eastAsia="仿宋_GB2312"/>
          <w:color w:val="auto"/>
          <w:sz w:val="32"/>
          <w:szCs w:val="32"/>
        </w:rPr>
        <w:t>8</w:t>
      </w:r>
      <w:r>
        <w:rPr>
          <w:rFonts w:hint="eastAsia" w:ascii="仿宋_GB2312" w:eastAsia="仿宋_GB2312"/>
          <w:color w:val="auto"/>
          <w:sz w:val="32"/>
          <w:szCs w:val="32"/>
        </w:rPr>
        <w:t>、年末结转和结余：指单位按有关规定结转到下年或以后年度继续使用的资金。</w:t>
      </w:r>
    </w:p>
    <w:p>
      <w:pPr>
        <w:ind w:firstLine="640" w:firstLineChars="200"/>
        <w:rPr>
          <w:rFonts w:ascii="仿宋_GB2312" w:eastAsia="仿宋_GB2312"/>
          <w:sz w:val="32"/>
          <w:szCs w:val="32"/>
        </w:rPr>
      </w:pPr>
      <w:r>
        <w:rPr>
          <w:rFonts w:hint="eastAsia" w:ascii="仿宋_GB2312" w:eastAsia="仿宋_GB2312"/>
          <w:sz w:val="32"/>
          <w:szCs w:val="32"/>
        </w:rPr>
        <w:t>9</w:t>
      </w:r>
      <w:r>
        <w:rPr>
          <w:rFonts w:ascii="仿宋_GB2312" w:eastAsia="仿宋_GB2312"/>
          <w:sz w:val="32"/>
          <w:szCs w:val="32"/>
        </w:rPr>
        <w:t>.</w:t>
      </w:r>
      <w:r>
        <w:rPr>
          <w:rFonts w:hint="eastAsia" w:ascii="仿宋_GB2312" w:eastAsia="仿宋_GB2312"/>
          <w:sz w:val="32"/>
          <w:szCs w:val="32"/>
        </w:rPr>
        <w:t>教育（类）普通教育（款）小学教育（项）：指反映各部门举办的小学教育支出。</w:t>
      </w:r>
    </w:p>
    <w:p>
      <w:pPr>
        <w:ind w:firstLine="640" w:firstLineChars="200"/>
        <w:rPr>
          <w:rFonts w:ascii="仿宋_GB2312" w:eastAsia="仿宋_GB2312"/>
          <w:sz w:val="32"/>
          <w:szCs w:val="32"/>
        </w:rPr>
      </w:pPr>
      <w:r>
        <w:rPr>
          <w:rFonts w:hint="eastAsia" w:ascii="仿宋_GB2312" w:eastAsia="仿宋_GB2312"/>
          <w:sz w:val="32"/>
          <w:szCs w:val="32"/>
        </w:rPr>
        <w:t>10</w:t>
      </w:r>
      <w:r>
        <w:rPr>
          <w:rFonts w:ascii="仿宋_GB2312" w:eastAsia="仿宋_GB2312"/>
          <w:sz w:val="32"/>
          <w:szCs w:val="32"/>
        </w:rPr>
        <w:t>.</w:t>
      </w:r>
      <w:r>
        <w:rPr>
          <w:rFonts w:hint="eastAsia" w:ascii="仿宋_GB2312" w:eastAsia="仿宋_GB2312"/>
          <w:sz w:val="32"/>
          <w:szCs w:val="32"/>
        </w:rPr>
        <w:t>社会保障和就业（类）人力资源和社会保障管理事务（款）引进人才费用（项）：指反映用于引进外国专家补助、引智成果推广等方面支出。</w:t>
      </w:r>
    </w:p>
    <w:p>
      <w:pPr>
        <w:ind w:firstLine="640" w:firstLineChars="200"/>
        <w:rPr>
          <w:rFonts w:ascii="仿宋_GB2312" w:eastAsia="仿宋_GB2312"/>
          <w:sz w:val="32"/>
          <w:szCs w:val="32"/>
        </w:rPr>
      </w:pPr>
      <w:r>
        <w:rPr>
          <w:rFonts w:hint="eastAsia" w:ascii="仿宋_GB2312" w:eastAsia="仿宋_GB2312"/>
          <w:sz w:val="32"/>
          <w:szCs w:val="32"/>
        </w:rPr>
        <w:t>11</w:t>
      </w:r>
      <w:r>
        <w:rPr>
          <w:rFonts w:ascii="仿宋_GB2312" w:eastAsia="仿宋_GB2312"/>
          <w:sz w:val="32"/>
          <w:szCs w:val="32"/>
        </w:rPr>
        <w:t>.</w:t>
      </w:r>
      <w:r>
        <w:rPr>
          <w:rFonts w:hint="eastAsia" w:ascii="仿宋_GB2312" w:eastAsia="仿宋_GB2312"/>
          <w:sz w:val="32"/>
          <w:szCs w:val="32"/>
        </w:rPr>
        <w:t>社会保障和就业（类）行政事业单位养老支出（款）机关事业单位基本养老保险缴费支出（项）：指反映机关事业单位实施养老保险制度由单位缴纳的基本养老保险费支出。</w:t>
      </w:r>
    </w:p>
    <w:p>
      <w:pPr>
        <w:ind w:firstLine="640" w:firstLineChars="200"/>
        <w:rPr>
          <w:rFonts w:ascii="仿宋_GB2312" w:eastAsia="仿宋_GB2312"/>
          <w:sz w:val="32"/>
          <w:szCs w:val="32"/>
        </w:rPr>
      </w:pPr>
      <w:r>
        <w:rPr>
          <w:rFonts w:hint="eastAsia" w:ascii="仿宋_GB2312" w:eastAsia="仿宋_GB2312"/>
          <w:sz w:val="32"/>
          <w:szCs w:val="32"/>
        </w:rPr>
        <w:t>12.社会保障和就业（类）行政事业单位养老支出（款）机关事业单位职业年金缴费支出（项）：指反映机关事业单位实施养老保险制度由单位实际缴纳的职业年金支出。</w:t>
      </w:r>
    </w:p>
    <w:p>
      <w:pPr>
        <w:ind w:firstLine="640" w:firstLineChars="200"/>
        <w:rPr>
          <w:rFonts w:ascii="仿宋_GB2312" w:eastAsia="仿宋_GB2312"/>
          <w:sz w:val="32"/>
          <w:szCs w:val="32"/>
        </w:rPr>
      </w:pPr>
      <w:r>
        <w:rPr>
          <w:rFonts w:hint="eastAsia" w:ascii="仿宋_GB2312" w:eastAsia="仿宋_GB2312"/>
          <w:sz w:val="32"/>
          <w:szCs w:val="32"/>
        </w:rPr>
        <w:t>13.卫生健康支出（类）行政事业单位医疗（款）事业单位医疗（项）：指反映财政部门安排的事业单位基本医疗保险缴费经费，未参加医疗保险的事业单位的公费医疗经费，按国家规定享受离休人员待遇的医疗经费。</w:t>
      </w:r>
    </w:p>
    <w:p>
      <w:pPr>
        <w:ind w:firstLine="640" w:firstLineChars="200"/>
        <w:rPr>
          <w:rFonts w:ascii="仿宋_GB2312" w:eastAsia="仿宋_GB2312"/>
          <w:sz w:val="32"/>
          <w:szCs w:val="32"/>
        </w:rPr>
      </w:pPr>
      <w:r>
        <w:rPr>
          <w:rFonts w:hint="eastAsia" w:ascii="仿宋_GB2312" w:eastAsia="仿宋_GB2312"/>
          <w:sz w:val="32"/>
          <w:szCs w:val="32"/>
        </w:rPr>
        <w:t>14</w:t>
      </w:r>
      <w:r>
        <w:rPr>
          <w:rFonts w:ascii="仿宋_GB2312" w:eastAsia="仿宋_GB2312"/>
          <w:sz w:val="32"/>
          <w:szCs w:val="32"/>
        </w:rPr>
        <w:t>.</w:t>
      </w:r>
      <w:r>
        <w:rPr>
          <w:rFonts w:hint="eastAsia" w:ascii="仿宋_GB2312" w:eastAsia="仿宋_GB2312"/>
          <w:sz w:val="32"/>
          <w:szCs w:val="32"/>
        </w:rPr>
        <w:t>农林水支出（类）扶贫（款）其他扶贫支出（项）：指反映上述项目以外其他用于脱贫攻坚方面支出。</w:t>
      </w:r>
    </w:p>
    <w:p>
      <w:pPr>
        <w:ind w:firstLine="640" w:firstLineChars="200"/>
        <w:rPr>
          <w:rFonts w:ascii="仿宋_GB2312" w:eastAsia="仿宋_GB2312"/>
          <w:sz w:val="32"/>
          <w:szCs w:val="32"/>
        </w:rPr>
      </w:pPr>
      <w:r>
        <w:rPr>
          <w:rFonts w:hint="eastAsia" w:ascii="仿宋_GB2312" w:eastAsia="仿宋_GB2312"/>
          <w:sz w:val="32"/>
          <w:szCs w:val="32"/>
        </w:rPr>
        <w:t>15</w:t>
      </w:r>
      <w:r>
        <w:rPr>
          <w:rFonts w:ascii="仿宋_GB2312" w:eastAsia="仿宋_GB2312"/>
          <w:sz w:val="32"/>
          <w:szCs w:val="32"/>
        </w:rPr>
        <w:t>.</w:t>
      </w:r>
      <w:r>
        <w:rPr>
          <w:rFonts w:hint="eastAsia" w:ascii="仿宋_GB2312" w:eastAsia="仿宋_GB2312"/>
          <w:sz w:val="32"/>
          <w:szCs w:val="32"/>
        </w:rPr>
        <w:t>住房保障支出（类）住房改革支出（款）住房公积金（项）：指反映行政事业单位按人力资源和社会保障部、财政部规定的基本工资和津贴补贴以及规定比例为职工缴纳住房公积金。</w:t>
      </w:r>
    </w:p>
    <w:p>
      <w:pPr>
        <w:ind w:firstLine="640" w:firstLineChars="200"/>
        <w:rPr>
          <w:rFonts w:ascii="仿宋_GB2312" w:eastAsia="仿宋_GB2312"/>
          <w:sz w:val="32"/>
          <w:szCs w:val="32"/>
        </w:rPr>
      </w:pPr>
      <w:r>
        <w:rPr>
          <w:rFonts w:hint="eastAsia" w:ascii="仿宋_GB2312" w:eastAsia="仿宋_GB2312"/>
          <w:sz w:val="32"/>
          <w:szCs w:val="32"/>
        </w:rPr>
        <w:t>16</w:t>
      </w:r>
      <w:r>
        <w:rPr>
          <w:rFonts w:ascii="仿宋_GB2312" w:eastAsia="仿宋_GB2312"/>
          <w:sz w:val="32"/>
          <w:szCs w:val="32"/>
        </w:rPr>
        <w:t>.</w:t>
      </w:r>
      <w:r>
        <w:rPr>
          <w:rFonts w:hint="eastAsia" w:ascii="仿宋_GB2312" w:eastAsia="仿宋_GB2312"/>
          <w:sz w:val="32"/>
          <w:szCs w:val="32"/>
        </w:rPr>
        <w:t>基本支出：指为保障机构正常运转、完成日常工作任务而发生的人员支出和公用支出。</w:t>
      </w:r>
    </w:p>
    <w:p>
      <w:pPr>
        <w:ind w:firstLine="640" w:firstLineChars="200"/>
        <w:rPr>
          <w:rFonts w:ascii="仿宋_GB2312" w:eastAsia="仿宋_GB2312"/>
          <w:sz w:val="32"/>
          <w:szCs w:val="32"/>
        </w:rPr>
      </w:pPr>
      <w:r>
        <w:rPr>
          <w:rFonts w:hint="eastAsia" w:ascii="仿宋_GB2312" w:eastAsia="仿宋_GB2312"/>
          <w:sz w:val="32"/>
          <w:szCs w:val="32"/>
        </w:rPr>
        <w:t>17</w:t>
      </w:r>
      <w:r>
        <w:rPr>
          <w:rFonts w:ascii="仿宋_GB2312" w:eastAsia="仿宋_GB2312"/>
          <w:sz w:val="32"/>
          <w:szCs w:val="32"/>
        </w:rPr>
        <w:t>.</w:t>
      </w:r>
      <w:r>
        <w:rPr>
          <w:rFonts w:hint="eastAsia" w:ascii="仿宋_GB2312" w:eastAsia="仿宋_GB2312"/>
          <w:sz w:val="32"/>
          <w:szCs w:val="32"/>
        </w:rPr>
        <w:t>项目支出：指在基本支出之外为完成特定行政任务和事业发展目标所发生的支出。</w:t>
      </w:r>
    </w:p>
    <w:p>
      <w:pPr>
        <w:ind w:firstLine="640" w:firstLineChars="200"/>
        <w:rPr>
          <w:rFonts w:ascii="仿宋_GB2312" w:eastAsia="仿宋_GB2312"/>
          <w:sz w:val="32"/>
          <w:szCs w:val="32"/>
        </w:rPr>
      </w:pPr>
      <w:r>
        <w:rPr>
          <w:rFonts w:hint="eastAsia" w:ascii="仿宋_GB2312" w:eastAsia="仿宋_GB2312"/>
          <w:sz w:val="32"/>
          <w:szCs w:val="32"/>
        </w:rPr>
        <w:t>18</w:t>
      </w:r>
      <w:r>
        <w:rPr>
          <w:rFonts w:ascii="仿宋_GB2312" w:eastAsia="仿宋_GB2312"/>
          <w:sz w:val="32"/>
          <w:szCs w:val="32"/>
        </w:rPr>
        <w:t>.</w:t>
      </w:r>
      <w:r>
        <w:rPr>
          <w:rFonts w:hint="eastAsia" w:ascii="仿宋_GB2312" w:eastAsia="仿宋_GB2312"/>
          <w:sz w:val="32"/>
          <w:szCs w:val="32"/>
        </w:rPr>
        <w:t>经营支出：指事业单位在专业业务活动及其辅助活动之外开展非独立核算经营活动发生的支出。</w:t>
      </w:r>
    </w:p>
    <w:p>
      <w:pPr>
        <w:pStyle w:val="30"/>
        <w:spacing w:line="56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19</w:t>
      </w:r>
      <w:r>
        <w:rPr>
          <w:rFonts w:ascii="仿宋_GB2312" w:eastAsia="仿宋_GB2312"/>
          <w:color w:val="auto"/>
          <w:sz w:val="32"/>
          <w:szCs w:val="32"/>
        </w:rPr>
        <w:t>.</w:t>
      </w:r>
      <w:r>
        <w:rPr>
          <w:rFonts w:hint="eastAsia" w:ascii="仿宋_GB2312" w:eastAsia="仿宋_GB2312"/>
          <w:color w:val="auto"/>
          <w:sz w:val="32"/>
          <w:szCs w:val="32"/>
        </w:rPr>
        <w:t>“三公”经费：指单位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30"/>
        <w:spacing w:line="560" w:lineRule="exact"/>
        <w:ind w:firstLine="640" w:firstLineChars="200"/>
        <w:rPr>
          <w:rFonts w:ascii="黑体" w:hAnsi="黑体" w:eastAsia="黑体"/>
          <w:sz w:val="44"/>
          <w:szCs w:val="44"/>
        </w:rPr>
      </w:pPr>
      <w:r>
        <w:rPr>
          <w:rFonts w:hint="eastAsia" w:ascii="仿宋_GB2312" w:eastAsia="仿宋_GB2312"/>
          <w:color w:val="auto"/>
          <w:sz w:val="32"/>
          <w:szCs w:val="32"/>
        </w:rPr>
        <w:t>20</w:t>
      </w:r>
      <w:r>
        <w:rPr>
          <w:rFonts w:ascii="仿宋_GB2312" w:eastAsia="仿宋_GB2312"/>
          <w:color w:val="auto"/>
          <w:sz w:val="32"/>
          <w:szCs w:val="32"/>
        </w:rPr>
        <w:t>.</w:t>
      </w:r>
      <w:r>
        <w:rPr>
          <w:rFonts w:hint="eastAsia" w:ascii="仿宋_GB2312" w:eastAsia="仿宋_GB2312"/>
          <w:color w:val="auto"/>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bookmarkStart w:id="70" w:name="_Toc15396614"/>
      <w:bookmarkStart w:id="71" w:name="_Toc15377226"/>
    </w:p>
    <w:p>
      <w:pPr>
        <w:spacing w:line="600" w:lineRule="exact"/>
        <w:jc w:val="center"/>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numPr>
          <w:ilvl w:val="0"/>
          <w:numId w:val="5"/>
        </w:numPr>
        <w:spacing w:line="600" w:lineRule="exact"/>
        <w:ind w:firstLine="663" w:firstLineChars="150"/>
        <w:jc w:val="center"/>
        <w:outlineLvl w:val="0"/>
        <w:rPr>
          <w:rStyle w:val="32"/>
          <w:rFonts w:ascii="黑体" w:hAnsi="黑体" w:eastAsia="黑体"/>
        </w:rPr>
      </w:pPr>
      <w:bookmarkStart w:id="72" w:name="_Toc30135"/>
      <w:r>
        <w:rPr>
          <w:rStyle w:val="32"/>
          <w:rFonts w:hint="eastAsia" w:ascii="黑体" w:hAnsi="黑体" w:eastAsia="黑体"/>
        </w:rPr>
        <w:t>附件</w:t>
      </w:r>
      <w:bookmarkEnd w:id="70"/>
      <w:bookmarkEnd w:id="72"/>
    </w:p>
    <w:p>
      <w:pPr>
        <w:spacing w:line="660" w:lineRule="exact"/>
        <w:jc w:val="center"/>
        <w:rPr>
          <w:rFonts w:ascii="方正小标宋简体" w:hAnsi="方正小标宋简体" w:eastAsia="方正小标宋简体" w:cs="方正小标宋简体"/>
          <w:b/>
          <w:color w:val="000000"/>
          <w:kern w:val="0"/>
          <w:sz w:val="44"/>
          <w:szCs w:val="44"/>
        </w:rPr>
      </w:pPr>
    </w:p>
    <w:p>
      <w:pPr>
        <w:spacing w:line="660" w:lineRule="exact"/>
        <w:jc w:val="center"/>
        <w:outlineLvl w:val="1"/>
        <w:rPr>
          <w:rFonts w:ascii="方正小标宋简体" w:hAnsi="方正小标宋简体" w:eastAsia="方正小标宋简体" w:cs="方正小标宋简体"/>
          <w:b/>
          <w:color w:val="000000"/>
          <w:kern w:val="0"/>
          <w:sz w:val="44"/>
          <w:szCs w:val="44"/>
        </w:rPr>
      </w:pPr>
      <w:bookmarkStart w:id="73" w:name="_Toc15783"/>
      <w:r>
        <w:rPr>
          <w:rFonts w:hint="eastAsia" w:ascii="方正小标宋简体" w:hAnsi="方正小标宋简体" w:eastAsia="方正小标宋简体" w:cs="方正小标宋简体"/>
          <w:b/>
          <w:color w:val="000000"/>
          <w:kern w:val="0"/>
          <w:sz w:val="44"/>
          <w:szCs w:val="44"/>
        </w:rPr>
        <w:t>通江县涪阳镇中心小学</w:t>
      </w:r>
      <w:bookmarkEnd w:id="73"/>
    </w:p>
    <w:p>
      <w:pPr>
        <w:spacing w:line="660" w:lineRule="exact"/>
        <w:jc w:val="center"/>
        <w:outlineLvl w:val="1"/>
        <w:rPr>
          <w:rFonts w:ascii="方正小标宋简体" w:hAnsi="方正小标宋简体" w:eastAsia="方正小标宋简体" w:cs="方正小标宋简体"/>
          <w:b/>
          <w:color w:val="000000"/>
          <w:kern w:val="0"/>
          <w:sz w:val="44"/>
          <w:szCs w:val="44"/>
        </w:rPr>
      </w:pPr>
      <w:bookmarkStart w:id="74" w:name="_Toc32062"/>
      <w:r>
        <w:rPr>
          <w:rFonts w:hint="eastAsia" w:ascii="方正小标宋简体" w:hAnsi="方正小标宋简体" w:eastAsia="方正小标宋简体" w:cs="方正小标宋简体"/>
          <w:b/>
          <w:color w:val="000000"/>
          <w:kern w:val="0"/>
          <w:sz w:val="44"/>
          <w:szCs w:val="44"/>
        </w:rPr>
        <w:t>2021年整体支出绩效自评报告</w:t>
      </w:r>
      <w:bookmarkEnd w:id="74"/>
    </w:p>
    <w:p>
      <w:pPr>
        <w:jc w:val="center"/>
        <w:rPr>
          <w:rFonts w:ascii="宋体" w:hAnsi="宋体" w:cs="宋体"/>
          <w:bCs/>
          <w:color w:val="000000"/>
          <w:kern w:val="0"/>
          <w:sz w:val="32"/>
          <w:szCs w:val="32"/>
        </w:rPr>
      </w:pPr>
    </w:p>
    <w:p>
      <w:pPr>
        <w:pStyle w:val="39"/>
        <w:spacing w:line="560" w:lineRule="exact"/>
        <w:ind w:firstLine="640" w:firstLineChars="200"/>
        <w:rPr>
          <w:rFonts w:ascii="宋体" w:hAnsi="宋体"/>
          <w:bCs/>
          <w:sz w:val="32"/>
          <w:szCs w:val="32"/>
        </w:rPr>
      </w:pPr>
      <w:r>
        <w:rPr>
          <w:rFonts w:hint="eastAsia" w:ascii="仿宋" w:hAnsi="仿宋" w:eastAsia="仿宋" w:cs="仿宋"/>
          <w:color w:val="auto"/>
          <w:kern w:val="2"/>
          <w:sz w:val="32"/>
          <w:szCs w:val="32"/>
        </w:rPr>
        <w:t>为加强学校管理，充分发挥教育服务作用，调动我校人员的积极性。根据四川省教育系统绩效考核标准及通江县财政局关于开展2022年财政整体绩效评价自评工作的通知（通财绩〔2022〕13号）文件精神，我校进行了自查自评，现将相关情况报告如下：</w:t>
      </w:r>
    </w:p>
    <w:p>
      <w:pPr>
        <w:adjustRightInd w:val="0"/>
        <w:snapToGrid w:val="0"/>
        <w:spacing w:line="600" w:lineRule="exact"/>
        <w:ind w:firstLine="720"/>
        <w:outlineLvl w:val="1"/>
        <w:rPr>
          <w:rFonts w:ascii="黑体" w:hAnsi="黑体" w:eastAsia="黑体" w:cs="黑体"/>
          <w:b/>
          <w:sz w:val="32"/>
          <w:szCs w:val="32"/>
        </w:rPr>
      </w:pPr>
      <w:bookmarkStart w:id="75" w:name="_Toc21559"/>
      <w:r>
        <w:rPr>
          <w:rFonts w:hint="eastAsia" w:ascii="黑体" w:hAnsi="黑体" w:eastAsia="黑体" w:cs="黑体"/>
          <w:b/>
          <w:sz w:val="32"/>
          <w:szCs w:val="32"/>
        </w:rPr>
        <w:t>一、部门概况</w:t>
      </w:r>
      <w:bookmarkEnd w:id="75"/>
    </w:p>
    <w:p>
      <w:pPr>
        <w:adjustRightInd w:val="0"/>
        <w:snapToGrid w:val="0"/>
        <w:spacing w:line="600" w:lineRule="exact"/>
        <w:ind w:firstLine="720"/>
        <w:rPr>
          <w:rFonts w:ascii="楷体" w:hAnsi="楷体" w:eastAsia="楷体" w:cs="楷体"/>
          <w:b/>
          <w:sz w:val="32"/>
          <w:szCs w:val="32"/>
        </w:rPr>
      </w:pPr>
      <w:r>
        <w:t>（</w:t>
      </w:r>
      <w:r>
        <w:rPr>
          <w:rFonts w:hint="eastAsia" w:ascii="楷体" w:hAnsi="楷体" w:eastAsia="楷体" w:cs="楷体"/>
          <w:b/>
          <w:sz w:val="32"/>
          <w:szCs w:val="32"/>
        </w:rPr>
        <w:t>一</w:t>
      </w:r>
      <w:r>
        <w:t>）</w:t>
      </w:r>
      <w:r>
        <w:rPr>
          <w:rFonts w:hint="eastAsia" w:ascii="楷体" w:hAnsi="楷体" w:eastAsia="楷体" w:cs="楷体"/>
          <w:b/>
          <w:sz w:val="32"/>
          <w:szCs w:val="32"/>
        </w:rPr>
        <w:t>单位基本情况</w:t>
      </w:r>
    </w:p>
    <w:p>
      <w:pPr>
        <w:adjustRightInd w:val="0"/>
        <w:snapToGrid w:val="0"/>
        <w:spacing w:line="600" w:lineRule="exact"/>
        <w:ind w:firstLine="720"/>
        <w:rPr>
          <w:rFonts w:ascii="仿宋_GB2312" w:hAnsi="仿宋_GB2312" w:eastAsia="仿宋_GB2312" w:cs="仿宋_GB2312"/>
          <w:sz w:val="32"/>
          <w:szCs w:val="32"/>
        </w:rPr>
      </w:pPr>
      <w:r>
        <w:rPr>
          <w:rFonts w:hint="eastAsia" w:ascii="仿宋_GB2312" w:hAnsi="仿宋_GB2312" w:eastAsia="仿宋_GB2312" w:cs="仿宋_GB2312"/>
          <w:sz w:val="32"/>
          <w:szCs w:val="32"/>
        </w:rPr>
        <w:t>1.通江县涪阳镇中心小学属全额拨款事业单位，预算级别为乡镇级。2021年末我校共有编制人数87人，特岗教师10人，遗属人员12人，退休人员42人，学生人数1252人。</w:t>
      </w:r>
    </w:p>
    <w:p>
      <w:pPr>
        <w:adjustRightInd w:val="0"/>
        <w:snapToGrid w:val="0"/>
        <w:spacing w:line="600" w:lineRule="exact"/>
        <w:ind w:firstLine="720"/>
        <w:rPr>
          <w:rFonts w:ascii="仿宋_GB2312" w:hAnsi="仿宋_GB2312" w:eastAsia="仿宋_GB2312" w:cs="仿宋_GB2312"/>
          <w:sz w:val="32"/>
          <w:szCs w:val="32"/>
        </w:rPr>
      </w:pPr>
      <w:r>
        <w:rPr>
          <w:rFonts w:hint="eastAsia" w:ascii="仿宋_GB2312" w:hAnsi="仿宋_GB2312" w:eastAsia="仿宋_GB2312" w:cs="仿宋_GB2312"/>
          <w:sz w:val="32"/>
          <w:szCs w:val="32"/>
        </w:rPr>
        <w:t>2.2021年年初预算，通江县涪阳镇中心小学共有编制人数为83人、特岗教师10人，财政供养人员控制率100%，未超过编制。</w:t>
      </w:r>
    </w:p>
    <w:p>
      <w:pPr>
        <w:adjustRightInd w:val="0"/>
        <w:snapToGrid w:val="0"/>
        <w:spacing w:line="600" w:lineRule="exact"/>
        <w:ind w:firstLine="720"/>
        <w:rPr>
          <w:rFonts w:ascii="楷体" w:hAnsi="楷体" w:eastAsia="楷体" w:cs="楷体"/>
          <w:b/>
          <w:sz w:val="32"/>
          <w:szCs w:val="32"/>
        </w:rPr>
      </w:pPr>
      <w:r>
        <w:rPr>
          <w:rFonts w:hint="eastAsia" w:ascii="楷体" w:hAnsi="楷体" w:eastAsia="楷体" w:cs="楷体"/>
          <w:b/>
          <w:sz w:val="32"/>
          <w:szCs w:val="32"/>
        </w:rPr>
        <w:t>（二）主要职能</w:t>
      </w:r>
    </w:p>
    <w:p>
      <w:pPr>
        <w:adjustRightInd w:val="0"/>
        <w:snapToGrid w:val="0"/>
        <w:spacing w:line="600" w:lineRule="exact"/>
        <w:ind w:firstLine="720"/>
        <w:rPr>
          <w:rFonts w:ascii="仿宋_GB2312" w:hAnsi="仿宋_GB2312" w:eastAsia="仿宋_GB2312" w:cs="仿宋_GB2312"/>
          <w:sz w:val="32"/>
          <w:szCs w:val="32"/>
        </w:rPr>
      </w:pPr>
      <w:r>
        <w:rPr>
          <w:rFonts w:hint="eastAsia" w:ascii="仿宋_GB2312" w:hAnsi="仿宋_GB2312" w:eastAsia="仿宋_GB2312" w:cs="仿宋_GB2312"/>
          <w:sz w:val="32"/>
          <w:szCs w:val="32"/>
        </w:rPr>
        <w:t>1.全面贯彻党的教育方针政策，依法组织教育教学，全面实施素质教育，培养德智体美劳全面发展的社会主义接班人，努力办好人民满意教育。</w:t>
      </w:r>
    </w:p>
    <w:p>
      <w:pPr>
        <w:adjustRightInd w:val="0"/>
        <w:snapToGrid w:val="0"/>
        <w:spacing w:line="600" w:lineRule="exact"/>
        <w:ind w:firstLine="720"/>
        <w:rPr>
          <w:rFonts w:ascii="仿宋_GB2312" w:hAnsi="仿宋_GB2312" w:eastAsia="仿宋_GB2312" w:cs="仿宋_GB2312"/>
          <w:sz w:val="32"/>
          <w:szCs w:val="32"/>
        </w:rPr>
      </w:pPr>
      <w:r>
        <w:rPr>
          <w:rFonts w:hint="eastAsia" w:ascii="仿宋_GB2312" w:hAnsi="仿宋_GB2312" w:eastAsia="仿宋_GB2312" w:cs="仿宋_GB2312"/>
          <w:sz w:val="32"/>
          <w:szCs w:val="32"/>
        </w:rPr>
        <w:t>2.保障学校的正常教育教学、办公、生活秩序。</w:t>
      </w:r>
    </w:p>
    <w:p>
      <w:pPr>
        <w:adjustRightInd w:val="0"/>
        <w:snapToGrid w:val="0"/>
        <w:spacing w:line="600" w:lineRule="exact"/>
        <w:ind w:firstLine="720"/>
        <w:rPr>
          <w:rFonts w:ascii="仿宋_GB2312" w:hAnsi="仿宋_GB2312" w:eastAsia="仿宋_GB2312" w:cs="仿宋_GB2312"/>
          <w:sz w:val="32"/>
          <w:szCs w:val="32"/>
        </w:rPr>
      </w:pPr>
      <w:r>
        <w:rPr>
          <w:rFonts w:hint="eastAsia" w:ascii="仿宋_GB2312" w:hAnsi="仿宋_GB2312" w:eastAsia="仿宋_GB2312" w:cs="仿宋_GB2312"/>
          <w:sz w:val="32"/>
          <w:szCs w:val="32"/>
        </w:rPr>
        <w:t>3.管好用好国家的教育资金，改善和优化农村办学条件。</w:t>
      </w:r>
    </w:p>
    <w:p>
      <w:pPr>
        <w:adjustRightInd w:val="0"/>
        <w:snapToGrid w:val="0"/>
        <w:spacing w:line="600" w:lineRule="exact"/>
        <w:ind w:firstLine="720"/>
        <w:rPr>
          <w:rFonts w:ascii="仿宋_GB2312" w:hAnsi="仿宋_GB2312" w:eastAsia="仿宋_GB2312" w:cs="仿宋_GB2312"/>
          <w:sz w:val="32"/>
          <w:szCs w:val="32"/>
        </w:rPr>
      </w:pPr>
      <w:r>
        <w:rPr>
          <w:rFonts w:hint="eastAsia" w:ascii="仿宋_GB2312" w:hAnsi="仿宋_GB2312" w:eastAsia="仿宋_GB2312" w:cs="仿宋_GB2312"/>
          <w:sz w:val="32"/>
          <w:szCs w:val="32"/>
        </w:rPr>
        <w:t>4.把教育教学质量放在首位，提高教师从教幸福感，关注留守儿童健康成长，争做“四有”好老师。</w:t>
      </w:r>
    </w:p>
    <w:p>
      <w:pPr>
        <w:adjustRightInd w:val="0"/>
        <w:snapToGrid w:val="0"/>
        <w:spacing w:line="600" w:lineRule="exact"/>
        <w:ind w:firstLine="720"/>
        <w:outlineLvl w:val="1"/>
        <w:rPr>
          <w:rFonts w:ascii="黑体" w:hAnsi="黑体" w:eastAsia="黑体" w:cs="黑体"/>
          <w:b/>
          <w:sz w:val="32"/>
          <w:szCs w:val="32"/>
        </w:rPr>
      </w:pPr>
      <w:bookmarkStart w:id="76" w:name="_Toc14916"/>
      <w:r>
        <w:rPr>
          <w:rFonts w:hint="eastAsia" w:ascii="黑体" w:hAnsi="黑体" w:eastAsia="黑体" w:cs="黑体"/>
          <w:b/>
          <w:sz w:val="32"/>
          <w:szCs w:val="32"/>
        </w:rPr>
        <w:t>二、资金使用情况</w:t>
      </w:r>
      <w:bookmarkEnd w:id="76"/>
    </w:p>
    <w:p>
      <w:pPr>
        <w:adjustRightInd w:val="0"/>
        <w:snapToGrid w:val="0"/>
        <w:spacing w:line="600" w:lineRule="exact"/>
        <w:ind w:firstLine="720"/>
        <w:rPr>
          <w:rFonts w:ascii="楷体" w:hAnsi="楷体" w:eastAsia="楷体" w:cs="楷体"/>
          <w:b/>
          <w:sz w:val="32"/>
          <w:szCs w:val="32"/>
        </w:rPr>
      </w:pPr>
      <w:r>
        <w:rPr>
          <w:rFonts w:hint="eastAsia" w:ascii="楷体" w:hAnsi="楷体" w:eastAsia="楷体" w:cs="楷体"/>
          <w:b/>
          <w:sz w:val="32"/>
          <w:szCs w:val="32"/>
          <w:lang w:val="zh-CN"/>
        </w:rPr>
        <w:t>（一）资金使用情况</w:t>
      </w:r>
    </w:p>
    <w:p>
      <w:pPr>
        <w:adjustRightInd w:val="0"/>
        <w:snapToGrid w:val="0"/>
        <w:spacing w:line="600" w:lineRule="exact"/>
        <w:ind w:firstLine="720"/>
        <w:rPr>
          <w:rFonts w:ascii="仿宋_GB2312" w:hAnsi="仿宋_GB2312" w:eastAsia="仿宋_GB2312" w:cs="仿宋_GB2312"/>
          <w:sz w:val="32"/>
          <w:szCs w:val="32"/>
        </w:rPr>
      </w:pPr>
      <w:r>
        <w:rPr>
          <w:rFonts w:hint="eastAsia" w:ascii="仿宋_GB2312" w:hAnsi="仿宋_GB2312" w:eastAsia="仿宋_GB2312" w:cs="仿宋_GB2312"/>
          <w:sz w:val="32"/>
          <w:szCs w:val="32"/>
        </w:rPr>
        <w:t>截</w:t>
      </w:r>
      <w:r>
        <w:rPr>
          <w:rFonts w:hint="eastAsia" w:ascii="仿宋_GB2312" w:hAnsi="仿宋_GB2312" w:eastAsia="仿宋_GB2312" w:cs="仿宋_GB2312"/>
          <w:sz w:val="32"/>
          <w:szCs w:val="32"/>
          <w:lang w:val="en-US" w:eastAsia="zh-CN"/>
        </w:rPr>
        <w:t>至</w:t>
      </w:r>
      <w:r>
        <w:rPr>
          <w:rFonts w:hint="eastAsia" w:ascii="仿宋_GB2312" w:hAnsi="仿宋_GB2312" w:eastAsia="仿宋_GB2312" w:cs="仿宋_GB2312"/>
          <w:sz w:val="32"/>
          <w:szCs w:val="32"/>
        </w:rPr>
        <w:t>2021年12月31日实际支出23955078.21元，资金开支范围包括：</w:t>
      </w:r>
    </w:p>
    <w:p>
      <w:pPr>
        <w:adjustRightInd w:val="0"/>
        <w:snapToGrid w:val="0"/>
        <w:spacing w:line="600" w:lineRule="exact"/>
        <w:ind w:firstLine="720"/>
        <w:rPr>
          <w:rFonts w:ascii="仿宋_GB2312" w:hAnsi="仿宋_GB2312" w:eastAsia="仿宋_GB2312" w:cs="仿宋_GB2312"/>
          <w:sz w:val="32"/>
          <w:szCs w:val="32"/>
        </w:rPr>
      </w:pPr>
      <w:r>
        <w:rPr>
          <w:rFonts w:hint="eastAsia" w:ascii="仿宋_GB2312" w:hAnsi="仿宋_GB2312" w:eastAsia="仿宋_GB2312" w:cs="仿宋_GB2312"/>
          <w:sz w:val="32"/>
          <w:szCs w:val="32"/>
        </w:rPr>
        <w:t>1.工资福利支出11169014.21元。其中：基本工资3706714.00元；津贴补贴989176.00元；绩效工资2481455元；养老保险缴费1043544.00元；职业年金缴费138788.21元；医疗保险缴费613912.00元；其他社会保障缴费181782.00元；住房公积金782643.00元；其他工资福利支出1231000.00元。</w:t>
      </w:r>
    </w:p>
    <w:p>
      <w:pPr>
        <w:adjustRightInd w:val="0"/>
        <w:snapToGrid w:val="0"/>
        <w:spacing w:line="600" w:lineRule="exact"/>
        <w:ind w:firstLine="720"/>
        <w:rPr>
          <w:rFonts w:ascii="仿宋_GB2312" w:hAnsi="仿宋_GB2312" w:eastAsia="仿宋_GB2312" w:cs="仿宋_GB2312"/>
          <w:sz w:val="32"/>
          <w:szCs w:val="32"/>
        </w:rPr>
      </w:pPr>
      <w:r>
        <w:rPr>
          <w:rFonts w:hint="eastAsia" w:ascii="仿宋_GB2312" w:hAnsi="仿宋_GB2312" w:eastAsia="仿宋_GB2312" w:cs="仿宋_GB2312"/>
          <w:sz w:val="32"/>
          <w:szCs w:val="32"/>
        </w:rPr>
        <w:t>3.商品和服务支出992052.00元。其中：公务接待费7000.00元；工会经费42956.00元；福利费53687.00元。</w:t>
      </w:r>
    </w:p>
    <w:p>
      <w:pPr>
        <w:adjustRightInd w:val="0"/>
        <w:snapToGrid w:val="0"/>
        <w:spacing w:line="560" w:lineRule="exact"/>
        <w:ind w:firstLine="720"/>
        <w:rPr>
          <w:rFonts w:ascii="仿宋_GB2312" w:hAnsi="仿宋_GB2312" w:eastAsia="仿宋_GB2312" w:cs="仿宋_GB2312"/>
          <w:sz w:val="32"/>
          <w:szCs w:val="32"/>
        </w:rPr>
      </w:pPr>
      <w:r>
        <w:rPr>
          <w:rFonts w:hint="eastAsia" w:ascii="仿宋_GB2312" w:hAnsi="仿宋_GB2312" w:eastAsia="仿宋_GB2312" w:cs="仿宋_GB2312"/>
          <w:sz w:val="32"/>
          <w:szCs w:val="32"/>
        </w:rPr>
        <w:t>4.对个人和家庭的补助支出994012.00元。其中：生活补助139952.00元；助学金118250.00元。</w:t>
      </w:r>
    </w:p>
    <w:p>
      <w:pPr>
        <w:adjustRightInd w:val="0"/>
        <w:snapToGrid w:val="0"/>
        <w:spacing w:line="560" w:lineRule="exact"/>
        <w:ind w:firstLine="720"/>
        <w:rPr>
          <w:rFonts w:ascii="仿宋_GB2312" w:hAnsi="仿宋_GB2312" w:eastAsia="仿宋_GB2312" w:cs="仿宋_GB2312"/>
          <w:sz w:val="32"/>
          <w:szCs w:val="32"/>
        </w:rPr>
      </w:pPr>
      <w:r>
        <w:rPr>
          <w:rFonts w:hint="eastAsia" w:ascii="仿宋_GB2312" w:hAnsi="仿宋_GB2312" w:eastAsia="仿宋_GB2312" w:cs="仿宋_GB2312"/>
          <w:sz w:val="32"/>
          <w:szCs w:val="32"/>
        </w:rPr>
        <w:t>5.资本性支出10800000.00元</w:t>
      </w:r>
      <w:r>
        <w:t>，</w:t>
      </w:r>
      <w:r>
        <w:rPr>
          <w:rFonts w:hint="eastAsia" w:ascii="仿宋_GB2312" w:hAnsi="仿宋_GB2312" w:eastAsia="仿宋_GB2312" w:cs="仿宋_GB2312"/>
          <w:sz w:val="32"/>
          <w:szCs w:val="32"/>
        </w:rPr>
        <w:t>主要用于校园迁建项目建设。支付进度为100%，支付依据合法合规，资金支付与年初预算相符。</w:t>
      </w:r>
    </w:p>
    <w:p>
      <w:pPr>
        <w:adjustRightInd w:val="0"/>
        <w:snapToGrid w:val="0"/>
        <w:spacing w:line="600" w:lineRule="exact"/>
        <w:ind w:firstLine="720"/>
        <w:rPr>
          <w:rFonts w:ascii="楷体" w:hAnsi="楷体" w:eastAsia="楷体" w:cs="楷体"/>
          <w:b/>
          <w:sz w:val="32"/>
          <w:szCs w:val="32"/>
          <w:lang w:val="zh-CN"/>
        </w:rPr>
      </w:pPr>
      <w:r>
        <w:rPr>
          <w:rFonts w:hint="eastAsia" w:ascii="楷体" w:hAnsi="楷体" w:eastAsia="楷体" w:cs="楷体"/>
          <w:b/>
          <w:sz w:val="32"/>
          <w:szCs w:val="32"/>
          <w:lang w:val="zh-CN"/>
        </w:rPr>
        <w:t>（二）组织实施情况</w:t>
      </w:r>
    </w:p>
    <w:p>
      <w:pPr>
        <w:adjustRightInd w:val="0"/>
        <w:snapToGrid w:val="0"/>
        <w:spacing w:line="560" w:lineRule="exact"/>
        <w:ind w:left="210" w:leftChars="100"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1.</w:t>
      </w:r>
      <w:r>
        <w:rPr>
          <w:rFonts w:hint="eastAsia" w:ascii="仿宋_GB2312" w:hAnsi="仿宋_GB2312" w:eastAsia="仿宋_GB2312" w:cs="仿宋_GB2312"/>
          <w:sz w:val="32"/>
          <w:szCs w:val="32"/>
        </w:rPr>
        <w:t>内设机构有办公室、教务处、教科室、体卫艺处、少工委、信息中心、总务处、财务室、安保处。</w:t>
      </w:r>
    </w:p>
    <w:p>
      <w:pPr>
        <w:adjustRightInd w:val="0"/>
        <w:snapToGrid w:val="0"/>
        <w:spacing w:line="560" w:lineRule="exact"/>
        <w:ind w:left="210" w:leftChars="100"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2.单位建立了内部控制制度，成立了财务内审领导小组。</w:t>
      </w:r>
    </w:p>
    <w:p>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严格执行事业单位会计制度。一是严格按预算政策、口径编制部门预算；二是及时公示县财政局最终批复的预算数，并严格按预算额度、进度提出执行申请，无超预算支出；三是严格执行三公经费的管理规定，公务接待开支下降。</w:t>
      </w:r>
    </w:p>
    <w:p>
      <w:pPr>
        <w:adjustRightInd w:val="0"/>
        <w:snapToGrid w:val="0"/>
        <w:spacing w:line="600" w:lineRule="exact"/>
        <w:ind w:firstLine="720"/>
        <w:outlineLvl w:val="1"/>
        <w:rPr>
          <w:rFonts w:ascii="黑体" w:hAnsi="黑体" w:eastAsia="黑体" w:cs="黑体"/>
          <w:b/>
          <w:sz w:val="32"/>
          <w:szCs w:val="32"/>
          <w:lang w:val="zh-CN"/>
        </w:rPr>
      </w:pPr>
      <w:bookmarkStart w:id="77" w:name="_Toc675"/>
      <w:r>
        <w:rPr>
          <w:rFonts w:hint="eastAsia" w:ascii="黑体" w:hAnsi="黑体" w:eastAsia="黑体" w:cs="黑体"/>
          <w:b/>
          <w:sz w:val="32"/>
          <w:szCs w:val="32"/>
        </w:rPr>
        <w:t>三、目标完成情况</w:t>
      </w:r>
      <w:bookmarkEnd w:id="77"/>
      <w:r>
        <w:rPr>
          <w:rFonts w:hint="eastAsia" w:ascii="黑体" w:hAnsi="黑体" w:eastAsia="黑体" w:cs="黑体"/>
          <w:b/>
          <w:sz w:val="32"/>
          <w:szCs w:val="32"/>
          <w:lang w:val="zh-CN"/>
        </w:rPr>
        <w:tab/>
      </w:r>
    </w:p>
    <w:p>
      <w:pPr>
        <w:adjustRightInd w:val="0"/>
        <w:snapToGrid w:val="0"/>
        <w:spacing w:line="560" w:lineRule="exact"/>
        <w:ind w:left="210" w:leftChars="100" w:firstLine="480" w:firstLineChars="15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1.完成精准扶贫工作任务。第一书记驻村</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二是组织</w:t>
      </w:r>
      <w:r>
        <w:rPr>
          <w:rFonts w:hint="eastAsia" w:ascii="仿宋_GB2312" w:hAnsi="仿宋_GB2312" w:eastAsia="仿宋_GB2312" w:cs="仿宋_GB2312"/>
          <w:sz w:val="32"/>
          <w:szCs w:val="32"/>
        </w:rPr>
        <w:t>全校</w:t>
      </w:r>
      <w:r>
        <w:rPr>
          <w:rFonts w:hint="eastAsia" w:ascii="仿宋_GB2312" w:hAnsi="仿宋_GB2312" w:eastAsia="仿宋_GB2312" w:cs="仿宋_GB2312"/>
          <w:sz w:val="32"/>
          <w:szCs w:val="32"/>
          <w:lang w:val="zh-CN"/>
        </w:rPr>
        <w:t>教职工结对帮扶。</w:t>
      </w:r>
    </w:p>
    <w:p>
      <w:pPr>
        <w:adjustRightInd w:val="0"/>
        <w:snapToGrid w:val="0"/>
        <w:spacing w:line="560" w:lineRule="exact"/>
        <w:ind w:left="210" w:leftChars="100" w:firstLine="480" w:firstLineChars="15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2.巩固义务教育均衡发展。</w:t>
      </w:r>
    </w:p>
    <w:p>
      <w:pPr>
        <w:adjustRightInd w:val="0"/>
        <w:snapToGrid w:val="0"/>
        <w:spacing w:line="560" w:lineRule="exact"/>
        <w:ind w:left="210" w:leftChars="100" w:firstLine="480" w:firstLineChars="15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3.精心组织学生学业水平测试。</w:t>
      </w:r>
      <w:r>
        <w:rPr>
          <w:rFonts w:hint="eastAsia" w:ascii="仿宋_GB2312" w:hAnsi="仿宋_GB2312" w:eastAsia="仿宋_GB2312" w:cs="仿宋_GB2312"/>
          <w:sz w:val="32"/>
          <w:szCs w:val="32"/>
        </w:rPr>
        <w:t>264</w:t>
      </w:r>
      <w:r>
        <w:rPr>
          <w:rFonts w:hint="eastAsia" w:ascii="仿宋_GB2312" w:hAnsi="仿宋_GB2312" w:eastAsia="仿宋_GB2312" w:cs="仿宋_GB2312"/>
          <w:sz w:val="32"/>
          <w:szCs w:val="32"/>
          <w:lang w:val="zh-CN"/>
        </w:rPr>
        <w:t>名学生参加学业水平测试，参加率为100%，</w:t>
      </w:r>
      <w:r>
        <w:rPr>
          <w:rFonts w:hint="eastAsia" w:ascii="仿宋_GB2312" w:hAnsi="仿宋_GB2312" w:eastAsia="仿宋_GB2312" w:cs="仿宋_GB2312"/>
          <w:sz w:val="32"/>
          <w:szCs w:val="32"/>
          <w:u w:val="none" w:color="46CD7E"/>
          <w:shd w:val="clear" w:fill="auto"/>
          <w:lang w:val="zh-CN"/>
        </w:rPr>
        <w:t>优生率为</w:t>
      </w:r>
      <w:r>
        <w:rPr>
          <w:rFonts w:hint="eastAsia" w:ascii="仿宋_GB2312" w:hAnsi="仿宋_GB2312" w:eastAsia="仿宋_GB2312" w:cs="仿宋_GB2312"/>
          <w:sz w:val="32"/>
          <w:szCs w:val="32"/>
        </w:rPr>
        <w:t>20</w:t>
      </w:r>
      <w:r>
        <w:rPr>
          <w:rFonts w:hint="eastAsia" w:ascii="仿宋_GB2312" w:hAnsi="仿宋_GB2312" w:eastAsia="仿宋_GB2312" w:cs="仿宋_GB2312"/>
          <w:sz w:val="32"/>
          <w:szCs w:val="32"/>
          <w:lang w:val="zh-CN"/>
        </w:rPr>
        <w:t>%，合格率为100%。</w:t>
      </w:r>
    </w:p>
    <w:p>
      <w:pPr>
        <w:adjustRightInd w:val="0"/>
        <w:snapToGrid w:val="0"/>
        <w:spacing w:line="560" w:lineRule="exact"/>
        <w:ind w:left="210" w:leftChars="100" w:firstLine="480" w:firstLineChars="15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4.</w:t>
      </w:r>
      <w:r>
        <w:rPr>
          <w:rFonts w:hint="eastAsia" w:ascii="仿宋_GB2312" w:hAnsi="仿宋_GB2312" w:eastAsia="仿宋_GB2312" w:cs="仿宋_GB2312"/>
          <w:sz w:val="32"/>
          <w:szCs w:val="32"/>
          <w:u w:val="none" w:color="46CD7E"/>
          <w:shd w:val="clear" w:fill="auto"/>
          <w:lang w:val="zh-CN"/>
        </w:rPr>
        <w:t>组织教师</w:t>
      </w:r>
      <w:r>
        <w:rPr>
          <w:rFonts w:hint="eastAsia" w:ascii="仿宋_GB2312" w:hAnsi="仿宋_GB2312" w:eastAsia="仿宋_GB2312" w:cs="仿宋_GB2312"/>
          <w:sz w:val="32"/>
          <w:szCs w:val="32"/>
          <w:lang w:val="zh-CN"/>
        </w:rPr>
        <w:t>参加各级各类教师培训活动。组织全体教师全员参加并完成了巴中市远程非学历培训；组织教师参加了县上组织的各类培训。</w:t>
      </w:r>
    </w:p>
    <w:p>
      <w:pPr>
        <w:adjustRightInd w:val="0"/>
        <w:snapToGrid w:val="0"/>
        <w:spacing w:line="560"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5.工资福利保障人数：</w:t>
      </w:r>
      <w:r>
        <w:rPr>
          <w:rFonts w:hint="eastAsia" w:ascii="仿宋_GB2312" w:hAnsi="仿宋_GB2312" w:eastAsia="仿宋_GB2312" w:cs="仿宋_GB2312"/>
          <w:sz w:val="32"/>
          <w:szCs w:val="32"/>
        </w:rPr>
        <w:t>106</w:t>
      </w:r>
      <w:r>
        <w:rPr>
          <w:rFonts w:hint="eastAsia" w:ascii="仿宋_GB2312" w:hAnsi="仿宋_GB2312" w:eastAsia="仿宋_GB2312" w:cs="仿宋_GB2312"/>
          <w:sz w:val="32"/>
          <w:szCs w:val="32"/>
          <w:lang w:val="zh-CN"/>
        </w:rPr>
        <w:t>人；工资福利保障完成率100%；工资福利100%按时发放。</w:t>
      </w:r>
    </w:p>
    <w:p>
      <w:pPr>
        <w:adjustRightInd w:val="0"/>
        <w:snapToGrid w:val="0"/>
        <w:spacing w:line="600" w:lineRule="exact"/>
        <w:ind w:firstLine="720"/>
        <w:outlineLvl w:val="1"/>
        <w:rPr>
          <w:rFonts w:ascii="黑体" w:hAnsi="黑体" w:eastAsia="黑体" w:cs="黑体"/>
          <w:b/>
          <w:sz w:val="32"/>
          <w:szCs w:val="32"/>
        </w:rPr>
      </w:pPr>
      <w:bookmarkStart w:id="78" w:name="_Toc18337"/>
      <w:r>
        <w:rPr>
          <w:rFonts w:hint="eastAsia" w:ascii="黑体" w:hAnsi="黑体" w:eastAsia="黑体" w:cs="黑体"/>
          <w:b/>
          <w:sz w:val="32"/>
          <w:szCs w:val="32"/>
        </w:rPr>
        <w:t>四、部门绩效评价情况</w:t>
      </w:r>
      <w:bookmarkEnd w:id="78"/>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根据县教科体局年初下达的目标任务的完成情况，我校2021年综合目标考核为二等奖。根据《部门整体支出绩效评价指标体系》评分，部门整体支出绩效为“优”。 </w:t>
      </w:r>
    </w:p>
    <w:p>
      <w:pPr>
        <w:adjustRightInd w:val="0"/>
        <w:snapToGrid w:val="0"/>
        <w:spacing w:line="600" w:lineRule="exact"/>
        <w:ind w:firstLine="720"/>
        <w:outlineLvl w:val="1"/>
        <w:rPr>
          <w:rFonts w:ascii="黑体" w:hAnsi="黑体" w:eastAsia="黑体" w:cs="黑体"/>
          <w:b/>
          <w:sz w:val="32"/>
          <w:szCs w:val="32"/>
        </w:rPr>
      </w:pPr>
      <w:bookmarkStart w:id="79" w:name="_Toc13644"/>
      <w:r>
        <w:rPr>
          <w:rFonts w:hint="eastAsia" w:ascii="黑体" w:hAnsi="黑体" w:eastAsia="黑体" w:cs="黑体"/>
          <w:b/>
          <w:sz w:val="32"/>
          <w:szCs w:val="32"/>
        </w:rPr>
        <w:t>五、问题及建议</w:t>
      </w:r>
      <w:bookmarkEnd w:id="79"/>
    </w:p>
    <w:p>
      <w:pPr>
        <w:widowControl/>
        <w:spacing w:line="56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color w:val="000000"/>
          <w:sz w:val="32"/>
          <w:szCs w:val="32"/>
        </w:rPr>
        <w:t>因下乡扶贫次数较多、项目建设投入</w:t>
      </w:r>
      <w:r>
        <w:rPr>
          <w:rFonts w:hint="eastAsia" w:ascii="仿宋_GB2312" w:hAnsi="仿宋_GB2312" w:eastAsia="仿宋_GB2312" w:cs="仿宋_GB2312"/>
          <w:color w:val="000000"/>
          <w:sz w:val="32"/>
          <w:szCs w:val="32"/>
          <w:u w:val="none" w:color="46CD7E"/>
          <w:shd w:val="clear" w:fill="auto"/>
          <w:lang w:eastAsia="zh-CN"/>
        </w:rPr>
        <w:t>较大</w:t>
      </w:r>
      <w:r>
        <w:rPr>
          <w:rFonts w:hint="eastAsia" w:ascii="仿宋_GB2312" w:hAnsi="仿宋_GB2312" w:eastAsia="仿宋_GB2312" w:cs="仿宋_GB2312"/>
          <w:color w:val="000000"/>
          <w:sz w:val="32"/>
          <w:szCs w:val="32"/>
        </w:rPr>
        <w:t>，差旅经费、办公经费严重不足。</w:t>
      </w:r>
    </w:p>
    <w:p>
      <w:pPr>
        <w:widowControl/>
        <w:spacing w:line="560" w:lineRule="exact"/>
        <w:ind w:firstLine="640" w:firstLineChars="20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进一步健全和完善财务管理制度及内部控制制度，创新管理手段，用新思路、新方法，改进完善财务管理办法，按照财政支出绩效管理的要求，应建立科学的财政资金效益考评制度体系，不断提高财政资金使用管理水平和效率。</w:t>
      </w:r>
    </w:p>
    <w:p>
      <w:pPr>
        <w:adjustRightInd w:val="0"/>
        <w:snapToGrid w:val="0"/>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附件：通江县涪阳镇中心小学2021年绩效目标自评表</w:t>
      </w:r>
    </w:p>
    <w:p>
      <w:pPr>
        <w:snapToGrid w:val="0"/>
        <w:spacing w:line="560" w:lineRule="exact"/>
        <w:ind w:firstLine="5600" w:firstLineChars="1750"/>
        <w:rPr>
          <w:rFonts w:ascii="仿宋_GB2312" w:hAnsi="仿宋_GB2312" w:eastAsia="仿宋_GB2312" w:cs="仿宋_GB2312"/>
          <w:color w:val="000000"/>
          <w:sz w:val="32"/>
          <w:szCs w:val="32"/>
          <w:lang w:bidi="zh-CN"/>
        </w:rPr>
      </w:pPr>
    </w:p>
    <w:p>
      <w:pPr>
        <w:tabs>
          <w:tab w:val="left" w:pos="1635"/>
          <w:tab w:val="center" w:pos="4153"/>
        </w:tabs>
        <w:spacing w:line="660" w:lineRule="exact"/>
        <w:jc w:val="left"/>
        <w:rPr>
          <w:rFonts w:ascii="方正小标宋简体" w:hAnsi="方正小标宋简体" w:eastAsia="方正小标宋简体" w:cs="方正小标宋简体"/>
          <w:b/>
          <w:color w:val="000000"/>
          <w:kern w:val="0"/>
          <w:sz w:val="44"/>
          <w:szCs w:val="44"/>
        </w:rPr>
      </w:pPr>
      <w:r>
        <w:rPr>
          <w:rFonts w:hint="eastAsia" w:ascii="黑体" w:hAnsi="黑体" w:eastAsia="黑体" w:cs="黑体"/>
          <w:sz w:val="32"/>
          <w:szCs w:val="32"/>
        </w:rPr>
        <w:drawing>
          <wp:anchor distT="0" distB="0" distL="114300" distR="114300" simplePos="0" relativeHeight="251659264" behindDoc="0" locked="0" layoutInCell="1" allowOverlap="1">
            <wp:simplePos x="0" y="0"/>
            <wp:positionH relativeFrom="column">
              <wp:posOffset>-66675</wp:posOffset>
            </wp:positionH>
            <wp:positionV relativeFrom="paragraph">
              <wp:posOffset>155575</wp:posOffset>
            </wp:positionV>
            <wp:extent cx="5264785" cy="7399020"/>
            <wp:effectExtent l="0" t="0" r="12065" b="11430"/>
            <wp:wrapNone/>
            <wp:docPr id="655" name="_x0000_s1939" descr="整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_x0000_s1939" descr="整体"/>
                    <pic:cNvPicPr>
                      <a:picLocks noChangeAspect="1"/>
                    </pic:cNvPicPr>
                  </pic:nvPicPr>
                  <pic:blipFill>
                    <a:blip r:embed="rId13"/>
                    <a:stretch>
                      <a:fillRect/>
                    </a:stretch>
                  </pic:blipFill>
                  <pic:spPr>
                    <a:xfrm>
                      <a:off x="0" y="0"/>
                      <a:ext cx="5264785" cy="7399020"/>
                    </a:xfrm>
                    <a:prstGeom prst="rect">
                      <a:avLst/>
                    </a:prstGeom>
                  </pic:spPr>
                </pic:pic>
              </a:graphicData>
            </a:graphic>
          </wp:anchor>
        </w:drawing>
      </w:r>
    </w:p>
    <w:p>
      <w:pPr>
        <w:pStyle w:val="3"/>
        <w:spacing w:before="93"/>
        <w:rPr>
          <w:rFonts w:ascii="黑体" w:hAnsi="黑体" w:eastAsia="黑体" w:cs="黑体"/>
          <w:sz w:val="32"/>
          <w:szCs w:val="32"/>
        </w:rPr>
      </w:pPr>
    </w:p>
    <w:p>
      <w:pPr>
        <w:pStyle w:val="3"/>
        <w:spacing w:before="93"/>
        <w:rPr>
          <w:rFonts w:ascii="黑体" w:hAnsi="黑体" w:eastAsia="黑体" w:cs="黑体"/>
          <w:sz w:val="32"/>
          <w:szCs w:val="32"/>
        </w:rPr>
      </w:pPr>
    </w:p>
    <w:p>
      <w:pPr>
        <w:spacing w:line="600" w:lineRule="exact"/>
        <w:jc w:val="center"/>
        <w:rPr>
          <w:rFonts w:ascii="方正小标宋简体" w:hAnsi="方正小标宋简体" w:eastAsia="方正小标宋简体" w:cs="方正小标宋简体"/>
          <w:b/>
          <w:color w:val="000000"/>
          <w:kern w:val="0"/>
          <w:sz w:val="44"/>
          <w:szCs w:val="44"/>
        </w:rPr>
      </w:pPr>
    </w:p>
    <w:p>
      <w:pPr>
        <w:pStyle w:val="8"/>
        <w:ind w:left="420"/>
      </w:pPr>
      <w:bookmarkStart w:id="80" w:name="_Toc15396618"/>
    </w:p>
    <w:p>
      <w:pPr>
        <w:pStyle w:val="8"/>
        <w:ind w:left="420"/>
      </w:pPr>
    </w:p>
    <w:p>
      <w:pPr>
        <w:pStyle w:val="8"/>
        <w:ind w:left="420"/>
      </w:pPr>
    </w:p>
    <w:p>
      <w:pPr>
        <w:spacing w:line="660" w:lineRule="exact"/>
        <w:jc w:val="center"/>
        <w:rPr>
          <w:rFonts w:ascii="方正小标宋简体" w:hAnsi="方正小标宋简体" w:eastAsia="方正小标宋简体" w:cs="方正小标宋简体"/>
          <w:b/>
          <w:color w:val="000000"/>
          <w:kern w:val="0"/>
          <w:sz w:val="44"/>
          <w:szCs w:val="44"/>
        </w:rPr>
      </w:pPr>
    </w:p>
    <w:p>
      <w:pPr>
        <w:spacing w:line="660" w:lineRule="exact"/>
        <w:jc w:val="center"/>
        <w:rPr>
          <w:rFonts w:ascii="方正小标宋简体" w:hAnsi="方正小标宋简体" w:eastAsia="方正小标宋简体" w:cs="方正小标宋简体"/>
          <w:b/>
          <w:color w:val="000000"/>
          <w:kern w:val="0"/>
          <w:sz w:val="44"/>
          <w:szCs w:val="44"/>
        </w:rPr>
      </w:pPr>
    </w:p>
    <w:p>
      <w:pPr>
        <w:spacing w:line="660" w:lineRule="exact"/>
        <w:jc w:val="center"/>
        <w:rPr>
          <w:rFonts w:ascii="方正小标宋简体" w:hAnsi="方正小标宋简体" w:eastAsia="方正小标宋简体" w:cs="方正小标宋简体"/>
          <w:b/>
          <w:color w:val="000000"/>
          <w:kern w:val="0"/>
          <w:sz w:val="44"/>
          <w:szCs w:val="44"/>
        </w:rPr>
      </w:pPr>
    </w:p>
    <w:p>
      <w:pPr>
        <w:spacing w:line="660" w:lineRule="exact"/>
        <w:jc w:val="center"/>
        <w:rPr>
          <w:rFonts w:ascii="方正小标宋简体" w:hAnsi="方正小标宋简体" w:eastAsia="方正小标宋简体" w:cs="方正小标宋简体"/>
          <w:b/>
          <w:color w:val="000000"/>
          <w:kern w:val="0"/>
          <w:sz w:val="44"/>
          <w:szCs w:val="44"/>
        </w:rPr>
      </w:pPr>
    </w:p>
    <w:p>
      <w:pPr>
        <w:spacing w:line="660" w:lineRule="exact"/>
        <w:jc w:val="center"/>
        <w:rPr>
          <w:rFonts w:ascii="方正小标宋简体" w:hAnsi="方正小标宋简体" w:eastAsia="方正小标宋简体" w:cs="方正小标宋简体"/>
          <w:b/>
          <w:color w:val="000000"/>
          <w:kern w:val="0"/>
          <w:sz w:val="44"/>
          <w:szCs w:val="44"/>
        </w:rPr>
      </w:pPr>
    </w:p>
    <w:p>
      <w:pPr>
        <w:spacing w:line="660" w:lineRule="exact"/>
        <w:jc w:val="center"/>
        <w:rPr>
          <w:rFonts w:ascii="方正小标宋简体" w:hAnsi="方正小标宋简体" w:eastAsia="方正小标宋简体" w:cs="方正小标宋简体"/>
          <w:b/>
          <w:color w:val="000000"/>
          <w:kern w:val="0"/>
          <w:sz w:val="44"/>
          <w:szCs w:val="44"/>
        </w:rPr>
      </w:pPr>
    </w:p>
    <w:p>
      <w:pPr>
        <w:spacing w:line="660" w:lineRule="exact"/>
        <w:jc w:val="center"/>
        <w:rPr>
          <w:rFonts w:ascii="方正小标宋简体" w:hAnsi="方正小标宋简体" w:eastAsia="方正小标宋简体" w:cs="方正小标宋简体"/>
          <w:b/>
          <w:color w:val="000000"/>
          <w:kern w:val="0"/>
          <w:sz w:val="44"/>
          <w:szCs w:val="44"/>
        </w:rPr>
      </w:pPr>
    </w:p>
    <w:p>
      <w:pPr>
        <w:spacing w:line="660" w:lineRule="exact"/>
        <w:jc w:val="center"/>
        <w:rPr>
          <w:rFonts w:ascii="方正小标宋简体" w:hAnsi="方正小标宋简体" w:eastAsia="方正小标宋简体" w:cs="方正小标宋简体"/>
          <w:b/>
          <w:color w:val="000000"/>
          <w:kern w:val="0"/>
          <w:sz w:val="44"/>
          <w:szCs w:val="44"/>
        </w:rPr>
      </w:pPr>
    </w:p>
    <w:p>
      <w:pPr>
        <w:spacing w:line="660" w:lineRule="exact"/>
        <w:jc w:val="center"/>
        <w:rPr>
          <w:rFonts w:ascii="方正小标宋简体" w:hAnsi="方正小标宋简体" w:eastAsia="方正小标宋简体" w:cs="方正小标宋简体"/>
          <w:b/>
          <w:color w:val="000000"/>
          <w:kern w:val="0"/>
          <w:sz w:val="44"/>
          <w:szCs w:val="44"/>
        </w:rPr>
      </w:pPr>
      <w:r>
        <w:rPr>
          <w:rFonts w:hint="eastAsia" w:ascii="方正小标宋简体" w:hAnsi="方正小标宋简体" w:eastAsia="方正小标宋简体" w:cs="方正小标宋简体"/>
          <w:b/>
          <w:color w:val="000000"/>
          <w:kern w:val="0"/>
          <w:sz w:val="44"/>
          <w:szCs w:val="44"/>
        </w:rPr>
        <w:drawing>
          <wp:anchor distT="0" distB="0" distL="114300" distR="114300" simplePos="0" relativeHeight="251660288" behindDoc="0" locked="0" layoutInCell="1" allowOverlap="1">
            <wp:simplePos x="0" y="0"/>
            <wp:positionH relativeFrom="column">
              <wp:posOffset>76200</wp:posOffset>
            </wp:positionH>
            <wp:positionV relativeFrom="paragraph">
              <wp:posOffset>68580</wp:posOffset>
            </wp:positionV>
            <wp:extent cx="5271770" cy="7547610"/>
            <wp:effectExtent l="0" t="0" r="5080" b="15240"/>
            <wp:wrapNone/>
            <wp:docPr id="656" name="_x0000_s1940" descr="迁建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_x0000_s1940" descr="迁建项目"/>
                    <pic:cNvPicPr>
                      <a:picLocks noChangeAspect="1"/>
                    </pic:cNvPicPr>
                  </pic:nvPicPr>
                  <pic:blipFill>
                    <a:blip r:embed="rId14"/>
                    <a:stretch>
                      <a:fillRect/>
                    </a:stretch>
                  </pic:blipFill>
                  <pic:spPr>
                    <a:xfrm>
                      <a:off x="0" y="0"/>
                      <a:ext cx="5271770" cy="7547610"/>
                    </a:xfrm>
                    <a:prstGeom prst="rect">
                      <a:avLst/>
                    </a:prstGeom>
                  </pic:spPr>
                </pic:pic>
              </a:graphicData>
            </a:graphic>
          </wp:anchor>
        </w:drawing>
      </w:r>
    </w:p>
    <w:p>
      <w:pPr>
        <w:spacing w:line="660" w:lineRule="exact"/>
        <w:jc w:val="center"/>
        <w:rPr>
          <w:rFonts w:ascii="方正小标宋简体" w:hAnsi="方正小标宋简体" w:eastAsia="方正小标宋简体" w:cs="方正小标宋简体"/>
          <w:b/>
          <w:color w:val="000000"/>
          <w:kern w:val="0"/>
          <w:sz w:val="44"/>
          <w:szCs w:val="44"/>
        </w:rPr>
      </w:pPr>
    </w:p>
    <w:p>
      <w:pPr>
        <w:spacing w:line="660" w:lineRule="exact"/>
        <w:jc w:val="center"/>
        <w:rPr>
          <w:rFonts w:ascii="方正小标宋简体" w:hAnsi="方正小标宋简体" w:eastAsia="方正小标宋简体" w:cs="方正小标宋简体"/>
          <w:b/>
          <w:color w:val="000000"/>
          <w:kern w:val="0"/>
          <w:sz w:val="44"/>
          <w:szCs w:val="44"/>
        </w:rPr>
      </w:pPr>
    </w:p>
    <w:p>
      <w:pPr>
        <w:pStyle w:val="8"/>
        <w:ind w:left="420"/>
        <w:rPr>
          <w:rFonts w:ascii="仿宋_GB2312" w:hAnsi="仿宋_GB2312" w:eastAsia="仿宋_GB2312" w:cs="仿宋_GB2312"/>
          <w:sz w:val="32"/>
          <w:szCs w:val="32"/>
        </w:rPr>
      </w:pPr>
    </w:p>
    <w:p>
      <w:pPr>
        <w:spacing w:line="660" w:lineRule="exact"/>
        <w:jc w:val="center"/>
        <w:rPr>
          <w:rFonts w:ascii="方正小标宋简体" w:hAnsi="方正小标宋简体" w:eastAsia="方正小标宋简体" w:cs="方正小标宋简体"/>
          <w:b/>
          <w:color w:val="000000"/>
          <w:kern w:val="0"/>
          <w:sz w:val="44"/>
          <w:szCs w:val="44"/>
        </w:rPr>
      </w:pPr>
    </w:p>
    <w:p>
      <w:pPr>
        <w:spacing w:line="660" w:lineRule="exact"/>
        <w:jc w:val="center"/>
        <w:rPr>
          <w:rFonts w:ascii="方正小标宋简体" w:hAnsi="方正小标宋简体" w:eastAsia="方正小标宋简体" w:cs="方正小标宋简体"/>
          <w:b/>
          <w:color w:val="000000"/>
          <w:kern w:val="0"/>
          <w:sz w:val="44"/>
          <w:szCs w:val="44"/>
        </w:rPr>
      </w:pPr>
    </w:p>
    <w:p>
      <w:pPr>
        <w:pStyle w:val="8"/>
        <w:ind w:left="420"/>
        <w:rPr>
          <w:rFonts w:ascii="仿宋_GB2312" w:hAnsi="仿宋_GB2312" w:eastAsia="仿宋_GB2312" w:cs="仿宋_GB2312"/>
          <w:sz w:val="32"/>
          <w:szCs w:val="32"/>
        </w:rPr>
      </w:pPr>
    </w:p>
    <w:p>
      <w:pPr>
        <w:spacing w:line="600" w:lineRule="exact"/>
        <w:jc w:val="center"/>
        <w:rPr>
          <w:rFonts w:ascii="黑体" w:hAnsi="黑体" w:eastAsia="黑体"/>
          <w:sz w:val="44"/>
          <w:szCs w:val="44"/>
        </w:rPr>
      </w:pPr>
    </w:p>
    <w:p>
      <w:pPr>
        <w:spacing w:line="600" w:lineRule="exact"/>
        <w:jc w:val="center"/>
        <w:rPr>
          <w:rFonts w:ascii="黑体" w:hAnsi="黑体" w:eastAsia="黑体"/>
          <w:sz w:val="44"/>
          <w:szCs w:val="44"/>
        </w:rPr>
      </w:pPr>
    </w:p>
    <w:p>
      <w:pPr>
        <w:spacing w:line="600" w:lineRule="exact"/>
        <w:jc w:val="center"/>
        <w:rPr>
          <w:rFonts w:ascii="黑体" w:hAnsi="黑体" w:eastAsia="黑体"/>
          <w:sz w:val="44"/>
          <w:szCs w:val="44"/>
        </w:rPr>
      </w:pPr>
    </w:p>
    <w:p>
      <w:pPr>
        <w:spacing w:line="600" w:lineRule="exact"/>
        <w:jc w:val="center"/>
        <w:rPr>
          <w:rFonts w:ascii="黑体" w:hAnsi="黑体" w:eastAsia="黑体"/>
          <w:sz w:val="44"/>
          <w:szCs w:val="44"/>
        </w:rPr>
      </w:pPr>
    </w:p>
    <w:p>
      <w:pPr>
        <w:spacing w:line="600" w:lineRule="exact"/>
        <w:jc w:val="center"/>
        <w:rPr>
          <w:rFonts w:ascii="黑体" w:hAnsi="黑体" w:eastAsia="黑体"/>
          <w:sz w:val="44"/>
          <w:szCs w:val="44"/>
        </w:rPr>
      </w:pPr>
    </w:p>
    <w:p>
      <w:pPr>
        <w:spacing w:line="600" w:lineRule="exact"/>
        <w:jc w:val="center"/>
        <w:rPr>
          <w:rFonts w:ascii="黑体" w:hAnsi="黑体" w:eastAsia="黑体"/>
          <w:sz w:val="44"/>
          <w:szCs w:val="44"/>
        </w:rPr>
      </w:pPr>
    </w:p>
    <w:p>
      <w:pPr>
        <w:spacing w:line="600" w:lineRule="exact"/>
        <w:jc w:val="center"/>
        <w:rPr>
          <w:rFonts w:ascii="黑体" w:hAnsi="黑体" w:eastAsia="黑体"/>
          <w:sz w:val="44"/>
          <w:szCs w:val="44"/>
        </w:rPr>
      </w:pPr>
    </w:p>
    <w:p>
      <w:pPr>
        <w:spacing w:line="600" w:lineRule="exact"/>
        <w:jc w:val="center"/>
        <w:rPr>
          <w:rFonts w:ascii="黑体" w:hAnsi="黑体" w:eastAsia="黑体"/>
          <w:sz w:val="44"/>
          <w:szCs w:val="44"/>
        </w:rPr>
      </w:pPr>
    </w:p>
    <w:p>
      <w:pPr>
        <w:spacing w:line="600" w:lineRule="exact"/>
        <w:jc w:val="center"/>
        <w:rPr>
          <w:rFonts w:ascii="黑体" w:hAnsi="黑体" w:eastAsia="黑体"/>
          <w:sz w:val="44"/>
          <w:szCs w:val="44"/>
        </w:rPr>
      </w:pPr>
    </w:p>
    <w:p>
      <w:pPr>
        <w:spacing w:line="600" w:lineRule="exact"/>
        <w:jc w:val="center"/>
        <w:rPr>
          <w:rFonts w:ascii="黑体" w:hAnsi="黑体" w:eastAsia="黑体"/>
          <w:sz w:val="44"/>
          <w:szCs w:val="44"/>
        </w:rPr>
      </w:pPr>
    </w:p>
    <w:p>
      <w:pPr>
        <w:spacing w:line="600" w:lineRule="exact"/>
        <w:jc w:val="center"/>
        <w:rPr>
          <w:rFonts w:ascii="黑体" w:hAnsi="黑体" w:eastAsia="黑体"/>
          <w:sz w:val="44"/>
          <w:szCs w:val="44"/>
        </w:rPr>
      </w:pPr>
    </w:p>
    <w:p>
      <w:pPr>
        <w:spacing w:line="600" w:lineRule="exact"/>
        <w:jc w:val="center"/>
        <w:rPr>
          <w:rFonts w:ascii="黑体" w:hAnsi="黑体" w:eastAsia="黑体"/>
          <w:sz w:val="44"/>
          <w:szCs w:val="44"/>
        </w:rPr>
      </w:pPr>
    </w:p>
    <w:p>
      <w:pPr>
        <w:spacing w:line="600" w:lineRule="exact"/>
        <w:jc w:val="center"/>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spacing w:line="600" w:lineRule="exact"/>
        <w:jc w:val="center"/>
        <w:rPr>
          <w:rFonts w:ascii="黑体" w:hAnsi="黑体" w:eastAsia="黑体"/>
          <w:sz w:val="44"/>
          <w:szCs w:val="44"/>
        </w:rPr>
      </w:pPr>
      <w:r>
        <w:rPr>
          <w:rFonts w:hint="eastAsia" w:ascii="黑体" w:hAnsi="黑体" w:eastAsia="黑体"/>
          <w:sz w:val="44"/>
          <w:szCs w:val="44"/>
        </w:rPr>
        <w:drawing>
          <wp:anchor distT="0" distB="0" distL="114300" distR="114300" simplePos="0" relativeHeight="251661312" behindDoc="0" locked="0" layoutInCell="1" allowOverlap="1">
            <wp:simplePos x="0" y="0"/>
            <wp:positionH relativeFrom="column">
              <wp:posOffset>-76200</wp:posOffset>
            </wp:positionH>
            <wp:positionV relativeFrom="paragraph">
              <wp:posOffset>95250</wp:posOffset>
            </wp:positionV>
            <wp:extent cx="5264785" cy="7446010"/>
            <wp:effectExtent l="0" t="0" r="12065" b="2540"/>
            <wp:wrapNone/>
            <wp:docPr id="657" name="_x0000_s1941" descr="扶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_x0000_s1941" descr="扶贫"/>
                    <pic:cNvPicPr>
                      <a:picLocks noChangeAspect="1"/>
                    </pic:cNvPicPr>
                  </pic:nvPicPr>
                  <pic:blipFill>
                    <a:blip r:embed="rId15"/>
                    <a:stretch>
                      <a:fillRect/>
                    </a:stretch>
                  </pic:blipFill>
                  <pic:spPr>
                    <a:xfrm>
                      <a:off x="0" y="0"/>
                      <a:ext cx="5264785" cy="7446010"/>
                    </a:xfrm>
                    <a:prstGeom prst="rect">
                      <a:avLst/>
                    </a:prstGeom>
                  </pic:spPr>
                </pic:pic>
              </a:graphicData>
            </a:graphic>
          </wp:anchor>
        </w:drawing>
      </w:r>
    </w:p>
    <w:p>
      <w:pPr>
        <w:spacing w:line="600" w:lineRule="exact"/>
        <w:jc w:val="center"/>
        <w:rPr>
          <w:rFonts w:ascii="黑体" w:hAnsi="黑体" w:eastAsia="黑体"/>
          <w:sz w:val="44"/>
          <w:szCs w:val="44"/>
        </w:rPr>
      </w:pPr>
    </w:p>
    <w:p>
      <w:pPr>
        <w:spacing w:line="600" w:lineRule="exact"/>
        <w:jc w:val="center"/>
        <w:rPr>
          <w:rFonts w:ascii="黑体" w:hAnsi="黑体" w:eastAsia="黑体"/>
          <w:sz w:val="44"/>
          <w:szCs w:val="44"/>
        </w:rPr>
      </w:pPr>
    </w:p>
    <w:p>
      <w:pPr>
        <w:spacing w:line="600" w:lineRule="exact"/>
        <w:jc w:val="center"/>
        <w:rPr>
          <w:rFonts w:ascii="黑体" w:hAnsi="黑体" w:eastAsia="黑体"/>
          <w:sz w:val="44"/>
          <w:szCs w:val="44"/>
        </w:rPr>
      </w:pPr>
    </w:p>
    <w:p>
      <w:pPr>
        <w:spacing w:line="600" w:lineRule="exact"/>
        <w:jc w:val="center"/>
        <w:rPr>
          <w:rFonts w:ascii="黑体" w:hAnsi="黑体" w:eastAsia="黑体"/>
          <w:sz w:val="44"/>
          <w:szCs w:val="44"/>
        </w:rPr>
      </w:pPr>
    </w:p>
    <w:p>
      <w:pPr>
        <w:spacing w:line="600" w:lineRule="exact"/>
        <w:jc w:val="center"/>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r>
        <w:rPr>
          <w:rFonts w:hint="eastAsia" w:ascii="黑体" w:hAnsi="黑体" w:eastAsia="黑体"/>
          <w:sz w:val="44"/>
          <w:szCs w:val="44"/>
        </w:rPr>
        <w:drawing>
          <wp:anchor distT="0" distB="0" distL="114300" distR="114300" simplePos="0" relativeHeight="251662336" behindDoc="0" locked="0" layoutInCell="1" allowOverlap="1">
            <wp:simplePos x="0" y="0"/>
            <wp:positionH relativeFrom="column">
              <wp:posOffset>104775</wp:posOffset>
            </wp:positionH>
            <wp:positionV relativeFrom="paragraph">
              <wp:posOffset>184785</wp:posOffset>
            </wp:positionV>
            <wp:extent cx="5257800" cy="7512685"/>
            <wp:effectExtent l="0" t="0" r="0" b="12065"/>
            <wp:wrapNone/>
            <wp:docPr id="658" name="_x0000_s1942" descr="营养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_x0000_s1942" descr="营养餐"/>
                    <pic:cNvPicPr>
                      <a:picLocks noChangeAspect="1"/>
                    </pic:cNvPicPr>
                  </pic:nvPicPr>
                  <pic:blipFill>
                    <a:blip r:embed="rId16"/>
                    <a:stretch>
                      <a:fillRect/>
                    </a:stretch>
                  </pic:blipFill>
                  <pic:spPr>
                    <a:xfrm>
                      <a:off x="0" y="0"/>
                      <a:ext cx="5257800" cy="7512685"/>
                    </a:xfrm>
                    <a:prstGeom prst="rect">
                      <a:avLst/>
                    </a:prstGeom>
                  </pic:spPr>
                </pic:pic>
              </a:graphicData>
            </a:graphic>
          </wp:anchor>
        </w:drawing>
      </w: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bookmarkStart w:id="109" w:name="_GoBack"/>
      <w:r>
        <w:rPr>
          <w:rFonts w:hint="eastAsia" w:ascii="黑体" w:hAnsi="黑体" w:eastAsia="黑体"/>
          <w:sz w:val="44"/>
          <w:szCs w:val="44"/>
        </w:rPr>
        <w:drawing>
          <wp:anchor distT="0" distB="0" distL="114300" distR="114300" simplePos="0" relativeHeight="251663360" behindDoc="0" locked="0" layoutInCell="1" allowOverlap="1">
            <wp:simplePos x="0" y="0"/>
            <wp:positionH relativeFrom="column">
              <wp:posOffset>57150</wp:posOffset>
            </wp:positionH>
            <wp:positionV relativeFrom="paragraph">
              <wp:posOffset>-15240</wp:posOffset>
            </wp:positionV>
            <wp:extent cx="5266055" cy="7482840"/>
            <wp:effectExtent l="0" t="0" r="10795" b="3810"/>
            <wp:wrapNone/>
            <wp:docPr id="659" name="_x0000_s1943" descr="作业本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_x0000_s1943" descr="作业本费"/>
                    <pic:cNvPicPr>
                      <a:picLocks noChangeAspect="1"/>
                    </pic:cNvPicPr>
                  </pic:nvPicPr>
                  <pic:blipFill>
                    <a:blip r:embed="rId17"/>
                    <a:stretch>
                      <a:fillRect/>
                    </a:stretch>
                  </pic:blipFill>
                  <pic:spPr>
                    <a:xfrm>
                      <a:off x="0" y="0"/>
                      <a:ext cx="5266055" cy="7482840"/>
                    </a:xfrm>
                    <a:prstGeom prst="rect">
                      <a:avLst/>
                    </a:prstGeom>
                  </pic:spPr>
                </pic:pic>
              </a:graphicData>
            </a:graphic>
          </wp:anchor>
        </w:drawing>
      </w:r>
      <w:bookmarkEnd w:id="109"/>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r>
        <w:rPr>
          <w:rFonts w:hint="eastAsia" w:ascii="黑体" w:hAnsi="黑体" w:eastAsia="黑体"/>
          <w:sz w:val="44"/>
          <w:szCs w:val="44"/>
        </w:rPr>
        <w:drawing>
          <wp:anchor distT="0" distB="0" distL="114300" distR="114300" simplePos="0" relativeHeight="251664384" behindDoc="0" locked="0" layoutInCell="1" allowOverlap="1">
            <wp:simplePos x="0" y="0"/>
            <wp:positionH relativeFrom="column">
              <wp:posOffset>123825</wp:posOffset>
            </wp:positionH>
            <wp:positionV relativeFrom="paragraph">
              <wp:posOffset>3810</wp:posOffset>
            </wp:positionV>
            <wp:extent cx="5261610" cy="7443470"/>
            <wp:effectExtent l="0" t="0" r="15240" b="5080"/>
            <wp:wrapNone/>
            <wp:docPr id="660" name="_x0000_s1944" descr="困难补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_x0000_s1944" descr="困难补助"/>
                    <pic:cNvPicPr>
                      <a:picLocks noChangeAspect="1"/>
                    </pic:cNvPicPr>
                  </pic:nvPicPr>
                  <pic:blipFill>
                    <a:blip r:embed="rId18"/>
                    <a:stretch>
                      <a:fillRect/>
                    </a:stretch>
                  </pic:blipFill>
                  <pic:spPr>
                    <a:xfrm>
                      <a:off x="0" y="0"/>
                      <a:ext cx="5261610" cy="7443470"/>
                    </a:xfrm>
                    <a:prstGeom prst="rect">
                      <a:avLst/>
                    </a:prstGeom>
                  </pic:spPr>
                </pic:pic>
              </a:graphicData>
            </a:graphic>
          </wp:anchor>
        </w:drawing>
      </w: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pStyle w:val="8"/>
        <w:ind w:left="420"/>
        <w:rPr>
          <w:rFonts w:ascii="黑体" w:hAnsi="黑体" w:eastAsia="黑体"/>
          <w:sz w:val="44"/>
          <w:szCs w:val="44"/>
        </w:rPr>
      </w:pPr>
    </w:p>
    <w:p>
      <w:pPr>
        <w:spacing w:line="600" w:lineRule="exact"/>
        <w:rPr>
          <w:rFonts w:ascii="黑体" w:hAnsi="黑体" w:eastAsia="黑体"/>
          <w:sz w:val="44"/>
          <w:szCs w:val="44"/>
        </w:rPr>
      </w:pPr>
    </w:p>
    <w:p>
      <w:pPr>
        <w:spacing w:line="600" w:lineRule="exact"/>
        <w:jc w:val="center"/>
        <w:outlineLvl w:val="0"/>
        <w:rPr>
          <w:rFonts w:ascii="仿宋" w:hAnsi="仿宋" w:eastAsia="仿宋"/>
        </w:rPr>
      </w:pPr>
      <w:bookmarkStart w:id="81" w:name="_Toc12683"/>
      <w:r>
        <w:rPr>
          <w:rFonts w:hint="eastAsia" w:ascii="黑体" w:hAnsi="黑体" w:eastAsia="黑体"/>
          <w:sz w:val="44"/>
          <w:szCs w:val="44"/>
        </w:rPr>
        <w:t>第</w:t>
      </w:r>
      <w:r>
        <w:rPr>
          <w:rStyle w:val="32"/>
          <w:rFonts w:hint="eastAsia" w:ascii="黑体" w:hAnsi="黑体" w:eastAsia="黑体"/>
          <w:b w:val="0"/>
        </w:rPr>
        <w:t>五部分</w:t>
      </w:r>
      <w:r>
        <w:rPr>
          <w:rStyle w:val="32"/>
          <w:rFonts w:hint="eastAsia" w:ascii="黑体" w:hAnsi="黑体" w:eastAsia="黑体"/>
          <w:b w:val="0"/>
          <w:lang w:val="en-US" w:eastAsia="zh-CN"/>
        </w:rPr>
        <w:t xml:space="preserve"> </w:t>
      </w:r>
      <w:r>
        <w:rPr>
          <w:rStyle w:val="32"/>
          <w:rFonts w:hint="eastAsia" w:ascii="黑体" w:hAnsi="黑体" w:eastAsia="黑体"/>
          <w:b w:val="0"/>
        </w:rPr>
        <w:t>附表</w:t>
      </w:r>
      <w:bookmarkEnd w:id="71"/>
      <w:bookmarkEnd w:id="80"/>
      <w:bookmarkEnd w:id="81"/>
      <w:bookmarkStart w:id="82" w:name="_Toc15396619"/>
    </w:p>
    <w:p>
      <w:pPr>
        <w:pStyle w:val="16"/>
        <w:spacing w:before="0" w:after="0" w:line="640" w:lineRule="exact"/>
        <w:rPr>
          <w:rFonts w:ascii="仿宋" w:hAnsi="仿宋" w:eastAsia="仿宋"/>
          <w:b w:val="0"/>
        </w:rPr>
      </w:pPr>
      <w:bookmarkStart w:id="83" w:name="_Toc15227"/>
    </w:p>
    <w:p>
      <w:pPr>
        <w:pStyle w:val="16"/>
        <w:spacing w:before="0" w:after="0" w:line="640" w:lineRule="exact"/>
        <w:rPr>
          <w:rFonts w:ascii="仿宋" w:hAnsi="仿宋" w:eastAsia="仿宋"/>
        </w:rPr>
      </w:pPr>
      <w:r>
        <w:rPr>
          <w:rFonts w:hint="eastAsia" w:ascii="仿宋" w:hAnsi="仿宋" w:eastAsia="仿宋"/>
          <w:b w:val="0"/>
        </w:rPr>
        <w:t>一、收</w:t>
      </w:r>
      <w:r>
        <w:rPr>
          <w:rStyle w:val="33"/>
          <w:rFonts w:hint="eastAsia" w:ascii="仿宋" w:hAnsi="仿宋" w:eastAsia="仿宋"/>
          <w:b w:val="0"/>
          <w:bCs w:val="0"/>
        </w:rPr>
        <w:t>入支出</w:t>
      </w:r>
      <w:r>
        <w:rPr>
          <w:rFonts w:hint="eastAsia" w:ascii="仿宋" w:hAnsi="仿宋" w:eastAsia="仿宋"/>
          <w:b w:val="0"/>
          <w:bCs w:val="0"/>
        </w:rPr>
        <w:t>决算总表</w:t>
      </w:r>
      <w:bookmarkEnd w:id="82"/>
      <w:bookmarkEnd w:id="83"/>
    </w:p>
    <w:p>
      <w:pPr>
        <w:pStyle w:val="16"/>
        <w:spacing w:before="0" w:after="0" w:line="640" w:lineRule="exact"/>
        <w:rPr>
          <w:rFonts w:ascii="仿宋" w:hAnsi="仿宋" w:eastAsia="仿宋"/>
        </w:rPr>
      </w:pPr>
      <w:bookmarkStart w:id="84" w:name="_Toc30290"/>
      <w:bookmarkStart w:id="85" w:name="_Toc15396620"/>
      <w:r>
        <w:rPr>
          <w:rFonts w:hint="eastAsia" w:ascii="仿宋" w:hAnsi="仿宋" w:eastAsia="仿宋"/>
          <w:b w:val="0"/>
        </w:rPr>
        <w:t>二、收</w:t>
      </w:r>
      <w:r>
        <w:rPr>
          <w:rStyle w:val="33"/>
          <w:rFonts w:hint="eastAsia" w:ascii="仿宋" w:hAnsi="仿宋" w:eastAsia="仿宋"/>
          <w:b w:val="0"/>
          <w:bCs w:val="0"/>
        </w:rPr>
        <w:t>入决算表</w:t>
      </w:r>
      <w:bookmarkEnd w:id="84"/>
      <w:bookmarkEnd w:id="85"/>
    </w:p>
    <w:p>
      <w:pPr>
        <w:pStyle w:val="16"/>
        <w:spacing w:before="0" w:after="0" w:line="640" w:lineRule="exact"/>
        <w:rPr>
          <w:rFonts w:ascii="仿宋" w:hAnsi="仿宋" w:eastAsia="仿宋"/>
        </w:rPr>
      </w:pPr>
      <w:bookmarkStart w:id="86" w:name="_Toc15396621"/>
      <w:bookmarkStart w:id="87" w:name="_Toc32198"/>
      <w:r>
        <w:rPr>
          <w:rStyle w:val="33"/>
          <w:rFonts w:hint="eastAsia" w:ascii="仿宋" w:hAnsi="仿宋" w:eastAsia="仿宋"/>
          <w:b w:val="0"/>
          <w:bCs w:val="0"/>
        </w:rPr>
        <w:t>三、</w:t>
      </w:r>
      <w:r>
        <w:rPr>
          <w:rFonts w:hint="eastAsia" w:ascii="仿宋" w:hAnsi="仿宋" w:eastAsia="仿宋"/>
          <w:b w:val="0"/>
        </w:rPr>
        <w:t>支</w:t>
      </w:r>
      <w:r>
        <w:rPr>
          <w:rStyle w:val="33"/>
          <w:rFonts w:hint="eastAsia" w:ascii="仿宋" w:hAnsi="仿宋" w:eastAsia="仿宋"/>
          <w:b w:val="0"/>
          <w:bCs w:val="0"/>
        </w:rPr>
        <w:t>出</w:t>
      </w:r>
      <w:r>
        <w:rPr>
          <w:rFonts w:hint="eastAsia" w:ascii="仿宋" w:hAnsi="仿宋" w:eastAsia="仿宋"/>
          <w:b w:val="0"/>
          <w:bCs w:val="0"/>
        </w:rPr>
        <w:t>决算表</w:t>
      </w:r>
      <w:bookmarkEnd w:id="86"/>
      <w:bookmarkEnd w:id="87"/>
    </w:p>
    <w:p>
      <w:pPr>
        <w:pStyle w:val="16"/>
        <w:spacing w:before="0" w:after="0" w:line="640" w:lineRule="exact"/>
        <w:rPr>
          <w:rFonts w:ascii="仿宋" w:hAnsi="仿宋" w:eastAsia="仿宋"/>
          <w:b w:val="0"/>
        </w:rPr>
      </w:pPr>
      <w:bookmarkStart w:id="88" w:name="_Toc14769"/>
      <w:bookmarkStart w:id="89" w:name="_Toc15396622"/>
      <w:r>
        <w:rPr>
          <w:rStyle w:val="33"/>
          <w:rFonts w:hint="eastAsia" w:ascii="仿宋" w:hAnsi="仿宋" w:eastAsia="仿宋"/>
          <w:b w:val="0"/>
          <w:bCs w:val="0"/>
        </w:rPr>
        <w:t>四、</w:t>
      </w:r>
      <w:r>
        <w:rPr>
          <w:rFonts w:hint="eastAsia" w:ascii="仿宋" w:hAnsi="仿宋" w:eastAsia="仿宋"/>
          <w:b w:val="0"/>
        </w:rPr>
        <w:t>财</w:t>
      </w:r>
      <w:r>
        <w:rPr>
          <w:rStyle w:val="33"/>
          <w:rFonts w:hint="eastAsia" w:ascii="仿宋" w:hAnsi="仿宋" w:eastAsia="仿宋"/>
          <w:b w:val="0"/>
          <w:bCs w:val="0"/>
        </w:rPr>
        <w:t>政拨款收入支出</w:t>
      </w:r>
      <w:r>
        <w:rPr>
          <w:rFonts w:hint="eastAsia" w:ascii="仿宋" w:hAnsi="仿宋" w:eastAsia="仿宋"/>
          <w:b w:val="0"/>
          <w:bCs w:val="0"/>
        </w:rPr>
        <w:t>决算总表</w:t>
      </w:r>
      <w:bookmarkEnd w:id="88"/>
      <w:bookmarkEnd w:id="89"/>
    </w:p>
    <w:p>
      <w:pPr>
        <w:pStyle w:val="16"/>
        <w:spacing w:before="0" w:after="0" w:line="640" w:lineRule="exact"/>
        <w:rPr>
          <w:rStyle w:val="33"/>
          <w:rFonts w:ascii="仿宋" w:hAnsi="仿宋" w:eastAsia="仿宋"/>
          <w:b w:val="0"/>
          <w:bCs w:val="0"/>
        </w:rPr>
      </w:pPr>
      <w:bookmarkStart w:id="90" w:name="_Toc24717"/>
      <w:bookmarkStart w:id="91" w:name="_Toc15396623"/>
      <w:r>
        <w:rPr>
          <w:rStyle w:val="33"/>
          <w:rFonts w:hint="eastAsia" w:ascii="仿宋" w:hAnsi="仿宋" w:eastAsia="仿宋"/>
          <w:b w:val="0"/>
          <w:bCs w:val="0"/>
        </w:rPr>
        <w:t>五、</w:t>
      </w:r>
      <w:r>
        <w:rPr>
          <w:rFonts w:hint="eastAsia" w:ascii="仿宋" w:hAnsi="仿宋" w:eastAsia="仿宋"/>
          <w:b w:val="0"/>
        </w:rPr>
        <w:t>财</w:t>
      </w:r>
      <w:r>
        <w:rPr>
          <w:rStyle w:val="33"/>
          <w:rFonts w:hint="eastAsia" w:ascii="仿宋" w:hAnsi="仿宋" w:eastAsia="仿宋"/>
          <w:b w:val="0"/>
          <w:bCs w:val="0"/>
        </w:rPr>
        <w:t>政拨款支出</w:t>
      </w:r>
      <w:r>
        <w:rPr>
          <w:rFonts w:hint="eastAsia" w:ascii="仿宋" w:hAnsi="仿宋" w:eastAsia="仿宋"/>
          <w:b w:val="0"/>
          <w:bCs w:val="0"/>
        </w:rPr>
        <w:t>决算明细表</w:t>
      </w:r>
      <w:bookmarkEnd w:id="90"/>
      <w:bookmarkEnd w:id="91"/>
      <w:bookmarkStart w:id="92" w:name="_Toc15396624"/>
    </w:p>
    <w:p>
      <w:pPr>
        <w:pStyle w:val="16"/>
        <w:spacing w:before="0" w:after="0" w:line="640" w:lineRule="exact"/>
        <w:rPr>
          <w:rFonts w:ascii="仿宋" w:hAnsi="仿宋" w:eastAsia="仿宋"/>
        </w:rPr>
      </w:pPr>
      <w:bookmarkStart w:id="93" w:name="_Toc10189"/>
      <w:r>
        <w:rPr>
          <w:rStyle w:val="33"/>
          <w:rFonts w:hint="eastAsia" w:ascii="仿宋" w:hAnsi="仿宋" w:eastAsia="仿宋"/>
          <w:b w:val="0"/>
          <w:bCs w:val="0"/>
        </w:rPr>
        <w:t>六、</w:t>
      </w:r>
      <w:r>
        <w:rPr>
          <w:rFonts w:hint="eastAsia" w:ascii="仿宋" w:hAnsi="仿宋" w:eastAsia="仿宋"/>
          <w:b w:val="0"/>
        </w:rPr>
        <w:t>一</w:t>
      </w:r>
      <w:r>
        <w:rPr>
          <w:rStyle w:val="33"/>
          <w:rFonts w:hint="eastAsia" w:ascii="仿宋" w:hAnsi="仿宋" w:eastAsia="仿宋"/>
          <w:b w:val="0"/>
          <w:bCs w:val="0"/>
        </w:rPr>
        <w:t>般公共预算</w:t>
      </w:r>
      <w:r>
        <w:rPr>
          <w:rFonts w:hint="eastAsia" w:ascii="仿宋" w:hAnsi="仿宋" w:eastAsia="仿宋"/>
          <w:b w:val="0"/>
          <w:bCs w:val="0"/>
        </w:rPr>
        <w:t>财政拨款支出决算表</w:t>
      </w:r>
      <w:bookmarkEnd w:id="92"/>
      <w:bookmarkEnd w:id="93"/>
    </w:p>
    <w:p>
      <w:pPr>
        <w:pStyle w:val="16"/>
        <w:spacing w:before="0" w:after="0" w:line="640" w:lineRule="exact"/>
        <w:rPr>
          <w:rFonts w:ascii="仿宋" w:hAnsi="仿宋" w:eastAsia="仿宋"/>
        </w:rPr>
      </w:pPr>
      <w:bookmarkStart w:id="94" w:name="_Toc15396625"/>
      <w:bookmarkStart w:id="95" w:name="_Toc31621"/>
      <w:r>
        <w:rPr>
          <w:rStyle w:val="33"/>
          <w:rFonts w:hint="eastAsia" w:ascii="仿宋" w:hAnsi="仿宋" w:eastAsia="仿宋"/>
          <w:b w:val="0"/>
          <w:bCs w:val="0"/>
        </w:rPr>
        <w:t>七、</w:t>
      </w:r>
      <w:r>
        <w:rPr>
          <w:rFonts w:hint="eastAsia" w:ascii="仿宋" w:hAnsi="仿宋" w:eastAsia="仿宋"/>
          <w:b w:val="0"/>
        </w:rPr>
        <w:t>一</w:t>
      </w:r>
      <w:r>
        <w:rPr>
          <w:rStyle w:val="33"/>
          <w:rFonts w:hint="eastAsia" w:ascii="仿宋" w:hAnsi="仿宋" w:eastAsia="仿宋"/>
          <w:b w:val="0"/>
          <w:bCs w:val="0"/>
        </w:rPr>
        <w:t>般公共预算</w:t>
      </w:r>
      <w:r>
        <w:rPr>
          <w:rFonts w:hint="eastAsia" w:ascii="仿宋" w:hAnsi="仿宋" w:eastAsia="仿宋"/>
          <w:b w:val="0"/>
          <w:bCs w:val="0"/>
        </w:rPr>
        <w:t>财政拨款支出决算明细表</w:t>
      </w:r>
      <w:bookmarkEnd w:id="94"/>
      <w:bookmarkEnd w:id="95"/>
    </w:p>
    <w:p>
      <w:pPr>
        <w:pStyle w:val="16"/>
        <w:spacing w:before="0" w:after="0" w:line="640" w:lineRule="exact"/>
        <w:rPr>
          <w:rFonts w:ascii="仿宋" w:hAnsi="仿宋" w:eastAsia="仿宋"/>
        </w:rPr>
      </w:pPr>
      <w:bookmarkStart w:id="96" w:name="_Toc11555"/>
      <w:bookmarkStart w:id="97" w:name="_Toc15396626"/>
      <w:r>
        <w:rPr>
          <w:rStyle w:val="33"/>
          <w:rFonts w:hint="eastAsia" w:ascii="仿宋" w:hAnsi="仿宋" w:eastAsia="仿宋"/>
          <w:b w:val="0"/>
          <w:bCs w:val="0"/>
        </w:rPr>
        <w:t>八、</w:t>
      </w:r>
      <w:r>
        <w:rPr>
          <w:rFonts w:hint="eastAsia" w:ascii="仿宋" w:hAnsi="仿宋" w:eastAsia="仿宋"/>
          <w:b w:val="0"/>
        </w:rPr>
        <w:t>一</w:t>
      </w:r>
      <w:r>
        <w:rPr>
          <w:rStyle w:val="33"/>
          <w:rFonts w:hint="eastAsia" w:ascii="仿宋" w:hAnsi="仿宋" w:eastAsia="仿宋"/>
          <w:b w:val="0"/>
          <w:bCs w:val="0"/>
        </w:rPr>
        <w:t>般公共预算</w:t>
      </w:r>
      <w:r>
        <w:rPr>
          <w:rFonts w:hint="eastAsia" w:ascii="仿宋" w:hAnsi="仿宋" w:eastAsia="仿宋"/>
          <w:b w:val="0"/>
          <w:bCs w:val="0"/>
        </w:rPr>
        <w:t>财政拨款基本支出决算表</w:t>
      </w:r>
      <w:bookmarkEnd w:id="96"/>
      <w:bookmarkEnd w:id="97"/>
    </w:p>
    <w:p>
      <w:pPr>
        <w:pStyle w:val="16"/>
        <w:spacing w:before="0" w:after="0" w:line="640" w:lineRule="exact"/>
        <w:rPr>
          <w:rFonts w:ascii="仿宋" w:hAnsi="仿宋" w:eastAsia="仿宋"/>
        </w:rPr>
      </w:pPr>
      <w:bookmarkStart w:id="98" w:name="_Toc22120"/>
      <w:bookmarkStart w:id="99" w:name="_Toc15396627"/>
      <w:r>
        <w:rPr>
          <w:rStyle w:val="33"/>
          <w:rFonts w:hint="eastAsia" w:ascii="仿宋" w:hAnsi="仿宋" w:eastAsia="仿宋"/>
          <w:b w:val="0"/>
          <w:bCs w:val="0"/>
        </w:rPr>
        <w:t>九、</w:t>
      </w:r>
      <w:r>
        <w:rPr>
          <w:rFonts w:hint="eastAsia" w:ascii="仿宋" w:hAnsi="仿宋" w:eastAsia="仿宋"/>
          <w:b w:val="0"/>
        </w:rPr>
        <w:t>一</w:t>
      </w:r>
      <w:r>
        <w:rPr>
          <w:rStyle w:val="33"/>
          <w:rFonts w:hint="eastAsia" w:ascii="仿宋" w:hAnsi="仿宋" w:eastAsia="仿宋"/>
          <w:b w:val="0"/>
          <w:bCs w:val="0"/>
        </w:rPr>
        <w:t>般公共预算</w:t>
      </w:r>
      <w:r>
        <w:rPr>
          <w:rFonts w:hint="eastAsia" w:ascii="仿宋" w:hAnsi="仿宋" w:eastAsia="仿宋"/>
          <w:b w:val="0"/>
          <w:bCs w:val="0"/>
        </w:rPr>
        <w:t>财政拨款项目支出决算表</w:t>
      </w:r>
      <w:bookmarkEnd w:id="98"/>
      <w:bookmarkEnd w:id="99"/>
    </w:p>
    <w:p>
      <w:pPr>
        <w:pStyle w:val="16"/>
        <w:spacing w:before="0" w:after="0" w:line="640" w:lineRule="exact"/>
        <w:rPr>
          <w:rFonts w:ascii="仿宋" w:hAnsi="仿宋" w:eastAsia="仿宋"/>
        </w:rPr>
      </w:pPr>
      <w:bookmarkStart w:id="100" w:name="_Toc4849"/>
      <w:bookmarkStart w:id="101" w:name="_Toc15396628"/>
      <w:r>
        <w:rPr>
          <w:rStyle w:val="33"/>
          <w:rFonts w:hint="eastAsia" w:ascii="仿宋" w:hAnsi="仿宋" w:eastAsia="仿宋"/>
          <w:b w:val="0"/>
          <w:bCs w:val="0"/>
        </w:rPr>
        <w:t>十、</w:t>
      </w:r>
      <w:r>
        <w:rPr>
          <w:rFonts w:hint="eastAsia" w:ascii="仿宋" w:hAnsi="仿宋" w:eastAsia="仿宋"/>
          <w:b w:val="0"/>
        </w:rPr>
        <w:t>一</w:t>
      </w:r>
      <w:r>
        <w:rPr>
          <w:rStyle w:val="33"/>
          <w:rFonts w:hint="eastAsia" w:ascii="仿宋" w:hAnsi="仿宋" w:eastAsia="仿宋"/>
          <w:b w:val="0"/>
          <w:bCs w:val="0"/>
        </w:rPr>
        <w:t>般公共预算</w:t>
      </w:r>
      <w:r>
        <w:rPr>
          <w:rFonts w:hint="eastAsia" w:ascii="仿宋" w:hAnsi="仿宋" w:eastAsia="仿宋"/>
          <w:b w:val="0"/>
          <w:bCs w:val="0"/>
        </w:rPr>
        <w:t>财政拨款“三公”经费支出决算表</w:t>
      </w:r>
      <w:bookmarkEnd w:id="100"/>
      <w:bookmarkEnd w:id="101"/>
    </w:p>
    <w:p>
      <w:pPr>
        <w:pStyle w:val="16"/>
        <w:spacing w:before="0" w:after="0" w:line="640" w:lineRule="exact"/>
        <w:rPr>
          <w:rFonts w:ascii="仿宋" w:hAnsi="仿宋" w:eastAsia="仿宋"/>
        </w:rPr>
      </w:pPr>
      <w:bookmarkStart w:id="102" w:name="_Toc7226"/>
      <w:bookmarkStart w:id="103" w:name="_Toc15396629"/>
      <w:r>
        <w:rPr>
          <w:rStyle w:val="33"/>
          <w:rFonts w:hint="eastAsia" w:ascii="仿宋" w:hAnsi="仿宋" w:eastAsia="仿宋"/>
          <w:b w:val="0"/>
          <w:bCs w:val="0"/>
        </w:rPr>
        <w:t>十一、</w:t>
      </w:r>
      <w:r>
        <w:rPr>
          <w:rFonts w:hint="eastAsia" w:ascii="仿宋" w:hAnsi="仿宋" w:eastAsia="仿宋"/>
          <w:b w:val="0"/>
        </w:rPr>
        <w:t>政</w:t>
      </w:r>
      <w:r>
        <w:rPr>
          <w:rStyle w:val="33"/>
          <w:rFonts w:hint="eastAsia" w:ascii="仿宋" w:hAnsi="仿宋" w:eastAsia="仿宋"/>
          <w:b w:val="0"/>
          <w:bCs w:val="0"/>
        </w:rPr>
        <w:t>府性基金预算</w:t>
      </w:r>
      <w:r>
        <w:rPr>
          <w:rFonts w:hint="eastAsia" w:ascii="仿宋" w:hAnsi="仿宋" w:eastAsia="仿宋"/>
          <w:b w:val="0"/>
          <w:bCs w:val="0"/>
        </w:rPr>
        <w:t>财政拨款收入支出决算表</w:t>
      </w:r>
      <w:bookmarkEnd w:id="102"/>
      <w:bookmarkEnd w:id="103"/>
    </w:p>
    <w:p>
      <w:pPr>
        <w:pStyle w:val="16"/>
        <w:spacing w:before="0" w:after="0" w:line="640" w:lineRule="exact"/>
        <w:rPr>
          <w:rFonts w:ascii="仿宋" w:hAnsi="仿宋" w:eastAsia="仿宋"/>
        </w:rPr>
      </w:pPr>
      <w:bookmarkStart w:id="104" w:name="_Toc19425"/>
      <w:bookmarkStart w:id="105" w:name="_Toc15396630"/>
      <w:r>
        <w:rPr>
          <w:rStyle w:val="33"/>
          <w:rFonts w:hint="eastAsia" w:ascii="仿宋" w:hAnsi="仿宋" w:eastAsia="仿宋"/>
          <w:b w:val="0"/>
          <w:bCs w:val="0"/>
        </w:rPr>
        <w:t>十二、</w:t>
      </w:r>
      <w:r>
        <w:rPr>
          <w:rFonts w:hint="eastAsia" w:ascii="仿宋" w:hAnsi="仿宋" w:eastAsia="仿宋"/>
          <w:b w:val="0"/>
        </w:rPr>
        <w:t>政</w:t>
      </w:r>
      <w:r>
        <w:rPr>
          <w:rStyle w:val="33"/>
          <w:rFonts w:hint="eastAsia" w:ascii="仿宋" w:hAnsi="仿宋" w:eastAsia="仿宋"/>
          <w:b w:val="0"/>
          <w:bCs w:val="0"/>
        </w:rPr>
        <w:t>府性基金预算</w:t>
      </w:r>
      <w:r>
        <w:rPr>
          <w:rFonts w:hint="eastAsia" w:ascii="仿宋" w:hAnsi="仿宋" w:eastAsia="仿宋"/>
          <w:b w:val="0"/>
          <w:bCs w:val="0"/>
        </w:rPr>
        <w:t>财政拨款“三公”经费支出决算表</w:t>
      </w:r>
      <w:bookmarkEnd w:id="104"/>
      <w:bookmarkEnd w:id="105"/>
    </w:p>
    <w:p>
      <w:pPr>
        <w:pStyle w:val="16"/>
        <w:spacing w:before="0" w:after="0" w:line="640" w:lineRule="exact"/>
        <w:rPr>
          <w:rStyle w:val="33"/>
          <w:rFonts w:ascii="仿宋" w:hAnsi="仿宋" w:eastAsia="仿宋"/>
          <w:b w:val="0"/>
          <w:bCs w:val="0"/>
        </w:rPr>
      </w:pPr>
      <w:bookmarkStart w:id="106" w:name="_Toc15396631"/>
      <w:bookmarkStart w:id="107" w:name="_Toc467"/>
      <w:r>
        <w:rPr>
          <w:rStyle w:val="33"/>
          <w:rFonts w:hint="eastAsia" w:ascii="仿宋" w:hAnsi="仿宋" w:eastAsia="仿宋"/>
          <w:b w:val="0"/>
          <w:bCs w:val="0"/>
        </w:rPr>
        <w:t>十三、</w:t>
      </w:r>
      <w:r>
        <w:rPr>
          <w:rFonts w:hint="eastAsia" w:ascii="仿宋" w:hAnsi="仿宋" w:eastAsia="仿宋"/>
          <w:b w:val="0"/>
        </w:rPr>
        <w:t>国</w:t>
      </w:r>
      <w:r>
        <w:rPr>
          <w:rStyle w:val="33"/>
          <w:rFonts w:hint="eastAsia" w:ascii="仿宋" w:hAnsi="仿宋" w:eastAsia="仿宋"/>
          <w:b w:val="0"/>
          <w:bCs w:val="0"/>
        </w:rPr>
        <w:t>有资本经营预算</w:t>
      </w:r>
      <w:r>
        <w:rPr>
          <w:rFonts w:hint="eastAsia" w:ascii="仿宋" w:hAnsi="仿宋" w:eastAsia="仿宋"/>
          <w:b w:val="0"/>
          <w:bCs w:val="0"/>
        </w:rPr>
        <w:t>财政拨款收入支出决算表</w:t>
      </w:r>
      <w:bookmarkEnd w:id="106"/>
      <w:bookmarkEnd w:id="107"/>
    </w:p>
    <w:p>
      <w:pPr>
        <w:rPr>
          <w:rFonts w:eastAsia="仿宋"/>
          <w:sz w:val="32"/>
          <w:szCs w:val="32"/>
        </w:rPr>
      </w:pPr>
      <w:bookmarkStart w:id="108" w:name="_Toc23289"/>
      <w:r>
        <w:rPr>
          <w:rStyle w:val="33"/>
          <w:rFonts w:hint="eastAsia" w:ascii="仿宋" w:hAnsi="仿宋" w:eastAsia="仿宋"/>
          <w:b w:val="0"/>
          <w:bCs w:val="0"/>
        </w:rPr>
        <w:t>十四、国有资本经营预算</w:t>
      </w:r>
      <w:r>
        <w:rPr>
          <w:rFonts w:hint="eastAsia" w:ascii="仿宋" w:hAnsi="仿宋" w:eastAsia="仿宋"/>
          <w:sz w:val="32"/>
          <w:szCs w:val="32"/>
        </w:rPr>
        <w:t>财政拨款支出决算表</w:t>
      </w:r>
      <w:bookmarkEnd w:id="108"/>
    </w:p>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
    <w:altName w:val="Times New Roman"/>
    <w:panose1 w:val="00000000000000000000"/>
    <w:charset w:val="00"/>
    <w:family w:val="auto"/>
    <w:pitch w:val="default"/>
    <w:sig w:usb0="00000000" w:usb1="00000000" w:usb2="00000000" w:usb3="00000000" w:csb0="00040001" w:csb1="00000000"/>
  </w:font>
  <w:font w:name="方正小标宋简体">
    <w:altName w:val="方正舒体"/>
    <w:panose1 w:val="02010601030101010101"/>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pPr>
          <w:pStyle w:val="19"/>
          <w:jc w:val="center"/>
        </w:pPr>
        <w:r>
          <w:fldChar w:fldCharType="begin"/>
        </w:r>
        <w:r>
          <w:instrText xml:space="preserve">PAGE   \* MERGEFORMAT</w:instrText>
        </w:r>
        <w:r>
          <w:fldChar w:fldCharType="separate"/>
        </w:r>
        <w:r>
          <w:rPr>
            <w:lang w:val="zh-CN"/>
          </w:rPr>
          <w:t>16</w:t>
        </w:r>
        <w:r>
          <w:rPr>
            <w:lang w:val="zh-CN"/>
          </w:rPr>
          <w:fldChar w:fldCharType="end"/>
        </w:r>
      </w:p>
    </w:sdtContent>
  </w:sdt>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372321"/>
    <w:multiLevelType w:val="singleLevel"/>
    <w:tmpl w:val="09372321"/>
    <w:lvl w:ilvl="0" w:tentative="0">
      <w:start w:val="1"/>
      <w:numFmt w:val="chineseCounting"/>
      <w:suff w:val="nothing"/>
      <w:lvlText w:val="（%1）"/>
      <w:lvlJc w:val="left"/>
      <w:rPr>
        <w:rFonts w:hint="eastAsia"/>
        <w:lang w:val="en-US"/>
      </w:rPr>
    </w:lvl>
  </w:abstractNum>
  <w:abstractNum w:abstractNumId="1">
    <w:nsid w:val="16613616"/>
    <w:multiLevelType w:val="singleLevel"/>
    <w:tmpl w:val="16613616"/>
    <w:lvl w:ilvl="0" w:tentative="0">
      <w:start w:val="3"/>
      <w:numFmt w:val="decimal"/>
      <w:lvlText w:val="%1."/>
      <w:lvlJc w:val="left"/>
      <w:pPr>
        <w:tabs>
          <w:tab w:val="left" w:pos="312"/>
        </w:tabs>
      </w:pPr>
    </w:lvl>
  </w:abstractNum>
  <w:abstractNum w:abstractNumId="2">
    <w:nsid w:val="202025E6"/>
    <w:multiLevelType w:val="singleLevel"/>
    <w:tmpl w:val="202025E6"/>
    <w:lvl w:ilvl="0" w:tentative="0">
      <w:start w:val="9"/>
      <w:numFmt w:val="chineseCounting"/>
      <w:suff w:val="nothing"/>
      <w:lvlText w:val="%1、"/>
      <w:lvlJc w:val="left"/>
      <w:rPr>
        <w:rFonts w:hint="eastAsia"/>
      </w:rPr>
    </w:lvl>
  </w:abstractNum>
  <w:abstractNum w:abstractNumId="3">
    <w:nsid w:val="4CDD6F6A"/>
    <w:multiLevelType w:val="singleLevel"/>
    <w:tmpl w:val="4CDD6F6A"/>
    <w:lvl w:ilvl="0" w:tentative="0">
      <w:start w:val="3"/>
      <w:numFmt w:val="chineseCounting"/>
      <w:suff w:val="space"/>
      <w:lvlText w:val="第%1部分"/>
      <w:lvlJc w:val="left"/>
      <w:rPr>
        <w:rFonts w:hint="eastAsia" w:ascii="黑体" w:hAnsi="黑体" w:eastAsia="黑体" w:cs="黑体"/>
        <w:sz w:val="44"/>
        <w:szCs w:val="44"/>
      </w:rPr>
    </w:lvl>
  </w:abstractNum>
  <w:abstractNum w:abstractNumId="4">
    <w:nsid w:val="75A0492F"/>
    <w:multiLevelType w:val="multilevel"/>
    <w:tmpl w:val="75A0492F"/>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NotTrackMoves/>
  <w:documentProtection w:edit="trackedChanges"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zM4ZDZhZGYyYjgzNzFmMmU3YTczMjUxMWY3YTZmZDIifQ=="/>
  </w:docVars>
  <w:rsids>
    <w:rsidRoot w:val="00D66743"/>
    <w:rsid w:val="00243BBF"/>
    <w:rsid w:val="006675A6"/>
    <w:rsid w:val="00951E87"/>
    <w:rsid w:val="00994EE3"/>
    <w:rsid w:val="009A0552"/>
    <w:rsid w:val="00D66743"/>
    <w:rsid w:val="00DA07EA"/>
    <w:rsid w:val="2A08276D"/>
    <w:rsid w:val="69A4653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ody Text"/>
    <w:basedOn w:val="1"/>
    <w:qFormat/>
    <w:uiPriority w:val="99"/>
    <w:pPr>
      <w:spacing w:beforeLines="30"/>
    </w:pPr>
    <w:rPr>
      <w:rFonts w:ascii="仿宋_GB2312" w:eastAsia="仿宋_GB2312"/>
      <w:kern w:val="0"/>
      <w:sz w:val="30"/>
    </w:rPr>
  </w:style>
  <w:style w:type="paragraph" w:styleId="4">
    <w:name w:val="Body Text Indent"/>
    <w:basedOn w:val="1"/>
    <w:qFormat/>
    <w:uiPriority w:val="99"/>
    <w:pPr>
      <w:ind w:left="200" w:leftChars="200"/>
    </w:pPr>
  </w:style>
  <w:style w:type="paragraph" w:styleId="5">
    <w:name w:val="Balloon Text"/>
    <w:basedOn w:val="1"/>
    <w:semiHidden/>
    <w:unhideWhenUsed/>
    <w:qFormat/>
    <w:uiPriority w:val="99"/>
    <w:rPr>
      <w:sz w:val="18"/>
      <w:szCs w:val="18"/>
    </w:rPr>
  </w:style>
  <w:style w:type="paragraph" w:styleId="6">
    <w:name w:val="footer"/>
    <w:basedOn w:val="1"/>
    <w:link w:val="51"/>
    <w:qFormat/>
    <w:uiPriority w:val="99"/>
    <w:pPr>
      <w:tabs>
        <w:tab w:val="center" w:pos="4153"/>
        <w:tab w:val="right" w:pos="8306"/>
      </w:tabs>
      <w:snapToGrid w:val="0"/>
      <w:jc w:val="left"/>
    </w:pPr>
    <w:rPr>
      <w:sz w:val="18"/>
      <w:szCs w:val="18"/>
    </w:rPr>
  </w:style>
  <w:style w:type="paragraph" w:styleId="7">
    <w:name w:val="header"/>
    <w:basedOn w:val="1"/>
    <w:link w:val="50"/>
    <w:semiHidden/>
    <w:qFormat/>
    <w:uiPriority w:val="99"/>
    <w:pPr>
      <w:pBdr>
        <w:bottom w:val="single" w:color="auto" w:sz="6" w:space="1"/>
      </w:pBdr>
      <w:tabs>
        <w:tab w:val="center" w:pos="4153"/>
        <w:tab w:val="right" w:pos="8306"/>
      </w:tabs>
      <w:snapToGrid w:val="0"/>
      <w:jc w:val="center"/>
    </w:pPr>
    <w:rPr>
      <w:sz w:val="18"/>
      <w:szCs w:val="18"/>
    </w:rPr>
  </w:style>
  <w:style w:type="paragraph" w:styleId="8">
    <w:name w:val="Body Text First Indent 2"/>
    <w:basedOn w:val="4"/>
    <w:qFormat/>
    <w:uiPriority w:val="99"/>
  </w:style>
  <w:style w:type="table" w:styleId="10">
    <w:name w:val="Table Grid"/>
    <w:basedOn w:val="9"/>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2">
    <w:name w:val="Strong"/>
    <w:basedOn w:val="11"/>
    <w:qFormat/>
    <w:uiPriority w:val="99"/>
    <w:rPr>
      <w:b/>
    </w:rPr>
  </w:style>
  <w:style w:type="character" w:styleId="13">
    <w:name w:val="Hyperlink"/>
    <w:basedOn w:val="11"/>
    <w:unhideWhenUsed/>
    <w:qFormat/>
    <w:uiPriority w:val="99"/>
    <w:rPr>
      <w:color w:val="0000FF" w:themeColor="hyperlink"/>
      <w:u w:val="single"/>
    </w:rPr>
  </w:style>
  <w:style w:type="character" w:styleId="14">
    <w:name w:val="annotation reference"/>
    <w:basedOn w:val="11"/>
    <w:semiHidden/>
    <w:unhideWhenUsed/>
    <w:qFormat/>
    <w:uiPriority w:val="99"/>
    <w:rPr>
      <w:sz w:val="21"/>
      <w:szCs w:val="21"/>
    </w:rPr>
  </w:style>
  <w:style w:type="paragraph" w:customStyle="1" w:styleId="15">
    <w:name w:val="Heading 1"/>
    <w:basedOn w:val="1"/>
    <w:next w:val="1"/>
    <w:link w:val="32"/>
    <w:qFormat/>
    <w:uiPriority w:val="9"/>
    <w:pPr>
      <w:keepNext/>
      <w:keepLines/>
      <w:spacing w:before="340" w:after="330" w:line="578" w:lineRule="auto"/>
      <w:outlineLvl w:val="0"/>
    </w:pPr>
    <w:rPr>
      <w:b/>
      <w:bCs/>
      <w:kern w:val="44"/>
      <w:sz w:val="44"/>
      <w:szCs w:val="44"/>
    </w:rPr>
  </w:style>
  <w:style w:type="paragraph" w:customStyle="1" w:styleId="16">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customStyle="1" w:styleId="17">
    <w:name w:val="Heading 3"/>
    <w:basedOn w:val="1"/>
    <w:next w:val="1"/>
    <w:link w:val="36"/>
    <w:unhideWhenUsed/>
    <w:qFormat/>
    <w:uiPriority w:val="9"/>
    <w:pPr>
      <w:keepNext/>
      <w:keepLines/>
      <w:spacing w:before="260" w:after="260" w:line="416" w:lineRule="auto"/>
      <w:outlineLvl w:val="2"/>
    </w:pPr>
    <w:rPr>
      <w:b/>
      <w:bCs/>
      <w:sz w:val="32"/>
      <w:szCs w:val="32"/>
    </w:rPr>
  </w:style>
  <w:style w:type="paragraph" w:customStyle="1" w:styleId="18">
    <w:name w:val="TOC 3"/>
    <w:basedOn w:val="1"/>
    <w:next w:val="1"/>
    <w:unhideWhenUsed/>
    <w:qFormat/>
    <w:uiPriority w:val="39"/>
    <w:pPr>
      <w:tabs>
        <w:tab w:val="right" w:leader="dot" w:pos="8296"/>
      </w:tabs>
      <w:ind w:left="840" w:leftChars="400"/>
    </w:pPr>
  </w:style>
  <w:style w:type="paragraph" w:customStyle="1" w:styleId="19">
    <w:name w:val="Footer"/>
    <w:basedOn w:val="1"/>
    <w:qFormat/>
    <w:uiPriority w:val="99"/>
    <w:pPr>
      <w:tabs>
        <w:tab w:val="center" w:pos="4153"/>
        <w:tab w:val="right" w:pos="8306"/>
      </w:tabs>
      <w:snapToGrid w:val="0"/>
      <w:jc w:val="left"/>
    </w:pPr>
    <w:rPr>
      <w:rFonts w:ascii="Calibri" w:hAnsi="Calibri"/>
      <w:kern w:val="0"/>
      <w:sz w:val="18"/>
      <w:szCs w:val="18"/>
    </w:rPr>
  </w:style>
  <w:style w:type="paragraph" w:customStyle="1" w:styleId="20">
    <w:name w:val="Header"/>
    <w:basedOn w:val="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customStyle="1" w:styleId="21">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customStyle="1" w:styleId="22">
    <w:name w:val="TOC 2"/>
    <w:basedOn w:val="1"/>
    <w:next w:val="1"/>
    <w:unhideWhenUsed/>
    <w:qFormat/>
    <w:uiPriority w:val="39"/>
    <w:pPr>
      <w:tabs>
        <w:tab w:val="right" w:leader="dot" w:pos="8296"/>
      </w:tabs>
      <w:ind w:left="420" w:leftChars="200"/>
    </w:pPr>
  </w:style>
  <w:style w:type="character" w:customStyle="1" w:styleId="23">
    <w:name w:val="Page Number"/>
    <w:basedOn w:val="11"/>
    <w:qFormat/>
    <w:uiPriority w:val="0"/>
  </w:style>
  <w:style w:type="character" w:customStyle="1" w:styleId="24">
    <w:name w:val="Header Char"/>
    <w:basedOn w:val="11"/>
    <w:semiHidden/>
    <w:qFormat/>
    <w:uiPriority w:val="99"/>
    <w:rPr>
      <w:rFonts w:ascii="Times New Roman" w:hAnsi="Times New Roman"/>
      <w:sz w:val="18"/>
      <w:szCs w:val="18"/>
    </w:rPr>
  </w:style>
  <w:style w:type="character" w:customStyle="1" w:styleId="25">
    <w:name w:val="页眉 Char"/>
    <w:semiHidden/>
    <w:qFormat/>
    <w:locked/>
    <w:uiPriority w:val="99"/>
    <w:rPr>
      <w:sz w:val="18"/>
    </w:rPr>
  </w:style>
  <w:style w:type="character" w:customStyle="1" w:styleId="26">
    <w:name w:val="Footer Char"/>
    <w:basedOn w:val="11"/>
    <w:semiHidden/>
    <w:qFormat/>
    <w:uiPriority w:val="99"/>
    <w:rPr>
      <w:rFonts w:ascii="Times New Roman" w:hAnsi="Times New Roman"/>
      <w:sz w:val="18"/>
      <w:szCs w:val="18"/>
    </w:rPr>
  </w:style>
  <w:style w:type="character" w:customStyle="1" w:styleId="27">
    <w:name w:val="页脚 Char"/>
    <w:qFormat/>
    <w:locked/>
    <w:uiPriority w:val="99"/>
    <w:rPr>
      <w:sz w:val="18"/>
    </w:rPr>
  </w:style>
  <w:style w:type="character" w:customStyle="1" w:styleId="28">
    <w:name w:val="Body Text Char"/>
    <w:basedOn w:val="11"/>
    <w:semiHidden/>
    <w:qFormat/>
    <w:uiPriority w:val="99"/>
    <w:rPr>
      <w:rFonts w:ascii="Times New Roman" w:hAnsi="Times New Roman"/>
      <w:szCs w:val="24"/>
    </w:rPr>
  </w:style>
  <w:style w:type="character" w:customStyle="1" w:styleId="29">
    <w:name w:val="正文文本 Char"/>
    <w:qFormat/>
    <w:locked/>
    <w:uiPriority w:val="99"/>
    <w:rPr>
      <w:rFonts w:ascii="仿宋_GB2312" w:hAnsi="Times New Roman" w:eastAsia="仿宋_GB2312"/>
      <w:sz w:val="24"/>
    </w:rPr>
  </w:style>
  <w:style w:type="paragraph" w:customStyle="1" w:styleId="30">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31">
    <w:name w:val="List Paragraph"/>
    <w:basedOn w:val="1"/>
    <w:qFormat/>
    <w:uiPriority w:val="34"/>
    <w:pPr>
      <w:ind w:firstLine="420" w:firstLineChars="200"/>
    </w:pPr>
  </w:style>
  <w:style w:type="character" w:customStyle="1" w:styleId="32">
    <w:name w:val="标题 1 Char"/>
    <w:basedOn w:val="11"/>
    <w:link w:val="15"/>
    <w:qFormat/>
    <w:uiPriority w:val="9"/>
    <w:rPr>
      <w:rFonts w:ascii="Times New Roman" w:hAnsi="Times New Roman"/>
      <w:b/>
      <w:bCs/>
      <w:kern w:val="44"/>
      <w:sz w:val="44"/>
      <w:szCs w:val="44"/>
    </w:rPr>
  </w:style>
  <w:style w:type="character" w:customStyle="1" w:styleId="33">
    <w:name w:val="标题 2 Char"/>
    <w:basedOn w:val="11"/>
    <w:link w:val="16"/>
    <w:qFormat/>
    <w:uiPriority w:val="9"/>
    <w:rPr>
      <w:rFonts w:asciiTheme="majorHAnsi" w:hAnsiTheme="majorHAnsi" w:eastAsiaTheme="majorEastAsia" w:cstheme="majorBidi"/>
      <w:b/>
      <w:bCs/>
      <w:kern w:val="2"/>
      <w:sz w:val="32"/>
      <w:szCs w:val="32"/>
    </w:rPr>
  </w:style>
  <w:style w:type="paragraph" w:customStyle="1" w:styleId="34">
    <w:name w:val="TOC 标题1"/>
    <w:basedOn w:val="15"/>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5">
    <w:name w:val="批注框文本 Char"/>
    <w:basedOn w:val="11"/>
    <w:semiHidden/>
    <w:qFormat/>
    <w:uiPriority w:val="99"/>
    <w:rPr>
      <w:rFonts w:ascii="Times New Roman" w:hAnsi="Times New Roman"/>
      <w:kern w:val="2"/>
      <w:sz w:val="18"/>
      <w:szCs w:val="18"/>
    </w:rPr>
  </w:style>
  <w:style w:type="character" w:customStyle="1" w:styleId="36">
    <w:name w:val="标题 3 Char"/>
    <w:basedOn w:val="11"/>
    <w:link w:val="17"/>
    <w:qFormat/>
    <w:uiPriority w:val="9"/>
    <w:rPr>
      <w:rFonts w:ascii="Times New Roman" w:hAnsi="Times New Roman"/>
      <w:b/>
      <w:bCs/>
      <w:kern w:val="2"/>
      <w:sz w:val="32"/>
      <w:szCs w:val="32"/>
    </w:rPr>
  </w:style>
  <w:style w:type="paragraph" w:customStyle="1" w:styleId="37">
    <w:name w:val="TOC 标题2"/>
    <w:basedOn w:val="15"/>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8">
    <w:name w:val="font21"/>
    <w:basedOn w:val="11"/>
    <w:qFormat/>
    <w:uiPriority w:val="0"/>
    <w:rPr>
      <w:rFonts w:hint="eastAsia" w:ascii="宋体" w:hAnsi="宋体" w:eastAsia="宋体" w:cs="宋体"/>
      <w:color w:val="000000"/>
      <w:sz w:val="20"/>
      <w:szCs w:val="20"/>
      <w:u w:val="none"/>
    </w:rPr>
  </w:style>
  <w:style w:type="paragraph" w:customStyle="1" w:styleId="39">
    <w:name w:val="四号正文"/>
    <w:basedOn w:val="1"/>
    <w:qFormat/>
    <w:uiPriority w:val="0"/>
    <w:pPr>
      <w:spacing w:line="360" w:lineRule="auto"/>
    </w:pPr>
    <w:rPr>
      <w:rFonts w:ascii="??" w:hAnsi="??" w:cs="宋体"/>
      <w:color w:val="000000"/>
      <w:kern w:val="0"/>
      <w:sz w:val="28"/>
      <w:szCs w:val="21"/>
    </w:rPr>
  </w:style>
  <w:style w:type="character" w:customStyle="1" w:styleId="40">
    <w:name w:val="font31"/>
    <w:basedOn w:val="11"/>
    <w:qFormat/>
    <w:uiPriority w:val="0"/>
    <w:rPr>
      <w:rFonts w:hint="eastAsia" w:ascii="宋体" w:hAnsi="宋体" w:eastAsia="宋体" w:cs="宋体"/>
      <w:color w:val="000000"/>
      <w:sz w:val="20"/>
      <w:szCs w:val="20"/>
      <w:u w:val="none"/>
    </w:rPr>
  </w:style>
  <w:style w:type="character" w:customStyle="1" w:styleId="41">
    <w:name w:val="font41"/>
    <w:basedOn w:val="11"/>
    <w:qFormat/>
    <w:uiPriority w:val="0"/>
    <w:rPr>
      <w:rFonts w:hint="eastAsia" w:ascii="宋体" w:hAnsi="宋体" w:eastAsia="宋体" w:cs="宋体"/>
      <w:color w:val="000000"/>
      <w:sz w:val="32"/>
      <w:szCs w:val="32"/>
      <w:u w:val="none"/>
    </w:rPr>
  </w:style>
  <w:style w:type="character" w:customStyle="1" w:styleId="42">
    <w:name w:val="font51"/>
    <w:basedOn w:val="11"/>
    <w:qFormat/>
    <w:uiPriority w:val="0"/>
    <w:rPr>
      <w:rFonts w:hint="eastAsia" w:ascii="宋体" w:hAnsi="宋体" w:eastAsia="宋体" w:cs="宋体"/>
      <w:color w:val="000000"/>
      <w:sz w:val="20"/>
      <w:szCs w:val="20"/>
      <w:u w:val="none"/>
    </w:rPr>
  </w:style>
  <w:style w:type="paragraph" w:customStyle="1" w:styleId="43">
    <w:name w:val="WPSOffice手动目录 1"/>
    <w:qFormat/>
    <w:uiPriority w:val="0"/>
    <w:rPr>
      <w:rFonts w:ascii="Times New Roman" w:hAnsi="Times New Roman" w:eastAsia="宋体" w:cs="Times New Roman"/>
      <w:lang w:val="en-US" w:eastAsia="zh-CN" w:bidi="ar-SA"/>
    </w:rPr>
  </w:style>
  <w:style w:type="paragraph" w:customStyle="1" w:styleId="44">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5">
    <w:name w:val="批注文字 Char"/>
    <w:basedOn w:val="11"/>
    <w:semiHidden/>
    <w:qFormat/>
    <w:uiPriority w:val="99"/>
    <w:rPr>
      <w:kern w:val="2"/>
      <w:sz w:val="21"/>
      <w:szCs w:val="24"/>
    </w:rPr>
  </w:style>
  <w:style w:type="paragraph" w:customStyle="1" w:styleId="46">
    <w:name w:val="Header0"/>
    <w:basedOn w:val="1"/>
    <w:semiHidden/>
    <w:qFormat/>
    <w:uiPriority w:val="99"/>
    <w:pPr>
      <w:pBdr>
        <w:bottom w:val="single" w:color="auto" w:sz="6" w:space="1"/>
      </w:pBdr>
      <w:tabs>
        <w:tab w:val="center" w:pos="4153"/>
        <w:tab w:val="right" w:pos="8306"/>
      </w:tabs>
      <w:snapToGrid w:val="0"/>
      <w:jc w:val="center"/>
    </w:pPr>
    <w:rPr>
      <w:sz w:val="18"/>
      <w:szCs w:val="18"/>
    </w:rPr>
  </w:style>
  <w:style w:type="character" w:customStyle="1" w:styleId="47">
    <w:name w:val="页眉 Char1"/>
    <w:basedOn w:val="11"/>
    <w:semiHidden/>
    <w:qFormat/>
    <w:uiPriority w:val="99"/>
    <w:rPr>
      <w:kern w:val="2"/>
      <w:sz w:val="18"/>
      <w:szCs w:val="18"/>
    </w:rPr>
  </w:style>
  <w:style w:type="paragraph" w:customStyle="1" w:styleId="48">
    <w:name w:val="Footer0"/>
    <w:basedOn w:val="1"/>
    <w:qFormat/>
    <w:uiPriority w:val="99"/>
    <w:pPr>
      <w:tabs>
        <w:tab w:val="center" w:pos="4153"/>
        <w:tab w:val="right" w:pos="8306"/>
      </w:tabs>
      <w:snapToGrid w:val="0"/>
      <w:jc w:val="left"/>
    </w:pPr>
    <w:rPr>
      <w:sz w:val="18"/>
      <w:szCs w:val="18"/>
    </w:rPr>
  </w:style>
  <w:style w:type="character" w:customStyle="1" w:styleId="49">
    <w:name w:val="页脚 Char1"/>
    <w:basedOn w:val="11"/>
    <w:qFormat/>
    <w:uiPriority w:val="99"/>
    <w:rPr>
      <w:kern w:val="2"/>
      <w:sz w:val="18"/>
      <w:szCs w:val="18"/>
    </w:rPr>
  </w:style>
  <w:style w:type="character" w:customStyle="1" w:styleId="50">
    <w:name w:val="页眉 Char2"/>
    <w:basedOn w:val="11"/>
    <w:link w:val="7"/>
    <w:semiHidden/>
    <w:qFormat/>
    <w:uiPriority w:val="99"/>
    <w:rPr>
      <w:kern w:val="2"/>
      <w:sz w:val="18"/>
      <w:szCs w:val="18"/>
    </w:rPr>
  </w:style>
  <w:style w:type="character" w:customStyle="1" w:styleId="51">
    <w:name w:val="页脚 Char2"/>
    <w:basedOn w:val="11"/>
    <w:link w:val="6"/>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19.xml"/><Relationship Id="rId37" Type="http://schemas.openxmlformats.org/officeDocument/2006/relationships/customXml" Target="../customXml/item18.xml"/><Relationship Id="rId36" Type="http://schemas.openxmlformats.org/officeDocument/2006/relationships/customXml" Target="../customXml/item17.xml"/><Relationship Id="rId35" Type="http://schemas.openxmlformats.org/officeDocument/2006/relationships/customXml" Target="../customXml/item16.xml"/><Relationship Id="rId34" Type="http://schemas.openxmlformats.org/officeDocument/2006/relationships/customXml" Target="../customXml/item15.xml"/><Relationship Id="rId33" Type="http://schemas.openxmlformats.org/officeDocument/2006/relationships/customXml" Target="../customXml/item14.xml"/><Relationship Id="rId32" Type="http://schemas.openxmlformats.org/officeDocument/2006/relationships/customXml" Target="../customXml/item13.xml"/><Relationship Id="rId31" Type="http://schemas.openxmlformats.org/officeDocument/2006/relationships/customXml" Target="../customXml/item12.xml"/><Relationship Id="rId30" Type="http://schemas.openxmlformats.org/officeDocument/2006/relationships/customXml" Target="../customXml/item11.xml"/><Relationship Id="rId3" Type="http://schemas.openxmlformats.org/officeDocument/2006/relationships/header" Target="header1.xml"/><Relationship Id="rId29" Type="http://schemas.openxmlformats.org/officeDocument/2006/relationships/customXml" Target="../customXml/item10.xml"/><Relationship Id="rId28" Type="http://schemas.openxmlformats.org/officeDocument/2006/relationships/customXml" Target="../customXml/item9.xml"/><Relationship Id="rId27" Type="http://schemas.openxmlformats.org/officeDocument/2006/relationships/customXml" Target="../customXml/item8.xml"/><Relationship Id="rId26" Type="http://schemas.openxmlformats.org/officeDocument/2006/relationships/customXml" Target="../customXml/item7.xml"/><Relationship Id="rId25" Type="http://schemas.openxmlformats.org/officeDocument/2006/relationships/customXml" Target="../customXml/item6.xml"/><Relationship Id="rId24" Type="http://schemas.openxmlformats.org/officeDocument/2006/relationships/customXml" Target="../customXml/item5.xml"/><Relationship Id="rId23" Type="http://schemas.openxmlformats.org/officeDocument/2006/relationships/customXml" Target="../customXml/item4.xml"/><Relationship Id="rId22" Type="http://schemas.openxmlformats.org/officeDocument/2006/relationships/customXml" Target="../customXml/item3.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ishan\Desktop\&#36890;&#27743;&#21439;&#28074;&#38451;&#38215;&#38468;&#23646;&#24188;&#20799;&#22253;&#25253;&#21517;&#33457;&#21517;&#20876;&#65288;&#20013;&#29677;&#65289;&#20309;&#26126;&#29645;&#32426;&#38378;.xls"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jishan\Desktop\&#36890;&#27743;&#21439;&#28074;&#38451;&#38215;&#38468;&#23646;&#24188;&#20799;&#22253;&#25253;&#21517;&#33457;&#21517;&#20876;&#65288;&#20013;&#29677;&#65289;&#20309;&#26126;&#29645;&#32426;&#38378;.xls"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收、支决算总计变动情况图</a:t>
            </a:r>
          </a:p>
        </c:rich>
      </c:tx>
      <c:layout>
        <c:manualLayout>
          <c:xMode val="edge"/>
          <c:yMode val="edge"/>
          <c:x val="0.279722222222222"/>
          <c:y val="0.0243055555555556"/>
        </c:manualLayout>
      </c:layout>
      <c:overlay val="0"/>
      <c:spPr>
        <a:noFill/>
        <a:ln>
          <a:noFill/>
        </a:ln>
        <a:effectLst/>
      </c:spPr>
    </c:title>
    <c:autoTitleDeleted val="0"/>
    <c:plotArea>
      <c:layout/>
      <c:barChart>
        <c:barDir val="col"/>
        <c:grouping val="clustered"/>
        <c:varyColors val="0"/>
        <c:ser>
          <c:idx val="0"/>
          <c:order val="0"/>
          <c:tx>
            <c:strRef>
              <c:f>'[通江县涪阳镇附属幼儿园报名花名册（中班）何明珍纪闪.xls]Sheet1'!$A$2</c:f>
              <c:strCache>
                <c:ptCount val="1"/>
                <c:pt idx="0">
                  <c:v>收入</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'[通江县涪阳镇附属幼儿园报名花名册（中班）何明珍纪闪.xls]Sheet1'!$B$1:$C$1</c:f>
              <c:strCache>
                <c:ptCount val="2"/>
                <c:pt idx="0">
                  <c:v>2020年</c:v>
                </c:pt>
                <c:pt idx="1">
                  <c:v>2021年</c:v>
                </c:pt>
              </c:strCache>
            </c:strRef>
          </c:cat>
          <c:val>
            <c:numRef>
              <c:f>'[通江县涪阳镇附属幼儿园报名花名册（中班）何明珍纪闪.xls]Sheet1'!$B$2:$C$2</c:f>
              <c:numCache>
                <c:formatCode>General</c:formatCode>
                <c:ptCount val="2"/>
                <c:pt idx="0">
                  <c:v>3345.21</c:v>
                </c:pt>
                <c:pt idx="1">
                  <c:v>2395.51</c:v>
                </c:pt>
              </c:numCache>
            </c:numRef>
          </c:val>
        </c:ser>
        <c:ser>
          <c:idx val="1"/>
          <c:order val="1"/>
          <c:tx>
            <c:strRef>
              <c:f>'[通江县涪阳镇附属幼儿园报名花名册（中班）何明珍纪闪.xls]Sheet1'!$A$3</c:f>
              <c:strCache>
                <c:ptCount val="1"/>
                <c:pt idx="0">
                  <c:v>支出</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'[通江县涪阳镇附属幼儿园报名花名册（中班）何明珍纪闪.xls]Sheet1'!$B$1:$C$1</c:f>
              <c:strCache>
                <c:ptCount val="2"/>
                <c:pt idx="0">
                  <c:v>2020年</c:v>
                </c:pt>
                <c:pt idx="1">
                  <c:v>2021年</c:v>
                </c:pt>
              </c:strCache>
            </c:strRef>
          </c:cat>
          <c:val>
            <c:numRef>
              <c:f>'[通江县涪阳镇附属幼儿园报名花名册（中班）何明珍纪闪.xls]Sheet1'!$B$3:$C$3</c:f>
              <c:numCache>
                <c:formatCode>General</c:formatCode>
                <c:ptCount val="2"/>
                <c:pt idx="0">
                  <c:v>3345.21</c:v>
                </c:pt>
                <c:pt idx="1">
                  <c:v>2395.51</c:v>
                </c:pt>
              </c:numCache>
            </c:numRef>
          </c:val>
        </c:ser>
        <c:dLbls>
          <c:showLegendKey val="0"/>
          <c:showVal val="1"/>
          <c:showCatName val="0"/>
          <c:showSerName val="0"/>
          <c:showPercent val="0"/>
          <c:showBubbleSize val="0"/>
        </c:dLbls>
        <c:gapWidth val="219"/>
        <c:overlap val="-27"/>
        <c:axId val="78186368"/>
        <c:axId val="78514048"/>
      </c:barChart>
      <c:catAx>
        <c:axId val="78186368"/>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514048"/>
        <c:crosses val="autoZero"/>
        <c:auto val="1"/>
        <c:lblAlgn val="ctr"/>
        <c:lblOffset val="100"/>
        <c:noMultiLvlLbl val="0"/>
      </c:catAx>
      <c:valAx>
        <c:axId val="7851404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18636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cap="none" spc="20" baseline="0">
                <a:solidFill>
                  <a:schemeClr val="tx1">
                    <a:lumMod val="50000"/>
                    <a:lumOff val="50000"/>
                  </a:schemeClr>
                </a:solidFill>
                <a:latin typeface="+mn-lt"/>
                <a:ea typeface="+mn-ea"/>
                <a:cs typeface="+mn-cs"/>
              </a:defRPr>
            </a:pPr>
            <a:r>
              <a:rPr lang="en-US" altLang="zh-CN"/>
              <a:t>2021</a:t>
            </a:r>
            <a:r>
              <a:rPr lang="zh-CN" altLang="en-US"/>
              <a:t>年收入决算结构图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2021年收入决算结构图</c:v>
                </c:pt>
              </c:strCache>
            </c:strRef>
          </c:tx>
          <c:explosion val="0"/>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Pt>
          <c:dLbls>
            <c:dLbl>
              <c:idx val="0"/>
              <c:layout/>
              <c:tx>
                <c:rich>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r>
                      <a:rPr lang="en-US" altLang="zh-CN" sz="1200"/>
                      <a:t>100%</a:t>
                    </a:r>
                    <a:endParaRPr lang="en-US" altLang="zh-CN" sz="1200"/>
                  </a:p>
                </c:rich>
              </c:tx>
              <c:dLblPos val="bestFit"/>
              <c:showLegendKey val="0"/>
              <c:showVal val="1"/>
              <c:showCatName val="0"/>
              <c:showSerName val="0"/>
              <c:showPercent val="0"/>
              <c:showBubbleSize val="0"/>
              <c:extLst>
                <c:ext xmlns:c15="http://schemas.microsoft.com/office/drawing/2012/chart" uri="{CE6537A1-D6FC-4f65-9D91-7224C49458BB}">
                  <c15:layout>
                    <c:manualLayout>
                      <c:w val="0.128724672228844"/>
                      <c:h val="0.139412360688956"/>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extLst>
                <c:ext xmlns:c15="http://schemas.microsoft.com/office/drawing/2012/chart" uri="{02D57815-91ED-43cb-92C2-25804820EDAC}">
                  <c15:fullRef>
                    <c15:sqref>Sheet1!$A$2:$A$9</c15:sqref>
                  </c15:fullRef>
                </c:ext>
              </c:extLst>
              <c:f>Sheet1!$A$2</c:f>
              <c:strCache>
                <c:ptCount val="1"/>
                <c:pt idx="0">
                  <c:v>一般公共预算财政拨款收入</c:v>
                </c:pt>
              </c:strCache>
            </c:strRef>
          </c:cat>
          <c:val>
            <c:numRef>
              <c:extLst>
                <c:ext xmlns:c15="http://schemas.microsoft.com/office/drawing/2012/chart" uri="{02D57815-91ED-43cb-92C2-25804820EDAC}">
                  <c15:fullRef>
                    <c15:sqref>Sheet1!$B$2:$B$9</c15:sqref>
                  </c15:fullRef>
                </c:ext>
              </c:extLst>
              <c:f>Sheet1!$B$2</c:f>
              <c:numCache>
                <c:formatCode>General</c:formatCode>
                <c:ptCount val="1"/>
                <c:pt idx="0">
                  <c:v>2395.51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2021年支出决算结构图</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1225.92</c:v>
                </c:pt>
                <c:pt idx="1">
                  <c:v>1169.59</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财政拨款收、支决算总计变动情况</a:t>
            </a:r>
          </a:p>
        </c:rich>
      </c:tx>
      <c:layout>
        <c:manualLayout>
          <c:xMode val="edge"/>
          <c:yMode val="edge"/>
          <c:x val="0.279722222222222"/>
          <c:y val="0.0243055555555556"/>
        </c:manualLayout>
      </c:layout>
      <c:overlay val="0"/>
      <c:spPr>
        <a:noFill/>
        <a:ln>
          <a:noFill/>
        </a:ln>
        <a:effectLst/>
      </c:spPr>
    </c:title>
    <c:autoTitleDeleted val="0"/>
    <c:plotArea>
      <c:layout/>
      <c:barChart>
        <c:barDir val="col"/>
        <c:grouping val="clustered"/>
        <c:varyColors val="0"/>
        <c:ser>
          <c:idx val="0"/>
          <c:order val="0"/>
          <c:tx>
            <c:strRef>
              <c:f>'[通江县涪阳镇附属幼儿园报名花名册（中班）何明珍纪闪.xls]Sheet1'!$A$2</c:f>
              <c:strCache>
                <c:ptCount val="1"/>
                <c:pt idx="0">
                  <c:v>收入</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'[通江县涪阳镇附属幼儿园报名花名册（中班）何明珍纪闪.xls]Sheet1'!$B$1:$C$1</c:f>
              <c:strCache>
                <c:ptCount val="2"/>
                <c:pt idx="0">
                  <c:v>2020年</c:v>
                </c:pt>
                <c:pt idx="1">
                  <c:v>2021年</c:v>
                </c:pt>
              </c:strCache>
            </c:strRef>
          </c:cat>
          <c:val>
            <c:numRef>
              <c:f>'[通江县涪阳镇附属幼儿园报名花名册（中班）何明珍纪闪.xls]Sheet1'!$B$2:$C$2</c:f>
              <c:numCache>
                <c:formatCode>General</c:formatCode>
                <c:ptCount val="2"/>
                <c:pt idx="0">
                  <c:v>3345.21</c:v>
                </c:pt>
                <c:pt idx="1">
                  <c:v>2395.51</c:v>
                </c:pt>
              </c:numCache>
            </c:numRef>
          </c:val>
        </c:ser>
        <c:ser>
          <c:idx val="1"/>
          <c:order val="1"/>
          <c:tx>
            <c:strRef>
              <c:f>'[通江县涪阳镇附属幼儿园报名花名册（中班）何明珍纪闪.xls]Sheet1'!$A$3</c:f>
              <c:strCache>
                <c:ptCount val="1"/>
                <c:pt idx="0">
                  <c:v>支出</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'[通江县涪阳镇附属幼儿园报名花名册（中班）何明珍纪闪.xls]Sheet1'!$B$1:$C$1</c:f>
              <c:strCache>
                <c:ptCount val="2"/>
                <c:pt idx="0">
                  <c:v>2020年</c:v>
                </c:pt>
                <c:pt idx="1">
                  <c:v>2021年</c:v>
                </c:pt>
              </c:strCache>
            </c:strRef>
          </c:cat>
          <c:val>
            <c:numRef>
              <c:f>'[通江县涪阳镇附属幼儿园报名花名册（中班）何明珍纪闪.xls]Sheet1'!$B$3:$C$3</c:f>
              <c:numCache>
                <c:formatCode>General</c:formatCode>
                <c:ptCount val="2"/>
                <c:pt idx="0">
                  <c:v>3345.21</c:v>
                </c:pt>
                <c:pt idx="1">
                  <c:v>2395.51</c:v>
                </c:pt>
              </c:numCache>
            </c:numRef>
          </c:val>
        </c:ser>
        <c:dLbls>
          <c:showLegendKey val="0"/>
          <c:showVal val="1"/>
          <c:showCatName val="0"/>
          <c:showSerName val="0"/>
          <c:showPercent val="0"/>
          <c:showBubbleSize val="0"/>
        </c:dLbls>
        <c:gapWidth val="219"/>
        <c:overlap val="-27"/>
        <c:axId val="214337024"/>
        <c:axId val="214338944"/>
      </c:barChart>
      <c:catAx>
        <c:axId val="214337024"/>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4338944"/>
        <c:crosses val="autoZero"/>
        <c:auto val="1"/>
        <c:lblAlgn val="ctr"/>
        <c:lblOffset val="100"/>
        <c:noMultiLvlLbl val="0"/>
      </c:catAx>
      <c:valAx>
        <c:axId val="21433894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433702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一般公共预算财政拨款支出决算总计变动情况</a:t>
            </a:r>
            <a:endParaRPr lang="zh-CN" altLang="en-US"/>
          </a:p>
        </c:rich>
      </c:tx>
      <c:layout>
        <c:manualLayout>
          <c:xMode val="edge"/>
          <c:yMode val="edge"/>
          <c:x val="0.16325"/>
          <c:y val="0.0375"/>
        </c:manualLayout>
      </c:layout>
      <c:overlay val="0"/>
      <c:spPr>
        <a:noFill/>
        <a:ln>
          <a:noFill/>
        </a:ln>
        <a:effectLst/>
      </c:spPr>
    </c:title>
    <c:autoTitleDeleted val="0"/>
    <c:plotArea>
      <c:layout>
        <c:manualLayout>
          <c:layoutTarget val="inner"/>
          <c:xMode val="edge"/>
          <c:yMode val="edge"/>
          <c:x val="0.0787"/>
          <c:y val="0.117"/>
          <c:w val="0.8938"/>
          <c:h val="0.716566666666667"/>
        </c:manualLayout>
      </c:layout>
      <c:barChart>
        <c:barDir val="col"/>
        <c:grouping val="clustered"/>
        <c:varyColors val="0"/>
        <c:ser>
          <c:idx val="0"/>
          <c:order val="0"/>
          <c:tx>
            <c:strRef>
              <c:f>Sheet1!$B$1</c:f>
              <c:strCache>
                <c:ptCount val="1"/>
                <c:pt idx="0">
                  <c:v>2021年一般财政公共预算拨款支出决算</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Sheet1!$B$2</c:f>
              <c:numCache>
                <c:formatCode>General</c:formatCode>
                <c:ptCount val="1"/>
                <c:pt idx="0">
                  <c:v>2395.51</c:v>
                </c:pt>
              </c:numCache>
            </c:numRef>
          </c:val>
          <c:extLst>
            <c:ext xmlns:c15="http://schemas.microsoft.com/office/drawing/2012/chart" uri="{02D57815-91ED-43cb-92C2-25804820EDAC}">
              <c15:filteredCategoryTitle>
                <c15:cat>
                  <c:numRef>
                    <c:extLst>
                      <c:ext uri="{02D57815-91ED-43cb-92C2-25804820EDAC}">
                        <c15:formulaRef>
                          <c15:sqref>Sheet1!$A$2</c15:sqref>
                        </c15:formulaRef>
                      </c:ext>
                    </c:extLst>
                    <c:numCache>
                      <c:formatCode>General</c:formatCode>
                      <c:ptCount val="1"/>
                    </c:numCache>
                  </c:numRef>
                </c15:cat>
              </c15:filteredCategoryTitle>
            </c:ext>
          </c:extLst>
        </c:ser>
        <c:ser>
          <c:idx val="1"/>
          <c:order val="1"/>
          <c:tx>
            <c:strRef>
              <c:f>Sheet1!$C$1</c:f>
              <c:strCache>
                <c:ptCount val="1"/>
                <c:pt idx="0">
                  <c:v>2020年一般财政公共预算拨款支出决算</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Sheet1!$C$2</c:f>
              <c:numCache>
                <c:formatCode>General</c:formatCode>
                <c:ptCount val="1"/>
                <c:pt idx="0">
                  <c:v>3345.21</c:v>
                </c:pt>
              </c:numCache>
            </c:numRef>
          </c:val>
          <c:extLst>
            <c:ext xmlns:c15="http://schemas.microsoft.com/office/drawing/2012/chart" uri="{02D57815-91ED-43cb-92C2-25804820EDAC}">
              <c15:filteredCategoryTitle>
                <c15:cat>
                  <c:numRef>
                    <c:extLst>
                      <c:ext uri="{02D57815-91ED-43cb-92C2-25804820EDAC}">
                        <c15:formulaRef>
                          <c15:sqref>Sheet1!$A$2</c15:sqref>
                        </c15:formulaRef>
                      </c:ext>
                    </c:extLst>
                    <c:numCache>
                      <c:formatCode>General</c:formatCode>
                      <c:ptCount val="1"/>
                    </c:numCache>
                  </c:numRef>
                </c15:cat>
              </c15:filteredCategoryTitle>
            </c:ext>
          </c:extLst>
        </c:ser>
        <c:dLbls>
          <c:showLegendKey val="0"/>
          <c:showVal val="0"/>
          <c:showCatName val="0"/>
          <c:showSerName val="0"/>
          <c:showPercent val="0"/>
          <c:showBubbleSize val="0"/>
        </c:dLbls>
        <c:gapWidth val="219"/>
        <c:overlap val="-27"/>
        <c:axId val="217611648"/>
        <c:axId val="233428480"/>
        <c:extLst>
          <c:ext xmlns:c15="http://schemas.microsoft.com/office/drawing/2012/chart" uri="{02D57815-91ED-43cb-92C2-25804820EDAC}">
            <c15:filteredBarSeries>
              <c15:ser>
                <c:idx val="2"/>
                <c:order val="2"/>
                <c:tx>
                  <c:strRef>
                    <c:extLst>
                      <c:ext uri="{02D57815-91ED-43cb-92C2-25804820EDAC}">
                        <c15:formulaRef>
                          <c15:sqref>Sheet1!#REF!</c15:sqref>
                        </c15:formulaRef>
                      </c:ext>
                    </c:extLst>
                    <c:strCache>
                      <c:ptCount val="1"/>
                      <c:pt idx="0">
                        <c:v/>
                      </c:pt>
                    </c:strCache>
                  </c:strRef>
                </c:tx>
                <c:spPr>
                  <a:solidFill>
                    <a:schemeClr val="accent3"/>
                  </a:solidFill>
                  <a:ln>
                    <a:noFill/>
                  </a:ln>
                  <a:effectLst/>
                </c:spPr>
                <c:invertIfNegative val="0"/>
                <c:dLbls>
                  <c:delete val="1"/>
                </c:dLbls>
                <c:val>
                  <c:numRef>
                    <c:extLst>
                      <c:ext uri="{02D57815-91ED-43cb-92C2-25804820EDAC}">
                        <c15:formulaRef>
                          <c15:sqref>Sheet1!#REF!</c15:sqref>
                        </c15:formulaRef>
                      </c:ext>
                    </c:extLst>
                    <c:numCache>
                      <c:formatCode>General</c:formatCode>
                      <c:ptCount val="1"/>
                      <c:pt idx="0">
                        <c:v>1</c:v>
                      </c:pt>
                    </c:numCache>
                  </c:numRef>
                </c:val>
                <c:extLst>
                  <c:ext xmlns:c15="http://schemas.microsoft.com/office/drawing/2012/chart" uri="{02D57815-91ED-43cb-92C2-25804820EDAC}">
                    <c15:filteredCategoryTitle>
                      <c15:cat>
                        <c:numRef>
                          <c:extLst>
                            <c:ext uri="{02D57815-91ED-43cb-92C2-25804820EDAC}">
                              <c15:formulaRef>
                                <c15:sqref>Sheet1!$A$2</c15:sqref>
                              </c15:formulaRef>
                            </c:ext>
                          </c:extLst>
                          <c:numCache>
                            <c:formatCode>General</c:formatCode>
                            <c:ptCount val="1"/>
                          </c:numCache>
                        </c:numRef>
                      </c15:cat>
                    </c15:filteredCategoryTitle>
                  </c:ext>
                </c:extLst>
              </c15:ser>
            </c15:filteredBarSeries>
          </c:ext>
        </c:extLst>
      </c:barChart>
      <c:catAx>
        <c:axId val="217611648"/>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3428480"/>
        <c:crosses val="autoZero"/>
        <c:auto val="1"/>
        <c:lblAlgn val="ctr"/>
        <c:lblOffset val="100"/>
        <c:noMultiLvlLbl val="0"/>
      </c:catAx>
      <c:valAx>
        <c:axId val="23342848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7611648"/>
        <c:crosses val="autoZero"/>
        <c:crossBetween val="between"/>
      </c:valAx>
      <c:spPr>
        <a:noFill/>
        <a:ln>
          <a:noFill/>
        </a:ln>
        <a:effectLst/>
      </c:spPr>
    </c:plotArea>
    <c:legend>
      <c:legendPos val="b"/>
      <c:layout>
        <c:manualLayout>
          <c:xMode val="edge"/>
          <c:yMode val="edge"/>
          <c:x val="0.266125"/>
          <c:y val="0.924166666666667"/>
          <c:w val="0.551375"/>
          <c:h val="0.055833333333333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800" b="1" i="0" u="none" strike="noStrike" kern="1200" baseline="0">
                <a:solidFill>
                  <a:schemeClr val="tx1"/>
                </a:solidFill>
                <a:latin typeface="+mn-lt"/>
                <a:ea typeface="+mn-ea"/>
                <a:cs typeface="+mn-cs"/>
              </a:defRPr>
            </a:pPr>
            <a:r>
              <a:t>一般公共预算财政拨款支出决算结构</a:t>
            </a:r>
          </a:p>
        </c:rich>
      </c:tx>
      <c:layout/>
      <c:overlay val="0"/>
    </c:title>
    <c:autoTitleDeleted val="0"/>
    <c:plotArea>
      <c:layout/>
      <c:pieChart>
        <c:varyColors val="1"/>
        <c:ser>
          <c:idx val="0"/>
          <c:order val="0"/>
          <c:tx>
            <c:strRef>
              <c:f>Sheet1!$B$1</c:f>
              <c:strCache>
                <c:ptCount val="1"/>
                <c:pt idx="0">
                  <c:v>金额（元）</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038344380125624"/>
                  <c:y val="-0.123781274877129"/>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t>8</a:t>
                    </a:r>
                    <a:r>
                      <a:rPr lang="en-US" altLang="zh-CN"/>
                      <a:t>9.14</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00750000000000001"/>
                  <c:y val="0.0485436893203883"/>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4.94</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184149983486767"/>
                  <c:y val="0.0302222485130748"/>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2.56</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0127642438953213"/>
                  <c:y val="0.00614229856101391"/>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t>0</a:t>
                    </a:r>
                    <a:r>
                      <a:rPr lang="en-US" altLang="zh-CN"/>
                      <a:t>.09</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0.0476981282093909"/>
                  <c:y val="0.00374654935153053"/>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zh-CN"/>
                      <a:t>3.27</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0"/>
            <c:extLst>
              <c:ext xmlns:c15="http://schemas.microsoft.com/office/drawing/2012/chart" uri="{CE6537A1-D6FC-4f65-9D91-7224C49458BB}">
                <c15:layout/>
                <c15:showLeaderLines val="0"/>
                <c15:leaderLines/>
              </c:ext>
            </c:extLst>
          </c:dLbls>
          <c:cat>
            <c:strRef>
              <c:f>Sheet1!$A$2:$A$6</c:f>
              <c:strCache>
                <c:ptCount val="5"/>
                <c:pt idx="0">
                  <c:v>教育支出</c:v>
                </c:pt>
                <c:pt idx="1">
                  <c:v>社会保障和就业支出</c:v>
                </c:pt>
                <c:pt idx="2">
                  <c:v>卫生健康支出</c:v>
                </c:pt>
                <c:pt idx="3">
                  <c:v>农林水支出</c:v>
                </c:pt>
                <c:pt idx="4">
                  <c:v>住房保障支出</c:v>
                </c:pt>
              </c:strCache>
            </c:strRef>
          </c:cat>
          <c:val>
            <c:numRef>
              <c:f>Sheet1!$B$2:$B$6</c:f>
              <c:numCache>
                <c:formatCode>General</c:formatCode>
                <c:ptCount val="5"/>
                <c:pt idx="0">
                  <c:v>2135.37</c:v>
                </c:pt>
                <c:pt idx="1">
                  <c:v>118.23</c:v>
                </c:pt>
                <c:pt idx="2">
                  <c:v>61.39</c:v>
                </c:pt>
                <c:pt idx="3">
                  <c:v>2.25</c:v>
                </c:pt>
                <c:pt idx="4">
                  <c:v>78.26</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“三公经”费财政拨款支出结构图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销售额</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2"/>
              <c:layout>
                <c:manualLayout>
                  <c:x val="0.00562461315754223"/>
                  <c:y val="-0.210442919987128"/>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rPr lang="en-US" altLang="zh-CN" sz="1200"/>
                      <a:t>100%</a:t>
                    </a:r>
                    <a:endParaRPr lang="en-US" altLang="zh-CN" sz="1200"/>
                  </a:p>
                </c:rich>
              </c:tx>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Sheet1!$A$2:$A$4</c:f>
              <c:strCache>
                <c:ptCount val="3"/>
                <c:pt idx="0">
                  <c:v>     因公出国（境）费</c:v>
                </c:pt>
                <c:pt idx="1">
                  <c:v>     公务用车购置及运行维护费</c:v>
                </c:pt>
                <c:pt idx="2">
                  <c:v>     公务接待费</c:v>
                </c:pt>
              </c:strCache>
            </c:strRef>
          </c:cat>
          <c:val>
            <c:numRef>
              <c:f>Sheet1!$B$2:$B$4</c:f>
              <c:numCache>
                <c:formatCode>General</c:formatCode>
                <c:ptCount val="3"/>
                <c:pt idx="0">
                  <c:v>0</c:v>
                </c:pt>
                <c:pt idx="1">
                  <c:v>0</c:v>
                </c:pt>
                <c:pt idx="2">
                  <c:v>0.7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roperties xmlns:vt="http://schemas.openxmlformats.org/officeDocument/2006/docPropsVTypes" xmlns="http://schemas.openxmlformats.org/officeDocument/2006/extended-properties">
  <Template>Normal</Template>
  <TotalTime>10</TotalTime>
  <Pages>23</Pages>
  <Words>1257</Words>
  <Characters>7168</Characters>
  <Application>Microsoft Office Word</Application>
  <DocSecurity>0</DocSecurity>
  <Lines>59</Lines>
  <Paragraphs>16</Paragraphs>
  <Company>四川省财政厅</Company>
  <CharactersWithSpaces>8409</CharactersWithSpaces>
  <AppVersion>12.0000</AppVersion>
</Properties>
</file>

<file path=customXml/item10.xml><?xml version="1.0" encoding="utf-8"?>
<Properties xmlns:vt="http://schemas.openxmlformats.org/officeDocument/2006/docPropsVTypes" xmlns="http://schemas.openxmlformats.org/officeDocument/2006/custom-properties">
  <property fmtid="{D5CDD505-2E9C-101B-9397-08002B2CF9AE}" pid="2" name="KSOProductBuildVer">
    <vt:lpstr>2052-11.1.0.9208</vt:lpstr>
  </property>
  <property fmtid="{D5CDD505-2E9C-101B-9397-08002B2CF9AE}" pid="3" name="ICV">
    <vt:lpstr>53FE8F97FCF64496AD8B8824D9BCC224</vt:lpstr>
  </property>
</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曹颖</dc:creator>
  <cp:lastModifiedBy>asd</cp:lastModifiedBy>
  <cp:revision>13</cp:revision>
  <cp:lastPrinted>2022-08-06T02:23:00Z</cp:lastPrinted>
  <dcterms:created xsi:type="dcterms:W3CDTF">2020-08-05T01:49:00Z</dcterms:created>
  <dcterms:modified xsi:type="dcterms:W3CDTF">2022-11-10T09:17:47Z</dcterms:modified>
</cp:coreProperties>
</file>

<file path=customXml/item12.xml><?xml version="1.0" encoding="utf-8"?>
<Properties xmlns="http://schemas.openxmlformats.org/officeDocument/2006/extended-properties" xmlns:vt="http://schemas.openxmlformats.org/officeDocument/2006/docPropsVTypes">
  <Template>Normal</Template>
  <TotalTime>10</TotalTime>
  <Pages>23</Pages>
  <Words>1257</Words>
  <Characters>7168</Characters>
  <Application>Microsoft Office Word</Application>
  <DocSecurity>0</DocSecurity>
  <Lines>59</Lines>
  <Paragraphs>16</Paragraphs>
  <ScaleCrop>false</ScaleCrop>
  <Company>四川省财政厅</Company>
  <LinksUpToDate>false</LinksUpToDate>
  <CharactersWithSpaces>8409</CharactersWithSpaces>
  <SharedDoc>false</SharedDoc>
  <HyperlinksChanged>false</HyperlinksChanged>
  <AppVersion>12.0000</AppVersion>
</Properties>
</file>

<file path=customXml/item13.xml><?xml version="1.0" encoding="utf-8"?>
<Properties xmlns:vt="http://schemas.openxmlformats.org/officeDocument/2006/docPropsVTypes" xmlns="http://schemas.openxmlformats.org/officeDocument/2006/extended-properties">
  <Template>Normal</Template>
  <TotalTime>10</TotalTime>
  <Pages>23</Pages>
  <Words>1257</Words>
  <Characters>7168</Characters>
  <Application>Microsoft Office Word</Application>
  <DocSecurity>0</DocSecurity>
  <Lines>59</Lines>
  <Paragraphs>16</Paragraphs>
  <Company>四川省财政厅</Company>
  <CharactersWithSpaces>8409</CharactersWithSpaces>
  <AppVersion>12.0000</AppVersion>
</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曹颖</dc:creator>
  <cp:lastModifiedBy>User</cp:lastModifiedBy>
  <cp:revision>27</cp:revision>
  <cp:lastPrinted>2022-08-06T02:23:00Z</cp:lastPrinted>
  <dcterms:created xsi:type="dcterms:W3CDTF">2020-08-05T01:49:00Z</dcterms:created>
  <dcterms:modified xsi:type="dcterms:W3CDTF">2023-02-21T03:16:00Z</dcterms:modified>
</cp:coreProperties>
</file>

<file path=customXml/item15.xml><?xml version="1.0" encoding="utf-8"?>
<Properties xmlns:vt="http://schemas.openxmlformats.org/officeDocument/2006/docPropsVTypes" xmlns="http://schemas.openxmlformats.org/officeDocument/2006/custom-properties">
  <property fmtid="{D5CDD505-2E9C-101B-9397-08002B2CF9AE}" pid="2" name="KSOProductBuildVer">
    <vt:lpstr>2052-11.1.0.9208</vt:lpstr>
  </property>
  <property fmtid="{D5CDD505-2E9C-101B-9397-08002B2CF9AE}" pid="3" name="ICV">
    <vt:lpstr>53FE8F97FCF64496AD8B8824D9BCC224</vt:lpstr>
  </property>
</Properties>
</file>

<file path=customXml/item16.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53FE8F97FCF64496AD8B8824D9BCC224</vt:lpwstr>
  </property>
</Properties>
</file>

<file path=customXml/item17.xml><?xml version="1.0" encoding="utf-8"?>
<cp:coreProperties xmlns:cp="http://schemas.openxmlformats.org/package/2006/metadata/core-properties" xmlns:dc="http://purl.org/dc/elements/1.1/" xmlns:dcterms="http://purl.org/dc/terms/" xmlns:dcmitype="http://purl.org/dc/dcmitype/" xmlns:xsi="http://www.w3.org/2001/XMLSchema-instance">
  <dc:title>四川省_x002A__x002A__x002A_</dc:title>
  <dc:creator>曹颖</dc:creator>
  <cp:lastModifiedBy>User</cp:lastModifiedBy>
  <cp:revision>27</cp:revision>
  <cp:lastPrinted>2022-08-06T02:23:00Z</cp:lastPrinted>
  <dcterms:created xsi:type="dcterms:W3CDTF">2020-08-05T01:49:00Z</dcterms:created>
  <dcterms:modified xsi:type="dcterms:W3CDTF">2023-02-21T03:16:00Z</dcterms:modified>
</cp:coreProperties>
</file>

<file path=customXml/item18.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53FE8F97FCF64496AD8B8824D9BCC224</vt:lpwstr>
  </property>
</Properties>
</file>

<file path=customXml/item19.xml><?xml version="1.0" encoding="utf-8"?>
<Properties xmlns:vt="http://schemas.openxmlformats.org/officeDocument/2006/docPropsVTypes" xmlns="http://schemas.openxmlformats.org/officeDocument/2006/extended-properties">
  <Template>Normal</Template>
  <TotalTime>10</TotalTime>
  <Pages>23</Pages>
  <Words>1257</Words>
  <Characters>7168</Characters>
  <Application>Microsoft Office Word</Application>
  <DocSecurity>0</DocSecurity>
  <Lines>59</Lines>
  <Paragraphs>16</Paragraphs>
  <Company>四川省财政厅</Company>
  <CharactersWithSpaces>8409</CharactersWithSpaces>
  <AppVersion>12.0000</AppVersion>
</Properties>
</file>

<file path=customXml/item2.xml><?xml version="1.0" encoding="utf-8"?>
<Properties xmlns:vt="http://schemas.openxmlformats.org/officeDocument/2006/docPropsVTypes" xmlns="http://schemas.openxmlformats.org/officeDocument/2006/custom-properties">
  <property fmtid="{D5CDD505-2E9C-101B-9397-08002B2CF9AE}" pid="2" name="KSOProductBuildVer">
    <vt:lpstr>2052-11.1.0.9208</vt:lpstr>
  </property>
  <property fmtid="{D5CDD505-2E9C-101B-9397-08002B2CF9AE}" pid="3" name="ICV">
    <vt:lpstr>53FE8F97FCF64496AD8B8824D9BCC224</vt:lpstr>
  </property>
</Properties>
</file>

<file path=customXml/item3.xml><?xml version="1.0" encoding="utf-8"?>
<cp:coreProperties xmlns:cp="http://schemas.openxmlformats.org/package/2006/metadata/core-properties" xmlns:dc="http://purl.org/dc/elements/1.1/" xmlns:dcterms="http://purl.org/dc/terms/" xmlns:dcmitype="http://purl.org/dc/dcmitype/" xmlns:xsi="http://www.w3.org/2001/XMLSchema-instance">
  <dc:title>四川省***</dc:title>
  <dc:creator>曹颖</dc:creator>
  <cp:lastModifiedBy>User</cp:lastModifiedBy>
  <cp:revision>27</cp:revision>
  <cp:lastPrinted>2022-08-06T02:23:00Z</cp:lastPrinted>
  <dcterms:created xsi:type="dcterms:W3CDTF">2020-08-05T01:49:00Z</dcterms:created>
  <dcterms:modified xsi:type="dcterms:W3CDTF">2023-02-21T03:16:00Z</dcterms:modified>
</cp:core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roperties xmlns:vt="http://schemas.openxmlformats.org/officeDocument/2006/docPropsVTypes" xmlns="http://schemas.openxmlformats.org/officeDocument/2006/custom-properties">
  <property fmtid="{D5CDD505-2E9C-101B-9397-08002B2CF9AE}" pid="2" name="KSOProductBuildVer">
    <vt:lpstr>2052-11.1.0.9208</vt:lpstr>
  </property>
  <property fmtid="{D5CDD505-2E9C-101B-9397-08002B2CF9AE}" pid="3" name="ICV">
    <vt:lpstr>53FE8F97FCF64496AD8B8824D9BCC224</vt:lpstr>
  </property>
</Properties>
</file>

<file path=customXml/item6.xml><?xml version="1.0" encoding="utf-8"?>
<Properties xmlns="http://schemas.openxmlformats.org/officeDocument/2006/extended-properties" xmlns:vt="http://schemas.openxmlformats.org/officeDocument/2006/docPropsVTypes">
  <Template>Normal</Template>
  <Company>四川省财政厅</Company>
  <Pages>26</Pages>
  <Words>6268</Words>
  <Characters>8366</Characters>
  <Lines>17</Lines>
  <Paragraphs>14</Paragraphs>
  <TotalTime>4</TotalTime>
  <ScaleCrop>false</ScaleCrop>
  <LinksUpToDate>false</LinksUpToDate>
  <CharactersWithSpaces>8394</CharactersWithSpaces>
  <Application>WPS Office_11.1.0.9208_F1E327BC-269C-435d-A152-05C5408002CA</Application>
  <DocSecurity>0</DocSecurity>
</Properties>
</file>

<file path=customXml/item7.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asd</cp:lastModifiedBy>
  <cp:lastPrinted>2022-08-06T02:23:00Z</cp:lastPrinted>
  <dcterms:modified xsi:type="dcterms:W3CDTF">2022-11-10T09:17:47Z</dcterms:modified>
  <dc:title>四川省***</dc:title>
  <cp:revision>13</cp:revision>
</cp:coreProperties>
</file>

<file path=customXml/item8.xml><?xml version="1.0" encoding="utf-8"?>
<Properties xmlns:vt="http://schemas.openxmlformats.org/officeDocument/2006/docPropsVTypes" xmlns="http://schemas.openxmlformats.org/officeDocument/2006/extended-properties">
  <Template>Normal</Template>
  <TotalTime>4</TotalTime>
  <Pages>26</Pages>
  <Words>6268</Words>
  <Characters>8366</Characters>
  <Application>WPS Office_11.1.0.9208_F1E327BC-269C-435d-A152-05C5408002CA</Application>
  <DocSecurity>0</DocSecurity>
  <Lines>17</Lines>
  <Paragraphs>14</Paragraphs>
  <Company>四川省财政厅</Company>
  <CharactersWithSpaces>8394</CharactersWithSpaces>
  <AppVersion>12.0000</AppVersion>
</Properties>
</file>

<file path=customXml/item9.xml><?xml version="1.0" encoding="utf-8"?>
<cp:coreProperties xmlns:cp="http://schemas.openxmlformats.org/package/2006/metadata/core-properties" xmlns:dc="http://purl.org/dc/elements/1.1/" xmlns:dcterms="http://purl.org/dc/terms/" xmlns:xsi="http://www.w3.org/2001/XMLSchema-instance">
  <dcterms:created xsi:type="dcterms:W3CDTF">2020-08-05T01:49:00Z</dcterms:created>
  <dc:creator>曹颖</dc:creator>
  <cp:lastModifiedBy>User</cp:lastModifiedBy>
  <cp:lastPrinted>2022-08-06T02:23:00Z</cp:lastPrinted>
  <dcterms:modified xsi:type="dcterms:W3CDTF">2023-02-21T03:16:00Z</dcterms:modified>
  <cp:revision>27</cp:revision>
  <dc:title>四川省_x002A__x002A__x002A_</dc:title>
</cp:coreProperties>
</file>

<file path=customXml/itemProps1.xml><?xml version="1.0" encoding="utf-8"?>
<ds:datastoreItem xmlns:ds="http://schemas.openxmlformats.org/officeDocument/2006/customXml" ds:itemID="{61CB1348-DD9D-44BC-B606-E34D6113EF28}">
  <ds:schemaRefs/>
</ds:datastoreItem>
</file>

<file path=customXml/itemProps10.xml><?xml version="1.0" encoding="utf-8"?>
<ds:datastoreItem xmlns:ds="http://schemas.openxmlformats.org/officeDocument/2006/customXml" ds:itemID="{0A0DE6CA-B7B9-4A53-87CC-2B759F1F431E}">
  <ds:schemaRefs/>
</ds:datastoreItem>
</file>

<file path=customXml/itemProps11.xml><?xml version="1.0" encoding="utf-8"?>
<ds:datastoreItem xmlns:ds="http://schemas.openxmlformats.org/officeDocument/2006/customXml" ds:itemID="{DBF1D472-899C-46A6-B9AF-56DD427B303B}">
  <ds:schemaRefs/>
</ds:datastoreItem>
</file>

<file path=customXml/itemProps12.xml><?xml version="1.0" encoding="utf-8"?>
<ds:datastoreItem xmlns:ds="http://schemas.openxmlformats.org/officeDocument/2006/customXml" ds:itemID="{825A553F-EFD6-4328-8A9B-2CF289D96ABC}">
  <ds:schemaRefs/>
</ds:datastoreItem>
</file>

<file path=customXml/itemProps13.xml><?xml version="1.0" encoding="utf-8"?>
<ds:datastoreItem xmlns:ds="http://schemas.openxmlformats.org/officeDocument/2006/customXml" ds:itemID="{026461C5-AAFD-45C8-8D44-20BA00B4DADB}">
  <ds:schemaRefs/>
</ds:datastoreItem>
</file>

<file path=customXml/itemProps14.xml><?xml version="1.0" encoding="utf-8"?>
<ds:datastoreItem xmlns:ds="http://schemas.openxmlformats.org/officeDocument/2006/customXml" ds:itemID="{CAE4868C-052D-4E6C-8B15-DAE2ADEC2F7A}">
  <ds:schemaRefs/>
</ds:datastoreItem>
</file>

<file path=customXml/itemProps15.xml><?xml version="1.0" encoding="utf-8"?>
<ds:datastoreItem xmlns:ds="http://schemas.openxmlformats.org/officeDocument/2006/customXml" ds:itemID="{A68B87E0-5893-4AEF-BDE5-D176260D1471}">
  <ds:schemaRefs/>
</ds:datastoreItem>
</file>

<file path=customXml/itemProps16.xml><?xml version="1.0" encoding="utf-8"?>
<ds:datastoreItem xmlns:ds="http://schemas.openxmlformats.org/officeDocument/2006/customXml" ds:itemID="{29C5A472-4B06-4C7E-B5E9-D43952050230}">
  <ds:schemaRefs/>
</ds:datastoreItem>
</file>

<file path=customXml/itemProps17.xml><?xml version="1.0" encoding="utf-8"?>
<ds:datastoreItem xmlns:ds="http://schemas.openxmlformats.org/officeDocument/2006/customXml" ds:itemID="{773EB97A-24A8-499F-AABB-6D6C188D10ED}">
  <ds:schemaRefs/>
</ds:datastoreItem>
</file>

<file path=customXml/itemProps18.xml><?xml version="1.0" encoding="utf-8"?>
<ds:datastoreItem xmlns:ds="http://schemas.openxmlformats.org/officeDocument/2006/customXml" ds:itemID="{4F3E6099-A2C4-4A11-9B57-BB4740C9B01F}">
  <ds:schemaRefs/>
</ds:datastoreItem>
</file>

<file path=customXml/itemProps19.xml><?xml version="1.0" encoding="utf-8"?>
<ds:datastoreItem xmlns:ds="http://schemas.openxmlformats.org/officeDocument/2006/customXml" ds:itemID="{701868A5-32A1-43DD-94BA-F9B40618347B}">
  <ds:schemaRefs/>
</ds:datastoreItem>
</file>

<file path=customXml/itemProps2.xml><?xml version="1.0" encoding="utf-8"?>
<ds:datastoreItem xmlns:ds="http://schemas.openxmlformats.org/officeDocument/2006/customXml" ds:itemID="{F087B48F-4830-4E4A-A2B0-07A57E0DC670}">
  <ds:schemaRefs/>
</ds:datastoreItem>
</file>

<file path=customXml/itemProps3.xml><?xml version="1.0" encoding="utf-8"?>
<ds:datastoreItem xmlns:ds="http://schemas.openxmlformats.org/officeDocument/2006/customXml" ds:itemID="{7E12F8C1-C9AD-469F-B5A3-354E590CA6AF}">
  <ds:schemaRefs/>
</ds:datastoreItem>
</file>

<file path=customXml/itemProps4.xml><?xml version="1.0" encoding="utf-8"?>
<ds:datastoreItem xmlns:ds="http://schemas.openxmlformats.org/officeDocument/2006/customXml" ds:itemID="{8391A709-8FE8-4F1E-8DE7-33FA395ACB70}">
  <ds:schemaRefs/>
</ds:datastoreItem>
</file>

<file path=customXml/itemProps5.xml><?xml version="1.0" encoding="utf-8"?>
<ds:datastoreItem xmlns:ds="http://schemas.openxmlformats.org/officeDocument/2006/customXml" ds:itemID="{9DA0C387-02F9-4CAC-A5A6-846980029A28}">
  <ds:schemaRefs/>
</ds:datastoreItem>
</file>

<file path=customXml/itemProps6.xml><?xml version="1.0" encoding="utf-8"?>
<ds:datastoreItem xmlns:ds="http://schemas.openxmlformats.org/officeDocument/2006/customXml" ds:itemID="{CE233534-673D-47F2-A80B-E32E5AD8E79C}">
  <ds:schemaRefs/>
</ds:datastoreItem>
</file>

<file path=customXml/itemProps7.xml><?xml version="1.0" encoding="utf-8"?>
<ds:datastoreItem xmlns:ds="http://schemas.openxmlformats.org/officeDocument/2006/customXml" ds:itemID="{5BDB80D3-337B-47B7-8F48-07D655C83409}">
  <ds:schemaRefs/>
</ds:datastoreItem>
</file>

<file path=customXml/itemProps8.xml><?xml version="1.0" encoding="utf-8"?>
<ds:datastoreItem xmlns:ds="http://schemas.openxmlformats.org/officeDocument/2006/customXml" ds:itemID="{C83FD507-EEE3-4F19-AB06-FC57A623AEC5}">
  <ds:schemaRefs/>
</ds:datastoreItem>
</file>

<file path=customXml/itemProps9.xml><?xml version="1.0" encoding="utf-8"?>
<ds:datastoreItem xmlns:ds="http://schemas.openxmlformats.org/officeDocument/2006/customXml" ds:itemID="{717F635C-E236-4A7E-B5FB-F15EE3D075F5}">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23</Pages>
  <Words>5833</Words>
  <Characters>6455</Characters>
  <Lines>59</Lines>
  <Paragraphs>16</Paragraphs>
  <TotalTime>2</TotalTime>
  <ScaleCrop>false</ScaleCrop>
  <LinksUpToDate>false</LinksUpToDate>
  <CharactersWithSpaces>6555</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狂奔的蜗牛</cp:lastModifiedBy>
  <cp:lastPrinted>2022-08-06T02:23:00Z</cp:lastPrinted>
  <dcterms:modified xsi:type="dcterms:W3CDTF">2023-04-16T11:32:12Z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53FE8F97FCF64496AD8B8824D9BCC224</vt:lpwstr>
  </property>
</Properties>
</file>