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宋体" w:eastAsia="方正小标宋简体"/>
          <w:sz w:val="72"/>
          <w:szCs w:val="72"/>
        </w:rPr>
      </w:pPr>
      <w:bookmarkStart w:id="0" w:name="_Toc15306267"/>
    </w:p>
    <w:p>
      <w:pPr>
        <w:spacing w:line="600" w:lineRule="exact"/>
        <w:jc w:val="center"/>
        <w:rPr>
          <w:rFonts w:ascii="方正小标宋简体" w:hAnsi="宋体" w:eastAsia="方正小标宋简体"/>
          <w:sz w:val="72"/>
          <w:szCs w:val="72"/>
        </w:rPr>
      </w:pPr>
    </w:p>
    <w:p>
      <w:pPr>
        <w:spacing w:line="600" w:lineRule="exact"/>
        <w:jc w:val="center"/>
        <w:rPr>
          <w:rFonts w:ascii="方正小标宋简体" w:hAnsi="宋体" w:eastAsia="方正小标宋简体"/>
          <w:sz w:val="72"/>
          <w:szCs w:val="72"/>
        </w:rPr>
      </w:pPr>
    </w:p>
    <w:p>
      <w:pPr>
        <w:spacing w:line="600" w:lineRule="exact"/>
        <w:jc w:val="center"/>
        <w:rPr>
          <w:rFonts w:ascii="方正小标宋简体" w:hAnsi="宋体" w:eastAsia="方正小标宋简体"/>
          <w:sz w:val="72"/>
          <w:szCs w:val="72"/>
        </w:rPr>
      </w:pPr>
    </w:p>
    <w:p>
      <w:pPr>
        <w:adjustRightInd w:val="0"/>
        <w:snapToGrid w:val="0"/>
        <w:spacing w:line="360" w:lineRule="auto"/>
        <w:jc w:val="center"/>
        <w:rPr>
          <w:rFonts w:ascii="黑体" w:hAnsi="黑体" w:eastAsia="黑体"/>
          <w:sz w:val="72"/>
          <w:szCs w:val="72"/>
        </w:rPr>
      </w:pPr>
      <w:bookmarkStart w:id="1" w:name="_Toc15396475"/>
      <w:bookmarkStart w:id="2" w:name="_Toc15377193"/>
      <w:bookmarkStart w:id="3" w:name="_Toc15378441"/>
      <w:bookmarkStart w:id="4" w:name="_Toc15377425"/>
      <w:bookmarkStart w:id="5" w:name="_Toc15396597"/>
    </w:p>
    <w:p>
      <w:pPr>
        <w:adjustRightInd w:val="0"/>
        <w:snapToGrid w:val="0"/>
        <w:spacing w:line="360" w:lineRule="auto"/>
        <w:jc w:val="center"/>
        <w:outlineLvl w:val="0"/>
        <w:rPr>
          <w:rFonts w:ascii="方正小标宋简体" w:hAnsi="宋体" w:eastAsia="方正小标宋简体"/>
          <w:b/>
          <w:bCs/>
          <w:sz w:val="72"/>
          <w:szCs w:val="72"/>
        </w:rPr>
      </w:pPr>
      <w:bookmarkStart w:id="6" w:name="_Toc28288"/>
      <w:bookmarkStart w:id="7" w:name="_Toc1688"/>
      <w:bookmarkStart w:id="8" w:name="_Toc20659"/>
      <w:bookmarkStart w:id="9" w:name="_Toc30291"/>
      <w:r>
        <w:rPr>
          <w:rFonts w:hint="eastAsia" w:ascii="黑体" w:hAnsi="黑体" w:eastAsia="黑体"/>
          <w:b/>
          <w:bCs/>
          <w:sz w:val="72"/>
          <w:szCs w:val="72"/>
        </w:rPr>
        <w:t>2021</w:t>
      </w:r>
      <w:r>
        <w:rPr>
          <w:rFonts w:hint="eastAsia" w:ascii="方正小标宋简体" w:hAnsi="宋体" w:eastAsia="方正小标宋简体"/>
          <w:b/>
          <w:bCs/>
          <w:sz w:val="72"/>
          <w:szCs w:val="72"/>
        </w:rPr>
        <w:t>年度</w:t>
      </w:r>
      <w:bookmarkEnd w:id="1"/>
      <w:bookmarkEnd w:id="2"/>
      <w:bookmarkEnd w:id="3"/>
      <w:bookmarkEnd w:id="4"/>
      <w:bookmarkEnd w:id="5"/>
      <w:bookmarkEnd w:id="6"/>
      <w:bookmarkEnd w:id="7"/>
      <w:bookmarkEnd w:id="8"/>
      <w:bookmarkStart w:id="10" w:name="_Toc19003"/>
      <w:bookmarkStart w:id="11" w:name="_Toc17795"/>
      <w:bookmarkStart w:id="12" w:name="_Toc19023"/>
      <w:bookmarkStart w:id="13" w:name="_Toc15377426"/>
      <w:bookmarkStart w:id="14" w:name="_Toc15396476"/>
      <w:bookmarkStart w:id="15" w:name="_Toc15377194"/>
      <w:bookmarkStart w:id="16" w:name="_Toc15378442"/>
      <w:bookmarkStart w:id="17" w:name="_Toc15396598"/>
      <w:r>
        <w:rPr>
          <w:rFonts w:hint="eastAsia" w:ascii="方正小标宋简体" w:hAnsi="宋体" w:eastAsia="方正小标宋简体"/>
          <w:b/>
          <w:bCs/>
          <w:sz w:val="72"/>
          <w:szCs w:val="72"/>
        </w:rPr>
        <w:t>团县委</w:t>
      </w:r>
      <w:bookmarkEnd w:id="9"/>
    </w:p>
    <w:p>
      <w:pPr>
        <w:adjustRightInd w:val="0"/>
        <w:snapToGrid w:val="0"/>
        <w:spacing w:line="360" w:lineRule="auto"/>
        <w:jc w:val="center"/>
        <w:outlineLvl w:val="0"/>
        <w:rPr>
          <w:rFonts w:ascii="方正小标宋简体" w:hAnsi="宋体" w:eastAsia="方正小标宋简体"/>
          <w:b/>
          <w:bCs/>
          <w:sz w:val="72"/>
          <w:szCs w:val="72"/>
        </w:rPr>
      </w:pPr>
      <w:bookmarkStart w:id="18" w:name="_Toc12014"/>
      <w:r>
        <w:rPr>
          <w:rFonts w:hint="eastAsia" w:ascii="方正小标宋简体" w:hAnsi="宋体" w:eastAsia="方正小标宋简体"/>
          <w:b/>
          <w:bCs/>
          <w:sz w:val="72"/>
          <w:szCs w:val="72"/>
        </w:rPr>
        <w:t>部门</w:t>
      </w:r>
      <w:bookmarkEnd w:id="0"/>
      <w:bookmarkEnd w:id="10"/>
      <w:bookmarkEnd w:id="11"/>
      <w:bookmarkEnd w:id="12"/>
      <w:bookmarkStart w:id="19" w:name="_Toc8276"/>
      <w:bookmarkStart w:id="20" w:name="_Toc15306268"/>
      <w:bookmarkStart w:id="21" w:name="_Toc30805"/>
      <w:bookmarkStart w:id="22" w:name="_Toc29343"/>
      <w:r>
        <w:rPr>
          <w:rFonts w:hint="eastAsia" w:ascii="方正小标宋简体" w:hAnsi="宋体" w:eastAsia="方正小标宋简体"/>
          <w:b/>
          <w:bCs/>
          <w:sz w:val="72"/>
          <w:szCs w:val="72"/>
        </w:rPr>
        <w:t>决算</w:t>
      </w:r>
      <w:bookmarkEnd w:id="13"/>
      <w:bookmarkEnd w:id="14"/>
      <w:bookmarkEnd w:id="15"/>
      <w:bookmarkEnd w:id="16"/>
      <w:bookmarkEnd w:id="17"/>
      <w:bookmarkEnd w:id="18"/>
      <w:bookmarkEnd w:id="19"/>
      <w:bookmarkEnd w:id="20"/>
      <w:bookmarkEnd w:id="21"/>
      <w:bookmarkEnd w:id="22"/>
    </w:p>
    <w:p>
      <w:pPr>
        <w:widowControl/>
        <w:jc w:val="center"/>
        <w:rPr>
          <w:rFonts w:ascii="方正小标宋简体" w:hAnsi="方正小标宋简体" w:eastAsia="方正小标宋简体" w:cs="方正小标宋简体"/>
          <w:b/>
          <w:bCs/>
          <w:sz w:val="48"/>
          <w:szCs w:val="48"/>
        </w:rPr>
        <w:sectPr>
          <w:headerReference r:id="rId3" w:type="default"/>
          <w:pgSz w:w="11906" w:h="16838"/>
          <w:pgMar w:top="1440" w:right="1800" w:bottom="1440" w:left="1800" w:header="851" w:footer="992" w:gutter="0"/>
          <w:pgNumType w:start="1"/>
          <w:cols w:space="425" w:num="1"/>
          <w:docGrid w:type="lines" w:linePitch="312" w:charSpace="0"/>
        </w:sectPr>
      </w:pPr>
    </w:p>
    <w:p>
      <w:pPr>
        <w:widowControl/>
        <w:jc w:val="center"/>
        <w:rPr>
          <w:rFonts w:ascii="黑体" w:hAnsi="黑体" w:eastAsia="黑体" w:cstheme="minorBidi"/>
          <w:sz w:val="28"/>
          <w:szCs w:val="28"/>
        </w:rPr>
      </w:pPr>
      <w:r>
        <w:rPr>
          <w:rFonts w:hint="eastAsia" w:ascii="方正小标宋简体" w:hAnsi="方正小标宋简体" w:eastAsia="方正小标宋简体" w:cs="方正小标宋简体"/>
          <w:b/>
          <w:bCs/>
          <w:sz w:val="48"/>
          <w:szCs w:val="48"/>
        </w:rPr>
        <w:t>目录</w:t>
      </w:r>
    </w:p>
    <w:p>
      <w:pPr>
        <w:pStyle w:val="22"/>
      </w:pPr>
      <w:r>
        <w:rPr>
          <w:rFonts w:hint="eastAsia"/>
        </w:rPr>
        <w:t>公开时间：2022年8月25日</w:t>
      </w:r>
    </w:p>
    <w:sdt>
      <w:sdtPr>
        <w:rPr>
          <w:rFonts w:ascii="宋体" w:hAnsi="宋体"/>
        </w:rPr>
        <w:id w:val="147477465"/>
        <w:docPartObj>
          <w:docPartGallery w:val="Table of Contents"/>
          <w:docPartUnique/>
        </w:docPartObj>
      </w:sdtPr>
      <w:sdtEndPr>
        <w:rPr>
          <w:rFonts w:ascii="宋体" w:hAnsi="宋体"/>
          <w:b/>
        </w:rPr>
      </w:sdtEndPr>
      <w:sdtContent>
        <w:p>
          <w:pPr>
            <w:jc w:val="center"/>
          </w:pPr>
        </w:p>
        <w:p>
          <w:pPr>
            <w:pStyle w:val="39"/>
            <w:tabs>
              <w:tab w:val="right" w:leader="dot" w:pos="8306"/>
            </w:tabs>
            <w:rPr>
              <w:b/>
            </w:rPr>
          </w:pPr>
          <w:r>
            <w:fldChar w:fldCharType="begin"/>
          </w:r>
          <w:r>
            <w:instrText xml:space="preserve">TOC \o "1-2" \h \u</w:instrText>
          </w:r>
          <w:r>
            <w:fldChar w:fldCharType="separate"/>
          </w:r>
          <w:r>
            <w:fldChar w:fldCharType="begin"/>
          </w:r>
          <w:r>
            <w:instrText xml:space="preserve"> HYPERLINK \l "_Toc5675" </w:instrText>
          </w:r>
          <w:r>
            <w:fldChar w:fldCharType="separate"/>
          </w:r>
          <w:r>
            <w:rPr>
              <w:rFonts w:hint="eastAsia" w:ascii="方正小标宋简体" w:hAnsi="方正小标宋简体" w:eastAsia="方正小标宋简体" w:cs="方正小标宋简体"/>
              <w:b/>
            </w:rPr>
            <w:t>第一部分</w:t>
          </w:r>
          <w:r>
            <w:rPr>
              <w:rFonts w:hint="eastAsia" w:ascii="方正小标宋简体" w:hAnsi="方正小标宋简体" w:eastAsia="方正小标宋简体" w:cs="方正小标宋简体"/>
              <w:b/>
              <w:lang w:val="en-US" w:eastAsia="zh-CN"/>
            </w:rPr>
            <w:t xml:space="preserve"> </w:t>
          </w:r>
          <w:r>
            <w:rPr>
              <w:rFonts w:hint="eastAsia" w:ascii="方正小标宋简体" w:hAnsi="方正小标宋简体" w:eastAsia="方正小标宋简体" w:cs="方正小标宋简体"/>
              <w:b/>
            </w:rPr>
            <w:t>部门概况</w:t>
          </w:r>
          <w:r>
            <w:rPr>
              <w:b/>
            </w:rPr>
            <w:tab/>
          </w:r>
          <w:r>
            <w:rPr>
              <w:b/>
            </w:rPr>
            <w:fldChar w:fldCharType="begin"/>
          </w:r>
          <w:r>
            <w:rPr>
              <w:b/>
            </w:rPr>
            <w:instrText xml:space="preserve"> PAGEREF _Toc5675 </w:instrText>
          </w:r>
          <w:r>
            <w:rPr>
              <w:b/>
            </w:rPr>
            <w:fldChar w:fldCharType="separate"/>
          </w:r>
          <w:r>
            <w:rPr>
              <w:b/>
            </w:rPr>
            <w:t>1</w:t>
          </w:r>
          <w:r>
            <w:rPr>
              <w:b/>
            </w:rPr>
            <w:fldChar w:fldCharType="end"/>
          </w:r>
          <w:r>
            <w:rPr>
              <w:b/>
            </w:rPr>
            <w:fldChar w:fldCharType="end"/>
          </w:r>
        </w:p>
        <w:p>
          <w:pPr>
            <w:pStyle w:val="40"/>
            <w:tabs>
              <w:tab w:val="right" w:leader="dot" w:pos="8306"/>
            </w:tabs>
            <w:ind w:left="420"/>
          </w:pPr>
          <w:r>
            <w:fldChar w:fldCharType="begin"/>
          </w:r>
          <w:r>
            <w:instrText xml:space="preserve"> HYPERLINK \l "_Toc12540" </w:instrText>
          </w:r>
          <w:r>
            <w:fldChar w:fldCharType="separate"/>
          </w:r>
          <w:r>
            <w:rPr>
              <w:rFonts w:hint="eastAsia" w:ascii="黑体" w:hAnsi="黑体" w:eastAsia="黑体"/>
            </w:rPr>
            <w:t>一、基本职能及主要工作</w:t>
          </w:r>
          <w:r>
            <w:tab/>
          </w:r>
          <w:r>
            <w:fldChar w:fldCharType="begin"/>
          </w:r>
          <w:r>
            <w:instrText xml:space="preserve"> PAGEREF _Toc12540 </w:instrText>
          </w:r>
          <w:r>
            <w:fldChar w:fldCharType="separate"/>
          </w:r>
          <w:r>
            <w:t>1</w:t>
          </w:r>
          <w:r>
            <w:fldChar w:fldCharType="end"/>
          </w:r>
          <w:r>
            <w:fldChar w:fldCharType="end"/>
          </w:r>
        </w:p>
        <w:p>
          <w:pPr>
            <w:pStyle w:val="40"/>
            <w:tabs>
              <w:tab w:val="right" w:leader="dot" w:pos="8306"/>
            </w:tabs>
            <w:ind w:left="420"/>
          </w:pPr>
          <w:r>
            <w:fldChar w:fldCharType="begin"/>
          </w:r>
          <w:r>
            <w:instrText xml:space="preserve"> HYPERLINK \l "_Toc9184" </w:instrText>
          </w:r>
          <w:r>
            <w:fldChar w:fldCharType="separate"/>
          </w:r>
          <w:r>
            <w:rPr>
              <w:rFonts w:hint="eastAsia" w:ascii="黑体" w:eastAsia="黑体"/>
            </w:rPr>
            <w:t>二、</w:t>
          </w:r>
          <w:r>
            <w:rPr>
              <w:rFonts w:hint="eastAsia" w:ascii="黑体" w:hAnsi="黑体" w:eastAsia="黑体"/>
            </w:rPr>
            <w:t>机构设置</w:t>
          </w:r>
          <w:r>
            <w:tab/>
          </w:r>
          <w:r>
            <w:fldChar w:fldCharType="begin"/>
          </w:r>
          <w:r>
            <w:instrText xml:space="preserve"> PAGEREF _Toc9184 </w:instrText>
          </w:r>
          <w:r>
            <w:fldChar w:fldCharType="separate"/>
          </w:r>
          <w:r>
            <w:t>3</w:t>
          </w:r>
          <w:r>
            <w:fldChar w:fldCharType="end"/>
          </w:r>
          <w:r>
            <w:fldChar w:fldCharType="end"/>
          </w:r>
        </w:p>
        <w:p>
          <w:pPr>
            <w:pStyle w:val="39"/>
            <w:tabs>
              <w:tab w:val="right" w:leader="dot" w:pos="8306"/>
            </w:tabs>
            <w:rPr>
              <w:b/>
            </w:rPr>
          </w:pPr>
          <w:r>
            <w:fldChar w:fldCharType="begin"/>
          </w:r>
          <w:r>
            <w:instrText xml:space="preserve"> HYPERLINK \l "_Toc8801" </w:instrText>
          </w:r>
          <w:r>
            <w:fldChar w:fldCharType="separate"/>
          </w:r>
          <w:r>
            <w:rPr>
              <w:rFonts w:hint="eastAsia" w:ascii="方正小标宋简体" w:hAnsi="方正小标宋简体" w:eastAsia="方正小标宋简体" w:cs="方正小标宋简体"/>
              <w:b/>
            </w:rPr>
            <w:t>第二部分2021年度部门决算情况说明</w:t>
          </w:r>
          <w:r>
            <w:rPr>
              <w:b/>
            </w:rPr>
            <w:tab/>
          </w:r>
          <w:r>
            <w:rPr>
              <w:b/>
            </w:rPr>
            <w:fldChar w:fldCharType="begin"/>
          </w:r>
          <w:r>
            <w:rPr>
              <w:b/>
            </w:rPr>
            <w:instrText xml:space="preserve"> PAGEREF _Toc8801 </w:instrText>
          </w:r>
          <w:r>
            <w:rPr>
              <w:b/>
            </w:rPr>
            <w:fldChar w:fldCharType="separate"/>
          </w:r>
          <w:r>
            <w:rPr>
              <w:b/>
            </w:rPr>
            <w:t>4</w:t>
          </w:r>
          <w:r>
            <w:rPr>
              <w:b/>
            </w:rPr>
            <w:fldChar w:fldCharType="end"/>
          </w:r>
          <w:r>
            <w:rPr>
              <w:b/>
            </w:rPr>
            <w:fldChar w:fldCharType="end"/>
          </w:r>
        </w:p>
        <w:p>
          <w:pPr>
            <w:pStyle w:val="40"/>
            <w:tabs>
              <w:tab w:val="right" w:leader="dot" w:pos="8306"/>
            </w:tabs>
            <w:ind w:left="420"/>
          </w:pPr>
          <w:r>
            <w:fldChar w:fldCharType="begin"/>
          </w:r>
          <w:r>
            <w:instrText xml:space="preserve"> HYPERLINK \l "_Toc32200" </w:instrText>
          </w:r>
          <w:r>
            <w:fldChar w:fldCharType="separate"/>
          </w:r>
          <w:r>
            <w:rPr>
              <w:rFonts w:ascii="黑体" w:hAnsi="黑体" w:eastAsia="黑体"/>
            </w:rPr>
            <w:t>一、</w:t>
          </w:r>
          <w:r>
            <w:rPr>
              <w:rFonts w:hint="eastAsia" w:ascii="黑体" w:hAnsi="黑体" w:eastAsia="黑体"/>
              <w:bCs/>
              <w:szCs w:val="32"/>
            </w:rPr>
            <w:t>收</w:t>
          </w:r>
          <w:r>
            <w:rPr>
              <w:rFonts w:hint="eastAsia" w:ascii="黑体" w:hAnsi="黑体" w:eastAsia="黑体"/>
              <w:bCs/>
            </w:rPr>
            <w:t>入支出决算总体情况说明</w:t>
          </w:r>
          <w:r>
            <w:tab/>
          </w:r>
          <w:r>
            <w:fldChar w:fldCharType="begin"/>
          </w:r>
          <w:r>
            <w:instrText xml:space="preserve"> PAGEREF _Toc32200 </w:instrText>
          </w:r>
          <w:r>
            <w:fldChar w:fldCharType="separate"/>
          </w:r>
          <w:r>
            <w:t>4</w:t>
          </w:r>
          <w:r>
            <w:fldChar w:fldCharType="end"/>
          </w:r>
          <w:r>
            <w:fldChar w:fldCharType="end"/>
          </w:r>
        </w:p>
        <w:p>
          <w:pPr>
            <w:pStyle w:val="40"/>
            <w:tabs>
              <w:tab w:val="right" w:leader="dot" w:pos="8306"/>
            </w:tabs>
            <w:ind w:left="420"/>
          </w:pPr>
          <w:r>
            <w:fldChar w:fldCharType="begin"/>
          </w:r>
          <w:r>
            <w:instrText xml:space="preserve"> HYPERLINK \l "_Toc4480" </w:instrText>
          </w:r>
          <w:r>
            <w:fldChar w:fldCharType="separate"/>
          </w:r>
          <w:r>
            <w:rPr>
              <w:rFonts w:ascii="黑体" w:hAnsi="黑体" w:eastAsia="黑体"/>
              <w:bCs/>
            </w:rPr>
            <w:t>二、</w:t>
          </w:r>
          <w:r>
            <w:rPr>
              <w:rFonts w:hint="eastAsia" w:ascii="黑体" w:hAnsi="黑体" w:eastAsia="黑体"/>
              <w:bCs/>
              <w:szCs w:val="32"/>
            </w:rPr>
            <w:t>收</w:t>
          </w:r>
          <w:r>
            <w:rPr>
              <w:rFonts w:hint="eastAsia" w:ascii="黑体" w:hAnsi="黑体" w:eastAsia="黑体"/>
              <w:bCs/>
            </w:rPr>
            <w:t>入决算情况说明</w:t>
          </w:r>
          <w:r>
            <w:tab/>
          </w:r>
          <w:r>
            <w:fldChar w:fldCharType="begin"/>
          </w:r>
          <w:r>
            <w:instrText xml:space="preserve"> PAGEREF _Toc4480 </w:instrText>
          </w:r>
          <w:r>
            <w:fldChar w:fldCharType="separate"/>
          </w:r>
          <w:r>
            <w:t>4</w:t>
          </w:r>
          <w:r>
            <w:fldChar w:fldCharType="end"/>
          </w:r>
          <w:r>
            <w:fldChar w:fldCharType="end"/>
          </w:r>
        </w:p>
        <w:p>
          <w:pPr>
            <w:pStyle w:val="40"/>
            <w:tabs>
              <w:tab w:val="right" w:leader="dot" w:pos="8306"/>
            </w:tabs>
            <w:ind w:left="420"/>
          </w:pPr>
          <w:r>
            <w:fldChar w:fldCharType="begin"/>
          </w:r>
          <w:r>
            <w:instrText xml:space="preserve"> HYPERLINK \l "_Toc339" </w:instrText>
          </w:r>
          <w:r>
            <w:fldChar w:fldCharType="separate"/>
          </w:r>
          <w:r>
            <w:rPr>
              <w:rFonts w:hint="eastAsia" w:ascii="黑体" w:hAnsi="黑体" w:eastAsia="黑体"/>
              <w:bCs/>
              <w:szCs w:val="32"/>
            </w:rPr>
            <w:t>三、支</w:t>
          </w:r>
          <w:r>
            <w:rPr>
              <w:rFonts w:hint="eastAsia" w:ascii="黑体" w:hAnsi="黑体" w:eastAsia="黑体"/>
              <w:bCs/>
            </w:rPr>
            <w:t>出决算情况说明</w:t>
          </w:r>
          <w:r>
            <w:tab/>
          </w:r>
          <w:r>
            <w:fldChar w:fldCharType="begin"/>
          </w:r>
          <w:r>
            <w:instrText xml:space="preserve"> PAGEREF _Toc339 </w:instrText>
          </w:r>
          <w:r>
            <w:fldChar w:fldCharType="separate"/>
          </w:r>
          <w:r>
            <w:t>5</w:t>
          </w:r>
          <w:r>
            <w:fldChar w:fldCharType="end"/>
          </w:r>
          <w:r>
            <w:fldChar w:fldCharType="end"/>
          </w:r>
        </w:p>
        <w:p>
          <w:pPr>
            <w:pStyle w:val="40"/>
            <w:tabs>
              <w:tab w:val="right" w:leader="dot" w:pos="8306"/>
            </w:tabs>
            <w:ind w:left="420"/>
          </w:pPr>
          <w:r>
            <w:fldChar w:fldCharType="begin"/>
          </w:r>
          <w:r>
            <w:instrText xml:space="preserve"> HYPERLINK \l "_Toc14759" </w:instrText>
          </w:r>
          <w:r>
            <w:fldChar w:fldCharType="separate"/>
          </w:r>
          <w:r>
            <w:rPr>
              <w:rFonts w:hint="eastAsia" w:ascii="黑体" w:hAnsi="黑体" w:eastAsia="黑体"/>
              <w:bCs/>
              <w:szCs w:val="32"/>
            </w:rPr>
            <w:t>四、财政拨款</w:t>
          </w:r>
          <w:r>
            <w:rPr>
              <w:rFonts w:hint="eastAsia" w:ascii="黑体" w:hAnsi="黑体" w:eastAsia="黑体"/>
              <w:bCs/>
            </w:rPr>
            <w:t>收入支出决算总体情况说明</w:t>
          </w:r>
          <w:r>
            <w:tab/>
          </w:r>
          <w:r>
            <w:fldChar w:fldCharType="begin"/>
          </w:r>
          <w:r>
            <w:instrText xml:space="preserve"> PAGEREF _Toc14759 </w:instrText>
          </w:r>
          <w:r>
            <w:fldChar w:fldCharType="separate"/>
          </w:r>
          <w:r>
            <w:t>5</w:t>
          </w:r>
          <w:r>
            <w:fldChar w:fldCharType="end"/>
          </w:r>
          <w:r>
            <w:fldChar w:fldCharType="end"/>
          </w:r>
        </w:p>
        <w:p>
          <w:pPr>
            <w:pStyle w:val="40"/>
            <w:tabs>
              <w:tab w:val="right" w:leader="dot" w:pos="8306"/>
            </w:tabs>
            <w:ind w:left="420"/>
          </w:pPr>
          <w:r>
            <w:fldChar w:fldCharType="begin"/>
          </w:r>
          <w:r>
            <w:instrText xml:space="preserve"> HYPERLINK \l "_Toc27633" </w:instrText>
          </w:r>
          <w:r>
            <w:fldChar w:fldCharType="separate"/>
          </w:r>
          <w:r>
            <w:rPr>
              <w:rFonts w:hint="eastAsia" w:ascii="黑体" w:hAnsi="黑体" w:eastAsia="黑体"/>
              <w:bCs/>
              <w:szCs w:val="32"/>
            </w:rPr>
            <w:t>五、一</w:t>
          </w:r>
          <w:r>
            <w:rPr>
              <w:rFonts w:hint="eastAsia" w:ascii="黑体" w:hAnsi="黑体" w:eastAsia="黑体"/>
              <w:bCs/>
            </w:rPr>
            <w:t>般</w:t>
          </w:r>
          <w:r>
            <w:rPr>
              <w:rFonts w:hint="eastAsia" w:ascii="黑体" w:hAnsi="黑体" w:eastAsia="黑体"/>
              <w:bCs/>
              <w:szCs w:val="32"/>
            </w:rPr>
            <w:t>公共预算财政拨款支出决</w:t>
          </w:r>
          <w:r>
            <w:rPr>
              <w:rFonts w:hint="eastAsia" w:ascii="黑体" w:hAnsi="黑体" w:eastAsia="黑体"/>
            </w:rPr>
            <w:t>算情况说明</w:t>
          </w:r>
          <w:r>
            <w:tab/>
          </w:r>
          <w:r>
            <w:fldChar w:fldCharType="begin"/>
          </w:r>
          <w:r>
            <w:instrText xml:space="preserve"> PAGEREF _Toc27633 </w:instrText>
          </w:r>
          <w:r>
            <w:fldChar w:fldCharType="separate"/>
          </w:r>
          <w:r>
            <w:t>5</w:t>
          </w:r>
          <w:r>
            <w:fldChar w:fldCharType="end"/>
          </w:r>
          <w:r>
            <w:fldChar w:fldCharType="end"/>
          </w:r>
        </w:p>
        <w:p>
          <w:pPr>
            <w:pStyle w:val="40"/>
            <w:tabs>
              <w:tab w:val="right" w:leader="dot" w:pos="8306"/>
            </w:tabs>
            <w:ind w:left="420"/>
            <w:rPr>
              <w:u w:val="none" w:color="000000"/>
              <w:shd w:val="clear" w:fill="auto"/>
            </w:rPr>
          </w:pPr>
          <w:r>
            <w:fldChar w:fldCharType="begin"/>
          </w:r>
          <w:r>
            <w:instrText xml:space="preserve"> HYPERLINK \l "_Toc30325" </w:instrText>
          </w:r>
          <w:r>
            <w:fldChar w:fldCharType="separate"/>
          </w:r>
          <w:r>
            <w:rPr>
              <w:rFonts w:hint="eastAsia" w:ascii="黑体" w:hAnsi="黑体" w:eastAsia="黑体" w:cs="黑体"/>
              <w:bCs/>
              <w:szCs w:val="32"/>
            </w:rPr>
            <w:t>六</w:t>
          </w:r>
          <w:r>
            <w:rPr>
              <w:rFonts w:hint="eastAsia" w:ascii="黑体" w:hAnsi="黑体" w:eastAsia="黑体" w:cs="黑体"/>
              <w:bCs/>
              <w:szCs w:val="32"/>
              <w:u w:val="none" w:color="000000"/>
              <w:shd w:val="clear" w:fill="auto"/>
            </w:rPr>
            <w:t>、一</w:t>
          </w:r>
          <w:r>
            <w:rPr>
              <w:rFonts w:hint="eastAsia" w:ascii="黑体" w:hAnsi="黑体" w:eastAsia="黑体" w:cs="黑体"/>
              <w:bCs/>
              <w:u w:val="none" w:color="000000"/>
              <w:shd w:val="clear" w:fill="auto"/>
            </w:rPr>
            <w:t>般</w:t>
          </w:r>
          <w:r>
            <w:rPr>
              <w:rFonts w:hint="eastAsia" w:ascii="黑体" w:hAnsi="黑体" w:eastAsia="黑体" w:cs="黑体"/>
              <w:bCs/>
              <w:szCs w:val="32"/>
              <w:u w:val="none" w:color="000000"/>
              <w:shd w:val="clear" w:fill="auto"/>
            </w:rPr>
            <w:t>公共预算财政拨款基本支出决算情况说明</w:t>
          </w:r>
          <w:r>
            <w:rPr>
              <w:u w:val="none" w:color="000000"/>
              <w:shd w:val="clear" w:fill="auto"/>
            </w:rPr>
            <w:tab/>
          </w:r>
          <w:r>
            <w:rPr>
              <w:u w:val="none" w:color="000000"/>
              <w:shd w:val="clear" w:fill="auto"/>
            </w:rPr>
            <w:fldChar w:fldCharType="begin"/>
          </w:r>
          <w:r>
            <w:rPr>
              <w:u w:val="none" w:color="000000"/>
              <w:shd w:val="clear" w:fill="auto"/>
            </w:rPr>
            <w:instrText xml:space="preserve"> PAGEREF _Toc30325 </w:instrText>
          </w:r>
          <w:r>
            <w:rPr>
              <w:u w:val="none" w:color="000000"/>
              <w:shd w:val="clear" w:fill="auto"/>
            </w:rPr>
            <w:fldChar w:fldCharType="separate"/>
          </w:r>
          <w:r>
            <w:rPr>
              <w:u w:val="none" w:color="000000"/>
              <w:shd w:val="clear" w:fill="auto"/>
            </w:rPr>
            <w:t>8</w:t>
          </w:r>
          <w:r>
            <w:rPr>
              <w:u w:val="none" w:color="000000"/>
              <w:shd w:val="clear" w:fill="auto"/>
            </w:rPr>
            <w:fldChar w:fldCharType="end"/>
          </w:r>
          <w:r>
            <w:rPr>
              <w:u w:val="none" w:color="000000"/>
              <w:shd w:val="clear" w:fill="auto"/>
            </w:rPr>
            <w:fldChar w:fldCharType="end"/>
          </w:r>
        </w:p>
        <w:p>
          <w:pPr>
            <w:pStyle w:val="40"/>
            <w:tabs>
              <w:tab w:val="right" w:leader="dot" w:pos="8306"/>
            </w:tabs>
            <w:ind w:left="420"/>
            <w:rPr>
              <w:u w:val="none" w:color="000000"/>
              <w:shd w:val="clear" w:fill="auto"/>
            </w:rPr>
          </w:pPr>
          <w:r>
            <w:rPr>
              <w:u w:val="none" w:color="000000"/>
              <w:shd w:val="clear" w:fill="auto"/>
            </w:rPr>
            <w:fldChar w:fldCharType="begin"/>
          </w:r>
          <w:r>
            <w:rPr>
              <w:u w:val="none" w:color="000000"/>
              <w:shd w:val="clear" w:fill="auto"/>
            </w:rPr>
            <w:instrText xml:space="preserve"> HYPERLINK \l "_Toc1330" </w:instrText>
          </w:r>
          <w:r>
            <w:rPr>
              <w:u w:val="none" w:color="000000"/>
              <w:shd w:val="clear" w:fill="auto"/>
            </w:rPr>
            <w:fldChar w:fldCharType="separate"/>
          </w:r>
          <w:r>
            <w:rPr>
              <w:rFonts w:hint="eastAsia" w:ascii="黑体" w:hAnsi="黑体" w:eastAsia="黑体" w:cs="黑体"/>
              <w:bCs/>
              <w:szCs w:val="32"/>
              <w:u w:val="none" w:color="000000"/>
              <w:shd w:val="clear" w:fill="auto"/>
            </w:rPr>
            <w:t>七、“三公”经费财政拨款支出决算情况说明</w:t>
          </w:r>
          <w:r>
            <w:rPr>
              <w:u w:val="none" w:color="000000"/>
              <w:shd w:val="clear" w:fill="auto"/>
            </w:rPr>
            <w:tab/>
          </w:r>
          <w:r>
            <w:rPr>
              <w:u w:val="none" w:color="000000"/>
              <w:shd w:val="clear" w:fill="auto"/>
            </w:rPr>
            <w:fldChar w:fldCharType="begin"/>
          </w:r>
          <w:r>
            <w:rPr>
              <w:u w:val="none" w:color="000000"/>
              <w:shd w:val="clear" w:fill="auto"/>
            </w:rPr>
            <w:instrText xml:space="preserve"> PAGEREF _Toc1330 </w:instrText>
          </w:r>
          <w:r>
            <w:rPr>
              <w:u w:val="none" w:color="000000"/>
              <w:shd w:val="clear" w:fill="auto"/>
            </w:rPr>
            <w:fldChar w:fldCharType="separate"/>
          </w:r>
          <w:r>
            <w:rPr>
              <w:u w:val="none" w:color="000000"/>
              <w:shd w:val="clear" w:fill="auto"/>
            </w:rPr>
            <w:t>8</w:t>
          </w:r>
          <w:r>
            <w:rPr>
              <w:u w:val="none" w:color="000000"/>
              <w:shd w:val="clear" w:fill="auto"/>
            </w:rPr>
            <w:fldChar w:fldCharType="end"/>
          </w:r>
          <w:r>
            <w:rPr>
              <w:u w:val="none" w:color="000000"/>
              <w:shd w:val="clear" w:fill="auto"/>
            </w:rPr>
            <w:fldChar w:fldCharType="end"/>
          </w:r>
        </w:p>
        <w:p>
          <w:pPr>
            <w:pStyle w:val="40"/>
            <w:tabs>
              <w:tab w:val="right" w:leader="dot" w:pos="8306"/>
            </w:tabs>
            <w:ind w:left="420"/>
          </w:pPr>
          <w:r>
            <w:rPr>
              <w:u w:val="none" w:color="000000"/>
              <w:shd w:val="clear" w:fill="auto"/>
            </w:rPr>
            <w:fldChar w:fldCharType="begin"/>
          </w:r>
          <w:r>
            <w:rPr>
              <w:u w:val="none" w:color="000000"/>
              <w:shd w:val="clear" w:fill="auto"/>
            </w:rPr>
            <w:instrText xml:space="preserve"> HY</w:instrText>
          </w:r>
          <w:r>
            <w:rPr>
              <w:u w:val="thick" w:color="4B6EE0"/>
              <w:shd w:val="clear" w:fill="E8EBF5"/>
            </w:rPr>
            <w:instrText xml:space="preserve">P</w:instrText>
          </w:r>
          <w:r>
            <w:instrText xml:space="preserve">ERLINK \l "_Toc22219" </w:instrText>
          </w:r>
          <w:r>
            <w:fldChar w:fldCharType="separate"/>
          </w:r>
          <w:r>
            <w:rPr>
              <w:rFonts w:hint="eastAsia" w:ascii="黑体" w:eastAsia="黑体"/>
              <w:bCs/>
              <w:szCs w:val="32"/>
            </w:rPr>
            <w:t>八、政府性基金预算支出决算情况说明</w:t>
          </w:r>
          <w:r>
            <w:tab/>
          </w:r>
          <w:r>
            <w:fldChar w:fldCharType="begin"/>
          </w:r>
          <w:r>
            <w:instrText xml:space="preserve"> PAGEREF _Toc22219 </w:instrText>
          </w:r>
          <w:r>
            <w:fldChar w:fldCharType="separate"/>
          </w:r>
          <w:r>
            <w:t>9</w:t>
          </w:r>
          <w:r>
            <w:fldChar w:fldCharType="end"/>
          </w:r>
          <w:r>
            <w:fldChar w:fldCharType="end"/>
          </w:r>
        </w:p>
        <w:p>
          <w:pPr>
            <w:pStyle w:val="40"/>
            <w:tabs>
              <w:tab w:val="right" w:leader="dot" w:pos="8306"/>
            </w:tabs>
            <w:ind w:left="420"/>
          </w:pPr>
          <w:r>
            <w:fldChar w:fldCharType="begin"/>
          </w:r>
          <w:r>
            <w:instrText xml:space="preserve"> HYPERLINK \l "_Toc3711" </w:instrText>
          </w:r>
          <w:r>
            <w:fldChar w:fldCharType="separate"/>
          </w:r>
          <w:r>
            <w:rPr>
              <w:rFonts w:hint="eastAsia" w:ascii="黑体" w:eastAsia="黑体"/>
              <w:bCs/>
              <w:szCs w:val="32"/>
            </w:rPr>
            <w:t>九、国有资本经营预算支出决算情况说明</w:t>
          </w:r>
          <w:r>
            <w:tab/>
          </w:r>
          <w:r>
            <w:fldChar w:fldCharType="begin"/>
          </w:r>
          <w:r>
            <w:instrText xml:space="preserve"> PAGEREF _Toc3711 </w:instrText>
          </w:r>
          <w:r>
            <w:fldChar w:fldCharType="separate"/>
          </w:r>
          <w:r>
            <w:t>9</w:t>
          </w:r>
          <w:r>
            <w:fldChar w:fldCharType="end"/>
          </w:r>
          <w:r>
            <w:fldChar w:fldCharType="end"/>
          </w:r>
        </w:p>
        <w:p>
          <w:pPr>
            <w:pStyle w:val="40"/>
            <w:tabs>
              <w:tab w:val="right" w:leader="dot" w:pos="8306"/>
            </w:tabs>
            <w:ind w:left="420"/>
          </w:pPr>
          <w:r>
            <w:fldChar w:fldCharType="begin"/>
          </w:r>
          <w:r>
            <w:instrText xml:space="preserve"> HYPERLINK \l "_Toc12313" </w:instrText>
          </w:r>
          <w:r>
            <w:fldChar w:fldCharType="separate"/>
          </w:r>
          <w:r>
            <w:rPr>
              <w:rFonts w:ascii="黑体" w:hAnsi="黑体" w:eastAsia="黑体"/>
              <w:bCs/>
            </w:rPr>
            <w:t>十、</w:t>
          </w:r>
          <w:r>
            <w:rPr>
              <w:rFonts w:hint="eastAsia" w:ascii="黑体" w:hAnsi="黑体" w:eastAsia="黑体"/>
              <w:bCs/>
            </w:rPr>
            <w:t>其他重要事项的情况说明</w:t>
          </w:r>
          <w:r>
            <w:tab/>
          </w:r>
          <w:r>
            <w:fldChar w:fldCharType="begin"/>
          </w:r>
          <w:r>
            <w:instrText xml:space="preserve"> PAGEREF _Toc12313 </w:instrText>
          </w:r>
          <w:r>
            <w:fldChar w:fldCharType="separate"/>
          </w:r>
          <w:r>
            <w:t>9</w:t>
          </w:r>
          <w:r>
            <w:fldChar w:fldCharType="end"/>
          </w:r>
          <w:r>
            <w:fldChar w:fldCharType="end"/>
          </w:r>
        </w:p>
        <w:p>
          <w:pPr>
            <w:pStyle w:val="39"/>
            <w:tabs>
              <w:tab w:val="right" w:leader="dot" w:pos="8306"/>
            </w:tabs>
            <w:rPr>
              <w:b/>
            </w:rPr>
          </w:pPr>
          <w:r>
            <w:fldChar w:fldCharType="begin"/>
          </w:r>
          <w:r>
            <w:instrText xml:space="preserve"> HYPERLINK \l "_Toc18071" </w:instrText>
          </w:r>
          <w:r>
            <w:fldChar w:fldCharType="separate"/>
          </w:r>
          <w:r>
            <w:rPr>
              <w:rFonts w:hint="eastAsia" w:ascii="黑体" w:hAnsi="黑体" w:eastAsia="黑体"/>
              <w:b/>
            </w:rPr>
            <w:t>第三部分</w:t>
          </w:r>
          <w:r>
            <w:rPr>
              <w:rFonts w:hint="eastAsia" w:ascii="黑体" w:hAnsi="黑体" w:eastAsia="黑体"/>
              <w:b/>
              <w:lang w:val="en-US" w:eastAsia="zh-CN"/>
            </w:rPr>
            <w:t xml:space="preserve"> </w:t>
          </w:r>
          <w:r>
            <w:rPr>
              <w:rFonts w:hint="eastAsia" w:ascii="黑体" w:hAnsi="黑体" w:eastAsia="黑体"/>
              <w:b/>
              <w:szCs w:val="44"/>
            </w:rPr>
            <w:t>名</w:t>
          </w:r>
          <w:r>
            <w:rPr>
              <w:rFonts w:hint="eastAsia" w:ascii="黑体" w:hAnsi="黑体" w:eastAsia="黑体"/>
              <w:b/>
            </w:rPr>
            <w:t>词解释</w:t>
          </w:r>
          <w:r>
            <w:rPr>
              <w:b/>
            </w:rPr>
            <w:tab/>
          </w:r>
          <w:r>
            <w:rPr>
              <w:b/>
            </w:rPr>
            <w:fldChar w:fldCharType="begin"/>
          </w:r>
          <w:r>
            <w:rPr>
              <w:b/>
            </w:rPr>
            <w:instrText xml:space="preserve"> PAGEREF _Toc18071 </w:instrText>
          </w:r>
          <w:r>
            <w:rPr>
              <w:b/>
            </w:rPr>
            <w:fldChar w:fldCharType="separate"/>
          </w:r>
          <w:r>
            <w:rPr>
              <w:b/>
            </w:rPr>
            <w:t>12</w:t>
          </w:r>
          <w:r>
            <w:rPr>
              <w:b/>
            </w:rPr>
            <w:fldChar w:fldCharType="end"/>
          </w:r>
          <w:r>
            <w:rPr>
              <w:b/>
            </w:rPr>
            <w:fldChar w:fldCharType="end"/>
          </w:r>
        </w:p>
        <w:p>
          <w:pPr>
            <w:pStyle w:val="39"/>
            <w:tabs>
              <w:tab w:val="right" w:leader="dot" w:pos="8306"/>
            </w:tabs>
            <w:rPr>
              <w:b/>
            </w:rPr>
          </w:pPr>
          <w:r>
            <w:fldChar w:fldCharType="begin"/>
          </w:r>
          <w:r>
            <w:instrText xml:space="preserve"> HYPERLINK \l "_Toc20714" </w:instrText>
          </w:r>
          <w:r>
            <w:fldChar w:fldCharType="separate"/>
          </w:r>
          <w:r>
            <w:rPr>
              <w:rFonts w:hint="eastAsia" w:ascii="方正小标宋简体" w:hAnsi="方正小标宋简体" w:eastAsia="方正小标宋简体" w:cs="方正小标宋简体"/>
              <w:b/>
              <w:bCs/>
              <w:szCs w:val="44"/>
            </w:rPr>
            <w:t>第</w:t>
          </w:r>
          <w:r>
            <w:rPr>
              <w:rFonts w:hint="eastAsia" w:ascii="方正小标宋简体" w:hAnsi="方正小标宋简体" w:eastAsia="方正小标宋简体" w:cs="方正小标宋简体"/>
              <w:b/>
              <w:bCs/>
            </w:rPr>
            <w:t>四部分</w:t>
          </w:r>
          <w:r>
            <w:rPr>
              <w:rFonts w:hint="eastAsia" w:ascii="方正小标宋简体" w:hAnsi="方正小标宋简体" w:eastAsia="方正小标宋简体" w:cs="方正小标宋简体"/>
              <w:b/>
              <w:bCs/>
              <w:lang w:val="en-US" w:eastAsia="zh-CN"/>
            </w:rPr>
            <w:t xml:space="preserve"> </w:t>
          </w:r>
          <w:r>
            <w:rPr>
              <w:rFonts w:hint="eastAsia" w:ascii="方正小标宋简体" w:hAnsi="方正小标宋简体" w:eastAsia="方正小标宋简体" w:cs="方正小标宋简体"/>
              <w:b/>
              <w:bCs/>
            </w:rPr>
            <w:t>附件</w:t>
          </w:r>
          <w:r>
            <w:rPr>
              <w:b/>
            </w:rPr>
            <w:tab/>
          </w:r>
          <w:r>
            <w:rPr>
              <w:b/>
            </w:rPr>
            <w:fldChar w:fldCharType="begin"/>
          </w:r>
          <w:r>
            <w:rPr>
              <w:b/>
            </w:rPr>
            <w:instrText xml:space="preserve"> PAGEREF _Toc20714 </w:instrText>
          </w:r>
          <w:r>
            <w:rPr>
              <w:b/>
            </w:rPr>
            <w:fldChar w:fldCharType="separate"/>
          </w:r>
          <w:r>
            <w:rPr>
              <w:b/>
            </w:rPr>
            <w:t>14</w:t>
          </w:r>
          <w:r>
            <w:rPr>
              <w:b/>
            </w:rPr>
            <w:fldChar w:fldCharType="end"/>
          </w:r>
          <w:r>
            <w:rPr>
              <w:b/>
            </w:rPr>
            <w:fldChar w:fldCharType="end"/>
          </w:r>
        </w:p>
        <w:p>
          <w:pPr>
            <w:pStyle w:val="39"/>
            <w:tabs>
              <w:tab w:val="right" w:leader="dot" w:pos="8306"/>
            </w:tabs>
            <w:rPr>
              <w:b/>
            </w:rPr>
          </w:pPr>
          <w:r>
            <w:fldChar w:fldCharType="begin"/>
          </w:r>
          <w:r>
            <w:instrText xml:space="preserve"> HYPERLINK \l "_Toc18815" </w:instrText>
          </w:r>
          <w:r>
            <w:fldChar w:fldCharType="separate"/>
          </w:r>
          <w:r>
            <w:rPr>
              <w:rFonts w:hint="eastAsia" w:ascii="黑体" w:hAnsi="黑体" w:eastAsia="黑体" w:cs="黑体"/>
              <w:b/>
              <w:bCs/>
              <w:szCs w:val="32"/>
            </w:rPr>
            <w:t>附件1</w:t>
          </w:r>
          <w:r>
            <w:rPr>
              <w:b/>
            </w:rPr>
            <w:tab/>
          </w:r>
          <w:r>
            <w:rPr>
              <w:b/>
            </w:rPr>
            <w:fldChar w:fldCharType="begin"/>
          </w:r>
          <w:r>
            <w:rPr>
              <w:b/>
            </w:rPr>
            <w:instrText xml:space="preserve"> PAGEREF _Toc18815 </w:instrText>
          </w:r>
          <w:r>
            <w:rPr>
              <w:b/>
            </w:rPr>
            <w:fldChar w:fldCharType="separate"/>
          </w:r>
          <w:r>
            <w:rPr>
              <w:b/>
            </w:rPr>
            <w:t>14</w:t>
          </w:r>
          <w:r>
            <w:rPr>
              <w:b/>
            </w:rPr>
            <w:fldChar w:fldCharType="end"/>
          </w:r>
          <w:r>
            <w:rPr>
              <w:b/>
            </w:rPr>
            <w:fldChar w:fldCharType="end"/>
          </w:r>
        </w:p>
        <w:p>
          <w:pPr>
            <w:pStyle w:val="39"/>
            <w:tabs>
              <w:tab w:val="right" w:leader="dot" w:pos="8306"/>
            </w:tabs>
            <w:rPr>
              <w:b/>
            </w:rPr>
          </w:pPr>
          <w:r>
            <w:fldChar w:fldCharType="begin"/>
          </w:r>
          <w:r>
            <w:instrText xml:space="preserve"> HYPERLINK \l "_Toc22085" </w:instrText>
          </w:r>
          <w:r>
            <w:fldChar w:fldCharType="separate"/>
          </w:r>
          <w:r>
            <w:rPr>
              <w:rFonts w:hint="eastAsia" w:ascii="方正小标宋简体" w:hAnsi="方正小标宋简体" w:eastAsia="方正小标宋简体" w:cs="方正小标宋简体"/>
              <w:b/>
              <w:bCs/>
              <w:szCs w:val="44"/>
            </w:rPr>
            <w:t>第</w:t>
          </w:r>
          <w:r>
            <w:rPr>
              <w:rFonts w:hint="eastAsia" w:ascii="方正小标宋简体" w:hAnsi="方正小标宋简体" w:eastAsia="方正小标宋简体" w:cs="方正小标宋简体"/>
              <w:b/>
              <w:bCs/>
            </w:rPr>
            <w:t>五部分</w:t>
          </w:r>
          <w:r>
            <w:rPr>
              <w:rFonts w:hint="eastAsia" w:ascii="方正小标宋简体" w:hAnsi="方正小标宋简体" w:eastAsia="方正小标宋简体" w:cs="方正小标宋简体"/>
              <w:b/>
              <w:bCs/>
              <w:lang w:val="en-US" w:eastAsia="zh-CN"/>
            </w:rPr>
            <w:t xml:space="preserve"> </w:t>
          </w:r>
          <w:r>
            <w:rPr>
              <w:rFonts w:hint="eastAsia" w:ascii="方正小标宋简体" w:hAnsi="方正小标宋简体" w:eastAsia="方正小标宋简体" w:cs="方正小标宋简体"/>
              <w:b/>
              <w:bCs/>
            </w:rPr>
            <w:t>附表</w:t>
          </w:r>
          <w:r>
            <w:rPr>
              <w:b/>
            </w:rPr>
            <w:tab/>
          </w:r>
          <w:r>
            <w:rPr>
              <w:b/>
            </w:rPr>
            <w:fldChar w:fldCharType="begin"/>
          </w:r>
          <w:r>
            <w:rPr>
              <w:b/>
            </w:rPr>
            <w:instrText xml:space="preserve"> PAGEREF _Toc22085 </w:instrText>
          </w:r>
          <w:r>
            <w:rPr>
              <w:b/>
            </w:rPr>
            <w:fldChar w:fldCharType="separate"/>
          </w:r>
          <w:r>
            <w:rPr>
              <w:b/>
            </w:rPr>
            <w:t>23</w:t>
          </w:r>
          <w:r>
            <w:rPr>
              <w:b/>
            </w:rPr>
            <w:fldChar w:fldCharType="end"/>
          </w:r>
          <w:r>
            <w:rPr>
              <w:b/>
            </w:rPr>
            <w:fldChar w:fldCharType="end"/>
          </w:r>
        </w:p>
        <w:p>
          <w:pPr>
            <w:pStyle w:val="40"/>
            <w:tabs>
              <w:tab w:val="right" w:leader="dot" w:pos="8306"/>
            </w:tabs>
            <w:ind w:left="420"/>
          </w:pPr>
          <w:r>
            <w:fldChar w:fldCharType="begin"/>
          </w:r>
          <w:r>
            <w:instrText xml:space="preserve"> HYPERLINK \l "_Toc21710" </w:instrText>
          </w:r>
          <w:r>
            <w:fldChar w:fldCharType="separate"/>
          </w:r>
          <w:r>
            <w:rPr>
              <w:rFonts w:hint="eastAsia" w:ascii="仿宋" w:hAnsi="仿宋" w:eastAsia="仿宋"/>
            </w:rPr>
            <w:t>一、收入支出决算总表</w:t>
          </w:r>
          <w:r>
            <w:tab/>
          </w:r>
          <w:r>
            <w:fldChar w:fldCharType="begin"/>
          </w:r>
          <w:r>
            <w:instrText xml:space="preserve"> PAGEREF _Toc21710 </w:instrText>
          </w:r>
          <w:r>
            <w:fldChar w:fldCharType="separate"/>
          </w:r>
          <w:r>
            <w:t>23</w:t>
          </w:r>
          <w:r>
            <w:fldChar w:fldCharType="end"/>
          </w:r>
          <w:r>
            <w:fldChar w:fldCharType="end"/>
          </w:r>
        </w:p>
        <w:p>
          <w:pPr>
            <w:pStyle w:val="40"/>
            <w:tabs>
              <w:tab w:val="right" w:leader="dot" w:pos="8306"/>
            </w:tabs>
            <w:ind w:left="420"/>
          </w:pPr>
          <w:r>
            <w:fldChar w:fldCharType="begin"/>
          </w:r>
          <w:r>
            <w:instrText xml:space="preserve"> HYPERLINK \l "_Toc4438" </w:instrText>
          </w:r>
          <w:r>
            <w:fldChar w:fldCharType="separate"/>
          </w:r>
          <w:r>
            <w:rPr>
              <w:rFonts w:hint="eastAsia" w:ascii="仿宋" w:hAnsi="仿宋" w:eastAsia="仿宋"/>
            </w:rPr>
            <w:t>二、收入决算表</w:t>
          </w:r>
          <w:r>
            <w:tab/>
          </w:r>
          <w:r>
            <w:fldChar w:fldCharType="begin"/>
          </w:r>
          <w:r>
            <w:instrText xml:space="preserve"> PAGEREF _Toc4438 </w:instrText>
          </w:r>
          <w:r>
            <w:fldChar w:fldCharType="separate"/>
          </w:r>
          <w:r>
            <w:t>23</w:t>
          </w:r>
          <w:r>
            <w:fldChar w:fldCharType="end"/>
          </w:r>
          <w:r>
            <w:fldChar w:fldCharType="end"/>
          </w:r>
        </w:p>
        <w:p>
          <w:pPr>
            <w:pStyle w:val="40"/>
            <w:tabs>
              <w:tab w:val="right" w:leader="dot" w:pos="8306"/>
            </w:tabs>
            <w:ind w:left="420"/>
          </w:pPr>
          <w:r>
            <w:fldChar w:fldCharType="begin"/>
          </w:r>
          <w:r>
            <w:instrText xml:space="preserve"> HYPERLINK \l "_Toc32584" </w:instrText>
          </w:r>
          <w:r>
            <w:fldChar w:fldCharType="separate"/>
          </w:r>
          <w:r>
            <w:rPr>
              <w:rFonts w:hint="eastAsia" w:ascii="仿宋" w:hAnsi="仿宋" w:eastAsia="仿宋"/>
            </w:rPr>
            <w:t>三、支出决算表</w:t>
          </w:r>
          <w:r>
            <w:tab/>
          </w:r>
          <w:r>
            <w:fldChar w:fldCharType="begin"/>
          </w:r>
          <w:r>
            <w:instrText xml:space="preserve"> PAGEREF _Toc32584 </w:instrText>
          </w:r>
          <w:r>
            <w:fldChar w:fldCharType="separate"/>
          </w:r>
          <w:r>
            <w:t>23</w:t>
          </w:r>
          <w:r>
            <w:fldChar w:fldCharType="end"/>
          </w:r>
          <w:r>
            <w:fldChar w:fldCharType="end"/>
          </w:r>
        </w:p>
        <w:p>
          <w:pPr>
            <w:pStyle w:val="40"/>
            <w:tabs>
              <w:tab w:val="right" w:leader="dot" w:pos="8306"/>
            </w:tabs>
            <w:ind w:left="420"/>
          </w:pPr>
          <w:r>
            <w:fldChar w:fldCharType="begin"/>
          </w:r>
          <w:r>
            <w:instrText xml:space="preserve"> HYPERLINK \l "_Toc9990" </w:instrText>
          </w:r>
          <w:r>
            <w:fldChar w:fldCharType="separate"/>
          </w:r>
          <w:r>
            <w:rPr>
              <w:rFonts w:hint="eastAsia" w:ascii="仿宋" w:hAnsi="仿宋" w:eastAsia="仿宋"/>
            </w:rPr>
            <w:t>四、财政拨款收入支出决算总表</w:t>
          </w:r>
          <w:r>
            <w:tab/>
          </w:r>
          <w:r>
            <w:fldChar w:fldCharType="begin"/>
          </w:r>
          <w:r>
            <w:instrText xml:space="preserve"> PAGEREF _Toc9990 </w:instrText>
          </w:r>
          <w:r>
            <w:fldChar w:fldCharType="separate"/>
          </w:r>
          <w:r>
            <w:t>23</w:t>
          </w:r>
          <w:r>
            <w:fldChar w:fldCharType="end"/>
          </w:r>
          <w:r>
            <w:fldChar w:fldCharType="end"/>
          </w:r>
        </w:p>
        <w:p>
          <w:pPr>
            <w:pStyle w:val="40"/>
            <w:tabs>
              <w:tab w:val="right" w:leader="dot" w:pos="8306"/>
            </w:tabs>
            <w:ind w:left="420"/>
          </w:pPr>
          <w:r>
            <w:fldChar w:fldCharType="begin"/>
          </w:r>
          <w:r>
            <w:instrText xml:space="preserve"> HYPERLINK \l "_Toc1661" </w:instrText>
          </w:r>
          <w:r>
            <w:fldChar w:fldCharType="separate"/>
          </w:r>
          <w:r>
            <w:rPr>
              <w:rFonts w:hint="eastAsia" w:ascii="仿宋" w:hAnsi="仿宋" w:eastAsia="仿宋"/>
            </w:rPr>
            <w:t>五、财政拨款支出决算明细表</w:t>
          </w:r>
          <w:r>
            <w:tab/>
          </w:r>
          <w:r>
            <w:fldChar w:fldCharType="begin"/>
          </w:r>
          <w:r>
            <w:instrText xml:space="preserve"> PAGEREF _Toc1661 </w:instrText>
          </w:r>
          <w:r>
            <w:fldChar w:fldCharType="separate"/>
          </w:r>
          <w:r>
            <w:t>23</w:t>
          </w:r>
          <w:r>
            <w:fldChar w:fldCharType="end"/>
          </w:r>
          <w:r>
            <w:fldChar w:fldCharType="end"/>
          </w:r>
        </w:p>
        <w:p>
          <w:pPr>
            <w:pStyle w:val="40"/>
            <w:tabs>
              <w:tab w:val="right" w:leader="dot" w:pos="8306"/>
            </w:tabs>
            <w:ind w:left="420"/>
          </w:pPr>
          <w:r>
            <w:fldChar w:fldCharType="begin"/>
          </w:r>
          <w:r>
            <w:instrText xml:space="preserve"> HYPERLINK \l "_Toc8621" </w:instrText>
          </w:r>
          <w:r>
            <w:fldChar w:fldCharType="separate"/>
          </w:r>
          <w:r>
            <w:rPr>
              <w:rFonts w:hint="eastAsia" w:ascii="仿宋" w:hAnsi="仿宋" w:eastAsia="仿宋"/>
            </w:rPr>
            <w:t>六、一般公共预算财政拨款支出决算表</w:t>
          </w:r>
          <w:r>
            <w:tab/>
          </w:r>
          <w:r>
            <w:fldChar w:fldCharType="begin"/>
          </w:r>
          <w:r>
            <w:instrText xml:space="preserve"> PAGEREF _Toc8621 </w:instrText>
          </w:r>
          <w:r>
            <w:fldChar w:fldCharType="separate"/>
          </w:r>
          <w:r>
            <w:t>23</w:t>
          </w:r>
          <w:r>
            <w:fldChar w:fldCharType="end"/>
          </w:r>
          <w:r>
            <w:fldChar w:fldCharType="end"/>
          </w:r>
        </w:p>
        <w:p>
          <w:pPr>
            <w:pStyle w:val="40"/>
            <w:tabs>
              <w:tab w:val="right" w:leader="dot" w:pos="8306"/>
            </w:tabs>
            <w:ind w:left="420"/>
          </w:pPr>
          <w:r>
            <w:fldChar w:fldCharType="begin"/>
          </w:r>
          <w:r>
            <w:instrText xml:space="preserve"> HYPERLINK \l "_Toc10831" </w:instrText>
          </w:r>
          <w:r>
            <w:fldChar w:fldCharType="separate"/>
          </w:r>
          <w:r>
            <w:rPr>
              <w:rFonts w:hint="eastAsia" w:ascii="仿宋" w:hAnsi="仿宋" w:eastAsia="仿宋"/>
            </w:rPr>
            <w:t>七、一般公共预算财政拨款支出决算明细表</w:t>
          </w:r>
          <w:r>
            <w:tab/>
          </w:r>
          <w:r>
            <w:fldChar w:fldCharType="begin"/>
          </w:r>
          <w:r>
            <w:instrText xml:space="preserve"> PAGEREF _Toc10831 </w:instrText>
          </w:r>
          <w:r>
            <w:fldChar w:fldCharType="separate"/>
          </w:r>
          <w:r>
            <w:t>23</w:t>
          </w:r>
          <w:r>
            <w:fldChar w:fldCharType="end"/>
          </w:r>
          <w:r>
            <w:fldChar w:fldCharType="end"/>
          </w:r>
        </w:p>
        <w:p>
          <w:pPr>
            <w:pStyle w:val="40"/>
            <w:tabs>
              <w:tab w:val="right" w:leader="dot" w:pos="8306"/>
            </w:tabs>
            <w:ind w:left="420"/>
          </w:pPr>
          <w:r>
            <w:fldChar w:fldCharType="begin"/>
          </w:r>
          <w:r>
            <w:instrText xml:space="preserve"> HYPERLINK \l "_Toc11527" </w:instrText>
          </w:r>
          <w:r>
            <w:fldChar w:fldCharType="separate"/>
          </w:r>
          <w:r>
            <w:rPr>
              <w:rFonts w:hint="eastAsia" w:ascii="仿宋" w:hAnsi="仿宋" w:eastAsia="仿宋"/>
            </w:rPr>
            <w:t>八、一般公共预算财政拨款基本支出决算表</w:t>
          </w:r>
          <w:r>
            <w:tab/>
          </w:r>
          <w:r>
            <w:fldChar w:fldCharType="begin"/>
          </w:r>
          <w:r>
            <w:instrText xml:space="preserve"> PAGEREF _Toc11527 </w:instrText>
          </w:r>
          <w:r>
            <w:fldChar w:fldCharType="separate"/>
          </w:r>
          <w:r>
            <w:t>23</w:t>
          </w:r>
          <w:r>
            <w:fldChar w:fldCharType="end"/>
          </w:r>
          <w:r>
            <w:fldChar w:fldCharType="end"/>
          </w:r>
        </w:p>
        <w:p>
          <w:pPr>
            <w:pStyle w:val="40"/>
            <w:tabs>
              <w:tab w:val="right" w:leader="dot" w:pos="8306"/>
            </w:tabs>
            <w:ind w:left="420"/>
          </w:pPr>
          <w:r>
            <w:fldChar w:fldCharType="begin"/>
          </w:r>
          <w:r>
            <w:instrText xml:space="preserve"> HYPERLINK \l "_Toc3447" </w:instrText>
          </w:r>
          <w:r>
            <w:fldChar w:fldCharType="separate"/>
          </w:r>
          <w:r>
            <w:rPr>
              <w:rFonts w:hint="eastAsia" w:ascii="仿宋" w:hAnsi="仿宋" w:eastAsia="仿宋"/>
            </w:rPr>
            <w:t>九、一般公共预算财政拨款项目支出决算表</w:t>
          </w:r>
          <w:r>
            <w:tab/>
          </w:r>
          <w:r>
            <w:fldChar w:fldCharType="begin"/>
          </w:r>
          <w:r>
            <w:instrText xml:space="preserve"> PAGEREF _Toc3447 </w:instrText>
          </w:r>
          <w:r>
            <w:fldChar w:fldCharType="separate"/>
          </w:r>
          <w:r>
            <w:t>23</w:t>
          </w:r>
          <w:r>
            <w:fldChar w:fldCharType="end"/>
          </w:r>
          <w:r>
            <w:fldChar w:fldCharType="end"/>
          </w:r>
        </w:p>
        <w:p>
          <w:pPr>
            <w:pStyle w:val="40"/>
            <w:tabs>
              <w:tab w:val="right" w:leader="dot" w:pos="8306"/>
            </w:tabs>
            <w:ind w:left="420"/>
          </w:pPr>
          <w:r>
            <w:fldChar w:fldCharType="begin"/>
          </w:r>
          <w:r>
            <w:instrText xml:space="preserve"> HYPERLINK \l "_Toc14092" </w:instrText>
          </w:r>
          <w:r>
            <w:fldChar w:fldCharType="separate"/>
          </w:r>
          <w:r>
            <w:rPr>
              <w:rFonts w:hint="eastAsia" w:ascii="仿宋" w:hAnsi="仿宋" w:eastAsia="仿宋"/>
            </w:rPr>
            <w:t>十、一般公共预算财政拨款“三公”经费支出决算表</w:t>
          </w:r>
          <w:r>
            <w:tab/>
          </w:r>
          <w:r>
            <w:fldChar w:fldCharType="begin"/>
          </w:r>
          <w:r>
            <w:instrText xml:space="preserve"> PAGEREF _Toc14092 </w:instrText>
          </w:r>
          <w:r>
            <w:fldChar w:fldCharType="separate"/>
          </w:r>
          <w:r>
            <w:t>23</w:t>
          </w:r>
          <w:r>
            <w:fldChar w:fldCharType="end"/>
          </w:r>
          <w:r>
            <w:fldChar w:fldCharType="end"/>
          </w:r>
        </w:p>
        <w:p>
          <w:pPr>
            <w:pStyle w:val="40"/>
            <w:tabs>
              <w:tab w:val="right" w:leader="dot" w:pos="8306"/>
            </w:tabs>
            <w:ind w:left="420"/>
          </w:pPr>
          <w:r>
            <w:fldChar w:fldCharType="begin"/>
          </w:r>
          <w:r>
            <w:instrText xml:space="preserve"> HYPERLINK \l "_Toc2962" </w:instrText>
          </w:r>
          <w:r>
            <w:fldChar w:fldCharType="separate"/>
          </w:r>
          <w:r>
            <w:rPr>
              <w:rFonts w:hint="eastAsia" w:ascii="仿宋" w:hAnsi="仿宋" w:eastAsia="仿宋"/>
            </w:rPr>
            <w:t>十一、政府性基金预算财政拨款收入支出决算表</w:t>
          </w:r>
          <w:r>
            <w:tab/>
          </w:r>
          <w:r>
            <w:fldChar w:fldCharType="begin"/>
          </w:r>
          <w:r>
            <w:instrText xml:space="preserve"> PAGEREF _Toc2962 </w:instrText>
          </w:r>
          <w:r>
            <w:fldChar w:fldCharType="separate"/>
          </w:r>
          <w:r>
            <w:t>23</w:t>
          </w:r>
          <w:r>
            <w:fldChar w:fldCharType="end"/>
          </w:r>
          <w:r>
            <w:fldChar w:fldCharType="end"/>
          </w:r>
        </w:p>
        <w:p>
          <w:pPr>
            <w:pStyle w:val="40"/>
            <w:tabs>
              <w:tab w:val="right" w:leader="dot" w:pos="8306"/>
            </w:tabs>
            <w:ind w:left="420"/>
          </w:pPr>
          <w:r>
            <w:fldChar w:fldCharType="begin"/>
          </w:r>
          <w:r>
            <w:instrText xml:space="preserve"> HYPERLINK \l "_Toc17506" </w:instrText>
          </w:r>
          <w:r>
            <w:fldChar w:fldCharType="separate"/>
          </w:r>
          <w:r>
            <w:rPr>
              <w:rFonts w:hint="eastAsia" w:ascii="仿宋" w:hAnsi="仿宋" w:eastAsia="仿宋"/>
            </w:rPr>
            <w:t>十二、政府性基金预算财政拨款“三公”经费支出决算表</w:t>
          </w:r>
          <w:r>
            <w:tab/>
          </w:r>
          <w:r>
            <w:fldChar w:fldCharType="begin"/>
          </w:r>
          <w:r>
            <w:instrText xml:space="preserve"> PAGEREF _Toc17506 </w:instrText>
          </w:r>
          <w:r>
            <w:fldChar w:fldCharType="separate"/>
          </w:r>
          <w:r>
            <w:t>23</w:t>
          </w:r>
          <w:r>
            <w:fldChar w:fldCharType="end"/>
          </w:r>
          <w:r>
            <w:fldChar w:fldCharType="end"/>
          </w:r>
        </w:p>
        <w:p>
          <w:pPr>
            <w:pStyle w:val="40"/>
            <w:tabs>
              <w:tab w:val="right" w:leader="dot" w:pos="8306"/>
            </w:tabs>
            <w:ind w:left="420"/>
          </w:pPr>
          <w:r>
            <w:fldChar w:fldCharType="begin"/>
          </w:r>
          <w:r>
            <w:instrText xml:space="preserve"> HYPERLINK \l "_Toc14395" </w:instrText>
          </w:r>
          <w:r>
            <w:fldChar w:fldCharType="separate"/>
          </w:r>
          <w:r>
            <w:rPr>
              <w:rFonts w:hint="eastAsia" w:ascii="仿宋" w:hAnsi="仿宋" w:eastAsia="仿宋"/>
            </w:rPr>
            <w:t>十三、国有资本经营预算支出决算表</w:t>
          </w:r>
          <w:r>
            <w:tab/>
          </w:r>
          <w:r>
            <w:fldChar w:fldCharType="begin"/>
          </w:r>
          <w:r>
            <w:instrText xml:space="preserve"> PAGEREF _Toc14395 </w:instrText>
          </w:r>
          <w:r>
            <w:fldChar w:fldCharType="separate"/>
          </w:r>
          <w:r>
            <w:t>23</w:t>
          </w:r>
          <w:r>
            <w:fldChar w:fldCharType="end"/>
          </w:r>
          <w:r>
            <w:fldChar w:fldCharType="end"/>
          </w:r>
        </w:p>
        <w:p>
          <w:r>
            <w:rPr>
              <w:b/>
            </w:rPr>
            <w:fldChar w:fldCharType="end"/>
          </w:r>
        </w:p>
      </w:sdtContent>
    </w:sdt>
    <w:p>
      <w:pPr>
        <w:pStyle w:val="16"/>
        <w:jc w:val="center"/>
        <w:rPr>
          <w:rFonts w:ascii="方正小标宋简体" w:hAnsi="方正小标宋简体" w:eastAsia="方正小标宋简体" w:cs="方正小标宋简体"/>
          <w:bCs w:val="0"/>
        </w:rPr>
        <w:sectPr>
          <w:footerReference r:id="rId4" w:type="default"/>
          <w:pgSz w:w="11906" w:h="16838"/>
          <w:pgMar w:top="1440" w:right="1800" w:bottom="1440" w:left="1800" w:header="851" w:footer="992" w:gutter="0"/>
          <w:pgNumType w:start="1"/>
          <w:cols w:space="425" w:num="1"/>
          <w:docGrid w:type="lines" w:linePitch="312" w:charSpace="0"/>
        </w:sectPr>
      </w:pPr>
      <w:bookmarkStart w:id="23" w:name="_Toc5675"/>
    </w:p>
    <w:p>
      <w:pPr>
        <w:pStyle w:val="16"/>
        <w:jc w:val="center"/>
        <w:rPr>
          <w:rFonts w:ascii="方正小标宋简体" w:hAnsi="方正小标宋简体" w:eastAsia="方正小标宋简体" w:cs="方正小标宋简体"/>
          <w:bCs w:val="0"/>
          <w:sz w:val="32"/>
          <w:szCs w:val="32"/>
        </w:rPr>
      </w:pPr>
      <w:r>
        <w:rPr>
          <w:rFonts w:hint="eastAsia" w:ascii="方正小标宋简体" w:hAnsi="方正小标宋简体" w:eastAsia="方正小标宋简体" w:cs="方正小标宋简体"/>
          <w:bCs w:val="0"/>
        </w:rPr>
        <w:t>第一部分</w:t>
      </w:r>
      <w:r>
        <w:rPr>
          <w:rFonts w:hint="eastAsia" w:ascii="方正小标宋简体" w:hAnsi="方正小标宋简体" w:eastAsia="方正小标宋简体" w:cs="方正小标宋简体"/>
          <w:bCs w:val="0"/>
          <w:lang w:val="en-US" w:eastAsia="zh-CN"/>
        </w:rPr>
        <w:t xml:space="preserve"> </w:t>
      </w:r>
      <w:r>
        <w:rPr>
          <w:rStyle w:val="33"/>
          <w:rFonts w:hint="eastAsia" w:ascii="方正小标宋简体" w:hAnsi="方正小标宋简体" w:eastAsia="方正小标宋简体" w:cs="方正小标宋简体"/>
          <w:b/>
          <w:bCs w:val="0"/>
        </w:rPr>
        <w:t>部门概况</w:t>
      </w:r>
      <w:bookmarkEnd w:id="23"/>
    </w:p>
    <w:p>
      <w:pPr>
        <w:pStyle w:val="17"/>
        <w:spacing w:before="0" w:after="0" w:line="560" w:lineRule="exact"/>
        <w:ind w:firstLine="643" w:firstLineChars="200"/>
        <w:rPr>
          <w:rStyle w:val="34"/>
          <w:rFonts w:ascii="仿宋" w:hAnsi="仿宋" w:eastAsia="仿宋"/>
          <w:b/>
          <w:bCs w:val="0"/>
        </w:rPr>
      </w:pPr>
      <w:bookmarkStart w:id="24" w:name="_Toc12540"/>
      <w:bookmarkStart w:id="25" w:name="_Toc25715"/>
      <w:bookmarkStart w:id="26" w:name="_Toc15396600"/>
      <w:bookmarkStart w:id="27" w:name="_Toc15377197"/>
      <w:r>
        <w:rPr>
          <w:rFonts w:hint="eastAsia" w:ascii="黑体" w:hAnsi="黑体" w:eastAsia="黑体"/>
          <w:bCs w:val="0"/>
        </w:rPr>
        <w:t>一、基</w:t>
      </w:r>
      <w:r>
        <w:rPr>
          <w:rStyle w:val="34"/>
          <w:rFonts w:hint="eastAsia" w:ascii="黑体" w:hAnsi="黑体" w:eastAsia="黑体"/>
          <w:b/>
          <w:bCs w:val="0"/>
        </w:rPr>
        <w:t>本职能及主要工作</w:t>
      </w:r>
      <w:bookmarkEnd w:id="24"/>
      <w:bookmarkEnd w:id="25"/>
      <w:bookmarkEnd w:id="26"/>
      <w:bookmarkEnd w:id="27"/>
    </w:p>
    <w:p>
      <w:pPr>
        <w:pStyle w:val="3"/>
        <w:adjustRightInd w:val="0"/>
        <w:snapToGrid w:val="0"/>
        <w:spacing w:beforeLines="0" w:line="560" w:lineRule="exact"/>
        <w:ind w:firstLine="675" w:firstLineChars="210"/>
        <w:outlineLvl w:val="2"/>
        <w:rPr>
          <w:rFonts w:ascii="楷体_GB2312" w:hAnsi="楷体_GB2312" w:eastAsia="楷体_GB2312" w:cs="楷体_GB2312"/>
          <w:b/>
          <w:sz w:val="32"/>
          <w:szCs w:val="32"/>
        </w:rPr>
      </w:pPr>
      <w:bookmarkStart w:id="28" w:name="_Toc15377198"/>
      <w:bookmarkStart w:id="29" w:name="_Toc15657"/>
      <w:bookmarkStart w:id="30" w:name="_Toc25900"/>
      <w:bookmarkStart w:id="31" w:name="_Toc32146"/>
      <w:bookmarkStart w:id="32" w:name="_Toc15378445"/>
      <w:r>
        <w:rPr>
          <w:rFonts w:hint="eastAsia" w:ascii="楷体_GB2312" w:hAnsi="楷体_GB2312" w:eastAsia="楷体_GB2312" w:cs="楷体_GB2312"/>
          <w:b/>
          <w:sz w:val="32"/>
          <w:szCs w:val="32"/>
        </w:rPr>
        <w:t>（一）主要职能。</w:t>
      </w:r>
      <w:bookmarkEnd w:id="28"/>
      <w:bookmarkEnd w:id="29"/>
      <w:bookmarkEnd w:id="30"/>
      <w:bookmarkEnd w:id="31"/>
      <w:bookmarkEnd w:id="32"/>
      <w:bookmarkStart w:id="33" w:name="_Toc15377199"/>
      <w:bookmarkStart w:id="34" w:name="_Toc15378446"/>
    </w:p>
    <w:p>
      <w:pPr>
        <w:pStyle w:val="3"/>
        <w:adjustRightInd w:val="0"/>
        <w:snapToGrid w:val="0"/>
        <w:spacing w:beforeLines="0" w:line="560" w:lineRule="exact"/>
        <w:ind w:firstLine="672" w:firstLineChars="210"/>
        <w:outlineLvl w:val="2"/>
        <w:rPr>
          <w:rFonts w:hAnsi="仿宋_GB2312" w:cs="仿宋_GB2312"/>
          <w:bCs/>
          <w:sz w:val="32"/>
          <w:szCs w:val="32"/>
        </w:rPr>
      </w:pPr>
      <w:bookmarkStart w:id="35" w:name="_Toc29782"/>
      <w:bookmarkStart w:id="36" w:name="_Toc26973"/>
      <w:bookmarkStart w:id="37" w:name="_Toc18193"/>
      <w:r>
        <w:rPr>
          <w:rFonts w:hint="eastAsia" w:hAnsi="仿宋_GB2312" w:cs="仿宋_GB2312"/>
          <w:bCs/>
          <w:sz w:val="32"/>
          <w:szCs w:val="32"/>
        </w:rPr>
        <w:t>1.行使《中国共产主义青年团章程》赋予的领导全县共青团、全县青年联合会、学生联合会和少先队工作的职权</w:t>
      </w:r>
      <w:r>
        <w:rPr>
          <w:rFonts w:hint="eastAsia"/>
          <w:u w:val="none" w:color="000000"/>
          <w:shd w:val="clear" w:fill="auto"/>
        </w:rPr>
        <w:t>。</w:t>
      </w:r>
      <w:r>
        <w:rPr>
          <w:rFonts w:hint="eastAsia" w:hAnsi="仿宋_GB2312" w:cs="仿宋_GB2312"/>
          <w:bCs/>
          <w:sz w:val="32"/>
          <w:szCs w:val="32"/>
          <w:u w:val="none" w:color="000000"/>
          <w:shd w:val="clear" w:fill="auto"/>
        </w:rPr>
        <w:t>对全县青</w:t>
      </w:r>
      <w:r>
        <w:rPr>
          <w:rFonts w:hint="eastAsia" w:hAnsi="仿宋_GB2312" w:cs="仿宋_GB2312"/>
          <w:bCs/>
          <w:sz w:val="32"/>
          <w:szCs w:val="32"/>
        </w:rPr>
        <w:t>年社会团</w:t>
      </w:r>
      <w:r>
        <w:rPr>
          <w:rFonts w:hint="eastAsia" w:hAnsi="仿宋_GB2312" w:cs="仿宋_GB2312"/>
          <w:bCs/>
          <w:sz w:val="32"/>
          <w:szCs w:val="32"/>
          <w:lang w:eastAsia="zh-CN"/>
        </w:rPr>
        <w:t>体</w:t>
      </w:r>
      <w:r>
        <w:rPr>
          <w:rFonts w:hint="eastAsia" w:hAnsi="仿宋_GB2312" w:cs="仿宋_GB2312"/>
          <w:bCs/>
          <w:sz w:val="32"/>
          <w:szCs w:val="32"/>
        </w:rPr>
        <w:t>组织进行指导和管理。</w:t>
      </w:r>
      <w:bookmarkEnd w:id="35"/>
      <w:bookmarkEnd w:id="36"/>
      <w:bookmarkEnd w:id="37"/>
    </w:p>
    <w:p>
      <w:pPr>
        <w:pStyle w:val="3"/>
        <w:adjustRightInd w:val="0"/>
        <w:snapToGrid w:val="0"/>
        <w:spacing w:beforeLines="0" w:line="560" w:lineRule="exact"/>
        <w:ind w:firstLine="672" w:firstLineChars="210"/>
        <w:outlineLvl w:val="2"/>
        <w:rPr>
          <w:rFonts w:hAnsi="仿宋_GB2312" w:cs="仿宋_GB2312"/>
          <w:bCs/>
          <w:sz w:val="32"/>
          <w:szCs w:val="32"/>
        </w:rPr>
      </w:pPr>
      <w:bookmarkStart w:id="38" w:name="_Toc9513"/>
      <w:bookmarkStart w:id="39" w:name="_Toc30930"/>
      <w:bookmarkStart w:id="40" w:name="_Toc14805"/>
      <w:r>
        <w:rPr>
          <w:rFonts w:hint="eastAsia" w:hAnsi="仿宋_GB2312" w:cs="仿宋_GB2312"/>
          <w:bCs/>
          <w:sz w:val="32"/>
          <w:szCs w:val="32"/>
        </w:rPr>
        <w:t>2.参与制定我县青少年事业发展规划和青少年工作方针政策。对我县青少年活动阵地、青少年报刊、青少年服务机构的建设和青少年读物出版等事务进行规划和管理。</w:t>
      </w:r>
      <w:bookmarkEnd w:id="38"/>
      <w:bookmarkEnd w:id="39"/>
      <w:bookmarkEnd w:id="40"/>
    </w:p>
    <w:p>
      <w:pPr>
        <w:pStyle w:val="3"/>
        <w:adjustRightInd w:val="0"/>
        <w:snapToGrid w:val="0"/>
        <w:spacing w:beforeLines="0" w:line="560" w:lineRule="exact"/>
        <w:ind w:firstLine="672" w:firstLineChars="210"/>
        <w:rPr>
          <w:rFonts w:hAnsi="仿宋_GB2312" w:cs="仿宋_GB2312"/>
          <w:bCs/>
          <w:sz w:val="32"/>
          <w:szCs w:val="32"/>
        </w:rPr>
      </w:pPr>
      <w:bookmarkStart w:id="41" w:name="_Toc25456"/>
      <w:bookmarkStart w:id="42" w:name="_Toc20316"/>
      <w:r>
        <w:rPr>
          <w:rFonts w:hint="eastAsia" w:hAnsi="仿宋_GB2312" w:cs="仿宋_GB2312"/>
          <w:bCs/>
          <w:sz w:val="32"/>
          <w:szCs w:val="32"/>
        </w:rPr>
        <w:t>3.参与有关我县青少年事务有关措施的制定和实施。协助县委、县人民政府有关部门处理、协调与青少年利益相关的事务。</w:t>
      </w:r>
      <w:bookmarkEnd w:id="41"/>
      <w:bookmarkEnd w:id="42"/>
      <w:bookmarkStart w:id="43" w:name="_Toc25615"/>
    </w:p>
    <w:p>
      <w:pPr>
        <w:pStyle w:val="3"/>
        <w:adjustRightInd w:val="0"/>
        <w:snapToGrid w:val="0"/>
        <w:spacing w:beforeLines="0" w:line="560" w:lineRule="exact"/>
        <w:ind w:firstLine="672" w:firstLineChars="210"/>
        <w:outlineLvl w:val="2"/>
        <w:rPr>
          <w:rFonts w:hAnsi="仿宋_GB2312" w:cs="仿宋_GB2312"/>
          <w:bCs/>
          <w:sz w:val="32"/>
          <w:szCs w:val="32"/>
        </w:rPr>
      </w:pPr>
      <w:bookmarkStart w:id="44" w:name="_Toc21487"/>
      <w:bookmarkStart w:id="45" w:name="_Toc27591"/>
      <w:r>
        <w:rPr>
          <w:rFonts w:hint="eastAsia" w:hAnsi="仿宋_GB2312" w:cs="仿宋_GB2312"/>
          <w:bCs/>
          <w:sz w:val="32"/>
          <w:szCs w:val="32"/>
        </w:rPr>
        <w:t>4.调查和掌握青年思想动态和青年工作状况。研究青少年运动、青少年工作理论和思想教育问题。提出相应对策。开展各种有益活动。</w:t>
      </w:r>
      <w:bookmarkEnd w:id="43"/>
      <w:bookmarkEnd w:id="44"/>
      <w:bookmarkEnd w:id="45"/>
    </w:p>
    <w:p>
      <w:pPr>
        <w:pStyle w:val="3"/>
        <w:adjustRightInd w:val="0"/>
        <w:snapToGrid w:val="0"/>
        <w:spacing w:beforeLines="0" w:line="560" w:lineRule="exact"/>
        <w:ind w:firstLine="672" w:firstLineChars="210"/>
        <w:outlineLvl w:val="2"/>
        <w:rPr>
          <w:rFonts w:hAnsi="仿宋_GB2312" w:cs="仿宋_GB2312"/>
          <w:bCs/>
          <w:sz w:val="32"/>
          <w:szCs w:val="32"/>
        </w:rPr>
      </w:pPr>
      <w:bookmarkStart w:id="46" w:name="_Toc17445"/>
      <w:bookmarkStart w:id="47" w:name="_Toc26296"/>
      <w:bookmarkStart w:id="48" w:name="_Toc10462"/>
      <w:r>
        <w:rPr>
          <w:rFonts w:hint="eastAsia" w:hAnsi="仿宋_GB2312" w:cs="仿宋_GB2312"/>
          <w:bCs/>
          <w:sz w:val="32"/>
          <w:szCs w:val="32"/>
        </w:rPr>
        <w:t>5.协助有关部门做好中、小学生的教育管理工作。维护学校稳定和社会安定团结。</w:t>
      </w:r>
      <w:bookmarkEnd w:id="46"/>
      <w:bookmarkEnd w:id="47"/>
      <w:bookmarkEnd w:id="48"/>
      <w:bookmarkStart w:id="49" w:name="_Toc16220"/>
    </w:p>
    <w:p>
      <w:pPr>
        <w:pStyle w:val="3"/>
        <w:adjustRightInd w:val="0"/>
        <w:snapToGrid w:val="0"/>
        <w:spacing w:beforeLines="0" w:line="560" w:lineRule="exact"/>
        <w:ind w:firstLine="672" w:firstLineChars="210"/>
        <w:outlineLvl w:val="2"/>
        <w:rPr>
          <w:rFonts w:hAnsi="仿宋_GB2312" w:cs="仿宋_GB2312"/>
          <w:bCs/>
          <w:sz w:val="32"/>
          <w:szCs w:val="32"/>
        </w:rPr>
      </w:pPr>
      <w:bookmarkStart w:id="50" w:name="_Toc2460"/>
      <w:bookmarkStart w:id="51" w:name="_Toc32136"/>
      <w:r>
        <w:rPr>
          <w:rFonts w:hint="eastAsia" w:hAnsi="仿宋_GB2312" w:cs="仿宋_GB2312"/>
          <w:bCs/>
          <w:sz w:val="32"/>
          <w:szCs w:val="32"/>
        </w:rPr>
        <w:t>6.在国家经济建设中，组织和带领青年发挥生力军和突击队作用。</w:t>
      </w:r>
      <w:bookmarkEnd w:id="49"/>
      <w:bookmarkEnd w:id="50"/>
      <w:bookmarkEnd w:id="51"/>
    </w:p>
    <w:p>
      <w:pPr>
        <w:pStyle w:val="3"/>
        <w:adjustRightInd w:val="0"/>
        <w:snapToGrid w:val="0"/>
        <w:spacing w:beforeLines="0" w:line="560" w:lineRule="exact"/>
        <w:ind w:firstLine="672" w:firstLineChars="210"/>
        <w:outlineLvl w:val="2"/>
        <w:rPr>
          <w:rFonts w:hAnsi="仿宋_GB2312" w:cs="仿宋_GB2312"/>
          <w:bCs/>
          <w:sz w:val="32"/>
          <w:szCs w:val="32"/>
        </w:rPr>
      </w:pPr>
      <w:bookmarkStart w:id="52" w:name="_Toc21204"/>
      <w:bookmarkStart w:id="53" w:name="_Toc16880"/>
      <w:bookmarkStart w:id="54" w:name="_Toc2309"/>
      <w:r>
        <w:rPr>
          <w:rFonts w:hint="eastAsia" w:hAnsi="仿宋_GB2312" w:cs="仿宋_GB2312"/>
          <w:bCs/>
          <w:sz w:val="32"/>
          <w:szCs w:val="32"/>
        </w:rPr>
        <w:t>7.会同有关部门对全县青少年外事工作进行归口管理和提供服务。负责与县外、国外青少年、政府青年机构及其他友好团体的交流工作。</w:t>
      </w:r>
      <w:bookmarkEnd w:id="52"/>
      <w:bookmarkEnd w:id="53"/>
      <w:bookmarkEnd w:id="54"/>
    </w:p>
    <w:p>
      <w:pPr>
        <w:pStyle w:val="3"/>
        <w:adjustRightInd w:val="0"/>
        <w:snapToGrid w:val="0"/>
        <w:spacing w:beforeLines="0" w:line="560" w:lineRule="exact"/>
        <w:ind w:firstLine="672" w:firstLineChars="210"/>
        <w:outlineLvl w:val="2"/>
        <w:rPr>
          <w:rFonts w:hAnsi="仿宋_GB2312" w:cs="仿宋_GB2312"/>
          <w:bCs/>
          <w:sz w:val="32"/>
          <w:szCs w:val="32"/>
        </w:rPr>
      </w:pPr>
      <w:bookmarkStart w:id="55" w:name="_Toc4349"/>
      <w:bookmarkStart w:id="56" w:name="_Toc24954"/>
      <w:bookmarkStart w:id="57" w:name="_Toc12295"/>
      <w:r>
        <w:rPr>
          <w:rFonts w:hint="eastAsia" w:hAnsi="仿宋_GB2312" w:cs="仿宋_GB2312"/>
          <w:bCs/>
          <w:sz w:val="32"/>
          <w:szCs w:val="32"/>
        </w:rPr>
        <w:t>8.参与制定我县有关青年统战工作措施。做好我县青年统战对象的团结教育工作。维护和促进社会统一和民族团结。</w:t>
      </w:r>
      <w:bookmarkEnd w:id="55"/>
      <w:bookmarkEnd w:id="56"/>
      <w:bookmarkEnd w:id="57"/>
    </w:p>
    <w:p>
      <w:pPr>
        <w:pStyle w:val="3"/>
        <w:adjustRightInd w:val="0"/>
        <w:snapToGrid w:val="0"/>
        <w:spacing w:beforeLines="0" w:line="560" w:lineRule="exact"/>
        <w:ind w:firstLine="672" w:firstLineChars="210"/>
        <w:outlineLvl w:val="2"/>
        <w:rPr>
          <w:rFonts w:hAnsi="仿宋_GB2312" w:cs="仿宋_GB2312"/>
          <w:bCs/>
          <w:sz w:val="32"/>
          <w:szCs w:val="32"/>
        </w:rPr>
      </w:pPr>
      <w:bookmarkStart w:id="58" w:name="_Toc27436"/>
      <w:bookmarkStart w:id="59" w:name="_Toc16699"/>
      <w:bookmarkStart w:id="60" w:name="_Toc15454"/>
      <w:r>
        <w:rPr>
          <w:rFonts w:hint="eastAsia" w:hAnsi="仿宋_GB2312" w:cs="仿宋_GB2312"/>
          <w:bCs/>
          <w:sz w:val="32"/>
          <w:szCs w:val="32"/>
        </w:rPr>
        <w:t>9.承担县委交办的有关工作。</w:t>
      </w:r>
      <w:bookmarkEnd w:id="58"/>
      <w:bookmarkEnd w:id="59"/>
      <w:bookmarkEnd w:id="60"/>
    </w:p>
    <w:p>
      <w:pPr>
        <w:pStyle w:val="3"/>
        <w:adjustRightInd w:val="0"/>
        <w:snapToGrid w:val="0"/>
        <w:spacing w:beforeLines="0" w:line="560" w:lineRule="exact"/>
        <w:outlineLvl w:val="2"/>
        <w:rPr>
          <w:rFonts w:ascii="黑体" w:hAnsi="黑体" w:eastAsia="黑体" w:cstheme="majorBidi"/>
          <w:b/>
          <w:kern w:val="2"/>
          <w:sz w:val="32"/>
          <w:szCs w:val="32"/>
        </w:rPr>
      </w:pPr>
      <w:bookmarkStart w:id="61" w:name="_Toc14838"/>
      <w:bookmarkStart w:id="62" w:name="_Toc25486"/>
      <w:bookmarkStart w:id="63" w:name="_Toc24329"/>
      <w:r>
        <w:rPr>
          <w:rFonts w:hint="eastAsia" w:ascii="黑体" w:hAnsi="黑体" w:eastAsia="黑体" w:cstheme="majorBidi"/>
          <w:b/>
          <w:kern w:val="2"/>
          <w:sz w:val="32"/>
          <w:szCs w:val="32"/>
        </w:rPr>
        <w:t>二、2021年重点工作完成情况。</w:t>
      </w:r>
      <w:bookmarkEnd w:id="33"/>
      <w:bookmarkEnd w:id="34"/>
      <w:bookmarkEnd w:id="61"/>
      <w:bookmarkEnd w:id="62"/>
      <w:bookmarkEnd w:id="63"/>
    </w:p>
    <w:p>
      <w:pPr>
        <w:spacing w:line="560" w:lineRule="exact"/>
        <w:ind w:firstLine="643" w:firstLineChars="200"/>
        <w:rPr>
          <w:rFonts w:eastAsia="仿宋_GB2312" w:cs="仿宋_GB2312"/>
          <w:sz w:val="32"/>
          <w:szCs w:val="32"/>
        </w:rPr>
      </w:pPr>
      <w:bookmarkStart w:id="64" w:name="_Toc15377200"/>
      <w:bookmarkStart w:id="65" w:name="_Toc15396601"/>
      <w:bookmarkStart w:id="66" w:name="_Toc3592"/>
      <w:r>
        <w:rPr>
          <w:rFonts w:hint="eastAsia" w:ascii="楷体_GB2312" w:hAnsi="楷体_GB2312" w:eastAsia="楷体_GB2312" w:cs="楷体_GB2312"/>
          <w:b/>
          <w:bCs/>
          <w:sz w:val="32"/>
          <w:szCs w:val="32"/>
        </w:rPr>
        <w:t>（一）强化思想引导。</w:t>
      </w:r>
      <w:r>
        <w:rPr>
          <w:rFonts w:hint="eastAsia" w:eastAsia="仿宋_GB2312" w:cs="仿宋_GB2312"/>
          <w:sz w:val="32"/>
          <w:szCs w:val="32"/>
        </w:rPr>
        <w:t>在全县团系统大力开展“学党史、强信念、跟党走”学习教育活动，1159个团支部围绕5个专题学习和开展主题团日活动录入智慧团建系统7289场次。依托</w:t>
      </w:r>
      <w:r>
        <w:rPr>
          <w:rFonts w:eastAsia="仿宋_GB2312"/>
          <w:sz w:val="32"/>
          <w:szCs w:val="32"/>
          <w:shd w:val="clear" w:color="auto" w:fill="FFFFFF"/>
        </w:rPr>
        <w:t>专题报告讲座、团队仪式</w:t>
      </w:r>
      <w:r>
        <w:rPr>
          <w:rFonts w:hint="eastAsia" w:eastAsia="仿宋_GB2312"/>
          <w:sz w:val="32"/>
          <w:szCs w:val="32"/>
          <w:shd w:val="clear" w:color="auto" w:fill="FFFFFF"/>
        </w:rPr>
        <w:t>、红色教育基地等，着力为青少年培育和践行社会主义核心价值观。</w:t>
      </w:r>
      <w:r>
        <w:rPr>
          <w:rFonts w:hint="eastAsia" w:eastAsia="仿宋_GB2312" w:cs="仿宋_GB2312"/>
          <w:sz w:val="32"/>
          <w:szCs w:val="32"/>
        </w:rPr>
        <w:t>深化青年大学习行动，33万余名团员青年</w:t>
      </w:r>
      <w:r>
        <w:rPr>
          <w:rFonts w:hint="eastAsia" w:eastAsia="仿宋_GB2312"/>
          <w:sz w:val="32"/>
          <w:szCs w:val="32"/>
          <w:shd w:val="clear" w:color="auto" w:fill="FFFFFF"/>
        </w:rPr>
        <w:t>打卡</w:t>
      </w:r>
      <w:r>
        <w:rPr>
          <w:rFonts w:hint="eastAsia" w:eastAsia="仿宋_GB2312" w:cs="仿宋_GB2312"/>
          <w:sz w:val="32"/>
          <w:szCs w:val="32"/>
        </w:rPr>
        <w:t>学习。大力开展选优评先活动，涌现全国青年文明号1个，1人荣获团省委表彰，6人3集体获团市委表彰，18人7集体获团县委表彰。</w:t>
      </w:r>
    </w:p>
    <w:p>
      <w:pPr>
        <w:spacing w:line="560" w:lineRule="exact"/>
        <w:ind w:firstLine="643" w:firstLineChars="200"/>
        <w:rPr>
          <w:rFonts w:ascii="楷体_GB2312" w:hAnsi="楷体_GB2312" w:eastAsia="仿宋_GB2312" w:cs="楷体_GB2312"/>
          <w:b/>
          <w:bCs/>
          <w:sz w:val="32"/>
          <w:szCs w:val="32"/>
        </w:rPr>
      </w:pPr>
      <w:r>
        <w:rPr>
          <w:rFonts w:hint="eastAsia" w:ascii="楷体_GB2312" w:hAnsi="楷体_GB2312" w:eastAsia="楷体_GB2312" w:cs="楷体_GB2312"/>
          <w:b/>
          <w:bCs/>
          <w:sz w:val="32"/>
          <w:szCs w:val="32"/>
        </w:rPr>
        <w:t>（二）助力青年建功。</w:t>
      </w:r>
      <w:r>
        <w:rPr>
          <w:rFonts w:hint="eastAsia" w:eastAsia="仿宋_GB2312" w:cs="仿宋_GB2312"/>
          <w:sz w:val="32"/>
          <w:szCs w:val="32"/>
        </w:rPr>
        <w:t>着力推动青年就业创业，持续深入实施“西部计划”“逐梦计划”“三下乡”，5名西部计划志愿者在岗服务，募集72个岗位5名大学生成功双选，南开大学等9支暑期三下乡团队来通实践；开展1期农村电商助力乡村振兴培训班，举办2期团青讲堂，联合教科、商务、就业等单位举办线上招聘会1期，提供2000余个就业岗位；推报2人参加</w:t>
      </w:r>
      <w:r>
        <w:rPr>
          <w:rFonts w:hint="eastAsia" w:ascii="仿宋_GB2312" w:eastAsia="仿宋_GB2312"/>
          <w:sz w:val="32"/>
          <w:szCs w:val="32"/>
        </w:rPr>
        <w:t>创青春</w:t>
      </w:r>
      <w:r>
        <w:rPr>
          <w:rFonts w:hint="eastAsia" w:eastAsia="仿宋_GB2312" w:cs="仿宋_GB2312"/>
          <w:sz w:val="32"/>
          <w:szCs w:val="32"/>
        </w:rPr>
        <w:t>川东北经济区青年创新创业大赛1人获优秀奖，推报1人参加青年职业专项赛。组建41支青年突击队在森林防火、抗洪抢险等方面发挥先锋作用，动员728名寒暑假返乡大学生团员青年到居住地团组织报到，累计1337余人次参与疫情防控、抢险清淤等志愿活动，用实际行动展示青年担当和风采。</w:t>
      </w:r>
    </w:p>
    <w:p>
      <w:pPr>
        <w:spacing w:line="560" w:lineRule="exact"/>
        <w:ind w:firstLine="643" w:firstLineChars="200"/>
        <w:rPr>
          <w:rFonts w:ascii="楷体_GB2312" w:hAnsi="楷体_GB2312" w:eastAsia="仿宋_GB2312" w:cs="楷体_GB2312"/>
          <w:b/>
          <w:bCs/>
          <w:sz w:val="32"/>
          <w:szCs w:val="32"/>
        </w:rPr>
      </w:pPr>
      <w:r>
        <w:rPr>
          <w:rFonts w:hint="eastAsia" w:ascii="楷体_GB2312" w:hAnsi="楷体_GB2312" w:eastAsia="楷体_GB2312" w:cs="楷体_GB2312"/>
          <w:b/>
          <w:bCs/>
          <w:sz w:val="32"/>
          <w:szCs w:val="32"/>
        </w:rPr>
        <w:t>（三）持续关爱服务。</w:t>
      </w:r>
      <w:r>
        <w:rPr>
          <w:rFonts w:hint="eastAsia" w:eastAsia="仿宋_GB2312" w:cs="仿宋_GB2312"/>
          <w:sz w:val="32"/>
          <w:szCs w:val="32"/>
        </w:rPr>
        <w:t>组织30名留守学生参加重庆“永远跟党走”红色之旅暑期夏令营活动，丰富充实生活，增长知识阅历。深入推进“童伴计划”“童心港湾”项目提质扩</w:t>
      </w:r>
      <w:r>
        <w:rPr>
          <w:rFonts w:hint="eastAsia" w:eastAsia="仿宋_GB2312" w:cs="仿宋_GB2312"/>
          <w:sz w:val="32"/>
          <w:szCs w:val="32"/>
          <w:u w:val="none" w:color="000000"/>
          <w:shd w:val="clear" w:fill="auto"/>
        </w:rPr>
        <w:t>面，新</w:t>
      </w:r>
      <w:r>
        <w:rPr>
          <w:rFonts w:hint="eastAsia" w:ascii="仿宋_GB2312" w:hAnsi="仿宋_GB2312" w:eastAsia="仿宋_GB2312" w:cs="仿宋_GB2312"/>
          <w:bCs/>
          <w:kern w:val="0"/>
          <w:sz w:val="32"/>
          <w:szCs w:val="32"/>
          <w:lang w:val="en-US" w:eastAsia="zh-CN" w:bidi="ar-SA"/>
        </w:rPr>
        <w:t>建12个点位扩至25个点位，进一步扩大关爱覆盖面。举办通</w:t>
      </w:r>
      <w:r>
        <w:rPr>
          <w:rFonts w:hint="eastAsia" w:eastAsia="仿宋_GB2312" w:cs="仿宋_GB2312"/>
          <w:sz w:val="32"/>
          <w:szCs w:val="32"/>
        </w:rPr>
        <w:t>江县第四届青年联谊交友活动，</w:t>
      </w:r>
      <w:r>
        <w:rPr>
          <w:rFonts w:hint="eastAsia" w:eastAsia="仿宋_GB2312" w:cs="仿宋_GB2312"/>
          <w:sz w:val="32"/>
          <w:szCs w:val="32"/>
          <w:shd w:val="clear" w:color="auto" w:fill="FFFFFF"/>
        </w:rPr>
        <w:t>帮助</w:t>
      </w:r>
      <w:r>
        <w:rPr>
          <w:rFonts w:hint="eastAsia" w:eastAsia="仿宋_GB2312" w:cs="仿宋_GB2312"/>
          <w:sz w:val="32"/>
          <w:szCs w:val="32"/>
        </w:rPr>
        <w:t>70余名</w:t>
      </w:r>
      <w:r>
        <w:rPr>
          <w:rFonts w:hint="eastAsia" w:eastAsia="仿宋_GB2312" w:cs="仿宋_GB2312"/>
          <w:sz w:val="32"/>
          <w:szCs w:val="32"/>
          <w:shd w:val="clear" w:color="auto" w:fill="FFFFFF"/>
        </w:rPr>
        <w:t>青年拓展生活圈，</w:t>
      </w:r>
      <w:r>
        <w:rPr>
          <w:rFonts w:hint="eastAsia" w:eastAsia="仿宋_GB2312" w:cs="仿宋_GB2312"/>
          <w:sz w:val="32"/>
          <w:szCs w:val="32"/>
        </w:rPr>
        <w:t>8对青年相觅良缘</w:t>
      </w:r>
      <w:r>
        <w:rPr>
          <w:rFonts w:hint="eastAsia" w:eastAsia="仿宋_GB2312" w:cs="仿宋_GB2312"/>
          <w:sz w:val="32"/>
          <w:szCs w:val="32"/>
          <w:shd w:val="clear" w:color="auto" w:fill="FFFFFF"/>
        </w:rPr>
        <w:t>。积极开展“微心愿”“我要上大学”活动，为108名留守儿童圆梦微心愿，5000元每人助5名优秀学子圆梦大学。加强涉未成年人两法宣传，切实增强青少年的法律意识和防护意识。</w:t>
      </w:r>
    </w:p>
    <w:p>
      <w:pPr>
        <w:pStyle w:val="17"/>
        <w:spacing w:before="0" w:after="0" w:line="560" w:lineRule="exact"/>
        <w:ind w:firstLine="643" w:firstLineChars="200"/>
        <w:rPr>
          <w:rStyle w:val="34"/>
          <w:b/>
          <w:bCs w:val="0"/>
        </w:rPr>
      </w:pPr>
      <w:bookmarkStart w:id="67" w:name="_Toc9184"/>
      <w:r>
        <w:rPr>
          <w:rFonts w:hint="eastAsia" w:ascii="黑体" w:eastAsia="黑体"/>
          <w:bCs w:val="0"/>
        </w:rPr>
        <w:t>二、</w:t>
      </w:r>
      <w:r>
        <w:rPr>
          <w:rFonts w:hint="eastAsia" w:ascii="黑体" w:hAnsi="黑体" w:eastAsia="黑体"/>
          <w:bCs w:val="0"/>
        </w:rPr>
        <w:t>机</w:t>
      </w:r>
      <w:r>
        <w:rPr>
          <w:rStyle w:val="34"/>
          <w:rFonts w:hint="eastAsia" w:ascii="黑体" w:hAnsi="黑体" w:eastAsia="黑体"/>
          <w:b/>
          <w:bCs w:val="0"/>
        </w:rPr>
        <w:t>构设置</w:t>
      </w:r>
      <w:bookmarkEnd w:id="64"/>
      <w:bookmarkEnd w:id="65"/>
      <w:bookmarkEnd w:id="66"/>
      <w:bookmarkEnd w:id="67"/>
    </w:p>
    <w:p>
      <w:pPr>
        <w:widowControl/>
        <w:spacing w:line="560" w:lineRule="exact"/>
        <w:ind w:firstLine="640" w:firstLineChars="200"/>
        <w:jc w:val="left"/>
        <w:rPr>
          <w:rFonts w:eastAsia="仿宋_GB2312"/>
          <w:sz w:val="32"/>
          <w:szCs w:val="32"/>
        </w:rPr>
      </w:pPr>
      <w:r>
        <w:rPr>
          <w:rFonts w:hint="eastAsia" w:eastAsia="仿宋_GB2312"/>
          <w:sz w:val="32"/>
          <w:szCs w:val="32"/>
        </w:rPr>
        <w:t>团县委有行政编制4人，2021年底在编人数为3人，西部计划志愿者在岗5人。</w:t>
      </w:r>
    </w:p>
    <w:p>
      <w:pPr>
        <w:widowControl/>
        <w:ind w:firstLine="640" w:firstLineChars="200"/>
        <w:jc w:val="left"/>
        <w:rPr>
          <w:rFonts w:eastAsia="仿宋_GB2312"/>
          <w:sz w:val="32"/>
          <w:szCs w:val="32"/>
        </w:rPr>
      </w:pPr>
    </w:p>
    <w:p>
      <w:pPr>
        <w:pStyle w:val="4"/>
        <w:rPr>
          <w:rFonts w:eastAsia="仿宋_GB2312"/>
          <w:sz w:val="32"/>
          <w:szCs w:val="32"/>
        </w:rPr>
      </w:pPr>
    </w:p>
    <w:p>
      <w:pPr>
        <w:pStyle w:val="9"/>
        <w:ind w:firstLine="640"/>
        <w:rPr>
          <w:rFonts w:eastAsia="仿宋_GB2312"/>
          <w:sz w:val="32"/>
          <w:szCs w:val="32"/>
        </w:rPr>
      </w:pPr>
    </w:p>
    <w:p>
      <w:pPr>
        <w:pStyle w:val="9"/>
        <w:ind w:firstLine="640"/>
        <w:rPr>
          <w:rFonts w:eastAsia="仿宋_GB2312"/>
          <w:sz w:val="32"/>
          <w:szCs w:val="32"/>
        </w:rPr>
      </w:pPr>
    </w:p>
    <w:p>
      <w:pPr>
        <w:pStyle w:val="9"/>
        <w:ind w:firstLine="640"/>
        <w:rPr>
          <w:rFonts w:eastAsia="仿宋_GB2312"/>
          <w:sz w:val="32"/>
          <w:szCs w:val="32"/>
        </w:rPr>
      </w:pPr>
    </w:p>
    <w:p>
      <w:pPr>
        <w:pStyle w:val="9"/>
        <w:ind w:firstLine="640"/>
        <w:rPr>
          <w:rFonts w:eastAsia="仿宋_GB2312"/>
          <w:sz w:val="32"/>
          <w:szCs w:val="32"/>
        </w:rPr>
      </w:pPr>
    </w:p>
    <w:p>
      <w:pPr>
        <w:pStyle w:val="9"/>
        <w:ind w:firstLine="640"/>
        <w:rPr>
          <w:rFonts w:eastAsia="仿宋_GB2312"/>
          <w:sz w:val="32"/>
          <w:szCs w:val="32"/>
        </w:rPr>
      </w:pPr>
    </w:p>
    <w:p>
      <w:pPr>
        <w:pStyle w:val="9"/>
        <w:ind w:firstLine="640"/>
        <w:rPr>
          <w:rFonts w:eastAsia="仿宋_GB2312"/>
          <w:sz w:val="32"/>
          <w:szCs w:val="32"/>
          <w:u w:val="none" w:color="000000"/>
        </w:rPr>
      </w:pPr>
    </w:p>
    <w:p>
      <w:pPr>
        <w:pStyle w:val="9"/>
        <w:ind w:firstLine="640"/>
        <w:rPr>
          <w:rFonts w:eastAsia="仿宋_GB2312"/>
          <w:sz w:val="32"/>
          <w:szCs w:val="32"/>
          <w:u w:val="none" w:color="000000"/>
        </w:rPr>
      </w:pPr>
    </w:p>
    <w:p>
      <w:pPr>
        <w:pStyle w:val="9"/>
        <w:ind w:firstLine="640"/>
        <w:rPr>
          <w:rFonts w:eastAsia="仿宋_GB2312"/>
          <w:sz w:val="32"/>
          <w:szCs w:val="32"/>
          <w:u w:val="thick" w:color="FFB23A"/>
          <w:shd w:val="clear" w:fill="FFEFD8"/>
        </w:rPr>
      </w:pPr>
    </w:p>
    <w:p>
      <w:pPr>
        <w:pStyle w:val="9"/>
        <w:ind w:firstLine="640"/>
        <w:rPr>
          <w:rFonts w:eastAsia="仿宋_GB2312"/>
          <w:sz w:val="32"/>
          <w:szCs w:val="32"/>
          <w:u w:val="thick" w:color="FFB23A"/>
          <w:shd w:val="clear" w:fill="FFEFD8"/>
        </w:rPr>
      </w:pPr>
    </w:p>
    <w:p>
      <w:pPr>
        <w:pStyle w:val="16"/>
        <w:spacing w:line="560" w:lineRule="exact"/>
        <w:ind w:right="440" w:firstLine="442" w:firstLineChars="100"/>
        <w:jc w:val="center"/>
        <w:rPr>
          <w:rFonts w:ascii="方正小标宋简体" w:hAnsi="方正小标宋简体" w:eastAsia="方正小标宋简体" w:cs="方正小标宋简体"/>
          <w:bCs w:val="0"/>
        </w:rPr>
      </w:pPr>
      <w:bookmarkStart w:id="68" w:name="_Toc6757"/>
      <w:bookmarkStart w:id="69" w:name="_Toc15396602"/>
      <w:bookmarkStart w:id="70" w:name="_Toc15377204"/>
      <w:bookmarkStart w:id="71" w:name="_Toc8801"/>
      <w:bookmarkStart w:id="72" w:name="_Toc15377225"/>
      <w:bookmarkStart w:id="73" w:name="_Toc15396613"/>
      <w:r>
        <w:rPr>
          <w:rFonts w:hint="eastAsia" w:ascii="方正小标宋简体" w:hAnsi="方正小标宋简体" w:eastAsia="方正小标宋简体" w:cs="方正小标宋简体"/>
          <w:bCs w:val="0"/>
        </w:rPr>
        <w:t>第二</w:t>
      </w:r>
      <w:r>
        <w:rPr>
          <w:rStyle w:val="33"/>
          <w:rFonts w:hint="eastAsia" w:ascii="方正小标宋简体" w:hAnsi="方正小标宋简体" w:eastAsia="方正小标宋简体" w:cs="方正小标宋简体"/>
          <w:b/>
          <w:bCs w:val="0"/>
        </w:rPr>
        <w:t>部分</w:t>
      </w:r>
      <w:r>
        <w:rPr>
          <w:rFonts w:hint="eastAsia" w:ascii="方正小标宋简体" w:hAnsi="方正小标宋简体" w:eastAsia="方正小标宋简体" w:cs="方正小标宋简体"/>
          <w:bCs w:val="0"/>
          <w:lang w:val="en-US" w:eastAsia="zh-CN"/>
        </w:rPr>
        <w:t xml:space="preserve"> </w:t>
      </w:r>
      <w:r>
        <w:rPr>
          <w:rStyle w:val="33"/>
          <w:rFonts w:hint="eastAsia" w:ascii="方正小标宋简体" w:hAnsi="方正小标宋简体" w:eastAsia="方正小标宋简体" w:cs="方正小标宋简体"/>
          <w:b/>
          <w:bCs w:val="0"/>
        </w:rPr>
        <w:t>2021年度部门决算情况说明</w:t>
      </w:r>
      <w:bookmarkEnd w:id="68"/>
      <w:bookmarkEnd w:id="69"/>
      <w:bookmarkEnd w:id="70"/>
      <w:bookmarkEnd w:id="71"/>
    </w:p>
    <w:p>
      <w:pPr>
        <w:pStyle w:val="32"/>
        <w:numPr>
          <w:ilvl w:val="0"/>
          <w:numId w:val="1"/>
        </w:numPr>
        <w:spacing w:line="560" w:lineRule="exact"/>
        <w:ind w:firstLineChars="0"/>
        <w:jc w:val="left"/>
        <w:outlineLvl w:val="1"/>
        <w:rPr>
          <w:rStyle w:val="34"/>
          <w:rFonts w:ascii="黑体" w:hAnsi="黑体" w:eastAsia="黑体"/>
          <w:b w:val="0"/>
        </w:rPr>
      </w:pPr>
      <w:bookmarkStart w:id="74" w:name="_Toc15396603"/>
      <w:bookmarkStart w:id="75" w:name="_Toc15838"/>
      <w:bookmarkStart w:id="76" w:name="_Toc15377205"/>
      <w:bookmarkStart w:id="77" w:name="_Toc32200"/>
      <w:r>
        <w:rPr>
          <w:rFonts w:hint="eastAsia" w:ascii="黑体" w:hAnsi="黑体" w:eastAsia="黑体"/>
          <w:b/>
          <w:bCs/>
          <w:sz w:val="32"/>
          <w:szCs w:val="32"/>
        </w:rPr>
        <w:t>收</w:t>
      </w:r>
      <w:r>
        <w:rPr>
          <w:rStyle w:val="34"/>
          <w:rFonts w:hint="eastAsia" w:ascii="黑体" w:hAnsi="黑体" w:eastAsia="黑体"/>
        </w:rPr>
        <w:t>入支出决算总体情况说明</w:t>
      </w:r>
      <w:bookmarkEnd w:id="74"/>
      <w:bookmarkEnd w:id="75"/>
      <w:bookmarkEnd w:id="76"/>
      <w:bookmarkEnd w:id="77"/>
    </w:p>
    <w:p>
      <w:pPr>
        <w:spacing w:line="560" w:lineRule="exact"/>
        <w:ind w:firstLine="640" w:firstLineChars="200"/>
        <w:jc w:val="left"/>
        <w:rPr>
          <w:rFonts w:ascii="仿宋_GB2312" w:hAnsi="仿宋" w:eastAsia="仿宋_GB2312"/>
          <w:sz w:val="32"/>
          <w:szCs w:val="32"/>
          <w:u w:val="single"/>
        </w:rPr>
      </w:pPr>
      <w:r>
        <w:rPr>
          <w:rFonts w:hint="eastAsia" w:ascii="仿宋_GB2312" w:hAnsi="仿宋" w:eastAsia="仿宋_GB2312"/>
          <w:sz w:val="32"/>
          <w:szCs w:val="32"/>
        </w:rPr>
        <w:t>2021年度收、支总计146.38,108.47万元。与2020年相比，收、支总计各减少37.91万元，下降25.9%。主要变动原因是西部计划志愿者减少。</w:t>
      </w:r>
    </w:p>
    <w:p>
      <w:pPr>
        <w:ind w:firstLine="735"/>
        <w:jc w:val="left"/>
      </w:pPr>
      <w:r>
        <w:drawing>
          <wp:inline distT="0" distB="0" distL="0" distR="0">
            <wp:extent cx="4381500" cy="2200275"/>
            <wp:effectExtent l="0" t="0" r="0" b="0"/>
            <wp:docPr id="862" name="_x0000_i396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32"/>
        <w:numPr>
          <w:ilvl w:val="0"/>
          <w:numId w:val="1"/>
        </w:numPr>
        <w:spacing w:line="560" w:lineRule="exact"/>
        <w:ind w:firstLineChars="0"/>
        <w:jc w:val="left"/>
        <w:outlineLvl w:val="1"/>
        <w:rPr>
          <w:rStyle w:val="34"/>
          <w:rFonts w:ascii="黑体" w:hAnsi="黑体" w:eastAsia="黑体"/>
        </w:rPr>
      </w:pPr>
      <w:bookmarkStart w:id="78" w:name="_Toc4480"/>
      <w:bookmarkStart w:id="79" w:name="_Toc30192"/>
      <w:bookmarkStart w:id="80" w:name="_Toc15377206"/>
      <w:bookmarkStart w:id="81" w:name="_Toc15396604"/>
      <w:r>
        <w:rPr>
          <w:rFonts w:hint="eastAsia" w:ascii="黑体" w:hAnsi="黑体" w:eastAsia="黑体"/>
          <w:b/>
          <w:bCs/>
          <w:sz w:val="32"/>
          <w:szCs w:val="32"/>
        </w:rPr>
        <w:t>收</w:t>
      </w:r>
      <w:r>
        <w:rPr>
          <w:rStyle w:val="34"/>
          <w:rFonts w:hint="eastAsia" w:ascii="黑体" w:hAnsi="黑体" w:eastAsia="黑体"/>
        </w:rPr>
        <w:t>入决算情况说明</w:t>
      </w:r>
      <w:bookmarkEnd w:id="78"/>
      <w:bookmarkEnd w:id="79"/>
      <w:bookmarkEnd w:id="80"/>
      <w:bookmarkEnd w:id="81"/>
    </w:p>
    <w:p>
      <w:pPr>
        <w:spacing w:line="560" w:lineRule="exact"/>
        <w:ind w:firstLine="640" w:firstLineChars="200"/>
        <w:jc w:val="left"/>
        <w:outlineLvl w:val="1"/>
        <w:rPr>
          <w:rFonts w:ascii="仿宋_GB2312" w:hAnsi="仿宋" w:eastAsia="仿宋_GB2312"/>
          <w:sz w:val="32"/>
          <w:szCs w:val="32"/>
        </w:rPr>
      </w:pPr>
      <w:bookmarkStart w:id="82" w:name="_Toc12727"/>
      <w:bookmarkStart w:id="83" w:name="_Toc24960"/>
      <w:bookmarkStart w:id="84" w:name="_Toc2528"/>
      <w:bookmarkStart w:id="85" w:name="_Toc9339"/>
      <w:r>
        <w:rPr>
          <w:rFonts w:hint="eastAsia" w:ascii="仿宋_GB2312" w:hAnsi="仿宋" w:eastAsia="仿宋_GB2312"/>
          <w:sz w:val="32"/>
          <w:szCs w:val="32"/>
        </w:rPr>
        <w:t>2021年本年收入合计108.47万元，其中：一般公共预算财政拨款收入86.97万元，占80.18%；其他收入21.5万元，占19.82%。</w:t>
      </w:r>
      <w:bookmarkEnd w:id="82"/>
      <w:bookmarkEnd w:id="83"/>
      <w:bookmarkEnd w:id="84"/>
      <w:bookmarkEnd w:id="85"/>
    </w:p>
    <w:p>
      <w:pPr>
        <w:ind w:firstLine="735"/>
        <w:jc w:val="left"/>
      </w:pPr>
      <w:r>
        <w:drawing>
          <wp:inline distT="0" distB="0" distL="0" distR="0">
            <wp:extent cx="5086350" cy="2733675"/>
            <wp:effectExtent l="0" t="0" r="0" b="0"/>
            <wp:docPr id="863" name="_x0000_i396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560" w:lineRule="exact"/>
        <w:ind w:firstLine="643" w:firstLineChars="200"/>
        <w:jc w:val="left"/>
        <w:outlineLvl w:val="1"/>
        <w:rPr>
          <w:rStyle w:val="34"/>
          <w:rFonts w:ascii="黑体" w:hAnsi="黑体" w:eastAsia="黑体"/>
        </w:rPr>
      </w:pPr>
      <w:bookmarkStart w:id="86" w:name="_Toc339"/>
      <w:bookmarkStart w:id="87" w:name="_Toc12319"/>
      <w:bookmarkStart w:id="88" w:name="_Toc15396605"/>
      <w:bookmarkStart w:id="89" w:name="_Toc15377207"/>
      <w:r>
        <w:rPr>
          <w:rFonts w:hint="eastAsia" w:ascii="黑体" w:hAnsi="黑体" w:eastAsia="黑体"/>
          <w:b/>
          <w:bCs/>
          <w:sz w:val="32"/>
          <w:szCs w:val="32"/>
        </w:rPr>
        <w:t>三、支</w:t>
      </w:r>
      <w:r>
        <w:rPr>
          <w:rStyle w:val="34"/>
          <w:rFonts w:hint="eastAsia" w:ascii="黑体" w:hAnsi="黑体" w:eastAsia="黑体"/>
        </w:rPr>
        <w:t>出决算情况说明</w:t>
      </w:r>
      <w:bookmarkEnd w:id="86"/>
      <w:bookmarkEnd w:id="87"/>
      <w:bookmarkEnd w:id="88"/>
      <w:bookmarkEnd w:id="89"/>
    </w:p>
    <w:p>
      <w:pPr>
        <w:spacing w:line="560" w:lineRule="exact"/>
        <w:ind w:firstLine="640" w:firstLineChars="200"/>
        <w:jc w:val="left"/>
        <w:outlineLvl w:val="1"/>
        <w:rPr>
          <w:rFonts w:ascii="仿宋_GB2312" w:hAnsi="仿宋" w:eastAsia="仿宋_GB2312"/>
          <w:sz w:val="32"/>
          <w:szCs w:val="32"/>
        </w:rPr>
      </w:pPr>
      <w:bookmarkStart w:id="90" w:name="_Toc26849"/>
      <w:bookmarkStart w:id="91" w:name="_Toc18080"/>
      <w:bookmarkStart w:id="92" w:name="_Toc16153"/>
      <w:bookmarkStart w:id="93" w:name="_Toc26487"/>
      <w:r>
        <w:rPr>
          <w:rFonts w:hint="eastAsia" w:ascii="仿宋_GB2312" w:hAnsi="仿宋" w:eastAsia="仿宋_GB2312"/>
          <w:sz w:val="32"/>
          <w:szCs w:val="32"/>
        </w:rPr>
        <w:t>2021年本年支出合计108.47万元，其中：基本支出86.97万元，占80.18%；项目支出21.5万元，占19.82%。</w:t>
      </w:r>
      <w:bookmarkEnd w:id="90"/>
      <w:bookmarkEnd w:id="91"/>
      <w:bookmarkEnd w:id="92"/>
      <w:bookmarkEnd w:id="93"/>
    </w:p>
    <w:p>
      <w:pPr>
        <w:ind w:firstLine="735"/>
        <w:jc w:val="left"/>
      </w:pPr>
      <w:r>
        <w:drawing>
          <wp:inline distT="0" distB="0" distL="0" distR="0">
            <wp:extent cx="4591685" cy="2229485"/>
            <wp:effectExtent l="0" t="0" r="18415" b="18415"/>
            <wp:docPr id="864" name="_x0000_i396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560" w:lineRule="exact"/>
        <w:ind w:firstLine="643" w:firstLineChars="200"/>
        <w:jc w:val="left"/>
        <w:outlineLvl w:val="1"/>
        <w:rPr>
          <w:rStyle w:val="34"/>
          <w:rFonts w:ascii="黑体" w:hAnsi="黑体" w:eastAsia="黑体"/>
        </w:rPr>
      </w:pPr>
      <w:bookmarkStart w:id="94" w:name="_Toc15377208"/>
      <w:bookmarkStart w:id="95" w:name="_Toc14759"/>
      <w:bookmarkStart w:id="96" w:name="_Toc15396606"/>
      <w:bookmarkStart w:id="97" w:name="_Toc6435"/>
      <w:r>
        <w:rPr>
          <w:rFonts w:hint="eastAsia" w:ascii="黑体" w:hAnsi="黑体" w:eastAsia="黑体"/>
          <w:b/>
          <w:bCs/>
          <w:sz w:val="32"/>
          <w:szCs w:val="32"/>
        </w:rPr>
        <w:t>四、财政拨款收入支出决算总体情况说明</w:t>
      </w:r>
      <w:bookmarkEnd w:id="94"/>
      <w:bookmarkEnd w:id="95"/>
      <w:bookmarkEnd w:id="96"/>
      <w:bookmarkEnd w:id="97"/>
    </w:p>
    <w:p>
      <w:pPr>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2021年财政拨款收、支总计108.47万元。与2020年相比，财政拨款收、支总计各减少37.91万元，下降25.9%。主要变动原因是西部计划志愿者减少。</w:t>
      </w:r>
    </w:p>
    <w:p>
      <w:pPr>
        <w:ind w:firstLine="735"/>
        <w:jc w:val="left"/>
        <w:rPr>
          <w:rFonts w:ascii="黑体" w:hAnsi="黑体" w:eastAsia="黑体"/>
          <w:sz w:val="32"/>
          <w:szCs w:val="32"/>
        </w:rPr>
      </w:pPr>
      <w:r>
        <w:drawing>
          <wp:inline distT="0" distB="0" distL="0" distR="0">
            <wp:extent cx="4524375" cy="3134995"/>
            <wp:effectExtent l="0" t="0" r="0" b="0"/>
            <wp:docPr id="865" name="_x0000_i396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bookmarkStart w:id="98" w:name="_Toc15377209"/>
      <w:bookmarkStart w:id="99" w:name="_Toc15396607"/>
    </w:p>
    <w:p>
      <w:pPr>
        <w:spacing w:line="560" w:lineRule="exact"/>
        <w:ind w:firstLine="643" w:firstLineChars="200"/>
        <w:jc w:val="left"/>
        <w:outlineLvl w:val="1"/>
        <w:rPr>
          <w:rStyle w:val="34"/>
          <w:rFonts w:ascii="黑体" w:hAnsi="黑体" w:eastAsia="黑体"/>
          <w:b w:val="0"/>
        </w:rPr>
      </w:pPr>
      <w:bookmarkStart w:id="100" w:name="_Toc27633"/>
      <w:bookmarkStart w:id="101" w:name="_Toc15867"/>
      <w:r>
        <w:rPr>
          <w:rFonts w:hint="eastAsia" w:ascii="黑体" w:hAnsi="黑体" w:eastAsia="黑体"/>
          <w:b/>
          <w:bCs/>
          <w:sz w:val="32"/>
          <w:szCs w:val="32"/>
        </w:rPr>
        <w:t>五、一</w:t>
      </w:r>
      <w:r>
        <w:rPr>
          <w:rStyle w:val="34"/>
          <w:rFonts w:hint="eastAsia" w:ascii="黑体" w:hAnsi="黑体" w:eastAsia="黑体"/>
        </w:rPr>
        <w:t>般</w:t>
      </w:r>
      <w:r>
        <w:rPr>
          <w:rFonts w:hint="eastAsia" w:ascii="黑体" w:hAnsi="黑体" w:eastAsia="黑体"/>
          <w:b/>
          <w:bCs/>
          <w:sz w:val="32"/>
          <w:szCs w:val="32"/>
        </w:rPr>
        <w:t>公共预算财政拨款支出决</w:t>
      </w:r>
      <w:r>
        <w:rPr>
          <w:rStyle w:val="34"/>
          <w:rFonts w:hint="eastAsia" w:ascii="黑体" w:hAnsi="黑体" w:eastAsia="黑体"/>
        </w:rPr>
        <w:t>算情况说明</w:t>
      </w:r>
      <w:bookmarkEnd w:id="98"/>
      <w:bookmarkEnd w:id="99"/>
      <w:bookmarkEnd w:id="100"/>
      <w:bookmarkEnd w:id="101"/>
    </w:p>
    <w:p>
      <w:pPr>
        <w:spacing w:line="560" w:lineRule="exact"/>
        <w:ind w:firstLine="643" w:firstLineChars="200"/>
        <w:jc w:val="left"/>
        <w:outlineLvl w:val="2"/>
        <w:rPr>
          <w:rFonts w:ascii="楷体_GB2312" w:hAnsi="楷体_GB2312" w:eastAsia="楷体_GB2312" w:cs="楷体_GB2312"/>
          <w:b/>
          <w:sz w:val="32"/>
          <w:szCs w:val="32"/>
        </w:rPr>
      </w:pPr>
      <w:bookmarkStart w:id="102" w:name="_Toc15377210"/>
      <w:bookmarkStart w:id="103" w:name="_Toc17650"/>
      <w:bookmarkStart w:id="104" w:name="_Toc6802"/>
      <w:bookmarkStart w:id="105" w:name="_Toc7933"/>
      <w:r>
        <w:rPr>
          <w:rFonts w:hint="eastAsia" w:ascii="楷体_GB2312" w:hAnsi="楷体_GB2312" w:eastAsia="楷体_GB2312" w:cs="楷体_GB2312"/>
          <w:b/>
          <w:sz w:val="32"/>
          <w:szCs w:val="32"/>
        </w:rPr>
        <w:t>（一）一般公共预算财政拨款支出决算总体情况</w:t>
      </w:r>
      <w:bookmarkEnd w:id="102"/>
      <w:bookmarkEnd w:id="103"/>
      <w:bookmarkEnd w:id="104"/>
      <w:bookmarkEnd w:id="105"/>
    </w:p>
    <w:p>
      <w:pPr>
        <w:spacing w:line="560" w:lineRule="exact"/>
        <w:ind w:firstLine="640" w:firstLineChars="200"/>
        <w:jc w:val="left"/>
        <w:rPr>
          <w:rFonts w:ascii="仿宋_GB2312" w:hAnsi="仿宋" w:eastAsia="仿宋_GB2312"/>
          <w:sz w:val="84"/>
          <w:szCs w:val="84"/>
        </w:rPr>
      </w:pPr>
      <w:r>
        <w:rPr>
          <w:rFonts w:hint="eastAsia" w:ascii="仿宋_GB2312" w:hAnsi="仿宋" w:eastAsia="仿宋_GB2312"/>
          <w:sz w:val="32"/>
          <w:szCs w:val="32"/>
        </w:rPr>
        <w:t>2021年一般公共预算财政拨款支出85.97万元，占本年支出合计的79.26%。与2020年相比，一般公共预算财政拨款减少47.15万元，下降35.41%。主要变动原因是西部计划志愿者减少。</w:t>
      </w:r>
    </w:p>
    <w:p>
      <w:pPr>
        <w:ind w:firstLine="1120"/>
        <w:jc w:val="left"/>
      </w:pPr>
      <w:r>
        <w:rPr>
          <w:rFonts w:ascii="仿宋" w:hAnsi="仿宋" w:eastAsia="仿宋"/>
          <w:sz w:val="32"/>
          <w:szCs w:val="32"/>
        </w:rPr>
        <w:drawing>
          <wp:inline distT="0" distB="0" distL="0" distR="0">
            <wp:extent cx="4181475" cy="3152775"/>
            <wp:effectExtent l="0" t="0" r="9525" b="9525"/>
            <wp:docPr id="866" name="_x0000_i397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560" w:lineRule="exact"/>
        <w:ind w:firstLine="643" w:firstLineChars="200"/>
        <w:jc w:val="left"/>
        <w:outlineLvl w:val="2"/>
        <w:rPr>
          <w:rFonts w:ascii="楷体_GB2312" w:hAnsi="楷体_GB2312" w:eastAsia="楷体_GB2312" w:cs="楷体_GB2312"/>
          <w:b/>
          <w:sz w:val="32"/>
          <w:szCs w:val="32"/>
        </w:rPr>
      </w:pPr>
      <w:bookmarkStart w:id="106" w:name="_Toc15377211"/>
      <w:bookmarkStart w:id="107" w:name="_Toc19358"/>
      <w:bookmarkStart w:id="108" w:name="_Toc24388"/>
      <w:bookmarkStart w:id="109" w:name="_Toc23853"/>
      <w:r>
        <w:rPr>
          <w:rFonts w:hint="eastAsia" w:ascii="楷体_GB2312" w:hAnsi="楷体_GB2312" w:eastAsia="楷体_GB2312" w:cs="楷体_GB2312"/>
          <w:b/>
          <w:sz w:val="32"/>
          <w:szCs w:val="32"/>
        </w:rPr>
        <w:t>（二）一般公共预算财政拨款支出决算结构情况</w:t>
      </w:r>
      <w:bookmarkEnd w:id="106"/>
      <w:bookmarkEnd w:id="107"/>
      <w:bookmarkEnd w:id="108"/>
      <w:bookmarkEnd w:id="109"/>
    </w:p>
    <w:p>
      <w:pPr>
        <w:spacing w:line="560" w:lineRule="exact"/>
        <w:ind w:firstLine="800" w:firstLineChars="250"/>
        <w:jc w:val="left"/>
        <w:rPr>
          <w:rFonts w:ascii="仿宋" w:hAnsi="仿宋" w:eastAsia="仿宋"/>
          <w:sz w:val="32"/>
          <w:szCs w:val="32"/>
        </w:rPr>
      </w:pPr>
      <w:r>
        <w:rPr>
          <w:rFonts w:hint="eastAsia" w:ascii="仿宋_GB2312" w:hAnsi="仿宋" w:eastAsia="仿宋_GB2312"/>
          <w:sz w:val="32"/>
          <w:szCs w:val="32"/>
        </w:rPr>
        <w:t>2021年一般公共预算财政拨款支出85.97万元，主要用于以下方面</w:t>
      </w:r>
      <w:r>
        <w:rPr>
          <w:rFonts w:hint="eastAsia"/>
        </w:rPr>
        <w:t>：</w:t>
      </w:r>
      <w:r>
        <w:rPr>
          <w:rFonts w:hint="eastAsia" w:ascii="仿宋_GB2312" w:hAnsi="仿宋" w:eastAsia="仿宋_GB2312"/>
          <w:b/>
          <w:sz w:val="32"/>
          <w:szCs w:val="32"/>
        </w:rPr>
        <w:t>一般公共服务（类）</w:t>
      </w:r>
      <w:r>
        <w:rPr>
          <w:rFonts w:hint="eastAsia" w:ascii="仿宋_GB2312" w:hAnsi="仿宋" w:eastAsia="仿宋_GB2312"/>
          <w:sz w:val="32"/>
          <w:szCs w:val="32"/>
        </w:rPr>
        <w:t>支出57.8万元，占66.45%；</w:t>
      </w:r>
      <w:r>
        <w:rPr>
          <w:rFonts w:hint="eastAsia" w:ascii="仿宋_GB2312" w:hAnsi="仿宋" w:eastAsia="仿宋_GB2312"/>
          <w:b/>
          <w:sz w:val="32"/>
          <w:szCs w:val="32"/>
        </w:rPr>
        <w:t>社会保障和就业（类）</w:t>
      </w:r>
      <w:r>
        <w:rPr>
          <w:rFonts w:hint="eastAsia" w:ascii="仿宋_GB2312" w:hAnsi="仿宋" w:eastAsia="仿宋_GB2312"/>
          <w:sz w:val="32"/>
          <w:szCs w:val="32"/>
        </w:rPr>
        <w:t>支出13.4万元，占15.41%；</w:t>
      </w:r>
      <w:r>
        <w:rPr>
          <w:rFonts w:hint="eastAsia" w:ascii="仿宋_GB2312" w:hAnsi="仿宋" w:eastAsia="仿宋_GB2312"/>
          <w:b/>
          <w:bCs/>
          <w:sz w:val="32"/>
          <w:szCs w:val="32"/>
        </w:rPr>
        <w:t>卫生健康支出</w:t>
      </w:r>
      <w:r>
        <w:rPr>
          <w:rFonts w:hint="eastAsia" w:ascii="仿宋_GB2312" w:hAnsi="仿宋" w:eastAsia="仿宋_GB2312"/>
          <w:sz w:val="32"/>
          <w:szCs w:val="32"/>
        </w:rPr>
        <w:t>6.23万元，占7.16%；</w:t>
      </w:r>
      <w:r>
        <w:rPr>
          <w:rFonts w:hint="eastAsia" w:ascii="仿宋_GB2312" w:hAnsi="仿宋" w:eastAsia="仿宋_GB2312"/>
          <w:b/>
          <w:sz w:val="32"/>
          <w:szCs w:val="32"/>
        </w:rPr>
        <w:t>农林水（类）</w:t>
      </w:r>
      <w:r>
        <w:rPr>
          <w:rFonts w:hint="eastAsia" w:ascii="仿宋_GB2312" w:hAnsi="仿宋" w:eastAsia="仿宋_GB2312"/>
          <w:sz w:val="32"/>
          <w:szCs w:val="32"/>
        </w:rPr>
        <w:t>支出1万元，占1.15%；</w:t>
      </w:r>
      <w:r>
        <w:rPr>
          <w:rFonts w:hint="eastAsia" w:ascii="仿宋_GB2312" w:hAnsi="仿宋" w:eastAsia="仿宋_GB2312"/>
          <w:b/>
          <w:sz w:val="32"/>
          <w:szCs w:val="32"/>
        </w:rPr>
        <w:t>住房保障</w:t>
      </w:r>
      <w:r>
        <w:rPr>
          <w:rFonts w:hint="eastAsia" w:ascii="仿宋_GB2312" w:hAnsi="仿宋" w:eastAsia="仿宋_GB2312"/>
          <w:sz w:val="32"/>
          <w:szCs w:val="32"/>
        </w:rPr>
        <w:t>支出8.55万元，占9.83%。</w:t>
      </w:r>
    </w:p>
    <w:p>
      <w:pPr>
        <w:ind w:firstLine="735"/>
        <w:jc w:val="left"/>
      </w:pPr>
      <w:r>
        <w:drawing>
          <wp:inline distT="0" distB="0" distL="0" distR="0">
            <wp:extent cx="4619625" cy="2514600"/>
            <wp:effectExtent l="0" t="0" r="0" b="0"/>
            <wp:docPr id="867" name="_x0000_i397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560" w:lineRule="exact"/>
        <w:ind w:firstLine="643" w:firstLineChars="200"/>
        <w:jc w:val="left"/>
        <w:outlineLvl w:val="2"/>
        <w:rPr>
          <w:rFonts w:ascii="楷体_GB2312" w:hAnsi="楷体_GB2312" w:eastAsia="楷体_GB2312" w:cs="楷体_GB2312"/>
          <w:b/>
          <w:sz w:val="32"/>
          <w:szCs w:val="32"/>
        </w:rPr>
      </w:pPr>
      <w:bookmarkStart w:id="110" w:name="_Toc15377212"/>
      <w:bookmarkStart w:id="111" w:name="_Toc1512"/>
      <w:bookmarkStart w:id="112" w:name="_Toc16057"/>
      <w:bookmarkStart w:id="113" w:name="_Toc8786"/>
      <w:r>
        <w:rPr>
          <w:rFonts w:hint="eastAsia" w:ascii="楷体_GB2312" w:hAnsi="楷体_GB2312" w:eastAsia="楷体_GB2312" w:cs="楷体_GB2312"/>
          <w:b/>
          <w:sz w:val="32"/>
          <w:szCs w:val="32"/>
        </w:rPr>
        <w:t>（三）一般公共预算财政拨款支出决算具体情况</w:t>
      </w:r>
      <w:bookmarkEnd w:id="110"/>
      <w:bookmarkEnd w:id="111"/>
      <w:bookmarkEnd w:id="112"/>
      <w:bookmarkEnd w:id="113"/>
    </w:p>
    <w:p>
      <w:pPr>
        <w:spacing w:line="560" w:lineRule="exact"/>
        <w:ind w:firstLine="643" w:firstLineChars="200"/>
        <w:jc w:val="left"/>
        <w:outlineLvl w:val="2"/>
        <w:rPr>
          <w:rStyle w:val="13"/>
          <w:rFonts w:ascii="仿宋_GB2312" w:hAnsi="仿宋" w:eastAsia="仿宋_GB2312"/>
          <w:bCs/>
          <w:sz w:val="32"/>
          <w:szCs w:val="32"/>
        </w:rPr>
      </w:pPr>
      <w:bookmarkStart w:id="114" w:name="_Toc22495"/>
      <w:bookmarkStart w:id="115" w:name="_Toc8430"/>
      <w:bookmarkStart w:id="116" w:name="_Toc27232"/>
      <w:r>
        <w:rPr>
          <w:rFonts w:hint="eastAsia" w:ascii="仿宋_GB2312" w:hAnsi="仿宋" w:eastAsia="仿宋_GB2312"/>
          <w:b/>
          <w:sz w:val="32"/>
          <w:szCs w:val="32"/>
        </w:rPr>
        <w:t>2021年一般公共预算支出决算数为85.97</w:t>
      </w:r>
      <w:r>
        <w:rPr>
          <w:rFonts w:hint="eastAsia" w:ascii="仿宋_GB2312" w:hAnsi="仿宋" w:eastAsia="仿宋_GB2312"/>
          <w:sz w:val="32"/>
          <w:szCs w:val="32"/>
        </w:rPr>
        <w:t>，</w:t>
      </w:r>
      <w:r>
        <w:rPr>
          <w:rStyle w:val="13"/>
          <w:rFonts w:hint="eastAsia" w:ascii="仿宋_GB2312" w:hAnsi="仿宋" w:eastAsia="仿宋_GB2312"/>
          <w:bCs/>
          <w:sz w:val="32"/>
          <w:szCs w:val="32"/>
        </w:rPr>
        <w:t>完</w:t>
      </w:r>
      <w:r>
        <w:rPr>
          <w:rFonts w:hint="eastAsia" w:ascii="仿宋_GB2312" w:hAnsi="仿宋" w:eastAsia="仿宋_GB2312"/>
          <w:bCs/>
          <w:sz w:val="32"/>
          <w:szCs w:val="32"/>
        </w:rPr>
        <w:t>成预算</w:t>
      </w:r>
      <w:r>
        <w:rPr>
          <w:rStyle w:val="13"/>
          <w:rFonts w:hint="eastAsia" w:ascii="仿宋_GB2312" w:hAnsi="仿宋" w:eastAsia="仿宋_GB2312"/>
          <w:bCs/>
          <w:sz w:val="32"/>
          <w:szCs w:val="32"/>
        </w:rPr>
        <w:t>的</w:t>
      </w:r>
      <w:r>
        <w:rPr>
          <w:rFonts w:hint="eastAsia" w:ascii="仿宋_GB2312" w:hAnsi="仿宋" w:eastAsia="仿宋_GB2312"/>
          <w:bCs/>
          <w:sz w:val="32"/>
          <w:szCs w:val="32"/>
        </w:rPr>
        <w:t>100%。其中：</w:t>
      </w:r>
      <w:bookmarkEnd w:id="114"/>
      <w:bookmarkEnd w:id="115"/>
      <w:bookmarkEnd w:id="116"/>
    </w:p>
    <w:p>
      <w:pPr>
        <w:spacing w:line="560" w:lineRule="exact"/>
        <w:ind w:firstLine="643" w:firstLineChars="200"/>
        <w:jc w:val="left"/>
        <w:rPr>
          <w:rStyle w:val="13"/>
          <w:rFonts w:ascii="仿宋_GB2312" w:hAnsi="仿宋" w:eastAsia="仿宋_GB2312"/>
          <w:b w:val="0"/>
          <w:bCs/>
          <w:sz w:val="32"/>
          <w:szCs w:val="32"/>
        </w:rPr>
      </w:pPr>
      <w:r>
        <w:rPr>
          <w:rFonts w:hint="eastAsia" w:ascii="仿宋_GB2312" w:hAnsi="仿宋" w:eastAsia="仿宋_GB2312"/>
          <w:b/>
          <w:bCs/>
          <w:sz w:val="32"/>
          <w:szCs w:val="32"/>
        </w:rPr>
        <w:t>1.一般公共服务（类）群众团体事务（款）行政运行（项）</w:t>
      </w:r>
      <w:r>
        <w:rPr>
          <w:rStyle w:val="13"/>
          <w:rFonts w:hint="eastAsia" w:ascii="仿宋_GB2312" w:hAnsi="仿宋" w:eastAsia="仿宋_GB2312"/>
          <w:b w:val="0"/>
          <w:bCs/>
          <w:sz w:val="32"/>
          <w:szCs w:val="32"/>
        </w:rPr>
        <w:t>支出决算为57.8万元，完</w:t>
      </w:r>
      <w:r>
        <w:rPr>
          <w:rFonts w:hint="eastAsia" w:ascii="仿宋_GB2312" w:hAnsi="仿宋" w:eastAsia="仿宋_GB2312"/>
          <w:bCs/>
          <w:sz w:val="32"/>
          <w:szCs w:val="32"/>
        </w:rPr>
        <w:t>成</w:t>
      </w:r>
      <w:r>
        <w:rPr>
          <w:rFonts w:hint="eastAsia" w:ascii="仿宋_GB2312" w:hAnsi="仿宋" w:eastAsia="仿宋_GB2312"/>
          <w:bCs/>
          <w:sz w:val="32"/>
          <w:szCs w:val="32"/>
          <w:lang w:eastAsia="zh-CN"/>
        </w:rPr>
        <w:t>预算的100%</w:t>
      </w:r>
      <w:r>
        <w:rPr>
          <w:rFonts w:hint="eastAsia" w:ascii="仿宋_GB2312" w:hAnsi="仿宋" w:eastAsia="仿宋_GB2312"/>
          <w:bCs/>
          <w:sz w:val="32"/>
          <w:szCs w:val="32"/>
        </w:rPr>
        <w:t>，决算数等于预算数。</w:t>
      </w:r>
      <w:r>
        <w:rPr>
          <w:rFonts w:hint="eastAsia" w:ascii="仿宋_GB2312" w:hAnsi="仿宋" w:eastAsia="仿宋_GB2312"/>
          <w:sz w:val="32"/>
          <w:szCs w:val="32"/>
        </w:rPr>
        <w:br w:type="textWrapping"/>
      </w:r>
      <w:r>
        <w:rPr>
          <w:rFonts w:hint="eastAsia" w:ascii="仿宋_GB2312" w:hAnsi="仿宋" w:eastAsia="仿宋_GB2312"/>
          <w:sz w:val="32"/>
          <w:szCs w:val="32"/>
        </w:rPr>
        <w:t>　　2.一般公共服务（类）群众团体事务（款）事业运行（项）</w:t>
      </w:r>
    </w:p>
    <w:p>
      <w:pPr>
        <w:spacing w:line="560" w:lineRule="exact"/>
        <w:ind w:firstLine="643" w:firstLineChars="200"/>
        <w:jc w:val="left"/>
        <w:rPr>
          <w:rStyle w:val="13"/>
          <w:rFonts w:ascii="仿宋_GB2312" w:hAnsi="仿宋" w:eastAsia="仿宋_GB2312"/>
          <w:b w:val="0"/>
          <w:bCs/>
          <w:sz w:val="32"/>
          <w:szCs w:val="32"/>
        </w:rPr>
      </w:pPr>
      <w:r>
        <w:rPr>
          <w:rFonts w:hint="eastAsia" w:ascii="仿宋_GB2312" w:hAnsi="仿宋" w:eastAsia="仿宋_GB2312"/>
          <w:b/>
          <w:bCs/>
          <w:sz w:val="32"/>
          <w:szCs w:val="32"/>
        </w:rPr>
        <w:t>3.社会保障和就业（类）行政事业单位离退休（款）机关事业单位基本养老保险缴费支出（项）</w:t>
      </w:r>
      <w:r>
        <w:rPr>
          <w:rStyle w:val="13"/>
          <w:rFonts w:hint="eastAsia" w:ascii="仿宋_GB2312" w:hAnsi="仿宋" w:eastAsia="仿宋_GB2312"/>
          <w:b w:val="0"/>
          <w:bCs/>
          <w:sz w:val="32"/>
          <w:szCs w:val="32"/>
        </w:rPr>
        <w:t>支出决算为13.4万元，完</w:t>
      </w:r>
      <w:r>
        <w:rPr>
          <w:rFonts w:hint="eastAsia" w:ascii="仿宋_GB2312" w:hAnsi="仿宋" w:eastAsia="仿宋_GB2312"/>
          <w:bCs/>
          <w:sz w:val="32"/>
          <w:szCs w:val="32"/>
        </w:rPr>
        <w:t>成</w:t>
      </w:r>
      <w:r>
        <w:rPr>
          <w:rFonts w:hint="eastAsia" w:ascii="仿宋_GB2312" w:hAnsi="仿宋" w:eastAsia="仿宋_GB2312"/>
          <w:bCs/>
          <w:sz w:val="32"/>
          <w:szCs w:val="32"/>
          <w:lang w:eastAsia="zh-CN"/>
        </w:rPr>
        <w:t>预算的100%</w:t>
      </w:r>
      <w:r>
        <w:rPr>
          <w:rFonts w:hint="eastAsia" w:ascii="仿宋_GB2312" w:hAnsi="仿宋" w:eastAsia="仿宋_GB2312"/>
          <w:bCs/>
          <w:sz w:val="32"/>
          <w:szCs w:val="32"/>
        </w:rPr>
        <w:t>，决算数等于预算数。</w:t>
      </w:r>
    </w:p>
    <w:p>
      <w:pPr>
        <w:spacing w:line="560" w:lineRule="exact"/>
        <w:ind w:firstLine="643" w:firstLineChars="200"/>
        <w:jc w:val="left"/>
        <w:rPr>
          <w:rFonts w:ascii="仿宋_GB2312" w:hAnsi="仿宋" w:eastAsia="仿宋_GB2312"/>
          <w:sz w:val="32"/>
          <w:szCs w:val="32"/>
        </w:rPr>
      </w:pPr>
      <w:r>
        <w:rPr>
          <w:rFonts w:hint="eastAsia" w:ascii="仿宋_GB2312" w:hAnsi="仿宋" w:eastAsia="仿宋_GB2312"/>
          <w:b/>
          <w:bCs/>
          <w:sz w:val="32"/>
          <w:szCs w:val="32"/>
        </w:rPr>
        <w:t>4.卫生健康（类）行政事业单位医疗（款）行政单位医疗（项）</w:t>
      </w:r>
      <w:r>
        <w:rPr>
          <w:rStyle w:val="13"/>
          <w:rFonts w:hint="eastAsia" w:ascii="仿宋_GB2312" w:hAnsi="仿宋" w:eastAsia="仿宋_GB2312"/>
          <w:b w:val="0"/>
          <w:bCs/>
          <w:sz w:val="32"/>
          <w:szCs w:val="32"/>
        </w:rPr>
        <w:t>支出决算为1.28</w:t>
      </w:r>
      <w:r>
        <w:rPr>
          <w:rFonts w:hint="eastAsia" w:ascii="仿宋_GB2312" w:hAnsi="仿宋" w:eastAsia="仿宋_GB2312"/>
          <w:bCs/>
          <w:sz w:val="32"/>
          <w:szCs w:val="32"/>
        </w:rPr>
        <w:t>万元，完成</w:t>
      </w:r>
      <w:r>
        <w:rPr>
          <w:rFonts w:hint="eastAsia" w:ascii="仿宋_GB2312" w:hAnsi="仿宋" w:eastAsia="仿宋_GB2312"/>
          <w:bCs/>
          <w:sz w:val="32"/>
          <w:szCs w:val="32"/>
          <w:lang w:eastAsia="zh-CN"/>
        </w:rPr>
        <w:t>预算的100%</w:t>
      </w:r>
      <w:r>
        <w:rPr>
          <w:rFonts w:hint="eastAsia" w:ascii="仿宋_GB2312" w:hAnsi="仿宋" w:eastAsia="仿宋_GB2312"/>
          <w:bCs/>
          <w:sz w:val="32"/>
          <w:szCs w:val="32"/>
        </w:rPr>
        <w:t>，决算数等于预算数。</w:t>
      </w:r>
      <w:r>
        <w:rPr>
          <w:rFonts w:hint="eastAsia" w:ascii="仿宋_GB2312" w:hAnsi="仿宋" w:eastAsia="仿宋_GB2312"/>
          <w:sz w:val="32"/>
          <w:szCs w:val="32"/>
        </w:rPr>
        <w:t>　</w:t>
      </w:r>
    </w:p>
    <w:p>
      <w:pPr>
        <w:spacing w:line="560" w:lineRule="exact"/>
        <w:ind w:firstLine="643" w:firstLineChars="200"/>
        <w:jc w:val="left"/>
        <w:rPr>
          <w:rFonts w:ascii="仿宋_GB2312" w:hAnsi="仿宋" w:eastAsia="仿宋_GB2312"/>
          <w:sz w:val="32"/>
          <w:szCs w:val="32"/>
        </w:rPr>
      </w:pPr>
      <w:r>
        <w:rPr>
          <w:rFonts w:hint="eastAsia" w:ascii="仿宋_GB2312" w:hAnsi="仿宋" w:eastAsia="仿宋_GB2312"/>
          <w:b/>
          <w:bCs/>
          <w:sz w:val="32"/>
          <w:szCs w:val="32"/>
        </w:rPr>
        <w:t>5.卫生健康（类）行政事业单位医疗（款）事业单位医疗（项）</w:t>
      </w:r>
      <w:r>
        <w:rPr>
          <w:rStyle w:val="13"/>
          <w:rFonts w:hint="eastAsia" w:ascii="仿宋_GB2312" w:hAnsi="仿宋" w:eastAsia="仿宋_GB2312"/>
          <w:b w:val="0"/>
          <w:bCs/>
          <w:sz w:val="32"/>
          <w:szCs w:val="32"/>
        </w:rPr>
        <w:t>支出决算为4.52万元，完</w:t>
      </w:r>
      <w:r>
        <w:rPr>
          <w:rFonts w:hint="eastAsia" w:ascii="仿宋_GB2312" w:hAnsi="仿宋" w:eastAsia="仿宋_GB2312"/>
          <w:bCs/>
          <w:sz w:val="32"/>
          <w:szCs w:val="32"/>
        </w:rPr>
        <w:t>成</w:t>
      </w:r>
      <w:r>
        <w:rPr>
          <w:rFonts w:hint="eastAsia" w:ascii="仿宋_GB2312" w:hAnsi="仿宋" w:eastAsia="仿宋_GB2312"/>
          <w:bCs/>
          <w:sz w:val="32"/>
          <w:szCs w:val="32"/>
          <w:lang w:eastAsia="zh-CN"/>
        </w:rPr>
        <w:t>预算的100%</w:t>
      </w:r>
      <w:r>
        <w:rPr>
          <w:rFonts w:hint="eastAsia" w:ascii="仿宋_GB2312" w:hAnsi="仿宋" w:eastAsia="仿宋_GB2312"/>
          <w:bCs/>
          <w:sz w:val="32"/>
          <w:szCs w:val="32"/>
        </w:rPr>
        <w:t>，决算数等于预算数。</w:t>
      </w:r>
      <w:r>
        <w:rPr>
          <w:rFonts w:hint="eastAsia" w:ascii="仿宋_GB2312" w:hAnsi="仿宋" w:eastAsia="仿宋_GB2312"/>
          <w:sz w:val="32"/>
          <w:szCs w:val="32"/>
        </w:rPr>
        <w:t>　</w:t>
      </w:r>
    </w:p>
    <w:p>
      <w:pPr>
        <w:spacing w:line="560" w:lineRule="exact"/>
        <w:ind w:firstLine="643" w:firstLineChars="200"/>
        <w:jc w:val="left"/>
        <w:rPr>
          <w:rStyle w:val="13"/>
          <w:rFonts w:ascii="仿宋_GB2312" w:hAnsi="仿宋" w:eastAsia="仿宋_GB2312"/>
          <w:b w:val="0"/>
          <w:bCs/>
          <w:sz w:val="32"/>
          <w:szCs w:val="32"/>
        </w:rPr>
      </w:pPr>
      <w:r>
        <w:rPr>
          <w:rFonts w:hint="eastAsia" w:ascii="仿宋_GB2312" w:hAnsi="仿宋" w:eastAsia="仿宋_GB2312"/>
          <w:b/>
          <w:bCs/>
          <w:sz w:val="32"/>
          <w:szCs w:val="32"/>
        </w:rPr>
        <w:t>6.卫生健康（类）行政事业单位医疗（款）公务员医疗补助（项）</w:t>
      </w:r>
      <w:r>
        <w:rPr>
          <w:rStyle w:val="13"/>
          <w:rFonts w:hint="eastAsia" w:ascii="仿宋_GB2312" w:hAnsi="仿宋" w:eastAsia="仿宋_GB2312"/>
          <w:b w:val="0"/>
          <w:bCs/>
          <w:sz w:val="32"/>
          <w:szCs w:val="32"/>
        </w:rPr>
        <w:t>支出决算为0.</w:t>
      </w:r>
      <w:r>
        <w:rPr>
          <w:rFonts w:hint="eastAsia" w:ascii="仿宋_GB2312" w:hAnsi="仿宋" w:eastAsia="仿宋_GB2312"/>
          <w:bCs/>
          <w:sz w:val="32"/>
          <w:szCs w:val="32"/>
        </w:rPr>
        <w:t>43</w:t>
      </w:r>
      <w:r>
        <w:rPr>
          <w:rStyle w:val="13"/>
          <w:rFonts w:hint="eastAsia" w:ascii="仿宋_GB2312" w:hAnsi="仿宋" w:eastAsia="仿宋_GB2312"/>
          <w:b w:val="0"/>
          <w:bCs/>
          <w:sz w:val="32"/>
          <w:szCs w:val="32"/>
        </w:rPr>
        <w:t>万元，完</w:t>
      </w:r>
      <w:r>
        <w:rPr>
          <w:rFonts w:hint="eastAsia" w:ascii="仿宋_GB2312" w:hAnsi="仿宋" w:eastAsia="仿宋_GB2312"/>
          <w:bCs/>
          <w:sz w:val="32"/>
          <w:szCs w:val="32"/>
        </w:rPr>
        <w:t>成</w:t>
      </w:r>
      <w:r>
        <w:rPr>
          <w:rFonts w:hint="eastAsia" w:ascii="仿宋_GB2312" w:hAnsi="仿宋" w:eastAsia="仿宋_GB2312"/>
          <w:bCs/>
          <w:sz w:val="32"/>
          <w:szCs w:val="32"/>
          <w:lang w:eastAsia="zh-CN"/>
        </w:rPr>
        <w:t>预算的100%</w:t>
      </w:r>
      <w:r>
        <w:rPr>
          <w:rFonts w:hint="eastAsia" w:ascii="仿宋_GB2312" w:hAnsi="仿宋" w:eastAsia="仿宋_GB2312"/>
          <w:bCs/>
          <w:sz w:val="32"/>
          <w:szCs w:val="32"/>
        </w:rPr>
        <w:t>，决算数等于预算数。</w:t>
      </w:r>
    </w:p>
    <w:p>
      <w:pPr>
        <w:spacing w:line="560" w:lineRule="exact"/>
        <w:ind w:firstLine="643" w:firstLineChars="200"/>
        <w:jc w:val="left"/>
        <w:rPr>
          <w:rStyle w:val="13"/>
          <w:rFonts w:ascii="仿宋_GB2312" w:hAnsi="仿宋" w:eastAsia="仿宋_GB2312"/>
          <w:b w:val="0"/>
          <w:bCs/>
          <w:sz w:val="32"/>
          <w:szCs w:val="32"/>
        </w:rPr>
      </w:pPr>
      <w:r>
        <w:rPr>
          <w:rStyle w:val="13"/>
          <w:rFonts w:hint="eastAsia" w:ascii="仿宋_GB2312" w:hAnsi="仿宋" w:eastAsia="仿宋_GB2312"/>
          <w:bCs/>
          <w:sz w:val="32"/>
          <w:szCs w:val="32"/>
        </w:rPr>
        <w:t>7.</w:t>
      </w:r>
      <w:r>
        <w:rPr>
          <w:rFonts w:hint="eastAsia" w:ascii="仿宋_GB2312" w:hAnsi="仿宋" w:eastAsia="仿宋_GB2312"/>
          <w:bCs/>
          <w:sz w:val="32"/>
          <w:szCs w:val="32"/>
        </w:rPr>
        <w:t>农林水支出（类）扶贫（款）其他扶贫</w:t>
      </w:r>
      <w:r>
        <w:rPr>
          <w:rFonts w:hint="eastAsia" w:ascii="仿宋_GB2312" w:hAnsi="仿宋" w:eastAsia="仿宋_GB2312"/>
          <w:b/>
          <w:bCs/>
          <w:sz w:val="32"/>
          <w:szCs w:val="32"/>
        </w:rPr>
        <w:t>（项）</w:t>
      </w:r>
      <w:r>
        <w:rPr>
          <w:rStyle w:val="13"/>
          <w:rFonts w:hint="eastAsia" w:ascii="仿宋_GB2312" w:hAnsi="仿宋" w:eastAsia="仿宋_GB2312"/>
          <w:b w:val="0"/>
          <w:bCs/>
          <w:sz w:val="32"/>
          <w:szCs w:val="32"/>
        </w:rPr>
        <w:t>支出决算为1万元，完</w:t>
      </w:r>
      <w:r>
        <w:rPr>
          <w:rFonts w:hint="eastAsia" w:ascii="仿宋_GB2312" w:hAnsi="仿宋" w:eastAsia="仿宋_GB2312"/>
          <w:bCs/>
          <w:sz w:val="32"/>
          <w:szCs w:val="32"/>
        </w:rPr>
        <w:t>成</w:t>
      </w:r>
      <w:r>
        <w:rPr>
          <w:rFonts w:hint="eastAsia" w:ascii="仿宋_GB2312" w:hAnsi="仿宋" w:eastAsia="仿宋_GB2312"/>
          <w:bCs/>
          <w:sz w:val="32"/>
          <w:szCs w:val="32"/>
          <w:lang w:eastAsia="zh-CN"/>
        </w:rPr>
        <w:t>预算的100%</w:t>
      </w:r>
      <w:r>
        <w:rPr>
          <w:rFonts w:hint="eastAsia" w:ascii="仿宋_GB2312" w:hAnsi="仿宋" w:eastAsia="仿宋_GB2312"/>
          <w:bCs/>
          <w:sz w:val="32"/>
          <w:szCs w:val="32"/>
        </w:rPr>
        <w:t>，决算数等于预算数。</w:t>
      </w:r>
    </w:p>
    <w:p>
      <w:pPr>
        <w:spacing w:line="560" w:lineRule="exact"/>
        <w:ind w:firstLine="643" w:firstLineChars="200"/>
        <w:jc w:val="left"/>
        <w:rPr>
          <w:rFonts w:ascii="仿宋_GB2312" w:hAnsi="仿宋" w:eastAsia="仿宋_GB2312"/>
          <w:sz w:val="32"/>
          <w:szCs w:val="32"/>
        </w:rPr>
      </w:pPr>
      <w:r>
        <w:rPr>
          <w:rFonts w:hint="eastAsia" w:ascii="仿宋_GB2312" w:hAnsi="仿宋" w:eastAsia="仿宋_GB2312"/>
          <w:b/>
          <w:sz w:val="32"/>
          <w:szCs w:val="32"/>
        </w:rPr>
        <w:t>8.</w:t>
      </w:r>
      <w:r>
        <w:rPr>
          <w:rFonts w:hint="eastAsia" w:ascii="仿宋_GB2312" w:hAnsi="仿宋" w:eastAsia="仿宋_GB2312"/>
          <w:b/>
          <w:bCs/>
          <w:sz w:val="32"/>
          <w:szCs w:val="32"/>
        </w:rPr>
        <w:t>住房保障（类）住房改革支出（款）住房公积金（项）</w:t>
      </w:r>
      <w:r>
        <w:rPr>
          <w:rStyle w:val="13"/>
          <w:rFonts w:hint="eastAsia" w:ascii="仿宋_GB2312" w:hAnsi="仿宋" w:eastAsia="仿宋_GB2312"/>
          <w:b w:val="0"/>
          <w:bCs/>
          <w:sz w:val="32"/>
          <w:szCs w:val="32"/>
        </w:rPr>
        <w:t>支出决算为8.55万元，完</w:t>
      </w:r>
      <w:r>
        <w:rPr>
          <w:rFonts w:hint="eastAsia" w:ascii="仿宋_GB2312" w:hAnsi="仿宋" w:eastAsia="仿宋_GB2312"/>
          <w:bCs/>
          <w:sz w:val="32"/>
          <w:szCs w:val="32"/>
        </w:rPr>
        <w:t>成</w:t>
      </w:r>
      <w:r>
        <w:rPr>
          <w:rFonts w:hint="eastAsia" w:ascii="仿宋_GB2312" w:hAnsi="仿宋" w:eastAsia="仿宋_GB2312"/>
          <w:bCs/>
          <w:sz w:val="32"/>
          <w:szCs w:val="32"/>
          <w:lang w:eastAsia="zh-CN"/>
        </w:rPr>
        <w:t>预算的100%</w:t>
      </w:r>
      <w:r>
        <w:rPr>
          <w:rFonts w:hint="eastAsia" w:ascii="仿宋_GB2312" w:hAnsi="仿宋" w:eastAsia="仿宋_GB2312"/>
          <w:bCs/>
          <w:sz w:val="32"/>
          <w:szCs w:val="32"/>
        </w:rPr>
        <w:t>，决算数等于预算数。</w:t>
      </w:r>
    </w:p>
    <w:p>
      <w:pPr>
        <w:tabs>
          <w:tab w:val="right" w:pos="8306"/>
        </w:tabs>
        <w:spacing w:line="560" w:lineRule="exact"/>
        <w:ind w:firstLine="643" w:firstLineChars="200"/>
        <w:jc w:val="left"/>
        <w:outlineLvl w:val="1"/>
        <w:rPr>
          <w:rStyle w:val="34"/>
          <w:rFonts w:ascii="黑体" w:hAnsi="黑体" w:eastAsia="黑体"/>
        </w:rPr>
      </w:pPr>
      <w:bookmarkStart w:id="117" w:name="_Toc15396608"/>
      <w:bookmarkStart w:id="118" w:name="_Toc15377214"/>
      <w:bookmarkStart w:id="119" w:name="_Toc5190"/>
      <w:bookmarkStart w:id="120" w:name="_Toc30325"/>
      <w:r>
        <w:rPr>
          <w:rFonts w:hint="eastAsia" w:ascii="黑体" w:hAnsi="黑体" w:eastAsia="黑体" w:cs="黑体"/>
          <w:b/>
          <w:bCs/>
          <w:sz w:val="32"/>
          <w:szCs w:val="32"/>
        </w:rPr>
        <w:t>六、一</w:t>
      </w:r>
      <w:r>
        <w:rPr>
          <w:rStyle w:val="34"/>
          <w:rFonts w:hint="eastAsia" w:ascii="黑体" w:hAnsi="黑体" w:eastAsia="黑体" w:cs="黑体"/>
        </w:rPr>
        <w:t>般</w:t>
      </w:r>
      <w:r>
        <w:rPr>
          <w:rFonts w:hint="eastAsia" w:ascii="黑体" w:hAnsi="黑体" w:eastAsia="黑体" w:cs="黑体"/>
          <w:b/>
          <w:bCs/>
          <w:sz w:val="32"/>
          <w:szCs w:val="32"/>
        </w:rPr>
        <w:t>公共预算财政拨款基本支出决算情况说明</w:t>
      </w:r>
      <w:bookmarkEnd w:id="117"/>
      <w:bookmarkEnd w:id="118"/>
      <w:bookmarkEnd w:id="119"/>
      <w:bookmarkEnd w:id="120"/>
      <w:r>
        <w:rPr>
          <w:rStyle w:val="34"/>
          <w:rFonts w:hint="eastAsia" w:ascii="黑体" w:hAnsi="黑体" w:eastAsia="黑体" w:cs="黑体"/>
        </w:rPr>
        <w:tab/>
      </w:r>
    </w:p>
    <w:p>
      <w:pPr>
        <w:spacing w:line="560" w:lineRule="exact"/>
        <w:ind w:firstLine="480" w:firstLineChars="150"/>
        <w:jc w:val="left"/>
        <w:rPr>
          <w:rFonts w:ascii="仿宋_GB2312" w:hAnsi="仿宋" w:eastAsia="仿宋_GB2312"/>
          <w:sz w:val="32"/>
          <w:szCs w:val="32"/>
        </w:rPr>
      </w:pPr>
      <w:r>
        <w:rPr>
          <w:rFonts w:hint="eastAsia" w:ascii="仿宋_GB2312" w:hAnsi="仿宋" w:eastAsia="仿宋_GB2312"/>
          <w:sz w:val="32"/>
          <w:szCs w:val="32"/>
        </w:rPr>
        <w:t>2021年一般公共预算财政拨款基本支出86.97万元，其中：</w:t>
      </w:r>
    </w:p>
    <w:p>
      <w:pPr>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人员经费65.7万元，主要包括：基本工资、津贴补贴、奖金、伙食补助费、绩效工资、机关事业单位基本养老保险缴费、医疗保险缴费、其他社会保障缴费等。</w:t>
      </w:r>
      <w:r>
        <w:rPr>
          <w:rFonts w:hint="eastAsia" w:ascii="仿宋_GB2312" w:hAnsi="仿宋" w:eastAsia="仿宋_GB2312"/>
          <w:sz w:val="32"/>
          <w:szCs w:val="32"/>
        </w:rPr>
        <w:br w:type="textWrapping"/>
      </w:r>
      <w:r>
        <w:rPr>
          <w:rFonts w:hint="eastAsia" w:ascii="仿宋_GB2312" w:hAnsi="仿宋" w:eastAsia="仿宋_GB2312"/>
          <w:sz w:val="32"/>
          <w:szCs w:val="32"/>
        </w:rPr>
        <w:t>　　日常公用经费11.62万元，主要包括：办公费、印刷费、邮电费、差旅费、维修（护）费、公务接待费、劳务费、其他交通费等。</w:t>
      </w:r>
    </w:p>
    <w:p>
      <w:pPr>
        <w:spacing w:line="560" w:lineRule="exact"/>
        <w:ind w:firstLine="640" w:firstLineChars="200"/>
        <w:jc w:val="left"/>
        <w:rPr>
          <w:rFonts w:eastAsia="仿宋_GB2312"/>
        </w:rPr>
      </w:pPr>
      <w:r>
        <w:rPr>
          <w:rFonts w:hint="eastAsia" w:ascii="仿宋_GB2312" w:hAnsi="仿宋" w:eastAsia="仿宋_GB2312"/>
          <w:sz w:val="32"/>
          <w:szCs w:val="32"/>
        </w:rPr>
        <w:t>对个人和家庭的补助经费9.65万元，主要用于志愿者生活补贴的发放。</w:t>
      </w:r>
    </w:p>
    <w:p>
      <w:pPr>
        <w:spacing w:line="560" w:lineRule="exact"/>
        <w:ind w:firstLine="643" w:firstLineChars="200"/>
        <w:jc w:val="left"/>
        <w:outlineLvl w:val="1"/>
        <w:rPr>
          <w:rFonts w:ascii="黑体" w:hAnsi="黑体" w:eastAsia="黑体" w:cs="黑体"/>
          <w:b/>
          <w:bCs/>
          <w:sz w:val="32"/>
          <w:szCs w:val="32"/>
        </w:rPr>
      </w:pPr>
      <w:bookmarkStart w:id="121" w:name="_Toc1330"/>
      <w:r>
        <w:rPr>
          <w:rFonts w:hint="eastAsia" w:ascii="黑体" w:hAnsi="黑体" w:eastAsia="黑体" w:cs="黑体"/>
          <w:b/>
          <w:bCs/>
          <w:sz w:val="32"/>
          <w:szCs w:val="32"/>
        </w:rPr>
        <w:t>七、“三公”经费财政拨款支出决算情况说明</w:t>
      </w:r>
      <w:bookmarkEnd w:id="121"/>
    </w:p>
    <w:p>
      <w:pPr>
        <w:spacing w:line="560" w:lineRule="exact"/>
        <w:ind w:firstLine="643" w:firstLineChars="200"/>
        <w:jc w:val="left"/>
        <w:outlineLvl w:val="2"/>
        <w:rPr>
          <w:rFonts w:ascii="楷体_GB2312" w:hAnsi="楷体_GB2312" w:eastAsia="楷体_GB2312" w:cs="楷体_GB2312"/>
          <w:b/>
          <w:sz w:val="32"/>
          <w:szCs w:val="32"/>
        </w:rPr>
      </w:pPr>
      <w:bookmarkStart w:id="122" w:name="_Toc25865"/>
      <w:bookmarkStart w:id="123" w:name="_Toc16383"/>
      <w:r>
        <w:rPr>
          <w:rFonts w:hint="eastAsia" w:ascii="楷体_GB2312" w:hAnsi="楷体_GB2312" w:eastAsia="楷体_GB2312" w:cs="楷体_GB2312"/>
          <w:b/>
          <w:sz w:val="32"/>
          <w:szCs w:val="32"/>
        </w:rPr>
        <w:t>（一）“三公”经费财政拨款支出决算总体情况说明</w:t>
      </w:r>
      <w:bookmarkEnd w:id="122"/>
      <w:bookmarkEnd w:id="123"/>
    </w:p>
    <w:p>
      <w:pPr>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2021年“三公”经费财政拨款支出决算为0.08万元，完成</w:t>
      </w:r>
      <w:r>
        <w:rPr>
          <w:rFonts w:hint="eastAsia" w:ascii="仿宋_GB2312" w:hAnsi="仿宋" w:eastAsia="仿宋_GB2312"/>
          <w:sz w:val="32"/>
          <w:szCs w:val="32"/>
          <w:lang w:eastAsia="zh-CN"/>
        </w:rPr>
        <w:t>预算的100%</w:t>
      </w:r>
      <w:r>
        <w:rPr>
          <w:rFonts w:hint="eastAsia" w:ascii="仿宋_GB2312" w:hAnsi="仿宋" w:eastAsia="仿宋_GB2312"/>
          <w:sz w:val="32"/>
          <w:szCs w:val="32"/>
        </w:rPr>
        <w:t>，决算数低于预算数，主要原因是压缩开支。</w:t>
      </w:r>
    </w:p>
    <w:p>
      <w:pPr>
        <w:spacing w:line="560" w:lineRule="exact"/>
        <w:ind w:firstLine="643" w:firstLineChars="200"/>
        <w:jc w:val="left"/>
        <w:outlineLvl w:val="2"/>
        <w:rPr>
          <w:rFonts w:ascii="楷体_GB2312" w:hAnsi="楷体_GB2312" w:eastAsia="楷体_GB2312" w:cs="楷体_GB2312"/>
          <w:b/>
          <w:sz w:val="32"/>
          <w:szCs w:val="32"/>
        </w:rPr>
      </w:pPr>
      <w:bookmarkStart w:id="124" w:name="_Toc16362"/>
      <w:bookmarkStart w:id="125" w:name="_Toc13271"/>
      <w:r>
        <w:rPr>
          <w:rFonts w:hint="eastAsia" w:ascii="楷体_GB2312" w:hAnsi="楷体_GB2312" w:eastAsia="楷体_GB2312" w:cs="楷体_GB2312"/>
          <w:b/>
          <w:sz w:val="32"/>
          <w:szCs w:val="32"/>
        </w:rPr>
        <w:t>（二）“三公”经费财政拨款支出决算具体情况说明</w:t>
      </w:r>
      <w:bookmarkEnd w:id="124"/>
      <w:bookmarkEnd w:id="125"/>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2021年“三公”经费财政拨款支出决算中，因公出国（境）费支出决算0万元，占0%；公务用车购置及运行维护费支出决算0万元，占0%；公务接待费支出决算0.08万元，占比100%。具体情况如下：</w:t>
      </w:r>
    </w:p>
    <w:p>
      <w:pPr>
        <w:ind w:firstLine="1124"/>
        <w:jc w:val="left"/>
      </w:pPr>
      <w:r>
        <w:rPr>
          <w:rFonts w:ascii="仿宋" w:hAnsi="仿宋" w:eastAsia="仿宋"/>
          <w:b/>
          <w:sz w:val="32"/>
          <w:szCs w:val="32"/>
        </w:rPr>
        <w:drawing>
          <wp:inline distT="0" distB="0" distL="0" distR="0">
            <wp:extent cx="3886200" cy="3086100"/>
            <wp:effectExtent l="0" t="0" r="0" b="0"/>
            <wp:docPr id="868" name="_x0000_i397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spacing w:line="560" w:lineRule="exact"/>
        <w:ind w:firstLine="472" w:firstLineChars="147"/>
        <w:jc w:val="left"/>
        <w:rPr>
          <w:rFonts w:ascii="仿宋_GB2312" w:eastAsia="仿宋_GB2312"/>
          <w:b/>
          <w:sz w:val="32"/>
          <w:szCs w:val="32"/>
        </w:rPr>
      </w:pPr>
      <w:r>
        <w:rPr>
          <w:rFonts w:hint="eastAsia" w:ascii="仿宋_GB2312" w:eastAsia="仿宋_GB2312"/>
          <w:b/>
          <w:sz w:val="32"/>
          <w:szCs w:val="32"/>
        </w:rPr>
        <w:t>1.因公出国（境）经费支出</w:t>
      </w:r>
      <w:r>
        <w:rPr>
          <w:rFonts w:hint="eastAsia" w:ascii="仿宋_GB2312" w:eastAsia="仿宋_GB2312"/>
          <w:sz w:val="32"/>
          <w:szCs w:val="32"/>
        </w:rPr>
        <w:t>0万元。比2020年减少0万元。</w:t>
      </w:r>
    </w:p>
    <w:p>
      <w:pPr>
        <w:spacing w:line="560" w:lineRule="exact"/>
        <w:ind w:firstLine="643" w:firstLineChars="200"/>
        <w:jc w:val="left"/>
        <w:rPr>
          <w:rFonts w:ascii="仿宋_GB2312" w:eastAsia="仿宋_GB2312"/>
          <w:b/>
          <w:sz w:val="32"/>
          <w:szCs w:val="32"/>
        </w:rPr>
      </w:pPr>
      <w:r>
        <w:rPr>
          <w:rFonts w:hint="eastAsia" w:ascii="仿宋_GB2312" w:eastAsia="仿宋_GB2312"/>
          <w:b/>
          <w:sz w:val="32"/>
          <w:szCs w:val="32"/>
        </w:rPr>
        <w:t>2.公务用车购置及运行维护费支出</w:t>
      </w:r>
      <w:r>
        <w:rPr>
          <w:rFonts w:hint="eastAsia" w:ascii="仿宋_GB2312" w:eastAsia="仿宋_GB2312"/>
          <w:sz w:val="32"/>
          <w:szCs w:val="32"/>
        </w:rPr>
        <w:t>0万元。比2020年减少0万元。主要原因是公务用车制度改革。</w:t>
      </w:r>
    </w:p>
    <w:p>
      <w:pPr>
        <w:spacing w:line="560" w:lineRule="exact"/>
        <w:ind w:firstLine="643" w:firstLineChars="200"/>
        <w:jc w:val="left"/>
        <w:rPr>
          <w:rFonts w:ascii="仿宋_GB2312" w:eastAsia="仿宋_GB2312"/>
          <w:sz w:val="32"/>
          <w:szCs w:val="32"/>
        </w:rPr>
      </w:pPr>
      <w:r>
        <w:rPr>
          <w:rFonts w:hint="eastAsia" w:ascii="仿宋_GB2312" w:eastAsia="仿宋_GB2312"/>
          <w:b/>
          <w:sz w:val="32"/>
          <w:szCs w:val="32"/>
        </w:rPr>
        <w:t>3.公务接待费支出</w:t>
      </w:r>
      <w:r>
        <w:rPr>
          <w:rFonts w:hint="eastAsia" w:ascii="仿宋_GB2312" w:eastAsia="仿宋_GB2312"/>
          <w:sz w:val="32"/>
          <w:szCs w:val="32"/>
        </w:rPr>
        <w:t>0.08万元。主要用于执行公务、开展业务活动开支用餐费等。公务接待1批次，8人次，共计支出0.08万元。</w:t>
      </w:r>
    </w:p>
    <w:p>
      <w:pPr>
        <w:spacing w:line="560" w:lineRule="exact"/>
        <w:ind w:firstLine="643" w:firstLineChars="200"/>
        <w:jc w:val="left"/>
        <w:outlineLvl w:val="1"/>
        <w:rPr>
          <w:rFonts w:ascii="黑体" w:eastAsia="黑体"/>
          <w:b/>
          <w:bCs/>
          <w:sz w:val="32"/>
          <w:szCs w:val="32"/>
        </w:rPr>
      </w:pPr>
      <w:bookmarkStart w:id="126" w:name="_Toc22219"/>
      <w:r>
        <w:rPr>
          <w:rFonts w:hint="eastAsia" w:ascii="黑体" w:eastAsia="黑体"/>
          <w:b/>
          <w:bCs/>
          <w:sz w:val="32"/>
          <w:szCs w:val="32"/>
        </w:rPr>
        <w:t>八、政府性基金预算支出决算情况说明</w:t>
      </w:r>
      <w:bookmarkEnd w:id="126"/>
    </w:p>
    <w:p>
      <w:pPr>
        <w:spacing w:line="560" w:lineRule="exact"/>
        <w:ind w:firstLine="640" w:firstLineChars="200"/>
        <w:jc w:val="left"/>
        <w:rPr>
          <w:rFonts w:ascii="黑体" w:eastAsia="黑体"/>
          <w:sz w:val="32"/>
          <w:szCs w:val="32"/>
        </w:rPr>
      </w:pPr>
      <w:r>
        <w:rPr>
          <w:rFonts w:hint="eastAsia" w:ascii="仿宋_GB2312" w:eastAsia="仿宋_GB2312"/>
          <w:sz w:val="32"/>
          <w:szCs w:val="32"/>
        </w:rPr>
        <w:t>2021年度政府性基金预算拨款支出0万元。</w:t>
      </w:r>
    </w:p>
    <w:p>
      <w:pPr>
        <w:spacing w:line="560" w:lineRule="exact"/>
        <w:ind w:firstLine="643" w:firstLineChars="200"/>
        <w:jc w:val="left"/>
        <w:outlineLvl w:val="1"/>
        <w:rPr>
          <w:rFonts w:ascii="黑体" w:eastAsia="黑体"/>
          <w:b/>
          <w:bCs/>
          <w:sz w:val="32"/>
          <w:szCs w:val="32"/>
        </w:rPr>
      </w:pPr>
      <w:bookmarkStart w:id="127" w:name="_Toc3711"/>
      <w:r>
        <w:rPr>
          <w:rFonts w:hint="eastAsia" w:ascii="黑体" w:eastAsia="黑体"/>
          <w:b/>
          <w:bCs/>
          <w:sz w:val="32"/>
          <w:szCs w:val="32"/>
        </w:rPr>
        <w:t>九、国有资本经营预算支出决算情况说明</w:t>
      </w:r>
      <w:bookmarkEnd w:id="127"/>
    </w:p>
    <w:p>
      <w:pPr>
        <w:spacing w:line="560" w:lineRule="exact"/>
        <w:ind w:firstLine="640" w:firstLineChars="200"/>
        <w:jc w:val="left"/>
        <w:rPr>
          <w:rFonts w:ascii="黑体" w:eastAsia="黑体"/>
          <w:sz w:val="32"/>
          <w:szCs w:val="32"/>
        </w:rPr>
      </w:pPr>
      <w:r>
        <w:rPr>
          <w:rFonts w:hint="eastAsia" w:ascii="仿宋_GB2312" w:eastAsia="仿宋_GB2312"/>
          <w:sz w:val="32"/>
          <w:szCs w:val="32"/>
        </w:rPr>
        <w:t>2021年度国有资本经营预算拨款支出0万元。</w:t>
      </w:r>
    </w:p>
    <w:p>
      <w:pPr>
        <w:pStyle w:val="32"/>
        <w:numPr>
          <w:ilvl w:val="0"/>
          <w:numId w:val="2"/>
        </w:numPr>
        <w:spacing w:line="560" w:lineRule="exact"/>
        <w:ind w:firstLineChars="0"/>
        <w:jc w:val="left"/>
        <w:outlineLvl w:val="1"/>
        <w:rPr>
          <w:rStyle w:val="34"/>
          <w:rFonts w:ascii="黑体" w:hAnsi="黑体" w:eastAsia="黑体"/>
        </w:rPr>
      </w:pPr>
      <w:bookmarkStart w:id="128" w:name="_Toc12313"/>
      <w:bookmarkStart w:id="129" w:name="_Toc22857"/>
      <w:r>
        <w:rPr>
          <w:rStyle w:val="34"/>
          <w:rFonts w:hint="eastAsia" w:ascii="黑体" w:hAnsi="黑体" w:eastAsia="黑体"/>
        </w:rPr>
        <w:t>其他重要事项的情况说明</w:t>
      </w:r>
      <w:bookmarkEnd w:id="128"/>
      <w:bookmarkEnd w:id="129"/>
    </w:p>
    <w:p>
      <w:pPr>
        <w:spacing w:line="600" w:lineRule="exact"/>
        <w:ind w:left="567"/>
        <w:jc w:val="left"/>
        <w:outlineLvl w:val="2"/>
        <w:rPr>
          <w:rFonts w:ascii="楷体_GB2312" w:hAnsi="楷体_GB2312" w:eastAsia="楷体_GB2312" w:cs="楷体_GB2312"/>
          <w:b/>
          <w:bCs/>
          <w:sz w:val="32"/>
          <w:szCs w:val="32"/>
        </w:rPr>
      </w:pPr>
      <w:bookmarkStart w:id="130" w:name="_Toc9802"/>
      <w:bookmarkStart w:id="131" w:name="_Toc32425"/>
      <w:bookmarkStart w:id="132" w:name="_Toc20247"/>
      <w:r>
        <w:rPr>
          <w:rFonts w:hint="eastAsia" w:ascii="楷体_GB2312" w:hAnsi="楷体_GB2312" w:eastAsia="楷体_GB2312" w:cs="楷体_GB2312"/>
          <w:b/>
          <w:sz w:val="32"/>
          <w:szCs w:val="32"/>
        </w:rPr>
        <w:t>（一）机关运行经费支出情况</w:t>
      </w:r>
      <w:bookmarkEnd w:id="130"/>
      <w:bookmarkEnd w:id="131"/>
      <w:bookmarkEnd w:id="132"/>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2021年，团县委机关运行经费支出10.62万元，比2020年减少0.09万元，下降0.8%。主要原因是厉行节约，严格控制机关运行经费。</w:t>
      </w:r>
    </w:p>
    <w:p>
      <w:pPr>
        <w:adjustRightInd w:val="0"/>
        <w:snapToGrid w:val="0"/>
        <w:spacing w:line="600" w:lineRule="exact"/>
        <w:ind w:firstLine="720"/>
        <w:rPr>
          <w:rFonts w:ascii="楷体_GB2312" w:hAnsi="宋体" w:eastAsia="楷体_GB2312"/>
          <w:b/>
          <w:sz w:val="32"/>
          <w:szCs w:val="32"/>
          <w:lang w:val="zh-CN"/>
        </w:rPr>
      </w:pPr>
      <w:bookmarkStart w:id="133" w:name="_Toc4879"/>
      <w:bookmarkStart w:id="134" w:name="_Toc15628"/>
      <w:r>
        <w:rPr>
          <w:rFonts w:hint="eastAsia" w:ascii="楷体_GB2312" w:hAnsi="宋体" w:eastAsia="楷体_GB2312"/>
          <w:b/>
          <w:sz w:val="32"/>
          <w:szCs w:val="32"/>
          <w:lang w:val="zh-CN"/>
        </w:rPr>
        <w:t>（二）政府采购支出情况</w:t>
      </w:r>
      <w:bookmarkEnd w:id="133"/>
      <w:bookmarkEnd w:id="134"/>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2021年度，本部门政府采购支出总额万元。</w:t>
      </w:r>
    </w:p>
    <w:p>
      <w:pPr>
        <w:adjustRightInd w:val="0"/>
        <w:snapToGrid w:val="0"/>
        <w:spacing w:line="600" w:lineRule="exact"/>
        <w:ind w:firstLine="720"/>
        <w:rPr>
          <w:rFonts w:ascii="楷体_GB2312" w:hAnsi="宋体" w:eastAsia="楷体_GB2312"/>
          <w:b/>
          <w:sz w:val="32"/>
          <w:szCs w:val="32"/>
          <w:lang w:val="zh-CN"/>
        </w:rPr>
      </w:pPr>
      <w:bookmarkStart w:id="135" w:name="_Toc5934"/>
      <w:bookmarkStart w:id="136" w:name="_Toc15089"/>
      <w:r>
        <w:rPr>
          <w:rFonts w:hint="eastAsia" w:ascii="楷体_GB2312" w:hAnsi="宋体" w:eastAsia="楷体_GB2312"/>
          <w:b/>
          <w:sz w:val="32"/>
          <w:szCs w:val="32"/>
          <w:lang w:val="zh-CN"/>
        </w:rPr>
        <w:t>（三）国有资产占有使用情况</w:t>
      </w:r>
      <w:bookmarkEnd w:id="135"/>
      <w:bookmarkEnd w:id="136"/>
    </w:p>
    <w:p>
      <w:pPr>
        <w:autoSpaceDE w:val="0"/>
        <w:autoSpaceDN w:val="0"/>
        <w:adjustRightIn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截至2021年12月31日，本部门无车辆。</w:t>
      </w:r>
    </w:p>
    <w:p>
      <w:pPr>
        <w:adjustRightInd w:val="0"/>
        <w:snapToGrid w:val="0"/>
        <w:spacing w:line="600" w:lineRule="exact"/>
        <w:ind w:firstLine="720"/>
        <w:rPr>
          <w:rFonts w:ascii="楷体_GB2312" w:hAnsi="宋体" w:eastAsia="楷体_GB2312"/>
          <w:b/>
          <w:sz w:val="32"/>
          <w:szCs w:val="32"/>
          <w:lang w:val="zh-CN"/>
        </w:rPr>
      </w:pPr>
      <w:bookmarkStart w:id="137" w:name="_Toc30540"/>
      <w:bookmarkStart w:id="138" w:name="_Toc3113"/>
      <w:r>
        <w:rPr>
          <w:rFonts w:hint="eastAsia" w:ascii="楷体_GB2312" w:hAnsi="宋体" w:eastAsia="楷体_GB2312"/>
          <w:b/>
          <w:sz w:val="32"/>
          <w:szCs w:val="32"/>
          <w:lang w:val="zh-CN"/>
        </w:rPr>
        <w:t>（四）预算绩效管理情况。</w:t>
      </w:r>
      <w:bookmarkEnd w:id="137"/>
      <w:bookmarkEnd w:id="138"/>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我委在年初预算编制阶段，组织对1个项目开展了预算事前绩效评估，对1个项目编制了绩效目标，预算执行过程中，选取1个项目开展绩效监控，年终执行完毕后，对1个项目开展了绩效目标完成情况自评。</w:t>
      </w:r>
    </w:p>
    <w:p>
      <w:pPr>
        <w:widowControl/>
        <w:snapToGrid w:val="0"/>
        <w:spacing w:line="560" w:lineRule="exact"/>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rPr>
        <w:t>我委按要求对2021年部门整体支出开展绩效自评，从评价情况来看</w:t>
      </w:r>
      <w:r>
        <w:rPr>
          <w:rFonts w:hint="eastAsia" w:ascii="仿宋_GB2312" w:hAnsi="仿宋" w:eastAsia="仿宋_GB2312" w:cs="仿宋"/>
          <w:sz w:val="32"/>
          <w:szCs w:val="32"/>
        </w:rPr>
        <w:t>根据我委年度计划和安排，资金使用合法合规，既保障了我部门正常运转，又有效对全县青少年开展各类活动、维护青少年权益、帮扶困难青少年和对基层团组织、关工委进行行政管理和业务指导，顺利完成全年目标和任务，得到上级领导、广大职工及社会的认可。</w:t>
      </w:r>
      <w:r>
        <w:rPr>
          <w:rFonts w:hint="eastAsia" w:ascii="仿宋_GB2312" w:hAnsi="仿宋_GB2312" w:eastAsia="仿宋_GB2312" w:cs="仿宋_GB2312"/>
          <w:sz w:val="32"/>
          <w:szCs w:val="32"/>
        </w:rPr>
        <w:t>本部门还自行组织了1个项目支出绩效评价，从评价情</w:t>
      </w:r>
      <w:r>
        <w:rPr>
          <w:rFonts w:hint="eastAsia" w:ascii="仿宋_GB2312" w:hAnsi="仿宋_GB2312" w:eastAsia="仿宋_GB2312" w:cs="仿宋_GB2312"/>
          <w:sz w:val="32"/>
          <w:szCs w:val="32"/>
          <w:lang w:val="zh-CN"/>
        </w:rPr>
        <w:t>况来看</w:t>
      </w:r>
      <w:r>
        <w:rPr>
          <w:rFonts w:hint="eastAsia" w:ascii="仿宋_GB2312" w:hAnsi="仿宋_GB2312" w:eastAsia="仿宋_GB2312" w:cs="仿宋_GB2312"/>
          <w:sz w:val="32"/>
          <w:szCs w:val="32"/>
        </w:rPr>
        <w:t>除了</w:t>
      </w:r>
      <w:r>
        <w:rPr>
          <w:rFonts w:hint="eastAsia" w:ascii="仿宋_GB2312" w:hAnsi="仿宋" w:eastAsia="仿宋_GB2312" w:cs="仿宋"/>
          <w:sz w:val="32"/>
          <w:szCs w:val="32"/>
        </w:rPr>
        <w:t>保证驻村人员期间的伙食费、公杂费、乡镇工作补贴及办公室</w:t>
      </w:r>
      <w:r>
        <w:rPr>
          <w:rFonts w:hint="eastAsia" w:ascii="仿宋_GB2312" w:hAnsi="仿宋" w:eastAsia="仿宋_GB2312" w:cs="仿宋"/>
          <w:sz w:val="32"/>
          <w:szCs w:val="32"/>
          <w:lang w:eastAsia="zh-CN"/>
        </w:rPr>
        <w:t>其他</w:t>
      </w:r>
      <w:r>
        <w:rPr>
          <w:rFonts w:hint="eastAsia" w:ascii="仿宋_GB2312" w:hAnsi="仿宋" w:eastAsia="仿宋_GB2312" w:cs="仿宋"/>
          <w:sz w:val="32"/>
          <w:szCs w:val="32"/>
        </w:rPr>
        <w:t>办公费、交通费、印刷费、通讯费、办公设备购置维护费等必</w:t>
      </w:r>
      <w:r>
        <w:rPr>
          <w:rFonts w:hint="eastAsia" w:ascii="仿宋_GB2312" w:hAnsi="仿宋" w:eastAsia="仿宋_GB2312" w:cs="仿宋"/>
          <w:sz w:val="32"/>
          <w:szCs w:val="32"/>
          <w:u w:val="none" w:color="000000"/>
        </w:rPr>
        <w:t>要支</w:t>
      </w:r>
      <w:r>
        <w:rPr>
          <w:rFonts w:hint="eastAsia" w:ascii="仿宋_GB2312" w:hAnsi="仿宋_GB2312" w:eastAsia="仿宋_GB2312" w:cs="仿宋_GB2312"/>
          <w:bCs/>
          <w:kern w:val="0"/>
          <w:sz w:val="32"/>
          <w:szCs w:val="32"/>
          <w:lang w:val="en-US" w:eastAsia="zh-CN" w:bidi="ar-SA"/>
        </w:rPr>
        <w:t>出外，还开展了</w:t>
      </w:r>
      <w:r>
        <w:rPr>
          <w:rFonts w:hint="eastAsia" w:ascii="仿宋_GB2312" w:hAnsi="仿宋" w:eastAsia="仿宋_GB2312" w:cs="仿宋"/>
          <w:sz w:val="32"/>
          <w:szCs w:val="32"/>
        </w:rPr>
        <w:t>各类团青志愿服务活动、节日主题活动。群众反映良好，满意度高。</w:t>
      </w:r>
    </w:p>
    <w:p>
      <w:pPr>
        <w:numPr>
          <w:ilvl w:val="0"/>
          <w:numId w:val="3"/>
        </w:numPr>
        <w:spacing w:line="580" w:lineRule="exact"/>
        <w:ind w:firstLine="643" w:firstLineChars="200"/>
        <w:rPr>
          <w:rFonts w:ascii="仿宋_GB2312" w:hAnsi="仿宋_GB2312" w:eastAsia="仿宋_GB2312" w:cs="仿宋_GB2312"/>
          <w:sz w:val="32"/>
          <w:szCs w:val="32"/>
        </w:rPr>
      </w:pPr>
      <w:r>
        <w:rPr>
          <w:rFonts w:hint="eastAsia" w:ascii="楷体_GB2312" w:hAnsi="宋体" w:eastAsia="楷体_GB2312"/>
          <w:b/>
          <w:sz w:val="32"/>
          <w:szCs w:val="32"/>
          <w:lang w:val="zh-CN"/>
        </w:rPr>
        <w:t>项目绩效目标完成情况。</w:t>
      </w:r>
      <w:r>
        <w:rPr>
          <w:rFonts w:hint="eastAsia" w:ascii="仿宋_GB2312" w:hAnsi="仿宋_GB2312" w:eastAsia="仿宋_GB2312" w:cs="仿宋_GB2312"/>
          <w:b/>
          <w:bCs/>
          <w:sz w:val="32"/>
          <w:szCs w:val="32"/>
        </w:rPr>
        <w:br w:type="textWrapping"/>
      </w:r>
      <w:r>
        <w:rPr>
          <w:rFonts w:hint="eastAsia" w:ascii="仿宋_GB2312" w:hAnsi="仿宋_GB2312" w:eastAsia="仿宋_GB2312" w:cs="仿宋_GB2312"/>
          <w:sz w:val="32"/>
          <w:szCs w:val="32"/>
        </w:rPr>
        <w:t>本部门在2021年度部门决算中反映“共青团专项经费</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项目绩效目标实际完成情况。</w:t>
      </w:r>
    </w:p>
    <w:p>
      <w:pPr>
        <w:pStyle w:val="8"/>
        <w:widowControl/>
        <w:spacing w:beforeAutospacing="0" w:afterAutospacing="0" w:line="420" w:lineRule="atLeast"/>
        <w:ind w:firstLine="640"/>
        <w:rPr>
          <w:rFonts w:ascii="仿宋_GB2312" w:eastAsia="仿宋_GB2312" w:cs="仿宋_GB2312"/>
          <w:sz w:val="32"/>
          <w:szCs w:val="32"/>
        </w:rPr>
      </w:pPr>
      <w:r>
        <w:rPr>
          <w:rFonts w:hint="eastAsia" w:ascii="仿宋_GB2312" w:hAnsi="仿宋_GB2312" w:eastAsia="仿宋_GB2312" w:cs="仿宋_GB2312"/>
          <w:sz w:val="32"/>
          <w:szCs w:val="32"/>
        </w:rPr>
        <w:t>“共青团专项经费”项目绩效目标完成情况综述。项目全年预算数为21.5万元，执行数为21.5万元，完成预算的100%。通过项目的实施，促进了全县青少</w:t>
      </w:r>
      <w:r>
        <w:rPr>
          <w:rFonts w:hint="eastAsia" w:ascii="仿宋_GB2312" w:hAnsi="仿宋_GB2312" w:eastAsia="仿宋_GB2312" w:cs="仿宋_GB2312"/>
          <w:bCs/>
          <w:kern w:val="0"/>
          <w:sz w:val="32"/>
          <w:szCs w:val="32"/>
          <w:lang w:val="en-US" w:eastAsia="zh-CN" w:bidi="ar-SA"/>
        </w:rPr>
        <w:t>年事业的发展。主要的问题：1.理论指导实践能力不够、学习不深、不透、不系统、针对性不够强；2.服务贫困地区和贫</w:t>
      </w:r>
      <w:r>
        <w:rPr>
          <w:rFonts w:hint="eastAsia" w:ascii="仿宋_GB2312" w:eastAsia="仿宋_GB2312" w:cs="仿宋_GB2312"/>
          <w:sz w:val="32"/>
          <w:szCs w:val="32"/>
        </w:rPr>
        <w:t>困青少年能力不足，一些优惠政策没有得到很好落实；</w:t>
      </w:r>
      <w:r>
        <w:rPr>
          <w:rFonts w:hint="eastAsia" w:ascii="仿宋_GB2312" w:hAnsi="仿宋_GB2312" w:eastAsia="仿宋_GB2312" w:cs="仿宋_GB2312"/>
          <w:sz w:val="32"/>
          <w:szCs w:val="32"/>
        </w:rPr>
        <w:t>下一步改进措施：</w:t>
      </w:r>
      <w:r>
        <w:rPr>
          <w:rFonts w:ascii="仿宋_GB2312" w:eastAsia="仿宋_GB2312" w:cs="仿宋_GB2312"/>
          <w:sz w:val="32"/>
          <w:szCs w:val="32"/>
        </w:rPr>
        <w:t>1</w:t>
      </w:r>
      <w:r>
        <w:rPr>
          <w:rFonts w:hint="eastAsia" w:ascii="仿宋_GB2312" w:eastAsia="仿宋_GB2312" w:cs="仿宋_GB2312"/>
          <w:sz w:val="32"/>
          <w:szCs w:val="32"/>
        </w:rPr>
        <w:t>.创新学习形式，把学习与调研、思考与实践紧密结合，努力建设学习型团组织；2.坚持求真务实，努力提升服务大局和服务青年的能力和素质，全力服务县域经济发展。</w:t>
      </w:r>
    </w:p>
    <w:p>
      <w:pPr>
        <w:spacing w:line="580" w:lineRule="exact"/>
        <w:ind w:left="630"/>
        <w:rPr>
          <w:rFonts w:ascii="仿宋_GB2312" w:hAnsi="仿宋_GB2312" w:eastAsia="仿宋_GB2312" w:cs="仿宋_GB2312"/>
          <w:sz w:val="32"/>
          <w:szCs w:val="32"/>
        </w:rPr>
      </w:pPr>
      <w:r>
        <w:rPr>
          <w:rFonts w:hint="eastAsia" w:ascii="楷体_GB2312" w:hAnsi="楷体_GB2312" w:eastAsia="楷体_GB2312" w:cs="楷体_GB2312"/>
          <w:sz w:val="32"/>
          <w:szCs w:val="32"/>
        </w:rPr>
        <w:t>2.部门绩效评价结果。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本部门按要求对2021年部门整体支出绩效评价情况开展自评，《共青团通江县委2021年部门整体支出绩效评价报告》见附件（附件1）。</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本部门自行组织对共青团专项经费项目开展了绩效评价，《共青团专项经费项目2021年绩效评价报告》见附件（附件2）。</w:t>
      </w:r>
    </w:p>
    <w:p>
      <w:pPr>
        <w:widowControl/>
        <w:jc w:val="left"/>
        <w:rPr>
          <w:rFonts w:ascii="仿宋_GB2312" w:hAnsi="仿宋_GB2312" w:eastAsia="仿宋_GB2312" w:cs="仿宋_GB2312"/>
          <w:sz w:val="32"/>
          <w:szCs w:val="32"/>
        </w:rPr>
      </w:pPr>
    </w:p>
    <w:p>
      <w:pPr>
        <w:widowControl/>
        <w:jc w:val="left"/>
        <w:rPr>
          <w:rFonts w:ascii="仿宋_GB2312" w:hAnsi="仿宋_GB2312" w:eastAsia="仿宋_GB2312" w:cs="仿宋_GB2312"/>
          <w:sz w:val="32"/>
          <w:szCs w:val="32"/>
        </w:rPr>
      </w:pPr>
    </w:p>
    <w:p>
      <w:pPr>
        <w:pStyle w:val="4"/>
        <w:rPr>
          <w:rFonts w:ascii="仿宋_GB2312" w:hAnsi="仿宋_GB2312" w:eastAsia="仿宋_GB2312" w:cs="仿宋_GB2312"/>
          <w:sz w:val="32"/>
          <w:szCs w:val="32"/>
        </w:rPr>
      </w:pPr>
    </w:p>
    <w:bookmarkEnd w:id="72"/>
    <w:bookmarkEnd w:id="73"/>
    <w:p>
      <w:pPr>
        <w:numPr>
          <w:ilvl w:val="0"/>
          <w:numId w:val="4"/>
        </w:numPr>
        <w:spacing w:line="600" w:lineRule="exact"/>
        <w:ind w:firstLine="663" w:firstLineChars="150"/>
        <w:jc w:val="center"/>
        <w:outlineLvl w:val="0"/>
        <w:rPr>
          <w:rStyle w:val="33"/>
          <w:rFonts w:ascii="黑体" w:hAnsi="黑体" w:eastAsia="黑体"/>
          <w:b w:val="0"/>
        </w:rPr>
      </w:pPr>
      <w:bookmarkStart w:id="139" w:name="_Toc18071"/>
      <w:bookmarkStart w:id="140" w:name="_Toc16282"/>
      <w:bookmarkStart w:id="141" w:name="_Toc15396614"/>
      <w:bookmarkStart w:id="142" w:name="_Toc15377226"/>
      <w:r>
        <w:rPr>
          <w:rFonts w:hint="eastAsia" w:ascii="黑体" w:hAnsi="黑体" w:eastAsia="黑体"/>
          <w:b/>
          <w:sz w:val="44"/>
          <w:szCs w:val="44"/>
        </w:rPr>
        <w:t>名</w:t>
      </w:r>
      <w:r>
        <w:rPr>
          <w:rStyle w:val="33"/>
          <w:rFonts w:hint="eastAsia" w:ascii="黑体" w:hAnsi="黑体" w:eastAsia="黑体"/>
          <w:b w:val="0"/>
        </w:rPr>
        <w:t>词解释</w:t>
      </w:r>
      <w:bookmarkEnd w:id="139"/>
      <w:bookmarkEnd w:id="140"/>
    </w:p>
    <w:p>
      <w:pPr>
        <w:spacing w:line="600" w:lineRule="exact"/>
        <w:jc w:val="left"/>
        <w:rPr>
          <w:rFonts w:ascii="宋体"/>
          <w:b/>
          <w:sz w:val="44"/>
          <w:szCs w:val="44"/>
        </w:rPr>
      </w:pPr>
    </w:p>
    <w:p>
      <w:pPr>
        <w:pStyle w:val="31"/>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1.</w:t>
      </w:r>
      <w:r>
        <w:rPr>
          <w:rFonts w:hint="eastAsia" w:ascii="仿宋_GB2312" w:eastAsia="仿宋_GB2312"/>
          <w:color w:val="auto"/>
          <w:sz w:val="32"/>
          <w:szCs w:val="32"/>
        </w:rPr>
        <w:t>财政拨款收入：指单位从同级财政部门取得的财政预算资金。</w:t>
      </w:r>
    </w:p>
    <w:p>
      <w:pPr>
        <w:pStyle w:val="31"/>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2.其他收入：指单位取得的除上述收入以外的各项收入。主要是银行存款利息收入、脱贫攻坚工作经费等。</w:t>
      </w:r>
    </w:p>
    <w:p>
      <w:pPr>
        <w:spacing w:line="560" w:lineRule="exact"/>
        <w:ind w:firstLine="640" w:firstLineChars="200"/>
        <w:rPr>
          <w:rFonts w:ascii="仿宋_GB2312" w:hAnsi="Calibri" w:eastAsia="仿宋_GB2312" w:cs="仿宋"/>
          <w:kern w:val="0"/>
          <w:sz w:val="32"/>
          <w:szCs w:val="32"/>
        </w:rPr>
      </w:pPr>
      <w:r>
        <w:rPr>
          <w:rFonts w:hint="eastAsia" w:ascii="仿宋_GB2312" w:eastAsia="仿宋_GB2312" w:cs="仿宋"/>
          <w:kern w:val="0"/>
          <w:sz w:val="32"/>
          <w:szCs w:val="32"/>
        </w:rPr>
        <w:t>3.一般公共服务（类）群众全体事务（款）行政运行（项）: 反映行政单位（包括实行公务员管理的事业单位）的基本支出。</w:t>
      </w:r>
    </w:p>
    <w:p>
      <w:pPr>
        <w:spacing w:line="560" w:lineRule="exact"/>
        <w:ind w:firstLine="640" w:firstLineChars="200"/>
        <w:rPr>
          <w:rFonts w:ascii="仿宋_GB2312" w:eastAsia="仿宋_GB2312" w:cs="仿宋"/>
          <w:kern w:val="0"/>
          <w:sz w:val="32"/>
          <w:szCs w:val="32"/>
        </w:rPr>
      </w:pPr>
      <w:r>
        <w:rPr>
          <w:rFonts w:hint="eastAsia" w:ascii="仿宋_GB2312" w:hAnsi="Calibri" w:eastAsia="仿宋_GB2312" w:cs="仿宋"/>
          <w:kern w:val="0"/>
          <w:sz w:val="32"/>
          <w:szCs w:val="32"/>
        </w:rPr>
        <w:t>4.一般公共服务（类）群众全体事务（款）一般行政管理事务（项）：开展团青活动，维护青年权益等。</w:t>
      </w:r>
    </w:p>
    <w:p>
      <w:pPr>
        <w:spacing w:line="560" w:lineRule="exact"/>
        <w:ind w:firstLine="640" w:firstLineChars="200"/>
        <w:rPr>
          <w:rFonts w:ascii="仿宋_GB2312" w:eastAsia="仿宋_GB2312" w:cs="仿宋"/>
          <w:kern w:val="0"/>
          <w:sz w:val="32"/>
          <w:szCs w:val="32"/>
        </w:rPr>
      </w:pPr>
      <w:r>
        <w:rPr>
          <w:rFonts w:hint="eastAsia" w:ascii="仿宋_GB2312" w:hAnsi="Calibri" w:eastAsia="仿宋_GB2312" w:cs="仿宋"/>
          <w:kern w:val="0"/>
          <w:sz w:val="32"/>
          <w:szCs w:val="32"/>
        </w:rPr>
        <w:t>5.一般公共服务（类）群众团体事务（款）其他群众团体事务支出（项）</w:t>
      </w:r>
      <w:r>
        <w:rPr>
          <w:rFonts w:hint="eastAsia" w:ascii="仿宋_GB2312" w:hAnsi="Calibri" w:eastAsia="仿宋_GB2312" w:cs="仿宋"/>
          <w:kern w:val="0"/>
          <w:sz w:val="32"/>
          <w:szCs w:val="32"/>
          <w:lang w:eastAsia="zh-CN"/>
        </w:rPr>
        <w:t>：</w:t>
      </w:r>
      <w:r>
        <w:rPr>
          <w:rFonts w:hint="eastAsia" w:ascii="仿宋_GB2312" w:hAnsi="Calibri" w:eastAsia="仿宋_GB2312" w:cs="仿宋"/>
          <w:kern w:val="0"/>
          <w:sz w:val="32"/>
          <w:szCs w:val="32"/>
        </w:rPr>
        <w:t>反映除上述项目以外其他用于群众团体事务方面的支出。</w:t>
      </w:r>
    </w:p>
    <w:p>
      <w:pPr>
        <w:spacing w:line="560" w:lineRule="exact"/>
        <w:ind w:firstLine="640" w:firstLineChars="200"/>
        <w:rPr>
          <w:rFonts w:ascii="仿宋_GB2312" w:eastAsia="仿宋_GB2312" w:cs="仿宋"/>
          <w:kern w:val="0"/>
          <w:sz w:val="32"/>
          <w:szCs w:val="32"/>
        </w:rPr>
      </w:pPr>
      <w:r>
        <w:rPr>
          <w:rFonts w:hint="eastAsia" w:ascii="仿宋_GB2312" w:eastAsia="仿宋_GB2312" w:cs="仿宋"/>
          <w:kern w:val="0"/>
          <w:sz w:val="32"/>
          <w:szCs w:val="32"/>
        </w:rPr>
        <w:t xml:space="preserve"> 6.社会保障和就业（类）行政事业单位离退休（款）机关事业单位养老保险缴费支出（项）: 指用于机关事业单位基本养老保险缴费支出。</w:t>
      </w:r>
    </w:p>
    <w:p>
      <w:pPr>
        <w:spacing w:line="560" w:lineRule="exact"/>
        <w:ind w:firstLine="640" w:firstLineChars="200"/>
        <w:rPr>
          <w:rFonts w:ascii="仿宋_GB2312" w:eastAsia="仿宋_GB2312" w:cs="仿宋"/>
          <w:kern w:val="0"/>
          <w:sz w:val="32"/>
          <w:szCs w:val="32"/>
        </w:rPr>
      </w:pPr>
      <w:r>
        <w:rPr>
          <w:rFonts w:hint="eastAsia" w:ascii="仿宋_GB2312" w:eastAsia="仿宋_GB2312" w:cs="仿宋"/>
          <w:kern w:val="0"/>
          <w:sz w:val="32"/>
          <w:szCs w:val="32"/>
        </w:rPr>
        <w:t>7.医疗卫生与计划生育（类）行政事业单位医疗（款）行政事业单位医疗（项）: 指用于机关事业单位基本医疗保险缴费支出。</w:t>
      </w:r>
    </w:p>
    <w:p>
      <w:pPr>
        <w:spacing w:line="560" w:lineRule="exact"/>
        <w:ind w:firstLine="640" w:firstLineChars="200"/>
        <w:rPr>
          <w:rFonts w:ascii="仿宋_GB2312" w:eastAsia="仿宋_GB2312" w:cs="仿宋"/>
          <w:kern w:val="0"/>
          <w:sz w:val="32"/>
          <w:szCs w:val="32"/>
        </w:rPr>
      </w:pPr>
      <w:r>
        <w:rPr>
          <w:rFonts w:hint="eastAsia" w:ascii="仿宋_GB2312" w:eastAsia="仿宋_GB2312" w:cs="仿宋"/>
          <w:kern w:val="0"/>
          <w:sz w:val="32"/>
          <w:szCs w:val="32"/>
        </w:rPr>
        <w:t>8.医疗卫生与计划生育（类）行政事业单位医疗（款）公务员医疗补助（项）</w:t>
      </w:r>
      <w:r>
        <w:rPr>
          <w:rFonts w:hint="eastAsia" w:ascii="仿宋_GB2312" w:eastAsia="仿宋_GB2312" w:cs="仿宋"/>
          <w:kern w:val="0"/>
          <w:sz w:val="32"/>
          <w:szCs w:val="32"/>
          <w:lang w:eastAsia="zh-CN"/>
        </w:rPr>
        <w:t>：</w:t>
      </w:r>
      <w:r>
        <w:rPr>
          <w:rFonts w:hint="eastAsia" w:ascii="仿宋_GB2312" w:eastAsia="仿宋_GB2312" w:cs="仿宋"/>
          <w:kern w:val="0"/>
          <w:sz w:val="32"/>
          <w:szCs w:val="32"/>
        </w:rPr>
        <w:t>指用于机关公务员补充医疗保险缴费支出。</w:t>
      </w:r>
    </w:p>
    <w:p>
      <w:pPr>
        <w:spacing w:line="560" w:lineRule="exact"/>
        <w:ind w:firstLine="640" w:firstLineChars="200"/>
        <w:rPr>
          <w:rFonts w:ascii="仿宋_GB2312" w:eastAsia="仿宋_GB2312" w:cs="仿宋"/>
          <w:kern w:val="0"/>
          <w:sz w:val="32"/>
          <w:szCs w:val="32"/>
        </w:rPr>
      </w:pPr>
      <w:r>
        <w:rPr>
          <w:rFonts w:hint="eastAsia" w:ascii="仿宋_GB2312" w:eastAsia="仿宋_GB2312" w:cs="仿宋"/>
          <w:kern w:val="0"/>
          <w:sz w:val="32"/>
          <w:szCs w:val="32"/>
        </w:rPr>
        <w:t>9.医疗卫生与计划生育（类）行政事业单位医疗（款）其他行政事业单位（项）</w:t>
      </w:r>
      <w:r>
        <w:rPr>
          <w:rFonts w:hint="eastAsia" w:ascii="仿宋_GB2312" w:eastAsia="仿宋_GB2312" w:cs="仿宋"/>
          <w:kern w:val="0"/>
          <w:sz w:val="32"/>
          <w:szCs w:val="32"/>
          <w:lang w:eastAsia="zh-CN"/>
        </w:rPr>
        <w:t>：</w:t>
      </w:r>
      <w:r>
        <w:rPr>
          <w:rFonts w:hint="eastAsia" w:ascii="仿宋_GB2312" w:eastAsia="仿宋_GB2312" w:cs="仿宋"/>
          <w:kern w:val="0"/>
          <w:sz w:val="32"/>
          <w:szCs w:val="32"/>
        </w:rPr>
        <w:t>指用于机关事业单位的失业保险、工伤保险等支出。</w:t>
      </w:r>
    </w:p>
    <w:p>
      <w:pPr>
        <w:spacing w:line="560" w:lineRule="exact"/>
        <w:ind w:firstLine="640" w:firstLineChars="200"/>
        <w:rPr>
          <w:rFonts w:ascii="仿宋_GB2312" w:eastAsia="仿宋_GB2312" w:cs="仿宋"/>
          <w:kern w:val="0"/>
          <w:sz w:val="32"/>
          <w:szCs w:val="32"/>
        </w:rPr>
      </w:pPr>
      <w:r>
        <w:rPr>
          <w:rFonts w:hint="eastAsia" w:ascii="仿宋_GB2312" w:eastAsia="仿宋_GB2312" w:cs="仿宋"/>
          <w:kern w:val="0"/>
          <w:sz w:val="32"/>
          <w:szCs w:val="32"/>
        </w:rPr>
        <w:t>10.农林水（类）扶贫（款）其他扶贫（项）：用于驻村工作队差旅费及办公开支。</w:t>
      </w:r>
    </w:p>
    <w:p>
      <w:pPr>
        <w:spacing w:line="560" w:lineRule="exact"/>
        <w:ind w:firstLine="640" w:firstLineChars="200"/>
        <w:rPr>
          <w:rFonts w:ascii="仿宋_GB2312" w:eastAsia="仿宋_GB2312" w:cs="仿宋"/>
          <w:kern w:val="0"/>
          <w:sz w:val="32"/>
          <w:szCs w:val="32"/>
        </w:rPr>
      </w:pPr>
      <w:r>
        <w:rPr>
          <w:rFonts w:hint="eastAsia" w:ascii="仿宋_GB2312" w:eastAsia="仿宋_GB2312" w:cs="仿宋"/>
          <w:kern w:val="0"/>
          <w:sz w:val="32"/>
          <w:szCs w:val="32"/>
        </w:rPr>
        <w:t>11.住房保障支出（类）住房改革支出（款）住房公积金（项）</w:t>
      </w:r>
      <w:r>
        <w:rPr>
          <w:rFonts w:hint="eastAsia" w:ascii="仿宋_GB2312" w:eastAsia="仿宋_GB2312" w:cs="仿宋"/>
          <w:kern w:val="0"/>
          <w:sz w:val="32"/>
          <w:szCs w:val="32"/>
          <w:lang w:eastAsia="zh-CN"/>
        </w:rPr>
        <w:t>：</w:t>
      </w:r>
      <w:r>
        <w:rPr>
          <w:rFonts w:hint="eastAsia" w:ascii="仿宋_GB2312" w:eastAsia="仿宋_GB2312" w:cs="仿宋"/>
          <w:kern w:val="0"/>
          <w:sz w:val="32"/>
          <w:szCs w:val="32"/>
        </w:rPr>
        <w:t>指用于按政策规定为职工缴纳的住房公积金支出。</w:t>
      </w:r>
    </w:p>
    <w:p>
      <w:pPr>
        <w:spacing w:line="560" w:lineRule="exact"/>
        <w:ind w:firstLine="640" w:firstLineChars="200"/>
        <w:rPr>
          <w:rFonts w:ascii="仿宋_GB2312" w:eastAsia="仿宋_GB2312" w:cs="仿宋"/>
          <w:kern w:val="0"/>
          <w:sz w:val="32"/>
          <w:szCs w:val="32"/>
        </w:rPr>
      </w:pPr>
      <w:r>
        <w:rPr>
          <w:rFonts w:hint="eastAsia" w:ascii="仿宋_GB2312" w:eastAsia="仿宋_GB2312" w:cs="仿宋"/>
          <w:kern w:val="0"/>
          <w:sz w:val="32"/>
          <w:szCs w:val="32"/>
        </w:rPr>
        <w:t>12.基本支出：指为保障机构正常运转、完成日常工作任务而发生的人员支出和公用支出。</w:t>
      </w:r>
    </w:p>
    <w:p>
      <w:pPr>
        <w:spacing w:line="560" w:lineRule="exact"/>
        <w:ind w:firstLine="640" w:firstLineChars="200"/>
        <w:rPr>
          <w:rFonts w:ascii="仿宋_GB2312" w:eastAsia="仿宋_GB2312" w:cs="仿宋"/>
          <w:kern w:val="0"/>
          <w:sz w:val="32"/>
          <w:szCs w:val="32"/>
        </w:rPr>
      </w:pPr>
      <w:r>
        <w:rPr>
          <w:rFonts w:hint="eastAsia" w:ascii="仿宋_GB2312" w:eastAsia="仿宋_GB2312" w:cs="仿宋"/>
          <w:kern w:val="0"/>
          <w:sz w:val="32"/>
          <w:szCs w:val="32"/>
        </w:rPr>
        <w:t>13.项目支出：指在基本支出之外为完成特定行政任务和事业发展目标所发生的支出。</w:t>
      </w:r>
    </w:p>
    <w:p>
      <w:pPr>
        <w:spacing w:line="560" w:lineRule="exact"/>
        <w:ind w:firstLine="640"/>
        <w:rPr>
          <w:rFonts w:ascii="仿宋_GB2312" w:eastAsia="仿宋_GB2312"/>
          <w:sz w:val="32"/>
          <w:szCs w:val="32"/>
        </w:rPr>
      </w:pPr>
      <w:r>
        <w:rPr>
          <w:rFonts w:hint="eastAsia" w:ascii="仿宋_GB2312" w:eastAsia="仿宋_GB2312" w:cs="仿宋"/>
          <w:kern w:val="0"/>
          <w:sz w:val="32"/>
          <w:szCs w:val="32"/>
        </w:rPr>
        <w:t>14.“三公”经费：指部门用财政拨款安排的因公出国（境）费、公务用车购置及运行费和公务接待费。其中，因公出国（境）费反映单位公务出国（境）的国际旅费、国外城市间</w:t>
      </w:r>
      <w:r>
        <w:rPr>
          <w:rFonts w:hint="eastAsia" w:ascii="仿宋_GB2312" w:eastAsia="仿宋_GB2312"/>
          <w:sz w:val="32"/>
          <w:szCs w:val="32"/>
        </w:rPr>
        <w:t>交通费、住宿费、伙食费、培训费、公杂费等支出；公务用车购置及运行费反映单位公务用车车辆购置支出（含车辆购置税）及租用费、燃料费、维修费、过路过桥费、保险费等支出；公务接待费反映单位按规定开支的各类公务接待支出。</w:t>
      </w:r>
    </w:p>
    <w:p>
      <w:pPr>
        <w:pStyle w:val="31"/>
        <w:spacing w:line="560" w:lineRule="exact"/>
        <w:ind w:firstLine="640" w:firstLineChars="200"/>
        <w:rPr>
          <w:rFonts w:ascii="仿宋_GB2312" w:eastAsia="仿宋_GB2312"/>
          <w:color w:val="auto"/>
          <w:sz w:val="32"/>
          <w:szCs w:val="32"/>
          <w:u w:val="thick" w:color="4B6EE0"/>
          <w:shd w:val="clear" w:fill="E8EBF5"/>
        </w:rPr>
      </w:pPr>
      <w:r>
        <w:rPr>
          <w:rFonts w:hint="eastAsia" w:ascii="仿宋_GB2312" w:eastAsia="仿宋_GB2312"/>
          <w:color w:val="auto"/>
          <w:sz w:val="32"/>
          <w:szCs w:val="32"/>
        </w:rPr>
        <w:t>15.机关运行经费：为保障行政单位（含参照公务员法管理的事业单位）运行用于购买货物和服务的各项资金，包括办公及印刷费、邮电费、手续费、差旅费、会议费、日常维修（护）费、工会经费、办公用房水电费以及其他</w:t>
      </w:r>
      <w:r>
        <w:rPr>
          <w:rFonts w:hint="eastAsia" w:ascii="仿宋_GB2312" w:hAnsi="仿宋_GB2312" w:eastAsia="仿宋_GB2312" w:cs="仿宋_GB2312"/>
          <w:bCs/>
          <w:color w:val="auto"/>
          <w:kern w:val="0"/>
          <w:sz w:val="32"/>
          <w:szCs w:val="32"/>
          <w:lang w:val="en-US" w:eastAsia="zh-CN" w:bidi="ar-SA"/>
        </w:rPr>
        <w:t>费用。</w:t>
      </w:r>
    </w:p>
    <w:p>
      <w:pPr>
        <w:spacing w:line="600" w:lineRule="exact"/>
        <w:jc w:val="center"/>
        <w:outlineLvl w:val="0"/>
        <w:rPr>
          <w:rStyle w:val="33"/>
          <w:rFonts w:hint="eastAsia" w:ascii="方正小标宋简体" w:hAnsi="方正小标宋简体" w:eastAsia="方正小标宋简体" w:cs="方正小标宋简体"/>
          <w:u w:val="none" w:color="000000"/>
          <w:shd w:val="clear" w:fill="auto"/>
        </w:rPr>
      </w:pPr>
      <w:r>
        <w:rPr>
          <w:u w:val="thick" w:color="4B6EE0"/>
          <w:shd w:val="clear" w:fill="E8EBF5"/>
        </w:rPr>
        <w:br w:type="page"/>
      </w:r>
      <w:bookmarkStart w:id="143" w:name="_Toc13670"/>
      <w:bookmarkStart w:id="144" w:name="_Toc20714"/>
      <w:r>
        <w:rPr>
          <w:rFonts w:hint="eastAsia" w:ascii="方正小标宋简体" w:hAnsi="方正小标宋简体" w:eastAsia="方正小标宋简体" w:cs="方正小标宋简体"/>
          <w:b/>
          <w:bCs/>
          <w:sz w:val="44"/>
          <w:szCs w:val="44"/>
          <w:u w:val="none" w:color="000000"/>
          <w:shd w:val="clear" w:fill="auto"/>
        </w:rPr>
        <w:t>第</w:t>
      </w:r>
      <w:r>
        <w:rPr>
          <w:rStyle w:val="33"/>
          <w:rFonts w:hint="eastAsia" w:ascii="方正小标宋简体" w:hAnsi="方正小标宋简体" w:eastAsia="方正小标宋简体" w:cs="方正小标宋简体"/>
          <w:u w:val="none" w:color="000000"/>
          <w:shd w:val="clear" w:fill="auto"/>
        </w:rPr>
        <w:t>四部分</w:t>
      </w:r>
      <w:r>
        <w:rPr>
          <w:rStyle w:val="33"/>
          <w:rFonts w:hint="eastAsia" w:ascii="方正小标宋简体" w:hAnsi="方正小标宋简体" w:eastAsia="方正小标宋简体" w:cs="方正小标宋简体"/>
          <w:u w:val="none" w:color="000000"/>
          <w:shd w:val="clear" w:fill="auto"/>
          <w:lang w:val="en-US" w:eastAsia="zh-CN"/>
        </w:rPr>
        <w:t xml:space="preserve"> </w:t>
      </w:r>
      <w:r>
        <w:rPr>
          <w:rStyle w:val="33"/>
          <w:rFonts w:hint="eastAsia" w:ascii="方正小标宋简体" w:hAnsi="方正小标宋简体" w:eastAsia="方正小标宋简体" w:cs="方正小标宋简体"/>
          <w:u w:val="none" w:color="000000"/>
          <w:shd w:val="clear" w:fill="auto"/>
        </w:rPr>
        <w:t>附件</w:t>
      </w:r>
      <w:bookmarkEnd w:id="141"/>
      <w:bookmarkEnd w:id="143"/>
      <w:bookmarkEnd w:id="144"/>
    </w:p>
    <w:p>
      <w:pPr>
        <w:spacing w:line="600" w:lineRule="exact"/>
        <w:jc w:val="left"/>
        <w:outlineLvl w:val="0"/>
        <w:rPr>
          <w:rFonts w:ascii="方正小标宋简体" w:hAnsi="方正小标宋简体" w:eastAsia="方正小标宋简体" w:cs="方正小标宋简体"/>
          <w:b/>
          <w:bCs/>
          <w:sz w:val="32"/>
          <w:szCs w:val="32"/>
        </w:rPr>
      </w:pPr>
      <w:bookmarkStart w:id="145" w:name="_Toc1723"/>
      <w:bookmarkStart w:id="146" w:name="_Toc18815"/>
      <w:r>
        <w:rPr>
          <w:rFonts w:hint="eastAsia" w:ascii="黑体" w:hAnsi="黑体" w:eastAsia="黑体" w:cs="黑体"/>
          <w:b/>
          <w:bCs/>
          <w:sz w:val="32"/>
          <w:szCs w:val="32"/>
        </w:rPr>
        <w:t>附件1</w:t>
      </w:r>
      <w:bookmarkEnd w:id="145"/>
      <w:bookmarkEnd w:id="146"/>
    </w:p>
    <w:p>
      <w:pPr>
        <w:spacing w:line="580" w:lineRule="exact"/>
        <w:jc w:val="center"/>
        <w:rPr>
          <w:rFonts w:ascii="方正小标宋简体" w:hAnsi="方正小标宋简体" w:eastAsia="方正小标宋简体" w:cs="方正小标宋简体"/>
          <w:sz w:val="44"/>
          <w:szCs w:val="44"/>
        </w:rPr>
      </w:pPr>
    </w:p>
    <w:p>
      <w:pPr>
        <w:widowControl/>
        <w:spacing w:line="600" w:lineRule="exact"/>
        <w:ind w:firstLine="2615" w:firstLineChars="592"/>
        <w:rPr>
          <w:rFonts w:ascii="方正小标宋简体" w:hAnsi="宋体" w:eastAsia="方正小标宋简体"/>
          <w:b/>
          <w:sz w:val="44"/>
          <w:szCs w:val="44"/>
          <w:shd w:val="clear" w:color="auto" w:fill="FFFFFF"/>
        </w:rPr>
      </w:pPr>
      <w:r>
        <w:rPr>
          <w:rFonts w:hint="eastAsia" w:ascii="方正小标宋简体" w:hAnsi="宋体" w:eastAsia="方正小标宋简体"/>
          <w:b/>
          <w:sz w:val="44"/>
          <w:szCs w:val="44"/>
          <w:shd w:val="clear" w:color="auto" w:fill="FFFFFF"/>
        </w:rPr>
        <w:t>共青团通江县委员会</w:t>
      </w:r>
    </w:p>
    <w:p>
      <w:pPr>
        <w:widowControl/>
        <w:spacing w:line="600" w:lineRule="exact"/>
        <w:jc w:val="center"/>
        <w:rPr>
          <w:rFonts w:ascii="方正小标宋简体" w:hAnsi="宋体" w:eastAsia="方正小标宋简体"/>
          <w:b/>
          <w:sz w:val="44"/>
          <w:szCs w:val="44"/>
          <w:shd w:val="clear" w:color="auto" w:fill="FFFFFF"/>
        </w:rPr>
      </w:pPr>
      <w:r>
        <w:rPr>
          <w:rFonts w:hint="eastAsia" w:ascii="方正小标宋简体" w:hAnsi="宋体" w:eastAsia="方正小标宋简体"/>
          <w:b/>
          <w:sz w:val="44"/>
          <w:szCs w:val="44"/>
          <w:shd w:val="clear" w:color="auto" w:fill="FFFFFF"/>
        </w:rPr>
        <w:t>2021年度整体支出绩效评价报告</w:t>
      </w:r>
    </w:p>
    <w:p>
      <w:pPr>
        <w:widowControl/>
        <w:adjustRightInd w:val="0"/>
        <w:snapToGrid w:val="0"/>
        <w:spacing w:line="560" w:lineRule="exact"/>
        <w:ind w:firstLine="640" w:firstLineChars="200"/>
        <w:jc w:val="left"/>
        <w:rPr>
          <w:rFonts w:ascii="仿宋_GB2312" w:eastAsia="仿宋_GB2312" w:cs="仿宋"/>
          <w:kern w:val="0"/>
          <w:sz w:val="32"/>
          <w:szCs w:val="32"/>
        </w:rPr>
      </w:pPr>
    </w:p>
    <w:p>
      <w:pPr>
        <w:widowControl/>
        <w:adjustRightInd w:val="0"/>
        <w:snapToGrid w:val="0"/>
        <w:spacing w:line="560" w:lineRule="exact"/>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一、部门概况</w:t>
      </w:r>
    </w:p>
    <w:p>
      <w:pPr>
        <w:widowControl/>
        <w:adjustRightInd w:val="0"/>
        <w:snapToGrid w:val="0"/>
        <w:spacing w:line="560" w:lineRule="exact"/>
        <w:ind w:firstLine="640" w:firstLineChars="200"/>
        <w:jc w:val="left"/>
        <w:rPr>
          <w:rFonts w:ascii="仿宋_GB2312" w:eastAsia="仿宋_GB2312" w:cs="仿宋"/>
          <w:kern w:val="0"/>
          <w:sz w:val="32"/>
          <w:szCs w:val="32"/>
          <w:lang w:val="zh-CN"/>
        </w:rPr>
      </w:pPr>
      <w:r>
        <w:rPr>
          <w:rFonts w:hint="eastAsia" w:ascii="仿宋_GB2312" w:eastAsia="仿宋_GB2312" w:cs="仿宋"/>
          <w:kern w:val="0"/>
          <w:sz w:val="32"/>
          <w:szCs w:val="32"/>
          <w:lang w:val="zh-CN"/>
        </w:rPr>
        <w:t>团县委机关编制人数为</w:t>
      </w:r>
      <w:r>
        <w:rPr>
          <w:rFonts w:hint="eastAsia" w:ascii="仿宋_GB2312" w:eastAsia="仿宋_GB2312" w:cs="仿宋"/>
          <w:kern w:val="0"/>
          <w:sz w:val="32"/>
          <w:szCs w:val="32"/>
        </w:rPr>
        <w:t>4</w:t>
      </w:r>
      <w:r>
        <w:rPr>
          <w:rFonts w:hint="eastAsia" w:ascii="仿宋_GB2312" w:eastAsia="仿宋_GB2312" w:cs="仿宋"/>
          <w:kern w:val="0"/>
          <w:sz w:val="32"/>
          <w:szCs w:val="32"/>
          <w:lang w:val="zh-CN"/>
        </w:rPr>
        <w:t>人，其中行政编制4人，2021年年初预算实有在职人员</w:t>
      </w:r>
      <w:r>
        <w:rPr>
          <w:rFonts w:hint="eastAsia" w:ascii="仿宋_GB2312" w:eastAsia="仿宋_GB2312" w:cs="仿宋"/>
          <w:kern w:val="0"/>
          <w:sz w:val="32"/>
          <w:szCs w:val="32"/>
        </w:rPr>
        <w:t>4</w:t>
      </w:r>
      <w:r>
        <w:rPr>
          <w:rFonts w:hint="eastAsia" w:ascii="仿宋_GB2312" w:eastAsia="仿宋_GB2312" w:cs="仿宋"/>
          <w:kern w:val="0"/>
          <w:sz w:val="32"/>
          <w:szCs w:val="32"/>
          <w:lang w:val="zh-CN"/>
        </w:rPr>
        <w:t>人，年末在职人员</w:t>
      </w:r>
      <w:r>
        <w:rPr>
          <w:rFonts w:hint="eastAsia" w:ascii="仿宋_GB2312" w:eastAsia="仿宋_GB2312" w:cs="仿宋"/>
          <w:kern w:val="0"/>
          <w:sz w:val="32"/>
          <w:szCs w:val="32"/>
        </w:rPr>
        <w:t>3人</w:t>
      </w:r>
      <w:r>
        <w:rPr>
          <w:rFonts w:hint="eastAsia" w:ascii="仿宋_GB2312" w:eastAsia="仿宋_GB2312" w:cs="仿宋"/>
          <w:kern w:val="0"/>
          <w:sz w:val="32"/>
          <w:szCs w:val="32"/>
          <w:lang w:val="zh-CN"/>
        </w:rPr>
        <w:t>；</w:t>
      </w:r>
      <w:r>
        <w:rPr>
          <w:rFonts w:hint="eastAsia" w:ascii="仿宋_GB2312" w:eastAsia="仿宋_GB2312" w:cs="仿宋"/>
          <w:kern w:val="0"/>
          <w:sz w:val="32"/>
          <w:szCs w:val="32"/>
        </w:rPr>
        <w:t>下属单位一个，通江县青少年宫，设事业编制10名，2021年年初预算10人，退休人员4人，年末在职9人，退休5人。</w:t>
      </w:r>
    </w:p>
    <w:p>
      <w:pPr>
        <w:widowControl/>
        <w:adjustRightInd w:val="0"/>
        <w:snapToGrid w:val="0"/>
        <w:spacing w:line="560" w:lineRule="exact"/>
        <w:ind w:firstLine="640" w:firstLineChars="200"/>
        <w:jc w:val="left"/>
        <w:rPr>
          <w:rFonts w:ascii="仿宋_GB2312" w:eastAsia="仿宋_GB2312" w:cs="仿宋"/>
          <w:kern w:val="0"/>
          <w:sz w:val="32"/>
          <w:szCs w:val="32"/>
          <w:lang w:val="zh-CN"/>
        </w:rPr>
      </w:pPr>
      <w:r>
        <w:rPr>
          <w:rFonts w:hint="eastAsia" w:ascii="仿宋_GB2312" w:eastAsia="仿宋_GB2312" w:cs="仿宋"/>
          <w:kern w:val="0"/>
          <w:sz w:val="32"/>
          <w:szCs w:val="32"/>
          <w:lang w:val="zh-CN"/>
        </w:rPr>
        <w:t>中国共产主义青年团的主要职责：领导全县共青团工作；负责县青联</w:t>
      </w:r>
      <w:bookmarkStart w:id="189" w:name="_GoBack"/>
      <w:bookmarkEnd w:id="189"/>
      <w:r>
        <w:rPr>
          <w:rFonts w:hint="eastAsia" w:ascii="仿宋_GB2312" w:eastAsia="仿宋_GB2312" w:cs="仿宋"/>
          <w:kern w:val="0"/>
          <w:sz w:val="32"/>
          <w:szCs w:val="32"/>
          <w:lang w:val="zh-CN"/>
        </w:rPr>
        <w:t>和县少先队工作委员会常务性工作；承担县委、县政府和有关方面委托的青少年工作事务，参与民主管理和民主监督；协助、参与、处理社会上与青少年利益相关的工作；参与全县性青少年法规制度实施、监督等工作，负责县未成年人保护方面的日常工作；调查青年思想动态和青年工作情况，研究青年运动、青少年工作理论、青少年事业发展等工作，为县委、县政府决策提供依据；负责全县团的组织建设，协助党组织管理、选拔和培训团的干部，指导县青少年活动营地和县实施希望工程办公室领导小组的工作；负责、指导并组织面向全县青少年的思想理论教育、宣传文化活动，培养、选拔、推荐优秀青年，负责管理、指导团县委系统刊物的编发；负责全县青年统战工作及青少年外事、县内外青少年友好交流工作；完成上级交办的其他任务。</w:t>
      </w:r>
    </w:p>
    <w:p>
      <w:pPr>
        <w:widowControl/>
        <w:adjustRightInd w:val="0"/>
        <w:snapToGrid w:val="0"/>
        <w:spacing w:line="560" w:lineRule="exact"/>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二、部门财政资金收支情况</w:t>
      </w:r>
    </w:p>
    <w:p>
      <w:pPr>
        <w:widowControl/>
        <w:adjustRightInd w:val="0"/>
        <w:snapToGrid w:val="0"/>
        <w:spacing w:line="560" w:lineRule="exact"/>
        <w:ind w:firstLine="720"/>
        <w:jc w:val="left"/>
        <w:rPr>
          <w:rFonts w:ascii="仿宋_GB2312" w:eastAsia="仿宋_GB2312" w:cs="仿宋"/>
          <w:kern w:val="0"/>
          <w:sz w:val="32"/>
          <w:szCs w:val="32"/>
        </w:rPr>
      </w:pPr>
      <w:r>
        <w:rPr>
          <w:rFonts w:hint="eastAsia" w:ascii="楷体_GB2312" w:hAnsi="楷体_GB2312" w:eastAsia="楷体_GB2312" w:cs="楷体_GB2312"/>
          <w:b/>
          <w:bCs/>
          <w:sz w:val="32"/>
          <w:szCs w:val="32"/>
        </w:rPr>
        <w:t>（一）部门财政资金收入情况：</w:t>
      </w:r>
      <w:r>
        <w:rPr>
          <w:rFonts w:hint="eastAsia" w:ascii="仿宋_GB2312" w:eastAsia="仿宋_GB2312" w:cs="仿宋"/>
          <w:kern w:val="0"/>
          <w:sz w:val="32"/>
          <w:szCs w:val="32"/>
        </w:rPr>
        <w:t>我委2021年收入总额108.47万元。其中：财政拨款86.97万元，占总收入的80.18%；财政拨款</w:t>
      </w:r>
      <w:r>
        <w:rPr>
          <w:rFonts w:hint="eastAsia" w:ascii="仿宋_GB2312" w:eastAsia="仿宋_GB2312" w:cs="仿宋"/>
          <w:kern w:val="0"/>
          <w:sz w:val="32"/>
          <w:szCs w:val="32"/>
          <w:lang w:eastAsia="zh-CN"/>
        </w:rPr>
        <w:t>的其他</w:t>
      </w:r>
      <w:r>
        <w:rPr>
          <w:rFonts w:hint="eastAsia" w:ascii="仿宋_GB2312" w:eastAsia="仿宋_GB2312" w:cs="仿宋"/>
          <w:kern w:val="0"/>
          <w:sz w:val="32"/>
          <w:szCs w:val="32"/>
        </w:rPr>
        <w:t>收入为：21.5万元，占总收入的19.82%。</w:t>
      </w:r>
    </w:p>
    <w:p>
      <w:pPr>
        <w:widowControl/>
        <w:adjustRightInd w:val="0"/>
        <w:snapToGrid w:val="0"/>
        <w:spacing w:line="560" w:lineRule="exact"/>
        <w:ind w:firstLine="720"/>
        <w:jc w:val="left"/>
        <w:rPr>
          <w:rFonts w:ascii="仿宋_GB2312" w:eastAsia="仿宋_GB2312" w:cs="仿宋"/>
          <w:kern w:val="0"/>
          <w:sz w:val="32"/>
          <w:szCs w:val="32"/>
        </w:rPr>
      </w:pPr>
      <w:r>
        <w:rPr>
          <w:rFonts w:hint="eastAsia" w:ascii="楷体_GB2312" w:hAnsi="楷体_GB2312" w:eastAsia="楷体_GB2312" w:cs="楷体_GB2312"/>
          <w:b/>
          <w:bCs/>
          <w:sz w:val="32"/>
          <w:szCs w:val="32"/>
        </w:rPr>
        <w:t>（二）部门财政资金支出情况：</w:t>
      </w:r>
      <w:r>
        <w:rPr>
          <w:rFonts w:hint="eastAsia" w:ascii="仿宋_GB2312" w:eastAsia="仿宋_GB2312" w:cs="仿宋"/>
          <w:kern w:val="0"/>
          <w:sz w:val="32"/>
          <w:szCs w:val="32"/>
        </w:rPr>
        <w:t>财政拨款支出86.97万元，其中：基本支出86.97万元，占总支出的80.18%；项目支出21.5万元，占总支出的19.82%。</w:t>
      </w:r>
    </w:p>
    <w:p>
      <w:pPr>
        <w:widowControl/>
        <w:adjustRightInd w:val="0"/>
        <w:snapToGrid w:val="0"/>
        <w:spacing w:line="560" w:lineRule="exact"/>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三、部门整体预算绩效管理情况</w:t>
      </w:r>
    </w:p>
    <w:p>
      <w:pPr>
        <w:spacing w:line="578"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（一）部门预算项目绩效管理</w:t>
      </w:r>
    </w:p>
    <w:p>
      <w:pPr>
        <w:widowControl/>
        <w:adjustRightInd w:val="0"/>
        <w:snapToGrid w:val="0"/>
        <w:spacing w:line="560" w:lineRule="exact"/>
        <w:ind w:firstLine="720"/>
        <w:jc w:val="left"/>
        <w:rPr>
          <w:rFonts w:ascii="仿宋_GB2312" w:eastAsia="仿宋_GB2312" w:cs="仿宋"/>
          <w:kern w:val="0"/>
          <w:sz w:val="32"/>
          <w:szCs w:val="32"/>
        </w:rPr>
      </w:pPr>
      <w:r>
        <w:rPr>
          <w:rFonts w:hint="eastAsia" w:ascii="仿宋_GB2312" w:eastAsia="仿宋_GB2312" w:cs="仿宋"/>
          <w:kern w:val="0"/>
          <w:sz w:val="32"/>
          <w:szCs w:val="32"/>
        </w:rPr>
        <w:t>2021年部门财政资金收入108.47万元；2021年部门财政资金支出108.47万元，其中：基本支出85.97万元，项目支出21.5万元；财政资金结余0元。基本支出是用于保障机关正常运转的日常开支，包括基本工资、绩效工资、津贴补贴、奖金、社会保障费等人员经费85.97万元，其中办公费、印刷费、邮电费、水电费、维修（护）费、物管费、接待费等公用经费10.62万元；项目支出中：县财政预算共青团专项经费21.5万元，驻村工作经费1万元。</w:t>
      </w:r>
    </w:p>
    <w:p>
      <w:pPr>
        <w:spacing w:line="578"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（二）结果应用情况</w:t>
      </w:r>
    </w:p>
    <w:p>
      <w:pPr>
        <w:widowControl/>
        <w:adjustRightInd w:val="0"/>
        <w:snapToGrid w:val="0"/>
        <w:spacing w:line="560" w:lineRule="exact"/>
        <w:ind w:firstLine="640" w:firstLineChars="200"/>
        <w:jc w:val="left"/>
        <w:rPr>
          <w:rFonts w:ascii="仿宋_GB2312" w:eastAsia="仿宋_GB2312" w:cs="仿宋"/>
          <w:kern w:val="0"/>
          <w:sz w:val="32"/>
          <w:szCs w:val="32"/>
        </w:rPr>
      </w:pPr>
      <w:r>
        <w:rPr>
          <w:rFonts w:hint="eastAsia" w:ascii="仿宋_GB2312" w:eastAsia="仿宋_GB2312" w:cs="仿宋"/>
          <w:kern w:val="0"/>
          <w:sz w:val="32"/>
          <w:szCs w:val="32"/>
        </w:rPr>
        <w:t>我会按照绩效评价管理工作要求，组织开展我单位绩效评价管理及具体实施流程，按照规定执行相关管理制度等，资金在规定的时间内按要求使用完毕。</w:t>
      </w:r>
    </w:p>
    <w:p>
      <w:pPr>
        <w:spacing w:line="578"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（三）自评质量</w:t>
      </w:r>
    </w:p>
    <w:p>
      <w:pPr>
        <w:widowControl/>
        <w:adjustRightInd w:val="0"/>
        <w:snapToGrid w:val="0"/>
        <w:spacing w:line="560" w:lineRule="exact"/>
        <w:ind w:firstLine="640" w:firstLineChars="200"/>
        <w:jc w:val="left"/>
        <w:rPr>
          <w:rFonts w:ascii="仿宋_GB2312" w:eastAsia="仿宋_GB2312" w:cs="仿宋"/>
          <w:kern w:val="0"/>
          <w:sz w:val="32"/>
          <w:szCs w:val="32"/>
        </w:rPr>
      </w:pPr>
      <w:r>
        <w:rPr>
          <w:rFonts w:hint="eastAsia" w:ascii="仿宋_GB2312" w:eastAsia="仿宋_GB2312" w:cs="仿宋"/>
          <w:kern w:val="0"/>
          <w:sz w:val="32"/>
          <w:szCs w:val="32"/>
        </w:rPr>
        <w:t>按照20</w:t>
      </w:r>
      <w:r>
        <w:rPr>
          <w:rFonts w:hint="eastAsia" w:ascii="仿宋_GB2312" w:eastAsia="仿宋_GB2312" w:cs="仿宋"/>
          <w:kern w:val="0"/>
          <w:sz w:val="32"/>
          <w:szCs w:val="32"/>
          <w:u w:val="none" w:color="000000"/>
        </w:rPr>
        <w:t>21</w:t>
      </w:r>
      <w:r>
        <w:rPr>
          <w:rFonts w:hint="eastAsia" w:ascii="仿宋_GB2312" w:hAnsi="仿宋_GB2312" w:eastAsia="仿宋_GB2312" w:cs="仿宋_GB2312"/>
          <w:bCs/>
          <w:kern w:val="0"/>
          <w:sz w:val="32"/>
          <w:szCs w:val="32"/>
          <w:lang w:val="en-US" w:eastAsia="zh-CN" w:bidi="ar-SA"/>
        </w:rPr>
        <w:t>年年初计划设定的目</w:t>
      </w:r>
      <w:r>
        <w:rPr>
          <w:rFonts w:hint="eastAsia" w:ascii="仿宋_GB2312" w:eastAsia="仿宋_GB2312" w:cs="仿宋"/>
          <w:kern w:val="0"/>
          <w:sz w:val="32"/>
          <w:szCs w:val="32"/>
        </w:rPr>
        <w:t>标，根据时间节点全面完成我会各项工作任务。</w:t>
      </w:r>
    </w:p>
    <w:p>
      <w:pPr>
        <w:widowControl/>
        <w:adjustRightInd w:val="0"/>
        <w:snapToGrid w:val="0"/>
        <w:spacing w:line="560" w:lineRule="exact"/>
        <w:ind w:firstLine="720"/>
        <w:jc w:val="left"/>
        <w:rPr>
          <w:rFonts w:ascii="黑体" w:hAnsi="黑体" w:eastAsia="黑体" w:cs="黑体"/>
          <w:b/>
          <w:color w:val="000000"/>
          <w:kern w:val="0"/>
          <w:sz w:val="32"/>
          <w:szCs w:val="32"/>
          <w:shd w:val="clear" w:color="auto" w:fill="FFFFFF"/>
        </w:rPr>
      </w:pPr>
      <w:r>
        <w:rPr>
          <w:rFonts w:hint="eastAsia" w:ascii="黑体" w:hAnsi="黑体" w:eastAsia="黑体" w:cs="黑体"/>
          <w:b/>
          <w:color w:val="000000"/>
          <w:kern w:val="0"/>
          <w:sz w:val="32"/>
          <w:szCs w:val="32"/>
          <w:shd w:val="clear" w:color="auto" w:fill="FFFFFF"/>
        </w:rPr>
        <w:t>四、</w:t>
      </w:r>
      <w:r>
        <w:rPr>
          <w:rFonts w:hint="eastAsia" w:ascii="黑体" w:hAnsi="黑体" w:eastAsia="黑体" w:cs="黑体"/>
          <w:color w:val="000000"/>
          <w:kern w:val="0"/>
          <w:sz w:val="32"/>
          <w:szCs w:val="32"/>
          <w:shd w:val="clear" w:color="auto" w:fill="FFFFFF"/>
        </w:rPr>
        <w:t>评价结论及建议</w:t>
      </w:r>
    </w:p>
    <w:p>
      <w:pPr>
        <w:spacing w:line="578"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（一）评价结论</w:t>
      </w:r>
    </w:p>
    <w:p>
      <w:pPr>
        <w:widowControl/>
        <w:adjustRightInd w:val="0"/>
        <w:snapToGrid w:val="0"/>
        <w:spacing w:line="560" w:lineRule="exact"/>
        <w:ind w:firstLine="640" w:firstLineChars="200"/>
        <w:jc w:val="left"/>
        <w:rPr>
          <w:rFonts w:ascii="仿宋_GB2312" w:eastAsia="仿宋_GB2312" w:cs="仿宋"/>
          <w:kern w:val="0"/>
          <w:sz w:val="32"/>
          <w:szCs w:val="32"/>
        </w:rPr>
      </w:pPr>
      <w:r>
        <w:rPr>
          <w:rFonts w:hint="eastAsia" w:ascii="仿宋_GB2312" w:eastAsia="仿宋_GB2312" w:cs="仿宋"/>
          <w:kern w:val="0"/>
          <w:sz w:val="32"/>
          <w:szCs w:val="32"/>
        </w:rPr>
        <w:t>全面完成各项工作目标任务。开展大型庆五四和各类志愿服务活动；强化了青年、团员思想引领；助力青年建功，着力推动青年就业创业，持续深入实施“西部计划”“逐梦计划”“三下乡”；持续关爱服务，加强涉未成年人两法宣传，切实增强青少年的法律意识和防护意识。进一步增强团组织的凝聚力和战斗力。</w:t>
      </w:r>
    </w:p>
    <w:p>
      <w:pPr>
        <w:spacing w:line="578" w:lineRule="exact"/>
        <w:ind w:firstLine="643" w:firstLineChars="200"/>
        <w:rPr>
          <w:rFonts w:ascii="仿宋_GB2312" w:hAnsi="仿宋_GB2312" w:cs="仿宋_GB2312"/>
          <w:sz w:val="32"/>
          <w:szCs w:val="32"/>
        </w:rPr>
      </w:pPr>
      <w:r>
        <w:rPr>
          <w:rFonts w:hint="eastAsia" w:ascii="楷体_GB2312" w:hAnsi="楷体_GB2312" w:eastAsia="楷体_GB2312" w:cs="楷体_GB2312"/>
          <w:b/>
          <w:bCs/>
          <w:sz w:val="32"/>
          <w:szCs w:val="32"/>
        </w:rPr>
        <w:t>（二）存在问题</w:t>
      </w:r>
    </w:p>
    <w:p>
      <w:pPr>
        <w:widowControl/>
        <w:adjustRightInd w:val="0"/>
        <w:snapToGrid w:val="0"/>
        <w:spacing w:line="560" w:lineRule="exact"/>
        <w:ind w:firstLine="640" w:firstLineChars="200"/>
        <w:jc w:val="left"/>
        <w:rPr>
          <w:rFonts w:ascii="仿宋_GB2312" w:eastAsia="仿宋_GB2312" w:cs="仿宋"/>
          <w:kern w:val="0"/>
          <w:sz w:val="32"/>
          <w:szCs w:val="32"/>
          <w:lang w:val="zh-CN"/>
        </w:rPr>
      </w:pPr>
      <w:r>
        <w:rPr>
          <w:rFonts w:hint="eastAsia" w:ascii="仿宋_GB2312" w:eastAsia="仿宋_GB2312" w:cs="仿宋"/>
          <w:kern w:val="0"/>
          <w:sz w:val="32"/>
          <w:szCs w:val="32"/>
          <w:lang w:val="zh-CN"/>
        </w:rPr>
        <w:t>一是</w:t>
      </w:r>
      <w:r>
        <w:rPr>
          <w:rFonts w:hint="eastAsia" w:ascii="仿宋_GB2312" w:eastAsia="仿宋_GB2312" w:cs="仿宋"/>
          <w:kern w:val="0"/>
          <w:sz w:val="32"/>
          <w:szCs w:val="32"/>
        </w:rPr>
        <w:t>，</w:t>
      </w:r>
      <w:r>
        <w:rPr>
          <w:rFonts w:hint="eastAsia" w:ascii="仿宋_GB2312" w:eastAsia="仿宋_GB2312" w:cs="仿宋"/>
          <w:kern w:val="0"/>
          <w:sz w:val="32"/>
          <w:szCs w:val="32"/>
          <w:lang w:val="zh-CN"/>
        </w:rPr>
        <w:t>西部计划志愿者的医疗保险预算基数低于城镇最低</w:t>
      </w:r>
      <w:r>
        <w:rPr>
          <w:rFonts w:hint="eastAsia" w:ascii="仿宋_GB2312" w:hAnsi="仿宋_GB2312" w:eastAsia="仿宋_GB2312" w:cs="仿宋_GB2312"/>
          <w:bCs/>
          <w:kern w:val="0"/>
          <w:sz w:val="32"/>
          <w:szCs w:val="32"/>
          <w:lang w:val="zh-CN" w:eastAsia="zh-CN" w:bidi="ar-SA"/>
        </w:rPr>
        <w:t>标准，与实际缴纳</w:t>
      </w:r>
      <w:r>
        <w:rPr>
          <w:rFonts w:hint="eastAsia" w:ascii="仿宋_GB2312" w:hAnsi="仿宋_GB2312" w:eastAsia="仿宋_GB2312" w:cs="仿宋_GB2312"/>
          <w:bCs/>
          <w:kern w:val="0"/>
          <w:sz w:val="32"/>
          <w:szCs w:val="32"/>
          <w:lang w:val="en-US" w:eastAsia="zh-CN" w:bidi="ar-SA"/>
        </w:rPr>
        <w:t>基</w:t>
      </w:r>
      <w:r>
        <w:rPr>
          <w:rFonts w:hint="eastAsia" w:ascii="仿宋_GB2312" w:hAnsi="仿宋_GB2312" w:eastAsia="仿宋_GB2312" w:cs="仿宋_GB2312"/>
          <w:bCs/>
          <w:kern w:val="0"/>
          <w:sz w:val="32"/>
          <w:szCs w:val="32"/>
          <w:lang w:val="zh-CN" w:eastAsia="zh-CN" w:bidi="ar-SA"/>
        </w:rPr>
        <w:t>数</w:t>
      </w:r>
      <w:r>
        <w:rPr>
          <w:rFonts w:hint="eastAsia" w:ascii="仿宋_GB2312" w:eastAsia="仿宋_GB2312" w:cs="仿宋"/>
          <w:kern w:val="0"/>
          <w:sz w:val="32"/>
          <w:szCs w:val="32"/>
          <w:lang w:val="zh-CN"/>
        </w:rPr>
        <w:t>存在差距，其中差额部分由团县委补贴，按县委</w:t>
      </w:r>
      <w:r>
        <w:rPr>
          <w:rFonts w:hint="eastAsia" w:ascii="仿宋_GB2312" w:eastAsia="仿宋_GB2312" w:cs="仿宋"/>
          <w:kern w:val="0"/>
          <w:sz w:val="32"/>
          <w:szCs w:val="32"/>
        </w:rPr>
        <w:t>、县</w:t>
      </w:r>
      <w:r>
        <w:rPr>
          <w:rFonts w:hint="eastAsia" w:ascii="仿宋_GB2312" w:eastAsia="仿宋_GB2312" w:cs="仿宋"/>
          <w:kern w:val="0"/>
          <w:sz w:val="32"/>
          <w:szCs w:val="32"/>
          <w:lang w:val="zh-CN"/>
        </w:rPr>
        <w:t>政府统一部署要求，</w:t>
      </w:r>
      <w:r>
        <w:rPr>
          <w:rFonts w:hint="eastAsia" w:ascii="仿宋_GB2312" w:eastAsia="仿宋_GB2312" w:cs="仿宋"/>
          <w:kern w:val="0"/>
          <w:sz w:val="32"/>
          <w:szCs w:val="32"/>
        </w:rPr>
        <w:t>共青团专项经费减少，经费补贴十分困难</w:t>
      </w:r>
      <w:r>
        <w:rPr>
          <w:rFonts w:hint="eastAsia" w:ascii="仿宋_GB2312" w:eastAsia="仿宋_GB2312" w:cs="仿宋"/>
          <w:kern w:val="0"/>
          <w:sz w:val="32"/>
          <w:szCs w:val="32"/>
          <w:lang w:val="zh-CN"/>
        </w:rPr>
        <w:t>。</w:t>
      </w:r>
    </w:p>
    <w:p>
      <w:pPr>
        <w:widowControl/>
        <w:adjustRightInd w:val="0"/>
        <w:snapToGrid w:val="0"/>
        <w:spacing w:line="560" w:lineRule="exact"/>
        <w:ind w:firstLine="640" w:firstLineChars="200"/>
        <w:jc w:val="left"/>
        <w:rPr>
          <w:rFonts w:ascii="仿宋_GB2312" w:eastAsia="仿宋_GB2312" w:cs="仿宋"/>
          <w:kern w:val="0"/>
          <w:sz w:val="32"/>
          <w:szCs w:val="32"/>
          <w:lang w:val="zh-CN"/>
        </w:rPr>
      </w:pPr>
      <w:r>
        <w:rPr>
          <w:rFonts w:hint="eastAsia" w:ascii="仿宋_GB2312" w:eastAsia="仿宋_GB2312" w:cs="仿宋"/>
          <w:kern w:val="0"/>
          <w:sz w:val="32"/>
          <w:szCs w:val="32"/>
          <w:lang w:val="zh-CN"/>
        </w:rPr>
        <w:t>二是乡（镇）、学校一级团组织工作经费未纳入本级预算，基层团组织工作开展保障要求不完善，工作推动困难。</w:t>
      </w:r>
    </w:p>
    <w:p>
      <w:pPr>
        <w:spacing w:line="578"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（三）改进建议</w:t>
      </w:r>
    </w:p>
    <w:p>
      <w:pPr>
        <w:widowControl/>
        <w:adjustRightInd w:val="0"/>
        <w:snapToGrid w:val="0"/>
        <w:spacing w:line="560" w:lineRule="exact"/>
        <w:ind w:firstLine="640" w:firstLineChars="200"/>
        <w:jc w:val="left"/>
        <w:rPr>
          <w:rFonts w:ascii="仿宋_GB2312" w:eastAsia="仿宋_GB2312" w:cs="仿宋"/>
          <w:kern w:val="0"/>
          <w:sz w:val="32"/>
          <w:szCs w:val="32"/>
          <w:lang w:val="zh-CN"/>
        </w:rPr>
      </w:pPr>
      <w:r>
        <w:rPr>
          <w:rFonts w:hint="eastAsia" w:ascii="仿宋_GB2312" w:eastAsia="仿宋_GB2312" w:cs="仿宋"/>
          <w:kern w:val="0"/>
          <w:sz w:val="32"/>
          <w:szCs w:val="32"/>
          <w:lang w:val="zh-CN"/>
        </w:rPr>
        <w:t>一是高度重视，强化组织领导。按年度制定、审定项目总体规划、实施方案，项目完成后组织相关项目单位验收等，并协调解决项目建设中出现的各种问题，保障工作顺利进行。</w:t>
      </w:r>
    </w:p>
    <w:p>
      <w:pPr>
        <w:widowControl/>
        <w:adjustRightInd w:val="0"/>
        <w:snapToGrid w:val="0"/>
        <w:spacing w:line="560" w:lineRule="exact"/>
        <w:ind w:firstLine="640" w:firstLineChars="200"/>
        <w:jc w:val="left"/>
        <w:rPr>
          <w:rFonts w:ascii="仿宋_GB2312" w:eastAsia="仿宋_GB2312" w:cs="仿宋"/>
          <w:kern w:val="0"/>
          <w:sz w:val="32"/>
          <w:szCs w:val="32"/>
          <w:lang w:val="zh-CN"/>
        </w:rPr>
      </w:pPr>
      <w:r>
        <w:rPr>
          <w:rFonts w:hint="eastAsia" w:ascii="仿宋_GB2312" w:eastAsia="仿宋_GB2312" w:cs="仿宋"/>
          <w:kern w:val="0"/>
          <w:sz w:val="32"/>
          <w:szCs w:val="32"/>
          <w:lang w:val="zh-CN"/>
        </w:rPr>
        <w:t>二是严格管理，实现最大效益。项目经费专项开支，做到专项归集、专项核算，加强项目资金管理，切实将项目落到实处，实现最大的效益。</w:t>
      </w:r>
    </w:p>
    <w:p>
      <w:pPr>
        <w:spacing w:line="580" w:lineRule="exact"/>
        <w:rPr>
          <w:rFonts w:ascii="仿宋_GB2312" w:hAnsi="仿宋_GB2312" w:eastAsia="仿宋_GB2312" w:cs="仿宋_GB2312"/>
          <w:b/>
          <w:bCs/>
          <w:sz w:val="32"/>
          <w:szCs w:val="32"/>
        </w:rPr>
      </w:pPr>
      <w:r>
        <w:rPr>
          <w:rFonts w:hint="eastAsia" w:ascii="黑体" w:hAnsi="黑体" w:eastAsia="黑体" w:cs="黑体"/>
          <w:b/>
          <w:bCs/>
          <w:sz w:val="32"/>
          <w:szCs w:val="32"/>
        </w:rPr>
        <w:t>附件2</w:t>
      </w:r>
    </w:p>
    <w:p>
      <w:pPr>
        <w:spacing w:line="580" w:lineRule="exact"/>
        <w:ind w:firstLine="643" w:firstLineChars="200"/>
        <w:rPr>
          <w:rFonts w:ascii="仿宋_GB2312" w:hAnsi="仿宋_GB2312" w:eastAsia="仿宋_GB2312" w:cs="仿宋_GB2312"/>
          <w:b/>
          <w:bCs/>
          <w:sz w:val="32"/>
          <w:szCs w:val="32"/>
        </w:rPr>
      </w:pPr>
    </w:p>
    <w:p>
      <w:pPr>
        <w:spacing w:line="600" w:lineRule="exact"/>
        <w:jc w:val="center"/>
        <w:rPr>
          <w:rFonts w:ascii="方正小标宋简体" w:hAnsi="宋体" w:eastAsia="方正小标宋简体"/>
          <w:b/>
          <w:bCs/>
          <w:kern w:val="0"/>
          <w:sz w:val="44"/>
          <w:szCs w:val="44"/>
          <w:lang w:val="zh-CN"/>
        </w:rPr>
      </w:pPr>
      <w:r>
        <w:rPr>
          <w:rFonts w:hint="eastAsia" w:ascii="方正小标宋简体" w:hAnsi="宋体" w:eastAsia="方正小标宋简体"/>
          <w:b/>
          <w:bCs/>
          <w:sz w:val="44"/>
          <w:szCs w:val="44"/>
          <w:shd w:val="clear" w:color="auto" w:fill="FFFFFF"/>
        </w:rPr>
        <w:t>共青团专项经费</w:t>
      </w:r>
      <w:r>
        <w:rPr>
          <w:rFonts w:hint="eastAsia" w:ascii="方正小标宋简体" w:hAnsi="宋体" w:eastAsia="方正小标宋简体"/>
          <w:b/>
          <w:bCs/>
          <w:kern w:val="0"/>
          <w:sz w:val="44"/>
          <w:szCs w:val="44"/>
          <w:lang w:val="zh-CN"/>
        </w:rPr>
        <w:t>项目</w:t>
      </w:r>
      <w:r>
        <w:rPr>
          <w:rFonts w:hint="eastAsia" w:ascii="方正小标宋简体" w:hAnsi="宋体" w:eastAsia="方正小标宋简体"/>
          <w:b/>
          <w:bCs/>
          <w:kern w:val="0"/>
          <w:sz w:val="44"/>
          <w:szCs w:val="44"/>
        </w:rPr>
        <w:t>2021年</w:t>
      </w:r>
      <w:r>
        <w:rPr>
          <w:rFonts w:hint="eastAsia" w:ascii="方正小标宋简体" w:hAnsi="宋体" w:eastAsia="方正小标宋简体"/>
          <w:b/>
          <w:bCs/>
          <w:kern w:val="0"/>
          <w:sz w:val="44"/>
          <w:szCs w:val="44"/>
          <w:lang w:val="zh-CN"/>
        </w:rPr>
        <w:t>绩效评价报告</w:t>
      </w:r>
    </w:p>
    <w:p>
      <w:pPr>
        <w:widowControl/>
        <w:adjustRightInd w:val="0"/>
        <w:snapToGrid w:val="0"/>
        <w:spacing w:line="560" w:lineRule="exact"/>
        <w:ind w:firstLine="422" w:firstLineChars="200"/>
        <w:jc w:val="left"/>
        <w:rPr>
          <w:rFonts w:ascii="仿宋_GB2312" w:hAnsi="宋体" w:cs="宋体"/>
          <w:b/>
          <w:bCs/>
          <w:color w:val="000000"/>
          <w:kern w:val="0"/>
          <w:szCs w:val="32"/>
          <w:shd w:val="clear" w:color="auto" w:fill="FFFFFF"/>
        </w:rPr>
      </w:pPr>
    </w:p>
    <w:p>
      <w:pPr>
        <w:spacing w:line="578" w:lineRule="exact"/>
        <w:ind w:firstLine="643" w:firstLineChars="200"/>
        <w:rPr>
          <w:rFonts w:ascii="黑体" w:hAnsi="黑体" w:eastAsia="黑体" w:cs="黑体"/>
          <w:b/>
          <w:bCs/>
          <w:sz w:val="32"/>
          <w:szCs w:val="32"/>
        </w:rPr>
      </w:pPr>
      <w:r>
        <w:rPr>
          <w:rFonts w:hint="eastAsia" w:ascii="黑体" w:hAnsi="黑体" w:eastAsia="黑体" w:cs="黑体"/>
          <w:b/>
          <w:bCs/>
          <w:sz w:val="32"/>
          <w:szCs w:val="32"/>
        </w:rPr>
        <w:t>一、项目概况</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（一）项目基本情况</w:t>
      </w:r>
    </w:p>
    <w:p>
      <w:pPr>
        <w:widowControl/>
        <w:adjustRightInd w:val="0"/>
        <w:snapToGrid w:val="0"/>
        <w:spacing w:line="560" w:lineRule="exact"/>
        <w:ind w:firstLine="720"/>
        <w:jc w:val="left"/>
        <w:rPr>
          <w:rFonts w:ascii="仿宋_GB2312" w:hAnsi="仿宋_GB2312" w:eastAsia="仿宋_GB2312" w:cs="仿宋_GB2312"/>
          <w:color w:val="000000"/>
          <w:kern w:val="0"/>
          <w:sz w:val="32"/>
          <w:szCs w:val="32"/>
          <w:shd w:val="clear" w:color="auto" w:fill="FFFFFF"/>
          <w:lang w:val="zh-CN"/>
        </w:rPr>
      </w:pPr>
      <w:r>
        <w:rPr>
          <w:rFonts w:hint="eastAsia" w:ascii="仿宋_GB2312" w:hAnsi="仿宋_GB2312" w:eastAsia="仿宋_GB2312" w:cs="仿宋_GB2312"/>
          <w:color w:val="000000"/>
          <w:kern w:val="0"/>
          <w:sz w:val="32"/>
          <w:szCs w:val="32"/>
          <w:shd w:val="clear" w:color="auto" w:fill="FFFFFF"/>
        </w:rPr>
        <w:t>2021年全县青年人数21.8万左右，根据关于切实做好新时期党建带团建工作的通知通委组</w:t>
      </w:r>
      <w:r>
        <w:rPr>
          <w:rFonts w:hint="eastAsia" w:ascii="仿宋_GB2312" w:eastAsia="仿宋_GB2312"/>
          <w:sz w:val="32"/>
          <w:szCs w:val="32"/>
        </w:rPr>
        <w:t>〔2020〕</w:t>
      </w:r>
      <w:r>
        <w:rPr>
          <w:rFonts w:hint="eastAsia" w:ascii="仿宋_GB2312" w:hAnsi="仿宋_GB2312" w:eastAsia="仿宋_GB2312" w:cs="仿宋_GB2312"/>
          <w:color w:val="000000"/>
          <w:kern w:val="0"/>
          <w:sz w:val="32"/>
          <w:szCs w:val="32"/>
          <w:shd w:val="clear" w:color="auto" w:fill="FFFFFF"/>
        </w:rPr>
        <w:t>134号文件要求不低于每人每年1元钱的标准预算共青团专项经费，2021年共计预算共青团专项经费21.5万元。该项目主要</w:t>
      </w:r>
      <w:r>
        <w:rPr>
          <w:rFonts w:hint="eastAsia" w:ascii="仿宋_GB2312" w:hAnsi="仿宋_GB2312" w:eastAsia="仿宋_GB2312" w:cs="仿宋_GB2312"/>
          <w:color w:val="000000"/>
          <w:kern w:val="0"/>
          <w:sz w:val="32"/>
          <w:szCs w:val="32"/>
          <w:shd w:val="clear" w:color="auto" w:fill="FFFFFF"/>
          <w:lang w:val="zh-CN"/>
        </w:rPr>
        <w:t>负责全县团的组织建设，协助党组织管理、选拔和培训团的干部，指导县青少年活动营地和县实施希望工程办公室领导小组的工作；负责、指导并组织面向全县青少年的思想理论教育、宣传文化活动，培养、选拔、推荐优秀青年，负责管理、指导团县委系统刊物的编发；负责全县青年统战工作及青少年外事、县内外青少年友好交流工作</w:t>
      </w:r>
      <w:r>
        <w:t>。</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（二）项目绩效目标</w:t>
      </w:r>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shd w:val="clear" w:color="auto" w:fill="FFFFFF"/>
          <w:lang w:val="zh-CN"/>
        </w:rPr>
        <w:t>项目主要内容：团组织建设、青年活动开展、基层团组织及团系统管理，</w:t>
      </w:r>
      <w:r>
        <w:rPr>
          <w:rFonts w:ascii="仿宋_GB2312" w:hAnsi="仿宋_GB2312" w:eastAsia="仿宋_GB2312" w:cs="仿宋_GB2312"/>
          <w:color w:val="000000"/>
          <w:kern w:val="0"/>
          <w:sz w:val="32"/>
          <w:szCs w:val="32"/>
          <w:shd w:val="clear" w:color="auto" w:fill="FFFFFF"/>
        </w:rPr>
        <w:t>指导帮扶青年就业创业</w:t>
      </w:r>
      <w:r>
        <w:rPr>
          <w:rFonts w:hint="eastAsia" w:ascii="仿宋_GB2312" w:hAnsi="仿宋_GB2312" w:eastAsia="仿宋_GB2312" w:cs="仿宋_GB2312"/>
          <w:color w:val="000000"/>
          <w:kern w:val="0"/>
          <w:sz w:val="32"/>
          <w:szCs w:val="32"/>
          <w:shd w:val="clear" w:color="auto" w:fill="FFFFFF"/>
        </w:rPr>
        <w:t>和青年大学习，</w:t>
      </w:r>
      <w:r>
        <w:rPr>
          <w:rFonts w:ascii="仿宋_GB2312" w:hAnsi="仿宋_GB2312" w:eastAsia="仿宋_GB2312" w:cs="仿宋_GB2312"/>
          <w:color w:val="000000"/>
          <w:kern w:val="0"/>
          <w:sz w:val="32"/>
          <w:szCs w:val="32"/>
          <w:shd w:val="clear" w:color="auto" w:fill="FFFFFF"/>
        </w:rPr>
        <w:t>负责全县团的组织建设以及指导全县少先队工作</w:t>
      </w:r>
      <w:r>
        <w:rPr>
          <w:rFonts w:hint="eastAsia" w:ascii="仿宋_GB2312" w:hAnsi="仿宋_GB2312" w:eastAsia="仿宋_GB2312" w:cs="仿宋_GB2312"/>
          <w:color w:val="000000"/>
          <w:kern w:val="0"/>
          <w:sz w:val="32"/>
          <w:szCs w:val="32"/>
          <w:shd w:val="clear" w:color="auto" w:fill="FFFFFF"/>
          <w:lang w:val="zh-CN"/>
        </w:rPr>
        <w:t>开展各类干部培训。</w:t>
      </w:r>
      <w:r>
        <w:rPr>
          <w:rFonts w:hint="eastAsia" w:ascii="仿宋_GB2312" w:hAnsi="仿宋_GB2312" w:eastAsia="仿宋_GB2312" w:cs="仿宋_GB2312"/>
          <w:color w:val="000000"/>
          <w:kern w:val="0"/>
          <w:sz w:val="32"/>
          <w:szCs w:val="32"/>
          <w:shd w:val="clear" w:color="auto" w:fill="FFFFFF"/>
        </w:rPr>
        <w:t>按照文件的要求，专项资金使用用途与申报目录完全相符。</w:t>
      </w:r>
    </w:p>
    <w:p>
      <w:pPr>
        <w:widowControl/>
        <w:adjustRightInd w:val="0"/>
        <w:snapToGrid w:val="0"/>
        <w:spacing w:line="560" w:lineRule="exact"/>
        <w:ind w:firstLine="720"/>
        <w:jc w:val="left"/>
        <w:rPr>
          <w:rFonts w:ascii="仿宋_GB2312" w:hAnsi="仿宋_GB2312" w:eastAsia="仿宋_GB2312" w:cs="仿宋_GB2312"/>
          <w:b/>
          <w:bCs/>
          <w:color w:val="000000"/>
          <w:kern w:val="0"/>
          <w:sz w:val="32"/>
          <w:szCs w:val="32"/>
          <w:shd w:val="clear" w:color="auto" w:fill="FFFFFF"/>
          <w:lang w:val="zh-CN"/>
        </w:rPr>
      </w:pPr>
      <w:r>
        <w:rPr>
          <w:rFonts w:hint="eastAsia" w:ascii="仿宋_GB2312" w:hAnsi="仿宋_GB2312" w:eastAsia="仿宋_GB2312" w:cs="仿宋_GB2312"/>
          <w:b/>
          <w:bCs/>
          <w:color w:val="000000"/>
          <w:kern w:val="0"/>
          <w:sz w:val="32"/>
          <w:szCs w:val="32"/>
          <w:shd w:val="clear" w:color="auto" w:fill="FFFFFF"/>
          <w:lang w:val="zh-CN"/>
        </w:rPr>
        <w:t>（三）项目自评步骤及方法。</w:t>
      </w:r>
    </w:p>
    <w:p>
      <w:pPr>
        <w:widowControl/>
        <w:spacing w:line="560" w:lineRule="atLeas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运用成本效益分析法，从投入产出与效益、项目管理三个方面入手，通过现场听（听取汇报）、查（查阅资料）、看（查看现场）、评（考核评价）等方式，完成对工作成效的核查，总体完成情况优秀。</w:t>
      </w:r>
    </w:p>
    <w:p>
      <w:pPr>
        <w:widowControl/>
        <w:spacing w:line="560" w:lineRule="atLeas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为保证项目顺利实施，确保项目实施成效，首先，我委</w:t>
      </w:r>
      <w:r>
        <w:rPr>
          <w:rFonts w:hint="eastAsia" w:ascii="仿宋_GB2312" w:hAnsi="仿宋_GB2312" w:eastAsia="仿宋_GB2312" w:cs="仿宋_GB2312"/>
          <w:sz w:val="32"/>
          <w:szCs w:val="32"/>
          <w:lang w:val="zh-CN"/>
        </w:rPr>
        <w:t>各个部室对照年初计划检验年末目标完成情况，</w:t>
      </w:r>
      <w:r>
        <w:rPr>
          <w:rFonts w:hint="eastAsia" w:ascii="仿宋_GB2312" w:hAnsi="仿宋_GB2312" w:eastAsia="仿宋_GB2312" w:cs="仿宋_GB2312"/>
          <w:sz w:val="32"/>
          <w:szCs w:val="32"/>
        </w:rPr>
        <w:t>按时按量完成工作任务，对项目完成情况与质量进行严格把关，各项工作任务成效达到预期目标。其次，在培训方面，我委提前做好课程设计，在课程设计中注重结合当前党团干部教育的需求，量身定做，有理论提高，有业务辅导，有经验交流。培训工作和理论研讨取得了很好的成效。</w:t>
      </w:r>
    </w:p>
    <w:p>
      <w:pPr>
        <w:spacing w:line="578" w:lineRule="exact"/>
        <w:ind w:firstLine="643" w:firstLineChars="200"/>
        <w:rPr>
          <w:rFonts w:ascii="黑体" w:hAnsi="黑体" w:eastAsia="黑体" w:cs="黑体"/>
          <w:b/>
          <w:bCs/>
          <w:sz w:val="32"/>
          <w:szCs w:val="32"/>
        </w:rPr>
      </w:pPr>
      <w:r>
        <w:rPr>
          <w:rFonts w:hint="eastAsia" w:ascii="黑体" w:hAnsi="黑体" w:eastAsia="黑体" w:cs="黑体"/>
          <w:b/>
          <w:bCs/>
          <w:sz w:val="32"/>
          <w:szCs w:val="32"/>
        </w:rPr>
        <w:t>二、项目资金申报及使用情况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（一）项目资金申报及批复情况。</w:t>
      </w:r>
    </w:p>
    <w:p>
      <w:pPr>
        <w:widowControl/>
        <w:adjustRightInd w:val="0"/>
        <w:snapToGrid w:val="0"/>
        <w:spacing w:line="560" w:lineRule="exact"/>
        <w:ind w:firstLine="720"/>
        <w:jc w:val="left"/>
        <w:rPr>
          <w:rFonts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lang w:val="zh-CN"/>
        </w:rPr>
        <w:t>年初，按照财政局预算文件口径和要求，我委申报了共青团专项经费项目资金，随后财政主管部门下达了预算批复文件，</w:t>
      </w:r>
      <w:r>
        <w:rPr>
          <w:rFonts w:hint="eastAsia" w:ascii="仿宋_GB2312" w:hAnsi="仿宋_GB2312" w:eastAsia="仿宋_GB2312" w:cs="仿宋_GB2312"/>
          <w:color w:val="000000"/>
          <w:kern w:val="0"/>
          <w:sz w:val="32"/>
          <w:szCs w:val="32"/>
          <w:shd w:val="clear" w:color="auto" w:fill="FFFFFF"/>
        </w:rPr>
        <w:t>11月中旬按照财政文件和口径做了预算调整，我委严格按照财政各项要求对专项资金进行了预算和申报。</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（二）资金计划、到位及使用情况</w:t>
      </w:r>
    </w:p>
    <w:p>
      <w:pPr>
        <w:widowControl/>
        <w:adjustRightInd w:val="0"/>
        <w:snapToGrid w:val="0"/>
        <w:spacing w:line="560" w:lineRule="exact"/>
        <w:ind w:firstLine="720"/>
        <w:jc w:val="left"/>
        <w:rPr>
          <w:rFonts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lang w:val="zh-CN"/>
        </w:rPr>
        <w:t>2021年共青团通江县委员会部门申报预算公共财政拨款共青团专项经费</w:t>
      </w:r>
      <w:r>
        <w:rPr>
          <w:rFonts w:hint="eastAsia" w:ascii="仿宋_GB2312" w:hAnsi="仿宋_GB2312" w:eastAsia="仿宋_GB2312" w:cs="仿宋_GB2312"/>
          <w:color w:val="000000"/>
          <w:kern w:val="0"/>
          <w:sz w:val="32"/>
          <w:szCs w:val="32"/>
          <w:shd w:val="clear" w:color="auto" w:fill="FFFFFF"/>
        </w:rPr>
        <w:t>21.5</w:t>
      </w:r>
      <w:r>
        <w:rPr>
          <w:rFonts w:hint="eastAsia" w:ascii="仿宋_GB2312" w:hAnsi="仿宋_GB2312" w:eastAsia="仿宋_GB2312" w:cs="仿宋_GB2312"/>
          <w:color w:val="000000"/>
          <w:kern w:val="0"/>
          <w:sz w:val="32"/>
          <w:szCs w:val="32"/>
          <w:shd w:val="clear" w:color="auto" w:fill="FFFFFF"/>
          <w:lang w:val="zh-CN"/>
        </w:rPr>
        <w:t>万元；预算批复项目经费</w:t>
      </w:r>
      <w:r>
        <w:rPr>
          <w:rFonts w:hint="eastAsia" w:ascii="仿宋_GB2312" w:hAnsi="仿宋_GB2312" w:eastAsia="仿宋_GB2312" w:cs="仿宋_GB2312"/>
          <w:color w:val="000000"/>
          <w:kern w:val="0"/>
          <w:sz w:val="32"/>
          <w:szCs w:val="32"/>
          <w:shd w:val="clear" w:color="auto" w:fill="FFFFFF"/>
        </w:rPr>
        <w:t>21.5</w:t>
      </w:r>
      <w:r>
        <w:rPr>
          <w:rFonts w:hint="eastAsia" w:ascii="仿宋_GB2312" w:hAnsi="仿宋_GB2312" w:eastAsia="仿宋_GB2312" w:cs="仿宋_GB2312"/>
          <w:color w:val="000000"/>
          <w:kern w:val="0"/>
          <w:sz w:val="32"/>
          <w:szCs w:val="32"/>
          <w:shd w:val="clear" w:color="auto" w:fill="FFFFFF"/>
          <w:lang w:val="zh-CN"/>
        </w:rPr>
        <w:t>万元；</w:t>
      </w:r>
      <w:r>
        <w:rPr>
          <w:rFonts w:hint="eastAsia" w:ascii="仿宋_GB2312" w:hAnsi="仿宋_GB2312" w:eastAsia="仿宋_GB2312" w:cs="仿宋_GB2312"/>
          <w:color w:val="000000"/>
          <w:kern w:val="0"/>
          <w:sz w:val="32"/>
          <w:szCs w:val="32"/>
          <w:shd w:val="clear" w:color="auto" w:fill="FFFFFF"/>
        </w:rPr>
        <w:t>按年度工作计划和预</w:t>
      </w:r>
      <w:r>
        <w:rPr>
          <w:rFonts w:hint="eastAsia" w:ascii="仿宋_GB2312" w:hAnsi="仿宋_GB2312" w:eastAsia="仿宋_GB2312" w:cs="仿宋_GB2312"/>
          <w:color w:val="000000"/>
          <w:kern w:val="0"/>
          <w:sz w:val="32"/>
          <w:szCs w:val="32"/>
          <w:u w:val="none" w:color="000000"/>
          <w:shd w:val="clear" w:color="auto" w:fill="auto"/>
        </w:rPr>
        <w:t>算经费</w:t>
      </w:r>
      <w:r>
        <w:rPr>
          <w:rFonts w:hint="eastAsia" w:ascii="仿宋_GB2312" w:hAnsi="仿宋_GB2312" w:eastAsia="仿宋_GB2312" w:cs="仿宋_GB2312"/>
          <w:color w:val="000000"/>
          <w:kern w:val="0"/>
          <w:sz w:val="32"/>
          <w:szCs w:val="32"/>
          <w:shd w:val="clear" w:color="auto" w:fill="FFFFFF"/>
        </w:rPr>
        <w:t>拨</w:t>
      </w:r>
      <w:r>
        <w:rPr>
          <w:rFonts w:hint="eastAsia" w:ascii="仿宋_GB2312" w:hAnsi="仿宋_GB2312" w:eastAsia="仿宋_GB2312" w:cs="仿宋_GB2312"/>
          <w:bCs/>
          <w:kern w:val="0"/>
          <w:sz w:val="32"/>
          <w:szCs w:val="32"/>
          <w:lang w:val="en-US" w:eastAsia="zh-CN" w:bidi="ar-SA"/>
        </w:rPr>
        <w:t>付，资金到位率达10</w:t>
      </w:r>
      <w:r>
        <w:rPr>
          <w:rFonts w:hint="eastAsia" w:ascii="仿宋_GB2312" w:hAnsi="仿宋_GB2312" w:eastAsia="仿宋_GB2312" w:cs="仿宋_GB2312"/>
          <w:color w:val="000000"/>
          <w:kern w:val="0"/>
          <w:sz w:val="32"/>
          <w:szCs w:val="32"/>
          <w:shd w:val="clear" w:color="auto" w:fill="FFFFFF"/>
        </w:rPr>
        <w:t>0%。截至2021年12月31日使用资金21.5万元，无其他自筹资金。</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（三）项目财务管理情况</w:t>
      </w:r>
    </w:p>
    <w:p>
      <w:pPr>
        <w:widowControl/>
        <w:spacing w:line="560" w:lineRule="atLeast"/>
        <w:ind w:firstLine="640"/>
        <w:jc w:val="left"/>
        <w:rPr>
          <w:rFonts w:ascii="微软雅黑" w:hAnsi="微软雅黑" w:eastAsia="微软雅黑" w:cs="微软雅黑"/>
        </w:rPr>
      </w:pPr>
      <w:r>
        <w:rPr>
          <w:rFonts w:hint="eastAsia" w:ascii="仿宋_GB2312" w:hAnsi="仿宋_GB2312" w:eastAsia="仿宋_GB2312" w:cs="仿宋_GB2312"/>
          <w:color w:val="000000"/>
          <w:kern w:val="0"/>
          <w:sz w:val="32"/>
          <w:szCs w:val="32"/>
          <w:shd w:val="clear" w:color="auto" w:fill="FFFFFF"/>
        </w:rPr>
        <w:t>项目资金管理办法是按照国家财经法规和财务管理制度。并结合我委实际，严格执行财务管理规定，严格执行年度工作预算，明确项目各项工作任务管理和实施的具体责任部门和责任人，所有资金实行专款专用，经费始终按照项目计划拨付，根据实际工作情况开支，资金拨付严格审批程序，使用规范，会计核算结果真实、准确。同时强化资金使用的监督，包括经费使用前预算和计划的审核审批，经费使用过程中预算执行情况和程序的监督，经费使用后支出内容真实、合理、合法性的审核监督等确保了资金的使用效率和项目的顺利实施。</w:t>
      </w:r>
    </w:p>
    <w:p>
      <w:pPr>
        <w:spacing w:line="578" w:lineRule="exact"/>
        <w:ind w:firstLine="640" w:firstLineChars="200"/>
        <w:rPr>
          <w:rFonts w:ascii="黑体" w:hAnsi="黑体" w:eastAsia="黑体" w:cs="黑体"/>
          <w:sz w:val="32"/>
          <w:szCs w:val="32"/>
        </w:rPr>
      </w:pPr>
      <w:r>
        <w:rPr>
          <w:rFonts w:hint="eastAsia" w:ascii="黑体" w:hAnsi="黑体" w:eastAsia="黑体" w:cs="黑体"/>
          <w:sz w:val="32"/>
          <w:szCs w:val="32"/>
        </w:rPr>
        <w:t>四、项目实施及管理情况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（一）项目组织架构及实施流程。</w:t>
      </w:r>
    </w:p>
    <w:p>
      <w:pPr>
        <w:widowControl/>
        <w:adjustRightInd w:val="0"/>
        <w:snapToGrid w:val="0"/>
        <w:spacing w:line="560" w:lineRule="exact"/>
        <w:ind w:firstLine="720"/>
        <w:jc w:val="left"/>
        <w:rPr>
          <w:rFonts w:ascii="仿宋_GB2312" w:hAnsi="仿宋_GB2312" w:eastAsia="仿宋_GB2312" w:cs="仿宋_GB2312"/>
          <w:color w:val="000000"/>
          <w:kern w:val="0"/>
          <w:sz w:val="32"/>
          <w:szCs w:val="32"/>
          <w:shd w:val="clear" w:color="auto" w:fill="FFFFFF"/>
          <w:lang w:val="zh-CN"/>
        </w:rPr>
      </w:pPr>
      <w:r>
        <w:rPr>
          <w:rFonts w:hint="eastAsia" w:ascii="仿宋_GB2312" w:hAnsi="仿宋_GB2312" w:eastAsia="仿宋_GB2312" w:cs="仿宋_GB2312"/>
          <w:color w:val="000000"/>
          <w:kern w:val="0"/>
          <w:sz w:val="32"/>
          <w:szCs w:val="32"/>
          <w:shd w:val="clear" w:color="auto" w:fill="FFFFFF"/>
          <w:lang w:val="zh-CN"/>
        </w:rPr>
        <w:t>一是明确项目实施范围。主要对象是全县青少年、团员、学校；二是明确项目工作重点，在于指导和引领，加强团的建设及青少年发展；三是加强了项目监督管理，成立了财政专项资金使用监督小组，负责监督工作，对资金使用进行跟踪监督和指导服务。</w:t>
      </w:r>
    </w:p>
    <w:p>
      <w:pPr>
        <w:numPr>
          <w:ilvl w:val="0"/>
          <w:numId w:val="5"/>
        </w:numPr>
        <w:spacing w:line="578" w:lineRule="exact"/>
        <w:ind w:firstLine="643" w:firstLineChars="200"/>
        <w:rPr>
          <w:rFonts w:ascii="楷体_GB2312" w:hAnsi="宋体" w:eastAsia="楷体_GB2312"/>
          <w:b/>
          <w:sz w:val="32"/>
          <w:szCs w:val="32"/>
          <w:lang w:val="zh-CN"/>
        </w:rPr>
      </w:pPr>
      <w:r>
        <w:rPr>
          <w:rFonts w:hint="eastAsia" w:ascii="楷体_GB2312" w:hAnsi="宋体" w:eastAsia="楷体_GB2312"/>
          <w:b/>
          <w:sz w:val="32"/>
          <w:szCs w:val="32"/>
          <w:lang w:val="zh-CN"/>
        </w:rPr>
        <w:t>项目管理情况。</w:t>
      </w:r>
    </w:p>
    <w:p>
      <w:pPr>
        <w:widowControl/>
        <w:adjustRightInd w:val="0"/>
        <w:snapToGrid w:val="0"/>
        <w:spacing w:line="560" w:lineRule="exact"/>
        <w:ind w:firstLine="720"/>
        <w:jc w:val="left"/>
        <w:rPr>
          <w:rFonts w:ascii="仿宋_GB2312" w:hAnsi="仿宋_GB2312" w:eastAsia="仿宋_GB2312" w:cs="仿宋_GB2312"/>
          <w:color w:val="000000"/>
          <w:kern w:val="0"/>
          <w:sz w:val="32"/>
          <w:szCs w:val="32"/>
          <w:shd w:val="clear" w:color="auto" w:fill="FFFFFF"/>
          <w:lang w:val="zh-CN"/>
        </w:rPr>
      </w:pPr>
      <w:r>
        <w:rPr>
          <w:rFonts w:hint="eastAsia" w:ascii="仿宋_GB2312" w:hAnsi="仿宋_GB2312" w:eastAsia="仿宋_GB2312" w:cs="仿宋_GB2312"/>
          <w:color w:val="000000"/>
          <w:kern w:val="0"/>
          <w:sz w:val="32"/>
          <w:szCs w:val="32"/>
          <w:shd w:val="clear" w:color="auto" w:fill="FFFFFF"/>
        </w:rPr>
        <w:t>项目已制定健全的业务管理制度。组织管理上有管理制度保障和支撑条件保障。资产管理上资产管理制度健全。资产利用率良好，财务管理上财务制度健全，管理有效。</w:t>
      </w:r>
    </w:p>
    <w:p>
      <w:pPr>
        <w:spacing w:line="578" w:lineRule="exact"/>
        <w:ind w:firstLine="643" w:firstLineChars="200"/>
        <w:rPr>
          <w:rFonts w:ascii="楷体_GB2312" w:hAnsi="宋体" w:eastAsia="楷体_GB2312"/>
          <w:b/>
          <w:sz w:val="32"/>
          <w:szCs w:val="32"/>
          <w:lang w:val="zh-CN"/>
        </w:rPr>
      </w:pPr>
      <w:r>
        <w:rPr>
          <w:rFonts w:hint="eastAsia" w:ascii="楷体_GB2312" w:hAnsi="宋体" w:eastAsia="楷体_GB2312"/>
          <w:b/>
          <w:sz w:val="32"/>
          <w:szCs w:val="32"/>
          <w:lang w:val="zh-CN"/>
        </w:rPr>
        <w:t>（三）项目监管情况。</w:t>
      </w:r>
    </w:p>
    <w:p>
      <w:pPr>
        <w:widowControl/>
        <w:adjustRightInd w:val="0"/>
        <w:snapToGrid w:val="0"/>
        <w:spacing w:line="560" w:lineRule="exact"/>
        <w:ind w:firstLine="720"/>
        <w:jc w:val="left"/>
        <w:rPr>
          <w:rFonts w:ascii="仿宋_GB2312" w:hAnsi="仿宋_GB2312" w:eastAsia="仿宋_GB2312" w:cs="仿宋_GB2312"/>
          <w:color w:val="000000"/>
          <w:kern w:val="0"/>
          <w:sz w:val="32"/>
          <w:szCs w:val="32"/>
          <w:shd w:val="clear" w:color="auto" w:fill="FFFFFF"/>
          <w:lang w:val="zh-CN"/>
        </w:rPr>
      </w:pPr>
      <w:r>
        <w:rPr>
          <w:rFonts w:hint="eastAsia" w:ascii="仿宋_GB2312" w:hAnsi="仿宋_GB2312" w:eastAsia="仿宋_GB2312" w:cs="仿宋_GB2312"/>
          <w:color w:val="000000"/>
          <w:kern w:val="0"/>
          <w:sz w:val="32"/>
          <w:szCs w:val="32"/>
          <w:shd w:val="clear" w:color="auto" w:fill="FFFFFF"/>
          <w:lang w:val="zh-CN"/>
        </w:rPr>
        <w:t>项目资金及时到位，不影响项目进度；项目资金管理、支出严格按照财务制度管理，合理合规，不存在超标准开支；建立健全项目管理制度，严格执行相关项目管理制度，加强对项目资金的管理，做到了民主决策、民主管理、民主监督，确保实现专项资金目标绩效。</w:t>
      </w:r>
    </w:p>
    <w:p>
      <w:pPr>
        <w:widowControl/>
        <w:adjustRightInd w:val="0"/>
        <w:snapToGrid w:val="0"/>
        <w:spacing w:line="560" w:lineRule="exact"/>
        <w:ind w:firstLine="720"/>
        <w:jc w:val="left"/>
        <w:rPr>
          <w:rFonts w:ascii="黑体" w:hAnsi="黑体" w:eastAsia="黑体" w:cs="黑体"/>
          <w:b/>
          <w:bCs/>
          <w:color w:val="000000"/>
          <w:kern w:val="0"/>
          <w:sz w:val="32"/>
          <w:szCs w:val="32"/>
          <w:shd w:val="clear" w:color="auto" w:fill="FFFFFF"/>
          <w:lang w:val="zh-CN"/>
        </w:rPr>
      </w:pPr>
      <w:r>
        <w:rPr>
          <w:rFonts w:hint="eastAsia" w:ascii="黑体" w:hAnsi="黑体" w:eastAsia="黑体" w:cs="黑体"/>
          <w:b/>
          <w:bCs/>
          <w:color w:val="000000"/>
          <w:kern w:val="0"/>
          <w:sz w:val="32"/>
          <w:szCs w:val="32"/>
          <w:shd w:val="clear" w:color="auto" w:fill="FFFFFF"/>
          <w:lang w:val="zh-CN"/>
        </w:rPr>
        <w:t>四、项目绩效情况</w:t>
      </w:r>
      <w:r>
        <w:rPr>
          <w:rFonts w:hint="eastAsia" w:ascii="黑体" w:hAnsi="黑体" w:eastAsia="黑体" w:cs="黑体"/>
          <w:b/>
          <w:bCs/>
          <w:color w:val="000000"/>
          <w:kern w:val="0"/>
          <w:sz w:val="32"/>
          <w:szCs w:val="32"/>
          <w:shd w:val="clear" w:color="auto" w:fill="FFFFFF"/>
          <w:lang w:val="zh-CN"/>
        </w:rPr>
        <w:tab/>
      </w:r>
    </w:p>
    <w:p>
      <w:pPr>
        <w:widowControl/>
        <w:adjustRightInd w:val="0"/>
        <w:snapToGrid w:val="0"/>
        <w:spacing w:line="560" w:lineRule="exact"/>
        <w:ind w:firstLine="720"/>
        <w:jc w:val="left"/>
        <w:rPr>
          <w:rFonts w:ascii="楷体_GB2312" w:hAnsi="楷体_GB2312" w:eastAsia="楷体_GB2312" w:cs="楷体_GB2312"/>
          <w:b/>
          <w:bCs/>
          <w:color w:val="000000"/>
          <w:kern w:val="0"/>
          <w:sz w:val="32"/>
          <w:szCs w:val="32"/>
          <w:shd w:val="clear" w:color="auto" w:fill="FFFFFF"/>
          <w:lang w:val="zh-CN"/>
        </w:rPr>
      </w:pPr>
      <w:r>
        <w:rPr>
          <w:rFonts w:hint="eastAsia" w:ascii="楷体_GB2312" w:hAnsi="楷体_GB2312" w:eastAsia="楷体_GB2312" w:cs="楷体_GB2312"/>
          <w:b/>
          <w:bCs/>
          <w:color w:val="000000"/>
          <w:kern w:val="0"/>
          <w:sz w:val="32"/>
          <w:szCs w:val="32"/>
          <w:shd w:val="clear" w:color="auto" w:fill="FFFFFF"/>
          <w:lang w:val="zh-CN"/>
        </w:rPr>
        <w:t>（一）项目完成情况。</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首先，强化了思想引导。</w:t>
      </w:r>
      <w:r>
        <w:rPr>
          <w:rFonts w:hint="eastAsia" w:ascii="仿宋_GB2312" w:hAnsi="仿宋_GB2312" w:eastAsia="仿宋_GB2312" w:cs="仿宋_GB2312"/>
          <w:color w:val="000000"/>
          <w:kern w:val="0"/>
          <w:sz w:val="32"/>
          <w:szCs w:val="32"/>
          <w:shd w:val="clear" w:color="auto" w:fill="FFFFFF"/>
          <w:lang w:val="zh-CN"/>
        </w:rPr>
        <w:t>在全县团系统大力开展“学党史、强信念、跟党走”学习教育活动，</w:t>
      </w:r>
      <w:r>
        <w:rPr>
          <w:rFonts w:hint="eastAsia" w:ascii="仿宋_GB2312" w:hAnsi="仿宋_GB2312" w:eastAsia="仿宋_GB2312" w:cs="仿宋_GB2312"/>
          <w:color w:val="000000"/>
          <w:kern w:val="0"/>
          <w:sz w:val="32"/>
          <w:szCs w:val="32"/>
          <w:shd w:val="clear" w:color="auto" w:fill="FFFFFF"/>
        </w:rPr>
        <w:t>1159个团</w:t>
      </w:r>
      <w:r>
        <w:rPr>
          <w:rFonts w:hint="eastAsia" w:ascii="仿宋_GB2312" w:hAnsi="仿宋_GB2312" w:eastAsia="仿宋_GB2312" w:cs="仿宋_GB2312"/>
          <w:color w:val="000000"/>
          <w:kern w:val="0"/>
          <w:sz w:val="32"/>
          <w:szCs w:val="32"/>
          <w:shd w:val="clear" w:color="auto" w:fill="FFFFFF"/>
          <w:lang w:val="zh-CN"/>
        </w:rPr>
        <w:t>支部围绕</w:t>
      </w:r>
      <w:r>
        <w:rPr>
          <w:rFonts w:hint="eastAsia" w:ascii="仿宋_GB2312" w:hAnsi="仿宋_GB2312" w:eastAsia="仿宋_GB2312" w:cs="仿宋_GB2312"/>
          <w:color w:val="000000"/>
          <w:kern w:val="0"/>
          <w:sz w:val="32"/>
          <w:szCs w:val="32"/>
          <w:shd w:val="clear" w:color="auto" w:fill="FFFFFF"/>
        </w:rPr>
        <w:t>5个专题</w:t>
      </w:r>
      <w:r>
        <w:rPr>
          <w:rFonts w:hint="eastAsia" w:ascii="仿宋_GB2312" w:hAnsi="仿宋_GB2312" w:eastAsia="仿宋_GB2312" w:cs="仿宋_GB2312"/>
          <w:color w:val="000000"/>
          <w:kern w:val="0"/>
          <w:sz w:val="32"/>
          <w:szCs w:val="32"/>
          <w:shd w:val="clear" w:color="auto" w:fill="FFFFFF"/>
          <w:lang w:val="zh-CN"/>
        </w:rPr>
        <w:t>学习</w:t>
      </w:r>
      <w:r>
        <w:rPr>
          <w:rFonts w:hint="eastAsia" w:ascii="仿宋_GB2312" w:hAnsi="仿宋_GB2312" w:eastAsia="仿宋_GB2312" w:cs="仿宋_GB2312"/>
          <w:color w:val="000000"/>
          <w:kern w:val="0"/>
          <w:sz w:val="32"/>
          <w:szCs w:val="32"/>
          <w:shd w:val="clear" w:color="auto" w:fill="FFFFFF"/>
        </w:rPr>
        <w:t>和</w:t>
      </w:r>
      <w:r>
        <w:rPr>
          <w:rFonts w:hint="eastAsia" w:ascii="仿宋_GB2312" w:hAnsi="仿宋_GB2312" w:eastAsia="仿宋_GB2312" w:cs="仿宋_GB2312"/>
          <w:color w:val="000000"/>
          <w:kern w:val="0"/>
          <w:sz w:val="32"/>
          <w:szCs w:val="32"/>
          <w:shd w:val="clear" w:color="auto" w:fill="FFFFFF"/>
          <w:lang w:val="zh-CN"/>
        </w:rPr>
        <w:t>开展主题团日活动录入智慧团建系统</w:t>
      </w:r>
      <w:r>
        <w:rPr>
          <w:rFonts w:hint="eastAsia" w:ascii="仿宋_GB2312" w:hAnsi="仿宋_GB2312" w:eastAsia="仿宋_GB2312" w:cs="仿宋_GB2312"/>
          <w:color w:val="000000"/>
          <w:kern w:val="0"/>
          <w:sz w:val="32"/>
          <w:szCs w:val="32"/>
          <w:shd w:val="clear" w:color="auto" w:fill="FFFFFF"/>
        </w:rPr>
        <w:t>7289</w:t>
      </w:r>
      <w:r>
        <w:rPr>
          <w:rFonts w:hint="eastAsia" w:ascii="仿宋_GB2312" w:hAnsi="仿宋_GB2312" w:eastAsia="仿宋_GB2312" w:cs="仿宋_GB2312"/>
          <w:color w:val="000000"/>
          <w:kern w:val="0"/>
          <w:sz w:val="32"/>
          <w:szCs w:val="32"/>
          <w:shd w:val="clear" w:color="auto" w:fill="FFFFFF"/>
          <w:lang w:val="zh-CN"/>
        </w:rPr>
        <w:t>场次；深化青年大学习行动，</w:t>
      </w:r>
      <w:r>
        <w:rPr>
          <w:rFonts w:hint="eastAsia" w:ascii="仿宋_GB2312" w:hAnsi="仿宋_GB2312" w:eastAsia="仿宋_GB2312" w:cs="仿宋_GB2312"/>
          <w:color w:val="000000"/>
          <w:kern w:val="0"/>
          <w:sz w:val="32"/>
          <w:szCs w:val="32"/>
          <w:shd w:val="clear" w:color="auto" w:fill="FFFFFF"/>
        </w:rPr>
        <w:t>33万余名团员青年打卡学习；大力开展选优评先活动，涌现全国青年文明号1个，1人荣获团省委表彰，6人3集体获团市委表彰，18人7集体获团</w:t>
      </w:r>
      <w:r>
        <w:rPr>
          <w:rFonts w:hint="eastAsia" w:ascii="仿宋_GB2312" w:hAnsi="仿宋_GB2312" w:eastAsia="仿宋_GB2312" w:cs="仿宋_GB2312"/>
          <w:sz w:val="32"/>
          <w:szCs w:val="32"/>
        </w:rPr>
        <w:t>县委表彰。</w:t>
      </w:r>
      <w:r>
        <w:rPr>
          <w:rFonts w:hint="eastAsia" w:ascii="仿宋_GB2312" w:hAnsi="仿宋_GB2312" w:eastAsia="仿宋_GB2312" w:cs="仿宋_GB2312"/>
          <w:b/>
          <w:bCs/>
          <w:sz w:val="32"/>
          <w:szCs w:val="32"/>
        </w:rPr>
        <w:t>其次，助力了青年建功。</w:t>
      </w:r>
      <w:r>
        <w:rPr>
          <w:rFonts w:hint="eastAsia" w:ascii="仿宋_GB2312" w:hAnsi="仿宋_GB2312" w:eastAsia="仿宋_GB2312" w:cs="仿宋_GB2312"/>
          <w:sz w:val="32"/>
          <w:szCs w:val="32"/>
        </w:rPr>
        <w:t>着力推动青年就业创业，持续深入实施“西部计划”“逐梦计划”“三下乡”，5名西部计划志愿者在岗服务，募集72个岗位5名大学生成功双选，南开大学等9支暑期三下乡团队来通实践；开展1期农村电商助力乡村振兴培训班，举办2期团青讲堂，联合教科、商务、就业等单位举办线上招聘会1期，提供2000余个就业</w:t>
      </w:r>
      <w:r>
        <w:rPr>
          <w:rFonts w:hint="eastAsia" w:ascii="仿宋_GB2312" w:hAnsi="仿宋_GB2312" w:eastAsia="仿宋_GB2312" w:cs="仿宋_GB2312"/>
          <w:bCs/>
          <w:kern w:val="0"/>
          <w:sz w:val="32"/>
          <w:szCs w:val="32"/>
          <w:lang w:val="en-US" w:eastAsia="zh-CN" w:bidi="ar-SA"/>
        </w:rPr>
        <w:t>岗位；推报2</w:t>
      </w:r>
      <w:r>
        <w:rPr>
          <w:rFonts w:hint="eastAsia" w:ascii="仿宋_GB2312" w:hAnsi="仿宋_GB2312" w:eastAsia="仿宋_GB2312" w:cs="仿宋_GB2312"/>
          <w:sz w:val="32"/>
          <w:szCs w:val="32"/>
        </w:rPr>
        <w:t>人参加</w:t>
      </w:r>
      <w:r>
        <w:rPr>
          <w:rFonts w:hint="eastAsia" w:ascii="仿宋_GB2312" w:eastAsia="仿宋_GB2312"/>
          <w:sz w:val="36"/>
          <w:szCs w:val="36"/>
          <w:u w:val="none" w:color="000000"/>
          <w:shd w:val="clear" w:fill="auto"/>
          <w:lang w:val="en-US" w:eastAsia="zh-CN"/>
        </w:rPr>
        <w:t>“</w:t>
      </w:r>
      <w:r>
        <w:rPr>
          <w:rFonts w:hint="eastAsia" w:ascii="仿宋_GB2312" w:eastAsia="仿宋_GB2312"/>
          <w:sz w:val="36"/>
          <w:szCs w:val="36"/>
        </w:rPr>
        <w:t>创青春</w:t>
      </w:r>
      <w:r>
        <w:rPr>
          <w:rFonts w:hint="eastAsia" w:ascii="仿宋_GB2312" w:eastAsia="仿宋_GB2312"/>
          <w:sz w:val="36"/>
          <w:szCs w:val="36"/>
          <w:u w:val="none" w:color="000000"/>
          <w:shd w:val="clear" w:fill="auto"/>
          <w:lang w:val="en-US" w:eastAsia="zh-CN"/>
        </w:rPr>
        <w:t>”</w:t>
      </w:r>
      <w:r>
        <w:rPr>
          <w:rFonts w:hint="eastAsia" w:ascii="仿宋_GB2312" w:hAnsi="仿宋_GB2312" w:eastAsia="仿宋_GB2312" w:cs="仿宋_GB2312"/>
          <w:sz w:val="32"/>
          <w:szCs w:val="32"/>
        </w:rPr>
        <w:t>川东北经济区青年创新创业大赛1人获优秀奖，推报1人参加青年职业专项赛。组建41支青年突击队在森林防火、抗洪抢险等方面发挥先锋作用，动员728名寒暑假返乡大学生团员青年到居住地团组织报到，累计1337余人次参与疫情防控、抢险清淤等志愿活动，用实际行动展示青年担当和风采。</w:t>
      </w:r>
      <w:r>
        <w:rPr>
          <w:rFonts w:hint="eastAsia" w:ascii="仿宋_GB2312" w:hAnsi="仿宋_GB2312" w:eastAsia="仿宋_GB2312" w:cs="仿宋_GB2312"/>
          <w:b/>
          <w:bCs/>
          <w:sz w:val="32"/>
          <w:szCs w:val="32"/>
        </w:rPr>
        <w:t>最后，持续关爱和服务。</w:t>
      </w:r>
      <w:r>
        <w:rPr>
          <w:rFonts w:hint="eastAsia" w:ascii="仿宋_GB2312" w:hAnsi="仿宋_GB2312" w:eastAsia="仿宋_GB2312" w:cs="仿宋_GB2312"/>
          <w:sz w:val="32"/>
          <w:szCs w:val="32"/>
        </w:rPr>
        <w:t>组织30名留守学生参加重庆“永远跟党走”红色之旅暑期夏令营活动，丰富充实生活，增长知识阅历。深入推进“童伴计划”“童心港湾”</w:t>
      </w:r>
      <w:r>
        <w:rPr>
          <w:rFonts w:hint="eastAsia" w:ascii="仿宋_GB2312" w:hAnsi="仿宋_GB2312" w:eastAsia="仿宋_GB2312" w:cs="仿宋_GB2312"/>
          <w:sz w:val="32"/>
          <w:szCs w:val="32"/>
          <w:u w:val="none" w:color="000000"/>
        </w:rPr>
        <w:t>项目提</w:t>
      </w:r>
      <w:r>
        <w:rPr>
          <w:rFonts w:hint="eastAsia" w:ascii="仿宋_GB2312" w:hAnsi="仿宋_GB2312" w:eastAsia="仿宋_GB2312" w:cs="仿宋_GB2312"/>
          <w:sz w:val="32"/>
          <w:szCs w:val="32"/>
        </w:rPr>
        <w:t>质</w:t>
      </w:r>
      <w:r>
        <w:rPr>
          <w:rFonts w:hint="eastAsia" w:ascii="仿宋_GB2312" w:hAnsi="仿宋_GB2312" w:eastAsia="仿宋_GB2312" w:cs="仿宋_GB2312"/>
          <w:bCs/>
          <w:kern w:val="0"/>
          <w:sz w:val="32"/>
          <w:szCs w:val="32"/>
          <w:lang w:val="en-US" w:eastAsia="zh-CN" w:bidi="ar-SA"/>
        </w:rPr>
        <w:t>扩面，新建12个点位扩至25个点位，进一步扩大关爱覆盖面。举办通江县第四届青</w:t>
      </w:r>
      <w:r>
        <w:rPr>
          <w:rFonts w:hint="eastAsia" w:ascii="仿宋_GB2312" w:hAnsi="仿宋_GB2312" w:eastAsia="仿宋_GB2312" w:cs="仿宋_GB2312"/>
          <w:sz w:val="32"/>
          <w:szCs w:val="32"/>
        </w:rPr>
        <w:t>年联谊交友活动，</w:t>
      </w:r>
      <w:r>
        <w:rPr>
          <w:rFonts w:hint="eastAsia" w:ascii="仿宋_GB2312" w:hAnsi="仿宋_GB2312" w:eastAsia="仿宋_GB2312" w:cs="仿宋_GB2312"/>
          <w:sz w:val="32"/>
          <w:szCs w:val="32"/>
          <w:shd w:val="clear" w:color="auto" w:fill="FFFFFF"/>
        </w:rPr>
        <w:t>帮助</w:t>
      </w:r>
      <w:r>
        <w:rPr>
          <w:rFonts w:hint="eastAsia" w:ascii="仿宋_GB2312" w:hAnsi="仿宋_GB2312" w:eastAsia="仿宋_GB2312" w:cs="仿宋_GB2312"/>
          <w:sz w:val="32"/>
          <w:szCs w:val="32"/>
        </w:rPr>
        <w:t>70余名</w:t>
      </w:r>
      <w:r>
        <w:rPr>
          <w:rFonts w:hint="eastAsia" w:ascii="仿宋_GB2312" w:hAnsi="仿宋_GB2312" w:eastAsia="仿宋_GB2312" w:cs="仿宋_GB2312"/>
          <w:sz w:val="32"/>
          <w:szCs w:val="32"/>
          <w:shd w:val="clear" w:color="auto" w:fill="FFFFFF"/>
        </w:rPr>
        <w:t>青年拓展生活圈，</w:t>
      </w:r>
      <w:r>
        <w:rPr>
          <w:rFonts w:hint="eastAsia" w:ascii="仿宋_GB2312" w:hAnsi="仿宋_GB2312" w:eastAsia="仿宋_GB2312" w:cs="仿宋_GB2312"/>
          <w:sz w:val="32"/>
          <w:szCs w:val="32"/>
        </w:rPr>
        <w:t>8对青年相觅良缘</w:t>
      </w:r>
      <w:r>
        <w:rPr>
          <w:rFonts w:hint="eastAsia" w:ascii="仿宋_GB2312" w:hAnsi="仿宋_GB2312" w:eastAsia="仿宋_GB2312" w:cs="仿宋_GB2312"/>
          <w:sz w:val="32"/>
          <w:szCs w:val="32"/>
          <w:shd w:val="clear" w:color="auto" w:fill="FFFFFF"/>
        </w:rPr>
        <w:t>。积极开展“微心愿”“我要上大学”活动，为108名留守儿童圆梦微心愿，5000元每人助5名优秀学子圆梦大学。加强涉未成年人两法宣传，切实增强青少年的法律意识和防护意识。</w:t>
      </w:r>
    </w:p>
    <w:p>
      <w:pPr>
        <w:widowControl/>
        <w:adjustRightInd w:val="0"/>
        <w:snapToGrid w:val="0"/>
        <w:spacing w:line="560" w:lineRule="exact"/>
        <w:ind w:firstLine="720"/>
        <w:jc w:val="left"/>
        <w:rPr>
          <w:rFonts w:ascii="楷体_GB2312" w:hAnsi="楷体_GB2312" w:eastAsia="楷体_GB2312" w:cs="楷体_GB2312"/>
          <w:b/>
          <w:bCs/>
          <w:color w:val="000000"/>
          <w:kern w:val="0"/>
          <w:sz w:val="32"/>
          <w:szCs w:val="32"/>
          <w:shd w:val="clear" w:color="auto" w:fill="FFFFFF"/>
          <w:lang w:val="zh-CN"/>
        </w:rPr>
      </w:pPr>
      <w:r>
        <w:rPr>
          <w:rFonts w:hint="eastAsia" w:ascii="楷体_GB2312" w:hAnsi="楷体_GB2312" w:eastAsia="楷体_GB2312" w:cs="楷体_GB2312"/>
          <w:b/>
          <w:bCs/>
          <w:color w:val="000000"/>
          <w:kern w:val="0"/>
          <w:sz w:val="32"/>
          <w:szCs w:val="32"/>
          <w:shd w:val="clear" w:color="auto" w:fill="FFFFFF"/>
          <w:lang w:val="zh-CN"/>
        </w:rPr>
        <w:t>（二）项目效益情况。</w:t>
      </w:r>
    </w:p>
    <w:p>
      <w:pPr>
        <w:widowControl/>
        <w:adjustRightInd w:val="0"/>
        <w:snapToGrid w:val="0"/>
        <w:spacing w:line="560" w:lineRule="exact"/>
        <w:ind w:firstLine="720"/>
        <w:jc w:val="left"/>
        <w:rPr>
          <w:rFonts w:ascii="仿宋_GB2312" w:hAnsi="仿宋_GB2312" w:eastAsia="仿宋_GB2312" w:cs="仿宋_GB2312"/>
          <w:color w:val="000000"/>
          <w:kern w:val="0"/>
          <w:sz w:val="32"/>
          <w:szCs w:val="32"/>
          <w:shd w:val="clear" w:color="auto" w:fill="FFFFFF"/>
          <w:lang w:val="zh-CN"/>
        </w:rPr>
      </w:pPr>
      <w:r>
        <w:rPr>
          <w:rFonts w:hint="eastAsia" w:ascii="仿宋_GB2312" w:hAnsi="仿宋_GB2312" w:eastAsia="仿宋_GB2312" w:cs="仿宋_GB2312"/>
          <w:color w:val="000000"/>
          <w:kern w:val="0"/>
          <w:sz w:val="32"/>
          <w:szCs w:val="32"/>
          <w:shd w:val="clear" w:color="auto" w:fill="FFFFFF"/>
          <w:lang w:val="zh-CN"/>
        </w:rPr>
        <w:t>项目绩效目标效益情况总体评价为优秀。具体表现为：</w:t>
      </w:r>
    </w:p>
    <w:p>
      <w:pPr>
        <w:widowControl/>
        <w:adjustRightInd w:val="0"/>
        <w:snapToGrid w:val="0"/>
        <w:spacing w:line="560" w:lineRule="exact"/>
        <w:ind w:firstLine="720"/>
        <w:jc w:val="left"/>
        <w:rPr>
          <w:rFonts w:ascii="仿宋_GB2312" w:hAnsi="仿宋_GB2312" w:eastAsia="仿宋_GB2312" w:cs="仿宋_GB2312"/>
          <w:color w:val="000000"/>
          <w:kern w:val="0"/>
          <w:sz w:val="32"/>
          <w:szCs w:val="32"/>
          <w:shd w:val="clear" w:color="auto" w:fill="FFFFFF"/>
          <w:lang w:val="zh-CN"/>
        </w:rPr>
      </w:pPr>
      <w:r>
        <w:rPr>
          <w:rFonts w:hint="eastAsia" w:ascii="仿宋_GB2312" w:hAnsi="仿宋_GB2312" w:eastAsia="仿宋_GB2312" w:cs="仿宋_GB2312"/>
          <w:color w:val="000000"/>
          <w:kern w:val="0"/>
          <w:sz w:val="32"/>
          <w:szCs w:val="32"/>
          <w:shd w:val="clear" w:color="auto" w:fill="FFFFFF"/>
          <w:lang w:val="zh-CN"/>
        </w:rPr>
        <w:t>1.项目的经济效益</w:t>
      </w:r>
    </w:p>
    <w:p>
      <w:pPr>
        <w:widowControl/>
        <w:adjustRightInd w:val="0"/>
        <w:snapToGrid w:val="0"/>
        <w:spacing w:line="560" w:lineRule="exact"/>
        <w:ind w:firstLine="720"/>
        <w:jc w:val="left"/>
        <w:rPr>
          <w:rFonts w:ascii="仿宋_GB2312" w:hAnsi="仿宋_GB2312" w:eastAsia="仿宋_GB2312" w:cs="仿宋_GB2312"/>
          <w:color w:val="000000"/>
          <w:kern w:val="0"/>
          <w:sz w:val="32"/>
          <w:szCs w:val="32"/>
          <w:shd w:val="clear" w:color="auto" w:fill="FFFFFF"/>
          <w:lang w:val="zh-CN"/>
        </w:rPr>
      </w:pPr>
      <w:r>
        <w:rPr>
          <w:rFonts w:hint="eastAsia" w:ascii="仿宋_GB2312" w:hAnsi="仿宋_GB2312" w:eastAsia="仿宋_GB2312" w:cs="仿宋_GB2312"/>
          <w:color w:val="000000"/>
          <w:kern w:val="0"/>
          <w:sz w:val="32"/>
          <w:szCs w:val="32"/>
          <w:shd w:val="clear" w:color="auto" w:fill="FFFFFF"/>
          <w:lang w:val="zh-CN"/>
        </w:rPr>
        <w:t>项目在实施过程中，严格控制经费支出，实际总支出未超过预算数，厉行节约。</w:t>
      </w:r>
    </w:p>
    <w:p>
      <w:pPr>
        <w:widowControl/>
        <w:adjustRightInd w:val="0"/>
        <w:snapToGrid w:val="0"/>
        <w:spacing w:line="560" w:lineRule="exact"/>
        <w:ind w:firstLine="720"/>
        <w:jc w:val="left"/>
        <w:rPr>
          <w:rFonts w:ascii="仿宋_GB2312" w:hAnsi="仿宋_GB2312" w:eastAsia="仿宋_GB2312" w:cs="仿宋_GB2312"/>
          <w:color w:val="000000"/>
          <w:kern w:val="0"/>
          <w:sz w:val="32"/>
          <w:szCs w:val="32"/>
          <w:shd w:val="clear" w:color="auto" w:fill="FFFFFF"/>
          <w:lang w:val="zh-CN"/>
        </w:rPr>
      </w:pPr>
      <w:r>
        <w:rPr>
          <w:rFonts w:hint="eastAsia" w:ascii="仿宋_GB2312" w:hAnsi="仿宋_GB2312" w:eastAsia="仿宋_GB2312" w:cs="仿宋_GB2312"/>
          <w:color w:val="000000"/>
          <w:kern w:val="0"/>
          <w:sz w:val="32"/>
          <w:szCs w:val="32"/>
          <w:shd w:val="clear" w:color="auto" w:fill="FFFFFF"/>
          <w:lang w:val="zh-CN"/>
        </w:rPr>
        <w:t>2.项目的社会效益</w:t>
      </w:r>
    </w:p>
    <w:p>
      <w:pPr>
        <w:widowControl/>
        <w:adjustRightInd w:val="0"/>
        <w:snapToGrid w:val="0"/>
        <w:spacing w:line="560" w:lineRule="exact"/>
        <w:ind w:firstLine="720"/>
        <w:jc w:val="left"/>
        <w:rPr>
          <w:rFonts w:ascii="仿宋_GB2312" w:hAnsi="仿宋_GB2312" w:eastAsia="仿宋_GB2312" w:cs="仿宋_GB2312"/>
          <w:color w:val="000000"/>
          <w:kern w:val="0"/>
          <w:sz w:val="32"/>
          <w:szCs w:val="32"/>
          <w:shd w:val="clear" w:color="auto" w:fill="FFFFFF"/>
          <w:lang w:val="zh-CN"/>
        </w:rPr>
      </w:pPr>
      <w:r>
        <w:rPr>
          <w:rFonts w:hint="eastAsia" w:ascii="仿宋_GB2312" w:hAnsi="仿宋_GB2312" w:eastAsia="仿宋_GB2312" w:cs="仿宋_GB2312"/>
          <w:color w:val="000000"/>
          <w:kern w:val="0"/>
          <w:sz w:val="32"/>
          <w:szCs w:val="32"/>
          <w:shd w:val="clear" w:color="auto" w:fill="FFFFFF"/>
          <w:lang w:val="zh-CN"/>
        </w:rPr>
        <w:t>项目提高了社会影响力，加大了社会对青少年的关注。</w:t>
      </w:r>
    </w:p>
    <w:p>
      <w:pPr>
        <w:widowControl/>
        <w:adjustRightInd w:val="0"/>
        <w:snapToGrid w:val="0"/>
        <w:spacing w:line="560" w:lineRule="exact"/>
        <w:ind w:firstLine="720"/>
        <w:jc w:val="left"/>
        <w:rPr>
          <w:rFonts w:ascii="仿宋_GB2312" w:hAnsi="仿宋_GB2312" w:eastAsia="仿宋_GB2312" w:cs="仿宋_GB2312"/>
          <w:color w:val="000000"/>
          <w:kern w:val="0"/>
          <w:sz w:val="32"/>
          <w:szCs w:val="32"/>
          <w:shd w:val="clear" w:color="auto" w:fill="FFFFFF"/>
          <w:lang w:val="zh-CN"/>
        </w:rPr>
      </w:pPr>
      <w:r>
        <w:rPr>
          <w:rFonts w:hint="eastAsia" w:ascii="仿宋_GB2312" w:hAnsi="仿宋_GB2312" w:eastAsia="仿宋_GB2312" w:cs="仿宋_GB2312"/>
          <w:color w:val="000000"/>
          <w:kern w:val="0"/>
          <w:sz w:val="32"/>
          <w:szCs w:val="32"/>
          <w:shd w:val="clear" w:color="auto" w:fill="FFFFFF"/>
          <w:lang w:val="zh-CN"/>
        </w:rPr>
        <w:t>3.项目的生态效益</w:t>
      </w:r>
    </w:p>
    <w:p>
      <w:pPr>
        <w:widowControl/>
        <w:adjustRightInd w:val="0"/>
        <w:snapToGrid w:val="0"/>
        <w:spacing w:line="560" w:lineRule="exact"/>
        <w:ind w:firstLine="720"/>
        <w:jc w:val="left"/>
        <w:rPr>
          <w:rFonts w:ascii="仿宋_GB2312" w:hAnsi="仿宋_GB2312" w:eastAsia="仿宋_GB2312" w:cs="仿宋_GB2312"/>
          <w:color w:val="000000"/>
          <w:kern w:val="0"/>
          <w:sz w:val="32"/>
          <w:szCs w:val="32"/>
          <w:shd w:val="clear" w:color="auto" w:fill="FFFFFF"/>
          <w:lang w:val="zh-CN"/>
        </w:rPr>
      </w:pPr>
      <w:r>
        <w:rPr>
          <w:rFonts w:hint="eastAsia" w:ascii="仿宋_GB2312" w:hAnsi="仿宋_GB2312" w:eastAsia="仿宋_GB2312" w:cs="仿宋_GB2312"/>
          <w:color w:val="000000"/>
          <w:kern w:val="0"/>
          <w:sz w:val="32"/>
          <w:szCs w:val="32"/>
          <w:shd w:val="clear" w:color="auto" w:fill="FFFFFF"/>
          <w:lang w:val="zh-CN"/>
        </w:rPr>
        <w:t>积极动员全体干部、志愿者及青少年在特殊日子里开展了丰富多样形式的志愿服务活动。对生态的可持续发展影响深远。</w:t>
      </w:r>
    </w:p>
    <w:p>
      <w:pPr>
        <w:widowControl/>
        <w:adjustRightInd w:val="0"/>
        <w:snapToGrid w:val="0"/>
        <w:spacing w:line="560" w:lineRule="exact"/>
        <w:ind w:firstLine="720"/>
        <w:jc w:val="left"/>
        <w:rPr>
          <w:rFonts w:ascii="仿宋_GB2312" w:hAnsi="仿宋_GB2312" w:eastAsia="仿宋_GB2312" w:cs="仿宋_GB2312"/>
          <w:color w:val="000000"/>
          <w:kern w:val="0"/>
          <w:sz w:val="32"/>
          <w:szCs w:val="32"/>
          <w:shd w:val="clear" w:color="auto" w:fill="FFFFFF"/>
          <w:lang w:val="zh-CN"/>
        </w:rPr>
      </w:pPr>
      <w:r>
        <w:rPr>
          <w:rFonts w:hint="eastAsia" w:ascii="仿宋_GB2312" w:hAnsi="仿宋_GB2312" w:eastAsia="仿宋_GB2312" w:cs="仿宋_GB2312"/>
          <w:color w:val="000000"/>
          <w:kern w:val="0"/>
          <w:sz w:val="32"/>
          <w:szCs w:val="32"/>
          <w:shd w:val="clear" w:color="auto" w:fill="FFFFFF"/>
          <w:lang w:val="zh-CN"/>
        </w:rPr>
        <w:t>4.项目的可持续性分析</w:t>
      </w:r>
    </w:p>
    <w:p>
      <w:pPr>
        <w:widowControl/>
        <w:adjustRightInd w:val="0"/>
        <w:snapToGrid w:val="0"/>
        <w:spacing w:line="560" w:lineRule="exact"/>
        <w:ind w:firstLine="720"/>
        <w:jc w:val="left"/>
        <w:rPr>
          <w:rFonts w:ascii="仿宋_GB2312" w:hAnsi="仿宋_GB2312" w:eastAsia="仿宋_GB2312" w:cs="仿宋_GB2312"/>
          <w:color w:val="000000"/>
          <w:kern w:val="0"/>
          <w:sz w:val="32"/>
          <w:szCs w:val="32"/>
          <w:shd w:val="clear" w:color="auto" w:fill="FFFFFF"/>
          <w:lang w:val="zh-CN"/>
        </w:rPr>
      </w:pPr>
      <w:r>
        <w:rPr>
          <w:rFonts w:hint="eastAsia" w:ascii="仿宋_GB2312" w:hAnsi="仿宋_GB2312" w:eastAsia="仿宋_GB2312" w:cs="仿宋_GB2312"/>
          <w:color w:val="000000"/>
          <w:kern w:val="0"/>
          <w:sz w:val="32"/>
          <w:szCs w:val="32"/>
          <w:shd w:val="clear" w:color="auto" w:fill="FFFFFF"/>
          <w:lang w:val="zh-CN"/>
        </w:rPr>
        <w:t>项目后续政策、资金、人员机构安排和管理措施均能够保证其可持续。</w:t>
      </w:r>
    </w:p>
    <w:p>
      <w:pPr>
        <w:widowControl/>
        <w:adjustRightInd w:val="0"/>
        <w:snapToGrid w:val="0"/>
        <w:spacing w:line="560" w:lineRule="exact"/>
        <w:ind w:firstLine="720"/>
        <w:jc w:val="left"/>
        <w:rPr>
          <w:rFonts w:ascii="仿宋_GB2312" w:hAnsi="仿宋_GB2312" w:eastAsia="仿宋_GB2312" w:cs="仿宋_GB2312"/>
          <w:color w:val="000000"/>
          <w:kern w:val="0"/>
          <w:sz w:val="32"/>
          <w:szCs w:val="32"/>
          <w:u w:val="none" w:color="000000"/>
          <w:shd w:val="clear" w:color="auto" w:fill="auto"/>
        </w:rPr>
      </w:pPr>
      <w:r>
        <w:rPr>
          <w:rFonts w:hint="eastAsia" w:ascii="仿宋_GB2312" w:hAnsi="仿宋_GB2312" w:eastAsia="仿宋_GB2312" w:cs="仿宋_GB2312"/>
          <w:color w:val="000000"/>
          <w:kern w:val="0"/>
          <w:sz w:val="32"/>
          <w:szCs w:val="32"/>
          <w:shd w:val="clear" w:color="auto" w:fill="FFFFFF"/>
        </w:rPr>
        <w:t>5.项目的服务对象满意度</w:t>
      </w:r>
    </w:p>
    <w:p>
      <w:pPr>
        <w:widowControl/>
        <w:adjustRightInd w:val="0"/>
        <w:snapToGrid w:val="0"/>
        <w:spacing w:line="560" w:lineRule="exact"/>
        <w:ind w:firstLine="720"/>
        <w:jc w:val="left"/>
        <w:rPr>
          <w:rFonts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u w:val="none" w:color="000000"/>
          <w:shd w:val="clear" w:color="auto" w:fill="auto"/>
        </w:rPr>
        <w:t>广大</w:t>
      </w:r>
      <w:r>
        <w:rPr>
          <w:rFonts w:hint="eastAsia" w:ascii="仿宋_GB2312" w:hAnsi="仿宋_GB2312" w:eastAsia="仿宋_GB2312" w:cs="仿宋_GB2312"/>
          <w:color w:val="000000"/>
          <w:kern w:val="0"/>
          <w:sz w:val="32"/>
          <w:szCs w:val="32"/>
          <w:shd w:val="clear" w:color="auto" w:fill="FFFFFF"/>
        </w:rPr>
        <w:t>社会群众</w:t>
      </w:r>
      <w:r>
        <w:rPr>
          <w:rFonts w:hint="eastAsia" w:ascii="仿宋_GB2312" w:hAnsi="仿宋_GB2312" w:eastAsia="仿宋_GB2312" w:cs="仿宋_GB2312"/>
          <w:bCs/>
          <w:kern w:val="0"/>
          <w:sz w:val="32"/>
          <w:szCs w:val="32"/>
          <w:lang w:val="en-US" w:eastAsia="zh-CN" w:bidi="ar-SA"/>
        </w:rPr>
        <w:t>和青少年满意度达</w:t>
      </w:r>
      <w:r>
        <w:rPr>
          <w:rFonts w:hint="eastAsia" w:ascii="仿宋_GB2312" w:hAnsi="仿宋_GB2312" w:eastAsia="仿宋_GB2312" w:cs="仿宋_GB2312"/>
          <w:color w:val="000000"/>
          <w:kern w:val="0"/>
          <w:sz w:val="32"/>
          <w:szCs w:val="32"/>
          <w:shd w:val="clear" w:color="auto" w:fill="FFFFFF"/>
        </w:rPr>
        <w:t>100%。</w:t>
      </w:r>
    </w:p>
    <w:p>
      <w:pPr>
        <w:widowControl/>
        <w:adjustRightInd w:val="0"/>
        <w:snapToGrid w:val="0"/>
        <w:spacing w:line="560" w:lineRule="exact"/>
        <w:ind w:firstLine="720"/>
        <w:jc w:val="left"/>
        <w:rPr>
          <w:rFonts w:ascii="黑体" w:hAnsi="黑体" w:eastAsia="黑体" w:cs="黑体"/>
          <w:b/>
          <w:bCs/>
          <w:color w:val="000000"/>
          <w:kern w:val="0"/>
          <w:sz w:val="32"/>
          <w:szCs w:val="32"/>
          <w:shd w:val="clear" w:color="auto" w:fill="FFFFFF"/>
          <w:lang w:val="zh-CN"/>
        </w:rPr>
      </w:pPr>
      <w:r>
        <w:rPr>
          <w:rFonts w:hint="eastAsia" w:ascii="黑体" w:hAnsi="黑体" w:eastAsia="黑体" w:cs="黑体"/>
          <w:b/>
          <w:bCs/>
          <w:color w:val="000000"/>
          <w:kern w:val="0"/>
          <w:sz w:val="32"/>
          <w:szCs w:val="32"/>
          <w:shd w:val="clear" w:color="auto" w:fill="FFFFFF"/>
          <w:lang w:val="zh-CN"/>
        </w:rPr>
        <w:t>五、评价结论及建议</w:t>
      </w:r>
    </w:p>
    <w:p>
      <w:pPr>
        <w:widowControl/>
        <w:adjustRightInd w:val="0"/>
        <w:snapToGrid w:val="0"/>
        <w:spacing w:line="560" w:lineRule="exact"/>
        <w:ind w:firstLine="720"/>
        <w:jc w:val="left"/>
        <w:rPr>
          <w:rFonts w:ascii="楷体_GB2312" w:hAnsi="楷体_GB2312" w:eastAsia="楷体_GB2312" w:cs="楷体_GB2312"/>
          <w:b/>
          <w:bCs/>
          <w:color w:val="000000"/>
          <w:kern w:val="0"/>
          <w:sz w:val="32"/>
          <w:szCs w:val="32"/>
          <w:shd w:val="clear" w:color="auto" w:fill="FFFFFF"/>
          <w:lang w:val="zh-CN"/>
        </w:rPr>
      </w:pPr>
      <w:r>
        <w:rPr>
          <w:rFonts w:hint="eastAsia" w:ascii="楷体_GB2312" w:hAnsi="楷体_GB2312" w:eastAsia="楷体_GB2312" w:cs="楷体_GB2312"/>
          <w:b/>
          <w:bCs/>
          <w:color w:val="000000"/>
          <w:kern w:val="0"/>
          <w:sz w:val="32"/>
          <w:szCs w:val="32"/>
          <w:shd w:val="clear" w:color="auto" w:fill="FFFFFF"/>
          <w:lang w:val="zh-CN"/>
        </w:rPr>
        <w:t>（一）评价结论。</w:t>
      </w:r>
    </w:p>
    <w:p>
      <w:pPr>
        <w:widowControl/>
        <w:adjustRightInd w:val="0"/>
        <w:snapToGrid w:val="0"/>
        <w:spacing w:line="560" w:lineRule="exact"/>
        <w:ind w:firstLine="720"/>
        <w:jc w:val="left"/>
        <w:rPr>
          <w:rFonts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绩效评价结果</w:t>
      </w:r>
    </w:p>
    <w:tbl>
      <w:tblPr>
        <w:tblStyle w:val="11"/>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26"/>
        <w:gridCol w:w="1504"/>
        <w:gridCol w:w="2265"/>
        <w:gridCol w:w="2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26" w:type="dxa"/>
            <w:noWrap/>
            <w:vAlign w:val="center"/>
          </w:tcPr>
          <w:p>
            <w:pPr>
              <w:widowControl/>
              <w:adjustRightInd w:val="0"/>
              <w:snapToGrid w:val="0"/>
              <w:spacing w:line="560" w:lineRule="exact"/>
              <w:ind w:firstLine="720"/>
              <w:jc w:val="left"/>
              <w:rPr>
                <w:rFonts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评价准则</w:t>
            </w:r>
          </w:p>
        </w:tc>
        <w:tc>
          <w:tcPr>
            <w:tcW w:w="1504" w:type="dxa"/>
            <w:noWrap/>
            <w:vAlign w:val="center"/>
          </w:tcPr>
          <w:p>
            <w:pPr>
              <w:widowControl/>
              <w:adjustRightInd w:val="0"/>
              <w:snapToGrid w:val="0"/>
              <w:spacing w:line="560" w:lineRule="exact"/>
              <w:ind w:firstLine="320" w:firstLineChars="100"/>
              <w:jc w:val="left"/>
              <w:rPr>
                <w:rFonts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分值</w:t>
            </w:r>
          </w:p>
        </w:tc>
        <w:tc>
          <w:tcPr>
            <w:tcW w:w="2265" w:type="dxa"/>
            <w:noWrap/>
            <w:vAlign w:val="center"/>
          </w:tcPr>
          <w:p>
            <w:pPr>
              <w:widowControl/>
              <w:adjustRightInd w:val="0"/>
              <w:snapToGrid w:val="0"/>
              <w:spacing w:line="560" w:lineRule="exact"/>
              <w:ind w:firstLine="720"/>
              <w:jc w:val="left"/>
              <w:rPr>
                <w:rFonts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实际得分</w:t>
            </w:r>
          </w:p>
        </w:tc>
        <w:tc>
          <w:tcPr>
            <w:tcW w:w="2265" w:type="dxa"/>
            <w:noWrap/>
            <w:vAlign w:val="center"/>
          </w:tcPr>
          <w:p>
            <w:pPr>
              <w:widowControl/>
              <w:adjustRightInd w:val="0"/>
              <w:snapToGrid w:val="0"/>
              <w:spacing w:line="560" w:lineRule="exact"/>
              <w:ind w:firstLine="720"/>
              <w:jc w:val="left"/>
              <w:rPr>
                <w:rFonts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绩效等级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26" w:type="dxa"/>
            <w:noWrap/>
            <w:vAlign w:val="center"/>
          </w:tcPr>
          <w:p>
            <w:pPr>
              <w:widowControl/>
              <w:adjustRightInd w:val="0"/>
              <w:snapToGrid w:val="0"/>
              <w:spacing w:line="560" w:lineRule="exact"/>
              <w:ind w:firstLine="720"/>
              <w:jc w:val="left"/>
              <w:rPr>
                <w:rFonts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相关性（10%）</w:t>
            </w:r>
          </w:p>
        </w:tc>
        <w:tc>
          <w:tcPr>
            <w:tcW w:w="1504" w:type="dxa"/>
            <w:noWrap/>
            <w:vAlign w:val="center"/>
          </w:tcPr>
          <w:p>
            <w:pPr>
              <w:widowControl/>
              <w:adjustRightInd w:val="0"/>
              <w:snapToGrid w:val="0"/>
              <w:spacing w:line="560" w:lineRule="exact"/>
              <w:ind w:firstLine="720"/>
              <w:jc w:val="left"/>
              <w:rPr>
                <w:rFonts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25</w:t>
            </w:r>
          </w:p>
        </w:tc>
        <w:tc>
          <w:tcPr>
            <w:tcW w:w="2265" w:type="dxa"/>
            <w:noWrap/>
            <w:vAlign w:val="center"/>
          </w:tcPr>
          <w:p>
            <w:pPr>
              <w:widowControl/>
              <w:adjustRightInd w:val="0"/>
              <w:snapToGrid w:val="0"/>
              <w:spacing w:line="560" w:lineRule="exact"/>
              <w:ind w:firstLine="720"/>
              <w:jc w:val="left"/>
              <w:rPr>
                <w:rFonts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25</w:t>
            </w:r>
          </w:p>
        </w:tc>
        <w:tc>
          <w:tcPr>
            <w:tcW w:w="2265" w:type="dxa"/>
            <w:noWrap/>
            <w:vAlign w:val="center"/>
          </w:tcPr>
          <w:p>
            <w:pPr>
              <w:widowControl/>
              <w:adjustRightInd w:val="0"/>
              <w:snapToGrid w:val="0"/>
              <w:spacing w:line="560" w:lineRule="exact"/>
              <w:ind w:firstLine="720"/>
              <w:jc w:val="left"/>
              <w:rPr>
                <w:rFonts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非常满意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26" w:type="dxa"/>
            <w:noWrap/>
            <w:vAlign w:val="center"/>
          </w:tcPr>
          <w:p>
            <w:pPr>
              <w:widowControl/>
              <w:adjustRightInd w:val="0"/>
              <w:snapToGrid w:val="0"/>
              <w:spacing w:line="560" w:lineRule="exact"/>
              <w:ind w:firstLine="720"/>
              <w:jc w:val="left"/>
              <w:rPr>
                <w:rFonts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效率（20%）</w:t>
            </w:r>
          </w:p>
        </w:tc>
        <w:tc>
          <w:tcPr>
            <w:tcW w:w="1504" w:type="dxa"/>
            <w:noWrap/>
            <w:vAlign w:val="center"/>
          </w:tcPr>
          <w:p>
            <w:pPr>
              <w:widowControl/>
              <w:adjustRightInd w:val="0"/>
              <w:snapToGrid w:val="0"/>
              <w:spacing w:line="560" w:lineRule="exact"/>
              <w:ind w:firstLine="720"/>
              <w:jc w:val="left"/>
              <w:rPr>
                <w:rFonts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25</w:t>
            </w:r>
          </w:p>
        </w:tc>
        <w:tc>
          <w:tcPr>
            <w:tcW w:w="2265" w:type="dxa"/>
            <w:noWrap/>
            <w:vAlign w:val="center"/>
          </w:tcPr>
          <w:p>
            <w:pPr>
              <w:widowControl/>
              <w:adjustRightInd w:val="0"/>
              <w:snapToGrid w:val="0"/>
              <w:spacing w:line="560" w:lineRule="exact"/>
              <w:ind w:firstLine="720"/>
              <w:jc w:val="left"/>
              <w:rPr>
                <w:rFonts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25</w:t>
            </w:r>
          </w:p>
        </w:tc>
        <w:tc>
          <w:tcPr>
            <w:tcW w:w="2265" w:type="dxa"/>
            <w:noWrap/>
            <w:vAlign w:val="center"/>
          </w:tcPr>
          <w:p>
            <w:pPr>
              <w:widowControl/>
              <w:adjustRightInd w:val="0"/>
              <w:snapToGrid w:val="0"/>
              <w:spacing w:line="560" w:lineRule="exact"/>
              <w:ind w:firstLine="720"/>
              <w:jc w:val="left"/>
              <w:rPr>
                <w:rFonts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非常满意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26" w:type="dxa"/>
            <w:noWrap/>
            <w:vAlign w:val="center"/>
          </w:tcPr>
          <w:p>
            <w:pPr>
              <w:widowControl/>
              <w:adjustRightInd w:val="0"/>
              <w:snapToGrid w:val="0"/>
              <w:spacing w:line="560" w:lineRule="exact"/>
              <w:ind w:firstLine="720"/>
              <w:jc w:val="left"/>
              <w:rPr>
                <w:rFonts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效果（40%）</w:t>
            </w:r>
          </w:p>
        </w:tc>
        <w:tc>
          <w:tcPr>
            <w:tcW w:w="1504" w:type="dxa"/>
            <w:noWrap/>
            <w:vAlign w:val="center"/>
          </w:tcPr>
          <w:p>
            <w:pPr>
              <w:widowControl/>
              <w:adjustRightInd w:val="0"/>
              <w:snapToGrid w:val="0"/>
              <w:spacing w:line="560" w:lineRule="exact"/>
              <w:ind w:firstLine="720"/>
              <w:jc w:val="left"/>
              <w:rPr>
                <w:rFonts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25</w:t>
            </w:r>
          </w:p>
        </w:tc>
        <w:tc>
          <w:tcPr>
            <w:tcW w:w="2265" w:type="dxa"/>
            <w:noWrap/>
            <w:vAlign w:val="center"/>
          </w:tcPr>
          <w:p>
            <w:pPr>
              <w:widowControl/>
              <w:adjustRightInd w:val="0"/>
              <w:snapToGrid w:val="0"/>
              <w:spacing w:line="560" w:lineRule="exact"/>
              <w:ind w:firstLine="720"/>
              <w:jc w:val="left"/>
              <w:rPr>
                <w:rFonts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25</w:t>
            </w:r>
          </w:p>
        </w:tc>
        <w:tc>
          <w:tcPr>
            <w:tcW w:w="2265" w:type="dxa"/>
            <w:noWrap/>
            <w:vAlign w:val="center"/>
          </w:tcPr>
          <w:p>
            <w:pPr>
              <w:widowControl/>
              <w:adjustRightInd w:val="0"/>
              <w:snapToGrid w:val="0"/>
              <w:spacing w:line="560" w:lineRule="exact"/>
              <w:ind w:firstLine="720"/>
              <w:jc w:val="left"/>
              <w:rPr>
                <w:rFonts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非常满意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26" w:type="dxa"/>
            <w:noWrap/>
            <w:vAlign w:val="center"/>
          </w:tcPr>
          <w:p>
            <w:pPr>
              <w:widowControl/>
              <w:adjustRightInd w:val="0"/>
              <w:snapToGrid w:val="0"/>
              <w:spacing w:line="560" w:lineRule="exact"/>
              <w:ind w:firstLine="720"/>
              <w:jc w:val="left"/>
              <w:rPr>
                <w:rFonts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可持续性（30%）</w:t>
            </w:r>
          </w:p>
        </w:tc>
        <w:tc>
          <w:tcPr>
            <w:tcW w:w="1504" w:type="dxa"/>
            <w:noWrap/>
            <w:vAlign w:val="center"/>
          </w:tcPr>
          <w:p>
            <w:pPr>
              <w:widowControl/>
              <w:adjustRightInd w:val="0"/>
              <w:snapToGrid w:val="0"/>
              <w:spacing w:line="560" w:lineRule="exact"/>
              <w:ind w:firstLine="720"/>
              <w:jc w:val="left"/>
              <w:rPr>
                <w:rFonts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25</w:t>
            </w:r>
          </w:p>
        </w:tc>
        <w:tc>
          <w:tcPr>
            <w:tcW w:w="2265" w:type="dxa"/>
            <w:noWrap/>
            <w:vAlign w:val="center"/>
          </w:tcPr>
          <w:p>
            <w:pPr>
              <w:widowControl/>
              <w:adjustRightInd w:val="0"/>
              <w:snapToGrid w:val="0"/>
              <w:spacing w:line="560" w:lineRule="exact"/>
              <w:ind w:firstLine="720"/>
              <w:jc w:val="left"/>
              <w:rPr>
                <w:rFonts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25</w:t>
            </w:r>
          </w:p>
        </w:tc>
        <w:tc>
          <w:tcPr>
            <w:tcW w:w="2265" w:type="dxa"/>
            <w:noWrap/>
            <w:vAlign w:val="center"/>
          </w:tcPr>
          <w:p>
            <w:pPr>
              <w:widowControl/>
              <w:adjustRightInd w:val="0"/>
              <w:snapToGrid w:val="0"/>
              <w:spacing w:line="560" w:lineRule="exact"/>
              <w:ind w:firstLine="720"/>
              <w:jc w:val="left"/>
              <w:rPr>
                <w:rFonts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非常满意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26" w:type="dxa"/>
            <w:noWrap/>
            <w:vAlign w:val="center"/>
          </w:tcPr>
          <w:p>
            <w:pPr>
              <w:widowControl/>
              <w:adjustRightInd w:val="0"/>
              <w:snapToGrid w:val="0"/>
              <w:spacing w:line="560" w:lineRule="exact"/>
              <w:ind w:firstLine="720"/>
              <w:jc w:val="left"/>
              <w:rPr>
                <w:rFonts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综合绩效</w:t>
            </w:r>
          </w:p>
        </w:tc>
        <w:tc>
          <w:tcPr>
            <w:tcW w:w="1504" w:type="dxa"/>
            <w:noWrap/>
            <w:vAlign w:val="center"/>
          </w:tcPr>
          <w:p>
            <w:pPr>
              <w:widowControl/>
              <w:adjustRightInd w:val="0"/>
              <w:snapToGrid w:val="0"/>
              <w:spacing w:line="560" w:lineRule="exact"/>
              <w:ind w:firstLine="720"/>
              <w:jc w:val="left"/>
              <w:rPr>
                <w:rFonts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100</w:t>
            </w:r>
          </w:p>
        </w:tc>
        <w:tc>
          <w:tcPr>
            <w:tcW w:w="2265" w:type="dxa"/>
            <w:noWrap/>
            <w:vAlign w:val="center"/>
          </w:tcPr>
          <w:p>
            <w:pPr>
              <w:widowControl/>
              <w:adjustRightInd w:val="0"/>
              <w:snapToGrid w:val="0"/>
              <w:spacing w:line="560" w:lineRule="exact"/>
              <w:ind w:firstLine="720"/>
              <w:jc w:val="left"/>
              <w:rPr>
                <w:rFonts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100</w:t>
            </w:r>
          </w:p>
        </w:tc>
        <w:tc>
          <w:tcPr>
            <w:tcW w:w="2265" w:type="dxa"/>
            <w:noWrap/>
            <w:vAlign w:val="center"/>
          </w:tcPr>
          <w:p>
            <w:pPr>
              <w:widowControl/>
              <w:adjustRightInd w:val="0"/>
              <w:snapToGrid w:val="0"/>
              <w:spacing w:line="560" w:lineRule="exact"/>
              <w:ind w:firstLine="720"/>
              <w:jc w:val="left"/>
              <w:rPr>
                <w:rFonts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非常成功</w:t>
            </w:r>
          </w:p>
        </w:tc>
      </w:tr>
    </w:tbl>
    <w:p>
      <w:pPr>
        <w:widowControl/>
        <w:adjustRightInd w:val="0"/>
        <w:snapToGrid w:val="0"/>
        <w:spacing w:line="520" w:lineRule="exact"/>
        <w:ind w:firstLine="720"/>
        <w:jc w:val="left"/>
        <w:rPr>
          <w:rFonts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我委严格按照财务规定和制度使用、管理项目经费，成效明显。各项工作紧紧围绕着中央和省市县委有关精神的安排与部署，大胆开拓创新，较好完成各项工作任务，实现了预期目标，按“财政支出绩效评价指标体系”进行综合评价，本项目综合得分100分，评价等次为“优”。</w:t>
      </w:r>
    </w:p>
    <w:p>
      <w:pPr>
        <w:widowControl/>
        <w:adjustRightInd w:val="0"/>
        <w:snapToGrid w:val="0"/>
        <w:spacing w:line="520" w:lineRule="exact"/>
        <w:ind w:firstLine="720"/>
        <w:jc w:val="left"/>
        <w:rPr>
          <w:rFonts w:ascii="楷体_GB2312" w:hAnsi="楷体_GB2312" w:eastAsia="楷体_GB2312" w:cs="楷体_GB2312"/>
          <w:b/>
          <w:bCs/>
          <w:color w:val="000000"/>
          <w:kern w:val="0"/>
          <w:sz w:val="32"/>
          <w:szCs w:val="32"/>
          <w:shd w:val="clear" w:color="auto" w:fill="FFFFFF"/>
          <w:lang w:val="zh-CN"/>
        </w:rPr>
      </w:pPr>
      <w:r>
        <w:rPr>
          <w:rFonts w:hint="eastAsia" w:ascii="楷体_GB2312" w:hAnsi="楷体_GB2312" w:eastAsia="楷体_GB2312" w:cs="楷体_GB2312"/>
          <w:b/>
          <w:bCs/>
          <w:color w:val="000000"/>
          <w:kern w:val="0"/>
          <w:sz w:val="32"/>
          <w:szCs w:val="32"/>
          <w:shd w:val="clear" w:color="auto" w:fill="FFFFFF"/>
          <w:lang w:val="zh-CN"/>
        </w:rPr>
        <w:t>（二）存在的问题。</w:t>
      </w:r>
    </w:p>
    <w:p>
      <w:pPr>
        <w:widowControl/>
        <w:adjustRightInd w:val="0"/>
        <w:snapToGrid w:val="0"/>
        <w:spacing w:line="520" w:lineRule="exact"/>
        <w:ind w:firstLine="720"/>
        <w:jc w:val="left"/>
        <w:rPr>
          <w:rFonts w:ascii="仿宋_GB2312" w:hAnsi="仿宋_GB2312" w:eastAsia="仿宋_GB2312" w:cs="仿宋_GB2312"/>
          <w:color w:val="000000"/>
          <w:kern w:val="0"/>
          <w:sz w:val="32"/>
          <w:szCs w:val="32"/>
          <w:shd w:val="clear" w:color="auto" w:fill="FFFFFF"/>
          <w:lang w:val="zh-CN"/>
        </w:rPr>
      </w:pPr>
      <w:r>
        <w:rPr>
          <w:rFonts w:hint="eastAsia" w:ascii="仿宋_GB2312" w:hAnsi="仿宋_GB2312" w:eastAsia="仿宋_GB2312" w:cs="仿宋_GB2312"/>
          <w:color w:val="000000"/>
          <w:kern w:val="0"/>
          <w:sz w:val="32"/>
          <w:szCs w:val="32"/>
          <w:shd w:val="clear" w:color="auto" w:fill="FFFFFF"/>
          <w:lang w:val="zh-CN"/>
        </w:rPr>
        <w:t>受县级财力不足的影响，由于乡镇、学校等基层的团建工作更细化、工作量大，导致基层团建工作不够全面、影响力薄弱。</w:t>
      </w:r>
    </w:p>
    <w:p>
      <w:pPr>
        <w:widowControl/>
        <w:adjustRightInd w:val="0"/>
        <w:snapToGrid w:val="0"/>
        <w:spacing w:line="520" w:lineRule="exact"/>
        <w:ind w:firstLine="720"/>
        <w:jc w:val="left"/>
        <w:rPr>
          <w:rFonts w:ascii="楷体_GB2312" w:hAnsi="楷体_GB2312" w:eastAsia="楷体_GB2312" w:cs="楷体_GB2312"/>
          <w:b/>
          <w:bCs/>
          <w:color w:val="000000"/>
          <w:kern w:val="0"/>
          <w:sz w:val="32"/>
          <w:szCs w:val="32"/>
          <w:shd w:val="clear" w:color="auto" w:fill="FFFFFF"/>
          <w:lang w:val="zh-CN"/>
        </w:rPr>
      </w:pPr>
      <w:r>
        <w:rPr>
          <w:rFonts w:hint="eastAsia" w:ascii="楷体_GB2312" w:hAnsi="楷体_GB2312" w:eastAsia="楷体_GB2312" w:cs="楷体_GB2312"/>
          <w:b/>
          <w:bCs/>
          <w:color w:val="000000"/>
          <w:kern w:val="0"/>
          <w:sz w:val="32"/>
          <w:szCs w:val="32"/>
          <w:shd w:val="clear" w:color="auto" w:fill="FFFFFF"/>
          <w:lang w:val="zh-CN"/>
        </w:rPr>
        <w:t>（三）相关建议。</w:t>
      </w:r>
    </w:p>
    <w:p>
      <w:pPr>
        <w:widowControl/>
        <w:adjustRightInd w:val="0"/>
        <w:snapToGrid w:val="0"/>
        <w:spacing w:line="520" w:lineRule="exact"/>
        <w:ind w:firstLine="720"/>
        <w:jc w:val="left"/>
        <w:rPr>
          <w:rFonts w:ascii="仿宋_GB2312" w:hAnsi="仿宋_GB2312" w:eastAsia="仿宋_GB2312" w:cs="仿宋_GB2312"/>
          <w:color w:val="000000"/>
          <w:kern w:val="0"/>
          <w:sz w:val="32"/>
          <w:szCs w:val="32"/>
          <w:shd w:val="clear" w:color="auto" w:fill="FFFFFF"/>
          <w:lang w:val="zh-CN"/>
        </w:rPr>
      </w:pPr>
      <w:r>
        <w:rPr>
          <w:rFonts w:hint="eastAsia" w:ascii="仿宋_GB2312" w:hAnsi="仿宋_GB2312" w:eastAsia="仿宋_GB2312" w:cs="仿宋_GB2312"/>
          <w:color w:val="000000"/>
          <w:kern w:val="0"/>
          <w:sz w:val="32"/>
          <w:szCs w:val="32"/>
          <w:shd w:val="clear" w:color="auto" w:fill="FFFFFF"/>
          <w:lang w:val="zh-CN"/>
        </w:rPr>
        <w:t>加大项目管理专项经费的投入，细化预算编制工作，提高预算编制的科学性、合理性、严谨性和可控性，提高预算编制方案精准度、增强预算预见性。以保证项目管理的正常需要。</w:t>
      </w:r>
    </w:p>
    <w:p>
      <w:pPr>
        <w:spacing w:line="600" w:lineRule="exact"/>
        <w:jc w:val="center"/>
        <w:rPr>
          <w:rStyle w:val="33"/>
          <w:rFonts w:ascii="黑体" w:hAnsi="黑体" w:eastAsia="黑体"/>
          <w:b w:val="0"/>
        </w:rPr>
      </w:pPr>
    </w:p>
    <w:p>
      <w:pPr>
        <w:spacing w:line="600" w:lineRule="exact"/>
        <w:jc w:val="center"/>
        <w:outlineLvl w:val="0"/>
        <w:rPr>
          <w:rStyle w:val="33"/>
          <w:rFonts w:ascii="方正小标宋简体" w:hAnsi="方正小标宋简体" w:eastAsia="方正小标宋简体" w:cs="方正小标宋简体"/>
        </w:rPr>
      </w:pPr>
      <w:bookmarkStart w:id="147" w:name="_Toc22085"/>
      <w:bookmarkStart w:id="148" w:name="_Toc15396618"/>
      <w:bookmarkStart w:id="149" w:name="_Toc21187"/>
      <w:r>
        <w:rPr>
          <w:rFonts w:hint="eastAsia" w:ascii="方正小标宋简体" w:hAnsi="方正小标宋简体" w:eastAsia="方正小标宋简体" w:cs="方正小标宋简体"/>
          <w:b/>
          <w:bCs/>
          <w:sz w:val="44"/>
          <w:szCs w:val="44"/>
        </w:rPr>
        <w:t>第</w:t>
      </w:r>
      <w:r>
        <w:rPr>
          <w:rStyle w:val="33"/>
          <w:rFonts w:hint="eastAsia" w:ascii="方正小标宋简体" w:hAnsi="方正小标宋简体" w:eastAsia="方正小标宋简体" w:cs="方正小标宋简体"/>
        </w:rPr>
        <w:t>五部分</w:t>
      </w:r>
      <w:r>
        <w:rPr>
          <w:rStyle w:val="33"/>
          <w:rFonts w:hint="eastAsia" w:ascii="方正小标宋简体" w:hAnsi="方正小标宋简体" w:eastAsia="方正小标宋简体" w:cs="方正小标宋简体"/>
          <w:lang w:val="en-US" w:eastAsia="zh-CN"/>
        </w:rPr>
        <w:t xml:space="preserve"> </w:t>
      </w:r>
      <w:r>
        <w:rPr>
          <w:rStyle w:val="33"/>
          <w:rFonts w:hint="eastAsia" w:ascii="方正小标宋简体" w:hAnsi="方正小标宋简体" w:eastAsia="方正小标宋简体" w:cs="方正小标宋简体"/>
        </w:rPr>
        <w:t>附表</w:t>
      </w:r>
      <w:bookmarkEnd w:id="142"/>
      <w:bookmarkEnd w:id="147"/>
      <w:bookmarkEnd w:id="148"/>
      <w:bookmarkEnd w:id="149"/>
    </w:p>
    <w:p>
      <w:pPr>
        <w:spacing w:line="600" w:lineRule="exact"/>
        <w:jc w:val="center"/>
        <w:rPr>
          <w:rFonts w:ascii="仿宋" w:hAnsi="仿宋" w:eastAsia="仿宋"/>
          <w:b/>
          <w:sz w:val="44"/>
          <w:szCs w:val="44"/>
        </w:rPr>
      </w:pPr>
    </w:p>
    <w:p>
      <w:pPr>
        <w:pStyle w:val="17"/>
        <w:rPr>
          <w:rFonts w:ascii="仿宋" w:hAnsi="仿宋" w:eastAsia="仿宋"/>
        </w:rPr>
      </w:pPr>
      <w:bookmarkStart w:id="150" w:name="_Toc21710"/>
      <w:bookmarkStart w:id="151" w:name="_Toc26116"/>
      <w:bookmarkStart w:id="152" w:name="_Toc15396619"/>
      <w:r>
        <w:rPr>
          <w:rFonts w:hint="eastAsia" w:ascii="仿宋" w:hAnsi="仿宋" w:eastAsia="仿宋"/>
          <w:b w:val="0"/>
        </w:rPr>
        <w:t>一、收</w:t>
      </w:r>
      <w:r>
        <w:rPr>
          <w:rStyle w:val="34"/>
          <w:rFonts w:hint="eastAsia" w:ascii="仿宋" w:hAnsi="仿宋" w:eastAsia="仿宋"/>
          <w:b w:val="0"/>
          <w:bCs w:val="0"/>
        </w:rPr>
        <w:t>入支出决算总表</w:t>
      </w:r>
      <w:bookmarkEnd w:id="150"/>
      <w:bookmarkEnd w:id="151"/>
      <w:bookmarkEnd w:id="152"/>
    </w:p>
    <w:p>
      <w:pPr>
        <w:pStyle w:val="17"/>
        <w:rPr>
          <w:rFonts w:ascii="仿宋" w:hAnsi="仿宋" w:eastAsia="仿宋"/>
        </w:rPr>
      </w:pPr>
      <w:bookmarkStart w:id="153" w:name="_Toc24547"/>
      <w:bookmarkStart w:id="154" w:name="_Toc15396620"/>
      <w:bookmarkStart w:id="155" w:name="_Toc4438"/>
      <w:r>
        <w:rPr>
          <w:rFonts w:hint="eastAsia" w:ascii="仿宋" w:hAnsi="仿宋" w:eastAsia="仿宋"/>
          <w:b w:val="0"/>
        </w:rPr>
        <w:t>二、收</w:t>
      </w:r>
      <w:r>
        <w:rPr>
          <w:rStyle w:val="34"/>
          <w:rFonts w:hint="eastAsia" w:ascii="仿宋" w:hAnsi="仿宋" w:eastAsia="仿宋"/>
          <w:b w:val="0"/>
          <w:bCs w:val="0"/>
        </w:rPr>
        <w:t>入决算表</w:t>
      </w:r>
      <w:bookmarkEnd w:id="153"/>
      <w:bookmarkEnd w:id="154"/>
      <w:bookmarkEnd w:id="155"/>
    </w:p>
    <w:p>
      <w:pPr>
        <w:pStyle w:val="17"/>
        <w:rPr>
          <w:rFonts w:ascii="仿宋" w:hAnsi="仿宋" w:eastAsia="仿宋"/>
        </w:rPr>
      </w:pPr>
      <w:bookmarkStart w:id="156" w:name="_Toc15396621"/>
      <w:bookmarkStart w:id="157" w:name="_Toc32584"/>
      <w:bookmarkStart w:id="158" w:name="_Toc19028"/>
      <w:r>
        <w:rPr>
          <w:rStyle w:val="34"/>
          <w:rFonts w:hint="eastAsia" w:ascii="仿宋" w:hAnsi="仿宋" w:eastAsia="仿宋"/>
          <w:b w:val="0"/>
          <w:bCs w:val="0"/>
        </w:rPr>
        <w:t>三、</w:t>
      </w:r>
      <w:r>
        <w:rPr>
          <w:rFonts w:hint="eastAsia" w:ascii="仿宋" w:hAnsi="仿宋" w:eastAsia="仿宋"/>
          <w:b w:val="0"/>
        </w:rPr>
        <w:t>支</w:t>
      </w:r>
      <w:r>
        <w:rPr>
          <w:rStyle w:val="34"/>
          <w:rFonts w:hint="eastAsia" w:ascii="仿宋" w:hAnsi="仿宋" w:eastAsia="仿宋"/>
          <w:b w:val="0"/>
          <w:bCs w:val="0"/>
        </w:rPr>
        <w:t>出决算表</w:t>
      </w:r>
      <w:bookmarkEnd w:id="156"/>
      <w:bookmarkEnd w:id="157"/>
      <w:bookmarkEnd w:id="158"/>
    </w:p>
    <w:p>
      <w:pPr>
        <w:pStyle w:val="17"/>
        <w:rPr>
          <w:rFonts w:ascii="仿宋" w:hAnsi="仿宋" w:eastAsia="仿宋"/>
          <w:b w:val="0"/>
        </w:rPr>
      </w:pPr>
      <w:bookmarkStart w:id="159" w:name="_Toc15396622"/>
      <w:bookmarkStart w:id="160" w:name="_Toc9990"/>
      <w:bookmarkStart w:id="161" w:name="_Toc27138"/>
      <w:r>
        <w:rPr>
          <w:rStyle w:val="34"/>
          <w:rFonts w:hint="eastAsia" w:ascii="仿宋" w:hAnsi="仿宋" w:eastAsia="仿宋"/>
          <w:b w:val="0"/>
          <w:bCs w:val="0"/>
        </w:rPr>
        <w:t>四、</w:t>
      </w:r>
      <w:r>
        <w:rPr>
          <w:rFonts w:hint="eastAsia" w:ascii="仿宋" w:hAnsi="仿宋" w:eastAsia="仿宋"/>
          <w:b w:val="0"/>
        </w:rPr>
        <w:t>财政拨款</w:t>
      </w:r>
      <w:r>
        <w:rPr>
          <w:rFonts w:hint="eastAsia" w:ascii="仿宋" w:hAnsi="仿宋" w:eastAsia="仿宋"/>
          <w:b w:val="0"/>
          <w:bCs w:val="0"/>
        </w:rPr>
        <w:t>收入支出决算总表</w:t>
      </w:r>
      <w:bookmarkEnd w:id="159"/>
      <w:bookmarkEnd w:id="160"/>
      <w:bookmarkEnd w:id="161"/>
    </w:p>
    <w:p>
      <w:pPr>
        <w:pStyle w:val="17"/>
        <w:rPr>
          <w:rStyle w:val="34"/>
          <w:rFonts w:ascii="仿宋" w:hAnsi="仿宋" w:eastAsia="仿宋"/>
          <w:b w:val="0"/>
          <w:bCs w:val="0"/>
        </w:rPr>
      </w:pPr>
      <w:bookmarkStart w:id="162" w:name="_Toc30825"/>
      <w:bookmarkStart w:id="163" w:name="_Toc15396623"/>
      <w:bookmarkStart w:id="164" w:name="_Toc1661"/>
      <w:r>
        <w:rPr>
          <w:rStyle w:val="34"/>
          <w:rFonts w:hint="eastAsia" w:ascii="仿宋" w:hAnsi="仿宋" w:eastAsia="仿宋"/>
          <w:b w:val="0"/>
          <w:bCs w:val="0"/>
        </w:rPr>
        <w:t>五、</w:t>
      </w:r>
      <w:r>
        <w:rPr>
          <w:rFonts w:hint="eastAsia" w:ascii="仿宋" w:hAnsi="仿宋" w:eastAsia="仿宋"/>
          <w:b w:val="0"/>
        </w:rPr>
        <w:t>财政拨款</w:t>
      </w:r>
      <w:r>
        <w:rPr>
          <w:rFonts w:hint="eastAsia" w:ascii="仿宋" w:hAnsi="仿宋" w:eastAsia="仿宋"/>
          <w:b w:val="0"/>
          <w:bCs w:val="0"/>
        </w:rPr>
        <w:t>支出决算明细表</w:t>
      </w:r>
      <w:bookmarkEnd w:id="162"/>
      <w:bookmarkEnd w:id="163"/>
      <w:bookmarkEnd w:id="164"/>
      <w:bookmarkStart w:id="165" w:name="_Toc15396624"/>
    </w:p>
    <w:p>
      <w:pPr>
        <w:pStyle w:val="17"/>
        <w:rPr>
          <w:rFonts w:ascii="仿宋" w:hAnsi="仿宋" w:eastAsia="仿宋"/>
        </w:rPr>
      </w:pPr>
      <w:bookmarkStart w:id="166" w:name="_Toc8621"/>
      <w:bookmarkStart w:id="167" w:name="_Toc9619"/>
      <w:r>
        <w:rPr>
          <w:rStyle w:val="34"/>
          <w:rFonts w:hint="eastAsia" w:ascii="仿宋" w:hAnsi="仿宋" w:eastAsia="仿宋"/>
          <w:b w:val="0"/>
          <w:bCs w:val="0"/>
        </w:rPr>
        <w:t>六、</w:t>
      </w:r>
      <w:r>
        <w:rPr>
          <w:rFonts w:hint="eastAsia" w:ascii="仿宋" w:hAnsi="仿宋" w:eastAsia="仿宋"/>
          <w:b w:val="0"/>
        </w:rPr>
        <w:t>一</w:t>
      </w:r>
      <w:r>
        <w:rPr>
          <w:rStyle w:val="34"/>
          <w:rFonts w:hint="eastAsia" w:ascii="仿宋" w:hAnsi="仿宋" w:eastAsia="仿宋"/>
          <w:b w:val="0"/>
          <w:bCs w:val="0"/>
        </w:rPr>
        <w:t>般</w:t>
      </w:r>
      <w:r>
        <w:rPr>
          <w:rFonts w:hint="eastAsia" w:ascii="仿宋" w:hAnsi="仿宋" w:eastAsia="仿宋"/>
          <w:b w:val="0"/>
          <w:bCs w:val="0"/>
        </w:rPr>
        <w:t>公共预算财政拨款支出决算表</w:t>
      </w:r>
      <w:bookmarkEnd w:id="165"/>
      <w:bookmarkEnd w:id="166"/>
      <w:bookmarkEnd w:id="167"/>
    </w:p>
    <w:p>
      <w:pPr>
        <w:pStyle w:val="17"/>
        <w:rPr>
          <w:rFonts w:ascii="仿宋" w:hAnsi="仿宋" w:eastAsia="仿宋"/>
        </w:rPr>
      </w:pPr>
      <w:bookmarkStart w:id="168" w:name="_Toc29415"/>
      <w:bookmarkStart w:id="169" w:name="_Toc15396625"/>
      <w:bookmarkStart w:id="170" w:name="_Toc10831"/>
      <w:r>
        <w:rPr>
          <w:rStyle w:val="34"/>
          <w:rFonts w:hint="eastAsia" w:ascii="仿宋" w:hAnsi="仿宋" w:eastAsia="仿宋"/>
          <w:b w:val="0"/>
          <w:bCs w:val="0"/>
        </w:rPr>
        <w:t>七、</w:t>
      </w:r>
      <w:r>
        <w:rPr>
          <w:rFonts w:hint="eastAsia" w:ascii="仿宋" w:hAnsi="仿宋" w:eastAsia="仿宋"/>
          <w:b w:val="0"/>
        </w:rPr>
        <w:t>一</w:t>
      </w:r>
      <w:r>
        <w:rPr>
          <w:rStyle w:val="34"/>
          <w:rFonts w:hint="eastAsia" w:ascii="仿宋" w:hAnsi="仿宋" w:eastAsia="仿宋"/>
          <w:b w:val="0"/>
          <w:bCs w:val="0"/>
        </w:rPr>
        <w:t>般</w:t>
      </w:r>
      <w:r>
        <w:rPr>
          <w:rFonts w:hint="eastAsia" w:ascii="仿宋" w:hAnsi="仿宋" w:eastAsia="仿宋"/>
          <w:b w:val="0"/>
          <w:bCs w:val="0"/>
        </w:rPr>
        <w:t>公共预算财政拨款支出决算明细表</w:t>
      </w:r>
      <w:bookmarkEnd w:id="168"/>
      <w:bookmarkEnd w:id="169"/>
      <w:bookmarkEnd w:id="170"/>
    </w:p>
    <w:p>
      <w:pPr>
        <w:pStyle w:val="17"/>
        <w:rPr>
          <w:rFonts w:ascii="仿宋" w:hAnsi="仿宋" w:eastAsia="仿宋"/>
        </w:rPr>
      </w:pPr>
      <w:bookmarkStart w:id="171" w:name="_Toc11527"/>
      <w:bookmarkStart w:id="172" w:name="_Toc12960"/>
      <w:bookmarkStart w:id="173" w:name="_Toc15396626"/>
      <w:r>
        <w:rPr>
          <w:rStyle w:val="34"/>
          <w:rFonts w:hint="eastAsia" w:ascii="仿宋" w:hAnsi="仿宋" w:eastAsia="仿宋"/>
          <w:b w:val="0"/>
          <w:bCs w:val="0"/>
        </w:rPr>
        <w:t>八、</w:t>
      </w:r>
      <w:r>
        <w:rPr>
          <w:rFonts w:hint="eastAsia" w:ascii="仿宋" w:hAnsi="仿宋" w:eastAsia="仿宋"/>
          <w:b w:val="0"/>
        </w:rPr>
        <w:t>一</w:t>
      </w:r>
      <w:r>
        <w:rPr>
          <w:rStyle w:val="34"/>
          <w:rFonts w:hint="eastAsia" w:ascii="仿宋" w:hAnsi="仿宋" w:eastAsia="仿宋"/>
          <w:b w:val="0"/>
          <w:bCs w:val="0"/>
        </w:rPr>
        <w:t>般</w:t>
      </w:r>
      <w:r>
        <w:rPr>
          <w:rFonts w:hint="eastAsia" w:ascii="仿宋" w:hAnsi="仿宋" w:eastAsia="仿宋"/>
          <w:b w:val="0"/>
          <w:bCs w:val="0"/>
        </w:rPr>
        <w:t>公共预算财政拨款基本支出决算表</w:t>
      </w:r>
      <w:bookmarkEnd w:id="171"/>
      <w:bookmarkEnd w:id="172"/>
      <w:bookmarkEnd w:id="173"/>
    </w:p>
    <w:p>
      <w:pPr>
        <w:pStyle w:val="17"/>
        <w:rPr>
          <w:rFonts w:ascii="仿宋" w:hAnsi="仿宋" w:eastAsia="仿宋"/>
        </w:rPr>
      </w:pPr>
      <w:bookmarkStart w:id="174" w:name="_Toc3447"/>
      <w:bookmarkStart w:id="175" w:name="_Toc18887"/>
      <w:bookmarkStart w:id="176" w:name="_Toc15396627"/>
      <w:r>
        <w:rPr>
          <w:rStyle w:val="34"/>
          <w:rFonts w:hint="eastAsia" w:ascii="仿宋" w:hAnsi="仿宋" w:eastAsia="仿宋"/>
          <w:b w:val="0"/>
          <w:bCs w:val="0"/>
        </w:rPr>
        <w:t>九、</w:t>
      </w:r>
      <w:r>
        <w:rPr>
          <w:rFonts w:hint="eastAsia" w:ascii="仿宋" w:hAnsi="仿宋" w:eastAsia="仿宋"/>
          <w:b w:val="0"/>
        </w:rPr>
        <w:t>一</w:t>
      </w:r>
      <w:r>
        <w:rPr>
          <w:rStyle w:val="34"/>
          <w:rFonts w:hint="eastAsia" w:ascii="仿宋" w:hAnsi="仿宋" w:eastAsia="仿宋"/>
          <w:b w:val="0"/>
          <w:bCs w:val="0"/>
        </w:rPr>
        <w:t>般</w:t>
      </w:r>
      <w:r>
        <w:rPr>
          <w:rFonts w:hint="eastAsia" w:ascii="仿宋" w:hAnsi="仿宋" w:eastAsia="仿宋"/>
          <w:b w:val="0"/>
          <w:bCs w:val="0"/>
        </w:rPr>
        <w:t>公共预算财政拨款项目支出决算表</w:t>
      </w:r>
      <w:bookmarkEnd w:id="174"/>
      <w:bookmarkEnd w:id="175"/>
      <w:bookmarkEnd w:id="176"/>
    </w:p>
    <w:p>
      <w:pPr>
        <w:pStyle w:val="17"/>
        <w:rPr>
          <w:rFonts w:ascii="仿宋" w:hAnsi="仿宋" w:eastAsia="仿宋"/>
        </w:rPr>
      </w:pPr>
      <w:bookmarkStart w:id="177" w:name="_Toc15396628"/>
      <w:bookmarkStart w:id="178" w:name="_Toc22797"/>
      <w:bookmarkStart w:id="179" w:name="_Toc14092"/>
      <w:r>
        <w:rPr>
          <w:rStyle w:val="34"/>
          <w:rFonts w:hint="eastAsia" w:ascii="仿宋" w:hAnsi="仿宋" w:eastAsia="仿宋"/>
          <w:b w:val="0"/>
          <w:bCs w:val="0"/>
        </w:rPr>
        <w:t>十、</w:t>
      </w:r>
      <w:r>
        <w:rPr>
          <w:rFonts w:hint="eastAsia" w:ascii="仿宋" w:hAnsi="仿宋" w:eastAsia="仿宋"/>
          <w:b w:val="0"/>
        </w:rPr>
        <w:t>一</w:t>
      </w:r>
      <w:r>
        <w:rPr>
          <w:rStyle w:val="34"/>
          <w:rFonts w:hint="eastAsia" w:ascii="仿宋" w:hAnsi="仿宋" w:eastAsia="仿宋"/>
          <w:b w:val="0"/>
          <w:bCs w:val="0"/>
        </w:rPr>
        <w:t>般</w:t>
      </w:r>
      <w:r>
        <w:rPr>
          <w:rFonts w:hint="eastAsia" w:ascii="仿宋" w:hAnsi="仿宋" w:eastAsia="仿宋"/>
          <w:b w:val="0"/>
          <w:bCs w:val="0"/>
        </w:rPr>
        <w:t>公共预算财政拨款“三公”经费支出决算表</w:t>
      </w:r>
      <w:bookmarkEnd w:id="177"/>
      <w:bookmarkEnd w:id="178"/>
      <w:bookmarkEnd w:id="179"/>
    </w:p>
    <w:p>
      <w:pPr>
        <w:pStyle w:val="17"/>
        <w:rPr>
          <w:rFonts w:ascii="仿宋" w:hAnsi="仿宋" w:eastAsia="仿宋"/>
        </w:rPr>
      </w:pPr>
      <w:bookmarkStart w:id="180" w:name="_Toc26111"/>
      <w:bookmarkStart w:id="181" w:name="_Toc15396629"/>
      <w:bookmarkStart w:id="182" w:name="_Toc2962"/>
      <w:r>
        <w:rPr>
          <w:rStyle w:val="34"/>
          <w:rFonts w:hint="eastAsia" w:ascii="仿宋" w:hAnsi="仿宋" w:eastAsia="仿宋"/>
          <w:b w:val="0"/>
          <w:bCs w:val="0"/>
        </w:rPr>
        <w:t>十一、</w:t>
      </w:r>
      <w:r>
        <w:rPr>
          <w:rFonts w:hint="eastAsia" w:ascii="仿宋" w:hAnsi="仿宋" w:eastAsia="仿宋"/>
          <w:b w:val="0"/>
        </w:rPr>
        <w:t>政</w:t>
      </w:r>
      <w:r>
        <w:rPr>
          <w:rStyle w:val="34"/>
          <w:rFonts w:hint="eastAsia" w:ascii="仿宋" w:hAnsi="仿宋" w:eastAsia="仿宋"/>
          <w:b w:val="0"/>
          <w:bCs w:val="0"/>
        </w:rPr>
        <w:t>府性基金预算财政拨款</w:t>
      </w:r>
      <w:r>
        <w:rPr>
          <w:rFonts w:hint="eastAsia" w:ascii="仿宋" w:hAnsi="仿宋" w:eastAsia="仿宋"/>
          <w:b w:val="0"/>
          <w:bCs w:val="0"/>
        </w:rPr>
        <w:t>收入支出决算表</w:t>
      </w:r>
      <w:bookmarkEnd w:id="180"/>
      <w:bookmarkEnd w:id="181"/>
      <w:bookmarkEnd w:id="182"/>
    </w:p>
    <w:p>
      <w:pPr>
        <w:pStyle w:val="17"/>
        <w:rPr>
          <w:rFonts w:ascii="仿宋" w:hAnsi="仿宋" w:eastAsia="仿宋"/>
        </w:rPr>
      </w:pPr>
      <w:bookmarkStart w:id="183" w:name="_Toc15396630"/>
      <w:bookmarkStart w:id="184" w:name="_Toc17506"/>
      <w:bookmarkStart w:id="185" w:name="_Toc9230"/>
      <w:r>
        <w:rPr>
          <w:rStyle w:val="34"/>
          <w:rFonts w:hint="eastAsia" w:ascii="仿宋" w:hAnsi="仿宋" w:eastAsia="仿宋"/>
          <w:b w:val="0"/>
          <w:bCs w:val="0"/>
        </w:rPr>
        <w:t>十二、</w:t>
      </w:r>
      <w:r>
        <w:rPr>
          <w:rFonts w:hint="eastAsia" w:ascii="仿宋" w:hAnsi="仿宋" w:eastAsia="仿宋"/>
          <w:b w:val="0"/>
        </w:rPr>
        <w:t>政</w:t>
      </w:r>
      <w:r>
        <w:rPr>
          <w:rStyle w:val="34"/>
          <w:rFonts w:hint="eastAsia" w:ascii="仿宋" w:hAnsi="仿宋" w:eastAsia="仿宋"/>
          <w:b w:val="0"/>
          <w:bCs w:val="0"/>
        </w:rPr>
        <w:t>府性基金预算财政拨款</w:t>
      </w:r>
      <w:r>
        <w:rPr>
          <w:rFonts w:hint="eastAsia" w:ascii="仿宋" w:hAnsi="仿宋" w:eastAsia="仿宋"/>
          <w:b w:val="0"/>
          <w:bCs w:val="0"/>
        </w:rPr>
        <w:t>“三公”经费支出决算表</w:t>
      </w:r>
      <w:bookmarkEnd w:id="183"/>
      <w:bookmarkEnd w:id="184"/>
      <w:bookmarkEnd w:id="185"/>
    </w:p>
    <w:p>
      <w:pPr>
        <w:pStyle w:val="17"/>
        <w:rPr>
          <w:rFonts w:ascii="仿宋" w:hAnsi="仿宋" w:eastAsia="仿宋"/>
        </w:rPr>
      </w:pPr>
      <w:bookmarkStart w:id="186" w:name="_Toc14395"/>
      <w:bookmarkStart w:id="187" w:name="_Toc15263"/>
      <w:bookmarkStart w:id="188" w:name="_Toc15396631"/>
      <w:r>
        <w:rPr>
          <w:rStyle w:val="34"/>
          <w:rFonts w:hint="eastAsia" w:ascii="仿宋" w:hAnsi="仿宋" w:eastAsia="仿宋"/>
          <w:b w:val="0"/>
          <w:bCs w:val="0"/>
        </w:rPr>
        <w:t>十三、</w:t>
      </w:r>
      <w:r>
        <w:rPr>
          <w:rFonts w:hint="eastAsia" w:ascii="仿宋" w:hAnsi="仿宋" w:eastAsia="仿宋"/>
          <w:b w:val="0"/>
        </w:rPr>
        <w:t>国</w:t>
      </w:r>
      <w:r>
        <w:rPr>
          <w:rStyle w:val="34"/>
          <w:rFonts w:hint="eastAsia" w:ascii="仿宋" w:hAnsi="仿宋" w:eastAsia="仿宋"/>
          <w:b w:val="0"/>
          <w:bCs w:val="0"/>
        </w:rPr>
        <w:t>有资本经营预算</w:t>
      </w:r>
      <w:r>
        <w:rPr>
          <w:rFonts w:hint="eastAsia" w:ascii="仿宋" w:hAnsi="仿宋" w:eastAsia="仿宋"/>
          <w:b w:val="0"/>
          <w:bCs w:val="0"/>
        </w:rPr>
        <w:t>支出决算表</w:t>
      </w:r>
      <w:bookmarkEnd w:id="186"/>
      <w:bookmarkEnd w:id="187"/>
      <w:bookmarkEnd w:id="188"/>
    </w:p>
    <w:sectPr>
      <w:footerReference r:id="rId5"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pict>
        <v:shape id="_x0000_s3973" o:spid="_x0000_s3973"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20"/>
                  <w:rPr>
                    <w:sz w:val="24"/>
                    <w:szCs w:val="24"/>
                  </w:rPr>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Pr>
                    <w:sz w:val="24"/>
                    <w:szCs w:val="24"/>
                  </w:rPr>
                  <w:t>19</w:t>
                </w:r>
                <w:r>
                  <w:rPr>
                    <w:rFonts w:hint="eastAsia"/>
                    <w:sz w:val="24"/>
                    <w:szCs w:val="24"/>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20952"/>
    <w:multiLevelType w:val="singleLevel"/>
    <w:tmpl w:val="05720952"/>
    <w:lvl w:ilvl="0" w:tentative="0">
      <w:start w:val="3"/>
      <w:numFmt w:val="chineseCounting"/>
      <w:suff w:val="space"/>
      <w:lvlText w:val="第%1部分"/>
      <w:lvlJc w:val="left"/>
      <w:rPr>
        <w:rFonts w:hint="eastAsia"/>
      </w:rPr>
    </w:lvl>
  </w:abstractNum>
  <w:abstractNum w:abstractNumId="1">
    <w:nsid w:val="20E5278C"/>
    <w:multiLevelType w:val="multilevel"/>
    <w:tmpl w:val="20E5278C"/>
    <w:lvl w:ilvl="0" w:tentative="0">
      <w:start w:val="10"/>
      <w:numFmt w:val="none"/>
      <w:lvlText w:val="十、"/>
      <w:lvlJc w:val="left"/>
      <w:pPr>
        <w:ind w:left="1287" w:hanging="720"/>
      </w:pPr>
      <w:rPr>
        <w:rFonts w:hint="default"/>
        <w:lang w:val="en-US"/>
      </w:r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2">
    <w:nsid w:val="227E683C"/>
    <w:multiLevelType w:val="singleLevel"/>
    <w:tmpl w:val="227E683C"/>
    <w:lvl w:ilvl="0" w:tentative="0">
      <w:start w:val="2"/>
      <w:numFmt w:val="chineseCounting"/>
      <w:suff w:val="nothing"/>
      <w:lvlText w:val="（%1）"/>
      <w:lvlJc w:val="left"/>
      <w:rPr>
        <w:rFonts w:hint="eastAsia"/>
      </w:rPr>
    </w:lvl>
  </w:abstractNum>
  <w:abstractNum w:abstractNumId="3">
    <w:nsid w:val="256B4456"/>
    <w:multiLevelType w:val="multilevel"/>
    <w:tmpl w:val="256B4456"/>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79602F20"/>
    <w:multiLevelType w:val="singleLevel"/>
    <w:tmpl w:val="79602F20"/>
    <w:lvl w:ilvl="0" w:tentative="0">
      <w:start w:val="1"/>
      <w:numFmt w:val="decimal"/>
      <w:lvlText w:val="%1."/>
      <w:lvlJc w:val="left"/>
      <w:pPr>
        <w:tabs>
          <w:tab w:val="left" w:pos="312"/>
        </w:tabs>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dit="trackedChanges"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UyYTBhZThmOTU4YTliMjhiZDc4ZDk4MjhmMTAzNjkifQ=="/>
  </w:docVars>
  <w:rsids>
    <w:rsidRoot w:val="006D464A"/>
    <w:rsid w:val="006D464A"/>
    <w:rsid w:val="00A602EA"/>
    <w:rsid w:val="00B8059C"/>
    <w:rsid w:val="0AC25A2E"/>
    <w:rsid w:val="2C063B70"/>
    <w:rsid w:val="31BE28A4"/>
    <w:rsid w:val="44A21BB1"/>
    <w:rsid w:val="454456A3"/>
    <w:rsid w:val="4B2F7480"/>
    <w:rsid w:val="672D579E"/>
    <w:rsid w:val="690D02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Body Text"/>
    <w:basedOn w:val="1"/>
    <w:qFormat/>
    <w:uiPriority w:val="99"/>
    <w:pPr>
      <w:spacing w:beforeLines="30"/>
    </w:pPr>
    <w:rPr>
      <w:rFonts w:ascii="仿宋_GB2312" w:eastAsia="仿宋_GB2312"/>
      <w:kern w:val="0"/>
      <w:sz w:val="30"/>
    </w:rPr>
  </w:style>
  <w:style w:type="paragraph" w:styleId="4">
    <w:name w:val="Body Text Indent 2"/>
    <w:basedOn w:val="1"/>
    <w:qFormat/>
    <w:uiPriority w:val="0"/>
    <w:pPr>
      <w:spacing w:after="120" w:line="480" w:lineRule="auto"/>
      <w:ind w:left="420" w:leftChars="200"/>
    </w:pPr>
    <w:rPr>
      <w:rFonts w:eastAsia="仿宋"/>
    </w:rPr>
  </w:style>
  <w:style w:type="paragraph" w:styleId="5">
    <w:name w:val="Balloon Text"/>
    <w:basedOn w:val="1"/>
    <w:semiHidden/>
    <w:unhideWhenUsed/>
    <w:qFormat/>
    <w:uiPriority w:val="99"/>
    <w:rPr>
      <w:sz w:val="18"/>
      <w:szCs w:val="18"/>
    </w:rPr>
  </w:style>
  <w:style w:type="paragraph" w:styleId="6">
    <w:name w:val="footer"/>
    <w:basedOn w:val="1"/>
    <w:link w:val="47"/>
    <w:qFormat/>
    <w:uiPriority w:val="99"/>
    <w:pPr>
      <w:tabs>
        <w:tab w:val="center" w:pos="4153"/>
        <w:tab w:val="right" w:pos="8306"/>
      </w:tabs>
      <w:snapToGrid w:val="0"/>
      <w:jc w:val="left"/>
    </w:pPr>
    <w:rPr>
      <w:sz w:val="18"/>
      <w:szCs w:val="18"/>
    </w:rPr>
  </w:style>
  <w:style w:type="paragraph" w:styleId="7">
    <w:name w:val="header"/>
    <w:basedOn w:val="1"/>
    <w:link w:val="46"/>
    <w:semiHidden/>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kern w:val="0"/>
      <w:sz w:val="24"/>
    </w:rPr>
  </w:style>
  <w:style w:type="paragraph" w:styleId="9">
    <w:name w:val="Body Text First Indent 2"/>
    <w:basedOn w:val="1"/>
    <w:qFormat/>
    <w:uiPriority w:val="0"/>
    <w:pPr>
      <w:ind w:firstLine="420" w:firstLineChars="200"/>
    </w:pPr>
    <w:rPr>
      <w:rFonts w:eastAsia="仿宋"/>
      <w:sz w:val="28"/>
    </w:rPr>
  </w:style>
  <w:style w:type="table" w:styleId="11">
    <w:name w:val="Table Grid"/>
    <w:basedOn w:val="10"/>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styleId="13">
    <w:name w:val="Strong"/>
    <w:basedOn w:val="12"/>
    <w:qFormat/>
    <w:uiPriority w:val="99"/>
    <w:rPr>
      <w:b/>
    </w:rPr>
  </w:style>
  <w:style w:type="character" w:styleId="14">
    <w:name w:val="Hyperlink"/>
    <w:basedOn w:val="12"/>
    <w:unhideWhenUsed/>
    <w:qFormat/>
    <w:uiPriority w:val="99"/>
    <w:rPr>
      <w:color w:val="0000FF" w:themeColor="hyperlink"/>
      <w:u w:val="single"/>
    </w:rPr>
  </w:style>
  <w:style w:type="character" w:styleId="15">
    <w:name w:val="annotation reference"/>
    <w:basedOn w:val="12"/>
    <w:semiHidden/>
    <w:unhideWhenUsed/>
    <w:uiPriority w:val="99"/>
    <w:rPr>
      <w:sz w:val="21"/>
      <w:szCs w:val="21"/>
    </w:rPr>
  </w:style>
  <w:style w:type="paragraph" w:customStyle="1" w:styleId="16">
    <w:name w:val="Heading 1"/>
    <w:basedOn w:val="1"/>
    <w:next w:val="1"/>
    <w:link w:val="33"/>
    <w:qFormat/>
    <w:uiPriority w:val="9"/>
    <w:pPr>
      <w:keepNext/>
      <w:keepLines/>
      <w:spacing w:before="340" w:after="330" w:line="578" w:lineRule="auto"/>
      <w:outlineLvl w:val="0"/>
    </w:pPr>
    <w:rPr>
      <w:b/>
      <w:bCs/>
      <w:kern w:val="44"/>
      <w:sz w:val="44"/>
      <w:szCs w:val="44"/>
    </w:rPr>
  </w:style>
  <w:style w:type="paragraph" w:customStyle="1" w:styleId="17">
    <w:name w:val="Heading 2"/>
    <w:basedOn w:val="1"/>
    <w:next w:val="1"/>
    <w:link w:val="34"/>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customStyle="1" w:styleId="18">
    <w:name w:val="Heading 3"/>
    <w:basedOn w:val="1"/>
    <w:next w:val="1"/>
    <w:link w:val="37"/>
    <w:unhideWhenUsed/>
    <w:qFormat/>
    <w:uiPriority w:val="9"/>
    <w:pPr>
      <w:keepNext/>
      <w:keepLines/>
      <w:spacing w:before="260" w:after="260" w:line="416" w:lineRule="auto"/>
      <w:outlineLvl w:val="2"/>
    </w:pPr>
    <w:rPr>
      <w:b/>
      <w:bCs/>
      <w:sz w:val="32"/>
      <w:szCs w:val="32"/>
    </w:rPr>
  </w:style>
  <w:style w:type="paragraph" w:customStyle="1" w:styleId="19">
    <w:name w:val="TOC 3"/>
    <w:basedOn w:val="1"/>
    <w:next w:val="1"/>
    <w:unhideWhenUsed/>
    <w:qFormat/>
    <w:uiPriority w:val="39"/>
    <w:pPr>
      <w:tabs>
        <w:tab w:val="right" w:leader="dot" w:pos="8296"/>
      </w:tabs>
      <w:ind w:left="840" w:leftChars="400"/>
    </w:pPr>
  </w:style>
  <w:style w:type="paragraph" w:customStyle="1" w:styleId="20">
    <w:name w:val="Footer"/>
    <w:basedOn w:val="1"/>
    <w:qFormat/>
    <w:uiPriority w:val="99"/>
    <w:pPr>
      <w:tabs>
        <w:tab w:val="center" w:pos="4153"/>
        <w:tab w:val="right" w:pos="8306"/>
      </w:tabs>
      <w:snapToGrid w:val="0"/>
      <w:jc w:val="left"/>
    </w:pPr>
    <w:rPr>
      <w:rFonts w:ascii="Calibri" w:hAnsi="Calibri"/>
      <w:kern w:val="0"/>
      <w:sz w:val="18"/>
      <w:szCs w:val="18"/>
    </w:rPr>
  </w:style>
  <w:style w:type="paragraph" w:customStyle="1" w:styleId="21">
    <w:name w:val="Header"/>
    <w:basedOn w:val="1"/>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customStyle="1" w:styleId="22">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customStyle="1" w:styleId="23">
    <w:name w:val="TOC 2"/>
    <w:basedOn w:val="1"/>
    <w:next w:val="1"/>
    <w:unhideWhenUsed/>
    <w:qFormat/>
    <w:uiPriority w:val="39"/>
    <w:pPr>
      <w:tabs>
        <w:tab w:val="right" w:leader="dot" w:pos="8296"/>
      </w:tabs>
      <w:ind w:left="420" w:leftChars="200"/>
    </w:pPr>
  </w:style>
  <w:style w:type="character" w:customStyle="1" w:styleId="24">
    <w:name w:val="Page Number"/>
    <w:basedOn w:val="12"/>
    <w:qFormat/>
    <w:uiPriority w:val="0"/>
  </w:style>
  <w:style w:type="character" w:customStyle="1" w:styleId="25">
    <w:name w:val="Header Char"/>
    <w:basedOn w:val="12"/>
    <w:semiHidden/>
    <w:qFormat/>
    <w:uiPriority w:val="99"/>
    <w:rPr>
      <w:rFonts w:ascii="Times New Roman" w:hAnsi="Times New Roman"/>
      <w:sz w:val="18"/>
      <w:szCs w:val="18"/>
    </w:rPr>
  </w:style>
  <w:style w:type="character" w:customStyle="1" w:styleId="26">
    <w:name w:val="页眉 Char"/>
    <w:semiHidden/>
    <w:qFormat/>
    <w:locked/>
    <w:uiPriority w:val="99"/>
    <w:rPr>
      <w:sz w:val="18"/>
    </w:rPr>
  </w:style>
  <w:style w:type="character" w:customStyle="1" w:styleId="27">
    <w:name w:val="Footer Char"/>
    <w:basedOn w:val="12"/>
    <w:semiHidden/>
    <w:qFormat/>
    <w:uiPriority w:val="99"/>
    <w:rPr>
      <w:rFonts w:ascii="Times New Roman" w:hAnsi="Times New Roman"/>
      <w:sz w:val="18"/>
      <w:szCs w:val="18"/>
    </w:rPr>
  </w:style>
  <w:style w:type="character" w:customStyle="1" w:styleId="28">
    <w:name w:val="页脚 Char"/>
    <w:qFormat/>
    <w:locked/>
    <w:uiPriority w:val="99"/>
    <w:rPr>
      <w:sz w:val="18"/>
    </w:rPr>
  </w:style>
  <w:style w:type="character" w:customStyle="1" w:styleId="29">
    <w:name w:val="Body Text Char"/>
    <w:basedOn w:val="12"/>
    <w:semiHidden/>
    <w:qFormat/>
    <w:uiPriority w:val="99"/>
    <w:rPr>
      <w:rFonts w:ascii="Times New Roman" w:hAnsi="Times New Roman"/>
      <w:szCs w:val="24"/>
    </w:rPr>
  </w:style>
  <w:style w:type="character" w:customStyle="1" w:styleId="30">
    <w:name w:val="正文文本 Char"/>
    <w:qFormat/>
    <w:locked/>
    <w:uiPriority w:val="99"/>
    <w:rPr>
      <w:rFonts w:ascii="仿宋_GB2312" w:hAnsi="Times New Roman" w:eastAsia="仿宋_GB2312"/>
      <w:sz w:val="24"/>
    </w:rPr>
  </w:style>
  <w:style w:type="paragraph" w:customStyle="1" w:styleId="31">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32">
    <w:name w:val="List Paragraph"/>
    <w:basedOn w:val="1"/>
    <w:qFormat/>
    <w:uiPriority w:val="34"/>
    <w:pPr>
      <w:ind w:firstLine="420" w:firstLineChars="200"/>
    </w:pPr>
  </w:style>
  <w:style w:type="character" w:customStyle="1" w:styleId="33">
    <w:name w:val="标题 1 Char"/>
    <w:basedOn w:val="12"/>
    <w:link w:val="16"/>
    <w:qFormat/>
    <w:uiPriority w:val="9"/>
    <w:rPr>
      <w:rFonts w:ascii="Times New Roman" w:hAnsi="Times New Roman"/>
      <w:b/>
      <w:bCs/>
      <w:kern w:val="44"/>
      <w:sz w:val="44"/>
      <w:szCs w:val="44"/>
    </w:rPr>
  </w:style>
  <w:style w:type="character" w:customStyle="1" w:styleId="34">
    <w:name w:val="标题 2 Char"/>
    <w:basedOn w:val="12"/>
    <w:link w:val="17"/>
    <w:qFormat/>
    <w:uiPriority w:val="9"/>
    <w:rPr>
      <w:rFonts w:asciiTheme="majorHAnsi" w:hAnsiTheme="majorHAnsi" w:eastAsiaTheme="majorEastAsia" w:cstheme="majorBidi"/>
      <w:b/>
      <w:bCs/>
      <w:kern w:val="2"/>
      <w:sz w:val="32"/>
      <w:szCs w:val="32"/>
    </w:rPr>
  </w:style>
  <w:style w:type="paragraph" w:customStyle="1" w:styleId="35">
    <w:name w:val="TOC 标题1"/>
    <w:basedOn w:val="16"/>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36">
    <w:name w:val="批注框文本 Char"/>
    <w:basedOn w:val="12"/>
    <w:semiHidden/>
    <w:qFormat/>
    <w:uiPriority w:val="99"/>
    <w:rPr>
      <w:rFonts w:ascii="Times New Roman" w:hAnsi="Times New Roman"/>
      <w:kern w:val="2"/>
      <w:sz w:val="18"/>
      <w:szCs w:val="18"/>
    </w:rPr>
  </w:style>
  <w:style w:type="character" w:customStyle="1" w:styleId="37">
    <w:name w:val="标题 3 Char"/>
    <w:basedOn w:val="12"/>
    <w:link w:val="18"/>
    <w:qFormat/>
    <w:uiPriority w:val="9"/>
    <w:rPr>
      <w:rFonts w:ascii="Times New Roman" w:hAnsi="Times New Roman"/>
      <w:b/>
      <w:bCs/>
      <w:kern w:val="2"/>
      <w:sz w:val="32"/>
      <w:szCs w:val="32"/>
    </w:rPr>
  </w:style>
  <w:style w:type="paragraph" w:customStyle="1" w:styleId="38">
    <w:name w:val="TOC 标题2"/>
    <w:basedOn w:val="16"/>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39">
    <w:name w:val="WPSOffice手动目录 1"/>
    <w:qFormat/>
    <w:uiPriority w:val="0"/>
    <w:rPr>
      <w:rFonts w:ascii="Times New Roman" w:hAnsi="Times New Roman" w:eastAsia="宋体" w:cs="Times New Roman"/>
      <w:lang w:val="en-US" w:eastAsia="zh-CN" w:bidi="ar-SA"/>
    </w:rPr>
  </w:style>
  <w:style w:type="paragraph" w:customStyle="1" w:styleId="40">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41">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42">
    <w:name w:val="Header0"/>
    <w:basedOn w:val="1"/>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43">
    <w:name w:val="页眉 Char1"/>
    <w:basedOn w:val="12"/>
    <w:semiHidden/>
    <w:uiPriority w:val="99"/>
    <w:rPr>
      <w:kern w:val="2"/>
      <w:sz w:val="18"/>
      <w:szCs w:val="18"/>
    </w:rPr>
  </w:style>
  <w:style w:type="paragraph" w:customStyle="1" w:styleId="44">
    <w:name w:val="Footer0"/>
    <w:basedOn w:val="1"/>
    <w:qFormat/>
    <w:uiPriority w:val="99"/>
    <w:pPr>
      <w:tabs>
        <w:tab w:val="center" w:pos="4153"/>
        <w:tab w:val="right" w:pos="8306"/>
      </w:tabs>
      <w:snapToGrid w:val="0"/>
      <w:jc w:val="left"/>
    </w:pPr>
    <w:rPr>
      <w:sz w:val="18"/>
      <w:szCs w:val="18"/>
    </w:rPr>
  </w:style>
  <w:style w:type="character" w:customStyle="1" w:styleId="45">
    <w:name w:val="页脚 Char1"/>
    <w:basedOn w:val="12"/>
    <w:uiPriority w:val="99"/>
    <w:rPr>
      <w:kern w:val="2"/>
      <w:sz w:val="18"/>
      <w:szCs w:val="18"/>
    </w:rPr>
  </w:style>
  <w:style w:type="character" w:customStyle="1" w:styleId="46">
    <w:name w:val="页眉 Char2"/>
    <w:basedOn w:val="12"/>
    <w:link w:val="7"/>
    <w:semiHidden/>
    <w:uiPriority w:val="99"/>
    <w:rPr>
      <w:kern w:val="2"/>
      <w:sz w:val="18"/>
      <w:szCs w:val="18"/>
    </w:rPr>
  </w:style>
  <w:style w:type="character" w:customStyle="1" w:styleId="47">
    <w:name w:val="页脚 Char2"/>
    <w:basedOn w:val="12"/>
    <w:link w:val="6"/>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hart" Target="charts/chart3.xml"/><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5" Type="http://schemas.openxmlformats.org/officeDocument/2006/relationships/fontTable" Target="fontTable.xml"/><Relationship Id="rId34" Type="http://schemas.openxmlformats.org/officeDocument/2006/relationships/customXml" Target="../customXml/item20.xml"/><Relationship Id="rId33" Type="http://schemas.openxmlformats.org/officeDocument/2006/relationships/customXml" Target="../customXml/item19.xml"/><Relationship Id="rId32" Type="http://schemas.openxmlformats.org/officeDocument/2006/relationships/customXml" Target="../customXml/item18.xml"/><Relationship Id="rId31" Type="http://schemas.openxmlformats.org/officeDocument/2006/relationships/customXml" Target="../customXml/item17.xml"/><Relationship Id="rId30" Type="http://schemas.openxmlformats.org/officeDocument/2006/relationships/customXml" Target="../customXml/item16.xml"/><Relationship Id="rId3" Type="http://schemas.openxmlformats.org/officeDocument/2006/relationships/header" Target="header1.xml"/><Relationship Id="rId29" Type="http://schemas.openxmlformats.org/officeDocument/2006/relationships/customXml" Target="../customXml/item15.xml"/><Relationship Id="rId28" Type="http://schemas.openxmlformats.org/officeDocument/2006/relationships/customXml" Target="../customXml/item14.xml"/><Relationship Id="rId27" Type="http://schemas.openxmlformats.org/officeDocument/2006/relationships/customXml" Target="../customXml/item13.xml"/><Relationship Id="rId26" Type="http://schemas.openxmlformats.org/officeDocument/2006/relationships/customXml" Target="../customXml/item12.xml"/><Relationship Id="rId25" Type="http://schemas.openxmlformats.org/officeDocument/2006/relationships/customXml" Target="../customXml/item11.xml"/><Relationship Id="rId24" Type="http://schemas.openxmlformats.org/officeDocument/2006/relationships/customXml" Target="../customXml/item10.xml"/><Relationship Id="rId23" Type="http://schemas.openxmlformats.org/officeDocument/2006/relationships/customXml" Target="../customXml/item9.xml"/><Relationship Id="rId22" Type="http://schemas.openxmlformats.org/officeDocument/2006/relationships/customXml" Target="../customXml/item8.xml"/><Relationship Id="rId21" Type="http://schemas.openxmlformats.org/officeDocument/2006/relationships/customXml" Target="../customXml/item7.xml"/><Relationship Id="rId20" Type="http://schemas.openxmlformats.org/officeDocument/2006/relationships/customXml" Target="../customXml/item6.xml"/><Relationship Id="rId2" Type="http://schemas.openxmlformats.org/officeDocument/2006/relationships/settings" Target="settings.xml"/><Relationship Id="rId19" Type="http://schemas.openxmlformats.org/officeDocument/2006/relationships/customXml" Target="../customXml/item5.xml"/><Relationship Id="rId18" Type="http://schemas.openxmlformats.org/officeDocument/2006/relationships/customXml" Target="../customXml/item4.xml"/><Relationship Id="rId17" Type="http://schemas.openxmlformats.org/officeDocument/2006/relationships/customXml" Target="../customXml/item3.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chart" Target="charts/chart7.xml"/><Relationship Id="rId12" Type="http://schemas.openxmlformats.org/officeDocument/2006/relationships/chart" Target="charts/chart6.xml"/><Relationship Id="rId11" Type="http://schemas.openxmlformats.org/officeDocument/2006/relationships/chart" Target="charts/chart5.xml"/><Relationship Id="rId10" Type="http://schemas.openxmlformats.org/officeDocument/2006/relationships/chart" Target="charts/chart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lgn="ctr">
              <a:defRPr lang="zh-CN" sz="1600" b="1" i="0" u="none" strike="noStrike" kern="1200" baseline="0">
                <a:solidFill>
                  <a:schemeClr val="tx1"/>
                </a:solidFill>
                <a:latin typeface="+mn-lt"/>
                <a:ea typeface="+mn-ea"/>
                <a:cs typeface="+mn-cs"/>
              </a:defRPr>
            </a:pPr>
            <a:r>
              <a:rPr lang="zh-CN" altLang="en-US" sz="1600"/>
              <a:t>图</a:t>
            </a:r>
            <a:r>
              <a:rPr lang="en-US" altLang="zh-CN" sz="1600"/>
              <a:t>1</a:t>
            </a:r>
            <a:r>
              <a:rPr lang="zh-CN" altLang="en-US" sz="1600"/>
              <a:t>：收、支决算总计变动情况图</a:t>
            </a:r>
            <a:endParaRPr lang="zh-CN" altLang="en-US" sz="1600"/>
          </a:p>
        </c:rich>
      </c:tx>
      <c:layout>
        <c:manualLayout>
          <c:xMode val="edge"/>
          <c:yMode val="edge"/>
          <c:x val="0.155544137526996"/>
          <c:y val="0.0416666666666667"/>
        </c:manualLayout>
      </c:layout>
      <c:overlay val="0"/>
    </c:title>
    <c:autoTitleDeleted val="0"/>
    <c:plotArea>
      <c:layout>
        <c:manualLayout>
          <c:layoutTarget val="inner"/>
          <c:xMode val="edge"/>
          <c:yMode val="edge"/>
          <c:x val="0.0854462479452288"/>
          <c:y val="0.279522637795278"/>
          <c:w val="0.864025246904338"/>
          <c:h val="0.604936297025375"/>
        </c:manualLayout>
      </c:layout>
      <c:barChart>
        <c:barDir val="col"/>
        <c:grouping val="stacked"/>
        <c:varyColors val="0"/>
        <c:ser>
          <c:idx val="0"/>
          <c:order val="0"/>
          <c:tx>
            <c:strRef>
              <c:f>Sheet1!$B$1</c:f>
              <c:strCache>
                <c:ptCount val="1"/>
                <c:pt idx="0">
                  <c:v>单位：万元</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Sheet1!$A$2:$A$3</c:f>
              <c:strCache>
                <c:ptCount val="2"/>
                <c:pt idx="0">
                  <c:v>2020年收、支决算总计</c:v>
                </c:pt>
                <c:pt idx="1">
                  <c:v>2021年收、支决算总计</c:v>
                </c:pt>
              </c:strCache>
            </c:strRef>
          </c:cat>
          <c:val>
            <c:numRef>
              <c:f>Sheet1!$B$2:$B$3</c:f>
              <c:numCache>
                <c:formatCode>General</c:formatCode>
                <c:ptCount val="2"/>
                <c:pt idx="0">
                  <c:v>146.38</c:v>
                </c:pt>
                <c:pt idx="1">
                  <c:v>108.47</c:v>
                </c:pt>
              </c:numCache>
            </c:numRef>
          </c:val>
        </c:ser>
        <c:dLbls>
          <c:showLegendKey val="0"/>
          <c:showVal val="1"/>
          <c:showCatName val="0"/>
          <c:showSerName val="0"/>
          <c:showPercent val="0"/>
          <c:showBubbleSize val="0"/>
        </c:dLbls>
        <c:gapWidth val="55"/>
        <c:overlap val="100"/>
        <c:axId val="189931520"/>
        <c:axId val="189933056"/>
      </c:barChart>
      <c:catAx>
        <c:axId val="189931520"/>
        <c:scaling>
          <c:orientation val="minMax"/>
        </c:scaling>
        <c:delete val="0"/>
        <c:axPos val="b"/>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89933056"/>
        <c:crossesAt val="0"/>
        <c:auto val="1"/>
        <c:lblAlgn val="ctr"/>
        <c:lblOffset val="100"/>
        <c:noMultiLvlLbl val="0"/>
      </c:catAx>
      <c:valAx>
        <c:axId val="189933056"/>
        <c:scaling>
          <c:orientation val="minMax"/>
        </c:scaling>
        <c:delete val="0"/>
        <c:axPos val="l"/>
        <c:majorGridlines/>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89931520"/>
        <c:crosses val="autoZero"/>
        <c:crossBetween val="between"/>
      </c:valAx>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plotArea>
    <c:legend>
      <c:legendPos val="r"/>
      <c:layout>
        <c:manualLayout>
          <c:xMode val="edge"/>
          <c:yMode val="edge"/>
          <c:x val="0.0248386992800954"/>
          <c:y val="0.177633694225722"/>
          <c:w val="0.161291808786364"/>
          <c:h val="0.0627878937007874"/>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noFill/>
    <a:ln w="9525" cap="flat" cmpd="sng" algn="ctr">
      <a:noFill/>
      <a:prstDash val="solid"/>
      <a:round/>
    </a:ln>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600"/>
              <a:t>图</a:t>
            </a:r>
            <a:r>
              <a:rPr lang="en-US" altLang="zh-CN" sz="1600"/>
              <a:t>2</a:t>
            </a:r>
            <a:r>
              <a:rPr lang="zh-CN" altLang="en-US" sz="1600"/>
              <a:t>：收入决算结构图</a:t>
            </a:r>
            <a:endParaRPr lang="zh-CN" altLang="en-US" sz="1600"/>
          </a:p>
        </c:rich>
      </c:tx>
      <c:layout/>
      <c:overlay val="0"/>
    </c:title>
    <c:autoTitleDeleted val="0"/>
    <c:plotArea>
      <c:layout/>
      <c:pieChart>
        <c:varyColors val="1"/>
        <c:ser>
          <c:idx val="0"/>
          <c:order val="0"/>
          <c:tx>
            <c:strRef>
              <c:f>Sheet1!$B$1</c:f>
              <c:strCache>
                <c:ptCount val="1"/>
                <c:pt idx="0">
                  <c:v>2021年收入决算结构图</c:v>
                </c:pt>
              </c:strCache>
            </c:strRef>
          </c:tx>
          <c:explosion val="0"/>
          <c:dPt>
            <c:idx val="0"/>
            <c:bubble3D val="0"/>
          </c:dPt>
          <c:dPt>
            <c:idx val="1"/>
            <c:bubble3D val="0"/>
          </c:dPt>
          <c:dLbls>
            <c:numFmt formatCode="0.00%"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ext>
            </c:extLst>
          </c:dLbls>
          <c:cat>
            <c:strRef>
              <c:f>Sheet1!$A$2:$A$3</c:f>
              <c:strCache>
                <c:ptCount val="2"/>
                <c:pt idx="0">
                  <c:v>一般公共预算财政拨款收入</c:v>
                </c:pt>
                <c:pt idx="1">
                  <c:v>其他收入</c:v>
                </c:pt>
              </c:strCache>
            </c:strRef>
          </c:cat>
          <c:val>
            <c:numRef>
              <c:f>Sheet1!$B$2:$B$3</c:f>
              <c:numCache>
                <c:formatCode>General</c:formatCode>
                <c:ptCount val="2"/>
                <c:pt idx="0">
                  <c:v>86.97</c:v>
                </c:pt>
                <c:pt idx="1">
                  <c:v>21.5</c:v>
                </c:pt>
              </c:numCache>
            </c:numRef>
          </c:val>
        </c:ser>
        <c:dLbls>
          <c:showLegendKey val="0"/>
          <c:showVal val="0"/>
          <c:showCatName val="1"/>
          <c:showSerName val="0"/>
          <c:showPercent val="1"/>
          <c:showBubbleSize val="0"/>
          <c:showLeaderLines val="1"/>
        </c:dLbls>
        <c:firstSliceAng val="0"/>
      </c:pie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plotArea>
    <c:plotVisOnly val="1"/>
    <c:dispBlanksAs val="zero"/>
    <c:showDLblsOverMax val="0"/>
  </c:chart>
  <c:spPr>
    <a:noFill/>
    <a:ln w="9525" cap="flat" cmpd="sng" algn="ctr">
      <a:noFill/>
      <a:prstDash val="solid"/>
      <a:round/>
    </a:ln>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400"/>
              <a:t>图</a:t>
            </a:r>
            <a:r>
              <a:rPr lang="en-US" altLang="zh-CN" sz="1400"/>
              <a:t>3</a:t>
            </a:r>
            <a:r>
              <a:rPr lang="zh-CN" altLang="en-US" sz="1400"/>
              <a:t>：支出决算结构图</a:t>
            </a:r>
            <a:endParaRPr lang="zh-CN" altLang="en-US" sz="1400"/>
          </a:p>
        </c:rich>
      </c:tx>
      <c:layout/>
      <c:overlay val="0"/>
    </c:title>
    <c:autoTitleDeleted val="0"/>
    <c:plotArea>
      <c:layout>
        <c:manualLayout>
          <c:layoutTarget val="inner"/>
          <c:xMode val="edge"/>
          <c:yMode val="edge"/>
          <c:x val="0.305419287072625"/>
          <c:y val="0.233294491439345"/>
          <c:w val="0.410832696599176"/>
          <c:h val="0.704308849938649"/>
        </c:manualLayout>
      </c:layout>
      <c:pieChart>
        <c:varyColors val="1"/>
        <c:ser>
          <c:idx val="0"/>
          <c:order val="0"/>
          <c:tx>
            <c:strRef>
              <c:f>Sheet1!$B$1</c:f>
              <c:strCache>
                <c:ptCount val="1"/>
                <c:pt idx="0">
                  <c:v>支出决算数</c:v>
                </c:pt>
              </c:strCache>
            </c:strRef>
          </c:tx>
          <c:explosion val="0"/>
          <c:dPt>
            <c:idx val="0"/>
            <c:bubble3D val="0"/>
          </c:dPt>
          <c:dPt>
            <c:idx val="1"/>
            <c:bubble3D val="0"/>
          </c:dPt>
          <c:dLbls>
            <c:numFmt formatCode="0.00%"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ext>
            </c:extLst>
          </c:dLbls>
          <c:cat>
            <c:strRef>
              <c:f>Sheet1!$A$2:$A$3</c:f>
              <c:strCache>
                <c:ptCount val="2"/>
                <c:pt idx="0">
                  <c:v>基本支出</c:v>
                </c:pt>
                <c:pt idx="1">
                  <c:v>项目支出</c:v>
                </c:pt>
              </c:strCache>
            </c:strRef>
          </c:cat>
          <c:val>
            <c:numRef>
              <c:f>Sheet1!$B$2:$B$3</c:f>
              <c:numCache>
                <c:formatCode>General</c:formatCode>
                <c:ptCount val="2"/>
                <c:pt idx="0">
                  <c:v>86.97</c:v>
                </c:pt>
                <c:pt idx="1">
                  <c:v>21.5</c:v>
                </c:pt>
              </c:numCache>
            </c:numRef>
          </c:val>
        </c:ser>
        <c:dLbls>
          <c:showLegendKey val="0"/>
          <c:showVal val="0"/>
          <c:showCatName val="1"/>
          <c:showSerName val="0"/>
          <c:showPercent val="1"/>
          <c:showBubbleSize val="0"/>
          <c:showLeaderLines val="1"/>
        </c:dLbls>
        <c:firstSliceAng val="0"/>
      </c:pie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plotArea>
    <c:plotVisOnly val="1"/>
    <c:dispBlanksAs val="zero"/>
    <c:showDLblsOverMax val="0"/>
  </c:chart>
  <c:spPr>
    <a:ln w="9525" cap="flat" cmpd="sng" algn="ctr">
      <a:noFill/>
      <a:prstDash val="solid"/>
      <a:round/>
    </a:ln>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600" b="1" i="0" u="none" strike="noStrike" kern="1200" baseline="0">
                <a:solidFill>
                  <a:schemeClr val="tx1"/>
                </a:solidFill>
                <a:latin typeface="+mn-lt"/>
                <a:ea typeface="+mn-ea"/>
                <a:cs typeface="+mn-cs"/>
              </a:defRPr>
            </a:pPr>
            <a:r>
              <a:rPr lang="zh-CN" altLang="en-US" sz="1600"/>
              <a:t>图</a:t>
            </a:r>
            <a:r>
              <a:rPr lang="en-US" altLang="zh-CN" sz="1600"/>
              <a:t>4</a:t>
            </a:r>
            <a:r>
              <a:rPr lang="zh-CN" altLang="en-US" sz="1600"/>
              <a:t>：财政拨款收、支决算总计变动情况</a:t>
            </a:r>
            <a:endParaRPr lang="zh-CN" altLang="en-US" sz="1600"/>
          </a:p>
        </c:rich>
      </c:tx>
      <c:layout/>
      <c:overlay val="0"/>
    </c:title>
    <c:autoTitleDeleted val="0"/>
    <c:plotArea>
      <c:layout>
        <c:manualLayout>
          <c:layoutTarget val="inner"/>
          <c:xMode val="edge"/>
          <c:yMode val="edge"/>
          <c:x val="0.0679885390758234"/>
          <c:y val="0.274520205098202"/>
          <c:w val="0.889087121065677"/>
          <c:h val="0.596374214833053"/>
        </c:manualLayout>
      </c:layout>
      <c:barChart>
        <c:barDir val="col"/>
        <c:grouping val="clustered"/>
        <c:varyColors val="0"/>
        <c:ser>
          <c:idx val="0"/>
          <c:order val="0"/>
          <c:tx>
            <c:strRef>
              <c:f>Sheet1!$B$1</c:f>
              <c:strCache>
                <c:ptCount val="1"/>
                <c:pt idx="0">
                  <c:v>单位：万元</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Sheet1!$A$2:$A$3</c:f>
              <c:strCache>
                <c:ptCount val="2"/>
                <c:pt idx="0">
                  <c:v>2020年财政拨款收、支总计</c:v>
                </c:pt>
                <c:pt idx="1">
                  <c:v>2021年财政拨款收、支总计</c:v>
                </c:pt>
              </c:strCache>
            </c:strRef>
          </c:cat>
          <c:val>
            <c:numRef>
              <c:f>Sheet1!$B$2:$B$3</c:f>
              <c:numCache>
                <c:formatCode>General</c:formatCode>
                <c:ptCount val="2"/>
                <c:pt idx="0">
                  <c:v>146.38</c:v>
                </c:pt>
                <c:pt idx="1">
                  <c:v>108.47</c:v>
                </c:pt>
              </c:numCache>
            </c:numRef>
          </c:val>
        </c:ser>
        <c:dLbls>
          <c:showLegendKey val="0"/>
          <c:showVal val="1"/>
          <c:showCatName val="0"/>
          <c:showSerName val="0"/>
          <c:showPercent val="0"/>
          <c:showBubbleSize val="0"/>
        </c:dLbls>
        <c:gapWidth val="150"/>
        <c:axId val="190280064"/>
        <c:axId val="190281600"/>
      </c:barChart>
      <c:catAx>
        <c:axId val="190280064"/>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90281600"/>
        <c:crosses val="autoZero"/>
        <c:auto val="1"/>
        <c:lblAlgn val="ctr"/>
        <c:lblOffset val="100"/>
        <c:noMultiLvlLbl val="0"/>
      </c:catAx>
      <c:valAx>
        <c:axId val="190281600"/>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90280064"/>
        <c:crosses val="autoZero"/>
        <c:crossBetween val="between"/>
      </c:valAx>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plotArea>
    <c:legend>
      <c:legendPos val="r"/>
      <c:layout>
        <c:manualLayout>
          <c:xMode val="edge"/>
          <c:yMode val="edge"/>
          <c:x val="0.0320623929954818"/>
          <c:y val="0.178673037387354"/>
          <c:w val="0.146174551421661"/>
          <c:h val="0.0746456692913386"/>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noFill/>
    <a:ln w="9525" cap="flat" cmpd="sng" algn="ctr">
      <a:noFill/>
      <a:prstDash val="solid"/>
      <a:round/>
    </a:ln>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图</a:t>
            </a:r>
            <a:r>
              <a:rPr lang="en-US" altLang="zh-CN"/>
              <a:t>5</a:t>
            </a:r>
            <a:r>
              <a:rPr lang="zh-CN" altLang="en-US"/>
              <a:t>：一般公共预算财政拨款</a:t>
            </a:r>
            <a:r>
              <a:rPr lang="zh-CN" altLang="en-US" sz="1600"/>
              <a:t>支出</a:t>
            </a:r>
            <a:r>
              <a:rPr lang="zh-CN" altLang="en-US"/>
              <a:t>决算变动情况</a:t>
            </a:r>
            <a:endParaRPr lang="en-US" altLang="zh-CN"/>
          </a:p>
        </c:rich>
      </c:tx>
      <c:layout/>
      <c:overlay val="0"/>
    </c:title>
    <c:autoTitleDeleted val="0"/>
    <c:plotArea>
      <c:layout>
        <c:manualLayout>
          <c:layoutTarget val="inner"/>
          <c:xMode val="edge"/>
          <c:yMode val="edge"/>
          <c:x val="0.0854462479452288"/>
          <c:y val="0.276171391888707"/>
          <c:w val="0.876064736429984"/>
          <c:h val="0.586343580117497"/>
        </c:manualLayout>
      </c:layout>
      <c:barChart>
        <c:barDir val="col"/>
        <c:grouping val="clustered"/>
        <c:varyColors val="0"/>
        <c:ser>
          <c:idx val="0"/>
          <c:order val="0"/>
          <c:tx>
            <c:strRef>
              <c:f>Sheet1!$B$1</c:f>
              <c:strCache>
                <c:ptCount val="1"/>
                <c:pt idx="0">
                  <c:v>单位：万元</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Sheet1!$A$2:$A$3</c:f>
              <c:strCache>
                <c:ptCount val="2"/>
                <c:pt idx="0">
                  <c:v>2020年一般公共预算财政拨款支出</c:v>
                </c:pt>
                <c:pt idx="1">
                  <c:v>2021年一般公共预算财政拨款支出</c:v>
                </c:pt>
              </c:strCache>
            </c:strRef>
          </c:cat>
          <c:val>
            <c:numRef>
              <c:f>Sheet1!$B$2:$B$3</c:f>
              <c:numCache>
                <c:formatCode>General</c:formatCode>
                <c:ptCount val="2"/>
                <c:pt idx="0">
                  <c:v>133.12</c:v>
                </c:pt>
                <c:pt idx="1">
                  <c:v>85.97</c:v>
                </c:pt>
              </c:numCache>
            </c:numRef>
          </c:val>
        </c:ser>
        <c:dLbls>
          <c:showLegendKey val="0"/>
          <c:showVal val="1"/>
          <c:showCatName val="0"/>
          <c:showSerName val="0"/>
          <c:showPercent val="0"/>
          <c:showBubbleSize val="0"/>
        </c:dLbls>
        <c:gapWidth val="150"/>
        <c:axId val="189994880"/>
        <c:axId val="189996416"/>
      </c:barChart>
      <c:catAx>
        <c:axId val="189994880"/>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89996416"/>
        <c:crosses val="autoZero"/>
        <c:auto val="1"/>
        <c:lblAlgn val="ctr"/>
        <c:lblOffset val="100"/>
        <c:noMultiLvlLbl val="0"/>
      </c:catAx>
      <c:valAx>
        <c:axId val="189996416"/>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89994880"/>
        <c:crosses val="autoZero"/>
        <c:crossBetween val="between"/>
      </c:valAx>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plotArea>
    <c:legend>
      <c:legendPos val="r"/>
      <c:layout>
        <c:manualLayout>
          <c:xMode val="edge"/>
          <c:yMode val="edge"/>
          <c:x val="0.0168203992560166"/>
          <c:y val="0.148538878460626"/>
          <c:w val="0.166902210905313"/>
          <c:h val="0.0746456692913386"/>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ln w="9525" cap="flat" cmpd="sng" algn="ctr">
      <a:noFill/>
      <a:prstDash val="solid"/>
      <a:round/>
    </a:ln>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600" b="1" i="0" u="none" strike="noStrike" kern="1200" baseline="0">
                <a:solidFill>
                  <a:schemeClr val="tx1"/>
                </a:solidFill>
                <a:latin typeface="+mn-lt"/>
                <a:ea typeface="+mn-ea"/>
                <a:cs typeface="+mn-cs"/>
              </a:defRPr>
            </a:pPr>
            <a:r>
              <a:rPr lang="zh-CN" altLang="en-US" sz="1600"/>
              <a:t>图</a:t>
            </a:r>
            <a:r>
              <a:rPr lang="en-US" altLang="zh-CN" sz="1600"/>
              <a:t>6</a:t>
            </a:r>
            <a:r>
              <a:rPr lang="zh-CN" altLang="en-US" sz="1600"/>
              <a:t>：一般公共预算财政拨款支出决算结构</a:t>
            </a:r>
            <a:endParaRPr lang="zh-CN" altLang="en-US" sz="1600"/>
          </a:p>
        </c:rich>
      </c:tx>
      <c:layout/>
      <c:overlay val="0"/>
    </c:title>
    <c:autoTitleDeleted val="0"/>
    <c:plotArea>
      <c:layout>
        <c:manualLayout>
          <c:layoutTarget val="inner"/>
          <c:xMode val="edge"/>
          <c:yMode val="edge"/>
          <c:x val="0.234732505294531"/>
          <c:y val="0.267675208080652"/>
          <c:w val="0.530535179009197"/>
          <c:h val="0.718276315705036"/>
        </c:manualLayout>
      </c:layout>
      <c:pieChart>
        <c:varyColors val="1"/>
        <c:ser>
          <c:idx val="0"/>
          <c:order val="0"/>
          <c:tx>
            <c:strRef>
              <c:f>Sheet1!$B$1</c:f>
              <c:strCache>
                <c:ptCount val="1"/>
                <c:pt idx="0">
                  <c:v>支出数</c:v>
                </c:pt>
              </c:strCache>
            </c:strRef>
          </c:tx>
          <c:explosion val="0"/>
          <c:dPt>
            <c:idx val="0"/>
            <c:bubble3D val="0"/>
          </c:dPt>
          <c:dPt>
            <c:idx val="1"/>
            <c:bubble3D val="0"/>
          </c:dPt>
          <c:dPt>
            <c:idx val="2"/>
            <c:bubble3D val="0"/>
          </c:dPt>
          <c:dPt>
            <c:idx val="3"/>
            <c:bubble3D val="0"/>
          </c:dPt>
          <c:dPt>
            <c:idx val="4"/>
            <c:bubble3D val="0"/>
          </c:dPt>
          <c:dLbls>
            <c:dLbl>
              <c:idx val="1"/>
              <c:layout>
                <c:manualLayout>
                  <c:x val="-0.177424914348986"/>
                  <c:y val="0.0919338505669677"/>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manualLayout>
                  <c:x val="-0.189367139967125"/>
                  <c:y val="-0.0332164102959013"/>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0.0242137834143236"/>
                  <c:y val="-0.0277681304506863"/>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4"/>
              <c:layout>
                <c:manualLayout>
                  <c:x val="0.291298198247733"/>
                  <c:y val="0.00386166888063199"/>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00%"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ext>
            </c:extLst>
          </c:dLbls>
          <c:cat>
            <c:strRef>
              <c:f>Sheet1!$A$2:$A$6</c:f>
              <c:strCache>
                <c:ptCount val="5"/>
                <c:pt idx="0">
                  <c:v>一般公共服务</c:v>
                </c:pt>
                <c:pt idx="1">
                  <c:v>社会保障和就业</c:v>
                </c:pt>
                <c:pt idx="2">
                  <c:v>卫生健康</c:v>
                </c:pt>
                <c:pt idx="3">
                  <c:v>住房保障</c:v>
                </c:pt>
                <c:pt idx="4">
                  <c:v>农林水</c:v>
                </c:pt>
              </c:strCache>
            </c:strRef>
          </c:cat>
          <c:val>
            <c:numRef>
              <c:f>Sheet1!$B$2:$B$6</c:f>
              <c:numCache>
                <c:formatCode>General</c:formatCode>
                <c:ptCount val="5"/>
                <c:pt idx="0">
                  <c:v>57.8</c:v>
                </c:pt>
                <c:pt idx="1">
                  <c:v>13.4</c:v>
                </c:pt>
                <c:pt idx="2">
                  <c:v>6.23</c:v>
                </c:pt>
                <c:pt idx="3">
                  <c:v>8.55</c:v>
                </c:pt>
                <c:pt idx="4">
                  <c:v>1</c:v>
                </c:pt>
              </c:numCache>
            </c:numRef>
          </c:val>
        </c:ser>
        <c:dLbls>
          <c:showLegendKey val="0"/>
          <c:showVal val="0"/>
          <c:showCatName val="1"/>
          <c:showSerName val="0"/>
          <c:showPercent val="1"/>
          <c:showBubbleSize val="0"/>
          <c:showLeaderLines val="1"/>
        </c:dLbls>
        <c:firstSliceAng val="0"/>
      </c:pie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plotArea>
    <c:plotVisOnly val="1"/>
    <c:dispBlanksAs val="zero"/>
    <c:showDLblsOverMax val="0"/>
  </c:chart>
  <c:spPr>
    <a:noFill/>
    <a:ln w="9525" cap="flat" cmpd="sng" algn="ctr">
      <a:noFill/>
      <a:prstDash val="solid"/>
      <a:round/>
    </a:ln>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图</a:t>
            </a:r>
            <a:r>
              <a:rPr lang="en-US" altLang="zh-CN"/>
              <a:t>8</a:t>
            </a:r>
            <a:r>
              <a:rPr lang="zh-CN" altLang="en-US"/>
              <a:t>：“三公”经费财政拨款支出</a:t>
            </a:r>
            <a:endParaRPr lang="zh-CN" altLang="en-US"/>
          </a:p>
        </c:rich>
      </c:tx>
      <c:layout/>
      <c:overlay val="0"/>
    </c:title>
    <c:autoTitleDeleted val="0"/>
    <c:plotArea>
      <c:layout/>
      <c:pieChart>
        <c:varyColors val="1"/>
        <c:ser>
          <c:idx val="0"/>
          <c:order val="0"/>
          <c:tx>
            <c:strRef>
              <c:f>Sheet1!$B$1</c:f>
              <c:strCache>
                <c:ptCount val="1"/>
                <c:pt idx="0">
                  <c:v>单位：万元</c:v>
                </c:pt>
              </c:strCache>
            </c:strRef>
          </c:tx>
          <c:explosion val="0"/>
          <c:dPt>
            <c:idx val="0"/>
            <c:bubble3D val="0"/>
          </c:dPt>
          <c:dPt>
            <c:idx val="1"/>
            <c:bubble3D val="0"/>
          </c:dPt>
          <c:dPt>
            <c:idx val="2"/>
            <c:bubble3D val="0"/>
          </c:dPt>
          <c:dLbls>
            <c:dLbl>
              <c:idx val="0"/>
              <c:layout>
                <c:manualLayout>
                  <c:x val="-0.407898853120124"/>
                  <c:y val="0.114537444933921"/>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42565710017045"/>
                  <c:y val="0.310572687224675"/>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ext>
            </c:extLst>
          </c:dLbls>
          <c:cat>
            <c:strRef>
              <c:f>Sheet1!$A$2:$A$4</c:f>
              <c:strCache>
                <c:ptCount val="3"/>
                <c:pt idx="0">
                  <c:v>因公出国（境）费支出</c:v>
                </c:pt>
                <c:pt idx="1">
                  <c:v>公务用车购置及运行维护费支出</c:v>
                </c:pt>
                <c:pt idx="2">
                  <c:v>公务接待支出</c:v>
                </c:pt>
              </c:strCache>
            </c:strRef>
          </c:cat>
          <c:val>
            <c:numRef>
              <c:f>Sheet1!$B$2:$B$4</c:f>
              <c:numCache>
                <c:formatCode>General</c:formatCode>
                <c:ptCount val="3"/>
                <c:pt idx="0">
                  <c:v>0</c:v>
                </c:pt>
                <c:pt idx="1">
                  <c:v>0</c:v>
                </c:pt>
                <c:pt idx="2">
                  <c:v>0.08</c:v>
                </c:pt>
              </c:numCache>
            </c:numRef>
          </c:val>
        </c:ser>
        <c:dLbls>
          <c:showLegendKey val="0"/>
          <c:showVal val="0"/>
          <c:showCatName val="1"/>
          <c:showSerName val="0"/>
          <c:showPercent val="1"/>
          <c:showBubbleSize val="0"/>
          <c:showLeaderLines val="1"/>
        </c:dLbls>
        <c:firstSliceAng val="0"/>
      </c:pie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plotArea>
    <c:plotVisOnly val="1"/>
    <c:dispBlanksAs val="zero"/>
    <c:showDLblsOverMax val="0"/>
  </c:chart>
  <c:spPr>
    <a:ln w="9525" cap="flat" cmpd="sng" algn="ctr">
      <a:noFill/>
      <a:prstDash val="solid"/>
      <a:round/>
    </a:ln>
  </c:spPr>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3973"/>
  </customShpExts>
</s:customData>
</file>

<file path=customXml/item10.xml><?xml version="1.0" encoding="utf-8"?>
<Properties xmlns:vt="http://schemas.openxmlformats.org/officeDocument/2006/docPropsVTypes" xmlns="http://schemas.openxmlformats.org/officeDocument/2006/custom-properties">
  <property fmtid="{D5CDD505-2E9C-101B-9397-08002B2CF9AE}" pid="2" name="KSOProductBuildVer">
    <vt:lpstr>2052-11.1.0.10356</vt:lpstr>
  </property>
  <property fmtid="{D5CDD505-2E9C-101B-9397-08002B2CF9AE}" pid="3" name="ICV">
    <vt:lpstr>3F164A58EA8E4CDB8E3A948227AFBC06</vt:lpstr>
  </property>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User</cp:lastModifiedBy>
  <cp:revision>43</cp:revision>
  <cp:lastPrinted>2022-09-01T09:31:00Z</cp:lastPrinted>
  <dcterms:created xsi:type="dcterms:W3CDTF">2020-08-04T01:49:00Z</dcterms:created>
  <dcterms:modified xsi:type="dcterms:W3CDTF">2023-02-28T09:14:00Z</dcterms:modified>
</cp:coreProperties>
</file>

<file path=customXml/item12.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asd</cp:lastModifiedBy>
  <cp:lastPrinted>2022-09-01T09:31:00Z</cp:lastPrinted>
  <dcterms:modified xsi:type="dcterms:W3CDTF">2022-09-29T08:56:20Z</dcterms:modified>
  <dc:title>四川省_x002A__x002A__x002A_</dc:title>
  <cp:revision>39</cp:revision>
</cp:core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asd</cp:lastModifiedBy>
  <cp:revision>39</cp:revision>
  <cp:lastPrinted>2022-09-01T09:31:00Z</cp:lastPrinted>
  <dcterms:created xsi:type="dcterms:W3CDTF">2020-08-04T01:49:00Z</dcterms:created>
  <dcterms:modified xsi:type="dcterms:W3CDTF">2022-09-29T08:56:20Z</dcterms:modified>
</cp:coreProperties>
</file>

<file path=customXml/item15.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Administrator</cp:lastModifiedBy>
  <cp:lastPrinted>2020-10-27T06:38:00Z</cp:lastPrinted>
  <dcterms:modified xsi:type="dcterms:W3CDTF">2021-10-12T06:00:32Z</dcterms:modified>
  <dc:title>四川省***</dc:title>
  <cp:revision>39</cp:revision>
</cp:coreProperties>
</file>

<file path=customXml/item17.xml><?xml version="1.0" encoding="utf-8"?>
<Properties xmlns:vt="http://schemas.openxmlformats.org/officeDocument/2006/docPropsVTypes" xmlns="http://schemas.openxmlformats.org/officeDocument/2006/custom-properties">
  <property fmtid="{D5CDD505-2E9C-101B-9397-08002B2CF9AE}" pid="2" name="KSOProductBuildVer">
    <vt:lpstr>2052-11.1.0.9208</vt:lpstr>
  </property>
</Properties>
</file>

<file path=customXml/item18.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3F164A58EA8E4CDB8E3A948227AFBC06</vt:lpwstr>
  </property>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User</cp:lastModifiedBy>
  <cp:revision>43</cp:revision>
  <cp:lastPrinted>2022-09-01T09:31:00Z</cp:lastPrinted>
  <dcterms:created xsi:type="dcterms:W3CDTF">2020-08-04T01:49:00Z</dcterms:created>
  <dcterms:modified xsi:type="dcterms:W3CDTF">2023-02-28T09:14:00Z</dcterms:modified>
</cp:coreProperties>
</file>

<file path=customXml/item2.xml><?xml version="1.0" encoding="utf-8"?>
<Properties xmlns:vt="http://schemas.openxmlformats.org/officeDocument/2006/docPropsVTypes" xmlns="http://schemas.openxmlformats.org/officeDocument/2006/extended-properties">
  <Template>Normal</Template>
  <TotalTime>11</TotalTime>
  <Pages>25</Pages>
  <Words>1781</Words>
  <Characters>10158</Characters>
  <Application>Microsoft Office Word</Application>
  <DocSecurity>0</DocSecurity>
  <Lines>84</Lines>
  <Paragraphs>23</Paragraphs>
  <Company>四川省财政厅</Company>
  <CharactersWithSpaces>11916</CharactersWithSpaces>
  <AppVersion>12.0000</AppVersion>
</Properties>
</file>

<file path=customXml/item20.xml><?xml version="1.0" encoding="utf-8"?>
<Properties xmlns="http://schemas.openxmlformats.org/officeDocument/2006/extended-properties" xmlns:vt="http://schemas.openxmlformats.org/officeDocument/2006/docPropsVTypes">
  <Template>Normal</Template>
  <TotalTime>11</TotalTime>
  <Pages>25</Pages>
  <Words>1781</Words>
  <Characters>10158</Characters>
  <Application>Microsoft Office Word</Application>
  <DocSecurity>0</DocSecurity>
  <Lines>84</Lines>
  <Paragraphs>23</Paragraphs>
  <ScaleCrop>false</ScaleCrop>
  <Company>四川省财政厅</Company>
  <LinksUpToDate>false</LinksUpToDate>
  <CharactersWithSpaces>11916</CharactersWithSpaces>
  <SharedDoc>false</SharedDoc>
  <HyperlinksChanged>false</HyperlinksChanged>
  <AppVersion>12.0000</AppVersion>
</Properties>
</file>

<file path=customXml/item3.xml><?xml version="1.0" encoding="utf-8"?>
<Properties xmlns:vt="http://schemas.openxmlformats.org/officeDocument/2006/docPropsVTypes" xmlns="http://schemas.openxmlformats.org/officeDocument/2006/extended-properties">
  <Template>Normal</Template>
  <TotalTime>3</TotalTime>
  <Pages>24</Pages>
  <Words>1276</Words>
  <Characters>7279</Characters>
  <Application>WPS Office_11.1.0.10356_F1E327BC-269C-435d-A152-05C5408002CA</Application>
  <DocSecurity>0</DocSecurity>
  <Lines>60</Lines>
  <Paragraphs>17</Paragraphs>
  <Company>四川省财政厅</Company>
  <CharactersWithSpaces>8538</CharactersWithSpaces>
  <AppVersion>14.0000</AppVersion>
</Properties>
</file>

<file path=customXml/item4.xml><?xml version="1.0" encoding="utf-8"?>
<Properties xmlns="http://schemas.openxmlformats.org/officeDocument/2006/extended-properties" xmlns:vt="http://schemas.openxmlformats.org/officeDocument/2006/docPropsVTypes">
  <Template>Normal</Template>
  <Company>四川省财政厅</Company>
  <Pages>24</Pages>
  <Words>1276</Words>
  <Characters>7279</Characters>
  <Lines>60</Lines>
  <Paragraphs>17</Paragraphs>
  <TotalTime>3</TotalTime>
  <ScaleCrop>false</ScaleCrop>
  <LinksUpToDate>false</LinksUpToDate>
  <CharactersWithSpaces>8538</CharactersWithSpaces>
  <Application>WPS Office_11.1.0.10356_F1E327BC-269C-435d-A152-05C5408002CA</Application>
  <DocSecurity>0</DocSecurity>
</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Administrator</cp:lastModifiedBy>
  <cp:revision>39</cp:revision>
  <cp:lastPrinted>2020-10-27T06:38:00Z</cp:lastPrinted>
  <dcterms:created xsi:type="dcterms:W3CDTF">2020-08-04T01:49:00Z</dcterms:created>
  <dcterms:modified xsi:type="dcterms:W3CDTF">2021-10-12T06:00:32Z</dcterms:modified>
</cp:coreProperties>
</file>

<file path=customXml/item7.xml><?xml version="1.0" encoding="utf-8"?>
<Properties xmlns:vt="http://schemas.openxmlformats.org/officeDocument/2006/docPropsVTypes" xmlns="http://schemas.openxmlformats.org/officeDocument/2006/custom-properties">
  <property fmtid="{D5CDD505-2E9C-101B-9397-08002B2CF9AE}" pid="2" name="KSOProductBuildVer">
    <vt:lpstr>2052-11.1.0.9208</vt:lpstr>
  </property>
</Properties>
</file>

<file path=customXml/item8.xml><?xml version="1.0" encoding="utf-8"?>
<Properties xmlns="http://schemas.openxmlformats.org/officeDocument/2006/extended-properties" xmlns:vt="http://schemas.openxmlformats.org/officeDocument/2006/docPropsVTypes">
  <Template>Normal</Template>
  <Company>四川省财政厅</Company>
  <Pages>24</Pages>
  <Words>1276</Words>
  <Characters>7279</Characters>
  <Lines>60</Lines>
  <Paragraphs>17</Paragraphs>
  <TotalTime>5</TotalTime>
  <ScaleCrop>false</ScaleCrop>
  <LinksUpToDate>false</LinksUpToDate>
  <CharactersWithSpaces>8538</CharactersWithSpaces>
  <Application>WPS Office_11.1.0.9208_F1E327BC-269C-435d-A152-05C5408002CA</Application>
  <DocSecurity>0</DocSecurity>
</Properties>
</file>

<file path=customXml/item9.xml><?xml version="1.0" encoding="utf-8"?>
<Properties xmlns:vt="http://schemas.openxmlformats.org/officeDocument/2006/docPropsVTypes" xmlns="http://schemas.openxmlformats.org/officeDocument/2006/extended-properties">
  <Template>Normal</Template>
  <TotalTime>5</TotalTime>
  <Pages>24</Pages>
  <Words>1276</Words>
  <Characters>7279</Characters>
  <Application>WPS Office_11.1.0.9208_F1E327BC-269C-435d-A152-05C5408002CA</Application>
  <DocSecurity>0</DocSecurity>
  <Lines>60</Lines>
  <Paragraphs>17</Paragraphs>
  <Company>四川省财政厅</Company>
  <CharactersWithSpaces>8538</CharactersWithSpaces>
  <AppVersion>14.0000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0D13304E-2A45-4623-A882-9BA82FF0B923}">
  <ds:schemaRefs/>
</ds:datastoreItem>
</file>

<file path=customXml/itemProps11.xml><?xml version="1.0" encoding="utf-8"?>
<ds:datastoreItem xmlns:ds="http://schemas.openxmlformats.org/officeDocument/2006/customXml" ds:itemID="{4A206072-6F09-415A-B536-ED18FD523FB5}">
  <ds:schemaRefs/>
</ds:datastoreItem>
</file>

<file path=customXml/itemProps12.xml><?xml version="1.0" encoding="utf-8"?>
<ds:datastoreItem xmlns:ds="http://schemas.openxmlformats.org/officeDocument/2006/customXml" ds:itemID="{A9F470A6-87F3-4EF9-BCDA-D4F6469FC236}">
  <ds:schemaRefs/>
</ds:datastoreItem>
</file>

<file path=customXml/itemProps13.xml><?xml version="1.0" encoding="utf-8"?>
<ds:datastoreItem xmlns:ds="http://schemas.openxmlformats.org/officeDocument/2006/customXml" ds:itemID="{CF42091F-2B27-47C3-B853-5142D20F6EAD}">
  <ds:schemaRefs/>
</ds:datastoreItem>
</file>

<file path=customXml/itemProps14.xml><?xml version="1.0" encoding="utf-8"?>
<ds:datastoreItem xmlns:ds="http://schemas.openxmlformats.org/officeDocument/2006/customXml" ds:itemID="{CF9F0C46-12D2-4F58-97A5-70ADECF1F6F6}">
  <ds:schemaRefs/>
</ds:datastoreItem>
</file>

<file path=customXml/itemProps15.xml><?xml version="1.0" encoding="utf-8"?>
<ds:datastoreItem xmlns:ds="http://schemas.openxmlformats.org/officeDocument/2006/customXml" ds:itemID="{4F6A8D97-CD9B-4D8D-9746-594CBF8DC9BA}">
  <ds:schemaRefs/>
</ds:datastoreItem>
</file>

<file path=customXml/itemProps16.xml><?xml version="1.0" encoding="utf-8"?>
<ds:datastoreItem xmlns:ds="http://schemas.openxmlformats.org/officeDocument/2006/customXml" ds:itemID="{1612C929-CC4E-4C26-B3C4-A167C844FCFF}">
  <ds:schemaRefs/>
</ds:datastoreItem>
</file>

<file path=customXml/itemProps17.xml><?xml version="1.0" encoding="utf-8"?>
<ds:datastoreItem xmlns:ds="http://schemas.openxmlformats.org/officeDocument/2006/customXml" ds:itemID="{7D1EF754-8922-4F5D-BDBE-1A46E5B43981}">
  <ds:schemaRefs/>
</ds:datastoreItem>
</file>

<file path=customXml/itemProps18.xml><?xml version="1.0" encoding="utf-8"?>
<ds:datastoreItem xmlns:ds="http://schemas.openxmlformats.org/officeDocument/2006/customXml" ds:itemID="{4A125BD8-4CA2-4689-8CA9-A8DD99281339}">
  <ds:schemaRefs/>
</ds:datastoreItem>
</file>

<file path=customXml/itemProps19.xml><?xml version="1.0" encoding="utf-8"?>
<ds:datastoreItem xmlns:ds="http://schemas.openxmlformats.org/officeDocument/2006/customXml" ds:itemID="{F57E67D9-3C46-4F9F-BD2F-A35890DD3B22}">
  <ds:schemaRefs/>
</ds:datastoreItem>
</file>

<file path=customXml/itemProps2.xml><?xml version="1.0" encoding="utf-8"?>
<ds:datastoreItem xmlns:ds="http://schemas.openxmlformats.org/officeDocument/2006/customXml" ds:itemID="{EA61F4EC-24C6-444B-A6A8-88071AB551FD}">
  <ds:schemaRefs/>
</ds:datastoreItem>
</file>

<file path=customXml/itemProps20.xml><?xml version="1.0" encoding="utf-8"?>
<ds:datastoreItem xmlns:ds="http://schemas.openxmlformats.org/officeDocument/2006/customXml" ds:itemID="{C7153B33-EBCD-4672-893D-B402EAF06A7F}">
  <ds:schemaRefs/>
</ds:datastoreItem>
</file>

<file path=customXml/itemProps3.xml><?xml version="1.0" encoding="utf-8"?>
<ds:datastoreItem xmlns:ds="http://schemas.openxmlformats.org/officeDocument/2006/customXml" ds:itemID="{F4F298D2-C408-4675-AECA-1DEDB7EB60D8}">
  <ds:schemaRefs/>
</ds:datastoreItem>
</file>

<file path=customXml/itemProps4.xml><?xml version="1.0" encoding="utf-8"?>
<ds:datastoreItem xmlns:ds="http://schemas.openxmlformats.org/officeDocument/2006/customXml" ds:itemID="{ADAA74A7-14D7-48A5-881A-780757EF3934}">
  <ds:schemaRefs/>
</ds:datastoreItem>
</file>

<file path=customXml/itemProps5.xml><?xml version="1.0" encoding="utf-8"?>
<ds:datastoreItem xmlns:ds="http://schemas.openxmlformats.org/officeDocument/2006/customXml" ds:itemID="{6C4A7DA4-7EC2-4A07-BA3B-28B96F11ACB6}">
  <ds:schemaRefs/>
</ds:datastoreItem>
</file>

<file path=customXml/itemProps6.xml><?xml version="1.0" encoding="utf-8"?>
<ds:datastoreItem xmlns:ds="http://schemas.openxmlformats.org/officeDocument/2006/customXml" ds:itemID="{6B9F6C14-F091-4B23-BE09-B6C2E6807C7C}">
  <ds:schemaRefs/>
</ds:datastoreItem>
</file>

<file path=customXml/itemProps7.xml><?xml version="1.0" encoding="utf-8"?>
<ds:datastoreItem xmlns:ds="http://schemas.openxmlformats.org/officeDocument/2006/customXml" ds:itemID="{D026A736-FDE7-4B5C-9953-4750FA0D0077}">
  <ds:schemaRefs/>
</ds:datastoreItem>
</file>

<file path=customXml/itemProps8.xml><?xml version="1.0" encoding="utf-8"?>
<ds:datastoreItem xmlns:ds="http://schemas.openxmlformats.org/officeDocument/2006/customXml" ds:itemID="{10DD0585-2888-4F8D-B7A3-0E8DEE503DE3}">
  <ds:schemaRefs/>
</ds:datastoreItem>
</file>

<file path=customXml/itemProps9.xml><?xml version="1.0" encoding="utf-8"?>
<ds:datastoreItem xmlns:ds="http://schemas.openxmlformats.org/officeDocument/2006/customXml" ds:itemID="{0BDF7FE0-3692-48C7-8329-D45DB981B52D}">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25</Pages>
  <Words>9462</Words>
  <Characters>10075</Characters>
  <Lines>84</Lines>
  <Paragraphs>23</Paragraphs>
  <TotalTime>3</TotalTime>
  <ScaleCrop>false</ScaleCrop>
  <LinksUpToDate>false</LinksUpToDate>
  <CharactersWithSpaces>10498</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Administrator</cp:lastModifiedBy>
  <cp:lastPrinted>2022-09-01T09:31:00Z</cp:lastPrinted>
  <dcterms:modified xsi:type="dcterms:W3CDTF">2023-06-20T06:50:01Z</dcterms:modified>
  <dc:title>四川省***</dc:title>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y fmtid="{D5CDD505-2E9C-101B-9397-08002B2CF9AE}" pid="3" name="ICV">
    <vt:lpwstr>A4244B8731D74411925CEFD397502C34</vt:lpwstr>
  </property>
</Properties>
</file>