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bidi w:val="0"/>
        <w:jc w:val="center"/>
        <w:rPr>
          <w:rFonts w:hint="eastAsia" w:ascii="黑体" w:hAnsi="黑体" w:eastAsia="黑体" w:cs="黑体"/>
          <w:sz w:val="72"/>
          <w:szCs w:val="72"/>
        </w:rPr>
      </w:pPr>
      <w:bookmarkStart w:id="1" w:name="_Toc15378441"/>
      <w:bookmarkStart w:id="2" w:name="_Toc15377425"/>
      <w:bookmarkStart w:id="3" w:name="_Toc15377193"/>
      <w:bookmarkStart w:id="4" w:name="_Toc15396597"/>
      <w:bookmarkStart w:id="5" w:name="_Toc15396475"/>
      <w:r>
        <w:rPr>
          <w:rFonts w:hint="eastAsia" w:ascii="黑体" w:hAnsi="黑体" w:eastAsia="黑体" w:cs="黑体"/>
          <w:sz w:val="72"/>
          <w:szCs w:val="72"/>
        </w:rPr>
        <w:t>2020年度</w:t>
      </w:r>
      <w:bookmarkEnd w:id="1"/>
      <w:bookmarkEnd w:id="2"/>
      <w:bookmarkEnd w:id="3"/>
      <w:bookmarkEnd w:id="4"/>
      <w:bookmarkEnd w:id="5"/>
    </w:p>
    <w:p>
      <w:pPr>
        <w:bidi w:val="0"/>
        <w:jc w:val="center"/>
        <w:rPr>
          <w:rFonts w:hint="eastAsia" w:ascii="黑体" w:hAnsi="黑体" w:eastAsia="黑体" w:cs="黑体"/>
          <w:sz w:val="72"/>
          <w:szCs w:val="72"/>
        </w:rPr>
      </w:pPr>
      <w:bookmarkStart w:id="6" w:name="_Toc15396598"/>
      <w:bookmarkStart w:id="7" w:name="_Toc15396476"/>
      <w:bookmarkStart w:id="8" w:name="_Toc15378442"/>
      <w:bookmarkStart w:id="9" w:name="_Toc15377194"/>
      <w:bookmarkStart w:id="10" w:name="_Toc15377426"/>
      <w:r>
        <w:rPr>
          <w:rFonts w:hint="eastAsia" w:ascii="黑体" w:hAnsi="黑体" w:eastAsia="黑体" w:cs="黑体"/>
          <w:sz w:val="72"/>
          <w:szCs w:val="72"/>
        </w:rPr>
        <w:t>四川省</w:t>
      </w:r>
      <w:bookmarkEnd w:id="0"/>
      <w:bookmarkStart w:id="11" w:name="_Toc15306268"/>
      <w:r>
        <w:rPr>
          <w:rFonts w:hint="eastAsia" w:ascii="黑体" w:hAnsi="黑体" w:eastAsia="黑体" w:cs="黑体"/>
          <w:sz w:val="72"/>
          <w:szCs w:val="72"/>
          <w:lang w:val="en-US" w:eastAsia="zh-CN"/>
        </w:rPr>
        <w:t>国有资产监督管理委员会</w:t>
      </w:r>
      <w:r>
        <w:rPr>
          <w:rFonts w:hint="eastAsia" w:ascii="黑体" w:hAnsi="黑体" w:eastAsia="黑体" w:cs="黑体"/>
          <w:sz w:val="72"/>
          <w:szCs w:val="72"/>
        </w:rPr>
        <w:t>部门决算</w:t>
      </w:r>
      <w:bookmarkEnd w:id="6"/>
      <w:bookmarkEnd w:id="7"/>
      <w:bookmarkEnd w:id="8"/>
      <w:bookmarkEnd w:id="9"/>
      <w:bookmarkEnd w:id="10"/>
      <w:bookmarkEnd w:id="11"/>
    </w:p>
    <w:p>
      <w:pPr>
        <w:bidi w:val="0"/>
        <w:jc w:val="center"/>
        <w:rPr>
          <w:rFonts w:hint="eastAsia" w:ascii="黑体" w:hAnsi="黑体" w:eastAsia="黑体" w:cs="黑体"/>
          <w:sz w:val="72"/>
          <w:szCs w:val="72"/>
          <w:lang w:val="en-US" w:eastAsia="zh-CN"/>
        </w:rPr>
      </w:pPr>
      <w:r>
        <w:rPr>
          <w:rFonts w:hint="eastAsia" w:ascii="黑体" w:hAnsi="黑体" w:eastAsia="黑体" w:cs="黑体"/>
          <w:sz w:val="72"/>
          <w:szCs w:val="72"/>
          <w:lang w:eastAsia="zh-CN"/>
        </w:rPr>
        <w:t>编制说明</w:t>
      </w:r>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pStyle w:val="30"/>
        <w:jc w:val="both"/>
        <w:rPr>
          <w:rFonts w:hint="eastAsia"/>
        </w:rPr>
      </w:pPr>
    </w:p>
    <w:p>
      <w:pPr>
        <w:pStyle w:val="30"/>
        <w:jc w:val="center"/>
      </w:pPr>
      <w:r>
        <w:rPr>
          <w:rFonts w:hint="eastAsia"/>
        </w:rPr>
        <w:t>公开时间：</w:t>
      </w:r>
      <w:r>
        <w:t>2021</w:t>
      </w:r>
      <w:r>
        <w:rPr>
          <w:rFonts w:hint="eastAsia"/>
        </w:rPr>
        <w:t>年</w:t>
      </w:r>
      <w:r>
        <w:rPr>
          <w:rFonts w:hint="eastAsia"/>
          <w:lang w:val="en-US" w:eastAsia="zh-CN"/>
        </w:rPr>
        <w:t>10</w:t>
      </w:r>
      <w:r>
        <w:rPr>
          <w:rFonts w:hint="eastAsia"/>
        </w:rPr>
        <w:t>月</w:t>
      </w:r>
      <w:r>
        <w:rPr>
          <w:rFonts w:hint="eastAsia"/>
          <w:lang w:val="en-US" w:eastAsia="zh-CN"/>
        </w:rPr>
        <w:t>15</w:t>
      </w:r>
      <w:r>
        <w:rPr>
          <w:rFonts w:hint="eastAsia"/>
        </w:rPr>
        <w:t>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sdt>
      <w:sdtPr>
        <w:rPr>
          <w:rFonts w:ascii="宋体" w:hAnsi="宋体" w:eastAsia="宋体" w:cs="Times New Roman"/>
          <w:kern w:val="2"/>
          <w:sz w:val="21"/>
          <w:szCs w:val="24"/>
          <w:lang w:val="en-US" w:eastAsia="zh-CN" w:bidi="ar-SA"/>
        </w:rPr>
        <w:id w:val="147469099"/>
        <w15:color w:val="DBDBDB"/>
        <w:docPartObj>
          <w:docPartGallery w:val="Table of Contents"/>
          <w:docPartUnique/>
        </w:docPartObj>
      </w:sdtPr>
      <w:sdtEndPr>
        <w:rPr>
          <w:rFonts w:ascii="黑体" w:hAnsi="黑体" w:eastAsia="黑体" w:cs="Times New Roman"/>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7"/>
            <w:tabs>
              <w:tab w:val="right" w:leader="dot" w:pos="8306"/>
            </w:tabs>
          </w:pPr>
          <w:r>
            <w:rPr>
              <w:rFonts w:ascii="黑体" w:hAnsi="黑体" w:eastAsia="黑体"/>
              <w:sz w:val="28"/>
              <w:szCs w:val="28"/>
            </w:rPr>
            <w:fldChar w:fldCharType="begin"/>
          </w:r>
          <w:r>
            <w:rPr>
              <w:rFonts w:ascii="黑体" w:hAnsi="黑体" w:eastAsia="黑体"/>
              <w:sz w:val="28"/>
              <w:szCs w:val="28"/>
            </w:rPr>
            <w:instrText xml:space="preserve">TOC \o "1-3" \h \u </w:instrText>
          </w:r>
          <w:r>
            <w:rPr>
              <w:rFonts w:ascii="黑体" w:hAnsi="黑体" w:eastAsia="黑体"/>
              <w:sz w:val="28"/>
              <w:szCs w:val="28"/>
            </w:rPr>
            <w:fldChar w:fldCharType="separate"/>
          </w:r>
          <w:r>
            <w:rPr>
              <w:rFonts w:ascii="黑体" w:hAnsi="黑体" w:eastAsia="黑体"/>
              <w:szCs w:val="28"/>
            </w:rPr>
            <w:fldChar w:fldCharType="begin"/>
          </w:r>
          <w:r>
            <w:rPr>
              <w:rFonts w:ascii="黑体" w:hAnsi="黑体" w:eastAsia="黑体"/>
              <w:szCs w:val="28"/>
            </w:rPr>
            <w:instrText xml:space="preserve"> HYPERLINK \l _Toc4357 </w:instrText>
          </w:r>
          <w:r>
            <w:rPr>
              <w:rFonts w:ascii="黑体" w:hAnsi="黑体" w:eastAsia="黑体"/>
              <w:szCs w:val="28"/>
            </w:rP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_Toc4357 \h </w:instrText>
          </w:r>
          <w:r>
            <w:fldChar w:fldCharType="separate"/>
          </w:r>
          <w:r>
            <w:t>4</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_Toc16737 </w:instrText>
          </w:r>
          <w:r>
            <w:rPr>
              <w:rFonts w:ascii="黑体" w:hAnsi="黑体" w:eastAsia="黑体"/>
              <w:szCs w:val="28"/>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_Toc16737 \h </w:instrText>
          </w:r>
          <w:r>
            <w:fldChar w:fldCharType="separate"/>
          </w:r>
          <w:r>
            <w:t>4</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_Toc29058 </w:instrText>
          </w:r>
          <w:r>
            <w:rPr>
              <w:rFonts w:ascii="黑体" w:hAnsi="黑体" w:eastAsia="黑体"/>
              <w:szCs w:val="28"/>
            </w:rPr>
            <w:fldChar w:fldCharType="separate"/>
          </w:r>
          <w:r>
            <w:rPr>
              <w:rFonts w:hint="eastAsia" w:ascii="仿宋" w:hAnsi="仿宋" w:eastAsia="仿宋" w:cs="仿宋"/>
              <w:bCs/>
              <w:lang w:eastAsia="zh-CN"/>
            </w:rPr>
            <w:t>（</w:t>
          </w:r>
          <w:r>
            <w:rPr>
              <w:rFonts w:hint="eastAsia" w:ascii="仿宋" w:hAnsi="仿宋" w:eastAsia="仿宋" w:cs="仿宋"/>
              <w:bCs/>
            </w:rPr>
            <w:t>一）主要职能。</w:t>
          </w:r>
          <w:r>
            <w:tab/>
          </w:r>
          <w:r>
            <w:fldChar w:fldCharType="begin"/>
          </w:r>
          <w:r>
            <w:instrText xml:space="preserve"> PAGEREF _Toc29058 \h </w:instrText>
          </w:r>
          <w:r>
            <w:fldChar w:fldCharType="separate"/>
          </w:r>
          <w:r>
            <w:t>4</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_Toc30707 </w:instrText>
          </w:r>
          <w:r>
            <w:rPr>
              <w:rFonts w:ascii="黑体" w:hAnsi="黑体" w:eastAsia="黑体"/>
              <w:szCs w:val="28"/>
            </w:rPr>
            <w:fldChar w:fldCharType="separate"/>
          </w:r>
          <w:r>
            <w:rPr>
              <w:rFonts w:hint="eastAsia" w:ascii="仿宋" w:hAnsi="仿宋" w:eastAsia="仿宋" w:cs="仿宋"/>
              <w:bCs/>
            </w:rPr>
            <w:t>（二）2</w:t>
          </w:r>
          <w:r>
            <w:rPr>
              <w:rFonts w:hint="eastAsia" w:ascii="仿宋" w:hAnsi="仿宋" w:eastAsia="仿宋" w:cs="仿宋"/>
              <w:bCs/>
              <w:lang w:val="en-US" w:eastAsia="zh-CN"/>
            </w:rPr>
            <w:t>020</w:t>
          </w:r>
          <w:r>
            <w:rPr>
              <w:rFonts w:hint="eastAsia" w:ascii="仿宋" w:hAnsi="仿宋" w:eastAsia="仿宋" w:cs="仿宋"/>
              <w:bCs/>
            </w:rPr>
            <w:t>年重点工作完成情况</w:t>
          </w:r>
          <w:r>
            <w:tab/>
          </w:r>
          <w:r>
            <w:fldChar w:fldCharType="begin"/>
          </w:r>
          <w:r>
            <w:instrText xml:space="preserve"> PAGEREF _Toc30707 \h </w:instrText>
          </w:r>
          <w:r>
            <w:fldChar w:fldCharType="separate"/>
          </w:r>
          <w:r>
            <w:t>4</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_Toc20689 </w:instrText>
          </w:r>
          <w:r>
            <w:rPr>
              <w:rFonts w:ascii="黑体" w:hAnsi="黑体" w:eastAsia="黑体"/>
              <w:szCs w:val="28"/>
            </w:rP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_Toc20689 \h </w:instrText>
          </w:r>
          <w:r>
            <w:fldChar w:fldCharType="separate"/>
          </w:r>
          <w:r>
            <w:t>5</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_Toc12175 </w:instrText>
          </w:r>
          <w:r>
            <w:rPr>
              <w:rFonts w:ascii="黑体" w:hAnsi="黑体" w:eastAsia="黑体"/>
              <w:szCs w:val="28"/>
            </w:rPr>
            <w:fldChar w:fldCharType="separate"/>
          </w:r>
          <w:r>
            <w:rPr>
              <w:rFonts w:hint="eastAsia" w:ascii="黑体" w:hAnsi="黑体" w:eastAsia="黑体"/>
            </w:rPr>
            <w:t>第二部分</w:t>
          </w:r>
          <w:r>
            <w:rPr>
              <w:rFonts w:ascii="黑体" w:hAnsi="黑体" w:eastAsia="黑体"/>
            </w:rPr>
            <w:t xml:space="preserve"> </w:t>
          </w:r>
          <w:r>
            <w:rPr>
              <w:rFonts w:ascii="黑体" w:hAnsi="黑体" w:eastAsia="黑体"/>
              <w:bCs w:val="0"/>
            </w:rPr>
            <w:t>2020</w:t>
          </w:r>
          <w:r>
            <w:rPr>
              <w:rFonts w:hint="eastAsia" w:ascii="黑体" w:hAnsi="黑体" w:eastAsia="黑体"/>
              <w:bCs w:val="0"/>
            </w:rPr>
            <w:t>年度</w:t>
          </w:r>
          <w:r>
            <w:rPr>
              <w:rFonts w:hint="eastAsia" w:ascii="黑体" w:hAnsi="黑体" w:eastAsia="黑体"/>
            </w:rPr>
            <w:t>部门决算情况说明</w:t>
          </w:r>
          <w:r>
            <w:tab/>
          </w:r>
          <w:r>
            <w:fldChar w:fldCharType="begin"/>
          </w:r>
          <w:r>
            <w:instrText xml:space="preserve"> PAGEREF _Toc12175 \h </w:instrText>
          </w:r>
          <w:r>
            <w:fldChar w:fldCharType="separate"/>
          </w:r>
          <w:r>
            <w:t>6</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_Toc3454 </w:instrText>
          </w:r>
          <w:r>
            <w:rPr>
              <w:rFonts w:ascii="黑体" w:hAnsi="黑体" w:eastAsia="黑体"/>
              <w:szCs w:val="28"/>
            </w:rPr>
            <w:fldChar w:fldCharType="separate"/>
          </w:r>
          <w:r>
            <w:rPr>
              <w:rFonts w:hint="default" w:ascii="黑体" w:hAnsi="黑体" w:eastAsia="黑体" w:cs="Times New Roman"/>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_Toc3454 \h </w:instrText>
          </w:r>
          <w:r>
            <w:fldChar w:fldCharType="separate"/>
          </w:r>
          <w:r>
            <w:t>6</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_Toc8871 </w:instrText>
          </w:r>
          <w:r>
            <w:rPr>
              <w:rFonts w:ascii="黑体" w:hAnsi="黑体" w:eastAsia="黑体"/>
              <w:szCs w:val="28"/>
            </w:rPr>
            <w:fldChar w:fldCharType="separate"/>
          </w:r>
          <w:r>
            <w:rPr>
              <w:rFonts w:hint="default" w:ascii="黑体" w:hAnsi="黑体" w:eastAsia="黑体" w:cs="Times New Roman"/>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_Toc8871 \h </w:instrText>
          </w:r>
          <w:r>
            <w:fldChar w:fldCharType="separate"/>
          </w:r>
          <w:r>
            <w:t>6</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_Toc15866 </w:instrText>
          </w:r>
          <w:r>
            <w:rPr>
              <w:rFonts w:ascii="黑体" w:hAnsi="黑体" w:eastAsia="黑体"/>
              <w:szCs w:val="28"/>
            </w:rPr>
            <w:fldChar w:fldCharType="separate"/>
          </w:r>
          <w:r>
            <w:rPr>
              <w:rFonts w:hint="default" w:ascii="黑体" w:hAnsi="黑体" w:eastAsia="黑体" w:cs="Times New Roman"/>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_Toc15866 \h </w:instrText>
          </w:r>
          <w:r>
            <w:fldChar w:fldCharType="separate"/>
          </w:r>
          <w:r>
            <w:t>6</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_Toc25738 </w:instrText>
          </w:r>
          <w:r>
            <w:rPr>
              <w:rFonts w:ascii="黑体" w:hAnsi="黑体" w:eastAsia="黑体"/>
              <w:szCs w:val="28"/>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_Toc25738 \h </w:instrText>
          </w:r>
          <w:r>
            <w:fldChar w:fldCharType="separate"/>
          </w:r>
          <w:r>
            <w:t>7</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_Toc11379 </w:instrText>
          </w:r>
          <w:r>
            <w:rPr>
              <w:rFonts w:ascii="黑体" w:hAnsi="黑体" w:eastAsia="黑体"/>
              <w:szCs w:val="28"/>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_Toc11379 \h </w:instrText>
          </w:r>
          <w:r>
            <w:fldChar w:fldCharType="separate"/>
          </w:r>
          <w:r>
            <w:t>7</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_Toc29275 </w:instrText>
          </w:r>
          <w:r>
            <w:rPr>
              <w:rFonts w:ascii="黑体" w:hAnsi="黑体" w:eastAsia="黑体"/>
              <w:szCs w:val="28"/>
            </w:rPr>
            <w:fldChar w:fldCharType="separate"/>
          </w:r>
          <w:r>
            <w:rPr>
              <w:rFonts w:hint="eastAsia" w:ascii="仿宋" w:hAnsi="仿宋" w:eastAsia="仿宋"/>
              <w:szCs w:val="32"/>
            </w:rPr>
            <w:t>（一）一般公共预算财政拨款支出决算总体情况</w:t>
          </w:r>
          <w:r>
            <w:tab/>
          </w:r>
          <w:r>
            <w:fldChar w:fldCharType="begin"/>
          </w:r>
          <w:r>
            <w:instrText xml:space="preserve"> PAGEREF _Toc29275 \h </w:instrText>
          </w:r>
          <w:r>
            <w:fldChar w:fldCharType="separate"/>
          </w:r>
          <w:r>
            <w:t>7</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_Toc5736 </w:instrText>
          </w:r>
          <w:r>
            <w:rPr>
              <w:rFonts w:ascii="黑体" w:hAnsi="黑体" w:eastAsia="黑体"/>
              <w:szCs w:val="28"/>
            </w:rPr>
            <w:fldChar w:fldCharType="separate"/>
          </w:r>
          <w:r>
            <w:rPr>
              <w:rFonts w:hint="eastAsia" w:ascii="仿宋" w:hAnsi="仿宋" w:eastAsia="仿宋"/>
              <w:szCs w:val="32"/>
            </w:rPr>
            <w:t>（二）一般公共预算财政拨款支出决算结构情况</w:t>
          </w:r>
          <w:r>
            <w:tab/>
          </w:r>
          <w:r>
            <w:fldChar w:fldCharType="begin"/>
          </w:r>
          <w:r>
            <w:instrText xml:space="preserve"> PAGEREF _Toc5736 \h </w:instrText>
          </w:r>
          <w:r>
            <w:fldChar w:fldCharType="separate"/>
          </w:r>
          <w:r>
            <w:t>7</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_Toc7397 </w:instrText>
          </w:r>
          <w:r>
            <w:rPr>
              <w:rFonts w:ascii="黑体" w:hAnsi="黑体" w:eastAsia="黑体"/>
              <w:szCs w:val="28"/>
            </w:rPr>
            <w:fldChar w:fldCharType="separate"/>
          </w:r>
          <w:r>
            <w:rPr>
              <w:rFonts w:hint="eastAsia" w:ascii="仿宋" w:hAnsi="仿宋" w:eastAsia="仿宋"/>
              <w:szCs w:val="32"/>
            </w:rPr>
            <w:t>（三）一般公共预算财政拨款支出决算具体情况</w:t>
          </w:r>
          <w:r>
            <w:tab/>
          </w:r>
          <w:r>
            <w:fldChar w:fldCharType="begin"/>
          </w:r>
          <w:r>
            <w:instrText xml:space="preserve"> PAGEREF _Toc7397 \h </w:instrText>
          </w:r>
          <w:r>
            <w:fldChar w:fldCharType="separate"/>
          </w:r>
          <w:r>
            <w:t>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_Toc30132 </w:instrText>
          </w:r>
          <w:r>
            <w:rPr>
              <w:rFonts w:ascii="黑体" w:hAnsi="黑体" w:eastAsia="黑体"/>
              <w:szCs w:val="28"/>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_Toc30132 \h </w:instrText>
          </w:r>
          <w:r>
            <w:fldChar w:fldCharType="separate"/>
          </w:r>
          <w:r>
            <w:t>9</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_Toc6627 </w:instrText>
          </w:r>
          <w:r>
            <w:rPr>
              <w:rFonts w:ascii="黑体" w:hAnsi="黑体" w:eastAsia="黑体"/>
              <w:szCs w:val="28"/>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_Toc6627 \h </w:instrText>
          </w:r>
          <w:r>
            <w:fldChar w:fldCharType="separate"/>
          </w:r>
          <w:r>
            <w:t>10</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_Toc1839 </w:instrText>
          </w:r>
          <w:r>
            <w:rPr>
              <w:rFonts w:ascii="黑体" w:hAnsi="黑体" w:eastAsia="黑体"/>
              <w:szCs w:val="28"/>
            </w:rPr>
            <w:fldChar w:fldCharType="separate"/>
          </w:r>
          <w:r>
            <w:rPr>
              <w:rFonts w:hint="eastAsia" w:ascii="仿宋" w:hAnsi="仿宋" w:eastAsia="仿宋"/>
              <w:szCs w:val="32"/>
            </w:rPr>
            <w:t>（一）“三公”经费财政拨款支出决算总体情况说明</w:t>
          </w:r>
          <w:r>
            <w:tab/>
          </w:r>
          <w:r>
            <w:fldChar w:fldCharType="begin"/>
          </w:r>
          <w:r>
            <w:instrText xml:space="preserve"> PAGEREF _Toc1839 \h </w:instrText>
          </w:r>
          <w:r>
            <w:fldChar w:fldCharType="separate"/>
          </w:r>
          <w:r>
            <w:t>10</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_Toc16565 </w:instrText>
          </w:r>
          <w:r>
            <w:rPr>
              <w:rFonts w:ascii="黑体" w:hAnsi="黑体" w:eastAsia="黑体"/>
              <w:szCs w:val="28"/>
            </w:rPr>
            <w:fldChar w:fldCharType="separate"/>
          </w:r>
          <w:r>
            <w:rPr>
              <w:rFonts w:hint="eastAsia" w:ascii="仿宋" w:hAnsi="仿宋" w:eastAsia="仿宋"/>
              <w:szCs w:val="32"/>
            </w:rPr>
            <w:t>（二）“三公”经费财政拨款支出决算具体情况说明</w:t>
          </w:r>
          <w:r>
            <w:tab/>
          </w:r>
          <w:r>
            <w:fldChar w:fldCharType="begin"/>
          </w:r>
          <w:r>
            <w:instrText xml:space="preserve"> PAGEREF _Toc16565 \h </w:instrText>
          </w:r>
          <w:r>
            <w:fldChar w:fldCharType="separate"/>
          </w:r>
          <w:r>
            <w:t>10</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_Toc8978 </w:instrText>
          </w:r>
          <w:r>
            <w:rPr>
              <w:rFonts w:ascii="黑体" w:hAnsi="黑体" w:eastAsia="黑体"/>
              <w:szCs w:val="28"/>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_Toc8978 \h </w:instrText>
          </w:r>
          <w:r>
            <w:fldChar w:fldCharType="separate"/>
          </w:r>
          <w:r>
            <w:t>10</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_Toc21918 </w:instrText>
          </w:r>
          <w:r>
            <w:rPr>
              <w:rFonts w:ascii="黑体" w:hAnsi="黑体" w:eastAsia="黑体"/>
              <w:szCs w:val="28"/>
            </w:rPr>
            <w:fldChar w:fldCharType="separate"/>
          </w:r>
          <w:r>
            <w:rPr>
              <w:rFonts w:hint="eastAsia" w:ascii="黑体" w:hAnsi="黑体" w:eastAsia="黑体" w:cs="Times New Roman"/>
            </w:rPr>
            <w:t xml:space="preserve">九、 </w:t>
          </w:r>
          <w:r>
            <w:rPr>
              <w:rFonts w:hint="eastAsia" w:ascii="黑体" w:hAnsi="黑体" w:eastAsia="黑体"/>
            </w:rPr>
            <w:t>国有资本经营预算支出决算情况说明</w:t>
          </w:r>
          <w:r>
            <w:tab/>
          </w:r>
          <w:r>
            <w:fldChar w:fldCharType="begin"/>
          </w:r>
          <w:r>
            <w:instrText xml:space="preserve"> PAGEREF _Toc21918 \h </w:instrText>
          </w:r>
          <w:r>
            <w:fldChar w:fldCharType="separate"/>
          </w:r>
          <w:r>
            <w:t>10</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_Toc24001 </w:instrText>
          </w:r>
          <w:r>
            <w:rPr>
              <w:rFonts w:ascii="黑体" w:hAnsi="黑体" w:eastAsia="黑体"/>
              <w:szCs w:val="28"/>
            </w:rP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_Toc24001 \h </w:instrText>
          </w:r>
          <w:r>
            <w:fldChar w:fldCharType="separate"/>
          </w:r>
          <w:r>
            <w:t>10</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_Toc8181 </w:instrText>
          </w:r>
          <w:r>
            <w:rPr>
              <w:rFonts w:ascii="黑体" w:hAnsi="黑体" w:eastAsia="黑体"/>
              <w:szCs w:val="28"/>
            </w:rPr>
            <w:fldChar w:fldCharType="separate"/>
          </w:r>
          <w:r>
            <w:rPr>
              <w:rFonts w:hint="eastAsia" w:ascii="仿宋" w:hAnsi="仿宋" w:eastAsia="仿宋"/>
              <w:szCs w:val="32"/>
            </w:rPr>
            <w:t>（一）机关运行经费支出情况</w:t>
          </w:r>
          <w:r>
            <w:tab/>
          </w:r>
          <w:r>
            <w:fldChar w:fldCharType="begin"/>
          </w:r>
          <w:r>
            <w:instrText xml:space="preserve"> PAGEREF _Toc8181 \h </w:instrText>
          </w:r>
          <w:r>
            <w:fldChar w:fldCharType="separate"/>
          </w:r>
          <w:r>
            <w:t>10</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_Toc23469 </w:instrText>
          </w:r>
          <w:r>
            <w:rPr>
              <w:rFonts w:ascii="黑体" w:hAnsi="黑体" w:eastAsia="黑体"/>
              <w:szCs w:val="28"/>
            </w:rPr>
            <w:fldChar w:fldCharType="separate"/>
          </w:r>
          <w:r>
            <w:rPr>
              <w:rFonts w:hint="eastAsia" w:ascii="仿宋" w:hAnsi="仿宋" w:eastAsia="仿宋"/>
              <w:szCs w:val="32"/>
            </w:rPr>
            <w:t>（二）政府采购支出情况</w:t>
          </w:r>
          <w:r>
            <w:tab/>
          </w:r>
          <w:r>
            <w:fldChar w:fldCharType="begin"/>
          </w:r>
          <w:r>
            <w:instrText xml:space="preserve"> PAGEREF _Toc23469 \h </w:instrText>
          </w:r>
          <w:r>
            <w:fldChar w:fldCharType="separate"/>
          </w:r>
          <w:r>
            <w:t>11</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_Toc11003 </w:instrText>
          </w:r>
          <w:r>
            <w:rPr>
              <w:rFonts w:ascii="黑体" w:hAnsi="黑体" w:eastAsia="黑体"/>
              <w:szCs w:val="28"/>
            </w:rPr>
            <w:fldChar w:fldCharType="separate"/>
          </w:r>
          <w:r>
            <w:rPr>
              <w:rFonts w:hint="eastAsia" w:ascii="仿宋" w:hAnsi="仿宋" w:eastAsia="仿宋"/>
              <w:szCs w:val="32"/>
            </w:rPr>
            <w:t>（三）国有资产占有使用情况</w:t>
          </w:r>
          <w:r>
            <w:tab/>
          </w:r>
          <w:r>
            <w:fldChar w:fldCharType="begin"/>
          </w:r>
          <w:r>
            <w:instrText xml:space="preserve"> PAGEREF _Toc11003 \h </w:instrText>
          </w:r>
          <w:r>
            <w:fldChar w:fldCharType="separate"/>
          </w:r>
          <w:r>
            <w:t>11</w:t>
          </w:r>
          <w:r>
            <w:fldChar w:fldCharType="end"/>
          </w:r>
          <w:r>
            <w:rPr>
              <w:rFonts w:ascii="黑体" w:hAnsi="黑体" w:eastAsia="黑体"/>
              <w:szCs w:val="28"/>
            </w:rPr>
            <w:fldChar w:fldCharType="end"/>
          </w:r>
        </w:p>
        <w:p>
          <w:pPr>
            <w:pStyle w:val="4"/>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_Toc22883 </w:instrText>
          </w:r>
          <w:r>
            <w:rPr>
              <w:rFonts w:ascii="黑体" w:hAnsi="黑体" w:eastAsia="黑体"/>
              <w:szCs w:val="28"/>
            </w:rPr>
            <w:fldChar w:fldCharType="separate"/>
          </w:r>
          <w:r>
            <w:rPr>
              <w:rFonts w:hint="eastAsia" w:ascii="仿宋" w:hAnsi="仿宋" w:eastAsia="仿宋"/>
              <w:szCs w:val="32"/>
            </w:rPr>
            <w:t>（四）预算绩效管理情况。</w:t>
          </w:r>
          <w:r>
            <w:tab/>
          </w:r>
          <w:r>
            <w:fldChar w:fldCharType="begin"/>
          </w:r>
          <w:r>
            <w:instrText xml:space="preserve"> PAGEREF _Toc22883 \h </w:instrText>
          </w:r>
          <w:r>
            <w:fldChar w:fldCharType="separate"/>
          </w:r>
          <w:r>
            <w:t>11</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_Toc20009 </w:instrText>
          </w:r>
          <w:r>
            <w:rPr>
              <w:rFonts w:ascii="黑体" w:hAnsi="黑体" w:eastAsia="黑体"/>
              <w:szCs w:val="28"/>
            </w:rPr>
            <w:fldChar w:fldCharType="separate"/>
          </w:r>
          <w:r>
            <w:rPr>
              <w:rFonts w:hint="eastAsia" w:ascii="黑体" w:hAnsi="黑体" w:eastAsia="黑体" w:cs="Times New Roman"/>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_Toc20009 \h </w:instrText>
          </w:r>
          <w:r>
            <w:fldChar w:fldCharType="separate"/>
          </w:r>
          <w:r>
            <w:t>17</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_Toc12554 </w:instrText>
          </w:r>
          <w:r>
            <w:rPr>
              <w:rFonts w:ascii="黑体" w:hAnsi="黑体" w:eastAsia="黑体"/>
              <w:szCs w:val="28"/>
            </w:rPr>
            <w:fldChar w:fldCharType="separate"/>
          </w:r>
          <w:r>
            <w:rPr>
              <w:rFonts w:hint="eastAsia" w:ascii="黑体" w:hAnsi="黑体" w:eastAsia="黑体"/>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_Toc12554 \h </w:instrText>
          </w:r>
          <w:r>
            <w:fldChar w:fldCharType="separate"/>
          </w:r>
          <w:r>
            <w:t>19</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_Toc16699 </w:instrText>
          </w:r>
          <w:r>
            <w:rPr>
              <w:rFonts w:ascii="黑体" w:hAnsi="黑体" w:eastAsia="黑体"/>
              <w:szCs w:val="28"/>
            </w:rPr>
            <w:fldChar w:fldCharType="separate"/>
          </w:r>
          <w:r>
            <w:rPr>
              <w:rFonts w:hint="eastAsia" w:ascii="仿宋" w:hAnsi="仿宋" w:eastAsia="仿宋" w:cs="仿宋"/>
              <w:bCs/>
            </w:rPr>
            <w:t>附件1</w:t>
          </w:r>
          <w:r>
            <w:tab/>
          </w:r>
          <w:r>
            <w:fldChar w:fldCharType="begin"/>
          </w:r>
          <w:r>
            <w:instrText xml:space="preserve"> PAGEREF _Toc16699 \h </w:instrText>
          </w:r>
          <w:r>
            <w:fldChar w:fldCharType="separate"/>
          </w:r>
          <w:r>
            <w:t>19</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_Toc12509 </w:instrText>
          </w:r>
          <w:r>
            <w:rPr>
              <w:rFonts w:ascii="黑体" w:hAnsi="黑体" w:eastAsia="黑体"/>
              <w:szCs w:val="28"/>
            </w:rPr>
            <w:fldChar w:fldCharType="separate"/>
          </w:r>
          <w:r>
            <w:rPr>
              <w:rFonts w:hint="eastAsia" w:ascii="仿宋" w:hAnsi="仿宋" w:eastAsia="仿宋" w:cs="仿宋"/>
              <w:bCs/>
            </w:rPr>
            <w:t>附件2</w:t>
          </w:r>
          <w:r>
            <w:tab/>
          </w:r>
          <w:r>
            <w:fldChar w:fldCharType="begin"/>
          </w:r>
          <w:r>
            <w:instrText xml:space="preserve"> PAGEREF _Toc12509 \h </w:instrText>
          </w:r>
          <w:r>
            <w:fldChar w:fldCharType="separate"/>
          </w:r>
          <w:r>
            <w:t>24</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_Toc24898 </w:instrText>
          </w:r>
          <w:r>
            <w:rPr>
              <w:rFonts w:ascii="黑体" w:hAnsi="黑体" w:eastAsia="黑体"/>
              <w:szCs w:val="28"/>
            </w:rP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_Toc24898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_Toc29285 </w:instrText>
          </w:r>
          <w:r>
            <w:rPr>
              <w:rFonts w:ascii="黑体" w:hAnsi="黑体" w:eastAsia="黑体"/>
              <w:szCs w:val="28"/>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_Toc29285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_Toc14201 </w:instrText>
          </w:r>
          <w:r>
            <w:rPr>
              <w:rFonts w:ascii="黑体" w:hAnsi="黑体" w:eastAsia="黑体"/>
              <w:szCs w:val="28"/>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_Toc14201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_Toc8310 </w:instrText>
          </w:r>
          <w:r>
            <w:rPr>
              <w:rFonts w:ascii="黑体" w:hAnsi="黑体" w:eastAsia="黑体"/>
              <w:szCs w:val="28"/>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_Toc8310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_Toc6082 </w:instrText>
          </w:r>
          <w:r>
            <w:rPr>
              <w:rFonts w:ascii="黑体" w:hAnsi="黑体" w:eastAsia="黑体"/>
              <w:szCs w:val="28"/>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_Toc6082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_Toc19016 </w:instrText>
          </w:r>
          <w:r>
            <w:rPr>
              <w:rFonts w:ascii="黑体" w:hAnsi="黑体" w:eastAsia="黑体"/>
              <w:szCs w:val="28"/>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_Toc19016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_Toc7144 </w:instrText>
          </w:r>
          <w:r>
            <w:rPr>
              <w:rFonts w:ascii="黑体" w:hAnsi="黑体" w:eastAsia="黑体"/>
              <w:szCs w:val="28"/>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_Toc7144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_Toc5151 </w:instrText>
          </w:r>
          <w:r>
            <w:rPr>
              <w:rFonts w:ascii="黑体" w:hAnsi="黑体" w:eastAsia="黑体"/>
              <w:szCs w:val="28"/>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_Toc5151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_Toc10784 </w:instrText>
          </w:r>
          <w:r>
            <w:rPr>
              <w:rFonts w:ascii="黑体" w:hAnsi="黑体" w:eastAsia="黑体"/>
              <w:szCs w:val="28"/>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_Toc10784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_Toc23132 </w:instrText>
          </w:r>
          <w:r>
            <w:rPr>
              <w:rFonts w:ascii="黑体" w:hAnsi="黑体" w:eastAsia="黑体"/>
              <w:szCs w:val="28"/>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_Toc23132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_Toc26717 </w:instrText>
          </w:r>
          <w:r>
            <w:rPr>
              <w:rFonts w:ascii="黑体" w:hAnsi="黑体" w:eastAsia="黑体"/>
              <w:szCs w:val="28"/>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_Toc26717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_Toc16879 </w:instrText>
          </w:r>
          <w:r>
            <w:rPr>
              <w:rFonts w:ascii="黑体" w:hAnsi="黑体" w:eastAsia="黑体"/>
              <w:szCs w:val="28"/>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_Toc16879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_Toc19310 </w:instrText>
          </w:r>
          <w:r>
            <w:rPr>
              <w:rFonts w:ascii="黑体" w:hAnsi="黑体" w:eastAsia="黑体"/>
              <w:szCs w:val="28"/>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_Toc19310 \h </w:instrText>
          </w:r>
          <w:r>
            <w:fldChar w:fldCharType="separate"/>
          </w:r>
          <w:r>
            <w:t>28</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_Toc18816 </w:instrText>
          </w:r>
          <w:r>
            <w:rPr>
              <w:rFonts w:ascii="黑体" w:hAnsi="黑体" w:eastAsia="黑体"/>
              <w:szCs w:val="28"/>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有资本经营预算财政拨款支出决算表</w:t>
          </w:r>
          <w:r>
            <w:tab/>
          </w:r>
          <w:r>
            <w:fldChar w:fldCharType="begin"/>
          </w:r>
          <w:r>
            <w:instrText xml:space="preserve"> PAGEREF _Toc18816 \h </w:instrText>
          </w:r>
          <w:r>
            <w:fldChar w:fldCharType="separate"/>
          </w:r>
          <w:r>
            <w:t>28</w:t>
          </w:r>
          <w:r>
            <w:fldChar w:fldCharType="end"/>
          </w:r>
          <w:r>
            <w:rPr>
              <w:rFonts w:ascii="黑体" w:hAnsi="黑体" w:eastAsia="黑体"/>
              <w:szCs w:val="28"/>
            </w:rPr>
            <w:fldChar w:fldCharType="end"/>
          </w:r>
        </w:p>
        <w:p>
          <w:pPr>
            <w:widowControl/>
            <w:jc w:val="center"/>
            <w:rPr>
              <w:rFonts w:ascii="黑体" w:hAnsi="黑体" w:eastAsia="黑体"/>
              <w:sz w:val="28"/>
              <w:szCs w:val="28"/>
            </w:rPr>
          </w:pPr>
          <w:r>
            <w:rPr>
              <w:rFonts w:ascii="黑体" w:hAnsi="黑体" w:eastAsia="黑体"/>
              <w:szCs w:val="28"/>
            </w:rPr>
            <w:fldChar w:fldCharType="end"/>
          </w:r>
        </w:p>
      </w:sdtContent>
    </w:sdt>
    <w:p/>
    <w:p>
      <w:pPr>
        <w:widowControl/>
        <w:spacing w:line="440" w:lineRule="exact"/>
        <w:jc w:val="left"/>
        <w:rPr>
          <w:rFonts w:ascii="仿宋" w:hAnsi="仿宋" w:eastAsia="仿宋"/>
          <w:bCs/>
          <w:kern w:val="44"/>
          <w:sz w:val="24"/>
        </w:rPr>
      </w:pPr>
      <w:bookmarkStart w:id="12" w:name="_Toc15396599"/>
      <w:bookmarkStart w:id="13" w:name="_Toc15377196"/>
    </w:p>
    <w:p>
      <w:pPr>
        <w:pStyle w:val="14"/>
        <w:jc w:val="center"/>
        <w:rPr>
          <w:rFonts w:hint="eastAsia" w:ascii="黑体" w:hAnsi="黑体" w:eastAsia="黑体"/>
          <w:b w:val="0"/>
        </w:rPr>
      </w:pPr>
    </w:p>
    <w:p>
      <w:pPr>
        <w:pStyle w:val="14"/>
        <w:jc w:val="center"/>
        <w:rPr>
          <w:rStyle w:val="18"/>
          <w:rFonts w:ascii="黑体" w:hAnsi="黑体" w:eastAsia="黑体"/>
          <w:b w:val="0"/>
          <w:bCs w:val="0"/>
        </w:rPr>
      </w:pPr>
      <w:r>
        <w:rPr>
          <w:rFonts w:hint="eastAsia" w:ascii="黑体" w:hAnsi="黑体" w:eastAsia="黑体"/>
          <w:b w:val="0"/>
        </w:rPr>
        <w:br w:type="page"/>
      </w:r>
      <w:bookmarkStart w:id="14" w:name="_Toc4357"/>
      <w:r>
        <w:rPr>
          <w:rFonts w:hint="eastAsia" w:ascii="黑体" w:hAnsi="黑体" w:eastAsia="黑体"/>
          <w:b w:val="0"/>
        </w:rPr>
        <w:t>第一部分</w:t>
      </w:r>
      <w:r>
        <w:rPr>
          <w:rFonts w:ascii="黑体" w:hAnsi="黑体" w:eastAsia="黑体"/>
          <w:b w:val="0"/>
        </w:rPr>
        <w:t xml:space="preserve"> </w:t>
      </w:r>
      <w:r>
        <w:rPr>
          <w:rStyle w:val="18"/>
          <w:rFonts w:hint="eastAsia" w:ascii="黑体" w:hAnsi="黑体" w:eastAsia="黑体"/>
          <w:b w:val="0"/>
          <w:bCs w:val="0"/>
        </w:rPr>
        <w:t>部门概况</w:t>
      </w:r>
      <w:bookmarkEnd w:id="12"/>
      <w:bookmarkEnd w:id="13"/>
      <w:bookmarkEnd w:id="14"/>
    </w:p>
    <w:p>
      <w:pPr>
        <w:widowControl/>
        <w:jc w:val="left"/>
        <w:rPr>
          <w:rFonts w:ascii="黑体" w:eastAsia="黑体"/>
          <w:color w:val="000000"/>
          <w:sz w:val="32"/>
          <w:szCs w:val="32"/>
        </w:rPr>
      </w:pPr>
    </w:p>
    <w:p>
      <w:pPr>
        <w:pStyle w:val="15"/>
        <w:rPr>
          <w:rStyle w:val="34"/>
          <w:rFonts w:ascii="仿宋" w:hAnsi="仿宋" w:eastAsia="仿宋"/>
          <w:b w:val="0"/>
          <w:bCs w:val="0"/>
        </w:rPr>
      </w:pPr>
      <w:bookmarkStart w:id="15" w:name="_Toc16737"/>
      <w:bookmarkStart w:id="16" w:name="_Toc15396600"/>
      <w:bookmarkStart w:id="17" w:name="_Toc15377197"/>
      <w:r>
        <w:rPr>
          <w:rFonts w:hint="eastAsia" w:ascii="黑体" w:hAnsi="黑体" w:eastAsia="黑体"/>
          <w:b w:val="0"/>
          <w:color w:val="000000"/>
        </w:rPr>
        <w:t>一、基</w:t>
      </w:r>
      <w:r>
        <w:rPr>
          <w:rStyle w:val="34"/>
          <w:rFonts w:hint="eastAsia" w:ascii="黑体" w:hAnsi="黑体" w:eastAsia="黑体"/>
          <w:b w:val="0"/>
          <w:bCs w:val="0"/>
        </w:rPr>
        <w:t>本职能及主要工作</w:t>
      </w:r>
      <w:bookmarkEnd w:id="15"/>
      <w:bookmarkEnd w:id="16"/>
      <w:bookmarkEnd w:id="17"/>
    </w:p>
    <w:p>
      <w:pPr>
        <w:pStyle w:val="3"/>
        <w:bidi w:val="0"/>
        <w:rPr>
          <w:rFonts w:ascii="楷体" w:hAnsi="楷体" w:eastAsia="楷体" w:cs="楷体"/>
          <w:szCs w:val="32"/>
        </w:rPr>
      </w:pPr>
      <w:bookmarkStart w:id="18" w:name="_Toc29058"/>
      <w:bookmarkStart w:id="19" w:name="_Toc15377200"/>
      <w:bookmarkStart w:id="20" w:name="_Toc15396601"/>
      <w:r>
        <w:rPr>
          <w:rFonts w:hint="eastAsia" w:ascii="仿宋" w:hAnsi="仿宋" w:eastAsia="仿宋" w:cs="仿宋"/>
          <w:b w:val="0"/>
          <w:bCs/>
          <w:lang w:eastAsia="zh-CN"/>
        </w:rPr>
        <w:t>（</w:t>
      </w:r>
      <w:r>
        <w:rPr>
          <w:rFonts w:hint="eastAsia" w:ascii="仿宋" w:hAnsi="仿宋" w:eastAsia="仿宋" w:cs="仿宋"/>
          <w:b w:val="0"/>
          <w:bCs/>
        </w:rPr>
        <w:t>一）主要职能。</w:t>
      </w:r>
      <w:bookmarkEnd w:id="18"/>
      <w:bookmarkStart w:id="21" w:name="_Toc15378446"/>
      <w:bookmarkStart w:id="22" w:name="_Toc15377199"/>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一是根据县政府授权，依照《</w:t>
      </w:r>
      <w:r>
        <w:rPr>
          <w:rFonts w:hint="eastAsia" w:ascii="仿宋_GB2312" w:hAnsi="仿宋" w:eastAsia="仿宋_GB2312"/>
          <w:sz w:val="32"/>
          <w:szCs w:val="32"/>
          <w:lang w:eastAsia="zh-CN"/>
        </w:rPr>
        <w:t>中华人民共和国</w:t>
      </w:r>
      <w:r>
        <w:rPr>
          <w:rFonts w:hint="eastAsia" w:ascii="仿宋_GB2312" w:hAnsi="仿宋" w:eastAsia="仿宋_GB2312"/>
          <w:sz w:val="32"/>
          <w:szCs w:val="32"/>
        </w:rPr>
        <w:t>公司法》</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eastAsia="zh-CN"/>
        </w:rPr>
        <w:t>中华人民共和国</w:t>
      </w:r>
      <w:r>
        <w:rPr>
          <w:rFonts w:hint="eastAsia" w:ascii="仿宋_GB2312" w:hAnsi="仿宋" w:eastAsia="仿宋_GB2312"/>
          <w:sz w:val="32"/>
          <w:szCs w:val="32"/>
        </w:rPr>
        <w:t>企业国有资产法》等法律法规，依法对县属国有企业履行出资人职责，监管县属企业的国有资产，加强国有资产管理工作。</w:t>
      </w:r>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二是研究拟定国有资产管理的规范性文件，制定或拟定有关制度，依法监管企业国有资产。</w:t>
      </w:r>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三是承担监督所监管企业国有资产保值增值的责任。</w:t>
      </w:r>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四是加强企业负责人管理，完善经营者激励和约束制度。</w:t>
      </w:r>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五是依法向企业派驻监事和加强监事会日常管理。</w:t>
      </w:r>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六是加强国有资本经营预算管理。</w:t>
      </w:r>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七是协调中央、省、市、外地在通江国有企业改革发展中与地方相关事宜。</w:t>
      </w:r>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八是承办县委、县政府交办的</w:t>
      </w:r>
      <w:r>
        <w:rPr>
          <w:rFonts w:hint="eastAsia" w:ascii="仿宋_GB2312" w:hAnsi="仿宋" w:eastAsia="仿宋_GB2312"/>
          <w:sz w:val="32"/>
          <w:szCs w:val="32"/>
          <w:lang w:eastAsia="zh-CN"/>
        </w:rPr>
        <w:t>其他</w:t>
      </w:r>
      <w:r>
        <w:rPr>
          <w:rFonts w:hint="eastAsia" w:ascii="仿宋_GB2312" w:hAnsi="仿宋" w:eastAsia="仿宋_GB2312"/>
          <w:sz w:val="32"/>
          <w:szCs w:val="32"/>
        </w:rPr>
        <w:t>事项。</w:t>
      </w:r>
    </w:p>
    <w:p>
      <w:pPr>
        <w:pageBreakBefore w:val="0"/>
        <w:kinsoku/>
        <w:wordWrap/>
        <w:overflowPunct/>
        <w:topLinePunct w:val="0"/>
        <w:bidi w:val="0"/>
        <w:spacing w:line="560" w:lineRule="exact"/>
        <w:ind w:firstLine="640" w:firstLineChars="200"/>
        <w:rPr>
          <w:rFonts w:ascii="楷体" w:hAnsi="楷体" w:eastAsia="楷体" w:cs="楷体"/>
          <w:sz w:val="32"/>
          <w:szCs w:val="32"/>
        </w:rPr>
      </w:pPr>
      <w:bookmarkStart w:id="23" w:name="_Toc30707"/>
      <w:r>
        <w:rPr>
          <w:rStyle w:val="43"/>
          <w:rFonts w:hint="eastAsia" w:ascii="仿宋" w:hAnsi="仿宋" w:eastAsia="仿宋" w:cs="仿宋"/>
          <w:b w:val="0"/>
          <w:bCs/>
        </w:rPr>
        <w:t>（二）2</w:t>
      </w:r>
      <w:r>
        <w:rPr>
          <w:rStyle w:val="43"/>
          <w:rFonts w:hint="eastAsia" w:ascii="仿宋" w:hAnsi="仿宋" w:eastAsia="仿宋" w:cs="仿宋"/>
          <w:b w:val="0"/>
          <w:bCs/>
          <w:lang w:val="en-US" w:eastAsia="zh-CN"/>
        </w:rPr>
        <w:t>020</w:t>
      </w:r>
      <w:r>
        <w:rPr>
          <w:rStyle w:val="43"/>
          <w:rFonts w:hint="eastAsia" w:ascii="仿宋" w:hAnsi="仿宋" w:eastAsia="仿宋" w:cs="仿宋"/>
          <w:b w:val="0"/>
          <w:bCs/>
        </w:rPr>
        <w:t>年重点工作完成情况</w:t>
      </w:r>
      <w:bookmarkEnd w:id="23"/>
      <w:r>
        <w:rPr>
          <w:rFonts w:hint="eastAsia" w:ascii="楷体" w:hAnsi="楷体" w:eastAsia="楷体" w:cs="楷体"/>
          <w:sz w:val="32"/>
          <w:szCs w:val="32"/>
        </w:rPr>
        <w:t>。</w:t>
      </w:r>
      <w:bookmarkEnd w:id="21"/>
      <w:bookmarkEnd w:id="22"/>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w:t>
      </w:r>
      <w:r>
        <w:rPr>
          <w:rFonts w:hint="eastAsia" w:ascii="仿宋_GB2312" w:hAnsi="仿宋" w:eastAsia="仿宋_GB2312"/>
          <w:b w:val="0"/>
          <w:bCs w:val="0"/>
          <w:sz w:val="32"/>
          <w:szCs w:val="32"/>
        </w:rPr>
        <w:t>持续</w:t>
      </w:r>
      <w:r>
        <w:rPr>
          <w:rFonts w:hint="eastAsia" w:ascii="仿宋_GB2312" w:hAnsi="仿宋" w:eastAsia="仿宋_GB2312"/>
          <w:sz w:val="32"/>
          <w:szCs w:val="32"/>
        </w:rPr>
        <w:t>深化国资国企改革。制定了《通江县国有资本运营发展战略规划》，为全县国企改革提供了战略方向；全面推进国有企业负责人薪酬制度改革，牵头落实了《县属国有企业功能界定与分类监管方案》《关于深化县属国有企业董事会改革建立专职外部董事队伍的意见》等制度，提升了国有资产监督管理的科学性。</w:t>
      </w:r>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二是服务城市建设成效显著。统筹安排投融资公司积极投身于城市建设，运用资产抵押、参与“</w:t>
      </w:r>
      <w:r>
        <w:rPr>
          <w:rFonts w:ascii="仿宋_GB2312" w:hAnsi="仿宋" w:eastAsia="仿宋_GB2312"/>
          <w:sz w:val="32"/>
          <w:szCs w:val="32"/>
        </w:rPr>
        <w:t>PPP</w:t>
      </w:r>
      <w:r>
        <w:rPr>
          <w:rFonts w:hint="eastAsia" w:ascii="仿宋_GB2312" w:hAnsi="仿宋" w:eastAsia="仿宋_GB2312"/>
          <w:sz w:val="32"/>
          <w:szCs w:val="32"/>
        </w:rPr>
        <w:t>”项目、发行债券等多种融资渠道，积极参与五马桥和老东门棚户区改造、高明新区建设、高明大道、壁州大道、易地扶贫搬迁以及城乡供水管网等重点项目建设，服务县域经济发展。</w:t>
      </w:r>
    </w:p>
    <w:p>
      <w:pPr>
        <w:pStyle w:val="15"/>
      </w:pPr>
      <w:bookmarkStart w:id="24" w:name="_Toc20689"/>
      <w:r>
        <w:rPr>
          <w:rFonts w:hint="eastAsia" w:ascii="黑体" w:eastAsia="黑体"/>
          <w:b w:val="0"/>
          <w:color w:val="000000"/>
        </w:rPr>
        <w:t>二、</w:t>
      </w:r>
      <w:r>
        <w:rPr>
          <w:rFonts w:hint="eastAsia" w:ascii="黑体" w:hAnsi="黑体" w:eastAsia="黑体"/>
          <w:b w:val="0"/>
          <w:color w:val="000000"/>
        </w:rPr>
        <w:t>机</w:t>
      </w:r>
      <w:r>
        <w:rPr>
          <w:rStyle w:val="34"/>
          <w:rFonts w:hint="eastAsia" w:ascii="黑体" w:hAnsi="黑体" w:eastAsia="黑体"/>
          <w:b w:val="0"/>
          <w:bCs w:val="0"/>
        </w:rPr>
        <w:t>构设置</w:t>
      </w:r>
      <w:bookmarkEnd w:id="19"/>
      <w:bookmarkEnd w:id="20"/>
      <w:bookmarkEnd w:id="24"/>
    </w:p>
    <w:p>
      <w:pPr>
        <w:pageBreakBefore w:val="0"/>
        <w:kinsoku/>
        <w:wordWrap/>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（一）机构人员情况。通江县国有资产监督管理委员会由两股一室（国有资产监管股、财务监督与评价股和办公室）组成</w:t>
      </w:r>
      <w:r>
        <w:rPr>
          <w:rFonts w:hint="eastAsia" w:ascii="仿宋_GB2312" w:hAnsi="仿宋" w:eastAsia="仿宋_GB2312"/>
          <w:sz w:val="32"/>
          <w:szCs w:val="32"/>
          <w:lang w:eastAsia="zh-CN"/>
        </w:rPr>
        <w:t>，</w:t>
      </w:r>
      <w:r>
        <w:rPr>
          <w:rFonts w:hint="eastAsia" w:ascii="仿宋_GB2312" w:hAnsi="仿宋" w:eastAsia="仿宋_GB2312"/>
          <w:sz w:val="32"/>
          <w:szCs w:val="32"/>
        </w:rPr>
        <w:t>设定编制</w:t>
      </w:r>
      <w:r>
        <w:rPr>
          <w:rFonts w:ascii="仿宋_GB2312" w:hAnsi="仿宋" w:eastAsia="仿宋_GB2312"/>
          <w:sz w:val="32"/>
          <w:szCs w:val="32"/>
        </w:rPr>
        <w:t>10</w:t>
      </w:r>
      <w:r>
        <w:rPr>
          <w:rFonts w:hint="eastAsia" w:ascii="仿宋_GB2312" w:hAnsi="仿宋" w:eastAsia="仿宋_GB2312"/>
          <w:sz w:val="32"/>
          <w:szCs w:val="32"/>
        </w:rPr>
        <w:t>人，现有人数</w:t>
      </w:r>
      <w:r>
        <w:rPr>
          <w:rFonts w:hint="eastAsia" w:ascii="仿宋_GB2312" w:hAnsi="仿宋" w:eastAsia="仿宋_GB2312"/>
          <w:sz w:val="32"/>
          <w:szCs w:val="32"/>
          <w:lang w:val="en-US" w:eastAsia="zh-CN"/>
        </w:rPr>
        <w:t>10</w:t>
      </w:r>
      <w:r>
        <w:rPr>
          <w:rFonts w:hint="eastAsia" w:ascii="仿宋_GB2312" w:hAnsi="仿宋" w:eastAsia="仿宋_GB2312"/>
          <w:sz w:val="32"/>
          <w:szCs w:val="32"/>
        </w:rPr>
        <w:t>人，其中：办公室</w:t>
      </w:r>
      <w:r>
        <w:rPr>
          <w:rFonts w:ascii="仿宋_GB2312" w:hAnsi="仿宋" w:eastAsia="仿宋_GB2312"/>
          <w:sz w:val="32"/>
          <w:szCs w:val="32"/>
        </w:rPr>
        <w:t>2</w:t>
      </w:r>
      <w:r>
        <w:rPr>
          <w:rFonts w:hint="eastAsia" w:ascii="仿宋_GB2312" w:hAnsi="仿宋" w:eastAsia="仿宋_GB2312"/>
          <w:sz w:val="32"/>
          <w:szCs w:val="32"/>
        </w:rPr>
        <w:t>人、国有资产监管股</w:t>
      </w:r>
      <w:r>
        <w:rPr>
          <w:rFonts w:ascii="仿宋_GB2312" w:hAnsi="仿宋" w:eastAsia="仿宋_GB2312"/>
          <w:sz w:val="32"/>
          <w:szCs w:val="32"/>
        </w:rPr>
        <w:t>2</w:t>
      </w:r>
      <w:r>
        <w:rPr>
          <w:rFonts w:hint="eastAsia" w:ascii="仿宋_GB2312" w:hAnsi="仿宋" w:eastAsia="仿宋_GB2312"/>
          <w:sz w:val="32"/>
          <w:szCs w:val="32"/>
        </w:rPr>
        <w:t>人、财务监督与评价股</w:t>
      </w:r>
      <w:r>
        <w:rPr>
          <w:rFonts w:hint="eastAsia" w:ascii="仿宋_GB2312" w:hAnsi="仿宋" w:eastAsia="仿宋_GB2312"/>
          <w:sz w:val="32"/>
          <w:szCs w:val="32"/>
          <w:lang w:val="en-US" w:eastAsia="zh-CN"/>
        </w:rPr>
        <w:t>3</w:t>
      </w:r>
      <w:r>
        <w:rPr>
          <w:rFonts w:hint="eastAsia" w:ascii="仿宋_GB2312" w:hAnsi="仿宋" w:eastAsia="仿宋_GB2312"/>
          <w:sz w:val="32"/>
          <w:szCs w:val="32"/>
        </w:rPr>
        <w:t>人、领导班子成员</w:t>
      </w:r>
      <w:r>
        <w:rPr>
          <w:rFonts w:hint="eastAsia" w:ascii="仿宋_GB2312" w:hAnsi="仿宋" w:eastAsia="仿宋_GB2312"/>
          <w:sz w:val="32"/>
          <w:szCs w:val="32"/>
          <w:lang w:val="en-US" w:eastAsia="zh-CN"/>
        </w:rPr>
        <w:t>2</w:t>
      </w:r>
      <w:r>
        <w:rPr>
          <w:rFonts w:hint="eastAsia" w:ascii="仿宋_GB2312" w:hAnsi="仿宋" w:eastAsia="仿宋_GB2312"/>
          <w:sz w:val="32"/>
          <w:szCs w:val="32"/>
        </w:rPr>
        <w:t>人</w:t>
      </w:r>
      <w:r>
        <w:rPr>
          <w:rFonts w:hint="eastAsia" w:ascii="仿宋_GB2312" w:hAnsi="仿宋" w:eastAsia="仿宋_GB2312"/>
          <w:sz w:val="32"/>
          <w:szCs w:val="32"/>
          <w:lang w:eastAsia="zh-CN"/>
        </w:rPr>
        <w:t>，</w:t>
      </w:r>
      <w:r>
        <w:rPr>
          <w:rFonts w:hint="eastAsia" w:ascii="仿宋_GB2312" w:hAnsi="仿宋" w:eastAsia="仿宋_GB2312"/>
          <w:sz w:val="32"/>
          <w:szCs w:val="32"/>
        </w:rPr>
        <w:t>事业身份</w:t>
      </w:r>
      <w:r>
        <w:rPr>
          <w:rFonts w:hint="eastAsia" w:ascii="仿宋_GB2312" w:hAnsi="仿宋" w:eastAsia="仿宋_GB2312"/>
          <w:sz w:val="32"/>
          <w:szCs w:val="32"/>
          <w:lang w:val="en-US" w:eastAsia="zh-CN"/>
        </w:rPr>
        <w:t>10</w:t>
      </w:r>
      <w:r>
        <w:rPr>
          <w:rFonts w:hint="eastAsia" w:ascii="仿宋_GB2312" w:hAnsi="仿宋" w:eastAsia="仿宋_GB2312"/>
          <w:sz w:val="32"/>
          <w:szCs w:val="32"/>
        </w:rPr>
        <w:t>人。</w:t>
      </w:r>
    </w:p>
    <w:p>
      <w:pPr>
        <w:pageBreakBefore w:val="0"/>
        <w:kinsoku/>
        <w:wordWrap/>
        <w:overflowPunct/>
        <w:topLinePunct w:val="0"/>
        <w:bidi w:val="0"/>
        <w:spacing w:line="560" w:lineRule="exact"/>
        <w:ind w:firstLine="640" w:firstLineChars="200"/>
        <w:rPr>
          <w:rFonts w:ascii="仿宋" w:hAnsi="仿宋" w:eastAsia="仿宋"/>
          <w:sz w:val="32"/>
          <w:szCs w:val="32"/>
        </w:rPr>
      </w:pPr>
      <w:r>
        <w:rPr>
          <w:rFonts w:hint="eastAsia" w:ascii="仿宋_GB2312" w:hAnsi="仿宋" w:eastAsia="仿宋_GB2312"/>
          <w:sz w:val="32"/>
          <w:szCs w:val="32"/>
        </w:rPr>
        <w:t>（二）机构人员当年变动情况及原因。通江县国有资产监督管理委员会现有</w:t>
      </w:r>
      <w:r>
        <w:rPr>
          <w:rFonts w:hint="eastAsia" w:ascii="仿宋_GB2312" w:hAnsi="仿宋" w:eastAsia="仿宋_GB2312"/>
          <w:sz w:val="32"/>
          <w:szCs w:val="32"/>
          <w:lang w:val="en-US" w:eastAsia="zh-CN"/>
        </w:rPr>
        <w:t>10</w:t>
      </w:r>
      <w:r>
        <w:rPr>
          <w:rFonts w:hint="eastAsia" w:ascii="仿宋_GB2312" w:hAnsi="仿宋" w:eastAsia="仿宋_GB2312"/>
          <w:sz w:val="32"/>
          <w:szCs w:val="32"/>
        </w:rPr>
        <w:t>人，总人数</w:t>
      </w:r>
      <w:r>
        <w:rPr>
          <w:rFonts w:hint="eastAsia" w:ascii="仿宋_GB2312" w:hAnsi="仿宋" w:eastAsia="仿宋_GB2312"/>
          <w:sz w:val="32"/>
          <w:szCs w:val="32"/>
          <w:lang w:eastAsia="zh-CN"/>
        </w:rPr>
        <w:t>较</w:t>
      </w:r>
      <w:r>
        <w:rPr>
          <w:rFonts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人</w:t>
      </w:r>
      <w:r>
        <w:rPr>
          <w:rFonts w:hint="eastAsia" w:ascii="仿宋_GB2312" w:hAnsi="仿宋" w:eastAsia="仿宋_GB2312"/>
          <w:sz w:val="32"/>
          <w:szCs w:val="32"/>
        </w:rPr>
        <w:t>。</w:t>
      </w:r>
    </w:p>
    <w:p>
      <w:pPr>
        <w:pageBreakBefore w:val="0"/>
        <w:widowControl/>
        <w:kinsoku/>
        <w:wordWrap/>
        <w:overflowPunct/>
        <w:topLinePunct w:val="0"/>
        <w:bidi w:val="0"/>
        <w:spacing w:line="560" w:lineRule="exact"/>
        <w:jc w:val="left"/>
        <w:rPr>
          <w:rFonts w:hint="eastAsia" w:ascii="黑体" w:hAnsi="黑体" w:eastAsia="黑体"/>
          <w:b w:val="0"/>
          <w:color w:val="000000"/>
          <w:sz w:val="44"/>
          <w:szCs w:val="44"/>
        </w:rPr>
      </w:pPr>
    </w:p>
    <w:p>
      <w:pPr>
        <w:widowControl/>
        <w:jc w:val="left"/>
        <w:rPr>
          <w:rFonts w:ascii="仿宋" w:hAnsi="仿宋" w:eastAsia="仿宋"/>
          <w:color w:val="000000"/>
          <w:kern w:val="0"/>
          <w:sz w:val="32"/>
          <w:szCs w:val="32"/>
        </w:rPr>
      </w:pPr>
      <w:r>
        <w:br w:type="page"/>
      </w:r>
    </w:p>
    <w:p>
      <w:pPr>
        <w:pStyle w:val="14"/>
        <w:ind w:right="440"/>
        <w:jc w:val="right"/>
        <w:rPr>
          <w:rStyle w:val="18"/>
          <w:rFonts w:ascii="黑体" w:hAnsi="黑体" w:eastAsia="黑体"/>
          <w:b w:val="0"/>
          <w:bCs w:val="0"/>
        </w:rPr>
      </w:pPr>
      <w:bookmarkStart w:id="25" w:name="_Toc15396602"/>
      <w:bookmarkStart w:id="26" w:name="_Toc15377204"/>
      <w:bookmarkStart w:id="27" w:name="_Toc12175"/>
      <w:r>
        <w:rPr>
          <w:rFonts w:hint="eastAsia" w:ascii="黑体" w:hAnsi="黑体" w:eastAsia="黑体"/>
          <w:b w:val="0"/>
          <w:color w:val="000000"/>
        </w:rPr>
        <w:t>第二部分</w:t>
      </w:r>
      <w:r>
        <w:rPr>
          <w:rFonts w:ascii="黑体" w:hAnsi="黑体" w:eastAsia="黑体"/>
          <w:color w:val="000000"/>
        </w:rPr>
        <w:t xml:space="preserve"> </w:t>
      </w:r>
      <w:r>
        <w:rPr>
          <w:rStyle w:val="18"/>
          <w:rFonts w:ascii="黑体" w:hAnsi="黑体" w:eastAsia="黑体"/>
          <w:b w:val="0"/>
          <w:bCs w:val="0"/>
        </w:rPr>
        <w:t>2020</w:t>
      </w:r>
      <w:r>
        <w:rPr>
          <w:rStyle w:val="18"/>
          <w:rFonts w:hint="eastAsia" w:ascii="黑体" w:hAnsi="黑体" w:eastAsia="黑体"/>
          <w:b w:val="0"/>
          <w:bCs w:val="0"/>
        </w:rPr>
        <w:t>年度</w:t>
      </w:r>
      <w:r>
        <w:rPr>
          <w:rFonts w:hint="eastAsia" w:ascii="黑体" w:hAnsi="黑体" w:eastAsia="黑体"/>
        </w:rPr>
        <w:t>部门决算情况说明</w:t>
      </w:r>
      <w:bookmarkEnd w:id="25"/>
      <w:bookmarkEnd w:id="26"/>
      <w:bookmarkEnd w:id="27"/>
    </w:p>
    <w:p/>
    <w:p>
      <w:pPr>
        <w:pStyle w:val="39"/>
        <w:numPr>
          <w:ilvl w:val="0"/>
          <w:numId w:val="1"/>
        </w:numPr>
        <w:spacing w:line="600" w:lineRule="exact"/>
        <w:ind w:firstLineChars="0"/>
        <w:outlineLvl w:val="1"/>
        <w:rPr>
          <w:rStyle w:val="34"/>
          <w:rFonts w:ascii="黑体" w:hAnsi="黑体" w:eastAsia="黑体"/>
          <w:b w:val="0"/>
        </w:rPr>
      </w:pPr>
      <w:bookmarkStart w:id="28" w:name="_Toc3454"/>
      <w:bookmarkStart w:id="29" w:name="_Toc15396603"/>
      <w:bookmarkStart w:id="30" w:name="_Toc15377205"/>
      <w:r>
        <w:rPr>
          <w:rFonts w:hint="eastAsia" w:ascii="黑体" w:hAnsi="黑体" w:eastAsia="黑体"/>
          <w:color w:val="000000"/>
          <w:sz w:val="32"/>
          <w:szCs w:val="32"/>
        </w:rPr>
        <w:t>收</w:t>
      </w:r>
      <w:r>
        <w:rPr>
          <w:rStyle w:val="34"/>
          <w:rFonts w:hint="eastAsia" w:ascii="黑体" w:hAnsi="黑体" w:eastAsia="黑体"/>
          <w:b w:val="0"/>
        </w:rPr>
        <w:t>入支出决算总体情况说明</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171.24</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57.67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50.78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人员增加。</w:t>
      </w:r>
    </w:p>
    <w:p>
      <w:pPr>
        <w:pStyle w:val="39"/>
        <w:numPr>
          <w:ilvl w:val="0"/>
          <w:numId w:val="1"/>
        </w:numPr>
        <w:spacing w:line="600" w:lineRule="exact"/>
        <w:ind w:firstLineChars="0"/>
        <w:outlineLvl w:val="1"/>
        <w:rPr>
          <w:rStyle w:val="34"/>
          <w:rFonts w:ascii="黑体" w:hAnsi="黑体" w:eastAsia="黑体"/>
          <w:b w:val="0"/>
        </w:rPr>
      </w:pPr>
      <w:bookmarkStart w:id="31" w:name="_Toc8871"/>
      <w:bookmarkStart w:id="32" w:name="_Toc15377206"/>
      <w:bookmarkStart w:id="33" w:name="_Toc15396604"/>
      <w:r>
        <w:rPr>
          <w:rFonts w:hint="eastAsia" w:ascii="黑体" w:hAnsi="黑体" w:eastAsia="黑体"/>
          <w:color w:val="000000"/>
          <w:sz w:val="32"/>
          <w:szCs w:val="32"/>
        </w:rPr>
        <w:t>收</w:t>
      </w:r>
      <w:r>
        <w:rPr>
          <w:rStyle w:val="34"/>
          <w:rFonts w:hint="eastAsia" w:ascii="黑体" w:hAnsi="黑体" w:eastAsia="黑体"/>
          <w:b w:val="0"/>
        </w:rPr>
        <w:t>入决算情况说明</w:t>
      </w:r>
      <w:bookmarkEnd w:id="31"/>
      <w:bookmarkEnd w:id="32"/>
      <w:bookmarkEnd w:id="3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2020年本年收入合计</w:t>
      </w:r>
      <w:r>
        <w:rPr>
          <w:rFonts w:hint="eastAsia" w:ascii="仿宋" w:hAnsi="仿宋" w:eastAsia="仿宋" w:cs="仿宋"/>
          <w:sz w:val="32"/>
          <w:szCs w:val="32"/>
          <w:lang w:val="en-US" w:eastAsia="zh-CN"/>
        </w:rPr>
        <w:t>171.24</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171.24</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%；政府性基金预算财政拨款收入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39"/>
        <w:numPr>
          <w:ilvl w:val="0"/>
          <w:numId w:val="1"/>
        </w:numPr>
        <w:spacing w:line="600" w:lineRule="exact"/>
        <w:ind w:firstLineChars="0"/>
        <w:outlineLvl w:val="1"/>
        <w:rPr>
          <w:rStyle w:val="34"/>
          <w:rFonts w:ascii="黑体" w:hAnsi="黑体" w:eastAsia="黑体"/>
          <w:b w:val="0"/>
        </w:rPr>
      </w:pPr>
      <w:bookmarkStart w:id="34" w:name="_Toc15866"/>
      <w:bookmarkStart w:id="35" w:name="_Toc15396605"/>
      <w:bookmarkStart w:id="36" w:name="_Toc15377207"/>
      <w:r>
        <w:rPr>
          <w:rFonts w:hint="eastAsia" w:ascii="黑体" w:hAnsi="黑体" w:eastAsia="黑体"/>
          <w:color w:val="000000"/>
          <w:sz w:val="32"/>
          <w:szCs w:val="32"/>
        </w:rPr>
        <w:t>支</w:t>
      </w:r>
      <w:r>
        <w:rPr>
          <w:rStyle w:val="34"/>
          <w:rFonts w:hint="eastAsia" w:ascii="黑体" w:hAnsi="黑体" w:eastAsia="黑体"/>
          <w:b w:val="0"/>
        </w:rPr>
        <w:t>出决算情况说明</w:t>
      </w:r>
      <w:bookmarkEnd w:id="34"/>
      <w:bookmarkEnd w:id="35"/>
      <w:bookmarkEnd w:id="3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2020年本年支出合计</w:t>
      </w:r>
      <w:r>
        <w:rPr>
          <w:rFonts w:hint="eastAsia" w:ascii="仿宋" w:hAnsi="仿宋" w:eastAsia="仿宋" w:cs="仿宋"/>
          <w:sz w:val="32"/>
          <w:szCs w:val="32"/>
          <w:lang w:val="en-US" w:eastAsia="zh-CN"/>
        </w:rPr>
        <w:t>171.24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120.48</w:t>
      </w:r>
      <w:r>
        <w:rPr>
          <w:rFonts w:hint="eastAsia" w:ascii="仿宋" w:hAnsi="仿宋" w:eastAsia="仿宋" w:cs="仿宋"/>
          <w:sz w:val="32"/>
          <w:szCs w:val="32"/>
        </w:rPr>
        <w:t>万元，占</w:t>
      </w:r>
      <w:r>
        <w:rPr>
          <w:rFonts w:hint="eastAsia" w:ascii="仿宋" w:hAnsi="仿宋" w:eastAsia="仿宋" w:cs="仿宋"/>
          <w:sz w:val="32"/>
          <w:szCs w:val="32"/>
          <w:lang w:val="en-US" w:eastAsia="zh-CN"/>
        </w:rPr>
        <w:t>70.35</w:t>
      </w:r>
      <w:r>
        <w:rPr>
          <w:rFonts w:hint="eastAsia" w:ascii="仿宋" w:hAnsi="仿宋" w:eastAsia="仿宋" w:cs="仿宋"/>
          <w:sz w:val="32"/>
          <w:szCs w:val="32"/>
        </w:rPr>
        <w:t>%；项目支出</w:t>
      </w:r>
      <w:r>
        <w:rPr>
          <w:rFonts w:hint="eastAsia" w:ascii="仿宋" w:hAnsi="仿宋" w:eastAsia="仿宋" w:cs="仿宋"/>
          <w:sz w:val="32"/>
          <w:szCs w:val="32"/>
          <w:lang w:val="en-US" w:eastAsia="zh-CN"/>
        </w:rPr>
        <w:t>50.76</w:t>
      </w:r>
      <w:r>
        <w:rPr>
          <w:rFonts w:hint="eastAsia" w:ascii="仿宋" w:hAnsi="仿宋" w:eastAsia="仿宋" w:cs="仿宋"/>
          <w:sz w:val="32"/>
          <w:szCs w:val="32"/>
        </w:rPr>
        <w:t>万元，占</w:t>
      </w:r>
      <w:r>
        <w:rPr>
          <w:rFonts w:hint="eastAsia" w:ascii="仿宋" w:hAnsi="仿宋" w:eastAsia="仿宋" w:cs="仿宋"/>
          <w:sz w:val="32"/>
          <w:szCs w:val="32"/>
          <w:lang w:val="en-US" w:eastAsia="zh-CN"/>
        </w:rPr>
        <w:t>29.64</w:t>
      </w: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spacing w:line="600" w:lineRule="exact"/>
        <w:ind w:firstLine="640" w:firstLineChars="200"/>
        <w:outlineLvl w:val="1"/>
        <w:rPr>
          <w:rStyle w:val="34"/>
          <w:rFonts w:ascii="黑体" w:hAnsi="黑体" w:eastAsia="黑体"/>
          <w:b w:val="0"/>
        </w:rPr>
      </w:pPr>
      <w:bookmarkStart w:id="37" w:name="_Toc15396606"/>
      <w:bookmarkStart w:id="38" w:name="_Toc25738"/>
      <w:bookmarkStart w:id="39" w:name="_Toc15377208"/>
      <w:r>
        <w:rPr>
          <w:rFonts w:hint="eastAsia" w:ascii="黑体" w:hAnsi="黑体" w:eastAsia="黑体"/>
          <w:color w:val="000000"/>
          <w:sz w:val="32"/>
          <w:szCs w:val="32"/>
        </w:rPr>
        <w:t>四、财</w:t>
      </w:r>
      <w:r>
        <w:rPr>
          <w:rStyle w:val="34"/>
          <w:rFonts w:hint="eastAsia" w:ascii="黑体" w:hAnsi="黑体" w:eastAsia="黑体"/>
          <w:b w:val="0"/>
        </w:rPr>
        <w:t>政拨款收入支出决算总体情况说明</w:t>
      </w:r>
      <w:bookmarkEnd w:id="37"/>
      <w:bookmarkEnd w:id="38"/>
      <w:bookmarkEnd w:id="39"/>
    </w:p>
    <w:p>
      <w:pPr>
        <w:spacing w:line="600" w:lineRule="exact"/>
        <w:ind w:firstLine="64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171.24</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57.67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50.78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人员增加。</w:t>
      </w:r>
    </w:p>
    <w:p>
      <w:pPr>
        <w:spacing w:line="600" w:lineRule="exact"/>
        <w:ind w:firstLine="640" w:firstLineChars="200"/>
        <w:outlineLvl w:val="1"/>
        <w:rPr>
          <w:rStyle w:val="34"/>
          <w:rFonts w:ascii="黑体" w:hAnsi="黑体" w:eastAsia="黑体"/>
          <w:b w:val="0"/>
        </w:rPr>
      </w:pPr>
      <w:bookmarkStart w:id="40" w:name="_Toc11379"/>
      <w:bookmarkStart w:id="41" w:name="_Toc15377209"/>
      <w:bookmarkStart w:id="42"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34"/>
          <w:rFonts w:hint="eastAsia" w:ascii="黑体" w:hAnsi="黑体" w:eastAsia="黑体"/>
          <w:b w:val="0"/>
        </w:rPr>
        <w:t>般公共预算财政拨款支出决算情况说明</w:t>
      </w:r>
      <w:bookmarkEnd w:id="40"/>
      <w:bookmarkEnd w:id="41"/>
      <w:bookmarkEnd w:id="42"/>
    </w:p>
    <w:p>
      <w:pPr>
        <w:spacing w:line="600" w:lineRule="exact"/>
        <w:ind w:firstLine="643" w:firstLineChars="200"/>
        <w:outlineLvl w:val="2"/>
        <w:rPr>
          <w:rFonts w:ascii="仿宋" w:hAnsi="仿宋" w:eastAsia="仿宋"/>
          <w:b/>
          <w:color w:val="000000"/>
          <w:sz w:val="32"/>
          <w:szCs w:val="32"/>
        </w:rPr>
      </w:pPr>
      <w:bookmarkStart w:id="43" w:name="_Toc15377210"/>
      <w:bookmarkStart w:id="44" w:name="_Toc29275"/>
      <w:r>
        <w:rPr>
          <w:rFonts w:hint="eastAsia" w:ascii="仿宋" w:hAnsi="仿宋" w:eastAsia="仿宋"/>
          <w:b/>
          <w:color w:val="000000"/>
          <w:sz w:val="32"/>
          <w:szCs w:val="32"/>
        </w:rPr>
        <w:t>（一）一般公共预算财政拨款支出决算总体情况</w:t>
      </w:r>
      <w:bookmarkEnd w:id="43"/>
      <w:bookmarkEnd w:id="44"/>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171.24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57.67</w:t>
      </w:r>
      <w:r>
        <w:rPr>
          <w:rFonts w:hint="eastAsia" w:ascii="仿宋" w:hAnsi="仿宋" w:eastAsia="仿宋"/>
          <w:color w:val="000000"/>
          <w:sz w:val="32"/>
          <w:szCs w:val="32"/>
        </w:rPr>
        <w:t>元，增长</w:t>
      </w:r>
      <w:r>
        <w:rPr>
          <w:rFonts w:hint="eastAsia" w:ascii="仿宋" w:hAnsi="仿宋" w:eastAsia="仿宋"/>
          <w:color w:val="000000"/>
          <w:sz w:val="32"/>
          <w:szCs w:val="32"/>
          <w:lang w:val="en-US" w:eastAsia="zh-CN"/>
        </w:rPr>
        <w:t>50.78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人员增加。</w:t>
      </w:r>
    </w:p>
    <w:p>
      <w:pPr>
        <w:spacing w:line="600" w:lineRule="exact"/>
        <w:ind w:firstLine="643" w:firstLineChars="200"/>
        <w:outlineLvl w:val="2"/>
        <w:rPr>
          <w:rFonts w:ascii="仿宋" w:hAnsi="仿宋" w:eastAsia="仿宋"/>
          <w:b/>
          <w:color w:val="000000"/>
          <w:sz w:val="32"/>
          <w:szCs w:val="32"/>
        </w:rPr>
      </w:pPr>
      <w:bookmarkStart w:id="45" w:name="_Toc5736"/>
      <w:bookmarkStart w:id="46" w:name="_Toc15377211"/>
      <w:r>
        <w:rPr>
          <w:rFonts w:hint="eastAsia" w:ascii="仿宋" w:hAnsi="仿宋" w:eastAsia="仿宋"/>
          <w:b/>
          <w:color w:val="000000"/>
          <w:sz w:val="32"/>
          <w:szCs w:val="32"/>
        </w:rPr>
        <w:t>（二）一般公共预算财政拨款支出决算结构情况</w:t>
      </w:r>
      <w:bookmarkEnd w:id="45"/>
      <w:bookmarkEnd w:id="46"/>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171.24</w:t>
      </w:r>
      <w:r>
        <w:rPr>
          <w:rFonts w:hint="eastAsia" w:ascii="仿宋" w:hAnsi="仿宋" w:eastAsia="仿宋"/>
          <w:color w:val="000000"/>
          <w:sz w:val="32"/>
          <w:szCs w:val="32"/>
        </w:rPr>
        <w:t>万元，主要用于以下方面</w:t>
      </w:r>
      <w:r>
        <w:rPr>
          <w:rFonts w:hint="eastAsia" w:ascii="仿宋" w:hAnsi="仿宋" w:eastAsia="仿宋"/>
          <w:color w:val="000000"/>
          <w:sz w:val="32"/>
          <w:szCs w:val="32"/>
          <w:lang w:eastAsia="zh-CN"/>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lang w:val="en-US" w:eastAsia="zh-CN"/>
        </w:rPr>
        <w:t>行政事业单位医疗</w:t>
      </w:r>
      <w:r>
        <w:rPr>
          <w:rFonts w:hint="eastAsia" w:ascii="仿宋" w:hAnsi="仿宋" w:eastAsia="仿宋"/>
          <w:b/>
          <w:color w:val="000000"/>
          <w:sz w:val="32"/>
          <w:szCs w:val="32"/>
        </w:rPr>
        <w:t>（类）</w:t>
      </w:r>
      <w:r>
        <w:rPr>
          <w:rFonts w:hint="eastAsia" w:ascii="仿宋" w:hAnsi="仿宋" w:eastAsia="仿宋"/>
          <w:b/>
          <w:color w:val="000000"/>
          <w:sz w:val="32"/>
          <w:szCs w:val="32"/>
          <w:lang w:val="en-US" w:eastAsia="zh-CN"/>
        </w:rPr>
        <w:t>5.42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lang w:val="en-US" w:eastAsia="zh-CN"/>
        </w:rPr>
        <w:t>农林水支出</w:t>
      </w:r>
      <w:r>
        <w:rPr>
          <w:rFonts w:hint="eastAsia" w:ascii="仿宋" w:hAnsi="仿宋" w:eastAsia="仿宋"/>
          <w:b/>
          <w:color w:val="000000"/>
          <w:sz w:val="32"/>
          <w:szCs w:val="32"/>
        </w:rPr>
        <w:t>（类）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lang w:val="en-US" w:eastAsia="zh-CN"/>
        </w:rPr>
        <w:t>资源勘探工业信息等支出</w:t>
      </w:r>
      <w:r>
        <w:rPr>
          <w:rFonts w:hint="eastAsia" w:ascii="仿宋" w:hAnsi="仿宋" w:eastAsia="仿宋"/>
          <w:b/>
          <w:bCs/>
          <w:color w:val="000000"/>
          <w:sz w:val="32"/>
          <w:szCs w:val="32"/>
        </w:rPr>
        <w:t>（类）支出万元，占</w:t>
      </w:r>
      <w:r>
        <w:rPr>
          <w:rFonts w:hint="eastAsia" w:ascii="仿宋" w:hAnsi="仿宋" w:eastAsia="仿宋"/>
          <w:b/>
          <w:bCs/>
          <w:color w:val="000000"/>
          <w:sz w:val="32"/>
          <w:szCs w:val="32"/>
          <w:lang w:val="en-US" w:eastAsia="zh-CN"/>
        </w:rPr>
        <w:t>82.09</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9.65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5.64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b/>
          <w:bCs/>
          <w:color w:val="000000"/>
          <w:sz w:val="32"/>
          <w:szCs w:val="32"/>
          <w:lang w:val="en-US" w:eastAsia="zh-CN"/>
        </w:rPr>
        <w:t>5.68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3.32</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7.24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4.23</w:t>
      </w:r>
      <w:r>
        <w:rPr>
          <w:rFonts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47" w:name="_Toc7397"/>
      <w:bookmarkStart w:id="48" w:name="_Toc15377212"/>
      <w:r>
        <w:rPr>
          <w:rFonts w:hint="eastAsia" w:ascii="仿宋" w:hAnsi="仿宋" w:eastAsia="仿宋"/>
          <w:b/>
          <w:color w:val="000000"/>
          <w:sz w:val="32"/>
          <w:szCs w:val="32"/>
        </w:rPr>
        <w:t>（三）一般公共预算财政拨款支出决算具体情况</w:t>
      </w:r>
      <w:bookmarkEnd w:id="47"/>
      <w:bookmarkEnd w:id="4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49" w:name="_Toc15378460"/>
      <w:bookmarkStart w:id="50" w:name="_Toc15377213"/>
      <w:bookmarkStart w:id="51" w:name="_Toc15377444"/>
      <w:r>
        <w:rPr>
          <w:rFonts w:hint="eastAsia" w:ascii="仿宋" w:hAnsi="仿宋" w:eastAsia="仿宋" w:cs="仿宋"/>
          <w:sz w:val="32"/>
          <w:szCs w:val="32"/>
        </w:rPr>
        <w:t>2020年一般公共预算支出决算数为</w:t>
      </w:r>
      <w:r>
        <w:rPr>
          <w:rFonts w:hint="eastAsia" w:ascii="仿宋" w:hAnsi="仿宋" w:eastAsia="仿宋" w:cs="仿宋"/>
          <w:sz w:val="32"/>
          <w:szCs w:val="32"/>
          <w:lang w:val="en-US" w:eastAsia="zh-CN"/>
        </w:rPr>
        <w:t>171.24</w:t>
      </w:r>
      <w:r>
        <w:rPr>
          <w:rFonts w:hint="eastAsia" w:ascii="仿宋" w:hAnsi="仿宋" w:eastAsia="仿宋" w:cs="仿宋"/>
          <w:sz w:val="32"/>
          <w:szCs w:val="32"/>
        </w:rPr>
        <w:t>，完成预算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%。其中：</w:t>
      </w:r>
      <w:bookmarkEnd w:id="49"/>
      <w:bookmarkEnd w:id="50"/>
      <w:bookmarkEnd w:id="5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1.一般公共服务（类）</w:t>
      </w:r>
      <w:r>
        <w:rPr>
          <w:rFonts w:hint="eastAsia" w:ascii="仿宋" w:hAnsi="仿宋" w:eastAsia="仿宋" w:cs="仿宋"/>
          <w:sz w:val="32"/>
          <w:szCs w:val="32"/>
          <w:lang w:val="en-US" w:eastAsia="zh-CN"/>
        </w:rPr>
        <w:t>人力资源事务</w:t>
      </w:r>
      <w:r>
        <w:rPr>
          <w:rFonts w:hint="eastAsia" w:ascii="仿宋" w:hAnsi="仿宋" w:eastAsia="仿宋" w:cs="仿宋"/>
          <w:sz w:val="32"/>
          <w:szCs w:val="32"/>
        </w:rPr>
        <w:t>（款）</w:t>
      </w:r>
      <w:r>
        <w:rPr>
          <w:rFonts w:hint="eastAsia" w:ascii="仿宋" w:hAnsi="仿宋" w:eastAsia="仿宋" w:cs="仿宋"/>
          <w:sz w:val="32"/>
          <w:szCs w:val="32"/>
          <w:lang w:val="en-US" w:eastAsia="zh-CN"/>
        </w:rPr>
        <w:t>引进人才费用</w:t>
      </w:r>
      <w:r>
        <w:rPr>
          <w:rFonts w:hint="eastAsia" w:ascii="仿宋" w:hAnsi="仿宋" w:eastAsia="仿宋" w:cs="仿宋"/>
          <w:sz w:val="32"/>
          <w:szCs w:val="32"/>
        </w:rPr>
        <w:t>（项）: 支出决算为</w:t>
      </w:r>
      <w:r>
        <w:rPr>
          <w:rFonts w:hint="eastAsia" w:ascii="仿宋" w:hAnsi="仿宋" w:eastAsia="仿宋" w:cs="仿宋"/>
          <w:sz w:val="32"/>
          <w:szCs w:val="32"/>
          <w:lang w:val="en-US" w:eastAsia="zh-CN"/>
        </w:rPr>
        <w:t>2.5</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2.5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val="en-US"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val="en-US" w:eastAsia="zh-CN"/>
        </w:rPr>
        <w:t>行政单位医疗</w:t>
      </w:r>
      <w:r>
        <w:rPr>
          <w:rFonts w:hint="eastAsia" w:ascii="仿宋" w:hAnsi="仿宋" w:eastAsia="仿宋" w:cs="仿宋"/>
          <w:sz w:val="32"/>
          <w:szCs w:val="32"/>
        </w:rPr>
        <w:t>（项）: 支出决算为</w:t>
      </w:r>
      <w:r>
        <w:rPr>
          <w:rFonts w:hint="eastAsia" w:ascii="仿宋" w:hAnsi="仿宋" w:eastAsia="仿宋" w:cs="仿宋"/>
          <w:sz w:val="32"/>
          <w:szCs w:val="32"/>
          <w:lang w:val="en-US" w:eastAsia="zh-CN"/>
        </w:rPr>
        <w:t>0.67</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val="en-US"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val="en-US" w:eastAsia="zh-CN"/>
        </w:rPr>
        <w:t>事业单位医疗</w:t>
      </w:r>
      <w:r>
        <w:rPr>
          <w:rFonts w:hint="eastAsia" w:ascii="仿宋" w:hAnsi="仿宋" w:eastAsia="仿宋" w:cs="仿宋"/>
          <w:sz w:val="32"/>
          <w:szCs w:val="32"/>
        </w:rPr>
        <w:t>（项）: 支出决算为</w:t>
      </w:r>
      <w:r>
        <w:rPr>
          <w:rFonts w:hint="eastAsia" w:ascii="仿宋" w:hAnsi="仿宋" w:eastAsia="仿宋" w:cs="仿宋"/>
          <w:sz w:val="32"/>
          <w:szCs w:val="32"/>
          <w:lang w:val="en-US" w:eastAsia="zh-CN"/>
        </w:rPr>
        <w:t>4.58</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val="en-US"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val="en-US" w:eastAsia="zh-CN"/>
        </w:rPr>
        <w:t>公务员医疗补助</w:t>
      </w:r>
      <w:r>
        <w:rPr>
          <w:rFonts w:hint="eastAsia" w:ascii="仿宋" w:hAnsi="仿宋" w:eastAsia="仿宋" w:cs="仿宋"/>
          <w:sz w:val="32"/>
          <w:szCs w:val="32"/>
        </w:rPr>
        <w:t>（项）: 支出决算为</w:t>
      </w:r>
      <w:r>
        <w:rPr>
          <w:rFonts w:hint="eastAsia" w:ascii="仿宋" w:hAnsi="仿宋" w:eastAsia="仿宋" w:cs="仿宋"/>
          <w:sz w:val="32"/>
          <w:szCs w:val="32"/>
          <w:lang w:val="en-US" w:eastAsia="zh-CN"/>
        </w:rPr>
        <w:t>0.16</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.卫生健康（类）</w:t>
      </w:r>
      <w:r>
        <w:rPr>
          <w:rFonts w:hint="eastAsia" w:ascii="仿宋" w:hAnsi="仿宋" w:eastAsia="仿宋" w:cs="仿宋"/>
          <w:sz w:val="32"/>
          <w:szCs w:val="32"/>
          <w:lang w:val="en-US" w:eastAsia="zh-CN"/>
        </w:rPr>
        <w:t>公共卫生</w:t>
      </w:r>
      <w:r>
        <w:rPr>
          <w:rFonts w:hint="eastAsia" w:ascii="仿宋" w:hAnsi="仿宋" w:eastAsia="仿宋" w:cs="仿宋"/>
          <w:sz w:val="32"/>
          <w:szCs w:val="32"/>
        </w:rPr>
        <w:t>（款）</w:t>
      </w:r>
      <w:r>
        <w:rPr>
          <w:rFonts w:hint="eastAsia" w:ascii="仿宋" w:hAnsi="仿宋" w:eastAsia="仿宋" w:cs="仿宋"/>
          <w:sz w:val="32"/>
          <w:szCs w:val="32"/>
          <w:lang w:val="en-US" w:eastAsia="zh-CN"/>
        </w:rPr>
        <w:t>其他公共卫生支出</w:t>
      </w:r>
      <w:r>
        <w:rPr>
          <w:rFonts w:hint="eastAsia" w:ascii="仿宋" w:hAnsi="仿宋" w:eastAsia="仿宋" w:cs="仿宋"/>
          <w:sz w:val="32"/>
          <w:szCs w:val="32"/>
        </w:rPr>
        <w:t>（项）:支出决算为</w:t>
      </w:r>
      <w:r>
        <w:rPr>
          <w:rFonts w:hint="eastAsia" w:ascii="仿宋" w:hAnsi="仿宋" w:eastAsia="仿宋" w:cs="仿宋"/>
          <w:sz w:val="32"/>
          <w:szCs w:val="32"/>
          <w:lang w:val="en-US" w:eastAsia="zh-CN"/>
        </w:rPr>
        <w:t>0.26</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.社会保障和就业（类）</w:t>
      </w:r>
      <w:r>
        <w:rPr>
          <w:rFonts w:hint="eastAsia" w:ascii="仿宋" w:hAnsi="仿宋" w:eastAsia="仿宋" w:cs="仿宋"/>
          <w:sz w:val="32"/>
          <w:szCs w:val="32"/>
          <w:lang w:val="en-US" w:eastAsia="zh-CN"/>
        </w:rPr>
        <w:t>行政事业单位养老支出</w:t>
      </w:r>
      <w:r>
        <w:rPr>
          <w:rFonts w:hint="eastAsia" w:ascii="仿宋" w:hAnsi="仿宋" w:eastAsia="仿宋" w:cs="仿宋"/>
          <w:sz w:val="32"/>
          <w:szCs w:val="32"/>
        </w:rPr>
        <w:t>（款）</w:t>
      </w:r>
      <w:r>
        <w:rPr>
          <w:rFonts w:hint="eastAsia" w:ascii="仿宋" w:hAnsi="仿宋" w:eastAsia="仿宋" w:cs="仿宋"/>
          <w:sz w:val="32"/>
          <w:szCs w:val="32"/>
          <w:lang w:val="en-US" w:eastAsia="zh-CN"/>
        </w:rPr>
        <w:t>机关事业单位基本养老保险缴费支出</w:t>
      </w:r>
      <w:r>
        <w:rPr>
          <w:rFonts w:hint="eastAsia" w:ascii="仿宋" w:hAnsi="仿宋" w:eastAsia="仿宋" w:cs="仿宋"/>
          <w:sz w:val="32"/>
          <w:szCs w:val="32"/>
        </w:rPr>
        <w:t>（项）: 支出决算为</w:t>
      </w:r>
      <w:r>
        <w:rPr>
          <w:rFonts w:hint="eastAsia" w:ascii="仿宋" w:hAnsi="仿宋" w:eastAsia="仿宋" w:cs="仿宋"/>
          <w:sz w:val="32"/>
          <w:szCs w:val="32"/>
          <w:lang w:val="en-US" w:eastAsia="zh-CN"/>
        </w:rPr>
        <w:t>9.65</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农林水支出</w:t>
      </w:r>
      <w:r>
        <w:rPr>
          <w:rFonts w:hint="eastAsia" w:ascii="仿宋" w:hAnsi="仿宋" w:eastAsia="仿宋" w:cs="仿宋"/>
          <w:sz w:val="32"/>
          <w:szCs w:val="32"/>
        </w:rPr>
        <w:t>（类）</w:t>
      </w:r>
      <w:r>
        <w:rPr>
          <w:rFonts w:hint="eastAsia" w:ascii="仿宋" w:hAnsi="仿宋" w:eastAsia="仿宋" w:cs="仿宋"/>
          <w:sz w:val="32"/>
          <w:szCs w:val="32"/>
          <w:lang w:val="en-US" w:eastAsia="zh-CN"/>
        </w:rPr>
        <w:t>扶贫</w:t>
      </w:r>
      <w:r>
        <w:rPr>
          <w:rFonts w:hint="eastAsia" w:ascii="仿宋" w:hAnsi="仿宋" w:eastAsia="仿宋" w:cs="仿宋"/>
          <w:sz w:val="32"/>
          <w:szCs w:val="32"/>
        </w:rPr>
        <w:t>（款）</w:t>
      </w:r>
      <w:r>
        <w:rPr>
          <w:rFonts w:hint="eastAsia" w:ascii="仿宋" w:hAnsi="仿宋" w:eastAsia="仿宋" w:cs="仿宋"/>
          <w:sz w:val="32"/>
          <w:szCs w:val="32"/>
          <w:lang w:val="en-US" w:eastAsia="zh-CN"/>
        </w:rPr>
        <w:t>其他扶贫支出</w:t>
      </w:r>
      <w:r>
        <w:rPr>
          <w:rFonts w:hint="eastAsia" w:ascii="仿宋" w:hAnsi="仿宋" w:eastAsia="仿宋" w:cs="仿宋"/>
          <w:sz w:val="32"/>
          <w:szCs w:val="32"/>
        </w:rPr>
        <w:t>（项）: 支出决算为</w:t>
      </w:r>
      <w:r>
        <w:rPr>
          <w:rFonts w:hint="eastAsia" w:ascii="仿宋" w:hAnsi="仿宋" w:eastAsia="仿宋" w:cs="仿宋"/>
          <w:sz w:val="32"/>
          <w:szCs w:val="32"/>
          <w:lang w:val="en-US" w:eastAsia="zh-CN"/>
        </w:rPr>
        <w:t>5.6</w:t>
      </w:r>
      <w:r>
        <w:rPr>
          <w:rFonts w:hint="eastAsia" w:ascii="仿宋" w:hAnsi="仿宋" w:eastAsia="仿宋" w:cs="仿宋"/>
          <w:sz w:val="32"/>
          <w:szCs w:val="32"/>
        </w:rPr>
        <w:t>万元，完成预</w:t>
      </w:r>
      <w:r>
        <w:rPr>
          <w:rFonts w:hint="eastAsia" w:ascii="仿宋" w:hAnsi="仿宋" w:eastAsia="仿宋" w:cs="仿宋"/>
          <w:sz w:val="32"/>
          <w:szCs w:val="32"/>
          <w:lang w:val="en-US" w:eastAsia="zh-CN"/>
        </w:rPr>
        <w:t>算100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资源勘探工业信息等支出</w:t>
      </w:r>
      <w:r>
        <w:rPr>
          <w:rFonts w:hint="eastAsia" w:ascii="仿宋" w:hAnsi="仿宋" w:eastAsia="仿宋" w:cs="仿宋"/>
          <w:sz w:val="32"/>
          <w:szCs w:val="32"/>
        </w:rPr>
        <w:t>（类）</w:t>
      </w:r>
      <w:r>
        <w:rPr>
          <w:rFonts w:hint="eastAsia" w:ascii="仿宋" w:hAnsi="仿宋" w:eastAsia="仿宋" w:cs="仿宋"/>
          <w:sz w:val="32"/>
          <w:szCs w:val="32"/>
          <w:lang w:val="en-US" w:eastAsia="zh-CN"/>
        </w:rPr>
        <w:t>国有资产监督</w:t>
      </w:r>
      <w:r>
        <w:rPr>
          <w:rFonts w:hint="eastAsia" w:ascii="仿宋" w:hAnsi="仿宋" w:eastAsia="仿宋" w:cs="仿宋"/>
          <w:sz w:val="32"/>
          <w:szCs w:val="32"/>
        </w:rPr>
        <w:t>（款）</w:t>
      </w:r>
      <w:r>
        <w:rPr>
          <w:rFonts w:hint="eastAsia" w:ascii="仿宋" w:hAnsi="仿宋" w:eastAsia="仿宋" w:cs="仿宋"/>
          <w:sz w:val="32"/>
          <w:szCs w:val="32"/>
          <w:lang w:val="en-US" w:eastAsia="zh-CN"/>
        </w:rPr>
        <w:t>行政运行</w:t>
      </w:r>
      <w:r>
        <w:rPr>
          <w:rFonts w:hint="eastAsia" w:ascii="仿宋" w:hAnsi="仿宋" w:eastAsia="仿宋" w:cs="仿宋"/>
          <w:sz w:val="32"/>
          <w:szCs w:val="32"/>
        </w:rPr>
        <w:t>（项）: 支出决算为</w:t>
      </w:r>
      <w:r>
        <w:rPr>
          <w:rFonts w:hint="eastAsia" w:ascii="仿宋" w:hAnsi="仿宋" w:eastAsia="仿宋" w:cs="仿宋"/>
          <w:sz w:val="32"/>
          <w:szCs w:val="32"/>
          <w:lang w:val="en-US" w:eastAsia="zh-CN"/>
        </w:rPr>
        <w:t>98.18</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资源勘探工业信息等支出</w:t>
      </w:r>
      <w:r>
        <w:rPr>
          <w:rFonts w:hint="eastAsia" w:ascii="仿宋" w:hAnsi="仿宋" w:eastAsia="仿宋" w:cs="仿宋"/>
          <w:sz w:val="32"/>
          <w:szCs w:val="32"/>
        </w:rPr>
        <w:t>（类）</w:t>
      </w:r>
      <w:r>
        <w:rPr>
          <w:rFonts w:hint="eastAsia" w:ascii="仿宋" w:hAnsi="仿宋" w:eastAsia="仿宋" w:cs="仿宋"/>
          <w:sz w:val="32"/>
          <w:szCs w:val="32"/>
          <w:lang w:val="en-US" w:eastAsia="zh-CN"/>
        </w:rPr>
        <w:t>国有资产监督</w:t>
      </w:r>
      <w:r>
        <w:rPr>
          <w:rFonts w:hint="eastAsia" w:ascii="仿宋" w:hAnsi="仿宋" w:eastAsia="仿宋" w:cs="仿宋"/>
          <w:sz w:val="32"/>
          <w:szCs w:val="32"/>
        </w:rPr>
        <w:t>（款）</w:t>
      </w:r>
      <w:r>
        <w:rPr>
          <w:rFonts w:hint="eastAsia" w:ascii="仿宋" w:hAnsi="仿宋" w:eastAsia="仿宋" w:cs="仿宋"/>
          <w:sz w:val="32"/>
          <w:szCs w:val="32"/>
          <w:lang w:val="en-US" w:eastAsia="zh-CN"/>
        </w:rPr>
        <w:t>一般行政管理事务</w:t>
      </w:r>
      <w:r>
        <w:rPr>
          <w:rFonts w:hint="eastAsia" w:ascii="仿宋" w:hAnsi="仿宋" w:eastAsia="仿宋" w:cs="仿宋"/>
          <w:sz w:val="32"/>
          <w:szCs w:val="32"/>
        </w:rPr>
        <w:t>（项）: 支出决算为</w:t>
      </w:r>
      <w:r>
        <w:rPr>
          <w:rFonts w:hint="eastAsia" w:ascii="仿宋" w:hAnsi="仿宋" w:eastAsia="仿宋" w:cs="仿宋"/>
          <w:sz w:val="32"/>
          <w:szCs w:val="32"/>
          <w:lang w:val="en-US" w:eastAsia="zh-CN"/>
        </w:rPr>
        <w:t>42.40</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val="en-US" w:eastAsia="zh-CN"/>
        </w:rPr>
        <w:t>住房保障支出</w:t>
      </w:r>
      <w:r>
        <w:rPr>
          <w:rFonts w:hint="eastAsia" w:ascii="仿宋" w:hAnsi="仿宋" w:eastAsia="仿宋" w:cs="仿宋"/>
          <w:sz w:val="32"/>
          <w:szCs w:val="32"/>
        </w:rPr>
        <w:t>（类）</w:t>
      </w:r>
      <w:r>
        <w:rPr>
          <w:rFonts w:hint="eastAsia" w:ascii="仿宋" w:hAnsi="仿宋" w:eastAsia="仿宋" w:cs="仿宋"/>
          <w:sz w:val="32"/>
          <w:szCs w:val="32"/>
          <w:lang w:val="en-US" w:eastAsia="zh-CN"/>
        </w:rPr>
        <w:t>住房改革支出</w:t>
      </w:r>
      <w:r>
        <w:rPr>
          <w:rFonts w:hint="eastAsia" w:ascii="仿宋" w:hAnsi="仿宋" w:eastAsia="仿宋" w:cs="仿宋"/>
          <w:sz w:val="32"/>
          <w:szCs w:val="32"/>
        </w:rPr>
        <w:t>（款）</w:t>
      </w:r>
      <w:r>
        <w:rPr>
          <w:rFonts w:hint="eastAsia" w:ascii="仿宋" w:hAnsi="仿宋" w:eastAsia="仿宋" w:cs="仿宋"/>
          <w:sz w:val="32"/>
          <w:szCs w:val="32"/>
          <w:lang w:val="en-US" w:eastAsia="zh-CN"/>
        </w:rPr>
        <w:t>住房公积金</w:t>
      </w:r>
      <w:r>
        <w:rPr>
          <w:rFonts w:hint="eastAsia" w:ascii="仿宋" w:hAnsi="仿宋" w:eastAsia="仿宋" w:cs="仿宋"/>
          <w:sz w:val="32"/>
          <w:szCs w:val="32"/>
        </w:rPr>
        <w:t>（项）: 支出决算为</w:t>
      </w:r>
      <w:r>
        <w:rPr>
          <w:rFonts w:hint="eastAsia" w:ascii="仿宋" w:hAnsi="仿宋" w:eastAsia="仿宋" w:cs="仿宋"/>
          <w:sz w:val="32"/>
          <w:szCs w:val="32"/>
          <w:lang w:val="en-US" w:eastAsia="zh-CN"/>
        </w:rPr>
        <w:t>7.24</w:t>
      </w:r>
      <w:r>
        <w:rPr>
          <w:rFonts w:hint="eastAsia" w:ascii="仿宋" w:hAnsi="仿宋" w:eastAsia="仿宋" w:cs="仿宋"/>
          <w:sz w:val="32"/>
          <w:szCs w:val="32"/>
        </w:rPr>
        <w:t>万元，完成预算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tabs>
          <w:tab w:val="right" w:pos="8306"/>
        </w:tabs>
        <w:spacing w:line="600" w:lineRule="exact"/>
        <w:ind w:firstLine="640"/>
        <w:outlineLvl w:val="1"/>
      </w:pPr>
      <w:bookmarkStart w:id="52" w:name="_Toc15377214"/>
      <w:bookmarkStart w:id="53" w:name="_Toc30132"/>
      <w:bookmarkStart w:id="54"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34"/>
          <w:rFonts w:hint="eastAsia" w:ascii="黑体" w:hAnsi="黑体" w:eastAsia="黑体"/>
          <w:b w:val="0"/>
        </w:rPr>
        <w:t>般公共预算财政拨款基本支出决算情况说明</w:t>
      </w:r>
      <w:bookmarkEnd w:id="52"/>
      <w:bookmarkEnd w:id="53"/>
      <w:bookmarkEnd w:id="54"/>
      <w:r>
        <w:rPr>
          <w:rStyle w:val="34"/>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171.24</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110.48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pageBreakBefore w:val="0"/>
        <w:kinsoku/>
        <w:wordWrap/>
        <w:overflowPunct/>
        <w:topLinePunct w:val="0"/>
        <w:bidi w:val="0"/>
        <w:spacing w:line="560" w:lineRule="exact"/>
        <w:ind w:firstLine="640"/>
        <w:outlineLvl w:val="1"/>
        <w:rPr>
          <w:rStyle w:val="19"/>
          <w:rFonts w:ascii="黑体" w:hAnsi="黑体" w:eastAsia="黑体"/>
          <w:b w:val="0"/>
        </w:rPr>
      </w:pPr>
      <w:bookmarkStart w:id="55" w:name="_Toc6627"/>
      <w:bookmarkStart w:id="56" w:name="_Toc15377218"/>
      <w:bookmarkStart w:id="57" w:name="_Toc15396610"/>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55"/>
    </w:p>
    <w:p>
      <w:pPr>
        <w:pageBreakBefore w:val="0"/>
        <w:kinsoku/>
        <w:wordWrap/>
        <w:overflowPunct/>
        <w:topLinePunct w:val="0"/>
        <w:bidi w:val="0"/>
        <w:spacing w:line="560" w:lineRule="exact"/>
        <w:ind w:firstLine="640"/>
        <w:outlineLvl w:val="2"/>
        <w:rPr>
          <w:rFonts w:ascii="仿宋" w:hAnsi="仿宋" w:eastAsia="仿宋"/>
          <w:b/>
          <w:color w:val="000000"/>
          <w:sz w:val="32"/>
          <w:szCs w:val="32"/>
        </w:rPr>
      </w:pPr>
      <w:bookmarkStart w:id="58" w:name="_Toc15377216"/>
      <w:bookmarkStart w:id="59" w:name="_Toc1839"/>
      <w:r>
        <w:rPr>
          <w:rFonts w:hint="eastAsia" w:ascii="仿宋" w:hAnsi="仿宋" w:eastAsia="仿宋"/>
          <w:b/>
          <w:color w:val="000000"/>
          <w:sz w:val="32"/>
          <w:szCs w:val="32"/>
        </w:rPr>
        <w:t>（一）“三公”经费财政拨款支出决算总体情况说明</w:t>
      </w:r>
      <w:bookmarkEnd w:id="58"/>
      <w:bookmarkEnd w:id="59"/>
    </w:p>
    <w:p>
      <w:pPr>
        <w:spacing w:line="56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w:t>
      </w:r>
      <w:r>
        <w:rPr>
          <w:rFonts w:hint="eastAsia" w:ascii="仿宋" w:hAnsi="仿宋" w:eastAsia="仿宋"/>
          <w:color w:val="000000"/>
          <w:sz w:val="32"/>
          <w:szCs w:val="32"/>
          <w:lang w:val="en-US" w:eastAsia="zh-CN"/>
        </w:rPr>
        <w:t>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，决算数小于预算数与预算数持平</w:t>
      </w:r>
      <w:r>
        <w:rPr>
          <w:rFonts w:hint="eastAsia" w:ascii="仿宋" w:hAnsi="仿宋" w:eastAsia="仿宋"/>
          <w:color w:val="000000"/>
          <w:sz w:val="32"/>
          <w:szCs w:val="32"/>
          <w:lang w:eastAsia="zh-CN"/>
        </w:rPr>
        <w:t>。</w:t>
      </w:r>
    </w:p>
    <w:p>
      <w:pPr>
        <w:pageBreakBefore w:val="0"/>
        <w:kinsoku/>
        <w:wordWrap/>
        <w:overflowPunct/>
        <w:topLinePunct w:val="0"/>
        <w:bidi w:val="0"/>
        <w:spacing w:line="560" w:lineRule="exact"/>
        <w:ind w:firstLine="640"/>
        <w:outlineLvl w:val="2"/>
        <w:rPr>
          <w:rFonts w:ascii="仿宋" w:hAnsi="仿宋" w:eastAsia="仿宋"/>
          <w:b/>
          <w:color w:val="000000"/>
          <w:sz w:val="32"/>
          <w:szCs w:val="32"/>
        </w:rPr>
      </w:pPr>
      <w:bookmarkStart w:id="60" w:name="_Toc16565"/>
      <w:bookmarkStart w:id="61" w:name="_Toc15377217"/>
      <w:r>
        <w:rPr>
          <w:rFonts w:hint="eastAsia" w:ascii="仿宋" w:hAnsi="仿宋" w:eastAsia="仿宋"/>
          <w:b/>
          <w:color w:val="000000"/>
          <w:sz w:val="32"/>
          <w:szCs w:val="32"/>
        </w:rPr>
        <w:t>（二）“三公”经费财政拨款支出决算具体情况说明</w:t>
      </w:r>
      <w:bookmarkEnd w:id="60"/>
      <w:bookmarkEnd w:id="61"/>
    </w:p>
    <w:p>
      <w:pPr>
        <w:pageBreakBefore w:val="0"/>
        <w:kinsoku/>
        <w:wordWrap/>
        <w:overflowPunct/>
        <w:topLinePunct w:val="0"/>
        <w:bidi w:val="0"/>
        <w:spacing w:line="56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万元。具体情况如下：</w:t>
      </w:r>
    </w:p>
    <w:p>
      <w:pPr>
        <w:pageBreakBefore w:val="0"/>
        <w:numPr>
          <w:ilvl w:val="0"/>
          <w:numId w:val="2"/>
        </w:numPr>
        <w:kinsoku/>
        <w:wordWrap/>
        <w:overflowPunct/>
        <w:topLinePunct w:val="0"/>
        <w:bidi w:val="0"/>
        <w:spacing w:line="560" w:lineRule="exact"/>
        <w:ind w:firstLine="640"/>
        <w:rPr>
          <w:rStyle w:val="32"/>
          <w:rFonts w:hint="eastAsia" w:ascii="仿宋" w:hAnsi="仿宋" w:eastAsia="仿宋"/>
          <w:b w:val="0"/>
          <w:bCs/>
          <w:color w:val="000000"/>
          <w:sz w:val="32"/>
          <w:szCs w:val="32"/>
        </w:rPr>
      </w:pPr>
      <w:r>
        <w:rPr>
          <w:rFonts w:hint="eastAsia" w:ascii="仿宋_GB2312" w:eastAsia="仿宋_GB2312"/>
          <w:b w:val="0"/>
          <w:bCs/>
          <w:color w:val="000000"/>
          <w:sz w:val="32"/>
          <w:szCs w:val="32"/>
        </w:rPr>
        <w:t>因公出国（境）经费支出万元</w:t>
      </w:r>
      <w:r>
        <w:rPr>
          <w:rStyle w:val="32"/>
          <w:rFonts w:hint="eastAsia" w:ascii="仿宋" w:hAnsi="仿宋" w:eastAsia="仿宋"/>
          <w:b w:val="0"/>
          <w:bCs/>
          <w:color w:val="000000"/>
          <w:sz w:val="32"/>
          <w:szCs w:val="32"/>
        </w:rPr>
        <w:t>。</w:t>
      </w:r>
    </w:p>
    <w:p>
      <w:pPr>
        <w:pageBreakBefore w:val="0"/>
        <w:numPr>
          <w:ilvl w:val="0"/>
          <w:numId w:val="2"/>
        </w:numPr>
        <w:kinsoku/>
        <w:wordWrap/>
        <w:overflowPunct/>
        <w:topLinePunct w:val="0"/>
        <w:bidi w:val="0"/>
        <w:spacing w:line="560" w:lineRule="exact"/>
        <w:ind w:firstLine="640"/>
        <w:rPr>
          <w:rFonts w:ascii="仿宋_GB2312" w:eastAsia="仿宋_GB2312"/>
          <w:b w:val="0"/>
          <w:bCs/>
          <w:color w:val="000000"/>
          <w:sz w:val="32"/>
          <w:szCs w:val="32"/>
        </w:rPr>
      </w:pPr>
      <w:r>
        <w:rPr>
          <w:rFonts w:hint="eastAsia" w:ascii="仿宋_GB2312" w:eastAsia="仿宋_GB2312"/>
          <w:b w:val="0"/>
          <w:bCs/>
          <w:color w:val="000000"/>
          <w:sz w:val="32"/>
          <w:szCs w:val="32"/>
        </w:rPr>
        <w:t>公务用车购置及运行维护费支出</w:t>
      </w:r>
      <w:r>
        <w:rPr>
          <w:rFonts w:hint="eastAsia" w:ascii="仿宋_GB2312" w:eastAsia="仿宋_GB2312"/>
          <w:b w:val="0"/>
          <w:bCs/>
          <w:color w:val="000000"/>
          <w:sz w:val="32"/>
          <w:szCs w:val="32"/>
          <w:lang w:val="en-US" w:eastAsia="zh-CN"/>
        </w:rPr>
        <w:t>0</w:t>
      </w:r>
      <w:r>
        <w:rPr>
          <w:rFonts w:hint="eastAsia" w:ascii="仿宋_GB2312" w:eastAsia="仿宋_GB2312"/>
          <w:b w:val="0"/>
          <w:bCs/>
          <w:color w:val="000000"/>
          <w:sz w:val="32"/>
          <w:szCs w:val="32"/>
        </w:rPr>
        <w:t>万元</w:t>
      </w:r>
      <w:r>
        <w:rPr>
          <w:rFonts w:hint="eastAsia" w:ascii="仿宋_GB2312" w:eastAsia="仿宋_GB2312"/>
          <w:b w:val="0"/>
          <w:bCs/>
          <w:color w:val="000000"/>
          <w:sz w:val="32"/>
          <w:szCs w:val="32"/>
          <w:lang w:eastAsia="zh-CN"/>
        </w:rPr>
        <w:t>。</w:t>
      </w:r>
    </w:p>
    <w:p>
      <w:pPr>
        <w:pageBreakBefore w:val="0"/>
        <w:numPr>
          <w:ilvl w:val="0"/>
          <w:numId w:val="2"/>
        </w:numPr>
        <w:kinsoku/>
        <w:wordWrap/>
        <w:overflowPunct/>
        <w:topLinePunct w:val="0"/>
        <w:bidi w:val="0"/>
        <w:spacing w:line="560" w:lineRule="exact"/>
        <w:ind w:left="0" w:leftChars="0" w:firstLine="640" w:firstLineChars="0"/>
        <w:rPr>
          <w:rFonts w:hint="eastAsia" w:ascii="仿宋_GB2312" w:eastAsia="仿宋_GB2312"/>
          <w:b w:val="0"/>
          <w:bCs/>
          <w:color w:val="000000"/>
          <w:sz w:val="32"/>
          <w:szCs w:val="32"/>
          <w:lang w:eastAsia="zh-CN"/>
        </w:rPr>
      </w:pPr>
      <w:r>
        <w:rPr>
          <w:rFonts w:hint="eastAsia" w:ascii="仿宋_GB2312" w:eastAsia="仿宋_GB2312"/>
          <w:b w:val="0"/>
          <w:bCs/>
          <w:color w:val="000000"/>
          <w:sz w:val="32"/>
          <w:szCs w:val="32"/>
        </w:rPr>
        <w:t>公务接待费支出</w:t>
      </w:r>
      <w:r>
        <w:rPr>
          <w:rFonts w:hint="eastAsia" w:ascii="仿宋_GB2312" w:eastAsia="仿宋_GB2312"/>
          <w:b w:val="0"/>
          <w:bCs/>
          <w:color w:val="000000"/>
          <w:sz w:val="32"/>
          <w:szCs w:val="32"/>
          <w:lang w:val="en-US" w:eastAsia="zh-CN"/>
        </w:rPr>
        <w:t>0</w:t>
      </w:r>
      <w:r>
        <w:rPr>
          <w:rFonts w:hint="eastAsia" w:ascii="仿宋_GB2312" w:eastAsia="仿宋_GB2312"/>
          <w:b w:val="0"/>
          <w:bCs/>
          <w:color w:val="000000"/>
          <w:sz w:val="32"/>
          <w:szCs w:val="32"/>
        </w:rPr>
        <w:t>万元</w:t>
      </w:r>
      <w:r>
        <w:rPr>
          <w:rFonts w:hint="eastAsia" w:ascii="仿宋_GB2312" w:eastAsia="仿宋_GB2312"/>
          <w:b w:val="0"/>
          <w:bCs/>
          <w:color w:val="000000"/>
          <w:sz w:val="32"/>
          <w:szCs w:val="32"/>
          <w:lang w:eastAsia="zh-CN"/>
        </w:rPr>
        <w:t>。</w:t>
      </w:r>
    </w:p>
    <w:p>
      <w:pPr>
        <w:pageBreakBefore w:val="0"/>
        <w:numPr>
          <w:ilvl w:val="0"/>
          <w:numId w:val="2"/>
        </w:numPr>
        <w:kinsoku/>
        <w:wordWrap/>
        <w:overflowPunct/>
        <w:topLinePunct w:val="0"/>
        <w:bidi w:val="0"/>
        <w:spacing w:line="560" w:lineRule="exact"/>
        <w:ind w:left="0" w:leftChars="0" w:firstLine="640" w:firstLineChars="0"/>
        <w:rPr>
          <w:rFonts w:ascii="仿宋_GB2312" w:eastAsia="仿宋_GB2312"/>
          <w:b w:val="0"/>
          <w:bCs/>
          <w:color w:val="000000"/>
          <w:sz w:val="32"/>
          <w:szCs w:val="32"/>
        </w:rPr>
      </w:pPr>
      <w:r>
        <w:rPr>
          <w:rFonts w:hint="eastAsia" w:ascii="仿宋" w:hAnsi="仿宋" w:eastAsia="仿宋"/>
          <w:b w:val="0"/>
          <w:bCs/>
          <w:color w:val="000000"/>
          <w:sz w:val="32"/>
          <w:szCs w:val="32"/>
        </w:rPr>
        <w:t>国内公务接待支出</w:t>
      </w:r>
      <w:r>
        <w:rPr>
          <w:rFonts w:hint="eastAsia" w:ascii="仿宋" w:hAnsi="仿宋" w:eastAsia="仿宋"/>
          <w:b w:val="0"/>
          <w:bCs/>
          <w:color w:val="000000"/>
          <w:sz w:val="32"/>
          <w:szCs w:val="32"/>
          <w:lang w:val="en-US" w:eastAsia="zh-CN"/>
        </w:rPr>
        <w:t>0</w:t>
      </w:r>
      <w:r>
        <w:rPr>
          <w:rFonts w:hint="eastAsia" w:ascii="仿宋_GB2312" w:eastAsia="仿宋_GB2312"/>
          <w:b w:val="0"/>
          <w:bCs/>
          <w:color w:val="000000"/>
          <w:sz w:val="32"/>
          <w:szCs w:val="32"/>
        </w:rPr>
        <w:t>万元。</w:t>
      </w:r>
    </w:p>
    <w:p>
      <w:pPr>
        <w:spacing w:line="600" w:lineRule="exact"/>
        <w:ind w:firstLine="640"/>
        <w:outlineLvl w:val="1"/>
        <w:rPr>
          <w:rStyle w:val="34"/>
          <w:rFonts w:ascii="黑体" w:hAnsi="黑体" w:eastAsia="黑体"/>
        </w:rPr>
      </w:pPr>
      <w:bookmarkStart w:id="62" w:name="_Toc8978"/>
      <w:r>
        <w:rPr>
          <w:rFonts w:hint="eastAsia" w:ascii="黑体" w:eastAsia="黑体"/>
          <w:color w:val="000000"/>
          <w:sz w:val="32"/>
          <w:szCs w:val="32"/>
        </w:rPr>
        <w:t>八、</w:t>
      </w:r>
      <w:r>
        <w:rPr>
          <w:rStyle w:val="34"/>
          <w:rFonts w:hint="eastAsia" w:ascii="黑体" w:hAnsi="黑体" w:eastAsia="黑体"/>
          <w:b w:val="0"/>
        </w:rPr>
        <w:t>政府性基金预算支出决算情况说明</w:t>
      </w:r>
      <w:bookmarkEnd w:id="56"/>
      <w:bookmarkEnd w:id="57"/>
      <w:bookmarkEnd w:id="6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34"/>
          <w:rFonts w:ascii="黑体" w:hAnsi="黑体" w:eastAsia="黑体"/>
          <w:b w:val="0"/>
        </w:rPr>
      </w:pPr>
      <w:bookmarkStart w:id="63" w:name="_Toc15377219"/>
      <w:bookmarkStart w:id="64" w:name="_Toc15396611"/>
      <w:bookmarkStart w:id="65" w:name="_Toc21918"/>
      <w:r>
        <w:rPr>
          <w:rStyle w:val="34"/>
          <w:rFonts w:hint="eastAsia" w:ascii="黑体" w:hAnsi="黑体" w:eastAsia="黑体"/>
          <w:b w:val="0"/>
        </w:rPr>
        <w:t>国有资本经营预算支出决算情况说明</w:t>
      </w:r>
      <w:bookmarkEnd w:id="63"/>
      <w:bookmarkEnd w:id="64"/>
      <w:bookmarkEnd w:id="6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34"/>
          <w:rFonts w:ascii="黑体" w:hAnsi="黑体" w:eastAsia="黑体"/>
        </w:rPr>
      </w:pPr>
      <w:bookmarkStart w:id="66" w:name="_Toc24001"/>
      <w:bookmarkStart w:id="67" w:name="_Toc15396612"/>
      <w:bookmarkStart w:id="68" w:name="_Toc15377221"/>
      <w:r>
        <w:rPr>
          <w:rFonts w:hint="eastAsia" w:ascii="黑体" w:hAnsi="黑体" w:eastAsia="黑体"/>
          <w:color w:val="000000"/>
          <w:sz w:val="32"/>
          <w:szCs w:val="32"/>
        </w:rPr>
        <w:t>十</w:t>
      </w:r>
      <w:r>
        <w:rPr>
          <w:rStyle w:val="34"/>
          <w:rFonts w:hint="eastAsia" w:ascii="黑体" w:hAnsi="黑体" w:eastAsia="黑体"/>
        </w:rPr>
        <w:t>、</w:t>
      </w:r>
      <w:r>
        <w:rPr>
          <w:rStyle w:val="34"/>
          <w:rFonts w:hint="eastAsia" w:ascii="黑体" w:hAnsi="黑体" w:eastAsia="黑体"/>
          <w:b w:val="0"/>
        </w:rPr>
        <w:t>其他重要事项的情况说明</w:t>
      </w:r>
      <w:bookmarkEnd w:id="66"/>
      <w:bookmarkEnd w:id="67"/>
      <w:bookmarkEnd w:id="68"/>
    </w:p>
    <w:p>
      <w:pPr>
        <w:spacing w:line="600" w:lineRule="exact"/>
        <w:ind w:firstLine="643" w:firstLineChars="200"/>
        <w:outlineLvl w:val="2"/>
        <w:rPr>
          <w:rFonts w:ascii="仿宋" w:hAnsi="仿宋" w:eastAsia="仿宋"/>
          <w:color w:val="000000"/>
          <w:sz w:val="32"/>
          <w:szCs w:val="32"/>
        </w:rPr>
      </w:pPr>
      <w:bookmarkStart w:id="69" w:name="_Toc15377222"/>
      <w:bookmarkStart w:id="70" w:name="_Toc8181"/>
      <w:r>
        <w:rPr>
          <w:rFonts w:hint="eastAsia" w:ascii="仿宋" w:hAnsi="仿宋" w:eastAsia="仿宋"/>
          <w:b/>
          <w:color w:val="000000"/>
          <w:sz w:val="32"/>
          <w:szCs w:val="32"/>
        </w:rPr>
        <w:t>（一）机关运行经费支出情况</w:t>
      </w:r>
      <w:bookmarkEnd w:id="69"/>
      <w:bookmarkEnd w:id="70"/>
    </w:p>
    <w:p>
      <w:pPr>
        <w:spacing w:line="600" w:lineRule="exact"/>
        <w:ind w:firstLine="640" w:firstLineChars="200"/>
        <w:rPr>
          <w:rFonts w:hint="default" w:ascii="仿宋_GB2312" w:eastAsia="仿宋_GB2312"/>
          <w:color w:val="000000"/>
          <w:sz w:val="32"/>
          <w:szCs w:val="32"/>
          <w:lang w:val="en-US"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国资委</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120.48</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13.51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12.63</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2019</w:t>
      </w:r>
      <w:r>
        <w:rPr>
          <w:rFonts w:hint="eastAsia" w:ascii="仿宋_GB2312" w:eastAsia="仿宋_GB2312"/>
          <w:color w:val="000000"/>
          <w:sz w:val="32"/>
          <w:szCs w:val="32"/>
        </w:rPr>
        <w:t>年决算数持平）。主要原因是</w:t>
      </w:r>
      <w:r>
        <w:rPr>
          <w:rFonts w:hint="eastAsia" w:ascii="仿宋_GB2312" w:eastAsia="仿宋_GB2312"/>
          <w:color w:val="000000"/>
          <w:sz w:val="32"/>
          <w:szCs w:val="32"/>
          <w:lang w:val="en-US" w:eastAsia="zh-CN"/>
        </w:rPr>
        <w:t>人员增加。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1" w:name="_Toc23469"/>
      <w:bookmarkStart w:id="72" w:name="_Toc15377223"/>
      <w:r>
        <w:rPr>
          <w:rFonts w:hint="eastAsia" w:ascii="仿宋" w:hAnsi="仿宋" w:eastAsia="仿宋"/>
          <w:b/>
          <w:color w:val="000000"/>
          <w:sz w:val="32"/>
          <w:szCs w:val="32"/>
        </w:rPr>
        <w:t>（二）政府采购支出情况</w:t>
      </w:r>
      <w:bookmarkEnd w:id="71"/>
      <w:bookmarkEnd w:id="72"/>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国资委</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3" w:name="_Toc15377224"/>
      <w:bookmarkStart w:id="74" w:name="_Toc11003"/>
      <w:r>
        <w:rPr>
          <w:rFonts w:hint="eastAsia" w:ascii="仿宋" w:hAnsi="仿宋" w:eastAsia="仿宋"/>
          <w:b/>
          <w:color w:val="000000"/>
          <w:sz w:val="32"/>
          <w:szCs w:val="32"/>
        </w:rPr>
        <w:t>（三）国有资产占有使用情况</w:t>
      </w:r>
      <w:bookmarkEnd w:id="73"/>
      <w:bookmarkEnd w:id="74"/>
    </w:p>
    <w:p>
      <w:pPr>
        <w:pageBreakBefore w:val="0"/>
        <w:kinsoku/>
        <w:wordWrap/>
        <w:overflowPunct/>
        <w:topLinePunct w:val="0"/>
        <w:autoSpaceDE w:val="0"/>
        <w:autoSpaceDN w:val="0"/>
        <w:bidi w:val="0"/>
        <w:adjustRightInd w:val="0"/>
        <w:spacing w:line="560" w:lineRule="exact"/>
        <w:ind w:firstLine="640" w:firstLineChars="200"/>
        <w:jc w:val="left"/>
        <w:rPr>
          <w:rFonts w:hint="eastAsia" w:ascii="仿宋" w:hAnsi="仿宋" w:eastAsia="仿宋_GB2312"/>
          <w:b/>
          <w:color w:val="FF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国资委</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5" w:name="_Toc22883"/>
      <w:r>
        <w:rPr>
          <w:rFonts w:hint="eastAsia" w:ascii="仿宋" w:hAnsi="仿宋" w:eastAsia="仿宋"/>
          <w:b/>
          <w:color w:val="000000"/>
          <w:sz w:val="32"/>
          <w:szCs w:val="32"/>
        </w:rPr>
        <w:t>（四）预算绩效管理情况。</w:t>
      </w:r>
      <w:bookmarkEnd w:id="75"/>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国有资产监管、国有企业改革</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个项目开展了绩效目标完成情况自评。</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年部门整体支出开展绩效自评，从评价情况来看项目全年预算数</w:t>
      </w: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个项目支出绩效评价，从评价情况来看项目经费主要是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、贯彻落实中央、省、市、县国资国企改革任务，完善国资监管制度，共需10万元；</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、企业党组织规范化建设，开展党建活动，共需10万元；</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、企业董事会、监事会建设，加强企业财务管理，共需10万元。已按时足额全部兑现。</w:t>
      </w:r>
    </w:p>
    <w:p>
      <w:pPr>
        <w:pageBreakBefore w:val="0"/>
        <w:numPr>
          <w:ilvl w:val="0"/>
          <w:numId w:val="4"/>
        </w:numPr>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p>
    <w:p>
      <w:pPr>
        <w:pageBreakBefore w:val="0"/>
        <w:numPr>
          <w:ilvl w:val="0"/>
          <w:numId w:val="4"/>
        </w:numPr>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国有资产监管国有企业改革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个项目绩效目标实际完成情况。</w:t>
      </w:r>
    </w:p>
    <w:p>
      <w:pPr>
        <w:pageBreakBefore w:val="0"/>
        <w:numPr>
          <w:ilvl w:val="0"/>
          <w:numId w:val="0"/>
        </w:numPr>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国有企业改革</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%。通过项目实施，完成董监事会建设、董事长选聘、新公司组建、监管制度制定、国企培训、企业改制等工作，确保国有资产保值增值等</w:t>
      </w:r>
      <w:r>
        <w:rPr>
          <w:rFonts w:hint="eastAsia" w:ascii="仿宋_GB2312" w:hAnsi="仿宋_GB2312" w:eastAsia="仿宋_GB2312" w:cs="仿宋_GB2312"/>
          <w:sz w:val="32"/>
          <w:szCs w:val="32"/>
          <w:lang w:eastAsia="zh-CN"/>
        </w:rPr>
        <w:t>。</w:t>
      </w:r>
    </w:p>
    <w:p>
      <w:pPr>
        <w:pageBreakBefore w:val="0"/>
        <w:numPr>
          <w:ilvl w:val="0"/>
          <w:numId w:val="0"/>
        </w:numPr>
        <w:kinsoku/>
        <w:wordWrap/>
        <w:overflowPunct/>
        <w:topLinePunct w:val="0"/>
        <w:bidi w:val="0"/>
        <w:spacing w:line="560" w:lineRule="exact"/>
        <w:rPr>
          <w:rFonts w:hint="eastAsia" w:ascii="仿宋_GB2312" w:hAnsi="仿宋_GB2312" w:eastAsia="仿宋_GB2312" w:cs="仿宋_GB2312"/>
          <w:sz w:val="32"/>
          <w:szCs w:val="32"/>
          <w:lang w:eastAsia="zh-CN"/>
        </w:rPr>
      </w:pPr>
    </w:p>
    <w:tbl>
      <w:tblPr>
        <w:tblStyle w:val="9"/>
        <w:tblW w:w="8522" w:type="dxa"/>
        <w:tblInd w:w="0" w:type="dxa"/>
        <w:shd w:val="clear" w:color="auto" w:fill="auto"/>
        <w:tblLayout w:type="fixed"/>
        <w:tblCellMar>
          <w:top w:w="0" w:type="dxa"/>
          <w:left w:w="108" w:type="dxa"/>
          <w:bottom w:w="0" w:type="dxa"/>
          <w:right w:w="108" w:type="dxa"/>
        </w:tblCellMar>
      </w:tblPr>
      <w:tblGrid>
        <w:gridCol w:w="470"/>
        <w:gridCol w:w="363"/>
        <w:gridCol w:w="363"/>
        <w:gridCol w:w="362"/>
        <w:gridCol w:w="355"/>
        <w:gridCol w:w="354"/>
        <w:gridCol w:w="1168"/>
        <w:gridCol w:w="232"/>
        <w:gridCol w:w="231"/>
        <w:gridCol w:w="415"/>
        <w:gridCol w:w="463"/>
        <w:gridCol w:w="411"/>
        <w:gridCol w:w="719"/>
        <w:gridCol w:w="241"/>
        <w:gridCol w:w="240"/>
        <w:gridCol w:w="318"/>
        <w:gridCol w:w="315"/>
        <w:gridCol w:w="316"/>
        <w:gridCol w:w="316"/>
        <w:gridCol w:w="491"/>
        <w:gridCol w:w="379"/>
      </w:tblGrid>
      <w:tr>
        <w:tblPrEx>
          <w:shd w:val="clear" w:color="auto" w:fill="auto"/>
          <w:tblLayout w:type="fixed"/>
          <w:tblCellMar>
            <w:top w:w="0" w:type="dxa"/>
            <w:left w:w="108" w:type="dxa"/>
            <w:bottom w:w="0" w:type="dxa"/>
            <w:right w:w="108" w:type="dxa"/>
          </w:tblCellMar>
        </w:tblPrEx>
        <w:trPr>
          <w:trHeight w:val="405" w:hRule="atLeast"/>
        </w:trPr>
        <w:tc>
          <w:tcPr>
            <w:tcW w:w="15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附件1：</w:t>
            </w:r>
          </w:p>
        </w:tc>
        <w:tc>
          <w:tcPr>
            <w:tcW w:w="709"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6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8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8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3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3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7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570" w:hRule="atLeast"/>
        </w:trPr>
        <w:tc>
          <w:tcPr>
            <w:tcW w:w="8522" w:type="dxa"/>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整体支出绩效目标自评表</w:t>
            </w:r>
            <w:r>
              <w:rPr>
                <w:rStyle w:val="48"/>
                <w:lang w:val="en-US" w:eastAsia="zh-CN" w:bidi="ar"/>
              </w:rPr>
              <w:t xml:space="preserve"> </w:t>
            </w:r>
          </w:p>
        </w:tc>
      </w:tr>
      <w:tr>
        <w:tblPrEx>
          <w:tblLayout w:type="fixed"/>
          <w:tblCellMar>
            <w:top w:w="0" w:type="dxa"/>
            <w:left w:w="108" w:type="dxa"/>
            <w:bottom w:w="0" w:type="dxa"/>
            <w:right w:w="108" w:type="dxa"/>
          </w:tblCellMar>
        </w:tblPrEx>
        <w:trPr>
          <w:trHeight w:val="420" w:hRule="atLeast"/>
        </w:trPr>
        <w:tc>
          <w:tcPr>
            <w:tcW w:w="8522" w:type="dxa"/>
            <w:gridSpan w:val="21"/>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r>
              <w:rPr>
                <w:rFonts w:hint="eastAsia" w:ascii="宋体" w:hAnsi="宋体" w:cs="宋体"/>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年度）</w:t>
            </w:r>
          </w:p>
        </w:tc>
      </w:tr>
      <w:tr>
        <w:tblPrEx>
          <w:tblLayout w:type="fixed"/>
          <w:tblCellMar>
            <w:top w:w="0" w:type="dxa"/>
            <w:left w:w="108" w:type="dxa"/>
            <w:bottom w:w="0" w:type="dxa"/>
            <w:right w:w="108" w:type="dxa"/>
          </w:tblCellMar>
        </w:tblPrEx>
        <w:trPr>
          <w:trHeight w:val="400" w:hRule="atLeast"/>
        </w:trPr>
        <w:tc>
          <w:tcPr>
            <w:tcW w:w="22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625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8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年度主要任务</w:t>
            </w:r>
          </w:p>
        </w:tc>
        <w:tc>
          <w:tcPr>
            <w:tcW w:w="725"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任务名称</w:t>
            </w: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主要内容</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24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预算金额（万元）</w:t>
            </w:r>
          </w:p>
        </w:tc>
        <w:tc>
          <w:tcPr>
            <w:tcW w:w="17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实际执行（万元）</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Layout w:type="fixed"/>
          <w:tblCellMar>
            <w:top w:w="0" w:type="dxa"/>
            <w:left w:w="108" w:type="dxa"/>
            <w:bottom w:w="0" w:type="dxa"/>
            <w:right w:w="108" w:type="dxa"/>
          </w:tblCellMar>
        </w:tblPrEx>
        <w:trPr>
          <w:trHeight w:val="300"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总额</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总额</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40"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国有企业监管</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对国有企业资产进行监管，确保国有资产保值升值</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100</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15</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15</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15</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8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国有企业改革</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对国有企业进行改革</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100</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17.4</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17.4</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17.4</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2"/>
                <w:szCs w:val="12"/>
                <w:u w:val="none"/>
                <w:lang w:val="en-US" w:eastAsia="zh-CN" w:bidi="ar"/>
              </w:rPr>
              <w:t>17.4</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8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8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8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34"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168"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89" w:type="dxa"/>
            <w:gridSpan w:val="3"/>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40" w:hRule="atLeast"/>
        </w:trPr>
        <w:tc>
          <w:tcPr>
            <w:tcW w:w="8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3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Layout w:type="fixed"/>
          <w:tblCellMar>
            <w:top w:w="0" w:type="dxa"/>
            <w:left w:w="108" w:type="dxa"/>
            <w:bottom w:w="0" w:type="dxa"/>
            <w:right w:w="108" w:type="dxa"/>
          </w:tblCellMar>
        </w:tblPrEx>
        <w:trPr>
          <w:trHeight w:val="660"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59" w:hRule="atLeast"/>
        </w:trPr>
        <w:tc>
          <w:tcPr>
            <w:tcW w:w="8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工资福利保障人数</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=10人</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=10人</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购置办公设备数量</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≥3台(套)</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降本增效，机关设备日常维护较好，无需更换</w:t>
            </w: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举办（组织外出）培训（会议）批次</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≥3次</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≥3次</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工资福利、运转、民生保障率</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“三公”经费下降率</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培训合格率</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工资福利发放及时率</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办公设备购置完成时间</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≤12个月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12个月</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工资福利总额</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≤101万元</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118万元</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20年人员工资普调</w:t>
            </w: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国企负责人培训</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≤10万元</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6.4万元</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6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28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8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63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63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6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289"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8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63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63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维护企业经济健康发展</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帮扶对象增收率</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提升社会公众形象</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水电能源节约率</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项目持续发挥作用的期限</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=长期</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=长期</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对本行业未来可持续发展的影响</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7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脱贫摘帽建档立卡贫困户满意度</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基层群众对财政工作的满意度</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343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739" w:hRule="atLeast"/>
        </w:trPr>
        <w:tc>
          <w:tcPr>
            <w:tcW w:w="1558" w:type="dxa"/>
            <w:gridSpan w:val="4"/>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09" w:type="dxa"/>
            <w:gridSpan w:val="2"/>
            <w:tcBorders>
              <w:top w:val="single" w:color="000000" w:sz="4" w:space="0"/>
              <w:left w:val="nil"/>
              <w:bottom w:val="nil"/>
              <w:right w:val="nil"/>
            </w:tcBorders>
            <w:shd w:val="clear" w:color="auto" w:fill="auto"/>
            <w:vAlign w:val="center"/>
          </w:tcPr>
          <w:p/>
        </w:tc>
        <w:tc>
          <w:tcPr>
            <w:tcW w:w="1168" w:type="dxa"/>
            <w:tcBorders>
              <w:top w:val="single" w:color="000000" w:sz="4" w:space="0"/>
              <w:left w:val="nil"/>
              <w:bottom w:val="nil"/>
              <w:right w:val="nil"/>
            </w:tcBorders>
            <w:shd w:val="clear" w:color="auto" w:fill="auto"/>
            <w:vAlign w:val="center"/>
          </w:tcPr>
          <w:p/>
        </w:tc>
        <w:tc>
          <w:tcPr>
            <w:tcW w:w="463" w:type="dxa"/>
            <w:gridSpan w:val="2"/>
            <w:tcBorders>
              <w:top w:val="single" w:color="000000" w:sz="4" w:space="0"/>
              <w:left w:val="nil"/>
              <w:bottom w:val="nil"/>
              <w:right w:val="nil"/>
            </w:tcBorders>
            <w:shd w:val="clear" w:color="auto" w:fill="auto"/>
            <w:vAlign w:val="center"/>
          </w:tcPr>
          <w:p/>
        </w:tc>
        <w:tc>
          <w:tcPr>
            <w:tcW w:w="1289" w:type="dxa"/>
            <w:gridSpan w:val="3"/>
            <w:tcBorders>
              <w:top w:val="single" w:color="000000" w:sz="4" w:space="0"/>
              <w:left w:val="nil"/>
              <w:bottom w:val="nil"/>
              <w:right w:val="nil"/>
            </w:tcBorders>
            <w:shd w:val="clear" w:color="auto" w:fill="auto"/>
            <w:vAlign w:val="center"/>
          </w:tcPr>
          <w:p/>
        </w:tc>
        <w:tc>
          <w:tcPr>
            <w:tcW w:w="719" w:type="dxa"/>
            <w:tcBorders>
              <w:top w:val="single" w:color="000000" w:sz="4" w:space="0"/>
              <w:left w:val="nil"/>
              <w:bottom w:val="nil"/>
              <w:right w:val="nil"/>
            </w:tcBorders>
            <w:shd w:val="clear" w:color="auto" w:fill="auto"/>
            <w:vAlign w:val="center"/>
          </w:tcPr>
          <w:p/>
        </w:tc>
        <w:tc>
          <w:tcPr>
            <w:tcW w:w="481" w:type="dxa"/>
            <w:gridSpan w:val="2"/>
            <w:tcBorders>
              <w:top w:val="single" w:color="000000" w:sz="4" w:space="0"/>
              <w:left w:val="nil"/>
              <w:bottom w:val="nil"/>
              <w:right w:val="nil"/>
            </w:tcBorders>
            <w:shd w:val="clear" w:color="auto" w:fill="auto"/>
            <w:vAlign w:val="center"/>
          </w:tcPr>
          <w:p/>
        </w:tc>
        <w:tc>
          <w:tcPr>
            <w:tcW w:w="633" w:type="dxa"/>
            <w:gridSpan w:val="2"/>
            <w:tcBorders>
              <w:top w:val="single" w:color="000000" w:sz="4" w:space="0"/>
              <w:left w:val="nil"/>
              <w:bottom w:val="nil"/>
              <w:right w:val="nil"/>
            </w:tcBorders>
            <w:shd w:val="clear" w:color="auto" w:fill="auto"/>
            <w:vAlign w:val="center"/>
          </w:tcPr>
          <w:p/>
        </w:tc>
        <w:tc>
          <w:tcPr>
            <w:tcW w:w="632" w:type="dxa"/>
            <w:gridSpan w:val="2"/>
            <w:tcBorders>
              <w:top w:val="single" w:color="000000" w:sz="4" w:space="0"/>
              <w:left w:val="nil"/>
              <w:bottom w:val="nil"/>
              <w:right w:val="nil"/>
            </w:tcBorders>
            <w:shd w:val="clear" w:color="auto" w:fill="auto"/>
            <w:vAlign w:val="center"/>
          </w:tcPr>
          <w:p/>
        </w:tc>
        <w:tc>
          <w:tcPr>
            <w:tcW w:w="870" w:type="dxa"/>
            <w:gridSpan w:val="2"/>
            <w:tcBorders>
              <w:top w:val="single" w:color="000000" w:sz="4" w:space="0"/>
              <w:left w:val="nil"/>
              <w:bottom w:val="nil"/>
              <w:right w:val="nil"/>
            </w:tcBorders>
            <w:shd w:val="clear" w:color="auto" w:fill="auto"/>
            <w:vAlign w:val="center"/>
          </w:tcPr>
          <w:p/>
        </w:tc>
      </w:tr>
      <w:tr>
        <w:tblPrEx>
          <w:tblLayout w:type="fixed"/>
          <w:tblCellMar>
            <w:top w:w="0" w:type="dxa"/>
            <w:left w:w="108" w:type="dxa"/>
            <w:bottom w:w="0" w:type="dxa"/>
            <w:right w:w="108" w:type="dxa"/>
          </w:tblCellMar>
        </w:tblPrEx>
        <w:trPr>
          <w:trHeight w:val="469" w:hRule="atLeast"/>
        </w:trPr>
        <w:tc>
          <w:tcPr>
            <w:tcW w:w="8522" w:type="dxa"/>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20" w:hRule="atLeast"/>
        </w:trPr>
        <w:tc>
          <w:tcPr>
            <w:tcW w:w="8522" w:type="dxa"/>
            <w:gridSpan w:val="21"/>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70" w:hRule="atLeast"/>
        </w:trPr>
        <w:tc>
          <w:tcPr>
            <w:tcW w:w="8522" w:type="dxa"/>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Layout w:type="fixed"/>
          <w:tblCellMar>
            <w:top w:w="0" w:type="dxa"/>
            <w:left w:w="108" w:type="dxa"/>
            <w:bottom w:w="0" w:type="dxa"/>
            <w:right w:w="108" w:type="dxa"/>
          </w:tblCellMar>
        </w:tblPrEx>
        <w:trPr>
          <w:trHeight w:val="420" w:hRule="atLeast"/>
        </w:trPr>
        <w:tc>
          <w:tcPr>
            <w:tcW w:w="8522" w:type="dxa"/>
            <w:gridSpan w:val="21"/>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年度）</w:t>
            </w:r>
          </w:p>
        </w:tc>
      </w:tr>
      <w:tr>
        <w:tblPrEx>
          <w:tblLayout w:type="fixed"/>
          <w:tblCellMar>
            <w:top w:w="0" w:type="dxa"/>
            <w:left w:w="108" w:type="dxa"/>
            <w:bottom w:w="0" w:type="dxa"/>
            <w:right w:w="108" w:type="dxa"/>
          </w:tblCellMar>
        </w:tblPrEx>
        <w:trPr>
          <w:trHeight w:val="555" w:hRule="atLeast"/>
        </w:trPr>
        <w:tc>
          <w:tcPr>
            <w:tcW w:w="19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8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深化国企改革工作经费</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3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19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8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通江县国有资产监督管理委员会</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3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通江县国有资产监督管理委员会</w:t>
            </w:r>
          </w:p>
        </w:tc>
      </w:tr>
      <w:tr>
        <w:tblPrEx>
          <w:tblLayout w:type="fixed"/>
          <w:tblCellMar>
            <w:top w:w="0" w:type="dxa"/>
            <w:left w:w="108" w:type="dxa"/>
            <w:bottom w:w="0" w:type="dxa"/>
            <w:right w:w="108" w:type="dxa"/>
          </w:tblCellMar>
        </w:tblPrEx>
        <w:trPr>
          <w:trHeight w:val="465" w:hRule="atLeast"/>
        </w:trPr>
        <w:tc>
          <w:tcPr>
            <w:tcW w:w="191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Layout w:type="fixed"/>
          <w:tblCellMar>
            <w:top w:w="0" w:type="dxa"/>
            <w:left w:w="108" w:type="dxa"/>
            <w:bottom w:w="0" w:type="dxa"/>
            <w:right w:w="108" w:type="dxa"/>
          </w:tblCellMar>
        </w:tblPrEx>
        <w:trPr>
          <w:trHeight w:val="282" w:hRule="atLeast"/>
        </w:trPr>
        <w:tc>
          <w:tcPr>
            <w:tcW w:w="191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r>
      <w:tr>
        <w:tblPrEx>
          <w:tblLayout w:type="fixed"/>
          <w:tblCellMar>
            <w:top w:w="0" w:type="dxa"/>
            <w:left w:w="108" w:type="dxa"/>
            <w:bottom w:w="0" w:type="dxa"/>
            <w:right w:w="108" w:type="dxa"/>
          </w:tblCellMar>
        </w:tblPrEx>
        <w:trPr>
          <w:trHeight w:val="282" w:hRule="atLeast"/>
        </w:trPr>
        <w:tc>
          <w:tcPr>
            <w:tcW w:w="191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49"/>
                <w:lang w:val="en-US" w:eastAsia="zh-CN" w:bidi="ar"/>
              </w:rPr>
              <w:t xml:space="preserve"> 其中：本年财政拨款</w:t>
            </w:r>
          </w:p>
        </w:tc>
        <w:tc>
          <w:tcPr>
            <w:tcW w:w="1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108" w:type="dxa"/>
            <w:bottom w:w="0" w:type="dxa"/>
            <w:right w:w="108" w:type="dxa"/>
          </w:tblCellMar>
        </w:tblPrEx>
        <w:trPr>
          <w:trHeight w:val="282" w:hRule="atLeast"/>
        </w:trPr>
        <w:tc>
          <w:tcPr>
            <w:tcW w:w="191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49"/>
                <w:lang w:val="en-US" w:eastAsia="zh-CN" w:bidi="ar"/>
              </w:rPr>
              <w:t xml:space="preserve">       其他资金</w:t>
            </w:r>
          </w:p>
        </w:tc>
        <w:tc>
          <w:tcPr>
            <w:tcW w:w="11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108" w:type="dxa"/>
            <w:bottom w:w="0" w:type="dxa"/>
            <w:right w:w="108" w:type="dxa"/>
          </w:tblCellMar>
        </w:tblPrEx>
        <w:trPr>
          <w:trHeight w:val="282"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374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Layout w:type="fixed"/>
          <w:tblCellMar>
            <w:top w:w="0" w:type="dxa"/>
            <w:left w:w="108" w:type="dxa"/>
            <w:bottom w:w="0" w:type="dxa"/>
            <w:right w:w="108" w:type="dxa"/>
          </w:tblCellMar>
        </w:tblPrEx>
        <w:trPr>
          <w:trHeight w:val="63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完成国企负责人培训、董事长选聘、年度目标任务考核等工作</w:t>
            </w:r>
          </w:p>
        </w:tc>
        <w:tc>
          <w:tcPr>
            <w:tcW w:w="374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完成董监事会建设、董事长选聘、新公司组建、监管制度制定、国企培训、企业改制等工作，确保国有资产保值增值等。</w:t>
            </w:r>
          </w:p>
        </w:tc>
      </w:tr>
      <w:tr>
        <w:tblPrEx>
          <w:tblLayout w:type="fixed"/>
          <w:tblCellMar>
            <w:top w:w="0" w:type="dxa"/>
            <w:left w:w="108" w:type="dxa"/>
            <w:bottom w:w="0" w:type="dxa"/>
            <w:right w:w="108" w:type="dxa"/>
          </w:tblCellMar>
        </w:tblPrEx>
        <w:trPr>
          <w:trHeight w:val="559"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国企负责人培训</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国有企业考核</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国企负责人培训</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≥20次</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≥20次</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培训（会议）合格率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≤2万元</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≤2万元</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国企负责人培训</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≥20次</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≥20次</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3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国企负责人培训</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提升企业形象，增强企业竞争力</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提升企业满意度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促进社会和谐与发展</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收益企业社会满意度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2" w:hRule="atLeast"/>
        </w:trPr>
        <w:tc>
          <w:tcPr>
            <w:tcW w:w="431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国资委</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019年部门整体支出绩效评价报告》见附件（附件1）。</w:t>
      </w:r>
    </w:p>
    <w:p>
      <w:pPr>
        <w:pageBreakBefore w:val="0"/>
        <w:kinsoku/>
        <w:wordWrap/>
        <w:overflowPunct/>
        <w:topLinePunct w:val="0"/>
        <w:bidi w:val="0"/>
        <w:spacing w:line="56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国有企业改革</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国有资产监管</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国有资产改革</w:t>
      </w:r>
      <w:r>
        <w:rPr>
          <w:rFonts w:hint="eastAsia" w:ascii="仿宋_GB2312" w:hAnsi="仿宋_GB2312" w:eastAsia="仿宋_GB2312" w:cs="仿宋_GB2312"/>
          <w:sz w:val="32"/>
          <w:szCs w:val="32"/>
        </w:rPr>
        <w:t>项目2019年绩效评价报告》见附件（附件2）。</w:t>
      </w:r>
    </w:p>
    <w:p>
      <w:pPr>
        <w:widowControl/>
        <w:jc w:val="left"/>
        <w:rPr>
          <w:rFonts w:ascii="仿宋_GB2312" w:eastAsia="仿宋_GB2312"/>
          <w:b/>
          <w:color w:val="000000"/>
          <w:sz w:val="32"/>
          <w:szCs w:val="32"/>
        </w:rPr>
      </w:pPr>
      <w:r>
        <w:br w:type="page"/>
      </w:r>
    </w:p>
    <w:p>
      <w:pPr>
        <w:numPr>
          <w:ilvl w:val="0"/>
          <w:numId w:val="5"/>
        </w:numPr>
        <w:spacing w:line="600" w:lineRule="exact"/>
        <w:ind w:firstLine="660" w:firstLineChars="150"/>
        <w:jc w:val="center"/>
        <w:outlineLvl w:val="0"/>
        <w:rPr>
          <w:rStyle w:val="18"/>
          <w:rFonts w:ascii="黑体" w:hAnsi="黑体" w:eastAsia="黑体"/>
          <w:b w:val="0"/>
        </w:rPr>
      </w:pPr>
      <w:bookmarkStart w:id="76" w:name="_Toc15377225"/>
      <w:bookmarkStart w:id="77" w:name="_Toc15396613"/>
      <w:bookmarkStart w:id="78" w:name="_Toc20009"/>
      <w:r>
        <w:rPr>
          <w:rFonts w:hint="eastAsia" w:ascii="黑体" w:hAnsi="黑体" w:eastAsia="黑体"/>
          <w:color w:val="000000"/>
          <w:sz w:val="44"/>
          <w:szCs w:val="44"/>
        </w:rPr>
        <w:t>名</w:t>
      </w:r>
      <w:r>
        <w:rPr>
          <w:rStyle w:val="18"/>
          <w:rFonts w:hint="eastAsia" w:ascii="黑体" w:hAnsi="黑体" w:eastAsia="黑体"/>
          <w:b w:val="0"/>
        </w:rPr>
        <w:t>词解释</w:t>
      </w:r>
      <w:bookmarkEnd w:id="76"/>
      <w:bookmarkEnd w:id="77"/>
      <w:bookmarkEnd w:id="78"/>
    </w:p>
    <w:p>
      <w:pPr>
        <w:spacing w:line="600" w:lineRule="exact"/>
        <w:jc w:val="left"/>
        <w:rPr>
          <w:rFonts w:ascii="宋体"/>
          <w:b/>
          <w:color w:val="000000"/>
          <w:sz w:val="44"/>
          <w:szCs w:val="44"/>
        </w:rPr>
      </w:pPr>
    </w:p>
    <w:p>
      <w:pPr>
        <w:pStyle w:val="38"/>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8"/>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38"/>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3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3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8"/>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8"/>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8"/>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8"/>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8"/>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8"/>
        <w:spacing w:line="560" w:lineRule="exact"/>
        <w:ind w:firstLine="640" w:firstLineChars="200"/>
        <w:rPr>
          <w:rFonts w:hint="eastAsia" w:ascii="仿宋_GB2312" w:eastAsia="仿宋_GB2312"/>
          <w:sz w:val="32"/>
          <w:szCs w:val="32"/>
        </w:rPr>
      </w:pPr>
    </w:p>
    <w:p>
      <w:pPr>
        <w:pStyle w:val="3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br w:type="page"/>
      </w:r>
    </w:p>
    <w:p>
      <w:pPr>
        <w:spacing w:line="600" w:lineRule="exact"/>
        <w:jc w:val="center"/>
        <w:outlineLvl w:val="0"/>
        <w:rPr>
          <w:rStyle w:val="18"/>
          <w:rFonts w:ascii="黑体" w:hAnsi="黑体" w:eastAsia="黑体"/>
          <w:b w:val="0"/>
        </w:rPr>
      </w:pPr>
      <w:bookmarkStart w:id="79" w:name="_Toc15396614"/>
      <w:bookmarkStart w:id="80" w:name="_Toc12554"/>
      <w:bookmarkStart w:id="81" w:name="_Toc15377226"/>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79"/>
      <w:bookmarkEnd w:id="80"/>
    </w:p>
    <w:p>
      <w:pPr>
        <w:pStyle w:val="2"/>
        <w:bidi w:val="0"/>
        <w:rPr>
          <w:rFonts w:hint="eastAsia" w:ascii="仿宋" w:hAnsi="仿宋" w:eastAsia="仿宋" w:cs="仿宋"/>
          <w:b w:val="0"/>
          <w:bCs/>
        </w:rPr>
      </w:pPr>
      <w:bookmarkStart w:id="82" w:name="_Toc16699"/>
      <w:r>
        <w:rPr>
          <w:rFonts w:hint="eastAsia" w:ascii="仿宋" w:hAnsi="仿宋" w:eastAsia="仿宋" w:cs="仿宋"/>
          <w:b w:val="0"/>
          <w:bCs/>
        </w:rPr>
        <w:t>附件1</w:t>
      </w:r>
      <w:bookmarkEnd w:id="82"/>
    </w:p>
    <w:p>
      <w:pPr>
        <w:spacing w:line="580" w:lineRule="exact"/>
        <w:jc w:val="center"/>
        <w:rPr>
          <w:rFonts w:ascii="方正小标宋简体" w:hAnsi="方正小标宋简体" w:eastAsia="方正小标宋简体" w:cs="方正小标宋简体"/>
          <w:sz w:val="44"/>
          <w:szCs w:val="44"/>
        </w:rPr>
      </w:pPr>
    </w:p>
    <w:p>
      <w:pPr>
        <w:pStyle w:val="44"/>
        <w:spacing w:line="240" w:lineRule="auto"/>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rPr>
        <w:t>通江县</w:t>
      </w:r>
      <w:r>
        <w:rPr>
          <w:rFonts w:hint="eastAsia" w:ascii="方正小标宋简体" w:hAnsi="方正小标宋简体" w:eastAsia="方正小标宋简体" w:cs="方正小标宋简体"/>
          <w:b/>
          <w:sz w:val="44"/>
          <w:szCs w:val="44"/>
          <w:lang w:eastAsia="zh-CN"/>
        </w:rPr>
        <w:t>国有资产监督管理委员会</w:t>
      </w:r>
    </w:p>
    <w:p>
      <w:pPr>
        <w:pStyle w:val="44"/>
        <w:spacing w:line="240" w:lineRule="auto"/>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w:t>
      </w:r>
      <w:r>
        <w:rPr>
          <w:rFonts w:hint="eastAsia" w:ascii="方正小标宋简体" w:hAnsi="方正小标宋简体" w:eastAsia="方正小标宋简体" w:cs="方正小标宋简体"/>
          <w:b/>
          <w:sz w:val="44"/>
          <w:szCs w:val="44"/>
          <w:lang w:val="en-US" w:eastAsia="zh-CN"/>
        </w:rPr>
        <w:t>20</w:t>
      </w:r>
      <w:r>
        <w:rPr>
          <w:rFonts w:hint="eastAsia" w:ascii="方正小标宋简体" w:hAnsi="方正小标宋简体" w:eastAsia="方正小标宋简体" w:cs="方正小标宋简体"/>
          <w:b/>
          <w:sz w:val="44"/>
          <w:szCs w:val="44"/>
        </w:rPr>
        <w:t>年</w:t>
      </w:r>
      <w:r>
        <w:rPr>
          <w:rFonts w:hint="eastAsia" w:ascii="方正小标宋简体" w:hAnsi="方正小标宋简体" w:eastAsia="方正小标宋简体" w:cs="方正小标宋简体"/>
          <w:b/>
          <w:sz w:val="44"/>
          <w:szCs w:val="44"/>
          <w:lang w:eastAsia="zh-CN"/>
        </w:rPr>
        <w:t>整体支出</w:t>
      </w:r>
      <w:r>
        <w:rPr>
          <w:rFonts w:hint="eastAsia" w:ascii="方正小标宋简体" w:hAnsi="方正小标宋简体" w:eastAsia="方正小标宋简体" w:cs="方正小标宋简体"/>
          <w:b/>
          <w:sz w:val="44"/>
          <w:szCs w:val="44"/>
        </w:rPr>
        <w:t>绩效自评报告</w:t>
      </w:r>
    </w:p>
    <w:p>
      <w:pPr>
        <w:pStyle w:val="44"/>
        <w:spacing w:line="240" w:lineRule="auto"/>
        <w:jc w:val="center"/>
        <w:rPr>
          <w:rFonts w:hint="eastAsia" w:ascii="宋体" w:hAnsi="宋体"/>
          <w:bCs/>
          <w:sz w:val="32"/>
          <w:szCs w:val="32"/>
        </w:rPr>
      </w:pPr>
    </w:p>
    <w:p>
      <w:pPr>
        <w:adjustRightInd w:val="0"/>
        <w:snapToGrid w:val="0"/>
        <w:spacing w:line="360" w:lineRule="auto"/>
        <w:ind w:firstLine="720"/>
        <w:rPr>
          <w:rFonts w:hint="eastAsia" w:ascii="黑体" w:hAnsi="宋体" w:eastAsia="黑体"/>
          <w:sz w:val="32"/>
          <w:szCs w:val="32"/>
        </w:rPr>
      </w:pPr>
      <w:r>
        <w:rPr>
          <w:rFonts w:hint="eastAsia" w:ascii="黑体" w:hAnsi="宋体" w:eastAsia="黑体"/>
          <w:sz w:val="32"/>
          <w:szCs w:val="32"/>
        </w:rPr>
        <w:t>一、基本情况</w:t>
      </w:r>
    </w:p>
    <w:p>
      <w:pPr>
        <w:snapToGrid w:val="0"/>
        <w:spacing w:line="360" w:lineRule="auto"/>
        <w:ind w:firstLine="643" w:firstLineChars="200"/>
        <w:rPr>
          <w:rFonts w:hint="eastAsia" w:ascii="楷体" w:hAnsi="楷体" w:eastAsia="楷体"/>
          <w:b/>
          <w:bCs/>
          <w:sz w:val="32"/>
          <w:szCs w:val="32"/>
          <w:lang w:val="zh-CN"/>
        </w:rPr>
      </w:pPr>
      <w:r>
        <w:rPr>
          <w:rFonts w:hint="eastAsia" w:ascii="楷体" w:hAnsi="楷体" w:eastAsia="楷体"/>
          <w:b/>
          <w:bCs/>
          <w:sz w:val="32"/>
          <w:szCs w:val="32"/>
          <w:lang w:val="zh-CN"/>
        </w:rPr>
        <w:t>（一）单位基本情况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通江县国有资产监督管理委员会是县人民政府的直属事业单位，负责履行出资人职责，监管县属企业的国有资产，加强国有资产管理等工作</w:t>
      </w:r>
    </w:p>
    <w:p>
      <w:pPr>
        <w:snapToGrid w:val="0"/>
        <w:spacing w:line="360" w:lineRule="auto"/>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（二）班子及内设机构配置情况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1、通江县国资委设科级领导正科级1名、副科级1名，现有主任1名、副主任1名。</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2、通江县国资委核定编制10人，现实有在岗人员9人。设办公室、财务监督与评价股、国有资产监管股等三个股室，按规定监管县属 22个国有企业。</w:t>
      </w:r>
    </w:p>
    <w:p>
      <w:pPr>
        <w:snapToGrid w:val="0"/>
        <w:spacing w:line="360" w:lineRule="auto"/>
        <w:ind w:firstLine="643" w:firstLineChars="200"/>
        <w:rPr>
          <w:rFonts w:hint="eastAsia" w:ascii="楷体" w:hAnsi="楷体" w:eastAsia="楷体"/>
          <w:b/>
          <w:bCs/>
          <w:sz w:val="32"/>
          <w:szCs w:val="32"/>
          <w:lang w:val="zh-CN"/>
        </w:rPr>
      </w:pPr>
      <w:r>
        <w:rPr>
          <w:rFonts w:hint="eastAsia" w:ascii="楷体" w:hAnsi="楷体" w:eastAsia="楷体"/>
          <w:b/>
          <w:bCs/>
          <w:sz w:val="32"/>
          <w:szCs w:val="32"/>
          <w:lang w:val="zh-CN"/>
        </w:rPr>
        <w:t>（二）20</w:t>
      </w:r>
      <w:r>
        <w:rPr>
          <w:rFonts w:hint="eastAsia" w:ascii="楷体" w:hAnsi="楷体" w:eastAsia="楷体"/>
          <w:b/>
          <w:bCs/>
          <w:sz w:val="32"/>
          <w:szCs w:val="32"/>
          <w:lang w:val="en-US" w:eastAsia="zh-CN"/>
        </w:rPr>
        <w:t>20</w:t>
      </w:r>
      <w:r>
        <w:rPr>
          <w:rFonts w:hint="eastAsia" w:ascii="楷体" w:hAnsi="楷体" w:eastAsia="楷体"/>
          <w:b/>
          <w:bCs/>
          <w:sz w:val="32"/>
          <w:szCs w:val="32"/>
          <w:lang w:val="zh-CN"/>
        </w:rPr>
        <w:t>年工作概况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年，通江县国资委</w:t>
      </w:r>
      <w:r>
        <w:rPr>
          <w:rFonts w:hint="eastAsia" w:ascii="仿宋_GB2312" w:hAnsi="仿宋" w:eastAsia="仿宋_GB2312"/>
          <w:sz w:val="32"/>
          <w:szCs w:val="32"/>
          <w:lang w:eastAsia="zh-CN"/>
        </w:rPr>
        <w:t>按照县委、县政府安排部署，</w:t>
      </w:r>
      <w:r>
        <w:rPr>
          <w:rFonts w:hint="eastAsia" w:ascii="仿宋_GB2312" w:hAnsi="仿宋" w:eastAsia="仿宋_GB2312"/>
          <w:sz w:val="32"/>
          <w:szCs w:val="32"/>
        </w:rPr>
        <w:t>坚持</w:t>
      </w:r>
      <w:r>
        <w:rPr>
          <w:rFonts w:hint="eastAsia" w:ascii="仿宋_GB2312" w:hAnsi="仿宋" w:eastAsia="仿宋_GB2312"/>
          <w:sz w:val="32"/>
          <w:szCs w:val="32"/>
          <w:lang w:eastAsia="zh-CN"/>
        </w:rPr>
        <w:t>以</w:t>
      </w:r>
      <w:r>
        <w:rPr>
          <w:rFonts w:hint="eastAsia" w:ascii="仿宋_GB2312" w:hAnsi="仿宋" w:eastAsia="仿宋_GB2312"/>
          <w:sz w:val="32"/>
          <w:szCs w:val="32"/>
        </w:rPr>
        <w:t>国有资产保值增值</w:t>
      </w:r>
      <w:r>
        <w:rPr>
          <w:rFonts w:hint="eastAsia" w:ascii="仿宋_GB2312" w:hAnsi="仿宋" w:eastAsia="仿宋_GB2312"/>
          <w:sz w:val="32"/>
          <w:szCs w:val="32"/>
          <w:lang w:eastAsia="zh-CN"/>
        </w:rPr>
        <w:t>为目标</w:t>
      </w:r>
      <w:r>
        <w:rPr>
          <w:rFonts w:hint="eastAsia" w:ascii="仿宋_GB2312" w:hAnsi="仿宋" w:eastAsia="仿宋_GB2312"/>
          <w:sz w:val="32"/>
          <w:szCs w:val="32"/>
        </w:rPr>
        <w:t>，</w:t>
      </w:r>
      <w:r>
        <w:rPr>
          <w:rFonts w:hint="eastAsia" w:ascii="仿宋_GB2312" w:hAnsi="仿宋" w:eastAsia="仿宋_GB2312"/>
          <w:sz w:val="32"/>
          <w:szCs w:val="32"/>
          <w:lang w:eastAsia="zh-CN"/>
        </w:rPr>
        <w:t>不断推进监管职能转变、提升监管质量，加快推进国有企业改革发展，提质增效，监管企业发展成效明显。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1、不断提升国资监管工作质量。</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深入推进薪酬制度、实体化转型、监管体制等5项国有企业改革，完成企业功能分类改革，现代企业制度逐步完善。</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落实省委巡视组巡视反馈问题整改要求，对公职人员兼职问题进行全面清理，制定针对性措施，及时对公职人员兼任董事、监事进行了撤换，并完成工商登记备案。</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在红峰公司等5家企业实施薪酬制度改革，推进新的业绩考核、工资总额预算管理等措施，改革企业负责人薪酬结构，形成有效的激励约束机制。</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全面清理监管企业在招投标领域存在的问题，通过问责一批、规范一批等4项措施，招投标问题已整改到位，问责处理3人。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2、全面提升企业经营管理效益。</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优化资产结构，</w:t>
      </w:r>
      <w:r>
        <w:rPr>
          <w:rFonts w:hint="eastAsia" w:ascii="仿宋_GB2312" w:hAnsi="仿宋_GB2312" w:eastAsia="仿宋_GB2312" w:cs="仿宋_GB2312"/>
          <w:b w:val="0"/>
          <w:bCs w:val="0"/>
          <w:sz w:val="32"/>
          <w:szCs w:val="32"/>
          <w:u w:val="none"/>
          <w:lang w:val="en-US" w:eastAsia="zh-CN"/>
        </w:rPr>
        <w:t>截至11月底，全县监管企业资产总额143.4亿元、负债总额74.5亿元、净资产68.9亿元，资产负债率51.9%。</w:t>
      </w:r>
      <w:r>
        <w:rPr>
          <w:rFonts w:hint="eastAsia" w:ascii="仿宋_GB2312" w:hAnsi="仿宋_GB2312" w:eastAsia="仿宋_GB2312" w:cs="仿宋_GB2312"/>
          <w:b/>
          <w:bCs/>
          <w:sz w:val="32"/>
          <w:szCs w:val="32"/>
          <w:u w:val="none"/>
          <w:lang w:val="en-US" w:eastAsia="zh-CN"/>
        </w:rPr>
        <w:t>二是</w:t>
      </w:r>
      <w:r>
        <w:rPr>
          <w:rFonts w:hint="eastAsia" w:ascii="仿宋_GB2312" w:hAnsi="仿宋_GB2312" w:eastAsia="仿宋_GB2312" w:cs="仿宋_GB2312"/>
          <w:b w:val="0"/>
          <w:bCs w:val="0"/>
          <w:sz w:val="32"/>
          <w:szCs w:val="32"/>
          <w:u w:val="none"/>
          <w:lang w:val="en-US" w:eastAsia="zh-CN"/>
        </w:rPr>
        <w:t>增强盈利能力，截至11月底，监管企业营业总收入4.5亿元，利润总额0.24亿元，上缴税金0.4亿元。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加大投资力度，全年投资</w:t>
      </w:r>
      <w:r>
        <w:rPr>
          <w:rFonts w:hint="eastAsia" w:ascii="仿宋_GB2312" w:hAnsi="仿宋_GB2312" w:eastAsia="仿宋_GB2312" w:cs="仿宋_GB2312"/>
          <w:b w:val="0"/>
          <w:bCs w:val="0"/>
          <w:color w:val="000000"/>
          <w:sz w:val="32"/>
          <w:szCs w:val="32"/>
          <w:u w:val="none"/>
          <w:lang w:val="en-US" w:eastAsia="zh-CN"/>
        </w:rPr>
        <w:t>近10亿元</w:t>
      </w:r>
      <w:r>
        <w:rPr>
          <w:rFonts w:hint="eastAsia" w:ascii="仿宋_GB2312" w:hAnsi="仿宋_GB2312" w:eastAsia="仿宋_GB2312" w:cs="仿宋_GB2312"/>
          <w:b w:val="0"/>
          <w:bCs w:val="0"/>
          <w:sz w:val="32"/>
          <w:szCs w:val="32"/>
          <w:lang w:val="en-US" w:eastAsia="zh-CN"/>
        </w:rPr>
        <w:t>，重点投向</w:t>
      </w:r>
      <w:r>
        <w:rPr>
          <w:rFonts w:hint="eastAsia" w:ascii="仿宋_GB2312" w:eastAsia="仿宋_GB2312" w:cs="Arial"/>
          <w:b w:val="0"/>
          <w:bCs w:val="0"/>
          <w:color w:val="auto"/>
          <w:sz w:val="32"/>
          <w:szCs w:val="32"/>
        </w:rPr>
        <w:t>棚户区改造、</w:t>
      </w:r>
      <w:r>
        <w:rPr>
          <w:rFonts w:hint="eastAsia" w:ascii="仿宋_GB2312" w:eastAsia="仿宋_GB2312" w:cs="Arial"/>
          <w:b w:val="0"/>
          <w:bCs w:val="0"/>
          <w:color w:val="auto"/>
          <w:sz w:val="32"/>
          <w:szCs w:val="32"/>
          <w:lang w:eastAsia="zh-CN"/>
        </w:rPr>
        <w:t>城市</w:t>
      </w:r>
      <w:r>
        <w:rPr>
          <w:rFonts w:hint="eastAsia" w:ascii="仿宋_GB2312" w:eastAsia="仿宋_GB2312" w:cs="Arial"/>
          <w:b w:val="0"/>
          <w:bCs w:val="0"/>
          <w:color w:val="auto"/>
          <w:sz w:val="32"/>
          <w:szCs w:val="32"/>
        </w:rPr>
        <w:t>停车场</w:t>
      </w:r>
      <w:r>
        <w:rPr>
          <w:rFonts w:hint="eastAsia" w:ascii="仿宋_GB2312" w:eastAsia="仿宋_GB2312" w:cs="Arial"/>
          <w:b w:val="0"/>
          <w:bCs w:val="0"/>
          <w:color w:val="auto"/>
          <w:sz w:val="32"/>
          <w:szCs w:val="32"/>
          <w:lang w:eastAsia="zh-CN"/>
        </w:rPr>
        <w:t>、</w:t>
      </w:r>
      <w:r>
        <w:rPr>
          <w:rFonts w:hint="eastAsia" w:ascii="仿宋_GB2312" w:hAnsi="仿宋" w:eastAsia="仿宋_GB2312" w:cs="仿宋_GB2312"/>
          <w:color w:val="auto"/>
          <w:sz w:val="32"/>
          <w:szCs w:val="32"/>
        </w:rPr>
        <w:t>乡村旅游</w:t>
      </w:r>
      <w:r>
        <w:rPr>
          <w:rFonts w:hint="eastAsia" w:ascii="仿宋_GB2312" w:hAnsi="仿宋" w:eastAsia="仿宋_GB2312" w:cs="仿宋_GB2312"/>
          <w:color w:val="auto"/>
          <w:sz w:val="32"/>
          <w:szCs w:val="32"/>
          <w:lang w:eastAsia="zh-CN"/>
        </w:rPr>
        <w:t>等</w:t>
      </w:r>
      <w:r>
        <w:rPr>
          <w:rFonts w:hint="eastAsia" w:ascii="仿宋_GB2312" w:eastAsia="仿宋_GB2312" w:cs="Arial"/>
          <w:b w:val="0"/>
          <w:bCs w:val="0"/>
          <w:color w:val="auto"/>
          <w:sz w:val="32"/>
          <w:szCs w:val="32"/>
        </w:rPr>
        <w:t>项目</w:t>
      </w:r>
      <w:r>
        <w:rPr>
          <w:rFonts w:hint="eastAsia" w:ascii="仿宋_GB2312" w:eastAsia="仿宋_GB2312" w:cs="Arial"/>
          <w:b w:val="0"/>
          <w:bCs w:val="0"/>
          <w:color w:val="auto"/>
          <w:sz w:val="32"/>
          <w:szCs w:val="32"/>
          <w:lang w:eastAsia="zh-CN"/>
        </w:rPr>
        <w:t>，对全县经济建设和高质量发展发挥了重要作用。</w:t>
      </w:r>
      <w:r>
        <w:rPr>
          <w:rFonts w:hint="eastAsia" w:ascii="仿宋_GB2312" w:eastAsia="仿宋_GB2312" w:cs="Arial"/>
          <w:b/>
          <w:bCs/>
          <w:color w:val="auto"/>
          <w:sz w:val="32"/>
          <w:szCs w:val="32"/>
          <w:lang w:eastAsia="zh-CN"/>
        </w:rPr>
        <w:t>四是</w:t>
      </w:r>
      <w:r>
        <w:rPr>
          <w:rFonts w:hint="eastAsia" w:ascii="仿宋_GB2312" w:eastAsia="仿宋_GB2312" w:cs="Arial"/>
          <w:b w:val="0"/>
          <w:bCs w:val="0"/>
          <w:color w:val="auto"/>
          <w:sz w:val="32"/>
          <w:szCs w:val="32"/>
          <w:lang w:eastAsia="zh-CN"/>
        </w:rPr>
        <w:t>通过优化债务结构，发行债券，催收应收账款、处置闲置低效资产等手段积极防范化解企业债务风险，</w:t>
      </w:r>
      <w:r>
        <w:rPr>
          <w:rFonts w:hint="eastAsia" w:ascii="仿宋_GB2312" w:hAnsi="仿宋_GB2312" w:eastAsia="仿宋_GB2312" w:cs="仿宋_GB2312"/>
          <w:b w:val="0"/>
          <w:bCs w:val="0"/>
          <w:sz w:val="32"/>
          <w:szCs w:val="32"/>
          <w:lang w:val="en-US" w:eastAsia="zh-CN"/>
        </w:rPr>
        <w:t>稳妥化解各类矛盾，风险得到有效控制和化解。</w:t>
      </w:r>
    </w:p>
    <w:p>
      <w:pPr>
        <w:keepNext w:val="0"/>
        <w:keepLines w:val="0"/>
        <w:pageBreakBefore w:val="0"/>
        <w:widowControl w:val="0"/>
        <w:tabs>
          <w:tab w:val="left" w:pos="1846"/>
        </w:tabs>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pacing w:val="0"/>
          <w:position w:val="0"/>
          <w:sz w:val="32"/>
          <w:shd w:val="clear" w:color="auto" w:fill="FFFFFF"/>
          <w:lang w:val="en-US" w:eastAsia="zh-CN"/>
        </w:rPr>
      </w:pPr>
      <w:r>
        <w:rPr>
          <w:rFonts w:hint="eastAsia" w:ascii="黑体" w:hAnsi="黑体" w:eastAsia="黑体" w:cs="黑体"/>
          <w:b w:val="0"/>
          <w:bCs w:val="0"/>
          <w:sz w:val="32"/>
          <w:szCs w:val="32"/>
          <w:lang w:val="en-US" w:eastAsia="zh-CN"/>
        </w:rPr>
        <w:t>3、巩固提升脱贫攻坚成效。</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color w:val="auto"/>
          <w:spacing w:val="0"/>
          <w:position w:val="0"/>
          <w:sz w:val="32"/>
          <w:shd w:val="clear" w:color="auto" w:fill="FFFFFF"/>
          <w:lang w:val="en-US" w:eastAsia="zh-CN"/>
        </w:rPr>
        <w:t>完成了两个村9.9公里道路建设，新建两个村阵地等640平方米，完成了两个村300多户1000余人人畜饮水安全工程，群众手机信号、广播电视网络实现了全覆盖。</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i w:val="0"/>
          <w:caps w:val="0"/>
          <w:color w:val="000000"/>
          <w:spacing w:val="0"/>
          <w:sz w:val="32"/>
          <w:szCs w:val="32"/>
          <w:lang w:val="en-US" w:eastAsia="zh-CN"/>
        </w:rPr>
        <w:t>协调引进红峰公司与黑潭岩村合作成立种养殖</w:t>
      </w:r>
      <w:r>
        <w:rPr>
          <w:rFonts w:hint="eastAsia" w:ascii="仿宋_GB2312" w:hAnsi="仿宋_GB2312" w:eastAsia="仿宋_GB2312" w:cs="仿宋_GB2312"/>
          <w:b w:val="0"/>
          <w:i w:val="0"/>
          <w:caps w:val="0"/>
          <w:color w:val="000000"/>
          <w:spacing w:val="0"/>
          <w:sz w:val="32"/>
          <w:szCs w:val="32"/>
          <w:lang w:val="en-US" w:eastAsia="zh-CN"/>
        </w:rPr>
        <w:t>专业合作社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none"/>
          <w:lang w:val="en-US" w:eastAsia="zh-CN"/>
        </w:rPr>
        <w:t>累计投入资金70余万元，</w:t>
      </w:r>
      <w:r>
        <w:rPr>
          <w:rFonts w:hint="eastAsia" w:ascii="仿宋_GB2312" w:hAnsi="仿宋" w:eastAsia="仿宋_GB2312" w:cs="仿宋"/>
          <w:sz w:val="32"/>
          <w:szCs w:val="32"/>
          <w:lang w:val="en-US" w:eastAsia="zh-CN"/>
        </w:rPr>
        <w:t>流转200余亩土地种植青花椒，今年已投产；发动群众自主发展青花椒约100亩。</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i w:val="0"/>
          <w:caps w:val="0"/>
          <w:color w:val="000000"/>
          <w:spacing w:val="0"/>
          <w:sz w:val="32"/>
          <w:szCs w:val="32"/>
          <w:lang w:val="en-US" w:eastAsia="zh-CN"/>
        </w:rPr>
        <w:t>完成两个村48户146人易地扶贫搬迁任务，通过贫困户“三改一配套”实施和“五园”经济建设，加强脏、乱、差等村容村貌治理，优化村民居住环境，</w:t>
      </w:r>
      <w:r>
        <w:rPr>
          <w:rFonts w:hint="eastAsia" w:ascii="仿宋_GB2312" w:hAnsi="仿宋_GB2312" w:eastAsia="仿宋_GB2312" w:cs="仿宋_GB2312"/>
          <w:color w:val="auto"/>
          <w:spacing w:val="0"/>
          <w:position w:val="0"/>
          <w:sz w:val="32"/>
          <w:shd w:val="clear" w:color="auto" w:fill="FFFFFF"/>
          <w:lang w:val="en-US" w:eastAsia="zh-CN"/>
        </w:rPr>
        <w:t>引导树立良好风气，民风民俗持续好转。</w:t>
      </w:r>
    </w:p>
    <w:p>
      <w:pPr>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4、统筹推进各项工作。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督促企业落实法律顾问制度，企业重大决策充分征求法律顾问意见，定期组织开展法律进企业、进车间、进班组，宣讲法律法规，监督企业依法依规决策、诚信经营，建设诚信守法企业。</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定期开展“扫黑除恶”问题排查，及时上报问题线索，全力配合案件查处。定期开展信访隐患排查，积极配合县粮储中心化解下岗职工信访诉求，化解矛盾，确保稳定。</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督促企业保证安全生产投入，及时排查安全隐患，落实安全生产责任制，开展全员培训，对企业安全生产从严考核</w:t>
      </w:r>
    </w:p>
    <w:p>
      <w:pPr>
        <w:adjustRightInd w:val="0"/>
        <w:snapToGrid w:val="0"/>
        <w:spacing w:line="360" w:lineRule="auto"/>
        <w:ind w:firstLine="720"/>
        <w:rPr>
          <w:rFonts w:hint="eastAsia" w:ascii="黑体" w:hAnsi="宋体" w:eastAsia="黑体"/>
          <w:sz w:val="32"/>
          <w:szCs w:val="32"/>
        </w:rPr>
      </w:pPr>
      <w:r>
        <w:rPr>
          <w:rFonts w:hint="eastAsia" w:ascii="黑体" w:hAnsi="宋体" w:eastAsia="黑体"/>
          <w:sz w:val="32"/>
          <w:szCs w:val="32"/>
        </w:rPr>
        <w:t>二、资金情况</w:t>
      </w:r>
    </w:p>
    <w:p>
      <w:pPr>
        <w:snapToGrid w:val="0"/>
        <w:spacing w:line="360" w:lineRule="auto"/>
        <w:ind w:firstLine="643" w:firstLineChars="200"/>
        <w:rPr>
          <w:rFonts w:hint="eastAsia" w:ascii="楷体" w:hAnsi="楷体" w:eastAsia="楷体"/>
          <w:sz w:val="32"/>
          <w:szCs w:val="32"/>
          <w:lang w:val="zh-CN"/>
        </w:rPr>
      </w:pPr>
      <w:r>
        <w:rPr>
          <w:rFonts w:hint="eastAsia" w:ascii="楷体" w:hAnsi="楷体" w:eastAsia="楷体"/>
          <w:b/>
          <w:sz w:val="32"/>
          <w:szCs w:val="32"/>
          <w:lang w:val="zh-CN"/>
        </w:rPr>
        <w:t>（一）资金使用情况。</w:t>
      </w:r>
      <w:r>
        <w:rPr>
          <w:rFonts w:hint="eastAsia" w:ascii="仿宋_GB2312" w:hAnsi="宋体" w:eastAsia="仿宋_GB2312"/>
          <w:sz w:val="32"/>
          <w:szCs w:val="32"/>
          <w:lang w:val="zh-CN"/>
        </w:rPr>
        <w:t>截至20</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年12月底，县</w:t>
      </w:r>
      <w:r>
        <w:rPr>
          <w:rFonts w:hint="eastAsia" w:ascii="仿宋_GB2312" w:hAnsi="宋体" w:eastAsia="仿宋_GB2312"/>
          <w:sz w:val="32"/>
          <w:szCs w:val="32"/>
          <w:lang w:val="zh-CN" w:eastAsia="zh-CN"/>
        </w:rPr>
        <w:t>国资委</w:t>
      </w:r>
      <w:r>
        <w:rPr>
          <w:rFonts w:hint="eastAsia" w:ascii="仿宋_GB2312" w:hAnsi="宋体" w:eastAsia="仿宋_GB2312"/>
          <w:sz w:val="32"/>
          <w:szCs w:val="32"/>
          <w:lang w:val="zh-CN"/>
        </w:rPr>
        <w:t>全年预算</w:t>
      </w:r>
      <w:r>
        <w:rPr>
          <w:rFonts w:hint="eastAsia" w:ascii="仿宋_GB2312" w:hAnsi="宋体" w:eastAsia="仿宋_GB2312"/>
          <w:sz w:val="32"/>
          <w:szCs w:val="32"/>
          <w:lang w:val="en-US" w:eastAsia="zh-CN"/>
        </w:rPr>
        <w:t>137</w:t>
      </w:r>
      <w:r>
        <w:rPr>
          <w:rFonts w:hint="eastAsia" w:ascii="仿宋_GB2312" w:hAnsi="宋体" w:eastAsia="仿宋_GB2312"/>
          <w:sz w:val="32"/>
          <w:szCs w:val="32"/>
          <w:lang w:val="zh-CN"/>
        </w:rPr>
        <w:t>万元，实际支付资金</w:t>
      </w:r>
      <w:r>
        <w:rPr>
          <w:rFonts w:hint="eastAsia" w:ascii="仿宋_GB2312" w:hAnsi="宋体" w:eastAsia="仿宋_GB2312"/>
          <w:sz w:val="32"/>
          <w:szCs w:val="32"/>
          <w:lang w:val="en-US" w:eastAsia="zh-CN"/>
        </w:rPr>
        <w:t>137</w:t>
      </w:r>
      <w:r>
        <w:rPr>
          <w:rFonts w:hint="eastAsia" w:ascii="仿宋_GB2312" w:hAnsi="宋体" w:eastAsia="仿宋_GB2312"/>
          <w:sz w:val="32"/>
          <w:szCs w:val="32"/>
          <w:lang w:val="zh-CN"/>
        </w:rPr>
        <w:t>万元，其中人员经费</w:t>
      </w:r>
      <w:r>
        <w:rPr>
          <w:rFonts w:hint="eastAsia" w:ascii="仿宋_GB2312" w:hAnsi="宋体" w:eastAsia="仿宋_GB2312"/>
          <w:sz w:val="32"/>
          <w:szCs w:val="32"/>
          <w:lang w:val="en-US" w:eastAsia="zh-CN"/>
        </w:rPr>
        <w:t>101</w:t>
      </w:r>
      <w:r>
        <w:rPr>
          <w:rFonts w:hint="eastAsia" w:ascii="仿宋_GB2312" w:hAnsi="宋体" w:eastAsia="仿宋_GB2312"/>
          <w:sz w:val="32"/>
          <w:szCs w:val="32"/>
          <w:lang w:val="zh-CN"/>
        </w:rPr>
        <w:t>万元，项目经费</w:t>
      </w:r>
      <w:r>
        <w:rPr>
          <w:rFonts w:hint="eastAsia" w:ascii="仿宋_GB2312" w:hAnsi="宋体" w:eastAsia="仿宋_GB2312"/>
          <w:sz w:val="32"/>
          <w:szCs w:val="32"/>
          <w:lang w:val="en-US" w:eastAsia="zh-CN"/>
        </w:rPr>
        <w:t>36</w:t>
      </w:r>
      <w:r>
        <w:rPr>
          <w:rFonts w:hint="eastAsia" w:ascii="仿宋_GB2312" w:hAnsi="宋体" w:eastAsia="仿宋_GB2312"/>
          <w:sz w:val="32"/>
          <w:szCs w:val="32"/>
          <w:lang w:val="zh-CN"/>
        </w:rPr>
        <w:t>万元。主要用于国资委人员经费、日常工作开展经费及项目资金等支出，资金按时按规定支付。支付依据合规合法，资金支付与预算相符。</w:t>
      </w:r>
    </w:p>
    <w:p>
      <w:pPr>
        <w:snapToGrid w:val="0"/>
        <w:spacing w:line="360" w:lineRule="auto"/>
        <w:ind w:firstLine="643" w:firstLineChars="200"/>
        <w:rPr>
          <w:rFonts w:hint="eastAsia" w:ascii="仿宋_GB2312" w:hAnsi="宋体" w:eastAsia="仿宋_GB2312"/>
          <w:sz w:val="32"/>
          <w:szCs w:val="32"/>
          <w:lang w:val="zh-CN"/>
        </w:rPr>
      </w:pPr>
      <w:r>
        <w:rPr>
          <w:rFonts w:hint="eastAsia" w:ascii="楷体" w:hAnsi="楷体" w:eastAsia="楷体"/>
          <w:b/>
          <w:sz w:val="32"/>
          <w:szCs w:val="32"/>
          <w:lang w:val="zh-CN"/>
        </w:rPr>
        <w:t>（二）</w:t>
      </w:r>
      <w:r>
        <w:rPr>
          <w:rFonts w:ascii="楷体" w:hAnsi="楷体" w:eastAsia="楷体"/>
          <w:b/>
          <w:sz w:val="32"/>
          <w:szCs w:val="32"/>
          <w:lang w:val="zh-CN"/>
        </w:rPr>
        <w:t>资金到位</w:t>
      </w:r>
      <w:r>
        <w:rPr>
          <w:rFonts w:hint="eastAsia" w:ascii="楷体" w:hAnsi="楷体" w:eastAsia="楷体"/>
          <w:b/>
          <w:sz w:val="32"/>
          <w:szCs w:val="32"/>
          <w:lang w:val="zh-CN"/>
        </w:rPr>
        <w:t>情况。</w:t>
      </w:r>
      <w:r>
        <w:rPr>
          <w:rFonts w:hint="eastAsia" w:ascii="仿宋_GB2312" w:hAnsi="宋体" w:eastAsia="仿宋_GB2312"/>
          <w:sz w:val="32"/>
          <w:szCs w:val="32"/>
          <w:lang w:val="zh-CN"/>
        </w:rPr>
        <w:t>各项经费已按财政预算金额安排到位,同时各项经费已按实际使用情况拨付到位</w:t>
      </w:r>
    </w:p>
    <w:p>
      <w:pPr>
        <w:snapToGrid w:val="0"/>
        <w:spacing w:line="360" w:lineRule="auto"/>
        <w:ind w:firstLine="643" w:firstLineChars="200"/>
        <w:rPr>
          <w:rFonts w:hint="eastAsia" w:ascii="仿宋_GB2312" w:hAnsi="宋体" w:eastAsia="仿宋_GB2312"/>
          <w:sz w:val="32"/>
          <w:szCs w:val="32"/>
          <w:lang w:val="zh-CN"/>
        </w:rPr>
      </w:pPr>
      <w:r>
        <w:rPr>
          <w:rFonts w:hint="eastAsia" w:ascii="楷体" w:hAnsi="楷体" w:eastAsia="楷体"/>
          <w:b/>
          <w:sz w:val="32"/>
          <w:szCs w:val="32"/>
          <w:lang w:val="zh-CN"/>
        </w:rPr>
        <w:t>（三）资金管理情况。</w:t>
      </w:r>
      <w:r>
        <w:rPr>
          <w:rFonts w:hint="eastAsia" w:ascii="仿宋_GB2312" w:hAnsi="宋体" w:eastAsia="仿宋_GB2312"/>
          <w:sz w:val="32"/>
          <w:szCs w:val="32"/>
          <w:lang w:val="zh-CN"/>
        </w:rPr>
        <w:t>县国资委资金做到专款专用，做到集中财力，突出重点、明确范围，分类管理、强化监督，讲求绩效。</w:t>
      </w:r>
    </w:p>
    <w:p>
      <w:pPr>
        <w:snapToGrid w:val="0"/>
        <w:spacing w:line="360" w:lineRule="auto"/>
        <w:ind w:firstLine="643" w:firstLineChars="200"/>
        <w:rPr>
          <w:rFonts w:hint="eastAsia" w:ascii="仿宋_GB2312" w:hAnsi="宋体" w:eastAsia="仿宋_GB2312"/>
          <w:sz w:val="32"/>
          <w:szCs w:val="32"/>
          <w:lang w:val="zh-CN"/>
        </w:rPr>
      </w:pPr>
      <w:r>
        <w:rPr>
          <w:rFonts w:hint="eastAsia" w:ascii="楷体" w:hAnsi="楷体" w:eastAsia="楷体"/>
          <w:b/>
          <w:sz w:val="32"/>
          <w:szCs w:val="32"/>
          <w:lang w:val="zh-CN"/>
        </w:rPr>
        <w:t>（四）资金分配情况。</w:t>
      </w:r>
      <w:r>
        <w:rPr>
          <w:rFonts w:hint="eastAsia" w:ascii="仿宋_GB2312" w:hAnsi="宋体" w:eastAsia="仿宋_GB2312"/>
          <w:sz w:val="32"/>
          <w:szCs w:val="32"/>
          <w:lang w:val="zh-CN"/>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lang w:val="zh-CN"/>
        </w:rPr>
        <w:t>年国资委经费人员开支占74%，日常办公经费占13%，项目经费占13%。</w:t>
      </w:r>
    </w:p>
    <w:p>
      <w:pPr>
        <w:spacing w:line="58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三、存在的主要问题</w:t>
      </w:r>
    </w:p>
    <w:p>
      <w:pPr>
        <w:snapToGrid w:val="0"/>
        <w:spacing w:line="580" w:lineRule="exact"/>
        <w:ind w:firstLine="643" w:firstLineChars="200"/>
        <w:jc w:val="left"/>
        <w:rPr>
          <w:rFonts w:hint="eastAsia" w:ascii="仿宋_GB2312" w:hAnsi="仿宋_GB2312" w:eastAsia="仿宋_GB2312" w:cs="仿宋_GB2312"/>
          <w:sz w:val="32"/>
          <w:szCs w:val="32"/>
        </w:rPr>
      </w:pPr>
      <w:r>
        <w:rPr>
          <w:rFonts w:hint="eastAsia" w:ascii="楷体" w:hAnsi="楷体" w:eastAsia="楷体" w:cs="楷体"/>
          <w:b/>
          <w:bCs/>
          <w:sz w:val="32"/>
          <w:szCs w:val="32"/>
        </w:rPr>
        <w:t>（一）人员、经费不足。</w:t>
      </w:r>
      <w:r>
        <w:rPr>
          <w:rFonts w:hint="eastAsia" w:ascii="仿宋_GB2312" w:hAnsi="仿宋_GB2312" w:eastAsia="楷体" w:cs="仿宋_GB2312"/>
          <w:sz w:val="32"/>
          <w:szCs w:val="32"/>
          <w:lang w:eastAsia="zh-CN"/>
        </w:rPr>
        <w:t>国资委</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人，现有正式在岗在编人员</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国资委</w:t>
      </w:r>
      <w:r>
        <w:rPr>
          <w:rFonts w:hint="eastAsia" w:ascii="仿宋_GB2312" w:hAnsi="仿宋_GB2312" w:eastAsia="仿宋_GB2312" w:cs="仿宋_GB2312"/>
          <w:sz w:val="32"/>
          <w:szCs w:val="32"/>
        </w:rPr>
        <w:t>现有编制数是在20</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年核算的，当时</w:t>
      </w:r>
      <w:r>
        <w:rPr>
          <w:rFonts w:hint="eastAsia" w:ascii="仿宋_GB2312" w:hAnsi="仿宋_GB2312" w:eastAsia="仿宋_GB2312" w:cs="仿宋_GB2312"/>
          <w:sz w:val="32"/>
          <w:szCs w:val="32"/>
          <w:lang w:eastAsia="zh-CN"/>
        </w:rPr>
        <w:t>监管的国有企业</w:t>
      </w:r>
      <w:r>
        <w:rPr>
          <w:rFonts w:hint="eastAsia" w:ascii="仿宋_GB2312" w:hAnsi="仿宋_GB2312" w:eastAsia="仿宋_GB2312" w:cs="仿宋_GB2312"/>
          <w:sz w:val="32"/>
          <w:szCs w:val="32"/>
        </w:rPr>
        <w:t>少。然而近年来，由于</w:t>
      </w:r>
      <w:r>
        <w:rPr>
          <w:rFonts w:hint="eastAsia" w:ascii="仿宋_GB2312" w:hAnsi="仿宋_GB2312" w:eastAsia="仿宋_GB2312" w:cs="仿宋_GB2312"/>
          <w:sz w:val="32"/>
          <w:szCs w:val="32"/>
          <w:lang w:eastAsia="zh-CN"/>
        </w:rPr>
        <w:t>国有资产的不断扩大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国有企业数</w:t>
      </w:r>
      <w:r>
        <w:rPr>
          <w:rFonts w:hint="eastAsia" w:ascii="仿宋_GB2312" w:hAnsi="仿宋_GB2312" w:eastAsia="仿宋_GB2312" w:cs="仿宋_GB2312"/>
          <w:sz w:val="32"/>
          <w:szCs w:val="32"/>
        </w:rPr>
        <w:t>不断增加，全县</w:t>
      </w:r>
      <w:r>
        <w:rPr>
          <w:rFonts w:hint="eastAsia" w:ascii="仿宋_GB2312" w:hAnsi="仿宋_GB2312" w:eastAsia="仿宋_GB2312" w:cs="仿宋_GB2312"/>
          <w:sz w:val="32"/>
          <w:szCs w:val="32"/>
          <w:lang w:eastAsia="zh-CN"/>
        </w:rPr>
        <w:t>国有企业已达到</w:t>
      </w:r>
      <w:r>
        <w:rPr>
          <w:rFonts w:hint="eastAsia" w:ascii="仿宋_GB2312" w:hAnsi="仿宋_GB2312" w:eastAsia="仿宋_GB2312" w:cs="仿宋_GB2312"/>
          <w:sz w:val="32"/>
          <w:szCs w:val="32"/>
          <w:lang w:val="en-US" w:eastAsia="zh-CN"/>
        </w:rPr>
        <w:t>22家</w:t>
      </w:r>
      <w:r>
        <w:rPr>
          <w:rFonts w:hint="eastAsia" w:ascii="仿宋_GB2312" w:hAnsi="仿宋_GB2312" w:eastAsia="仿宋_GB2312" w:cs="仿宋_GB2312"/>
          <w:sz w:val="32"/>
          <w:szCs w:val="32"/>
        </w:rPr>
        <w:t>，关乎</w:t>
      </w:r>
      <w:r>
        <w:rPr>
          <w:rFonts w:hint="eastAsia" w:ascii="仿宋_GB2312" w:hAnsi="仿宋_GB2312" w:eastAsia="仿宋_GB2312" w:cs="仿宋_GB2312"/>
          <w:sz w:val="32"/>
          <w:szCs w:val="32"/>
          <w:lang w:eastAsia="zh-CN"/>
        </w:rPr>
        <w:t>国有资产的增值发展</w:t>
      </w:r>
      <w:r>
        <w:rPr>
          <w:rFonts w:hint="eastAsia" w:ascii="仿宋_GB2312" w:hAnsi="仿宋_GB2312" w:eastAsia="仿宋_GB2312" w:cs="仿宋_GB2312"/>
          <w:sz w:val="32"/>
          <w:szCs w:val="32"/>
        </w:rPr>
        <w:t>越来越被重视，</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工作任务重，</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专项行动多。由于正式人员编制少，无法完成现有</w:t>
      </w:r>
      <w:r>
        <w:rPr>
          <w:rFonts w:hint="eastAsia" w:ascii="仿宋_GB2312" w:hAnsi="仿宋_GB2312" w:eastAsia="仿宋_GB2312" w:cs="仿宋_GB2312"/>
          <w:sz w:val="32"/>
          <w:szCs w:val="32"/>
          <w:lang w:eastAsia="zh-CN"/>
        </w:rPr>
        <w:t>国有资产监管工作</w:t>
      </w:r>
      <w:r>
        <w:rPr>
          <w:rFonts w:hint="eastAsia" w:ascii="仿宋_GB2312" w:hAnsi="仿宋_GB2312" w:eastAsia="仿宋_GB2312" w:cs="仿宋_GB2312"/>
          <w:sz w:val="32"/>
          <w:szCs w:val="32"/>
        </w:rPr>
        <w:t>，严重影响了</w:t>
      </w:r>
      <w:r>
        <w:rPr>
          <w:rFonts w:hint="eastAsia" w:ascii="仿宋_GB2312" w:hAnsi="仿宋_GB2312" w:eastAsia="仿宋_GB2312" w:cs="仿宋_GB2312"/>
          <w:sz w:val="32"/>
          <w:szCs w:val="32"/>
          <w:lang w:eastAsia="zh-CN"/>
        </w:rPr>
        <w:t>国资委</w:t>
      </w:r>
      <w:r>
        <w:rPr>
          <w:rFonts w:hint="eastAsia" w:ascii="仿宋_GB2312" w:hAnsi="仿宋_GB2312" w:eastAsia="仿宋_GB2312" w:cs="仿宋_GB2312"/>
          <w:sz w:val="32"/>
          <w:szCs w:val="32"/>
        </w:rPr>
        <w:t>工作的正常开展。</w:t>
      </w:r>
    </w:p>
    <w:p>
      <w:pPr>
        <w:snapToGrid w:val="0"/>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）队伍履职尽责能力亟需提升。</w:t>
      </w:r>
      <w:r>
        <w:rPr>
          <w:rFonts w:hint="eastAsia" w:ascii="仿宋_GB2312" w:hAnsi="仿宋_GB2312" w:eastAsia="楷体" w:cs="仿宋_GB2312"/>
          <w:sz w:val="32"/>
          <w:szCs w:val="32"/>
          <w:lang w:eastAsia="zh-CN"/>
        </w:rPr>
        <w:t>国资委</w:t>
      </w:r>
      <w:r>
        <w:rPr>
          <w:rFonts w:hint="eastAsia" w:ascii="仿宋_GB2312" w:hAnsi="仿宋_GB2312" w:eastAsia="仿宋_GB2312" w:cs="仿宋_GB2312"/>
          <w:sz w:val="32"/>
          <w:szCs w:val="32"/>
        </w:rPr>
        <w:t>职工队伍人员素质和业务能力参差不齐，部分职工政治意识、党性修养、法律知识、业务技能等有待进一步提高。</w:t>
      </w:r>
    </w:p>
    <w:p>
      <w:pPr>
        <w:snapToGrid w:val="0"/>
        <w:spacing w:line="58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）工作机制和管理制度需进一步完善。</w:t>
      </w:r>
      <w:r>
        <w:rPr>
          <w:rFonts w:hint="eastAsia" w:ascii="仿宋" w:hAnsi="仿宋" w:eastAsia="仿宋" w:cs="仿宋"/>
          <w:sz w:val="32"/>
          <w:szCs w:val="32"/>
        </w:rPr>
        <w:t>管理制度规范化程度需进一步提升，各项管理制度需进一步完善和修订，工作激励机制尚未完全形成。</w:t>
      </w:r>
    </w:p>
    <w:p>
      <w:pPr>
        <w:snapToGrid w:val="0"/>
        <w:spacing w:line="580" w:lineRule="exact"/>
        <w:jc w:val="left"/>
        <w:rPr>
          <w:rFonts w:hint="eastAsia" w:ascii="仿宋" w:hAnsi="仿宋" w:eastAsia="仿宋" w:cs="仿宋"/>
          <w:sz w:val="32"/>
          <w:szCs w:val="32"/>
        </w:rPr>
      </w:pPr>
    </w:p>
    <w:p>
      <w:pPr>
        <w:adjustRightInd w:val="0"/>
        <w:snapToGrid w:val="0"/>
        <w:spacing w:line="360" w:lineRule="auto"/>
        <w:ind w:firstLine="720"/>
        <w:rPr>
          <w:rFonts w:hint="eastAsia" w:ascii="黑体" w:hAnsi="宋体" w:eastAsia="黑体"/>
          <w:sz w:val="32"/>
          <w:szCs w:val="32"/>
        </w:rPr>
      </w:pPr>
      <w:r>
        <w:rPr>
          <w:rFonts w:hint="eastAsia" w:ascii="黑体" w:hAnsi="宋体" w:eastAsia="黑体"/>
          <w:sz w:val="32"/>
          <w:szCs w:val="32"/>
        </w:rPr>
        <w:t>四、改进措施及建议</w:t>
      </w:r>
    </w:p>
    <w:p>
      <w:pPr>
        <w:snapToGrid w:val="0"/>
        <w:spacing w:line="580" w:lineRule="exact"/>
        <w:ind w:firstLine="643" w:firstLineChars="200"/>
        <w:jc w:val="left"/>
        <w:rPr>
          <w:rFonts w:hint="eastAsia" w:ascii="楷体" w:hAnsi="楷体" w:eastAsia="楷体"/>
          <w:b/>
          <w:bCs/>
          <w:sz w:val="32"/>
          <w:szCs w:val="32"/>
          <w:lang w:val="zh-CN"/>
        </w:rPr>
      </w:pPr>
      <w:r>
        <w:rPr>
          <w:rFonts w:hint="eastAsia" w:ascii="楷体" w:hAnsi="楷体" w:eastAsia="楷体"/>
          <w:b/>
          <w:bCs/>
          <w:sz w:val="32"/>
          <w:szCs w:val="32"/>
          <w:lang w:val="zh-CN"/>
        </w:rPr>
        <w:t>（一）相关改进措施</w:t>
      </w:r>
    </w:p>
    <w:p>
      <w:pPr>
        <w:snapToGrid w:val="0"/>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1、继续深入学习习近平</w:t>
      </w:r>
      <w:r>
        <w:rPr>
          <w:rFonts w:hint="eastAsia" w:ascii="仿宋" w:hAnsi="仿宋" w:eastAsia="仿宋" w:cs="仿宋"/>
          <w:sz w:val="32"/>
          <w:szCs w:val="32"/>
          <w:lang w:eastAsia="zh-CN"/>
        </w:rPr>
        <w:t>新时代</w:t>
      </w:r>
      <w:r>
        <w:rPr>
          <w:rFonts w:hint="eastAsia" w:ascii="仿宋" w:hAnsi="仿宋" w:eastAsia="仿宋" w:cs="仿宋"/>
          <w:sz w:val="32"/>
          <w:szCs w:val="32"/>
        </w:rPr>
        <w:t>中国特色社会主义思想，全面贯彻落实十九大以来党的方针政策和省、市、县各级党委、政府的决策部署，教育引导全体党员干部从思想上、行动上与党中央保持一致，持续提高思想认识水平，持续改变工作作风，持续抓队伍建设，持续树好队伍形象。</w:t>
      </w:r>
    </w:p>
    <w:p>
      <w:pPr>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、持续开展“三基三化”“四统一”，行政执法“三项制度”“政风行风建设五大行动”建设。</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、项目绩效目标与指标不完整，绩效指标较少，不能完全衡量条件建设经费项目的完成情况，绩效指标未涵盖所有工作事项，绩效标准表述不够准确，整体逻辑关系不够清晰。</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资金投入较小，项目建设是一项长期建设任务，投入资金有限。在一个时间范围内，完成一个整体的建设项目非常困难</w:t>
      </w:r>
    </w:p>
    <w:p>
      <w:pPr>
        <w:spacing w:line="580" w:lineRule="exact"/>
        <w:rPr>
          <w:rFonts w:hint="eastAsia" w:ascii="仿宋_GB2312" w:hAnsi="宋体" w:eastAsia="仿宋_GB2312"/>
          <w:sz w:val="32"/>
          <w:szCs w:val="32"/>
          <w:lang w:val="zh-CN"/>
        </w:rPr>
      </w:pPr>
      <w:r>
        <w:rPr>
          <w:rFonts w:hint="eastAsia" w:ascii="仿宋_GB2312" w:hAnsi="宋体" w:eastAsia="仿宋_GB2312"/>
          <w:sz w:val="32"/>
          <w:szCs w:val="32"/>
          <w:lang w:val="zh-CN"/>
        </w:rPr>
        <w:t>　　</w:t>
      </w: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、全力抓好队伍管理，加强廉政教育，提升素质建设，建设一支政治坚定、纪律严明、作风优良、清正廉洁的国资委监管队伍。</w:t>
      </w:r>
    </w:p>
    <w:p>
      <w:pPr>
        <w:snapToGrid w:val="0"/>
        <w:spacing w:line="580" w:lineRule="exact"/>
        <w:ind w:firstLine="640" w:firstLineChars="200"/>
        <w:jc w:val="left"/>
        <w:rPr>
          <w:rFonts w:hint="eastAsia" w:ascii="仿宋_GB2312" w:hAnsi="宋体" w:eastAsia="仿宋_GB2312"/>
          <w:sz w:val="32"/>
          <w:szCs w:val="32"/>
          <w:lang w:val="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、扎实抓好脱贫攻坚巩固工作。积极支持机构改革，严肃改革纪律，确保干部队伍思想稳定，确保各项工作平稳有序。</w:t>
      </w:r>
    </w:p>
    <w:p>
      <w:pPr>
        <w:snapToGrid w:val="0"/>
        <w:spacing w:line="360" w:lineRule="auto"/>
        <w:ind w:firstLine="643" w:firstLineChars="200"/>
        <w:rPr>
          <w:rFonts w:hint="eastAsia" w:ascii="楷体" w:hAnsi="楷体" w:eastAsia="楷体"/>
          <w:b/>
          <w:bCs/>
          <w:sz w:val="32"/>
          <w:szCs w:val="32"/>
          <w:lang w:val="zh-CN"/>
        </w:rPr>
      </w:pPr>
      <w:r>
        <w:rPr>
          <w:rFonts w:hint="eastAsia" w:ascii="楷体" w:hAnsi="楷体" w:eastAsia="楷体"/>
          <w:b/>
          <w:bCs/>
          <w:sz w:val="32"/>
          <w:szCs w:val="32"/>
          <w:lang w:val="zh-CN"/>
        </w:rPr>
        <w:t>（二）相关建议</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请财政根据国资委事业发展的要求和实际情况，提高年初部门预算额度，将常规项目支出纳入年度预算，并增加相关预算项目。</w:t>
      </w:r>
    </w:p>
    <w:p>
      <w:pPr>
        <w:adjustRightInd w:val="0"/>
        <w:snapToGrid w:val="0"/>
        <w:spacing w:line="560" w:lineRule="exact"/>
        <w:ind w:firstLine="720"/>
        <w:rPr>
          <w:rFonts w:hint="eastAsia" w:ascii="楷体_GB2312" w:hAnsi="宋体" w:eastAsia="楷体_GB2312"/>
          <w:b/>
          <w:sz w:val="32"/>
          <w:szCs w:val="32"/>
        </w:rPr>
      </w:pPr>
    </w:p>
    <w:p>
      <w:pPr>
        <w:adjustRightInd w:val="0"/>
        <w:snapToGrid w:val="0"/>
        <w:spacing w:line="560" w:lineRule="exact"/>
        <w:ind w:firstLine="720"/>
        <w:jc w:val="right"/>
        <w:rPr>
          <w:rFonts w:hint="eastAsia" w:ascii="仿宋_GB2312" w:hAnsi="宋体" w:eastAsia="仿宋_GB2312"/>
          <w:sz w:val="32"/>
          <w:szCs w:val="32"/>
          <w:lang w:val="zh-CN"/>
        </w:rPr>
      </w:pPr>
      <w:r>
        <w:rPr>
          <w:rFonts w:hint="eastAsia" w:ascii="仿宋_GB2312" w:hAnsi="宋体" w:eastAsia="仿宋_GB2312"/>
          <w:sz w:val="32"/>
          <w:szCs w:val="32"/>
          <w:lang w:val="zh-CN"/>
        </w:rPr>
        <w:t>通江县国有资产监督管理委员会</w:t>
      </w:r>
    </w:p>
    <w:p>
      <w:pPr>
        <w:adjustRightInd w:val="0"/>
        <w:snapToGrid w:val="0"/>
        <w:spacing w:line="560" w:lineRule="exact"/>
        <w:ind w:firstLine="720"/>
        <w:jc w:val="center"/>
        <w:rPr>
          <w:rFonts w:hint="eastAsia" w:ascii="仿宋_GB2312" w:hAnsi="宋体" w:eastAsia="仿宋_GB2312"/>
          <w:sz w:val="32"/>
          <w:szCs w:val="32"/>
          <w:lang w:val="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zh-CN"/>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月19日</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bidi w:val="0"/>
        <w:rPr>
          <w:rFonts w:hint="eastAsia" w:ascii="仿宋" w:hAnsi="仿宋" w:eastAsia="仿宋" w:cs="仿宋"/>
          <w:b w:val="0"/>
          <w:bCs/>
        </w:rPr>
      </w:pPr>
      <w:bookmarkStart w:id="83" w:name="_Toc12509"/>
      <w:r>
        <w:rPr>
          <w:rFonts w:hint="eastAsia" w:ascii="仿宋" w:hAnsi="仿宋" w:eastAsia="仿宋" w:cs="仿宋"/>
          <w:b w:val="0"/>
          <w:bCs/>
        </w:rPr>
        <w:t>附件2</w:t>
      </w:r>
      <w:bookmarkEnd w:id="83"/>
    </w:p>
    <w:p>
      <w:pPr>
        <w:spacing w:line="580" w:lineRule="exact"/>
        <w:ind w:firstLine="640" w:firstLineChars="200"/>
        <w:rPr>
          <w:rFonts w:ascii="仿宋_GB2312" w:hAnsi="仿宋_GB2312" w:eastAsia="仿宋_GB2312" w:cs="仿宋_GB2312"/>
          <w:sz w:val="32"/>
          <w:szCs w:val="32"/>
        </w:rPr>
      </w:pPr>
    </w:p>
    <w:p>
      <w:pPr>
        <w:pStyle w:val="44"/>
        <w:spacing w:line="240" w:lineRule="auto"/>
        <w:jc w:val="center"/>
        <w:rPr>
          <w:rFonts w:hint="eastAsia" w:ascii="宋体" w:hAnsi="宋体"/>
          <w:b/>
          <w:sz w:val="44"/>
          <w:szCs w:val="44"/>
        </w:rPr>
      </w:pPr>
      <w:r>
        <w:rPr>
          <w:rFonts w:hint="eastAsia" w:ascii="宋体" w:hAnsi="宋体"/>
          <w:b/>
          <w:sz w:val="44"/>
          <w:szCs w:val="44"/>
        </w:rPr>
        <w:t>通江县国有资产监督管理委员会关于</w:t>
      </w:r>
    </w:p>
    <w:p>
      <w:pPr>
        <w:pStyle w:val="44"/>
        <w:spacing w:line="240" w:lineRule="auto"/>
        <w:jc w:val="center"/>
        <w:rPr>
          <w:rFonts w:hint="eastAsia" w:ascii="宋体" w:hAnsi="宋体"/>
          <w:b/>
          <w:sz w:val="44"/>
          <w:szCs w:val="44"/>
        </w:rPr>
      </w:pPr>
      <w:r>
        <w:rPr>
          <w:rFonts w:hint="eastAsia" w:ascii="宋体" w:hAnsi="宋体"/>
          <w:b/>
          <w:sz w:val="44"/>
          <w:szCs w:val="44"/>
          <w:lang w:eastAsia="zh-CN"/>
        </w:rPr>
        <w:t>国有企业改革</w:t>
      </w:r>
      <w:r>
        <w:rPr>
          <w:rFonts w:hint="eastAsia" w:ascii="宋体" w:hAnsi="宋体"/>
          <w:b/>
          <w:sz w:val="44"/>
          <w:szCs w:val="44"/>
        </w:rPr>
        <w:t>绩效自评报告</w:t>
      </w:r>
    </w:p>
    <w:p>
      <w:pPr>
        <w:pStyle w:val="44"/>
        <w:spacing w:line="240" w:lineRule="auto"/>
        <w:jc w:val="center"/>
        <w:rPr>
          <w:rFonts w:hint="eastAsia" w:ascii="宋体" w:hAnsi="宋体"/>
          <w:bCs/>
          <w:sz w:val="32"/>
          <w:szCs w:val="32"/>
        </w:rPr>
      </w:pPr>
    </w:p>
    <w:p>
      <w:pPr>
        <w:adjustRightInd w:val="0"/>
        <w:snapToGrid w:val="0"/>
        <w:spacing w:line="360" w:lineRule="auto"/>
        <w:ind w:firstLine="720"/>
        <w:rPr>
          <w:rFonts w:hint="eastAsia" w:ascii="黑体" w:hAnsi="宋体" w:eastAsia="黑体"/>
          <w:sz w:val="32"/>
          <w:szCs w:val="32"/>
        </w:rPr>
      </w:pPr>
      <w:r>
        <w:rPr>
          <w:rFonts w:hint="eastAsia" w:ascii="黑体" w:hAnsi="宋体" w:eastAsia="黑体"/>
          <w:sz w:val="32"/>
          <w:szCs w:val="32"/>
        </w:rPr>
        <w:t>一、基本情况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（一）单位基本情况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通江县国有资产监督管理委员会是县</w:t>
      </w:r>
      <w:bookmarkStart w:id="112" w:name="_GoBack"/>
      <w:bookmarkEnd w:id="112"/>
      <w:r>
        <w:rPr>
          <w:rFonts w:hint="eastAsia" w:ascii="仿宋_GB2312" w:hAnsi="宋体" w:eastAsia="仿宋_GB2312"/>
          <w:sz w:val="32"/>
          <w:szCs w:val="32"/>
          <w:lang w:val="zh-CN"/>
        </w:rPr>
        <w:t>人民政府的直属事业单位，负责履行出资人职责，监管县属企业的国有资产，加强国有资产管理等工作</w:t>
      </w:r>
    </w:p>
    <w:p>
      <w:pPr>
        <w:snapToGrid w:val="0"/>
        <w:spacing w:line="360" w:lineRule="auto"/>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（二）班子及内设机构配置情况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1、通江县国资委设科级领导正科级1名、副科级1名，现有主任1名、副主任1名。</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2、通江县国资委核定编制10人，现实有在岗人员9人。设办公室、财务监督与评价股、国有资产监管股等三个股室，按规定监管县属 22个国有企业。</w:t>
      </w:r>
    </w:p>
    <w:p>
      <w:pPr>
        <w:adjustRightInd w:val="0"/>
        <w:snapToGrid w:val="0"/>
        <w:spacing w:line="360" w:lineRule="auto"/>
        <w:ind w:firstLine="480" w:firstLineChars="150"/>
        <w:rPr>
          <w:rFonts w:hint="eastAsia" w:ascii="黑体" w:hAnsi="宋体" w:eastAsia="黑体"/>
          <w:sz w:val="32"/>
          <w:szCs w:val="32"/>
        </w:rPr>
      </w:pPr>
      <w:r>
        <w:rPr>
          <w:rFonts w:hint="eastAsia" w:ascii="黑体" w:hAnsi="宋体" w:eastAsia="黑体"/>
          <w:sz w:val="32"/>
          <w:szCs w:val="32"/>
        </w:rPr>
        <w:t>二、资金使用情况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截至20</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年12月底，国资委企业改革经费实际支出</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rPr>
        <w:t>万元，支付依据合法合规，与预算相符。</w:t>
      </w:r>
    </w:p>
    <w:p>
      <w:pPr>
        <w:snapToGrid w:val="0"/>
        <w:spacing w:line="360" w:lineRule="auto"/>
        <w:ind w:firstLine="640" w:firstLineChars="200"/>
        <w:rPr>
          <w:rFonts w:hint="eastAsia" w:ascii="黑体" w:hAnsi="黑体" w:eastAsia="黑体"/>
          <w:sz w:val="32"/>
          <w:szCs w:val="32"/>
          <w:lang w:val="zh-CN"/>
        </w:rPr>
      </w:pPr>
      <w:r>
        <w:rPr>
          <w:rFonts w:hint="eastAsia" w:ascii="黑体" w:hAnsi="黑体" w:eastAsia="黑体"/>
          <w:sz w:val="32"/>
          <w:szCs w:val="32"/>
          <w:lang w:val="zh-CN"/>
        </w:rPr>
        <w:t>三、目标完成情况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（一）目标任务量完成情况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截至20</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年底，国资委企业改革已全部实施完毕。</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（二）目标质量完成情况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截至20</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年底，国资委企业改革按质量完成。</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（三）目标进度完成情况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年，国有企业改革工作按原计划完成。</w:t>
      </w:r>
    </w:p>
    <w:p>
      <w:pPr>
        <w:snapToGrid w:val="0"/>
        <w:spacing w:line="360" w:lineRule="auto"/>
        <w:ind w:firstLine="640" w:firstLineChars="200"/>
        <w:rPr>
          <w:rFonts w:hint="eastAsia" w:ascii="黑体" w:hAnsi="黑体" w:eastAsia="黑体"/>
          <w:sz w:val="32"/>
          <w:szCs w:val="32"/>
          <w:lang w:val="zh-CN"/>
        </w:rPr>
      </w:pPr>
      <w:r>
        <w:rPr>
          <w:rFonts w:hint="eastAsia" w:ascii="黑体" w:hAnsi="黑体" w:eastAsia="黑体"/>
          <w:sz w:val="32"/>
          <w:szCs w:val="32"/>
          <w:lang w:val="zh-CN"/>
        </w:rPr>
        <w:t>四、项目效益情况</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国有企业改革工作的实施，有效地推动了国有企业的发展，助力全县经济发展。</w:t>
      </w:r>
    </w:p>
    <w:p>
      <w:pPr>
        <w:adjustRightInd w:val="0"/>
        <w:snapToGrid w:val="0"/>
        <w:spacing w:line="360" w:lineRule="auto"/>
        <w:ind w:firstLine="720"/>
        <w:rPr>
          <w:rFonts w:hint="eastAsia" w:ascii="黑体" w:hAnsi="宋体" w:eastAsia="黑体"/>
          <w:sz w:val="32"/>
          <w:szCs w:val="32"/>
        </w:rPr>
      </w:pPr>
      <w:r>
        <w:rPr>
          <w:rFonts w:hint="eastAsia" w:ascii="黑体" w:hAnsi="宋体" w:eastAsia="黑体"/>
          <w:sz w:val="32"/>
          <w:szCs w:val="32"/>
        </w:rPr>
        <w:t>五、问题、改进措施及建议</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（一）存在的问题。</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年，我单位各项目标任务全面完成，有力促进了全县国有企业经济社会发展，但仍然存在一些问题。</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1、项目绩效目标与指标不完整</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绩效指标较少，不能完全衡量条件建设经费项目的完成情况，绩效指标未涵盖所有工作事项，绩效标准表述不够准确，整体逻辑关系不够清晰。</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2资金投入较小</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项目建设是一项长期建设任务，投入资金有限。在一个时间范围内，完成一个整体的建设项目非常困难。</w:t>
      </w:r>
    </w:p>
    <w:p>
      <w:pPr>
        <w:snapToGrid w:val="0"/>
        <w:spacing w:line="360" w:lineRule="auto"/>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（二）相关建议。</w:t>
      </w:r>
    </w:p>
    <w:p>
      <w:pPr>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请财政根据国资委事业发展的要求和实际情况，提高年初部门预算额度，将常规项目支出纳入年度预算，并增加相关预算项目。</w:t>
      </w:r>
    </w:p>
    <w:p>
      <w:pPr>
        <w:adjustRightInd w:val="0"/>
        <w:snapToGrid w:val="0"/>
        <w:spacing w:line="560" w:lineRule="exact"/>
        <w:ind w:firstLine="720"/>
        <w:rPr>
          <w:rFonts w:hint="eastAsia" w:ascii="楷体_GB2312" w:hAnsi="宋体" w:eastAsia="楷体_GB2312"/>
          <w:b/>
          <w:sz w:val="32"/>
          <w:szCs w:val="32"/>
        </w:rPr>
      </w:pPr>
    </w:p>
    <w:p>
      <w:pPr>
        <w:adjustRightInd w:val="0"/>
        <w:snapToGrid w:val="0"/>
        <w:spacing w:line="560" w:lineRule="exact"/>
        <w:ind w:right="640"/>
        <w:jc w:val="right"/>
        <w:rPr>
          <w:rFonts w:hint="eastAsia" w:ascii="仿宋_GB2312" w:hAnsi="宋体" w:eastAsia="仿宋_GB2312"/>
          <w:sz w:val="32"/>
          <w:szCs w:val="32"/>
          <w:lang w:val="zh-CN"/>
        </w:rPr>
      </w:pPr>
      <w:r>
        <w:rPr>
          <w:rFonts w:hint="eastAsia" w:ascii="仿宋_GB2312" w:hAnsi="宋体" w:eastAsia="仿宋_GB2312"/>
          <w:sz w:val="32"/>
          <w:szCs w:val="32"/>
          <w:lang w:val="zh-CN"/>
        </w:rPr>
        <w:t>通江县国有资产监督管理委员会</w:t>
      </w:r>
    </w:p>
    <w:p>
      <w:pPr>
        <w:adjustRightInd w:val="0"/>
        <w:snapToGrid w:val="0"/>
        <w:spacing w:line="560" w:lineRule="exact"/>
        <w:ind w:right="640" w:firstLine="720"/>
        <w:jc w:val="center"/>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20</w:t>
      </w:r>
      <w:r>
        <w:rPr>
          <w:rFonts w:hint="eastAsia" w:ascii="仿宋_GB2312" w:hAnsi="宋体" w:eastAsia="仿宋_GB2312"/>
          <w:sz w:val="32"/>
          <w:szCs w:val="32"/>
          <w:lang w:val="en-US" w:eastAsia="zh-CN"/>
        </w:rPr>
        <w:t>21</w:t>
      </w:r>
      <w:r>
        <w:rPr>
          <w:rFonts w:hint="eastAsia" w:ascii="仿宋_GB2312" w:hAnsi="宋体" w:eastAsia="仿宋_GB2312"/>
          <w:sz w:val="32"/>
          <w:szCs w:val="32"/>
          <w:lang w:val="zh-CN"/>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月15日</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18"/>
          <w:rFonts w:ascii="黑体" w:hAnsi="黑体" w:eastAsia="黑体"/>
          <w:b w:val="0"/>
        </w:rPr>
      </w:pPr>
    </w:p>
    <w:p>
      <w:pPr>
        <w:widowControl/>
        <w:jc w:val="left"/>
        <w:rPr>
          <w:rStyle w:val="18"/>
          <w:rFonts w:ascii="黑体" w:hAnsi="黑体" w:eastAsia="黑体"/>
          <w:b w:val="0"/>
        </w:rPr>
      </w:pPr>
      <w:r>
        <w:br w:type="page"/>
      </w:r>
    </w:p>
    <w:p>
      <w:pPr>
        <w:spacing w:line="600" w:lineRule="exact"/>
        <w:jc w:val="center"/>
        <w:outlineLvl w:val="0"/>
        <w:rPr>
          <w:rStyle w:val="18"/>
          <w:rFonts w:ascii="黑体" w:hAnsi="黑体" w:eastAsia="黑体"/>
          <w:b w:val="0"/>
        </w:rPr>
      </w:pPr>
    </w:p>
    <w:p>
      <w:pPr>
        <w:spacing w:line="600" w:lineRule="exact"/>
        <w:jc w:val="center"/>
        <w:outlineLvl w:val="0"/>
        <w:rPr>
          <w:rStyle w:val="18"/>
          <w:rFonts w:ascii="黑体" w:hAnsi="黑体" w:eastAsia="黑体"/>
          <w:b w:val="0"/>
        </w:rPr>
      </w:pPr>
      <w:bookmarkStart w:id="84" w:name="_Toc24898"/>
      <w:bookmarkStart w:id="85" w:name="_Toc15396618"/>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81"/>
      <w:bookmarkEnd w:id="84"/>
      <w:bookmarkEnd w:id="85"/>
    </w:p>
    <w:p>
      <w:pPr>
        <w:spacing w:line="600" w:lineRule="exact"/>
        <w:jc w:val="center"/>
        <w:outlineLvl w:val="0"/>
        <w:rPr>
          <w:rFonts w:ascii="仿宋" w:hAnsi="仿宋" w:eastAsia="仿宋"/>
          <w:b/>
          <w:color w:val="000000"/>
          <w:sz w:val="44"/>
          <w:szCs w:val="44"/>
        </w:rPr>
      </w:pPr>
    </w:p>
    <w:p>
      <w:pPr>
        <w:pStyle w:val="15"/>
        <w:rPr>
          <w:rFonts w:ascii="仿宋" w:hAnsi="仿宋" w:eastAsia="仿宋"/>
          <w:color w:val="000000"/>
        </w:rPr>
      </w:pPr>
      <w:bookmarkStart w:id="86" w:name="_Toc15396619"/>
      <w:bookmarkStart w:id="87" w:name="_Toc29285"/>
      <w:r>
        <w:rPr>
          <w:rFonts w:hint="eastAsia" w:ascii="仿宋" w:hAnsi="仿宋" w:eastAsia="仿宋"/>
          <w:b w:val="0"/>
          <w:color w:val="000000"/>
        </w:rPr>
        <w:t>一、收</w:t>
      </w:r>
      <w:r>
        <w:rPr>
          <w:rStyle w:val="34"/>
          <w:rFonts w:hint="eastAsia" w:ascii="仿宋" w:hAnsi="仿宋" w:eastAsia="仿宋"/>
          <w:b w:val="0"/>
          <w:bCs w:val="0"/>
        </w:rPr>
        <w:t>入支出决算总表</w:t>
      </w:r>
      <w:bookmarkEnd w:id="86"/>
      <w:bookmarkEnd w:id="87"/>
    </w:p>
    <w:p>
      <w:pPr>
        <w:pStyle w:val="15"/>
        <w:rPr>
          <w:rFonts w:ascii="仿宋" w:hAnsi="仿宋" w:eastAsia="仿宋"/>
          <w:color w:val="000000"/>
        </w:rPr>
      </w:pPr>
      <w:bookmarkStart w:id="88" w:name="_Toc14201"/>
      <w:bookmarkStart w:id="89" w:name="_Toc15396620"/>
      <w:r>
        <w:rPr>
          <w:rFonts w:hint="eastAsia" w:ascii="仿宋" w:hAnsi="仿宋" w:eastAsia="仿宋"/>
          <w:b w:val="0"/>
          <w:color w:val="000000"/>
        </w:rPr>
        <w:t>二、收</w:t>
      </w:r>
      <w:r>
        <w:rPr>
          <w:rStyle w:val="34"/>
          <w:rFonts w:hint="eastAsia" w:ascii="仿宋" w:hAnsi="仿宋" w:eastAsia="仿宋"/>
          <w:b w:val="0"/>
          <w:bCs w:val="0"/>
        </w:rPr>
        <w:t>入决算表</w:t>
      </w:r>
      <w:bookmarkEnd w:id="88"/>
      <w:bookmarkEnd w:id="89"/>
    </w:p>
    <w:p>
      <w:pPr>
        <w:pStyle w:val="15"/>
        <w:rPr>
          <w:rFonts w:ascii="仿宋" w:hAnsi="仿宋" w:eastAsia="仿宋"/>
          <w:color w:val="000000"/>
        </w:rPr>
      </w:pPr>
      <w:bookmarkStart w:id="90" w:name="_Toc8310"/>
      <w:bookmarkStart w:id="91" w:name="_Toc15396621"/>
      <w:r>
        <w:rPr>
          <w:rStyle w:val="34"/>
          <w:rFonts w:hint="eastAsia" w:ascii="仿宋" w:hAnsi="仿宋" w:eastAsia="仿宋"/>
          <w:b w:val="0"/>
          <w:bCs w:val="0"/>
        </w:rPr>
        <w:t>三、</w:t>
      </w:r>
      <w:r>
        <w:rPr>
          <w:rFonts w:hint="eastAsia" w:ascii="仿宋" w:hAnsi="仿宋" w:eastAsia="仿宋"/>
          <w:b w:val="0"/>
          <w:color w:val="000000"/>
        </w:rPr>
        <w:t>支</w:t>
      </w:r>
      <w:r>
        <w:rPr>
          <w:rStyle w:val="34"/>
          <w:rFonts w:hint="eastAsia" w:ascii="仿宋" w:hAnsi="仿宋" w:eastAsia="仿宋"/>
          <w:b w:val="0"/>
          <w:bCs w:val="0"/>
        </w:rPr>
        <w:t>出决算表</w:t>
      </w:r>
      <w:bookmarkEnd w:id="90"/>
      <w:bookmarkEnd w:id="91"/>
    </w:p>
    <w:p>
      <w:pPr>
        <w:pStyle w:val="15"/>
        <w:rPr>
          <w:rFonts w:ascii="仿宋" w:hAnsi="仿宋" w:eastAsia="仿宋"/>
          <w:b w:val="0"/>
          <w:color w:val="000000"/>
        </w:rPr>
      </w:pPr>
      <w:bookmarkStart w:id="92" w:name="_Toc6082"/>
      <w:bookmarkStart w:id="93" w:name="_Toc15396622"/>
      <w:r>
        <w:rPr>
          <w:rStyle w:val="34"/>
          <w:rFonts w:hint="eastAsia" w:ascii="仿宋" w:hAnsi="仿宋" w:eastAsia="仿宋"/>
          <w:b w:val="0"/>
          <w:bCs w:val="0"/>
        </w:rPr>
        <w:t>四、</w:t>
      </w:r>
      <w:r>
        <w:rPr>
          <w:rFonts w:hint="eastAsia" w:ascii="仿宋" w:hAnsi="仿宋" w:eastAsia="仿宋"/>
          <w:b w:val="0"/>
          <w:color w:val="000000"/>
        </w:rPr>
        <w:t>财</w:t>
      </w:r>
      <w:r>
        <w:rPr>
          <w:rStyle w:val="34"/>
          <w:rFonts w:hint="eastAsia" w:ascii="仿宋" w:hAnsi="仿宋" w:eastAsia="仿宋"/>
          <w:b w:val="0"/>
          <w:bCs w:val="0"/>
        </w:rPr>
        <w:t>政拨款收入支出决算总表</w:t>
      </w:r>
      <w:bookmarkEnd w:id="92"/>
      <w:bookmarkEnd w:id="93"/>
    </w:p>
    <w:p>
      <w:pPr>
        <w:pStyle w:val="15"/>
        <w:rPr>
          <w:rStyle w:val="34"/>
          <w:rFonts w:ascii="仿宋" w:hAnsi="仿宋" w:eastAsia="仿宋"/>
          <w:b w:val="0"/>
          <w:bCs w:val="0"/>
        </w:rPr>
      </w:pPr>
      <w:bookmarkStart w:id="94" w:name="_Toc19016"/>
      <w:bookmarkStart w:id="95" w:name="_Toc15396623"/>
      <w:r>
        <w:rPr>
          <w:rStyle w:val="34"/>
          <w:rFonts w:hint="eastAsia" w:ascii="仿宋" w:hAnsi="仿宋" w:eastAsia="仿宋"/>
          <w:b w:val="0"/>
          <w:bCs w:val="0"/>
        </w:rPr>
        <w:t>五、</w:t>
      </w:r>
      <w:r>
        <w:rPr>
          <w:rFonts w:hint="eastAsia" w:ascii="仿宋" w:hAnsi="仿宋" w:eastAsia="仿宋"/>
          <w:b w:val="0"/>
          <w:color w:val="000000"/>
        </w:rPr>
        <w:t>财</w:t>
      </w:r>
      <w:r>
        <w:rPr>
          <w:rStyle w:val="34"/>
          <w:rFonts w:hint="eastAsia" w:ascii="仿宋" w:hAnsi="仿宋" w:eastAsia="仿宋"/>
          <w:b w:val="0"/>
          <w:bCs w:val="0"/>
        </w:rPr>
        <w:t>政拨款支出决算明细表</w:t>
      </w:r>
      <w:bookmarkEnd w:id="94"/>
      <w:bookmarkEnd w:id="95"/>
      <w:bookmarkStart w:id="96" w:name="_Toc15396624"/>
    </w:p>
    <w:p>
      <w:pPr>
        <w:pStyle w:val="15"/>
        <w:rPr>
          <w:rFonts w:ascii="仿宋" w:hAnsi="仿宋" w:eastAsia="仿宋"/>
          <w:color w:val="000000"/>
        </w:rPr>
      </w:pPr>
      <w:bookmarkStart w:id="97" w:name="_Toc7144"/>
      <w:r>
        <w:rPr>
          <w:rStyle w:val="34"/>
          <w:rFonts w:hint="eastAsia" w:ascii="仿宋" w:hAnsi="仿宋" w:eastAsia="仿宋"/>
          <w:b w:val="0"/>
          <w:bCs w:val="0"/>
        </w:rPr>
        <w:t>六、</w:t>
      </w:r>
      <w:r>
        <w:rPr>
          <w:rFonts w:hint="eastAsia" w:ascii="仿宋" w:hAnsi="仿宋" w:eastAsia="仿宋"/>
          <w:b w:val="0"/>
          <w:color w:val="000000"/>
        </w:rPr>
        <w:t>一</w:t>
      </w:r>
      <w:r>
        <w:rPr>
          <w:rStyle w:val="34"/>
          <w:rFonts w:hint="eastAsia" w:ascii="仿宋" w:hAnsi="仿宋" w:eastAsia="仿宋"/>
          <w:b w:val="0"/>
          <w:bCs w:val="0"/>
        </w:rPr>
        <w:t>般公共预算财政拨款支出决算表</w:t>
      </w:r>
      <w:bookmarkEnd w:id="96"/>
      <w:bookmarkEnd w:id="97"/>
    </w:p>
    <w:p>
      <w:pPr>
        <w:pStyle w:val="15"/>
        <w:rPr>
          <w:rFonts w:ascii="仿宋" w:hAnsi="仿宋" w:eastAsia="仿宋"/>
          <w:color w:val="000000"/>
        </w:rPr>
      </w:pPr>
      <w:bookmarkStart w:id="98" w:name="_Toc5151"/>
      <w:bookmarkStart w:id="99" w:name="_Toc15396625"/>
      <w:r>
        <w:rPr>
          <w:rStyle w:val="34"/>
          <w:rFonts w:hint="eastAsia" w:ascii="仿宋" w:hAnsi="仿宋" w:eastAsia="仿宋"/>
          <w:b w:val="0"/>
          <w:bCs w:val="0"/>
        </w:rPr>
        <w:t>七、</w:t>
      </w:r>
      <w:r>
        <w:rPr>
          <w:rFonts w:hint="eastAsia" w:ascii="仿宋" w:hAnsi="仿宋" w:eastAsia="仿宋"/>
          <w:b w:val="0"/>
          <w:color w:val="000000"/>
        </w:rPr>
        <w:t>一</w:t>
      </w:r>
      <w:r>
        <w:rPr>
          <w:rStyle w:val="34"/>
          <w:rFonts w:hint="eastAsia" w:ascii="仿宋" w:hAnsi="仿宋" w:eastAsia="仿宋"/>
          <w:b w:val="0"/>
          <w:bCs w:val="0"/>
        </w:rPr>
        <w:t>般公共预算财政拨款支出决算明细表</w:t>
      </w:r>
      <w:bookmarkEnd w:id="98"/>
      <w:bookmarkEnd w:id="99"/>
    </w:p>
    <w:p>
      <w:pPr>
        <w:pStyle w:val="15"/>
        <w:rPr>
          <w:rFonts w:ascii="仿宋" w:hAnsi="仿宋" w:eastAsia="仿宋"/>
          <w:color w:val="000000"/>
        </w:rPr>
      </w:pPr>
      <w:bookmarkStart w:id="100" w:name="_Toc10784"/>
      <w:bookmarkStart w:id="101" w:name="_Toc15396626"/>
      <w:r>
        <w:rPr>
          <w:rStyle w:val="34"/>
          <w:rFonts w:hint="eastAsia" w:ascii="仿宋" w:hAnsi="仿宋" w:eastAsia="仿宋"/>
          <w:b w:val="0"/>
          <w:bCs w:val="0"/>
        </w:rPr>
        <w:t>八、</w:t>
      </w:r>
      <w:r>
        <w:rPr>
          <w:rFonts w:hint="eastAsia" w:ascii="仿宋" w:hAnsi="仿宋" w:eastAsia="仿宋"/>
          <w:b w:val="0"/>
          <w:color w:val="000000"/>
        </w:rPr>
        <w:t>一</w:t>
      </w:r>
      <w:r>
        <w:rPr>
          <w:rStyle w:val="34"/>
          <w:rFonts w:hint="eastAsia" w:ascii="仿宋" w:hAnsi="仿宋" w:eastAsia="仿宋"/>
          <w:b w:val="0"/>
          <w:bCs w:val="0"/>
        </w:rPr>
        <w:t>般公共预算财政拨款基本支出决算表</w:t>
      </w:r>
      <w:bookmarkEnd w:id="100"/>
      <w:bookmarkEnd w:id="101"/>
    </w:p>
    <w:p>
      <w:pPr>
        <w:pStyle w:val="15"/>
        <w:rPr>
          <w:rFonts w:ascii="仿宋" w:hAnsi="仿宋" w:eastAsia="仿宋"/>
          <w:color w:val="000000"/>
        </w:rPr>
      </w:pPr>
      <w:bookmarkStart w:id="102" w:name="_Toc23132"/>
      <w:bookmarkStart w:id="103" w:name="_Toc15396627"/>
      <w:r>
        <w:rPr>
          <w:rStyle w:val="34"/>
          <w:rFonts w:hint="eastAsia" w:ascii="仿宋" w:hAnsi="仿宋" w:eastAsia="仿宋"/>
          <w:b w:val="0"/>
          <w:bCs w:val="0"/>
        </w:rPr>
        <w:t>九、</w:t>
      </w:r>
      <w:r>
        <w:rPr>
          <w:rFonts w:hint="eastAsia" w:ascii="仿宋" w:hAnsi="仿宋" w:eastAsia="仿宋"/>
          <w:b w:val="0"/>
          <w:color w:val="000000"/>
        </w:rPr>
        <w:t>一</w:t>
      </w:r>
      <w:r>
        <w:rPr>
          <w:rStyle w:val="34"/>
          <w:rFonts w:hint="eastAsia" w:ascii="仿宋" w:hAnsi="仿宋" w:eastAsia="仿宋"/>
          <w:b w:val="0"/>
          <w:bCs w:val="0"/>
        </w:rPr>
        <w:t>般公共预算财政拨款项目支出决算表</w:t>
      </w:r>
      <w:bookmarkEnd w:id="102"/>
      <w:bookmarkEnd w:id="103"/>
    </w:p>
    <w:p>
      <w:pPr>
        <w:pStyle w:val="15"/>
        <w:rPr>
          <w:rFonts w:ascii="仿宋" w:hAnsi="仿宋" w:eastAsia="仿宋"/>
          <w:color w:val="000000"/>
        </w:rPr>
      </w:pPr>
      <w:bookmarkStart w:id="104" w:name="_Toc26717"/>
      <w:bookmarkStart w:id="105" w:name="_Toc15396628"/>
      <w:r>
        <w:rPr>
          <w:rStyle w:val="34"/>
          <w:rFonts w:hint="eastAsia" w:ascii="仿宋" w:hAnsi="仿宋" w:eastAsia="仿宋"/>
          <w:b w:val="0"/>
          <w:bCs w:val="0"/>
        </w:rPr>
        <w:t>十、</w:t>
      </w:r>
      <w:r>
        <w:rPr>
          <w:rFonts w:hint="eastAsia" w:ascii="仿宋" w:hAnsi="仿宋" w:eastAsia="仿宋"/>
          <w:b w:val="0"/>
          <w:color w:val="000000"/>
        </w:rPr>
        <w:t>一</w:t>
      </w:r>
      <w:r>
        <w:rPr>
          <w:rStyle w:val="34"/>
          <w:rFonts w:hint="eastAsia" w:ascii="仿宋" w:hAnsi="仿宋" w:eastAsia="仿宋"/>
          <w:b w:val="0"/>
          <w:bCs w:val="0"/>
        </w:rPr>
        <w:t>般公共预算财政拨款“三公”经费支出决算表</w:t>
      </w:r>
      <w:bookmarkEnd w:id="104"/>
      <w:bookmarkEnd w:id="105"/>
    </w:p>
    <w:p>
      <w:pPr>
        <w:pStyle w:val="15"/>
        <w:rPr>
          <w:rFonts w:ascii="仿宋" w:hAnsi="仿宋" w:eastAsia="仿宋"/>
          <w:color w:val="000000"/>
        </w:rPr>
      </w:pPr>
      <w:bookmarkStart w:id="106" w:name="_Toc16879"/>
      <w:bookmarkStart w:id="107" w:name="_Toc15396629"/>
      <w:r>
        <w:rPr>
          <w:rStyle w:val="34"/>
          <w:rFonts w:hint="eastAsia" w:ascii="仿宋" w:hAnsi="仿宋" w:eastAsia="仿宋"/>
          <w:b w:val="0"/>
          <w:bCs w:val="0"/>
        </w:rPr>
        <w:t>十一、</w:t>
      </w:r>
      <w:r>
        <w:rPr>
          <w:rFonts w:hint="eastAsia" w:ascii="仿宋" w:hAnsi="仿宋" w:eastAsia="仿宋"/>
          <w:b w:val="0"/>
          <w:color w:val="000000"/>
        </w:rPr>
        <w:t>政</w:t>
      </w:r>
      <w:r>
        <w:rPr>
          <w:rStyle w:val="34"/>
          <w:rFonts w:hint="eastAsia" w:ascii="仿宋" w:hAnsi="仿宋" w:eastAsia="仿宋"/>
          <w:b w:val="0"/>
          <w:bCs w:val="0"/>
        </w:rPr>
        <w:t>府性基金预算财政拨款收入支出决算表</w:t>
      </w:r>
      <w:bookmarkEnd w:id="106"/>
      <w:bookmarkEnd w:id="107"/>
    </w:p>
    <w:p>
      <w:pPr>
        <w:pStyle w:val="15"/>
        <w:rPr>
          <w:rFonts w:ascii="仿宋" w:hAnsi="仿宋" w:eastAsia="仿宋"/>
          <w:color w:val="000000"/>
        </w:rPr>
      </w:pPr>
      <w:bookmarkStart w:id="108" w:name="_Toc19310"/>
      <w:bookmarkStart w:id="109" w:name="_Toc15396630"/>
      <w:r>
        <w:rPr>
          <w:rStyle w:val="34"/>
          <w:rFonts w:hint="eastAsia" w:ascii="仿宋" w:hAnsi="仿宋" w:eastAsia="仿宋"/>
          <w:b w:val="0"/>
          <w:bCs w:val="0"/>
        </w:rPr>
        <w:t>十二、</w:t>
      </w:r>
      <w:r>
        <w:rPr>
          <w:rFonts w:hint="eastAsia" w:ascii="仿宋" w:hAnsi="仿宋" w:eastAsia="仿宋"/>
          <w:b w:val="0"/>
          <w:color w:val="000000"/>
        </w:rPr>
        <w:t>政</w:t>
      </w:r>
      <w:r>
        <w:rPr>
          <w:rStyle w:val="34"/>
          <w:rFonts w:hint="eastAsia" w:ascii="仿宋" w:hAnsi="仿宋" w:eastAsia="仿宋"/>
          <w:b w:val="0"/>
          <w:bCs w:val="0"/>
        </w:rPr>
        <w:t>府性基金预算财政拨款“三公”经费支出决算表</w:t>
      </w:r>
      <w:bookmarkEnd w:id="108"/>
      <w:bookmarkEnd w:id="109"/>
    </w:p>
    <w:p>
      <w:pPr>
        <w:pStyle w:val="15"/>
        <w:rPr>
          <w:rFonts w:ascii="仿宋" w:hAnsi="仿宋" w:eastAsia="仿宋"/>
          <w:color w:val="000000"/>
        </w:rPr>
      </w:pPr>
      <w:bookmarkStart w:id="110" w:name="_Toc18816"/>
      <w:bookmarkStart w:id="111" w:name="_Toc15396631"/>
      <w:r>
        <w:rPr>
          <w:rStyle w:val="34"/>
          <w:rFonts w:hint="eastAsia" w:ascii="仿宋" w:hAnsi="仿宋" w:eastAsia="仿宋"/>
          <w:b w:val="0"/>
          <w:bCs w:val="0"/>
        </w:rPr>
        <w:t>十三、</w:t>
      </w:r>
      <w:r>
        <w:rPr>
          <w:rFonts w:hint="eastAsia" w:ascii="仿宋" w:hAnsi="仿宋" w:eastAsia="仿宋"/>
          <w:b w:val="0"/>
          <w:color w:val="000000"/>
        </w:rPr>
        <w:t>国</w:t>
      </w:r>
      <w:r>
        <w:rPr>
          <w:rStyle w:val="34"/>
          <w:rFonts w:hint="eastAsia" w:ascii="仿宋" w:hAnsi="仿宋" w:eastAsia="仿宋"/>
          <w:b w:val="0"/>
          <w:bCs w:val="0"/>
        </w:rPr>
        <w:t>有资本经营预算财政拨款支出决算表</w:t>
      </w:r>
      <w:bookmarkEnd w:id="110"/>
      <w:bookmarkEnd w:id="111"/>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3</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FA810"/>
    <w:multiLevelType w:val="singleLevel"/>
    <w:tmpl w:val="912FA810"/>
    <w:lvl w:ilvl="0" w:tentative="0">
      <w:start w:val="1"/>
      <w:numFmt w:val="decimal"/>
      <w:lvlText w:val="%1."/>
      <w:lvlJc w:val="left"/>
      <w:pPr>
        <w:tabs>
          <w:tab w:val="left" w:pos="312"/>
        </w:tabs>
      </w:pPr>
    </w:lvl>
  </w:abstractNum>
  <w:abstractNum w:abstractNumId="1">
    <w:nsid w:val="B5E306ED"/>
    <w:multiLevelType w:val="singleLevel"/>
    <w:tmpl w:val="B5E306ED"/>
    <w:lvl w:ilvl="0" w:tentative="0">
      <w:start w:val="3"/>
      <w:numFmt w:val="chineseCounting"/>
      <w:suff w:val="space"/>
      <w:lvlText w:val="第%1部分"/>
      <w:lvlJc w:val="left"/>
      <w:rPr>
        <w:rFonts w:hint="eastAsia" w:cs="Times New Roman"/>
      </w:rPr>
    </w:lvl>
  </w:abstractNum>
  <w:abstractNum w:abstractNumId="2">
    <w:nsid w:val="CF092B84"/>
    <w:multiLevelType w:val="singleLevel"/>
    <w:tmpl w:val="CF092B84"/>
    <w:lvl w:ilvl="0" w:tentative="0">
      <w:start w:val="1"/>
      <w:numFmt w:val="decimal"/>
      <w:lvlText w:val="%1."/>
      <w:lvlJc w:val="left"/>
      <w:pPr>
        <w:tabs>
          <w:tab w:val="left" w:pos="312"/>
        </w:tabs>
      </w:pPr>
    </w:lvl>
  </w:abstractNum>
  <w:abstractNum w:abstractNumId="3">
    <w:nsid w:val="0053208E"/>
    <w:multiLevelType w:val="multilevel"/>
    <w:tmpl w:val="0053208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59ADCABA"/>
    <w:multiLevelType w:val="singleLevel"/>
    <w:tmpl w:val="59ADCABA"/>
    <w:lvl w:ilvl="0" w:tentative="0">
      <w:start w:val="9"/>
      <w:numFmt w:val="chineseCounting"/>
      <w:suff w:val="nothing"/>
      <w:lvlText w:val="%1、"/>
      <w:lvlJc w:val="left"/>
      <w:rPr>
        <w:rFonts w:hint="eastAsia"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00000"/>
    <w:rsid w:val="174169D9"/>
    <w:rsid w:val="1D413F88"/>
    <w:rsid w:val="23E33ED1"/>
    <w:rsid w:val="26F87575"/>
    <w:rsid w:val="30FD167D"/>
    <w:rsid w:val="33A937E4"/>
    <w:rsid w:val="39297F11"/>
    <w:rsid w:val="3DCF0319"/>
    <w:rsid w:val="40651837"/>
    <w:rsid w:val="40841892"/>
    <w:rsid w:val="44D96848"/>
    <w:rsid w:val="48CF2564"/>
    <w:rsid w:val="4A4D3122"/>
    <w:rsid w:val="4C481CFD"/>
    <w:rsid w:val="4D464C6A"/>
    <w:rsid w:val="5DF37D0E"/>
    <w:rsid w:val="61EE21C9"/>
    <w:rsid w:val="6A5A6C09"/>
    <w:rsid w:val="6BF52334"/>
    <w:rsid w:val="71726101"/>
    <w:rsid w:val="788A1CF1"/>
    <w:rsid w:val="78A470C2"/>
    <w:rsid w:val="7DD03F93"/>
    <w:rsid w:val="7E8334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43"/>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table" w:styleId="10">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1">
    <w:name w:val="普通表格1"/>
    <w:unhideWhenUsed/>
    <w:qFormat/>
    <w:uiPriority w:val="99"/>
    <w:tblPr>
      <w:tblLayout w:type="fixed"/>
      <w:tblCellMar>
        <w:top w:w="0" w:type="dxa"/>
        <w:left w:w="108" w:type="dxa"/>
        <w:bottom w:w="0" w:type="dxa"/>
        <w:right w:w="108" w:type="dxa"/>
      </w:tblCellMar>
    </w:tblPr>
  </w:style>
  <w:style w:type="character" w:styleId="13">
    <w:name w:val="page number"/>
    <w:qFormat/>
    <w:uiPriority w:val="0"/>
  </w:style>
  <w:style w:type="paragraph" w:customStyle="1" w:styleId="14">
    <w:name w:val="标题 11"/>
    <w:basedOn w:val="1"/>
    <w:next w:val="1"/>
    <w:link w:val="18"/>
    <w:qFormat/>
    <w:uiPriority w:val="9"/>
    <w:pPr>
      <w:keepNext/>
      <w:keepLines/>
      <w:spacing w:before="340" w:after="330" w:line="578" w:lineRule="auto"/>
      <w:outlineLvl w:val="0"/>
    </w:pPr>
    <w:rPr>
      <w:b/>
      <w:bCs/>
      <w:kern w:val="44"/>
      <w:sz w:val="44"/>
      <w:szCs w:val="44"/>
    </w:rPr>
  </w:style>
  <w:style w:type="paragraph" w:customStyle="1" w:styleId="15">
    <w:name w:val="标题 21"/>
    <w:basedOn w:val="1"/>
    <w:next w:val="1"/>
    <w:link w:val="34"/>
    <w:unhideWhenUsed/>
    <w:qFormat/>
    <w:uiPriority w:val="9"/>
    <w:pPr>
      <w:keepNext/>
      <w:keepLines/>
      <w:spacing w:before="260" w:after="260" w:line="416" w:lineRule="auto"/>
      <w:outlineLvl w:val="1"/>
    </w:pPr>
    <w:rPr>
      <w:rFonts w:ascii="Cambria" w:hAnsi="Cambria"/>
      <w:b/>
      <w:bCs/>
      <w:sz w:val="32"/>
      <w:szCs w:val="32"/>
    </w:rPr>
  </w:style>
  <w:style w:type="paragraph" w:customStyle="1" w:styleId="16">
    <w:name w:val="标题 31"/>
    <w:basedOn w:val="1"/>
    <w:next w:val="1"/>
    <w:link w:val="20"/>
    <w:unhideWhenUsed/>
    <w:qFormat/>
    <w:uiPriority w:val="9"/>
    <w:pPr>
      <w:keepNext/>
      <w:keepLines/>
      <w:spacing w:before="260" w:after="260" w:line="416" w:lineRule="auto"/>
      <w:outlineLvl w:val="2"/>
    </w:pPr>
    <w:rPr>
      <w:b/>
      <w:bCs/>
      <w:sz w:val="32"/>
      <w:szCs w:val="32"/>
    </w:rPr>
  </w:style>
  <w:style w:type="character" w:customStyle="1" w:styleId="17">
    <w:name w:val="默认段落字体1"/>
    <w:unhideWhenUsed/>
    <w:qFormat/>
    <w:uiPriority w:val="1"/>
  </w:style>
  <w:style w:type="character" w:customStyle="1" w:styleId="18">
    <w:name w:val=" Char Char6"/>
    <w:basedOn w:val="17"/>
    <w:link w:val="14"/>
    <w:qFormat/>
    <w:locked/>
    <w:uiPriority w:val="9"/>
    <w:rPr>
      <w:rFonts w:ascii="Times New Roman" w:hAnsi="Times New Roman" w:cs="Times New Roman"/>
      <w:b/>
      <w:bCs/>
      <w:kern w:val="44"/>
      <w:sz w:val="44"/>
      <w:szCs w:val="44"/>
    </w:rPr>
  </w:style>
  <w:style w:type="character" w:customStyle="1" w:styleId="19">
    <w:name w:val="标题 2 Char"/>
    <w:basedOn w:val="17"/>
    <w:link w:val="15"/>
    <w:qFormat/>
    <w:uiPriority w:val="9"/>
    <w:rPr>
      <w:rFonts w:ascii="Cambria" w:hAnsi="Cambria" w:eastAsia="宋体" w:cs="Times New Roman"/>
      <w:b/>
      <w:bCs/>
      <w:kern w:val="2"/>
      <w:sz w:val="32"/>
      <w:szCs w:val="32"/>
    </w:rPr>
  </w:style>
  <w:style w:type="character" w:customStyle="1" w:styleId="20">
    <w:name w:val=" Char Char4"/>
    <w:basedOn w:val="17"/>
    <w:link w:val="16"/>
    <w:qFormat/>
    <w:locked/>
    <w:uiPriority w:val="9"/>
    <w:rPr>
      <w:rFonts w:ascii="Times New Roman" w:hAnsi="Times New Roman" w:cs="Times New Roman"/>
      <w:b/>
      <w:bCs/>
      <w:kern w:val="2"/>
      <w:sz w:val="32"/>
      <w:szCs w:val="32"/>
    </w:rPr>
  </w:style>
  <w:style w:type="paragraph" w:customStyle="1" w:styleId="21">
    <w:name w:val="正文文本1"/>
    <w:basedOn w:val="1"/>
    <w:qFormat/>
    <w:uiPriority w:val="99"/>
    <w:pPr>
      <w:spacing w:beforeLines="30"/>
    </w:pPr>
    <w:rPr>
      <w:rFonts w:ascii="仿宋_GB2312" w:eastAsia="仿宋_GB2312"/>
      <w:kern w:val="0"/>
      <w:sz w:val="24"/>
      <w:szCs w:val="20"/>
    </w:rPr>
  </w:style>
  <w:style w:type="character" w:customStyle="1" w:styleId="22">
    <w:name w:val="Body Text Char"/>
    <w:basedOn w:val="17"/>
    <w:semiHidden/>
    <w:qFormat/>
    <w:uiPriority w:val="99"/>
    <w:rPr>
      <w:rFonts w:ascii="Times New Roman" w:hAnsi="Times New Roman" w:cs="Times New Roman"/>
      <w:sz w:val="24"/>
      <w:szCs w:val="24"/>
    </w:rPr>
  </w:style>
  <w:style w:type="paragraph" w:customStyle="1" w:styleId="23">
    <w:name w:val="目录 31"/>
    <w:basedOn w:val="1"/>
    <w:next w:val="1"/>
    <w:unhideWhenUsed/>
    <w:qFormat/>
    <w:uiPriority w:val="39"/>
    <w:pPr>
      <w:tabs>
        <w:tab w:val="right" w:leader="dot" w:pos="8296"/>
      </w:tabs>
      <w:ind w:left="840" w:leftChars="400"/>
    </w:pPr>
  </w:style>
  <w:style w:type="paragraph" w:customStyle="1" w:styleId="24">
    <w:name w:val="批注框文本1"/>
    <w:basedOn w:val="1"/>
    <w:unhideWhenUsed/>
    <w:qFormat/>
    <w:uiPriority w:val="99"/>
    <w:rPr>
      <w:sz w:val="18"/>
      <w:szCs w:val="18"/>
    </w:rPr>
  </w:style>
  <w:style w:type="character" w:customStyle="1" w:styleId="25">
    <w:name w:val=" Char Char2"/>
    <w:basedOn w:val="17"/>
    <w:semiHidden/>
    <w:qFormat/>
    <w:locked/>
    <w:uiPriority w:val="99"/>
    <w:rPr>
      <w:rFonts w:ascii="Times New Roman" w:hAnsi="Times New Roman" w:cs="Times New Roman"/>
      <w:kern w:val="2"/>
      <w:sz w:val="18"/>
      <w:szCs w:val="18"/>
    </w:rPr>
  </w:style>
  <w:style w:type="paragraph" w:customStyle="1" w:styleId="26">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7">
    <w:name w:val="Footer Char"/>
    <w:basedOn w:val="17"/>
    <w:semiHidden/>
    <w:qFormat/>
    <w:uiPriority w:val="99"/>
    <w:rPr>
      <w:rFonts w:ascii="Times New Roman" w:hAnsi="Times New Roman" w:cs="Times New Roman"/>
      <w:sz w:val="18"/>
      <w:szCs w:val="18"/>
    </w:rPr>
  </w:style>
  <w:style w:type="paragraph" w:customStyle="1" w:styleId="28">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29">
    <w:name w:val="Header Char"/>
    <w:basedOn w:val="17"/>
    <w:semiHidden/>
    <w:qFormat/>
    <w:uiPriority w:val="99"/>
    <w:rPr>
      <w:rFonts w:ascii="Times New Roman" w:hAnsi="Times New Roman" w:cs="Times New Roman"/>
      <w:sz w:val="18"/>
      <w:szCs w:val="18"/>
    </w:rPr>
  </w:style>
  <w:style w:type="paragraph" w:customStyle="1" w:styleId="30">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1">
    <w:name w:val="目录 21"/>
    <w:basedOn w:val="1"/>
    <w:next w:val="1"/>
    <w:unhideWhenUsed/>
    <w:qFormat/>
    <w:uiPriority w:val="39"/>
    <w:pPr>
      <w:tabs>
        <w:tab w:val="right" w:leader="dot" w:pos="8296"/>
      </w:tabs>
      <w:ind w:left="420" w:leftChars="200"/>
    </w:pPr>
  </w:style>
  <w:style w:type="character" w:customStyle="1" w:styleId="32">
    <w:name w:val="要点1"/>
    <w:basedOn w:val="17"/>
    <w:qFormat/>
    <w:uiPriority w:val="99"/>
    <w:rPr>
      <w:rFonts w:cs="Times New Roman"/>
      <w:b/>
    </w:rPr>
  </w:style>
  <w:style w:type="character" w:customStyle="1" w:styleId="33">
    <w:name w:val="超链接1"/>
    <w:basedOn w:val="17"/>
    <w:unhideWhenUsed/>
    <w:qFormat/>
    <w:uiPriority w:val="99"/>
    <w:rPr>
      <w:rFonts w:cs="Times New Roman"/>
      <w:color w:val="0000FF"/>
      <w:u w:val="single"/>
    </w:rPr>
  </w:style>
  <w:style w:type="character" w:customStyle="1" w:styleId="34">
    <w:name w:val=" Char Char5"/>
    <w:basedOn w:val="17"/>
    <w:link w:val="15"/>
    <w:qFormat/>
    <w:locked/>
    <w:uiPriority w:val="9"/>
    <w:rPr>
      <w:rFonts w:ascii="Cambria" w:hAnsi="Cambria" w:eastAsia="宋体" w:cs="Times New Roman"/>
      <w:b/>
      <w:bCs/>
      <w:kern w:val="2"/>
      <w:sz w:val="32"/>
      <w:szCs w:val="32"/>
    </w:rPr>
  </w:style>
  <w:style w:type="character" w:customStyle="1" w:styleId="35">
    <w:name w:val=" Char Char3"/>
    <w:qFormat/>
    <w:locked/>
    <w:uiPriority w:val="99"/>
    <w:rPr>
      <w:rFonts w:ascii="仿宋_GB2312" w:hAnsi="Times New Roman" w:eastAsia="仿宋_GB2312"/>
      <w:sz w:val="24"/>
    </w:rPr>
  </w:style>
  <w:style w:type="character" w:customStyle="1" w:styleId="36">
    <w:name w:val=" Char Char1"/>
    <w:qFormat/>
    <w:locked/>
    <w:uiPriority w:val="99"/>
    <w:rPr>
      <w:sz w:val="18"/>
    </w:rPr>
  </w:style>
  <w:style w:type="character" w:customStyle="1" w:styleId="37">
    <w:name w:val=" Char Char"/>
    <w:semiHidden/>
    <w:qFormat/>
    <w:locked/>
    <w:uiPriority w:val="99"/>
    <w:rPr>
      <w:sz w:val="18"/>
    </w:rPr>
  </w:style>
  <w:style w:type="paragraph" w:customStyle="1" w:styleId="3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9">
    <w:name w:val="List Paragraph"/>
    <w:basedOn w:val="1"/>
    <w:qFormat/>
    <w:uiPriority w:val="34"/>
    <w:pPr>
      <w:ind w:firstLine="420" w:firstLineChars="200"/>
    </w:pPr>
  </w:style>
  <w:style w:type="paragraph" w:customStyle="1" w:styleId="40">
    <w:name w:val="TOC 标题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1">
    <w:name w:val="TOC Heading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2">
    <w:name w:val="列出段落1"/>
    <w:basedOn w:val="1"/>
    <w:qFormat/>
    <w:uiPriority w:val="99"/>
    <w:pPr>
      <w:ind w:firstLine="420" w:firstLineChars="200"/>
    </w:pPr>
    <w:rPr>
      <w:rFonts w:ascii="Times New Roman" w:hAnsi="Times New Roman"/>
      <w:szCs w:val="24"/>
    </w:rPr>
  </w:style>
  <w:style w:type="character" w:customStyle="1" w:styleId="43">
    <w:name w:val="标题 3 Char"/>
    <w:link w:val="3"/>
    <w:qFormat/>
    <w:uiPriority w:val="0"/>
    <w:rPr>
      <w:b/>
      <w:sz w:val="32"/>
    </w:rPr>
  </w:style>
  <w:style w:type="paragraph" w:customStyle="1" w:styleId="44">
    <w:name w:val="四号正文"/>
    <w:qFormat/>
    <w:uiPriority w:val="0"/>
    <w:pPr>
      <w:widowControl w:val="0"/>
      <w:spacing w:line="360" w:lineRule="auto"/>
      <w:jc w:val="both"/>
    </w:pPr>
    <w:rPr>
      <w:rFonts w:ascii="??" w:hAnsi="??" w:eastAsia="宋体" w:cs="宋体"/>
      <w:color w:val="000000"/>
      <w:kern w:val="0"/>
      <w:sz w:val="28"/>
      <w:szCs w:val="21"/>
      <w:lang w:val="en-US" w:eastAsia="zh-CN" w:bidi="ar-SA"/>
    </w:rPr>
  </w:style>
  <w:style w:type="character" w:customStyle="1" w:styleId="45">
    <w:name w:val="font31"/>
    <w:basedOn w:val="12"/>
    <w:qFormat/>
    <w:uiPriority w:val="0"/>
    <w:rPr>
      <w:rFonts w:hint="eastAsia" w:ascii="宋体" w:hAnsi="宋体" w:eastAsia="宋体" w:cs="宋体"/>
      <w:color w:val="000000"/>
      <w:sz w:val="32"/>
      <w:szCs w:val="32"/>
      <w:u w:val="none"/>
    </w:rPr>
  </w:style>
  <w:style w:type="character" w:customStyle="1" w:styleId="46">
    <w:name w:val="font81"/>
    <w:basedOn w:val="12"/>
    <w:qFormat/>
    <w:uiPriority w:val="0"/>
    <w:rPr>
      <w:rFonts w:hint="eastAsia" w:ascii="宋体" w:hAnsi="宋体" w:eastAsia="宋体" w:cs="宋体"/>
      <w:color w:val="000000"/>
      <w:sz w:val="18"/>
      <w:szCs w:val="18"/>
      <w:u w:val="none"/>
    </w:rPr>
  </w:style>
  <w:style w:type="character" w:customStyle="1" w:styleId="47">
    <w:name w:val="font101"/>
    <w:basedOn w:val="12"/>
    <w:qFormat/>
    <w:uiPriority w:val="0"/>
    <w:rPr>
      <w:rFonts w:hint="eastAsia" w:ascii="宋体" w:hAnsi="宋体" w:eastAsia="宋体" w:cs="宋体"/>
      <w:color w:val="000000"/>
      <w:sz w:val="12"/>
      <w:szCs w:val="12"/>
      <w:u w:val="none"/>
    </w:rPr>
  </w:style>
  <w:style w:type="character" w:customStyle="1" w:styleId="48">
    <w:name w:val="font51"/>
    <w:basedOn w:val="12"/>
    <w:qFormat/>
    <w:uiPriority w:val="0"/>
    <w:rPr>
      <w:rFonts w:hint="eastAsia" w:ascii="宋体" w:hAnsi="宋体" w:eastAsia="宋体" w:cs="宋体"/>
      <w:color w:val="000000"/>
      <w:sz w:val="32"/>
      <w:szCs w:val="32"/>
      <w:u w:val="none"/>
    </w:rPr>
  </w:style>
  <w:style w:type="character" w:customStyle="1" w:styleId="49">
    <w:name w:val="font2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extended-properties">
  <Template>Normal</Template>
  <TotalTime>157259040</TotalTime>
  <Pages>1</Pages>
  <Words>1293</Words>
  <Characters>7375</Characters>
  <Application>WPS Office_11.1.0.11045_F1E327BC-269C-435d-A152-05C5408002CA</Application>
  <DocSecurity>0</DocSecurity>
  <Lines>61</Lines>
  <Paragraphs>17</Paragraphs>
  <Company>四川省财政厅</Company>
  <CharactersWithSpaces>8651</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00CA7821CC5748C39A2A5370412891CB</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陈强</cp:lastModifiedBy>
  <cp:revision>36</cp:revision>
  <cp:lastPrinted>2021-07-29T03:56:00Z</cp:lastPrinted>
  <dcterms:created xsi:type="dcterms:W3CDTF">2020-08-04T01:49:00Z</dcterms:created>
  <dcterms:modified xsi:type="dcterms:W3CDTF">2021-10-27T03:21:25Z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f9c748-ee11-4e69-b59e-4d1e5456ffc6}">
  <ds:schemaRefs/>
</ds:datastoreItem>
</file>

<file path=customXml/itemProps3.xml><?xml version="1.0" encoding="utf-8"?>
<ds:datastoreItem xmlns:ds="http://schemas.openxmlformats.org/officeDocument/2006/customXml" ds:itemID="{9f23ddf2-a738-450d-ae67-d95482b5dcb1}">
  <ds:schemaRefs/>
</ds:datastoreItem>
</file>

<file path=customXml/itemProps4.xml><?xml version="1.0" encoding="utf-8"?>
<ds:datastoreItem xmlns:ds="http://schemas.openxmlformats.org/officeDocument/2006/customXml" ds:itemID="{123c3973-8ddc-4d8e-8233-5aac1e2c3c54}">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1293</Words>
  <Characters>7375</Characters>
  <Lines>61</Lines>
  <Paragraphs>17</Paragraphs>
  <TotalTime>7</TotalTime>
  <ScaleCrop>false</ScaleCrop>
  <LinksUpToDate>false</LinksUpToDate>
  <CharactersWithSpaces>8651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张良</cp:lastModifiedBy>
  <cp:lastPrinted>2021-07-29T03:56:00Z</cp:lastPrinted>
  <dcterms:modified xsi:type="dcterms:W3CDTF">2023-07-13T06:46:10Z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BC5D3C4AA4C34B5D8C389E63236FE507</vt:lpwstr>
  </property>
</Properties>
</file>