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cs="Times New Roman"/>
          <w:sz w:val="10"/>
        </w:rPr>
      </w:pPr>
    </w:p>
    <w:p>
      <w:pPr>
        <w:spacing w:line="579" w:lineRule="exact"/>
        <w:jc w:val="center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通江县烟花爆竹零售经营布点规划方案</w:t>
      </w:r>
    </w:p>
    <w:p>
      <w:pPr>
        <w:spacing w:line="579" w:lineRule="exact"/>
        <w:jc w:val="center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（征求意见稿）</w:t>
      </w:r>
    </w:p>
    <w:p>
      <w:pPr>
        <w:spacing w:line="579" w:lineRule="exact"/>
        <w:jc w:val="center"/>
        <w:rPr>
          <w:rFonts w:ascii="方正小标宋简体" w:hAnsi="仿宋" w:eastAsia="方正小标宋简体"/>
          <w:sz w:val="36"/>
          <w:szCs w:val="36"/>
        </w:rPr>
      </w:pP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为强化烟花爆竹零售经营管理，构建安全、规范、有序的烟花爆竹市场经营秩序，提高烟花爆竹公共安全保障水平，促进烟花爆竹行业安全、健康发展，根据《中华人民共和国大气污染防治法》《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中华人民共和国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安全生产法》《烟花爆竹安全管理条例》（国务院令第</w:t>
      </w:r>
      <w:r>
        <w:rPr>
          <w:rFonts w:ascii="Times New Roman" w:hAnsi="Times New Roman" w:eastAsia="仿宋" w:cs="Times New Roman"/>
          <w:sz w:val="32"/>
          <w:szCs w:val="32"/>
        </w:rPr>
        <w:t>455</w:t>
      </w:r>
      <w:r>
        <w:rPr>
          <w:rFonts w:ascii="Times New Roman" w:hAnsi="Times New Roman" w:eastAsia="仿宋_GB2312" w:cs="Times New Roman"/>
          <w:sz w:val="32"/>
          <w:szCs w:val="32"/>
        </w:rPr>
        <w:t>号）、《烟花爆竹经营许可实施办法》（原国家安监总局令第</w:t>
      </w:r>
      <w:r>
        <w:rPr>
          <w:rFonts w:ascii="Times New Roman" w:hAnsi="Times New Roman" w:eastAsia="仿宋" w:cs="Times New Roman"/>
          <w:sz w:val="32"/>
          <w:szCs w:val="32"/>
        </w:rPr>
        <w:t>65</w:t>
      </w:r>
      <w:r>
        <w:rPr>
          <w:rFonts w:ascii="Times New Roman" w:hAnsi="Times New Roman" w:eastAsia="仿宋_GB2312" w:cs="Times New Roman"/>
          <w:sz w:val="32"/>
          <w:szCs w:val="32"/>
        </w:rPr>
        <w:t>号）、《烟花爆竹生产经营安全规定》（原国家安监总局令第</w:t>
      </w:r>
      <w:r>
        <w:rPr>
          <w:rFonts w:ascii="Times New Roman" w:hAnsi="Times New Roman" w:eastAsia="仿宋" w:cs="Times New Roman"/>
          <w:sz w:val="32"/>
          <w:szCs w:val="32"/>
        </w:rPr>
        <w:t>93</w:t>
      </w:r>
      <w:r>
        <w:rPr>
          <w:rFonts w:ascii="Times New Roman" w:hAnsi="Times New Roman" w:eastAsia="仿宋_GB2312" w:cs="Times New Roman"/>
          <w:sz w:val="32"/>
          <w:szCs w:val="32"/>
        </w:rPr>
        <w:t>号）、《四川省烟花爆竹经营许可实施细则》（川安监〔</w:t>
      </w:r>
      <w:r>
        <w:rPr>
          <w:rFonts w:ascii="Times New Roman" w:hAnsi="Times New Roman" w:eastAsia="仿宋" w:cs="Times New Roman"/>
          <w:sz w:val="32"/>
          <w:szCs w:val="32"/>
        </w:rPr>
        <w:t>2014</w:t>
      </w:r>
      <w:r>
        <w:rPr>
          <w:rFonts w:ascii="Times New Roman" w:hAnsi="Times New Roman" w:eastAsia="仿宋_GB2312" w:cs="Times New Roman"/>
          <w:sz w:val="32"/>
          <w:szCs w:val="32"/>
        </w:rPr>
        <w:t>〕</w:t>
      </w:r>
      <w:r>
        <w:rPr>
          <w:rFonts w:ascii="Times New Roman" w:hAnsi="Times New Roman" w:eastAsia="仿宋" w:cs="Times New Roman"/>
          <w:sz w:val="32"/>
          <w:szCs w:val="32"/>
        </w:rPr>
        <w:t>47</w:t>
      </w:r>
      <w:r>
        <w:rPr>
          <w:rFonts w:ascii="Times New Roman" w:hAnsi="Times New Roman" w:eastAsia="仿宋_GB2312" w:cs="Times New Roman"/>
          <w:sz w:val="32"/>
          <w:szCs w:val="32"/>
        </w:rPr>
        <w:t>号）、《烟花爆竹零售店（点）安全技术规范》(AQ</w:t>
      </w:r>
      <w:r>
        <w:rPr>
          <w:rFonts w:ascii="Times New Roman" w:hAnsi="Times New Roman" w:eastAsia="仿宋" w:cs="Times New Roman"/>
          <w:sz w:val="32"/>
          <w:szCs w:val="32"/>
        </w:rPr>
        <w:t>4128</w:t>
      </w:r>
      <w:r>
        <w:rPr>
          <w:rFonts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" w:cs="Times New Roman"/>
          <w:sz w:val="32"/>
          <w:szCs w:val="32"/>
        </w:rPr>
        <w:t>2019</w:t>
      </w:r>
      <w:r>
        <w:rPr>
          <w:rFonts w:ascii="Times New Roman" w:hAnsi="Times New Roman" w:eastAsia="仿宋_GB2312" w:cs="Times New Roman"/>
          <w:sz w:val="32"/>
          <w:szCs w:val="32"/>
        </w:rPr>
        <w:t>)《巴中市烟花爆竹燃放管理条例》等法律法规和文件要求，结合本县烟花爆竹经营实际情况，制定本方案。</w:t>
      </w:r>
    </w:p>
    <w:p>
      <w:pPr>
        <w:spacing w:line="579" w:lineRule="exact"/>
        <w:ind w:firstLine="643" w:firstLineChars="20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一、指导思想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坚持以习近平新时代中国特色社会主义思想为指导，牢固树立科学发展、安全发展理念，认真贯彻“安全第一，预防为主，综合治理”的方针，综合考虑乡镇行政区划调整、人口规模和城乡安全发展需要，建立适应全县经济社会发展、布局合理、规范有序、安全便民的烟花爆竹经营（零售）网络。</w:t>
      </w:r>
    </w:p>
    <w:p>
      <w:pPr>
        <w:spacing w:line="579" w:lineRule="exact"/>
        <w:ind w:firstLine="643" w:firstLineChars="20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二、布点规划原则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坚持“保障安全、统一规划、合理布局、总量控制、适度竞争”原则，严格把关烟花爆竹经营安全准入条件，规范烟花爆竹零售经营行为。</w:t>
      </w:r>
    </w:p>
    <w:p>
      <w:pPr>
        <w:spacing w:line="579" w:lineRule="exact"/>
        <w:ind w:firstLine="643" w:firstLineChars="20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三、布点规划期限</w:t>
      </w:r>
    </w:p>
    <w:p>
      <w:pPr>
        <w:spacing w:line="579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2024年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1月1日</w:t>
      </w:r>
      <w:r>
        <w:rPr>
          <w:rFonts w:ascii="Times New Roman" w:hAnsi="Times New Roman" w:eastAsia="仿宋_GB2312" w:cs="Times New Roman"/>
          <w:sz w:val="32"/>
          <w:szCs w:val="32"/>
        </w:rPr>
        <w:t>—2025年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12月31日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79" w:lineRule="exact"/>
        <w:ind w:firstLine="643" w:firstLineChars="20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四、布点规划要求</w:t>
      </w:r>
    </w:p>
    <w:p>
      <w:pPr>
        <w:spacing w:line="579" w:lineRule="exact"/>
        <w:ind w:firstLine="482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（一）严格控制布点总量。</w:t>
      </w:r>
      <w:r>
        <w:rPr>
          <w:rFonts w:ascii="Times New Roman" w:hAnsi="Times New Roman" w:eastAsia="仿宋_GB2312" w:cs="Times New Roman"/>
          <w:sz w:val="32"/>
          <w:szCs w:val="32"/>
        </w:rPr>
        <w:t>根据各乡镇（街道）环境容量、人口数量、风俗习惯、禁止燃放区域设置、环境空气质量等实际情况，参照历年烟花爆竹零售网点分布，按照“总量控制、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只减不增、适度竞争</w:t>
      </w:r>
      <w:r>
        <w:rPr>
          <w:rFonts w:ascii="Times New Roman" w:hAnsi="Times New Roman" w:eastAsia="仿宋_GB2312" w:cs="Times New Roman"/>
          <w:sz w:val="32"/>
          <w:szCs w:val="32"/>
        </w:rPr>
        <w:t>”的原则合理确定布点数量，全县烟花爆竹零售店总数原则上不超过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家。</w:t>
      </w:r>
    </w:p>
    <w:p>
      <w:pPr>
        <w:spacing w:line="579" w:lineRule="exact"/>
        <w:ind w:firstLine="482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严禁</w:t>
      </w:r>
      <w:r>
        <w:rPr>
          <w:rFonts w:ascii="Times New Roman" w:hAnsi="Times New Roman" w:eastAsia="楷体_GB2312" w:cs="Times New Roman"/>
          <w:b/>
          <w:sz w:val="32"/>
          <w:szCs w:val="32"/>
        </w:rPr>
        <w:t>禁售区域规划布点。</w:t>
      </w:r>
      <w:r>
        <w:rPr>
          <w:rFonts w:ascii="Times New Roman" w:hAnsi="Times New Roman" w:eastAsia="仿宋_GB2312" w:cs="Times New Roman"/>
          <w:sz w:val="32"/>
          <w:szCs w:val="32"/>
        </w:rPr>
        <w:t>根据《中华人民共和国大气污染防治法》《巴中市烟花爆竹燃放管理条例》《通江县住房和城乡建设局 通江县自然资源和规划局关于县城建成区范围的公告》，下列区域禁止设立烟花爆竹零售店：</w:t>
      </w:r>
    </w:p>
    <w:p>
      <w:pPr>
        <w:spacing w:line="595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老城区集中区：东至朱家湾大桥（诺江东路858号）、南至南和加油站（城南路1500号）、西至谭家河大桥西段（大黄沟路4号）、北至县政协（光华街23号附1号）区域内。</w:t>
      </w:r>
    </w:p>
    <w:p>
      <w:pPr>
        <w:spacing w:line="595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新区集中区：谭家河大桥—新保健院—高明湖—高明职中—超前外国语学校—周子坪安置房小区（含谭家河湿地公园）环线内。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.县城重点防火单位、党政机关、学校、幼儿园、医院、集贸市场、超市等人员密集场所区域。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4.法律法规规定的其他区域。</w:t>
      </w:r>
    </w:p>
    <w:p>
      <w:pPr>
        <w:spacing w:line="579" w:lineRule="exact"/>
        <w:ind w:firstLine="482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（三）严格规划乡镇区域布点。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各乡镇（街道）在总量控制的范围内，合理规划布点区域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79" w:lineRule="exact"/>
        <w:ind w:firstLine="643" w:firstLineChars="20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五、布点规划条件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(一）零售经营单位必须依法进行工商登记注册，取得营业执照。零售经营单位负责人和销售人员必须经过烟花爆竹专业知识培训，并经考核合格后方可上岗。</w:t>
      </w:r>
    </w:p>
    <w:p>
      <w:pPr>
        <w:spacing w:line="579" w:lineRule="exact"/>
        <w:ind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（二）零售经营布点选址、外部距离、面积和存放等按照《烟花爆竹零售店（点）安全技术规范》(AQ</w:t>
      </w:r>
      <w:r>
        <w:rPr>
          <w:rFonts w:ascii="Times New Roman" w:hAnsi="Times New Roman" w:eastAsia="仿宋" w:cs="Times New Roman"/>
          <w:sz w:val="32"/>
          <w:szCs w:val="32"/>
        </w:rPr>
        <w:t>4128</w:t>
      </w:r>
      <w:r>
        <w:rPr>
          <w:rFonts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" w:cs="Times New Roman"/>
          <w:sz w:val="32"/>
          <w:szCs w:val="32"/>
        </w:rPr>
        <w:t>2019</w:t>
      </w:r>
      <w:r>
        <w:rPr>
          <w:rFonts w:ascii="Times New Roman" w:hAnsi="Times New Roman" w:eastAsia="仿宋_GB2312" w:cs="Times New Roman"/>
          <w:sz w:val="32"/>
          <w:szCs w:val="32"/>
        </w:rPr>
        <w:t>）规定条件。</w:t>
      </w:r>
    </w:p>
    <w:p>
      <w:pPr>
        <w:spacing w:line="579" w:lineRule="exact"/>
        <w:ind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（三）烟花爆竹零售经营实行一地一证经营，严禁异地经营，严禁另设烟花爆竹储存仓库，不得出租、出借、转让、买卖、冒用或使用伪造的《烟花爆竹经营（零售）许可证》。</w:t>
      </w:r>
    </w:p>
    <w:p>
      <w:pPr>
        <w:spacing w:line="579" w:lineRule="exact"/>
        <w:ind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（四）零售经营单位必须从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经</w:t>
      </w:r>
      <w:r>
        <w:rPr>
          <w:rFonts w:ascii="Times New Roman" w:hAnsi="Times New Roman" w:eastAsia="仿宋_GB2312" w:cs="Times New Roman"/>
          <w:sz w:val="32"/>
          <w:szCs w:val="32"/>
        </w:rPr>
        <w:t>批准的本地烟花爆竹批发企业进货，并与批发企业签订购销配送合同，批发企业必须与零售经营单位签订安全协议。</w:t>
      </w:r>
    </w:p>
    <w:p>
      <w:pPr>
        <w:spacing w:line="579" w:lineRule="exact"/>
        <w:ind w:left="799" w:leftChars="228" w:hanging="320" w:hanging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五</w:t>
      </w:r>
      <w:r>
        <w:rPr>
          <w:rFonts w:ascii="Times New Roman" w:hAnsi="Times New Roman" w:eastAsia="仿宋_GB2312" w:cs="Times New Roman"/>
          <w:sz w:val="32"/>
          <w:szCs w:val="32"/>
        </w:rPr>
        <w:t>）法律法规规定的其他条件。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ascii="黑体" w:hAnsi="黑体" w:eastAsia="黑体" w:cs="Times New Roman"/>
          <w:b/>
          <w:sz w:val="32"/>
          <w:szCs w:val="32"/>
        </w:rPr>
        <w:t>六、组织实施</w:t>
      </w:r>
    </w:p>
    <w:p>
      <w:pPr>
        <w:spacing w:line="579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（一）做好政策宣传</w:t>
      </w:r>
      <w:r>
        <w:rPr>
          <w:rFonts w:ascii="Times New Roman" w:hAnsi="Times New Roman" w:eastAsia="仿宋_GB2312" w:cs="Times New Roman"/>
          <w:sz w:val="32"/>
          <w:szCs w:val="32"/>
        </w:rPr>
        <w:t>。本次布点规划是依法规范烟花爆竹经营条件和经营（零售）许可证颁发管理，完善市场管理机制，保障烟花爆竹经营安全的重要举措。各乡镇（街道）要做好宣传和政策解释，牢固树立安全发展意识，纠正个别经营户思想认识上的偏差，强化落实零售经营单位主要负责人主体责任，切实改进和提升安全管理工作思路，确保烟花爆竹依法经营、安全经营。</w:t>
      </w:r>
    </w:p>
    <w:p>
      <w:pPr>
        <w:spacing w:line="579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（二）严格执行布点规划。</w:t>
      </w:r>
      <w:r>
        <w:rPr>
          <w:rFonts w:ascii="Times New Roman" w:hAnsi="Times New Roman" w:eastAsia="仿宋_GB2312" w:cs="Times New Roman"/>
          <w:sz w:val="32"/>
          <w:szCs w:val="32"/>
        </w:rPr>
        <w:t>烟花爆竹经营（零售）布点规划条件和要求，是经营者申请许可的首要条件。各乡镇（街道）要严格规范行政许可行为，严格执行布点规划，对不符合布点规划条件和安全要求的申请一律不予受理。</w:t>
      </w:r>
    </w:p>
    <w:p>
      <w:pPr>
        <w:spacing w:line="579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（三）严格把握审批关。</w:t>
      </w:r>
      <w:r>
        <w:rPr>
          <w:rFonts w:ascii="Times New Roman" w:hAnsi="Times New Roman" w:eastAsia="仿宋_GB2312" w:cs="Times New Roman"/>
          <w:sz w:val="32"/>
          <w:szCs w:val="32"/>
        </w:rPr>
        <w:t>各乡镇（街道）要依法依规做好许可证申请材料初审，从源头上严格管控“上宅下店，前店后宅”、安全间距不足、安全管理混乱等不符合安全条件的零售经营单位和违法违规行为。在各乡镇（街道）审核基础上，我局将严把安全条件各项要素审查关，牢牢把住零售经营店行政许可关。</w:t>
      </w:r>
    </w:p>
    <w:p>
      <w:pPr>
        <w:spacing w:line="579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（四）加强监管执法。</w:t>
      </w:r>
      <w:r>
        <w:rPr>
          <w:rFonts w:ascii="Times New Roman" w:hAnsi="Times New Roman" w:eastAsia="仿宋_GB2312" w:cs="Times New Roman"/>
          <w:sz w:val="32"/>
          <w:szCs w:val="32"/>
        </w:rPr>
        <w:t>加大事中事后监管力度，持续开展烟花爆竹“打非治违”行动，深入开展烟花爆竹经营安全隐患排查治理工作，强化烟花爆竹事故预防，从严查处“无证经营、超量储存、非法储存、私货经营、一证多点、异地经营”等非法违法行为。</w:t>
      </w:r>
    </w:p>
    <w:p>
      <w:pPr>
        <w:spacing w:line="579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（五）严格责任追究。</w:t>
      </w:r>
      <w:r>
        <w:rPr>
          <w:rFonts w:ascii="Times New Roman" w:hAnsi="Times New Roman" w:eastAsia="仿宋_GB2312" w:cs="Times New Roman"/>
          <w:sz w:val="32"/>
          <w:szCs w:val="32"/>
        </w:rPr>
        <w:t>凡是对不按规定放宽准入条件进行初审和现场核查的，以及审核、审批、发证把关不严等造成影响的，按照“属地监管”和“谁审批、谁监管、谁负责”的原则，严肃追究有关人员的责任。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7"/>
        <w:tblpPr w:leftFromText="180" w:rightFromText="180" w:vertAnchor="text" w:horzAnchor="margin" w:tblpY="874"/>
        <w:tblW w:w="8920" w:type="dxa"/>
        <w:tblInd w:w="0" w:type="dxa"/>
        <w:shd w:val="clear" w:color="auto" w:fill="F7F7F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5"/>
        <w:gridCol w:w="1440"/>
        <w:gridCol w:w="1807"/>
        <w:gridCol w:w="2468"/>
      </w:tblGrid>
      <w:tr>
        <w:tblPrEx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3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区  域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规划数量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区  域</w:t>
            </w:r>
          </w:p>
        </w:tc>
        <w:tc>
          <w:tcPr>
            <w:tcW w:w="2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规划数量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壁州街道（建城区外）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唱歌镇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诺江镇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陈河镇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铁佛镇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21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长坪镇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诺水河镇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泥溪镇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广纳镇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两河口镇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沙溪镇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板桥口镇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涪阳镇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新场镇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民胜镇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兴隆镇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洪口镇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FF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春在镇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火炬镇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青峪镇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永安镇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毛浴镇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麻石镇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空山镇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铁溪镇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三溪镇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至诚镇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FF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烟溪镇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杨柏镇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松溪乡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瓦室镇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胜利乡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龙凤场镇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高明新区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46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合计</w:t>
            </w:r>
            <w:r>
              <w:rPr>
                <w:rFonts w:ascii="仿宋" w:hAnsi="仿宋" w:eastAsia="仿宋"/>
                <w:sz w:val="30"/>
                <w:szCs w:val="30"/>
              </w:rPr>
              <w:fldChar w:fldCharType="begin"/>
            </w:r>
            <w:r>
              <w:rPr>
                <w:rFonts w:ascii="仿宋" w:hAnsi="仿宋" w:eastAsia="仿宋"/>
                <w:sz w:val="30"/>
                <w:szCs w:val="30"/>
              </w:rPr>
              <w:instrText xml:space="preserve"> </w:instrText>
            </w:r>
            <w:r>
              <w:rPr>
                <w:rFonts w:hint="eastAsia" w:ascii="仿宋" w:hAnsi="仿宋" w:eastAsia="仿宋"/>
                <w:sz w:val="30"/>
                <w:szCs w:val="30"/>
              </w:rPr>
              <w:instrText xml:space="preserve">=SUM(ABOVE)</w:instrText>
            </w:r>
            <w:r>
              <w:rPr>
                <w:rFonts w:ascii="仿宋" w:hAnsi="仿宋" w:eastAsia="仿宋"/>
                <w:sz w:val="30"/>
                <w:szCs w:val="30"/>
              </w:rPr>
              <w:instrText xml:space="preserve"> </w:instrText>
            </w:r>
            <w:r>
              <w:rPr>
                <w:rFonts w:ascii="仿宋" w:hAnsi="仿宋" w:eastAsia="仿宋"/>
                <w:sz w:val="30"/>
                <w:szCs w:val="30"/>
              </w:rPr>
              <w:fldChar w:fldCharType="end"/>
            </w:r>
            <w:r>
              <w:rPr>
                <w:rFonts w:ascii="仿宋" w:hAnsi="仿宋" w:eastAsia="仿宋"/>
                <w:sz w:val="30"/>
                <w:szCs w:val="30"/>
              </w:rPr>
              <w:fldChar w:fldCharType="begin"/>
            </w:r>
            <w:r>
              <w:rPr>
                <w:rFonts w:ascii="仿宋" w:hAnsi="仿宋" w:eastAsia="仿宋"/>
                <w:sz w:val="30"/>
                <w:szCs w:val="30"/>
              </w:rPr>
              <w:instrText xml:space="preserve"> =SUM(ABOVE) </w:instrText>
            </w:r>
            <w:r>
              <w:rPr>
                <w:rFonts w:ascii="仿宋" w:hAnsi="仿宋" w:eastAsia="仿宋"/>
                <w:sz w:val="30"/>
                <w:szCs w:val="30"/>
              </w:rPr>
              <w:fldChar w:fldCharType="end"/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</w:trPr>
        <w:tc>
          <w:tcPr>
            <w:tcW w:w="89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说明：各乡镇（街道）在总量控制的基础上，合理规划布点区域。</w:t>
            </w:r>
          </w:p>
        </w:tc>
      </w:tr>
    </w:tbl>
    <w:p>
      <w:pPr>
        <w:spacing w:line="579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附件：通江县</w:t>
      </w:r>
      <w:r>
        <w:rPr>
          <w:rFonts w:ascii="Times New Roman" w:hAnsi="Times New Roman" w:eastAsia="仿宋" w:cs="Times New Roman"/>
          <w:spacing w:val="-8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pacing w:val="-8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年—2025年烟花爆竹零售经营布点规划表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—</w:t>
    </w:r>
    <w:sdt>
      <w:sdtPr>
        <w:rPr>
          <w:rFonts w:ascii="Times New Roman" w:hAnsi="Times New Roman" w:cs="Times New Roman"/>
          <w:sz w:val="32"/>
          <w:szCs w:val="32"/>
        </w:rPr>
        <w:id w:val="114719870"/>
      </w:sdtPr>
      <w:sdtEndPr>
        <w:rPr>
          <w:rFonts w:ascii="Times New Roman" w:hAnsi="Times New Roman" w:cs="Times New Roman"/>
          <w:sz w:val="32"/>
          <w:szCs w:val="32"/>
        </w:rPr>
      </w:sdtEndPr>
      <w:sdtContent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t>1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</w:sdtContent>
    </w:sdt>
    <w:r>
      <w:rPr>
        <w:rFonts w:ascii="Times New Roman" w:hAnsi="Times New Roman" w:cs="Times New Roman"/>
        <w:sz w:val="32"/>
        <w:szCs w:val="32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—</w:t>
    </w:r>
    <w:sdt>
      <w:sdtPr>
        <w:rPr>
          <w:rFonts w:ascii="Times New Roman" w:hAnsi="Times New Roman" w:cs="Times New Roman"/>
          <w:sz w:val="32"/>
          <w:szCs w:val="32"/>
        </w:rPr>
        <w:id w:val="114719879"/>
      </w:sdtPr>
      <w:sdtEndPr>
        <w:rPr>
          <w:rFonts w:ascii="Times New Roman" w:hAnsi="Times New Roman" w:cs="Times New Roman"/>
          <w:sz w:val="32"/>
          <w:szCs w:val="32"/>
        </w:rPr>
      </w:sdtEndPr>
      <w:sdtContent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t>4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</w:sdtContent>
    </w:sdt>
    <w:r>
      <w:rPr>
        <w:rFonts w:ascii="Times New Roman" w:hAnsi="Times New Roman" w:cs="Times New Roman"/>
        <w:sz w:val="32"/>
        <w:szCs w:val="32"/>
      </w:rPr>
      <w:t>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9D5"/>
    <w:rsid w:val="00023512"/>
    <w:rsid w:val="00023987"/>
    <w:rsid w:val="00024F70"/>
    <w:rsid w:val="00030B32"/>
    <w:rsid w:val="0003300F"/>
    <w:rsid w:val="00053616"/>
    <w:rsid w:val="000869A2"/>
    <w:rsid w:val="000B3EDC"/>
    <w:rsid w:val="000B50E7"/>
    <w:rsid w:val="000B5625"/>
    <w:rsid w:val="000B6562"/>
    <w:rsid w:val="000C6B15"/>
    <w:rsid w:val="000D0C1B"/>
    <w:rsid w:val="000E362F"/>
    <w:rsid w:val="0013640A"/>
    <w:rsid w:val="00136FD8"/>
    <w:rsid w:val="00141464"/>
    <w:rsid w:val="00155DA2"/>
    <w:rsid w:val="001721E1"/>
    <w:rsid w:val="00173985"/>
    <w:rsid w:val="001803C5"/>
    <w:rsid w:val="00184575"/>
    <w:rsid w:val="001A4CE7"/>
    <w:rsid w:val="001B4E8D"/>
    <w:rsid w:val="001C2056"/>
    <w:rsid w:val="001C7C8D"/>
    <w:rsid w:val="001D188D"/>
    <w:rsid w:val="001E43B2"/>
    <w:rsid w:val="0026600C"/>
    <w:rsid w:val="0027592E"/>
    <w:rsid w:val="002A110A"/>
    <w:rsid w:val="002C32CB"/>
    <w:rsid w:val="002D1632"/>
    <w:rsid w:val="0031550C"/>
    <w:rsid w:val="003266D0"/>
    <w:rsid w:val="003303A6"/>
    <w:rsid w:val="0033292A"/>
    <w:rsid w:val="00337248"/>
    <w:rsid w:val="00341B68"/>
    <w:rsid w:val="00346CF7"/>
    <w:rsid w:val="00350DE3"/>
    <w:rsid w:val="003529D7"/>
    <w:rsid w:val="00352B05"/>
    <w:rsid w:val="00367EC0"/>
    <w:rsid w:val="00393F39"/>
    <w:rsid w:val="003972D1"/>
    <w:rsid w:val="003A0955"/>
    <w:rsid w:val="003B2D37"/>
    <w:rsid w:val="003B6DFA"/>
    <w:rsid w:val="003B6E3F"/>
    <w:rsid w:val="003B768B"/>
    <w:rsid w:val="003C0FE1"/>
    <w:rsid w:val="003C4CEB"/>
    <w:rsid w:val="003E4C44"/>
    <w:rsid w:val="00492771"/>
    <w:rsid w:val="004C7B2C"/>
    <w:rsid w:val="004D12CF"/>
    <w:rsid w:val="00517F60"/>
    <w:rsid w:val="0053614F"/>
    <w:rsid w:val="005569D7"/>
    <w:rsid w:val="0056330D"/>
    <w:rsid w:val="005B1D92"/>
    <w:rsid w:val="005D4242"/>
    <w:rsid w:val="005E7A13"/>
    <w:rsid w:val="00602F8F"/>
    <w:rsid w:val="0060567C"/>
    <w:rsid w:val="0063573C"/>
    <w:rsid w:val="006548EB"/>
    <w:rsid w:val="006861AB"/>
    <w:rsid w:val="00694312"/>
    <w:rsid w:val="006A007C"/>
    <w:rsid w:val="006A0B57"/>
    <w:rsid w:val="006B6198"/>
    <w:rsid w:val="006D7657"/>
    <w:rsid w:val="006E06B8"/>
    <w:rsid w:val="006F6EEF"/>
    <w:rsid w:val="007031E3"/>
    <w:rsid w:val="007054D9"/>
    <w:rsid w:val="007223AA"/>
    <w:rsid w:val="00751A2C"/>
    <w:rsid w:val="007557C5"/>
    <w:rsid w:val="00765FBB"/>
    <w:rsid w:val="0077233A"/>
    <w:rsid w:val="00791DF2"/>
    <w:rsid w:val="007A09D5"/>
    <w:rsid w:val="007A1119"/>
    <w:rsid w:val="007E1F95"/>
    <w:rsid w:val="0081784D"/>
    <w:rsid w:val="00852634"/>
    <w:rsid w:val="008556ED"/>
    <w:rsid w:val="00870C14"/>
    <w:rsid w:val="0088142D"/>
    <w:rsid w:val="008870C2"/>
    <w:rsid w:val="0089054B"/>
    <w:rsid w:val="008B40CA"/>
    <w:rsid w:val="008C6966"/>
    <w:rsid w:val="008D4269"/>
    <w:rsid w:val="008E7974"/>
    <w:rsid w:val="008F2770"/>
    <w:rsid w:val="00913585"/>
    <w:rsid w:val="00924F7F"/>
    <w:rsid w:val="00934CCB"/>
    <w:rsid w:val="00936B25"/>
    <w:rsid w:val="0093762C"/>
    <w:rsid w:val="0097251B"/>
    <w:rsid w:val="009963EA"/>
    <w:rsid w:val="009C49B7"/>
    <w:rsid w:val="009F39D9"/>
    <w:rsid w:val="00A110B1"/>
    <w:rsid w:val="00A25290"/>
    <w:rsid w:val="00A301FA"/>
    <w:rsid w:val="00A37A55"/>
    <w:rsid w:val="00A7000F"/>
    <w:rsid w:val="00AE49B0"/>
    <w:rsid w:val="00AE77F5"/>
    <w:rsid w:val="00B139B1"/>
    <w:rsid w:val="00B15A60"/>
    <w:rsid w:val="00B23858"/>
    <w:rsid w:val="00B45D5E"/>
    <w:rsid w:val="00B574C6"/>
    <w:rsid w:val="00BB3902"/>
    <w:rsid w:val="00C177A3"/>
    <w:rsid w:val="00C261BD"/>
    <w:rsid w:val="00C2672E"/>
    <w:rsid w:val="00C26810"/>
    <w:rsid w:val="00C27ADB"/>
    <w:rsid w:val="00C33496"/>
    <w:rsid w:val="00C84F06"/>
    <w:rsid w:val="00CA2B15"/>
    <w:rsid w:val="00CB6E16"/>
    <w:rsid w:val="00CC7FE6"/>
    <w:rsid w:val="00D315DF"/>
    <w:rsid w:val="00D31B50"/>
    <w:rsid w:val="00D448E0"/>
    <w:rsid w:val="00D46711"/>
    <w:rsid w:val="00D53349"/>
    <w:rsid w:val="00D53A01"/>
    <w:rsid w:val="00D906B7"/>
    <w:rsid w:val="00DE0969"/>
    <w:rsid w:val="00DF4269"/>
    <w:rsid w:val="00E46B5C"/>
    <w:rsid w:val="00E5692B"/>
    <w:rsid w:val="00E6256C"/>
    <w:rsid w:val="00E726A9"/>
    <w:rsid w:val="00E83694"/>
    <w:rsid w:val="00EA6982"/>
    <w:rsid w:val="00EB05D6"/>
    <w:rsid w:val="00F35201"/>
    <w:rsid w:val="00F367A8"/>
    <w:rsid w:val="00F83538"/>
    <w:rsid w:val="00FA6A0B"/>
    <w:rsid w:val="00FD4A62"/>
    <w:rsid w:val="06FCCE54"/>
    <w:rsid w:val="0FDB9E2B"/>
    <w:rsid w:val="2D505405"/>
    <w:rsid w:val="2DCFED7F"/>
    <w:rsid w:val="37DAE584"/>
    <w:rsid w:val="4D7EAE1A"/>
    <w:rsid w:val="4EF76A1F"/>
    <w:rsid w:val="57F69711"/>
    <w:rsid w:val="5BFF9C4C"/>
    <w:rsid w:val="5DCB22E5"/>
    <w:rsid w:val="5EB55146"/>
    <w:rsid w:val="6EFFD834"/>
    <w:rsid w:val="767C6146"/>
    <w:rsid w:val="76F329B8"/>
    <w:rsid w:val="7B7D84A2"/>
    <w:rsid w:val="7BEFFF6E"/>
    <w:rsid w:val="7F9C803E"/>
    <w:rsid w:val="7FAEDC87"/>
    <w:rsid w:val="7FFB16BF"/>
    <w:rsid w:val="7FFB7005"/>
    <w:rsid w:val="7FFFBE33"/>
    <w:rsid w:val="9FF7AB1A"/>
    <w:rsid w:val="BDFD81C3"/>
    <w:rsid w:val="BEFD7469"/>
    <w:rsid w:val="BFE5602F"/>
    <w:rsid w:val="BFF66C05"/>
    <w:rsid w:val="CBBF9FD4"/>
    <w:rsid w:val="D2F65149"/>
    <w:rsid w:val="DBC7F808"/>
    <w:rsid w:val="DBF71C92"/>
    <w:rsid w:val="DEDB075B"/>
    <w:rsid w:val="E5BD3640"/>
    <w:rsid w:val="E5FF4D7F"/>
    <w:rsid w:val="EBB5D407"/>
    <w:rsid w:val="EFBD29E8"/>
    <w:rsid w:val="F4E7B6BF"/>
    <w:rsid w:val="FA7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link w:val="12"/>
    <w:qFormat/>
    <w:uiPriority w:val="0"/>
    <w:pPr>
      <w:spacing w:after="0"/>
      <w:ind w:left="0" w:leftChars="0" w:firstLine="420" w:firstLineChars="200"/>
    </w:pPr>
    <w:rPr>
      <w:rFonts w:ascii="仿宋_GB2312" w:hAnsi="仿宋_GB2312" w:eastAsia="仿宋_GB2312" w:cs="Times New Roman"/>
      <w:sz w:val="32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2"/>
    <w:semiHidden/>
    <w:qFormat/>
    <w:uiPriority w:val="99"/>
  </w:style>
  <w:style w:type="character" w:customStyle="1" w:styleId="12">
    <w:name w:val="正文首行缩进 2 Char"/>
    <w:basedOn w:val="11"/>
    <w:link w:val="6"/>
    <w:qFormat/>
    <w:uiPriority w:val="0"/>
    <w:rPr>
      <w:rFonts w:ascii="仿宋_GB2312" w:hAnsi="仿宋_GB2312" w:eastAsia="仿宋_GB2312" w:cs="Times New Roman"/>
      <w:sz w:val="32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346</Words>
  <Characters>1976</Characters>
  <Lines>16</Lines>
  <Paragraphs>4</Paragraphs>
  <TotalTime>125</TotalTime>
  <ScaleCrop>false</ScaleCrop>
  <LinksUpToDate>false</LinksUpToDate>
  <CharactersWithSpaces>2318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2023-11-01T11:08:00Z</dcterms:created>
  <dc:creator>PC</dc:creator>
  <cp:lastModifiedBy>Administrator</cp:lastModifiedBy>
  <cp:lastPrinted>2023-12-14T06:22:00Z</cp:lastPrinted>
  <dcterms:modified xsi:type="dcterms:W3CDTF">2023-12-15T09:03:35Z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AB0BD81F4AD3BCBA2DF64165360862D7</vt:lpwstr>
  </property>
</Properties>
</file>