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193"/>
      <w:bookmarkStart w:id="4" w:name="_Toc15377425"/>
      <w:bookmarkStart w:id="5" w:name="_Toc15396475"/>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77194"/>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通江县泥溪镇人民政府部门决算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w:t>
      </w:r>
      <w:r>
        <w:rPr>
          <w:rFonts w:hint="eastAsia"/>
          <w:lang w:val="en-US" w:eastAsia="zh-CN"/>
        </w:rPr>
        <w:t>1</w:t>
      </w:r>
      <w:r>
        <w:rPr>
          <w:rFonts w:hint="eastAsia"/>
        </w:rPr>
        <w:t>年10月15日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w:t>
      </w:r>
      <w:r>
        <w:rPr>
          <w:rStyle w:val="16"/>
          <w:rFonts w:hint="eastAsia"/>
        </w:rPr>
        <w:t>20年度部门决算情况说明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1、贯彻执行国家有关财政管理等方面的法律、法规和规定；拟定和执行乡镇财政发展规划及其他有关政策。</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2、编制乡镇年度财政预算草案并组织执行；向乡镇人大报告财政决算；管理和监督乡镇各项财政收支。</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3、管理各类政策性补贴等资金，建立惠农资金补助对象管理新机制，进一步完善财政补贴农民资金“一卡（折）通”发放机制。</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4、负责对各类专项资金的监管，提高财政资金使用效率。</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5、负责乡镇涉农及社会保障等专户资金的管理和核算；管理乡镇政府非税收入。</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6、提高加强财政管理的政策建议；负责财政、税收政策法规的宣传工作。</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7、执行会计集中核算，落实“乡财县管、村财乡监”、“农村三资代理服务”等管理制度，负责村级资金专户存储、核拨和监督管理；严格按照上级财政部门规定的工作程序开展工作，充分发挥财政资金使用效率。</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8、负责本乡镇行政事业单位的国有资产监督管理工作。</w:t>
      </w:r>
    </w:p>
    <w:p>
      <w:pPr>
        <w:spacing w:line="600" w:lineRule="exact"/>
        <w:ind w:firstLine="600" w:firstLineChars="200"/>
        <w:rPr>
          <w:rFonts w:ascii="瀹嬩綋" w:hAnsi="瀹嬩綋" w:eastAsia="瀹嬩綋" w:cs="瀹嬩綋"/>
          <w:color w:val="4E4342"/>
          <w:szCs w:val="21"/>
        </w:rPr>
      </w:pPr>
      <w:r>
        <w:rPr>
          <w:rFonts w:hint="eastAsia" w:ascii="仿宋_GB2312" w:hAnsi="Arial" w:eastAsia="仿宋_GB2312" w:cs="Arial"/>
          <w:color w:val="000000"/>
          <w:sz w:val="30"/>
          <w:szCs w:val="30"/>
        </w:rPr>
        <w:t>9、负责做好农村综合改革和社会主义新农村建设</w:t>
      </w:r>
      <w:r>
        <w:rPr>
          <w:rFonts w:hint="eastAsia" w:ascii="仿宋_GB2312" w:hAnsi="瀹嬩綋" w:eastAsia="仿宋_GB2312" w:cs="仿宋_GB2312"/>
          <w:color w:val="4E4342"/>
          <w:kern w:val="0"/>
          <w:sz w:val="28"/>
          <w:szCs w:val="28"/>
          <w:shd w:val="clear" w:color="auto" w:fill="FFFFFF"/>
        </w:rPr>
        <w:t>相关工作。</w:t>
      </w:r>
    </w:p>
    <w:p>
      <w:pPr>
        <w:widowControl/>
        <w:shd w:val="clear" w:color="auto" w:fill="FFFFFF"/>
        <w:ind w:firstLine="560" w:firstLineChars="200"/>
        <w:jc w:val="left"/>
        <w:rPr>
          <w:rFonts w:ascii="瀹嬩綋" w:hAnsi="瀹嬩綋" w:eastAsia="瀹嬩綋" w:cs="瀹嬩綋"/>
          <w:color w:val="4E4342"/>
          <w:szCs w:val="21"/>
        </w:rPr>
      </w:pPr>
      <w:r>
        <w:rPr>
          <w:rFonts w:hint="eastAsia" w:ascii="仿宋_GB2312" w:hAnsi="瀹嬩綋" w:eastAsia="仿宋_GB2312" w:cs="仿宋_GB2312"/>
          <w:color w:val="4E4342"/>
          <w:kern w:val="0"/>
          <w:sz w:val="28"/>
          <w:szCs w:val="28"/>
          <w:shd w:val="clear" w:color="auto" w:fill="FFFFFF"/>
        </w:rPr>
        <w:t>10、承办乡镇党委、政府及上级财政部门交办的其他事项。</w:t>
      </w:r>
    </w:p>
    <w:bookmarkEnd w:id="16"/>
    <w:bookmarkEnd w:id="17"/>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20年重点工作完成情况。</w:t>
      </w:r>
      <w:bookmarkEnd w:id="18"/>
      <w:bookmarkEnd w:id="19"/>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2020年，泥溪镇党委、政府在</w:t>
      </w:r>
      <w:r>
        <w:rPr>
          <w:rFonts w:hint="eastAsia" w:ascii="仿宋_GB2312" w:hAnsi="Arial" w:eastAsia="仿宋_GB2312" w:cs="Arial"/>
          <w:color w:val="000000"/>
          <w:sz w:val="30"/>
          <w:szCs w:val="30"/>
          <w:highlight w:val="none"/>
          <w:lang w:eastAsia="zh-CN"/>
        </w:rPr>
        <w:t>县委、县政府</w:t>
      </w:r>
      <w:r>
        <w:rPr>
          <w:rFonts w:hint="eastAsia" w:ascii="仿宋_GB2312" w:hAnsi="Arial" w:eastAsia="仿宋_GB2312" w:cs="Arial"/>
          <w:color w:val="000000"/>
          <w:sz w:val="30"/>
          <w:szCs w:val="30"/>
        </w:rPr>
        <w:t>的领导下，以党的</w:t>
      </w:r>
      <w:bookmarkStart w:id="80" w:name="_GoBack"/>
      <w:bookmarkEnd w:id="80"/>
      <w:r>
        <w:rPr>
          <w:rFonts w:hint="eastAsia" w:ascii="仿宋_GB2312" w:hAnsi="Arial" w:eastAsia="仿宋_GB2312" w:cs="Arial"/>
          <w:color w:val="000000"/>
          <w:sz w:val="30"/>
          <w:szCs w:val="30"/>
        </w:rPr>
        <w:t>十九大精神为指导，坚持打赢脱贫攻坚战和党风廉政建设，严格预算执行，决胜脱贫攻坚。为实现我镇稳定脱贫</w:t>
      </w:r>
      <w:r>
        <w:rPr>
          <w:rFonts w:hint="eastAsia" w:ascii="仿宋_GB2312" w:hAnsi="Arial" w:eastAsia="仿宋_GB2312" w:cs="Arial"/>
          <w:color w:val="000000"/>
          <w:sz w:val="30"/>
          <w:szCs w:val="30"/>
          <w:lang w:eastAsia="zh-CN"/>
        </w:rPr>
        <w:t>打下坚实基础</w:t>
      </w:r>
      <w:r>
        <w:rPr>
          <w:rFonts w:hint="eastAsia" w:ascii="仿宋_GB2312" w:hAnsi="Arial" w:eastAsia="仿宋_GB2312" w:cs="Arial"/>
          <w:color w:val="000000"/>
          <w:sz w:val="30"/>
          <w:szCs w:val="30"/>
        </w:rPr>
        <w:t>。</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全镇七个非贫困村完成了村道路硬化、加宽、农村安全饮水项目，完成了153户、563人的精准贫困户的易地扶贫搬迁任务和604户农村危房改造。为增加农民收入，大力发展产业，建成了六个村的茶园产业园和三个村的中药材基地、1个村黑桃园基地，四个村猪、牛、羊养殖基地，涌现不少种、养殖大户，为实现我镇农村稳定脱贫打下坚实基础，圆满完成了脱贫任务。</w:t>
      </w: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泥溪镇下属二级单位30个，其中行政单位5个，参照公务员法管理的事业单位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个，其他事业单位25个。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纳入泥溪镇2020年度部门决算编制范围的二级预算单位包括：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7202"/>
      <w:bookmarkStart w:id="23" w:name="_Toc15377433"/>
      <w:bookmarkStart w:id="24" w:name="_Toc15306276"/>
      <w:bookmarkStart w:id="25" w:name="_Toc15378449"/>
      <w:r>
        <w:rPr>
          <w:rFonts w:hint="eastAsia"/>
          <w:color w:val="000000"/>
          <w:sz w:val="32"/>
          <w:szCs w:val="32"/>
        </w:rPr>
        <w:t>泥溪初级中学；</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color w:val="000000"/>
          <w:sz w:val="32"/>
          <w:szCs w:val="32"/>
        </w:rPr>
        <w:t>泥溪镇中心小学校；</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color w:val="000000"/>
          <w:sz w:val="32"/>
          <w:szCs w:val="32"/>
        </w:rPr>
        <w:t>泥溪镇卫生院</w:t>
      </w:r>
      <w:bookmarkEnd w:id="22"/>
      <w:bookmarkEnd w:id="23"/>
      <w:bookmarkEnd w:id="24"/>
      <w:bookmarkEnd w:id="25"/>
      <w:r>
        <w:rPr>
          <w:rFonts w:hint="eastAsia"/>
          <w:color w:val="000000"/>
          <w:sz w:val="32"/>
          <w:szCs w:val="32"/>
        </w:rPr>
        <w:t>。</w:t>
      </w:r>
    </w:p>
    <w:p>
      <w:pPr>
        <w:widowControl/>
        <w:jc w:val="left"/>
        <w:rPr>
          <w:rFonts w:ascii="仿宋" w:hAnsi="仿宋" w:eastAsia="仿宋"/>
          <w:color w:val="000000"/>
          <w:kern w:val="0"/>
          <w:sz w:val="32"/>
          <w:szCs w:val="32"/>
        </w:rPr>
      </w:pPr>
    </w:p>
    <w:p>
      <w:pPr>
        <w:pStyle w:val="2"/>
        <w:ind w:right="440"/>
        <w:jc w:val="right"/>
        <w:rPr>
          <w:rStyle w:val="25"/>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Style w:val="25"/>
          <w:rFonts w:hint="eastAsia" w:ascii="黑体" w:hAnsi="黑体" w:eastAsia="黑体"/>
          <w:b w:val="0"/>
          <w:bCs w:val="0"/>
        </w:rPr>
        <w:t>2020年度部门决算情况说明</w:t>
      </w:r>
      <w:bookmarkEnd w:id="26"/>
      <w:bookmarkEnd w:id="27"/>
    </w:p>
    <w:p/>
    <w:p>
      <w:pPr>
        <w:pStyle w:val="24"/>
        <w:numPr>
          <w:ilvl w:val="0"/>
          <w:numId w:val="2"/>
        </w:numPr>
        <w:spacing w:line="600" w:lineRule="exact"/>
        <w:ind w:firstLineChars="0"/>
        <w:outlineLvl w:val="1"/>
        <w:rPr>
          <w:rStyle w:val="26"/>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2020年度收入总计</w:t>
      </w:r>
      <w:r>
        <w:rPr>
          <w:rFonts w:hint="eastAsia" w:ascii="仿宋_GB2312" w:hAnsi="仿宋" w:eastAsia="仿宋_GB2312"/>
          <w:color w:val="000000"/>
          <w:sz w:val="32"/>
          <w:szCs w:val="32"/>
        </w:rPr>
        <w:t>3197.53</w:t>
      </w:r>
      <w:r>
        <w:rPr>
          <w:rFonts w:hint="eastAsia" w:ascii="仿宋" w:hAnsi="仿宋" w:eastAsia="仿宋"/>
          <w:color w:val="000000"/>
          <w:sz w:val="32"/>
          <w:szCs w:val="32"/>
        </w:rPr>
        <w:t>万元、支总计</w:t>
      </w:r>
      <w:r>
        <w:rPr>
          <w:rFonts w:hint="eastAsia" w:ascii="仿宋_GB2312" w:hAnsi="仿宋" w:eastAsia="仿宋_GB2312"/>
          <w:color w:val="000000"/>
          <w:sz w:val="32"/>
          <w:szCs w:val="32"/>
        </w:rPr>
        <w:t>3197.53</w:t>
      </w:r>
      <w:r>
        <w:rPr>
          <w:rFonts w:hint="eastAsia" w:ascii="仿宋" w:hAnsi="仿宋" w:eastAsia="仿宋"/>
          <w:color w:val="000000"/>
          <w:sz w:val="32"/>
          <w:szCs w:val="32"/>
        </w:rPr>
        <w:t>万元。与2019年相比，收入总计减少234.25万元，下降7.32</w:t>
      </w:r>
      <w:r>
        <w:rPr>
          <w:rFonts w:ascii="仿宋" w:hAnsi="仿宋" w:eastAsia="仿宋"/>
          <w:color w:val="000000"/>
          <w:sz w:val="32"/>
          <w:szCs w:val="32"/>
        </w:rPr>
        <w:t>%</w:t>
      </w:r>
      <w:r>
        <w:rPr>
          <w:rFonts w:hint="eastAsia" w:ascii="仿宋" w:hAnsi="仿宋" w:eastAsia="仿宋"/>
          <w:color w:val="000000"/>
          <w:sz w:val="32"/>
          <w:szCs w:val="32"/>
        </w:rPr>
        <w:t>；支出总计减少444.11万元，下降13.89%。主要变动原因是当年脱贫攻坚工程减少、农村基础设施建设项目资金减少。</w:t>
      </w:r>
    </w:p>
    <w:p>
      <w:pPr>
        <w:pStyle w:val="24"/>
        <w:numPr>
          <w:ilvl w:val="0"/>
          <w:numId w:val="2"/>
        </w:numPr>
        <w:spacing w:line="600" w:lineRule="exact"/>
        <w:ind w:firstLineChars="0"/>
        <w:outlineLvl w:val="1"/>
        <w:rPr>
          <w:rStyle w:val="26"/>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w:t>
      </w:r>
      <w:r>
        <w:rPr>
          <w:rFonts w:hint="eastAsia" w:ascii="仿宋_GB2312" w:hAnsi="仿宋" w:eastAsia="仿宋_GB2312"/>
          <w:color w:val="000000"/>
          <w:sz w:val="32"/>
          <w:szCs w:val="32"/>
        </w:rPr>
        <w:t>3197.53</w:t>
      </w:r>
      <w:r>
        <w:rPr>
          <w:rFonts w:hint="eastAsia" w:ascii="仿宋" w:hAnsi="仿宋" w:eastAsia="仿宋"/>
          <w:color w:val="000000"/>
          <w:sz w:val="32"/>
          <w:szCs w:val="32"/>
        </w:rPr>
        <w:t>万元，其中：一般公共预算财政拨款收入3090.82万元，占98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；事业收入106.71万元，占2</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_GB2312" w:eastAsia="仿宋"/>
          <w:color w:val="FF0000"/>
          <w:sz w:val="32"/>
          <w:szCs w:val="32"/>
        </w:rPr>
      </w:pPr>
      <w:r>
        <w:drawing>
          <wp:anchor distT="0" distB="0" distL="114300" distR="114300" simplePos="0" relativeHeight="251659264" behindDoc="0" locked="0" layoutInCell="1" allowOverlap="1">
            <wp:simplePos x="0" y="0"/>
            <wp:positionH relativeFrom="column">
              <wp:posOffset>15240</wp:posOffset>
            </wp:positionH>
            <wp:positionV relativeFrom="paragraph">
              <wp:posOffset>649605</wp:posOffset>
            </wp:positionV>
            <wp:extent cx="5245735" cy="2223770"/>
            <wp:effectExtent l="4445" t="4445" r="7620" b="1968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rPr>
        <w:t>图1：泥溪镇收入决算结构图</w:t>
      </w:r>
    </w:p>
    <w:p>
      <w:pPr>
        <w:spacing w:line="600" w:lineRule="exact"/>
        <w:ind w:firstLine="640" w:firstLineChars="200"/>
        <w:rPr>
          <w:rFonts w:ascii="仿宋_GB2312" w:eastAsia="仿宋_GB2312"/>
          <w:color w:val="FF0000"/>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rPr>
        <w:t>20年本年支出合计</w:t>
      </w:r>
      <w:r>
        <w:rPr>
          <w:rFonts w:hint="eastAsia" w:ascii="仿宋_GB2312" w:hAnsi="仿宋" w:eastAsia="仿宋_GB2312"/>
          <w:color w:val="000000"/>
          <w:sz w:val="32"/>
          <w:szCs w:val="32"/>
        </w:rPr>
        <w:t>3197.53</w:t>
      </w:r>
      <w:r>
        <w:rPr>
          <w:rFonts w:hint="eastAsia" w:ascii="仿宋" w:hAnsi="仿宋" w:eastAsia="仿宋"/>
          <w:color w:val="000000"/>
          <w:sz w:val="32"/>
          <w:szCs w:val="32"/>
        </w:rPr>
        <w:t>万元，其中：基本支出2455.41万元，占76.79</w:t>
      </w:r>
      <w:r>
        <w:rPr>
          <w:rFonts w:ascii="仿宋" w:hAnsi="仿宋" w:eastAsia="仿宋"/>
          <w:color w:val="000000"/>
          <w:sz w:val="32"/>
          <w:szCs w:val="32"/>
        </w:rPr>
        <w:t>%</w:t>
      </w:r>
      <w:r>
        <w:rPr>
          <w:rFonts w:hint="eastAsia" w:ascii="仿宋" w:hAnsi="仿宋" w:eastAsia="仿宋"/>
          <w:color w:val="000000"/>
          <w:sz w:val="32"/>
          <w:szCs w:val="32"/>
        </w:rPr>
        <w:t>；项目支出742.12万元，占23.21</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（图2：支出决算结构图）（饼状图）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0288" behindDoc="0" locked="0" layoutInCell="1" allowOverlap="1">
            <wp:simplePos x="0" y="0"/>
            <wp:positionH relativeFrom="column">
              <wp:posOffset>124460</wp:posOffset>
            </wp:positionH>
            <wp:positionV relativeFrom="paragraph">
              <wp:posOffset>232410</wp:posOffset>
            </wp:positionV>
            <wp:extent cx="5121275" cy="3125470"/>
            <wp:effectExtent l="4445" t="4445" r="17780" b="1333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26"/>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4"/>
      <w:bookmarkEnd w:id="35"/>
    </w:p>
    <w:p>
      <w:pPr>
        <w:spacing w:line="600" w:lineRule="exact"/>
        <w:ind w:firstLine="640" w:firstLineChars="200"/>
        <w:rPr>
          <w:rFonts w:ascii="黑体" w:hAnsi="黑体" w:eastAsia="黑体"/>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20年财政拨款收入总计3090.82万元、支出总计3090.82万元。与</w:t>
      </w:r>
      <w:r>
        <w:rPr>
          <w:rFonts w:ascii="仿宋" w:hAnsi="仿宋" w:eastAsia="仿宋"/>
          <w:color w:val="000000"/>
          <w:sz w:val="32"/>
          <w:szCs w:val="32"/>
        </w:rPr>
        <w:t>201</w:t>
      </w:r>
      <w:r>
        <w:rPr>
          <w:rFonts w:hint="eastAsia" w:ascii="仿宋" w:hAnsi="仿宋" w:eastAsia="仿宋"/>
          <w:color w:val="000000"/>
          <w:sz w:val="32"/>
          <w:szCs w:val="32"/>
        </w:rPr>
        <w:t>9年相比，财政拨款收入总计减少340.96万元，下降11.03</w:t>
      </w:r>
      <w:r>
        <w:rPr>
          <w:rFonts w:ascii="仿宋" w:hAnsi="仿宋" w:eastAsia="仿宋"/>
          <w:color w:val="000000"/>
          <w:sz w:val="32"/>
          <w:szCs w:val="32"/>
        </w:rPr>
        <w:t>%</w:t>
      </w:r>
      <w:r>
        <w:rPr>
          <w:rFonts w:hint="eastAsia" w:ascii="仿宋" w:hAnsi="仿宋" w:eastAsia="仿宋"/>
          <w:color w:val="000000"/>
          <w:sz w:val="32"/>
          <w:szCs w:val="32"/>
        </w:rPr>
        <w:t>；支出总计减少340.96万元，下降11.03%。主要变动原因是当年安排农村基础设施建设项目资金减少。</w:t>
      </w:r>
      <w:bookmarkStart w:id="36" w:name="_Toc15396607"/>
      <w:bookmarkStart w:id="37" w:name="_Toc15377209"/>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20年一般公共预算财政拨款支出3090.82万元，占本年支出合计的100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19年相比，一般公共预算财政拨款减少340.96万元，下降11.03</w:t>
      </w:r>
      <w:r>
        <w:rPr>
          <w:rFonts w:ascii="仿宋" w:hAnsi="仿宋" w:eastAsia="仿宋"/>
          <w:color w:val="000000"/>
          <w:sz w:val="32"/>
          <w:szCs w:val="32"/>
        </w:rPr>
        <w:t>%</w:t>
      </w:r>
      <w:r>
        <w:rPr>
          <w:rFonts w:hint="eastAsia" w:ascii="仿宋" w:hAnsi="仿宋" w:eastAsia="仿宋"/>
          <w:color w:val="000000"/>
          <w:sz w:val="32"/>
          <w:szCs w:val="32"/>
        </w:rPr>
        <w:t>。主要变动原因是当年安排农村基础设施建设项目资金减少。</w:t>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rPr>
        <w:t>政拨款支出3090.82万元，主要用于以下方面</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一般公共服务（类）支出308.52万元，占9.98</w:t>
      </w:r>
      <w:r>
        <w:rPr>
          <w:rFonts w:ascii="仿宋" w:hAnsi="仿宋" w:eastAsia="仿宋"/>
          <w:color w:val="000000" w:themeColor="text1"/>
          <w:sz w:val="32"/>
          <w:szCs w:val="32"/>
        </w:rPr>
        <w:t>%</w:t>
      </w:r>
      <w:r>
        <w:rPr>
          <w:rFonts w:hint="eastAsia" w:ascii="仿宋" w:hAnsi="仿宋" w:eastAsia="仿宋"/>
          <w:color w:val="000000" w:themeColor="text1"/>
          <w:sz w:val="32"/>
          <w:szCs w:val="32"/>
        </w:rPr>
        <w:t>；教育支出（类）1497.39万元，占48.45</w:t>
      </w:r>
      <w:r>
        <w:rPr>
          <w:rFonts w:ascii="仿宋" w:hAnsi="仿宋" w:eastAsia="仿宋"/>
          <w:color w:val="000000" w:themeColor="text1"/>
          <w:sz w:val="32"/>
          <w:szCs w:val="32"/>
        </w:rPr>
        <w:t>%</w:t>
      </w:r>
      <w:r>
        <w:rPr>
          <w:rFonts w:hint="eastAsia" w:ascii="仿宋" w:hAnsi="仿宋" w:eastAsia="仿宋"/>
          <w:color w:val="000000" w:themeColor="text1"/>
          <w:sz w:val="32"/>
          <w:szCs w:val="32"/>
        </w:rPr>
        <w:t>；文化体育传媒（类）支出20.09万元，占0.64</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；社会保障和就业（类）支出214.61万元，占6.94</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；医疗卫生支出262.39万元，占8.49</w:t>
      </w:r>
      <w:r>
        <w:rPr>
          <w:rFonts w:ascii="仿宋" w:hAnsi="仿宋" w:eastAsia="仿宋"/>
          <w:color w:val="000000" w:themeColor="text1"/>
          <w:sz w:val="32"/>
          <w:szCs w:val="32"/>
        </w:rPr>
        <w:t>%</w:t>
      </w:r>
      <w:r>
        <w:rPr>
          <w:rFonts w:hint="eastAsia" w:ascii="仿宋" w:hAnsi="仿宋" w:eastAsia="仿宋"/>
          <w:color w:val="000000" w:themeColor="text1"/>
          <w:sz w:val="32"/>
          <w:szCs w:val="32"/>
        </w:rPr>
        <w:t>；节能环保（类）0.35万元，占0.01%；农林水（类）支出644.91万元，占20.86%；交通运输（类）支出6.03万元，占0.19%；商品和服务支出1.8万元，占0.05%，住房保障（类）支出134.74万元，占4.36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（图3：一般公共预算财政拨款支出决算结构）（饼状图）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248285</wp:posOffset>
            </wp:positionH>
            <wp:positionV relativeFrom="paragraph">
              <wp:posOffset>310515</wp:posOffset>
            </wp:positionV>
            <wp:extent cx="4768850" cy="3935730"/>
            <wp:effectExtent l="4445" t="4445" r="8255" b="22225"/>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7444"/>
      <w:bookmarkStart w:id="43" w:name="_Toc15378460"/>
      <w:r>
        <w:rPr>
          <w:rFonts w:hint="eastAsia" w:ascii="仿宋" w:hAnsi="仿宋" w:eastAsia="仿宋"/>
          <w:b/>
          <w:color w:val="000000" w:themeColor="text1"/>
          <w:sz w:val="32"/>
          <w:szCs w:val="32"/>
        </w:rPr>
        <w:t>2020年一般公共预算支出决算数为</w:t>
      </w:r>
      <w:r>
        <w:rPr>
          <w:rFonts w:hint="eastAsia" w:ascii="仿宋" w:hAnsi="仿宋" w:eastAsia="仿宋"/>
          <w:color w:val="000000"/>
          <w:sz w:val="32"/>
          <w:szCs w:val="32"/>
        </w:rPr>
        <w:t>3090.82</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1、一般公共服务（类）人大事务（款）行政运行（项）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支出决算为9.24万元，完成预算100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2、一般公共服务（类）政府办公厅（室）及相关机构事务（款）行政运行（项）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支出决算为233.94万元，完成预算100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3、一般公共服务（类）财政事务（款）行政运行（项）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支出决算为29.48万元，完成预算100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rPr>
          <w:rStyle w:val="14"/>
          <w:rFonts w:ascii="仿宋" w:hAnsi="仿宋" w:eastAsia="仿宋"/>
          <w:bCs/>
          <w:color w:val="000000"/>
          <w:sz w:val="32"/>
          <w:szCs w:val="32"/>
        </w:rPr>
      </w:pP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4、一般公共服务（类）纪检监察事务（款）行政运行（项）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支出决算为14.09万元，完成预算100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5、一般公共服务（类）党委办公厅（室）及相关机构事务（款）行政运行（项）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支出决算为15.49万元，完成预算100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6、教育（类）普通教育（款）小学教育（项）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支出决算为124.03万元，完成预算100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7、教育（类）普通教育（款）</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支出决算为781.09万元，完成预算100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文化体育与传媒（类）文化（款）群众文化（项）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支出决算为13.09万元，完成预算100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9</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rPr>
        <w:t>社会保障和就业（类）人力资源和社会保障管理事务（款）社会保险经办机构（项）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支出决算为12.73万元，完成预算100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10、社会保障和就业（类）行政事业单位离退休（款） 机关事业单位基本养老保险缴费支出（项）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支出决算为179.65万元，完成预算100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11、医疗卫生与计划生育（类）基层医疗卫生机构（款）乡镇卫生院（项）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支出决算为162.08万元，完成预算100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12、医疗卫生与计划生育（类）公共卫生（款）基本公共卫生服务（项）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支出决算为23.91万元，完成预算100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13、医疗卫生与计划生育（类）行政事业单位医疗（款）行政单位医疗（项）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支出决算为12.31万元，完成预算100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14、医疗卫生与计划生育（类）行政事业单位医疗（款）事业单位医疗（项）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支出决算为85.87万元，完成预算100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15、节能环保支出（类）退耕还林（款）</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支出决算为0.35万元，完成预算100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16、农林水支出（类）农业（款）事业运行（项）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支出决算为101.33万元，完成预算100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17、农林水支出（类）林业（款）林业事业机构（项）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支出决算为17.06万元，完成预算100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18、农林水支出（类）水利（款）水利事业（项）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支出决算为14.25万元，完成预算100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19、农林水支出（类）扶贫（款）农村基础设施建设（项）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支出决算为265.87万元，完成预算100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20、农林水支出（类）扶贫（款）生产发展（项）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支出决算为0.29万元，完成预算100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21、农林水支出（类）扶贫（款）其他扶贫支出（项）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支出决算为69.01万元，完成预算100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22、农林水支出（类）农村综合改革（款）对村民委员会和村党支部的补助（项）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支出决算为177.11万元，完成预算100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23、交通运输支出（类）公路水路运输（款）公路运输管理（项）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支出决算为6.03万元，完成预算100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24、商业服务等支出（类）商业流通事务（款）其他商业流通事务支出（项）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25、住房保障支出（类）住房改革支出（款）住房公积金（项）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支出决算为134.74万元，完成预算100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4"/>
      <w:bookmarkEnd w:id="45"/>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20年一般公共预算财政拨款基本支出2348.71万元，其中：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2136.6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212.11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20年“三公”经费财政拨款支出决算为2.23万元，完成预算100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；公务接待费支出决算2.23万元，占100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（图4：“三公”经费财政拨款支出结构）（饼状图）</w:t>
      </w:r>
    </w:p>
    <w:p>
      <w:pPr>
        <w:spacing w:line="600" w:lineRule="exact"/>
        <w:ind w:firstLine="64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456565</wp:posOffset>
            </wp:positionH>
            <wp:positionV relativeFrom="paragraph">
              <wp:posOffset>301625</wp:posOffset>
            </wp:positionV>
            <wp:extent cx="4254500" cy="3937635"/>
            <wp:effectExtent l="4445" t="4445" r="8255" b="20320"/>
            <wp:wrapSquare wrapText="bothSides"/>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w:t>
      </w:r>
      <w:r>
        <w:rPr>
          <w:rFonts w:hint="eastAsia" w:ascii="仿宋_GB2312" w:eastAsia="仿宋_GB2312"/>
          <w:color w:val="000000"/>
          <w:sz w:val="32"/>
          <w:szCs w:val="32"/>
        </w:rPr>
        <w:t>19年增加0万元，增长0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0万元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rPr>
        <w:t>19年增加0万元，增长0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3、公务用车运行维护费支出</w:t>
      </w:r>
      <w:r>
        <w:rPr>
          <w:rFonts w:hint="eastAsia" w:ascii="仿宋_GB2312" w:eastAsia="仿宋_GB2312"/>
          <w:color w:val="000000"/>
          <w:sz w:val="32"/>
          <w:szCs w:val="32"/>
        </w:rPr>
        <w:t>0万元。主要用于所需的公务用车燃料费、维修费、过路过桥费、保险费等支出。</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4、公务接待费支出</w:t>
      </w:r>
      <w:r>
        <w:rPr>
          <w:rFonts w:hint="eastAsia" w:ascii="仿宋_GB2312" w:eastAsia="仿宋_GB2312"/>
          <w:color w:val="000000"/>
          <w:sz w:val="32"/>
          <w:szCs w:val="32"/>
        </w:rPr>
        <w:t>2.23万元，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9年减少0.57万元，下降17.17</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rPr>
        <w:t>主要用于执行公务、开展业务活动开支的交通费、住宿费、用餐费等。国内公务接待125批次，573人次（不包括陪同人员），共计支出2.23万元。</w:t>
      </w:r>
      <w:r>
        <w:rPr>
          <w:rFonts w:hint="eastAsia" w:ascii="仿宋" w:hAnsi="仿宋" w:eastAsia="仿宋" w:cs="仿宋"/>
          <w:color w:val="4E4342"/>
          <w:kern w:val="0"/>
          <w:sz w:val="32"/>
          <w:szCs w:val="32"/>
        </w:rPr>
        <w:t>主要用于接上级部门公务检查、巡视、脱贫攻坚检查等公务活动的交通费、用餐费等方面开支。</w:t>
      </w:r>
      <w:r>
        <w:rPr>
          <w:rFonts w:hint="eastAsia" w:ascii="仿宋" w:hAnsi="仿宋" w:eastAsia="仿宋" w:cs="仿宋"/>
          <w:color w:val="4E4342"/>
          <w:kern w:val="0"/>
          <w:sz w:val="30"/>
          <w:szCs w:val="30"/>
        </w:rPr>
        <w:br w:type="textWrapping"/>
      </w:r>
      <w:r>
        <w:rPr>
          <w:rFonts w:hint="eastAsia" w:ascii="仿宋" w:hAnsi="仿宋" w:eastAsia="仿宋"/>
          <w:b/>
          <w:color w:val="000000"/>
          <w:sz w:val="32"/>
          <w:szCs w:val="32"/>
        </w:rPr>
        <w:t>5、外事接待支出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6、其他国内公务接待支出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Fonts w:ascii="黑体" w:eastAsia="黑体"/>
          <w:color w:val="000000"/>
          <w:sz w:val="32"/>
          <w:szCs w:val="32"/>
        </w:rPr>
      </w:pPr>
      <w:bookmarkStart w:id="50" w:name="_Toc15377218"/>
      <w:bookmarkStart w:id="51"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20年政府性基金预算拨款支出0万元。</w:t>
      </w:r>
    </w:p>
    <w:p>
      <w:pPr>
        <w:numPr>
          <w:ilvl w:val="0"/>
          <w:numId w:val="3"/>
        </w:numPr>
        <w:spacing w:line="600" w:lineRule="exact"/>
        <w:ind w:firstLine="640"/>
        <w:outlineLvl w:val="1"/>
        <w:rPr>
          <w:rStyle w:val="26"/>
          <w:rFonts w:ascii="黑体" w:hAnsi="黑体" w:eastAsia="黑体"/>
          <w:b w:val="0"/>
        </w:rPr>
      </w:pPr>
      <w:bookmarkStart w:id="52" w:name="_Toc15377219"/>
      <w:bookmarkStart w:id="53" w:name="_Toc15396611"/>
      <w:r>
        <w:rPr>
          <w:rStyle w:val="26"/>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20年国有资本经营预算拨款支出0万元。</w:t>
      </w:r>
    </w:p>
    <w:p>
      <w:pPr>
        <w:pStyle w:val="24"/>
        <w:numPr>
          <w:ilvl w:val="0"/>
          <w:numId w:val="4"/>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22个项目开展了预算事前绩效评估，对22个项目编制了绩效目标，预算执行过程中，选取5个项目开展绩效监控，年终执行完毕后，对5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本部门按要求对2020年部门整体支出开展绩效自评，从评价情况来看完成情况较好，达到预期效果。本部门还自行组织了5个项目绩效评价，从评价情况来看完成进度良好，社会满意度高。</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本部门在2020年度部门决算中反映“泥溪镇公益性岗位补贴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、“文化免补资金”、“</w:t>
      </w:r>
      <w:r>
        <w:rPr>
          <w:rFonts w:hint="eastAsia" w:ascii="仿宋_GB2312" w:hAnsi="仿宋_GB2312" w:eastAsia="仿宋_GB2312" w:cs="仿宋_GB2312"/>
          <w:sz w:val="32"/>
          <w:szCs w:val="32"/>
          <w:highlight w:val="none"/>
          <w:lang w:eastAsia="zh-CN"/>
        </w:rPr>
        <w:t>泥溪镇</w:t>
      </w:r>
      <w:r>
        <w:rPr>
          <w:rFonts w:hint="eastAsia" w:ascii="仿宋_GB2312" w:hAnsi="仿宋_GB2312" w:eastAsia="仿宋_GB2312" w:cs="仿宋_GB2312"/>
          <w:sz w:val="32"/>
          <w:szCs w:val="32"/>
        </w:rPr>
        <w:t>农村人居环境综合整治</w:t>
      </w:r>
      <w:r>
        <w:rPr>
          <w:rFonts w:hint="eastAsia" w:ascii="仿宋_GB2312" w:hAnsi="仿宋_GB2312" w:eastAsia="仿宋_GB2312" w:cs="仿宋_GB2312"/>
          <w:sz w:val="32"/>
          <w:szCs w:val="32"/>
          <w:highlight w:val="none"/>
          <w:lang w:eastAsia="zh-CN"/>
        </w:rPr>
        <w:t>补助资金</w:t>
      </w:r>
      <w:r>
        <w:rPr>
          <w:rFonts w:hint="eastAsia" w:ascii="仿宋_GB2312" w:hAnsi="仿宋_GB2312" w:eastAsia="仿宋_GB2312" w:cs="仿宋_GB2312"/>
          <w:sz w:val="32"/>
          <w:szCs w:val="32"/>
        </w:rPr>
        <w:t>”、“泥溪镇罐子坪村新冠肺炎</w:t>
      </w:r>
      <w:r>
        <w:rPr>
          <w:rFonts w:hint="eastAsia" w:ascii="仿宋_GB2312" w:hAnsi="仿宋_GB2312" w:eastAsia="仿宋_GB2312" w:cs="仿宋_GB2312"/>
          <w:sz w:val="32"/>
          <w:szCs w:val="32"/>
          <w:highlight w:val="none"/>
          <w:lang w:eastAsia="zh-CN"/>
        </w:rPr>
        <w:t>疫情防控期间</w:t>
      </w:r>
      <w:r>
        <w:rPr>
          <w:rFonts w:hint="eastAsia" w:ascii="仿宋_GB2312" w:hAnsi="仿宋_GB2312" w:eastAsia="仿宋_GB2312" w:cs="仿宋_GB2312"/>
          <w:sz w:val="32"/>
          <w:szCs w:val="32"/>
        </w:rPr>
        <w:t>银耳产业发展补助资金”、“2020泥溪镇新泥溪镇新冠肺炎疫情防控中央补助结算资金”等20个项目绩效目标实际完成情况。本单位选取5个项目进行公开。</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镇公益性岗位补贴”项目绩效目标完成情况综述。项目全年预算数22.23万元，执行数为22.23万元，完成预算的100%。通过项目实施，保障了2020年完善建档立卡贫困人口公益性岗位政策补助资金，2020年资金全部用于2020年完善建档立卡贫困人口公益性岗位政策专项工作，并与预算相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文化免补资金”项目绩效目标完成情况综述。项目全年预算数3万元，执行数为3万元，完成预算的100%。通过项目实施，2020年文化免补资金项目支出3万元，主要用于文化站活动建设以及图书筹备等，资金使用与预算相符。使用范围完全属于文化开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lang w:eastAsia="zh-CN"/>
        </w:rPr>
        <w:t>泥溪镇</w:t>
      </w:r>
      <w:r>
        <w:rPr>
          <w:rFonts w:hint="eastAsia" w:ascii="仿宋_GB2312" w:hAnsi="仿宋_GB2312" w:eastAsia="仿宋_GB2312" w:cs="仿宋_GB2312"/>
          <w:sz w:val="32"/>
          <w:szCs w:val="32"/>
        </w:rPr>
        <w:t>农村人居环境综合整治</w:t>
      </w:r>
      <w:r>
        <w:rPr>
          <w:rFonts w:hint="eastAsia" w:ascii="仿宋_GB2312" w:hAnsi="仿宋_GB2312" w:eastAsia="仿宋_GB2312" w:cs="仿宋_GB2312"/>
          <w:sz w:val="32"/>
          <w:szCs w:val="32"/>
          <w:highlight w:val="none"/>
          <w:lang w:eastAsia="zh-CN"/>
        </w:rPr>
        <w:t>补助资金</w:t>
      </w:r>
      <w:r>
        <w:rPr>
          <w:rFonts w:hint="eastAsia" w:ascii="仿宋_GB2312" w:hAnsi="仿宋_GB2312" w:eastAsia="仿宋_GB2312" w:cs="仿宋_GB2312"/>
          <w:sz w:val="32"/>
          <w:szCs w:val="32"/>
        </w:rPr>
        <w:t>”项目绩效目标完成情况综述。项目全年预算数30万元，执行数为30万元，完成预算的100%。通过项目实施，保障了</w:t>
      </w:r>
      <w:r>
        <w:rPr>
          <w:rFonts w:hint="eastAsia" w:ascii="仿宋_GB2312" w:hAnsi="仿宋_GB2312" w:eastAsia="仿宋_GB2312" w:cs="仿宋_GB2312"/>
          <w:sz w:val="32"/>
          <w:szCs w:val="32"/>
          <w:highlight w:val="none"/>
          <w:lang w:eastAsia="zh-CN"/>
        </w:rPr>
        <w:t>泥溪镇</w:t>
      </w:r>
      <w:r>
        <w:rPr>
          <w:rFonts w:hint="eastAsia" w:ascii="仿宋_GB2312" w:hAnsi="仿宋_GB2312" w:eastAsia="仿宋_GB2312" w:cs="仿宋_GB2312"/>
          <w:sz w:val="32"/>
          <w:szCs w:val="32"/>
        </w:rPr>
        <w:t>农村人居环境综合整治，促进了人民对生态环境保护，提高了人民的环保意识。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4、“泥溪镇罐子坪村新冠肺炎</w:t>
      </w:r>
      <w:r>
        <w:rPr>
          <w:rFonts w:hint="eastAsia" w:ascii="仿宋_GB2312" w:hAnsi="仿宋_GB2312" w:eastAsia="仿宋_GB2312" w:cs="仿宋_GB2312"/>
          <w:sz w:val="32"/>
          <w:szCs w:val="32"/>
          <w:highlight w:val="none"/>
          <w:lang w:eastAsia="zh-CN"/>
        </w:rPr>
        <w:t>疫情防控期间</w:t>
      </w:r>
      <w:r>
        <w:rPr>
          <w:rFonts w:hint="eastAsia" w:ascii="仿宋_GB2312" w:hAnsi="仿宋_GB2312" w:eastAsia="仿宋_GB2312" w:cs="仿宋_GB2312"/>
          <w:sz w:val="32"/>
          <w:szCs w:val="32"/>
        </w:rPr>
        <w:t>银耳产业发展补助资金”项目绩效目标完成情况综述。项目全年预算数0.29万元，执行数为0.29万元，完成预算的100%。通过项目实施，保障了民生政策的兑现，促进了</w:t>
      </w:r>
      <w:r>
        <w:rPr>
          <w:rFonts w:hint="eastAsia" w:ascii="仿宋_GB2312" w:hAnsi="仿宋_GB2312" w:eastAsia="仿宋_GB2312" w:cs="仿宋_GB2312"/>
          <w:sz w:val="32"/>
          <w:szCs w:val="32"/>
          <w:highlight w:val="none"/>
          <w:lang w:eastAsia="zh-CN"/>
        </w:rPr>
        <w:t>脱贫攻坚</w:t>
      </w:r>
      <w:r>
        <w:rPr>
          <w:rFonts w:hint="eastAsia" w:ascii="仿宋_GB2312" w:hAnsi="仿宋_GB2312" w:eastAsia="仿宋_GB2312" w:cs="仿宋_GB2312"/>
          <w:sz w:val="32"/>
          <w:szCs w:val="32"/>
        </w:rPr>
        <w:t>任务期间村级合作社发展，提高了合作社和农户收益。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5、“2020泥溪镇新泥溪镇新冠肺炎疫情防控中央补助结算资金”项目绩效目标完成情况综述。项目全年预算数1.45万元，执行数为1.45万元，完成预算的100%。通过项目实施，保障了</w:t>
      </w:r>
      <w:r>
        <w:rPr>
          <w:rFonts w:hint="eastAsia" w:ascii="仿宋_GB2312" w:hAnsi="仿宋_GB2312" w:eastAsia="仿宋_GB2312" w:cs="仿宋_GB2312"/>
          <w:sz w:val="32"/>
          <w:szCs w:val="32"/>
          <w:highlight w:val="none"/>
          <w:lang w:eastAsia="zh-CN"/>
        </w:rPr>
        <w:t>疫情防控期间</w:t>
      </w:r>
      <w:r>
        <w:rPr>
          <w:rFonts w:hint="eastAsia" w:ascii="仿宋_GB2312" w:hAnsi="仿宋_GB2312" w:eastAsia="仿宋_GB2312" w:cs="仿宋_GB2312"/>
          <w:sz w:val="32"/>
          <w:szCs w:val="32"/>
        </w:rPr>
        <w:t>群众卫生、出行安全，拉近进了乡村距离，提高了群众的幸福指数。</w:t>
      </w:r>
    </w:p>
    <w:p>
      <w:pPr>
        <w:spacing w:line="580" w:lineRule="exact"/>
        <w:ind w:firstLine="640" w:firstLineChars="200"/>
        <w:rPr>
          <w:rFonts w:ascii="仿宋_GB2312" w:hAnsi="仿宋_GB2312" w:eastAsia="仿宋_GB2312" w:cs="仿宋_GB2312"/>
          <w:sz w:val="32"/>
          <w:szCs w:val="32"/>
        </w:rPr>
      </w:pPr>
    </w:p>
    <w:tbl>
      <w:tblPr>
        <w:tblStyle w:val="12"/>
        <w:tblW w:w="8429" w:type="dxa"/>
        <w:tblInd w:w="93" w:type="dxa"/>
        <w:tblLayout w:type="fixed"/>
        <w:tblCellMar>
          <w:top w:w="0" w:type="dxa"/>
          <w:left w:w="108" w:type="dxa"/>
          <w:bottom w:w="0" w:type="dxa"/>
          <w:right w:w="108" w:type="dxa"/>
        </w:tblCellMar>
      </w:tblPr>
      <w:tblGrid>
        <w:gridCol w:w="361"/>
        <w:gridCol w:w="403"/>
        <w:gridCol w:w="310"/>
        <w:gridCol w:w="1856"/>
        <w:gridCol w:w="219"/>
        <w:gridCol w:w="357"/>
        <w:gridCol w:w="1856"/>
        <w:gridCol w:w="1856"/>
        <w:gridCol w:w="357"/>
        <w:gridCol w:w="544"/>
        <w:gridCol w:w="310"/>
      </w:tblGrid>
      <w:tr>
        <w:tblPrEx>
          <w:tblLayout w:type="fixed"/>
          <w:tblCellMar>
            <w:top w:w="0" w:type="dxa"/>
            <w:left w:w="108" w:type="dxa"/>
            <w:bottom w:w="0" w:type="dxa"/>
            <w:right w:w="108" w:type="dxa"/>
          </w:tblCellMar>
        </w:tblPrEx>
        <w:trPr>
          <w:trHeight w:val="330" w:hRule="atLeast"/>
        </w:trPr>
        <w:tc>
          <w:tcPr>
            <w:tcW w:w="8429"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Layout w:type="fixed"/>
          <w:tblCellMar>
            <w:top w:w="0" w:type="dxa"/>
            <w:left w:w="108" w:type="dxa"/>
            <w:bottom w:w="0" w:type="dxa"/>
            <w:right w:w="108" w:type="dxa"/>
          </w:tblCellMar>
        </w:tblPrEx>
        <w:trPr>
          <w:trHeight w:val="570" w:hRule="atLeast"/>
        </w:trPr>
        <w:tc>
          <w:tcPr>
            <w:tcW w:w="8429"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Layout w:type="fixed"/>
          <w:tblCellMar>
            <w:top w:w="0" w:type="dxa"/>
            <w:left w:w="108" w:type="dxa"/>
            <w:bottom w:w="0" w:type="dxa"/>
            <w:right w:w="108" w:type="dxa"/>
          </w:tblCellMar>
        </w:tblPrEx>
        <w:trPr>
          <w:trHeight w:val="420" w:hRule="atLeast"/>
        </w:trPr>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泥溪镇贫困人口公益性岗位补贴</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马波/13547318505</w:t>
            </w:r>
          </w:p>
        </w:tc>
      </w:tr>
      <w:tr>
        <w:tblPrEx>
          <w:tblLayout w:type="fixed"/>
          <w:tblCellMar>
            <w:top w:w="0" w:type="dxa"/>
            <w:left w:w="108" w:type="dxa"/>
            <w:bottom w:w="0" w:type="dxa"/>
            <w:right w:w="108" w:type="dxa"/>
          </w:tblCellMar>
        </w:tblPrEx>
        <w:trPr>
          <w:trHeight w:val="555" w:hRule="atLeast"/>
        </w:trPr>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泥溪镇人民政府</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泥溪镇社保办</w:t>
            </w:r>
          </w:p>
        </w:tc>
      </w:tr>
      <w:tr>
        <w:tblPrEx>
          <w:tblLayout w:type="fixed"/>
          <w:tblCellMar>
            <w:top w:w="0" w:type="dxa"/>
            <w:left w:w="108" w:type="dxa"/>
            <w:bottom w:w="0" w:type="dxa"/>
            <w:right w:w="108" w:type="dxa"/>
          </w:tblCellMar>
        </w:tblPrEx>
        <w:trPr>
          <w:trHeight w:val="300" w:hRule="atLeast"/>
        </w:trPr>
        <w:tc>
          <w:tcPr>
            <w:tcW w:w="10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3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Layout w:type="fixed"/>
          <w:tblCellMar>
            <w:top w:w="0" w:type="dxa"/>
            <w:left w:w="108" w:type="dxa"/>
            <w:bottom w:w="0" w:type="dxa"/>
            <w:right w:w="108" w:type="dxa"/>
          </w:tblCellMar>
        </w:tblPrEx>
        <w:trPr>
          <w:trHeight w:val="465" w:hRule="atLeast"/>
        </w:trPr>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3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100/100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82" w:hRule="atLeast"/>
        </w:trPr>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其中：本年财政拨款</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3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282" w:hRule="atLeast"/>
        </w:trPr>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282" w:hRule="atLeast"/>
        </w:trPr>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31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9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Layout w:type="fixed"/>
          <w:tblCellMar>
            <w:top w:w="0" w:type="dxa"/>
            <w:left w:w="108" w:type="dxa"/>
            <w:bottom w:w="0" w:type="dxa"/>
            <w:right w:w="108" w:type="dxa"/>
          </w:tblCellMar>
        </w:tblPrEx>
        <w:trPr>
          <w:trHeight w:val="28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保障公益性岗位经费</w:t>
            </w:r>
          </w:p>
        </w:tc>
        <w:tc>
          <w:tcPr>
            <w:tcW w:w="49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保障了泥溪镇公益性事业顺利实施</w:t>
            </w:r>
          </w:p>
        </w:tc>
      </w:tr>
      <w:tr>
        <w:tblPrEx>
          <w:tblLayout w:type="fixed"/>
          <w:tblCellMar>
            <w:top w:w="0" w:type="dxa"/>
            <w:left w:w="108" w:type="dxa"/>
            <w:bottom w:w="0" w:type="dxa"/>
            <w:right w:w="108" w:type="dxa"/>
          </w:tblCellMar>
        </w:tblPrEx>
        <w:trPr>
          <w:trHeight w:val="525" w:hRule="atLeast"/>
        </w:trPr>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Layout w:type="fixed"/>
          <w:tblCellMar>
            <w:top w:w="0" w:type="dxa"/>
            <w:left w:w="108" w:type="dxa"/>
            <w:bottom w:w="0" w:type="dxa"/>
            <w:right w:w="108" w:type="dxa"/>
          </w:tblCellMar>
        </w:tblPrEx>
        <w:trPr>
          <w:trHeight w:val="559"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享受人数≥100人</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享受人数≥100人</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享受人数≥100人</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公益性岗位≥100个</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公益性岗位≥100个</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公益性岗位≥100个</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实现公益性岗位资金兑现次数≥3</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实现公益性岗位资金兑现次数≥3</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实现公益性岗位资金兑现次数≥3</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公益性岗位资金保障率=100%</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公益性岗位资金保障率=100%</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公益性岗位资金保障率=100%</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公益性岗位实施时间2020年</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公益性岗位实施时间2020年</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公益性岗位实施时间2020年</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公益性岗位补助款≥1200元</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公益性岗位补助款≥1200元</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公益性岗位补助款≥1200元</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带动农户增收≥1200元</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带动农户增收≥1200元</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带动农户增收≥1200元</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公益性岗位政策知晓率≥90%</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公益性岗位政策知晓率≥90%</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公益性岗位政策知晓率≥90%</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水电能源节约率≥5%</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水电能源节约率≥5%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水电能源节约率≥5%</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公益性岗位持续发挥作用的期限≥3年</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公益性岗位持续发挥作用的期限≥3年</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公益性岗位持续发挥作用的期限≥3年</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对精神文明建设可持续发展的影响=长期</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对精神文明建设可持续发展的影响=长期</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对精神文明建设可持续发展的影响=长期</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脱贫建档贫困户满意度≥90%</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脱贫建档贫困户满意度≥90%</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脱贫建档贫困户满意度≥90%</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社会公众满意度≥85%</w:t>
            </w: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社会公众满意度≥85%</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社会公众满意度≥85%</w:t>
            </w: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6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40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20"/>
                <w:szCs w:val="20"/>
              </w:rPr>
            </w:pPr>
          </w:p>
        </w:tc>
        <w:tc>
          <w:tcPr>
            <w:tcW w:w="31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20"/>
                <w:szCs w:val="20"/>
              </w:rPr>
            </w:pPr>
          </w:p>
        </w:tc>
        <w:tc>
          <w:tcPr>
            <w:tcW w:w="1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21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1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357"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4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31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8429"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注：1.一级指标分值统一设置为：产出指标50分、效益指标30分、满意度指标10分、预算资金执行率10分。如有特殊情况，上述权重可</w:t>
            </w:r>
            <w:r>
              <w:rPr>
                <w:rFonts w:hint="eastAsia" w:ascii="宋体" w:hAnsi="宋体" w:cs="宋体"/>
                <w:color w:val="000000"/>
                <w:kern w:val="0"/>
                <w:sz w:val="18"/>
                <w:szCs w:val="18"/>
                <w:lang w:eastAsia="zh-CN"/>
              </w:rPr>
              <w:t>作</w:t>
            </w:r>
            <w:r>
              <w:rPr>
                <w:rFonts w:hint="eastAsia" w:ascii="宋体" w:hAnsi="宋体" w:cs="宋体"/>
                <w:color w:val="000000"/>
                <w:kern w:val="0"/>
                <w:sz w:val="18"/>
                <w:szCs w:val="18"/>
              </w:rPr>
              <w:t>适当调整，但加总后应等于100分。各部门根据各项指标重要程度确定三级指标的分值。得分最高不能超过该指标分值上限。</w:t>
            </w:r>
          </w:p>
        </w:tc>
      </w:tr>
      <w:tr>
        <w:tblPrEx>
          <w:tblLayout w:type="fixed"/>
          <w:tblCellMar>
            <w:top w:w="0" w:type="dxa"/>
            <w:left w:w="108" w:type="dxa"/>
            <w:bottom w:w="0" w:type="dxa"/>
            <w:right w:w="108" w:type="dxa"/>
          </w:tblCellMar>
        </w:tblPrEx>
        <w:trPr>
          <w:trHeight w:val="739" w:hRule="atLeast"/>
        </w:trPr>
        <w:tc>
          <w:tcPr>
            <w:tcW w:w="8429"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2.定性指标根据指标完成情况分为：达成预期指标、部分达成预期指标并具有一定效果、未达成预期指标且效果较差三档，分别按照该指标对应分值区间100-80%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含80%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、80-60%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含60%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、60-0%合理确定得分。</w:t>
            </w:r>
          </w:p>
        </w:tc>
      </w:tr>
      <w:tr>
        <w:tblPrEx>
          <w:tblLayout w:type="fixed"/>
          <w:tblCellMar>
            <w:top w:w="0" w:type="dxa"/>
            <w:left w:w="108" w:type="dxa"/>
            <w:bottom w:w="0" w:type="dxa"/>
            <w:right w:w="108" w:type="dxa"/>
          </w:tblCellMar>
        </w:tblPrEx>
        <w:trPr>
          <w:trHeight w:val="469" w:hRule="atLeast"/>
        </w:trPr>
        <w:tc>
          <w:tcPr>
            <w:tcW w:w="8429"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Layout w:type="fixed"/>
          <w:tblCellMar>
            <w:top w:w="0" w:type="dxa"/>
            <w:left w:w="108" w:type="dxa"/>
            <w:bottom w:w="0" w:type="dxa"/>
            <w:right w:w="108" w:type="dxa"/>
          </w:tblCellMar>
        </w:tblPrEx>
        <w:trPr>
          <w:trHeight w:val="720" w:hRule="atLeast"/>
        </w:trPr>
        <w:tc>
          <w:tcPr>
            <w:tcW w:w="8429"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w:t>
            </w:r>
            <w:r>
              <w:rPr>
                <w:rStyle w:val="37"/>
                <w:rFonts w:hint="default"/>
              </w:rPr>
              <w:t>≥*），则得分计算方法应用全年实际值/年度指标值</w:t>
            </w:r>
            <w:r>
              <w:rPr>
                <w:rFonts w:hint="eastAsia" w:ascii="宋体" w:hAnsi="宋体" w:cs="宋体"/>
                <w:color w:val="000000"/>
                <w:kern w:val="0"/>
                <w:sz w:val="12"/>
                <w:szCs w:val="12"/>
              </w:rPr>
              <w:t>╳</w:t>
            </w:r>
            <w:r>
              <w:rPr>
                <w:rStyle w:val="37"/>
                <w:rFonts w:hint="default"/>
              </w:rPr>
              <w:t>该指标分值；若定量指标为反向指标（即指标值为≤*），则得分计算方法应用年度指标值/全年实际值</w:t>
            </w:r>
            <w:r>
              <w:rPr>
                <w:rFonts w:hint="eastAsia" w:ascii="宋体" w:hAnsi="宋体" w:cs="宋体"/>
                <w:color w:val="000000"/>
                <w:kern w:val="0"/>
                <w:sz w:val="12"/>
                <w:szCs w:val="12"/>
              </w:rPr>
              <w:t>╳</w:t>
            </w:r>
            <w:r>
              <w:rPr>
                <w:rStyle w:val="37"/>
                <w:rFonts w:hint="default"/>
              </w:rPr>
              <w:t>该指标分值；定量指标得分最高不得超过该指标分值上限。</w:t>
            </w:r>
          </w:p>
        </w:tc>
      </w:tr>
    </w:tbl>
    <w:p>
      <w:pPr>
        <w:spacing w:line="580" w:lineRule="exact"/>
        <w:ind w:firstLine="640" w:firstLineChars="200"/>
        <w:rPr>
          <w:rFonts w:ascii="仿宋_GB2312" w:hAnsi="仿宋_GB2312" w:eastAsia="仿宋_GB2312" w:cs="仿宋_GB2312"/>
          <w:sz w:val="32"/>
          <w:szCs w:val="32"/>
        </w:rPr>
      </w:pPr>
    </w:p>
    <w:tbl>
      <w:tblPr>
        <w:tblStyle w:val="12"/>
        <w:tblW w:w="8429" w:type="dxa"/>
        <w:tblInd w:w="93" w:type="dxa"/>
        <w:tblLayout w:type="fixed"/>
        <w:tblCellMar>
          <w:top w:w="0" w:type="dxa"/>
          <w:left w:w="108" w:type="dxa"/>
          <w:bottom w:w="0" w:type="dxa"/>
          <w:right w:w="108" w:type="dxa"/>
        </w:tblCellMar>
      </w:tblPr>
      <w:tblGrid>
        <w:gridCol w:w="339"/>
        <w:gridCol w:w="374"/>
        <w:gridCol w:w="295"/>
        <w:gridCol w:w="1915"/>
        <w:gridCol w:w="218"/>
        <w:gridCol w:w="335"/>
        <w:gridCol w:w="1915"/>
        <w:gridCol w:w="1915"/>
        <w:gridCol w:w="335"/>
        <w:gridCol w:w="493"/>
        <w:gridCol w:w="295"/>
      </w:tblGrid>
      <w:tr>
        <w:tblPrEx>
          <w:tblLayout w:type="fixed"/>
          <w:tblCellMar>
            <w:top w:w="0" w:type="dxa"/>
            <w:left w:w="108" w:type="dxa"/>
            <w:bottom w:w="0" w:type="dxa"/>
            <w:right w:w="108" w:type="dxa"/>
          </w:tblCellMar>
        </w:tblPrEx>
        <w:trPr>
          <w:trHeight w:val="330" w:hRule="atLeast"/>
        </w:trPr>
        <w:tc>
          <w:tcPr>
            <w:tcW w:w="8429"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34"/>
                <w:rFonts w:hint="default"/>
              </w:rPr>
              <w:t>绩效目标自评表</w:t>
            </w:r>
          </w:p>
        </w:tc>
      </w:tr>
      <w:tr>
        <w:tblPrEx>
          <w:tblLayout w:type="fixed"/>
          <w:tblCellMar>
            <w:top w:w="0" w:type="dxa"/>
            <w:left w:w="108" w:type="dxa"/>
            <w:bottom w:w="0" w:type="dxa"/>
            <w:right w:w="108" w:type="dxa"/>
          </w:tblCellMar>
        </w:tblPrEx>
        <w:trPr>
          <w:trHeight w:val="570" w:hRule="atLeast"/>
        </w:trPr>
        <w:tc>
          <w:tcPr>
            <w:tcW w:w="8429"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Layout w:type="fixed"/>
          <w:tblCellMar>
            <w:top w:w="0" w:type="dxa"/>
            <w:left w:w="108" w:type="dxa"/>
            <w:bottom w:w="0" w:type="dxa"/>
            <w:right w:w="108" w:type="dxa"/>
          </w:tblCellMar>
        </w:tblPrEx>
        <w:trPr>
          <w:trHeight w:val="420" w:hRule="atLeast"/>
        </w:trPr>
        <w:tc>
          <w:tcPr>
            <w:tcW w:w="1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2020泥溪镇新冠肺炎疫情防控中央补助结算资金</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谢光辉/13541793097</w:t>
            </w:r>
          </w:p>
        </w:tc>
      </w:tr>
      <w:tr>
        <w:tblPrEx>
          <w:tblLayout w:type="fixed"/>
          <w:tblCellMar>
            <w:top w:w="0" w:type="dxa"/>
            <w:left w:w="108" w:type="dxa"/>
            <w:bottom w:w="0" w:type="dxa"/>
            <w:right w:w="108" w:type="dxa"/>
          </w:tblCellMar>
        </w:tblPrEx>
        <w:trPr>
          <w:trHeight w:val="555" w:hRule="atLeast"/>
        </w:trPr>
        <w:tc>
          <w:tcPr>
            <w:tcW w:w="1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泥溪镇人民政府</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办公室</w:t>
            </w:r>
          </w:p>
        </w:tc>
      </w:tr>
      <w:tr>
        <w:tblPrEx>
          <w:tblLayout w:type="fixed"/>
          <w:tblCellMar>
            <w:top w:w="0" w:type="dxa"/>
            <w:left w:w="108" w:type="dxa"/>
            <w:bottom w:w="0" w:type="dxa"/>
            <w:right w:w="108" w:type="dxa"/>
          </w:tblCellMar>
        </w:tblPrEx>
        <w:trPr>
          <w:trHeight w:val="300" w:hRule="atLeast"/>
        </w:trPr>
        <w:tc>
          <w:tcPr>
            <w:tcW w:w="10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Layout w:type="fixed"/>
          <w:tblCellMar>
            <w:top w:w="0" w:type="dxa"/>
            <w:left w:w="108" w:type="dxa"/>
            <w:bottom w:w="0" w:type="dxa"/>
            <w:right w:w="108" w:type="dxa"/>
          </w:tblCellMar>
        </w:tblPrEx>
        <w:trPr>
          <w:trHeight w:val="465" w:hRule="atLeast"/>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1.45</w:t>
            </w: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100/100</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82" w:hRule="atLeast"/>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35"/>
                <w:rFonts w:hint="default"/>
              </w:rPr>
              <w:t xml:space="preserve"> 其中：本年财政拨款</w:t>
            </w:r>
          </w:p>
        </w:tc>
        <w:tc>
          <w:tcPr>
            <w:tcW w:w="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1.45</w:t>
            </w: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282" w:hRule="atLeast"/>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35"/>
                <w:rFonts w:hint="default"/>
              </w:rPr>
              <w:t xml:space="preserve">       其他资金</w:t>
            </w:r>
          </w:p>
        </w:tc>
        <w:tc>
          <w:tcPr>
            <w:tcW w:w="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282" w:hRule="atLeast"/>
        </w:trPr>
        <w:tc>
          <w:tcPr>
            <w:tcW w:w="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3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Layout w:type="fixed"/>
          <w:tblCellMar>
            <w:top w:w="0" w:type="dxa"/>
            <w:left w:w="108" w:type="dxa"/>
            <w:bottom w:w="0" w:type="dxa"/>
            <w:right w:w="108" w:type="dxa"/>
          </w:tblCellMar>
        </w:tblPrEx>
        <w:trPr>
          <w:trHeight w:val="28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泥溪镇新冠肺炎疫情防控中央补助结算资金</w:t>
            </w:r>
          </w:p>
        </w:tc>
        <w:tc>
          <w:tcPr>
            <w:tcW w:w="4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保障了泥溪镇新冠肺炎疫情排查顺利实施</w:t>
            </w:r>
          </w:p>
        </w:tc>
      </w:tr>
      <w:tr>
        <w:tblPrEx>
          <w:tblLayout w:type="fixed"/>
          <w:tblCellMar>
            <w:top w:w="0" w:type="dxa"/>
            <w:left w:w="108" w:type="dxa"/>
            <w:bottom w:w="0" w:type="dxa"/>
            <w:right w:w="108" w:type="dxa"/>
          </w:tblCellMar>
        </w:tblPrEx>
        <w:trPr>
          <w:trHeight w:val="525" w:hRule="atLeast"/>
        </w:trPr>
        <w:tc>
          <w:tcPr>
            <w:tcW w:w="33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Layout w:type="fixed"/>
          <w:tblCellMar>
            <w:top w:w="0" w:type="dxa"/>
            <w:left w:w="108" w:type="dxa"/>
            <w:bottom w:w="0" w:type="dxa"/>
            <w:right w:w="108" w:type="dxa"/>
          </w:tblCellMar>
        </w:tblPrEx>
        <w:trPr>
          <w:trHeight w:val="559"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享受人数≥10000人</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享受人数≥10000人</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享受人数≥10000人</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新冠肺炎疫情排查≥10村</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新冠肺炎疫情排查≥10村</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新冠肺炎疫情排查≥10村</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实现新冠肺炎疫情宣传次数≥30</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实现新冠肺炎疫情宣传次数≥30</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实现新冠肺炎疫情宣传次数≥30</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防疫资金保障率=100%</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防疫资金保障率=100%</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防疫资金保障率=100%</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保障新冠肺炎疫情排查、宣传、消杀时间2020年</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保障新冠肺炎疫情排查、宣传、消杀时间2020年</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保障新冠肺炎疫情排查、宣传、消杀时间2020年</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保障新冠肺炎疫情排查、宣传、消杀≥27500元</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保障新冠肺炎疫情排查、宣传、消杀≥27500元</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保障新冠肺炎疫情排查、宣传、消杀≥27500元</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保障农户安全</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保障农户安全</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保障农户安全</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防疫政策知晓率≥99%</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防疫政策知晓率≥99%</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防疫政策知晓率≥99%</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水电能源节约率≥5%</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水电能源节约率≥5%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水电能源节约率≥5%</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防疫持续发挥作用的期限=长期</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防疫持续发挥作用的期限=长期</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防疫持续发挥作用的期限=长期</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对精神文明建设可持续发展的影响=长期</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对精神文化建设可持续发展的影响=长期</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对精神文化建设可持续发展的影响=长期</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脱贫建档贫困户满意度≥95%</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脱贫建档贫困户满意度≥95%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脱贫建档贫困户满意度≥95%</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社会公众满意度≥95%</w:t>
            </w: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社会公众满意度≥95%</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社会公众满意度≥95%</w:t>
            </w: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3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37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20"/>
                <w:szCs w:val="20"/>
              </w:rPr>
            </w:pPr>
          </w:p>
        </w:tc>
        <w:tc>
          <w:tcPr>
            <w:tcW w:w="295"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20"/>
                <w:szCs w:val="20"/>
              </w:rPr>
            </w:pPr>
          </w:p>
        </w:tc>
        <w:tc>
          <w:tcPr>
            <w:tcW w:w="191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21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91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191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33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93"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c>
          <w:tcPr>
            <w:tcW w:w="29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2" w:hRule="atLeast"/>
        </w:trPr>
        <w:tc>
          <w:tcPr>
            <w:tcW w:w="8429"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注：1.一级指标分值统一设置为：产出指标50分、效益指标30分、满意度指标10分、预算资金执行率10分。如有特殊情况，上述权重可</w:t>
            </w:r>
            <w:r>
              <w:rPr>
                <w:rFonts w:hint="eastAsia" w:ascii="宋体" w:hAnsi="宋体" w:cs="宋体"/>
                <w:color w:val="000000"/>
                <w:kern w:val="0"/>
                <w:sz w:val="18"/>
                <w:szCs w:val="18"/>
                <w:lang w:eastAsia="zh-CN"/>
              </w:rPr>
              <w:t>作</w:t>
            </w:r>
            <w:r>
              <w:rPr>
                <w:rFonts w:hint="eastAsia" w:ascii="宋体" w:hAnsi="宋体" w:cs="宋体"/>
                <w:color w:val="000000"/>
                <w:kern w:val="0"/>
                <w:sz w:val="18"/>
                <w:szCs w:val="18"/>
              </w:rPr>
              <w:t>适当调整，但加总后应等于100分。各部门根据各项指标重要程度确定三级指标的分值。得分最高不能超过该指标分值上限。</w:t>
            </w:r>
          </w:p>
        </w:tc>
      </w:tr>
      <w:tr>
        <w:tblPrEx>
          <w:tblLayout w:type="fixed"/>
          <w:tblCellMar>
            <w:top w:w="0" w:type="dxa"/>
            <w:left w:w="108" w:type="dxa"/>
            <w:bottom w:w="0" w:type="dxa"/>
            <w:right w:w="108" w:type="dxa"/>
          </w:tblCellMar>
        </w:tblPrEx>
        <w:trPr>
          <w:trHeight w:val="739" w:hRule="atLeast"/>
        </w:trPr>
        <w:tc>
          <w:tcPr>
            <w:tcW w:w="8429"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2.定性指标根据指标完成情况分为：达成预期指标、部分达成预期指标并具有一定效果、未达成预期指标且效果较差三档，分别按照该指标对应分值区间100-80%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含80%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、80-60%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含60%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、60-0%合理确定得分。</w:t>
            </w:r>
          </w:p>
        </w:tc>
      </w:tr>
      <w:tr>
        <w:tblPrEx>
          <w:tblLayout w:type="fixed"/>
          <w:tblCellMar>
            <w:top w:w="0" w:type="dxa"/>
            <w:left w:w="108" w:type="dxa"/>
            <w:bottom w:w="0" w:type="dxa"/>
            <w:right w:w="108" w:type="dxa"/>
          </w:tblCellMar>
        </w:tblPrEx>
        <w:trPr>
          <w:trHeight w:val="469" w:hRule="atLeast"/>
        </w:trPr>
        <w:tc>
          <w:tcPr>
            <w:tcW w:w="8429"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Layout w:type="fixed"/>
          <w:tblCellMar>
            <w:top w:w="0" w:type="dxa"/>
            <w:left w:w="108" w:type="dxa"/>
            <w:bottom w:w="0" w:type="dxa"/>
            <w:right w:w="108" w:type="dxa"/>
          </w:tblCellMar>
        </w:tblPrEx>
        <w:trPr>
          <w:trHeight w:val="720" w:hRule="atLeast"/>
        </w:trPr>
        <w:tc>
          <w:tcPr>
            <w:tcW w:w="8429"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3.定量指标若为正向指标（即指标值为≥*），则得分计算方法应用全年实际值/年度指标值</w:t>
            </w:r>
            <w:r>
              <w:rPr>
                <w:rStyle w:val="36"/>
                <w:rFonts w:hint="default"/>
              </w:rPr>
              <w:t>╳</w:t>
            </w:r>
            <w:r>
              <w:rPr>
                <w:rFonts w:hint="eastAsia" w:ascii="宋体" w:hAnsi="宋体" w:cs="宋体"/>
                <w:color w:val="000000"/>
                <w:kern w:val="0"/>
                <w:sz w:val="18"/>
                <w:szCs w:val="18"/>
              </w:rPr>
              <w:t>该指标分值；若定量指标为反向指标（即指标值为≤*），则得分计算方法应用年度指标值/全年实际值</w:t>
            </w:r>
            <w:r>
              <w:rPr>
                <w:rStyle w:val="36"/>
                <w:rFonts w:hint="default"/>
              </w:rPr>
              <w:t>╳</w:t>
            </w:r>
            <w:r>
              <w:rPr>
                <w:rFonts w:hint="eastAsia" w:ascii="宋体" w:hAnsi="宋体" w:cs="宋体"/>
                <w:color w:val="000000"/>
                <w:kern w:val="0"/>
                <w:sz w:val="18"/>
                <w:szCs w:val="18"/>
              </w:rPr>
              <w:t>该指标分值；定量指标得分最高不得超过该指标分值上限。</w:t>
            </w:r>
          </w:p>
        </w:tc>
      </w:tr>
      <w:tr>
        <w:tblPrEx>
          <w:tblLayout w:type="fixed"/>
          <w:tblCellMar>
            <w:top w:w="0" w:type="dxa"/>
            <w:left w:w="108" w:type="dxa"/>
            <w:bottom w:w="0" w:type="dxa"/>
            <w:right w:w="108" w:type="dxa"/>
          </w:tblCellMar>
        </w:tblPrEx>
        <w:trPr>
          <w:trHeight w:val="270" w:hRule="atLeast"/>
        </w:trPr>
        <w:tc>
          <w:tcPr>
            <w:tcW w:w="339"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74"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29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191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218"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3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191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191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3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493"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29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339"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74"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29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191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218"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3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1915" w:type="dxa"/>
            <w:tcBorders>
              <w:top w:val="nil"/>
              <w:left w:val="nil"/>
              <w:bottom w:val="nil"/>
              <w:right w:val="nil"/>
            </w:tcBorders>
            <w:shd w:val="clear" w:color="auto" w:fill="auto"/>
            <w:noWrap/>
            <w:vAlign w:val="center"/>
          </w:tcPr>
          <w:p>
            <w:pPr>
              <w:rPr>
                <w:rFonts w:ascii="宋体" w:hAnsi="宋体" w:cs="宋体"/>
                <w:color w:val="FF0000"/>
                <w:sz w:val="22"/>
                <w:szCs w:val="22"/>
              </w:rPr>
            </w:pPr>
          </w:p>
        </w:tc>
        <w:tc>
          <w:tcPr>
            <w:tcW w:w="191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35"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493"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29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bl>
    <w:p>
      <w:pPr>
        <w:tabs>
          <w:tab w:val="left" w:pos="312"/>
        </w:tabs>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本部门按要求对2020年部门整体支出绩效评价情况开展自评，《泥溪镇人民政府2020年部门整体支出绩效评价报告》见附件。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本部门自行组织对“泥溪镇公益性岗位补贴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、“文化免补资金”、“</w:t>
      </w:r>
      <w:r>
        <w:rPr>
          <w:rFonts w:hint="eastAsia" w:ascii="仿宋_GB2312" w:hAnsi="仿宋_GB2312" w:eastAsia="仿宋_GB2312" w:cs="仿宋_GB2312"/>
          <w:sz w:val="32"/>
          <w:szCs w:val="32"/>
          <w:highlight w:val="none"/>
          <w:lang w:eastAsia="zh-CN"/>
        </w:rPr>
        <w:t>泥溪镇</w:t>
      </w:r>
      <w:r>
        <w:rPr>
          <w:rFonts w:hint="eastAsia" w:ascii="仿宋_GB2312" w:hAnsi="仿宋_GB2312" w:eastAsia="仿宋_GB2312" w:cs="仿宋_GB2312"/>
          <w:sz w:val="32"/>
          <w:szCs w:val="32"/>
        </w:rPr>
        <w:t>农村人居环境综合整治</w:t>
      </w:r>
      <w:r>
        <w:rPr>
          <w:rFonts w:hint="eastAsia" w:ascii="仿宋_GB2312" w:hAnsi="仿宋_GB2312" w:eastAsia="仿宋_GB2312" w:cs="仿宋_GB2312"/>
          <w:sz w:val="32"/>
          <w:szCs w:val="32"/>
          <w:highlight w:val="none"/>
          <w:lang w:eastAsia="zh-CN"/>
        </w:rPr>
        <w:t>补助资金</w:t>
      </w:r>
      <w:r>
        <w:rPr>
          <w:rFonts w:hint="eastAsia" w:ascii="仿宋_GB2312" w:hAnsi="仿宋_GB2312" w:eastAsia="仿宋_GB2312" w:cs="仿宋_GB2312"/>
          <w:sz w:val="32"/>
          <w:szCs w:val="32"/>
        </w:rPr>
        <w:t>”、“泥溪镇罐子坪村新冠肺炎</w:t>
      </w:r>
      <w:r>
        <w:rPr>
          <w:rFonts w:hint="eastAsia" w:ascii="仿宋_GB2312" w:hAnsi="仿宋_GB2312" w:eastAsia="仿宋_GB2312" w:cs="仿宋_GB2312"/>
          <w:sz w:val="32"/>
          <w:szCs w:val="32"/>
          <w:highlight w:val="none"/>
          <w:lang w:eastAsia="zh-CN"/>
        </w:rPr>
        <w:t>疫情防控期间</w:t>
      </w:r>
      <w:r>
        <w:rPr>
          <w:rFonts w:hint="eastAsia" w:ascii="仿宋_GB2312" w:hAnsi="仿宋_GB2312" w:eastAsia="仿宋_GB2312" w:cs="仿宋_GB2312"/>
          <w:sz w:val="32"/>
          <w:szCs w:val="32"/>
        </w:rPr>
        <w:t>银耳产业发展补助资金”、“2020泥溪镇新泥溪镇新冠肺炎疫情防控中央补助结算资金”项目开展了绩效评价，《泥溪镇人民政府项目2020年绩效评价报告》。</w:t>
      </w:r>
    </w:p>
    <w:p>
      <w:pPr>
        <w:spacing w:line="600" w:lineRule="exact"/>
        <w:ind w:firstLine="800" w:firstLineChars="250"/>
        <w:outlineLvl w:val="1"/>
        <w:rPr>
          <w:rStyle w:val="26"/>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4"/>
      <w:bookmarkEnd w:id="55"/>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6" w:name="_Toc15377222"/>
      <w:r>
        <w:rPr>
          <w:rFonts w:hint="eastAsia" w:ascii="仿宋" w:hAnsi="仿宋" w:eastAsia="仿宋"/>
          <w:b/>
          <w:color w:val="000000"/>
          <w:sz w:val="32"/>
          <w:szCs w:val="32"/>
        </w:rPr>
        <w:t>（一）</w:t>
      </w:r>
      <w:bookmarkEnd w:id="56"/>
      <w:bookmarkStart w:id="57" w:name="_Toc15377223"/>
      <w:r>
        <w:rPr>
          <w:rFonts w:hint="eastAsia" w:ascii="仿宋" w:hAnsi="仿宋" w:eastAsia="仿宋"/>
          <w:b/>
          <w:color w:val="000000"/>
          <w:sz w:val="32"/>
          <w:szCs w:val="32"/>
        </w:rPr>
        <w:t>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20年，泥溪镇人民政府采购支出总额0万元，其中：政府采购货物支出0万元、政府采购工程支出0万元、政府采购服务支出0万元。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（二）国有资产占有使用情况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日，泥溪镇共有车辆0辆，其中：部级领导干部用车0辆、一般公务用车0辆、一般执法执勤用车0辆、特种专业技术用车0辆、其他用车0辆.</w:t>
      </w:r>
    </w:p>
    <w:p>
      <w:pPr>
        <w:autoSpaceDE w:val="0"/>
        <w:autoSpaceDN w:val="0"/>
        <w:adjustRightInd w:val="0"/>
        <w:spacing w:line="600" w:lineRule="exact"/>
        <w:ind w:firstLine="640" w:firstLineChars="200"/>
        <w:jc w:val="left"/>
        <w:rPr>
          <w:rFonts w:ascii="仿宋_GB2312" w:eastAsia="仿宋_GB2312"/>
          <w:color w:val="000000"/>
          <w:sz w:val="32"/>
          <w:szCs w:val="32"/>
        </w:rPr>
      </w:pPr>
    </w:p>
    <w:p>
      <w:pPr>
        <w:autoSpaceDE w:val="0"/>
        <w:autoSpaceDN w:val="0"/>
        <w:adjustRightInd w:val="0"/>
        <w:spacing w:line="600" w:lineRule="exact"/>
        <w:ind w:firstLine="640" w:firstLineChars="200"/>
        <w:jc w:val="left"/>
        <w:rPr>
          <w:rFonts w:ascii="仿宋_GB2312" w:eastAsia="仿宋_GB2312"/>
          <w:color w:val="000000"/>
          <w:sz w:val="32"/>
          <w:szCs w:val="32"/>
        </w:rPr>
      </w:pPr>
    </w:p>
    <w:p>
      <w:pPr>
        <w:autoSpaceDE w:val="0"/>
        <w:autoSpaceDN w:val="0"/>
        <w:adjustRightInd w:val="0"/>
        <w:spacing w:line="600" w:lineRule="exact"/>
        <w:ind w:firstLine="640" w:firstLineChars="200"/>
        <w:jc w:val="left"/>
        <w:rPr>
          <w:rFonts w:ascii="仿宋_GB2312" w:eastAsia="仿宋_GB2312"/>
          <w:color w:val="000000"/>
          <w:sz w:val="32"/>
          <w:szCs w:val="32"/>
        </w:rPr>
      </w:pPr>
    </w:p>
    <w:p>
      <w:pPr>
        <w:numPr>
          <w:ilvl w:val="0"/>
          <w:numId w:val="7"/>
        </w:numPr>
        <w:spacing w:line="600" w:lineRule="exact"/>
        <w:ind w:firstLine="663" w:firstLineChars="150"/>
        <w:jc w:val="center"/>
        <w:outlineLvl w:val="0"/>
        <w:rPr>
          <w:rStyle w:val="25"/>
          <w:rFonts w:ascii="黑体" w:hAnsi="黑体" w:eastAsia="黑体"/>
          <w:b w:val="0"/>
        </w:rPr>
      </w:pPr>
      <w:bookmarkStart w:id="59" w:name="_Toc15396613"/>
      <w:bookmarkStart w:id="60"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eastAsia="仿宋_GB2312"/>
          <w:sz w:val="32"/>
          <w:szCs w:val="32"/>
        </w:rPr>
        <w:t>2.</w:t>
      </w:r>
      <w:r>
        <w:rPr>
          <w:rFonts w:hint="eastAsia" w:ascii="仿宋_GB2312" w:hAnsi="Calibri" w:eastAsia="仿宋_GB2312" w:cs="仿宋"/>
          <w:color w:val="000000"/>
          <w:kern w:val="0"/>
          <w:sz w:val="32"/>
          <w:szCs w:val="32"/>
        </w:rPr>
        <w:t>事业收入：指事业单位开展专业业务活动及辅助活动取得的收入。</w:t>
      </w:r>
      <w:r>
        <w:rPr>
          <w:rFonts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w:t>
      </w:r>
      <w:r>
        <w:rPr>
          <w:rFonts w:ascii="仿宋_GB2312" w:hAnsi="Calibri" w:eastAsia="仿宋_GB2312" w:cs="仿宋"/>
          <w:color w:val="000000"/>
          <w:kern w:val="0"/>
          <w:sz w:val="32"/>
          <w:szCs w:val="32"/>
        </w:rPr>
        <w:t>3.</w:t>
      </w:r>
      <w:r>
        <w:rPr>
          <w:rFonts w:hint="eastAsia" w:ascii="仿宋_GB2312" w:hAnsi="Calibri" w:eastAsia="仿宋_GB2312" w:cs="仿宋"/>
          <w:color w:val="000000"/>
          <w:kern w:val="0"/>
          <w:sz w:val="32"/>
          <w:szCs w:val="32"/>
        </w:rPr>
        <w:t>经营收入：指事业单位在专业业务活动及其辅助活动之外开展非独立核算经营活动取得的收入。　　</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4.</w:t>
      </w:r>
      <w:r>
        <w:rPr>
          <w:rFonts w:hint="eastAsia" w:ascii="仿宋_GB2312" w:hAnsi="Calibri" w:eastAsia="仿宋_GB2312" w:cs="仿宋"/>
          <w:color w:val="000000"/>
          <w:kern w:val="0"/>
          <w:sz w:val="32"/>
          <w:szCs w:val="32"/>
        </w:rPr>
        <w:t>其他收入：指单位取得的除上述收入以外的各项收入。</w:t>
      </w:r>
      <w:r>
        <w:rPr>
          <w:rFonts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w:t>
      </w:r>
      <w:r>
        <w:rPr>
          <w:rFonts w:ascii="仿宋_GB2312" w:hAnsi="Calibri" w:eastAsia="仿宋_GB2312" w:cs="仿宋"/>
          <w:color w:val="000000"/>
          <w:kern w:val="0"/>
          <w:sz w:val="32"/>
          <w:szCs w:val="32"/>
        </w:rPr>
        <w:t>5.</w:t>
      </w:r>
      <w:r>
        <w:rPr>
          <w:rFonts w:hint="eastAsia" w:ascii="仿宋_GB2312" w:hAnsi="Calibri" w:eastAsia="仿宋_GB2312" w:cs="仿宋"/>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w:t>
      </w:r>
      <w:r>
        <w:rPr>
          <w:rFonts w:ascii="仿宋_GB2312" w:hAnsi="Calibri" w:eastAsia="仿宋_GB2312" w:cs="仿宋"/>
          <w:color w:val="000000"/>
          <w:kern w:val="0"/>
          <w:sz w:val="32"/>
          <w:szCs w:val="32"/>
        </w:rPr>
        <w:t>6.</w:t>
      </w:r>
      <w:r>
        <w:rPr>
          <w:rFonts w:hint="eastAsia" w:ascii="仿宋_GB2312" w:hAnsi="Calibri" w:eastAsia="仿宋_GB2312" w:cs="仿宋"/>
          <w:color w:val="000000"/>
          <w:kern w:val="0"/>
          <w:sz w:val="32"/>
          <w:szCs w:val="32"/>
        </w:rPr>
        <w:t>年初结转和结余：指以前年度尚未完成、结转到本年按有关规定继续使用的资金。</w:t>
      </w:r>
      <w:r>
        <w:rPr>
          <w:rFonts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w:t>
      </w:r>
      <w:r>
        <w:rPr>
          <w:rFonts w:ascii="仿宋_GB2312" w:hAnsi="Calibri" w:eastAsia="仿宋_GB2312" w:cs="仿宋"/>
          <w:color w:val="000000"/>
          <w:kern w:val="0"/>
          <w:sz w:val="32"/>
          <w:szCs w:val="32"/>
        </w:rPr>
        <w:t>7.</w:t>
      </w:r>
      <w:r>
        <w:rPr>
          <w:rFonts w:hint="eastAsia" w:ascii="仿宋_GB2312" w:hAnsi="Calibri" w:eastAsia="仿宋_GB2312" w:cs="仿宋"/>
          <w:color w:val="000000"/>
          <w:kern w:val="0"/>
          <w:sz w:val="32"/>
          <w:szCs w:val="32"/>
        </w:rPr>
        <w:t>结余分配：指事业单位按照事业单位会计制度的规定从非财政补助结余中分配的事业基金和职工福利基金等。</w:t>
      </w:r>
      <w:r>
        <w:rPr>
          <w:rFonts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w:t>
      </w:r>
      <w:r>
        <w:rPr>
          <w:rFonts w:ascii="仿宋_GB2312" w:hAnsi="Calibri" w:eastAsia="仿宋_GB2312" w:cs="仿宋"/>
          <w:color w:val="000000"/>
          <w:kern w:val="0"/>
          <w:sz w:val="32"/>
          <w:szCs w:val="32"/>
        </w:rPr>
        <w:t>8</w:t>
      </w:r>
      <w:r>
        <w:rPr>
          <w:rFonts w:hint="eastAsia" w:ascii="仿宋_GB2312" w:hAnsi="Calibri" w:eastAsia="仿宋_GB2312" w:cs="仿宋"/>
          <w:color w:val="000000"/>
          <w:kern w:val="0"/>
          <w:sz w:val="32"/>
          <w:szCs w:val="32"/>
        </w:rPr>
        <w:t>、年末结转和结余：指单位按有关规定结转到下年或以后年度继续使用的资金。</w:t>
      </w:r>
    </w:p>
    <w:p>
      <w:pPr>
        <w:numPr>
          <w:ilvl w:val="0"/>
          <w:numId w:val="8"/>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一般公共服务（类）反映政府提供一般公共服务的支出。</w:t>
      </w:r>
    </w:p>
    <w:p>
      <w:pPr>
        <w:numPr>
          <w:ilvl w:val="0"/>
          <w:numId w:val="9"/>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人大</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9"/>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9"/>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9"/>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9"/>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党委办公厅（室）及相关机构事务（款）反映党委办公厅（室）及相关机构的支出。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9"/>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其他共产党事务支出（款）反映上述款项以外其他用于中国共产党事务的支出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10</w:t>
      </w:r>
      <w:r>
        <w:rPr>
          <w:rFonts w:hint="eastAsia" w:ascii="仿宋_GB2312" w:hAnsi="Calibri" w:eastAsia="仿宋_GB2312" w:cs="仿宋"/>
          <w:color w:val="000000"/>
          <w:kern w:val="0"/>
          <w:sz w:val="32"/>
          <w:szCs w:val="32"/>
        </w:rPr>
        <w:t>、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普通教育（款）</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反映各类普通教育支出。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小学教育（项）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w:t>
      </w:r>
      <w:r>
        <w:rPr>
          <w:rFonts w:hint="eastAsia" w:ascii="仿宋_GB2312" w:hAnsi="Calibri" w:eastAsia="仿宋_GB2312" w:cs="仿宋"/>
          <w:color w:val="000000"/>
          <w:kern w:val="0"/>
          <w:sz w:val="32"/>
          <w:szCs w:val="32"/>
          <w:highlight w:val="none"/>
        </w:rPr>
        <w:t>反映除</w:t>
      </w:r>
      <w:r>
        <w:rPr>
          <w:rFonts w:hint="eastAsia" w:ascii="仿宋_GB2312" w:hAnsi="Calibri" w:eastAsia="仿宋_GB2312" w:cs="仿宋"/>
          <w:color w:val="000000"/>
          <w:kern w:val="0"/>
          <w:sz w:val="32"/>
          <w:szCs w:val="32"/>
        </w:rPr>
        <w:t>上述项目以外其他用于普通教育方面的支出。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11</w:t>
      </w:r>
      <w:r>
        <w:rPr>
          <w:rFonts w:hint="eastAsia" w:ascii="仿宋_GB2312" w:hAnsi="Calibri" w:eastAsia="仿宋_GB2312" w:cs="仿宋"/>
          <w:color w:val="000000"/>
          <w:kern w:val="0"/>
          <w:sz w:val="32"/>
          <w:szCs w:val="32"/>
        </w:rPr>
        <w:t>、文化体育与传媒支出（类）反映政府在文化、文物、体育、广播影视、新闻出版等方面的支出。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文化（款）反映政府用于公用文化设施、艺术表演团体及文化艺术活动等方面的支出。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其他文化支出（项）</w:t>
      </w:r>
      <w:r>
        <w:rPr>
          <w:rFonts w:hint="eastAsia" w:ascii="仿宋_GB2312" w:hAnsi="Calibri" w:eastAsia="仿宋_GB2312" w:cs="仿宋"/>
          <w:color w:val="000000"/>
          <w:kern w:val="0"/>
          <w:sz w:val="32"/>
          <w:szCs w:val="32"/>
          <w:highlight w:val="none"/>
        </w:rPr>
        <w:t>反映除</w:t>
      </w:r>
      <w:r>
        <w:rPr>
          <w:rFonts w:hint="eastAsia" w:ascii="仿宋_GB2312" w:hAnsi="Calibri" w:eastAsia="仿宋_GB2312" w:cs="仿宋"/>
          <w:color w:val="000000"/>
          <w:kern w:val="0"/>
          <w:sz w:val="32"/>
          <w:szCs w:val="32"/>
        </w:rPr>
        <w:t>上述项目以外其他用于文化方面的支出。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新闻出版广播影视（款）反映新闻出版方面的支出。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反映广播电台、广播发射台、广播转播台及有线广播站的支出。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12</w:t>
      </w:r>
      <w:r>
        <w:rPr>
          <w:rFonts w:hint="eastAsia" w:ascii="仿宋_GB2312" w:hAnsi="Calibri" w:eastAsia="仿宋_GB2312" w:cs="仿宋"/>
          <w:color w:val="000000"/>
          <w:kern w:val="0"/>
          <w:sz w:val="32"/>
          <w:szCs w:val="32"/>
        </w:rPr>
        <w:t>、社会保障和就业（类）反映政府在社会保障与就业方面的支出。有关事项包括社会保障和就业管理事务、民政管理事务、财政对社会保险基金的补助、补充全国社会保障基金、行政事业单位离退休、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13</w:t>
      </w:r>
      <w:r>
        <w:rPr>
          <w:rFonts w:hint="eastAsia" w:ascii="仿宋_GB2312" w:hAnsi="Calibri" w:eastAsia="仿宋_GB2312" w:cs="仿宋"/>
          <w:color w:val="000000"/>
          <w:kern w:val="0"/>
          <w:sz w:val="32"/>
          <w:szCs w:val="32"/>
        </w:rPr>
        <w:t>、医疗卫生与计划生育支出（类）反映政府医疗卫生与计划生育管理方面的支出。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镇镇卫生院（项）反映用于镇镇卫生院方面的支出。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财政对城镇居民基本医疗保险基金的补助（项）反映财政对已将新型农村合作医疗基金和城镇居民基本医疗保险基金整合为城镇居民基本医疗保险基金的补助支出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14</w:t>
      </w:r>
      <w:r>
        <w:rPr>
          <w:rFonts w:hint="eastAsia" w:ascii="仿宋_GB2312" w:hAnsi="Calibri" w:eastAsia="仿宋_GB2312" w:cs="仿宋"/>
          <w:color w:val="000000"/>
          <w:kern w:val="0"/>
          <w:sz w:val="32"/>
          <w:szCs w:val="32"/>
        </w:rPr>
        <w:t>、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15</w:t>
      </w:r>
      <w:r>
        <w:rPr>
          <w:rFonts w:hint="eastAsia" w:ascii="仿宋_GB2312" w:hAnsi="Calibri" w:eastAsia="仿宋_GB2312" w:cs="仿宋"/>
          <w:color w:val="000000"/>
          <w:kern w:val="0"/>
          <w:sz w:val="32"/>
          <w:szCs w:val="32"/>
        </w:rPr>
        <w:t>、城镇社区支出（类）反映政府城镇社区事务支出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城镇社区公共设施（款）反映城镇社区道路、桥涵、燃气、供暖、公共交通（含轮渡、轻轨、地铁）、道路照明等公共设施建设维护与管理方面的支出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其他城镇社区公共设施支出（项）</w:t>
      </w:r>
      <w:r>
        <w:rPr>
          <w:rFonts w:hint="eastAsia" w:ascii="仿宋_GB2312" w:hAnsi="Calibri" w:eastAsia="仿宋_GB2312" w:cs="仿宋"/>
          <w:color w:val="000000"/>
          <w:kern w:val="0"/>
          <w:sz w:val="32"/>
          <w:szCs w:val="32"/>
          <w:highlight w:val="none"/>
        </w:rPr>
        <w:t>反映除</w:t>
      </w:r>
      <w:r>
        <w:rPr>
          <w:rFonts w:hint="eastAsia" w:ascii="仿宋_GB2312" w:hAnsi="Calibri" w:eastAsia="仿宋_GB2312" w:cs="仿宋"/>
          <w:color w:val="000000"/>
          <w:kern w:val="0"/>
          <w:sz w:val="32"/>
          <w:szCs w:val="32"/>
        </w:rPr>
        <w:t>上述项目以外其他用于其他城镇社区公共设施方面的支出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16</w:t>
      </w:r>
      <w:r>
        <w:rPr>
          <w:rFonts w:hint="eastAsia" w:ascii="仿宋_GB2312" w:hAnsi="Calibri" w:eastAsia="仿宋_GB2312" w:cs="仿宋"/>
          <w:color w:val="000000"/>
          <w:kern w:val="0"/>
          <w:sz w:val="32"/>
          <w:szCs w:val="32"/>
        </w:rPr>
        <w:t>、农林水支出（类）反映政府农林水事务支出。具体包括：农业支出、林业支出、水利支出、扶贫支出、农业综合开发支出等。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农村道路建设（项）反映用于农村公路、镇村道路建设方面的支出。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反映用于林业事业单位的基本支出。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④</w:t>
      </w:r>
      <w:r>
        <w:rPr>
          <w:rFonts w:hint="eastAsia" w:ascii="仿宋_GB2312" w:hAnsi="Calibri" w:eastAsia="仿宋_GB2312" w:cs="仿宋"/>
          <w:color w:val="000000"/>
          <w:kern w:val="0"/>
          <w:sz w:val="32"/>
          <w:szCs w:val="32"/>
        </w:rPr>
        <w:t>扶贫（款）反映用于农村（包括国有农场、国有林场）扶贫开发等方面的支出。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生产发展（项）反映用于农村贫困地区发展种植业、养殖业、畜牧业、农副产品加工、林果地建设等生产发展项目以及相关技术推广和培训、县镇村干部培训、贫困地区劳务输出培训等方面的项目支出。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其他扶贫支出（项）</w:t>
      </w:r>
      <w:r>
        <w:rPr>
          <w:rFonts w:hint="eastAsia" w:ascii="仿宋_GB2312" w:hAnsi="Calibri" w:eastAsia="仿宋_GB2312" w:cs="仿宋"/>
          <w:color w:val="000000"/>
          <w:kern w:val="0"/>
          <w:sz w:val="32"/>
          <w:szCs w:val="32"/>
          <w:highlight w:val="none"/>
        </w:rPr>
        <w:t>反映除</w:t>
      </w:r>
      <w:r>
        <w:rPr>
          <w:rFonts w:hint="eastAsia" w:ascii="仿宋_GB2312" w:hAnsi="Calibri" w:eastAsia="仿宋_GB2312" w:cs="仿宋"/>
          <w:color w:val="000000"/>
          <w:kern w:val="0"/>
          <w:sz w:val="32"/>
          <w:szCs w:val="32"/>
        </w:rPr>
        <w:t>上述项目以外其他用于扶贫方面的支出。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⑤</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其他农村综合改革支出（项）反映上述项目以外其他用于农村综合改革方面的支出。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17</w:t>
      </w:r>
      <w:r>
        <w:rPr>
          <w:rFonts w:hint="eastAsia" w:ascii="仿宋_GB2312" w:hAnsi="Calibri" w:eastAsia="仿宋_GB2312" w:cs="仿宋"/>
          <w:color w:val="000000"/>
          <w:kern w:val="0"/>
          <w:sz w:val="32"/>
          <w:szCs w:val="32"/>
        </w:rPr>
        <w:t>、交通运输支出（类）反映政府交通运输和邮政业方面的支出。包括公路运输支出、水路运输支出、铁路运输支出、民用航空运输支出和邮政业支出等。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公路水路运输（款）反映与公路、水路运输相关的支出。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公路运输管理（项）反映公路运输管理支出。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18</w:t>
      </w:r>
      <w:r>
        <w:rPr>
          <w:rFonts w:hint="eastAsia" w:ascii="仿宋_GB2312" w:hAnsi="Calibri" w:eastAsia="仿宋_GB2312" w:cs="仿宋"/>
          <w:color w:val="000000"/>
          <w:kern w:val="0"/>
          <w:sz w:val="32"/>
          <w:szCs w:val="32"/>
        </w:rPr>
        <w:t>、住房保障支出（类）集中反映政府用于住房方面的支出。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住房改革支出（款）反映行政事业单位用财政拨款资金和其他资金等安排的住房改革支出。</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Fonts w:ascii="黑体" w:hAnsi="黑体" w:eastAsia="黑体"/>
          <w:color w:val="000000"/>
          <w:sz w:val="44"/>
          <w:szCs w:val="44"/>
        </w:rPr>
      </w:pPr>
      <w:bookmarkStart w:id="61" w:name="_Toc15396614"/>
      <w:bookmarkStart w:id="62"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61"/>
    </w:p>
    <w:p>
      <w:pPr>
        <w:spacing w:line="600" w:lineRule="exact"/>
        <w:jc w:val="center"/>
        <w:outlineLvl w:val="0"/>
        <w:rPr>
          <w:rStyle w:val="25"/>
        </w:rPr>
      </w:pPr>
    </w:p>
    <w:p>
      <w:pPr>
        <w:pStyle w:val="3"/>
        <w:rPr>
          <w:rStyle w:val="25"/>
          <w:rFonts w:ascii="仿宋" w:hAnsi="仿宋" w:eastAsia="仿宋"/>
          <w:b w:val="0"/>
          <w:bCs w:val="0"/>
          <w:sz w:val="32"/>
          <w:szCs w:val="32"/>
        </w:rPr>
      </w:pPr>
      <w:bookmarkStart w:id="63" w:name="_Toc15396615"/>
      <w:r>
        <w:rPr>
          <w:rStyle w:val="25"/>
          <w:rFonts w:hint="eastAsia" w:ascii="仿宋" w:hAnsi="仿宋" w:eastAsia="仿宋"/>
          <w:b w:val="0"/>
          <w:bCs w:val="0"/>
          <w:sz w:val="32"/>
          <w:szCs w:val="32"/>
        </w:rPr>
        <w:t>附件1</w:t>
      </w:r>
      <w:bookmarkEnd w:id="63"/>
    </w:p>
    <w:p>
      <w:pPr>
        <w:spacing w:line="600" w:lineRule="exact"/>
        <w:jc w:val="center"/>
        <w:outlineLvl w:val="0"/>
        <w:rPr>
          <w:rFonts w:ascii="黑体" w:hAnsi="黑体" w:eastAsia="黑体" w:cs="方正小标宋简体"/>
          <w:sz w:val="36"/>
          <w:szCs w:val="36"/>
        </w:rPr>
      </w:pPr>
      <w:bookmarkStart w:id="64" w:name="_Toc15396616"/>
      <w:r>
        <w:rPr>
          <w:rFonts w:hint="eastAsia" w:ascii="黑体" w:hAnsi="黑体" w:eastAsia="黑体" w:cs="方正小标宋简体"/>
          <w:sz w:val="36"/>
          <w:szCs w:val="36"/>
        </w:rPr>
        <w:t>泥溪镇部门2018年部门整体支出绩效评价报告</w:t>
      </w:r>
      <w:bookmarkEnd w:id="6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楷体"/>
          <w:bCs/>
          <w:sz w:val="32"/>
          <w:szCs w:val="32"/>
        </w:rPr>
        <w:t>全镇所辖10个村民委员会、1个社区居委会，2所学校、1个乡镇卫生院。</w:t>
      </w:r>
    </w:p>
    <w:p>
      <w:pPr>
        <w:numPr>
          <w:ilvl w:val="0"/>
          <w:numId w:val="10"/>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ind w:firstLine="640" w:firstLineChars="200"/>
        <w:rPr>
          <w:rFonts w:ascii="仿宋" w:hAnsi="仿宋" w:eastAsia="仿宋" w:cs="楷体"/>
          <w:sz w:val="32"/>
          <w:szCs w:val="32"/>
        </w:rPr>
      </w:pPr>
      <w:r>
        <w:rPr>
          <w:rFonts w:hint="eastAsia" w:ascii="仿宋" w:hAnsi="仿宋" w:eastAsia="仿宋" w:cs="楷体"/>
          <w:sz w:val="32"/>
          <w:szCs w:val="32"/>
        </w:rPr>
        <w:t>1、执行上级国家行政机关的决定、命令和国家制定的法令、法规，接受同级党委的领导，执行本级人民代表大会的各项决议，并报告执行决议、决定和命令的情况。 </w:t>
      </w:r>
      <w:r>
        <w:rPr>
          <w:rFonts w:hint="eastAsia" w:ascii="仿宋" w:hAnsi="仿宋" w:eastAsia="仿宋" w:cs="楷体"/>
          <w:sz w:val="32"/>
          <w:szCs w:val="32"/>
        </w:rPr>
        <w:br w:type="textWrapping"/>
      </w:r>
      <w:r>
        <w:rPr>
          <w:rFonts w:hint="eastAsia" w:ascii="仿宋" w:hAnsi="仿宋" w:eastAsia="仿宋" w:cs="楷体"/>
          <w:sz w:val="32"/>
          <w:szCs w:val="32"/>
        </w:rPr>
        <w:t xml:space="preserve">    2、制定并落实本行政区域的经济计划和措施，促进产业结构调整及其他经济保持平衡协调发展，抓好招商引资，</w:t>
      </w:r>
      <w:r>
        <w:fldChar w:fldCharType="begin"/>
      </w:r>
      <w:r>
        <w:instrText xml:space="preserve"> HYPERLINK "http://www.so.com/s?q=%E4%BA%BA%E6%89%8D&amp;ie=utf-8&amp;src=internal_wenda_recommend_textn" \t "https://wenda.so.com/q/_blank" </w:instrText>
      </w:r>
      <w:r>
        <w:fldChar w:fldCharType="separate"/>
      </w:r>
      <w:r>
        <w:rPr>
          <w:rFonts w:hint="eastAsia" w:ascii="仿宋" w:hAnsi="仿宋" w:eastAsia="仿宋" w:cs="楷体"/>
          <w:sz w:val="32"/>
          <w:szCs w:val="32"/>
        </w:rPr>
        <w:t>人才</w:t>
      </w:r>
      <w:r>
        <w:rPr>
          <w:rFonts w:hint="eastAsia" w:ascii="仿宋" w:hAnsi="仿宋" w:eastAsia="仿宋" w:cs="楷体"/>
          <w:sz w:val="32"/>
          <w:szCs w:val="32"/>
        </w:rPr>
        <w:fldChar w:fldCharType="end"/>
      </w:r>
      <w:r>
        <w:fldChar w:fldCharType="begin"/>
      </w:r>
      <w:r>
        <w:instrText xml:space="preserve"> HYPERLINK "http://www.so.com/s?q=%E5%BC%95%E8%BF%9B%E9%A1%B9%E7%9B%AE&amp;ie=utf-8&amp;src=internal_wenda_recommend_textn" \t "https://wenda.so.com/q/_blank" </w:instrText>
      </w:r>
      <w:r>
        <w:fldChar w:fldCharType="separate"/>
      </w:r>
      <w:r>
        <w:rPr>
          <w:rFonts w:hint="eastAsia" w:ascii="仿宋" w:hAnsi="仿宋" w:eastAsia="仿宋" w:cs="楷体"/>
          <w:sz w:val="32"/>
          <w:szCs w:val="32"/>
        </w:rPr>
        <w:t>引进项目</w:t>
      </w:r>
      <w:r>
        <w:rPr>
          <w:rFonts w:hint="eastAsia" w:ascii="仿宋" w:hAnsi="仿宋" w:eastAsia="仿宋" w:cs="楷体"/>
          <w:sz w:val="32"/>
          <w:szCs w:val="32"/>
        </w:rPr>
        <w:fldChar w:fldCharType="end"/>
      </w:r>
      <w:r>
        <w:rPr>
          <w:rFonts w:hint="eastAsia" w:ascii="仿宋" w:hAnsi="仿宋" w:eastAsia="仿宋" w:cs="楷体"/>
          <w:sz w:val="32"/>
          <w:szCs w:val="32"/>
        </w:rPr>
        <w:t>开发，不断培育</w:t>
      </w:r>
      <w:r>
        <w:fldChar w:fldCharType="begin"/>
      </w:r>
      <w:r>
        <w:instrText xml:space="preserve"> HYPERLINK "http://www.so.com/s?q=%E5%B8%82%E5%9C%BA%E4%BD%93%E7%B3%BB&amp;ie=utf-8&amp;src=internal_wenda_recommend_textn" \t "https://wenda.so.com/q/_blank" </w:instrText>
      </w:r>
      <w:r>
        <w:fldChar w:fldCharType="separate"/>
      </w:r>
      <w:r>
        <w:rPr>
          <w:rFonts w:hint="eastAsia" w:ascii="仿宋" w:hAnsi="仿宋" w:eastAsia="仿宋" w:cs="楷体"/>
          <w:sz w:val="32"/>
          <w:szCs w:val="32"/>
        </w:rPr>
        <w:t>市场体系</w:t>
      </w:r>
      <w:r>
        <w:rPr>
          <w:rFonts w:hint="eastAsia" w:ascii="仿宋" w:hAnsi="仿宋" w:eastAsia="仿宋" w:cs="楷体"/>
          <w:sz w:val="32"/>
          <w:szCs w:val="32"/>
        </w:rPr>
        <w:fldChar w:fldCharType="end"/>
      </w:r>
      <w:r>
        <w:rPr>
          <w:rFonts w:hint="eastAsia" w:ascii="仿宋" w:hAnsi="仿宋" w:eastAsia="仿宋" w:cs="楷体"/>
          <w:sz w:val="32"/>
          <w:szCs w:val="32"/>
        </w:rPr>
        <w:t>，组织经济运行，促进经济发展，全面提高人民群众的生活水平和生活质量。</w:t>
      </w:r>
    </w:p>
    <w:p>
      <w:pPr>
        <w:rPr>
          <w:rFonts w:ascii="仿宋" w:hAnsi="仿宋" w:eastAsia="仿宋" w:cs="楷体"/>
          <w:sz w:val="32"/>
          <w:szCs w:val="32"/>
        </w:rPr>
      </w:pPr>
      <w:r>
        <w:rPr>
          <w:rFonts w:hint="eastAsia" w:ascii="仿宋" w:hAnsi="仿宋" w:eastAsia="仿宋" w:cs="楷体"/>
          <w:sz w:val="32"/>
          <w:szCs w:val="32"/>
        </w:rPr>
        <w:t>　  3、制定并组织实施村镇建设</w:t>
      </w:r>
      <w:r>
        <w:fldChar w:fldCharType="begin"/>
      </w:r>
      <w:r>
        <w:instrText xml:space="preserve"> HYPERLINK "http://www.so.com/s?q=%E8%A7%84%E5%88%92&amp;ie=utf-8&amp;src=internal_wenda_recommend_textn" \t "https://wenda.so.com/q/_blank" </w:instrText>
      </w:r>
      <w:r>
        <w:fldChar w:fldCharType="separate"/>
      </w:r>
      <w:r>
        <w:rPr>
          <w:rFonts w:hint="eastAsia" w:ascii="仿宋" w:hAnsi="仿宋" w:eastAsia="仿宋" w:cs="楷体"/>
          <w:sz w:val="32"/>
          <w:szCs w:val="32"/>
        </w:rPr>
        <w:t>规划</w:t>
      </w:r>
      <w:r>
        <w:rPr>
          <w:rFonts w:hint="eastAsia" w:ascii="仿宋" w:hAnsi="仿宋" w:eastAsia="仿宋" w:cs="楷体"/>
          <w:sz w:val="32"/>
          <w:szCs w:val="32"/>
        </w:rPr>
        <w:fldChar w:fldCharType="end"/>
      </w:r>
      <w:r>
        <w:rPr>
          <w:rFonts w:hint="eastAsia" w:ascii="仿宋" w:hAnsi="仿宋" w:eastAsia="仿宋" w:cs="楷体"/>
          <w:sz w:val="32"/>
          <w:szCs w:val="32"/>
        </w:rPr>
        <w:t>，部署重点工程建设，地方道路建设及</w:t>
      </w:r>
      <w:r>
        <w:fldChar w:fldCharType="begin"/>
      </w:r>
      <w:r>
        <w:instrText xml:space="preserve"> HYPERLINK "http://www.so.com/s?q=%E5%85%AC%E5%85%B1%E8%AE%BE%E6%96%BD&amp;ie=utf-8&amp;src=internal_wenda_recommend_textn" \t "https://wenda.so.com/q/_blank" </w:instrText>
      </w:r>
      <w:r>
        <w:fldChar w:fldCharType="separate"/>
      </w:r>
      <w:r>
        <w:rPr>
          <w:rFonts w:hint="eastAsia" w:ascii="仿宋" w:hAnsi="仿宋" w:eastAsia="仿宋" w:cs="楷体"/>
          <w:sz w:val="32"/>
          <w:szCs w:val="32"/>
        </w:rPr>
        <w:t>公共设施</w:t>
      </w:r>
      <w:r>
        <w:rPr>
          <w:rFonts w:hint="eastAsia" w:ascii="仿宋" w:hAnsi="仿宋" w:eastAsia="仿宋" w:cs="楷体"/>
          <w:sz w:val="32"/>
          <w:szCs w:val="32"/>
        </w:rPr>
        <w:fldChar w:fldCharType="end"/>
      </w:r>
      <w:r>
        <w:rPr>
          <w:rFonts w:hint="eastAsia" w:ascii="仿宋" w:hAnsi="仿宋" w:eastAsia="仿宋" w:cs="楷体"/>
          <w:sz w:val="32"/>
          <w:szCs w:val="32"/>
        </w:rPr>
        <w:t>，</w:t>
      </w:r>
      <w:r>
        <w:fldChar w:fldCharType="begin"/>
      </w:r>
      <w:r>
        <w:instrText xml:space="preserve"> HYPERLINK "http://www.so.com/s?q=%E6%B0%B4%E5%88%A9%E8%AE%BE%E6%96%BD&amp;ie=utf-8&amp;src=internal_wenda_recommend_textn" \t "https://wenda.so.com/q/_blank" </w:instrText>
      </w:r>
      <w:r>
        <w:fldChar w:fldCharType="separate"/>
      </w:r>
      <w:r>
        <w:rPr>
          <w:rFonts w:hint="eastAsia" w:ascii="仿宋" w:hAnsi="仿宋" w:eastAsia="仿宋" w:cs="楷体"/>
          <w:sz w:val="32"/>
          <w:szCs w:val="32"/>
        </w:rPr>
        <w:t>水利设施</w:t>
      </w:r>
      <w:r>
        <w:rPr>
          <w:rFonts w:hint="eastAsia" w:ascii="仿宋" w:hAnsi="仿宋" w:eastAsia="仿宋" w:cs="楷体"/>
          <w:sz w:val="32"/>
          <w:szCs w:val="32"/>
        </w:rPr>
        <w:fldChar w:fldCharType="end"/>
      </w:r>
      <w:r>
        <w:rPr>
          <w:rFonts w:hint="eastAsia" w:ascii="仿宋" w:hAnsi="仿宋" w:eastAsia="仿宋" w:cs="楷体"/>
          <w:sz w:val="32"/>
          <w:szCs w:val="32"/>
        </w:rPr>
        <w:t>的管理，负责</w:t>
      </w:r>
      <w:r>
        <w:fldChar w:fldCharType="begin"/>
      </w:r>
      <w:r>
        <w:instrText xml:space="preserve"> HYPERLINK "http://www.so.com/s?q=%E5%9C%9F%E5%9C%B0&amp;ie=utf-8&amp;src=internal_wenda_recommend_textn" \t "https://wenda.so.com/q/_blank" </w:instrText>
      </w:r>
      <w:r>
        <w:fldChar w:fldCharType="separate"/>
      </w:r>
      <w:r>
        <w:rPr>
          <w:rFonts w:hint="eastAsia" w:ascii="仿宋" w:hAnsi="仿宋" w:eastAsia="仿宋" w:cs="楷体"/>
          <w:sz w:val="32"/>
          <w:szCs w:val="32"/>
        </w:rPr>
        <w:t>土地</w:t>
      </w:r>
      <w:r>
        <w:rPr>
          <w:rFonts w:hint="eastAsia" w:ascii="仿宋" w:hAnsi="仿宋" w:eastAsia="仿宋" w:cs="楷体"/>
          <w:sz w:val="32"/>
          <w:szCs w:val="32"/>
        </w:rPr>
        <w:fldChar w:fldCharType="end"/>
      </w:r>
      <w:r>
        <w:rPr>
          <w:rFonts w:hint="eastAsia" w:ascii="仿宋" w:hAnsi="仿宋" w:eastAsia="仿宋" w:cs="楷体"/>
          <w:sz w:val="32"/>
          <w:szCs w:val="32"/>
        </w:rPr>
        <w:t>、林木、水等自然资源和</w:t>
      </w:r>
      <w:r>
        <w:fldChar w:fldCharType="begin"/>
      </w:r>
      <w:r>
        <w:instrText xml:space="preserve"> HYPERLINK "http://www.so.com/s?q=%E7%94%9F%E6%80%81%E7%8E%AF%E5%A2%83&amp;ie=utf-8&amp;src=internal_wenda_recommend_textn" \t "https://wenda.so.com/q/_blank" </w:instrText>
      </w:r>
      <w:r>
        <w:fldChar w:fldCharType="separate"/>
      </w:r>
      <w:r>
        <w:rPr>
          <w:rFonts w:hint="eastAsia" w:ascii="仿宋" w:hAnsi="仿宋" w:eastAsia="仿宋" w:cs="楷体"/>
          <w:sz w:val="32"/>
          <w:szCs w:val="32"/>
        </w:rPr>
        <w:t>生态环境</w:t>
      </w:r>
      <w:r>
        <w:rPr>
          <w:rFonts w:hint="eastAsia" w:ascii="仿宋" w:hAnsi="仿宋" w:eastAsia="仿宋" w:cs="楷体"/>
          <w:sz w:val="32"/>
          <w:szCs w:val="32"/>
        </w:rPr>
        <w:fldChar w:fldCharType="end"/>
      </w:r>
      <w:r>
        <w:rPr>
          <w:rFonts w:hint="eastAsia" w:ascii="仿宋" w:hAnsi="仿宋" w:eastAsia="仿宋" w:cs="楷体"/>
          <w:sz w:val="32"/>
          <w:szCs w:val="32"/>
        </w:rPr>
        <w:t>的保护，做好护林防火工作。 </w:t>
      </w:r>
      <w:r>
        <w:rPr>
          <w:rFonts w:hint="eastAsia" w:ascii="仿宋" w:hAnsi="仿宋" w:eastAsia="仿宋" w:cs="楷体"/>
          <w:sz w:val="32"/>
          <w:szCs w:val="32"/>
        </w:rPr>
        <w:br w:type="textWrapping"/>
      </w:r>
      <w:r>
        <w:rPr>
          <w:rFonts w:hint="eastAsia" w:ascii="仿宋" w:hAnsi="仿宋" w:eastAsia="仿宋" w:cs="楷体"/>
          <w:sz w:val="32"/>
          <w:szCs w:val="32"/>
        </w:rPr>
        <w:t xml:space="preserve">    4、承担国有资产、集体资产管理、监督及增值保值责任</w:t>
      </w:r>
      <w:r>
        <w:rPr>
          <w:rFonts w:hint="eastAsia" w:ascii="仿宋" w:hAnsi="仿宋" w:eastAsia="仿宋" w:cs="楷体"/>
          <w:sz w:val="32"/>
          <w:szCs w:val="32"/>
          <w:highlight w:val="none"/>
          <w:lang w:eastAsia="zh-CN"/>
        </w:rPr>
        <w:t>；</w:t>
      </w:r>
      <w:r>
        <w:rPr>
          <w:rFonts w:hint="eastAsia" w:ascii="仿宋" w:hAnsi="仿宋" w:eastAsia="仿宋" w:cs="楷体"/>
          <w:sz w:val="32"/>
          <w:szCs w:val="32"/>
        </w:rPr>
        <w:t>保护公民私人所有合法财产，保障集体经济组织应有的自主权</w:t>
      </w:r>
      <w:r>
        <w:rPr>
          <w:rFonts w:hint="eastAsia" w:ascii="仿宋" w:hAnsi="仿宋" w:eastAsia="仿宋" w:cs="楷体"/>
          <w:sz w:val="32"/>
          <w:szCs w:val="32"/>
          <w:highlight w:val="none"/>
          <w:lang w:eastAsia="zh-CN"/>
        </w:rPr>
        <w:t>；</w:t>
      </w:r>
      <w:r>
        <w:rPr>
          <w:rFonts w:hint="eastAsia" w:ascii="仿宋" w:hAnsi="仿宋" w:eastAsia="仿宋" w:cs="楷体"/>
          <w:sz w:val="32"/>
          <w:szCs w:val="32"/>
        </w:rPr>
        <w:t>监督企业和各种经济联合体、个体户认真执行国家的法律、法令和政策，履行经济合同。 </w:t>
      </w:r>
    </w:p>
    <w:p>
      <w:pPr>
        <w:rPr>
          <w:rFonts w:ascii="仿宋" w:hAnsi="仿宋" w:eastAsia="仿宋" w:cs="楷体"/>
          <w:sz w:val="32"/>
          <w:szCs w:val="32"/>
        </w:rPr>
      </w:pPr>
      <w:r>
        <w:rPr>
          <w:rFonts w:hint="eastAsia" w:ascii="仿宋" w:hAnsi="仿宋" w:eastAsia="仿宋" w:cs="楷体"/>
          <w:sz w:val="32"/>
          <w:szCs w:val="32"/>
        </w:rPr>
        <w:t xml:space="preserve">    5、开展社会主义民主和法制的宣传教育，保障公民的权利</w:t>
      </w:r>
      <w:r>
        <w:rPr>
          <w:rFonts w:hint="eastAsia" w:ascii="仿宋" w:hAnsi="仿宋" w:eastAsia="仿宋" w:cs="楷体"/>
          <w:sz w:val="32"/>
          <w:szCs w:val="32"/>
          <w:highlight w:val="none"/>
          <w:lang w:eastAsia="zh-CN"/>
        </w:rPr>
        <w:t>；</w:t>
      </w:r>
      <w:r>
        <w:rPr>
          <w:rFonts w:hint="eastAsia" w:ascii="仿宋" w:hAnsi="仿宋" w:eastAsia="仿宋" w:cs="楷体"/>
          <w:sz w:val="32"/>
          <w:szCs w:val="32"/>
        </w:rPr>
        <w:t>制定社会治安综合治理工作规划并组织实施</w:t>
      </w:r>
      <w:r>
        <w:rPr>
          <w:rFonts w:hint="eastAsia" w:ascii="仿宋" w:hAnsi="仿宋" w:eastAsia="仿宋" w:cs="楷体"/>
          <w:sz w:val="32"/>
          <w:szCs w:val="32"/>
          <w:highlight w:val="none"/>
          <w:lang w:eastAsia="zh-CN"/>
        </w:rPr>
        <w:t>；</w:t>
      </w:r>
      <w:r>
        <w:rPr>
          <w:rFonts w:hint="eastAsia" w:ascii="仿宋" w:hAnsi="仿宋" w:eastAsia="仿宋" w:cs="楷体"/>
          <w:sz w:val="32"/>
          <w:szCs w:val="32"/>
        </w:rPr>
        <w:t>加强社区管理工作，依法管理外来流动人口，处理人民来信来访，调解民间纠纷，打击违法犯罪，维护社会稳定。 </w:t>
      </w:r>
      <w:r>
        <w:rPr>
          <w:rFonts w:hint="eastAsia" w:ascii="仿宋" w:hAnsi="仿宋" w:eastAsia="仿宋" w:cs="楷体"/>
          <w:sz w:val="32"/>
          <w:szCs w:val="32"/>
        </w:rPr>
        <w:br w:type="textWrapping"/>
      </w:r>
      <w:r>
        <w:rPr>
          <w:rFonts w:hint="eastAsia" w:ascii="仿宋" w:hAnsi="仿宋" w:eastAsia="仿宋" w:cs="楷体"/>
          <w:sz w:val="32"/>
          <w:szCs w:val="32"/>
        </w:rPr>
        <w:t xml:space="preserve">    6、制定社会各项事业发展计划，发展教育、卫生、科技、民政、广播电视、文化、体育事业</w:t>
      </w:r>
      <w:r>
        <w:rPr>
          <w:rFonts w:hint="eastAsia" w:ascii="仿宋" w:hAnsi="仿宋" w:eastAsia="仿宋" w:cs="楷体"/>
          <w:sz w:val="32"/>
          <w:szCs w:val="32"/>
          <w:highlight w:val="none"/>
          <w:lang w:eastAsia="zh-CN"/>
        </w:rPr>
        <w:t>；</w:t>
      </w:r>
      <w:r>
        <w:rPr>
          <w:rFonts w:hint="eastAsia" w:ascii="仿宋" w:hAnsi="仿宋" w:eastAsia="仿宋" w:cs="楷体"/>
          <w:sz w:val="32"/>
          <w:szCs w:val="32"/>
        </w:rPr>
        <w:t>组织实施义务教育和其他各类教育</w:t>
      </w:r>
      <w:r>
        <w:rPr>
          <w:rFonts w:hint="eastAsia" w:ascii="仿宋" w:hAnsi="仿宋" w:eastAsia="仿宋" w:cs="楷体"/>
          <w:sz w:val="32"/>
          <w:szCs w:val="32"/>
          <w:highlight w:val="none"/>
          <w:lang w:eastAsia="zh-CN"/>
        </w:rPr>
        <w:t>；</w:t>
      </w:r>
      <w:r>
        <w:rPr>
          <w:rFonts w:hint="eastAsia" w:ascii="仿宋" w:hAnsi="仿宋" w:eastAsia="仿宋" w:cs="楷体"/>
          <w:sz w:val="32"/>
          <w:szCs w:val="32"/>
        </w:rPr>
        <w:t>加强计划生育工作</w:t>
      </w:r>
      <w:r>
        <w:rPr>
          <w:rFonts w:hint="eastAsia" w:ascii="仿宋" w:hAnsi="仿宋" w:eastAsia="仿宋" w:cs="楷体"/>
          <w:sz w:val="32"/>
          <w:szCs w:val="32"/>
          <w:highlight w:val="none"/>
          <w:lang w:eastAsia="zh-CN"/>
        </w:rPr>
        <w:t>；</w:t>
      </w:r>
      <w:r>
        <w:rPr>
          <w:rFonts w:hint="eastAsia" w:ascii="仿宋" w:hAnsi="仿宋" w:eastAsia="仿宋" w:cs="楷体"/>
          <w:sz w:val="32"/>
          <w:szCs w:val="32"/>
        </w:rPr>
        <w:t>推进社会保障、社会福利事业和养老保险工作</w:t>
      </w:r>
      <w:r>
        <w:rPr>
          <w:rFonts w:hint="eastAsia" w:ascii="仿宋" w:hAnsi="仿宋" w:eastAsia="仿宋" w:cs="楷体"/>
          <w:sz w:val="32"/>
          <w:szCs w:val="32"/>
          <w:highlight w:val="none"/>
          <w:lang w:eastAsia="zh-CN"/>
        </w:rPr>
        <w:t>；</w:t>
      </w:r>
      <w:r>
        <w:rPr>
          <w:rFonts w:hint="eastAsia" w:ascii="仿宋" w:hAnsi="仿宋" w:eastAsia="仿宋" w:cs="楷体"/>
          <w:sz w:val="32"/>
          <w:szCs w:val="32"/>
        </w:rPr>
        <w:t>做好劳动管理、科普、老龄及宗教、侨务等工作。 </w:t>
      </w:r>
      <w:r>
        <w:rPr>
          <w:rFonts w:hint="eastAsia" w:ascii="仿宋" w:hAnsi="仿宋" w:eastAsia="仿宋" w:cs="楷体"/>
          <w:sz w:val="32"/>
          <w:szCs w:val="32"/>
        </w:rPr>
        <w:br w:type="textWrapping"/>
      </w:r>
      <w:r>
        <w:rPr>
          <w:rFonts w:hint="eastAsia" w:ascii="仿宋" w:hAnsi="仿宋" w:eastAsia="仿宋" w:cs="楷体"/>
          <w:sz w:val="32"/>
          <w:szCs w:val="32"/>
        </w:rPr>
        <w:t xml:space="preserve">    7、加强镇级财政的监督和管理，按计划组织、管理镇财政收入和支出，执行国家有关财经纪律和政策，保证国家财政收入的完成</w:t>
      </w:r>
      <w:r>
        <w:rPr>
          <w:rFonts w:hint="eastAsia" w:ascii="仿宋" w:hAnsi="仿宋" w:eastAsia="仿宋" w:cs="楷体"/>
          <w:sz w:val="32"/>
          <w:szCs w:val="32"/>
          <w:highlight w:val="none"/>
          <w:lang w:eastAsia="zh-CN"/>
        </w:rPr>
        <w:t>；</w:t>
      </w:r>
      <w:r>
        <w:rPr>
          <w:rFonts w:hint="eastAsia" w:ascii="仿宋" w:hAnsi="仿宋" w:eastAsia="仿宋" w:cs="楷体"/>
          <w:sz w:val="32"/>
          <w:szCs w:val="32"/>
        </w:rPr>
        <w:t>做好统计工作。 </w:t>
      </w:r>
      <w:r>
        <w:rPr>
          <w:rFonts w:hint="eastAsia" w:ascii="仿宋" w:hAnsi="仿宋" w:eastAsia="仿宋" w:cs="楷体"/>
          <w:sz w:val="32"/>
          <w:szCs w:val="32"/>
        </w:rPr>
        <w:br w:type="textWrapping"/>
      </w:r>
      <w:r>
        <w:rPr>
          <w:rFonts w:hint="eastAsia" w:ascii="仿宋" w:hAnsi="仿宋" w:eastAsia="仿宋" w:cs="楷体"/>
          <w:sz w:val="32"/>
          <w:szCs w:val="32"/>
        </w:rPr>
        <w:t xml:space="preserve">    8、指导、支持、帮助村</w:t>
      </w:r>
      <w:r>
        <w:rPr>
          <w:rFonts w:hint="eastAsia" w:ascii="仿宋" w:hAnsi="仿宋" w:eastAsia="仿宋" w:cs="楷体"/>
          <w:sz w:val="32"/>
          <w:szCs w:val="32"/>
          <w:highlight w:val="none"/>
          <w:lang w:eastAsia="zh-CN"/>
        </w:rPr>
        <w:t>（</w:t>
      </w:r>
      <w:r>
        <w:rPr>
          <w:rFonts w:hint="eastAsia" w:ascii="仿宋" w:hAnsi="仿宋" w:eastAsia="仿宋" w:cs="楷体"/>
          <w:sz w:val="32"/>
          <w:szCs w:val="32"/>
        </w:rPr>
        <w:t>居</w:t>
      </w:r>
      <w:r>
        <w:rPr>
          <w:rFonts w:hint="eastAsia" w:ascii="仿宋" w:hAnsi="仿宋" w:eastAsia="仿宋" w:cs="楷体"/>
          <w:sz w:val="32"/>
          <w:szCs w:val="32"/>
          <w:highlight w:val="none"/>
          <w:lang w:eastAsia="zh-CN"/>
        </w:rPr>
        <w:t>）</w:t>
      </w:r>
      <w:r>
        <w:rPr>
          <w:rFonts w:hint="eastAsia" w:ascii="仿宋" w:hAnsi="仿宋" w:eastAsia="仿宋" w:cs="楷体"/>
          <w:sz w:val="32"/>
          <w:szCs w:val="32"/>
        </w:rPr>
        <w:t>民委员会的组织制度建设和业务建设，促进村</w:t>
      </w:r>
      <w:r>
        <w:rPr>
          <w:rFonts w:hint="eastAsia" w:ascii="仿宋" w:hAnsi="仿宋" w:eastAsia="仿宋" w:cs="楷体"/>
          <w:sz w:val="32"/>
          <w:szCs w:val="32"/>
          <w:highlight w:val="none"/>
          <w:lang w:eastAsia="zh-CN"/>
        </w:rPr>
        <w:t>（</w:t>
      </w:r>
      <w:r>
        <w:rPr>
          <w:rFonts w:hint="eastAsia" w:ascii="仿宋" w:hAnsi="仿宋" w:eastAsia="仿宋" w:cs="楷体"/>
          <w:sz w:val="32"/>
          <w:szCs w:val="32"/>
        </w:rPr>
        <w:t>居</w:t>
      </w:r>
      <w:r>
        <w:rPr>
          <w:rFonts w:hint="eastAsia" w:ascii="仿宋" w:hAnsi="仿宋" w:eastAsia="仿宋" w:cs="楷体"/>
          <w:sz w:val="32"/>
          <w:szCs w:val="32"/>
          <w:highlight w:val="none"/>
          <w:lang w:eastAsia="zh-CN"/>
        </w:rPr>
        <w:t>）</w:t>
      </w:r>
      <w:r>
        <w:rPr>
          <w:rFonts w:hint="eastAsia" w:ascii="仿宋" w:hAnsi="仿宋" w:eastAsia="仿宋" w:cs="楷体"/>
          <w:sz w:val="32"/>
          <w:szCs w:val="32"/>
        </w:rPr>
        <w:t>民委员会民主自治。 </w:t>
      </w:r>
      <w:r>
        <w:rPr>
          <w:rFonts w:hint="eastAsia" w:ascii="仿宋" w:hAnsi="仿宋" w:eastAsia="仿宋" w:cs="楷体"/>
          <w:sz w:val="32"/>
          <w:szCs w:val="32"/>
        </w:rPr>
        <w:br w:type="textWrapping"/>
      </w:r>
      <w:r>
        <w:rPr>
          <w:rFonts w:hint="eastAsia" w:ascii="仿宋" w:hAnsi="仿宋" w:eastAsia="仿宋" w:cs="楷体"/>
          <w:sz w:val="32"/>
          <w:szCs w:val="32"/>
        </w:rPr>
        <w:t xml:space="preserve">    9、协助和支持设置在本行政区域内不隶属于镇的国家机关和企事业单位工作，监督其遵守和执行国家的法律、法规和政策。</w:t>
      </w:r>
    </w:p>
    <w:p>
      <w:pPr>
        <w:ind w:firstLine="640" w:firstLineChars="200"/>
        <w:rPr>
          <w:rFonts w:ascii="仿宋" w:hAnsi="仿宋" w:eastAsia="仿宋" w:cs="仿宋_GB2312"/>
          <w:sz w:val="32"/>
          <w:szCs w:val="32"/>
        </w:rPr>
      </w:pPr>
      <w:r>
        <w:rPr>
          <w:rFonts w:hint="eastAsia" w:ascii="仿宋" w:hAnsi="仿宋" w:eastAsia="仿宋" w:cs="楷体"/>
          <w:sz w:val="32"/>
          <w:szCs w:val="32"/>
        </w:rPr>
        <w:t>10、完成县委、县政府交办的其他工作。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楷体"/>
          <w:bCs/>
          <w:sz w:val="32"/>
          <w:szCs w:val="32"/>
        </w:rPr>
        <w:t>单位行政事业编制172人；行政编制19人，事业编制153人（其中：小学教育51人，中学教育65人，乡镇卫生院11人，泥溪镇人民政府45人），单位实有人数169人，行政实有人数17人，事业实有人数152人（其中：小学教育51人，中学教育64人，乡镇卫生院11人，泥溪镇人民政府43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2018年度收入总计3654.14万元。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olor w:val="000000"/>
          <w:sz w:val="32"/>
          <w:szCs w:val="32"/>
        </w:rPr>
        <w:t>2018年度支出总计3641.64万元，年末结转和结余12.50万元。</w:t>
      </w:r>
    </w:p>
    <w:p>
      <w:pPr>
        <w:numPr>
          <w:ilvl w:val="0"/>
          <w:numId w:val="2"/>
        </w:numPr>
        <w:spacing w:line="580" w:lineRule="exact"/>
        <w:rPr>
          <w:rFonts w:ascii="仿宋" w:hAnsi="仿宋" w:eastAsia="仿宋" w:cs="仿宋_GB2312"/>
          <w:sz w:val="32"/>
          <w:szCs w:val="32"/>
        </w:rPr>
      </w:pPr>
      <w:r>
        <w:rPr>
          <w:rFonts w:ascii="黑体" w:hAnsi="黑体" w:eastAsia="黑体" w:cs="黑体"/>
          <w:sz w:val="32"/>
          <w:szCs w:val="32"/>
        </w:rPr>
        <w:t>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1、严格预算管理，用活用好预算资金；</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2、保障民生稳定，确保民生项目资金的兑现；</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3、严控“三公”经费，保障机关正常运行的情况下，紧缩公用经费支出；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4、严格政府采购程序，确保正常办公。</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5、保障村民委员会和村党支部经费，实现基层组织正常开展工作。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w:t>
      </w:r>
      <w:r>
        <w:rPr>
          <w:rFonts w:hint="eastAsia" w:ascii="仿宋" w:hAnsi="仿宋" w:eastAsia="仿宋" w:cs="仿宋_GB2312"/>
          <w:sz w:val="32"/>
          <w:szCs w:val="32"/>
        </w:rPr>
        <w:t>保民生、稳定</w:t>
      </w:r>
      <w:r>
        <w:rPr>
          <w:rFonts w:ascii="仿宋" w:hAnsi="仿宋" w:eastAsia="仿宋" w:cs="仿宋_GB2312"/>
          <w:sz w:val="32"/>
          <w:szCs w:val="32"/>
        </w:rPr>
        <w:t>、</w:t>
      </w:r>
      <w:r>
        <w:rPr>
          <w:rFonts w:hint="eastAsia" w:ascii="仿宋" w:hAnsi="仿宋" w:eastAsia="仿宋" w:cs="仿宋_GB2312"/>
          <w:sz w:val="32"/>
          <w:szCs w:val="32"/>
        </w:rPr>
        <w:t>安排</w:t>
      </w:r>
      <w:r>
        <w:rPr>
          <w:rFonts w:ascii="仿宋" w:hAnsi="仿宋" w:eastAsia="仿宋" w:cs="仿宋_GB2312"/>
          <w:sz w:val="32"/>
          <w:szCs w:val="32"/>
        </w:rPr>
        <w:t>合理、专项预算绩效目标</w:t>
      </w:r>
      <w:r>
        <w:rPr>
          <w:rFonts w:hint="eastAsia" w:ascii="仿宋" w:hAnsi="仿宋" w:eastAsia="仿宋" w:cs="仿宋_GB2312"/>
          <w:sz w:val="32"/>
          <w:szCs w:val="32"/>
        </w:rPr>
        <w:t>较好。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w:t>
      </w:r>
      <w:r>
        <w:rPr>
          <w:rFonts w:hint="eastAsia" w:ascii="仿宋" w:hAnsi="仿宋" w:eastAsia="仿宋" w:cs="仿宋_GB2312"/>
          <w:sz w:val="32"/>
          <w:szCs w:val="32"/>
        </w:rPr>
        <w:t>结果良好</w:t>
      </w:r>
      <w:r>
        <w:rPr>
          <w:rFonts w:ascii="仿宋" w:hAnsi="仿宋" w:eastAsia="仿宋" w:cs="仿宋_GB2312"/>
          <w:sz w:val="32"/>
          <w:szCs w:val="32"/>
        </w:rPr>
        <w:t>、</w:t>
      </w:r>
      <w:r>
        <w:rPr>
          <w:rFonts w:hint="eastAsia" w:ascii="仿宋" w:hAnsi="仿宋" w:eastAsia="仿宋" w:cs="仿宋_GB2312"/>
          <w:sz w:val="32"/>
          <w:szCs w:val="32"/>
        </w:rPr>
        <w:t>按照相关规定进行</w:t>
      </w:r>
      <w:r>
        <w:rPr>
          <w:rFonts w:ascii="仿宋" w:hAnsi="仿宋" w:eastAsia="仿宋" w:cs="仿宋_GB2312"/>
          <w:sz w:val="32"/>
          <w:szCs w:val="32"/>
        </w:rPr>
        <w:t>绩效目标公开</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通过对泥溪镇人民政府整体支出绩效评价，年末，全面完成年初目标，预算执行进度与预算目标进度一致。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项目资金规模小。农村基础条件差，特别是路、水等建设还需进一步加大投入力度，但项目资金安排小，力不从心。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（三）改进建议。</w:t>
      </w:r>
    </w:p>
    <w:p>
      <w:pPr>
        <w:widowControl/>
        <w:ind w:firstLine="640" w:firstLineChars="200"/>
        <w:jc w:val="left"/>
        <w:rPr>
          <w:rFonts w:ascii="仿宋_GB2312" w:hAnsi="仿宋_GB2312" w:eastAsia="仿宋_GB2312" w:cs="仿宋_GB2312"/>
          <w:sz w:val="32"/>
          <w:szCs w:val="32"/>
        </w:rPr>
      </w:pPr>
      <w:r>
        <w:rPr>
          <w:rFonts w:hint="eastAsia" w:ascii="仿宋" w:hAnsi="仿宋" w:eastAsia="仿宋" w:cs="仿宋_GB2312"/>
          <w:sz w:val="32"/>
          <w:szCs w:val="32"/>
        </w:rPr>
        <w:t>加大项目资金投入力度，特别是农村基础设施建设项目资金，确保项目高质量、高标准完工，切实改变农村基础设施条件。</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5" w:name="_Toc15396617"/>
      <w:r>
        <w:rPr>
          <w:rStyle w:val="25"/>
          <w:rFonts w:hint="eastAsia" w:ascii="仿宋" w:hAnsi="仿宋" w:eastAsia="仿宋"/>
          <w:b w:val="0"/>
          <w:bCs w:val="0"/>
          <w:sz w:val="32"/>
          <w:szCs w:val="32"/>
        </w:rPr>
        <w:t>附件2</w:t>
      </w:r>
      <w:bookmarkEnd w:id="65"/>
    </w:p>
    <w:p>
      <w:pPr>
        <w:pStyle w:val="30"/>
        <w:spacing w:line="52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泥溪镇2014新一轮退耕还林资金</w:t>
      </w:r>
    </w:p>
    <w:p>
      <w:pPr>
        <w:pStyle w:val="30"/>
        <w:spacing w:line="52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绩效自评报告</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根据《通江县财政局关于全面实施预算绩效管理的通知》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通财预〔2019〕4号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文件精神，对我镇2018年度项目支出专项资金绩效进行了全面综合评价。现将具体情况报告如下：</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rPr>
        <w:t>总人口130560人，其中农业人口10560人，非农业人口3000人；辖10个村，1个居民委员会，54个农业合作社，4个居民小组；纳入预算管理的镇级行政事业单位13个。在保证耕地红线的基础上，实施退耕还林政策，建设绿水青山。</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（一）资金使用。</w:t>
      </w:r>
      <w:r>
        <w:rPr>
          <w:rFonts w:hint="eastAsia" w:ascii="仿宋_GB2312" w:hAnsi="仿宋_GB2312" w:eastAsia="仿宋_GB2312" w:cs="仿宋_GB2312"/>
          <w:sz w:val="32"/>
          <w:szCs w:val="32"/>
        </w:rPr>
        <w:t>2014年新一轮退耕还林资金471200元，按照要求支付1200元补偿款，分别为第一年300元/亩、第二年500元/亩、400元/亩，退耕还林资金全部用于退耕还林补贴，并与预算相符。</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（二）组织实施情况。</w:t>
      </w:r>
      <w:r>
        <w:rPr>
          <w:rFonts w:hint="eastAsia" w:ascii="仿宋_GB2312" w:hAnsi="仿宋_GB2312" w:eastAsia="仿宋_GB2312" w:cs="仿宋_GB2312"/>
          <w:sz w:val="32"/>
          <w:szCs w:val="32"/>
        </w:rPr>
        <w:t>退耕还林资金按照政策兑现补偿要求为：第一年300元/亩、第二年500元/亩、400元/亩。</w:t>
      </w:r>
    </w:p>
    <w:p>
      <w:pPr>
        <w:adjustRightInd w:val="0"/>
        <w:snapToGrid w:val="0"/>
        <w:spacing w:line="52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20" w:lineRule="exact"/>
        <w:ind w:firstLine="720"/>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lang w:val="zh-CN"/>
        </w:rPr>
        <w:t>（一）目标任务量完成情况。</w:t>
      </w:r>
      <w:r>
        <w:rPr>
          <w:rFonts w:hint="eastAsia" w:ascii="仿宋_GB2312" w:hAnsi="仿宋_GB2312" w:eastAsia="仿宋_GB2312" w:cs="仿宋_GB2312"/>
          <w:sz w:val="32"/>
          <w:szCs w:val="32"/>
        </w:rPr>
        <w:t>2014年新一轮退耕还林资金2018年部分全部兑付完成。</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（二）目标质量完成情况。</w:t>
      </w:r>
      <w:r>
        <w:rPr>
          <w:rFonts w:hint="eastAsia" w:ascii="仿宋_GB2312" w:hAnsi="仿宋_GB2312" w:eastAsia="仿宋_GB2312" w:cs="仿宋_GB2312"/>
          <w:sz w:val="32"/>
          <w:szCs w:val="32"/>
        </w:rPr>
        <w:t>2014年新一轮退耕还林有3个村完成验收，余下村为及时验收或验收不合格。</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2014年新一轮退耕还林实施以来，泥溪镇绿化面积大幅度增加，为环境绿化奠基了基础，保证了绿水青山的顺利落实。</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2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（一）存在的问题。</w:t>
      </w:r>
      <w:r>
        <w:rPr>
          <w:rFonts w:hint="eastAsia" w:ascii="仿宋_GB2312" w:hAnsi="仿宋_GB2312" w:eastAsia="仿宋_GB2312" w:cs="仿宋_GB2312"/>
          <w:sz w:val="32"/>
          <w:szCs w:val="32"/>
        </w:rPr>
        <w:t>2014年新一轮退耕还林，</w:t>
      </w:r>
      <w:r>
        <w:rPr>
          <w:rFonts w:hint="eastAsia" w:ascii="仿宋_GB2312" w:hAnsi="仿宋_GB2312" w:eastAsia="仿宋_GB2312" w:cs="仿宋_GB2312"/>
          <w:sz w:val="32"/>
          <w:szCs w:val="32"/>
          <w:highlight w:val="none"/>
          <w:lang w:eastAsia="zh-CN"/>
        </w:rPr>
        <w:t>人有</w:t>
      </w:r>
      <w:r>
        <w:rPr>
          <w:rFonts w:hint="eastAsia" w:ascii="仿宋_GB2312" w:hAnsi="仿宋_GB2312" w:eastAsia="仿宋_GB2312" w:cs="仿宋_GB2312"/>
          <w:sz w:val="32"/>
          <w:szCs w:val="32"/>
        </w:rPr>
        <w:t>7个村为通过林业局验收。</w:t>
      </w:r>
    </w:p>
    <w:p>
      <w:pPr>
        <w:numPr>
          <w:ilvl w:val="0"/>
          <w:numId w:val="11"/>
        </w:num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相关建议。</w:t>
      </w:r>
      <w:r>
        <w:rPr>
          <w:rFonts w:hint="eastAsia" w:ascii="仿宋_GB2312" w:hAnsi="仿宋_GB2312" w:eastAsia="仿宋_GB2312" w:cs="仿宋_GB2312"/>
          <w:sz w:val="32"/>
          <w:szCs w:val="32"/>
        </w:rPr>
        <w:t>希望相关单位尽快组织验收，以实现退耕还林项目的顺利实施。</w:t>
      </w:r>
    </w:p>
    <w:p>
      <w:pPr>
        <w:adjustRightInd w:val="0"/>
        <w:snapToGrid w:val="0"/>
        <w:spacing w:line="520" w:lineRule="exact"/>
        <w:ind w:firstLine="640" w:firstLineChars="200"/>
        <w:rPr>
          <w:rFonts w:ascii="仿宋_GB2312" w:hAnsi="仿宋_GB2312" w:eastAsia="仿宋_GB2312" w:cs="仿宋_GB2312"/>
          <w:sz w:val="32"/>
          <w:szCs w:val="32"/>
        </w:rPr>
      </w:pPr>
    </w:p>
    <w:p>
      <w:pPr>
        <w:wordWrap w:val="0"/>
        <w:adjustRightInd w:val="0"/>
        <w:snapToGrid w:val="0"/>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泥溪镇2018年完善退耕还林政策补助资金绩效自评报告</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根据《通江县财政局关于全面实施预算绩效管理的通知》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通财预〔2019〕4号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文件精神，对我镇2018年度项目支出专项资金绩效进行了全面综合评价。现将具体情况报告如下：</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rPr>
        <w:t>总人口130560人，其中农业人口10560人，非农业人口3000人；辖10个村，1个居民委员会，54个农业合作社，4个居民小组；纳入预算管理的镇级行政事业单位13个。在保证耕地红线的基础上，实施退耕还林政策，建设绿水青山。</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CN"/>
        </w:rPr>
        <w:t>（一）资金使用。</w:t>
      </w:r>
      <w:r>
        <w:rPr>
          <w:rFonts w:hint="eastAsia" w:ascii="仿宋_GB2312" w:hAnsi="仿宋_GB2312" w:eastAsia="仿宋_GB2312" w:cs="仿宋_GB2312"/>
          <w:sz w:val="32"/>
          <w:szCs w:val="32"/>
        </w:rPr>
        <w:t>泥溪镇2018年完善退耕还林政策补助资金12500元，按照要求支付1200元补偿款，分别为第一年300元/亩、第二年500元/亩、400元/亩，退耕还林补助资金全部用于退耕还林补贴，并与预算相符。</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CN"/>
        </w:rPr>
        <w:t>（二）组织实施情况。</w:t>
      </w:r>
      <w:r>
        <w:rPr>
          <w:rFonts w:hint="eastAsia" w:ascii="仿宋_GB2312" w:hAnsi="仿宋_GB2312" w:eastAsia="仿宋_GB2312" w:cs="仿宋_GB2312"/>
          <w:sz w:val="32"/>
          <w:szCs w:val="32"/>
        </w:rPr>
        <w:t>退耕还林资金按照政策兑现补偿要求为：第一年300元/亩、第二年500元/亩、400元/亩。</w:t>
      </w:r>
    </w:p>
    <w:p>
      <w:pPr>
        <w:adjustRightInd w:val="0"/>
        <w:snapToGrid w:val="0"/>
        <w:spacing w:line="52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20" w:lineRule="exact"/>
        <w:ind w:firstLine="72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lang w:val="zh-CN"/>
        </w:rPr>
        <w:t>（一）目标任务量完成情况。</w:t>
      </w:r>
      <w:r>
        <w:rPr>
          <w:rFonts w:hint="eastAsia" w:ascii="仿宋_GB2312" w:hAnsi="仿宋_GB2312" w:eastAsia="仿宋_GB2312" w:cs="仿宋_GB2312"/>
          <w:sz w:val="32"/>
          <w:szCs w:val="32"/>
        </w:rPr>
        <w:t>2018年完善退耕还林政策补助资金2018年部分全部兑付完成。</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CN"/>
        </w:rPr>
        <w:t>（二）目标质量完成情况。</w:t>
      </w:r>
      <w:r>
        <w:rPr>
          <w:rFonts w:hint="eastAsia" w:ascii="仿宋_GB2312" w:hAnsi="仿宋_GB2312" w:eastAsia="仿宋_GB2312" w:cs="仿宋_GB2312"/>
          <w:sz w:val="32"/>
          <w:szCs w:val="32"/>
        </w:rPr>
        <w:t>2018年完善退耕还林政策补助资金补偿到位。</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2018年完善退耕还林政策补助资金实施以来，弥补了前期退耕还林资金兑付的不足。</w:t>
      </w:r>
    </w:p>
    <w:p>
      <w:pPr>
        <w:adjustRightInd w:val="0"/>
        <w:snapToGrid w:val="0"/>
        <w:spacing w:line="520" w:lineRule="exact"/>
        <w:ind w:firstLine="643" w:firstLineChars="200"/>
        <w:rPr>
          <w:rFonts w:ascii="仿宋_GB2312" w:hAnsi="仿宋_GB2312" w:eastAsia="仿宋_GB2312" w:cs="仿宋_GB2312"/>
          <w:b/>
          <w:sz w:val="32"/>
          <w:szCs w:val="32"/>
          <w:lang w:val="zh-CN"/>
        </w:rPr>
      </w:pPr>
    </w:p>
    <w:p>
      <w:pPr>
        <w:spacing w:line="580" w:lineRule="exact"/>
        <w:jc w:val="center"/>
        <w:rPr>
          <w:rFonts w:ascii="Adobe 仿宋 Std R" w:hAnsi="Adobe 仿宋 Std R" w:eastAsia="Adobe 仿宋 Std R" w:cs="Adobe 仿宋 Std R"/>
          <w:sz w:val="32"/>
          <w:szCs w:val="32"/>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pageBreakBefore/>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泥溪镇2018年耕地地力保护补贴资金</w:t>
      </w:r>
    </w:p>
    <w:p>
      <w:pPr>
        <w:pStyle w:val="3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绩效自评报告</w:t>
      </w:r>
    </w:p>
    <w:p>
      <w:pPr>
        <w:spacing w:line="520" w:lineRule="exact"/>
        <w:ind w:firstLine="640" w:firstLineChars="200"/>
        <w:rPr>
          <w:rFonts w:ascii="仿宋_GB2312" w:hAnsi="仿宋" w:eastAsia="仿宋_GB2312"/>
          <w:sz w:val="32"/>
          <w:szCs w:val="32"/>
        </w:rPr>
      </w:pP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根据《通江县财政局关于全面实施预算绩效管理的通知》</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rPr>
        <w:t>通财预〔2019〕4号</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rPr>
        <w:t>文件精神，对我镇2018年度项目支出专项资金绩效进行了全面综合评价。现将具体情况报告如下：</w:t>
      </w:r>
    </w:p>
    <w:p>
      <w:pPr>
        <w:adjustRightInd w:val="0"/>
        <w:snapToGrid w:val="0"/>
        <w:spacing w:line="520" w:lineRule="exact"/>
        <w:ind w:firstLine="72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一、基本情况</w:t>
      </w:r>
    </w:p>
    <w:p>
      <w:pPr>
        <w:adjustRightInd w:val="0"/>
        <w:snapToGrid w:val="0"/>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泥溪</w:t>
      </w:r>
      <w:r>
        <w:rPr>
          <w:rFonts w:hint="eastAsia" w:ascii="仿宋_GB2312" w:hAnsi="仿宋_GB2312" w:eastAsia="仿宋_GB2312" w:cs="仿宋_GB2312"/>
          <w:sz w:val="30"/>
          <w:szCs w:val="30"/>
          <w:highlight w:val="none"/>
          <w:lang w:eastAsia="zh-CN"/>
        </w:rPr>
        <w:t>镇</w:t>
      </w:r>
      <w:r>
        <w:rPr>
          <w:rFonts w:hint="eastAsia" w:ascii="仿宋_GB2312" w:hAnsi="仿宋_GB2312" w:eastAsia="仿宋_GB2312" w:cs="仿宋_GB2312"/>
          <w:sz w:val="30"/>
          <w:szCs w:val="30"/>
        </w:rPr>
        <w:t>总人口130560人，其中农业人口10560人，非农业人口3000人；辖10个村，1个居民委员会，54个农业合作社，4个居民小组；纳入预算管理的镇级行政事业单位13个。为保持耕地红线</w:t>
      </w:r>
      <w:r>
        <w:rPr>
          <w:rFonts w:hint="eastAsia" w:ascii="仿宋_GB2312" w:hAnsi="仿宋_GB2312" w:eastAsia="仿宋_GB2312" w:cs="仿宋_GB2312"/>
          <w:sz w:val="30"/>
          <w:szCs w:val="30"/>
          <w:lang w:eastAsia="zh-CN"/>
        </w:rPr>
        <w:t>不受侵犯</w:t>
      </w:r>
      <w:r>
        <w:rPr>
          <w:rFonts w:hint="eastAsia" w:ascii="仿宋_GB2312" w:hAnsi="仿宋_GB2312" w:eastAsia="仿宋_GB2312" w:cs="仿宋_GB2312"/>
          <w:sz w:val="30"/>
          <w:szCs w:val="30"/>
        </w:rPr>
        <w:t>，鼓励农户耕种，实施耕地地力保护补贴。</w:t>
      </w:r>
    </w:p>
    <w:p>
      <w:pPr>
        <w:adjustRightInd w:val="0"/>
        <w:snapToGrid w:val="0"/>
        <w:spacing w:line="520" w:lineRule="exact"/>
        <w:ind w:firstLine="72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二、资金使用情况</w:t>
      </w:r>
    </w:p>
    <w:p>
      <w:pPr>
        <w:adjustRightInd w:val="0"/>
        <w:snapToGrid w:val="0"/>
        <w:spacing w:line="520" w:lineRule="exact"/>
        <w:ind w:firstLine="720"/>
        <w:rPr>
          <w:rFonts w:ascii="仿宋_GB2312" w:hAnsi="仿宋_GB2312" w:eastAsia="仿宋_GB2312" w:cs="仿宋_GB2312"/>
          <w:sz w:val="30"/>
          <w:szCs w:val="30"/>
        </w:rPr>
      </w:pPr>
      <w:r>
        <w:rPr>
          <w:rFonts w:hint="eastAsia" w:ascii="仿宋_GB2312" w:hAnsi="仿宋_GB2312" w:eastAsia="仿宋_GB2312" w:cs="仿宋_GB2312"/>
          <w:b/>
          <w:sz w:val="30"/>
          <w:szCs w:val="30"/>
          <w:lang w:val="zh-CN"/>
        </w:rPr>
        <w:t>（一）资金使用。</w:t>
      </w:r>
      <w:r>
        <w:rPr>
          <w:rFonts w:hint="eastAsia" w:ascii="仿宋_GB2312" w:hAnsi="仿宋_GB2312" w:eastAsia="仿宋_GB2312" w:cs="仿宋_GB2312"/>
          <w:sz w:val="30"/>
          <w:szCs w:val="30"/>
        </w:rPr>
        <w:t>2018年耕地地力保护补贴资金132.07万元，耕地地力保护补贴资金全部用于退耕还林补贴，并与预算相符。</w:t>
      </w:r>
    </w:p>
    <w:p>
      <w:pPr>
        <w:adjustRightInd w:val="0"/>
        <w:snapToGrid w:val="0"/>
        <w:spacing w:line="520" w:lineRule="exact"/>
        <w:ind w:firstLine="720"/>
        <w:rPr>
          <w:rFonts w:ascii="仿宋_GB2312" w:hAnsi="仿宋_GB2312" w:eastAsia="仿宋_GB2312" w:cs="仿宋_GB2312"/>
          <w:sz w:val="30"/>
          <w:szCs w:val="30"/>
        </w:rPr>
      </w:pPr>
      <w:r>
        <w:rPr>
          <w:rFonts w:hint="eastAsia" w:ascii="仿宋_GB2312" w:hAnsi="仿宋_GB2312" w:eastAsia="仿宋_GB2312" w:cs="仿宋_GB2312"/>
          <w:b/>
          <w:sz w:val="30"/>
          <w:szCs w:val="30"/>
          <w:lang w:val="zh-CN"/>
        </w:rPr>
        <w:t>（二）组织实施情况。</w:t>
      </w:r>
      <w:r>
        <w:rPr>
          <w:rFonts w:hint="eastAsia" w:ascii="仿宋_GB2312" w:hAnsi="仿宋_GB2312" w:eastAsia="仿宋_GB2312" w:cs="仿宋_GB2312"/>
          <w:sz w:val="30"/>
          <w:szCs w:val="30"/>
        </w:rPr>
        <w:t>耕地地力保护补贴资金按照政策兑现补偿要求为：要求耕地土壤耕作面深度25cm以上。</w:t>
      </w:r>
    </w:p>
    <w:p>
      <w:pPr>
        <w:adjustRightInd w:val="0"/>
        <w:snapToGrid w:val="0"/>
        <w:spacing w:line="520" w:lineRule="exact"/>
        <w:ind w:firstLine="720"/>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rPr>
        <w:t>三、目标完成情况</w:t>
      </w:r>
      <w:r>
        <w:rPr>
          <w:rFonts w:hint="eastAsia" w:ascii="仿宋_GB2312" w:hAnsi="仿宋_GB2312" w:eastAsia="仿宋_GB2312" w:cs="仿宋_GB2312"/>
          <w:b/>
          <w:bCs/>
          <w:sz w:val="30"/>
          <w:szCs w:val="30"/>
          <w:lang w:val="zh-CN"/>
        </w:rPr>
        <w:tab/>
      </w:r>
    </w:p>
    <w:p>
      <w:pPr>
        <w:adjustRightInd w:val="0"/>
        <w:snapToGrid w:val="0"/>
        <w:spacing w:line="520" w:lineRule="exact"/>
        <w:ind w:firstLine="720"/>
        <w:rPr>
          <w:rFonts w:ascii="仿宋_GB2312" w:hAnsi="仿宋_GB2312" w:eastAsia="仿宋_GB2312" w:cs="仿宋_GB2312"/>
          <w:color w:val="FF0000"/>
          <w:sz w:val="30"/>
          <w:szCs w:val="30"/>
        </w:rPr>
      </w:pPr>
      <w:r>
        <w:rPr>
          <w:rFonts w:hint="eastAsia" w:ascii="仿宋_GB2312" w:hAnsi="仿宋_GB2312" w:eastAsia="仿宋_GB2312" w:cs="仿宋_GB2312"/>
          <w:b/>
          <w:sz w:val="30"/>
          <w:szCs w:val="30"/>
          <w:lang w:val="zh-CN"/>
        </w:rPr>
        <w:t>（一）目标任务量完成情况。</w:t>
      </w:r>
      <w:r>
        <w:rPr>
          <w:rFonts w:hint="eastAsia" w:ascii="仿宋_GB2312" w:hAnsi="仿宋_GB2312" w:eastAsia="仿宋_GB2312" w:cs="仿宋_GB2312"/>
          <w:sz w:val="30"/>
          <w:szCs w:val="30"/>
        </w:rPr>
        <w:t>2018年耕地地力保护补贴资金2018年部分全部兑付完成。</w:t>
      </w:r>
    </w:p>
    <w:p>
      <w:pPr>
        <w:adjustRightInd w:val="0"/>
        <w:snapToGrid w:val="0"/>
        <w:spacing w:line="520" w:lineRule="exact"/>
        <w:ind w:firstLine="720"/>
        <w:rPr>
          <w:rFonts w:ascii="仿宋_GB2312" w:hAnsi="仿宋_GB2312" w:eastAsia="仿宋_GB2312" w:cs="仿宋_GB2312"/>
          <w:sz w:val="30"/>
          <w:szCs w:val="30"/>
        </w:rPr>
      </w:pPr>
      <w:r>
        <w:rPr>
          <w:rFonts w:hint="eastAsia" w:ascii="仿宋_GB2312" w:hAnsi="仿宋_GB2312" w:eastAsia="仿宋_GB2312" w:cs="仿宋_GB2312"/>
          <w:b/>
          <w:sz w:val="30"/>
          <w:szCs w:val="30"/>
          <w:lang w:val="zh-CN"/>
        </w:rPr>
        <w:t>（二）目标质量完成情况。</w:t>
      </w:r>
      <w:r>
        <w:rPr>
          <w:rFonts w:hint="eastAsia" w:ascii="仿宋_GB2312" w:hAnsi="仿宋_GB2312" w:eastAsia="仿宋_GB2312" w:cs="仿宋_GB2312"/>
          <w:sz w:val="30"/>
          <w:szCs w:val="30"/>
        </w:rPr>
        <w:t>2018年耕地地力保护补贴资金实现补贴。</w:t>
      </w:r>
    </w:p>
    <w:p>
      <w:pPr>
        <w:adjustRightInd w:val="0"/>
        <w:snapToGrid w:val="0"/>
        <w:spacing w:line="520" w:lineRule="exact"/>
        <w:ind w:firstLine="72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四、项目效益情况</w:t>
      </w:r>
    </w:p>
    <w:p>
      <w:pPr>
        <w:adjustRightInd w:val="0"/>
        <w:snapToGrid w:val="0"/>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2018年耕地地力保护补贴资金实施以来，泥溪镇耕地面积得到了</w:t>
      </w:r>
      <w:r>
        <w:rPr>
          <w:rFonts w:hint="eastAsia" w:ascii="仿宋_GB2312" w:hAnsi="仿宋_GB2312" w:eastAsia="仿宋_GB2312" w:cs="仿宋_GB2312"/>
          <w:sz w:val="30"/>
          <w:szCs w:val="30"/>
          <w:lang w:eastAsia="zh-CN"/>
        </w:rPr>
        <w:t>有效的保障</w:t>
      </w:r>
      <w:r>
        <w:rPr>
          <w:rFonts w:hint="eastAsia" w:ascii="仿宋_GB2312" w:hAnsi="仿宋_GB2312" w:eastAsia="仿宋_GB2312" w:cs="仿宋_GB2312"/>
          <w:sz w:val="30"/>
          <w:szCs w:val="30"/>
        </w:rPr>
        <w:t>，保证农户粮食供需正常。</w:t>
      </w:r>
    </w:p>
    <w:p>
      <w:pPr>
        <w:adjustRightInd w:val="0"/>
        <w:snapToGrid w:val="0"/>
        <w:spacing w:line="520" w:lineRule="exact"/>
        <w:ind w:firstLine="72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五、问题及建议</w:t>
      </w:r>
    </w:p>
    <w:p>
      <w:pPr>
        <w:adjustRightInd w:val="0"/>
        <w:snapToGrid w:val="0"/>
        <w:spacing w:line="520" w:lineRule="exact"/>
        <w:ind w:firstLine="720"/>
        <w:rPr>
          <w:rFonts w:ascii="仿宋_GB2312" w:hAnsi="仿宋_GB2312" w:eastAsia="仿宋_GB2312" w:cs="仿宋_GB2312"/>
          <w:b/>
          <w:sz w:val="30"/>
          <w:szCs w:val="30"/>
        </w:rPr>
      </w:pPr>
      <w:r>
        <w:rPr>
          <w:rFonts w:hint="eastAsia" w:ascii="仿宋_GB2312" w:hAnsi="仿宋_GB2312" w:eastAsia="仿宋_GB2312" w:cs="仿宋_GB2312"/>
          <w:b/>
          <w:sz w:val="30"/>
          <w:szCs w:val="30"/>
          <w:lang w:val="zh-CN"/>
        </w:rPr>
        <w:t>（一）存在的问题。</w:t>
      </w:r>
      <w:r>
        <w:rPr>
          <w:rFonts w:hint="eastAsia" w:ascii="仿宋_GB2312" w:hAnsi="仿宋_GB2312" w:eastAsia="仿宋_GB2312" w:cs="仿宋_GB2312"/>
          <w:sz w:val="30"/>
          <w:szCs w:val="30"/>
        </w:rPr>
        <w:t>2018年耕地地力保护任有部分耕地未达到耕作面深度标准。</w:t>
      </w:r>
    </w:p>
    <w:p>
      <w:pPr>
        <w:numPr>
          <w:ilvl w:val="0"/>
          <w:numId w:val="11"/>
        </w:numPr>
        <w:adjustRightInd w:val="0"/>
        <w:snapToGrid w:val="0"/>
        <w:spacing w:line="520" w:lineRule="exact"/>
        <w:ind w:firstLine="720"/>
        <w:rPr>
          <w:rFonts w:ascii="仿宋_GB2312" w:hAnsi="仿宋_GB2312" w:eastAsia="仿宋_GB2312" w:cs="仿宋_GB2312"/>
          <w:b/>
          <w:sz w:val="30"/>
          <w:szCs w:val="30"/>
        </w:rPr>
      </w:pPr>
      <w:r>
        <w:rPr>
          <w:rFonts w:hint="eastAsia" w:ascii="仿宋_GB2312" w:hAnsi="仿宋_GB2312" w:eastAsia="仿宋_GB2312" w:cs="仿宋_GB2312"/>
          <w:b/>
          <w:sz w:val="30"/>
          <w:szCs w:val="30"/>
          <w:lang w:val="zh-CN"/>
        </w:rPr>
        <w:t>相关建议。</w:t>
      </w:r>
      <w:r>
        <w:rPr>
          <w:rFonts w:hint="eastAsia" w:ascii="仿宋_GB2312" w:hAnsi="仿宋_GB2312" w:eastAsia="仿宋_GB2312" w:cs="仿宋_GB2312"/>
          <w:sz w:val="30"/>
          <w:szCs w:val="30"/>
        </w:rPr>
        <w:t>建议继续加强对农户的指导，保证耕作质量达标。</w:t>
      </w:r>
    </w:p>
    <w:p>
      <w:pPr>
        <w:adjustRightInd w:val="0"/>
        <w:snapToGrid w:val="0"/>
        <w:spacing w:line="520" w:lineRule="exact"/>
        <w:rPr>
          <w:rFonts w:ascii="仿宋_GB2312" w:hAnsi="仿宋_GB2312" w:eastAsia="仿宋_GB2312" w:cs="仿宋_GB2312"/>
          <w:sz w:val="30"/>
          <w:szCs w:val="30"/>
        </w:rPr>
      </w:pPr>
    </w:p>
    <w:p>
      <w:pPr>
        <w:wordWrap w:val="0"/>
        <w:adjustRightInd w:val="0"/>
        <w:snapToGrid w:val="0"/>
        <w:spacing w:line="520" w:lineRule="exact"/>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80" w:lineRule="exact"/>
        <w:jc w:val="center"/>
        <w:rPr>
          <w:rFonts w:ascii="仿宋_GB2312" w:hAnsi="仿宋_GB2312" w:eastAsia="仿宋_GB2312" w:cs="仿宋_GB2312"/>
          <w:sz w:val="30"/>
          <w:szCs w:val="30"/>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pageBreakBefore/>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泥溪镇2018年脱贫攻坚危房改造资金</w:t>
      </w:r>
    </w:p>
    <w:p>
      <w:pPr>
        <w:pStyle w:val="3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绩效自评报告</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根据《通江县财政局关于全面实施预算绩效管理的通知》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通财预〔2019〕4号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文件精神，对我镇2018年度项目支出专项资金绩效进行了全面综合评价。现将具体情况报告如下：</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rPr>
        <w:t>总人口130560人，其中农业人口10560人，非农业人口3000人；辖10个村，1个居民委员会，54个农业合作社，4个居民小组；纳入预算管理的镇级行政事业单位13个。保证居民的住房安全，使其安居乐业。</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（一）资金使用。</w:t>
      </w:r>
      <w:r>
        <w:rPr>
          <w:rFonts w:hint="eastAsia" w:ascii="仿宋_GB2312" w:hAnsi="仿宋_GB2312" w:eastAsia="仿宋_GB2312" w:cs="仿宋_GB2312"/>
          <w:sz w:val="32"/>
          <w:szCs w:val="32"/>
        </w:rPr>
        <w:t>泥溪镇2018年脱贫攻坚危房改造资金226万元，具体按照县级机关拨付30%予以兑现，脱贫攻坚危房改造资金全部用于脱贫攻坚危房改造，并与预算相符。</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b/>
          <w:sz w:val="32"/>
          <w:szCs w:val="32"/>
          <w:lang w:val="zh-CN"/>
        </w:rPr>
        <w:t>二）组织实施情况。</w:t>
      </w:r>
      <w:r>
        <w:rPr>
          <w:rFonts w:hint="eastAsia" w:ascii="仿宋_GB2312" w:hAnsi="仿宋_GB2312" w:eastAsia="仿宋_GB2312" w:cs="仿宋_GB2312"/>
          <w:sz w:val="32"/>
          <w:szCs w:val="32"/>
        </w:rPr>
        <w:t>脱贫攻坚危房改造资金按照政策兑现补偿要求为：实施危房改造住户兑现30%资金。</w:t>
      </w:r>
    </w:p>
    <w:p>
      <w:pPr>
        <w:adjustRightInd w:val="0"/>
        <w:snapToGrid w:val="0"/>
        <w:spacing w:line="52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20" w:lineRule="exact"/>
        <w:ind w:firstLine="720"/>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lang w:val="zh-CN"/>
        </w:rPr>
        <w:t>（一）目标任务量完成情况。</w:t>
      </w:r>
      <w:r>
        <w:rPr>
          <w:rFonts w:hint="eastAsia" w:ascii="仿宋_GB2312" w:hAnsi="仿宋_GB2312" w:eastAsia="仿宋_GB2312" w:cs="仿宋_GB2312"/>
          <w:sz w:val="32"/>
          <w:szCs w:val="32"/>
        </w:rPr>
        <w:t>泥溪镇2018年脱贫攻坚危房改造资金2018年部分全部兑付完成。</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（二）目标质量完成情况。</w:t>
      </w:r>
      <w:r>
        <w:rPr>
          <w:rFonts w:hint="eastAsia" w:ascii="仿宋_GB2312" w:hAnsi="仿宋_GB2312" w:eastAsia="仿宋_GB2312" w:cs="仿宋_GB2312"/>
          <w:sz w:val="32"/>
          <w:szCs w:val="32"/>
        </w:rPr>
        <w:t>泥溪镇2018年脱贫攻坚危房改造实施9个村，多数建设完成，达到入住标准。</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2018年脱贫攻坚危房改造实施以来，泥溪镇积极组织实施，保障了居民住房安全。</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2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（一）存在的问题。</w:t>
      </w:r>
      <w:r>
        <w:rPr>
          <w:rFonts w:hint="eastAsia" w:ascii="仿宋_GB2312" w:hAnsi="仿宋_GB2312" w:eastAsia="仿宋_GB2312" w:cs="仿宋_GB2312"/>
          <w:sz w:val="32"/>
          <w:szCs w:val="32"/>
        </w:rPr>
        <w:t>危房改造仍有部分住户未实施。</w:t>
      </w:r>
    </w:p>
    <w:p>
      <w:pPr>
        <w:numPr>
          <w:ilvl w:val="0"/>
          <w:numId w:val="11"/>
        </w:numPr>
        <w:adjustRightInd w:val="0"/>
        <w:snapToGrid w:val="0"/>
        <w:spacing w:line="52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相关建议。</w:t>
      </w:r>
      <w:r>
        <w:rPr>
          <w:rFonts w:hint="eastAsia" w:ascii="仿宋_GB2312" w:hAnsi="仿宋_GB2312" w:eastAsia="仿宋_GB2312" w:cs="仿宋_GB2312"/>
          <w:sz w:val="32"/>
          <w:szCs w:val="32"/>
        </w:rPr>
        <w:t>镇政府细化责任，找准困难点迎难而上，坚决在2019年全部实施。</w:t>
      </w:r>
    </w:p>
    <w:p>
      <w:pPr>
        <w:adjustRightInd w:val="0"/>
        <w:snapToGrid w:val="0"/>
        <w:spacing w:line="520" w:lineRule="exact"/>
        <w:rPr>
          <w:rFonts w:ascii="仿宋_GB2312" w:hAnsi="仿宋_GB2312" w:eastAsia="仿宋_GB2312" w:cs="仿宋_GB2312"/>
          <w:sz w:val="32"/>
          <w:szCs w:val="32"/>
        </w:rPr>
      </w:pPr>
    </w:p>
    <w:p>
      <w:pPr>
        <w:spacing w:line="580" w:lineRule="exact"/>
        <w:jc w:val="center"/>
        <w:rPr>
          <w:rFonts w:ascii="黑体" w:hAnsi="黑体" w:eastAsia="黑体" w:cs="方正小标宋简体"/>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pageBreakBefore/>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泥溪镇2018年森林生态效益补偿资金</w:t>
      </w:r>
    </w:p>
    <w:p>
      <w:pPr>
        <w:pStyle w:val="3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绩效自评报告</w:t>
      </w:r>
    </w:p>
    <w:p>
      <w:pPr>
        <w:spacing w:line="520" w:lineRule="exact"/>
        <w:rPr>
          <w:rFonts w:ascii="仿宋_GB2312" w:hAnsi="仿宋" w:eastAsia="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根据《通江县财政局关于全面实施预算绩效管理的通知》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通财预〔2019〕4号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文件精神，对我镇2018年度项目支出专项资金绩效进行了全面综合评价。现将具体情况报告如下：</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rPr>
        <w:t>总人口130560人，其中农业人口10560人，非农业人口3000人；辖10个村，1个居民委员会，54个农业合作社，4个居民小组；纳入预算管理的镇级行政事业单位13个。在保证耕地红线的基础上，实施森林生态效益补偿资金，建设绿水青山。</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（一）资金使用。</w:t>
      </w:r>
      <w:r>
        <w:rPr>
          <w:rFonts w:hint="eastAsia" w:ascii="仿宋_GB2312" w:hAnsi="仿宋_GB2312" w:eastAsia="仿宋_GB2312" w:cs="仿宋_GB2312"/>
          <w:sz w:val="32"/>
          <w:szCs w:val="32"/>
        </w:rPr>
        <w:t>泥溪镇2018年森林生态效益补偿资金626609.5元，森林生态效益补偿资金全部用于森林生态效益补偿，并与预算相符。</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（二）组织实施情况。</w:t>
      </w:r>
      <w:r>
        <w:rPr>
          <w:rFonts w:hint="eastAsia" w:ascii="仿宋_GB2312" w:hAnsi="仿宋_GB2312" w:eastAsia="仿宋_GB2312" w:cs="仿宋_GB2312"/>
          <w:sz w:val="32"/>
          <w:szCs w:val="32"/>
        </w:rPr>
        <w:t>森林生态效益补偿资金按照政策兑现补偿要求为，补偿面积达到40000亩以上。</w:t>
      </w:r>
    </w:p>
    <w:p>
      <w:pPr>
        <w:adjustRightInd w:val="0"/>
        <w:snapToGrid w:val="0"/>
        <w:spacing w:line="52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20" w:lineRule="exact"/>
        <w:ind w:firstLine="720"/>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lang w:val="zh-CN"/>
        </w:rPr>
        <w:t>（一）目标任务量完成情况。</w:t>
      </w:r>
      <w:r>
        <w:rPr>
          <w:rFonts w:hint="eastAsia" w:ascii="仿宋_GB2312" w:hAnsi="仿宋_GB2312" w:eastAsia="仿宋_GB2312" w:cs="仿宋_GB2312"/>
          <w:sz w:val="32"/>
          <w:szCs w:val="32"/>
        </w:rPr>
        <w:t>2018年森林生态效益补偿资金全部兑付完成。</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（二）目标质量完成情况。</w:t>
      </w:r>
      <w:r>
        <w:rPr>
          <w:rFonts w:hint="eastAsia" w:ascii="仿宋_GB2312" w:hAnsi="仿宋_GB2312" w:eastAsia="仿宋_GB2312" w:cs="仿宋_GB2312"/>
          <w:sz w:val="32"/>
          <w:szCs w:val="32"/>
        </w:rPr>
        <w:t>2018年森林生态效益补偿资金补偿面积40000亩以上，有效保持了森林生态效益。</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2018年森林生态效益补偿实施以来，泥溪镇绿化面积大幅度增加，为环境绿化奠基了基础，保证了绿水青山的顺利落实。</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2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（一）存在的问题。</w:t>
      </w:r>
      <w:r>
        <w:rPr>
          <w:rFonts w:hint="eastAsia" w:ascii="仿宋_GB2312" w:hAnsi="仿宋_GB2312" w:eastAsia="仿宋_GB2312" w:cs="仿宋_GB2312"/>
          <w:sz w:val="32"/>
          <w:szCs w:val="32"/>
        </w:rPr>
        <w:t>2018年森林生态效益补偿资金是否持续成为农户转移性收入。</w:t>
      </w:r>
    </w:p>
    <w:p>
      <w:pPr>
        <w:numPr>
          <w:ilvl w:val="0"/>
          <w:numId w:val="11"/>
        </w:numPr>
        <w:adjustRightInd w:val="0"/>
        <w:snapToGrid w:val="0"/>
        <w:spacing w:line="52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相关建议。</w:t>
      </w:r>
      <w:r>
        <w:rPr>
          <w:rFonts w:hint="eastAsia" w:ascii="仿宋_GB2312" w:hAnsi="仿宋_GB2312" w:eastAsia="仿宋_GB2312" w:cs="仿宋_GB2312"/>
          <w:sz w:val="32"/>
          <w:szCs w:val="32"/>
        </w:rPr>
        <w:t>希望林业相关单位补充延续政策。</w:t>
      </w:r>
    </w:p>
    <w:p>
      <w:pPr>
        <w:adjustRightInd w:val="0"/>
        <w:snapToGrid w:val="0"/>
        <w:spacing w:line="520" w:lineRule="exact"/>
        <w:rPr>
          <w:rFonts w:ascii="仿宋_GB2312" w:hAnsi="仿宋_GB2312" w:eastAsia="仿宋_GB2312" w:cs="仿宋_GB2312"/>
          <w:sz w:val="32"/>
          <w:szCs w:val="32"/>
        </w:rPr>
      </w:pPr>
    </w:p>
    <w:p>
      <w:pPr>
        <w:wordWrap w:val="0"/>
        <w:adjustRightInd w:val="0"/>
        <w:snapToGrid w:val="0"/>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20" w:lineRule="exact"/>
        <w:rPr>
          <w:rFonts w:ascii="仿宋_GB2312" w:hAnsi="宋体"/>
          <w:szCs w:val="32"/>
          <w:lang w:val="zh-CN"/>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spacing w:line="520" w:lineRule="exact"/>
        <w:jc w:val="center"/>
        <w:rPr>
          <w:rFonts w:ascii="方正小标宋简体" w:hAnsi="方正小标宋简体" w:eastAsia="方正小标宋简体" w:cs="方正小标宋简体"/>
          <w:b/>
          <w:sz w:val="44"/>
          <w:szCs w:val="44"/>
        </w:rPr>
      </w:pPr>
    </w:p>
    <w:p>
      <w:pPr>
        <w:pStyle w:val="30"/>
        <w:pageBreakBefore/>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泥溪镇西街岭村2018年预脱贫村农村公路</w:t>
      </w:r>
    </w:p>
    <w:p>
      <w:pPr>
        <w:pStyle w:val="3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建设补助资金绩效自评报告</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根据《通江县财政局关于全面实施预算绩效管理的通知》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通财预〔2019〕4号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文件精神，对我镇2018年度项目支出专项资金绩效进行了全面综合评价。现将具体情况报告如下：</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rPr>
        <w:t>总人口130560人，其中农业人口10560人，非农业人口3000人；辖10个村，1个居民委员会，54个农业合作社，4个居民小组；纳入预算管理的镇级行政事业单位13个。西街岭村农村公路的建设，改善了村级交通不便的现状，带动村经济增长。</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（一）资金使用。</w:t>
      </w:r>
      <w:r>
        <w:rPr>
          <w:rFonts w:hint="eastAsia" w:ascii="仿宋_GB2312" w:hAnsi="仿宋_GB2312" w:eastAsia="仿宋_GB2312" w:cs="仿宋_GB2312"/>
          <w:sz w:val="32"/>
          <w:szCs w:val="32"/>
        </w:rPr>
        <w:t>泥溪镇西街岭村2018年预脱贫村农村公路建设补助资金650000元，用于西街岭村农村公路建设，西街岭村2018年预脱贫村农村公路建设补助资金全部用于村级公路建设，并与预算相符。</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（二）组织实施情况。</w:t>
      </w:r>
      <w:r>
        <w:rPr>
          <w:rFonts w:hint="eastAsia" w:ascii="仿宋_GB2312" w:hAnsi="仿宋_GB2312" w:eastAsia="仿宋_GB2312" w:cs="仿宋_GB2312"/>
          <w:sz w:val="32"/>
          <w:szCs w:val="32"/>
        </w:rPr>
        <w:t>西街岭村2018年预脱贫村农村公路建设补助资金按照政策建设村级公路。</w:t>
      </w:r>
    </w:p>
    <w:p>
      <w:pPr>
        <w:adjustRightInd w:val="0"/>
        <w:snapToGrid w:val="0"/>
        <w:spacing w:line="52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20" w:lineRule="exact"/>
        <w:ind w:firstLine="720"/>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lang w:val="zh-CN"/>
        </w:rPr>
        <w:t>（一）目标任务量完成情况。</w:t>
      </w:r>
      <w:r>
        <w:rPr>
          <w:rFonts w:hint="eastAsia" w:ascii="仿宋_GB2312" w:hAnsi="仿宋_GB2312" w:eastAsia="仿宋_GB2312" w:cs="仿宋_GB2312"/>
          <w:sz w:val="32"/>
          <w:szCs w:val="32"/>
        </w:rPr>
        <w:t>泥溪镇西街岭村2018年预脱贫村农村公路建设补助资金全部兑付完成。</w:t>
      </w:r>
    </w:p>
    <w:p>
      <w:pPr>
        <w:adjustRightInd w:val="0"/>
        <w:snapToGrid w:val="0"/>
        <w:spacing w:line="52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（二）目标质量完成情况。</w:t>
      </w:r>
      <w:r>
        <w:rPr>
          <w:rFonts w:hint="eastAsia" w:ascii="仿宋_GB2312" w:hAnsi="仿宋_GB2312" w:eastAsia="仿宋_GB2312" w:cs="仿宋_GB2312"/>
          <w:sz w:val="32"/>
          <w:szCs w:val="32"/>
        </w:rPr>
        <w:t>泥溪镇西街岭村2018年预脱贫村农村公路</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完成情况良好。</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泥溪镇西街岭村2018年预脱贫村农村公路建设，带动西街岭及周围村落的交流、发展，增加了村经济收入。</w:t>
      </w:r>
    </w:p>
    <w:p>
      <w:pPr>
        <w:adjustRightInd w:val="0"/>
        <w:snapToGrid w:val="0"/>
        <w:spacing w:line="52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2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（一）存在的问题。</w:t>
      </w:r>
      <w:r>
        <w:rPr>
          <w:rFonts w:hint="eastAsia" w:ascii="仿宋_GB2312" w:hAnsi="仿宋_GB2312" w:eastAsia="仿宋_GB2312" w:cs="仿宋_GB2312"/>
          <w:sz w:val="32"/>
          <w:szCs w:val="32"/>
        </w:rPr>
        <w:t>泥溪镇西街岭村2018年预脱贫村农村公路维护成本增加。</w:t>
      </w:r>
    </w:p>
    <w:p>
      <w:pPr>
        <w:numPr>
          <w:ilvl w:val="0"/>
          <w:numId w:val="11"/>
        </w:numPr>
        <w:adjustRightInd w:val="0"/>
        <w:snapToGrid w:val="0"/>
        <w:spacing w:line="52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相关建议。</w:t>
      </w:r>
      <w:r>
        <w:rPr>
          <w:rFonts w:hint="eastAsia" w:ascii="仿宋_GB2312" w:hAnsi="仿宋_GB2312" w:eastAsia="仿宋_GB2312" w:cs="仿宋_GB2312"/>
          <w:sz w:val="32"/>
          <w:szCs w:val="32"/>
        </w:rPr>
        <w:t>需要相应的村级道路维护费用。</w:t>
      </w:r>
    </w:p>
    <w:p>
      <w:pPr>
        <w:adjustRightInd w:val="0"/>
        <w:snapToGrid w:val="0"/>
        <w:spacing w:line="520" w:lineRule="exact"/>
        <w:rPr>
          <w:rFonts w:ascii="仿宋_GB2312" w:hAnsi="仿宋_GB2312" w:eastAsia="仿宋_GB2312" w:cs="仿宋_GB2312"/>
          <w:sz w:val="32"/>
          <w:szCs w:val="32"/>
        </w:rPr>
      </w:pPr>
    </w:p>
    <w:p>
      <w:pPr>
        <w:spacing w:line="600" w:lineRule="exact"/>
        <w:jc w:val="center"/>
        <w:outlineLvl w:val="0"/>
        <w:rPr>
          <w:rFonts w:ascii="黑体" w:hAnsi="黑体" w:eastAsia="黑体"/>
          <w:color w:val="000000"/>
          <w:sz w:val="44"/>
          <w:szCs w:val="44"/>
        </w:rPr>
      </w:pPr>
      <w:bookmarkStart w:id="66"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ageBreakBefore/>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62"/>
      <w:bookmarkEnd w:id="66"/>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7"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7"/>
    </w:p>
    <w:p>
      <w:pPr>
        <w:pStyle w:val="3"/>
        <w:rPr>
          <w:rFonts w:ascii="仿宋" w:hAnsi="仿宋" w:eastAsia="仿宋"/>
          <w:color w:val="000000"/>
        </w:rPr>
      </w:pPr>
      <w:bookmarkStart w:id="68"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8"/>
    </w:p>
    <w:p>
      <w:pPr>
        <w:pStyle w:val="3"/>
        <w:rPr>
          <w:rFonts w:ascii="仿宋" w:hAnsi="仿宋" w:eastAsia="仿宋"/>
          <w:color w:val="000000"/>
        </w:rPr>
      </w:pPr>
      <w:bookmarkStart w:id="69"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9"/>
    </w:p>
    <w:p>
      <w:pPr>
        <w:pStyle w:val="3"/>
        <w:rPr>
          <w:rFonts w:ascii="仿宋" w:hAnsi="仿宋" w:eastAsia="仿宋"/>
          <w:b w:val="0"/>
          <w:color w:val="000000"/>
        </w:rPr>
      </w:pPr>
      <w:bookmarkStart w:id="70"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70"/>
    </w:p>
    <w:p>
      <w:pPr>
        <w:pStyle w:val="3"/>
        <w:rPr>
          <w:rFonts w:ascii="仿宋" w:hAnsi="仿宋" w:eastAsia="仿宋"/>
          <w:color w:val="000000"/>
        </w:rPr>
      </w:pPr>
      <w:bookmarkStart w:id="71"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71"/>
    </w:p>
    <w:p>
      <w:pPr>
        <w:pStyle w:val="3"/>
        <w:rPr>
          <w:rFonts w:ascii="仿宋" w:hAnsi="仿宋" w:eastAsia="仿宋"/>
          <w:color w:val="000000"/>
        </w:rPr>
      </w:pPr>
      <w:bookmarkStart w:id="72"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72"/>
    </w:p>
    <w:p>
      <w:pPr>
        <w:pStyle w:val="3"/>
        <w:rPr>
          <w:rFonts w:ascii="仿宋" w:hAnsi="仿宋" w:eastAsia="仿宋"/>
          <w:color w:val="000000"/>
        </w:rPr>
      </w:pPr>
      <w:bookmarkStart w:id="73"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73"/>
    </w:p>
    <w:p>
      <w:pPr>
        <w:pStyle w:val="3"/>
        <w:rPr>
          <w:rFonts w:ascii="仿宋" w:hAnsi="仿宋" w:eastAsia="仿宋"/>
          <w:color w:val="000000"/>
        </w:rPr>
      </w:pPr>
      <w:bookmarkStart w:id="74"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4"/>
    </w:p>
    <w:p>
      <w:pPr>
        <w:pStyle w:val="3"/>
        <w:rPr>
          <w:rFonts w:ascii="仿宋" w:hAnsi="仿宋" w:eastAsia="仿宋"/>
          <w:color w:val="000000"/>
        </w:rPr>
      </w:pPr>
      <w:bookmarkStart w:id="75"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5"/>
    </w:p>
    <w:p>
      <w:pPr>
        <w:pStyle w:val="3"/>
        <w:rPr>
          <w:rFonts w:ascii="仿宋" w:hAnsi="仿宋" w:eastAsia="仿宋"/>
          <w:color w:val="000000"/>
        </w:rPr>
      </w:pPr>
      <w:bookmarkStart w:id="76"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6"/>
    </w:p>
    <w:p>
      <w:pPr>
        <w:pStyle w:val="3"/>
        <w:rPr>
          <w:rFonts w:ascii="仿宋" w:hAnsi="仿宋" w:eastAsia="仿宋"/>
          <w:color w:val="000000"/>
        </w:rPr>
      </w:pPr>
      <w:bookmarkStart w:id="77"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7"/>
    </w:p>
    <w:p>
      <w:pPr>
        <w:pStyle w:val="3"/>
        <w:rPr>
          <w:rFonts w:ascii="仿宋" w:hAnsi="仿宋" w:eastAsia="仿宋"/>
          <w:color w:val="000000"/>
        </w:rPr>
      </w:pPr>
      <w:bookmarkStart w:id="78"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8"/>
    </w:p>
    <w:p>
      <w:pPr>
        <w:pStyle w:val="3"/>
        <w:rPr>
          <w:rFonts w:ascii="仿宋" w:hAnsi="仿宋" w:eastAsia="仿宋"/>
          <w:color w:val="000000" w:themeColor="text1"/>
        </w:rPr>
      </w:pPr>
      <w:bookmarkStart w:id="79"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瀹嬩綋">
    <w:altName w:val="Courier New"/>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49</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024DD02"/>
    <w:multiLevelType w:val="singleLevel"/>
    <w:tmpl w:val="E024DD02"/>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245FDE5A"/>
    <w:multiLevelType w:val="singleLevel"/>
    <w:tmpl w:val="245FDE5A"/>
    <w:lvl w:ilvl="0" w:tentative="0">
      <w:start w:val="2"/>
      <w:numFmt w:val="chineseCounting"/>
      <w:suff w:val="nothing"/>
      <w:lvlText w:val="（%1）"/>
      <w:lvlJc w:val="left"/>
      <w:rPr>
        <w:rFonts w:hint="eastAsia"/>
      </w:rPr>
    </w:lvl>
  </w:abstractNum>
  <w:abstractNum w:abstractNumId="8">
    <w:nsid w:val="2EE0BC79"/>
    <w:multiLevelType w:val="singleLevel"/>
    <w:tmpl w:val="2EE0BC79"/>
    <w:lvl w:ilvl="0" w:tentative="0">
      <w:start w:val="9"/>
      <w:numFmt w:val="decimal"/>
      <w:suff w:val="nothing"/>
      <w:lvlText w:val="%1、"/>
      <w:lvlJc w:val="left"/>
      <w:rPr>
        <w:rFonts w:cs="Times New Roman"/>
      </w:rPr>
    </w:lvl>
  </w:abstractNum>
  <w:abstractNum w:abstractNumId="9">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10">
    <w:nsid w:val="675CBD9B"/>
    <w:multiLevelType w:val="singleLevel"/>
    <w:tmpl w:val="675CBD9B"/>
    <w:lvl w:ilvl="0" w:tentative="0">
      <w:start w:val="1"/>
      <w:numFmt w:val="decimalEnclosedCircleChinese"/>
      <w:suff w:val="nothing"/>
      <w:lvlText w:val="%1　"/>
      <w:lvlJc w:val="left"/>
      <w:pPr>
        <w:ind w:firstLine="400"/>
      </w:pPr>
      <w:rPr>
        <w:rFonts w:hint="eastAsia" w:cs="Times New Roman"/>
      </w:rPr>
    </w:lvl>
  </w:abstractNum>
  <w:num w:numId="1">
    <w:abstractNumId w:val="9"/>
  </w:num>
  <w:num w:numId="2">
    <w:abstractNumId w:val="5"/>
  </w:num>
  <w:num w:numId="3">
    <w:abstractNumId w:val="1"/>
  </w:num>
  <w:num w:numId="4">
    <w:abstractNumId w:val="6"/>
  </w:num>
  <w:num w:numId="5">
    <w:abstractNumId w:val="4"/>
  </w:num>
  <w:num w:numId="6">
    <w:abstractNumId w:val="0"/>
  </w:num>
  <w:num w:numId="7">
    <w:abstractNumId w:val="3"/>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UyYTBhZThmOTU4YTliMjhiZDc4ZDk4MjhmMTAzNjkifQ=="/>
  </w:docVars>
  <w:rsids>
    <w:rsidRoot w:val="00F1361C"/>
    <w:rsid w:val="000053F8"/>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B0A40"/>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0F93"/>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3758E"/>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4B7BD2"/>
    <w:rsid w:val="01ED116E"/>
    <w:rsid w:val="02A21BD1"/>
    <w:rsid w:val="02E8458D"/>
    <w:rsid w:val="037B34F1"/>
    <w:rsid w:val="03AF5B93"/>
    <w:rsid w:val="03F363F6"/>
    <w:rsid w:val="04265FF8"/>
    <w:rsid w:val="075B7797"/>
    <w:rsid w:val="08900970"/>
    <w:rsid w:val="08A2371F"/>
    <w:rsid w:val="0B6013F5"/>
    <w:rsid w:val="0BBE7EC9"/>
    <w:rsid w:val="0BE30EFB"/>
    <w:rsid w:val="10C055FF"/>
    <w:rsid w:val="12AC0BA6"/>
    <w:rsid w:val="13121EFC"/>
    <w:rsid w:val="13617137"/>
    <w:rsid w:val="16BB723D"/>
    <w:rsid w:val="19225759"/>
    <w:rsid w:val="240371BF"/>
    <w:rsid w:val="29FD04D3"/>
    <w:rsid w:val="2A580D3B"/>
    <w:rsid w:val="2A5D3E25"/>
    <w:rsid w:val="2F6E33CC"/>
    <w:rsid w:val="319F7F4E"/>
    <w:rsid w:val="32802808"/>
    <w:rsid w:val="32A46BA7"/>
    <w:rsid w:val="34FF304A"/>
    <w:rsid w:val="351F4D54"/>
    <w:rsid w:val="3BC76754"/>
    <w:rsid w:val="3BE96B1C"/>
    <w:rsid w:val="407C4A1A"/>
    <w:rsid w:val="437A3F13"/>
    <w:rsid w:val="45944001"/>
    <w:rsid w:val="4871021E"/>
    <w:rsid w:val="4956603D"/>
    <w:rsid w:val="497E2E18"/>
    <w:rsid w:val="4AC310ED"/>
    <w:rsid w:val="4F6D6BFA"/>
    <w:rsid w:val="50CC0AE9"/>
    <w:rsid w:val="536D6958"/>
    <w:rsid w:val="569B6F86"/>
    <w:rsid w:val="56E66963"/>
    <w:rsid w:val="577D3A8B"/>
    <w:rsid w:val="5D873937"/>
    <w:rsid w:val="5E4A27E6"/>
    <w:rsid w:val="635671AB"/>
    <w:rsid w:val="658F5196"/>
    <w:rsid w:val="686B3DD7"/>
    <w:rsid w:val="698523DA"/>
    <w:rsid w:val="699C4936"/>
    <w:rsid w:val="6C027703"/>
    <w:rsid w:val="70202ECD"/>
    <w:rsid w:val="734916EB"/>
    <w:rsid w:val="75E13B23"/>
    <w:rsid w:val="78B02721"/>
    <w:rsid w:val="7A9254BE"/>
    <w:rsid w:val="7C7F37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四号正文"/>
    <w:basedOn w:val="1"/>
    <w:qFormat/>
    <w:uiPriority w:val="0"/>
    <w:pPr>
      <w:spacing w:line="360" w:lineRule="auto"/>
    </w:pPr>
    <w:rPr>
      <w:rFonts w:ascii="??" w:hAnsi="??" w:cs="宋体"/>
      <w:color w:val="000000"/>
      <w:kern w:val="0"/>
      <w:sz w:val="28"/>
      <w:szCs w:val="21"/>
    </w:rPr>
  </w:style>
  <w:style w:type="character" w:customStyle="1" w:styleId="31">
    <w:name w:val="font11"/>
    <w:basedOn w:val="13"/>
    <w:qFormat/>
    <w:uiPriority w:val="0"/>
    <w:rPr>
      <w:rFonts w:hint="eastAsia" w:ascii="宋体" w:hAnsi="宋体" w:eastAsia="宋体" w:cs="宋体"/>
      <w:b/>
      <w:bCs/>
      <w:color w:val="000000"/>
      <w:sz w:val="32"/>
      <w:szCs w:val="32"/>
      <w:u w:val="none"/>
    </w:rPr>
  </w:style>
  <w:style w:type="character" w:customStyle="1" w:styleId="32">
    <w:name w:val="font31"/>
    <w:basedOn w:val="13"/>
    <w:qFormat/>
    <w:uiPriority w:val="0"/>
    <w:rPr>
      <w:rFonts w:hint="eastAsia" w:ascii="宋体" w:hAnsi="宋体" w:eastAsia="宋体" w:cs="宋体"/>
      <w:color w:val="000000"/>
      <w:sz w:val="32"/>
      <w:szCs w:val="32"/>
      <w:u w:val="none"/>
    </w:rPr>
  </w:style>
  <w:style w:type="character" w:customStyle="1" w:styleId="33">
    <w:name w:val="font51"/>
    <w:basedOn w:val="13"/>
    <w:qFormat/>
    <w:uiPriority w:val="0"/>
    <w:rPr>
      <w:rFonts w:hint="eastAsia" w:ascii="宋体" w:hAnsi="宋体" w:eastAsia="宋体" w:cs="宋体"/>
      <w:color w:val="000000"/>
      <w:sz w:val="20"/>
      <w:szCs w:val="20"/>
      <w:u w:val="none"/>
    </w:rPr>
  </w:style>
  <w:style w:type="character" w:customStyle="1" w:styleId="34">
    <w:name w:val="font81"/>
    <w:basedOn w:val="13"/>
    <w:qFormat/>
    <w:uiPriority w:val="0"/>
    <w:rPr>
      <w:rFonts w:hint="eastAsia" w:ascii="宋体" w:hAnsi="宋体" w:eastAsia="宋体" w:cs="宋体"/>
      <w:b/>
      <w:bCs/>
      <w:color w:val="000000"/>
      <w:sz w:val="32"/>
      <w:szCs w:val="32"/>
      <w:u w:val="none"/>
    </w:rPr>
  </w:style>
  <w:style w:type="character" w:customStyle="1" w:styleId="35">
    <w:name w:val="font41"/>
    <w:basedOn w:val="13"/>
    <w:qFormat/>
    <w:uiPriority w:val="0"/>
    <w:rPr>
      <w:rFonts w:hint="eastAsia" w:ascii="宋体" w:hAnsi="宋体" w:eastAsia="宋体" w:cs="宋体"/>
      <w:color w:val="000000"/>
      <w:sz w:val="20"/>
      <w:szCs w:val="20"/>
      <w:u w:val="none"/>
    </w:rPr>
  </w:style>
  <w:style w:type="character" w:customStyle="1" w:styleId="36">
    <w:name w:val="font91"/>
    <w:basedOn w:val="13"/>
    <w:qFormat/>
    <w:uiPriority w:val="0"/>
    <w:rPr>
      <w:rFonts w:hint="eastAsia" w:ascii="宋体" w:hAnsi="宋体" w:eastAsia="宋体" w:cs="宋体"/>
      <w:color w:val="000000"/>
      <w:sz w:val="12"/>
      <w:szCs w:val="12"/>
      <w:u w:val="none"/>
    </w:rPr>
  </w:style>
  <w:style w:type="character" w:customStyle="1" w:styleId="37">
    <w:name w:val="font61"/>
    <w:basedOn w:val="1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018&#24180;&#37096;&#38376;&#20915;&#31639;&#20844;&#24320;&#36164;&#26009;&#65288;&#21457;&#21333;&#20301;&#65289;\2018&#24180;&#37096;&#38376;&#20915;&#31639;&#20844;&#24320;&#36164;&#26009;&#65288;&#21457;&#21333;&#20301;&#65289;\2018&#24180;&#37096;&#38376;&#20915;&#31639;&#20844;&#24320;&#20998;&#21333;&#20301;&#21450;&#37096;&#38376;&#27719;&#24635;&#30005;&#23376;&#34920;\&#37096;&#38376;&#27719;&#24635;&#20844;&#24320;&#30005;&#23376;&#34920;\&#20065;&#38215;&#27719;&#24635;\&#22235;&#24029;&#30465;&#24052;&#20013;&#24066;&#36890;&#27743;&#21439;&#27877;&#28330;&#38215;&#20154;&#27665;&#25919;&#24220;&#65288;&#27719;&#24635;&#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2018&#24180;&#37096;&#38376;&#20915;&#31639;&#20844;&#24320;&#36164;&#26009;&#65288;&#21457;&#21333;&#20301;&#65289;\&#22235;&#24029;&#30465;&#24052;&#20013;&#24066;&#36890;&#27743;&#21439;&#27877;&#28330;&#38215;&#20154;&#27665;&#25919;&#24220;&#65288;&#27719;&#24635;&#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2018&#24180;&#37096;&#38376;&#20915;&#31639;&#20844;&#24320;&#36164;&#26009;&#65288;&#21457;&#21333;&#20301;&#65289;\2018&#24180;&#37096;&#38376;&#20915;&#31639;&#20844;&#24320;&#36164;&#26009;&#65288;&#21457;&#21333;&#20301;&#65289;\2018&#24180;&#37096;&#38376;&#20915;&#31639;&#20844;&#24320;&#20998;&#21333;&#20301;&#21450;&#37096;&#38376;&#27719;&#24635;&#30005;&#23376;&#34920;\&#37096;&#38376;&#27719;&#24635;&#20844;&#24320;&#30005;&#23376;&#34920;\&#20065;&#38215;&#27719;&#24635;\&#22235;&#24029;&#30465;&#24052;&#20013;&#24066;&#36890;&#27743;&#21439;&#27877;&#28330;&#38215;&#20154;&#27665;&#25919;&#24220;&#65288;&#27719;&#24635;&#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2018&#24180;&#37096;&#38376;&#20915;&#31639;&#20844;&#24320;&#36164;&#26009;&#65288;&#21457;&#21333;&#20301;&#65289;\2018&#24180;&#37096;&#38376;&#20915;&#31639;&#20844;&#24320;&#36164;&#26009;&#65288;&#21457;&#21333;&#20301;&#65289;\2018&#24180;&#37096;&#38376;&#20915;&#31639;&#20844;&#24320;&#20998;&#21333;&#20301;&#21450;&#37096;&#38376;&#27719;&#24635;&#30005;&#23376;&#34920;\&#37096;&#38376;&#27719;&#24635;&#20844;&#24320;&#30005;&#23376;&#34920;\&#20065;&#38215;&#27719;&#24635;\&#22235;&#24029;&#30465;&#24052;&#20013;&#24066;&#36890;&#27743;&#21439;&#27877;&#28330;&#38215;&#20154;&#27665;&#25919;&#24220;&#65288;&#27719;&#24635;&#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泥溪镇收入决算结构</a:t>
            </a:r>
          </a:p>
        </c:rich>
      </c:tx>
      <c:layout>
        <c:manualLayout>
          <c:xMode val="edge"/>
          <c:yMode val="edge"/>
          <c:x val="0.329681636605738"/>
          <c:y val="0.00856653340948031"/>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85416666666667"/>
                  <c:y val="-0.11460370599628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一般公共预算财政拨款收入</a:t>
                    </a:r>
                    <a:r>
                      <a:rPr lang="en-US" altLang="zh-CN"/>
                      <a:t>3090.82</a:t>
                    </a:r>
                    <a:r>
                      <a:t>万元, 占98%</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171648912561029"/>
                  <c:y val="0.048920458150897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事业收入</a:t>
                    </a:r>
                    <a:r>
                      <a:rPr lang="en-US" altLang="zh-CN"/>
                      <a:t>106.71</a:t>
                    </a:r>
                    <a:r>
                      <a:t>万元, 占2%</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'[四川省巴中市通江县泥溪镇人民政府（汇总）.XLS]Sheet1'!$A$2:$B$2</c:f>
              <c:strCache>
                <c:ptCount val="2"/>
                <c:pt idx="0">
                  <c:v>一般公共预算财政拨款收入</c:v>
                </c:pt>
                <c:pt idx="1">
                  <c:v>事业收入</c:v>
                </c:pt>
              </c:strCache>
            </c:strRef>
          </c:cat>
          <c:val>
            <c:numRef>
              <c:f>'[四川省巴中市通江县泥溪镇人民政府（汇总）.XLS]Sheet1'!$A$3:$B$3</c:f>
              <c:numCache>
                <c:formatCode>0.00_ </c:formatCode>
                <c:ptCount val="2"/>
                <c:pt idx="0">
                  <c:v>3581.14</c:v>
                </c:pt>
                <c:pt idx="1" c:formatCode="General">
                  <c:v>73</c:v>
                </c:pt>
              </c:numCache>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'[四川省巴中市通江县泥溪镇人民政府（汇总）.XLS]Sheet1'!$A$2:$B$2</c:f>
              <c:strCache>
                <c:ptCount val="2"/>
                <c:pt idx="0">
                  <c:v>一般公共预算财政拨款收入</c:v>
                </c:pt>
                <c:pt idx="1">
                  <c:v>事业收入</c:v>
                </c:pt>
              </c:strCache>
            </c:strRef>
          </c:cat>
          <c:val>
            <c:numRef>
              <c:f>'[四川省巴中市通江县泥溪镇人民政府（汇总）.XLS]Sheet1'!$A$4:$B$4</c:f>
              <c:numCache>
                <c:formatCode>0%</c:formatCode>
                <c:ptCount val="2"/>
                <c:pt idx="0">
                  <c:v>0</c:v>
                </c:pt>
                <c:pt idx="1">
                  <c:v>0.02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泥溪镇支出决算结构图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基本支出, </a:t>
                    </a:r>
                    <a:r>
                      <a:rPr lang="en-US" altLang="zh-CN"/>
                      <a:t>2455.41</a:t>
                    </a:r>
                    <a:r>
                      <a:t>万元, 占</a:t>
                    </a:r>
                    <a:r>
                      <a:rPr lang="en-US" altLang="zh-CN"/>
                      <a:t>76.79</a:t>
                    </a:r>
                    <a:r>
                      <a:t>%</a:t>
                    </a:r>
                  </a:p>
                </c:rich>
              </c:tx>
              <c:dLblPos val="outEnd"/>
              <c:showLegendKey val="1"/>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项目支出</a:t>
                    </a:r>
                    <a:r>
                      <a:rPr lang="en-US" altLang="zh-CN"/>
                      <a:t>742.12</a:t>
                    </a:r>
                    <a:r>
                      <a:t>万元, 占</a:t>
                    </a:r>
                    <a:r>
                      <a:rPr lang="en-US" altLang="zh-CN"/>
                      <a:t>23.21</a:t>
                    </a:r>
                    <a:r>
                      <a:t>%</a:t>
                    </a:r>
                  </a:p>
                </c:rich>
              </c:tx>
              <c:dLblPos val="outEnd"/>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'[四川省巴中市通江县泥溪镇人民政府（汇总）.XLS]Sheet1'!$A$4:$B$4</c:f>
              <c:strCache>
                <c:ptCount val="2"/>
                <c:pt idx="0">
                  <c:v>基本支出</c:v>
                </c:pt>
                <c:pt idx="1">
                  <c:v>项目支出</c:v>
                </c:pt>
              </c:strCache>
            </c:strRef>
          </c:cat>
          <c:val>
            <c:numRef>
              <c:f>'[四川省巴中市通江县泥溪镇人民政府（汇总）.XLS]Sheet1'!$A$5:$B$5</c:f>
              <c:numCache>
                <c:formatCode>#,##0.00</c:formatCode>
                <c:ptCount val="2"/>
                <c:pt idx="0">
                  <c:v>1995.88</c:v>
                </c:pt>
                <c:pt idx="1">
                  <c:v>1645.76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一般公共预算财政拨款支出结构</a:t>
            </a:r>
            <a:r>
              <a:rPr lang="en-US" altLang="zh-CN"/>
              <a:t> </a:t>
            </a:r>
            <a:endParaRPr lang="en-US" altLang="zh-CN"/>
          </a:p>
        </c:rich>
      </c:tx>
      <c:layout>
        <c:manualLayout>
          <c:xMode val="edge"/>
          <c:yMode val="edge"/>
          <c:x val="0.233288948069241"/>
          <c:y val="0.00492593727184013"/>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0.195695739935122"/>
                  <c:y val="0.039895268018109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一般公共服务支出, </a:t>
                    </a:r>
                    <a:r>
                      <a:rPr lang="en-US" altLang="zh-CN"/>
                      <a:t>308.52</a:t>
                    </a:r>
                    <a:r>
                      <a:t>, </a:t>
                    </a:r>
                    <a:r>
                      <a:rPr lang="en-US" altLang="zh-CN"/>
                      <a:t>9.98</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00603418887522741"/>
                  <c:y val="-0.03272185440219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教育支出, 1,</a:t>
                    </a:r>
                    <a:r>
                      <a:rPr lang="en-US" altLang="zh-CN"/>
                      <a:t>497.39</a:t>
                    </a:r>
                    <a:r>
                      <a:t>, 4</a:t>
                    </a:r>
                    <a:r>
                      <a:rPr lang="en-US" altLang="zh-CN"/>
                      <a:t>8.45</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221683618464099"/>
                  <c:y val="-0.040531793429099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文化体育与传媒支出, 20.</a:t>
                    </a:r>
                    <a:r>
                      <a:rPr lang="en-US" altLang="zh-CN"/>
                      <a:t>09</a:t>
                    </a:r>
                    <a:r>
                      <a:t>, </a:t>
                    </a:r>
                    <a:r>
                      <a:rPr lang="en-US" altLang="zh-CN"/>
                      <a:t>0.64</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3"/>
              <c:layout>
                <c:manualLayout>
                  <c:x val="-0.0982365526835733"/>
                  <c:y val="-0.0093101862431833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社会保障和就业支出, </a:t>
                    </a:r>
                    <a:r>
                      <a:rPr lang="en-US" altLang="zh-CN"/>
                      <a:t>214.61</a:t>
                    </a:r>
                    <a:r>
                      <a:t>, </a:t>
                    </a:r>
                    <a:r>
                      <a:rPr lang="en-US" altLang="zh-CN"/>
                      <a:t>6.94</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4"/>
              <c:layout>
                <c:manualLayout>
                  <c:x val="-0.164544655679742"/>
                  <c:y val="-0.024555120467966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医疗卫生与计划生育支出, 2</a:t>
                    </a:r>
                    <a:r>
                      <a:rPr lang="en-US" altLang="zh-CN"/>
                      <a:t>62.39</a:t>
                    </a:r>
                    <a:r>
                      <a:t>, </a:t>
                    </a:r>
                    <a:r>
                      <a:rPr lang="en-US" altLang="zh-CN"/>
                      <a:t>8.49</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5"/>
              <c:layout>
                <c:manualLayout>
                  <c:x val="-0.124725185272891"/>
                  <c:y val="-0.075265047782169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节能环保支出, </a:t>
                    </a:r>
                    <a:r>
                      <a:rPr lang="en-US" altLang="zh-CN"/>
                      <a:t>0.35</a:t>
                    </a:r>
                    <a:r>
                      <a:t>, </a:t>
                    </a:r>
                    <a:r>
                      <a:rPr lang="en-US" altLang="zh-CN"/>
                      <a:t>0.01</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6"/>
              <c:layout>
                <c:manualLayout>
                  <c:x val="-0.016819465198767"/>
                  <c:y val="0.0085113857358509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农林水支出, </a:t>
                    </a:r>
                    <a:r>
                      <a:rPr lang="en-US" altLang="zh-CN"/>
                      <a:t>644.91</a:t>
                    </a:r>
                    <a:r>
                      <a:t>, </a:t>
                    </a:r>
                    <a:r>
                      <a:rPr lang="en-US" altLang="zh-CN"/>
                      <a:t>8.49</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7"/>
              <c:layout>
                <c:manualLayout>
                  <c:x val="-0.184425073288896"/>
                  <c:y val="0.09953004307689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交通运输支出, </a:t>
                    </a:r>
                    <a:r>
                      <a:rPr lang="en-US" altLang="zh-CN"/>
                      <a:t>6.03</a:t>
                    </a:r>
                    <a:r>
                      <a:t>, 0</a:t>
                    </a:r>
                    <a:r>
                      <a:rPr lang="en-US" altLang="zh-CN"/>
                      <a:t>.19</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8"/>
              <c:layout>
                <c:manualLayout>
                  <c:x val="-0.183235849137297"/>
                  <c:y val="0.06161359265226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住房保障支出, </a:t>
                    </a:r>
                    <a:r>
                      <a:rPr lang="en-US" altLang="zh-CN"/>
                      <a:t>134.74</a:t>
                    </a:r>
                    <a:r>
                      <a:t>, </a:t>
                    </a:r>
                    <a:r>
                      <a:rPr lang="en-US" altLang="zh-CN"/>
                      <a:t>1.39</a:t>
                    </a:r>
                    <a:r>
                      <a:t>%</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'[四川省巴中市通江县泥溪镇人民政府（汇总）.XLS]Sheet1'!$A$1:$J$1</c:f>
              <c:strCache>
                <c:ptCount val="10"/>
                <c:pt idx="0">
                  <c:v>一般公共服务支出</c:v>
                </c:pt>
                <c:pt idx="1">
                  <c:v>教育支出</c:v>
                </c:pt>
                <c:pt idx="2">
                  <c:v>文化体育与传媒支出</c:v>
                </c:pt>
                <c:pt idx="3">
                  <c:v>社会保障和就业支出</c:v>
                </c:pt>
                <c:pt idx="4">
                  <c:v>医疗卫生与计划生育支出</c:v>
                </c:pt>
                <c:pt idx="5">
                  <c:v>节能环保支出</c:v>
                </c:pt>
                <c:pt idx="6">
                  <c:v>农林水支出</c:v>
                </c:pt>
                <c:pt idx="7">
                  <c:v>交通运输支出</c:v>
                </c:pt>
                <c:pt idx="8">
                  <c:v>住房保障支出</c:v>
                </c:pt>
                <c:pt idx="9">
                  <c:v>其他支出</c:v>
                </c:pt>
              </c:strCache>
            </c:strRef>
          </c:cat>
          <c:val>
            <c:numRef>
              <c:f>'[四川省巴中市通江县泥溪镇人民政府（汇总）.XLS]Sheet1'!$A$2:$J$2</c:f>
              <c:numCache>
                <c:formatCode>#,##0.00</c:formatCode>
                <c:ptCount val="10"/>
                <c:pt idx="0">
                  <c:v>252.05</c:v>
                </c:pt>
                <c:pt idx="1">
                  <c:v>1610.84</c:v>
                </c:pt>
                <c:pt idx="2">
                  <c:v>20.65</c:v>
                </c:pt>
                <c:pt idx="3">
                  <c:v>186.12</c:v>
                </c:pt>
                <c:pt idx="4">
                  <c:v>239.44</c:v>
                </c:pt>
                <c:pt idx="5">
                  <c:v>48.37</c:v>
                </c:pt>
                <c:pt idx="6">
                  <c:v>837.55</c:v>
                </c:pt>
                <c:pt idx="7">
                  <c:v>12.71</c:v>
                </c:pt>
                <c:pt idx="8">
                  <c:v>332.91</c:v>
                </c:pt>
                <c:pt idx="9">
                  <c:v>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manualLayout>
          <c:xMode val="edge"/>
          <c:yMode val="edge"/>
          <c:x val="0.243611111111111"/>
          <c:y val="0.0114583333333333"/>
        </c:manualLayout>
      </c:layout>
      <c:overlay val="0"/>
      <c:spPr>
        <a:noFill/>
        <a:ln>
          <a:noFill/>
        </a:ln>
        <a:effectLst/>
      </c:spPr>
    </c:title>
    <c:autoTitleDeleted val="0"/>
    <c:plotArea>
      <c:layout/>
      <c:pieChart>
        <c:varyColors val="1"/>
        <c:ser>
          <c:idx val="0"/>
          <c:order val="0"/>
          <c:spPr>
            <a:solidFill>
              <a:schemeClr val="tx2">
                <a:lumMod val="20000"/>
                <a:lumOff val="80000"/>
              </a:schemeClr>
            </a:solidFill>
          </c:spPr>
          <c:explosion val="0"/>
          <c:dPt>
            <c:idx val="0"/>
            <c:bubble3D val="0"/>
            <c:spPr>
              <a:solidFill>
                <a:schemeClr val="tx2">
                  <a:lumMod val="20000"/>
                  <a:lumOff val="80000"/>
                </a:schemeClr>
              </a:solidFill>
              <a:ln w="19050">
                <a:solidFill>
                  <a:schemeClr val="lt1"/>
                </a:solidFill>
              </a:ln>
              <a:effectLst/>
            </c:spPr>
          </c:dPt>
          <c:dPt>
            <c:idx val="1"/>
            <c:bubble3D val="0"/>
            <c:spPr>
              <a:solidFill>
                <a:schemeClr val="tx2">
                  <a:lumMod val="20000"/>
                  <a:lumOff val="80000"/>
                </a:schemeClr>
              </a:solidFill>
              <a:ln w="19050">
                <a:solidFill>
                  <a:schemeClr val="lt1"/>
                </a:solidFill>
              </a:ln>
              <a:effectLst/>
            </c:spPr>
          </c:dPt>
          <c:dPt>
            <c:idx val="2"/>
            <c:bubble3D val="0"/>
            <c:spPr>
              <a:solidFill>
                <a:schemeClr val="accent1"/>
              </a:solidFill>
              <a:ln w="19050">
                <a:solidFill>
                  <a:schemeClr val="lt1"/>
                </a:solidFill>
              </a:ln>
              <a:effectLst/>
            </c:spPr>
          </c:dPt>
          <c:dLbls>
            <c:dLbl>
              <c:idx val="0"/>
              <c:layout>
                <c:manualLayout>
                  <c:x val="0.13125"/>
                  <c:y val="0.0694444444444444"/>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225260320210742"/>
                  <c:y val="0.0621481481499501"/>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00492418604217537"/>
                  <c:y val="-0.14963545692825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公务接待费支出决算, 2</a:t>
                    </a:r>
                    <a:r>
                      <a:rPr lang="en-US" altLang="zh-CN"/>
                      <a:t>.23</a:t>
                    </a:r>
                    <a:r>
                      <a:t>, 100%</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'[四川省巴中市通江县泥溪镇人民政府（汇总）.XLS]Sheet1'!$A$5:$C$5</c:f>
              <c:strCache>
                <c:ptCount val="3"/>
                <c:pt idx="0">
                  <c:v>因公出国（境）费支出决算</c:v>
                </c:pt>
                <c:pt idx="1">
                  <c:v>公务用车购置及运行维护费支出决算</c:v>
                </c:pt>
                <c:pt idx="2">
                  <c:v>公务接待费支出决算</c:v>
                </c:pt>
              </c:strCache>
            </c:strRef>
          </c:cat>
          <c:val>
            <c:numRef>
              <c:f>'[四川省巴中市通江县泥溪镇人民政府（汇总）.XLS]Sheet1'!$A$6:$C$6</c:f>
              <c:numCache>
                <c:formatCode>General</c:formatCode>
                <c:ptCount val="3"/>
                <c:pt idx="0">
                  <c:v>0</c:v>
                </c:pt>
                <c:pt idx="1">
                  <c:v>0</c:v>
                </c:pt>
                <c:pt idx="2">
                  <c:v>2.75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49</Pages>
  <Words>17154</Words>
  <Characters>18559</Characters>
  <Lines>165</Lines>
  <Paragraphs>46</Paragraphs>
  <TotalTime>5</TotalTime>
  <ScaleCrop>false</ScaleCrop>
  <LinksUpToDate>false</LinksUpToDate>
  <CharactersWithSpaces>18740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2024-01-15T02:19:47Z</dcterms:modified>
  <dc:title>四川省***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E464DAC8220E475AA41FF20B301BEEEB</vt:lpwstr>
  </property>
</Properties>
</file>