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default" w:ascii="Times New Roman" w:hAnsi="Times New Roman" w:eastAsia="方正小标宋简体" w:cs="Times New Roman"/>
          <w:color w:val="000000"/>
          <w:kern w:val="3"/>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color w:val="000000"/>
          <w:kern w:val="3"/>
          <w:sz w:val="72"/>
          <w:szCs w:val="72"/>
        </w:rPr>
      </w:pPr>
      <w:bookmarkStart w:id="1" w:name="_Toc15396597"/>
      <w:bookmarkStart w:id="2" w:name="_Toc15396475"/>
      <w:bookmarkStart w:id="3" w:name="_Toc15377193"/>
      <w:bookmarkStart w:id="4" w:name="_Toc15377425"/>
      <w:bookmarkStart w:id="5" w:name="_Toc15378441"/>
      <w:r>
        <w:rPr>
          <w:rFonts w:hint="default" w:ascii="Times New Roman" w:hAnsi="Times New Roman" w:eastAsia="黑体" w:cs="Times New Roman"/>
          <w:color w:val="000000"/>
          <w:kern w:val="3"/>
          <w:sz w:val="72"/>
          <w:szCs w:val="72"/>
        </w:rPr>
        <w:t>20</w:t>
      </w:r>
      <w:r>
        <w:rPr>
          <w:rFonts w:hint="default" w:ascii="Times New Roman" w:hAnsi="Times New Roman" w:eastAsia="黑体" w:cs="Times New Roman"/>
          <w:color w:val="000000"/>
          <w:kern w:val="3"/>
          <w:sz w:val="72"/>
          <w:szCs w:val="72"/>
          <w:lang w:val="en-US" w:eastAsia="zh-CN"/>
        </w:rPr>
        <w:t>20</w:t>
      </w:r>
      <w:r>
        <w:rPr>
          <w:rFonts w:hint="default" w:ascii="Times New Roman" w:hAnsi="Times New Roman" w:eastAsia="方正小标宋简体" w:cs="Times New Roman"/>
          <w:color w:val="000000"/>
          <w:kern w:val="3"/>
          <w:sz w:val="72"/>
          <w:szCs w:val="72"/>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color w:val="000000"/>
          <w:kern w:val="3"/>
          <w:sz w:val="72"/>
          <w:szCs w:val="72"/>
          <w:lang w:eastAsia="zh-CN"/>
        </w:rPr>
      </w:pPr>
      <w:bookmarkStart w:id="6" w:name="_Toc15377194"/>
      <w:bookmarkStart w:id="7" w:name="_Toc15396476"/>
      <w:bookmarkStart w:id="8" w:name="_Toc15396598"/>
      <w:bookmarkStart w:id="9" w:name="_Toc15378442"/>
      <w:bookmarkStart w:id="10" w:name="_Toc15377426"/>
      <w:r>
        <w:rPr>
          <w:rFonts w:hint="default" w:ascii="Times New Roman" w:hAnsi="Times New Roman" w:eastAsia="方正小标宋简体" w:cs="Times New Roman"/>
          <w:color w:val="000000"/>
          <w:kern w:val="3"/>
          <w:sz w:val="72"/>
          <w:szCs w:val="72"/>
        </w:rPr>
        <w:t>四川省</w:t>
      </w:r>
      <w:bookmarkEnd w:id="0"/>
      <w:bookmarkStart w:id="11" w:name="_Toc15306268"/>
      <w:r>
        <w:rPr>
          <w:rFonts w:hint="default" w:ascii="Times New Roman" w:hAnsi="Times New Roman" w:eastAsia="方正小标宋简体" w:cs="Times New Roman"/>
          <w:color w:val="000000"/>
          <w:kern w:val="3"/>
          <w:sz w:val="72"/>
          <w:szCs w:val="72"/>
          <w:lang w:eastAsia="zh-CN"/>
        </w:rPr>
        <w:t>通江县信访局</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color w:val="000000"/>
          <w:kern w:val="3"/>
          <w:sz w:val="72"/>
          <w:szCs w:val="72"/>
        </w:rPr>
      </w:pPr>
      <w:r>
        <w:rPr>
          <w:rFonts w:hint="default" w:ascii="Times New Roman" w:hAnsi="Times New Roman" w:eastAsia="方正小标宋简体" w:cs="Times New Roman"/>
          <w:color w:val="000000"/>
          <w:kern w:val="3"/>
          <w:sz w:val="72"/>
          <w:szCs w:val="72"/>
        </w:rPr>
        <w:t>部门决算</w:t>
      </w:r>
      <w:bookmarkEnd w:id="6"/>
      <w:bookmarkEnd w:id="7"/>
      <w:bookmarkEnd w:id="8"/>
      <w:bookmarkEnd w:id="9"/>
      <w:bookmarkEnd w:id="10"/>
      <w:bookmarkEnd w:id="11"/>
    </w:p>
    <w:p>
      <w:pPr>
        <w:adjustRightInd w:val="0"/>
        <w:snapToGrid w:val="0"/>
        <w:spacing w:line="360" w:lineRule="auto"/>
        <w:jc w:val="both"/>
        <w:outlineLvl w:val="0"/>
        <w:rPr>
          <w:rFonts w:hint="default" w:ascii="Times New Roman" w:hAnsi="Times New Roman" w:eastAsia="方正小标宋简体" w:cs="Times New Roman"/>
          <w:color w:val="000000"/>
          <w:sz w:val="52"/>
          <w:szCs w:val="52"/>
        </w:rPr>
      </w:pPr>
    </w:p>
    <w:p>
      <w:pPr>
        <w:adjustRightInd w:val="0"/>
        <w:snapToGrid w:val="0"/>
        <w:spacing w:line="360" w:lineRule="auto"/>
        <w:jc w:val="both"/>
        <w:outlineLvl w:val="0"/>
        <w:rPr>
          <w:rFonts w:hint="default" w:ascii="Times New Roman" w:hAnsi="Times New Roman" w:eastAsia="方正小标宋简体" w:cs="Times New Roman"/>
          <w:color w:val="000000"/>
          <w:sz w:val="52"/>
          <w:szCs w:val="52"/>
        </w:rPr>
      </w:pPr>
    </w:p>
    <w:p>
      <w:pPr>
        <w:adjustRightInd w:val="0"/>
        <w:snapToGrid w:val="0"/>
        <w:spacing w:line="360" w:lineRule="auto"/>
        <w:jc w:val="both"/>
        <w:outlineLvl w:val="0"/>
        <w:rPr>
          <w:rFonts w:hint="default" w:ascii="Times New Roman" w:hAnsi="Times New Roman" w:eastAsia="方正小标宋简体" w:cs="Times New Roman"/>
          <w:color w:val="000000"/>
          <w:sz w:val="52"/>
          <w:szCs w:val="52"/>
        </w:rPr>
      </w:pPr>
    </w:p>
    <w:p>
      <w:pPr>
        <w:pStyle w:val="1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公开时间：202</w:t>
      </w:r>
      <w:r>
        <w:rPr>
          <w:rFonts w:hint="default" w:ascii="Times New Roman" w:hAnsi="Times New Roman" w:eastAsia="楷体_GB2312" w:cs="Times New Roman"/>
          <w:b w:val="0"/>
          <w:bCs w:val="0"/>
          <w:sz w:val="32"/>
          <w:szCs w:val="32"/>
          <w:lang w:val="en-US" w:eastAsia="zh-CN"/>
        </w:rPr>
        <w:t>1</w:t>
      </w:r>
      <w:r>
        <w:rPr>
          <w:rFonts w:hint="default" w:ascii="Times New Roman" w:hAnsi="Times New Roman" w:eastAsia="楷体_GB2312" w:cs="Times New Roman"/>
          <w:b w:val="0"/>
          <w:bCs w:val="0"/>
          <w:sz w:val="32"/>
          <w:szCs w:val="32"/>
        </w:rPr>
        <w:t>年10月</w:t>
      </w:r>
      <w:r>
        <w:rPr>
          <w:rFonts w:hint="eastAsia" w:ascii="Times New Roman" w:hAnsi="Times New Roman" w:eastAsia="楷体_GB2312" w:cs="Times New Roman"/>
          <w:b w:val="0"/>
          <w:bCs w:val="0"/>
          <w:sz w:val="32"/>
          <w:szCs w:val="32"/>
          <w:lang w:val="en-US" w:eastAsia="zh-CN"/>
        </w:rPr>
        <w:t>15</w:t>
      </w:r>
      <w:r>
        <w:rPr>
          <w:rFonts w:hint="default" w:ascii="Times New Roman" w:hAnsi="Times New Roman" w:eastAsia="楷体_GB2312" w:cs="Times New Roman"/>
          <w:b w:val="0"/>
          <w:bCs w:val="0"/>
          <w:sz w:val="32"/>
          <w:szCs w:val="32"/>
        </w:rPr>
        <w:t>日</w:t>
      </w:r>
    </w:p>
    <w:p>
      <w:pPr>
        <w:widowControl/>
        <w:jc w:val="center"/>
        <w:rPr>
          <w:rFonts w:hint="default" w:ascii="Times New Roman" w:hAnsi="Times New Roman" w:eastAsia="黑体" w:cs="Times New Roman"/>
          <w:b/>
          <w:bCs/>
          <w:color w:val="000000"/>
          <w:sz w:val="44"/>
          <w:szCs w:val="44"/>
        </w:rPr>
        <w:sectPr>
          <w:headerReference r:id="rId3" w:type="default"/>
          <w:footerReference r:id="rId4" w:type="default"/>
          <w:pgSz w:w="11906" w:h="16838"/>
          <w:pgMar w:top="2098" w:right="1474" w:bottom="1984" w:left="1587" w:header="851" w:footer="992" w:gutter="0"/>
          <w:pgNumType w:fmt="decimal" w:start="1"/>
          <w:cols w:space="425" w:num="1"/>
          <w:titlePg/>
          <w:docGrid w:type="lines" w:linePitch="312" w:charSpace="0"/>
        </w:sectPr>
      </w:pPr>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黑体" w:cs="Times New Roman"/>
          <w:b/>
          <w:bCs/>
          <w:color w:val="000000"/>
          <w:sz w:val="44"/>
          <w:szCs w:val="44"/>
        </w:rPr>
        <w:t>目</w:t>
      </w:r>
      <w:r>
        <w:rPr>
          <w:rFonts w:hint="default" w:ascii="Times New Roman" w:hAnsi="Times New Roman" w:eastAsia="黑体" w:cs="Times New Roman"/>
          <w:b/>
          <w:bCs/>
          <w:color w:val="000000"/>
          <w:sz w:val="44"/>
          <w:szCs w:val="44"/>
          <w:lang w:val="en-US" w:eastAsia="zh-CN"/>
        </w:rPr>
        <w:t xml:space="preserve">  </w:t>
      </w:r>
      <w:r>
        <w:rPr>
          <w:rFonts w:hint="default" w:ascii="Times New Roman" w:hAnsi="Times New Roman" w:eastAsia="黑体" w:cs="Times New Roman"/>
          <w:b/>
          <w:bCs/>
          <w:color w:val="000000"/>
          <w:sz w:val="44"/>
          <w:szCs w:val="44"/>
        </w:rPr>
        <w:t>录</w:t>
      </w:r>
    </w:p>
    <w:p>
      <w:pPr>
        <w:pStyle w:val="10"/>
        <w:tabs>
          <w:tab w:val="right" w:leader="dot" w:pos="8845"/>
          <w:tab w:val="clear" w:pos="8296"/>
        </w:tabs>
        <w:rPr>
          <w:rFonts w:hint="eastAsia" w:ascii="黑体" w:hAnsi="黑体" w:eastAsia="黑体" w:cs="黑体"/>
          <w:sz w:val="24"/>
          <w:szCs w:val="24"/>
        </w:rPr>
      </w:pPr>
      <w:bookmarkStart w:id="12" w:name="_Toc15396599"/>
      <w:bookmarkStart w:id="13" w:name="_Toc15377196"/>
      <w:r>
        <w:rPr>
          <w:rFonts w:hint="eastAsia" w:ascii="黑体" w:hAnsi="黑体" w:eastAsia="黑体" w:cs="黑体"/>
          <w:b/>
          <w:bCs w:val="0"/>
          <w:sz w:val="24"/>
          <w:szCs w:val="24"/>
        </w:rPr>
        <w:fldChar w:fldCharType="begin"/>
      </w:r>
      <w:r>
        <w:rPr>
          <w:rFonts w:hint="eastAsia" w:ascii="黑体" w:hAnsi="黑体" w:eastAsia="黑体" w:cs="黑体"/>
          <w:b/>
          <w:bCs w:val="0"/>
          <w:sz w:val="24"/>
          <w:szCs w:val="24"/>
        </w:rPr>
        <w:instrText xml:space="preserve">TOC \o "1-3" \h \u </w:instrText>
      </w:r>
      <w:r>
        <w:rPr>
          <w:rFonts w:hint="eastAsia" w:ascii="黑体" w:hAnsi="黑体" w:eastAsia="黑体" w:cs="黑体"/>
          <w:b/>
          <w:bCs w:val="0"/>
          <w:sz w:val="24"/>
          <w:szCs w:val="24"/>
        </w:rPr>
        <w:fldChar w:fldCharType="separate"/>
      </w: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_Toc4823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rPr>
        <w:t>第一部分部门概况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_Toc4823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_Toc17430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一、基</w:t>
      </w:r>
      <w:r>
        <w:rPr>
          <w:rFonts w:hint="eastAsia" w:ascii="黑体" w:hAnsi="黑体" w:eastAsia="黑体" w:cs="黑体"/>
          <w:bCs w:val="0"/>
          <w:sz w:val="24"/>
          <w:szCs w:val="24"/>
        </w:rPr>
        <w:t>本职能及主要工作</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_Toc17430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_Toc8226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rPr>
        <w:t>（一）主要职能</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_Toc8226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_Toc23059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lang w:eastAsia="zh-CN"/>
        </w:rPr>
        <w:t>（</w:t>
      </w:r>
      <w:r>
        <w:rPr>
          <w:rFonts w:hint="eastAsia" w:ascii="黑体" w:hAnsi="黑体" w:eastAsia="黑体" w:cs="黑体"/>
          <w:bCs w:val="0"/>
          <w:sz w:val="24"/>
          <w:szCs w:val="24"/>
        </w:rPr>
        <w:t>二）20</w:t>
      </w:r>
      <w:r>
        <w:rPr>
          <w:rFonts w:hint="eastAsia" w:ascii="黑体" w:hAnsi="黑体" w:eastAsia="黑体" w:cs="黑体"/>
          <w:bCs w:val="0"/>
          <w:sz w:val="24"/>
          <w:szCs w:val="24"/>
          <w:lang w:val="en-US" w:eastAsia="zh-CN"/>
        </w:rPr>
        <w:t>20</w:t>
      </w:r>
      <w:r>
        <w:rPr>
          <w:rFonts w:hint="eastAsia" w:ascii="黑体" w:hAnsi="黑体" w:eastAsia="黑体" w:cs="黑体"/>
          <w:bCs w:val="0"/>
          <w:sz w:val="24"/>
          <w:szCs w:val="24"/>
        </w:rPr>
        <w:t>年重点工作</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_Toc23059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_Toc10670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二、机</w:t>
      </w:r>
      <w:r>
        <w:rPr>
          <w:rFonts w:hint="eastAsia" w:ascii="黑体" w:hAnsi="黑体" w:eastAsia="黑体" w:cs="黑体"/>
          <w:bCs w:val="0"/>
          <w:sz w:val="24"/>
          <w:szCs w:val="24"/>
        </w:rPr>
        <w:t>构设置</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_Toc10670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0"/>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_Toc19335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rPr>
        <w:t>第二部分20</w:t>
      </w:r>
      <w:r>
        <w:rPr>
          <w:rFonts w:hint="eastAsia" w:ascii="黑体" w:hAnsi="黑体" w:eastAsia="黑体" w:cs="黑体"/>
          <w:bCs w:val="0"/>
          <w:sz w:val="24"/>
          <w:szCs w:val="24"/>
          <w:lang w:val="en-US" w:eastAsia="zh-CN"/>
        </w:rPr>
        <w:t>20</w:t>
      </w:r>
      <w:r>
        <w:rPr>
          <w:rFonts w:hint="eastAsia" w:ascii="黑体" w:hAnsi="黑体" w:eastAsia="黑体" w:cs="黑体"/>
          <w:bCs w:val="0"/>
          <w:sz w:val="24"/>
          <w:szCs w:val="24"/>
        </w:rPr>
        <w:t>年度部门决算情况说明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_Toc19335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_Toc22836 </w:instrText>
      </w:r>
      <w:r>
        <w:rPr>
          <w:rFonts w:hint="eastAsia" w:ascii="黑体" w:hAnsi="黑体" w:eastAsia="黑体" w:cs="黑体"/>
          <w:bCs w:val="0"/>
          <w:sz w:val="24"/>
          <w:szCs w:val="24"/>
        </w:rPr>
        <w:fldChar w:fldCharType="separate"/>
      </w:r>
      <w:r>
        <w:rPr>
          <w:rFonts w:hint="eastAsia" w:ascii="黑体" w:hAnsi="黑体" w:eastAsia="黑体" w:cs="黑体"/>
          <w:sz w:val="24"/>
          <w:szCs w:val="24"/>
          <w:lang w:eastAsia="zh-CN"/>
        </w:rPr>
        <w:t>一、</w:t>
      </w:r>
      <w:r>
        <w:rPr>
          <w:rFonts w:hint="eastAsia" w:ascii="黑体" w:hAnsi="黑体" w:eastAsia="黑体" w:cs="黑体"/>
          <w:sz w:val="24"/>
          <w:szCs w:val="24"/>
        </w:rPr>
        <w:t>收入支出决算总体情况说明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_Toc22836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_Toc9969 </w:instrText>
      </w:r>
      <w:r>
        <w:rPr>
          <w:rFonts w:hint="eastAsia" w:ascii="黑体" w:hAnsi="黑体" w:eastAsia="黑体" w:cs="黑体"/>
          <w:bCs w:val="0"/>
          <w:sz w:val="24"/>
          <w:szCs w:val="24"/>
        </w:rPr>
        <w:fldChar w:fldCharType="separate"/>
      </w:r>
      <w:r>
        <w:rPr>
          <w:rFonts w:hint="eastAsia" w:ascii="黑体" w:hAnsi="黑体" w:eastAsia="黑体" w:cs="黑体"/>
          <w:sz w:val="24"/>
          <w:szCs w:val="24"/>
          <w:lang w:eastAsia="zh-CN"/>
        </w:rPr>
        <w:t>二、</w:t>
      </w:r>
      <w:r>
        <w:rPr>
          <w:rFonts w:hint="eastAsia" w:ascii="黑体" w:hAnsi="黑体" w:eastAsia="黑体" w:cs="黑体"/>
          <w:sz w:val="24"/>
          <w:szCs w:val="24"/>
        </w:rPr>
        <w:t>收入决算情况说明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_Toc9969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_Toc14678 </w:instrText>
      </w:r>
      <w:r>
        <w:rPr>
          <w:rFonts w:hint="eastAsia" w:ascii="黑体" w:hAnsi="黑体" w:eastAsia="黑体" w:cs="黑体"/>
          <w:bCs w:val="0"/>
          <w:sz w:val="24"/>
          <w:szCs w:val="24"/>
        </w:rPr>
        <w:fldChar w:fldCharType="separate"/>
      </w:r>
      <w:r>
        <w:rPr>
          <w:rFonts w:hint="eastAsia" w:ascii="黑体" w:hAnsi="黑体" w:eastAsia="黑体" w:cs="黑体"/>
          <w:sz w:val="24"/>
          <w:szCs w:val="24"/>
          <w:lang w:eastAsia="zh-CN"/>
        </w:rPr>
        <w:t>三、</w:t>
      </w:r>
      <w:r>
        <w:rPr>
          <w:rFonts w:hint="eastAsia" w:ascii="黑体" w:hAnsi="黑体" w:eastAsia="黑体" w:cs="黑体"/>
          <w:sz w:val="24"/>
          <w:szCs w:val="24"/>
        </w:rPr>
        <w:t>支出决算情况说明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_Toc14678 </w:instrText>
      </w:r>
      <w:r>
        <w:rPr>
          <w:rFonts w:hint="eastAsia" w:ascii="黑体" w:hAnsi="黑体" w:eastAsia="黑体" w:cs="黑体"/>
          <w:sz w:val="24"/>
          <w:szCs w:val="24"/>
        </w:rPr>
        <w:fldChar w:fldCharType="separate"/>
      </w:r>
      <w:r>
        <w:rPr>
          <w:rFonts w:hint="eastAsia" w:ascii="黑体" w:hAnsi="黑体" w:eastAsia="黑体" w:cs="黑体"/>
          <w:sz w:val="24"/>
          <w:szCs w:val="24"/>
        </w:rPr>
        <w:t>5</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_Toc30352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四、财政拨款收入支出决算总体情况说明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_Toc30352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_Toc30240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五、一般公共预算财政拨款支出决算情况说明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_Toc30240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_Toc17657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rPr>
        <w:t>（一）一般公共预算财政拨款支出决算总体情况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_Toc17657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_Toc767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（二）一般公共预算财政拨款支出决算结构情况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_Toc767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_Toc20400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（三）一般公共预算财政拨款支出决算具体情况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_Toc20400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_Toc515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六、一般公共预算财政拨款基本支出决算情况说明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_Toc515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_Toc23497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七、“三公”经费财政拨款支出决算情况说明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_Toc23497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_Toc3689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（一）“三公”经费财政拨款支出决算总体情况说明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_Toc3689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_Toc16416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（二）“三公”经费财政拨款支出决算具体情况说明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_Toc16416 </w:instrText>
      </w:r>
      <w:r>
        <w:rPr>
          <w:rFonts w:hint="eastAsia" w:ascii="黑体" w:hAnsi="黑体" w:eastAsia="黑体" w:cs="黑体"/>
          <w:sz w:val="24"/>
          <w:szCs w:val="24"/>
        </w:rPr>
        <w:fldChar w:fldCharType="separate"/>
      </w:r>
      <w:r>
        <w:rPr>
          <w:rFonts w:hint="eastAsia" w:ascii="黑体" w:hAnsi="黑体" w:eastAsia="黑体" w:cs="黑体"/>
          <w:sz w:val="24"/>
          <w:szCs w:val="24"/>
        </w:rPr>
        <w:t>10</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_Toc29162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八、政府性基金预算支出决算情况说明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_Toc29162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_Toc23724 </w:instrText>
      </w:r>
      <w:r>
        <w:rPr>
          <w:rFonts w:hint="eastAsia" w:ascii="黑体" w:hAnsi="黑体" w:eastAsia="黑体" w:cs="黑体"/>
          <w:bCs w:val="0"/>
          <w:sz w:val="24"/>
          <w:szCs w:val="24"/>
        </w:rPr>
        <w:fldChar w:fldCharType="separate"/>
      </w:r>
      <w:r>
        <w:rPr>
          <w:rFonts w:hint="eastAsia" w:ascii="黑体" w:hAnsi="黑体" w:eastAsia="黑体" w:cs="黑体"/>
          <w:sz w:val="24"/>
          <w:szCs w:val="24"/>
          <w:lang w:eastAsia="zh-CN"/>
        </w:rPr>
        <w:t>九、</w:t>
      </w:r>
      <w:r>
        <w:rPr>
          <w:rFonts w:hint="eastAsia" w:ascii="黑体" w:hAnsi="黑体" w:eastAsia="黑体" w:cs="黑体"/>
          <w:sz w:val="24"/>
          <w:szCs w:val="24"/>
        </w:rPr>
        <w:t>国有资本经营预算支出决算情况说明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_Toc23724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_Toc23866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十、其他重要事项的情况说明</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_Toc23866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_Toc5506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rPr>
        <w:t>（一）机关运行经费支出情况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_Toc5506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_Toc2432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rPr>
        <w:t>（二）政府采购支出情况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_Toc2432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_Toc14065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rPr>
        <w:t>（三）国有资产占有使用情况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_Toc14065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6"/>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_Toc12944 </w:instrText>
      </w:r>
      <w:r>
        <w:rPr>
          <w:rFonts w:hint="eastAsia" w:ascii="黑体" w:hAnsi="黑体" w:eastAsia="黑体" w:cs="黑体"/>
          <w:bCs w:val="0"/>
          <w:sz w:val="24"/>
          <w:szCs w:val="24"/>
        </w:rPr>
        <w:fldChar w:fldCharType="separate"/>
      </w:r>
      <w:r>
        <w:rPr>
          <w:rFonts w:hint="eastAsia" w:ascii="黑体" w:hAnsi="黑体" w:eastAsia="黑体" w:cs="黑体"/>
          <w:bCs w:val="0"/>
          <w:sz w:val="24"/>
          <w:szCs w:val="24"/>
        </w:rPr>
        <w:t>（四）预算绩效管理情况。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_Toc12944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0"/>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_Toc4944 </w:instrText>
      </w:r>
      <w:r>
        <w:rPr>
          <w:rFonts w:hint="eastAsia" w:ascii="黑体" w:hAnsi="黑体" w:eastAsia="黑体" w:cs="黑体"/>
          <w:bCs w:val="0"/>
          <w:sz w:val="24"/>
          <w:szCs w:val="24"/>
        </w:rPr>
        <w:fldChar w:fldCharType="separate"/>
      </w:r>
      <w:r>
        <w:rPr>
          <w:rFonts w:hint="eastAsia" w:ascii="黑体" w:hAnsi="黑体" w:eastAsia="黑体" w:cs="黑体"/>
          <w:bCs/>
          <w:sz w:val="24"/>
          <w:szCs w:val="24"/>
          <w:lang w:eastAsia="zh-CN"/>
        </w:rPr>
        <w:t>第三部分</w:t>
      </w:r>
      <w:r>
        <w:rPr>
          <w:rFonts w:hint="eastAsia" w:ascii="黑体" w:hAnsi="黑体" w:eastAsia="黑体" w:cs="黑体"/>
          <w:bCs/>
          <w:sz w:val="24"/>
          <w:szCs w:val="24"/>
          <w:lang w:val="en-US" w:eastAsia="zh-CN"/>
        </w:rPr>
        <w:t xml:space="preserve"> </w:t>
      </w:r>
      <w:r>
        <w:rPr>
          <w:rFonts w:hint="eastAsia" w:ascii="黑体" w:hAnsi="黑体" w:eastAsia="黑体" w:cs="黑体"/>
          <w:bCs/>
          <w:sz w:val="24"/>
          <w:szCs w:val="24"/>
        </w:rPr>
        <w:t>名词解释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_Toc4944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0"/>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_Toc6123 </w:instrText>
      </w:r>
      <w:r>
        <w:rPr>
          <w:rFonts w:hint="eastAsia" w:ascii="黑体" w:hAnsi="黑体" w:eastAsia="黑体" w:cs="黑体"/>
          <w:bCs w:val="0"/>
          <w:sz w:val="24"/>
          <w:szCs w:val="24"/>
        </w:rPr>
        <w:fldChar w:fldCharType="separate"/>
      </w:r>
      <w:r>
        <w:rPr>
          <w:rFonts w:hint="eastAsia" w:ascii="黑体" w:hAnsi="黑体" w:eastAsia="黑体" w:cs="黑体"/>
          <w:bCs/>
          <w:sz w:val="24"/>
          <w:szCs w:val="24"/>
        </w:rPr>
        <w:t>第四部分附件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_Toc6123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_Toc28795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附件1</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_Toc28795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1"/>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_Toc25300 </w:instrText>
      </w:r>
      <w:r>
        <w:rPr>
          <w:rFonts w:hint="eastAsia" w:ascii="黑体" w:hAnsi="黑体" w:eastAsia="黑体" w:cs="黑体"/>
          <w:bCs w:val="0"/>
          <w:sz w:val="24"/>
          <w:szCs w:val="24"/>
        </w:rPr>
        <w:fldChar w:fldCharType="separate"/>
      </w:r>
      <w:r>
        <w:rPr>
          <w:rFonts w:hint="eastAsia" w:ascii="黑体" w:hAnsi="黑体" w:eastAsia="黑体" w:cs="黑体"/>
          <w:sz w:val="24"/>
          <w:szCs w:val="24"/>
        </w:rPr>
        <w:t>附件2</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_Toc25300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10"/>
        <w:tabs>
          <w:tab w:val="right" w:leader="dot" w:pos="8845"/>
          <w:tab w:val="clear" w:pos="8296"/>
        </w:tabs>
        <w:rPr>
          <w:rFonts w:hint="eastAsia" w:ascii="黑体" w:hAnsi="黑体" w:eastAsia="黑体" w:cs="黑体"/>
          <w:sz w:val="24"/>
          <w:szCs w:val="24"/>
        </w:rPr>
      </w:pPr>
      <w:r>
        <w:rPr>
          <w:rFonts w:hint="eastAsia" w:ascii="黑体" w:hAnsi="黑体" w:eastAsia="黑体" w:cs="黑体"/>
          <w:bCs w:val="0"/>
          <w:sz w:val="24"/>
          <w:szCs w:val="24"/>
        </w:rPr>
        <w:fldChar w:fldCharType="begin"/>
      </w:r>
      <w:r>
        <w:rPr>
          <w:rFonts w:hint="eastAsia" w:ascii="黑体" w:hAnsi="黑体" w:eastAsia="黑体" w:cs="黑体"/>
          <w:bCs w:val="0"/>
          <w:sz w:val="24"/>
          <w:szCs w:val="24"/>
        </w:rPr>
        <w:instrText xml:space="preserve"> HYPERLINK \l _Toc18972 </w:instrText>
      </w:r>
      <w:r>
        <w:rPr>
          <w:rFonts w:hint="eastAsia" w:ascii="黑体" w:hAnsi="黑体" w:eastAsia="黑体" w:cs="黑体"/>
          <w:bCs w:val="0"/>
          <w:sz w:val="24"/>
          <w:szCs w:val="24"/>
        </w:rPr>
        <w:fldChar w:fldCharType="separate"/>
      </w:r>
      <w:r>
        <w:rPr>
          <w:rFonts w:hint="eastAsia" w:ascii="黑体" w:hAnsi="黑体" w:eastAsia="黑体" w:cs="黑体"/>
          <w:bCs/>
          <w:sz w:val="24"/>
          <w:szCs w:val="24"/>
        </w:rPr>
        <w:t>第五部分</w:t>
      </w:r>
      <w:r>
        <w:rPr>
          <w:rFonts w:hint="eastAsia" w:ascii="黑体" w:hAnsi="黑体" w:eastAsia="黑体" w:cs="黑体"/>
          <w:bCs/>
          <w:sz w:val="24"/>
          <w:szCs w:val="24"/>
          <w:lang w:val="en-US" w:eastAsia="zh-CN"/>
        </w:rPr>
        <w:t xml:space="preserve"> </w:t>
      </w:r>
      <w:r>
        <w:rPr>
          <w:rFonts w:hint="eastAsia" w:ascii="黑体" w:hAnsi="黑体" w:eastAsia="黑体" w:cs="黑体"/>
          <w:bCs/>
          <w:sz w:val="24"/>
          <w:szCs w:val="24"/>
        </w:rPr>
        <w:t>附表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_Toc18972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bCs w:val="0"/>
          <w:sz w:val="24"/>
          <w:szCs w:val="24"/>
        </w:rPr>
        <w:fldChar w:fldCharType="end"/>
      </w:r>
    </w:p>
    <w:p>
      <w:pPr>
        <w:pStyle w:val="2"/>
        <w:keepNext w:val="0"/>
        <w:keepLines w:val="0"/>
        <w:pageBreakBefore w:val="0"/>
        <w:widowControl w:val="0"/>
        <w:kinsoku w:val="0"/>
        <w:wordWrap/>
        <w:overflowPunct w:val="0"/>
        <w:topLinePunct w:val="0"/>
        <w:autoSpaceDE/>
        <w:autoSpaceDN/>
        <w:bidi w:val="0"/>
        <w:adjustRightInd/>
        <w:snapToGrid/>
        <w:spacing w:line="579" w:lineRule="auto"/>
        <w:jc w:val="center"/>
        <w:textAlignment w:val="auto"/>
        <w:rPr>
          <w:rFonts w:hint="eastAsia" w:ascii="黑体" w:hAnsi="黑体" w:eastAsia="黑体" w:cs="黑体"/>
          <w:bCs w:val="0"/>
          <w:sz w:val="24"/>
          <w:szCs w:val="24"/>
        </w:rPr>
      </w:pPr>
      <w:r>
        <w:rPr>
          <w:rFonts w:hint="eastAsia" w:ascii="黑体" w:hAnsi="黑体" w:eastAsia="黑体" w:cs="黑体"/>
          <w:bCs w:val="0"/>
          <w:sz w:val="24"/>
          <w:szCs w:val="24"/>
        </w:rPr>
        <w:fldChar w:fldCharType="end"/>
      </w:r>
      <w:bookmarkStart w:id="14" w:name="_Toc4823"/>
      <w:bookmarkStart w:id="15" w:name="_Toc16278"/>
    </w:p>
    <w:p>
      <w:pPr>
        <w:pStyle w:val="2"/>
        <w:keepNext w:val="0"/>
        <w:keepLines w:val="0"/>
        <w:pageBreakBefore w:val="0"/>
        <w:widowControl w:val="0"/>
        <w:kinsoku w:val="0"/>
        <w:wordWrap/>
        <w:overflowPunct w:val="0"/>
        <w:topLinePunct w:val="0"/>
        <w:autoSpaceDE/>
        <w:autoSpaceDN/>
        <w:bidi w:val="0"/>
        <w:adjustRightInd/>
        <w:snapToGrid/>
        <w:spacing w:line="579" w:lineRule="auto"/>
        <w:jc w:val="center"/>
        <w:textAlignment w:val="auto"/>
        <w:rPr>
          <w:rFonts w:hint="eastAsia" w:ascii="黑体" w:hAnsi="黑体" w:eastAsia="黑体" w:cs="黑体"/>
          <w:bCs w:val="0"/>
          <w:sz w:val="24"/>
          <w:szCs w:val="24"/>
        </w:rPr>
      </w:pPr>
    </w:p>
    <w:p>
      <w:pPr>
        <w:pStyle w:val="2"/>
        <w:keepNext w:val="0"/>
        <w:keepLines w:val="0"/>
        <w:pageBreakBefore w:val="0"/>
        <w:widowControl w:val="0"/>
        <w:kinsoku w:val="0"/>
        <w:wordWrap/>
        <w:overflowPunct w:val="0"/>
        <w:topLinePunct w:val="0"/>
        <w:autoSpaceDE/>
        <w:autoSpaceDN/>
        <w:bidi w:val="0"/>
        <w:adjustRightInd/>
        <w:snapToGrid/>
        <w:spacing w:line="579" w:lineRule="auto"/>
        <w:jc w:val="center"/>
        <w:textAlignment w:val="auto"/>
        <w:rPr>
          <w:rFonts w:hint="default" w:ascii="Times New Roman" w:hAnsi="Times New Roman" w:eastAsia="黑体" w:cs="Times New Roman"/>
          <w:b/>
          <w:bCs w:val="0"/>
          <w:color w:val="000000"/>
          <w:sz w:val="32"/>
          <w:szCs w:val="32"/>
        </w:rPr>
      </w:pPr>
      <w:r>
        <w:rPr>
          <w:rFonts w:hint="default" w:ascii="Times New Roman" w:hAnsi="Times New Roman" w:eastAsia="方正小标宋简体" w:cs="Times New Roman"/>
          <w:b/>
          <w:bCs w:val="0"/>
        </w:rPr>
        <w:t>第一部分</w:t>
      </w:r>
      <w:r>
        <w:rPr>
          <w:rStyle w:val="25"/>
          <w:rFonts w:hint="default" w:ascii="Times New Roman" w:hAnsi="Times New Roman" w:eastAsia="方正小标宋简体" w:cs="Times New Roman"/>
          <w:b/>
          <w:bCs w:val="0"/>
        </w:rPr>
        <w:t>部门概况</w:t>
      </w:r>
      <w:bookmarkEnd w:id="12"/>
      <w:bookmarkEnd w:id="13"/>
      <w:bookmarkEnd w:id="14"/>
      <w:bookmarkEnd w:id="15"/>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Style w:val="26"/>
          <w:rFonts w:hint="default" w:ascii="Times New Roman" w:hAnsi="Times New Roman" w:eastAsia="仿宋" w:cs="Times New Roman"/>
          <w:b w:val="0"/>
          <w:bCs w:val="0"/>
        </w:rPr>
      </w:pPr>
      <w:bookmarkStart w:id="16" w:name="_Toc15377197"/>
      <w:bookmarkStart w:id="17" w:name="_Toc15396600"/>
      <w:bookmarkStart w:id="18" w:name="_Toc22760"/>
      <w:bookmarkStart w:id="19" w:name="_Toc17430"/>
      <w:r>
        <w:rPr>
          <w:rFonts w:hint="default" w:ascii="Times New Roman" w:hAnsi="Times New Roman" w:eastAsia="黑体" w:cs="Times New Roman"/>
          <w:b w:val="0"/>
          <w:color w:val="000000"/>
        </w:rPr>
        <w:t>一、基</w:t>
      </w:r>
      <w:r>
        <w:rPr>
          <w:rStyle w:val="26"/>
          <w:rFonts w:hint="default" w:ascii="Times New Roman" w:hAnsi="Times New Roman" w:eastAsia="黑体" w:cs="Times New Roman"/>
          <w:b w:val="0"/>
          <w:bCs w:val="0"/>
        </w:rPr>
        <w:t>本职能及主要工作</w:t>
      </w:r>
      <w:bookmarkEnd w:id="16"/>
      <w:bookmarkEnd w:id="17"/>
      <w:bookmarkEnd w:id="18"/>
      <w:bookmarkEnd w:id="19"/>
    </w:p>
    <w:p>
      <w:pPr>
        <w:pStyle w:val="5"/>
        <w:keepNext w:val="0"/>
        <w:keepLines w:val="0"/>
        <w:pageBreakBefore w:val="0"/>
        <w:widowControl w:val="0"/>
        <w:kinsoku/>
        <w:wordWrap/>
        <w:overflowPunct/>
        <w:topLinePunct w:val="0"/>
        <w:autoSpaceDE/>
        <w:autoSpaceDN/>
        <w:bidi w:val="0"/>
        <w:adjustRightInd w:val="0"/>
        <w:snapToGrid w:val="0"/>
        <w:spacing w:beforeLines="0" w:line="560" w:lineRule="exact"/>
        <w:ind w:left="0" w:right="0" w:firstLine="643" w:firstLineChars="200"/>
        <w:textAlignment w:val="auto"/>
        <w:outlineLvl w:val="2"/>
        <w:rPr>
          <w:rFonts w:hint="default" w:ascii="Times New Roman" w:hAnsi="Times New Roman" w:eastAsia="楷体_GB2312" w:cs="Times New Roman"/>
          <w:b/>
          <w:bCs w:val="0"/>
          <w:color w:val="000000"/>
          <w:sz w:val="32"/>
          <w:szCs w:val="32"/>
        </w:rPr>
      </w:pPr>
      <w:bookmarkStart w:id="20" w:name="_Toc15378445"/>
      <w:bookmarkStart w:id="21" w:name="_Toc15377198"/>
      <w:bookmarkStart w:id="22" w:name="_Toc8226"/>
      <w:r>
        <w:rPr>
          <w:rFonts w:hint="default" w:ascii="Times New Roman" w:hAnsi="Times New Roman" w:eastAsia="楷体_GB2312" w:cs="Times New Roman"/>
          <w:b/>
          <w:bCs w:val="0"/>
          <w:color w:val="000000"/>
          <w:sz w:val="32"/>
          <w:szCs w:val="32"/>
        </w:rPr>
        <w:t>（一）主要职能</w:t>
      </w:r>
      <w:bookmarkEnd w:id="20"/>
      <w:bookmarkEnd w:id="21"/>
      <w:bookmarkEnd w:id="22"/>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负责处理来信来电，接待来访，听取和收集来信来访人员反映的情况和问题，向来访人提供相关政策和法律法规的咨询服务；</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受理、转送、交办信访人提出的信访事项；</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协调处理各乡镇、县级各部门接待来访中遇到的复杂问题；</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会同有关部门协调处理好群众赴京去省到市上访的劝阻、接访、劝返工作和异常、突发信访事件。</w:t>
      </w:r>
    </w:p>
    <w:p>
      <w:pPr>
        <w:pStyle w:val="5"/>
        <w:keepNext w:val="0"/>
        <w:keepLines w:val="0"/>
        <w:pageBreakBefore w:val="0"/>
        <w:widowControl w:val="0"/>
        <w:kinsoku/>
        <w:wordWrap/>
        <w:overflowPunct/>
        <w:topLinePunct w:val="0"/>
        <w:autoSpaceDE/>
        <w:autoSpaceDN/>
        <w:bidi w:val="0"/>
        <w:adjustRightInd w:val="0"/>
        <w:snapToGrid w:val="0"/>
        <w:spacing w:beforeLines="0" w:line="560" w:lineRule="exact"/>
        <w:ind w:left="0" w:right="0" w:firstLine="643" w:firstLineChars="200"/>
        <w:textAlignment w:val="auto"/>
        <w:outlineLvl w:val="2"/>
        <w:rPr>
          <w:rFonts w:hint="default" w:ascii="Times New Roman" w:hAnsi="Times New Roman" w:eastAsia="楷体_GB2312" w:cs="Times New Roman"/>
          <w:b/>
          <w:bCs w:val="0"/>
          <w:color w:val="000000"/>
          <w:sz w:val="32"/>
          <w:szCs w:val="32"/>
        </w:rPr>
      </w:pPr>
      <w:bookmarkStart w:id="23" w:name="_Toc23059"/>
      <w:r>
        <w:rPr>
          <w:rFonts w:hint="default" w:ascii="Times New Roman" w:hAnsi="Times New Roman" w:eastAsia="楷体_GB2312" w:cs="Times New Roman"/>
          <w:b/>
          <w:bCs w:val="0"/>
          <w:color w:val="000000"/>
          <w:sz w:val="32"/>
          <w:szCs w:val="32"/>
          <w:lang w:eastAsia="zh-CN"/>
        </w:rPr>
        <w:t>（</w:t>
      </w:r>
      <w:r>
        <w:rPr>
          <w:rFonts w:hint="default" w:ascii="Times New Roman" w:hAnsi="Times New Roman" w:eastAsia="楷体_GB2312" w:cs="Times New Roman"/>
          <w:b/>
          <w:bCs w:val="0"/>
          <w:color w:val="000000"/>
          <w:sz w:val="32"/>
          <w:szCs w:val="32"/>
        </w:rPr>
        <w:t>二）20</w:t>
      </w:r>
      <w:r>
        <w:rPr>
          <w:rFonts w:hint="default" w:ascii="Times New Roman" w:hAnsi="Times New Roman" w:eastAsia="楷体_GB2312" w:cs="Times New Roman"/>
          <w:b/>
          <w:bCs w:val="0"/>
          <w:color w:val="000000"/>
          <w:sz w:val="32"/>
          <w:szCs w:val="32"/>
          <w:lang w:val="en-US" w:eastAsia="zh-CN"/>
        </w:rPr>
        <w:t>20</w:t>
      </w:r>
      <w:r>
        <w:rPr>
          <w:rFonts w:hint="default" w:ascii="Times New Roman" w:hAnsi="Times New Roman" w:eastAsia="楷体_GB2312" w:cs="Times New Roman"/>
          <w:b/>
          <w:bCs w:val="0"/>
          <w:color w:val="000000"/>
          <w:sz w:val="32"/>
          <w:szCs w:val="32"/>
        </w:rPr>
        <w:t>年重点工作</w:t>
      </w:r>
      <w:bookmarkEnd w:id="23"/>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始终坚持党的领导，切实守好为民服务初心</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）贯彻党的决策部署，维护社会和谐稳定。</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）大力加强政治建设，永葆对党忠诚本色。</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）狠抓党史学习教育，提升干部政治觉悟。</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）深入开展主题教育，强化服务宗旨意识。</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集中治理重信重访，推动问题及时有效解决</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抓难点，补短板</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）标本兼治，建立化解长效机制。</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）聚焦聚力，加强“三访”专项治理。</w:t>
      </w:r>
    </w:p>
    <w:p>
      <w:pPr>
        <w:keepNext w:val="0"/>
        <w:keepLines w:val="0"/>
        <w:pageBreakBefore w:val="0"/>
        <w:widowControl w:val="0"/>
        <w:kinsoku/>
        <w:wordWrap/>
        <w:overflowPunct/>
        <w:topLinePunct w:val="0"/>
        <w:autoSpaceDE/>
        <w:autoSpaceDN/>
        <w:bidi w:val="0"/>
        <w:spacing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围绕突出矛盾攻坚，持续化解重点领域积案</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）持续抓好领导干部示范攻坚化解突出问题。</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7"/>
          <w:sz w:val="32"/>
          <w:szCs w:val="32"/>
        </w:rPr>
        <w:t>持续攻坚“化解一批拆迁安置还房和国土住建领域信访积案”。</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）持续深入开展“六个一批”工作。</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全面落实“四个加强”，提升信访干部队伍素质</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）加强信访干部队伍建设。</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）加强信访工作规范化建设。</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）加强信访工作基层基础建设。</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）加强信访领域党风廉政建设。</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全力做好信访保障，确保实现“三零五不”目标</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）倾力倾心敏感时段信访维稳工作。</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）落地落实疫情期间矛盾源头防范。</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 w:cs="Times New Roman"/>
          <w:bCs/>
          <w:color w:val="000000"/>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）从严从细抓好常态化疫情防控</w:t>
      </w:r>
      <w:r>
        <w:rPr>
          <w:rFonts w:hint="default" w:ascii="Times New Roman" w:hAnsi="Times New Roman" w:eastAsia="仿宋"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rPr>
          <w:rStyle w:val="26"/>
          <w:rFonts w:hint="default" w:ascii="Times New Roman" w:hAnsi="Times New Roman" w:cs="Times New Roman"/>
          <w:b w:val="0"/>
          <w:bCs w:val="0"/>
        </w:rPr>
      </w:pPr>
      <w:bookmarkStart w:id="24" w:name="_Toc15377200"/>
      <w:bookmarkStart w:id="25" w:name="_Toc15396601"/>
      <w:bookmarkStart w:id="26" w:name="_Toc31294"/>
      <w:bookmarkStart w:id="27" w:name="_Toc10670"/>
      <w:r>
        <w:rPr>
          <w:rFonts w:hint="default" w:ascii="Times New Roman" w:hAnsi="Times New Roman" w:eastAsia="黑体" w:cs="Times New Roman"/>
          <w:b w:val="0"/>
          <w:color w:val="000000"/>
        </w:rPr>
        <w:t>二、机</w:t>
      </w:r>
      <w:r>
        <w:rPr>
          <w:rStyle w:val="26"/>
          <w:rFonts w:hint="default" w:ascii="Times New Roman" w:hAnsi="Times New Roman" w:eastAsia="黑体" w:cs="Times New Roman"/>
          <w:b w:val="0"/>
          <w:bCs w:val="0"/>
        </w:rPr>
        <w:t>构设置</w:t>
      </w:r>
      <w:bookmarkEnd w:id="24"/>
      <w:bookmarkEnd w:id="25"/>
      <w:bookmarkEnd w:id="26"/>
      <w:bookmarkEnd w:id="27"/>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年财政预算财政供给人员</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人，供给车辆</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辆，下属二级预算单位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个，其中行政单位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个，其他事业单位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，为全额财政拨款</w:t>
      </w:r>
      <w:r>
        <w:rPr>
          <w:rFonts w:hint="default" w:ascii="Times New Roman" w:hAnsi="Times New Roman" w:eastAsia="仿宋_GB2312" w:cs="Times New Roman"/>
          <w:sz w:val="32"/>
          <w:szCs w:val="32"/>
        </w:rPr>
        <w:t>。</w:t>
      </w:r>
    </w:p>
    <w:p>
      <w:pPr>
        <w:pStyle w:val="5"/>
        <w:keepNext w:val="0"/>
        <w:keepLines w:val="0"/>
        <w:pageBreakBefore w:val="0"/>
        <w:widowControl w:val="0"/>
        <w:kinsoku/>
        <w:wordWrap/>
        <w:overflowPunct/>
        <w:topLinePunct w:val="0"/>
        <w:autoSpaceDE/>
        <w:autoSpaceDN/>
        <w:bidi w:val="0"/>
        <w:adjustRightInd w:val="0"/>
        <w:snapToGrid w:val="0"/>
        <w:spacing w:beforeLines="0" w:line="560" w:lineRule="exact"/>
        <w:ind w:left="0" w:right="0" w:firstLine="672" w:firstLineChars="210"/>
        <w:textAlignment w:val="auto"/>
        <w:rPr>
          <w:rFonts w:hint="default" w:ascii="Times New Roman" w:hAnsi="Times New Roman" w:cs="Times New Roman"/>
          <w:color w:val="000000"/>
          <w:sz w:val="32"/>
          <w:szCs w:val="32"/>
          <w:lang w:eastAsia="zh-CN"/>
        </w:rPr>
      </w:pPr>
      <w:r>
        <w:rPr>
          <w:rFonts w:hint="default" w:ascii="Times New Roman" w:hAnsi="Times New Roman" w:eastAsia="仿宋_GB2312" w:cs="Times New Roman"/>
          <w:color w:val="000000"/>
          <w:sz w:val="32"/>
          <w:szCs w:val="32"/>
        </w:rPr>
        <w:t>纳入20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年度部门决算编制范围的二级预算单位包括：</w:t>
      </w:r>
      <w:r>
        <w:rPr>
          <w:rFonts w:hint="default" w:ascii="Times New Roman" w:hAnsi="Times New Roman" w:eastAsia="仿宋_GB2312" w:cs="Times New Roman"/>
          <w:color w:val="000000"/>
          <w:sz w:val="32"/>
          <w:szCs w:val="32"/>
          <w:lang w:eastAsia="zh-CN"/>
        </w:rPr>
        <w:t>通江县群众接待中心</w:t>
      </w:r>
      <w:r>
        <w:rPr>
          <w:rFonts w:hint="default" w:ascii="Times New Roman" w:hAnsi="Times New Roman" w:cs="Times New Roman"/>
          <w:color w:val="000000"/>
          <w:sz w:val="32"/>
          <w:szCs w:val="32"/>
          <w:lang w:eastAsia="zh-CN"/>
        </w:rPr>
        <w:t>。</w:t>
      </w:r>
    </w:p>
    <w:p>
      <w:pPr>
        <w:rPr>
          <w:rFonts w:hint="default" w:ascii="Times New Roman" w:hAnsi="Times New Roman" w:cs="Times New Roman"/>
          <w:color w:val="000000"/>
          <w:sz w:val="32"/>
          <w:szCs w:val="32"/>
          <w:lang w:eastAsia="zh-CN"/>
        </w:rPr>
      </w:pPr>
      <w:r>
        <w:br w:type="page"/>
      </w:r>
    </w:p>
    <w:p>
      <w:pPr>
        <w:pStyle w:val="5"/>
        <w:pageBreakBefore w:val="0"/>
        <w:numPr>
          <w:ilvl w:val="0"/>
          <w:numId w:val="0"/>
        </w:numPr>
        <w:kinsoku/>
        <w:wordWrap/>
        <w:overflowPunct/>
        <w:topLinePunct w:val="0"/>
        <w:autoSpaceDE/>
        <w:autoSpaceDN/>
        <w:bidi w:val="0"/>
        <w:adjustRightInd w:val="0"/>
        <w:snapToGrid w:val="0"/>
        <w:spacing w:beforeLines="0" w:line="560" w:lineRule="exact"/>
        <w:ind w:left="0" w:leftChars="0" w:right="0"/>
        <w:jc w:val="center"/>
        <w:textAlignment w:val="auto"/>
        <w:outlineLvl w:val="0"/>
        <w:rPr>
          <w:rStyle w:val="25"/>
          <w:rFonts w:hint="default" w:ascii="Times New Roman" w:hAnsi="Times New Roman" w:eastAsia="黑体" w:cs="Times New Roman"/>
          <w:b w:val="0"/>
          <w:bCs w:val="0"/>
        </w:rPr>
      </w:pPr>
      <w:bookmarkStart w:id="28" w:name="_Toc15396602"/>
      <w:bookmarkStart w:id="29" w:name="_Toc15377204"/>
      <w:bookmarkStart w:id="30" w:name="_Toc17612"/>
      <w:bookmarkStart w:id="31" w:name="_Toc19335"/>
      <w:r>
        <w:rPr>
          <w:rFonts w:hint="default" w:ascii="Times New Roman" w:hAnsi="Times New Roman" w:eastAsia="方正小标宋简体" w:cs="Times New Roman"/>
          <w:b/>
          <w:bCs w:val="0"/>
          <w:color w:val="000000"/>
          <w:sz w:val="44"/>
          <w:szCs w:val="44"/>
        </w:rPr>
        <w:t>第二部分</w:t>
      </w:r>
      <w:r>
        <w:rPr>
          <w:rStyle w:val="25"/>
          <w:rFonts w:hint="default" w:ascii="Times New Roman" w:hAnsi="Times New Roman" w:eastAsia="方正小标宋简体" w:cs="Times New Roman"/>
          <w:b/>
          <w:bCs w:val="0"/>
        </w:rPr>
        <w:t>20</w:t>
      </w:r>
      <w:r>
        <w:rPr>
          <w:rStyle w:val="25"/>
          <w:rFonts w:hint="default" w:ascii="Times New Roman" w:hAnsi="Times New Roman" w:eastAsia="方正小标宋简体" w:cs="Times New Roman"/>
          <w:b/>
          <w:bCs w:val="0"/>
          <w:lang w:val="en-US" w:eastAsia="zh-CN"/>
        </w:rPr>
        <w:t>20</w:t>
      </w:r>
      <w:r>
        <w:rPr>
          <w:rStyle w:val="25"/>
          <w:rFonts w:hint="default" w:ascii="Times New Roman" w:hAnsi="Times New Roman" w:eastAsia="方正小标宋简体" w:cs="Times New Roman"/>
          <w:b/>
          <w:bCs w:val="0"/>
        </w:rPr>
        <w:t>年度部门决算情况说明</w:t>
      </w:r>
      <w:bookmarkEnd w:id="28"/>
      <w:bookmarkEnd w:id="29"/>
      <w:bookmarkEnd w:id="30"/>
      <w:bookmarkEnd w:id="31"/>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1"/>
        <w:rPr>
          <w:rFonts w:hint="default" w:ascii="Times New Roman" w:hAnsi="Times New Roman" w:eastAsia="黑体" w:cs="Times New Roman"/>
          <w:color w:val="000000"/>
          <w:sz w:val="32"/>
          <w:szCs w:val="32"/>
          <w:lang w:eastAsia="zh-CN"/>
        </w:rPr>
      </w:pPr>
      <w:bookmarkStart w:id="32" w:name="_Toc15396603"/>
      <w:bookmarkStart w:id="33" w:name="_Toc15377205"/>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color w:val="000000"/>
          <w:sz w:val="32"/>
          <w:szCs w:val="32"/>
          <w:lang w:eastAsia="zh-CN"/>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Style w:val="26"/>
          <w:rFonts w:hint="default" w:ascii="Times New Roman" w:hAnsi="Times New Roman" w:eastAsia="黑体" w:cs="Times New Roman"/>
          <w:b w:val="0"/>
        </w:rPr>
      </w:pPr>
      <w:bookmarkStart w:id="34" w:name="_Toc22836"/>
      <w:bookmarkStart w:id="35" w:name="_Toc13858"/>
      <w:r>
        <w:rPr>
          <w:rFonts w:hint="default" w:ascii="Times New Roman" w:hAnsi="Times New Roman" w:eastAsia="黑体" w:cs="Times New Roman"/>
          <w:color w:val="000000"/>
          <w:sz w:val="32"/>
          <w:szCs w:val="32"/>
          <w:lang w:eastAsia="zh-CN"/>
        </w:rPr>
        <w:t>一、</w:t>
      </w:r>
      <w:r>
        <w:rPr>
          <w:rFonts w:hint="default" w:ascii="Times New Roman" w:hAnsi="Times New Roman" w:eastAsia="黑体" w:cs="Times New Roman"/>
          <w:color w:val="000000"/>
          <w:sz w:val="32"/>
          <w:szCs w:val="32"/>
        </w:rPr>
        <w:t>收</w:t>
      </w:r>
      <w:r>
        <w:rPr>
          <w:rStyle w:val="26"/>
          <w:rFonts w:hint="default" w:ascii="Times New Roman" w:hAnsi="Times New Roman" w:eastAsia="黑体" w:cs="Times New Roman"/>
          <w:b w:val="0"/>
        </w:rPr>
        <w:t>入支出决算总体情况说明</w:t>
      </w:r>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年度收、支总计</w:t>
      </w:r>
      <w:r>
        <w:rPr>
          <w:rFonts w:hint="default" w:ascii="Times New Roman" w:hAnsi="Times New Roman" w:eastAsia="仿宋" w:cs="Times New Roman"/>
          <w:color w:val="000000"/>
          <w:sz w:val="32"/>
          <w:szCs w:val="32"/>
          <w:lang w:val="en-US" w:eastAsia="zh-CN"/>
        </w:rPr>
        <w:t>444.44</w:t>
      </w:r>
      <w:r>
        <w:rPr>
          <w:rFonts w:hint="default" w:ascii="Times New Roman" w:hAnsi="Times New Roman" w:eastAsia="仿宋" w:cs="Times New Roman"/>
          <w:color w:val="000000"/>
          <w:sz w:val="32"/>
          <w:szCs w:val="32"/>
        </w:rPr>
        <w:t>万元。与20</w:t>
      </w:r>
      <w:r>
        <w:rPr>
          <w:rFonts w:hint="default" w:ascii="Times New Roman" w:hAnsi="Times New Roman" w:eastAsia="仿宋" w:cs="Times New Roman"/>
          <w:color w:val="000000"/>
          <w:sz w:val="32"/>
          <w:szCs w:val="32"/>
          <w:lang w:val="en-US" w:eastAsia="zh-CN"/>
        </w:rPr>
        <w:t>19</w:t>
      </w:r>
      <w:r>
        <w:rPr>
          <w:rFonts w:hint="default" w:ascii="Times New Roman" w:hAnsi="Times New Roman" w:eastAsia="仿宋" w:cs="Times New Roman"/>
          <w:color w:val="000000"/>
          <w:sz w:val="32"/>
          <w:szCs w:val="32"/>
        </w:rPr>
        <w:t>年相比，收、支总计各</w:t>
      </w:r>
      <w:r>
        <w:rPr>
          <w:rFonts w:hint="default" w:ascii="Times New Roman" w:hAnsi="Times New Roman" w:eastAsia="仿宋" w:cs="Times New Roman"/>
          <w:color w:val="000000"/>
          <w:sz w:val="32"/>
          <w:szCs w:val="32"/>
          <w:lang w:eastAsia="zh-CN"/>
        </w:rPr>
        <w:t>增加</w:t>
      </w:r>
      <w:r>
        <w:rPr>
          <w:rFonts w:hint="default" w:ascii="Times New Roman" w:hAnsi="Times New Roman" w:eastAsia="仿宋" w:cs="Times New Roman"/>
          <w:color w:val="000000"/>
          <w:sz w:val="32"/>
          <w:szCs w:val="32"/>
          <w:lang w:val="en-US" w:eastAsia="zh-CN"/>
        </w:rPr>
        <w:t>99.03</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上涨</w:t>
      </w:r>
      <w:r>
        <w:rPr>
          <w:rFonts w:hint="default" w:ascii="Times New Roman" w:hAnsi="Times New Roman" w:eastAsia="仿宋" w:cs="Times New Roman"/>
          <w:color w:val="000000"/>
          <w:sz w:val="32"/>
          <w:szCs w:val="32"/>
          <w:lang w:val="en-US" w:eastAsia="zh-CN"/>
        </w:rPr>
        <w:t>28.67</w:t>
      </w:r>
      <w:r>
        <w:rPr>
          <w:rFonts w:hint="default" w:ascii="Times New Roman" w:hAnsi="Times New Roman"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eastAsia="zh-CN"/>
        </w:rPr>
        <w:drawing>
          <wp:anchor distT="0" distB="0" distL="114300" distR="114300" simplePos="0" relativeHeight="251661312" behindDoc="0" locked="0" layoutInCell="1" allowOverlap="1">
            <wp:simplePos x="0" y="0"/>
            <wp:positionH relativeFrom="column">
              <wp:posOffset>325120</wp:posOffset>
            </wp:positionH>
            <wp:positionV relativeFrom="paragraph">
              <wp:posOffset>194310</wp:posOffset>
            </wp:positionV>
            <wp:extent cx="5080000" cy="3472180"/>
            <wp:effectExtent l="4445" t="4445" r="20955" b="9525"/>
            <wp:wrapNone/>
            <wp:docPr id="253" name="_x0000_s18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default" w:ascii="Times New Roman" w:hAnsi="Times New Roman" w:eastAsia="仿宋" w:cs="Times New Roman"/>
          <w:color w:val="000000"/>
          <w:sz w:val="32"/>
          <w:szCs w:val="32"/>
          <w:lang w:eastAsia="zh-CN"/>
        </w:rPr>
      </w:pPr>
    </w:p>
    <w:p>
      <w:pPr>
        <w:spacing w:line="600" w:lineRule="exact"/>
        <w:ind w:firstLine="640" w:firstLineChars="200"/>
        <w:rPr>
          <w:rFonts w:hint="default" w:ascii="Times New Roman" w:hAnsi="Times New Roman" w:eastAsia="仿宋" w:cs="Times New Roman"/>
          <w:color w:val="000000"/>
          <w:sz w:val="32"/>
          <w:szCs w:val="32"/>
          <w:lang w:eastAsia="zh-CN"/>
        </w:rPr>
      </w:pPr>
    </w:p>
    <w:p>
      <w:pPr>
        <w:spacing w:line="600" w:lineRule="exact"/>
        <w:ind w:firstLine="640" w:firstLineChars="200"/>
        <w:rPr>
          <w:rFonts w:hint="default" w:ascii="Times New Roman" w:hAnsi="Times New Roman" w:eastAsia="仿宋" w:cs="Times New Roman"/>
          <w:color w:val="000000"/>
          <w:sz w:val="32"/>
          <w:szCs w:val="32"/>
          <w:lang w:eastAsia="zh-CN"/>
        </w:rPr>
      </w:pPr>
    </w:p>
    <w:p>
      <w:pPr>
        <w:spacing w:line="600" w:lineRule="exact"/>
        <w:ind w:firstLine="640" w:firstLineChars="200"/>
        <w:rPr>
          <w:rFonts w:hint="default" w:ascii="Times New Roman" w:hAnsi="Times New Roman" w:eastAsia="仿宋" w:cs="Times New Roman"/>
          <w:color w:val="000000"/>
          <w:sz w:val="32"/>
          <w:szCs w:val="32"/>
          <w:lang w:eastAsia="zh-CN"/>
        </w:rPr>
      </w:pPr>
    </w:p>
    <w:p>
      <w:pPr>
        <w:spacing w:line="600" w:lineRule="exact"/>
        <w:ind w:firstLine="640" w:firstLineChars="200"/>
        <w:rPr>
          <w:rFonts w:hint="default" w:ascii="Times New Roman" w:hAnsi="Times New Roman" w:eastAsia="仿宋" w:cs="Times New Roman"/>
          <w:color w:val="000000"/>
          <w:sz w:val="32"/>
          <w:szCs w:val="32"/>
          <w:lang w:eastAsia="zh-CN"/>
        </w:rPr>
      </w:pPr>
    </w:p>
    <w:p>
      <w:pPr>
        <w:spacing w:line="600" w:lineRule="exact"/>
        <w:ind w:firstLine="640" w:firstLineChars="200"/>
        <w:rPr>
          <w:rFonts w:hint="default" w:ascii="Times New Roman" w:hAnsi="Times New Roman" w:eastAsia="仿宋" w:cs="Times New Roman"/>
          <w:color w:val="000000"/>
          <w:sz w:val="32"/>
          <w:szCs w:val="32"/>
          <w:lang w:eastAsia="zh-CN"/>
        </w:rPr>
      </w:pPr>
    </w:p>
    <w:p>
      <w:pPr>
        <w:spacing w:line="600" w:lineRule="exact"/>
        <w:ind w:firstLine="640" w:firstLineChars="200"/>
        <w:rPr>
          <w:rFonts w:hint="default" w:ascii="Times New Roman" w:hAnsi="Times New Roman" w:eastAsia="仿宋" w:cs="Times New Roman"/>
          <w:color w:val="000000"/>
          <w:sz w:val="32"/>
          <w:szCs w:val="32"/>
          <w:lang w:eastAsia="zh-CN"/>
        </w:rPr>
      </w:pPr>
    </w:p>
    <w:p>
      <w:pPr>
        <w:spacing w:line="600" w:lineRule="exact"/>
        <w:ind w:firstLine="640" w:firstLineChars="200"/>
        <w:rPr>
          <w:rFonts w:hint="default" w:ascii="Times New Roman" w:hAnsi="Times New Roman" w:eastAsia="仿宋" w:cs="Times New Roman"/>
          <w:color w:val="000000"/>
          <w:sz w:val="32"/>
          <w:szCs w:val="32"/>
          <w:lang w:eastAsia="zh-CN"/>
        </w:rPr>
      </w:pPr>
    </w:p>
    <w:p>
      <w:pPr>
        <w:spacing w:line="600" w:lineRule="exact"/>
        <w:rPr>
          <w:rFonts w:hint="default" w:ascii="Times New Roman" w:hAnsi="Times New Roman" w:eastAsia="仿宋" w:cs="Times New Roman"/>
          <w:color w:val="000000"/>
          <w:sz w:val="32"/>
          <w:szCs w:val="32"/>
          <w:lang w:eastAsia="zh-CN"/>
        </w:rPr>
      </w:pPr>
    </w:p>
    <w:p>
      <w:pPr>
        <w:spacing w:line="600" w:lineRule="exact"/>
        <w:ind w:firstLine="320" w:firstLineChars="100"/>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themeColor="text1"/>
          <w:sz w:val="32"/>
          <w:szCs w:val="32"/>
        </w:rPr>
        <w:t>（图1：收、支决算总计变动情况图）（柱状图）</w:t>
      </w:r>
      <w:bookmarkStart w:id="36" w:name="_Toc15377206"/>
      <w:bookmarkStart w:id="37" w:name="_Toc15396604"/>
    </w:p>
    <w:p>
      <w:pPr>
        <w:pStyle w:val="24"/>
        <w:numPr>
          <w:ilvl w:val="0"/>
          <w:numId w:val="0"/>
        </w:numPr>
        <w:spacing w:line="600" w:lineRule="exact"/>
        <w:ind w:firstLine="320" w:firstLineChars="100"/>
        <w:outlineLvl w:val="1"/>
        <w:rPr>
          <w:rStyle w:val="26"/>
          <w:rFonts w:hint="default" w:ascii="Times New Roman" w:hAnsi="Times New Roman" w:eastAsia="黑体" w:cs="Times New Roman"/>
          <w:b w:val="0"/>
        </w:rPr>
      </w:pPr>
      <w:bookmarkStart w:id="38" w:name="_Toc6410"/>
      <w:bookmarkStart w:id="39" w:name="_Toc9969"/>
      <w:r>
        <w:rPr>
          <w:rFonts w:hint="default" w:ascii="Times New Roman" w:hAnsi="Times New Roman" w:eastAsia="黑体" w:cs="Times New Roman"/>
          <w:color w:val="000000"/>
          <w:sz w:val="32"/>
          <w:szCs w:val="32"/>
          <w:lang w:eastAsia="zh-CN"/>
        </w:rPr>
        <w:t>二、</w:t>
      </w:r>
      <w:r>
        <w:rPr>
          <w:rFonts w:hint="default" w:ascii="Times New Roman" w:hAnsi="Times New Roman" w:eastAsia="黑体" w:cs="Times New Roman"/>
          <w:color w:val="000000"/>
          <w:sz w:val="32"/>
          <w:szCs w:val="32"/>
        </w:rPr>
        <w:t>收</w:t>
      </w:r>
      <w:r>
        <w:rPr>
          <w:rStyle w:val="26"/>
          <w:rFonts w:hint="default" w:ascii="Times New Roman" w:hAnsi="Times New Roman" w:eastAsia="黑体" w:cs="Times New Roman"/>
          <w:b w:val="0"/>
        </w:rPr>
        <w:t>入决算情况说明</w:t>
      </w:r>
      <w:bookmarkEnd w:id="36"/>
      <w:bookmarkEnd w:id="37"/>
      <w:bookmarkEnd w:id="38"/>
      <w:bookmarkEnd w:id="39"/>
    </w:p>
    <w:p>
      <w:pPr>
        <w:spacing w:line="600" w:lineRule="exact"/>
        <w:ind w:firstLine="640" w:firstLineChars="200"/>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年本年收入合计</w:t>
      </w:r>
      <w:r>
        <w:rPr>
          <w:rFonts w:hint="default" w:ascii="Times New Roman" w:hAnsi="Times New Roman" w:eastAsia="仿宋_GB2312" w:cs="Times New Roman"/>
          <w:color w:val="000000"/>
          <w:sz w:val="32"/>
          <w:szCs w:val="32"/>
          <w:lang w:val="en-US" w:eastAsia="zh-CN"/>
        </w:rPr>
        <w:t>444.44</w:t>
      </w:r>
      <w:r>
        <w:rPr>
          <w:rFonts w:hint="default" w:ascii="Times New Roman" w:hAnsi="Times New Roman" w:eastAsia="仿宋_GB2312" w:cs="Times New Roman"/>
          <w:color w:val="000000"/>
          <w:sz w:val="32"/>
          <w:szCs w:val="32"/>
        </w:rPr>
        <w:t>万元，其中：一般公共预算财政拨款收入</w:t>
      </w:r>
      <w:r>
        <w:rPr>
          <w:rFonts w:hint="default" w:ascii="Times New Roman" w:hAnsi="Times New Roman" w:eastAsia="仿宋_GB2312" w:cs="Times New Roman"/>
          <w:color w:val="000000"/>
          <w:sz w:val="32"/>
          <w:szCs w:val="32"/>
          <w:lang w:val="en-US" w:eastAsia="zh-CN"/>
        </w:rPr>
        <w:t>444.44</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w:t>
      </w:r>
    </w:p>
    <w:p>
      <w:pPr>
        <w:spacing w:line="600" w:lineRule="exact"/>
        <w:ind w:firstLine="640" w:firstLineChars="200"/>
        <w:outlineLvl w:val="1"/>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drawing>
          <wp:anchor distT="0" distB="0" distL="114300" distR="114300" simplePos="0" relativeHeight="251662336" behindDoc="1" locked="0" layoutInCell="1" allowOverlap="1">
            <wp:simplePos x="0" y="0"/>
            <wp:positionH relativeFrom="column">
              <wp:posOffset>290195</wp:posOffset>
            </wp:positionH>
            <wp:positionV relativeFrom="paragraph">
              <wp:posOffset>-26670</wp:posOffset>
            </wp:positionV>
            <wp:extent cx="4858385" cy="2927985"/>
            <wp:effectExtent l="4445" t="5080" r="52070" b="57785"/>
            <wp:wrapTight wrapText="bothSides">
              <wp:wrapPolygon>
                <wp:start x="-20" y="-37"/>
                <wp:lineTo x="-20" y="21464"/>
                <wp:lineTo x="21577" y="21464"/>
                <wp:lineTo x="21577" y="-37"/>
                <wp:lineTo x="-20" y="-37"/>
              </wp:wrapPolygon>
            </wp:wrapTight>
            <wp:docPr id="254" name="_x0000_s18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outlineLvl w:val="1"/>
        <w:rPr>
          <w:rFonts w:hint="default" w:ascii="Times New Roman" w:hAnsi="Times New Roman" w:eastAsia="仿宋" w:cs="Times New Roman"/>
          <w:color w:val="000000"/>
          <w:sz w:val="32"/>
          <w:szCs w:val="32"/>
          <w:lang w:val="en-US" w:eastAsia="zh-CN"/>
        </w:rPr>
      </w:pPr>
    </w:p>
    <w:p>
      <w:pPr>
        <w:spacing w:line="600" w:lineRule="exact"/>
        <w:outlineLvl w:val="1"/>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themeColor="text1"/>
          <w:sz w:val="32"/>
          <w:szCs w:val="32"/>
        </w:rPr>
        <w:t>（图2：收入决算结构图）（饼状图）</w:t>
      </w:r>
    </w:p>
    <w:p>
      <w:pPr>
        <w:pStyle w:val="24"/>
        <w:numPr>
          <w:ilvl w:val="0"/>
          <w:numId w:val="0"/>
        </w:numPr>
        <w:spacing w:line="600" w:lineRule="exact"/>
        <w:ind w:left="640" w:leftChars="0"/>
        <w:outlineLvl w:val="1"/>
        <w:rPr>
          <w:rStyle w:val="26"/>
          <w:rFonts w:hint="default" w:ascii="Times New Roman" w:hAnsi="Times New Roman" w:eastAsia="黑体" w:cs="Times New Roman"/>
          <w:b w:val="0"/>
        </w:rPr>
      </w:pPr>
      <w:bookmarkStart w:id="40" w:name="_Toc20668"/>
      <w:bookmarkStart w:id="41" w:name="_Toc14678"/>
      <w:bookmarkStart w:id="42" w:name="_Toc15396605"/>
      <w:bookmarkStart w:id="43" w:name="_Toc15377207"/>
      <w:r>
        <w:rPr>
          <w:rFonts w:hint="default" w:ascii="Times New Roman" w:hAnsi="Times New Roman" w:eastAsia="黑体" w:cs="Times New Roman"/>
          <w:color w:val="000000"/>
          <w:sz w:val="32"/>
          <w:szCs w:val="32"/>
          <w:lang w:eastAsia="zh-CN"/>
        </w:rPr>
        <w:t>三、</w:t>
      </w:r>
      <w:r>
        <w:rPr>
          <w:rFonts w:hint="default" w:ascii="Times New Roman" w:hAnsi="Times New Roman" w:eastAsia="黑体" w:cs="Times New Roman"/>
          <w:color w:val="000000"/>
          <w:sz w:val="32"/>
          <w:szCs w:val="32"/>
        </w:rPr>
        <w:t>支</w:t>
      </w:r>
      <w:r>
        <w:rPr>
          <w:rStyle w:val="26"/>
          <w:rFonts w:hint="default" w:ascii="Times New Roman" w:hAnsi="Times New Roman" w:eastAsia="黑体" w:cs="Times New Roman"/>
          <w:b w:val="0"/>
        </w:rPr>
        <w:t>出决算情况说明</w:t>
      </w:r>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年本年支出合计</w:t>
      </w:r>
      <w:r>
        <w:rPr>
          <w:rFonts w:hint="default" w:ascii="Times New Roman" w:hAnsi="Times New Roman" w:eastAsia="仿宋_GB2312" w:cs="Times New Roman"/>
          <w:color w:val="000000"/>
          <w:sz w:val="32"/>
          <w:szCs w:val="32"/>
          <w:lang w:val="en-US" w:eastAsia="zh-CN"/>
        </w:rPr>
        <w:t>444.44</w:t>
      </w:r>
      <w:r>
        <w:rPr>
          <w:rFonts w:hint="default" w:ascii="Times New Roman" w:hAnsi="Times New Roman" w:eastAsia="仿宋_GB2312" w:cs="Times New Roman"/>
          <w:color w:val="000000"/>
          <w:sz w:val="32"/>
          <w:szCs w:val="32"/>
        </w:rPr>
        <w:t>万元，其中：基本支出351.06万元，占</w:t>
      </w:r>
      <w:r>
        <w:rPr>
          <w:rFonts w:hint="default" w:ascii="Times New Roman" w:hAnsi="Times New Roman" w:eastAsia="仿宋_GB2312" w:cs="Times New Roman"/>
          <w:color w:val="000000"/>
          <w:sz w:val="32"/>
          <w:szCs w:val="32"/>
          <w:lang w:val="en-US" w:eastAsia="zh-CN"/>
        </w:rPr>
        <w:t>78.99</w:t>
      </w:r>
      <w:r>
        <w:rPr>
          <w:rFonts w:hint="default" w:ascii="Times New Roman" w:hAnsi="Times New Roman" w:eastAsia="仿宋_GB2312" w:cs="Times New Roman"/>
          <w:color w:val="000000"/>
          <w:sz w:val="32"/>
          <w:szCs w:val="32"/>
        </w:rPr>
        <w:t>%；项目支出93.38万元，占</w:t>
      </w:r>
      <w:r>
        <w:rPr>
          <w:rFonts w:hint="default" w:ascii="Times New Roman" w:hAnsi="Times New Roman" w:eastAsia="仿宋_GB2312" w:cs="Times New Roman"/>
          <w:color w:val="000000"/>
          <w:sz w:val="32"/>
          <w:szCs w:val="32"/>
          <w:lang w:val="en-US" w:eastAsia="zh-CN"/>
        </w:rPr>
        <w:t>21.01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p>
    <w:p>
      <w:pPr>
        <w:spacing w:line="600" w:lineRule="exact"/>
        <w:ind w:firstLine="640" w:firstLineChars="200"/>
        <w:outlineLvl w:val="1"/>
        <w:rPr>
          <w:rFonts w:hint="default" w:ascii="Times New Roman" w:hAnsi="Times New Roman" w:eastAsia="仿宋"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drawing>
          <wp:anchor distT="0" distB="0" distL="114300" distR="114300" simplePos="0" relativeHeight="251663360" behindDoc="1" locked="0" layoutInCell="1" allowOverlap="1">
            <wp:simplePos x="0" y="0"/>
            <wp:positionH relativeFrom="column">
              <wp:posOffset>446405</wp:posOffset>
            </wp:positionH>
            <wp:positionV relativeFrom="paragraph">
              <wp:posOffset>56515</wp:posOffset>
            </wp:positionV>
            <wp:extent cx="4688840" cy="2983865"/>
            <wp:effectExtent l="4445" t="4445" r="12065" b="59690"/>
            <wp:wrapThrough wrapText="bothSides">
              <wp:wrapPolygon>
                <wp:start x="-20" y="-32"/>
                <wp:lineTo x="-20" y="21480"/>
                <wp:lineTo x="21568" y="21480"/>
                <wp:lineTo x="21568" y="-32"/>
                <wp:lineTo x="-20" y="-32"/>
              </wp:wrapPolygon>
            </wp:wrapThrough>
            <wp:docPr id="255" name="_x0000_s18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jc w:val="center"/>
        <w:rPr>
          <w:rFonts w:hint="default" w:ascii="Times New Roman" w:hAnsi="Times New Roman" w:eastAsia="仿宋_GB2312" w:cs="Times New Roman"/>
          <w:color w:val="FF0000"/>
          <w:sz w:val="32"/>
          <w:szCs w:val="32"/>
        </w:rPr>
      </w:pPr>
      <w:r>
        <w:rPr>
          <w:rFonts w:hint="default" w:ascii="Times New Roman" w:hAnsi="Times New Roman" w:eastAsia="仿宋" w:cs="Times New Roman"/>
          <w:color w:val="000000" w:themeColor="text1"/>
          <w:sz w:val="32"/>
          <w:szCs w:val="32"/>
        </w:rPr>
        <w:t>（图3：支出决算结构图）（饼状图）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6"/>
          <w:rFonts w:hint="default" w:ascii="Times New Roman" w:hAnsi="Times New Roman" w:eastAsia="黑体" w:cs="Times New Roman"/>
          <w:b w:val="0"/>
        </w:rPr>
      </w:pPr>
      <w:bookmarkStart w:id="44" w:name="_Toc30220"/>
      <w:bookmarkStart w:id="45" w:name="_Toc30352"/>
      <w:bookmarkStart w:id="46" w:name="_Toc15377208"/>
      <w:bookmarkStart w:id="47" w:name="_Toc15396606"/>
      <w:r>
        <w:rPr>
          <w:rFonts w:hint="default" w:ascii="Times New Roman" w:hAnsi="Times New Roman" w:eastAsia="黑体" w:cs="Times New Roman"/>
          <w:color w:val="000000"/>
          <w:sz w:val="32"/>
          <w:szCs w:val="32"/>
        </w:rPr>
        <w:t>四、财</w:t>
      </w:r>
      <w:r>
        <w:rPr>
          <w:rStyle w:val="26"/>
          <w:rFonts w:hint="default" w:ascii="Times New Roman" w:hAnsi="Times New Roman" w:eastAsia="黑体" w:cs="Times New Roman"/>
          <w:b w:val="0"/>
        </w:rPr>
        <w:t>政拨款收入支出决算总体情况说明</w:t>
      </w:r>
      <w:bookmarkEnd w:id="44"/>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年财政拨款收、支总计</w:t>
      </w:r>
      <w:r>
        <w:rPr>
          <w:rFonts w:hint="default" w:ascii="Times New Roman" w:hAnsi="Times New Roman" w:eastAsia="仿宋" w:cs="Times New Roman"/>
          <w:color w:val="000000"/>
          <w:sz w:val="32"/>
          <w:szCs w:val="32"/>
          <w:lang w:val="en-US" w:eastAsia="zh-CN"/>
        </w:rPr>
        <w:t>444.44</w:t>
      </w:r>
      <w:r>
        <w:rPr>
          <w:rFonts w:hint="default" w:ascii="Times New Roman" w:hAnsi="Times New Roman" w:eastAsia="仿宋" w:cs="Times New Roman"/>
          <w:color w:val="000000"/>
          <w:sz w:val="32"/>
          <w:szCs w:val="32"/>
        </w:rPr>
        <w:t>万元。与201</w:t>
      </w:r>
      <w:r>
        <w:rPr>
          <w:rFonts w:hint="default" w:ascii="Times New Roman" w:hAnsi="Times New Roman" w:eastAsia="仿宋" w:cs="Times New Roman"/>
          <w:color w:val="000000"/>
          <w:sz w:val="32"/>
          <w:szCs w:val="32"/>
          <w:lang w:val="en-US" w:eastAsia="zh-CN"/>
        </w:rPr>
        <w:t>9</w:t>
      </w:r>
      <w:r>
        <w:rPr>
          <w:rFonts w:hint="default" w:ascii="Times New Roman" w:hAnsi="Times New Roman" w:eastAsia="仿宋" w:cs="Times New Roman"/>
          <w:color w:val="000000"/>
          <w:sz w:val="32"/>
          <w:szCs w:val="32"/>
        </w:rPr>
        <w:t>年相比，财政拨款收、支总计各</w:t>
      </w:r>
      <w:r>
        <w:rPr>
          <w:rFonts w:hint="default" w:ascii="Times New Roman" w:hAnsi="Times New Roman" w:eastAsia="仿宋" w:cs="Times New Roman"/>
          <w:color w:val="000000"/>
          <w:sz w:val="32"/>
          <w:szCs w:val="32"/>
          <w:lang w:eastAsia="zh-CN"/>
        </w:rPr>
        <w:t>增加</w:t>
      </w:r>
      <w:r>
        <w:rPr>
          <w:rFonts w:hint="default" w:ascii="Times New Roman" w:hAnsi="Times New Roman" w:eastAsia="仿宋" w:cs="Times New Roman"/>
          <w:color w:val="000000"/>
          <w:sz w:val="32"/>
          <w:szCs w:val="32"/>
          <w:lang w:val="en-US" w:eastAsia="zh-CN"/>
        </w:rPr>
        <w:t>99.03</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上涨</w:t>
      </w:r>
      <w:r>
        <w:rPr>
          <w:rFonts w:hint="default" w:ascii="Times New Roman" w:hAnsi="Times New Roman" w:eastAsia="仿宋" w:cs="Times New Roman"/>
          <w:color w:val="000000"/>
          <w:sz w:val="32"/>
          <w:szCs w:val="32"/>
          <w:lang w:val="en-US" w:eastAsia="zh-CN"/>
        </w:rPr>
        <w:t>28.67</w:t>
      </w:r>
      <w:r>
        <w:rPr>
          <w:rFonts w:hint="default" w:ascii="Times New Roman" w:hAnsi="Times New Roman" w:eastAsia="仿宋" w:cs="Times New Roman"/>
          <w:color w:val="000000"/>
          <w:sz w:val="32"/>
          <w:szCs w:val="32"/>
        </w:rPr>
        <w:t>%。主要变动原因是主要变动原因是</w:t>
      </w:r>
      <w:r>
        <w:rPr>
          <w:rFonts w:hint="default" w:ascii="Times New Roman" w:hAnsi="Times New Roman" w:eastAsia="仿宋" w:cs="Times New Roman"/>
          <w:color w:val="000000"/>
          <w:sz w:val="32"/>
          <w:szCs w:val="32"/>
          <w:lang w:eastAsia="zh-CN"/>
        </w:rPr>
        <w:t>人员的增加。</w:t>
      </w:r>
    </w:p>
    <w:p>
      <w:pPr>
        <w:spacing w:line="60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lang w:eastAsia="zh-CN"/>
        </w:rPr>
        <w:drawing>
          <wp:anchor distT="0" distB="0" distL="114300" distR="114300" simplePos="0" relativeHeight="251664384" behindDoc="0" locked="0" layoutInCell="1" allowOverlap="1">
            <wp:simplePos x="0" y="0"/>
            <wp:positionH relativeFrom="column">
              <wp:posOffset>393065</wp:posOffset>
            </wp:positionH>
            <wp:positionV relativeFrom="paragraph">
              <wp:posOffset>280670</wp:posOffset>
            </wp:positionV>
            <wp:extent cx="5080000" cy="3810000"/>
            <wp:effectExtent l="4445" t="4445" r="20955" b="14605"/>
            <wp:wrapSquare wrapText="bothSides"/>
            <wp:docPr id="256" name="_x0000_s18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lang w:eastAsia="zh-CN"/>
        </w:rPr>
      </w:pP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rPr>
      </w:pPr>
    </w:p>
    <w:p>
      <w:pPr>
        <w:spacing w:line="600" w:lineRule="exact"/>
        <w:ind w:firstLine="640" w:firstLineChars="200"/>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（图4：财政拨款收、支决算总计变动情况）（柱状图）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6"/>
          <w:rFonts w:hint="default" w:ascii="Times New Roman" w:hAnsi="Times New Roman" w:eastAsia="黑体" w:cs="Times New Roman"/>
          <w:b w:val="0"/>
        </w:rPr>
      </w:pPr>
      <w:bookmarkStart w:id="48" w:name="_Toc4422"/>
      <w:bookmarkStart w:id="49" w:name="_Toc15377209"/>
      <w:bookmarkStart w:id="50" w:name="_Toc15396607"/>
      <w:bookmarkStart w:id="51" w:name="_Toc30240"/>
      <w:r>
        <w:rPr>
          <w:rStyle w:val="26"/>
          <w:rFonts w:hint="default" w:ascii="Times New Roman" w:hAnsi="Times New Roman" w:eastAsia="黑体" w:cs="Times New Roman"/>
          <w:b w:val="0"/>
        </w:rPr>
        <w:t>五、一般公共预算财政拨款支出决算情况说明</w:t>
      </w:r>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val="0"/>
          <w:color w:val="000000"/>
          <w:sz w:val="32"/>
          <w:szCs w:val="32"/>
        </w:rPr>
      </w:pPr>
      <w:bookmarkStart w:id="52" w:name="_Toc15377210"/>
      <w:bookmarkStart w:id="53" w:name="_Toc17657"/>
      <w:r>
        <w:rPr>
          <w:rFonts w:hint="default" w:ascii="Times New Roman" w:hAnsi="Times New Roman" w:eastAsia="楷体_GB2312" w:cs="Times New Roman"/>
          <w:b/>
          <w:bCs w:val="0"/>
          <w:color w:val="000000"/>
          <w:sz w:val="32"/>
          <w:szCs w:val="32"/>
        </w:rPr>
        <w:t>（一）一般公共预算财政拨款支出决算总体情况</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年一般公共预算财政拨款支出</w:t>
      </w:r>
      <w:r>
        <w:rPr>
          <w:rFonts w:hint="default" w:ascii="Times New Roman" w:hAnsi="Times New Roman" w:eastAsia="仿宋_GB2312" w:cs="Times New Roman"/>
          <w:color w:val="000000"/>
          <w:sz w:val="32"/>
          <w:szCs w:val="32"/>
          <w:lang w:val="en-US" w:eastAsia="zh-CN"/>
        </w:rPr>
        <w:t>444.44</w:t>
      </w:r>
      <w:r>
        <w:rPr>
          <w:rFonts w:hint="default" w:ascii="Times New Roman" w:hAnsi="Times New Roman" w:eastAsia="仿宋_GB2312" w:cs="Times New Roman"/>
          <w:color w:val="000000"/>
          <w:sz w:val="32"/>
          <w:szCs w:val="32"/>
        </w:rPr>
        <w:t>万元，占本年支出合计的</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%。与201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年相比，一般公共预算财政拨款</w:t>
      </w:r>
      <w:r>
        <w:rPr>
          <w:rFonts w:hint="default" w:ascii="Times New Roman" w:hAnsi="Times New Roman" w:eastAsia="仿宋_GB2312" w:cs="Times New Roman"/>
          <w:color w:val="000000"/>
          <w:sz w:val="32"/>
          <w:szCs w:val="32"/>
          <w:lang w:eastAsia="zh-CN"/>
        </w:rPr>
        <w:t>增加</w:t>
      </w:r>
      <w:r>
        <w:rPr>
          <w:rFonts w:hint="default" w:ascii="Times New Roman" w:hAnsi="Times New Roman" w:eastAsia="仿宋_GB2312" w:cs="Times New Roman"/>
          <w:color w:val="000000"/>
          <w:sz w:val="32"/>
          <w:szCs w:val="32"/>
          <w:lang w:val="en-US" w:eastAsia="zh-CN"/>
        </w:rPr>
        <w:t>99.03</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上涨</w:t>
      </w:r>
      <w:r>
        <w:rPr>
          <w:rFonts w:hint="default" w:ascii="Times New Roman" w:hAnsi="Times New Roman" w:eastAsia="仿宋_GB2312" w:cs="Times New Roman"/>
          <w:color w:val="000000"/>
          <w:sz w:val="32"/>
          <w:szCs w:val="32"/>
          <w:lang w:val="en-US" w:eastAsia="zh-CN"/>
        </w:rPr>
        <w:t>28.67</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eastAsia="zh-CN"/>
        </w:rPr>
        <w:t>人员增加。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lang w:eastAsia="zh-CN"/>
        </w:rPr>
        <w:drawing>
          <wp:anchor distT="0" distB="0" distL="114300" distR="114300" simplePos="0" relativeHeight="251665408" behindDoc="0" locked="0" layoutInCell="1" allowOverlap="1">
            <wp:simplePos x="0" y="0"/>
            <wp:positionH relativeFrom="column">
              <wp:posOffset>410845</wp:posOffset>
            </wp:positionH>
            <wp:positionV relativeFrom="paragraph">
              <wp:posOffset>-539115</wp:posOffset>
            </wp:positionV>
            <wp:extent cx="5080000" cy="3590290"/>
            <wp:effectExtent l="4445" t="4445" r="20955" b="5715"/>
            <wp:wrapSquare wrapText="bothSides"/>
            <wp:docPr id="257" name="_x0000_s18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sz w:val="32"/>
          <w:szCs w:val="32"/>
        </w:rPr>
        <w:t>（图5：一</w:t>
      </w:r>
      <w:r>
        <w:rPr>
          <w:rFonts w:hint="default" w:ascii="Times New Roman" w:hAnsi="Times New Roman" w:eastAsia="仿宋" w:cs="Times New Roman"/>
          <w:color w:val="000000" w:themeColor="text1"/>
          <w:sz w:val="32"/>
          <w:szCs w:val="32"/>
        </w:rPr>
        <w:t>般</w:t>
      </w:r>
      <w:r>
        <w:rPr>
          <w:rFonts w:hint="default" w:ascii="Times New Roman" w:hAnsi="Times New Roman" w:eastAsia="仿宋" w:cs="Times New Roman"/>
          <w:color w:val="000000"/>
          <w:sz w:val="32"/>
          <w:szCs w:val="32"/>
        </w:rPr>
        <w:t>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firstLineChars="200"/>
        <w:textAlignment w:val="auto"/>
        <w:outlineLvl w:val="2"/>
        <w:rPr>
          <w:rFonts w:hint="default" w:ascii="Times New Roman" w:hAnsi="Times New Roman" w:eastAsia="楷体_GB2312" w:cs="Times New Roman"/>
          <w:b/>
          <w:color w:val="000000"/>
          <w:sz w:val="32"/>
          <w:szCs w:val="32"/>
        </w:rPr>
      </w:pPr>
      <w:bookmarkStart w:id="54" w:name="_Toc767"/>
      <w:bookmarkStart w:id="55" w:name="_Toc15377211"/>
      <w:r>
        <w:rPr>
          <w:rFonts w:hint="default" w:ascii="Times New Roman" w:hAnsi="Times New Roman" w:eastAsia="楷体_GB2312" w:cs="Times New Roman"/>
          <w:b/>
          <w:color w:val="000000"/>
          <w:sz w:val="32"/>
          <w:szCs w:val="32"/>
        </w:rPr>
        <w:t>（二）一般公共预算财政拨款支出决算结构情况</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年一般公共预算财</w:t>
      </w:r>
      <w:r>
        <w:rPr>
          <w:rFonts w:hint="default" w:ascii="Times New Roman" w:hAnsi="Times New Roman" w:eastAsia="仿宋" w:cs="Times New Roman"/>
          <w:color w:val="000000" w:themeColor="text1"/>
          <w:sz w:val="32"/>
          <w:szCs w:val="32"/>
        </w:rPr>
        <w:t>政拨款支出</w:t>
      </w:r>
      <w:r>
        <w:rPr>
          <w:rFonts w:hint="default" w:ascii="Times New Roman" w:hAnsi="Times New Roman" w:eastAsia="仿宋" w:cs="Times New Roman"/>
          <w:color w:val="000000"/>
          <w:sz w:val="32"/>
          <w:szCs w:val="32"/>
          <w:lang w:val="en-US" w:eastAsia="zh-CN"/>
        </w:rPr>
        <w:t>444.44</w:t>
      </w:r>
      <w:r>
        <w:rPr>
          <w:rFonts w:hint="default" w:ascii="Times New Roman" w:hAnsi="Times New Roman" w:eastAsia="仿宋" w:cs="Times New Roman"/>
          <w:color w:val="000000"/>
          <w:sz w:val="32"/>
          <w:szCs w:val="32"/>
        </w:rPr>
        <w:t>万元，主要用于以下方面</w:t>
      </w:r>
      <w:r>
        <w:t>：</w:t>
      </w:r>
      <w:r>
        <w:rPr>
          <w:rFonts w:hint="default" w:ascii="Times New Roman" w:hAnsi="Times New Roman" w:eastAsia="仿宋" w:cs="Times New Roman"/>
          <w:b/>
          <w:color w:val="000000"/>
          <w:sz w:val="32"/>
          <w:szCs w:val="32"/>
        </w:rPr>
        <w:t>一</w:t>
      </w:r>
      <w:r>
        <w:rPr>
          <w:rFonts w:hint="default" w:ascii="Times New Roman" w:hAnsi="Times New Roman" w:eastAsia="仿宋" w:cs="Times New Roman"/>
          <w:b/>
          <w:color w:val="000000" w:themeColor="text1"/>
          <w:sz w:val="32"/>
          <w:szCs w:val="32"/>
        </w:rPr>
        <w:t>般</w:t>
      </w:r>
      <w:r>
        <w:rPr>
          <w:rFonts w:hint="default" w:ascii="Times New Roman" w:hAnsi="Times New Roman" w:eastAsia="仿宋" w:cs="Times New Roman"/>
          <w:b/>
          <w:color w:val="000000"/>
          <w:sz w:val="32"/>
          <w:szCs w:val="32"/>
        </w:rPr>
        <w:t>公共服务（类）</w:t>
      </w:r>
      <w:r>
        <w:rPr>
          <w:rFonts w:hint="default" w:ascii="Times New Roman" w:hAnsi="Times New Roman" w:eastAsia="仿宋" w:cs="Times New Roman"/>
          <w:color w:val="000000"/>
          <w:sz w:val="32"/>
          <w:szCs w:val="32"/>
        </w:rPr>
        <w:t>支出381</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sz w:val="32"/>
          <w:szCs w:val="32"/>
        </w:rPr>
        <w:t>41万元，占</w:t>
      </w:r>
      <w:r>
        <w:rPr>
          <w:rFonts w:hint="default" w:ascii="Times New Roman" w:hAnsi="Times New Roman" w:eastAsia="仿宋" w:cs="Times New Roman"/>
          <w:color w:val="000000"/>
          <w:sz w:val="32"/>
          <w:szCs w:val="32"/>
          <w:lang w:val="en-US" w:eastAsia="zh-CN"/>
        </w:rPr>
        <w:t>85</w:t>
      </w:r>
      <w:r>
        <w:rPr>
          <w:rFonts w:hint="default" w:ascii="Times New Roman" w:hAnsi="Times New Roman" w:eastAsia="仿宋" w:cs="Times New Roman"/>
          <w:color w:val="000000" w:themeColor="text1"/>
          <w:sz w:val="32"/>
          <w:szCs w:val="32"/>
          <w:lang w:val="en-US" w:eastAsia="zh-CN"/>
        </w:rPr>
        <w:t>.</w:t>
      </w:r>
      <w:r>
        <w:rPr>
          <w:rFonts w:hint="default" w:ascii="Times New Roman" w:hAnsi="Times New Roman" w:eastAsia="仿宋" w:cs="Times New Roman"/>
          <w:color w:val="000000"/>
          <w:sz w:val="32"/>
          <w:szCs w:val="32"/>
          <w:lang w:val="en-US" w:eastAsia="zh-CN"/>
        </w:rPr>
        <w:t>89</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b/>
          <w:color w:val="000000" w:themeColor="text1"/>
          <w:sz w:val="32"/>
          <w:szCs w:val="32"/>
        </w:rPr>
        <w:t>社会保障和就业（类）</w:t>
      </w:r>
      <w:r>
        <w:rPr>
          <w:rFonts w:hint="default" w:ascii="Times New Roman" w:hAnsi="Times New Roman" w:eastAsia="仿宋" w:cs="Times New Roman"/>
          <w:color w:val="000000"/>
          <w:sz w:val="32"/>
          <w:szCs w:val="32"/>
        </w:rPr>
        <w:t>支出24</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sz w:val="32"/>
          <w:szCs w:val="32"/>
        </w:rPr>
        <w:t>15万元，占</w:t>
      </w:r>
      <w:r>
        <w:rPr>
          <w:rFonts w:hint="default" w:ascii="Times New Roman" w:hAnsi="Times New Roman" w:eastAsia="仿宋" w:cs="Times New Roman"/>
          <w:color w:val="000000"/>
          <w:sz w:val="32"/>
          <w:szCs w:val="32"/>
          <w:lang w:val="en-US" w:eastAsia="zh-CN"/>
        </w:rPr>
        <w:t>5</w:t>
      </w:r>
      <w:r>
        <w:rPr>
          <w:rFonts w:hint="default" w:ascii="Times New Roman" w:hAnsi="Times New Roman" w:eastAsia="仿宋" w:cs="Times New Roman"/>
          <w:color w:val="000000" w:themeColor="text1"/>
          <w:sz w:val="32"/>
          <w:szCs w:val="32"/>
          <w:lang w:val="en-US" w:eastAsia="zh-CN"/>
        </w:rPr>
        <w:t>.</w:t>
      </w:r>
      <w:r>
        <w:rPr>
          <w:rFonts w:hint="default" w:ascii="Times New Roman" w:hAnsi="Times New Roman" w:eastAsia="仿宋" w:cs="Times New Roman"/>
          <w:color w:val="000000"/>
          <w:sz w:val="32"/>
          <w:szCs w:val="32"/>
          <w:lang w:val="en-US" w:eastAsia="zh-CN"/>
        </w:rPr>
        <w:t>43</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b/>
          <w:bCs/>
          <w:color w:val="000000" w:themeColor="text1"/>
          <w:sz w:val="32"/>
          <w:szCs w:val="32"/>
        </w:rPr>
        <w:t>卫生健康支出</w:t>
      </w:r>
      <w:r>
        <w:rPr>
          <w:rFonts w:hint="default" w:ascii="Times New Roman" w:hAnsi="Times New Roman" w:eastAsia="仿宋" w:cs="Times New Roman"/>
          <w:color w:val="000000"/>
          <w:sz w:val="32"/>
          <w:szCs w:val="32"/>
        </w:rPr>
        <w:t>15</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sz w:val="32"/>
          <w:szCs w:val="32"/>
        </w:rPr>
        <w:t>17万元，占</w:t>
      </w:r>
      <w:r>
        <w:rPr>
          <w:rFonts w:hint="default"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themeColor="text1"/>
          <w:sz w:val="32"/>
          <w:szCs w:val="32"/>
          <w:lang w:val="en-US" w:eastAsia="zh-CN"/>
        </w:rPr>
        <w:t>.</w:t>
      </w:r>
      <w:r>
        <w:rPr>
          <w:rFonts w:hint="default" w:ascii="Times New Roman" w:hAnsi="Times New Roman" w:eastAsia="仿宋" w:cs="Times New Roman"/>
          <w:color w:val="000000"/>
          <w:sz w:val="32"/>
          <w:szCs w:val="32"/>
          <w:lang w:val="en-US" w:eastAsia="zh-CN"/>
        </w:rPr>
        <w:t>41</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b/>
          <w:bCs/>
          <w:color w:val="000000" w:themeColor="text1"/>
          <w:sz w:val="32"/>
          <w:szCs w:val="32"/>
        </w:rPr>
        <w:t>住房保障支出</w:t>
      </w:r>
      <w:r>
        <w:rPr>
          <w:rFonts w:hint="default" w:ascii="Times New Roman" w:hAnsi="Times New Roman" w:eastAsia="仿宋" w:cs="Times New Roman"/>
          <w:color w:val="000000"/>
          <w:sz w:val="32"/>
          <w:szCs w:val="32"/>
        </w:rPr>
        <w:t>18</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sz w:val="32"/>
          <w:szCs w:val="32"/>
        </w:rPr>
        <w:t>11万元，占</w:t>
      </w:r>
      <w:r>
        <w:rPr>
          <w:rFonts w:hint="default" w:ascii="Times New Roman" w:hAnsi="Times New Roman" w:eastAsia="仿宋" w:cs="Times New Roman"/>
          <w:color w:val="000000"/>
          <w:sz w:val="32"/>
          <w:szCs w:val="32"/>
          <w:lang w:val="en-US" w:eastAsia="zh-CN"/>
        </w:rPr>
        <w:t>5</w:t>
      </w:r>
      <w:r>
        <w:rPr>
          <w:rFonts w:hint="default" w:ascii="Times New Roman" w:hAnsi="Times New Roman" w:eastAsia="仿宋" w:cs="Times New Roman"/>
          <w:color w:val="000000" w:themeColor="text1"/>
          <w:sz w:val="32"/>
          <w:szCs w:val="32"/>
          <w:lang w:val="en-US" w:eastAsia="zh-CN"/>
        </w:rPr>
        <w:t>.</w:t>
      </w:r>
      <w:r>
        <w:rPr>
          <w:rFonts w:hint="default" w:ascii="Times New Roman" w:hAnsi="Times New Roman" w:eastAsia="仿宋" w:cs="Times New Roman"/>
          <w:color w:val="000000"/>
          <w:sz w:val="32"/>
          <w:szCs w:val="32"/>
          <w:lang w:val="en-US" w:eastAsia="zh-CN"/>
        </w:rPr>
        <w:t>27</w:t>
      </w:r>
      <w:r>
        <w:rPr>
          <w:rFonts w:hint="default" w:ascii="Times New Roman" w:hAnsi="Times New Roman" w:eastAsia="仿宋" w:cs="Times New Roman"/>
          <w:color w:val="000000" w:themeColor="text1"/>
          <w:sz w:val="32"/>
          <w:szCs w:val="32"/>
        </w:rPr>
        <w:t>%。</w:t>
      </w:r>
    </w:p>
    <w:p>
      <w:pPr>
        <w:spacing w:line="600" w:lineRule="exact"/>
        <w:ind w:firstLine="320" w:firstLineChars="1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lang w:val="en-US" w:eastAsia="zh-CN"/>
        </w:rPr>
        <w:drawing>
          <wp:anchor distT="0" distB="0" distL="114300" distR="114300" simplePos="0" relativeHeight="251660288" behindDoc="0" locked="0" layoutInCell="1" allowOverlap="1">
            <wp:simplePos x="0" y="0"/>
            <wp:positionH relativeFrom="column">
              <wp:posOffset>128270</wp:posOffset>
            </wp:positionH>
            <wp:positionV relativeFrom="paragraph">
              <wp:posOffset>222885</wp:posOffset>
            </wp:positionV>
            <wp:extent cx="5774055" cy="3961130"/>
            <wp:effectExtent l="4445" t="4445" r="12700" b="15875"/>
            <wp:wrapSquare wrapText="bothSides"/>
            <wp:docPr id="258" name="_x0000_s18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default" w:ascii="Times New Roman" w:hAnsi="Times New Roman" w:eastAsia="仿宋" w:cs="Times New Roman"/>
          <w:color w:val="000000"/>
          <w:sz w:val="32"/>
          <w:szCs w:val="32"/>
        </w:rPr>
        <w:t>（图6：一般公共预算财政拨款支出决算结构）（饼状图）</w:t>
      </w:r>
      <w:bookmarkStart w:id="56" w:name="_Toc15377212"/>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643" w:firstLineChars="200"/>
        <w:textAlignment w:val="auto"/>
        <w:outlineLvl w:val="2"/>
        <w:rPr>
          <w:rFonts w:hint="default" w:ascii="Times New Roman" w:hAnsi="Times New Roman" w:eastAsia="楷体_GB2312" w:cs="Times New Roman"/>
          <w:b/>
          <w:color w:val="000000"/>
          <w:sz w:val="32"/>
          <w:szCs w:val="32"/>
        </w:rPr>
      </w:pPr>
      <w:bookmarkStart w:id="57" w:name="_Toc20400"/>
      <w:r>
        <w:rPr>
          <w:rFonts w:hint="default" w:ascii="Times New Roman" w:hAnsi="Times New Roman" w:eastAsia="楷体_GB2312" w:cs="Times New Roman"/>
          <w:b/>
          <w:color w:val="000000"/>
          <w:sz w:val="32"/>
          <w:szCs w:val="32"/>
        </w:rPr>
        <w:t>（三）一般公共预算财政拨款支出决算具体情况</w:t>
      </w:r>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color w:val="FF0000"/>
          <w:sz w:val="32"/>
          <w:szCs w:val="32"/>
        </w:rPr>
      </w:pPr>
      <w:bookmarkStart w:id="58" w:name="_Toc15378460"/>
      <w:bookmarkStart w:id="59" w:name="_Toc15377444"/>
      <w:bookmarkStart w:id="60" w:name="_Toc15377213"/>
      <w:r>
        <w:rPr>
          <w:rFonts w:hint="default" w:ascii="Times New Roman" w:hAnsi="Times New Roman" w:eastAsia="仿宋" w:cs="Times New Roman"/>
          <w:b/>
          <w:color w:val="000000" w:themeColor="text1"/>
          <w:sz w:val="32"/>
          <w:szCs w:val="32"/>
        </w:rPr>
        <w:t>20</w:t>
      </w:r>
      <w:r>
        <w:rPr>
          <w:rFonts w:hint="default" w:ascii="Times New Roman" w:hAnsi="Times New Roman" w:eastAsia="仿宋" w:cs="Times New Roman"/>
          <w:b/>
          <w:color w:val="000000" w:themeColor="text1"/>
          <w:sz w:val="32"/>
          <w:szCs w:val="32"/>
          <w:lang w:val="en-US" w:eastAsia="zh-CN"/>
        </w:rPr>
        <w:t>20</w:t>
      </w:r>
      <w:r>
        <w:rPr>
          <w:rFonts w:hint="default" w:ascii="Times New Roman" w:hAnsi="Times New Roman" w:eastAsia="仿宋" w:cs="Times New Roman"/>
          <w:b/>
          <w:color w:val="000000"/>
          <w:sz w:val="32"/>
          <w:szCs w:val="32"/>
        </w:rPr>
        <w:t>年</w:t>
      </w:r>
      <w:r>
        <w:rPr>
          <w:rFonts w:hint="eastAsia" w:eastAsia="仿宋" w:cs="Times New Roman"/>
          <w:b/>
          <w:color w:val="000000"/>
          <w:sz w:val="32"/>
          <w:szCs w:val="32"/>
          <w:lang w:eastAsia="zh-CN"/>
        </w:rPr>
        <w:t>一</w:t>
      </w:r>
      <w:r>
        <w:rPr>
          <w:rFonts w:hint="eastAsia" w:eastAsia="仿宋" w:cs="Times New Roman"/>
          <w:b/>
          <w:color w:val="000000" w:themeColor="text1"/>
          <w:sz w:val="32"/>
          <w:szCs w:val="32"/>
          <w:lang w:eastAsia="zh-CN"/>
        </w:rPr>
        <w:t>般公</w:t>
      </w:r>
      <w:r>
        <w:rPr>
          <w:rFonts w:hint="default" w:ascii="Times New Roman" w:hAnsi="Times New Roman" w:eastAsia="仿宋" w:cs="Times New Roman"/>
          <w:b/>
          <w:color w:val="000000"/>
          <w:sz w:val="32"/>
          <w:szCs w:val="32"/>
        </w:rPr>
        <w:t>共预算支出决算数为</w:t>
      </w:r>
      <w:r>
        <w:rPr>
          <w:rFonts w:hint="default" w:ascii="Times New Roman" w:hAnsi="Times New Roman" w:eastAsia="仿宋" w:cs="Times New Roman"/>
          <w:color w:val="000000"/>
          <w:sz w:val="32"/>
          <w:szCs w:val="32"/>
          <w:lang w:val="en-US" w:eastAsia="zh-CN"/>
        </w:rPr>
        <w:t>444.44</w:t>
      </w:r>
      <w:r>
        <w:rPr>
          <w:rFonts w:hint="default" w:ascii="Times New Roman" w:hAnsi="Times New Roman" w:eastAsia="仿宋" w:cs="Times New Roman"/>
          <w:color w:val="000000" w:themeColor="text1"/>
          <w:sz w:val="32"/>
          <w:szCs w:val="32"/>
        </w:rPr>
        <w:t>万元，</w:t>
      </w:r>
      <w:r>
        <w:rPr>
          <w:rStyle w:val="15"/>
          <w:rFonts w:hint="default" w:ascii="Times New Roman" w:hAnsi="Times New Roman" w:eastAsia="仿宋" w:cs="Times New Roman"/>
          <w:bCs/>
          <w:color w:val="000000" w:themeColor="text1"/>
          <w:sz w:val="32"/>
          <w:szCs w:val="32"/>
        </w:rPr>
        <w:t>完成</w:t>
      </w:r>
      <w:r>
        <w:rPr>
          <w:rStyle w:val="15"/>
          <w:rFonts w:hint="default" w:ascii="Times New Roman" w:hAnsi="Times New Roman" w:eastAsia="仿宋" w:cs="Times New Roman"/>
          <w:bCs/>
          <w:color w:val="000000"/>
          <w:sz w:val="32"/>
          <w:szCs w:val="32"/>
        </w:rPr>
        <w:t>预算</w:t>
      </w:r>
      <w:r>
        <w:rPr>
          <w:rStyle w:val="15"/>
          <w:rFonts w:hint="default" w:ascii="Times New Roman" w:hAnsi="Times New Roman" w:eastAsia="仿宋" w:cs="Times New Roman"/>
          <w:bCs/>
          <w:color w:val="000000"/>
          <w:sz w:val="32"/>
          <w:szCs w:val="32"/>
          <w:lang w:val="en-US" w:eastAsia="zh-CN"/>
        </w:rPr>
        <w:t>147.</w:t>
      </w:r>
      <w:r>
        <w:rPr>
          <w:rFonts w:hint="default" w:ascii="Times New Roman" w:hAnsi="Times New Roman" w:eastAsia="仿宋" w:cs="Times New Roman"/>
          <w:bCs/>
          <w:color w:val="000000"/>
          <w:sz w:val="32"/>
          <w:szCs w:val="32"/>
          <w:lang w:val="en-US" w:eastAsia="zh-CN"/>
        </w:rPr>
        <w:t>17</w:t>
      </w:r>
      <w:r>
        <w:rPr>
          <w:rStyle w:val="15"/>
          <w:rFonts w:hint="default" w:ascii="Times New Roman" w:hAnsi="Times New Roman" w:eastAsia="仿宋" w:cs="Times New Roman"/>
          <w:bCs/>
          <w:color w:val="000000"/>
          <w:sz w:val="32"/>
          <w:szCs w:val="32"/>
        </w:rPr>
        <w:t>%。其中：</w:t>
      </w:r>
      <w:bookmarkEnd w:id="58"/>
      <w:bookmarkEnd w:id="59"/>
      <w:bookmarkEnd w:id="6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 w:cs="Times New Roman"/>
          <w:b/>
          <w:color w:val="000000"/>
          <w:sz w:val="32"/>
          <w:szCs w:val="32"/>
        </w:rPr>
      </w:pPr>
      <w:r>
        <w:rPr>
          <w:rStyle w:val="15"/>
          <w:rFonts w:hint="default" w:ascii="Times New Roman" w:hAnsi="Times New Roman" w:eastAsia="仿宋" w:cs="Times New Roman"/>
          <w:bCs/>
          <w:color w:val="000000"/>
          <w:sz w:val="32"/>
          <w:szCs w:val="32"/>
        </w:rPr>
        <w:t>1.</w:t>
      </w:r>
      <w:r>
        <w:rPr>
          <w:rFonts w:hint="default" w:ascii="Times New Roman" w:hAnsi="Times New Roman" w:eastAsia="仿宋" w:cs="Times New Roman"/>
          <w:bCs/>
          <w:color w:val="000000"/>
          <w:sz w:val="32"/>
          <w:szCs w:val="32"/>
        </w:rPr>
        <w:t>一</w:t>
      </w:r>
      <w:r>
        <w:rPr>
          <w:rStyle w:val="15"/>
          <w:rFonts w:hint="default" w:ascii="Times New Roman" w:hAnsi="Times New Roman" w:eastAsia="仿宋" w:cs="Times New Roman"/>
          <w:bCs/>
          <w:color w:val="000000"/>
          <w:sz w:val="32"/>
          <w:szCs w:val="32"/>
        </w:rPr>
        <w:t>般</w:t>
      </w:r>
      <w:r>
        <w:rPr>
          <w:rFonts w:hint="default" w:ascii="Times New Roman" w:hAnsi="Times New Roman" w:eastAsia="仿宋" w:cs="Times New Roman"/>
          <w:bCs/>
          <w:color w:val="000000"/>
          <w:sz w:val="32"/>
          <w:szCs w:val="32"/>
        </w:rPr>
        <w:t>公共服务</w:t>
      </w:r>
      <w:r>
        <w:rPr>
          <w:rStyle w:val="15"/>
          <w:rFonts w:hint="default" w:ascii="Times New Roman" w:hAnsi="Times New Roman" w:eastAsia="仿宋" w:cs="Times New Roman"/>
          <w:bCs/>
          <w:color w:val="000000"/>
          <w:sz w:val="32"/>
          <w:szCs w:val="32"/>
          <w:lang w:eastAsia="zh-CN"/>
        </w:rPr>
        <w:t>支出</w:t>
      </w:r>
      <w:r>
        <w:t>：</w:t>
      </w:r>
      <w:r>
        <w:rPr>
          <w:rStyle w:val="15"/>
          <w:rFonts w:hint="default" w:ascii="Times New Roman" w:hAnsi="Times New Roman" w:eastAsia="仿宋" w:cs="Times New Roman"/>
          <w:b w:val="0"/>
          <w:bCs/>
          <w:color w:val="000000"/>
          <w:sz w:val="32"/>
          <w:szCs w:val="32"/>
        </w:rPr>
        <w:t>支出决算为</w:t>
      </w:r>
      <w:r>
        <w:rPr>
          <w:rFonts w:hint="default" w:ascii="Times New Roman" w:hAnsi="Times New Roman" w:eastAsia="仿宋" w:cs="Times New Roman"/>
          <w:color w:val="000000"/>
          <w:sz w:val="32"/>
          <w:szCs w:val="32"/>
        </w:rPr>
        <w:t>381</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sz w:val="32"/>
          <w:szCs w:val="32"/>
        </w:rPr>
        <w:t>41</w:t>
      </w:r>
      <w:r>
        <w:rPr>
          <w:rStyle w:val="15"/>
          <w:rFonts w:hint="default" w:ascii="Times New Roman" w:hAnsi="Times New Roman" w:eastAsia="仿宋" w:cs="Times New Roman"/>
          <w:b w:val="0"/>
          <w:bCs/>
          <w:color w:val="000000"/>
          <w:sz w:val="32"/>
          <w:szCs w:val="32"/>
        </w:rPr>
        <w:t>万元，完成预算</w:t>
      </w:r>
      <w:r>
        <w:rPr>
          <w:rStyle w:val="15"/>
          <w:rFonts w:hint="default" w:ascii="Times New Roman" w:hAnsi="Times New Roman" w:eastAsia="仿宋" w:cs="Times New Roman"/>
          <w:b w:val="0"/>
          <w:bCs/>
          <w:color w:val="000000"/>
          <w:sz w:val="32"/>
          <w:szCs w:val="32"/>
          <w:lang w:val="en-US" w:eastAsia="zh-CN"/>
        </w:rPr>
        <w:t>155.</w:t>
      </w:r>
      <w:r>
        <w:rPr>
          <w:rFonts w:hint="default" w:ascii="Times New Roman" w:hAnsi="Times New Roman" w:eastAsia="仿宋" w:cs="Times New Roman"/>
          <w:b w:val="0"/>
          <w:bCs/>
          <w:color w:val="000000"/>
          <w:sz w:val="32"/>
          <w:szCs w:val="32"/>
          <w:lang w:val="en-US" w:eastAsia="zh-CN"/>
        </w:rPr>
        <w:t>04</w:t>
      </w:r>
      <w:r>
        <w:rPr>
          <w:rStyle w:val="15"/>
          <w:rFonts w:hint="default" w:ascii="Times New Roman" w:hAnsi="Times New Roman" w:eastAsia="仿宋" w:cs="Times New Roman"/>
          <w:b w:val="0"/>
          <w:bCs/>
          <w:color w:val="000000"/>
          <w:sz w:val="32"/>
          <w:szCs w:val="32"/>
        </w:rPr>
        <w:t>%，决算数</w:t>
      </w:r>
      <w:r>
        <w:rPr>
          <w:rStyle w:val="15"/>
          <w:rFonts w:hint="default" w:ascii="Times New Roman" w:hAnsi="Times New Roman" w:eastAsia="仿宋" w:cs="Times New Roman"/>
          <w:b w:val="0"/>
          <w:bCs/>
          <w:color w:val="000000"/>
          <w:sz w:val="32"/>
          <w:szCs w:val="32"/>
          <w:lang w:eastAsia="zh-CN"/>
        </w:rPr>
        <w:t>大于</w:t>
      </w:r>
      <w:r>
        <w:rPr>
          <w:rStyle w:val="15"/>
          <w:rFonts w:hint="default" w:ascii="Times New Roman" w:hAnsi="Times New Roman" w:eastAsia="仿宋" w:cs="Times New Roman"/>
          <w:b w:val="0"/>
          <w:bCs/>
          <w:color w:val="000000"/>
          <w:sz w:val="32"/>
          <w:szCs w:val="32"/>
        </w:rPr>
        <w:t>预算数的主要原因</w:t>
      </w:r>
      <w:r>
        <w:rPr>
          <w:rStyle w:val="15"/>
          <w:rFonts w:hint="default" w:ascii="Times New Roman" w:hAnsi="Times New Roman" w:eastAsia="仿宋" w:cs="Times New Roman"/>
          <w:b w:val="0"/>
          <w:bCs/>
          <w:color w:val="000000"/>
          <w:sz w:val="32"/>
          <w:szCs w:val="32"/>
          <w:lang w:eastAsia="zh-CN"/>
        </w:rPr>
        <w:t>运行成本的增加</w:t>
      </w:r>
      <w:r>
        <w:rPr>
          <w:rStyle w:val="15"/>
          <w:rFonts w:hint="default" w:ascii="Times New Roman" w:hAnsi="Times New Roman" w:eastAsia="仿宋"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000000"/>
          <w:sz w:val="32"/>
          <w:szCs w:val="32"/>
        </w:rPr>
      </w:pPr>
      <w:r>
        <w:rPr>
          <w:rStyle w:val="15"/>
          <w:rFonts w:hint="default" w:ascii="Times New Roman" w:hAnsi="Times New Roman" w:eastAsia="仿宋" w:cs="Times New Roman"/>
          <w:bCs/>
          <w:color w:val="000000"/>
          <w:sz w:val="32"/>
          <w:szCs w:val="32"/>
        </w:rPr>
        <w:t>2.</w:t>
      </w:r>
      <w:r>
        <w:rPr>
          <w:rFonts w:hint="default" w:ascii="Times New Roman" w:hAnsi="Times New Roman" w:eastAsia="仿宋" w:cs="Times New Roman"/>
          <w:bCs/>
          <w:color w:val="000000"/>
          <w:sz w:val="32"/>
          <w:szCs w:val="32"/>
        </w:rPr>
        <w:t>教育</w:t>
      </w:r>
      <w:r>
        <w:rPr>
          <w:rStyle w:val="15"/>
          <w:rFonts w:hint="default" w:ascii="Times New Roman" w:hAnsi="Times New Roman" w:eastAsia="仿宋" w:cs="Times New Roman"/>
          <w:bCs/>
          <w:color w:val="000000"/>
          <w:sz w:val="32"/>
          <w:szCs w:val="32"/>
          <w:lang w:eastAsia="zh-CN"/>
        </w:rPr>
        <w:t>支出</w:t>
      </w:r>
      <w:r>
        <w:t>：</w:t>
      </w:r>
      <w:r>
        <w:rPr>
          <w:rStyle w:val="15"/>
          <w:rFonts w:hint="default" w:ascii="Times New Roman" w:hAnsi="Times New Roman" w:eastAsia="仿宋" w:cs="Times New Roman"/>
          <w:b w:val="0"/>
          <w:bCs/>
          <w:color w:val="000000"/>
          <w:sz w:val="32"/>
          <w:szCs w:val="32"/>
        </w:rPr>
        <w:t>支出决算为</w:t>
      </w:r>
      <w:r>
        <w:rPr>
          <w:rStyle w:val="15"/>
          <w:rFonts w:hint="default" w:ascii="Times New Roman" w:hAnsi="Times New Roman" w:eastAsia="仿宋" w:cs="Times New Roman"/>
          <w:b w:val="0"/>
          <w:bCs/>
          <w:color w:val="000000"/>
          <w:sz w:val="32"/>
          <w:szCs w:val="32"/>
          <w:lang w:val="en-US" w:eastAsia="zh-CN"/>
        </w:rPr>
        <w:t>0</w:t>
      </w:r>
      <w:r>
        <w:rPr>
          <w:rStyle w:val="15"/>
          <w:rFonts w:hint="default" w:ascii="Times New Roman" w:hAnsi="Times New Roman" w:eastAsia="仿宋" w:cs="Times New Roman"/>
          <w:b w:val="0"/>
          <w:bCs/>
          <w:color w:val="000000"/>
          <w:sz w:val="32"/>
          <w:szCs w:val="32"/>
        </w:rPr>
        <w:t>万元，完成预算</w:t>
      </w:r>
      <w:r>
        <w:rPr>
          <w:rStyle w:val="15"/>
          <w:rFonts w:hint="default" w:ascii="Times New Roman" w:hAnsi="Times New Roman" w:eastAsia="仿宋" w:cs="Times New Roman"/>
          <w:b w:val="0"/>
          <w:bCs/>
          <w:color w:val="000000"/>
          <w:sz w:val="32"/>
          <w:szCs w:val="32"/>
          <w:lang w:val="en-US" w:eastAsia="zh-CN"/>
        </w:rPr>
        <w:t>0</w:t>
      </w:r>
      <w:r>
        <w:rPr>
          <w:rStyle w:val="15"/>
          <w:rFonts w:hint="default" w:ascii="Times New Roman" w:hAnsi="Times New Roman" w:eastAsia="仿宋"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000000"/>
          <w:sz w:val="32"/>
          <w:szCs w:val="32"/>
        </w:rPr>
      </w:pPr>
      <w:r>
        <w:rPr>
          <w:rStyle w:val="15"/>
          <w:rFonts w:hint="default" w:ascii="Times New Roman" w:hAnsi="Times New Roman" w:eastAsia="仿宋" w:cs="Times New Roman"/>
          <w:bCs/>
          <w:color w:val="000000"/>
          <w:sz w:val="32"/>
          <w:szCs w:val="32"/>
        </w:rPr>
        <w:t>3.</w:t>
      </w:r>
      <w:r>
        <w:rPr>
          <w:rFonts w:hint="default" w:ascii="Times New Roman" w:hAnsi="Times New Roman" w:eastAsia="仿宋" w:cs="Times New Roman"/>
          <w:bCs/>
          <w:color w:val="000000"/>
          <w:sz w:val="32"/>
          <w:szCs w:val="32"/>
        </w:rPr>
        <w:t>科学技术</w:t>
      </w:r>
      <w:r>
        <w:rPr>
          <w:rStyle w:val="15"/>
          <w:rFonts w:hint="default" w:ascii="Times New Roman" w:hAnsi="Times New Roman" w:eastAsia="仿宋" w:cs="Times New Roman"/>
          <w:bCs/>
          <w:color w:val="000000"/>
          <w:sz w:val="32"/>
          <w:szCs w:val="32"/>
          <w:lang w:eastAsia="zh-CN"/>
        </w:rPr>
        <w:t>支出</w:t>
      </w:r>
      <w:r>
        <w:t>：</w:t>
      </w:r>
      <w:r>
        <w:rPr>
          <w:rStyle w:val="15"/>
          <w:rFonts w:hint="default" w:ascii="Times New Roman" w:hAnsi="Times New Roman" w:eastAsia="仿宋" w:cs="Times New Roman"/>
          <w:b w:val="0"/>
          <w:bCs/>
          <w:color w:val="000000"/>
          <w:sz w:val="32"/>
          <w:szCs w:val="32"/>
        </w:rPr>
        <w:t>支出决算为</w:t>
      </w:r>
      <w:r>
        <w:rPr>
          <w:rStyle w:val="15"/>
          <w:rFonts w:hint="default" w:ascii="Times New Roman" w:hAnsi="Times New Roman" w:eastAsia="仿宋" w:cs="Times New Roman"/>
          <w:b w:val="0"/>
          <w:bCs/>
          <w:color w:val="000000"/>
          <w:sz w:val="32"/>
          <w:szCs w:val="32"/>
          <w:lang w:val="en-US" w:eastAsia="zh-CN"/>
        </w:rPr>
        <w:t>0</w:t>
      </w:r>
      <w:r>
        <w:rPr>
          <w:rStyle w:val="15"/>
          <w:rFonts w:hint="default" w:ascii="Times New Roman" w:hAnsi="Times New Roman" w:eastAsia="仿宋" w:cs="Times New Roman"/>
          <w:b w:val="0"/>
          <w:bCs/>
          <w:color w:val="000000"/>
          <w:sz w:val="32"/>
          <w:szCs w:val="32"/>
        </w:rPr>
        <w:t>万元，完成预算</w:t>
      </w:r>
      <w:r>
        <w:rPr>
          <w:rStyle w:val="15"/>
          <w:rFonts w:hint="default" w:ascii="Times New Roman" w:hAnsi="Times New Roman" w:eastAsia="仿宋" w:cs="Times New Roman"/>
          <w:b w:val="0"/>
          <w:bCs/>
          <w:color w:val="000000"/>
          <w:sz w:val="32"/>
          <w:szCs w:val="32"/>
          <w:lang w:val="en-US" w:eastAsia="zh-CN"/>
        </w:rPr>
        <w:t>0</w:t>
      </w:r>
      <w:r>
        <w:rPr>
          <w:rStyle w:val="15"/>
          <w:rFonts w:hint="default" w:ascii="Times New Roman" w:hAnsi="Times New Roman" w:eastAsia="仿宋"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000000"/>
          <w:spacing w:val="-6"/>
          <w:sz w:val="32"/>
          <w:szCs w:val="32"/>
        </w:rPr>
      </w:pPr>
      <w:r>
        <w:rPr>
          <w:rStyle w:val="15"/>
          <w:rFonts w:hint="default" w:ascii="Times New Roman" w:hAnsi="Times New Roman" w:eastAsia="仿宋" w:cs="Times New Roman"/>
          <w:bCs/>
          <w:color w:val="000000"/>
          <w:sz w:val="32"/>
          <w:szCs w:val="32"/>
        </w:rPr>
        <w:t>4.</w:t>
      </w:r>
      <w:r>
        <w:rPr>
          <w:rStyle w:val="15"/>
          <w:rFonts w:hint="default" w:ascii="Times New Roman" w:hAnsi="Times New Roman" w:eastAsia="仿宋" w:cs="Times New Roman"/>
          <w:bCs/>
          <w:color w:val="000000"/>
          <w:spacing w:val="-6"/>
          <w:sz w:val="32"/>
          <w:szCs w:val="32"/>
        </w:rPr>
        <w:t>文化旅游体育与传媒</w:t>
      </w:r>
      <w:r>
        <w:rPr>
          <w:rStyle w:val="15"/>
          <w:rFonts w:hint="default" w:ascii="Times New Roman" w:hAnsi="Times New Roman" w:eastAsia="仿宋" w:cs="Times New Roman"/>
          <w:bCs/>
          <w:color w:val="000000"/>
          <w:spacing w:val="-6"/>
          <w:sz w:val="32"/>
          <w:szCs w:val="32"/>
          <w:lang w:eastAsia="zh-CN"/>
        </w:rPr>
        <w:t>支出</w:t>
      </w:r>
      <w:r>
        <w:t>：</w:t>
      </w:r>
      <w:r>
        <w:rPr>
          <w:rStyle w:val="15"/>
          <w:rFonts w:hint="default" w:ascii="Times New Roman" w:hAnsi="Times New Roman" w:eastAsia="仿宋" w:cs="Times New Roman"/>
          <w:b w:val="0"/>
          <w:bCs/>
          <w:color w:val="000000"/>
          <w:spacing w:val="-6"/>
          <w:sz w:val="32"/>
          <w:szCs w:val="32"/>
        </w:rPr>
        <w:t>支出决算为</w:t>
      </w:r>
      <w:r>
        <w:rPr>
          <w:rStyle w:val="15"/>
          <w:rFonts w:hint="default" w:ascii="Times New Roman" w:hAnsi="Times New Roman" w:eastAsia="仿宋" w:cs="Times New Roman"/>
          <w:b w:val="0"/>
          <w:bCs/>
          <w:color w:val="000000"/>
          <w:spacing w:val="-6"/>
          <w:sz w:val="32"/>
          <w:szCs w:val="32"/>
          <w:lang w:val="en-US" w:eastAsia="zh-CN"/>
        </w:rPr>
        <w:t>0</w:t>
      </w:r>
      <w:r>
        <w:rPr>
          <w:rStyle w:val="15"/>
          <w:rFonts w:hint="default" w:ascii="Times New Roman" w:hAnsi="Times New Roman" w:eastAsia="仿宋" w:cs="Times New Roman"/>
          <w:b w:val="0"/>
          <w:bCs/>
          <w:color w:val="000000"/>
          <w:spacing w:val="-6"/>
          <w:sz w:val="32"/>
          <w:szCs w:val="32"/>
        </w:rPr>
        <w:t>万元，完成预算</w:t>
      </w:r>
      <w:r>
        <w:rPr>
          <w:rStyle w:val="15"/>
          <w:rFonts w:hint="default" w:ascii="Times New Roman" w:hAnsi="Times New Roman" w:eastAsia="仿宋" w:cs="Times New Roman"/>
          <w:b w:val="0"/>
          <w:bCs/>
          <w:color w:val="000000"/>
          <w:spacing w:val="-6"/>
          <w:sz w:val="32"/>
          <w:szCs w:val="32"/>
          <w:lang w:val="en-US" w:eastAsia="zh-CN"/>
        </w:rPr>
        <w:t>0</w:t>
      </w:r>
      <w:r>
        <w:rPr>
          <w:rStyle w:val="15"/>
          <w:rFonts w:hint="default" w:ascii="Times New Roman" w:hAnsi="Times New Roman" w:eastAsia="仿宋" w:cs="Times New Roman"/>
          <w:b w:val="0"/>
          <w:bCs/>
          <w:color w:val="000000"/>
          <w:spacing w:val="-6"/>
          <w:sz w:val="32"/>
          <w:szCs w:val="32"/>
        </w:rPr>
        <w:t>%</w:t>
      </w:r>
      <w:r>
        <w:rPr>
          <w:rStyle w:val="15"/>
          <w:rFonts w:hint="default" w:ascii="Times New Roman" w:hAnsi="Times New Roman" w:eastAsia="仿宋" w:cs="Times New Roman"/>
          <w:b w:val="0"/>
          <w:bCs/>
          <w:color w:val="000000"/>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000000"/>
          <w:sz w:val="32"/>
          <w:szCs w:val="32"/>
        </w:rPr>
      </w:pPr>
      <w:r>
        <w:rPr>
          <w:rStyle w:val="15"/>
          <w:rFonts w:hint="default" w:ascii="Times New Roman" w:hAnsi="Times New Roman" w:eastAsia="仿宋" w:cs="Times New Roman"/>
          <w:bCs/>
          <w:color w:val="000000"/>
          <w:sz w:val="32"/>
          <w:szCs w:val="32"/>
        </w:rPr>
        <w:t>5.</w:t>
      </w:r>
      <w:r>
        <w:rPr>
          <w:rFonts w:hint="default" w:ascii="Times New Roman" w:hAnsi="Times New Roman" w:eastAsia="仿宋" w:cs="Times New Roman"/>
          <w:bCs/>
          <w:color w:val="000000"/>
          <w:sz w:val="32"/>
          <w:szCs w:val="32"/>
        </w:rPr>
        <w:t>社会保障和就业</w:t>
      </w:r>
      <w:r>
        <w:rPr>
          <w:rStyle w:val="15"/>
          <w:rFonts w:hint="default" w:ascii="Times New Roman" w:hAnsi="Times New Roman" w:eastAsia="仿宋" w:cs="Times New Roman"/>
          <w:bCs/>
          <w:color w:val="000000"/>
          <w:sz w:val="32"/>
          <w:szCs w:val="32"/>
          <w:lang w:eastAsia="zh-CN"/>
        </w:rPr>
        <w:t>支出</w:t>
      </w:r>
      <w:r>
        <w:t>：</w:t>
      </w:r>
      <w:r>
        <w:rPr>
          <w:rStyle w:val="15"/>
          <w:rFonts w:hint="default" w:ascii="Times New Roman" w:hAnsi="Times New Roman" w:eastAsia="仿宋" w:cs="Times New Roman"/>
          <w:b w:val="0"/>
          <w:bCs/>
          <w:color w:val="000000"/>
          <w:sz w:val="32"/>
          <w:szCs w:val="32"/>
        </w:rPr>
        <w:t>支出决算为</w:t>
      </w:r>
      <w:r>
        <w:rPr>
          <w:rFonts w:hint="default" w:ascii="Times New Roman" w:hAnsi="Times New Roman" w:eastAsia="仿宋" w:cs="Times New Roman"/>
          <w:color w:val="000000"/>
          <w:sz w:val="32"/>
          <w:szCs w:val="32"/>
        </w:rPr>
        <w:t>24</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sz w:val="32"/>
          <w:szCs w:val="32"/>
        </w:rPr>
        <w:t>15</w:t>
      </w:r>
      <w:r>
        <w:rPr>
          <w:rStyle w:val="15"/>
          <w:rFonts w:hint="default" w:ascii="Times New Roman" w:hAnsi="Times New Roman" w:eastAsia="仿宋" w:cs="Times New Roman"/>
          <w:b w:val="0"/>
          <w:bCs/>
          <w:color w:val="000000"/>
          <w:sz w:val="32"/>
          <w:szCs w:val="32"/>
        </w:rPr>
        <w:t>万元，完成预算</w:t>
      </w:r>
      <w:r>
        <w:rPr>
          <w:rStyle w:val="15"/>
          <w:rFonts w:hint="default" w:ascii="Times New Roman" w:hAnsi="Times New Roman" w:eastAsia="仿宋" w:cs="Times New Roman"/>
          <w:b w:val="0"/>
          <w:bCs/>
          <w:color w:val="000000"/>
          <w:sz w:val="32"/>
          <w:szCs w:val="32"/>
          <w:lang w:val="en-US" w:eastAsia="zh-CN"/>
        </w:rPr>
        <w:t>105</w:t>
      </w:r>
      <w:r>
        <w:rPr>
          <w:rStyle w:val="15"/>
          <w:rFonts w:hint="default" w:ascii="Times New Roman" w:hAnsi="Times New Roman" w:eastAsia="仿宋" w:cs="Times New Roman"/>
          <w:b w:val="0"/>
          <w:bCs/>
          <w:color w:val="000000"/>
          <w:sz w:val="32"/>
          <w:szCs w:val="32"/>
        </w:rPr>
        <w:t>%，决算数</w:t>
      </w:r>
      <w:r>
        <w:rPr>
          <w:rStyle w:val="15"/>
          <w:rFonts w:hint="default" w:ascii="Times New Roman" w:hAnsi="Times New Roman" w:eastAsia="仿宋" w:cs="Times New Roman"/>
          <w:b w:val="0"/>
          <w:bCs/>
          <w:color w:val="000000"/>
          <w:sz w:val="32"/>
          <w:szCs w:val="32"/>
          <w:lang w:eastAsia="zh-CN"/>
        </w:rPr>
        <w:t>大</w:t>
      </w:r>
      <w:r>
        <w:rPr>
          <w:rStyle w:val="15"/>
          <w:rFonts w:hint="default" w:ascii="Times New Roman" w:hAnsi="Times New Roman" w:eastAsia="仿宋" w:cs="Times New Roman"/>
          <w:b w:val="0"/>
          <w:bCs/>
          <w:color w:val="000000"/>
          <w:sz w:val="32"/>
          <w:szCs w:val="32"/>
        </w:rPr>
        <w:t>于预算数的主要原因是</w:t>
      </w:r>
      <w:r>
        <w:rPr>
          <w:rStyle w:val="15"/>
          <w:rFonts w:hint="default" w:ascii="Times New Roman" w:hAnsi="Times New Roman" w:eastAsia="仿宋" w:cs="Times New Roman"/>
          <w:b w:val="0"/>
          <w:bCs/>
          <w:color w:val="000000"/>
          <w:sz w:val="32"/>
          <w:szCs w:val="32"/>
          <w:lang w:eastAsia="zh-CN"/>
        </w:rPr>
        <w:t>年度工资档次调标</w:t>
      </w:r>
      <w:r>
        <w:rPr>
          <w:rStyle w:val="15"/>
          <w:rFonts w:hint="default" w:ascii="Times New Roman" w:hAnsi="Times New Roman" w:eastAsia="仿宋"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000000"/>
          <w:sz w:val="32"/>
          <w:szCs w:val="32"/>
        </w:rPr>
      </w:pPr>
      <w:r>
        <w:rPr>
          <w:rStyle w:val="15"/>
          <w:rFonts w:hint="default" w:ascii="Times New Roman" w:hAnsi="Times New Roman" w:eastAsia="仿宋" w:cs="Times New Roman"/>
          <w:bCs/>
          <w:color w:val="000000"/>
          <w:sz w:val="32"/>
          <w:szCs w:val="32"/>
        </w:rPr>
        <w:t>6.</w:t>
      </w:r>
      <w:r>
        <w:rPr>
          <w:rFonts w:hint="default" w:ascii="Times New Roman" w:hAnsi="Times New Roman" w:eastAsia="仿宋" w:cs="Times New Roman"/>
          <w:b/>
          <w:bCs/>
          <w:color w:val="000000" w:themeColor="text1"/>
          <w:sz w:val="32"/>
          <w:szCs w:val="32"/>
        </w:rPr>
        <w:t>卫生健康</w:t>
      </w:r>
      <w:r>
        <w:rPr>
          <w:rStyle w:val="15"/>
          <w:rFonts w:hint="default" w:ascii="Times New Roman" w:hAnsi="Times New Roman" w:eastAsia="仿宋" w:cs="Times New Roman"/>
          <w:bCs/>
          <w:color w:val="000000"/>
          <w:sz w:val="32"/>
          <w:szCs w:val="32"/>
          <w:lang w:eastAsia="zh-CN"/>
        </w:rPr>
        <w:t>支出</w:t>
      </w:r>
      <w:r>
        <w:t>：</w:t>
      </w:r>
      <w:r>
        <w:rPr>
          <w:rStyle w:val="15"/>
          <w:rFonts w:hint="default" w:ascii="Times New Roman" w:hAnsi="Times New Roman" w:eastAsia="仿宋" w:cs="Times New Roman"/>
          <w:b w:val="0"/>
          <w:bCs/>
          <w:color w:val="000000"/>
          <w:sz w:val="32"/>
          <w:szCs w:val="32"/>
        </w:rPr>
        <w:t>支出决算为</w:t>
      </w:r>
      <w:r>
        <w:rPr>
          <w:rFonts w:hint="default" w:ascii="Times New Roman" w:hAnsi="Times New Roman" w:eastAsia="仿宋" w:cs="Times New Roman"/>
          <w:color w:val="000000"/>
          <w:sz w:val="32"/>
          <w:szCs w:val="32"/>
        </w:rPr>
        <w:t>15</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sz w:val="32"/>
          <w:szCs w:val="32"/>
        </w:rPr>
        <w:t>17</w:t>
      </w:r>
      <w:r>
        <w:rPr>
          <w:rStyle w:val="15"/>
          <w:rFonts w:hint="default" w:ascii="Times New Roman" w:hAnsi="Times New Roman" w:eastAsia="仿宋" w:cs="Times New Roman"/>
          <w:b w:val="0"/>
          <w:bCs/>
          <w:color w:val="000000"/>
          <w:sz w:val="32"/>
          <w:szCs w:val="32"/>
        </w:rPr>
        <w:t>万元，完成预算</w:t>
      </w:r>
      <w:r>
        <w:rPr>
          <w:rStyle w:val="15"/>
          <w:rFonts w:hint="default" w:ascii="Times New Roman" w:hAnsi="Times New Roman" w:eastAsia="仿宋" w:cs="Times New Roman"/>
          <w:b w:val="0"/>
          <w:bCs/>
          <w:color w:val="000000"/>
          <w:sz w:val="32"/>
          <w:szCs w:val="32"/>
          <w:lang w:val="en-US" w:eastAsia="zh-CN"/>
        </w:rPr>
        <w:t>94.</w:t>
      </w:r>
      <w:r>
        <w:rPr>
          <w:rFonts w:hint="default" w:ascii="Times New Roman" w:hAnsi="Times New Roman" w:eastAsia="仿宋" w:cs="Times New Roman"/>
          <w:b w:val="0"/>
          <w:bCs/>
          <w:color w:val="000000"/>
          <w:sz w:val="32"/>
          <w:szCs w:val="32"/>
          <w:lang w:val="en-US" w:eastAsia="zh-CN"/>
        </w:rPr>
        <w:t>81</w:t>
      </w:r>
      <w:r>
        <w:rPr>
          <w:rStyle w:val="15"/>
          <w:rFonts w:hint="default" w:ascii="Times New Roman" w:hAnsi="Times New Roman" w:eastAsia="仿宋" w:cs="Times New Roman"/>
          <w:b w:val="0"/>
          <w:bCs/>
          <w:color w:val="000000"/>
          <w:sz w:val="32"/>
          <w:szCs w:val="32"/>
        </w:rPr>
        <w:t>%，决算数小于预算数的主要原因是</w:t>
      </w:r>
      <w:r>
        <w:rPr>
          <w:rStyle w:val="15"/>
          <w:rFonts w:hint="default" w:ascii="Times New Roman" w:hAnsi="Times New Roman" w:eastAsia="仿宋" w:cs="Times New Roman"/>
          <w:b w:val="0"/>
          <w:bCs/>
          <w:color w:val="000000"/>
          <w:sz w:val="32"/>
          <w:szCs w:val="32"/>
          <w:lang w:eastAsia="zh-CN"/>
        </w:rPr>
        <w:t>缴费基数是年度工资档次调标前的数据</w:t>
      </w:r>
      <w:r>
        <w:rPr>
          <w:rStyle w:val="15"/>
          <w:rFonts w:hint="default" w:ascii="Times New Roman" w:hAnsi="Times New Roman" w:eastAsia="仿宋"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000000"/>
          <w:sz w:val="32"/>
          <w:szCs w:val="32"/>
        </w:rPr>
      </w:pPr>
      <w:r>
        <w:rPr>
          <w:rFonts w:hint="default" w:ascii="Times New Roman" w:hAnsi="Times New Roman" w:eastAsia="仿宋" w:cs="Times New Roman"/>
          <w:b/>
          <w:bCs/>
          <w:color w:val="000000"/>
          <w:sz w:val="32"/>
          <w:szCs w:val="32"/>
          <w:lang w:val="en-US" w:eastAsia="zh-CN"/>
        </w:rPr>
        <w:t>7.住房保障支出：</w:t>
      </w:r>
      <w:r>
        <w:rPr>
          <w:rStyle w:val="15"/>
          <w:rFonts w:hint="default" w:ascii="Times New Roman" w:hAnsi="Times New Roman" w:eastAsia="仿宋" w:cs="Times New Roman"/>
          <w:b w:val="0"/>
          <w:bCs/>
          <w:color w:val="000000"/>
          <w:sz w:val="32"/>
          <w:szCs w:val="32"/>
        </w:rPr>
        <w:t>支出决算为</w:t>
      </w:r>
      <w:r>
        <w:rPr>
          <w:rFonts w:hint="default" w:ascii="Times New Roman" w:hAnsi="Times New Roman" w:eastAsia="仿宋" w:cs="Times New Roman"/>
          <w:color w:val="000000"/>
          <w:sz w:val="32"/>
          <w:szCs w:val="32"/>
        </w:rPr>
        <w:t>18</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sz w:val="32"/>
          <w:szCs w:val="32"/>
        </w:rPr>
        <w:t>11</w:t>
      </w:r>
      <w:r>
        <w:rPr>
          <w:rStyle w:val="15"/>
          <w:rFonts w:hint="default" w:ascii="Times New Roman" w:hAnsi="Times New Roman" w:eastAsia="仿宋" w:cs="Times New Roman"/>
          <w:b w:val="0"/>
          <w:bCs/>
          <w:color w:val="000000"/>
          <w:sz w:val="32"/>
          <w:szCs w:val="32"/>
        </w:rPr>
        <w:t>万元，完成预算</w:t>
      </w:r>
      <w:r>
        <w:rPr>
          <w:rStyle w:val="15"/>
          <w:rFonts w:hint="default" w:ascii="Times New Roman" w:hAnsi="Times New Roman" w:eastAsia="仿宋" w:cs="Times New Roman"/>
          <w:b w:val="0"/>
          <w:bCs/>
          <w:color w:val="000000"/>
          <w:sz w:val="32"/>
          <w:szCs w:val="32"/>
          <w:lang w:val="en-US" w:eastAsia="zh-CN"/>
        </w:rPr>
        <w:t>100.</w:t>
      </w:r>
      <w:r>
        <w:rPr>
          <w:rFonts w:hint="default" w:ascii="Times New Roman" w:hAnsi="Times New Roman" w:eastAsia="仿宋" w:cs="Times New Roman"/>
          <w:b w:val="0"/>
          <w:bCs/>
          <w:color w:val="000000"/>
          <w:sz w:val="32"/>
          <w:szCs w:val="32"/>
          <w:lang w:val="en-US" w:eastAsia="zh-CN"/>
        </w:rPr>
        <w:t>61</w:t>
      </w:r>
      <w:r>
        <w:rPr>
          <w:rStyle w:val="15"/>
          <w:rFonts w:hint="default" w:ascii="Times New Roman" w:hAnsi="Times New Roman" w:eastAsia="仿宋" w:cs="Times New Roman"/>
          <w:b w:val="0"/>
          <w:bCs/>
          <w:color w:val="000000"/>
          <w:sz w:val="32"/>
          <w:szCs w:val="32"/>
        </w:rPr>
        <w:t>%，决算数</w:t>
      </w:r>
      <w:r>
        <w:rPr>
          <w:rStyle w:val="15"/>
          <w:rFonts w:hint="default" w:ascii="Times New Roman" w:hAnsi="Times New Roman" w:eastAsia="仿宋" w:cs="Times New Roman"/>
          <w:b w:val="0"/>
          <w:bCs/>
          <w:color w:val="000000"/>
          <w:sz w:val="32"/>
          <w:szCs w:val="32"/>
          <w:lang w:eastAsia="zh-CN"/>
        </w:rPr>
        <w:t>大</w:t>
      </w:r>
      <w:r>
        <w:rPr>
          <w:rStyle w:val="15"/>
          <w:rFonts w:hint="default" w:ascii="Times New Roman" w:hAnsi="Times New Roman" w:eastAsia="仿宋" w:cs="Times New Roman"/>
          <w:b w:val="0"/>
          <w:bCs/>
          <w:color w:val="000000"/>
          <w:sz w:val="32"/>
          <w:szCs w:val="32"/>
        </w:rPr>
        <w:t>于预算数的主要原因是</w:t>
      </w:r>
      <w:r>
        <w:rPr>
          <w:rStyle w:val="15"/>
          <w:rFonts w:hint="default" w:ascii="Times New Roman" w:hAnsi="Times New Roman" w:eastAsia="仿宋" w:cs="Times New Roman"/>
          <w:b w:val="0"/>
          <w:bCs/>
          <w:color w:val="000000"/>
          <w:sz w:val="32"/>
          <w:szCs w:val="32"/>
          <w:lang w:eastAsia="zh-CN"/>
        </w:rPr>
        <w:t>年度工资档次调标</w:t>
      </w:r>
      <w:r>
        <w:rPr>
          <w:rStyle w:val="15"/>
          <w:rFonts w:hint="default" w:ascii="Times New Roman" w:hAnsi="Times New Roman" w:eastAsia="仿宋" w:cs="Times New Roman"/>
          <w:b w:val="0"/>
          <w:bCs/>
          <w:color w:val="000000"/>
          <w:sz w:val="32"/>
          <w:szCs w:val="32"/>
        </w:rPr>
        <w:t>。</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3" w:firstLineChars="200"/>
        <w:textAlignment w:val="auto"/>
        <w:outlineLvl w:val="1"/>
        <w:rPr>
          <w:rStyle w:val="26"/>
          <w:rFonts w:hint="default" w:ascii="Times New Roman" w:hAnsi="Times New Roman" w:cs="Times New Roman"/>
        </w:rPr>
      </w:pPr>
      <w:bookmarkStart w:id="61" w:name="_Toc15396608"/>
      <w:bookmarkStart w:id="62" w:name="_Toc15377214"/>
      <w:bookmarkStart w:id="63" w:name="_Toc27862"/>
      <w:bookmarkStart w:id="64" w:name="_Toc515"/>
      <w:r>
        <w:rPr>
          <w:rFonts w:hint="default" w:ascii="Times New Roman" w:hAnsi="Times New Roman" w:eastAsia="黑体" w:cs="Times New Roman"/>
          <w:b/>
          <w:color w:val="000000"/>
          <w:sz w:val="32"/>
          <w:szCs w:val="32"/>
        </w:rPr>
        <w:t>六</w:t>
      </w:r>
      <w:r>
        <w:rPr>
          <w:rFonts w:hint="default" w:ascii="Times New Roman" w:hAnsi="Times New Roman" w:eastAsia="黑体" w:cs="Times New Roman"/>
          <w:b/>
          <w:color w:val="000000"/>
          <w:sz w:val="32"/>
          <w:szCs w:val="32"/>
        </w:rPr>
        <w:t>、一般公共预算财政拨款基本支出决算情况说明</w:t>
      </w:r>
      <w:bookmarkEnd w:id="61"/>
      <w:bookmarkEnd w:id="62"/>
      <w:bookmarkEnd w:id="63"/>
      <w:bookmarkEnd w:id="64"/>
      <w:r>
        <w:rPr>
          <w:rStyle w:val="26"/>
          <w:rFonts w:hint="default" w:ascii="Times New Roman" w:hAnsi="Times New Roman" w:eastAsia="黑体" w:cs="Times New Roman"/>
          <w:b w:val="0"/>
        </w:rPr>
        <w:tab/>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年一般公共预算财政拨款基本支出351.06万元，其中：</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rPr>
        <w:t>人员经费271.28万元</w:t>
      </w:r>
      <w:r>
        <w:rPr>
          <w:rFonts w:hint="default" w:ascii="Times New Roman" w:hAnsi="Times New Roman" w:eastAsia="仿宋_GB2312" w:cs="Times New Roman"/>
          <w:color w:val="000000"/>
          <w:sz w:val="32"/>
          <w:szCs w:val="32"/>
        </w:rPr>
        <w:t>，主要包括：基本工资、津贴补贴、奖金、伙食补助费、绩效工资、</w:t>
      </w:r>
      <w:bookmarkStart w:id="142" w:name="_GoBack"/>
      <w:bookmarkEnd w:id="142"/>
      <w:r>
        <w:rPr>
          <w:rFonts w:hint="default" w:ascii="Times New Roman" w:hAnsi="Times New Roman" w:eastAsia="仿宋_GB2312" w:cs="Times New Roman"/>
          <w:color w:val="000000"/>
          <w:sz w:val="32"/>
          <w:szCs w:val="32"/>
        </w:rPr>
        <w:t>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b/>
          <w:bCs/>
          <w:color w:val="000000"/>
          <w:sz w:val="32"/>
          <w:szCs w:val="32"/>
        </w:rPr>
        <w:t>日常公用经费</w:t>
      </w:r>
      <w:r>
        <w:rPr>
          <w:rFonts w:hint="default" w:ascii="Times New Roman" w:hAnsi="Times New Roman" w:eastAsia="仿宋_GB2312" w:cs="Times New Roman"/>
          <w:b/>
          <w:bCs/>
          <w:color w:val="000000"/>
          <w:sz w:val="32"/>
          <w:szCs w:val="32"/>
          <w:lang w:val="en-US" w:eastAsia="zh-CN"/>
        </w:rPr>
        <w:t>79.78</w:t>
      </w:r>
      <w:r>
        <w:rPr>
          <w:rFonts w:hint="default" w:ascii="Times New Roman" w:hAnsi="Times New Roman" w:eastAsia="仿宋_GB2312" w:cs="Times New Roman"/>
          <w:b/>
          <w:bCs/>
          <w:color w:val="000000"/>
          <w:sz w:val="32"/>
          <w:szCs w:val="32"/>
        </w:rPr>
        <w:t>万元</w:t>
      </w:r>
      <w:r>
        <w:rPr>
          <w:rFonts w:hint="default" w:ascii="Times New Roman" w:hAnsi="Times New Roman" w:eastAsia="仿宋_GB2312" w:cs="Times New Roman"/>
          <w:color w:val="000000"/>
          <w:sz w:val="32"/>
          <w:szCs w:val="32"/>
        </w:rPr>
        <w:t>，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6"/>
          <w:rFonts w:hint="default" w:ascii="Times New Roman" w:hAnsi="Times New Roman" w:eastAsia="黑体" w:cs="Times New Roman"/>
          <w:b w:val="0"/>
        </w:rPr>
      </w:pPr>
      <w:bookmarkStart w:id="65" w:name="_Toc15377215"/>
      <w:bookmarkStart w:id="66" w:name="_Toc15396609"/>
      <w:bookmarkStart w:id="67" w:name="_Toc19739"/>
      <w:bookmarkStart w:id="68" w:name="_Toc23497"/>
      <w:r>
        <w:rPr>
          <w:rFonts w:hint="default" w:ascii="Times New Roman" w:hAnsi="Times New Roman" w:eastAsia="黑体" w:cs="Times New Roman"/>
          <w:color w:val="000000"/>
          <w:sz w:val="32"/>
          <w:szCs w:val="32"/>
        </w:rPr>
        <w:t>七、</w:t>
      </w:r>
      <w:r>
        <w:rPr>
          <w:rStyle w:val="26"/>
          <w:rFonts w:hint="default" w:ascii="Times New Roman" w:hAnsi="Times New Roman" w:eastAsia="黑体" w:cs="Times New Roman"/>
        </w:rPr>
        <w:t>“</w:t>
      </w:r>
      <w:r>
        <w:rPr>
          <w:rStyle w:val="26"/>
          <w:rFonts w:hint="default" w:ascii="Times New Roman" w:hAnsi="Times New Roman" w:eastAsia="黑体" w:cs="Times New Roman"/>
          <w:b w:val="0"/>
        </w:rPr>
        <w:t>三公”经费财政拨款支出决算情况说明</w:t>
      </w:r>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default" w:ascii="Times New Roman" w:hAnsi="Times New Roman" w:eastAsia="楷体_GB2312" w:cs="Times New Roman"/>
          <w:b/>
          <w:color w:val="000000"/>
          <w:sz w:val="32"/>
          <w:szCs w:val="32"/>
        </w:rPr>
      </w:pPr>
      <w:bookmarkStart w:id="69" w:name="_Toc15377216"/>
      <w:bookmarkStart w:id="70" w:name="_Toc3689"/>
      <w:r>
        <w:rPr>
          <w:rFonts w:hint="default" w:ascii="Times New Roman" w:hAnsi="Times New Roman" w:eastAsia="楷体_GB2312" w:cs="Times New Roman"/>
          <w:b/>
          <w:color w:val="000000"/>
          <w:sz w:val="32"/>
          <w:szCs w:val="32"/>
        </w:rPr>
        <w:t>（一）“三公”经费财政拨款支出决算总体情况说明</w:t>
      </w:r>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年“三公”经费财政拨款支出决算为</w:t>
      </w:r>
      <w:r>
        <w:rPr>
          <w:rFonts w:hint="default" w:ascii="Times New Roman" w:hAnsi="Times New Roman" w:eastAsia="仿宋" w:cs="Times New Roman"/>
          <w:color w:val="000000"/>
          <w:sz w:val="32"/>
          <w:szCs w:val="32"/>
          <w:lang w:val="en-US" w:eastAsia="zh-CN"/>
        </w:rPr>
        <w:t>0.7</w:t>
      </w:r>
      <w:r>
        <w:rPr>
          <w:rFonts w:hint="default" w:ascii="Times New Roman" w:hAnsi="Times New Roman" w:eastAsia="仿宋" w:cs="Times New Roman"/>
          <w:color w:val="000000"/>
          <w:sz w:val="32"/>
          <w:szCs w:val="32"/>
        </w:rPr>
        <w:t>万元，完成预算</w:t>
      </w:r>
      <w:r>
        <w:rPr>
          <w:rFonts w:hint="default" w:ascii="Times New Roman" w:hAnsi="Times New Roman"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default" w:ascii="Times New Roman" w:hAnsi="Times New Roman" w:eastAsia="楷体_GB2312" w:cs="Times New Roman"/>
          <w:b/>
          <w:color w:val="000000"/>
          <w:sz w:val="32"/>
          <w:szCs w:val="32"/>
        </w:rPr>
      </w:pPr>
      <w:bookmarkStart w:id="71" w:name="_Toc15377217"/>
      <w:bookmarkStart w:id="72" w:name="_Toc16416"/>
      <w:r>
        <w:rPr>
          <w:rFonts w:hint="default" w:ascii="Times New Roman" w:hAnsi="Times New Roman" w:eastAsia="楷体_GB2312" w:cs="Times New Roman"/>
          <w:b/>
          <w:color w:val="000000"/>
          <w:sz w:val="32"/>
          <w:szCs w:val="32"/>
        </w:rPr>
        <w:t>（二）“三公”经费财政拨款支出决算具体情况说明</w:t>
      </w:r>
      <w:bookmarkEnd w:id="71"/>
      <w:bookmarkEnd w:id="72"/>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年“三公”经费财政拨款支出决算中，因公出国（境）公务接待费支出决算</w:t>
      </w:r>
      <w:r>
        <w:rPr>
          <w:rFonts w:hint="default" w:ascii="Times New Roman" w:hAnsi="Times New Roman" w:eastAsia="仿宋" w:cs="Times New Roman"/>
          <w:color w:val="000000"/>
          <w:sz w:val="32"/>
          <w:szCs w:val="32"/>
          <w:lang w:val="en-US" w:eastAsia="zh-CN"/>
        </w:rPr>
        <w:t>0.7</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%。具体情况如下：</w:t>
      </w:r>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drawing>
          <wp:anchor distT="0" distB="0" distL="114300" distR="114300" simplePos="0" relativeHeight="251659264" behindDoc="1" locked="0" layoutInCell="1" allowOverlap="1">
            <wp:simplePos x="0" y="0"/>
            <wp:positionH relativeFrom="column">
              <wp:posOffset>23495</wp:posOffset>
            </wp:positionH>
            <wp:positionV relativeFrom="paragraph">
              <wp:posOffset>276225</wp:posOffset>
            </wp:positionV>
            <wp:extent cx="5080000" cy="3810000"/>
            <wp:effectExtent l="4445" t="4445" r="20955" b="14605"/>
            <wp:wrapTight wrapText="bothSides">
              <wp:wrapPolygon>
                <wp:start x="-19" y="-25"/>
                <wp:lineTo x="-19" y="21575"/>
                <wp:lineTo x="21527" y="21575"/>
                <wp:lineTo x="21527" y="-25"/>
                <wp:lineTo x="-19" y="-25"/>
              </wp:wrapPolygon>
            </wp:wrapTight>
            <wp:docPr id="259" name="_x0000_s18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（图7：“三公”经费财政拨款支出结构）（饼状图）</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1.因公出国（境）经费支出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 w:cs="Times New Roman"/>
          <w:b w:val="0"/>
          <w:bCs/>
          <w:color w:val="000000"/>
          <w:sz w:val="32"/>
          <w:szCs w:val="32"/>
        </w:rPr>
        <w:t>完成预算</w:t>
      </w:r>
      <w:r>
        <w:rPr>
          <w:rStyle w:val="15"/>
          <w:rFonts w:hint="default" w:ascii="Times New Roman" w:hAnsi="Times New Roman" w:eastAsia="仿宋" w:cs="Times New Roman"/>
          <w:b w:val="0"/>
          <w:bCs/>
          <w:color w:val="000000"/>
          <w:sz w:val="32"/>
          <w:szCs w:val="32"/>
          <w:lang w:val="en-US" w:eastAsia="zh-CN"/>
        </w:rPr>
        <w:t>100</w:t>
      </w:r>
      <w:r>
        <w:rPr>
          <w:rStyle w:val="15"/>
          <w:rFonts w:hint="default" w:ascii="Times New Roman" w:hAnsi="Times New Roman" w:eastAsia="仿宋" w:cs="Times New Roman"/>
          <w:b w:val="0"/>
          <w:bCs/>
          <w:color w:val="000000"/>
          <w:sz w:val="32"/>
          <w:szCs w:val="32"/>
        </w:rPr>
        <w:t>%。</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t>，</w:t>
      </w:r>
      <w:r>
        <w:rPr>
          <w:rStyle w:val="15"/>
          <w:rFonts w:hint="default" w:ascii="Times New Roman" w:hAnsi="Times New Roman" w:eastAsia="仿宋" w:cs="Times New Roman"/>
          <w:b w:val="0"/>
          <w:bCs/>
          <w:color w:val="000000"/>
          <w:sz w:val="32"/>
          <w:szCs w:val="32"/>
        </w:rPr>
        <w:t>完成预算</w:t>
      </w:r>
      <w:r>
        <w:rPr>
          <w:rStyle w:val="15"/>
          <w:rFonts w:hint="default" w:ascii="Times New Roman" w:hAnsi="Times New Roman" w:eastAsia="仿宋" w:cs="Times New Roman"/>
          <w:b w:val="0"/>
          <w:bCs/>
          <w:color w:val="000000"/>
          <w:sz w:val="32"/>
          <w:szCs w:val="32"/>
          <w:lang w:val="en-US" w:eastAsia="zh-CN"/>
        </w:rPr>
        <w:t>100</w:t>
      </w:r>
      <w:r>
        <w:rPr>
          <w:rStyle w:val="15"/>
          <w:rFonts w:hint="default" w:ascii="Times New Roman" w:hAnsi="Times New Roman" w:eastAsia="仿宋" w:cs="Times New Roman"/>
          <w:b w:val="0"/>
          <w:bCs/>
          <w:color w:val="000000"/>
          <w:sz w:val="32"/>
          <w:szCs w:val="32"/>
        </w:rPr>
        <w:t>%。</w:t>
      </w:r>
    </w:p>
    <w:p>
      <w:pPr>
        <w:spacing w:line="600" w:lineRule="exact"/>
        <w:ind w:firstLine="64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rPr>
        <w:t>3.公务接待费支出</w:t>
      </w:r>
      <w:r>
        <w:rPr>
          <w:rFonts w:hint="default" w:ascii="Times New Roman" w:hAnsi="Times New Roman" w:eastAsia="仿宋_GB2312" w:cs="Times New Roman"/>
          <w:color w:val="000000"/>
          <w:sz w:val="32"/>
          <w:szCs w:val="32"/>
          <w:lang w:val="en-US" w:eastAsia="zh-CN"/>
        </w:rPr>
        <w:t>0.7</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 w:cs="Times New Roman"/>
          <w:b w:val="0"/>
          <w:bCs/>
          <w:color w:val="000000"/>
          <w:sz w:val="32"/>
          <w:szCs w:val="32"/>
        </w:rPr>
        <w:t>完成预算</w:t>
      </w:r>
      <w:r>
        <w:rPr>
          <w:rStyle w:val="15"/>
          <w:rFonts w:hint="default" w:ascii="Times New Roman" w:hAnsi="Times New Roman" w:eastAsia="仿宋" w:cs="Times New Roman"/>
          <w:b w:val="0"/>
          <w:bCs/>
          <w:color w:val="000000"/>
          <w:sz w:val="32"/>
          <w:szCs w:val="32"/>
          <w:lang w:val="en-US" w:eastAsia="zh-CN"/>
        </w:rPr>
        <w:t>100</w:t>
      </w:r>
      <w:r>
        <w:rPr>
          <w:rStyle w:val="15"/>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公务接待费支出决算</w:t>
      </w:r>
      <w:r>
        <w:rPr>
          <w:rFonts w:hint="default" w:ascii="Times New Roman" w:hAnsi="Times New Roman" w:eastAsia="仿宋_GB2312" w:cs="Times New Roman"/>
          <w:color w:val="000000"/>
          <w:sz w:val="32"/>
          <w:szCs w:val="32"/>
          <w:lang w:eastAsia="zh-CN"/>
        </w:rPr>
        <w:t>与</w:t>
      </w:r>
      <w:r>
        <w:rPr>
          <w:rFonts w:hint="default" w:ascii="Times New Roman" w:hAnsi="Times New Roman" w:eastAsia="仿宋_GB2312" w:cs="Times New Roman"/>
          <w:color w:val="000000"/>
          <w:sz w:val="32"/>
          <w:szCs w:val="32"/>
        </w:rPr>
        <w:t>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eastAsia="zh-CN"/>
        </w:rPr>
        <w:t>减少</w:t>
      </w:r>
      <w:r>
        <w:rPr>
          <w:rFonts w:hint="default" w:ascii="Times New Roman" w:hAnsi="Times New Roman" w:eastAsia="仿宋_GB2312" w:cs="Times New Roman"/>
          <w:color w:val="000000"/>
          <w:sz w:val="32"/>
          <w:szCs w:val="32"/>
          <w:lang w:val="en-US" w:eastAsia="zh-CN"/>
        </w:rPr>
        <w:t>1.05万元，原因是压缩开支、减少接待</w:t>
      </w:r>
      <w:r>
        <w:rPr>
          <w:rFonts w:hint="default" w:ascii="Times New Roman" w:hAnsi="Times New Roman" w:eastAsia="仿宋_GB2312" w:cs="Times New Roman"/>
          <w:color w:val="000000"/>
          <w:sz w:val="32"/>
          <w:szCs w:val="32"/>
        </w:rPr>
        <w:t>。其中：</w:t>
      </w:r>
      <w:r>
        <w:rPr>
          <w:rFonts w:hint="default" w:ascii="Times New Roman" w:hAnsi="Times New Roman" w:eastAsia="仿宋" w:cs="Times New Roman"/>
          <w:b w:val="0"/>
          <w:bCs/>
          <w:color w:val="000000"/>
          <w:sz w:val="32"/>
          <w:szCs w:val="32"/>
        </w:rPr>
        <w:t>国内公务接待支出</w:t>
      </w:r>
      <w:r>
        <w:rPr>
          <w:rFonts w:hint="default" w:ascii="Times New Roman" w:hAnsi="Times New Roman" w:eastAsia="仿宋" w:cs="Times New Roman"/>
          <w:b w:val="0"/>
          <w:bCs/>
          <w:color w:val="000000"/>
          <w:sz w:val="32"/>
          <w:szCs w:val="32"/>
          <w:lang w:val="en-US" w:eastAsia="zh-CN"/>
        </w:rPr>
        <w:t>0</w:t>
      </w:r>
      <w:r>
        <w:rPr>
          <w:rFonts w:hint="default" w:ascii="Times New Roman" w:hAnsi="Times New Roman" w:eastAsia="仿宋" w:cs="Times New Roman"/>
          <w:color w:val="000000"/>
          <w:sz w:val="32"/>
          <w:szCs w:val="32"/>
          <w:lang w:val="en-US" w:eastAsia="zh-CN"/>
        </w:rPr>
        <w:t>.7</w:t>
      </w:r>
      <w:r>
        <w:rPr>
          <w:rFonts w:hint="default" w:ascii="Times New Roman" w:hAnsi="Times New Roman" w:eastAsia="仿宋_GB2312" w:cs="Times New Roman"/>
          <w:color w:val="000000"/>
          <w:sz w:val="32"/>
          <w:szCs w:val="32"/>
        </w:rPr>
        <w:t>万元，主要用于执行公务、开展业务活动开支的交通费、住宿费、用餐费</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国内公务接待</w:t>
      </w:r>
      <w:r>
        <w:rPr>
          <w:rFonts w:hint="default" w:ascii="Times New Roman" w:hAnsi="Times New Roman" w:eastAsia="仿宋_GB2312" w:cs="Times New Roman"/>
          <w:color w:val="000000"/>
          <w:sz w:val="32"/>
          <w:szCs w:val="32"/>
          <w:lang w:val="en-US" w:eastAsia="zh-CN"/>
        </w:rPr>
        <w:t>18批次，92人次（不含陪同人员），共计支出0.7万元。</w:t>
      </w:r>
    </w:p>
    <w:p>
      <w:pPr>
        <w:spacing w:line="600" w:lineRule="exact"/>
        <w:ind w:firstLine="640" w:firstLineChars="200"/>
        <w:outlineLvl w:val="1"/>
        <w:rPr>
          <w:rStyle w:val="26"/>
          <w:rFonts w:hint="default" w:ascii="Times New Roman" w:hAnsi="Times New Roman" w:eastAsia="黑体" w:cs="Times New Roman"/>
        </w:rPr>
      </w:pPr>
      <w:bookmarkStart w:id="73" w:name="_Toc9057"/>
      <w:bookmarkStart w:id="74" w:name="_Toc29162"/>
      <w:bookmarkStart w:id="75" w:name="_Toc15396610"/>
      <w:bookmarkStart w:id="76" w:name="_Toc15377218"/>
      <w:r>
        <w:rPr>
          <w:rFonts w:hint="default" w:ascii="Times New Roman" w:hAnsi="Times New Roman" w:eastAsia="黑体" w:cs="Times New Roman"/>
          <w:color w:val="000000"/>
          <w:sz w:val="32"/>
          <w:szCs w:val="32"/>
        </w:rPr>
        <w:t>八、</w:t>
      </w:r>
      <w:r>
        <w:rPr>
          <w:rStyle w:val="26"/>
          <w:rFonts w:hint="default" w:ascii="Times New Roman" w:hAnsi="Times New Roman" w:eastAsia="黑体" w:cs="Times New Roman"/>
          <w:b w:val="0"/>
        </w:rPr>
        <w:t>政府性基金预算支出决算情况说明</w:t>
      </w:r>
      <w:bookmarkEnd w:id="73"/>
      <w:bookmarkEnd w:id="74"/>
      <w:bookmarkEnd w:id="75"/>
      <w:bookmarkEnd w:id="76"/>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年政府性基金预算拨款支出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numPr>
          <w:ilvl w:val="0"/>
          <w:numId w:val="0"/>
        </w:numPr>
        <w:spacing w:line="600" w:lineRule="exact"/>
        <w:ind w:firstLine="640" w:firstLineChars="200"/>
        <w:outlineLvl w:val="1"/>
        <w:rPr>
          <w:rStyle w:val="26"/>
          <w:rFonts w:hint="default" w:ascii="Times New Roman" w:hAnsi="Times New Roman" w:eastAsia="黑体" w:cs="Times New Roman"/>
          <w:b w:val="0"/>
        </w:rPr>
      </w:pPr>
      <w:bookmarkStart w:id="77" w:name="_Toc15377219"/>
      <w:bookmarkStart w:id="78" w:name="_Toc15396611"/>
      <w:bookmarkStart w:id="79" w:name="_Toc2940"/>
      <w:bookmarkStart w:id="80" w:name="_Toc23724"/>
      <w:r>
        <w:rPr>
          <w:rStyle w:val="26"/>
          <w:rFonts w:hint="default" w:ascii="Times New Roman" w:hAnsi="Times New Roman" w:eastAsia="黑体" w:cs="Times New Roman"/>
          <w:b w:val="0"/>
          <w:lang w:eastAsia="zh-CN"/>
        </w:rPr>
        <w:t>九、</w:t>
      </w:r>
      <w:r>
        <w:rPr>
          <w:rStyle w:val="26"/>
          <w:rFonts w:hint="default" w:ascii="Times New Roman" w:hAnsi="Times New Roman" w:eastAsia="黑体" w:cs="Times New Roman"/>
          <w:b w:val="0"/>
        </w:rPr>
        <w:t>国有资本经营预算支出决算情况说明</w:t>
      </w:r>
      <w:bookmarkEnd w:id="77"/>
      <w:bookmarkEnd w:id="78"/>
      <w:bookmarkEnd w:id="79"/>
      <w:bookmarkEnd w:id="80"/>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年国有资本经营预算拨款支出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spacing w:line="600" w:lineRule="exact"/>
        <w:ind w:firstLine="640" w:firstLineChars="200"/>
        <w:outlineLvl w:val="1"/>
        <w:rPr>
          <w:rStyle w:val="26"/>
          <w:rFonts w:hint="default" w:ascii="Times New Roman" w:hAnsi="Times New Roman" w:eastAsia="黑体" w:cs="Times New Roman"/>
        </w:rPr>
      </w:pPr>
      <w:bookmarkStart w:id="81" w:name="_Toc15377221"/>
      <w:bookmarkStart w:id="82" w:name="_Toc15396612"/>
      <w:bookmarkStart w:id="83" w:name="_Toc25045"/>
      <w:bookmarkStart w:id="84" w:name="_Toc23866"/>
      <w:r>
        <w:rPr>
          <w:rFonts w:hint="default" w:ascii="Times New Roman" w:hAnsi="Times New Roman" w:eastAsia="黑体" w:cs="Times New Roman"/>
          <w:color w:val="000000"/>
          <w:sz w:val="32"/>
          <w:szCs w:val="32"/>
        </w:rPr>
        <w:t>十</w:t>
      </w:r>
      <w:r>
        <w:rPr>
          <w:rStyle w:val="26"/>
          <w:rFonts w:hint="default" w:ascii="Times New Roman" w:hAnsi="Times New Roman" w:eastAsia="黑体" w:cs="Times New Roman"/>
        </w:rPr>
        <w:t>、</w:t>
      </w:r>
      <w:r>
        <w:rPr>
          <w:rStyle w:val="26"/>
          <w:rFonts w:hint="default" w:ascii="Times New Roman" w:hAnsi="Times New Roman" w:eastAsia="黑体" w:cs="Times New Roman"/>
          <w:b w:val="0"/>
        </w:rPr>
        <w:t>其他重要事项的情况说明</w:t>
      </w:r>
      <w:bookmarkEnd w:id="81"/>
      <w:bookmarkEnd w:id="82"/>
      <w:bookmarkEnd w:id="83"/>
      <w:bookmarkEnd w:id="84"/>
    </w:p>
    <w:p>
      <w:pPr>
        <w:spacing w:line="600" w:lineRule="exact"/>
        <w:ind w:firstLine="643" w:firstLineChars="200"/>
        <w:outlineLvl w:val="2"/>
        <w:rPr>
          <w:rFonts w:hint="default" w:ascii="Times New Roman" w:hAnsi="Times New Roman" w:eastAsia="楷体_GB2312" w:cs="Times New Roman"/>
          <w:b/>
          <w:bCs w:val="0"/>
          <w:color w:val="000000"/>
          <w:sz w:val="32"/>
          <w:szCs w:val="32"/>
        </w:rPr>
      </w:pPr>
      <w:bookmarkStart w:id="85" w:name="_Toc15377222"/>
      <w:bookmarkStart w:id="86" w:name="_Toc5506"/>
      <w:r>
        <w:rPr>
          <w:rFonts w:hint="default" w:ascii="Times New Roman" w:hAnsi="Times New Roman" w:eastAsia="楷体_GB2312" w:cs="Times New Roman"/>
          <w:b/>
          <w:bCs w:val="0"/>
          <w:color w:val="000000"/>
          <w:sz w:val="32"/>
          <w:szCs w:val="32"/>
        </w:rPr>
        <w:t>（一）机关运行经费支出情况</w:t>
      </w:r>
      <w:bookmarkEnd w:id="85"/>
      <w:bookmarkEnd w:id="86"/>
    </w:p>
    <w:p>
      <w:pPr>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eastAsia="zh-CN"/>
        </w:rPr>
        <w:t>通江县信访局</w:t>
      </w:r>
      <w:r>
        <w:rPr>
          <w:rFonts w:hint="default" w:ascii="Times New Roman" w:hAnsi="Times New Roman" w:eastAsia="仿宋_GB2312" w:cs="Times New Roman"/>
          <w:color w:val="000000"/>
          <w:sz w:val="32"/>
          <w:szCs w:val="32"/>
        </w:rPr>
        <w:t>机关运行经费支出</w:t>
      </w:r>
      <w:r>
        <w:rPr>
          <w:rFonts w:hint="default" w:ascii="Times New Roman" w:hAnsi="Times New Roman" w:eastAsia="仿宋_GB2312" w:cs="Times New Roman"/>
          <w:color w:val="000000"/>
          <w:sz w:val="32"/>
          <w:szCs w:val="32"/>
          <w:lang w:val="en-US" w:eastAsia="zh-CN"/>
        </w:rPr>
        <w:t>75.78</w:t>
      </w:r>
      <w:r>
        <w:rPr>
          <w:rFonts w:hint="default" w:ascii="Times New Roman" w:hAnsi="Times New Roman" w:eastAsia="仿宋_GB2312" w:cs="Times New Roman"/>
          <w:color w:val="000000"/>
          <w:sz w:val="32"/>
          <w:szCs w:val="32"/>
        </w:rPr>
        <w:t>万元，</w:t>
      </w:r>
      <w:r>
        <w:rPr>
          <w:rFonts w:hint="default" w:ascii="Times New Roman" w:hAnsi="Times New Roman" w:eastAsia="仿宋" w:cs="Times New Roman"/>
          <w:color w:val="000000"/>
          <w:sz w:val="32"/>
          <w:szCs w:val="32"/>
        </w:rPr>
        <w:t>决算数与预算数</w:t>
      </w:r>
      <w:r>
        <w:rPr>
          <w:rFonts w:hint="default" w:ascii="Times New Roman" w:hAnsi="Times New Roman" w:eastAsia="仿宋" w:cs="Times New Roman"/>
          <w:color w:val="000000"/>
          <w:sz w:val="32"/>
          <w:szCs w:val="32"/>
          <w:lang w:eastAsia="zh-CN"/>
        </w:rPr>
        <w:t>增加</w:t>
      </w:r>
      <w:r>
        <w:rPr>
          <w:rFonts w:hint="default" w:ascii="Times New Roman" w:hAnsi="Times New Roman" w:eastAsia="仿宋" w:cs="Times New Roman"/>
          <w:color w:val="000000"/>
          <w:sz w:val="32"/>
          <w:szCs w:val="32"/>
          <w:lang w:val="en-US" w:eastAsia="zh-CN"/>
        </w:rPr>
        <w:t>20.66万元，原因是</w:t>
      </w:r>
      <w:r>
        <w:rPr>
          <w:rStyle w:val="15"/>
          <w:rFonts w:hint="default" w:ascii="Times New Roman" w:hAnsi="Times New Roman" w:eastAsia="仿宋" w:cs="Times New Roman"/>
          <w:b w:val="0"/>
          <w:bCs/>
          <w:color w:val="000000"/>
          <w:sz w:val="32"/>
          <w:szCs w:val="32"/>
          <w:lang w:eastAsia="zh-CN"/>
        </w:rPr>
        <w:t>运行成本的增加</w:t>
      </w:r>
      <w:r>
        <w:rPr>
          <w:rFonts w:hint="default" w:ascii="Times New Roman" w:hAnsi="Times New Roman" w:eastAsia="仿宋_GB2312" w:cs="Times New Roman"/>
          <w:color w:val="000000"/>
          <w:sz w:val="32"/>
          <w:szCs w:val="32"/>
          <w:lang w:eastAsia="zh-CN"/>
        </w:rPr>
        <w:t>。</w:t>
      </w:r>
    </w:p>
    <w:p>
      <w:pPr>
        <w:spacing w:line="600" w:lineRule="exact"/>
        <w:ind w:firstLine="643" w:firstLineChars="200"/>
        <w:outlineLvl w:val="2"/>
        <w:rPr>
          <w:rFonts w:hint="default" w:ascii="Times New Roman" w:hAnsi="Times New Roman" w:eastAsia="楷体_GB2312" w:cs="Times New Roman"/>
          <w:b/>
          <w:bCs w:val="0"/>
          <w:color w:val="000000"/>
          <w:sz w:val="32"/>
          <w:szCs w:val="32"/>
        </w:rPr>
      </w:pPr>
      <w:bookmarkStart w:id="87" w:name="_Toc15377223"/>
      <w:bookmarkStart w:id="88" w:name="_Toc2432"/>
      <w:r>
        <w:rPr>
          <w:rFonts w:hint="default" w:ascii="Times New Roman" w:hAnsi="Times New Roman" w:eastAsia="楷体_GB2312" w:cs="Times New Roman"/>
          <w:b/>
          <w:bCs w:val="0"/>
          <w:color w:val="000000"/>
          <w:sz w:val="32"/>
          <w:szCs w:val="32"/>
        </w:rPr>
        <w:t>（二）政府采购支出情况</w:t>
      </w:r>
      <w:bookmarkEnd w:id="87"/>
      <w:bookmarkEnd w:id="88"/>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eastAsia="zh-CN"/>
        </w:rPr>
        <w:t>通江县信访局</w:t>
      </w:r>
      <w:r>
        <w:rPr>
          <w:rFonts w:hint="default" w:ascii="Times New Roman" w:hAnsi="Times New Roman" w:eastAsia="仿宋_GB2312" w:cs="Times New Roman"/>
          <w:color w:val="000000"/>
          <w:sz w:val="32"/>
          <w:szCs w:val="32"/>
        </w:rPr>
        <w:t>政府采购支出总额</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万元，其中：政府采购货物支出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spacing w:line="600" w:lineRule="exact"/>
        <w:ind w:firstLine="643" w:firstLineChars="200"/>
        <w:outlineLvl w:val="2"/>
        <w:rPr>
          <w:rFonts w:hint="default" w:ascii="Times New Roman" w:hAnsi="Times New Roman" w:eastAsia="楷体_GB2312" w:cs="Times New Roman"/>
          <w:b/>
          <w:bCs w:val="0"/>
          <w:color w:val="000000"/>
          <w:sz w:val="32"/>
          <w:szCs w:val="32"/>
        </w:rPr>
      </w:pPr>
      <w:bookmarkStart w:id="89" w:name="_Toc15377224"/>
      <w:bookmarkStart w:id="90" w:name="_Toc14065"/>
      <w:r>
        <w:rPr>
          <w:rFonts w:hint="default" w:ascii="Times New Roman" w:hAnsi="Times New Roman" w:eastAsia="楷体_GB2312" w:cs="Times New Roman"/>
          <w:b/>
          <w:bCs w:val="0"/>
          <w:color w:val="000000"/>
          <w:sz w:val="32"/>
          <w:szCs w:val="32"/>
        </w:rPr>
        <w:t>（三）国有资产占有使用情况</w:t>
      </w:r>
      <w:bookmarkEnd w:id="89"/>
      <w:bookmarkEnd w:id="90"/>
    </w:p>
    <w:p>
      <w:pPr>
        <w:autoSpaceDE w:val="0"/>
        <w:autoSpaceDN w:val="0"/>
        <w:adjustRightInd w:val="0"/>
        <w:spacing w:line="600" w:lineRule="exact"/>
        <w:ind w:firstLine="640" w:firstLineChars="200"/>
        <w:jc w:val="left"/>
        <w:rPr>
          <w:rFonts w:hint="default" w:ascii="Times New Roman" w:hAnsi="Times New Roman" w:eastAsia="仿宋" w:cs="Times New Roman"/>
          <w:b/>
          <w:color w:val="FF0000"/>
          <w:sz w:val="32"/>
          <w:szCs w:val="32"/>
        </w:rPr>
      </w:pPr>
      <w:r>
        <w:rPr>
          <w:rFonts w:hint="default" w:ascii="Times New Roman" w:hAnsi="Times New Roman" w:eastAsia="仿宋_GB2312" w:cs="Times New Roman"/>
          <w:color w:val="000000"/>
          <w:sz w:val="32"/>
          <w:szCs w:val="32"/>
        </w:rPr>
        <w:t>截至20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年12月31日，</w:t>
      </w:r>
      <w:r>
        <w:rPr>
          <w:rFonts w:hint="default" w:ascii="Times New Roman" w:hAnsi="Times New Roman" w:eastAsia="仿宋_GB2312" w:cs="Times New Roman"/>
          <w:color w:val="000000"/>
          <w:sz w:val="32"/>
          <w:szCs w:val="32"/>
          <w:lang w:eastAsia="zh-CN"/>
        </w:rPr>
        <w:t>通江县信访局</w:t>
      </w:r>
      <w:r>
        <w:rPr>
          <w:rFonts w:hint="default" w:ascii="Times New Roman" w:hAnsi="Times New Roman" w:eastAsia="仿宋_GB2312" w:cs="Times New Roman"/>
          <w:color w:val="000000"/>
          <w:sz w:val="32"/>
          <w:szCs w:val="32"/>
        </w:rPr>
        <w:t>共有车辆</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color w:val="000000"/>
          <w:sz w:val="32"/>
          <w:szCs w:val="32"/>
          <w:lang w:eastAsia="zh-CN"/>
        </w:rPr>
        <w:t>。</w:t>
      </w:r>
    </w:p>
    <w:p>
      <w:pPr>
        <w:spacing w:line="600" w:lineRule="exact"/>
        <w:ind w:firstLine="643" w:firstLineChars="200"/>
        <w:outlineLvl w:val="2"/>
        <w:rPr>
          <w:rFonts w:hint="default" w:ascii="Times New Roman" w:hAnsi="Times New Roman" w:eastAsia="楷体_GB2312" w:cs="Times New Roman"/>
          <w:b/>
          <w:bCs w:val="0"/>
          <w:color w:val="000000"/>
          <w:sz w:val="32"/>
          <w:szCs w:val="32"/>
        </w:rPr>
      </w:pPr>
      <w:bookmarkStart w:id="91" w:name="_Toc12944"/>
      <w:r>
        <w:rPr>
          <w:rFonts w:hint="default" w:ascii="Times New Roman" w:hAnsi="Times New Roman" w:eastAsia="楷体_GB2312" w:cs="Times New Roman"/>
          <w:b/>
          <w:bCs w:val="0"/>
          <w:color w:val="000000"/>
          <w:sz w:val="32"/>
          <w:szCs w:val="32"/>
        </w:rPr>
        <w:t>（四）预算绩效管理情况。</w:t>
      </w:r>
      <w:bookmarkEnd w:id="91"/>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根据预算绩效管理要求，本部门（单位）在年初预算编制阶段，组织对</w:t>
      </w:r>
      <w:r>
        <w:rPr>
          <w:rFonts w:hint="default" w:ascii="Times New Roman" w:hAnsi="Times New Roman" w:eastAsia="仿宋_GB2312" w:cs="Times New Roman"/>
          <w:sz w:val="32"/>
          <w:szCs w:val="32"/>
          <w:lang w:eastAsia="zh-CN"/>
        </w:rPr>
        <w:t>信访网络运行维护专项资金、中央、省、市值班专项资金</w:t>
      </w:r>
      <w:r>
        <w:rPr>
          <w:rFonts w:hint="default" w:ascii="Times New Roman" w:hAnsi="Times New Roman" w:eastAsia="仿宋_GB2312" w:cs="Times New Roman"/>
          <w:sz w:val="32"/>
          <w:szCs w:val="32"/>
        </w:rPr>
        <w:t>开展了预算事前绩效评估，对</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个项目编制了绩效目标，预算执行过程中，选取</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个项目开展绩效监控，年终执行完毕后，对</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个项目开展了绩效目标完成情况自评。</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本部门按要求对20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年部门整体支出开展绩效自评，从评价情况来看</w:t>
      </w:r>
      <w:r>
        <w:rPr>
          <w:rFonts w:hint="default" w:ascii="Times New Roman" w:hAnsi="Times New Roman" w:eastAsia="仿宋_GB2312" w:cs="Times New Roman"/>
          <w:sz w:val="32"/>
          <w:szCs w:val="32"/>
          <w:lang w:val="zh-CN"/>
        </w:rPr>
        <w:t>根据年初目标任务，年底全面高质量超额完成各项目标任务</w:t>
      </w:r>
      <w:r>
        <w:rPr>
          <w:rFonts w:hint="default" w:ascii="Times New Roman" w:hAnsi="Times New Roman" w:eastAsia="仿宋_GB2312" w:cs="Times New Roman"/>
          <w:sz w:val="32"/>
          <w:szCs w:val="32"/>
        </w:rPr>
        <w:t>。本部门还自行组织了1个项目支出绩效评价，从评价情况来看</w:t>
      </w:r>
      <w:r>
        <w:rPr>
          <w:rFonts w:hint="default" w:ascii="Times New Roman" w:hAnsi="Times New Roman" w:eastAsia="仿宋_GB2312" w:cs="Times New Roman"/>
          <w:sz w:val="32"/>
          <w:szCs w:val="32"/>
          <w:lang w:val="zh-CN"/>
        </w:rPr>
        <w:t>年底全面高质量超额完成目标任务</w:t>
      </w:r>
      <w:r>
        <w:rPr>
          <w:rFonts w:hint="default" w:ascii="Times New Roman" w:hAnsi="Times New Roman" w:eastAsia="仿宋_GB2312" w:cs="Times New Roman"/>
          <w:sz w:val="32"/>
          <w:szCs w:val="32"/>
        </w:rPr>
        <w:t>。</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本部门在2020年度部门决算中反映“信访网络运行维护专项资金”“中央、省、市值班专项资金”等2个项目绩效目标实际完成情况。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信访网络运行维护专项资金</w:t>
      </w:r>
      <w:r>
        <w:rPr>
          <w:rFonts w:hint="default" w:ascii="Times New Roman" w:hAnsi="Times New Roman" w:eastAsia="仿宋_GB2312" w:cs="Times New Roman"/>
          <w:sz w:val="32"/>
          <w:szCs w:val="32"/>
        </w:rPr>
        <w:t>绩效目标完成情况综述。项目全年预算数</w:t>
      </w:r>
      <w:r>
        <w:rPr>
          <w:rFonts w:hint="default" w:ascii="Times New Roman" w:hAnsi="Times New Roman" w:eastAsia="仿宋_GB2312" w:cs="Times New Roman"/>
          <w:sz w:val="32"/>
          <w:szCs w:val="32"/>
          <w:lang w:val="en-US" w:eastAsia="zh-CN"/>
        </w:rPr>
        <w:t>22.2</w:t>
      </w:r>
      <w:r>
        <w:rPr>
          <w:rFonts w:hint="default" w:ascii="Times New Roman" w:hAnsi="Times New Roman" w:eastAsia="仿宋_GB2312" w:cs="Times New Roman"/>
          <w:sz w:val="32"/>
          <w:szCs w:val="32"/>
        </w:rPr>
        <w:t>万元，执行数为</w:t>
      </w:r>
      <w:r>
        <w:rPr>
          <w:rFonts w:hint="default" w:ascii="Times New Roman" w:hAnsi="Times New Roman" w:eastAsia="仿宋_GB2312" w:cs="Times New Roman"/>
          <w:sz w:val="32"/>
          <w:szCs w:val="32"/>
          <w:lang w:val="en-US" w:eastAsia="zh-CN"/>
        </w:rPr>
        <w:t>22.2</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%。通过项目实施，</w:t>
      </w:r>
      <w:r>
        <w:rPr>
          <w:rFonts w:hint="default" w:ascii="Times New Roman" w:hAnsi="Times New Roman" w:eastAsia="仿宋_GB2312" w:cs="Times New Roman"/>
          <w:sz w:val="32"/>
          <w:szCs w:val="32"/>
          <w:lang w:eastAsia="zh-CN"/>
        </w:rPr>
        <w:t>保障了信访网络的正常运行。</w:t>
      </w:r>
      <w:r>
        <w:rPr>
          <w:rFonts w:hint="default" w:ascii="Times New Roman" w:hAnsi="Times New Roman" w:eastAsia="仿宋_GB2312" w:cs="Times New Roman"/>
          <w:sz w:val="32"/>
          <w:szCs w:val="32"/>
        </w:rPr>
        <w:t>发现的主要问题：</w:t>
      </w:r>
      <w:r>
        <w:rPr>
          <w:rFonts w:hint="default" w:ascii="Times New Roman" w:hAnsi="Times New Roman" w:eastAsia="仿宋_GB2312" w:cs="Times New Roman"/>
          <w:sz w:val="32"/>
          <w:szCs w:val="32"/>
          <w:lang w:eastAsia="zh-CN"/>
        </w:rPr>
        <w:t>网络需要维护的多，经费少。</w:t>
      </w:r>
      <w:r>
        <w:rPr>
          <w:rFonts w:hint="default" w:ascii="Times New Roman" w:hAnsi="Times New Roman" w:eastAsia="仿宋_GB2312" w:cs="Times New Roman"/>
          <w:sz w:val="32"/>
          <w:szCs w:val="32"/>
        </w:rPr>
        <w:t>下一步改进措施：优化</w:t>
      </w:r>
      <w:r>
        <w:rPr>
          <w:rFonts w:hint="default" w:ascii="Times New Roman" w:hAnsi="Times New Roman" w:eastAsia="仿宋_GB2312" w:cs="Times New Roman"/>
          <w:sz w:val="32"/>
          <w:szCs w:val="32"/>
          <w:lang w:eastAsia="zh-CN"/>
        </w:rPr>
        <w:t>网络运行维护</w:t>
      </w:r>
      <w:r>
        <w:rPr>
          <w:rFonts w:hint="default" w:ascii="Times New Roman" w:hAnsi="Times New Roman" w:eastAsia="仿宋_GB2312" w:cs="Times New Roman"/>
          <w:sz w:val="32"/>
          <w:szCs w:val="32"/>
        </w:rPr>
        <w:t>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2.中央、省、市值班专项资金绩效目标完成情况。</w:t>
      </w:r>
      <w:r>
        <w:rPr>
          <w:rFonts w:hint="default" w:ascii="Times New Roman" w:hAnsi="Times New Roman" w:eastAsia="仿宋_GB2312" w:cs="Times New Roman"/>
          <w:sz w:val="32"/>
          <w:szCs w:val="32"/>
        </w:rPr>
        <w:t>项目全年预算数</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万元，执行数为</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%。通过项目实施，</w:t>
      </w:r>
      <w:r>
        <w:rPr>
          <w:rFonts w:hint="default" w:ascii="Times New Roman" w:hAnsi="Times New Roman" w:eastAsia="仿宋_GB2312" w:cs="Times New Roman"/>
          <w:sz w:val="32"/>
          <w:szCs w:val="32"/>
          <w:lang w:eastAsia="zh-CN"/>
        </w:rPr>
        <w:t>保障了值班人员</w:t>
      </w:r>
      <w:r>
        <w:rPr>
          <w:rFonts w:hint="default" w:ascii="Times New Roman" w:hAnsi="Times New Roman" w:eastAsia="仿宋_GB2312" w:cs="Times New Roman"/>
          <w:sz w:val="32"/>
          <w:szCs w:val="32"/>
        </w:rPr>
        <w:t>后勤，发现的主要问题：</w:t>
      </w:r>
      <w:r>
        <w:rPr>
          <w:rFonts w:hint="default" w:ascii="Times New Roman" w:hAnsi="Times New Roman" w:eastAsia="仿宋_GB2312" w:cs="Times New Roman"/>
          <w:sz w:val="32"/>
          <w:szCs w:val="32"/>
          <w:lang w:eastAsia="zh-CN"/>
        </w:rPr>
        <w:t>值班</w:t>
      </w:r>
      <w:r>
        <w:rPr>
          <w:rFonts w:hint="default" w:ascii="Times New Roman" w:hAnsi="Times New Roman" w:eastAsia="仿宋_GB2312" w:cs="Times New Roman"/>
          <w:sz w:val="32"/>
          <w:szCs w:val="32"/>
        </w:rPr>
        <w:t>人员多，经费少。下一步改进措施：优化经费及</w:t>
      </w:r>
      <w:r>
        <w:rPr>
          <w:rFonts w:hint="default" w:ascii="Times New Roman" w:hAnsi="Times New Roman" w:eastAsia="仿宋_GB2312" w:cs="Times New Roman"/>
          <w:sz w:val="32"/>
          <w:szCs w:val="32"/>
          <w:lang w:eastAsia="zh-CN"/>
        </w:rPr>
        <w:t>值班</w:t>
      </w:r>
      <w:r>
        <w:rPr>
          <w:rFonts w:hint="default" w:ascii="Times New Roman" w:hAnsi="Times New Roman" w:eastAsia="仿宋_GB2312" w:cs="Times New Roman"/>
          <w:sz w:val="32"/>
          <w:szCs w:val="32"/>
        </w:rPr>
        <w:t>管理。</w:t>
      </w:r>
    </w:p>
    <w:p>
      <w:pPr>
        <w:rPr>
          <w:rFonts w:hint="default" w:ascii="Times New Roman" w:hAnsi="Times New Roman" w:eastAsia="仿宋_GB2312" w:cs="Times New Roman"/>
          <w:sz w:val="32"/>
          <w:szCs w:val="32"/>
        </w:rPr>
      </w:pPr>
      <w:r>
        <w:br w:type="page"/>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007"/>
        <w:gridCol w:w="659"/>
        <w:gridCol w:w="701"/>
        <w:gridCol w:w="3546"/>
        <w:gridCol w:w="1963"/>
        <w:gridCol w:w="2084"/>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default" w:ascii="Times New Roman" w:hAnsi="Times New Roman" w:eastAsia="方正小标宋简体" w:cs="Times New Roman"/>
                <w:b/>
                <w:bCs/>
                <w:color w:val="000000"/>
                <w:kern w:val="0"/>
                <w:sz w:val="44"/>
                <w:szCs w:val="44"/>
                <w:lang w:eastAsia="zh-CN"/>
              </w:rPr>
            </w:pPr>
            <w:r>
              <w:rPr>
                <w:rFonts w:hint="default" w:ascii="Times New Roman" w:hAnsi="Times New Roman" w:eastAsia="方正小标宋简体" w:cs="Times New Roman"/>
                <w:b/>
                <w:bCs/>
                <w:color w:val="000000"/>
                <w:kern w:val="0"/>
                <w:sz w:val="44"/>
                <w:szCs w:val="44"/>
              </w:rPr>
              <w:t>项目绩效目标完成情况表</w:t>
            </w:r>
          </w:p>
          <w:p>
            <w:pPr>
              <w:widowControl/>
              <w:jc w:val="center"/>
              <w:textAlignment w:val="center"/>
              <w:rPr>
                <w:rFonts w:hint="default" w:ascii="Times New Roman" w:hAnsi="Times New Roman" w:cs="Times New Roman"/>
                <w:color w:val="000000"/>
                <w:sz w:val="36"/>
                <w:szCs w:val="36"/>
              </w:rPr>
            </w:pPr>
            <w:r>
              <w:rPr>
                <w:rFonts w:hint="default" w:ascii="Times New Roman" w:hAnsi="Times New Roman" w:eastAsia="楷体_GB2312" w:cs="Times New Roman"/>
                <w:b/>
                <w:bCs/>
                <w:color w:val="000000"/>
                <w:kern w:val="0"/>
                <w:sz w:val="32"/>
                <w:szCs w:val="32"/>
                <w:lang w:eastAsia="zh-CN"/>
              </w:rPr>
              <w:t>（</w:t>
            </w:r>
            <w:r>
              <w:rPr>
                <w:rFonts w:hint="default" w:ascii="Times New Roman" w:hAnsi="Times New Roman" w:eastAsia="楷体_GB2312" w:cs="Times New Roman"/>
                <w:b/>
                <w:bCs/>
                <w:color w:val="000000"/>
                <w:kern w:val="0"/>
                <w:sz w:val="32"/>
                <w:szCs w:val="32"/>
              </w:rPr>
              <w:t>20</w:t>
            </w:r>
            <w:r>
              <w:rPr>
                <w:rFonts w:hint="default" w:ascii="Times New Roman" w:hAnsi="Times New Roman" w:eastAsia="楷体_GB2312" w:cs="Times New Roman"/>
                <w:b/>
                <w:bCs/>
                <w:color w:val="000000"/>
                <w:kern w:val="0"/>
                <w:sz w:val="32"/>
                <w:szCs w:val="32"/>
                <w:lang w:val="en-US" w:eastAsia="zh-CN"/>
              </w:rPr>
              <w:t>20</w:t>
            </w:r>
            <w:r>
              <w:rPr>
                <w:rFonts w:hint="default" w:ascii="Times New Roman" w:hAnsi="Times New Roman" w:eastAsia="楷体_GB2312" w:cs="Times New Roman"/>
                <w:b/>
                <w:bCs/>
                <w:color w:val="000000"/>
                <w:kern w:val="0"/>
                <w:sz w:val="32"/>
                <w:szCs w:val="32"/>
              </w:rPr>
              <w:t>年度</w:t>
            </w:r>
            <w:r>
              <w:rPr>
                <w:rFonts w:hint="default" w:ascii="Times New Roman" w:hAnsi="Times New Roman" w:eastAsia="楷体_GB2312" w:cs="Times New Roman"/>
                <w:b/>
                <w:bCs/>
                <w:color w:val="000000"/>
                <w:kern w:val="0"/>
                <w:sz w:val="32"/>
                <w:szCs w:val="32"/>
                <w:lang w:eastAsia="zh-CN"/>
              </w:rPr>
              <w:t>）</w:t>
            </w:r>
          </w:p>
        </w:tc>
      </w:tr>
      <w:tr>
        <w:tblPrEx>
          <w:tblCellMar>
            <w:top w:w="0" w:type="dxa"/>
            <w:left w:w="0" w:type="dxa"/>
            <w:bottom w:w="0" w:type="dxa"/>
            <w:right w:w="0" w:type="dxa"/>
          </w:tblCellMar>
        </w:tblPrEx>
        <w:trPr>
          <w:trHeight w:val="457" w:hRule="atLeast"/>
          <w:jc w:val="center"/>
        </w:trPr>
        <w:tc>
          <w:tcPr>
            <w:tcW w:w="23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5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中央、省、市值班专项资金</w:t>
            </w:r>
          </w:p>
        </w:tc>
      </w:tr>
      <w:tr>
        <w:tblPrEx>
          <w:tblCellMar>
            <w:top w:w="0" w:type="dxa"/>
            <w:left w:w="0" w:type="dxa"/>
            <w:bottom w:w="0" w:type="dxa"/>
            <w:right w:w="0" w:type="dxa"/>
          </w:tblCellMar>
        </w:tblPrEx>
        <w:trPr>
          <w:trHeight w:val="449" w:hRule="atLeast"/>
          <w:jc w:val="center"/>
        </w:trPr>
        <w:tc>
          <w:tcPr>
            <w:tcW w:w="23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5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通江县信访局</w:t>
            </w:r>
          </w:p>
        </w:tc>
      </w:tr>
      <w:tr>
        <w:tblPrEx>
          <w:tblCellMar>
            <w:top w:w="0" w:type="dxa"/>
            <w:left w:w="0" w:type="dxa"/>
            <w:bottom w:w="0" w:type="dxa"/>
            <w:right w:w="0" w:type="dxa"/>
          </w:tblCellMar>
        </w:tblPrEx>
        <w:trPr>
          <w:trHeight w:val="373"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w:t>
            </w:r>
            <w:r>
              <w:t>[</w:t>
            </w:r>
            <w:r>
              <w:rPr>
                <w:rFonts w:hint="eastAsia"/>
                <w:lang w:eastAsia="zh-CN"/>
              </w:rPr>
              <w:t>万元</w:t>
            </w:r>
            <w:r>
              <w:t>]</w:t>
            </w:r>
          </w:p>
        </w:tc>
        <w:tc>
          <w:tcPr>
            <w:tcW w:w="13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r>
              <w:t>：</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20</w:t>
            </w:r>
          </w:p>
        </w:tc>
        <w:tc>
          <w:tcPr>
            <w:tcW w:w="19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r>
              <w:t>：</w:t>
            </w: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20</w:t>
            </w:r>
          </w:p>
        </w:tc>
      </w:tr>
      <w:tr>
        <w:tblPrEx>
          <w:tblCellMar>
            <w:top w:w="0" w:type="dxa"/>
            <w:left w:w="0" w:type="dxa"/>
            <w:bottom w:w="0" w:type="dxa"/>
            <w:right w:w="0" w:type="dxa"/>
          </w:tblCellMar>
        </w:tblPrEx>
        <w:trPr>
          <w:trHeight w:val="4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c>
          <w:tcPr>
            <w:tcW w:w="13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t>：</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20</w:t>
            </w:r>
          </w:p>
        </w:tc>
        <w:tc>
          <w:tcPr>
            <w:tcW w:w="19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t>：</w:t>
            </w: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20</w:t>
            </w:r>
          </w:p>
        </w:tc>
      </w:tr>
      <w:tr>
        <w:tblPrEx>
          <w:tblCellMar>
            <w:top w:w="0" w:type="dxa"/>
            <w:left w:w="0" w:type="dxa"/>
            <w:bottom w:w="0" w:type="dxa"/>
            <w:right w:w="0" w:type="dxa"/>
          </w:tblCellMar>
        </w:tblPrEx>
        <w:trPr>
          <w:trHeight w:val="443"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c>
          <w:tcPr>
            <w:tcW w:w="13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t>：</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0</w:t>
            </w:r>
          </w:p>
        </w:tc>
        <w:tc>
          <w:tcPr>
            <w:tcW w:w="19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t>：</w:t>
            </w: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0</w:t>
            </w:r>
          </w:p>
        </w:tc>
      </w:tr>
      <w:tr>
        <w:tblPrEx>
          <w:tblCellMar>
            <w:top w:w="0" w:type="dxa"/>
            <w:left w:w="0" w:type="dxa"/>
            <w:bottom w:w="0" w:type="dxa"/>
            <w:right w:w="0" w:type="dxa"/>
          </w:tblCellMar>
        </w:tblPrEx>
        <w:trPr>
          <w:trHeight w:val="518"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9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04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CellMar>
            <w:top w:w="0" w:type="dxa"/>
            <w:left w:w="0" w:type="dxa"/>
            <w:bottom w:w="0" w:type="dxa"/>
            <w:right w:w="0" w:type="dxa"/>
          </w:tblCellMar>
        </w:tblPrEx>
        <w:trPr>
          <w:trHeight w:val="7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Times New Roman" w:hAnsi="Times New Roman" w:cs="Times New Roman"/>
                <w:color w:val="000000"/>
                <w:sz w:val="24"/>
              </w:rPr>
            </w:pPr>
          </w:p>
        </w:tc>
        <w:tc>
          <w:tcPr>
            <w:tcW w:w="49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lang w:val="en-US"/>
              </w:rPr>
            </w:pPr>
            <w:r>
              <w:rPr>
                <w:rFonts w:hint="default" w:ascii="Times New Roman" w:hAnsi="Times New Roman" w:cs="Times New Roman"/>
                <w:color w:val="000000"/>
                <w:sz w:val="24"/>
                <w:lang w:eastAsia="zh-CN"/>
              </w:rPr>
              <w:t>中央、省、市值班</w:t>
            </w:r>
            <w:r>
              <w:rPr>
                <w:rFonts w:hint="default" w:ascii="Times New Roman" w:hAnsi="Times New Roman" w:cs="Times New Roman"/>
                <w:color w:val="000000"/>
                <w:sz w:val="24"/>
                <w:lang w:val="en-US" w:eastAsia="zh-CN"/>
              </w:rPr>
              <w:t>33次</w:t>
            </w:r>
          </w:p>
        </w:tc>
        <w:tc>
          <w:tcPr>
            <w:tcW w:w="404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中央、省、市值班</w:t>
            </w:r>
            <w:r>
              <w:rPr>
                <w:rFonts w:hint="default" w:ascii="Times New Roman" w:hAnsi="Times New Roman" w:cs="Times New Roman"/>
                <w:color w:val="000000"/>
                <w:sz w:val="24"/>
                <w:lang w:val="en-US" w:eastAsia="zh-CN"/>
              </w:rPr>
              <w:t>33次</w:t>
            </w:r>
          </w:p>
        </w:tc>
      </w:tr>
      <w:tr>
        <w:tblPrEx>
          <w:tblCellMar>
            <w:top w:w="0" w:type="dxa"/>
            <w:left w:w="0" w:type="dxa"/>
            <w:bottom w:w="0" w:type="dxa"/>
            <w:right w:w="0" w:type="dxa"/>
          </w:tblCellMar>
        </w:tblPrEx>
        <w:trPr>
          <w:trHeight w:val="1042" w:hRule="atLeast"/>
          <w:jc w:val="center"/>
        </w:trPr>
        <w:tc>
          <w:tcPr>
            <w:tcW w:w="1007"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6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一级</w:t>
            </w: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指标</w:t>
            </w: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二级</w:t>
            </w: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指标</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19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w:t>
            </w:r>
            <w:r>
              <w:t>[</w:t>
            </w:r>
            <w:r>
              <w:rPr>
                <w:rFonts w:hint="default" w:ascii="Times New Roman" w:hAnsi="Times New Roman" w:cs="Times New Roman"/>
                <w:color w:val="000000"/>
                <w:kern w:val="0"/>
                <w:sz w:val="24"/>
              </w:rPr>
              <w:t>包含数字及文字描述</w:t>
            </w:r>
            <w:r>
              <w:t>]</w:t>
            </w: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实际完成指标值(包含数字及文字描述)</w:t>
            </w:r>
          </w:p>
        </w:tc>
      </w:tr>
      <w:tr>
        <w:tblPrEx>
          <w:tblCellMar>
            <w:top w:w="0" w:type="dxa"/>
            <w:left w:w="0" w:type="dxa"/>
            <w:bottom w:w="0" w:type="dxa"/>
            <w:right w:w="0" w:type="dxa"/>
          </w:tblCellMar>
        </w:tblPrEx>
        <w:trPr>
          <w:trHeight w:val="421"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70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数量</w:t>
            </w:r>
          </w:p>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指标</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工资福利保障人数</w:t>
            </w:r>
          </w:p>
        </w:tc>
        <w:tc>
          <w:tcPr>
            <w:tcW w:w="1963"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=21人</w:t>
            </w:r>
          </w:p>
        </w:tc>
        <w:tc>
          <w:tcPr>
            <w:tcW w:w="208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完成指标的</w:t>
            </w:r>
            <w:r>
              <w:rPr>
                <w:rFonts w:hint="default" w:ascii="Times New Roman" w:hAnsi="Times New Roman" w:cs="Times New Roman"/>
                <w:color w:val="000000"/>
                <w:sz w:val="24"/>
                <w:lang w:val="en-US" w:eastAsia="zh-CN"/>
              </w:rPr>
              <w:t>95%</w:t>
            </w:r>
          </w:p>
        </w:tc>
      </w:tr>
      <w:tr>
        <w:tblPrEx>
          <w:tblCellMar>
            <w:top w:w="0" w:type="dxa"/>
            <w:left w:w="0" w:type="dxa"/>
            <w:bottom w:w="0" w:type="dxa"/>
            <w:right w:w="0" w:type="dxa"/>
          </w:tblCellMar>
        </w:tblPrEx>
        <w:trPr>
          <w:trHeight w:val="421"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659"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70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公务接待批次</w:t>
            </w:r>
          </w:p>
        </w:tc>
        <w:tc>
          <w:tcPr>
            <w:tcW w:w="1963"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&lt;=10批次&gt;</w:t>
            </w:r>
          </w:p>
        </w:tc>
        <w:tc>
          <w:tcPr>
            <w:tcW w:w="2084"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393"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70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举办业务培训（会议）批次</w:t>
            </w:r>
          </w:p>
        </w:tc>
        <w:tc>
          <w:tcPr>
            <w:tcW w:w="1963"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&gt;=3次</w:t>
            </w:r>
          </w:p>
        </w:tc>
        <w:tc>
          <w:tcPr>
            <w:tcW w:w="2084"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407"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70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年内职工出差天数</w:t>
            </w:r>
          </w:p>
        </w:tc>
        <w:tc>
          <w:tcPr>
            <w:tcW w:w="1963"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&gt;=3500天</w:t>
            </w:r>
          </w:p>
        </w:tc>
        <w:tc>
          <w:tcPr>
            <w:tcW w:w="2084"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421"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70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购置办公设备数量</w:t>
            </w:r>
          </w:p>
        </w:tc>
        <w:tc>
          <w:tcPr>
            <w:tcW w:w="1963"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&gt;=15台</w:t>
            </w:r>
            <w:r>
              <w:t>[</w:t>
            </w:r>
            <w:r>
              <w:rPr>
                <w:rFonts w:hint="eastAsia"/>
                <w:lang w:eastAsia="zh-CN"/>
              </w:rPr>
              <w:t>套</w:t>
            </w:r>
            <w:r>
              <w:t>]</w:t>
            </w:r>
          </w:p>
        </w:tc>
        <w:tc>
          <w:tcPr>
            <w:tcW w:w="2084"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463"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70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办理疑难信访事项次</w:t>
            </w:r>
          </w:p>
        </w:tc>
        <w:tc>
          <w:tcPr>
            <w:tcW w:w="1963"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&gt;=20件次</w:t>
            </w:r>
          </w:p>
        </w:tc>
        <w:tc>
          <w:tcPr>
            <w:tcW w:w="208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532"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70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质量</w:t>
            </w:r>
          </w:p>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指标</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eastAsia="zh-CN"/>
              </w:rPr>
              <w:t>工资福利、</w:t>
            </w:r>
            <w:r>
              <w:rPr>
                <w:rFonts w:hint="default" w:ascii="Times New Roman" w:hAnsi="Times New Roman" w:cs="Times New Roman"/>
                <w:color w:val="000000"/>
                <w:sz w:val="24"/>
                <w:lang w:val="en-US" w:eastAsia="zh-CN"/>
              </w:rPr>
              <w:t>运转、民生保障率</w:t>
            </w:r>
          </w:p>
        </w:tc>
        <w:tc>
          <w:tcPr>
            <w:tcW w:w="1963"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=100%</w:t>
            </w:r>
          </w:p>
        </w:tc>
        <w:tc>
          <w:tcPr>
            <w:tcW w:w="208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完成指标的</w:t>
            </w:r>
            <w:r>
              <w:rPr>
                <w:rFonts w:hint="default" w:ascii="Times New Roman" w:hAnsi="Times New Roman" w:cs="Times New Roman"/>
                <w:color w:val="000000"/>
                <w:sz w:val="24"/>
                <w:lang w:val="en-US" w:eastAsia="zh-CN"/>
              </w:rPr>
              <w:t>100%</w:t>
            </w:r>
          </w:p>
        </w:tc>
      </w:tr>
      <w:tr>
        <w:tblPrEx>
          <w:tblCellMar>
            <w:top w:w="0" w:type="dxa"/>
            <w:left w:w="0" w:type="dxa"/>
            <w:bottom w:w="0" w:type="dxa"/>
            <w:right w:w="0" w:type="dxa"/>
          </w:tblCellMar>
        </w:tblPrEx>
        <w:trPr>
          <w:trHeight w:val="529"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65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70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举办会议成功率、购置设备合格率</w:t>
            </w:r>
          </w:p>
        </w:tc>
        <w:tc>
          <w:tcPr>
            <w:tcW w:w="1963"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208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474"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70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时效</w:t>
            </w:r>
          </w:p>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指标</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eastAsia="zh-CN"/>
              </w:rPr>
              <w:t>培训</w:t>
            </w:r>
            <w:r>
              <w:t>[</w:t>
            </w:r>
            <w:r>
              <w:rPr>
                <w:rFonts w:hint="default" w:ascii="Times New Roman" w:hAnsi="Times New Roman" w:cs="Times New Roman"/>
                <w:color w:val="000000"/>
                <w:sz w:val="24"/>
                <w:lang w:val="en-US" w:eastAsia="zh-CN"/>
              </w:rPr>
              <w:t>会议</w:t>
            </w:r>
            <w:r>
              <w:t>]</w:t>
            </w:r>
            <w:r>
              <w:rPr>
                <w:rFonts w:hint="default" w:ascii="Times New Roman" w:hAnsi="Times New Roman" w:cs="Times New Roman"/>
                <w:color w:val="000000"/>
                <w:sz w:val="24"/>
                <w:lang w:val="en-US" w:eastAsia="zh-CN"/>
              </w:rPr>
              <w:t>完成时间</w:t>
            </w:r>
          </w:p>
        </w:tc>
        <w:tc>
          <w:tcPr>
            <w:tcW w:w="1963"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2020年12月底前</w:t>
            </w:r>
          </w:p>
        </w:tc>
        <w:tc>
          <w:tcPr>
            <w:tcW w:w="208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完成指标的</w:t>
            </w:r>
            <w:r>
              <w:rPr>
                <w:rFonts w:hint="default" w:ascii="Times New Roman" w:hAnsi="Times New Roman" w:cs="Times New Roman"/>
                <w:color w:val="000000"/>
                <w:sz w:val="24"/>
                <w:lang w:val="en-US" w:eastAsia="zh-CN"/>
              </w:rPr>
              <w:t>100%</w:t>
            </w:r>
          </w:p>
        </w:tc>
      </w:tr>
      <w:tr>
        <w:tblPrEx>
          <w:tblCellMar>
            <w:top w:w="0" w:type="dxa"/>
            <w:left w:w="0" w:type="dxa"/>
            <w:bottom w:w="0" w:type="dxa"/>
            <w:right w:w="0" w:type="dxa"/>
          </w:tblCellMar>
        </w:tblPrEx>
        <w:trPr>
          <w:trHeight w:val="474"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65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70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信访事项办结时间</w:t>
            </w:r>
          </w:p>
        </w:tc>
        <w:tc>
          <w:tcPr>
            <w:tcW w:w="1963"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208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533"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70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成本</w:t>
            </w:r>
          </w:p>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指标</w:t>
            </w:r>
          </w:p>
        </w:tc>
        <w:tc>
          <w:tcPr>
            <w:tcW w:w="3546"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ind w:firstLine="480" w:firstLineChars="200"/>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eastAsia="zh-CN"/>
              </w:rPr>
              <w:t>培训</w:t>
            </w:r>
            <w:r>
              <w:t>[</w:t>
            </w:r>
            <w:r>
              <w:rPr>
                <w:rFonts w:hint="default" w:ascii="Times New Roman" w:hAnsi="Times New Roman" w:cs="Times New Roman"/>
                <w:color w:val="000000"/>
                <w:sz w:val="24"/>
                <w:lang w:val="en-US" w:eastAsia="zh-CN"/>
              </w:rPr>
              <w:t>会议</w:t>
            </w:r>
            <w:r>
              <w:t>]</w:t>
            </w:r>
            <w:r>
              <w:rPr>
                <w:rFonts w:hint="default" w:ascii="Times New Roman" w:hAnsi="Times New Roman" w:cs="Times New Roman"/>
                <w:color w:val="000000"/>
                <w:sz w:val="24"/>
                <w:lang w:val="en-US" w:eastAsia="zh-CN"/>
              </w:rPr>
              <w:t>成本</w:t>
            </w:r>
          </w:p>
        </w:tc>
        <w:tc>
          <w:tcPr>
            <w:tcW w:w="1963"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&lt;=15万元</w:t>
            </w:r>
          </w:p>
        </w:tc>
        <w:tc>
          <w:tcPr>
            <w:tcW w:w="208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完成指标的</w:t>
            </w:r>
            <w:r>
              <w:rPr>
                <w:rFonts w:hint="default" w:ascii="Times New Roman" w:hAnsi="Times New Roman" w:cs="Times New Roman"/>
                <w:color w:val="000000"/>
                <w:sz w:val="24"/>
                <w:lang w:val="en-US" w:eastAsia="zh-CN"/>
              </w:rPr>
              <w:t>95%</w:t>
            </w:r>
          </w:p>
        </w:tc>
      </w:tr>
      <w:tr>
        <w:tblPrEx>
          <w:tblCellMar>
            <w:top w:w="0" w:type="dxa"/>
            <w:left w:w="0" w:type="dxa"/>
            <w:bottom w:w="0" w:type="dxa"/>
            <w:right w:w="0" w:type="dxa"/>
          </w:tblCellMar>
        </w:tblPrEx>
        <w:trPr>
          <w:trHeight w:val="533" w:hRule="atLeast"/>
          <w:jc w:val="center"/>
        </w:trPr>
        <w:tc>
          <w:tcPr>
            <w:tcW w:w="1007"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659"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701"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3546"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设备购置成本</w:t>
            </w:r>
          </w:p>
        </w:tc>
        <w:tc>
          <w:tcPr>
            <w:tcW w:w="1963"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&lt;=10万元</w:t>
            </w:r>
          </w:p>
        </w:tc>
        <w:tc>
          <w:tcPr>
            <w:tcW w:w="2084"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751" w:hRule="atLeast"/>
          <w:jc w:val="center"/>
        </w:trPr>
        <w:tc>
          <w:tcPr>
            <w:tcW w:w="1007" w:type="dxa"/>
            <w:vMerge w:val="restart"/>
            <w:tcBorders>
              <w:top w:val="single" w:color="auto" w:sz="4" w:space="0"/>
              <w:left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65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一级</w:t>
            </w:r>
          </w:p>
          <w:p>
            <w:pPr>
              <w:widowControl/>
              <w:jc w:val="center"/>
              <w:textAlignment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kern w:val="0"/>
                <w:sz w:val="24"/>
              </w:rPr>
              <w:t>指标</w:t>
            </w:r>
          </w:p>
        </w:tc>
        <w:tc>
          <w:tcPr>
            <w:tcW w:w="701"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二级</w:t>
            </w:r>
          </w:p>
          <w:p>
            <w:pPr>
              <w:widowControl/>
              <w:jc w:val="center"/>
              <w:textAlignment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kern w:val="0"/>
                <w:sz w:val="24"/>
              </w:rPr>
              <w:t>指标</w:t>
            </w:r>
          </w:p>
        </w:tc>
        <w:tc>
          <w:tcPr>
            <w:tcW w:w="3546"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kern w:val="0"/>
                <w:sz w:val="24"/>
              </w:rPr>
              <w:t>三级指标</w:t>
            </w:r>
          </w:p>
        </w:tc>
        <w:tc>
          <w:tcPr>
            <w:tcW w:w="1963"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kern w:val="0"/>
                <w:sz w:val="24"/>
              </w:rPr>
              <w:t>预期指标值</w:t>
            </w:r>
            <w:r>
              <w:t>[</w:t>
            </w:r>
            <w:r>
              <w:rPr>
                <w:rFonts w:hint="default" w:ascii="Times New Roman" w:hAnsi="Times New Roman" w:cs="Times New Roman"/>
                <w:color w:val="000000"/>
                <w:kern w:val="0"/>
                <w:sz w:val="24"/>
              </w:rPr>
              <w:t>包含数字及文字描述</w:t>
            </w:r>
            <w:r>
              <w:t>]</w:t>
            </w:r>
          </w:p>
        </w:tc>
        <w:tc>
          <w:tcPr>
            <w:tcW w:w="2084"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kern w:val="0"/>
                <w:sz w:val="24"/>
              </w:rPr>
              <w:t>实际完成指标值(包含数字及文字描述)</w:t>
            </w:r>
          </w:p>
        </w:tc>
      </w:tr>
      <w:tr>
        <w:tblPrEx>
          <w:tblCellMar>
            <w:top w:w="0" w:type="dxa"/>
            <w:left w:w="0" w:type="dxa"/>
            <w:bottom w:w="0" w:type="dxa"/>
            <w:right w:w="0" w:type="dxa"/>
          </w:tblCellMar>
        </w:tblPrEx>
        <w:trPr>
          <w:trHeight w:val="809"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经济效益</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帮扶户增收率</w:t>
            </w:r>
          </w:p>
        </w:tc>
        <w:tc>
          <w:tcPr>
            <w:tcW w:w="19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=100%</w:t>
            </w: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完成指标的</w:t>
            </w:r>
            <w:r>
              <w:rPr>
                <w:rFonts w:hint="default" w:ascii="Times New Roman" w:hAnsi="Times New Roman" w:cs="Times New Roman"/>
                <w:color w:val="000000"/>
                <w:sz w:val="24"/>
                <w:lang w:val="en-US" w:eastAsia="zh-CN"/>
              </w:rPr>
              <w:t>100%</w:t>
            </w:r>
          </w:p>
        </w:tc>
      </w:tr>
      <w:tr>
        <w:tblPrEx>
          <w:tblCellMar>
            <w:top w:w="0" w:type="dxa"/>
            <w:left w:w="0" w:type="dxa"/>
            <w:bottom w:w="0" w:type="dxa"/>
            <w:right w:w="0" w:type="dxa"/>
          </w:tblCellMar>
        </w:tblPrEx>
        <w:trPr>
          <w:trHeight w:val="811"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社会效益</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eastAsia="zh-CN"/>
              </w:rPr>
              <w:t>培训</w:t>
            </w:r>
            <w:r>
              <w:t>[</w:t>
            </w:r>
            <w:r>
              <w:rPr>
                <w:rFonts w:hint="default" w:ascii="Times New Roman" w:hAnsi="Times New Roman" w:cs="Times New Roman"/>
                <w:color w:val="000000"/>
                <w:sz w:val="24"/>
                <w:lang w:val="en-US" w:eastAsia="zh-CN"/>
              </w:rPr>
              <w:t>会议</w:t>
            </w:r>
            <w:r>
              <w:t>]</w:t>
            </w:r>
            <w:r>
              <w:rPr>
                <w:rFonts w:hint="default" w:ascii="Times New Roman" w:hAnsi="Times New Roman" w:cs="Times New Roman"/>
                <w:color w:val="000000"/>
                <w:sz w:val="24"/>
                <w:lang w:val="en-US" w:eastAsia="zh-CN"/>
              </w:rPr>
              <w:t>提升信访业务水平</w:t>
            </w:r>
          </w:p>
        </w:tc>
        <w:tc>
          <w:tcPr>
            <w:tcW w:w="19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=100%</w:t>
            </w: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完成指标的</w:t>
            </w:r>
            <w:r>
              <w:rPr>
                <w:rFonts w:hint="default" w:ascii="Times New Roman" w:hAnsi="Times New Roman" w:cs="Times New Roman"/>
                <w:color w:val="000000"/>
                <w:sz w:val="24"/>
                <w:lang w:val="en-US" w:eastAsia="zh-CN"/>
              </w:rPr>
              <w:t>100%</w:t>
            </w:r>
          </w:p>
        </w:tc>
      </w:tr>
      <w:tr>
        <w:tblPrEx>
          <w:tblCellMar>
            <w:top w:w="0" w:type="dxa"/>
            <w:left w:w="0" w:type="dxa"/>
            <w:bottom w:w="0" w:type="dxa"/>
            <w:right w:w="0" w:type="dxa"/>
          </w:tblCellMar>
        </w:tblPrEx>
        <w:trPr>
          <w:trHeight w:val="504"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效益指标</w:t>
            </w:r>
          </w:p>
        </w:tc>
        <w:tc>
          <w:tcPr>
            <w:tcW w:w="70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生态效益</w:t>
            </w:r>
          </w:p>
        </w:tc>
        <w:tc>
          <w:tcPr>
            <w:tcW w:w="3546"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能耗下降率</w:t>
            </w:r>
          </w:p>
        </w:tc>
        <w:tc>
          <w:tcPr>
            <w:tcW w:w="1963"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&gt;=10%</w:t>
            </w:r>
          </w:p>
        </w:tc>
        <w:tc>
          <w:tcPr>
            <w:tcW w:w="208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完成指标的</w:t>
            </w:r>
            <w:r>
              <w:rPr>
                <w:rFonts w:hint="default" w:ascii="Times New Roman" w:hAnsi="Times New Roman" w:cs="Times New Roman"/>
                <w:color w:val="000000"/>
                <w:sz w:val="24"/>
                <w:lang w:val="en-US" w:eastAsia="zh-CN"/>
              </w:rPr>
              <w:t>95%</w:t>
            </w:r>
          </w:p>
        </w:tc>
      </w:tr>
      <w:tr>
        <w:tblPrEx>
          <w:tblCellMar>
            <w:top w:w="0" w:type="dxa"/>
            <w:left w:w="0" w:type="dxa"/>
            <w:bottom w:w="0" w:type="dxa"/>
            <w:right w:w="0" w:type="dxa"/>
          </w:tblCellMar>
        </w:tblPrEx>
        <w:trPr>
          <w:trHeight w:val="444"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65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70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3546"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水电能源节约率</w:t>
            </w:r>
          </w:p>
        </w:tc>
        <w:tc>
          <w:tcPr>
            <w:tcW w:w="1963"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&gt;=5%</w:t>
            </w:r>
          </w:p>
        </w:tc>
        <w:tc>
          <w:tcPr>
            <w:tcW w:w="208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1000"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效益指标</w:t>
            </w:r>
          </w:p>
        </w:tc>
        <w:tc>
          <w:tcPr>
            <w:tcW w:w="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可持续影响</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对信访工作未来可持续发展的</w:t>
            </w:r>
          </w:p>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影响</w:t>
            </w:r>
          </w:p>
        </w:tc>
        <w:tc>
          <w:tcPr>
            <w:tcW w:w="19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长期</w:t>
            </w:r>
          </w:p>
        </w:tc>
        <w:tc>
          <w:tcPr>
            <w:tcW w:w="2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60" w:hRule="atLeast"/>
          <w:jc w:val="center"/>
        </w:trPr>
        <w:tc>
          <w:tcPr>
            <w:tcW w:w="1007"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c>
          <w:tcPr>
            <w:tcW w:w="65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70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服务对象满意度</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参加培训</w:t>
            </w:r>
            <w:r>
              <w:t>[</w:t>
            </w:r>
            <w:r>
              <w:rPr>
                <w:rFonts w:hint="default" w:ascii="Times New Roman" w:hAnsi="Times New Roman" w:cs="Times New Roman"/>
                <w:color w:val="000000"/>
                <w:sz w:val="24"/>
                <w:lang w:val="en-US" w:eastAsia="zh-CN"/>
              </w:rPr>
              <w:t>会议</w:t>
            </w:r>
            <w:r>
              <w:t>]</w:t>
            </w:r>
            <w:r>
              <w:rPr>
                <w:rFonts w:hint="default" w:ascii="Times New Roman" w:hAnsi="Times New Roman" w:cs="Times New Roman"/>
                <w:color w:val="000000"/>
                <w:sz w:val="24"/>
                <w:lang w:eastAsia="zh-CN"/>
              </w:rPr>
              <w:t>人员满意度</w:t>
            </w:r>
          </w:p>
        </w:tc>
        <w:tc>
          <w:tcPr>
            <w:tcW w:w="1963"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&gt;=95%</w:t>
            </w:r>
          </w:p>
        </w:tc>
        <w:tc>
          <w:tcPr>
            <w:tcW w:w="208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eastAsia="zh-CN"/>
              </w:rPr>
              <w:t>完成指标的</w:t>
            </w:r>
            <w:r>
              <w:rPr>
                <w:rFonts w:hint="default" w:ascii="Times New Roman" w:hAnsi="Times New Roman" w:cs="Times New Roman"/>
                <w:color w:val="000000"/>
                <w:sz w:val="24"/>
                <w:lang w:val="en-US" w:eastAsia="zh-CN"/>
              </w:rPr>
              <w:t>98%</w:t>
            </w:r>
          </w:p>
        </w:tc>
      </w:tr>
      <w:tr>
        <w:tblPrEx>
          <w:tblCellMar>
            <w:top w:w="0" w:type="dxa"/>
            <w:left w:w="0" w:type="dxa"/>
            <w:bottom w:w="0" w:type="dxa"/>
            <w:right w:w="0" w:type="dxa"/>
          </w:tblCellMar>
        </w:tblPrEx>
        <w:trPr>
          <w:trHeight w:val="800" w:hRule="atLeast"/>
          <w:jc w:val="center"/>
        </w:trPr>
        <w:tc>
          <w:tcPr>
            <w:tcW w:w="1007"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659"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701"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rP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信访群众对信访工作满意度</w:t>
            </w:r>
          </w:p>
        </w:tc>
        <w:tc>
          <w:tcPr>
            <w:tcW w:w="1963"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&gt;=90%</w:t>
            </w:r>
          </w:p>
        </w:tc>
        <w:tc>
          <w:tcPr>
            <w:tcW w:w="208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sz w:val="24"/>
              </w:rPr>
            </w:pPr>
          </w:p>
        </w:tc>
      </w:tr>
    </w:tbl>
    <w:p>
      <w:pPr>
        <w:spacing w:line="580" w:lineRule="exact"/>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部门绩效评价结果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本部门按要求对20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年部门整体支出绩效评价情况开展自评，《</w:t>
      </w:r>
      <w:r>
        <w:rPr>
          <w:rFonts w:hint="default" w:ascii="Times New Roman" w:hAnsi="Times New Roman" w:eastAsia="仿宋" w:cs="Times New Roman"/>
          <w:sz w:val="32"/>
          <w:szCs w:val="32"/>
          <w:lang w:eastAsia="zh-CN"/>
        </w:rPr>
        <w:t>通江县信访局</w:t>
      </w:r>
      <w:r>
        <w:rPr>
          <w:rFonts w:hint="default" w:ascii="Times New Roman" w:hAnsi="Times New Roman" w:eastAsia="仿宋" w:cs="Times New Roman"/>
          <w:sz w:val="32"/>
          <w:szCs w:val="32"/>
        </w:rPr>
        <w:t>部门20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年部门整体支出绩效评价报告》见附件（附件1）。</w:t>
      </w:r>
    </w:p>
    <w:p>
      <w:pPr>
        <w:spacing w:line="580" w:lineRule="exact"/>
        <w:ind w:firstLine="640" w:firstLineChars="200"/>
        <w:rPr>
          <w:rFonts w:hint="default" w:ascii="Times New Roman" w:hAnsi="Times New Roman" w:eastAsia="仿宋" w:cs="Times New Roman"/>
          <w:b/>
          <w:color w:val="000000"/>
          <w:sz w:val="32"/>
          <w:szCs w:val="32"/>
        </w:rPr>
      </w:pPr>
      <w:r>
        <w:rPr>
          <w:rFonts w:hint="default" w:ascii="Times New Roman" w:hAnsi="Times New Roman" w:eastAsia="仿宋" w:cs="Times New Roman"/>
          <w:sz w:val="32"/>
          <w:szCs w:val="32"/>
        </w:rPr>
        <w:t>本部门自行组织对</w:t>
      </w:r>
      <w:r>
        <w:rPr>
          <w:rFonts w:hint="default" w:ascii="Times New Roman" w:hAnsi="Times New Roman" w:eastAsia="仿宋" w:cs="Times New Roman"/>
          <w:sz w:val="32"/>
          <w:szCs w:val="32"/>
          <w:lang w:eastAsia="zh-CN"/>
        </w:rPr>
        <w:t>中央、省、市值班专项资金</w:t>
      </w:r>
      <w:r>
        <w:rPr>
          <w:rFonts w:hint="default" w:ascii="Times New Roman" w:hAnsi="Times New Roman" w:eastAsia="仿宋" w:cs="Times New Roman"/>
          <w:sz w:val="32"/>
          <w:szCs w:val="32"/>
        </w:rPr>
        <w:t>项目开展了绩效评价，《</w:t>
      </w:r>
      <w:r>
        <w:rPr>
          <w:rFonts w:hint="default" w:ascii="Times New Roman" w:hAnsi="Times New Roman" w:eastAsia="仿宋" w:cs="Times New Roman"/>
          <w:sz w:val="32"/>
          <w:szCs w:val="32"/>
          <w:lang w:eastAsia="zh-CN"/>
        </w:rPr>
        <w:t>中央、省、市值班专项资金</w:t>
      </w:r>
      <w:r>
        <w:rPr>
          <w:rFonts w:hint="default" w:ascii="Times New Roman" w:hAnsi="Times New Roman" w:eastAsia="仿宋" w:cs="Times New Roman"/>
          <w:sz w:val="32"/>
          <w:szCs w:val="32"/>
        </w:rPr>
        <w:t>项目20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年绩效评价报告》见附件（附件2）。</w:t>
      </w:r>
    </w:p>
    <w:p>
      <w:pPr>
        <w:widowControl/>
        <w:jc w:val="left"/>
        <w:rPr>
          <w:rFonts w:hint="default" w:ascii="Times New Roman" w:hAnsi="Times New Roman" w:eastAsia="仿宋_GB2312" w:cs="Times New Roman"/>
          <w:b/>
          <w:color w:val="000000"/>
          <w:sz w:val="32"/>
          <w:szCs w:val="32"/>
        </w:rPr>
      </w:pPr>
      <w:r>
        <w:br w:type="page"/>
      </w:r>
    </w:p>
    <w:p>
      <w:pPr>
        <w:numPr>
          <w:ilvl w:val="0"/>
          <w:numId w:val="0"/>
        </w:numPr>
        <w:spacing w:line="600" w:lineRule="exact"/>
        <w:jc w:val="center"/>
        <w:outlineLvl w:val="0"/>
        <w:rPr>
          <w:rStyle w:val="25"/>
          <w:rFonts w:hint="default" w:ascii="Times New Roman" w:hAnsi="Times New Roman" w:eastAsia="方正小标宋简体" w:cs="Times New Roman"/>
          <w:b/>
          <w:bCs/>
        </w:rPr>
      </w:pPr>
      <w:bookmarkStart w:id="92" w:name="_Toc15377225"/>
      <w:bookmarkStart w:id="93" w:name="_Toc4944"/>
      <w:bookmarkStart w:id="94" w:name="_Toc15396613"/>
      <w:bookmarkStart w:id="95" w:name="_Toc1150"/>
      <w:r>
        <w:rPr>
          <w:rFonts w:hint="default" w:ascii="Times New Roman" w:hAnsi="Times New Roman" w:eastAsia="方正小标宋简体" w:cs="Times New Roman"/>
          <w:b/>
          <w:bCs/>
          <w:color w:val="000000"/>
          <w:sz w:val="44"/>
          <w:szCs w:val="44"/>
          <w:lang w:eastAsia="zh-CN"/>
        </w:rPr>
        <w:t>第三部分</w:t>
      </w:r>
      <w:r>
        <w:rPr>
          <w:rFonts w:hint="eastAsia" w:eastAsia="方正小标宋简体" w:cs="Times New Roman"/>
          <w:b/>
          <w:bCs/>
          <w:color w:val="000000"/>
          <w:sz w:val="44"/>
          <w:szCs w:val="44"/>
          <w:lang w:val="en-US" w:eastAsia="zh-CN"/>
        </w:rPr>
        <w:t xml:space="preserve"> </w:t>
      </w:r>
      <w:r>
        <w:rPr>
          <w:rFonts w:hint="default" w:ascii="Times New Roman" w:hAnsi="Times New Roman" w:eastAsia="方正小标宋简体" w:cs="Times New Roman"/>
          <w:b/>
          <w:bCs/>
          <w:color w:val="000000"/>
          <w:sz w:val="44"/>
          <w:szCs w:val="44"/>
        </w:rPr>
        <w:t>名</w:t>
      </w:r>
      <w:r>
        <w:rPr>
          <w:rStyle w:val="25"/>
          <w:rFonts w:hint="default" w:ascii="Times New Roman" w:hAnsi="Times New Roman" w:eastAsia="方正小标宋简体" w:cs="Times New Roman"/>
          <w:b/>
          <w:bCs/>
        </w:rPr>
        <w:t>词解释</w:t>
      </w:r>
      <w:bookmarkEnd w:id="92"/>
      <w:bookmarkEnd w:id="93"/>
      <w:bookmarkEnd w:id="94"/>
      <w:bookmarkEnd w:id="95"/>
    </w:p>
    <w:p>
      <w:pPr>
        <w:spacing w:line="600" w:lineRule="exact"/>
        <w:jc w:val="left"/>
        <w:rPr>
          <w:rFonts w:hint="default" w:ascii="Times New Roman" w:hAnsi="Times New Roman" w:cs="Times New Roman"/>
          <w:b/>
          <w:color w:val="000000"/>
          <w:sz w:val="44"/>
          <w:szCs w:val="44"/>
        </w:rPr>
      </w:pPr>
    </w:p>
    <w:p>
      <w:pPr>
        <w:pStyle w:val="23"/>
        <w:keepNext w:val="0"/>
        <w:keepLines w:val="0"/>
        <w:pageBreakBefore w:val="0"/>
        <w:widowControl w:val="0"/>
        <w:kinsoku/>
        <w:wordWrap/>
        <w:overflowPunct/>
        <w:topLinePunct w:val="0"/>
        <w:bidi w:val="0"/>
        <w:snapToGrid/>
        <w:spacing w:line="560" w:lineRule="exact"/>
        <w:ind w:firstLine="596" w:firstLineChars="200"/>
        <w:textAlignment w:val="auto"/>
        <w:rPr>
          <w:rFonts w:hint="default" w:ascii="Times New Roman" w:hAnsi="Times New Roman" w:eastAsia="仿宋" w:cs="Times New Roman"/>
          <w:spacing w:val="-11"/>
          <w:sz w:val="32"/>
          <w:szCs w:val="32"/>
        </w:rPr>
      </w:pPr>
      <w:r>
        <w:rPr>
          <w:rFonts w:hint="default" w:ascii="Times New Roman" w:hAnsi="Times New Roman" w:eastAsia="仿宋" w:cs="Times New Roman"/>
          <w:spacing w:val="-11"/>
          <w:sz w:val="32"/>
          <w:szCs w:val="32"/>
        </w:rPr>
        <w:t>1.财政拨款收入：指单位从同级财政部门取得的财政预算资金。</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2.事业收入：指事业单位开展专业业务活动及辅助活动取得的收入。如…（二级预算单位事业收入情况）等。</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3.经营收入：指事业单位在专业业务活动及其辅助活动之外开展非独立核算经营活动取得的收入。如…（二级预算单位经营收入情况）等。</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4.其他收入：指单位取得的除上述收入以外的各项收入。主要是…（收入类型）等。</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6.年初结转和结余：指以前年度尚未完成、结转到本年按有关规定继续使用的资金。</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7.结余分配：指事业单位按照事业单位会计制度的规定从非财政补助结余中分配的事业基金和职工福利基金等。</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9.一般公共服务（类）…（款）…（项）：指。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10.外交（类）…（款）…（项）：指。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11.公共安全（类）…（款）…（项）：指。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12.教育（类）…（款）…（项）：指。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13.科学技术（类）…（款）…（项）：指。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14.文化体育与传媒（类）…（款）…（项）：指。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15.社会保障和就业（类）…（款）…（项）：指。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16.医疗卫生与计划生育（类）…（款）…（项）：指。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17.节能环保（类）…（款）…（项）：指。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18.城乡社区（类）…（款）…（项）：指。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19.农林水（类）…（款）…（项）：指。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20.交通运输（类）…（款）…（项）：指。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21.资源勘探信息等（类）…（款）…（项）：指。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22.商业服务业（类）…（款）…（项）：指。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23.金融（类）…（款）…（项）：指。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24.国土海洋气象等（类）…（款）…（项）：指。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25.住房保障（类）…（款）…（项）：指。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26.粮油物资储备（类）…（款）…（项）：指。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27.基本支出：指为保障机构正常运转、完成日常工作任务而发生的人员支出和公用支出。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28.项目支出：指在基本支出之外为完成特定行政任务和事业发展目标所发生的支出。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29.经营支出：指事业单位在专业业务活动及其辅助活动之外开展非独立核算经营活动发生的支出。</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sz w:val="32"/>
          <w:szCs w:val="32"/>
        </w:rPr>
      </w:pPr>
    </w:p>
    <w:p>
      <w:pPr>
        <w:pStyle w:val="23"/>
        <w:spacing w:line="560" w:lineRule="exact"/>
        <w:ind w:firstLine="640" w:firstLineChars="200"/>
        <w:rPr>
          <w:rFonts w:hint="default" w:ascii="Times New Roman" w:hAnsi="Times New Roman" w:eastAsia="仿宋_GB2312" w:cs="Times New Roman"/>
          <w:sz w:val="32"/>
          <w:szCs w:val="32"/>
        </w:rPr>
      </w:pPr>
    </w:p>
    <w:p>
      <w:pPr>
        <w:spacing w:line="600" w:lineRule="exact"/>
        <w:jc w:val="center"/>
        <w:outlineLvl w:val="0"/>
        <w:rPr>
          <w:rStyle w:val="25"/>
          <w:rFonts w:hint="default" w:ascii="Times New Roman" w:hAnsi="Times New Roman" w:eastAsia="黑体" w:cs="Times New Roman"/>
          <w:b w:val="0"/>
        </w:rPr>
      </w:pPr>
      <w:bookmarkStart w:id="96" w:name="_Toc15377226"/>
      <w:r>
        <w:br w:type="page"/>
      </w:r>
      <w:bookmarkStart w:id="97" w:name="_Toc6123"/>
      <w:bookmarkStart w:id="98" w:name="_Toc30289"/>
      <w:bookmarkStart w:id="99" w:name="_Toc15396614"/>
      <w:r>
        <w:rPr>
          <w:rFonts w:hint="default" w:ascii="Times New Roman" w:hAnsi="Times New Roman" w:eastAsia="方正小标宋简体" w:cs="Times New Roman"/>
          <w:b/>
          <w:bCs/>
          <w:color w:val="000000"/>
          <w:sz w:val="44"/>
          <w:szCs w:val="44"/>
        </w:rPr>
        <w:t>第</w:t>
      </w:r>
      <w:r>
        <w:rPr>
          <w:rStyle w:val="25"/>
          <w:rFonts w:hint="default" w:ascii="Times New Roman" w:hAnsi="Times New Roman" w:eastAsia="方正小标宋简体" w:cs="Times New Roman"/>
          <w:b/>
          <w:bCs/>
        </w:rPr>
        <w:t>四部分附件</w:t>
      </w:r>
      <w:bookmarkEnd w:id="97"/>
      <w:bookmarkEnd w:id="98"/>
      <w:bookmarkEnd w:id="99"/>
    </w:p>
    <w:p>
      <w:pPr>
        <w:keepNext w:val="0"/>
        <w:keepLines w:val="0"/>
        <w:pageBreakBefore w:val="0"/>
        <w:kinsoku/>
        <w:wordWrap/>
        <w:overflowPunct/>
        <w:topLinePunct w:val="0"/>
        <w:autoSpaceDE/>
        <w:autoSpaceDN/>
        <w:bidi w:val="0"/>
        <w:spacing w:line="560" w:lineRule="exact"/>
        <w:jc w:val="left"/>
        <w:textAlignment w:val="auto"/>
        <w:outlineLvl w:val="1"/>
        <w:rPr>
          <w:rFonts w:hint="default" w:ascii="Times New Roman" w:hAnsi="Times New Roman" w:eastAsia="黑体" w:cs="Times New Roman"/>
          <w:sz w:val="32"/>
          <w:szCs w:val="32"/>
        </w:rPr>
      </w:pPr>
      <w:bookmarkStart w:id="100" w:name="_Toc28795"/>
      <w:bookmarkStart w:id="101" w:name="_Toc29343"/>
      <w:r>
        <w:rPr>
          <w:rFonts w:hint="default" w:ascii="Times New Roman" w:hAnsi="Times New Roman" w:eastAsia="黑体" w:cs="Times New Roman"/>
          <w:sz w:val="32"/>
          <w:szCs w:val="32"/>
        </w:rPr>
        <w:t>附件1</w:t>
      </w:r>
      <w:bookmarkEnd w:id="100"/>
      <w:bookmarkEnd w:id="101"/>
    </w:p>
    <w:p>
      <w:pPr>
        <w:keepNext w:val="0"/>
        <w:keepLines w:val="0"/>
        <w:pageBreakBefore w:val="0"/>
        <w:kinsoku/>
        <w:wordWrap/>
        <w:overflowPunct/>
        <w:topLinePunct w:val="0"/>
        <w:autoSpaceDE/>
        <w:autoSpaceDN/>
        <w:bidi w:val="0"/>
        <w:spacing w:line="560" w:lineRule="exact"/>
        <w:jc w:val="left"/>
        <w:textAlignment w:val="auto"/>
        <w:outlineLvl w:val="0"/>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000000"/>
          <w:kern w:val="0"/>
          <w:sz w:val="40"/>
          <w:szCs w:val="44"/>
          <w:lang w:val="zh-CN"/>
        </w:rPr>
      </w:pPr>
      <w:r>
        <w:rPr>
          <w:rFonts w:hint="default" w:ascii="Times New Roman" w:hAnsi="Times New Roman" w:eastAsia="方正小标宋简体" w:cs="Times New Roman"/>
          <w:color w:val="000000"/>
          <w:kern w:val="0"/>
          <w:sz w:val="40"/>
          <w:szCs w:val="44"/>
          <w:lang w:eastAsia="zh-CN"/>
        </w:rPr>
        <w:t>通江县信访局</w:t>
      </w:r>
      <w:r>
        <w:rPr>
          <w:rFonts w:hint="default" w:ascii="Times New Roman" w:hAnsi="Times New Roman" w:eastAsia="方正小标宋简体" w:cs="Times New Roman"/>
          <w:color w:val="000000"/>
          <w:kern w:val="0"/>
          <w:sz w:val="40"/>
          <w:szCs w:val="44"/>
        </w:rPr>
        <w:t>20</w:t>
      </w:r>
      <w:r>
        <w:rPr>
          <w:rFonts w:hint="default" w:ascii="Times New Roman" w:hAnsi="Times New Roman" w:eastAsia="方正小标宋简体" w:cs="Times New Roman"/>
          <w:color w:val="000000"/>
          <w:kern w:val="0"/>
          <w:sz w:val="40"/>
          <w:szCs w:val="44"/>
          <w:lang w:val="en-US" w:eastAsia="zh-CN"/>
        </w:rPr>
        <w:t>20</w:t>
      </w:r>
      <w:r>
        <w:rPr>
          <w:rFonts w:hint="default" w:ascii="Times New Roman" w:hAnsi="Times New Roman" w:eastAsia="方正小标宋简体" w:cs="Times New Roman"/>
          <w:color w:val="000000"/>
          <w:kern w:val="0"/>
          <w:sz w:val="40"/>
          <w:szCs w:val="44"/>
        </w:rPr>
        <w:t>年部门</w:t>
      </w:r>
      <w:r>
        <w:rPr>
          <w:rFonts w:hint="default" w:ascii="Times New Roman" w:hAnsi="Times New Roman" w:eastAsia="方正小标宋简体" w:cs="Times New Roman"/>
          <w:color w:val="000000"/>
          <w:kern w:val="0"/>
          <w:sz w:val="40"/>
          <w:szCs w:val="44"/>
          <w:lang w:val="zh-CN"/>
        </w:rPr>
        <w:t>整体支出绩效评价报告</w:t>
      </w:r>
    </w:p>
    <w:p>
      <w:pPr>
        <w:keepNext w:val="0"/>
        <w:keepLines w:val="0"/>
        <w:pageBreakBefore w:val="0"/>
        <w:widowControl/>
        <w:kinsoku/>
        <w:wordWrap/>
        <w:overflowPunct/>
        <w:topLinePunct w:val="0"/>
        <w:autoSpaceDE/>
        <w:autoSpaceDN/>
        <w:bidi w:val="0"/>
        <w:spacing w:line="560" w:lineRule="exact"/>
        <w:ind w:firstLine="643" w:firstLineChars="200"/>
        <w:contextualSpacing/>
        <w:jc w:val="center"/>
        <w:textAlignment w:val="auto"/>
        <w:rPr>
          <w:rFonts w:hint="default" w:ascii="Times New Roman" w:hAnsi="Times New Roman" w:eastAsia="楷体_GB2312" w:cs="Times New Roman"/>
          <w:b/>
          <w:bCs/>
          <w:sz w:val="32"/>
          <w:szCs w:val="32"/>
          <w:shd w:val="clear" w:color="auto" w:fill="FFFFFF"/>
        </w:rPr>
      </w:pPr>
      <w:r>
        <w:rPr>
          <w:rFonts w:hint="default" w:ascii="Times New Roman" w:hAnsi="Times New Roman" w:eastAsia="楷体_GB2312" w:cs="Times New Roman"/>
          <w:b/>
          <w:bCs/>
          <w:sz w:val="32"/>
          <w:szCs w:val="32"/>
          <w:shd w:val="clear" w:color="auto" w:fill="FFFFFF"/>
        </w:rPr>
        <w:t>（报告范围包括机关和下属单位）</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hint="default" w:ascii="Times New Roman" w:hAnsi="Times New Roman" w:eastAsia="黑体" w:cs="Times New Roman"/>
          <w:color w:val="000000"/>
          <w:kern w:val="0"/>
          <w:sz w:val="24"/>
          <w:szCs w:val="32"/>
          <w:shd w:val="clear" w:color="auto" w:fill="FFFFFF"/>
        </w:rPr>
      </w:pPr>
    </w:p>
    <w:p>
      <w:pPr>
        <w:pageBreakBefore w:val="0"/>
        <w:widowControl/>
        <w:kinsoku/>
        <w:wordWrap/>
        <w:overflowPunct/>
        <w:topLinePunct w:val="0"/>
        <w:autoSpaceDE/>
        <w:autoSpaceDN/>
        <w:bidi w:val="0"/>
        <w:adjustRightInd w:val="0"/>
        <w:snapToGrid w:val="0"/>
        <w:spacing w:line="560" w:lineRule="exact"/>
        <w:ind w:left="0" w:leftChars="0" w:right="0" w:firstLine="640" w:firstLineChars="200"/>
        <w:contextualSpacing/>
        <w:jc w:val="left"/>
        <w:textAlignment w:val="auto"/>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黑体" w:cs="Times New Roman"/>
          <w:color w:val="000000"/>
          <w:kern w:val="0"/>
          <w:sz w:val="32"/>
          <w:szCs w:val="32"/>
          <w:shd w:val="clear" w:color="auto" w:fill="FFFFFF"/>
        </w:rPr>
        <w:t>一、</w:t>
      </w:r>
      <w:r>
        <w:rPr>
          <w:rFonts w:hint="default" w:ascii="Times New Roman" w:hAnsi="Times New Roman" w:eastAsia="黑体" w:cs="Times New Roman"/>
          <w:color w:val="000000"/>
          <w:kern w:val="0"/>
          <w:sz w:val="32"/>
          <w:szCs w:val="32"/>
          <w:shd w:val="clear" w:color="auto" w:fill="FFFFFF"/>
          <w:lang w:val="zh-CN"/>
        </w:rPr>
        <w:t>部门（单位）概况</w:t>
      </w:r>
    </w:p>
    <w:p>
      <w:pPr>
        <w:pageBreakBefore w:val="0"/>
        <w:kinsoku/>
        <w:wordWrap/>
        <w:overflowPunct/>
        <w:topLinePunct w:val="0"/>
        <w:autoSpaceDE/>
        <w:autoSpaceDN/>
        <w:bidi w:val="0"/>
        <w:spacing w:line="560" w:lineRule="exact"/>
        <w:ind w:left="0" w:leftChars="0" w:right="0" w:firstLine="627" w:firstLineChars="196"/>
        <w:textAlignment w:val="auto"/>
        <w:rPr>
          <w:rFonts w:hint="default" w:ascii="Times New Roman" w:hAnsi="Times New Roman" w:eastAsia="楷体" w:cs="Times New Roman"/>
          <w:sz w:val="32"/>
          <w:szCs w:val="32"/>
        </w:rPr>
      </w:pPr>
      <w:r>
        <w:rPr>
          <w:rFonts w:hint="default" w:ascii="Times New Roman" w:hAnsi="Times New Roman" w:eastAsia="仿宋" w:cs="Times New Roman"/>
          <w:sz w:val="32"/>
          <w:szCs w:val="32"/>
        </w:rPr>
        <w:t>负责处理来信来电，接待来访，听取和收集来信来访人员反映的情况和问题，向来访人提供相关政策和法律法规的咨询服务；受理、转送、交办信访人提出的信访事项；协调处理各乡镇、县级各部门接待来访中遇到的复杂问题；会同有关部门协调处理好群众赴京去省到市上访的劝阻、接访、劝返工作和异常、突发信访事件。</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年财政预算财政供给人员</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人，供给车辆</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辆，下属二级预算单位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个，其中行政单位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其他事业单位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为全额拨款事业单位，</w:t>
      </w:r>
      <w:r>
        <w:rPr>
          <w:rFonts w:hint="default" w:ascii="Times New Roman" w:hAnsi="Times New Roman" w:eastAsia="仿宋" w:cs="Times New Roman"/>
          <w:color w:val="000000"/>
          <w:sz w:val="32"/>
          <w:szCs w:val="32"/>
        </w:rPr>
        <w:t>纳入20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年度部门决算编制范围的二级预算单位包括</w:t>
      </w:r>
      <w:r>
        <w:rPr>
          <w:rFonts w:hint="default" w:ascii="Times New Roman" w:hAnsi="Times New Roman" w:eastAsia="仿宋" w:cs="Times New Roman"/>
          <w:color w:val="000000"/>
          <w:sz w:val="32"/>
          <w:szCs w:val="32"/>
          <w:lang w:eastAsia="zh-CN"/>
        </w:rPr>
        <w:t>：通江县群众接待中心。</w:t>
      </w:r>
    </w:p>
    <w:p>
      <w:pPr>
        <w:pageBreakBefore w:val="0"/>
        <w:kinsoku/>
        <w:wordWrap/>
        <w:overflowPunct/>
        <w:topLinePunct w:val="0"/>
        <w:autoSpaceDE/>
        <w:autoSpaceDN/>
        <w:bidi w:val="0"/>
        <w:spacing w:line="560" w:lineRule="exact"/>
        <w:ind w:left="0" w:leftChars="0" w:right="0" w:firstLine="627" w:firstLineChars="196"/>
        <w:textAlignment w:val="auto"/>
        <w:rPr>
          <w:rFonts w:hint="default" w:ascii="Times New Roman" w:hAnsi="Times New Roman" w:eastAsia="仿宋_GB2312" w:cs="Times New Roman"/>
          <w:color w:val="000000"/>
          <w:kern w:val="0"/>
          <w:sz w:val="32"/>
          <w:szCs w:val="32"/>
          <w:shd w:val="clear" w:color="auto" w:fill="FFFFFF"/>
          <w:lang w:val="zh-CN"/>
        </w:rPr>
      </w:pPr>
      <w:r>
        <w:rPr>
          <w:rFonts w:hint="default" w:ascii="Times New Roman" w:hAnsi="Times New Roman" w:eastAsia="仿宋_GB2312" w:cs="Times New Roman"/>
          <w:sz w:val="32"/>
          <w:szCs w:val="32"/>
        </w:rPr>
        <w:t>整体支出主要是用于人员经费、办公经费以及脱贫攻坚、会同有关部门协调处理好群众上访的劝阻、接访、劝返工作</w:t>
      </w:r>
      <w:r>
        <w:rPr>
          <w:rFonts w:hint="default" w:ascii="Times New Roman" w:hAnsi="Times New Roman" w:eastAsia="仿宋" w:cs="Times New Roman"/>
          <w:sz w:val="32"/>
          <w:szCs w:val="32"/>
        </w:rPr>
        <w:t>、突发信访事件</w:t>
      </w:r>
      <w:r>
        <w:rPr>
          <w:rFonts w:hint="default" w:ascii="Times New Roman" w:hAnsi="Times New Roman" w:eastAsia="仿宋" w:cs="Times New Roman"/>
          <w:sz w:val="32"/>
          <w:szCs w:val="32"/>
          <w:lang w:eastAsia="zh-CN"/>
        </w:rPr>
        <w:t>、</w:t>
      </w:r>
      <w:r>
        <w:rPr>
          <w:rFonts w:hint="default" w:ascii="Times New Roman" w:hAnsi="Times New Roman" w:eastAsia="仿宋_GB2312" w:cs="Times New Roman"/>
          <w:sz w:val="32"/>
          <w:szCs w:val="32"/>
        </w:rPr>
        <w:t>党报党刊的征订等专项工作。</w:t>
      </w:r>
    </w:p>
    <w:p>
      <w:pPr>
        <w:pageBreakBefore w:val="0"/>
        <w:widowControl/>
        <w:kinsoku/>
        <w:wordWrap/>
        <w:overflowPunct/>
        <w:topLinePunct w:val="0"/>
        <w:autoSpaceDE/>
        <w:autoSpaceDN/>
        <w:bidi w:val="0"/>
        <w:adjustRightInd w:val="0"/>
        <w:snapToGrid w:val="0"/>
        <w:spacing w:line="560" w:lineRule="exact"/>
        <w:ind w:left="0" w:leftChars="0" w:right="0" w:firstLine="640" w:firstLineChars="200"/>
        <w:contextualSpacing/>
        <w:jc w:val="left"/>
        <w:textAlignment w:val="auto"/>
        <w:rPr>
          <w:rFonts w:hint="default" w:ascii="Times New Roman" w:hAnsi="Times New Roman" w:eastAsia="黑体" w:cs="Times New Roman"/>
          <w:color w:val="000000"/>
          <w:kern w:val="0"/>
          <w:sz w:val="32"/>
          <w:szCs w:val="32"/>
          <w:shd w:val="clear" w:color="auto" w:fill="FFFFFF"/>
        </w:rPr>
      </w:pPr>
      <w:r>
        <w:rPr>
          <w:rFonts w:hint="default" w:ascii="Times New Roman" w:hAnsi="Times New Roman" w:eastAsia="黑体" w:cs="Times New Roman"/>
          <w:color w:val="000000"/>
          <w:kern w:val="0"/>
          <w:sz w:val="32"/>
          <w:szCs w:val="32"/>
          <w:shd w:val="clear" w:color="auto" w:fill="FFFFFF"/>
        </w:rPr>
        <w:t>二、部门财政资金收支情况</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kern w:val="0"/>
          <w:sz w:val="32"/>
          <w:szCs w:val="32"/>
          <w:shd w:val="clear" w:color="auto" w:fill="FFFFFF"/>
          <w:lang w:val="zh-CN"/>
        </w:rPr>
        <w:t>（一）部门财政资金收入情况。</w:t>
      </w: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制定了内部控制制度规定，开支1万元以上的经费均由</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办公会议审定。购置办公设备、开展专项工作的经费等均通过</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长办公会议研究决定。资金使用严格按照程序和规定，主要用于20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信访局</w:t>
      </w:r>
      <w:r>
        <w:rPr>
          <w:rFonts w:hint="default" w:ascii="Times New Roman" w:hAnsi="Times New Roman" w:eastAsia="仿宋_GB2312" w:cs="Times New Roman"/>
          <w:sz w:val="32"/>
          <w:szCs w:val="32"/>
        </w:rPr>
        <w:t>机关运行及各专项工作的开展。</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1.人员经费</w:t>
      </w:r>
      <w:r>
        <w:rPr>
          <w:rFonts w:hint="default" w:ascii="Times New Roman" w:hAnsi="Times New Roman" w:eastAsia="仿宋_GB2312" w:cs="Times New Roman"/>
          <w:sz w:val="32"/>
          <w:szCs w:val="32"/>
          <w:lang w:val="en-US" w:eastAsia="zh-CN"/>
        </w:rPr>
        <w:t>271.28</w:t>
      </w:r>
      <w:r>
        <w:rPr>
          <w:rFonts w:hint="default" w:ascii="Times New Roman" w:hAnsi="Times New Roman" w:eastAsia="仿宋_GB2312" w:cs="Times New Roman"/>
          <w:sz w:val="32"/>
          <w:szCs w:val="32"/>
        </w:rPr>
        <w:t>万元，主要用于工资、保险、公积金等。</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2.公用经费</w:t>
      </w:r>
      <w:r>
        <w:rPr>
          <w:rFonts w:hint="default" w:ascii="Times New Roman" w:hAnsi="Times New Roman" w:eastAsia="仿宋_GB2312" w:cs="Times New Roman"/>
          <w:sz w:val="32"/>
          <w:szCs w:val="32"/>
          <w:lang w:val="en-US" w:eastAsia="zh-CN"/>
        </w:rPr>
        <w:t>75.78</w:t>
      </w:r>
      <w:r>
        <w:rPr>
          <w:rFonts w:hint="default" w:ascii="Times New Roman" w:hAnsi="Times New Roman" w:eastAsia="仿宋_GB2312" w:cs="Times New Roman"/>
          <w:sz w:val="32"/>
          <w:szCs w:val="32"/>
        </w:rPr>
        <w:t>万元，主要用于机关日常运转。</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3.项目性支出</w:t>
      </w:r>
      <w:r>
        <w:rPr>
          <w:rFonts w:hint="default" w:ascii="Times New Roman" w:hAnsi="Times New Roman" w:eastAsia="仿宋_GB2312" w:cs="Times New Roman"/>
          <w:sz w:val="32"/>
          <w:szCs w:val="32"/>
          <w:lang w:val="en-US" w:eastAsia="zh-CN"/>
        </w:rPr>
        <w:t>93.38</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主要用于</w:t>
      </w:r>
      <w:r>
        <w:rPr>
          <w:rFonts w:hint="eastAsia" w:eastAsia="仿宋_GB2312" w:cs="Times New Roman"/>
          <w:sz w:val="32"/>
          <w:szCs w:val="32"/>
          <w:lang w:val="en-US" w:eastAsia="zh-CN"/>
        </w:rPr>
        <w:t>2个项目运行资金。</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kern w:val="0"/>
          <w:sz w:val="32"/>
          <w:szCs w:val="32"/>
          <w:shd w:val="clear" w:color="auto" w:fill="FFFFFF"/>
          <w:lang w:val="zh-CN"/>
        </w:rPr>
        <w:t>（二）部门财政资金支出情况。</w:t>
      </w:r>
      <w:r>
        <w:rPr>
          <w:rFonts w:hint="default" w:ascii="Times New Roman" w:hAnsi="Times New Roman" w:eastAsia="仿宋_GB2312" w:cs="Times New Roman"/>
          <w:sz w:val="32"/>
          <w:szCs w:val="32"/>
        </w:rPr>
        <w:t>所有专项工作经费均由各相关股室提出方案，</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办公会讨论后再实施项目资金严格按照项目进度进行支付，不存在重复支付。</w:t>
      </w:r>
    </w:p>
    <w:p>
      <w:pPr>
        <w:pageBreakBefore w:val="0"/>
        <w:kinsoku/>
        <w:wordWrap/>
        <w:overflowPunct/>
        <w:topLinePunct w:val="0"/>
        <w:autoSpaceDE/>
        <w:autoSpaceDN/>
        <w:bidi w:val="0"/>
        <w:spacing w:line="560" w:lineRule="exact"/>
        <w:ind w:right="0" w:firstLine="321" w:firstLineChars="1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三、目标完成情况</w:t>
      </w:r>
      <w:r>
        <w:rPr>
          <w:rFonts w:hint="default" w:ascii="Times New Roman" w:hAnsi="Times New Roman" w:eastAsia="黑体" w:cs="Times New Roman"/>
          <w:b/>
          <w:bCs/>
          <w:sz w:val="32"/>
          <w:szCs w:val="32"/>
        </w:rPr>
        <w:tab/>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（一）目标任务量完成情况</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全年机关运转正常，各专项工作有序展开，取得较好成绩。全年</w:t>
      </w:r>
      <w:r>
        <w:rPr>
          <w:rFonts w:hint="default" w:ascii="Times New Roman" w:hAnsi="Times New Roman" w:eastAsia="仿宋_GB2312" w:cs="Times New Roman"/>
          <w:sz w:val="32"/>
          <w:szCs w:val="32"/>
          <w:lang w:eastAsia="zh-CN"/>
        </w:rPr>
        <w:t>中央、省、市值班维稳</w:t>
      </w:r>
      <w:r>
        <w:rPr>
          <w:rFonts w:hint="default" w:ascii="Times New Roman" w:hAnsi="Times New Roman" w:eastAsia="仿宋_GB2312" w:cs="Times New Roman"/>
          <w:sz w:val="32"/>
          <w:szCs w:val="32"/>
          <w:lang w:val="en-US" w:eastAsia="zh-CN"/>
        </w:rPr>
        <w:t>33次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网络运行维护取得很好的成效，</w:t>
      </w:r>
      <w:r>
        <w:rPr>
          <w:rFonts w:hint="default" w:ascii="Times New Roman" w:hAnsi="Times New Roman" w:eastAsia="仿宋_GB2312" w:cs="Times New Roman"/>
          <w:sz w:val="32"/>
          <w:szCs w:val="32"/>
        </w:rPr>
        <w:t>顺利完成上级下达的党报党刊的征订任务；保障了驻村工作队及驻村第一书记的工作经费和生活补助费用，严格考核驻村工作，确保脱贫攻坚工作的顺利开展；大力提升</w:t>
      </w:r>
      <w:r>
        <w:rPr>
          <w:rFonts w:hint="default" w:ascii="Times New Roman" w:hAnsi="Times New Roman" w:eastAsia="仿宋_GB2312" w:cs="Times New Roman"/>
          <w:sz w:val="32"/>
          <w:szCs w:val="32"/>
          <w:lang w:eastAsia="zh-CN"/>
        </w:rPr>
        <w:t>职工</w:t>
      </w:r>
      <w:r>
        <w:rPr>
          <w:rFonts w:hint="default" w:ascii="Times New Roman" w:hAnsi="Times New Roman" w:eastAsia="仿宋_GB2312" w:cs="Times New Roman"/>
          <w:sz w:val="32"/>
          <w:szCs w:val="32"/>
        </w:rPr>
        <w:t>的党风廉政建设能力；大力打造一批文艺精品，有效降低</w:t>
      </w:r>
      <w:r>
        <w:rPr>
          <w:rFonts w:hint="default" w:ascii="Times New Roman" w:hAnsi="Times New Roman" w:eastAsia="仿宋_GB2312" w:cs="Times New Roman"/>
          <w:sz w:val="32"/>
          <w:szCs w:val="32"/>
          <w:lang w:eastAsia="zh-CN"/>
        </w:rPr>
        <w:t>信访案件</w:t>
      </w:r>
      <w:r>
        <w:rPr>
          <w:rFonts w:hint="default" w:ascii="Times New Roman" w:hAnsi="Times New Roman" w:eastAsia="仿宋_GB2312" w:cs="Times New Roman"/>
          <w:sz w:val="32"/>
          <w:szCs w:val="32"/>
        </w:rPr>
        <w:t>发生率，线下解决</w:t>
      </w:r>
      <w:r>
        <w:rPr>
          <w:rFonts w:hint="default" w:ascii="Times New Roman" w:hAnsi="Times New Roman" w:eastAsia="仿宋_GB2312" w:cs="Times New Roman"/>
          <w:sz w:val="32"/>
          <w:szCs w:val="32"/>
          <w:lang w:eastAsia="zh-CN"/>
        </w:rPr>
        <w:t>信访人员</w:t>
      </w:r>
      <w:r>
        <w:rPr>
          <w:rFonts w:hint="default" w:ascii="Times New Roman" w:hAnsi="Times New Roman" w:eastAsia="仿宋_GB2312" w:cs="Times New Roman"/>
          <w:sz w:val="32"/>
          <w:szCs w:val="32"/>
        </w:rPr>
        <w:t>反应比较强烈的问题；完成大型</w:t>
      </w:r>
      <w:r>
        <w:rPr>
          <w:rFonts w:hint="default" w:ascii="Times New Roman" w:hAnsi="Times New Roman" w:eastAsia="仿宋_GB2312" w:cs="Times New Roman"/>
          <w:sz w:val="32"/>
          <w:szCs w:val="32"/>
          <w:lang w:eastAsia="zh-CN"/>
        </w:rPr>
        <w:t>案件</w:t>
      </w:r>
      <w:r>
        <w:rPr>
          <w:rFonts w:hint="default" w:ascii="Times New Roman" w:hAnsi="Times New Roman" w:eastAsia="仿宋_GB2312" w:cs="Times New Roman"/>
          <w:sz w:val="32"/>
          <w:szCs w:val="32"/>
        </w:rPr>
        <w:t>的对外</w:t>
      </w:r>
      <w:r>
        <w:rPr>
          <w:rFonts w:hint="default" w:ascii="Times New Roman" w:hAnsi="Times New Roman" w:eastAsia="仿宋_GB2312" w:cs="Times New Roman"/>
          <w:sz w:val="32"/>
          <w:szCs w:val="32"/>
          <w:lang w:eastAsia="zh-CN"/>
        </w:rPr>
        <w:t>处理</w:t>
      </w:r>
      <w:r>
        <w:rPr>
          <w:rFonts w:hint="default" w:ascii="Times New Roman" w:hAnsi="Times New Roman" w:eastAsia="仿宋_GB2312" w:cs="Times New Roman"/>
          <w:sz w:val="32"/>
          <w:szCs w:val="32"/>
        </w:rPr>
        <w:t>任务。</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（二）目标质量完成情况</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根据年初目标任务，年底全面高质量超额完成各项目标任务。</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四、项目效益情况</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保障了中央、省、市维稳工作的有序开展，畅通老百姓信访渠道、宣传法律法规知识、及时处置突发性的</w:t>
      </w:r>
      <w:r>
        <w:rPr>
          <w:rFonts w:hint="eastAsia" w:eastAsia="仿宋_GB2312" w:cs="Times New Roman"/>
          <w:sz w:val="32"/>
          <w:szCs w:val="32"/>
          <w:lang w:eastAsia="zh-CN"/>
        </w:rPr>
        <w:t>集体上访案件。</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五、</w:t>
      </w:r>
      <w:r>
        <w:rPr>
          <w:rFonts w:hint="default" w:ascii="Times New Roman" w:hAnsi="Times New Roman" w:eastAsia="黑体" w:cs="Times New Roman"/>
          <w:b/>
          <w:bCs/>
          <w:sz w:val="32"/>
          <w:szCs w:val="32"/>
          <w:lang w:eastAsia="zh-CN"/>
        </w:rPr>
        <w:t>存在</w:t>
      </w:r>
      <w:r>
        <w:rPr>
          <w:rFonts w:hint="default" w:ascii="Times New Roman" w:hAnsi="Times New Roman" w:eastAsia="黑体" w:cs="Times New Roman"/>
          <w:b/>
          <w:bCs/>
          <w:sz w:val="32"/>
          <w:szCs w:val="32"/>
        </w:rPr>
        <w:t>问题及建议</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（一）存在问题</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由于资金的限制、</w:t>
      </w:r>
      <w:r>
        <w:rPr>
          <w:rFonts w:hint="default" w:ascii="Times New Roman" w:hAnsi="Times New Roman" w:eastAsia="仿宋_GB2312" w:cs="Times New Roman"/>
          <w:sz w:val="32"/>
          <w:szCs w:val="32"/>
          <w:lang w:eastAsia="zh-CN"/>
        </w:rPr>
        <w:t>解决信访</w:t>
      </w:r>
      <w:r>
        <w:rPr>
          <w:rFonts w:hint="default" w:ascii="Times New Roman" w:hAnsi="Times New Roman" w:eastAsia="仿宋_GB2312" w:cs="Times New Roman"/>
          <w:sz w:val="32"/>
          <w:szCs w:val="32"/>
        </w:rPr>
        <w:t>的形式比较单一，受众面小，影响力度不强。</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（二）相关建议。</w:t>
      </w:r>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建议适当调整资金额度，整合资源。强化专项资金的监督，要充分发挥审计等监督部门的作用，建立长期有效的专项资金监督管理新体系，确保专项资金用到实处，提高资金使用质量和效益，实现效益最大化。</w:t>
      </w:r>
    </w:p>
    <w:p>
      <w:pPr>
        <w:rPr>
          <w:rFonts w:hint="default" w:ascii="Times New Roman" w:hAnsi="Times New Roman" w:eastAsia="仿宋_GB2312" w:cs="Times New Roman"/>
          <w:sz w:val="32"/>
          <w:szCs w:val="32"/>
        </w:rPr>
      </w:pPr>
      <w:r>
        <w:br w:type="page"/>
      </w:r>
    </w:p>
    <w:p>
      <w:pPr>
        <w:pageBreakBefore w:val="0"/>
        <w:kinsoku/>
        <w:wordWrap/>
        <w:overflowPunct/>
        <w:topLinePunct w:val="0"/>
        <w:autoSpaceDE/>
        <w:autoSpaceDN/>
        <w:bidi w:val="0"/>
        <w:spacing w:line="560" w:lineRule="exact"/>
        <w:ind w:left="0" w:leftChars="0" w:right="0"/>
        <w:textAlignment w:val="auto"/>
        <w:outlineLvl w:val="1"/>
        <w:rPr>
          <w:rFonts w:hint="default" w:ascii="Times New Roman" w:hAnsi="Times New Roman" w:eastAsia="黑体" w:cs="Times New Roman"/>
          <w:sz w:val="32"/>
          <w:szCs w:val="32"/>
        </w:rPr>
      </w:pPr>
      <w:bookmarkStart w:id="102" w:name="_Toc10964"/>
      <w:bookmarkStart w:id="103" w:name="_Toc25300"/>
      <w:r>
        <w:rPr>
          <w:rFonts w:hint="default" w:ascii="Times New Roman" w:hAnsi="Times New Roman" w:eastAsia="黑体" w:cs="Times New Roman"/>
          <w:sz w:val="32"/>
          <w:szCs w:val="32"/>
        </w:rPr>
        <w:t>附件2</w:t>
      </w:r>
      <w:bookmarkEnd w:id="102"/>
      <w:bookmarkEnd w:id="103"/>
    </w:p>
    <w:p>
      <w:pPr>
        <w:pageBreakBefore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简体" w:cs="Times New Roman"/>
          <w:b/>
          <w:bCs/>
          <w:color w:val="000000"/>
          <w:spacing w:val="-17"/>
          <w:kern w:val="0"/>
          <w:sz w:val="44"/>
          <w:szCs w:val="44"/>
          <w:lang w:val="zh-CN"/>
        </w:rPr>
      </w:pPr>
      <w:r>
        <w:rPr>
          <w:rFonts w:hint="default" w:ascii="Times New Roman" w:hAnsi="Times New Roman" w:eastAsia="方正小标宋简体" w:cs="Times New Roman"/>
          <w:b/>
          <w:bCs/>
          <w:color w:val="000000"/>
          <w:spacing w:val="-17"/>
          <w:kern w:val="0"/>
          <w:sz w:val="44"/>
          <w:szCs w:val="44"/>
          <w:lang w:eastAsia="zh-CN"/>
        </w:rPr>
        <w:t>中央、省、市专项资金</w:t>
      </w:r>
      <w:r>
        <w:rPr>
          <w:rFonts w:hint="default" w:ascii="Times New Roman" w:hAnsi="Times New Roman" w:eastAsia="方正小标宋简体" w:cs="Times New Roman"/>
          <w:b/>
          <w:bCs/>
          <w:color w:val="000000"/>
          <w:spacing w:val="-17"/>
          <w:kern w:val="0"/>
          <w:sz w:val="44"/>
          <w:szCs w:val="44"/>
          <w:lang w:val="zh-CN"/>
        </w:rPr>
        <w:t>项目</w:t>
      </w:r>
      <w:r>
        <w:rPr>
          <w:rFonts w:hint="default" w:ascii="Times New Roman" w:hAnsi="Times New Roman" w:eastAsia="方正小标宋简体" w:cs="Times New Roman"/>
          <w:b/>
          <w:bCs/>
          <w:color w:val="000000"/>
          <w:spacing w:val="-17"/>
          <w:kern w:val="0"/>
          <w:sz w:val="44"/>
          <w:szCs w:val="44"/>
        </w:rPr>
        <w:t>20</w:t>
      </w:r>
      <w:r>
        <w:rPr>
          <w:rFonts w:hint="default" w:ascii="Times New Roman" w:hAnsi="Times New Roman" w:eastAsia="方正小标宋简体" w:cs="Times New Roman"/>
          <w:b/>
          <w:bCs/>
          <w:color w:val="000000"/>
          <w:spacing w:val="-17"/>
          <w:kern w:val="0"/>
          <w:sz w:val="44"/>
          <w:szCs w:val="44"/>
          <w:lang w:val="en-US" w:eastAsia="zh-CN"/>
        </w:rPr>
        <w:t>20</w:t>
      </w:r>
      <w:r>
        <w:rPr>
          <w:rFonts w:hint="default" w:ascii="Times New Roman" w:hAnsi="Times New Roman" w:eastAsia="方正小标宋简体" w:cs="Times New Roman"/>
          <w:b/>
          <w:bCs/>
          <w:color w:val="000000"/>
          <w:spacing w:val="-17"/>
          <w:kern w:val="0"/>
          <w:sz w:val="44"/>
          <w:szCs w:val="44"/>
        </w:rPr>
        <w:t>年</w:t>
      </w:r>
      <w:r>
        <w:rPr>
          <w:rFonts w:hint="default" w:ascii="Times New Roman" w:hAnsi="Times New Roman" w:eastAsia="方正小标宋简体" w:cs="Times New Roman"/>
          <w:b/>
          <w:bCs/>
          <w:color w:val="000000"/>
          <w:spacing w:val="-17"/>
          <w:kern w:val="0"/>
          <w:sz w:val="44"/>
          <w:szCs w:val="44"/>
          <w:lang w:val="zh-CN"/>
        </w:rPr>
        <w:t>绩效评价报告</w:t>
      </w:r>
    </w:p>
    <w:p>
      <w:pPr>
        <w:pageBreakBefore w:val="0"/>
        <w:kinsoku/>
        <w:wordWrap/>
        <w:overflowPunct/>
        <w:topLinePunct w:val="0"/>
        <w:autoSpaceDE/>
        <w:autoSpaceDN/>
        <w:bidi w:val="0"/>
        <w:spacing w:line="560" w:lineRule="exact"/>
        <w:ind w:left="0" w:leftChars="0" w:right="0"/>
        <w:textAlignment w:val="auto"/>
        <w:rPr>
          <w:rFonts w:hint="default" w:ascii="Times New Roman" w:hAnsi="Times New Roman" w:cs="Times New Roman"/>
          <w:sz w:val="32"/>
          <w:szCs w:val="32"/>
          <w:lang w:val="zh-CN"/>
        </w:rPr>
      </w:pPr>
    </w:p>
    <w:p>
      <w:pPr>
        <w:pageBreakBefore w:val="0"/>
        <w:numPr>
          <w:ilvl w:val="0"/>
          <w:numId w:val="1"/>
        </w:numPr>
        <w:kinsoku/>
        <w:wordWrap/>
        <w:overflowPunct/>
        <w:topLinePunct w:val="0"/>
        <w:autoSpaceDE/>
        <w:autoSpaceDN/>
        <w:bidi w:val="0"/>
        <w:spacing w:line="560" w:lineRule="exact"/>
        <w:ind w:left="0" w:leftChars="0" w:right="0" w:firstLine="643" w:firstLineChars="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绩效概况</w:t>
      </w:r>
    </w:p>
    <w:p>
      <w:pPr>
        <w:pageBreakBefore w:val="0"/>
        <w:kinsoku/>
        <w:wordWrap/>
        <w:overflowPunct/>
        <w:topLinePunct w:val="0"/>
        <w:autoSpaceDE/>
        <w:autoSpaceDN/>
        <w:bidi w:val="0"/>
        <w:spacing w:line="560" w:lineRule="exact"/>
        <w:ind w:left="0" w:leftChars="0" w:right="0" w:firstLine="729" w:firstLineChars="228"/>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着力满足群众的不同</w:t>
      </w:r>
      <w:r>
        <w:rPr>
          <w:rFonts w:hint="default" w:ascii="Times New Roman" w:hAnsi="Times New Roman" w:eastAsia="仿宋_GB2312" w:cs="Times New Roman"/>
          <w:sz w:val="32"/>
          <w:szCs w:val="32"/>
          <w:lang w:eastAsia="zh-CN"/>
        </w:rPr>
        <w:t>信访诉</w:t>
      </w:r>
      <w:r>
        <w:rPr>
          <w:rFonts w:hint="default" w:ascii="Times New Roman" w:hAnsi="Times New Roman" w:eastAsia="仿宋_GB2312" w:cs="Times New Roman"/>
          <w:sz w:val="32"/>
          <w:szCs w:val="32"/>
        </w:rPr>
        <w:t>求，保障群众基本权益，</w:t>
      </w:r>
      <w:r>
        <w:rPr>
          <w:rFonts w:hint="default" w:ascii="Times New Roman" w:hAnsi="Times New Roman" w:eastAsia="仿宋_GB2312" w:cs="Times New Roman"/>
          <w:b w:val="0"/>
          <w:bCs w:val="0"/>
          <w:sz w:val="32"/>
          <w:szCs w:val="32"/>
          <w:lang w:eastAsia="zh-CN"/>
        </w:rPr>
        <w:t>信访维稳工作正常开展，为规范加强信访事务经费的管理，信访事务的经费做到了专款专用，保障了信访工作的有序开展，降低了信访事件的发生率</w:t>
      </w:r>
      <w:r>
        <w:rPr>
          <w:rFonts w:hint="default" w:ascii="Times New Roman" w:hAnsi="Times New Roman" w:eastAsia="仿宋_GB2312" w:cs="Times New Roman"/>
          <w:sz w:val="32"/>
          <w:szCs w:val="32"/>
        </w:rPr>
        <w:t>。</w:t>
      </w:r>
    </w:p>
    <w:p>
      <w:pPr>
        <w:pageBreakBefore w:val="0"/>
        <w:numPr>
          <w:ilvl w:val="0"/>
          <w:numId w:val="1"/>
        </w:numPr>
        <w:kinsoku/>
        <w:wordWrap/>
        <w:overflowPunct/>
        <w:topLinePunct w:val="0"/>
        <w:autoSpaceDE/>
        <w:autoSpaceDN/>
        <w:bidi w:val="0"/>
        <w:spacing w:line="560" w:lineRule="exact"/>
        <w:ind w:left="0" w:leftChars="0" w:right="0" w:firstLine="643" w:firstLineChars="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资金使用情况</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（一）资金使用</w:t>
      </w:r>
    </w:p>
    <w:p>
      <w:pPr>
        <w:pageBreakBefore w:val="0"/>
        <w:kinsoku/>
        <w:wordWrap/>
        <w:overflowPunct/>
        <w:topLinePunct w:val="0"/>
        <w:autoSpaceDE/>
        <w:autoSpaceDN/>
        <w:bidi w:val="0"/>
        <w:spacing w:line="560" w:lineRule="exact"/>
        <w:ind w:left="0" w:leftChars="0" w:right="0" w:firstLine="729" w:firstLineChars="22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中央、省、市</w:t>
      </w:r>
      <w:r>
        <w:rPr>
          <w:rFonts w:hint="default" w:ascii="Times New Roman" w:hAnsi="Times New Roman" w:eastAsia="仿宋_GB2312" w:cs="Times New Roman"/>
          <w:sz w:val="32"/>
          <w:szCs w:val="32"/>
        </w:rPr>
        <w:t>专项经费</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用</w:t>
      </w:r>
      <w:r>
        <w:rPr>
          <w:rFonts w:hint="default" w:ascii="Times New Roman" w:hAnsi="Times New Roman" w:eastAsia="仿宋_GB2312" w:cs="Times New Roman"/>
          <w:sz w:val="32"/>
          <w:szCs w:val="32"/>
        </w:rPr>
        <w:t>于20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33次的到京、</w:t>
      </w:r>
      <w:r>
        <w:rPr>
          <w:rFonts w:hint="eastAsia" w:eastAsia="仿宋_GB2312" w:cs="Times New Roman"/>
          <w:sz w:val="32"/>
          <w:szCs w:val="32"/>
          <w:lang w:val="en-US" w:eastAsia="zh-CN"/>
        </w:rPr>
        <w:t>沪</w:t>
      </w:r>
      <w:r>
        <w:rPr>
          <w:rFonts w:hint="default" w:ascii="Times New Roman" w:hAnsi="Times New Roman" w:eastAsia="仿宋_GB2312" w:cs="Times New Roman"/>
          <w:sz w:val="32"/>
          <w:szCs w:val="32"/>
          <w:lang w:val="en-US" w:eastAsia="zh-CN"/>
        </w:rPr>
        <w:t>地方工作经费、信访业务知识是业务培训等</w:t>
      </w:r>
      <w:r>
        <w:rPr>
          <w:rFonts w:hint="default" w:ascii="Times New Roman" w:hAnsi="Times New Roman" w:eastAsia="仿宋_GB2312" w:cs="Times New Roman"/>
          <w:sz w:val="32"/>
          <w:szCs w:val="32"/>
        </w:rPr>
        <w:t>。</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（二）组织实施情况</w:t>
      </w:r>
    </w:p>
    <w:p>
      <w:pPr>
        <w:pageBreakBefore w:val="0"/>
        <w:kinsoku/>
        <w:wordWrap/>
        <w:overflowPunct/>
        <w:topLinePunct w:val="0"/>
        <w:autoSpaceDE/>
        <w:autoSpaceDN/>
        <w:bidi w:val="0"/>
        <w:spacing w:line="560" w:lineRule="exact"/>
        <w:ind w:left="0" w:leftChars="0" w:right="0" w:firstLine="729" w:firstLineChars="228"/>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信访维稳工作正常开展，为规范加强信访事务经费的管理，信访事务的经费做到了专款专用，保障了信访工作的有序开展，降低了信访事件的发生率。</w:t>
      </w:r>
    </w:p>
    <w:p>
      <w:pPr>
        <w:pageBreakBefore w:val="0"/>
        <w:kinsoku/>
        <w:wordWrap/>
        <w:overflowPunct/>
        <w:topLinePunct w:val="0"/>
        <w:autoSpaceDE/>
        <w:autoSpaceDN/>
        <w:bidi w:val="0"/>
        <w:spacing w:line="560" w:lineRule="exact"/>
        <w:ind w:right="0"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三、目标完成情况</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（一）目标任务量完成情况</w:t>
      </w:r>
    </w:p>
    <w:p>
      <w:pPr>
        <w:pageBreakBefore w:val="0"/>
        <w:kinsoku/>
        <w:wordWrap/>
        <w:overflowPunct/>
        <w:topLinePunct w:val="0"/>
        <w:autoSpaceDE/>
        <w:autoSpaceDN/>
        <w:bidi w:val="0"/>
        <w:spacing w:line="560" w:lineRule="exact"/>
        <w:ind w:left="0" w:leftChars="0" w:right="0" w:firstLine="729" w:firstLineChars="228"/>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2020年12月底前全面完成33次到京、</w:t>
      </w:r>
      <w:r>
        <w:rPr>
          <w:rFonts w:hint="eastAsia" w:eastAsia="仿宋_GB2312" w:cs="Times New Roman"/>
          <w:sz w:val="32"/>
          <w:szCs w:val="32"/>
          <w:lang w:val="en-US" w:eastAsia="zh-CN"/>
        </w:rPr>
        <w:t>沪</w:t>
      </w:r>
      <w:r>
        <w:rPr>
          <w:rFonts w:hint="default" w:ascii="Times New Roman" w:hAnsi="Times New Roman" w:eastAsia="仿宋_GB2312" w:cs="Times New Roman"/>
          <w:sz w:val="32"/>
          <w:szCs w:val="32"/>
          <w:lang w:val="en-US" w:eastAsia="zh-CN"/>
        </w:rPr>
        <w:t>等地方值班。</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目标质量完成情况</w:t>
      </w:r>
    </w:p>
    <w:p>
      <w:pPr>
        <w:pageBreakBefore w:val="0"/>
        <w:kinsoku/>
        <w:wordWrap/>
        <w:overflowPunct/>
        <w:topLinePunct w:val="0"/>
        <w:autoSpaceDE/>
        <w:autoSpaceDN/>
        <w:bidi w:val="0"/>
        <w:spacing w:line="560" w:lineRule="exact"/>
        <w:ind w:left="0" w:leftChars="0" w:right="0" w:firstLine="729" w:firstLineChars="228"/>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圆满完成目标任务，无任何信访事件发生。</w:t>
      </w:r>
    </w:p>
    <w:p>
      <w:pPr>
        <w:pageBreakBefore w:val="0"/>
        <w:numPr>
          <w:ilvl w:val="0"/>
          <w:numId w:val="2"/>
        </w:numPr>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目标进度完成情况</w:t>
      </w:r>
    </w:p>
    <w:p>
      <w:pPr>
        <w:pageBreakBefore w:val="0"/>
        <w:kinsoku/>
        <w:wordWrap/>
        <w:overflowPunct/>
        <w:topLinePunct w:val="0"/>
        <w:autoSpaceDE/>
        <w:autoSpaceDN/>
        <w:bidi w:val="0"/>
        <w:spacing w:line="560" w:lineRule="exact"/>
        <w:ind w:left="0" w:leftChars="0" w:right="0" w:firstLine="732" w:firstLineChars="228"/>
        <w:textAlignment w:val="auto"/>
        <w:rPr>
          <w:rFonts w:hint="default" w:ascii="Times New Roman" w:hAnsi="Times New Roman" w:eastAsia="楷体_GB2312" w:cs="Times New Roman"/>
          <w:sz w:val="32"/>
          <w:szCs w:val="32"/>
          <w:lang w:val="en-US" w:eastAsia="zh-CN"/>
        </w:rPr>
      </w:pPr>
      <w:r>
        <w:rPr>
          <w:rFonts w:hint="eastAsia" w:eastAsia="楷体_GB2312" w:cs="Times New Roman"/>
          <w:b/>
          <w:bCs/>
          <w:sz w:val="32"/>
          <w:szCs w:val="32"/>
          <w:lang w:val="en-US" w:eastAsia="zh-CN"/>
        </w:rPr>
        <w:t xml:space="preserve">      </w:t>
      </w:r>
      <w:r>
        <w:rPr>
          <w:rFonts w:hint="eastAsia" w:eastAsia="仿宋_GB2312" w:cs="Times New Roman"/>
          <w:sz w:val="32"/>
          <w:szCs w:val="32"/>
          <w:lang w:val="en-US" w:eastAsia="zh-CN"/>
        </w:rPr>
        <w:t>2020年底，各项目标任务圆满完成。</w:t>
      </w:r>
    </w:p>
    <w:p>
      <w:pPr>
        <w:pageBreakBefore w:val="0"/>
        <w:kinsoku/>
        <w:wordWrap/>
        <w:overflowPunct/>
        <w:topLinePunct w:val="0"/>
        <w:autoSpaceDE/>
        <w:autoSpaceDN/>
        <w:bidi w:val="0"/>
        <w:spacing w:line="560" w:lineRule="exact"/>
        <w:ind w:right="0" w:firstLine="321" w:firstLineChars="100"/>
        <w:textAlignment w:val="auto"/>
        <w:rPr>
          <w:rFonts w:hint="default" w:ascii="Times New Roman" w:hAnsi="Times New Roman" w:cs="Times New Roman"/>
          <w:sz w:val="28"/>
          <w:szCs w:val="28"/>
        </w:rPr>
      </w:pPr>
      <w:r>
        <w:rPr>
          <w:rFonts w:hint="default" w:ascii="Times New Roman" w:hAnsi="Times New Roman" w:eastAsia="黑体" w:cs="Times New Roman"/>
          <w:b/>
          <w:bCs/>
          <w:sz w:val="32"/>
          <w:szCs w:val="32"/>
        </w:rPr>
        <w:t>四、项目效益情况</w:t>
      </w:r>
    </w:p>
    <w:p>
      <w:pPr>
        <w:pageBreakBefore w:val="0"/>
        <w:kinsoku/>
        <w:wordWrap/>
        <w:overflowPunct/>
        <w:topLinePunct w:val="0"/>
        <w:autoSpaceDE/>
        <w:autoSpaceDN/>
        <w:bidi w:val="0"/>
        <w:spacing w:line="560" w:lineRule="exact"/>
        <w:ind w:left="0" w:leftChars="0" w:right="0" w:firstLine="732" w:firstLineChars="228"/>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项目实施的社会效益分析。</w:t>
      </w:r>
      <w:r>
        <w:rPr>
          <w:rFonts w:hint="default" w:ascii="Times New Roman" w:hAnsi="Times New Roman" w:eastAsia="仿宋_GB2312" w:cs="Times New Roman"/>
          <w:sz w:val="32"/>
          <w:szCs w:val="32"/>
        </w:rPr>
        <w:t>通过项目的实施，着力满足群众的不同</w:t>
      </w:r>
      <w:r>
        <w:rPr>
          <w:rFonts w:hint="default" w:ascii="Times New Roman" w:hAnsi="Times New Roman" w:eastAsia="仿宋_GB2312" w:cs="Times New Roman"/>
          <w:sz w:val="32"/>
          <w:szCs w:val="32"/>
          <w:lang w:eastAsia="zh-CN"/>
        </w:rPr>
        <w:t>信访诉</w:t>
      </w:r>
      <w:r>
        <w:rPr>
          <w:rFonts w:hint="default" w:ascii="Times New Roman" w:hAnsi="Times New Roman" w:eastAsia="仿宋_GB2312" w:cs="Times New Roman"/>
          <w:sz w:val="32"/>
          <w:szCs w:val="32"/>
        </w:rPr>
        <w:t>求，保障群众基本权益，加快提升群众</w:t>
      </w:r>
      <w:r>
        <w:rPr>
          <w:rFonts w:hint="default" w:ascii="Times New Roman" w:hAnsi="Times New Roman" w:eastAsia="仿宋_GB2312" w:cs="Times New Roman"/>
          <w:sz w:val="32"/>
          <w:szCs w:val="32"/>
          <w:lang w:eastAsia="zh-CN"/>
        </w:rPr>
        <w:t>问题诉求解决</w:t>
      </w:r>
      <w:r>
        <w:rPr>
          <w:rFonts w:hint="eastAsia" w:eastAsia="仿宋_GB2312" w:cs="Times New Roman"/>
          <w:sz w:val="32"/>
          <w:szCs w:val="32"/>
          <w:lang w:eastAsia="zh-CN"/>
        </w:rPr>
        <w:t>实效。</w:t>
      </w:r>
    </w:p>
    <w:p>
      <w:pPr>
        <w:pageBreakBefore w:val="0"/>
        <w:kinsoku/>
        <w:wordWrap/>
        <w:overflowPunct/>
        <w:topLinePunct w:val="0"/>
        <w:autoSpaceDE/>
        <w:autoSpaceDN/>
        <w:bidi w:val="0"/>
        <w:spacing w:line="560" w:lineRule="exact"/>
        <w:ind w:left="0" w:leftChars="0" w:right="0" w:firstLine="732" w:firstLineChars="228"/>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）运行保障效果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密切联系群众、服务群众情况，妥善处理群众信访来访，化解社会矛盾情况，加强正风行风建设、解决了损害群众利益。</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五、问题及建议</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（一）存在的问题</w:t>
      </w:r>
    </w:p>
    <w:p>
      <w:pPr>
        <w:pageBreakBefore w:val="0"/>
        <w:kinsoku/>
        <w:wordWrap/>
        <w:overflowPunct/>
        <w:topLinePunct w:val="0"/>
        <w:autoSpaceDE/>
        <w:autoSpaceDN/>
        <w:bidi w:val="0"/>
        <w:spacing w:line="560" w:lineRule="exact"/>
        <w:ind w:left="0" w:leftChars="0" w:right="0" w:firstLine="729" w:firstLineChars="228"/>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根据本次绩效评价情况，存在预算绩效申报时，对信访事务项目编制不够明细和精准。</w:t>
      </w:r>
    </w:p>
    <w:p>
      <w:pPr>
        <w:pageBreakBefore w:val="0"/>
        <w:kinsoku/>
        <w:wordWrap/>
        <w:overflowPunct/>
        <w:topLinePunct w:val="0"/>
        <w:autoSpaceDE/>
        <w:autoSpaceDN/>
        <w:bidi w:val="0"/>
        <w:spacing w:line="560" w:lineRule="exact"/>
        <w:ind w:left="0" w:leftChars="0" w:right="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（二）相关建议</w:t>
      </w:r>
    </w:p>
    <w:p>
      <w:pPr>
        <w:pageBreakBefore w:val="0"/>
        <w:kinsoku/>
        <w:wordWrap/>
        <w:overflowPunct/>
        <w:topLinePunct w:val="0"/>
        <w:autoSpaceDE/>
        <w:autoSpaceDN/>
        <w:bidi w:val="0"/>
        <w:spacing w:line="560" w:lineRule="exact"/>
        <w:ind w:left="0" w:leftChars="0" w:right="0" w:firstLine="729" w:firstLineChars="228"/>
        <w:textAlignment w:val="auto"/>
        <w:rPr>
          <w:rStyle w:val="25"/>
          <w:rFonts w:hint="default" w:ascii="Times New Roman" w:hAnsi="Times New Roman" w:eastAsia="黑体" w:cs="Times New Roman"/>
          <w:b w:val="0"/>
        </w:rPr>
      </w:pPr>
      <w:r>
        <w:rPr>
          <w:rFonts w:hint="default" w:ascii="Times New Roman" w:hAnsi="Times New Roman" w:eastAsia="仿宋_GB2312" w:cs="Times New Roman"/>
          <w:sz w:val="32"/>
          <w:szCs w:val="32"/>
        </w:rPr>
        <w:t>对预算绩效管理业务进行培训指导，提高预算绩效管理水平。</w:t>
      </w:r>
    </w:p>
    <w:p>
      <w:pPr>
        <w:pageBreakBefore w:val="0"/>
        <w:kinsoku/>
        <w:wordWrap/>
        <w:overflowPunct/>
        <w:topLinePunct w:val="0"/>
        <w:autoSpaceDE/>
        <w:autoSpaceDN/>
        <w:bidi w:val="0"/>
        <w:spacing w:line="560" w:lineRule="exact"/>
        <w:ind w:left="0" w:leftChars="0" w:right="0" w:firstLine="478" w:firstLineChars="228"/>
        <w:textAlignment w:val="auto"/>
        <w:rPr>
          <w:rStyle w:val="25"/>
          <w:rFonts w:hint="default" w:ascii="Times New Roman" w:hAnsi="Times New Roman" w:eastAsia="黑体" w:cs="Times New Roman"/>
          <w:b w:val="0"/>
        </w:rPr>
      </w:pPr>
      <w:r>
        <w:br w:type="page"/>
      </w:r>
    </w:p>
    <w:p>
      <w:pPr>
        <w:pageBreakBefore w:val="0"/>
        <w:kinsoku/>
        <w:wordWrap/>
        <w:overflowPunct/>
        <w:topLinePunct w:val="0"/>
        <w:autoSpaceDE/>
        <w:autoSpaceDN/>
        <w:bidi w:val="0"/>
        <w:spacing w:line="560" w:lineRule="exact"/>
        <w:ind w:left="0" w:leftChars="0" w:right="0"/>
        <w:jc w:val="center"/>
        <w:textAlignment w:val="auto"/>
        <w:outlineLvl w:val="0"/>
        <w:rPr>
          <w:rStyle w:val="25"/>
          <w:rFonts w:hint="default" w:ascii="Times New Roman" w:hAnsi="Times New Roman" w:eastAsia="方正小标宋简体" w:cs="Times New Roman"/>
          <w:b/>
          <w:bCs/>
        </w:rPr>
      </w:pPr>
      <w:bookmarkStart w:id="104" w:name="_Toc18972"/>
      <w:bookmarkStart w:id="105" w:name="_Toc21387"/>
      <w:bookmarkStart w:id="106" w:name="_Toc15396618"/>
      <w:r>
        <w:rPr>
          <w:rFonts w:hint="default" w:ascii="Times New Roman" w:hAnsi="Times New Roman" w:eastAsia="方正小标宋简体" w:cs="Times New Roman"/>
          <w:b/>
          <w:bCs/>
          <w:color w:val="000000"/>
          <w:sz w:val="44"/>
          <w:szCs w:val="44"/>
        </w:rPr>
        <w:t>第</w:t>
      </w:r>
      <w:r>
        <w:rPr>
          <w:rStyle w:val="25"/>
          <w:rFonts w:hint="default" w:ascii="Times New Roman" w:hAnsi="Times New Roman" w:eastAsia="方正小标宋简体" w:cs="Times New Roman"/>
          <w:b/>
          <w:bCs/>
        </w:rPr>
        <w:t>五部分</w:t>
      </w:r>
      <w:r>
        <w:rPr>
          <w:rStyle w:val="25"/>
          <w:rFonts w:hint="eastAsia" w:eastAsia="方正小标宋简体" w:cs="Times New Roman"/>
          <w:b/>
          <w:bCs/>
          <w:lang w:val="en-US" w:eastAsia="zh-CN"/>
        </w:rPr>
        <w:t xml:space="preserve"> </w:t>
      </w:r>
      <w:r>
        <w:rPr>
          <w:rStyle w:val="25"/>
          <w:rFonts w:hint="default" w:ascii="Times New Roman" w:hAnsi="Times New Roman" w:eastAsia="方正小标宋简体" w:cs="Times New Roman"/>
          <w:b/>
          <w:bCs/>
        </w:rPr>
        <w:t>附表</w:t>
      </w:r>
      <w:bookmarkEnd w:id="96"/>
      <w:bookmarkEnd w:id="104"/>
      <w:bookmarkEnd w:id="105"/>
      <w:bookmarkEnd w:id="106"/>
    </w:p>
    <w:p>
      <w:pPr>
        <w:pageBreakBefore w:val="0"/>
        <w:kinsoku/>
        <w:wordWrap/>
        <w:overflowPunct/>
        <w:topLinePunct w:val="0"/>
        <w:autoSpaceDE/>
        <w:autoSpaceDN/>
        <w:bidi w:val="0"/>
        <w:spacing w:line="560" w:lineRule="exact"/>
        <w:ind w:left="0" w:leftChars="0" w:right="0"/>
        <w:jc w:val="center"/>
        <w:textAlignment w:val="auto"/>
        <w:outlineLvl w:val="9"/>
        <w:rPr>
          <w:rFonts w:hint="default" w:ascii="Times New Roman" w:hAnsi="Times New Roman" w:eastAsia="仿宋" w:cs="Times New Roman"/>
          <w:b/>
          <w:color w:val="00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07" w:name="_Toc15396619"/>
      <w:r>
        <w:rPr>
          <w:rFonts w:hint="eastAsia" w:asciiTheme="minorEastAsia" w:hAnsiTheme="minorEastAsia" w:eastAsiaTheme="minorEastAsia" w:cstheme="minorEastAsia"/>
          <w:b w:val="0"/>
          <w:color w:val="000000"/>
          <w:sz w:val="32"/>
          <w:szCs w:val="32"/>
        </w:rPr>
        <w:t>一、收</w:t>
      </w:r>
      <w:r>
        <w:rPr>
          <w:rStyle w:val="26"/>
          <w:rFonts w:hint="eastAsia" w:asciiTheme="minorEastAsia" w:hAnsiTheme="minorEastAsia" w:eastAsiaTheme="minorEastAsia" w:cstheme="minorEastAsia"/>
          <w:b w:val="0"/>
          <w:bCs w:val="0"/>
          <w:sz w:val="32"/>
          <w:szCs w:val="32"/>
        </w:rPr>
        <w:t>入支出决算总表</w:t>
      </w:r>
      <w:bookmarkEnd w:id="107"/>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08" w:name="_Toc15396620"/>
      <w:r>
        <w:rPr>
          <w:rFonts w:hint="eastAsia" w:asciiTheme="minorEastAsia" w:hAnsiTheme="minorEastAsia" w:eastAsiaTheme="minorEastAsia" w:cstheme="minorEastAsia"/>
          <w:b w:val="0"/>
          <w:color w:val="000000"/>
          <w:sz w:val="32"/>
          <w:szCs w:val="32"/>
        </w:rPr>
        <w:t>二、收</w:t>
      </w:r>
      <w:r>
        <w:rPr>
          <w:rStyle w:val="26"/>
          <w:rFonts w:hint="eastAsia" w:asciiTheme="minorEastAsia" w:hAnsiTheme="minorEastAsia" w:eastAsiaTheme="minorEastAsia" w:cstheme="minorEastAsia"/>
          <w:b w:val="0"/>
          <w:bCs w:val="0"/>
          <w:sz w:val="32"/>
          <w:szCs w:val="32"/>
        </w:rPr>
        <w:t>入决算表</w:t>
      </w:r>
      <w:bookmarkEnd w:id="108"/>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09" w:name="_Toc508"/>
      <w:bookmarkStart w:id="110" w:name="_Toc6999"/>
      <w:bookmarkStart w:id="111" w:name="_Toc15396621"/>
      <w:r>
        <w:rPr>
          <w:rStyle w:val="26"/>
          <w:rFonts w:hint="eastAsia" w:asciiTheme="minorEastAsia" w:hAnsiTheme="minorEastAsia" w:eastAsiaTheme="minorEastAsia" w:cstheme="minorEastAsia"/>
          <w:b w:val="0"/>
          <w:bCs w:val="0"/>
          <w:sz w:val="32"/>
          <w:szCs w:val="32"/>
        </w:rPr>
        <w:t>三、</w:t>
      </w:r>
      <w:bookmarkEnd w:id="109"/>
      <w:bookmarkEnd w:id="110"/>
      <w:r>
        <w:rPr>
          <w:rFonts w:hint="eastAsia" w:asciiTheme="minorEastAsia" w:hAnsiTheme="minorEastAsia" w:eastAsiaTheme="minorEastAsia" w:cstheme="minorEastAsia"/>
          <w:b w:val="0"/>
          <w:color w:val="000000"/>
          <w:sz w:val="32"/>
          <w:szCs w:val="32"/>
        </w:rPr>
        <w:t>支</w:t>
      </w:r>
      <w:r>
        <w:rPr>
          <w:rStyle w:val="26"/>
          <w:rFonts w:hint="eastAsia" w:asciiTheme="minorEastAsia" w:hAnsiTheme="minorEastAsia" w:eastAsiaTheme="minorEastAsia" w:cstheme="minorEastAsia"/>
          <w:b w:val="0"/>
          <w:bCs w:val="0"/>
          <w:sz w:val="32"/>
          <w:szCs w:val="32"/>
        </w:rPr>
        <w:t>出决算表</w:t>
      </w:r>
      <w:bookmarkEnd w:id="111"/>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b w:val="0"/>
          <w:color w:val="000000"/>
          <w:sz w:val="32"/>
          <w:szCs w:val="32"/>
        </w:rPr>
      </w:pPr>
      <w:bookmarkStart w:id="112" w:name="_Toc22306"/>
      <w:bookmarkStart w:id="113" w:name="_Toc7246"/>
      <w:bookmarkStart w:id="114" w:name="_Toc15396622"/>
      <w:r>
        <w:rPr>
          <w:rStyle w:val="26"/>
          <w:rFonts w:hint="eastAsia" w:asciiTheme="minorEastAsia" w:hAnsiTheme="minorEastAsia" w:eastAsiaTheme="minorEastAsia" w:cstheme="minorEastAsia"/>
          <w:b w:val="0"/>
          <w:bCs w:val="0"/>
          <w:sz w:val="32"/>
          <w:szCs w:val="32"/>
        </w:rPr>
        <w:t>四、</w:t>
      </w:r>
      <w:bookmarkEnd w:id="112"/>
      <w:bookmarkEnd w:id="113"/>
      <w:r>
        <w:rPr>
          <w:rFonts w:hint="eastAsia" w:asciiTheme="minorEastAsia" w:hAnsiTheme="minorEastAsia" w:eastAsiaTheme="minorEastAsia" w:cstheme="minorEastAsia"/>
          <w:b w:val="0"/>
          <w:color w:val="000000"/>
          <w:sz w:val="32"/>
          <w:szCs w:val="32"/>
        </w:rPr>
        <w:t>财</w:t>
      </w:r>
      <w:r>
        <w:rPr>
          <w:rStyle w:val="26"/>
          <w:rFonts w:hint="eastAsia" w:asciiTheme="minorEastAsia" w:hAnsiTheme="minorEastAsia" w:eastAsiaTheme="minorEastAsia" w:cstheme="minorEastAsia"/>
          <w:b w:val="0"/>
          <w:bCs w:val="0"/>
          <w:sz w:val="32"/>
          <w:szCs w:val="32"/>
        </w:rPr>
        <w:t>政拨款收入支出决算总表</w:t>
      </w:r>
      <w:bookmarkEnd w:id="114"/>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Style w:val="26"/>
          <w:rFonts w:hint="eastAsia" w:asciiTheme="minorEastAsia" w:hAnsiTheme="minorEastAsia" w:eastAsiaTheme="minorEastAsia" w:cstheme="minorEastAsia"/>
          <w:b w:val="0"/>
          <w:bCs w:val="0"/>
          <w:sz w:val="32"/>
          <w:szCs w:val="32"/>
        </w:rPr>
      </w:pPr>
      <w:bookmarkStart w:id="115" w:name="_Toc30152"/>
      <w:bookmarkStart w:id="116" w:name="_Toc20367"/>
      <w:bookmarkStart w:id="117" w:name="_Toc15396623"/>
      <w:r>
        <w:rPr>
          <w:rStyle w:val="26"/>
          <w:rFonts w:hint="eastAsia" w:asciiTheme="minorEastAsia" w:hAnsiTheme="minorEastAsia" w:eastAsiaTheme="minorEastAsia" w:cstheme="minorEastAsia"/>
          <w:b w:val="0"/>
          <w:bCs w:val="0"/>
          <w:sz w:val="32"/>
          <w:szCs w:val="32"/>
        </w:rPr>
        <w:t>五、</w:t>
      </w:r>
      <w:bookmarkEnd w:id="115"/>
      <w:bookmarkEnd w:id="116"/>
      <w:r>
        <w:rPr>
          <w:rFonts w:hint="eastAsia" w:asciiTheme="minorEastAsia" w:hAnsiTheme="minorEastAsia" w:eastAsiaTheme="minorEastAsia" w:cstheme="minorEastAsia"/>
          <w:b w:val="0"/>
          <w:color w:val="000000"/>
          <w:sz w:val="32"/>
          <w:szCs w:val="32"/>
        </w:rPr>
        <w:t>财</w:t>
      </w:r>
      <w:r>
        <w:rPr>
          <w:rStyle w:val="26"/>
          <w:rFonts w:hint="eastAsia" w:asciiTheme="minorEastAsia" w:hAnsiTheme="minorEastAsia" w:eastAsiaTheme="minorEastAsia" w:cstheme="minorEastAsia"/>
          <w:b w:val="0"/>
          <w:bCs w:val="0"/>
          <w:sz w:val="32"/>
          <w:szCs w:val="32"/>
        </w:rPr>
        <w:t>政拨款支出决算明细表</w:t>
      </w:r>
      <w:bookmarkEnd w:id="117"/>
      <w:bookmarkStart w:id="118" w:name="_Toc15396624"/>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19" w:name="_Toc25577"/>
      <w:bookmarkStart w:id="120" w:name="_Toc29724"/>
      <w:r>
        <w:rPr>
          <w:rStyle w:val="26"/>
          <w:rFonts w:hint="eastAsia" w:asciiTheme="minorEastAsia" w:hAnsiTheme="minorEastAsia" w:eastAsiaTheme="minorEastAsia" w:cstheme="minorEastAsia"/>
          <w:b w:val="0"/>
          <w:bCs w:val="0"/>
          <w:sz w:val="32"/>
          <w:szCs w:val="32"/>
        </w:rPr>
        <w:t>六、</w:t>
      </w:r>
      <w:bookmarkEnd w:id="119"/>
      <w:bookmarkEnd w:id="120"/>
      <w:r>
        <w:rPr>
          <w:rFonts w:hint="eastAsia" w:asciiTheme="minorEastAsia" w:hAnsiTheme="minorEastAsia" w:eastAsiaTheme="minorEastAsia" w:cstheme="minorEastAsia"/>
          <w:b w:val="0"/>
          <w:color w:val="000000"/>
          <w:sz w:val="32"/>
          <w:szCs w:val="32"/>
        </w:rPr>
        <w:t>一</w:t>
      </w:r>
      <w:r>
        <w:rPr>
          <w:rStyle w:val="26"/>
          <w:rFonts w:hint="eastAsia" w:asciiTheme="minorEastAsia" w:hAnsiTheme="minorEastAsia" w:eastAsiaTheme="minorEastAsia" w:cstheme="minorEastAsia"/>
          <w:b w:val="0"/>
          <w:bCs w:val="0"/>
          <w:sz w:val="32"/>
          <w:szCs w:val="32"/>
        </w:rPr>
        <w:t>般</w:t>
      </w:r>
      <w:r>
        <w:rPr>
          <w:rFonts w:hint="eastAsia" w:asciiTheme="minorEastAsia" w:hAnsiTheme="minorEastAsia" w:eastAsiaTheme="minorEastAsia" w:cstheme="minorEastAsia"/>
          <w:b w:val="0"/>
          <w:bCs w:val="0"/>
          <w:sz w:val="32"/>
          <w:szCs w:val="32"/>
        </w:rPr>
        <w:t>公共预算财政拨款支出决算表</w:t>
      </w:r>
      <w:bookmarkEnd w:id="118"/>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21" w:name="_Toc15047"/>
      <w:bookmarkStart w:id="122" w:name="_Toc15529"/>
      <w:bookmarkStart w:id="123" w:name="_Toc15396625"/>
      <w:r>
        <w:rPr>
          <w:rStyle w:val="26"/>
          <w:rFonts w:hint="eastAsia" w:asciiTheme="minorEastAsia" w:hAnsiTheme="minorEastAsia" w:eastAsiaTheme="minorEastAsia" w:cstheme="minorEastAsia"/>
          <w:b w:val="0"/>
          <w:bCs w:val="0"/>
          <w:sz w:val="32"/>
          <w:szCs w:val="32"/>
        </w:rPr>
        <w:t>七、</w:t>
      </w:r>
      <w:bookmarkEnd w:id="121"/>
      <w:bookmarkEnd w:id="122"/>
      <w:r>
        <w:rPr>
          <w:rFonts w:hint="eastAsia" w:asciiTheme="minorEastAsia" w:hAnsiTheme="minorEastAsia" w:eastAsiaTheme="minorEastAsia" w:cstheme="minorEastAsia"/>
          <w:b w:val="0"/>
          <w:color w:val="000000"/>
          <w:sz w:val="32"/>
          <w:szCs w:val="32"/>
        </w:rPr>
        <w:t>一</w:t>
      </w:r>
      <w:r>
        <w:rPr>
          <w:rStyle w:val="26"/>
          <w:rFonts w:hint="eastAsia" w:asciiTheme="minorEastAsia" w:hAnsiTheme="minorEastAsia" w:eastAsiaTheme="minorEastAsia" w:cstheme="minorEastAsia"/>
          <w:b w:val="0"/>
          <w:bCs w:val="0"/>
          <w:sz w:val="32"/>
          <w:szCs w:val="32"/>
        </w:rPr>
        <w:t>般</w:t>
      </w:r>
      <w:r>
        <w:rPr>
          <w:rFonts w:hint="eastAsia" w:asciiTheme="minorEastAsia" w:hAnsiTheme="minorEastAsia" w:eastAsiaTheme="minorEastAsia" w:cstheme="minorEastAsia"/>
          <w:b w:val="0"/>
          <w:bCs w:val="0"/>
          <w:sz w:val="32"/>
          <w:szCs w:val="32"/>
        </w:rPr>
        <w:t>公共预算财政拨款支出决算明细表</w:t>
      </w:r>
      <w:bookmarkEnd w:id="123"/>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24" w:name="_Toc24474"/>
      <w:bookmarkStart w:id="125" w:name="_Toc24918"/>
      <w:bookmarkStart w:id="126" w:name="_Toc15396626"/>
      <w:r>
        <w:rPr>
          <w:rStyle w:val="26"/>
          <w:rFonts w:hint="eastAsia" w:asciiTheme="minorEastAsia" w:hAnsiTheme="minorEastAsia" w:eastAsiaTheme="minorEastAsia" w:cstheme="minorEastAsia"/>
          <w:b w:val="0"/>
          <w:bCs w:val="0"/>
          <w:sz w:val="32"/>
          <w:szCs w:val="32"/>
        </w:rPr>
        <w:t>八、</w:t>
      </w:r>
      <w:bookmarkEnd w:id="124"/>
      <w:bookmarkEnd w:id="125"/>
      <w:r>
        <w:rPr>
          <w:rFonts w:hint="eastAsia" w:asciiTheme="minorEastAsia" w:hAnsiTheme="minorEastAsia" w:eastAsiaTheme="minorEastAsia" w:cstheme="minorEastAsia"/>
          <w:b w:val="0"/>
          <w:color w:val="000000"/>
          <w:sz w:val="32"/>
          <w:szCs w:val="32"/>
        </w:rPr>
        <w:t>一</w:t>
      </w:r>
      <w:r>
        <w:rPr>
          <w:rStyle w:val="26"/>
          <w:rFonts w:hint="eastAsia" w:asciiTheme="minorEastAsia" w:hAnsiTheme="minorEastAsia" w:eastAsiaTheme="minorEastAsia" w:cstheme="minorEastAsia"/>
          <w:b w:val="0"/>
          <w:bCs w:val="0"/>
          <w:sz w:val="32"/>
          <w:szCs w:val="32"/>
        </w:rPr>
        <w:t>般</w:t>
      </w:r>
      <w:r>
        <w:rPr>
          <w:rFonts w:hint="eastAsia" w:asciiTheme="minorEastAsia" w:hAnsiTheme="minorEastAsia" w:eastAsiaTheme="minorEastAsia" w:cstheme="minorEastAsia"/>
          <w:b w:val="0"/>
          <w:bCs w:val="0"/>
          <w:sz w:val="32"/>
          <w:szCs w:val="32"/>
        </w:rPr>
        <w:t>公共预算财政拨款基本支出决算表</w:t>
      </w:r>
      <w:bookmarkEnd w:id="126"/>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27" w:name="_Toc3406"/>
      <w:bookmarkStart w:id="128" w:name="_Toc21887"/>
      <w:bookmarkStart w:id="129" w:name="_Toc15396627"/>
      <w:r>
        <w:rPr>
          <w:rStyle w:val="26"/>
          <w:rFonts w:hint="eastAsia" w:asciiTheme="minorEastAsia" w:hAnsiTheme="minorEastAsia" w:eastAsiaTheme="minorEastAsia" w:cstheme="minorEastAsia"/>
          <w:b w:val="0"/>
          <w:bCs w:val="0"/>
          <w:sz w:val="32"/>
          <w:szCs w:val="32"/>
        </w:rPr>
        <w:t>九、</w:t>
      </w:r>
      <w:bookmarkEnd w:id="127"/>
      <w:bookmarkEnd w:id="128"/>
      <w:r>
        <w:rPr>
          <w:rFonts w:hint="eastAsia" w:asciiTheme="minorEastAsia" w:hAnsiTheme="minorEastAsia" w:eastAsiaTheme="minorEastAsia" w:cstheme="minorEastAsia"/>
          <w:b w:val="0"/>
          <w:color w:val="000000"/>
          <w:sz w:val="32"/>
          <w:szCs w:val="32"/>
        </w:rPr>
        <w:t>一</w:t>
      </w:r>
      <w:r>
        <w:rPr>
          <w:rStyle w:val="26"/>
          <w:rFonts w:hint="eastAsia" w:asciiTheme="minorEastAsia" w:hAnsiTheme="minorEastAsia" w:eastAsiaTheme="minorEastAsia" w:cstheme="minorEastAsia"/>
          <w:b w:val="0"/>
          <w:bCs w:val="0"/>
          <w:sz w:val="32"/>
          <w:szCs w:val="32"/>
        </w:rPr>
        <w:t>般</w:t>
      </w:r>
      <w:r>
        <w:rPr>
          <w:rFonts w:hint="eastAsia" w:asciiTheme="minorEastAsia" w:hAnsiTheme="minorEastAsia" w:eastAsiaTheme="minorEastAsia" w:cstheme="minorEastAsia"/>
          <w:b w:val="0"/>
          <w:bCs w:val="0"/>
          <w:sz w:val="32"/>
          <w:szCs w:val="32"/>
        </w:rPr>
        <w:t>公共预算财政拨款项目支出决算表</w:t>
      </w:r>
      <w:bookmarkEnd w:id="129"/>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30" w:name="_Toc9817"/>
      <w:bookmarkStart w:id="131" w:name="_Toc31461"/>
      <w:bookmarkStart w:id="132" w:name="_Toc15396628"/>
      <w:r>
        <w:rPr>
          <w:rStyle w:val="26"/>
          <w:rFonts w:hint="eastAsia" w:asciiTheme="minorEastAsia" w:hAnsiTheme="minorEastAsia" w:eastAsiaTheme="minorEastAsia" w:cstheme="minorEastAsia"/>
          <w:b w:val="0"/>
          <w:bCs w:val="0"/>
          <w:sz w:val="32"/>
          <w:szCs w:val="32"/>
        </w:rPr>
        <w:t>十、</w:t>
      </w:r>
      <w:bookmarkEnd w:id="130"/>
      <w:bookmarkEnd w:id="131"/>
      <w:r>
        <w:rPr>
          <w:rFonts w:hint="eastAsia" w:asciiTheme="minorEastAsia" w:hAnsiTheme="minorEastAsia" w:eastAsiaTheme="minorEastAsia" w:cstheme="minorEastAsia"/>
          <w:b w:val="0"/>
          <w:color w:val="000000"/>
          <w:sz w:val="32"/>
          <w:szCs w:val="32"/>
        </w:rPr>
        <w:t>一</w:t>
      </w:r>
      <w:r>
        <w:rPr>
          <w:rStyle w:val="26"/>
          <w:rFonts w:hint="eastAsia" w:asciiTheme="minorEastAsia" w:hAnsiTheme="minorEastAsia" w:eastAsiaTheme="minorEastAsia" w:cstheme="minorEastAsia"/>
          <w:b w:val="0"/>
          <w:bCs w:val="0"/>
          <w:sz w:val="32"/>
          <w:szCs w:val="32"/>
        </w:rPr>
        <w:t>般</w:t>
      </w:r>
      <w:r>
        <w:rPr>
          <w:rFonts w:hint="eastAsia" w:asciiTheme="minorEastAsia" w:hAnsiTheme="minorEastAsia" w:eastAsiaTheme="minorEastAsia" w:cstheme="minorEastAsia"/>
          <w:b w:val="0"/>
          <w:bCs w:val="0"/>
          <w:sz w:val="32"/>
          <w:szCs w:val="32"/>
        </w:rPr>
        <w:t>公共预算财政拨款“三公”经费支出决算表</w:t>
      </w:r>
      <w:bookmarkEnd w:id="132"/>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33" w:name="_Toc20659"/>
      <w:bookmarkStart w:id="134" w:name="_Toc19390"/>
      <w:bookmarkStart w:id="135" w:name="_Toc15396629"/>
      <w:r>
        <w:rPr>
          <w:rStyle w:val="26"/>
          <w:rFonts w:hint="eastAsia" w:asciiTheme="minorEastAsia" w:hAnsiTheme="minorEastAsia" w:eastAsiaTheme="minorEastAsia" w:cstheme="minorEastAsia"/>
          <w:b w:val="0"/>
          <w:bCs w:val="0"/>
          <w:sz w:val="32"/>
          <w:szCs w:val="32"/>
        </w:rPr>
        <w:t>十一、</w:t>
      </w:r>
      <w:bookmarkEnd w:id="133"/>
      <w:bookmarkEnd w:id="134"/>
      <w:r>
        <w:rPr>
          <w:rFonts w:hint="eastAsia" w:asciiTheme="minorEastAsia" w:hAnsiTheme="minorEastAsia" w:eastAsiaTheme="minorEastAsia" w:cstheme="minorEastAsia"/>
          <w:b w:val="0"/>
          <w:color w:val="000000"/>
          <w:sz w:val="32"/>
          <w:szCs w:val="32"/>
        </w:rPr>
        <w:t>政</w:t>
      </w:r>
      <w:r>
        <w:rPr>
          <w:rStyle w:val="26"/>
          <w:rFonts w:hint="eastAsia" w:asciiTheme="minorEastAsia" w:hAnsiTheme="minorEastAsia" w:eastAsiaTheme="minorEastAsia" w:cstheme="minorEastAsia"/>
          <w:b w:val="0"/>
          <w:bCs w:val="0"/>
          <w:sz w:val="32"/>
          <w:szCs w:val="32"/>
        </w:rPr>
        <w:t>府性基金预算财政拨款收入支出决算表</w:t>
      </w:r>
      <w:bookmarkEnd w:id="135"/>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sz w:val="32"/>
          <w:szCs w:val="32"/>
        </w:rPr>
      </w:pPr>
      <w:bookmarkStart w:id="136" w:name="_Toc7518"/>
      <w:bookmarkStart w:id="137" w:name="_Toc517"/>
      <w:bookmarkStart w:id="138" w:name="_Toc15396630"/>
      <w:r>
        <w:rPr>
          <w:rStyle w:val="26"/>
          <w:rFonts w:hint="eastAsia" w:asciiTheme="minorEastAsia" w:hAnsiTheme="minorEastAsia" w:eastAsiaTheme="minorEastAsia" w:cstheme="minorEastAsia"/>
          <w:b w:val="0"/>
          <w:bCs w:val="0"/>
          <w:sz w:val="32"/>
          <w:szCs w:val="32"/>
        </w:rPr>
        <w:t>十二、</w:t>
      </w:r>
      <w:bookmarkEnd w:id="136"/>
      <w:bookmarkEnd w:id="137"/>
      <w:r>
        <w:rPr>
          <w:rFonts w:hint="eastAsia" w:asciiTheme="minorEastAsia" w:hAnsiTheme="minorEastAsia" w:eastAsiaTheme="minorEastAsia" w:cstheme="minorEastAsia"/>
          <w:b w:val="0"/>
          <w:color w:val="000000"/>
          <w:sz w:val="32"/>
          <w:szCs w:val="32"/>
        </w:rPr>
        <w:t>政</w:t>
      </w:r>
      <w:r>
        <w:rPr>
          <w:rStyle w:val="26"/>
          <w:rFonts w:hint="eastAsia" w:asciiTheme="minorEastAsia" w:hAnsiTheme="minorEastAsia" w:eastAsiaTheme="minorEastAsia" w:cstheme="minorEastAsia"/>
          <w:b w:val="0"/>
          <w:bCs w:val="0"/>
          <w:sz w:val="32"/>
          <w:szCs w:val="32"/>
        </w:rPr>
        <w:t>府性基金预算财政拨款“三公”经费支出决算表</w:t>
      </w:r>
      <w:bookmarkEnd w:id="138"/>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heme="minorEastAsia" w:hAnsiTheme="minorEastAsia" w:eastAsiaTheme="minorEastAsia" w:cstheme="minorEastAsia"/>
          <w:color w:val="000000" w:themeColor="text1"/>
          <w:sz w:val="32"/>
          <w:szCs w:val="32"/>
        </w:rPr>
      </w:pPr>
      <w:bookmarkStart w:id="139" w:name="_Toc4007"/>
      <w:bookmarkStart w:id="140" w:name="_Toc24811"/>
      <w:bookmarkStart w:id="141" w:name="_Toc15396631"/>
      <w:r>
        <w:rPr>
          <w:rStyle w:val="26"/>
          <w:rFonts w:hint="eastAsia" w:asciiTheme="minorEastAsia" w:hAnsiTheme="minorEastAsia" w:eastAsiaTheme="minorEastAsia" w:cstheme="minorEastAsia"/>
          <w:b w:val="0"/>
          <w:bCs w:val="0"/>
          <w:sz w:val="32"/>
          <w:szCs w:val="32"/>
        </w:rPr>
        <w:t>十三、</w:t>
      </w:r>
      <w:bookmarkEnd w:id="139"/>
      <w:bookmarkEnd w:id="140"/>
      <w:r>
        <w:rPr>
          <w:rFonts w:hint="eastAsia" w:asciiTheme="minorEastAsia" w:hAnsiTheme="minorEastAsia" w:eastAsiaTheme="minorEastAsia" w:cstheme="minorEastAsia"/>
          <w:b w:val="0"/>
          <w:color w:val="000000"/>
          <w:sz w:val="32"/>
          <w:szCs w:val="32"/>
        </w:rPr>
        <w:t>国</w:t>
      </w:r>
      <w:r>
        <w:rPr>
          <w:rStyle w:val="26"/>
          <w:rFonts w:hint="eastAsia" w:asciiTheme="minorEastAsia" w:hAnsiTheme="minorEastAsia" w:eastAsiaTheme="minorEastAsia" w:cstheme="minorEastAsia"/>
          <w:b w:val="0"/>
          <w:bCs w:val="0"/>
          <w:sz w:val="32"/>
          <w:szCs w:val="32"/>
        </w:rPr>
        <w:t>有资本经营预算支出决算表</w:t>
      </w:r>
      <w:bookmarkEnd w:id="141"/>
    </w:p>
    <w:sectPr>
      <w:footerReference r:id="rId6" w:type="first"/>
      <w:footerReference r:id="rId5"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49" o:spid="_x0000_s2049" o:spt="202" type="#_x0000_t202" style="position:absolute;left:0pt;margin-top:0pt;height:144pt;width:144pt;mso-position-horizontal:inside;mso-position-horizontal-relative:margin;mso-wrap-style:none;z-index:251664384;mso-width-relative:page;mso-height-relative:page;" filled="f" stroked="f" coordsize="21600,21600">
          <v:path/>
          <v:fill on="f" focussize="0,0"/>
          <v:stroke on="f"/>
          <v:imagedata o:title=""/>
          <o:lock v:ext="edit"/>
          <v:textbox inset="0mm,0mm,0mm,0mm" style="mso-fit-shape-to-text:t;">
            <w:txbxContent>
              <w:p>
                <w:pPr>
                  <w:pStyle w:val="8"/>
                  <w:rPr>
                    <w:rFonts w:hint="eastAsia" w:eastAsia="宋体"/>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inside;mso-position-horizontal-relative:margin;mso-wrap-style:none;z-index:251665408;mso-width-relative:page;mso-height-relative:page;" filled="f" stroked="f" coordsize="21600,21600">
          <v:path/>
          <v:fill on="f" focussize="0,0"/>
          <v:stroke on="f"/>
          <v:imagedata o:title=""/>
          <o:lock v:ext="edit"/>
          <v:textbox inset="0mm,0mm,0mm,0mm" style="mso-fit-shape-to-text:t;">
            <w:txbxContent>
              <w:p>
                <w:pPr>
                  <w:pStyle w:val="8"/>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4C661"/>
    <w:multiLevelType w:val="singleLevel"/>
    <w:tmpl w:val="AC84C661"/>
    <w:lvl w:ilvl="0" w:tentative="0">
      <w:start w:val="3"/>
      <w:numFmt w:val="chineseCounting"/>
      <w:suff w:val="nothing"/>
      <w:lvlText w:val="（%1）"/>
      <w:lvlJc w:val="left"/>
      <w:rPr>
        <w:rFonts w:hint="eastAsia"/>
      </w:rPr>
    </w:lvl>
  </w:abstractNum>
  <w:abstractNum w:abstractNumId="1">
    <w:nsid w:val="0053208E"/>
    <w:multiLevelType w:val="singleLevel"/>
    <w:tmpl w:val="0053208E"/>
    <w:lvl w:ilvl="0" w:tentative="0">
      <w:start w:val="1"/>
      <w:numFmt w:val="chineseCounting"/>
      <w:suff w:val="nothing"/>
      <w:lvlText w:val="%1、"/>
      <w:lvlJc w:val="left"/>
      <w:pPr>
        <w:ind w:left="-1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NotTrackMoves/>
  <w:documentProtection w:edit="trackedChanges"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F192F46"/>
    <w:rsid w:val="126447B6"/>
    <w:rsid w:val="14CE32E3"/>
    <w:rsid w:val="1CC22263"/>
    <w:rsid w:val="2DB029CB"/>
    <w:rsid w:val="2EE267F6"/>
    <w:rsid w:val="3A931F45"/>
    <w:rsid w:val="413E282B"/>
    <w:rsid w:val="4A750AC7"/>
    <w:rsid w:val="4B1007EF"/>
    <w:rsid w:val="583B7B0E"/>
    <w:rsid w:val="58EE285F"/>
    <w:rsid w:val="72B43371"/>
    <w:rsid w:val="741763FA"/>
    <w:rsid w:val="74CA3510"/>
    <w:rsid w:val="75320221"/>
    <w:rsid w:val="7A5D47DC"/>
    <w:rsid w:val="7CBF250B"/>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semiHidden/>
    <w:unhideWhenUsed/>
    <w:qFormat/>
    <w:uiPriority w:val="99"/>
    <w:rPr>
      <w:sz w:val="18"/>
      <w:szCs w:val="18"/>
    </w:rPr>
  </w:style>
  <w:style w:type="paragraph" w:styleId="8">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sz="160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2020</a:t>
            </a:r>
            <a:r>
              <a:rPr altLang="en-US" sz="160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年度收支总体情况图</a:t>
            </a:r>
            <a:endParaRPr altLang="en-US" sz="160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Sheet1!$A$1</c:f>
              <c:strCache>
                <c:ptCount val="1"/>
                <c:pt idx="0">
                  <c:v>2019年</c:v>
                </c:pt>
              </c:strCache>
            </c:strRef>
          </c:tx>
          <c:spPr>
            <a:solidFill>
              <a:schemeClr val="accent1"/>
            </a:solidFill>
            <a:ln>
              <a:noFill/>
            </a:ln>
            <a:effectLst/>
          </c:spPr>
          <c:invertIfNegative val="0"/>
          <c:dLbls>
            <c:delete val="1"/>
          </c:dLbls>
          <c:cat>
            <c:numRef>
              <c:f>Sheet1!#REF!</c:f>
              <c:numCache>
                <c:ptCount val="0"/>
              </c:numCache>
            </c:numRef>
          </c:cat>
          <c:val>
            <c:numRef>
              <c:f>Sheet1!$A$2:$A$3</c:f>
              <c:numCache>
                <c:formatCode>General</c:formatCode>
                <c:ptCount val="2"/>
                <c:pt idx="0">
                  <c:v>345.41</c:v>
                </c:pt>
              </c:numCache>
            </c:numRef>
          </c:val>
        </c:ser>
        <c:ser>
          <c:idx val="1"/>
          <c:order val="1"/>
          <c:tx>
            <c:strRef>
              <c:f>Sheet1!$B$1</c:f>
              <c:strCache>
                <c:ptCount val="1"/>
                <c:pt idx="0">
                  <c:v>2020年</c:v>
                </c:pt>
              </c:strCache>
            </c:strRef>
          </c:tx>
          <c:spPr>
            <a:solidFill>
              <a:schemeClr val="accent2"/>
            </a:solidFill>
            <a:ln>
              <a:noFill/>
            </a:ln>
            <a:effectLst/>
          </c:spPr>
          <c:invertIfNegative val="0"/>
          <c:dLbls>
            <c:delete val="1"/>
          </c:dLbls>
          <c:cat>
            <c:numRef>
              <c:f>Sheet1!#REF!</c:f>
              <c:numCache>
                <c:ptCount val="0"/>
              </c:numCache>
            </c:numRef>
          </c:cat>
          <c:val>
            <c:numRef>
              <c:f>Sheet1!$B$2:$B$3</c:f>
              <c:numCache>
                <c:formatCode>General</c:formatCode>
                <c:ptCount val="2"/>
                <c:pt idx="0">
                  <c:v>444.44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Sheet1!#REF!</c:f>
              <c:numCache>
                <c:ptCount val="0"/>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72264255"/>
        <c:axId val="639009506"/>
      </c:barChart>
      <c:catAx>
        <c:axId val="172264255"/>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009506"/>
        <c:crosses val="autoZero"/>
        <c:auto val="1"/>
        <c:lblAlgn val="ctr"/>
        <c:lblOffset val="100"/>
        <c:noMultiLvlLbl val="0"/>
      </c:catAx>
      <c:valAx>
        <c:axId val="63900950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72264255"/>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2"/>
        <c:delete val="1"/>
      </c:legendEntry>
      <c:layout/>
      <c:overlay val="0"/>
      <c:spPr>
        <a:noFill/>
        <a:ln>
          <a:noFill/>
        </a:ln>
        <a:effectLst/>
      </c:spPr>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r>
              <a:rPr sz="1400">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一般公共预算财政拨款收入</a:t>
            </a:r>
            <a:endParaRPr sz="1400">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overlay val="0"/>
      <c:spPr>
        <a:noFill/>
        <a:ln>
          <a:noFill/>
        </a:ln>
        <a:effectLst/>
      </c:spPr>
    </c:title>
    <c:autoTitleDeleted val="0"/>
    <c:plotArea>
      <c:layout/>
      <c:pieChart>
        <c:varyColors val="1"/>
        <c:ser>
          <c:idx val="0"/>
          <c:order val="0"/>
          <c:tx>
            <c:strRef>
              <c:f>Sheet1!$B$1</c:f>
              <c:strCache>
                <c:ptCount val="1"/>
                <c:pt idx="0">
                  <c:v>一般公共预算财政拨款收入</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2019年度收入</c:v>
                </c:pt>
              </c:strCache>
            </c:strRef>
          </c:cat>
          <c:val>
            <c:numRef>
              <c:f>Sheet1!$B$2</c:f>
              <c:numCache>
                <c:formatCode>General</c:formatCode>
                <c:ptCount val="1"/>
                <c:pt idx="0">
                  <c:v>345.41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65000"/>
                      <a:lumOff val="35000"/>
                    </a:schemeClr>
                  </a:solidFill>
                </a:u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manualLayout>
          <c:xMode val="edge"/>
          <c:yMode val="edge"/>
          <c:x val="0.346534653465347"/>
          <c:y val="0.859479700433583"/>
        </c:manualLayout>
      </c:layout>
      <c:overlay val="0"/>
      <c:spPr>
        <a:noFill/>
        <a:ln>
          <a:noFill/>
        </a:ln>
        <a:effectLst/>
      </c:spPr>
      <c:txPr>
        <a:bodyPr rot="0" spcFirstLastPara="0" vertOverflow="ellipsis" vert="horz" wrap="square" anchor="ctr" anchorCtr="1"/>
        <a:lstStyle/>
        <a:p>
          <a:pPr>
            <a:defRPr lang="zh-CN" sz="1400" b="0" i="0" u="none" strike="noStrike" kern="1200" cap="none" spc="0" normalizeH="0" baseline="0">
              <a:solidFill>
                <a:schemeClr val="tx1"/>
              </a:solidFill>
              <a:uFill>
                <a:solidFill>
                  <a:schemeClr val="tx1">
                    <a:lumMod val="65000"/>
                    <a:lumOff val="35000"/>
                  </a:schemeClr>
                </a:solidFill>
              </a:u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400">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chemeClr val="tx1"/>
                </a:solidFill>
              </a:rPr>
              <a:t>20</a:t>
            </a:r>
            <a:r>
              <a:rPr lang="en-US" altLang="zh-CN">
                <a:solidFill>
                  <a:schemeClr val="tx1"/>
                </a:solidFill>
              </a:rPr>
              <a:t>20</a:t>
            </a:r>
            <a:r>
              <a:rPr>
                <a:solidFill>
                  <a:schemeClr val="tx1"/>
                </a:solidFill>
                <a:uFillTx/>
              </a:rPr>
              <a:t>年度</a:t>
            </a:r>
            <a:r>
              <a:rPr>
                <a:solidFill>
                  <a:schemeClr val="tx1"/>
                </a:solidFill>
              </a:rPr>
              <a:t>支出</a:t>
            </a:r>
            <a:endParaRPr>
              <a:solidFill>
                <a:schemeClr val="tx1"/>
              </a:solidFill>
            </a:endParaRPr>
          </a:p>
        </c:rich>
      </c:tx>
      <c:layout>
        <c:manualLayout>
          <c:xMode val="edge"/>
          <c:yMode val="edge"/>
          <c:x val="0.36660346695558"/>
          <c:y val="0.0533840018911533"/>
        </c:manualLayout>
      </c:layout>
      <c:overlay val="0"/>
      <c:spPr>
        <a:noFill/>
        <a:ln>
          <a:noFill/>
        </a:ln>
        <a:effectLst/>
      </c:spPr>
    </c:title>
    <c:autoTitleDeleted val="0"/>
    <c:plotArea>
      <c:layout/>
      <c:pieChart>
        <c:varyColors val="1"/>
        <c:ser>
          <c:idx val="0"/>
          <c:order val="0"/>
          <c:tx>
            <c:strRef>
              <c:f>Sheet1!$B$1</c:f>
              <c:strCache>
                <c:ptCount val="1"/>
                <c:pt idx="0">
                  <c:v>2019年度支出</c:v>
                </c:pt>
              </c:strCache>
            </c:strRef>
          </c:tx>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282.81</c:v>
                </c:pt>
                <c:pt idx="1">
                  <c:v>62.6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manualLayout>
          <c:xMode val="edge"/>
          <c:yMode val="edge"/>
          <c:x val="0.366671180931744"/>
          <c:y val="0.887763210170838"/>
        </c:manualLayout>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625"/>
          <c:y val="0.0871666666666667"/>
          <c:w val="0.954625"/>
          <c:h val="0.820633333333333"/>
        </c:manualLayout>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Pt>
            <c:idx val="0"/>
            <c:invertIfNegative val="0"/>
            <c:bubble3D val="0"/>
          </c:dPt>
          <c:dPt>
            <c:idx val="1"/>
            <c:invertIfNegative val="0"/>
            <c:bubble3D val="0"/>
            <c:spPr>
              <a:solidFill>
                <a:srgbClr val="C00000"/>
              </a:solidFill>
              <a:ln>
                <a:noFill/>
              </a:ln>
              <a:effectLst/>
            </c:spPr>
          </c:dPt>
          <c:dLbls>
            <c:dLbl>
              <c:idx val="0"/>
              <c:layout>
                <c:manualLayout>
                  <c:x val="2.8421709430404e-17"/>
                  <c:y val="-0.02566666666666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9500000000000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2019年度</c:v>
                </c:pt>
                <c:pt idx="1">
                  <c:v>2020年度</c:v>
                </c:pt>
              </c:strCache>
            </c:strRef>
          </c:cat>
          <c:val>
            <c:numRef>
              <c:f>Sheet1!$B$2:$B$3</c:f>
              <c:numCache>
                <c:formatCode>General</c:formatCode>
                <c:ptCount val="2"/>
                <c:pt idx="0">
                  <c:v>345.41</c:v>
                </c:pt>
                <c:pt idx="1">
                  <c:v>444.44</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2019年度</c:v>
                </c:pt>
                <c:pt idx="1">
                  <c:v>2020年度</c:v>
                </c:pt>
              </c:strCache>
            </c:strRef>
          </c:cat>
          <c:val>
            <c:numRef>
              <c:f>Sheet1!$C$2:$C$3</c:f>
              <c:numCache>
                <c:formatCode>General</c:formatCode>
                <c:ptCount val="2"/>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2019年度</c:v>
                </c:pt>
                <c:pt idx="1">
                  <c:v>2020年度</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444"/>
        <c:overlap val="-90"/>
        <c:axId val="170646693"/>
        <c:axId val="42573138"/>
      </c:barChart>
      <c:catAx>
        <c:axId val="170646693"/>
        <c:scaling>
          <c:orientation val="minMax"/>
        </c:scaling>
        <c:delete val="0"/>
        <c:axPos val="b"/>
        <c:majorGridlines>
          <c:spPr>
            <a:ln w="9525" cap="flat" cmpd="sng" algn="ctr">
              <a:solidFill>
                <a:schemeClr val="tx1">
                  <a:lumMod val="15000"/>
                  <a:lumOff val="85000"/>
                </a:schemeClr>
              </a:solidFill>
              <a:prstDash val="solid"/>
              <a:round/>
            </a:ln>
            <a:effectLst/>
          </c:spPr>
        </c:majorGridlines>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cap="all" spc="120" normalizeH="0" baseline="0">
                <a:solidFill>
                  <a:schemeClr val="tx1"/>
                </a:solidFill>
                <a:latin typeface="+mn-lt"/>
                <a:ea typeface="+mn-ea"/>
                <a:cs typeface="+mn-cs"/>
              </a:defRPr>
            </a:pPr>
          </a:p>
        </c:txPr>
        <c:crossAx val="42573138"/>
        <c:crosses val="autoZero"/>
        <c:auto val="1"/>
        <c:lblAlgn val="ctr"/>
        <c:lblOffset val="100"/>
        <c:noMultiLvlLbl val="0"/>
      </c:catAx>
      <c:valAx>
        <c:axId val="4257313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70646693"/>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delete val="1"/>
      </c:legendEntry>
      <c:layout>
        <c:manualLayout>
          <c:xMode val="edge"/>
          <c:yMode val="edge"/>
          <c:x val="0.3555"/>
          <c:y val="0.0223333333333333"/>
          <c:w val="0.269875"/>
          <c:h val="0.06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a:solidFill>
                  <a:schemeClr val="tx1"/>
                </a:solidFill>
              </a:rPr>
              <a:t>一般公共预算财政拨款支出决算变动情况图</a:t>
            </a:r>
            <a:endParaRPr>
              <a:solidFill>
                <a:schemeClr val="tx1"/>
              </a:solidFill>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Pt>
            <c:idx val="1"/>
            <c:invertIfNegative val="0"/>
            <c:bubble3D val="0"/>
            <c:spPr>
              <a:gradFill>
                <a:gsLst>
                  <a:gs pos="0">
                    <a:srgbClr val="FE4444"/>
                  </a:gs>
                  <a:gs pos="100000">
                    <a:srgbClr val="832B2B"/>
                  </a:gs>
                </a:gsLst>
                <a:lin scaled="0"/>
              </a:gradFill>
              <a:ln>
                <a:noFill/>
              </a:ln>
              <a:effectLst/>
            </c:spPr>
          </c:dPt>
          <c:dLbls>
            <c:delete val="1"/>
          </c:dLbls>
          <c:cat>
            <c:strRef>
              <c:f>Sheet1!$A$2:$A$3</c:f>
              <c:strCache>
                <c:ptCount val="2"/>
                <c:pt idx="0">
                  <c:v>2019年</c:v>
                </c:pt>
                <c:pt idx="1">
                  <c:v>2020年</c:v>
                </c:pt>
              </c:strCache>
            </c:strRef>
          </c:cat>
          <c:val>
            <c:numRef>
              <c:f>Sheet1!$B$2:$B$3</c:f>
              <c:numCache>
                <c:formatCode>General</c:formatCode>
                <c:ptCount val="2"/>
                <c:pt idx="0">
                  <c:v>345.41</c:v>
                </c:pt>
                <c:pt idx="1">
                  <c:v>444.44</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Sheet1!$A$2:$A$3</c:f>
              <c:strCache>
                <c:ptCount val="2"/>
                <c:pt idx="0">
                  <c:v>2019年</c:v>
                </c:pt>
                <c:pt idx="1">
                  <c:v>2020年</c:v>
                </c:pt>
              </c:strCache>
            </c:strRef>
          </c:cat>
          <c:val>
            <c:numRef>
              <c:f>Sheet1!$C$2:$C$3</c:f>
              <c:numCache>
                <c:formatCode>General</c:formatCode>
                <c:ptCount val="2"/>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84916490"/>
        <c:axId val="910640142"/>
      </c:barChart>
      <c:catAx>
        <c:axId val="8491649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910640142"/>
        <c:crosses val="autoZero"/>
        <c:auto val="1"/>
        <c:lblAlgn val="ctr"/>
        <c:lblOffset val="100"/>
        <c:noMultiLvlLbl val="0"/>
      </c:catAx>
      <c:valAx>
        <c:axId val="91064014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8491649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决算数</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一般公共服务支出</c:v>
                </c:pt>
                <c:pt idx="1">
                  <c:v>社会保障与就业支出</c:v>
                </c:pt>
                <c:pt idx="2">
                  <c:v>卫生健康支出</c:v>
                </c:pt>
                <c:pt idx="3">
                  <c:v>住房保障支出</c:v>
                </c:pt>
              </c:strCache>
            </c:strRef>
          </c:cat>
          <c:val>
            <c:numRef>
              <c:f>Sheet1!$B$2:$B$5</c:f>
              <c:numCache>
                <c:formatCode>General</c:formatCode>
                <c:ptCount val="4"/>
                <c:pt idx="0">
                  <c:v>282.54</c:v>
                </c:pt>
                <c:pt idx="1">
                  <c:v>25.5</c:v>
                </c:pt>
                <c:pt idx="2">
                  <c:v>14.19</c:v>
                </c:pt>
                <c:pt idx="3">
                  <c:v>17.59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129490837732322"/>
          <c:y val="0.93052276370631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solidFill>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预算数</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决算数</c:v>
                </c:pt>
              </c:strCache>
            </c:strRef>
          </c:cat>
          <c:val>
            <c:numRef>
              <c:f>Sheet1!$B$2</c:f>
              <c:numCache>
                <c:formatCode>General</c:formatCode>
                <c:ptCount val="1"/>
                <c:pt idx="0">
                  <c:v>1.76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solidFill>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絮</cp:lastModifiedBy>
  <cp:revision>39</cp:revision>
  <cp:lastPrinted>2020-07-23T02:58:00Z</cp:lastPrinted>
  <dcterms:created xsi:type="dcterms:W3CDTF">2020-08-04T01:49:00Z</dcterms:created>
  <dcterms:modified xsi:type="dcterms:W3CDTF">2021-10-21T11:15:52Z</dcterms:modified>
</cp:coreProperties>
</file>

<file path=customXml/item3.xml><?xml version="1.0" encoding="utf-8"?>
<Properties xmlns:vt="http://schemas.openxmlformats.org/officeDocument/2006/docPropsVTypes" xmlns="http://schemas.openxmlformats.org/officeDocument/2006/extended-properties">
  <Template>Normal</Template>
  <TotalTime>3</TotalTime>
  <Pages>27</Pages>
  <Words>7967</Words>
  <Characters>8496</Characters>
  <Application>WPS Office_11.1.0.10938_F1E327BC-269C-435d-A152-05C5408002CA</Application>
  <DocSecurity>0</DocSecurity>
  <Lines>60</Lines>
  <Paragraphs>17</Paragraphs>
  <Company>四川省财政厅</Company>
  <CharactersWithSpaces>8687</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2052-11.1.0.10938</vt:lpstr>
  </property>
  <property fmtid="{D5CDD505-2E9C-101B-9397-08002B2CF9AE}" pid="3" name="ICV">
    <vt:lpstr>E0738452AE32498B9B2F6996A19DF2E9</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絮</cp:lastModifiedBy>
  <cp:lastPrinted>2020-07-23T02:58:00Z</cp:lastPrinted>
  <dcterms:modified xsi:type="dcterms:W3CDTF">2021-10-21T11:15:52Z</dcterms:modified>
  <dc:title>四川省***</dc:title>
  <cp:revision>39</cp:revision>
</cp:coreProperties>
</file>

<file path=customXml/item6.xml><?xml version="1.0" encoding="utf-8"?>
<Properties xmlns="http://schemas.openxmlformats.org/officeDocument/2006/extended-properties" xmlns:vt="http://schemas.openxmlformats.org/officeDocument/2006/docPropsVTypes">
  <Template>Normal</Template>
  <Company>四川省财政厅</Company>
  <Pages>27</Pages>
  <Words>7967</Words>
  <Characters>8496</Characters>
  <Lines>60</Lines>
  <Paragraphs>17</Paragraphs>
  <TotalTime>3</TotalTime>
  <ScaleCrop>false</ScaleCrop>
  <LinksUpToDate>false</LinksUpToDate>
  <CharactersWithSpaces>8687</CharactersWithSpaces>
  <Application>WPS Office_11.1.0.10938_F1E327BC-269C-435d-A152-05C5408002CA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E0738452AE32498B9B2F6996A19DF2E9</vt:lpwstr>
  </property>
</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7521a-5c6f-4c9c-8a3d-657129d79ad4}">
  <ds:schemaRefs/>
</ds:datastoreItem>
</file>

<file path=customXml/itemProps3.xml><?xml version="1.0" encoding="utf-8"?>
<ds:datastoreItem xmlns:ds="http://schemas.openxmlformats.org/officeDocument/2006/customXml" ds:itemID="{f26fda66-5c05-4c74-a644-1c25c60b2581}">
  <ds:schemaRefs/>
</ds:datastoreItem>
</file>

<file path=customXml/itemProps4.xml><?xml version="1.0" encoding="utf-8"?>
<ds:datastoreItem xmlns:ds="http://schemas.openxmlformats.org/officeDocument/2006/customXml" ds:itemID="{bbf517c0-d94f-4862-b269-960ee1aae5d8}">
  <ds:schemaRefs/>
</ds:datastoreItem>
</file>

<file path=customXml/itemProps5.xml><?xml version="1.0" encoding="utf-8"?>
<ds:datastoreItem xmlns:ds="http://schemas.openxmlformats.org/officeDocument/2006/customXml" ds:itemID="{817ba74e-792f-48fa-813e-3416f1f44e8d}">
  <ds:schemaRefs/>
</ds:datastoreItem>
</file>

<file path=customXml/itemProps6.xml><?xml version="1.0" encoding="utf-8"?>
<ds:datastoreItem xmlns:ds="http://schemas.openxmlformats.org/officeDocument/2006/customXml" ds:itemID="{91e63d20-f3c5-4f3e-b8a0-1d51d2065833}">
  <ds:schemaRefs/>
</ds:datastoreItem>
</file>

<file path=customXml/itemProps7.xml><?xml version="1.0" encoding="utf-8"?>
<ds:datastoreItem xmlns:ds="http://schemas.openxmlformats.org/officeDocument/2006/customXml" ds:itemID="{1ae843b8-68f7-4ecc-ae75-279317a54417}">
  <ds:schemaRefs/>
</ds:datastoreItem>
</file>

<file path=customXml/itemProps8.xml><?xml version="1.0" encoding="utf-8"?>
<ds:datastoreItem xmlns:ds="http://schemas.openxmlformats.org/officeDocument/2006/customXml" ds:itemID="{6C4A7DA4-7EC2-4A07-BA3B-28B96F11AC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7967</Words>
  <Characters>8496</Characters>
  <Lines>60</Lines>
  <Paragraphs>17</Paragraphs>
  <TotalTime>9</TotalTime>
  <ScaleCrop>false</ScaleCrop>
  <LinksUpToDate>false</LinksUpToDate>
  <CharactersWithSpaces>8687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娟</cp:lastModifiedBy>
  <cp:lastPrinted>2020-07-23T02:58:00Z</cp:lastPrinted>
  <dcterms:modified xsi:type="dcterms:W3CDTF">2021-10-27T01:47:34Z</dcterms:modified>
  <dc:title>四川省_x002A__x002A__x002A_</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0F4201C5BCFF4E1AB6DD94CCCE8B309F</vt:lpwstr>
  </property>
</Properties>
</file>