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bidi w:val="0"/>
        <w:jc w:val="center"/>
        <w:rPr>
          <w:rFonts w:hint="eastAsia" w:ascii="黑体" w:hAnsi="黑体" w:eastAsia="黑体" w:cs="黑体"/>
          <w:sz w:val="72"/>
          <w:szCs w:val="72"/>
        </w:rPr>
      </w:pPr>
    </w:p>
    <w:p>
      <w:pPr>
        <w:adjustRightInd w:val="0"/>
        <w:snapToGrid w:val="0"/>
        <w:spacing w:line="360" w:lineRule="auto"/>
        <w:jc w:val="center"/>
        <w:outlineLvl w:val="9"/>
        <w:rPr>
          <w:rFonts w:hint="eastAsia" w:ascii="方正小标宋简体" w:hAnsi="宋体" w:eastAsia="方正小标宋简体"/>
          <w:b/>
          <w:bCs/>
          <w:color w:val="000000"/>
          <w:sz w:val="72"/>
          <w:szCs w:val="72"/>
        </w:rPr>
      </w:pPr>
      <w:bookmarkStart w:id="1" w:name="_Toc15377425"/>
      <w:bookmarkStart w:id="2" w:name="_Toc15377193"/>
      <w:bookmarkStart w:id="3" w:name="_Toc15378441"/>
      <w:bookmarkStart w:id="4" w:name="_Toc15396597"/>
      <w:bookmarkStart w:id="5" w:name="_Toc15396475"/>
      <w:r>
        <w:rPr>
          <w:rFonts w:hint="eastAsia" w:ascii="方正小标宋简体" w:hAnsi="宋体" w:eastAsia="方正小标宋简体"/>
          <w:b/>
          <w:bCs/>
          <w:color w:val="000000"/>
          <w:sz w:val="72"/>
          <w:szCs w:val="72"/>
        </w:rPr>
        <w:t>2020年度</w:t>
      </w:r>
      <w:bookmarkEnd w:id="1"/>
      <w:bookmarkEnd w:id="2"/>
      <w:bookmarkEnd w:id="3"/>
      <w:bookmarkEnd w:id="4"/>
      <w:bookmarkEnd w:id="5"/>
    </w:p>
    <w:p>
      <w:pPr>
        <w:adjustRightInd w:val="0"/>
        <w:snapToGrid w:val="0"/>
        <w:spacing w:line="360" w:lineRule="auto"/>
        <w:jc w:val="center"/>
        <w:outlineLvl w:val="9"/>
        <w:rPr>
          <w:rFonts w:hint="eastAsia" w:ascii="方正小标宋简体" w:hAnsi="宋体" w:eastAsia="方正小标宋简体"/>
          <w:b/>
          <w:bCs/>
          <w:color w:val="000000"/>
          <w:sz w:val="72"/>
          <w:szCs w:val="72"/>
        </w:rPr>
      </w:pPr>
      <w:bookmarkStart w:id="6" w:name="_Toc15378442"/>
      <w:bookmarkStart w:id="7" w:name="_Toc15396476"/>
      <w:bookmarkStart w:id="8" w:name="_Toc15396598"/>
      <w:bookmarkStart w:id="9" w:name="_Toc15377426"/>
      <w:bookmarkStart w:id="10" w:name="_Toc15377194"/>
      <w:r>
        <w:rPr>
          <w:rFonts w:hint="eastAsia" w:ascii="方正小标宋简体" w:hAnsi="宋体" w:eastAsia="方正小标宋简体"/>
          <w:b/>
          <w:bCs/>
          <w:color w:val="000000"/>
          <w:sz w:val="72"/>
          <w:szCs w:val="72"/>
        </w:rPr>
        <w:t>四川省</w:t>
      </w:r>
      <w:bookmarkEnd w:id="0"/>
      <w:bookmarkStart w:id="11" w:name="_Toc15306268"/>
      <w:r>
        <w:rPr>
          <w:rFonts w:hint="eastAsia" w:ascii="方正小标宋简体" w:hAnsi="宋体" w:eastAsia="方正小标宋简体"/>
          <w:b/>
          <w:bCs/>
          <w:color w:val="000000"/>
          <w:sz w:val="72"/>
          <w:szCs w:val="72"/>
        </w:rPr>
        <w:t>通江县教育科技和体育局部门决算</w:t>
      </w:r>
      <w:bookmarkEnd w:id="6"/>
      <w:bookmarkEnd w:id="7"/>
      <w:bookmarkEnd w:id="8"/>
      <w:bookmarkEnd w:id="9"/>
      <w:bookmarkEnd w:id="10"/>
      <w:bookmarkEnd w:id="11"/>
    </w:p>
    <w:p>
      <w:pPr>
        <w:adjustRightInd w:val="0"/>
        <w:snapToGrid w:val="0"/>
        <w:spacing w:line="360" w:lineRule="auto"/>
        <w:jc w:val="center"/>
        <w:outlineLvl w:val="9"/>
        <w:rPr>
          <w:rFonts w:hint="eastAsia" w:ascii="方正小标宋简体" w:hAnsi="宋体" w:eastAsia="方正小标宋简体"/>
          <w:color w:val="000000"/>
          <w:sz w:val="72"/>
          <w:szCs w:val="72"/>
        </w:rPr>
      </w:pPr>
    </w:p>
    <w:p>
      <w:pPr>
        <w:adjustRightInd w:val="0"/>
        <w:snapToGrid w:val="0"/>
        <w:spacing w:line="360" w:lineRule="auto"/>
        <w:jc w:val="center"/>
        <w:outlineLvl w:val="9"/>
        <w:rPr>
          <w:rFonts w:hint="eastAsia" w:ascii="方正小标宋简体" w:hAnsi="宋体" w:eastAsia="方正小标宋简体"/>
          <w:color w:val="000000"/>
          <w:sz w:val="72"/>
          <w:szCs w:val="72"/>
        </w:rPr>
      </w:pPr>
    </w:p>
    <w:p>
      <w:pPr>
        <w:pStyle w:val="25"/>
        <w:rPr>
          <w:rFonts w:hint="eastAsia" w:ascii="宋体" w:hAnsi="宋体" w:eastAsia="宋体"/>
          <w:sz w:val="36"/>
          <w:szCs w:val="36"/>
        </w:rPr>
      </w:pPr>
    </w:p>
    <w:p>
      <w:pPr>
        <w:pStyle w:val="25"/>
        <w:rPr>
          <w:rFonts w:hint="eastAsia" w:ascii="宋体" w:hAnsi="宋体" w:eastAsia="宋体"/>
          <w:sz w:val="36"/>
          <w:szCs w:val="36"/>
        </w:rPr>
      </w:pPr>
    </w:p>
    <w:p>
      <w:pPr>
        <w:rPr>
          <w:rFonts w:hint="eastAsia"/>
        </w:rPr>
      </w:pPr>
    </w:p>
    <w:p>
      <w:pPr>
        <w:pStyle w:val="25"/>
        <w:rPr>
          <w:rFonts w:hint="eastAsia" w:ascii="宋体" w:hAnsi="宋体" w:eastAsia="宋体"/>
          <w:sz w:val="36"/>
          <w:szCs w:val="36"/>
        </w:rPr>
      </w:pPr>
    </w:p>
    <w:p>
      <w:pPr>
        <w:pStyle w:val="25"/>
        <w:rPr>
          <w:rFonts w:ascii="宋体" w:hAnsi="宋体" w:eastAsia="宋体"/>
          <w:sz w:val="36"/>
          <w:szCs w:val="36"/>
        </w:rPr>
      </w:pPr>
      <w:r>
        <w:rPr>
          <w:rFonts w:hint="eastAsia" w:ascii="宋体" w:hAnsi="宋体" w:eastAsia="宋体"/>
          <w:sz w:val="36"/>
          <w:szCs w:val="36"/>
        </w:rPr>
        <w:t>公开时间：</w:t>
      </w:r>
      <w:r>
        <w:rPr>
          <w:rFonts w:ascii="宋体" w:hAnsi="宋体" w:eastAsia="宋体"/>
          <w:sz w:val="36"/>
          <w:szCs w:val="36"/>
        </w:rPr>
        <w:t>2021</w:t>
      </w:r>
      <w:r>
        <w:rPr>
          <w:rFonts w:hint="eastAsia" w:ascii="宋体" w:hAnsi="宋体" w:eastAsia="宋体"/>
          <w:sz w:val="36"/>
          <w:szCs w:val="36"/>
        </w:rPr>
        <w:t>年10 月</w:t>
      </w:r>
      <w:r>
        <w:rPr>
          <w:rFonts w:hint="eastAsia" w:ascii="宋体" w:hAnsi="宋体" w:eastAsia="宋体"/>
          <w:sz w:val="36"/>
          <w:szCs w:val="36"/>
          <w:lang w:val="en-US" w:eastAsia="zh-CN"/>
        </w:rPr>
        <w:t>15</w:t>
      </w:r>
      <w:r>
        <w:rPr>
          <w:rFonts w:hint="eastAsia" w:ascii="宋体" w:hAnsi="宋体" w:eastAsia="宋体"/>
          <w:sz w:val="36"/>
          <w:szCs w:val="36"/>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rPr>
          <w:rFonts w:ascii="宋体" w:hAnsi="宋体"/>
          <w:sz w:val="24"/>
        </w:rPr>
      </w:pPr>
    </w:p>
    <w:p>
      <w:pPr>
        <w:pStyle w:val="3"/>
        <w:tabs>
          <w:tab w:val="right" w:leader="dot" w:pos="8306"/>
        </w:tabs>
      </w:pPr>
      <w:bookmarkStart w:id="12" w:name="_Toc15396599"/>
      <w:bookmarkStart w:id="13" w:name="_Toc15377196"/>
      <w:r>
        <w:fldChar w:fldCharType="begin"/>
      </w:r>
      <w:r>
        <w:instrText xml:space="preserve">TOC \o "1-2" \h \u </w:instrText>
      </w:r>
      <w:r>
        <w:fldChar w:fldCharType="separate"/>
      </w:r>
      <w:r>
        <w:fldChar w:fldCharType="begin"/>
      </w:r>
      <w:r>
        <w:instrText xml:space="preserve"> HYPERLINK \l _Toc3954 </w:instrText>
      </w:r>
      <w:r>
        <w:fldChar w:fldCharType="separate"/>
      </w:r>
      <w:r>
        <w:rPr>
          <w:rFonts w:hint="eastAsia"/>
        </w:rPr>
        <w:t>第一部分 部门概况</w:t>
      </w:r>
      <w:r>
        <w:tab/>
      </w:r>
      <w:r>
        <w:fldChar w:fldCharType="begin"/>
      </w:r>
      <w:r>
        <w:instrText xml:space="preserve"> PAGEREF _Toc3954 \h </w:instrText>
      </w:r>
      <w:r>
        <w:fldChar w:fldCharType="separate"/>
      </w:r>
      <w:r>
        <w:t>3</w:t>
      </w:r>
      <w:r>
        <w:fldChar w:fldCharType="end"/>
      </w:r>
      <w:r>
        <w:fldChar w:fldCharType="end"/>
      </w:r>
    </w:p>
    <w:p>
      <w:pPr>
        <w:pStyle w:val="4"/>
        <w:tabs>
          <w:tab w:val="right" w:leader="dot" w:pos="8306"/>
        </w:tabs>
      </w:pPr>
      <w:r>
        <w:fldChar w:fldCharType="begin"/>
      </w:r>
      <w:r>
        <w:instrText xml:space="preserve"> HYPERLINK \l _Toc27531 </w:instrText>
      </w:r>
      <w:r>
        <w:fldChar w:fldCharType="separate"/>
      </w:r>
      <w:r>
        <w:rPr>
          <w:rFonts w:hint="eastAsia" w:ascii="黑体" w:hAnsi="黑体" w:eastAsia="黑体"/>
        </w:rPr>
        <w:t>一、基本职能及主要工作</w:t>
      </w:r>
      <w:r>
        <w:tab/>
      </w:r>
      <w:r>
        <w:fldChar w:fldCharType="begin"/>
      </w:r>
      <w:r>
        <w:instrText xml:space="preserve"> PAGEREF _Toc27531 \h </w:instrText>
      </w:r>
      <w:r>
        <w:fldChar w:fldCharType="separate"/>
      </w:r>
      <w:r>
        <w:t>3</w:t>
      </w:r>
      <w:r>
        <w:fldChar w:fldCharType="end"/>
      </w:r>
      <w:r>
        <w:fldChar w:fldCharType="end"/>
      </w:r>
    </w:p>
    <w:p>
      <w:pPr>
        <w:pStyle w:val="4"/>
        <w:tabs>
          <w:tab w:val="right" w:leader="dot" w:pos="8306"/>
        </w:tabs>
      </w:pPr>
      <w:r>
        <w:fldChar w:fldCharType="begin"/>
      </w:r>
      <w:r>
        <w:instrText xml:space="preserve"> HYPERLINK \l _Toc17721 </w:instrText>
      </w:r>
      <w:r>
        <w:fldChar w:fldCharType="separate"/>
      </w:r>
      <w:r>
        <w:rPr>
          <w:rFonts w:hint="eastAsia" w:ascii="仿宋" w:hAnsi="仿宋" w:eastAsia="仿宋"/>
          <w:szCs w:val="30"/>
        </w:rPr>
        <w:t>二、机</w:t>
      </w:r>
      <w:r>
        <w:rPr>
          <w:rFonts w:hint="eastAsia" w:ascii="仿宋" w:hAnsi="仿宋" w:eastAsia="仿宋"/>
          <w:bCs w:val="0"/>
          <w:szCs w:val="30"/>
        </w:rPr>
        <w:t>构设置</w:t>
      </w:r>
      <w:r>
        <w:tab/>
      </w:r>
      <w:r>
        <w:fldChar w:fldCharType="begin"/>
      </w:r>
      <w:r>
        <w:instrText xml:space="preserve"> PAGEREF _Toc17721 \h </w:instrText>
      </w:r>
      <w:r>
        <w:fldChar w:fldCharType="separate"/>
      </w:r>
      <w:r>
        <w:t>15</w:t>
      </w:r>
      <w:r>
        <w:fldChar w:fldCharType="end"/>
      </w:r>
      <w:r>
        <w:fldChar w:fldCharType="end"/>
      </w:r>
    </w:p>
    <w:p>
      <w:pPr>
        <w:pStyle w:val="3"/>
        <w:tabs>
          <w:tab w:val="right" w:leader="dot" w:pos="8306"/>
        </w:tabs>
      </w:pPr>
      <w:r>
        <w:fldChar w:fldCharType="begin"/>
      </w:r>
      <w:r>
        <w:instrText xml:space="preserve"> HYPERLINK \l _Toc16050 </w:instrText>
      </w:r>
      <w:r>
        <w:fldChar w:fldCharType="separate"/>
      </w:r>
      <w:r>
        <w:rPr>
          <w:rFonts w:hint="eastAsia"/>
        </w:rPr>
        <w:t>第二部分 2020年度部门决算情况说明</w:t>
      </w:r>
      <w:r>
        <w:tab/>
      </w:r>
      <w:r>
        <w:fldChar w:fldCharType="begin"/>
      </w:r>
      <w:r>
        <w:instrText xml:space="preserve"> PAGEREF _Toc16050 \h </w:instrText>
      </w:r>
      <w:r>
        <w:fldChar w:fldCharType="separate"/>
      </w:r>
      <w:r>
        <w:t>16</w:t>
      </w:r>
      <w:r>
        <w:fldChar w:fldCharType="end"/>
      </w:r>
      <w:r>
        <w:fldChar w:fldCharType="end"/>
      </w:r>
    </w:p>
    <w:p>
      <w:pPr>
        <w:pStyle w:val="4"/>
        <w:tabs>
          <w:tab w:val="right" w:leader="dot" w:pos="8306"/>
        </w:tabs>
      </w:pPr>
      <w:r>
        <w:fldChar w:fldCharType="begin"/>
      </w:r>
      <w:r>
        <w:instrText xml:space="preserve"> HYPERLINK \l _Toc3434 </w:instrText>
      </w:r>
      <w:r>
        <w:fldChar w:fldCharType="separate"/>
      </w:r>
      <w:r>
        <w:rPr>
          <w:rFonts w:hint="default" w:ascii="仿宋" w:hAnsi="仿宋" w:eastAsia="仿宋" w:cs="Times New Roman"/>
          <w:szCs w:val="30"/>
        </w:rPr>
        <w:t xml:space="preserve">一、 </w:t>
      </w:r>
      <w:r>
        <w:rPr>
          <w:rFonts w:hint="eastAsia" w:ascii="仿宋" w:hAnsi="仿宋" w:eastAsia="仿宋"/>
          <w:szCs w:val="30"/>
        </w:rPr>
        <w:t>收入支出决算总体情况说明</w:t>
      </w:r>
      <w:r>
        <w:tab/>
      </w:r>
      <w:r>
        <w:fldChar w:fldCharType="begin"/>
      </w:r>
      <w:r>
        <w:instrText xml:space="preserve"> PAGEREF _Toc3434 \h </w:instrText>
      </w:r>
      <w:r>
        <w:fldChar w:fldCharType="separate"/>
      </w:r>
      <w:r>
        <w:t>16</w:t>
      </w:r>
      <w:r>
        <w:fldChar w:fldCharType="end"/>
      </w:r>
      <w:r>
        <w:fldChar w:fldCharType="end"/>
      </w:r>
    </w:p>
    <w:p>
      <w:pPr>
        <w:pStyle w:val="4"/>
        <w:tabs>
          <w:tab w:val="right" w:leader="dot" w:pos="8306"/>
        </w:tabs>
      </w:pPr>
      <w:r>
        <w:fldChar w:fldCharType="begin"/>
      </w:r>
      <w:r>
        <w:instrText xml:space="preserve"> HYPERLINK \l _Toc17351 </w:instrText>
      </w:r>
      <w:r>
        <w:fldChar w:fldCharType="separate"/>
      </w:r>
      <w:r>
        <w:rPr>
          <w:rFonts w:hint="default" w:ascii="仿宋" w:hAnsi="仿宋" w:eastAsia="仿宋" w:cs="Times New Roman"/>
          <w:szCs w:val="30"/>
        </w:rPr>
        <w:t xml:space="preserve">二、 </w:t>
      </w:r>
      <w:r>
        <w:rPr>
          <w:rFonts w:hint="eastAsia" w:ascii="仿宋" w:hAnsi="仿宋" w:eastAsia="仿宋"/>
          <w:szCs w:val="30"/>
        </w:rPr>
        <w:t>收入决算情况说明</w:t>
      </w:r>
      <w:r>
        <w:tab/>
      </w:r>
      <w:r>
        <w:fldChar w:fldCharType="begin"/>
      </w:r>
      <w:r>
        <w:instrText xml:space="preserve"> PAGEREF _Toc17351 \h </w:instrText>
      </w:r>
      <w:r>
        <w:fldChar w:fldCharType="separate"/>
      </w:r>
      <w:r>
        <w:t>16</w:t>
      </w:r>
      <w:r>
        <w:fldChar w:fldCharType="end"/>
      </w:r>
      <w:r>
        <w:fldChar w:fldCharType="end"/>
      </w:r>
    </w:p>
    <w:p>
      <w:pPr>
        <w:pStyle w:val="4"/>
        <w:tabs>
          <w:tab w:val="right" w:leader="dot" w:pos="8306"/>
        </w:tabs>
      </w:pPr>
      <w:r>
        <w:fldChar w:fldCharType="begin"/>
      </w:r>
      <w:r>
        <w:instrText xml:space="preserve"> HYPERLINK \l _Toc32085 </w:instrText>
      </w:r>
      <w:r>
        <w:fldChar w:fldCharType="separate"/>
      </w:r>
      <w:r>
        <w:rPr>
          <w:rFonts w:hint="default" w:ascii="仿宋" w:hAnsi="仿宋" w:eastAsia="仿宋" w:cs="Times New Roman"/>
          <w:szCs w:val="30"/>
        </w:rPr>
        <w:t xml:space="preserve">三、 </w:t>
      </w:r>
      <w:r>
        <w:rPr>
          <w:rFonts w:hint="eastAsia" w:ascii="仿宋" w:hAnsi="仿宋" w:eastAsia="仿宋"/>
          <w:szCs w:val="30"/>
        </w:rPr>
        <w:t>支出决算情况说明</w:t>
      </w:r>
      <w:r>
        <w:tab/>
      </w:r>
      <w:r>
        <w:fldChar w:fldCharType="begin"/>
      </w:r>
      <w:r>
        <w:instrText xml:space="preserve"> PAGEREF _Toc32085 \h </w:instrText>
      </w:r>
      <w:r>
        <w:fldChar w:fldCharType="separate"/>
      </w:r>
      <w:r>
        <w:t>17</w:t>
      </w:r>
      <w:r>
        <w:fldChar w:fldCharType="end"/>
      </w:r>
      <w:r>
        <w:fldChar w:fldCharType="end"/>
      </w:r>
    </w:p>
    <w:p>
      <w:pPr>
        <w:pStyle w:val="4"/>
        <w:tabs>
          <w:tab w:val="right" w:leader="dot" w:pos="8306"/>
        </w:tabs>
      </w:pPr>
      <w:r>
        <w:fldChar w:fldCharType="begin"/>
      </w:r>
      <w:r>
        <w:instrText xml:space="preserve"> HYPERLINK \l _Toc11817 </w:instrText>
      </w:r>
      <w:r>
        <w:fldChar w:fldCharType="separate"/>
      </w:r>
      <w:r>
        <w:rPr>
          <w:rFonts w:hint="eastAsia" w:ascii="仿宋" w:hAnsi="仿宋" w:eastAsia="仿宋"/>
          <w:szCs w:val="30"/>
        </w:rPr>
        <w:t>四、财政拨款收入支出决算总体情况说明</w:t>
      </w:r>
      <w:r>
        <w:tab/>
      </w:r>
      <w:r>
        <w:fldChar w:fldCharType="begin"/>
      </w:r>
      <w:r>
        <w:instrText xml:space="preserve"> PAGEREF _Toc11817 \h </w:instrText>
      </w:r>
      <w:r>
        <w:fldChar w:fldCharType="separate"/>
      </w:r>
      <w:r>
        <w:t>17</w:t>
      </w:r>
      <w:r>
        <w:fldChar w:fldCharType="end"/>
      </w:r>
      <w:r>
        <w:fldChar w:fldCharType="end"/>
      </w:r>
    </w:p>
    <w:p>
      <w:pPr>
        <w:pStyle w:val="4"/>
        <w:tabs>
          <w:tab w:val="right" w:leader="dot" w:pos="8306"/>
        </w:tabs>
      </w:pPr>
      <w:r>
        <w:fldChar w:fldCharType="begin"/>
      </w:r>
      <w:r>
        <w:instrText xml:space="preserve"> HYPERLINK \l _Toc26853 </w:instrText>
      </w:r>
      <w:r>
        <w:fldChar w:fldCharType="separate"/>
      </w:r>
      <w:r>
        <w:rPr>
          <w:rFonts w:hint="eastAsia" w:ascii="仿宋" w:hAnsi="仿宋" w:eastAsia="仿宋"/>
          <w:szCs w:val="30"/>
        </w:rPr>
        <w:t>五、一般公共预算财政拨款支出决算情况说明</w:t>
      </w:r>
      <w:r>
        <w:tab/>
      </w:r>
      <w:r>
        <w:fldChar w:fldCharType="begin"/>
      </w:r>
      <w:r>
        <w:instrText xml:space="preserve"> PAGEREF _Toc26853 \h </w:instrText>
      </w:r>
      <w:r>
        <w:fldChar w:fldCharType="separate"/>
      </w:r>
      <w:r>
        <w:t>18</w:t>
      </w:r>
      <w:r>
        <w:fldChar w:fldCharType="end"/>
      </w:r>
      <w:r>
        <w:fldChar w:fldCharType="end"/>
      </w:r>
    </w:p>
    <w:p>
      <w:pPr>
        <w:pStyle w:val="4"/>
        <w:tabs>
          <w:tab w:val="right" w:leader="dot" w:pos="8306"/>
        </w:tabs>
      </w:pPr>
      <w:r>
        <w:fldChar w:fldCharType="begin"/>
      </w:r>
      <w:r>
        <w:instrText xml:space="preserve"> HYPERLINK \l _Toc24571 </w:instrText>
      </w:r>
      <w:r>
        <w:fldChar w:fldCharType="separate"/>
      </w:r>
      <w:r>
        <w:rPr>
          <w:rFonts w:hint="eastAsia" w:ascii="仿宋" w:hAnsi="仿宋" w:eastAsia="仿宋"/>
          <w:szCs w:val="30"/>
        </w:rPr>
        <w:t>六、一般公共预算财政拨款基本支出决算情况说明</w:t>
      </w:r>
      <w:r>
        <w:tab/>
      </w:r>
      <w:r>
        <w:fldChar w:fldCharType="begin"/>
      </w:r>
      <w:r>
        <w:instrText xml:space="preserve"> PAGEREF _Toc24571 \h </w:instrText>
      </w:r>
      <w:r>
        <w:fldChar w:fldCharType="separate"/>
      </w:r>
      <w:r>
        <w:t>21</w:t>
      </w:r>
      <w:r>
        <w:fldChar w:fldCharType="end"/>
      </w:r>
      <w:r>
        <w:fldChar w:fldCharType="end"/>
      </w:r>
    </w:p>
    <w:p>
      <w:pPr>
        <w:pStyle w:val="4"/>
        <w:tabs>
          <w:tab w:val="right" w:leader="dot" w:pos="8306"/>
        </w:tabs>
      </w:pPr>
      <w:r>
        <w:fldChar w:fldCharType="begin"/>
      </w:r>
      <w:r>
        <w:instrText xml:space="preserve"> HYPERLINK \l _Toc6152 </w:instrText>
      </w:r>
      <w:r>
        <w:fldChar w:fldCharType="separate"/>
      </w:r>
      <w:r>
        <w:rPr>
          <w:rFonts w:hint="eastAsia" w:ascii="仿宋" w:hAnsi="仿宋" w:eastAsia="仿宋"/>
          <w:szCs w:val="30"/>
        </w:rPr>
        <w:t>七、“三公”经费财政拨款支出决算情况说明</w:t>
      </w:r>
      <w:r>
        <w:tab/>
      </w:r>
      <w:r>
        <w:fldChar w:fldCharType="begin"/>
      </w:r>
      <w:r>
        <w:instrText xml:space="preserve"> PAGEREF _Toc6152 \h </w:instrText>
      </w:r>
      <w:r>
        <w:fldChar w:fldCharType="separate"/>
      </w:r>
      <w:r>
        <w:t>21</w:t>
      </w:r>
      <w:r>
        <w:fldChar w:fldCharType="end"/>
      </w:r>
      <w:r>
        <w:fldChar w:fldCharType="end"/>
      </w:r>
    </w:p>
    <w:p>
      <w:pPr>
        <w:pStyle w:val="4"/>
        <w:tabs>
          <w:tab w:val="right" w:leader="dot" w:pos="8306"/>
        </w:tabs>
      </w:pPr>
      <w:r>
        <w:fldChar w:fldCharType="begin"/>
      </w:r>
      <w:r>
        <w:instrText xml:space="preserve"> HYPERLINK \l _Toc7780 </w:instrText>
      </w:r>
      <w:r>
        <w:fldChar w:fldCharType="separate"/>
      </w:r>
      <w:r>
        <w:rPr>
          <w:rFonts w:hint="eastAsia" w:ascii="仿宋" w:hAnsi="仿宋" w:eastAsia="仿宋"/>
          <w:szCs w:val="30"/>
        </w:rPr>
        <w:t>八、政府性基金预算支出决算情况说明</w:t>
      </w:r>
      <w:r>
        <w:tab/>
      </w:r>
      <w:r>
        <w:fldChar w:fldCharType="begin"/>
      </w:r>
      <w:r>
        <w:instrText xml:space="preserve"> PAGEREF _Toc7780 \h </w:instrText>
      </w:r>
      <w:r>
        <w:fldChar w:fldCharType="separate"/>
      </w:r>
      <w:r>
        <w:t>23</w:t>
      </w:r>
      <w:r>
        <w:fldChar w:fldCharType="end"/>
      </w:r>
      <w:r>
        <w:fldChar w:fldCharType="end"/>
      </w:r>
    </w:p>
    <w:p>
      <w:pPr>
        <w:pStyle w:val="4"/>
        <w:tabs>
          <w:tab w:val="right" w:leader="dot" w:pos="8306"/>
        </w:tabs>
      </w:pPr>
      <w:r>
        <w:fldChar w:fldCharType="begin"/>
      </w:r>
      <w:r>
        <w:instrText xml:space="preserve"> HYPERLINK \l _Toc11381 </w:instrText>
      </w:r>
      <w:r>
        <w:fldChar w:fldCharType="separate"/>
      </w:r>
      <w:r>
        <w:rPr>
          <w:rFonts w:hint="eastAsia" w:ascii="仿宋" w:hAnsi="仿宋" w:eastAsia="仿宋" w:cs="Times New Roman"/>
          <w:szCs w:val="30"/>
        </w:rPr>
        <w:t xml:space="preserve">九、 </w:t>
      </w:r>
      <w:r>
        <w:rPr>
          <w:rFonts w:hint="eastAsia" w:ascii="仿宋" w:hAnsi="仿宋" w:eastAsia="仿宋"/>
          <w:szCs w:val="30"/>
        </w:rPr>
        <w:t>国有资本经营预算支出决算情况说明</w:t>
      </w:r>
      <w:r>
        <w:tab/>
      </w:r>
      <w:r>
        <w:fldChar w:fldCharType="begin"/>
      </w:r>
      <w:r>
        <w:instrText xml:space="preserve"> PAGEREF _Toc11381 \h </w:instrText>
      </w:r>
      <w:r>
        <w:fldChar w:fldCharType="separate"/>
      </w:r>
      <w:r>
        <w:t>23</w:t>
      </w:r>
      <w:r>
        <w:fldChar w:fldCharType="end"/>
      </w:r>
      <w:r>
        <w:fldChar w:fldCharType="end"/>
      </w:r>
    </w:p>
    <w:p>
      <w:pPr>
        <w:pStyle w:val="4"/>
        <w:tabs>
          <w:tab w:val="right" w:leader="dot" w:pos="8306"/>
        </w:tabs>
      </w:pPr>
      <w:r>
        <w:fldChar w:fldCharType="begin"/>
      </w:r>
      <w:r>
        <w:instrText xml:space="preserve"> HYPERLINK \l _Toc22721 </w:instrText>
      </w:r>
      <w:r>
        <w:fldChar w:fldCharType="separate"/>
      </w:r>
      <w:r>
        <w:rPr>
          <w:rFonts w:hint="eastAsia" w:ascii="仿宋" w:hAnsi="仿宋" w:eastAsia="仿宋"/>
          <w:szCs w:val="30"/>
        </w:rPr>
        <w:t>十、其他重要事项的情况说明</w:t>
      </w:r>
      <w:r>
        <w:tab/>
      </w:r>
      <w:r>
        <w:fldChar w:fldCharType="begin"/>
      </w:r>
      <w:r>
        <w:instrText xml:space="preserve"> PAGEREF _Toc22721 \h </w:instrText>
      </w:r>
      <w:r>
        <w:fldChar w:fldCharType="separate"/>
      </w:r>
      <w:r>
        <w:t>23</w:t>
      </w:r>
      <w:r>
        <w:fldChar w:fldCharType="end"/>
      </w:r>
      <w:r>
        <w:fldChar w:fldCharType="end"/>
      </w:r>
    </w:p>
    <w:p>
      <w:pPr>
        <w:pStyle w:val="3"/>
        <w:tabs>
          <w:tab w:val="right" w:leader="dot" w:pos="8306"/>
        </w:tabs>
      </w:pPr>
      <w:r>
        <w:fldChar w:fldCharType="begin"/>
      </w:r>
      <w:r>
        <w:instrText xml:space="preserve"> HYPERLINK \l _Toc25234 </w:instrText>
      </w:r>
      <w:r>
        <w:fldChar w:fldCharType="separate"/>
      </w:r>
      <w:r>
        <w:rPr>
          <w:rFonts w:hint="eastAsia" w:ascii="黑体" w:hAnsi="黑体" w:eastAsia="黑体" w:cs="黑体"/>
          <w:szCs w:val="44"/>
          <w:lang w:eastAsia="zh-CN"/>
        </w:rPr>
        <w:t>第三部分</w:t>
      </w:r>
      <w:r>
        <w:rPr>
          <w:rFonts w:hint="eastAsia" w:ascii="黑体" w:hAnsi="黑体" w:eastAsia="黑体" w:cs="黑体"/>
          <w:szCs w:val="44"/>
          <w:lang w:val="en-US" w:eastAsia="zh-CN"/>
        </w:rPr>
        <w:t xml:space="preserve"> </w:t>
      </w:r>
      <w:r>
        <w:rPr>
          <w:rFonts w:hint="eastAsia" w:ascii="黑体" w:hAnsi="黑体" w:eastAsia="黑体" w:cs="黑体"/>
          <w:szCs w:val="44"/>
        </w:rPr>
        <w:t>名词解释</w:t>
      </w:r>
      <w:r>
        <w:tab/>
      </w:r>
      <w:r>
        <w:fldChar w:fldCharType="begin"/>
      </w:r>
      <w:r>
        <w:instrText xml:space="preserve"> PAGEREF _Toc25234 \h </w:instrText>
      </w:r>
      <w:r>
        <w:fldChar w:fldCharType="separate"/>
      </w:r>
      <w:r>
        <w:t>54</w:t>
      </w:r>
      <w:r>
        <w:fldChar w:fldCharType="end"/>
      </w:r>
      <w:r>
        <w:fldChar w:fldCharType="end"/>
      </w:r>
    </w:p>
    <w:p>
      <w:pPr>
        <w:pStyle w:val="3"/>
        <w:tabs>
          <w:tab w:val="right" w:leader="dot" w:pos="8306"/>
        </w:tabs>
      </w:pPr>
      <w:r>
        <w:fldChar w:fldCharType="begin"/>
      </w:r>
      <w:r>
        <w:instrText xml:space="preserve"> HYPERLINK \l _Toc8820 </w:instrText>
      </w:r>
      <w:r>
        <w:fldChar w:fldCharType="separate"/>
      </w:r>
      <w:r>
        <w:rPr>
          <w:rFonts w:hint="eastAsia" w:ascii="黑体" w:hAnsi="黑体" w:eastAsia="黑体" w:cs="黑体"/>
          <w:szCs w:val="44"/>
        </w:rPr>
        <w:t>第四部分 附件</w:t>
      </w:r>
      <w:r>
        <w:tab/>
      </w:r>
      <w:r>
        <w:fldChar w:fldCharType="begin"/>
      </w:r>
      <w:r>
        <w:instrText xml:space="preserve"> PAGEREF _Toc8820 \h </w:instrText>
      </w:r>
      <w:r>
        <w:fldChar w:fldCharType="separate"/>
      </w:r>
      <w:r>
        <w:t>56</w:t>
      </w:r>
      <w:r>
        <w:fldChar w:fldCharType="end"/>
      </w:r>
      <w:r>
        <w:fldChar w:fldCharType="end"/>
      </w:r>
    </w:p>
    <w:p>
      <w:pPr>
        <w:pStyle w:val="4"/>
        <w:tabs>
          <w:tab w:val="right" w:leader="dot" w:pos="8306"/>
        </w:tabs>
      </w:pPr>
      <w:r>
        <w:fldChar w:fldCharType="begin"/>
      </w:r>
      <w:r>
        <w:instrText xml:space="preserve"> HYPERLINK \l _Toc28287 </w:instrText>
      </w:r>
      <w:r>
        <w:fldChar w:fldCharType="separate"/>
      </w:r>
      <w:r>
        <w:rPr>
          <w:rFonts w:hint="eastAsia" w:ascii="仿宋" w:hAnsi="仿宋" w:eastAsia="仿宋" w:cs="黑体"/>
          <w:szCs w:val="30"/>
        </w:rPr>
        <w:t>附件</w:t>
      </w:r>
      <w:r>
        <w:rPr>
          <w:rFonts w:ascii="仿宋" w:hAnsi="仿宋" w:eastAsia="仿宋" w:cs="黑体"/>
          <w:szCs w:val="30"/>
        </w:rPr>
        <w:t>1</w:t>
      </w:r>
      <w:r>
        <w:tab/>
      </w:r>
      <w:r>
        <w:fldChar w:fldCharType="begin"/>
      </w:r>
      <w:r>
        <w:instrText xml:space="preserve"> PAGEREF _Toc28287 \h </w:instrText>
      </w:r>
      <w:r>
        <w:fldChar w:fldCharType="separate"/>
      </w:r>
      <w:r>
        <w:t>56</w:t>
      </w:r>
      <w:r>
        <w:fldChar w:fldCharType="end"/>
      </w:r>
      <w:r>
        <w:fldChar w:fldCharType="end"/>
      </w:r>
    </w:p>
    <w:p>
      <w:pPr>
        <w:pStyle w:val="4"/>
        <w:tabs>
          <w:tab w:val="right" w:leader="dot" w:pos="8306"/>
        </w:tabs>
      </w:pPr>
      <w:r>
        <w:fldChar w:fldCharType="begin"/>
      </w:r>
      <w:r>
        <w:instrText xml:space="preserve"> HYPERLINK \l _Toc15420 </w:instrText>
      </w:r>
      <w:r>
        <w:fldChar w:fldCharType="separate"/>
      </w:r>
      <w:r>
        <w:rPr>
          <w:rFonts w:hint="eastAsia" w:ascii="仿宋" w:hAnsi="仿宋" w:eastAsia="仿宋" w:cs="黑体"/>
          <w:szCs w:val="30"/>
        </w:rPr>
        <w:t>附件</w:t>
      </w:r>
      <w:r>
        <w:rPr>
          <w:rFonts w:ascii="仿宋" w:hAnsi="仿宋" w:eastAsia="仿宋" w:cs="黑体"/>
          <w:szCs w:val="30"/>
        </w:rPr>
        <w:t>2</w:t>
      </w:r>
      <w:r>
        <w:tab/>
      </w:r>
      <w:r>
        <w:fldChar w:fldCharType="begin"/>
      </w:r>
      <w:r>
        <w:instrText xml:space="preserve"> PAGEREF _Toc15420 \h </w:instrText>
      </w:r>
      <w:r>
        <w:fldChar w:fldCharType="separate"/>
      </w:r>
      <w:r>
        <w:t>64</w:t>
      </w:r>
      <w:r>
        <w:fldChar w:fldCharType="end"/>
      </w:r>
      <w:r>
        <w:fldChar w:fldCharType="end"/>
      </w:r>
    </w:p>
    <w:p>
      <w:pPr>
        <w:pStyle w:val="3"/>
        <w:tabs>
          <w:tab w:val="right" w:leader="dot" w:pos="8306"/>
        </w:tabs>
      </w:pPr>
      <w:r>
        <w:fldChar w:fldCharType="begin"/>
      </w:r>
      <w:r>
        <w:instrText xml:space="preserve"> HYPERLINK \l _Toc32408 </w:instrText>
      </w:r>
      <w:r>
        <w:fldChar w:fldCharType="separate"/>
      </w:r>
      <w:r>
        <w:rPr>
          <w:rFonts w:hint="eastAsia" w:ascii="黑体" w:hAnsi="黑体" w:eastAsia="黑体" w:cs="黑体"/>
          <w:szCs w:val="44"/>
          <w:lang w:eastAsia="zh-CN"/>
        </w:rPr>
        <w:t>第五部分</w:t>
      </w:r>
      <w:r>
        <w:rPr>
          <w:rFonts w:hint="eastAsia" w:ascii="黑体" w:hAnsi="黑体" w:eastAsia="黑体" w:cs="黑体"/>
          <w:szCs w:val="44"/>
          <w:lang w:val="en-US" w:eastAsia="zh-CN"/>
        </w:rPr>
        <w:t xml:space="preserve">  </w:t>
      </w:r>
      <w:r>
        <w:rPr>
          <w:rFonts w:hint="eastAsia" w:ascii="黑体" w:hAnsi="黑体" w:eastAsia="黑体" w:cs="黑体"/>
          <w:szCs w:val="44"/>
        </w:rPr>
        <w:t>附表</w:t>
      </w:r>
      <w:r>
        <w:tab/>
      </w:r>
      <w:r>
        <w:fldChar w:fldCharType="begin"/>
      </w:r>
      <w:r>
        <w:instrText xml:space="preserve"> PAGEREF _Toc32408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_Toc12601 </w:instrText>
      </w:r>
      <w:r>
        <w:fldChar w:fldCharType="separate"/>
      </w:r>
      <w:r>
        <w:rPr>
          <w:rFonts w:hint="eastAsia" w:ascii="仿宋" w:hAnsi="仿宋" w:eastAsia="仿宋"/>
          <w:szCs w:val="30"/>
        </w:rPr>
        <w:t>一、收</w:t>
      </w:r>
      <w:r>
        <w:rPr>
          <w:rFonts w:hint="eastAsia" w:ascii="仿宋" w:hAnsi="仿宋" w:eastAsia="仿宋"/>
          <w:bCs w:val="0"/>
          <w:szCs w:val="30"/>
        </w:rPr>
        <w:t>入支出决算总表</w:t>
      </w:r>
      <w:r>
        <w:tab/>
      </w:r>
      <w:r>
        <w:fldChar w:fldCharType="begin"/>
      </w:r>
      <w:r>
        <w:instrText xml:space="preserve"> PAGEREF _Toc12601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_Toc30444 </w:instrText>
      </w:r>
      <w:r>
        <w:fldChar w:fldCharType="separate"/>
      </w:r>
      <w:r>
        <w:rPr>
          <w:rFonts w:hint="eastAsia" w:ascii="仿宋" w:hAnsi="仿宋" w:eastAsia="仿宋"/>
          <w:szCs w:val="30"/>
        </w:rPr>
        <w:t>二、收</w:t>
      </w:r>
      <w:r>
        <w:rPr>
          <w:rFonts w:hint="eastAsia" w:ascii="仿宋" w:hAnsi="仿宋" w:eastAsia="仿宋"/>
          <w:bCs w:val="0"/>
          <w:szCs w:val="30"/>
        </w:rPr>
        <w:t>入决算表</w:t>
      </w:r>
      <w:r>
        <w:tab/>
      </w:r>
      <w:r>
        <w:fldChar w:fldCharType="begin"/>
      </w:r>
      <w:r>
        <w:instrText xml:space="preserve"> PAGEREF _Toc30444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_Toc27903 </w:instrText>
      </w:r>
      <w:r>
        <w:fldChar w:fldCharType="separate"/>
      </w:r>
      <w:r>
        <w:rPr>
          <w:rFonts w:hint="eastAsia" w:ascii="仿宋" w:hAnsi="仿宋" w:eastAsia="仿宋"/>
          <w:bCs w:val="0"/>
          <w:szCs w:val="30"/>
        </w:rPr>
        <w:t>三、</w:t>
      </w:r>
      <w:r>
        <w:rPr>
          <w:rFonts w:hint="eastAsia" w:ascii="仿宋" w:hAnsi="仿宋" w:eastAsia="仿宋"/>
          <w:szCs w:val="30"/>
        </w:rPr>
        <w:t>支</w:t>
      </w:r>
      <w:r>
        <w:rPr>
          <w:rFonts w:hint="eastAsia" w:ascii="仿宋" w:hAnsi="仿宋" w:eastAsia="仿宋"/>
          <w:bCs w:val="0"/>
          <w:szCs w:val="30"/>
        </w:rPr>
        <w:t>出决算表</w:t>
      </w:r>
      <w:r>
        <w:tab/>
      </w:r>
      <w:r>
        <w:fldChar w:fldCharType="begin"/>
      </w:r>
      <w:r>
        <w:instrText xml:space="preserve"> PAGEREF _Toc27903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_Toc21878 </w:instrText>
      </w:r>
      <w:r>
        <w:fldChar w:fldCharType="separate"/>
      </w:r>
      <w:r>
        <w:rPr>
          <w:rFonts w:hint="eastAsia" w:ascii="仿宋" w:hAnsi="仿宋" w:eastAsia="仿宋"/>
          <w:bCs w:val="0"/>
          <w:szCs w:val="30"/>
        </w:rPr>
        <w:t>四、</w:t>
      </w:r>
      <w:r>
        <w:rPr>
          <w:rFonts w:hint="eastAsia" w:ascii="仿宋" w:hAnsi="仿宋" w:eastAsia="仿宋"/>
          <w:szCs w:val="30"/>
        </w:rPr>
        <w:t>财</w:t>
      </w:r>
      <w:r>
        <w:rPr>
          <w:rFonts w:hint="eastAsia" w:ascii="仿宋" w:hAnsi="仿宋" w:eastAsia="仿宋"/>
          <w:bCs w:val="0"/>
          <w:szCs w:val="30"/>
        </w:rPr>
        <w:t>政拨款收入支出决算总表</w:t>
      </w:r>
      <w:r>
        <w:tab/>
      </w:r>
      <w:r>
        <w:fldChar w:fldCharType="begin"/>
      </w:r>
      <w:r>
        <w:instrText xml:space="preserve"> PAGEREF _Toc21878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_Toc7022 </w:instrText>
      </w:r>
      <w:r>
        <w:fldChar w:fldCharType="separate"/>
      </w:r>
      <w:r>
        <w:rPr>
          <w:rFonts w:hint="eastAsia" w:ascii="仿宋" w:hAnsi="仿宋" w:eastAsia="仿宋"/>
          <w:bCs w:val="0"/>
          <w:szCs w:val="30"/>
        </w:rPr>
        <w:t>五、</w:t>
      </w:r>
      <w:r>
        <w:rPr>
          <w:rFonts w:hint="eastAsia" w:ascii="仿宋" w:hAnsi="仿宋" w:eastAsia="仿宋"/>
          <w:szCs w:val="30"/>
        </w:rPr>
        <w:t>财</w:t>
      </w:r>
      <w:r>
        <w:rPr>
          <w:rFonts w:hint="eastAsia" w:ascii="仿宋" w:hAnsi="仿宋" w:eastAsia="仿宋"/>
          <w:bCs w:val="0"/>
          <w:szCs w:val="30"/>
        </w:rPr>
        <w:t>政拨款支出决算明细表</w:t>
      </w:r>
      <w:r>
        <w:tab/>
      </w:r>
      <w:bookmarkStart w:id="112" w:name="_GoBack"/>
      <w:bookmarkEnd w:id="112"/>
      <w:r>
        <w:fldChar w:fldCharType="begin"/>
      </w:r>
      <w:r>
        <w:instrText xml:space="preserve"> PAGEREF _Toc7022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_Toc27936 </w:instrText>
      </w:r>
      <w:r>
        <w:fldChar w:fldCharType="separate"/>
      </w:r>
      <w:r>
        <w:rPr>
          <w:rFonts w:hint="eastAsia" w:ascii="仿宋" w:hAnsi="仿宋" w:eastAsia="仿宋"/>
          <w:bCs w:val="0"/>
          <w:szCs w:val="30"/>
        </w:rPr>
        <w:t>六、</w:t>
      </w:r>
      <w:r>
        <w:rPr>
          <w:rFonts w:hint="eastAsia" w:ascii="仿宋" w:hAnsi="仿宋" w:eastAsia="仿宋"/>
          <w:szCs w:val="30"/>
        </w:rPr>
        <w:t>一</w:t>
      </w:r>
      <w:r>
        <w:rPr>
          <w:rFonts w:hint="eastAsia" w:ascii="仿宋" w:hAnsi="仿宋" w:eastAsia="仿宋"/>
          <w:bCs w:val="0"/>
          <w:szCs w:val="30"/>
        </w:rPr>
        <w:t>般公共预算财政拨款支出决算表</w:t>
      </w:r>
      <w:r>
        <w:tab/>
      </w:r>
      <w:r>
        <w:fldChar w:fldCharType="begin"/>
      </w:r>
      <w:r>
        <w:instrText xml:space="preserve"> PAGEREF _Toc27936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_Toc26666 </w:instrText>
      </w:r>
      <w:r>
        <w:fldChar w:fldCharType="separate"/>
      </w:r>
      <w:r>
        <w:rPr>
          <w:rFonts w:hint="eastAsia" w:ascii="仿宋" w:hAnsi="仿宋" w:eastAsia="仿宋"/>
          <w:bCs w:val="0"/>
          <w:szCs w:val="30"/>
        </w:rPr>
        <w:t>七、</w:t>
      </w:r>
      <w:r>
        <w:rPr>
          <w:rFonts w:hint="eastAsia" w:ascii="仿宋" w:hAnsi="仿宋" w:eastAsia="仿宋"/>
          <w:szCs w:val="30"/>
        </w:rPr>
        <w:t>一</w:t>
      </w:r>
      <w:r>
        <w:rPr>
          <w:rFonts w:hint="eastAsia" w:ascii="仿宋" w:hAnsi="仿宋" w:eastAsia="仿宋"/>
          <w:bCs w:val="0"/>
          <w:szCs w:val="30"/>
        </w:rPr>
        <w:t>般公共预算财政拨款支出决算明细表</w:t>
      </w:r>
      <w:r>
        <w:tab/>
      </w:r>
      <w:r>
        <w:fldChar w:fldCharType="begin"/>
      </w:r>
      <w:r>
        <w:instrText xml:space="preserve"> PAGEREF _Toc26666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_Toc21974 </w:instrText>
      </w:r>
      <w:r>
        <w:fldChar w:fldCharType="separate"/>
      </w:r>
      <w:r>
        <w:rPr>
          <w:rFonts w:hint="eastAsia" w:ascii="仿宋" w:hAnsi="仿宋" w:eastAsia="仿宋"/>
          <w:bCs w:val="0"/>
          <w:szCs w:val="30"/>
        </w:rPr>
        <w:t>八、</w:t>
      </w:r>
      <w:r>
        <w:rPr>
          <w:rFonts w:hint="eastAsia" w:ascii="仿宋" w:hAnsi="仿宋" w:eastAsia="仿宋"/>
          <w:szCs w:val="30"/>
        </w:rPr>
        <w:t>一</w:t>
      </w:r>
      <w:r>
        <w:rPr>
          <w:rFonts w:hint="eastAsia" w:ascii="仿宋" w:hAnsi="仿宋" w:eastAsia="仿宋"/>
          <w:bCs w:val="0"/>
          <w:szCs w:val="30"/>
        </w:rPr>
        <w:t>般公共预算财政拨款基本支出决算表</w:t>
      </w:r>
      <w:r>
        <w:tab/>
      </w:r>
      <w:r>
        <w:fldChar w:fldCharType="begin"/>
      </w:r>
      <w:r>
        <w:instrText xml:space="preserve"> PAGEREF _Toc21974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_Toc8933 </w:instrText>
      </w:r>
      <w:r>
        <w:fldChar w:fldCharType="separate"/>
      </w:r>
      <w:r>
        <w:rPr>
          <w:rFonts w:hint="eastAsia" w:ascii="仿宋" w:hAnsi="仿宋" w:eastAsia="仿宋"/>
          <w:bCs w:val="0"/>
          <w:szCs w:val="30"/>
        </w:rPr>
        <w:t>九、</w:t>
      </w:r>
      <w:r>
        <w:rPr>
          <w:rFonts w:hint="eastAsia" w:ascii="仿宋" w:hAnsi="仿宋" w:eastAsia="仿宋"/>
          <w:szCs w:val="30"/>
        </w:rPr>
        <w:t>一</w:t>
      </w:r>
      <w:r>
        <w:rPr>
          <w:rFonts w:hint="eastAsia" w:ascii="仿宋" w:hAnsi="仿宋" w:eastAsia="仿宋"/>
          <w:bCs w:val="0"/>
          <w:szCs w:val="30"/>
        </w:rPr>
        <w:t>般公共预算财政拨款项</w:t>
      </w:r>
      <w:r>
        <w:rPr>
          <w:rFonts w:hint="eastAsia" w:ascii="仿宋" w:hAnsi="仿宋" w:eastAsia="仿宋"/>
          <w:szCs w:val="30"/>
        </w:rPr>
        <w:t>目支出决算表</w:t>
      </w:r>
      <w:r>
        <w:tab/>
      </w:r>
      <w:r>
        <w:fldChar w:fldCharType="begin"/>
      </w:r>
      <w:r>
        <w:instrText xml:space="preserve"> PAGEREF _Toc8933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_Toc8752 </w:instrText>
      </w:r>
      <w:r>
        <w:fldChar w:fldCharType="separate"/>
      </w:r>
      <w:r>
        <w:rPr>
          <w:rFonts w:hint="eastAsia" w:ascii="仿宋" w:hAnsi="仿宋" w:eastAsia="仿宋"/>
          <w:bCs w:val="0"/>
          <w:szCs w:val="30"/>
        </w:rPr>
        <w:t>十、</w:t>
      </w:r>
      <w:r>
        <w:rPr>
          <w:rFonts w:hint="eastAsia" w:ascii="仿宋" w:hAnsi="仿宋" w:eastAsia="仿宋"/>
          <w:szCs w:val="30"/>
        </w:rPr>
        <w:t>一</w:t>
      </w:r>
      <w:r>
        <w:rPr>
          <w:rFonts w:hint="eastAsia" w:ascii="仿宋" w:hAnsi="仿宋" w:eastAsia="仿宋"/>
          <w:bCs w:val="0"/>
          <w:szCs w:val="30"/>
        </w:rPr>
        <w:t>般公共预算财政拨款“三公”经费支出决算表</w:t>
      </w:r>
      <w:r>
        <w:tab/>
      </w:r>
      <w:r>
        <w:fldChar w:fldCharType="begin"/>
      </w:r>
      <w:r>
        <w:instrText xml:space="preserve"> PAGEREF _Toc8752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_Toc14038 </w:instrText>
      </w:r>
      <w:r>
        <w:fldChar w:fldCharType="separate"/>
      </w:r>
      <w:r>
        <w:rPr>
          <w:rFonts w:hint="eastAsia" w:ascii="仿宋" w:hAnsi="仿宋" w:eastAsia="仿宋"/>
          <w:bCs w:val="0"/>
          <w:szCs w:val="30"/>
        </w:rPr>
        <w:t>十一、</w:t>
      </w:r>
      <w:r>
        <w:rPr>
          <w:rFonts w:hint="eastAsia" w:ascii="仿宋" w:hAnsi="仿宋" w:eastAsia="仿宋"/>
          <w:szCs w:val="30"/>
        </w:rPr>
        <w:t>政</w:t>
      </w:r>
      <w:r>
        <w:rPr>
          <w:rFonts w:hint="eastAsia" w:ascii="仿宋" w:hAnsi="仿宋" w:eastAsia="仿宋"/>
          <w:bCs w:val="0"/>
          <w:szCs w:val="30"/>
        </w:rPr>
        <w:t>府性基金预算财政拨款收入支出决算表</w:t>
      </w:r>
      <w:r>
        <w:tab/>
      </w:r>
      <w:r>
        <w:fldChar w:fldCharType="begin"/>
      </w:r>
      <w:r>
        <w:instrText xml:space="preserve"> PAGEREF _Toc14038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_Toc12162 </w:instrText>
      </w:r>
      <w:r>
        <w:fldChar w:fldCharType="separate"/>
      </w:r>
      <w:r>
        <w:rPr>
          <w:rFonts w:hint="eastAsia" w:ascii="仿宋" w:hAnsi="仿宋" w:eastAsia="仿宋"/>
          <w:bCs w:val="0"/>
          <w:szCs w:val="30"/>
        </w:rPr>
        <w:t>十二、</w:t>
      </w:r>
      <w:r>
        <w:rPr>
          <w:rFonts w:hint="eastAsia" w:ascii="仿宋" w:hAnsi="仿宋" w:eastAsia="仿宋"/>
          <w:szCs w:val="30"/>
        </w:rPr>
        <w:t>政</w:t>
      </w:r>
      <w:r>
        <w:rPr>
          <w:rFonts w:hint="eastAsia" w:ascii="仿宋" w:hAnsi="仿宋" w:eastAsia="仿宋"/>
          <w:bCs w:val="0"/>
          <w:szCs w:val="30"/>
        </w:rPr>
        <w:t>府性基金预算财政拨款“三公”经费支出决算表</w:t>
      </w:r>
      <w:r>
        <w:tab/>
      </w:r>
      <w:r>
        <w:fldChar w:fldCharType="begin"/>
      </w:r>
      <w:r>
        <w:instrText xml:space="preserve"> PAGEREF _Toc12162 \h </w:instrText>
      </w:r>
      <w:r>
        <w:fldChar w:fldCharType="separate"/>
      </w:r>
      <w:r>
        <w:t>73</w:t>
      </w:r>
      <w:r>
        <w:fldChar w:fldCharType="end"/>
      </w:r>
      <w:r>
        <w:fldChar w:fldCharType="end"/>
      </w:r>
    </w:p>
    <w:p>
      <w:pPr>
        <w:pStyle w:val="4"/>
        <w:tabs>
          <w:tab w:val="right" w:leader="dot" w:pos="8306"/>
        </w:tabs>
      </w:pPr>
      <w:r>
        <w:fldChar w:fldCharType="begin"/>
      </w:r>
      <w:r>
        <w:instrText xml:space="preserve"> HYPERLINK \l _Toc5908 </w:instrText>
      </w:r>
      <w:r>
        <w:fldChar w:fldCharType="separate"/>
      </w:r>
      <w:r>
        <w:rPr>
          <w:rFonts w:hint="eastAsia" w:ascii="仿宋" w:hAnsi="仿宋" w:eastAsia="仿宋"/>
          <w:bCs w:val="0"/>
          <w:szCs w:val="30"/>
        </w:rPr>
        <w:t>十三、</w:t>
      </w:r>
      <w:r>
        <w:rPr>
          <w:rFonts w:hint="eastAsia" w:ascii="仿宋" w:hAnsi="仿宋" w:eastAsia="仿宋"/>
          <w:szCs w:val="30"/>
        </w:rPr>
        <w:t>国</w:t>
      </w:r>
      <w:r>
        <w:rPr>
          <w:rFonts w:hint="eastAsia" w:ascii="仿宋" w:hAnsi="仿宋" w:eastAsia="仿宋"/>
          <w:bCs w:val="0"/>
          <w:szCs w:val="30"/>
        </w:rPr>
        <w:t>有资本经营预算财政拨款支出决算表</w:t>
      </w:r>
      <w:r>
        <w:tab/>
      </w:r>
      <w:r>
        <w:fldChar w:fldCharType="begin"/>
      </w:r>
      <w:r>
        <w:instrText xml:space="preserve"> PAGEREF _Toc5908 \h </w:instrText>
      </w:r>
      <w:r>
        <w:fldChar w:fldCharType="separate"/>
      </w:r>
      <w:r>
        <w:t>73</w:t>
      </w:r>
      <w:r>
        <w:fldChar w:fldCharType="end"/>
      </w:r>
      <w:r>
        <w:fldChar w:fldCharType="end"/>
      </w:r>
    </w:p>
    <w:p>
      <w:pPr>
        <w:widowControl/>
        <w:spacing w:line="440" w:lineRule="exact"/>
        <w:jc w:val="center"/>
        <w:outlineLvl w:val="0"/>
      </w:pPr>
      <w:r>
        <w:fldChar w:fldCharType="end"/>
      </w:r>
    </w:p>
    <w:p>
      <w:pPr>
        <w:widowControl/>
        <w:spacing w:line="440" w:lineRule="exact"/>
        <w:jc w:val="center"/>
        <w:outlineLvl w:val="0"/>
        <w:rPr>
          <w:rFonts w:hint="eastAsia" w:ascii="黑体" w:hAnsi="黑体" w:eastAsia="黑体"/>
          <w:b w:val="0"/>
        </w:rPr>
      </w:pPr>
      <w:r>
        <w:br w:type="page"/>
      </w:r>
      <w:bookmarkStart w:id="14" w:name="_Toc3954"/>
      <w:r>
        <w:rPr>
          <w:rStyle w:val="37"/>
          <w:rFonts w:hint="eastAsia"/>
        </w:rPr>
        <w:t>第一部分 部门概况</w:t>
      </w:r>
      <w:bookmarkEnd w:id="12"/>
      <w:bookmarkEnd w:id="13"/>
      <w:bookmarkEnd w:id="14"/>
    </w:p>
    <w:p>
      <w:pPr>
        <w:pStyle w:val="10"/>
        <w:outlineLvl w:val="1"/>
        <w:rPr>
          <w:rFonts w:hint="eastAsia" w:ascii="黑体" w:hAnsi="黑体" w:eastAsia="黑体"/>
          <w:b w:val="0"/>
          <w:color w:val="000000"/>
        </w:rPr>
      </w:pPr>
      <w:bookmarkStart w:id="15" w:name="_Toc15377197"/>
      <w:bookmarkStart w:id="16" w:name="_Toc15396600"/>
      <w:bookmarkStart w:id="17" w:name="_Toc27531"/>
      <w:r>
        <w:rPr>
          <w:rFonts w:hint="eastAsia" w:ascii="黑体" w:hAnsi="黑体" w:eastAsia="黑体"/>
          <w:b w:val="0"/>
          <w:color w:val="000000"/>
        </w:rPr>
        <w:t>一、基本职能及主要工作</w:t>
      </w:r>
      <w:bookmarkEnd w:id="15"/>
      <w:bookmarkEnd w:id="16"/>
      <w:bookmarkEnd w:id="17"/>
    </w:p>
    <w:p>
      <w:pPr>
        <w:pStyle w:val="16"/>
        <w:adjustRightInd w:val="0"/>
        <w:snapToGrid w:val="0"/>
        <w:spacing w:before="93" w:line="600" w:lineRule="exact"/>
        <w:ind w:firstLine="632" w:firstLineChars="210"/>
        <w:outlineLvl w:val="2"/>
        <w:rPr>
          <w:rFonts w:hint="eastAsia" w:ascii="仿宋" w:hAnsi="仿宋" w:eastAsia="仿宋"/>
          <w:b/>
          <w:bCs/>
          <w:color w:val="000000"/>
          <w:sz w:val="30"/>
          <w:szCs w:val="30"/>
          <w:lang w:eastAsia="zh-CN"/>
        </w:rPr>
      </w:pPr>
      <w:bookmarkStart w:id="18" w:name="_Toc15378445"/>
      <w:bookmarkStart w:id="19" w:name="_Toc15377198"/>
      <w:r>
        <w:rPr>
          <w:rFonts w:hint="eastAsia" w:ascii="仿宋" w:hAnsi="仿宋" w:eastAsia="仿宋"/>
          <w:b/>
          <w:bCs/>
          <w:color w:val="000000"/>
          <w:sz w:val="30"/>
          <w:szCs w:val="30"/>
        </w:rPr>
        <w:t>（一）主要职能</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拟订全县教育科技体育体制改革方案和教育科技</w:t>
      </w:r>
    </w:p>
    <w:p>
      <w:pPr>
        <w:adjustRightInd w:val="0"/>
        <w:snapToGrid w:val="0"/>
        <w:spacing w:line="600" w:lineRule="exact"/>
        <w:jc w:val="left"/>
        <w:rPr>
          <w:rFonts w:hint="eastAsia" w:ascii="仿宋" w:hAnsi="仿宋" w:eastAsia="仿宋" w:cs="仿宋_GB2312"/>
          <w:sz w:val="30"/>
          <w:szCs w:val="30"/>
        </w:rPr>
      </w:pPr>
      <w:r>
        <w:rPr>
          <w:rFonts w:hint="eastAsia" w:ascii="仿宋" w:hAnsi="仿宋" w:eastAsia="仿宋" w:cs="仿宋_GB2312"/>
          <w:sz w:val="30"/>
          <w:szCs w:val="30"/>
        </w:rPr>
        <w:t>体育事业发展规划并组织实施，负责全县教育科技体育的统筹规划和协调管理。</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rPr>
        <w:t>指导全县各级各类学校的教育教学改革工作，负责全县中小学布局结构调整和教育科技体育系统基本信息统计、分析、发布以及教育信息化建设</w:t>
      </w:r>
      <w:r>
        <w:rPr>
          <w:rFonts w:hint="eastAsia" w:ascii="仿宋" w:hAnsi="仿宋" w:eastAsia="仿宋" w:cs="仿宋_GB2312"/>
          <w:sz w:val="30"/>
          <w:szCs w:val="30"/>
          <w:lang w:eastAsia="zh-CN"/>
        </w:rPr>
        <w:t>等</w:t>
      </w:r>
      <w:r>
        <w:rPr>
          <w:rFonts w:hint="eastAsia" w:ascii="仿宋" w:hAnsi="仿宋" w:eastAsia="仿宋" w:cs="仿宋_GB2312"/>
          <w:sz w:val="30"/>
          <w:szCs w:val="30"/>
        </w:rPr>
        <w:t>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3、</w:t>
      </w:r>
      <w:r>
        <w:rPr>
          <w:rFonts w:hint="eastAsia" w:ascii="仿宋" w:hAnsi="仿宋" w:eastAsia="仿宋" w:cs="仿宋_GB2312"/>
          <w:sz w:val="30"/>
          <w:szCs w:val="30"/>
        </w:rPr>
        <w:t>负责义务教育、学前教育、特殊教育的宏观指导</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与协调，推进全县义务教育均衡发展和促进教育公平。管理</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普通高中教育、中等职业教育、学前教育、特殊教育工作推进基础教育教学改革，全面实施素质教育。</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4、</w:t>
      </w:r>
      <w:r>
        <w:rPr>
          <w:rFonts w:hint="eastAsia" w:ascii="仿宋" w:hAnsi="仿宋" w:eastAsia="仿宋" w:cs="仿宋_GB2312"/>
          <w:sz w:val="30"/>
          <w:szCs w:val="30"/>
        </w:rPr>
        <w:t>统筹和指导全县教育督导工作，负责组织指导、督导检查和评估验收基本普及九年义务教育、扫除青壮年文盲工作，指导基础教育发展和质量监测工作。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5、</w:t>
      </w:r>
      <w:r>
        <w:rPr>
          <w:rFonts w:hint="eastAsia" w:ascii="仿宋" w:hAnsi="仿宋" w:eastAsia="仿宋" w:cs="仿宋_GB2312"/>
          <w:sz w:val="30"/>
          <w:szCs w:val="30"/>
        </w:rPr>
        <w:t>指导以就业为导向的职业教育发展与改革工作。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6、</w:t>
      </w:r>
      <w:r>
        <w:rPr>
          <w:rFonts w:hint="eastAsia" w:ascii="仿宋" w:hAnsi="仿宋" w:eastAsia="仿宋" w:cs="仿宋_GB2312"/>
          <w:sz w:val="30"/>
          <w:szCs w:val="30"/>
        </w:rPr>
        <w:t>负责全县教育科技体育经费的统筹管理，参与拟订教育科技体育经费筹措、经费划拨、基建投资政策措施，监督指导全县教育科技体育经费的筹措和使用情况，监督指导国（境）外教育科技体育项目援助、项目贷款和项目合作执行情况。</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7、</w:t>
      </w:r>
      <w:r>
        <w:rPr>
          <w:rFonts w:hint="eastAsia" w:ascii="仿宋" w:hAnsi="仿宋" w:eastAsia="仿宋" w:cs="仿宋_GB2312"/>
          <w:sz w:val="30"/>
          <w:szCs w:val="30"/>
        </w:rPr>
        <w:t>统筹规划、综合管理全县民办教育，规范民办教育办学秩序，促进民办教育事业健康发展。监督指导部门举办学校和社会力量办学情况。</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8、</w:t>
      </w:r>
      <w:r>
        <w:rPr>
          <w:rFonts w:hint="eastAsia" w:ascii="仿宋" w:hAnsi="仿宋" w:eastAsia="仿宋" w:cs="仿宋_GB2312"/>
          <w:sz w:val="30"/>
          <w:szCs w:val="30"/>
        </w:rPr>
        <w:t>指导教育科技体育系统人才队伍建设工作，拟订教育、科技、体育人才队伍建设规划和政策措施并组织实施。</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主管全县教师工作，负责组织实施教育科技体育系统继续教育、专业技术职务资格评审和教师资格认定的有关工作。组织实施科技人才计划，建立健全科技人才评价和激励机制，推动高层次科技创新人才队伍建设，负责全县科学技术奖的评审组织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9、</w:t>
      </w:r>
      <w:r>
        <w:rPr>
          <w:rFonts w:hint="eastAsia" w:ascii="仿宋" w:hAnsi="仿宋" w:eastAsia="仿宋" w:cs="仿宋_GB2312"/>
          <w:sz w:val="30"/>
          <w:szCs w:val="30"/>
        </w:rPr>
        <w:t>指导全县各级各类学校的思想政治、德育、体育</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卫生与艺术教育、国防教育、科技创新工作。指导全县教育</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科技体育系统党建和精神文明建设工作，会同有关部门加强</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学校等直属单位领导班子建设。</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10、</w:t>
      </w:r>
      <w:r>
        <w:rPr>
          <w:rFonts w:hint="eastAsia" w:ascii="仿宋" w:hAnsi="仿宋" w:eastAsia="仿宋" w:cs="仿宋_GB2312"/>
          <w:sz w:val="30"/>
          <w:szCs w:val="30"/>
        </w:rPr>
        <w:t>负责指导全县教育教学、科技体育工作和教育类</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学会、协会、研究会、基金会等教育社团组织工作，规划指导教育科研、教育技术装备和现代信息技术教育工作，组织开展教学研究、教育科学研究、科技创新活动。</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11、</w:t>
      </w:r>
      <w:r>
        <w:rPr>
          <w:rFonts w:hint="eastAsia" w:ascii="仿宋" w:hAnsi="仿宋" w:eastAsia="仿宋" w:cs="仿宋_GB2312"/>
          <w:sz w:val="30"/>
          <w:szCs w:val="30"/>
        </w:rPr>
        <w:t>会同有关部门拟订中等职业教育学校及高中招</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生计划并组织实施，负责权限内各类学历教育考试工作和基础教育、中等职业教育、成人教育学籍学历管理工作。指导普通高等学校毕业生就业创业工作。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12、</w:t>
      </w:r>
      <w:r>
        <w:rPr>
          <w:rFonts w:hint="eastAsia" w:ascii="仿宋" w:hAnsi="仿宋" w:eastAsia="仿宋" w:cs="仿宋_GB2312"/>
          <w:sz w:val="30"/>
          <w:szCs w:val="30"/>
        </w:rPr>
        <w:t>拟定全县语言文字工作规划并组织实施，指导</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普通话推广和普通话师资培训工作，承担县语言文字工作委</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员会具体工作。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13、</w:t>
      </w:r>
      <w:r>
        <w:rPr>
          <w:rFonts w:hint="eastAsia" w:ascii="仿宋" w:hAnsi="仿宋" w:eastAsia="仿宋" w:cs="仿宋_GB2312"/>
          <w:sz w:val="30"/>
          <w:szCs w:val="30"/>
        </w:rPr>
        <w:t>拟订全县农村义务教育学生营养改善计划规划</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方案并组织实施。监督指导全县学校后勤管理和学校安全稳定工作。督促学校加强校舍、食品、卫生、饮水、道路交通、</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教学设施设备等安全管理，协调学校重大安全事故的处理等</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14、</w:t>
      </w:r>
      <w:r>
        <w:rPr>
          <w:rFonts w:hint="eastAsia" w:ascii="仿宋" w:hAnsi="仿宋" w:eastAsia="仿宋" w:cs="仿宋_GB2312"/>
          <w:sz w:val="30"/>
          <w:szCs w:val="30"/>
        </w:rPr>
        <w:t>组织指导全县教育科技体育系统对外交流与合</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作，开展港澳台教育科技体育交流与合作，开展国际科技合作与科技人才交流，指导相关部门和乡镇对外科技合作与科技人才交流工作。负责教育科技体育系统来通外籍教师的有关管理工作，负责建立外国专家联系服务机制和引进国外智力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15、</w:t>
      </w:r>
      <w:r>
        <w:rPr>
          <w:rFonts w:hint="eastAsia" w:ascii="仿宋" w:hAnsi="仿宋" w:eastAsia="仿宋" w:cs="仿宋_GB2312"/>
          <w:sz w:val="30"/>
          <w:szCs w:val="30"/>
        </w:rPr>
        <w:t>组织实施全县创新驱动发展战略，统筹推进全县创新体系建设，会同有关部门健全技术创新激励机制。优化科研体系建设，指导科技发展、科技创新工作，推动企业科创能力建设和重大科技决策咨询制度建设。</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16、</w:t>
      </w:r>
      <w:r>
        <w:rPr>
          <w:rFonts w:hint="eastAsia" w:ascii="仿宋" w:hAnsi="仿宋" w:eastAsia="仿宋" w:cs="仿宋_GB2312"/>
          <w:sz w:val="30"/>
          <w:szCs w:val="30"/>
        </w:rPr>
        <w:t>牵头建立统一的全县科技管理平台和科技项目资金协调、实施、评估、监管机制。会同有关部门提出优化配置科技资源的政策措施建议，推动多元化科技投入体系建设。组织拟订县级财政科技计划（专项、基金）并监督实施。</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17、</w:t>
      </w:r>
      <w:r>
        <w:rPr>
          <w:rFonts w:hint="eastAsia" w:ascii="仿宋" w:hAnsi="仿宋" w:eastAsia="仿宋" w:cs="仿宋_GB2312"/>
          <w:sz w:val="30"/>
          <w:szCs w:val="30"/>
        </w:rPr>
        <w:t>组织实施科学普及和科学传播规划，监督实施</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重大科技创新基地、基础设施建设规划。牵头承担国家、省、</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市重点实验室建设管理。推动科研条件保障建设和科技资源</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开放共享。</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18、</w:t>
      </w:r>
      <w:r>
        <w:rPr>
          <w:rFonts w:hint="eastAsia" w:ascii="仿宋" w:hAnsi="仿宋" w:eastAsia="仿宋" w:cs="仿宋_GB2312"/>
          <w:sz w:val="30"/>
          <w:szCs w:val="30"/>
        </w:rPr>
        <w:t>编制全县重大科技专项方案并组织实施，统筹</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关键共性技术、现代工程技术研发和创新，牵头组织重大技术攻关和成果应用示范。组织拟订高新技术发展及产业化、科技促进农业农村和社会发展的规划、政策和措施。组织开展重点领域技术发展需求分析，提出重大任务并组织实施。</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19、</w:t>
      </w:r>
      <w:r>
        <w:rPr>
          <w:rFonts w:hint="eastAsia" w:ascii="仿宋" w:hAnsi="仿宋" w:eastAsia="仿宋" w:cs="仿宋_GB2312"/>
          <w:sz w:val="30"/>
          <w:szCs w:val="30"/>
        </w:rPr>
        <w:t>牵头全县技术转移体系建设，拟订科技成果转</w:t>
      </w:r>
    </w:p>
    <w:p>
      <w:pPr>
        <w:adjustRightInd w:val="0"/>
        <w:snapToGrid w:val="0"/>
        <w:spacing w:line="600" w:lineRule="exact"/>
        <w:rPr>
          <w:rFonts w:hint="eastAsia" w:ascii="仿宋" w:hAnsi="仿宋" w:eastAsia="仿宋" w:cs="仿宋_GB2312"/>
          <w:sz w:val="30"/>
          <w:szCs w:val="30"/>
        </w:rPr>
      </w:pPr>
      <w:r>
        <w:rPr>
          <w:rFonts w:hint="eastAsia" w:ascii="仿宋" w:hAnsi="仿宋" w:eastAsia="仿宋" w:cs="仿宋_GB2312"/>
          <w:sz w:val="30"/>
          <w:szCs w:val="30"/>
        </w:rPr>
        <w:t>移转化和促进产学研结合的相关政策措施并组织实施。指导科技服务业、技术市场和科技中介组织发展。统筹区域科技创新体系建设，指导区域创新发展、科技资源合理布局和协同创新能力建设，推动科技园区建设。负责科技监督评价体系建设和相关科技评估管理，指导科技评价机制改革，统筹科研诚信建设。组织实施全县创新调查和科技报告制度，指导全县科技保密相关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20、</w:t>
      </w:r>
      <w:r>
        <w:rPr>
          <w:rFonts w:hint="eastAsia" w:ascii="仿宋" w:hAnsi="仿宋" w:eastAsia="仿宋" w:cs="仿宋_GB2312"/>
          <w:sz w:val="30"/>
          <w:szCs w:val="30"/>
        </w:rPr>
        <w:t>组织实施全县体育发展战略，推动多元体育服务、体育公共服务体系和国民体质监测、社会体育指导工作队伍建设，监督指导全县公共体育设施建设，监督实施国家体育锻炼标准和全民健身计划。</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21、</w:t>
      </w:r>
      <w:r>
        <w:rPr>
          <w:rFonts w:hint="eastAsia" w:ascii="仿宋" w:hAnsi="仿宋" w:eastAsia="仿宋" w:cs="仿宋_GB2312"/>
          <w:sz w:val="30"/>
          <w:szCs w:val="30"/>
        </w:rPr>
        <w:t>指导和管理体育训练、体育竞赛和运动队伍建设，指导和推进青少年体育工作，组织协调县级及以上综合性运动会的竞赛、运动员社会保障工作，监督指导反兴奋剂工作。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22、</w:t>
      </w:r>
      <w:r>
        <w:rPr>
          <w:rFonts w:hint="eastAsia" w:ascii="仿宋" w:hAnsi="仿宋" w:eastAsia="仿宋" w:cs="仿宋_GB2312"/>
          <w:sz w:val="30"/>
          <w:szCs w:val="30"/>
        </w:rPr>
        <w:t>加强体育彩票销售网点规范化建设，监督管理体育彩票经营活动。</w:t>
      </w:r>
    </w:p>
    <w:p>
      <w:pPr>
        <w:adjustRightInd w:val="0"/>
        <w:snapToGrid w:val="0"/>
        <w:spacing w:line="600" w:lineRule="exact"/>
        <w:ind w:firstLine="720"/>
      </w:pPr>
      <w:r>
        <w:rPr>
          <w:rFonts w:hint="eastAsia" w:ascii="仿宋" w:hAnsi="仿宋" w:eastAsia="仿宋" w:cs="仿宋_GB2312"/>
          <w:sz w:val="30"/>
          <w:szCs w:val="30"/>
          <w:lang w:val="en-US" w:eastAsia="zh-CN"/>
        </w:rPr>
        <w:t>23、</w:t>
      </w:r>
      <w:r>
        <w:rPr>
          <w:rFonts w:hint="eastAsia" w:ascii="仿宋" w:hAnsi="仿宋" w:eastAsia="仿宋" w:cs="仿宋_GB2312"/>
          <w:sz w:val="30"/>
          <w:szCs w:val="30"/>
        </w:rPr>
        <w:t>负责职责范围内的安全生产和职业健康、生态环境保护、审批服务便民化等工作。</w:t>
      </w:r>
    </w:p>
    <w:p>
      <w:pPr>
        <w:adjustRightInd w:val="0"/>
        <w:snapToGrid w:val="0"/>
        <w:spacing w:line="600" w:lineRule="exact"/>
        <w:ind w:firstLine="720"/>
        <w:rPr>
          <w:rFonts w:hint="eastAsia" w:ascii="仿宋" w:hAnsi="仿宋" w:eastAsia="仿宋" w:cs="仿宋_GB2312"/>
          <w:sz w:val="30"/>
          <w:szCs w:val="30"/>
        </w:rPr>
      </w:pPr>
      <w:r>
        <w:rPr>
          <w:rFonts w:hint="eastAsia" w:ascii="仿宋" w:hAnsi="仿宋" w:eastAsia="仿宋" w:cs="仿宋_GB2312"/>
          <w:sz w:val="30"/>
          <w:szCs w:val="30"/>
          <w:lang w:val="en-US" w:eastAsia="zh-CN"/>
        </w:rPr>
        <w:t>24、</w:t>
      </w:r>
      <w:r>
        <w:rPr>
          <w:rFonts w:hint="eastAsia" w:ascii="仿宋" w:hAnsi="仿宋" w:eastAsia="仿宋" w:cs="仿宋_GB2312"/>
          <w:sz w:val="30"/>
          <w:szCs w:val="30"/>
        </w:rPr>
        <w:t>完成县委、县政府交办的其他任务。</w:t>
      </w:r>
    </w:p>
    <w:bookmarkEnd w:id="18"/>
    <w:bookmarkEnd w:id="19"/>
    <w:p>
      <w:pPr>
        <w:pStyle w:val="16"/>
        <w:adjustRightInd w:val="0"/>
        <w:snapToGrid w:val="0"/>
        <w:spacing w:before="93" w:line="600" w:lineRule="exact"/>
        <w:ind w:firstLine="630" w:firstLineChars="210"/>
        <w:outlineLvl w:val="2"/>
        <w:rPr>
          <w:rFonts w:hint="eastAsia" w:ascii="仿宋" w:hAnsi="仿宋" w:eastAsia="仿宋"/>
          <w:bCs/>
          <w:color w:val="000000"/>
          <w:sz w:val="30"/>
          <w:szCs w:val="30"/>
          <w:lang w:eastAsia="zh-CN"/>
        </w:rPr>
      </w:pPr>
      <w:bookmarkStart w:id="20" w:name="_Toc15378446"/>
      <w:bookmarkStart w:id="21" w:name="_Toc15377199"/>
      <w:r>
        <w:rPr>
          <w:rFonts w:hint="eastAsia" w:ascii="仿宋" w:hAnsi="仿宋" w:eastAsia="仿宋"/>
          <w:bCs/>
          <w:color w:val="000000"/>
          <w:sz w:val="30"/>
          <w:szCs w:val="30"/>
        </w:rPr>
        <w:t>（二）</w:t>
      </w:r>
      <w:r>
        <w:rPr>
          <w:rFonts w:ascii="仿宋" w:hAnsi="仿宋" w:eastAsia="仿宋"/>
          <w:bCs/>
          <w:color w:val="000000"/>
          <w:sz w:val="30"/>
          <w:szCs w:val="30"/>
        </w:rPr>
        <w:t>2020</w:t>
      </w:r>
      <w:r>
        <w:rPr>
          <w:rFonts w:hint="eastAsia" w:ascii="仿宋" w:hAnsi="仿宋" w:eastAsia="仿宋"/>
          <w:bCs/>
          <w:color w:val="000000"/>
          <w:sz w:val="30"/>
          <w:szCs w:val="30"/>
        </w:rPr>
        <w:t>年重点工作完成情况。</w:t>
      </w:r>
      <w:bookmarkEnd w:id="20"/>
      <w:bookmarkEnd w:id="21"/>
    </w:p>
    <w:p>
      <w:pPr>
        <w:spacing w:line="595" w:lineRule="exact"/>
        <w:ind w:firstLine="600" w:firstLineChars="200"/>
        <w:rPr>
          <w:rFonts w:hint="eastAsia" w:ascii="仿宋" w:hAnsi="仿宋" w:eastAsia="仿宋" w:cs="黑体"/>
          <w:b/>
          <w:bCs/>
          <w:sz w:val="30"/>
          <w:szCs w:val="30"/>
        </w:rPr>
      </w:pPr>
      <w:r>
        <w:rPr>
          <w:rFonts w:hint="eastAsia" w:ascii="仿宋" w:hAnsi="仿宋" w:eastAsia="仿宋" w:cs="黑体"/>
          <w:bCs/>
          <w:sz w:val="30"/>
          <w:szCs w:val="30"/>
        </w:rPr>
        <w:t>1、全面加强党的建设：</w:t>
      </w:r>
      <w:r>
        <w:rPr>
          <w:rFonts w:hint="eastAsia" w:ascii="仿宋" w:hAnsi="仿宋" w:eastAsia="仿宋" w:cs="楷体_GB2312"/>
          <w:bCs/>
          <w:sz w:val="30"/>
          <w:szCs w:val="30"/>
        </w:rPr>
        <w:t>（一）抓实思想政治建设；</w:t>
      </w:r>
      <w:r>
        <w:rPr>
          <w:rFonts w:hint="eastAsia" w:ascii="仿宋" w:hAnsi="仿宋" w:eastAsia="仿宋" w:cs="仿宋_GB2312"/>
          <w:sz w:val="30"/>
          <w:szCs w:val="30"/>
        </w:rPr>
        <w:t>深入贯彻落实党的十九届四中全会及省市县委全会精神，巩固“不忘初心、牢记使命”主题教育成果，抓好问题整改，确保取得实效；抓实政治理论学习，引导党员干部深刻领会习近平新时代中国特色社会主义思想的核心要义，自觉在思想上、政治上、行动上同以习近平同志为核心的党中央保持高度一致；全面落实意识形态工作责任制，加强意识形态阵地的扩正控负管控，健全网络舆情分析研判机制，强化网络舆情信息监测。</w:t>
      </w:r>
      <w:r>
        <w:rPr>
          <w:rFonts w:hint="eastAsia" w:ascii="仿宋" w:hAnsi="仿宋" w:eastAsia="仿宋" w:cs="楷体_GB2312"/>
          <w:bCs/>
          <w:sz w:val="30"/>
          <w:szCs w:val="30"/>
        </w:rPr>
        <w:t>（二）抓实基层组织建设。</w:t>
      </w:r>
      <w:r>
        <w:rPr>
          <w:rFonts w:hint="eastAsia" w:ascii="仿宋" w:hAnsi="仿宋" w:eastAsia="仿宋" w:cs="仿宋_GB2312"/>
          <w:sz w:val="30"/>
          <w:szCs w:val="30"/>
        </w:rPr>
        <w:t>丰富党内组织生活形式，坚持集体领导和“三重一大”事项集体讨论制度，严格落实“三会一课”“主题党日活动”、民主评议党员等制度；以创建“党建示范学校”为抓手，推进支部设置标准化、组织生活日常化、管理服务精细化、工作制度体系化、阵地建设规范化，持续整顿软弱涣散党组织；深入落实“双培养”机制，选树一批优秀党员干部；严格执行党员发展工作程序，做好离退休党员、流动党员管理服务工作。</w:t>
      </w:r>
      <w:r>
        <w:rPr>
          <w:rFonts w:hint="eastAsia" w:ascii="仿宋" w:hAnsi="仿宋" w:eastAsia="仿宋" w:cs="楷体_GB2312"/>
          <w:bCs/>
          <w:sz w:val="30"/>
          <w:szCs w:val="30"/>
        </w:rPr>
        <w:t>（三）</w:t>
      </w:r>
      <w:r>
        <w:rPr>
          <w:rFonts w:hint="eastAsia" w:ascii="仿宋" w:hAnsi="仿宋" w:eastAsia="仿宋"/>
          <w:sz w:val="30"/>
          <w:szCs w:val="30"/>
        </w:rPr>
        <w:t>持之以恒正风肃纪。刚性落实党风廉政建设“两个责任”，常态运用监督执纪“四种形态”，严肃执纪问责；严格落实中央八项规定和省、市、县相关规定及实施细则；严格执行</w:t>
      </w:r>
      <w:r>
        <w:rPr>
          <w:rFonts w:hint="eastAsia" w:ascii="仿宋" w:hAnsi="仿宋" w:eastAsia="仿宋" w:cs="仿宋_GB2312"/>
          <w:sz w:val="30"/>
          <w:szCs w:val="30"/>
        </w:rPr>
        <w:t>《局机</w:t>
      </w:r>
      <w:r>
        <w:rPr>
          <w:rFonts w:hint="eastAsia" w:ascii="仿宋" w:hAnsi="仿宋" w:eastAsia="仿宋" w:cs="仿宋_GB2312"/>
          <w:sz w:val="30"/>
          <w:szCs w:val="30"/>
          <w:lang w:val="en-US" w:eastAsia="zh-CN"/>
        </w:rPr>
        <w:t>关</w:t>
      </w:r>
      <w:r>
        <w:rPr>
          <w:rFonts w:hint="eastAsia" w:ascii="仿宋" w:hAnsi="仿宋" w:eastAsia="仿宋" w:cs="仿宋_GB2312"/>
          <w:sz w:val="30"/>
          <w:szCs w:val="30"/>
          <w:lang w:eastAsia="zh-CN"/>
        </w:rPr>
        <w:t>、</w:t>
      </w:r>
      <w:r>
        <w:rPr>
          <w:rFonts w:hint="eastAsia" w:ascii="仿宋" w:hAnsi="仿宋" w:eastAsia="仿宋" w:cs="仿宋_GB2312"/>
          <w:sz w:val="30"/>
          <w:szCs w:val="30"/>
        </w:rPr>
        <w:t>直属单位干部职工“十条严禁”》《校（园）长“十条严禁”》和</w:t>
      </w:r>
      <w:r>
        <w:rPr>
          <w:rFonts w:hint="eastAsia" w:ascii="仿宋" w:hAnsi="仿宋" w:eastAsia="仿宋"/>
          <w:sz w:val="30"/>
          <w:szCs w:val="30"/>
        </w:rPr>
        <w:t>谈话提醒、廉政约谈、述责述廉</w:t>
      </w:r>
      <w:r>
        <w:rPr>
          <w:rFonts w:hint="eastAsia" w:ascii="仿宋" w:hAnsi="仿宋" w:eastAsia="仿宋" w:cs="仿宋_GB2312"/>
          <w:sz w:val="30"/>
          <w:szCs w:val="30"/>
        </w:rPr>
        <w:t>等制度</w:t>
      </w:r>
      <w:r>
        <w:rPr>
          <w:rFonts w:hint="eastAsia" w:ascii="仿宋" w:hAnsi="仿宋" w:eastAsia="仿宋"/>
          <w:sz w:val="30"/>
          <w:szCs w:val="30"/>
        </w:rPr>
        <w:t>，</w:t>
      </w:r>
      <w:r>
        <w:rPr>
          <w:rFonts w:hint="eastAsia" w:ascii="仿宋" w:hAnsi="仿宋" w:eastAsia="仿宋" w:cs="仿宋_GB2312"/>
          <w:sz w:val="30"/>
          <w:szCs w:val="30"/>
        </w:rPr>
        <w:t>树立行业新风。</w:t>
      </w:r>
      <w:r>
        <w:rPr>
          <w:rFonts w:hint="eastAsia" w:ascii="仿宋" w:hAnsi="仿宋" w:eastAsia="仿宋"/>
          <w:sz w:val="30"/>
          <w:szCs w:val="30"/>
        </w:rPr>
        <w:t>加大违规违法行为处置力度，坚决整治“四风”问题新动向、新表现，持续治理形式主义、官僚主义，严肃处理党员干部、公职人员赌博问题，从严从重处理酒驾、吸毒涉邪等违法问题，聚焦随意举</w:t>
      </w:r>
      <w:r>
        <w:rPr>
          <w:rFonts w:hint="eastAsia" w:ascii="仿宋" w:hAnsi="仿宋" w:eastAsia="仿宋" w:cs="仿宋_GB2312"/>
          <w:sz w:val="30"/>
          <w:szCs w:val="30"/>
        </w:rPr>
        <w:t>债、</w:t>
      </w:r>
      <w:r>
        <w:rPr>
          <w:rFonts w:hint="eastAsia" w:ascii="仿宋" w:hAnsi="仿宋" w:eastAsia="仿宋"/>
          <w:sz w:val="30"/>
          <w:szCs w:val="30"/>
        </w:rPr>
        <w:t>教育“三乱”、</w:t>
      </w:r>
      <w:r>
        <w:rPr>
          <w:rFonts w:hint="eastAsia" w:ascii="仿宋" w:hAnsi="仿宋" w:eastAsia="仿宋" w:cs="仿宋_GB2312"/>
          <w:sz w:val="30"/>
          <w:szCs w:val="30"/>
        </w:rPr>
        <w:t>惠民政策、扶贫领域、违规招生、工程项目、招标采购、巡视巡察反馈等腐败问题，以案促改，不断提升社会满意度。</w:t>
      </w:r>
    </w:p>
    <w:p>
      <w:pPr>
        <w:spacing w:line="595" w:lineRule="exact"/>
        <w:ind w:firstLine="600" w:firstLineChars="200"/>
        <w:rPr>
          <w:rFonts w:hint="eastAsia" w:ascii="仿宋" w:hAnsi="仿宋" w:eastAsia="仿宋" w:cs="黑体"/>
          <w:b/>
          <w:bCs/>
          <w:sz w:val="30"/>
          <w:szCs w:val="30"/>
        </w:rPr>
      </w:pPr>
      <w:r>
        <w:rPr>
          <w:rFonts w:hint="eastAsia" w:ascii="仿宋" w:hAnsi="仿宋" w:eastAsia="仿宋" w:cs="黑体"/>
          <w:bCs/>
          <w:sz w:val="30"/>
          <w:szCs w:val="30"/>
        </w:rPr>
        <w:t>2、科学规范防控疫情：</w:t>
      </w:r>
      <w:r>
        <w:rPr>
          <w:rFonts w:hint="eastAsia" w:ascii="仿宋" w:hAnsi="仿宋" w:eastAsia="仿宋" w:cs="仿宋_GB2312"/>
          <w:sz w:val="30"/>
          <w:szCs w:val="30"/>
        </w:rPr>
        <w:t>实行“日报告”“零报告”制度，全覆盖跟踪监测师生健康状况；深入开展爱国卫生运动，对校（园）进行全面消杀；县疾控中心对全县教职员工进行疫情和传染病防控培训，充分发挥卫生兼职副校长的作用，健全学校卫生与传染病预防的组织管理体系，完善传染病防控工作流程、制度，落实各项防控措施，切实开展健康教育，提高师生自我防护能力；规范开展网络教学，确保“停课不停学”；进行开学演练，完善“两案九制”，确保开学万无一失；加大防疫物资储备力度，落实“三规三专”“双人双锁”管理；县市管局、县应急管理局等部门对全县学校进行评估验收，保障平安顺利开学；有序推进疫情防控期间重点项目、科技企业复工复产。</w:t>
      </w:r>
    </w:p>
    <w:p>
      <w:pPr>
        <w:spacing w:line="595" w:lineRule="exact"/>
        <w:ind w:firstLine="600" w:firstLineChars="200"/>
        <w:rPr>
          <w:rFonts w:hint="eastAsia" w:ascii="仿宋" w:hAnsi="仿宋" w:eastAsia="仿宋" w:cs="黑体"/>
          <w:b/>
          <w:bCs/>
          <w:sz w:val="30"/>
          <w:szCs w:val="30"/>
        </w:rPr>
      </w:pPr>
      <w:r>
        <w:rPr>
          <w:rFonts w:hint="eastAsia" w:ascii="仿宋" w:hAnsi="仿宋" w:eastAsia="仿宋" w:cs="黑体"/>
          <w:bCs/>
          <w:sz w:val="30"/>
          <w:szCs w:val="30"/>
        </w:rPr>
        <w:t>3、协调发展各类教育：</w:t>
      </w:r>
      <w:r>
        <w:rPr>
          <w:rFonts w:hint="eastAsia" w:ascii="仿宋" w:hAnsi="仿宋" w:eastAsia="仿宋" w:cs="楷体_GB2312"/>
          <w:bCs/>
          <w:sz w:val="30"/>
          <w:szCs w:val="30"/>
        </w:rPr>
        <w:t>（一）学前教育普惠发展。</w:t>
      </w:r>
      <w:r>
        <w:rPr>
          <w:rFonts w:hint="eastAsia" w:ascii="仿宋" w:hAnsi="仿宋" w:eastAsia="仿宋"/>
          <w:sz w:val="30"/>
          <w:szCs w:val="30"/>
        </w:rPr>
        <w:t>深入贯彻《中共中央 国务院关于学前教育深化改革规范发展的若干意见》，</w:t>
      </w:r>
      <w:r>
        <w:rPr>
          <w:rFonts w:hint="eastAsia" w:ascii="仿宋" w:hAnsi="仿宋" w:eastAsia="仿宋" w:cs="仿宋_GB2312"/>
          <w:sz w:val="30"/>
          <w:szCs w:val="30"/>
        </w:rPr>
        <w:t>实施学前教育“80</w:t>
      </w:r>
      <w:r>
        <w:rPr>
          <w:rFonts w:hint="eastAsia" w:ascii="仿宋" w:hAnsi="仿宋" w:eastAsia="仿宋" w:cs="仿宋_GB2312"/>
          <w:sz w:val="30"/>
          <w:szCs w:val="30"/>
          <w:lang w:val="en-US" w:eastAsia="zh-CN"/>
        </w:rPr>
        <w:t>.</w:t>
      </w:r>
      <w:r>
        <w:rPr>
          <w:rFonts w:hint="eastAsia" w:ascii="仿宋" w:hAnsi="仿宋" w:eastAsia="仿宋" w:cs="仿宋_GB2312"/>
          <w:sz w:val="30"/>
          <w:szCs w:val="30"/>
        </w:rPr>
        <w:t>50”攻坚工程，6月底前按新标准重新认定普惠民办幼儿园，8月前完成5所小区配套幼儿园治理，</w:t>
      </w:r>
      <w:r>
        <w:rPr>
          <w:rFonts w:hint="eastAsia" w:ascii="仿宋" w:hAnsi="仿宋" w:eastAsia="仿宋"/>
          <w:sz w:val="30"/>
          <w:szCs w:val="30"/>
        </w:rPr>
        <w:t>切实解决“入园难”“入园贵”问题，确保全县学前三年毛入园率达85%以上，普惠覆盖率达80%以上，公办园在园幼儿占比达50%以上；严格规范办园行为，巩固“去小学化”治理成果，开展好学前教育宣传月和幼儿读书节活动。</w:t>
      </w:r>
      <w:r>
        <w:rPr>
          <w:rFonts w:hint="eastAsia" w:ascii="仿宋" w:hAnsi="仿宋" w:eastAsia="仿宋" w:cs="楷体_GB2312"/>
          <w:bCs/>
          <w:sz w:val="30"/>
          <w:szCs w:val="30"/>
        </w:rPr>
        <w:t>（二）</w:t>
      </w:r>
      <w:r>
        <w:rPr>
          <w:rFonts w:hint="eastAsia" w:ascii="仿宋" w:hAnsi="仿宋" w:eastAsia="仿宋"/>
          <w:sz w:val="30"/>
          <w:szCs w:val="30"/>
        </w:rPr>
        <w:t>义务教育优质发展。</w:t>
      </w:r>
      <w:r>
        <w:rPr>
          <w:rFonts w:hint="eastAsia" w:ascii="仿宋" w:hAnsi="仿宋" w:eastAsia="仿宋" w:cs="仿宋_GB2312"/>
          <w:sz w:val="30"/>
          <w:szCs w:val="30"/>
        </w:rPr>
        <w:t>深入贯彻落实《中共中央 国务院关于深化教育教学改革全面提高义务教育质量的意见》，巩固基本均衡成果，积极推进优质均衡；落实免试就近入学招生政策，规范招生行为，强化学籍管理，严格均衡分班，全面消除义务教育阶段大班额；大力推行分层教学，优化教学方式，加强教学过程管理，坚持课堂教学从目标导向、问题导向转向主动发现问题、主动解决问题上引导，提升教育质量。</w:t>
      </w:r>
      <w:r>
        <w:rPr>
          <w:rFonts w:hint="eastAsia" w:ascii="仿宋" w:hAnsi="仿宋" w:eastAsia="仿宋" w:cs="楷体_GB2312"/>
          <w:bCs/>
          <w:sz w:val="30"/>
          <w:szCs w:val="30"/>
        </w:rPr>
        <w:t>（三）高中教育突破发展。</w:t>
      </w:r>
      <w:r>
        <w:rPr>
          <w:rFonts w:hint="eastAsia" w:ascii="仿宋" w:hAnsi="仿宋" w:eastAsia="仿宋" w:cs="仿宋_GB2312"/>
          <w:sz w:val="30"/>
          <w:szCs w:val="30"/>
        </w:rPr>
        <w:t>贯彻落实《国务院办公厅关于新时代推进普通高中育人方式改革的指导意见》，改善高考综合改革基础保障条件，提档加速大班额化解工作；坚持普职统筹，做好高中阶段教育学校招考工作，严禁无计划、超计划招生，同时落实送生任务，并纳入年度考核；持续抓好</w:t>
      </w:r>
      <w:r>
        <w:rPr>
          <w:rFonts w:hint="eastAsia" w:ascii="仿宋" w:hAnsi="仿宋" w:eastAsia="仿宋" w:cs="黑体"/>
          <w:sz w:val="30"/>
          <w:szCs w:val="30"/>
        </w:rPr>
        <w:t>诊断性考试、高考工作，做好成绩分析及评估，</w:t>
      </w:r>
      <w:r>
        <w:rPr>
          <w:rFonts w:hint="eastAsia" w:ascii="仿宋" w:hAnsi="仿宋" w:eastAsia="仿宋"/>
          <w:sz w:val="30"/>
          <w:szCs w:val="30"/>
        </w:rPr>
        <w:t>招收优秀复习生和特优应届生，办好</w:t>
      </w:r>
      <w:r>
        <w:rPr>
          <w:rFonts w:hint="eastAsia" w:ascii="仿宋" w:hAnsi="仿宋" w:eastAsia="仿宋" w:cs="黑体"/>
          <w:sz w:val="30"/>
          <w:szCs w:val="30"/>
        </w:rPr>
        <w:t>“985”班。（四）职业教育专业发展。</w:t>
      </w:r>
      <w:r>
        <w:rPr>
          <w:rFonts w:hint="eastAsia" w:ascii="仿宋" w:hAnsi="仿宋" w:eastAsia="仿宋" w:cs="仿宋_GB2312"/>
          <w:sz w:val="30"/>
          <w:szCs w:val="30"/>
        </w:rPr>
        <w:t>认真贯彻《国家职业教育改革实施方案》，</w:t>
      </w:r>
      <w:r>
        <w:rPr>
          <w:rFonts w:hint="eastAsia" w:ascii="仿宋" w:hAnsi="仿宋" w:eastAsia="仿宋" w:cs="黑体"/>
          <w:sz w:val="30"/>
          <w:szCs w:val="30"/>
        </w:rPr>
        <w:t>坚持职业教育专业发展，围绕市场动向和地方产业办好重点专业、特色专业；加快</w:t>
      </w:r>
      <w:r>
        <w:rPr>
          <w:rFonts w:hint="eastAsia" w:ascii="仿宋" w:hAnsi="仿宋" w:eastAsia="仿宋"/>
          <w:sz w:val="30"/>
          <w:szCs w:val="30"/>
        </w:rPr>
        <w:t>省示范校、示范专业建设，</w:t>
      </w:r>
      <w:r>
        <w:rPr>
          <w:rFonts w:hint="eastAsia" w:ascii="仿宋" w:hAnsi="仿宋" w:eastAsia="仿宋" w:cs="黑体"/>
          <w:sz w:val="30"/>
          <w:szCs w:val="30"/>
        </w:rPr>
        <w:t>加大产教融合力度，</w:t>
      </w:r>
      <w:r>
        <w:rPr>
          <w:rFonts w:hint="eastAsia" w:ascii="仿宋" w:hAnsi="仿宋" w:eastAsia="仿宋"/>
          <w:sz w:val="30"/>
          <w:szCs w:val="30"/>
        </w:rPr>
        <w:t>实现基地与课堂结合、专业与产业结合，体现职业教育特性；加大中职毕业生就业情况跟踪，大力宣传中职学生创业创新，增强职业教育吸附力。</w:t>
      </w:r>
      <w:r>
        <w:rPr>
          <w:rFonts w:hint="eastAsia" w:ascii="仿宋" w:hAnsi="仿宋" w:eastAsia="仿宋" w:cs="楷体_GB2312"/>
          <w:bCs/>
          <w:sz w:val="30"/>
          <w:szCs w:val="30"/>
        </w:rPr>
        <w:t>（五）</w:t>
      </w:r>
      <w:r>
        <w:rPr>
          <w:rFonts w:hint="eastAsia" w:ascii="仿宋" w:hAnsi="仿宋" w:eastAsia="仿宋" w:cs="黑体"/>
          <w:sz w:val="30"/>
          <w:szCs w:val="30"/>
        </w:rPr>
        <w:t>特殊教育有序发展。结合特殊教育第二期发展目标任务，落实特殊教育学校义务教育课程标准，加快发展非义务教育阶段特殊教学，提高普及水平和教学质量；完善特殊群体儿童关爱保护和家校合作机制。加强社区教育特色项目打造，建立“开放+链接+融合”的合作模式，形成由社区教育主导，多种教育融合发展的全域继续教育终身学习的良好格局。</w:t>
      </w:r>
      <w:r>
        <w:rPr>
          <w:rFonts w:hint="eastAsia" w:ascii="仿宋" w:hAnsi="仿宋" w:eastAsia="仿宋" w:cs="楷体_GB2312"/>
          <w:bCs/>
          <w:sz w:val="30"/>
          <w:szCs w:val="30"/>
        </w:rPr>
        <w:t>（六）民办教育规范发展。</w:t>
      </w:r>
      <w:r>
        <w:rPr>
          <w:rFonts w:hint="eastAsia" w:ascii="仿宋" w:hAnsi="仿宋" w:eastAsia="仿宋"/>
          <w:sz w:val="30"/>
          <w:szCs w:val="30"/>
        </w:rPr>
        <w:t>积极贯彻落实《中华人民共和国民办教育促进法》等法律法规，实行民办教育分类管理，9月前完成民办学校办学属性选择申报。印发《关于建立健全民办教育机构管理若干机制的意见》，健全民办学校年检年审制度，建立民办教育激励与惩戒机制，强化社会监督效力，积极引导社会力量规范办学、诚信办学。积极开展多部门联合执法行动，持续治理校外培训机构，继续分批次公布黑白名单，促进民办教育规范发展。</w:t>
      </w:r>
    </w:p>
    <w:p>
      <w:pPr>
        <w:spacing w:line="595" w:lineRule="exact"/>
        <w:ind w:firstLine="600" w:firstLineChars="200"/>
        <w:rPr>
          <w:rFonts w:hint="eastAsia" w:ascii="仿宋" w:hAnsi="仿宋" w:eastAsia="仿宋" w:cs="黑体"/>
          <w:bCs/>
          <w:sz w:val="30"/>
          <w:szCs w:val="30"/>
        </w:rPr>
      </w:pPr>
      <w:r>
        <w:rPr>
          <w:rFonts w:hint="eastAsia" w:ascii="仿宋" w:hAnsi="仿宋" w:eastAsia="仿宋" w:cs="黑体"/>
          <w:bCs/>
          <w:sz w:val="30"/>
          <w:szCs w:val="30"/>
        </w:rPr>
        <w:t>4、落实立德树人根本任务：</w:t>
      </w:r>
      <w:r>
        <w:rPr>
          <w:rFonts w:hint="eastAsia" w:ascii="仿宋" w:hAnsi="仿宋" w:eastAsia="仿宋" w:cs="楷体_GB2312"/>
          <w:bCs/>
          <w:sz w:val="30"/>
          <w:szCs w:val="30"/>
        </w:rPr>
        <w:t>（一）突出德育实效。</w:t>
      </w:r>
      <w:r>
        <w:rPr>
          <w:rFonts w:hint="eastAsia" w:ascii="仿宋" w:hAnsi="仿宋" w:eastAsia="仿宋"/>
          <w:sz w:val="30"/>
          <w:szCs w:val="30"/>
        </w:rPr>
        <w:t>全面落实《中小学德育指南》《中小学综合实践指导纲要》，始终坚持</w:t>
      </w:r>
      <w:r>
        <w:rPr>
          <w:rFonts w:hint="eastAsia" w:ascii="仿宋" w:hAnsi="仿宋" w:eastAsia="仿宋"/>
          <w:color w:val="000000"/>
          <w:sz w:val="30"/>
          <w:szCs w:val="30"/>
        </w:rPr>
        <w:t>“德育为先、五育并举、全面发展”的原则，</w:t>
      </w:r>
      <w:r>
        <w:rPr>
          <w:rFonts w:hint="eastAsia" w:ascii="仿宋" w:hAnsi="仿宋" w:eastAsia="仿宋"/>
          <w:sz w:val="30"/>
          <w:szCs w:val="30"/>
        </w:rPr>
        <w:t>充分利用通江独特红色资源，加强社会主义核心价值观、理想信念、道德情操、家国情怀等教育，创新课程育人、文化育人、活动育人模式，完善德育工作体系。开好思政课，突出政治启蒙和价值观塑造。强化对网络游戏、微视频等价值引导与管控，创造绿色健康网上空间。</w:t>
      </w:r>
      <w:r>
        <w:rPr>
          <w:rFonts w:hint="eastAsia" w:ascii="仿宋" w:hAnsi="仿宋" w:eastAsia="仿宋" w:cs="楷体_GB2312"/>
          <w:bCs/>
          <w:sz w:val="30"/>
          <w:szCs w:val="30"/>
        </w:rPr>
        <w:t>（二）</w:t>
      </w:r>
      <w:r>
        <w:rPr>
          <w:rFonts w:hint="eastAsia" w:ascii="仿宋" w:hAnsi="仿宋" w:eastAsia="仿宋" w:cs="黑体"/>
          <w:sz w:val="30"/>
          <w:szCs w:val="30"/>
        </w:rPr>
        <w:t>增强美育熏陶</w:t>
      </w:r>
      <w:r>
        <w:rPr>
          <w:rFonts w:hint="eastAsia" w:ascii="仿宋" w:hAnsi="仿宋" w:eastAsia="仿宋" w:cs="黑体"/>
          <w:sz w:val="30"/>
          <w:szCs w:val="30"/>
          <w:lang w:eastAsia="zh-CN"/>
        </w:rPr>
        <w:t>，</w:t>
      </w:r>
      <w:r>
        <w:rPr>
          <w:rFonts w:hint="eastAsia" w:ascii="仿宋" w:hAnsi="仿宋" w:eastAsia="仿宋" w:cs="黑体"/>
          <w:sz w:val="30"/>
          <w:szCs w:val="30"/>
        </w:rPr>
        <w:t>鼓励学校组建特色艺术团队，广泛开展校园文艺活动，帮助每位学生培养1至2项艺术爱好，做好中小学艺术素质测评工作，推进中华优秀传统文化艺术传承学校建设。通过购买服务等方式，鼓励社会专业艺术人才到中小学兼职任教。</w:t>
      </w:r>
      <w:r>
        <w:rPr>
          <w:rFonts w:hint="eastAsia" w:ascii="仿宋" w:hAnsi="仿宋" w:eastAsia="仿宋" w:cs="楷体_GB2312"/>
          <w:bCs/>
          <w:sz w:val="30"/>
          <w:szCs w:val="30"/>
        </w:rPr>
        <w:t>（三）</w:t>
      </w:r>
      <w:r>
        <w:rPr>
          <w:rFonts w:hint="eastAsia" w:ascii="仿宋" w:hAnsi="仿宋" w:eastAsia="仿宋" w:cs="黑体"/>
          <w:sz w:val="30"/>
          <w:szCs w:val="30"/>
        </w:rPr>
        <w:t>加强劳动教育。出台《关于加强新时代中小学劳动教育的方案》，有效发挥社会实践、校园文化、家庭教育等劳动教育功能，培育小学生劳动习惯，加强初中学生校内公益劳动，推进高中生校外志愿服务、公益劳动和学农实践活动。将劳动教育与职业体验相结合、与社会实践相结合、与家庭教育指导相结合，形成家庭、学校、社会协同推进的工作局面。</w:t>
      </w:r>
    </w:p>
    <w:p>
      <w:pPr>
        <w:spacing w:line="595" w:lineRule="exact"/>
        <w:ind w:firstLine="600" w:firstLineChars="200"/>
        <w:rPr>
          <w:rFonts w:hint="eastAsia" w:ascii="仿宋" w:hAnsi="仿宋" w:eastAsia="仿宋" w:cs="黑体"/>
          <w:bCs/>
          <w:sz w:val="30"/>
          <w:szCs w:val="30"/>
        </w:rPr>
      </w:pPr>
      <w:r>
        <w:rPr>
          <w:rFonts w:hint="eastAsia" w:ascii="仿宋" w:hAnsi="仿宋" w:eastAsia="仿宋" w:cs="黑体"/>
          <w:bCs/>
          <w:sz w:val="30"/>
          <w:szCs w:val="30"/>
        </w:rPr>
        <w:t>5、持续深化教育综合改革：</w:t>
      </w:r>
      <w:r>
        <w:rPr>
          <w:rFonts w:hint="eastAsia" w:ascii="仿宋" w:hAnsi="仿宋" w:eastAsia="仿宋" w:cs="楷体_GB2312"/>
          <w:bCs/>
          <w:sz w:val="30"/>
          <w:szCs w:val="30"/>
        </w:rPr>
        <w:t>（一）深化机制体制改革。</w:t>
      </w:r>
      <w:r>
        <w:rPr>
          <w:rFonts w:hint="eastAsia" w:ascii="仿宋" w:hAnsi="仿宋" w:eastAsia="仿宋" w:cs="黑体"/>
          <w:sz w:val="30"/>
          <w:szCs w:val="30"/>
        </w:rPr>
        <w:t>认真贯彻落实全国全省全市教育大会精神，加快推进《川陕革命老区教育振兴发展规划》《通江县“十四五”教育事业发展规划》编制工作，</w:t>
      </w:r>
      <w:r>
        <w:rPr>
          <w:rFonts w:hint="eastAsia" w:ascii="仿宋" w:hAnsi="仿宋" w:eastAsia="仿宋" w:cs="仿宋_GB2312"/>
          <w:kern w:val="0"/>
          <w:sz w:val="30"/>
          <w:szCs w:val="30"/>
        </w:rPr>
        <w:t>出台通江教育高质量发展的实施意见</w:t>
      </w:r>
      <w:r>
        <w:rPr>
          <w:rFonts w:hint="eastAsia" w:ascii="仿宋" w:hAnsi="仿宋" w:eastAsia="仿宋" w:cs="黑体"/>
          <w:sz w:val="30"/>
          <w:szCs w:val="30"/>
        </w:rPr>
        <w:t>。加大依法治校、依法治教力度，全面推进城乡学校基层治理制度创新和能力建设，探索完善构建学前教育普惠发展、义务教育优质发展、高中教育突破发展、职业教育专业发展、特殊教育有序发展、民办教育规范发展机制。</w:t>
      </w:r>
      <w:r>
        <w:rPr>
          <w:rFonts w:hint="eastAsia" w:ascii="仿宋" w:hAnsi="仿宋" w:eastAsia="仿宋" w:cs="仿宋_GB2312"/>
          <w:sz w:val="30"/>
          <w:szCs w:val="30"/>
        </w:rPr>
        <w:t>（二）深化教师队伍建设。</w:t>
      </w:r>
      <w:r>
        <w:rPr>
          <w:rFonts w:hint="eastAsia" w:ascii="仿宋" w:hAnsi="仿宋" w:eastAsia="仿宋" w:cs="黑体"/>
          <w:sz w:val="30"/>
          <w:szCs w:val="30"/>
        </w:rPr>
        <w:t>开展最美教师、优秀教师、先进教育工作者和优秀乡村教师等表扬活动，创新师德教育方式。全面落实《关于减轻中小学教师负担进一步营造教育教学良好环境的若干意见》，切实做好减轻教师负担工作。深化教师职称制度改革，建立正高级教师、特级教师、县级以上名师名校长人才库，强化履职情况考核，充分发挥示范引领作用。完善教师收入分配激励机制，加大教师培养培训力度，</w:t>
      </w:r>
      <w:r>
        <w:rPr>
          <w:rFonts w:hint="eastAsia" w:ascii="仿宋" w:hAnsi="仿宋" w:eastAsia="仿宋"/>
          <w:sz w:val="30"/>
          <w:szCs w:val="30"/>
        </w:rPr>
        <w:t>健全教师资格准入制度，</w:t>
      </w:r>
      <w:r>
        <w:rPr>
          <w:rFonts w:hint="eastAsia" w:ascii="仿宋" w:hAnsi="仿宋" w:eastAsia="仿宋" w:cs="黑体"/>
          <w:sz w:val="30"/>
          <w:szCs w:val="30"/>
        </w:rPr>
        <w:t>切实做到按编补充教师，年内计划招聘幼儿教师50名、特岗教师200名、银龄讲师2名。</w:t>
      </w:r>
      <w:r>
        <w:rPr>
          <w:rFonts w:hint="eastAsia" w:ascii="仿宋" w:hAnsi="仿宋" w:eastAsia="仿宋" w:cs="仿宋_GB2312"/>
          <w:sz w:val="30"/>
          <w:szCs w:val="30"/>
        </w:rPr>
        <w:t>（三）深化中小学课程和课堂改革。</w:t>
      </w:r>
      <w:r>
        <w:rPr>
          <w:rFonts w:hint="eastAsia" w:ascii="仿宋" w:hAnsi="仿宋" w:eastAsia="仿宋" w:cs="黑体"/>
          <w:sz w:val="30"/>
          <w:szCs w:val="30"/>
        </w:rPr>
        <w:t>深入实施新修订的普通高中课程方案和标准，</w:t>
      </w:r>
      <w:r>
        <w:rPr>
          <w:rFonts w:hint="eastAsia" w:ascii="仿宋" w:hAnsi="仿宋" w:eastAsia="仿宋" w:cs="仿宋_GB2312"/>
          <w:sz w:val="30"/>
          <w:szCs w:val="30"/>
        </w:rPr>
        <w:t>推动普通高中“选课走班”工作，完善高中招生和质量监测办法，确保8月底前全面达到新高考改革需要；</w:t>
      </w:r>
      <w:r>
        <w:rPr>
          <w:rFonts w:hint="eastAsia" w:ascii="仿宋" w:hAnsi="仿宋" w:eastAsia="仿宋" w:cs="黑体"/>
          <w:sz w:val="30"/>
          <w:szCs w:val="30"/>
        </w:rPr>
        <w:t>全面深化课堂教学改革，提高普通高中育人质量。完善中小学课程体系，加强校本课程监管，建立县域内共建共享机制。规范开展研学旅行，提升研学实效；健全课后服务体系，进一步规范课后服务。完善常规管理“县级定期随机督查、学区常态交叉检查和学校每月主动自查”三级督查机制，“四不两直”常态督查学校教育教学工作。持续推进教育信息化2.0行动计划，实施中小学教师信息技术应用能力提升培训工程，做好教育技术装备的管理应用工作。</w:t>
      </w:r>
      <w:r>
        <w:rPr>
          <w:rFonts w:hint="eastAsia" w:ascii="仿宋" w:hAnsi="仿宋" w:eastAsia="仿宋" w:cs="楷体_GB2312"/>
          <w:bCs/>
          <w:sz w:val="30"/>
          <w:szCs w:val="30"/>
        </w:rPr>
        <w:t>（四）深化教育评价和教育科研改革。</w:t>
      </w:r>
      <w:r>
        <w:rPr>
          <w:rFonts w:hint="eastAsia" w:ascii="仿宋" w:hAnsi="仿宋" w:eastAsia="仿宋" w:cs="黑体"/>
          <w:sz w:val="30"/>
          <w:szCs w:val="30"/>
        </w:rPr>
        <w:t>严格落实《通江县教育教学质量考核评价办法》，完善“定性+定量”评价体系，科学评估教学质量。全面推行“推门听课、全员晒课”制度，认真落实2020年各学科赛课活动工作安排；加强教育科研工作，巩固教科研工作在全市的领先地位；深入开展联片教研，确保优质资源共享，缩小校际差距，促进共同提高；加强初三、高三备考工作的指导和督查。</w:t>
      </w:r>
    </w:p>
    <w:p>
      <w:pPr>
        <w:spacing w:line="595" w:lineRule="exact"/>
        <w:ind w:firstLine="600" w:firstLineChars="200"/>
        <w:rPr>
          <w:rFonts w:hint="eastAsia" w:ascii="仿宋" w:hAnsi="仿宋" w:eastAsia="仿宋" w:cs="黑体"/>
          <w:b/>
          <w:bCs/>
          <w:sz w:val="30"/>
          <w:szCs w:val="30"/>
        </w:rPr>
      </w:pPr>
      <w:r>
        <w:rPr>
          <w:rFonts w:hint="eastAsia" w:ascii="仿宋" w:hAnsi="仿宋" w:eastAsia="仿宋" w:cs="黑体"/>
          <w:bCs/>
          <w:sz w:val="30"/>
          <w:szCs w:val="30"/>
        </w:rPr>
        <w:t>6、不断改善办学条件：</w:t>
      </w:r>
      <w:r>
        <w:rPr>
          <w:rFonts w:hint="eastAsia" w:ascii="仿宋" w:hAnsi="仿宋" w:eastAsia="仿宋" w:cs="楷体_GB2312"/>
          <w:bCs/>
          <w:sz w:val="30"/>
          <w:szCs w:val="30"/>
        </w:rPr>
        <w:t>（一）加大教育经费投入。</w:t>
      </w:r>
      <w:r>
        <w:rPr>
          <w:rFonts w:hint="eastAsia" w:ascii="仿宋" w:hAnsi="仿宋" w:eastAsia="仿宋" w:cs="仿宋_GB2312"/>
          <w:sz w:val="30"/>
          <w:szCs w:val="30"/>
        </w:rPr>
        <w:t>完善教育经费投入保障机制，积极向上争取支持，持续扩大地方教育投入，确保教育支出占公共财政支出的比例不低于13%，全面实现教育投入“两个只增不减”；</w:t>
      </w:r>
      <w:r>
        <w:rPr>
          <w:rFonts w:hint="eastAsia" w:ascii="仿宋" w:hAnsi="仿宋" w:eastAsia="仿宋" w:cs="仿宋_GB2312"/>
          <w:color w:val="000000"/>
          <w:sz w:val="30"/>
          <w:szCs w:val="30"/>
        </w:rPr>
        <w:t>按标准配套各类教育资金，</w:t>
      </w:r>
      <w:r>
        <w:rPr>
          <w:rFonts w:hint="eastAsia" w:ascii="仿宋" w:hAnsi="仿宋" w:eastAsia="仿宋" w:cs="仿宋_GB2312"/>
          <w:sz w:val="30"/>
          <w:szCs w:val="30"/>
        </w:rPr>
        <w:t>加强教育经费使用管理，严格控制新增债务，防范债务风险。</w:t>
      </w:r>
      <w:r>
        <w:rPr>
          <w:rFonts w:hint="eastAsia" w:ascii="仿宋" w:hAnsi="仿宋" w:eastAsia="仿宋" w:cs="楷体_GB2312"/>
          <w:bCs/>
          <w:sz w:val="30"/>
          <w:szCs w:val="30"/>
        </w:rPr>
        <w:t>（二）加大教育基础建设力度。</w:t>
      </w:r>
      <w:r>
        <w:rPr>
          <w:rFonts w:hint="eastAsia" w:ascii="仿宋" w:hAnsi="仿宋" w:eastAsia="仿宋" w:cs="仿宋_GB2312"/>
          <w:color w:val="000000"/>
          <w:sz w:val="30"/>
          <w:szCs w:val="30"/>
        </w:rPr>
        <w:t>加大项目与资金争取力度，力争新增教育储备项目5个以上；</w:t>
      </w:r>
      <w:r>
        <w:rPr>
          <w:rFonts w:hint="eastAsia" w:ascii="仿宋" w:hAnsi="仿宋" w:eastAsia="仿宋" w:cs="仿宋_GB2312"/>
          <w:sz w:val="30"/>
          <w:szCs w:val="30"/>
        </w:rPr>
        <w:t>加快推进通江中学高明校区建设项目、涪阳小学及附属幼儿园建设项目和高明小学及幼儿园建设项目等市级重点建设项目；强力推进2019年下达教师周转房项目、义务教育改薄提升建设项目，做实做好2020年义务教育改薄提升项目的前期工作；有序推进通江中学、实验中学、通江二中的高考综合改革建设项目，力争6月份开工建设诺水河镇中心小学及幼儿园项目；全面清理已竣工投用但未审计项目</w:t>
      </w:r>
      <w:r>
        <w:rPr>
          <w:rFonts w:hint="eastAsia" w:ascii="仿宋" w:hAnsi="仿宋" w:eastAsia="仿宋" w:cs="仿宋_GB2312"/>
          <w:color w:val="0000FF"/>
          <w:sz w:val="30"/>
          <w:szCs w:val="30"/>
        </w:rPr>
        <w:t>。</w:t>
      </w:r>
      <w:r>
        <w:rPr>
          <w:rFonts w:hint="eastAsia" w:ascii="仿宋" w:hAnsi="仿宋" w:eastAsia="仿宋" w:cs="楷体_GB2312"/>
          <w:bCs/>
          <w:sz w:val="30"/>
          <w:szCs w:val="30"/>
        </w:rPr>
        <w:t>（三）巩固提升教育扶贫实效。</w:t>
      </w:r>
      <w:r>
        <w:rPr>
          <w:rFonts w:hint="eastAsia" w:ascii="仿宋" w:hAnsi="仿宋" w:eastAsia="仿宋" w:cs="仿宋_GB2312"/>
          <w:sz w:val="30"/>
          <w:szCs w:val="30"/>
        </w:rPr>
        <w:t>严格落实“摘帽不摘责任、摘帽不摘政策、摘帽不摘帮扶、摘帽不摘监管”要求，多渠道投入专项资金1.85亿元，实施教育扶贫项目18个。做好特殊儿童入学工作，确保适龄儿童少年全部入学。加大教育惠民政策宣传力度，及时更新教育扶贫云平台数据，精准实施从学前教育到大学教育各学段家庭经济困难学生资助，不让一个学生因家庭经济困难而失学，不让一个家庭因学致贫，全面打赢教育脱贫攻坚战。</w:t>
      </w:r>
    </w:p>
    <w:p>
      <w:pPr>
        <w:spacing w:line="595" w:lineRule="exact"/>
        <w:ind w:firstLine="600" w:firstLineChars="200"/>
        <w:rPr>
          <w:rFonts w:hint="eastAsia" w:ascii="仿宋" w:hAnsi="仿宋" w:eastAsia="仿宋" w:cs="仿宋_GB2312"/>
          <w:color w:val="000000"/>
          <w:sz w:val="30"/>
          <w:szCs w:val="30"/>
        </w:rPr>
      </w:pPr>
      <w:r>
        <w:rPr>
          <w:rFonts w:hint="eastAsia" w:ascii="仿宋" w:hAnsi="仿宋" w:eastAsia="仿宋" w:cs="黑体"/>
          <w:bCs/>
          <w:sz w:val="30"/>
          <w:szCs w:val="30"/>
        </w:rPr>
        <w:t>7、积极推动科技创新：</w:t>
      </w:r>
      <w:r>
        <w:rPr>
          <w:rFonts w:hint="eastAsia" w:ascii="仿宋" w:hAnsi="仿宋" w:eastAsia="仿宋" w:cs="楷体_GB2312"/>
          <w:bCs/>
          <w:sz w:val="30"/>
          <w:szCs w:val="30"/>
        </w:rPr>
        <w:t>（一）提升科技支撑能力。</w:t>
      </w:r>
      <w:r>
        <w:rPr>
          <w:rFonts w:hint="eastAsia" w:ascii="仿宋" w:hAnsi="仿宋" w:eastAsia="仿宋" w:cs="仿宋_GB2312"/>
          <w:color w:val="000000"/>
          <w:sz w:val="30"/>
          <w:szCs w:val="30"/>
        </w:rPr>
        <w:t>加强科技计划项目储备、申报、管理力度，力争2020年度储备申报国家、省级科技项目5项以上，到位资金300万元以上；新培育高新技术企业2家，力争申报认定1家，高新技术主营业务收入达5亿元以上，备案科技型中小企业15家以上；培育壁州创谷备案省级众创空间，推荐备案国家级星创天地1家；登记技术合同8项以上，实现技术合同交易额2800万元以上。</w:t>
      </w:r>
      <w:r>
        <w:rPr>
          <w:rFonts w:hint="eastAsia" w:ascii="仿宋" w:hAnsi="仿宋" w:eastAsia="仿宋" w:cs="楷体_GB2312"/>
          <w:bCs/>
          <w:sz w:val="30"/>
          <w:szCs w:val="30"/>
        </w:rPr>
        <w:t>（二）</w:t>
      </w:r>
      <w:r>
        <w:rPr>
          <w:rFonts w:hint="eastAsia" w:ascii="仿宋" w:hAnsi="仿宋" w:eastAsia="仿宋" w:cs="楷体_GB2312"/>
          <w:bCs/>
          <w:color w:val="000000"/>
          <w:sz w:val="30"/>
          <w:szCs w:val="30"/>
        </w:rPr>
        <w:t>加强与大专院校、科研院所的产学研用合作，</w:t>
      </w:r>
      <w:r>
        <w:rPr>
          <w:rFonts w:hint="eastAsia" w:ascii="仿宋" w:hAnsi="仿宋" w:eastAsia="仿宋" w:cs="仿宋_GB2312"/>
          <w:color w:val="000000"/>
          <w:sz w:val="30"/>
          <w:szCs w:val="30"/>
        </w:rPr>
        <w:t>引进转化科技成果5项以上，积极引进外籍专家和项目。</w:t>
      </w:r>
      <w:r>
        <w:rPr>
          <w:rFonts w:hint="eastAsia" w:ascii="仿宋" w:hAnsi="仿宋" w:eastAsia="仿宋" w:cs="楷体_GB2312"/>
          <w:bCs/>
          <w:sz w:val="30"/>
          <w:szCs w:val="30"/>
        </w:rPr>
        <w:t>（三）加大科普力度。</w:t>
      </w:r>
      <w:r>
        <w:rPr>
          <w:rFonts w:hint="eastAsia" w:ascii="仿宋" w:hAnsi="仿宋" w:eastAsia="仿宋" w:cs="仿宋_GB2312"/>
          <w:color w:val="000000"/>
          <w:sz w:val="30"/>
          <w:szCs w:val="30"/>
        </w:rPr>
        <w:t>组织开展“科技之春”“科技活动周”等科普活动，举办各类培训10场次，培训1500人次，发放资料5000册（份）。</w:t>
      </w:r>
    </w:p>
    <w:p>
      <w:pPr>
        <w:spacing w:line="595" w:lineRule="exact"/>
        <w:ind w:firstLine="600" w:firstLineChars="200"/>
        <w:rPr>
          <w:rFonts w:hint="eastAsia" w:ascii="仿宋" w:hAnsi="仿宋" w:eastAsia="仿宋" w:cs="楷体_GB2312"/>
          <w:bCs/>
          <w:sz w:val="30"/>
          <w:szCs w:val="30"/>
        </w:rPr>
      </w:pPr>
      <w:r>
        <w:rPr>
          <w:rFonts w:hint="eastAsia" w:ascii="仿宋" w:hAnsi="仿宋" w:eastAsia="仿宋" w:cs="黑体"/>
          <w:bCs/>
          <w:sz w:val="30"/>
          <w:szCs w:val="30"/>
        </w:rPr>
        <w:t>8、蓬勃发展体育事业：</w:t>
      </w:r>
      <w:r>
        <w:rPr>
          <w:rFonts w:hint="eastAsia" w:ascii="仿宋" w:hAnsi="仿宋" w:eastAsia="仿宋" w:cs="楷体_GB2312"/>
          <w:bCs/>
          <w:sz w:val="30"/>
          <w:szCs w:val="30"/>
        </w:rPr>
        <w:t>（一）大力发展全民健身。</w:t>
      </w:r>
      <w:r>
        <w:rPr>
          <w:rFonts w:hint="eastAsia" w:ascii="仿宋" w:hAnsi="仿宋" w:eastAsia="仿宋" w:cs="仿宋_GB2312"/>
          <w:sz w:val="30"/>
          <w:szCs w:val="30"/>
        </w:rPr>
        <w:t>实施群众体育全域化国家战略，举办健身活动20场；加大体育基础设施建设，建好城郊社区健身中心和村级农民体育健身工程162个，完成7片社会足球场地设施建设；推进公共体育场地免费开放，促进学校体育场地课余时间免费开放；培训三级社会体育指导员50名。</w:t>
      </w:r>
      <w:r>
        <w:rPr>
          <w:rFonts w:hint="eastAsia" w:ascii="仿宋" w:hAnsi="仿宋" w:eastAsia="仿宋" w:cs="楷体_GB2312"/>
          <w:bCs/>
          <w:sz w:val="30"/>
          <w:szCs w:val="30"/>
        </w:rPr>
        <w:t>（二）做大做强体彩行业。</w:t>
      </w:r>
      <w:r>
        <w:rPr>
          <w:rFonts w:hint="eastAsia" w:ascii="仿宋" w:hAnsi="仿宋" w:eastAsia="仿宋" w:cs="仿宋_GB2312"/>
          <w:sz w:val="30"/>
          <w:szCs w:val="30"/>
        </w:rPr>
        <w:t>开展即开型体育彩票户外集中销售活动；科学布局电脑型销售网点，扩大网点数量；培训体育彩票销售业主5次。</w:t>
      </w:r>
      <w:r>
        <w:rPr>
          <w:rFonts w:hint="eastAsia" w:ascii="仿宋" w:hAnsi="仿宋" w:eastAsia="仿宋" w:cs="楷体_GB2312"/>
          <w:bCs/>
          <w:sz w:val="30"/>
          <w:szCs w:val="30"/>
        </w:rPr>
        <w:t>（三）扎实做好学校体育。</w:t>
      </w:r>
      <w:r>
        <w:rPr>
          <w:rFonts w:hint="eastAsia" w:ascii="仿宋" w:hAnsi="仿宋" w:eastAsia="仿宋" w:cs="仿宋_GB2312"/>
          <w:sz w:val="30"/>
          <w:szCs w:val="30"/>
        </w:rPr>
        <w:t>全面推行《国家学生体育健康标准》，保障学生校内每天锻炼1小时；做好中考体育改革，推行3+X考试；实施体育艺术2+1项目，办好“一县一品”通江红军城杯足球赛等各级各类青少年体育赛事和活动，力争在省锦标赛奖牌数再创新高；科学布局篮球、足球等项目学校，形成一校一品一特色，创建省级篮球示范学校1所，市级阳光体育示范校2所、足球特色学校1所；加强省乒乓球训练基地校建设。</w:t>
      </w:r>
    </w:p>
    <w:p>
      <w:pPr>
        <w:spacing w:line="595" w:lineRule="exact"/>
        <w:ind w:firstLine="600" w:firstLineChars="200"/>
        <w:rPr>
          <w:rFonts w:ascii="仿宋" w:hAnsi="仿宋" w:eastAsia="仿宋"/>
          <w:sz w:val="30"/>
          <w:szCs w:val="30"/>
        </w:rPr>
      </w:pPr>
      <w:r>
        <w:rPr>
          <w:rFonts w:hint="eastAsia" w:ascii="仿宋" w:hAnsi="仿宋" w:eastAsia="仿宋" w:cs="黑体"/>
          <w:bCs/>
          <w:sz w:val="30"/>
          <w:szCs w:val="30"/>
        </w:rPr>
        <w:t>9、</w:t>
      </w:r>
      <w:r>
        <w:rPr>
          <w:rFonts w:hint="eastAsia" w:ascii="仿宋" w:hAnsi="仿宋" w:eastAsia="仿宋"/>
          <w:bCs/>
          <w:sz w:val="30"/>
          <w:szCs w:val="30"/>
        </w:rPr>
        <w:t>一是</w:t>
      </w:r>
      <w:r>
        <w:rPr>
          <w:rFonts w:hint="eastAsia" w:ascii="仿宋" w:hAnsi="仿宋" w:eastAsia="仿宋"/>
          <w:sz w:val="30"/>
          <w:szCs w:val="30"/>
        </w:rPr>
        <w:t>刚性落实《安全工作“九个必须”》</w:t>
      </w:r>
      <w:r>
        <w:rPr>
          <w:rFonts w:hint="eastAsia" w:ascii="仿宋" w:hAnsi="仿宋" w:eastAsia="仿宋" w:cs="仿宋_GB2312"/>
          <w:color w:val="000000"/>
          <w:sz w:val="30"/>
          <w:szCs w:val="30"/>
        </w:rPr>
        <w:t>制度，</w:t>
      </w:r>
      <w:r>
        <w:rPr>
          <w:rFonts w:hint="eastAsia" w:ascii="仿宋" w:hAnsi="仿宋" w:eastAsia="仿宋" w:cs="仿宋_GB2312"/>
          <w:sz w:val="30"/>
          <w:szCs w:val="30"/>
        </w:rPr>
        <w:t>充分发挥法治副校长的作用，强化学生安全教育及应急演练和学校安全网格化管理。持续开展校园周边环境综合治理，做好扫黑除恶治乱、校园欺凌等专项治理，积极防范校园周边涉校涉师涉生事故发生</w:t>
      </w:r>
      <w:r>
        <w:rPr>
          <w:rFonts w:hint="eastAsia" w:ascii="仿宋" w:hAnsi="仿宋" w:eastAsia="仿宋"/>
          <w:sz w:val="30"/>
          <w:szCs w:val="30"/>
        </w:rPr>
        <w:t>。</w:t>
      </w:r>
      <w:r>
        <w:rPr>
          <w:rFonts w:hint="eastAsia" w:ascii="仿宋" w:hAnsi="仿宋" w:eastAsia="仿宋"/>
          <w:bCs/>
          <w:sz w:val="30"/>
          <w:szCs w:val="30"/>
        </w:rPr>
        <w:t>二是</w:t>
      </w:r>
      <w:r>
        <w:rPr>
          <w:rFonts w:hint="eastAsia" w:ascii="仿宋" w:hAnsi="仿宋" w:eastAsia="仿宋" w:cs="仿宋_GB2312"/>
          <w:sz w:val="30"/>
          <w:szCs w:val="30"/>
        </w:rPr>
        <w:t>严格落实《食堂管理“十个到位”</w:t>
      </w:r>
      <w:r>
        <w:rPr>
          <w:rFonts w:hint="eastAsia" w:ascii="仿宋" w:hAnsi="仿宋" w:eastAsia="仿宋" w:cs="仿宋_GB2312"/>
          <w:color w:val="000000"/>
          <w:sz w:val="30"/>
          <w:szCs w:val="30"/>
        </w:rPr>
        <w:t>》，规范学校食堂管理，</w:t>
      </w:r>
      <w:r>
        <w:rPr>
          <w:rFonts w:hint="eastAsia" w:ascii="仿宋" w:hAnsi="仿宋" w:eastAsia="仿宋" w:cs="仿宋_GB2312"/>
          <w:sz w:val="30"/>
          <w:szCs w:val="30"/>
        </w:rPr>
        <w:t>强化食品安全，</w:t>
      </w:r>
      <w:r>
        <w:rPr>
          <w:rFonts w:hint="eastAsia" w:ascii="仿宋" w:hAnsi="仿宋" w:eastAsia="仿宋" w:cs="仿宋_GB2312"/>
          <w:color w:val="000000"/>
          <w:sz w:val="30"/>
          <w:szCs w:val="30"/>
        </w:rPr>
        <w:t>严格按标准实施农村义务教育阶段学生营养餐改善计划</w:t>
      </w:r>
      <w:r>
        <w:rPr>
          <w:rFonts w:hint="eastAsia" w:ascii="仿宋" w:hAnsi="仿宋" w:eastAsia="仿宋" w:cs="仿宋_GB2312"/>
          <w:sz w:val="30"/>
          <w:szCs w:val="30"/>
        </w:rPr>
        <w:t>；</w:t>
      </w:r>
      <w:r>
        <w:rPr>
          <w:rFonts w:hint="eastAsia" w:ascii="仿宋" w:hAnsi="仿宋" w:eastAsia="仿宋"/>
          <w:bCs/>
          <w:sz w:val="30"/>
          <w:szCs w:val="30"/>
        </w:rPr>
        <w:t>三是</w:t>
      </w:r>
      <w:r>
        <w:rPr>
          <w:rFonts w:hint="eastAsia" w:ascii="仿宋" w:hAnsi="仿宋" w:eastAsia="仿宋"/>
          <w:sz w:val="30"/>
          <w:szCs w:val="30"/>
        </w:rPr>
        <w:t>及时办理群众信访事项，</w:t>
      </w:r>
      <w:r>
        <w:rPr>
          <w:rFonts w:hint="eastAsia" w:ascii="仿宋" w:hAnsi="仿宋" w:eastAsia="仿宋" w:cs="仿宋_GB2312"/>
          <w:sz w:val="30"/>
          <w:szCs w:val="30"/>
        </w:rPr>
        <w:t>推进学校风险管理服务体系建设，</w:t>
      </w:r>
      <w:r>
        <w:rPr>
          <w:rFonts w:hint="eastAsia" w:ascii="仿宋" w:hAnsi="仿宋" w:eastAsia="仿宋"/>
          <w:sz w:val="30"/>
          <w:szCs w:val="30"/>
        </w:rPr>
        <w:t>加强重点时段的稳控力度，做好计生、双拥等工作，全力维护教科体系统和谐稳定；</w:t>
      </w:r>
      <w:r>
        <w:rPr>
          <w:rFonts w:hint="eastAsia" w:ascii="仿宋" w:hAnsi="仿宋" w:eastAsia="仿宋" w:cs="仿宋_GB2312"/>
          <w:sz w:val="30"/>
          <w:szCs w:val="30"/>
        </w:rPr>
        <w:t>四是</w:t>
      </w:r>
      <w:r>
        <w:rPr>
          <w:rFonts w:hint="eastAsia" w:ascii="仿宋" w:hAnsi="仿宋" w:eastAsia="仿宋"/>
          <w:sz w:val="30"/>
          <w:szCs w:val="30"/>
        </w:rPr>
        <w:t>建好宣传4支队伍，利用好微信、微博等新媒体，大力挖掘特色、亮点工作，主动对外宣传报道，增强人民对通江县教科体事业的信心。</w:t>
      </w:r>
    </w:p>
    <w:p>
      <w:pPr>
        <w:pStyle w:val="10"/>
        <w:rPr>
          <w:rStyle w:val="14"/>
          <w:rFonts w:ascii="仿宋" w:hAnsi="仿宋" w:eastAsia="仿宋"/>
          <w:b w:val="0"/>
          <w:bCs w:val="0"/>
          <w:sz w:val="30"/>
          <w:szCs w:val="30"/>
        </w:rPr>
      </w:pPr>
      <w:bookmarkStart w:id="22" w:name="_Toc15377200"/>
      <w:bookmarkStart w:id="23" w:name="_Toc15396601"/>
      <w:bookmarkStart w:id="24" w:name="_Toc17721"/>
      <w:r>
        <w:rPr>
          <w:rFonts w:hint="eastAsia" w:ascii="仿宋" w:hAnsi="仿宋" w:eastAsia="仿宋"/>
          <w:b w:val="0"/>
          <w:color w:val="000000"/>
          <w:sz w:val="30"/>
          <w:szCs w:val="30"/>
        </w:rPr>
        <w:t>二、机</w:t>
      </w:r>
      <w:r>
        <w:rPr>
          <w:rStyle w:val="14"/>
          <w:rFonts w:hint="eastAsia" w:ascii="仿宋" w:hAnsi="仿宋" w:eastAsia="仿宋"/>
          <w:b w:val="0"/>
          <w:bCs w:val="0"/>
          <w:sz w:val="30"/>
          <w:szCs w:val="30"/>
        </w:rPr>
        <w:t>构设置</w:t>
      </w:r>
      <w:bookmarkEnd w:id="22"/>
      <w:bookmarkEnd w:id="23"/>
      <w:bookmarkEnd w:id="24"/>
    </w:p>
    <w:p>
      <w:pPr>
        <w:ind w:firstLine="750" w:firstLineChars="250"/>
        <w:rPr>
          <w:rFonts w:ascii="仿宋" w:hAnsi="仿宋" w:eastAsia="仿宋"/>
          <w:sz w:val="30"/>
          <w:szCs w:val="30"/>
        </w:rPr>
      </w:pPr>
      <w:r>
        <w:rPr>
          <w:rFonts w:hint="eastAsia" w:ascii="仿宋" w:hAnsi="仿宋" w:eastAsia="仿宋"/>
          <w:sz w:val="30"/>
          <w:szCs w:val="30"/>
        </w:rPr>
        <w:t>通江县教育科技和体育局下属二级单位110个，其中行政单位1个，参照公务员法管理的事业单位</w:t>
      </w:r>
      <w:r>
        <w:rPr>
          <w:rFonts w:hint="eastAsia" w:ascii="仿宋" w:hAnsi="仿宋" w:eastAsia="仿宋"/>
          <w:bCs/>
          <w:sz w:val="30"/>
          <w:szCs w:val="30"/>
        </w:rPr>
        <w:t>0</w:t>
      </w:r>
      <w:r>
        <w:rPr>
          <w:rFonts w:hint="eastAsia" w:ascii="仿宋" w:hAnsi="仿宋" w:eastAsia="仿宋"/>
          <w:sz w:val="30"/>
          <w:szCs w:val="30"/>
        </w:rPr>
        <w:t>个，其他事业单位109个。</w:t>
      </w:r>
    </w:p>
    <w:p>
      <w:pPr>
        <w:pStyle w:val="16"/>
        <w:adjustRightInd w:val="0"/>
        <w:snapToGrid w:val="0"/>
        <w:spacing w:before="93" w:line="600" w:lineRule="exact"/>
        <w:ind w:firstLine="630" w:firstLineChars="210"/>
        <w:rPr>
          <w:rFonts w:ascii="仿宋" w:hAnsi="仿宋" w:eastAsia="仿宋"/>
          <w:color w:val="000000"/>
          <w:sz w:val="30"/>
          <w:szCs w:val="30"/>
        </w:rPr>
      </w:pPr>
      <w:r>
        <w:rPr>
          <w:rFonts w:hint="eastAsia" w:ascii="仿宋" w:hAnsi="仿宋" w:eastAsia="仿宋"/>
          <w:color w:val="000000"/>
          <w:sz w:val="30"/>
          <w:szCs w:val="30"/>
        </w:rPr>
        <w:t>纳入</w:t>
      </w:r>
      <w:r>
        <w:rPr>
          <w:rFonts w:hint="eastAsia" w:ascii="仿宋" w:hAnsi="仿宋" w:eastAsia="仿宋"/>
          <w:sz w:val="30"/>
          <w:szCs w:val="30"/>
        </w:rPr>
        <w:t>通江县教育科技和体育局</w:t>
      </w:r>
      <w:r>
        <w:rPr>
          <w:rFonts w:ascii="仿宋" w:hAnsi="仿宋" w:eastAsia="仿宋"/>
          <w:color w:val="000000"/>
          <w:sz w:val="30"/>
          <w:szCs w:val="30"/>
        </w:rPr>
        <w:t>2020</w:t>
      </w:r>
      <w:r>
        <w:rPr>
          <w:rFonts w:hint="eastAsia" w:ascii="仿宋" w:hAnsi="仿宋" w:eastAsia="仿宋"/>
          <w:color w:val="000000"/>
          <w:sz w:val="30"/>
          <w:szCs w:val="30"/>
        </w:rPr>
        <w:t>年度部门决算编制范围的二级预算单位</w:t>
      </w:r>
      <w:r>
        <w:rPr>
          <w:rFonts w:hint="eastAsia" w:ascii="仿宋" w:hAnsi="仿宋" w:eastAsia="仿宋"/>
          <w:color w:val="000000"/>
          <w:sz w:val="30"/>
          <w:szCs w:val="30"/>
          <w:lang w:eastAsia="zh-CN"/>
        </w:rPr>
        <w:t>13个，</w:t>
      </w:r>
      <w:r>
        <w:rPr>
          <w:rFonts w:hint="eastAsia" w:ascii="仿宋" w:hAnsi="仿宋" w:eastAsia="仿宋"/>
          <w:color w:val="000000"/>
          <w:sz w:val="30"/>
          <w:szCs w:val="30"/>
        </w:rPr>
        <w:t>包括：</w:t>
      </w:r>
    </w:p>
    <w:p>
      <w:pPr>
        <w:pStyle w:val="16"/>
        <w:numPr>
          <w:ilvl w:val="0"/>
          <w:numId w:val="1"/>
        </w:numPr>
        <w:adjustRightInd w:val="0"/>
        <w:snapToGrid w:val="0"/>
        <w:spacing w:before="93" w:line="600" w:lineRule="exact"/>
        <w:rPr>
          <w:rFonts w:ascii="仿宋" w:hAnsi="仿宋" w:eastAsia="仿宋"/>
          <w:color w:val="000000"/>
          <w:sz w:val="30"/>
          <w:szCs w:val="30"/>
        </w:rPr>
      </w:pPr>
      <w:bookmarkStart w:id="25" w:name="_Toc15377433"/>
      <w:bookmarkStart w:id="26" w:name="_Toc15377202"/>
      <w:bookmarkStart w:id="27" w:name="_Toc15306276"/>
      <w:bookmarkStart w:id="28" w:name="_Toc15378449"/>
      <w:r>
        <w:rPr>
          <w:rFonts w:hint="eastAsia" w:ascii="仿宋" w:hAnsi="仿宋" w:eastAsia="仿宋"/>
          <w:color w:val="000000"/>
          <w:sz w:val="30"/>
          <w:szCs w:val="30"/>
        </w:rPr>
        <w:t>通江县教育科技和体育局、</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通江县人民政府教育督导室、</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通江县电化教育馆、</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通江县教育科学研究室、</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通江县大学中专招生委员会办公室、</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通江县电大工作站、</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通江中学、</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通江县实验中学、</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通江二中、</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通江县职业高级中学、</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通江三中、</w:t>
      </w:r>
    </w:p>
    <w:p>
      <w:pPr>
        <w:pStyle w:val="16"/>
        <w:numPr>
          <w:ilvl w:val="0"/>
          <w:numId w:val="1"/>
        </w:numPr>
        <w:adjustRightInd w:val="0"/>
        <w:snapToGrid w:val="0"/>
        <w:spacing w:before="93" w:line="600" w:lineRule="exact"/>
        <w:rPr>
          <w:rFonts w:ascii="仿宋" w:hAnsi="仿宋" w:eastAsia="仿宋"/>
          <w:color w:val="000000"/>
          <w:sz w:val="30"/>
          <w:szCs w:val="30"/>
        </w:rPr>
      </w:pPr>
      <w:r>
        <w:rPr>
          <w:rFonts w:hint="eastAsia" w:ascii="仿宋" w:hAnsi="仿宋" w:eastAsia="仿宋"/>
          <w:color w:val="000000"/>
          <w:sz w:val="30"/>
          <w:szCs w:val="30"/>
        </w:rPr>
        <w:t>通江县实验小学、</w:t>
      </w:r>
    </w:p>
    <w:p>
      <w:pPr>
        <w:pStyle w:val="16"/>
        <w:numPr>
          <w:ilvl w:val="0"/>
          <w:numId w:val="1"/>
        </w:numPr>
        <w:adjustRightInd w:val="0"/>
        <w:snapToGrid w:val="0"/>
        <w:spacing w:before="93" w:line="600" w:lineRule="exact"/>
        <w:rPr>
          <w:rFonts w:hint="eastAsia" w:ascii="仿宋" w:hAnsi="仿宋" w:eastAsia="仿宋"/>
          <w:color w:val="000000"/>
          <w:sz w:val="30"/>
          <w:szCs w:val="30"/>
        </w:rPr>
      </w:pPr>
      <w:r>
        <w:rPr>
          <w:rFonts w:hint="eastAsia" w:ascii="仿宋" w:hAnsi="仿宋" w:eastAsia="仿宋"/>
          <w:color w:val="000000"/>
          <w:sz w:val="30"/>
          <w:szCs w:val="30"/>
        </w:rPr>
        <w:t>通江县示范幼儿园。</w:t>
      </w:r>
    </w:p>
    <w:p>
      <w:pPr>
        <w:pStyle w:val="16"/>
        <w:adjustRightInd w:val="0"/>
        <w:snapToGrid w:val="0"/>
        <w:spacing w:before="93" w:line="600" w:lineRule="exact"/>
        <w:ind w:left="1152"/>
        <w:rPr>
          <w:rFonts w:ascii="仿宋" w:hAnsi="仿宋" w:eastAsia="仿宋"/>
          <w:color w:val="000000"/>
          <w:sz w:val="30"/>
          <w:szCs w:val="30"/>
        </w:rPr>
      </w:pPr>
      <w:r>
        <w:rPr>
          <w:rFonts w:hint="eastAsia" w:ascii="仿宋" w:hAnsi="仿宋" w:eastAsia="仿宋"/>
          <w:color w:val="000000"/>
          <w:sz w:val="30"/>
          <w:szCs w:val="30"/>
        </w:rPr>
        <w:t>其余各中小学的决算纳入当地乡镇统一进行决算公开。</w:t>
      </w:r>
      <w:bookmarkEnd w:id="25"/>
      <w:bookmarkEnd w:id="26"/>
      <w:bookmarkEnd w:id="27"/>
      <w:bookmarkEnd w:id="28"/>
    </w:p>
    <w:p>
      <w:pPr>
        <w:pStyle w:val="9"/>
        <w:bidi w:val="0"/>
        <w:jc w:val="center"/>
        <w:rPr>
          <w:rFonts w:hint="eastAsia"/>
        </w:rPr>
      </w:pPr>
      <w:bookmarkStart w:id="29" w:name="_Toc15396602"/>
      <w:bookmarkStart w:id="30" w:name="_Toc15377204"/>
      <w:bookmarkStart w:id="31" w:name="_Toc16050"/>
      <w:r>
        <w:rPr>
          <w:rFonts w:hint="eastAsia"/>
        </w:rPr>
        <w:t>第二部分 2020年度部门决算情况说明</w:t>
      </w:r>
      <w:bookmarkEnd w:id="29"/>
      <w:bookmarkEnd w:id="30"/>
      <w:bookmarkEnd w:id="31"/>
    </w:p>
    <w:p>
      <w:pPr>
        <w:pStyle w:val="33"/>
        <w:numPr>
          <w:ilvl w:val="0"/>
          <w:numId w:val="2"/>
        </w:numPr>
        <w:spacing w:line="600" w:lineRule="exact"/>
        <w:ind w:firstLineChars="0"/>
        <w:outlineLvl w:val="1"/>
        <w:rPr>
          <w:rStyle w:val="14"/>
          <w:rFonts w:ascii="仿宋" w:hAnsi="仿宋" w:eastAsia="仿宋"/>
          <w:b w:val="0"/>
          <w:sz w:val="30"/>
          <w:szCs w:val="30"/>
        </w:rPr>
      </w:pPr>
      <w:bookmarkStart w:id="32" w:name="_Toc15377205"/>
      <w:bookmarkStart w:id="33" w:name="_Toc15396603"/>
      <w:bookmarkStart w:id="34" w:name="_Toc3434"/>
      <w:r>
        <w:rPr>
          <w:rFonts w:hint="eastAsia" w:ascii="仿宋" w:hAnsi="仿宋" w:eastAsia="仿宋"/>
          <w:color w:val="000000"/>
          <w:sz w:val="30"/>
          <w:szCs w:val="30"/>
        </w:rPr>
        <w:t>收</w:t>
      </w:r>
      <w:r>
        <w:rPr>
          <w:rStyle w:val="14"/>
          <w:rFonts w:hint="eastAsia" w:ascii="仿宋" w:hAnsi="仿宋" w:eastAsia="仿宋"/>
          <w:b w:val="0"/>
          <w:sz w:val="30"/>
          <w:szCs w:val="30"/>
        </w:rPr>
        <w:t>入支出决算总体情况说明</w:t>
      </w:r>
      <w:bookmarkEnd w:id="32"/>
      <w:bookmarkEnd w:id="33"/>
      <w:bookmarkEnd w:id="34"/>
    </w:p>
    <w:p>
      <w:pPr>
        <w:spacing w:line="600" w:lineRule="exact"/>
        <w:ind w:firstLine="600" w:firstLineChars="200"/>
        <w:outlineLvl w:val="9"/>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年度收、支总计32347.70万元。与</w:t>
      </w:r>
      <w:r>
        <w:rPr>
          <w:rFonts w:ascii="仿宋" w:hAnsi="仿宋" w:eastAsia="仿宋"/>
          <w:color w:val="000000"/>
          <w:sz w:val="30"/>
          <w:szCs w:val="30"/>
        </w:rPr>
        <w:t>2019</w:t>
      </w:r>
      <w:r>
        <w:rPr>
          <w:rFonts w:hint="eastAsia" w:ascii="仿宋" w:hAnsi="仿宋" w:eastAsia="仿宋"/>
          <w:color w:val="000000"/>
          <w:sz w:val="30"/>
          <w:szCs w:val="30"/>
        </w:rPr>
        <w:t>年30588.68万元相比，收、支总计各增加1759.02万元，增长5.75</w:t>
      </w:r>
      <w:r>
        <w:rPr>
          <w:rFonts w:ascii="仿宋" w:hAnsi="仿宋" w:eastAsia="仿宋"/>
          <w:color w:val="000000"/>
          <w:sz w:val="30"/>
          <w:szCs w:val="30"/>
        </w:rPr>
        <w:t>%</w:t>
      </w:r>
      <w:r>
        <w:rPr>
          <w:rFonts w:hint="eastAsia" w:ascii="仿宋" w:hAnsi="仿宋" w:eastAsia="仿宋"/>
          <w:color w:val="000000"/>
          <w:sz w:val="30"/>
          <w:szCs w:val="30"/>
        </w:rPr>
        <w:t>。主要变动原因是人员工资增长及目标绩效奖励增加。</w:t>
      </w:r>
    </w:p>
    <w:p>
      <w:pPr>
        <w:spacing w:line="1020" w:lineRule="auto"/>
        <w:ind w:firstLine="600" w:firstLineChars="200"/>
        <w:rPr>
          <w:rFonts w:hint="eastAsia" w:ascii="仿宋" w:hAnsi="仿宋" w:eastAsia="仿宋"/>
          <w:color w:val="000000"/>
          <w:sz w:val="30"/>
          <w:szCs w:val="30"/>
        </w:rPr>
      </w:pPr>
      <w:r>
        <w:rPr>
          <w:rFonts w:ascii="仿宋" w:hAnsi="仿宋" w:eastAsia="仿宋"/>
          <w:color w:val="000000"/>
          <w:sz w:val="30"/>
          <w:szCs w:val="30"/>
        </w:rPr>
        <w:object>
          <v:shape id="_x0000_i1025" o:spt="75" type="#_x0000_t75" style="height:132.1pt;width:348.6pt;" o:ole="t" filled="f" o:preferrelative="t" stroked="f" coordsize="21600,21600">
            <v:path/>
            <v:fill on="f" focussize="0,0"/>
            <v:stroke on="f"/>
            <v:imagedata r:id="rId7" o:title=""/>
            <o:lock v:ext="edit" aspectratio="t"/>
            <w10:wrap type="none"/>
            <w10:anchorlock/>
          </v:shape>
          <o:OLEObject Type="Embed" ProgID="MSGraph.Chart.8" ShapeID="_x0000_i1025" DrawAspect="Content" ObjectID="_1468075725" r:id="rId6">
            <o:LockedField>false</o:LockedField>
          </o:OLEObject>
        </w:object>
      </w:r>
    </w:p>
    <w:p>
      <w:pPr>
        <w:spacing w:line="102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     （图</w:t>
      </w:r>
      <w:r>
        <w:rPr>
          <w:rFonts w:ascii="仿宋" w:hAnsi="仿宋" w:eastAsia="仿宋"/>
          <w:color w:val="000000"/>
          <w:sz w:val="30"/>
          <w:szCs w:val="30"/>
        </w:rPr>
        <w:t>1</w:t>
      </w:r>
      <w:r>
        <w:rPr>
          <w:rFonts w:hint="eastAsia" w:ascii="仿宋" w:hAnsi="仿宋" w:eastAsia="仿宋"/>
          <w:color w:val="000000"/>
          <w:sz w:val="30"/>
          <w:szCs w:val="30"/>
        </w:rPr>
        <w:t>：收、支决算总计变动情况图）</w:t>
      </w:r>
    </w:p>
    <w:p>
      <w:pPr>
        <w:pStyle w:val="33"/>
        <w:numPr>
          <w:ilvl w:val="0"/>
          <w:numId w:val="2"/>
        </w:numPr>
        <w:spacing w:line="600" w:lineRule="exact"/>
        <w:ind w:firstLineChars="0"/>
        <w:outlineLvl w:val="1"/>
        <w:rPr>
          <w:rStyle w:val="14"/>
          <w:rFonts w:ascii="仿宋" w:hAnsi="仿宋" w:eastAsia="仿宋"/>
          <w:b w:val="0"/>
          <w:sz w:val="30"/>
          <w:szCs w:val="30"/>
        </w:rPr>
      </w:pPr>
      <w:bookmarkStart w:id="35" w:name="_Toc15396604"/>
      <w:bookmarkStart w:id="36" w:name="_Toc15377206"/>
      <w:bookmarkStart w:id="37" w:name="_Toc17351"/>
      <w:r>
        <w:rPr>
          <w:rFonts w:hint="eastAsia" w:ascii="仿宋" w:hAnsi="仿宋" w:eastAsia="仿宋"/>
          <w:color w:val="000000"/>
          <w:sz w:val="30"/>
          <w:szCs w:val="30"/>
        </w:rPr>
        <w:t>收</w:t>
      </w:r>
      <w:r>
        <w:rPr>
          <w:rStyle w:val="14"/>
          <w:rFonts w:hint="eastAsia" w:ascii="仿宋" w:hAnsi="仿宋" w:eastAsia="仿宋"/>
          <w:b w:val="0"/>
          <w:sz w:val="30"/>
          <w:szCs w:val="30"/>
        </w:rPr>
        <w:t>入决算情况说明</w:t>
      </w:r>
      <w:bookmarkEnd w:id="35"/>
      <w:bookmarkEnd w:id="36"/>
      <w:bookmarkEnd w:id="37"/>
    </w:p>
    <w:p>
      <w:pPr>
        <w:spacing w:line="600" w:lineRule="exact"/>
        <w:ind w:firstLine="600" w:firstLineChars="200"/>
        <w:outlineLvl w:val="9"/>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年本年收入合计32347.70万元，其中：一般公共预算财政拨款收入32093.95万元，占99.22</w:t>
      </w:r>
      <w:r>
        <w:rPr>
          <w:rFonts w:ascii="仿宋" w:hAnsi="仿宋" w:eastAsia="仿宋"/>
          <w:color w:val="000000"/>
          <w:sz w:val="30"/>
          <w:szCs w:val="30"/>
        </w:rPr>
        <w:t>%</w:t>
      </w:r>
      <w:r>
        <w:rPr>
          <w:rFonts w:hint="eastAsia" w:ascii="仿宋" w:hAnsi="仿宋" w:eastAsia="仿宋"/>
          <w:color w:val="000000"/>
          <w:sz w:val="30"/>
          <w:szCs w:val="30"/>
        </w:rPr>
        <w:t>；政府性基金预算财政拨款收入37万元，占0. 11</w:t>
      </w:r>
      <w:r>
        <w:rPr>
          <w:rFonts w:ascii="仿宋" w:hAnsi="仿宋" w:eastAsia="仿宋"/>
          <w:color w:val="000000"/>
          <w:sz w:val="30"/>
          <w:szCs w:val="30"/>
        </w:rPr>
        <w:t>%</w:t>
      </w:r>
      <w:r>
        <w:rPr>
          <w:rFonts w:hint="eastAsia" w:ascii="仿宋" w:hAnsi="仿宋" w:eastAsia="仿宋"/>
          <w:color w:val="000000"/>
          <w:sz w:val="30"/>
          <w:szCs w:val="30"/>
        </w:rPr>
        <w:t>；上级补助收入0万元，占0</w:t>
      </w:r>
      <w:r>
        <w:rPr>
          <w:rFonts w:ascii="仿宋" w:hAnsi="仿宋" w:eastAsia="仿宋"/>
          <w:color w:val="000000"/>
          <w:sz w:val="30"/>
          <w:szCs w:val="30"/>
        </w:rPr>
        <w:t>%</w:t>
      </w:r>
      <w:r>
        <w:rPr>
          <w:rFonts w:hint="eastAsia" w:ascii="仿宋" w:hAnsi="仿宋" w:eastAsia="仿宋"/>
          <w:color w:val="000000"/>
          <w:sz w:val="30"/>
          <w:szCs w:val="30"/>
        </w:rPr>
        <w:t>；事业收入201.43万元，占0.62</w:t>
      </w:r>
      <w:r>
        <w:rPr>
          <w:rFonts w:ascii="仿宋" w:hAnsi="仿宋" w:eastAsia="仿宋"/>
          <w:color w:val="000000"/>
          <w:sz w:val="30"/>
          <w:szCs w:val="30"/>
        </w:rPr>
        <w:t>%</w:t>
      </w:r>
      <w:r>
        <w:rPr>
          <w:rFonts w:hint="eastAsia" w:ascii="仿宋" w:hAnsi="仿宋" w:eastAsia="仿宋"/>
          <w:color w:val="000000"/>
          <w:sz w:val="30"/>
          <w:szCs w:val="30"/>
        </w:rPr>
        <w:t>；经营收入0万元，占0</w:t>
      </w:r>
      <w:r>
        <w:rPr>
          <w:rFonts w:ascii="仿宋" w:hAnsi="仿宋" w:eastAsia="仿宋"/>
          <w:color w:val="000000"/>
          <w:sz w:val="30"/>
          <w:szCs w:val="30"/>
        </w:rPr>
        <w:t>%</w:t>
      </w:r>
      <w:r>
        <w:rPr>
          <w:rFonts w:hint="eastAsia" w:ascii="仿宋" w:hAnsi="仿宋" w:eastAsia="仿宋"/>
          <w:color w:val="000000"/>
          <w:sz w:val="30"/>
          <w:szCs w:val="30"/>
        </w:rPr>
        <w:t>；附属单位上缴收入0万元，占0</w:t>
      </w:r>
      <w:r>
        <w:rPr>
          <w:rFonts w:ascii="仿宋" w:hAnsi="仿宋" w:eastAsia="仿宋"/>
          <w:color w:val="000000"/>
          <w:sz w:val="30"/>
          <w:szCs w:val="30"/>
        </w:rPr>
        <w:t>%</w:t>
      </w:r>
      <w:r>
        <w:rPr>
          <w:rFonts w:hint="eastAsia" w:ascii="仿宋" w:hAnsi="仿宋" w:eastAsia="仿宋"/>
          <w:color w:val="000000"/>
          <w:sz w:val="30"/>
          <w:szCs w:val="30"/>
        </w:rPr>
        <w:t>；其他收入15.33万元，占0.05</w:t>
      </w:r>
      <w:r>
        <w:rPr>
          <w:rFonts w:ascii="仿宋" w:hAnsi="仿宋" w:eastAsia="仿宋"/>
          <w:color w:val="000000"/>
          <w:sz w:val="30"/>
          <w:szCs w:val="30"/>
        </w:rPr>
        <w:t>%</w:t>
      </w:r>
      <w:r>
        <w:rPr>
          <w:rFonts w:hint="eastAsia" w:ascii="仿宋" w:hAnsi="仿宋" w:eastAsia="仿宋"/>
          <w:color w:val="000000"/>
          <w:sz w:val="30"/>
          <w:szCs w:val="30"/>
        </w:rPr>
        <w:t>。</w:t>
      </w:r>
    </w:p>
    <w:p>
      <w:pPr>
        <w:bidi w:val="0"/>
        <w:jc w:val="center"/>
        <w:rPr>
          <w:rFonts w:ascii="仿宋" w:hAnsi="仿宋" w:eastAsia="仿宋"/>
          <w:color w:val="000000"/>
          <w:sz w:val="30"/>
          <w:szCs w:val="30"/>
        </w:rPr>
      </w:pPr>
      <w:bookmarkStart w:id="38" w:name="_Toc31121"/>
      <w:r>
        <w:rPr>
          <w:rFonts w:ascii="仿宋" w:hAnsi="仿宋" w:eastAsia="仿宋"/>
          <w:color w:val="000000"/>
          <w:sz w:val="30"/>
          <w:szCs w:val="30"/>
        </w:rPr>
        <w:object>
          <v:shape id="_x0000_i1026" o:spt="75" type="#_x0000_t75" style="height:249.15pt;width:412.95pt;" o:ole="t" filled="f" o:preferrelative="t" stroked="f" coordsize="21600,21600">
            <v:path/>
            <v:fill on="f" focussize="0,0"/>
            <v:stroke on="f"/>
            <v:imagedata r:id="rId9" o:title=""/>
            <o:lock v:ext="edit" aspectratio="t"/>
            <w10:wrap type="none"/>
            <w10:anchorlock/>
          </v:shape>
          <o:OLEObject Type="Embed" ProgID="MSGraph.Chart.8" ShapeID="_x0000_i1026" DrawAspect="Content" ObjectID="_1468075726" r:id="rId8">
            <o:LockedField>false</o:LockedField>
          </o:OLEObject>
        </w:object>
      </w:r>
      <w:r>
        <w:rPr>
          <w:rFonts w:hint="eastAsia" w:ascii="仿宋" w:hAnsi="仿宋" w:eastAsia="仿宋"/>
          <w:color w:val="000000"/>
          <w:sz w:val="30"/>
          <w:szCs w:val="30"/>
        </w:rPr>
        <w:t xml:space="preserve">               （图</w:t>
      </w:r>
      <w:r>
        <w:rPr>
          <w:rFonts w:ascii="仿宋" w:hAnsi="仿宋" w:eastAsia="仿宋"/>
          <w:color w:val="000000"/>
          <w:sz w:val="30"/>
          <w:szCs w:val="30"/>
        </w:rPr>
        <w:t>2</w:t>
      </w:r>
      <w:r>
        <w:rPr>
          <w:rFonts w:hint="eastAsia" w:ascii="仿宋" w:hAnsi="仿宋" w:eastAsia="仿宋"/>
          <w:color w:val="000000"/>
          <w:sz w:val="30"/>
          <w:szCs w:val="30"/>
        </w:rPr>
        <w:t>：收入决算结构图）</w:t>
      </w:r>
      <w:bookmarkEnd w:id="38"/>
    </w:p>
    <w:p>
      <w:pPr>
        <w:pStyle w:val="33"/>
        <w:numPr>
          <w:ilvl w:val="0"/>
          <w:numId w:val="2"/>
        </w:numPr>
        <w:spacing w:line="600" w:lineRule="exact"/>
        <w:ind w:firstLineChars="0"/>
        <w:outlineLvl w:val="1"/>
        <w:rPr>
          <w:rStyle w:val="14"/>
          <w:rFonts w:ascii="仿宋" w:hAnsi="仿宋" w:eastAsia="仿宋"/>
          <w:b w:val="0"/>
          <w:sz w:val="30"/>
          <w:szCs w:val="30"/>
        </w:rPr>
      </w:pPr>
      <w:bookmarkStart w:id="39" w:name="_Toc15377207"/>
      <w:bookmarkStart w:id="40" w:name="_Toc15396605"/>
      <w:bookmarkStart w:id="41" w:name="_Toc32085"/>
      <w:r>
        <w:rPr>
          <w:rFonts w:hint="eastAsia" w:ascii="仿宋" w:hAnsi="仿宋" w:eastAsia="仿宋"/>
          <w:color w:val="000000"/>
          <w:sz w:val="30"/>
          <w:szCs w:val="30"/>
        </w:rPr>
        <w:t>支</w:t>
      </w:r>
      <w:r>
        <w:rPr>
          <w:rStyle w:val="14"/>
          <w:rFonts w:hint="eastAsia" w:ascii="仿宋" w:hAnsi="仿宋" w:eastAsia="仿宋"/>
          <w:b w:val="0"/>
          <w:sz w:val="30"/>
          <w:szCs w:val="30"/>
        </w:rPr>
        <w:t>出决算情况说明</w:t>
      </w:r>
      <w:bookmarkEnd w:id="39"/>
      <w:bookmarkEnd w:id="40"/>
      <w:bookmarkEnd w:id="41"/>
    </w:p>
    <w:p>
      <w:pPr>
        <w:rPr>
          <w:rFonts w:hint="eastAsia" w:ascii="仿宋" w:hAnsi="仿宋" w:eastAsia="仿宋" w:cs="Arial"/>
          <w:b/>
          <w:bCs/>
          <w:color w:val="000000"/>
          <w:kern w:val="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2020</w:t>
      </w:r>
      <w:r>
        <w:rPr>
          <w:rFonts w:hint="eastAsia" w:ascii="仿宋" w:hAnsi="仿宋" w:eastAsia="仿宋"/>
          <w:color w:val="000000"/>
          <w:sz w:val="30"/>
          <w:szCs w:val="30"/>
        </w:rPr>
        <w:t>年本年支出合计32347.70万元，其中：基本支出</w:t>
      </w:r>
      <w:r>
        <w:rPr>
          <w:rFonts w:hint="eastAsia" w:ascii="仿宋" w:hAnsi="仿宋" w:eastAsia="仿宋" w:cs="Arial"/>
          <w:b/>
          <w:bCs/>
          <w:color w:val="000000"/>
          <w:kern w:val="0"/>
          <w:sz w:val="30"/>
          <w:szCs w:val="30"/>
        </w:rPr>
        <w:t>25,260.21</w:t>
      </w:r>
      <w:r>
        <w:rPr>
          <w:rFonts w:hint="eastAsia" w:ascii="仿宋" w:hAnsi="仿宋" w:eastAsia="仿宋"/>
          <w:color w:val="000000"/>
          <w:sz w:val="30"/>
          <w:szCs w:val="30"/>
        </w:rPr>
        <w:t>万元，占78.09</w:t>
      </w:r>
      <w:r>
        <w:rPr>
          <w:rFonts w:ascii="仿宋" w:hAnsi="仿宋" w:eastAsia="仿宋"/>
          <w:color w:val="000000"/>
          <w:sz w:val="30"/>
          <w:szCs w:val="30"/>
        </w:rPr>
        <w:t>%</w:t>
      </w:r>
      <w:r>
        <w:rPr>
          <w:rFonts w:hint="eastAsia" w:ascii="仿宋" w:hAnsi="仿宋" w:eastAsia="仿宋"/>
          <w:color w:val="000000"/>
          <w:sz w:val="30"/>
          <w:szCs w:val="30"/>
        </w:rPr>
        <w:t>；项目支出</w:t>
      </w:r>
      <w:r>
        <w:rPr>
          <w:rFonts w:ascii="仿宋" w:hAnsi="仿宋" w:eastAsia="仿宋"/>
          <w:color w:val="000000"/>
          <w:sz w:val="30"/>
          <w:szCs w:val="30"/>
        </w:rPr>
        <w:t>7087.49</w:t>
      </w:r>
      <w:r>
        <w:rPr>
          <w:rFonts w:hint="eastAsia" w:ascii="仿宋" w:hAnsi="仿宋" w:eastAsia="仿宋"/>
          <w:color w:val="000000"/>
          <w:sz w:val="30"/>
          <w:szCs w:val="30"/>
        </w:rPr>
        <w:t>万元，占21.91</w:t>
      </w:r>
      <w:r>
        <w:rPr>
          <w:rFonts w:ascii="仿宋" w:hAnsi="仿宋" w:eastAsia="仿宋"/>
          <w:color w:val="000000"/>
          <w:sz w:val="30"/>
          <w:szCs w:val="30"/>
        </w:rPr>
        <w:t>%</w:t>
      </w:r>
      <w:r>
        <w:rPr>
          <w:rFonts w:hint="eastAsia" w:ascii="仿宋" w:hAnsi="仿宋" w:eastAsia="仿宋"/>
          <w:color w:val="000000"/>
          <w:sz w:val="30"/>
          <w:szCs w:val="30"/>
        </w:rPr>
        <w:t>；上缴上级支出0万元，占0</w:t>
      </w:r>
      <w:r>
        <w:rPr>
          <w:rFonts w:ascii="仿宋" w:hAnsi="仿宋" w:eastAsia="仿宋"/>
          <w:color w:val="000000"/>
          <w:sz w:val="30"/>
          <w:szCs w:val="30"/>
        </w:rPr>
        <w:t>%</w:t>
      </w:r>
      <w:r>
        <w:rPr>
          <w:rFonts w:hint="eastAsia" w:ascii="仿宋" w:hAnsi="仿宋" w:eastAsia="仿宋"/>
          <w:color w:val="000000"/>
          <w:sz w:val="30"/>
          <w:szCs w:val="30"/>
        </w:rPr>
        <w:t>；经营支出0万元，占0</w:t>
      </w:r>
      <w:r>
        <w:rPr>
          <w:rFonts w:ascii="仿宋" w:hAnsi="仿宋" w:eastAsia="仿宋"/>
          <w:color w:val="000000"/>
          <w:sz w:val="30"/>
          <w:szCs w:val="30"/>
        </w:rPr>
        <w:t>%</w:t>
      </w:r>
      <w:r>
        <w:rPr>
          <w:rFonts w:hint="eastAsia" w:ascii="仿宋" w:hAnsi="仿宋" w:eastAsia="仿宋"/>
          <w:color w:val="000000"/>
          <w:sz w:val="30"/>
          <w:szCs w:val="30"/>
        </w:rPr>
        <w:t>；对附属单位补助支出0万元，占0</w:t>
      </w:r>
      <w:r>
        <w:rPr>
          <w:rFonts w:ascii="仿宋" w:hAnsi="仿宋" w:eastAsia="仿宋"/>
          <w:color w:val="000000"/>
          <w:sz w:val="30"/>
          <w:szCs w:val="30"/>
        </w:rPr>
        <w:t>%</w:t>
      </w:r>
      <w:r>
        <w:rPr>
          <w:rFonts w:hint="eastAsia" w:ascii="仿宋" w:hAnsi="仿宋" w:eastAsia="仿宋"/>
          <w:color w:val="000000"/>
          <w:sz w:val="30"/>
          <w:szCs w:val="30"/>
        </w:rPr>
        <w:t>。</w:t>
      </w:r>
    </w:p>
    <w:p>
      <w:pPr>
        <w:bidi w:val="0"/>
        <w:rPr>
          <w:rFonts w:hint="eastAsia" w:ascii="仿宋" w:hAnsi="仿宋" w:eastAsia="仿宋"/>
          <w:color w:val="000000"/>
          <w:sz w:val="30"/>
          <w:szCs w:val="30"/>
        </w:rPr>
      </w:pPr>
      <w:bookmarkStart w:id="42" w:name="_Toc17201"/>
      <w:r>
        <w:rPr>
          <w:rFonts w:ascii="仿宋" w:hAnsi="仿宋" w:eastAsia="仿宋"/>
          <w:color w:val="000000"/>
          <w:sz w:val="30"/>
          <w:szCs w:val="30"/>
        </w:rPr>
        <w:object>
          <v:shape id="_x0000_i1027" o:spt="75" type="#_x0000_t75" style="height:174.8pt;width:374.85pt;" o:ole="t" filled="f" o:preferrelative="t" stroked="f" coordsize="21600,21600">
            <v:path/>
            <v:fill on="f" focussize="0,0"/>
            <v:stroke on="f"/>
            <v:imagedata r:id="rId11" o:title=""/>
            <o:lock v:ext="edit" aspectratio="t"/>
            <w10:wrap type="none"/>
            <w10:anchorlock/>
          </v:shape>
          <o:OLEObject Type="Embed" ProgID="MSGraph.Chart.8" ShapeID="_x0000_i1027" DrawAspect="Content" ObjectID="_1468075727" r:id="rId10">
            <o:LockedField>false</o:LockedField>
          </o:OLEObject>
        </w:object>
      </w:r>
      <w:bookmarkEnd w:id="42"/>
    </w:p>
    <w:p>
      <w:pPr>
        <w:bidi w:val="0"/>
        <w:rPr>
          <w:rFonts w:ascii="仿宋" w:hAnsi="仿宋" w:eastAsia="仿宋"/>
          <w:color w:val="000000"/>
          <w:szCs w:val="30"/>
        </w:rPr>
      </w:pPr>
      <w:bookmarkStart w:id="43" w:name="_Toc735"/>
      <w:r>
        <w:rPr>
          <w:rFonts w:hint="eastAsia"/>
        </w:rPr>
        <w:t>（图</w:t>
      </w:r>
      <w:r>
        <w:t>3</w:t>
      </w:r>
      <w:r>
        <w:rPr>
          <w:rFonts w:hint="eastAsia"/>
        </w:rPr>
        <w:t>：支出决算结构图）</w:t>
      </w:r>
      <w:bookmarkEnd w:id="43"/>
    </w:p>
    <w:p>
      <w:pPr>
        <w:spacing w:line="600" w:lineRule="exact"/>
        <w:ind w:firstLine="600" w:firstLineChars="200"/>
        <w:outlineLvl w:val="1"/>
        <w:rPr>
          <w:rStyle w:val="14"/>
          <w:rFonts w:ascii="仿宋" w:hAnsi="仿宋" w:eastAsia="仿宋"/>
          <w:b w:val="0"/>
          <w:sz w:val="30"/>
          <w:szCs w:val="30"/>
        </w:rPr>
      </w:pPr>
      <w:bookmarkStart w:id="44" w:name="_Toc15396606"/>
      <w:bookmarkStart w:id="45" w:name="_Toc15377208"/>
      <w:bookmarkStart w:id="46" w:name="_Toc11817"/>
      <w:r>
        <w:rPr>
          <w:rFonts w:hint="eastAsia" w:ascii="仿宋" w:hAnsi="仿宋" w:eastAsia="仿宋"/>
          <w:color w:val="000000"/>
          <w:sz w:val="30"/>
          <w:szCs w:val="30"/>
        </w:rPr>
        <w:t>四、财</w:t>
      </w:r>
      <w:r>
        <w:rPr>
          <w:rStyle w:val="14"/>
          <w:rFonts w:hint="eastAsia" w:ascii="仿宋" w:hAnsi="仿宋" w:eastAsia="仿宋"/>
          <w:b w:val="0"/>
          <w:sz w:val="30"/>
          <w:szCs w:val="30"/>
        </w:rPr>
        <w:t>政拨款收入支出决算总体情况说明</w:t>
      </w:r>
      <w:bookmarkEnd w:id="44"/>
      <w:bookmarkEnd w:id="45"/>
      <w:bookmarkEnd w:id="46"/>
    </w:p>
    <w:p>
      <w:pPr>
        <w:spacing w:line="600" w:lineRule="exact"/>
        <w:ind w:firstLine="64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年财政拨款收、支总计32130.95万元。与</w:t>
      </w:r>
      <w:r>
        <w:rPr>
          <w:rFonts w:ascii="仿宋" w:hAnsi="仿宋" w:eastAsia="仿宋"/>
          <w:color w:val="000000"/>
          <w:sz w:val="30"/>
          <w:szCs w:val="30"/>
        </w:rPr>
        <w:t>2019</w:t>
      </w:r>
      <w:r>
        <w:rPr>
          <w:rFonts w:hint="eastAsia" w:ascii="仿宋" w:hAnsi="仿宋" w:eastAsia="仿宋"/>
          <w:color w:val="000000"/>
          <w:sz w:val="30"/>
          <w:szCs w:val="30"/>
        </w:rPr>
        <w:t>年30588.68万元相比，财政拨款收、支总计各增加1542.27万元，增长5.04</w:t>
      </w:r>
      <w:r>
        <w:rPr>
          <w:rFonts w:ascii="仿宋" w:hAnsi="仿宋" w:eastAsia="仿宋"/>
          <w:color w:val="000000"/>
          <w:sz w:val="30"/>
          <w:szCs w:val="30"/>
        </w:rPr>
        <w:t>%</w:t>
      </w:r>
      <w:r>
        <w:rPr>
          <w:rFonts w:hint="eastAsia" w:ascii="仿宋" w:hAnsi="仿宋" w:eastAsia="仿宋"/>
          <w:color w:val="000000"/>
          <w:sz w:val="30"/>
          <w:szCs w:val="30"/>
        </w:rPr>
        <w:t>。主要变动原因是工资、社保费用增长和目标绩效奖励增加。</w:t>
      </w:r>
    </w:p>
    <w:p>
      <w:pPr>
        <w:bidi w:val="0"/>
        <w:rPr>
          <w:rFonts w:ascii="仿宋" w:hAnsi="仿宋" w:eastAsia="仿宋"/>
          <w:color w:val="000000"/>
          <w:sz w:val="30"/>
          <w:szCs w:val="30"/>
        </w:rPr>
      </w:pPr>
      <w:r>
        <w:rPr>
          <w:rFonts w:ascii="仿宋" w:hAnsi="仿宋" w:eastAsia="仿宋"/>
          <w:color w:val="000000"/>
          <w:sz w:val="30"/>
          <w:szCs w:val="30"/>
        </w:rPr>
        <w:object>
          <v:shape id="_x0000_i1028" o:spt="75" type="#_x0000_t75" style="height:126.75pt;width:413.7pt;" o:ole="t" filled="f" o:preferrelative="t" stroked="f" coordsize="21600,21600">
            <v:path/>
            <v:fill on="f" focussize="0,0"/>
            <v:stroke on="f"/>
            <v:imagedata r:id="rId13" o:title=""/>
            <o:lock v:ext="edit" aspectratio="t"/>
            <w10:wrap type="none"/>
            <w10:anchorlock/>
          </v:shape>
          <o:OLEObject Type="Embed" ProgID="MSGraph.Chart.8" ShapeID="_x0000_i1028" DrawAspect="Content" ObjectID="_1468075728" r:id="rId12">
            <o:LockedField>false</o:LockedField>
          </o:OLEObject>
        </w:object>
      </w:r>
      <w:r>
        <w:rPr>
          <w:rFonts w:hint="eastAsia" w:ascii="仿宋" w:hAnsi="仿宋" w:eastAsia="仿宋"/>
          <w:color w:val="000000"/>
          <w:sz w:val="30"/>
          <w:szCs w:val="30"/>
        </w:rPr>
        <w:t xml:space="preserve">       （图</w:t>
      </w:r>
      <w:r>
        <w:rPr>
          <w:rFonts w:ascii="仿宋" w:hAnsi="仿宋" w:eastAsia="仿宋"/>
          <w:color w:val="000000"/>
          <w:sz w:val="30"/>
          <w:szCs w:val="30"/>
        </w:rPr>
        <w:t>4</w:t>
      </w:r>
      <w:r>
        <w:rPr>
          <w:rFonts w:hint="eastAsia" w:ascii="仿宋" w:hAnsi="仿宋" w:eastAsia="仿宋"/>
          <w:color w:val="000000"/>
          <w:sz w:val="30"/>
          <w:szCs w:val="30"/>
        </w:rPr>
        <w:t>：财政拨款收、支决算总计变动情况）</w:t>
      </w:r>
    </w:p>
    <w:p>
      <w:pPr>
        <w:spacing w:line="600" w:lineRule="exact"/>
        <w:ind w:firstLine="600" w:firstLineChars="200"/>
        <w:outlineLvl w:val="1"/>
        <w:rPr>
          <w:rStyle w:val="14"/>
          <w:rFonts w:ascii="仿宋" w:hAnsi="仿宋" w:eastAsia="仿宋"/>
          <w:b w:val="0"/>
          <w:sz w:val="30"/>
          <w:szCs w:val="30"/>
        </w:rPr>
      </w:pPr>
      <w:bookmarkStart w:id="47" w:name="_Toc15377209"/>
      <w:bookmarkStart w:id="48" w:name="_Toc15396607"/>
      <w:bookmarkStart w:id="49" w:name="_Toc26853"/>
      <w:r>
        <w:rPr>
          <w:rFonts w:hint="eastAsia" w:ascii="仿宋" w:hAnsi="仿宋" w:eastAsia="仿宋"/>
          <w:color w:val="000000"/>
          <w:sz w:val="30"/>
          <w:szCs w:val="30"/>
        </w:rPr>
        <w:t>五、</w:t>
      </w:r>
      <w:r>
        <w:rPr>
          <w:rFonts w:hint="eastAsia" w:ascii="仿宋" w:hAnsi="仿宋" w:eastAsia="仿宋"/>
          <w:b/>
          <w:color w:val="000000"/>
          <w:sz w:val="30"/>
          <w:szCs w:val="30"/>
        </w:rPr>
        <w:t>一</w:t>
      </w:r>
      <w:r>
        <w:rPr>
          <w:rStyle w:val="14"/>
          <w:rFonts w:hint="eastAsia" w:ascii="仿宋" w:hAnsi="仿宋" w:eastAsia="仿宋"/>
          <w:b w:val="0"/>
          <w:sz w:val="30"/>
          <w:szCs w:val="30"/>
        </w:rPr>
        <w:t>般公共预算财政拨款支出决算情况说明</w:t>
      </w:r>
      <w:bookmarkEnd w:id="47"/>
      <w:bookmarkEnd w:id="48"/>
      <w:bookmarkEnd w:id="49"/>
    </w:p>
    <w:p>
      <w:pPr>
        <w:spacing w:line="600" w:lineRule="exact"/>
        <w:ind w:firstLine="602" w:firstLineChars="200"/>
        <w:outlineLvl w:val="2"/>
        <w:rPr>
          <w:rFonts w:ascii="仿宋" w:hAnsi="仿宋" w:eastAsia="仿宋"/>
          <w:b/>
          <w:color w:val="000000"/>
          <w:sz w:val="30"/>
          <w:szCs w:val="30"/>
        </w:rPr>
      </w:pPr>
      <w:bookmarkStart w:id="50" w:name="_Toc15377210"/>
      <w:r>
        <w:rPr>
          <w:rFonts w:hint="eastAsia" w:ascii="仿宋" w:hAnsi="仿宋" w:eastAsia="仿宋"/>
          <w:b/>
          <w:color w:val="000000"/>
          <w:sz w:val="30"/>
          <w:szCs w:val="30"/>
        </w:rPr>
        <w:t>（一）一般公共预算财政拨款支出决算总体情况</w:t>
      </w:r>
      <w:bookmarkEnd w:id="50"/>
    </w:p>
    <w:p>
      <w:pPr>
        <w:spacing w:line="600" w:lineRule="exact"/>
        <w:ind w:firstLine="600" w:firstLineChars="20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年一般公共预算财政拨款支出</w:t>
      </w:r>
      <w:r>
        <w:rPr>
          <w:rFonts w:ascii="仿宋" w:hAnsi="仿宋" w:eastAsia="仿宋"/>
          <w:color w:val="000000"/>
          <w:sz w:val="30"/>
          <w:szCs w:val="30"/>
        </w:rPr>
        <w:t>32093.95</w:t>
      </w:r>
      <w:r>
        <w:rPr>
          <w:rFonts w:hint="eastAsia" w:ascii="仿宋" w:hAnsi="仿宋" w:eastAsia="仿宋"/>
          <w:color w:val="000000"/>
          <w:sz w:val="30"/>
          <w:szCs w:val="30"/>
        </w:rPr>
        <w:t>万元，占本年支出合计的99.22</w:t>
      </w:r>
      <w:r>
        <w:rPr>
          <w:rFonts w:ascii="仿宋" w:hAnsi="仿宋" w:eastAsia="仿宋"/>
          <w:color w:val="000000"/>
          <w:sz w:val="30"/>
          <w:szCs w:val="30"/>
        </w:rPr>
        <w:t>%</w:t>
      </w:r>
      <w:r>
        <w:rPr>
          <w:rFonts w:hint="eastAsia" w:ascii="仿宋" w:hAnsi="仿宋" w:eastAsia="仿宋"/>
          <w:color w:val="000000"/>
          <w:sz w:val="30"/>
          <w:szCs w:val="30"/>
        </w:rPr>
        <w:t>。与</w:t>
      </w:r>
      <w:r>
        <w:rPr>
          <w:rFonts w:ascii="仿宋" w:hAnsi="仿宋" w:eastAsia="仿宋"/>
          <w:color w:val="000000"/>
          <w:sz w:val="30"/>
          <w:szCs w:val="30"/>
        </w:rPr>
        <w:t>2019</w:t>
      </w:r>
      <w:r>
        <w:rPr>
          <w:rFonts w:hint="eastAsia" w:ascii="仿宋" w:hAnsi="仿宋" w:eastAsia="仿宋"/>
          <w:color w:val="000000"/>
          <w:sz w:val="30"/>
          <w:szCs w:val="30"/>
        </w:rPr>
        <w:t>年</w:t>
      </w:r>
      <w:r>
        <w:rPr>
          <w:rFonts w:ascii="仿宋" w:hAnsi="仿宋" w:eastAsia="仿宋"/>
          <w:color w:val="000000"/>
          <w:sz w:val="30"/>
          <w:szCs w:val="30"/>
        </w:rPr>
        <w:t>30479.49</w:t>
      </w:r>
      <w:r>
        <w:rPr>
          <w:rFonts w:hint="eastAsia" w:ascii="仿宋" w:hAnsi="仿宋" w:eastAsia="仿宋"/>
          <w:color w:val="000000"/>
          <w:sz w:val="30"/>
          <w:szCs w:val="30"/>
        </w:rPr>
        <w:t>万元相比，一般公共预算财政拨款增加1614.46万元，增长5.30</w:t>
      </w:r>
      <w:r>
        <w:rPr>
          <w:rFonts w:ascii="仿宋" w:hAnsi="仿宋" w:eastAsia="仿宋"/>
          <w:color w:val="000000"/>
          <w:sz w:val="30"/>
          <w:szCs w:val="30"/>
        </w:rPr>
        <w:t>%</w:t>
      </w:r>
      <w:r>
        <w:rPr>
          <w:rFonts w:hint="eastAsia" w:ascii="仿宋" w:hAnsi="仿宋" w:eastAsia="仿宋"/>
          <w:color w:val="000000"/>
          <w:sz w:val="30"/>
          <w:szCs w:val="30"/>
        </w:rPr>
        <w:t>。主要变动原因是工资、社保费用增长和目标绩效奖励增加。</w:t>
      </w:r>
    </w:p>
    <w:p>
      <w:pPr>
        <w:bidi w:val="0"/>
        <w:rPr>
          <w:rFonts w:hint="eastAsia" w:ascii="仿宋" w:hAnsi="仿宋" w:eastAsia="仿宋"/>
          <w:color w:val="000000"/>
          <w:sz w:val="30"/>
          <w:szCs w:val="30"/>
        </w:rPr>
      </w:pPr>
      <w:r>
        <w:rPr>
          <w:rFonts w:ascii="仿宋" w:hAnsi="仿宋" w:eastAsia="仿宋"/>
          <w:color w:val="000000"/>
          <w:sz w:val="30"/>
          <w:szCs w:val="30"/>
        </w:rPr>
        <w:object>
          <v:shape id="_x0000_i1029" o:spt="75" type="#_x0000_t75" style="height:119.35pt;width:381.65pt;" o:ole="t" filled="f" o:preferrelative="t" stroked="f" coordsize="21600,21600">
            <v:path/>
            <v:fill on="f" focussize="0,0"/>
            <v:stroke on="f"/>
            <v:imagedata r:id="rId15" o:title=""/>
            <o:lock v:ext="edit" aspectratio="t"/>
            <w10:wrap type="none"/>
            <w10:anchorlock/>
          </v:shape>
          <o:OLEObject Type="Embed" ProgID="MSGraph.Chart.8" ShapeID="_x0000_i1029" DrawAspect="Content" ObjectID="_1468075729" r:id="rId14">
            <o:LockedField>false</o:LockedField>
          </o:OLEObject>
        </w:object>
      </w:r>
    </w:p>
    <w:p>
      <w:pPr>
        <w:spacing w:line="72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5</w:t>
      </w:r>
      <w:r>
        <w:rPr>
          <w:rFonts w:hint="eastAsia" w:ascii="仿宋" w:hAnsi="仿宋" w:eastAsia="仿宋"/>
          <w:color w:val="000000"/>
          <w:sz w:val="30"/>
          <w:szCs w:val="30"/>
        </w:rPr>
        <w:t>：一般公共预算财政拨款支出决算变动情况）</w:t>
      </w:r>
    </w:p>
    <w:p>
      <w:pPr>
        <w:spacing w:line="600" w:lineRule="exact"/>
        <w:ind w:firstLine="602" w:firstLineChars="200"/>
        <w:outlineLvl w:val="2"/>
        <w:rPr>
          <w:rFonts w:ascii="仿宋" w:hAnsi="仿宋" w:eastAsia="仿宋"/>
          <w:b/>
          <w:color w:val="000000"/>
          <w:sz w:val="30"/>
          <w:szCs w:val="30"/>
        </w:rPr>
      </w:pPr>
      <w:bookmarkStart w:id="51" w:name="_Toc15377211"/>
      <w:r>
        <w:rPr>
          <w:rFonts w:hint="eastAsia" w:ascii="仿宋" w:hAnsi="仿宋" w:eastAsia="仿宋"/>
          <w:b/>
          <w:color w:val="000000"/>
          <w:sz w:val="30"/>
          <w:szCs w:val="30"/>
        </w:rPr>
        <w:t>（二）一般公共预算财政拨款支出决算结构情况</w:t>
      </w:r>
      <w:bookmarkEnd w:id="51"/>
    </w:p>
    <w:p>
      <w:pPr>
        <w:spacing w:line="600" w:lineRule="exact"/>
        <w:ind w:firstLine="64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年一般公共预算财政拨款支出32093.95万元，主要用于以下方面：</w:t>
      </w:r>
      <w:r>
        <w:rPr>
          <w:rFonts w:hint="eastAsia" w:ascii="仿宋" w:hAnsi="仿宋" w:eastAsia="仿宋"/>
          <w:b/>
          <w:color w:val="000000"/>
          <w:sz w:val="30"/>
          <w:szCs w:val="30"/>
        </w:rPr>
        <w:t>一般公共服务（类）支出</w:t>
      </w:r>
      <w:r>
        <w:rPr>
          <w:rFonts w:hint="eastAsia" w:ascii="仿宋" w:hAnsi="仿宋" w:eastAsia="仿宋"/>
          <w:color w:val="000000"/>
          <w:sz w:val="30"/>
          <w:szCs w:val="30"/>
        </w:rPr>
        <w:t>18万元，占0.056</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教育支出（类）</w:t>
      </w:r>
      <w:r>
        <w:rPr>
          <w:rFonts w:hint="eastAsia" w:ascii="仿宋" w:hAnsi="仿宋" w:eastAsia="仿宋"/>
          <w:color w:val="000000"/>
          <w:sz w:val="30"/>
          <w:szCs w:val="30"/>
        </w:rPr>
        <w:t>26521.41万元，占82.64</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科学技术（类）支出</w:t>
      </w:r>
      <w:r>
        <w:rPr>
          <w:rFonts w:hint="eastAsia" w:ascii="仿宋" w:hAnsi="仿宋" w:eastAsia="仿宋"/>
          <w:color w:val="000000"/>
          <w:sz w:val="30"/>
          <w:szCs w:val="30"/>
        </w:rPr>
        <w:t>22.7万元，占0.07</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bCs/>
          <w:color w:val="000000"/>
          <w:sz w:val="30"/>
          <w:szCs w:val="30"/>
        </w:rPr>
        <w:t>文化旅游体育与传媒（类）支出0万元，占0</w:t>
      </w:r>
      <w:r>
        <w:rPr>
          <w:rFonts w:ascii="仿宋" w:hAnsi="仿宋" w:eastAsia="仿宋"/>
          <w:b/>
          <w:bCs/>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社会保障和就业（类）支出</w:t>
      </w:r>
      <w:r>
        <w:rPr>
          <w:rFonts w:hint="eastAsia" w:ascii="仿宋" w:hAnsi="仿宋" w:eastAsia="仿宋"/>
          <w:color w:val="000000"/>
          <w:sz w:val="30"/>
          <w:szCs w:val="30"/>
        </w:rPr>
        <w:t>2342.71万元，占7.30</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bCs/>
          <w:color w:val="000000"/>
          <w:sz w:val="30"/>
          <w:szCs w:val="30"/>
        </w:rPr>
        <w:t>卫生健康支出</w:t>
      </w:r>
      <w:r>
        <w:rPr>
          <w:rFonts w:hint="eastAsia" w:ascii="仿宋" w:hAnsi="仿宋" w:eastAsia="仿宋"/>
          <w:color w:val="000000"/>
          <w:sz w:val="30"/>
          <w:szCs w:val="30"/>
        </w:rPr>
        <w:t>1303.67万元，占4.06</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农林水支出</w:t>
      </w:r>
      <w:r>
        <w:rPr>
          <w:rFonts w:hint="eastAsia" w:ascii="仿宋" w:hAnsi="仿宋" w:eastAsia="仿宋"/>
          <w:color w:val="000000"/>
          <w:sz w:val="30"/>
          <w:szCs w:val="30"/>
        </w:rPr>
        <w:t>128.4万元，占0.4</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住房保障支出</w:t>
      </w:r>
      <w:r>
        <w:rPr>
          <w:rFonts w:hint="eastAsia" w:ascii="仿宋" w:hAnsi="仿宋" w:eastAsia="仿宋"/>
          <w:color w:val="000000"/>
          <w:sz w:val="30"/>
          <w:szCs w:val="30"/>
        </w:rPr>
        <w:t>1757.05万元，占5.47</w:t>
      </w:r>
      <w:r>
        <w:rPr>
          <w:rFonts w:ascii="仿宋" w:hAnsi="仿宋" w:eastAsia="仿宋"/>
          <w:color w:val="000000"/>
          <w:sz w:val="30"/>
          <w:szCs w:val="30"/>
        </w:rPr>
        <w:t>%</w:t>
      </w:r>
      <w:r>
        <w:rPr>
          <w:rFonts w:hint="eastAsia" w:ascii="仿宋" w:hAnsi="仿宋" w:eastAsia="仿宋"/>
          <w:color w:val="000000"/>
          <w:sz w:val="30"/>
          <w:szCs w:val="30"/>
        </w:rPr>
        <w:t>。</w:t>
      </w:r>
    </w:p>
    <w:p>
      <w:pPr>
        <w:spacing w:line="720" w:lineRule="auto"/>
        <w:ind w:firstLine="641"/>
        <w:rPr>
          <w:rFonts w:ascii="仿宋" w:hAnsi="仿宋" w:eastAsia="仿宋"/>
          <w:color w:val="000000"/>
          <w:sz w:val="30"/>
          <w:szCs w:val="30"/>
        </w:rPr>
      </w:pPr>
      <w:r>
        <w:rPr>
          <w:rFonts w:ascii="仿宋" w:hAnsi="仿宋" w:eastAsia="仿宋"/>
          <w:color w:val="000000"/>
          <w:sz w:val="30"/>
          <w:szCs w:val="30"/>
        </w:rPr>
        <w:object>
          <v:shape id="_x0000_i1030" o:spt="75" type="#_x0000_t75" style="height:204.85pt;width:414.4pt;" o:ole="t" filled="f" o:preferrelative="t" stroked="f" coordsize="21600,21600">
            <v:path/>
            <v:fill on="f" focussize="0,0"/>
            <v:stroke on="f"/>
            <v:imagedata r:id="rId17" o:title=""/>
            <o:lock v:ext="edit" aspectratio="t"/>
            <w10:wrap type="none"/>
            <w10:anchorlock/>
          </v:shape>
          <o:OLEObject Type="Embed" ProgID="MSGraph.Chart.8" ShapeID="_x0000_i1030" DrawAspect="Content" ObjectID="_1468075730" r:id="rId16">
            <o:LockedField>false</o:LockedField>
          </o:OLEObject>
        </w:object>
      </w:r>
      <w:r>
        <w:rPr>
          <w:rFonts w:hint="eastAsia" w:ascii="仿宋" w:hAnsi="仿宋" w:eastAsia="仿宋"/>
          <w:color w:val="000000"/>
          <w:sz w:val="30"/>
          <w:szCs w:val="30"/>
        </w:rPr>
        <w:t xml:space="preserve">         （图</w:t>
      </w:r>
      <w:r>
        <w:rPr>
          <w:rFonts w:ascii="仿宋" w:hAnsi="仿宋" w:eastAsia="仿宋"/>
          <w:color w:val="000000"/>
          <w:sz w:val="30"/>
          <w:szCs w:val="30"/>
        </w:rPr>
        <w:t>6</w:t>
      </w:r>
      <w:r>
        <w:rPr>
          <w:rFonts w:hint="eastAsia" w:ascii="仿宋" w:hAnsi="仿宋" w:eastAsia="仿宋"/>
          <w:color w:val="000000"/>
          <w:sz w:val="30"/>
          <w:szCs w:val="30"/>
        </w:rPr>
        <w:t>：一般公共预算财政拨款支出决算结构）</w:t>
      </w:r>
    </w:p>
    <w:p>
      <w:pPr>
        <w:spacing w:line="600" w:lineRule="exact"/>
        <w:ind w:firstLine="602" w:firstLineChars="200"/>
        <w:outlineLvl w:val="2"/>
        <w:rPr>
          <w:rFonts w:ascii="仿宋" w:hAnsi="仿宋" w:eastAsia="仿宋"/>
          <w:b/>
          <w:color w:val="000000"/>
          <w:sz w:val="30"/>
          <w:szCs w:val="30"/>
        </w:rPr>
      </w:pPr>
      <w:bookmarkStart w:id="52" w:name="_Toc15377212"/>
      <w:r>
        <w:rPr>
          <w:rFonts w:hint="eastAsia" w:ascii="仿宋" w:hAnsi="仿宋" w:eastAsia="仿宋"/>
          <w:b/>
          <w:color w:val="000000"/>
          <w:sz w:val="30"/>
          <w:szCs w:val="30"/>
        </w:rPr>
        <w:t>（三）一般公共预算财政拨款支出决算具体情况</w:t>
      </w:r>
      <w:bookmarkEnd w:id="52"/>
    </w:p>
    <w:p>
      <w:pPr>
        <w:spacing w:line="600" w:lineRule="exact"/>
        <w:ind w:firstLine="602" w:firstLineChars="200"/>
        <w:outlineLvl w:val="9"/>
        <w:rPr>
          <w:rFonts w:ascii="仿宋" w:hAnsi="仿宋" w:eastAsia="仿宋"/>
          <w:color w:val="FF0000"/>
          <w:sz w:val="30"/>
          <w:szCs w:val="30"/>
        </w:rPr>
      </w:pPr>
      <w:bookmarkStart w:id="53" w:name="_Toc15377213"/>
      <w:bookmarkStart w:id="54" w:name="_Toc15378460"/>
      <w:bookmarkStart w:id="55" w:name="_Toc15377444"/>
      <w:r>
        <w:rPr>
          <w:rFonts w:ascii="仿宋" w:hAnsi="仿宋" w:eastAsia="仿宋"/>
          <w:b/>
          <w:color w:val="000000"/>
          <w:sz w:val="30"/>
          <w:szCs w:val="30"/>
        </w:rPr>
        <w:t>2020</w:t>
      </w:r>
      <w:r>
        <w:rPr>
          <w:rFonts w:hint="eastAsia" w:ascii="仿宋" w:hAnsi="仿宋" w:eastAsia="仿宋"/>
          <w:b/>
          <w:color w:val="000000"/>
          <w:sz w:val="30"/>
          <w:szCs w:val="30"/>
        </w:rPr>
        <w:t>年一般公共预算支出决算数为32347.70万元</w:t>
      </w:r>
      <w:r>
        <w:rPr>
          <w:rFonts w:hint="eastAsia" w:ascii="仿宋" w:hAnsi="仿宋" w:eastAsia="仿宋"/>
          <w:color w:val="000000"/>
          <w:sz w:val="30"/>
          <w:szCs w:val="30"/>
        </w:rPr>
        <w:t>，</w:t>
      </w:r>
      <w:r>
        <w:rPr>
          <w:rStyle w:val="27"/>
          <w:rFonts w:hint="eastAsia" w:ascii="仿宋" w:hAnsi="仿宋" w:eastAsia="仿宋"/>
          <w:bCs/>
          <w:color w:val="000000"/>
          <w:sz w:val="30"/>
          <w:szCs w:val="30"/>
        </w:rPr>
        <w:t>完成预算100%。</w:t>
      </w:r>
      <w:r>
        <w:rPr>
          <w:rFonts w:hint="eastAsia" w:ascii="仿宋" w:hAnsi="仿宋" w:eastAsia="仿宋"/>
          <w:bCs/>
          <w:color w:val="000000"/>
          <w:sz w:val="30"/>
          <w:szCs w:val="30"/>
        </w:rPr>
        <w:t>其中：</w:t>
      </w:r>
      <w:bookmarkEnd w:id="53"/>
      <w:bookmarkEnd w:id="54"/>
      <w:bookmarkEnd w:id="55"/>
    </w:p>
    <w:p>
      <w:pPr>
        <w:spacing w:line="600" w:lineRule="exact"/>
        <w:ind w:firstLine="602" w:firstLineChars="200"/>
        <w:rPr>
          <w:rFonts w:ascii="仿宋" w:hAnsi="仿宋" w:eastAsia="仿宋"/>
          <w:b/>
          <w:color w:val="000000"/>
          <w:sz w:val="30"/>
          <w:szCs w:val="30"/>
        </w:rPr>
      </w:pPr>
      <w:r>
        <w:rPr>
          <w:rStyle w:val="27"/>
          <w:rFonts w:ascii="仿宋" w:hAnsi="仿宋" w:eastAsia="仿宋"/>
          <w:bCs/>
          <w:color w:val="000000"/>
          <w:sz w:val="30"/>
          <w:szCs w:val="30"/>
        </w:rPr>
        <w:t>1.</w:t>
      </w:r>
      <w:r>
        <w:rPr>
          <w:rStyle w:val="27"/>
          <w:rFonts w:hint="eastAsia" w:ascii="仿宋" w:hAnsi="仿宋" w:eastAsia="仿宋"/>
          <w:bCs/>
          <w:color w:val="000000"/>
          <w:sz w:val="30"/>
          <w:szCs w:val="30"/>
        </w:rPr>
        <w:t>201（</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）10（</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08（</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支出决算为15万元，</w:t>
      </w:r>
      <w:r>
        <w:rPr>
          <w:rStyle w:val="27"/>
          <w:rFonts w:hint="eastAsia" w:ascii="仿宋" w:hAnsi="仿宋" w:eastAsia="仿宋"/>
          <w:bCs/>
          <w:color w:val="000000"/>
          <w:sz w:val="30"/>
          <w:szCs w:val="30"/>
        </w:rPr>
        <w:t>201（</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）11（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05（</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支出决算为3万元。</w:t>
      </w:r>
    </w:p>
    <w:p>
      <w:pPr>
        <w:spacing w:line="600" w:lineRule="exact"/>
        <w:ind w:firstLine="602" w:firstLineChars="200"/>
        <w:rPr>
          <w:rFonts w:ascii="仿宋" w:hAnsi="仿宋" w:eastAsia="仿宋"/>
          <w:b/>
          <w:color w:val="000000"/>
          <w:sz w:val="30"/>
          <w:szCs w:val="30"/>
        </w:rPr>
      </w:pPr>
      <w:r>
        <w:rPr>
          <w:rStyle w:val="27"/>
          <w:rFonts w:ascii="仿宋" w:hAnsi="仿宋" w:eastAsia="仿宋"/>
          <w:bCs/>
          <w:color w:val="000000"/>
          <w:sz w:val="30"/>
          <w:szCs w:val="30"/>
        </w:rPr>
        <w:t>2.</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支出决算为659.</w:t>
      </w:r>
      <w:r>
        <w:rPr>
          <w:rFonts w:hint="eastAsia" w:ascii="仿宋" w:hAnsi="仿宋" w:eastAsia="仿宋"/>
          <w:b w:val="0"/>
          <w:bCs/>
          <w:color w:val="000000"/>
          <w:sz w:val="30"/>
          <w:szCs w:val="30"/>
        </w:rPr>
        <w:t>6</w:t>
      </w:r>
      <w:r>
        <w:rPr>
          <w:rStyle w:val="27"/>
          <w:rFonts w:hint="eastAsia" w:ascii="仿宋" w:hAnsi="仿宋" w:eastAsia="仿宋"/>
          <w:b w:val="0"/>
          <w:bCs/>
          <w:color w:val="000000"/>
          <w:sz w:val="30"/>
          <w:szCs w:val="30"/>
        </w:rPr>
        <w:t>2万元，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支出决算为60.1万元，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w:t>
      </w:r>
      <w:r>
        <w:rPr>
          <w:rFonts w:hint="eastAsia" w:ascii="仿宋" w:hAnsi="仿宋" w:eastAsia="仿宋"/>
          <w:bCs/>
          <w:color w:val="000000"/>
          <w:sz w:val="30"/>
          <w:szCs w:val="30"/>
        </w:rPr>
        <w:t>9</w:t>
      </w:r>
      <w:r>
        <w:rPr>
          <w:rStyle w:val="27"/>
          <w:rFonts w:hint="eastAsia" w:ascii="仿宋" w:hAnsi="仿宋" w:eastAsia="仿宋"/>
          <w:bCs/>
          <w:color w:val="000000"/>
          <w:sz w:val="30"/>
          <w:szCs w:val="30"/>
        </w:rPr>
        <w:t>9（</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支出决算为501.</w:t>
      </w:r>
      <w:r>
        <w:rPr>
          <w:rFonts w:hint="eastAsia" w:ascii="仿宋" w:hAnsi="仿宋" w:eastAsia="仿宋"/>
          <w:b w:val="0"/>
          <w:bCs/>
          <w:color w:val="000000"/>
          <w:sz w:val="30"/>
          <w:szCs w:val="30"/>
        </w:rPr>
        <w:t>9</w:t>
      </w:r>
      <w:r>
        <w:rPr>
          <w:rStyle w:val="27"/>
          <w:rFonts w:hint="eastAsia" w:ascii="仿宋" w:hAnsi="仿宋" w:eastAsia="仿宋"/>
          <w:b w:val="0"/>
          <w:bCs/>
          <w:color w:val="000000"/>
          <w:sz w:val="30"/>
          <w:szCs w:val="30"/>
        </w:rPr>
        <w:t>2万元，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支出决算为287.</w:t>
      </w:r>
      <w:r>
        <w:rPr>
          <w:rFonts w:hint="eastAsia" w:ascii="仿宋" w:hAnsi="仿宋" w:eastAsia="仿宋"/>
          <w:b w:val="0"/>
          <w:bCs/>
          <w:color w:val="000000"/>
          <w:sz w:val="30"/>
          <w:szCs w:val="30"/>
        </w:rPr>
        <w:t>3</w:t>
      </w:r>
      <w:r>
        <w:rPr>
          <w:rStyle w:val="27"/>
          <w:rFonts w:hint="eastAsia" w:ascii="仿宋" w:hAnsi="仿宋" w:eastAsia="仿宋"/>
          <w:b w:val="0"/>
          <w:bCs/>
          <w:color w:val="000000"/>
          <w:sz w:val="30"/>
          <w:szCs w:val="30"/>
        </w:rPr>
        <w:t>5万元，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支出决算为2128.</w:t>
      </w:r>
      <w:r>
        <w:rPr>
          <w:rFonts w:hint="eastAsia" w:ascii="仿宋" w:hAnsi="仿宋" w:eastAsia="仿宋"/>
          <w:b w:val="0"/>
          <w:bCs/>
          <w:color w:val="000000"/>
          <w:sz w:val="30"/>
          <w:szCs w:val="30"/>
        </w:rPr>
        <w:t>0</w:t>
      </w:r>
      <w:r>
        <w:rPr>
          <w:rStyle w:val="27"/>
          <w:rFonts w:hint="eastAsia" w:ascii="仿宋" w:hAnsi="仿宋" w:eastAsia="仿宋"/>
          <w:b w:val="0"/>
          <w:bCs/>
          <w:color w:val="000000"/>
          <w:sz w:val="30"/>
          <w:szCs w:val="30"/>
        </w:rPr>
        <w:t>8万元，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03（</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支出决算为4752.</w:t>
      </w:r>
      <w:r>
        <w:rPr>
          <w:rFonts w:hint="eastAsia" w:ascii="仿宋" w:hAnsi="仿宋" w:eastAsia="仿宋"/>
          <w:b w:val="0"/>
          <w:bCs/>
          <w:color w:val="000000"/>
          <w:sz w:val="30"/>
          <w:szCs w:val="30"/>
        </w:rPr>
        <w:t>9</w:t>
      </w:r>
      <w:r>
        <w:rPr>
          <w:rStyle w:val="27"/>
          <w:rFonts w:hint="eastAsia" w:ascii="仿宋" w:hAnsi="仿宋" w:eastAsia="仿宋"/>
          <w:b w:val="0"/>
          <w:bCs/>
          <w:color w:val="000000"/>
          <w:sz w:val="30"/>
          <w:szCs w:val="30"/>
        </w:rPr>
        <w:t>3万元，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04（</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支出决算为11786.</w:t>
      </w:r>
      <w:r>
        <w:rPr>
          <w:rFonts w:hint="eastAsia" w:ascii="仿宋" w:hAnsi="仿宋" w:eastAsia="仿宋"/>
          <w:b w:val="0"/>
          <w:bCs/>
          <w:color w:val="000000"/>
          <w:sz w:val="30"/>
          <w:szCs w:val="30"/>
        </w:rPr>
        <w:t>8</w:t>
      </w:r>
      <w:r>
        <w:rPr>
          <w:rStyle w:val="27"/>
          <w:rFonts w:hint="eastAsia" w:ascii="仿宋" w:hAnsi="仿宋" w:eastAsia="仿宋"/>
          <w:b w:val="0"/>
          <w:bCs/>
          <w:color w:val="000000"/>
          <w:sz w:val="30"/>
          <w:szCs w:val="30"/>
        </w:rPr>
        <w:t>7万元，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05（</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支出决算为629.2万元，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支出决算为1969.</w:t>
      </w:r>
      <w:r>
        <w:rPr>
          <w:rFonts w:hint="eastAsia" w:ascii="仿宋" w:hAnsi="仿宋" w:eastAsia="仿宋"/>
          <w:b w:val="0"/>
          <w:bCs/>
          <w:color w:val="000000"/>
          <w:sz w:val="30"/>
          <w:szCs w:val="30"/>
        </w:rPr>
        <w:t>2</w:t>
      </w:r>
      <w:r>
        <w:rPr>
          <w:rStyle w:val="27"/>
          <w:rFonts w:hint="eastAsia" w:ascii="仿宋" w:hAnsi="仿宋" w:eastAsia="仿宋"/>
          <w:b w:val="0"/>
          <w:bCs/>
          <w:color w:val="000000"/>
          <w:sz w:val="30"/>
          <w:szCs w:val="30"/>
        </w:rPr>
        <w:t>1万元，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）03（</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支出决算为3439.</w:t>
      </w:r>
      <w:r>
        <w:rPr>
          <w:rFonts w:hint="eastAsia" w:ascii="仿宋" w:hAnsi="仿宋" w:eastAsia="仿宋"/>
          <w:b w:val="0"/>
          <w:bCs/>
          <w:color w:val="000000"/>
          <w:sz w:val="30"/>
          <w:szCs w:val="30"/>
        </w:rPr>
        <w:t>5</w:t>
      </w:r>
      <w:r>
        <w:rPr>
          <w:rStyle w:val="27"/>
          <w:rFonts w:hint="eastAsia" w:ascii="仿宋" w:hAnsi="仿宋" w:eastAsia="仿宋"/>
          <w:b w:val="0"/>
          <w:bCs/>
          <w:color w:val="000000"/>
          <w:sz w:val="30"/>
          <w:szCs w:val="30"/>
        </w:rPr>
        <w:t>8万元，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）04（</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04（</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支出决算为78.</w:t>
      </w:r>
      <w:r>
        <w:rPr>
          <w:rFonts w:hint="eastAsia" w:ascii="仿宋" w:hAnsi="仿宋" w:eastAsia="仿宋"/>
          <w:b w:val="0"/>
          <w:bCs/>
          <w:color w:val="000000"/>
          <w:sz w:val="30"/>
          <w:szCs w:val="30"/>
        </w:rPr>
        <w:t>9</w:t>
      </w:r>
      <w:r>
        <w:rPr>
          <w:rStyle w:val="27"/>
          <w:rFonts w:hint="eastAsia" w:ascii="仿宋" w:hAnsi="仿宋" w:eastAsia="仿宋"/>
          <w:b w:val="0"/>
          <w:bCs/>
          <w:color w:val="000000"/>
          <w:sz w:val="30"/>
          <w:szCs w:val="30"/>
        </w:rPr>
        <w:t>9万元，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）09（</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支出决算为144.</w:t>
      </w:r>
      <w:r>
        <w:rPr>
          <w:rFonts w:hint="eastAsia" w:ascii="仿宋" w:hAnsi="仿宋" w:eastAsia="仿宋"/>
          <w:b w:val="0"/>
          <w:bCs/>
          <w:color w:val="000000"/>
          <w:sz w:val="30"/>
          <w:szCs w:val="30"/>
        </w:rPr>
        <w:t>5</w:t>
      </w:r>
      <w:r>
        <w:rPr>
          <w:rStyle w:val="27"/>
          <w:rFonts w:hint="eastAsia" w:ascii="仿宋" w:hAnsi="仿宋" w:eastAsia="仿宋"/>
          <w:b w:val="0"/>
          <w:bCs/>
          <w:color w:val="000000"/>
          <w:sz w:val="30"/>
          <w:szCs w:val="30"/>
        </w:rPr>
        <w:t>7万元，</w:t>
      </w:r>
      <w:r>
        <w:rPr>
          <w:rStyle w:val="27"/>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）99（</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支出决算为83万元。</w:t>
      </w:r>
    </w:p>
    <w:p>
      <w:pPr>
        <w:spacing w:line="600" w:lineRule="exact"/>
        <w:ind w:firstLine="602" w:firstLineChars="200"/>
        <w:rPr>
          <w:rFonts w:ascii="仿宋" w:hAnsi="仿宋" w:eastAsia="仿宋"/>
          <w:b/>
          <w:color w:val="000000"/>
          <w:sz w:val="30"/>
          <w:szCs w:val="30"/>
        </w:rPr>
      </w:pPr>
      <w:r>
        <w:rPr>
          <w:rStyle w:val="27"/>
          <w:rFonts w:ascii="仿宋" w:hAnsi="仿宋" w:eastAsia="仿宋"/>
          <w:bCs/>
          <w:color w:val="000000"/>
          <w:sz w:val="30"/>
          <w:szCs w:val="30"/>
        </w:rPr>
        <w:t>3.</w:t>
      </w:r>
      <w:r>
        <w:rPr>
          <w:rStyle w:val="27"/>
          <w:rFonts w:hint="eastAsia" w:ascii="仿宋" w:hAnsi="仿宋" w:eastAsia="仿宋"/>
          <w:bCs/>
          <w:color w:val="000000"/>
          <w:sz w:val="30"/>
          <w:szCs w:val="30"/>
        </w:rPr>
        <w:t>科学技术206（</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）04（</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04（</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支出决算为22.7万元，完成预算100%。</w:t>
      </w:r>
    </w:p>
    <w:p>
      <w:pPr>
        <w:spacing w:line="600" w:lineRule="exact"/>
        <w:ind w:firstLine="602" w:firstLineChars="200"/>
        <w:rPr>
          <w:rFonts w:ascii="仿宋" w:hAnsi="仿宋" w:eastAsia="仿宋"/>
          <w:b/>
          <w:color w:val="000000"/>
          <w:sz w:val="30"/>
          <w:szCs w:val="30"/>
        </w:rPr>
      </w:pPr>
      <w:r>
        <w:rPr>
          <w:rStyle w:val="27"/>
          <w:rFonts w:hint="eastAsia" w:ascii="仿宋" w:hAnsi="仿宋" w:eastAsia="仿宋"/>
          <w:bCs/>
          <w:color w:val="000000"/>
          <w:sz w:val="30"/>
          <w:szCs w:val="30"/>
          <w:lang w:val="en-US" w:eastAsia="zh-CN"/>
        </w:rPr>
        <w:t>4</w:t>
      </w:r>
      <w:r>
        <w:rPr>
          <w:rStyle w:val="27"/>
          <w:rFonts w:ascii="仿宋" w:hAnsi="仿宋" w:eastAsia="仿宋"/>
          <w:bCs/>
          <w:color w:val="000000"/>
          <w:sz w:val="30"/>
          <w:szCs w:val="30"/>
        </w:rPr>
        <w:t>.</w:t>
      </w:r>
      <w:r>
        <w:rPr>
          <w:rStyle w:val="27"/>
          <w:rFonts w:hint="eastAsia" w:ascii="仿宋" w:hAnsi="仿宋" w:eastAsia="仿宋"/>
          <w:bCs/>
          <w:color w:val="000000"/>
          <w:sz w:val="30"/>
          <w:szCs w:val="30"/>
        </w:rPr>
        <w:t>社会保障和就业208（</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）05（</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05（</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ascii="仿宋" w:hAnsi="仿宋" w:eastAsia="仿宋"/>
          <w:b w:val="0"/>
          <w:bCs/>
          <w:color w:val="000000"/>
          <w:sz w:val="30"/>
          <w:szCs w:val="30"/>
        </w:rPr>
        <w:t xml:space="preserve"> </w:t>
      </w:r>
      <w:r>
        <w:rPr>
          <w:rStyle w:val="27"/>
          <w:rFonts w:hint="eastAsia" w:ascii="仿宋" w:hAnsi="仿宋" w:eastAsia="仿宋"/>
          <w:b w:val="0"/>
          <w:bCs/>
          <w:color w:val="000000"/>
          <w:sz w:val="30"/>
          <w:szCs w:val="30"/>
        </w:rPr>
        <w:t>支出决算为2342.</w:t>
      </w:r>
      <w:r>
        <w:rPr>
          <w:rFonts w:hint="eastAsia" w:ascii="仿宋" w:hAnsi="仿宋" w:eastAsia="仿宋"/>
          <w:b w:val="0"/>
          <w:bCs/>
          <w:color w:val="000000"/>
          <w:sz w:val="30"/>
          <w:szCs w:val="30"/>
        </w:rPr>
        <w:t>7</w:t>
      </w:r>
      <w:r>
        <w:rPr>
          <w:rStyle w:val="27"/>
          <w:rFonts w:hint="eastAsia" w:ascii="仿宋" w:hAnsi="仿宋" w:eastAsia="仿宋"/>
          <w:b w:val="0"/>
          <w:bCs/>
          <w:color w:val="000000"/>
          <w:sz w:val="30"/>
          <w:szCs w:val="30"/>
        </w:rPr>
        <w:t>1万元，完成预算100%。</w:t>
      </w:r>
    </w:p>
    <w:p>
      <w:pPr>
        <w:spacing w:line="600" w:lineRule="exact"/>
        <w:ind w:firstLine="602" w:firstLineChars="200"/>
        <w:rPr>
          <w:rStyle w:val="27"/>
          <w:rFonts w:hint="eastAsia" w:ascii="仿宋" w:hAnsi="仿宋" w:eastAsia="仿宋"/>
          <w:b w:val="0"/>
          <w:bCs/>
          <w:color w:val="000000"/>
          <w:sz w:val="30"/>
          <w:szCs w:val="30"/>
        </w:rPr>
      </w:pPr>
      <w:r>
        <w:rPr>
          <w:rStyle w:val="27"/>
          <w:rFonts w:hint="eastAsia" w:ascii="仿宋" w:hAnsi="仿宋" w:eastAsia="仿宋"/>
          <w:bCs/>
          <w:color w:val="000000"/>
          <w:sz w:val="30"/>
          <w:szCs w:val="30"/>
          <w:lang w:val="en-US" w:eastAsia="zh-CN"/>
        </w:rPr>
        <w:t>5</w:t>
      </w:r>
      <w:r>
        <w:rPr>
          <w:rStyle w:val="27"/>
          <w:rFonts w:ascii="仿宋" w:hAnsi="仿宋" w:eastAsia="仿宋"/>
          <w:bCs/>
          <w:color w:val="000000"/>
          <w:sz w:val="30"/>
          <w:szCs w:val="30"/>
        </w:rPr>
        <w:t>.</w:t>
      </w:r>
      <w:r>
        <w:rPr>
          <w:rFonts w:hint="eastAsia" w:ascii="仿宋" w:hAnsi="仿宋" w:eastAsia="仿宋"/>
          <w:b/>
          <w:bCs/>
          <w:color w:val="000000"/>
          <w:sz w:val="30"/>
          <w:szCs w:val="30"/>
        </w:rPr>
        <w:t>卫生健康210</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）04（</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支出决算为42万元，完成预算100%，</w:t>
      </w:r>
      <w:r>
        <w:rPr>
          <w:rFonts w:hint="eastAsia" w:ascii="仿宋" w:hAnsi="仿宋" w:eastAsia="仿宋"/>
          <w:b/>
          <w:bCs/>
          <w:color w:val="000000"/>
          <w:sz w:val="30"/>
          <w:szCs w:val="30"/>
        </w:rPr>
        <w:t>卫生健康210</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）11（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支出决算为19.</w:t>
      </w:r>
      <w:r>
        <w:rPr>
          <w:rFonts w:hint="eastAsia" w:ascii="仿宋" w:hAnsi="仿宋" w:eastAsia="仿宋"/>
          <w:b w:val="0"/>
          <w:bCs/>
          <w:color w:val="000000"/>
          <w:sz w:val="30"/>
          <w:szCs w:val="30"/>
        </w:rPr>
        <w:t>3</w:t>
      </w:r>
      <w:r>
        <w:rPr>
          <w:rStyle w:val="27"/>
          <w:rFonts w:hint="eastAsia" w:ascii="仿宋" w:hAnsi="仿宋" w:eastAsia="仿宋"/>
          <w:b w:val="0"/>
          <w:bCs/>
          <w:color w:val="000000"/>
          <w:sz w:val="30"/>
          <w:szCs w:val="30"/>
        </w:rPr>
        <w:t>2万元，完成预算100%，</w:t>
      </w:r>
      <w:r>
        <w:rPr>
          <w:rFonts w:hint="eastAsia" w:ascii="仿宋" w:hAnsi="仿宋" w:eastAsia="仿宋"/>
          <w:b/>
          <w:bCs/>
          <w:color w:val="000000"/>
          <w:sz w:val="30"/>
          <w:szCs w:val="30"/>
        </w:rPr>
        <w:t>卫生健康210</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）11（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支出决算为1238.</w:t>
      </w:r>
      <w:r>
        <w:rPr>
          <w:rFonts w:hint="eastAsia" w:ascii="仿宋" w:hAnsi="仿宋" w:eastAsia="仿宋"/>
          <w:b w:val="0"/>
          <w:bCs/>
          <w:color w:val="000000"/>
          <w:sz w:val="30"/>
          <w:szCs w:val="30"/>
        </w:rPr>
        <w:t>3</w:t>
      </w:r>
      <w:r>
        <w:rPr>
          <w:rStyle w:val="27"/>
          <w:rFonts w:hint="eastAsia" w:ascii="仿宋" w:hAnsi="仿宋" w:eastAsia="仿宋"/>
          <w:b w:val="0"/>
          <w:bCs/>
          <w:color w:val="000000"/>
          <w:sz w:val="30"/>
          <w:szCs w:val="30"/>
        </w:rPr>
        <w:t>6万元，完成预算100%，</w:t>
      </w:r>
      <w:r>
        <w:rPr>
          <w:rFonts w:hint="eastAsia" w:ascii="仿宋" w:hAnsi="仿宋" w:eastAsia="仿宋"/>
          <w:b/>
          <w:bCs/>
          <w:color w:val="000000"/>
          <w:sz w:val="30"/>
          <w:szCs w:val="30"/>
        </w:rPr>
        <w:t>卫生健康210</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）11（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03（</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支出决算为4万元，完成预算100%。</w:t>
      </w:r>
    </w:p>
    <w:p>
      <w:pPr>
        <w:spacing w:line="600" w:lineRule="exact"/>
        <w:ind w:firstLine="602" w:firstLineChars="200"/>
        <w:rPr>
          <w:rStyle w:val="27"/>
          <w:rFonts w:hint="eastAsia" w:ascii="仿宋" w:hAnsi="仿宋" w:eastAsia="仿宋"/>
          <w:b w:val="0"/>
          <w:bCs/>
          <w:color w:val="000000"/>
          <w:sz w:val="30"/>
          <w:szCs w:val="30"/>
        </w:rPr>
      </w:pPr>
      <w:r>
        <w:rPr>
          <w:rStyle w:val="27"/>
          <w:rFonts w:hint="eastAsia" w:ascii="仿宋" w:hAnsi="仿宋" w:eastAsia="仿宋"/>
          <w:bCs/>
          <w:color w:val="000000"/>
          <w:sz w:val="30"/>
          <w:szCs w:val="30"/>
          <w:lang w:val="en-US" w:eastAsia="zh-CN"/>
        </w:rPr>
        <w:t>6</w:t>
      </w:r>
      <w:r>
        <w:rPr>
          <w:rStyle w:val="27"/>
          <w:rFonts w:ascii="仿宋" w:hAnsi="仿宋" w:eastAsia="仿宋"/>
          <w:bCs/>
          <w:color w:val="000000"/>
          <w:sz w:val="30"/>
          <w:szCs w:val="30"/>
        </w:rPr>
        <w:t>.</w:t>
      </w:r>
      <w:r>
        <w:rPr>
          <w:rFonts w:hint="eastAsia" w:ascii="仿宋" w:hAnsi="仿宋" w:eastAsia="仿宋"/>
          <w:b/>
          <w:bCs/>
          <w:color w:val="000000"/>
          <w:sz w:val="30"/>
          <w:szCs w:val="30"/>
        </w:rPr>
        <w:t>农林水213</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06（</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支出决算为30万元，完成预算100%，</w:t>
      </w:r>
      <w:r>
        <w:rPr>
          <w:rFonts w:hint="eastAsia" w:ascii="仿宋" w:hAnsi="仿宋" w:eastAsia="仿宋"/>
          <w:b/>
          <w:bCs/>
          <w:color w:val="000000"/>
          <w:sz w:val="30"/>
          <w:szCs w:val="30"/>
        </w:rPr>
        <w:t>农林水213</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）05（</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支出决算为98.</w:t>
      </w:r>
      <w:r>
        <w:rPr>
          <w:rFonts w:hint="eastAsia" w:ascii="仿宋" w:hAnsi="仿宋" w:eastAsia="仿宋"/>
          <w:b w:val="0"/>
          <w:bCs/>
          <w:color w:val="000000"/>
          <w:sz w:val="30"/>
          <w:szCs w:val="30"/>
        </w:rPr>
        <w:t>4</w:t>
      </w:r>
      <w:r>
        <w:rPr>
          <w:rStyle w:val="27"/>
          <w:rFonts w:hint="eastAsia" w:ascii="仿宋" w:hAnsi="仿宋" w:eastAsia="仿宋"/>
          <w:b w:val="0"/>
          <w:bCs/>
          <w:color w:val="000000"/>
          <w:sz w:val="30"/>
          <w:szCs w:val="30"/>
        </w:rPr>
        <w:t>0万元，完成预算100%。</w:t>
      </w:r>
    </w:p>
    <w:p>
      <w:pPr>
        <w:spacing w:line="600" w:lineRule="exact"/>
        <w:ind w:firstLine="602" w:firstLineChars="200"/>
        <w:rPr>
          <w:rStyle w:val="27"/>
          <w:rFonts w:hint="eastAsia" w:ascii="仿宋" w:hAnsi="仿宋" w:eastAsia="仿宋"/>
          <w:b w:val="0"/>
          <w:bCs/>
          <w:color w:val="000000"/>
          <w:sz w:val="30"/>
          <w:szCs w:val="30"/>
        </w:rPr>
      </w:pPr>
      <w:r>
        <w:rPr>
          <w:rStyle w:val="27"/>
          <w:rFonts w:hint="eastAsia" w:ascii="仿宋" w:hAnsi="仿宋" w:eastAsia="仿宋"/>
          <w:bCs/>
          <w:color w:val="000000"/>
          <w:sz w:val="30"/>
          <w:szCs w:val="30"/>
          <w:lang w:val="en-US" w:eastAsia="zh-CN"/>
        </w:rPr>
        <w:t>7</w:t>
      </w:r>
      <w:r>
        <w:rPr>
          <w:rStyle w:val="27"/>
          <w:rFonts w:ascii="仿宋" w:hAnsi="仿宋" w:eastAsia="仿宋"/>
          <w:bCs/>
          <w:color w:val="000000"/>
          <w:sz w:val="30"/>
          <w:szCs w:val="30"/>
        </w:rPr>
        <w:t>.</w:t>
      </w:r>
      <w:r>
        <w:rPr>
          <w:rFonts w:hint="eastAsia" w:ascii="仿宋" w:hAnsi="仿宋" w:eastAsia="仿宋"/>
          <w:b/>
          <w:bCs/>
          <w:color w:val="000000"/>
          <w:sz w:val="30"/>
          <w:szCs w:val="30"/>
        </w:rPr>
        <w:t>住房保障221</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01（</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支出决算为1757.</w:t>
      </w:r>
      <w:r>
        <w:rPr>
          <w:rFonts w:hint="eastAsia" w:ascii="仿宋" w:hAnsi="仿宋" w:eastAsia="仿宋"/>
          <w:b w:val="0"/>
          <w:bCs/>
          <w:color w:val="000000"/>
          <w:sz w:val="30"/>
          <w:szCs w:val="30"/>
        </w:rPr>
        <w:t>0</w:t>
      </w:r>
      <w:r>
        <w:rPr>
          <w:rStyle w:val="27"/>
          <w:rFonts w:hint="eastAsia" w:ascii="仿宋" w:hAnsi="仿宋" w:eastAsia="仿宋"/>
          <w:b w:val="0"/>
          <w:bCs/>
          <w:color w:val="000000"/>
          <w:sz w:val="30"/>
          <w:szCs w:val="30"/>
        </w:rPr>
        <w:t>5万元，完成预算100%。</w:t>
      </w:r>
    </w:p>
    <w:p>
      <w:pPr>
        <w:spacing w:line="600" w:lineRule="exact"/>
        <w:ind w:firstLine="602" w:firstLineChars="200"/>
        <w:rPr>
          <w:rStyle w:val="27"/>
          <w:rFonts w:hint="eastAsia" w:ascii="仿宋" w:hAnsi="仿宋" w:eastAsia="仿宋"/>
          <w:b w:val="0"/>
          <w:bCs/>
          <w:color w:val="000000"/>
          <w:sz w:val="30"/>
          <w:szCs w:val="30"/>
        </w:rPr>
      </w:pPr>
      <w:r>
        <w:rPr>
          <w:rStyle w:val="27"/>
          <w:rFonts w:hint="eastAsia" w:ascii="仿宋" w:hAnsi="仿宋" w:eastAsia="仿宋"/>
          <w:bCs/>
          <w:color w:val="000000"/>
          <w:sz w:val="30"/>
          <w:szCs w:val="30"/>
          <w:lang w:val="en-US" w:eastAsia="zh-CN"/>
        </w:rPr>
        <w:t>8</w:t>
      </w:r>
      <w:r>
        <w:rPr>
          <w:rStyle w:val="27"/>
          <w:rFonts w:ascii="仿宋" w:hAnsi="仿宋" w:eastAsia="仿宋"/>
          <w:bCs/>
          <w:color w:val="000000"/>
          <w:sz w:val="30"/>
          <w:szCs w:val="30"/>
        </w:rPr>
        <w:t>.</w:t>
      </w:r>
      <w:r>
        <w:rPr>
          <w:rFonts w:hint="eastAsia" w:ascii="仿宋" w:hAnsi="仿宋" w:eastAsia="仿宋"/>
          <w:b/>
          <w:bCs/>
          <w:color w:val="000000"/>
          <w:sz w:val="30"/>
          <w:szCs w:val="30"/>
        </w:rPr>
        <w:t>其他229</w:t>
      </w:r>
      <w:r>
        <w:rPr>
          <w:rStyle w:val="27"/>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27"/>
          <w:rFonts w:hint="eastAsia" w:ascii="仿宋" w:hAnsi="仿宋" w:eastAsia="仿宋"/>
          <w:bCs/>
          <w:color w:val="000000"/>
          <w:sz w:val="30"/>
          <w:szCs w:val="30"/>
        </w:rPr>
        <w:t>）60（</w:t>
      </w:r>
      <w:r>
        <w:rPr>
          <w:rFonts w:hint="eastAsia" w:ascii="仿宋" w:hAnsi="仿宋" w:eastAsia="仿宋"/>
          <w:bCs/>
          <w:color w:val="000000"/>
          <w:sz w:val="30"/>
          <w:szCs w:val="30"/>
        </w:rPr>
        <w:t>款）</w:t>
      </w:r>
      <w:r>
        <w:rPr>
          <w:rStyle w:val="27"/>
          <w:rFonts w:hint="eastAsia" w:ascii="仿宋" w:hAnsi="仿宋" w:eastAsia="仿宋"/>
          <w:bCs/>
          <w:color w:val="000000"/>
          <w:sz w:val="30"/>
          <w:szCs w:val="30"/>
        </w:rPr>
        <w:t>03（</w:t>
      </w:r>
      <w:r>
        <w:rPr>
          <w:rFonts w:hint="eastAsia" w:ascii="仿宋" w:hAnsi="仿宋" w:eastAsia="仿宋"/>
          <w:bCs/>
          <w:color w:val="000000"/>
          <w:sz w:val="30"/>
          <w:szCs w:val="30"/>
        </w:rPr>
        <w:t>项）</w:t>
      </w:r>
      <w:r>
        <w:rPr>
          <w:rStyle w:val="27"/>
          <w:rFonts w:ascii="仿宋" w:hAnsi="仿宋" w:eastAsia="仿宋"/>
          <w:bCs/>
          <w:color w:val="000000"/>
          <w:sz w:val="30"/>
          <w:szCs w:val="30"/>
        </w:rPr>
        <w:t>:</w:t>
      </w:r>
      <w:r>
        <w:rPr>
          <w:rStyle w:val="27"/>
          <w:rFonts w:hint="eastAsia" w:ascii="仿宋" w:hAnsi="仿宋" w:eastAsia="仿宋"/>
          <w:b w:val="0"/>
          <w:bCs/>
          <w:color w:val="000000"/>
          <w:sz w:val="30"/>
          <w:szCs w:val="30"/>
        </w:rPr>
        <w:t>支出决算为37万元，完成预算100%。</w:t>
      </w:r>
    </w:p>
    <w:p>
      <w:pPr>
        <w:tabs>
          <w:tab w:val="right" w:pos="8306"/>
        </w:tabs>
        <w:spacing w:line="600" w:lineRule="exact"/>
        <w:ind w:firstLine="640"/>
        <w:outlineLvl w:val="1"/>
        <w:rPr>
          <w:rStyle w:val="14"/>
          <w:rFonts w:ascii="仿宋" w:hAnsi="仿宋" w:eastAsia="仿宋"/>
          <w:sz w:val="30"/>
          <w:szCs w:val="30"/>
        </w:rPr>
      </w:pPr>
      <w:bookmarkStart w:id="56" w:name="_Toc15377214"/>
      <w:bookmarkStart w:id="57" w:name="_Toc15396608"/>
      <w:bookmarkStart w:id="58" w:name="_Toc24571"/>
      <w:r>
        <w:rPr>
          <w:rFonts w:hint="eastAsia" w:ascii="仿宋" w:hAnsi="仿宋" w:eastAsia="仿宋"/>
          <w:color w:val="000000"/>
          <w:sz w:val="30"/>
          <w:szCs w:val="30"/>
        </w:rPr>
        <w:t>六</w:t>
      </w:r>
      <w:r>
        <w:rPr>
          <w:rFonts w:hint="eastAsia" w:ascii="仿宋" w:hAnsi="仿宋" w:eastAsia="仿宋"/>
          <w:b/>
          <w:color w:val="000000"/>
          <w:sz w:val="30"/>
          <w:szCs w:val="30"/>
        </w:rPr>
        <w:t>、一</w:t>
      </w:r>
      <w:r>
        <w:rPr>
          <w:rStyle w:val="14"/>
          <w:rFonts w:hint="eastAsia" w:ascii="仿宋" w:hAnsi="仿宋" w:eastAsia="仿宋"/>
          <w:b w:val="0"/>
          <w:sz w:val="30"/>
          <w:szCs w:val="30"/>
        </w:rPr>
        <w:t>般公共预算财政拨款基本支出决算情况说明</w:t>
      </w:r>
      <w:bookmarkEnd w:id="56"/>
      <w:bookmarkEnd w:id="57"/>
      <w:bookmarkEnd w:id="58"/>
      <w:r>
        <w:rPr>
          <w:rStyle w:val="14"/>
          <w:rFonts w:ascii="仿宋" w:hAnsi="仿宋" w:eastAsia="仿宋"/>
          <w:b w:val="0"/>
          <w:sz w:val="30"/>
          <w:szCs w:val="30"/>
        </w:rPr>
        <w:tab/>
      </w:r>
    </w:p>
    <w:p>
      <w:pPr>
        <w:spacing w:line="600" w:lineRule="exact"/>
        <w:ind w:firstLine="645"/>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年一般公共预算财政拨款基本支出</w:t>
      </w:r>
      <w:r>
        <w:rPr>
          <w:rFonts w:ascii="仿宋" w:hAnsi="仿宋" w:eastAsia="仿宋"/>
          <w:color w:val="000000"/>
          <w:sz w:val="30"/>
          <w:szCs w:val="30"/>
        </w:rPr>
        <w:t>**</w:t>
      </w:r>
      <w:r>
        <w:rPr>
          <w:rFonts w:hint="eastAsia" w:ascii="仿宋" w:hAnsi="仿宋" w:eastAsia="仿宋"/>
          <w:color w:val="000000"/>
          <w:sz w:val="30"/>
          <w:szCs w:val="30"/>
        </w:rPr>
        <w:t>万元，其中：</w:t>
      </w:r>
    </w:p>
    <w:p>
      <w:pPr>
        <w:spacing w:line="600" w:lineRule="exact"/>
        <w:ind w:firstLine="645"/>
        <w:rPr>
          <w:rFonts w:ascii="仿宋" w:hAnsi="仿宋" w:eastAsia="仿宋"/>
          <w:color w:val="000000"/>
          <w:sz w:val="30"/>
          <w:szCs w:val="30"/>
        </w:rPr>
      </w:pPr>
      <w:r>
        <w:rPr>
          <w:rFonts w:hint="eastAsia" w:ascii="仿宋" w:hAnsi="仿宋" w:eastAsia="仿宋"/>
          <w:color w:val="000000"/>
          <w:sz w:val="30"/>
          <w:szCs w:val="30"/>
        </w:rPr>
        <w:t>人员经费22756.27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0"/>
          <w:szCs w:val="30"/>
        </w:rPr>
        <w:br w:type="textWrapping"/>
      </w:r>
      <w:r>
        <w:rPr>
          <w:rFonts w:hint="eastAsia" w:ascii="仿宋" w:hAnsi="仿宋" w:eastAsia="仿宋"/>
          <w:color w:val="000000"/>
          <w:sz w:val="30"/>
          <w:szCs w:val="30"/>
        </w:rPr>
        <w:t>　　日常公用经费2287.21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4"/>
          <w:rFonts w:ascii="仿宋" w:hAnsi="仿宋" w:eastAsia="仿宋"/>
          <w:b w:val="0"/>
          <w:sz w:val="30"/>
          <w:szCs w:val="30"/>
        </w:rPr>
      </w:pPr>
      <w:bookmarkStart w:id="59" w:name="_Toc15377215"/>
      <w:bookmarkStart w:id="60" w:name="_Toc15396609"/>
      <w:bookmarkStart w:id="61" w:name="_Toc6152"/>
      <w:r>
        <w:rPr>
          <w:rFonts w:hint="eastAsia" w:ascii="仿宋" w:hAnsi="仿宋" w:eastAsia="仿宋"/>
          <w:color w:val="000000"/>
          <w:sz w:val="30"/>
          <w:szCs w:val="30"/>
        </w:rPr>
        <w:t>七、</w:t>
      </w:r>
      <w:r>
        <w:rPr>
          <w:rStyle w:val="14"/>
          <w:rFonts w:hint="eastAsia" w:ascii="仿宋" w:hAnsi="仿宋" w:eastAsia="仿宋"/>
          <w:sz w:val="30"/>
          <w:szCs w:val="30"/>
        </w:rPr>
        <w:t>“</w:t>
      </w:r>
      <w:r>
        <w:rPr>
          <w:rStyle w:val="14"/>
          <w:rFonts w:hint="eastAsia" w:ascii="仿宋" w:hAnsi="仿宋" w:eastAsia="仿宋"/>
          <w:b w:val="0"/>
          <w:sz w:val="30"/>
          <w:szCs w:val="30"/>
        </w:rPr>
        <w:t>三公”经费财政拨款支出决算情况说明</w:t>
      </w:r>
      <w:bookmarkEnd w:id="59"/>
      <w:bookmarkEnd w:id="60"/>
      <w:bookmarkEnd w:id="61"/>
    </w:p>
    <w:p>
      <w:pPr>
        <w:spacing w:line="600" w:lineRule="exact"/>
        <w:ind w:firstLine="640"/>
        <w:outlineLvl w:val="2"/>
        <w:rPr>
          <w:rFonts w:ascii="仿宋" w:hAnsi="仿宋" w:eastAsia="仿宋"/>
          <w:b/>
          <w:color w:val="000000"/>
          <w:sz w:val="30"/>
          <w:szCs w:val="30"/>
        </w:rPr>
      </w:pPr>
      <w:bookmarkStart w:id="62" w:name="_Toc15377216"/>
      <w:r>
        <w:rPr>
          <w:rFonts w:hint="eastAsia" w:ascii="仿宋" w:hAnsi="仿宋" w:eastAsia="仿宋"/>
          <w:b/>
          <w:color w:val="000000"/>
          <w:sz w:val="30"/>
          <w:szCs w:val="30"/>
        </w:rPr>
        <w:t>（一）“三公”经费财政拨款支出决算总体情况说明</w:t>
      </w:r>
      <w:bookmarkEnd w:id="62"/>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年“三公”经费财政拨款支出决算为14.32万元，完成预算66.85</w:t>
      </w:r>
      <w:r>
        <w:rPr>
          <w:rFonts w:ascii="仿宋" w:hAnsi="仿宋" w:eastAsia="仿宋"/>
          <w:color w:val="000000"/>
          <w:sz w:val="30"/>
          <w:szCs w:val="30"/>
        </w:rPr>
        <w:t>%</w:t>
      </w:r>
      <w:r>
        <w:rPr>
          <w:rFonts w:hint="eastAsia" w:ascii="仿宋" w:hAnsi="仿宋" w:eastAsia="仿宋"/>
          <w:color w:val="000000"/>
          <w:sz w:val="30"/>
          <w:szCs w:val="30"/>
        </w:rPr>
        <w:t>，决算数小于预算数的主要原因是公务接待费用减少。</w:t>
      </w:r>
    </w:p>
    <w:p>
      <w:pPr>
        <w:spacing w:line="600" w:lineRule="exact"/>
        <w:ind w:firstLine="640"/>
        <w:outlineLvl w:val="2"/>
        <w:rPr>
          <w:rFonts w:ascii="仿宋" w:hAnsi="仿宋" w:eastAsia="仿宋"/>
          <w:b/>
          <w:color w:val="000000"/>
          <w:sz w:val="30"/>
          <w:szCs w:val="30"/>
        </w:rPr>
      </w:pPr>
      <w:bookmarkStart w:id="63" w:name="_Toc15377217"/>
      <w:r>
        <w:rPr>
          <w:rFonts w:hint="eastAsia" w:ascii="仿宋" w:hAnsi="仿宋" w:eastAsia="仿宋"/>
          <w:b/>
          <w:color w:val="000000"/>
          <w:sz w:val="30"/>
          <w:szCs w:val="30"/>
        </w:rPr>
        <w:t>（二）“三公”经费财政拨款支出决算具体情况说明</w:t>
      </w:r>
      <w:bookmarkEnd w:id="63"/>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年“三公”经费财政拨款支出决算中，因公出国（境）费支出决算0万元，占0</w:t>
      </w:r>
      <w:r>
        <w:rPr>
          <w:rFonts w:ascii="仿宋" w:hAnsi="仿宋" w:eastAsia="仿宋"/>
          <w:color w:val="000000"/>
          <w:sz w:val="30"/>
          <w:szCs w:val="30"/>
        </w:rPr>
        <w:t>%</w:t>
      </w:r>
      <w:r>
        <w:rPr>
          <w:rFonts w:hint="eastAsia" w:ascii="仿宋" w:hAnsi="仿宋" w:eastAsia="仿宋"/>
          <w:color w:val="000000"/>
          <w:sz w:val="30"/>
          <w:szCs w:val="30"/>
        </w:rPr>
        <w:t>；公务用车购置及运行维护费支出决算1.03万元，占7.19</w:t>
      </w:r>
      <w:r>
        <w:rPr>
          <w:rFonts w:ascii="仿宋" w:hAnsi="仿宋" w:eastAsia="仿宋"/>
          <w:color w:val="000000"/>
          <w:sz w:val="30"/>
          <w:szCs w:val="30"/>
        </w:rPr>
        <w:t>%</w:t>
      </w:r>
      <w:r>
        <w:rPr>
          <w:rFonts w:hint="eastAsia" w:ascii="仿宋" w:hAnsi="仿宋" w:eastAsia="仿宋"/>
          <w:color w:val="000000"/>
          <w:sz w:val="30"/>
          <w:szCs w:val="30"/>
        </w:rPr>
        <w:t>；公务接待费支出决算13.29万元，占92.81</w:t>
      </w:r>
      <w:r>
        <w:rPr>
          <w:rFonts w:ascii="仿宋" w:hAnsi="仿宋" w:eastAsia="仿宋"/>
          <w:color w:val="000000"/>
          <w:sz w:val="30"/>
          <w:szCs w:val="30"/>
        </w:rPr>
        <w:t>%</w:t>
      </w:r>
      <w:r>
        <w:rPr>
          <w:rFonts w:hint="eastAsia" w:ascii="仿宋" w:hAnsi="仿宋" w:eastAsia="仿宋"/>
          <w:color w:val="000000"/>
          <w:sz w:val="30"/>
          <w:szCs w:val="30"/>
        </w:rPr>
        <w:t>。具体情况如下：</w:t>
      </w:r>
    </w:p>
    <w:p>
      <w:pPr>
        <w:spacing w:line="600" w:lineRule="exact"/>
        <w:ind w:firstLine="640"/>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7</w:t>
      </w:r>
      <w:r>
        <w:rPr>
          <w:rFonts w:hint="eastAsia" w:ascii="仿宋" w:hAnsi="仿宋" w:eastAsia="仿宋"/>
          <w:color w:val="000000"/>
          <w:sz w:val="30"/>
          <w:szCs w:val="30"/>
        </w:rPr>
        <w:t>：“三公”经费财政拨款支出结构）（饼状图）</w:t>
      </w:r>
    </w:p>
    <w:p>
      <w:pPr>
        <w:spacing w:line="600" w:lineRule="exact"/>
        <w:ind w:firstLine="640"/>
        <w:rPr>
          <w:rFonts w:hint="eastAsia" w:ascii="仿宋" w:hAnsi="仿宋" w:eastAsia="仿宋"/>
          <w:color w:val="000000"/>
          <w:sz w:val="30"/>
          <w:szCs w:val="30"/>
        </w:rPr>
      </w:pPr>
      <w:r>
        <w:rPr>
          <w:rFonts w:ascii="仿宋" w:hAnsi="仿宋" w:eastAsia="仿宋"/>
          <w:b/>
          <w:color w:val="000000"/>
          <w:sz w:val="30"/>
          <w:szCs w:val="30"/>
        </w:rPr>
        <w:t>1.</w:t>
      </w:r>
      <w:r>
        <w:rPr>
          <w:rFonts w:hint="eastAsia" w:ascii="仿宋" w:hAnsi="仿宋" w:eastAsia="仿宋"/>
          <w:b/>
          <w:color w:val="000000"/>
          <w:sz w:val="30"/>
          <w:szCs w:val="30"/>
        </w:rPr>
        <w:t>因公出国（境）经费支出</w:t>
      </w:r>
      <w:r>
        <w:rPr>
          <w:rFonts w:hint="eastAsia" w:ascii="仿宋" w:hAnsi="仿宋" w:eastAsia="仿宋"/>
          <w:color w:val="000000"/>
          <w:sz w:val="30"/>
          <w:szCs w:val="30"/>
        </w:rPr>
        <w:t>0万元，</w:t>
      </w:r>
      <w:r>
        <w:rPr>
          <w:rStyle w:val="27"/>
          <w:rFonts w:hint="eastAsia" w:ascii="仿宋" w:hAnsi="仿宋" w:eastAsia="仿宋"/>
          <w:b w:val="0"/>
          <w:bCs/>
          <w:color w:val="000000"/>
          <w:sz w:val="30"/>
          <w:szCs w:val="30"/>
        </w:rPr>
        <w:t>完成预算0</w:t>
      </w:r>
      <w:r>
        <w:rPr>
          <w:rStyle w:val="27"/>
          <w:rFonts w:ascii="仿宋" w:hAnsi="仿宋" w:eastAsia="仿宋"/>
          <w:b w:val="0"/>
          <w:bCs/>
          <w:color w:val="000000"/>
          <w:sz w:val="30"/>
          <w:szCs w:val="30"/>
        </w:rPr>
        <w:t>%</w:t>
      </w:r>
      <w:r>
        <w:rPr>
          <w:rStyle w:val="27"/>
          <w:rFonts w:hint="eastAsia" w:ascii="仿宋" w:hAnsi="仿宋" w:eastAsia="仿宋"/>
          <w:b w:val="0"/>
          <w:bCs/>
          <w:color w:val="000000"/>
          <w:sz w:val="30"/>
          <w:szCs w:val="30"/>
        </w:rPr>
        <w:t>。</w:t>
      </w:r>
      <w:r>
        <w:rPr>
          <w:rFonts w:hint="eastAsia" w:ascii="仿宋" w:hAnsi="仿宋" w:eastAsia="仿宋"/>
          <w:color w:val="000000"/>
          <w:sz w:val="30"/>
          <w:szCs w:val="30"/>
        </w:rPr>
        <w:t>全年安排因公出国（境）团组0次，出国（境）0人。</w:t>
      </w:r>
    </w:p>
    <w:p>
      <w:pPr>
        <w:spacing w:line="600" w:lineRule="exact"/>
        <w:ind w:firstLine="640"/>
        <w:rPr>
          <w:rFonts w:ascii="仿宋" w:hAnsi="仿宋" w:eastAsia="仿宋"/>
          <w:b/>
          <w:color w:val="000000"/>
          <w:sz w:val="30"/>
          <w:szCs w:val="30"/>
        </w:rPr>
      </w:pPr>
      <w:r>
        <w:rPr>
          <w:rFonts w:ascii="仿宋" w:hAnsi="仿宋" w:eastAsia="仿宋"/>
          <w:b/>
          <w:color w:val="000000"/>
          <w:sz w:val="30"/>
          <w:szCs w:val="30"/>
        </w:rPr>
        <w:t>2.</w:t>
      </w:r>
      <w:r>
        <w:rPr>
          <w:rFonts w:hint="eastAsia" w:ascii="仿宋" w:hAnsi="仿宋" w:eastAsia="仿宋"/>
          <w:b/>
          <w:color w:val="000000"/>
          <w:sz w:val="30"/>
          <w:szCs w:val="30"/>
        </w:rPr>
        <w:t>公务用车购置及运行维护费支出</w:t>
      </w:r>
      <w:r>
        <w:rPr>
          <w:rFonts w:hint="eastAsia" w:ascii="仿宋" w:hAnsi="仿宋" w:eastAsia="仿宋"/>
          <w:color w:val="000000"/>
          <w:sz w:val="30"/>
          <w:szCs w:val="30"/>
        </w:rPr>
        <w:t>1.03万元</w:t>
      </w:r>
      <w:r>
        <w:rPr>
          <w:rFonts w:ascii="仿宋" w:hAnsi="仿宋" w:eastAsia="仿宋"/>
          <w:color w:val="000000"/>
          <w:sz w:val="30"/>
          <w:szCs w:val="30"/>
        </w:rPr>
        <w:t>,</w:t>
      </w:r>
      <w:r>
        <w:rPr>
          <w:rStyle w:val="27"/>
          <w:rFonts w:hint="eastAsia" w:ascii="仿宋" w:hAnsi="仿宋" w:eastAsia="仿宋"/>
          <w:b w:val="0"/>
          <w:bCs/>
          <w:color w:val="000000"/>
          <w:sz w:val="30"/>
          <w:szCs w:val="30"/>
        </w:rPr>
        <w:t>完成预算100%。</w:t>
      </w:r>
      <w:r>
        <w:rPr>
          <w:rFonts w:hint="eastAsia" w:ascii="仿宋" w:hAnsi="仿宋" w:eastAsia="仿宋"/>
          <w:color w:val="000000"/>
          <w:sz w:val="30"/>
          <w:szCs w:val="30"/>
        </w:rPr>
        <w:t>公务用车购置及运行维护费支出决算比</w:t>
      </w:r>
      <w:r>
        <w:rPr>
          <w:rFonts w:ascii="仿宋" w:hAnsi="仿宋" w:eastAsia="仿宋"/>
          <w:color w:val="000000"/>
          <w:sz w:val="30"/>
          <w:szCs w:val="30"/>
        </w:rPr>
        <w:t>201</w:t>
      </w:r>
      <w:r>
        <w:rPr>
          <w:rFonts w:hint="eastAsia" w:ascii="仿宋" w:hAnsi="仿宋" w:eastAsia="仿宋"/>
          <w:color w:val="000000"/>
          <w:sz w:val="30"/>
          <w:szCs w:val="30"/>
        </w:rPr>
        <w:t>9年增加0.08万元，增长8.42</w:t>
      </w:r>
      <w:r>
        <w:rPr>
          <w:rFonts w:ascii="仿宋" w:hAnsi="仿宋" w:eastAsia="仿宋"/>
          <w:color w:val="000000"/>
          <w:sz w:val="30"/>
          <w:szCs w:val="30"/>
        </w:rPr>
        <w:t>%</w:t>
      </w:r>
      <w:r>
        <w:rPr>
          <w:rFonts w:hint="eastAsia" w:ascii="仿宋" w:hAnsi="仿宋" w:eastAsia="仿宋"/>
          <w:color w:val="000000"/>
          <w:sz w:val="30"/>
          <w:szCs w:val="30"/>
        </w:rPr>
        <w:t>。主要原因是维护费用增长。</w:t>
      </w:r>
    </w:p>
    <w:p>
      <w:pPr>
        <w:spacing w:line="600" w:lineRule="exact"/>
        <w:ind w:firstLine="600" w:firstLineChars="200"/>
        <w:rPr>
          <w:rFonts w:ascii="仿宋" w:hAnsi="仿宋" w:eastAsia="仿宋"/>
          <w:b w:val="0"/>
          <w:bCs w:val="0"/>
          <w:color w:val="000000"/>
          <w:sz w:val="30"/>
          <w:szCs w:val="30"/>
        </w:rPr>
      </w:pPr>
      <w:r>
        <w:rPr>
          <w:rFonts w:hint="eastAsia" w:ascii="仿宋" w:hAnsi="仿宋" w:eastAsia="仿宋"/>
          <w:b w:val="0"/>
          <w:bCs w:val="0"/>
          <w:color w:val="000000"/>
          <w:sz w:val="30"/>
          <w:szCs w:val="30"/>
        </w:rPr>
        <w:t>其中：公务用车购置支出0万元。</w:t>
      </w:r>
    </w:p>
    <w:p>
      <w:pPr>
        <w:spacing w:line="600" w:lineRule="exact"/>
        <w:ind w:firstLine="640"/>
        <w:rPr>
          <w:rFonts w:ascii="仿宋" w:hAnsi="仿宋" w:eastAsia="仿宋"/>
          <w:color w:val="000000"/>
          <w:sz w:val="30"/>
          <w:szCs w:val="30"/>
        </w:rPr>
      </w:pPr>
      <w:r>
        <w:rPr>
          <w:rFonts w:hint="eastAsia" w:ascii="仿宋" w:hAnsi="仿宋" w:eastAsia="仿宋"/>
          <w:b/>
          <w:color w:val="000000"/>
          <w:sz w:val="30"/>
          <w:szCs w:val="30"/>
        </w:rPr>
        <w:t>公务用车运行维护费支出</w:t>
      </w:r>
      <w:r>
        <w:rPr>
          <w:rFonts w:hint="eastAsia" w:ascii="仿宋" w:hAnsi="仿宋" w:eastAsia="仿宋"/>
          <w:color w:val="000000"/>
          <w:sz w:val="30"/>
          <w:szCs w:val="30"/>
        </w:rPr>
        <w:t>1.03万元。主要用于</w:t>
      </w:r>
      <w:r>
        <w:rPr>
          <w:rFonts w:hint="eastAsia" w:ascii="仿宋" w:hAnsi="仿宋" w:eastAsia="仿宋"/>
          <w:color w:val="000000"/>
          <w:sz w:val="30"/>
          <w:szCs w:val="30"/>
          <w:lang w:eastAsia="zh-CN"/>
        </w:rPr>
        <w:t>开展教育监督检查</w:t>
      </w:r>
      <w:r>
        <w:rPr>
          <w:rFonts w:hint="eastAsia" w:ascii="仿宋" w:hAnsi="仿宋" w:eastAsia="仿宋"/>
          <w:color w:val="000000"/>
          <w:sz w:val="30"/>
          <w:szCs w:val="30"/>
        </w:rPr>
        <w:t>等所需的公务用车燃料费、维修费、过路过桥费、保险费等支出。</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3.</w:t>
      </w:r>
      <w:r>
        <w:rPr>
          <w:rFonts w:hint="eastAsia" w:ascii="仿宋" w:hAnsi="仿宋" w:eastAsia="仿宋"/>
          <w:b/>
          <w:color w:val="000000"/>
          <w:sz w:val="30"/>
          <w:szCs w:val="30"/>
        </w:rPr>
        <w:t>公务接待费支出</w:t>
      </w:r>
      <w:r>
        <w:rPr>
          <w:rFonts w:hint="eastAsia" w:ascii="仿宋" w:hAnsi="仿宋" w:eastAsia="仿宋"/>
          <w:color w:val="000000"/>
          <w:sz w:val="30"/>
          <w:szCs w:val="30"/>
        </w:rPr>
        <w:t>13.29万元，</w:t>
      </w:r>
      <w:r>
        <w:rPr>
          <w:rStyle w:val="27"/>
          <w:rFonts w:hint="eastAsia" w:ascii="仿宋" w:hAnsi="仿宋" w:eastAsia="仿宋"/>
          <w:b w:val="0"/>
          <w:bCs/>
          <w:color w:val="000000"/>
          <w:sz w:val="30"/>
          <w:szCs w:val="30"/>
        </w:rPr>
        <w:t>完成预算65.</w:t>
      </w:r>
      <w:r>
        <w:rPr>
          <w:rFonts w:hint="eastAsia" w:ascii="仿宋" w:hAnsi="仿宋" w:eastAsia="仿宋"/>
          <w:b w:val="0"/>
          <w:bCs/>
          <w:color w:val="000000"/>
          <w:sz w:val="30"/>
          <w:szCs w:val="30"/>
        </w:rPr>
        <w:t>18</w:t>
      </w:r>
      <w:r>
        <w:rPr>
          <w:rStyle w:val="27"/>
          <w:rFonts w:ascii="仿宋" w:hAnsi="仿宋" w:eastAsia="仿宋"/>
          <w:b w:val="0"/>
          <w:bCs/>
          <w:color w:val="000000"/>
          <w:sz w:val="30"/>
          <w:szCs w:val="30"/>
        </w:rPr>
        <w:t>%</w:t>
      </w:r>
      <w:r>
        <w:rPr>
          <w:rStyle w:val="27"/>
          <w:rFonts w:hint="eastAsia" w:ascii="仿宋" w:hAnsi="仿宋" w:eastAsia="仿宋"/>
          <w:b w:val="0"/>
          <w:bCs/>
          <w:color w:val="000000"/>
          <w:sz w:val="30"/>
          <w:szCs w:val="30"/>
        </w:rPr>
        <w:t>。</w:t>
      </w:r>
      <w:r>
        <w:rPr>
          <w:rFonts w:hint="eastAsia" w:ascii="仿宋" w:hAnsi="仿宋" w:eastAsia="仿宋"/>
          <w:color w:val="000000"/>
          <w:sz w:val="30"/>
          <w:szCs w:val="30"/>
        </w:rPr>
        <w:t>公务接待费支出决算比</w:t>
      </w:r>
      <w:r>
        <w:rPr>
          <w:rFonts w:ascii="仿宋" w:hAnsi="仿宋" w:eastAsia="仿宋"/>
          <w:color w:val="000000"/>
          <w:sz w:val="30"/>
          <w:szCs w:val="30"/>
        </w:rPr>
        <w:t>2019</w:t>
      </w:r>
      <w:r>
        <w:rPr>
          <w:rFonts w:hint="eastAsia" w:ascii="仿宋" w:hAnsi="仿宋" w:eastAsia="仿宋"/>
          <w:color w:val="000000"/>
          <w:sz w:val="30"/>
          <w:szCs w:val="30"/>
        </w:rPr>
        <w:t>年减少0.67万元，下降4.8</w:t>
      </w:r>
      <w:r>
        <w:rPr>
          <w:rFonts w:ascii="仿宋" w:hAnsi="仿宋" w:eastAsia="仿宋"/>
          <w:color w:val="000000"/>
          <w:sz w:val="30"/>
          <w:szCs w:val="30"/>
        </w:rPr>
        <w:t>%</w:t>
      </w:r>
      <w:r>
        <w:rPr>
          <w:rFonts w:hint="eastAsia" w:ascii="仿宋" w:hAnsi="仿宋" w:eastAsia="仿宋"/>
          <w:color w:val="000000"/>
          <w:sz w:val="30"/>
          <w:szCs w:val="30"/>
        </w:rPr>
        <w:t>。主要原因是压缩支出。其中：</w:t>
      </w:r>
    </w:p>
    <w:p>
      <w:pPr>
        <w:spacing w:line="600" w:lineRule="exact"/>
        <w:ind w:firstLine="640"/>
        <w:rPr>
          <w:rFonts w:ascii="仿宋" w:hAnsi="仿宋" w:eastAsia="仿宋"/>
          <w:color w:val="000000"/>
          <w:sz w:val="30"/>
          <w:szCs w:val="30"/>
        </w:rPr>
      </w:pPr>
      <w:r>
        <w:rPr>
          <w:rFonts w:hint="eastAsia" w:ascii="仿宋" w:hAnsi="仿宋" w:eastAsia="仿宋"/>
          <w:b/>
          <w:color w:val="000000"/>
          <w:sz w:val="30"/>
          <w:szCs w:val="30"/>
        </w:rPr>
        <w:t>国内公务接待支出</w:t>
      </w:r>
      <w:r>
        <w:rPr>
          <w:rFonts w:hint="eastAsia" w:ascii="仿宋" w:hAnsi="仿宋" w:eastAsia="仿宋"/>
          <w:color w:val="000000"/>
          <w:sz w:val="30"/>
          <w:szCs w:val="30"/>
        </w:rPr>
        <w:t>13.29万元，主要用于执行公务、开展业务活动开支的交通费、住宿费、用餐费等。国内公务接待168批次，1580人次（不包括陪同人员），共计支出13.29万元。</w:t>
      </w:r>
    </w:p>
    <w:p>
      <w:pPr>
        <w:spacing w:line="600" w:lineRule="exact"/>
        <w:ind w:firstLine="602" w:firstLineChars="200"/>
        <w:rPr>
          <w:rFonts w:ascii="仿宋" w:hAnsi="仿宋" w:eastAsia="仿宋"/>
          <w:color w:val="000000"/>
          <w:sz w:val="30"/>
          <w:szCs w:val="30"/>
        </w:rPr>
      </w:pPr>
      <w:r>
        <w:rPr>
          <w:rFonts w:hint="eastAsia" w:ascii="仿宋" w:hAnsi="仿宋" w:eastAsia="仿宋"/>
          <w:b/>
          <w:color w:val="000000"/>
          <w:sz w:val="30"/>
          <w:szCs w:val="30"/>
        </w:rPr>
        <w:t>外事接待支出</w:t>
      </w:r>
      <w:r>
        <w:rPr>
          <w:rFonts w:hint="eastAsia" w:ascii="仿宋" w:hAnsi="仿宋" w:eastAsia="仿宋"/>
          <w:color w:val="000000"/>
          <w:sz w:val="30"/>
          <w:szCs w:val="30"/>
        </w:rPr>
        <w:t>0万元，外事接待0批次，0人，共计支出0万元。</w:t>
      </w:r>
      <w:bookmarkStart w:id="64" w:name="_Toc15377218"/>
      <w:bookmarkStart w:id="65" w:name="_Toc15396610"/>
    </w:p>
    <w:p>
      <w:pPr>
        <w:spacing w:line="600" w:lineRule="exact"/>
        <w:ind w:firstLine="640"/>
        <w:outlineLvl w:val="1"/>
        <w:rPr>
          <w:rStyle w:val="14"/>
          <w:rFonts w:ascii="仿宋" w:hAnsi="仿宋" w:eastAsia="仿宋"/>
          <w:sz w:val="30"/>
          <w:szCs w:val="30"/>
        </w:rPr>
      </w:pPr>
      <w:bookmarkStart w:id="66" w:name="_Toc7780"/>
      <w:r>
        <w:rPr>
          <w:rFonts w:hint="eastAsia" w:ascii="仿宋" w:hAnsi="仿宋" w:eastAsia="仿宋"/>
          <w:color w:val="000000"/>
          <w:sz w:val="30"/>
          <w:szCs w:val="30"/>
        </w:rPr>
        <w:t>八、</w:t>
      </w:r>
      <w:r>
        <w:rPr>
          <w:rStyle w:val="14"/>
          <w:rFonts w:hint="eastAsia" w:ascii="仿宋" w:hAnsi="仿宋" w:eastAsia="仿宋"/>
          <w:b w:val="0"/>
          <w:sz w:val="30"/>
          <w:szCs w:val="30"/>
        </w:rPr>
        <w:t>政府性基金预算支出决算情况说明</w:t>
      </w:r>
      <w:bookmarkEnd w:id="64"/>
      <w:bookmarkEnd w:id="65"/>
      <w:bookmarkEnd w:id="66"/>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年政府性基金预算拨款支出37万元。主要用于体育事业的彩票公益金支出。</w:t>
      </w:r>
    </w:p>
    <w:p>
      <w:pPr>
        <w:numPr>
          <w:ilvl w:val="0"/>
          <w:numId w:val="3"/>
        </w:numPr>
        <w:spacing w:line="600" w:lineRule="exact"/>
        <w:ind w:firstLine="640"/>
        <w:outlineLvl w:val="1"/>
        <w:rPr>
          <w:rStyle w:val="14"/>
          <w:rFonts w:ascii="仿宋" w:hAnsi="仿宋" w:eastAsia="仿宋"/>
          <w:b w:val="0"/>
          <w:sz w:val="30"/>
          <w:szCs w:val="30"/>
        </w:rPr>
      </w:pPr>
      <w:bookmarkStart w:id="67" w:name="_Toc15396611"/>
      <w:bookmarkStart w:id="68" w:name="_Toc15377219"/>
      <w:bookmarkStart w:id="69" w:name="_Toc11381"/>
      <w:r>
        <w:rPr>
          <w:rStyle w:val="14"/>
          <w:rFonts w:hint="eastAsia" w:ascii="仿宋" w:hAnsi="仿宋" w:eastAsia="仿宋"/>
          <w:b w:val="0"/>
          <w:sz w:val="30"/>
          <w:szCs w:val="30"/>
        </w:rPr>
        <w:t>国有资本经营预算支出决算情况说明</w:t>
      </w:r>
      <w:bookmarkEnd w:id="67"/>
      <w:bookmarkEnd w:id="68"/>
      <w:bookmarkEnd w:id="69"/>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年国有资本经营预算拨款支出0万元。</w:t>
      </w:r>
    </w:p>
    <w:p>
      <w:pPr>
        <w:spacing w:line="600" w:lineRule="exact"/>
        <w:ind w:firstLine="750" w:firstLineChars="250"/>
        <w:outlineLvl w:val="1"/>
        <w:rPr>
          <w:rStyle w:val="14"/>
          <w:rFonts w:ascii="仿宋" w:hAnsi="仿宋" w:eastAsia="仿宋"/>
          <w:sz w:val="30"/>
          <w:szCs w:val="30"/>
        </w:rPr>
      </w:pPr>
      <w:bookmarkStart w:id="70" w:name="_Toc15396612"/>
      <w:bookmarkStart w:id="71" w:name="_Toc15377221"/>
      <w:bookmarkStart w:id="72" w:name="_Toc22721"/>
      <w:r>
        <w:rPr>
          <w:rFonts w:hint="eastAsia" w:ascii="仿宋" w:hAnsi="仿宋" w:eastAsia="仿宋"/>
          <w:color w:val="000000"/>
          <w:sz w:val="30"/>
          <w:szCs w:val="30"/>
        </w:rPr>
        <w:t>十</w:t>
      </w:r>
      <w:r>
        <w:rPr>
          <w:rStyle w:val="14"/>
          <w:rFonts w:hint="eastAsia" w:ascii="仿宋" w:hAnsi="仿宋" w:eastAsia="仿宋"/>
          <w:sz w:val="30"/>
          <w:szCs w:val="30"/>
        </w:rPr>
        <w:t>、</w:t>
      </w:r>
      <w:r>
        <w:rPr>
          <w:rStyle w:val="14"/>
          <w:rFonts w:hint="eastAsia" w:ascii="仿宋" w:hAnsi="仿宋" w:eastAsia="仿宋"/>
          <w:b w:val="0"/>
          <w:sz w:val="30"/>
          <w:szCs w:val="30"/>
        </w:rPr>
        <w:t>其他重要事项</w:t>
      </w:r>
      <w:r>
        <w:rPr>
          <w:rFonts w:hint="eastAsia" w:ascii="仿宋" w:hAnsi="仿宋" w:eastAsia="仿宋"/>
          <w:b w:val="0"/>
          <w:sz w:val="30"/>
          <w:szCs w:val="30"/>
        </w:rPr>
        <w:t>的情况说明</w:t>
      </w:r>
      <w:bookmarkEnd w:id="70"/>
      <w:bookmarkEnd w:id="71"/>
      <w:bookmarkEnd w:id="72"/>
    </w:p>
    <w:p>
      <w:pPr>
        <w:spacing w:line="600" w:lineRule="exact"/>
        <w:ind w:firstLine="602" w:firstLineChars="200"/>
        <w:outlineLvl w:val="2"/>
        <w:rPr>
          <w:rFonts w:ascii="仿宋" w:hAnsi="仿宋" w:eastAsia="仿宋"/>
          <w:color w:val="000000"/>
          <w:sz w:val="30"/>
          <w:szCs w:val="30"/>
        </w:rPr>
      </w:pPr>
      <w:bookmarkStart w:id="73" w:name="_Toc15377222"/>
      <w:r>
        <w:rPr>
          <w:rFonts w:hint="eastAsia" w:ascii="仿宋" w:hAnsi="仿宋" w:eastAsia="仿宋"/>
          <w:b/>
          <w:color w:val="000000"/>
          <w:sz w:val="30"/>
          <w:szCs w:val="30"/>
        </w:rPr>
        <w:t>（一）机关运行经费支出情况</w:t>
      </w:r>
      <w:bookmarkEnd w:id="73"/>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年，通江县教育科技和体育局机关运行经费支出156.41万元，比</w:t>
      </w:r>
      <w:r>
        <w:rPr>
          <w:rFonts w:ascii="仿宋" w:hAnsi="仿宋" w:eastAsia="仿宋"/>
          <w:color w:val="000000"/>
          <w:sz w:val="30"/>
          <w:szCs w:val="30"/>
        </w:rPr>
        <w:t>2019</w:t>
      </w:r>
      <w:r>
        <w:rPr>
          <w:rFonts w:hint="eastAsia" w:ascii="仿宋" w:hAnsi="仿宋" w:eastAsia="仿宋"/>
          <w:color w:val="000000"/>
          <w:sz w:val="30"/>
          <w:szCs w:val="30"/>
        </w:rPr>
        <w:t>年82.46万元增加73.95万元，增长89.68</w:t>
      </w:r>
      <w:r>
        <w:rPr>
          <w:rFonts w:ascii="仿宋" w:hAnsi="仿宋" w:eastAsia="仿宋"/>
          <w:color w:val="000000"/>
          <w:sz w:val="30"/>
          <w:szCs w:val="30"/>
        </w:rPr>
        <w:t>%</w:t>
      </w:r>
      <w:r>
        <w:rPr>
          <w:rFonts w:hint="eastAsia" w:ascii="仿宋" w:hAnsi="仿宋" w:eastAsia="仿宋"/>
          <w:color w:val="000000"/>
          <w:sz w:val="30"/>
          <w:szCs w:val="30"/>
        </w:rPr>
        <w:t>。主要原因是系统内教师培训经费增加。</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bookmarkStart w:id="74" w:name="_Toc15377223"/>
      <w:r>
        <w:rPr>
          <w:rFonts w:hint="eastAsia" w:ascii="仿宋" w:hAnsi="仿宋" w:eastAsia="仿宋"/>
          <w:b/>
          <w:color w:val="000000"/>
          <w:sz w:val="30"/>
          <w:szCs w:val="30"/>
        </w:rPr>
        <w:t>（二）政府采购支出情况</w:t>
      </w:r>
      <w:bookmarkEnd w:id="74"/>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年，通江县教育科技和体育局政府采购支出总额2896万元，其中：政府采购货物支出2896万元、政府采购工程支出0万元、政府采购服务支出0万元。主要用于</w:t>
      </w:r>
      <w:r>
        <w:rPr>
          <w:rFonts w:ascii="仿宋" w:hAnsi="仿宋" w:eastAsia="仿宋"/>
          <w:color w:val="000000"/>
          <w:sz w:val="30"/>
          <w:szCs w:val="30"/>
        </w:rPr>
        <w:t>…</w:t>
      </w:r>
      <w:r>
        <w:rPr>
          <w:rFonts w:hint="eastAsia" w:ascii="仿宋" w:hAnsi="仿宋" w:eastAsia="仿宋"/>
          <w:color w:val="000000"/>
          <w:sz w:val="30"/>
          <w:szCs w:val="30"/>
        </w:rPr>
        <w:t>（具体工作）。授予中小企业合同金额2896万元，占政府采购支出总额的100</w:t>
      </w:r>
      <w:r>
        <w:rPr>
          <w:rFonts w:ascii="仿宋" w:hAnsi="仿宋" w:eastAsia="仿宋"/>
          <w:color w:val="000000"/>
          <w:sz w:val="30"/>
          <w:szCs w:val="30"/>
        </w:rPr>
        <w:t>%</w:t>
      </w:r>
      <w:r>
        <w:rPr>
          <w:rFonts w:hint="eastAsia" w:ascii="仿宋" w:hAnsi="仿宋" w:eastAsia="仿宋"/>
          <w:color w:val="000000"/>
          <w:sz w:val="30"/>
          <w:szCs w:val="30"/>
        </w:rPr>
        <w:t>，其中：授予小微企业合同金额1630万元，占政府采购支出总额的56.28</w:t>
      </w:r>
      <w:r>
        <w:rPr>
          <w:rFonts w:ascii="仿宋" w:hAnsi="仿宋" w:eastAsia="仿宋"/>
          <w:color w:val="000000"/>
          <w:sz w:val="30"/>
          <w:szCs w:val="30"/>
        </w:rPr>
        <w:t>%</w:t>
      </w:r>
      <w:r>
        <w:rPr>
          <w:rFonts w:hint="eastAsia" w:ascii="仿宋" w:hAnsi="仿宋" w:eastAsia="仿宋"/>
          <w:color w:val="000000"/>
          <w:sz w:val="30"/>
          <w:szCs w:val="30"/>
        </w:rPr>
        <w:t>。</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bookmarkStart w:id="75" w:name="_Toc15377224"/>
      <w:r>
        <w:rPr>
          <w:rFonts w:hint="eastAsia" w:ascii="仿宋" w:hAnsi="仿宋" w:eastAsia="仿宋"/>
          <w:b/>
          <w:color w:val="000000"/>
          <w:sz w:val="30"/>
          <w:szCs w:val="30"/>
        </w:rPr>
        <w:t>（三）国有资产占有使用情况</w:t>
      </w:r>
      <w:bookmarkEnd w:id="75"/>
    </w:p>
    <w:p>
      <w:pPr>
        <w:autoSpaceDE w:val="0"/>
        <w:autoSpaceDN w:val="0"/>
        <w:adjustRightInd w:val="0"/>
        <w:spacing w:line="600" w:lineRule="exact"/>
        <w:ind w:firstLine="600" w:firstLineChars="200"/>
        <w:jc w:val="left"/>
        <w:rPr>
          <w:rFonts w:hint="eastAsia" w:ascii="仿宋" w:hAnsi="仿宋" w:eastAsia="仿宋"/>
          <w:b/>
          <w:color w:val="FF0000"/>
          <w:sz w:val="30"/>
          <w:szCs w:val="30"/>
          <w:lang w:eastAsia="zh-CN"/>
        </w:rPr>
      </w:pPr>
      <w:r>
        <w:rPr>
          <w:rFonts w:hint="eastAsia" w:ascii="仿宋" w:hAnsi="仿宋" w:eastAsia="仿宋"/>
          <w:color w:val="000000"/>
          <w:sz w:val="30"/>
          <w:szCs w:val="30"/>
        </w:rPr>
        <w:t>截至</w:t>
      </w:r>
      <w:r>
        <w:rPr>
          <w:rFonts w:ascii="仿宋" w:hAnsi="仿宋" w:eastAsia="仿宋"/>
          <w:color w:val="000000"/>
          <w:sz w:val="30"/>
          <w:szCs w:val="30"/>
        </w:rPr>
        <w:t>2020</w:t>
      </w:r>
      <w:r>
        <w:rPr>
          <w:rFonts w:hint="eastAsia" w:ascii="仿宋" w:hAnsi="仿宋" w:eastAsia="仿宋"/>
          <w:color w:val="000000"/>
          <w:sz w:val="30"/>
          <w:szCs w:val="30"/>
        </w:rPr>
        <w:t>年</w:t>
      </w:r>
      <w:r>
        <w:rPr>
          <w:rFonts w:ascii="仿宋" w:hAnsi="仿宋" w:eastAsia="仿宋"/>
          <w:color w:val="000000"/>
          <w:sz w:val="30"/>
          <w:szCs w:val="30"/>
        </w:rPr>
        <w:t>12</w:t>
      </w:r>
      <w:r>
        <w:rPr>
          <w:rFonts w:hint="eastAsia" w:ascii="仿宋" w:hAnsi="仿宋" w:eastAsia="仿宋"/>
          <w:color w:val="000000"/>
          <w:sz w:val="30"/>
          <w:szCs w:val="30"/>
        </w:rPr>
        <w:t>月</w:t>
      </w:r>
      <w:r>
        <w:rPr>
          <w:rFonts w:ascii="仿宋" w:hAnsi="仿宋" w:eastAsia="仿宋"/>
          <w:color w:val="000000"/>
          <w:sz w:val="30"/>
          <w:szCs w:val="30"/>
        </w:rPr>
        <w:t>31</w:t>
      </w:r>
      <w:r>
        <w:rPr>
          <w:rFonts w:hint="eastAsia" w:ascii="仿宋" w:hAnsi="仿宋" w:eastAsia="仿宋"/>
          <w:color w:val="000000"/>
          <w:sz w:val="30"/>
          <w:szCs w:val="30"/>
        </w:rPr>
        <w:t>日，通江县教育科技和体育局共有车辆0辆</w:t>
      </w:r>
      <w:r>
        <w:rPr>
          <w:rFonts w:hint="eastAsia" w:ascii="仿宋" w:hAnsi="仿宋" w:eastAsia="仿宋"/>
          <w:color w:val="000000"/>
          <w:sz w:val="30"/>
          <w:szCs w:val="30"/>
          <w:lang w:eastAsia="zh-CN"/>
        </w:rPr>
        <w:t>。</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r>
        <w:rPr>
          <w:rFonts w:hint="eastAsia" w:ascii="仿宋" w:hAnsi="仿宋" w:eastAsia="仿宋"/>
          <w:b/>
          <w:color w:val="000000"/>
          <w:sz w:val="30"/>
          <w:szCs w:val="30"/>
        </w:rPr>
        <w:t>（四）预算绩效管理情况</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根据预算绩效管理要求，本部门（单位）在年初预算编制阶段，组织对教育项目前期工作经费等项目（项目名称）开展了预算事前绩效评估，对5个项目编制了绩效目标，预算执行过程中，选取5个项目开展绩效监控，年终执行完毕后，对5个项目开展了绩效目标完成情况自评。</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本部门按要求对</w:t>
      </w:r>
      <w:r>
        <w:rPr>
          <w:rFonts w:ascii="仿宋" w:hAnsi="仿宋" w:eastAsia="仿宋" w:cs="仿宋_GB2312"/>
          <w:sz w:val="30"/>
          <w:szCs w:val="30"/>
        </w:rPr>
        <w:t>2020</w:t>
      </w:r>
      <w:r>
        <w:rPr>
          <w:rFonts w:hint="eastAsia" w:ascii="仿宋" w:hAnsi="仿宋" w:eastAsia="仿宋" w:cs="仿宋_GB2312"/>
          <w:sz w:val="30"/>
          <w:szCs w:val="30"/>
        </w:rPr>
        <w:t>年部门整体支出开展绩效自评，从评价情况来看…（简要说明整体绩效情况）。本部门还自行组织了5个项目支出绩效评价，从评价情况来看各个项目能够全部完成指标值。</w:t>
      </w:r>
    </w:p>
    <w:p>
      <w:pPr>
        <w:spacing w:line="580" w:lineRule="exact"/>
        <w:ind w:firstLine="600" w:firstLineChars="200"/>
        <w:rPr>
          <w:rFonts w:hint="eastAsia" w:ascii="仿宋" w:hAnsi="仿宋" w:eastAsia="仿宋" w:cs="仿宋_GB2312"/>
          <w:sz w:val="30"/>
          <w:szCs w:val="30"/>
        </w:rPr>
      </w:pPr>
      <w:r>
        <w:rPr>
          <w:rFonts w:ascii="仿宋" w:hAnsi="仿宋" w:eastAsia="仿宋" w:cs="楷体_GB2312"/>
          <w:sz w:val="30"/>
          <w:szCs w:val="30"/>
        </w:rPr>
        <w:t>1.</w:t>
      </w:r>
      <w:r>
        <w:rPr>
          <w:rFonts w:hint="eastAsia" w:ascii="仿宋" w:hAnsi="仿宋" w:eastAsia="仿宋" w:cs="楷体_GB2312"/>
          <w:sz w:val="30"/>
          <w:szCs w:val="30"/>
        </w:rPr>
        <w:t>项目绩效目标完成情况。</w:t>
      </w:r>
      <w:r>
        <w:rPr>
          <w:rFonts w:ascii="仿宋" w:hAnsi="仿宋" w:eastAsia="仿宋" w:cs="楷体_GB2312"/>
          <w:sz w:val="30"/>
          <w:szCs w:val="30"/>
        </w:rPr>
        <w:br w:type="textWrapping"/>
      </w:r>
      <w:r>
        <w:rPr>
          <w:rFonts w:ascii="仿宋" w:hAnsi="仿宋" w:eastAsia="仿宋" w:cs="仿宋_GB2312"/>
          <w:sz w:val="30"/>
          <w:szCs w:val="30"/>
        </w:rPr>
        <w:t xml:space="preserve">    </w:t>
      </w:r>
      <w:r>
        <w:rPr>
          <w:rFonts w:hint="eastAsia" w:ascii="仿宋" w:hAnsi="仿宋" w:eastAsia="仿宋" w:cs="仿宋_GB2312"/>
          <w:sz w:val="30"/>
          <w:szCs w:val="30"/>
        </w:rPr>
        <w:t>本部门在</w:t>
      </w:r>
      <w:r>
        <w:rPr>
          <w:rFonts w:ascii="仿宋" w:hAnsi="仿宋" w:eastAsia="仿宋" w:cs="仿宋_GB2312"/>
          <w:sz w:val="30"/>
          <w:szCs w:val="30"/>
        </w:rPr>
        <w:t>2020</w:t>
      </w:r>
      <w:r>
        <w:rPr>
          <w:rFonts w:hint="eastAsia" w:ascii="仿宋" w:hAnsi="仿宋" w:eastAsia="仿宋" w:cs="仿宋_GB2312"/>
          <w:sz w:val="30"/>
          <w:szCs w:val="30"/>
        </w:rPr>
        <w:t>年度部门决算中反映“教育项目前期工作经费</w:t>
      </w:r>
      <w:r>
        <w:rPr>
          <w:rFonts w:ascii="仿宋" w:hAnsi="仿宋" w:eastAsia="仿宋" w:cs="仿宋_GB2312"/>
          <w:sz w:val="30"/>
          <w:szCs w:val="30"/>
        </w:rPr>
        <w:t>”</w:t>
      </w:r>
      <w:r>
        <w:rPr>
          <w:rFonts w:hint="eastAsia" w:ascii="仿宋" w:hAnsi="仿宋" w:eastAsia="仿宋" w:cs="仿宋_GB2312"/>
          <w:sz w:val="30"/>
          <w:szCs w:val="30"/>
        </w:rPr>
        <w:t>“科技信息员经费” “科技惠民中心费用”“驻口纪检组工作经费”“引进人才安家补助经费”等5个项目绩效目标实际完成情况。</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w:t>
      </w:r>
      <w:r>
        <w:rPr>
          <w:rFonts w:ascii="仿宋" w:hAnsi="仿宋" w:eastAsia="仿宋" w:cs="仿宋_GB2312"/>
          <w:sz w:val="30"/>
          <w:szCs w:val="30"/>
        </w:rPr>
        <w:t>1</w:t>
      </w:r>
      <w:r>
        <w:rPr>
          <w:rFonts w:hint="eastAsia" w:ascii="仿宋" w:hAnsi="仿宋" w:eastAsia="仿宋" w:cs="仿宋_GB2312"/>
          <w:sz w:val="30"/>
          <w:szCs w:val="30"/>
        </w:rPr>
        <w:t>）教育项目前期工作经费项目绩效目标完成情况综述。项目全年预算数60.1万元，执行数为60.1万元，完成预算的100</w:t>
      </w:r>
      <w:r>
        <w:rPr>
          <w:rFonts w:ascii="仿宋" w:hAnsi="仿宋" w:eastAsia="仿宋" w:cs="仿宋_GB2312"/>
          <w:sz w:val="30"/>
          <w:szCs w:val="30"/>
        </w:rPr>
        <w:t>%</w:t>
      </w:r>
      <w:r>
        <w:rPr>
          <w:rFonts w:hint="eastAsia" w:ascii="仿宋" w:hAnsi="仿宋" w:eastAsia="仿宋" w:cs="仿宋_GB2312"/>
          <w:sz w:val="30"/>
          <w:szCs w:val="30"/>
        </w:rPr>
        <w:t>。通过项目实施，保障了教育项目的有序推进。</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w:t>
      </w:r>
      <w:r>
        <w:rPr>
          <w:rFonts w:ascii="仿宋" w:hAnsi="仿宋" w:eastAsia="仿宋" w:cs="仿宋_GB2312"/>
          <w:sz w:val="30"/>
          <w:szCs w:val="30"/>
        </w:rPr>
        <w:t>2</w:t>
      </w:r>
      <w:r>
        <w:rPr>
          <w:rFonts w:hint="eastAsia" w:ascii="仿宋" w:hAnsi="仿宋" w:eastAsia="仿宋" w:cs="仿宋_GB2312"/>
          <w:sz w:val="30"/>
          <w:szCs w:val="30"/>
        </w:rPr>
        <w:t>）科技信息员经费项目绩效目标完成情况综述。项目全年预算数22.7万元，执行数为22.7万元，完成预算的100</w:t>
      </w:r>
      <w:r>
        <w:rPr>
          <w:rFonts w:ascii="仿宋" w:hAnsi="仿宋" w:eastAsia="仿宋" w:cs="仿宋_GB2312"/>
          <w:sz w:val="30"/>
          <w:szCs w:val="30"/>
        </w:rPr>
        <w:t>%</w:t>
      </w:r>
      <w:r>
        <w:rPr>
          <w:rFonts w:hint="eastAsia" w:ascii="仿宋" w:hAnsi="仿宋" w:eastAsia="仿宋" w:cs="仿宋_GB2312"/>
          <w:sz w:val="30"/>
          <w:szCs w:val="30"/>
        </w:rPr>
        <w:t>。通过项目实施，保障（支持、促进、提高…）了科技信息咨询业务的完成。</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w:t>
      </w:r>
      <w:r>
        <w:rPr>
          <w:rFonts w:ascii="仿宋" w:hAnsi="仿宋" w:eastAsia="仿宋" w:cs="仿宋_GB2312"/>
          <w:sz w:val="30"/>
          <w:szCs w:val="30"/>
        </w:rPr>
        <w:t>3</w:t>
      </w:r>
      <w:r>
        <w:rPr>
          <w:rFonts w:hint="eastAsia" w:ascii="仿宋" w:hAnsi="仿宋" w:eastAsia="仿宋" w:cs="仿宋_GB2312"/>
          <w:sz w:val="30"/>
          <w:szCs w:val="30"/>
        </w:rPr>
        <w:t>）科技惠民中心费用项目绩效目标完成情况综述。项目全年预算数30万元，执行数为30万元，完成预算的100</w:t>
      </w:r>
      <w:r>
        <w:rPr>
          <w:rFonts w:ascii="仿宋" w:hAnsi="仿宋" w:eastAsia="仿宋" w:cs="仿宋_GB2312"/>
          <w:sz w:val="30"/>
          <w:szCs w:val="30"/>
        </w:rPr>
        <w:t>%</w:t>
      </w:r>
      <w:r>
        <w:rPr>
          <w:rFonts w:hint="eastAsia" w:ascii="仿宋" w:hAnsi="仿宋" w:eastAsia="仿宋" w:cs="仿宋_GB2312"/>
          <w:sz w:val="30"/>
          <w:szCs w:val="30"/>
        </w:rPr>
        <w:t>。通过项目实施，保障了科技扶贫在线工作的推进。</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（4）驻口纪检组工作经费项目绩效目标完成情况综述。项目全年预算数3万元，执行数为3万元，完成预算的100</w:t>
      </w:r>
      <w:r>
        <w:rPr>
          <w:rFonts w:ascii="仿宋" w:hAnsi="仿宋" w:eastAsia="仿宋" w:cs="仿宋_GB2312"/>
          <w:sz w:val="30"/>
          <w:szCs w:val="30"/>
        </w:rPr>
        <w:t>%</w:t>
      </w:r>
      <w:r>
        <w:rPr>
          <w:rFonts w:hint="eastAsia" w:ascii="仿宋" w:hAnsi="仿宋" w:eastAsia="仿宋" w:cs="仿宋_GB2312"/>
          <w:sz w:val="30"/>
          <w:szCs w:val="30"/>
        </w:rPr>
        <w:t>。通过项目实施，保障了驻口纪检组工作的顺利开展。</w:t>
      </w: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（5）引进人才安家补助经费项目绩效目标完成情况综述。项目全年预算数1万元，执行数为1万元，完成预算的100</w:t>
      </w:r>
      <w:r>
        <w:rPr>
          <w:rFonts w:ascii="仿宋" w:hAnsi="仿宋" w:eastAsia="仿宋" w:cs="仿宋_GB2312"/>
          <w:sz w:val="30"/>
          <w:szCs w:val="30"/>
        </w:rPr>
        <w:t>%</w:t>
      </w:r>
      <w:r>
        <w:rPr>
          <w:rFonts w:hint="eastAsia" w:ascii="仿宋" w:hAnsi="仿宋" w:eastAsia="仿宋" w:cs="仿宋_GB2312"/>
          <w:sz w:val="30"/>
          <w:szCs w:val="30"/>
        </w:rPr>
        <w:t>。通过项目实施，保障了引进人才安家费用的支出，让他们安心工作，服务人民。</w:t>
      </w:r>
    </w:p>
    <w:p>
      <w:pPr>
        <w:spacing w:line="580" w:lineRule="exact"/>
        <w:ind w:left="630"/>
        <w:rPr>
          <w:rFonts w:ascii="仿宋" w:hAnsi="仿宋" w:eastAsia="仿宋" w:cs="仿宋_GB2312"/>
          <w:sz w:val="30"/>
          <w:szCs w:val="30"/>
        </w:rPr>
      </w:pPr>
      <w:r>
        <w:rPr>
          <w:rFonts w:ascii="仿宋" w:hAnsi="仿宋" w:eastAsia="仿宋" w:cs="楷体_GB2312"/>
          <w:sz w:val="30"/>
          <w:szCs w:val="30"/>
        </w:rPr>
        <w:t>2.</w:t>
      </w:r>
      <w:r>
        <w:rPr>
          <w:rFonts w:hint="eastAsia" w:ascii="仿宋" w:hAnsi="仿宋" w:eastAsia="仿宋" w:cs="楷体_GB2312"/>
          <w:sz w:val="30"/>
          <w:szCs w:val="30"/>
        </w:rPr>
        <w:t>部门绩效评价结果。</w:t>
      </w: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本部门按要求对</w:t>
      </w:r>
      <w:r>
        <w:rPr>
          <w:rFonts w:ascii="仿宋" w:hAnsi="仿宋" w:eastAsia="仿宋" w:cs="仿宋_GB2312"/>
          <w:sz w:val="30"/>
          <w:szCs w:val="30"/>
        </w:rPr>
        <w:t>2020</w:t>
      </w:r>
      <w:r>
        <w:rPr>
          <w:rFonts w:hint="eastAsia" w:ascii="仿宋" w:hAnsi="仿宋" w:eastAsia="仿宋" w:cs="仿宋_GB2312"/>
          <w:sz w:val="30"/>
          <w:szCs w:val="30"/>
        </w:rPr>
        <w:t>年部门整体支出绩效评价情况开展自评，《通江县教育科技和体育局部门</w:t>
      </w:r>
      <w:r>
        <w:rPr>
          <w:rFonts w:ascii="仿宋" w:hAnsi="仿宋" w:eastAsia="仿宋" w:cs="仿宋_GB2312"/>
          <w:sz w:val="30"/>
          <w:szCs w:val="30"/>
        </w:rPr>
        <w:t>2020</w:t>
      </w:r>
      <w:r>
        <w:rPr>
          <w:rFonts w:hint="eastAsia" w:ascii="仿宋" w:hAnsi="仿宋" w:eastAsia="仿宋" w:cs="仿宋_GB2312"/>
          <w:sz w:val="30"/>
          <w:szCs w:val="30"/>
        </w:rPr>
        <w:t>年部门整体支出绩效评价报告》见附件（附件</w:t>
      </w:r>
      <w:r>
        <w:rPr>
          <w:rFonts w:ascii="仿宋" w:hAnsi="仿宋" w:eastAsia="仿宋" w:cs="仿宋_GB2312"/>
          <w:sz w:val="30"/>
          <w:szCs w:val="30"/>
        </w:rPr>
        <w:t>1</w:t>
      </w:r>
      <w:r>
        <w:rPr>
          <w:rFonts w:hint="eastAsia" w:ascii="仿宋" w:hAnsi="仿宋" w:eastAsia="仿宋" w:cs="仿宋_GB2312"/>
          <w:sz w:val="30"/>
          <w:szCs w:val="30"/>
        </w:rPr>
        <w:t>）。</w:t>
      </w: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附件1</w:t>
      </w:r>
    </w:p>
    <w:tbl>
      <w:tblPr>
        <w:tblStyle w:val="7"/>
        <w:tblpPr w:leftFromText="180" w:rightFromText="180" w:vertAnchor="text" w:horzAnchor="page" w:tblpXSpec="center" w:tblpY="1150"/>
        <w:tblOverlap w:val="never"/>
        <w:tblW w:w="8836" w:type="dxa"/>
        <w:jc w:val="center"/>
        <w:tblLayout w:type="fixed"/>
        <w:tblCellMar>
          <w:top w:w="0" w:type="dxa"/>
          <w:left w:w="108" w:type="dxa"/>
          <w:bottom w:w="0" w:type="dxa"/>
          <w:right w:w="108" w:type="dxa"/>
        </w:tblCellMar>
      </w:tblPr>
      <w:tblGrid>
        <w:gridCol w:w="528"/>
        <w:gridCol w:w="536"/>
        <w:gridCol w:w="1052"/>
        <w:gridCol w:w="1178"/>
        <w:gridCol w:w="498"/>
        <w:gridCol w:w="1330"/>
        <w:gridCol w:w="453"/>
        <w:gridCol w:w="431"/>
        <w:gridCol w:w="585"/>
        <w:gridCol w:w="431"/>
        <w:gridCol w:w="585"/>
        <w:gridCol w:w="536"/>
        <w:gridCol w:w="693"/>
      </w:tblGrid>
      <w:tr>
        <w:tblPrEx>
          <w:tblCellMar>
            <w:top w:w="0" w:type="dxa"/>
            <w:left w:w="108" w:type="dxa"/>
            <w:bottom w:w="0" w:type="dxa"/>
            <w:right w:w="108" w:type="dxa"/>
          </w:tblCellMar>
        </w:tblPrEx>
        <w:trPr>
          <w:trHeight w:val="375" w:hRule="atLeast"/>
          <w:jc w:val="center"/>
        </w:trPr>
        <w:tc>
          <w:tcPr>
            <w:tcW w:w="8836" w:type="dxa"/>
            <w:gridSpan w:val="13"/>
            <w:tcBorders>
              <w:top w:val="nil"/>
              <w:left w:val="nil"/>
              <w:bottom w:val="nil"/>
              <w:right w:val="nil"/>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整体支出绩效目标自评表</w:t>
            </w:r>
            <w:r>
              <w:rPr>
                <w:rFonts w:hint="eastAsia" w:ascii="仿宋" w:hAnsi="仿宋" w:eastAsia="仿宋" w:cs="宋体"/>
                <w:color w:val="000000"/>
                <w:kern w:val="0"/>
                <w:sz w:val="20"/>
                <w:szCs w:val="20"/>
              </w:rPr>
              <w:t xml:space="preserve"> </w:t>
            </w:r>
          </w:p>
        </w:tc>
      </w:tr>
      <w:tr>
        <w:tblPrEx>
          <w:tblCellMar>
            <w:top w:w="0" w:type="dxa"/>
            <w:left w:w="108" w:type="dxa"/>
            <w:bottom w:w="0" w:type="dxa"/>
            <w:right w:w="108" w:type="dxa"/>
          </w:tblCellMar>
        </w:tblPrEx>
        <w:trPr>
          <w:trHeight w:val="240" w:hRule="atLeast"/>
          <w:jc w:val="center"/>
        </w:trPr>
        <w:tc>
          <w:tcPr>
            <w:tcW w:w="8836" w:type="dxa"/>
            <w:gridSpan w:val="13"/>
            <w:tcBorders>
              <w:top w:val="nil"/>
              <w:left w:val="nil"/>
              <w:bottom w:val="single" w:color="auto" w:sz="4" w:space="0"/>
              <w:right w:val="nil"/>
            </w:tcBorders>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（2020年度）</w:t>
            </w:r>
          </w:p>
        </w:tc>
      </w:tr>
      <w:tr>
        <w:tblPrEx>
          <w:tblCellMar>
            <w:top w:w="0" w:type="dxa"/>
            <w:left w:w="108" w:type="dxa"/>
            <w:bottom w:w="0" w:type="dxa"/>
            <w:right w:w="108" w:type="dxa"/>
          </w:tblCellMar>
        </w:tblPrEx>
        <w:trPr>
          <w:trHeight w:val="225" w:hRule="atLeast"/>
          <w:jc w:val="center"/>
        </w:trPr>
        <w:tc>
          <w:tcPr>
            <w:tcW w:w="21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部门名称</w:t>
            </w:r>
          </w:p>
        </w:tc>
        <w:tc>
          <w:tcPr>
            <w:tcW w:w="6720" w:type="dxa"/>
            <w:gridSpan w:val="10"/>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通江县教育科技和体育局</w:t>
            </w:r>
          </w:p>
        </w:tc>
      </w:tr>
      <w:tr>
        <w:tblPrEx>
          <w:tblCellMar>
            <w:top w:w="0" w:type="dxa"/>
            <w:left w:w="108" w:type="dxa"/>
            <w:bottom w:w="0" w:type="dxa"/>
            <w:right w:w="108" w:type="dxa"/>
          </w:tblCellMar>
        </w:tblPrEx>
        <w:trPr>
          <w:trHeight w:val="210" w:hRule="atLeast"/>
          <w:jc w:val="center"/>
        </w:trPr>
        <w:tc>
          <w:tcPr>
            <w:tcW w:w="52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年度主要任务</w:t>
            </w:r>
          </w:p>
        </w:tc>
        <w:tc>
          <w:tcPr>
            <w:tcW w:w="536" w:type="dxa"/>
            <w:vMerge w:val="restart"/>
            <w:tcBorders>
              <w:top w:val="nil"/>
              <w:left w:val="single" w:color="auto" w:sz="4" w:space="0"/>
              <w:bottom w:val="single" w:color="000000" w:sz="4" w:space="0"/>
              <w:right w:val="nil"/>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任务名称</w:t>
            </w:r>
          </w:p>
        </w:tc>
        <w:tc>
          <w:tcPr>
            <w:tcW w:w="105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主要内容</w:t>
            </w:r>
          </w:p>
        </w:tc>
        <w:tc>
          <w:tcPr>
            <w:tcW w:w="117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分值</w:t>
            </w:r>
          </w:p>
        </w:tc>
        <w:tc>
          <w:tcPr>
            <w:tcW w:w="2281"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预算金额（万元）</w:t>
            </w:r>
          </w:p>
        </w:tc>
        <w:tc>
          <w:tcPr>
            <w:tcW w:w="2568"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实际执行（万元）</w:t>
            </w:r>
          </w:p>
        </w:tc>
        <w:tc>
          <w:tcPr>
            <w:tcW w:w="69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得分</w:t>
            </w:r>
          </w:p>
        </w:tc>
      </w:tr>
      <w:tr>
        <w:tblPrEx>
          <w:tblCellMar>
            <w:top w:w="0" w:type="dxa"/>
            <w:left w:w="108" w:type="dxa"/>
            <w:bottom w:w="0" w:type="dxa"/>
            <w:right w:w="108" w:type="dxa"/>
          </w:tblCellMar>
        </w:tblPrEx>
        <w:trPr>
          <w:trHeight w:val="1674"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color w:val="000000"/>
                <w:kern w:val="0"/>
                <w:sz w:val="20"/>
                <w:szCs w:val="20"/>
              </w:rPr>
            </w:pP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总额</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财政拨款</w:t>
            </w:r>
          </w:p>
        </w:tc>
        <w:tc>
          <w:tcPr>
            <w:tcW w:w="45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其他资金</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总额</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财政拨款</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其他资金</w:t>
            </w:r>
          </w:p>
        </w:tc>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1408" w:hRule="atLeast"/>
          <w:jc w:val="center"/>
        </w:trPr>
        <w:tc>
          <w:tcPr>
            <w:tcW w:w="5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教育行政事务管理</w:t>
            </w:r>
          </w:p>
        </w:tc>
        <w:tc>
          <w:tcPr>
            <w:tcW w:w="1052" w:type="dxa"/>
            <w:tcBorders>
              <w:top w:val="nil"/>
              <w:left w:val="single" w:color="auto" w:sz="4" w:space="0"/>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对全县教育活动决策、组织、调控和管理</w:t>
            </w:r>
          </w:p>
        </w:tc>
        <w:tc>
          <w:tcPr>
            <w:tcW w:w="1178"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c>
          <w:tcPr>
            <w:tcW w:w="498"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786.845097</w:t>
            </w: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786.845097</w:t>
            </w: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786.845097</w:t>
            </w:r>
          </w:p>
        </w:tc>
        <w:tc>
          <w:tcPr>
            <w:tcW w:w="1016"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786.845097</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blPrEx>
          <w:tblCellMar>
            <w:top w:w="0" w:type="dxa"/>
            <w:left w:w="108" w:type="dxa"/>
            <w:bottom w:w="0" w:type="dxa"/>
            <w:right w:w="108" w:type="dxa"/>
          </w:tblCellMar>
        </w:tblPrEx>
        <w:trPr>
          <w:trHeight w:val="3823"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36"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引进人才安家补助经费</w:t>
            </w:r>
          </w:p>
        </w:tc>
        <w:tc>
          <w:tcPr>
            <w:tcW w:w="105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解决引进2名人才的安家补助费</w:t>
            </w:r>
          </w:p>
        </w:tc>
        <w:tc>
          <w:tcPr>
            <w:tcW w:w="117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5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r>
      <w:tr>
        <w:tblPrEx>
          <w:tblCellMar>
            <w:top w:w="0" w:type="dxa"/>
            <w:left w:w="108" w:type="dxa"/>
            <w:bottom w:w="0" w:type="dxa"/>
            <w:right w:w="108" w:type="dxa"/>
          </w:tblCellMar>
        </w:tblPrEx>
        <w:trPr>
          <w:trHeight w:val="3821"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36"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驻口纪检组工作经费</w:t>
            </w:r>
          </w:p>
        </w:tc>
        <w:tc>
          <w:tcPr>
            <w:tcW w:w="105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解决驻口纪检组工作经费</w:t>
            </w:r>
          </w:p>
        </w:tc>
        <w:tc>
          <w:tcPr>
            <w:tcW w:w="117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45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r>
      <w:tr>
        <w:tblPrEx>
          <w:tblCellMar>
            <w:top w:w="0" w:type="dxa"/>
            <w:left w:w="108" w:type="dxa"/>
            <w:bottom w:w="0" w:type="dxa"/>
            <w:right w:w="108" w:type="dxa"/>
          </w:tblCellMar>
        </w:tblPrEx>
        <w:trPr>
          <w:trHeight w:val="342"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教育项目前期工作经费</w:t>
            </w:r>
          </w:p>
        </w:tc>
        <w:tc>
          <w:tcPr>
            <w:tcW w:w="105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全县教育系统基建项目管理工作，规范基建管理行为，做好教育项目申报、储备、实施等前期工作</w:t>
            </w:r>
          </w:p>
        </w:tc>
        <w:tc>
          <w:tcPr>
            <w:tcW w:w="117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60.1</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60.1</w:t>
            </w:r>
          </w:p>
        </w:tc>
        <w:tc>
          <w:tcPr>
            <w:tcW w:w="45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60.1</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60.1</w:t>
            </w:r>
          </w:p>
        </w:tc>
        <w:tc>
          <w:tcPr>
            <w:tcW w:w="53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r>
      <w:tr>
        <w:tblPrEx>
          <w:tblCellMar>
            <w:top w:w="0" w:type="dxa"/>
            <w:left w:w="108" w:type="dxa"/>
            <w:bottom w:w="0" w:type="dxa"/>
            <w:right w:w="108" w:type="dxa"/>
          </w:tblCellMar>
        </w:tblPrEx>
        <w:trPr>
          <w:trHeight w:val="282"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科技信息专家经费</w:t>
            </w:r>
          </w:p>
        </w:tc>
        <w:tc>
          <w:tcPr>
            <w:tcW w:w="105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科技信息技术咨询服务</w:t>
            </w:r>
          </w:p>
        </w:tc>
        <w:tc>
          <w:tcPr>
            <w:tcW w:w="117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45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53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r>
      <w:tr>
        <w:tblPrEx>
          <w:tblCellMar>
            <w:top w:w="0" w:type="dxa"/>
            <w:left w:w="108" w:type="dxa"/>
            <w:bottom w:w="0" w:type="dxa"/>
            <w:right w:w="108" w:type="dxa"/>
          </w:tblCellMar>
        </w:tblPrEx>
        <w:trPr>
          <w:trHeight w:val="315"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科技惠民中心工作经费</w:t>
            </w:r>
          </w:p>
        </w:tc>
        <w:tc>
          <w:tcPr>
            <w:tcW w:w="105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开展科技能力提升1000人次；开展线上科技咨询7000余次，建立科技示范基地4个。</w:t>
            </w:r>
          </w:p>
        </w:tc>
        <w:tc>
          <w:tcPr>
            <w:tcW w:w="117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45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53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r>
      <w:tr>
        <w:tblPrEx>
          <w:tblCellMar>
            <w:top w:w="0" w:type="dxa"/>
            <w:left w:w="108" w:type="dxa"/>
            <w:bottom w:w="0" w:type="dxa"/>
            <w:right w:w="108" w:type="dxa"/>
          </w:tblCellMar>
        </w:tblPrEx>
        <w:trPr>
          <w:trHeight w:val="282"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88" w:type="dxa"/>
            <w:gridSpan w:val="2"/>
            <w:tcBorders>
              <w:top w:val="single" w:color="auto" w:sz="4" w:space="0"/>
              <w:left w:val="nil"/>
              <w:bottom w:val="nil"/>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   计</w:t>
            </w:r>
          </w:p>
        </w:tc>
        <w:tc>
          <w:tcPr>
            <w:tcW w:w="1178" w:type="dxa"/>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498" w:type="dxa"/>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903.647097</w:t>
            </w:r>
          </w:p>
        </w:tc>
        <w:tc>
          <w:tcPr>
            <w:tcW w:w="1330" w:type="dxa"/>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903.647097</w:t>
            </w:r>
          </w:p>
        </w:tc>
        <w:tc>
          <w:tcPr>
            <w:tcW w:w="453" w:type="dxa"/>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16" w:type="dxa"/>
            <w:gridSpan w:val="2"/>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903.647097</w:t>
            </w:r>
          </w:p>
        </w:tc>
        <w:tc>
          <w:tcPr>
            <w:tcW w:w="1016" w:type="dxa"/>
            <w:gridSpan w:val="2"/>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903.647097</w:t>
            </w:r>
          </w:p>
        </w:tc>
        <w:tc>
          <w:tcPr>
            <w:tcW w:w="53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r>
      <w:tr>
        <w:tblPrEx>
          <w:tblCellMar>
            <w:top w:w="0" w:type="dxa"/>
            <w:left w:w="108" w:type="dxa"/>
            <w:bottom w:w="0" w:type="dxa"/>
            <w:right w:w="108" w:type="dxa"/>
          </w:tblCellMar>
        </w:tblPrEx>
        <w:trPr>
          <w:trHeight w:val="180" w:hRule="atLeast"/>
          <w:jc w:val="center"/>
        </w:trPr>
        <w:tc>
          <w:tcPr>
            <w:tcW w:w="52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年度总体目标</w:t>
            </w:r>
          </w:p>
        </w:tc>
        <w:tc>
          <w:tcPr>
            <w:tcW w:w="4594"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预期目标</w:t>
            </w:r>
          </w:p>
        </w:tc>
        <w:tc>
          <w:tcPr>
            <w:tcW w:w="3714" w:type="dxa"/>
            <w:gridSpan w:val="7"/>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实际完成目标</w:t>
            </w:r>
          </w:p>
        </w:tc>
      </w:tr>
      <w:tr>
        <w:tblPrEx>
          <w:tblCellMar>
            <w:top w:w="0" w:type="dxa"/>
            <w:left w:w="108" w:type="dxa"/>
            <w:bottom w:w="0" w:type="dxa"/>
            <w:right w:w="108" w:type="dxa"/>
          </w:tblCellMar>
        </w:tblPrEx>
        <w:trPr>
          <w:trHeight w:val="660" w:hRule="atLeast"/>
          <w:jc w:val="center"/>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4"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1、执行党和国家教育方针、政策，实现全年教育科技体育目标任务。  2、教师培训。3、加强教育、科技和体育项目顺利推进。 4、实施科技项目，提升科技创新能力。5、实施义务教育营养改善计划。</w:t>
            </w:r>
          </w:p>
        </w:tc>
        <w:tc>
          <w:tcPr>
            <w:tcW w:w="3714" w:type="dxa"/>
            <w:gridSpan w:val="7"/>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1、执行党和国家教育方针、政策，实现全年教育科技体育目标任务。  2、教师培训。3、加强教育、科技和体育项目顺利推进。 4、实施科技项目，提升科技创新能力。5、实施义务教育营养改善计划。</w:t>
            </w:r>
          </w:p>
        </w:tc>
      </w:tr>
      <w:tr>
        <w:tblPrEx>
          <w:tblCellMar>
            <w:top w:w="0" w:type="dxa"/>
            <w:left w:w="108" w:type="dxa"/>
            <w:bottom w:w="0" w:type="dxa"/>
            <w:right w:w="108" w:type="dxa"/>
          </w:tblCellMar>
        </w:tblPrEx>
        <w:trPr>
          <w:trHeight w:val="375" w:hRule="atLeast"/>
          <w:jc w:val="center"/>
        </w:trPr>
        <w:tc>
          <w:tcPr>
            <w:tcW w:w="528"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绩效指标</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指标</w:t>
            </w:r>
          </w:p>
        </w:tc>
        <w:tc>
          <w:tcPr>
            <w:tcW w:w="105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二级指标</w:t>
            </w:r>
          </w:p>
        </w:tc>
        <w:tc>
          <w:tcPr>
            <w:tcW w:w="117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三级指标</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分值</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年度指标值</w:t>
            </w:r>
          </w:p>
        </w:tc>
        <w:tc>
          <w:tcPr>
            <w:tcW w:w="88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全年实际值</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得分</w:t>
            </w: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未完成原因及拟采取的改进措施</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（50分）</w:t>
            </w:r>
          </w:p>
        </w:tc>
        <w:tc>
          <w:tcPr>
            <w:tcW w:w="105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开展教育专项检查</w:t>
            </w:r>
          </w:p>
        </w:tc>
        <w:tc>
          <w:tcPr>
            <w:tcW w:w="49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w:t>
            </w: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≥5000人次</w:t>
            </w:r>
          </w:p>
        </w:tc>
        <w:tc>
          <w:tcPr>
            <w:tcW w:w="884"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≥5000人次</w:t>
            </w:r>
          </w:p>
        </w:tc>
        <w:tc>
          <w:tcPr>
            <w:tcW w:w="101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组织考试巡查人次</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≥2000人次</w:t>
            </w:r>
          </w:p>
        </w:tc>
        <w:tc>
          <w:tcPr>
            <w:tcW w:w="884"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≥2000人次</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对教学名师、学科带头人、骨干教师、青年教师、班主任等培训人次</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≥5000人次</w:t>
            </w:r>
          </w:p>
        </w:tc>
        <w:tc>
          <w:tcPr>
            <w:tcW w:w="884"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≥5000人次</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举办外出培训批次</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w:t>
            </w:r>
            <w:r>
              <w:rPr>
                <w:rFonts w:hint="eastAsia" w:ascii="仿宋" w:hAnsi="仿宋" w:eastAsia="仿宋" w:cs="Arial"/>
                <w:kern w:val="0"/>
                <w:sz w:val="20"/>
                <w:szCs w:val="20"/>
              </w:rPr>
              <w:t>10次</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w:t>
            </w:r>
            <w:r>
              <w:rPr>
                <w:rFonts w:hint="eastAsia" w:ascii="仿宋" w:hAnsi="仿宋" w:eastAsia="仿宋" w:cs="Arial"/>
                <w:kern w:val="0"/>
                <w:sz w:val="20"/>
                <w:szCs w:val="20"/>
              </w:rPr>
              <w:t>10次</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年内职工出差天数</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≥9000</w:t>
            </w:r>
            <w:r>
              <w:rPr>
                <w:rFonts w:hint="eastAsia" w:ascii="仿宋" w:hAnsi="仿宋" w:eastAsia="仿宋" w:cs="Arial"/>
                <w:kern w:val="0"/>
                <w:sz w:val="20"/>
                <w:szCs w:val="20"/>
              </w:rPr>
              <w:t>天</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≥9000</w:t>
            </w:r>
            <w:r>
              <w:rPr>
                <w:rFonts w:hint="eastAsia" w:ascii="仿宋" w:hAnsi="仿宋" w:eastAsia="仿宋" w:cs="Arial"/>
                <w:kern w:val="0"/>
                <w:sz w:val="20"/>
                <w:szCs w:val="20"/>
              </w:rPr>
              <w:t>天</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购置办公设备数量</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≥15</w:t>
            </w:r>
            <w:r>
              <w:rPr>
                <w:rFonts w:hint="eastAsia" w:ascii="仿宋" w:hAnsi="仿宋" w:eastAsia="仿宋" w:cs="Arial"/>
                <w:kern w:val="0"/>
                <w:sz w:val="20"/>
                <w:szCs w:val="20"/>
              </w:rPr>
              <w:t>台</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≥15</w:t>
            </w:r>
            <w:r>
              <w:rPr>
                <w:rFonts w:hint="eastAsia" w:ascii="仿宋" w:hAnsi="仿宋" w:eastAsia="仿宋" w:cs="Arial"/>
                <w:kern w:val="0"/>
                <w:sz w:val="20"/>
                <w:szCs w:val="20"/>
              </w:rPr>
              <w:t>台</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办理违纪违法案件数</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w:t>
            </w:r>
            <w:r>
              <w:rPr>
                <w:rFonts w:hint="eastAsia" w:ascii="仿宋" w:hAnsi="仿宋" w:eastAsia="仿宋" w:cs="Arial"/>
                <w:kern w:val="0"/>
                <w:sz w:val="20"/>
                <w:szCs w:val="20"/>
              </w:rPr>
              <w:t>件</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w:t>
            </w:r>
            <w:r>
              <w:rPr>
                <w:rFonts w:hint="eastAsia" w:ascii="仿宋" w:hAnsi="仿宋" w:eastAsia="仿宋" w:cs="Arial"/>
                <w:kern w:val="0"/>
                <w:sz w:val="20"/>
                <w:szCs w:val="20"/>
              </w:rPr>
              <w:t>件</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90"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质量指标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工资福利、运转、民生保障率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“三公”经费下降率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培训合格率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≥95%</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≥95%</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举办会议成功率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购置设备合格率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违法违纪案件办结率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工资福利发放</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培训（会议）完成时间</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2020年10月底前</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2020年10月底前</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办公设备购置完成时间</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2020年9月底前</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2020年9月底前</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违法违纪案件办结时间</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2020年11月底前</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2020年11月底前</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成本指标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工资福利总额</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≤495.61万元</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≤495.61万元</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培训（会议）成本</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≤50万元</w:t>
            </w:r>
          </w:p>
        </w:tc>
        <w:tc>
          <w:tcPr>
            <w:tcW w:w="884"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≤50万元</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差旅成本</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≤158万元</w:t>
            </w:r>
          </w:p>
        </w:tc>
        <w:tc>
          <w:tcPr>
            <w:tcW w:w="884"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≤158万元</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设备购置成本</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≤1</w:t>
            </w:r>
            <w:r>
              <w:rPr>
                <w:rFonts w:ascii="仿宋" w:hAnsi="仿宋" w:eastAsia="仿宋" w:cs="Arial"/>
                <w:kern w:val="0"/>
                <w:sz w:val="20"/>
                <w:szCs w:val="20"/>
              </w:rPr>
              <w:t>.1</w:t>
            </w:r>
            <w:r>
              <w:rPr>
                <w:rFonts w:hint="eastAsia" w:ascii="仿宋" w:hAnsi="仿宋" w:eastAsia="仿宋" w:cs="Arial"/>
                <w:kern w:val="0"/>
                <w:sz w:val="20"/>
                <w:szCs w:val="20"/>
              </w:rPr>
              <w:t>万元</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≤1</w:t>
            </w:r>
            <w:r>
              <w:rPr>
                <w:rFonts w:ascii="仿宋" w:hAnsi="仿宋" w:eastAsia="仿宋" w:cs="Arial"/>
                <w:kern w:val="0"/>
                <w:sz w:val="20"/>
                <w:szCs w:val="20"/>
              </w:rPr>
              <w:t>.1</w:t>
            </w:r>
            <w:r>
              <w:rPr>
                <w:rFonts w:hint="eastAsia" w:ascii="仿宋" w:hAnsi="仿宋" w:eastAsia="仿宋" w:cs="Arial"/>
                <w:kern w:val="0"/>
                <w:sz w:val="20"/>
                <w:szCs w:val="20"/>
              </w:rPr>
              <w:t>万元</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案件办理成本</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≤3万元</w:t>
            </w:r>
          </w:p>
        </w:tc>
        <w:tc>
          <w:tcPr>
            <w:tcW w:w="884" w:type="dxa"/>
            <w:gridSpan w:val="2"/>
            <w:tcBorders>
              <w:top w:val="nil"/>
              <w:left w:val="nil"/>
              <w:bottom w:val="single" w:color="auto" w:sz="4" w:space="0"/>
              <w:right w:val="single" w:color="auto" w:sz="4" w:space="0"/>
            </w:tcBorders>
            <w:shd w:val="clear" w:color="000000" w:fill="CCE8C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≤3万元</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30分</w:t>
            </w: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经济效益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职工人均增收</w:t>
            </w:r>
          </w:p>
        </w:tc>
        <w:tc>
          <w:tcPr>
            <w:tcW w:w="49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w:t>
            </w: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8</w:t>
            </w:r>
            <w:r>
              <w:rPr>
                <w:rFonts w:hint="eastAsia" w:ascii="仿宋" w:hAnsi="仿宋" w:eastAsia="仿宋" w:cs="Arial"/>
                <w:kern w:val="0"/>
                <w:sz w:val="20"/>
                <w:szCs w:val="20"/>
              </w:rPr>
              <w:t>万元</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8</w:t>
            </w:r>
            <w:r>
              <w:rPr>
                <w:rFonts w:hint="eastAsia" w:ascii="仿宋" w:hAnsi="仿宋" w:eastAsia="仿宋" w:cs="Arial"/>
                <w:kern w:val="0"/>
                <w:sz w:val="20"/>
                <w:szCs w:val="20"/>
              </w:rPr>
              <w:t>万元</w:t>
            </w:r>
          </w:p>
        </w:tc>
        <w:tc>
          <w:tcPr>
            <w:tcW w:w="101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培训对象增收率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帮扶对象增收率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培训带动就业增长率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脱贫摘帽建档立卡贫困户数</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300</w:t>
            </w:r>
            <w:r>
              <w:rPr>
                <w:rFonts w:hint="eastAsia" w:ascii="仿宋" w:hAnsi="仿宋" w:eastAsia="仿宋" w:cs="Arial"/>
                <w:kern w:val="0"/>
                <w:sz w:val="20"/>
                <w:szCs w:val="20"/>
              </w:rPr>
              <w:t>户</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300</w:t>
            </w:r>
            <w:r>
              <w:rPr>
                <w:rFonts w:hint="eastAsia" w:ascii="仿宋" w:hAnsi="仿宋" w:eastAsia="仿宋" w:cs="Arial"/>
                <w:kern w:val="0"/>
                <w:sz w:val="20"/>
                <w:szCs w:val="20"/>
              </w:rPr>
              <w:t>户</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违法违纪案件下降率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能耗下降率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10%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10%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水电能源节约率</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5%</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w:t>
            </w:r>
            <w:r>
              <w:rPr>
                <w:rFonts w:ascii="仿宋" w:hAnsi="仿宋" w:eastAsia="仿宋" w:cs="Arial"/>
                <w:kern w:val="0"/>
                <w:sz w:val="20"/>
                <w:szCs w:val="20"/>
              </w:rPr>
              <w:t>5%</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项目持续发挥作用的期限</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=长期</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=长期</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对本行业未来可持续发展的影响</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满意度指标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10分</w:t>
            </w: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满意度指标</w:t>
            </w: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参加培训人员满意度</w:t>
            </w:r>
          </w:p>
        </w:tc>
        <w:tc>
          <w:tcPr>
            <w:tcW w:w="49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90</w:t>
            </w:r>
            <w:r>
              <w:rPr>
                <w:rFonts w:hint="eastAsia" w:ascii="仿宋" w:hAnsi="仿宋" w:eastAsia="仿宋" w:cs="宋体"/>
                <w:kern w:val="0"/>
                <w:sz w:val="20"/>
                <w:szCs w:val="20"/>
              </w:rPr>
              <w:t>%</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90</w:t>
            </w:r>
            <w:r>
              <w:rPr>
                <w:rFonts w:hint="eastAsia" w:ascii="仿宋" w:hAnsi="仿宋" w:eastAsia="仿宋" w:cs="宋体"/>
                <w:kern w:val="0"/>
                <w:sz w:val="20"/>
                <w:szCs w:val="20"/>
              </w:rPr>
              <w:t>%</w:t>
            </w:r>
          </w:p>
        </w:tc>
        <w:tc>
          <w:tcPr>
            <w:tcW w:w="101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脱贫摘帽建档立卡贫困户满意度</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9</w:t>
            </w:r>
            <w:r>
              <w:rPr>
                <w:rFonts w:hint="eastAsia" w:ascii="仿宋" w:hAnsi="仿宋" w:eastAsia="仿宋" w:cs="宋体"/>
                <w:kern w:val="0"/>
                <w:sz w:val="20"/>
                <w:szCs w:val="20"/>
              </w:rPr>
              <w:t>0%</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9</w:t>
            </w:r>
            <w:r>
              <w:rPr>
                <w:rFonts w:hint="eastAsia" w:ascii="仿宋" w:hAnsi="仿宋" w:eastAsia="仿宋" w:cs="宋体"/>
                <w:kern w:val="0"/>
                <w:sz w:val="20"/>
                <w:szCs w:val="20"/>
              </w:rPr>
              <w:t>0%</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社会公众投诉次数</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w:t>
            </w:r>
            <w:r>
              <w:rPr>
                <w:rFonts w:hint="eastAsia" w:ascii="仿宋" w:hAnsi="仿宋" w:eastAsia="仿宋" w:cs="Arial"/>
                <w:kern w:val="0"/>
                <w:sz w:val="20"/>
                <w:szCs w:val="20"/>
              </w:rPr>
              <w:t>次</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w:t>
            </w:r>
            <w:r>
              <w:rPr>
                <w:rFonts w:hint="eastAsia" w:ascii="仿宋" w:hAnsi="仿宋" w:eastAsia="仿宋" w:cs="Arial"/>
                <w:kern w:val="0"/>
                <w:sz w:val="20"/>
                <w:szCs w:val="20"/>
              </w:rPr>
              <w:t>次</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5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5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0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178" w:type="dxa"/>
            <w:tcBorders>
              <w:top w:val="nil"/>
              <w:left w:val="nil"/>
              <w:bottom w:val="single" w:color="auto" w:sz="4" w:space="0"/>
              <w:right w:val="single" w:color="auto" w:sz="4" w:space="0"/>
            </w:tcBorders>
            <w:shd w:val="clear" w:color="000000" w:fill="CCE8C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基层群众对教育科技和体育工作的满意度</w:t>
            </w:r>
          </w:p>
        </w:tc>
        <w:tc>
          <w:tcPr>
            <w:tcW w:w="49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0"/>
                <w:szCs w:val="20"/>
              </w:rPr>
            </w:pPr>
          </w:p>
        </w:tc>
        <w:tc>
          <w:tcPr>
            <w:tcW w:w="133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90</w:t>
            </w:r>
            <w:r>
              <w:rPr>
                <w:rFonts w:hint="eastAsia" w:ascii="仿宋" w:hAnsi="仿宋" w:eastAsia="仿宋" w:cs="宋体"/>
                <w:kern w:val="0"/>
                <w:sz w:val="20"/>
                <w:szCs w:val="20"/>
              </w:rPr>
              <w:t>%</w:t>
            </w:r>
          </w:p>
        </w:tc>
        <w:tc>
          <w:tcPr>
            <w:tcW w:w="88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90</w:t>
            </w:r>
            <w:r>
              <w:rPr>
                <w:rFonts w:hint="eastAsia" w:ascii="仿宋" w:hAnsi="仿宋" w:eastAsia="仿宋" w:cs="宋体"/>
                <w:kern w:val="0"/>
                <w:sz w:val="20"/>
                <w:szCs w:val="20"/>
              </w:rPr>
              <w:t>%</w:t>
            </w:r>
          </w:p>
        </w:tc>
        <w:tc>
          <w:tcPr>
            <w:tcW w:w="101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5" w:hRule="atLeast"/>
          <w:jc w:val="center"/>
        </w:trPr>
        <w:tc>
          <w:tcPr>
            <w:tcW w:w="329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总分</w:t>
            </w:r>
          </w:p>
        </w:tc>
        <w:tc>
          <w:tcPr>
            <w:tcW w:w="498"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100</w:t>
            </w:r>
          </w:p>
        </w:tc>
        <w:tc>
          <w:tcPr>
            <w:tcW w:w="22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1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100</w:t>
            </w:r>
          </w:p>
        </w:tc>
        <w:tc>
          <w:tcPr>
            <w:tcW w:w="181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bl>
    <w:p>
      <w:pPr>
        <w:spacing w:line="580" w:lineRule="exact"/>
        <w:ind w:firstLine="600" w:firstLineChars="200"/>
        <w:rPr>
          <w:rFonts w:hint="eastAsia" w:ascii="仿宋" w:hAnsi="仿宋" w:eastAsia="仿宋" w:cs="仿宋_GB2312"/>
          <w:sz w:val="30"/>
          <w:szCs w:val="30"/>
        </w:rPr>
      </w:pPr>
    </w:p>
    <w:p>
      <w:pPr>
        <w:spacing w:line="580" w:lineRule="exact"/>
        <w:ind w:firstLine="600" w:firstLineChars="200"/>
        <w:rPr>
          <w:rFonts w:hint="eastAsia" w:ascii="仿宋" w:hAnsi="仿宋" w:eastAsia="仿宋" w:cs="仿宋_GB2312"/>
          <w:sz w:val="30"/>
          <w:szCs w:val="30"/>
        </w:rPr>
      </w:pPr>
    </w:p>
    <w:p>
      <w:pPr>
        <w:spacing w:line="580" w:lineRule="exact"/>
        <w:ind w:firstLine="600" w:firstLineChars="200"/>
        <w:rPr>
          <w:rFonts w:hint="eastAsia" w:ascii="仿宋" w:hAnsi="仿宋" w:eastAsia="仿宋" w:cs="仿宋_GB2312"/>
          <w:sz w:val="30"/>
          <w:szCs w:val="30"/>
        </w:rPr>
      </w:pPr>
    </w:p>
    <w:p>
      <w:pPr>
        <w:spacing w:line="580" w:lineRule="exact"/>
        <w:ind w:firstLine="600" w:firstLineChars="200"/>
        <w:rPr>
          <w:rFonts w:hint="eastAsia" w:ascii="仿宋" w:hAnsi="仿宋" w:eastAsia="仿宋" w:cs="仿宋_GB2312"/>
          <w:sz w:val="30"/>
          <w:szCs w:val="30"/>
        </w:rPr>
      </w:pP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附件2</w:t>
      </w:r>
    </w:p>
    <w:tbl>
      <w:tblPr>
        <w:tblStyle w:val="7"/>
        <w:tblW w:w="4995" w:type="pct"/>
        <w:tblInd w:w="0" w:type="dxa"/>
        <w:tblLayout w:type="autofit"/>
        <w:tblCellMar>
          <w:top w:w="0" w:type="dxa"/>
          <w:left w:w="108" w:type="dxa"/>
          <w:bottom w:w="0" w:type="dxa"/>
          <w:right w:w="108" w:type="dxa"/>
        </w:tblCellMar>
      </w:tblPr>
      <w:tblGrid>
        <w:gridCol w:w="814"/>
        <w:gridCol w:w="504"/>
        <w:gridCol w:w="791"/>
        <w:gridCol w:w="791"/>
        <w:gridCol w:w="229"/>
        <w:gridCol w:w="714"/>
        <w:gridCol w:w="1366"/>
        <w:gridCol w:w="1366"/>
        <w:gridCol w:w="651"/>
        <w:gridCol w:w="791"/>
        <w:gridCol w:w="505"/>
      </w:tblGrid>
      <w:tr>
        <w:tblPrEx>
          <w:tblCellMar>
            <w:top w:w="0" w:type="dxa"/>
            <w:left w:w="108" w:type="dxa"/>
            <w:bottom w:w="0" w:type="dxa"/>
            <w:right w:w="108" w:type="dxa"/>
          </w:tblCellMar>
        </w:tblPrEx>
        <w:trPr>
          <w:trHeight w:val="330" w:hRule="atLeast"/>
        </w:trPr>
        <w:tc>
          <w:tcPr>
            <w:tcW w:w="477"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295"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463"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463"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131"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423"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800"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800"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382"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463" w:type="pct"/>
            <w:tcBorders>
              <w:top w:val="nil"/>
              <w:left w:val="nil"/>
              <w:bottom w:val="nil"/>
              <w:right w:val="nil"/>
            </w:tcBorders>
            <w:vAlign w:val="center"/>
          </w:tcPr>
          <w:p>
            <w:pPr>
              <w:widowControl/>
              <w:jc w:val="left"/>
              <w:rPr>
                <w:rFonts w:ascii="仿宋" w:hAnsi="仿宋" w:eastAsia="仿宋" w:cs="宋体"/>
                <w:kern w:val="0"/>
                <w:sz w:val="30"/>
                <w:szCs w:val="30"/>
              </w:rPr>
            </w:pPr>
          </w:p>
        </w:tc>
        <w:tc>
          <w:tcPr>
            <w:tcW w:w="296" w:type="pct"/>
            <w:tcBorders>
              <w:top w:val="nil"/>
              <w:left w:val="nil"/>
              <w:bottom w:val="nil"/>
              <w:right w:val="nil"/>
            </w:tcBorders>
            <w:vAlign w:val="center"/>
          </w:tcPr>
          <w:p>
            <w:pPr>
              <w:widowControl/>
              <w:jc w:val="left"/>
              <w:rPr>
                <w:rFonts w:ascii="仿宋" w:hAnsi="仿宋" w:eastAsia="仿宋" w:cs="宋体"/>
                <w:kern w:val="0"/>
                <w:sz w:val="30"/>
                <w:szCs w:val="30"/>
              </w:rPr>
            </w:pPr>
          </w:p>
        </w:tc>
      </w:tr>
      <w:tr>
        <w:tblPrEx>
          <w:tblCellMar>
            <w:top w:w="0" w:type="dxa"/>
            <w:left w:w="108" w:type="dxa"/>
            <w:bottom w:w="0" w:type="dxa"/>
            <w:right w:w="108" w:type="dxa"/>
          </w:tblCellMar>
        </w:tblPrEx>
        <w:trPr>
          <w:trHeight w:val="480" w:hRule="atLeast"/>
        </w:trPr>
        <w:tc>
          <w:tcPr>
            <w:tcW w:w="5000" w:type="pct"/>
            <w:gridSpan w:val="11"/>
            <w:tcBorders>
              <w:top w:val="nil"/>
              <w:left w:val="nil"/>
              <w:bottom w:val="nil"/>
              <w:right w:val="nil"/>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绩效目标自评表</w:t>
            </w:r>
            <w:r>
              <w:rPr>
                <w:rFonts w:hint="eastAsia" w:ascii="仿宋" w:hAnsi="仿宋" w:eastAsia="仿宋" w:cs="宋体"/>
                <w:color w:val="000000"/>
                <w:kern w:val="0"/>
                <w:sz w:val="30"/>
                <w:szCs w:val="30"/>
              </w:rPr>
              <w:t xml:space="preserve"> </w:t>
            </w:r>
          </w:p>
        </w:tc>
      </w:tr>
      <w:tr>
        <w:tblPrEx>
          <w:tblCellMar>
            <w:top w:w="0" w:type="dxa"/>
            <w:left w:w="108" w:type="dxa"/>
            <w:bottom w:w="0" w:type="dxa"/>
            <w:right w:w="108" w:type="dxa"/>
          </w:tblCellMar>
        </w:tblPrEx>
        <w:trPr>
          <w:trHeight w:val="285" w:hRule="atLeast"/>
        </w:trPr>
        <w:tc>
          <w:tcPr>
            <w:tcW w:w="5000" w:type="pct"/>
            <w:gridSpan w:val="11"/>
            <w:tcBorders>
              <w:top w:val="nil"/>
              <w:left w:val="nil"/>
              <w:bottom w:val="single" w:color="auto" w:sz="4" w:space="0"/>
              <w:right w:val="nil"/>
            </w:tcBorders>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（2020年度）</w:t>
            </w:r>
          </w:p>
        </w:tc>
      </w:tr>
      <w:tr>
        <w:tblPrEx>
          <w:tblCellMar>
            <w:top w:w="0" w:type="dxa"/>
            <w:left w:w="108" w:type="dxa"/>
            <w:bottom w:w="0" w:type="dxa"/>
            <w:right w:w="108" w:type="dxa"/>
          </w:tblCellMar>
        </w:tblPrEx>
        <w:trPr>
          <w:trHeight w:val="555" w:hRule="atLeast"/>
        </w:trPr>
        <w:tc>
          <w:tcPr>
            <w:tcW w:w="123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项目名称</w:t>
            </w:r>
          </w:p>
        </w:tc>
        <w:tc>
          <w:tcPr>
            <w:tcW w:w="1018"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教育项目前期工作经费</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项目负责人及电话</w:t>
            </w:r>
          </w:p>
        </w:tc>
        <w:tc>
          <w:tcPr>
            <w:tcW w:w="1943"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李博13350239088</w:t>
            </w:r>
          </w:p>
        </w:tc>
      </w:tr>
      <w:tr>
        <w:tblPrEx>
          <w:tblCellMar>
            <w:top w:w="0" w:type="dxa"/>
            <w:left w:w="108" w:type="dxa"/>
            <w:bottom w:w="0" w:type="dxa"/>
            <w:right w:w="108" w:type="dxa"/>
          </w:tblCellMar>
        </w:tblPrEx>
        <w:trPr>
          <w:trHeight w:val="300" w:hRule="atLeast"/>
        </w:trPr>
        <w:tc>
          <w:tcPr>
            <w:tcW w:w="123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主管部门</w:t>
            </w:r>
          </w:p>
        </w:tc>
        <w:tc>
          <w:tcPr>
            <w:tcW w:w="1018" w:type="pct"/>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通江县教育科技体育局</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实施单位</w:t>
            </w:r>
          </w:p>
        </w:tc>
        <w:tc>
          <w:tcPr>
            <w:tcW w:w="1943"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通江县文峰金山茶业有限责任公司</w:t>
            </w:r>
          </w:p>
        </w:tc>
      </w:tr>
      <w:tr>
        <w:tblPrEx>
          <w:tblCellMar>
            <w:top w:w="0" w:type="dxa"/>
            <w:left w:w="108" w:type="dxa"/>
            <w:bottom w:w="0" w:type="dxa"/>
            <w:right w:w="108" w:type="dxa"/>
          </w:tblCellMar>
        </w:tblPrEx>
        <w:trPr>
          <w:trHeight w:val="465" w:hRule="atLeast"/>
        </w:trPr>
        <w:tc>
          <w:tcPr>
            <w:tcW w:w="1237"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资金情况</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（万元）</w:t>
            </w: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55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全年预算数（A）</w:t>
            </w:r>
          </w:p>
        </w:tc>
        <w:tc>
          <w:tcPr>
            <w:tcW w:w="160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全年执行数（B）</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46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执行率</w:t>
            </w:r>
          </w:p>
        </w:tc>
        <w:tc>
          <w:tcPr>
            <w:tcW w:w="29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r>
      <w:tr>
        <w:tblPrEx>
          <w:tblCellMar>
            <w:top w:w="0" w:type="dxa"/>
            <w:left w:w="108" w:type="dxa"/>
            <w:bottom w:w="0" w:type="dxa"/>
            <w:right w:w="108" w:type="dxa"/>
          </w:tblCellMar>
        </w:tblPrEx>
        <w:trPr>
          <w:trHeight w:val="282" w:hRule="atLeast"/>
        </w:trPr>
        <w:tc>
          <w:tcPr>
            <w:tcW w:w="1237"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年度资金总额：</w:t>
            </w:r>
          </w:p>
        </w:tc>
        <w:tc>
          <w:tcPr>
            <w:tcW w:w="55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60.1</w:t>
            </w:r>
          </w:p>
        </w:tc>
        <w:tc>
          <w:tcPr>
            <w:tcW w:w="160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60.1</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9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82" w:hRule="atLeast"/>
        </w:trPr>
        <w:tc>
          <w:tcPr>
            <w:tcW w:w="1237"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其中：本年财政拨款</w:t>
            </w:r>
          </w:p>
        </w:tc>
        <w:tc>
          <w:tcPr>
            <w:tcW w:w="55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60.1</w:t>
            </w:r>
          </w:p>
        </w:tc>
        <w:tc>
          <w:tcPr>
            <w:tcW w:w="160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60.1</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9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trHeight w:val="282" w:hRule="atLeast"/>
        </w:trPr>
        <w:tc>
          <w:tcPr>
            <w:tcW w:w="1237"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其他资金</w:t>
            </w:r>
          </w:p>
        </w:tc>
        <w:tc>
          <w:tcPr>
            <w:tcW w:w="55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160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9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trHeight w:val="282" w:hRule="atLeast"/>
        </w:trPr>
        <w:tc>
          <w:tcPr>
            <w:tcW w:w="47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w:t>
            </w:r>
          </w:p>
        </w:tc>
        <w:tc>
          <w:tcPr>
            <w:tcW w:w="1778"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年初设定目标</w:t>
            </w:r>
          </w:p>
        </w:tc>
        <w:tc>
          <w:tcPr>
            <w:tcW w:w="2743"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年度总体目标完成情况综述</w:t>
            </w:r>
          </w:p>
        </w:tc>
      </w:tr>
      <w:tr>
        <w:tblPrEx>
          <w:tblCellMar>
            <w:top w:w="0" w:type="dxa"/>
            <w:left w:w="108" w:type="dxa"/>
            <w:bottom w:w="0" w:type="dxa"/>
            <w:right w:w="108" w:type="dxa"/>
          </w:tblCellMar>
        </w:tblPrEx>
        <w:trPr>
          <w:trHeight w:val="975"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1778" w:type="pct"/>
            <w:gridSpan w:val="5"/>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全县教育系统基建项目管理工作，规范基建管理行为，做好教育项目申报、储备、实施等前期工作，认真指导，强化监管，确保“薄弱学校改造”等教育项目按时、按质、按量完工，为学生提供良好的学习环境。 </w:t>
            </w:r>
          </w:p>
        </w:tc>
        <w:tc>
          <w:tcPr>
            <w:tcW w:w="2743" w:type="pct"/>
            <w:gridSpan w:val="5"/>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全县教育系统基建项目管理工作，规范基建管理行为，做好教育项目申报、储备、实施等前期工作，认真指导，强化监管，确保“薄弱学校改造”等教育项目按时、按质、按量完工，为学生提供良好的学习环境。 </w:t>
            </w:r>
          </w:p>
        </w:tc>
      </w:tr>
      <w:tr>
        <w:tblPrEx>
          <w:tblCellMar>
            <w:top w:w="0" w:type="dxa"/>
            <w:left w:w="108" w:type="dxa"/>
            <w:bottom w:w="0" w:type="dxa"/>
            <w:right w:w="108" w:type="dxa"/>
          </w:tblCellMar>
        </w:tblPrEx>
        <w:trPr>
          <w:trHeight w:val="559" w:hRule="atLeast"/>
        </w:trPr>
        <w:tc>
          <w:tcPr>
            <w:tcW w:w="477" w:type="pct"/>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绩效指标</w:t>
            </w:r>
          </w:p>
        </w:tc>
        <w:tc>
          <w:tcPr>
            <w:tcW w:w="29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一级</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指标</w:t>
            </w:r>
          </w:p>
        </w:tc>
        <w:tc>
          <w:tcPr>
            <w:tcW w:w="46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二级指标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三级指标</w:t>
            </w:r>
          </w:p>
        </w:tc>
        <w:tc>
          <w:tcPr>
            <w:tcW w:w="42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年度指标值</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全年实际值</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未完成原因及拟采取的改进措施</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产</w:t>
            </w:r>
            <w:r>
              <w:rPr>
                <w:rFonts w:hint="eastAsia" w:ascii="仿宋" w:hAnsi="仿宋" w:eastAsia="仿宋" w:cs="宋体"/>
                <w:kern w:val="0"/>
                <w:sz w:val="30"/>
                <w:szCs w:val="30"/>
              </w:rPr>
              <w:br w:type="textWrapping"/>
            </w:r>
            <w:r>
              <w:rPr>
                <w:rFonts w:hint="eastAsia" w:ascii="仿宋" w:hAnsi="仿宋" w:eastAsia="仿宋" w:cs="宋体"/>
                <w:kern w:val="0"/>
                <w:sz w:val="30"/>
                <w:szCs w:val="30"/>
              </w:rPr>
              <w:t>出</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50分</w:t>
            </w:r>
          </w:p>
        </w:tc>
        <w:tc>
          <w:tcPr>
            <w:tcW w:w="46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数量指标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“薄弱学校改造项目”等教育项</w:t>
            </w:r>
            <w:r>
              <w:rPr>
                <w:rFonts w:hint="eastAsia" w:ascii="仿宋" w:hAnsi="仿宋" w:eastAsia="仿宋" w:cs="宋体"/>
                <w:color w:val="000000"/>
                <w:kern w:val="0"/>
                <w:sz w:val="30"/>
                <w:szCs w:val="30"/>
                <w:lang w:val="en-US" w:eastAsia="zh-CN"/>
              </w:rPr>
              <w:t>目</w:t>
            </w:r>
            <w:r>
              <w:rPr>
                <w:rFonts w:hint="eastAsia" w:ascii="仿宋" w:hAnsi="仿宋" w:eastAsia="仿宋" w:cs="宋体"/>
                <w:color w:val="000000"/>
                <w:kern w:val="0"/>
                <w:sz w:val="30"/>
                <w:szCs w:val="30"/>
              </w:rPr>
              <w:t>实施</w:t>
            </w:r>
          </w:p>
        </w:tc>
        <w:tc>
          <w:tcPr>
            <w:tcW w:w="42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≥30个</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≥30个</w:t>
            </w:r>
          </w:p>
        </w:tc>
        <w:tc>
          <w:tcPr>
            <w:tcW w:w="382"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校舍维修改造资金及其他项目</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≥40个</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≥40个</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质量指标</w:t>
            </w:r>
          </w:p>
        </w:tc>
        <w:tc>
          <w:tcPr>
            <w:tcW w:w="595"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教育项目申报、储备、实施等前期工作达标率</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项目实施合格率</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465"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时效指标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教育项目申报、储备、实施等前期工作实施时间</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2020年11月以前</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2020年11月以前</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360"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项目实施时段</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2020年1--12月</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2020年1--12月</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成本指标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项目可研、地灾评估等前期费用</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≤30万元</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≤30万元</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开支差旅费用</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≥30万元</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≥30万元</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30"/>
                <w:szCs w:val="30"/>
              </w:rPr>
            </w:pPr>
          </w:p>
        </w:tc>
        <w:tc>
          <w:tcPr>
            <w:tcW w:w="463"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效</w:t>
            </w:r>
            <w:r>
              <w:rPr>
                <w:rFonts w:hint="eastAsia" w:ascii="仿宋" w:hAnsi="仿宋" w:eastAsia="仿宋" w:cs="宋体"/>
                <w:kern w:val="0"/>
                <w:sz w:val="30"/>
                <w:szCs w:val="30"/>
              </w:rPr>
              <w:br w:type="textWrapping"/>
            </w:r>
            <w:r>
              <w:rPr>
                <w:rFonts w:hint="eastAsia" w:ascii="仿宋" w:hAnsi="仿宋" w:eastAsia="仿宋" w:cs="宋体"/>
                <w:kern w:val="0"/>
                <w:sz w:val="30"/>
                <w:szCs w:val="30"/>
              </w:rPr>
              <w:t>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30分</w:t>
            </w: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经济效益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项目实施人员生活和公杂</w:t>
            </w:r>
            <w:r>
              <w:rPr>
                <w:rFonts w:hint="eastAsia" w:ascii="仿宋" w:hAnsi="仿宋" w:eastAsia="仿宋" w:cs="宋体"/>
                <w:color w:val="000000"/>
                <w:kern w:val="0"/>
                <w:sz w:val="30"/>
                <w:szCs w:val="30"/>
                <w:lang w:val="en-US" w:eastAsia="zh-CN"/>
              </w:rPr>
              <w:t>费</w:t>
            </w:r>
            <w:r>
              <w:rPr>
                <w:rFonts w:hint="eastAsia" w:ascii="仿宋" w:hAnsi="仿宋" w:eastAsia="仿宋" w:cs="宋体"/>
                <w:color w:val="000000"/>
                <w:kern w:val="0"/>
                <w:sz w:val="30"/>
                <w:szCs w:val="30"/>
              </w:rPr>
              <w:t>补助增收</w:t>
            </w:r>
          </w:p>
        </w:tc>
        <w:tc>
          <w:tcPr>
            <w:tcW w:w="42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130—180元</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130—180元</w:t>
            </w:r>
          </w:p>
        </w:tc>
        <w:tc>
          <w:tcPr>
            <w:tcW w:w="382"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项目实施单位增加收入</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≥10万元以上</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≥10万元以上</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社会效益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项目带动精准识别户脱贫</w:t>
            </w:r>
            <w:r>
              <w:rPr>
                <w:rFonts w:hint="eastAsia" w:ascii="仿宋" w:hAnsi="仿宋" w:eastAsia="仿宋" w:cs="宋体"/>
                <w:color w:val="000000"/>
                <w:kern w:val="0"/>
                <w:sz w:val="30"/>
                <w:szCs w:val="30"/>
                <w:lang w:val="en-US" w:eastAsia="zh-CN"/>
              </w:rPr>
              <w:t>人</w:t>
            </w:r>
            <w:r>
              <w:rPr>
                <w:rFonts w:hint="eastAsia" w:ascii="仿宋" w:hAnsi="仿宋" w:eastAsia="仿宋" w:cs="宋体"/>
                <w:color w:val="000000"/>
                <w:kern w:val="0"/>
                <w:sz w:val="30"/>
                <w:szCs w:val="30"/>
              </w:rPr>
              <w:t>数</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55</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55</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项目产业吸纳精准识别贫困人口就业人数</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1987</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1987</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生态效益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能耗下降率</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水电能源节约率</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可持续影响指标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项目持续发挥作用的期限</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对本行业未来可持续发展的影响</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满意度指标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10分</w:t>
            </w:r>
          </w:p>
        </w:tc>
        <w:tc>
          <w:tcPr>
            <w:tcW w:w="463"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服务对象</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满意度指标</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带动精准识别满意度</w:t>
            </w:r>
          </w:p>
        </w:tc>
        <w:tc>
          <w:tcPr>
            <w:tcW w:w="42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产业吸纳就业满意度</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315"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项目带动满意度</w:t>
            </w:r>
          </w:p>
        </w:tc>
        <w:tc>
          <w:tcPr>
            <w:tcW w:w="42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82"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469" w:hRule="atLeast"/>
        </w:trPr>
        <w:tc>
          <w:tcPr>
            <w:tcW w:w="47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9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63"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59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23"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82"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720" w:hRule="atLeast"/>
        </w:trPr>
        <w:tc>
          <w:tcPr>
            <w:tcW w:w="1832"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总分</w:t>
            </w:r>
          </w:p>
        </w:tc>
        <w:tc>
          <w:tcPr>
            <w:tcW w:w="423" w:type="pct"/>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160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　</w:t>
            </w:r>
          </w:p>
        </w:tc>
        <w:tc>
          <w:tcPr>
            <w:tcW w:w="382" w:type="pct"/>
            <w:tcBorders>
              <w:top w:val="nil"/>
              <w:left w:val="nil"/>
              <w:bottom w:val="single" w:color="auto" w:sz="4" w:space="0"/>
              <w:right w:val="single" w:color="auto" w:sz="4" w:space="0"/>
            </w:tcBorders>
            <w:vAlign w:val="center"/>
          </w:tcPr>
          <w:p>
            <w:pPr>
              <w:widowControl/>
              <w:jc w:val="righ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760"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bl>
    <w:p>
      <w:pPr>
        <w:spacing w:line="580" w:lineRule="exact"/>
        <w:ind w:firstLine="600" w:firstLineChars="200"/>
        <w:rPr>
          <w:rFonts w:hint="eastAsia" w:ascii="仿宋" w:hAnsi="仿宋" w:eastAsia="仿宋" w:cs="仿宋_GB2312"/>
          <w:sz w:val="30"/>
          <w:szCs w:val="30"/>
        </w:rPr>
      </w:pP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附件3</w:t>
      </w:r>
    </w:p>
    <w:tbl>
      <w:tblPr>
        <w:tblStyle w:val="7"/>
        <w:tblW w:w="5000" w:type="pct"/>
        <w:tblInd w:w="0" w:type="dxa"/>
        <w:tblLayout w:type="autofit"/>
        <w:tblCellMar>
          <w:top w:w="0" w:type="dxa"/>
          <w:left w:w="108" w:type="dxa"/>
          <w:bottom w:w="0" w:type="dxa"/>
          <w:right w:w="108" w:type="dxa"/>
        </w:tblCellMar>
      </w:tblPr>
      <w:tblGrid>
        <w:gridCol w:w="675"/>
        <w:gridCol w:w="569"/>
        <w:gridCol w:w="748"/>
        <w:gridCol w:w="2013"/>
        <w:gridCol w:w="501"/>
        <w:gridCol w:w="539"/>
        <w:gridCol w:w="963"/>
        <w:gridCol w:w="735"/>
        <w:gridCol w:w="557"/>
        <w:gridCol w:w="723"/>
        <w:gridCol w:w="499"/>
      </w:tblGrid>
      <w:tr>
        <w:tblPrEx>
          <w:tblCellMar>
            <w:top w:w="0" w:type="dxa"/>
            <w:left w:w="108" w:type="dxa"/>
            <w:bottom w:w="0" w:type="dxa"/>
            <w:right w:w="108" w:type="dxa"/>
          </w:tblCellMar>
        </w:tblPrEx>
        <w:trPr>
          <w:trHeight w:val="510" w:hRule="atLeast"/>
        </w:trPr>
        <w:tc>
          <w:tcPr>
            <w:tcW w:w="5000" w:type="pct"/>
            <w:gridSpan w:val="11"/>
            <w:tcBorders>
              <w:top w:val="nil"/>
              <w:left w:val="nil"/>
              <w:bottom w:val="nil"/>
              <w:right w:val="nil"/>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绩效目标自评表</w:t>
            </w:r>
            <w:r>
              <w:rPr>
                <w:rFonts w:hint="eastAsia" w:ascii="仿宋" w:hAnsi="仿宋" w:eastAsia="仿宋" w:cs="宋体"/>
                <w:color w:val="000000"/>
                <w:kern w:val="0"/>
                <w:sz w:val="20"/>
                <w:szCs w:val="20"/>
              </w:rPr>
              <w:t xml:space="preserve"> </w:t>
            </w:r>
          </w:p>
        </w:tc>
      </w:tr>
      <w:tr>
        <w:tblPrEx>
          <w:tblCellMar>
            <w:top w:w="0" w:type="dxa"/>
            <w:left w:w="108" w:type="dxa"/>
            <w:bottom w:w="0" w:type="dxa"/>
            <w:right w:w="108" w:type="dxa"/>
          </w:tblCellMar>
        </w:tblPrEx>
        <w:trPr>
          <w:trHeight w:val="315" w:hRule="atLeast"/>
        </w:trPr>
        <w:tc>
          <w:tcPr>
            <w:tcW w:w="5000" w:type="pct"/>
            <w:gridSpan w:val="11"/>
            <w:tcBorders>
              <w:top w:val="nil"/>
              <w:left w:val="nil"/>
              <w:bottom w:val="single" w:color="auto" w:sz="4" w:space="0"/>
              <w:right w:val="nil"/>
            </w:tcBorders>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（2020年度）</w:t>
            </w:r>
          </w:p>
        </w:tc>
      </w:tr>
      <w:tr>
        <w:tblPrEx>
          <w:tblCellMar>
            <w:top w:w="0" w:type="dxa"/>
            <w:left w:w="108" w:type="dxa"/>
            <w:bottom w:w="0" w:type="dxa"/>
            <w:right w:w="108" w:type="dxa"/>
          </w:tblCellMar>
        </w:tblPrEx>
        <w:trPr>
          <w:trHeight w:val="555" w:hRule="atLeast"/>
        </w:trPr>
        <w:tc>
          <w:tcPr>
            <w:tcW w:w="116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1790"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科技信息员专家补助费用</w:t>
            </w: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项目负责人及电话</w:t>
            </w:r>
          </w:p>
        </w:tc>
        <w:tc>
          <w:tcPr>
            <w:tcW w:w="1474"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牟美霖13778779882</w:t>
            </w:r>
          </w:p>
        </w:tc>
      </w:tr>
      <w:tr>
        <w:tblPrEx>
          <w:tblCellMar>
            <w:top w:w="0" w:type="dxa"/>
            <w:left w:w="108" w:type="dxa"/>
            <w:bottom w:w="0" w:type="dxa"/>
            <w:right w:w="108" w:type="dxa"/>
          </w:tblCellMar>
        </w:tblPrEx>
        <w:trPr>
          <w:trHeight w:val="300" w:hRule="atLeast"/>
        </w:trPr>
        <w:tc>
          <w:tcPr>
            <w:tcW w:w="116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主管部门</w:t>
            </w:r>
          </w:p>
        </w:tc>
        <w:tc>
          <w:tcPr>
            <w:tcW w:w="1790" w:type="pct"/>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通江县教育科技和体育局</w:t>
            </w: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实施单位</w:t>
            </w:r>
          </w:p>
        </w:tc>
        <w:tc>
          <w:tcPr>
            <w:tcW w:w="1474"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通江县惠民农村产业技术服务中心</w:t>
            </w:r>
          </w:p>
        </w:tc>
      </w:tr>
      <w:tr>
        <w:tblPrEx>
          <w:tblCellMar>
            <w:top w:w="0" w:type="dxa"/>
            <w:left w:w="108" w:type="dxa"/>
            <w:bottom w:w="0" w:type="dxa"/>
            <w:right w:w="108" w:type="dxa"/>
          </w:tblCellMar>
        </w:tblPrEx>
        <w:trPr>
          <w:trHeight w:val="465" w:hRule="atLeast"/>
        </w:trPr>
        <w:tc>
          <w:tcPr>
            <w:tcW w:w="1169"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资金情况</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（万元）</w:t>
            </w:r>
          </w:p>
        </w:tc>
        <w:tc>
          <w:tcPr>
            <w:tcW w:w="118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09"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全年预算数（A）</w:t>
            </w:r>
          </w:p>
        </w:tc>
        <w:tc>
          <w:tcPr>
            <w:tcW w:w="99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全年执行数（B）</w:t>
            </w:r>
          </w:p>
        </w:tc>
        <w:tc>
          <w:tcPr>
            <w:tcW w:w="32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分值</w:t>
            </w:r>
          </w:p>
        </w:tc>
        <w:tc>
          <w:tcPr>
            <w:tcW w:w="42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执行率</w:t>
            </w:r>
          </w:p>
        </w:tc>
        <w:tc>
          <w:tcPr>
            <w:tcW w:w="29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116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8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年度资金总额：</w:t>
            </w:r>
          </w:p>
        </w:tc>
        <w:tc>
          <w:tcPr>
            <w:tcW w:w="609"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99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32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424"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100%</w:t>
            </w:r>
          </w:p>
        </w:tc>
        <w:tc>
          <w:tcPr>
            <w:tcW w:w="29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r>
      <w:tr>
        <w:tblPrEx>
          <w:tblCellMar>
            <w:top w:w="0" w:type="dxa"/>
            <w:left w:w="108" w:type="dxa"/>
            <w:bottom w:w="0" w:type="dxa"/>
            <w:right w:w="108" w:type="dxa"/>
          </w:tblCellMar>
        </w:tblPrEx>
        <w:trPr>
          <w:trHeight w:val="282" w:hRule="atLeast"/>
        </w:trPr>
        <w:tc>
          <w:tcPr>
            <w:tcW w:w="116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8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其中：本年财政拨款</w:t>
            </w:r>
          </w:p>
        </w:tc>
        <w:tc>
          <w:tcPr>
            <w:tcW w:w="609"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99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22.702</w:t>
            </w:r>
          </w:p>
        </w:tc>
        <w:tc>
          <w:tcPr>
            <w:tcW w:w="32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424"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100%</w:t>
            </w:r>
          </w:p>
        </w:tc>
        <w:tc>
          <w:tcPr>
            <w:tcW w:w="29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r>
      <w:tr>
        <w:tblPrEx>
          <w:tblCellMar>
            <w:top w:w="0" w:type="dxa"/>
            <w:left w:w="108" w:type="dxa"/>
            <w:bottom w:w="0" w:type="dxa"/>
            <w:right w:w="108" w:type="dxa"/>
          </w:tblCellMar>
        </w:tblPrEx>
        <w:trPr>
          <w:trHeight w:val="282" w:hRule="atLeast"/>
        </w:trPr>
        <w:tc>
          <w:tcPr>
            <w:tcW w:w="116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8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其他资金</w:t>
            </w:r>
          </w:p>
        </w:tc>
        <w:tc>
          <w:tcPr>
            <w:tcW w:w="609"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99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424"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9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r>
      <w:tr>
        <w:tblPrEx>
          <w:tblCellMar>
            <w:top w:w="0" w:type="dxa"/>
            <w:left w:w="108" w:type="dxa"/>
            <w:bottom w:w="0" w:type="dxa"/>
            <w:right w:w="108" w:type="dxa"/>
          </w:tblCellMar>
        </w:tblPrEx>
        <w:trPr>
          <w:trHeight w:val="282" w:hRule="atLeast"/>
        </w:trPr>
        <w:tc>
          <w:tcPr>
            <w:tcW w:w="39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年度总体目标</w:t>
            </w:r>
          </w:p>
        </w:tc>
        <w:tc>
          <w:tcPr>
            <w:tcW w:w="2563"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年初设定目标</w:t>
            </w:r>
          </w:p>
        </w:tc>
        <w:tc>
          <w:tcPr>
            <w:tcW w:w="2039"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trPr>
        <w:tc>
          <w:tcPr>
            <w:tcW w:w="39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2563" w:type="pct"/>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完成省市下达目标任务及任务合同要求的内容</w:t>
            </w:r>
          </w:p>
        </w:tc>
        <w:tc>
          <w:tcPr>
            <w:tcW w:w="2039" w:type="pct"/>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超额完成省市下达目标任务及任务合同要求的内容</w:t>
            </w:r>
          </w:p>
        </w:tc>
      </w:tr>
      <w:tr>
        <w:tblPrEx>
          <w:tblCellMar>
            <w:top w:w="0" w:type="dxa"/>
            <w:left w:w="108" w:type="dxa"/>
            <w:bottom w:w="0" w:type="dxa"/>
            <w:right w:w="108" w:type="dxa"/>
          </w:tblCellMar>
        </w:tblPrEx>
        <w:trPr>
          <w:trHeight w:val="559" w:hRule="atLeast"/>
        </w:trPr>
        <w:tc>
          <w:tcPr>
            <w:tcW w:w="396" w:type="pct"/>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绩效指标</w:t>
            </w:r>
          </w:p>
        </w:tc>
        <w:tc>
          <w:tcPr>
            <w:tcW w:w="33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指标</w:t>
            </w:r>
          </w:p>
        </w:tc>
        <w:tc>
          <w:tcPr>
            <w:tcW w:w="43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二级指标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三级指标</w:t>
            </w:r>
          </w:p>
        </w:tc>
        <w:tc>
          <w:tcPr>
            <w:tcW w:w="31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分值</w:t>
            </w: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年度指标值</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全年实际值</w:t>
            </w:r>
          </w:p>
        </w:tc>
        <w:tc>
          <w:tcPr>
            <w:tcW w:w="32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得分</w:t>
            </w: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未完成原因及拟采取的改进措施</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50分</w:t>
            </w: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技术咨询（条）</w:t>
            </w:r>
          </w:p>
        </w:tc>
        <w:tc>
          <w:tcPr>
            <w:tcW w:w="31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3311</w:t>
            </w:r>
          </w:p>
        </w:tc>
        <w:tc>
          <w:tcPr>
            <w:tcW w:w="32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供销对接（条）</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18</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技术供给（条）</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产业支撑（条）</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质量指标</w:t>
            </w:r>
          </w:p>
        </w:tc>
        <w:tc>
          <w:tcPr>
            <w:tcW w:w="14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专家解答率或答复率（%）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80</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96</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1181" w:type="pct"/>
            <w:tcBorders>
              <w:top w:val="nil"/>
              <w:left w:val="nil"/>
              <w:bottom w:val="nil"/>
              <w:right w:val="nil"/>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3小时内答复（%）</w:t>
            </w:r>
          </w:p>
        </w:tc>
        <w:tc>
          <w:tcPr>
            <w:tcW w:w="293" w:type="pct"/>
            <w:tcBorders>
              <w:top w:val="nil"/>
              <w:left w:val="nil"/>
              <w:bottom w:val="nil"/>
              <w:right w:val="nil"/>
            </w:tcBorders>
            <w:vAlign w:val="center"/>
          </w:tcPr>
          <w:p>
            <w:pPr>
              <w:widowControl/>
              <w:jc w:val="left"/>
              <w:rPr>
                <w:rFonts w:ascii="仿宋" w:hAnsi="仿宋" w:eastAsia="仿宋" w:cs="宋体"/>
                <w:color w:val="000000"/>
                <w:kern w:val="0"/>
                <w:sz w:val="20"/>
                <w:szCs w:val="20"/>
              </w:rPr>
            </w:pP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70</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77</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成本指标</w:t>
            </w:r>
          </w:p>
        </w:tc>
        <w:tc>
          <w:tcPr>
            <w:tcW w:w="14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平台成本</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≥5万元</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≥5万元</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科技服务差旅成本</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≥15万元</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≥15万元</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办公、印刷成本</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≥2万元</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≥2万元</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30分</w:t>
            </w: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经济效益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避免经济损失（万元）</w:t>
            </w:r>
          </w:p>
        </w:tc>
        <w:tc>
          <w:tcPr>
            <w:tcW w:w="31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32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科学素养有所提升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能耗下降率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10%</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kern w:val="0"/>
                <w:sz w:val="20"/>
                <w:szCs w:val="20"/>
              </w:rPr>
              <w:t>≥</w:t>
            </w:r>
            <w:r>
              <w:rPr>
                <w:rFonts w:ascii="仿宋" w:hAnsi="仿宋" w:eastAsia="仿宋" w:cs="Arial"/>
                <w:kern w:val="0"/>
                <w:sz w:val="20"/>
                <w:szCs w:val="20"/>
              </w:rPr>
              <w:t>10%</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水电能源节约率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项目持续发挥作用的期限</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=长期</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=长期</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对本行业未来可持续发展的影响</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=可持续</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=可持续</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满意度指标</w:t>
            </w:r>
            <w:r>
              <w:rPr>
                <w:rFonts w:hint="eastAsia" w:ascii="仿宋" w:hAnsi="仿宋" w:eastAsia="仿宋" w:cs="宋体"/>
                <w:kern w:val="0"/>
                <w:sz w:val="20"/>
                <w:szCs w:val="20"/>
              </w:rPr>
              <w:br w:type="textWrapping"/>
            </w:r>
            <w:r>
              <w:rPr>
                <w:rFonts w:hint="eastAsia" w:ascii="仿宋" w:hAnsi="仿宋" w:eastAsia="仿宋" w:cs="宋体"/>
                <w:color w:val="FF0000"/>
                <w:kern w:val="0"/>
                <w:sz w:val="20"/>
                <w:szCs w:val="20"/>
              </w:rPr>
              <w:t>10分</w:t>
            </w:r>
          </w:p>
        </w:tc>
        <w:tc>
          <w:tcPr>
            <w:tcW w:w="43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满意度指标</w:t>
            </w: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农户满意率（%）</w:t>
            </w:r>
          </w:p>
        </w:tc>
        <w:tc>
          <w:tcPr>
            <w:tcW w:w="31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70</w:t>
            </w:r>
          </w:p>
        </w:tc>
        <w:tc>
          <w:tcPr>
            <w:tcW w:w="431"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82</w:t>
            </w:r>
          </w:p>
        </w:tc>
        <w:tc>
          <w:tcPr>
            <w:tcW w:w="32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社会满意度</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w:t>
            </w:r>
          </w:p>
        </w:tc>
        <w:tc>
          <w:tcPr>
            <w:tcW w:w="43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33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14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6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31"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32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469" w:hRule="atLeast"/>
        </w:trPr>
        <w:tc>
          <w:tcPr>
            <w:tcW w:w="2644"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总分</w:t>
            </w:r>
          </w:p>
        </w:tc>
        <w:tc>
          <w:tcPr>
            <w:tcW w:w="316" w:type="pct"/>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100</w:t>
            </w:r>
          </w:p>
        </w:tc>
        <w:tc>
          <w:tcPr>
            <w:tcW w:w="99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327" w:type="pct"/>
            <w:tcBorders>
              <w:top w:val="nil"/>
              <w:left w:val="nil"/>
              <w:bottom w:val="single" w:color="auto" w:sz="4" w:space="0"/>
              <w:right w:val="single" w:color="auto" w:sz="4" w:space="0"/>
            </w:tcBorders>
            <w:vAlign w:val="center"/>
          </w:tcPr>
          <w:p>
            <w:pPr>
              <w:widowControl/>
              <w:jc w:val="righ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100</w:t>
            </w:r>
          </w:p>
        </w:tc>
        <w:tc>
          <w:tcPr>
            <w:tcW w:w="715"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bl>
    <w:p>
      <w:pPr>
        <w:spacing w:line="580" w:lineRule="exact"/>
        <w:ind w:firstLine="600" w:firstLineChars="200"/>
        <w:rPr>
          <w:rFonts w:hint="eastAsia" w:ascii="仿宋" w:hAnsi="仿宋" w:eastAsia="仿宋" w:cs="仿宋_GB2312"/>
          <w:sz w:val="30"/>
          <w:szCs w:val="30"/>
        </w:rPr>
      </w:pP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附件4</w:t>
      </w:r>
    </w:p>
    <w:tbl>
      <w:tblPr>
        <w:tblStyle w:val="7"/>
        <w:tblW w:w="5000" w:type="pct"/>
        <w:tblInd w:w="0" w:type="dxa"/>
        <w:tblLayout w:type="autofit"/>
        <w:tblCellMar>
          <w:top w:w="0" w:type="dxa"/>
          <w:left w:w="108" w:type="dxa"/>
          <w:bottom w:w="0" w:type="dxa"/>
          <w:right w:w="108" w:type="dxa"/>
        </w:tblCellMar>
      </w:tblPr>
      <w:tblGrid>
        <w:gridCol w:w="840"/>
        <w:gridCol w:w="516"/>
        <w:gridCol w:w="816"/>
        <w:gridCol w:w="1596"/>
        <w:gridCol w:w="452"/>
        <w:gridCol w:w="670"/>
        <w:gridCol w:w="816"/>
        <w:gridCol w:w="816"/>
        <w:gridCol w:w="670"/>
        <w:gridCol w:w="816"/>
        <w:gridCol w:w="516"/>
      </w:tblGrid>
      <w:tr>
        <w:tblPrEx>
          <w:tblCellMar>
            <w:top w:w="0" w:type="dxa"/>
            <w:left w:w="108" w:type="dxa"/>
            <w:bottom w:w="0" w:type="dxa"/>
            <w:right w:w="108" w:type="dxa"/>
          </w:tblCellMar>
        </w:tblPrEx>
        <w:trPr>
          <w:trHeight w:val="570" w:hRule="atLeast"/>
        </w:trPr>
        <w:tc>
          <w:tcPr>
            <w:tcW w:w="5000" w:type="pct"/>
            <w:gridSpan w:val="11"/>
            <w:tcBorders>
              <w:top w:val="nil"/>
              <w:left w:val="nil"/>
              <w:bottom w:val="nil"/>
              <w:right w:val="nil"/>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绩效目标自评表</w:t>
            </w:r>
            <w:r>
              <w:rPr>
                <w:rFonts w:hint="eastAsia" w:ascii="仿宋" w:hAnsi="仿宋" w:eastAsia="仿宋" w:cs="宋体"/>
                <w:color w:val="000000"/>
                <w:kern w:val="0"/>
                <w:sz w:val="30"/>
                <w:szCs w:val="30"/>
              </w:rPr>
              <w:t xml:space="preserve"> </w:t>
            </w:r>
          </w:p>
        </w:tc>
      </w:tr>
      <w:tr>
        <w:tblPrEx>
          <w:tblCellMar>
            <w:top w:w="0" w:type="dxa"/>
            <w:left w:w="108" w:type="dxa"/>
            <w:bottom w:w="0" w:type="dxa"/>
            <w:right w:w="108" w:type="dxa"/>
          </w:tblCellMar>
        </w:tblPrEx>
        <w:trPr>
          <w:trHeight w:val="420" w:hRule="atLeast"/>
        </w:trPr>
        <w:tc>
          <w:tcPr>
            <w:tcW w:w="5000" w:type="pct"/>
            <w:gridSpan w:val="11"/>
            <w:tcBorders>
              <w:top w:val="nil"/>
              <w:left w:val="nil"/>
              <w:bottom w:val="single" w:color="auto" w:sz="4" w:space="0"/>
              <w:right w:val="nil"/>
            </w:tcBorders>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（2020年度）</w:t>
            </w:r>
          </w:p>
        </w:tc>
      </w:tr>
      <w:tr>
        <w:tblPrEx>
          <w:tblCellMar>
            <w:top w:w="0" w:type="dxa"/>
            <w:left w:w="108" w:type="dxa"/>
            <w:bottom w:w="0" w:type="dxa"/>
            <w:right w:w="108" w:type="dxa"/>
          </w:tblCellMar>
        </w:tblPrEx>
        <w:trPr>
          <w:trHeight w:val="555" w:hRule="atLeast"/>
        </w:trPr>
        <w:tc>
          <w:tcPr>
            <w:tcW w:w="1224"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项目名称</w:t>
            </w:r>
          </w:p>
        </w:tc>
        <w:tc>
          <w:tcPr>
            <w:tcW w:w="1691"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通江县惠民农村产业技术服务中心项目</w:t>
            </w: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项目负责人及电话</w:t>
            </w:r>
          </w:p>
        </w:tc>
        <w:tc>
          <w:tcPr>
            <w:tcW w:w="1493"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牟美霖 13778779882</w:t>
            </w:r>
          </w:p>
        </w:tc>
      </w:tr>
      <w:tr>
        <w:tblPrEx>
          <w:tblCellMar>
            <w:top w:w="0" w:type="dxa"/>
            <w:left w:w="108" w:type="dxa"/>
            <w:bottom w:w="0" w:type="dxa"/>
            <w:right w:w="108" w:type="dxa"/>
          </w:tblCellMar>
        </w:tblPrEx>
        <w:trPr>
          <w:trHeight w:val="300" w:hRule="atLeast"/>
        </w:trPr>
        <w:tc>
          <w:tcPr>
            <w:tcW w:w="1224"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主管部门</w:t>
            </w:r>
          </w:p>
        </w:tc>
        <w:tc>
          <w:tcPr>
            <w:tcW w:w="1691" w:type="pct"/>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通江县教育科技和体育局</w:t>
            </w: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实施单位</w:t>
            </w:r>
          </w:p>
        </w:tc>
        <w:tc>
          <w:tcPr>
            <w:tcW w:w="1493"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通江县惠民农村产业技术服务中心</w:t>
            </w:r>
          </w:p>
        </w:tc>
      </w:tr>
      <w:tr>
        <w:tblPrEx>
          <w:tblCellMar>
            <w:top w:w="0" w:type="dxa"/>
            <w:left w:w="108" w:type="dxa"/>
            <w:bottom w:w="0" w:type="dxa"/>
            <w:right w:w="108" w:type="dxa"/>
          </w:tblCellMar>
        </w:tblPrEx>
        <w:trPr>
          <w:trHeight w:val="465" w:hRule="atLeast"/>
        </w:trPr>
        <w:tc>
          <w:tcPr>
            <w:tcW w:w="1224"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资金情况</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（万元）</w:t>
            </w:r>
          </w:p>
        </w:tc>
        <w:tc>
          <w:tcPr>
            <w:tcW w:w="10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593"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全年预算数（A）</w:t>
            </w:r>
          </w:p>
        </w:tc>
        <w:tc>
          <w:tcPr>
            <w:tcW w:w="1027"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全年执行数（B）</w:t>
            </w:r>
          </w:p>
        </w:tc>
        <w:tc>
          <w:tcPr>
            <w:tcW w:w="32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42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执行率</w:t>
            </w:r>
          </w:p>
        </w:tc>
        <w:tc>
          <w:tcPr>
            <w:tcW w:w="2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r>
      <w:tr>
        <w:tblPrEx>
          <w:tblCellMar>
            <w:top w:w="0" w:type="dxa"/>
            <w:left w:w="108" w:type="dxa"/>
            <w:bottom w:w="0" w:type="dxa"/>
            <w:right w:w="108" w:type="dxa"/>
          </w:tblCellMar>
        </w:tblPrEx>
        <w:trPr>
          <w:trHeight w:val="282" w:hRule="atLeast"/>
        </w:trPr>
        <w:tc>
          <w:tcPr>
            <w:tcW w:w="1224"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10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年度资金总额：</w:t>
            </w:r>
          </w:p>
        </w:tc>
        <w:tc>
          <w:tcPr>
            <w:tcW w:w="593"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1027"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32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429"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97" w:type="pct"/>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r>
      <w:tr>
        <w:tblPrEx>
          <w:tblCellMar>
            <w:top w:w="0" w:type="dxa"/>
            <w:left w:w="108" w:type="dxa"/>
            <w:bottom w:w="0" w:type="dxa"/>
            <w:right w:w="108" w:type="dxa"/>
          </w:tblCellMar>
        </w:tblPrEx>
        <w:trPr>
          <w:trHeight w:val="282" w:hRule="atLeast"/>
        </w:trPr>
        <w:tc>
          <w:tcPr>
            <w:tcW w:w="1224"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10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其中：本年财政拨款</w:t>
            </w:r>
          </w:p>
        </w:tc>
        <w:tc>
          <w:tcPr>
            <w:tcW w:w="593"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1027"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32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429"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trHeight w:val="282" w:hRule="atLeast"/>
        </w:trPr>
        <w:tc>
          <w:tcPr>
            <w:tcW w:w="1224"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10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其他资金</w:t>
            </w:r>
          </w:p>
        </w:tc>
        <w:tc>
          <w:tcPr>
            <w:tcW w:w="593"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1027"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429"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trHeight w:val="282" w:hRule="atLeast"/>
        </w:trPr>
        <w:tc>
          <w:tcPr>
            <w:tcW w:w="39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w:t>
            </w:r>
          </w:p>
        </w:tc>
        <w:tc>
          <w:tcPr>
            <w:tcW w:w="2519"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年初设定目标</w:t>
            </w:r>
          </w:p>
        </w:tc>
        <w:tc>
          <w:tcPr>
            <w:tcW w:w="2084"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年度总体目标完成情况综述</w:t>
            </w:r>
          </w:p>
        </w:tc>
      </w:tr>
      <w:tr>
        <w:tblPrEx>
          <w:tblCellMar>
            <w:top w:w="0" w:type="dxa"/>
            <w:left w:w="108" w:type="dxa"/>
            <w:bottom w:w="0" w:type="dxa"/>
            <w:right w:w="108" w:type="dxa"/>
          </w:tblCellMar>
        </w:tblPrEx>
        <w:trPr>
          <w:trHeight w:val="525" w:hRule="atLeast"/>
        </w:trPr>
        <w:tc>
          <w:tcPr>
            <w:tcW w:w="39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2519" w:type="pct"/>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开展科技能力提升1000人次；开展线上科技咨询7000余次，建立科技示范基地4个。</w:t>
            </w:r>
          </w:p>
        </w:tc>
        <w:tc>
          <w:tcPr>
            <w:tcW w:w="2084" w:type="pct"/>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开展科技能力提升1000人次；开展线上科技咨询7000余次，建立科技示范基地4个。</w:t>
            </w:r>
          </w:p>
        </w:tc>
      </w:tr>
      <w:tr>
        <w:tblPrEx>
          <w:tblCellMar>
            <w:top w:w="0" w:type="dxa"/>
            <w:left w:w="108" w:type="dxa"/>
            <w:bottom w:w="0" w:type="dxa"/>
            <w:right w:w="108" w:type="dxa"/>
          </w:tblCellMar>
        </w:tblPrEx>
        <w:trPr>
          <w:trHeight w:val="559" w:hRule="atLeast"/>
        </w:trPr>
        <w:tc>
          <w:tcPr>
            <w:tcW w:w="396" w:type="pct"/>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绩效指标</w:t>
            </w:r>
          </w:p>
        </w:tc>
        <w:tc>
          <w:tcPr>
            <w:tcW w:w="34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一级</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指标</w:t>
            </w:r>
          </w:p>
        </w:tc>
        <w:tc>
          <w:tcPr>
            <w:tcW w:w="481"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二级指标</w:t>
            </w: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三级指标</w:t>
            </w:r>
          </w:p>
        </w:tc>
        <w:tc>
          <w:tcPr>
            <w:tcW w:w="31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年度指标值</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全年实际值</w:t>
            </w:r>
          </w:p>
        </w:tc>
        <w:tc>
          <w:tcPr>
            <w:tcW w:w="32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未完成原因及拟采取的改进措施</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产</w:t>
            </w:r>
            <w:r>
              <w:rPr>
                <w:rFonts w:hint="eastAsia" w:ascii="仿宋" w:hAnsi="仿宋" w:eastAsia="仿宋" w:cs="宋体"/>
                <w:kern w:val="0"/>
                <w:sz w:val="30"/>
                <w:szCs w:val="30"/>
              </w:rPr>
              <w:br w:type="textWrapping"/>
            </w:r>
            <w:r>
              <w:rPr>
                <w:rFonts w:hint="eastAsia" w:ascii="仿宋" w:hAnsi="仿宋" w:eastAsia="仿宋" w:cs="宋体"/>
                <w:kern w:val="0"/>
                <w:sz w:val="30"/>
                <w:szCs w:val="30"/>
              </w:rPr>
              <w:t>出</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50分</w:t>
            </w: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数量指标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开展能力提升培训20期1207人次</w:t>
            </w:r>
          </w:p>
        </w:tc>
        <w:tc>
          <w:tcPr>
            <w:tcW w:w="31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20期1207次   </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20期1207次   </w:t>
            </w:r>
          </w:p>
        </w:tc>
        <w:tc>
          <w:tcPr>
            <w:tcW w:w="32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建立了3个村级科技扶贫在线服务驿站</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3个</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3个</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开展线上科技咨询服务7546次</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7546次</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7546次</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建立科技示范基地4个</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4个</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4个</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质量指标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能力提升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线上科技业务咨询率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时效指标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转化科技成果2项</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2项</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2项</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建设科技特派员工作站4个</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4个</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4个</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推广实用技术2项</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2项</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2项</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成本指标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平台成本</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12万元</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12万元</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科技服务差旅成本</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15万元</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15万元</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办公、印刷成本</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3万元</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3万元</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效</w:t>
            </w:r>
            <w:r>
              <w:rPr>
                <w:rFonts w:hint="eastAsia" w:ascii="仿宋" w:hAnsi="仿宋" w:eastAsia="仿宋" w:cs="宋体"/>
                <w:kern w:val="0"/>
                <w:sz w:val="30"/>
                <w:szCs w:val="30"/>
              </w:rPr>
              <w:br w:type="textWrapping"/>
            </w:r>
            <w:r>
              <w:rPr>
                <w:rFonts w:hint="eastAsia" w:ascii="仿宋" w:hAnsi="仿宋" w:eastAsia="仿宋" w:cs="宋体"/>
                <w:kern w:val="0"/>
                <w:sz w:val="30"/>
                <w:szCs w:val="30"/>
              </w:rPr>
              <w:t>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30分</w:t>
            </w: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经济效益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发展科技示范户69户，户均增收3000元</w:t>
            </w:r>
          </w:p>
        </w:tc>
        <w:tc>
          <w:tcPr>
            <w:tcW w:w="31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69户</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69户</w:t>
            </w:r>
          </w:p>
        </w:tc>
        <w:tc>
          <w:tcPr>
            <w:tcW w:w="32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带动300户贫困户年户</w:t>
            </w:r>
            <w:r>
              <w:rPr>
                <w:rFonts w:hint="eastAsia" w:ascii="仿宋" w:hAnsi="仿宋" w:eastAsia="仿宋" w:cs="宋体"/>
                <w:color w:val="000000"/>
                <w:kern w:val="0"/>
                <w:sz w:val="30"/>
                <w:szCs w:val="30"/>
                <w:lang w:val="en-US" w:eastAsia="zh-CN"/>
              </w:rPr>
              <w:t>均</w:t>
            </w:r>
            <w:r>
              <w:rPr>
                <w:rFonts w:hint="eastAsia" w:ascii="仿宋" w:hAnsi="仿宋" w:eastAsia="仿宋" w:cs="宋体"/>
                <w:color w:val="000000"/>
                <w:kern w:val="0"/>
                <w:sz w:val="30"/>
                <w:szCs w:val="30"/>
              </w:rPr>
              <w:t>增收1000元以上</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300户</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300户</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社会效益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带动建档立卡贫困户增加收入率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建档立卡贫困户科技知识增长率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生态效益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能耗下降率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水电能源节约率</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可持续影响指标</w:t>
            </w: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项目持续发挥作用的期限</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对本行业未来可持续发展的影响</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满意度指标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10分</w:t>
            </w:r>
          </w:p>
        </w:tc>
        <w:tc>
          <w:tcPr>
            <w:tcW w:w="48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服务对象</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满意度指标</w:t>
            </w: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带动精准识别满意度</w:t>
            </w:r>
          </w:p>
        </w:tc>
        <w:tc>
          <w:tcPr>
            <w:tcW w:w="31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2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产业吸纳就业满意度</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1374" w:type="pct"/>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项目带动满意度</w:t>
            </w:r>
          </w:p>
        </w:tc>
        <w:tc>
          <w:tcPr>
            <w:tcW w:w="31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9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97%</w:t>
            </w:r>
          </w:p>
        </w:tc>
        <w:tc>
          <w:tcPr>
            <w:tcW w:w="43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97%</w:t>
            </w: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4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81"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1374"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590"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2599"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总分</w:t>
            </w:r>
          </w:p>
        </w:tc>
        <w:tc>
          <w:tcPr>
            <w:tcW w:w="316" w:type="pct"/>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1027"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　</w:t>
            </w:r>
          </w:p>
        </w:tc>
        <w:tc>
          <w:tcPr>
            <w:tcW w:w="329" w:type="pct"/>
            <w:tcBorders>
              <w:top w:val="nil"/>
              <w:left w:val="nil"/>
              <w:bottom w:val="single" w:color="auto" w:sz="4" w:space="0"/>
              <w:right w:val="single" w:color="auto" w:sz="4" w:space="0"/>
            </w:tcBorders>
            <w:vAlign w:val="center"/>
          </w:tcPr>
          <w:p>
            <w:pPr>
              <w:widowControl/>
              <w:jc w:val="righ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726" w:type="pct"/>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bl>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附件5</w:t>
      </w:r>
    </w:p>
    <w:tbl>
      <w:tblPr>
        <w:tblStyle w:val="7"/>
        <w:tblW w:w="5000" w:type="pct"/>
        <w:tblInd w:w="0" w:type="dxa"/>
        <w:tblLayout w:type="autofit"/>
        <w:tblCellMar>
          <w:top w:w="0" w:type="dxa"/>
          <w:left w:w="108" w:type="dxa"/>
          <w:bottom w:w="0" w:type="dxa"/>
          <w:right w:w="108" w:type="dxa"/>
        </w:tblCellMar>
      </w:tblPr>
      <w:tblGrid>
        <w:gridCol w:w="743"/>
        <w:gridCol w:w="470"/>
        <w:gridCol w:w="723"/>
        <w:gridCol w:w="723"/>
        <w:gridCol w:w="201"/>
        <w:gridCol w:w="228"/>
        <w:gridCol w:w="63"/>
        <w:gridCol w:w="600"/>
        <w:gridCol w:w="1414"/>
        <w:gridCol w:w="71"/>
        <w:gridCol w:w="1416"/>
        <w:gridCol w:w="70"/>
        <w:gridCol w:w="537"/>
        <w:gridCol w:w="63"/>
        <w:gridCol w:w="693"/>
        <w:gridCol w:w="38"/>
        <w:gridCol w:w="442"/>
        <w:gridCol w:w="27"/>
      </w:tblGrid>
      <w:tr>
        <w:tblPrEx>
          <w:tblCellMar>
            <w:top w:w="0" w:type="dxa"/>
            <w:left w:w="108" w:type="dxa"/>
            <w:bottom w:w="0" w:type="dxa"/>
            <w:right w:w="108" w:type="dxa"/>
          </w:tblCellMar>
        </w:tblPrEx>
        <w:trPr>
          <w:gridAfter w:val="1"/>
          <w:wAfter w:w="14" w:type="pct"/>
          <w:trHeight w:val="570" w:hRule="atLeast"/>
        </w:trPr>
        <w:tc>
          <w:tcPr>
            <w:tcW w:w="4985" w:type="pct"/>
            <w:gridSpan w:val="17"/>
            <w:tcBorders>
              <w:top w:val="nil"/>
              <w:left w:val="nil"/>
              <w:bottom w:val="nil"/>
              <w:right w:val="nil"/>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绩效目标自评表</w:t>
            </w:r>
            <w:r>
              <w:rPr>
                <w:rFonts w:hint="eastAsia" w:ascii="仿宋" w:hAnsi="仿宋" w:eastAsia="仿宋" w:cs="宋体"/>
                <w:color w:val="000000"/>
                <w:kern w:val="0"/>
                <w:sz w:val="30"/>
                <w:szCs w:val="30"/>
              </w:rPr>
              <w:t xml:space="preserve"> </w:t>
            </w:r>
          </w:p>
        </w:tc>
      </w:tr>
      <w:tr>
        <w:tblPrEx>
          <w:tblCellMar>
            <w:top w:w="0" w:type="dxa"/>
            <w:left w:w="108" w:type="dxa"/>
            <w:bottom w:w="0" w:type="dxa"/>
            <w:right w:w="108" w:type="dxa"/>
          </w:tblCellMar>
        </w:tblPrEx>
        <w:trPr>
          <w:gridAfter w:val="1"/>
          <w:wAfter w:w="14" w:type="pct"/>
          <w:trHeight w:val="270" w:hRule="atLeast"/>
        </w:trPr>
        <w:tc>
          <w:tcPr>
            <w:tcW w:w="4985" w:type="pct"/>
            <w:gridSpan w:val="17"/>
            <w:tcBorders>
              <w:top w:val="nil"/>
              <w:left w:val="nil"/>
              <w:bottom w:val="single" w:color="auto" w:sz="4" w:space="0"/>
              <w:right w:val="nil"/>
            </w:tcBorders>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（2020年度）</w:t>
            </w:r>
          </w:p>
        </w:tc>
      </w:tr>
      <w:tr>
        <w:tblPrEx>
          <w:tblCellMar>
            <w:top w:w="0" w:type="dxa"/>
            <w:left w:w="108" w:type="dxa"/>
            <w:bottom w:w="0" w:type="dxa"/>
            <w:right w:w="108" w:type="dxa"/>
          </w:tblCellMar>
        </w:tblPrEx>
        <w:trPr>
          <w:gridAfter w:val="1"/>
          <w:wAfter w:w="14" w:type="pct"/>
          <w:trHeight w:val="555" w:hRule="atLeast"/>
        </w:trPr>
        <w:tc>
          <w:tcPr>
            <w:tcW w:w="113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项目名称</w:t>
            </w:r>
          </w:p>
        </w:tc>
        <w:tc>
          <w:tcPr>
            <w:tcW w:w="1106" w:type="pct"/>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驻口纪检组工作经费</w:t>
            </w: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项目负责人及电话</w:t>
            </w:r>
          </w:p>
        </w:tc>
        <w:tc>
          <w:tcPr>
            <w:tcW w:w="1948" w:type="pct"/>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李博  13350239088</w:t>
            </w:r>
          </w:p>
        </w:tc>
      </w:tr>
      <w:tr>
        <w:tblPrEx>
          <w:tblCellMar>
            <w:top w:w="0" w:type="dxa"/>
            <w:left w:w="108" w:type="dxa"/>
            <w:bottom w:w="0" w:type="dxa"/>
            <w:right w:w="108" w:type="dxa"/>
          </w:tblCellMar>
        </w:tblPrEx>
        <w:trPr>
          <w:gridAfter w:val="1"/>
          <w:wAfter w:w="14" w:type="pct"/>
          <w:trHeight w:val="300" w:hRule="atLeast"/>
        </w:trPr>
        <w:tc>
          <w:tcPr>
            <w:tcW w:w="113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主管部门</w:t>
            </w:r>
          </w:p>
        </w:tc>
        <w:tc>
          <w:tcPr>
            <w:tcW w:w="1106"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通江县教育科技和体育局</w:t>
            </w: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实施单位</w:t>
            </w:r>
          </w:p>
        </w:tc>
        <w:tc>
          <w:tcPr>
            <w:tcW w:w="1948" w:type="pct"/>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通江县教育科技和体育局</w:t>
            </w:r>
          </w:p>
        </w:tc>
      </w:tr>
      <w:tr>
        <w:tblPrEx>
          <w:tblCellMar>
            <w:top w:w="0" w:type="dxa"/>
            <w:left w:w="108" w:type="dxa"/>
            <w:bottom w:w="0" w:type="dxa"/>
            <w:right w:w="108" w:type="dxa"/>
          </w:tblCellMar>
        </w:tblPrEx>
        <w:trPr>
          <w:gridAfter w:val="1"/>
          <w:wAfter w:w="14" w:type="pct"/>
          <w:trHeight w:val="465" w:hRule="atLeast"/>
        </w:trPr>
        <w:tc>
          <w:tcPr>
            <w:tcW w:w="1133"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资金情况</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（万元）</w:t>
            </w:r>
          </w:p>
        </w:tc>
        <w:tc>
          <w:tcPr>
            <w:tcW w:w="53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570"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全年预算数（A）</w:t>
            </w:r>
          </w:p>
        </w:tc>
        <w:tc>
          <w:tcPr>
            <w:tcW w:w="1609"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全年执行数（B）</w:t>
            </w:r>
          </w:p>
        </w:tc>
        <w:tc>
          <w:tcPr>
            <w:tcW w:w="32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538"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执行率</w:t>
            </w:r>
          </w:p>
        </w:tc>
        <w:tc>
          <w:tcPr>
            <w:tcW w:w="26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r>
      <w:tr>
        <w:tblPrEx>
          <w:tblCellMar>
            <w:top w:w="0" w:type="dxa"/>
            <w:left w:w="108" w:type="dxa"/>
            <w:bottom w:w="0" w:type="dxa"/>
            <w:right w:w="108" w:type="dxa"/>
          </w:tblCellMar>
        </w:tblPrEx>
        <w:trPr>
          <w:gridAfter w:val="1"/>
          <w:wAfter w:w="14" w:type="pct"/>
          <w:trHeight w:val="282" w:hRule="atLeast"/>
        </w:trPr>
        <w:tc>
          <w:tcPr>
            <w:tcW w:w="113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3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年度资金总额：</w:t>
            </w:r>
          </w:p>
        </w:tc>
        <w:tc>
          <w:tcPr>
            <w:tcW w:w="570"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3万</w:t>
            </w:r>
          </w:p>
        </w:tc>
        <w:tc>
          <w:tcPr>
            <w:tcW w:w="1609"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3万</w:t>
            </w:r>
          </w:p>
        </w:tc>
        <w:tc>
          <w:tcPr>
            <w:tcW w:w="32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538"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69" w:type="pct"/>
            <w:gridSpan w:val="2"/>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r>
      <w:tr>
        <w:tblPrEx>
          <w:tblCellMar>
            <w:top w:w="0" w:type="dxa"/>
            <w:left w:w="108" w:type="dxa"/>
            <w:bottom w:w="0" w:type="dxa"/>
            <w:right w:w="108" w:type="dxa"/>
          </w:tblCellMar>
        </w:tblPrEx>
        <w:trPr>
          <w:gridAfter w:val="1"/>
          <w:wAfter w:w="14" w:type="pct"/>
          <w:trHeight w:val="282" w:hRule="atLeast"/>
        </w:trPr>
        <w:tc>
          <w:tcPr>
            <w:tcW w:w="113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3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其中：本年财政拨款</w:t>
            </w:r>
          </w:p>
        </w:tc>
        <w:tc>
          <w:tcPr>
            <w:tcW w:w="570"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3万</w:t>
            </w:r>
          </w:p>
        </w:tc>
        <w:tc>
          <w:tcPr>
            <w:tcW w:w="1609"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3万</w:t>
            </w:r>
          </w:p>
        </w:tc>
        <w:tc>
          <w:tcPr>
            <w:tcW w:w="32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538"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6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gridAfter w:val="1"/>
          <w:wAfter w:w="14" w:type="pct"/>
          <w:trHeight w:val="282" w:hRule="atLeast"/>
        </w:trPr>
        <w:tc>
          <w:tcPr>
            <w:tcW w:w="113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535"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其他资金</w:t>
            </w:r>
          </w:p>
        </w:tc>
        <w:tc>
          <w:tcPr>
            <w:tcW w:w="570"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1609"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538"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6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gridAfter w:val="1"/>
          <w:wAfter w:w="14" w:type="pct"/>
          <w:trHeight w:val="282" w:hRule="atLeast"/>
        </w:trPr>
        <w:tc>
          <w:tcPr>
            <w:tcW w:w="398"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w:t>
            </w:r>
          </w:p>
        </w:tc>
        <w:tc>
          <w:tcPr>
            <w:tcW w:w="1841" w:type="pct"/>
            <w:gridSpan w:val="7"/>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年初设定目标</w:t>
            </w:r>
          </w:p>
        </w:tc>
        <w:tc>
          <w:tcPr>
            <w:tcW w:w="2745" w:type="pct"/>
            <w:gridSpan w:val="9"/>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年度总体目标完成情况综述</w:t>
            </w:r>
          </w:p>
        </w:tc>
      </w:tr>
      <w:tr>
        <w:tblPrEx>
          <w:tblCellMar>
            <w:top w:w="0" w:type="dxa"/>
            <w:left w:w="108" w:type="dxa"/>
            <w:bottom w:w="0" w:type="dxa"/>
            <w:right w:w="108" w:type="dxa"/>
          </w:tblCellMar>
        </w:tblPrEx>
        <w:trPr>
          <w:gridAfter w:val="1"/>
          <w:wAfter w:w="14" w:type="pct"/>
          <w:trHeight w:val="525" w:hRule="atLeast"/>
        </w:trPr>
        <w:tc>
          <w:tcPr>
            <w:tcW w:w="39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1841" w:type="pct"/>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解决驻口纪检组工作经费。</w:t>
            </w:r>
          </w:p>
        </w:tc>
        <w:tc>
          <w:tcPr>
            <w:tcW w:w="2745" w:type="pct"/>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解决驻口纪检组工作经费。</w:t>
            </w:r>
          </w:p>
        </w:tc>
      </w:tr>
      <w:tr>
        <w:tblPrEx>
          <w:tblCellMar>
            <w:top w:w="0" w:type="dxa"/>
            <w:left w:w="108" w:type="dxa"/>
            <w:bottom w:w="0" w:type="dxa"/>
            <w:right w:w="108" w:type="dxa"/>
          </w:tblCellMar>
        </w:tblPrEx>
        <w:trPr>
          <w:gridAfter w:val="1"/>
          <w:wAfter w:w="14" w:type="pct"/>
          <w:trHeight w:val="559" w:hRule="atLeast"/>
        </w:trPr>
        <w:tc>
          <w:tcPr>
            <w:tcW w:w="398" w:type="pct"/>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绩效指标</w:t>
            </w:r>
          </w:p>
        </w:tc>
        <w:tc>
          <w:tcPr>
            <w:tcW w:w="32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一级</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指标</w:t>
            </w: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二级指标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三级指标</w:t>
            </w:r>
          </w:p>
        </w:tc>
        <w:tc>
          <w:tcPr>
            <w:tcW w:w="31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年度指标值</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全年实际值</w:t>
            </w:r>
          </w:p>
        </w:tc>
        <w:tc>
          <w:tcPr>
            <w:tcW w:w="32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未完成原因及拟采取的改进措施</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产</w:t>
            </w:r>
            <w:r>
              <w:rPr>
                <w:rFonts w:hint="eastAsia" w:ascii="仿宋" w:hAnsi="仿宋" w:eastAsia="仿宋" w:cs="宋体"/>
                <w:kern w:val="0"/>
                <w:sz w:val="30"/>
                <w:szCs w:val="30"/>
              </w:rPr>
              <w:br w:type="textWrapping"/>
            </w:r>
            <w:r>
              <w:rPr>
                <w:rFonts w:hint="eastAsia" w:ascii="仿宋" w:hAnsi="仿宋" w:eastAsia="仿宋" w:cs="宋体"/>
                <w:kern w:val="0"/>
                <w:sz w:val="30"/>
                <w:szCs w:val="30"/>
              </w:rPr>
              <w:t>出</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50分</w:t>
            </w: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数量指标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查处违纪案件个数</w:t>
            </w:r>
          </w:p>
        </w:tc>
        <w:tc>
          <w:tcPr>
            <w:tcW w:w="319"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≥2件</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≥2件</w:t>
            </w:r>
          </w:p>
        </w:tc>
        <w:tc>
          <w:tcPr>
            <w:tcW w:w="329"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参与案件办理人次</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≥30人次</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≥30人次</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开展党纪宣传</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≥12次</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≥12次</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质量指标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对违纪案件的查处正确率</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案件警示率</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时效指标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案件办理时间</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2020年11月以前</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2020年11月以前</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开展党纪宣传时间</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2020年1-12月</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2020年1-12月</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成本指标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党纪教育宣传成本</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监督检查费用</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办公及资料费等</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效</w:t>
            </w:r>
            <w:r>
              <w:rPr>
                <w:rFonts w:hint="eastAsia" w:ascii="仿宋" w:hAnsi="仿宋" w:eastAsia="仿宋" w:cs="宋体"/>
                <w:kern w:val="0"/>
                <w:sz w:val="30"/>
                <w:szCs w:val="30"/>
              </w:rPr>
              <w:br w:type="textWrapping"/>
            </w:r>
            <w:r>
              <w:rPr>
                <w:rFonts w:hint="eastAsia" w:ascii="仿宋" w:hAnsi="仿宋" w:eastAsia="仿宋" w:cs="宋体"/>
                <w:kern w:val="0"/>
                <w:sz w:val="30"/>
                <w:szCs w:val="30"/>
              </w:rPr>
              <w:t>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30分</w:t>
            </w: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经济效益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项目实施人均增收生活和公杂</w:t>
            </w:r>
            <w:r>
              <w:rPr>
                <w:rFonts w:hint="eastAsia" w:ascii="仿宋" w:hAnsi="仿宋" w:eastAsia="仿宋" w:cs="宋体"/>
                <w:color w:val="000000"/>
                <w:kern w:val="0"/>
                <w:sz w:val="30"/>
                <w:szCs w:val="30"/>
                <w:lang w:val="en-US" w:eastAsia="zh-CN"/>
              </w:rPr>
              <w:t>费</w:t>
            </w:r>
            <w:r>
              <w:rPr>
                <w:rFonts w:hint="eastAsia" w:ascii="仿宋" w:hAnsi="仿宋" w:eastAsia="仿宋" w:cs="宋体"/>
                <w:color w:val="000000"/>
                <w:kern w:val="0"/>
                <w:sz w:val="30"/>
                <w:szCs w:val="30"/>
              </w:rPr>
              <w:t>补助费</w:t>
            </w:r>
          </w:p>
        </w:tc>
        <w:tc>
          <w:tcPr>
            <w:tcW w:w="319"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130-180元</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130-180元</w:t>
            </w:r>
          </w:p>
        </w:tc>
        <w:tc>
          <w:tcPr>
            <w:tcW w:w="329"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人均增加收入</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0.2万元以上</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0.2万元以上</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社会效益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党风廉政建设社会风气好转率</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生态效益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能耗下降率</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水电能源节约率</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可持续影响指标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项目持续发挥作用的期限</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对本行业未来可持续发展的影响</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满意度指标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10分</w:t>
            </w: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服务对象</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满意度指标</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学校及教师满意度</w:t>
            </w:r>
          </w:p>
        </w:tc>
        <w:tc>
          <w:tcPr>
            <w:tcW w:w="319"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社会满意度</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812"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≥95%</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786"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19"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79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12"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9"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gridAfter w:val="1"/>
          <w:wAfter w:w="14" w:type="pct"/>
          <w:trHeight w:val="252" w:hRule="atLeast"/>
        </w:trPr>
        <w:tc>
          <w:tcPr>
            <w:tcW w:w="1920"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总分</w:t>
            </w:r>
          </w:p>
        </w:tc>
        <w:tc>
          <w:tcPr>
            <w:tcW w:w="31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1609"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　</w:t>
            </w:r>
          </w:p>
        </w:tc>
        <w:tc>
          <w:tcPr>
            <w:tcW w:w="329" w:type="pct"/>
            <w:gridSpan w:val="2"/>
            <w:tcBorders>
              <w:top w:val="nil"/>
              <w:left w:val="nil"/>
              <w:bottom w:val="single" w:color="auto" w:sz="4" w:space="0"/>
              <w:right w:val="single" w:color="auto" w:sz="4" w:space="0"/>
            </w:tcBorders>
            <w:vAlign w:val="center"/>
          </w:tcPr>
          <w:p>
            <w:pPr>
              <w:widowControl/>
              <w:jc w:val="righ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807"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570" w:hRule="atLeast"/>
        </w:trPr>
        <w:tc>
          <w:tcPr>
            <w:tcW w:w="5000" w:type="pct"/>
            <w:gridSpan w:val="18"/>
            <w:tcBorders>
              <w:top w:val="nil"/>
              <w:left w:val="nil"/>
              <w:bottom w:val="nil"/>
              <w:right w:val="nil"/>
            </w:tcBorders>
            <w:vAlign w:val="center"/>
          </w:tcPr>
          <w:p>
            <w:pPr>
              <w:widowControl/>
              <w:jc w:val="left"/>
              <w:rPr>
                <w:rFonts w:hint="eastAsia" w:ascii="仿宋" w:hAnsi="仿宋" w:eastAsia="仿宋" w:cs="宋体"/>
                <w:b/>
                <w:bCs/>
                <w:color w:val="000000"/>
                <w:kern w:val="0"/>
                <w:sz w:val="30"/>
                <w:szCs w:val="30"/>
              </w:rPr>
            </w:pPr>
            <w:r>
              <w:rPr>
                <w:rFonts w:hint="eastAsia" w:ascii="仿宋" w:hAnsi="仿宋" w:eastAsia="仿宋" w:cs="宋体"/>
                <w:b/>
                <w:bCs/>
                <w:color w:val="000000"/>
                <w:kern w:val="0"/>
                <w:sz w:val="30"/>
                <w:szCs w:val="30"/>
              </w:rPr>
              <w:t>附件6</w:t>
            </w:r>
          </w:p>
          <w:p>
            <w:pPr>
              <w:widowControl/>
              <w:jc w:val="center"/>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绩效目标自评表</w:t>
            </w:r>
            <w:r>
              <w:rPr>
                <w:rFonts w:hint="eastAsia" w:ascii="仿宋" w:hAnsi="仿宋" w:eastAsia="仿宋" w:cs="宋体"/>
                <w:color w:val="000000"/>
                <w:kern w:val="0"/>
                <w:sz w:val="30"/>
                <w:szCs w:val="30"/>
              </w:rPr>
              <w:t xml:space="preserve"> </w:t>
            </w:r>
          </w:p>
        </w:tc>
      </w:tr>
      <w:tr>
        <w:tblPrEx>
          <w:tblCellMar>
            <w:top w:w="0" w:type="dxa"/>
            <w:left w:w="108" w:type="dxa"/>
            <w:bottom w:w="0" w:type="dxa"/>
            <w:right w:w="108" w:type="dxa"/>
          </w:tblCellMar>
        </w:tblPrEx>
        <w:trPr>
          <w:trHeight w:val="270" w:hRule="atLeast"/>
        </w:trPr>
        <w:tc>
          <w:tcPr>
            <w:tcW w:w="5000" w:type="pct"/>
            <w:gridSpan w:val="18"/>
            <w:tcBorders>
              <w:top w:val="nil"/>
              <w:left w:val="nil"/>
              <w:bottom w:val="single" w:color="auto" w:sz="4" w:space="0"/>
              <w:right w:val="nil"/>
            </w:tcBorders>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（2020年度）</w:t>
            </w:r>
          </w:p>
        </w:tc>
      </w:tr>
      <w:tr>
        <w:tblPrEx>
          <w:tblCellMar>
            <w:top w:w="0" w:type="dxa"/>
            <w:left w:w="108" w:type="dxa"/>
            <w:bottom w:w="0" w:type="dxa"/>
            <w:right w:w="108" w:type="dxa"/>
          </w:tblCellMar>
        </w:tblPrEx>
        <w:trPr>
          <w:trHeight w:val="555" w:hRule="atLeast"/>
        </w:trPr>
        <w:tc>
          <w:tcPr>
            <w:tcW w:w="113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项目名称</w:t>
            </w:r>
          </w:p>
        </w:tc>
        <w:tc>
          <w:tcPr>
            <w:tcW w:w="1106" w:type="pct"/>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引进人才安家补助经费</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项目负责人及电话</w:t>
            </w:r>
          </w:p>
        </w:tc>
        <w:tc>
          <w:tcPr>
            <w:tcW w:w="1922" w:type="pct"/>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李博  13350239088</w:t>
            </w:r>
          </w:p>
        </w:tc>
      </w:tr>
      <w:tr>
        <w:tblPrEx>
          <w:tblCellMar>
            <w:top w:w="0" w:type="dxa"/>
            <w:left w:w="108" w:type="dxa"/>
            <w:bottom w:w="0" w:type="dxa"/>
            <w:right w:w="108" w:type="dxa"/>
          </w:tblCellMar>
        </w:tblPrEx>
        <w:trPr>
          <w:trHeight w:val="300" w:hRule="atLeast"/>
        </w:trPr>
        <w:tc>
          <w:tcPr>
            <w:tcW w:w="113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主管部门</w:t>
            </w:r>
          </w:p>
        </w:tc>
        <w:tc>
          <w:tcPr>
            <w:tcW w:w="1106" w:type="pct"/>
            <w:gridSpan w:val="5"/>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通江县教育科技和体育局</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实施单位</w:t>
            </w:r>
          </w:p>
        </w:tc>
        <w:tc>
          <w:tcPr>
            <w:tcW w:w="1922" w:type="pct"/>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通江县教育科技和体育局</w:t>
            </w:r>
          </w:p>
        </w:tc>
      </w:tr>
      <w:tr>
        <w:tblPrEx>
          <w:tblCellMar>
            <w:top w:w="0" w:type="dxa"/>
            <w:left w:w="108" w:type="dxa"/>
            <w:bottom w:w="0" w:type="dxa"/>
            <w:right w:w="108" w:type="dxa"/>
          </w:tblCellMar>
        </w:tblPrEx>
        <w:trPr>
          <w:trHeight w:val="465" w:hRule="atLeast"/>
        </w:trPr>
        <w:tc>
          <w:tcPr>
            <w:tcW w:w="1133"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资金情况</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（万元）</w:t>
            </w:r>
          </w:p>
        </w:tc>
        <w:tc>
          <w:tcPr>
            <w:tcW w:w="670"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435"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全年预算数（A）</w:t>
            </w:r>
          </w:p>
        </w:tc>
        <w:tc>
          <w:tcPr>
            <w:tcW w:w="164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全年执行数（B）</w:t>
            </w:r>
          </w:p>
        </w:tc>
        <w:tc>
          <w:tcPr>
            <w:tcW w:w="326"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526"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执行率</w:t>
            </w:r>
          </w:p>
        </w:tc>
        <w:tc>
          <w:tcPr>
            <w:tcW w:w="25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r>
      <w:tr>
        <w:tblPrEx>
          <w:tblCellMar>
            <w:top w:w="0" w:type="dxa"/>
            <w:left w:w="108" w:type="dxa"/>
            <w:bottom w:w="0" w:type="dxa"/>
            <w:right w:w="108" w:type="dxa"/>
          </w:tblCellMar>
        </w:tblPrEx>
        <w:trPr>
          <w:trHeight w:val="282" w:hRule="atLeast"/>
        </w:trPr>
        <w:tc>
          <w:tcPr>
            <w:tcW w:w="113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670"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年度资金总额：</w:t>
            </w:r>
          </w:p>
        </w:tc>
        <w:tc>
          <w:tcPr>
            <w:tcW w:w="435"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c>
          <w:tcPr>
            <w:tcW w:w="164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c>
          <w:tcPr>
            <w:tcW w:w="326"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526"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59" w:type="pct"/>
            <w:gridSpan w:val="2"/>
            <w:tcBorders>
              <w:top w:val="nil"/>
              <w:left w:val="nil"/>
              <w:bottom w:val="single" w:color="auto" w:sz="4" w:space="0"/>
              <w:right w:val="single" w:color="auto" w:sz="4" w:space="0"/>
            </w:tcBorders>
            <w:vAlign w:val="center"/>
          </w:tcPr>
          <w:p>
            <w:pPr>
              <w:widowControl/>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r>
      <w:tr>
        <w:tblPrEx>
          <w:tblCellMar>
            <w:top w:w="0" w:type="dxa"/>
            <w:left w:w="108" w:type="dxa"/>
            <w:bottom w:w="0" w:type="dxa"/>
            <w:right w:w="108" w:type="dxa"/>
          </w:tblCellMar>
        </w:tblPrEx>
        <w:trPr>
          <w:trHeight w:val="282" w:hRule="atLeast"/>
        </w:trPr>
        <w:tc>
          <w:tcPr>
            <w:tcW w:w="113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670"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其中：本年财政拨款</w:t>
            </w:r>
          </w:p>
        </w:tc>
        <w:tc>
          <w:tcPr>
            <w:tcW w:w="435"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c>
          <w:tcPr>
            <w:tcW w:w="164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c>
          <w:tcPr>
            <w:tcW w:w="326"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526"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25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trHeight w:val="282" w:hRule="atLeast"/>
        </w:trPr>
        <w:tc>
          <w:tcPr>
            <w:tcW w:w="113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670"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其他资金</w:t>
            </w:r>
          </w:p>
        </w:tc>
        <w:tc>
          <w:tcPr>
            <w:tcW w:w="435"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164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c>
          <w:tcPr>
            <w:tcW w:w="526"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5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p>
        </w:tc>
      </w:tr>
      <w:tr>
        <w:tblPrEx>
          <w:tblCellMar>
            <w:top w:w="0" w:type="dxa"/>
            <w:left w:w="108" w:type="dxa"/>
            <w:bottom w:w="0" w:type="dxa"/>
            <w:right w:w="108" w:type="dxa"/>
          </w:tblCellMar>
        </w:tblPrEx>
        <w:trPr>
          <w:trHeight w:val="282" w:hRule="atLeast"/>
        </w:trPr>
        <w:tc>
          <w:tcPr>
            <w:tcW w:w="398"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w:t>
            </w:r>
          </w:p>
        </w:tc>
        <w:tc>
          <w:tcPr>
            <w:tcW w:w="1841" w:type="pct"/>
            <w:gridSpan w:val="7"/>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年初设定目标</w:t>
            </w:r>
          </w:p>
        </w:tc>
        <w:tc>
          <w:tcPr>
            <w:tcW w:w="2759" w:type="pct"/>
            <w:gridSpan w:val="10"/>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年度总体目标完成情况综述</w:t>
            </w:r>
          </w:p>
        </w:tc>
      </w:tr>
      <w:tr>
        <w:tblPrEx>
          <w:tblCellMar>
            <w:top w:w="0" w:type="dxa"/>
            <w:left w:w="108" w:type="dxa"/>
            <w:bottom w:w="0" w:type="dxa"/>
            <w:right w:w="108" w:type="dxa"/>
          </w:tblCellMar>
        </w:tblPrEx>
        <w:trPr>
          <w:trHeight w:val="525" w:hRule="atLeast"/>
        </w:trPr>
        <w:tc>
          <w:tcPr>
            <w:tcW w:w="39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1841" w:type="pct"/>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兑现教育系统引进人才2人的安家补助费1万元。</w:t>
            </w:r>
          </w:p>
        </w:tc>
        <w:tc>
          <w:tcPr>
            <w:tcW w:w="2759" w:type="pct"/>
            <w:gridSpan w:val="10"/>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兑现教育系统引进人才2人的安家补助费1万元。</w:t>
            </w:r>
          </w:p>
        </w:tc>
      </w:tr>
      <w:tr>
        <w:tblPrEx>
          <w:tblCellMar>
            <w:top w:w="0" w:type="dxa"/>
            <w:left w:w="108" w:type="dxa"/>
            <w:bottom w:w="0" w:type="dxa"/>
            <w:right w:w="108" w:type="dxa"/>
          </w:tblCellMar>
        </w:tblPrEx>
        <w:trPr>
          <w:trHeight w:val="559" w:hRule="atLeast"/>
        </w:trPr>
        <w:tc>
          <w:tcPr>
            <w:tcW w:w="398" w:type="pct"/>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绩效指标</w:t>
            </w:r>
          </w:p>
        </w:tc>
        <w:tc>
          <w:tcPr>
            <w:tcW w:w="32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一级</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指标</w:t>
            </w: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二级指标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三级指标</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年度指标值</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全年实际值</w:t>
            </w:r>
          </w:p>
        </w:tc>
        <w:tc>
          <w:tcPr>
            <w:tcW w:w="326"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得分</w:t>
            </w: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未完成原因及拟采取的改进措施</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产</w:t>
            </w:r>
            <w:r>
              <w:rPr>
                <w:rFonts w:hint="eastAsia" w:ascii="仿宋" w:hAnsi="仿宋" w:eastAsia="仿宋" w:cs="宋体"/>
                <w:kern w:val="0"/>
                <w:sz w:val="30"/>
                <w:szCs w:val="30"/>
              </w:rPr>
              <w:br w:type="textWrapping"/>
            </w:r>
            <w:r>
              <w:rPr>
                <w:rFonts w:hint="eastAsia" w:ascii="仿宋" w:hAnsi="仿宋" w:eastAsia="仿宋" w:cs="宋体"/>
                <w:kern w:val="0"/>
                <w:sz w:val="30"/>
                <w:szCs w:val="30"/>
              </w:rPr>
              <w:t>出</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50分</w:t>
            </w: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数量指标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引进人才数量</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2人</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2人</w:t>
            </w:r>
          </w:p>
        </w:tc>
        <w:tc>
          <w:tcPr>
            <w:tcW w:w="326"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50</w:t>
            </w: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兑现经费</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1万元</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引进人才最低标准</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质量指标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引进人才最低学历</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本科学士</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本科学士</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引进人才最高学历</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硕士研究生</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硕士研究生</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时效指标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项目开始实施时间</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2020/1/1</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2020/1/1</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项目实施结束时间</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2020/12/31</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2020/12/31</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成本指标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人才引进补助最低标准</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人才引进补助最高标准</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2万元</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2万元</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效</w:t>
            </w:r>
            <w:r>
              <w:rPr>
                <w:rFonts w:hint="eastAsia" w:ascii="仿宋" w:hAnsi="仿宋" w:eastAsia="仿宋" w:cs="宋体"/>
                <w:kern w:val="0"/>
                <w:sz w:val="30"/>
                <w:szCs w:val="30"/>
              </w:rPr>
              <w:br w:type="textWrapping"/>
            </w:r>
            <w:r>
              <w:rPr>
                <w:rFonts w:hint="eastAsia" w:ascii="仿宋" w:hAnsi="仿宋" w:eastAsia="仿宋" w:cs="宋体"/>
                <w:kern w:val="0"/>
                <w:sz w:val="30"/>
                <w:szCs w:val="30"/>
              </w:rPr>
              <w:t>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30分</w:t>
            </w: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经济效益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人才引进最低增加收入</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326"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人才引进最高增加收入</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0.5万元</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社会效益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带动教育学历增长率</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改善学校人才结构率</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生态效益</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指标</w:t>
            </w:r>
          </w:p>
        </w:tc>
        <w:tc>
          <w:tcPr>
            <w:tcW w:w="818"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能耗下降率</w:t>
            </w:r>
          </w:p>
        </w:tc>
        <w:tc>
          <w:tcPr>
            <w:tcW w:w="288"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kern w:val="0"/>
                <w:sz w:val="30"/>
                <w:szCs w:val="30"/>
              </w:rPr>
              <w:t>≥</w:t>
            </w:r>
            <w:r>
              <w:rPr>
                <w:rFonts w:ascii="仿宋" w:hAnsi="仿宋" w:eastAsia="仿宋" w:cs="Arial"/>
                <w:kern w:val="0"/>
                <w:sz w:val="30"/>
                <w:szCs w:val="30"/>
              </w:rPr>
              <w:t>10%</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水电能源节约率</w:t>
            </w:r>
          </w:p>
        </w:tc>
        <w:tc>
          <w:tcPr>
            <w:tcW w:w="288"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可持续影响指标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项目持续发挥作用的期限</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=长期</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对本行业未来可持续发展的影响</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=可持续</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满意度指标</w:t>
            </w:r>
            <w:r>
              <w:rPr>
                <w:rFonts w:hint="eastAsia" w:ascii="仿宋" w:hAnsi="仿宋" w:eastAsia="仿宋" w:cs="宋体"/>
                <w:kern w:val="0"/>
                <w:sz w:val="30"/>
                <w:szCs w:val="30"/>
              </w:rPr>
              <w:br w:type="textWrapping"/>
            </w:r>
            <w:r>
              <w:rPr>
                <w:rFonts w:hint="eastAsia" w:ascii="仿宋" w:hAnsi="仿宋" w:eastAsia="仿宋" w:cs="宋体"/>
                <w:kern w:val="0"/>
                <w:sz w:val="30"/>
                <w:szCs w:val="30"/>
              </w:rPr>
              <w:t>10分</w:t>
            </w:r>
          </w:p>
        </w:tc>
        <w:tc>
          <w:tcPr>
            <w:tcW w:w="410"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服务对象</w:t>
            </w:r>
            <w:r>
              <w:rPr>
                <w:rFonts w:hint="eastAsia" w:ascii="仿宋" w:hAnsi="仿宋" w:eastAsia="仿宋" w:cs="宋体"/>
                <w:kern w:val="0"/>
                <w:sz w:val="30"/>
                <w:szCs w:val="30"/>
              </w:rPr>
              <w:br w:type="textWrapping"/>
            </w:r>
            <w:r>
              <w:rPr>
                <w:rFonts w:hint="eastAsia" w:ascii="仿宋" w:hAnsi="仿宋" w:eastAsia="仿宋" w:cs="宋体"/>
                <w:kern w:val="0"/>
                <w:sz w:val="30"/>
                <w:szCs w:val="30"/>
              </w:rPr>
              <w:t>满意度指标</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学生及家长满意度</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≥90%</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≥90%</w:t>
            </w:r>
          </w:p>
        </w:tc>
        <w:tc>
          <w:tcPr>
            <w:tcW w:w="326" w:type="pct"/>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社会满意度</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≥90%</w:t>
            </w:r>
          </w:p>
        </w:tc>
        <w:tc>
          <w:tcPr>
            <w:tcW w:w="809" w:type="pct"/>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≥90%</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3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32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0"/>
                <w:szCs w:val="30"/>
              </w:rPr>
            </w:pPr>
          </w:p>
        </w:tc>
        <w:tc>
          <w:tcPr>
            <w:tcW w:w="410"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w:t>
            </w:r>
          </w:p>
        </w:tc>
        <w:tc>
          <w:tcPr>
            <w:tcW w:w="818"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288"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37"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809" w:type="pct"/>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c>
          <w:tcPr>
            <w:tcW w:w="326" w:type="pct"/>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0"/>
                <w:szCs w:val="30"/>
              </w:rPr>
            </w:pP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r>
        <w:tblPrEx>
          <w:tblCellMar>
            <w:top w:w="0" w:type="dxa"/>
            <w:left w:w="108" w:type="dxa"/>
            <w:bottom w:w="0" w:type="dxa"/>
            <w:right w:w="108" w:type="dxa"/>
          </w:tblCellMar>
        </w:tblPrEx>
        <w:trPr>
          <w:trHeight w:val="252" w:hRule="atLeast"/>
        </w:trPr>
        <w:tc>
          <w:tcPr>
            <w:tcW w:w="1952"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总分</w:t>
            </w:r>
          </w:p>
        </w:tc>
        <w:tc>
          <w:tcPr>
            <w:tcW w:w="288" w:type="pct"/>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164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　</w:t>
            </w:r>
          </w:p>
        </w:tc>
        <w:tc>
          <w:tcPr>
            <w:tcW w:w="326" w:type="pct"/>
            <w:gridSpan w:val="2"/>
            <w:tcBorders>
              <w:top w:val="nil"/>
              <w:left w:val="nil"/>
              <w:bottom w:val="single" w:color="auto" w:sz="4" w:space="0"/>
              <w:right w:val="single" w:color="auto" w:sz="4" w:space="0"/>
            </w:tcBorders>
            <w:vAlign w:val="center"/>
          </w:tcPr>
          <w:p>
            <w:pPr>
              <w:widowControl/>
              <w:jc w:val="righ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100</w:t>
            </w:r>
          </w:p>
        </w:tc>
        <w:tc>
          <w:tcPr>
            <w:tcW w:w="786" w:type="pct"/>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　</w:t>
            </w:r>
          </w:p>
        </w:tc>
      </w:tr>
    </w:tbl>
    <w:p>
      <w:pPr>
        <w:widowControl/>
        <w:jc w:val="left"/>
        <w:rPr>
          <w:rFonts w:ascii="仿宋" w:hAnsi="仿宋" w:eastAsia="仿宋"/>
          <w:b/>
          <w:color w:val="000000"/>
          <w:sz w:val="30"/>
          <w:szCs w:val="30"/>
        </w:rPr>
      </w:pPr>
    </w:p>
    <w:p>
      <w:pPr>
        <w:numPr>
          <w:ilvl w:val="0"/>
          <w:numId w:val="0"/>
        </w:numPr>
        <w:spacing w:line="600" w:lineRule="exact"/>
        <w:jc w:val="center"/>
        <w:outlineLvl w:val="0"/>
        <w:rPr>
          <w:rStyle w:val="13"/>
          <w:rFonts w:hint="eastAsia" w:ascii="黑体" w:hAnsi="黑体" w:eastAsia="黑体" w:cs="黑体"/>
          <w:b w:val="0"/>
          <w:sz w:val="44"/>
          <w:szCs w:val="44"/>
        </w:rPr>
      </w:pPr>
      <w:bookmarkStart w:id="76" w:name="_Toc15396613"/>
      <w:bookmarkStart w:id="77" w:name="_Toc15377225"/>
      <w:bookmarkStart w:id="78" w:name="_Toc25234"/>
      <w:r>
        <w:rPr>
          <w:rFonts w:hint="eastAsia" w:ascii="黑体" w:hAnsi="黑体" w:eastAsia="黑体" w:cs="黑体"/>
          <w:color w:val="000000"/>
          <w:sz w:val="44"/>
          <w:szCs w:val="44"/>
          <w:lang w:eastAsia="zh-CN"/>
        </w:rPr>
        <w:t>第三部分</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名</w:t>
      </w:r>
      <w:r>
        <w:rPr>
          <w:rStyle w:val="13"/>
          <w:rFonts w:hint="eastAsia" w:ascii="黑体" w:hAnsi="黑体" w:eastAsia="黑体" w:cs="黑体"/>
          <w:b w:val="0"/>
          <w:sz w:val="44"/>
          <w:szCs w:val="44"/>
        </w:rPr>
        <w:t>词解释</w:t>
      </w:r>
      <w:bookmarkEnd w:id="76"/>
      <w:bookmarkEnd w:id="77"/>
      <w:bookmarkEnd w:id="78"/>
    </w:p>
    <w:p>
      <w:pPr>
        <w:spacing w:line="600" w:lineRule="exact"/>
        <w:jc w:val="left"/>
        <w:rPr>
          <w:rFonts w:ascii="仿宋" w:hAnsi="仿宋" w:eastAsia="仿宋"/>
          <w:b/>
          <w:color w:val="000000"/>
          <w:sz w:val="30"/>
          <w:szCs w:val="30"/>
        </w:rPr>
      </w:pPr>
    </w:p>
    <w:p>
      <w:pPr>
        <w:pStyle w:val="32"/>
        <w:spacing w:line="560" w:lineRule="exact"/>
        <w:ind w:firstLine="600" w:firstLineChars="200"/>
        <w:rPr>
          <w:rFonts w:hAnsi="仿宋"/>
          <w:sz w:val="30"/>
          <w:szCs w:val="30"/>
        </w:rPr>
      </w:pPr>
      <w:r>
        <w:rPr>
          <w:rFonts w:hAnsi="仿宋"/>
          <w:sz w:val="30"/>
          <w:szCs w:val="30"/>
        </w:rPr>
        <w:t>1.</w:t>
      </w:r>
      <w:r>
        <w:rPr>
          <w:rFonts w:hint="eastAsia" w:hAnsi="仿宋"/>
          <w:sz w:val="30"/>
          <w:szCs w:val="30"/>
        </w:rPr>
        <w:t>财政拨款收入：指单位从同级财政部门取得的财政预算资金。</w:t>
      </w:r>
    </w:p>
    <w:p>
      <w:pPr>
        <w:pStyle w:val="32"/>
        <w:spacing w:line="560" w:lineRule="exact"/>
        <w:ind w:firstLine="600" w:firstLineChars="200"/>
        <w:rPr>
          <w:rFonts w:hint="eastAsia" w:hAnsi="仿宋"/>
          <w:sz w:val="30"/>
          <w:szCs w:val="30"/>
        </w:rPr>
      </w:pPr>
      <w:r>
        <w:rPr>
          <w:rFonts w:hAnsi="仿宋"/>
          <w:sz w:val="30"/>
          <w:szCs w:val="30"/>
        </w:rPr>
        <w:t>2.</w:t>
      </w:r>
      <w:r>
        <w:rPr>
          <w:rFonts w:hint="eastAsia" w:hAnsi="仿宋"/>
          <w:sz w:val="30"/>
          <w:szCs w:val="30"/>
        </w:rPr>
        <w:t>事业收入：指事业单位开展专业业务活动及辅助活动取得的收入。</w:t>
      </w:r>
    </w:p>
    <w:p>
      <w:pPr>
        <w:pStyle w:val="32"/>
        <w:spacing w:line="560" w:lineRule="exact"/>
        <w:ind w:firstLine="600" w:firstLineChars="200"/>
        <w:rPr>
          <w:rFonts w:hAnsi="仿宋"/>
          <w:sz w:val="30"/>
          <w:szCs w:val="30"/>
        </w:rPr>
      </w:pPr>
      <w:r>
        <w:rPr>
          <w:rFonts w:hAnsi="仿宋"/>
          <w:sz w:val="30"/>
          <w:szCs w:val="30"/>
        </w:rPr>
        <w:t>3.</w:t>
      </w:r>
      <w:r>
        <w:rPr>
          <w:rFonts w:hint="eastAsia" w:hAnsi="仿宋"/>
          <w:sz w:val="30"/>
          <w:szCs w:val="30"/>
        </w:rPr>
        <w:t>经营收入：指事业单位在专业业务活动及其辅助活动之外开展非独立核算经营活动取得的收入。</w:t>
      </w:r>
    </w:p>
    <w:p>
      <w:pPr>
        <w:pStyle w:val="32"/>
        <w:spacing w:line="560" w:lineRule="exact"/>
        <w:ind w:firstLine="600" w:firstLineChars="200"/>
        <w:rPr>
          <w:rFonts w:hAnsi="仿宋"/>
          <w:sz w:val="30"/>
          <w:szCs w:val="30"/>
        </w:rPr>
      </w:pPr>
      <w:r>
        <w:rPr>
          <w:rFonts w:hAnsi="仿宋"/>
          <w:sz w:val="30"/>
          <w:szCs w:val="30"/>
        </w:rPr>
        <w:t>4.</w:t>
      </w:r>
      <w:r>
        <w:rPr>
          <w:rFonts w:hint="eastAsia" w:hAnsi="仿宋"/>
          <w:sz w:val="30"/>
          <w:szCs w:val="30"/>
        </w:rPr>
        <w:t>其他收入：指单位取得的除上述收入以外的各项收入。</w:t>
      </w:r>
      <w:r>
        <w:rPr>
          <w:rFonts w:hAnsi="仿宋"/>
          <w:sz w:val="30"/>
          <w:szCs w:val="30"/>
        </w:rPr>
        <w:t xml:space="preserve"> </w:t>
      </w:r>
    </w:p>
    <w:p>
      <w:pPr>
        <w:pStyle w:val="32"/>
        <w:spacing w:line="560" w:lineRule="exact"/>
        <w:ind w:firstLine="600" w:firstLineChars="200"/>
        <w:rPr>
          <w:rFonts w:hAnsi="仿宋"/>
          <w:sz w:val="30"/>
          <w:szCs w:val="30"/>
        </w:rPr>
      </w:pPr>
      <w:r>
        <w:rPr>
          <w:rFonts w:hAnsi="仿宋"/>
          <w:sz w:val="30"/>
          <w:szCs w:val="30"/>
        </w:rPr>
        <w:t>5.</w:t>
      </w:r>
      <w:r>
        <w:rPr>
          <w:rFonts w:hint="eastAsia" w:hAnsi="仿宋"/>
          <w:sz w:val="30"/>
          <w:szCs w:val="30"/>
        </w:rPr>
        <w:t>使用非财政拨款结余：指事业单位使用以前年度积累的非财政拨款结余弥补当年收支差额的金额。</w:t>
      </w:r>
      <w:r>
        <w:rPr>
          <w:rFonts w:hAnsi="仿宋"/>
          <w:sz w:val="30"/>
          <w:szCs w:val="30"/>
        </w:rPr>
        <w:t xml:space="preserve"> </w:t>
      </w:r>
    </w:p>
    <w:p>
      <w:pPr>
        <w:pStyle w:val="32"/>
        <w:spacing w:line="560" w:lineRule="exact"/>
        <w:ind w:firstLine="600" w:firstLineChars="200"/>
        <w:rPr>
          <w:rFonts w:hAnsi="仿宋"/>
          <w:sz w:val="30"/>
          <w:szCs w:val="30"/>
        </w:rPr>
      </w:pPr>
      <w:r>
        <w:rPr>
          <w:rFonts w:hAnsi="仿宋"/>
          <w:sz w:val="30"/>
          <w:szCs w:val="30"/>
        </w:rPr>
        <w:t>6.</w:t>
      </w:r>
      <w:r>
        <w:rPr>
          <w:rFonts w:hint="eastAsia" w:hAnsi="仿宋"/>
          <w:sz w:val="30"/>
          <w:szCs w:val="30"/>
        </w:rPr>
        <w:t>年初结转和结余：指以前年度尚未完成、结转到本年按有关规定继续使用的资金。</w:t>
      </w:r>
      <w:r>
        <w:rPr>
          <w:rFonts w:hAnsi="仿宋"/>
          <w:sz w:val="30"/>
          <w:szCs w:val="30"/>
        </w:rPr>
        <w:t xml:space="preserve"> </w:t>
      </w:r>
    </w:p>
    <w:p>
      <w:pPr>
        <w:pStyle w:val="32"/>
        <w:spacing w:line="560" w:lineRule="exact"/>
        <w:ind w:firstLine="600" w:firstLineChars="200"/>
        <w:rPr>
          <w:rFonts w:hAnsi="仿宋"/>
          <w:sz w:val="30"/>
          <w:szCs w:val="30"/>
        </w:rPr>
      </w:pPr>
      <w:r>
        <w:rPr>
          <w:rFonts w:hAnsi="仿宋"/>
          <w:sz w:val="30"/>
          <w:szCs w:val="30"/>
        </w:rPr>
        <w:t>7.</w:t>
      </w:r>
      <w:r>
        <w:rPr>
          <w:rFonts w:hint="eastAsia" w:hAnsi="仿宋"/>
          <w:sz w:val="30"/>
          <w:szCs w:val="30"/>
        </w:rPr>
        <w:t>结余分配：指事业单位按照会计制度规定缴纳的所得税、提取的专用结余以及转入非财政拨款结余的金额等。</w:t>
      </w:r>
    </w:p>
    <w:p>
      <w:pPr>
        <w:pStyle w:val="32"/>
        <w:spacing w:line="560" w:lineRule="exact"/>
        <w:ind w:firstLine="600" w:firstLineChars="200"/>
        <w:rPr>
          <w:rFonts w:hAnsi="仿宋"/>
          <w:sz w:val="30"/>
          <w:szCs w:val="30"/>
        </w:rPr>
      </w:pPr>
      <w:r>
        <w:rPr>
          <w:rFonts w:hAnsi="仿宋"/>
          <w:sz w:val="30"/>
          <w:szCs w:val="30"/>
        </w:rPr>
        <w:t>8</w:t>
      </w:r>
      <w:r>
        <w:rPr>
          <w:rFonts w:hint="eastAsia" w:hAnsi="仿宋"/>
          <w:sz w:val="30"/>
          <w:szCs w:val="30"/>
        </w:rPr>
        <w:t>、年末结转和结余：指单位按有关规定结转到下年或以后年度继续使用的资金。</w:t>
      </w:r>
    </w:p>
    <w:p>
      <w:pPr>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9</w:t>
      </w:r>
      <w:r>
        <w:rPr>
          <w:rFonts w:ascii="仿宋" w:hAnsi="仿宋" w:eastAsia="仿宋"/>
          <w:color w:val="000000"/>
          <w:sz w:val="30"/>
          <w:szCs w:val="30"/>
        </w:rPr>
        <w:t>.</w:t>
      </w:r>
      <w:r>
        <w:rPr>
          <w:rFonts w:hint="eastAsia" w:ascii="仿宋" w:hAnsi="仿宋" w:eastAsia="仿宋"/>
          <w:color w:val="000000"/>
          <w:sz w:val="30"/>
          <w:szCs w:val="30"/>
        </w:rPr>
        <w:t>基本支出：指为保障机构正常运转、完成日常工作任务而发生的人员支出和公用支出。</w:t>
      </w:r>
    </w:p>
    <w:p>
      <w:pPr>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10</w:t>
      </w:r>
      <w:r>
        <w:rPr>
          <w:rFonts w:ascii="仿宋" w:hAnsi="仿宋" w:eastAsia="仿宋"/>
          <w:color w:val="000000"/>
          <w:sz w:val="30"/>
          <w:szCs w:val="30"/>
        </w:rPr>
        <w:t>.</w:t>
      </w:r>
      <w:r>
        <w:rPr>
          <w:rFonts w:hint="eastAsia" w:ascii="仿宋" w:hAnsi="仿宋" w:eastAsia="仿宋"/>
          <w:color w:val="000000"/>
          <w:sz w:val="30"/>
          <w:szCs w:val="30"/>
        </w:rPr>
        <w:t>项目支出：指在基本支出之外为完成特定行政任务和事业发展目标所发生的支出。</w:t>
      </w:r>
      <w:r>
        <w:rPr>
          <w:rFonts w:ascii="仿宋" w:hAnsi="仿宋" w:eastAsia="仿宋"/>
          <w:color w:val="000000"/>
          <w:sz w:val="30"/>
          <w:szCs w:val="30"/>
        </w:rPr>
        <w:t xml:space="preserve"> </w:t>
      </w:r>
    </w:p>
    <w:p>
      <w:pPr>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11</w:t>
      </w:r>
      <w:r>
        <w:rPr>
          <w:rFonts w:ascii="仿宋" w:hAnsi="仿宋" w:eastAsia="仿宋"/>
          <w:color w:val="000000"/>
          <w:sz w:val="30"/>
          <w:szCs w:val="30"/>
        </w:rPr>
        <w:t>.</w:t>
      </w:r>
      <w:r>
        <w:rPr>
          <w:rFonts w:hint="eastAsia" w:ascii="仿宋" w:hAnsi="仿宋" w:eastAsia="仿宋"/>
          <w:color w:val="000000"/>
          <w:sz w:val="30"/>
          <w:szCs w:val="30"/>
        </w:rPr>
        <w:t>经营支出：指事业单位在专业业务活动及其辅助活动之外开展非独立核算经营活动发生的支出。</w:t>
      </w:r>
    </w:p>
    <w:p>
      <w:pPr>
        <w:pStyle w:val="32"/>
        <w:spacing w:line="560" w:lineRule="exact"/>
        <w:ind w:firstLine="600" w:firstLineChars="200"/>
        <w:rPr>
          <w:rFonts w:hAnsi="仿宋"/>
          <w:sz w:val="30"/>
          <w:szCs w:val="30"/>
        </w:rPr>
      </w:pPr>
      <w:r>
        <w:rPr>
          <w:rFonts w:hint="eastAsia" w:hAnsi="仿宋"/>
          <w:sz w:val="30"/>
          <w:szCs w:val="30"/>
          <w:lang w:val="en-US" w:eastAsia="zh-CN"/>
        </w:rPr>
        <w:t>12</w:t>
      </w:r>
      <w:r>
        <w:rPr>
          <w:rFonts w:hAnsi="仿宋"/>
          <w:sz w:val="30"/>
          <w:szCs w:val="30"/>
        </w:rPr>
        <w:t>.</w:t>
      </w:r>
      <w:r>
        <w:rPr>
          <w:rFonts w:hint="eastAsia" w:hAnsi="仿宋"/>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2"/>
        <w:spacing w:line="560" w:lineRule="exact"/>
        <w:ind w:firstLine="600" w:firstLineChars="200"/>
        <w:rPr>
          <w:rFonts w:hAnsi="仿宋"/>
          <w:sz w:val="30"/>
          <w:szCs w:val="30"/>
        </w:rPr>
      </w:pPr>
      <w:r>
        <w:rPr>
          <w:rFonts w:hint="eastAsia" w:hAnsi="仿宋"/>
          <w:sz w:val="30"/>
          <w:szCs w:val="30"/>
          <w:lang w:val="en-US" w:eastAsia="zh-CN"/>
        </w:rPr>
        <w:t>13</w:t>
      </w:r>
      <w:r>
        <w:rPr>
          <w:rFonts w:hAnsi="仿宋"/>
          <w:sz w:val="30"/>
          <w:szCs w:val="30"/>
        </w:rPr>
        <w:t>.</w:t>
      </w:r>
      <w:r>
        <w:rPr>
          <w:rFonts w:hint="eastAsia" w:hAnsi="仿宋"/>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2"/>
        <w:spacing w:line="560" w:lineRule="exact"/>
        <w:ind w:firstLine="600" w:firstLineChars="200"/>
        <w:rPr>
          <w:rFonts w:hAnsi="仿宋" w:cs="黑体"/>
          <w:sz w:val="30"/>
          <w:szCs w:val="30"/>
        </w:rPr>
      </w:pPr>
    </w:p>
    <w:p>
      <w:pPr>
        <w:spacing w:line="600" w:lineRule="exact"/>
        <w:jc w:val="center"/>
        <w:outlineLvl w:val="0"/>
        <w:rPr>
          <w:rStyle w:val="13"/>
          <w:rFonts w:ascii="仿宋" w:hAnsi="仿宋" w:eastAsia="仿宋"/>
          <w:b w:val="0"/>
          <w:sz w:val="30"/>
          <w:szCs w:val="30"/>
        </w:rPr>
      </w:pPr>
      <w:bookmarkStart w:id="79" w:name="_Toc15377226"/>
      <w:r>
        <w:br w:type="page"/>
      </w:r>
      <w:bookmarkStart w:id="80" w:name="_Toc15396614"/>
      <w:bookmarkStart w:id="81" w:name="_Toc8820"/>
      <w:r>
        <w:rPr>
          <w:rFonts w:hint="eastAsia" w:ascii="黑体" w:hAnsi="黑体" w:eastAsia="黑体" w:cs="黑体"/>
          <w:color w:val="000000"/>
          <w:sz w:val="44"/>
          <w:szCs w:val="44"/>
        </w:rPr>
        <w:t>第</w:t>
      </w:r>
      <w:r>
        <w:rPr>
          <w:rStyle w:val="13"/>
          <w:rFonts w:hint="eastAsia" w:ascii="黑体" w:hAnsi="黑体" w:eastAsia="黑体" w:cs="黑体"/>
          <w:b w:val="0"/>
          <w:sz w:val="44"/>
          <w:szCs w:val="44"/>
        </w:rPr>
        <w:t>四部分 附件</w:t>
      </w:r>
      <w:bookmarkEnd w:id="80"/>
      <w:bookmarkEnd w:id="81"/>
    </w:p>
    <w:p>
      <w:pPr>
        <w:spacing w:line="600" w:lineRule="exact"/>
        <w:jc w:val="left"/>
        <w:outlineLvl w:val="1"/>
        <w:rPr>
          <w:rFonts w:ascii="仿宋" w:hAnsi="仿宋" w:eastAsia="仿宋" w:cs="方正小标宋简体"/>
          <w:sz w:val="30"/>
          <w:szCs w:val="30"/>
        </w:rPr>
      </w:pPr>
      <w:bookmarkStart w:id="82" w:name="_Toc28287"/>
      <w:r>
        <w:rPr>
          <w:rFonts w:hint="eastAsia" w:ascii="仿宋" w:hAnsi="仿宋" w:eastAsia="仿宋" w:cs="黑体"/>
          <w:sz w:val="30"/>
          <w:szCs w:val="30"/>
        </w:rPr>
        <w:t>附件</w:t>
      </w:r>
      <w:r>
        <w:rPr>
          <w:rFonts w:ascii="仿宋" w:hAnsi="仿宋" w:eastAsia="仿宋" w:cs="黑体"/>
          <w:sz w:val="30"/>
          <w:szCs w:val="30"/>
        </w:rPr>
        <w:t>1</w:t>
      </w:r>
      <w:bookmarkEnd w:id="82"/>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通江县教育科技和体育局</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2020年整体支出绩效自评报告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一、部门概况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单位基本情况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1、通江县教育科技和体育局属全额拨款行政单位，预算级别为县级。年末我局共有编制人数40人，</w:t>
      </w:r>
      <w:r>
        <w:rPr>
          <w:rFonts w:hint="eastAsia" w:ascii="仿宋" w:hAnsi="仿宋" w:eastAsia="仿宋" w:cs="仿宋"/>
          <w:sz w:val="32"/>
          <w:szCs w:val="32"/>
          <w:lang w:val="en-US" w:eastAsia="zh-CN"/>
        </w:rPr>
        <w:t>其中：</w:t>
      </w:r>
      <w:r>
        <w:rPr>
          <w:rFonts w:hint="eastAsia" w:ascii="仿宋" w:hAnsi="仿宋" w:eastAsia="仿宋" w:cs="仿宋"/>
          <w:sz w:val="32"/>
          <w:szCs w:val="32"/>
        </w:rPr>
        <w:t>遗属人员1人，退休人员43人。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2020年年初预算，县教科体局共有编制人数为58人，其中全额拨款行政事业编制58人，财政供养人员控制率100%，未超过编制。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（二）主要职能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（一）拟订全县教育科技体育体制改革方案和教育科技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体育事业发展规划并组织实施，负责全县教育科技体育的统筹规划和协调管理。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（二）指导全县各级各类学校的教育教学改革工作，负责全县中小学布局结构调整和教育科技体育系统基本信息统计、分析、发布以及教育信息化建设工作。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（三）负责义务教育、学前教育、特殊教育的宏观指导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与协调，推进全县义务教育均衡发展和促进教育公平。管理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普通高中教育、中等职业教育、学前教育、特殊教育工作推进基础教育教学改革，全面实施素质教育。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（四）统筹和指导全县教育督导工作，负责组织指导、督导检查和评估验收基本普及九年义务教育、基本扫除青壮年文盲工作，指导基础教育发展水平和质量监测工作。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（五）指导以就业为导向的职业教育发展与改革工作。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负责全县教育科技体育经费的统筹管理，参与拟订教育科技体育经费筹措、经费划拨、基建投资政策措施，监督指导全县教育科技体育经费的筹措和使用情况，监督指导国（境）外教育科技体育项目援助、项目贷款和项目合作执行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（七）统筹规划、综合管理全县民办教育，规范民办教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育办学秩序，促进民办教育事业健康发展。监督指导部门企业举办学校和社会力量办学情况。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（八）指导教育科技体育系统人才队伍建设工作，拟订教育、科技、体育人才队伍建设规划和政策措施并组织实施。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主管全县教师工作，负责组织实施教育科技体育系统继续教育、专业技术职务资格评审和教师资格认定的有关工作。组织实施科技人才计划，建立健全科技人才评价和激励机制，推动高层次科技创新人才队伍建设，负责全县科学技术奖的评审组织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（九）指导全县各级各类学校的思想政治、德育、体育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卫生与艺术教育、国防教育、科技创新工作。指导全县教育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科技体育系统党建和精神文明建设工作，会同有关部门加强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学校等直属单位领导班子建设。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负责指导全县教育教学、科技体育工作和教育类学会、协会、研究会、基金会等教育社团组织工作，规划指导教育科研、教育技术装备和现代信息技术教育工作，组织开展教学研究、教育科学研究、科技创新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（十一）会同有关部门拟订中等职业教育学校及高中招生计划并组织实施，负责权限内各类学历教育考试工作和基础教育、中等职业教育、成人教育学籍学历管理工作。指导普通高等学校毕业生就业创业工作。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（十二）拟定全县语言文字工作规划并组织实施，指导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普通话推广和普通话师资培训工作，承担县语言文字工作委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员会具体工作。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三）拟订全县农村义务教育学生营养改善计划规划方案并组织实施。监督指导全县学校后勤管理和学校安全稳定工作。督促学校加强校舍、食品、卫生、饮水、道路交通、教学设施设备等安全管理，协调学校重大安全事故的处理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四）组织指导全县教育科技体育系统对外交流与合作，开展港澳台教育科技体育交流与合作，开展国际科技合作与科技人才交流，指导相关部门和乡镇对外科技合作与科技人才交流工作。负责教育科技体育系统来通外籍教师专家、科技人才的有关管理工作，负责建立外国专家联系服务机制和引进国外智力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五）组织实施全县创新驱动发展战略，统筹推进全县创新体系建设，会同有关部门健全技术创新激励机制。优化科研体系建设，指导科技发展、科技创新工作，推动企业科创能力建设和重大科技决策咨询制度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六）牵头建立统一的全县科技管理平台和科技项目资金协调、实施、评估、监管机制。会同有关部门提出优化配置科技资源的政策措施建议，推动多元化科技投入体系建设。组织拟订县级财政科技计划（专项、基金）并监督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（十七）组织实施科学普及和科学传播规划，监督实施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重大科技创新基地、基础设施建设规划。牵头承担国家、省、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市重点实验室建设管理。推动科研条件保障建设和科技资源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开放共享。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（十八）编制全县重大科技专项方案并组织实施，统筹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关键共性技术、现代工程技术研发和创新，牵头组织重大技术攻关和成果应用示范。组织拟订高新技术发展及产业化、科技促进农业农村和社会发展的规划、政策和措施。组织开展重点领域技术发展需求分析，提出重大任务并组织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九）牵头全县技术转移体系建设，拟订科技成果转移化和促进产学研结合的相关政策措施并组织实施。指导科技服务业、技术市场和科技中介组织发展。统筹区域科技创新体系建设，指导区域创新发展、科技资源合理布局和协同创新能力建设，推动科技园区建设。负责科技监督评价体系建设和相关科技评估管理，指导科技评价机制改革，统筹科研诚信建设。组织实施全县创新调查和科技报告制度，指导全县科技保密相关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（二十）组织实施全县体育发展战略，推动多元体育服务、体育公共服务体系和国民体质监测、社会体育指导工作队伍建设，监督指导全县公共体育设施建设，监督实施国家体育锻炼标准和全民健身计划。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（二十一）指导和管理体育训练、体育竞赛和运动队伍建设，指导和推进青少年体育工作，组织协调县级及以上综合性运动会的竞赛、运动员社会保障工作，监督指导反兴奋剂工作。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（二十二）指导和推进全县体育产业发展，规范体育市场经营行为，加强体育彩票销售网点规范化建设，监督管理体育彩票经营活动。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（二十三）负责职责范围内的安全生产和职业健康、生态环境保护、审批服务便民化等工作。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（二十四）完成县委、县政府交办的其他任务。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二、资金使用情况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zh-CN"/>
        </w:rPr>
        <w:t>（一）资金使用情况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截止到2020年12月31日实际支出9036470.97元，资金开支范围包括：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工资福利支出4956077.97元。其中：基本工资1867632.00元；津贴补贴901128.00元；奖金91951.00元；绩效工资456504.00元；养老保险517570.00元；医疗保险326558.00元；公务员医疗补助37634.00元；其他社会保障缴费34590.00；住房公积金388182.00元；其他工资福利支出220000.00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3、商品和服务支出2205077.00元。其中：会议费5000.00元；培训费710000.00元；公务接待费8000.00元；工会经费22410.00元；福利费28017.00元。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4、对个人和家庭的补助支出1348296.00元。其中：生活补助15120.00元。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5、对企业补助527020.00元。属于惠民农村产业技术服务心经费300000.00元；科技信息员咨询费227020.00元。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支付进度为100%，支付依据合法合规，资金支付与年初预算相符。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（二）组织实施情况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zh-CN"/>
        </w:rPr>
        <w:t>1、</w:t>
      </w:r>
      <w:r>
        <w:rPr>
          <w:rFonts w:hint="eastAsia" w:ascii="仿宋" w:hAnsi="仿宋" w:eastAsia="仿宋" w:cs="仿宋"/>
          <w:sz w:val="32"/>
          <w:szCs w:val="32"/>
        </w:rPr>
        <w:t>内设机构有办公室、政策法规股 （ 行政审批股 ）、基础教育股、德育卫生艺术股、职业与成人教育股（民办教育股）、后勤管理股、体育股、安全管理股、科技股、监察审计股、计划基建财务股、人事股 （ 师训股）、信访和群众工作股。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2、单位建立了内部控制制度，成立了财务内审监督领导小组。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严格执行政府会计制度。一是严格按预算政策、口径编制部门预算；二是及时公示县财政局最终批复的预算数，并严格按预算额度、进度提出执行申请，无超预算支出；三是严格执行三公经费的管理规定，公务接待开支下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rPr>
        <w:t>三、目标完成情况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1、执行党和国家教育方针、政策，实现全年教育科技体育目标任务。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2、完成教师培训工作。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3、加强教育、科技和体育项目顺利推进。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4、实施科技项目，提升科技创新能力。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5、实施义务教育营养改善计划。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6、通中迁建工程。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7、完成精准扶贫工作任务。一是选派13名优秀职工驻村；二是组织</w:t>
      </w:r>
      <w:r>
        <w:rPr>
          <w:rFonts w:hint="eastAsia" w:ascii="仿宋" w:hAnsi="仿宋" w:eastAsia="仿宋" w:cs="仿宋"/>
          <w:sz w:val="32"/>
          <w:szCs w:val="32"/>
        </w:rPr>
        <w:t>全局</w:t>
      </w:r>
      <w:r>
        <w:rPr>
          <w:rFonts w:hint="eastAsia" w:ascii="仿宋" w:hAnsi="仿宋" w:eastAsia="仿宋" w:cs="仿宋"/>
          <w:sz w:val="32"/>
          <w:szCs w:val="32"/>
          <w:lang w:val="zh-CN"/>
        </w:rPr>
        <w:t>职工结对帮扶。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8、工资福利保障人数：</w:t>
      </w:r>
      <w:r>
        <w:rPr>
          <w:rFonts w:hint="eastAsia" w:ascii="仿宋" w:hAnsi="仿宋" w:eastAsia="仿宋" w:cs="仿宋"/>
          <w:sz w:val="32"/>
          <w:szCs w:val="32"/>
        </w:rPr>
        <w:t>44</w:t>
      </w:r>
      <w:r>
        <w:rPr>
          <w:rFonts w:hint="eastAsia" w:ascii="仿宋" w:hAnsi="仿宋" w:eastAsia="仿宋" w:cs="仿宋"/>
          <w:sz w:val="32"/>
          <w:szCs w:val="32"/>
          <w:lang w:val="zh-CN"/>
        </w:rPr>
        <w:t>人；工资福利保障完成100%；工资福利100%按时发放。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四、部门绩效评价情况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根据县委年初下达的目标任务的完成情况，我局2020年综合目标考核为一等奖。根据《部门整体支出绩效评价指标体系》评分，部门整体支出绩效为“优”。 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五、问题及建议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zh-CN"/>
        </w:rPr>
        <w:t>1.目前通江县教育科技和体育局</w:t>
      </w:r>
      <w:r>
        <w:rPr>
          <w:rFonts w:hint="eastAsia" w:ascii="仿宋" w:hAnsi="仿宋" w:eastAsia="仿宋" w:cs="仿宋"/>
          <w:sz w:val="32"/>
          <w:szCs w:val="32"/>
        </w:rPr>
        <w:t>只有24个行政编制，保留3个工勤编制。为了完成目标工作任务，单位人员显得比较紧张。为了保证全县教育科技和体育工作正常开展，人员编制和实际在职职工人数严重不足。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2、因驻村人员多达13人，结对帮扶联系建档立卡贫困户多，下乡扶贫次数要求多，驻村工作经费和扶贫差旅经费缺口较大。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zh-CN"/>
        </w:rPr>
        <w:t>针对上述存在的问题，建议：1、合理核编，对编制实施动态管理，确保教育科技和体育事业的健康发展；2、</w:t>
      </w:r>
      <w:r>
        <w:rPr>
          <w:rFonts w:hint="eastAsia" w:ascii="仿宋" w:hAnsi="仿宋" w:eastAsia="仿宋" w:cs="仿宋"/>
          <w:sz w:val="32"/>
          <w:szCs w:val="32"/>
        </w:rPr>
        <w:t>科学合理制定绩效目标及考核体系，充分发挥绩效工作效用；</w:t>
      </w:r>
      <w:r>
        <w:rPr>
          <w:rFonts w:hint="eastAsia" w:ascii="仿宋" w:hAnsi="仿宋" w:eastAsia="仿宋" w:cs="仿宋"/>
          <w:sz w:val="32"/>
          <w:szCs w:val="32"/>
          <w:lang w:val="zh-CN"/>
        </w:rPr>
        <w:t>3</w:t>
      </w:r>
      <w:r>
        <w:rPr>
          <w:rFonts w:hint="eastAsia" w:ascii="仿宋" w:hAnsi="仿宋" w:eastAsia="仿宋" w:cs="仿宋"/>
          <w:sz w:val="32"/>
          <w:szCs w:val="32"/>
        </w:rPr>
        <w:t xml:space="preserve"> 、足额预算各项经费，保证机关正常运转。</w:t>
      </w:r>
    </w:p>
    <w:p>
      <w:pPr>
        <w:spacing w:line="580" w:lineRule="exact"/>
        <w:rPr>
          <w:rFonts w:hint="eastAsia" w:ascii="仿宋" w:hAnsi="仿宋" w:eastAsia="仿宋" w:cs="黑体"/>
          <w:sz w:val="30"/>
          <w:szCs w:val="30"/>
        </w:rPr>
      </w:pPr>
    </w:p>
    <w:p>
      <w:pPr>
        <w:spacing w:line="580" w:lineRule="exact"/>
        <w:rPr>
          <w:rFonts w:hint="eastAsia" w:ascii="仿宋" w:hAnsi="仿宋" w:eastAsia="仿宋" w:cs="黑体"/>
          <w:sz w:val="30"/>
          <w:szCs w:val="30"/>
        </w:rPr>
      </w:pPr>
    </w:p>
    <w:p>
      <w:pPr>
        <w:spacing w:line="580" w:lineRule="exact"/>
        <w:rPr>
          <w:rFonts w:hint="eastAsia" w:ascii="仿宋" w:hAnsi="仿宋" w:eastAsia="仿宋" w:cs="黑体"/>
          <w:sz w:val="30"/>
          <w:szCs w:val="30"/>
        </w:rPr>
      </w:pPr>
    </w:p>
    <w:p>
      <w:pPr>
        <w:spacing w:line="580" w:lineRule="exact"/>
        <w:rPr>
          <w:rFonts w:hint="eastAsia" w:ascii="仿宋" w:hAnsi="仿宋" w:eastAsia="仿宋" w:cs="黑体"/>
          <w:sz w:val="30"/>
          <w:szCs w:val="30"/>
        </w:rPr>
      </w:pPr>
    </w:p>
    <w:p>
      <w:pPr>
        <w:spacing w:line="580" w:lineRule="exact"/>
        <w:rPr>
          <w:rFonts w:hint="eastAsia" w:ascii="仿宋" w:hAnsi="仿宋" w:eastAsia="仿宋" w:cs="黑体"/>
          <w:sz w:val="30"/>
          <w:szCs w:val="30"/>
        </w:rPr>
      </w:pPr>
    </w:p>
    <w:p>
      <w:pPr>
        <w:spacing w:line="580" w:lineRule="exact"/>
        <w:outlineLvl w:val="1"/>
        <w:rPr>
          <w:rFonts w:ascii="仿宋" w:hAnsi="仿宋" w:eastAsia="仿宋" w:cs="仿宋_GB2312"/>
          <w:sz w:val="30"/>
          <w:szCs w:val="30"/>
        </w:rPr>
      </w:pPr>
      <w:bookmarkStart w:id="83" w:name="_Toc15420"/>
      <w:r>
        <w:rPr>
          <w:rFonts w:hint="eastAsia" w:ascii="仿宋" w:hAnsi="仿宋" w:eastAsia="仿宋" w:cs="黑体"/>
          <w:sz w:val="30"/>
          <w:szCs w:val="30"/>
        </w:rPr>
        <w:t>附件</w:t>
      </w:r>
      <w:r>
        <w:rPr>
          <w:rFonts w:ascii="仿宋" w:hAnsi="仿宋" w:eastAsia="仿宋" w:cs="黑体"/>
          <w:sz w:val="30"/>
          <w:szCs w:val="30"/>
        </w:rPr>
        <w:t>2</w:t>
      </w:r>
      <w:bookmarkEnd w:id="83"/>
    </w:p>
    <w:p>
      <w:pPr>
        <w:spacing w:line="580" w:lineRule="exact"/>
        <w:ind w:firstLine="600" w:firstLineChars="200"/>
        <w:rPr>
          <w:rFonts w:hint="eastAsia" w:ascii="仿宋" w:hAnsi="仿宋" w:eastAsia="仿宋" w:cs="仿宋_GB2312"/>
          <w:sz w:val="30"/>
          <w:szCs w:val="30"/>
        </w:rPr>
      </w:pP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通江县教育科技和体育局</w:t>
      </w:r>
    </w:p>
    <w:p>
      <w:pPr>
        <w:jc w:val="center"/>
        <w:rPr>
          <w:rFonts w:hint="eastAsia" w:ascii="宋体" w:hAnsi="宋体" w:eastAsia="宋体" w:cs="宋体"/>
          <w:b/>
          <w:sz w:val="44"/>
          <w:szCs w:val="44"/>
        </w:rPr>
      </w:pPr>
      <w:r>
        <w:rPr>
          <w:rFonts w:hint="eastAsia" w:ascii="宋体" w:hAnsi="宋体" w:eastAsia="宋体" w:cs="宋体"/>
          <w:b/>
          <w:color w:val="000000"/>
          <w:kern w:val="0"/>
          <w:sz w:val="44"/>
          <w:szCs w:val="44"/>
        </w:rPr>
        <w:t>关于2020年度</w:t>
      </w:r>
      <w:r>
        <w:rPr>
          <w:rFonts w:hint="eastAsia" w:ascii="宋体" w:hAnsi="宋体" w:eastAsia="宋体" w:cs="宋体"/>
          <w:b/>
          <w:sz w:val="44"/>
          <w:szCs w:val="44"/>
        </w:rPr>
        <w:t>教育项目前期工作经费</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项目绩效自评</w:t>
      </w:r>
      <w:r>
        <w:rPr>
          <w:rFonts w:hint="eastAsia" w:ascii="宋体" w:hAnsi="宋体" w:eastAsia="宋体" w:cs="宋体"/>
          <w:b/>
          <w:sz w:val="44"/>
          <w:szCs w:val="44"/>
        </w:rPr>
        <w:t>报告</w:t>
      </w:r>
    </w:p>
    <w:p>
      <w:pPr>
        <w:pStyle w:val="36"/>
        <w:spacing w:line="240" w:lineRule="auto"/>
        <w:ind w:firstLine="600" w:firstLineChars="200"/>
        <w:rPr>
          <w:rFonts w:ascii="仿宋" w:hAnsi="仿宋" w:eastAsia="仿宋" w:cs="仿宋_GB2312"/>
          <w:color w:val="auto"/>
          <w:kern w:val="2"/>
          <w:sz w:val="30"/>
          <w:szCs w:val="30"/>
        </w:rPr>
      </w:pPr>
      <w:r>
        <w:rPr>
          <w:rFonts w:hint="eastAsia" w:ascii="仿宋" w:hAnsi="仿宋" w:eastAsia="仿宋" w:cs="仿宋_GB2312"/>
          <w:color w:val="auto"/>
          <w:kern w:val="2"/>
          <w:sz w:val="30"/>
          <w:szCs w:val="30"/>
        </w:rPr>
        <w:t>为加强管理，充分发挥科技扶贫的作用，调动科技服务精准贫困户的积极性。根据《通江县财政局关于开展2020年度预算绩效自评的通知》通财绩【2021】4号文件精神，我局进行了自评，现将绩效自评情况报告如下：</w:t>
      </w:r>
    </w:p>
    <w:p>
      <w:pPr>
        <w:numPr>
          <w:ilvl w:val="0"/>
          <w:numId w:val="4"/>
        </w:numPr>
        <w:adjustRightInd w:val="0"/>
        <w:snapToGrid w:val="0"/>
        <w:spacing w:line="560" w:lineRule="exact"/>
        <w:ind w:firstLine="720"/>
        <w:rPr>
          <w:rFonts w:ascii="仿宋" w:hAnsi="仿宋" w:eastAsia="仿宋" w:cs="仿宋_GB2312"/>
          <w:b/>
          <w:sz w:val="30"/>
          <w:szCs w:val="30"/>
        </w:rPr>
      </w:pPr>
      <w:r>
        <w:rPr>
          <w:rFonts w:hint="eastAsia" w:ascii="仿宋" w:hAnsi="仿宋" w:eastAsia="仿宋" w:cs="仿宋_GB2312"/>
          <w:b/>
          <w:sz w:val="30"/>
          <w:szCs w:val="30"/>
        </w:rPr>
        <w:t>基本情况</w:t>
      </w:r>
    </w:p>
    <w:p>
      <w:pPr>
        <w:adjustRightInd w:val="0"/>
        <w:snapToGrid w:val="0"/>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通江县教育科技和体育局属全额拨款行政单位，预算级别为县级。年末我局共有编制人数40人，</w:t>
      </w:r>
      <w:r>
        <w:rPr>
          <w:rFonts w:hint="eastAsia" w:ascii="仿宋" w:hAnsi="仿宋" w:eastAsia="仿宋" w:cs="仿宋_GB2312"/>
          <w:sz w:val="30"/>
          <w:szCs w:val="30"/>
          <w:lang w:val="en-US" w:eastAsia="zh-CN"/>
        </w:rPr>
        <w:t>其中：</w:t>
      </w:r>
      <w:r>
        <w:rPr>
          <w:rFonts w:hint="eastAsia" w:ascii="仿宋" w:hAnsi="仿宋" w:eastAsia="仿宋" w:cs="仿宋_GB2312"/>
          <w:sz w:val="30"/>
          <w:szCs w:val="30"/>
        </w:rPr>
        <w:t>遗属人员1人，退休人员43人。2020年决算总支出9036470.97元，其中教育项目前期工作经费项目支出601000.00元，我局已于2020年完成了项目绩效目标。</w:t>
      </w:r>
    </w:p>
    <w:p>
      <w:pPr>
        <w:adjustRightInd w:val="0"/>
        <w:snapToGrid w:val="0"/>
        <w:spacing w:line="560" w:lineRule="exact"/>
        <w:ind w:firstLine="602" w:firstLineChars="200"/>
        <w:rPr>
          <w:rFonts w:ascii="仿宋" w:hAnsi="仿宋" w:eastAsia="仿宋" w:cs="仿宋_GB2312"/>
          <w:b/>
          <w:sz w:val="30"/>
          <w:szCs w:val="30"/>
        </w:rPr>
      </w:pPr>
      <w:r>
        <w:rPr>
          <w:rFonts w:hint="eastAsia" w:ascii="仿宋" w:hAnsi="仿宋" w:eastAsia="仿宋" w:cs="仿宋_GB2312"/>
          <w:b/>
          <w:sz w:val="30"/>
          <w:szCs w:val="30"/>
        </w:rPr>
        <w:t>二、资金使用情况</w:t>
      </w:r>
    </w:p>
    <w:p>
      <w:pPr>
        <w:pStyle w:val="36"/>
        <w:spacing w:line="240" w:lineRule="auto"/>
        <w:ind w:firstLine="600" w:firstLineChars="200"/>
        <w:rPr>
          <w:rFonts w:ascii="仿宋" w:hAnsi="仿宋" w:eastAsia="仿宋" w:cs="仿宋_GB2312"/>
          <w:color w:val="auto"/>
          <w:kern w:val="2"/>
          <w:sz w:val="30"/>
          <w:szCs w:val="30"/>
        </w:rPr>
      </w:pPr>
      <w:r>
        <w:rPr>
          <w:rFonts w:hint="eastAsia" w:ascii="仿宋" w:hAnsi="仿宋" w:eastAsia="仿宋"/>
          <w:sz w:val="30"/>
          <w:szCs w:val="30"/>
        </w:rPr>
        <w:t>（</w:t>
      </w:r>
      <w:r>
        <w:rPr>
          <w:rFonts w:hint="eastAsia" w:ascii="仿宋" w:hAnsi="仿宋" w:eastAsia="仿宋" w:cs="仿宋_GB2312"/>
          <w:color w:val="auto"/>
          <w:kern w:val="2"/>
          <w:sz w:val="30"/>
          <w:szCs w:val="30"/>
        </w:rPr>
        <w:t>一）资金使用</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全年共拨入601000.00元，全部用于教育项目前期工作支出，支出依据合规合法，资金支付与预算相符。</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（二）组织实施情况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教育项目前期工作的日常管理工作均按照相关管理制度执行，建立了工作有计划、实施有方案、日常有监督的管理机制，工作取得了较好的成效，效能得到了提高，获得了社会各界的好评。</w:t>
      </w:r>
    </w:p>
    <w:p>
      <w:pPr>
        <w:tabs>
          <w:tab w:val="left" w:pos="6804"/>
          <w:tab w:val="left" w:pos="7088"/>
          <w:tab w:val="left" w:pos="7513"/>
          <w:tab w:val="left" w:pos="8080"/>
        </w:tabs>
        <w:spacing w:line="520" w:lineRule="exact"/>
        <w:ind w:firstLine="602" w:firstLineChars="200"/>
        <w:jc w:val="left"/>
        <w:rPr>
          <w:rFonts w:ascii="仿宋" w:hAnsi="仿宋" w:eastAsia="仿宋"/>
          <w:sz w:val="30"/>
          <w:szCs w:val="30"/>
        </w:rPr>
      </w:pPr>
      <w:r>
        <w:rPr>
          <w:rFonts w:hint="eastAsia" w:ascii="仿宋" w:hAnsi="仿宋" w:eastAsia="仿宋" w:cs="仿宋_GB2312"/>
          <w:b/>
          <w:sz w:val="30"/>
          <w:szCs w:val="30"/>
        </w:rPr>
        <w:t>三、目标完成情况</w:t>
      </w:r>
      <w:r>
        <w:rPr>
          <w:rFonts w:hint="eastAsia" w:ascii="仿宋" w:hAnsi="仿宋" w:eastAsia="仿宋"/>
          <w:sz w:val="30"/>
          <w:szCs w:val="30"/>
        </w:rPr>
        <w:tab/>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（一）目标任务量完成情况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教育项目前期工作项目完成了目标任务，达到了相关要求，工作取得了较好成效。</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（二）目标质量完成情况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按照年初目标任务，实际完成较好。</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（三）目标进度完成情况</w:t>
      </w:r>
    </w:p>
    <w:p>
      <w:pPr>
        <w:adjustRightInd w:val="0"/>
        <w:snapToGrid w:val="0"/>
        <w:spacing w:line="560" w:lineRule="exact"/>
        <w:ind w:firstLine="720"/>
        <w:rPr>
          <w:rFonts w:ascii="仿宋" w:hAnsi="仿宋" w:eastAsia="仿宋"/>
          <w:sz w:val="30"/>
          <w:szCs w:val="30"/>
        </w:rPr>
      </w:pPr>
      <w:r>
        <w:rPr>
          <w:rFonts w:hint="eastAsia" w:ascii="仿宋" w:hAnsi="仿宋" w:eastAsia="仿宋" w:cs="仿宋_GB2312"/>
          <w:sz w:val="30"/>
          <w:szCs w:val="30"/>
        </w:rPr>
        <w:t>对照预定计划，教育项目前期工作完成了目标任务</w:t>
      </w:r>
      <w:r>
        <w:rPr>
          <w:rFonts w:hint="eastAsia" w:ascii="仿宋" w:hAnsi="仿宋" w:eastAsia="仿宋"/>
          <w:sz w:val="30"/>
          <w:szCs w:val="30"/>
        </w:rPr>
        <w:t>。</w:t>
      </w:r>
    </w:p>
    <w:p>
      <w:pPr>
        <w:adjustRightInd w:val="0"/>
        <w:snapToGrid w:val="0"/>
        <w:spacing w:line="560" w:lineRule="exact"/>
        <w:ind w:firstLine="720"/>
        <w:rPr>
          <w:rFonts w:ascii="仿宋" w:hAnsi="仿宋" w:eastAsia="仿宋"/>
          <w:b/>
          <w:sz w:val="30"/>
          <w:szCs w:val="30"/>
        </w:rPr>
      </w:pPr>
      <w:r>
        <w:rPr>
          <w:rFonts w:hint="eastAsia" w:ascii="仿宋" w:hAnsi="仿宋" w:eastAsia="仿宋" w:cs="仿宋_GB2312"/>
          <w:b/>
          <w:sz w:val="30"/>
          <w:szCs w:val="30"/>
        </w:rPr>
        <w:t>四、项目效益情况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实施了目标绩效考核，各方面工作都有序，高质量完成，产生较好的社会效益，严格执行目标管理，充分保障教育项目前期工作的有序推进，为建档立卡贫困户提供技术咨询，带动建档立卡贫困户脱贫致富。</w:t>
      </w:r>
    </w:p>
    <w:p>
      <w:pPr>
        <w:tabs>
          <w:tab w:val="left" w:pos="6804"/>
          <w:tab w:val="left" w:pos="7088"/>
          <w:tab w:val="left" w:pos="7513"/>
          <w:tab w:val="left" w:pos="8080"/>
        </w:tabs>
        <w:spacing w:line="520" w:lineRule="exact"/>
        <w:ind w:firstLine="602" w:firstLineChars="200"/>
        <w:jc w:val="left"/>
        <w:rPr>
          <w:rFonts w:ascii="仿宋" w:hAnsi="仿宋" w:eastAsia="仿宋" w:cs="仿宋_GB2312"/>
          <w:b/>
          <w:sz w:val="30"/>
          <w:szCs w:val="30"/>
        </w:rPr>
      </w:pPr>
      <w:r>
        <w:rPr>
          <w:rFonts w:hint="eastAsia" w:ascii="仿宋" w:hAnsi="仿宋" w:eastAsia="仿宋" w:cs="仿宋_GB2312"/>
          <w:b/>
          <w:sz w:val="30"/>
          <w:szCs w:val="30"/>
        </w:rPr>
        <w:t>五、问题及建议</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tabs>
          <w:tab w:val="left" w:pos="6804"/>
          <w:tab w:val="left" w:pos="7088"/>
          <w:tab w:val="left" w:pos="7513"/>
          <w:tab w:val="left" w:pos="8080"/>
        </w:tabs>
        <w:spacing w:line="520" w:lineRule="exact"/>
        <w:ind w:firstLine="600" w:firstLineChars="200"/>
        <w:jc w:val="right"/>
        <w:rPr>
          <w:rFonts w:ascii="仿宋" w:hAnsi="仿宋" w:eastAsia="仿宋"/>
          <w:sz w:val="30"/>
          <w:szCs w:val="30"/>
        </w:rPr>
      </w:pPr>
    </w:p>
    <w:p>
      <w:pPr>
        <w:spacing w:line="540" w:lineRule="exact"/>
        <w:rPr>
          <w:rFonts w:hint="eastAsia" w:ascii="仿宋" w:hAnsi="仿宋" w:eastAsia="仿宋"/>
          <w:sz w:val="30"/>
          <w:szCs w:val="30"/>
        </w:rPr>
      </w:pPr>
    </w:p>
    <w:p>
      <w:pPr>
        <w:spacing w:line="540" w:lineRule="exact"/>
        <w:rPr>
          <w:rFonts w:hint="eastAsia" w:ascii="仿宋" w:hAnsi="仿宋" w:eastAsia="仿宋"/>
          <w:sz w:val="30"/>
          <w:szCs w:val="30"/>
        </w:rPr>
      </w:pP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通江县教育科技和体育局</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关于2020年度科技信息员经项目绩效</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自评</w:t>
      </w:r>
      <w:r>
        <w:rPr>
          <w:rFonts w:hint="eastAsia" w:ascii="宋体" w:hAnsi="宋体" w:eastAsia="宋体" w:cs="宋体"/>
          <w:b/>
          <w:sz w:val="44"/>
          <w:szCs w:val="44"/>
        </w:rPr>
        <w:t>报告</w:t>
      </w:r>
    </w:p>
    <w:p>
      <w:pPr>
        <w:pStyle w:val="36"/>
        <w:spacing w:line="240" w:lineRule="auto"/>
        <w:ind w:firstLine="600" w:firstLineChars="200"/>
        <w:rPr>
          <w:rFonts w:hint="eastAsia" w:ascii="仿宋" w:hAnsi="仿宋" w:eastAsia="仿宋" w:cs="仿宋_GB2312"/>
          <w:color w:val="auto"/>
          <w:kern w:val="2"/>
          <w:sz w:val="30"/>
          <w:szCs w:val="30"/>
        </w:rPr>
      </w:pPr>
      <w:r>
        <w:rPr>
          <w:rFonts w:hint="eastAsia" w:ascii="仿宋" w:hAnsi="仿宋" w:eastAsia="仿宋" w:cs="仿宋_GB2312"/>
          <w:color w:val="auto"/>
          <w:kern w:val="2"/>
          <w:sz w:val="30"/>
          <w:szCs w:val="30"/>
        </w:rPr>
        <w:t>为加强管理，充分发挥科技扶贫的作用，调动科技信息员服务精准贫困户的积极性。根据《通江县财政局关于开展2020年度预算绩效自评的通知》通财绩【2021】4号文件精神，我局进行了自评，现将绩效自评情况报告如下：</w:t>
      </w:r>
    </w:p>
    <w:p>
      <w:pPr>
        <w:numPr>
          <w:ilvl w:val="0"/>
          <w:numId w:val="5"/>
        </w:numPr>
        <w:adjustRightInd w:val="0"/>
        <w:snapToGrid w:val="0"/>
        <w:spacing w:line="560" w:lineRule="exact"/>
        <w:ind w:left="1152" w:hanging="480"/>
        <w:rPr>
          <w:rFonts w:hint="eastAsia" w:ascii="仿宋" w:hAnsi="仿宋" w:eastAsia="仿宋" w:cs="仿宋_GB2312"/>
          <w:b/>
          <w:sz w:val="30"/>
          <w:szCs w:val="30"/>
        </w:rPr>
      </w:pPr>
      <w:r>
        <w:rPr>
          <w:rFonts w:hint="eastAsia" w:ascii="仿宋" w:hAnsi="仿宋" w:eastAsia="仿宋" w:cs="仿宋_GB2312"/>
          <w:b/>
          <w:sz w:val="30"/>
          <w:szCs w:val="30"/>
        </w:rPr>
        <w:t>基本情况</w:t>
      </w:r>
    </w:p>
    <w:p>
      <w:pPr>
        <w:adjustRightInd w:val="0"/>
        <w:snapToGrid w:val="0"/>
        <w:spacing w:line="56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通江县教育科技和体育局属全额拨款行政单位，预算级别为县级。年末我局共有编制人数40人，</w:t>
      </w:r>
      <w:r>
        <w:rPr>
          <w:rFonts w:hint="eastAsia" w:ascii="仿宋" w:hAnsi="仿宋" w:eastAsia="仿宋" w:cs="仿宋_GB2312"/>
          <w:sz w:val="30"/>
          <w:szCs w:val="30"/>
          <w:lang w:val="en-US" w:eastAsia="zh-CN"/>
        </w:rPr>
        <w:t>其中：</w:t>
      </w:r>
      <w:r>
        <w:rPr>
          <w:rFonts w:hint="eastAsia" w:ascii="仿宋" w:hAnsi="仿宋" w:eastAsia="仿宋" w:cs="仿宋_GB2312"/>
          <w:sz w:val="30"/>
          <w:szCs w:val="30"/>
        </w:rPr>
        <w:t>遗属人员1人，退休人员43人。2020年决算总支出9036470.97元，其中科技信息员费用项目支出227020.00元，我局已于2020年完成了项目绩效目标。</w:t>
      </w:r>
    </w:p>
    <w:p>
      <w:pPr>
        <w:adjustRightInd w:val="0"/>
        <w:snapToGrid w:val="0"/>
        <w:spacing w:line="560" w:lineRule="exact"/>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二、资金使用情况</w:t>
      </w:r>
    </w:p>
    <w:p>
      <w:pPr>
        <w:pStyle w:val="36"/>
        <w:spacing w:line="240" w:lineRule="auto"/>
        <w:ind w:firstLine="600" w:firstLineChars="200"/>
        <w:rPr>
          <w:rFonts w:hint="eastAsia" w:ascii="仿宋" w:hAnsi="仿宋" w:eastAsia="仿宋" w:cs="仿宋_GB2312"/>
          <w:color w:val="auto"/>
          <w:kern w:val="2"/>
          <w:sz w:val="30"/>
          <w:szCs w:val="30"/>
        </w:rPr>
      </w:pPr>
      <w:r>
        <w:rPr>
          <w:rFonts w:hint="eastAsia" w:ascii="仿宋" w:hAnsi="仿宋" w:eastAsia="仿宋"/>
          <w:sz w:val="30"/>
          <w:szCs w:val="30"/>
        </w:rPr>
        <w:t>（</w:t>
      </w:r>
      <w:r>
        <w:rPr>
          <w:rFonts w:hint="eastAsia" w:ascii="仿宋" w:hAnsi="仿宋" w:eastAsia="仿宋" w:cs="仿宋_GB2312"/>
          <w:color w:val="auto"/>
          <w:kern w:val="2"/>
          <w:sz w:val="30"/>
          <w:szCs w:val="30"/>
        </w:rPr>
        <w:t>一）资金使用</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全年共拨入227020.00元，全部用于科技信息员费用支出，支出依据合规合法，资金支付与预算相符。</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（二）组织实施情况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科技信息员费用的日常管理工作均按照相关管理制度执行，建立了工作有计划、实施有方案、日常有监督的管理机制，工作取得了较好的成效，效能得到了提高，获得了社会各界的好评。</w:t>
      </w:r>
    </w:p>
    <w:p>
      <w:pPr>
        <w:tabs>
          <w:tab w:val="left" w:pos="6804"/>
          <w:tab w:val="left" w:pos="7088"/>
          <w:tab w:val="left" w:pos="7513"/>
          <w:tab w:val="left" w:pos="8080"/>
        </w:tabs>
        <w:spacing w:line="520" w:lineRule="exact"/>
        <w:ind w:firstLine="602" w:firstLineChars="200"/>
        <w:jc w:val="left"/>
        <w:rPr>
          <w:rFonts w:hint="eastAsia" w:ascii="仿宋" w:hAnsi="仿宋" w:eastAsia="仿宋"/>
          <w:sz w:val="30"/>
          <w:szCs w:val="30"/>
        </w:rPr>
      </w:pPr>
      <w:r>
        <w:rPr>
          <w:rFonts w:hint="eastAsia" w:ascii="仿宋" w:hAnsi="仿宋" w:eastAsia="仿宋" w:cs="仿宋_GB2312"/>
          <w:b/>
          <w:sz w:val="30"/>
          <w:szCs w:val="30"/>
        </w:rPr>
        <w:t>三、目标完成情况</w:t>
      </w:r>
      <w:r>
        <w:rPr>
          <w:rFonts w:hint="eastAsia" w:ascii="仿宋" w:hAnsi="仿宋" w:eastAsia="仿宋"/>
          <w:sz w:val="30"/>
          <w:szCs w:val="30"/>
        </w:rPr>
        <w:tab/>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（一）目标任务量完成情况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科技信息员费用项目完成了目标任务，达到了相关要求，工作取得了较好成效。</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（二）目标质量完成情况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按照年初目标任务，实际完成较好。</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（三）目标进度完成情况</w:t>
      </w:r>
    </w:p>
    <w:p>
      <w:pPr>
        <w:adjustRightInd w:val="0"/>
        <w:snapToGrid w:val="0"/>
        <w:spacing w:line="560" w:lineRule="exact"/>
        <w:ind w:firstLine="720"/>
        <w:rPr>
          <w:rFonts w:hint="eastAsia" w:ascii="仿宋" w:hAnsi="仿宋" w:eastAsia="仿宋"/>
          <w:sz w:val="30"/>
          <w:szCs w:val="30"/>
        </w:rPr>
      </w:pPr>
      <w:r>
        <w:rPr>
          <w:rFonts w:hint="eastAsia" w:ascii="仿宋" w:hAnsi="仿宋" w:eastAsia="仿宋" w:cs="仿宋_GB2312"/>
          <w:sz w:val="30"/>
          <w:szCs w:val="30"/>
        </w:rPr>
        <w:t>对照预定计划，完成了目标任务。</w:t>
      </w:r>
    </w:p>
    <w:p>
      <w:pPr>
        <w:adjustRightInd w:val="0"/>
        <w:snapToGrid w:val="0"/>
        <w:spacing w:line="560" w:lineRule="exact"/>
        <w:ind w:firstLine="720"/>
        <w:rPr>
          <w:rFonts w:hint="eastAsia" w:ascii="仿宋" w:hAnsi="仿宋" w:eastAsia="仿宋"/>
          <w:b/>
          <w:sz w:val="30"/>
          <w:szCs w:val="30"/>
        </w:rPr>
      </w:pPr>
      <w:r>
        <w:rPr>
          <w:rFonts w:hint="eastAsia" w:ascii="仿宋" w:hAnsi="仿宋" w:eastAsia="仿宋" w:cs="仿宋_GB2312"/>
          <w:b/>
          <w:sz w:val="30"/>
          <w:szCs w:val="30"/>
        </w:rPr>
        <w:t>四、项目效益情况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实施了目标绩效考核，各方面工作都有序，高质量完成，产生较好的社会效益，严格执行目标管理，充分保障科技信息员服务建档立卡贫困户的积极性，为建档立卡贫困户提供技术咨询，带动建档立卡贫困户脱贫致富。</w:t>
      </w:r>
    </w:p>
    <w:p>
      <w:pPr>
        <w:tabs>
          <w:tab w:val="left" w:pos="6804"/>
          <w:tab w:val="left" w:pos="7088"/>
          <w:tab w:val="left" w:pos="7513"/>
          <w:tab w:val="left" w:pos="8080"/>
        </w:tabs>
        <w:spacing w:line="520" w:lineRule="exact"/>
        <w:ind w:firstLine="602" w:firstLineChars="200"/>
        <w:jc w:val="left"/>
        <w:rPr>
          <w:rFonts w:hint="eastAsia" w:ascii="仿宋" w:hAnsi="仿宋" w:eastAsia="仿宋" w:cs="仿宋_GB2312"/>
          <w:b/>
          <w:sz w:val="30"/>
          <w:szCs w:val="30"/>
        </w:rPr>
      </w:pPr>
      <w:r>
        <w:rPr>
          <w:rFonts w:hint="eastAsia" w:ascii="仿宋" w:hAnsi="仿宋" w:eastAsia="仿宋" w:cs="仿宋_GB2312"/>
          <w:b/>
          <w:sz w:val="30"/>
          <w:szCs w:val="30"/>
        </w:rPr>
        <w:t>五、问题及建议</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tabs>
          <w:tab w:val="left" w:pos="6804"/>
          <w:tab w:val="left" w:pos="7088"/>
          <w:tab w:val="left" w:pos="7513"/>
          <w:tab w:val="left" w:pos="8080"/>
        </w:tabs>
        <w:spacing w:line="520" w:lineRule="exact"/>
        <w:ind w:firstLine="600" w:firstLineChars="200"/>
        <w:jc w:val="right"/>
        <w:rPr>
          <w:rFonts w:hint="eastAsia" w:ascii="仿宋" w:hAnsi="仿宋" w:eastAsia="仿宋"/>
          <w:sz w:val="30"/>
          <w:szCs w:val="30"/>
        </w:rPr>
      </w:pPr>
    </w:p>
    <w:p>
      <w:pPr>
        <w:spacing w:line="580" w:lineRule="exact"/>
        <w:ind w:firstLine="600" w:firstLineChars="200"/>
        <w:rPr>
          <w:rFonts w:hint="eastAsia" w:ascii="仿宋" w:hAnsi="仿宋" w:eastAsia="仿宋" w:cs="仿宋_GB2312"/>
          <w:sz w:val="30"/>
          <w:szCs w:val="30"/>
        </w:rPr>
      </w:pP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通江县教育科技和体育局</w:t>
      </w:r>
    </w:p>
    <w:p>
      <w:pPr>
        <w:jc w:val="center"/>
        <w:rPr>
          <w:rFonts w:hint="eastAsia" w:ascii="宋体" w:hAnsi="宋体" w:eastAsia="宋体" w:cs="宋体"/>
          <w:b/>
          <w:sz w:val="44"/>
          <w:szCs w:val="44"/>
        </w:rPr>
      </w:pPr>
      <w:r>
        <w:rPr>
          <w:rFonts w:hint="eastAsia" w:ascii="宋体" w:hAnsi="宋体" w:eastAsia="宋体" w:cs="宋体"/>
          <w:b/>
          <w:color w:val="000000"/>
          <w:kern w:val="0"/>
          <w:sz w:val="44"/>
          <w:szCs w:val="44"/>
        </w:rPr>
        <w:t>关于2020年度</w:t>
      </w:r>
      <w:r>
        <w:rPr>
          <w:rFonts w:hint="eastAsia" w:ascii="宋体" w:hAnsi="宋体" w:eastAsia="宋体" w:cs="宋体"/>
          <w:b/>
          <w:sz w:val="44"/>
          <w:szCs w:val="44"/>
        </w:rPr>
        <w:t>惠民农村产业技术服务中心</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项目绩效自评</w:t>
      </w:r>
      <w:r>
        <w:rPr>
          <w:rFonts w:hint="eastAsia" w:ascii="宋体" w:hAnsi="宋体" w:eastAsia="宋体" w:cs="宋体"/>
          <w:b/>
          <w:sz w:val="44"/>
          <w:szCs w:val="44"/>
        </w:rPr>
        <w:t>报告</w:t>
      </w:r>
    </w:p>
    <w:p>
      <w:pPr>
        <w:pStyle w:val="36"/>
        <w:spacing w:line="240" w:lineRule="auto"/>
        <w:rPr>
          <w:rFonts w:ascii="仿宋" w:hAnsi="仿宋" w:eastAsia="仿宋" w:cs="仿宋_GB2312"/>
          <w:color w:val="auto"/>
          <w:kern w:val="2"/>
          <w:sz w:val="30"/>
          <w:szCs w:val="30"/>
        </w:rPr>
      </w:pPr>
    </w:p>
    <w:p>
      <w:pPr>
        <w:pStyle w:val="36"/>
        <w:spacing w:line="240" w:lineRule="auto"/>
        <w:ind w:firstLine="600" w:firstLineChars="200"/>
        <w:rPr>
          <w:rFonts w:ascii="仿宋" w:hAnsi="仿宋" w:eastAsia="仿宋" w:cs="仿宋_GB2312"/>
          <w:color w:val="auto"/>
          <w:kern w:val="2"/>
          <w:sz w:val="30"/>
          <w:szCs w:val="30"/>
        </w:rPr>
      </w:pPr>
      <w:r>
        <w:rPr>
          <w:rFonts w:hint="eastAsia" w:ascii="仿宋" w:hAnsi="仿宋" w:eastAsia="仿宋" w:cs="仿宋_GB2312"/>
          <w:color w:val="auto"/>
          <w:kern w:val="2"/>
          <w:sz w:val="30"/>
          <w:szCs w:val="30"/>
        </w:rPr>
        <w:t>为加强管理，充分发挥科技扶贫的作用，调动科技服务精准贫困户的积极性。根据《通江县财政局关于开展2020年度预算绩效自评的通知》通财绩【2021】4号文件精神，我局进行了自评，现将绩效自评情况报告如下：</w:t>
      </w:r>
    </w:p>
    <w:p>
      <w:pPr>
        <w:numPr>
          <w:ilvl w:val="0"/>
          <w:numId w:val="6"/>
        </w:numPr>
        <w:adjustRightInd w:val="0"/>
        <w:snapToGrid w:val="0"/>
        <w:spacing w:line="560" w:lineRule="exact"/>
        <w:ind w:left="1152" w:hanging="480"/>
        <w:rPr>
          <w:rFonts w:ascii="仿宋" w:hAnsi="仿宋" w:eastAsia="仿宋" w:cs="仿宋_GB2312"/>
          <w:b/>
          <w:sz w:val="30"/>
          <w:szCs w:val="30"/>
        </w:rPr>
      </w:pPr>
      <w:r>
        <w:rPr>
          <w:rFonts w:hint="eastAsia" w:ascii="仿宋" w:hAnsi="仿宋" w:eastAsia="仿宋" w:cs="仿宋_GB2312"/>
          <w:b/>
          <w:sz w:val="30"/>
          <w:szCs w:val="30"/>
        </w:rPr>
        <w:t>基本情况</w:t>
      </w:r>
    </w:p>
    <w:p>
      <w:pPr>
        <w:adjustRightInd w:val="0"/>
        <w:snapToGrid w:val="0"/>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通江县教育科技和体育局属全额拨款行政单位，预算级别为县级。年末我局共有编制人数40人，</w:t>
      </w:r>
      <w:r>
        <w:rPr>
          <w:rFonts w:hint="eastAsia" w:ascii="仿宋" w:hAnsi="仿宋" w:eastAsia="仿宋" w:cs="仿宋_GB2312"/>
          <w:sz w:val="30"/>
          <w:szCs w:val="30"/>
          <w:lang w:val="en-US" w:eastAsia="zh-CN"/>
        </w:rPr>
        <w:t>其中：</w:t>
      </w:r>
      <w:r>
        <w:rPr>
          <w:rFonts w:hint="eastAsia" w:ascii="仿宋" w:hAnsi="仿宋" w:eastAsia="仿宋" w:cs="仿宋_GB2312"/>
          <w:sz w:val="30"/>
          <w:szCs w:val="30"/>
        </w:rPr>
        <w:t>遗属人员1人，退休人员43人。2020年决算总支出9036470.97元，其中惠民农村产业技术服务中心项目支出300000.00元，我局已于2020年完成了项目绩效目标。</w:t>
      </w:r>
    </w:p>
    <w:p>
      <w:pPr>
        <w:adjustRightInd w:val="0"/>
        <w:snapToGrid w:val="0"/>
        <w:spacing w:line="560" w:lineRule="exact"/>
        <w:ind w:firstLine="602" w:firstLineChars="200"/>
        <w:rPr>
          <w:rFonts w:ascii="仿宋" w:hAnsi="仿宋" w:eastAsia="仿宋" w:cs="仿宋_GB2312"/>
          <w:b/>
          <w:sz w:val="30"/>
          <w:szCs w:val="30"/>
        </w:rPr>
      </w:pPr>
      <w:r>
        <w:rPr>
          <w:rFonts w:hint="eastAsia" w:ascii="仿宋" w:hAnsi="仿宋" w:eastAsia="仿宋" w:cs="仿宋_GB2312"/>
          <w:b/>
          <w:sz w:val="30"/>
          <w:szCs w:val="30"/>
        </w:rPr>
        <w:t>二、资金使用情况</w:t>
      </w:r>
    </w:p>
    <w:p>
      <w:pPr>
        <w:pStyle w:val="36"/>
        <w:spacing w:line="240" w:lineRule="auto"/>
        <w:ind w:firstLine="600" w:firstLineChars="200"/>
        <w:rPr>
          <w:rFonts w:ascii="仿宋" w:hAnsi="仿宋" w:eastAsia="仿宋" w:cs="仿宋_GB2312"/>
          <w:color w:val="auto"/>
          <w:kern w:val="2"/>
          <w:sz w:val="30"/>
          <w:szCs w:val="30"/>
        </w:rPr>
      </w:pPr>
      <w:r>
        <w:rPr>
          <w:rFonts w:hint="eastAsia" w:ascii="仿宋" w:hAnsi="仿宋" w:eastAsia="仿宋"/>
          <w:sz w:val="30"/>
          <w:szCs w:val="30"/>
        </w:rPr>
        <w:t>（</w:t>
      </w:r>
      <w:r>
        <w:rPr>
          <w:rFonts w:hint="eastAsia" w:ascii="仿宋" w:hAnsi="仿宋" w:eastAsia="仿宋" w:cs="仿宋_GB2312"/>
          <w:color w:val="auto"/>
          <w:kern w:val="2"/>
          <w:sz w:val="30"/>
          <w:szCs w:val="30"/>
        </w:rPr>
        <w:t>一）资金使用</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全年共拨入300000.00元，全部用于惠民农村产业技术服务中心支出，支出依据合规合法，资金支付与预算相符。</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（二）组织实施情况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惠民农村产业技术服务中心的日常管理工作均按照相关管理制度执行，建立了工作有计划、实施有方案、日常有监督的管理机制，工作取得了较好的成效，效能得到了提高，获得了社会各界的好评。</w:t>
      </w:r>
    </w:p>
    <w:p>
      <w:pPr>
        <w:tabs>
          <w:tab w:val="left" w:pos="6804"/>
          <w:tab w:val="left" w:pos="7088"/>
          <w:tab w:val="left" w:pos="7513"/>
          <w:tab w:val="left" w:pos="8080"/>
        </w:tabs>
        <w:spacing w:line="520" w:lineRule="exact"/>
        <w:ind w:firstLine="602" w:firstLineChars="200"/>
        <w:jc w:val="left"/>
        <w:rPr>
          <w:rFonts w:ascii="仿宋" w:hAnsi="仿宋" w:eastAsia="仿宋"/>
          <w:sz w:val="30"/>
          <w:szCs w:val="30"/>
        </w:rPr>
      </w:pPr>
      <w:r>
        <w:rPr>
          <w:rFonts w:hint="eastAsia" w:ascii="仿宋" w:hAnsi="仿宋" w:eastAsia="仿宋" w:cs="仿宋_GB2312"/>
          <w:b/>
          <w:sz w:val="30"/>
          <w:szCs w:val="30"/>
        </w:rPr>
        <w:t>三、目标完成情况</w:t>
      </w:r>
      <w:r>
        <w:rPr>
          <w:rFonts w:hint="eastAsia" w:ascii="仿宋" w:hAnsi="仿宋" w:eastAsia="仿宋"/>
          <w:sz w:val="30"/>
          <w:szCs w:val="30"/>
        </w:rPr>
        <w:tab/>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（一）目标任务量完成情况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惠民农村产业技术服务中心项目完成了目标任务，达到了相关要求，工作取得了较好成效。</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（二）目标质量完成情况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按照年初目标任务，实际完成较好。</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（三）目标进度完成情况</w:t>
      </w:r>
    </w:p>
    <w:p>
      <w:pPr>
        <w:adjustRightInd w:val="0"/>
        <w:snapToGrid w:val="0"/>
        <w:spacing w:line="560" w:lineRule="exact"/>
        <w:ind w:firstLine="720"/>
        <w:rPr>
          <w:rFonts w:ascii="仿宋" w:hAnsi="仿宋" w:eastAsia="仿宋"/>
          <w:sz w:val="30"/>
          <w:szCs w:val="30"/>
        </w:rPr>
      </w:pPr>
      <w:r>
        <w:rPr>
          <w:rFonts w:hint="eastAsia" w:ascii="仿宋" w:hAnsi="仿宋" w:eastAsia="仿宋" w:cs="仿宋_GB2312"/>
          <w:sz w:val="30"/>
          <w:szCs w:val="30"/>
        </w:rPr>
        <w:t>对照预定计划，惠民农村产业技术服务中心完成了目标任务</w:t>
      </w:r>
      <w:r>
        <w:rPr>
          <w:rFonts w:hint="eastAsia" w:ascii="仿宋" w:hAnsi="仿宋" w:eastAsia="仿宋"/>
          <w:sz w:val="30"/>
          <w:szCs w:val="30"/>
        </w:rPr>
        <w:t>。</w:t>
      </w:r>
    </w:p>
    <w:p>
      <w:pPr>
        <w:adjustRightInd w:val="0"/>
        <w:snapToGrid w:val="0"/>
        <w:spacing w:line="560" w:lineRule="exact"/>
        <w:ind w:firstLine="720"/>
        <w:rPr>
          <w:rFonts w:ascii="仿宋" w:hAnsi="仿宋" w:eastAsia="仿宋"/>
          <w:b/>
          <w:sz w:val="30"/>
          <w:szCs w:val="30"/>
        </w:rPr>
      </w:pPr>
      <w:r>
        <w:rPr>
          <w:rFonts w:hint="eastAsia" w:ascii="仿宋" w:hAnsi="仿宋" w:eastAsia="仿宋" w:cs="仿宋_GB2312"/>
          <w:b/>
          <w:sz w:val="30"/>
          <w:szCs w:val="30"/>
        </w:rPr>
        <w:t>四、项目效益情况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实施了目标绩效考核，各方面工作都有序，高质量完成，产生较好的社会效益，严格执行目标管理，充分保障科技服务建档立卡贫困户的积极性，为建档立卡贫困户提供技术咨询，带动建档立卡贫困户脱贫致富。</w:t>
      </w:r>
    </w:p>
    <w:p>
      <w:pPr>
        <w:tabs>
          <w:tab w:val="left" w:pos="6804"/>
          <w:tab w:val="left" w:pos="7088"/>
          <w:tab w:val="left" w:pos="7513"/>
          <w:tab w:val="left" w:pos="8080"/>
        </w:tabs>
        <w:spacing w:line="520" w:lineRule="exact"/>
        <w:ind w:firstLine="602" w:firstLineChars="200"/>
        <w:jc w:val="left"/>
        <w:rPr>
          <w:rFonts w:ascii="仿宋" w:hAnsi="仿宋" w:eastAsia="仿宋" w:cs="仿宋_GB2312"/>
          <w:b/>
          <w:sz w:val="30"/>
          <w:szCs w:val="30"/>
        </w:rPr>
      </w:pPr>
      <w:r>
        <w:rPr>
          <w:rFonts w:hint="eastAsia" w:ascii="仿宋" w:hAnsi="仿宋" w:eastAsia="仿宋" w:cs="仿宋_GB2312"/>
          <w:b/>
          <w:sz w:val="30"/>
          <w:szCs w:val="30"/>
        </w:rPr>
        <w:t>五、问题及建议</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tabs>
          <w:tab w:val="left" w:pos="6804"/>
          <w:tab w:val="left" w:pos="7088"/>
          <w:tab w:val="left" w:pos="7513"/>
          <w:tab w:val="left" w:pos="8080"/>
        </w:tabs>
        <w:spacing w:line="520" w:lineRule="exact"/>
        <w:ind w:firstLine="600" w:firstLineChars="200"/>
        <w:jc w:val="right"/>
        <w:rPr>
          <w:rFonts w:ascii="仿宋" w:hAnsi="仿宋" w:eastAsia="仿宋"/>
          <w:sz w:val="30"/>
          <w:szCs w:val="30"/>
        </w:rPr>
      </w:pPr>
    </w:p>
    <w:p>
      <w:pPr>
        <w:spacing w:line="580" w:lineRule="exact"/>
        <w:ind w:firstLine="600" w:firstLineChars="200"/>
        <w:rPr>
          <w:rFonts w:hint="eastAsia" w:ascii="仿宋" w:hAnsi="仿宋" w:eastAsia="仿宋" w:cs="仿宋_GB2312"/>
          <w:sz w:val="30"/>
          <w:szCs w:val="30"/>
        </w:rPr>
      </w:pP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通江县教育科技和体育局</w:t>
      </w:r>
    </w:p>
    <w:p>
      <w:pPr>
        <w:jc w:val="center"/>
        <w:rPr>
          <w:rFonts w:hint="eastAsia" w:ascii="宋体" w:hAnsi="宋体" w:eastAsia="宋体" w:cs="宋体"/>
          <w:b/>
          <w:sz w:val="44"/>
          <w:szCs w:val="44"/>
        </w:rPr>
      </w:pPr>
      <w:r>
        <w:rPr>
          <w:rFonts w:hint="eastAsia" w:ascii="宋体" w:hAnsi="宋体" w:eastAsia="宋体" w:cs="宋体"/>
          <w:b/>
          <w:color w:val="000000"/>
          <w:kern w:val="0"/>
          <w:sz w:val="44"/>
          <w:szCs w:val="44"/>
        </w:rPr>
        <w:t>关于2020年度</w:t>
      </w:r>
      <w:r>
        <w:rPr>
          <w:rFonts w:hint="eastAsia" w:ascii="宋体" w:hAnsi="宋体" w:eastAsia="宋体" w:cs="宋体"/>
          <w:b/>
          <w:sz w:val="44"/>
          <w:szCs w:val="44"/>
        </w:rPr>
        <w:t>驻口纪检组工作经费</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项目绩效自评</w:t>
      </w:r>
      <w:r>
        <w:rPr>
          <w:rFonts w:hint="eastAsia" w:ascii="宋体" w:hAnsi="宋体" w:eastAsia="宋体" w:cs="宋体"/>
          <w:b/>
          <w:sz w:val="44"/>
          <w:szCs w:val="44"/>
        </w:rPr>
        <w:t>报告</w:t>
      </w:r>
    </w:p>
    <w:p>
      <w:pPr>
        <w:pStyle w:val="36"/>
        <w:spacing w:line="240" w:lineRule="auto"/>
        <w:ind w:firstLine="600" w:firstLineChars="200"/>
        <w:rPr>
          <w:rFonts w:ascii="仿宋" w:hAnsi="仿宋" w:eastAsia="仿宋" w:cs="仿宋_GB2312"/>
          <w:color w:val="auto"/>
          <w:kern w:val="2"/>
          <w:sz w:val="30"/>
          <w:szCs w:val="30"/>
        </w:rPr>
      </w:pPr>
      <w:r>
        <w:rPr>
          <w:rFonts w:hint="eastAsia" w:ascii="仿宋" w:hAnsi="仿宋" w:eastAsia="仿宋" w:cs="仿宋_GB2312"/>
          <w:color w:val="auto"/>
          <w:kern w:val="2"/>
          <w:sz w:val="30"/>
          <w:szCs w:val="30"/>
        </w:rPr>
        <w:t>为加强管理，充分发挥科技扶贫的作用，调动科技服务精准贫困户的积极性。根据《通江县财政局关于开展2020年度预算绩效自评的通知》通财绩【2021】4号文件精神，我局进行了自评，现将绩效自评情况报告如下：</w:t>
      </w:r>
    </w:p>
    <w:p>
      <w:pPr>
        <w:numPr>
          <w:ilvl w:val="0"/>
          <w:numId w:val="7"/>
        </w:numPr>
        <w:adjustRightInd w:val="0"/>
        <w:snapToGrid w:val="0"/>
        <w:spacing w:line="560" w:lineRule="exact"/>
        <w:ind w:left="1152" w:hanging="480"/>
        <w:rPr>
          <w:rFonts w:ascii="仿宋" w:hAnsi="仿宋" w:eastAsia="仿宋" w:cs="仿宋_GB2312"/>
          <w:b/>
          <w:sz w:val="30"/>
          <w:szCs w:val="30"/>
        </w:rPr>
      </w:pPr>
      <w:r>
        <w:rPr>
          <w:rFonts w:hint="eastAsia" w:ascii="仿宋" w:hAnsi="仿宋" w:eastAsia="仿宋" w:cs="仿宋_GB2312"/>
          <w:b/>
          <w:sz w:val="30"/>
          <w:szCs w:val="30"/>
        </w:rPr>
        <w:t>基本情况</w:t>
      </w:r>
    </w:p>
    <w:p>
      <w:pPr>
        <w:adjustRightInd w:val="0"/>
        <w:snapToGrid w:val="0"/>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通江县教育科技和体育局属全额拨款行政单位，预算级别为县级。年末我局共有编制人数40人，</w:t>
      </w:r>
      <w:r>
        <w:rPr>
          <w:rFonts w:hint="eastAsia" w:ascii="仿宋" w:hAnsi="仿宋" w:eastAsia="仿宋" w:cs="仿宋_GB2312"/>
          <w:sz w:val="30"/>
          <w:szCs w:val="30"/>
          <w:lang w:val="en-US" w:eastAsia="zh-CN"/>
        </w:rPr>
        <w:t>其中：</w:t>
      </w:r>
      <w:r>
        <w:rPr>
          <w:rFonts w:hint="eastAsia" w:ascii="仿宋" w:hAnsi="仿宋" w:eastAsia="仿宋" w:cs="仿宋_GB2312"/>
          <w:sz w:val="30"/>
          <w:szCs w:val="30"/>
        </w:rPr>
        <w:t>遗属人员1人，退休人员43人。2020年决算总支出9036470.97元，其中驻口纪检组工作经费项目支出30000.00元，我局已于2020年完成了项目绩效目标。</w:t>
      </w:r>
    </w:p>
    <w:p>
      <w:pPr>
        <w:adjustRightInd w:val="0"/>
        <w:snapToGrid w:val="0"/>
        <w:spacing w:line="560" w:lineRule="exact"/>
        <w:ind w:firstLine="602" w:firstLineChars="200"/>
        <w:rPr>
          <w:rFonts w:ascii="仿宋" w:hAnsi="仿宋" w:eastAsia="仿宋" w:cs="仿宋_GB2312"/>
          <w:b/>
          <w:sz w:val="30"/>
          <w:szCs w:val="30"/>
        </w:rPr>
      </w:pPr>
      <w:r>
        <w:rPr>
          <w:rFonts w:hint="eastAsia" w:ascii="仿宋" w:hAnsi="仿宋" w:eastAsia="仿宋" w:cs="仿宋_GB2312"/>
          <w:b/>
          <w:sz w:val="30"/>
          <w:szCs w:val="30"/>
        </w:rPr>
        <w:t>二、资金使用情况</w:t>
      </w:r>
    </w:p>
    <w:p>
      <w:pPr>
        <w:pStyle w:val="36"/>
        <w:spacing w:line="240" w:lineRule="auto"/>
        <w:ind w:firstLine="600" w:firstLineChars="200"/>
        <w:rPr>
          <w:rFonts w:ascii="仿宋" w:hAnsi="仿宋" w:eastAsia="仿宋" w:cs="仿宋_GB2312"/>
          <w:color w:val="auto"/>
          <w:kern w:val="2"/>
          <w:sz w:val="30"/>
          <w:szCs w:val="30"/>
        </w:rPr>
      </w:pPr>
      <w:r>
        <w:rPr>
          <w:rFonts w:hint="eastAsia" w:ascii="仿宋" w:hAnsi="仿宋" w:eastAsia="仿宋"/>
          <w:sz w:val="30"/>
          <w:szCs w:val="30"/>
        </w:rPr>
        <w:t>（</w:t>
      </w:r>
      <w:r>
        <w:rPr>
          <w:rFonts w:hint="eastAsia" w:ascii="仿宋" w:hAnsi="仿宋" w:eastAsia="仿宋" w:cs="仿宋_GB2312"/>
          <w:color w:val="auto"/>
          <w:kern w:val="2"/>
          <w:sz w:val="30"/>
          <w:szCs w:val="30"/>
        </w:rPr>
        <w:t>一）资金使用</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全年共拨入30000.00元，全部用于驻口纪检组工作支出，支出依据合规合法，资金支付与预算相符。</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（二）组织实施情况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驻口纪检组工作的日常管理工作均按照相关管理制度执行，建立了工作有计划、实施有方案、日常有监督的管理机制，工作取得了较好的成效，效能得到了提高，获得了社会各界的好评。</w:t>
      </w:r>
    </w:p>
    <w:p>
      <w:pPr>
        <w:tabs>
          <w:tab w:val="left" w:pos="6804"/>
          <w:tab w:val="left" w:pos="7088"/>
          <w:tab w:val="left" w:pos="7513"/>
          <w:tab w:val="left" w:pos="8080"/>
        </w:tabs>
        <w:spacing w:line="520" w:lineRule="exact"/>
        <w:ind w:firstLine="602" w:firstLineChars="200"/>
        <w:jc w:val="left"/>
        <w:rPr>
          <w:rFonts w:ascii="仿宋" w:hAnsi="仿宋" w:eastAsia="仿宋"/>
          <w:sz w:val="30"/>
          <w:szCs w:val="30"/>
        </w:rPr>
      </w:pPr>
      <w:r>
        <w:rPr>
          <w:rFonts w:hint="eastAsia" w:ascii="仿宋" w:hAnsi="仿宋" w:eastAsia="仿宋" w:cs="仿宋_GB2312"/>
          <w:b/>
          <w:sz w:val="30"/>
          <w:szCs w:val="30"/>
        </w:rPr>
        <w:t>三、目标完成情况</w:t>
      </w:r>
      <w:r>
        <w:rPr>
          <w:rFonts w:hint="eastAsia" w:ascii="仿宋" w:hAnsi="仿宋" w:eastAsia="仿宋"/>
          <w:sz w:val="30"/>
          <w:szCs w:val="30"/>
        </w:rPr>
        <w:tab/>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（一）目标任务量完成情况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驻口纪检组工作项目完成了目标任务，达到了相关要求，工作取得了较好成效。</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（二）目标质量完成情况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按照年初目标任务，实际完成较好。</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（三）目标进度完成情况</w:t>
      </w:r>
    </w:p>
    <w:p>
      <w:pPr>
        <w:adjustRightInd w:val="0"/>
        <w:snapToGrid w:val="0"/>
        <w:spacing w:line="560" w:lineRule="exact"/>
        <w:ind w:firstLine="720"/>
        <w:rPr>
          <w:rFonts w:ascii="仿宋" w:hAnsi="仿宋" w:eastAsia="仿宋"/>
          <w:sz w:val="30"/>
          <w:szCs w:val="30"/>
        </w:rPr>
      </w:pPr>
      <w:r>
        <w:rPr>
          <w:rFonts w:hint="eastAsia" w:ascii="仿宋" w:hAnsi="仿宋" w:eastAsia="仿宋" w:cs="仿宋_GB2312"/>
          <w:sz w:val="30"/>
          <w:szCs w:val="30"/>
        </w:rPr>
        <w:t>对照预定计划，驻口纪检组工作完成了目标任务</w:t>
      </w:r>
      <w:r>
        <w:rPr>
          <w:rFonts w:hint="eastAsia" w:ascii="仿宋" w:hAnsi="仿宋" w:eastAsia="仿宋"/>
          <w:sz w:val="30"/>
          <w:szCs w:val="30"/>
        </w:rPr>
        <w:t>。</w:t>
      </w:r>
    </w:p>
    <w:p>
      <w:pPr>
        <w:adjustRightInd w:val="0"/>
        <w:snapToGrid w:val="0"/>
        <w:spacing w:line="560" w:lineRule="exact"/>
        <w:ind w:firstLine="720"/>
        <w:rPr>
          <w:rFonts w:ascii="仿宋" w:hAnsi="仿宋" w:eastAsia="仿宋"/>
          <w:b/>
          <w:sz w:val="30"/>
          <w:szCs w:val="30"/>
        </w:rPr>
      </w:pPr>
      <w:r>
        <w:rPr>
          <w:rFonts w:hint="eastAsia" w:ascii="仿宋" w:hAnsi="仿宋" w:eastAsia="仿宋" w:cs="仿宋_GB2312"/>
          <w:b/>
          <w:sz w:val="30"/>
          <w:szCs w:val="30"/>
        </w:rPr>
        <w:t>四、项目效益情况</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实施了目标绩效考核，各方面工作都有序，高质量完成，产生较好的社会效益，严格执行目标管理，充分保驻口纪检组工作的有序推进，为建档立卡贫困户提供技术咨询，带动建档立卡贫困户脱贫致富。</w:t>
      </w:r>
    </w:p>
    <w:p>
      <w:pPr>
        <w:tabs>
          <w:tab w:val="left" w:pos="6804"/>
          <w:tab w:val="left" w:pos="7088"/>
          <w:tab w:val="left" w:pos="7513"/>
          <w:tab w:val="left" w:pos="8080"/>
        </w:tabs>
        <w:spacing w:line="520" w:lineRule="exact"/>
        <w:ind w:firstLine="602" w:firstLineChars="200"/>
        <w:jc w:val="left"/>
        <w:rPr>
          <w:rFonts w:ascii="仿宋" w:hAnsi="仿宋" w:eastAsia="仿宋" w:cs="仿宋_GB2312"/>
          <w:b/>
          <w:sz w:val="30"/>
          <w:szCs w:val="30"/>
        </w:rPr>
      </w:pPr>
      <w:r>
        <w:rPr>
          <w:rFonts w:hint="eastAsia" w:ascii="仿宋" w:hAnsi="仿宋" w:eastAsia="仿宋" w:cs="仿宋_GB2312"/>
          <w:b/>
          <w:sz w:val="30"/>
          <w:szCs w:val="30"/>
        </w:rPr>
        <w:t>五、问题及建议</w:t>
      </w:r>
    </w:p>
    <w:p>
      <w:pPr>
        <w:adjustRightInd w:val="0"/>
        <w:snapToGrid w:val="0"/>
        <w:spacing w:line="560" w:lineRule="exact"/>
        <w:ind w:firstLine="720"/>
        <w:rPr>
          <w:rFonts w:ascii="仿宋" w:hAnsi="仿宋" w:eastAsia="仿宋" w:cs="仿宋_GB2312"/>
          <w:sz w:val="30"/>
          <w:szCs w:val="30"/>
        </w:rPr>
      </w:pPr>
      <w:r>
        <w:rPr>
          <w:rFonts w:hint="eastAsia" w:ascii="仿宋" w:hAnsi="仿宋" w:eastAsia="仿宋" w:cs="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00" w:firstLineChars="200"/>
        <w:rPr>
          <w:rFonts w:hint="eastAsia" w:ascii="仿宋" w:hAnsi="仿宋" w:eastAsia="仿宋" w:cs="仿宋_GB2312"/>
          <w:sz w:val="30"/>
          <w:szCs w:val="30"/>
        </w:rPr>
      </w:pP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通江县教育科技和体育局</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关于2020年度</w:t>
      </w:r>
      <w:r>
        <w:rPr>
          <w:rFonts w:hint="eastAsia" w:ascii="宋体" w:hAnsi="宋体" w:eastAsia="宋体" w:cs="宋体"/>
          <w:b/>
          <w:sz w:val="44"/>
          <w:szCs w:val="44"/>
        </w:rPr>
        <w:t>引进人才安家补助费</w:t>
      </w:r>
      <w:r>
        <w:rPr>
          <w:rFonts w:hint="eastAsia" w:ascii="宋体" w:hAnsi="宋体" w:eastAsia="宋体" w:cs="宋体"/>
          <w:b/>
          <w:color w:val="000000"/>
          <w:kern w:val="0"/>
          <w:sz w:val="44"/>
          <w:szCs w:val="44"/>
        </w:rPr>
        <w:t>项目</w:t>
      </w:r>
    </w:p>
    <w:p>
      <w:pPr>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绩效自评</w:t>
      </w:r>
      <w:r>
        <w:rPr>
          <w:rFonts w:hint="eastAsia" w:ascii="宋体" w:hAnsi="宋体" w:eastAsia="宋体" w:cs="宋体"/>
          <w:b/>
          <w:sz w:val="44"/>
          <w:szCs w:val="44"/>
        </w:rPr>
        <w:t>报告</w:t>
      </w:r>
    </w:p>
    <w:p>
      <w:pPr>
        <w:pStyle w:val="36"/>
        <w:spacing w:line="240" w:lineRule="auto"/>
        <w:ind w:firstLine="600" w:firstLineChars="200"/>
        <w:rPr>
          <w:rFonts w:hint="eastAsia" w:ascii="仿宋" w:hAnsi="仿宋" w:eastAsia="仿宋" w:cs="仿宋_GB2312"/>
          <w:color w:val="auto"/>
          <w:kern w:val="2"/>
          <w:sz w:val="30"/>
          <w:szCs w:val="30"/>
        </w:rPr>
      </w:pPr>
      <w:r>
        <w:rPr>
          <w:rFonts w:hint="eastAsia" w:ascii="仿宋" w:hAnsi="仿宋" w:eastAsia="仿宋" w:cs="仿宋_GB2312"/>
          <w:color w:val="auto"/>
          <w:kern w:val="2"/>
          <w:sz w:val="30"/>
          <w:szCs w:val="30"/>
        </w:rPr>
        <w:t>为加强管理，充分发挥人才引进教育服务作用，调动我县引进人才的积极性。根据《通江县财政局关于开展2020年度预算绩效自评的通知》通财绩【2021】4号文件精神，我局进行了自评，现将绩效自评情况报告如下：</w:t>
      </w:r>
    </w:p>
    <w:p>
      <w:pPr>
        <w:numPr>
          <w:ilvl w:val="0"/>
          <w:numId w:val="8"/>
        </w:numPr>
        <w:adjustRightInd w:val="0"/>
        <w:snapToGrid w:val="0"/>
        <w:spacing w:line="560" w:lineRule="exact"/>
        <w:ind w:left="1152" w:hanging="480"/>
        <w:rPr>
          <w:rFonts w:hint="eastAsia" w:ascii="仿宋" w:hAnsi="仿宋" w:eastAsia="仿宋" w:cs="仿宋_GB2312"/>
          <w:b/>
          <w:sz w:val="30"/>
          <w:szCs w:val="30"/>
        </w:rPr>
      </w:pPr>
      <w:r>
        <w:rPr>
          <w:rFonts w:hint="eastAsia" w:ascii="仿宋" w:hAnsi="仿宋" w:eastAsia="仿宋" w:cs="仿宋_GB2312"/>
          <w:b/>
          <w:sz w:val="30"/>
          <w:szCs w:val="30"/>
        </w:rPr>
        <w:t>基本情况</w:t>
      </w:r>
    </w:p>
    <w:p>
      <w:pPr>
        <w:adjustRightInd w:val="0"/>
        <w:snapToGrid w:val="0"/>
        <w:spacing w:line="56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通江县教育科技和体育局属全额拨款行政单位，预算级别为县级。年末我局共有编制人数40人，</w:t>
      </w:r>
      <w:r>
        <w:rPr>
          <w:rFonts w:hint="eastAsia" w:ascii="仿宋" w:hAnsi="仿宋" w:eastAsia="仿宋" w:cs="仿宋_GB2312"/>
          <w:sz w:val="30"/>
          <w:szCs w:val="30"/>
          <w:lang w:val="en-US" w:eastAsia="zh-CN"/>
        </w:rPr>
        <w:t>其中：</w:t>
      </w:r>
      <w:r>
        <w:rPr>
          <w:rFonts w:hint="eastAsia" w:ascii="仿宋" w:hAnsi="仿宋" w:eastAsia="仿宋" w:cs="仿宋_GB2312"/>
          <w:sz w:val="30"/>
          <w:szCs w:val="30"/>
        </w:rPr>
        <w:t>遗属人员1人，退休人员43人。2020年决算总支出9036470.97元，其中引进人才项目支出10000.00元，我局已于2020年完成了项目绩效目标。</w:t>
      </w:r>
    </w:p>
    <w:p>
      <w:pPr>
        <w:adjustRightInd w:val="0"/>
        <w:snapToGrid w:val="0"/>
        <w:spacing w:line="560" w:lineRule="exact"/>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二、资金使用情况</w:t>
      </w:r>
    </w:p>
    <w:p>
      <w:pPr>
        <w:pStyle w:val="36"/>
        <w:spacing w:line="240" w:lineRule="auto"/>
        <w:ind w:firstLine="600" w:firstLineChars="200"/>
        <w:rPr>
          <w:rFonts w:hint="eastAsia" w:ascii="仿宋" w:hAnsi="仿宋" w:eastAsia="仿宋" w:cs="仿宋_GB2312"/>
          <w:color w:val="auto"/>
          <w:kern w:val="2"/>
          <w:sz w:val="30"/>
          <w:szCs w:val="30"/>
        </w:rPr>
      </w:pPr>
      <w:r>
        <w:rPr>
          <w:rFonts w:hint="eastAsia" w:ascii="仿宋" w:hAnsi="仿宋" w:eastAsia="仿宋"/>
          <w:sz w:val="30"/>
          <w:szCs w:val="30"/>
        </w:rPr>
        <w:t>（</w:t>
      </w:r>
      <w:r>
        <w:rPr>
          <w:rFonts w:hint="eastAsia" w:ascii="仿宋" w:hAnsi="仿宋" w:eastAsia="仿宋" w:cs="仿宋_GB2312"/>
          <w:color w:val="auto"/>
          <w:kern w:val="2"/>
          <w:sz w:val="30"/>
          <w:szCs w:val="30"/>
        </w:rPr>
        <w:t>一）资金使用</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全年共拨入10000.00元，全部用于我局2名引进人才的安家补助费发放，支出依据合规合法，资金支付与预算相符。</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（二）组织实施情况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引进人才的安家补助费的日常管理工作均按照县委组织部的相关管理制度执行，建立了工作有计划、实施有方案、日常有监督的管理机制，工作取得了较好的成效，效能得到了提高，获得了社会各界的好评。</w:t>
      </w:r>
    </w:p>
    <w:p>
      <w:pPr>
        <w:tabs>
          <w:tab w:val="left" w:pos="6804"/>
          <w:tab w:val="left" w:pos="7088"/>
          <w:tab w:val="left" w:pos="7513"/>
          <w:tab w:val="left" w:pos="8080"/>
        </w:tabs>
        <w:spacing w:line="520" w:lineRule="exact"/>
        <w:ind w:firstLine="602" w:firstLineChars="200"/>
        <w:jc w:val="left"/>
        <w:rPr>
          <w:rFonts w:hint="eastAsia" w:ascii="仿宋" w:hAnsi="仿宋" w:eastAsia="仿宋"/>
          <w:sz w:val="30"/>
          <w:szCs w:val="30"/>
        </w:rPr>
      </w:pPr>
      <w:r>
        <w:rPr>
          <w:rFonts w:hint="eastAsia" w:ascii="仿宋" w:hAnsi="仿宋" w:eastAsia="仿宋" w:cs="仿宋_GB2312"/>
          <w:b/>
          <w:sz w:val="30"/>
          <w:szCs w:val="30"/>
        </w:rPr>
        <w:t>三、目标完成情况</w:t>
      </w:r>
      <w:r>
        <w:rPr>
          <w:rFonts w:hint="eastAsia" w:ascii="仿宋" w:hAnsi="仿宋" w:eastAsia="仿宋"/>
          <w:sz w:val="30"/>
          <w:szCs w:val="30"/>
        </w:rPr>
        <w:tab/>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（一）目标任务量完成情况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引进人才的安家补助费完成了目标任务，达到了相关要求，工作取得了较好成效。</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（二）目标质量完成情况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按照年初目标任务，实际完成较好。</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（三）目标进度完成情况</w:t>
      </w:r>
    </w:p>
    <w:p>
      <w:pPr>
        <w:adjustRightInd w:val="0"/>
        <w:snapToGrid w:val="0"/>
        <w:spacing w:line="560" w:lineRule="exact"/>
        <w:ind w:firstLine="720"/>
        <w:rPr>
          <w:rFonts w:hint="eastAsia" w:ascii="仿宋" w:hAnsi="仿宋" w:eastAsia="仿宋"/>
          <w:sz w:val="30"/>
          <w:szCs w:val="30"/>
        </w:rPr>
      </w:pPr>
      <w:r>
        <w:rPr>
          <w:rFonts w:hint="eastAsia" w:ascii="仿宋" w:hAnsi="仿宋" w:eastAsia="仿宋" w:cs="仿宋_GB2312"/>
          <w:sz w:val="30"/>
          <w:szCs w:val="30"/>
        </w:rPr>
        <w:t>对照预定计划，引进人才的安家补助费完成了目标任务</w:t>
      </w:r>
      <w:r>
        <w:rPr>
          <w:rFonts w:hint="eastAsia" w:ascii="仿宋" w:hAnsi="仿宋" w:eastAsia="仿宋"/>
          <w:sz w:val="30"/>
          <w:szCs w:val="30"/>
        </w:rPr>
        <w:t>。</w:t>
      </w:r>
    </w:p>
    <w:p>
      <w:pPr>
        <w:adjustRightInd w:val="0"/>
        <w:snapToGrid w:val="0"/>
        <w:spacing w:line="560" w:lineRule="exact"/>
        <w:ind w:firstLine="720"/>
        <w:rPr>
          <w:rFonts w:hint="eastAsia" w:ascii="仿宋" w:hAnsi="仿宋" w:eastAsia="仿宋"/>
          <w:b/>
          <w:sz w:val="30"/>
          <w:szCs w:val="30"/>
        </w:rPr>
      </w:pPr>
      <w:r>
        <w:rPr>
          <w:rFonts w:hint="eastAsia" w:ascii="仿宋" w:hAnsi="仿宋" w:eastAsia="仿宋" w:cs="仿宋_GB2312"/>
          <w:b/>
          <w:sz w:val="30"/>
          <w:szCs w:val="30"/>
        </w:rPr>
        <w:t>四、项目效益情况</w:t>
      </w:r>
    </w:p>
    <w:p>
      <w:pPr>
        <w:adjustRightInd w:val="0"/>
        <w:snapToGrid w:val="0"/>
        <w:spacing w:line="560" w:lineRule="exact"/>
        <w:ind w:firstLine="720"/>
        <w:rPr>
          <w:rFonts w:hint="eastAsia" w:ascii="仿宋" w:hAnsi="仿宋" w:eastAsia="仿宋" w:cs="仿宋_GB2312"/>
          <w:sz w:val="30"/>
          <w:szCs w:val="30"/>
        </w:rPr>
      </w:pPr>
      <w:r>
        <w:rPr>
          <w:rFonts w:hint="eastAsia" w:ascii="仿宋" w:hAnsi="仿宋" w:eastAsia="仿宋" w:cs="仿宋_GB2312"/>
          <w:sz w:val="30"/>
          <w:szCs w:val="30"/>
        </w:rPr>
        <w:t>实施了目标绩效考核，各方面工作都有序，高质量完成，产生较好的社会效益，严格执行目标管理，充分保障引进人才的工作积极性。</w:t>
      </w:r>
    </w:p>
    <w:p>
      <w:pPr>
        <w:tabs>
          <w:tab w:val="left" w:pos="6804"/>
          <w:tab w:val="left" w:pos="7088"/>
          <w:tab w:val="left" w:pos="7513"/>
          <w:tab w:val="left" w:pos="8080"/>
        </w:tabs>
        <w:spacing w:line="520" w:lineRule="exact"/>
        <w:ind w:firstLine="602" w:firstLineChars="200"/>
        <w:jc w:val="left"/>
        <w:rPr>
          <w:rFonts w:hint="eastAsia" w:ascii="仿宋" w:hAnsi="仿宋" w:eastAsia="仿宋" w:cs="仿宋_GB2312"/>
          <w:b/>
          <w:sz w:val="30"/>
          <w:szCs w:val="30"/>
        </w:rPr>
      </w:pPr>
      <w:r>
        <w:rPr>
          <w:rFonts w:hint="eastAsia" w:ascii="仿宋" w:hAnsi="仿宋" w:eastAsia="仿宋" w:cs="仿宋_GB2312"/>
          <w:b/>
          <w:sz w:val="30"/>
          <w:szCs w:val="30"/>
        </w:rPr>
        <w:t>五、问题及建议</w:t>
      </w:r>
    </w:p>
    <w:p>
      <w:pPr>
        <w:adjustRightInd w:val="0"/>
        <w:snapToGrid w:val="0"/>
        <w:spacing w:line="560" w:lineRule="exact"/>
        <w:ind w:firstLine="720"/>
        <w:rPr>
          <w:rStyle w:val="13"/>
          <w:rFonts w:ascii="仿宋" w:hAnsi="仿宋" w:eastAsia="仿宋" w:cs="仿宋_GB2312"/>
          <w:b w:val="0"/>
          <w:bCs w:val="0"/>
          <w:kern w:val="2"/>
          <w:sz w:val="30"/>
          <w:szCs w:val="30"/>
        </w:rPr>
      </w:pPr>
      <w:r>
        <w:rPr>
          <w:rFonts w:hint="eastAsia" w:ascii="仿宋" w:hAnsi="仿宋" w:eastAsia="仿宋" w:cs="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numPr>
          <w:ilvl w:val="0"/>
          <w:numId w:val="0"/>
        </w:numPr>
        <w:spacing w:line="600" w:lineRule="exact"/>
        <w:jc w:val="center"/>
        <w:outlineLvl w:val="0"/>
        <w:rPr>
          <w:rStyle w:val="13"/>
          <w:rFonts w:hint="eastAsia" w:ascii="黑体" w:hAnsi="黑体" w:eastAsia="黑体" w:cs="黑体"/>
          <w:b w:val="0"/>
          <w:sz w:val="44"/>
          <w:szCs w:val="44"/>
          <w:lang w:eastAsia="zh-CN"/>
        </w:rPr>
      </w:pPr>
      <w:bookmarkStart w:id="84" w:name="_Toc15396618"/>
    </w:p>
    <w:p>
      <w:pPr>
        <w:numPr>
          <w:ilvl w:val="0"/>
          <w:numId w:val="0"/>
        </w:numPr>
        <w:spacing w:line="600" w:lineRule="exact"/>
        <w:jc w:val="center"/>
        <w:outlineLvl w:val="0"/>
        <w:rPr>
          <w:rStyle w:val="13"/>
          <w:rFonts w:hint="eastAsia" w:ascii="黑体" w:hAnsi="黑体" w:eastAsia="黑体" w:cs="黑体"/>
          <w:b w:val="0"/>
          <w:sz w:val="44"/>
          <w:szCs w:val="44"/>
          <w:lang w:eastAsia="zh-CN"/>
        </w:rPr>
      </w:pPr>
    </w:p>
    <w:p>
      <w:pPr>
        <w:numPr>
          <w:ilvl w:val="0"/>
          <w:numId w:val="0"/>
        </w:numPr>
        <w:spacing w:line="600" w:lineRule="exact"/>
        <w:jc w:val="center"/>
        <w:outlineLvl w:val="0"/>
        <w:rPr>
          <w:rStyle w:val="13"/>
          <w:rFonts w:hint="eastAsia" w:ascii="黑体" w:hAnsi="黑体" w:eastAsia="黑体" w:cs="黑体"/>
          <w:b w:val="0"/>
          <w:sz w:val="44"/>
          <w:szCs w:val="44"/>
          <w:lang w:eastAsia="zh-CN"/>
        </w:rPr>
      </w:pPr>
    </w:p>
    <w:p>
      <w:pPr>
        <w:numPr>
          <w:ilvl w:val="0"/>
          <w:numId w:val="0"/>
        </w:numPr>
        <w:spacing w:line="600" w:lineRule="exact"/>
        <w:jc w:val="center"/>
        <w:outlineLvl w:val="0"/>
        <w:rPr>
          <w:rStyle w:val="13"/>
          <w:rFonts w:hint="eastAsia" w:ascii="黑体" w:hAnsi="黑体" w:eastAsia="黑体" w:cs="黑体"/>
          <w:b w:val="0"/>
          <w:sz w:val="44"/>
          <w:szCs w:val="44"/>
        </w:rPr>
      </w:pPr>
      <w:bookmarkStart w:id="85" w:name="_Toc32408"/>
      <w:r>
        <w:rPr>
          <w:rStyle w:val="13"/>
          <w:rFonts w:hint="eastAsia" w:ascii="黑体" w:hAnsi="黑体" w:eastAsia="黑体" w:cs="黑体"/>
          <w:b w:val="0"/>
          <w:sz w:val="44"/>
          <w:szCs w:val="44"/>
          <w:lang w:eastAsia="zh-CN"/>
        </w:rPr>
        <w:t>第五部分</w:t>
      </w:r>
      <w:r>
        <w:rPr>
          <w:rStyle w:val="13"/>
          <w:rFonts w:hint="eastAsia" w:ascii="黑体" w:hAnsi="黑体" w:eastAsia="黑体" w:cs="黑体"/>
          <w:b w:val="0"/>
          <w:sz w:val="44"/>
          <w:szCs w:val="44"/>
          <w:lang w:val="en-US" w:eastAsia="zh-CN"/>
        </w:rPr>
        <w:t xml:space="preserve">  </w:t>
      </w:r>
      <w:r>
        <w:rPr>
          <w:rStyle w:val="13"/>
          <w:rFonts w:hint="eastAsia" w:ascii="黑体" w:hAnsi="黑体" w:eastAsia="黑体" w:cs="黑体"/>
          <w:b w:val="0"/>
          <w:sz w:val="44"/>
          <w:szCs w:val="44"/>
        </w:rPr>
        <w:t>附表</w:t>
      </w:r>
      <w:bookmarkEnd w:id="79"/>
      <w:bookmarkEnd w:id="84"/>
      <w:bookmarkEnd w:id="85"/>
    </w:p>
    <w:p>
      <w:pPr>
        <w:pStyle w:val="10"/>
        <w:outlineLvl w:val="9"/>
        <w:rPr>
          <w:rFonts w:ascii="仿宋" w:hAnsi="仿宋" w:eastAsia="仿宋"/>
          <w:color w:val="000000"/>
          <w:sz w:val="30"/>
          <w:szCs w:val="30"/>
        </w:rPr>
      </w:pPr>
      <w:bookmarkStart w:id="86" w:name="_Toc15396619"/>
      <w:bookmarkStart w:id="87" w:name="_Toc12601"/>
      <w:r>
        <w:rPr>
          <w:rFonts w:hint="eastAsia" w:ascii="仿宋" w:hAnsi="仿宋" w:eastAsia="仿宋"/>
          <w:b w:val="0"/>
          <w:color w:val="000000"/>
          <w:sz w:val="30"/>
          <w:szCs w:val="30"/>
        </w:rPr>
        <w:t>一、收</w:t>
      </w:r>
      <w:r>
        <w:rPr>
          <w:rStyle w:val="14"/>
          <w:rFonts w:hint="eastAsia" w:ascii="仿宋" w:hAnsi="仿宋" w:eastAsia="仿宋"/>
          <w:b w:val="0"/>
          <w:bCs w:val="0"/>
          <w:sz w:val="30"/>
          <w:szCs w:val="30"/>
        </w:rPr>
        <w:t>入支出决算总表</w:t>
      </w:r>
      <w:bookmarkEnd w:id="86"/>
      <w:bookmarkEnd w:id="87"/>
    </w:p>
    <w:p>
      <w:pPr>
        <w:pStyle w:val="10"/>
        <w:outlineLvl w:val="9"/>
        <w:rPr>
          <w:rFonts w:ascii="仿宋" w:hAnsi="仿宋" w:eastAsia="仿宋"/>
          <w:color w:val="000000"/>
          <w:sz w:val="30"/>
          <w:szCs w:val="30"/>
        </w:rPr>
      </w:pPr>
      <w:bookmarkStart w:id="88" w:name="_Toc15396620"/>
      <w:bookmarkStart w:id="89" w:name="_Toc30444"/>
      <w:r>
        <w:rPr>
          <w:rFonts w:hint="eastAsia" w:ascii="仿宋" w:hAnsi="仿宋" w:eastAsia="仿宋"/>
          <w:b w:val="0"/>
          <w:color w:val="000000"/>
          <w:sz w:val="30"/>
          <w:szCs w:val="30"/>
        </w:rPr>
        <w:t>二、收</w:t>
      </w:r>
      <w:r>
        <w:rPr>
          <w:rStyle w:val="14"/>
          <w:rFonts w:hint="eastAsia" w:ascii="仿宋" w:hAnsi="仿宋" w:eastAsia="仿宋"/>
          <w:b w:val="0"/>
          <w:bCs w:val="0"/>
          <w:sz w:val="30"/>
          <w:szCs w:val="30"/>
        </w:rPr>
        <w:t>入决算表</w:t>
      </w:r>
      <w:bookmarkEnd w:id="88"/>
      <w:bookmarkEnd w:id="89"/>
    </w:p>
    <w:p>
      <w:pPr>
        <w:pStyle w:val="10"/>
        <w:outlineLvl w:val="9"/>
        <w:rPr>
          <w:rFonts w:ascii="仿宋" w:hAnsi="仿宋" w:eastAsia="仿宋"/>
          <w:color w:val="000000"/>
          <w:sz w:val="30"/>
          <w:szCs w:val="30"/>
        </w:rPr>
      </w:pPr>
      <w:bookmarkStart w:id="90" w:name="_Toc15396621"/>
      <w:bookmarkStart w:id="91" w:name="_Toc27903"/>
      <w:r>
        <w:rPr>
          <w:rStyle w:val="14"/>
          <w:rFonts w:hint="eastAsia" w:ascii="仿宋" w:hAnsi="仿宋" w:eastAsia="仿宋"/>
          <w:b w:val="0"/>
          <w:bCs w:val="0"/>
          <w:sz w:val="30"/>
          <w:szCs w:val="30"/>
        </w:rPr>
        <w:t>三、</w:t>
      </w:r>
      <w:r>
        <w:rPr>
          <w:rFonts w:hint="eastAsia" w:ascii="仿宋" w:hAnsi="仿宋" w:eastAsia="仿宋"/>
          <w:b w:val="0"/>
          <w:color w:val="000000"/>
          <w:sz w:val="30"/>
          <w:szCs w:val="30"/>
        </w:rPr>
        <w:t>支</w:t>
      </w:r>
      <w:r>
        <w:rPr>
          <w:rStyle w:val="14"/>
          <w:rFonts w:hint="eastAsia" w:ascii="仿宋" w:hAnsi="仿宋" w:eastAsia="仿宋"/>
          <w:b w:val="0"/>
          <w:bCs w:val="0"/>
          <w:sz w:val="30"/>
          <w:szCs w:val="30"/>
        </w:rPr>
        <w:t>出决算表</w:t>
      </w:r>
      <w:bookmarkEnd w:id="90"/>
      <w:bookmarkEnd w:id="91"/>
    </w:p>
    <w:p>
      <w:pPr>
        <w:pStyle w:val="10"/>
        <w:outlineLvl w:val="9"/>
        <w:rPr>
          <w:rFonts w:ascii="仿宋" w:hAnsi="仿宋" w:eastAsia="仿宋"/>
          <w:b w:val="0"/>
          <w:color w:val="000000"/>
          <w:sz w:val="30"/>
          <w:szCs w:val="30"/>
        </w:rPr>
      </w:pPr>
      <w:bookmarkStart w:id="92" w:name="_Toc15396622"/>
      <w:bookmarkStart w:id="93" w:name="_Toc21878"/>
      <w:r>
        <w:rPr>
          <w:rStyle w:val="14"/>
          <w:rFonts w:hint="eastAsia" w:ascii="仿宋" w:hAnsi="仿宋" w:eastAsia="仿宋"/>
          <w:b w:val="0"/>
          <w:bCs w:val="0"/>
          <w:sz w:val="30"/>
          <w:szCs w:val="30"/>
        </w:rPr>
        <w:t>四、</w:t>
      </w:r>
      <w:r>
        <w:rPr>
          <w:rFonts w:hint="eastAsia" w:ascii="仿宋" w:hAnsi="仿宋" w:eastAsia="仿宋"/>
          <w:b w:val="0"/>
          <w:color w:val="000000"/>
          <w:sz w:val="30"/>
          <w:szCs w:val="30"/>
        </w:rPr>
        <w:t>财</w:t>
      </w:r>
      <w:r>
        <w:rPr>
          <w:rStyle w:val="14"/>
          <w:rFonts w:hint="eastAsia" w:ascii="仿宋" w:hAnsi="仿宋" w:eastAsia="仿宋"/>
          <w:b w:val="0"/>
          <w:bCs w:val="0"/>
          <w:sz w:val="30"/>
          <w:szCs w:val="30"/>
        </w:rPr>
        <w:t>政拨款收入支出决算总表</w:t>
      </w:r>
      <w:bookmarkEnd w:id="92"/>
      <w:bookmarkEnd w:id="93"/>
    </w:p>
    <w:p>
      <w:pPr>
        <w:pStyle w:val="10"/>
        <w:outlineLvl w:val="9"/>
        <w:rPr>
          <w:rStyle w:val="14"/>
          <w:rFonts w:ascii="仿宋" w:hAnsi="仿宋" w:eastAsia="仿宋"/>
          <w:b w:val="0"/>
          <w:bCs w:val="0"/>
          <w:sz w:val="30"/>
          <w:szCs w:val="30"/>
        </w:rPr>
      </w:pPr>
      <w:bookmarkStart w:id="94" w:name="_Toc15396623"/>
      <w:bookmarkStart w:id="95" w:name="_Toc7022"/>
      <w:r>
        <w:rPr>
          <w:rStyle w:val="14"/>
          <w:rFonts w:hint="eastAsia" w:ascii="仿宋" w:hAnsi="仿宋" w:eastAsia="仿宋"/>
          <w:b w:val="0"/>
          <w:bCs w:val="0"/>
          <w:sz w:val="30"/>
          <w:szCs w:val="30"/>
        </w:rPr>
        <w:t>五、</w:t>
      </w:r>
      <w:r>
        <w:rPr>
          <w:rFonts w:hint="eastAsia" w:ascii="仿宋" w:hAnsi="仿宋" w:eastAsia="仿宋"/>
          <w:b w:val="0"/>
          <w:color w:val="000000"/>
          <w:sz w:val="30"/>
          <w:szCs w:val="30"/>
        </w:rPr>
        <w:t>财</w:t>
      </w:r>
      <w:r>
        <w:rPr>
          <w:rStyle w:val="14"/>
          <w:rFonts w:hint="eastAsia" w:ascii="仿宋" w:hAnsi="仿宋" w:eastAsia="仿宋"/>
          <w:b w:val="0"/>
          <w:bCs w:val="0"/>
          <w:sz w:val="30"/>
          <w:szCs w:val="30"/>
        </w:rPr>
        <w:t>政拨款支出决算明细表</w:t>
      </w:r>
      <w:bookmarkEnd w:id="94"/>
      <w:bookmarkEnd w:id="95"/>
      <w:bookmarkStart w:id="96" w:name="_Toc15396624"/>
    </w:p>
    <w:p>
      <w:pPr>
        <w:pStyle w:val="10"/>
        <w:outlineLvl w:val="9"/>
        <w:rPr>
          <w:rFonts w:ascii="仿宋" w:hAnsi="仿宋" w:eastAsia="仿宋"/>
          <w:color w:val="000000"/>
          <w:sz w:val="30"/>
          <w:szCs w:val="30"/>
        </w:rPr>
      </w:pPr>
      <w:bookmarkStart w:id="97" w:name="_Toc27936"/>
      <w:r>
        <w:rPr>
          <w:rStyle w:val="14"/>
          <w:rFonts w:hint="eastAsia" w:ascii="仿宋" w:hAnsi="仿宋" w:eastAsia="仿宋"/>
          <w:b w:val="0"/>
          <w:bCs w:val="0"/>
          <w:sz w:val="30"/>
          <w:szCs w:val="30"/>
        </w:rPr>
        <w:t>六、</w:t>
      </w:r>
      <w:r>
        <w:rPr>
          <w:rFonts w:hint="eastAsia" w:ascii="仿宋" w:hAnsi="仿宋" w:eastAsia="仿宋"/>
          <w:b w:val="0"/>
          <w:color w:val="000000"/>
          <w:sz w:val="30"/>
          <w:szCs w:val="30"/>
        </w:rPr>
        <w:t>一</w:t>
      </w:r>
      <w:r>
        <w:rPr>
          <w:rStyle w:val="14"/>
          <w:rFonts w:hint="eastAsia" w:ascii="仿宋" w:hAnsi="仿宋" w:eastAsia="仿宋"/>
          <w:b w:val="0"/>
          <w:bCs w:val="0"/>
          <w:sz w:val="30"/>
          <w:szCs w:val="30"/>
        </w:rPr>
        <w:t>般公共预算财政拨款支出决算表</w:t>
      </w:r>
      <w:bookmarkEnd w:id="96"/>
      <w:bookmarkEnd w:id="97"/>
    </w:p>
    <w:p>
      <w:pPr>
        <w:pStyle w:val="10"/>
        <w:outlineLvl w:val="9"/>
        <w:rPr>
          <w:rFonts w:ascii="仿宋" w:hAnsi="仿宋" w:eastAsia="仿宋"/>
          <w:color w:val="000000"/>
          <w:sz w:val="30"/>
          <w:szCs w:val="30"/>
        </w:rPr>
      </w:pPr>
      <w:bookmarkStart w:id="98" w:name="_Toc15396625"/>
      <w:bookmarkStart w:id="99" w:name="_Toc26666"/>
      <w:r>
        <w:rPr>
          <w:rStyle w:val="14"/>
          <w:rFonts w:hint="eastAsia" w:ascii="仿宋" w:hAnsi="仿宋" w:eastAsia="仿宋"/>
          <w:b w:val="0"/>
          <w:bCs w:val="0"/>
          <w:sz w:val="30"/>
          <w:szCs w:val="30"/>
        </w:rPr>
        <w:t>七、</w:t>
      </w:r>
      <w:r>
        <w:rPr>
          <w:rFonts w:hint="eastAsia" w:ascii="仿宋" w:hAnsi="仿宋" w:eastAsia="仿宋"/>
          <w:b w:val="0"/>
          <w:color w:val="000000"/>
          <w:sz w:val="30"/>
          <w:szCs w:val="30"/>
        </w:rPr>
        <w:t>一</w:t>
      </w:r>
      <w:r>
        <w:rPr>
          <w:rStyle w:val="14"/>
          <w:rFonts w:hint="eastAsia" w:ascii="仿宋" w:hAnsi="仿宋" w:eastAsia="仿宋"/>
          <w:b w:val="0"/>
          <w:bCs w:val="0"/>
          <w:sz w:val="30"/>
          <w:szCs w:val="30"/>
        </w:rPr>
        <w:t>般公共预算财政拨款支出决算明细表</w:t>
      </w:r>
      <w:bookmarkEnd w:id="98"/>
      <w:bookmarkEnd w:id="99"/>
    </w:p>
    <w:p>
      <w:pPr>
        <w:pStyle w:val="10"/>
        <w:outlineLvl w:val="9"/>
        <w:rPr>
          <w:rFonts w:ascii="仿宋" w:hAnsi="仿宋" w:eastAsia="仿宋"/>
          <w:color w:val="000000"/>
          <w:sz w:val="30"/>
          <w:szCs w:val="30"/>
        </w:rPr>
      </w:pPr>
      <w:bookmarkStart w:id="100" w:name="_Toc15396626"/>
      <w:bookmarkStart w:id="101" w:name="_Toc21974"/>
      <w:r>
        <w:rPr>
          <w:rStyle w:val="14"/>
          <w:rFonts w:hint="eastAsia" w:ascii="仿宋" w:hAnsi="仿宋" w:eastAsia="仿宋"/>
          <w:b w:val="0"/>
          <w:bCs w:val="0"/>
          <w:sz w:val="30"/>
          <w:szCs w:val="30"/>
        </w:rPr>
        <w:t>八、</w:t>
      </w:r>
      <w:r>
        <w:rPr>
          <w:rFonts w:hint="eastAsia" w:ascii="仿宋" w:hAnsi="仿宋" w:eastAsia="仿宋"/>
          <w:b w:val="0"/>
          <w:color w:val="000000"/>
          <w:sz w:val="30"/>
          <w:szCs w:val="30"/>
        </w:rPr>
        <w:t>一</w:t>
      </w:r>
      <w:r>
        <w:rPr>
          <w:rStyle w:val="14"/>
          <w:rFonts w:hint="eastAsia" w:ascii="仿宋" w:hAnsi="仿宋" w:eastAsia="仿宋"/>
          <w:b w:val="0"/>
          <w:bCs w:val="0"/>
          <w:sz w:val="30"/>
          <w:szCs w:val="30"/>
        </w:rPr>
        <w:t>般公共预算财政拨款基本支出决算表</w:t>
      </w:r>
      <w:bookmarkEnd w:id="100"/>
      <w:bookmarkEnd w:id="101"/>
    </w:p>
    <w:p>
      <w:pPr>
        <w:pStyle w:val="10"/>
        <w:outlineLvl w:val="9"/>
        <w:rPr>
          <w:rFonts w:ascii="仿宋" w:hAnsi="仿宋" w:eastAsia="仿宋"/>
          <w:color w:val="000000"/>
          <w:sz w:val="30"/>
          <w:szCs w:val="30"/>
        </w:rPr>
      </w:pPr>
      <w:bookmarkStart w:id="102" w:name="_Toc15396627"/>
      <w:bookmarkStart w:id="103" w:name="_Toc8933"/>
      <w:r>
        <w:rPr>
          <w:rStyle w:val="14"/>
          <w:rFonts w:hint="eastAsia" w:ascii="仿宋" w:hAnsi="仿宋" w:eastAsia="仿宋"/>
          <w:b w:val="0"/>
          <w:bCs w:val="0"/>
          <w:sz w:val="30"/>
          <w:szCs w:val="30"/>
        </w:rPr>
        <w:t>九、</w:t>
      </w:r>
      <w:r>
        <w:rPr>
          <w:rFonts w:hint="eastAsia" w:ascii="仿宋" w:hAnsi="仿宋" w:eastAsia="仿宋"/>
          <w:b w:val="0"/>
          <w:color w:val="000000"/>
          <w:sz w:val="30"/>
          <w:szCs w:val="30"/>
        </w:rPr>
        <w:t>一</w:t>
      </w:r>
      <w:r>
        <w:rPr>
          <w:rStyle w:val="14"/>
          <w:rFonts w:hint="eastAsia" w:ascii="仿宋" w:hAnsi="仿宋" w:eastAsia="仿宋"/>
          <w:b w:val="0"/>
          <w:bCs w:val="0"/>
          <w:sz w:val="30"/>
          <w:szCs w:val="30"/>
        </w:rPr>
        <w:t>般公共预算财政拨款项</w:t>
      </w:r>
      <w:r>
        <w:rPr>
          <w:rFonts w:hint="eastAsia" w:ascii="仿宋" w:hAnsi="仿宋" w:eastAsia="仿宋"/>
          <w:sz w:val="30"/>
          <w:szCs w:val="30"/>
        </w:rPr>
        <w:t>目支出决算表</w:t>
      </w:r>
      <w:bookmarkEnd w:id="102"/>
      <w:bookmarkEnd w:id="103"/>
    </w:p>
    <w:p>
      <w:pPr>
        <w:pStyle w:val="10"/>
        <w:outlineLvl w:val="9"/>
        <w:rPr>
          <w:rFonts w:ascii="仿宋" w:hAnsi="仿宋" w:eastAsia="仿宋"/>
          <w:color w:val="000000"/>
          <w:sz w:val="30"/>
          <w:szCs w:val="30"/>
        </w:rPr>
      </w:pPr>
      <w:bookmarkStart w:id="104" w:name="_Toc15396628"/>
      <w:bookmarkStart w:id="105" w:name="_Toc8752"/>
      <w:r>
        <w:rPr>
          <w:rStyle w:val="14"/>
          <w:rFonts w:hint="eastAsia" w:ascii="仿宋" w:hAnsi="仿宋" w:eastAsia="仿宋"/>
          <w:b w:val="0"/>
          <w:bCs w:val="0"/>
          <w:sz w:val="30"/>
          <w:szCs w:val="30"/>
        </w:rPr>
        <w:t>十、</w:t>
      </w:r>
      <w:r>
        <w:rPr>
          <w:rFonts w:hint="eastAsia" w:ascii="仿宋" w:hAnsi="仿宋" w:eastAsia="仿宋"/>
          <w:b w:val="0"/>
          <w:color w:val="000000"/>
          <w:sz w:val="30"/>
          <w:szCs w:val="30"/>
        </w:rPr>
        <w:t>一</w:t>
      </w:r>
      <w:r>
        <w:rPr>
          <w:rStyle w:val="14"/>
          <w:rFonts w:hint="eastAsia" w:ascii="仿宋" w:hAnsi="仿宋" w:eastAsia="仿宋"/>
          <w:b w:val="0"/>
          <w:bCs w:val="0"/>
          <w:sz w:val="30"/>
          <w:szCs w:val="30"/>
        </w:rPr>
        <w:t>般公共预算财政拨款“三公”经费支出决算表</w:t>
      </w:r>
      <w:bookmarkEnd w:id="104"/>
      <w:bookmarkEnd w:id="105"/>
    </w:p>
    <w:p>
      <w:pPr>
        <w:pStyle w:val="10"/>
        <w:outlineLvl w:val="9"/>
        <w:rPr>
          <w:rFonts w:ascii="仿宋" w:hAnsi="仿宋" w:eastAsia="仿宋"/>
          <w:color w:val="000000"/>
          <w:sz w:val="30"/>
          <w:szCs w:val="30"/>
        </w:rPr>
      </w:pPr>
      <w:bookmarkStart w:id="106" w:name="_Toc15396629"/>
      <w:bookmarkStart w:id="107" w:name="_Toc14038"/>
      <w:r>
        <w:rPr>
          <w:rStyle w:val="14"/>
          <w:rFonts w:hint="eastAsia" w:ascii="仿宋" w:hAnsi="仿宋" w:eastAsia="仿宋"/>
          <w:b w:val="0"/>
          <w:bCs w:val="0"/>
          <w:sz w:val="30"/>
          <w:szCs w:val="30"/>
        </w:rPr>
        <w:t>十一、</w:t>
      </w:r>
      <w:r>
        <w:rPr>
          <w:rFonts w:hint="eastAsia" w:ascii="仿宋" w:hAnsi="仿宋" w:eastAsia="仿宋"/>
          <w:b w:val="0"/>
          <w:color w:val="000000"/>
          <w:sz w:val="30"/>
          <w:szCs w:val="30"/>
        </w:rPr>
        <w:t>政</w:t>
      </w:r>
      <w:r>
        <w:rPr>
          <w:rStyle w:val="14"/>
          <w:rFonts w:hint="eastAsia" w:ascii="仿宋" w:hAnsi="仿宋" w:eastAsia="仿宋"/>
          <w:b w:val="0"/>
          <w:bCs w:val="0"/>
          <w:sz w:val="30"/>
          <w:szCs w:val="30"/>
        </w:rPr>
        <w:t>府性基金预算财政拨款收入支出决算表</w:t>
      </w:r>
      <w:bookmarkEnd w:id="106"/>
      <w:bookmarkEnd w:id="107"/>
    </w:p>
    <w:p>
      <w:pPr>
        <w:pStyle w:val="10"/>
        <w:outlineLvl w:val="9"/>
        <w:rPr>
          <w:rFonts w:ascii="仿宋" w:hAnsi="仿宋" w:eastAsia="仿宋"/>
          <w:color w:val="000000"/>
          <w:sz w:val="30"/>
          <w:szCs w:val="30"/>
        </w:rPr>
      </w:pPr>
      <w:bookmarkStart w:id="108" w:name="_Toc15396630"/>
      <w:bookmarkStart w:id="109" w:name="_Toc12162"/>
      <w:r>
        <w:rPr>
          <w:rStyle w:val="14"/>
          <w:rFonts w:hint="eastAsia" w:ascii="仿宋" w:hAnsi="仿宋" w:eastAsia="仿宋"/>
          <w:b w:val="0"/>
          <w:bCs w:val="0"/>
          <w:sz w:val="30"/>
          <w:szCs w:val="30"/>
        </w:rPr>
        <w:t>十二、</w:t>
      </w:r>
      <w:r>
        <w:rPr>
          <w:rFonts w:hint="eastAsia" w:ascii="仿宋" w:hAnsi="仿宋" w:eastAsia="仿宋"/>
          <w:b w:val="0"/>
          <w:color w:val="000000"/>
          <w:sz w:val="30"/>
          <w:szCs w:val="30"/>
        </w:rPr>
        <w:t>政</w:t>
      </w:r>
      <w:r>
        <w:rPr>
          <w:rStyle w:val="14"/>
          <w:rFonts w:hint="eastAsia" w:ascii="仿宋" w:hAnsi="仿宋" w:eastAsia="仿宋"/>
          <w:b w:val="0"/>
          <w:bCs w:val="0"/>
          <w:sz w:val="30"/>
          <w:szCs w:val="30"/>
        </w:rPr>
        <w:t>府性基金预算财政拨款“三公”经费支出决算表</w:t>
      </w:r>
      <w:bookmarkEnd w:id="108"/>
      <w:bookmarkEnd w:id="109"/>
    </w:p>
    <w:p>
      <w:pPr>
        <w:pStyle w:val="10"/>
        <w:outlineLvl w:val="9"/>
        <w:rPr>
          <w:rFonts w:ascii="仿宋" w:hAnsi="仿宋" w:eastAsia="仿宋"/>
          <w:color w:val="000000"/>
          <w:sz w:val="30"/>
          <w:szCs w:val="30"/>
        </w:rPr>
      </w:pPr>
      <w:bookmarkStart w:id="110" w:name="_Toc15396631"/>
      <w:bookmarkStart w:id="111" w:name="_Toc5908"/>
      <w:r>
        <w:rPr>
          <w:rStyle w:val="14"/>
          <w:rFonts w:hint="eastAsia" w:ascii="仿宋" w:hAnsi="仿宋" w:eastAsia="仿宋"/>
          <w:b w:val="0"/>
          <w:bCs w:val="0"/>
          <w:sz w:val="30"/>
          <w:szCs w:val="30"/>
        </w:rPr>
        <w:t>十三、</w:t>
      </w:r>
      <w:r>
        <w:rPr>
          <w:rFonts w:hint="eastAsia" w:ascii="仿宋" w:hAnsi="仿宋" w:eastAsia="仿宋"/>
          <w:b w:val="0"/>
          <w:color w:val="000000"/>
          <w:sz w:val="30"/>
          <w:szCs w:val="30"/>
        </w:rPr>
        <w:t>国</w:t>
      </w:r>
      <w:r>
        <w:rPr>
          <w:rStyle w:val="14"/>
          <w:rFonts w:hint="eastAsia" w:ascii="仿宋" w:hAnsi="仿宋" w:eastAsia="仿宋"/>
          <w:b w:val="0"/>
          <w:bCs w:val="0"/>
          <w:sz w:val="30"/>
          <w:szCs w:val="30"/>
        </w:rPr>
        <w:t>有资本经营预算财政拨款支出决算表</w:t>
      </w:r>
      <w:bookmarkEnd w:id="110"/>
      <w:bookmarkEnd w:id="111"/>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2</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chineseCounting"/>
      <w:suff w:val="nothing"/>
      <w:lvlText w:val="%1、"/>
      <w:lvlJc w:val="left"/>
      <w:rPr>
        <w:rFonts w:hint="eastAsia"/>
      </w:rPr>
    </w:lvl>
  </w:abstractNum>
  <w:abstractNum w:abstractNumId="1">
    <w:nsid w:val="CF092B84"/>
    <w:multiLevelType w:val="multilevel"/>
    <w:tmpl w:val="CF092B84"/>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0053208E"/>
    <w:multiLevelType w:val="multilevel"/>
    <w:tmpl w:val="0053208E"/>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3">
    <w:nsid w:val="0248C179"/>
    <w:multiLevelType w:val="singleLevel"/>
    <w:tmpl w:val="0248C179"/>
    <w:lvl w:ilvl="0" w:tentative="0">
      <w:start w:val="1"/>
      <w:numFmt w:val="chineseCounting"/>
      <w:suff w:val="nothing"/>
      <w:lvlText w:val="%1、"/>
      <w:lvlJc w:val="left"/>
      <w:rPr>
        <w:rFonts w:hint="eastAsia"/>
      </w:rPr>
    </w:lvl>
  </w:abstractNum>
  <w:abstractNum w:abstractNumId="4">
    <w:nsid w:val="03D62ECE"/>
    <w:multiLevelType w:val="singleLevel"/>
    <w:tmpl w:val="03D62ECE"/>
    <w:lvl w:ilvl="0" w:tentative="0">
      <w:start w:val="1"/>
      <w:numFmt w:val="chineseCounting"/>
      <w:suff w:val="nothing"/>
      <w:lvlText w:val="%1、"/>
      <w:lvlJc w:val="left"/>
      <w:rPr>
        <w:rFonts w:hint="eastAsia"/>
      </w:rPr>
    </w:lvl>
  </w:abstractNum>
  <w:abstractNum w:abstractNumId="5">
    <w:nsid w:val="25B654F3"/>
    <w:multiLevelType w:val="singleLevel"/>
    <w:tmpl w:val="25B654F3"/>
    <w:lvl w:ilvl="0" w:tentative="0">
      <w:start w:val="1"/>
      <w:numFmt w:val="chineseCounting"/>
      <w:suff w:val="nothing"/>
      <w:lvlText w:val="%1、"/>
      <w:lvlJc w:val="left"/>
      <w:rPr>
        <w:rFonts w:hint="eastAsia"/>
      </w:rPr>
    </w:lvl>
  </w:abstractNum>
  <w:abstractNum w:abstractNumId="6">
    <w:nsid w:val="59ADCABA"/>
    <w:multiLevelType w:val="singleLevel"/>
    <w:tmpl w:val="59ADCABA"/>
    <w:lvl w:ilvl="0" w:tentative="0">
      <w:start w:val="9"/>
      <w:numFmt w:val="chineseCounting"/>
      <w:suff w:val="nothing"/>
      <w:lvlText w:val="%1、"/>
      <w:lvlJc w:val="left"/>
      <w:rPr>
        <w:rFonts w:hint="eastAsia" w:cs="Times New Roman"/>
      </w:rPr>
    </w:lvl>
  </w:abstractNum>
  <w:abstractNum w:abstractNumId="7">
    <w:nsid w:val="72183CF9"/>
    <w:multiLevelType w:val="singleLevel"/>
    <w:tmpl w:val="72183CF9"/>
    <w:lvl w:ilvl="0" w:tentative="0">
      <w:start w:val="1"/>
      <w:numFmt w:val="chineseCounting"/>
      <w:suff w:val="nothing"/>
      <w:lvlText w:val="%1、"/>
      <w:lvlJc w:val="left"/>
      <w:rPr>
        <w:rFonts w:hint="eastAsia"/>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02A719DF"/>
    <w:rsid w:val="05EC7E26"/>
    <w:rsid w:val="076A7A5B"/>
    <w:rsid w:val="112E620C"/>
    <w:rsid w:val="189D0F3C"/>
    <w:rsid w:val="1DC34708"/>
    <w:rsid w:val="1ED42789"/>
    <w:rsid w:val="22BE44FC"/>
    <w:rsid w:val="2A251B54"/>
    <w:rsid w:val="30D75BB1"/>
    <w:rsid w:val="36D1058E"/>
    <w:rsid w:val="37794520"/>
    <w:rsid w:val="3BED46EE"/>
    <w:rsid w:val="3EE42BB5"/>
    <w:rsid w:val="454B4BDF"/>
    <w:rsid w:val="46D32A19"/>
    <w:rsid w:val="49C2325D"/>
    <w:rsid w:val="4FB52B6E"/>
    <w:rsid w:val="58CB697C"/>
    <w:rsid w:val="5D721777"/>
    <w:rsid w:val="5DD54E0F"/>
    <w:rsid w:val="62010893"/>
    <w:rsid w:val="643F2657"/>
    <w:rsid w:val="64752498"/>
    <w:rsid w:val="6BFB3552"/>
    <w:rsid w:val="6CDC719C"/>
    <w:rsid w:val="70DC35B9"/>
    <w:rsid w:val="742227A8"/>
    <w:rsid w:val="75A23CF8"/>
    <w:rsid w:val="7ACD52CE"/>
    <w:rsid w:val="7D6F75F0"/>
    <w:rsid w:val="7EEC22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9"/>
    <w:pPr>
      <w:keepNext/>
      <w:keepLines/>
      <w:spacing w:before="340" w:beforeLines="0" w:beforeAutospacing="0" w:after="330" w:afterLines="0" w:afterAutospacing="0" w:line="576" w:lineRule="auto"/>
      <w:outlineLvl w:val="0"/>
    </w:pPr>
    <w:rPr>
      <w:rFonts w:eastAsia="黑体"/>
      <w:b/>
      <w:kern w:val="44"/>
      <w:sz w:val="44"/>
    </w:rPr>
  </w:style>
  <w:style w:type="character" w:default="1" w:styleId="8">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toc 1"/>
    <w:basedOn w:val="1"/>
    <w:next w:val="1"/>
    <w:unhideWhenUsed/>
    <w:qFormat/>
    <w:uiPriority w:val="39"/>
  </w:style>
  <w:style w:type="paragraph" w:styleId="4">
    <w:name w:val="toc 2"/>
    <w:basedOn w:val="1"/>
    <w:next w:val="1"/>
    <w:unhideWhenUsed/>
    <w:qFormat/>
    <w:uiPriority w:val="39"/>
    <w:pPr>
      <w:ind w:left="420" w:leftChars="200"/>
    </w:pPr>
  </w:style>
  <w:style w:type="table" w:styleId="6">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
    <w:name w:val="普通表格1"/>
    <w:unhideWhenUsed/>
    <w:qFormat/>
    <w:uiPriority w:val="99"/>
    <w:tblPr>
      <w:tblCellMar>
        <w:top w:w="0" w:type="dxa"/>
        <w:left w:w="108" w:type="dxa"/>
        <w:bottom w:w="0" w:type="dxa"/>
        <w:right w:w="108" w:type="dxa"/>
      </w:tblCellMar>
    </w:tblPr>
  </w:style>
  <w:style w:type="paragraph" w:customStyle="1" w:styleId="9">
    <w:name w:val="标题 11"/>
    <w:basedOn w:val="1"/>
    <w:next w:val="1"/>
    <w:link w:val="13"/>
    <w:qFormat/>
    <w:uiPriority w:val="9"/>
    <w:pPr>
      <w:keepNext/>
      <w:keepLines/>
      <w:spacing w:before="340" w:after="330" w:line="578" w:lineRule="auto"/>
      <w:outlineLvl w:val="0"/>
    </w:pPr>
    <w:rPr>
      <w:b/>
      <w:bCs/>
      <w:kern w:val="44"/>
      <w:sz w:val="44"/>
      <w:szCs w:val="44"/>
    </w:rPr>
  </w:style>
  <w:style w:type="paragraph" w:customStyle="1" w:styleId="10">
    <w:name w:val="标题 21"/>
    <w:basedOn w:val="1"/>
    <w:next w:val="1"/>
    <w:link w:val="14"/>
    <w:qFormat/>
    <w:uiPriority w:val="9"/>
    <w:pPr>
      <w:keepNext/>
      <w:keepLines/>
      <w:spacing w:before="260" w:after="260" w:line="416" w:lineRule="auto"/>
      <w:outlineLvl w:val="1"/>
    </w:pPr>
    <w:rPr>
      <w:rFonts w:ascii="Cambria" w:hAnsi="Cambria"/>
      <w:b/>
      <w:bCs/>
      <w:sz w:val="32"/>
      <w:szCs w:val="32"/>
    </w:rPr>
  </w:style>
  <w:style w:type="paragraph" w:customStyle="1" w:styleId="11">
    <w:name w:val="标题 31"/>
    <w:basedOn w:val="1"/>
    <w:next w:val="1"/>
    <w:link w:val="15"/>
    <w:qFormat/>
    <w:uiPriority w:val="9"/>
    <w:pPr>
      <w:keepNext/>
      <w:keepLines/>
      <w:spacing w:before="260" w:after="260" w:line="416" w:lineRule="auto"/>
      <w:outlineLvl w:val="2"/>
    </w:pPr>
    <w:rPr>
      <w:b/>
      <w:bCs/>
      <w:sz w:val="32"/>
      <w:szCs w:val="32"/>
    </w:rPr>
  </w:style>
  <w:style w:type="character" w:customStyle="1" w:styleId="12">
    <w:name w:val="默认段落字体1"/>
    <w:unhideWhenUsed/>
    <w:uiPriority w:val="1"/>
  </w:style>
  <w:style w:type="character" w:customStyle="1" w:styleId="13">
    <w:name w:val="标题 1 Char"/>
    <w:basedOn w:val="12"/>
    <w:link w:val="9"/>
    <w:qFormat/>
    <w:locked/>
    <w:uiPriority w:val="9"/>
    <w:rPr>
      <w:rFonts w:ascii="Times New Roman" w:hAnsi="Times New Roman" w:cs="Times New Roman"/>
      <w:b/>
      <w:bCs/>
      <w:kern w:val="44"/>
      <w:sz w:val="44"/>
      <w:szCs w:val="44"/>
    </w:rPr>
  </w:style>
  <w:style w:type="character" w:customStyle="1" w:styleId="14">
    <w:name w:val="标题 2 Char"/>
    <w:basedOn w:val="12"/>
    <w:link w:val="10"/>
    <w:qFormat/>
    <w:locked/>
    <w:uiPriority w:val="9"/>
    <w:rPr>
      <w:rFonts w:ascii="Cambria" w:hAnsi="Cambria" w:eastAsia="宋体" w:cs="Times New Roman"/>
      <w:b/>
      <w:bCs/>
      <w:kern w:val="2"/>
      <w:sz w:val="32"/>
      <w:szCs w:val="32"/>
    </w:rPr>
  </w:style>
  <w:style w:type="character" w:customStyle="1" w:styleId="15">
    <w:name w:val="标题 3 Char"/>
    <w:basedOn w:val="12"/>
    <w:link w:val="11"/>
    <w:qFormat/>
    <w:locked/>
    <w:uiPriority w:val="9"/>
    <w:rPr>
      <w:rFonts w:ascii="Times New Roman" w:hAnsi="Times New Roman" w:cs="Times New Roman"/>
      <w:b/>
      <w:bCs/>
      <w:kern w:val="2"/>
      <w:sz w:val="32"/>
      <w:szCs w:val="32"/>
    </w:rPr>
  </w:style>
  <w:style w:type="paragraph" w:customStyle="1" w:styleId="16">
    <w:name w:val="正文文本1"/>
    <w:basedOn w:val="1"/>
    <w:qFormat/>
    <w:uiPriority w:val="99"/>
    <w:pPr>
      <w:spacing w:beforeLines="30"/>
    </w:pPr>
    <w:rPr>
      <w:rFonts w:ascii="仿宋_GB2312" w:eastAsia="仿宋_GB2312"/>
      <w:kern w:val="0"/>
      <w:sz w:val="24"/>
      <w:szCs w:val="20"/>
    </w:rPr>
  </w:style>
  <w:style w:type="character" w:customStyle="1" w:styleId="17">
    <w:name w:val="Body Text Char"/>
    <w:basedOn w:val="12"/>
    <w:semiHidden/>
    <w:qFormat/>
    <w:uiPriority w:val="99"/>
    <w:rPr>
      <w:rFonts w:ascii="Times New Roman" w:hAnsi="Times New Roman" w:cs="Times New Roman"/>
      <w:sz w:val="24"/>
      <w:szCs w:val="24"/>
    </w:rPr>
  </w:style>
  <w:style w:type="paragraph" w:customStyle="1" w:styleId="18">
    <w:name w:val="目录 31"/>
    <w:basedOn w:val="1"/>
    <w:next w:val="1"/>
    <w:unhideWhenUsed/>
    <w:qFormat/>
    <w:uiPriority w:val="39"/>
    <w:pPr>
      <w:tabs>
        <w:tab w:val="right" w:leader="dot" w:pos="8296"/>
      </w:tabs>
      <w:ind w:left="840" w:leftChars="400"/>
    </w:pPr>
  </w:style>
  <w:style w:type="paragraph" w:customStyle="1" w:styleId="19">
    <w:name w:val="批注框文本1"/>
    <w:basedOn w:val="1"/>
    <w:unhideWhenUsed/>
    <w:qFormat/>
    <w:uiPriority w:val="99"/>
    <w:rPr>
      <w:sz w:val="18"/>
      <w:szCs w:val="18"/>
    </w:rPr>
  </w:style>
  <w:style w:type="character" w:customStyle="1" w:styleId="20">
    <w:name w:val="批注框文本 Char"/>
    <w:basedOn w:val="12"/>
    <w:semiHidden/>
    <w:qFormat/>
    <w:locked/>
    <w:uiPriority w:val="99"/>
    <w:rPr>
      <w:rFonts w:ascii="Times New Roman" w:hAnsi="Times New Roman" w:cs="Times New Roman"/>
      <w:kern w:val="2"/>
      <w:sz w:val="18"/>
      <w:szCs w:val="18"/>
    </w:rPr>
  </w:style>
  <w:style w:type="paragraph" w:customStyle="1" w:styleId="21">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2">
    <w:name w:val="Footer Char"/>
    <w:basedOn w:val="12"/>
    <w:semiHidden/>
    <w:qFormat/>
    <w:uiPriority w:val="99"/>
    <w:rPr>
      <w:rFonts w:ascii="Times New Roman" w:hAnsi="Times New Roman" w:cs="Times New Roman"/>
      <w:sz w:val="18"/>
      <w:szCs w:val="18"/>
    </w:rPr>
  </w:style>
  <w:style w:type="paragraph" w:customStyle="1" w:styleId="23">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4">
    <w:name w:val="Header Char"/>
    <w:basedOn w:val="12"/>
    <w:semiHidden/>
    <w:qFormat/>
    <w:uiPriority w:val="99"/>
    <w:rPr>
      <w:rFonts w:ascii="Times New Roman" w:hAnsi="Times New Roman" w:cs="Times New Roman"/>
      <w:sz w:val="18"/>
      <w:szCs w:val="18"/>
    </w:rPr>
  </w:style>
  <w:style w:type="paragraph" w:customStyle="1" w:styleId="25">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6">
    <w:name w:val="目录 21"/>
    <w:basedOn w:val="1"/>
    <w:next w:val="1"/>
    <w:unhideWhenUsed/>
    <w:qFormat/>
    <w:uiPriority w:val="39"/>
    <w:pPr>
      <w:tabs>
        <w:tab w:val="right" w:leader="dot" w:pos="8296"/>
      </w:tabs>
      <w:ind w:left="420" w:leftChars="200"/>
    </w:pPr>
  </w:style>
  <w:style w:type="character" w:customStyle="1" w:styleId="27">
    <w:name w:val="要点1"/>
    <w:basedOn w:val="12"/>
    <w:qFormat/>
    <w:uiPriority w:val="99"/>
    <w:rPr>
      <w:rFonts w:cs="Times New Roman"/>
      <w:b/>
    </w:rPr>
  </w:style>
  <w:style w:type="character" w:customStyle="1" w:styleId="28">
    <w:name w:val="超链接1"/>
    <w:basedOn w:val="12"/>
    <w:unhideWhenUsed/>
    <w:qFormat/>
    <w:uiPriority w:val="99"/>
    <w:rPr>
      <w:rFonts w:cs="Times New Roman"/>
      <w:color w:val="0000FF"/>
      <w:u w:val="single"/>
    </w:rPr>
  </w:style>
  <w:style w:type="character" w:customStyle="1" w:styleId="29">
    <w:name w:val="正文文本 Char"/>
    <w:qFormat/>
    <w:locked/>
    <w:uiPriority w:val="99"/>
    <w:rPr>
      <w:rFonts w:ascii="仿宋_GB2312" w:hAnsi="Times New Roman" w:eastAsia="仿宋_GB2312"/>
      <w:sz w:val="24"/>
    </w:rPr>
  </w:style>
  <w:style w:type="character" w:customStyle="1" w:styleId="30">
    <w:name w:val="页脚 Char"/>
    <w:qFormat/>
    <w:locked/>
    <w:uiPriority w:val="99"/>
    <w:rPr>
      <w:sz w:val="18"/>
    </w:rPr>
  </w:style>
  <w:style w:type="character" w:customStyle="1" w:styleId="31">
    <w:name w:val="页眉 Char"/>
    <w:semiHidden/>
    <w:qFormat/>
    <w:locked/>
    <w:uiPriority w:val="99"/>
    <w:rPr>
      <w:sz w:val="18"/>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3">
    <w:name w:val="List Paragraph"/>
    <w:basedOn w:val="1"/>
    <w:qFormat/>
    <w:uiPriority w:val="34"/>
    <w:pPr>
      <w:ind w:firstLine="420" w:firstLineChars="200"/>
    </w:pPr>
  </w:style>
  <w:style w:type="paragraph" w:customStyle="1" w:styleId="34">
    <w:name w:val="TOC 标题1"/>
    <w:basedOn w:val="9"/>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1"/>
    <w:basedOn w:val="9"/>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四号正文"/>
    <w:basedOn w:val="1"/>
    <w:qFormat/>
    <w:uiPriority w:val="0"/>
    <w:pPr>
      <w:spacing w:line="360" w:lineRule="auto"/>
    </w:pPr>
    <w:rPr>
      <w:rFonts w:ascii="??" w:hAnsi="??" w:cs="宋体"/>
      <w:color w:val="000000"/>
      <w:kern w:val="0"/>
      <w:sz w:val="28"/>
      <w:szCs w:val="21"/>
    </w:rPr>
  </w:style>
  <w:style w:type="character" w:customStyle="1" w:styleId="37">
    <w:name w:val="标题 1 Char1"/>
    <w:link w:val="2"/>
    <w:uiPriority w:val="0"/>
    <w:rPr>
      <w:rFonts w:eastAsia="黑体"/>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55</cp:revision>
  <cp:lastPrinted>2021-09-24T01:12:00Z</cp:lastPrinted>
  <dcterms:created xsi:type="dcterms:W3CDTF">2020-08-04T01:49:00Z</dcterms:created>
  <dcterms:modified xsi:type="dcterms:W3CDTF">2021-10-12T06:05:16Z</dcterms:modified>
</cp:coreProperties>
</file>

<file path=customXml/item3.xml><?xml version="1.0" encoding="utf-8"?>
<Properties xmlns:vt="http://schemas.openxmlformats.org/officeDocument/2006/docPropsVTypes" xmlns="http://schemas.openxmlformats.org/officeDocument/2006/extended-properties">
  <Template>Normal</Template>
  <Pages>78</Pages>
  <Words>4706</Words>
  <Characters>26828</Characters>
  <Application>Microsoft Office Word</Application>
  <DocSecurity>0</DocSecurity>
  <Lines>223</Lines>
  <Paragraphs>62</Paragraphs>
  <Company>四川省财政厅</Company>
  <CharactersWithSpaces>31472</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CE8C07A8395045A7B983467507320562</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eddc35-bdb6-4f0e-a91c-ca48f832bfb5}">
  <ds:schemaRefs/>
</ds:datastoreItem>
</file>

<file path=customXml/itemProps3.xml><?xml version="1.0" encoding="utf-8"?>
<ds:datastoreItem xmlns:ds="http://schemas.openxmlformats.org/officeDocument/2006/customXml" ds:itemID="{c8f456f7-8924-485a-91bb-9e2a59865ee7}">
  <ds:schemaRefs/>
</ds:datastoreItem>
</file>

<file path=customXml/itemProps4.xml><?xml version="1.0" encoding="utf-8"?>
<ds:datastoreItem xmlns:ds="http://schemas.openxmlformats.org/officeDocument/2006/customXml" ds:itemID="{7b0bc3ca-e7dd-4d4a-924a-982828a6758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78</Pages>
  <Words>4706</Words>
  <Characters>26828</Characters>
  <Lines>223</Lines>
  <Paragraphs>62</Paragraphs>
  <TotalTime>0</TotalTime>
  <ScaleCrop>false</ScaleCrop>
  <LinksUpToDate>false</LinksUpToDate>
  <CharactersWithSpaces>31472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2021-09-24T01:12:00Z</cp:lastPrinted>
  <dcterms:modified xsi:type="dcterms:W3CDTF">2021-11-01T09:03:25Z</dcterms:modified>
  <dc:title>四川省_x002A__x002A__x002A_</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1B195BFF8EAE4AB78686D9BCF7A69287</vt:lpwstr>
  </property>
</Properties>
</file>