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黑体" w:hAnsi="黑体" w:eastAsia="黑体"/>
          <w:color w:val="000000"/>
          <w:sz w:val="72"/>
          <w:szCs w:val="72"/>
        </w:rPr>
      </w:pPr>
      <w:bookmarkStart w:id="0" w:name="_Toc15396475"/>
      <w:bookmarkStart w:id="1" w:name="_Toc15396597"/>
      <w:bookmarkStart w:id="2" w:name="_Toc15378441"/>
      <w:bookmarkStart w:id="3" w:name="_Toc15377193"/>
      <w:bookmarkStart w:id="4" w:name="_Toc15377425"/>
    </w:p>
    <w:p>
      <w:pPr>
        <w:adjustRightInd w:val="0"/>
        <w:snapToGrid w:val="0"/>
        <w:spacing w:line="360" w:lineRule="auto"/>
        <w:jc w:val="center"/>
        <w:outlineLvl w:val="0"/>
        <w:rPr>
          <w:rFonts w:ascii="黑体" w:hAnsi="黑体" w:eastAsia="黑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5" w:name="_Toc15377194"/>
      <w:bookmarkStart w:id="6" w:name="_Toc15396598"/>
      <w:bookmarkStart w:id="7" w:name="_Toc15378442"/>
      <w:bookmarkStart w:id="8" w:name="_Toc15396476"/>
      <w:bookmarkStart w:id="9" w:name="_Toc15377426"/>
      <w:bookmarkStart w:id="10" w:name="_Toc15306268"/>
      <w:r>
        <w:rPr>
          <w:rFonts w:hint="eastAsia" w:ascii="方正小标宋简体" w:hAnsi="宋体" w:eastAsia="方正小标宋简体"/>
          <w:color w:val="000000"/>
          <w:sz w:val="72"/>
          <w:szCs w:val="72"/>
        </w:rPr>
        <w:t>通江县应急管理局</w:t>
      </w:r>
    </w:p>
    <w:p>
      <w:pPr>
        <w:adjustRightInd w:val="0"/>
        <w:snapToGrid w:val="0"/>
        <w:spacing w:line="360" w:lineRule="auto"/>
        <w:jc w:val="center"/>
        <w:outlineLvl w:val="0"/>
        <w:rPr>
          <w:rFonts w:ascii="方正小标宋简体" w:hAnsi="宋体" w:eastAsia="方正小标宋简体"/>
          <w:color w:val="000000"/>
          <w:sz w:val="52"/>
          <w:szCs w:val="52"/>
        </w:rPr>
      </w:pPr>
      <w:r>
        <w:rPr>
          <w:rFonts w:hint="eastAsia" w:ascii="方正小标宋简体" w:hAnsi="宋体" w:eastAsia="方正小标宋简体"/>
          <w:color w:val="000000"/>
          <w:sz w:val="72"/>
          <w:szCs w:val="72"/>
        </w:rPr>
        <w:t>部门决算</w:t>
      </w:r>
      <w:bookmarkEnd w:id="5"/>
      <w:bookmarkEnd w:id="6"/>
      <w:bookmarkEnd w:id="7"/>
      <w:bookmarkEnd w:id="8"/>
      <w:bookmarkEnd w:id="9"/>
      <w:bookmarkEnd w:id="10"/>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pStyle w:val="6"/>
      </w:pPr>
      <w:r>
        <w:rPr>
          <w:rFonts w:hint="eastAsia"/>
        </w:rPr>
        <w:t>公开时间：</w:t>
      </w:r>
      <w:r>
        <w:t>2021</w:t>
      </w:r>
      <w:r>
        <w:rPr>
          <w:rFonts w:hint="eastAsia"/>
        </w:rPr>
        <w:t>年10月15日</w:t>
      </w:r>
    </w:p>
    <w:p>
      <w:pPr>
        <w:widowControl/>
        <w:jc w:val="center"/>
        <w:rPr>
          <w:rFonts w:ascii="黑体" w:hAnsi="黑体" w:eastAsia="黑体"/>
          <w:color w:val="000000"/>
          <w:sz w:val="48"/>
          <w:szCs w:val="48"/>
        </w:rPr>
      </w:pPr>
      <w:r>
        <w:br w:type="page"/>
      </w:r>
      <w:r>
        <w:rPr>
          <w:rFonts w:hint="eastAsia" w:ascii="黑体" w:hAnsi="黑体" w:eastAsia="黑体"/>
          <w:color w:val="000000"/>
          <w:sz w:val="48"/>
          <w:szCs w:val="48"/>
        </w:rPr>
        <w:t>目录</w:t>
      </w:r>
    </w:p>
    <w:p>
      <w:pPr>
        <w:pStyle w:val="2"/>
        <w:spacing w:before="93"/>
      </w:pPr>
    </w:p>
    <w:p>
      <w:pPr>
        <w:rPr>
          <w:sz w:val="36"/>
          <w:szCs w:val="36"/>
        </w:rPr>
      </w:pPr>
    </w:p>
    <w:p>
      <w:pPr>
        <w:pStyle w:val="2"/>
        <w:spacing w:before="93"/>
        <w:rPr>
          <w:sz w:val="36"/>
          <w:szCs w:val="36"/>
        </w:rPr>
      </w:pPr>
    </w:p>
    <w:p>
      <w:pPr>
        <w:pStyle w:val="2"/>
        <w:spacing w:before="93"/>
        <w:rPr>
          <w:sz w:val="36"/>
          <w:szCs w:val="36"/>
        </w:rPr>
      </w:pPr>
    </w:p>
    <w:p>
      <w:pPr>
        <w:pStyle w:val="2"/>
        <w:spacing w:before="93"/>
        <w:rPr>
          <w:sz w:val="36"/>
          <w:szCs w:val="36"/>
        </w:rPr>
      </w:pPr>
    </w:p>
    <w:p>
      <w:pPr>
        <w:pStyle w:val="2"/>
        <w:spacing w:before="93"/>
        <w:rPr>
          <w:sz w:val="36"/>
          <w:szCs w:val="36"/>
        </w:rPr>
      </w:pPr>
    </w:p>
    <w:p>
      <w:pPr>
        <w:pStyle w:val="2"/>
        <w:spacing w:before="93"/>
        <w:rPr>
          <w:sz w:val="36"/>
          <w:szCs w:val="36"/>
        </w:rPr>
      </w:pPr>
    </w:p>
    <w:p>
      <w:pPr>
        <w:pStyle w:val="2"/>
        <w:spacing w:before="93"/>
        <w:rPr>
          <w:sz w:val="36"/>
          <w:szCs w:val="36"/>
        </w:rPr>
      </w:pPr>
    </w:p>
    <w:p>
      <w:pPr>
        <w:pStyle w:val="2"/>
        <w:spacing w:before="93"/>
        <w:rPr>
          <w:sz w:val="36"/>
          <w:szCs w:val="36"/>
        </w:rPr>
      </w:pPr>
    </w:p>
    <w:p>
      <w:pPr>
        <w:pStyle w:val="2"/>
        <w:spacing w:before="93"/>
        <w:rPr>
          <w:sz w:val="36"/>
          <w:szCs w:val="36"/>
        </w:rPr>
      </w:pPr>
    </w:p>
    <w:p>
      <w:pPr>
        <w:pStyle w:val="2"/>
        <w:spacing w:before="93"/>
        <w:rPr>
          <w:sz w:val="36"/>
          <w:szCs w:val="36"/>
        </w:rPr>
      </w:pPr>
    </w:p>
    <w:p>
      <w:pPr>
        <w:pStyle w:val="2"/>
        <w:spacing w:before="93"/>
        <w:rPr>
          <w:sz w:val="36"/>
          <w:szCs w:val="36"/>
        </w:rPr>
      </w:pPr>
    </w:p>
    <w:p>
      <w:pPr>
        <w:pStyle w:val="2"/>
        <w:spacing w:before="93"/>
        <w:rPr>
          <w:sz w:val="36"/>
          <w:szCs w:val="36"/>
        </w:rPr>
      </w:pPr>
    </w:p>
    <w:p>
      <w:pPr>
        <w:pStyle w:val="2"/>
        <w:spacing w:before="93"/>
        <w:rPr>
          <w:sz w:val="36"/>
          <w:szCs w:val="36"/>
        </w:rPr>
      </w:pPr>
    </w:p>
    <w:p>
      <w:pPr>
        <w:pStyle w:val="2"/>
        <w:spacing w:before="93"/>
        <w:rPr>
          <w:sz w:val="36"/>
          <w:szCs w:val="36"/>
        </w:rPr>
      </w:pPr>
    </w:p>
    <w:p>
      <w:pPr>
        <w:pStyle w:val="6"/>
        <w:adjustRightInd w:val="0"/>
        <w:snapToGrid w:val="0"/>
        <w:spacing w:before="0" w:line="440" w:lineRule="exact"/>
        <w:jc w:val="both"/>
        <w:rPr>
          <w:rFonts w:ascii="华文中宋" w:hAnsi="华文中宋" w:eastAsia="华文中宋" w:cs="华文中宋"/>
          <w:sz w:val="36"/>
          <w:szCs w:val="36"/>
        </w:rPr>
        <w:sectPr>
          <w:footerReference r:id="rId3" w:type="default"/>
          <w:pgSz w:w="11906" w:h="16838"/>
          <w:pgMar w:top="1440" w:right="1800" w:bottom="1440" w:left="1800" w:header="851" w:footer="992" w:gutter="0"/>
          <w:cols w:space="425" w:num="1"/>
          <w:docGrid w:type="lines" w:linePitch="312" w:charSpace="0"/>
        </w:sectPr>
      </w:pPr>
    </w:p>
    <w:p>
      <w:pPr>
        <w:pStyle w:val="6"/>
        <w:numPr>
          <w:ilvl w:val="0"/>
          <w:numId w:val="1"/>
        </w:numPr>
        <w:adjustRightInd w:val="0"/>
        <w:snapToGrid w:val="0"/>
        <w:spacing w:before="0" w:line="440" w:lineRule="exact"/>
        <w:rPr>
          <w:rFonts w:ascii="华文中宋" w:hAnsi="华文中宋" w:eastAsia="华文中宋" w:cs="华文中宋"/>
          <w:sz w:val="36"/>
          <w:szCs w:val="36"/>
        </w:rPr>
      </w:pPr>
      <w:r>
        <w:rPr>
          <w:rFonts w:hint="eastAsia" w:ascii="华文中宋" w:hAnsi="华文中宋" w:eastAsia="华文中宋" w:cs="华文中宋"/>
          <w:sz w:val="36"/>
          <w:szCs w:val="36"/>
        </w:rPr>
        <w:t>部门概况</w:t>
      </w:r>
    </w:p>
    <w:p/>
    <w:p>
      <w:pPr>
        <w:pStyle w:val="7"/>
        <w:adjustRightInd w:val="0"/>
        <w:snapToGrid w:val="0"/>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一、基本职能及主要工作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（一）负责应急管理工作，组织和指导各乡镇、各部门应对安全生产类、自然灾害类等突发事件和综合防灾减灾救灾工作。负责工矿商贸、煤炭行业安全生产监督管理和安全生产综合监督管理工作。</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zh-CN"/>
        </w:rPr>
        <w:t>）拟订应急管理、安全生产等政策措施，组织编制应急体系建设、安全生产和综合防灾减灾规划。</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（三）负责组织和指导应急预案体系建设，建立完善事故灾难和自然灾害分级应对制度，组织编制综合应急防灾减灾预案和安全生产类、自然灾害类专项预案，</w:t>
      </w:r>
      <w:r>
        <w:rPr>
          <w:rFonts w:hint="eastAsia" w:ascii="仿宋_GB2312" w:hAnsi="仿宋_GB2312" w:eastAsia="仿宋_GB2312" w:cs="仿宋_GB2312"/>
          <w:sz w:val="32"/>
          <w:szCs w:val="32"/>
        </w:rPr>
        <w:t>综合协调</w:t>
      </w:r>
      <w:r>
        <w:rPr>
          <w:rFonts w:hint="eastAsia" w:ascii="仿宋_GB2312" w:hAnsi="仿宋_GB2312" w:eastAsia="仿宋_GB2312" w:cs="仿宋_GB2312"/>
          <w:sz w:val="32"/>
          <w:szCs w:val="32"/>
          <w:lang w:val="zh-CN"/>
        </w:rPr>
        <w:t>应急预案衔接工作，组织开展预案演练并落实，推动应急避难设施建设。</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（四）牵头建立统一的应急管理信息系统，负责信息传输渠道的规划和布局，建立监测预警和灾情报告制度，健全自然灾害信息资源获取和共享机制，依法统一发布灾情。</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（五）组织、指导、协调安全生产类、自然灾害类等突发事件应急救援，承担全</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zh-CN"/>
        </w:rPr>
        <w:t>应对较大及以上灾害指挥部工作，综合研判突发事件发展态势并提出应对建议，负责组织较大及以上灾害应急处置工作。</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按照国家相关政策和规定负责消防、森林火灾扑救、抗洪抢险、地震和地质灾害救援、生产安全事故救援等专业应急救援力量建设，依法依规统筹指导各乡镇、各部门及社会应急救援力量和应急保障能力建设。</w:t>
      </w:r>
    </w:p>
    <w:p>
      <w:pPr>
        <w:pStyle w:val="14"/>
        <w:shd w:val="clear" w:color="auto" w:fill="auto"/>
        <w:tabs>
          <w:tab w:val="left" w:pos="1540"/>
        </w:tabs>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val="zh-CN"/>
        </w:rPr>
        <w:t>）按照国家相关政策和省委、省政府、市委、市政府、</w:t>
      </w:r>
      <w:r>
        <w:rPr>
          <w:rFonts w:hint="eastAsia" w:ascii="仿宋_GB2312" w:hAnsi="仿宋_GB2312" w:eastAsia="仿宋_GB2312" w:cs="仿宋_GB2312"/>
          <w:sz w:val="32"/>
          <w:szCs w:val="32"/>
        </w:rPr>
        <w:t>县委、县政府</w:t>
      </w:r>
      <w:r>
        <w:rPr>
          <w:rFonts w:hint="eastAsia" w:ascii="仿宋_GB2312" w:hAnsi="仿宋_GB2312" w:eastAsia="仿宋_GB2312" w:cs="仿宋_GB2312"/>
          <w:sz w:val="32"/>
          <w:szCs w:val="32"/>
          <w:lang w:val="zh-CN"/>
        </w:rPr>
        <w:t>相关规定负责消防工作，组织和指导消防监督、火灾预防、火灾扑救等工作。</w:t>
      </w:r>
    </w:p>
    <w:p>
      <w:pPr>
        <w:pStyle w:val="14"/>
        <w:shd w:val="clear" w:color="auto" w:fill="auto"/>
        <w:tabs>
          <w:tab w:val="left" w:pos="1540"/>
        </w:tabs>
        <w:spacing w:after="0" w:line="560" w:lineRule="exact"/>
        <w:ind w:firstLine="640" w:firstLineChars="200"/>
        <w:jc w:val="both"/>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val="zh-CN"/>
        </w:rPr>
        <w:t>）负责自然灾害综合监测预警工作，</w:t>
      </w:r>
      <w:r>
        <w:rPr>
          <w:rFonts w:hint="eastAsia" w:ascii="仿宋_GB2312" w:hAnsi="仿宋_GB2312" w:eastAsia="仿宋_GB2312" w:cs="仿宋_GB2312"/>
          <w:sz w:val="32"/>
          <w:szCs w:val="32"/>
        </w:rPr>
        <w:t>指导开展</w:t>
      </w:r>
      <w:r>
        <w:rPr>
          <w:rFonts w:hint="eastAsia" w:ascii="仿宋_GB2312" w:hAnsi="仿宋_GB2312" w:eastAsia="仿宋_GB2312" w:cs="仿宋_GB2312"/>
          <w:sz w:val="32"/>
          <w:szCs w:val="32"/>
          <w:lang w:val="zh-CN"/>
        </w:rPr>
        <w:t>自然灾害综合风险评估工作，指导协调森林火灾、水旱灾害、地震和地质灾害等防治工作。</w:t>
      </w:r>
    </w:p>
    <w:p>
      <w:pPr>
        <w:pStyle w:val="14"/>
        <w:shd w:val="clear" w:color="auto" w:fill="auto"/>
        <w:tabs>
          <w:tab w:val="left" w:pos="1540"/>
        </w:tabs>
        <w:spacing w:after="0" w:line="560" w:lineRule="exact"/>
        <w:ind w:firstLine="640" w:firstLineChars="200"/>
        <w:jc w:val="both"/>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val="zh-CN"/>
        </w:rPr>
        <w:t>）组织、协调灾害救助工作，组织和指导灾情核查、损失评估、救灾捐赠工作，管理、分配中央、省、市下拨及</w:t>
      </w:r>
      <w:r>
        <w:rPr>
          <w:rFonts w:hint="eastAsia" w:ascii="仿宋_GB2312" w:hAnsi="仿宋_GB2312" w:eastAsia="仿宋_GB2312" w:cs="仿宋_GB2312"/>
          <w:sz w:val="32"/>
          <w:szCs w:val="32"/>
        </w:rPr>
        <w:t>县级</w:t>
      </w:r>
      <w:r>
        <w:rPr>
          <w:rFonts w:hint="eastAsia" w:ascii="仿宋_GB2312" w:hAnsi="仿宋_GB2312" w:eastAsia="仿宋_GB2312" w:cs="仿宋_GB2312"/>
          <w:sz w:val="32"/>
          <w:szCs w:val="32"/>
          <w:lang w:val="zh-CN"/>
        </w:rPr>
        <w:t>救灾款物并监督使用。</w:t>
      </w:r>
    </w:p>
    <w:p>
      <w:pPr>
        <w:pStyle w:val="14"/>
        <w:shd w:val="clear" w:color="auto" w:fill="auto"/>
        <w:tabs>
          <w:tab w:val="left" w:pos="1540"/>
        </w:tabs>
        <w:spacing w:after="0" w:line="560" w:lineRule="exact"/>
        <w:ind w:firstLine="640" w:firstLineChars="200"/>
        <w:jc w:val="both"/>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（十）依法</w:t>
      </w:r>
      <w:r>
        <w:rPr>
          <w:rFonts w:hint="eastAsia" w:ascii="仿宋_GB2312" w:hAnsi="仿宋_GB2312" w:eastAsia="仿宋_GB2312" w:cs="仿宋_GB2312"/>
          <w:sz w:val="32"/>
          <w:szCs w:val="32"/>
        </w:rPr>
        <w:t>行使县</w:t>
      </w:r>
      <w:r>
        <w:rPr>
          <w:rFonts w:hint="eastAsia" w:ascii="仿宋_GB2312" w:hAnsi="仿宋_GB2312" w:eastAsia="仿宋_GB2312" w:cs="仿宋_GB2312"/>
          <w:sz w:val="32"/>
          <w:szCs w:val="32"/>
          <w:lang w:val="zh-CN"/>
        </w:rPr>
        <w:t>安全生产综合监督管理责任，指导协调、监督检查</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zh-CN"/>
        </w:rPr>
        <w:t>级有关部门和各</w:t>
      </w:r>
      <w:r>
        <w:rPr>
          <w:rFonts w:hint="eastAsia" w:ascii="仿宋_GB2312" w:hAnsi="仿宋_GB2312" w:eastAsia="仿宋_GB2312" w:cs="仿宋_GB2312"/>
          <w:sz w:val="32"/>
          <w:szCs w:val="32"/>
        </w:rPr>
        <w:t>乡镇</w:t>
      </w:r>
      <w:r>
        <w:rPr>
          <w:rFonts w:hint="eastAsia" w:ascii="仿宋_GB2312" w:hAnsi="仿宋_GB2312" w:eastAsia="仿宋_GB2312" w:cs="仿宋_GB2312"/>
          <w:sz w:val="32"/>
          <w:szCs w:val="32"/>
          <w:lang w:val="zh-CN"/>
        </w:rPr>
        <w:t>安全生产工作，组织开展安全生产巡查、考核工作。</w:t>
      </w:r>
    </w:p>
    <w:p>
      <w:pPr>
        <w:pStyle w:val="14"/>
        <w:shd w:val="clear" w:color="auto" w:fill="auto"/>
        <w:tabs>
          <w:tab w:val="left" w:pos="1540"/>
        </w:tabs>
        <w:spacing w:after="0" w:line="560" w:lineRule="exact"/>
        <w:ind w:firstLine="640" w:firstLineChars="200"/>
        <w:jc w:val="both"/>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CN"/>
        </w:rPr>
        <w:t>）按照分级、属地原则，依法监督检查</w:t>
      </w:r>
      <w:r>
        <w:rPr>
          <w:rFonts w:hint="eastAsia" w:ascii="仿宋_GB2312" w:hAnsi="仿宋_GB2312" w:eastAsia="仿宋_GB2312" w:cs="仿宋_GB2312"/>
          <w:sz w:val="32"/>
          <w:szCs w:val="32"/>
        </w:rPr>
        <w:t>县级</w:t>
      </w:r>
      <w:r>
        <w:rPr>
          <w:rFonts w:hint="eastAsia" w:ascii="仿宋_GB2312" w:hAnsi="仿宋_GB2312" w:eastAsia="仿宋_GB2312" w:cs="仿宋_GB2312"/>
          <w:sz w:val="32"/>
          <w:szCs w:val="32"/>
          <w:lang w:val="zh-CN"/>
        </w:rPr>
        <w:t>工矿商贸生产经营单位贯彻执行安全生产法律法规情况及其安全生产条件和有关设备（特种设备除外）、材料、劳动防护用品的安全生产管理工作。协助市应急局做好中央、省、市在通工矿商贸企业安全生产监督管理工作。负责危险化学品安全监督管理综合工作和烟花爆竹安全生产监督管理工作。</w:t>
      </w:r>
    </w:p>
    <w:p>
      <w:pPr>
        <w:pStyle w:val="14"/>
        <w:shd w:val="clear" w:color="auto" w:fill="auto"/>
        <w:tabs>
          <w:tab w:val="left" w:pos="1540"/>
        </w:tabs>
        <w:spacing w:after="0" w:line="560" w:lineRule="exact"/>
        <w:ind w:firstLine="640" w:firstLineChars="200"/>
        <w:jc w:val="both"/>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zh-CN"/>
        </w:rPr>
        <w:t>）承担煤矿、非煤矿山、危险化学品、非药品类易制毒化学品和烟花爆竹等生产经营单位安全生产准入管理责任。</w:t>
      </w:r>
    </w:p>
    <w:p>
      <w:pPr>
        <w:pStyle w:val="14"/>
        <w:shd w:val="clear" w:color="auto" w:fill="auto"/>
        <w:tabs>
          <w:tab w:val="left" w:pos="1540"/>
        </w:tabs>
        <w:spacing w:after="0" w:line="560" w:lineRule="exact"/>
        <w:ind w:firstLine="640" w:firstLineChars="200"/>
        <w:jc w:val="both"/>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zh-CN"/>
        </w:rPr>
        <w:t>）拟订煤炭产业发展计划并组织实施，按权限审核、上报煤炭项目并负责建设管理。负责煤炭生产协调和监督管理，煤炭行业结构调整和产业升级，负责辖区内煤矿瓦斯等级鉴定的监管监察工作。</w:t>
      </w:r>
    </w:p>
    <w:p>
      <w:pPr>
        <w:pStyle w:val="14"/>
        <w:shd w:val="clear" w:color="auto" w:fill="auto"/>
        <w:tabs>
          <w:tab w:val="left" w:pos="1540"/>
        </w:tabs>
        <w:spacing w:after="0" w:line="560" w:lineRule="exact"/>
        <w:ind w:firstLine="640" w:firstLineChars="200"/>
        <w:jc w:val="both"/>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zh-CN"/>
        </w:rPr>
        <w:t>）承担煤矿安全生产监督管理责任，依法监督检查煤矿企业贯彻执行安全生产法律法规情况及其安全生产条件和有关设备（特种设备除外）、材料、劳动防护用品的安全生产管理工作。负责组织、指导煤矿企业安全专项整治、安全标准化、瓦斯和水害防治及相关安全科技发展工作。</w:t>
      </w:r>
    </w:p>
    <w:p>
      <w:pPr>
        <w:pStyle w:val="14"/>
        <w:shd w:val="clear" w:color="auto" w:fill="auto"/>
        <w:tabs>
          <w:tab w:val="left" w:pos="1540"/>
        </w:tabs>
        <w:spacing w:after="0" w:line="560" w:lineRule="exact"/>
        <w:ind w:firstLine="640" w:firstLineChars="200"/>
        <w:jc w:val="both"/>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val="zh-CN"/>
        </w:rPr>
        <w:t>）依法组织、指导生产安全事故调查处理，监督事故查处和责任追究落实情况。组织开展自然灾害类突发事件的调查评估工作。</w:t>
      </w:r>
    </w:p>
    <w:p>
      <w:pPr>
        <w:pStyle w:val="14"/>
        <w:shd w:val="clear" w:color="auto" w:fill="auto"/>
        <w:tabs>
          <w:tab w:val="left" w:pos="1540"/>
        </w:tabs>
        <w:spacing w:after="0" w:line="560" w:lineRule="exact"/>
        <w:ind w:firstLine="640" w:firstLineChars="200"/>
        <w:jc w:val="both"/>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val="zh-CN"/>
        </w:rPr>
        <w:t>）开展应急管理和安全生产方面的交流与合作，组织参与安全生产类、自然灾害类等突发事件的跨区域救援工作。</w:t>
      </w:r>
    </w:p>
    <w:p>
      <w:pPr>
        <w:pStyle w:val="14"/>
        <w:shd w:val="clear" w:color="auto" w:fill="auto"/>
        <w:tabs>
          <w:tab w:val="left" w:pos="1540"/>
        </w:tabs>
        <w:spacing w:after="0" w:line="560" w:lineRule="exact"/>
        <w:ind w:firstLine="640" w:firstLineChars="200"/>
        <w:jc w:val="both"/>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w:t>
      </w: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val="zh-CN"/>
        </w:rPr>
        <w:t>）制定应急物资储备和应急救援装备规划并组织实施，会同</w:t>
      </w:r>
      <w:r>
        <w:rPr>
          <w:rFonts w:hint="eastAsia" w:ascii="仿宋_GB2312" w:hAnsi="仿宋_GB2312" w:eastAsia="仿宋_GB2312" w:cs="仿宋_GB2312"/>
          <w:sz w:val="32"/>
          <w:szCs w:val="32"/>
        </w:rPr>
        <w:t>县发展和改革局</w:t>
      </w:r>
      <w:r>
        <w:rPr>
          <w:rFonts w:hint="eastAsia" w:ascii="仿宋_GB2312" w:hAnsi="仿宋_GB2312" w:eastAsia="仿宋_GB2312" w:cs="仿宋_GB2312"/>
          <w:sz w:val="32"/>
          <w:szCs w:val="32"/>
          <w:lang w:val="zh-CN"/>
        </w:rPr>
        <w:t>等部门建立健全应急物资信息平台和调拨制度，在救灾时统一调度。</w:t>
      </w:r>
    </w:p>
    <w:p>
      <w:pPr>
        <w:pStyle w:val="14"/>
        <w:shd w:val="clear" w:color="auto" w:fill="auto"/>
        <w:tabs>
          <w:tab w:val="left" w:pos="1540"/>
        </w:tabs>
        <w:spacing w:after="0" w:line="560" w:lineRule="exact"/>
        <w:ind w:firstLine="640" w:firstLineChars="200"/>
        <w:jc w:val="both"/>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w:t>
      </w: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val="zh-CN"/>
        </w:rPr>
        <w:t>）负责应急管理、安全生产宣传教育和培训工作，组织和指导应急管理、安全生产的科学技术研究、推广应用和信息化建设工作。</w:t>
      </w:r>
    </w:p>
    <w:p>
      <w:pPr>
        <w:pStyle w:val="14"/>
        <w:shd w:val="clear" w:color="auto" w:fill="auto"/>
        <w:tabs>
          <w:tab w:val="left" w:pos="1540"/>
        </w:tabs>
        <w:spacing w:after="0" w:line="560" w:lineRule="exact"/>
        <w:ind w:firstLine="640" w:firstLineChars="200"/>
        <w:jc w:val="both"/>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十九</w:t>
      </w:r>
      <w:r>
        <w:rPr>
          <w:rFonts w:hint="eastAsia" w:ascii="仿宋_GB2312" w:hAnsi="仿宋_GB2312" w:eastAsia="仿宋_GB2312" w:cs="仿宋_GB2312"/>
          <w:sz w:val="32"/>
          <w:szCs w:val="32"/>
          <w:lang w:val="zh-CN"/>
        </w:rPr>
        <w:t>）负责职责范围内的职业健康、生态环境保护、审批服务便民化工作。</w:t>
      </w:r>
    </w:p>
    <w:p>
      <w:pPr>
        <w:pStyle w:val="14"/>
        <w:shd w:val="clear" w:color="auto" w:fill="auto"/>
        <w:tabs>
          <w:tab w:val="left" w:pos="1540"/>
        </w:tabs>
        <w:spacing w:after="0" w:line="560" w:lineRule="exact"/>
        <w:ind w:firstLine="640" w:firstLineChars="200"/>
        <w:jc w:val="both"/>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（二十）完成县委、县政府交办的其他任务。</w:t>
      </w:r>
    </w:p>
    <w:p>
      <w:pPr>
        <w:pStyle w:val="14"/>
        <w:shd w:val="clear" w:color="auto" w:fill="auto"/>
        <w:tabs>
          <w:tab w:val="left" w:pos="1540"/>
        </w:tabs>
        <w:spacing w:after="0" w:line="560" w:lineRule="exact"/>
        <w:ind w:firstLine="640" w:firstLineChars="200"/>
        <w:jc w:val="both"/>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（二十二）职能转变。加强、优化、统筹应急能力建设，构建统一领导、权责一致、权威高效的应急能力体系，推动形成统一指挥、专常兼备、反应灵敏、上下联动、平战结合的</w:t>
      </w:r>
      <w:r>
        <w:rPr>
          <w:rFonts w:hint="eastAsia" w:ascii="仿宋_GB2312" w:hAnsi="仿宋_GB2312" w:eastAsia="仿宋_GB2312" w:cs="仿宋_GB2312"/>
          <w:sz w:val="32"/>
          <w:szCs w:val="32"/>
        </w:rPr>
        <w:t>中国特色</w:t>
      </w:r>
      <w:r>
        <w:rPr>
          <w:rFonts w:hint="eastAsia" w:ascii="仿宋_GB2312" w:hAnsi="仿宋_GB2312" w:eastAsia="仿宋_GB2312" w:cs="仿宋_GB2312"/>
          <w:sz w:val="32"/>
          <w:szCs w:val="32"/>
          <w:lang w:val="zh-CN"/>
        </w:rPr>
        <w:t>应急管理体制。一是坚持以防为主、防抗救结合，坚持常态减灾和非常态救灾相统一，努力实现从注重灾后救助向注重灾前预防转变，从应对单一灾种向综合减灾转变，从减少灾害损失向减轻灾害风险转变，提高全</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zh-CN"/>
        </w:rPr>
        <w:t>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spacing w:line="560" w:lineRule="exact"/>
        <w:ind w:firstLine="643" w:firstLineChars="200"/>
        <w:jc w:val="left"/>
        <w:rPr>
          <w:rFonts w:eastAsia="楷体" w:cs="楷体"/>
          <w:b/>
          <w:color w:val="000000"/>
          <w:sz w:val="32"/>
          <w:szCs w:val="32"/>
        </w:rPr>
      </w:pPr>
      <w:r>
        <w:rPr>
          <w:rFonts w:hint="eastAsia" w:eastAsia="楷体" w:cs="楷体"/>
          <w:b/>
          <w:color w:val="000000"/>
          <w:sz w:val="32"/>
          <w:szCs w:val="32"/>
        </w:rPr>
        <w:t>2020年重点工作完成情况</w:t>
      </w:r>
    </w:p>
    <w:p>
      <w:pPr>
        <w:spacing w:line="576" w:lineRule="exact"/>
        <w:ind w:firstLine="643" w:firstLineChars="200"/>
        <w:rPr>
          <w:rFonts w:ascii="仿宋" w:hAnsi="仿宋" w:eastAsia="仿宋" w:cs="仿宋"/>
          <w:sz w:val="32"/>
          <w:szCs w:val="32"/>
        </w:rPr>
      </w:pPr>
      <w:r>
        <w:rPr>
          <w:rFonts w:hint="eastAsia" w:ascii="楷体_GB2312" w:hAnsi="仿宋" w:eastAsia="楷体_GB2312" w:cs="仿宋"/>
          <w:b/>
          <w:sz w:val="32"/>
          <w:szCs w:val="32"/>
        </w:rPr>
        <w:t>坚守“一个底线”，安全生产形势持续稳定</w:t>
      </w:r>
      <w:r>
        <w:rPr>
          <w:rFonts w:hint="eastAsia" w:ascii="仿宋" w:hAnsi="仿宋" w:eastAsia="仿宋" w:cs="仿宋"/>
          <w:b/>
          <w:sz w:val="32"/>
          <w:szCs w:val="32"/>
        </w:rPr>
        <w:t>。</w:t>
      </w:r>
      <w:r>
        <w:rPr>
          <w:rFonts w:hint="eastAsia" w:ascii="仿宋" w:hAnsi="仿宋" w:eastAsia="仿宋" w:cs="仿宋"/>
          <w:sz w:val="32"/>
          <w:szCs w:val="32"/>
        </w:rPr>
        <w:t>今年以来，我局始终令紧工作主线，强化安全底线，筑牢安全防线，有力遏制灾害事故发生，全县安全生产形势持续稳定。全年共发生一般生产安全事故8起，同期持平，死亡7人，同比下降28.6%，直接经济损失480万元，同比下降16.7%。城乡火灾70起，同比下降8.57%，较大及以上生产安全事故“零发生”。</w:t>
      </w:r>
    </w:p>
    <w:p>
      <w:pPr>
        <w:spacing w:line="576" w:lineRule="exact"/>
        <w:ind w:firstLine="643" w:firstLineChars="200"/>
        <w:rPr>
          <w:rFonts w:ascii="仿宋" w:hAnsi="仿宋" w:eastAsia="仿宋" w:cs="仿宋"/>
          <w:sz w:val="32"/>
          <w:szCs w:val="32"/>
        </w:rPr>
      </w:pPr>
      <w:r>
        <w:rPr>
          <w:rFonts w:hint="eastAsia" w:ascii="楷体_GB2312" w:hAnsi="仿宋" w:eastAsia="楷体_GB2312" w:cs="仿宋"/>
          <w:b/>
          <w:sz w:val="32"/>
          <w:szCs w:val="32"/>
        </w:rPr>
        <w:t>推进“两大体系”，工作机制不断完善</w:t>
      </w:r>
      <w:r>
        <w:rPr>
          <w:rFonts w:hint="eastAsia" w:ascii="仿宋" w:hAnsi="仿宋" w:eastAsia="仿宋" w:cs="仿宋"/>
          <w:sz w:val="32"/>
          <w:szCs w:val="32"/>
        </w:rPr>
        <w:t>。</w:t>
      </w:r>
      <w:r>
        <w:rPr>
          <w:rFonts w:hint="eastAsia" w:ascii="仿宋" w:hAnsi="仿宋" w:eastAsia="仿宋" w:cs="仿宋"/>
          <w:b/>
          <w:sz w:val="32"/>
          <w:szCs w:val="32"/>
        </w:rPr>
        <w:t>一是扎实推进清单制管理体系</w:t>
      </w:r>
      <w:r>
        <w:rPr>
          <w:rFonts w:hint="eastAsia" w:ascii="仿宋" w:hAnsi="仿宋" w:eastAsia="仿宋" w:cs="仿宋"/>
          <w:sz w:val="32"/>
          <w:szCs w:val="32"/>
        </w:rPr>
        <w:t>。在全省安全生产清单制管理工作安排部署以来，统筹谋划，积极推进。县委、县政府将安全生产清单制管理工作作为健全完善安全生产党政属地责任、部门监管责任、企业主体责任的“头号工程”来抓，由县长亲自担任领导小组组长，县安委会召开了3次推进会</w:t>
      </w:r>
      <w:r>
        <w:t>，</w:t>
      </w:r>
      <w:r>
        <w:rPr>
          <w:rFonts w:hint="eastAsia" w:ascii="仿宋" w:hAnsi="仿宋" w:eastAsia="仿宋" w:cs="仿宋"/>
          <w:sz w:val="32"/>
          <w:szCs w:val="32"/>
        </w:rPr>
        <w:t>县安办、县级各部门采取“走出去”“请进来”等方式，分级分类指导各乡镇、各部门推进各行业领域清单制管理工作。</w:t>
      </w:r>
      <w:r>
        <w:rPr>
          <w:rFonts w:hint="eastAsia" w:ascii="仿宋" w:hAnsi="仿宋" w:eastAsia="仿宋" w:cs="仿宋"/>
          <w:b/>
          <w:sz w:val="32"/>
          <w:szCs w:val="32"/>
        </w:rPr>
        <w:t>二是调整完善“1+18大应急”指挥体系</w:t>
      </w:r>
      <w:r>
        <w:rPr>
          <w:rFonts w:hint="eastAsia" w:ascii="仿宋" w:hAnsi="仿宋" w:eastAsia="仿宋" w:cs="仿宋"/>
          <w:sz w:val="32"/>
          <w:szCs w:val="32"/>
        </w:rPr>
        <w:t>。以县应急委员会为“中心”，</w:t>
      </w:r>
      <w:r>
        <w:rPr>
          <w:rFonts w:ascii="仿宋" w:hAnsi="仿宋" w:eastAsia="仿宋" w:cs="仿宋"/>
          <w:sz w:val="32"/>
          <w:szCs w:val="32"/>
        </w:rPr>
        <w:t>调整完善县应急委、减灾委下18个专项指挥部领导机构和办事机构，设立应急委员会办公室</w:t>
      </w:r>
      <w:r>
        <w:rPr>
          <w:rFonts w:hint="eastAsia" w:ascii="仿宋" w:hAnsi="仿宋" w:eastAsia="仿宋" w:cs="仿宋"/>
          <w:sz w:val="32"/>
          <w:szCs w:val="32"/>
        </w:rPr>
        <w:t>（编制7个，其中主任1名正科级、副主任1名副科级）。积极</w:t>
      </w:r>
      <w:r>
        <w:rPr>
          <w:rFonts w:ascii="仿宋" w:hAnsi="仿宋" w:eastAsia="仿宋" w:cs="仿宋"/>
          <w:sz w:val="32"/>
          <w:szCs w:val="32"/>
        </w:rPr>
        <w:t>协调督促各有关部门</w:t>
      </w:r>
      <w:r>
        <w:rPr>
          <w:rFonts w:hint="eastAsia" w:ascii="仿宋" w:hAnsi="仿宋" w:eastAsia="仿宋" w:cs="仿宋"/>
          <w:sz w:val="32"/>
          <w:szCs w:val="32"/>
        </w:rPr>
        <w:t>分工负责</w:t>
      </w:r>
      <w:r>
        <w:rPr>
          <w:rFonts w:ascii="仿宋" w:hAnsi="仿宋" w:eastAsia="仿宋" w:cs="仿宋"/>
          <w:sz w:val="32"/>
          <w:szCs w:val="32"/>
        </w:rPr>
        <w:t>，确保各级各相关部门责任清晰、履职到位</w:t>
      </w:r>
      <w:r>
        <w:rPr>
          <w:rFonts w:hint="eastAsia" w:ascii="仿宋" w:hAnsi="仿宋" w:eastAsia="仿宋" w:cs="仿宋"/>
          <w:sz w:val="32"/>
          <w:szCs w:val="32"/>
        </w:rPr>
        <w:t>。8月，应急办主任王星朝被市安办评为2020年“最美应急人”。</w:t>
      </w:r>
    </w:p>
    <w:p>
      <w:pPr>
        <w:spacing w:line="576" w:lineRule="exact"/>
        <w:ind w:firstLine="640"/>
        <w:rPr>
          <w:rFonts w:ascii="仿宋" w:hAnsi="仿宋" w:eastAsia="仿宋" w:cs="仿宋"/>
          <w:sz w:val="32"/>
          <w:szCs w:val="32"/>
        </w:rPr>
      </w:pPr>
      <w:r>
        <w:rPr>
          <w:rFonts w:hint="eastAsia" w:ascii="楷体_GB2312" w:hAnsi="仿宋" w:eastAsia="楷体_GB2312" w:cs="仿宋"/>
          <w:b/>
          <w:sz w:val="32"/>
          <w:szCs w:val="32"/>
        </w:rPr>
        <w:t>开展“四项行动”，牢牢守住安全生产基本盘</w:t>
      </w:r>
      <w:r>
        <w:rPr>
          <w:rFonts w:hint="eastAsia" w:ascii="仿宋" w:hAnsi="仿宋" w:eastAsia="仿宋" w:cs="仿宋"/>
          <w:sz w:val="32"/>
          <w:szCs w:val="32"/>
        </w:rPr>
        <w:t>。</w:t>
      </w:r>
      <w:r>
        <w:rPr>
          <w:rFonts w:hint="eastAsia" w:ascii="仿宋" w:hAnsi="仿宋" w:eastAsia="仿宋" w:cs="仿宋"/>
          <w:b/>
          <w:sz w:val="32"/>
          <w:szCs w:val="32"/>
        </w:rPr>
        <w:t>一是开展助企业复工复产专项行动。</w:t>
      </w:r>
      <w:r>
        <w:rPr>
          <w:rFonts w:hint="eastAsia" w:ascii="仿宋" w:hAnsi="仿宋" w:eastAsia="仿宋" w:cs="仿宋"/>
          <w:sz w:val="32"/>
          <w:szCs w:val="32"/>
        </w:rPr>
        <w:t>新冠肺炎疫情发生以来，全局党员干部坚决服从安排，冲锋在前，铆足干劲，一手抓疫情防控，一手助企业复工复产，实现了单位、社区、个人疫情防控零问题，采取线上指导、线下服务等方式指导企业复工复产10家，其中矿山企业7家，烟花爆竹企业3家。向各乡镇、部门疫情防控点发放帐篷111顶，棉被201床，棉大衣108件，棉被裤41套。在疫情防控战线上有2人的先进事迹在巴中市应急局微信公众号深度报道。</w:t>
      </w:r>
      <w:r>
        <w:rPr>
          <w:rFonts w:hint="eastAsia" w:ascii="仿宋" w:hAnsi="仿宋" w:eastAsia="仿宋" w:cs="仿宋"/>
          <w:b/>
          <w:sz w:val="32"/>
          <w:szCs w:val="32"/>
        </w:rPr>
        <w:t>二是开展专项整治三年行动</w:t>
      </w:r>
      <w:r>
        <w:rPr>
          <w:rFonts w:hint="eastAsia" w:ascii="仿宋" w:hAnsi="仿宋" w:eastAsia="仿宋" w:cs="仿宋"/>
          <w:sz w:val="32"/>
          <w:szCs w:val="32"/>
        </w:rPr>
        <w:t>。由县安办牵头在全县范围内大力开展危险化学品和易燃易爆物品、交通运输、煤矿、非煤矿山、建筑施工、消防安全、城乡公共安全、工贸行业、特种设备、人员密集场所等安全生产专项整治行动，坚决消除隐患存量、减少隐患增量，实现事故隐患动态清零，从源头上遏制事故发生。截至目前，成立检查组75个，</w:t>
      </w:r>
      <w:r>
        <w:rPr>
          <w:rFonts w:ascii="仿宋" w:hAnsi="仿宋" w:eastAsia="仿宋" w:cs="仿宋"/>
          <w:sz w:val="32"/>
          <w:szCs w:val="32"/>
        </w:rPr>
        <w:t>组织各类专项检查</w:t>
      </w:r>
      <w:r>
        <w:rPr>
          <w:rFonts w:hint="eastAsia" w:ascii="仿宋" w:hAnsi="仿宋" w:eastAsia="仿宋" w:cs="仿宋"/>
          <w:sz w:val="32"/>
          <w:szCs w:val="32"/>
        </w:rPr>
        <w:t>150</w:t>
      </w:r>
      <w:r>
        <w:rPr>
          <w:rFonts w:ascii="仿宋" w:hAnsi="仿宋" w:eastAsia="仿宋" w:cs="仿宋"/>
          <w:sz w:val="32"/>
          <w:szCs w:val="32"/>
        </w:rPr>
        <w:t>组次，检查各类生产企业</w:t>
      </w:r>
      <w:r>
        <w:rPr>
          <w:rFonts w:hint="eastAsia" w:ascii="仿宋" w:hAnsi="仿宋" w:eastAsia="仿宋" w:cs="仿宋"/>
          <w:sz w:val="32"/>
          <w:szCs w:val="32"/>
        </w:rPr>
        <w:t>725</w:t>
      </w:r>
      <w:r>
        <w:rPr>
          <w:rFonts w:ascii="仿宋" w:hAnsi="仿宋" w:eastAsia="仿宋" w:cs="仿宋"/>
          <w:sz w:val="32"/>
          <w:szCs w:val="32"/>
        </w:rPr>
        <w:t>家，发现各类问题和隐患</w:t>
      </w:r>
      <w:r>
        <w:rPr>
          <w:rFonts w:hint="eastAsia" w:ascii="仿宋" w:hAnsi="仿宋" w:eastAsia="仿宋" w:cs="仿宋"/>
          <w:sz w:val="32"/>
          <w:szCs w:val="32"/>
        </w:rPr>
        <w:t>4750</w:t>
      </w:r>
      <w:r>
        <w:rPr>
          <w:rFonts w:ascii="仿宋" w:hAnsi="仿宋" w:eastAsia="仿宋" w:cs="仿宋"/>
          <w:sz w:val="32"/>
          <w:szCs w:val="32"/>
        </w:rPr>
        <w:t>处</w:t>
      </w:r>
      <w:r>
        <w:rPr>
          <w:rFonts w:hint="eastAsia" w:ascii="仿宋" w:hAnsi="仿宋" w:eastAsia="仿宋" w:cs="仿宋"/>
          <w:sz w:val="32"/>
          <w:szCs w:val="32"/>
        </w:rPr>
        <w:t>（条）</w:t>
      </w:r>
      <w:r>
        <w:rPr>
          <w:rFonts w:ascii="仿宋" w:hAnsi="仿宋" w:eastAsia="仿宋" w:cs="仿宋"/>
          <w:sz w:val="32"/>
          <w:szCs w:val="32"/>
        </w:rPr>
        <w:t>，</w:t>
      </w:r>
      <w:r>
        <w:rPr>
          <w:rFonts w:hint="eastAsia" w:ascii="仿宋" w:hAnsi="仿宋" w:eastAsia="仿宋" w:cs="仿宋"/>
          <w:sz w:val="32"/>
          <w:szCs w:val="32"/>
        </w:rPr>
        <w:t>均</w:t>
      </w:r>
      <w:r>
        <w:rPr>
          <w:rFonts w:ascii="仿宋" w:hAnsi="仿宋" w:eastAsia="仿宋" w:cs="仿宋"/>
          <w:sz w:val="32"/>
          <w:szCs w:val="32"/>
        </w:rPr>
        <w:t>已全部化解和整改结束</w:t>
      </w:r>
      <w:r>
        <w:rPr>
          <w:rFonts w:hint="eastAsia" w:ascii="仿宋" w:hAnsi="仿宋" w:eastAsia="仿宋" w:cs="仿宋"/>
          <w:sz w:val="32"/>
          <w:szCs w:val="32"/>
        </w:rPr>
        <w:t>。</w:t>
      </w:r>
      <w:r>
        <w:rPr>
          <w:rFonts w:hint="eastAsia" w:ascii="仿宋" w:hAnsi="仿宋" w:eastAsia="仿宋" w:cs="仿宋"/>
          <w:b/>
          <w:sz w:val="32"/>
          <w:szCs w:val="32"/>
        </w:rPr>
        <w:t>三是开展安全生产“排险除患”集中整治行动。</w:t>
      </w:r>
      <w:r>
        <w:rPr>
          <w:rFonts w:hint="eastAsia" w:ascii="仿宋" w:hAnsi="仿宋" w:eastAsia="仿宋" w:cs="仿宋"/>
          <w:sz w:val="32"/>
          <w:szCs w:val="32"/>
        </w:rPr>
        <w:t>成立5个专项督导组，联合县纪委监委、县融媒体中心，对33个乡镇，21个部门和25家重点企业进行集中督导检查，对存在的问题现场曝光。目前，曝光违法违规生产企业3家，不重视专项行动工作的乡镇和部门5个，约谈企业主要负责人11人，排查一般隐患2599项，均已整改完毕；下达整改意见699条，取缔非法加油点5处、烟花爆竹储存点11处，没收非法经营危险化学品（柴油）2.6吨，没收（销毁）非法经营烟花爆竹1800余件，停业整顿3家，罚款13余万元，查封企业1家。</w:t>
      </w:r>
      <w:r>
        <w:rPr>
          <w:rFonts w:hint="eastAsia" w:ascii="仿宋" w:hAnsi="仿宋" w:eastAsia="仿宋" w:cs="仿宋"/>
          <w:b/>
          <w:sz w:val="32"/>
          <w:szCs w:val="32"/>
        </w:rPr>
        <w:t>四是开展“铸安2020”监管执法和危化品百日攻坚专项行动。</w:t>
      </w:r>
      <w:r>
        <w:rPr>
          <w:rFonts w:hint="eastAsia" w:ascii="仿宋" w:hAnsi="仿宋" w:eastAsia="仿宋" w:cs="仿宋"/>
          <w:sz w:val="32"/>
          <w:szCs w:val="32"/>
        </w:rPr>
        <w:t>时刻保持安全生产领域“打非治违”高压态势，严厉打击各类非法违法行为，严格事故调查和责任追究，违法者依法严惩，不手软不松劲，维护安全生产法治秩序。目前，共检查危险化学品经营企业共35家，查处各类隐患46项。下达执法文书200余份，立案查处14起，决定处罚金额170万元，收缴152 万元。      </w:t>
      </w:r>
    </w:p>
    <w:p>
      <w:pPr>
        <w:spacing w:line="576" w:lineRule="exact"/>
        <w:ind w:firstLine="640"/>
      </w:pPr>
      <w:r>
        <w:rPr>
          <w:rFonts w:hint="eastAsia" w:ascii="楷体_GB2312" w:hAnsi="仿宋" w:eastAsia="楷体_GB2312" w:cs="仿宋"/>
          <w:b/>
          <w:sz w:val="32"/>
          <w:szCs w:val="32"/>
        </w:rPr>
        <w:t>强化“五项举措”，打开防灾减灾救灾工作新局面</w:t>
      </w:r>
      <w:r>
        <w:rPr>
          <w:rFonts w:hint="eastAsia" w:ascii="仿宋" w:hAnsi="仿宋" w:eastAsia="仿宋" w:cs="仿宋"/>
          <w:sz w:val="32"/>
          <w:szCs w:val="32"/>
        </w:rPr>
        <w:t>。</w:t>
      </w:r>
      <w:r>
        <w:rPr>
          <w:rFonts w:hint="eastAsia" w:ascii="仿宋" w:hAnsi="仿宋" w:eastAsia="仿宋" w:cs="仿宋"/>
          <w:b/>
          <w:sz w:val="32"/>
          <w:szCs w:val="32"/>
        </w:rPr>
        <w:t>一是建立应急防灾指挥调度系统</w:t>
      </w:r>
      <w:r>
        <w:rPr>
          <w:rFonts w:hint="eastAsia" w:ascii="仿宋" w:hAnsi="仿宋" w:eastAsia="仿宋" w:cs="仿宋"/>
          <w:sz w:val="32"/>
          <w:szCs w:val="32"/>
        </w:rPr>
        <w:t>。建立县、镇、重点村（社区）和重点企业三级应急防灾指挥调度系统，重点实现灾情调度、业务培训和视频会议三大功能。该系统可实现点对点视频调度，在所有接入单位均可设置主会场，召开视频会议。此外，该系统还搭建了4G布控设备，并配备了应急发电机，确保停电停网情况下，灾害现场信息第一时间同步回传。</w:t>
      </w:r>
      <w:r>
        <w:rPr>
          <w:rFonts w:ascii="仿宋" w:hAnsi="仿宋" w:eastAsia="仿宋" w:cs="仿宋"/>
          <w:b/>
          <w:sz w:val="32"/>
          <w:szCs w:val="32"/>
        </w:rPr>
        <w:t>二是建强“六支”队伍</w:t>
      </w:r>
      <w:r>
        <w:rPr>
          <w:rFonts w:ascii="仿宋" w:hAnsi="仿宋" w:eastAsia="仿宋" w:cs="仿宋"/>
          <w:sz w:val="32"/>
          <w:szCs w:val="32"/>
        </w:rPr>
        <w:t>。</w:t>
      </w:r>
      <w:r>
        <w:rPr>
          <w:rFonts w:hint="eastAsia" w:ascii="仿宋" w:hAnsi="仿宋" w:eastAsia="仿宋" w:cs="仿宋"/>
          <w:sz w:val="32"/>
          <w:szCs w:val="32"/>
        </w:rPr>
        <w:t>建强5500余人的“6支”（综合救援队伍、专业救援队伍、骨干救援队伍、社会救援队伍、基层应急队伍、灾害信息员队伍）应急救援队伍，完成了5个乡镇消防救援中队、4个乡镇安全执法中队、27个村级应急救援站示范建设。完成了诺水河镇、广纳镇等两个乡村振兴安全保障示范镇创建工作和广纳镇老官庙社区全国综合减灾示范社区建设。</w:t>
      </w:r>
      <w:r>
        <w:rPr>
          <w:rFonts w:hint="eastAsia" w:ascii="仿宋" w:hAnsi="仿宋" w:eastAsia="仿宋" w:cs="仿宋"/>
          <w:b/>
          <w:sz w:val="32"/>
          <w:szCs w:val="32"/>
        </w:rPr>
        <w:t>三是突出联防联控工作机制</w:t>
      </w:r>
      <w:r>
        <w:rPr>
          <w:rFonts w:hint="eastAsia" w:ascii="仿宋" w:hAnsi="仿宋" w:eastAsia="仿宋" w:cs="仿宋"/>
          <w:sz w:val="32"/>
          <w:szCs w:val="32"/>
        </w:rPr>
        <w:t>。</w:t>
      </w:r>
      <w:r>
        <w:rPr>
          <w:rFonts w:ascii="仿宋" w:hAnsi="仿宋" w:eastAsia="仿宋" w:cs="仿宋"/>
          <w:sz w:val="32"/>
          <w:szCs w:val="32"/>
        </w:rPr>
        <w:t>主动与相邻的7个市县（区）</w:t>
      </w:r>
      <w:r>
        <w:rPr>
          <w:rFonts w:hint="eastAsia" w:ascii="仿宋" w:hAnsi="仿宋" w:eastAsia="仿宋" w:cs="仿宋"/>
          <w:sz w:val="32"/>
          <w:szCs w:val="32"/>
          <w:lang w:eastAsia="zh-CN"/>
        </w:rPr>
        <w:t>签订</w:t>
      </w:r>
      <w:bookmarkStart w:id="12" w:name="_GoBack"/>
      <w:bookmarkEnd w:id="12"/>
      <w:r>
        <w:rPr>
          <w:rFonts w:ascii="仿宋" w:hAnsi="仿宋" w:eastAsia="仿宋" w:cs="仿宋"/>
          <w:sz w:val="32"/>
          <w:szCs w:val="32"/>
        </w:rPr>
        <w:t>《应急管理区域合作框架协议》，促进平台互动、资源共用、经验互学、灾害互救、成果共享，</w:t>
      </w:r>
      <w:r>
        <w:rPr>
          <w:rFonts w:hint="eastAsia" w:ascii="仿宋" w:hAnsi="仿宋" w:eastAsia="仿宋" w:cs="仿宋"/>
          <w:sz w:val="32"/>
          <w:szCs w:val="32"/>
        </w:rPr>
        <w:t>推动</w:t>
      </w:r>
      <w:r>
        <w:rPr>
          <w:rFonts w:ascii="仿宋" w:hAnsi="仿宋" w:eastAsia="仿宋" w:cs="仿宋"/>
          <w:sz w:val="32"/>
          <w:szCs w:val="32"/>
        </w:rPr>
        <w:t>毗邻</w:t>
      </w:r>
      <w:r>
        <w:rPr>
          <w:rFonts w:hint="eastAsia" w:ascii="仿宋" w:hAnsi="仿宋" w:eastAsia="仿宋" w:cs="仿宋"/>
          <w:sz w:val="32"/>
          <w:szCs w:val="32"/>
        </w:rPr>
        <w:t>联动</w:t>
      </w:r>
      <w:r>
        <w:rPr>
          <w:rFonts w:ascii="仿宋" w:hAnsi="仿宋" w:eastAsia="仿宋" w:cs="仿宋"/>
          <w:sz w:val="32"/>
          <w:szCs w:val="32"/>
        </w:rPr>
        <w:t>。积极加强与县级各部门的协调沟通，明确县、乡各部门职责和任务，</w:t>
      </w:r>
      <w:r>
        <w:rPr>
          <w:rFonts w:hint="eastAsia" w:ascii="仿宋" w:hAnsi="仿宋" w:eastAsia="仿宋" w:cs="仿宋"/>
          <w:sz w:val="32"/>
          <w:szCs w:val="32"/>
        </w:rPr>
        <w:t>推动</w:t>
      </w:r>
      <w:r>
        <w:rPr>
          <w:rFonts w:ascii="仿宋" w:hAnsi="仿宋" w:eastAsia="仿宋" w:cs="仿宋"/>
          <w:sz w:val="32"/>
          <w:szCs w:val="32"/>
        </w:rPr>
        <w:t>横向互动</w:t>
      </w:r>
      <w:r>
        <w:rPr>
          <w:rFonts w:hint="eastAsia" w:ascii="仿宋" w:hAnsi="仿宋" w:eastAsia="仿宋" w:cs="仿宋"/>
          <w:sz w:val="32"/>
          <w:szCs w:val="32"/>
        </w:rPr>
        <w:t>。坚持防汛抗旱应急并重，积极采购设备50余万元，抓实了广纳、三溪片区农业生产抗旱应急供水，确保了农业增收。</w:t>
      </w:r>
      <w:r>
        <w:rPr>
          <w:rFonts w:hint="eastAsia" w:ascii="仿宋" w:hAnsi="仿宋" w:eastAsia="仿宋" w:cs="仿宋"/>
          <w:b/>
          <w:sz w:val="32"/>
          <w:szCs w:val="32"/>
        </w:rPr>
        <w:t>四是加强基层应急能力提升</w:t>
      </w:r>
      <w:r>
        <w:rPr>
          <w:rFonts w:hint="eastAsia" w:ascii="仿宋" w:hAnsi="仿宋" w:eastAsia="仿宋" w:cs="仿宋"/>
          <w:sz w:val="32"/>
          <w:szCs w:val="32"/>
        </w:rPr>
        <w:t>。</w:t>
      </w:r>
      <w:r>
        <w:rPr>
          <w:rFonts w:ascii="仿宋" w:hAnsi="仿宋" w:eastAsia="仿宋" w:cs="仿宋"/>
          <w:sz w:val="32"/>
          <w:szCs w:val="32"/>
        </w:rPr>
        <w:t>出台《通江县突发事件应急指挥与处置管理办法》《通江县应急委员会关于进一步明确有关部门应急管理职责的通知》等文件</w:t>
      </w:r>
      <w:r>
        <w:rPr>
          <w:rFonts w:hint="eastAsia" w:ascii="仿宋" w:hAnsi="仿宋" w:eastAsia="仿宋" w:cs="仿宋"/>
          <w:sz w:val="32"/>
          <w:szCs w:val="32"/>
        </w:rPr>
        <w:t>。向32个乡镇1个街道办事处添置应急救援装备。</w:t>
      </w:r>
      <w:r>
        <w:rPr>
          <w:rFonts w:ascii="仿宋" w:hAnsi="仿宋" w:eastAsia="仿宋" w:cs="仿宋"/>
          <w:sz w:val="32"/>
          <w:szCs w:val="32"/>
        </w:rPr>
        <w:t>组织相关部门业务人员、乡镇工作人员</w:t>
      </w:r>
      <w:r>
        <w:rPr>
          <w:rFonts w:hint="eastAsia" w:ascii="仿宋" w:hAnsi="仿宋" w:eastAsia="仿宋" w:cs="仿宋"/>
          <w:sz w:val="32"/>
          <w:szCs w:val="32"/>
        </w:rPr>
        <w:t>共120余人参加基层应急管理能力提升培训。在空山镇、陈河镇、高明新区等地开展各类应急演练150余次。向铁溪、长坪镇等重灾乡镇下拨应急抢险资金10余万元，及时解决受灾群众困难。争取到中央自然灾害救灾专项资金665万元。救助困难群众（人口）100723人。</w:t>
      </w:r>
      <w:r>
        <w:rPr>
          <w:rFonts w:hint="eastAsia" w:ascii="仿宋" w:hAnsi="仿宋" w:eastAsia="仿宋" w:cs="仿宋"/>
          <w:b/>
          <w:sz w:val="32"/>
          <w:szCs w:val="32"/>
        </w:rPr>
        <w:t>五是扎实开展全民防灾知识普及。</w:t>
      </w:r>
      <w:r>
        <w:rPr>
          <w:rFonts w:hint="eastAsia" w:ascii="仿宋" w:hAnsi="仿宋" w:eastAsia="仿宋" w:cs="仿宋"/>
          <w:sz w:val="32"/>
          <w:szCs w:val="32"/>
        </w:rPr>
        <w:t>全年开展安全知识进乡村活动213场次，培训人数27500人，发放安全宣传资料16万余份；发放宣传物品20000余份；录制电视等媒体安全生产宣传专题节目32期，发布安全生产宣传信息1000多条。通过“农民夜校”、脱贫攻坚宣讲会等阵地，营造了良好的安全发展舆论环境和社会风尚，提升了全民安全应急意识和全县防灾减灾救灾能力。局长张忠建被四川省应急管理厅表彰为“抗击重大自然灾害先进个人”。</w:t>
      </w:r>
    </w:p>
    <w:p>
      <w:pPr>
        <w:pStyle w:val="7"/>
        <w:numPr>
          <w:ilvl w:val="0"/>
          <w:numId w:val="2"/>
        </w:numPr>
        <w:adjustRightInd w:val="0"/>
        <w:snapToGrid w:val="0"/>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机构设置</w:t>
      </w:r>
    </w:p>
    <w:p>
      <w:pPr>
        <w:ind w:firstLine="800" w:firstLineChars="250"/>
        <w:rPr>
          <w:rFonts w:ascii="仿宋_GB2312" w:hAnsi="仿宋_GB2312" w:eastAsia="仿宋_GB2312" w:cs="仿宋_GB2312"/>
          <w:sz w:val="32"/>
          <w:szCs w:val="32"/>
        </w:rPr>
      </w:pPr>
      <w:r>
        <w:rPr>
          <w:rFonts w:hint="eastAsia" w:eastAsia="仿宋_GB2312" w:cs="宋体"/>
          <w:color w:val="000000"/>
          <w:kern w:val="0"/>
          <w:sz w:val="32"/>
          <w:szCs w:val="32"/>
        </w:rPr>
        <w:t>县应急管理局是系属县政府的正科级行政机构。根据县委编办文件精神，我局现有内设股室</w:t>
      </w:r>
      <w:r>
        <w:rPr>
          <w:rFonts w:hint="eastAsia" w:ascii="仿宋_GB2312" w:hAnsi="仿宋_GB2312" w:eastAsia="仿宋_GB2312" w:cs="仿宋_GB2312"/>
          <w:sz w:val="32"/>
          <w:szCs w:val="32"/>
        </w:rPr>
        <w:t>现有内设股室12个；通江县应急管理局下属二级单位9个，其中行政单位1个，参照公务员法管理的事业单位</w:t>
      </w:r>
      <w:r>
        <w:rPr>
          <w:rFonts w:hint="eastAsia" w:ascii="仿宋_GB2312" w:hAnsi="仿宋_GB2312" w:eastAsia="仿宋_GB2312" w:cs="仿宋_GB2312"/>
          <w:bCs/>
          <w:sz w:val="32"/>
          <w:szCs w:val="32"/>
        </w:rPr>
        <w:t>2</w:t>
      </w:r>
      <w:r>
        <w:rPr>
          <w:rFonts w:hint="eastAsia" w:ascii="仿宋_GB2312" w:hAnsi="仿宋_GB2312" w:eastAsia="仿宋_GB2312" w:cs="仿宋_GB2312"/>
          <w:sz w:val="32"/>
          <w:szCs w:val="32"/>
        </w:rPr>
        <w:t>个，其他事业单位6个。</w:t>
      </w:r>
    </w:p>
    <w:p>
      <w:pPr>
        <w:pStyle w:val="2"/>
        <w:spacing w:before="93"/>
        <w:rPr>
          <w:rFonts w:hAnsi="仿宋_GB2312" w:cs="仿宋_GB2312"/>
          <w:sz w:val="32"/>
          <w:szCs w:val="32"/>
        </w:rPr>
      </w:pPr>
    </w:p>
    <w:p>
      <w:pPr>
        <w:pStyle w:val="2"/>
        <w:spacing w:before="93"/>
        <w:rPr>
          <w:rFonts w:hAnsi="仿宋_GB2312" w:cs="仿宋_GB2312"/>
          <w:sz w:val="32"/>
          <w:szCs w:val="32"/>
        </w:rPr>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6"/>
        <w:numPr>
          <w:ilvl w:val="0"/>
          <w:numId w:val="1"/>
        </w:numPr>
        <w:adjustRightInd w:val="0"/>
        <w:snapToGrid w:val="0"/>
        <w:spacing w:before="0" w:line="560" w:lineRule="exact"/>
        <w:rPr>
          <w:rFonts w:ascii="华文中宋" w:hAnsi="华文中宋" w:eastAsia="华文中宋" w:cs="华文中宋"/>
          <w:sz w:val="36"/>
          <w:szCs w:val="36"/>
        </w:rPr>
      </w:pPr>
      <w:r>
        <w:rPr>
          <w:rFonts w:hint="eastAsia" w:ascii="华文中宋" w:hAnsi="华文中宋" w:eastAsia="华文中宋" w:cs="华文中宋"/>
          <w:sz w:val="36"/>
          <w:szCs w:val="36"/>
        </w:rPr>
        <w:t>部门决算情况说明</w:t>
      </w:r>
    </w:p>
    <w:p>
      <w:pPr>
        <w:spacing w:line="560" w:lineRule="exact"/>
      </w:pPr>
    </w:p>
    <w:p>
      <w:pPr>
        <w:pStyle w:val="7"/>
        <w:numPr>
          <w:ilvl w:val="0"/>
          <w:numId w:val="3"/>
        </w:numPr>
        <w:adjustRightInd w:val="0"/>
        <w:snapToGrid w:val="0"/>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收入支出决算总体情况说明</w:t>
      </w:r>
    </w:p>
    <w:p>
      <w:pPr>
        <w:pStyle w:val="7"/>
        <w:adjustRightInd w:val="0"/>
        <w:snapToGrid w:val="0"/>
        <w:spacing w:line="560" w:lineRule="exact"/>
        <w:ind w:left="0" w:leftChars="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2020年度收、支总计3117.15万元。与2019年相比，收、支总计各增加1900.47万元，增加了156.20%，增加的主要原因是2020年增加了一部分专项救灾资金。</w:t>
      </w:r>
    </w:p>
    <w:p>
      <w:pPr>
        <w:pStyle w:val="2"/>
        <w:spacing w:before="93"/>
        <w:rPr>
          <w:rFonts w:hAnsi="仿宋_GB2312" w:cs="仿宋_GB2312"/>
          <w:b/>
          <w:bCs/>
          <w:sz w:val="32"/>
          <w:szCs w:val="32"/>
        </w:rPr>
      </w:pPr>
      <w:r>
        <w:rPr>
          <w:rFonts w:hint="eastAsia" w:ascii="仿宋" w:hAnsi="仿宋" w:eastAsia="仿宋"/>
          <w:color w:val="000000"/>
          <w:sz w:val="32"/>
          <w:szCs w:val="32"/>
        </w:rPr>
        <w:drawing>
          <wp:inline distT="0" distB="0" distL="114300" distR="114300">
            <wp:extent cx="5306060" cy="3202940"/>
            <wp:effectExtent l="13970" t="13970" r="33020" b="21590"/>
            <wp:docPr id="37" name="_x0000_i1194" descr="7b0a202020202263686172745265734964223a202234363235383337220a7d0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7"/>
        <w:adjustRightInd w:val="0"/>
        <w:snapToGrid w:val="0"/>
        <w:spacing w:line="560" w:lineRule="exact"/>
        <w:ind w:left="0" w:leftChars="0"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二、收入决算情况说明</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2020年本年收入合计3117.15万元，其中：一般公共预算财政拨款收入3117.15 万元，占100%；</w:t>
      </w:r>
      <w:r>
        <w:rPr>
          <w:rFonts w:hint="eastAsia" w:ascii="仿宋_GB2312" w:hAnsi="仿宋_GB2312" w:eastAsia="仿宋_GB2312" w:cs="仿宋_GB2312"/>
          <w:color w:val="000000"/>
          <w:sz w:val="32"/>
          <w:szCs w:val="32"/>
        </w:rPr>
        <w:t>政府性基金预算财政拨款收入0万元，占0%；</w:t>
      </w:r>
      <w:r>
        <w:rPr>
          <w:rFonts w:hint="eastAsia" w:ascii="仿宋_GB2312" w:hAnsi="仿宋_GB2312" w:eastAsia="仿宋_GB2312" w:cs="仿宋_GB2312"/>
          <w:color w:val="000000" w:themeColor="text1"/>
          <w:sz w:val="32"/>
          <w:szCs w:val="32"/>
        </w:rPr>
        <w:t>上级补助收入0</w:t>
      </w:r>
      <w:r>
        <w:rPr>
          <w:rFonts w:hint="eastAsia" w:ascii="仿宋_GB2312" w:hAnsi="仿宋_GB2312" w:eastAsia="仿宋_GB2312" w:cs="仿宋_GB2312"/>
          <w:color w:val="000000"/>
          <w:sz w:val="32"/>
          <w:szCs w:val="32"/>
        </w:rPr>
        <w:t>万元，占0%；事业收入0万元，占0%；经营收入0万元，占0%；附属单位上缴收入0万元，占0%；其他收入0万元，占0%。</w:t>
      </w:r>
    </w:p>
    <w:p>
      <w:pPr>
        <w:pStyle w:val="2"/>
        <w:spacing w:before="93"/>
      </w:pPr>
      <w:r>
        <w:rPr>
          <w:rFonts w:hint="eastAsia"/>
        </w:rPr>
        <w:drawing>
          <wp:inline distT="0" distB="0" distL="114300" distR="114300">
            <wp:extent cx="5080000" cy="3810000"/>
            <wp:effectExtent l="4445" t="4445" r="20955" b="14605"/>
            <wp:docPr id="38" name="_x0000_i119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spacing w:before="93"/>
      </w:pPr>
    </w:p>
    <w:p>
      <w:pPr>
        <w:pStyle w:val="7"/>
        <w:numPr>
          <w:ilvl w:val="0"/>
          <w:numId w:val="2"/>
        </w:numPr>
        <w:adjustRightInd w:val="0"/>
        <w:snapToGrid w:val="0"/>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支出决算情况说明</w:t>
      </w:r>
    </w:p>
    <w:p>
      <w:pPr>
        <w:spacing w:line="600" w:lineRule="exact"/>
        <w:ind w:firstLine="640" w:firstLineChars="200"/>
        <w:outlineLvl w:val="1"/>
        <w:rPr>
          <w:rFonts w:ascii="仿宋" w:hAnsi="仿宋" w:eastAsia="仿宋"/>
          <w:color w:val="000000"/>
          <w:sz w:val="32"/>
          <w:szCs w:val="32"/>
        </w:rPr>
      </w:pPr>
      <w:r>
        <w:rPr>
          <w:rFonts w:hint="eastAsia" w:ascii="仿宋_GB2312" w:hAnsi="仿宋_GB2312" w:eastAsia="仿宋_GB2312" w:cs="仿宋_GB2312"/>
          <w:color w:val="000000"/>
          <w:sz w:val="32"/>
          <w:szCs w:val="32"/>
        </w:rPr>
        <w:t>2020年本年支出合计3117.15万元，其中：基本支出998.80万元，占31.72%；项目支出2118.35万元，占68.28%，上缴上级支出0万元，占0%；经营支出0万元，占0%；对附属单位补助支出0万元，占0%。</w:t>
      </w:r>
    </w:p>
    <w:p>
      <w:pPr>
        <w:pStyle w:val="2"/>
        <w:spacing w:before="93"/>
        <w:rPr>
          <w:rFonts w:ascii="仿宋" w:hAnsi="仿宋" w:eastAsia="仿宋"/>
          <w:color w:val="000000"/>
          <w:sz w:val="32"/>
          <w:szCs w:val="32"/>
        </w:rPr>
      </w:pPr>
    </w:p>
    <w:p>
      <w:pPr>
        <w:pStyle w:val="2"/>
        <w:spacing w:before="93"/>
        <w:rPr>
          <w:rFonts w:ascii="仿宋" w:hAnsi="仿宋" w:eastAsia="仿宋"/>
          <w:color w:val="000000"/>
          <w:sz w:val="32"/>
          <w:szCs w:val="32"/>
        </w:rPr>
      </w:pPr>
    </w:p>
    <w:p>
      <w:pPr>
        <w:pStyle w:val="2"/>
        <w:spacing w:before="93"/>
      </w:pPr>
      <w:r>
        <w:rPr>
          <w:rFonts w:hint="eastAsia" w:ascii="仿宋" w:hAnsi="仿宋" w:eastAsia="仿宋"/>
          <w:color w:val="000000"/>
          <w:sz w:val="32"/>
          <w:szCs w:val="32"/>
        </w:rPr>
        <w:drawing>
          <wp:inline distT="0" distB="0" distL="114300" distR="114300">
            <wp:extent cx="5080000" cy="3810000"/>
            <wp:effectExtent l="4445" t="4445" r="20955" b="14605"/>
            <wp:docPr id="39" name="_x0000_i119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7"/>
        <w:numPr>
          <w:ilvl w:val="0"/>
          <w:numId w:val="2"/>
        </w:numPr>
        <w:adjustRightInd w:val="0"/>
        <w:snapToGrid w:val="0"/>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财政拨款收入支出决算总体情况说明</w:t>
      </w:r>
    </w:p>
    <w:p>
      <w:pPr>
        <w:spacing w:line="560" w:lineRule="exact"/>
        <w:ind w:firstLine="640" w:firstLineChars="200"/>
        <w:rPr>
          <w:rFonts w:ascii="仿宋" w:hAnsi="仿宋" w:eastAsia="仿宋"/>
          <w:color w:val="000000"/>
          <w:sz w:val="32"/>
          <w:szCs w:val="32"/>
        </w:rPr>
      </w:pPr>
      <w:r>
        <w:rPr>
          <w:rFonts w:hint="eastAsia" w:ascii="仿宋_GB2312" w:hAnsi="仿宋_GB2312" w:eastAsia="仿宋_GB2312" w:cs="仿宋_GB2312"/>
          <w:color w:val="000000"/>
          <w:sz w:val="32"/>
          <w:szCs w:val="32"/>
        </w:rPr>
        <w:t>2020年财政拨款收入总计3117.15万元、支出总计3117.15万元。与2019年相比，财政拨款收入、支出增加1900.47万元，增长156.20%。主要变动原因是项目收入、支出增加，主要为应急救灾专项资金。</w:t>
      </w:r>
    </w:p>
    <w:p>
      <w:pPr>
        <w:pStyle w:val="2"/>
        <w:spacing w:before="93"/>
        <w:rPr>
          <w:rFonts w:ascii="仿宋" w:hAnsi="仿宋" w:eastAsia="仿宋"/>
          <w:color w:val="000000"/>
          <w:sz w:val="32"/>
          <w:szCs w:val="32"/>
        </w:rPr>
      </w:pPr>
    </w:p>
    <w:p>
      <w:pPr>
        <w:pStyle w:val="2"/>
        <w:spacing w:before="93"/>
      </w:pPr>
      <w:r>
        <w:rPr>
          <w:rFonts w:hint="eastAsia" w:ascii="仿宋" w:hAnsi="仿宋" w:eastAsia="仿宋"/>
          <w:color w:val="000000"/>
          <w:sz w:val="32"/>
          <w:szCs w:val="32"/>
        </w:rPr>
        <w:drawing>
          <wp:inline distT="0" distB="0" distL="114300" distR="114300">
            <wp:extent cx="5080000" cy="3810000"/>
            <wp:effectExtent l="4445" t="4445" r="20955" b="14605"/>
            <wp:docPr id="40" name="_x0000_i119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7"/>
        <w:numPr>
          <w:ilvl w:val="0"/>
          <w:numId w:val="2"/>
        </w:numPr>
        <w:adjustRightInd w:val="0"/>
        <w:snapToGrid w:val="0"/>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一般公共预算财政拨款支出决算情况说明</w:t>
      </w:r>
    </w:p>
    <w:p>
      <w:pPr>
        <w:spacing w:line="595" w:lineRule="exact"/>
        <w:ind w:firstLine="643" w:firstLineChars="200"/>
        <w:outlineLvl w:val="2"/>
        <w:rPr>
          <w:rFonts w:eastAsia="楷体" w:cs="楷体"/>
          <w:b/>
          <w:color w:val="000000"/>
          <w:sz w:val="32"/>
          <w:szCs w:val="32"/>
        </w:rPr>
      </w:pPr>
      <w:r>
        <w:rPr>
          <w:rFonts w:hint="eastAsia" w:eastAsia="楷体" w:cs="楷体"/>
          <w:b/>
          <w:color w:val="000000"/>
          <w:sz w:val="32"/>
          <w:szCs w:val="32"/>
        </w:rPr>
        <w:t>（一）一般公共预算财政拨款支出决算总体情况</w:t>
      </w:r>
    </w:p>
    <w:p>
      <w:pPr>
        <w:spacing w:line="560" w:lineRule="exact"/>
        <w:ind w:left="420" w:leftChars="200" w:firstLine="640" w:firstLineChars="200"/>
        <w:rPr>
          <w:rFonts w:eastAsia="仿宋_GB2312"/>
          <w:sz w:val="32"/>
          <w:szCs w:val="32"/>
        </w:rPr>
      </w:pPr>
      <w:r>
        <w:rPr>
          <w:rFonts w:hint="eastAsia" w:eastAsia="仿宋"/>
          <w:color w:val="000000"/>
          <w:sz w:val="32"/>
          <w:szCs w:val="32"/>
        </w:rPr>
        <w:t>2020年一般公共预算财政拨款支出3117.15万元，占本年支出合计的100</w:t>
      </w:r>
      <w:r>
        <w:rPr>
          <w:rFonts w:eastAsia="仿宋"/>
          <w:color w:val="000000"/>
          <w:sz w:val="32"/>
          <w:szCs w:val="32"/>
        </w:rPr>
        <w:t>%</w:t>
      </w:r>
      <w:r>
        <w:rPr>
          <w:rFonts w:hint="eastAsia" w:eastAsia="仿宋"/>
          <w:color w:val="000000"/>
          <w:sz w:val="32"/>
          <w:szCs w:val="32"/>
        </w:rPr>
        <w:t>。与</w:t>
      </w:r>
      <w:r>
        <w:rPr>
          <w:rFonts w:eastAsia="仿宋"/>
          <w:color w:val="000000"/>
          <w:sz w:val="32"/>
          <w:szCs w:val="32"/>
        </w:rPr>
        <w:t>201</w:t>
      </w:r>
      <w:r>
        <w:rPr>
          <w:rFonts w:hint="eastAsia" w:eastAsia="仿宋"/>
          <w:color w:val="000000"/>
          <w:sz w:val="32"/>
          <w:szCs w:val="32"/>
        </w:rPr>
        <w:t>9年相比，一般公共预算财政拨款</w:t>
      </w:r>
      <w:r>
        <w:rPr>
          <w:rFonts w:hint="eastAsia" w:eastAsia="仿宋_GB2312"/>
          <w:sz w:val="32"/>
          <w:szCs w:val="32"/>
        </w:rPr>
        <w:t>增加1900.47</w:t>
      </w:r>
      <w:r>
        <w:rPr>
          <w:rFonts w:hint="eastAsia" w:eastAsia="仿宋"/>
          <w:color w:val="000000"/>
          <w:sz w:val="32"/>
          <w:szCs w:val="32"/>
        </w:rPr>
        <w:t>万元，</w:t>
      </w:r>
      <w:r>
        <w:rPr>
          <w:rFonts w:hint="eastAsia" w:eastAsia="仿宋_GB2312"/>
          <w:sz w:val="32"/>
          <w:szCs w:val="32"/>
        </w:rPr>
        <w:t>增加了156.20%</w:t>
      </w:r>
      <w:r>
        <w:rPr>
          <w:rFonts w:hint="eastAsia" w:eastAsia="仿宋"/>
          <w:color w:val="000000"/>
          <w:sz w:val="32"/>
          <w:szCs w:val="32"/>
        </w:rPr>
        <w:t>。</w:t>
      </w:r>
      <w:r>
        <w:rPr>
          <w:rFonts w:hint="eastAsia" w:eastAsia="仿宋_GB2312"/>
          <w:sz w:val="32"/>
          <w:szCs w:val="32"/>
        </w:rPr>
        <w:t>增加的主要原因2020年是增加了一部分</w:t>
      </w:r>
      <w:r>
        <w:rPr>
          <w:rFonts w:hint="eastAsia" w:ascii="仿宋_GB2312" w:hAnsi="仿宋_GB2312" w:eastAsia="仿宋_GB2312" w:cs="仿宋_GB2312"/>
          <w:color w:val="000000"/>
          <w:sz w:val="32"/>
          <w:szCs w:val="32"/>
        </w:rPr>
        <w:t>应急救灾专项资金</w:t>
      </w:r>
      <w:r>
        <w:rPr>
          <w:rFonts w:hint="eastAsia" w:eastAsia="仿宋_GB2312"/>
          <w:sz w:val="32"/>
          <w:szCs w:val="32"/>
        </w:rPr>
        <w:t>。</w:t>
      </w:r>
    </w:p>
    <w:p>
      <w:pPr>
        <w:pStyle w:val="2"/>
        <w:spacing w:before="93"/>
      </w:pPr>
      <w:r>
        <w:rPr>
          <w:rFonts w:hint="eastAsia" w:ascii="仿宋" w:hAnsi="仿宋" w:eastAsia="仿宋"/>
          <w:color w:val="000000"/>
          <w:sz w:val="32"/>
          <w:szCs w:val="32"/>
        </w:rPr>
        <w:drawing>
          <wp:inline distT="0" distB="0" distL="114300" distR="114300">
            <wp:extent cx="5115560" cy="2822575"/>
            <wp:effectExtent l="4445" t="4445" r="23495" b="11430"/>
            <wp:docPr id="41" name="_x0000_i1198" descr="7b0a202020202263686172745265734964223a202234313637363637220a7d0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595" w:lineRule="exact"/>
        <w:ind w:firstLine="643" w:firstLineChars="200"/>
        <w:outlineLvl w:val="2"/>
        <w:rPr>
          <w:rFonts w:eastAsia="楷体" w:cs="楷体"/>
          <w:b/>
          <w:color w:val="000000"/>
          <w:sz w:val="32"/>
          <w:szCs w:val="32"/>
        </w:rPr>
      </w:pPr>
      <w:r>
        <w:rPr>
          <w:rFonts w:hint="eastAsia" w:eastAsia="楷体" w:cs="楷体"/>
          <w:b/>
          <w:color w:val="000000"/>
          <w:sz w:val="32"/>
          <w:szCs w:val="32"/>
        </w:rPr>
        <w:t>（二）一般公共预算财政拨款支出决算结构情况</w:t>
      </w:r>
    </w:p>
    <w:p>
      <w:pPr>
        <w:spacing w:line="595" w:lineRule="exact"/>
        <w:ind w:firstLine="640"/>
        <w:rPr>
          <w:rFonts w:eastAsia="仿宋"/>
          <w:color w:val="000000"/>
          <w:sz w:val="32"/>
          <w:szCs w:val="32"/>
        </w:rPr>
      </w:pPr>
      <w:r>
        <w:rPr>
          <w:rFonts w:eastAsia="仿宋"/>
          <w:color w:val="000000"/>
          <w:sz w:val="32"/>
          <w:szCs w:val="32"/>
        </w:rPr>
        <w:t>20</w:t>
      </w:r>
      <w:r>
        <w:rPr>
          <w:rFonts w:hint="eastAsia" w:eastAsia="仿宋"/>
          <w:color w:val="000000"/>
          <w:sz w:val="32"/>
          <w:szCs w:val="32"/>
        </w:rPr>
        <w:t>20年一般公共预算财</w:t>
      </w:r>
      <w:r>
        <w:rPr>
          <w:rFonts w:hint="eastAsia" w:eastAsia="仿宋"/>
          <w:color w:val="000000" w:themeColor="text1"/>
          <w:sz w:val="32"/>
          <w:szCs w:val="32"/>
        </w:rPr>
        <w:t>政拨款支出</w:t>
      </w:r>
      <w:r>
        <w:rPr>
          <w:rFonts w:hint="eastAsia" w:eastAsia="仿宋"/>
          <w:color w:val="000000"/>
          <w:sz w:val="32"/>
          <w:szCs w:val="32"/>
        </w:rPr>
        <w:t>3117</w:t>
      </w:r>
      <w:r>
        <w:rPr>
          <w:rFonts w:hint="eastAsia" w:eastAsia="仿宋"/>
          <w:color w:val="000000" w:themeColor="text1"/>
          <w:sz w:val="32"/>
          <w:szCs w:val="32"/>
        </w:rPr>
        <w:t>.</w:t>
      </w:r>
      <w:r>
        <w:rPr>
          <w:rFonts w:hint="eastAsia" w:eastAsia="仿宋"/>
          <w:color w:val="000000"/>
          <w:sz w:val="32"/>
          <w:szCs w:val="32"/>
        </w:rPr>
        <w:t>15</w:t>
      </w:r>
      <w:r>
        <w:rPr>
          <w:rFonts w:hint="eastAsia" w:eastAsia="仿宋"/>
          <w:color w:val="000000" w:themeColor="text1"/>
          <w:sz w:val="32"/>
          <w:szCs w:val="32"/>
        </w:rPr>
        <w:t>万元，主要</w:t>
      </w:r>
      <w:r>
        <w:rPr>
          <w:rFonts w:hint="eastAsia" w:eastAsia="仿宋"/>
          <w:color w:val="000000"/>
          <w:sz w:val="32"/>
          <w:szCs w:val="32"/>
        </w:rPr>
        <w:t>用于以下方面：</w:t>
      </w:r>
      <w:r>
        <w:rPr>
          <w:rFonts w:hint="eastAsia" w:eastAsia="仿宋"/>
          <w:b/>
          <w:bCs/>
          <w:color w:val="000000"/>
          <w:sz w:val="32"/>
          <w:szCs w:val="32"/>
        </w:rPr>
        <w:t>般公共服务（类）</w:t>
      </w:r>
      <w:r>
        <w:rPr>
          <w:rFonts w:hint="eastAsia" w:eastAsia="仿宋"/>
          <w:color w:val="000000"/>
          <w:sz w:val="32"/>
          <w:szCs w:val="32"/>
        </w:rPr>
        <w:t>1万元，占0.03</w:t>
      </w:r>
      <w:r>
        <w:rPr>
          <w:rFonts w:eastAsia="仿宋"/>
          <w:color w:val="000000"/>
          <w:sz w:val="32"/>
          <w:szCs w:val="32"/>
        </w:rPr>
        <w:t>%</w:t>
      </w:r>
      <w:r>
        <w:rPr>
          <w:rFonts w:hint="eastAsia"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文化旅游体育与传媒（类）0万元，占0</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eastAsia="仿宋"/>
          <w:b/>
          <w:bCs/>
          <w:color w:val="000000"/>
          <w:sz w:val="32"/>
          <w:szCs w:val="32"/>
        </w:rPr>
        <w:t>社会保障和就业（类）</w:t>
      </w:r>
      <w:r>
        <w:rPr>
          <w:rFonts w:hint="eastAsia" w:eastAsia="仿宋"/>
          <w:color w:val="000000"/>
          <w:sz w:val="32"/>
          <w:szCs w:val="32"/>
        </w:rPr>
        <w:t>73.34万元，占2.35%；</w:t>
      </w:r>
      <w:r>
        <w:rPr>
          <w:rFonts w:hint="eastAsia" w:eastAsia="仿宋"/>
          <w:b/>
          <w:bCs/>
          <w:color w:val="000000"/>
          <w:sz w:val="32"/>
          <w:szCs w:val="32"/>
        </w:rPr>
        <w:t>卫生健康（类）</w:t>
      </w:r>
      <w:r>
        <w:rPr>
          <w:rFonts w:hint="eastAsia" w:eastAsia="仿宋"/>
          <w:color w:val="000000"/>
          <w:sz w:val="32"/>
          <w:szCs w:val="32"/>
        </w:rPr>
        <w:t>47.24万元，占1.52%；</w:t>
      </w:r>
      <w:r>
        <w:rPr>
          <w:rFonts w:hint="eastAsia" w:eastAsia="仿宋"/>
          <w:b/>
          <w:bCs/>
          <w:color w:val="000000"/>
          <w:sz w:val="32"/>
          <w:szCs w:val="32"/>
        </w:rPr>
        <w:t>农林水（类）</w:t>
      </w:r>
      <w:r>
        <w:rPr>
          <w:rFonts w:hint="eastAsia" w:eastAsia="仿宋"/>
          <w:color w:val="000000"/>
          <w:sz w:val="32"/>
          <w:szCs w:val="32"/>
        </w:rPr>
        <w:t>143万元，占4.59%；</w:t>
      </w:r>
      <w:r>
        <w:rPr>
          <w:rFonts w:hint="eastAsia" w:eastAsia="仿宋"/>
          <w:b/>
          <w:bCs/>
          <w:color w:val="000000"/>
          <w:sz w:val="32"/>
          <w:szCs w:val="32"/>
        </w:rPr>
        <w:t>住房保障（类）</w:t>
      </w:r>
      <w:r>
        <w:rPr>
          <w:rFonts w:hint="eastAsia" w:eastAsia="仿宋"/>
          <w:color w:val="000000"/>
          <w:sz w:val="32"/>
          <w:szCs w:val="32"/>
        </w:rPr>
        <w:t>55.01万元，占1.76%；</w:t>
      </w:r>
      <w:r>
        <w:rPr>
          <w:rFonts w:hint="eastAsia" w:eastAsia="仿宋"/>
          <w:b/>
          <w:bCs/>
          <w:color w:val="000000"/>
          <w:sz w:val="32"/>
          <w:szCs w:val="32"/>
        </w:rPr>
        <w:t>灾害防治及应急管理（类）</w:t>
      </w:r>
      <w:r>
        <w:rPr>
          <w:rFonts w:hint="eastAsia" w:eastAsia="仿宋"/>
          <w:color w:val="000000"/>
          <w:sz w:val="32"/>
          <w:szCs w:val="32"/>
        </w:rPr>
        <w:t>2797.55万元，占89.75%。</w:t>
      </w:r>
    </w:p>
    <w:p>
      <w:pPr>
        <w:pStyle w:val="2"/>
        <w:spacing w:before="93"/>
      </w:pPr>
      <w:r>
        <w:rPr>
          <w:rFonts w:hint="eastAsia" w:ascii="仿宋" w:hAnsi="仿宋" w:eastAsia="仿宋"/>
          <w:color w:val="000000"/>
          <w:sz w:val="32"/>
          <w:szCs w:val="32"/>
        </w:rPr>
        <w:drawing>
          <wp:inline distT="0" distB="0" distL="114300" distR="114300">
            <wp:extent cx="5080000" cy="3810000"/>
            <wp:effectExtent l="4445" t="4445" r="20955" b="52705"/>
            <wp:docPr id="42" name="_x0000_i119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595" w:lineRule="exact"/>
        <w:ind w:firstLine="643" w:firstLineChars="200"/>
        <w:outlineLvl w:val="2"/>
        <w:rPr>
          <w:rFonts w:eastAsia="仿宋"/>
          <w:b/>
          <w:color w:val="000000"/>
          <w:sz w:val="32"/>
          <w:szCs w:val="32"/>
        </w:rPr>
      </w:pPr>
      <w:r>
        <w:rPr>
          <w:rFonts w:hint="eastAsia" w:eastAsia="仿宋"/>
          <w:b/>
          <w:color w:val="000000"/>
          <w:sz w:val="32"/>
          <w:szCs w:val="32"/>
        </w:rPr>
        <w:t>（三）一般公共预算财政拨款支出决算具体情况</w:t>
      </w:r>
    </w:p>
    <w:p>
      <w:pPr>
        <w:spacing w:line="595" w:lineRule="exact"/>
        <w:ind w:firstLine="640"/>
        <w:rPr>
          <w:rFonts w:eastAsia="仿宋"/>
          <w:color w:val="000000"/>
          <w:sz w:val="32"/>
          <w:szCs w:val="32"/>
        </w:rPr>
      </w:pPr>
      <w:r>
        <w:rPr>
          <w:rFonts w:hint="eastAsia" w:eastAsia="仿宋"/>
          <w:color w:val="000000"/>
          <w:sz w:val="32"/>
          <w:szCs w:val="32"/>
        </w:rPr>
        <w:t>2020年一般公共预算支出决算数为3117.15，完成预算100%。其中：</w:t>
      </w:r>
    </w:p>
    <w:p>
      <w:pPr>
        <w:numPr>
          <w:ilvl w:val="0"/>
          <w:numId w:val="4"/>
        </w:numPr>
        <w:spacing w:line="595" w:lineRule="exact"/>
        <w:rPr>
          <w:rFonts w:eastAsia="仿宋_GB2312" w:cs="宋体"/>
          <w:color w:val="000000"/>
          <w:kern w:val="0"/>
          <w:sz w:val="32"/>
          <w:szCs w:val="32"/>
        </w:rPr>
      </w:pPr>
      <w:r>
        <w:rPr>
          <w:rFonts w:hint="eastAsia" w:eastAsia="仿宋_GB2312" w:cs="宋体"/>
          <w:color w:val="000000"/>
          <w:kern w:val="0"/>
          <w:sz w:val="32"/>
          <w:szCs w:val="32"/>
        </w:rPr>
        <w:t>一般公共服务（类）事业运行（款）人才引进（项）:2020年决算数为1万元，完成预算100%。</w:t>
      </w:r>
    </w:p>
    <w:p>
      <w:pPr>
        <w:numPr>
          <w:ilvl w:val="0"/>
          <w:numId w:val="4"/>
        </w:numPr>
        <w:spacing w:line="595" w:lineRule="exact"/>
        <w:rPr>
          <w:rFonts w:ascii="仿宋_GB2312" w:hAnsi="仿宋_GB2312" w:eastAsia="仿宋_GB2312" w:cs="仿宋_GB2312"/>
          <w:sz w:val="32"/>
          <w:szCs w:val="32"/>
        </w:rPr>
      </w:pPr>
      <w:r>
        <w:rPr>
          <w:rFonts w:hint="eastAsia" w:eastAsia="仿宋_GB2312" w:cs="宋体"/>
          <w:color w:val="000000"/>
          <w:kern w:val="0"/>
          <w:sz w:val="32"/>
          <w:szCs w:val="32"/>
        </w:rPr>
        <w:t>社会保障和就业（类）行政事业单位（款）机关事业单位基本养老保险（项）:2020年决算数为73.34万元，完成预算100%。</w:t>
      </w:r>
    </w:p>
    <w:p>
      <w:pPr>
        <w:numPr>
          <w:ilvl w:val="0"/>
          <w:numId w:val="4"/>
        </w:numPr>
        <w:spacing w:line="595" w:lineRule="exact"/>
        <w:rPr>
          <w:rFonts w:ascii="仿宋_GB2312" w:hAnsi="仿宋_GB2312" w:eastAsia="仿宋_GB2312" w:cs="仿宋_GB2312"/>
          <w:sz w:val="32"/>
          <w:szCs w:val="32"/>
        </w:rPr>
      </w:pPr>
      <w:r>
        <w:rPr>
          <w:rFonts w:hint="eastAsia" w:eastAsia="仿宋_GB2312" w:cs="仿宋_GB2312"/>
          <w:color w:val="000000"/>
          <w:kern w:val="0"/>
          <w:sz w:val="32"/>
          <w:szCs w:val="32"/>
        </w:rPr>
        <w:t>医疗卫生与计划生育支出</w:t>
      </w:r>
      <w:r>
        <w:rPr>
          <w:rFonts w:hint="eastAsia" w:eastAsia="仿宋_GB2312" w:cs="宋体"/>
          <w:color w:val="000000"/>
          <w:kern w:val="0"/>
          <w:sz w:val="32"/>
          <w:szCs w:val="32"/>
        </w:rPr>
        <w:t>（类）</w:t>
      </w:r>
      <w:r>
        <w:rPr>
          <w:rFonts w:hint="eastAsia" w:eastAsia="仿宋_GB2312" w:cs="仿宋_GB2312"/>
          <w:color w:val="000000"/>
          <w:kern w:val="0"/>
          <w:sz w:val="32"/>
          <w:szCs w:val="32"/>
        </w:rPr>
        <w:t>行政事业单位医疗</w:t>
      </w:r>
      <w:r>
        <w:rPr>
          <w:rFonts w:hint="eastAsia" w:eastAsia="仿宋_GB2312" w:cs="宋体"/>
          <w:color w:val="000000"/>
          <w:kern w:val="0"/>
          <w:sz w:val="32"/>
          <w:szCs w:val="32"/>
        </w:rPr>
        <w:t>（款）</w:t>
      </w:r>
      <w:r>
        <w:rPr>
          <w:rFonts w:hint="eastAsia" w:eastAsia="仿宋_GB2312" w:cs="仿宋_GB2312"/>
          <w:color w:val="000000"/>
          <w:kern w:val="0"/>
          <w:sz w:val="32"/>
          <w:szCs w:val="32"/>
        </w:rPr>
        <w:t>行政、事业单位医疗</w:t>
      </w:r>
      <w:r>
        <w:rPr>
          <w:rFonts w:hint="eastAsia" w:eastAsia="仿宋_GB2312" w:cs="宋体"/>
          <w:color w:val="000000"/>
          <w:kern w:val="0"/>
          <w:sz w:val="32"/>
          <w:szCs w:val="32"/>
        </w:rPr>
        <w:t>（项）2020年决算数为47.24万元，完成预算100%。</w:t>
      </w:r>
    </w:p>
    <w:p>
      <w:pPr>
        <w:numPr>
          <w:ilvl w:val="0"/>
          <w:numId w:val="4"/>
        </w:numPr>
        <w:spacing w:line="595" w:lineRule="exact"/>
        <w:rPr>
          <w:rFonts w:ascii="仿宋_GB2312" w:hAnsi="仿宋_GB2312" w:eastAsia="仿宋_GB2312" w:cs="仿宋_GB2312"/>
          <w:sz w:val="32"/>
          <w:szCs w:val="32"/>
        </w:rPr>
      </w:pPr>
      <w:r>
        <w:rPr>
          <w:rFonts w:hint="eastAsia" w:eastAsia="仿宋_GB2312" w:cs="宋体"/>
          <w:color w:val="000000"/>
          <w:kern w:val="0"/>
          <w:sz w:val="32"/>
          <w:szCs w:val="32"/>
        </w:rPr>
        <w:t>农林水（类）扶贫（款）其他扶贫（项）:2020年决算数为143万元，完成预算100%。</w:t>
      </w:r>
    </w:p>
    <w:p>
      <w:pPr>
        <w:numPr>
          <w:ilvl w:val="0"/>
          <w:numId w:val="4"/>
        </w:numPr>
        <w:spacing w:line="595" w:lineRule="exact"/>
        <w:rPr>
          <w:rFonts w:ascii="仿宋_GB2312" w:hAnsi="仿宋_GB2312" w:eastAsia="仿宋_GB2312" w:cs="仿宋_GB2312"/>
          <w:sz w:val="32"/>
          <w:szCs w:val="32"/>
        </w:rPr>
      </w:pPr>
      <w:r>
        <w:rPr>
          <w:rFonts w:hint="eastAsia" w:eastAsia="仿宋_GB2312" w:cs="宋体"/>
          <w:color w:val="000000"/>
          <w:kern w:val="0"/>
          <w:sz w:val="32"/>
          <w:szCs w:val="32"/>
        </w:rPr>
        <w:t>住房保障（类）住房改革（款）住房公积金（项）:2020年决算数为55.01万元，完成预算100%</w:t>
      </w:r>
      <w:r>
        <w:rPr>
          <w:rFonts w:hint="eastAsia" w:eastAsia="仿宋_GB2312" w:cs="仿宋_GB2312"/>
          <w:color w:val="000000"/>
          <w:kern w:val="0"/>
          <w:sz w:val="32"/>
          <w:szCs w:val="32"/>
        </w:rPr>
        <w:t>。</w:t>
      </w:r>
    </w:p>
    <w:p>
      <w:pPr>
        <w:numPr>
          <w:ilvl w:val="0"/>
          <w:numId w:val="4"/>
        </w:numPr>
        <w:spacing w:line="595" w:lineRule="exact"/>
      </w:pPr>
      <w:r>
        <w:rPr>
          <w:rFonts w:hint="eastAsia" w:eastAsia="仿宋_GB2312" w:cs="仿宋_GB2312"/>
          <w:color w:val="000000"/>
          <w:kern w:val="0"/>
          <w:sz w:val="32"/>
          <w:szCs w:val="32"/>
        </w:rPr>
        <w:t>灾害防治及应急管理（类）应急管理（款）其他应急管理支出（项）2020年决算数为2797.55万元，完成预算100%。</w:t>
      </w:r>
    </w:p>
    <w:p>
      <w:pPr>
        <w:pStyle w:val="7"/>
        <w:numPr>
          <w:ilvl w:val="0"/>
          <w:numId w:val="2"/>
        </w:numPr>
        <w:adjustRightInd w:val="0"/>
        <w:snapToGrid w:val="0"/>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一般公共预算财政拨款基本支出决算情况说明</w:t>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年一般公共预算财政拨款基本支出1576.18万元，其中：</w:t>
      </w:r>
    </w:p>
    <w:p>
      <w:pPr>
        <w:spacing w:line="600" w:lineRule="exact"/>
        <w:ind w:firstLine="645"/>
      </w:pPr>
      <w:r>
        <w:rPr>
          <w:rFonts w:hint="eastAsia" w:ascii="仿宋" w:hAnsi="仿宋" w:eastAsia="仿宋"/>
          <w:color w:val="000000"/>
          <w:sz w:val="32"/>
          <w:szCs w:val="32"/>
        </w:rPr>
        <w:t>人员经费812.14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764.04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Style w:val="7"/>
        <w:numPr>
          <w:ilvl w:val="0"/>
          <w:numId w:val="2"/>
        </w:numPr>
        <w:adjustRightInd w:val="0"/>
        <w:snapToGrid w:val="0"/>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“三公”经费财政拨款支出决算情况说明</w:t>
      </w:r>
    </w:p>
    <w:p>
      <w:pPr>
        <w:spacing w:line="595" w:lineRule="exact"/>
        <w:ind w:firstLine="640"/>
        <w:outlineLvl w:val="2"/>
      </w:pPr>
      <w:r>
        <w:rPr>
          <w:rFonts w:hint="eastAsia" w:eastAsia="仿宋"/>
          <w:b/>
          <w:color w:val="000000"/>
          <w:sz w:val="32"/>
          <w:szCs w:val="32"/>
        </w:rPr>
        <w:t>（一）“三公”经费财政拨款支出决算总体情况说明</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2020年“三公”经费财政拨款支出决算为3.95万元，完成预算100</w:t>
      </w:r>
      <w:r>
        <w:rPr>
          <w:rFonts w:ascii="仿宋" w:hAnsi="仿宋" w:eastAsia="仿宋"/>
          <w:color w:val="000000"/>
          <w:sz w:val="32"/>
          <w:szCs w:val="32"/>
        </w:rPr>
        <w:t>%</w:t>
      </w:r>
      <w:r>
        <w:rPr>
          <w:rFonts w:hint="eastAsia" w:ascii="仿宋" w:hAnsi="仿宋" w:eastAsia="仿宋"/>
          <w:color w:val="000000"/>
          <w:sz w:val="32"/>
          <w:szCs w:val="32"/>
        </w:rPr>
        <w:t>，决算数等于预算数。</w:t>
      </w:r>
    </w:p>
    <w:p>
      <w:pPr>
        <w:spacing w:line="600" w:lineRule="exact"/>
        <w:ind w:firstLine="321" w:firstLineChars="100"/>
        <w:outlineLvl w:val="2"/>
        <w:rPr>
          <w:rFonts w:ascii="仿宋" w:hAnsi="仿宋" w:eastAsia="仿宋"/>
          <w:b/>
          <w:color w:val="000000"/>
          <w:sz w:val="32"/>
          <w:szCs w:val="32"/>
        </w:rPr>
      </w:pPr>
      <w:bookmarkStart w:id="11" w:name="_Toc15377217"/>
      <w:r>
        <w:rPr>
          <w:rFonts w:hint="eastAsia" w:ascii="仿宋" w:hAnsi="仿宋" w:eastAsia="仿宋"/>
          <w:b/>
          <w:color w:val="000000"/>
          <w:sz w:val="32"/>
          <w:szCs w:val="32"/>
        </w:rPr>
        <w:t>（二）“三公”经费财政拨款支出决算具体情况说明</w:t>
      </w:r>
      <w:bookmarkEnd w:id="1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；公务用车购置及运行维护费支出决算2万元，占50.63</w:t>
      </w:r>
      <w:r>
        <w:rPr>
          <w:rFonts w:ascii="仿宋" w:hAnsi="仿宋" w:eastAsia="仿宋"/>
          <w:color w:val="000000"/>
          <w:sz w:val="32"/>
          <w:szCs w:val="32"/>
        </w:rPr>
        <w:t>%</w:t>
      </w:r>
      <w:r>
        <w:rPr>
          <w:rFonts w:hint="eastAsia" w:ascii="仿宋" w:hAnsi="仿宋" w:eastAsia="仿宋"/>
          <w:color w:val="000000"/>
          <w:sz w:val="32"/>
          <w:szCs w:val="32"/>
        </w:rPr>
        <w:t>；公务接待费支出决算1.95万元，占49.37</w:t>
      </w:r>
      <w:r>
        <w:rPr>
          <w:rFonts w:ascii="仿宋" w:hAnsi="仿宋" w:eastAsia="仿宋"/>
          <w:color w:val="000000"/>
          <w:sz w:val="32"/>
          <w:szCs w:val="32"/>
        </w:rPr>
        <w:t>%</w:t>
      </w:r>
      <w:r>
        <w:rPr>
          <w:rFonts w:hint="eastAsia" w:ascii="仿宋" w:hAnsi="仿宋" w:eastAsia="仿宋"/>
          <w:color w:val="000000"/>
          <w:sz w:val="32"/>
          <w:szCs w:val="32"/>
        </w:rPr>
        <w:t>。具体情况如下：</w:t>
      </w:r>
    </w:p>
    <w:p>
      <w:pPr>
        <w:pStyle w:val="2"/>
        <w:spacing w:before="93"/>
        <w:rPr>
          <w:b/>
          <w:color w:val="000000"/>
          <w:sz w:val="32"/>
          <w:szCs w:val="32"/>
        </w:rPr>
      </w:pPr>
      <w:r>
        <w:rPr>
          <w:rFonts w:hint="eastAsia"/>
          <w:b/>
          <w:color w:val="000000"/>
          <w:sz w:val="32"/>
          <w:szCs w:val="32"/>
        </w:rPr>
        <w:drawing>
          <wp:inline distT="0" distB="0" distL="114300" distR="114300">
            <wp:extent cx="5080000" cy="3810000"/>
            <wp:effectExtent l="4445" t="4445" r="20955" b="14605"/>
            <wp:docPr id="43" name="_x0000_i120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321" w:firstLineChars="100"/>
        <w:rPr>
          <w:rFonts w:eastAsia="仿宋_GB2312"/>
          <w:color w:val="000000"/>
          <w:sz w:val="32"/>
          <w:szCs w:val="32"/>
        </w:rPr>
      </w:pPr>
      <w:r>
        <w:rPr>
          <w:rFonts w:hint="eastAsia" w:eastAsia="仿宋_GB2312"/>
          <w:b/>
          <w:color w:val="000000"/>
          <w:sz w:val="32"/>
          <w:szCs w:val="32"/>
        </w:rPr>
        <w:t>1.因公出国（境）经费支出</w:t>
      </w:r>
      <w:r>
        <w:rPr>
          <w:rFonts w:hint="eastAsia" w:eastAsia="仿宋_GB2312"/>
          <w:color w:val="000000"/>
          <w:sz w:val="32"/>
          <w:szCs w:val="32"/>
        </w:rPr>
        <w:t>0万元。</w:t>
      </w:r>
    </w:p>
    <w:p>
      <w:pPr>
        <w:spacing w:line="600" w:lineRule="exact"/>
        <w:ind w:firstLine="643" w:firstLineChars="200"/>
        <w:rPr>
          <w:rFonts w:eastAsia="仿宋_GB2312" w:cs="宋体"/>
          <w:color w:val="000000"/>
          <w:kern w:val="0"/>
          <w:sz w:val="32"/>
          <w:szCs w:val="32"/>
        </w:rPr>
      </w:pPr>
      <w:r>
        <w:rPr>
          <w:rFonts w:hint="eastAsia" w:eastAsia="仿宋_GB2312"/>
          <w:b/>
          <w:color w:val="000000"/>
          <w:sz w:val="32"/>
          <w:szCs w:val="32"/>
        </w:rPr>
        <w:t>2.公务用车购置及运行维护费支出2</w:t>
      </w:r>
      <w:r>
        <w:rPr>
          <w:rFonts w:hint="eastAsia" w:eastAsia="仿宋_GB2312"/>
          <w:color w:val="000000"/>
          <w:sz w:val="32"/>
          <w:szCs w:val="32"/>
        </w:rPr>
        <w:t>万元。其中：</w:t>
      </w:r>
      <w:r>
        <w:rPr>
          <w:rFonts w:hint="eastAsia" w:eastAsia="仿宋_GB2312" w:cs="宋体"/>
          <w:color w:val="000000"/>
          <w:kern w:val="0"/>
          <w:sz w:val="32"/>
          <w:szCs w:val="32"/>
        </w:rPr>
        <w:t>公务用车购置支出0万元，公务用车运行维护费支出2万元。</w:t>
      </w:r>
    </w:p>
    <w:p>
      <w:pPr>
        <w:spacing w:line="600" w:lineRule="exact"/>
        <w:ind w:firstLine="640" w:firstLineChars="200"/>
        <w:rPr>
          <w:rFonts w:eastAsia="仿宋_GB2312" w:cs="宋体"/>
          <w:color w:val="000000"/>
          <w:kern w:val="0"/>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月底，单位共有公务用车5辆，其中：轿车0辆、越野车0辆、应急保障用车5辆。</w:t>
      </w:r>
    </w:p>
    <w:p>
      <w:pPr>
        <w:spacing w:line="600" w:lineRule="exact"/>
        <w:ind w:firstLine="321" w:firstLineChars="100"/>
        <w:rPr>
          <w:rFonts w:ascii="仿宋_GB2312" w:hAnsi="仿宋_GB2312" w:eastAsia="仿宋_GB2312" w:cs="仿宋_GB2312"/>
          <w:sz w:val="32"/>
          <w:szCs w:val="32"/>
        </w:rPr>
      </w:pPr>
      <w:r>
        <w:rPr>
          <w:rFonts w:eastAsia="仿宋_GB2312"/>
          <w:b/>
          <w:color w:val="000000"/>
          <w:sz w:val="32"/>
          <w:szCs w:val="32"/>
        </w:rPr>
        <w:t>3.</w:t>
      </w:r>
      <w:r>
        <w:rPr>
          <w:rFonts w:hint="eastAsia" w:eastAsia="仿宋_GB2312"/>
          <w:b/>
          <w:color w:val="000000"/>
          <w:sz w:val="32"/>
          <w:szCs w:val="32"/>
        </w:rPr>
        <w:t>公务接待费支出</w:t>
      </w:r>
      <w:r>
        <w:rPr>
          <w:rFonts w:hint="eastAsia" w:eastAsia="仿宋_GB2312"/>
          <w:color w:val="000000"/>
          <w:sz w:val="32"/>
          <w:szCs w:val="32"/>
        </w:rPr>
        <w:t>1.95万元，</w:t>
      </w:r>
      <w:r>
        <w:rPr>
          <w:rStyle w:val="11"/>
          <w:rFonts w:hint="eastAsia" w:eastAsia="仿宋"/>
          <w:b w:val="0"/>
          <w:bCs/>
          <w:color w:val="000000"/>
          <w:sz w:val="32"/>
          <w:szCs w:val="32"/>
        </w:rPr>
        <w:t>完成预算100</w:t>
      </w:r>
      <w:r>
        <w:rPr>
          <w:rStyle w:val="11"/>
          <w:rFonts w:eastAsia="仿宋"/>
          <w:b w:val="0"/>
          <w:bCs/>
          <w:color w:val="000000"/>
          <w:sz w:val="32"/>
          <w:szCs w:val="32"/>
        </w:rPr>
        <w:t>%</w:t>
      </w:r>
      <w:r>
        <w:rPr>
          <w:rStyle w:val="11"/>
          <w:rFonts w:hint="eastAsia" w:eastAsia="仿宋"/>
          <w:b w:val="0"/>
          <w:bCs/>
          <w:color w:val="000000"/>
          <w:sz w:val="32"/>
          <w:szCs w:val="32"/>
        </w:rPr>
        <w:t>。</w:t>
      </w:r>
      <w:r>
        <w:rPr>
          <w:rFonts w:hint="eastAsia" w:ascii="仿宋_GB2312" w:eastAsia="仿宋_GB2312"/>
          <w:color w:val="000000"/>
          <w:sz w:val="32"/>
          <w:szCs w:val="32"/>
        </w:rPr>
        <w:t>接待21批次，185人，共计支出1.95万元</w:t>
      </w:r>
      <w:r>
        <w:rPr>
          <w:rFonts w:hint="eastAsia" w:ascii="仿宋_GB2312" w:eastAsia="仿宋_GB2312"/>
          <w:color w:val="000000" w:themeColor="text1"/>
          <w:sz w:val="32"/>
          <w:szCs w:val="32"/>
        </w:rPr>
        <w:t>。</w:t>
      </w:r>
      <w:r>
        <w:rPr>
          <w:rFonts w:hint="eastAsia" w:eastAsia="仿宋_GB2312"/>
          <w:color w:val="000000"/>
          <w:sz w:val="32"/>
          <w:szCs w:val="32"/>
        </w:rPr>
        <w:t>公务接待费支出决算与</w:t>
      </w:r>
      <w:r>
        <w:rPr>
          <w:rFonts w:eastAsia="仿宋_GB2312"/>
          <w:color w:val="000000"/>
          <w:sz w:val="32"/>
          <w:szCs w:val="32"/>
        </w:rPr>
        <w:t>20</w:t>
      </w:r>
      <w:r>
        <w:rPr>
          <w:rFonts w:hint="eastAsia" w:eastAsia="仿宋_GB2312"/>
          <w:color w:val="000000"/>
          <w:sz w:val="32"/>
          <w:szCs w:val="32"/>
        </w:rPr>
        <w:t>19年减少1.64万元，减少45.68</w:t>
      </w:r>
      <w:r>
        <w:rPr>
          <w:rFonts w:eastAsia="仿宋_GB2312"/>
          <w:color w:val="000000"/>
          <w:sz w:val="32"/>
          <w:szCs w:val="32"/>
        </w:rPr>
        <w:t>%</w:t>
      </w:r>
      <w:r>
        <w:rPr>
          <w:rFonts w:hint="eastAsia" w:eastAsia="仿宋_GB2312"/>
          <w:color w:val="000000"/>
          <w:sz w:val="32"/>
          <w:szCs w:val="32"/>
        </w:rPr>
        <w:t>。</w:t>
      </w:r>
      <w:r>
        <w:rPr>
          <w:rFonts w:hint="eastAsia" w:eastAsia="仿宋_GB2312" w:cs="宋体"/>
          <w:snapToGrid w:val="0"/>
          <w:color w:val="000000"/>
          <w:kern w:val="0"/>
          <w:sz w:val="32"/>
          <w:szCs w:val="32"/>
        </w:rPr>
        <w:t>增加的原因是大部分公务接待与应急管理相关，属应急管理活动支出。</w:t>
      </w: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万元，外事接待0批次，0人，共计支出0万元</w:t>
      </w:r>
      <w:r>
        <w:rPr>
          <w:rFonts w:hint="eastAsia" w:ascii="仿宋_GB2312" w:eastAsia="仿宋_GB2312"/>
          <w:color w:val="000000" w:themeColor="text1"/>
          <w:sz w:val="32"/>
          <w:szCs w:val="32"/>
        </w:rPr>
        <w:t>。</w:t>
      </w:r>
    </w:p>
    <w:p>
      <w:pPr>
        <w:pStyle w:val="7"/>
        <w:numPr>
          <w:ilvl w:val="0"/>
          <w:numId w:val="2"/>
        </w:numPr>
        <w:adjustRightInd w:val="0"/>
        <w:snapToGrid w:val="0"/>
        <w:spacing w:line="44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政府性基金预算支出决算情况说明</w:t>
      </w:r>
    </w:p>
    <w:p>
      <w:pPr>
        <w:spacing w:line="600" w:lineRule="exact"/>
        <w:ind w:firstLine="640"/>
        <w:rPr>
          <w:rFonts w:ascii="仿宋_GB2312" w:hAnsi="仿宋_GB2312" w:eastAsia="仿宋_GB2312" w:cs="仿宋_GB2312"/>
          <w:sz w:val="32"/>
          <w:szCs w:val="32"/>
        </w:rPr>
      </w:pPr>
      <w:r>
        <w:rPr>
          <w:rFonts w:ascii="仿宋_GB2312" w:eastAsia="仿宋_GB2312"/>
          <w:color w:val="000000"/>
          <w:sz w:val="32"/>
          <w:szCs w:val="32"/>
        </w:rPr>
        <w:t>20</w:t>
      </w:r>
      <w:r>
        <w:rPr>
          <w:rFonts w:hint="eastAsia" w:ascii="仿宋_GB2312" w:eastAsia="仿宋_GB2312"/>
          <w:color w:val="000000"/>
          <w:sz w:val="32"/>
          <w:szCs w:val="32"/>
        </w:rPr>
        <w:t>20年政府性基金预算拨款支出0万元。</w:t>
      </w:r>
    </w:p>
    <w:p>
      <w:pPr>
        <w:pStyle w:val="7"/>
        <w:numPr>
          <w:ilvl w:val="0"/>
          <w:numId w:val="2"/>
        </w:numPr>
        <w:adjustRightInd w:val="0"/>
        <w:snapToGrid w:val="0"/>
        <w:spacing w:line="44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国有资本经营预算支出决算情况说明</w:t>
      </w:r>
    </w:p>
    <w:p>
      <w:pPr>
        <w:spacing w:line="600" w:lineRule="exact"/>
        <w:ind w:firstLine="640"/>
        <w:rPr>
          <w:rFonts w:ascii="仿宋_GB2312" w:hAnsi="仿宋_GB2312" w:eastAsia="仿宋_GB2312" w:cs="仿宋_GB2312"/>
          <w:sz w:val="32"/>
          <w:szCs w:val="32"/>
        </w:rPr>
      </w:pPr>
      <w:r>
        <w:rPr>
          <w:rFonts w:ascii="仿宋_GB2312" w:eastAsia="仿宋_GB2312"/>
          <w:color w:val="000000"/>
          <w:sz w:val="32"/>
          <w:szCs w:val="32"/>
        </w:rPr>
        <w:t>20</w:t>
      </w:r>
      <w:r>
        <w:rPr>
          <w:rFonts w:hint="eastAsia" w:ascii="仿宋_GB2312" w:eastAsia="仿宋_GB2312"/>
          <w:color w:val="000000"/>
          <w:sz w:val="32"/>
          <w:szCs w:val="32"/>
        </w:rPr>
        <w:t>20年国有资本经营预算拨款支出0万元。</w:t>
      </w:r>
    </w:p>
    <w:p>
      <w:pPr>
        <w:numPr>
          <w:ilvl w:val="0"/>
          <w:numId w:val="2"/>
        </w:numPr>
        <w:adjustRightInd w:val="0"/>
        <w:snapToGrid w:val="0"/>
        <w:spacing w:line="440" w:lineRule="exact"/>
        <w:ind w:left="420" w:left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其他重要事项的情况说明</w:t>
      </w:r>
      <w:r>
        <w:rPr>
          <w:rFonts w:hint="eastAsia" w:ascii="仿宋_GB2312" w:hAnsi="仿宋_GB2312" w:eastAsia="仿宋_GB2312" w:cs="仿宋_GB2312"/>
          <w:b/>
          <w:bCs/>
          <w:sz w:val="32"/>
          <w:szCs w:val="32"/>
        </w:rPr>
        <w:tab/>
      </w:r>
    </w:p>
    <w:p>
      <w:pPr>
        <w:spacing w:line="600" w:lineRule="exact"/>
        <w:ind w:firstLine="643" w:firstLineChars="200"/>
        <w:outlineLvl w:val="2"/>
        <w:rPr>
          <w:rFonts w:ascii="仿宋" w:hAnsi="仿宋" w:eastAsia="仿宋"/>
          <w:color w:val="000000"/>
          <w:sz w:val="32"/>
          <w:szCs w:val="32"/>
        </w:rPr>
      </w:pPr>
      <w:r>
        <w:rPr>
          <w:rFonts w:hint="eastAsia" w:ascii="仿宋" w:hAnsi="仿宋" w:eastAsia="仿宋"/>
          <w:b/>
          <w:color w:val="000000"/>
          <w:sz w:val="32"/>
          <w:szCs w:val="32"/>
        </w:rPr>
        <w:t>（一）机关运行经费支出情况</w:t>
      </w:r>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w:t>
      </w:r>
      <w:r>
        <w:rPr>
          <w:rFonts w:hint="eastAsia" w:ascii="仿宋_GB2312" w:eastAsia="仿宋_GB2312"/>
          <w:color w:val="000000"/>
          <w:sz w:val="32"/>
          <w:szCs w:val="32"/>
        </w:rPr>
        <w:t>20年，通江县应急管理局机关运行经费支出</w:t>
      </w:r>
      <w:r>
        <w:rPr>
          <w:rFonts w:hint="eastAsia" w:ascii="仿宋" w:hAnsi="仿宋" w:eastAsia="仿宋"/>
          <w:color w:val="000000"/>
          <w:sz w:val="32"/>
          <w:szCs w:val="32"/>
        </w:rPr>
        <w:t>5.43</w:t>
      </w:r>
      <w:r>
        <w:rPr>
          <w:rFonts w:hint="eastAsia" w:ascii="仿宋_GB2312" w:eastAsia="仿宋_GB2312"/>
          <w:color w:val="000000"/>
          <w:sz w:val="32"/>
          <w:szCs w:val="32"/>
        </w:rPr>
        <w:t>万元，比2019年增加2.43万元，增长81%，主要原因是森林防灭火职能划转，经费开支增加。</w:t>
      </w:r>
    </w:p>
    <w:p>
      <w:pPr>
        <w:numPr>
          <w:ilvl w:val="0"/>
          <w:numId w:val="5"/>
        </w:num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政府采购支出情况</w:t>
      </w:r>
    </w:p>
    <w:p>
      <w:pPr>
        <w:spacing w:line="600" w:lineRule="exact"/>
        <w:ind w:firstLine="640" w:firstLineChars="200"/>
      </w:pPr>
      <w:r>
        <w:rPr>
          <w:rFonts w:ascii="仿宋_GB2312" w:eastAsia="仿宋_GB2312"/>
          <w:color w:val="000000"/>
          <w:sz w:val="32"/>
          <w:szCs w:val="32"/>
        </w:rPr>
        <w:t>2020</w:t>
      </w:r>
      <w:r>
        <w:rPr>
          <w:rFonts w:hint="eastAsia" w:ascii="仿宋_GB2312" w:eastAsia="仿宋_GB2312"/>
          <w:color w:val="000000"/>
          <w:sz w:val="32"/>
          <w:szCs w:val="32"/>
        </w:rPr>
        <w:t>年，县应急管理局政府采购支出总额0万元，其中：政府采购货物支出0万元、政府采购工程支出0万元、政府采购服务支出0万元。</w:t>
      </w:r>
    </w:p>
    <w:p>
      <w:pPr>
        <w:numPr>
          <w:ilvl w:val="0"/>
          <w:numId w:val="5"/>
        </w:num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国有资产占有使用情况</w:t>
      </w:r>
    </w:p>
    <w:p>
      <w:pPr>
        <w:autoSpaceDE w:val="0"/>
        <w:autoSpaceDN w:val="0"/>
        <w:adjustRightInd w:val="0"/>
        <w:spacing w:line="600" w:lineRule="exact"/>
        <w:ind w:firstLine="640" w:firstLineChars="200"/>
        <w:jc w:val="left"/>
        <w:outlineLvl w:val="2"/>
        <w:rPr>
          <w:rFonts w:ascii="仿宋" w:hAnsi="仿宋" w:eastAsia="仿宋"/>
          <w:bCs/>
          <w:color w:val="000000"/>
          <w:sz w:val="32"/>
          <w:szCs w:val="32"/>
        </w:rPr>
      </w:pPr>
      <w:r>
        <w:rPr>
          <w:rFonts w:hint="eastAsia" w:ascii="仿宋" w:hAnsi="仿宋" w:eastAsia="仿宋"/>
          <w:bCs/>
          <w:color w:val="000000"/>
          <w:sz w:val="32"/>
          <w:szCs w:val="32"/>
        </w:rPr>
        <w:t>截至2020年12月31日，通江县应急管理局共有车辆5辆，其中：主要领导干部用车0辆、机要通信用车0辆、应急保障用车5辆、其他用车0辆。单价50万元以上通用设备0台（套），单价100万元以上专用设备0台（套）。</w:t>
      </w:r>
    </w:p>
    <w:p>
      <w:pPr>
        <w:numPr>
          <w:ilvl w:val="0"/>
          <w:numId w:val="6"/>
        </w:num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煤矿瓦斯监控平台、国家综合减灾示范社区、水旱灾害防灾减灾、抢险应急、自然灾害防治体系建设、执法能力建设、自然灾害救灾、因灾房屋倒损重建这8个项目开展了预算事前绩效评估，对这8个项目编制了绩效目标，预算执行过程中，选取8个项目开展绩效监控，年终执行完毕后，对8个项目开展了绩效目标完成情况自评。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根据我局年度计划和安排，资金将合法合规使用，既保障了局机关正常运转，又有效对全县安全生产进行监管监察，及时处置安全生产类、综合防灾减灾救灾工作、自然灾害类等突发事件的应急救援综合防灾减灾救灾工作，保障我县健康有序发展。本部门还自行组织了8个项目支出绩效评价，从评价情况来看有效对全县安全生产进行监管监察，及时处置安全生产类、自然灾害类等突发事件的应急救援以及综合防灾减灾救灾工作。</w:t>
      </w:r>
    </w:p>
    <w:p>
      <w:pPr>
        <w:spacing w:line="58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年度部门决算中反映“水旱灾害防灾减灾”“抢险应急”“自然灾害防治体系建设”“自然灾害救灾”“因灾房屋倒损重建”5个项目绩效目标实际完成情况。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）水旱灾害防灾减灾项目绩效目标完成情况综述。项目全年预算数3.6万元，执行数为3.6万元，完成预算的100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。通过项目实施，保障了县委、县政府安排年度工作任务，及时开展隐患排查与治理，发现的主要问题：经费捉襟见肘。下一步改进措施：在有效完成工作的同时，精简开支，高质量完成工作。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）抢险应急项目绩效目标完成情况综述。项目全年预算数42.8万元，执行数为42.8万元，完成预算的100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最大限度减少受灾群众的损失，防止次生灾害的发生，得到上级领导和社会的认可，发现的主要问题：应急抢险设备配备较差，与上级主管部门要求差距较大。下一步改进措施：进一步完善设施设备，积极促进应急抢险能力建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）自然灾害防治体系建设项目绩效目标完成情况综述。项目全年预算数470万元，执行数为470万元，完成预算的100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。通过项目实施，提高了自然灾害防治体系建设工作能力，发现的主要问题：应急救灾物资略显数量少、品类不全。下一步改进措施：完善建立应急救灾物资储备库</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（4）自然灾害救灾项目绩效目标完成情况综述。项目全年预算数1206万元，执行数为1206万元，完成预算的100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。通过项目实施，促进了冬春临时生活困难救助工作。</w:t>
      </w:r>
    </w:p>
    <w:p>
      <w:pPr>
        <w:spacing w:line="595" w:lineRule="exact"/>
        <w:ind w:firstLine="640" w:firstLineChars="200"/>
        <w:rPr>
          <w:rFonts w:eastAsia="仿宋_GB2312" w:cs="仿宋_GB2312"/>
          <w:sz w:val="32"/>
          <w:szCs w:val="32"/>
        </w:rPr>
      </w:pPr>
      <w:r>
        <w:rPr>
          <w:rFonts w:hint="eastAsia" w:ascii="仿宋_GB2312" w:hAnsi="仿宋_GB2312" w:eastAsia="仿宋_GB2312" w:cs="仿宋_GB2312"/>
          <w:sz w:val="32"/>
          <w:szCs w:val="32"/>
        </w:rPr>
        <w:t>（5）因灾房屋倒损重建项目绩效目标完成情况综述。项目全年预算数346万元，执行数为346万元，完成预算的346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提高了人民群众住房财产安全，发现的主要问题：针对现在物价材料较高，灾后恢复重建的主体责任力度更大。下一步改进措施：进一步强化落实中央省市县委、县政府政策，有效完成县委、县政府安排年度工作任务，及时开展隐患排查与治理。</w:t>
      </w:r>
    </w:p>
    <w:p>
      <w:pPr>
        <w:pStyle w:val="2"/>
        <w:spacing w:before="93"/>
        <w:ind w:left="420" w:leftChars="200"/>
        <w:rPr>
          <w:rFonts w:hAnsi="仿宋_GB2312" w:cs="仿宋_GB2312"/>
          <w:sz w:val="32"/>
          <w:szCs w:val="32"/>
        </w:rPr>
      </w:pPr>
    </w:p>
    <w:p>
      <w:pPr>
        <w:pStyle w:val="2"/>
        <w:spacing w:before="93"/>
        <w:ind w:left="420" w:leftChars="200"/>
        <w:rPr>
          <w:rFonts w:hAnsi="仿宋_GB2312" w:cs="仿宋_GB2312"/>
          <w:sz w:val="32"/>
          <w:szCs w:val="32"/>
        </w:rPr>
      </w:pPr>
    </w:p>
    <w:p>
      <w:pPr>
        <w:pStyle w:val="2"/>
        <w:spacing w:before="93"/>
        <w:ind w:left="420" w:leftChars="200"/>
        <w:rPr>
          <w:rFonts w:hAnsi="仿宋_GB2312" w:cs="仿宋_GB2312"/>
          <w:sz w:val="32"/>
          <w:szCs w:val="32"/>
        </w:rPr>
      </w:pPr>
    </w:p>
    <w:p>
      <w:pPr>
        <w:pStyle w:val="2"/>
        <w:spacing w:before="93"/>
        <w:ind w:left="420" w:leftChars="200"/>
        <w:rPr>
          <w:rFonts w:hAnsi="仿宋_GB2312" w:cs="仿宋_GB2312"/>
          <w:sz w:val="32"/>
          <w:szCs w:val="32"/>
        </w:rPr>
      </w:pPr>
    </w:p>
    <w:p>
      <w:pPr>
        <w:pStyle w:val="2"/>
        <w:spacing w:before="93"/>
        <w:rPr>
          <w:rFonts w:hAnsi="仿宋_GB2312" w:cs="仿宋_GB2312"/>
          <w:sz w:val="32"/>
          <w:szCs w:val="32"/>
        </w:rPr>
      </w:pPr>
    </w:p>
    <w:p>
      <w:pPr>
        <w:pStyle w:val="2"/>
        <w:spacing w:before="93"/>
        <w:rPr>
          <w:rFonts w:hAnsi="仿宋_GB2312" w:cs="仿宋_GB2312"/>
          <w:sz w:val="32"/>
          <w:szCs w:val="32"/>
        </w:rPr>
      </w:pPr>
    </w:p>
    <w:p>
      <w:pPr>
        <w:pStyle w:val="6"/>
        <w:adjustRightInd w:val="0"/>
        <w:snapToGrid w:val="0"/>
        <w:spacing w:before="0" w:line="440" w:lineRule="exact"/>
        <w:jc w:val="left"/>
        <w:rPr>
          <w:rFonts w:ascii="仿宋_GB2312" w:hAnsi="仿宋_GB2312" w:eastAsia="仿宋_GB2312" w:cs="仿宋_GB2312"/>
          <w:b/>
          <w:bCs/>
          <w:sz w:val="32"/>
          <w:szCs w:val="32"/>
        </w:rPr>
      </w:pPr>
    </w:p>
    <w:p>
      <w:pPr>
        <w:pStyle w:val="6"/>
        <w:pageBreakBefore/>
        <w:adjustRightInd w:val="0"/>
        <w:snapToGrid w:val="0"/>
        <w:spacing w:before="0" w:line="44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第三部分名词解释</w:t>
      </w:r>
    </w:p>
    <w:p/>
    <w:p>
      <w:pPr>
        <w:pStyle w:val="15"/>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15"/>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15"/>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15"/>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15"/>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15"/>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15"/>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15"/>
        <w:spacing w:line="560" w:lineRule="exact"/>
        <w:ind w:firstLine="640" w:firstLineChars="200"/>
        <w:rPr>
          <w:rFonts w:hAnsi="仿宋"/>
          <w:b/>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15"/>
        <w:spacing w:line="560" w:lineRule="exact"/>
        <w:ind w:firstLine="640" w:firstLineChars="20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5"/>
        <w:spacing w:line="560" w:lineRule="exact"/>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6"/>
        <w:adjustRightInd w:val="0"/>
        <w:snapToGrid w:val="0"/>
        <w:spacing w:before="0" w:line="440" w:lineRule="exact"/>
        <w:jc w:val="left"/>
        <w:rPr>
          <w:rFonts w:ascii="仿宋_GB2312" w:hAnsi="仿宋_GB2312" w:eastAsia="仿宋_GB2312" w:cs="仿宋_GB2312"/>
          <w:b/>
          <w:bCs/>
          <w:sz w:val="32"/>
          <w:szCs w:val="32"/>
        </w:rPr>
      </w:pPr>
    </w:p>
    <w:p>
      <w:pPr>
        <w:pStyle w:val="6"/>
        <w:adjustRightInd w:val="0"/>
        <w:snapToGrid w:val="0"/>
        <w:spacing w:before="0" w:line="44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第四部分 附件</w:t>
      </w:r>
    </w:p>
    <w:p>
      <w:pPr>
        <w:pStyle w:val="7"/>
        <w:adjustRightInd w:val="0"/>
        <w:snapToGrid w:val="0"/>
        <w:spacing w:line="44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附件1</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通江县应急管理局</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水旱灾害防灾减灾专项资金绩效自评报告</w:t>
      </w:r>
    </w:p>
    <w:p>
      <w:pPr>
        <w:pStyle w:val="2"/>
        <w:spacing w:before="93"/>
      </w:pP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通江县抗旱机动服务队是应急管理局直属事业单位。主要承担水旱灾害预警，制定专项应急预案和应急演练，开展水旱灾害调查，安全排查。</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二、资金使用情况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highlight w:val="none"/>
        </w:rPr>
        <w:t>我队</w:t>
      </w:r>
      <w:r>
        <w:rPr>
          <w:rFonts w:hint="eastAsia" w:ascii="仿宋_GB2312" w:hAnsi="仿宋_GB2312" w:eastAsia="仿宋_GB2312" w:cs="仿宋_GB2312"/>
          <w:sz w:val="32"/>
          <w:szCs w:val="32"/>
        </w:rPr>
        <w:t>有职工7名，专项资金主要用于指导全县应急演练1次，承担全县水旱灾害排查与应急处置，预算支出3.6万元。我队将严格执行财务管理制度、财务处理及时、会计核算规范。</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三、目标预算完成情况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（一）目标任务量完成情况。指导全县应急演练1次，承担全县水旱灾害排查与应急处置。</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（二）目标质量完成情况。全面完成县委、县政府安排年度工作任务，及时开展隐患排查与治理。</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四、项目效益情况</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w:t>
      </w:r>
      <w:r>
        <w:rPr>
          <w:rFonts w:hint="eastAsia" w:ascii="仿宋_GB2312" w:hAnsi="仿宋_GB2312" w:eastAsia="仿宋_GB2312" w:cs="仿宋_GB2312"/>
          <w:sz w:val="32"/>
          <w:szCs w:val="32"/>
        </w:rPr>
        <w:t>通过开展应急演练和隐患排查，全县灾害救援能力将不断提高，实现全县重大灾害无人员死亡的目标，争取受到广大人民群众的好评。</w:t>
      </w:r>
    </w:p>
    <w:tbl>
      <w:tblPr>
        <w:tblStyle w:val="8"/>
        <w:tblW w:w="8522" w:type="dxa"/>
        <w:tblInd w:w="0" w:type="dxa"/>
        <w:tblLayout w:type="fixed"/>
        <w:tblCellMar>
          <w:top w:w="0" w:type="dxa"/>
          <w:left w:w="108" w:type="dxa"/>
          <w:bottom w:w="0" w:type="dxa"/>
          <w:right w:w="108" w:type="dxa"/>
        </w:tblCellMar>
      </w:tblPr>
      <w:tblGrid>
        <w:gridCol w:w="447"/>
        <w:gridCol w:w="616"/>
        <w:gridCol w:w="835"/>
        <w:gridCol w:w="2019"/>
        <w:gridCol w:w="495"/>
        <w:gridCol w:w="484"/>
        <w:gridCol w:w="1051"/>
        <w:gridCol w:w="762"/>
        <w:gridCol w:w="556"/>
        <w:gridCol w:w="737"/>
        <w:gridCol w:w="520"/>
      </w:tblGrid>
      <w:tr>
        <w:tblPrEx>
          <w:tblCellMar>
            <w:top w:w="0" w:type="dxa"/>
            <w:left w:w="108" w:type="dxa"/>
            <w:bottom w:w="0" w:type="dxa"/>
            <w:right w:w="108" w:type="dxa"/>
          </w:tblCellMar>
        </w:tblPrEx>
        <w:trPr>
          <w:trHeight w:val="570" w:hRule="atLeast"/>
        </w:trPr>
        <w:tc>
          <w:tcPr>
            <w:tcW w:w="8522" w:type="dxa"/>
            <w:gridSpan w:val="11"/>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32"/>
                <w:szCs w:val="32"/>
              </w:rPr>
            </w:pPr>
            <w:r>
              <w:rPr>
                <w:rStyle w:val="17"/>
                <w:rFonts w:hint="default"/>
              </w:rPr>
              <w:t>绩效目标自评表</w:t>
            </w:r>
          </w:p>
        </w:tc>
      </w:tr>
      <w:tr>
        <w:tblPrEx>
          <w:tblCellMar>
            <w:top w:w="0" w:type="dxa"/>
            <w:left w:w="108" w:type="dxa"/>
            <w:bottom w:w="0" w:type="dxa"/>
            <w:right w:w="108" w:type="dxa"/>
          </w:tblCellMar>
        </w:tblPrEx>
        <w:trPr>
          <w:trHeight w:val="420" w:hRule="atLeast"/>
        </w:trPr>
        <w:tc>
          <w:tcPr>
            <w:tcW w:w="8522" w:type="dxa"/>
            <w:gridSpan w:val="11"/>
            <w:tcBorders>
              <w:top w:val="nil"/>
              <w:left w:val="nil"/>
              <w:bottom w:val="single" w:color="000000" w:sz="4" w:space="0"/>
              <w:right w:val="nil"/>
            </w:tcBorders>
            <w:shd w:val="clear" w:color="auto" w:fill="auto"/>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（2020年度）</w:t>
            </w:r>
          </w:p>
        </w:tc>
      </w:tr>
      <w:tr>
        <w:tblPrEx>
          <w:tblCellMar>
            <w:top w:w="0" w:type="dxa"/>
            <w:left w:w="108" w:type="dxa"/>
            <w:bottom w:w="0" w:type="dxa"/>
            <w:right w:w="108" w:type="dxa"/>
          </w:tblCellMar>
        </w:tblPrEx>
        <w:trPr>
          <w:trHeight w:val="555" w:hRule="atLeast"/>
        </w:trPr>
        <w:tc>
          <w:tcPr>
            <w:tcW w:w="18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2998" w:type="dxa"/>
            <w:gridSpan w:val="3"/>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水旱灾害防灾减灾</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项目负责人及电话</w:t>
            </w:r>
          </w:p>
        </w:tc>
        <w:tc>
          <w:tcPr>
            <w:tcW w:w="25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张忠建13981669605</w:t>
            </w:r>
          </w:p>
        </w:tc>
      </w:tr>
      <w:tr>
        <w:tblPrEx>
          <w:tblCellMar>
            <w:top w:w="0" w:type="dxa"/>
            <w:left w:w="108" w:type="dxa"/>
            <w:bottom w:w="0" w:type="dxa"/>
            <w:right w:w="108" w:type="dxa"/>
          </w:tblCellMar>
        </w:tblPrEx>
        <w:trPr>
          <w:trHeight w:val="300" w:hRule="atLeast"/>
        </w:trPr>
        <w:tc>
          <w:tcPr>
            <w:tcW w:w="18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29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通江县抗旱机动服务队</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25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65" w:hRule="atLeast"/>
        </w:trPr>
        <w:tc>
          <w:tcPr>
            <w:tcW w:w="189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资金情况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（万元）</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执行率（B/A</w:t>
            </w:r>
            <w:r>
              <w:rPr>
                <w:rFonts w:hint="eastAsia" w:ascii="宋体" w:hAnsi="宋体" w:cs="宋体"/>
                <w:color w:val="000000"/>
                <w:kern w:val="0"/>
                <w:sz w:val="20"/>
                <w:szCs w:val="20"/>
                <w:highlight w:val="none"/>
                <w:lang w:eastAsia="zh-CN"/>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0" w:type="dxa"/>
            <w:left w:w="108" w:type="dxa"/>
            <w:bottom w:w="0" w:type="dxa"/>
            <w:right w:w="108" w:type="dxa"/>
          </w:tblCellMar>
        </w:tblPrEx>
        <w:trPr>
          <w:trHeight w:val="282" w:hRule="atLeast"/>
        </w:trPr>
        <w:tc>
          <w:tcPr>
            <w:tcW w:w="189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282" w:hRule="atLeast"/>
        </w:trPr>
        <w:tc>
          <w:tcPr>
            <w:tcW w:w="189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Style w:val="19"/>
                <w:rFonts w:hint="default"/>
              </w:rPr>
              <w:t xml:space="preserve"> 其中：本年财政拨款</w:t>
            </w: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trPr>
        <w:tc>
          <w:tcPr>
            <w:tcW w:w="189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Style w:val="19"/>
                <w:rFonts w:hint="default"/>
              </w:rPr>
              <w:t xml:space="preserve">       其他资金</w:t>
            </w: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trPr>
        <w:tc>
          <w:tcPr>
            <w:tcW w:w="4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44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年初设定目标</w:t>
            </w:r>
          </w:p>
        </w:tc>
        <w:tc>
          <w:tcPr>
            <w:tcW w:w="36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CellMar>
            <w:top w:w="0" w:type="dxa"/>
            <w:left w:w="108" w:type="dxa"/>
            <w:bottom w:w="0" w:type="dxa"/>
            <w:right w:w="108" w:type="dxa"/>
          </w:tblCellMar>
        </w:tblPrEx>
        <w:trPr>
          <w:trHeight w:val="525"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4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目标任务量完成情况。指导全县应急演练2次，承担全县水旱灾害排查与应急处置22次。</w:t>
            </w:r>
          </w:p>
        </w:tc>
        <w:tc>
          <w:tcPr>
            <w:tcW w:w="36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按年初目标完成</w:t>
            </w:r>
          </w:p>
        </w:tc>
      </w:tr>
      <w:tr>
        <w:tblPrEx>
          <w:tblCellMar>
            <w:top w:w="0" w:type="dxa"/>
            <w:left w:w="108" w:type="dxa"/>
            <w:bottom w:w="0" w:type="dxa"/>
            <w:right w:w="108" w:type="dxa"/>
          </w:tblCellMar>
        </w:tblPrEx>
        <w:trPr>
          <w:trHeight w:val="559" w:hRule="atLeast"/>
        </w:trPr>
        <w:tc>
          <w:tcPr>
            <w:tcW w:w="44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全年实际值</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未完成原因及拟采取的改进措施</w:t>
            </w: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50分</w:t>
            </w:r>
            <w:r>
              <w:rPr>
                <w:rFonts w:hint="eastAsia" w:ascii="宋体" w:hAnsi="宋体" w:cs="宋体"/>
                <w:color w:val="000000"/>
                <w:kern w:val="0"/>
                <w:sz w:val="20"/>
                <w:szCs w:val="20"/>
                <w:highlight w:val="none"/>
                <w:lang w:eastAsia="zh-CN"/>
              </w:rPr>
              <w:t>）</w:t>
            </w: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全县应急演练（次）</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水旱灾害防灾减灾处置（次）</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全县应急演练</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专家评价</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通过</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演练次数偏少，多实战演练。</w:t>
            </w: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水旱灾害防灾减灾处置</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处置率</w:t>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90%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91</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全县应急演练</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及时</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及时</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水旱灾害防灾减灾处置</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及时</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及时</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全县抗旱服务人员及运行支出</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全县水旱灾害防灾减灾</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30分</w:t>
            </w:r>
            <w:r>
              <w:rPr>
                <w:rFonts w:hint="eastAsia" w:ascii="宋体" w:hAnsi="宋体" w:cs="宋体"/>
                <w:color w:val="000000"/>
                <w:kern w:val="0"/>
                <w:sz w:val="20"/>
                <w:szCs w:val="20"/>
                <w:highlight w:val="none"/>
                <w:lang w:eastAsia="zh-CN"/>
              </w:rPr>
              <w:t>）</w:t>
            </w: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最大限度减少经济损失。</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积极处置应对</w:t>
            </w: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减少人员和财产损失，实现社会和谐团结。</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自然环境恶劣，政府加大投入</w:t>
            </w: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通过发布灾害预警和提早措施，减少地质灾害，有效保护生态环境。</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预报不及时，增加科技设备投入</w:t>
            </w: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满意度指标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10分</w:t>
            </w:r>
            <w:r>
              <w:rPr>
                <w:rFonts w:hint="eastAsia" w:ascii="宋体" w:hAnsi="宋体" w:cs="宋体"/>
                <w:color w:val="000000"/>
                <w:kern w:val="0"/>
                <w:sz w:val="20"/>
                <w:szCs w:val="20"/>
                <w:highlight w:val="none"/>
                <w:lang w:eastAsia="zh-CN"/>
              </w:rPr>
              <w:t>）</w:t>
            </w: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满意度指标</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服务对象、社会公众是否满意</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满意度</w:t>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100%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积极为群众服务</w:t>
            </w: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总分</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93</w:t>
            </w: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bl>
    <w:p>
      <w:pPr>
        <w:pStyle w:val="2"/>
        <w:spacing w:before="93"/>
        <w:rPr>
          <w:rFonts w:hAnsi="仿宋_GB2312" w:cs="仿宋_GB2312"/>
          <w:b/>
          <w:bCs/>
          <w:sz w:val="32"/>
          <w:szCs w:val="32"/>
        </w:rPr>
      </w:pPr>
    </w:p>
    <w:p>
      <w:pPr>
        <w:pStyle w:val="2"/>
        <w:spacing w:before="93"/>
        <w:rPr>
          <w:rFonts w:hAnsi="仿宋_GB2312" w:cs="仿宋_GB2312"/>
          <w:b/>
          <w:bCs/>
          <w:sz w:val="32"/>
          <w:szCs w:val="32"/>
        </w:rPr>
      </w:pPr>
    </w:p>
    <w:p>
      <w:pPr>
        <w:pStyle w:val="2"/>
        <w:spacing w:before="93"/>
        <w:rPr>
          <w:rFonts w:hAnsi="仿宋_GB2312" w:cs="仿宋_GB2312"/>
          <w:b/>
          <w:bCs/>
          <w:sz w:val="32"/>
          <w:szCs w:val="32"/>
        </w:rPr>
      </w:pPr>
    </w:p>
    <w:p>
      <w:pPr>
        <w:pStyle w:val="2"/>
        <w:spacing w:before="93"/>
        <w:rPr>
          <w:rFonts w:hAnsi="仿宋_GB2312" w:cs="仿宋_GB2312"/>
          <w:b/>
          <w:bCs/>
          <w:sz w:val="32"/>
          <w:szCs w:val="32"/>
        </w:rPr>
      </w:pPr>
    </w:p>
    <w:p>
      <w:pPr>
        <w:pStyle w:val="2"/>
        <w:spacing w:before="93"/>
        <w:rPr>
          <w:rFonts w:hAnsi="仿宋_GB2312" w:cs="仿宋_GB2312"/>
          <w:b/>
          <w:bCs/>
          <w:sz w:val="32"/>
          <w:szCs w:val="32"/>
        </w:rPr>
      </w:pPr>
    </w:p>
    <w:p>
      <w:pPr>
        <w:pStyle w:val="2"/>
        <w:spacing w:before="93"/>
        <w:rPr>
          <w:rFonts w:hAnsi="仿宋_GB2312" w:cs="仿宋_GB2312"/>
          <w:b/>
          <w:bCs/>
          <w:sz w:val="32"/>
          <w:szCs w:val="32"/>
        </w:rPr>
      </w:pPr>
    </w:p>
    <w:p>
      <w:pPr>
        <w:pStyle w:val="2"/>
        <w:spacing w:before="93"/>
        <w:rPr>
          <w:rFonts w:hAnsi="仿宋_GB2312" w:cs="仿宋_GB2312"/>
          <w:b/>
          <w:bCs/>
          <w:sz w:val="32"/>
          <w:szCs w:val="32"/>
        </w:rPr>
      </w:pPr>
    </w:p>
    <w:p>
      <w:pPr>
        <w:pStyle w:val="2"/>
        <w:spacing w:before="93"/>
        <w:rPr>
          <w:rFonts w:hAnsi="仿宋_GB2312" w:cs="仿宋_GB2312"/>
          <w:b/>
          <w:bCs/>
          <w:sz w:val="32"/>
          <w:szCs w:val="32"/>
        </w:rPr>
      </w:pPr>
    </w:p>
    <w:p>
      <w:pPr>
        <w:pStyle w:val="2"/>
        <w:spacing w:before="93"/>
      </w:pPr>
    </w:p>
    <w:p>
      <w:pPr>
        <w:pStyle w:val="7"/>
        <w:adjustRightInd w:val="0"/>
        <w:snapToGrid w:val="0"/>
        <w:spacing w:line="44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附件2</w:t>
      </w:r>
    </w:p>
    <w:p>
      <w:pPr>
        <w:pStyle w:val="16"/>
        <w:spacing w:line="240" w:lineRule="auto"/>
        <w:jc w:val="center"/>
        <w:rPr>
          <w:rFonts w:ascii="楷体_GB2312" w:hAnsi="宋体" w:eastAsia="楷体_GB2312"/>
          <w:b/>
          <w:sz w:val="48"/>
          <w:szCs w:val="48"/>
        </w:rPr>
      </w:pPr>
      <w:r>
        <w:rPr>
          <w:rFonts w:hint="eastAsia" w:ascii="楷体_GB2312" w:hAnsi="宋体" w:eastAsia="楷体_GB2312"/>
          <w:b/>
          <w:sz w:val="48"/>
          <w:szCs w:val="48"/>
        </w:rPr>
        <w:t>通江县应急管理局</w:t>
      </w:r>
    </w:p>
    <w:p>
      <w:pPr>
        <w:pStyle w:val="16"/>
        <w:spacing w:line="240" w:lineRule="auto"/>
        <w:jc w:val="center"/>
        <w:rPr>
          <w:rFonts w:ascii="楷体_GB2312" w:hAnsi="宋体" w:eastAsia="楷体_GB2312"/>
          <w:b/>
          <w:sz w:val="48"/>
          <w:szCs w:val="48"/>
        </w:rPr>
      </w:pPr>
      <w:r>
        <w:rPr>
          <w:rFonts w:hint="eastAsia" w:ascii="楷体_GB2312" w:hAnsi="宋体" w:eastAsia="楷体_GB2312"/>
          <w:b/>
          <w:sz w:val="48"/>
          <w:szCs w:val="48"/>
        </w:rPr>
        <w:t>应急抢险绩效自评报告</w:t>
      </w:r>
    </w:p>
    <w:p>
      <w:pPr>
        <w:pStyle w:val="16"/>
        <w:spacing w:line="240" w:lineRule="auto"/>
        <w:jc w:val="center"/>
        <w:rPr>
          <w:rFonts w:ascii="宋体" w:hAnsi="宋体"/>
          <w:bCs/>
          <w:sz w:val="32"/>
          <w:szCs w:val="32"/>
        </w:rPr>
      </w:pPr>
    </w:p>
    <w:p>
      <w:pPr>
        <w:adjustRightInd w:val="0"/>
        <w:snapToGrid w:val="0"/>
        <w:spacing w:line="5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一、基本情况</w:t>
      </w: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通江县应急管理局属于一级预算单位。行政机构1个，内设办公室、应急指挥股、风险防控和综合减灾股、政策法规股、火灾防治股、自然灾害救援股、安全生产综合协调股、危险化学品安全监管股、安全生产基础管理股、调查评估与统计股、规划和财务装备股、人事和培训股；下辖执法大队、煤矿瓦斯监控站、应急救援指挥中心、通江县防汛抗旱指挥部办公室、水利电力抗旱服务队、抗旱机动服务队、森林防火指挥部办公室、消防中队、诺水河风景区专职消防队9个部门。负责组织和指导应急预案体系建设，建立完善事故灾难和自然灾害分级应对制度，组织编制综合应急防灾减灾预案和安全生产类、自然灾害类专项预案，综合协调应急预案衔接工作，组织开展预案演练并落实，推动应急避难设施建设。牵头建立统一的应急管理信息系统，负责信息传输渠道的规划和布局，建立监测预警和灾情报告制度，健全自然灾害信息资源获取和共享机制，依法统一发布灾情。组织、指导、协调安全生产类、自然灾害类等突发事件应急救援，承担全县应对较大及以上灾害指挥部工作，综合研判突发事件发展态势并提出应对建议，负责组织较大及以上灾害应急处置工作。统一协调指挥各类应急专业队伍，建立应急协调联动机制，推进指挥平台对接，提请衔接解放军和武警部队参与应急救援工作。按照国家相关政策和规定负责消防、森林火灾扑救、抗洪抢险、地震和地质灾害救援、生产安全事故救援等专业应急救援力量建设，依法依规统筹指导各乡镇、各部门及社会应急救援力量和应急保障能力建设。按照国家相关政策和省委、省政府、市委、市政府、县委、县政府相关规定负责消防工作，组织和指导消防监督、火灾预防、火灾扑救等工作。负责自然灾害综合监测预警工作，指导开展自然灾害综合风险评估工作，指导协调森林火灾、水旱灾害、地震和地质灾害等防治工作。组织、协调灾害救助工作，组织和指导灾情核查、损失评估、救灾捐赠工作，管理、分配中央、省、市下拨及县级救灾款物并监督使用。</w:t>
      </w:r>
    </w:p>
    <w:p>
      <w:pPr>
        <w:adjustRightInd w:val="0"/>
        <w:snapToGrid w:val="0"/>
        <w:spacing w:line="5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二、预算资金使用情况</w:t>
      </w:r>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（一）2020年，县财政预算应急抢险专项资金42.8万元，主要用于突发自然灾害的应急物资采购、运输搬运、仓库租金、临聘司机工资、车辆运行维护费、抢险职工差旅费等，资金使用，支付依据合规合法，</w:t>
      </w:r>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（二）组织实施情况。</w:t>
      </w:r>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通江县应急管理局应急抢险资金依据制定的财务管理制度、设置机构、会计核算及账务处理符合国家相关法律法规。项目资金管理办法，评价项目将严格执行财务管理制度、财务处理及时、会计核算规范。</w:t>
      </w:r>
    </w:p>
    <w:p>
      <w:pPr>
        <w:adjustRightInd w:val="0"/>
        <w:snapToGrid w:val="0"/>
        <w:spacing w:line="560" w:lineRule="exac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三、预计目标完成情况</w:t>
      </w:r>
      <w:r>
        <w:rPr>
          <w:rFonts w:hint="eastAsia" w:ascii="仿宋_GB2312" w:hAnsi="仿宋_GB2312" w:eastAsia="仿宋_GB2312" w:cs="仿宋_GB2312"/>
          <w:b/>
          <w:sz w:val="32"/>
          <w:szCs w:val="32"/>
          <w:lang w:val="zh-CN"/>
        </w:rPr>
        <w:tab/>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（一）目标任务量完成情况。</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主要用于突发自然灾害的应急物资采购、运输搬运、仓库租金、临聘司机工资、车辆运行维护费、抢险职工差旅费等，</w:t>
      </w:r>
      <w:r>
        <w:rPr>
          <w:rFonts w:hint="eastAsia" w:ascii="仿宋_GB2312" w:hAnsi="仿宋_GB2312" w:eastAsia="仿宋_GB2312" w:cs="仿宋_GB2312"/>
          <w:color w:val="000000"/>
          <w:kern w:val="0"/>
          <w:sz w:val="32"/>
          <w:szCs w:val="32"/>
          <w:shd w:val="clear" w:color="auto" w:fill="FFFFFF"/>
          <w:lang w:val="zh-CN"/>
        </w:rPr>
        <w:t>得到社会和受灾群众认可。</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（二）目标质量完成情况。</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通江县应急管理局应急抢险将按照县委、县政府的要求，最大限度减少受灾群众的损失，防止次生灾害的发生</w:t>
      </w:r>
      <w:r>
        <w:rPr>
          <w:rFonts w:hint="eastAsia" w:ascii="仿宋_GB2312" w:hAnsi="仿宋_GB2312" w:eastAsia="仿宋_GB2312" w:cs="仿宋_GB2312"/>
          <w:color w:val="000000"/>
          <w:kern w:val="0"/>
          <w:sz w:val="32"/>
          <w:szCs w:val="32"/>
          <w:shd w:val="clear" w:color="auto" w:fill="FFFFFF"/>
          <w:lang w:val="zh-CN"/>
        </w:rPr>
        <w:t>，</w:t>
      </w:r>
      <w:r>
        <w:rPr>
          <w:rFonts w:hint="eastAsia" w:ascii="仿宋_GB2312" w:hAnsi="仿宋_GB2312" w:eastAsia="仿宋_GB2312" w:cs="仿宋_GB2312"/>
          <w:sz w:val="32"/>
          <w:szCs w:val="32"/>
          <w:lang w:val="zh-CN"/>
        </w:rPr>
        <w:t>得到上级领导和社会的认可。</w:t>
      </w:r>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（三）目标进度完成情况。</w:t>
      </w:r>
    </w:p>
    <w:p>
      <w:pPr>
        <w:adjustRightInd w:val="0"/>
        <w:snapToGrid w:val="0"/>
        <w:spacing w:line="560" w:lineRule="exact"/>
        <w:ind w:firstLine="800" w:firstLineChars="25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根据我局2020</w:t>
      </w:r>
      <w:r>
        <w:rPr>
          <w:rFonts w:hint="eastAsia" w:ascii="仿宋_GB2312" w:hAnsi="仿宋_GB2312" w:eastAsia="仿宋_GB2312" w:cs="仿宋_GB2312"/>
          <w:sz w:val="32"/>
          <w:szCs w:val="32"/>
          <w:highlight w:val="none"/>
          <w:lang w:val="zh-CN"/>
        </w:rPr>
        <w:t>年度年度</w:t>
      </w:r>
      <w:r>
        <w:rPr>
          <w:rFonts w:hint="eastAsia" w:ascii="仿宋_GB2312" w:hAnsi="仿宋_GB2312" w:eastAsia="仿宋_GB2312" w:cs="仿宋_GB2312"/>
          <w:sz w:val="32"/>
          <w:szCs w:val="32"/>
          <w:lang w:val="zh-CN"/>
        </w:rPr>
        <w:t>计划，</w:t>
      </w:r>
      <w:r>
        <w:rPr>
          <w:rFonts w:hint="eastAsia" w:ascii="仿宋_GB2312" w:hAnsi="仿宋_GB2312" w:eastAsia="仿宋_GB2312" w:cs="仿宋_GB2312"/>
          <w:sz w:val="32"/>
          <w:szCs w:val="32"/>
        </w:rPr>
        <w:t>按照县委、县政府的要求，</w:t>
      </w:r>
      <w:r>
        <w:rPr>
          <w:rFonts w:hint="eastAsia" w:ascii="仿宋_GB2312" w:hAnsi="仿宋_GB2312" w:eastAsia="仿宋_GB2312" w:cs="仿宋_GB2312"/>
          <w:sz w:val="32"/>
          <w:szCs w:val="32"/>
          <w:lang w:val="zh-CN"/>
        </w:rPr>
        <w:t>我局一定完成全年目标和任务。</w:t>
      </w:r>
    </w:p>
    <w:p>
      <w:pPr>
        <w:adjustRightInd w:val="0"/>
        <w:snapToGrid w:val="0"/>
        <w:spacing w:line="5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四、预计项目效益情况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 xml:space="preserve">    一是</w:t>
      </w:r>
      <w:r>
        <w:rPr>
          <w:rFonts w:hint="eastAsia" w:ascii="仿宋_GB2312" w:hAnsi="仿宋_GB2312" w:eastAsia="仿宋_GB2312" w:cs="仿宋_GB2312"/>
          <w:sz w:val="32"/>
          <w:szCs w:val="32"/>
        </w:rPr>
        <w:t>通江县应急管理局组织开展自然灾害类突发事件的调查评估工作。二是组织、协调灾害救助工作，组织和指导灾情核查、损失评估、救灾捐赠工作，管理、分配中央、省、市下拨及县级救灾款物并监督使用。三是负责自然灾害综合监测预警工作，指导开展自然灾害综合风险评估工作。四是指导协调森林火灾、水旱灾害、地震和地质灾害等防治工作。</w:t>
      </w:r>
    </w:p>
    <w:p>
      <w:pPr>
        <w:adjustRightInd w:val="0"/>
        <w:snapToGrid w:val="0"/>
        <w:spacing w:line="560" w:lineRule="exac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（一）存在的问题。</w:t>
      </w:r>
    </w:p>
    <w:p>
      <w:pPr>
        <w:adjustRightInd w:val="0"/>
        <w:snapToGrid w:val="0"/>
        <w:spacing w:line="560" w:lineRule="exact"/>
        <w:ind w:firstLine="636" w:firstLineChars="199"/>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一是</w:t>
      </w:r>
      <w:r>
        <w:rPr>
          <w:rFonts w:hint="eastAsia" w:ascii="仿宋_GB2312" w:hAnsi="仿宋_GB2312" w:eastAsia="仿宋_GB2312" w:cs="仿宋_GB2312"/>
          <w:sz w:val="32"/>
          <w:szCs w:val="32"/>
        </w:rPr>
        <w:t>由于资金的限制和本县实际情况，且我县地处大巴山区，自然灾害频发，应急抢险设备配备较差，与上级主管部门要求差距较大，在今后逐渐改进完善</w:t>
      </w:r>
      <w:r>
        <w:rPr>
          <w:rFonts w:hint="eastAsia" w:ascii="仿宋_GB2312" w:hAnsi="仿宋_GB2312" w:eastAsia="仿宋_GB2312" w:cs="仿宋_GB2312"/>
          <w:sz w:val="32"/>
          <w:szCs w:val="32"/>
          <w:lang w:val="zh-CN"/>
        </w:rPr>
        <w:t>。</w:t>
      </w:r>
    </w:p>
    <w:p>
      <w:pPr>
        <w:adjustRightInd w:val="0"/>
        <w:snapToGrid w:val="0"/>
        <w:spacing w:line="560" w:lineRule="exact"/>
        <w:ind w:firstLine="636" w:firstLineChars="199"/>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二是应急救援队伍在筹备建设中，人员还需进行相关培训，虽有一定基础，但与相关要求还有很大差距，后期还需要大量资金投入，改善和完善相关</w:t>
      </w:r>
      <w:r>
        <w:rPr>
          <w:rFonts w:hint="eastAsia" w:ascii="仿宋_GB2312" w:hAnsi="仿宋_GB2312" w:eastAsia="仿宋_GB2312" w:cs="仿宋_GB2312"/>
          <w:sz w:val="32"/>
          <w:szCs w:val="32"/>
          <w:highlight w:val="none"/>
          <w:lang w:val="zh-CN"/>
        </w:rPr>
        <w:t>的设施</w:t>
      </w:r>
      <w:r>
        <w:rPr>
          <w:rFonts w:hint="eastAsia" w:ascii="仿宋_GB2312" w:hAnsi="仿宋_GB2312" w:eastAsia="仿宋_GB2312" w:cs="仿宋_GB2312"/>
          <w:sz w:val="32"/>
          <w:szCs w:val="32"/>
          <w:lang w:val="zh-CN"/>
        </w:rPr>
        <w:t>设备配备。</w:t>
      </w:r>
    </w:p>
    <w:p>
      <w:pPr>
        <w:adjustRightInd w:val="0"/>
        <w:snapToGrid w:val="0"/>
        <w:spacing w:line="560" w:lineRule="exac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（二）相关建议。</w:t>
      </w:r>
    </w:p>
    <w:p>
      <w:pPr>
        <w:tabs>
          <w:tab w:val="left" w:pos="820"/>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上级主管部门加大资金倾斜和相关业务能力培训指导，县委、县政府加大资金的投入，要求全社会都关注应急救援体系建设，并积极参加建设。</w:t>
      </w:r>
    </w:p>
    <w:p>
      <w:pPr>
        <w:pStyle w:val="7"/>
        <w:adjustRightInd w:val="0"/>
        <w:snapToGrid w:val="0"/>
        <w:spacing w:line="440" w:lineRule="exact"/>
        <w:jc w:val="left"/>
        <w:rPr>
          <w:rFonts w:ascii="仿宋_GB2312" w:hAnsi="仿宋_GB2312" w:eastAsia="仿宋_GB2312" w:cs="仿宋_GB2312"/>
          <w:sz w:val="32"/>
          <w:szCs w:val="32"/>
        </w:rPr>
      </w:pPr>
    </w:p>
    <w:tbl>
      <w:tblPr>
        <w:tblStyle w:val="8"/>
        <w:tblW w:w="8522" w:type="dxa"/>
        <w:tblInd w:w="0" w:type="dxa"/>
        <w:tblLayout w:type="fixed"/>
        <w:tblCellMar>
          <w:top w:w="0" w:type="dxa"/>
          <w:left w:w="108" w:type="dxa"/>
          <w:bottom w:w="0" w:type="dxa"/>
          <w:right w:w="108" w:type="dxa"/>
        </w:tblCellMar>
      </w:tblPr>
      <w:tblGrid>
        <w:gridCol w:w="453"/>
        <w:gridCol w:w="626"/>
        <w:gridCol w:w="848"/>
        <w:gridCol w:w="2050"/>
        <w:gridCol w:w="503"/>
        <w:gridCol w:w="491"/>
        <w:gridCol w:w="1069"/>
        <w:gridCol w:w="639"/>
        <w:gridCol w:w="565"/>
        <w:gridCol w:w="749"/>
        <w:gridCol w:w="529"/>
      </w:tblGrid>
      <w:tr>
        <w:tblPrEx>
          <w:tblCellMar>
            <w:top w:w="0" w:type="dxa"/>
            <w:left w:w="108" w:type="dxa"/>
            <w:bottom w:w="0" w:type="dxa"/>
            <w:right w:w="108" w:type="dxa"/>
          </w:tblCellMar>
        </w:tblPrEx>
        <w:trPr>
          <w:trHeight w:val="330" w:hRule="atLeast"/>
        </w:trPr>
        <w:tc>
          <w:tcPr>
            <w:tcW w:w="454" w:type="dxa"/>
            <w:tcBorders>
              <w:top w:val="nil"/>
              <w:left w:val="nil"/>
              <w:bottom w:val="nil"/>
              <w:right w:val="nil"/>
            </w:tcBorders>
            <w:shd w:val="clear" w:color="auto" w:fill="auto"/>
            <w:vAlign w:val="center"/>
          </w:tcPr>
          <w:p>
            <w:pPr>
              <w:rPr>
                <w:rFonts w:ascii="黑体" w:hAnsi="宋体" w:eastAsia="黑体" w:cs="黑体"/>
                <w:color w:val="000000"/>
                <w:sz w:val="24"/>
              </w:rPr>
            </w:pPr>
          </w:p>
        </w:tc>
        <w:tc>
          <w:tcPr>
            <w:tcW w:w="627" w:type="dxa"/>
            <w:tcBorders>
              <w:top w:val="nil"/>
              <w:left w:val="nil"/>
              <w:bottom w:val="nil"/>
              <w:right w:val="nil"/>
            </w:tcBorders>
            <w:shd w:val="clear" w:color="auto" w:fill="auto"/>
            <w:vAlign w:val="center"/>
          </w:tcPr>
          <w:p>
            <w:pPr>
              <w:rPr>
                <w:rFonts w:ascii="黑体" w:hAnsi="宋体" w:eastAsia="黑体" w:cs="黑体"/>
                <w:color w:val="000000"/>
                <w:sz w:val="24"/>
              </w:rPr>
            </w:pPr>
          </w:p>
        </w:tc>
        <w:tc>
          <w:tcPr>
            <w:tcW w:w="847" w:type="dxa"/>
            <w:tcBorders>
              <w:top w:val="nil"/>
              <w:left w:val="nil"/>
              <w:bottom w:val="nil"/>
              <w:right w:val="nil"/>
            </w:tcBorders>
            <w:shd w:val="clear" w:color="auto" w:fill="auto"/>
            <w:vAlign w:val="center"/>
          </w:tcPr>
          <w:p>
            <w:pPr>
              <w:rPr>
                <w:rFonts w:ascii="黑体" w:hAnsi="宋体" w:eastAsia="黑体" w:cs="黑体"/>
                <w:color w:val="000000"/>
                <w:sz w:val="24"/>
              </w:rPr>
            </w:pPr>
          </w:p>
        </w:tc>
        <w:tc>
          <w:tcPr>
            <w:tcW w:w="2051" w:type="dxa"/>
            <w:tcBorders>
              <w:top w:val="nil"/>
              <w:left w:val="nil"/>
              <w:bottom w:val="nil"/>
              <w:right w:val="nil"/>
            </w:tcBorders>
            <w:shd w:val="clear" w:color="auto" w:fill="auto"/>
            <w:vAlign w:val="center"/>
          </w:tcPr>
          <w:p>
            <w:pPr>
              <w:rPr>
                <w:rFonts w:ascii="黑体" w:hAnsi="宋体" w:eastAsia="黑体" w:cs="黑体"/>
                <w:color w:val="000000"/>
                <w:sz w:val="24"/>
              </w:rPr>
            </w:pPr>
          </w:p>
        </w:tc>
        <w:tc>
          <w:tcPr>
            <w:tcW w:w="503" w:type="dxa"/>
            <w:tcBorders>
              <w:top w:val="nil"/>
              <w:left w:val="nil"/>
              <w:bottom w:val="nil"/>
              <w:right w:val="nil"/>
            </w:tcBorders>
            <w:shd w:val="clear" w:color="auto" w:fill="auto"/>
            <w:vAlign w:val="center"/>
          </w:tcPr>
          <w:p>
            <w:pPr>
              <w:rPr>
                <w:rFonts w:ascii="宋体" w:hAnsi="宋体" w:cs="宋体"/>
                <w:color w:val="000000"/>
                <w:sz w:val="24"/>
              </w:rPr>
            </w:pPr>
          </w:p>
        </w:tc>
        <w:tc>
          <w:tcPr>
            <w:tcW w:w="491" w:type="dxa"/>
            <w:tcBorders>
              <w:top w:val="nil"/>
              <w:left w:val="nil"/>
              <w:bottom w:val="nil"/>
              <w:right w:val="nil"/>
            </w:tcBorders>
            <w:shd w:val="clear" w:color="auto" w:fill="auto"/>
            <w:vAlign w:val="center"/>
          </w:tcPr>
          <w:p>
            <w:pPr>
              <w:rPr>
                <w:rFonts w:ascii="宋体" w:hAnsi="宋体" w:cs="宋体"/>
                <w:color w:val="000000"/>
                <w:sz w:val="24"/>
              </w:rPr>
            </w:pPr>
          </w:p>
        </w:tc>
        <w:tc>
          <w:tcPr>
            <w:tcW w:w="1069" w:type="dxa"/>
            <w:tcBorders>
              <w:top w:val="nil"/>
              <w:left w:val="nil"/>
              <w:bottom w:val="nil"/>
              <w:right w:val="nil"/>
            </w:tcBorders>
            <w:shd w:val="clear" w:color="auto" w:fill="auto"/>
            <w:vAlign w:val="center"/>
          </w:tcPr>
          <w:p>
            <w:pPr>
              <w:rPr>
                <w:rFonts w:ascii="宋体" w:hAnsi="宋体" w:cs="宋体"/>
                <w:color w:val="000000"/>
                <w:sz w:val="24"/>
              </w:rPr>
            </w:pPr>
          </w:p>
        </w:tc>
        <w:tc>
          <w:tcPr>
            <w:tcW w:w="638" w:type="dxa"/>
            <w:tcBorders>
              <w:top w:val="nil"/>
              <w:left w:val="nil"/>
              <w:bottom w:val="nil"/>
              <w:right w:val="nil"/>
            </w:tcBorders>
            <w:shd w:val="clear" w:color="auto" w:fill="auto"/>
            <w:vAlign w:val="center"/>
          </w:tcPr>
          <w:p>
            <w:pPr>
              <w:rPr>
                <w:rFonts w:ascii="宋体" w:hAnsi="宋体" w:cs="宋体"/>
                <w:color w:val="000000"/>
                <w:sz w:val="24"/>
              </w:rPr>
            </w:pPr>
          </w:p>
        </w:tc>
        <w:tc>
          <w:tcPr>
            <w:tcW w:w="565" w:type="dxa"/>
            <w:tcBorders>
              <w:top w:val="nil"/>
              <w:left w:val="nil"/>
              <w:bottom w:val="nil"/>
              <w:right w:val="nil"/>
            </w:tcBorders>
            <w:shd w:val="clear" w:color="auto" w:fill="auto"/>
            <w:vAlign w:val="center"/>
          </w:tcPr>
          <w:p>
            <w:pPr>
              <w:rPr>
                <w:rFonts w:ascii="宋体" w:hAnsi="宋体" w:cs="宋体"/>
                <w:color w:val="000000"/>
                <w:sz w:val="24"/>
              </w:rPr>
            </w:pPr>
          </w:p>
        </w:tc>
        <w:tc>
          <w:tcPr>
            <w:tcW w:w="749" w:type="dxa"/>
            <w:tcBorders>
              <w:top w:val="nil"/>
              <w:left w:val="nil"/>
              <w:bottom w:val="nil"/>
              <w:right w:val="nil"/>
            </w:tcBorders>
            <w:shd w:val="clear" w:color="auto" w:fill="auto"/>
            <w:vAlign w:val="center"/>
          </w:tcPr>
          <w:p>
            <w:pPr>
              <w:rPr>
                <w:rFonts w:ascii="宋体" w:hAnsi="宋体" w:cs="宋体"/>
                <w:color w:val="000000"/>
                <w:sz w:val="24"/>
              </w:rPr>
            </w:pPr>
          </w:p>
        </w:tc>
        <w:tc>
          <w:tcPr>
            <w:tcW w:w="528" w:type="dxa"/>
            <w:tcBorders>
              <w:top w:val="nil"/>
              <w:left w:val="nil"/>
              <w:bottom w:val="nil"/>
              <w:right w:val="nil"/>
            </w:tcBorders>
            <w:shd w:val="clear" w:color="auto" w:fill="auto"/>
            <w:vAlign w:val="center"/>
          </w:tcPr>
          <w:p>
            <w:pPr>
              <w:rPr>
                <w:rFonts w:ascii="宋体" w:hAnsi="宋体" w:cs="宋体"/>
                <w:color w:val="000000"/>
                <w:sz w:val="24"/>
              </w:rPr>
            </w:pPr>
          </w:p>
        </w:tc>
      </w:tr>
      <w:tr>
        <w:tblPrEx>
          <w:tblCellMar>
            <w:top w:w="0" w:type="dxa"/>
            <w:left w:w="108" w:type="dxa"/>
            <w:bottom w:w="0" w:type="dxa"/>
            <w:right w:w="108" w:type="dxa"/>
          </w:tblCellMar>
        </w:tblPrEx>
        <w:trPr>
          <w:trHeight w:val="570" w:hRule="atLeast"/>
        </w:trPr>
        <w:tc>
          <w:tcPr>
            <w:tcW w:w="8522" w:type="dxa"/>
            <w:gridSpan w:val="11"/>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32"/>
                <w:szCs w:val="32"/>
              </w:rPr>
            </w:pPr>
            <w:r>
              <w:rPr>
                <w:rStyle w:val="20"/>
                <w:rFonts w:hint="default"/>
              </w:rPr>
              <w:t>绩效目标自评表</w:t>
            </w:r>
          </w:p>
        </w:tc>
      </w:tr>
      <w:tr>
        <w:tblPrEx>
          <w:tblCellMar>
            <w:top w:w="0" w:type="dxa"/>
            <w:left w:w="108" w:type="dxa"/>
            <w:bottom w:w="0" w:type="dxa"/>
            <w:right w:w="108" w:type="dxa"/>
          </w:tblCellMar>
        </w:tblPrEx>
        <w:trPr>
          <w:trHeight w:val="420" w:hRule="atLeast"/>
        </w:trPr>
        <w:tc>
          <w:tcPr>
            <w:tcW w:w="8522" w:type="dxa"/>
            <w:gridSpan w:val="11"/>
            <w:tcBorders>
              <w:top w:val="nil"/>
              <w:left w:val="nil"/>
              <w:bottom w:val="single" w:color="000000" w:sz="4" w:space="0"/>
              <w:right w:val="nil"/>
            </w:tcBorders>
            <w:shd w:val="clear" w:color="auto" w:fill="auto"/>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（2020年度）</w:t>
            </w:r>
          </w:p>
        </w:tc>
      </w:tr>
      <w:tr>
        <w:tblPrEx>
          <w:tblCellMar>
            <w:top w:w="0" w:type="dxa"/>
            <w:left w:w="108" w:type="dxa"/>
            <w:bottom w:w="0" w:type="dxa"/>
            <w:right w:w="108" w:type="dxa"/>
          </w:tblCellMar>
        </w:tblPrEx>
        <w:trPr>
          <w:trHeight w:val="555" w:hRule="atLeast"/>
        </w:trPr>
        <w:tc>
          <w:tcPr>
            <w:tcW w:w="1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抢险应急</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项目负责人及电话</w:t>
            </w:r>
          </w:p>
        </w:tc>
        <w:tc>
          <w:tcPr>
            <w:tcW w:w="2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马红军（13981693368）</w:t>
            </w:r>
          </w:p>
        </w:tc>
      </w:tr>
      <w:tr>
        <w:tblPrEx>
          <w:tblCellMar>
            <w:top w:w="0" w:type="dxa"/>
            <w:left w:w="108" w:type="dxa"/>
            <w:bottom w:w="0" w:type="dxa"/>
            <w:right w:w="108" w:type="dxa"/>
          </w:tblCellMar>
        </w:tblPrEx>
        <w:trPr>
          <w:trHeight w:val="300" w:hRule="atLeast"/>
        </w:trPr>
        <w:tc>
          <w:tcPr>
            <w:tcW w:w="1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通江县应急管理局</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2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通江县应急管理局</w:t>
            </w:r>
          </w:p>
        </w:tc>
      </w:tr>
      <w:tr>
        <w:tblPrEx>
          <w:tblCellMar>
            <w:top w:w="0" w:type="dxa"/>
            <w:left w:w="108" w:type="dxa"/>
            <w:bottom w:w="0" w:type="dxa"/>
            <w:right w:w="108" w:type="dxa"/>
          </w:tblCellMar>
        </w:tblPrEx>
        <w:trPr>
          <w:trHeight w:val="465" w:hRule="atLeast"/>
        </w:trPr>
        <w:tc>
          <w:tcPr>
            <w:tcW w:w="192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资金情况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（万元）</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执行率（B/A</w:t>
            </w:r>
            <w:r>
              <w:rPr>
                <w:rFonts w:hint="eastAsia" w:ascii="宋体" w:hAnsi="宋体" w:cs="宋体"/>
                <w:color w:val="000000"/>
                <w:kern w:val="0"/>
                <w:sz w:val="20"/>
                <w:szCs w:val="20"/>
                <w:highlight w:val="none"/>
                <w:lang w:eastAsia="zh-CN"/>
              </w:rPr>
              <w:t>）</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0" w:type="dxa"/>
            <w:left w:w="108" w:type="dxa"/>
            <w:bottom w:w="0" w:type="dxa"/>
            <w:right w:w="108" w:type="dxa"/>
          </w:tblCellMar>
        </w:tblPrEx>
        <w:trPr>
          <w:trHeight w:val="282" w:hRule="atLeast"/>
        </w:trPr>
        <w:tc>
          <w:tcPr>
            <w:tcW w:w="19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80</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187</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282" w:hRule="atLeast"/>
        </w:trPr>
        <w:tc>
          <w:tcPr>
            <w:tcW w:w="19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Style w:val="21"/>
                <w:rFonts w:hint="default"/>
              </w:rPr>
              <w:t xml:space="preserve"> 其中：本年财政拨款</w:t>
            </w:r>
          </w:p>
        </w:tc>
        <w:tc>
          <w:tcPr>
            <w:tcW w:w="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42.8</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42.8</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trPr>
        <w:tc>
          <w:tcPr>
            <w:tcW w:w="19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Style w:val="21"/>
                <w:rFonts w:hint="default"/>
              </w:rPr>
              <w:t xml:space="preserve">       其他资金</w:t>
            </w:r>
          </w:p>
        </w:tc>
        <w:tc>
          <w:tcPr>
            <w:tcW w:w="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37.2</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45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年初设定目标</w:t>
            </w:r>
          </w:p>
        </w:tc>
        <w:tc>
          <w:tcPr>
            <w:tcW w:w="35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CellMar>
            <w:top w:w="0" w:type="dxa"/>
            <w:left w:w="108" w:type="dxa"/>
            <w:bottom w:w="0" w:type="dxa"/>
            <w:right w:w="108" w:type="dxa"/>
          </w:tblCellMar>
        </w:tblPrEx>
        <w:trPr>
          <w:trHeight w:val="525"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主要用于突发自然灾害的应急物资采购、运输搬运、仓库租金、临聘司机工资、车辆运行维护费、抢险职工差旅费等，得到社会和受灾群众认可。</w:t>
            </w:r>
          </w:p>
        </w:tc>
        <w:tc>
          <w:tcPr>
            <w:tcW w:w="35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按年初目标完成</w:t>
            </w:r>
          </w:p>
        </w:tc>
      </w:tr>
      <w:tr>
        <w:tblPrEx>
          <w:tblCellMar>
            <w:top w:w="0" w:type="dxa"/>
            <w:left w:w="108" w:type="dxa"/>
            <w:bottom w:w="0" w:type="dxa"/>
            <w:right w:w="108" w:type="dxa"/>
          </w:tblCellMar>
        </w:tblPrEx>
        <w:trPr>
          <w:trHeight w:val="559" w:hRule="atLeas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全年实际值</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未完成原因及拟采取的改进措施</w:t>
            </w: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50分</w:t>
            </w:r>
            <w:r>
              <w:rPr>
                <w:rFonts w:hint="eastAsia" w:ascii="宋体" w:hAnsi="宋体" w:cs="宋体"/>
                <w:color w:val="000000"/>
                <w:kern w:val="0"/>
                <w:sz w:val="20"/>
                <w:szCs w:val="20"/>
                <w:highlight w:val="none"/>
                <w:lang w:eastAsia="zh-CN"/>
              </w:rPr>
              <w:t>）</w:t>
            </w: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县域内突发安全生产事故与自然灾害抢险应急</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r>
              <w:rPr>
                <w:rStyle w:val="21"/>
                <w:rFonts w:hint="default"/>
              </w:rPr>
              <w:t>﹪</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r>
              <w:rPr>
                <w:rStyle w:val="21"/>
                <w:rFonts w:hint="default"/>
              </w:rPr>
              <w:t>2﹪</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安全生产事故与自然灾害抢险应急，减少和减低人民群众生命财产损失</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及时应急救援</w:t>
            </w: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安全生产事故与自然灾害抢险应急第一时间到达现场</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安全生产事故与自然灾害抢险应急支出</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政府加大投入</w:t>
            </w: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30分</w:t>
            </w:r>
            <w:r>
              <w:rPr>
                <w:rFonts w:hint="eastAsia" w:ascii="宋体" w:hAnsi="宋体" w:cs="宋体"/>
                <w:color w:val="000000"/>
                <w:kern w:val="0"/>
                <w:sz w:val="20"/>
                <w:szCs w:val="20"/>
                <w:highlight w:val="none"/>
                <w:lang w:eastAsia="zh-CN"/>
              </w:rPr>
              <w:t>）</w:t>
            </w: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安全生产事故与自然灾害抢险应急保障人民群众生命财产安全</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92﹪</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积极应对，积极组织应急抢险</w:t>
            </w: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安全生产事故与自然灾害抢险应急维护保障人民群众利益</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安全生产事故与自然灾害抢险应急维护自然环境生态平衡</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安全生产事故与自然灾害抢险应急</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92﹪</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满意度指标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10分</w:t>
            </w:r>
            <w:r>
              <w:rPr>
                <w:rFonts w:hint="eastAsia" w:ascii="宋体" w:hAnsi="宋体" w:cs="宋体"/>
                <w:color w:val="000000"/>
                <w:kern w:val="0"/>
                <w:sz w:val="20"/>
                <w:szCs w:val="20"/>
                <w:highlight w:val="none"/>
                <w:lang w:eastAsia="zh-CN"/>
              </w:rPr>
              <w:t>）</w:t>
            </w: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满意度指标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安全生产事故与自然灾害抢险应急人民群众满意度</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r>
              <w:rPr>
                <w:rStyle w:val="21"/>
                <w:rFonts w:hint="default"/>
              </w:rPr>
              <w:t>0﹪以上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提高服务质量</w:t>
            </w: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8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总分</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94</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bl>
    <w:p>
      <w:pPr>
        <w:pStyle w:val="2"/>
        <w:spacing w:before="93"/>
        <w:rPr>
          <w:rFonts w:hAnsi="仿宋_GB2312" w:cs="仿宋_GB2312"/>
          <w:b/>
          <w:bCs/>
          <w:sz w:val="32"/>
          <w:szCs w:val="32"/>
        </w:rPr>
      </w:pPr>
    </w:p>
    <w:p>
      <w:pPr>
        <w:pStyle w:val="2"/>
        <w:spacing w:before="93"/>
        <w:rPr>
          <w:rFonts w:hAnsi="仿宋_GB2312" w:cs="仿宋_GB2312"/>
          <w:b/>
          <w:bCs/>
          <w:sz w:val="32"/>
          <w:szCs w:val="32"/>
        </w:rPr>
      </w:pPr>
    </w:p>
    <w:p>
      <w:pPr>
        <w:pStyle w:val="2"/>
        <w:spacing w:before="93"/>
        <w:rPr>
          <w:rFonts w:hAnsi="仿宋_GB2312" w:cs="仿宋_GB2312"/>
          <w:b/>
          <w:bCs/>
          <w:sz w:val="32"/>
          <w:szCs w:val="32"/>
        </w:rPr>
      </w:pPr>
    </w:p>
    <w:p>
      <w:pPr>
        <w:pStyle w:val="2"/>
        <w:spacing w:before="93"/>
        <w:rPr>
          <w:rFonts w:hAnsi="仿宋_GB2312" w:cs="仿宋_GB2312"/>
          <w:b/>
          <w:bCs/>
          <w:sz w:val="32"/>
          <w:szCs w:val="32"/>
        </w:rPr>
      </w:pPr>
    </w:p>
    <w:p>
      <w:pPr>
        <w:pStyle w:val="2"/>
        <w:spacing w:before="93"/>
        <w:rPr>
          <w:rFonts w:hAnsi="仿宋_GB2312" w:cs="仿宋_GB2312"/>
          <w:b/>
          <w:bCs/>
          <w:sz w:val="32"/>
          <w:szCs w:val="32"/>
        </w:rPr>
      </w:pPr>
      <w:r>
        <w:rPr>
          <w:rFonts w:hint="eastAsia" w:hAnsi="仿宋_GB2312" w:cs="仿宋_GB2312"/>
          <w:b/>
          <w:bCs/>
          <w:sz w:val="32"/>
          <w:szCs w:val="32"/>
        </w:rPr>
        <w:t>附件3</w:t>
      </w:r>
    </w:p>
    <w:p>
      <w:pPr>
        <w:pStyle w:val="16"/>
        <w:spacing w:line="56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通江县应急管理局</w:t>
      </w:r>
    </w:p>
    <w:p>
      <w:pPr>
        <w:pStyle w:val="16"/>
        <w:spacing w:line="56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中央自然灾害防治体系建设补助资金绩效自评报告</w:t>
      </w:r>
    </w:p>
    <w:p>
      <w:pPr>
        <w:pStyle w:val="16"/>
        <w:spacing w:line="560" w:lineRule="exact"/>
        <w:jc w:val="center"/>
        <w:rPr>
          <w:rFonts w:ascii="仿宋_GB2312" w:hAnsi="仿宋_GB2312" w:eastAsia="仿宋_GB2312" w:cs="仿宋_GB2312"/>
          <w:bCs/>
          <w:sz w:val="32"/>
          <w:szCs w:val="32"/>
        </w:rPr>
      </w:pP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一、基本情况</w:t>
      </w:r>
    </w:p>
    <w:p>
      <w:pPr>
        <w:widowControl/>
        <w:spacing w:line="500" w:lineRule="exact"/>
        <w:ind w:firstLine="640" w:firstLineChars="200"/>
        <w:jc w:val="left"/>
        <w:rPr>
          <w:rStyle w:val="11"/>
          <w:rFonts w:ascii="仿宋_GB2312" w:hAnsi="仿宋_GB2312" w:eastAsia="仿宋_GB2312" w:cs="仿宋_GB2312"/>
          <w:b w:val="0"/>
          <w:kern w:val="0"/>
          <w:sz w:val="32"/>
          <w:szCs w:val="32"/>
        </w:rPr>
      </w:pPr>
      <w:r>
        <w:rPr>
          <w:rFonts w:hint="eastAsia" w:ascii="仿宋_GB2312" w:hAnsi="仿宋_GB2312" w:eastAsia="仿宋_GB2312" w:cs="仿宋_GB2312"/>
          <w:sz w:val="32"/>
          <w:szCs w:val="32"/>
        </w:rPr>
        <w:t>通江县应急管理局</w:t>
      </w:r>
      <w:r>
        <w:rPr>
          <w:rFonts w:hint="eastAsia" w:ascii="仿宋_GB2312" w:hAnsi="仿宋_GB2312" w:eastAsia="仿宋_GB2312" w:cs="仿宋_GB2312"/>
          <w:color w:val="000000"/>
          <w:kern w:val="0"/>
          <w:sz w:val="32"/>
          <w:szCs w:val="32"/>
        </w:rPr>
        <w:t>属于一级预算单位。</w:t>
      </w:r>
      <w:r>
        <w:rPr>
          <w:rStyle w:val="11"/>
          <w:rFonts w:hint="eastAsia" w:ascii="仿宋_GB2312" w:hAnsi="仿宋_GB2312" w:eastAsia="仿宋_GB2312" w:cs="仿宋_GB2312"/>
          <w:b w:val="0"/>
          <w:kern w:val="0"/>
          <w:sz w:val="32"/>
          <w:szCs w:val="32"/>
        </w:rPr>
        <w:t>行政机构1个，内设办公室、</w:t>
      </w:r>
      <w:r>
        <w:rPr>
          <w:rFonts w:hint="eastAsia" w:ascii="仿宋_GB2312" w:hAnsi="仿宋_GB2312" w:eastAsia="仿宋_GB2312" w:cs="仿宋_GB2312"/>
          <w:kern w:val="0"/>
          <w:sz w:val="32"/>
          <w:szCs w:val="32"/>
        </w:rPr>
        <w:t>应急指挥股、风险防控和综合减灾股、政策法规股、火灾防治股、自</w:t>
      </w:r>
      <w:r>
        <w:rPr>
          <w:rStyle w:val="11"/>
          <w:rFonts w:hint="eastAsia" w:ascii="仿宋_GB2312" w:hAnsi="仿宋_GB2312" w:eastAsia="仿宋_GB2312" w:cs="仿宋_GB2312"/>
          <w:b w:val="0"/>
          <w:kern w:val="0"/>
          <w:sz w:val="32"/>
          <w:szCs w:val="32"/>
        </w:rPr>
        <w:t>然</w:t>
      </w:r>
      <w:r>
        <w:rPr>
          <w:rFonts w:hint="eastAsia" w:ascii="仿宋_GB2312" w:hAnsi="仿宋_GB2312" w:eastAsia="仿宋_GB2312" w:cs="仿宋_GB2312"/>
          <w:kern w:val="0"/>
          <w:sz w:val="32"/>
          <w:szCs w:val="32"/>
        </w:rPr>
        <w:t>灾害救援股、安全生产综合协调股、危险化学品安全监管股、安全生产基础管理股、调查评估与统计股、规划和财务装备股、人事和培训股；下辖执法大队、煤矿瓦斯监控站、应急救援指挥中心、通江县防汛抗旱指挥部办公室、水利电力抗旱服务队、抗旱机动服务队、森林防火指挥部办公室、消防中队、诺水河风景区专职消防队9个部门</w:t>
      </w:r>
      <w:r>
        <w:rPr>
          <w:rStyle w:val="11"/>
          <w:rFonts w:hint="eastAsia" w:ascii="仿宋_GB2312" w:hAnsi="仿宋_GB2312" w:eastAsia="仿宋_GB2312" w:cs="仿宋_GB2312"/>
          <w:b w:val="0"/>
          <w:kern w:val="0"/>
          <w:sz w:val="32"/>
          <w:szCs w:val="32"/>
        </w:rPr>
        <w:t>。</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二、资金使用情况</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2020年，根据《财政部关于下达2020年自然灾害防治体系建设补助资金预算的通知》（财建〔2020〕393号）、《四川省财政厅关于下达2020年自然灾害防治体系建设补助资金预算的通知》（川财建〔2020〕335号）等文件要求，共下达自然灾害防治体系建设补助资金470万元。其中应急抢险救援装备配备（天通一号卫星</w:t>
      </w:r>
      <w:r>
        <w:rPr>
          <w:rFonts w:hint="eastAsia" w:ascii="仿宋_GB2312" w:hAnsi="仿宋_GB2312" w:eastAsia="仿宋_GB2312" w:cs="仿宋_GB2312"/>
          <w:sz w:val="32"/>
          <w:szCs w:val="32"/>
          <w:highlight w:val="none"/>
          <w:lang w:val="zh-CN"/>
        </w:rPr>
        <w:t>通信设备</w:t>
      </w:r>
      <w:r>
        <w:rPr>
          <w:rFonts w:hint="eastAsia" w:ascii="仿宋_GB2312" w:hAnsi="仿宋_GB2312" w:eastAsia="仿宋_GB2312" w:cs="仿宋_GB2312"/>
          <w:sz w:val="32"/>
          <w:szCs w:val="32"/>
          <w:lang w:val="zh-CN"/>
        </w:rPr>
        <w:t>）80万元、基层备灾能力建设备灾点防汛物资40万元、基层备灾能力建设备灾点救灾物资350万元。我局将严格执行财务管理制度、及时采购、发放</w:t>
      </w:r>
      <w:r>
        <w:rPr>
          <w:rFonts w:hint="eastAsia" w:ascii="仿宋_GB2312" w:hAnsi="仿宋_GB2312" w:eastAsia="仿宋_GB2312" w:cs="仿宋_GB2312"/>
          <w:sz w:val="32"/>
          <w:szCs w:val="32"/>
        </w:rPr>
        <w:t>到位</w:t>
      </w:r>
      <w:r>
        <w:rPr>
          <w:rFonts w:hint="eastAsia" w:ascii="仿宋_GB2312" w:hAnsi="仿宋_GB2312" w:eastAsia="仿宋_GB2312" w:cs="仿宋_GB2312"/>
          <w:sz w:val="32"/>
          <w:szCs w:val="32"/>
          <w:lang w:val="zh-CN"/>
        </w:rPr>
        <w:t>，财务处理及时、会计核算规范。</w:t>
      </w:r>
    </w:p>
    <w:p>
      <w:pPr>
        <w:adjustRightInd w:val="0"/>
        <w:snapToGrid w:val="0"/>
        <w:spacing w:line="560" w:lineRule="exac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三、目标预算完成情况</w:t>
      </w:r>
      <w:r>
        <w:rPr>
          <w:rFonts w:hint="eastAsia" w:ascii="仿宋_GB2312" w:hAnsi="仿宋_GB2312" w:eastAsia="仿宋_GB2312" w:cs="仿宋_GB2312"/>
          <w:sz w:val="32"/>
          <w:szCs w:val="32"/>
          <w:lang w:val="zh-CN"/>
        </w:rPr>
        <w:tab/>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（一）目标任务量完成情况。合法合规按采购程序及时采购应急抢险救援装备配备、基层备灾能力建设物资，到2021年8月底前采购验收发放到位</w:t>
      </w:r>
      <w:r>
        <w:rPr>
          <w:rFonts w:hint="eastAsia" w:ascii="仿宋_GB2312" w:hAnsi="仿宋_GB2312" w:eastAsia="仿宋_GB2312" w:cs="仿宋_GB2312"/>
          <w:sz w:val="32"/>
          <w:szCs w:val="32"/>
        </w:rPr>
        <w:t>。</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（二）目标质量完成情况。全面完成县委、</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zh-CN"/>
        </w:rPr>
        <w:t>政府安排年度工作任务，及时开展隐患排查与治理。</w:t>
      </w:r>
    </w:p>
    <w:p>
      <w:pPr>
        <w:adjustRightInd w:val="0"/>
        <w:snapToGrid w:val="0"/>
        <w:spacing w:line="560" w:lineRule="exac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四、项目效益情况</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承担自然灾害防治体系建设物资采购主体责任，在中央安排的补助资金基础上，统筹用好各类自然灾害资金，做好自然灾害防治体系建设工作</w:t>
      </w:r>
      <w:r>
        <w:rPr>
          <w:rFonts w:hint="eastAsia" w:ascii="仿宋_GB2312" w:hAnsi="仿宋_GB2312" w:eastAsia="仿宋_GB2312" w:cs="仿宋_GB2312"/>
          <w:sz w:val="32"/>
          <w:szCs w:val="32"/>
        </w:rPr>
        <w:t>，争取受到广大人民群众的好评</w:t>
      </w:r>
      <w:r>
        <w:rPr>
          <w:rFonts w:hint="eastAsia" w:ascii="仿宋_GB2312" w:hAnsi="仿宋_GB2312" w:eastAsia="仿宋_GB2312" w:cs="仿宋_GB2312"/>
          <w:color w:val="000000"/>
          <w:kern w:val="0"/>
          <w:sz w:val="32"/>
          <w:szCs w:val="32"/>
          <w:shd w:val="clear" w:color="auto" w:fill="FFFFFF"/>
          <w:lang w:val="zh-CN"/>
        </w:rPr>
        <w:t>。</w:t>
      </w:r>
    </w:p>
    <w:tbl>
      <w:tblPr>
        <w:tblStyle w:val="8"/>
        <w:tblW w:w="8522" w:type="dxa"/>
        <w:tblInd w:w="0" w:type="dxa"/>
        <w:tblLayout w:type="fixed"/>
        <w:tblCellMar>
          <w:top w:w="0" w:type="dxa"/>
          <w:left w:w="108" w:type="dxa"/>
          <w:bottom w:w="0" w:type="dxa"/>
          <w:right w:w="108" w:type="dxa"/>
        </w:tblCellMar>
      </w:tblPr>
      <w:tblGrid>
        <w:gridCol w:w="453"/>
        <w:gridCol w:w="626"/>
        <w:gridCol w:w="848"/>
        <w:gridCol w:w="2050"/>
        <w:gridCol w:w="503"/>
        <w:gridCol w:w="491"/>
        <w:gridCol w:w="1069"/>
        <w:gridCol w:w="639"/>
        <w:gridCol w:w="565"/>
        <w:gridCol w:w="749"/>
        <w:gridCol w:w="529"/>
      </w:tblGrid>
      <w:tr>
        <w:tblPrEx>
          <w:tblCellMar>
            <w:top w:w="0" w:type="dxa"/>
            <w:left w:w="108" w:type="dxa"/>
            <w:bottom w:w="0" w:type="dxa"/>
            <w:right w:w="108" w:type="dxa"/>
          </w:tblCellMar>
        </w:tblPrEx>
        <w:trPr>
          <w:trHeight w:val="330" w:hRule="atLeast"/>
        </w:trPr>
        <w:tc>
          <w:tcPr>
            <w:tcW w:w="454" w:type="dxa"/>
            <w:tcBorders>
              <w:top w:val="nil"/>
              <w:left w:val="nil"/>
              <w:bottom w:val="nil"/>
              <w:right w:val="nil"/>
            </w:tcBorders>
            <w:shd w:val="clear" w:color="auto" w:fill="auto"/>
            <w:vAlign w:val="center"/>
          </w:tcPr>
          <w:p>
            <w:pPr>
              <w:rPr>
                <w:rFonts w:ascii="黑体" w:hAnsi="宋体" w:eastAsia="黑体" w:cs="黑体"/>
                <w:color w:val="000000"/>
                <w:sz w:val="24"/>
              </w:rPr>
            </w:pPr>
          </w:p>
        </w:tc>
        <w:tc>
          <w:tcPr>
            <w:tcW w:w="627" w:type="dxa"/>
            <w:tcBorders>
              <w:top w:val="nil"/>
              <w:left w:val="nil"/>
              <w:bottom w:val="nil"/>
              <w:right w:val="nil"/>
            </w:tcBorders>
            <w:shd w:val="clear" w:color="auto" w:fill="auto"/>
            <w:vAlign w:val="center"/>
          </w:tcPr>
          <w:p>
            <w:pPr>
              <w:rPr>
                <w:rFonts w:ascii="黑体" w:hAnsi="宋体" w:eastAsia="黑体" w:cs="黑体"/>
                <w:color w:val="000000"/>
                <w:sz w:val="24"/>
              </w:rPr>
            </w:pPr>
          </w:p>
        </w:tc>
        <w:tc>
          <w:tcPr>
            <w:tcW w:w="847" w:type="dxa"/>
            <w:tcBorders>
              <w:top w:val="nil"/>
              <w:left w:val="nil"/>
              <w:bottom w:val="nil"/>
              <w:right w:val="nil"/>
            </w:tcBorders>
            <w:shd w:val="clear" w:color="auto" w:fill="auto"/>
            <w:vAlign w:val="center"/>
          </w:tcPr>
          <w:p>
            <w:pPr>
              <w:rPr>
                <w:rFonts w:ascii="黑体" w:hAnsi="宋体" w:eastAsia="黑体" w:cs="黑体"/>
                <w:color w:val="000000"/>
                <w:sz w:val="24"/>
              </w:rPr>
            </w:pPr>
          </w:p>
        </w:tc>
        <w:tc>
          <w:tcPr>
            <w:tcW w:w="2051" w:type="dxa"/>
            <w:tcBorders>
              <w:top w:val="nil"/>
              <w:left w:val="nil"/>
              <w:bottom w:val="nil"/>
              <w:right w:val="nil"/>
            </w:tcBorders>
            <w:shd w:val="clear" w:color="auto" w:fill="auto"/>
            <w:vAlign w:val="center"/>
          </w:tcPr>
          <w:p>
            <w:pPr>
              <w:rPr>
                <w:rFonts w:ascii="黑体" w:hAnsi="宋体" w:eastAsia="黑体" w:cs="黑体"/>
                <w:color w:val="000000"/>
                <w:sz w:val="24"/>
              </w:rPr>
            </w:pPr>
          </w:p>
        </w:tc>
        <w:tc>
          <w:tcPr>
            <w:tcW w:w="503" w:type="dxa"/>
            <w:tcBorders>
              <w:top w:val="nil"/>
              <w:left w:val="nil"/>
              <w:bottom w:val="nil"/>
              <w:right w:val="nil"/>
            </w:tcBorders>
            <w:shd w:val="clear" w:color="auto" w:fill="auto"/>
            <w:vAlign w:val="center"/>
          </w:tcPr>
          <w:p>
            <w:pPr>
              <w:rPr>
                <w:rFonts w:ascii="宋体" w:hAnsi="宋体" w:cs="宋体"/>
                <w:color w:val="000000"/>
                <w:sz w:val="24"/>
              </w:rPr>
            </w:pPr>
          </w:p>
        </w:tc>
        <w:tc>
          <w:tcPr>
            <w:tcW w:w="491" w:type="dxa"/>
            <w:tcBorders>
              <w:top w:val="nil"/>
              <w:left w:val="nil"/>
              <w:bottom w:val="nil"/>
              <w:right w:val="nil"/>
            </w:tcBorders>
            <w:shd w:val="clear" w:color="auto" w:fill="auto"/>
            <w:vAlign w:val="center"/>
          </w:tcPr>
          <w:p>
            <w:pPr>
              <w:rPr>
                <w:rFonts w:ascii="宋体" w:hAnsi="宋体" w:cs="宋体"/>
                <w:color w:val="000000"/>
                <w:sz w:val="24"/>
              </w:rPr>
            </w:pPr>
          </w:p>
        </w:tc>
        <w:tc>
          <w:tcPr>
            <w:tcW w:w="1069" w:type="dxa"/>
            <w:tcBorders>
              <w:top w:val="nil"/>
              <w:left w:val="nil"/>
              <w:bottom w:val="nil"/>
              <w:right w:val="nil"/>
            </w:tcBorders>
            <w:shd w:val="clear" w:color="auto" w:fill="auto"/>
            <w:vAlign w:val="center"/>
          </w:tcPr>
          <w:p>
            <w:pPr>
              <w:rPr>
                <w:rFonts w:ascii="宋体" w:hAnsi="宋体" w:cs="宋体"/>
                <w:color w:val="000000"/>
                <w:sz w:val="24"/>
              </w:rPr>
            </w:pPr>
          </w:p>
        </w:tc>
        <w:tc>
          <w:tcPr>
            <w:tcW w:w="638" w:type="dxa"/>
            <w:tcBorders>
              <w:top w:val="nil"/>
              <w:left w:val="nil"/>
              <w:bottom w:val="nil"/>
              <w:right w:val="nil"/>
            </w:tcBorders>
            <w:shd w:val="clear" w:color="auto" w:fill="auto"/>
            <w:vAlign w:val="center"/>
          </w:tcPr>
          <w:p>
            <w:pPr>
              <w:rPr>
                <w:rFonts w:ascii="宋体" w:hAnsi="宋体" w:cs="宋体"/>
                <w:color w:val="000000"/>
                <w:sz w:val="24"/>
              </w:rPr>
            </w:pPr>
          </w:p>
        </w:tc>
        <w:tc>
          <w:tcPr>
            <w:tcW w:w="565" w:type="dxa"/>
            <w:tcBorders>
              <w:top w:val="nil"/>
              <w:left w:val="nil"/>
              <w:bottom w:val="nil"/>
              <w:right w:val="nil"/>
            </w:tcBorders>
            <w:shd w:val="clear" w:color="auto" w:fill="auto"/>
            <w:vAlign w:val="center"/>
          </w:tcPr>
          <w:p>
            <w:pPr>
              <w:rPr>
                <w:rFonts w:ascii="宋体" w:hAnsi="宋体" w:cs="宋体"/>
                <w:color w:val="000000"/>
                <w:sz w:val="24"/>
              </w:rPr>
            </w:pPr>
          </w:p>
        </w:tc>
        <w:tc>
          <w:tcPr>
            <w:tcW w:w="749" w:type="dxa"/>
            <w:tcBorders>
              <w:top w:val="nil"/>
              <w:left w:val="nil"/>
              <w:bottom w:val="nil"/>
              <w:right w:val="nil"/>
            </w:tcBorders>
            <w:shd w:val="clear" w:color="auto" w:fill="auto"/>
            <w:vAlign w:val="center"/>
          </w:tcPr>
          <w:p>
            <w:pPr>
              <w:rPr>
                <w:rFonts w:ascii="宋体" w:hAnsi="宋体" w:cs="宋体"/>
                <w:color w:val="000000"/>
                <w:sz w:val="24"/>
              </w:rPr>
            </w:pPr>
          </w:p>
        </w:tc>
        <w:tc>
          <w:tcPr>
            <w:tcW w:w="528" w:type="dxa"/>
            <w:tcBorders>
              <w:top w:val="nil"/>
              <w:left w:val="nil"/>
              <w:bottom w:val="nil"/>
              <w:right w:val="nil"/>
            </w:tcBorders>
            <w:shd w:val="clear" w:color="auto" w:fill="auto"/>
            <w:vAlign w:val="center"/>
          </w:tcPr>
          <w:p>
            <w:pPr>
              <w:rPr>
                <w:rFonts w:ascii="宋体" w:hAnsi="宋体" w:cs="宋体"/>
                <w:color w:val="000000"/>
                <w:sz w:val="24"/>
              </w:rPr>
            </w:pPr>
          </w:p>
        </w:tc>
      </w:tr>
      <w:tr>
        <w:tblPrEx>
          <w:tblCellMar>
            <w:top w:w="0" w:type="dxa"/>
            <w:left w:w="108" w:type="dxa"/>
            <w:bottom w:w="0" w:type="dxa"/>
            <w:right w:w="108" w:type="dxa"/>
          </w:tblCellMar>
        </w:tblPrEx>
        <w:trPr>
          <w:trHeight w:val="570" w:hRule="atLeast"/>
        </w:trPr>
        <w:tc>
          <w:tcPr>
            <w:tcW w:w="8522" w:type="dxa"/>
            <w:gridSpan w:val="11"/>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32"/>
                <w:szCs w:val="32"/>
              </w:rPr>
            </w:pPr>
            <w:r>
              <w:rPr>
                <w:rFonts w:hint="eastAsia" w:ascii="宋体" w:hAnsi="宋体" w:cs="宋体"/>
                <w:b/>
                <w:bCs/>
                <w:color w:val="000000"/>
                <w:kern w:val="0"/>
                <w:sz w:val="32"/>
                <w:szCs w:val="32"/>
              </w:rPr>
              <w:t>绩效目标自评表</w:t>
            </w:r>
          </w:p>
        </w:tc>
      </w:tr>
      <w:tr>
        <w:tblPrEx>
          <w:tblCellMar>
            <w:top w:w="0" w:type="dxa"/>
            <w:left w:w="108" w:type="dxa"/>
            <w:bottom w:w="0" w:type="dxa"/>
            <w:right w:w="108" w:type="dxa"/>
          </w:tblCellMar>
        </w:tblPrEx>
        <w:trPr>
          <w:trHeight w:val="420" w:hRule="atLeast"/>
        </w:trPr>
        <w:tc>
          <w:tcPr>
            <w:tcW w:w="8522" w:type="dxa"/>
            <w:gridSpan w:val="11"/>
            <w:tcBorders>
              <w:top w:val="nil"/>
              <w:left w:val="nil"/>
              <w:bottom w:val="single" w:color="000000" w:sz="4" w:space="0"/>
              <w:right w:val="nil"/>
            </w:tcBorders>
            <w:shd w:val="clear" w:color="auto" w:fill="auto"/>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（2020年度）</w:t>
            </w:r>
          </w:p>
        </w:tc>
      </w:tr>
      <w:tr>
        <w:tblPrEx>
          <w:tblCellMar>
            <w:top w:w="0" w:type="dxa"/>
            <w:left w:w="108" w:type="dxa"/>
            <w:bottom w:w="0" w:type="dxa"/>
            <w:right w:w="108" w:type="dxa"/>
          </w:tblCellMar>
        </w:tblPrEx>
        <w:trPr>
          <w:trHeight w:val="555" w:hRule="atLeast"/>
        </w:trPr>
        <w:tc>
          <w:tcPr>
            <w:tcW w:w="1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自然灾害防治体系建设补助资金</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项目负责人及电话</w:t>
            </w:r>
          </w:p>
        </w:tc>
        <w:tc>
          <w:tcPr>
            <w:tcW w:w="2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邵志鸿  13908296603</w:t>
            </w:r>
          </w:p>
        </w:tc>
      </w:tr>
      <w:tr>
        <w:tblPrEx>
          <w:tblCellMar>
            <w:top w:w="0" w:type="dxa"/>
            <w:left w:w="108" w:type="dxa"/>
            <w:bottom w:w="0" w:type="dxa"/>
            <w:right w:w="108" w:type="dxa"/>
          </w:tblCellMar>
        </w:tblPrEx>
        <w:trPr>
          <w:trHeight w:val="300" w:hRule="atLeast"/>
        </w:trPr>
        <w:tc>
          <w:tcPr>
            <w:tcW w:w="1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通江县应急管理局</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2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通江县应急管理局</w:t>
            </w:r>
          </w:p>
        </w:tc>
      </w:tr>
      <w:tr>
        <w:tblPrEx>
          <w:tblCellMar>
            <w:top w:w="0" w:type="dxa"/>
            <w:left w:w="108" w:type="dxa"/>
            <w:bottom w:w="0" w:type="dxa"/>
            <w:right w:w="108" w:type="dxa"/>
          </w:tblCellMar>
        </w:tblPrEx>
        <w:trPr>
          <w:trHeight w:val="465" w:hRule="atLeast"/>
        </w:trPr>
        <w:tc>
          <w:tcPr>
            <w:tcW w:w="192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资金情况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（万元）</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执行率（B/A</w:t>
            </w:r>
            <w:r>
              <w:rPr>
                <w:rFonts w:hint="eastAsia" w:ascii="宋体" w:hAnsi="宋体" w:cs="宋体"/>
                <w:color w:val="000000"/>
                <w:kern w:val="0"/>
                <w:sz w:val="20"/>
                <w:szCs w:val="20"/>
                <w:highlight w:val="none"/>
                <w:lang w:eastAsia="zh-CN"/>
              </w:rPr>
              <w:t>）</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0" w:type="dxa"/>
            <w:left w:w="108" w:type="dxa"/>
            <w:bottom w:w="0" w:type="dxa"/>
            <w:right w:w="108" w:type="dxa"/>
          </w:tblCellMar>
        </w:tblPrEx>
        <w:trPr>
          <w:trHeight w:val="282" w:hRule="atLeast"/>
        </w:trPr>
        <w:tc>
          <w:tcPr>
            <w:tcW w:w="19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470</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100</w:t>
            </w:r>
            <w:r>
              <w:rPr>
                <w:rStyle w:val="22"/>
                <w:rFonts w:hint="default"/>
              </w:rPr>
              <w:t>﹪</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282" w:hRule="atLeast"/>
        </w:trPr>
        <w:tc>
          <w:tcPr>
            <w:tcW w:w="19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Style w:val="22"/>
                <w:rFonts w:hint="default"/>
              </w:rPr>
              <w:t xml:space="preserve"> 其中：本年财政拨款</w:t>
            </w:r>
          </w:p>
        </w:tc>
        <w:tc>
          <w:tcPr>
            <w:tcW w:w="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470</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470</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trPr>
        <w:tc>
          <w:tcPr>
            <w:tcW w:w="19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Style w:val="22"/>
                <w:rFonts w:hint="default"/>
              </w:rPr>
              <w:t xml:space="preserve">       其他资金</w:t>
            </w:r>
          </w:p>
        </w:tc>
        <w:tc>
          <w:tcPr>
            <w:tcW w:w="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45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年初设定目标</w:t>
            </w:r>
          </w:p>
        </w:tc>
        <w:tc>
          <w:tcPr>
            <w:tcW w:w="35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CellMar>
            <w:top w:w="0" w:type="dxa"/>
            <w:left w:w="108" w:type="dxa"/>
            <w:bottom w:w="0" w:type="dxa"/>
            <w:right w:w="108" w:type="dxa"/>
          </w:tblCellMar>
        </w:tblPrEx>
        <w:trPr>
          <w:trHeight w:val="525"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提高水域救援，城市排涝和快速救援能力等装备配备；为多灾易灾及交通偏远乡镇配备必要的应急救灾物资，提升基层应急救援保障能力。</w:t>
            </w:r>
          </w:p>
        </w:tc>
        <w:tc>
          <w:tcPr>
            <w:tcW w:w="35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按年初目标完成</w:t>
            </w:r>
          </w:p>
        </w:tc>
      </w:tr>
      <w:tr>
        <w:tblPrEx>
          <w:tblCellMar>
            <w:top w:w="0" w:type="dxa"/>
            <w:left w:w="108" w:type="dxa"/>
            <w:bottom w:w="0" w:type="dxa"/>
            <w:right w:w="108" w:type="dxa"/>
          </w:tblCellMar>
        </w:tblPrEx>
        <w:trPr>
          <w:trHeight w:val="559" w:hRule="atLeas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全年实际值</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未完成原因及拟采取的改进措施</w:t>
            </w: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50分</w:t>
            </w:r>
            <w:r>
              <w:rPr>
                <w:rFonts w:hint="eastAsia" w:ascii="宋体" w:hAnsi="宋体" w:cs="宋体"/>
                <w:color w:val="000000"/>
                <w:kern w:val="0"/>
                <w:sz w:val="20"/>
                <w:szCs w:val="20"/>
                <w:highlight w:val="none"/>
                <w:lang w:eastAsia="zh-CN"/>
              </w:rPr>
              <w:t>）</w:t>
            </w: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2"/>
                <w:szCs w:val="12"/>
                <w:lang w:eastAsia="zh-CN"/>
              </w:rPr>
            </w:pPr>
            <w:r>
              <w:rPr>
                <w:rFonts w:hint="eastAsia" w:ascii="宋体" w:hAnsi="宋体" w:cs="宋体"/>
                <w:color w:val="000000"/>
                <w:kern w:val="0"/>
                <w:sz w:val="12"/>
                <w:szCs w:val="12"/>
              </w:rPr>
              <w:t>天通一号卫星</w:t>
            </w:r>
            <w:r>
              <w:rPr>
                <w:rFonts w:hint="eastAsia" w:ascii="宋体" w:hAnsi="宋体" w:cs="宋体"/>
                <w:color w:val="000000"/>
                <w:kern w:val="0"/>
                <w:sz w:val="12"/>
                <w:szCs w:val="12"/>
                <w:highlight w:val="none"/>
                <w:lang w:eastAsia="zh-CN"/>
              </w:rPr>
              <w:t>通信设备</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40部</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40部</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备灾点防汛物资</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40万元</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95﹪以上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备灾点救灾物资</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350万元</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90以上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设备及物资合格率</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项目启动时间</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2021/1/31</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项目完成时间</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2021/5/31</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r>
              <w:rPr>
                <w:rStyle w:val="22"/>
                <w:rFonts w:hint="default"/>
              </w:rPr>
              <w:t>0﹪以上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招标时间延迟</w:t>
            </w: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2"/>
                <w:szCs w:val="12"/>
                <w:lang w:eastAsia="zh-CN"/>
              </w:rPr>
            </w:pPr>
            <w:r>
              <w:rPr>
                <w:rFonts w:hint="eastAsia" w:ascii="宋体" w:hAnsi="宋体" w:cs="宋体"/>
                <w:color w:val="000000"/>
                <w:kern w:val="0"/>
                <w:sz w:val="12"/>
                <w:szCs w:val="12"/>
              </w:rPr>
              <w:t>天通一号卫星</w:t>
            </w:r>
            <w:r>
              <w:rPr>
                <w:rFonts w:hint="eastAsia" w:ascii="宋体" w:hAnsi="宋体" w:cs="宋体"/>
                <w:color w:val="000000"/>
                <w:kern w:val="0"/>
                <w:sz w:val="12"/>
                <w:szCs w:val="12"/>
                <w:highlight w:val="none"/>
                <w:lang w:eastAsia="zh-CN"/>
              </w:rPr>
              <w:t>通信设备</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r>
              <w:rPr>
                <w:rStyle w:val="22"/>
                <w:rFonts w:hint="default"/>
              </w:rPr>
              <w:t>0万元</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加强管控</w:t>
            </w: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备灾点防汛物资</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40万元</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加强管控</w:t>
            </w: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备灾点救灾物资</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350万元</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30分</w:t>
            </w:r>
            <w:r>
              <w:rPr>
                <w:rFonts w:hint="eastAsia" w:ascii="宋体" w:hAnsi="宋体" w:cs="宋体"/>
                <w:color w:val="000000"/>
                <w:kern w:val="0"/>
                <w:sz w:val="20"/>
                <w:szCs w:val="20"/>
                <w:highlight w:val="none"/>
                <w:lang w:eastAsia="zh-CN"/>
              </w:rPr>
              <w:t>）</w:t>
            </w: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提高基层应急救援能力</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r>
              <w:rPr>
                <w:rStyle w:val="22"/>
                <w:rFonts w:hint="default"/>
              </w:rPr>
              <w:t>﹪以上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设施设备不完善，加大投入</w:t>
            </w: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项目持续受益时间</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≥5年</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满意度指标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10分</w:t>
            </w:r>
            <w:r>
              <w:rPr>
                <w:rFonts w:hint="eastAsia" w:ascii="宋体" w:hAnsi="宋体" w:cs="宋体"/>
                <w:color w:val="000000"/>
                <w:kern w:val="0"/>
                <w:sz w:val="20"/>
                <w:szCs w:val="20"/>
                <w:highlight w:val="none"/>
                <w:lang w:eastAsia="zh-CN"/>
              </w:rPr>
              <w:t>）</w:t>
            </w: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满意度指标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受灾群众满意度</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≥99%</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r>
              <w:rPr>
                <w:rStyle w:val="22"/>
                <w:rFonts w:hint="default"/>
              </w:rPr>
              <w:t>0﹪以上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提高服务质量</w:t>
            </w: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8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总分</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93</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bl>
    <w:p>
      <w:pPr>
        <w:pStyle w:val="2"/>
        <w:spacing w:before="93"/>
        <w:rPr>
          <w:rFonts w:hAnsi="仿宋_GB2312" w:cs="仿宋_GB2312"/>
          <w:sz w:val="32"/>
          <w:szCs w:val="32"/>
        </w:rPr>
      </w:pPr>
    </w:p>
    <w:p>
      <w:pPr>
        <w:pStyle w:val="2"/>
        <w:spacing w:before="93"/>
        <w:rPr>
          <w:rFonts w:hAnsi="仿宋_GB2312" w:cs="仿宋_GB2312"/>
          <w:b/>
          <w:bCs/>
          <w:sz w:val="32"/>
          <w:szCs w:val="32"/>
        </w:rPr>
      </w:pPr>
      <w:r>
        <w:rPr>
          <w:rFonts w:hint="eastAsia" w:hAnsi="仿宋_GB2312" w:cs="仿宋_GB2312"/>
          <w:b/>
          <w:bCs/>
          <w:sz w:val="32"/>
          <w:szCs w:val="32"/>
        </w:rPr>
        <w:t>附件4</w:t>
      </w:r>
    </w:p>
    <w:p>
      <w:pPr>
        <w:pStyle w:val="16"/>
        <w:spacing w:line="56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通江县应急管理局</w:t>
      </w:r>
    </w:p>
    <w:p>
      <w:pPr>
        <w:pStyle w:val="16"/>
        <w:spacing w:line="56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自然灾害救灾资金预算绩效自评报告</w:t>
      </w:r>
    </w:p>
    <w:p>
      <w:pPr>
        <w:pStyle w:val="16"/>
        <w:spacing w:line="560" w:lineRule="exact"/>
        <w:jc w:val="center"/>
        <w:rPr>
          <w:rFonts w:ascii="仿宋_GB2312" w:hAnsi="仿宋_GB2312" w:eastAsia="仿宋_GB2312" w:cs="仿宋_GB2312"/>
          <w:bCs/>
          <w:sz w:val="32"/>
          <w:szCs w:val="32"/>
        </w:rPr>
      </w:pPr>
    </w:p>
    <w:p>
      <w:pPr>
        <w:adjustRightInd w:val="0"/>
        <w:snapToGrid w:val="0"/>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widowControl/>
        <w:spacing w:line="500" w:lineRule="exact"/>
        <w:ind w:firstLine="640" w:firstLineChars="200"/>
        <w:jc w:val="left"/>
        <w:rPr>
          <w:rStyle w:val="11"/>
          <w:rFonts w:ascii="仿宋_GB2312" w:hAnsi="仿宋_GB2312" w:eastAsia="仿宋_GB2312" w:cs="仿宋_GB2312"/>
          <w:b w:val="0"/>
          <w:kern w:val="0"/>
          <w:sz w:val="32"/>
          <w:szCs w:val="32"/>
        </w:rPr>
      </w:pPr>
      <w:r>
        <w:rPr>
          <w:rFonts w:hint="eastAsia" w:ascii="仿宋_GB2312" w:hAnsi="仿宋_GB2312" w:eastAsia="仿宋_GB2312" w:cs="仿宋_GB2312"/>
          <w:sz w:val="32"/>
          <w:szCs w:val="32"/>
        </w:rPr>
        <w:t>通江县应急管理局</w:t>
      </w:r>
      <w:r>
        <w:rPr>
          <w:rFonts w:hint="eastAsia" w:ascii="仿宋_GB2312" w:hAnsi="仿宋_GB2312" w:eastAsia="仿宋_GB2312" w:cs="仿宋_GB2312"/>
          <w:color w:val="000000"/>
          <w:kern w:val="0"/>
          <w:sz w:val="32"/>
          <w:szCs w:val="32"/>
        </w:rPr>
        <w:t>属于一级预算单位。</w:t>
      </w:r>
      <w:r>
        <w:rPr>
          <w:rStyle w:val="11"/>
          <w:rFonts w:hint="eastAsia" w:ascii="仿宋_GB2312" w:hAnsi="仿宋_GB2312" w:eastAsia="仿宋_GB2312" w:cs="仿宋_GB2312"/>
          <w:b w:val="0"/>
          <w:kern w:val="0"/>
          <w:sz w:val="32"/>
          <w:szCs w:val="32"/>
        </w:rPr>
        <w:t>行政机构1个，内设办公室、</w:t>
      </w:r>
      <w:r>
        <w:rPr>
          <w:rFonts w:hint="eastAsia" w:ascii="仿宋_GB2312" w:hAnsi="仿宋_GB2312" w:eastAsia="仿宋_GB2312" w:cs="仿宋_GB2312"/>
          <w:kern w:val="0"/>
          <w:sz w:val="32"/>
          <w:szCs w:val="32"/>
        </w:rPr>
        <w:t>应急指挥股、风险防控和综合减灾股、政策法规股、火灾防治股、自</w:t>
      </w:r>
      <w:r>
        <w:rPr>
          <w:rStyle w:val="11"/>
          <w:rFonts w:hint="eastAsia" w:ascii="仿宋_GB2312" w:hAnsi="仿宋_GB2312" w:eastAsia="仿宋_GB2312" w:cs="仿宋_GB2312"/>
          <w:b w:val="0"/>
          <w:kern w:val="0"/>
          <w:sz w:val="32"/>
          <w:szCs w:val="32"/>
        </w:rPr>
        <w:t>然</w:t>
      </w:r>
      <w:r>
        <w:rPr>
          <w:rFonts w:hint="eastAsia" w:ascii="仿宋_GB2312" w:hAnsi="仿宋_GB2312" w:eastAsia="仿宋_GB2312" w:cs="仿宋_GB2312"/>
          <w:kern w:val="0"/>
          <w:sz w:val="32"/>
          <w:szCs w:val="32"/>
        </w:rPr>
        <w:t>灾害救援股、安全生产综合协调股、危险化学品安全监管股、安全生产基础管理股、调查评估与统计股、规划和财务装备股、人事和培训股；下辖执法大队、煤矿瓦斯监控站、应急救援指挥中心、通江县防汛抗旱指挥部办公室、水利电力抗旱服务队、抗旱机动服务队、森林防火指挥部办公室、消防中队、诺水河风景区专职消防队9个部门</w:t>
      </w:r>
      <w:r>
        <w:rPr>
          <w:rStyle w:val="11"/>
          <w:rFonts w:hint="eastAsia" w:ascii="仿宋_GB2312" w:hAnsi="仿宋_GB2312" w:eastAsia="仿宋_GB2312" w:cs="仿宋_GB2312"/>
          <w:b w:val="0"/>
          <w:kern w:val="0"/>
          <w:sz w:val="32"/>
          <w:szCs w:val="32"/>
        </w:rPr>
        <w:t>。</w:t>
      </w:r>
    </w:p>
    <w:p>
      <w:pPr>
        <w:adjustRightInd w:val="0"/>
        <w:snapToGrid w:val="0"/>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二、资金使用情况</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2020年，根据《财政部关于下达2020年中央自然灾害救灾资金预算的通知》（财资环〔2020〕102号）、《四川省财政厅四川省应急管理厅关于下达2020年中央自然灾害救灾资金预算的通知》（财资环〔2020〕500号）等文件要求，共下达自然灾害救灾资金1206万元。我局根据</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lang w:val="zh-CN"/>
        </w:rPr>
        <w:t>然灾害救灾情况开展冬春临时生活困难救助，分为一类救助对象每人不高于600元，二类救助对象每人不高于300元，共救助10余万人，将严格执行财务管理制度、及时通过一卡通发放到位，财务处理及时、会计核算规范。</w:t>
      </w:r>
    </w:p>
    <w:p>
      <w:pPr>
        <w:adjustRightInd w:val="0"/>
        <w:snapToGrid w:val="0"/>
        <w:spacing w:line="560" w:lineRule="exact"/>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三、目标预算完成情况</w:t>
      </w:r>
      <w:r>
        <w:rPr>
          <w:rFonts w:hint="eastAsia" w:ascii="仿宋_GB2312" w:hAnsi="仿宋_GB2312" w:eastAsia="仿宋_GB2312" w:cs="仿宋_GB2312"/>
          <w:b/>
          <w:bCs/>
          <w:sz w:val="32"/>
          <w:szCs w:val="32"/>
          <w:lang w:val="zh-CN"/>
        </w:rPr>
        <w:tab/>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（一）目标任务量完成情况。根据下达的自然灾害救灾资金1206万元开展冬春临时生活困难救助工作，按照不低于中央、省补助标准，根据受灾群众自救能力分类救助，以一卡通形式与2021年1月前发放到位。</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（二）目标质量完成情况。全面完成县委、</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zh-CN"/>
        </w:rPr>
        <w:t>政府安排年度工作任务，及时开展隐患排查与治理。</w:t>
      </w:r>
    </w:p>
    <w:p>
      <w:pPr>
        <w:adjustRightInd w:val="0"/>
        <w:snapToGrid w:val="0"/>
        <w:spacing w:line="560" w:lineRule="exact"/>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四、项目效益情况</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承担自然灾害救灾资金救助审核、发放主体责任，在中央安排的补助资金基础上，统筹用好各类自然灾害救灾资金，做好自然灾害防治体系建设工作</w:t>
      </w:r>
      <w:r>
        <w:rPr>
          <w:rFonts w:hint="eastAsia" w:ascii="仿宋_GB2312" w:hAnsi="仿宋_GB2312" w:eastAsia="仿宋_GB2312" w:cs="仿宋_GB2312"/>
          <w:sz w:val="32"/>
          <w:szCs w:val="32"/>
        </w:rPr>
        <w:t>，争取受到广大人民群众的好评</w:t>
      </w:r>
      <w:r>
        <w:rPr>
          <w:rFonts w:hint="eastAsia" w:ascii="仿宋_GB2312" w:hAnsi="仿宋_GB2312" w:eastAsia="仿宋_GB2312" w:cs="仿宋_GB2312"/>
          <w:color w:val="000000"/>
          <w:kern w:val="0"/>
          <w:sz w:val="32"/>
          <w:szCs w:val="32"/>
          <w:shd w:val="clear" w:color="auto" w:fill="FFFFFF"/>
          <w:lang w:val="zh-CN"/>
        </w:rPr>
        <w:t>。</w:t>
      </w:r>
    </w:p>
    <w:tbl>
      <w:tblPr>
        <w:tblStyle w:val="8"/>
        <w:tblW w:w="8522" w:type="dxa"/>
        <w:tblInd w:w="0" w:type="dxa"/>
        <w:tblLayout w:type="fixed"/>
        <w:tblCellMar>
          <w:top w:w="0" w:type="dxa"/>
          <w:left w:w="108" w:type="dxa"/>
          <w:bottom w:w="0" w:type="dxa"/>
          <w:right w:w="108" w:type="dxa"/>
        </w:tblCellMar>
      </w:tblPr>
      <w:tblGrid>
        <w:gridCol w:w="453"/>
        <w:gridCol w:w="626"/>
        <w:gridCol w:w="848"/>
        <w:gridCol w:w="2050"/>
        <w:gridCol w:w="503"/>
        <w:gridCol w:w="491"/>
        <w:gridCol w:w="1069"/>
        <w:gridCol w:w="639"/>
        <w:gridCol w:w="565"/>
        <w:gridCol w:w="749"/>
        <w:gridCol w:w="529"/>
      </w:tblGrid>
      <w:tr>
        <w:tblPrEx>
          <w:tblCellMar>
            <w:top w:w="0" w:type="dxa"/>
            <w:left w:w="108" w:type="dxa"/>
            <w:bottom w:w="0" w:type="dxa"/>
            <w:right w:w="108" w:type="dxa"/>
          </w:tblCellMar>
        </w:tblPrEx>
        <w:trPr>
          <w:trHeight w:val="330" w:hRule="atLeast"/>
        </w:trPr>
        <w:tc>
          <w:tcPr>
            <w:tcW w:w="454" w:type="dxa"/>
            <w:tcBorders>
              <w:top w:val="nil"/>
              <w:left w:val="nil"/>
              <w:bottom w:val="nil"/>
              <w:right w:val="nil"/>
            </w:tcBorders>
            <w:shd w:val="clear" w:color="auto" w:fill="auto"/>
            <w:vAlign w:val="center"/>
          </w:tcPr>
          <w:p>
            <w:pPr>
              <w:rPr>
                <w:rFonts w:ascii="黑体" w:hAnsi="宋体" w:eastAsia="黑体" w:cs="黑体"/>
                <w:color w:val="000000"/>
                <w:sz w:val="24"/>
              </w:rPr>
            </w:pPr>
          </w:p>
        </w:tc>
        <w:tc>
          <w:tcPr>
            <w:tcW w:w="627" w:type="dxa"/>
            <w:tcBorders>
              <w:top w:val="nil"/>
              <w:left w:val="nil"/>
              <w:bottom w:val="nil"/>
              <w:right w:val="nil"/>
            </w:tcBorders>
            <w:shd w:val="clear" w:color="auto" w:fill="auto"/>
            <w:vAlign w:val="center"/>
          </w:tcPr>
          <w:p>
            <w:pPr>
              <w:rPr>
                <w:rFonts w:ascii="黑体" w:hAnsi="宋体" w:eastAsia="黑体" w:cs="黑体"/>
                <w:color w:val="000000"/>
                <w:sz w:val="24"/>
              </w:rPr>
            </w:pPr>
          </w:p>
        </w:tc>
        <w:tc>
          <w:tcPr>
            <w:tcW w:w="847" w:type="dxa"/>
            <w:tcBorders>
              <w:top w:val="nil"/>
              <w:left w:val="nil"/>
              <w:bottom w:val="nil"/>
              <w:right w:val="nil"/>
            </w:tcBorders>
            <w:shd w:val="clear" w:color="auto" w:fill="auto"/>
            <w:vAlign w:val="center"/>
          </w:tcPr>
          <w:p>
            <w:pPr>
              <w:rPr>
                <w:rFonts w:ascii="黑体" w:hAnsi="宋体" w:eastAsia="黑体" w:cs="黑体"/>
                <w:color w:val="000000"/>
                <w:sz w:val="24"/>
              </w:rPr>
            </w:pPr>
          </w:p>
        </w:tc>
        <w:tc>
          <w:tcPr>
            <w:tcW w:w="2051" w:type="dxa"/>
            <w:tcBorders>
              <w:top w:val="nil"/>
              <w:left w:val="nil"/>
              <w:bottom w:val="nil"/>
              <w:right w:val="nil"/>
            </w:tcBorders>
            <w:shd w:val="clear" w:color="auto" w:fill="auto"/>
            <w:vAlign w:val="center"/>
          </w:tcPr>
          <w:p>
            <w:pPr>
              <w:rPr>
                <w:rFonts w:ascii="黑体" w:hAnsi="宋体" w:eastAsia="黑体" w:cs="黑体"/>
                <w:color w:val="000000"/>
                <w:sz w:val="24"/>
              </w:rPr>
            </w:pPr>
          </w:p>
        </w:tc>
        <w:tc>
          <w:tcPr>
            <w:tcW w:w="503" w:type="dxa"/>
            <w:tcBorders>
              <w:top w:val="nil"/>
              <w:left w:val="nil"/>
              <w:bottom w:val="nil"/>
              <w:right w:val="nil"/>
            </w:tcBorders>
            <w:shd w:val="clear" w:color="auto" w:fill="auto"/>
            <w:vAlign w:val="center"/>
          </w:tcPr>
          <w:p>
            <w:pPr>
              <w:rPr>
                <w:rFonts w:ascii="宋体" w:hAnsi="宋体" w:cs="宋体"/>
                <w:color w:val="000000"/>
                <w:sz w:val="24"/>
              </w:rPr>
            </w:pPr>
          </w:p>
        </w:tc>
        <w:tc>
          <w:tcPr>
            <w:tcW w:w="491" w:type="dxa"/>
            <w:tcBorders>
              <w:top w:val="nil"/>
              <w:left w:val="nil"/>
              <w:bottom w:val="nil"/>
              <w:right w:val="nil"/>
            </w:tcBorders>
            <w:shd w:val="clear" w:color="auto" w:fill="auto"/>
            <w:vAlign w:val="center"/>
          </w:tcPr>
          <w:p>
            <w:pPr>
              <w:rPr>
                <w:rFonts w:ascii="宋体" w:hAnsi="宋体" w:cs="宋体"/>
                <w:color w:val="000000"/>
                <w:sz w:val="24"/>
              </w:rPr>
            </w:pPr>
          </w:p>
        </w:tc>
        <w:tc>
          <w:tcPr>
            <w:tcW w:w="1069" w:type="dxa"/>
            <w:tcBorders>
              <w:top w:val="nil"/>
              <w:left w:val="nil"/>
              <w:bottom w:val="nil"/>
              <w:right w:val="nil"/>
            </w:tcBorders>
            <w:shd w:val="clear" w:color="auto" w:fill="auto"/>
            <w:vAlign w:val="center"/>
          </w:tcPr>
          <w:p>
            <w:pPr>
              <w:rPr>
                <w:rFonts w:hint="eastAsia" w:ascii="宋体" w:hAnsi="宋体" w:cs="宋体"/>
                <w:color w:val="000000"/>
                <w:sz w:val="24"/>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pPr>
          </w:p>
        </w:tc>
        <w:tc>
          <w:tcPr>
            <w:tcW w:w="638" w:type="dxa"/>
            <w:tcBorders>
              <w:top w:val="nil"/>
              <w:left w:val="nil"/>
              <w:bottom w:val="nil"/>
              <w:right w:val="nil"/>
            </w:tcBorders>
            <w:shd w:val="clear" w:color="auto" w:fill="auto"/>
            <w:vAlign w:val="center"/>
          </w:tcPr>
          <w:p>
            <w:pPr>
              <w:rPr>
                <w:rFonts w:ascii="宋体" w:hAnsi="宋体" w:cs="宋体"/>
                <w:color w:val="000000"/>
                <w:sz w:val="24"/>
              </w:rPr>
            </w:pPr>
          </w:p>
        </w:tc>
        <w:tc>
          <w:tcPr>
            <w:tcW w:w="565" w:type="dxa"/>
            <w:tcBorders>
              <w:top w:val="nil"/>
              <w:left w:val="nil"/>
              <w:bottom w:val="nil"/>
              <w:right w:val="nil"/>
            </w:tcBorders>
            <w:shd w:val="clear" w:color="auto" w:fill="auto"/>
            <w:vAlign w:val="center"/>
          </w:tcPr>
          <w:p>
            <w:pPr>
              <w:rPr>
                <w:rFonts w:ascii="宋体" w:hAnsi="宋体" w:cs="宋体"/>
                <w:color w:val="000000"/>
                <w:sz w:val="24"/>
              </w:rPr>
            </w:pPr>
          </w:p>
        </w:tc>
        <w:tc>
          <w:tcPr>
            <w:tcW w:w="749" w:type="dxa"/>
            <w:tcBorders>
              <w:top w:val="nil"/>
              <w:left w:val="nil"/>
              <w:bottom w:val="nil"/>
              <w:right w:val="nil"/>
            </w:tcBorders>
            <w:shd w:val="clear" w:color="auto" w:fill="auto"/>
            <w:vAlign w:val="center"/>
          </w:tcPr>
          <w:p>
            <w:pPr>
              <w:rPr>
                <w:rFonts w:ascii="宋体" w:hAnsi="宋体" w:cs="宋体"/>
                <w:color w:val="000000"/>
                <w:sz w:val="24"/>
              </w:rPr>
            </w:pPr>
          </w:p>
        </w:tc>
        <w:tc>
          <w:tcPr>
            <w:tcW w:w="528" w:type="dxa"/>
            <w:tcBorders>
              <w:top w:val="nil"/>
              <w:left w:val="nil"/>
              <w:bottom w:val="nil"/>
              <w:right w:val="nil"/>
            </w:tcBorders>
            <w:shd w:val="clear" w:color="auto" w:fill="auto"/>
            <w:vAlign w:val="center"/>
          </w:tcPr>
          <w:p>
            <w:pPr>
              <w:rPr>
                <w:rFonts w:ascii="宋体" w:hAnsi="宋体" w:cs="宋体"/>
                <w:color w:val="000000"/>
                <w:sz w:val="24"/>
              </w:rPr>
            </w:pPr>
          </w:p>
        </w:tc>
      </w:tr>
      <w:tr>
        <w:tblPrEx>
          <w:tblCellMar>
            <w:top w:w="0" w:type="dxa"/>
            <w:left w:w="108" w:type="dxa"/>
            <w:bottom w:w="0" w:type="dxa"/>
            <w:right w:w="108" w:type="dxa"/>
          </w:tblCellMar>
        </w:tblPrEx>
        <w:trPr>
          <w:trHeight w:val="570" w:hRule="atLeast"/>
        </w:trPr>
        <w:tc>
          <w:tcPr>
            <w:tcW w:w="8522" w:type="dxa"/>
            <w:gridSpan w:val="11"/>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32"/>
                <w:szCs w:val="32"/>
              </w:rPr>
            </w:pPr>
            <w:r>
              <w:rPr>
                <w:rFonts w:hint="eastAsia" w:ascii="宋体" w:hAnsi="宋体" w:cs="宋体"/>
                <w:b/>
                <w:bCs/>
                <w:color w:val="000000"/>
                <w:kern w:val="0"/>
                <w:sz w:val="32"/>
                <w:szCs w:val="32"/>
              </w:rPr>
              <w:t>绩效目标自评表</w:t>
            </w:r>
          </w:p>
        </w:tc>
      </w:tr>
      <w:tr>
        <w:tblPrEx>
          <w:tblCellMar>
            <w:top w:w="0" w:type="dxa"/>
            <w:left w:w="108" w:type="dxa"/>
            <w:bottom w:w="0" w:type="dxa"/>
            <w:right w:w="108" w:type="dxa"/>
          </w:tblCellMar>
        </w:tblPrEx>
        <w:trPr>
          <w:trHeight w:val="420" w:hRule="atLeast"/>
        </w:trPr>
        <w:tc>
          <w:tcPr>
            <w:tcW w:w="8522" w:type="dxa"/>
            <w:gridSpan w:val="11"/>
            <w:tcBorders>
              <w:top w:val="nil"/>
              <w:left w:val="nil"/>
              <w:bottom w:val="single" w:color="000000" w:sz="4" w:space="0"/>
              <w:right w:val="nil"/>
            </w:tcBorders>
            <w:shd w:val="clear" w:color="auto" w:fill="auto"/>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（2020年度）</w:t>
            </w:r>
          </w:p>
        </w:tc>
      </w:tr>
      <w:tr>
        <w:tblPrEx>
          <w:tblCellMar>
            <w:top w:w="0" w:type="dxa"/>
            <w:left w:w="108" w:type="dxa"/>
            <w:bottom w:w="0" w:type="dxa"/>
            <w:right w:w="108" w:type="dxa"/>
          </w:tblCellMar>
        </w:tblPrEx>
        <w:trPr>
          <w:trHeight w:val="555" w:hRule="atLeast"/>
        </w:trPr>
        <w:tc>
          <w:tcPr>
            <w:tcW w:w="1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冬春临时生活困难救助资金</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项目负责人及电话</w:t>
            </w:r>
          </w:p>
        </w:tc>
        <w:tc>
          <w:tcPr>
            <w:tcW w:w="2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马红军（13981693368）</w:t>
            </w:r>
          </w:p>
        </w:tc>
      </w:tr>
      <w:tr>
        <w:tblPrEx>
          <w:tblCellMar>
            <w:top w:w="0" w:type="dxa"/>
            <w:left w:w="108" w:type="dxa"/>
            <w:bottom w:w="0" w:type="dxa"/>
            <w:right w:w="108" w:type="dxa"/>
          </w:tblCellMar>
        </w:tblPrEx>
        <w:trPr>
          <w:trHeight w:val="300" w:hRule="atLeast"/>
        </w:trPr>
        <w:tc>
          <w:tcPr>
            <w:tcW w:w="1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通江县应急管理局</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2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通江县应急管理局</w:t>
            </w:r>
          </w:p>
        </w:tc>
      </w:tr>
      <w:tr>
        <w:tblPrEx>
          <w:tblCellMar>
            <w:top w:w="0" w:type="dxa"/>
            <w:left w:w="108" w:type="dxa"/>
            <w:bottom w:w="0" w:type="dxa"/>
            <w:right w:w="108" w:type="dxa"/>
          </w:tblCellMar>
        </w:tblPrEx>
        <w:trPr>
          <w:trHeight w:val="465" w:hRule="atLeast"/>
        </w:trPr>
        <w:tc>
          <w:tcPr>
            <w:tcW w:w="192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资金情况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（万元）</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执行率（B/A</w:t>
            </w:r>
            <w:r>
              <w:rPr>
                <w:rFonts w:hint="eastAsia" w:ascii="宋体" w:hAnsi="宋体" w:cs="宋体"/>
                <w:color w:val="000000"/>
                <w:kern w:val="0"/>
                <w:sz w:val="20"/>
                <w:szCs w:val="20"/>
                <w:highlight w:val="none"/>
                <w:lang w:eastAsia="zh-CN"/>
              </w:rPr>
              <w:t>）</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0" w:type="dxa"/>
            <w:left w:w="108" w:type="dxa"/>
            <w:bottom w:w="0" w:type="dxa"/>
            <w:right w:w="108" w:type="dxa"/>
          </w:tblCellMar>
        </w:tblPrEx>
        <w:trPr>
          <w:trHeight w:val="282" w:hRule="atLeast"/>
        </w:trPr>
        <w:tc>
          <w:tcPr>
            <w:tcW w:w="19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1206</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282" w:hRule="atLeast"/>
        </w:trPr>
        <w:tc>
          <w:tcPr>
            <w:tcW w:w="19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其中：本年财政拨款</w:t>
            </w:r>
          </w:p>
        </w:tc>
        <w:tc>
          <w:tcPr>
            <w:tcW w:w="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1206</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1206</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trPr>
        <w:tc>
          <w:tcPr>
            <w:tcW w:w="19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其他资金</w:t>
            </w:r>
          </w:p>
        </w:tc>
        <w:tc>
          <w:tcPr>
            <w:tcW w:w="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45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年初设定目标</w:t>
            </w:r>
          </w:p>
        </w:tc>
        <w:tc>
          <w:tcPr>
            <w:tcW w:w="35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CellMar>
            <w:top w:w="0" w:type="dxa"/>
            <w:left w:w="108" w:type="dxa"/>
            <w:bottom w:w="0" w:type="dxa"/>
            <w:right w:w="108" w:type="dxa"/>
          </w:tblCellMar>
        </w:tblPrEx>
        <w:trPr>
          <w:trHeight w:val="525"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主要用于突发自然灾害的应急物资采购、运输搬运、仓库租金、临聘司机工资、车辆运行维护费、抢险职工差旅费等，得到社会和受灾群众认可。</w:t>
            </w:r>
          </w:p>
        </w:tc>
        <w:tc>
          <w:tcPr>
            <w:tcW w:w="35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按年初目标完成</w:t>
            </w:r>
          </w:p>
        </w:tc>
      </w:tr>
      <w:tr>
        <w:tblPrEx>
          <w:tblCellMar>
            <w:top w:w="0" w:type="dxa"/>
            <w:left w:w="108" w:type="dxa"/>
            <w:bottom w:w="0" w:type="dxa"/>
            <w:right w:w="108" w:type="dxa"/>
          </w:tblCellMar>
        </w:tblPrEx>
        <w:trPr>
          <w:trHeight w:val="559" w:hRule="atLeas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全年实际值</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未完成原因及拟采取的改进措施</w:t>
            </w: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50分</w:t>
            </w:r>
            <w:r>
              <w:rPr>
                <w:rFonts w:hint="eastAsia" w:ascii="宋体" w:hAnsi="宋体" w:cs="宋体"/>
                <w:color w:val="000000"/>
                <w:kern w:val="0"/>
                <w:sz w:val="20"/>
                <w:szCs w:val="20"/>
                <w:highlight w:val="none"/>
                <w:lang w:eastAsia="zh-CN"/>
              </w:rPr>
              <w:t>）</w:t>
            </w: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冬春期间受灾困难群众救助数量</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≥10.07万人（次）</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92﹪</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冬春救灾资金下拨率</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及时应急救援</w:t>
            </w: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冬春救灾资金使用率</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救助标准</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一类救助对象每人不高于600元，二类救助对象每人不高于300元</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县级财政、应急管理部门收到冬春救灾资金后发放至救助对象所需时间</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≤30日</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项目完成时间</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2021/1/31</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30分</w:t>
            </w:r>
            <w:r>
              <w:rPr>
                <w:rFonts w:hint="eastAsia" w:ascii="宋体" w:hAnsi="宋体" w:cs="宋体"/>
                <w:color w:val="000000"/>
                <w:kern w:val="0"/>
                <w:sz w:val="20"/>
                <w:szCs w:val="20"/>
                <w:highlight w:val="none"/>
                <w:lang w:eastAsia="zh-CN"/>
              </w:rPr>
              <w:t>）</w:t>
            </w: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帮助受灾群众克服冬春生活困难</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政府舆情引导</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重大负面舆情和事件次数≤5次</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安全生产事故与自然灾害抢险应急维护自然环境生态平衡</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安全生产事故与自然灾害抢险应急</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92﹪</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加强设施设备投入</w:t>
            </w: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满意度指标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10分</w:t>
            </w:r>
            <w:r>
              <w:rPr>
                <w:rFonts w:hint="eastAsia" w:ascii="宋体" w:hAnsi="宋体" w:cs="宋体"/>
                <w:color w:val="000000"/>
                <w:kern w:val="0"/>
                <w:sz w:val="20"/>
                <w:szCs w:val="20"/>
                <w:highlight w:val="none"/>
                <w:lang w:eastAsia="zh-CN"/>
              </w:rPr>
              <w:t>）</w:t>
            </w: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满意度指标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受灾群众投诉率</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≤0.1%</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90﹪以上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提高服务质量</w:t>
            </w: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8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总分</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95</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bl>
    <w:p>
      <w:pPr>
        <w:pStyle w:val="2"/>
        <w:spacing w:before="93"/>
        <w:rPr>
          <w:rFonts w:hAnsi="仿宋_GB2312" w:cs="仿宋_GB2312"/>
          <w:b/>
          <w:bCs/>
          <w:sz w:val="32"/>
          <w:szCs w:val="32"/>
        </w:rPr>
      </w:pPr>
    </w:p>
    <w:p>
      <w:pPr>
        <w:pStyle w:val="2"/>
        <w:spacing w:before="93"/>
        <w:rPr>
          <w:rFonts w:hint="eastAsia" w:hAnsi="仿宋_GB2312" w:cs="仿宋_GB2312"/>
          <w:b/>
          <w:bCs/>
          <w:sz w:val="32"/>
          <w:szCs w:val="32"/>
        </w:rPr>
      </w:pPr>
    </w:p>
    <w:p>
      <w:pPr>
        <w:pStyle w:val="2"/>
        <w:spacing w:before="93"/>
        <w:rPr>
          <w:rFonts w:hint="eastAsia" w:hAnsi="仿宋_GB2312" w:cs="仿宋_GB2312"/>
          <w:b/>
          <w:bCs/>
          <w:sz w:val="32"/>
          <w:szCs w:val="32"/>
        </w:rPr>
      </w:pPr>
    </w:p>
    <w:p>
      <w:pPr>
        <w:pStyle w:val="2"/>
        <w:spacing w:before="93"/>
        <w:rPr>
          <w:rFonts w:hint="eastAsia" w:hAnsi="仿宋_GB2312" w:cs="仿宋_GB2312"/>
          <w:b/>
          <w:bCs/>
          <w:sz w:val="32"/>
          <w:szCs w:val="32"/>
        </w:rPr>
      </w:pPr>
    </w:p>
    <w:p>
      <w:pPr>
        <w:pStyle w:val="2"/>
        <w:spacing w:before="93"/>
        <w:rPr>
          <w:rFonts w:hint="eastAsia" w:hAnsi="仿宋_GB2312" w:cs="仿宋_GB2312"/>
          <w:b/>
          <w:bCs/>
          <w:sz w:val="32"/>
          <w:szCs w:val="32"/>
        </w:rPr>
      </w:pPr>
    </w:p>
    <w:p>
      <w:pPr>
        <w:pStyle w:val="2"/>
        <w:spacing w:before="93"/>
        <w:rPr>
          <w:rFonts w:hint="eastAsia" w:hAnsi="仿宋_GB2312" w:cs="仿宋_GB2312"/>
          <w:b/>
          <w:bCs/>
          <w:sz w:val="32"/>
          <w:szCs w:val="32"/>
        </w:rPr>
      </w:pPr>
    </w:p>
    <w:p>
      <w:pPr>
        <w:pStyle w:val="2"/>
        <w:spacing w:before="93"/>
        <w:rPr>
          <w:rFonts w:hint="eastAsia" w:hAnsi="仿宋_GB2312" w:cs="仿宋_GB2312"/>
          <w:b/>
          <w:bCs/>
          <w:sz w:val="32"/>
          <w:szCs w:val="32"/>
        </w:rPr>
      </w:pPr>
    </w:p>
    <w:p>
      <w:pPr>
        <w:pStyle w:val="2"/>
        <w:spacing w:before="93"/>
        <w:rPr>
          <w:rFonts w:hAnsi="仿宋_GB2312" w:cs="仿宋_GB2312"/>
          <w:b/>
          <w:bCs/>
          <w:sz w:val="32"/>
          <w:szCs w:val="32"/>
        </w:rPr>
      </w:pPr>
    </w:p>
    <w:p>
      <w:pPr>
        <w:pStyle w:val="2"/>
        <w:spacing w:before="93"/>
        <w:rPr>
          <w:rFonts w:hAnsi="仿宋_GB2312" w:cs="仿宋_GB2312"/>
          <w:b/>
          <w:bCs/>
          <w:sz w:val="32"/>
          <w:szCs w:val="32"/>
        </w:rPr>
      </w:pPr>
      <w:r>
        <w:rPr>
          <w:rFonts w:hint="eastAsia" w:hAnsi="仿宋_GB2312" w:cs="仿宋_GB2312"/>
          <w:b/>
          <w:bCs/>
          <w:sz w:val="32"/>
          <w:szCs w:val="32"/>
        </w:rPr>
        <w:t>附件5</w:t>
      </w:r>
    </w:p>
    <w:p>
      <w:pPr>
        <w:pStyle w:val="16"/>
        <w:spacing w:line="56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通江县应急管理局</w:t>
      </w:r>
    </w:p>
    <w:p>
      <w:pPr>
        <w:pStyle w:val="16"/>
        <w:spacing w:line="56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因灾房屋倒损重建专项资金绩效自评报告</w:t>
      </w:r>
    </w:p>
    <w:p>
      <w:pPr>
        <w:pStyle w:val="16"/>
        <w:spacing w:line="560" w:lineRule="exact"/>
        <w:jc w:val="center"/>
        <w:rPr>
          <w:rFonts w:ascii="仿宋_GB2312" w:hAnsi="仿宋_GB2312" w:eastAsia="仿宋_GB2312" w:cs="仿宋_GB2312"/>
          <w:bCs/>
          <w:sz w:val="32"/>
          <w:szCs w:val="32"/>
        </w:rPr>
      </w:pPr>
    </w:p>
    <w:p>
      <w:pPr>
        <w:adjustRightInd w:val="0"/>
        <w:snapToGrid w:val="0"/>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widowControl/>
        <w:spacing w:line="500" w:lineRule="exact"/>
        <w:ind w:firstLine="640" w:firstLineChars="200"/>
        <w:jc w:val="left"/>
        <w:rPr>
          <w:rStyle w:val="11"/>
          <w:rFonts w:ascii="仿宋_GB2312" w:hAnsi="仿宋_GB2312" w:eastAsia="仿宋_GB2312" w:cs="仿宋_GB2312"/>
          <w:b w:val="0"/>
          <w:kern w:val="0"/>
          <w:sz w:val="32"/>
          <w:szCs w:val="32"/>
        </w:rPr>
      </w:pPr>
      <w:r>
        <w:rPr>
          <w:rFonts w:hint="eastAsia" w:ascii="仿宋_GB2312" w:hAnsi="仿宋_GB2312" w:eastAsia="仿宋_GB2312" w:cs="仿宋_GB2312"/>
          <w:sz w:val="32"/>
          <w:szCs w:val="32"/>
        </w:rPr>
        <w:t>通江县应急管理局</w:t>
      </w:r>
      <w:r>
        <w:rPr>
          <w:rFonts w:hint="eastAsia" w:ascii="仿宋_GB2312" w:hAnsi="仿宋_GB2312" w:eastAsia="仿宋_GB2312" w:cs="仿宋_GB2312"/>
          <w:color w:val="000000"/>
          <w:kern w:val="0"/>
          <w:sz w:val="32"/>
          <w:szCs w:val="32"/>
        </w:rPr>
        <w:t>属于一级预算单位。</w:t>
      </w:r>
      <w:r>
        <w:rPr>
          <w:rStyle w:val="11"/>
          <w:rFonts w:hint="eastAsia" w:ascii="仿宋_GB2312" w:hAnsi="仿宋_GB2312" w:eastAsia="仿宋_GB2312" w:cs="仿宋_GB2312"/>
          <w:b w:val="0"/>
          <w:kern w:val="0"/>
          <w:sz w:val="32"/>
          <w:szCs w:val="32"/>
        </w:rPr>
        <w:t>行政机构1个，内设办公室、</w:t>
      </w:r>
      <w:r>
        <w:rPr>
          <w:rFonts w:hint="eastAsia" w:ascii="仿宋_GB2312" w:hAnsi="仿宋_GB2312" w:eastAsia="仿宋_GB2312" w:cs="仿宋_GB2312"/>
          <w:kern w:val="0"/>
          <w:sz w:val="32"/>
          <w:szCs w:val="32"/>
        </w:rPr>
        <w:t>应急指挥股、风险防控和综合减灾股、政策法规股、火灾防治股、自</w:t>
      </w:r>
      <w:r>
        <w:rPr>
          <w:rStyle w:val="11"/>
          <w:rFonts w:hint="eastAsia" w:ascii="仿宋_GB2312" w:hAnsi="仿宋_GB2312" w:eastAsia="仿宋_GB2312" w:cs="仿宋_GB2312"/>
          <w:b w:val="0"/>
          <w:kern w:val="0"/>
          <w:sz w:val="32"/>
          <w:szCs w:val="32"/>
        </w:rPr>
        <w:t>然</w:t>
      </w:r>
      <w:r>
        <w:rPr>
          <w:rFonts w:hint="eastAsia" w:ascii="仿宋_GB2312" w:hAnsi="仿宋_GB2312" w:eastAsia="仿宋_GB2312" w:cs="仿宋_GB2312"/>
          <w:kern w:val="0"/>
          <w:sz w:val="32"/>
          <w:szCs w:val="32"/>
        </w:rPr>
        <w:t>灾害救援股、安全生产综合协调股、危险化学品安全监管股、安全生产基础管理股、调查评估与统计股、规划和财务装备股、人事和培训股；下辖执法大队、煤矿瓦斯监控站、应急救援指挥中心、通江县防汛抗旱指挥部办公室、水利电力抗旱服务队、抗旱机动服务队、森林防火指挥部办公室、消防中队、诺水河风景区专职消防队9个部门</w:t>
      </w:r>
      <w:r>
        <w:rPr>
          <w:rStyle w:val="11"/>
          <w:rFonts w:hint="eastAsia" w:ascii="仿宋_GB2312" w:hAnsi="仿宋_GB2312" w:eastAsia="仿宋_GB2312" w:cs="仿宋_GB2312"/>
          <w:b w:val="0"/>
          <w:kern w:val="0"/>
          <w:sz w:val="32"/>
          <w:szCs w:val="32"/>
        </w:rPr>
        <w:t>。</w:t>
      </w:r>
    </w:p>
    <w:p>
      <w:pPr>
        <w:adjustRightInd w:val="0"/>
        <w:snapToGrid w:val="0"/>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二、资金使用情况</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2020年，根据《财政部关于下达2020年因洪涝灾害倒塌和严重损坏民房恢复重建补助资金的通知》（财资环〔2020〕63号）、《四川省财政厅关于下达2020年因洪涝灾害倒塌和严重损坏民房恢复重建补助资金的通知》（川财建〔2020〕350号）、《四川省财政厅关于印发四川省2020年洪涝灾害灾后恢复重建实施方案的通知》（川发改西部〔2020〕613号）、《巴中市财政局关于下达四川省2020年灾后恢复重建中央财力补助资金预算的通知》（巴财建〔2020〕90号）等文件要求，共下达因洪涝灾害倒塌和严重损坏民房恢复重建补助资金346万元。我局将严格执行财务管理制度、及时下发补助到位，财务处理及时、会计核算规范。</w:t>
      </w:r>
    </w:p>
    <w:p>
      <w:pPr>
        <w:adjustRightInd w:val="0"/>
        <w:snapToGrid w:val="0"/>
        <w:spacing w:line="560" w:lineRule="exact"/>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三、目标预算完成情况</w:t>
      </w:r>
      <w:r>
        <w:rPr>
          <w:rFonts w:hint="eastAsia" w:ascii="仿宋_GB2312" w:hAnsi="仿宋_GB2312" w:eastAsia="仿宋_GB2312" w:cs="仿宋_GB2312"/>
          <w:b/>
          <w:bCs/>
          <w:sz w:val="32"/>
          <w:szCs w:val="32"/>
          <w:lang w:val="zh-CN"/>
        </w:rPr>
        <w:tab/>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（一）目标任务量完成情况。主动承担灾后恢复重建的主体责任，到2021年7月底前验收发放到位</w:t>
      </w:r>
      <w:r>
        <w:rPr>
          <w:rFonts w:hint="eastAsia" w:ascii="仿宋_GB2312" w:hAnsi="仿宋_GB2312" w:eastAsia="仿宋_GB2312" w:cs="仿宋_GB2312"/>
          <w:sz w:val="32"/>
          <w:szCs w:val="32"/>
        </w:rPr>
        <w:t>。</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（二）目标质量完成情况。全面完成县委、</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zh-CN"/>
        </w:rPr>
        <w:t>政府安排年度工作任务，及时开展隐患排查与治理。</w:t>
      </w:r>
    </w:p>
    <w:p>
      <w:pPr>
        <w:adjustRightInd w:val="0"/>
        <w:snapToGrid w:val="0"/>
        <w:spacing w:line="560" w:lineRule="exact"/>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四、项目效益情况</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承担灾后恢复重建的主体责任，在中央、省安排的补助资金基础上，统筹用好各类重建资金，做好灾后恢复重建工作</w:t>
      </w:r>
      <w:r>
        <w:rPr>
          <w:rFonts w:hint="eastAsia" w:ascii="仿宋_GB2312" w:hAnsi="仿宋_GB2312" w:eastAsia="仿宋_GB2312" w:cs="仿宋_GB2312"/>
          <w:sz w:val="32"/>
          <w:szCs w:val="32"/>
        </w:rPr>
        <w:t>，争取受到广大人民群众的好评</w:t>
      </w:r>
      <w:r>
        <w:rPr>
          <w:rFonts w:hint="eastAsia" w:ascii="仿宋_GB2312" w:hAnsi="仿宋_GB2312" w:eastAsia="仿宋_GB2312" w:cs="仿宋_GB2312"/>
          <w:color w:val="000000"/>
          <w:kern w:val="0"/>
          <w:sz w:val="32"/>
          <w:szCs w:val="32"/>
          <w:shd w:val="clear" w:color="auto" w:fill="FFFFFF"/>
          <w:lang w:val="zh-CN"/>
        </w:rPr>
        <w:t>。</w:t>
      </w:r>
    </w:p>
    <w:p>
      <w:pPr>
        <w:adjustRightInd w:val="0"/>
        <w:snapToGrid w:val="0"/>
        <w:spacing w:line="560" w:lineRule="exact"/>
        <w:ind w:firstLine="720"/>
        <w:rPr>
          <w:rFonts w:ascii="仿宋_GB2312" w:hAnsi="仿宋_GB2312" w:eastAsia="仿宋_GB2312" w:cs="仿宋_GB2312"/>
          <w:sz w:val="32"/>
          <w:szCs w:val="32"/>
        </w:rPr>
      </w:pPr>
    </w:p>
    <w:tbl>
      <w:tblPr>
        <w:tblStyle w:val="8"/>
        <w:tblW w:w="8522" w:type="dxa"/>
        <w:tblInd w:w="0" w:type="dxa"/>
        <w:tblLayout w:type="fixed"/>
        <w:tblCellMar>
          <w:top w:w="0" w:type="dxa"/>
          <w:left w:w="108" w:type="dxa"/>
          <w:bottom w:w="0" w:type="dxa"/>
          <w:right w:w="108" w:type="dxa"/>
        </w:tblCellMar>
      </w:tblPr>
      <w:tblGrid>
        <w:gridCol w:w="453"/>
        <w:gridCol w:w="626"/>
        <w:gridCol w:w="848"/>
        <w:gridCol w:w="2050"/>
        <w:gridCol w:w="503"/>
        <w:gridCol w:w="491"/>
        <w:gridCol w:w="1069"/>
        <w:gridCol w:w="639"/>
        <w:gridCol w:w="565"/>
        <w:gridCol w:w="749"/>
        <w:gridCol w:w="529"/>
      </w:tblGrid>
      <w:tr>
        <w:tblPrEx>
          <w:tblCellMar>
            <w:top w:w="0" w:type="dxa"/>
            <w:left w:w="108" w:type="dxa"/>
            <w:bottom w:w="0" w:type="dxa"/>
            <w:right w:w="108" w:type="dxa"/>
          </w:tblCellMar>
        </w:tblPrEx>
        <w:trPr>
          <w:trHeight w:val="330" w:hRule="atLeast"/>
        </w:trPr>
        <w:tc>
          <w:tcPr>
            <w:tcW w:w="454" w:type="dxa"/>
            <w:tcBorders>
              <w:top w:val="nil"/>
              <w:left w:val="nil"/>
              <w:bottom w:val="nil"/>
              <w:right w:val="nil"/>
            </w:tcBorders>
            <w:shd w:val="clear" w:color="auto" w:fill="auto"/>
            <w:vAlign w:val="center"/>
          </w:tcPr>
          <w:p>
            <w:pPr>
              <w:rPr>
                <w:rFonts w:ascii="黑体" w:hAnsi="宋体" w:eastAsia="黑体" w:cs="黑体"/>
                <w:color w:val="000000"/>
                <w:sz w:val="24"/>
              </w:rPr>
            </w:pPr>
          </w:p>
        </w:tc>
        <w:tc>
          <w:tcPr>
            <w:tcW w:w="627" w:type="dxa"/>
            <w:tcBorders>
              <w:top w:val="nil"/>
              <w:left w:val="nil"/>
              <w:bottom w:val="nil"/>
              <w:right w:val="nil"/>
            </w:tcBorders>
            <w:shd w:val="clear" w:color="auto" w:fill="auto"/>
            <w:vAlign w:val="center"/>
          </w:tcPr>
          <w:p>
            <w:pPr>
              <w:rPr>
                <w:rFonts w:ascii="黑体" w:hAnsi="宋体" w:eastAsia="黑体" w:cs="黑体"/>
                <w:color w:val="000000"/>
                <w:sz w:val="24"/>
              </w:rPr>
            </w:pPr>
          </w:p>
        </w:tc>
        <w:tc>
          <w:tcPr>
            <w:tcW w:w="847" w:type="dxa"/>
            <w:tcBorders>
              <w:top w:val="nil"/>
              <w:left w:val="nil"/>
              <w:bottom w:val="nil"/>
              <w:right w:val="nil"/>
            </w:tcBorders>
            <w:shd w:val="clear" w:color="auto" w:fill="auto"/>
            <w:vAlign w:val="center"/>
          </w:tcPr>
          <w:p>
            <w:pPr>
              <w:rPr>
                <w:rFonts w:ascii="黑体" w:hAnsi="宋体" w:eastAsia="黑体" w:cs="黑体"/>
                <w:color w:val="000000"/>
                <w:sz w:val="24"/>
              </w:rPr>
            </w:pPr>
          </w:p>
        </w:tc>
        <w:tc>
          <w:tcPr>
            <w:tcW w:w="2051" w:type="dxa"/>
            <w:tcBorders>
              <w:top w:val="nil"/>
              <w:left w:val="nil"/>
              <w:bottom w:val="nil"/>
              <w:right w:val="nil"/>
            </w:tcBorders>
            <w:shd w:val="clear" w:color="auto" w:fill="auto"/>
            <w:vAlign w:val="center"/>
          </w:tcPr>
          <w:p>
            <w:pPr>
              <w:rPr>
                <w:rFonts w:ascii="黑体" w:hAnsi="宋体" w:eastAsia="黑体" w:cs="黑体"/>
                <w:color w:val="000000"/>
                <w:sz w:val="24"/>
              </w:rPr>
            </w:pPr>
          </w:p>
        </w:tc>
        <w:tc>
          <w:tcPr>
            <w:tcW w:w="503" w:type="dxa"/>
            <w:tcBorders>
              <w:top w:val="nil"/>
              <w:left w:val="nil"/>
              <w:bottom w:val="nil"/>
              <w:right w:val="nil"/>
            </w:tcBorders>
            <w:shd w:val="clear" w:color="auto" w:fill="auto"/>
            <w:vAlign w:val="center"/>
          </w:tcPr>
          <w:p>
            <w:pPr>
              <w:rPr>
                <w:rFonts w:ascii="宋体" w:hAnsi="宋体" w:cs="宋体"/>
                <w:color w:val="000000"/>
                <w:sz w:val="24"/>
              </w:rPr>
            </w:pPr>
          </w:p>
        </w:tc>
        <w:tc>
          <w:tcPr>
            <w:tcW w:w="491" w:type="dxa"/>
            <w:tcBorders>
              <w:top w:val="nil"/>
              <w:left w:val="nil"/>
              <w:bottom w:val="nil"/>
              <w:right w:val="nil"/>
            </w:tcBorders>
            <w:shd w:val="clear" w:color="auto" w:fill="auto"/>
            <w:vAlign w:val="center"/>
          </w:tcPr>
          <w:p>
            <w:pPr>
              <w:rPr>
                <w:rFonts w:ascii="宋体" w:hAnsi="宋体" w:cs="宋体"/>
                <w:color w:val="000000"/>
                <w:sz w:val="24"/>
              </w:rPr>
            </w:pPr>
          </w:p>
        </w:tc>
        <w:tc>
          <w:tcPr>
            <w:tcW w:w="1069" w:type="dxa"/>
            <w:tcBorders>
              <w:top w:val="nil"/>
              <w:left w:val="nil"/>
              <w:bottom w:val="nil"/>
              <w:right w:val="nil"/>
            </w:tcBorders>
            <w:shd w:val="clear" w:color="auto" w:fill="auto"/>
            <w:vAlign w:val="center"/>
          </w:tcPr>
          <w:p>
            <w:pPr>
              <w:rPr>
                <w:rFonts w:ascii="宋体" w:hAnsi="宋体" w:cs="宋体"/>
                <w:color w:val="000000"/>
                <w:sz w:val="24"/>
              </w:rPr>
            </w:pPr>
          </w:p>
        </w:tc>
        <w:tc>
          <w:tcPr>
            <w:tcW w:w="638" w:type="dxa"/>
            <w:tcBorders>
              <w:top w:val="nil"/>
              <w:left w:val="nil"/>
              <w:bottom w:val="nil"/>
              <w:right w:val="nil"/>
            </w:tcBorders>
            <w:shd w:val="clear" w:color="auto" w:fill="auto"/>
            <w:vAlign w:val="center"/>
          </w:tcPr>
          <w:p>
            <w:pPr>
              <w:rPr>
                <w:rFonts w:ascii="宋体" w:hAnsi="宋体" w:cs="宋体"/>
                <w:color w:val="000000"/>
                <w:sz w:val="24"/>
              </w:rPr>
            </w:pPr>
          </w:p>
        </w:tc>
        <w:tc>
          <w:tcPr>
            <w:tcW w:w="565" w:type="dxa"/>
            <w:tcBorders>
              <w:top w:val="nil"/>
              <w:left w:val="nil"/>
              <w:bottom w:val="nil"/>
              <w:right w:val="nil"/>
            </w:tcBorders>
            <w:shd w:val="clear" w:color="auto" w:fill="auto"/>
            <w:vAlign w:val="center"/>
          </w:tcPr>
          <w:p>
            <w:pPr>
              <w:rPr>
                <w:rFonts w:ascii="宋体" w:hAnsi="宋体" w:cs="宋体"/>
                <w:color w:val="000000"/>
                <w:sz w:val="24"/>
              </w:rPr>
            </w:pPr>
          </w:p>
        </w:tc>
        <w:tc>
          <w:tcPr>
            <w:tcW w:w="749" w:type="dxa"/>
            <w:tcBorders>
              <w:top w:val="nil"/>
              <w:left w:val="nil"/>
              <w:bottom w:val="nil"/>
              <w:right w:val="nil"/>
            </w:tcBorders>
            <w:shd w:val="clear" w:color="auto" w:fill="auto"/>
            <w:vAlign w:val="center"/>
          </w:tcPr>
          <w:p>
            <w:pPr>
              <w:rPr>
                <w:rFonts w:ascii="宋体" w:hAnsi="宋体" w:cs="宋体"/>
                <w:color w:val="000000"/>
                <w:sz w:val="24"/>
              </w:rPr>
            </w:pPr>
          </w:p>
        </w:tc>
        <w:tc>
          <w:tcPr>
            <w:tcW w:w="528" w:type="dxa"/>
            <w:tcBorders>
              <w:top w:val="nil"/>
              <w:left w:val="nil"/>
              <w:bottom w:val="nil"/>
              <w:right w:val="nil"/>
            </w:tcBorders>
            <w:shd w:val="clear" w:color="auto" w:fill="auto"/>
            <w:vAlign w:val="center"/>
          </w:tcPr>
          <w:p>
            <w:pPr>
              <w:rPr>
                <w:rFonts w:ascii="宋体" w:hAnsi="宋体" w:cs="宋体"/>
                <w:color w:val="000000"/>
                <w:sz w:val="24"/>
              </w:rPr>
            </w:pPr>
          </w:p>
        </w:tc>
      </w:tr>
      <w:tr>
        <w:tblPrEx>
          <w:tblCellMar>
            <w:top w:w="0" w:type="dxa"/>
            <w:left w:w="108" w:type="dxa"/>
            <w:bottom w:w="0" w:type="dxa"/>
            <w:right w:w="108" w:type="dxa"/>
          </w:tblCellMar>
        </w:tblPrEx>
        <w:trPr>
          <w:trHeight w:val="570" w:hRule="atLeast"/>
        </w:trPr>
        <w:tc>
          <w:tcPr>
            <w:tcW w:w="8522" w:type="dxa"/>
            <w:gridSpan w:val="11"/>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32"/>
                <w:szCs w:val="32"/>
              </w:rPr>
            </w:pPr>
            <w:r>
              <w:rPr>
                <w:rFonts w:hint="eastAsia" w:ascii="宋体" w:hAnsi="宋体" w:cs="宋体"/>
                <w:b/>
                <w:bCs/>
                <w:color w:val="000000"/>
                <w:kern w:val="0"/>
                <w:sz w:val="32"/>
                <w:szCs w:val="32"/>
              </w:rPr>
              <w:t>绩效目标自评表</w:t>
            </w:r>
          </w:p>
        </w:tc>
      </w:tr>
      <w:tr>
        <w:tblPrEx>
          <w:tblCellMar>
            <w:top w:w="0" w:type="dxa"/>
            <w:left w:w="108" w:type="dxa"/>
            <w:bottom w:w="0" w:type="dxa"/>
            <w:right w:w="108" w:type="dxa"/>
          </w:tblCellMar>
        </w:tblPrEx>
        <w:trPr>
          <w:trHeight w:val="420" w:hRule="atLeast"/>
        </w:trPr>
        <w:tc>
          <w:tcPr>
            <w:tcW w:w="8522" w:type="dxa"/>
            <w:gridSpan w:val="11"/>
            <w:tcBorders>
              <w:top w:val="nil"/>
              <w:left w:val="nil"/>
              <w:bottom w:val="single" w:color="000000" w:sz="4" w:space="0"/>
              <w:right w:val="nil"/>
            </w:tcBorders>
            <w:shd w:val="clear" w:color="auto" w:fill="auto"/>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（2020年度）</w:t>
            </w:r>
          </w:p>
        </w:tc>
      </w:tr>
      <w:tr>
        <w:tblPrEx>
          <w:tblCellMar>
            <w:top w:w="0" w:type="dxa"/>
            <w:left w:w="108" w:type="dxa"/>
            <w:bottom w:w="0" w:type="dxa"/>
            <w:right w:w="108" w:type="dxa"/>
          </w:tblCellMar>
        </w:tblPrEx>
        <w:trPr>
          <w:trHeight w:val="555" w:hRule="atLeast"/>
        </w:trPr>
        <w:tc>
          <w:tcPr>
            <w:tcW w:w="1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因灾房屋倒损资金</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项目负责人及电话</w:t>
            </w:r>
          </w:p>
        </w:tc>
        <w:tc>
          <w:tcPr>
            <w:tcW w:w="2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马红军（13981693368）</w:t>
            </w:r>
          </w:p>
        </w:tc>
      </w:tr>
      <w:tr>
        <w:tblPrEx>
          <w:tblCellMar>
            <w:top w:w="0" w:type="dxa"/>
            <w:left w:w="108" w:type="dxa"/>
            <w:bottom w:w="0" w:type="dxa"/>
            <w:right w:w="108" w:type="dxa"/>
          </w:tblCellMar>
        </w:tblPrEx>
        <w:trPr>
          <w:trHeight w:val="300" w:hRule="atLeast"/>
        </w:trPr>
        <w:tc>
          <w:tcPr>
            <w:tcW w:w="1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通江县应急管理局</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2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通江县应急管理局</w:t>
            </w:r>
          </w:p>
        </w:tc>
      </w:tr>
      <w:tr>
        <w:tblPrEx>
          <w:tblCellMar>
            <w:top w:w="0" w:type="dxa"/>
            <w:left w:w="108" w:type="dxa"/>
            <w:bottom w:w="0" w:type="dxa"/>
            <w:right w:w="108" w:type="dxa"/>
          </w:tblCellMar>
        </w:tblPrEx>
        <w:trPr>
          <w:trHeight w:val="465" w:hRule="atLeast"/>
        </w:trPr>
        <w:tc>
          <w:tcPr>
            <w:tcW w:w="192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资金情况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（万元）</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执行率（B/A</w:t>
            </w:r>
            <w:r>
              <w:rPr>
                <w:rFonts w:hint="eastAsia" w:ascii="宋体" w:hAnsi="宋体" w:cs="宋体"/>
                <w:color w:val="000000"/>
                <w:kern w:val="0"/>
                <w:sz w:val="20"/>
                <w:szCs w:val="20"/>
                <w:highlight w:val="none"/>
                <w:lang w:eastAsia="zh-CN"/>
              </w:rPr>
              <w:t>）</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0" w:type="dxa"/>
            <w:left w:w="108" w:type="dxa"/>
            <w:bottom w:w="0" w:type="dxa"/>
            <w:right w:w="108" w:type="dxa"/>
          </w:tblCellMar>
        </w:tblPrEx>
        <w:trPr>
          <w:trHeight w:val="282" w:hRule="atLeast"/>
        </w:trPr>
        <w:tc>
          <w:tcPr>
            <w:tcW w:w="19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346</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100</w:t>
            </w:r>
            <w:r>
              <w:rPr>
                <w:rStyle w:val="23"/>
                <w:rFonts w:hint="default"/>
              </w:rPr>
              <w:t>﹪</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282" w:hRule="atLeast"/>
        </w:trPr>
        <w:tc>
          <w:tcPr>
            <w:tcW w:w="19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Style w:val="23"/>
                <w:rFonts w:hint="default"/>
              </w:rPr>
              <w:t xml:space="preserve"> 其中：本年财政拨款</w:t>
            </w:r>
          </w:p>
        </w:tc>
        <w:tc>
          <w:tcPr>
            <w:tcW w:w="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346</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346</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trPr>
        <w:tc>
          <w:tcPr>
            <w:tcW w:w="19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Style w:val="23"/>
                <w:rFonts w:hint="default"/>
              </w:rPr>
              <w:t xml:space="preserve">       其他资金</w:t>
            </w:r>
          </w:p>
        </w:tc>
        <w:tc>
          <w:tcPr>
            <w:tcW w:w="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45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年初设定目标</w:t>
            </w:r>
          </w:p>
        </w:tc>
        <w:tc>
          <w:tcPr>
            <w:tcW w:w="35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CellMar>
            <w:top w:w="0" w:type="dxa"/>
            <w:left w:w="108" w:type="dxa"/>
            <w:bottom w:w="0" w:type="dxa"/>
            <w:right w:w="108" w:type="dxa"/>
          </w:tblCellMar>
        </w:tblPrEx>
        <w:trPr>
          <w:trHeight w:val="525"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目标1：按照《自然灾害救助条例》、《国家自然灾害救助应急预案》等规定，支持做好因灾房屋倒损重建期间口粮、衣被、取暖、医疗等基本生活救助，维护社会稳定；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目标2：及时足额发放中央、省级因灾房屋倒损资金，确保受灾群众住上安全住房。</w:t>
            </w:r>
          </w:p>
        </w:tc>
        <w:tc>
          <w:tcPr>
            <w:tcW w:w="35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按年初目标完成</w:t>
            </w:r>
          </w:p>
        </w:tc>
      </w:tr>
      <w:tr>
        <w:tblPrEx>
          <w:tblCellMar>
            <w:top w:w="0" w:type="dxa"/>
            <w:left w:w="108" w:type="dxa"/>
            <w:bottom w:w="0" w:type="dxa"/>
            <w:right w:w="108" w:type="dxa"/>
          </w:tblCellMar>
        </w:tblPrEx>
        <w:trPr>
          <w:trHeight w:val="559" w:hRule="atLeas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全年实际值</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未完成原因及拟采取的改进措施</w:t>
            </w: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50分</w:t>
            </w:r>
            <w:r>
              <w:rPr>
                <w:rFonts w:hint="eastAsia" w:ascii="宋体" w:hAnsi="宋体" w:cs="宋体"/>
                <w:color w:val="000000"/>
                <w:kern w:val="0"/>
                <w:sz w:val="20"/>
                <w:szCs w:val="20"/>
                <w:highlight w:val="none"/>
                <w:lang w:eastAsia="zh-CN"/>
              </w:rPr>
              <w:t>）</w:t>
            </w: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因灾房屋倒损资金受益群众数量</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房屋倒损重建群众78户，维修加固349户。</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r>
              <w:rPr>
                <w:rStyle w:val="23"/>
                <w:rFonts w:hint="default"/>
              </w:rPr>
              <w:t>2﹪</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因灾房屋倒损资金拨付率</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验收一户，及时发放</w:t>
            </w: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因灾房屋倒损资金使用率</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救助标准</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房屋倒损重建贫困户每户6万元，其他户每户2.5至3.5万元，维修加固每户2000</w:t>
            </w:r>
            <w:r>
              <w:rPr>
                <w:rFonts w:hint="eastAsia" w:ascii="宋体" w:hAnsi="宋体" w:cs="宋体"/>
                <w:color w:val="000000"/>
                <w:kern w:val="0"/>
                <w:sz w:val="12"/>
                <w:szCs w:val="12"/>
                <w:highlight w:val="none"/>
                <w:lang w:eastAsia="zh-CN"/>
              </w:rPr>
              <w:t>--</w:t>
            </w:r>
            <w:r>
              <w:rPr>
                <w:rFonts w:hint="eastAsia" w:ascii="宋体" w:hAnsi="宋体" w:cs="宋体"/>
                <w:color w:val="000000"/>
                <w:kern w:val="0"/>
                <w:sz w:val="12"/>
                <w:szCs w:val="12"/>
              </w:rPr>
              <w:t>5000元。</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r>
              <w:rPr>
                <w:rStyle w:val="23"/>
                <w:rFonts w:hint="default"/>
              </w:rPr>
              <w:t>0﹪以上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县级财政、应急管理部门收到冬春救灾资金后发放至救助对象所需时间</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≤30日</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验收一户，及时发放</w:t>
            </w: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项目完成时间</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2021/7/31</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r>
              <w:rPr>
                <w:rStyle w:val="23"/>
                <w:rFonts w:hint="default"/>
              </w:rPr>
              <w:t>0﹪以上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验收一户，及时发放</w:t>
            </w: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30分</w:t>
            </w:r>
            <w:r>
              <w:rPr>
                <w:rFonts w:hint="eastAsia" w:ascii="宋体" w:hAnsi="宋体" w:cs="宋体"/>
                <w:color w:val="000000"/>
                <w:kern w:val="0"/>
                <w:sz w:val="20"/>
                <w:szCs w:val="20"/>
                <w:highlight w:val="none"/>
                <w:lang w:eastAsia="zh-CN"/>
              </w:rPr>
              <w:t>）</w:t>
            </w: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帮助受灾群众房屋建设率</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r>
              <w:rPr>
                <w:rStyle w:val="23"/>
                <w:rFonts w:hint="default"/>
              </w:rPr>
              <w:t>﹪以上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未验收</w:t>
            </w: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政府舆情引导</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重大负面舆情和事件次数≤5次</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满意度指标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10分</w:t>
            </w:r>
            <w:r>
              <w:rPr>
                <w:rFonts w:hint="eastAsia" w:ascii="宋体" w:hAnsi="宋体" w:cs="宋体"/>
                <w:color w:val="000000"/>
                <w:kern w:val="0"/>
                <w:sz w:val="20"/>
                <w:szCs w:val="20"/>
                <w:highlight w:val="none"/>
                <w:lang w:eastAsia="zh-CN"/>
              </w:rPr>
              <w:t>）</w:t>
            </w: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满意度指标</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政府舆情引导</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≤0.1%</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r>
              <w:rPr>
                <w:rStyle w:val="23"/>
                <w:rFonts w:hint="default"/>
              </w:rPr>
              <w:t>0﹪以上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提高服务质量</w:t>
            </w: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448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总分</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94</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bl>
    <w:p>
      <w:pPr>
        <w:pStyle w:val="2"/>
        <w:spacing w:before="93"/>
        <w:rPr>
          <w:rFonts w:hAnsi="仿宋_GB2312" w:cs="仿宋_GB2312"/>
          <w:b/>
          <w:bCs/>
          <w:sz w:val="32"/>
          <w:szCs w:val="32"/>
        </w:rPr>
      </w:pPr>
    </w:p>
    <w:p>
      <w:pPr>
        <w:pStyle w:val="2"/>
        <w:spacing w:before="93"/>
        <w:rPr>
          <w:rFonts w:hAnsi="仿宋_GB2312" w:cs="仿宋_GB2312"/>
          <w:b/>
          <w:bCs/>
          <w:sz w:val="32"/>
          <w:szCs w:val="32"/>
        </w:rPr>
      </w:pPr>
    </w:p>
    <w:p>
      <w:pPr>
        <w:pStyle w:val="2"/>
        <w:spacing w:before="93"/>
        <w:rPr>
          <w:rFonts w:hAnsi="仿宋_GB2312" w:cs="仿宋_GB2312"/>
          <w:b/>
          <w:bCs/>
          <w:sz w:val="32"/>
          <w:szCs w:val="32"/>
        </w:rPr>
      </w:pPr>
    </w:p>
    <w:p>
      <w:pPr>
        <w:pStyle w:val="2"/>
        <w:spacing w:before="93"/>
        <w:rPr>
          <w:rFonts w:hAnsi="仿宋_GB2312" w:cs="仿宋_GB2312"/>
          <w:b/>
          <w:bCs/>
          <w:sz w:val="32"/>
          <w:szCs w:val="32"/>
        </w:rPr>
      </w:pPr>
    </w:p>
    <w:p>
      <w:pPr>
        <w:pStyle w:val="2"/>
        <w:spacing w:before="93"/>
        <w:rPr>
          <w:rFonts w:hAnsi="仿宋_GB2312" w:cs="仿宋_GB2312"/>
          <w:b/>
          <w:bCs/>
          <w:sz w:val="32"/>
          <w:szCs w:val="32"/>
        </w:rPr>
      </w:pPr>
    </w:p>
    <w:p>
      <w:pPr>
        <w:pStyle w:val="2"/>
        <w:spacing w:before="93"/>
        <w:rPr>
          <w:rFonts w:hAnsi="仿宋_GB2312" w:cs="仿宋_GB2312"/>
          <w:b/>
          <w:bCs/>
          <w:sz w:val="32"/>
          <w:szCs w:val="32"/>
        </w:rPr>
      </w:pPr>
    </w:p>
    <w:p>
      <w:pPr>
        <w:pStyle w:val="2"/>
        <w:spacing w:before="93"/>
        <w:rPr>
          <w:rFonts w:hAnsi="仿宋_GB2312" w:cs="仿宋_GB2312"/>
          <w:b/>
          <w:bCs/>
          <w:sz w:val="32"/>
          <w:szCs w:val="32"/>
        </w:rPr>
      </w:pPr>
    </w:p>
    <w:p>
      <w:pPr>
        <w:pStyle w:val="2"/>
        <w:spacing w:before="93"/>
        <w:rPr>
          <w:rFonts w:hAnsi="仿宋_GB2312" w:cs="仿宋_GB2312"/>
          <w:b/>
          <w:bCs/>
          <w:sz w:val="32"/>
          <w:szCs w:val="32"/>
        </w:rPr>
      </w:pPr>
    </w:p>
    <w:p>
      <w:pPr>
        <w:pStyle w:val="2"/>
        <w:spacing w:before="93"/>
        <w:rPr>
          <w:rFonts w:hAnsi="仿宋_GB2312" w:cs="仿宋_GB2312"/>
          <w:b/>
          <w:bCs/>
          <w:sz w:val="32"/>
          <w:szCs w:val="32"/>
        </w:rPr>
      </w:pPr>
    </w:p>
    <w:p>
      <w:pPr>
        <w:pStyle w:val="2"/>
        <w:spacing w:before="93"/>
        <w:rPr>
          <w:rFonts w:hAnsi="仿宋_GB2312" w:cs="仿宋_GB2312"/>
          <w:b/>
          <w:bCs/>
          <w:sz w:val="32"/>
          <w:szCs w:val="32"/>
        </w:rPr>
      </w:pPr>
    </w:p>
    <w:p>
      <w:pPr>
        <w:pStyle w:val="2"/>
        <w:spacing w:before="93"/>
        <w:rPr>
          <w:rFonts w:hAnsi="仿宋_GB2312" w:cs="仿宋_GB2312"/>
          <w:b/>
          <w:bCs/>
          <w:sz w:val="32"/>
          <w:szCs w:val="32"/>
        </w:rPr>
      </w:pPr>
    </w:p>
    <w:p>
      <w:pPr>
        <w:pStyle w:val="2"/>
        <w:spacing w:before="93"/>
        <w:rPr>
          <w:rFonts w:hAnsi="仿宋_GB2312" w:cs="仿宋_GB2312"/>
          <w:b/>
          <w:bCs/>
          <w:sz w:val="32"/>
          <w:szCs w:val="32"/>
        </w:rPr>
      </w:pPr>
    </w:p>
    <w:p>
      <w:pPr>
        <w:pStyle w:val="2"/>
        <w:spacing w:before="93"/>
        <w:rPr>
          <w:rFonts w:hAnsi="仿宋_GB2312" w:cs="仿宋_GB2312"/>
          <w:b/>
          <w:bCs/>
          <w:sz w:val="32"/>
          <w:szCs w:val="32"/>
        </w:rPr>
      </w:pPr>
    </w:p>
    <w:p>
      <w:pPr>
        <w:pStyle w:val="6"/>
        <w:pageBreakBefore/>
        <w:adjustRightInd w:val="0"/>
        <w:snapToGrid w:val="0"/>
        <w:spacing w:before="0" w:line="44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第五部分 附表</w:t>
      </w:r>
    </w:p>
    <w:p/>
    <w:p>
      <w:pPr>
        <w:pStyle w:val="7"/>
        <w:adjustRightInd w:val="0"/>
        <w:snapToGrid w:val="0"/>
        <w:spacing w:line="440" w:lineRule="exact"/>
        <w:jc w:val="left"/>
        <w:rPr>
          <w:rFonts w:ascii="仿宋" w:hAnsi="仿宋" w:eastAsia="仿宋" w:cs="仿宋"/>
          <w:sz w:val="32"/>
          <w:szCs w:val="32"/>
        </w:rPr>
      </w:pPr>
      <w:r>
        <w:rPr>
          <w:rFonts w:hint="eastAsia" w:ascii="仿宋" w:hAnsi="仿宋" w:eastAsia="仿宋" w:cs="仿宋"/>
          <w:sz w:val="32"/>
          <w:szCs w:val="32"/>
        </w:rPr>
        <w:t>一、收入支出决算总表</w:t>
      </w:r>
    </w:p>
    <w:p/>
    <w:p>
      <w:pPr>
        <w:pStyle w:val="7"/>
        <w:numPr>
          <w:ilvl w:val="0"/>
          <w:numId w:val="3"/>
        </w:numPr>
        <w:adjustRightInd w:val="0"/>
        <w:snapToGrid w:val="0"/>
        <w:spacing w:line="440" w:lineRule="exact"/>
        <w:jc w:val="left"/>
        <w:rPr>
          <w:rFonts w:ascii="仿宋" w:hAnsi="仿宋" w:eastAsia="仿宋" w:cs="仿宋"/>
          <w:sz w:val="32"/>
          <w:szCs w:val="32"/>
        </w:rPr>
      </w:pPr>
      <w:r>
        <w:rPr>
          <w:rFonts w:hint="eastAsia" w:ascii="仿宋" w:hAnsi="仿宋" w:eastAsia="仿宋" w:cs="仿宋"/>
          <w:sz w:val="32"/>
          <w:szCs w:val="32"/>
        </w:rPr>
        <w:t>收入决算表</w:t>
      </w:r>
    </w:p>
    <w:p/>
    <w:p>
      <w:pPr>
        <w:pStyle w:val="7"/>
        <w:numPr>
          <w:ilvl w:val="0"/>
          <w:numId w:val="3"/>
        </w:numPr>
        <w:adjustRightInd w:val="0"/>
        <w:snapToGrid w:val="0"/>
        <w:spacing w:line="440" w:lineRule="exact"/>
        <w:jc w:val="left"/>
        <w:rPr>
          <w:rFonts w:ascii="仿宋" w:hAnsi="仿宋" w:eastAsia="仿宋" w:cs="仿宋"/>
          <w:sz w:val="32"/>
          <w:szCs w:val="32"/>
        </w:rPr>
      </w:pPr>
      <w:r>
        <w:rPr>
          <w:rFonts w:hint="eastAsia" w:ascii="仿宋" w:hAnsi="仿宋" w:eastAsia="仿宋" w:cs="仿宋"/>
          <w:sz w:val="32"/>
          <w:szCs w:val="32"/>
        </w:rPr>
        <w:t>支出决算表</w:t>
      </w:r>
    </w:p>
    <w:p>
      <w:pPr>
        <w:ind w:left="420" w:leftChars="200"/>
      </w:pPr>
    </w:p>
    <w:p>
      <w:pPr>
        <w:pStyle w:val="7"/>
        <w:numPr>
          <w:ilvl w:val="0"/>
          <w:numId w:val="3"/>
        </w:numPr>
        <w:adjustRightInd w:val="0"/>
        <w:snapToGrid w:val="0"/>
        <w:spacing w:line="440" w:lineRule="exact"/>
        <w:jc w:val="left"/>
        <w:rPr>
          <w:rFonts w:ascii="仿宋" w:hAnsi="仿宋" w:eastAsia="仿宋" w:cs="仿宋"/>
          <w:sz w:val="32"/>
          <w:szCs w:val="32"/>
        </w:rPr>
      </w:pPr>
      <w:r>
        <w:rPr>
          <w:rFonts w:hint="eastAsia" w:ascii="仿宋" w:hAnsi="仿宋" w:eastAsia="仿宋" w:cs="仿宋"/>
          <w:sz w:val="32"/>
          <w:szCs w:val="32"/>
        </w:rPr>
        <w:t>财政拨款收入支出决算总表</w:t>
      </w:r>
    </w:p>
    <w:p>
      <w:pPr>
        <w:ind w:left="420" w:leftChars="200"/>
      </w:pPr>
    </w:p>
    <w:p>
      <w:pPr>
        <w:pStyle w:val="7"/>
        <w:numPr>
          <w:ilvl w:val="0"/>
          <w:numId w:val="7"/>
        </w:numPr>
        <w:adjustRightInd w:val="0"/>
        <w:snapToGrid w:val="0"/>
        <w:spacing w:line="440" w:lineRule="exact"/>
        <w:jc w:val="left"/>
        <w:rPr>
          <w:rFonts w:ascii="仿宋" w:hAnsi="仿宋" w:eastAsia="仿宋" w:cs="仿宋"/>
          <w:sz w:val="32"/>
          <w:szCs w:val="32"/>
        </w:rPr>
      </w:pPr>
      <w:r>
        <w:rPr>
          <w:rFonts w:hint="eastAsia" w:ascii="仿宋" w:hAnsi="仿宋" w:eastAsia="仿宋" w:cs="仿宋"/>
          <w:sz w:val="32"/>
          <w:szCs w:val="32"/>
        </w:rPr>
        <w:t>财政拨款支出决算明细表</w:t>
      </w:r>
    </w:p>
    <w:p/>
    <w:p>
      <w:pPr>
        <w:pStyle w:val="7"/>
        <w:numPr>
          <w:ilvl w:val="0"/>
          <w:numId w:val="7"/>
        </w:numPr>
        <w:adjustRightInd w:val="0"/>
        <w:snapToGrid w:val="0"/>
        <w:spacing w:line="440" w:lineRule="exact"/>
        <w:jc w:val="left"/>
        <w:rPr>
          <w:rFonts w:ascii="仿宋" w:hAnsi="仿宋" w:eastAsia="仿宋" w:cs="仿宋"/>
          <w:sz w:val="32"/>
          <w:szCs w:val="32"/>
        </w:rPr>
      </w:pPr>
      <w:r>
        <w:rPr>
          <w:rFonts w:hint="eastAsia" w:ascii="仿宋" w:hAnsi="仿宋" w:eastAsia="仿宋" w:cs="仿宋"/>
          <w:sz w:val="32"/>
          <w:szCs w:val="32"/>
        </w:rPr>
        <w:t>一般公共预算财政拨款支出决算表</w:t>
      </w:r>
    </w:p>
    <w:p>
      <w:pPr>
        <w:ind w:left="420" w:leftChars="200"/>
      </w:pPr>
    </w:p>
    <w:p>
      <w:pPr>
        <w:pStyle w:val="7"/>
        <w:numPr>
          <w:ilvl w:val="0"/>
          <w:numId w:val="7"/>
        </w:numPr>
        <w:adjustRightInd w:val="0"/>
        <w:snapToGrid w:val="0"/>
        <w:spacing w:line="440" w:lineRule="exact"/>
        <w:jc w:val="left"/>
        <w:rPr>
          <w:rFonts w:ascii="仿宋" w:hAnsi="仿宋" w:eastAsia="仿宋" w:cs="仿宋"/>
          <w:sz w:val="32"/>
          <w:szCs w:val="32"/>
        </w:rPr>
      </w:pPr>
      <w:r>
        <w:rPr>
          <w:rFonts w:hint="eastAsia" w:ascii="仿宋" w:hAnsi="仿宋" w:eastAsia="仿宋" w:cs="仿宋"/>
          <w:sz w:val="32"/>
          <w:szCs w:val="32"/>
        </w:rPr>
        <w:t>一般公共预算财政拨款支出决算明细表</w:t>
      </w:r>
    </w:p>
    <w:p>
      <w:pPr>
        <w:ind w:left="420" w:leftChars="200"/>
      </w:pPr>
    </w:p>
    <w:p>
      <w:pPr>
        <w:pStyle w:val="7"/>
        <w:numPr>
          <w:ilvl w:val="0"/>
          <w:numId w:val="7"/>
        </w:numPr>
        <w:adjustRightInd w:val="0"/>
        <w:snapToGrid w:val="0"/>
        <w:spacing w:line="440" w:lineRule="exact"/>
        <w:jc w:val="left"/>
        <w:rPr>
          <w:rFonts w:ascii="仿宋" w:hAnsi="仿宋" w:eastAsia="仿宋" w:cs="仿宋"/>
          <w:sz w:val="32"/>
          <w:szCs w:val="32"/>
        </w:rPr>
      </w:pPr>
      <w:r>
        <w:rPr>
          <w:rFonts w:hint="eastAsia" w:ascii="仿宋" w:hAnsi="仿宋" w:eastAsia="仿宋" w:cs="仿宋"/>
          <w:sz w:val="32"/>
          <w:szCs w:val="32"/>
        </w:rPr>
        <w:t>一般公共预算财政拨款基本支出决算表</w:t>
      </w:r>
    </w:p>
    <w:p>
      <w:pPr>
        <w:ind w:left="420" w:leftChars="200"/>
      </w:pPr>
    </w:p>
    <w:p>
      <w:pPr>
        <w:pStyle w:val="7"/>
        <w:numPr>
          <w:ilvl w:val="0"/>
          <w:numId w:val="7"/>
        </w:numPr>
        <w:adjustRightInd w:val="0"/>
        <w:snapToGrid w:val="0"/>
        <w:spacing w:line="440" w:lineRule="exact"/>
        <w:jc w:val="left"/>
        <w:rPr>
          <w:rFonts w:ascii="仿宋" w:hAnsi="仿宋" w:eastAsia="仿宋" w:cs="仿宋"/>
          <w:sz w:val="32"/>
          <w:szCs w:val="32"/>
        </w:rPr>
      </w:pPr>
      <w:r>
        <w:rPr>
          <w:rFonts w:hint="eastAsia" w:ascii="仿宋" w:hAnsi="仿宋" w:eastAsia="仿宋" w:cs="仿宋"/>
          <w:sz w:val="32"/>
          <w:szCs w:val="32"/>
        </w:rPr>
        <w:t>一般公共预算财政拨款项目支出决算表</w:t>
      </w:r>
    </w:p>
    <w:p>
      <w:pPr>
        <w:ind w:left="420" w:leftChars="200"/>
      </w:pPr>
    </w:p>
    <w:p>
      <w:pPr>
        <w:pStyle w:val="7"/>
        <w:numPr>
          <w:ilvl w:val="0"/>
          <w:numId w:val="7"/>
        </w:numPr>
        <w:adjustRightInd w:val="0"/>
        <w:snapToGrid w:val="0"/>
        <w:spacing w:line="440" w:lineRule="exact"/>
        <w:jc w:val="left"/>
        <w:rPr>
          <w:rFonts w:ascii="仿宋" w:hAnsi="仿宋" w:eastAsia="仿宋" w:cs="仿宋"/>
          <w:sz w:val="32"/>
          <w:szCs w:val="32"/>
        </w:rPr>
      </w:pPr>
      <w:r>
        <w:rPr>
          <w:rFonts w:hint="eastAsia" w:ascii="仿宋" w:hAnsi="仿宋" w:eastAsia="仿宋" w:cs="仿宋"/>
          <w:sz w:val="32"/>
          <w:szCs w:val="32"/>
        </w:rPr>
        <w:t>一般公共预算财政拨款“三公”经费支出决算表</w:t>
      </w:r>
    </w:p>
    <w:p>
      <w:pPr>
        <w:ind w:left="420" w:leftChars="200"/>
      </w:pPr>
    </w:p>
    <w:p>
      <w:pPr>
        <w:pStyle w:val="7"/>
        <w:numPr>
          <w:ilvl w:val="0"/>
          <w:numId w:val="7"/>
        </w:numPr>
        <w:adjustRightInd w:val="0"/>
        <w:snapToGrid w:val="0"/>
        <w:spacing w:line="440" w:lineRule="exact"/>
        <w:jc w:val="left"/>
        <w:rPr>
          <w:rFonts w:ascii="仿宋" w:hAnsi="仿宋" w:eastAsia="仿宋" w:cs="仿宋"/>
          <w:sz w:val="32"/>
          <w:szCs w:val="32"/>
        </w:rPr>
      </w:pPr>
      <w:r>
        <w:rPr>
          <w:rFonts w:hint="eastAsia" w:ascii="仿宋" w:hAnsi="仿宋" w:eastAsia="仿宋" w:cs="仿宋"/>
          <w:sz w:val="32"/>
          <w:szCs w:val="32"/>
        </w:rPr>
        <w:t>政府性基金预算财政拨款收入支出决算表</w:t>
      </w:r>
    </w:p>
    <w:p>
      <w:pPr>
        <w:ind w:left="420" w:leftChars="200"/>
      </w:pPr>
    </w:p>
    <w:p>
      <w:pPr>
        <w:pStyle w:val="7"/>
        <w:numPr>
          <w:ilvl w:val="0"/>
          <w:numId w:val="7"/>
        </w:numPr>
        <w:adjustRightInd w:val="0"/>
        <w:snapToGrid w:val="0"/>
        <w:spacing w:line="440" w:lineRule="exact"/>
        <w:jc w:val="left"/>
        <w:rPr>
          <w:rFonts w:ascii="仿宋" w:hAnsi="仿宋" w:eastAsia="仿宋" w:cs="仿宋"/>
          <w:sz w:val="32"/>
          <w:szCs w:val="32"/>
        </w:rPr>
      </w:pPr>
      <w:r>
        <w:rPr>
          <w:rFonts w:hint="eastAsia" w:ascii="仿宋" w:hAnsi="仿宋" w:eastAsia="仿宋" w:cs="仿宋"/>
          <w:sz w:val="32"/>
          <w:szCs w:val="32"/>
        </w:rPr>
        <w:t>政府性基金预算财政拨款“三公”经费支出决算表</w:t>
      </w:r>
    </w:p>
    <w:p>
      <w:pPr>
        <w:ind w:left="420" w:leftChars="200"/>
      </w:pPr>
    </w:p>
    <w:p>
      <w:pPr>
        <w:pStyle w:val="7"/>
        <w:numPr>
          <w:ilvl w:val="0"/>
          <w:numId w:val="7"/>
        </w:numPr>
        <w:adjustRightInd w:val="0"/>
        <w:snapToGrid w:val="0"/>
        <w:spacing w:line="440" w:lineRule="exact"/>
        <w:jc w:val="left"/>
        <w:rPr>
          <w:rFonts w:ascii="仿宋" w:hAnsi="仿宋" w:eastAsia="仿宋" w:cs="仿宋"/>
          <w:sz w:val="32"/>
          <w:szCs w:val="32"/>
        </w:rPr>
      </w:pPr>
      <w:r>
        <w:rPr>
          <w:rFonts w:hint="eastAsia" w:ascii="仿宋" w:hAnsi="仿宋" w:eastAsia="仿宋" w:cs="仿宋"/>
          <w:sz w:val="32"/>
          <w:szCs w:val="32"/>
        </w:rPr>
        <w:t>国有资本经营预算财政拨款收入支出决算表</w:t>
      </w:r>
    </w:p>
    <w:p>
      <w:pPr>
        <w:ind w:left="420" w:leftChars="200"/>
      </w:pPr>
    </w:p>
    <w:p>
      <w:pPr>
        <w:pStyle w:val="7"/>
        <w:adjustRightInd w:val="0"/>
        <w:snapToGrid w:val="0"/>
        <w:spacing w:line="440" w:lineRule="exact"/>
        <w:jc w:val="left"/>
        <w:rPr>
          <w:rFonts w:ascii="仿宋" w:hAnsi="仿宋" w:eastAsia="仿宋" w:cs="仿宋"/>
          <w:sz w:val="32"/>
          <w:szCs w:val="32"/>
        </w:rPr>
      </w:pPr>
      <w:r>
        <w:rPr>
          <w:rFonts w:hint="eastAsia" w:ascii="仿宋" w:hAnsi="仿宋" w:eastAsia="仿宋" w:cs="仿宋"/>
          <w:sz w:val="32"/>
          <w:szCs w:val="32"/>
        </w:rPr>
        <w:t>十四、国有资本经营预算财政拨款支出决算表</w:t>
      </w:r>
    </w:p>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rect id="_x0000_s1193" o:spid="_x0000_s1193"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XW5UtAAAAAFAQAADwAAAAAAAAABACAAAAAiAAAAZHJzL2Rvd25yZXYueG1sUEsBAhQAFAAA&#10;AAgAh07iQMu0m9L3AQAACwQAAA4AAAAAAAAAAQAgAAAAHwEAAGRycy9lMm9Eb2MueG1sUEsFBgAA&#10;AAAGAAYAWQEAAIgFAAAAAA==&#10;">
          <v:path/>
          <v:fill on="f" focussize="0,0"/>
          <v:stroke on="f"/>
          <v:imagedata o:title=""/>
          <o:lock v:ext="edit"/>
          <v:textbox inset="0mm,0mm,0mm,0mm" style="mso-fit-shape-to-text:t;">
            <w:txbxContent>
              <w:p>
                <w:pPr>
                  <w:pStyle w:val="4"/>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rect id="_x0000_s1201" o:spid="_x0000_s1201"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l1uVLQAAAABQEAAA8AAAAAAAAAAQAgAAAAIgAAAGRycy9kb3ducmV2LnhtbFBLAQIUABQAAAAI&#10;AIdO4kDNmhy+9QEAAAsEAAAOAAAAAAAAAAEAIAAAAB8BAABkcnMvZTJvRG9jLnhtbFBLBQYAAAAA&#10;BgAGAFkBAACGBQAAAAA=&#10;">
          <v:path/>
          <v:fill on="f" focussize="0,0"/>
          <v:stroke on="f"/>
          <v:imagedata o:title=""/>
          <o:lock v:ext="edit"/>
          <v:textbox inset="0mm,0mm,0mm,0mm" style="mso-fit-shape-to-text:t;">
            <w:txbxContent>
              <w:p>
                <w:pPr>
                  <w:pStyle w:val="4"/>
                </w:pPr>
                <w:r>
                  <w:fldChar w:fldCharType="begin"/>
                </w:r>
                <w:r>
                  <w:instrText xml:space="preserve"> PAGE  \* MERGEFORMAT </w:instrText>
                </w:r>
                <w:r>
                  <w:fldChar w:fldCharType="separate"/>
                </w:r>
                <w:r>
                  <w:t>42</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4"/>
      <w:numFmt w:val="chineseCounting"/>
      <w:suff w:val="nothing"/>
      <w:lvlText w:val="（%1）"/>
      <w:lvlJc w:val="left"/>
      <w:rPr>
        <w:rFonts w:hint="eastAsia"/>
      </w:rPr>
    </w:lvl>
  </w:abstractNum>
  <w:abstractNum w:abstractNumId="1">
    <w:nsid w:val="BF205925"/>
    <w:multiLevelType w:val="singleLevel"/>
    <w:tmpl w:val="BF205925"/>
    <w:lvl w:ilvl="0" w:tentative="0">
      <w:start w:val="1"/>
      <w:numFmt w:val="decimal"/>
      <w:lvlText w:val="%1."/>
      <w:lvlJc w:val="left"/>
      <w:pPr>
        <w:tabs>
          <w:tab w:val="left" w:pos="312"/>
        </w:tabs>
      </w:pPr>
    </w:lvl>
  </w:abstractNum>
  <w:abstractNum w:abstractNumId="2">
    <w:nsid w:val="CF092B84"/>
    <w:multiLevelType w:val="singleLevel"/>
    <w:tmpl w:val="CF092B84"/>
    <w:lvl w:ilvl="0" w:tentative="0">
      <w:start w:val="2"/>
      <w:numFmt w:val="chineseCounting"/>
      <w:suff w:val="nothing"/>
      <w:lvlText w:val="%1、"/>
      <w:lvlJc w:val="left"/>
      <w:rPr>
        <w:rFonts w:hint="eastAsia"/>
      </w:rPr>
    </w:lvl>
  </w:abstractNum>
  <w:abstractNum w:abstractNumId="3">
    <w:nsid w:val="D147EDDC"/>
    <w:multiLevelType w:val="singleLevel"/>
    <w:tmpl w:val="D147EDDC"/>
    <w:lvl w:ilvl="0" w:tentative="0">
      <w:start w:val="2"/>
      <w:numFmt w:val="chineseCounting"/>
      <w:suff w:val="nothing"/>
      <w:lvlText w:val="（%1）"/>
      <w:lvlJc w:val="left"/>
      <w:rPr>
        <w:rFonts w:hint="eastAsia"/>
      </w:rPr>
    </w:lvl>
  </w:abstractNum>
  <w:abstractNum w:abstractNumId="4">
    <w:nsid w:val="0053208E"/>
    <w:multiLevelType w:val="singleLevel"/>
    <w:tmpl w:val="0053208E"/>
    <w:lvl w:ilvl="0" w:tentative="0">
      <w:start w:val="1"/>
      <w:numFmt w:val="chineseCounting"/>
      <w:suff w:val="space"/>
      <w:lvlText w:val="第%1部分"/>
      <w:lvlJc w:val="left"/>
      <w:rPr>
        <w:rFonts w:hint="eastAsia"/>
      </w:rPr>
    </w:lvl>
  </w:abstractNum>
  <w:abstractNum w:abstractNumId="5">
    <w:nsid w:val="03D62ECE"/>
    <w:multiLevelType w:val="singleLevel"/>
    <w:tmpl w:val="03D62ECE"/>
    <w:lvl w:ilvl="0" w:tentative="0">
      <w:start w:val="5"/>
      <w:numFmt w:val="chineseCounting"/>
      <w:suff w:val="nothing"/>
      <w:lvlText w:val="%1、"/>
      <w:lvlJc w:val="left"/>
      <w:rPr>
        <w:rFonts w:hint="eastAsia"/>
      </w:rPr>
    </w:lvl>
  </w:abstractNum>
  <w:abstractNum w:abstractNumId="6">
    <w:nsid w:val="59ADCABA"/>
    <w:multiLevelType w:val="singleLevel"/>
    <w:tmpl w:val="59ADCABA"/>
    <w:lvl w:ilvl="0" w:tentative="0">
      <w:start w:val="1"/>
      <w:numFmt w:val="chineseCounting"/>
      <w:suff w:val="nothing"/>
      <w:lvlText w:val="%1、"/>
      <w:lvlJc w:val="left"/>
      <w:rPr>
        <w:rFonts w:hint="eastAsia"/>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NotTrackMoves/>
  <w:documentProtection w:edit="trackedChanges"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UyYTBhZThmOTU4YTliMjhiZDc4ZDk4MjhmMTAzNjkifQ=="/>
  </w:docVars>
  <w:rsids>
    <w:rsidRoot w:val="0096338B"/>
    <w:rsid w:val="0033596D"/>
    <w:rsid w:val="0090486E"/>
    <w:rsid w:val="0096338B"/>
    <w:rsid w:val="00BF6096"/>
    <w:rsid w:val="03C04B47"/>
    <w:rsid w:val="041F2C1C"/>
    <w:rsid w:val="04562405"/>
    <w:rsid w:val="0D7F5C37"/>
    <w:rsid w:val="1E55570A"/>
    <w:rsid w:val="1EA953CC"/>
    <w:rsid w:val="234829F6"/>
    <w:rsid w:val="2ACB2AE2"/>
    <w:rsid w:val="2F3A3019"/>
    <w:rsid w:val="34E42C92"/>
    <w:rsid w:val="3DBD1EE9"/>
    <w:rsid w:val="467630F5"/>
    <w:rsid w:val="4ACD00D2"/>
    <w:rsid w:val="4FE76CA9"/>
    <w:rsid w:val="5ABD39FC"/>
    <w:rsid w:val="5C421B61"/>
    <w:rsid w:val="5D196F48"/>
    <w:rsid w:val="5F2E3632"/>
    <w:rsid w:val="62D16831"/>
    <w:rsid w:val="68501738"/>
    <w:rsid w:val="6B11349D"/>
    <w:rsid w:val="6E3052C4"/>
    <w:rsid w:val="6FD473DD"/>
    <w:rsid w:val="7711089C"/>
    <w:rsid w:val="795F0F45"/>
    <w:rsid w:val="7C086946"/>
    <w:rsid w:val="7CD062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beforeLines="30"/>
    </w:pPr>
    <w:rPr>
      <w:rFonts w:ascii="仿宋_GB2312" w:eastAsia="仿宋_GB2312"/>
      <w:kern w:val="0"/>
      <w:sz w:val="24"/>
      <w:szCs w:val="20"/>
    </w:rPr>
  </w:style>
  <w:style w:type="paragraph" w:styleId="3">
    <w:name w:val="Balloon Text"/>
    <w:basedOn w:val="1"/>
    <w:link w:val="24"/>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7">
    <w:name w:val="toc 2"/>
    <w:basedOn w:val="1"/>
    <w:next w:val="1"/>
    <w:unhideWhenUsed/>
    <w:qFormat/>
    <w:uiPriority w:val="39"/>
    <w:pPr>
      <w:tabs>
        <w:tab w:val="right" w:leader="dot" w:pos="8296"/>
      </w:tabs>
      <w:ind w:left="420" w:leftChars="20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qFormat/>
    <w:uiPriority w:val="99"/>
    <w:rPr>
      <w:rFonts w:cs="Times New Roman"/>
      <w:b/>
    </w:rPr>
  </w:style>
  <w:style w:type="character" w:styleId="12">
    <w:name w:val="page number"/>
    <w:basedOn w:val="10"/>
    <w:qFormat/>
    <w:uiPriority w:val="0"/>
  </w:style>
  <w:style w:type="character" w:styleId="13">
    <w:name w:val="Hyperlink"/>
    <w:basedOn w:val="10"/>
    <w:unhideWhenUsed/>
    <w:qFormat/>
    <w:uiPriority w:val="99"/>
    <w:rPr>
      <w:rFonts w:cs="Times New Roman"/>
      <w:color w:val="0000FF"/>
      <w:u w:val="single"/>
    </w:rPr>
  </w:style>
  <w:style w:type="paragraph" w:customStyle="1" w:styleId="14">
    <w:name w:val="Body text|2"/>
    <w:basedOn w:val="1"/>
    <w:qFormat/>
    <w:uiPriority w:val="0"/>
    <w:pPr>
      <w:shd w:val="clear" w:color="auto" w:fill="FFFFFF"/>
      <w:spacing w:after="1540" w:line="300" w:lineRule="exact"/>
      <w:jc w:val="center"/>
    </w:pPr>
    <w:rPr>
      <w:rFonts w:ascii="PMingLiU" w:hAnsi="PMingLiU" w:eastAsia="PMingLiU" w:cs="PMingLiU"/>
      <w:kern w:val="0"/>
      <w:sz w:val="30"/>
      <w:szCs w:val="30"/>
    </w:rPr>
  </w:style>
  <w:style w:type="paragraph" w:customStyle="1" w:styleId="1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6">
    <w:name w:val="四号正文"/>
    <w:basedOn w:val="1"/>
    <w:qFormat/>
    <w:uiPriority w:val="0"/>
    <w:pPr>
      <w:spacing w:line="360" w:lineRule="auto"/>
    </w:pPr>
    <w:rPr>
      <w:rFonts w:ascii="??" w:hAnsi="??" w:cs="宋体"/>
      <w:color w:val="000000"/>
      <w:kern w:val="0"/>
      <w:sz w:val="28"/>
      <w:szCs w:val="21"/>
    </w:rPr>
  </w:style>
  <w:style w:type="character" w:customStyle="1" w:styleId="17">
    <w:name w:val="font61"/>
    <w:basedOn w:val="10"/>
    <w:qFormat/>
    <w:uiPriority w:val="0"/>
    <w:rPr>
      <w:rFonts w:hint="eastAsia" w:ascii="宋体" w:hAnsi="宋体" w:eastAsia="宋体" w:cs="宋体"/>
      <w:b/>
      <w:bCs/>
      <w:color w:val="000000"/>
      <w:sz w:val="32"/>
      <w:szCs w:val="32"/>
      <w:u w:val="none"/>
    </w:rPr>
  </w:style>
  <w:style w:type="character" w:customStyle="1" w:styleId="18">
    <w:name w:val="font21"/>
    <w:basedOn w:val="10"/>
    <w:qFormat/>
    <w:uiPriority w:val="0"/>
    <w:rPr>
      <w:rFonts w:hint="eastAsia" w:ascii="宋体" w:hAnsi="宋体" w:eastAsia="宋体" w:cs="宋体"/>
      <w:color w:val="000000"/>
      <w:sz w:val="32"/>
      <w:szCs w:val="32"/>
      <w:u w:val="none"/>
    </w:rPr>
  </w:style>
  <w:style w:type="character" w:customStyle="1" w:styleId="19">
    <w:name w:val="font11"/>
    <w:basedOn w:val="10"/>
    <w:qFormat/>
    <w:uiPriority w:val="0"/>
    <w:rPr>
      <w:rFonts w:hint="eastAsia" w:ascii="宋体" w:hAnsi="宋体" w:eastAsia="宋体" w:cs="宋体"/>
      <w:color w:val="000000"/>
      <w:sz w:val="20"/>
      <w:szCs w:val="20"/>
      <w:u w:val="none"/>
    </w:rPr>
  </w:style>
  <w:style w:type="character" w:customStyle="1" w:styleId="20">
    <w:name w:val="font91"/>
    <w:basedOn w:val="10"/>
    <w:qFormat/>
    <w:uiPriority w:val="0"/>
    <w:rPr>
      <w:rFonts w:hint="eastAsia" w:ascii="宋体" w:hAnsi="宋体" w:eastAsia="宋体" w:cs="宋体"/>
      <w:b/>
      <w:bCs/>
      <w:color w:val="000000"/>
      <w:sz w:val="32"/>
      <w:szCs w:val="32"/>
      <w:u w:val="none"/>
    </w:rPr>
  </w:style>
  <w:style w:type="character" w:customStyle="1" w:styleId="21">
    <w:name w:val="font31"/>
    <w:basedOn w:val="10"/>
    <w:qFormat/>
    <w:uiPriority w:val="0"/>
    <w:rPr>
      <w:rFonts w:hint="eastAsia" w:ascii="宋体" w:hAnsi="宋体" w:eastAsia="宋体" w:cs="宋体"/>
      <w:color w:val="000000"/>
      <w:sz w:val="20"/>
      <w:szCs w:val="20"/>
      <w:u w:val="none"/>
    </w:rPr>
  </w:style>
  <w:style w:type="character" w:customStyle="1" w:styleId="22">
    <w:name w:val="font51"/>
    <w:basedOn w:val="10"/>
    <w:qFormat/>
    <w:uiPriority w:val="0"/>
    <w:rPr>
      <w:rFonts w:hint="eastAsia" w:ascii="宋体" w:hAnsi="宋体" w:eastAsia="宋体" w:cs="宋体"/>
      <w:color w:val="000000"/>
      <w:sz w:val="20"/>
      <w:szCs w:val="20"/>
      <w:u w:val="none"/>
    </w:rPr>
  </w:style>
  <w:style w:type="character" w:customStyle="1" w:styleId="23">
    <w:name w:val="font41"/>
    <w:basedOn w:val="10"/>
    <w:qFormat/>
    <w:uiPriority w:val="0"/>
    <w:rPr>
      <w:rFonts w:hint="eastAsia" w:ascii="宋体" w:hAnsi="宋体" w:eastAsia="宋体" w:cs="宋体"/>
      <w:color w:val="000000"/>
      <w:sz w:val="20"/>
      <w:szCs w:val="20"/>
      <w:u w:val="none"/>
    </w:rPr>
  </w:style>
  <w:style w:type="character" w:customStyle="1" w:styleId="24">
    <w:name w:val="批注框文本 Char"/>
    <w:basedOn w:val="10"/>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openxmlformats.org/officeDocument/2006/relationships/image" Target="../media/image3.png"/><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rgbClr val="91908C"/>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收支决算总计变动情况图</a:t>
            </a:r>
          </a:p>
        </c:rich>
      </c:tx>
      <c:layout/>
      <c:overlay val="0"/>
      <c:spPr>
        <a:noFill/>
        <a:ln>
          <a:noFill/>
        </a:ln>
        <a:effectLst/>
      </c:spPr>
    </c:title>
    <c:autoTitleDeleted val="0"/>
    <c:plotArea>
      <c:layout>
        <c:manualLayout>
          <c:layoutTarget val="inner"/>
          <c:xMode val="edge"/>
          <c:yMode val="edge"/>
          <c:x val="0.0702"/>
          <c:y val="0.005"/>
          <c:w val="0.92605"/>
          <c:h val="0.7084"/>
        </c:manualLayout>
      </c:layout>
      <c:barChart>
        <c:barDir val="col"/>
        <c:grouping val="clustered"/>
        <c:varyColors val="0"/>
        <c:ser>
          <c:idx val="0"/>
          <c:order val="0"/>
          <c:tx>
            <c:strRef>
              <c:f>Sheet1!$B$1</c:f>
              <c:strCache>
                <c:ptCount val="1"/>
                <c:pt idx="0">
                  <c:v>一般公共预算财政拨款收入</c:v>
                </c:pt>
              </c:strCache>
            </c:strRef>
          </c:tx>
          <c:spPr>
            <a:blipFill rotWithShape="1">
              <a:blip xmlns:r="http://schemas.openxmlformats.org/officeDocument/2006/relationships" r:embed="rId2"/>
              <a:stretch>
                <a:fillRect/>
              </a:stretch>
            </a:blipFill>
            <a:ln>
              <a:noFill/>
            </a:ln>
            <a:effectLst>
              <a:outerShdw blurRad="76200" dir="18900000" sy="23000" kx="-1200000" algn="bl" rotWithShape="0">
                <a:prstClr val="black">
                  <a:alpha val="10000"/>
                </a:prstClr>
              </a:outerShdw>
            </a:effectLst>
          </c:spPr>
          <c:invertIfNegative val="0"/>
          <c:dLbls>
            <c:delete val="1"/>
          </c:dLbls>
          <c:cat>
            <c:strRef>
              <c:f>Sheet1!$A$2:$A$5</c:f>
              <c:strCache>
                <c:ptCount val="4"/>
                <c:pt idx="0">
                  <c:v>2020年</c:v>
                </c:pt>
              </c:strCache>
            </c:strRef>
          </c:cat>
          <c:val>
            <c:numRef>
              <c:f>Sheet1!$B$2:$B$5</c:f>
              <c:numCache>
                <c:formatCode>General</c:formatCode>
                <c:ptCount val="4"/>
                <c:pt idx="0">
                  <c:v>3117.15</c:v>
                </c:pt>
              </c:numCache>
            </c:numRef>
          </c:val>
        </c:ser>
        <c:ser>
          <c:idx val="1"/>
          <c:order val="1"/>
          <c:tx>
            <c:strRef>
              <c:f>Sheet1!$C$1</c:f>
              <c:strCache>
                <c:ptCount val="1"/>
                <c:pt idx="0">
                  <c:v>政府性基金预算财政拨款收入</c:v>
                </c:pt>
              </c:strCache>
            </c:strRef>
          </c:tx>
          <c:spPr>
            <a:blipFill rotWithShape="1">
              <a:blip xmlns:r="http://schemas.openxmlformats.org/officeDocument/2006/relationships" r:embed="rId3"/>
              <a:stretch>
                <a:fillRect/>
              </a:stretch>
            </a:blipFill>
            <a:ln>
              <a:noFill/>
            </a:ln>
            <a:effectLst>
              <a:outerShdw blurRad="76200" dir="18900000" sy="23000" kx="-1200000" algn="bl" rotWithShape="0">
                <a:prstClr val="black">
                  <a:alpha val="10000"/>
                </a:prstClr>
              </a:outerShdw>
            </a:effectLst>
          </c:spPr>
          <c:invertIfNegative val="0"/>
          <c:dLbls>
            <c:delete val="1"/>
          </c:dLbls>
          <c:cat>
            <c:strRef>
              <c:f>Sheet1!$A$2:$A$5</c:f>
              <c:strCache>
                <c:ptCount val="4"/>
                <c:pt idx="0">
                  <c:v>2020年</c:v>
                </c:pt>
              </c:strCache>
            </c:strRef>
          </c:cat>
          <c:val>
            <c:numRef>
              <c:f>Sheet1!$C$2:$C$5</c:f>
              <c:numCache>
                <c:formatCode>General</c:formatCode>
                <c:ptCount val="4"/>
                <c:pt idx="0">
                  <c:v>0</c:v>
                </c:pt>
              </c:numCache>
            </c:numRef>
          </c:val>
        </c:ser>
        <c:ser>
          <c:idx val="2"/>
          <c:order val="2"/>
          <c:tx>
            <c:strRef>
              <c:f>Sheet1!$D$1</c:f>
              <c:strCache>
                <c:ptCount val="1"/>
                <c:pt idx="0">
                  <c:v>上级补助收入</c:v>
                </c:pt>
              </c:strCache>
            </c:strRef>
          </c:tx>
          <c:spPr>
            <a:blipFill rotWithShape="1">
              <a:blip xmlns:r="http://schemas.openxmlformats.org/officeDocument/2006/relationships" r:embed="rId4"/>
              <a:stretch>
                <a:fillRect/>
              </a:stretch>
            </a:blipFill>
            <a:ln>
              <a:noFill/>
            </a:ln>
            <a:effectLst>
              <a:outerShdw blurRad="76200" dir="18900000" sy="23000" kx="-1200000" algn="bl" rotWithShape="0">
                <a:prstClr val="black">
                  <a:alpha val="10000"/>
                </a:prstClr>
              </a:outerShdw>
            </a:effectLst>
          </c:spPr>
          <c:invertIfNegative val="0"/>
          <c:dLbls>
            <c:delete val="1"/>
          </c:dLbls>
          <c:cat>
            <c:strRef>
              <c:f>Sheet1!$A$2:$A$5</c:f>
              <c:strCache>
                <c:ptCount val="4"/>
                <c:pt idx="0">
                  <c:v>2020年</c:v>
                </c:pt>
              </c:strCache>
            </c:strRef>
          </c:cat>
          <c:val>
            <c:numRef>
              <c:f>Sheet1!$D$2:$D$5</c:f>
              <c:numCache>
                <c:formatCode>General</c:formatCode>
                <c:ptCount val="4"/>
                <c:pt idx="0">
                  <c:v>0</c:v>
                </c:pt>
              </c:numCache>
            </c:numRef>
          </c:val>
        </c:ser>
        <c:dLbls>
          <c:showLegendKey val="0"/>
          <c:showVal val="0"/>
          <c:showCatName val="0"/>
          <c:showSerName val="0"/>
          <c:showPercent val="0"/>
          <c:showBubbleSize val="0"/>
        </c:dLbls>
        <c:gapWidth val="500"/>
        <c:overlap val="-40"/>
        <c:axId val="118778880"/>
        <c:axId val="118797056"/>
      </c:barChart>
      <c:catAx>
        <c:axId val="118778880"/>
        <c:scaling>
          <c:orientation val="minMax"/>
        </c:scaling>
        <c:delete val="0"/>
        <c:axPos val="b"/>
        <c:minorGridlines>
          <c:spPr>
            <a:ln w="9525" cap="flat" cmpd="sng" algn="ctr">
              <a:solidFill>
                <a:schemeClr val="tx1">
                  <a:lumMod val="5000"/>
                  <a:lumOff val="95000"/>
                </a:schemeClr>
              </a:solidFill>
              <a:prstDash val="solid"/>
              <a:round/>
            </a:ln>
            <a:effectLst/>
          </c:spPr>
        </c:minorGridlines>
        <c:numFmt formatCode="General" sourceLinked="0"/>
        <c:majorTickMark val="none"/>
        <c:minorTickMark val="none"/>
        <c:tickLblPos val="nextTo"/>
        <c:spPr>
          <a:noFill/>
          <a:ln w="9525" cap="flat" cmpd="sng" algn="ctr">
            <a:noFill/>
            <a:prstDash val="solid"/>
            <a:round/>
          </a:ln>
          <a:effectLst/>
        </c:spPr>
        <c:txPr>
          <a:bodyPr rot="-60000000" spcFirstLastPara="0" vertOverflow="ellipsis" vert="horz" wrap="square" anchor="ctr" anchorCtr="1" forceAA="0"/>
          <a:lstStyle/>
          <a:p>
            <a:pPr>
              <a:defRPr lang="zh-CN" sz="900" b="0" i="0" u="none" strike="noStrike" kern="1200" baseline="0">
                <a:solidFill>
                  <a:srgbClr val="91908C"/>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18797056"/>
        <c:crosses val="autoZero"/>
        <c:auto val="1"/>
        <c:lblAlgn val="ctr"/>
        <c:lblOffset val="100"/>
        <c:noMultiLvlLbl val="0"/>
      </c:catAx>
      <c:valAx>
        <c:axId val="118797056"/>
        <c:scaling>
          <c:orientation val="minMax"/>
        </c:scaling>
        <c:delete val="0"/>
        <c:axPos val="l"/>
        <c:majorGridlines>
          <c:spPr>
            <a:ln w="3175" cap="flat" cmpd="sng" algn="ctr">
              <a:solidFill>
                <a:srgbClr val="EAEAEA"/>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forceAA="0"/>
          <a:lstStyle/>
          <a:p>
            <a:pPr>
              <a:defRPr lang="zh-CN" sz="900" b="0" i="0" u="none" strike="noStrike" kern="1200" baseline="0">
                <a:solidFill>
                  <a:srgbClr val="91908C"/>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187788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forceAA="0"/>
        <a:lstStyle/>
        <a:p>
          <a:pPr>
            <a:defRPr lang="zh-CN" sz="900" b="0" i="0" u="none" strike="noStrike" kern="1200" baseline="0">
              <a:solidFill>
                <a:srgbClr val="91908C"/>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solidFill>
      <a:schemeClr val="bg1"/>
    </a:solidFill>
    <a:ln w="28575" cap="flat" cmpd="sng" algn="ctr">
      <a:solidFill>
        <a:srgbClr val="EAEAEA"/>
      </a:solidFill>
      <a:prstDash val="sysDot"/>
      <a:round/>
    </a:ln>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cap="all" spc="5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tx>
            <c:strRef>
              <c:f>Sheet1!#REF!</c:f>
              <c:strCache>
                <c:ptCount val="1"/>
                <c:pt idx="0">
                  <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Lbls>
            <c:dLbl>
              <c:idx val="1"/>
              <c:layout/>
              <c:dLblPos val="inEnd"/>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Sheet1!$A$1:$A$2</c:f>
              <c:strCache>
                <c:ptCount val="2"/>
                <c:pt idx="0">
                  <c:v> </c:v>
                </c:pt>
                <c:pt idx="1">
                  <c:v>2020年</c:v>
                </c:pt>
              </c:strCache>
            </c:strRef>
          </c:cat>
          <c:val>
            <c:numRef>
              <c:f>Sheet1!$B$1:$B$2</c:f>
              <c:numCache>
                <c:formatCode>General</c:formatCode>
                <c:ptCount val="2"/>
                <c:pt idx="0">
                  <c:v>0</c:v>
                </c:pt>
                <c:pt idx="1">
                  <c:v>3117.15</c:v>
                </c:pt>
              </c:numCache>
            </c:numRef>
          </c:val>
        </c:ser>
        <c:ser>
          <c:idx val="1"/>
          <c:order val="1"/>
          <c:tx>
            <c:strRef>
              <c:f>Sheet1!#REF!</c:f>
              <c:strCache>
                <c:ptCount val="1"/>
                <c:pt idx="0">
                  <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Sheet1!$A$1:$A$2</c:f>
              <c:strCache>
                <c:ptCount val="2"/>
                <c:pt idx="0">
                  <c:v> </c:v>
                </c:pt>
                <c:pt idx="1">
                  <c:v>2020年</c:v>
                </c:pt>
              </c:strCache>
            </c:strRef>
          </c:cat>
          <c:val>
            <c:numRef>
              <c:f>Sheet1!$C$1:$C$2</c:f>
              <c:numCache>
                <c:formatCode>General</c:formatCode>
                <c:ptCount val="2"/>
                <c:pt idx="0">
                  <c:v>0</c:v>
                </c:pt>
                <c:pt idx="1">
                  <c:v>0</c:v>
                </c:pt>
              </c:numCache>
            </c:numRef>
          </c:val>
        </c:ser>
        <c:ser>
          <c:idx val="2"/>
          <c:order val="2"/>
          <c:tx>
            <c:strRef>
              <c:f>Sheet1!#REF!</c:f>
              <c:strCache>
                <c:ptCount val="1"/>
                <c:pt idx="0">
                  <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Sheet1!$A$1:$A$2</c:f>
              <c:strCache>
                <c:ptCount val="2"/>
                <c:pt idx="0">
                  <c:v> </c:v>
                </c:pt>
                <c:pt idx="1">
                  <c:v>2020年</c:v>
                </c:pt>
              </c:strCache>
            </c:strRef>
          </c:cat>
          <c:val>
            <c:numRef>
              <c:f>Sheet1!$D$1:$D$2</c:f>
              <c:numCache>
                <c:formatCode>General</c:formatCode>
                <c:ptCount val="2"/>
                <c:pt idx="0">
                  <c:v>0</c:v>
                </c:pt>
                <c:pt idx="1">
                  <c:v>0</c:v>
                </c:pt>
              </c:numCache>
            </c:numRef>
          </c:val>
        </c:ser>
        <c:ser>
          <c:idx val="3"/>
          <c:order val="3"/>
          <c:tx>
            <c:strRef>
              <c:f>Sheet1!#REF!</c:f>
              <c:strCache>
                <c:ptCount val="1"/>
                <c:pt idx="0">
                  <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Sheet1!$A$1:$A$2</c:f>
              <c:strCache>
                <c:ptCount val="2"/>
                <c:pt idx="0">
                  <c:v> </c:v>
                </c:pt>
                <c:pt idx="1">
                  <c:v>2020年</c:v>
                </c:pt>
              </c:strCache>
            </c:strRef>
          </c:cat>
          <c:val>
            <c:numRef>
              <c:f>Sheet1!$E$1:$E$2</c:f>
              <c:numCache>
                <c:formatCode>General</c:formatCode>
                <c:ptCount val="2"/>
                <c:pt idx="0">
                  <c:v>0</c:v>
                </c:pt>
                <c:pt idx="1">
                  <c:v>0</c:v>
                </c:pt>
              </c:numCache>
            </c:numRef>
          </c:val>
        </c:ser>
        <c:ser>
          <c:idx val="4"/>
          <c:order val="4"/>
          <c:tx>
            <c:strRef>
              <c:f>Sheet1!#REF!</c:f>
              <c:strCache>
                <c:ptCount val="1"/>
                <c:pt idx="0">
                  <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Sheet1!$A$1:$A$2</c:f>
              <c:strCache>
                <c:ptCount val="2"/>
                <c:pt idx="0">
                  <c:v> </c:v>
                </c:pt>
                <c:pt idx="1">
                  <c:v>2020年</c:v>
                </c:pt>
              </c:strCache>
            </c:strRef>
          </c:cat>
          <c:val>
            <c:numRef>
              <c:f>Sheet1!$F$1:$F$2</c:f>
              <c:numCache>
                <c:formatCode>General</c:formatCode>
                <c:ptCount val="2"/>
                <c:pt idx="0">
                  <c:v>0</c:v>
                </c:pt>
                <c:pt idx="1">
                  <c:v>0</c:v>
                </c:pt>
              </c:numCache>
            </c:numRef>
          </c:val>
        </c:ser>
        <c:ser>
          <c:idx val="5"/>
          <c:order val="5"/>
          <c:tx>
            <c:strRef>
              <c:f>Sheet1!#REF!</c:f>
              <c:strCache>
                <c:ptCount val="1"/>
                <c:pt idx="0">
                  <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Sheet1!$A$1:$A$2</c:f>
              <c:strCache>
                <c:ptCount val="2"/>
                <c:pt idx="0">
                  <c:v> </c:v>
                </c:pt>
                <c:pt idx="1">
                  <c:v>2020年</c:v>
                </c:pt>
              </c:strCache>
            </c:strRef>
          </c:cat>
          <c:val>
            <c:numRef>
              <c:f>Sheet1!$G$1:$G$2</c:f>
              <c:numCache>
                <c:formatCode>General</c:formatCode>
                <c:ptCount val="2"/>
                <c:pt idx="0">
                  <c:v>0</c:v>
                </c:pt>
                <c:pt idx="1">
                  <c:v>0</c:v>
                </c:pt>
              </c:numCache>
            </c:numRef>
          </c:val>
        </c:ser>
        <c:ser>
          <c:idx val="6"/>
          <c:order val="6"/>
          <c:tx>
            <c:strRef>
              <c:f>Sheet1!#REF!</c:f>
              <c:strCache>
                <c:ptCount val="1"/>
                <c:pt idx="0">
                  <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Sheet1!$A$1:$A$2</c:f>
              <c:strCache>
                <c:ptCount val="2"/>
                <c:pt idx="0">
                  <c:v> </c:v>
                </c:pt>
                <c:pt idx="1">
                  <c:v>2020年</c:v>
                </c:pt>
              </c:strCache>
            </c:strRef>
          </c:cat>
          <c:val>
            <c:numRef>
              <c:f>Sheet1!$H$1:$H$2</c:f>
              <c:numCache>
                <c:formatCode>General</c:formatCode>
                <c:ptCount val="2"/>
                <c:pt idx="0">
                  <c:v>0</c:v>
                </c:pt>
                <c:pt idx="1">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支出决算情况说明</a:t>
            </a:r>
            <a:endParaRPr b="1"/>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998.8</c:v>
                </c:pt>
                <c:pt idx="1">
                  <c:v>2118.35</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4"/>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b="1"/>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财政拨款收、支决算总计变动情况</a:t>
            </a:r>
            <a:endParaRPr b="1"/>
          </a:p>
        </c:rich>
      </c:tx>
      <c:layout>
        <c:manualLayout>
          <c:xMode val="edge"/>
          <c:yMode val="edge"/>
          <c:x val="0.282375"/>
          <c:y val="0.0293333333333333"/>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财政拨款收入</c:v>
                </c:pt>
              </c:strCache>
            </c:strRef>
          </c:tx>
          <c:spPr>
            <a:solidFill>
              <a:schemeClr val="accent1"/>
            </a:solidFill>
            <a:ln>
              <a:noFill/>
            </a:ln>
            <a:effectLst/>
          </c:spPr>
          <c:invertIfNegative val="0"/>
          <c:dLbls>
            <c:delete val="1"/>
          </c:dLbls>
          <c:cat>
            <c:strRef>
              <c:f>Sheet1!$A$2:$A$5</c:f>
              <c:strCache>
                <c:ptCount val="4"/>
                <c:pt idx="0">
                  <c:v>2020年</c:v>
                </c:pt>
                <c:pt idx="1">
                  <c:v>2019年</c:v>
                </c:pt>
              </c:strCache>
            </c:strRef>
          </c:cat>
          <c:val>
            <c:numRef>
              <c:f>Sheet1!$B$2:$B$5</c:f>
              <c:numCache>
                <c:formatCode>General</c:formatCode>
                <c:ptCount val="4"/>
                <c:pt idx="0">
                  <c:v>3117.15</c:v>
                </c:pt>
                <c:pt idx="1">
                  <c:v>1216.68</c:v>
                </c:pt>
              </c:numCache>
            </c:numRef>
          </c:val>
        </c:ser>
        <c:ser>
          <c:idx val="1"/>
          <c:order val="1"/>
          <c:tx>
            <c:strRef>
              <c:f>Sheet1!$C$1</c:f>
              <c:strCache>
                <c:ptCount val="1"/>
                <c:pt idx="0">
                  <c:v>财政拨款支出</c:v>
                </c:pt>
              </c:strCache>
            </c:strRef>
          </c:tx>
          <c:spPr>
            <a:solidFill>
              <a:schemeClr val="accent2"/>
            </a:solidFill>
            <a:ln>
              <a:noFill/>
            </a:ln>
            <a:effectLst/>
          </c:spPr>
          <c:invertIfNegative val="0"/>
          <c:dLbls>
            <c:delete val="1"/>
          </c:dLbls>
          <c:cat>
            <c:strRef>
              <c:f>Sheet1!$A$2:$A$5</c:f>
              <c:strCache>
                <c:ptCount val="4"/>
                <c:pt idx="0">
                  <c:v>2020年</c:v>
                </c:pt>
                <c:pt idx="1">
                  <c:v>2019年</c:v>
                </c:pt>
              </c:strCache>
            </c:strRef>
          </c:cat>
          <c:val>
            <c:numRef>
              <c:f>Sheet1!$C$2:$C$5</c:f>
              <c:numCache>
                <c:formatCode>General</c:formatCode>
                <c:ptCount val="4"/>
                <c:pt idx="0">
                  <c:v>3117.15</c:v>
                </c:pt>
                <c:pt idx="1">
                  <c:v>1216.68</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2020年</c:v>
                </c:pt>
                <c:pt idx="1">
                  <c:v>2019年</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22801280"/>
        <c:axId val="222811264"/>
      </c:barChart>
      <c:catAx>
        <c:axId val="22280128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2811264"/>
        <c:crosses val="autoZero"/>
        <c:auto val="1"/>
        <c:lblAlgn val="ctr"/>
        <c:lblOffset val="100"/>
        <c:noMultiLvlLbl val="0"/>
      </c:catAx>
      <c:valAx>
        <c:axId val="2228112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2801280"/>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1" i="0" u="none" strike="noStrike" kern="1200" spc="0" baseline="0">
                <a:solidFill>
                  <a:schemeClr val="tx1">
                    <a:lumMod val="75000"/>
                    <a:lumOff val="25000"/>
                  </a:schemeClr>
                </a:solidFill>
                <a:latin typeface="微软雅黑" panose="020B0503020204020204" charset="-122"/>
                <a:ea typeface="微软雅黑" panose="020B0503020204020204" charset="-122"/>
                <a:cs typeface="+mn-cs"/>
              </a:defRPr>
            </a:pPr>
            <a:r>
              <a:rPr b="1"/>
              <a:t>一般公共预算财政拨款支出决算变动情况</a:t>
            </a:r>
            <a:endParaRPr b="1"/>
          </a:p>
        </c:rich>
      </c:tx>
      <c:layout>
        <c:manualLayout>
          <c:xMode val="edge"/>
          <c:yMode val="edge"/>
          <c:x val="0.206497553199746"/>
          <c:y val="0.0422080419992094"/>
        </c:manualLayout>
      </c:layout>
      <c:overlay val="0"/>
      <c:spPr>
        <a:noFill/>
        <a:ln>
          <a:noFill/>
        </a:ln>
        <a:effectLst/>
      </c:spPr>
    </c:title>
    <c:autoTitleDeleted val="0"/>
    <c:plotArea>
      <c:layout>
        <c:manualLayout>
          <c:layoutTarget val="inner"/>
          <c:xMode val="edge"/>
          <c:yMode val="edge"/>
          <c:x val="0.0873748906386702"/>
          <c:y val="0.174131111111111"/>
          <c:w val="0.882069553805774"/>
          <c:h val="0.692801481481482"/>
        </c:manualLayout>
      </c:layout>
      <c:barChart>
        <c:barDir val="col"/>
        <c:grouping val="clustered"/>
        <c:varyColors val="0"/>
        <c:ser>
          <c:idx val="0"/>
          <c:order val="0"/>
          <c:tx>
            <c:strRef>
              <c:f>Sheet1!$B$1</c:f>
              <c:strCache>
                <c:ptCount val="1"/>
                <c:pt idx="0">
                  <c:v>2020年</c:v>
                </c:pt>
              </c:strCache>
            </c:strRef>
          </c:tx>
          <c:spPr>
            <a:pattFill prst="dkDnDiag">
              <a:fgClr>
                <a:srgbClr val="2CB288"/>
              </a:fgClr>
              <a:bgClr>
                <a:schemeClr val="bg1"/>
              </a:bgClr>
            </a:patt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一般公共预算财政拨款支出</c:v>
                </c:pt>
              </c:strCache>
            </c:strRef>
          </c:cat>
          <c:val>
            <c:numRef>
              <c:f>Sheet1!$B$2</c:f>
              <c:numCache>
                <c:formatCode>General</c:formatCode>
                <c:ptCount val="1"/>
                <c:pt idx="0">
                  <c:v>3117.15</c:v>
                </c:pt>
              </c:numCache>
            </c:numRef>
          </c:val>
        </c:ser>
        <c:ser>
          <c:idx val="1"/>
          <c:order val="1"/>
          <c:tx>
            <c:strRef>
              <c:f>Sheet1!$C$1</c:f>
              <c:strCache>
                <c:ptCount val="1"/>
                <c:pt idx="0">
                  <c:v>2019年</c:v>
                </c:pt>
              </c:strCache>
            </c:strRef>
          </c:tx>
          <c:spPr>
            <a:pattFill prst="dkDnDiag">
              <a:fgClr>
                <a:srgbClr val="DC3A4A"/>
              </a:fgClr>
              <a:bgClr>
                <a:schemeClr val="bg1"/>
              </a:bgClr>
            </a:patt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一般公共预算财政拨款支出</c:v>
                </c:pt>
              </c:strCache>
            </c:strRef>
          </c:cat>
          <c:val>
            <c:numRef>
              <c:f>Sheet1!$C$2</c:f>
              <c:numCache>
                <c:formatCode>General</c:formatCode>
                <c:ptCount val="1"/>
                <c:pt idx="0">
                  <c:v>1216.68</c:v>
                </c:pt>
              </c:numCache>
            </c:numRef>
          </c:val>
        </c:ser>
        <c:dLbls>
          <c:showLegendKey val="0"/>
          <c:showVal val="0"/>
          <c:showCatName val="0"/>
          <c:showSerName val="0"/>
          <c:showPercent val="0"/>
          <c:showBubbleSize val="0"/>
        </c:dLbls>
        <c:gapWidth val="219"/>
        <c:axId val="222875648"/>
        <c:axId val="222877184"/>
      </c:barChart>
      <c:catAx>
        <c:axId val="22287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mn-cs"/>
              </a:defRPr>
            </a:pPr>
          </a:p>
        </c:txPr>
        <c:crossAx val="222877184"/>
        <c:crosses val="autoZero"/>
        <c:auto val="1"/>
        <c:lblAlgn val="ctr"/>
        <c:lblOffset val="100"/>
        <c:noMultiLvlLbl val="0"/>
      </c:catAx>
      <c:valAx>
        <c:axId val="2228771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solidFill>
              <a:schemeClr val="bg1">
                <a:lumMod val="85000"/>
              </a:schemeClr>
            </a:solid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mn-cs"/>
              </a:defRPr>
            </a:pPr>
          </a:p>
        </c:txPr>
        <c:crossAx val="222875648"/>
        <c:crosses val="autoZero"/>
        <c:crossBetween val="between"/>
      </c:valAx>
      <c:spPr>
        <a:noFill/>
        <a:ln>
          <a:noFill/>
        </a:ln>
        <a:effectLst/>
      </c:spPr>
    </c:plotArea>
    <c:plotVisOnly val="1"/>
    <c:dispBlanksAs val="gap"/>
    <c:showDLblsOverMax val="0"/>
  </c:chart>
  <c:spPr>
    <a:solidFill>
      <a:sysClr val="window" lastClr="FFFFFF"/>
    </a:solidFill>
    <a:ln w="9525" cap="flat" cmpd="sng" algn="ctr">
      <a:solidFill>
        <a:schemeClr val="bg1">
          <a:lumMod val="9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1"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b="1"/>
              <a:t>一般公共预算财政拨款支出决算结构</a:t>
            </a:r>
            <a:endParaRPr b="1"/>
          </a:p>
        </c:rich>
      </c:tx>
      <c:layout/>
      <c:overlay val="0"/>
      <c:spPr>
        <a:noFill/>
        <a:ln>
          <a:noFill/>
        </a:ln>
        <a:effectLst/>
      </c:spPr>
    </c:title>
    <c:autoTitleDeleted val="0"/>
    <c:plotArea>
      <c:layout>
        <c:manualLayout>
          <c:layoutTarget val="inner"/>
          <c:xMode val="edge"/>
          <c:yMode val="edge"/>
          <c:x val="0.300459674049311"/>
          <c:y val="0.25974025974026"/>
          <c:w val="0.408552723220504"/>
          <c:h val="0.692561983471074"/>
        </c:manualLayout>
      </c:layout>
      <c:pieChart>
        <c:varyColors val="1"/>
        <c:ser>
          <c:idx val="0"/>
          <c:order val="0"/>
          <c:tx>
            <c:strRef>
              <c:f>Sheet1!$B$1</c:f>
              <c:strCache>
                <c:ptCount val="1"/>
                <c:pt idx="0">
                  <c:v>销售额</c:v>
                </c:pt>
              </c:strCache>
            </c:strRef>
          </c:tx>
          <c:spPr>
            <a:solidFill>
              <a:srgbClr val="859949"/>
            </a:solidFill>
            <a:ln w="31750">
              <a:solidFill>
                <a:schemeClr val="bg1">
                  <a:alpha val="42000"/>
                </a:schemeClr>
              </a:solidFill>
            </a:ln>
          </c:spPr>
          <c:explosion val="0"/>
          <c:dPt>
            <c:idx val="0"/>
            <c:bubble3D val="0"/>
            <c:spPr>
              <a:solidFill>
                <a:srgbClr val="365B7C"/>
              </a:solidFill>
              <a:ln w="31750">
                <a:solidFill>
                  <a:schemeClr val="bg1">
                    <a:alpha val="42000"/>
                  </a:schemeClr>
                </a:solidFill>
              </a:ln>
              <a:effectLst/>
            </c:spPr>
          </c:dPt>
          <c:dPt>
            <c:idx val="1"/>
            <c:bubble3D val="0"/>
            <c:spPr>
              <a:solidFill>
                <a:srgbClr val="966480"/>
              </a:solidFill>
              <a:ln w="31750">
                <a:solidFill>
                  <a:schemeClr val="bg1">
                    <a:alpha val="42000"/>
                  </a:schemeClr>
                </a:solidFill>
              </a:ln>
              <a:effectLst/>
            </c:spPr>
          </c:dPt>
          <c:dPt>
            <c:idx val="2"/>
            <c:bubble3D val="0"/>
            <c:spPr>
              <a:solidFill>
                <a:srgbClr val="D06F83"/>
              </a:solidFill>
              <a:ln w="31750">
                <a:solidFill>
                  <a:schemeClr val="bg1">
                    <a:alpha val="42000"/>
                  </a:schemeClr>
                </a:solidFill>
              </a:ln>
              <a:effectLst/>
            </c:spPr>
          </c:dPt>
          <c:dPt>
            <c:idx val="3"/>
            <c:bubble3D val="0"/>
            <c:spPr>
              <a:solidFill>
                <a:srgbClr val="DD5F71"/>
              </a:solidFill>
              <a:ln w="31750">
                <a:solidFill>
                  <a:schemeClr val="bg1">
                    <a:alpha val="42000"/>
                  </a:schemeClr>
                </a:solidFill>
              </a:ln>
              <a:effectLst/>
            </c:spPr>
          </c:dPt>
          <c:dPt>
            <c:idx val="4"/>
            <c:bubble3D val="0"/>
            <c:spPr>
              <a:solidFill>
                <a:srgbClr val="F68B6B"/>
              </a:solidFill>
              <a:ln w="31750">
                <a:solidFill>
                  <a:schemeClr val="bg1">
                    <a:alpha val="42000"/>
                  </a:schemeClr>
                </a:solidFill>
              </a:ln>
              <a:effectLst/>
            </c:spPr>
          </c:dPt>
          <c:dPt>
            <c:idx val="5"/>
            <c:bubble3D val="0"/>
            <c:spPr>
              <a:solidFill>
                <a:srgbClr val="859949"/>
              </a:solidFill>
              <a:ln w="31750">
                <a:solidFill>
                  <a:schemeClr val="bg1">
                    <a:alpha val="42000"/>
                  </a:schemeClr>
                </a:solidFill>
              </a:ln>
              <a:effectLst/>
            </c:spPr>
          </c:dPt>
          <c:dPt>
            <c:idx val="6"/>
            <c:bubble3D val="0"/>
            <c:spPr>
              <a:solidFill>
                <a:srgbClr val="859949"/>
              </a:solidFill>
              <a:ln w="31750">
                <a:solidFill>
                  <a:schemeClr val="bg1">
                    <a:alpha val="42000"/>
                  </a:schemeClr>
                </a:solidFill>
              </a:ln>
              <a:effectLst/>
            </c:spPr>
          </c:dPt>
          <c:dPt>
            <c:idx val="7"/>
            <c:bubble3D val="0"/>
            <c:spPr>
              <a:solidFill>
                <a:srgbClr val="859949"/>
              </a:solidFill>
              <a:ln w="31750">
                <a:solidFill>
                  <a:schemeClr val="bg1">
                    <a:alpha val="42000"/>
                  </a:schemeClr>
                </a:solidFill>
              </a:ln>
              <a:effectLst/>
            </c:spPr>
          </c:dPt>
          <c:dPt>
            <c:idx val="8"/>
            <c:bubble3D val="0"/>
            <c:spPr>
              <a:solidFill>
                <a:srgbClr val="859949"/>
              </a:solidFill>
              <a:ln w="31750">
                <a:solidFill>
                  <a:schemeClr val="bg1">
                    <a:alpha val="42000"/>
                  </a:schemeClr>
                </a:solidFill>
              </a:ln>
              <a:effectLst/>
            </c:spPr>
          </c:dPt>
          <c:dLbls>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Sheet1!$A$2:$A$10</c:f>
              <c:strCache>
                <c:ptCount val="9"/>
                <c:pt idx="0">
                  <c:v>一般公共服务（类）</c:v>
                </c:pt>
                <c:pt idx="1">
                  <c:v>教育（类）</c:v>
                </c:pt>
                <c:pt idx="2">
                  <c:v>科学技术（类）</c:v>
                </c:pt>
                <c:pt idx="3">
                  <c:v>文化旅游体育与传媒（类）</c:v>
                </c:pt>
                <c:pt idx="4">
                  <c:v>社会保障和就业（类）</c:v>
                </c:pt>
                <c:pt idx="5">
                  <c:v>卫生健康（类）</c:v>
                </c:pt>
                <c:pt idx="6">
                  <c:v>农林水（类）</c:v>
                </c:pt>
                <c:pt idx="7">
                  <c:v>住房保障（类）</c:v>
                </c:pt>
                <c:pt idx="8">
                  <c:v>灾害防治及应急管理（类）</c:v>
                </c:pt>
              </c:strCache>
            </c:strRef>
          </c:cat>
          <c:val>
            <c:numRef>
              <c:f>Sheet1!$B$2:$B$10</c:f>
              <c:numCache>
                <c:formatCode>General</c:formatCode>
                <c:ptCount val="9"/>
                <c:pt idx="0">
                  <c:v>1</c:v>
                </c:pt>
                <c:pt idx="1">
                  <c:v>0</c:v>
                </c:pt>
                <c:pt idx="2">
                  <c:v>0</c:v>
                </c:pt>
                <c:pt idx="3">
                  <c:v>0</c:v>
                </c:pt>
                <c:pt idx="4">
                  <c:v>73.34</c:v>
                </c:pt>
                <c:pt idx="5">
                  <c:v>47.24</c:v>
                </c:pt>
                <c:pt idx="6">
                  <c:v>143</c:v>
                </c:pt>
                <c:pt idx="7">
                  <c:v>55.01</c:v>
                </c:pt>
                <c:pt idx="8">
                  <c:v>2797.55</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a:lstStyle/>
    <a:p>
      <a:pPr>
        <a:defRPr lang="zh-CN">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en-US" altLang="zh-CN" b="1"/>
              <a:t>“</a:t>
            </a:r>
            <a:r>
              <a:rPr altLang="en-US" b="1"/>
              <a:t>三公</a:t>
            </a:r>
            <a:r>
              <a:rPr lang="en-US" altLang="zh-CN" b="1"/>
              <a:t>”</a:t>
            </a:r>
            <a:r>
              <a:rPr altLang="en-US" b="1"/>
              <a:t>经费财政拨款支出结构</a:t>
            </a:r>
            <a:endParaRPr lang="en-US" altLang="zh-CN" b="1"/>
          </a:p>
        </c:rich>
      </c:tx>
      <c:layout/>
      <c:overlay val="0"/>
      <c:spPr>
        <a:noFill/>
        <a:ln>
          <a:noFill/>
        </a:ln>
        <a:effectLst/>
      </c:spPr>
    </c:title>
    <c:autoTitleDeleted val="0"/>
    <c:plotArea>
      <c:layout/>
      <c:pieChart>
        <c:varyColors val="1"/>
        <c:ser>
          <c:idx val="0"/>
          <c:order val="0"/>
          <c:tx>
            <c:strRef>
              <c:f>Sheet1!$B$1</c:f>
              <c:strCache>
                <c:ptCount val="1"/>
                <c:pt idx="0">
                  <c:v>列1</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公务用车购置及运行维护费</c:v>
                </c:pt>
                <c:pt idx="1">
                  <c:v>公务用车购置及运行维护费</c:v>
                </c:pt>
                <c:pt idx="2">
                  <c:v>公务接待费</c:v>
                </c:pt>
              </c:strCache>
            </c:strRef>
          </c:cat>
          <c:val>
            <c:numRef>
              <c:f>Sheet1!$B$2:$B$4</c:f>
              <c:numCache>
                <c:formatCode>General</c:formatCode>
                <c:ptCount val="3"/>
                <c:pt idx="0">
                  <c:v>0</c:v>
                </c:pt>
                <c:pt idx="1">
                  <c:v>2</c:v>
                </c:pt>
                <c:pt idx="2">
                  <c:v>1.95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b="1"/>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193"/>
    <customShpInfo spid="_x0000_s1201"/>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2021-10-12T02:11:00Z</dcterms:created>
  <dc:creator>Aaron</dc:creator>
  <cp:lastModifiedBy>Administrator</cp:lastModifiedBy>
  <cp:lastPrinted>2021-10-15T06:47:00Z</cp:lastPrinted>
  <dcterms:modified xsi:type="dcterms:W3CDTF">2021-10-18T01:32:27Z</dcterms:modified>
  <cp:revision>1</cp:revision>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Administrator</cp:lastModifiedBy>
  <cp:revision>1</cp:revision>
  <cp:lastPrinted>2021-10-15T06:47:00Z</cp:lastPrinted>
  <dcterms:created xsi:type="dcterms:W3CDTF">2021-10-12T02:11:00Z</dcterms:created>
  <dcterms:modified xsi:type="dcterms:W3CDTF">2021-10-18T01:32:27Z</dcterms:modified>
</cp:coreProperties>
</file>

<file path=customXml/item4.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Office_11.1.0.10356_F1E327BC-269C-435d-A152-05C5408002CA</Application>
  <DocSecurity>0</DocSecurity>
</Properties>
</file>

<file path=customXml/item5.xml><?xml version="1.0" encoding="utf-8"?>
<Properties xmlns:vt="http://schemas.openxmlformats.org/officeDocument/2006/docPropsVTypes" xmlns="http://schemas.openxmlformats.org/officeDocument/2006/extended-properties">
  <Template>Normal.dotm</Template>
  <TotalTime>9</TotalTime>
  <Pages>1</Pages>
  <Words>0</Words>
  <Characters>0</Characters>
  <Application>WPS Office_11.1.0.10356_F1E327BC-269C-435d-A152-05C5408002CA</Application>
  <DocSecurity>0</DocSecurity>
  <Lines>0</Lines>
  <Paragraphs>0</Paragraphs>
  <CharactersWithSpaces>0</CharactersWithSpaces>
  <AppVersion>14.0000</AppVersion>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566D278A436142FEA6086B51B4406C58</vt:lpw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566D278A436142FEA6086B51B4406C58</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021A7F-98BD-476C-AC0B-7042232501E8}">
  <ds:schemaRefs/>
</ds:datastoreItem>
</file>

<file path=customXml/itemProps3.xml><?xml version="1.0" encoding="utf-8"?>
<ds:datastoreItem xmlns:ds="http://schemas.openxmlformats.org/officeDocument/2006/customXml" ds:itemID="{C295041A-B3A0-4E72-AA03-B79992285FF8}">
  <ds:schemaRefs/>
</ds:datastoreItem>
</file>

<file path=customXml/itemProps4.xml><?xml version="1.0" encoding="utf-8"?>
<ds:datastoreItem xmlns:ds="http://schemas.openxmlformats.org/officeDocument/2006/customXml" ds:itemID="{08CBA16D-5FA5-40BF-AC1E-8DD16FD6FAD5}">
  <ds:schemaRefs/>
</ds:datastoreItem>
</file>

<file path=customXml/itemProps5.xml><?xml version="1.0" encoding="utf-8"?>
<ds:datastoreItem xmlns:ds="http://schemas.openxmlformats.org/officeDocument/2006/customXml" ds:itemID="{1D73B1E3-5FD3-4CAB-A66B-21C65695EC56}">
  <ds:schemaRefs/>
</ds:datastoreItem>
</file>

<file path=customXml/itemProps6.xml><?xml version="1.0" encoding="utf-8"?>
<ds:datastoreItem xmlns:ds="http://schemas.openxmlformats.org/officeDocument/2006/customXml" ds:itemID="{D23B7917-9F9B-4292-9D79-21F57BAC1899}">
  <ds:schemaRefs/>
</ds:datastoreItem>
</file>

<file path=customXml/itemProps7.xml><?xml version="1.0" encoding="utf-8"?>
<ds:datastoreItem xmlns:ds="http://schemas.openxmlformats.org/officeDocument/2006/customXml" ds:itemID="{38CD2D25-D2F8-48F9-9D85-507315235C0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45</Pages>
  <Words>15529</Words>
  <Characters>16566</Characters>
  <Lines>134</Lines>
  <Paragraphs>37</Paragraphs>
  <TotalTime>10</TotalTime>
  <ScaleCrop>false</ScaleCrop>
  <LinksUpToDate>false</LinksUpToDate>
  <CharactersWithSpaces>16643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2021-10-12T02:11:00Z</dcterms:created>
  <dc:creator>Aaron</dc:creator>
  <cp:lastModifiedBy>狂奔的蜗牛</cp:lastModifiedBy>
  <cp:lastPrinted>2021-10-15T06:47:00Z</cp:lastPrinted>
  <dcterms:modified xsi:type="dcterms:W3CDTF">2022-09-10T08:02:09Z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28942DB85D6E4AEA8E6A4B1497DF6681</vt:lpwstr>
  </property>
</Properties>
</file>