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176"/>
        </w:tabs>
        <w:jc w:val="center"/>
        <w:rPr>
          <w:rFonts w:ascii="仿宋" w:hAnsi="仿宋" w:eastAsia="仿宋"/>
          <w:b/>
          <w:bCs/>
          <w:color w:val="000000"/>
          <w:sz w:val="32"/>
          <w:szCs w:val="32"/>
        </w:rPr>
      </w:pPr>
    </w:p>
    <w:p>
      <w:pPr>
        <w:spacing w:line="600" w:lineRule="exact"/>
        <w:jc w:val="center"/>
        <w:outlineLvl w:val="0"/>
        <w:rPr>
          <w:rFonts w:ascii="方正小标宋简体" w:hAnsi="宋体" w:eastAsia="方正小标宋简体"/>
          <w:color w:val="000000"/>
          <w:sz w:val="72"/>
          <w:szCs w:val="72"/>
        </w:rPr>
      </w:pPr>
      <w:bookmarkStart w:id="0" w:name="_Toc15306267"/>
    </w:p>
    <w:bookmarkEnd w:id="0"/>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adjustRightInd w:val="0"/>
        <w:snapToGrid w:val="0"/>
        <w:spacing w:line="360" w:lineRule="auto"/>
        <w:jc w:val="center"/>
        <w:rPr>
          <w:rFonts w:ascii="方正小标宋简体" w:hAnsi="宋体" w:eastAsia="方正小标宋简体"/>
          <w:color w:val="000000"/>
          <w:sz w:val="56"/>
          <w:szCs w:val="56"/>
        </w:rPr>
      </w:pPr>
      <w:bookmarkStart w:id="1" w:name="_Toc1698"/>
      <w:bookmarkStart w:id="2" w:name="_Toc8172"/>
      <w:bookmarkStart w:id="3" w:name="_Toc2249"/>
      <w:bookmarkStart w:id="4" w:name="_Toc15377194"/>
      <w:bookmarkStart w:id="5" w:name="_Toc15396598"/>
      <w:bookmarkStart w:id="6" w:name="_Toc15377426"/>
      <w:bookmarkStart w:id="7" w:name="_Toc15378442"/>
      <w:bookmarkStart w:id="8" w:name="_Toc15396476"/>
      <w:bookmarkStart w:id="9" w:name="_Toc15306268"/>
      <w:r>
        <w:rPr>
          <w:rFonts w:hint="eastAsia" w:ascii="方正小标宋简体" w:hAnsi="宋体" w:eastAsia="方正小标宋简体"/>
          <w:color w:val="000000"/>
          <w:sz w:val="56"/>
          <w:szCs w:val="56"/>
        </w:rPr>
        <w:t>通江县毛浴镇人民政府</w:t>
      </w:r>
      <w:bookmarkEnd w:id="1"/>
      <w:bookmarkEnd w:id="2"/>
      <w:bookmarkEnd w:id="3"/>
    </w:p>
    <w:p>
      <w:pPr>
        <w:adjustRightInd w:val="0"/>
        <w:snapToGrid w:val="0"/>
        <w:spacing w:line="360" w:lineRule="auto"/>
        <w:jc w:val="center"/>
        <w:rPr>
          <w:rFonts w:ascii="方正小标宋简体" w:hAnsi="宋体" w:eastAsia="方正小标宋简体"/>
          <w:color w:val="000000"/>
          <w:sz w:val="56"/>
          <w:szCs w:val="56"/>
        </w:rPr>
      </w:pPr>
      <w:bookmarkStart w:id="10" w:name="_Toc15396597"/>
      <w:bookmarkStart w:id="11" w:name="_Toc15377193"/>
      <w:bookmarkStart w:id="12" w:name="_Toc15396475"/>
      <w:bookmarkStart w:id="13" w:name="_Toc15377425"/>
      <w:bookmarkStart w:id="14" w:name="_Toc15378441"/>
      <w:bookmarkStart w:id="15" w:name="_Toc659"/>
      <w:bookmarkStart w:id="16" w:name="_Toc21561"/>
      <w:bookmarkStart w:id="17" w:name="_Toc15867"/>
      <w:r>
        <w:rPr>
          <w:rFonts w:hint="eastAsia" w:ascii="黑体" w:hAnsi="黑体" w:eastAsia="黑体"/>
          <w:color w:val="000000"/>
          <w:sz w:val="56"/>
          <w:szCs w:val="56"/>
        </w:rPr>
        <w:t>2020</w:t>
      </w:r>
      <w:r>
        <w:rPr>
          <w:rFonts w:hint="eastAsia" w:ascii="方正小标宋简体" w:hAnsi="宋体" w:eastAsia="方正小标宋简体"/>
          <w:color w:val="000000"/>
          <w:sz w:val="56"/>
          <w:szCs w:val="56"/>
        </w:rPr>
        <w:t>年度</w:t>
      </w:r>
      <w:bookmarkEnd w:id="10"/>
      <w:bookmarkEnd w:id="11"/>
      <w:bookmarkEnd w:id="12"/>
      <w:bookmarkEnd w:id="13"/>
      <w:bookmarkEnd w:id="14"/>
      <w:r>
        <w:rPr>
          <w:rFonts w:hint="eastAsia" w:ascii="方正小标宋简体" w:hAnsi="宋体" w:eastAsia="方正小标宋简体"/>
          <w:color w:val="000000"/>
          <w:sz w:val="56"/>
          <w:szCs w:val="56"/>
        </w:rPr>
        <w:t>部门决算</w:t>
      </w:r>
      <w:bookmarkEnd w:id="4"/>
      <w:bookmarkEnd w:id="5"/>
      <w:bookmarkEnd w:id="6"/>
      <w:bookmarkEnd w:id="7"/>
      <w:bookmarkEnd w:id="8"/>
      <w:bookmarkEnd w:id="9"/>
      <w:r>
        <w:rPr>
          <w:rFonts w:hint="eastAsia" w:ascii="方正小标宋简体" w:hAnsi="宋体" w:eastAsia="方正小标宋简体"/>
          <w:color w:val="000000"/>
          <w:sz w:val="56"/>
          <w:szCs w:val="56"/>
        </w:rPr>
        <w:t>编制说明</w:t>
      </w:r>
      <w:bookmarkEnd w:id="15"/>
      <w:bookmarkEnd w:id="16"/>
      <w:bookmarkEnd w:id="17"/>
    </w:p>
    <w:p>
      <w:pPr>
        <w:pStyle w:val="10"/>
      </w:pPr>
    </w:p>
    <w:p>
      <w:pPr>
        <w:pStyle w:val="10"/>
      </w:pPr>
    </w:p>
    <w:p>
      <w:pPr>
        <w:pStyle w:val="10"/>
      </w:pPr>
    </w:p>
    <w:p>
      <w:pPr>
        <w:pStyle w:val="10"/>
      </w:pPr>
    </w:p>
    <w:p/>
    <w:p/>
    <w:p>
      <w:pPr>
        <w:pStyle w:val="10"/>
      </w:pPr>
    </w:p>
    <w:p>
      <w:pPr>
        <w:pStyle w:val="10"/>
      </w:pPr>
    </w:p>
    <w:p>
      <w:pPr>
        <w:pStyle w:val="10"/>
        <w:rPr>
          <w:sz w:val="36"/>
          <w:szCs w:val="36"/>
        </w:rPr>
      </w:pPr>
      <w:r>
        <w:rPr>
          <w:rFonts w:hint="eastAsia"/>
          <w:sz w:val="36"/>
          <w:szCs w:val="36"/>
        </w:rPr>
        <w:t>公开时间：202</w:t>
      </w:r>
      <w:r>
        <w:rPr>
          <w:rFonts w:hint="eastAsia"/>
          <w:sz w:val="36"/>
          <w:szCs w:val="36"/>
          <w:lang w:val="en-US" w:eastAsia="zh-CN"/>
        </w:rPr>
        <w:t>1</w:t>
      </w:r>
      <w:r>
        <w:rPr>
          <w:rFonts w:hint="eastAsia"/>
          <w:sz w:val="36"/>
          <w:szCs w:val="36"/>
        </w:rPr>
        <w:t>年10月15日</w:t>
      </w:r>
    </w:p>
    <w:p>
      <w:pPr>
        <w:widowControl/>
        <w:jc w:val="center"/>
        <w:rPr>
          <w:rFonts w:ascii="黑体" w:hAnsi="黑体" w:eastAsia="黑体"/>
          <w:color w:val="000000"/>
          <w:sz w:val="48"/>
          <w:szCs w:val="48"/>
        </w:rPr>
      </w:pPr>
      <w:r>
        <w:br w:type="page"/>
      </w:r>
      <w:r>
        <w:rPr>
          <w:rFonts w:hint="eastAsia" w:ascii="黑体" w:hAnsi="黑体" w:eastAsia="黑体"/>
          <w:color w:val="000000"/>
          <w:sz w:val="48"/>
          <w:szCs w:val="48"/>
        </w:rPr>
        <w:t>目录</w:t>
      </w:r>
    </w:p>
    <w:p>
      <w:pPr>
        <w:pStyle w:val="10"/>
        <w:tabs>
          <w:tab w:val="right" w:leader="dot" w:pos="8306"/>
          <w:tab w:val="clear" w:pos="8296"/>
        </w:tabs>
        <w:spacing w:line="500" w:lineRule="exact"/>
        <w:rPr>
          <w:rFonts w:ascii="宋体" w:hAnsi="宋体" w:eastAsia="宋体" w:cs="宋体"/>
        </w:rPr>
      </w:pPr>
      <w:r>
        <w:rPr>
          <w:rFonts w:hint="eastAsia" w:ascii="宋体" w:hAnsi="宋体" w:eastAsia="宋体" w:cs="宋体"/>
          <w:color w:val="000000"/>
        </w:rPr>
        <w:fldChar w:fldCharType="begin"/>
      </w:r>
      <w:r>
        <w:rPr>
          <w:rFonts w:hint="eastAsia" w:ascii="宋体" w:hAnsi="宋体" w:eastAsia="宋体" w:cs="宋体"/>
          <w:color w:val="000000"/>
        </w:rPr>
        <w:instrText xml:space="preserve">TOC \o "1-3" \h \u </w:instrText>
      </w:r>
      <w:r>
        <w:rPr>
          <w:rFonts w:hint="eastAsia" w:ascii="宋体" w:hAnsi="宋体" w:eastAsia="宋体" w:cs="宋体"/>
          <w:color w:val="000000"/>
        </w:rPr>
        <w:fldChar w:fldCharType="separate"/>
      </w:r>
      <w:r>
        <w:fldChar w:fldCharType="begin"/>
      </w:r>
      <w:r>
        <w:instrText xml:space="preserve"> HYPERLINK \l "_Toc14288" </w:instrText>
      </w:r>
      <w:r>
        <w:fldChar w:fldCharType="separate"/>
      </w:r>
      <w:r>
        <w:rPr>
          <w:rFonts w:hint="eastAsia" w:ascii="宋体" w:hAnsi="宋体" w:eastAsia="宋体" w:cs="宋体"/>
          <w:bCs/>
        </w:rPr>
        <w:t xml:space="preserve">第一部分 </w:t>
      </w:r>
      <w:r>
        <w:rPr>
          <w:rFonts w:hint="eastAsia" w:ascii="宋体" w:hAnsi="宋体" w:eastAsia="宋体" w:cs="宋体"/>
        </w:rPr>
        <w:t>部门概况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_Toc14288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"_Toc4906" </w:instrText>
      </w:r>
      <w:r>
        <w:fldChar w:fldCharType="separate"/>
      </w:r>
      <w:r>
        <w:rPr>
          <w:rFonts w:hint="eastAsia" w:ascii="宋体" w:hAnsi="宋体" w:cs="宋体"/>
          <w:sz w:val="28"/>
          <w:szCs w:val="28"/>
        </w:rPr>
        <w:t>一、基本职能及主要工作</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_Toc4906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fldChar w:fldCharType="end"/>
      </w:r>
    </w:p>
    <w:p>
      <w:pPr>
        <w:pStyle w:val="6"/>
        <w:tabs>
          <w:tab w:val="right" w:leader="dot" w:pos="8306"/>
          <w:tab w:val="clear" w:pos="8296"/>
        </w:tabs>
        <w:spacing w:line="500" w:lineRule="exact"/>
        <w:rPr>
          <w:rFonts w:ascii="宋体" w:hAnsi="宋体" w:cs="宋体"/>
          <w:sz w:val="28"/>
          <w:szCs w:val="28"/>
        </w:rPr>
      </w:pPr>
      <w:r>
        <w:fldChar w:fldCharType="begin"/>
      </w:r>
      <w:r>
        <w:instrText xml:space="preserve"> HYPERLINK \l "_Toc21576" </w:instrText>
      </w:r>
      <w:r>
        <w:fldChar w:fldCharType="separate"/>
      </w:r>
      <w:r>
        <w:rPr>
          <w:rFonts w:hint="eastAsia" w:ascii="宋体" w:hAnsi="宋体" w:cs="宋体"/>
          <w:sz w:val="28"/>
          <w:szCs w:val="28"/>
        </w:rPr>
        <w:t>（一）主要职能。</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_Toc21576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fldChar w:fldCharType="end"/>
      </w:r>
    </w:p>
    <w:p>
      <w:pPr>
        <w:pStyle w:val="6"/>
        <w:tabs>
          <w:tab w:val="right" w:leader="dot" w:pos="8306"/>
          <w:tab w:val="clear" w:pos="8296"/>
        </w:tabs>
        <w:spacing w:line="500" w:lineRule="exact"/>
        <w:rPr>
          <w:rFonts w:ascii="宋体" w:hAnsi="宋体" w:cs="宋体"/>
          <w:sz w:val="28"/>
          <w:szCs w:val="28"/>
        </w:rPr>
      </w:pPr>
      <w:r>
        <w:fldChar w:fldCharType="begin"/>
      </w:r>
      <w:r>
        <w:instrText xml:space="preserve"> HYPERLINK \l "_Toc18270" </w:instrText>
      </w:r>
      <w:r>
        <w:fldChar w:fldCharType="separate"/>
      </w:r>
      <w:r>
        <w:rPr>
          <w:rFonts w:hint="eastAsia" w:ascii="宋体" w:hAnsi="宋体" w:cs="宋体"/>
          <w:sz w:val="28"/>
          <w:szCs w:val="28"/>
        </w:rPr>
        <w:t>（二）2020年重点工作完成情况。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_Toc18270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"_Toc31488" </w:instrText>
      </w:r>
      <w:r>
        <w:fldChar w:fldCharType="separate"/>
      </w:r>
      <w:r>
        <w:rPr>
          <w:rFonts w:hint="eastAsia" w:ascii="宋体" w:hAnsi="宋体" w:cs="宋体"/>
          <w:sz w:val="28"/>
          <w:szCs w:val="28"/>
        </w:rPr>
        <w:t>二、机构设置</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_Toc31488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8306"/>
          <w:tab w:val="clear" w:pos="8296"/>
        </w:tabs>
        <w:spacing w:line="500" w:lineRule="exact"/>
        <w:rPr>
          <w:rFonts w:ascii="宋体" w:hAnsi="宋体" w:eastAsia="宋体" w:cs="宋体"/>
        </w:rPr>
      </w:pPr>
      <w:r>
        <w:fldChar w:fldCharType="begin"/>
      </w:r>
      <w:r>
        <w:instrText xml:space="preserve"> HYPERLINK \l "_Toc26843" </w:instrText>
      </w:r>
      <w:r>
        <w:fldChar w:fldCharType="separate"/>
      </w:r>
      <w:r>
        <w:rPr>
          <w:rFonts w:hint="eastAsia" w:ascii="宋体" w:hAnsi="宋体" w:eastAsia="宋体" w:cs="宋体"/>
        </w:rPr>
        <w:t>第二部分2020年度部门决算情况说明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_Toc26843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"_Toc14009" </w:instrText>
      </w:r>
      <w:r>
        <w:fldChar w:fldCharType="separate"/>
      </w:r>
      <w:r>
        <w:rPr>
          <w:rFonts w:hint="eastAsia" w:ascii="宋体" w:hAnsi="宋体" w:cs="宋体"/>
          <w:sz w:val="28"/>
          <w:szCs w:val="28"/>
        </w:rPr>
        <w:t>一、收入支出决算总体情况说明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_Toc14009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"_Toc12741" </w:instrText>
      </w:r>
      <w:r>
        <w:fldChar w:fldCharType="separate"/>
      </w:r>
      <w:r>
        <w:rPr>
          <w:rFonts w:hint="eastAsia" w:ascii="宋体" w:hAnsi="宋体" w:cs="宋体"/>
          <w:sz w:val="28"/>
          <w:szCs w:val="28"/>
        </w:rPr>
        <w:t>二、收入决算情况说明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_Toc12741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"_Toc20958" </w:instrText>
      </w:r>
      <w:r>
        <w:fldChar w:fldCharType="separate"/>
      </w:r>
      <w:r>
        <w:rPr>
          <w:rFonts w:hint="eastAsia" w:ascii="宋体" w:hAnsi="宋体" w:cs="宋体"/>
          <w:sz w:val="28"/>
          <w:szCs w:val="28"/>
        </w:rPr>
        <w:t>三、支出决算情况说明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_Toc20958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"_Toc16456" </w:instrText>
      </w:r>
      <w:r>
        <w:fldChar w:fldCharType="separate"/>
      </w:r>
      <w:r>
        <w:rPr>
          <w:rFonts w:hint="eastAsia" w:ascii="宋体" w:hAnsi="宋体" w:cs="宋体"/>
          <w:sz w:val="28"/>
          <w:szCs w:val="28"/>
        </w:rPr>
        <w:t>四、财政拨款收入支出决算总体情况说明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_Toc16456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"_Toc16791" </w:instrText>
      </w:r>
      <w:r>
        <w:fldChar w:fldCharType="separate"/>
      </w:r>
      <w:r>
        <w:rPr>
          <w:rFonts w:hint="eastAsia" w:ascii="宋体" w:hAnsi="宋体" w:cs="宋体"/>
          <w:sz w:val="28"/>
          <w:szCs w:val="28"/>
        </w:rPr>
        <w:t>五、一般公共预算财政拨款支出决算情况说明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_Toc16791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fldChar w:fldCharType="end"/>
      </w:r>
    </w:p>
    <w:p>
      <w:pPr>
        <w:pStyle w:val="6"/>
        <w:tabs>
          <w:tab w:val="right" w:leader="dot" w:pos="8306"/>
          <w:tab w:val="clear" w:pos="8296"/>
        </w:tabs>
        <w:spacing w:line="500" w:lineRule="exact"/>
        <w:rPr>
          <w:rFonts w:ascii="宋体" w:hAnsi="宋体" w:cs="宋体"/>
          <w:sz w:val="28"/>
          <w:szCs w:val="28"/>
        </w:rPr>
      </w:pPr>
      <w:r>
        <w:fldChar w:fldCharType="begin"/>
      </w:r>
      <w:r>
        <w:instrText xml:space="preserve"> HYPERLINK \l "_Toc28148" </w:instrText>
      </w:r>
      <w:r>
        <w:fldChar w:fldCharType="separate"/>
      </w:r>
      <w:r>
        <w:rPr>
          <w:rFonts w:hint="eastAsia" w:ascii="宋体" w:hAnsi="宋体" w:cs="宋体"/>
          <w:sz w:val="28"/>
          <w:szCs w:val="28"/>
        </w:rPr>
        <w:t>（一）一般公共预算财政拨款支出决算总体情况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_Toc28148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fldChar w:fldCharType="end"/>
      </w:r>
    </w:p>
    <w:p>
      <w:pPr>
        <w:pStyle w:val="6"/>
        <w:tabs>
          <w:tab w:val="right" w:leader="dot" w:pos="8306"/>
          <w:tab w:val="clear" w:pos="8296"/>
        </w:tabs>
        <w:spacing w:line="500" w:lineRule="exact"/>
        <w:rPr>
          <w:rFonts w:ascii="宋体" w:hAnsi="宋体" w:cs="宋体"/>
          <w:sz w:val="28"/>
          <w:szCs w:val="28"/>
        </w:rPr>
      </w:pPr>
      <w:r>
        <w:fldChar w:fldCharType="begin"/>
      </w:r>
      <w:r>
        <w:instrText xml:space="preserve"> HYPERLINK \l "_Toc22065" </w:instrText>
      </w:r>
      <w:r>
        <w:fldChar w:fldCharType="separate"/>
      </w:r>
      <w:r>
        <w:rPr>
          <w:rFonts w:hint="eastAsia" w:ascii="宋体" w:hAnsi="宋体" w:cs="宋体"/>
          <w:sz w:val="28"/>
          <w:szCs w:val="28"/>
        </w:rPr>
        <w:t>（二）一般公共预算财政拨款支出决算结构情况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_Toc22065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fldChar w:fldCharType="end"/>
      </w:r>
    </w:p>
    <w:p>
      <w:pPr>
        <w:pStyle w:val="6"/>
        <w:tabs>
          <w:tab w:val="right" w:leader="dot" w:pos="8306"/>
          <w:tab w:val="clear" w:pos="8296"/>
        </w:tabs>
        <w:spacing w:line="500" w:lineRule="exact"/>
        <w:rPr>
          <w:rFonts w:ascii="宋体" w:hAnsi="宋体" w:cs="宋体"/>
          <w:sz w:val="28"/>
          <w:szCs w:val="28"/>
        </w:rPr>
      </w:pPr>
      <w:r>
        <w:fldChar w:fldCharType="begin"/>
      </w:r>
      <w:r>
        <w:instrText xml:space="preserve"> HYPERLINK \l "_Toc6898" </w:instrText>
      </w:r>
      <w:r>
        <w:fldChar w:fldCharType="separate"/>
      </w:r>
      <w:r>
        <w:rPr>
          <w:rFonts w:hint="eastAsia" w:ascii="宋体" w:hAnsi="宋体" w:cs="宋体"/>
          <w:sz w:val="28"/>
          <w:szCs w:val="28"/>
        </w:rPr>
        <w:t>（三）一般公共预算财政拨款支出决算具体情况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_Toc6898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"_Toc17396" </w:instrText>
      </w:r>
      <w:r>
        <w:fldChar w:fldCharType="separate"/>
      </w:r>
      <w:r>
        <w:rPr>
          <w:rFonts w:hint="eastAsia" w:ascii="宋体" w:hAnsi="宋体" w:cs="宋体"/>
          <w:sz w:val="28"/>
          <w:szCs w:val="28"/>
        </w:rPr>
        <w:t>六、一般公共预算财政拨款基本支出决算情况说明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_Toc17396 </w:instrText>
      </w:r>
      <w:r>
        <w:rPr>
          <w:rFonts w:hint="eastAsia" w:ascii="宋体" w:hAnsi="宋体" w:cs="宋体"/>
          <w:sz w:val="28"/>
          <w:szCs w:val="28"/>
        </w:rPr>
        <w:fldChar w:fldCharType="separate"/>
      </w:r>
      <w:r>
        <w:rPr>
          <w:rFonts w:hint="eastAsia"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"_Toc21512" </w:instrText>
      </w:r>
      <w:r>
        <w:fldChar w:fldCharType="separate"/>
      </w:r>
      <w:r>
        <w:rPr>
          <w:rFonts w:hint="eastAsia" w:ascii="宋体" w:hAnsi="宋体" w:cs="宋体"/>
          <w:sz w:val="28"/>
          <w:szCs w:val="28"/>
        </w:rPr>
        <w:t>七、“三公”经费财政拨款支出决算情况说明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_Toc21512 </w:instrText>
      </w:r>
      <w:r>
        <w:rPr>
          <w:rFonts w:hint="eastAsia" w:ascii="宋体" w:hAnsi="宋体" w:cs="宋体"/>
          <w:sz w:val="28"/>
          <w:szCs w:val="28"/>
        </w:rPr>
        <w:fldChar w:fldCharType="separate"/>
      </w:r>
      <w:r>
        <w:rPr>
          <w:rFonts w:hint="eastAsia"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fldChar w:fldCharType="end"/>
      </w:r>
    </w:p>
    <w:p>
      <w:pPr>
        <w:pStyle w:val="6"/>
        <w:tabs>
          <w:tab w:val="right" w:leader="dot" w:pos="8306"/>
          <w:tab w:val="clear" w:pos="8296"/>
        </w:tabs>
        <w:spacing w:line="500" w:lineRule="exact"/>
        <w:rPr>
          <w:rFonts w:ascii="宋体" w:hAnsi="宋体" w:cs="宋体"/>
          <w:sz w:val="28"/>
          <w:szCs w:val="28"/>
        </w:rPr>
      </w:pPr>
      <w:r>
        <w:fldChar w:fldCharType="begin"/>
      </w:r>
      <w:r>
        <w:instrText xml:space="preserve"> HYPERLINK \l "_Toc28593" </w:instrText>
      </w:r>
      <w:r>
        <w:fldChar w:fldCharType="separate"/>
      </w:r>
      <w:r>
        <w:rPr>
          <w:rFonts w:hint="eastAsia" w:ascii="宋体" w:hAnsi="宋体" w:cs="宋体"/>
          <w:sz w:val="28"/>
          <w:szCs w:val="28"/>
        </w:rPr>
        <w:t>（一）　“三公”经费财政拨款支出决算情况说明。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_Toc28593 </w:instrText>
      </w:r>
      <w:r>
        <w:rPr>
          <w:rFonts w:hint="eastAsia" w:ascii="宋体" w:hAnsi="宋体" w:cs="宋体"/>
          <w:sz w:val="28"/>
          <w:szCs w:val="28"/>
        </w:rPr>
        <w:fldChar w:fldCharType="separate"/>
      </w:r>
      <w:r>
        <w:rPr>
          <w:rFonts w:hint="eastAsia"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fldChar w:fldCharType="end"/>
      </w:r>
    </w:p>
    <w:p>
      <w:pPr>
        <w:pStyle w:val="6"/>
        <w:tabs>
          <w:tab w:val="right" w:leader="dot" w:pos="8306"/>
          <w:tab w:val="clear" w:pos="8296"/>
        </w:tabs>
        <w:spacing w:line="500" w:lineRule="exact"/>
        <w:rPr>
          <w:rFonts w:ascii="宋体" w:hAnsi="宋体" w:cs="宋体"/>
          <w:sz w:val="28"/>
          <w:szCs w:val="28"/>
        </w:rPr>
      </w:pPr>
      <w:r>
        <w:fldChar w:fldCharType="begin"/>
      </w:r>
      <w:r>
        <w:instrText xml:space="preserve"> HYPERLINK \l "_Toc12668" </w:instrText>
      </w:r>
      <w:r>
        <w:fldChar w:fldCharType="separate"/>
      </w:r>
      <w:r>
        <w:rPr>
          <w:rFonts w:hint="eastAsia" w:ascii="宋体" w:hAnsi="宋体" w:cs="宋体"/>
          <w:sz w:val="28"/>
          <w:szCs w:val="28"/>
        </w:rPr>
        <w:t>（二）“三公”经费财政拨款支出决算具体情况说明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_Toc12668 </w:instrText>
      </w:r>
      <w:r>
        <w:rPr>
          <w:rFonts w:hint="eastAsia" w:ascii="宋体" w:hAnsi="宋体" w:cs="宋体"/>
          <w:sz w:val="28"/>
          <w:szCs w:val="28"/>
        </w:rPr>
        <w:fldChar w:fldCharType="separate"/>
      </w:r>
      <w:r>
        <w:rPr>
          <w:rFonts w:hint="eastAsia"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"_Toc32347" </w:instrText>
      </w:r>
      <w:r>
        <w:fldChar w:fldCharType="separate"/>
      </w:r>
      <w:r>
        <w:rPr>
          <w:rFonts w:hint="eastAsia" w:ascii="宋体" w:hAnsi="宋体" w:cs="宋体"/>
          <w:bCs/>
          <w:sz w:val="28"/>
          <w:szCs w:val="28"/>
        </w:rPr>
        <w:t>八、政府性基金预算支出情况说明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_Toc32347 </w:instrText>
      </w:r>
      <w:r>
        <w:rPr>
          <w:rFonts w:hint="eastAsia" w:ascii="宋体" w:hAnsi="宋体" w:cs="宋体"/>
          <w:sz w:val="28"/>
          <w:szCs w:val="28"/>
        </w:rPr>
        <w:fldChar w:fldCharType="separate"/>
      </w:r>
      <w:r>
        <w:rPr>
          <w:rFonts w:hint="eastAsia" w:ascii="宋体" w:hAnsi="宋体" w:cs="宋体"/>
          <w:sz w:val="28"/>
          <w:szCs w:val="28"/>
        </w:rPr>
        <w:t>16</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"_Toc17504" </w:instrText>
      </w:r>
      <w:r>
        <w:fldChar w:fldCharType="separate"/>
      </w:r>
      <w:r>
        <w:rPr>
          <w:rFonts w:hint="eastAsia" w:ascii="宋体" w:hAnsi="宋体" w:cs="宋体"/>
          <w:bCs/>
          <w:sz w:val="28"/>
          <w:szCs w:val="28"/>
        </w:rPr>
        <w:t>九、国有资产经营预算支出情况说明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_Toc17504 </w:instrText>
      </w:r>
      <w:r>
        <w:rPr>
          <w:rFonts w:hint="eastAsia" w:ascii="宋体" w:hAnsi="宋体" w:cs="宋体"/>
          <w:sz w:val="28"/>
          <w:szCs w:val="28"/>
        </w:rPr>
        <w:fldChar w:fldCharType="separate"/>
      </w:r>
      <w:r>
        <w:rPr>
          <w:rFonts w:hint="eastAsia" w:ascii="宋体" w:hAnsi="宋体" w:cs="宋体"/>
          <w:sz w:val="28"/>
          <w:szCs w:val="28"/>
        </w:rPr>
        <w:t>16</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"_Toc29360" </w:instrText>
      </w:r>
      <w:r>
        <w:fldChar w:fldCharType="separate"/>
      </w:r>
      <w:r>
        <w:rPr>
          <w:rFonts w:hint="eastAsia" w:ascii="宋体" w:hAnsi="宋体" w:cs="宋体"/>
          <w:bCs/>
          <w:sz w:val="28"/>
          <w:szCs w:val="28"/>
        </w:rPr>
        <w:t>十、预算绩效情况说明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_Toc29360 </w:instrText>
      </w:r>
      <w:r>
        <w:rPr>
          <w:rFonts w:hint="eastAsia" w:ascii="宋体" w:hAnsi="宋体" w:cs="宋体"/>
          <w:sz w:val="28"/>
          <w:szCs w:val="28"/>
        </w:rPr>
        <w:fldChar w:fldCharType="separate"/>
      </w:r>
      <w:r>
        <w:rPr>
          <w:rFonts w:hint="eastAsia" w:ascii="宋体" w:hAnsi="宋体" w:cs="宋体"/>
          <w:sz w:val="28"/>
          <w:szCs w:val="28"/>
        </w:rPr>
        <w:t>17</w:t>
      </w:r>
      <w:r>
        <w:rPr>
          <w:rFonts w:hint="eastAsia" w:ascii="宋体" w:hAnsi="宋体" w:cs="宋体"/>
          <w:sz w:val="28"/>
          <w:szCs w:val="28"/>
        </w:rPr>
        <w:fldChar w:fldCharType="end"/>
      </w:r>
      <w:r>
        <w:rPr>
          <w:rFonts w:hint="eastAsia" w:ascii="宋体" w:hAnsi="宋体" w:cs="宋体"/>
          <w:sz w:val="28"/>
          <w:szCs w:val="28"/>
        </w:rPr>
        <w:fldChar w:fldCharType="end"/>
      </w:r>
    </w:p>
    <w:p>
      <w:pPr>
        <w:pStyle w:val="6"/>
        <w:tabs>
          <w:tab w:val="right" w:leader="dot" w:pos="8306"/>
          <w:tab w:val="clear" w:pos="8296"/>
        </w:tabs>
        <w:spacing w:line="500" w:lineRule="exact"/>
        <w:rPr>
          <w:rFonts w:ascii="宋体" w:hAnsi="宋体" w:cs="宋体"/>
          <w:sz w:val="28"/>
          <w:szCs w:val="28"/>
        </w:rPr>
      </w:pPr>
      <w:r>
        <w:fldChar w:fldCharType="begin"/>
      </w:r>
      <w:r>
        <w:instrText xml:space="preserve"> HYPERLINK \l "_Toc21586" </w:instrText>
      </w:r>
      <w:r>
        <w:fldChar w:fldCharType="separate"/>
      </w:r>
      <w:r>
        <w:rPr>
          <w:rFonts w:hint="eastAsia" w:ascii="宋体" w:hAnsi="宋体" w:cs="宋体"/>
          <w:bCs/>
          <w:sz w:val="28"/>
          <w:szCs w:val="28"/>
        </w:rPr>
        <w:t>（一）机关运行经费支出情况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_Toc21586 </w:instrText>
      </w:r>
      <w:r>
        <w:rPr>
          <w:rFonts w:hint="eastAsia" w:ascii="宋体" w:hAnsi="宋体" w:cs="宋体"/>
          <w:sz w:val="28"/>
          <w:szCs w:val="28"/>
        </w:rPr>
        <w:fldChar w:fldCharType="separate"/>
      </w:r>
      <w:r>
        <w:rPr>
          <w:rFonts w:hint="eastAsia" w:ascii="宋体" w:hAnsi="宋体" w:cs="宋体"/>
          <w:sz w:val="28"/>
          <w:szCs w:val="28"/>
        </w:rPr>
        <w:t>17</w:t>
      </w:r>
      <w:r>
        <w:rPr>
          <w:rFonts w:hint="eastAsia" w:ascii="宋体" w:hAnsi="宋体" w:cs="宋体"/>
          <w:sz w:val="28"/>
          <w:szCs w:val="28"/>
        </w:rPr>
        <w:fldChar w:fldCharType="end"/>
      </w:r>
      <w:r>
        <w:rPr>
          <w:rFonts w:hint="eastAsia" w:ascii="宋体" w:hAnsi="宋体" w:cs="宋体"/>
          <w:sz w:val="28"/>
          <w:szCs w:val="28"/>
        </w:rPr>
        <w:fldChar w:fldCharType="end"/>
      </w:r>
    </w:p>
    <w:p>
      <w:pPr>
        <w:pStyle w:val="6"/>
        <w:tabs>
          <w:tab w:val="right" w:leader="dot" w:pos="8306"/>
          <w:tab w:val="clear" w:pos="8296"/>
        </w:tabs>
        <w:spacing w:line="500" w:lineRule="exact"/>
        <w:rPr>
          <w:rFonts w:ascii="宋体" w:hAnsi="宋体" w:cs="宋体"/>
          <w:sz w:val="28"/>
          <w:szCs w:val="28"/>
        </w:rPr>
      </w:pPr>
      <w:r>
        <w:fldChar w:fldCharType="begin"/>
      </w:r>
      <w:r>
        <w:instrText xml:space="preserve"> HYPERLINK \l "_Toc24745" </w:instrText>
      </w:r>
      <w:r>
        <w:fldChar w:fldCharType="separate"/>
      </w:r>
      <w:r>
        <w:rPr>
          <w:rFonts w:hint="eastAsia" w:ascii="宋体" w:hAnsi="宋体" w:cs="宋体"/>
          <w:bCs/>
          <w:sz w:val="28"/>
          <w:szCs w:val="28"/>
        </w:rPr>
        <w:t>（二）政府采购支出情况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_Toc24745 </w:instrText>
      </w:r>
      <w:r>
        <w:rPr>
          <w:rFonts w:hint="eastAsia" w:ascii="宋体" w:hAnsi="宋体" w:cs="宋体"/>
          <w:sz w:val="28"/>
          <w:szCs w:val="28"/>
        </w:rPr>
        <w:fldChar w:fldCharType="separate"/>
      </w:r>
      <w:r>
        <w:rPr>
          <w:rFonts w:hint="eastAsia" w:ascii="宋体" w:hAnsi="宋体" w:cs="宋体"/>
          <w:sz w:val="28"/>
          <w:szCs w:val="28"/>
        </w:rPr>
        <w:t>17</w:t>
      </w:r>
      <w:r>
        <w:rPr>
          <w:rFonts w:hint="eastAsia" w:ascii="宋体" w:hAnsi="宋体" w:cs="宋体"/>
          <w:sz w:val="28"/>
          <w:szCs w:val="28"/>
        </w:rPr>
        <w:fldChar w:fldCharType="end"/>
      </w:r>
      <w:r>
        <w:rPr>
          <w:rFonts w:hint="eastAsia" w:ascii="宋体" w:hAnsi="宋体" w:cs="宋体"/>
          <w:sz w:val="28"/>
          <w:szCs w:val="28"/>
        </w:rPr>
        <w:fldChar w:fldCharType="end"/>
      </w:r>
    </w:p>
    <w:p>
      <w:pPr>
        <w:pStyle w:val="6"/>
        <w:tabs>
          <w:tab w:val="right" w:leader="dot" w:pos="8306"/>
          <w:tab w:val="clear" w:pos="8296"/>
        </w:tabs>
        <w:spacing w:line="500" w:lineRule="exact"/>
        <w:rPr>
          <w:rFonts w:ascii="宋体" w:hAnsi="宋体" w:cs="宋体"/>
          <w:sz w:val="28"/>
          <w:szCs w:val="28"/>
        </w:rPr>
      </w:pPr>
      <w:r>
        <w:fldChar w:fldCharType="begin"/>
      </w:r>
      <w:r>
        <w:instrText xml:space="preserve"> HYPERLINK \l "_Toc798" </w:instrText>
      </w:r>
      <w:r>
        <w:fldChar w:fldCharType="separate"/>
      </w:r>
      <w:r>
        <w:rPr>
          <w:rFonts w:hint="eastAsia" w:ascii="宋体" w:hAnsi="宋体" w:cs="宋体"/>
          <w:bCs/>
          <w:sz w:val="28"/>
          <w:szCs w:val="28"/>
        </w:rPr>
        <w:t>（三）国有资产占有使用情况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_Toc798 </w:instrText>
      </w:r>
      <w:r>
        <w:rPr>
          <w:rFonts w:hint="eastAsia" w:ascii="宋体" w:hAnsi="宋体" w:cs="宋体"/>
          <w:sz w:val="28"/>
          <w:szCs w:val="28"/>
        </w:rPr>
        <w:fldChar w:fldCharType="separate"/>
      </w:r>
      <w:r>
        <w:rPr>
          <w:rFonts w:hint="eastAsia" w:ascii="宋体" w:hAnsi="宋体" w:cs="宋体"/>
          <w:sz w:val="28"/>
          <w:szCs w:val="28"/>
        </w:rPr>
        <w:t>17</w:t>
      </w:r>
      <w:r>
        <w:rPr>
          <w:rFonts w:hint="eastAsia" w:ascii="宋体" w:hAnsi="宋体" w:cs="宋体"/>
          <w:sz w:val="28"/>
          <w:szCs w:val="28"/>
        </w:rPr>
        <w:fldChar w:fldCharType="end"/>
      </w:r>
      <w:r>
        <w:rPr>
          <w:rFonts w:hint="eastAsia" w:ascii="宋体" w:hAnsi="宋体" w:cs="宋体"/>
          <w:sz w:val="28"/>
          <w:szCs w:val="28"/>
        </w:rPr>
        <w:fldChar w:fldCharType="end"/>
      </w:r>
    </w:p>
    <w:p>
      <w:pPr>
        <w:pStyle w:val="6"/>
        <w:tabs>
          <w:tab w:val="right" w:leader="dot" w:pos="8306"/>
          <w:tab w:val="clear" w:pos="8296"/>
        </w:tabs>
        <w:spacing w:line="500" w:lineRule="exact"/>
        <w:rPr>
          <w:rFonts w:ascii="宋体" w:hAnsi="宋体" w:cs="宋体"/>
          <w:sz w:val="28"/>
          <w:szCs w:val="28"/>
        </w:rPr>
      </w:pPr>
      <w:r>
        <w:fldChar w:fldCharType="begin"/>
      </w:r>
      <w:r>
        <w:instrText xml:space="preserve"> HYPERLINK \l "_Toc29635" </w:instrText>
      </w:r>
      <w:r>
        <w:fldChar w:fldCharType="separate"/>
      </w:r>
      <w:r>
        <w:rPr>
          <w:rFonts w:hint="eastAsia" w:ascii="宋体" w:hAnsi="宋体" w:cs="宋体"/>
          <w:bCs/>
          <w:sz w:val="28"/>
          <w:szCs w:val="28"/>
        </w:rPr>
        <w:t>（四）项目绩效目标完成情况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_Toc29635 </w:instrText>
      </w:r>
      <w:r>
        <w:rPr>
          <w:rFonts w:hint="eastAsia" w:ascii="宋体" w:hAnsi="宋体" w:cs="宋体"/>
          <w:sz w:val="28"/>
          <w:szCs w:val="28"/>
        </w:rPr>
        <w:fldChar w:fldCharType="separate"/>
      </w:r>
      <w:r>
        <w:rPr>
          <w:rFonts w:hint="eastAsia" w:ascii="宋体" w:hAnsi="宋体" w:cs="宋体"/>
          <w:sz w:val="28"/>
          <w:szCs w:val="28"/>
        </w:rPr>
        <w:t>17</w:t>
      </w:r>
      <w:r>
        <w:rPr>
          <w:rFonts w:hint="eastAsia" w:ascii="宋体" w:hAnsi="宋体" w:cs="宋体"/>
          <w:sz w:val="28"/>
          <w:szCs w:val="28"/>
        </w:rPr>
        <w:fldChar w:fldCharType="end"/>
      </w:r>
      <w:r>
        <w:rPr>
          <w:rFonts w:hint="eastAsia" w:ascii="宋体" w:hAnsi="宋体" w:cs="宋体"/>
          <w:sz w:val="28"/>
          <w:szCs w:val="28"/>
        </w:rPr>
        <w:fldChar w:fldCharType="end"/>
      </w:r>
    </w:p>
    <w:p>
      <w:pPr>
        <w:pStyle w:val="10"/>
        <w:tabs>
          <w:tab w:val="right" w:leader="dot" w:pos="8306"/>
          <w:tab w:val="clear" w:pos="8296"/>
        </w:tabs>
        <w:spacing w:line="500" w:lineRule="exact"/>
        <w:rPr>
          <w:rFonts w:ascii="宋体" w:hAnsi="宋体" w:eastAsia="宋体" w:cs="宋体"/>
        </w:rPr>
      </w:pPr>
      <w:r>
        <w:fldChar w:fldCharType="begin"/>
      </w:r>
      <w:r>
        <w:instrText xml:space="preserve"> HYPERLINK \l "_Toc20084" </w:instrText>
      </w:r>
      <w:r>
        <w:fldChar w:fldCharType="separate"/>
      </w:r>
      <w:r>
        <w:rPr>
          <w:rFonts w:hint="eastAsia" w:ascii="宋体" w:hAnsi="宋体" w:eastAsia="宋体" w:cs="宋体"/>
        </w:rPr>
        <w:t>第三部分 名词解释</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color w:val="000000"/>
        </w:rPr>
        <w:t>9</w:t>
      </w:r>
    </w:p>
    <w:p>
      <w:pPr>
        <w:pStyle w:val="10"/>
        <w:tabs>
          <w:tab w:val="right" w:leader="dot" w:pos="8306"/>
          <w:tab w:val="clear" w:pos="8296"/>
        </w:tabs>
        <w:spacing w:line="500" w:lineRule="exact"/>
        <w:rPr>
          <w:rFonts w:ascii="宋体" w:hAnsi="宋体" w:eastAsia="宋体" w:cs="宋体"/>
        </w:rPr>
      </w:pPr>
      <w:r>
        <w:fldChar w:fldCharType="begin"/>
      </w:r>
      <w:r>
        <w:instrText xml:space="preserve"> HYPERLINK \l "_Toc23153" </w:instrText>
      </w:r>
      <w:r>
        <w:fldChar w:fldCharType="separate"/>
      </w:r>
      <w:r>
        <w:rPr>
          <w:rFonts w:hint="eastAsia" w:ascii="宋体" w:hAnsi="宋体" w:eastAsia="宋体" w:cs="宋体"/>
        </w:rPr>
        <w:t>第四部分 附件</w:t>
      </w:r>
      <w:r>
        <w:rPr>
          <w:rFonts w:hint="eastAsia" w:ascii="宋体" w:hAnsi="宋体" w:eastAsia="宋体" w:cs="宋体"/>
        </w:rPr>
        <w:tab/>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color w:val="000000"/>
        </w:rPr>
        <w:t>2</w:t>
      </w:r>
    </w:p>
    <w:p>
      <w:pPr>
        <w:pStyle w:val="10"/>
        <w:tabs>
          <w:tab w:val="right" w:leader="dot" w:pos="8306"/>
          <w:tab w:val="clear" w:pos="8296"/>
        </w:tabs>
        <w:spacing w:line="500" w:lineRule="exact"/>
        <w:rPr>
          <w:rFonts w:ascii="宋体" w:hAnsi="宋体" w:eastAsia="宋体" w:cs="宋体"/>
        </w:rPr>
      </w:pPr>
      <w:r>
        <w:fldChar w:fldCharType="begin"/>
      </w:r>
      <w:r>
        <w:instrText xml:space="preserve"> HYPERLINK \l "_Toc15480" </w:instrText>
      </w:r>
      <w:r>
        <w:fldChar w:fldCharType="separate"/>
      </w:r>
      <w:r>
        <w:rPr>
          <w:rFonts w:hint="eastAsia" w:ascii="宋体" w:hAnsi="宋体" w:eastAsia="宋体" w:cs="宋体"/>
        </w:rPr>
        <w:t>第五部分　附表</w:t>
      </w:r>
      <w:r>
        <w:rPr>
          <w:rFonts w:hint="eastAsia" w:ascii="宋体" w:hAnsi="宋体" w:eastAsia="宋体" w:cs="宋体"/>
        </w:rPr>
        <w:tab/>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color w:val="000000"/>
        </w:rPr>
        <w:t>7</w:t>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"_Toc13786" </w:instrText>
      </w:r>
      <w:r>
        <w:fldChar w:fldCharType="separate"/>
      </w:r>
      <w:r>
        <w:rPr>
          <w:rFonts w:hint="eastAsia" w:ascii="宋体" w:hAnsi="宋体" w:cs="宋体"/>
          <w:sz w:val="28"/>
          <w:szCs w:val="28"/>
        </w:rPr>
        <w:t>一、 毛浴镇2020年收入支出决算总表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_Toc13786 </w:instrText>
      </w:r>
      <w:r>
        <w:rPr>
          <w:rFonts w:hint="eastAsia" w:ascii="宋体" w:hAnsi="宋体" w:cs="宋体"/>
          <w:sz w:val="28"/>
          <w:szCs w:val="28"/>
        </w:rPr>
        <w:fldChar w:fldCharType="separate"/>
      </w:r>
      <w:r>
        <w:rPr>
          <w:rFonts w:hint="eastAsia" w:ascii="宋体" w:hAnsi="宋体" w:cs="宋体"/>
          <w:sz w:val="28"/>
          <w:szCs w:val="28"/>
        </w:rPr>
        <w:t>27</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"_Toc5888" </w:instrText>
      </w:r>
      <w:r>
        <w:fldChar w:fldCharType="separate"/>
      </w:r>
      <w:r>
        <w:rPr>
          <w:rFonts w:hint="eastAsia" w:ascii="宋体" w:hAnsi="宋体" w:cs="宋体"/>
          <w:sz w:val="28"/>
          <w:szCs w:val="28"/>
        </w:rPr>
        <w:t>二、 毛浴镇2020年收入总表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_Toc5888 </w:instrText>
      </w:r>
      <w:r>
        <w:rPr>
          <w:rFonts w:hint="eastAsia" w:ascii="宋体" w:hAnsi="宋体" w:cs="宋体"/>
          <w:sz w:val="28"/>
          <w:szCs w:val="28"/>
        </w:rPr>
        <w:fldChar w:fldCharType="separate"/>
      </w:r>
      <w:r>
        <w:rPr>
          <w:rFonts w:hint="eastAsia" w:ascii="宋体" w:hAnsi="宋体" w:cs="宋体"/>
          <w:sz w:val="28"/>
          <w:szCs w:val="28"/>
        </w:rPr>
        <w:t>27</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"_Toc18590" </w:instrText>
      </w:r>
      <w:r>
        <w:fldChar w:fldCharType="separate"/>
      </w:r>
      <w:r>
        <w:rPr>
          <w:rFonts w:hint="eastAsia" w:ascii="宋体" w:hAnsi="宋体" w:cs="宋体"/>
          <w:sz w:val="28"/>
          <w:szCs w:val="28"/>
        </w:rPr>
        <w:t>三、 毛浴镇2020年支出总表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_Toc18590 </w:instrText>
      </w:r>
      <w:r>
        <w:rPr>
          <w:rFonts w:hint="eastAsia" w:ascii="宋体" w:hAnsi="宋体" w:cs="宋体"/>
          <w:sz w:val="28"/>
          <w:szCs w:val="28"/>
        </w:rPr>
        <w:fldChar w:fldCharType="separate"/>
      </w:r>
      <w:r>
        <w:rPr>
          <w:rFonts w:hint="eastAsia" w:ascii="宋体" w:hAnsi="宋体" w:cs="宋体"/>
          <w:sz w:val="28"/>
          <w:szCs w:val="28"/>
        </w:rPr>
        <w:t>27</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"_Toc15810" </w:instrText>
      </w:r>
      <w:r>
        <w:fldChar w:fldCharType="separate"/>
      </w:r>
      <w:r>
        <w:rPr>
          <w:rFonts w:hint="eastAsia" w:ascii="宋体" w:hAnsi="宋体" w:cs="宋体"/>
          <w:sz w:val="28"/>
          <w:szCs w:val="28"/>
        </w:rPr>
        <w:t>四、 毛浴镇2020年财政拨款收入支出决算总表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_Toc15810 </w:instrText>
      </w:r>
      <w:r>
        <w:rPr>
          <w:rFonts w:hint="eastAsia" w:ascii="宋体" w:hAnsi="宋体" w:cs="宋体"/>
          <w:sz w:val="28"/>
          <w:szCs w:val="28"/>
        </w:rPr>
        <w:fldChar w:fldCharType="separate"/>
      </w:r>
      <w:r>
        <w:rPr>
          <w:rFonts w:hint="eastAsia" w:ascii="宋体" w:hAnsi="宋体" w:cs="宋体"/>
          <w:sz w:val="28"/>
          <w:szCs w:val="28"/>
        </w:rPr>
        <w:t>27</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"_Toc25804" </w:instrText>
      </w:r>
      <w:r>
        <w:fldChar w:fldCharType="separate"/>
      </w:r>
      <w:r>
        <w:rPr>
          <w:rFonts w:hint="eastAsia" w:ascii="宋体" w:hAnsi="宋体" w:cs="宋体"/>
          <w:sz w:val="28"/>
          <w:szCs w:val="28"/>
        </w:rPr>
        <w:t>五、 毛浴镇2020年财政拨款支出决算明细表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_Toc25804 </w:instrText>
      </w:r>
      <w:r>
        <w:rPr>
          <w:rFonts w:hint="eastAsia" w:ascii="宋体" w:hAnsi="宋体" w:cs="宋体"/>
          <w:sz w:val="28"/>
          <w:szCs w:val="28"/>
        </w:rPr>
        <w:fldChar w:fldCharType="separate"/>
      </w:r>
      <w:r>
        <w:rPr>
          <w:rFonts w:hint="eastAsia" w:ascii="宋体" w:hAnsi="宋体" w:cs="宋体"/>
          <w:sz w:val="28"/>
          <w:szCs w:val="28"/>
        </w:rPr>
        <w:t>27</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"_Toc12029" </w:instrText>
      </w:r>
      <w:r>
        <w:fldChar w:fldCharType="separate"/>
      </w:r>
      <w:r>
        <w:rPr>
          <w:rFonts w:hint="eastAsia" w:ascii="宋体" w:hAnsi="宋体" w:cs="宋体"/>
          <w:sz w:val="28"/>
          <w:szCs w:val="28"/>
        </w:rPr>
        <w:t>六、 毛浴镇2020年一般公共预算财政拨款支出决算表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_Toc12029 </w:instrText>
      </w:r>
      <w:r>
        <w:rPr>
          <w:rFonts w:hint="eastAsia" w:ascii="宋体" w:hAnsi="宋体" w:cs="宋体"/>
          <w:sz w:val="28"/>
          <w:szCs w:val="28"/>
        </w:rPr>
        <w:fldChar w:fldCharType="separate"/>
      </w:r>
      <w:r>
        <w:rPr>
          <w:rFonts w:hint="eastAsia" w:ascii="宋体" w:hAnsi="宋体" w:cs="宋体"/>
          <w:sz w:val="28"/>
          <w:szCs w:val="28"/>
        </w:rPr>
        <w:t>27</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"_Toc23143" </w:instrText>
      </w:r>
      <w:r>
        <w:fldChar w:fldCharType="separate"/>
      </w:r>
      <w:r>
        <w:rPr>
          <w:rFonts w:hint="eastAsia" w:ascii="宋体" w:hAnsi="宋体" w:cs="宋体"/>
          <w:sz w:val="28"/>
          <w:szCs w:val="28"/>
        </w:rPr>
        <w:t>七、 毛浴镇2020年一般公共预算财政拨款支出决算明细表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_Toc23143 </w:instrText>
      </w:r>
      <w:r>
        <w:rPr>
          <w:rFonts w:hint="eastAsia" w:ascii="宋体" w:hAnsi="宋体" w:cs="宋体"/>
          <w:sz w:val="28"/>
          <w:szCs w:val="28"/>
        </w:rPr>
        <w:fldChar w:fldCharType="separate"/>
      </w:r>
      <w:r>
        <w:rPr>
          <w:rFonts w:hint="eastAsia" w:ascii="宋体" w:hAnsi="宋体" w:cs="宋体"/>
          <w:sz w:val="28"/>
          <w:szCs w:val="28"/>
        </w:rPr>
        <w:t>27</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"_Toc8805" </w:instrText>
      </w:r>
      <w:r>
        <w:fldChar w:fldCharType="separate"/>
      </w:r>
      <w:r>
        <w:rPr>
          <w:rFonts w:hint="eastAsia" w:ascii="宋体" w:hAnsi="宋体" w:cs="宋体"/>
          <w:sz w:val="28"/>
          <w:szCs w:val="28"/>
        </w:rPr>
        <w:t>八、 毛浴镇2020年一般公共预算财政拨款基本支出决算表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_Toc8805 </w:instrText>
      </w:r>
      <w:r>
        <w:rPr>
          <w:rFonts w:hint="eastAsia" w:ascii="宋体" w:hAnsi="宋体" w:cs="宋体"/>
          <w:sz w:val="28"/>
          <w:szCs w:val="28"/>
        </w:rPr>
        <w:fldChar w:fldCharType="separate"/>
      </w:r>
      <w:r>
        <w:rPr>
          <w:rFonts w:hint="eastAsia" w:ascii="宋体" w:hAnsi="宋体" w:cs="宋体"/>
          <w:sz w:val="28"/>
          <w:szCs w:val="28"/>
        </w:rPr>
        <w:t>27</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"_Toc29482" </w:instrText>
      </w:r>
      <w:r>
        <w:fldChar w:fldCharType="separate"/>
      </w:r>
      <w:r>
        <w:rPr>
          <w:rFonts w:hint="eastAsia" w:ascii="宋体" w:hAnsi="宋体" w:cs="宋体"/>
          <w:sz w:val="28"/>
          <w:szCs w:val="28"/>
        </w:rPr>
        <w:t>九、 毛浴镇2020年一般公共预算财政拨款项目支出决算表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_Toc29482 </w:instrText>
      </w:r>
      <w:r>
        <w:rPr>
          <w:rFonts w:hint="eastAsia" w:ascii="宋体" w:hAnsi="宋体" w:cs="宋体"/>
          <w:sz w:val="28"/>
          <w:szCs w:val="28"/>
        </w:rPr>
        <w:fldChar w:fldCharType="separate"/>
      </w:r>
      <w:r>
        <w:rPr>
          <w:rFonts w:hint="eastAsia" w:ascii="宋体" w:hAnsi="宋体" w:cs="宋体"/>
          <w:sz w:val="28"/>
          <w:szCs w:val="28"/>
        </w:rPr>
        <w:t>27</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"_Toc12367" </w:instrText>
      </w:r>
      <w:r>
        <w:fldChar w:fldCharType="separate"/>
      </w:r>
      <w:r>
        <w:rPr>
          <w:rFonts w:hint="eastAsia" w:ascii="宋体" w:hAnsi="宋体" w:cs="宋体"/>
          <w:sz w:val="28"/>
          <w:szCs w:val="28"/>
        </w:rPr>
        <w:t>十、 毛浴镇2020年一般公共预算财政拨款“三公”经费支出决算表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_Toc12367 </w:instrText>
      </w:r>
      <w:r>
        <w:rPr>
          <w:rFonts w:hint="eastAsia" w:ascii="宋体" w:hAnsi="宋体" w:cs="宋体"/>
          <w:sz w:val="28"/>
          <w:szCs w:val="28"/>
        </w:rPr>
        <w:fldChar w:fldCharType="separate"/>
      </w:r>
      <w:r>
        <w:rPr>
          <w:rFonts w:hint="eastAsia" w:ascii="宋体" w:hAnsi="宋体" w:cs="宋体"/>
          <w:sz w:val="28"/>
          <w:szCs w:val="28"/>
        </w:rPr>
        <w:t>27</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"_Toc11636" </w:instrText>
      </w:r>
      <w:r>
        <w:fldChar w:fldCharType="separate"/>
      </w:r>
      <w:r>
        <w:rPr>
          <w:rFonts w:hint="eastAsia" w:ascii="宋体" w:hAnsi="宋体" w:cs="宋体"/>
          <w:sz w:val="28"/>
          <w:szCs w:val="28"/>
        </w:rPr>
        <w:t>十一、 毛浴镇2020年政府性基金预算财政拨款收入支出决算表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_Toc11636 </w:instrText>
      </w:r>
      <w:r>
        <w:rPr>
          <w:rFonts w:hint="eastAsia" w:ascii="宋体" w:hAnsi="宋体" w:cs="宋体"/>
          <w:sz w:val="28"/>
          <w:szCs w:val="28"/>
        </w:rPr>
        <w:fldChar w:fldCharType="separate"/>
      </w:r>
      <w:r>
        <w:rPr>
          <w:rFonts w:hint="eastAsia" w:ascii="宋体" w:hAnsi="宋体" w:cs="宋体"/>
          <w:sz w:val="28"/>
          <w:szCs w:val="28"/>
        </w:rPr>
        <w:t>27</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 w:val="clear" w:pos="8296"/>
        </w:tabs>
        <w:spacing w:line="500" w:lineRule="exact"/>
        <w:rPr>
          <w:rFonts w:ascii="宋体" w:hAnsi="宋体" w:cs="宋体"/>
          <w:sz w:val="28"/>
          <w:szCs w:val="28"/>
        </w:rPr>
      </w:pPr>
      <w:r>
        <w:fldChar w:fldCharType="begin"/>
      </w:r>
      <w:r>
        <w:instrText xml:space="preserve"> HYPERLINK \l "_Toc3961" </w:instrText>
      </w:r>
      <w:r>
        <w:fldChar w:fldCharType="separate"/>
      </w:r>
      <w:r>
        <w:rPr>
          <w:rFonts w:hint="eastAsia" w:ascii="宋体" w:hAnsi="宋体" w:cs="宋体"/>
          <w:sz w:val="28"/>
          <w:szCs w:val="28"/>
        </w:rPr>
        <w:t>十二、 毛浴镇2020年政府性基金预算财政拨款“三公”经费支出决算表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_Toc3961 </w:instrText>
      </w:r>
      <w:r>
        <w:rPr>
          <w:rFonts w:hint="eastAsia" w:ascii="宋体" w:hAnsi="宋体" w:cs="宋体"/>
          <w:sz w:val="28"/>
          <w:szCs w:val="28"/>
        </w:rPr>
        <w:fldChar w:fldCharType="separate"/>
      </w:r>
      <w:r>
        <w:rPr>
          <w:rFonts w:hint="eastAsia" w:ascii="宋体" w:hAnsi="宋体" w:cs="宋体"/>
          <w:sz w:val="28"/>
          <w:szCs w:val="28"/>
        </w:rPr>
        <w:t>27</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 w:val="clear" w:pos="8296"/>
        </w:tabs>
        <w:spacing w:line="500" w:lineRule="exact"/>
        <w:rPr>
          <w:rFonts w:ascii="宋体" w:hAnsi="宋体" w:cs="宋体"/>
          <w:color w:val="000000"/>
          <w:sz w:val="28"/>
          <w:szCs w:val="28"/>
        </w:rPr>
      </w:pPr>
      <w:r>
        <w:fldChar w:fldCharType="begin"/>
      </w:r>
      <w:r>
        <w:instrText xml:space="preserve"> HYPERLINK \l "_Toc14205" </w:instrText>
      </w:r>
      <w:r>
        <w:fldChar w:fldCharType="separate"/>
      </w:r>
      <w:r>
        <w:rPr>
          <w:rFonts w:hint="eastAsia" w:ascii="宋体" w:hAnsi="宋体" w:cs="宋体"/>
          <w:sz w:val="28"/>
          <w:szCs w:val="28"/>
        </w:rPr>
        <w:t>十三、毛浴镇2020年国有资本经营预算收入支出决算表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_Toc14205 </w:instrText>
      </w:r>
      <w:r>
        <w:rPr>
          <w:rFonts w:hint="eastAsia" w:ascii="宋体" w:hAnsi="宋体" w:cs="宋体"/>
          <w:sz w:val="28"/>
          <w:szCs w:val="28"/>
        </w:rPr>
        <w:fldChar w:fldCharType="separate"/>
      </w:r>
      <w:r>
        <w:rPr>
          <w:rFonts w:hint="eastAsia" w:ascii="宋体" w:hAnsi="宋体" w:cs="宋体"/>
          <w:sz w:val="28"/>
          <w:szCs w:val="28"/>
        </w:rPr>
        <w:t>27</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 w:val="clear" w:pos="8296"/>
        </w:tabs>
        <w:spacing w:line="500" w:lineRule="exact"/>
        <w:rPr>
          <w:rFonts w:ascii="宋体" w:hAnsi="宋体" w:cs="宋体"/>
          <w:color w:val="000000"/>
          <w:sz w:val="28"/>
          <w:szCs w:val="28"/>
        </w:rPr>
      </w:pPr>
      <w:r>
        <w:fldChar w:fldCharType="begin"/>
      </w:r>
      <w:r>
        <w:instrText xml:space="preserve"> HYPERLINK \l "_Toc14205" </w:instrText>
      </w:r>
      <w:r>
        <w:fldChar w:fldCharType="separate"/>
      </w:r>
      <w:r>
        <w:rPr>
          <w:rFonts w:hint="eastAsia" w:ascii="宋体" w:hAnsi="宋体" w:cs="宋体"/>
          <w:sz w:val="28"/>
          <w:szCs w:val="28"/>
        </w:rPr>
        <w:t>十四、毛浴镇2020年国有资本经营预算支出决算表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_Toc14205 </w:instrText>
      </w:r>
      <w:r>
        <w:rPr>
          <w:rFonts w:hint="eastAsia" w:ascii="宋体" w:hAnsi="宋体" w:cs="宋体"/>
          <w:sz w:val="28"/>
          <w:szCs w:val="28"/>
        </w:rPr>
        <w:fldChar w:fldCharType="separate"/>
      </w:r>
      <w:r>
        <w:rPr>
          <w:rFonts w:hint="eastAsia" w:ascii="宋体" w:hAnsi="宋体" w:cs="宋体"/>
          <w:sz w:val="28"/>
          <w:szCs w:val="28"/>
        </w:rPr>
        <w:t>27</w:t>
      </w:r>
      <w:r>
        <w:rPr>
          <w:rFonts w:hint="eastAsia" w:ascii="宋体" w:hAnsi="宋体" w:cs="宋体"/>
          <w:sz w:val="28"/>
          <w:szCs w:val="28"/>
        </w:rPr>
        <w:fldChar w:fldCharType="end"/>
      </w:r>
      <w:r>
        <w:rPr>
          <w:rFonts w:hint="eastAsia" w:ascii="宋体" w:hAnsi="宋体" w:cs="宋体"/>
          <w:sz w:val="28"/>
          <w:szCs w:val="28"/>
        </w:rPr>
        <w:fldChar w:fldCharType="end"/>
      </w:r>
    </w:p>
    <w:p/>
    <w:p/>
    <w:p/>
    <w:p>
      <w:pPr>
        <w:widowControl/>
        <w:spacing w:line="500" w:lineRule="exact"/>
        <w:jc w:val="left"/>
        <w:rPr>
          <w:rFonts w:ascii="仿宋" w:hAnsi="仿宋" w:eastAsia="仿宋"/>
          <w:b/>
          <w:bCs/>
          <w:color w:val="000000"/>
          <w:sz w:val="32"/>
          <w:szCs w:val="32"/>
        </w:rPr>
      </w:pPr>
      <w:r>
        <w:rPr>
          <w:rFonts w:hint="eastAsia" w:ascii="宋体" w:hAnsi="宋体" w:cs="宋体"/>
          <w:color w:val="000000"/>
          <w:sz w:val="28"/>
          <w:szCs w:val="28"/>
        </w:rPr>
        <w:fldChar w:fldCharType="end"/>
      </w:r>
    </w:p>
    <w:p>
      <w:pPr>
        <w:widowControl/>
        <w:tabs>
          <w:tab w:val="left" w:pos="2176"/>
        </w:tabs>
        <w:jc w:val="center"/>
        <w:rPr>
          <w:rFonts w:ascii="仿宋" w:hAnsi="仿宋" w:eastAsia="仿宋"/>
          <w:b/>
          <w:bCs/>
          <w:color w:val="000000"/>
          <w:sz w:val="32"/>
          <w:szCs w:val="32"/>
        </w:rPr>
      </w:pPr>
    </w:p>
    <w:p>
      <w:pPr>
        <w:pageBreakBefore/>
        <w:widowControl/>
        <w:tabs>
          <w:tab w:val="left" w:pos="2381"/>
        </w:tabs>
        <w:jc w:val="center"/>
        <w:outlineLvl w:val="0"/>
        <w:rPr>
          <w:rStyle w:val="26"/>
          <w:rFonts w:ascii="黑体" w:hAnsi="黑体" w:eastAsia="黑体"/>
        </w:rPr>
      </w:pPr>
      <w:bookmarkStart w:id="18" w:name="_Toc14288"/>
      <w:r>
        <w:rPr>
          <w:rFonts w:hint="eastAsia" w:ascii="黑体" w:hAnsi="黑体" w:eastAsia="黑体"/>
          <w:b/>
          <w:bCs/>
          <w:sz w:val="44"/>
          <w:szCs w:val="44"/>
        </w:rPr>
        <w:t xml:space="preserve">第一部分 </w:t>
      </w:r>
      <w:r>
        <w:rPr>
          <w:rStyle w:val="26"/>
          <w:rFonts w:hint="eastAsia" w:ascii="黑体" w:hAnsi="黑体" w:eastAsia="黑体"/>
        </w:rPr>
        <w:t>部门概况</w:t>
      </w:r>
      <w:bookmarkEnd w:id="18"/>
    </w:p>
    <w:p>
      <w:pPr>
        <w:pStyle w:val="3"/>
        <w:ind w:firstLine="640" w:firstLineChars="200"/>
        <w:rPr>
          <w:rStyle w:val="27"/>
          <w:rFonts w:ascii="黑体" w:hAnsi="黑体" w:eastAsia="黑体"/>
          <w:b w:val="0"/>
          <w:bCs w:val="0"/>
        </w:rPr>
      </w:pPr>
      <w:bookmarkStart w:id="19" w:name="_Toc4906"/>
      <w:bookmarkStart w:id="20" w:name="_Toc15396600"/>
      <w:bookmarkStart w:id="21" w:name="_Toc15377197"/>
      <w:r>
        <w:rPr>
          <w:rFonts w:hint="eastAsia" w:ascii="黑体" w:hAnsi="黑体" w:eastAsia="黑体"/>
          <w:b w:val="0"/>
          <w:color w:val="000000"/>
        </w:rPr>
        <w:t>一、基</w:t>
      </w:r>
      <w:r>
        <w:rPr>
          <w:rStyle w:val="27"/>
          <w:rFonts w:hint="eastAsia" w:ascii="黑体" w:hAnsi="黑体" w:eastAsia="黑体"/>
          <w:b w:val="0"/>
          <w:bCs w:val="0"/>
        </w:rPr>
        <w:t>本职能及主要工作</w:t>
      </w:r>
      <w:bookmarkEnd w:id="19"/>
      <w:bookmarkEnd w:id="20"/>
      <w:bookmarkEnd w:id="21"/>
      <w:bookmarkStart w:id="22" w:name="_Toc15377198"/>
      <w:bookmarkStart w:id="23" w:name="_Toc15378445"/>
    </w:p>
    <w:p>
      <w:pPr>
        <w:pStyle w:val="4"/>
        <w:ind w:firstLine="321" w:firstLineChars="100"/>
        <w:rPr>
          <w:rFonts w:ascii="仿宋" w:hAnsi="仿宋" w:eastAsia="仿宋"/>
          <w:color w:val="000000"/>
        </w:rPr>
      </w:pPr>
      <w:bookmarkStart w:id="24" w:name="_Toc21576"/>
      <w:r>
        <w:rPr>
          <w:rFonts w:hint="eastAsia" w:ascii="仿宋" w:hAnsi="仿宋" w:eastAsia="仿宋"/>
          <w:color w:val="000000"/>
        </w:rPr>
        <w:t>（一）主要职能。</w:t>
      </w:r>
      <w:bookmarkEnd w:id="22"/>
      <w:bookmarkEnd w:id="23"/>
      <w:bookmarkEnd w:id="24"/>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1.贯彻执行国家有关财政管理等方面的法律、法规和规定；拟定和执行乡镇财政发展规划及其他有关政策。</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2.编制乡镇年度财政预算草案并组织执行；向乡镇人大报告财政决算；管理和监督乡镇各项财政收支。</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3.管理各类政策性补贴等资金，建立惠农资金补助对象管理新机制，进一步完善财政补贴农民资金“一卡（折）通”发放机制。</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4.负责对各类专项资金的监管，</w:t>
      </w:r>
      <w:r>
        <w:rPr>
          <w:rFonts w:ascii="仿宋" w:hAnsi="仿宋" w:eastAsia="仿宋"/>
          <w:sz w:val="28"/>
          <w:szCs w:val="28"/>
        </w:rPr>
        <w:tab/>
      </w:r>
      <w:r>
        <w:rPr>
          <w:rFonts w:hint="eastAsia" w:ascii="仿宋_GB2312" w:hAnsi="仿宋_GB2312" w:eastAsia="仿宋_GB2312" w:cs="仿宋_GB2312"/>
          <w:sz w:val="30"/>
          <w:szCs w:val="30"/>
        </w:rPr>
        <w:t>提高财政资金使用效率。</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5.负责乡镇涉农及社会保障等专户资金的管理和核算；管理乡镇政府非税收入。</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6.提高加强财政管理的政策建议；负责财政、税收政策法规的宣传工作。</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执行会计集中核算，落实“乡财县管、村财乡监”、“农村三资代理服务”等管理制度，负责村级资金专户存储、核拨和监督管理；严格按照上级财政部门规定的工作程序开展工作，充分发挥财政资金使用效率。</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8.负责本乡镇行政事业单位的国有资产监督管理工作。</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9.负责做好农村综合改革和社会主义新农村建设相关工作。</w:t>
      </w:r>
    </w:p>
    <w:p>
      <w:pPr>
        <w:ind w:firstLine="600" w:firstLineChars="200"/>
        <w:rPr>
          <w:rFonts w:ascii="仿宋_GB2312" w:hAnsi="仿宋_GB2312" w:eastAsia="仿宋_GB2312" w:cs="仿宋_GB2312"/>
          <w:sz w:val="28"/>
          <w:szCs w:val="28"/>
        </w:rPr>
      </w:pPr>
      <w:r>
        <w:rPr>
          <w:rFonts w:hint="eastAsia" w:ascii="仿宋_GB2312" w:hAnsi="仿宋_GB2312" w:eastAsia="仿宋_GB2312" w:cs="仿宋_GB2312"/>
          <w:sz w:val="30"/>
          <w:szCs w:val="30"/>
        </w:rPr>
        <w:t>10.承办乡镇党委、政府及上级财政部门交办的其他事项</w:t>
      </w:r>
      <w:r>
        <w:rPr>
          <w:rFonts w:hint="eastAsia" w:ascii="仿宋_GB2312" w:hAnsi="仿宋_GB2312" w:eastAsia="仿宋_GB2312" w:cs="仿宋_GB2312"/>
          <w:sz w:val="28"/>
          <w:szCs w:val="28"/>
        </w:rPr>
        <w:t>。</w:t>
      </w:r>
      <w:bookmarkStart w:id="25" w:name="_Toc15378446"/>
      <w:bookmarkStart w:id="26" w:name="_Toc15377199"/>
    </w:p>
    <w:p>
      <w:pPr>
        <w:ind w:firstLine="321" w:firstLineChars="100"/>
        <w:outlineLvl w:val="2"/>
        <w:rPr>
          <w:rFonts w:ascii="仿宋" w:hAnsi="仿宋" w:eastAsia="仿宋"/>
          <w:b/>
          <w:color w:val="000000"/>
          <w:sz w:val="32"/>
          <w:szCs w:val="32"/>
        </w:rPr>
      </w:pPr>
      <w:bookmarkStart w:id="27" w:name="_Toc18270"/>
      <w:r>
        <w:rPr>
          <w:rFonts w:hint="eastAsia" w:ascii="仿宋" w:hAnsi="仿宋" w:eastAsia="仿宋"/>
          <w:b/>
          <w:color w:val="000000"/>
          <w:sz w:val="32"/>
          <w:szCs w:val="32"/>
        </w:rPr>
        <w:t>（二）2020年重点工作完成情况。</w:t>
      </w:r>
      <w:bookmarkEnd w:id="25"/>
      <w:bookmarkEnd w:id="26"/>
      <w:bookmarkEnd w:id="27"/>
    </w:p>
    <w:p>
      <w:pPr>
        <w:ind w:firstLine="640" w:firstLineChars="200"/>
        <w:rPr>
          <w:rFonts w:ascii="仿宋_GB2312" w:eastAsia="仿宋_GB2312"/>
          <w:sz w:val="32"/>
          <w:szCs w:val="32"/>
        </w:rPr>
      </w:pPr>
      <w:r>
        <w:rPr>
          <w:rFonts w:hint="eastAsia" w:ascii="仿宋_GB2312" w:eastAsia="仿宋_GB2312"/>
          <w:sz w:val="32"/>
          <w:szCs w:val="32"/>
        </w:rPr>
        <w:t>重点是脱贫攻坚工作，2020年脱贫攻坚进入收官年，为迎接国家脱贫工作验收，镇党委政府举全镇之力对脱贫攻坚各项工作进行对标补短，完成实施易地搬迁307户1035人，农村危旧房改造870户。全面建成10个非贫困村安全饮水项目、通村公路硬化项目，均已投入使用。各项惠农惠民按政策规定如期兑现到农户。</w:t>
      </w:r>
      <w:bookmarkStart w:id="28" w:name="_Toc15396601"/>
      <w:bookmarkStart w:id="29" w:name="_Toc15377200"/>
    </w:p>
    <w:p>
      <w:pPr>
        <w:ind w:firstLine="720" w:firstLineChars="200"/>
        <w:outlineLvl w:val="1"/>
        <w:rPr>
          <w:rStyle w:val="27"/>
          <w:rFonts w:ascii="黑体" w:hAnsi="黑体" w:eastAsia="黑体"/>
          <w:b w:val="0"/>
          <w:bCs w:val="0"/>
          <w:sz w:val="36"/>
          <w:szCs w:val="36"/>
        </w:rPr>
      </w:pPr>
      <w:bookmarkStart w:id="30" w:name="_Toc31488"/>
      <w:r>
        <w:rPr>
          <w:rFonts w:hint="eastAsia" w:ascii="黑体" w:eastAsia="黑体"/>
          <w:color w:val="000000"/>
          <w:sz w:val="36"/>
          <w:szCs w:val="36"/>
        </w:rPr>
        <w:t>二、</w:t>
      </w:r>
      <w:bookmarkEnd w:id="28"/>
      <w:bookmarkEnd w:id="29"/>
      <w:r>
        <w:rPr>
          <w:rFonts w:hint="eastAsia" w:ascii="黑体" w:hAnsi="黑体" w:eastAsia="黑体"/>
          <w:color w:val="000000"/>
          <w:sz w:val="36"/>
          <w:szCs w:val="36"/>
        </w:rPr>
        <w:t>机</w:t>
      </w:r>
      <w:r>
        <w:rPr>
          <w:rStyle w:val="27"/>
          <w:rFonts w:hint="eastAsia" w:ascii="黑体" w:hAnsi="黑体" w:eastAsia="黑体"/>
          <w:b w:val="0"/>
          <w:bCs w:val="0"/>
          <w:sz w:val="36"/>
          <w:szCs w:val="36"/>
        </w:rPr>
        <w:t>构设置</w:t>
      </w:r>
      <w:bookmarkEnd w:id="30"/>
    </w:p>
    <w:p>
      <w:pPr>
        <w:pStyle w:val="5"/>
        <w:adjustRightInd w:val="0"/>
        <w:snapToGrid w:val="0"/>
        <w:spacing w:before="93" w:line="600" w:lineRule="exact"/>
        <w:ind w:firstLine="672" w:firstLineChars="210"/>
        <w:rPr>
          <w:rFonts w:ascii="仿宋" w:hAnsi="仿宋"/>
          <w:sz w:val="32"/>
          <w:szCs w:val="32"/>
        </w:rPr>
      </w:pPr>
      <w:r>
        <w:rPr>
          <w:rFonts w:hint="eastAsia"/>
          <w:sz w:val="32"/>
          <w:szCs w:val="32"/>
        </w:rPr>
        <w:t>毛浴镇人民政府是乡级一级预算单位，下属二级事业单位3个，分别为列宁小学、药铺小学、毛浴镇卫生院，实行独立核算的单位2个。毛浴镇行政单位、毛浴镇事业单位。</w:t>
      </w:r>
      <w:r>
        <w:rPr>
          <w:rFonts w:hint="eastAsia" w:hAnsi="仿宋_GB2312" w:cs="仿宋_GB2312"/>
          <w:sz w:val="28"/>
          <w:szCs w:val="28"/>
        </w:rPr>
        <w:t>毛浴镇人民政府（本级）内设便民服务中心、农业综合服务中心、社会事业服务中心、村镇建设服务中心、会计核算中心，全镇辖16个行政村</w:t>
      </w:r>
      <w:r>
        <w:rPr>
          <w:rFonts w:hint="eastAsia"/>
          <w:sz w:val="32"/>
          <w:szCs w:val="32"/>
        </w:rPr>
        <w:t>、1个居民委员会。</w:t>
      </w:r>
      <w:r>
        <w:rPr>
          <w:rFonts w:hint="eastAsia" w:ascii="仿宋" w:hAnsi="仿宋" w:eastAsia="仿宋"/>
          <w:sz w:val="32"/>
          <w:szCs w:val="32"/>
        </w:rPr>
        <w:t>纳入毛浴镇2020年度部门决算编制范围的二级预算单位包括：</w:t>
      </w:r>
      <w:r>
        <w:rPr>
          <w:rFonts w:hint="eastAsia"/>
          <w:sz w:val="32"/>
          <w:szCs w:val="32"/>
        </w:rPr>
        <w:t>列宁小学、药铺小学、毛浴卫生院。</w:t>
      </w:r>
    </w:p>
    <w:p>
      <w:pPr>
        <w:pageBreakBefore/>
        <w:widowControl/>
        <w:ind w:firstLine="720" w:firstLineChars="200"/>
        <w:jc w:val="left"/>
        <w:outlineLvl w:val="0"/>
        <w:rPr>
          <w:rFonts w:hint="eastAsia" w:ascii="黑体" w:hAnsi="黑体" w:eastAsia="黑体"/>
          <w:kern w:val="44"/>
          <w:sz w:val="36"/>
          <w:szCs w:val="36"/>
        </w:rPr>
      </w:pPr>
      <w:bookmarkStart w:id="31" w:name="_Toc15377204"/>
      <w:bookmarkStart w:id="32" w:name="_Toc26843"/>
      <w:bookmarkStart w:id="33" w:name="_Toc15396602"/>
      <w:r>
        <w:rPr>
          <w:rFonts w:hint="eastAsia" w:ascii="黑体" w:hAnsi="黑体" w:eastAsia="黑体"/>
          <w:color w:val="000000"/>
          <w:sz w:val="36"/>
          <w:szCs w:val="36"/>
        </w:rPr>
        <w:t>第二部分</w:t>
      </w:r>
      <w:r>
        <w:rPr>
          <w:rStyle w:val="26"/>
          <w:rFonts w:hint="eastAsia" w:ascii="黑体" w:hAnsi="黑体" w:eastAsia="黑体"/>
          <w:b w:val="0"/>
          <w:bCs w:val="0"/>
          <w:sz w:val="36"/>
          <w:szCs w:val="36"/>
        </w:rPr>
        <w:t>2020年度</w:t>
      </w:r>
      <w:r>
        <w:rPr>
          <w:rFonts w:hint="eastAsia" w:ascii="黑体" w:hAnsi="黑体" w:eastAsia="黑体"/>
          <w:sz w:val="36"/>
          <w:szCs w:val="36"/>
        </w:rPr>
        <w:t>部门决算情况说明</w:t>
      </w:r>
      <w:bookmarkEnd w:id="31"/>
      <w:bookmarkEnd w:id="32"/>
      <w:bookmarkEnd w:id="33"/>
      <w:bookmarkStart w:id="34" w:name="_Toc14009"/>
      <w:bookmarkStart w:id="35" w:name="_Toc15377205"/>
      <w:bookmarkStart w:id="36" w:name="_Toc15396603"/>
    </w:p>
    <w:p>
      <w:pPr>
        <w:pStyle w:val="25"/>
        <w:spacing w:line="600" w:lineRule="exact"/>
        <w:ind w:firstLine="0" w:firstLineChars="0"/>
        <w:outlineLvl w:val="1"/>
        <w:rPr>
          <w:rStyle w:val="27"/>
          <w:rFonts w:ascii="黑体" w:hAnsi="黑体" w:eastAsia="黑体"/>
          <w:b w:val="0"/>
        </w:rPr>
      </w:pPr>
      <w:r>
        <w:rPr>
          <w:rFonts w:hint="eastAsia" w:ascii="黑体" w:hAnsi="黑体" w:eastAsia="黑体"/>
          <w:color w:val="000000"/>
          <w:sz w:val="32"/>
          <w:szCs w:val="32"/>
        </w:rPr>
        <w:t>一、收</w:t>
      </w:r>
      <w:r>
        <w:rPr>
          <w:rStyle w:val="27"/>
          <w:rFonts w:hint="eastAsia" w:ascii="黑体" w:hAnsi="黑体" w:eastAsia="黑体"/>
          <w:b w:val="0"/>
        </w:rPr>
        <w:t>入支出决算总体情况说明</w:t>
      </w:r>
      <w:bookmarkEnd w:id="34"/>
      <w:bookmarkEnd w:id="35"/>
      <w:bookmarkEnd w:id="36"/>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2020年度收、支总计1452.08万元。与2019年相比，收、支总计减少1171.91万元，减少44.66</w:t>
      </w:r>
      <w:r>
        <w:rPr>
          <w:rFonts w:ascii="仿宋" w:hAnsi="仿宋" w:eastAsia="仿宋"/>
          <w:color w:val="000000"/>
          <w:sz w:val="32"/>
          <w:szCs w:val="32"/>
        </w:rPr>
        <w:t>%</w:t>
      </w:r>
      <w:r>
        <w:rPr>
          <w:rFonts w:hint="eastAsia" w:ascii="仿宋" w:hAnsi="仿宋" w:eastAsia="仿宋"/>
          <w:color w:val="000000"/>
          <w:sz w:val="32"/>
          <w:szCs w:val="32"/>
        </w:rPr>
        <w:t>。主要减少原因脱贫攻坚建设项目基本完成投入相对减少。</w:t>
      </w:r>
    </w:p>
    <w:p>
      <w:pPr>
        <w:spacing w:line="600" w:lineRule="exact"/>
        <w:ind w:firstLine="420" w:firstLineChars="200"/>
        <w:rPr>
          <w:rFonts w:ascii="仿宋" w:hAnsi="仿宋" w:eastAsia="仿宋"/>
          <w:color w:val="000000"/>
          <w:sz w:val="32"/>
          <w:szCs w:val="32"/>
        </w:rPr>
      </w:pPr>
      <w:r>
        <w:rPr>
          <w:rFonts w:hint="eastAsia" w:eastAsiaTheme="minorEastAsia"/>
        </w:rPr>
        <w:drawing>
          <wp:anchor distT="0" distB="0" distL="114300" distR="114300" simplePos="0" relativeHeight="251659264" behindDoc="1" locked="0" layoutInCell="1" allowOverlap="1">
            <wp:simplePos x="0" y="0"/>
            <wp:positionH relativeFrom="column">
              <wp:posOffset>163830</wp:posOffset>
            </wp:positionH>
            <wp:positionV relativeFrom="paragraph">
              <wp:posOffset>60960</wp:posOffset>
            </wp:positionV>
            <wp:extent cx="5110480" cy="2552700"/>
            <wp:effectExtent l="19050" t="0" r="13970" b="0"/>
            <wp:wrapNone/>
            <wp:docPr id="133" name="_x0000_s15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pStyle w:val="25"/>
        <w:spacing w:line="600" w:lineRule="exact"/>
        <w:ind w:firstLine="0" w:firstLineChars="0"/>
        <w:outlineLvl w:val="1"/>
        <w:rPr>
          <w:rFonts w:hint="eastAsia" w:ascii="黑体" w:hAnsi="黑体" w:eastAsia="黑体"/>
          <w:color w:val="000000"/>
          <w:sz w:val="32"/>
          <w:szCs w:val="32"/>
        </w:rPr>
      </w:pPr>
      <w:bookmarkStart w:id="37" w:name="_Toc15396604"/>
      <w:bookmarkStart w:id="38" w:name="_Toc15377206"/>
      <w:bookmarkStart w:id="39" w:name="_Toc12741"/>
    </w:p>
    <w:p>
      <w:pPr>
        <w:pStyle w:val="25"/>
        <w:spacing w:line="600" w:lineRule="exact"/>
        <w:ind w:firstLine="0" w:firstLineChars="0"/>
        <w:outlineLvl w:val="1"/>
        <w:rPr>
          <w:rStyle w:val="27"/>
          <w:rFonts w:ascii="黑体" w:hAnsi="黑体" w:eastAsia="黑体"/>
          <w:b w:val="0"/>
        </w:rPr>
      </w:pPr>
      <w:r>
        <w:rPr>
          <w:rFonts w:hint="eastAsia" w:ascii="黑体" w:hAnsi="黑体" w:eastAsia="黑体"/>
          <w:color w:val="000000"/>
          <w:sz w:val="32"/>
          <w:szCs w:val="32"/>
        </w:rPr>
        <w:t>二、收</w:t>
      </w:r>
      <w:r>
        <w:rPr>
          <w:rStyle w:val="27"/>
          <w:rFonts w:hint="eastAsia" w:ascii="黑体" w:hAnsi="黑体" w:eastAsia="黑体"/>
          <w:b w:val="0"/>
        </w:rPr>
        <w:t>入决算情况说明</w:t>
      </w:r>
      <w:bookmarkEnd w:id="37"/>
      <w:bookmarkEnd w:id="38"/>
      <w:bookmarkEnd w:id="39"/>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2020年本年收入合计1452.08万元，其中：一般公共预算财政拨款收入1452.08万元，占100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w:t>
      </w:r>
      <w:bookmarkStart w:id="40" w:name="_Toc15396605"/>
      <w:bookmarkStart w:id="41" w:name="_Toc15377207"/>
    </w:p>
    <w:p>
      <w:pPr>
        <w:tabs>
          <w:tab w:val="left" w:pos="3447"/>
        </w:tabs>
        <w:outlineLvl w:val="1"/>
        <w:rPr>
          <w:rFonts w:ascii="黑体" w:hAnsi="黑体" w:eastAsia="黑体"/>
          <w:color w:val="000000"/>
          <w:sz w:val="32"/>
          <w:szCs w:val="32"/>
        </w:rPr>
      </w:pPr>
      <w:r>
        <w:rPr>
          <w:rFonts w:hint="eastAsia" w:ascii="黑体" w:hAnsi="黑体" w:eastAsia="黑体"/>
          <w:color w:val="000000"/>
          <w:sz w:val="32"/>
          <w:szCs w:val="32"/>
        </w:rPr>
        <w:t>　　</w:t>
      </w:r>
      <w:r>
        <w:drawing>
          <wp:inline distT="0" distB="0" distL="114300" distR="114300">
            <wp:extent cx="4575810" cy="2312035"/>
            <wp:effectExtent l="19050" t="0" r="15240" b="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tabs>
          <w:tab w:val="left" w:pos="3447"/>
        </w:tabs>
        <w:spacing w:line="600" w:lineRule="exact"/>
        <w:outlineLvl w:val="1"/>
        <w:rPr>
          <w:rStyle w:val="27"/>
          <w:rFonts w:ascii="黑体" w:hAnsi="黑体" w:eastAsia="黑体"/>
          <w:b w:val="0"/>
        </w:rPr>
      </w:pPr>
      <w:bookmarkStart w:id="42" w:name="_Toc20958"/>
      <w:r>
        <w:rPr>
          <w:rFonts w:hint="eastAsia" w:ascii="黑体" w:hAnsi="黑体" w:eastAsia="黑体"/>
          <w:color w:val="000000"/>
          <w:sz w:val="32"/>
          <w:szCs w:val="32"/>
        </w:rPr>
        <w:t>三、支</w:t>
      </w:r>
      <w:r>
        <w:rPr>
          <w:rStyle w:val="27"/>
          <w:rFonts w:hint="eastAsia" w:ascii="黑体" w:hAnsi="黑体" w:eastAsia="黑体"/>
          <w:b w:val="0"/>
        </w:rPr>
        <w:t>出决算情况说明</w:t>
      </w:r>
      <w:bookmarkEnd w:id="40"/>
      <w:bookmarkEnd w:id="41"/>
      <w:bookmarkEnd w:id="42"/>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2020年本年支出合计1452.08万元，其中：基本支出919.29万元，占63.31</w:t>
      </w:r>
      <w:r>
        <w:rPr>
          <w:rFonts w:ascii="仿宋" w:hAnsi="仿宋" w:eastAsia="仿宋"/>
          <w:color w:val="000000"/>
          <w:sz w:val="32"/>
          <w:szCs w:val="32"/>
        </w:rPr>
        <w:t>%</w:t>
      </w:r>
      <w:r>
        <w:rPr>
          <w:rFonts w:hint="eastAsia" w:ascii="仿宋" w:hAnsi="仿宋" w:eastAsia="仿宋"/>
          <w:color w:val="000000"/>
          <w:sz w:val="32"/>
          <w:szCs w:val="32"/>
        </w:rPr>
        <w:t>；项目支出532.79万元，占36.69</w:t>
      </w:r>
      <w:r>
        <w:rPr>
          <w:rFonts w:ascii="仿宋" w:hAnsi="仿宋" w:eastAsia="仿宋"/>
          <w:color w:val="000000"/>
          <w:sz w:val="32"/>
          <w:szCs w:val="32"/>
        </w:rPr>
        <w:t>%</w:t>
      </w:r>
      <w:r>
        <w:rPr>
          <w:rFonts w:hint="eastAsia" w:ascii="仿宋" w:hAnsi="仿宋" w:eastAsia="仿宋"/>
          <w:color w:val="000000"/>
          <w:sz w:val="32"/>
          <w:szCs w:val="32"/>
        </w:rPr>
        <w:t>。</w:t>
      </w:r>
    </w:p>
    <w:p>
      <w:pPr>
        <w:ind w:firstLine="641"/>
        <w:rPr>
          <w:rFonts w:ascii="黑体" w:hAnsi="黑体" w:eastAsia="黑体"/>
          <w:color w:val="000000"/>
          <w:sz w:val="32"/>
          <w:szCs w:val="32"/>
        </w:rPr>
      </w:pPr>
      <w:r>
        <w:drawing>
          <wp:inline distT="0" distB="0" distL="114300" distR="114300">
            <wp:extent cx="4575810" cy="2464435"/>
            <wp:effectExtent l="19050" t="0" r="15240" b="0"/>
            <wp:docPr id="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43" w:name="_Toc15377208"/>
      <w:bookmarkStart w:id="44" w:name="_Toc15396606"/>
    </w:p>
    <w:p>
      <w:pPr>
        <w:spacing w:line="600" w:lineRule="exact"/>
        <w:ind w:firstLine="640"/>
        <w:outlineLvl w:val="1"/>
        <w:rPr>
          <w:rStyle w:val="27"/>
          <w:rFonts w:ascii="黑体" w:hAnsi="黑体" w:eastAsia="黑体"/>
          <w:b w:val="0"/>
        </w:rPr>
      </w:pPr>
      <w:bookmarkStart w:id="45" w:name="_Toc16456"/>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43"/>
      <w:bookmarkEnd w:id="44"/>
      <w:bookmarkEnd w:id="45"/>
    </w:p>
    <w:p>
      <w:pPr>
        <w:spacing w:line="600" w:lineRule="exact"/>
        <w:ind w:firstLine="640" w:firstLineChars="200"/>
        <w:rPr>
          <w:rFonts w:hint="eastAsia" w:ascii="仿宋" w:hAnsi="仿宋" w:eastAsia="仿宋"/>
          <w:sz w:val="32"/>
          <w:szCs w:val="32"/>
        </w:rPr>
      </w:pPr>
      <w:r>
        <w:rPr>
          <w:rFonts w:hint="eastAsia" w:ascii="仿宋" w:hAnsi="仿宋" w:eastAsia="仿宋" w:cs="仿宋"/>
          <w:sz w:val="32"/>
          <w:szCs w:val="32"/>
        </w:rPr>
        <w:t>2020年财政拨款收入1452.08万元，比2019年减少1171.91万元，减少44.66%，主要变动原因是脱贫攻坚专项资金减少。财政拨款支出1452.08万元，比2019年减少1171.91万元，减少44.66%。主要变动原因是基础设施项目投入减少</w:t>
      </w:r>
      <w:r>
        <w:rPr>
          <w:rFonts w:hint="eastAsia" w:ascii="仿宋" w:hAnsi="仿宋" w:eastAsia="仿宋"/>
          <w:sz w:val="32"/>
          <w:szCs w:val="32"/>
        </w:rPr>
        <w:t>。</w:t>
      </w:r>
    </w:p>
    <w:p>
      <w:pPr>
        <w:spacing w:line="600" w:lineRule="exact"/>
        <w:ind w:firstLine="420" w:firstLineChars="200"/>
        <w:rPr>
          <w:rFonts w:ascii="仿宋" w:hAnsi="仿宋" w:eastAsia="仿宋"/>
          <w:sz w:val="32"/>
          <w:szCs w:val="32"/>
        </w:rPr>
      </w:pPr>
      <w:r>
        <w:rPr>
          <w:rFonts w:hint="eastAsia" w:eastAsiaTheme="minorEastAsia"/>
        </w:rPr>
        <w:drawing>
          <wp:anchor distT="0" distB="0" distL="114300" distR="114300" simplePos="0" relativeHeight="251662336" behindDoc="1" locked="0" layoutInCell="1" allowOverlap="1">
            <wp:simplePos x="0" y="0"/>
            <wp:positionH relativeFrom="column">
              <wp:posOffset>434340</wp:posOffset>
            </wp:positionH>
            <wp:positionV relativeFrom="paragraph">
              <wp:posOffset>7620</wp:posOffset>
            </wp:positionV>
            <wp:extent cx="4667885" cy="2621280"/>
            <wp:effectExtent l="0" t="0" r="0" b="0"/>
            <wp:wrapNone/>
            <wp:docPr id="136" name="_x0000_s15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outlineLvl w:val="1"/>
        <w:rPr>
          <w:rStyle w:val="27"/>
          <w:rFonts w:ascii="黑体" w:hAnsi="黑体" w:eastAsia="黑体"/>
          <w:b w:val="0"/>
        </w:rPr>
      </w:pPr>
      <w:bookmarkStart w:id="46" w:name="_Toc15396607"/>
      <w:bookmarkStart w:id="47" w:name="_Toc15377209"/>
      <w:r>
        <w:rPr>
          <w:rFonts w:hint="eastAsia" w:ascii="黑体" w:hAnsi="黑体" w:eastAsia="黑体"/>
          <w:color w:val="000000"/>
          <w:sz w:val="32"/>
          <w:szCs w:val="32"/>
        </w:rPr>
        <w:t>　　　</w:t>
      </w:r>
      <w:bookmarkStart w:id="48" w:name="_Toc16791"/>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w:t>
      </w:r>
      <w:r>
        <w:rPr>
          <w:rFonts w:hint="eastAsia" w:ascii="黑体" w:hAnsi="黑体" w:eastAsia="黑体"/>
          <w:sz w:val="32"/>
          <w:szCs w:val="32"/>
        </w:rPr>
        <w:t>公共预算财政拨款支出决算情况说明</w:t>
      </w:r>
      <w:bookmarkEnd w:id="46"/>
      <w:bookmarkEnd w:id="47"/>
      <w:bookmarkEnd w:id="48"/>
    </w:p>
    <w:p>
      <w:pPr>
        <w:spacing w:line="600" w:lineRule="exact"/>
        <w:outlineLvl w:val="2"/>
        <w:rPr>
          <w:rFonts w:ascii="仿宋" w:hAnsi="仿宋" w:eastAsia="仿宋"/>
          <w:b/>
          <w:color w:val="000000"/>
          <w:sz w:val="32"/>
          <w:szCs w:val="32"/>
        </w:rPr>
      </w:pPr>
      <w:bookmarkStart w:id="49" w:name="_Toc15377210"/>
      <w:r>
        <w:rPr>
          <w:rFonts w:hint="eastAsia" w:ascii="仿宋" w:hAnsi="仿宋" w:eastAsia="仿宋"/>
          <w:b/>
          <w:color w:val="000000"/>
          <w:sz w:val="32"/>
          <w:szCs w:val="32"/>
        </w:rPr>
        <w:t>　　</w:t>
      </w:r>
      <w:bookmarkStart w:id="50" w:name="_Toc28148"/>
      <w:r>
        <w:rPr>
          <w:rFonts w:hint="eastAsia" w:ascii="仿宋" w:hAnsi="仿宋" w:eastAsia="仿宋"/>
          <w:b/>
          <w:color w:val="000000"/>
          <w:sz w:val="32"/>
          <w:szCs w:val="32"/>
        </w:rPr>
        <w:t>（一）一般公共预算财政拨款支出决算总体情况</w:t>
      </w:r>
      <w:bookmarkEnd w:id="49"/>
      <w:bookmarkEnd w:id="50"/>
    </w:p>
    <w:p>
      <w:pPr>
        <w:spacing w:line="600" w:lineRule="exact"/>
        <w:ind w:firstLine="640" w:firstLineChars="200"/>
        <w:rPr>
          <w:rFonts w:ascii="仿宋" w:hAnsi="仿宋" w:eastAsia="仿宋"/>
          <w:sz w:val="32"/>
          <w:szCs w:val="32"/>
        </w:rPr>
      </w:pPr>
      <w:r>
        <w:rPr>
          <w:rFonts w:hint="eastAsia" w:ascii="仿宋" w:hAnsi="仿宋" w:eastAsia="仿宋"/>
          <w:color w:val="000000"/>
          <w:sz w:val="32"/>
          <w:szCs w:val="32"/>
        </w:rPr>
        <w:t>2020年一般公共预算财政拨款支出1452.08万元，占本年支出合计的100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s="仿宋"/>
          <w:color w:val="000000"/>
          <w:sz w:val="32"/>
          <w:szCs w:val="32"/>
        </w:rPr>
        <w:t>财</w:t>
      </w:r>
      <w:r>
        <w:rPr>
          <w:rStyle w:val="27"/>
          <w:rFonts w:hint="eastAsia" w:ascii="仿宋" w:hAnsi="仿宋" w:eastAsia="仿宋" w:cs="仿宋"/>
          <w:b w:val="0"/>
          <w:bCs w:val="0"/>
        </w:rPr>
        <w:t>政拨款</w:t>
      </w:r>
      <w:r>
        <w:rPr>
          <w:rFonts w:hint="eastAsia" w:ascii="仿宋" w:hAnsi="仿宋" w:eastAsia="仿宋"/>
          <w:color w:val="000000"/>
          <w:sz w:val="32"/>
          <w:szCs w:val="32"/>
        </w:rPr>
        <w:t>支出1452.08万元，与2019年相比减少1171.91万元。</w:t>
      </w:r>
      <w:bookmarkStart w:id="51" w:name="_Toc15377211"/>
      <w:r>
        <w:rPr>
          <w:rFonts w:hint="eastAsia" w:ascii="仿宋" w:hAnsi="仿宋" w:eastAsia="仿宋" w:cs="仿宋"/>
          <w:sz w:val="32"/>
          <w:szCs w:val="32"/>
        </w:rPr>
        <w:t>主要变动原因是基础设施项目投入减少</w:t>
      </w:r>
      <w:r>
        <w:rPr>
          <w:rFonts w:hint="eastAsia" w:ascii="仿宋" w:hAnsi="仿宋" w:eastAsia="仿宋"/>
          <w:sz w:val="32"/>
          <w:szCs w:val="32"/>
        </w:rPr>
        <w:t>。</w:t>
      </w:r>
    </w:p>
    <w:p>
      <w:pPr>
        <w:spacing w:line="600" w:lineRule="exact"/>
        <w:rPr>
          <w:rFonts w:ascii="仿宋" w:hAnsi="仿宋" w:eastAsia="仿宋"/>
          <w:b/>
          <w:color w:val="000000"/>
          <w:sz w:val="32"/>
          <w:szCs w:val="32"/>
        </w:rPr>
      </w:pPr>
      <w:r>
        <w:rPr>
          <w:rFonts w:hint="eastAsia" w:eastAsiaTheme="minorEastAsia"/>
        </w:rPr>
        <w:drawing>
          <wp:anchor distT="0" distB="0" distL="114300" distR="114300" simplePos="0" relativeHeight="251661312" behindDoc="1" locked="0" layoutInCell="1" allowOverlap="1">
            <wp:simplePos x="0" y="0"/>
            <wp:positionH relativeFrom="column">
              <wp:posOffset>426720</wp:posOffset>
            </wp:positionH>
            <wp:positionV relativeFrom="paragraph">
              <wp:posOffset>7620</wp:posOffset>
            </wp:positionV>
            <wp:extent cx="4667885" cy="3284220"/>
            <wp:effectExtent l="0" t="0" r="10795" b="7620"/>
            <wp:wrapNone/>
            <wp:docPr id="137" name="_x0000_s15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rPr>
          <w:rFonts w:ascii="仿宋" w:hAnsi="仿宋" w:eastAsia="仿宋"/>
          <w:b/>
          <w:color w:val="000000"/>
          <w:sz w:val="32"/>
          <w:szCs w:val="32"/>
        </w:rPr>
      </w:pPr>
    </w:p>
    <w:p>
      <w:pPr>
        <w:spacing w:line="600" w:lineRule="exact"/>
        <w:ind w:firstLine="643" w:firstLineChars="200"/>
        <w:rPr>
          <w:rFonts w:ascii="仿宋" w:hAnsi="仿宋" w:eastAsia="仿宋"/>
          <w:b/>
          <w:color w:val="000000"/>
          <w:sz w:val="32"/>
          <w:szCs w:val="32"/>
        </w:rPr>
      </w:pPr>
    </w:p>
    <w:p>
      <w:pPr>
        <w:spacing w:line="600" w:lineRule="exact"/>
        <w:ind w:firstLine="643" w:firstLineChars="200"/>
        <w:rPr>
          <w:rFonts w:ascii="仿宋" w:hAnsi="仿宋" w:eastAsia="仿宋"/>
          <w:b/>
          <w:color w:val="000000"/>
          <w:sz w:val="32"/>
          <w:szCs w:val="32"/>
        </w:rPr>
      </w:pPr>
    </w:p>
    <w:p>
      <w:pPr>
        <w:spacing w:line="600" w:lineRule="exact"/>
        <w:rPr>
          <w:rFonts w:ascii="仿宋" w:hAnsi="仿宋" w:eastAsia="仿宋"/>
          <w:b/>
          <w:color w:val="000000"/>
          <w:sz w:val="2"/>
          <w:szCs w:val="2"/>
        </w:rPr>
      </w:pPr>
    </w:p>
    <w:p>
      <w:pPr>
        <w:spacing w:line="600" w:lineRule="exact"/>
        <w:rPr>
          <w:rFonts w:ascii="仿宋" w:hAnsi="仿宋" w:eastAsia="仿宋"/>
          <w:b/>
          <w:color w:val="000000"/>
          <w:sz w:val="2"/>
          <w:szCs w:val="2"/>
        </w:rPr>
      </w:pPr>
    </w:p>
    <w:p>
      <w:pPr>
        <w:spacing w:line="600" w:lineRule="exact"/>
        <w:outlineLvl w:val="2"/>
        <w:rPr>
          <w:rFonts w:ascii="仿宋" w:hAnsi="仿宋" w:eastAsia="仿宋"/>
          <w:b/>
          <w:color w:val="000000"/>
          <w:sz w:val="32"/>
          <w:szCs w:val="32"/>
        </w:rPr>
      </w:pPr>
      <w:r>
        <w:rPr>
          <w:rFonts w:hint="eastAsia" w:ascii="仿宋" w:hAnsi="仿宋" w:eastAsia="仿宋"/>
          <w:b/>
          <w:color w:val="000000"/>
          <w:sz w:val="32"/>
          <w:szCs w:val="32"/>
        </w:rPr>
        <w:t>　</w:t>
      </w:r>
    </w:p>
    <w:p>
      <w:pPr>
        <w:spacing w:line="600" w:lineRule="exact"/>
        <w:outlineLvl w:val="2"/>
        <w:rPr>
          <w:rFonts w:ascii="仿宋" w:hAnsi="仿宋" w:eastAsia="仿宋"/>
          <w:b/>
          <w:color w:val="000000"/>
          <w:sz w:val="32"/>
          <w:szCs w:val="32"/>
        </w:rPr>
      </w:pPr>
    </w:p>
    <w:p>
      <w:pPr>
        <w:spacing w:line="600" w:lineRule="exact"/>
        <w:outlineLvl w:val="2"/>
        <w:rPr>
          <w:rFonts w:ascii="仿宋" w:hAnsi="仿宋" w:eastAsia="仿宋"/>
          <w:b/>
          <w:color w:val="000000"/>
          <w:sz w:val="32"/>
          <w:szCs w:val="32"/>
        </w:rPr>
      </w:pPr>
    </w:p>
    <w:p>
      <w:pPr>
        <w:spacing w:line="600" w:lineRule="exact"/>
        <w:outlineLvl w:val="2"/>
        <w:rPr>
          <w:rFonts w:ascii="仿宋" w:hAnsi="仿宋" w:eastAsia="仿宋"/>
          <w:b/>
          <w:color w:val="000000"/>
          <w:sz w:val="32"/>
          <w:szCs w:val="32"/>
        </w:rPr>
      </w:pPr>
      <w:r>
        <w:rPr>
          <w:rFonts w:hint="eastAsia" w:ascii="仿宋" w:hAnsi="仿宋" w:eastAsia="仿宋"/>
          <w:b/>
          <w:color w:val="000000"/>
          <w:sz w:val="32"/>
          <w:szCs w:val="32"/>
        </w:rPr>
        <w:t>　</w:t>
      </w:r>
      <w:bookmarkStart w:id="52" w:name="_Toc22065"/>
      <w:r>
        <w:rPr>
          <w:rFonts w:hint="eastAsia" w:ascii="仿宋" w:hAnsi="仿宋" w:eastAsia="仿宋"/>
          <w:b/>
          <w:color w:val="000000"/>
          <w:sz w:val="32"/>
          <w:szCs w:val="32"/>
        </w:rPr>
        <w:t>（二）一般公共预算财政拨款支出决算结构情况</w:t>
      </w:r>
      <w:bookmarkEnd w:id="51"/>
      <w:bookmarkEnd w:id="52"/>
    </w:p>
    <w:p>
      <w:pPr>
        <w:spacing w:line="600" w:lineRule="exact"/>
        <w:ind w:firstLine="640"/>
        <w:rPr>
          <w:rFonts w:ascii="仿宋" w:hAnsi="仿宋" w:eastAsia="仿宋"/>
          <w:color w:val="000000" w:themeColor="text1"/>
          <w:sz w:val="32"/>
          <w:szCs w:val="32"/>
        </w:rPr>
      </w:pPr>
      <w:r>
        <w:rPr>
          <w:rFonts w:hint="eastAsia" w:ascii="仿宋" w:hAnsi="仿宋" w:eastAsia="仿宋"/>
          <w:color w:val="000000"/>
          <w:sz w:val="32"/>
          <w:szCs w:val="32"/>
        </w:rPr>
        <w:t>2020年一般公共预算财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sz w:val="32"/>
          <w:szCs w:val="32"/>
        </w:rPr>
        <w:t>1452.08</w:t>
      </w:r>
      <w:r>
        <w:rPr>
          <w:rFonts w:hint="eastAsia" w:ascii="仿宋" w:hAnsi="仿宋" w:eastAsia="仿宋"/>
          <w:color w:val="000000" w:themeColor="text1"/>
          <w:sz w:val="32"/>
          <w:szCs w:val="32"/>
        </w:rPr>
        <w:t>万元，主要用于以下方面</w:t>
      </w:r>
      <w:r>
        <w:rPr>
          <w:rFonts w:hint="eastAsia" w:ascii="仿宋" w:hAnsi="仿宋" w:eastAsia="仿宋"/>
          <w:color w:val="000000" w:themeColor="text1"/>
          <w:sz w:val="32"/>
          <w:szCs w:val="32"/>
          <w:lang w:eastAsia="zh-CN"/>
        </w:rPr>
        <w:t>：</w:t>
      </w:r>
      <w:bookmarkStart w:id="96" w:name="_GoBack"/>
      <w:bookmarkEnd w:id="96"/>
      <w:r>
        <w:rPr>
          <w:rFonts w:hint="eastAsia" w:ascii="仿宋" w:hAnsi="仿宋" w:eastAsia="仿宋"/>
          <w:color w:val="000000"/>
          <w:sz w:val="32"/>
          <w:szCs w:val="32"/>
        </w:rPr>
        <w:t>一</w:t>
      </w:r>
      <w:r>
        <w:rPr>
          <w:rFonts w:hint="eastAsia" w:ascii="仿宋" w:hAnsi="仿宋" w:eastAsia="仿宋"/>
          <w:color w:val="000000" w:themeColor="text1"/>
          <w:sz w:val="32"/>
          <w:szCs w:val="32"/>
        </w:rPr>
        <w:t>般</w:t>
      </w:r>
      <w:r>
        <w:rPr>
          <w:rFonts w:hint="eastAsia" w:ascii="仿宋" w:hAnsi="仿宋" w:eastAsia="仿宋"/>
          <w:color w:val="000000"/>
          <w:sz w:val="32"/>
          <w:szCs w:val="32"/>
        </w:rPr>
        <w:t>公共服务（类）</w:t>
      </w:r>
      <w:r>
        <w:rPr>
          <w:rFonts w:hint="eastAsia" w:ascii="仿宋" w:hAnsi="仿宋" w:eastAsia="仿宋"/>
          <w:color w:val="000000" w:themeColor="text1"/>
          <w:sz w:val="32"/>
          <w:szCs w:val="32"/>
        </w:rPr>
        <w:t>支出397.28万元，占27.36</w:t>
      </w:r>
      <w:r>
        <w:rPr>
          <w:rFonts w:ascii="仿宋" w:hAnsi="仿宋" w:eastAsia="仿宋"/>
          <w:color w:val="000000" w:themeColor="text1"/>
          <w:sz w:val="32"/>
          <w:szCs w:val="32"/>
        </w:rPr>
        <w:t>%</w:t>
      </w:r>
      <w:r>
        <w:rPr>
          <w:rFonts w:hint="eastAsia" w:ascii="仿宋" w:hAnsi="仿宋" w:eastAsia="仿宋"/>
          <w:color w:val="000000" w:themeColor="text1"/>
          <w:sz w:val="32"/>
          <w:szCs w:val="32"/>
        </w:rPr>
        <w:t>；文化体育与传媒支出24.54万元，占1.69</w:t>
      </w:r>
      <w:r>
        <w:rPr>
          <w:rFonts w:ascii="仿宋" w:hAnsi="仿宋" w:eastAsia="仿宋"/>
          <w:color w:val="000000" w:themeColor="text1"/>
          <w:sz w:val="32"/>
          <w:szCs w:val="32"/>
        </w:rPr>
        <w:t>%</w:t>
      </w:r>
      <w:r>
        <w:rPr>
          <w:rFonts w:hint="eastAsia" w:ascii="仿宋" w:hAnsi="仿宋" w:eastAsia="仿宋"/>
          <w:color w:val="000000" w:themeColor="text1"/>
          <w:sz w:val="32"/>
          <w:szCs w:val="32"/>
        </w:rPr>
        <w:t>；社会保障和就业支出95.43万元，占6.57</w:t>
      </w:r>
      <w:r>
        <w:rPr>
          <w:rFonts w:ascii="仿宋" w:hAnsi="仿宋" w:eastAsia="仿宋"/>
          <w:color w:val="000000" w:themeColor="text1"/>
          <w:sz w:val="32"/>
          <w:szCs w:val="32"/>
        </w:rPr>
        <w:t>%</w:t>
      </w:r>
      <w:r>
        <w:rPr>
          <w:rFonts w:hint="eastAsia" w:ascii="仿宋" w:hAnsi="仿宋" w:eastAsia="仿宋"/>
          <w:color w:val="000000" w:themeColor="text1"/>
          <w:sz w:val="32"/>
          <w:szCs w:val="32"/>
        </w:rPr>
        <w:t>；卫生健康支出37.79万元，占2.6</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；住房保障支出38.82万元，占2.67</w:t>
      </w:r>
      <w:r>
        <w:rPr>
          <w:rFonts w:ascii="仿宋" w:hAnsi="仿宋" w:eastAsia="仿宋"/>
          <w:color w:val="000000" w:themeColor="text1"/>
          <w:sz w:val="32"/>
          <w:szCs w:val="32"/>
        </w:rPr>
        <w:t>%</w:t>
      </w:r>
      <w:r>
        <w:rPr>
          <w:rFonts w:hint="eastAsia" w:ascii="仿宋" w:hAnsi="仿宋" w:eastAsia="仿宋"/>
          <w:color w:val="000000" w:themeColor="text1"/>
          <w:sz w:val="32"/>
          <w:szCs w:val="32"/>
        </w:rPr>
        <w:t>；节能环保支出0.47万元，占0.03%；城乡社区支出7.07万元，占0.49</w:t>
      </w:r>
      <w:r>
        <w:rPr>
          <w:rFonts w:ascii="仿宋" w:hAnsi="仿宋" w:eastAsia="仿宋"/>
          <w:color w:val="000000" w:themeColor="text1"/>
          <w:sz w:val="32"/>
          <w:szCs w:val="32"/>
        </w:rPr>
        <w:t>%</w:t>
      </w:r>
      <w:r>
        <w:rPr>
          <w:rFonts w:hint="eastAsia" w:ascii="仿宋" w:hAnsi="仿宋" w:eastAsia="仿宋"/>
          <w:color w:val="000000" w:themeColor="text1"/>
          <w:sz w:val="32"/>
          <w:szCs w:val="32"/>
        </w:rPr>
        <w:t>；农林水支出831.17万元；占57.24%；公路运输管理支出14.91万元，占1.03</w:t>
      </w:r>
      <w:r>
        <w:rPr>
          <w:rFonts w:ascii="仿宋" w:hAnsi="仿宋" w:eastAsia="仿宋"/>
          <w:color w:val="000000" w:themeColor="text1"/>
          <w:sz w:val="32"/>
          <w:szCs w:val="32"/>
        </w:rPr>
        <w:t>%</w:t>
      </w:r>
      <w:r>
        <w:rPr>
          <w:rFonts w:hint="eastAsia" w:ascii="仿宋" w:hAnsi="仿宋" w:eastAsia="仿宋"/>
          <w:color w:val="000000" w:themeColor="text1"/>
          <w:sz w:val="32"/>
          <w:szCs w:val="32"/>
        </w:rPr>
        <w:t>；商业服务业等支出4.6万元，占</w:t>
      </w:r>
      <w:r>
        <w:rPr>
          <w:rFonts w:hint="eastAsia" w:ascii="仿宋" w:hAnsi="仿宋" w:eastAsia="仿宋"/>
          <w:color w:val="000000"/>
          <w:sz w:val="32"/>
          <w:szCs w:val="32"/>
        </w:rPr>
        <w:t>0.32%</w:t>
      </w:r>
      <w:r>
        <w:rPr>
          <w:rFonts w:hint="eastAsia" w:ascii="仿宋" w:hAnsi="仿宋" w:eastAsia="仿宋"/>
          <w:color w:val="000000" w:themeColor="text1"/>
          <w:sz w:val="32"/>
          <w:szCs w:val="32"/>
        </w:rPr>
        <w:t>。</w:t>
      </w:r>
    </w:p>
    <w:p>
      <w:pPr>
        <w:ind w:firstLine="641"/>
        <w:rPr>
          <w:rFonts w:ascii="仿宋" w:hAnsi="仿宋" w:eastAsia="仿宋"/>
          <w:color w:val="000000" w:themeColor="text1"/>
          <w:sz w:val="32"/>
          <w:szCs w:val="32"/>
        </w:rPr>
      </w:pPr>
      <w:r>
        <w:drawing>
          <wp:inline distT="0" distB="0" distL="114300" distR="114300">
            <wp:extent cx="4732020" cy="2906395"/>
            <wp:effectExtent l="4445" t="4445" r="6985" b="2286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outlineLvl w:val="2"/>
        <w:rPr>
          <w:rFonts w:ascii="仿宋" w:hAnsi="仿宋" w:eastAsia="仿宋"/>
          <w:b/>
          <w:color w:val="000000"/>
          <w:sz w:val="32"/>
          <w:szCs w:val="32"/>
        </w:rPr>
      </w:pPr>
      <w:bookmarkStart w:id="53" w:name="_Toc6898"/>
      <w:bookmarkStart w:id="54" w:name="_Toc15377212"/>
      <w:r>
        <w:rPr>
          <w:rFonts w:hint="eastAsia" w:ascii="仿宋" w:hAnsi="仿宋" w:eastAsia="仿宋"/>
          <w:b/>
          <w:color w:val="000000"/>
          <w:sz w:val="32"/>
          <w:szCs w:val="32"/>
        </w:rPr>
        <w:t>（三）一般公共预算财政拨款支出决算具体情况</w:t>
      </w:r>
      <w:bookmarkEnd w:id="53"/>
      <w:bookmarkEnd w:id="54"/>
    </w:p>
    <w:p>
      <w:pPr>
        <w:spacing w:line="600" w:lineRule="exact"/>
        <w:ind w:firstLine="643" w:firstLineChars="200"/>
        <w:rPr>
          <w:rStyle w:val="16"/>
          <w:rFonts w:ascii="仿宋" w:hAnsi="仿宋" w:eastAsia="仿宋"/>
          <w:b w:val="0"/>
          <w:color w:val="FF0000"/>
          <w:sz w:val="32"/>
          <w:szCs w:val="32"/>
        </w:rPr>
      </w:pPr>
      <w:bookmarkStart w:id="55" w:name="_Toc15377444"/>
      <w:bookmarkStart w:id="56" w:name="_Toc15378460"/>
      <w:bookmarkStart w:id="57" w:name="_Toc15377213"/>
      <w:r>
        <w:rPr>
          <w:rFonts w:hint="eastAsia" w:ascii="仿宋" w:hAnsi="仿宋" w:eastAsia="仿宋"/>
          <w:b/>
          <w:color w:val="000000" w:themeColor="text1"/>
          <w:sz w:val="32"/>
          <w:szCs w:val="32"/>
        </w:rPr>
        <w:t>2020</w:t>
      </w:r>
      <w:r>
        <w:rPr>
          <w:rFonts w:hint="eastAsia" w:ascii="仿宋" w:hAnsi="仿宋" w:eastAsia="仿宋"/>
          <w:b/>
          <w:color w:val="000000"/>
          <w:sz w:val="32"/>
          <w:szCs w:val="32"/>
        </w:rPr>
        <w:t>年一</w:t>
      </w:r>
      <w:r>
        <w:rPr>
          <w:rFonts w:hint="eastAsia" w:ascii="仿宋" w:hAnsi="仿宋" w:eastAsia="仿宋"/>
          <w:b/>
          <w:color w:val="000000" w:themeColor="text1"/>
          <w:sz w:val="32"/>
          <w:szCs w:val="32"/>
        </w:rPr>
        <w:t>般</w:t>
      </w:r>
      <w:r>
        <w:rPr>
          <w:rFonts w:hint="eastAsia" w:ascii="仿宋" w:hAnsi="仿宋" w:eastAsia="仿宋"/>
          <w:b/>
          <w:color w:val="000000"/>
          <w:sz w:val="32"/>
          <w:szCs w:val="32"/>
        </w:rPr>
        <w:t>公共预算支出决算数为1452.08万元，</w:t>
      </w:r>
      <w:r>
        <w:rPr>
          <w:rStyle w:val="16"/>
          <w:rFonts w:hint="eastAsia" w:ascii="仿宋" w:hAnsi="仿宋" w:eastAsia="仿宋"/>
          <w:bCs/>
          <w:color w:val="000000" w:themeColor="text1"/>
          <w:sz w:val="32"/>
          <w:szCs w:val="32"/>
        </w:rPr>
        <w:t>完成</w:t>
      </w:r>
      <w:r>
        <w:rPr>
          <w:rStyle w:val="16"/>
          <w:rFonts w:hint="eastAsia" w:ascii="仿宋" w:hAnsi="仿宋" w:eastAsia="仿宋"/>
          <w:bCs/>
          <w:color w:val="000000"/>
          <w:sz w:val="32"/>
          <w:szCs w:val="32"/>
        </w:rPr>
        <w:t>预算100</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w:t>
      </w:r>
      <w:r>
        <w:rPr>
          <w:rFonts w:hint="eastAsia" w:ascii="仿宋" w:hAnsi="仿宋" w:eastAsia="仿宋"/>
          <w:bCs/>
          <w:color w:val="000000"/>
          <w:sz w:val="32"/>
          <w:szCs w:val="32"/>
        </w:rPr>
        <w:t>其中：</w:t>
      </w:r>
      <w:bookmarkEnd w:id="55"/>
      <w:bookmarkEnd w:id="56"/>
      <w:bookmarkEnd w:id="57"/>
    </w:p>
    <w:p>
      <w:pPr>
        <w:rPr>
          <w:rFonts w:ascii="仿宋" w:hAnsi="仿宋" w:eastAsia="仿宋" w:cs="仿宋"/>
          <w:sz w:val="32"/>
          <w:szCs w:val="32"/>
        </w:rPr>
      </w:pPr>
      <w:bookmarkStart w:id="58" w:name="_Toc15396608"/>
      <w:bookmarkStart w:id="59" w:name="_Toc15377214"/>
      <w:r>
        <w:rPr>
          <w:rFonts w:hint="eastAsia" w:ascii="仿宋" w:hAnsi="仿宋" w:eastAsia="仿宋" w:cs="仿宋"/>
          <w:sz w:val="32"/>
          <w:szCs w:val="32"/>
        </w:rPr>
        <w:t>1.一般公共服务支出（类）政府办公厅（室）及相关机构事务（款）  行政运行（项）：支出决算为303.36万元，完成预算100%，决算数等于预算数。</w:t>
      </w:r>
    </w:p>
    <w:p>
      <w:pPr>
        <w:rPr>
          <w:rFonts w:ascii="仿宋" w:hAnsi="仿宋" w:eastAsia="仿宋" w:cs="仿宋"/>
          <w:sz w:val="32"/>
          <w:szCs w:val="32"/>
        </w:rPr>
      </w:pPr>
      <w:r>
        <w:rPr>
          <w:rFonts w:hint="eastAsia" w:ascii="仿宋" w:hAnsi="仿宋" w:eastAsia="仿宋" w:cs="仿宋"/>
          <w:sz w:val="32"/>
          <w:szCs w:val="32"/>
        </w:rPr>
        <w:t>2.一般公共服务支出（类）政府办公厅（室）及相关机构事务（款）  一般行政管理事务（项）：支出决算为4.25万元，完成预算100%，决算数等于预算数。</w:t>
      </w:r>
    </w:p>
    <w:p>
      <w:pPr>
        <w:rPr>
          <w:rFonts w:ascii="仿宋" w:hAnsi="仿宋" w:eastAsia="仿宋" w:cs="仿宋"/>
          <w:sz w:val="32"/>
          <w:szCs w:val="32"/>
        </w:rPr>
      </w:pPr>
      <w:r>
        <w:rPr>
          <w:rFonts w:hint="eastAsia" w:ascii="仿宋" w:hAnsi="仿宋" w:eastAsia="仿宋" w:cs="仿宋"/>
          <w:sz w:val="32"/>
          <w:szCs w:val="32"/>
        </w:rPr>
        <w:t>3.一般公共服务支出（类）政府办公厅（室）及相关机构事务（款）  事业运行（项）：支出决算为6.9万元，完成预算100%，决算数等于预算数。</w:t>
      </w:r>
    </w:p>
    <w:p>
      <w:pPr>
        <w:rPr>
          <w:rFonts w:ascii="仿宋" w:hAnsi="仿宋" w:eastAsia="仿宋" w:cs="仿宋"/>
          <w:sz w:val="32"/>
          <w:szCs w:val="32"/>
        </w:rPr>
      </w:pPr>
      <w:r>
        <w:rPr>
          <w:rFonts w:hint="eastAsia" w:ascii="仿宋" w:hAnsi="仿宋" w:eastAsia="仿宋" w:cs="仿宋"/>
          <w:sz w:val="32"/>
          <w:szCs w:val="32"/>
        </w:rPr>
        <w:t>4.一般公共服务支出（类）财政事务（款）  行政运行（项）：支出决算为21.05万元，完成预算100%，决算数等于预算数。</w:t>
      </w:r>
    </w:p>
    <w:p>
      <w:pPr>
        <w:rPr>
          <w:rFonts w:ascii="仿宋" w:hAnsi="仿宋" w:eastAsia="仿宋" w:cs="仿宋"/>
          <w:sz w:val="32"/>
          <w:szCs w:val="32"/>
        </w:rPr>
      </w:pPr>
      <w:r>
        <w:rPr>
          <w:rFonts w:hint="eastAsia" w:ascii="仿宋" w:hAnsi="仿宋" w:eastAsia="仿宋" w:cs="仿宋"/>
          <w:sz w:val="32"/>
          <w:szCs w:val="32"/>
        </w:rPr>
        <w:t>5.一般公共服务支出（类）财政事务（款）  事业运行（项）：支出决算为14.91万元，完成预算100%，决算数等于预算数。</w:t>
      </w:r>
    </w:p>
    <w:p>
      <w:pPr>
        <w:rPr>
          <w:rFonts w:ascii="仿宋" w:hAnsi="仿宋" w:eastAsia="仿宋" w:cs="仿宋"/>
          <w:sz w:val="32"/>
          <w:szCs w:val="32"/>
        </w:rPr>
      </w:pPr>
      <w:r>
        <w:rPr>
          <w:rFonts w:hint="eastAsia" w:ascii="仿宋" w:hAnsi="仿宋" w:eastAsia="仿宋" w:cs="仿宋"/>
          <w:sz w:val="32"/>
          <w:szCs w:val="32"/>
        </w:rPr>
        <w:t>6.一般公共服务支出（类）纪检监察事务（款）  行政运行（项）：支出决算为23.44万元，完成预算100%，决算数等于预算数。</w:t>
      </w:r>
    </w:p>
    <w:p>
      <w:pPr>
        <w:rPr>
          <w:rFonts w:ascii="仿宋" w:hAnsi="仿宋" w:eastAsia="仿宋" w:cs="仿宋"/>
          <w:sz w:val="32"/>
          <w:szCs w:val="32"/>
        </w:rPr>
      </w:pPr>
      <w:r>
        <w:rPr>
          <w:rFonts w:hint="eastAsia" w:ascii="仿宋" w:hAnsi="仿宋" w:eastAsia="仿宋" w:cs="仿宋"/>
          <w:sz w:val="32"/>
          <w:szCs w:val="32"/>
        </w:rPr>
        <w:t>7.一般公共服务支出（类）党委办公厅（室）及相关机构事务（款）  行政运行（项）：支出决算为14.92万元，完成预算100%，决算数等于预算数。</w:t>
      </w:r>
    </w:p>
    <w:p>
      <w:pPr>
        <w:rPr>
          <w:rFonts w:ascii="仿宋" w:hAnsi="仿宋" w:eastAsia="仿宋" w:cs="仿宋"/>
          <w:sz w:val="32"/>
          <w:szCs w:val="32"/>
        </w:rPr>
      </w:pPr>
      <w:r>
        <w:rPr>
          <w:rFonts w:hint="eastAsia" w:ascii="仿宋" w:hAnsi="仿宋" w:eastAsia="仿宋" w:cs="仿宋"/>
          <w:sz w:val="32"/>
          <w:szCs w:val="32"/>
        </w:rPr>
        <w:t>8.一般公共服务支出（类）市场监督管理事务（款）  事业运行（项）：支出决算为7.6万元，完成预算100%，决算数等于预算数。</w:t>
      </w:r>
    </w:p>
    <w:p>
      <w:pPr>
        <w:rPr>
          <w:rFonts w:ascii="仿宋" w:hAnsi="仿宋" w:eastAsia="仿宋" w:cs="仿宋"/>
          <w:sz w:val="32"/>
          <w:szCs w:val="32"/>
        </w:rPr>
      </w:pPr>
      <w:r>
        <w:rPr>
          <w:rFonts w:hint="eastAsia" w:ascii="仿宋" w:hAnsi="仿宋" w:eastAsia="仿宋" w:cs="仿宋"/>
          <w:sz w:val="32"/>
          <w:szCs w:val="32"/>
        </w:rPr>
        <w:t>9.一般公共服务支出（类）其他一般公共服务支出（款）  其他一般公共服务支出（项）：支出决算为0.85万元，完成预算100%，决算数等于预算数。</w:t>
      </w:r>
    </w:p>
    <w:p>
      <w:pPr>
        <w:rPr>
          <w:rFonts w:ascii="仿宋" w:hAnsi="仿宋" w:eastAsia="仿宋" w:cs="仿宋"/>
          <w:sz w:val="32"/>
          <w:szCs w:val="32"/>
        </w:rPr>
      </w:pPr>
      <w:r>
        <w:rPr>
          <w:rFonts w:hint="eastAsia" w:ascii="仿宋" w:hAnsi="仿宋" w:eastAsia="仿宋" w:cs="仿宋"/>
          <w:sz w:val="32"/>
          <w:szCs w:val="32"/>
        </w:rPr>
        <w:t>10.文化旅游体育与传媒支出（类）文化和旅游（款）  群众文化（项）：支出决算为8.18万元，完成预算100%，决算数等于预算数。</w:t>
      </w:r>
    </w:p>
    <w:p>
      <w:pPr>
        <w:rPr>
          <w:rFonts w:ascii="仿宋" w:hAnsi="仿宋" w:eastAsia="仿宋" w:cs="仿宋"/>
          <w:sz w:val="32"/>
          <w:szCs w:val="32"/>
        </w:rPr>
      </w:pPr>
      <w:r>
        <w:rPr>
          <w:rFonts w:hint="eastAsia" w:ascii="仿宋" w:hAnsi="仿宋" w:eastAsia="仿宋" w:cs="仿宋"/>
          <w:sz w:val="32"/>
          <w:szCs w:val="32"/>
        </w:rPr>
        <w:t>11.文化旅游体育与传媒支出（类）文化和旅游（款）  其他文化和旅游支出（项）：支出决算为5万元，完成预算100%，决算数等于预算数。</w:t>
      </w:r>
    </w:p>
    <w:p>
      <w:pPr>
        <w:rPr>
          <w:rFonts w:ascii="仿宋" w:hAnsi="仿宋" w:eastAsia="仿宋" w:cs="仿宋"/>
          <w:sz w:val="32"/>
          <w:szCs w:val="32"/>
        </w:rPr>
      </w:pPr>
      <w:r>
        <w:rPr>
          <w:rFonts w:hint="eastAsia" w:ascii="仿宋" w:hAnsi="仿宋" w:eastAsia="仿宋" w:cs="仿宋"/>
          <w:sz w:val="32"/>
          <w:szCs w:val="32"/>
        </w:rPr>
        <w:t>12.文化旅游体育与传媒支出（类）其他文化旅游体育与传媒支出（款）  其他文化旅游体育与传媒支出（项）：支出决算为11.36万元，完成预算100%，决算数等于预算数。</w:t>
      </w:r>
    </w:p>
    <w:p>
      <w:pPr>
        <w:rPr>
          <w:rFonts w:ascii="仿宋" w:hAnsi="仿宋" w:eastAsia="仿宋" w:cs="仿宋"/>
          <w:sz w:val="32"/>
          <w:szCs w:val="32"/>
        </w:rPr>
      </w:pPr>
      <w:r>
        <w:rPr>
          <w:rFonts w:hint="eastAsia" w:ascii="仿宋" w:hAnsi="仿宋" w:eastAsia="仿宋" w:cs="仿宋"/>
          <w:sz w:val="32"/>
          <w:szCs w:val="32"/>
        </w:rPr>
        <w:t>13.社会保障和就业支出（类）人力资源和社会保障管理事务（款）  社会保险经办机构（项）：支出决算为6.81万元，完成预算100%，决算数等于预算数。</w:t>
      </w:r>
    </w:p>
    <w:p>
      <w:pPr>
        <w:rPr>
          <w:rFonts w:ascii="仿宋" w:hAnsi="仿宋" w:eastAsia="仿宋" w:cs="仿宋"/>
          <w:sz w:val="32"/>
          <w:szCs w:val="32"/>
        </w:rPr>
      </w:pPr>
      <w:r>
        <w:rPr>
          <w:rFonts w:hint="eastAsia" w:ascii="仿宋" w:hAnsi="仿宋" w:eastAsia="仿宋" w:cs="仿宋"/>
          <w:sz w:val="32"/>
          <w:szCs w:val="32"/>
        </w:rPr>
        <w:t>14.社会保障和就业支出（类）行政事业单位养老支出（款）  机关事业单位基本养老保险缴费支出（项）：支出决算为51.87万元，完成预算100%，决算数等于预算数。</w:t>
      </w:r>
    </w:p>
    <w:p>
      <w:pPr>
        <w:rPr>
          <w:rFonts w:ascii="仿宋" w:hAnsi="仿宋" w:eastAsia="仿宋" w:cs="仿宋"/>
          <w:sz w:val="32"/>
          <w:szCs w:val="32"/>
        </w:rPr>
      </w:pPr>
      <w:r>
        <w:rPr>
          <w:rFonts w:hint="eastAsia" w:ascii="仿宋" w:hAnsi="仿宋" w:eastAsia="仿宋" w:cs="仿宋"/>
          <w:sz w:val="32"/>
          <w:szCs w:val="32"/>
        </w:rPr>
        <w:t>15.社会保障和就业支出（类）就业补助（款）  公益性岗位补贴（项）：支出决算为36.75万元，完成预算100%，决算数等于预算数。</w:t>
      </w:r>
    </w:p>
    <w:p>
      <w:pPr>
        <w:rPr>
          <w:rFonts w:ascii="仿宋" w:hAnsi="仿宋" w:eastAsia="仿宋" w:cs="仿宋"/>
          <w:sz w:val="32"/>
          <w:szCs w:val="32"/>
        </w:rPr>
      </w:pPr>
      <w:r>
        <w:rPr>
          <w:rFonts w:hint="eastAsia" w:ascii="仿宋" w:hAnsi="仿宋" w:eastAsia="仿宋" w:cs="仿宋"/>
          <w:sz w:val="32"/>
          <w:szCs w:val="32"/>
        </w:rPr>
        <w:t>16.卫生健康支出（类）卫生健康管理事务（款）  行政运行（项）：支出决算为8.69万元，完成预算100%，决算数等于预算数。</w:t>
      </w:r>
    </w:p>
    <w:p>
      <w:pPr>
        <w:rPr>
          <w:rFonts w:ascii="仿宋" w:hAnsi="仿宋" w:eastAsia="仿宋" w:cs="仿宋"/>
          <w:sz w:val="32"/>
          <w:szCs w:val="32"/>
        </w:rPr>
      </w:pPr>
      <w:r>
        <w:rPr>
          <w:rFonts w:hint="eastAsia" w:ascii="仿宋" w:hAnsi="仿宋" w:eastAsia="仿宋" w:cs="仿宋"/>
          <w:sz w:val="32"/>
          <w:szCs w:val="32"/>
        </w:rPr>
        <w:t>17.卫生健康支出（类）公共卫生（款）  其他公共卫生支出（项）：支出决算为1.34万元，完成预算100%，决算数等于预算数。</w:t>
      </w:r>
    </w:p>
    <w:p>
      <w:pPr>
        <w:rPr>
          <w:rFonts w:ascii="仿宋" w:hAnsi="仿宋" w:eastAsia="仿宋" w:cs="仿宋"/>
          <w:sz w:val="32"/>
          <w:szCs w:val="32"/>
        </w:rPr>
      </w:pPr>
      <w:r>
        <w:rPr>
          <w:rFonts w:hint="eastAsia" w:ascii="仿宋" w:hAnsi="仿宋" w:eastAsia="仿宋" w:cs="仿宋"/>
          <w:sz w:val="32"/>
          <w:szCs w:val="32"/>
        </w:rPr>
        <w:t>18.卫生健康支出（类）行政事业单位医疗（款）  行政单位医疗（项）：支出决算为13.98万元，完成预算100%，决算数等于预算数。</w:t>
      </w:r>
    </w:p>
    <w:p>
      <w:pPr>
        <w:rPr>
          <w:rFonts w:ascii="仿宋" w:hAnsi="仿宋" w:eastAsia="仿宋" w:cs="仿宋"/>
          <w:sz w:val="32"/>
          <w:szCs w:val="32"/>
        </w:rPr>
      </w:pPr>
      <w:r>
        <w:rPr>
          <w:rFonts w:hint="eastAsia" w:ascii="仿宋" w:hAnsi="仿宋" w:eastAsia="仿宋" w:cs="仿宋"/>
          <w:sz w:val="32"/>
          <w:szCs w:val="32"/>
        </w:rPr>
        <w:t>19.卫生健康支出（类）行政事业单位医疗（款）  事业单位医疗（项）：支出决算为13.78万元，完成预算100%，决算数等于预算数。</w:t>
      </w:r>
    </w:p>
    <w:p>
      <w:pPr>
        <w:rPr>
          <w:rFonts w:ascii="仿宋" w:hAnsi="仿宋" w:eastAsia="仿宋" w:cs="仿宋"/>
          <w:sz w:val="32"/>
          <w:szCs w:val="32"/>
        </w:rPr>
      </w:pPr>
      <w:r>
        <w:rPr>
          <w:rFonts w:hint="eastAsia" w:ascii="仿宋" w:hAnsi="仿宋" w:eastAsia="仿宋" w:cs="仿宋"/>
          <w:sz w:val="32"/>
          <w:szCs w:val="32"/>
        </w:rPr>
        <w:t>20.节能环保支出（类）天然林保护（款）  森林管护（项）：支出决算为0.47万元，完成预算100%，决算数等于预算数。</w:t>
      </w:r>
    </w:p>
    <w:p>
      <w:pPr>
        <w:rPr>
          <w:rFonts w:ascii="仿宋" w:hAnsi="仿宋" w:eastAsia="仿宋" w:cs="仿宋"/>
          <w:sz w:val="32"/>
          <w:szCs w:val="32"/>
        </w:rPr>
      </w:pPr>
      <w:r>
        <w:rPr>
          <w:rFonts w:hint="eastAsia" w:ascii="仿宋" w:hAnsi="仿宋" w:eastAsia="仿宋" w:cs="仿宋"/>
          <w:sz w:val="32"/>
          <w:szCs w:val="32"/>
        </w:rPr>
        <w:t>21.城乡社区支出（类）城乡社区管理事务（款）  其他城乡社区管理事务支出（项）：支出决算为7.07万元，完成预算100%，决算数等于预算数。</w:t>
      </w:r>
    </w:p>
    <w:p>
      <w:pPr>
        <w:rPr>
          <w:rFonts w:ascii="仿宋" w:hAnsi="仿宋" w:eastAsia="仿宋" w:cs="仿宋"/>
          <w:sz w:val="32"/>
          <w:szCs w:val="32"/>
        </w:rPr>
      </w:pPr>
      <w:r>
        <w:rPr>
          <w:rFonts w:hint="eastAsia" w:ascii="仿宋" w:hAnsi="仿宋" w:eastAsia="仿宋" w:cs="仿宋"/>
          <w:sz w:val="32"/>
          <w:szCs w:val="32"/>
        </w:rPr>
        <w:t>22.农林水支出（类）农业农村（款）  事业运行（项）：支出决算为105.18万元，完成预算100%，决算数等于预算数。</w:t>
      </w:r>
    </w:p>
    <w:p>
      <w:pPr>
        <w:rPr>
          <w:rFonts w:ascii="仿宋" w:hAnsi="仿宋" w:eastAsia="仿宋" w:cs="仿宋"/>
          <w:sz w:val="32"/>
          <w:szCs w:val="32"/>
        </w:rPr>
      </w:pPr>
      <w:r>
        <w:rPr>
          <w:rFonts w:hint="eastAsia" w:ascii="仿宋" w:hAnsi="仿宋" w:eastAsia="仿宋" w:cs="仿宋"/>
          <w:sz w:val="32"/>
          <w:szCs w:val="32"/>
        </w:rPr>
        <w:t>23.农林水支出（类）林业和草原（款）  事业机构（项）：支出决算为15.01万元，完成预算100%，决算数等于预算数。</w:t>
      </w:r>
    </w:p>
    <w:p>
      <w:pPr>
        <w:rPr>
          <w:rFonts w:ascii="仿宋" w:hAnsi="仿宋" w:eastAsia="仿宋" w:cs="仿宋"/>
          <w:sz w:val="32"/>
          <w:szCs w:val="32"/>
        </w:rPr>
      </w:pPr>
      <w:r>
        <w:rPr>
          <w:rFonts w:hint="eastAsia" w:ascii="仿宋" w:hAnsi="仿宋" w:eastAsia="仿宋" w:cs="仿宋"/>
          <w:sz w:val="32"/>
          <w:szCs w:val="32"/>
        </w:rPr>
        <w:t>24.农林水支出（类）水利（款）  水利技术推广（项）：支出决算为12万元，完成预算100%，决算数等于预算数。</w:t>
      </w:r>
    </w:p>
    <w:p>
      <w:pPr>
        <w:rPr>
          <w:rFonts w:ascii="仿宋" w:hAnsi="仿宋" w:eastAsia="仿宋" w:cs="仿宋"/>
          <w:sz w:val="32"/>
          <w:szCs w:val="32"/>
        </w:rPr>
      </w:pPr>
      <w:r>
        <w:rPr>
          <w:rFonts w:hint="eastAsia" w:ascii="仿宋" w:hAnsi="仿宋" w:eastAsia="仿宋" w:cs="仿宋"/>
          <w:sz w:val="32"/>
          <w:szCs w:val="32"/>
        </w:rPr>
        <w:t>25.农林水支出（类）扶贫（款）  农村基础设施建设（项）：支出决算为225.21万元，完成预算100%，决算数等于预算数。</w:t>
      </w:r>
    </w:p>
    <w:p>
      <w:pPr>
        <w:rPr>
          <w:rFonts w:ascii="仿宋" w:hAnsi="仿宋" w:eastAsia="仿宋" w:cs="仿宋"/>
          <w:sz w:val="32"/>
          <w:szCs w:val="32"/>
        </w:rPr>
      </w:pPr>
      <w:r>
        <w:rPr>
          <w:rFonts w:hint="eastAsia" w:ascii="仿宋" w:hAnsi="仿宋" w:eastAsia="仿宋" w:cs="仿宋"/>
          <w:sz w:val="32"/>
          <w:szCs w:val="32"/>
        </w:rPr>
        <w:t>26.农林水支出（类）扶贫（款）  生产发展（项）：支出决算为0.19万元，完成预算100%，决算数等于预算数。</w:t>
      </w:r>
    </w:p>
    <w:p>
      <w:pPr>
        <w:rPr>
          <w:rFonts w:ascii="仿宋" w:hAnsi="仿宋" w:eastAsia="仿宋" w:cs="仿宋"/>
          <w:sz w:val="32"/>
          <w:szCs w:val="32"/>
        </w:rPr>
      </w:pPr>
      <w:r>
        <w:rPr>
          <w:rFonts w:hint="eastAsia" w:ascii="仿宋" w:hAnsi="仿宋" w:eastAsia="仿宋" w:cs="仿宋"/>
          <w:sz w:val="32"/>
          <w:szCs w:val="32"/>
        </w:rPr>
        <w:t>27.农林水支出（类）农村综合改革（款）  对村民委员会和村党支部的补助（项）：支出决算为278.8万元，完成预算100%，决算数等于预算数。</w:t>
      </w:r>
    </w:p>
    <w:p>
      <w:pPr>
        <w:rPr>
          <w:rFonts w:ascii="仿宋" w:hAnsi="仿宋" w:eastAsia="仿宋" w:cs="仿宋"/>
          <w:sz w:val="32"/>
          <w:szCs w:val="32"/>
        </w:rPr>
      </w:pPr>
      <w:r>
        <w:rPr>
          <w:rFonts w:hint="eastAsia" w:ascii="仿宋" w:hAnsi="仿宋" w:eastAsia="仿宋" w:cs="仿宋"/>
          <w:sz w:val="32"/>
          <w:szCs w:val="32"/>
        </w:rPr>
        <w:t>28.交通运输支出（类）公路水路运输（款）  公路运输管理（项）：支出决算为14.91万元，完成预算100%，决算数等于预算数。</w:t>
      </w:r>
    </w:p>
    <w:p>
      <w:pPr>
        <w:rPr>
          <w:rFonts w:ascii="仿宋" w:hAnsi="仿宋" w:eastAsia="仿宋" w:cs="仿宋"/>
          <w:sz w:val="32"/>
          <w:szCs w:val="32"/>
        </w:rPr>
      </w:pPr>
      <w:r>
        <w:rPr>
          <w:rFonts w:hint="eastAsia" w:ascii="仿宋" w:hAnsi="仿宋" w:eastAsia="仿宋" w:cs="仿宋"/>
          <w:sz w:val="32"/>
          <w:szCs w:val="32"/>
        </w:rPr>
        <w:t>29.商业服务业等支出（类）商业流通事务（款）  其他商业流通事务支出（项）：支出决算为4.6万元，完成预算100%，决算数等于预算数。</w:t>
      </w:r>
    </w:p>
    <w:p>
      <w:pPr>
        <w:rPr>
          <w:rFonts w:ascii="仿宋" w:hAnsi="仿宋" w:eastAsia="仿宋" w:cs="仿宋"/>
          <w:sz w:val="32"/>
          <w:szCs w:val="32"/>
        </w:rPr>
      </w:pPr>
      <w:r>
        <w:rPr>
          <w:rFonts w:hint="eastAsia" w:ascii="仿宋" w:hAnsi="仿宋" w:eastAsia="仿宋" w:cs="仿宋"/>
          <w:sz w:val="32"/>
          <w:szCs w:val="32"/>
        </w:rPr>
        <w:t>30.住房保障支出（类）住房改革支出（款）  住房公积金（项）：支出决算为38.82万元，完成预算100%，决算数等于预算数。</w:t>
      </w:r>
    </w:p>
    <w:p>
      <w:pPr>
        <w:tabs>
          <w:tab w:val="right" w:pos="8306"/>
        </w:tabs>
        <w:spacing w:line="600" w:lineRule="exact"/>
        <w:outlineLvl w:val="1"/>
        <w:rPr>
          <w:rStyle w:val="27"/>
        </w:rPr>
      </w:pPr>
      <w:r>
        <w:rPr>
          <w:rFonts w:hint="eastAsia" w:ascii="仿宋" w:hAnsi="仿宋" w:eastAsia="仿宋" w:cs="仿宋"/>
          <w:color w:val="000000"/>
          <w:sz w:val="32"/>
          <w:szCs w:val="32"/>
        </w:rPr>
        <w:t>　　</w:t>
      </w:r>
      <w:bookmarkStart w:id="60" w:name="_Toc17396"/>
      <w:r>
        <w:rPr>
          <w:rFonts w:hint="eastAsia" w:ascii="仿宋" w:hAnsi="仿宋" w:eastAsia="仿宋" w:cs="仿宋"/>
          <w:color w:val="000000"/>
          <w:sz w:val="32"/>
          <w:szCs w:val="32"/>
        </w:rPr>
        <w:t>六</w:t>
      </w:r>
      <w:r>
        <w:rPr>
          <w:rFonts w:hint="eastAsia" w:ascii="仿宋" w:hAnsi="仿宋" w:eastAsia="仿宋" w:cs="仿宋"/>
          <w:b/>
          <w:color w:val="000000"/>
          <w:sz w:val="32"/>
          <w:szCs w:val="32"/>
        </w:rPr>
        <w:t>、一</w:t>
      </w:r>
      <w:r>
        <w:rPr>
          <w:rStyle w:val="27"/>
          <w:rFonts w:hint="eastAsia" w:ascii="仿宋" w:hAnsi="仿宋" w:eastAsia="仿宋" w:cs="仿宋"/>
          <w:b w:val="0"/>
        </w:rPr>
        <w:t>般</w:t>
      </w:r>
      <w:r>
        <w:rPr>
          <w:rFonts w:hint="eastAsia" w:ascii="仿宋" w:hAnsi="仿宋" w:eastAsia="仿宋" w:cs="仿宋"/>
          <w:sz w:val="32"/>
          <w:szCs w:val="32"/>
        </w:rPr>
        <w:t>公共预算财政拨款基本支出决算情况说明</w:t>
      </w:r>
      <w:bookmarkEnd w:id="58"/>
      <w:bookmarkEnd w:id="59"/>
      <w:bookmarkEnd w:id="60"/>
      <w:r>
        <w:rPr>
          <w:rStyle w:val="27"/>
          <w:rFonts w:ascii="黑体" w:hAnsi="黑体" w:eastAsia="黑体"/>
          <w:b w:val="0"/>
        </w:rPr>
        <w:tab/>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2020年一般公共预算财政拨款基本支出919.3万元，其中：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771.25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　　公用经费148.05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7"/>
          <w:rFonts w:ascii="黑体" w:hAnsi="黑体" w:eastAsia="黑体"/>
          <w:b w:val="0"/>
        </w:rPr>
      </w:pPr>
      <w:bookmarkStart w:id="61" w:name="_Toc15377215"/>
      <w:bookmarkStart w:id="62" w:name="_Toc15396609"/>
      <w:bookmarkStart w:id="63" w:name="_Toc21512"/>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61"/>
      <w:bookmarkEnd w:id="62"/>
      <w:bookmarkEnd w:id="63"/>
    </w:p>
    <w:p>
      <w:pPr>
        <w:spacing w:line="600" w:lineRule="exact"/>
        <w:ind w:firstLine="640"/>
        <w:outlineLvl w:val="2"/>
        <w:rPr>
          <w:rStyle w:val="27"/>
          <w:rFonts w:ascii="黑体" w:hAnsi="黑体" w:eastAsia="黑体"/>
          <w:b w:val="0"/>
        </w:rPr>
      </w:pPr>
      <w:bookmarkStart w:id="64" w:name="_Toc29020"/>
      <w:bookmarkStart w:id="65" w:name="_Toc28593"/>
      <w:r>
        <w:rPr>
          <w:rFonts w:hint="eastAsia" w:ascii="仿宋_GB2312" w:eastAsia="仿宋_GB2312"/>
          <w:b/>
          <w:color w:val="000000"/>
          <w:sz w:val="32"/>
          <w:szCs w:val="32"/>
        </w:rPr>
        <w:t>（一）　</w:t>
      </w:r>
      <w:r>
        <w:rPr>
          <w:rStyle w:val="27"/>
          <w:rFonts w:hint="eastAsia" w:ascii="黑体" w:hAnsi="黑体" w:eastAsia="黑体"/>
        </w:rPr>
        <w:t>“</w:t>
      </w:r>
      <w:r>
        <w:rPr>
          <w:rStyle w:val="27"/>
          <w:rFonts w:hint="eastAsia" w:ascii="黑体" w:hAnsi="黑体" w:eastAsia="黑体"/>
          <w:b w:val="0"/>
        </w:rPr>
        <w:t>三公”经费财政拨款支出决算情况说明。</w:t>
      </w:r>
      <w:bookmarkEnd w:id="64"/>
      <w:bookmarkEnd w:id="65"/>
    </w:p>
    <w:p>
      <w:pPr>
        <w:spacing w:line="600" w:lineRule="exact"/>
        <w:ind w:firstLine="640"/>
        <w:rPr>
          <w:rFonts w:ascii="仿宋" w:hAnsi="仿宋" w:eastAsia="仿宋" w:cs="楷体_GB2312"/>
          <w:b/>
          <w:bCs/>
          <w:sz w:val="32"/>
          <w:szCs w:val="32"/>
        </w:rPr>
      </w:pPr>
      <w:r>
        <w:rPr>
          <w:rFonts w:hint="eastAsia" w:ascii="仿宋_GB2312" w:eastAsia="仿宋_GB2312"/>
          <w:b/>
          <w:color w:val="000000"/>
          <w:sz w:val="32"/>
          <w:szCs w:val="32"/>
        </w:rPr>
        <w:t>2020年“三公”财政拨款支出决算</w:t>
      </w:r>
      <w:r>
        <w:rPr>
          <w:rFonts w:hint="eastAsia" w:ascii="仿宋" w:hAnsi="仿宋" w:eastAsia="仿宋"/>
          <w:color w:val="000000"/>
          <w:sz w:val="32"/>
          <w:szCs w:val="32"/>
        </w:rPr>
        <w:t>3</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outlineLvl w:val="2"/>
        <w:rPr>
          <w:rFonts w:ascii="仿宋" w:hAnsi="仿宋" w:eastAsia="仿宋"/>
          <w:color w:val="000000"/>
          <w:sz w:val="32"/>
          <w:szCs w:val="32"/>
        </w:rPr>
      </w:pPr>
      <w:bookmarkStart w:id="66" w:name="_Toc15377217"/>
      <w:bookmarkStart w:id="67" w:name="_Toc12668"/>
      <w:r>
        <w:rPr>
          <w:rFonts w:hint="eastAsia" w:ascii="仿宋" w:hAnsi="仿宋" w:eastAsia="仿宋"/>
          <w:b/>
          <w:color w:val="000000"/>
          <w:sz w:val="32"/>
          <w:szCs w:val="32"/>
        </w:rPr>
        <w:t>（二）“三公”经费财政拨款支出决算具体情况说明</w:t>
      </w:r>
      <w:bookmarkEnd w:id="66"/>
      <w:r>
        <w:rPr>
          <w:rFonts w:hint="eastAsia" w:ascii="仿宋" w:hAnsi="仿宋" w:eastAsia="仿宋"/>
          <w:b/>
          <w:color w:val="000000"/>
          <w:sz w:val="32"/>
          <w:szCs w:val="32"/>
        </w:rPr>
        <w:t>：</w:t>
      </w:r>
      <w:r>
        <w:rPr>
          <w:rFonts w:hint="eastAsia" w:ascii="仿宋" w:hAnsi="仿宋" w:eastAsia="仿宋"/>
          <w:color w:val="000000"/>
          <w:sz w:val="32"/>
          <w:szCs w:val="32"/>
        </w:rPr>
        <w:t>2020年“三公”经费财政拨款支出决算中，因公出国（境）费支出决算0万元，占0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；公务接待费支出决算3万元，具体情况如下：</w:t>
      </w:r>
      <w:bookmarkEnd w:id="67"/>
    </w:p>
    <w:p>
      <w:pPr>
        <w:spacing w:line="600" w:lineRule="exact"/>
        <w:ind w:firstLine="643"/>
        <w:outlineLvl w:val="2"/>
        <w:rPr>
          <w:rFonts w:ascii="仿宋" w:hAnsi="仿宋" w:eastAsia="仿宋"/>
          <w:color w:val="000000"/>
          <w:sz w:val="32"/>
          <w:szCs w:val="32"/>
        </w:rPr>
      </w:pPr>
    </w:p>
    <w:p>
      <w:pPr>
        <w:spacing w:line="600" w:lineRule="exact"/>
        <w:ind w:firstLine="643"/>
        <w:outlineLvl w:val="2"/>
        <w:rPr>
          <w:rFonts w:ascii="仿宋" w:hAnsi="仿宋" w:eastAsia="仿宋"/>
          <w:color w:val="000000"/>
          <w:sz w:val="32"/>
          <w:szCs w:val="32"/>
        </w:rPr>
      </w:pPr>
    </w:p>
    <w:p>
      <w:pPr>
        <w:spacing w:line="600" w:lineRule="exact"/>
        <w:ind w:firstLine="643"/>
        <w:outlineLvl w:val="2"/>
        <w:rPr>
          <w:rFonts w:ascii="仿宋" w:hAnsi="仿宋" w:eastAsia="仿宋"/>
          <w:color w:val="000000"/>
          <w:sz w:val="32"/>
          <w:szCs w:val="32"/>
        </w:rPr>
      </w:pPr>
    </w:p>
    <w:p>
      <w:pPr>
        <w:spacing w:line="600" w:lineRule="exact"/>
        <w:ind w:firstLine="643"/>
        <w:outlineLvl w:val="2"/>
        <w:rPr>
          <w:rFonts w:ascii="仿宋" w:hAnsi="仿宋" w:eastAsia="仿宋"/>
          <w:color w:val="000000"/>
          <w:sz w:val="32"/>
          <w:szCs w:val="32"/>
        </w:rPr>
      </w:pPr>
    </w:p>
    <w:p>
      <w:pPr>
        <w:spacing w:line="600" w:lineRule="exact"/>
        <w:ind w:firstLine="643"/>
        <w:outlineLvl w:val="2"/>
        <w:rPr>
          <w:rFonts w:ascii="仿宋" w:hAnsi="仿宋" w:eastAsia="仿宋"/>
          <w:color w:val="000000"/>
          <w:sz w:val="32"/>
          <w:szCs w:val="32"/>
        </w:rPr>
      </w:pPr>
    </w:p>
    <w:p>
      <w:pPr>
        <w:spacing w:line="600" w:lineRule="exact"/>
        <w:ind w:firstLine="643"/>
        <w:outlineLvl w:val="2"/>
        <w:rPr>
          <w:rFonts w:ascii="仿宋" w:hAnsi="仿宋" w:eastAsia="仿宋"/>
          <w:color w:val="000000"/>
          <w:sz w:val="32"/>
          <w:szCs w:val="32"/>
        </w:rPr>
      </w:pPr>
    </w:p>
    <w:p>
      <w:pPr>
        <w:spacing w:line="600" w:lineRule="exact"/>
        <w:ind w:firstLine="643"/>
        <w:outlineLvl w:val="2"/>
        <w:rPr>
          <w:rFonts w:ascii="仿宋" w:hAnsi="仿宋" w:eastAsia="仿宋"/>
          <w:color w:val="000000"/>
          <w:sz w:val="32"/>
          <w:szCs w:val="32"/>
        </w:rPr>
      </w:pPr>
    </w:p>
    <w:p>
      <w:pPr>
        <w:spacing w:line="600" w:lineRule="exact"/>
        <w:ind w:firstLine="643"/>
        <w:outlineLvl w:val="2"/>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0288" behindDoc="0" locked="0" layoutInCell="1" allowOverlap="1">
            <wp:simplePos x="0" y="0"/>
            <wp:positionH relativeFrom="column">
              <wp:posOffset>412750</wp:posOffset>
            </wp:positionH>
            <wp:positionV relativeFrom="paragraph">
              <wp:posOffset>-2528570</wp:posOffset>
            </wp:positionV>
            <wp:extent cx="4434840" cy="2815590"/>
            <wp:effectExtent l="4445" t="5080" r="18415" b="17780"/>
            <wp:wrapSquare wrapText="bothSides"/>
            <wp:docPr id="139" name="_x0000_s15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rPr>
          <w:rFonts w:ascii="仿宋_GB2312" w:eastAsia="仿宋_GB2312"/>
          <w:color w:val="000000"/>
          <w:sz w:val="32"/>
          <w:szCs w:val="32"/>
        </w:rPr>
      </w:pPr>
      <w:r>
        <w:rPr>
          <w:rFonts w:hint="eastAsia" w:ascii="仿宋_GB2312" w:eastAsia="仿宋_GB2312"/>
          <w:b/>
          <w:color w:val="000000"/>
          <w:sz w:val="32"/>
          <w:szCs w:val="32"/>
        </w:rPr>
        <w:t>　　公务接待费支出</w:t>
      </w:r>
      <w:r>
        <w:rPr>
          <w:rFonts w:hint="eastAsia" w:ascii="仿宋_GB2312" w:eastAsia="仿宋_GB2312"/>
          <w:color w:val="000000"/>
          <w:sz w:val="32"/>
          <w:szCs w:val="32"/>
        </w:rPr>
        <w:t>3万元，</w:t>
      </w:r>
      <w:r>
        <w:rPr>
          <w:rStyle w:val="16"/>
          <w:rFonts w:hint="eastAsia" w:ascii="仿宋" w:hAnsi="仿宋" w:eastAsia="仿宋"/>
          <w:b w:val="0"/>
          <w:bCs/>
          <w:color w:val="000000"/>
          <w:sz w:val="32"/>
          <w:szCs w:val="32"/>
        </w:rPr>
        <w:t>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公务接待费支出决算比2019年减少0.5万元，减少14.29</w:t>
      </w:r>
      <w:r>
        <w:rPr>
          <w:rFonts w:ascii="仿宋_GB2312" w:eastAsia="仿宋_GB2312"/>
          <w:color w:val="000000"/>
          <w:sz w:val="32"/>
          <w:szCs w:val="32"/>
        </w:rPr>
        <w:t>%</w:t>
      </w:r>
      <w:r>
        <w:rPr>
          <w:rFonts w:hint="eastAsia" w:ascii="仿宋_GB2312" w:eastAsia="仿宋_GB2312"/>
          <w:color w:val="000000"/>
          <w:sz w:val="32"/>
          <w:szCs w:val="32"/>
        </w:rPr>
        <w:t>。主要原因是严格控制公务接待，其中：国内公务接待支3万元，主要用于执行公务、开展业务活动开支、用餐费等。国内公务接待102次，1430人次，共计支出3万元，具体内容包括：相关部门检查指导工作发生的接待支出。其中国内接待3万元。</w:t>
      </w:r>
    </w:p>
    <w:p>
      <w:pPr>
        <w:tabs>
          <w:tab w:val="left" w:pos="655"/>
        </w:tabs>
        <w:spacing w:line="580" w:lineRule="exact"/>
        <w:rPr>
          <w:rFonts w:ascii="仿宋" w:hAnsi="仿宋" w:eastAsia="仿宋" w:cs="楷体_GB2312"/>
          <w:sz w:val="32"/>
          <w:szCs w:val="32"/>
        </w:rPr>
      </w:pPr>
      <w:r>
        <w:rPr>
          <w:rFonts w:hint="eastAsia" w:ascii="仿宋" w:hAnsi="仿宋" w:eastAsia="仿宋" w:cs="楷体_GB2312"/>
          <w:sz w:val="32"/>
          <w:szCs w:val="32"/>
        </w:rPr>
        <w:tab/>
      </w:r>
      <w:r>
        <w:rPr>
          <w:rFonts w:hint="eastAsia" w:ascii="仿宋" w:hAnsi="仿宋" w:eastAsia="仿宋" w:cs="楷体_GB2312"/>
          <w:b/>
          <w:bCs/>
          <w:sz w:val="32"/>
          <w:szCs w:val="32"/>
        </w:rPr>
        <w:t>外事接待支出</w:t>
      </w:r>
      <w:r>
        <w:rPr>
          <w:rFonts w:hint="eastAsia" w:ascii="仿宋" w:hAnsi="仿宋" w:eastAsia="仿宋" w:cs="楷体_GB2312"/>
          <w:sz w:val="32"/>
          <w:szCs w:val="32"/>
        </w:rPr>
        <w:t>0万元，外事接待0批次，0人，共计支出为0万元。</w:t>
      </w:r>
    </w:p>
    <w:p>
      <w:pPr>
        <w:tabs>
          <w:tab w:val="left" w:pos="1003"/>
        </w:tabs>
        <w:spacing w:line="580" w:lineRule="exact"/>
        <w:outlineLvl w:val="1"/>
        <w:rPr>
          <w:rFonts w:ascii="仿宋" w:hAnsi="仿宋" w:eastAsia="仿宋" w:cs="楷体_GB2312"/>
          <w:b/>
          <w:bCs/>
          <w:sz w:val="32"/>
          <w:szCs w:val="32"/>
        </w:rPr>
      </w:pPr>
      <w:r>
        <w:rPr>
          <w:rFonts w:hint="eastAsia" w:ascii="仿宋" w:hAnsi="仿宋" w:eastAsia="仿宋" w:cs="楷体_GB2312"/>
          <w:b/>
          <w:bCs/>
          <w:sz w:val="32"/>
          <w:szCs w:val="32"/>
        </w:rPr>
        <w:t>　　</w:t>
      </w:r>
      <w:bookmarkStart w:id="68" w:name="_Toc32347"/>
      <w:r>
        <w:rPr>
          <w:rFonts w:hint="eastAsia" w:ascii="仿宋" w:hAnsi="仿宋" w:eastAsia="仿宋" w:cs="楷体_GB2312"/>
          <w:b/>
          <w:bCs/>
          <w:sz w:val="32"/>
          <w:szCs w:val="32"/>
        </w:rPr>
        <w:t>八、政府性基金预算支出情况说明</w:t>
      </w:r>
      <w:bookmarkEnd w:id="68"/>
    </w:p>
    <w:p>
      <w:pPr>
        <w:tabs>
          <w:tab w:val="left" w:pos="1003"/>
        </w:tabs>
        <w:spacing w:line="580" w:lineRule="exact"/>
        <w:rPr>
          <w:rFonts w:ascii="仿宋" w:hAnsi="仿宋" w:eastAsia="仿宋" w:cs="楷体_GB2312"/>
          <w:sz w:val="32"/>
          <w:szCs w:val="32"/>
        </w:rPr>
      </w:pPr>
      <w:r>
        <w:rPr>
          <w:rFonts w:hint="eastAsia" w:ascii="仿宋" w:hAnsi="仿宋" w:eastAsia="仿宋" w:cs="楷体_GB2312"/>
          <w:sz w:val="32"/>
          <w:szCs w:val="32"/>
        </w:rPr>
        <w:t>　　政府性基金预算支出情况说明，2020年政府性基金预算支出为0万元。</w:t>
      </w:r>
    </w:p>
    <w:p>
      <w:pPr>
        <w:tabs>
          <w:tab w:val="left" w:pos="1003"/>
        </w:tabs>
        <w:spacing w:line="580" w:lineRule="exact"/>
        <w:outlineLvl w:val="1"/>
        <w:rPr>
          <w:rFonts w:ascii="仿宋" w:hAnsi="仿宋" w:eastAsia="仿宋" w:cs="楷体_GB2312"/>
          <w:b/>
          <w:bCs/>
          <w:sz w:val="32"/>
          <w:szCs w:val="32"/>
        </w:rPr>
      </w:pPr>
      <w:r>
        <w:rPr>
          <w:rFonts w:hint="eastAsia" w:ascii="仿宋" w:hAnsi="仿宋" w:eastAsia="仿宋" w:cs="楷体_GB2312"/>
          <w:b/>
          <w:bCs/>
          <w:sz w:val="32"/>
          <w:szCs w:val="32"/>
        </w:rPr>
        <w:t>　　</w:t>
      </w:r>
      <w:bookmarkStart w:id="69" w:name="_Toc17504"/>
      <w:r>
        <w:rPr>
          <w:rFonts w:hint="eastAsia" w:ascii="仿宋" w:hAnsi="仿宋" w:eastAsia="仿宋" w:cs="楷体_GB2312"/>
          <w:b/>
          <w:bCs/>
          <w:sz w:val="32"/>
          <w:szCs w:val="32"/>
        </w:rPr>
        <w:t>九、国有资产经营预算支出情况说明</w:t>
      </w:r>
      <w:bookmarkEnd w:id="69"/>
    </w:p>
    <w:p>
      <w:pPr>
        <w:tabs>
          <w:tab w:val="left" w:pos="1003"/>
        </w:tabs>
        <w:spacing w:line="580" w:lineRule="exact"/>
        <w:rPr>
          <w:rFonts w:ascii="仿宋" w:hAnsi="仿宋" w:eastAsia="仿宋" w:cs="楷体_GB2312"/>
          <w:sz w:val="32"/>
          <w:szCs w:val="32"/>
        </w:rPr>
      </w:pPr>
      <w:r>
        <w:rPr>
          <w:rFonts w:hint="eastAsia" w:ascii="仿宋" w:hAnsi="仿宋" w:eastAsia="仿宋" w:cs="楷体_GB2312"/>
          <w:sz w:val="32"/>
          <w:szCs w:val="32"/>
        </w:rPr>
        <w:t>国有资产经营预算支出情况说明，2020年国有资产经营预算支出为0万元。</w:t>
      </w:r>
    </w:p>
    <w:p>
      <w:pPr>
        <w:tabs>
          <w:tab w:val="left" w:pos="1003"/>
        </w:tabs>
        <w:spacing w:line="580" w:lineRule="exact"/>
        <w:outlineLvl w:val="1"/>
        <w:rPr>
          <w:rFonts w:ascii="仿宋" w:hAnsi="仿宋" w:eastAsia="仿宋" w:cs="楷体_GB2312"/>
          <w:b/>
          <w:bCs/>
          <w:sz w:val="32"/>
          <w:szCs w:val="32"/>
        </w:rPr>
      </w:pPr>
      <w:r>
        <w:rPr>
          <w:rFonts w:hint="eastAsia" w:ascii="仿宋" w:hAnsi="仿宋" w:eastAsia="仿宋" w:cs="楷体_GB2312"/>
          <w:b/>
          <w:bCs/>
          <w:sz w:val="32"/>
          <w:szCs w:val="32"/>
        </w:rPr>
        <w:t>　　</w:t>
      </w:r>
      <w:bookmarkStart w:id="70" w:name="_Toc29360"/>
      <w:r>
        <w:rPr>
          <w:rFonts w:hint="eastAsia" w:ascii="仿宋" w:hAnsi="仿宋" w:eastAsia="仿宋" w:cs="楷体_GB2312"/>
          <w:b/>
          <w:bCs/>
          <w:sz w:val="32"/>
          <w:szCs w:val="32"/>
        </w:rPr>
        <w:t>十、预算绩效情况说明</w:t>
      </w:r>
      <w:bookmarkEnd w:id="70"/>
    </w:p>
    <w:p>
      <w:pPr>
        <w:tabs>
          <w:tab w:val="left" w:pos="1081"/>
        </w:tabs>
        <w:spacing w:line="580" w:lineRule="exact"/>
        <w:outlineLvl w:val="2"/>
        <w:rPr>
          <w:rFonts w:ascii="仿宋" w:hAnsi="仿宋" w:eastAsia="仿宋" w:cs="楷体_GB2312"/>
          <w:b/>
          <w:bCs/>
          <w:sz w:val="32"/>
          <w:szCs w:val="32"/>
        </w:rPr>
      </w:pPr>
      <w:r>
        <w:rPr>
          <w:rFonts w:hint="eastAsia" w:ascii="仿宋" w:hAnsi="仿宋" w:eastAsia="仿宋" w:cs="楷体_GB2312"/>
          <w:b/>
          <w:bCs/>
          <w:sz w:val="32"/>
          <w:szCs w:val="32"/>
        </w:rPr>
        <w:t>　　</w:t>
      </w:r>
      <w:bookmarkStart w:id="71" w:name="_Toc21586"/>
      <w:r>
        <w:rPr>
          <w:rFonts w:hint="eastAsia" w:ascii="仿宋" w:hAnsi="仿宋" w:eastAsia="仿宋" w:cs="楷体_GB2312"/>
          <w:b/>
          <w:bCs/>
          <w:sz w:val="32"/>
          <w:szCs w:val="32"/>
        </w:rPr>
        <w:t>（一）机关运行经费支出情况</w:t>
      </w:r>
      <w:bookmarkEnd w:id="71"/>
    </w:p>
    <w:p>
      <w:pPr>
        <w:tabs>
          <w:tab w:val="left" w:pos="1285"/>
        </w:tabs>
        <w:spacing w:line="580" w:lineRule="exact"/>
        <w:rPr>
          <w:rFonts w:ascii="仿宋" w:hAnsi="仿宋" w:eastAsia="仿宋" w:cs="楷体_GB2312"/>
          <w:sz w:val="32"/>
          <w:szCs w:val="32"/>
        </w:rPr>
      </w:pPr>
      <w:r>
        <w:rPr>
          <w:rFonts w:hint="eastAsia" w:ascii="仿宋" w:hAnsi="仿宋" w:eastAsia="仿宋" w:cs="楷体_GB2312"/>
          <w:b/>
          <w:bCs/>
          <w:sz w:val="32"/>
          <w:szCs w:val="32"/>
        </w:rPr>
        <w:t>　2020年，毛浴镇机关运行经费预算148.05万元，支出148.05万元，与2020年决算数持平。</w:t>
      </w:r>
    </w:p>
    <w:p>
      <w:pPr>
        <w:tabs>
          <w:tab w:val="left" w:pos="1003"/>
        </w:tabs>
        <w:spacing w:line="580" w:lineRule="exact"/>
        <w:outlineLvl w:val="2"/>
        <w:rPr>
          <w:rFonts w:ascii="仿宋" w:hAnsi="仿宋" w:eastAsia="仿宋" w:cs="楷体_GB2312"/>
          <w:b/>
          <w:bCs/>
          <w:sz w:val="32"/>
          <w:szCs w:val="32"/>
        </w:rPr>
      </w:pPr>
      <w:r>
        <w:rPr>
          <w:rFonts w:hint="eastAsia" w:ascii="仿宋" w:hAnsi="仿宋" w:eastAsia="仿宋" w:cs="楷体_GB2312"/>
          <w:b/>
          <w:bCs/>
          <w:sz w:val="32"/>
          <w:szCs w:val="32"/>
        </w:rPr>
        <w:t>　　</w:t>
      </w:r>
      <w:bookmarkStart w:id="72" w:name="_Toc24745"/>
      <w:r>
        <w:rPr>
          <w:rFonts w:hint="eastAsia" w:ascii="仿宋" w:hAnsi="仿宋" w:eastAsia="仿宋" w:cs="楷体_GB2312"/>
          <w:b/>
          <w:bCs/>
          <w:sz w:val="32"/>
          <w:szCs w:val="32"/>
        </w:rPr>
        <w:t>（二）政府采购支出情况</w:t>
      </w:r>
      <w:bookmarkEnd w:id="72"/>
    </w:p>
    <w:p>
      <w:pPr>
        <w:tabs>
          <w:tab w:val="left" w:pos="892"/>
        </w:tabs>
        <w:spacing w:line="580" w:lineRule="exact"/>
        <w:rPr>
          <w:rFonts w:ascii="仿宋" w:hAnsi="仿宋" w:eastAsia="仿宋" w:cs="楷体_GB2312"/>
          <w:sz w:val="32"/>
          <w:szCs w:val="32"/>
        </w:rPr>
      </w:pPr>
      <w:r>
        <w:rPr>
          <w:rFonts w:hint="eastAsia" w:ascii="仿宋" w:hAnsi="仿宋" w:eastAsia="仿宋" w:cs="楷体_GB2312"/>
          <w:sz w:val="32"/>
          <w:szCs w:val="32"/>
        </w:rPr>
        <w:tab/>
      </w:r>
      <w:r>
        <w:rPr>
          <w:rFonts w:hint="eastAsia" w:ascii="仿宋" w:hAnsi="仿宋" w:eastAsia="仿宋" w:cs="楷体_GB2312"/>
          <w:sz w:val="32"/>
          <w:szCs w:val="32"/>
        </w:rPr>
        <w:t>2020年，毛浴镇政府采购总额20万元，其中，政府采购货物6万元，政府采购服务支出11万元，脱贫攻坚支出3万元；占政府采购100%</w:t>
      </w:r>
    </w:p>
    <w:p>
      <w:pPr>
        <w:tabs>
          <w:tab w:val="left" w:pos="892"/>
        </w:tabs>
        <w:spacing w:line="580" w:lineRule="exact"/>
        <w:outlineLvl w:val="2"/>
        <w:rPr>
          <w:rFonts w:ascii="仿宋" w:hAnsi="仿宋" w:eastAsia="仿宋" w:cs="楷体_GB2312"/>
          <w:b/>
          <w:bCs/>
          <w:sz w:val="32"/>
          <w:szCs w:val="32"/>
        </w:rPr>
      </w:pPr>
      <w:r>
        <w:rPr>
          <w:rFonts w:hint="eastAsia" w:ascii="仿宋" w:hAnsi="仿宋" w:eastAsia="仿宋" w:cs="楷体_GB2312"/>
          <w:b/>
          <w:bCs/>
          <w:sz w:val="32"/>
          <w:szCs w:val="32"/>
        </w:rPr>
        <w:t>　　</w:t>
      </w:r>
      <w:bookmarkStart w:id="73" w:name="_Toc798"/>
      <w:r>
        <w:rPr>
          <w:rFonts w:hint="eastAsia" w:ascii="仿宋" w:hAnsi="仿宋" w:eastAsia="仿宋" w:cs="楷体_GB2312"/>
          <w:b/>
          <w:bCs/>
          <w:sz w:val="32"/>
          <w:szCs w:val="32"/>
        </w:rPr>
        <w:t>（三）国有资产占有使用情况</w:t>
      </w:r>
      <w:bookmarkEnd w:id="73"/>
    </w:p>
    <w:p>
      <w:pPr>
        <w:tabs>
          <w:tab w:val="left" w:pos="892"/>
        </w:tabs>
        <w:spacing w:line="580" w:lineRule="exact"/>
        <w:ind w:firstLine="654"/>
        <w:rPr>
          <w:rFonts w:ascii="仿宋" w:hAnsi="仿宋" w:eastAsia="仿宋" w:cs="楷体_GB2312"/>
          <w:sz w:val="32"/>
          <w:szCs w:val="32"/>
        </w:rPr>
      </w:pPr>
      <w:r>
        <w:rPr>
          <w:rFonts w:hint="eastAsia" w:ascii="仿宋" w:hAnsi="仿宋" w:eastAsia="仿宋" w:cs="楷体_GB2312"/>
          <w:sz w:val="32"/>
          <w:szCs w:val="32"/>
        </w:rPr>
        <w:t>截至2020年12月31日，毛浴镇有办公楼2幢，建于1985年，经相关部门鉴定为D级危房，估价35万元。全镇无公务车辆。</w:t>
      </w:r>
    </w:p>
    <w:p>
      <w:pPr>
        <w:adjustRightInd w:val="0"/>
        <w:snapToGrid w:val="0"/>
        <w:spacing w:line="560" w:lineRule="exact"/>
        <w:ind w:firstLine="643" w:firstLineChars="200"/>
        <w:outlineLvl w:val="2"/>
        <w:rPr>
          <w:rFonts w:ascii="仿宋" w:hAnsi="仿宋" w:eastAsia="仿宋" w:cs="楷体_GB2312"/>
          <w:b/>
          <w:bCs/>
          <w:sz w:val="32"/>
          <w:szCs w:val="32"/>
        </w:rPr>
      </w:pPr>
      <w:bookmarkStart w:id="74" w:name="_Toc29635"/>
      <w:r>
        <w:rPr>
          <w:rFonts w:hint="eastAsia" w:ascii="仿宋" w:hAnsi="仿宋" w:eastAsia="仿宋" w:cs="楷体_GB2312"/>
          <w:b/>
          <w:bCs/>
          <w:sz w:val="32"/>
          <w:szCs w:val="32"/>
        </w:rPr>
        <w:t>（四）项目绩效目标完成情况</w:t>
      </w:r>
      <w:bookmarkEnd w:id="74"/>
    </w:p>
    <w:p>
      <w:pPr>
        <w:adjustRightInd w:val="0"/>
        <w:snapToGrid w:val="0"/>
        <w:spacing w:line="560" w:lineRule="exact"/>
        <w:ind w:firstLine="642"/>
        <w:rPr>
          <w:rFonts w:ascii="仿宋_GB2312" w:hAnsi="仿宋_GB2312" w:eastAsia="仿宋_GB2312" w:cs="仿宋_GB2312"/>
          <w:sz w:val="32"/>
          <w:szCs w:val="32"/>
        </w:rPr>
      </w:pPr>
      <w:r>
        <w:rPr>
          <w:rFonts w:hint="eastAsia" w:ascii="仿宋" w:hAnsi="仿宋" w:eastAsia="仿宋" w:cs="楷体_GB2312"/>
          <w:sz w:val="32"/>
          <w:szCs w:val="32"/>
        </w:rPr>
        <w:t>根据预算管理绩效要求，</w:t>
      </w:r>
      <w:r>
        <w:rPr>
          <w:rFonts w:hint="eastAsia" w:ascii="仿宋_GB2312" w:hAnsi="仿宋_GB2312" w:eastAsia="仿宋_GB2312" w:cs="仿宋_GB2312"/>
          <w:sz w:val="32"/>
          <w:szCs w:val="32"/>
        </w:rPr>
        <w:t>本部门在年初预算编制阶段，组织对13个项目开展了绩效申报，对13个项目编制了绩效目标，预算执行过程中，选取了5个项目开展绩效监控，年终执行完毕后，对5个项目开展了绩效目标完成情况评价。</w:t>
      </w:r>
    </w:p>
    <w:p>
      <w:pPr>
        <w:adjustRightInd w:val="0"/>
        <w:snapToGrid w:val="0"/>
        <w:spacing w:line="560" w:lineRule="exact"/>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按要求对2020年部门整体支出开展绩效自评，从评价情况来看，我镇2020年度整体支出绩效目标自评得分96分。在日常行政事业运行中，加强工资福利支出管理，确保及时足额兑现；加强政府机关管理，保障机关正常运转支出；保障村（社区）党委组织和村（居）民委员会正常运转支出。保障扶贫工作顺利有序推进，农村危房改造、易地移民搬迁项目、交通建设、安全饮水项目有序推进，培育产业项目。</w:t>
      </w:r>
    </w:p>
    <w:p>
      <w:pPr>
        <w:adjustRightInd w:val="0"/>
        <w:snapToGrid w:val="0"/>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1.</w:t>
      </w:r>
      <w:r>
        <w:rPr>
          <w:rFonts w:hint="eastAsia" w:ascii="楷体_GB2312" w:hAnsi="楷体_GB2312" w:eastAsia="楷体_GB2312" w:cs="楷体_GB2312"/>
          <w:b/>
          <w:bCs/>
          <w:sz w:val="32"/>
          <w:szCs w:val="32"/>
        </w:rPr>
        <w:t>项目绩效目标完成情况（见附件）</w:t>
      </w:r>
    </w:p>
    <w:p>
      <w:pPr>
        <w:tabs>
          <w:tab w:val="left" w:pos="1231"/>
        </w:tabs>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　</w:t>
      </w:r>
      <w:r>
        <w:rPr>
          <w:rFonts w:hint="eastAsia" w:ascii="仿宋_GB2312" w:hAnsi="仿宋_GB2312" w:eastAsia="仿宋_GB2312" w:cs="仿宋_GB2312"/>
          <w:sz w:val="32"/>
          <w:szCs w:val="32"/>
        </w:rPr>
        <w:t>本部门在2020年度部门决算中反映“</w:t>
      </w:r>
      <w:r>
        <w:rPr>
          <w:rFonts w:hint="eastAsia" w:ascii="仿宋_GB2312" w:hAnsi="仿宋_GB2312" w:eastAsia="仿宋_GB2312" w:cs="仿宋_GB2312"/>
          <w:spacing w:val="20"/>
          <w:sz w:val="28"/>
          <w:szCs w:val="28"/>
        </w:rPr>
        <w:t>产业发展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“道路建设”“</w:t>
      </w:r>
      <w:r>
        <w:rPr>
          <w:rFonts w:hint="eastAsia"/>
          <w:sz w:val="28"/>
          <w:szCs w:val="28"/>
        </w:rPr>
        <w:t>基层组织活动和公共服务运行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“农村危房改造”“</w:t>
      </w:r>
      <w:r>
        <w:rPr>
          <w:rFonts w:hint="eastAsia"/>
          <w:sz w:val="28"/>
          <w:szCs w:val="28"/>
        </w:rPr>
        <w:t>贫困人口公益性岗位</w:t>
      </w:r>
      <w:r>
        <w:rPr>
          <w:rFonts w:hint="eastAsia" w:ascii="仿宋_GB2312" w:hAnsi="仿宋_GB2312" w:eastAsia="仿宋_GB2312" w:cs="仿宋_GB2312"/>
          <w:sz w:val="32"/>
          <w:szCs w:val="32"/>
        </w:rPr>
        <w:t>”等5个项目绩效目标实际完成情况。</w:t>
      </w:r>
    </w:p>
    <w:p>
      <w:pPr>
        <w:tabs>
          <w:tab w:val="left" w:pos="1114"/>
        </w:tabs>
        <w:ind w:firstLine="640" w:firstLineChars="200"/>
        <w:jc w:val="left"/>
        <w:rPr>
          <w:rFonts w:ascii="仿宋" w:hAnsi="仿宋" w:eastAsia="仿宋"/>
          <w:color w:val="000000"/>
          <w:sz w:val="32"/>
          <w:szCs w:val="32"/>
        </w:rPr>
      </w:pPr>
      <w:r>
        <w:rPr>
          <w:rFonts w:hint="eastAsia" w:ascii="仿宋_GB2312" w:hAnsi="仿宋_GB2312" w:eastAsia="仿宋_GB2312" w:cs="仿宋_GB2312"/>
          <w:sz w:val="32"/>
          <w:szCs w:val="32"/>
        </w:rPr>
        <w:t>（1）农村危房改造</w:t>
      </w:r>
      <w:r>
        <w:rPr>
          <w:rFonts w:hint="eastAsia" w:ascii="仿宋" w:hAnsi="仿宋" w:eastAsia="仿宋"/>
          <w:color w:val="000000"/>
          <w:sz w:val="32"/>
          <w:szCs w:val="32"/>
        </w:rPr>
        <w:t>项目绩效目标完成情况综述。项目全年预算数34万元，执行数为34万元，完成预算的100%。通过项目实施，保障全镇70户320余人人居环境全面改善。存在的问题，资金投入较少，覆盖面不广，不能全面解决我镇人居环境，下一步措施，积极动员农户主动参与，不等不靠，使我镇的人居环境全面提升。</w:t>
      </w:r>
    </w:p>
    <w:p>
      <w:pPr>
        <w:adjustRightInd w:val="0"/>
        <w:snapToGrid w:val="0"/>
        <w:spacing w:line="560" w:lineRule="exact"/>
        <w:ind w:firstLine="480" w:firstLineChars="150"/>
        <w:rPr>
          <w:rFonts w:ascii="仿宋" w:hAnsi="仿宋" w:eastAsia="仿宋"/>
          <w:color w:val="000000"/>
          <w:sz w:val="32"/>
          <w:szCs w:val="32"/>
        </w:rPr>
      </w:pPr>
      <w:r>
        <w:rPr>
          <w:rFonts w:hint="eastAsia" w:ascii="仿宋" w:hAnsi="仿宋" w:eastAsia="仿宋"/>
          <w:color w:val="000000"/>
          <w:sz w:val="32"/>
          <w:szCs w:val="32"/>
        </w:rPr>
        <w:t>（2）龙溪村、迎春村、高灯村、长江村道路建设项目绩效目标完成情况。项目全年预算数213万元，执行数为213万元，通过项目实施，解决了龙溪村、迎春村、高灯村、长江村2500余人出行难问题。存在的问题，完工不及时，对群众满意度有影响，下一步措施，加强项目管理，提升群众满意度。</w:t>
      </w:r>
    </w:p>
    <w:p>
      <w:pPr>
        <w:spacing w:line="580" w:lineRule="exact"/>
        <w:ind w:firstLine="320" w:firstLineChars="100"/>
        <w:rPr>
          <w:rFonts w:ascii="仿宋" w:hAnsi="仿宋" w:eastAsia="仿宋"/>
          <w:color w:val="000000"/>
          <w:sz w:val="32"/>
          <w:szCs w:val="32"/>
        </w:rPr>
      </w:pPr>
      <w:r>
        <w:rPr>
          <w:rFonts w:hint="eastAsia" w:ascii="仿宋" w:hAnsi="仿宋" w:eastAsia="仿宋"/>
          <w:color w:val="000000"/>
          <w:sz w:val="32"/>
          <w:szCs w:val="32"/>
        </w:rPr>
        <w:t>（3）贫困人口公益性岗位项目绩效目标完成情况综述。项目全年预算数36.75万元，执行数为36.75万元，完成预算的100%。通过项目的实施，促进贫困人口85人就业，增加收入。存在的问题，部分村缺乏管理，致使部分公益性岗位人员责任意识不强，没有充分发挥好公益性岗位人员的作用，群众有意见。下一步措施，督促各村加强公益性岗位人员管理，使公益性岗位真正发挥作用。</w:t>
      </w:r>
    </w:p>
    <w:p>
      <w:pPr>
        <w:spacing w:line="560" w:lineRule="exact"/>
        <w:ind w:firstLine="640" w:firstLineChars="200"/>
        <w:jc w:val="left"/>
        <w:rPr>
          <w:rFonts w:ascii="仿宋" w:hAnsi="仿宋" w:eastAsia="仿宋_GB2312" w:cs="宋体"/>
          <w:bCs/>
          <w:sz w:val="30"/>
          <w:szCs w:val="30"/>
        </w:rPr>
      </w:pPr>
      <w:r>
        <w:rPr>
          <w:rFonts w:hint="eastAsia" w:ascii="仿宋" w:hAnsi="仿宋" w:eastAsia="仿宋"/>
          <w:color w:val="000000"/>
          <w:sz w:val="32"/>
          <w:szCs w:val="32"/>
        </w:rPr>
        <w:t>（4）新冠肺炎防控项目绩效目标完成情况综述。</w:t>
      </w:r>
      <w:r>
        <w:rPr>
          <w:rFonts w:hint="eastAsia" w:ascii="仿宋_GB2312" w:hAnsi="微软雅黑" w:eastAsia="仿宋_GB2312" w:cs="仿宋_GB2312"/>
          <w:color w:val="000000"/>
          <w:kern w:val="0"/>
          <w:sz w:val="32"/>
          <w:szCs w:val="32"/>
        </w:rPr>
        <w:t>项目本年预算数1.34万元，执行数1.34万元，执行率100%。通项目实施，有效防控了疫情扩散，全面保障群众生产生活不受疫情影响，有效保障了辖区经济运行和各项事业健康发展。下一步措施，继续加强防控不松懈。</w:t>
      </w:r>
    </w:p>
    <w:p>
      <w:pPr>
        <w:spacing w:line="580" w:lineRule="exact"/>
        <w:ind w:firstLine="640" w:firstLineChars="200"/>
        <w:rPr>
          <w:rFonts w:ascii="仿宋_GB2312" w:hAnsi="仿宋_GB2312" w:eastAsia="仿宋_GB2312" w:cs="仿宋_GB2312"/>
          <w:spacing w:val="20"/>
          <w:sz w:val="32"/>
          <w:szCs w:val="32"/>
          <w:lang w:val="zh-CN"/>
        </w:rPr>
      </w:pPr>
      <w:r>
        <w:rPr>
          <w:rFonts w:hint="eastAsia" w:ascii="仿宋" w:hAnsi="仿宋" w:eastAsia="仿宋"/>
          <w:color w:val="000000"/>
          <w:sz w:val="32"/>
          <w:szCs w:val="32"/>
        </w:rPr>
        <w:t>（5）基层组织活动和公共服务运行项目绩效目标完成情况综述。项目全年预算数55.35万元，执行数为55.35万元，完成预算的100%。通过项目实施，保障了基层组织和村级公共服务正常运行。存在的问题，资金投入少，不能全面解决公共服务运行所需资金，村社干部及群众有意见，下一步措施，督促村社充分用好“一事一议”维护公共服务运行，用以弥补投入资金不足。</w:t>
      </w:r>
    </w:p>
    <w:p>
      <w:pPr>
        <w:pageBreakBefore/>
        <w:numPr>
          <w:ilvl w:val="0"/>
          <w:numId w:val="1"/>
        </w:numPr>
        <w:spacing w:line="600" w:lineRule="exact"/>
        <w:ind w:firstLine="660" w:firstLineChars="150"/>
        <w:jc w:val="center"/>
        <w:outlineLvl w:val="0"/>
        <w:rPr>
          <w:rStyle w:val="26"/>
          <w:rFonts w:ascii="黑体" w:hAnsi="黑体" w:eastAsia="黑体"/>
          <w:b w:val="0"/>
        </w:rPr>
      </w:pPr>
      <w:bookmarkStart w:id="75" w:name="_Toc20084"/>
      <w:r>
        <w:rPr>
          <w:rStyle w:val="26"/>
          <w:rFonts w:hint="eastAsia" w:ascii="黑体" w:hAnsi="黑体" w:eastAsia="黑体"/>
          <w:b w:val="0"/>
        </w:rPr>
        <w:t>名词解释</w:t>
      </w:r>
      <w:bookmarkEnd w:id="75"/>
    </w:p>
    <w:p>
      <w:pPr>
        <w:spacing w:line="600" w:lineRule="exact"/>
        <w:jc w:val="left"/>
        <w:rPr>
          <w:rFonts w:ascii="宋体"/>
          <w:b/>
          <w:color w:val="000000"/>
          <w:sz w:val="44"/>
          <w:szCs w:val="44"/>
        </w:rPr>
      </w:pPr>
    </w:p>
    <w:p>
      <w:pPr>
        <w:pStyle w:val="24"/>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黑体" w:hAnsi="黑体" w:eastAsia="黑体"/>
          <w:color w:val="000000"/>
          <w:sz w:val="44"/>
          <w:szCs w:val="44"/>
        </w:rPr>
      </w:pPr>
      <w:bookmarkStart w:id="76" w:name="_Toc15396614"/>
      <w:bookmarkStart w:id="77" w:name="_Toc15377226"/>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6"/>
          <w:rFonts w:hint="eastAsia" w:ascii="黑体" w:hAnsi="黑体" w:eastAsia="黑体"/>
          <w:b w:val="0"/>
        </w:rPr>
      </w:pPr>
      <w:bookmarkStart w:id="78" w:name="_Toc23153"/>
      <w:r>
        <w:rPr>
          <w:rFonts w:hint="eastAsia" w:ascii="黑体" w:hAnsi="黑体" w:eastAsia="黑体"/>
          <w:color w:val="000000"/>
          <w:sz w:val="44"/>
          <w:szCs w:val="44"/>
        </w:rPr>
        <w:t>第</w:t>
      </w:r>
      <w:r>
        <w:rPr>
          <w:rStyle w:val="26"/>
          <w:rFonts w:hint="eastAsia" w:ascii="黑体" w:hAnsi="黑体" w:eastAsia="黑体"/>
          <w:b w:val="0"/>
        </w:rPr>
        <w:t>四部分 附件</w:t>
      </w:r>
      <w:bookmarkEnd w:id="76"/>
      <w:bookmarkEnd w:id="78"/>
    </w:p>
    <w:p>
      <w:pPr>
        <w:spacing w:line="600" w:lineRule="exact"/>
        <w:jc w:val="center"/>
        <w:outlineLvl w:val="0"/>
        <w:rPr>
          <w:rStyle w:val="26"/>
        </w:rPr>
      </w:pPr>
    </w:p>
    <w:p>
      <w:pPr>
        <w:ind w:firstLine="2200" w:firstLineChars="500"/>
        <w:rPr>
          <w:sz w:val="44"/>
          <w:szCs w:val="44"/>
        </w:rPr>
      </w:pPr>
      <w:r>
        <w:rPr>
          <w:rFonts w:hint="eastAsia"/>
          <w:sz w:val="44"/>
          <w:szCs w:val="44"/>
        </w:rPr>
        <w:t>通江县毛浴镇人民政府</w:t>
      </w:r>
    </w:p>
    <w:p>
      <w:pPr>
        <w:jc w:val="center"/>
        <w:rPr>
          <w:sz w:val="44"/>
          <w:szCs w:val="44"/>
        </w:rPr>
      </w:pPr>
      <w:r>
        <w:rPr>
          <w:rFonts w:hint="eastAsia"/>
          <w:sz w:val="44"/>
          <w:szCs w:val="44"/>
        </w:rPr>
        <w:t>2020年财政资金整体使用绩效自评报告</w:t>
      </w:r>
    </w:p>
    <w:p>
      <w:pPr>
        <w:rPr>
          <w:b/>
          <w:bCs/>
          <w:sz w:val="30"/>
          <w:szCs w:val="30"/>
        </w:rPr>
      </w:pPr>
      <w:r>
        <w:rPr>
          <w:rFonts w:hint="eastAsia"/>
          <w:b/>
          <w:bCs/>
          <w:sz w:val="30"/>
          <w:szCs w:val="30"/>
        </w:rPr>
        <w:t>一、基本情况</w:t>
      </w:r>
    </w:p>
    <w:p>
      <w:pPr>
        <w:pStyle w:val="5"/>
        <w:adjustRightInd w:val="0"/>
        <w:snapToGrid w:val="0"/>
        <w:spacing w:before="93" w:line="600" w:lineRule="exact"/>
        <w:ind w:firstLine="672" w:firstLineChars="210"/>
        <w:rPr>
          <w:rFonts w:ascii="仿宋" w:hAnsi="仿宋" w:eastAsia="仿宋" w:cs="仿宋"/>
          <w:sz w:val="32"/>
          <w:szCs w:val="32"/>
        </w:rPr>
      </w:pPr>
      <w:r>
        <w:rPr>
          <w:rFonts w:hint="eastAsia" w:ascii="仿宋" w:hAnsi="仿宋" w:eastAsia="仿宋" w:cs="仿宋"/>
          <w:sz w:val="32"/>
          <w:szCs w:val="32"/>
        </w:rPr>
        <w:t>毛浴镇地处通江县东北边，距县城12公里，辖行政村16个，1个居委会，95个村民小组，人口14500人。独立核算单位4个，分别是毛浴镇人民政府，列宁小学、药铺小学、毛浴镇卫生院。镇人民政府级（本级）内设便民服务中心、农业综合服务中心、社会事业服务中心、村镇建设服务中心、会计核算中心。2020年毛浴镇度财政预算收入</w:t>
      </w:r>
      <w:r>
        <w:rPr>
          <w:rFonts w:hint="eastAsia" w:ascii="仿宋" w:hAnsi="仿宋" w:eastAsia="仿宋" w:cs="仿宋"/>
          <w:color w:val="000000"/>
          <w:sz w:val="32"/>
          <w:szCs w:val="32"/>
        </w:rPr>
        <w:t>1452.08万元，财政决算支出1452.08万元，预算数等于决算数，实现收支平衡。</w:t>
      </w:r>
    </w:p>
    <w:p>
      <w:pPr>
        <w:spacing w:line="580" w:lineRule="exact"/>
        <w:rPr>
          <w:rFonts w:ascii="仿宋" w:hAnsi="仿宋" w:eastAsia="仿宋" w:cs="仿宋_GB2312"/>
          <w:sz w:val="32"/>
          <w:szCs w:val="32"/>
        </w:rPr>
      </w:pPr>
      <w:r>
        <w:rPr>
          <w:rFonts w:hint="eastAsia" w:ascii="仿宋" w:hAnsi="仿宋" w:eastAsia="仿宋" w:cs="仿宋_GB2312"/>
          <w:sz w:val="32"/>
          <w:szCs w:val="32"/>
        </w:rPr>
        <w:t>　　（二）</w:t>
      </w:r>
      <w:r>
        <w:rPr>
          <w:rFonts w:ascii="仿宋" w:hAnsi="仿宋" w:eastAsia="仿宋" w:cs="仿宋_GB2312"/>
          <w:sz w:val="32"/>
          <w:szCs w:val="32"/>
        </w:rPr>
        <w:t>机构职能。</w:t>
      </w:r>
    </w:p>
    <w:p>
      <w:pPr>
        <w:spacing w:line="580" w:lineRule="exact"/>
        <w:rPr>
          <w:rFonts w:ascii="仿宋" w:hAnsi="仿宋" w:eastAsia="仿宋" w:cs="仿宋_GB2312"/>
          <w:sz w:val="32"/>
          <w:szCs w:val="32"/>
        </w:rPr>
      </w:pPr>
      <w:r>
        <w:rPr>
          <w:rFonts w:hint="eastAsia" w:ascii="仿宋" w:hAnsi="仿宋" w:eastAsia="仿宋" w:cs="仿宋_GB2312"/>
          <w:sz w:val="32"/>
          <w:szCs w:val="32"/>
        </w:rPr>
        <w:t>落实国家政策</w:t>
      </w:r>
      <w:r>
        <w:rPr>
          <w:rFonts w:hint="eastAsia" w:ascii="仿宋" w:hAnsi="仿宋" w:eastAsia="仿宋" w:cs="仿宋_GB2312"/>
          <w:sz w:val="32"/>
          <w:szCs w:val="32"/>
          <w:lang w:eastAsia="zh-CN"/>
        </w:rPr>
        <w:t>，</w:t>
      </w:r>
      <w:r>
        <w:rPr>
          <w:rFonts w:hint="eastAsia" w:ascii="仿宋" w:hAnsi="仿宋" w:eastAsia="仿宋" w:cs="仿宋_GB2312"/>
          <w:sz w:val="32"/>
          <w:szCs w:val="32"/>
        </w:rPr>
        <w:t>严格依法行政</w:t>
      </w:r>
      <w:r>
        <w:rPr>
          <w:rFonts w:hint="eastAsia" w:ascii="仿宋" w:hAnsi="仿宋" w:eastAsia="仿宋" w:cs="仿宋_GB2312"/>
          <w:sz w:val="32"/>
          <w:szCs w:val="32"/>
          <w:lang w:eastAsia="zh-CN"/>
        </w:rPr>
        <w:t>，</w:t>
      </w:r>
      <w:r>
        <w:rPr>
          <w:rFonts w:hint="eastAsia" w:ascii="仿宋" w:hAnsi="仿宋" w:eastAsia="仿宋" w:cs="仿宋_GB2312"/>
          <w:sz w:val="32"/>
          <w:szCs w:val="32"/>
        </w:rPr>
        <w:t>发挥经济、社会、市场管理职能，加强政策引导，制定发展规划</w:t>
      </w:r>
      <w:r>
        <w:rPr>
          <w:rFonts w:hint="eastAsia" w:ascii="仿宋" w:hAnsi="仿宋" w:eastAsia="仿宋" w:cs="仿宋_GB2312"/>
          <w:sz w:val="32"/>
          <w:szCs w:val="32"/>
          <w:lang w:eastAsia="zh-CN"/>
        </w:rPr>
        <w:t>，</w:t>
      </w:r>
      <w:r>
        <w:rPr>
          <w:rFonts w:hint="eastAsia" w:ascii="仿宋" w:hAnsi="仿宋" w:eastAsia="仿宋" w:cs="仿宋_GB2312"/>
          <w:sz w:val="32"/>
          <w:szCs w:val="32"/>
        </w:rPr>
        <w:t>服务市场主体和营造发展环境，搞好市场监管，大力促进社会事业发展，发展镇村经济、文化和社会事业，提供公共服务，维护社会稳定，构建社会主义和谐小康社会。</w:t>
      </w:r>
    </w:p>
    <w:p>
      <w:pPr>
        <w:spacing w:line="580" w:lineRule="exact"/>
        <w:rPr>
          <w:rFonts w:ascii="仿宋" w:hAnsi="仿宋" w:eastAsia="仿宋" w:cs="仿宋_GB2312"/>
          <w:sz w:val="32"/>
          <w:szCs w:val="32"/>
        </w:rPr>
      </w:pPr>
      <w:r>
        <w:rPr>
          <w:rFonts w:hint="eastAsia" w:ascii="仿宋" w:hAnsi="仿宋" w:eastAsia="仿宋" w:cs="仿宋_GB2312"/>
          <w:sz w:val="32"/>
          <w:szCs w:val="32"/>
        </w:rPr>
        <w:t>　  1、执行本级人民代表大会的决议和上级国家行政机关的决定和命令，发布决定和命令；</w:t>
      </w:r>
    </w:p>
    <w:p>
      <w:pPr>
        <w:spacing w:line="580" w:lineRule="exact"/>
        <w:rPr>
          <w:rFonts w:hint="eastAsia" w:ascii="仿宋" w:hAnsi="仿宋" w:eastAsia="仿宋" w:cs="仿宋_GB2312"/>
          <w:sz w:val="32"/>
          <w:szCs w:val="32"/>
          <w:lang w:eastAsia="zh-CN"/>
        </w:rPr>
      </w:pPr>
      <w:r>
        <w:rPr>
          <w:rFonts w:hint="eastAsia" w:ascii="仿宋" w:hAnsi="仿宋" w:eastAsia="仿宋" w:cs="仿宋_GB2312"/>
          <w:sz w:val="32"/>
          <w:szCs w:val="32"/>
        </w:rPr>
        <w:t>　　2、执行本行政区域内的经济和社会发展计划、预算，管理本行政区域内的经济、教育、科学、文化、卫生、体育事业和财政、民政、公安、司法行政、计划生育等行政工作</w:t>
      </w:r>
      <w:r>
        <w:rPr>
          <w:rFonts w:hint="eastAsia" w:ascii="仿宋" w:hAnsi="仿宋" w:eastAsia="仿宋" w:cs="仿宋_GB2312"/>
          <w:sz w:val="32"/>
          <w:szCs w:val="32"/>
          <w:highlight w:val="none"/>
          <w:lang w:eastAsia="zh-CN"/>
        </w:rPr>
        <w:t>；</w:t>
      </w:r>
    </w:p>
    <w:p>
      <w:pPr>
        <w:spacing w:line="580" w:lineRule="exact"/>
        <w:rPr>
          <w:rFonts w:hint="eastAsia" w:ascii="仿宋" w:hAnsi="仿宋" w:eastAsia="仿宋" w:cs="仿宋_GB2312"/>
          <w:sz w:val="32"/>
          <w:szCs w:val="32"/>
          <w:lang w:eastAsia="zh-CN"/>
        </w:rPr>
      </w:pPr>
      <w:r>
        <w:rPr>
          <w:rFonts w:hint="eastAsia" w:ascii="仿宋" w:hAnsi="仿宋" w:eastAsia="仿宋" w:cs="仿宋_GB2312"/>
          <w:sz w:val="32"/>
          <w:szCs w:val="32"/>
        </w:rPr>
        <w:t>　　3、保护社会主义的全民所有的财产和劳动群众集体所有的财产，保护公民私人所有的合法财产，维护社会秩序，保障公民的人身权利、民主权利和其他权利</w:t>
      </w:r>
      <w:r>
        <w:rPr>
          <w:rFonts w:hint="eastAsia" w:ascii="仿宋" w:hAnsi="仿宋" w:eastAsia="仿宋" w:cs="仿宋_GB2312"/>
          <w:sz w:val="32"/>
          <w:szCs w:val="32"/>
          <w:highlight w:val="none"/>
          <w:lang w:eastAsia="zh-CN"/>
        </w:rPr>
        <w:t>；</w:t>
      </w:r>
    </w:p>
    <w:p>
      <w:pPr>
        <w:spacing w:line="580" w:lineRule="exact"/>
        <w:rPr>
          <w:rFonts w:hint="eastAsia" w:ascii="仿宋" w:hAnsi="仿宋" w:eastAsia="仿宋" w:cs="仿宋_GB2312"/>
          <w:sz w:val="32"/>
          <w:szCs w:val="32"/>
          <w:lang w:eastAsia="zh-CN"/>
        </w:rPr>
      </w:pPr>
      <w:r>
        <w:rPr>
          <w:rFonts w:hint="eastAsia" w:ascii="仿宋" w:hAnsi="仿宋" w:eastAsia="仿宋" w:cs="仿宋_GB2312"/>
          <w:sz w:val="32"/>
          <w:szCs w:val="32"/>
        </w:rPr>
        <w:t>　　4、保护各种经济组织的合法权益</w:t>
      </w:r>
      <w:r>
        <w:rPr>
          <w:rFonts w:hint="eastAsia" w:ascii="仿宋" w:hAnsi="仿宋" w:eastAsia="仿宋" w:cs="仿宋_GB2312"/>
          <w:sz w:val="32"/>
          <w:szCs w:val="32"/>
          <w:highlight w:val="none"/>
          <w:lang w:eastAsia="zh-CN"/>
        </w:rPr>
        <w:t>；</w:t>
      </w:r>
    </w:p>
    <w:p>
      <w:pPr>
        <w:spacing w:line="580" w:lineRule="exact"/>
        <w:rPr>
          <w:rFonts w:hint="eastAsia" w:ascii="仿宋" w:hAnsi="仿宋" w:eastAsia="仿宋" w:cs="仿宋_GB2312"/>
          <w:sz w:val="32"/>
          <w:szCs w:val="32"/>
          <w:lang w:eastAsia="zh-CN"/>
        </w:rPr>
      </w:pPr>
      <w:r>
        <w:rPr>
          <w:rFonts w:hint="eastAsia" w:ascii="仿宋" w:hAnsi="仿宋" w:eastAsia="仿宋" w:cs="仿宋_GB2312"/>
          <w:sz w:val="32"/>
          <w:szCs w:val="32"/>
        </w:rPr>
        <w:t>　　5、保障少数民族的权利和尊重少数民族的风俗习惯</w:t>
      </w:r>
      <w:r>
        <w:rPr>
          <w:rFonts w:hint="eastAsia" w:ascii="仿宋" w:hAnsi="仿宋" w:eastAsia="仿宋" w:cs="仿宋_GB2312"/>
          <w:sz w:val="32"/>
          <w:szCs w:val="32"/>
          <w:highlight w:val="none"/>
          <w:lang w:eastAsia="zh-CN"/>
        </w:rPr>
        <w:t>；</w:t>
      </w:r>
    </w:p>
    <w:p>
      <w:pPr>
        <w:spacing w:line="580" w:lineRule="exact"/>
        <w:ind w:firstLine="640"/>
        <w:rPr>
          <w:rFonts w:ascii="仿宋" w:hAnsi="仿宋" w:eastAsia="仿宋" w:cs="仿宋_GB2312"/>
          <w:sz w:val="32"/>
          <w:szCs w:val="32"/>
        </w:rPr>
      </w:pPr>
      <w:r>
        <w:rPr>
          <w:rFonts w:hint="eastAsia" w:ascii="仿宋" w:hAnsi="仿宋" w:eastAsia="仿宋" w:cs="仿宋_GB2312"/>
          <w:sz w:val="32"/>
          <w:szCs w:val="32"/>
        </w:rPr>
        <w:t>6、办理同级党委和县委、县政府交办的其他事项。</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rPr>
          <w:rFonts w:ascii="仿宋" w:hAnsi="仿宋" w:eastAsia="仿宋" w:cs="仿宋_GB2312"/>
          <w:sz w:val="32"/>
          <w:szCs w:val="32"/>
        </w:rPr>
      </w:pPr>
      <w:r>
        <w:rPr>
          <w:rFonts w:hint="eastAsia" w:ascii="仿宋" w:hAnsi="仿宋" w:eastAsia="仿宋" w:cs="仿宋_GB2312"/>
          <w:sz w:val="32"/>
          <w:szCs w:val="32"/>
        </w:rPr>
        <w:t>　　</w:t>
      </w:r>
      <w:r>
        <w:rPr>
          <w:rFonts w:ascii="仿宋" w:hAnsi="仿宋" w:eastAsia="仿宋" w:cs="仿宋_GB2312"/>
          <w:sz w:val="32"/>
          <w:szCs w:val="32"/>
        </w:rPr>
        <w:t>（一）部门财政资金收入情况。</w:t>
      </w:r>
    </w:p>
    <w:p>
      <w:pPr>
        <w:spacing w:line="580" w:lineRule="exact"/>
        <w:ind w:firstLine="891"/>
        <w:rPr>
          <w:rFonts w:ascii="仿宋" w:hAnsi="仿宋" w:eastAsia="仿宋"/>
          <w:color w:val="000000"/>
          <w:sz w:val="32"/>
          <w:szCs w:val="32"/>
        </w:rPr>
      </w:pPr>
      <w:r>
        <w:rPr>
          <w:rFonts w:hint="eastAsia" w:ascii="仿宋" w:hAnsi="仿宋" w:eastAsia="仿宋"/>
          <w:color w:val="000000"/>
          <w:sz w:val="32"/>
          <w:szCs w:val="32"/>
        </w:rPr>
        <w:t>2020年本年收入合计1452.08万元，其中：一般公共预算财政拨款收入1452.08万元，占100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580" w:lineRule="exact"/>
        <w:rPr>
          <w:rFonts w:ascii="仿宋" w:hAnsi="仿宋" w:eastAsia="仿宋" w:cs="仿宋_GB2312"/>
          <w:sz w:val="32"/>
          <w:szCs w:val="32"/>
        </w:rPr>
      </w:pPr>
      <w:r>
        <w:rPr>
          <w:rFonts w:hint="eastAsia" w:ascii="仿宋" w:hAnsi="仿宋" w:eastAsia="仿宋"/>
          <w:color w:val="000000"/>
          <w:sz w:val="32"/>
          <w:szCs w:val="32"/>
        </w:rPr>
        <w:t>　（二）</w:t>
      </w:r>
      <w:r>
        <w:rPr>
          <w:rFonts w:ascii="仿宋" w:hAnsi="仿宋" w:eastAsia="仿宋" w:cs="仿宋_GB2312"/>
          <w:sz w:val="32"/>
          <w:szCs w:val="32"/>
        </w:rPr>
        <w:t>部门财政资金支出情况。</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2020年本年支出合计1452.08万元，其中：基本支出919.29万元，占63.31</w:t>
      </w:r>
      <w:r>
        <w:rPr>
          <w:rFonts w:ascii="仿宋" w:hAnsi="仿宋" w:eastAsia="仿宋"/>
          <w:color w:val="000000"/>
          <w:sz w:val="32"/>
          <w:szCs w:val="32"/>
        </w:rPr>
        <w:t>%</w:t>
      </w:r>
      <w:r>
        <w:rPr>
          <w:rFonts w:hint="eastAsia" w:ascii="仿宋" w:hAnsi="仿宋" w:eastAsia="仿宋"/>
          <w:color w:val="000000"/>
          <w:sz w:val="32"/>
          <w:szCs w:val="32"/>
        </w:rPr>
        <w:t>；项目支出532.79万元，占36.69</w:t>
      </w:r>
      <w:r>
        <w:rPr>
          <w:rFonts w:ascii="仿宋" w:hAnsi="仿宋" w:eastAsia="仿宋"/>
          <w:color w:val="000000"/>
          <w:sz w:val="32"/>
          <w:szCs w:val="32"/>
        </w:rPr>
        <w:t>%</w:t>
      </w:r>
      <w:r>
        <w:rPr>
          <w:rFonts w:hint="eastAsia" w:ascii="仿宋" w:hAnsi="仿宋" w:eastAsia="仿宋"/>
          <w:color w:val="000000"/>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numPr>
          <w:ilvl w:val="0"/>
          <w:numId w:val="2"/>
        </w:num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严控毛浴镇各项行政事业经费科学合理收支，实现预算资金高效利用。2、保障毛浴镇机关政府、社会事业正常运行，实现毛浴镇社会和谐稳定。3、提升毛浴镇财政工作服务水平，提高毛浴镇财政工作社会满意度。4、按照政府采购程序管理相关规定，完善毛浴镇政府采购流程。5、保障村民委员会和村党支部经费，实现毛浴镇基层组织公共服务运行。截至2020年12月31日，</w:t>
      </w:r>
      <w:r>
        <w:rPr>
          <w:rFonts w:ascii="仿宋" w:hAnsi="仿宋" w:eastAsia="仿宋" w:cs="仿宋_GB2312"/>
          <w:sz w:val="32"/>
          <w:szCs w:val="32"/>
        </w:rPr>
        <w:t>目标完成</w:t>
      </w:r>
      <w:r>
        <w:rPr>
          <w:rFonts w:hint="eastAsia" w:ascii="仿宋" w:hAnsi="仿宋" w:eastAsia="仿宋" w:cs="仿宋_GB2312"/>
          <w:sz w:val="32"/>
          <w:szCs w:val="32"/>
        </w:rPr>
        <w:t>100%，</w:t>
      </w:r>
      <w:r>
        <w:rPr>
          <w:rFonts w:ascii="仿宋" w:hAnsi="仿宋" w:eastAsia="仿宋" w:cs="仿宋_GB2312"/>
          <w:sz w:val="32"/>
          <w:szCs w:val="32"/>
        </w:rPr>
        <w:t>预算</w:t>
      </w:r>
      <w:r>
        <w:rPr>
          <w:rFonts w:hint="eastAsia" w:ascii="仿宋" w:hAnsi="仿宋" w:eastAsia="仿宋" w:cs="仿宋_GB2312"/>
          <w:sz w:val="32"/>
          <w:szCs w:val="32"/>
        </w:rPr>
        <w:t>执行进度与预算目标进度一致，基本上按时按质完成预算目标。</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专项预算项目程序严密、规划合理、结果符合、分配科学、分配及时、专项预算绩效目标</w:t>
      </w:r>
      <w:r>
        <w:rPr>
          <w:rFonts w:hint="eastAsia" w:ascii="仿宋" w:hAnsi="仿宋" w:eastAsia="仿宋" w:cs="仿宋_GB2312"/>
          <w:sz w:val="32"/>
          <w:szCs w:val="32"/>
        </w:rPr>
        <w:t>100%</w:t>
      </w:r>
      <w:r>
        <w:rPr>
          <w:rFonts w:ascii="仿宋" w:hAnsi="仿宋" w:eastAsia="仿宋" w:cs="仿宋_GB2312"/>
          <w:sz w:val="32"/>
          <w:szCs w:val="32"/>
        </w:rPr>
        <w:t>完成</w:t>
      </w:r>
      <w:r>
        <w:rPr>
          <w:rFonts w:hint="eastAsia"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部门自评质量</w:t>
      </w:r>
      <w:r>
        <w:rPr>
          <w:rFonts w:hint="eastAsia" w:ascii="仿宋" w:hAnsi="仿宋" w:eastAsia="仿宋" w:cs="仿宋_GB2312"/>
          <w:sz w:val="32"/>
          <w:szCs w:val="32"/>
        </w:rPr>
        <w:t>良好</w:t>
      </w:r>
      <w:r>
        <w:rPr>
          <w:rFonts w:ascii="仿宋" w:hAnsi="仿宋" w:eastAsia="仿宋" w:cs="仿宋_GB2312"/>
          <w:sz w:val="32"/>
          <w:szCs w:val="32"/>
        </w:rPr>
        <w:t>、</w:t>
      </w:r>
      <w:r>
        <w:rPr>
          <w:rFonts w:hint="eastAsia" w:ascii="仿宋" w:hAnsi="仿宋" w:eastAsia="仿宋" w:cs="仿宋_GB2312"/>
          <w:sz w:val="32"/>
          <w:szCs w:val="32"/>
        </w:rPr>
        <w:t>按照相关规定进行</w:t>
      </w:r>
      <w:r>
        <w:rPr>
          <w:rFonts w:ascii="仿宋" w:hAnsi="仿宋" w:eastAsia="仿宋" w:cs="仿宋_GB2312"/>
          <w:sz w:val="32"/>
          <w:szCs w:val="32"/>
        </w:rPr>
        <w:t>绩效目标公开和自评公开、评价结果整改和应用结果反馈等情况。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通过对毛浴镇整体支出绩效评价，截至2020年12月31日，基本完成年初预设目标，预算执行进度与预算目标进度一致，基本上按时按质完成预算目标。</w:t>
      </w:r>
    </w:p>
    <w:p>
      <w:pPr>
        <w:numPr>
          <w:ilvl w:val="0"/>
          <w:numId w:val="3"/>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1.项目绩效目标与指标不完整。绩效指标较少，不能完全衡量条件建设经费项目的完成情况，绩效指标未涵盖所有工作事项，绩效标准表述不够准确，整体逻辑关系不够清晰。</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2.资金投入较小。项目建设是一项长期建设任务，投入资金有限。在一个时间范围内，完成一个整体的建设项目非常困难。    </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3.资金监控机制有待进一步加强。在执行过程中，未对项目资金使用及项目完成情况进行有效的监督，导致执行滞后的问题。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1.进一步加大资金投入力度。建议进一步加大项目资金的投入力度，按照要求尽早完成项目建设。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进一步完善项目绩效目标及绩效指标。加强各执行部门的沟通，建立事权、财权、责任匹配制度，在绩效目标的设定方面，绩效目标有待准确化，使项目目标更简洁，更加明晰。项目绩效指标需结合项目明细具体设置，尽可能全面、</w:t>
      </w:r>
      <w:r>
        <w:rPr>
          <w:rFonts w:hint="eastAsia" w:ascii="仿宋_GB2312" w:hAnsi="仿宋_GB2312" w:eastAsia="仿宋_GB2312" w:cs="仿宋_GB2312"/>
          <w:sz w:val="32"/>
          <w:szCs w:val="32"/>
          <w:highlight w:val="none"/>
          <w:lang w:eastAsia="zh-CN"/>
        </w:rPr>
        <w:t>客观地反映</w:t>
      </w:r>
      <w:r>
        <w:rPr>
          <w:rFonts w:hint="eastAsia" w:ascii="仿宋_GB2312" w:hAnsi="仿宋_GB2312" w:eastAsia="仿宋_GB2312" w:cs="仿宋_GB2312"/>
          <w:sz w:val="32"/>
          <w:szCs w:val="32"/>
        </w:rPr>
        <w:t>项目产出及效果。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提高项目资金使用率。实时监控预算完成情况，对项目资金执行情况及项目进度进行通报，对执行进度滞后的情况，要求加快执行，确保项目能按计划执行。同时明确监管层次，对项目的时间节点控制，进一步提高内部控制意识，明确责任主体。</w:t>
      </w:r>
    </w:p>
    <w:p>
      <w:pPr>
        <w:rPr>
          <w:rFonts w:ascii="黑体" w:hAnsi="黑体" w:eastAsia="黑体"/>
          <w:color w:val="000000"/>
          <w:sz w:val="32"/>
          <w:szCs w:val="32"/>
        </w:rPr>
      </w:pPr>
      <w:r>
        <w:rPr>
          <w:rFonts w:hint="eastAsia" w:ascii="黑体" w:hAnsi="黑体" w:eastAsia="黑体"/>
          <w:color w:val="000000"/>
          <w:sz w:val="32"/>
          <w:szCs w:val="32"/>
        </w:rPr>
        <w:drawing>
          <wp:inline distT="0" distB="0" distL="114300" distR="114300">
            <wp:extent cx="5272405" cy="7594600"/>
            <wp:effectExtent l="0" t="0" r="4445" b="6350"/>
            <wp:docPr id="140" name="_x0000_i15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_x0000_i1514" descr="1"/>
                    <pic:cNvPicPr>
                      <a:picLocks noChangeAspect="1"/>
                    </pic:cNvPicPr>
                  </pic:nvPicPr>
                  <pic:blipFill>
                    <a:blip r:embed="rId13"/>
                    <a:stretch>
                      <a:fillRect/>
                    </a:stretch>
                  </pic:blipFill>
                  <pic:spPr>
                    <a:xfrm>
                      <a:off x="0" y="0"/>
                      <a:ext cx="5272405" cy="7594600"/>
                    </a:xfrm>
                    <a:prstGeom prst="rect">
                      <a:avLst/>
                    </a:prstGeom>
                  </pic:spPr>
                </pic:pic>
              </a:graphicData>
            </a:graphic>
          </wp:inline>
        </w:drawing>
      </w: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tabs>
          <w:tab w:val="left" w:pos="4678"/>
        </w:tabs>
        <w:rPr>
          <w:sz w:val="28"/>
          <w:szCs w:val="28"/>
        </w:rPr>
      </w:pPr>
    </w:p>
    <w:p>
      <w:pPr>
        <w:spacing w:line="600" w:lineRule="exact"/>
        <w:jc w:val="center"/>
        <w:outlineLvl w:val="0"/>
        <w:rPr>
          <w:rStyle w:val="26"/>
          <w:rFonts w:hint="eastAsia" w:ascii="黑体" w:hAnsi="黑体" w:eastAsia="黑体"/>
          <w:b w:val="0"/>
        </w:rPr>
      </w:pPr>
      <w:bookmarkStart w:id="79" w:name="_Toc15480"/>
      <w:bookmarkStart w:id="80" w:name="_Toc15396618"/>
      <w:r>
        <w:rPr>
          <w:rStyle w:val="26"/>
          <w:rFonts w:hint="eastAsia" w:ascii="黑体" w:hAnsi="黑体" w:eastAsia="黑体"/>
          <w:b w:val="0"/>
        </w:rPr>
        <w:t>第五部分　附表</w:t>
      </w:r>
      <w:bookmarkEnd w:id="77"/>
      <w:bookmarkEnd w:id="79"/>
      <w:bookmarkEnd w:id="80"/>
      <w:bookmarkStart w:id="81" w:name="_Toc15396619"/>
    </w:p>
    <w:p>
      <w:pPr>
        <w:spacing w:line="600" w:lineRule="exact"/>
        <w:jc w:val="center"/>
        <w:outlineLvl w:val="0"/>
        <w:rPr>
          <w:rStyle w:val="26"/>
          <w:rFonts w:ascii="黑体" w:hAnsi="黑体" w:eastAsia="黑体"/>
          <w:b w:val="0"/>
        </w:rPr>
      </w:pPr>
    </w:p>
    <w:p>
      <w:pPr>
        <w:numPr>
          <w:ilvl w:val="0"/>
          <w:numId w:val="4"/>
        </w:numPr>
        <w:spacing w:line="600" w:lineRule="exact"/>
        <w:ind w:left="315" w:leftChars="150"/>
        <w:outlineLvl w:val="1"/>
        <w:rPr>
          <w:rStyle w:val="27"/>
          <w:rFonts w:ascii="仿宋" w:hAnsi="仿宋" w:eastAsia="仿宋"/>
          <w:b w:val="0"/>
          <w:bCs w:val="0"/>
          <w:sz w:val="28"/>
          <w:szCs w:val="28"/>
        </w:rPr>
      </w:pPr>
      <w:bookmarkStart w:id="82" w:name="_Toc13786"/>
      <w:r>
        <w:rPr>
          <w:rFonts w:hint="eastAsia" w:ascii="仿宋" w:hAnsi="仿宋" w:eastAsia="仿宋"/>
          <w:color w:val="000000"/>
          <w:sz w:val="28"/>
          <w:szCs w:val="28"/>
        </w:rPr>
        <w:t>毛浴镇2020年收入支出决算总表</w:t>
      </w:r>
      <w:bookmarkEnd w:id="81"/>
      <w:bookmarkEnd w:id="82"/>
      <w:bookmarkStart w:id="83" w:name="_Toc15396620"/>
    </w:p>
    <w:p>
      <w:pPr>
        <w:numPr>
          <w:ilvl w:val="0"/>
          <w:numId w:val="4"/>
        </w:numPr>
        <w:spacing w:line="600" w:lineRule="exact"/>
        <w:ind w:left="315" w:leftChars="150"/>
        <w:outlineLvl w:val="1"/>
        <w:rPr>
          <w:rFonts w:ascii="仿宋" w:hAnsi="仿宋" w:eastAsia="仿宋"/>
          <w:color w:val="000000"/>
          <w:sz w:val="28"/>
          <w:szCs w:val="28"/>
        </w:rPr>
      </w:pPr>
      <w:bookmarkStart w:id="84" w:name="_Toc5888"/>
      <w:r>
        <w:rPr>
          <w:rFonts w:hint="eastAsia" w:ascii="仿宋" w:hAnsi="仿宋" w:eastAsia="仿宋"/>
          <w:color w:val="000000"/>
          <w:sz w:val="28"/>
          <w:szCs w:val="28"/>
        </w:rPr>
        <w:t>毛浴镇2020年收入总表</w:t>
      </w:r>
      <w:bookmarkEnd w:id="83"/>
      <w:bookmarkEnd w:id="84"/>
    </w:p>
    <w:p>
      <w:pPr>
        <w:numPr>
          <w:ilvl w:val="0"/>
          <w:numId w:val="4"/>
        </w:numPr>
        <w:spacing w:line="600" w:lineRule="exact"/>
        <w:ind w:left="315" w:leftChars="150"/>
        <w:outlineLvl w:val="1"/>
        <w:rPr>
          <w:rFonts w:ascii="仿宋" w:hAnsi="仿宋" w:eastAsia="仿宋"/>
          <w:color w:val="000000"/>
          <w:sz w:val="28"/>
          <w:szCs w:val="28"/>
        </w:rPr>
      </w:pPr>
      <w:bookmarkStart w:id="85" w:name="_Toc18590"/>
      <w:r>
        <w:rPr>
          <w:rStyle w:val="27"/>
          <w:rFonts w:hint="eastAsia" w:ascii="仿宋" w:hAnsi="仿宋" w:eastAsia="仿宋"/>
          <w:b w:val="0"/>
          <w:bCs w:val="0"/>
          <w:sz w:val="28"/>
          <w:szCs w:val="28"/>
        </w:rPr>
        <w:t>毛浴镇2020年支出总表</w:t>
      </w:r>
      <w:bookmarkEnd w:id="85"/>
    </w:p>
    <w:p>
      <w:pPr>
        <w:numPr>
          <w:ilvl w:val="0"/>
          <w:numId w:val="4"/>
        </w:numPr>
        <w:spacing w:line="600" w:lineRule="exact"/>
        <w:ind w:left="315" w:leftChars="150"/>
        <w:outlineLvl w:val="1"/>
        <w:rPr>
          <w:rFonts w:ascii="仿宋" w:hAnsi="仿宋" w:eastAsia="仿宋"/>
          <w:color w:val="000000"/>
          <w:sz w:val="28"/>
          <w:szCs w:val="28"/>
        </w:rPr>
      </w:pPr>
      <w:bookmarkStart w:id="86" w:name="_Toc15810"/>
      <w:r>
        <w:rPr>
          <w:rStyle w:val="27"/>
          <w:rFonts w:hint="eastAsia" w:ascii="仿宋" w:hAnsi="仿宋" w:eastAsia="仿宋"/>
          <w:b w:val="0"/>
          <w:bCs w:val="0"/>
          <w:sz w:val="28"/>
          <w:szCs w:val="28"/>
        </w:rPr>
        <w:t>毛浴镇2020年财政拨款收入支出决算总表</w:t>
      </w:r>
      <w:bookmarkEnd w:id="86"/>
    </w:p>
    <w:p>
      <w:pPr>
        <w:numPr>
          <w:ilvl w:val="0"/>
          <w:numId w:val="4"/>
        </w:numPr>
        <w:spacing w:line="600" w:lineRule="exact"/>
        <w:ind w:left="315" w:leftChars="150"/>
        <w:outlineLvl w:val="1"/>
        <w:rPr>
          <w:rFonts w:ascii="仿宋" w:hAnsi="仿宋" w:eastAsia="仿宋"/>
          <w:color w:val="000000"/>
          <w:sz w:val="28"/>
          <w:szCs w:val="28"/>
        </w:rPr>
      </w:pPr>
      <w:bookmarkStart w:id="87" w:name="_Toc25804"/>
      <w:r>
        <w:rPr>
          <w:rStyle w:val="27"/>
          <w:rFonts w:hint="eastAsia" w:ascii="仿宋" w:hAnsi="仿宋" w:eastAsia="仿宋"/>
          <w:b w:val="0"/>
          <w:bCs w:val="0"/>
          <w:sz w:val="28"/>
          <w:szCs w:val="28"/>
        </w:rPr>
        <w:t>毛浴镇2020年财政拨款支出决算明细表（政府经济分类科目）</w:t>
      </w:r>
      <w:bookmarkEnd w:id="87"/>
    </w:p>
    <w:p>
      <w:pPr>
        <w:numPr>
          <w:ilvl w:val="0"/>
          <w:numId w:val="4"/>
        </w:numPr>
        <w:spacing w:line="600" w:lineRule="exact"/>
        <w:ind w:left="315" w:leftChars="150"/>
        <w:outlineLvl w:val="1"/>
        <w:rPr>
          <w:rFonts w:ascii="仿宋" w:hAnsi="仿宋" w:eastAsia="仿宋"/>
          <w:color w:val="000000"/>
          <w:sz w:val="28"/>
          <w:szCs w:val="28"/>
        </w:rPr>
      </w:pPr>
      <w:bookmarkStart w:id="88" w:name="_Toc12029"/>
      <w:r>
        <w:rPr>
          <w:rStyle w:val="27"/>
          <w:rFonts w:hint="eastAsia" w:ascii="仿宋" w:hAnsi="仿宋" w:eastAsia="仿宋"/>
          <w:b w:val="0"/>
          <w:bCs w:val="0"/>
          <w:sz w:val="28"/>
          <w:szCs w:val="28"/>
        </w:rPr>
        <w:t>毛浴镇2020年一般公共预算财政拨款支出决算表</w:t>
      </w:r>
      <w:bookmarkEnd w:id="88"/>
    </w:p>
    <w:p>
      <w:pPr>
        <w:numPr>
          <w:ilvl w:val="0"/>
          <w:numId w:val="4"/>
        </w:numPr>
        <w:spacing w:line="600" w:lineRule="exact"/>
        <w:ind w:left="315" w:leftChars="150"/>
        <w:outlineLvl w:val="1"/>
        <w:rPr>
          <w:rFonts w:ascii="仿宋" w:hAnsi="仿宋" w:eastAsia="仿宋"/>
          <w:color w:val="000000"/>
          <w:sz w:val="28"/>
          <w:szCs w:val="28"/>
        </w:rPr>
      </w:pPr>
      <w:bookmarkStart w:id="89" w:name="_Toc23143"/>
      <w:r>
        <w:rPr>
          <w:rStyle w:val="27"/>
          <w:rFonts w:hint="eastAsia" w:ascii="仿宋" w:hAnsi="仿宋" w:eastAsia="仿宋"/>
          <w:b w:val="0"/>
          <w:bCs w:val="0"/>
          <w:sz w:val="28"/>
          <w:szCs w:val="28"/>
        </w:rPr>
        <w:t>毛浴镇2020年一般公共预算财政拨款支出决算明细表</w:t>
      </w:r>
      <w:bookmarkEnd w:id="89"/>
    </w:p>
    <w:p>
      <w:pPr>
        <w:numPr>
          <w:ilvl w:val="0"/>
          <w:numId w:val="4"/>
        </w:numPr>
        <w:spacing w:line="600" w:lineRule="exact"/>
        <w:ind w:left="315" w:leftChars="150"/>
        <w:outlineLvl w:val="1"/>
        <w:rPr>
          <w:rFonts w:ascii="仿宋" w:hAnsi="仿宋" w:eastAsia="仿宋"/>
          <w:color w:val="000000"/>
          <w:sz w:val="28"/>
          <w:szCs w:val="28"/>
        </w:rPr>
      </w:pPr>
      <w:bookmarkStart w:id="90" w:name="_Toc8805"/>
      <w:r>
        <w:rPr>
          <w:rStyle w:val="27"/>
          <w:rFonts w:hint="eastAsia" w:ascii="仿宋" w:hAnsi="仿宋" w:eastAsia="仿宋"/>
          <w:b w:val="0"/>
          <w:bCs w:val="0"/>
          <w:sz w:val="28"/>
          <w:szCs w:val="28"/>
        </w:rPr>
        <w:t>毛浴镇2020年一般公共预算财政拨款基本支出决算表</w:t>
      </w:r>
      <w:bookmarkEnd w:id="90"/>
    </w:p>
    <w:p>
      <w:pPr>
        <w:numPr>
          <w:ilvl w:val="0"/>
          <w:numId w:val="4"/>
        </w:numPr>
        <w:spacing w:line="600" w:lineRule="exact"/>
        <w:ind w:left="315" w:leftChars="150"/>
        <w:outlineLvl w:val="1"/>
        <w:rPr>
          <w:rFonts w:ascii="仿宋" w:hAnsi="仿宋" w:eastAsia="仿宋"/>
          <w:color w:val="000000"/>
          <w:sz w:val="28"/>
          <w:szCs w:val="28"/>
        </w:rPr>
      </w:pPr>
      <w:bookmarkStart w:id="91" w:name="_Toc29482"/>
      <w:r>
        <w:rPr>
          <w:rStyle w:val="27"/>
          <w:rFonts w:hint="eastAsia" w:ascii="仿宋" w:hAnsi="仿宋" w:eastAsia="仿宋"/>
          <w:b w:val="0"/>
          <w:bCs w:val="0"/>
          <w:sz w:val="28"/>
          <w:szCs w:val="28"/>
        </w:rPr>
        <w:t>毛浴镇2020年一般公共预算财政拨款项目支出决算表</w:t>
      </w:r>
      <w:bookmarkEnd w:id="91"/>
    </w:p>
    <w:p>
      <w:pPr>
        <w:numPr>
          <w:ilvl w:val="0"/>
          <w:numId w:val="4"/>
        </w:numPr>
        <w:spacing w:line="600" w:lineRule="exact"/>
        <w:ind w:left="315" w:leftChars="150"/>
        <w:outlineLvl w:val="1"/>
        <w:rPr>
          <w:rFonts w:ascii="仿宋" w:hAnsi="仿宋" w:eastAsia="仿宋"/>
          <w:color w:val="000000" w:themeColor="text1"/>
          <w:sz w:val="28"/>
          <w:szCs w:val="28"/>
        </w:rPr>
      </w:pPr>
      <w:bookmarkStart w:id="92" w:name="_Toc12367"/>
      <w:r>
        <w:rPr>
          <w:rStyle w:val="27"/>
          <w:rFonts w:hint="eastAsia" w:ascii="仿宋" w:hAnsi="仿宋" w:eastAsia="仿宋"/>
          <w:b w:val="0"/>
          <w:bCs w:val="0"/>
          <w:sz w:val="28"/>
          <w:szCs w:val="28"/>
        </w:rPr>
        <w:t>毛浴镇</w:t>
      </w:r>
      <w:r>
        <w:rPr>
          <w:rFonts w:hint="eastAsia" w:ascii="仿宋" w:hAnsi="仿宋" w:eastAsia="仿宋"/>
          <w:color w:val="000000"/>
          <w:sz w:val="28"/>
          <w:szCs w:val="28"/>
        </w:rPr>
        <w:t>2020年一</w:t>
      </w:r>
      <w:r>
        <w:rPr>
          <w:rStyle w:val="27"/>
          <w:rFonts w:hint="eastAsia" w:ascii="仿宋" w:hAnsi="仿宋" w:eastAsia="仿宋"/>
          <w:b w:val="0"/>
          <w:bCs w:val="0"/>
          <w:sz w:val="28"/>
          <w:szCs w:val="28"/>
        </w:rPr>
        <w:t>般</w:t>
      </w:r>
      <w:r>
        <w:rPr>
          <w:rFonts w:hint="eastAsia" w:ascii="仿宋" w:hAnsi="仿宋" w:eastAsia="仿宋"/>
          <w:sz w:val="28"/>
          <w:szCs w:val="28"/>
        </w:rPr>
        <w:t>公共预算财政拨款“三公”经费支出决算表</w:t>
      </w:r>
      <w:bookmarkEnd w:id="92"/>
    </w:p>
    <w:p>
      <w:pPr>
        <w:numPr>
          <w:ilvl w:val="0"/>
          <w:numId w:val="4"/>
        </w:numPr>
        <w:spacing w:line="600" w:lineRule="exact"/>
        <w:ind w:left="315" w:leftChars="150"/>
        <w:outlineLvl w:val="1"/>
        <w:rPr>
          <w:rFonts w:ascii="仿宋" w:hAnsi="仿宋" w:eastAsia="仿宋"/>
          <w:color w:val="000000" w:themeColor="text1"/>
          <w:sz w:val="28"/>
          <w:szCs w:val="28"/>
        </w:rPr>
      </w:pPr>
      <w:bookmarkStart w:id="93" w:name="_Toc11636"/>
      <w:r>
        <w:rPr>
          <w:rFonts w:hint="eastAsia" w:ascii="仿宋" w:hAnsi="仿宋" w:eastAsia="仿宋"/>
          <w:sz w:val="28"/>
          <w:szCs w:val="28"/>
        </w:rPr>
        <w:t>毛浴镇</w:t>
      </w:r>
      <w:r>
        <w:rPr>
          <w:rFonts w:hint="eastAsia" w:ascii="仿宋" w:hAnsi="仿宋" w:eastAsia="仿宋"/>
          <w:color w:val="000000"/>
          <w:sz w:val="28"/>
          <w:szCs w:val="28"/>
        </w:rPr>
        <w:t>2020年政</w:t>
      </w:r>
      <w:r>
        <w:rPr>
          <w:rStyle w:val="27"/>
          <w:rFonts w:hint="eastAsia" w:ascii="仿宋" w:hAnsi="仿宋" w:eastAsia="仿宋"/>
          <w:b w:val="0"/>
          <w:bCs w:val="0"/>
          <w:sz w:val="28"/>
          <w:szCs w:val="28"/>
        </w:rPr>
        <w:t>府性基金预算财政拨款收入支出决算表</w:t>
      </w:r>
      <w:bookmarkEnd w:id="93"/>
    </w:p>
    <w:p>
      <w:pPr>
        <w:numPr>
          <w:ilvl w:val="0"/>
          <w:numId w:val="4"/>
        </w:numPr>
        <w:spacing w:line="600" w:lineRule="exact"/>
        <w:ind w:left="315" w:leftChars="150"/>
        <w:outlineLvl w:val="1"/>
        <w:rPr>
          <w:rFonts w:ascii="仿宋" w:hAnsi="仿宋" w:eastAsia="仿宋"/>
          <w:color w:val="000000" w:themeColor="text1"/>
          <w:sz w:val="28"/>
          <w:szCs w:val="28"/>
        </w:rPr>
      </w:pPr>
      <w:bookmarkStart w:id="94" w:name="_Toc3961"/>
      <w:r>
        <w:rPr>
          <w:rStyle w:val="27"/>
          <w:rFonts w:hint="eastAsia" w:ascii="仿宋" w:hAnsi="仿宋" w:eastAsia="仿宋"/>
          <w:b w:val="0"/>
          <w:bCs w:val="0"/>
          <w:sz w:val="28"/>
          <w:szCs w:val="28"/>
        </w:rPr>
        <w:t>毛浴镇2020年政府性基金预算财政拨款“三公”经费支出决算表</w:t>
      </w:r>
      <w:bookmarkEnd w:id="94"/>
    </w:p>
    <w:p>
      <w:pPr>
        <w:numPr>
          <w:ilvl w:val="0"/>
          <w:numId w:val="4"/>
        </w:numPr>
        <w:spacing w:line="600" w:lineRule="exact"/>
        <w:ind w:left="315" w:leftChars="150"/>
        <w:outlineLvl w:val="1"/>
        <w:rPr>
          <w:rStyle w:val="27"/>
          <w:rFonts w:ascii="仿宋" w:hAnsi="仿宋" w:eastAsia="仿宋"/>
          <w:b w:val="0"/>
          <w:bCs w:val="0"/>
          <w:sz w:val="28"/>
          <w:szCs w:val="28"/>
        </w:rPr>
      </w:pPr>
      <w:bookmarkStart w:id="95" w:name="_Toc14205"/>
      <w:r>
        <w:rPr>
          <w:rStyle w:val="27"/>
          <w:rFonts w:hint="eastAsia" w:ascii="仿宋" w:hAnsi="仿宋" w:eastAsia="仿宋"/>
          <w:b w:val="0"/>
          <w:bCs w:val="0"/>
          <w:sz w:val="28"/>
          <w:szCs w:val="28"/>
        </w:rPr>
        <w:t>毛浴镇2020年国有资本经营预算收入支出决算表</w:t>
      </w:r>
      <w:bookmarkEnd w:id="95"/>
    </w:p>
    <w:p>
      <w:pPr>
        <w:numPr>
          <w:ilvl w:val="0"/>
          <w:numId w:val="4"/>
        </w:numPr>
        <w:spacing w:line="600" w:lineRule="exact"/>
        <w:ind w:left="315" w:leftChars="150"/>
        <w:outlineLvl w:val="1"/>
        <w:rPr>
          <w:rStyle w:val="27"/>
          <w:rFonts w:ascii="仿宋" w:hAnsi="仿宋" w:eastAsia="仿宋"/>
          <w:b w:val="0"/>
          <w:bCs w:val="0"/>
          <w:sz w:val="28"/>
          <w:szCs w:val="28"/>
        </w:rPr>
      </w:pPr>
      <w:r>
        <w:rPr>
          <w:rStyle w:val="27"/>
          <w:rFonts w:hint="eastAsia" w:ascii="仿宋" w:hAnsi="仿宋" w:eastAsia="仿宋"/>
          <w:b w:val="0"/>
          <w:bCs w:val="0"/>
          <w:sz w:val="28"/>
          <w:szCs w:val="28"/>
        </w:rPr>
        <w:t>毛浴镇2020年国有资本经营预算支出决算表</w:t>
      </w:r>
    </w:p>
    <w:p>
      <w:pPr>
        <w:ind w:firstLine="349"/>
        <w:jc w:val="left"/>
        <w:rPr>
          <w:rStyle w:val="27"/>
          <w:rFonts w:ascii="仿宋" w:hAnsi="仿宋" w:eastAsia="仿宋"/>
          <w:b w:val="0"/>
          <w:bCs w:val="0"/>
        </w:rPr>
      </w:pPr>
    </w:p>
    <w:p>
      <w:pPr>
        <w:spacing w:line="600" w:lineRule="exact"/>
        <w:outlineLvl w:val="0"/>
        <w:rPr>
          <w:rStyle w:val="27"/>
          <w:rFonts w:ascii="仿宋" w:hAnsi="仿宋" w:eastAsia="仿宋"/>
          <w:b w:val="0"/>
          <w:bCs w:val="0"/>
        </w:rPr>
      </w:pPr>
    </w:p>
    <w:p>
      <w:pPr>
        <w:pStyle w:val="3"/>
        <w:rPr>
          <w:rFonts w:ascii="仿宋" w:hAnsi="仿宋" w:eastAsia="仿宋"/>
          <w:color w:val="000000" w:themeColor="text1"/>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25</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1B2472"/>
    <w:multiLevelType w:val="singleLevel"/>
    <w:tmpl w:val="881B2472"/>
    <w:lvl w:ilvl="0" w:tentative="0">
      <w:start w:val="3"/>
      <w:numFmt w:val="chineseCounting"/>
      <w:suff w:val="space"/>
      <w:lvlText w:val="第%1部分"/>
      <w:lvlJc w:val="left"/>
      <w:rPr>
        <w:rFonts w:hint="eastAsia"/>
      </w:rPr>
    </w:lvl>
  </w:abstractNum>
  <w:abstractNum w:abstractNumId="1">
    <w:nsid w:val="9B6E551E"/>
    <w:multiLevelType w:val="singleLevel"/>
    <w:tmpl w:val="9B6E551E"/>
    <w:lvl w:ilvl="0" w:tentative="0">
      <w:start w:val="1"/>
      <w:numFmt w:val="decimal"/>
      <w:suff w:val="nothing"/>
      <w:lvlText w:val="%1、"/>
      <w:lvlJc w:val="left"/>
    </w:lvl>
  </w:abstractNum>
  <w:abstractNum w:abstractNumId="2">
    <w:nsid w:val="9B91910F"/>
    <w:multiLevelType w:val="singleLevel"/>
    <w:tmpl w:val="9B91910F"/>
    <w:lvl w:ilvl="0" w:tentative="0">
      <w:start w:val="1"/>
      <w:numFmt w:val="chineseCounting"/>
      <w:suff w:val="nothing"/>
      <w:lvlText w:val="%1、"/>
      <w:lvlJc w:val="left"/>
      <w:rPr>
        <w:rFonts w:hint="eastAsia"/>
      </w:rPr>
    </w:lvl>
  </w:abstractNum>
  <w:abstractNum w:abstractNumId="3">
    <w:nsid w:val="7366B449"/>
    <w:multiLevelType w:val="singleLevel"/>
    <w:tmpl w:val="7366B449"/>
    <w:lvl w:ilvl="0"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UyYTBhZThmOTU4YTliMjhiZDc4ZDk4MjhmMTAzNjkifQ=="/>
  </w:docVars>
  <w:rsids>
    <w:rsidRoot w:val="00550DD9"/>
    <w:rsid w:val="00546BE0"/>
    <w:rsid w:val="00550DD9"/>
    <w:rsid w:val="005A35B3"/>
    <w:rsid w:val="00646069"/>
    <w:rsid w:val="00DD1A0D"/>
    <w:rsid w:val="00F802C0"/>
    <w:rsid w:val="00FE4682"/>
    <w:rsid w:val="07115172"/>
    <w:rsid w:val="177E0A04"/>
    <w:rsid w:val="1AC9733D"/>
    <w:rsid w:val="23D2259E"/>
    <w:rsid w:val="26D91476"/>
    <w:rsid w:val="2A5341FD"/>
    <w:rsid w:val="2BA50709"/>
    <w:rsid w:val="30945304"/>
    <w:rsid w:val="346758BF"/>
    <w:rsid w:val="380D4C82"/>
    <w:rsid w:val="3B905C15"/>
    <w:rsid w:val="3BB46AE3"/>
    <w:rsid w:val="3C8A1CD8"/>
    <w:rsid w:val="3E3723AC"/>
    <w:rsid w:val="3EFA49B4"/>
    <w:rsid w:val="40EF1920"/>
    <w:rsid w:val="41DD4A1B"/>
    <w:rsid w:val="43435A3E"/>
    <w:rsid w:val="43CD3F37"/>
    <w:rsid w:val="444B3965"/>
    <w:rsid w:val="48F55D74"/>
    <w:rsid w:val="4AC912E9"/>
    <w:rsid w:val="4E38650E"/>
    <w:rsid w:val="4F574446"/>
    <w:rsid w:val="4FBF1A7B"/>
    <w:rsid w:val="50E31113"/>
    <w:rsid w:val="561A2902"/>
    <w:rsid w:val="595105DA"/>
    <w:rsid w:val="5B980241"/>
    <w:rsid w:val="5CF47A53"/>
    <w:rsid w:val="5D9A5D4D"/>
    <w:rsid w:val="602E55AC"/>
    <w:rsid w:val="60F6704A"/>
    <w:rsid w:val="672954AE"/>
    <w:rsid w:val="6A5073EB"/>
    <w:rsid w:val="6ADB3FD9"/>
    <w:rsid w:val="75EA1A4A"/>
    <w:rsid w:val="781A452E"/>
    <w:rsid w:val="791805A0"/>
    <w:rsid w:val="7C0858DB"/>
    <w:rsid w:val="7C6C3A35"/>
    <w:rsid w:val="7FDB16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semiHidden/>
    <w:unhideWhenUsed/>
    <w:qFormat/>
    <w:uiPriority w:val="99"/>
    <w:rPr>
      <w:sz w:val="18"/>
      <w:szCs w:val="18"/>
    </w:rPr>
  </w:style>
  <w:style w:type="paragraph" w:styleId="8">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pPr>
      <w:spacing w:beforeAutospacing="1" w:afterAutospacing="1"/>
      <w:jc w:val="left"/>
    </w:pPr>
    <w:rPr>
      <w:kern w:val="0"/>
      <w:sz w:val="24"/>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2"/>
    <w:qFormat/>
    <w:uiPriority w:val="9"/>
    <w:rPr>
      <w:rFonts w:ascii="Times New Roman" w:hAnsi="Times New Roman"/>
      <w:b/>
      <w:bCs/>
      <w:kern w:val="44"/>
      <w:sz w:val="44"/>
      <w:szCs w:val="44"/>
    </w:rPr>
  </w:style>
  <w:style w:type="character" w:customStyle="1" w:styleId="27">
    <w:name w:val="标题 2 Char"/>
    <w:basedOn w:val="15"/>
    <w:link w:val="3"/>
    <w:qFormat/>
    <w:uiPriority w:val="9"/>
    <w:rPr>
      <w:rFonts w:asciiTheme="majorHAnsi" w:hAnsiTheme="majorHAnsi" w:eastAsiaTheme="majorEastAsia" w:cstheme="majorBidi"/>
      <w:b/>
      <w:bCs/>
      <w:kern w:val="2"/>
      <w:sz w:val="32"/>
      <w:szCs w:val="32"/>
    </w:rPr>
  </w:style>
  <w:style w:type="paragraph" w:customStyle="1" w:styleId="2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5"/>
    <w:semiHidden/>
    <w:qFormat/>
    <w:uiPriority w:val="99"/>
    <w:rPr>
      <w:rFonts w:ascii="Times New Roman" w:hAnsi="Times New Roman"/>
      <w:kern w:val="2"/>
      <w:sz w:val="18"/>
      <w:szCs w:val="18"/>
    </w:rPr>
  </w:style>
  <w:style w:type="character" w:customStyle="1" w:styleId="30">
    <w:name w:val="标题 3 Char"/>
    <w:basedOn w:val="15"/>
    <w:link w:val="4"/>
    <w:qFormat/>
    <w:uiPriority w:val="9"/>
    <w:rPr>
      <w:rFonts w:ascii="Times New Roman" w:hAnsi="Times New Roman"/>
      <w:b/>
      <w:bCs/>
      <w:kern w:val="2"/>
      <w:sz w:val="32"/>
      <w:szCs w:val="32"/>
    </w:rPr>
  </w:style>
  <w:style w:type="character" w:customStyle="1" w:styleId="31">
    <w:name w:val="font01"/>
    <w:basedOn w:val="15"/>
    <w:qFormat/>
    <w:uiPriority w:val="0"/>
    <w:rPr>
      <w:rFonts w:hint="eastAsia" w:ascii="宋体" w:hAnsi="宋体" w:eastAsia="宋体" w:cs="宋体"/>
      <w:b/>
      <w:color w:val="000000"/>
      <w:sz w:val="32"/>
      <w:szCs w:val="32"/>
      <w:u w:val="none"/>
    </w:rPr>
  </w:style>
  <w:style w:type="character" w:customStyle="1" w:styleId="32">
    <w:name w:val="font21"/>
    <w:basedOn w:val="15"/>
    <w:qFormat/>
    <w:uiPriority w:val="0"/>
    <w:rPr>
      <w:rFonts w:hint="eastAsia" w:ascii="宋体" w:hAnsi="宋体" w:eastAsia="宋体" w:cs="宋体"/>
      <w:color w:val="000000"/>
      <w:sz w:val="32"/>
      <w:szCs w:val="32"/>
      <w:u w:val="none"/>
    </w:rPr>
  </w:style>
  <w:style w:type="character" w:customStyle="1" w:styleId="33">
    <w:name w:val="font61"/>
    <w:basedOn w:val="15"/>
    <w:qFormat/>
    <w:uiPriority w:val="0"/>
    <w:rPr>
      <w:rFonts w:hint="eastAsia" w:ascii="宋体" w:hAnsi="宋体" w:eastAsia="宋体" w:cs="宋体"/>
      <w:color w:val="000000"/>
      <w:sz w:val="22"/>
      <w:szCs w:val="22"/>
      <w:u w:val="none"/>
    </w:rPr>
  </w:style>
  <w:style w:type="character" w:customStyle="1" w:styleId="34">
    <w:name w:val="font11"/>
    <w:basedOn w:val="15"/>
    <w:qFormat/>
    <w:uiPriority w:val="0"/>
    <w:rPr>
      <w:rFonts w:hint="eastAsia" w:ascii="宋体" w:hAnsi="宋体" w:eastAsia="宋体" w:cs="宋体"/>
      <w:color w:val="000000"/>
      <w:sz w:val="20"/>
      <w:szCs w:val="20"/>
      <w:u w:val="none"/>
    </w:rPr>
  </w:style>
  <w:style w:type="character" w:customStyle="1" w:styleId="35">
    <w:name w:val="font101"/>
    <w:basedOn w:val="15"/>
    <w:qFormat/>
    <w:uiPriority w:val="0"/>
    <w:rPr>
      <w:rFonts w:hint="eastAsia" w:ascii="宋体" w:hAnsi="宋体" w:eastAsia="宋体" w:cs="宋体"/>
      <w:color w:val="000000"/>
      <w:sz w:val="18"/>
      <w:szCs w:val="18"/>
      <w:u w:val="none"/>
    </w:rPr>
  </w:style>
  <w:style w:type="character" w:customStyle="1" w:styleId="36">
    <w:name w:val="font51"/>
    <w:basedOn w:val="15"/>
    <w:qFormat/>
    <w:uiPriority w:val="0"/>
    <w:rPr>
      <w:rFonts w:hint="eastAsia" w:ascii="宋体" w:hAnsi="宋体" w:eastAsia="宋体" w:cs="宋体"/>
      <w:color w:val="000000"/>
      <w:sz w:val="12"/>
      <w:szCs w:val="12"/>
      <w:u w:val="none"/>
    </w:rPr>
  </w:style>
  <w:style w:type="character" w:customStyle="1" w:styleId="37">
    <w:name w:val="font91"/>
    <w:basedOn w:val="15"/>
    <w:qFormat/>
    <w:uiPriority w:val="0"/>
    <w:rPr>
      <w:rFonts w:hint="eastAsia" w:ascii="宋体" w:hAnsi="宋体" w:eastAsia="宋体" w:cs="宋体"/>
      <w:color w:val="000000"/>
      <w:sz w:val="32"/>
      <w:szCs w:val="32"/>
      <w:u w:val="none"/>
    </w:rPr>
  </w:style>
  <w:style w:type="character" w:customStyle="1" w:styleId="38">
    <w:name w:val="font71"/>
    <w:basedOn w:val="15"/>
    <w:qFormat/>
    <w:uiPriority w:val="0"/>
    <w:rPr>
      <w:rFonts w:hint="eastAsia" w:ascii="宋体" w:hAnsi="宋体" w:eastAsia="宋体" w:cs="宋体"/>
      <w:color w:val="000000"/>
      <w:sz w:val="20"/>
      <w:szCs w:val="20"/>
      <w:u w:val="none"/>
    </w:rPr>
  </w:style>
  <w:style w:type="character" w:customStyle="1" w:styleId="39">
    <w:name w:val="font31"/>
    <w:basedOn w:val="15"/>
    <w:qFormat/>
    <w:uiPriority w:val="0"/>
    <w:rPr>
      <w:rFonts w:hint="eastAsia" w:ascii="宋体" w:hAnsi="宋体" w:eastAsia="宋体" w:cs="宋体"/>
      <w:color w:val="000000"/>
      <w:sz w:val="20"/>
      <w:szCs w:val="20"/>
      <w:u w:val="none"/>
    </w:rPr>
  </w:style>
  <w:style w:type="character" w:customStyle="1" w:styleId="40">
    <w:name w:val="font81"/>
    <w:basedOn w:val="15"/>
    <w:qFormat/>
    <w:uiPriority w:val="0"/>
    <w:rPr>
      <w:rFonts w:hint="eastAsia" w:ascii="宋体" w:hAnsi="宋体" w:eastAsia="宋体" w:cs="宋体"/>
      <w:color w:val="000000"/>
      <w:sz w:val="18"/>
      <w:szCs w:val="18"/>
      <w:u w:val="none"/>
    </w:rPr>
  </w:style>
  <w:style w:type="character" w:customStyle="1" w:styleId="41">
    <w:name w:val="font41"/>
    <w:basedOn w:val="1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7.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1.png"/><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dministrator\Desktop\&#20915;&#31639;&#20844;&#24320;&#38468;&#22270;.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Desktop\&#20915;&#31639;&#20844;&#24320;&#38468;&#22270;.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915;&#31639;&#20844;&#24320;&#38468;&#22270;.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6222664015905"/>
          <c:y val="0.143246187363834"/>
          <c:w val="0.894433399602386"/>
          <c:h val="0.773311546840958"/>
        </c:manualLayout>
      </c:layout>
      <c:barChart>
        <c:barDir val="col"/>
        <c:grouping val="stacked"/>
        <c:varyColors val="0"/>
        <c:ser>
          <c:idx val="0"/>
          <c:order val="0"/>
          <c:tx>
            <c:strRef>
              <c:f>Sheet1!$B$1</c:f>
              <c:strCache>
                <c:ptCount val="1"/>
                <c:pt idx="0">
                  <c:v>系列 1</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0.00186381709741551"/>
                  <c:y val="0"/>
                </c:manualLayout>
              </c:layout>
              <c:tx>
                <c:rich>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rPr lang="en-US" altLang="zh-CN"/>
                      <a:t>2623.99</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rPr lang="en-US" altLang="zh-CN"/>
                      <a:t>1452.08</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Sheet1!$A$2:$A$3</c:f>
              <c:strCache>
                <c:ptCount val="2"/>
                <c:pt idx="0">
                  <c:v>2019年度收支合计</c:v>
                </c:pt>
                <c:pt idx="1">
                  <c:v>2020年度收支合计</c:v>
                </c:pt>
              </c:strCache>
            </c:strRef>
          </c:cat>
          <c:val>
            <c:numRef>
              <c:f>Sheet1!$B$2:$B$3</c:f>
              <c:numCache>
                <c:formatCode>General</c:formatCode>
                <c:ptCount val="2"/>
                <c:pt idx="0">
                  <c:v>4025.45</c:v>
                </c:pt>
                <c:pt idx="1">
                  <c:v>2815.46</c:v>
                </c:pt>
              </c:numCache>
            </c:numRef>
          </c:val>
        </c:ser>
        <c:dLbls>
          <c:showLegendKey val="0"/>
          <c:showVal val="1"/>
          <c:showCatName val="0"/>
          <c:showSerName val="0"/>
          <c:showPercent val="0"/>
          <c:showBubbleSize val="0"/>
        </c:dLbls>
        <c:gapWidth val="150"/>
        <c:overlap val="100"/>
        <c:axId val="104310272"/>
        <c:axId val="104652800"/>
      </c:barChart>
      <c:catAx>
        <c:axId val="104310272"/>
        <c:scaling>
          <c:orientation val="minMax"/>
        </c:scaling>
        <c:delete val="0"/>
        <c:axPos val="b"/>
        <c:majorTickMark val="none"/>
        <c:minorTickMark val="none"/>
        <c:tickLblPos val="nextTo"/>
        <c:spPr>
          <a:noFill/>
          <a:ln w="19050" cap="flat" cmpd="sng" algn="ctr">
            <a:solidFill>
              <a:schemeClr val="dk1">
                <a:lumMod val="75000"/>
                <a:lumOff val="25000"/>
              </a:schemeClr>
            </a:solidFill>
            <a:prstDash val="solid"/>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104652800"/>
        <c:crosses val="autoZero"/>
        <c:auto val="1"/>
        <c:lblAlgn val="ctr"/>
        <c:lblOffset val="100"/>
        <c:noMultiLvlLbl val="0"/>
      </c:catAx>
      <c:valAx>
        <c:axId val="1046528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olid"/>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43102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871391076116"/>
          <c:y val="0.332652291012644"/>
          <c:w val="0.357812773403325"/>
          <c:h val="0.561274938671882"/>
        </c:manualLayout>
      </c:layout>
      <c:pieChart>
        <c:varyColors val="1"/>
        <c:ser>
          <c:idx val="0"/>
          <c:order val="0"/>
          <c:explosion val="0"/>
          <c:dPt>
            <c:idx val="0"/>
            <c:bubble3D val="0"/>
          </c:dPt>
          <c:dPt>
            <c:idx val="1"/>
            <c:bubble3D val="0"/>
          </c:dPt>
          <c:dPt>
            <c:idx val="2"/>
            <c:bubble3D val="0"/>
          </c:dPt>
          <c:dPt>
            <c:idx val="3"/>
            <c:bubble3D val="0"/>
          </c:dPt>
          <c:dLbls>
            <c:dLbl>
              <c:idx val="1"/>
              <c:layout>
                <c:manualLayout>
                  <c:x val="0.324475940507437"/>
                  <c:y val="0.10130718954248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54336614173228"/>
                  <c:y val="0.055351414406532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192353018372703"/>
                  <c:y val="-0.073314463143087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[决算公开附图.xlsx]Sheet1!$B$2:$B$9</c:f>
              <c:strCache>
                <c:ptCount val="4"/>
                <c:pt idx="0">
                  <c:v>一般公共预算财政拨款收入</c:v>
                </c:pt>
                <c:pt idx="1">
                  <c:v>政府性基金预算财政拨款收入</c:v>
                </c:pt>
                <c:pt idx="2">
                  <c:v>事业收入</c:v>
                </c:pt>
              </c:strCache>
            </c:strRef>
          </c:cat>
          <c:val>
            <c:numRef>
              <c:f>[决算公开附图.xlsx]Sheet1!$C$2:$C$9</c:f>
              <c:numCache>
                <c:formatCode>General</c:formatCode>
                <c:ptCount val="4"/>
                <c:pt idx="0">
                  <c:v>1452.08</c:v>
                </c:pt>
              </c:numCache>
            </c:numRef>
          </c:val>
        </c:ser>
        <c:ser>
          <c:idx val="1"/>
          <c:order val="1"/>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[决算公开附图.xlsx]Sheet1!$B$2:$B$9</c:f>
              <c:strCache>
                <c:ptCount val="4"/>
                <c:pt idx="0">
                  <c:v>一般公共预算财政拨款收入</c:v>
                </c:pt>
                <c:pt idx="1">
                  <c:v>政府性基金预算财政拨款收入</c:v>
                </c:pt>
                <c:pt idx="2">
                  <c:v>事业收入</c:v>
                </c:pt>
              </c:strCache>
            </c:strRef>
          </c:cat>
          <c:val>
            <c:numRef>
              <c:f>[决算公开附图.xlsx]Sheet1!$D$2:$D$9</c:f>
              <c:numCache>
                <c:formatCode>0.00%</c:formatCode>
                <c:ptCount val="4"/>
                <c:pt idx="0">
                  <c:v>1</c:v>
                </c:pt>
                <c:pt idx="1">
                  <c:v>0</c:v>
                </c:pt>
                <c:pt idx="2">
                  <c:v>0</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txPr>
    <a:bodyPr/>
    <a:lstStyle/>
    <a:p>
      <a:pPr>
        <a:defRPr lang="zh-CN"/>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871391076116"/>
          <c:y val="0.332652291012644"/>
          <c:w val="0.357812773403325"/>
          <c:h val="0.561274938671882"/>
        </c:manualLayout>
      </c:layout>
      <c:pieChart>
        <c:varyColors val="1"/>
        <c:ser>
          <c:idx val="0"/>
          <c:order val="0"/>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0"/>
              <c:showVal val="1"/>
              <c:showCatName val="1"/>
              <c:showSerName val="1"/>
              <c:showPercent val="1"/>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bestFit"/>
              <c:showLegendKey val="0"/>
              <c:showVal val="1"/>
              <c:showCatName val="1"/>
              <c:showSerName val="1"/>
              <c:showPercent val="1"/>
              <c:showBubbleSize val="0"/>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bestFit"/>
              <c:showLegendKey val="0"/>
              <c:showVal val="1"/>
              <c:showCatName val="1"/>
              <c:showSerName val="1"/>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[决算公开附图.xlsx]Sheet1!$B$2:$B$9</c:f>
              <c:strCache>
                <c:ptCount val="4"/>
                <c:pt idx="0">
                  <c:v>基本支出</c:v>
                </c:pt>
                <c:pt idx="1">
                  <c:v>项目支出</c:v>
                </c:pt>
              </c:strCache>
            </c:strRef>
          </c:cat>
          <c:val>
            <c:numRef>
              <c:f>[决算公开附图.xlsx]Sheet1!$C$2:$C$9</c:f>
              <c:numCache>
                <c:formatCode>General</c:formatCode>
                <c:ptCount val="4"/>
                <c:pt idx="0">
                  <c:v>919.29</c:v>
                </c:pt>
                <c:pt idx="1">
                  <c:v>532.79</c:v>
                </c:pt>
              </c:numCache>
            </c:numRef>
          </c:val>
        </c:ser>
        <c:ser>
          <c:idx val="1"/>
          <c:order val="1"/>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bestFit"/>
              <c:showLegendKey val="0"/>
              <c:showVal val="1"/>
              <c:showCatName val="1"/>
              <c:showSerName val="1"/>
              <c:showPercent val="1"/>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bestFit"/>
              <c:showLegendKey val="0"/>
              <c:showVal val="1"/>
              <c:showCatName val="1"/>
              <c:showSerName val="1"/>
              <c:showPercent val="1"/>
              <c:showBubbleSize val="0"/>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bestFit"/>
              <c:showLegendKey val="0"/>
              <c:showVal val="1"/>
              <c:showCatName val="1"/>
              <c:showSerName val="1"/>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[决算公开附图.xlsx]Sheet1!$B$2:$B$9</c:f>
              <c:strCache>
                <c:ptCount val="4"/>
                <c:pt idx="0">
                  <c:v>基本支出</c:v>
                </c:pt>
                <c:pt idx="1">
                  <c:v>项目支出</c:v>
                </c:pt>
              </c:strCache>
            </c:strRef>
          </c:cat>
          <c:val>
            <c:numRef>
              <c:f>[决算公开附图.xlsx]Sheet1!$D$2:$D$9</c:f>
              <c:numCache>
                <c:formatCode>0.00%</c:formatCode>
                <c:ptCount val="4"/>
                <c:pt idx="0">
                  <c:v>0.633084953997025</c:v>
                </c:pt>
                <c:pt idx="1">
                  <c:v>0.366915046002975</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6222664015905"/>
          <c:y val="0.143246187363834"/>
          <c:w val="0.894433399602386"/>
          <c:h val="0.773311546840958"/>
        </c:manualLayout>
      </c:layout>
      <c:barChart>
        <c:barDir val="col"/>
        <c:grouping val="stacked"/>
        <c:varyColors val="0"/>
        <c:ser>
          <c:idx val="0"/>
          <c:order val="0"/>
          <c:tx>
            <c:strRef>
              <c:f>Sheet1!$B$1</c:f>
              <c:strCache>
                <c:ptCount val="1"/>
                <c:pt idx="0">
                  <c:v>系列 1</c:v>
                </c:pt>
              </c:strCache>
            </c:strRef>
          </c:tx>
          <c:spPr>
            <a:solidFill>
              <a:schemeClr val="accent1"/>
            </a:solidFill>
            <a:ln>
              <a:noFill/>
            </a:ln>
            <a:effectLst/>
          </c:spPr>
          <c:invertIfNegative val="0"/>
          <c:dLbls>
            <c:dLbl>
              <c:idx val="0"/>
              <c:layout>
                <c:manualLayout>
                  <c:x val="0.0127660103857876"/>
                  <c:y val="-0.28796713323122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1452.08</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2589325967741"/>
                  <c:y val="-0.43598132730792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2623.99</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2020年财政拨款收支合计</c:v>
                </c:pt>
                <c:pt idx="1">
                  <c:v>2019年财政拨款收支合计</c:v>
                </c:pt>
              </c:strCache>
            </c:strRef>
          </c:cat>
          <c:val>
            <c:numRef>
              <c:f>Sheet1!$B$2:$B$3</c:f>
              <c:numCache>
                <c:formatCode>General</c:formatCode>
                <c:ptCount val="2"/>
                <c:pt idx="0">
                  <c:v>2710.36</c:v>
                </c:pt>
                <c:pt idx="1">
                  <c:v>3920.75</c:v>
                </c:pt>
              </c:numCache>
            </c:numRef>
          </c:val>
        </c:ser>
        <c:dLbls>
          <c:showLegendKey val="0"/>
          <c:showVal val="1"/>
          <c:showCatName val="0"/>
          <c:showSerName val="0"/>
          <c:showPercent val="0"/>
          <c:showBubbleSize val="0"/>
        </c:dLbls>
        <c:gapWidth val="150"/>
        <c:overlap val="100"/>
        <c:axId val="160556544"/>
        <c:axId val="160585216"/>
      </c:barChart>
      <c:catAx>
        <c:axId val="16055654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0585216"/>
        <c:crosses val="autoZero"/>
        <c:auto val="1"/>
        <c:lblAlgn val="ctr"/>
        <c:lblOffset val="100"/>
        <c:noMultiLvlLbl val="0"/>
      </c:catAx>
      <c:valAx>
        <c:axId val="1605852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0556544"/>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83689293973609"/>
          <c:y val="0.120044331215342"/>
          <c:w val="0.894433399602386"/>
          <c:h val="0.773311546840958"/>
        </c:manualLayout>
      </c:layout>
      <c:barChart>
        <c:barDir val="col"/>
        <c:grouping val="stacked"/>
        <c:varyColors val="0"/>
        <c:ser>
          <c:idx val="0"/>
          <c:order val="0"/>
          <c:tx>
            <c:strRef>
              <c:f>Sheet1!$B$1</c:f>
              <c:strCache>
                <c:ptCount val="1"/>
                <c:pt idx="0">
                  <c:v>系列 1</c:v>
                </c:pt>
              </c:strCache>
            </c:strRef>
          </c:tx>
          <c:spPr>
            <a:solidFill>
              <a:schemeClr val="accent1"/>
            </a:solidFill>
            <a:ln>
              <a:noFill/>
            </a:ln>
            <a:effectLst/>
          </c:spPr>
          <c:invertIfNegative val="0"/>
          <c:dLbls>
            <c:dLbl>
              <c:idx val="0"/>
              <c:layout>
                <c:manualLayout>
                  <c:x val="-0.000837580962328326"/>
                  <c:y val="-0.28816048203246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1452.08</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94632206759442"/>
                  <c:y val="-0.43269439768689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2623.99</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2020年财政拨款收支合计</c:v>
                </c:pt>
                <c:pt idx="1">
                  <c:v>2019年财政拨款收支合计</c:v>
                </c:pt>
              </c:strCache>
            </c:strRef>
          </c:cat>
          <c:val>
            <c:numRef>
              <c:f>Sheet1!$B$2:$B$3</c:f>
              <c:numCache>
                <c:formatCode>General</c:formatCode>
                <c:ptCount val="2"/>
                <c:pt idx="0">
                  <c:v>2710.36</c:v>
                </c:pt>
                <c:pt idx="1">
                  <c:v>3920.75</c:v>
                </c:pt>
              </c:numCache>
            </c:numRef>
          </c:val>
        </c:ser>
        <c:dLbls>
          <c:showLegendKey val="0"/>
          <c:showVal val="1"/>
          <c:showCatName val="0"/>
          <c:showSerName val="0"/>
          <c:showPercent val="0"/>
          <c:showBubbleSize val="0"/>
        </c:dLbls>
        <c:gapWidth val="150"/>
        <c:overlap val="100"/>
        <c:axId val="160651520"/>
        <c:axId val="160800768"/>
      </c:barChart>
      <c:catAx>
        <c:axId val="16065152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0800768"/>
        <c:crosses val="autoZero"/>
        <c:auto val="1"/>
        <c:lblAlgn val="ctr"/>
        <c:lblOffset val="100"/>
        <c:noMultiLvlLbl val="0"/>
      </c:catAx>
      <c:valAx>
        <c:axId val="1608007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0651520"/>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1" i="0" u="none" strike="noStrike" kern="1200" spc="0" normalizeH="0" baseline="0">
                <a:solidFill>
                  <a:schemeClr val="dk1">
                    <a:lumMod val="50000"/>
                    <a:lumOff val="50000"/>
                  </a:schemeClr>
                </a:solidFill>
                <a:latin typeface="+mj-lt"/>
                <a:ea typeface="+mj-ea"/>
                <a:cs typeface="+mj-cs"/>
              </a:defRPr>
            </a:pPr>
            <a:r>
              <a:t>图</a:t>
            </a:r>
            <a:r>
              <a:rPr lang="en-US" altLang="zh-CN"/>
              <a:t>6</a:t>
            </a:r>
            <a:r>
              <a:t>：各项收支占比图</a:t>
            </a:r>
          </a:p>
        </c:rich>
      </c:tx>
      <c:layout/>
      <c:overlay val="0"/>
      <c:spPr>
        <a:noFill/>
        <a:ln>
          <a:noFill/>
        </a:ln>
        <a:effectLst/>
      </c:spPr>
    </c:title>
    <c:autoTitleDeleted val="0"/>
    <c:plotArea>
      <c:layout/>
      <c:pieChart>
        <c:varyColors val="1"/>
        <c:ser>
          <c:idx val="0"/>
          <c:order val="0"/>
          <c:explosion val="0"/>
          <c:dPt>
            <c:idx val="0"/>
            <c:bubble3D val="0"/>
            <c:spPr>
              <a:gradFill>
                <a:gsLst>
                  <a:gs pos="100000">
                    <a:schemeClr val="accent1">
                      <a:shade val="76667"/>
                      <a:lumMod val="60000"/>
                      <a:lumOff val="40000"/>
                    </a:schemeClr>
                  </a:gs>
                  <a:gs pos="0">
                    <a:schemeClr val="accent1">
                      <a:shade val="76667"/>
                    </a:schemeClr>
                  </a:gs>
                </a:gsLst>
                <a:lin ang="5400000" scaled="0"/>
              </a:gradFill>
              <a:ln w="19050">
                <a:solidFill>
                  <a:schemeClr val="lt1"/>
                </a:solidFill>
              </a:ln>
              <a:effectLst/>
            </c:spPr>
          </c:dPt>
          <c:dPt>
            <c:idx val="1"/>
            <c:bubble3D val="0"/>
            <c:spPr>
              <a:gradFill>
                <a:gsLst>
                  <a:gs pos="100000">
                    <a:schemeClr val="accent2">
                      <a:shade val="76667"/>
                      <a:lumMod val="60000"/>
                      <a:lumOff val="40000"/>
                    </a:schemeClr>
                  </a:gs>
                  <a:gs pos="0">
                    <a:schemeClr val="accent2">
                      <a:shade val="76667"/>
                    </a:schemeClr>
                  </a:gs>
                </a:gsLst>
                <a:lin ang="5400000" scaled="0"/>
              </a:gradFill>
              <a:ln w="19050">
                <a:solidFill>
                  <a:schemeClr val="lt1"/>
                </a:solidFill>
              </a:ln>
              <a:effectLst/>
            </c:spPr>
          </c:dPt>
          <c:dPt>
            <c:idx val="2"/>
            <c:bubble3D val="0"/>
            <c:spPr>
              <a:gradFill>
                <a:gsLst>
                  <a:gs pos="100000">
                    <a:schemeClr val="accent3">
                      <a:shade val="76667"/>
                      <a:lumMod val="60000"/>
                      <a:lumOff val="40000"/>
                    </a:schemeClr>
                  </a:gs>
                  <a:gs pos="0">
                    <a:schemeClr val="accent3">
                      <a:shade val="76667"/>
                    </a:schemeClr>
                  </a:gs>
                </a:gsLst>
                <a:lin ang="5400000" scaled="0"/>
              </a:gradFill>
              <a:ln w="19050">
                <a:solidFill>
                  <a:schemeClr val="lt1"/>
                </a:solidFill>
              </a:ln>
              <a:effectLst/>
            </c:spPr>
          </c:dPt>
          <c:dPt>
            <c:idx val="3"/>
            <c:bubble3D val="0"/>
            <c:spPr>
              <a:gradFill>
                <a:gsLst>
                  <a:gs pos="100000">
                    <a:schemeClr val="accent4">
                      <a:shade val="76667"/>
                      <a:lumMod val="60000"/>
                      <a:lumOff val="40000"/>
                    </a:schemeClr>
                  </a:gs>
                  <a:gs pos="0">
                    <a:schemeClr val="accent4">
                      <a:shade val="76667"/>
                    </a:schemeClr>
                  </a:gs>
                </a:gsLst>
                <a:lin ang="5400000" scaled="0"/>
              </a:gradFill>
              <a:ln w="19050">
                <a:solidFill>
                  <a:schemeClr val="lt1"/>
                </a:solidFill>
              </a:ln>
              <a:effectLst/>
            </c:spPr>
          </c:dPt>
          <c:dPt>
            <c:idx val="4"/>
            <c:bubble3D val="0"/>
            <c:spPr>
              <a:gradFill>
                <a:gsLst>
                  <a:gs pos="100000">
                    <a:schemeClr val="accent5">
                      <a:shade val="76667"/>
                      <a:lumMod val="60000"/>
                      <a:lumOff val="40000"/>
                    </a:schemeClr>
                  </a:gs>
                  <a:gs pos="0">
                    <a:schemeClr val="accent5">
                      <a:shade val="76667"/>
                    </a:schemeClr>
                  </a:gs>
                </a:gsLst>
                <a:lin ang="5400000" scaled="0"/>
              </a:gradFill>
              <a:ln w="19050">
                <a:solidFill>
                  <a:schemeClr val="lt1"/>
                </a:solidFill>
              </a:ln>
              <a:effectLst/>
            </c:spPr>
          </c:dPt>
          <c:dPt>
            <c:idx val="5"/>
            <c:bubble3D val="0"/>
            <c:spPr>
              <a:gradFill>
                <a:gsLst>
                  <a:gs pos="100000">
                    <a:schemeClr val="accent6">
                      <a:shade val="76667"/>
                      <a:lumMod val="60000"/>
                      <a:lumOff val="40000"/>
                    </a:schemeClr>
                  </a:gs>
                  <a:gs pos="0">
                    <a:schemeClr val="accent6">
                      <a:shade val="76667"/>
                    </a:schemeClr>
                  </a:gs>
                </a:gsLst>
                <a:lin ang="5400000" scaled="0"/>
              </a:gradFill>
              <a:ln w="19050">
                <a:solidFill>
                  <a:schemeClr val="lt1"/>
                </a:solidFill>
              </a:ln>
              <a:effectLst/>
            </c:spPr>
          </c:dPt>
          <c:dPt>
            <c:idx val="6"/>
            <c:bubble3D val="0"/>
            <c:spPr>
              <a:gradFill>
                <a:gsLst>
                  <a:gs pos="100000">
                    <a:schemeClr val="accent1">
                      <a:tint val="76667"/>
                      <a:lumMod val="60000"/>
                      <a:lumOff val="40000"/>
                    </a:schemeClr>
                  </a:gs>
                  <a:gs pos="0">
                    <a:schemeClr val="accent1">
                      <a:tint val="76667"/>
                    </a:schemeClr>
                  </a:gs>
                </a:gsLst>
                <a:lin ang="5400000" scaled="0"/>
              </a:gradFill>
              <a:ln w="19050">
                <a:solidFill>
                  <a:schemeClr val="lt1"/>
                </a:solidFill>
              </a:ln>
              <a:effectLst/>
            </c:spPr>
          </c:dPt>
          <c:dPt>
            <c:idx val="7"/>
            <c:bubble3D val="0"/>
            <c:spPr>
              <a:gradFill>
                <a:gsLst>
                  <a:gs pos="100000">
                    <a:schemeClr val="accent2">
                      <a:tint val="76667"/>
                      <a:lumMod val="60000"/>
                      <a:lumOff val="40000"/>
                    </a:schemeClr>
                  </a:gs>
                  <a:gs pos="0">
                    <a:schemeClr val="accent2">
                      <a:tint val="76667"/>
                    </a:schemeClr>
                  </a:gs>
                </a:gsLst>
                <a:lin ang="5400000" scaled="0"/>
              </a:gradFill>
              <a:ln w="19050">
                <a:solidFill>
                  <a:schemeClr val="lt1"/>
                </a:solidFill>
              </a:ln>
              <a:effectLst/>
            </c:spPr>
          </c:dPt>
          <c:dPt>
            <c:idx val="8"/>
            <c:bubble3D val="0"/>
            <c:spPr>
              <a:gradFill>
                <a:gsLst>
                  <a:gs pos="100000">
                    <a:schemeClr val="accent3">
                      <a:tint val="76667"/>
                      <a:lumMod val="60000"/>
                      <a:lumOff val="40000"/>
                    </a:schemeClr>
                  </a:gs>
                  <a:gs pos="0">
                    <a:schemeClr val="accent3">
                      <a:tint val="76667"/>
                    </a:schemeClr>
                  </a:gs>
                </a:gsLst>
                <a:lin ang="5400000" scaled="0"/>
              </a:gradFill>
              <a:ln w="19050">
                <a:solidFill>
                  <a:schemeClr val="lt1"/>
                </a:solidFill>
              </a:ln>
              <a:effectLst/>
            </c:spPr>
          </c:dPt>
          <c:dPt>
            <c:idx val="9"/>
            <c:bubble3D val="0"/>
            <c:spPr>
              <a:gradFill>
                <a:gsLst>
                  <a:gs pos="100000">
                    <a:schemeClr val="accent4">
                      <a:tint val="76667"/>
                      <a:lumMod val="60000"/>
                      <a:lumOff val="40000"/>
                    </a:schemeClr>
                  </a:gs>
                  <a:gs pos="0">
                    <a:schemeClr val="accent4">
                      <a:tint val="76667"/>
                    </a:schemeClr>
                  </a:gs>
                </a:gsLst>
                <a:lin ang="5400000" scaled="0"/>
              </a:gradFill>
              <a:ln w="19050">
                <a:solidFill>
                  <a:schemeClr val="lt1"/>
                </a:solidFill>
              </a:ln>
              <a:effectLst/>
            </c:spPr>
          </c:dPt>
          <c:dLbls>
            <c:dLbl>
              <c:idx val="1"/>
              <c:layout>
                <c:manualLayout>
                  <c:x val="-0.0991349158367519"/>
                  <c:y val="-0.079035517813331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5935698155164"/>
                  <c:y val="0.040652253493355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
                  <c:y val="-0.13423295357011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64378337946597"/>
                  <c:y val="-0.025946237936525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0.129237757247737"/>
                  <c:y val="0.12457807829980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0.0283051750205177"/>
                  <c:y val="0.040150691106431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9"/>
              <c:layout>
                <c:manualLayout>
                  <c:x val="0.153068320152528"/>
                  <c:y val="0.1203860126469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prstDash val="solid"/>
                      <a:round/>
                    </a:ln>
                    <a:effectLst/>
                  </c:spPr>
                </c15:leaderLines>
              </c:ext>
            </c:extLst>
          </c:dLbls>
          <c:cat>
            <c:strRef>
              <c:f>[决算公开附图.xlsx]Sheet1!$B$64:$B$73</c:f>
              <c:strCache>
                <c:ptCount val="10"/>
                <c:pt idx="0">
                  <c:v>一般公共服务支出</c:v>
                </c:pt>
                <c:pt idx="1">
                  <c:v>文化旅游体育与传媒支出</c:v>
                </c:pt>
                <c:pt idx="2">
                  <c:v>社会保障和就业支出</c:v>
                </c:pt>
                <c:pt idx="3">
                  <c:v>卫生健康支出</c:v>
                </c:pt>
                <c:pt idx="4">
                  <c:v>城乡社区支出</c:v>
                </c:pt>
                <c:pt idx="5">
                  <c:v>农林水支出</c:v>
                </c:pt>
                <c:pt idx="6">
                  <c:v>交通运输支出</c:v>
                </c:pt>
                <c:pt idx="7">
                  <c:v>住房保障支出</c:v>
                </c:pt>
                <c:pt idx="8">
                  <c:v>节能环保支出</c:v>
                </c:pt>
                <c:pt idx="9">
                  <c:v>商业服务业等支出</c:v>
                </c:pt>
              </c:strCache>
            </c:strRef>
          </c:cat>
          <c:val>
            <c:numRef>
              <c:f>[决算公开附图.xlsx]Sheet1!$C$64:$C$73</c:f>
              <c:numCache>
                <c:formatCode>General</c:formatCode>
                <c:ptCount val="10"/>
                <c:pt idx="0">
                  <c:v>397.28</c:v>
                </c:pt>
                <c:pt idx="1">
                  <c:v>24.54</c:v>
                </c:pt>
                <c:pt idx="2">
                  <c:v>95.43</c:v>
                </c:pt>
                <c:pt idx="3">
                  <c:v>37.79</c:v>
                </c:pt>
                <c:pt idx="4">
                  <c:v>7.07</c:v>
                </c:pt>
                <c:pt idx="5">
                  <c:v>831.17</c:v>
                </c:pt>
                <c:pt idx="6">
                  <c:v>14.91</c:v>
                </c:pt>
                <c:pt idx="7">
                  <c:v>38.82</c:v>
                </c:pt>
                <c:pt idx="8">
                  <c:v>0.47</c:v>
                </c:pt>
                <c:pt idx="9">
                  <c:v>4.6</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ayout/>
      <c:overlay val="0"/>
      <c:spPr>
        <a:solidFill>
          <a:schemeClr val="lt1">
            <a:alpha val="50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因公出境</c:v>
                </c:pt>
                <c:pt idx="1">
                  <c:v>公务车购置及运行维护费</c:v>
                </c:pt>
                <c:pt idx="2">
                  <c:v>公务接待费</c:v>
                </c:pt>
              </c:strCache>
            </c:strRef>
          </c:cat>
          <c:val>
            <c:numRef>
              <c:f>Sheet1!$B$2:$B$4</c:f>
              <c:numCache>
                <c:formatCode>General</c:formatCode>
                <c:ptCount val="3"/>
                <c:pt idx="0">
                  <c:v>0</c:v>
                </c:pt>
                <c:pt idx="1">
                  <c:v>0</c:v>
                </c:pt>
                <c:pt idx="2">
                  <c:v>100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0.20417</cdr:x>
      <cdr:y>0.10458</cdr:y>
    </cdr:from>
    <cdr:to>
      <cdr:x>0.78542</cdr:x>
      <cdr:y>0.23856</cdr:y>
    </cdr:to>
    <cdr:sp>
      <cdr:nvSpPr>
        <cdr:cNvPr id="2" name="矩形 1"/>
        <cdr:cNvSpPr/>
      </cdr:nvSpPr>
      <cdr:spPr xmlns:a="http://schemas.openxmlformats.org/drawingml/2006/main">
        <a:xfrm xmlns:a="http://schemas.openxmlformats.org/drawingml/2006/main">
          <a:off x="933450" y="304800"/>
          <a:ext cx="2657475" cy="390525"/>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800" b="1">
              <a:latin typeface="+mn-ea"/>
              <a:ea typeface="+mn-ea"/>
            </a:rPr>
            <a:t>图</a:t>
          </a:r>
          <a:r>
            <a:rPr lang="en-US" altLang="zh-CN" sz="1800" b="1">
              <a:latin typeface="+mn-ea"/>
              <a:ea typeface="+mn-ea"/>
            </a:rPr>
            <a:t>3</a:t>
          </a:r>
          <a:r>
            <a:rPr lang="zh-CN" altLang="en-US" sz="1800" b="1">
              <a:latin typeface="+mn-ea"/>
              <a:ea typeface="+mn-ea"/>
            </a:rPr>
            <a:t>：支出决算结构图</a:t>
          </a:r>
          <a:endParaRPr lang="zh-CN" altLang="en-US" sz="1800" b="1">
            <a:latin typeface="+mn-ea"/>
            <a:ea typeface="+mn-ea"/>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0.20417</cdr:x>
      <cdr:y>0.10458</cdr:y>
    </cdr:from>
    <cdr:to>
      <cdr:x>0.78542</cdr:x>
      <cdr:y>0.23856</cdr:y>
    </cdr:to>
    <cdr:sp>
      <cdr:nvSpPr>
        <cdr:cNvPr id="2" name="矩形 1"/>
        <cdr:cNvSpPr/>
      </cdr:nvSpPr>
      <cdr:spPr xmlns:a="http://schemas.openxmlformats.org/drawingml/2006/main">
        <a:xfrm xmlns:a="http://schemas.openxmlformats.org/drawingml/2006/main">
          <a:off x="933450" y="304800"/>
          <a:ext cx="2657475" cy="390525"/>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800" b="1">
              <a:latin typeface="+mn-ea"/>
              <a:ea typeface="+mn-ea"/>
            </a:rPr>
            <a:t>图</a:t>
          </a:r>
          <a:r>
            <a:rPr lang="en-US" altLang="zh-CN" sz="1800" b="1">
              <a:latin typeface="+mn-ea"/>
              <a:ea typeface="+mn-ea"/>
            </a:rPr>
            <a:t>2</a:t>
          </a:r>
          <a:r>
            <a:rPr lang="zh-CN" altLang="en-US" sz="1800" b="1">
              <a:latin typeface="+mn-ea"/>
              <a:ea typeface="+mn-ea"/>
            </a:rPr>
            <a:t>：收入决算结构图</a:t>
          </a:r>
          <a:endParaRPr lang="zh-CN" altLang="en-US" sz="1800" b="1">
            <a:latin typeface="+mn-ea"/>
            <a:ea typeface="+mn-ea"/>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roperties xmlns="http://schemas.openxmlformats.org/officeDocument/2006/extended-properties" xmlns:vt="http://schemas.openxmlformats.org/officeDocument/2006/docPropsVTypes">
  <Template>Normal</Template>
  <Company>四川省财政厅</Company>
  <Pages>47</Pages>
  <Words>3189</Words>
  <Characters>18182</Characters>
  <Lines>151</Lines>
  <Paragraphs>42</Paragraphs>
  <TotalTime>1</TotalTime>
  <ScaleCrop>false</ScaleCrop>
  <LinksUpToDate>false</LinksUpToDate>
  <CharactersWithSpaces>21329</CharactersWithSpaces>
  <Application>WPS Office_11.1.0.10356_F1E327BC-269C-435d-A152-05C5408002CA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张彬茜</dc:creator>
  <cp:lastModifiedBy>Administrator</cp:lastModifiedBy>
  <cp:revision>19</cp:revision>
  <cp:lastPrinted>2020-10-26T16:43:00Z</cp:lastPrinted>
  <dcterms:created xsi:type="dcterms:W3CDTF">2019-08-01T01:14:00Z</dcterms:created>
  <dcterms:modified xsi:type="dcterms:W3CDTF">2021-10-13T06:50:31Z</dcterms:modified>
</cp:coreProperties>
</file>

<file path=customXml/item3.xml><?xml version="1.0" encoding="utf-8"?>
<Properties xmlns:vt="http://schemas.openxmlformats.org/officeDocument/2006/docPropsVTypes" xmlns="http://schemas.openxmlformats.org/officeDocument/2006/extended-properties">
  <Template>Normal</Template>
  <TotalTime>1</TotalTime>
  <Pages>47</Pages>
  <Words>3189</Words>
  <Characters>18182</Characters>
  <Application>WPS Office_11.1.0.10356_F1E327BC-269C-435d-A152-05C5408002CA</Application>
  <DocSecurity>0</DocSecurity>
  <Lines>151</Lines>
  <Paragraphs>42</Paragraphs>
  <Company>四川省财政厅</Company>
  <CharactersWithSpaces>21329</CharactersWithSpaces>
  <AppVersion>14.0000</AppVersion>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E69E0ECE11EF4E7AB0F0995CFB7AE5C9</vt:lpwstr>
  </property>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E69E0ECE11EF4E7AB0F0995CFB7AE5C9</vt:lpstr>
  </property>
</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2020-10-26T16:43:00Z</cp:lastPrinted>
  <dcterms:modified xsi:type="dcterms:W3CDTF">2021-10-13T06:50:31Z</dcterms:modified>
  <dc:title>四川省***</dc:title>
  <cp:revision>19</cp:revision>
</cp:coreProperties>
</file>

<file path=customXml/itemProps1.xml><?xml version="1.0" encoding="utf-8"?>
<ds:datastoreItem xmlns:ds="http://schemas.openxmlformats.org/officeDocument/2006/customXml" ds:itemID="{192F4223-5758-447E-8D29-B0E891A7A36C}">
  <ds:schemaRefs/>
</ds:datastoreItem>
</file>

<file path=customXml/itemProps2.xml><?xml version="1.0" encoding="utf-8"?>
<ds:datastoreItem xmlns:ds="http://schemas.openxmlformats.org/officeDocument/2006/customXml" ds:itemID="{AFDD749C-D80C-4F4E-958B-E5949293CE11}">
  <ds:schemaRefs/>
</ds:datastoreItem>
</file>

<file path=customXml/itemProps3.xml><?xml version="1.0" encoding="utf-8"?>
<ds:datastoreItem xmlns:ds="http://schemas.openxmlformats.org/officeDocument/2006/customXml" ds:itemID="{2518BC35-6EF6-422E-B927-FD6D87B1A507}">
  <ds:schemaRefs/>
</ds:datastoreItem>
</file>

<file path=customXml/itemProps4.xml><?xml version="1.0" encoding="utf-8"?>
<ds:datastoreItem xmlns:ds="http://schemas.openxmlformats.org/officeDocument/2006/customXml" ds:itemID="{B889DA10-8EB8-42A1-9A0E-55C97A563809}">
  <ds:schemaRefs/>
</ds:datastoreItem>
</file>

<file path=customXml/itemProps5.xml><?xml version="1.0" encoding="utf-8"?>
<ds:datastoreItem xmlns:ds="http://schemas.openxmlformats.org/officeDocument/2006/customXml" ds:itemID="{2028C956-3F84-4074-81B1-7E64E20D3F05}">
  <ds:schemaRefs/>
</ds:datastoreItem>
</file>

<file path=customXml/itemProps6.xml><?xml version="1.0" encoding="utf-8"?>
<ds:datastoreItem xmlns:ds="http://schemas.openxmlformats.org/officeDocument/2006/customXml" ds:itemID="{255EE963-AE7E-4F3B-BBF1-9AF15C920BB6}">
  <ds:schemaRefs/>
</ds:datastoreItem>
</file>

<file path=customXml/itemProps7.xml><?xml version="1.0" encoding="utf-8"?>
<ds:datastoreItem xmlns:ds="http://schemas.openxmlformats.org/officeDocument/2006/customXml" ds:itemID="{D4166808-FFBB-4599-BA04-EEAF66A50F45}">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25</Pages>
  <Words>8657</Words>
  <Characters>9554</Characters>
  <Lines>85</Lines>
  <Paragraphs>23</Paragraphs>
  <TotalTime>24</TotalTime>
  <ScaleCrop>false</ScaleCrop>
  <LinksUpToDate>false</LinksUpToDate>
  <CharactersWithSpaces>9734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狂奔的蜗牛</cp:lastModifiedBy>
  <cp:lastPrinted>2020-10-26T16:43:00Z</cp:lastPrinted>
  <dcterms:modified xsi:type="dcterms:W3CDTF">2022-09-14T01:02:43Z</dcterms:modified>
  <dc:title>四川省***</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92FE6866D2D34A858A9EE55D83B891FD</vt:lpwstr>
  </property>
</Properties>
</file>