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96475"/>
      <w:bookmarkStart w:id="3" w:name="_Toc15396597"/>
      <w:bookmarkStart w:id="4" w:name="_Toc15378441"/>
      <w:bookmarkStart w:id="5" w:name="_Toc15377425"/>
      <w:r>
        <w:rPr>
          <w:rFonts w:hint="eastAsia" w:ascii="方正小标宋简体" w:hAnsi="方正小标宋简体" w:eastAsia="方正小标宋简体" w:cs="方正小标宋简体"/>
          <w:sz w:val="72"/>
          <w:szCs w:val="72"/>
        </w:rPr>
        <w:t>2020年度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194"/>
      <w:bookmarkStart w:id="8" w:name="_Toc15377426"/>
      <w:bookmarkStart w:id="9" w:name="_Toc15396598"/>
      <w:bookmarkStart w:id="10" w:name="_Toc15306268"/>
      <w:bookmarkStart w:id="11" w:name="_Toc15378442"/>
      <w:r>
        <w:rPr>
          <w:rFonts w:hint="eastAsia" w:ascii="方正小标宋简体" w:hAnsi="方正小标宋简体" w:eastAsia="方正小标宋简体" w:cs="方正小标宋简体"/>
          <w:sz w:val="72"/>
          <w:szCs w:val="72"/>
        </w:rPr>
        <w:t>通江县广纳镇人民政府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公开时间：2021年10月15日</w:t>
      </w:r>
    </w:p>
    <w:p/>
    <w:p>
      <w:pPr>
        <w:pStyle w:val="10"/>
        <w:adjustRightInd w:val="0"/>
        <w:snapToGrid w:val="0"/>
        <w:spacing w:before="0" w:line="440" w:lineRule="exact"/>
        <w:jc w:val="left"/>
        <w:rPr>
          <w:rFonts w:cstheme="minorBidi"/>
          <w:sz w:val="24"/>
          <w:szCs w:val="24"/>
        </w:rPr>
      </w:pPr>
      <w:r>
        <w:rPr>
          <w:rFonts w:hint="eastAsia"/>
          <w:sz w:val="24"/>
        </w:rPr>
        <w:t>第一部分单位概况</w:t>
      </w:r>
      <w:r>
        <w:rPr>
          <w:rFonts w:hint="eastAsia"/>
          <w:sz w:val="24"/>
        </w:rPr>
        <w:tab/>
      </w:r>
      <w:r>
        <w:rPr>
          <w:rFonts w:hint="eastAsia"/>
          <w:sz w:val="24"/>
        </w:rPr>
        <w:t>4</w:t>
      </w:r>
    </w:p>
    <w:p>
      <w:pPr>
        <w:pStyle w:val="11"/>
        <w:adjustRightInd w:val="0"/>
        <w:snapToGrid w:val="0"/>
        <w:spacing w:line="440" w:lineRule="exact"/>
        <w:jc w:val="left"/>
        <w:rPr>
          <w:sz w:val="24"/>
        </w:rPr>
      </w:pPr>
      <w:r>
        <w:rPr>
          <w:rFonts w:hint="eastAsia"/>
          <w:sz w:val="24"/>
        </w:rPr>
        <w:t>一、职能简介</w:t>
      </w:r>
      <w:r>
        <w:rPr>
          <w:rFonts w:hint="eastAsia"/>
          <w:sz w:val="24"/>
        </w:rPr>
        <w:tab/>
      </w:r>
      <w:r>
        <w:rPr>
          <w:rFonts w:hint="eastAsia"/>
          <w:sz w:val="24"/>
        </w:rPr>
        <w:t>4</w:t>
      </w:r>
    </w:p>
    <w:p>
      <w:pPr>
        <w:pStyle w:val="11"/>
        <w:adjustRightInd w:val="0"/>
        <w:snapToGrid w:val="0"/>
        <w:spacing w:line="440" w:lineRule="exact"/>
        <w:jc w:val="left"/>
        <w:rPr>
          <w:rFonts w:asciiTheme="minorEastAsia" w:hAnsiTheme="minorEastAsia" w:cstheme="minorEastAsia"/>
          <w:sz w:val="24"/>
        </w:rPr>
      </w:pPr>
      <w:r>
        <w:rPr>
          <w:rFonts w:hint="eastAsia" w:asciiTheme="minorEastAsia" w:hAnsiTheme="minorEastAsia" w:eastAsiaTheme="minorEastAsia" w:cstheme="minorEastAsia"/>
          <w:sz w:val="24"/>
        </w:rPr>
        <w:t>二、2020年重点工作完成情况</w:t>
      </w:r>
      <w:r>
        <w:rPr>
          <w:rFonts w:hint="eastAsia"/>
          <w:sz w:val="24"/>
        </w:rPr>
        <w:tab/>
      </w:r>
      <w:r>
        <w:rPr>
          <w:rFonts w:hint="eastAsia"/>
          <w:sz w:val="24"/>
        </w:rPr>
        <w:t>5</w:t>
      </w:r>
    </w:p>
    <w:p>
      <w:pPr>
        <w:pStyle w:val="10"/>
        <w:adjustRightInd w:val="0"/>
        <w:snapToGrid w:val="0"/>
        <w:spacing w:before="0" w:line="440" w:lineRule="exact"/>
        <w:jc w:val="left"/>
        <w:rPr>
          <w:sz w:val="24"/>
          <w:szCs w:val="24"/>
        </w:rPr>
      </w:pPr>
      <w:r>
        <w:rPr>
          <w:rFonts w:hint="eastAsia"/>
          <w:sz w:val="24"/>
        </w:rPr>
        <w:t>第二部分 2020年度单位决算情况说明</w:t>
      </w:r>
      <w:r>
        <w:rPr>
          <w:rFonts w:hint="eastAsia"/>
          <w:sz w:val="24"/>
        </w:rPr>
        <w:tab/>
      </w:r>
      <w:r>
        <w:rPr>
          <w:rFonts w:hint="eastAsia"/>
          <w:sz w:val="24"/>
        </w:rPr>
        <w:t>6</w:t>
      </w:r>
    </w:p>
    <w:p>
      <w:pPr>
        <w:pStyle w:val="11"/>
        <w:adjustRightInd w:val="0"/>
        <w:snapToGrid w:val="0"/>
        <w:spacing w:line="440" w:lineRule="exact"/>
        <w:jc w:val="left"/>
        <w:rPr>
          <w:rFonts w:ascii="仿宋" w:hAnsi="仿宋" w:cstheme="minorBidi"/>
          <w:sz w:val="24"/>
        </w:rPr>
      </w:pPr>
      <w:r>
        <w:rPr>
          <w:rFonts w:hint="eastAsia"/>
          <w:sz w:val="24"/>
        </w:rPr>
        <w:t>一、收入支出决算总体情况说明</w:t>
      </w:r>
      <w:r>
        <w:rPr>
          <w:rFonts w:hint="eastAsia"/>
          <w:sz w:val="24"/>
        </w:rPr>
        <w:tab/>
      </w:r>
      <w:r>
        <w:rPr>
          <w:rFonts w:hint="eastAsia"/>
          <w:sz w:val="24"/>
        </w:rPr>
        <w:t>6</w:t>
      </w:r>
    </w:p>
    <w:p>
      <w:pPr>
        <w:pStyle w:val="11"/>
        <w:adjustRightInd w:val="0"/>
        <w:snapToGrid w:val="0"/>
        <w:spacing w:line="440" w:lineRule="exact"/>
        <w:jc w:val="left"/>
        <w:rPr>
          <w:rFonts w:ascii="仿宋" w:hAnsi="仿宋" w:cstheme="minorBidi"/>
          <w:sz w:val="24"/>
        </w:rPr>
      </w:pPr>
      <w:r>
        <w:rPr>
          <w:rFonts w:hint="eastAsia"/>
          <w:sz w:val="24"/>
        </w:rPr>
        <w:t>二、收入决算情况说明</w:t>
      </w:r>
      <w:r>
        <w:rPr>
          <w:rFonts w:hint="eastAsia"/>
          <w:sz w:val="24"/>
        </w:rPr>
        <w:tab/>
      </w:r>
      <w:r>
        <w:rPr>
          <w:rFonts w:hint="eastAsia"/>
          <w:sz w:val="24"/>
        </w:rPr>
        <w:t>6</w:t>
      </w:r>
    </w:p>
    <w:p>
      <w:pPr>
        <w:pStyle w:val="11"/>
        <w:adjustRightInd w:val="0"/>
        <w:snapToGrid w:val="0"/>
        <w:spacing w:line="440" w:lineRule="exact"/>
        <w:jc w:val="left"/>
        <w:rPr>
          <w:rFonts w:ascii="仿宋" w:hAnsi="仿宋" w:cstheme="minorBidi"/>
          <w:sz w:val="24"/>
        </w:rPr>
      </w:pPr>
      <w:r>
        <w:rPr>
          <w:rFonts w:hint="eastAsia"/>
          <w:sz w:val="24"/>
        </w:rPr>
        <w:t>三、支出决算情况说明</w:t>
      </w:r>
      <w:r>
        <w:rPr>
          <w:rFonts w:hint="eastAsia"/>
          <w:sz w:val="24"/>
        </w:rPr>
        <w:tab/>
      </w:r>
      <w:r>
        <w:rPr>
          <w:rFonts w:hint="eastAsia"/>
          <w:sz w:val="24"/>
        </w:rPr>
        <w:t>7</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hint="eastAsia"/>
          <w:sz w:val="24"/>
        </w:rPr>
        <w:tab/>
      </w:r>
      <w:r>
        <w:rPr>
          <w:rFonts w:hint="eastAsia"/>
          <w:sz w:val="24"/>
        </w:rPr>
        <w:t>7</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hint="eastAsia"/>
          <w:sz w:val="24"/>
        </w:rPr>
        <w:tab/>
      </w:r>
      <w:r>
        <w:rPr>
          <w:rFonts w:hint="eastAsia"/>
          <w:sz w:val="24"/>
        </w:rPr>
        <w:t>8</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hint="eastAsia"/>
          <w:sz w:val="24"/>
        </w:rPr>
        <w:tab/>
      </w:r>
      <w:r>
        <w:rPr>
          <w:rFonts w:hint="eastAsia"/>
          <w:sz w:val="24"/>
        </w:rPr>
        <w:t>13</w:t>
      </w:r>
    </w:p>
    <w:p>
      <w:pPr>
        <w:pStyle w:val="11"/>
        <w:adjustRightInd w:val="0"/>
        <w:snapToGrid w:val="0"/>
        <w:spacing w:line="440" w:lineRule="exact"/>
        <w:jc w:val="left"/>
        <w:rPr>
          <w:rFonts w:ascii="仿宋" w:hAnsi="仿宋" w:cstheme="minorBidi"/>
          <w:sz w:val="24"/>
        </w:rPr>
      </w:pPr>
      <w:r>
        <w:rPr>
          <w:rFonts w:hint="eastAsia"/>
          <w:sz w:val="24"/>
        </w:rPr>
        <w:t>七、“三公”经费财政拨款支出决算情况说明</w:t>
      </w:r>
      <w:r>
        <w:rPr>
          <w:rFonts w:hint="eastAsia"/>
          <w:sz w:val="24"/>
        </w:rPr>
        <w:tab/>
      </w:r>
      <w:r>
        <w:rPr>
          <w:rFonts w:hint="eastAsia"/>
          <w:sz w:val="24"/>
        </w:rPr>
        <w:t>13</w:t>
      </w:r>
    </w:p>
    <w:p>
      <w:pPr>
        <w:pStyle w:val="11"/>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hint="eastAsia"/>
          <w:sz w:val="24"/>
        </w:rPr>
        <w:tab/>
      </w:r>
      <w:r>
        <w:rPr>
          <w:rFonts w:hint="eastAsia"/>
          <w:sz w:val="24"/>
        </w:rPr>
        <w:t>15</w:t>
      </w:r>
    </w:p>
    <w:p>
      <w:pPr>
        <w:pStyle w:val="11"/>
        <w:adjustRightInd w:val="0"/>
        <w:snapToGrid w:val="0"/>
        <w:spacing w:line="440" w:lineRule="exact"/>
        <w:jc w:val="left"/>
        <w:rPr>
          <w:sz w:val="24"/>
        </w:rPr>
      </w:pPr>
      <w:r>
        <w:rPr>
          <w:rFonts w:hint="eastAsia"/>
          <w:sz w:val="24"/>
        </w:rPr>
        <w:t>九、国有资本经营预算支出决算情况说明</w:t>
      </w:r>
      <w:r>
        <w:rPr>
          <w:rFonts w:hint="eastAsia"/>
          <w:sz w:val="24"/>
        </w:rPr>
        <w:tab/>
      </w:r>
      <w:r>
        <w:rPr>
          <w:rFonts w:hint="eastAsia"/>
          <w:sz w:val="24"/>
        </w:rPr>
        <w:t>15</w:t>
      </w:r>
    </w:p>
    <w:p>
      <w:pPr>
        <w:pStyle w:val="11"/>
        <w:adjustRightInd w:val="0"/>
        <w:snapToGrid w:val="0"/>
        <w:spacing w:line="440" w:lineRule="exact"/>
        <w:jc w:val="left"/>
        <w:rPr>
          <w:sz w:val="24"/>
        </w:rPr>
      </w:pPr>
      <w:r>
        <w:rPr>
          <w:rFonts w:hint="eastAsia"/>
          <w:sz w:val="24"/>
        </w:rPr>
        <w:t>十、其他重要事项的情况说明</w:t>
      </w:r>
      <w:r>
        <w:rPr>
          <w:rFonts w:hint="eastAsia"/>
          <w:sz w:val="24"/>
        </w:rPr>
        <w:tab/>
      </w:r>
      <w:r>
        <w:rPr>
          <w:rFonts w:hint="eastAsia"/>
          <w:sz w:val="24"/>
        </w:rPr>
        <w:t>15</w:t>
      </w:r>
    </w:p>
    <w:p>
      <w:pPr>
        <w:pStyle w:val="10"/>
        <w:adjustRightInd w:val="0"/>
        <w:snapToGrid w:val="0"/>
        <w:spacing w:before="0" w:line="440" w:lineRule="exact"/>
        <w:jc w:val="left"/>
        <w:rPr>
          <w:rFonts w:cstheme="minorBidi"/>
          <w:sz w:val="24"/>
          <w:szCs w:val="24"/>
        </w:rPr>
      </w:pPr>
      <w:r>
        <w:rPr>
          <w:rFonts w:hint="eastAsia"/>
          <w:sz w:val="24"/>
        </w:rPr>
        <w:t>第三部分名词解释</w:t>
      </w:r>
      <w:r>
        <w:rPr>
          <w:rFonts w:hint="eastAsia"/>
          <w:sz w:val="24"/>
        </w:rPr>
        <w:tab/>
      </w:r>
      <w:r>
        <w:rPr>
          <w:rFonts w:hint="eastAsia"/>
          <w:sz w:val="24"/>
        </w:rPr>
        <w:t>17</w:t>
      </w:r>
    </w:p>
    <w:p>
      <w:pPr>
        <w:pStyle w:val="10"/>
        <w:adjustRightInd w:val="0"/>
        <w:snapToGrid w:val="0"/>
        <w:spacing w:before="0" w:line="440" w:lineRule="exact"/>
        <w:jc w:val="left"/>
        <w:rPr>
          <w:rFonts w:cstheme="minorBidi"/>
          <w:sz w:val="24"/>
          <w:szCs w:val="24"/>
        </w:rPr>
      </w:pPr>
      <w:r>
        <w:rPr>
          <w:rFonts w:hint="eastAsia"/>
          <w:sz w:val="24"/>
        </w:rPr>
        <w:t>第四部分附件</w:t>
      </w:r>
      <w:r>
        <w:rPr>
          <w:rFonts w:hint="eastAsia"/>
          <w:sz w:val="24"/>
        </w:rPr>
        <w:tab/>
      </w:r>
      <w:r>
        <w:rPr>
          <w:rFonts w:hint="eastAsia"/>
          <w:sz w:val="24"/>
        </w:rPr>
        <w:t>20</w:t>
      </w:r>
    </w:p>
    <w:p>
      <w:pPr>
        <w:pStyle w:val="10"/>
        <w:adjustRightInd w:val="0"/>
        <w:snapToGrid w:val="0"/>
        <w:spacing w:before="0" w:line="440" w:lineRule="exact"/>
        <w:jc w:val="left"/>
        <w:rPr>
          <w:rFonts w:cstheme="minorBidi"/>
          <w:sz w:val="24"/>
          <w:szCs w:val="24"/>
        </w:rPr>
      </w:pPr>
      <w:r>
        <w:rPr>
          <w:rFonts w:hint="eastAsia"/>
          <w:sz w:val="24"/>
        </w:rPr>
        <w:t>第五部分附表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一、收入支出决算总表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二、收入决算表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三、支出决算表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四、财政拨款收入支出决算总表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五、财政拨款支出决算明细表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六、一般公共预算财政拨款支出决算表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七、一般公共预算财政拨款支出决算明细表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八、一般公共预算财政拨款基本支出决算表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九、一般公共预算财政拨款项目支出决算表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十、一般公共预算财政拨款“三公”经费支出决算表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十一、政府性基金预算财政拨款收入支出决算表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十二、政府性基金预算财政拨款“三公”经费支出决算表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十三、国有资本经营预算财政拨款收入支出决算表</w:t>
      </w:r>
      <w:r>
        <w:rPr>
          <w:rFonts w:hint="eastAsia"/>
          <w:sz w:val="24"/>
        </w:rPr>
        <w:tab/>
      </w:r>
      <w:r>
        <w:rPr>
          <w:rFonts w:hint="eastAsia"/>
          <w:sz w:val="24"/>
        </w:rPr>
        <w:t>26</w:t>
      </w:r>
    </w:p>
    <w:p>
      <w:pPr>
        <w:pStyle w:val="11"/>
        <w:adjustRightInd w:val="0"/>
        <w:snapToGrid w:val="0"/>
        <w:spacing w:line="440" w:lineRule="exact"/>
        <w:jc w:val="left"/>
        <w:rPr>
          <w:sz w:val="24"/>
        </w:rPr>
      </w:pPr>
      <w:r>
        <w:rPr>
          <w:rFonts w:hint="eastAsia"/>
          <w:sz w:val="24"/>
        </w:rPr>
        <w:t>十四、国有资本经营预算财政拨款支出决算表</w:t>
      </w:r>
      <w:r>
        <w:rPr>
          <w:rFonts w:hint="eastAsia"/>
          <w:sz w:val="24"/>
        </w:rPr>
        <w:tab/>
      </w:r>
      <w:r>
        <w:rPr>
          <w:rFonts w:hint="eastAsia"/>
          <w:sz w:val="24"/>
        </w:rPr>
        <w:t>26</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rPr>
        <w:t>职能简介</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通江县广纳镇人民政府落实国家政策</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严格依法行政</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发挥经济、社会、市场管理职能，加强政策引导，制定发展规划</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服务市场主体和营造发展环境，搞好市场监管，大力促进社会事业发展，发展镇村经济、文化和社会事业，提供公共服务，维护社会稳定，构建社会主义和谐小康社会。</w:t>
      </w:r>
    </w:p>
    <w:p>
      <w:pPr>
        <w:pStyle w:val="2"/>
        <w:adjustRightInd w:val="0"/>
        <w:snapToGrid w:val="0"/>
        <w:spacing w:before="93" w:line="600" w:lineRule="exact"/>
        <w:ind w:firstLine="640" w:firstLineChars="200"/>
        <w:outlineLvl w:val="2"/>
        <w:rPr>
          <w:rFonts w:ascii="仿宋" w:hAnsi="仿宋" w:eastAsia="仿宋"/>
          <w:bCs/>
          <w:color w:val="000000"/>
          <w:sz w:val="32"/>
          <w:szCs w:val="32"/>
        </w:rPr>
      </w:pPr>
      <w:r>
        <w:rPr>
          <w:rFonts w:hint="eastAsia" w:ascii="仿宋" w:hAnsi="仿宋" w:eastAsia="仿宋"/>
          <w:bCs/>
          <w:color w:val="000000"/>
          <w:sz w:val="32"/>
          <w:szCs w:val="32"/>
        </w:rPr>
        <w:t>1、执行本级人民代表大会的决议和上级国家行政机关的决定和命令，发布决定和命令；</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2、执行本行政区域内的经济和社会发展计划、预算，管理本行政区域内的经济、教育、科学、文化、卫生、体育事业和财政、民政、公安、司法行政、计划生育等行政工作</w:t>
      </w:r>
      <w:r>
        <w:rPr>
          <w:rFonts w:hint="eastAsia" w:ascii="仿宋" w:hAnsi="仿宋" w:eastAsia="仿宋"/>
          <w:bCs/>
          <w:color w:val="000000"/>
          <w:sz w:val="32"/>
          <w:szCs w:val="32"/>
          <w:lang w:eastAsia="zh-CN"/>
        </w:rPr>
        <w:t>；</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3、保护社会主义的全民所有的财产和劳动群众集体所有的财产，保护公民私人所有的合法财产，维护社会秩序，保障公民的人身权利、民主权利和其他权利</w:t>
      </w:r>
      <w:r>
        <w:rPr>
          <w:rFonts w:hint="eastAsia" w:ascii="仿宋" w:hAnsi="仿宋" w:eastAsia="仿宋"/>
          <w:bCs/>
          <w:color w:val="000000"/>
          <w:sz w:val="32"/>
          <w:szCs w:val="32"/>
          <w:lang w:eastAsia="zh-CN"/>
        </w:rPr>
        <w:t>；</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4、保护各种经济组织的合法权益</w:t>
      </w:r>
      <w:r>
        <w:rPr>
          <w:rFonts w:hint="eastAsia" w:ascii="仿宋" w:hAnsi="仿宋" w:eastAsia="仿宋"/>
          <w:bCs/>
          <w:color w:val="000000"/>
          <w:sz w:val="32"/>
          <w:szCs w:val="32"/>
          <w:lang w:eastAsia="zh-CN"/>
        </w:rPr>
        <w:t>；</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5、保障少数民族的权利和尊重少数民族的风俗习惯</w:t>
      </w:r>
      <w:r>
        <w:rPr>
          <w:rFonts w:hint="eastAsia" w:ascii="仿宋" w:hAnsi="仿宋" w:eastAsia="仿宋"/>
          <w:bCs/>
          <w:color w:val="000000"/>
          <w:sz w:val="32"/>
          <w:szCs w:val="32"/>
          <w:lang w:eastAsia="zh-CN"/>
        </w:rPr>
        <w:t>；</w:t>
      </w:r>
    </w:p>
    <w:p>
      <w:pPr>
        <w:pStyle w:val="2"/>
        <w:adjustRightInd w:val="0"/>
        <w:snapToGrid w:val="0"/>
        <w:spacing w:before="93" w:line="600" w:lineRule="exact"/>
        <w:ind w:firstLine="640" w:firstLineChars="200"/>
        <w:outlineLvl w:val="2"/>
        <w:rPr>
          <w:rFonts w:ascii="仿宋" w:hAnsi="仿宋" w:eastAsia="仿宋"/>
          <w:bCs/>
          <w:color w:val="000000"/>
          <w:sz w:val="32"/>
          <w:szCs w:val="32"/>
        </w:rPr>
      </w:pPr>
      <w:r>
        <w:rPr>
          <w:rFonts w:hint="eastAsia" w:ascii="仿宋" w:hAnsi="仿宋" w:eastAsia="仿宋"/>
          <w:bCs/>
          <w:color w:val="000000"/>
          <w:sz w:val="32"/>
          <w:szCs w:val="32"/>
        </w:rPr>
        <w:t>6、办理同级党委和县委、县政府交办的其他事项。</w:t>
      </w:r>
    </w:p>
    <w:p/>
    <w:p>
      <w:pPr>
        <w:pStyle w:val="4"/>
        <w:rPr>
          <w:rFonts w:ascii="黑体" w:hAnsi="黑体" w:eastAsia="黑体"/>
          <w:b w:val="0"/>
        </w:rPr>
      </w:pPr>
      <w:r>
        <w:rPr>
          <w:rFonts w:hint="eastAsia" w:ascii="黑体" w:hAnsi="黑体" w:eastAsia="黑体"/>
          <w:b w:val="0"/>
        </w:rPr>
        <w:t>二、2020年重点工作</w:t>
      </w:r>
      <w:bookmarkEnd w:id="14"/>
      <w:bookmarkEnd w:id="15"/>
      <w:r>
        <w:rPr>
          <w:rFonts w:hint="eastAsia" w:ascii="黑体" w:hAnsi="黑体" w:eastAsia="黑体"/>
          <w:b w:val="0"/>
        </w:rPr>
        <w:t>完成情况</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1、进一步开展脱贫攻坚与乡村振兴有效衔接工作，为乡村振兴奠定坚实基础。</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 xml:space="preserve">3、制定并组织实施村镇建设规划，部署重点工程建设，地方道路建设及公共设施，水利设施的管理，负责土地、林木、水等自然资源和生态环境的保护，做好护林防火工作；     </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4、负责本行政区域内的民政、计划生育、文化教育、卫生、体育等社会公益事业的综合性工作，维护一切经济单位和个人的正当经济权益，取缔非法经济活动，调解和处理民事纠纷，打击刑事犯罪维护社会稳定；</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5、按计划组织本级财政收入和地方税的征收，完成国家财政计划，不断培植税源，管好财政资金，增强财政实力；</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6、抓好精神文明建设，丰富群众文化生活，提倡移风易俗，反对封建迷信和邪教，破除陈规陋习，树立社会主义新风尚和核心价值观；</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7、完成同级党委和上级政府交办的</w:t>
      </w:r>
      <w:r>
        <w:rPr>
          <w:rFonts w:hint="eastAsia" w:ascii="仿宋" w:hAnsi="仿宋" w:eastAsia="仿宋"/>
          <w:bCs/>
          <w:color w:val="000000"/>
          <w:sz w:val="32"/>
          <w:szCs w:val="32"/>
          <w:lang w:eastAsia="zh-CN"/>
        </w:rPr>
        <w:t>其他事项</w:t>
      </w:r>
      <w:bookmarkStart w:id="66" w:name="_GoBack"/>
      <w:bookmarkEnd w:id="66"/>
      <w:r>
        <w:rPr>
          <w:rFonts w:hint="eastAsia" w:ascii="仿宋" w:hAnsi="仿宋" w:eastAsia="仿宋"/>
          <w:bCs/>
          <w:color w:val="000000"/>
          <w:sz w:val="32"/>
          <w:szCs w:val="32"/>
        </w:rPr>
        <w:t>。</w:t>
      </w:r>
      <w:bookmarkStart w:id="16" w:name="_Toc15396602"/>
      <w:bookmarkStart w:id="17" w:name="_Toc15377204"/>
    </w:p>
    <w:p>
      <w:pPr>
        <w:pStyle w:val="3"/>
        <w:ind w:right="440"/>
        <w:jc w:val="center"/>
        <w:rPr>
          <w:rFonts w:ascii="黑体" w:hAnsi="黑体" w:eastAsia="黑体"/>
          <w:b w:val="0"/>
        </w:rPr>
      </w:pPr>
      <w:r>
        <w:rPr>
          <w:rFonts w:hint="eastAsia" w:ascii="黑体" w:hAnsi="黑体" w:eastAsia="黑体"/>
          <w:b w:val="0"/>
        </w:rPr>
        <w:t>第二部分 2020年度</w:t>
      </w:r>
      <w:r>
        <w:rPr>
          <w:rStyle w:val="24"/>
          <w:rFonts w:hint="eastAsia" w:ascii="黑体" w:hAnsi="黑体" w:eastAsia="黑体"/>
          <w:b w:val="0"/>
          <w:bCs/>
        </w:rPr>
        <w:t>单位决算情况说明</w:t>
      </w:r>
      <w:bookmarkEnd w:id="16"/>
      <w:bookmarkEnd w:id="17"/>
    </w:p>
    <w:p>
      <w:pPr>
        <w:pStyle w:val="23"/>
        <w:numPr>
          <w:ilvl w:val="0"/>
          <w:numId w:val="2"/>
        </w:numPr>
        <w:spacing w:line="600" w:lineRule="exact"/>
        <w:ind w:firstLineChars="0"/>
        <w:outlineLvl w:val="1"/>
        <w:rPr>
          <w:rStyle w:val="25"/>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2020年度收、支总计5509.3万元。与2019年相比，收、支总计各减少3910.7万元，减少41.51</w:t>
      </w:r>
      <w:r>
        <w:rPr>
          <w:rFonts w:ascii="仿宋" w:hAnsi="仿宋" w:eastAsia="仿宋"/>
          <w:sz w:val="32"/>
          <w:szCs w:val="32"/>
        </w:rPr>
        <w:t>%</w:t>
      </w:r>
      <w:r>
        <w:rPr>
          <w:rFonts w:hint="eastAsia" w:ascii="仿宋" w:hAnsi="仿宋" w:eastAsia="仿宋"/>
          <w:sz w:val="32"/>
          <w:szCs w:val="32"/>
        </w:rPr>
        <w:t>。主要变动原因是脱贫攻坚项目减少。</w:t>
      </w:r>
    </w:p>
    <w:p>
      <w:pPr>
        <w:pStyle w:val="2"/>
        <w:spacing w:before="93"/>
      </w:pPr>
      <w:r>
        <w:drawing>
          <wp:inline distT="0" distB="0" distL="114300" distR="114300">
            <wp:extent cx="5043805" cy="2124710"/>
            <wp:effectExtent l="19050" t="0" r="23283" b="8467"/>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280" w:firstLineChars="400"/>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numPr>
          <w:ilvl w:val="0"/>
          <w:numId w:val="2"/>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20年本年收入合计2754.65万元，其中：一般公共预算财政拨款收入2754.65万元，占100</w:t>
      </w:r>
      <w:r>
        <w:rPr>
          <w:rFonts w:ascii="仿宋" w:hAnsi="仿宋" w:eastAsia="仿宋"/>
          <w:sz w:val="32"/>
          <w:szCs w:val="32"/>
        </w:rPr>
        <w:t>%</w:t>
      </w:r>
      <w:r>
        <w:rPr>
          <w:rFonts w:hint="eastAsia" w:ascii="仿宋" w:hAnsi="仿宋" w:eastAsia="仿宋"/>
          <w:sz w:val="32"/>
          <w:szCs w:val="32"/>
        </w:rPr>
        <w:t>。</w:t>
      </w:r>
    </w:p>
    <w:p>
      <w:pPr>
        <w:pStyle w:val="2"/>
        <w:spacing w:before="93"/>
        <w:ind w:left="840" w:leftChars="400"/>
      </w:pPr>
      <w:r>
        <w:drawing>
          <wp:inline distT="0" distB="0" distL="114300" distR="114300">
            <wp:extent cx="4911725" cy="2184400"/>
            <wp:effectExtent l="19050" t="0" r="22225" b="635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（图2：收入决算结构图）</w:t>
      </w:r>
    </w:p>
    <w:p>
      <w:pPr>
        <w:pStyle w:val="23"/>
        <w:numPr>
          <w:ilvl w:val="0"/>
          <w:numId w:val="2"/>
        </w:numPr>
        <w:spacing w:line="60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20年本年支出合计2754.65万元，其中：基本支出1982.87万元，占71.98</w:t>
      </w:r>
      <w:r>
        <w:rPr>
          <w:rFonts w:ascii="仿宋" w:hAnsi="仿宋" w:eastAsia="仿宋"/>
          <w:sz w:val="32"/>
          <w:szCs w:val="32"/>
        </w:rPr>
        <w:t>%</w:t>
      </w:r>
      <w:r>
        <w:rPr>
          <w:rFonts w:hint="eastAsia" w:ascii="仿宋" w:hAnsi="仿宋" w:eastAsia="仿宋"/>
          <w:sz w:val="32"/>
          <w:szCs w:val="32"/>
        </w:rPr>
        <w:t>；项目支出771.78万元，占28.02</w:t>
      </w:r>
      <w:r>
        <w:rPr>
          <w:rFonts w:ascii="仿宋" w:hAnsi="仿宋" w:eastAsia="仿宋"/>
          <w:sz w:val="32"/>
          <w:szCs w:val="32"/>
        </w:rPr>
        <w:t>%</w:t>
      </w:r>
      <w:r>
        <w:rPr>
          <w:rFonts w:hint="eastAsia" w:ascii="仿宋" w:hAnsi="仿宋" w:eastAsia="仿宋"/>
          <w:sz w:val="32"/>
          <w:szCs w:val="32"/>
        </w:rPr>
        <w:t>。</w:t>
      </w:r>
    </w:p>
    <w:p>
      <w:pPr>
        <w:pStyle w:val="2"/>
        <w:spacing w:before="93"/>
      </w:pPr>
      <w:r>
        <w:drawing>
          <wp:inline distT="0" distB="0" distL="114300" distR="114300">
            <wp:extent cx="3693160" cy="2680335"/>
            <wp:effectExtent l="4445" t="4445" r="17145" b="2032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20年财政拨款收、支总计5509.3万元。收、支总计各减少3910.7万元，减少41.51</w:t>
      </w:r>
      <w:r>
        <w:rPr>
          <w:rFonts w:ascii="仿宋" w:hAnsi="仿宋" w:eastAsia="仿宋"/>
          <w:sz w:val="32"/>
          <w:szCs w:val="32"/>
        </w:rPr>
        <w:t>%</w:t>
      </w:r>
      <w:r>
        <w:rPr>
          <w:rFonts w:hint="eastAsia" w:ascii="仿宋" w:hAnsi="仿宋" w:eastAsia="仿宋"/>
          <w:sz w:val="32"/>
          <w:szCs w:val="32"/>
        </w:rPr>
        <w:t>。主要变动原因是脱贫攻坚项目减少。</w:t>
      </w:r>
    </w:p>
    <w:p>
      <w:pPr>
        <w:pStyle w:val="2"/>
        <w:spacing w:before="93"/>
        <w:rPr>
          <w:rFonts w:ascii="仿宋" w:hAnsi="仿宋" w:eastAsia="仿宋"/>
          <w:sz w:val="32"/>
          <w:szCs w:val="32"/>
        </w:rPr>
      </w:pPr>
      <w:r>
        <w:drawing>
          <wp:inline distT="0" distB="0" distL="114300" distR="114300">
            <wp:extent cx="3948430" cy="2235200"/>
            <wp:effectExtent l="4445" t="4445" r="9525" b="825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5"/>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20年一般公共预算财政拨款支出2754.65万元，占本年支出合计的100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19年相比，一般公共预算财政拨款支出减少1755.35万元，减少38.92</w:t>
      </w:r>
      <w:r>
        <w:rPr>
          <w:rFonts w:ascii="仿宋" w:hAnsi="仿宋" w:eastAsia="仿宋"/>
          <w:sz w:val="32"/>
          <w:szCs w:val="32"/>
        </w:rPr>
        <w:t>%</w:t>
      </w:r>
      <w:r>
        <w:rPr>
          <w:rFonts w:hint="eastAsia" w:ascii="仿宋" w:hAnsi="仿宋" w:eastAsia="仿宋"/>
          <w:sz w:val="32"/>
          <w:szCs w:val="32"/>
        </w:rPr>
        <w:t>。主要变动原因是脱贫攻坚项目减少。</w:t>
      </w:r>
    </w:p>
    <w:p>
      <w:pPr>
        <w:pStyle w:val="2"/>
        <w:spacing w:before="93"/>
        <w:ind w:left="638" w:leftChars="304"/>
        <w:rPr>
          <w:rFonts w:ascii="仿宋" w:hAnsi="仿宋" w:eastAsia="仿宋"/>
          <w:sz w:val="32"/>
          <w:szCs w:val="32"/>
        </w:rPr>
      </w:pPr>
      <w:r>
        <w:drawing>
          <wp:inline distT="0" distB="0" distL="114300" distR="114300">
            <wp:extent cx="4275455" cy="2361565"/>
            <wp:effectExtent l="5080" t="5080" r="5715" b="1460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pPr>
      <w:r>
        <w:rPr>
          <w:rFonts w:ascii="仿宋" w:hAnsi="仿宋" w:eastAsia="仿宋"/>
          <w:sz w:val="32"/>
          <w:szCs w:val="32"/>
        </w:rPr>
        <w:t>20</w:t>
      </w:r>
      <w:r>
        <w:rPr>
          <w:rFonts w:hint="eastAsia" w:ascii="仿宋" w:hAnsi="仿宋" w:eastAsia="仿宋"/>
          <w:sz w:val="32"/>
          <w:szCs w:val="32"/>
        </w:rPr>
        <w:t>20年一般公共预算财政拨款支出2754.65万元，主要用于以下方面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一般公共服务（类）</w:t>
      </w:r>
      <w:r>
        <w:rPr>
          <w:rFonts w:hint="eastAsia" w:ascii="仿宋" w:hAnsi="仿宋" w:eastAsia="仿宋"/>
          <w:sz w:val="32"/>
          <w:szCs w:val="32"/>
        </w:rPr>
        <w:t>支出1425.51万元，占51.75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w:t>
      </w:r>
      <w:r>
        <w:rPr>
          <w:rFonts w:hint="eastAsia" w:ascii="仿宋" w:hAnsi="仿宋" w:eastAsia="仿宋"/>
          <w:sz w:val="32"/>
          <w:szCs w:val="32"/>
        </w:rPr>
        <w:t>支出14万元，占0.51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支出161.86万元，占5.88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支出72.2万元，占2.62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节能环保</w:t>
      </w:r>
      <w:r>
        <w:rPr>
          <w:rFonts w:hint="eastAsia" w:ascii="仿宋" w:hAnsi="仿宋" w:eastAsia="仿宋"/>
          <w:b/>
          <w:sz w:val="32"/>
          <w:szCs w:val="32"/>
        </w:rPr>
        <w:t>（类）</w:t>
      </w:r>
      <w:r>
        <w:rPr>
          <w:rFonts w:hint="eastAsia" w:ascii="仿宋" w:hAnsi="仿宋" w:eastAsia="仿宋"/>
          <w:sz w:val="32"/>
          <w:szCs w:val="32"/>
        </w:rPr>
        <w:t>支出0.57万元，占0.02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农林水（类）</w:t>
      </w:r>
      <w:r>
        <w:rPr>
          <w:rFonts w:hint="eastAsia" w:ascii="仿宋" w:hAnsi="仿宋" w:eastAsia="仿宋"/>
          <w:sz w:val="32"/>
          <w:szCs w:val="32"/>
        </w:rPr>
        <w:t>支出991.07万元，占35.98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商业服务业等（类）</w:t>
      </w:r>
      <w:r>
        <w:rPr>
          <w:rFonts w:hint="eastAsia" w:ascii="仿宋" w:hAnsi="仿宋" w:eastAsia="仿宋"/>
          <w:sz w:val="32"/>
          <w:szCs w:val="32"/>
        </w:rPr>
        <w:t>支出6.8万元，占0.25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住房保障（类）</w:t>
      </w:r>
      <w:r>
        <w:rPr>
          <w:rFonts w:hint="eastAsia" w:ascii="仿宋" w:hAnsi="仿宋" w:eastAsia="仿宋"/>
          <w:sz w:val="32"/>
          <w:szCs w:val="32"/>
        </w:rPr>
        <w:t>支出82.64万元，占3</w:t>
      </w:r>
      <w:r>
        <w:rPr>
          <w:rFonts w:ascii="仿宋" w:hAnsi="仿宋" w:eastAsia="仿宋"/>
          <w:sz w:val="32"/>
          <w:szCs w:val="32"/>
        </w:rPr>
        <w:t>%</w:t>
      </w:r>
      <w:r>
        <w:rPr>
          <w:rFonts w:hint="eastAsia" w:ascii="仿宋" w:hAnsi="仿宋" w:eastAsia="仿宋"/>
          <w:sz w:val="32"/>
          <w:szCs w:val="32"/>
        </w:rPr>
        <w:t>。</w:t>
      </w:r>
    </w:p>
    <w:p>
      <w:pPr>
        <w:pStyle w:val="2"/>
        <w:tabs>
          <w:tab w:val="left" w:pos="840"/>
        </w:tabs>
        <w:spacing w:before="93"/>
        <w:ind w:left="837" w:hanging="837" w:hangingChars="279"/>
      </w:pPr>
      <w:r>
        <w:drawing>
          <wp:inline distT="0" distB="0" distL="114300" distR="114300">
            <wp:extent cx="3852545" cy="2785745"/>
            <wp:effectExtent l="4445" t="4445" r="10160" b="1016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ind w:firstLine="960" w:firstLineChars="3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2021年一般公共预算支出决算数为2754.65万元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3" w:firstLineChars="200"/>
        <w:rPr>
          <w:rStyle w:val="14"/>
          <w:rFonts w:ascii="仿宋_GB2312" w:eastAsia="仿宋_GB2312"/>
          <w:b w:val="0"/>
          <w:color w:val="000000"/>
          <w:sz w:val="32"/>
          <w:szCs w:val="32"/>
        </w:rPr>
      </w:pPr>
      <w:r>
        <w:rPr>
          <w:rStyle w:val="14"/>
          <w:rFonts w:hint="eastAsia" w:ascii="仿宋" w:hAnsi="仿宋" w:eastAsia="仿宋"/>
          <w:bCs/>
          <w:sz w:val="32"/>
          <w:szCs w:val="32"/>
        </w:rPr>
        <w:t>1.一般公共服务（类）人大事务（款）行政运行（项）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支出决算为1.71万元，完成预算100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Style w:val="14"/>
          <w:rFonts w:hint="eastAsia" w:ascii="仿宋_GB2312" w:eastAsia="仿宋_GB2312"/>
          <w:b w:val="0"/>
          <w:color w:val="000000"/>
          <w:sz w:val="32"/>
          <w:szCs w:val="32"/>
        </w:rPr>
        <w:t>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bCs/>
          <w:color w:val="000000"/>
          <w:sz w:val="32"/>
          <w:szCs w:val="32"/>
        </w:rPr>
        <w:t>2.一般公共服务支出（类）政府办公厅（室）及相关机构</w:t>
      </w:r>
      <w:r>
        <w:rPr>
          <w:rStyle w:val="14"/>
          <w:rFonts w:hint="eastAsia" w:ascii="仿宋_GB2312" w:eastAsia="仿宋_GB2312"/>
          <w:color w:val="000000"/>
          <w:sz w:val="32"/>
          <w:szCs w:val="32"/>
        </w:rPr>
        <w:t>事务（款）行政运营（项）:</w:t>
      </w:r>
      <w:r>
        <w:rPr>
          <w:rStyle w:val="14"/>
          <w:rFonts w:hint="eastAsia" w:ascii="仿宋_GB2312" w:eastAsia="仿宋_GB2312"/>
          <w:b w:val="0"/>
          <w:color w:val="000000"/>
          <w:sz w:val="32"/>
          <w:szCs w:val="32"/>
        </w:rPr>
        <w:t xml:space="preserve"> 支出决算为931.61万元，完成预算100%，决算数与预算数持平。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bCs/>
          <w:color w:val="000000"/>
          <w:sz w:val="32"/>
          <w:szCs w:val="32"/>
        </w:rPr>
        <w:t>3.一般公共服务（类）政府办公厅（室）及相关机构</w:t>
      </w:r>
      <w:r>
        <w:rPr>
          <w:rStyle w:val="14"/>
          <w:rFonts w:hint="eastAsia" w:ascii="仿宋_GB2312" w:eastAsia="仿宋_GB2312"/>
          <w:color w:val="000000"/>
          <w:sz w:val="32"/>
          <w:szCs w:val="32"/>
        </w:rPr>
        <w:t>事务（款）一般行政管理事务（项）:</w:t>
      </w:r>
      <w:r>
        <w:rPr>
          <w:rStyle w:val="14"/>
          <w:rFonts w:hint="eastAsia" w:ascii="仿宋_GB2312" w:eastAsia="仿宋_GB2312"/>
          <w:b w:val="0"/>
          <w:color w:val="000000"/>
          <w:sz w:val="32"/>
          <w:szCs w:val="32"/>
        </w:rPr>
        <w:t xml:space="preserve"> 支出决算为125万元，完成预算100%，决算数与预算数持平。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bCs/>
          <w:color w:val="000000"/>
          <w:sz w:val="32"/>
          <w:szCs w:val="32"/>
        </w:rPr>
        <w:t>4.一般公共服务（类）政府办公厅（室）及相关机构</w:t>
      </w:r>
      <w:r>
        <w:rPr>
          <w:rStyle w:val="14"/>
          <w:rFonts w:hint="eastAsia" w:ascii="仿宋_GB2312" w:eastAsia="仿宋_GB2312"/>
          <w:color w:val="000000"/>
          <w:sz w:val="32"/>
          <w:szCs w:val="32"/>
        </w:rPr>
        <w:t>事务（款）事业运行（项）:</w:t>
      </w:r>
      <w:r>
        <w:rPr>
          <w:rStyle w:val="14"/>
          <w:rFonts w:hint="eastAsia" w:ascii="仿宋_GB2312" w:eastAsia="仿宋_GB2312"/>
          <w:b w:val="0"/>
          <w:color w:val="000000"/>
          <w:sz w:val="32"/>
          <w:szCs w:val="32"/>
        </w:rPr>
        <w:t xml:space="preserve"> 支出决算为330.77万元，完成预算100%，决算数与预算数持平。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bCs/>
          <w:color w:val="000000"/>
          <w:sz w:val="32"/>
          <w:szCs w:val="32"/>
        </w:rPr>
        <w:t>5.一般公共服务（类）财政</w:t>
      </w:r>
      <w:r>
        <w:rPr>
          <w:rStyle w:val="14"/>
          <w:rFonts w:hint="eastAsia" w:ascii="仿宋_GB2312" w:eastAsia="仿宋_GB2312"/>
          <w:color w:val="000000"/>
          <w:sz w:val="32"/>
          <w:szCs w:val="32"/>
        </w:rPr>
        <w:t>事务（款）行政运行（项）:</w:t>
      </w:r>
      <w:r>
        <w:rPr>
          <w:rStyle w:val="14"/>
          <w:rFonts w:hint="eastAsia" w:ascii="仿宋_GB2312" w:eastAsia="仿宋_GB2312"/>
          <w:b w:val="0"/>
          <w:color w:val="000000"/>
          <w:sz w:val="32"/>
          <w:szCs w:val="32"/>
        </w:rPr>
        <w:t xml:space="preserve"> 支出决算为6.84万元，完成预算100%，决算数与预算数持平。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bCs/>
          <w:color w:val="000000"/>
          <w:sz w:val="32"/>
          <w:szCs w:val="32"/>
        </w:rPr>
        <w:t>6.一般公共服务（类）财政</w:t>
      </w:r>
      <w:r>
        <w:rPr>
          <w:rStyle w:val="14"/>
          <w:rFonts w:hint="eastAsia" w:ascii="仿宋_GB2312" w:eastAsia="仿宋_GB2312"/>
          <w:color w:val="000000"/>
          <w:sz w:val="32"/>
          <w:szCs w:val="32"/>
        </w:rPr>
        <w:t>事务（款）事业运行（项）:</w:t>
      </w:r>
      <w:r>
        <w:rPr>
          <w:rStyle w:val="14"/>
          <w:rFonts w:hint="eastAsia" w:ascii="仿宋_GB2312" w:eastAsia="仿宋_GB2312"/>
          <w:b w:val="0"/>
          <w:color w:val="000000"/>
          <w:sz w:val="32"/>
          <w:szCs w:val="32"/>
        </w:rPr>
        <w:t xml:space="preserve"> 支出决算为10.42万元，完成预算100%，决算数与预算数持平。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bCs/>
          <w:color w:val="000000"/>
          <w:sz w:val="32"/>
          <w:szCs w:val="32"/>
        </w:rPr>
        <w:t>7.一般公共服务（类）纪检监察事务</w:t>
      </w:r>
      <w:r>
        <w:rPr>
          <w:rStyle w:val="14"/>
          <w:rFonts w:hint="eastAsia" w:ascii="仿宋_GB2312" w:eastAsia="仿宋_GB2312"/>
          <w:color w:val="000000"/>
          <w:sz w:val="32"/>
          <w:szCs w:val="32"/>
        </w:rPr>
        <w:t>（款）行政运行（项）:</w:t>
      </w:r>
      <w:r>
        <w:rPr>
          <w:rStyle w:val="14"/>
          <w:rFonts w:hint="eastAsia" w:ascii="仿宋_GB2312" w:eastAsia="仿宋_GB2312"/>
          <w:b w:val="0"/>
          <w:color w:val="000000"/>
          <w:sz w:val="32"/>
          <w:szCs w:val="32"/>
        </w:rPr>
        <w:t xml:space="preserve"> 支出决算为7.77万元，完成预算100%，决算数与预算数持平。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bCs/>
          <w:color w:val="000000"/>
          <w:sz w:val="32"/>
          <w:szCs w:val="32"/>
        </w:rPr>
        <w:t>8.一般公共服务（类）党委办公厅（室）及相关机构事务</w:t>
      </w:r>
      <w:r>
        <w:rPr>
          <w:rStyle w:val="14"/>
          <w:rFonts w:hint="eastAsia" w:ascii="仿宋_GB2312" w:eastAsia="仿宋_GB2312"/>
          <w:color w:val="000000"/>
          <w:sz w:val="32"/>
          <w:szCs w:val="32"/>
        </w:rPr>
        <w:t>（款）行政运行（项）:</w:t>
      </w:r>
      <w:r>
        <w:rPr>
          <w:rStyle w:val="14"/>
          <w:rFonts w:hint="eastAsia" w:ascii="仿宋_GB2312" w:eastAsia="仿宋_GB2312"/>
          <w:b w:val="0"/>
          <w:color w:val="000000"/>
          <w:sz w:val="32"/>
          <w:szCs w:val="32"/>
        </w:rPr>
        <w:t xml:space="preserve"> 支出决算为6.84万元，完成预算100%，决算数与预算数持平。</w:t>
      </w:r>
    </w:p>
    <w:p>
      <w:pPr>
        <w:pStyle w:val="2"/>
        <w:spacing w:before="93"/>
        <w:ind w:firstLine="643" w:firstLineChars="200"/>
      </w:pPr>
      <w:r>
        <w:rPr>
          <w:rStyle w:val="14"/>
          <w:rFonts w:hint="eastAsia"/>
          <w:bCs/>
          <w:color w:val="000000"/>
          <w:sz w:val="32"/>
          <w:szCs w:val="32"/>
        </w:rPr>
        <w:t>9.一般公共服务（类）党委办公厅（室）及相关机构事务</w:t>
      </w:r>
      <w:r>
        <w:rPr>
          <w:rStyle w:val="14"/>
          <w:rFonts w:hint="eastAsia"/>
          <w:color w:val="000000"/>
          <w:sz w:val="32"/>
          <w:szCs w:val="32"/>
        </w:rPr>
        <w:t>（款）其他一般公共服务支出（项）:</w:t>
      </w:r>
      <w:r>
        <w:rPr>
          <w:rStyle w:val="14"/>
          <w:rFonts w:hint="eastAsia"/>
          <w:b w:val="0"/>
          <w:color w:val="000000"/>
          <w:sz w:val="32"/>
          <w:szCs w:val="32"/>
        </w:rPr>
        <w:t xml:space="preserve"> 支出决算为4.55万元，完成预算100%，决算数与预算数持平。</w:t>
      </w:r>
    </w:p>
    <w:p>
      <w:pPr>
        <w:pStyle w:val="2"/>
        <w:spacing w:before="93"/>
        <w:ind w:firstLine="643" w:firstLineChars="200"/>
        <w:rPr>
          <w:rStyle w:val="14"/>
          <w:b w:val="0"/>
          <w:color w:val="000000"/>
          <w:sz w:val="32"/>
          <w:szCs w:val="32"/>
        </w:rPr>
      </w:pPr>
      <w:r>
        <w:rPr>
          <w:rStyle w:val="14"/>
          <w:rFonts w:hint="eastAsia"/>
          <w:color w:val="000000"/>
          <w:sz w:val="32"/>
          <w:szCs w:val="32"/>
        </w:rPr>
        <w:t>10.文化旅游体育与传媒支出（类）文化和旅游（款）其他文化和旅游支出（项）:</w:t>
      </w:r>
      <w:r>
        <w:rPr>
          <w:rStyle w:val="14"/>
          <w:rFonts w:hint="eastAsia"/>
          <w:b w:val="0"/>
          <w:color w:val="000000"/>
          <w:sz w:val="32"/>
          <w:szCs w:val="32"/>
        </w:rPr>
        <w:t xml:space="preserve"> 支出决算为6万元，完成预算100%，决算数与预算数持平。</w:t>
      </w:r>
    </w:p>
    <w:p>
      <w:pPr>
        <w:pStyle w:val="2"/>
        <w:spacing w:before="93"/>
        <w:ind w:firstLine="643" w:firstLineChars="200"/>
        <w:rPr>
          <w:rStyle w:val="14"/>
          <w:b w:val="0"/>
          <w:color w:val="000000"/>
          <w:sz w:val="32"/>
          <w:szCs w:val="32"/>
        </w:rPr>
      </w:pPr>
      <w:r>
        <w:rPr>
          <w:rStyle w:val="14"/>
          <w:rFonts w:hint="eastAsia"/>
          <w:color w:val="000000"/>
          <w:sz w:val="32"/>
          <w:szCs w:val="32"/>
        </w:rPr>
        <w:t>11.文化旅游体育与传媒支出（类）其他文化和旅游（款）其他文化旅游与传媒支出（项）:</w:t>
      </w:r>
      <w:r>
        <w:rPr>
          <w:rStyle w:val="14"/>
          <w:rFonts w:hint="eastAsia"/>
          <w:b w:val="0"/>
          <w:color w:val="000000"/>
          <w:sz w:val="32"/>
          <w:szCs w:val="32"/>
        </w:rPr>
        <w:t xml:space="preserve"> 支出决算为8万元，完成预算100%，决算数与预算数持平。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12.社会保障和就业（类）行政事业单位养老支出（款）机关事业单位基本养老保险缴费支出（项）:</w:t>
      </w:r>
      <w:r>
        <w:rPr>
          <w:rStyle w:val="14"/>
          <w:rFonts w:hint="eastAsia" w:ascii="仿宋_GB2312" w:eastAsia="仿宋_GB2312"/>
          <w:b w:val="0"/>
          <w:color w:val="000000"/>
          <w:sz w:val="32"/>
          <w:szCs w:val="32"/>
        </w:rPr>
        <w:t xml:space="preserve"> 支出决算为110.18万元，完成预算100%，决算数与预算数持平。</w:t>
      </w:r>
    </w:p>
    <w:p>
      <w:pPr>
        <w:pStyle w:val="2"/>
        <w:spacing w:before="93"/>
        <w:ind w:firstLine="643" w:firstLineChars="200"/>
      </w:pPr>
      <w:r>
        <w:rPr>
          <w:rStyle w:val="14"/>
          <w:rFonts w:hint="eastAsia"/>
          <w:color w:val="000000"/>
          <w:sz w:val="32"/>
          <w:szCs w:val="32"/>
        </w:rPr>
        <w:t>13.社会保障和就业（类）就业补助（款）公益性岗位补贴（项）:</w:t>
      </w:r>
      <w:r>
        <w:rPr>
          <w:rStyle w:val="14"/>
          <w:rFonts w:hint="eastAsia"/>
          <w:b w:val="0"/>
          <w:color w:val="000000"/>
          <w:sz w:val="32"/>
          <w:szCs w:val="32"/>
        </w:rPr>
        <w:t xml:space="preserve"> 支出决算为40.64万元，完成预算100%，决算数与预算数持平。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14.社会保障和就业（类）抚恤（款）其他抚恤（项）:</w:t>
      </w:r>
      <w:r>
        <w:rPr>
          <w:rStyle w:val="14"/>
          <w:rFonts w:hint="eastAsia" w:ascii="仿宋_GB2312" w:eastAsia="仿宋_GB2312"/>
          <w:b w:val="0"/>
          <w:color w:val="000000"/>
          <w:sz w:val="32"/>
          <w:szCs w:val="32"/>
        </w:rPr>
        <w:t xml:space="preserve"> 支出决算为11.04万元，完成预算100%，决算数与预算数持平。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15.卫生健康支出（类）行政事业单位医疗（款）行政单位医疗（项）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支出决算为29.07万元，完成预算100%，决算数与预算数持平。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16.卫生健康支出（类）行政事业单位医疗（款）事业单位医疗（项）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支出决算为33.85万元，完成预算100%，决算数与预算数持平。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17.卫生健康支出（类）行政事业单位医疗（款）公务员医疗补助（项）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支出决算为6.62万元，完成预算100%，决算数与预算数持平。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18.农林水支出（类）农业农村（款）事业运行（项）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支出决算为35.91万元，完成预算100%，决算数与预算数持平。</w:t>
      </w:r>
    </w:p>
    <w:p>
      <w:pPr>
        <w:spacing w:line="600" w:lineRule="exact"/>
        <w:ind w:firstLine="643" w:firstLineChars="200"/>
        <w:rPr>
          <w:rFonts w:ascii="仿宋_GB2312" w:eastAsia="仿宋_GB2312"/>
          <w:color w:val="000000"/>
          <w:sz w:val="32"/>
          <w:szCs w:val="32"/>
        </w:rPr>
      </w:pPr>
      <w:r>
        <w:rPr>
          <w:rStyle w:val="14"/>
          <w:rFonts w:hint="eastAsia" w:ascii="仿宋_GB2312" w:eastAsia="仿宋_GB2312"/>
          <w:color w:val="000000"/>
          <w:sz w:val="32"/>
          <w:szCs w:val="32"/>
        </w:rPr>
        <w:t>19.农林水支出（类）农业农村（款）其他农业农村支出（项）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支出决算为60万元，完成预算100%，决算数与预算数持平。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20.农林水支出（类）扶贫（款）农村基础设施建设（项）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支出决算为200.43万元，完成预算100%，决算数与预算数持平。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21.农林水支出（类）扶贫（款）生产发展（项）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支出决算为10万元，完成预算100%，决算数与预算数持平。</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22.农林水支出（类）扶贫（款）其他扶贫支出（项）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支出决算为208.17万元，完成预算100%，决算数与预算数持平。</w:t>
      </w:r>
    </w:p>
    <w:p>
      <w:pPr>
        <w:spacing w:line="600" w:lineRule="exact"/>
        <w:ind w:firstLine="643" w:firstLineChars="200"/>
        <w:rPr>
          <w:rFonts w:ascii="仿宋" w:hAnsi="仿宋" w:eastAsia="仿宋"/>
          <w:b/>
          <w:sz w:val="32"/>
          <w:szCs w:val="32"/>
        </w:rPr>
      </w:pP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23.农林水支出（类）农村综合改革（款）对村民委员会和村党支部的补助（项）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支出决算为476.55万元，完成预算100%，决算数与预算数持平。</w:t>
      </w:r>
    </w:p>
    <w:p>
      <w:pPr>
        <w:spacing w:line="600" w:lineRule="exact"/>
        <w:ind w:firstLine="643" w:firstLineChars="200"/>
        <w:rPr>
          <w:rFonts w:ascii="仿宋" w:hAnsi="仿宋" w:eastAsia="仿宋"/>
          <w:b/>
          <w:sz w:val="32"/>
          <w:szCs w:val="32"/>
        </w:rPr>
      </w:pPr>
      <w:r>
        <w:rPr>
          <w:rStyle w:val="14"/>
          <w:rFonts w:hint="eastAsia" w:ascii="仿宋_GB2312" w:eastAsia="仿宋_GB2312"/>
          <w:color w:val="000000"/>
          <w:sz w:val="32"/>
          <w:szCs w:val="32"/>
        </w:rPr>
        <w:t>24.住房保障支出（类）住房改革支出（款）住房公积金（项）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支出决算为82.64万元，完成预算100%，决算数与预算数持平。</w:t>
      </w:r>
    </w:p>
    <w:p>
      <w:pPr>
        <w:tabs>
          <w:tab w:val="right" w:pos="8306"/>
        </w:tabs>
        <w:spacing w:line="600" w:lineRule="exact"/>
        <w:ind w:firstLine="640"/>
        <w:outlineLvl w:val="1"/>
        <w:rPr>
          <w:rStyle w:val="25"/>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20年一般公共预算财政拨款基本支出1982.87万元，其中：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1668.81万元，主要包括：基本工资、津贴补贴、奖金绩效工资、机关事业单位基本养老保险缴费、职业年金缴费、其他社会保障缴费、其他工资福利支出、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314.06万元，主要包括：办公费、印刷费、水费、电费、邮电费、差旅费、因公出国（境）费用、维修（护）费、租赁费、会议费、培训费、公务接待费、劳务费、工会经费、福利费、其他交通费、税金及附加费用、其他商品和服务支出、办公设备购置。</w:t>
      </w: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20年“三公”经费财政拨款支出决算为2.6万元，完成预算100</w:t>
      </w:r>
      <w:r>
        <w:rPr>
          <w:rFonts w:ascii="仿宋" w:hAnsi="仿宋" w:eastAsia="仿宋"/>
          <w:sz w:val="32"/>
          <w:szCs w:val="32"/>
        </w:rPr>
        <w:t>%</w:t>
      </w:r>
      <w:r>
        <w:rPr>
          <w:rFonts w:hint="eastAsia" w:ascii="仿宋" w:hAnsi="仿宋" w:eastAsia="仿宋"/>
          <w:sz w:val="32"/>
          <w:szCs w:val="32"/>
        </w:rPr>
        <w:t>，决算数预算数持平。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；公务接待费支出决算2.6万元，占100</w:t>
      </w:r>
      <w:r>
        <w:rPr>
          <w:rFonts w:ascii="仿宋" w:hAnsi="仿宋" w:eastAsia="仿宋"/>
          <w:sz w:val="32"/>
          <w:szCs w:val="32"/>
        </w:rPr>
        <w:t>%</w:t>
      </w:r>
      <w:r>
        <w:rPr>
          <w:rFonts w:hint="eastAsia" w:ascii="仿宋" w:hAnsi="仿宋" w:eastAsia="仿宋"/>
          <w:sz w:val="32"/>
          <w:szCs w:val="32"/>
        </w:rPr>
        <w:t>。具体情况如下：</w:t>
      </w:r>
    </w:p>
    <w:p>
      <w:pPr>
        <w:pStyle w:val="2"/>
        <w:spacing w:before="93"/>
        <w:ind w:left="1058" w:leftChars="504"/>
        <w:rPr>
          <w:rFonts w:ascii="仿宋" w:hAnsi="仿宋" w:eastAsia="仿宋"/>
          <w:sz w:val="32"/>
          <w:szCs w:val="32"/>
        </w:rPr>
      </w:pPr>
      <w:r>
        <w:drawing>
          <wp:inline distT="0" distB="0" distL="114300" distR="114300">
            <wp:extent cx="3725545" cy="2119630"/>
            <wp:effectExtent l="4445" t="4445" r="22860" b="95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20年无增减。</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hint="eastAsia" w:ascii="仿宋_GB2312" w:eastAsia="仿宋_GB2312"/>
          <w:sz w:val="32"/>
          <w:szCs w:val="32"/>
          <w:lang w:eastAsia="zh-CN"/>
        </w:rPr>
        <w:t>，</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20年无增减。</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0万元。全年按规定更新购置公务用车1辆，其中：轿车0辆、金额0万元，越野车0辆、金额0万元，载客汽车0辆、金额0万元。截至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2.6万元，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19年减少0.4万元，下降13.33</w:t>
      </w:r>
      <w:r>
        <w:rPr>
          <w:rFonts w:ascii="仿宋_GB2312" w:eastAsia="仿宋_GB2312"/>
          <w:sz w:val="32"/>
          <w:szCs w:val="32"/>
        </w:rPr>
        <w:t>%</w:t>
      </w:r>
      <w:r>
        <w:rPr>
          <w:rFonts w:hint="eastAsia" w:ascii="仿宋_GB2312" w:eastAsia="仿宋_GB2312"/>
          <w:sz w:val="32"/>
          <w:szCs w:val="32"/>
        </w:rPr>
        <w:t>。主要原因是按规定压减三公经费。其中：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2.6</w:t>
      </w:r>
      <w:r>
        <w:rPr>
          <w:rFonts w:hint="eastAsia" w:ascii="仿宋_GB2312" w:eastAsia="仿宋_GB2312"/>
          <w:sz w:val="32"/>
          <w:szCs w:val="32"/>
        </w:rPr>
        <w:t>万元，主要用于执行公务、开展业务活动开支的交通费、用餐费等。国内公务接待142批次，1755人次（不包括陪同人员），共计支出2.6万元，具体内容包括</w:t>
      </w:r>
      <w:r>
        <w:rPr>
          <w:rFonts w:hint="eastAsia" w:ascii="仿宋_GB2312" w:eastAsia="仿宋_GB2312"/>
          <w:color w:val="000000"/>
          <w:sz w:val="32"/>
          <w:szCs w:val="32"/>
        </w:rPr>
        <w:t>省市县级领导接待0.9万元，县级各部门开展审计、调研等业务活动1.9万元</w:t>
      </w:r>
      <w:r>
        <w:rPr>
          <w:rFonts w:hint="eastAsia" w:ascii="仿宋_GB2312" w:eastAsia="仿宋_GB2312"/>
          <w:sz w:val="32"/>
          <w:szCs w:val="32"/>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20年政府性基金预算财政拨款支出0万元。</w:t>
      </w:r>
    </w:p>
    <w:p>
      <w:pPr>
        <w:numPr>
          <w:ilvl w:val="0"/>
          <w:numId w:val="3"/>
        </w:numPr>
        <w:spacing w:line="600" w:lineRule="exact"/>
        <w:ind w:firstLine="640"/>
        <w:outlineLvl w:val="1"/>
        <w:rPr>
          <w:rStyle w:val="25"/>
          <w:rFonts w:ascii="黑体" w:hAnsi="黑体" w:eastAsia="黑体"/>
          <w:b w:val="0"/>
        </w:rPr>
      </w:pPr>
      <w:bookmarkStart w:id="42" w:name="_Toc15377219"/>
      <w:bookmarkStart w:id="43" w:name="_Toc15396611"/>
      <w:r>
        <w:rPr>
          <w:rStyle w:val="25"/>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20年，广纳镇人民政府机关运行经费支出273.43万元，比</w:t>
      </w:r>
      <w:r>
        <w:rPr>
          <w:rFonts w:ascii="仿宋_GB2312" w:eastAsia="仿宋_GB2312"/>
          <w:sz w:val="32"/>
          <w:szCs w:val="32"/>
        </w:rPr>
        <w:t>20</w:t>
      </w:r>
      <w:r>
        <w:rPr>
          <w:rFonts w:hint="eastAsia" w:ascii="仿宋_GB2312" w:eastAsia="仿宋_GB2312"/>
          <w:sz w:val="32"/>
          <w:szCs w:val="32"/>
        </w:rPr>
        <w:t>19年减少15万元，下降4.5</w:t>
      </w:r>
      <w:r>
        <w:rPr>
          <w:rFonts w:ascii="仿宋_GB2312" w:eastAsia="仿宋_GB2312"/>
          <w:sz w:val="32"/>
          <w:szCs w:val="32"/>
        </w:rPr>
        <w:t>%</w:t>
      </w:r>
      <w:r>
        <w:rPr>
          <w:rFonts w:hint="eastAsia" w:ascii="仿宋_GB2312" w:eastAsia="仿宋_GB2312"/>
          <w:sz w:val="32"/>
          <w:szCs w:val="32"/>
        </w:rPr>
        <w:t>，主要原因是压缩机构运行经费。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20年，广纳镇人民政府采购支出总额4.5万元，其中：政府采购货物支出4.5万元、政府采购工程支出0万元、政府采购服务支出0万元。主要用于办公设备采购。授予中小企业合同金额0万元，占政府采购支出总额的0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日，广纳镇人民政府共有车辆0辆，其中：主要领导干部用车0辆、机要通信用车0辆、应急保障用车0辆、其他用车0辆。单价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2020年度预算编制阶段，组织对农村环境整治项目等21个项目开展了预算事前绩效评估，对5个项目编制了绩效目标，预算执行过程中，选取5个项目开展绩效监控，年终执行完毕后，对农村环境整治项目、农村安全饮食项目、农产品精深加工标准化厂房建设、基层组织活动及公共服务运行项目、农村危房改造项目合计5个项目开展了绩效自评，2020年特定目标类部门预算项目绩效目标自评表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widowControl/>
        <w:shd w:val="clear" w:color="auto" w:fill="FFFFFF"/>
        <w:ind w:firstLine="640"/>
        <w:rPr>
          <w:rFonts w:ascii="瀹嬩綋" w:hAnsi="瀹嬩綋" w:eastAsia="瀹嬩綋" w:cs="瀹嬩綋"/>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ascii="仿宋_GB2312" w:hAnsi="瀹嬩綋" w:eastAsia="仿宋_GB2312" w:cs="仿宋_GB2312"/>
          <w:color w:val="000000"/>
          <w:kern w:val="0"/>
          <w:sz w:val="32"/>
          <w:szCs w:val="32"/>
          <w:shd w:val="clear" w:color="auto" w:fill="FFFFFF"/>
        </w:rPr>
        <w:t>一般公共服务（类）人大事务（款）行政运行（项）: 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3.一般公共服务（类）政府办公厅（室）及相关机构事务（款）行政运行（项）</w:t>
      </w:r>
      <w:r>
        <w:rPr>
          <w:rFonts w:hint="eastAsia" w:ascii="仿宋_GB2312" w:hAnsi="瀹嬩綋" w:eastAsia="仿宋_GB2312" w:cs="仿宋_GB2312"/>
          <w:color w:val="000000"/>
          <w:kern w:val="0"/>
          <w:sz w:val="32"/>
          <w:szCs w:val="32"/>
          <w:shd w:val="clear" w:color="auto" w:fill="FFFFFF"/>
          <w:lang w:eastAsia="zh-CN"/>
        </w:rPr>
        <w:t>：</w:t>
      </w:r>
      <w:r>
        <w:rPr>
          <w:rFonts w:hint="eastAsia" w:ascii="仿宋_GB2312" w:hAnsi="瀹嬩綋" w:eastAsia="仿宋_GB2312" w:cs="仿宋_GB2312"/>
          <w:color w:val="000000"/>
          <w:kern w:val="0"/>
          <w:sz w:val="32"/>
          <w:szCs w:val="32"/>
          <w:shd w:val="clear" w:color="auto" w:fill="FFFFFF"/>
        </w:rPr>
        <w:t>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4.一般公共服务（类）政府办公厅（室）及相关机构事务（款）一般行政管理事务（项）</w:t>
      </w:r>
      <w:r>
        <w:rPr>
          <w:rFonts w:hint="eastAsia" w:ascii="仿宋_GB2312" w:hAnsi="瀹嬩綋" w:eastAsia="仿宋_GB2312" w:cs="仿宋_GB2312"/>
          <w:color w:val="000000"/>
          <w:kern w:val="0"/>
          <w:sz w:val="32"/>
          <w:szCs w:val="32"/>
          <w:shd w:val="clear" w:color="auto" w:fill="FFFFFF"/>
          <w:lang w:eastAsia="zh-CN"/>
        </w:rPr>
        <w:t>：</w:t>
      </w:r>
      <w:r>
        <w:rPr>
          <w:rFonts w:hint="eastAsia" w:ascii="仿宋_GB2312" w:hAnsi="瀹嬩綋" w:eastAsia="仿宋_GB2312" w:cs="仿宋_GB2312"/>
          <w:color w:val="000000"/>
          <w:kern w:val="0"/>
          <w:sz w:val="32"/>
          <w:szCs w:val="32"/>
          <w:shd w:val="clear" w:color="auto" w:fill="FFFFFF"/>
        </w:rPr>
        <w:t>反应行政单位行政管理事务方面的支出。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5.一般公共服务（类）政府办公厅（室）及相关机构事务（款）信访事务（项）</w:t>
      </w:r>
      <w:r>
        <w:rPr>
          <w:rFonts w:hint="eastAsia" w:ascii="仿宋_GB2312" w:hAnsi="瀹嬩綋" w:eastAsia="仿宋_GB2312" w:cs="仿宋_GB2312"/>
          <w:color w:val="000000"/>
          <w:kern w:val="0"/>
          <w:sz w:val="32"/>
          <w:szCs w:val="32"/>
          <w:shd w:val="clear" w:color="auto" w:fill="FFFFFF"/>
          <w:lang w:eastAsia="zh-CN"/>
        </w:rPr>
        <w:t>：</w:t>
      </w:r>
      <w:r>
        <w:rPr>
          <w:rFonts w:hint="eastAsia" w:ascii="仿宋_GB2312" w:hAnsi="瀹嬩綋" w:eastAsia="仿宋_GB2312" w:cs="仿宋_GB2312"/>
          <w:color w:val="000000"/>
          <w:kern w:val="0"/>
          <w:sz w:val="32"/>
          <w:szCs w:val="32"/>
          <w:shd w:val="clear" w:color="auto" w:fill="FFFFFF"/>
        </w:rPr>
        <w:t>反映各级政府用于接待群众来信来访方面的支出。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6. 一般公共服务（类）财政事务（款）行政运行（项）:</w:t>
      </w:r>
    </w:p>
    <w:p>
      <w:pPr>
        <w:widowControl/>
        <w:shd w:val="clear" w:color="auto" w:fill="FFFFFF"/>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7. 一般公共服务（类）纪检监察事务（款）行政运行（项）</w:t>
      </w:r>
      <w:r>
        <w:rPr>
          <w:rFonts w:hint="eastAsia" w:ascii="仿宋_GB2312" w:hAnsi="瀹嬩綋" w:eastAsia="仿宋_GB2312" w:cs="仿宋_GB2312"/>
          <w:color w:val="000000"/>
          <w:kern w:val="0"/>
          <w:sz w:val="32"/>
          <w:szCs w:val="32"/>
          <w:shd w:val="clear" w:color="auto" w:fill="FFFFFF"/>
          <w:lang w:eastAsia="zh-CN"/>
        </w:rPr>
        <w:t>：</w:t>
      </w:r>
      <w:r>
        <w:rPr>
          <w:rFonts w:hint="eastAsia" w:ascii="仿宋_GB2312" w:hAnsi="瀹嬩綋" w:eastAsia="仿宋_GB2312" w:cs="仿宋_GB2312"/>
          <w:color w:val="000000"/>
          <w:kern w:val="0"/>
          <w:sz w:val="32"/>
          <w:szCs w:val="32"/>
          <w:shd w:val="clear" w:color="auto" w:fill="FFFFFF"/>
        </w:rPr>
        <w:t>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8. 一般公共服务（类）党委办公厅（室）及相关机构事务（款）行政运行（项）</w:t>
      </w:r>
      <w:r>
        <w:rPr>
          <w:rFonts w:hint="eastAsia" w:ascii="仿宋_GB2312" w:hAnsi="瀹嬩綋" w:eastAsia="仿宋_GB2312" w:cs="仿宋_GB2312"/>
          <w:color w:val="000000"/>
          <w:kern w:val="0"/>
          <w:sz w:val="32"/>
          <w:szCs w:val="32"/>
          <w:shd w:val="clear" w:color="auto" w:fill="FFFFFF"/>
          <w:lang w:eastAsia="zh-CN"/>
        </w:rPr>
        <w:t>：</w:t>
      </w:r>
      <w:r>
        <w:rPr>
          <w:rFonts w:hint="eastAsia" w:ascii="仿宋_GB2312" w:hAnsi="瀹嬩綋" w:eastAsia="仿宋_GB2312" w:cs="仿宋_GB2312"/>
          <w:color w:val="000000"/>
          <w:kern w:val="0"/>
          <w:sz w:val="32"/>
          <w:szCs w:val="32"/>
          <w:shd w:val="clear" w:color="auto" w:fill="FFFFFF"/>
        </w:rPr>
        <w:t>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9. 文化体育与传媒支出（类）文化（款）其他文化支出（项）：反映除上述项目以外其他用于文化方面的支出。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10. 社会保障和就业支出（类）人力资源和社会保障管理事务（款）社会保险经办机构（项）：反映社会保险经办机构开展业务工作的支出。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11. 社会保障和就业支出（类）行政事业单位离退休（款）</w:t>
      </w:r>
    </w:p>
    <w:p>
      <w:pPr>
        <w:widowControl/>
        <w:shd w:val="clear" w:color="auto" w:fill="FFFFFF"/>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机关事业单位基本养老保险缴费支出（项）：反映机关事业单位实施养老保险制度由单位缴纳的基本养老保险费支出。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12. 医疗卫生与计划生育支出（类）医疗卫生与计划生育管理事务（款）行政运行（项）：反映行政单位（包括实行公务员管理的事业单位）的基本支出。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13. 医疗卫生与计划生育支出（类）基层医疗卫生机构（款）乡镇卫生院（项）：反映用于乡镇卫生院的支出。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14.城乡社区支出（类）城乡社区规划与管理（款）城乡社区规划与管理（项）: 指反映城乡社区、名胜风景区、防灾减灾、历史名城规划制定与管理等方面的支出。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15. 农林水支出（类）农业（款） 事业运行（项）：反映用于农业事业单位基本支出，事业单位设施、系统运行与资产维护等方面的支出。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16. 农林水支出（类）林业（款）林业事业机构（项）：用于林业事业单位的基本支出。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17. 农林水支出（类）水利（款）水利技术推广（项）：反映水利系统纳入预算管理的技术推广事业单位的支出。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18. 农林水支出（类）扶贫（款）农村基础设施建设（项）：反映用于农村公路、道路建设方面等基础设施建设的支出。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19. 农林水支出（类）扶贫（款）生产发展（项）：反映用于农村贫困地区发展种植业、养殖业、畜牧业、农副产品加工、林果地建设等生产发展项目以及相关技术推广等方面的项目支出。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20. 农林水支出（类）扶贫（款）其他扶贫支出（项）：反映除上述项目以外其他用于其他扶贫支出。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21. 农林水支出（类）农村综合改革（款）对村民委员会和村支部的补助（项）：反映各级财政对村民委员会和村党支部的补助支出。</w:t>
      </w:r>
    </w:p>
    <w:p>
      <w:pPr>
        <w:widowControl/>
        <w:shd w:val="clear" w:color="auto" w:fill="FFFFFF"/>
        <w:ind w:firstLine="640"/>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22. 农林水支出（类）农村综合改革（款）对村集体经济组织的补助（项）：反映农村税费改革后对村集体经济组织的补助支出。</w:t>
      </w:r>
    </w:p>
    <w:p>
      <w:pPr>
        <w:widowControl/>
        <w:shd w:val="clear" w:color="auto" w:fill="FFFFFF"/>
        <w:spacing w:line="560" w:lineRule="exact"/>
        <w:ind w:firstLine="641"/>
        <w:rPr>
          <w:rFonts w:ascii="仿宋_GB2312" w:hAnsi="瀹嬩綋" w:eastAsia="仿宋_GB2312" w:cs="仿宋_GB2312"/>
          <w:color w:val="000000"/>
          <w:kern w:val="0"/>
          <w:sz w:val="32"/>
          <w:szCs w:val="32"/>
          <w:shd w:val="clear" w:color="auto" w:fill="FFFFFF"/>
        </w:rPr>
      </w:pPr>
      <w:r>
        <w:rPr>
          <w:rFonts w:hint="eastAsia" w:ascii="仿宋_GB2312" w:hAnsi="瀹嬩綋" w:eastAsia="仿宋_GB2312" w:cs="仿宋_GB2312"/>
          <w:color w:val="000000"/>
          <w:kern w:val="0"/>
          <w:sz w:val="32"/>
          <w:szCs w:val="32"/>
          <w:shd w:val="clear" w:color="auto" w:fill="FFFFFF"/>
        </w:rPr>
        <w:t>23.住房保障支出（类）住房改革支出（款）住房公积金（项）：反映用于本单位职工住房公积金缴存等支出。</w:t>
      </w:r>
    </w:p>
    <w:p>
      <w:pPr>
        <w:widowControl/>
        <w:shd w:val="clear" w:color="auto" w:fill="FFFFFF"/>
        <w:spacing w:line="560" w:lineRule="exact"/>
        <w:ind w:firstLine="641"/>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24. 基本支出：指为保障机构正常运转、完成日常工作任务而发生的人员支出和公用支出。</w:t>
      </w:r>
    </w:p>
    <w:p>
      <w:pPr>
        <w:widowControl/>
        <w:shd w:val="clear" w:color="auto" w:fill="FFFFFF"/>
        <w:spacing w:line="560" w:lineRule="exact"/>
        <w:ind w:firstLine="641"/>
        <w:rPr>
          <w:rFonts w:ascii="瀹嬩綋" w:hAnsi="瀹嬩綋" w:eastAsia="瀹嬩綋" w:cs="瀹嬩綋"/>
          <w:color w:val="000000"/>
          <w:sz w:val="32"/>
          <w:szCs w:val="32"/>
        </w:rPr>
      </w:pPr>
      <w:r>
        <w:rPr>
          <w:rFonts w:hint="eastAsia" w:ascii="仿宋_GB2312" w:hAnsi="瀹嬩綋" w:eastAsia="仿宋_GB2312" w:cs="仿宋_GB2312"/>
          <w:color w:val="000000"/>
          <w:kern w:val="0"/>
          <w:sz w:val="32"/>
          <w:szCs w:val="32"/>
          <w:shd w:val="clear" w:color="auto" w:fill="FFFFFF"/>
        </w:rPr>
        <w:t>25. 项目支出：指在基本支出之外为完成特定行政任务和事业发展目标所发生的支出。</w:t>
      </w:r>
    </w:p>
    <w:p>
      <w:pPr>
        <w:widowControl/>
        <w:shd w:val="clear" w:color="auto" w:fill="FFFFFF"/>
        <w:ind w:firstLine="640"/>
        <w:rPr>
          <w:rFonts w:ascii="仿宋_GB2312" w:hAnsi="瀹嬩綋" w:eastAsia="仿宋_GB2312" w:cs="仿宋_GB2312"/>
          <w:color w:val="000000"/>
          <w:kern w:val="0"/>
          <w:sz w:val="32"/>
          <w:szCs w:val="32"/>
          <w:shd w:val="clear" w:color="auto" w:fill="FFFFFF"/>
        </w:rPr>
      </w:pPr>
      <w:r>
        <w:rPr>
          <w:rFonts w:hint="eastAsia" w:ascii="仿宋_GB2312" w:hAnsi="瀹嬩綋" w:eastAsia="仿宋_GB2312" w:cs="仿宋_GB2312"/>
          <w:color w:val="000000"/>
          <w:kern w:val="0"/>
          <w:sz w:val="32"/>
          <w:szCs w:val="32"/>
          <w:shd w:val="clear" w:color="auto" w:fill="FFFFFF"/>
        </w:rPr>
        <w:t>26. “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hd w:val="clear" w:color="auto" w:fill="FFFFFF"/>
        <w:ind w:firstLine="640"/>
        <w:rPr>
          <w:rFonts w:ascii="仿宋_GB2312" w:hAnsi="瀹嬩綋" w:eastAsia="仿宋_GB2312" w:cs="仿宋_GB2312"/>
          <w:color w:val="000000"/>
          <w:kern w:val="0"/>
          <w:sz w:val="32"/>
          <w:szCs w:val="32"/>
          <w:shd w:val="clear" w:color="auto" w:fill="FFFFFF"/>
        </w:rPr>
      </w:pPr>
      <w:r>
        <w:rPr>
          <w:rFonts w:hint="eastAsia" w:ascii="仿宋_GB2312" w:hAnsi="瀹嬩綋" w:eastAsia="仿宋_GB2312" w:cs="仿宋_GB2312"/>
          <w:color w:val="000000"/>
          <w:kern w:val="0"/>
          <w:sz w:val="32"/>
          <w:szCs w:val="32"/>
          <w:shd w:val="clear" w:color="auto" w:fill="FFFFFF"/>
        </w:rPr>
        <w:t>27. 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宋体"/>
          <w:b/>
          <w:sz w:val="44"/>
          <w:szCs w:val="44"/>
        </w:rPr>
      </w:pPr>
      <w:bookmarkStart w:id="51" w:name="_Toc15377226"/>
    </w:p>
    <w:p>
      <w:pPr>
        <w:spacing w:line="600" w:lineRule="exact"/>
        <w:jc w:val="center"/>
        <w:outlineLvl w:val="0"/>
        <w:rPr>
          <w:rFonts w:ascii="宋体"/>
          <w:b/>
          <w:sz w:val="44"/>
          <w:szCs w:val="44"/>
        </w:rPr>
      </w:pPr>
    </w:p>
    <w:p>
      <w:pPr>
        <w:spacing w:line="600" w:lineRule="exact"/>
        <w:jc w:val="center"/>
        <w:outlineLvl w:val="0"/>
        <w:rPr>
          <w:rStyle w:val="24"/>
          <w:rFonts w:ascii="黑体" w:hAnsi="黑体" w:eastAsia="黑体"/>
          <w:b w:val="0"/>
        </w:rPr>
      </w:pPr>
      <w:r>
        <w:rPr>
          <w:rFonts w:ascii="宋体"/>
          <w:b/>
          <w:sz w:val="44"/>
          <w:szCs w:val="44"/>
        </w:rPr>
        <w:br w:type="page"/>
      </w:r>
    </w:p>
    <w:tbl>
      <w:tblPr>
        <w:tblStyle w:val="12"/>
        <w:tblpPr w:leftFromText="180" w:rightFromText="180" w:vertAnchor="text" w:horzAnchor="page" w:tblpX="1287" w:tblpY="739"/>
        <w:tblOverlap w:val="never"/>
        <w:tblW w:w="10050" w:type="dxa"/>
        <w:tblInd w:w="0" w:type="dxa"/>
        <w:tblLayout w:type="fixed"/>
        <w:tblCellMar>
          <w:top w:w="0" w:type="dxa"/>
          <w:left w:w="108" w:type="dxa"/>
          <w:bottom w:w="0" w:type="dxa"/>
          <w:right w:w="108" w:type="dxa"/>
        </w:tblCellMar>
      </w:tblPr>
      <w:tblGrid>
        <w:gridCol w:w="1977"/>
        <w:gridCol w:w="1142"/>
        <w:gridCol w:w="1635"/>
        <w:gridCol w:w="1189"/>
        <w:gridCol w:w="1224"/>
        <w:gridCol w:w="2410"/>
        <w:gridCol w:w="473"/>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2020年100万元以上（含）特定目标类部门预算项目绩效目标自评</w:t>
            </w:r>
          </w:p>
        </w:tc>
        <w:tc>
          <w:tcPr>
            <w:tcW w:w="473"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473"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通江县住房和城乡建设局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广纳镇人民政府</w:t>
            </w:r>
          </w:p>
        </w:tc>
      </w:tr>
      <w:tr>
        <w:tblPrEx>
          <w:tblCellMar>
            <w:top w:w="0" w:type="dxa"/>
            <w:left w:w="108" w:type="dxa"/>
            <w:bottom w:w="0" w:type="dxa"/>
            <w:right w:w="108" w:type="dxa"/>
          </w:tblCellMar>
        </w:tblPrEx>
        <w:trPr>
          <w:gridAfter w:val="1"/>
          <w:wAfter w:w="473"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102.01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102.01</w:t>
            </w:r>
          </w:p>
        </w:tc>
      </w:tr>
      <w:tr>
        <w:tblPrEx>
          <w:tblCellMar>
            <w:top w:w="0" w:type="dxa"/>
            <w:left w:w="108" w:type="dxa"/>
            <w:bottom w:w="0" w:type="dxa"/>
            <w:right w:w="108" w:type="dxa"/>
          </w:tblCellMar>
        </w:tblPrEx>
        <w:trPr>
          <w:gridAfter w:val="1"/>
          <w:wAfter w:w="473"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102.01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102.01</w:t>
            </w:r>
          </w:p>
        </w:tc>
      </w:tr>
      <w:tr>
        <w:tblPrEx>
          <w:tblCellMar>
            <w:top w:w="0" w:type="dxa"/>
            <w:left w:w="108" w:type="dxa"/>
            <w:bottom w:w="0" w:type="dxa"/>
            <w:right w:w="108" w:type="dxa"/>
          </w:tblCellMar>
        </w:tblPrEx>
        <w:trPr>
          <w:gridAfter w:val="1"/>
          <w:wAfter w:w="473"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473"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473"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打造全镇17个村（居）美丽乡村建设，推动综合配套，提升服务效能。</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提升人居环境质量。</w:t>
            </w:r>
          </w:p>
        </w:tc>
      </w:tr>
      <w:tr>
        <w:tblPrEx>
          <w:tblCellMar>
            <w:top w:w="0" w:type="dxa"/>
            <w:left w:w="108" w:type="dxa"/>
            <w:bottom w:w="0" w:type="dxa"/>
            <w:right w:w="108" w:type="dxa"/>
          </w:tblCellMar>
        </w:tblPrEx>
        <w:trPr>
          <w:gridAfter w:val="1"/>
          <w:wAfter w:w="473"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94"/>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涉及村（居）个数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完工及时率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财政投入资金额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≥102.01万元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102.01万元</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增加就业岗位数量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6个</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加强资源整合与综合配套率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CellMar>
            <w:top w:w="0" w:type="dxa"/>
            <w:left w:w="108" w:type="dxa"/>
            <w:bottom w:w="0" w:type="dxa"/>
            <w:right w:w="108" w:type="dxa"/>
          </w:tblCellMar>
        </w:tblPrEx>
        <w:trPr>
          <w:gridAfter w:val="1"/>
          <w:wAfter w:w="473"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环境质量提升度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77"/>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发挥效能年限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3年</w:t>
            </w:r>
          </w:p>
        </w:tc>
      </w:tr>
      <w:tr>
        <w:tblPrEx>
          <w:tblCellMar>
            <w:top w:w="0" w:type="dxa"/>
            <w:left w:w="108" w:type="dxa"/>
            <w:bottom w:w="0" w:type="dxa"/>
            <w:right w:w="108" w:type="dxa"/>
          </w:tblCellMar>
        </w:tblPrEx>
        <w:trPr>
          <w:gridAfter w:val="1"/>
          <w:wAfter w:w="473"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spacing w:line="572" w:lineRule="exact"/>
        <w:jc w:val="left"/>
        <w:outlineLvl w:val="0"/>
        <w:rPr>
          <w:rFonts w:ascii="仿宋_GB2312" w:hAnsi="仿宋_GB2312" w:eastAsia="黑体" w:cs="仿宋_GB2312"/>
          <w:sz w:val="44"/>
          <w:szCs w:val="44"/>
        </w:rPr>
      </w:pPr>
      <w:r>
        <w:rPr>
          <w:rFonts w:hint="eastAsia" w:ascii="黑体" w:hAnsi="黑体" w:eastAsia="黑体" w:cs="黑体"/>
          <w:sz w:val="32"/>
          <w:szCs w:val="32"/>
        </w:rPr>
        <w:t xml:space="preserve">附件1               </w:t>
      </w:r>
      <w:r>
        <w:rPr>
          <w:rFonts w:hint="eastAsia" w:ascii="黑体" w:hAnsi="黑体" w:eastAsia="黑体" w:cs="黑体"/>
          <w:sz w:val="44"/>
          <w:szCs w:val="44"/>
        </w:rPr>
        <w:t>第四部分</w:t>
      </w:r>
    </w:p>
    <w:p>
      <w:pPr>
        <w:spacing w:line="572" w:lineRule="exact"/>
        <w:jc w:val="left"/>
        <w:outlineLvl w:val="0"/>
        <w:rPr>
          <w:rFonts w:ascii="黑体" w:hAnsi="黑体" w:eastAsia="黑体"/>
          <w:sz w:val="44"/>
          <w:szCs w:val="44"/>
        </w:rPr>
      </w:pPr>
      <w:bookmarkStart w:id="52" w:name="_Toc15396618"/>
      <w:r>
        <w:rPr>
          <w:rFonts w:hint="eastAsia" w:ascii="黑体" w:hAnsi="黑体" w:eastAsia="黑体" w:cs="黑体"/>
          <w:sz w:val="32"/>
          <w:szCs w:val="32"/>
        </w:rPr>
        <w:t>附件2</w:t>
      </w:r>
    </w:p>
    <w:tbl>
      <w:tblPr>
        <w:tblStyle w:val="12"/>
        <w:tblpPr w:leftFromText="180" w:rightFromText="180" w:vertAnchor="text" w:horzAnchor="page" w:tblpX="1287" w:tblpY="739"/>
        <w:tblOverlap w:val="never"/>
        <w:tblW w:w="10050" w:type="dxa"/>
        <w:tblInd w:w="0" w:type="dxa"/>
        <w:tblLayout w:type="fixed"/>
        <w:tblCellMar>
          <w:top w:w="0" w:type="dxa"/>
          <w:left w:w="108" w:type="dxa"/>
          <w:bottom w:w="0" w:type="dxa"/>
          <w:right w:w="108" w:type="dxa"/>
        </w:tblCellMar>
      </w:tblPr>
      <w:tblGrid>
        <w:gridCol w:w="1977"/>
        <w:gridCol w:w="1142"/>
        <w:gridCol w:w="1635"/>
        <w:gridCol w:w="1189"/>
        <w:gridCol w:w="1224"/>
        <w:gridCol w:w="2410"/>
        <w:gridCol w:w="473"/>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2020年100万元以上（含）特定目标类部门预算项目绩效目标自评</w:t>
            </w:r>
          </w:p>
        </w:tc>
        <w:tc>
          <w:tcPr>
            <w:tcW w:w="473"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473"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通江县水利局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广纳镇人民政府</w:t>
            </w:r>
          </w:p>
        </w:tc>
      </w:tr>
      <w:tr>
        <w:tblPrEx>
          <w:tblCellMar>
            <w:top w:w="0" w:type="dxa"/>
            <w:left w:w="108" w:type="dxa"/>
            <w:bottom w:w="0" w:type="dxa"/>
            <w:right w:w="108" w:type="dxa"/>
          </w:tblCellMar>
        </w:tblPrEx>
        <w:trPr>
          <w:gridAfter w:val="1"/>
          <w:wAfter w:w="473"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251.4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251.4</w:t>
            </w:r>
          </w:p>
        </w:tc>
      </w:tr>
      <w:tr>
        <w:tblPrEx>
          <w:tblCellMar>
            <w:top w:w="0" w:type="dxa"/>
            <w:left w:w="108" w:type="dxa"/>
            <w:bottom w:w="0" w:type="dxa"/>
            <w:right w:w="108" w:type="dxa"/>
          </w:tblCellMar>
        </w:tblPrEx>
        <w:trPr>
          <w:gridAfter w:val="1"/>
          <w:wAfter w:w="473"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251.4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251.4</w:t>
            </w:r>
          </w:p>
        </w:tc>
      </w:tr>
      <w:tr>
        <w:tblPrEx>
          <w:tblCellMar>
            <w:top w:w="0" w:type="dxa"/>
            <w:left w:w="108" w:type="dxa"/>
            <w:bottom w:w="0" w:type="dxa"/>
            <w:right w:w="108" w:type="dxa"/>
          </w:tblCellMar>
        </w:tblPrEx>
        <w:trPr>
          <w:gridAfter w:val="1"/>
          <w:wAfter w:w="473"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473"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473"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农村安全饮水及时建设</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新建农村安全饮水工程，解决农户饮水。</w:t>
            </w:r>
          </w:p>
        </w:tc>
      </w:tr>
      <w:tr>
        <w:tblPrEx>
          <w:tblCellMar>
            <w:top w:w="0" w:type="dxa"/>
            <w:left w:w="108" w:type="dxa"/>
            <w:bottom w:w="0" w:type="dxa"/>
            <w:right w:w="108" w:type="dxa"/>
          </w:tblCellMar>
        </w:tblPrEx>
        <w:trPr>
          <w:gridAfter w:val="1"/>
          <w:wAfter w:w="473"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94"/>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涉及村（居）个数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完工及时率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财政投入资金额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≥251.4万元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251.4万元</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增加就业岗位数量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12个</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加强资源整合与综合配套率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CellMar>
            <w:top w:w="0" w:type="dxa"/>
            <w:left w:w="108" w:type="dxa"/>
            <w:bottom w:w="0" w:type="dxa"/>
            <w:right w:w="108" w:type="dxa"/>
          </w:tblCellMar>
        </w:tblPrEx>
        <w:trPr>
          <w:gridAfter w:val="1"/>
          <w:wAfter w:w="473"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环境质量提升度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77"/>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发挥效能年限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5年</w:t>
            </w:r>
          </w:p>
        </w:tc>
      </w:tr>
      <w:tr>
        <w:tblPrEx>
          <w:tblCellMar>
            <w:top w:w="0" w:type="dxa"/>
            <w:left w:w="108" w:type="dxa"/>
            <w:bottom w:w="0" w:type="dxa"/>
            <w:right w:w="108" w:type="dxa"/>
          </w:tblCellMar>
        </w:tblPrEx>
        <w:trPr>
          <w:gridAfter w:val="1"/>
          <w:wAfter w:w="473"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r>
        <w:tblPrEx>
          <w:tblCellMar>
            <w:top w:w="0" w:type="dxa"/>
            <w:left w:w="108" w:type="dxa"/>
            <w:bottom w:w="0" w:type="dxa"/>
            <w:right w:w="108" w:type="dxa"/>
          </w:tblCellMar>
        </w:tblPrEx>
        <w:trPr>
          <w:trHeight w:val="749" w:hRule="atLeast"/>
        </w:trPr>
        <w:tc>
          <w:tcPr>
            <w:tcW w:w="9577" w:type="dxa"/>
            <w:gridSpan w:val="6"/>
            <w:tcBorders>
              <w:top w:val="nil"/>
              <w:left w:val="nil"/>
              <w:bottom w:val="nil"/>
              <w:right w:val="nil"/>
            </w:tcBorders>
            <w:shd w:val="clear" w:color="auto" w:fill="auto"/>
            <w:vAlign w:val="center"/>
          </w:tcPr>
          <w:p>
            <w:pPr>
              <w:spacing w:line="572" w:lineRule="exact"/>
              <w:jc w:val="left"/>
              <w:outlineLvl w:val="0"/>
              <w:rPr>
                <w:rFonts w:ascii="黑体" w:hAnsi="黑体" w:eastAsia="黑体"/>
                <w:sz w:val="44"/>
                <w:szCs w:val="44"/>
              </w:rPr>
            </w:pPr>
            <w:r>
              <w:rPr>
                <w:rFonts w:hint="eastAsia" w:ascii="黑体" w:hAnsi="黑体" w:eastAsia="黑体" w:cs="黑体"/>
                <w:sz w:val="32"/>
                <w:szCs w:val="32"/>
              </w:rPr>
              <w:t>附件3</w:t>
            </w:r>
          </w:p>
          <w:p>
            <w:pPr>
              <w:widowControl/>
              <w:textAlignment w:val="center"/>
              <w:rPr>
                <w:rFonts w:ascii="宋体" w:hAnsi="宋体" w:cs="宋体"/>
                <w:b/>
                <w:sz w:val="32"/>
                <w:szCs w:val="32"/>
              </w:rPr>
            </w:pPr>
            <w:r>
              <w:rPr>
                <w:rFonts w:hint="eastAsia" w:ascii="宋体" w:hAnsi="宋体" w:cs="宋体"/>
                <w:b/>
                <w:sz w:val="32"/>
                <w:szCs w:val="32"/>
              </w:rPr>
              <w:t>2020年100万元以上（含）特定目标类部门预算项目绩效目标自评</w:t>
            </w:r>
          </w:p>
        </w:tc>
        <w:tc>
          <w:tcPr>
            <w:tcW w:w="473"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473"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通江县财政局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广纳镇人民政府</w:t>
            </w:r>
          </w:p>
        </w:tc>
      </w:tr>
      <w:tr>
        <w:tblPrEx>
          <w:tblCellMar>
            <w:top w:w="0" w:type="dxa"/>
            <w:left w:w="108" w:type="dxa"/>
            <w:bottom w:w="0" w:type="dxa"/>
            <w:right w:w="108" w:type="dxa"/>
          </w:tblCellMar>
        </w:tblPrEx>
        <w:trPr>
          <w:gridAfter w:val="1"/>
          <w:wAfter w:w="473"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410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410</w:t>
            </w:r>
          </w:p>
        </w:tc>
      </w:tr>
      <w:tr>
        <w:tblPrEx>
          <w:tblCellMar>
            <w:top w:w="0" w:type="dxa"/>
            <w:left w:w="108" w:type="dxa"/>
            <w:bottom w:w="0" w:type="dxa"/>
            <w:right w:w="108" w:type="dxa"/>
          </w:tblCellMar>
        </w:tblPrEx>
        <w:trPr>
          <w:gridAfter w:val="1"/>
          <w:wAfter w:w="473"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410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410</w:t>
            </w:r>
          </w:p>
        </w:tc>
      </w:tr>
      <w:tr>
        <w:tblPrEx>
          <w:tblCellMar>
            <w:top w:w="0" w:type="dxa"/>
            <w:left w:w="108" w:type="dxa"/>
            <w:bottom w:w="0" w:type="dxa"/>
            <w:right w:w="108" w:type="dxa"/>
          </w:tblCellMar>
        </w:tblPrEx>
        <w:trPr>
          <w:gridAfter w:val="1"/>
          <w:wAfter w:w="473"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473"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473"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农产品精深加工标准化厂房建设。</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农产品精深加工标准化厂房建设。</w:t>
            </w:r>
          </w:p>
        </w:tc>
      </w:tr>
      <w:tr>
        <w:tblPrEx>
          <w:tblCellMar>
            <w:top w:w="0" w:type="dxa"/>
            <w:left w:w="108" w:type="dxa"/>
            <w:bottom w:w="0" w:type="dxa"/>
            <w:right w:w="108" w:type="dxa"/>
          </w:tblCellMar>
        </w:tblPrEx>
        <w:trPr>
          <w:gridAfter w:val="1"/>
          <w:wAfter w:w="473"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94"/>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新建厂房面积</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≥500平方米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600平方米</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完工及时率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财政投入资金额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≥410万元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410万元</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增加就业岗位数量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25个</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加强资源整合与综合配套率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CellMar>
            <w:top w:w="0" w:type="dxa"/>
            <w:left w:w="108" w:type="dxa"/>
            <w:bottom w:w="0" w:type="dxa"/>
            <w:right w:w="108" w:type="dxa"/>
          </w:tblCellMar>
        </w:tblPrEx>
        <w:trPr>
          <w:gridAfter w:val="1"/>
          <w:wAfter w:w="473"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环境质量提升度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77"/>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发挥效能年限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5年</w:t>
            </w:r>
          </w:p>
        </w:tc>
      </w:tr>
      <w:tr>
        <w:tblPrEx>
          <w:tblCellMar>
            <w:top w:w="0" w:type="dxa"/>
            <w:left w:w="108" w:type="dxa"/>
            <w:bottom w:w="0" w:type="dxa"/>
            <w:right w:w="108" w:type="dxa"/>
          </w:tblCellMar>
        </w:tblPrEx>
        <w:trPr>
          <w:gridAfter w:val="1"/>
          <w:wAfter w:w="473"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pStyle w:val="2"/>
        <w:spacing w:before="93"/>
        <w:rPr>
          <w:rFonts w:ascii="黑体" w:hAnsi="黑体" w:eastAsia="黑体"/>
          <w:sz w:val="44"/>
          <w:szCs w:val="44"/>
        </w:rPr>
      </w:pPr>
    </w:p>
    <w:tbl>
      <w:tblPr>
        <w:tblStyle w:val="12"/>
        <w:tblpPr w:leftFromText="180" w:rightFromText="180" w:vertAnchor="text" w:horzAnchor="page" w:tblpX="1287" w:tblpY="739"/>
        <w:tblOverlap w:val="never"/>
        <w:tblW w:w="10050" w:type="dxa"/>
        <w:tblInd w:w="0" w:type="dxa"/>
        <w:tblLayout w:type="fixed"/>
        <w:tblCellMar>
          <w:top w:w="0" w:type="dxa"/>
          <w:left w:w="108" w:type="dxa"/>
          <w:bottom w:w="0" w:type="dxa"/>
          <w:right w:w="108" w:type="dxa"/>
        </w:tblCellMar>
      </w:tblPr>
      <w:tblGrid>
        <w:gridCol w:w="1977"/>
        <w:gridCol w:w="1142"/>
        <w:gridCol w:w="1635"/>
        <w:gridCol w:w="1189"/>
        <w:gridCol w:w="1224"/>
        <w:gridCol w:w="2410"/>
        <w:gridCol w:w="473"/>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2020年100万元以上（含）特定目标类部门预算项目绩效目标自评</w:t>
            </w:r>
          </w:p>
        </w:tc>
        <w:tc>
          <w:tcPr>
            <w:tcW w:w="473"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473"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通江县财政局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广纳镇人民政府</w:t>
            </w:r>
          </w:p>
        </w:tc>
      </w:tr>
      <w:tr>
        <w:tblPrEx>
          <w:tblCellMar>
            <w:top w:w="0" w:type="dxa"/>
            <w:left w:w="108" w:type="dxa"/>
            <w:bottom w:w="0" w:type="dxa"/>
            <w:right w:w="108" w:type="dxa"/>
          </w:tblCellMar>
        </w:tblPrEx>
        <w:trPr>
          <w:gridAfter w:val="1"/>
          <w:wAfter w:w="473" w:type="dxa"/>
          <w:trHeight w:val="38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113.5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113.5</w:t>
            </w:r>
          </w:p>
        </w:tc>
      </w:tr>
      <w:tr>
        <w:tblPrEx>
          <w:tblCellMar>
            <w:top w:w="0" w:type="dxa"/>
            <w:left w:w="108" w:type="dxa"/>
            <w:bottom w:w="0" w:type="dxa"/>
            <w:right w:w="108" w:type="dxa"/>
          </w:tblCellMar>
        </w:tblPrEx>
        <w:trPr>
          <w:gridAfter w:val="1"/>
          <w:wAfter w:w="473"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113.5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113.5</w:t>
            </w:r>
          </w:p>
        </w:tc>
      </w:tr>
      <w:tr>
        <w:tblPrEx>
          <w:tblCellMar>
            <w:top w:w="0" w:type="dxa"/>
            <w:left w:w="108" w:type="dxa"/>
            <w:bottom w:w="0" w:type="dxa"/>
            <w:right w:w="108" w:type="dxa"/>
          </w:tblCellMar>
        </w:tblPrEx>
        <w:trPr>
          <w:gridAfter w:val="1"/>
          <w:wAfter w:w="473"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473"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473"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基层组织活动与公共服务运行</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基层组织活动与公共服务运行</w:t>
            </w:r>
          </w:p>
        </w:tc>
      </w:tr>
      <w:tr>
        <w:tblPrEx>
          <w:tblCellMar>
            <w:top w:w="0" w:type="dxa"/>
            <w:left w:w="108" w:type="dxa"/>
            <w:bottom w:w="0" w:type="dxa"/>
            <w:right w:w="108" w:type="dxa"/>
          </w:tblCellMar>
        </w:tblPrEx>
        <w:trPr>
          <w:gridAfter w:val="1"/>
          <w:wAfter w:w="473"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94"/>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涉及基层组织数量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≥17个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17个</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完工及时率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财政投入资金额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≥113.5万元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113.5万元</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带动农户户均增收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≥800元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1000元</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加强资源整合与综合配套率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CellMar>
            <w:top w:w="0" w:type="dxa"/>
            <w:left w:w="108" w:type="dxa"/>
            <w:bottom w:w="0" w:type="dxa"/>
            <w:right w:w="108" w:type="dxa"/>
          </w:tblCellMar>
        </w:tblPrEx>
        <w:trPr>
          <w:gridAfter w:val="1"/>
          <w:wAfter w:w="473"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环境质量提升度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77"/>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发挥效能年限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1年</w:t>
            </w:r>
          </w:p>
        </w:tc>
      </w:tr>
      <w:tr>
        <w:tblPrEx>
          <w:tblCellMar>
            <w:top w:w="0" w:type="dxa"/>
            <w:left w:w="108" w:type="dxa"/>
            <w:bottom w:w="0" w:type="dxa"/>
            <w:right w:w="108" w:type="dxa"/>
          </w:tblCellMar>
        </w:tblPrEx>
        <w:trPr>
          <w:gridAfter w:val="1"/>
          <w:wAfter w:w="473"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spacing w:line="572" w:lineRule="exact"/>
        <w:jc w:val="left"/>
        <w:outlineLvl w:val="0"/>
        <w:rPr>
          <w:rFonts w:ascii="仿宋_GB2312" w:hAnsi="仿宋_GB2312" w:eastAsia="黑体" w:cs="仿宋_GB2312"/>
          <w:sz w:val="32"/>
          <w:szCs w:val="32"/>
        </w:rPr>
      </w:pPr>
      <w:r>
        <w:rPr>
          <w:rFonts w:hint="eastAsia" w:ascii="黑体" w:hAnsi="黑体" w:eastAsia="黑体" w:cs="黑体"/>
          <w:sz w:val="32"/>
          <w:szCs w:val="32"/>
        </w:rPr>
        <w:t>附件4</w:t>
      </w:r>
    </w:p>
    <w:tbl>
      <w:tblPr>
        <w:tblStyle w:val="12"/>
        <w:tblpPr w:leftFromText="180" w:rightFromText="180" w:vertAnchor="text" w:horzAnchor="page" w:tblpX="1287" w:tblpY="739"/>
        <w:tblOverlap w:val="never"/>
        <w:tblW w:w="10050" w:type="dxa"/>
        <w:tblInd w:w="0" w:type="dxa"/>
        <w:tblLayout w:type="fixed"/>
        <w:tblCellMar>
          <w:top w:w="0" w:type="dxa"/>
          <w:left w:w="108" w:type="dxa"/>
          <w:bottom w:w="0" w:type="dxa"/>
          <w:right w:w="108" w:type="dxa"/>
        </w:tblCellMar>
      </w:tblPr>
      <w:tblGrid>
        <w:gridCol w:w="1977"/>
        <w:gridCol w:w="1142"/>
        <w:gridCol w:w="1635"/>
        <w:gridCol w:w="1189"/>
        <w:gridCol w:w="1224"/>
        <w:gridCol w:w="2410"/>
        <w:gridCol w:w="473"/>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2020年100万元以上（含）特定目标类部门预算项目绩效目标自评</w:t>
            </w:r>
          </w:p>
        </w:tc>
        <w:tc>
          <w:tcPr>
            <w:tcW w:w="473"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473"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通江县住房和城乡建设局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广纳镇人民政府</w:t>
            </w:r>
          </w:p>
        </w:tc>
      </w:tr>
      <w:tr>
        <w:tblPrEx>
          <w:tblCellMar>
            <w:top w:w="0" w:type="dxa"/>
            <w:left w:w="108" w:type="dxa"/>
            <w:bottom w:w="0" w:type="dxa"/>
            <w:right w:w="108" w:type="dxa"/>
          </w:tblCellMar>
        </w:tblPrEx>
        <w:trPr>
          <w:gridAfter w:val="1"/>
          <w:wAfter w:w="473" w:type="dxa"/>
          <w:trHeight w:val="38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187.1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187.1</w:t>
            </w:r>
          </w:p>
        </w:tc>
      </w:tr>
      <w:tr>
        <w:tblPrEx>
          <w:tblCellMar>
            <w:top w:w="0" w:type="dxa"/>
            <w:left w:w="108" w:type="dxa"/>
            <w:bottom w:w="0" w:type="dxa"/>
            <w:right w:w="108" w:type="dxa"/>
          </w:tblCellMar>
        </w:tblPrEx>
        <w:trPr>
          <w:gridAfter w:val="1"/>
          <w:wAfter w:w="473"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187.1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187.1</w:t>
            </w:r>
          </w:p>
        </w:tc>
      </w:tr>
      <w:tr>
        <w:tblPrEx>
          <w:tblCellMar>
            <w:top w:w="0" w:type="dxa"/>
            <w:left w:w="108" w:type="dxa"/>
            <w:bottom w:w="0" w:type="dxa"/>
            <w:right w:w="108" w:type="dxa"/>
          </w:tblCellMar>
        </w:tblPrEx>
        <w:trPr>
          <w:gridAfter w:val="1"/>
          <w:wAfter w:w="473"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473"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473"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实施农村危房改造，提升农户居住环境。</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实施农村危房改造，提升农户居住环境。</w:t>
            </w:r>
          </w:p>
        </w:tc>
      </w:tr>
      <w:tr>
        <w:tblPrEx>
          <w:tblCellMar>
            <w:top w:w="0" w:type="dxa"/>
            <w:left w:w="108" w:type="dxa"/>
            <w:bottom w:w="0" w:type="dxa"/>
            <w:right w:w="108" w:type="dxa"/>
          </w:tblCellMar>
        </w:tblPrEx>
        <w:trPr>
          <w:gridAfter w:val="1"/>
          <w:wAfter w:w="473"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94"/>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实施危房改造户数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≥200户</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230户</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473"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完工及时率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财政投入资金额</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≥187.1万元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宋体" w:hAnsi="宋体" w:cs="宋体"/>
                <w:sz w:val="24"/>
              </w:rPr>
              <w:t>187.1万元</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增加就业岗位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15个</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加强资源整合与综合配套率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CellMar>
            <w:top w:w="0" w:type="dxa"/>
            <w:left w:w="108" w:type="dxa"/>
            <w:bottom w:w="0" w:type="dxa"/>
            <w:right w:w="108" w:type="dxa"/>
          </w:tblCellMar>
        </w:tblPrEx>
        <w:trPr>
          <w:gridAfter w:val="1"/>
          <w:wAfter w:w="473"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环境质量提升度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r>
      <w:tr>
        <w:tblPrEx>
          <w:tblCellMar>
            <w:top w:w="0" w:type="dxa"/>
            <w:left w:w="108" w:type="dxa"/>
            <w:bottom w:w="0" w:type="dxa"/>
            <w:right w:w="108" w:type="dxa"/>
          </w:tblCellMar>
        </w:tblPrEx>
        <w:trPr>
          <w:gridAfter w:val="1"/>
          <w:wAfter w:w="473"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tabs>
                <w:tab w:val="left" w:pos="377"/>
              </w:tabs>
              <w:spacing w:line="32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发挥效能年限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1年</w:t>
            </w:r>
          </w:p>
        </w:tc>
      </w:tr>
      <w:tr>
        <w:tblPrEx>
          <w:tblCellMar>
            <w:top w:w="0" w:type="dxa"/>
            <w:left w:w="108" w:type="dxa"/>
            <w:bottom w:w="0" w:type="dxa"/>
            <w:right w:w="108" w:type="dxa"/>
          </w:tblCellMar>
        </w:tblPrEx>
        <w:trPr>
          <w:gridAfter w:val="1"/>
          <w:wAfter w:w="473"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spacing w:line="572" w:lineRule="exact"/>
        <w:jc w:val="left"/>
        <w:outlineLvl w:val="0"/>
        <w:rPr>
          <w:rFonts w:ascii="仿宋_GB2312" w:hAnsi="仿宋_GB2312" w:eastAsia="黑体" w:cs="仿宋_GB2312"/>
          <w:sz w:val="32"/>
          <w:szCs w:val="32"/>
        </w:rPr>
      </w:pPr>
    </w:p>
    <w:p>
      <w:pPr>
        <w:spacing w:line="600" w:lineRule="exact"/>
        <w:outlineLvl w:val="0"/>
        <w:rPr>
          <w:rFonts w:ascii="黑体" w:hAnsi="黑体" w:eastAsia="黑体"/>
          <w:sz w:val="44"/>
          <w:szCs w:val="44"/>
        </w:rPr>
      </w:pPr>
    </w:p>
    <w:p>
      <w:pPr>
        <w:pageBreakBefore/>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2"/>
      <w:bookmarkStart w:id="53"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3"/>
    </w:p>
    <w:p>
      <w:pPr>
        <w:pStyle w:val="4"/>
        <w:rPr>
          <w:rFonts w:ascii="仿宋" w:hAnsi="仿宋" w:eastAsia="仿宋"/>
        </w:rPr>
      </w:pPr>
      <w:bookmarkStart w:id="54" w:name="_Toc15396620"/>
      <w:r>
        <w:rPr>
          <w:rFonts w:hint="eastAsia" w:ascii="仿宋" w:hAnsi="仿宋" w:eastAsia="仿宋"/>
          <w:b w:val="0"/>
        </w:rPr>
        <w:t>二、收</w:t>
      </w:r>
      <w:r>
        <w:rPr>
          <w:rStyle w:val="25"/>
          <w:rFonts w:hint="eastAsia" w:ascii="仿宋" w:hAnsi="仿宋" w:eastAsia="仿宋"/>
          <w:b w:val="0"/>
          <w:bCs w:val="0"/>
        </w:rPr>
        <w:t>入决算表</w:t>
      </w:r>
      <w:bookmarkEnd w:id="54"/>
    </w:p>
    <w:p>
      <w:pPr>
        <w:pStyle w:val="4"/>
        <w:rPr>
          <w:rFonts w:ascii="仿宋" w:hAnsi="仿宋" w:eastAsia="仿宋"/>
        </w:rPr>
      </w:pPr>
      <w:bookmarkStart w:id="55"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5"/>
    </w:p>
    <w:p>
      <w:pPr>
        <w:pStyle w:val="4"/>
        <w:rPr>
          <w:rFonts w:ascii="仿宋" w:hAnsi="仿宋" w:eastAsia="仿宋"/>
          <w:b w:val="0"/>
        </w:rPr>
      </w:pPr>
      <w:bookmarkStart w:id="56"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6"/>
    </w:p>
    <w:p>
      <w:pPr>
        <w:pStyle w:val="4"/>
        <w:rPr>
          <w:rStyle w:val="25"/>
          <w:rFonts w:ascii="仿宋" w:hAnsi="仿宋" w:eastAsia="仿宋"/>
          <w:b w:val="0"/>
          <w:bCs w:val="0"/>
        </w:rPr>
      </w:pPr>
      <w:bookmarkStart w:id="57"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7"/>
      <w:bookmarkStart w:id="58"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8"/>
    </w:p>
    <w:p>
      <w:pPr>
        <w:pStyle w:val="4"/>
        <w:rPr>
          <w:rFonts w:ascii="仿宋" w:hAnsi="仿宋" w:eastAsia="仿宋"/>
        </w:rPr>
      </w:pPr>
      <w:bookmarkStart w:id="59"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59"/>
    </w:p>
    <w:p>
      <w:pPr>
        <w:pStyle w:val="4"/>
        <w:rPr>
          <w:rFonts w:ascii="仿宋" w:hAnsi="仿宋" w:eastAsia="仿宋"/>
        </w:rPr>
      </w:pPr>
      <w:bookmarkStart w:id="60"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0"/>
    </w:p>
    <w:p>
      <w:pPr>
        <w:pStyle w:val="4"/>
        <w:rPr>
          <w:rFonts w:ascii="仿宋" w:hAnsi="仿宋" w:eastAsia="仿宋"/>
        </w:rPr>
      </w:pPr>
      <w:bookmarkStart w:id="61"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1"/>
    </w:p>
    <w:p>
      <w:pPr>
        <w:pStyle w:val="4"/>
        <w:rPr>
          <w:rFonts w:ascii="仿宋" w:hAnsi="仿宋" w:eastAsia="仿宋"/>
        </w:rPr>
      </w:pPr>
      <w:bookmarkStart w:id="62" w:name="_Toc15396628"/>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62"/>
    </w:p>
    <w:p>
      <w:pPr>
        <w:pStyle w:val="4"/>
        <w:rPr>
          <w:rFonts w:ascii="仿宋" w:hAnsi="仿宋" w:eastAsia="仿宋"/>
        </w:rPr>
      </w:pPr>
      <w:bookmarkStart w:id="63" w:name="_Toc15396629"/>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63"/>
    </w:p>
    <w:p>
      <w:pPr>
        <w:pStyle w:val="4"/>
        <w:rPr>
          <w:rFonts w:ascii="仿宋" w:hAnsi="仿宋" w:eastAsia="仿宋"/>
        </w:rPr>
      </w:pPr>
      <w:bookmarkStart w:id="64" w:name="_Toc15396630"/>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64"/>
    </w:p>
    <w:p>
      <w:pPr>
        <w:pStyle w:val="4"/>
        <w:rPr>
          <w:rStyle w:val="25"/>
          <w:rFonts w:ascii="仿宋" w:hAnsi="仿宋" w:eastAsia="仿宋"/>
          <w:b w:val="0"/>
          <w:bCs w:val="0"/>
        </w:rPr>
      </w:pPr>
      <w:bookmarkStart w:id="65" w:name="_Toc15396631"/>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65"/>
    </w:p>
    <w:p>
      <w:pPr>
        <w:rPr>
          <w:rFonts w:eastAsia="仿宋"/>
        </w:rPr>
      </w:pPr>
      <w:r>
        <w:rPr>
          <w:rStyle w:val="25"/>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瀹嬩綋">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FC061591"/>
    <w:multiLevelType w:val="singleLevel"/>
    <w:tmpl w:val="FC061591"/>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yYTBhZThmOTU4YTliMjhiZDc4ZDk4MjhmMTAzN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C48C0"/>
    <w:rsid w:val="000D1267"/>
    <w:rsid w:val="000D1D50"/>
    <w:rsid w:val="000D4ED1"/>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29B0"/>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0983"/>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E2DC6"/>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6332"/>
    <w:rsid w:val="00A91760"/>
    <w:rsid w:val="00A93B00"/>
    <w:rsid w:val="00A93C21"/>
    <w:rsid w:val="00A93C95"/>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54E1"/>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EF7950"/>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639D4"/>
    <w:rsid w:val="01A20B9B"/>
    <w:rsid w:val="07241B83"/>
    <w:rsid w:val="07C949D3"/>
    <w:rsid w:val="07FC0F95"/>
    <w:rsid w:val="0A2032A3"/>
    <w:rsid w:val="0B8A37D8"/>
    <w:rsid w:val="0BE45BD8"/>
    <w:rsid w:val="0C6F1B60"/>
    <w:rsid w:val="0E67321C"/>
    <w:rsid w:val="0F06095A"/>
    <w:rsid w:val="10C055FF"/>
    <w:rsid w:val="118107EC"/>
    <w:rsid w:val="11AC48CA"/>
    <w:rsid w:val="11DD6519"/>
    <w:rsid w:val="121C5BCB"/>
    <w:rsid w:val="13021765"/>
    <w:rsid w:val="131D034D"/>
    <w:rsid w:val="143F60A1"/>
    <w:rsid w:val="14B20F69"/>
    <w:rsid w:val="14D40EDF"/>
    <w:rsid w:val="16BB723D"/>
    <w:rsid w:val="17C30020"/>
    <w:rsid w:val="18015F3F"/>
    <w:rsid w:val="1BE8440E"/>
    <w:rsid w:val="1C0E68F2"/>
    <w:rsid w:val="1CB02232"/>
    <w:rsid w:val="1D155CEE"/>
    <w:rsid w:val="1F01504A"/>
    <w:rsid w:val="20F57F95"/>
    <w:rsid w:val="2228286B"/>
    <w:rsid w:val="22FA4207"/>
    <w:rsid w:val="23876BAD"/>
    <w:rsid w:val="240371BF"/>
    <w:rsid w:val="25C741E6"/>
    <w:rsid w:val="26803FB2"/>
    <w:rsid w:val="275F6D2E"/>
    <w:rsid w:val="27842671"/>
    <w:rsid w:val="279C0DF8"/>
    <w:rsid w:val="27B16E5E"/>
    <w:rsid w:val="29FD04D3"/>
    <w:rsid w:val="2ABE7A3E"/>
    <w:rsid w:val="2C1550A1"/>
    <w:rsid w:val="2C842D93"/>
    <w:rsid w:val="2D3E73E6"/>
    <w:rsid w:val="2DA82135"/>
    <w:rsid w:val="2EC61441"/>
    <w:rsid w:val="2EFA178C"/>
    <w:rsid w:val="2F4B1946"/>
    <w:rsid w:val="30B46D73"/>
    <w:rsid w:val="314174A5"/>
    <w:rsid w:val="319F7F4E"/>
    <w:rsid w:val="329F4483"/>
    <w:rsid w:val="35000F4B"/>
    <w:rsid w:val="35325A82"/>
    <w:rsid w:val="368F0E75"/>
    <w:rsid w:val="383A69FC"/>
    <w:rsid w:val="39AE70AB"/>
    <w:rsid w:val="3C0C0783"/>
    <w:rsid w:val="3C81270F"/>
    <w:rsid w:val="3D3F6F8E"/>
    <w:rsid w:val="3F611EAE"/>
    <w:rsid w:val="3F9F3A96"/>
    <w:rsid w:val="40915F1C"/>
    <w:rsid w:val="40C81049"/>
    <w:rsid w:val="40DC1C2F"/>
    <w:rsid w:val="40E338C9"/>
    <w:rsid w:val="40E90613"/>
    <w:rsid w:val="46A85E61"/>
    <w:rsid w:val="48851722"/>
    <w:rsid w:val="48893F5F"/>
    <w:rsid w:val="493C27E9"/>
    <w:rsid w:val="496F39ED"/>
    <w:rsid w:val="49FF41D3"/>
    <w:rsid w:val="4A201EF6"/>
    <w:rsid w:val="4A842484"/>
    <w:rsid w:val="4BE068DB"/>
    <w:rsid w:val="4BF6002B"/>
    <w:rsid w:val="4E0665B1"/>
    <w:rsid w:val="4ECE2238"/>
    <w:rsid w:val="50AB3B83"/>
    <w:rsid w:val="51722BCC"/>
    <w:rsid w:val="51DB4B86"/>
    <w:rsid w:val="537E260F"/>
    <w:rsid w:val="54955B6E"/>
    <w:rsid w:val="55333C3E"/>
    <w:rsid w:val="5B326403"/>
    <w:rsid w:val="61B017BD"/>
    <w:rsid w:val="63715F0B"/>
    <w:rsid w:val="644478E4"/>
    <w:rsid w:val="64CA39A1"/>
    <w:rsid w:val="65C156E4"/>
    <w:rsid w:val="6BE0108D"/>
    <w:rsid w:val="6C4A05C8"/>
    <w:rsid w:val="72734D90"/>
    <w:rsid w:val="772155CF"/>
    <w:rsid w:val="78BB7004"/>
    <w:rsid w:val="79C67B14"/>
    <w:rsid w:val="79E7B28D"/>
    <w:rsid w:val="7BF60904"/>
    <w:rsid w:val="7E8B30DA"/>
    <w:rsid w:val="7F7D6653"/>
    <w:rsid w:val="7F9F20EE"/>
    <w:rsid w:val="7FF058EB"/>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
          <c:y val="0.0474537037037037"/>
          <c:w val="0.869361111111111"/>
          <c:h val="0.837129629629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工作表.xlsx]Sheet4'!$A$4:$A$5</c:f>
              <c:strCache>
                <c:ptCount val="2"/>
                <c:pt idx="0">
                  <c:v>2019年度收、支总计</c:v>
                </c:pt>
                <c:pt idx="1">
                  <c:v>2020年度收、支总计</c:v>
                </c:pt>
              </c:strCache>
            </c:strRef>
          </c:cat>
          <c:val>
            <c:numRef>
              <c:f>'[新建 XLSX 工作表.xlsx]Sheet4'!$B$4:$B$5</c:f>
              <c:numCache>
                <c:formatCode>General</c:formatCode>
                <c:ptCount val="2"/>
                <c:pt idx="0">
                  <c:v>9420</c:v>
                </c:pt>
                <c:pt idx="1">
                  <c:v>5509.3</c:v>
                </c:pt>
              </c:numCache>
            </c:numRef>
          </c:val>
        </c:ser>
        <c:dLbls>
          <c:showLegendKey val="0"/>
          <c:showVal val="1"/>
          <c:showCatName val="0"/>
          <c:showSerName val="0"/>
          <c:showPercent val="0"/>
          <c:showBubbleSize val="0"/>
        </c:dLbls>
        <c:gapWidth val="219"/>
        <c:overlap val="-27"/>
        <c:axId val="69254144"/>
        <c:axId val="69264128"/>
      </c:barChart>
      <c:catAx>
        <c:axId val="69254144"/>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128"/>
        <c:crosses val="autoZero"/>
        <c:auto val="1"/>
        <c:lblAlgn val="ctr"/>
        <c:lblOffset val="100"/>
        <c:noMultiLvlLbl val="0"/>
      </c:catAx>
      <c:valAx>
        <c:axId val="692641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5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'[新建 XLSX 工作表.xlsx]Sheet4'!$A$35</c:f>
              <c:strCache>
                <c:ptCount val="1"/>
                <c:pt idx="0">
                  <c:v>一般公共预算财政拨款收入</c:v>
                </c:pt>
              </c:strCache>
            </c:strRef>
          </c:tx>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工作表.xlsx]Sheet4'!$A$35</c:f>
              <c:strCache>
                <c:ptCount val="1"/>
                <c:pt idx="0">
                  <c:v>一般公共预算财政拨款收入</c:v>
                </c:pt>
              </c:strCache>
            </c:strRef>
          </c:cat>
          <c:val>
            <c:numRef>
              <c:f>'[新建 XLSX 工作表.xlsx]Sheet4'!$B$35</c:f>
              <c:numCache>
                <c:formatCode>0.00%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工作表.xlsx]Sheet4'!$A$46:$A$47</c:f>
              <c:strCache>
                <c:ptCount val="2"/>
                <c:pt idx="0">
                  <c:v>基本支出</c:v>
                </c:pt>
                <c:pt idx="1">
                  <c:v>项目支出</c:v>
                </c:pt>
              </c:strCache>
            </c:strRef>
          </c:cat>
          <c:val>
            <c:numRef>
              <c:f>'[新建 XLSX 工作表.xlsx]Sheet4'!$B$46:$B$47</c:f>
              <c:numCache>
                <c:formatCode>0.00%</c:formatCode>
                <c:ptCount val="2"/>
                <c:pt idx="0">
                  <c:v>0.719826475232788</c:v>
                </c:pt>
                <c:pt idx="1">
                  <c:v>0.280173524767212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72222222222"/>
          <c:y val="0.0703703703703704"/>
          <c:w val="0.869361111111111"/>
          <c:h val="0.837129629629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工作表.xlsx]Sheet4'!$A$58:$A$59</c:f>
              <c:strCache>
                <c:ptCount val="2"/>
                <c:pt idx="0">
                  <c:v>2019年度财政拨款收、支总计</c:v>
                </c:pt>
                <c:pt idx="1">
                  <c:v>2020年度财政拨款收、支总计</c:v>
                </c:pt>
              </c:strCache>
            </c:strRef>
          </c:cat>
          <c:val>
            <c:numRef>
              <c:f>'[新建 XLSX 工作表.xlsx]Sheet4'!$B$58:$B$59</c:f>
              <c:numCache>
                <c:formatCode>General</c:formatCode>
                <c:ptCount val="2"/>
                <c:pt idx="0">
                  <c:v>9420</c:v>
                </c:pt>
                <c:pt idx="1">
                  <c:v>5509.3</c:v>
                </c:pt>
              </c:numCache>
            </c:numRef>
          </c:val>
        </c:ser>
        <c:dLbls>
          <c:showLegendKey val="0"/>
          <c:showVal val="1"/>
          <c:showCatName val="0"/>
          <c:showSerName val="0"/>
          <c:showPercent val="0"/>
          <c:showBubbleSize val="0"/>
        </c:dLbls>
        <c:gapWidth val="219"/>
        <c:overlap val="-27"/>
        <c:axId val="109993984"/>
        <c:axId val="109995904"/>
      </c:barChart>
      <c:catAx>
        <c:axId val="1099939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995904"/>
        <c:crosses val="autoZero"/>
        <c:auto val="1"/>
        <c:lblAlgn val="ctr"/>
        <c:lblOffset val="100"/>
        <c:noMultiLvlLbl val="0"/>
      </c:catAx>
      <c:valAx>
        <c:axId val="1099959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99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3113025397297"/>
          <c:y val="0.0373756386125303"/>
          <c:w val="0.873815535422546"/>
          <c:h val="0.81080935735412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工作表.xlsx]Sheet4'!$A$84:$A$85</c:f>
              <c:strCache>
                <c:ptCount val="2"/>
                <c:pt idx="0">
                  <c:v>2019年一般公共预算财政拨款支出</c:v>
                </c:pt>
                <c:pt idx="1">
                  <c:v>2020年一般公共预算财政拨款支出</c:v>
                </c:pt>
              </c:strCache>
            </c:strRef>
          </c:cat>
          <c:val>
            <c:numRef>
              <c:f>'[新建 XLSX 工作表.xlsx]Sheet4'!$B$84:$B$85</c:f>
              <c:numCache>
                <c:formatCode>General</c:formatCode>
                <c:ptCount val="2"/>
                <c:pt idx="0">
                  <c:v>4510</c:v>
                </c:pt>
                <c:pt idx="1">
                  <c:v>2754.65</c:v>
                </c:pt>
              </c:numCache>
            </c:numRef>
          </c:val>
        </c:ser>
        <c:dLbls>
          <c:showLegendKey val="0"/>
          <c:showVal val="1"/>
          <c:showCatName val="0"/>
          <c:showSerName val="0"/>
          <c:showPercent val="0"/>
          <c:showBubbleSize val="0"/>
        </c:dLbls>
        <c:gapWidth val="219"/>
        <c:overlap val="-27"/>
        <c:axId val="115292032"/>
        <c:axId val="128661376"/>
      </c:barChart>
      <c:catAx>
        <c:axId val="11529203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8661376"/>
        <c:crosses val="autoZero"/>
        <c:auto val="1"/>
        <c:lblAlgn val="ctr"/>
        <c:lblOffset val="100"/>
        <c:noMultiLvlLbl val="0"/>
      </c:catAx>
      <c:valAx>
        <c:axId val="12866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5292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'[新建 XLSX 工作表.xlsx]Sheet4'!$A$106:$A$113</c:f>
              <c:strCache>
                <c:ptCount val="8"/>
                <c:pt idx="0">
                  <c:v>一般公共服务支出</c:v>
                </c:pt>
                <c:pt idx="1">
                  <c:v>文化旅游体育与传媒支出</c:v>
                </c:pt>
                <c:pt idx="2">
                  <c:v>社会保障和就业支出</c:v>
                </c:pt>
                <c:pt idx="3">
                  <c:v>卫生健康支出</c:v>
                </c:pt>
                <c:pt idx="4">
                  <c:v>节能环保支出</c:v>
                </c:pt>
                <c:pt idx="5">
                  <c:v>农林水支出</c:v>
                </c:pt>
                <c:pt idx="6">
                  <c:v>商业服务业等支出</c:v>
                </c:pt>
                <c:pt idx="7">
                  <c:v>住房保障支出</c:v>
                </c:pt>
              </c:strCache>
            </c:strRef>
          </c:cat>
          <c:val>
            <c:numRef>
              <c:f>'[新建 XLSX 工作表.xlsx]Sheet4'!$B$106:$B$113</c:f>
              <c:numCache>
                <c:formatCode>0.00%</c:formatCode>
                <c:ptCount val="8"/>
                <c:pt idx="0">
                  <c:v>0.517492240393516</c:v>
                </c:pt>
                <c:pt idx="1">
                  <c:v>0.00508231535766794</c:v>
                </c:pt>
                <c:pt idx="2">
                  <c:v>0.0587588259851524</c:v>
                </c:pt>
                <c:pt idx="3">
                  <c:v>0.0262102263445447</c:v>
                </c:pt>
                <c:pt idx="4">
                  <c:v>0.000206922839562195</c:v>
                </c:pt>
                <c:pt idx="5">
                  <c:v>0.359780734394569</c:v>
                </c:pt>
                <c:pt idx="6">
                  <c:v>0.00246855317372443</c:v>
                </c:pt>
                <c:pt idx="7">
                  <c:v>0.0300001815112628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 (2).xls]Sheet1'!$B$173:$B$175</c:f>
              <c:strCache>
                <c:ptCount val="3"/>
                <c:pt idx="0">
                  <c:v>因公出国（境）费支出</c:v>
                </c:pt>
                <c:pt idx="1">
                  <c:v>公务用车购置及运行维护费支出</c:v>
                </c:pt>
                <c:pt idx="2">
                  <c:v>公务接待费支出</c:v>
                </c:pt>
              </c:strCache>
            </c:strRef>
          </c:cat>
          <c:val>
            <c:numRef>
              <c:f>'[新建 XLS 工作表 (2).xls]Sheet1'!$C$173:$C$175</c:f>
              <c:numCache>
                <c:formatCode>0%</c:formatCode>
                <c:ptCount val="3"/>
                <c:pt idx="0">
                  <c:v>0</c:v>
                </c:pt>
                <c:pt idx="1">
                  <c:v>0</c:v>
                </c:pt>
                <c:pt idx="2">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27</Pages>
  <Words>8612</Words>
  <Characters>9501</Characters>
  <Lines>74</Lines>
  <Paragraphs>20</Paragraphs>
  <TotalTime>8</TotalTime>
  <ScaleCrop>false</ScaleCrop>
  <LinksUpToDate>false</LinksUpToDate>
  <CharactersWithSpaces>9647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2022-09-14T05:02:18Z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89EC09437FA24424A76A7573A381BE2D</vt:lpwstr>
  </property>
</Properties>
</file>