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000000"/>
          <w:sz w:val="30"/>
          <w:szCs w:val="30"/>
        </w:rPr>
      </w:pPr>
      <w:bookmarkStart w:id="0" w:name="_Toc15306267"/>
      <w:r>
        <w:rPr>
          <w:rFonts w:hint="eastAsia" w:ascii="方正小标宋简体" w:hAnsi="宋体" w:eastAsia="方正小标宋简体"/>
          <w:color w:val="000000"/>
          <w:sz w:val="30"/>
          <w:szCs w:val="30"/>
        </w:rPr>
        <w:t>附件</w:t>
      </w:r>
      <w:r>
        <w:rPr>
          <w:rFonts w:ascii="方正小标宋简体" w:hAnsi="宋体" w:eastAsia="方正小标宋简体"/>
          <w:color w:val="000000"/>
          <w:sz w:val="30"/>
          <w:szCs w:val="30"/>
        </w:rPr>
        <w:t>4</w:t>
      </w: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78441"/>
      <w:bookmarkStart w:id="2" w:name="_Toc15396597"/>
      <w:bookmarkStart w:id="3" w:name="_Toc15377425"/>
      <w:bookmarkStart w:id="4" w:name="_Toc15377193"/>
      <w:bookmarkStart w:id="5" w:name="_Toc1539647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ascii="方正小标宋简体" w:hAnsi="宋体" w:eastAsia="方正小标宋简体"/>
          <w:color w:val="000000"/>
          <w:sz w:val="72"/>
          <w:szCs w:val="72"/>
        </w:rPr>
      </w:pPr>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6" w:name="_Toc15396476"/>
      <w:bookmarkStart w:id="7" w:name="_Toc15306268"/>
      <w:bookmarkStart w:id="8" w:name="_Toc15378442"/>
      <w:bookmarkStart w:id="9" w:name="_Toc15396598"/>
      <w:bookmarkStart w:id="10" w:name="_Toc15377426"/>
      <w:bookmarkStart w:id="11" w:name="_Toc15377194"/>
      <w:r>
        <w:rPr>
          <w:rFonts w:hint="eastAsia" w:ascii="方正小标宋简体" w:hAnsi="宋体" w:eastAsia="方正小标宋简体"/>
          <w:color w:val="000000"/>
          <w:sz w:val="72"/>
          <w:szCs w:val="72"/>
        </w:rPr>
        <w:t>沙溪中学部门决算</w:t>
      </w:r>
      <w:bookmarkEnd w:id="6"/>
      <w:bookmarkEnd w:id="7"/>
      <w:bookmarkEnd w:id="8"/>
      <w:bookmarkEnd w:id="9"/>
      <w:bookmarkEnd w:id="10"/>
      <w:bookmarkEnd w:id="11"/>
    </w:p>
    <w:p>
      <w:pPr>
        <w:pStyle w:val="10"/>
        <w:outlineLvl w:val="9"/>
      </w:pPr>
    </w:p>
    <w:p>
      <w:pPr>
        <w:pStyle w:val="10"/>
        <w:outlineLvl w:val="9"/>
      </w:pPr>
    </w:p>
    <w:p>
      <w:pPr>
        <w:outlineLvl w:val="9"/>
      </w:pPr>
    </w:p>
    <w:p>
      <w:pPr>
        <w:outlineLvl w:val="9"/>
      </w:pPr>
    </w:p>
    <w:p/>
    <w:p/>
    <w:p/>
    <w:p/>
    <w:p>
      <w:pPr>
        <w:pStyle w:val="10"/>
      </w:pPr>
    </w:p>
    <w:p>
      <w:pPr>
        <w:widowControl/>
        <w:jc w:val="center"/>
      </w:pPr>
      <w:r>
        <w:rPr>
          <w:rFonts w:ascii="方正小标宋简体" w:hAnsi="宋体" w:eastAsia="方正小标宋简体"/>
          <w:color w:val="000000"/>
          <w:sz w:val="36"/>
          <w:szCs w:val="36"/>
        </w:rPr>
        <w:br w:type="page"/>
      </w:r>
    </w:p>
    <w:p>
      <w:pPr>
        <w:pStyle w:val="1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  录</w:t>
      </w:r>
    </w:p>
    <w:p>
      <w:pPr>
        <w:pStyle w:val="10"/>
        <w:rPr>
          <w:rFonts w:hint="eastAsia"/>
          <w:sz w:val="24"/>
        </w:rPr>
      </w:pPr>
      <w:r>
        <w:rPr>
          <w:rFonts w:hint="eastAsia"/>
        </w:rPr>
        <w:t>公开时间：</w:t>
      </w:r>
      <w:r>
        <w:t>2021</w:t>
      </w:r>
      <w:r>
        <w:rPr>
          <w:rFonts w:hint="eastAsia"/>
        </w:rPr>
        <w:t>年</w:t>
      </w:r>
      <w:r>
        <w:t>10</w:t>
      </w:r>
      <w:r>
        <w:rPr>
          <w:rFonts w:hint="eastAsia"/>
        </w:rPr>
        <w:t>月</w:t>
      </w:r>
      <w:r>
        <w:rPr>
          <w:rFonts w:hint="eastAsia"/>
          <w:lang w:val="en-US" w:eastAsia="zh-CN"/>
        </w:rPr>
        <w:t>15</w:t>
      </w:r>
      <w:r>
        <w:rPr>
          <w:rFonts w:hint="eastAsia"/>
        </w:rPr>
        <w:t>日</w:t>
      </w:r>
    </w:p>
    <w:sdt>
      <w:sdtPr>
        <w:rPr>
          <w:rFonts w:ascii="宋体" w:hAnsi="宋体" w:eastAsia="宋体" w:cs="Times New Roman"/>
          <w:kern w:val="2"/>
          <w:sz w:val="21"/>
          <w:szCs w:val="24"/>
          <w:lang w:val="en-US" w:eastAsia="zh-CN" w:bidi="ar-SA"/>
        </w:rPr>
        <w:id w:val="14747651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pStyle w:val="10"/>
            <w:tabs>
              <w:tab w:val="right" w:leader="dot" w:pos="8306"/>
              <w:tab w:val="clear" w:pos="8296"/>
            </w:tabs>
            <w:rPr>
              <w:rFonts w:hint="eastAsia" w:ascii="宋体" w:hAnsi="宋体" w:eastAsia="宋体" w:cs="宋体"/>
              <w:sz w:val="28"/>
              <w:szCs w:val="28"/>
            </w:rPr>
          </w:pPr>
          <w:bookmarkStart w:id="12" w:name="_Toc15377196"/>
          <w:bookmarkStart w:id="13" w:name="_Toc15396599"/>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_Toc26054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_Toc26054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_Toc27608 </w:instrText>
          </w:r>
          <w:r>
            <w:rPr>
              <w:rFonts w:hint="eastAsia" w:ascii="宋体" w:hAnsi="宋体" w:eastAsia="宋体" w:cs="宋体"/>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_Toc27608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_Toc11854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（一）主要职能。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_Toc11854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_Toc27098 </w:instrText>
          </w:r>
          <w:r>
            <w:rPr>
              <w:rFonts w:hint="eastAsia" w:ascii="宋体" w:hAnsi="宋体" w:eastAsia="宋体" w:cs="宋体"/>
              <w:sz w:val="28"/>
              <w:szCs w:val="28"/>
            </w:rPr>
            <w:fldChar w:fldCharType="separate"/>
          </w:r>
          <w:r>
            <w:rPr>
              <w:rFonts w:hint="eastAsia" w:ascii="宋体" w:hAnsi="宋体" w:eastAsia="宋体" w:cs="宋体"/>
              <w:sz w:val="28"/>
              <w:szCs w:val="28"/>
            </w:rPr>
            <w:t>二、机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_Toc27098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_Toc27550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第二部分 </w:t>
          </w:r>
          <w:r>
            <w:rPr>
              <w:rFonts w:hint="eastAsia" w:ascii="宋体" w:hAnsi="宋体" w:eastAsia="宋体" w:cs="宋体"/>
              <w:bCs w:val="0"/>
              <w:sz w:val="28"/>
              <w:szCs w:val="28"/>
            </w:rPr>
            <w:t>2020年度部门决算情况说明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_Toc27550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_Toc20876 </w:instrText>
          </w:r>
          <w:r>
            <w:rPr>
              <w:rFonts w:hint="eastAsia" w:ascii="宋体" w:hAnsi="宋体" w:eastAsia="宋体" w:cs="宋体"/>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_Toc20876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_Toc1219 </w:instrText>
          </w:r>
          <w:r>
            <w:rPr>
              <w:rFonts w:hint="eastAsia" w:ascii="宋体" w:hAnsi="宋体" w:eastAsia="宋体" w:cs="宋体"/>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_Toc1219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_Toc2056 </w:instrText>
          </w:r>
          <w:r>
            <w:rPr>
              <w:rFonts w:hint="eastAsia" w:ascii="宋体" w:hAnsi="宋体" w:eastAsia="宋体" w:cs="宋体"/>
              <w:sz w:val="28"/>
              <w:szCs w:val="28"/>
            </w:rPr>
            <w:fldChar w:fldCharType="separate"/>
          </w:r>
          <w:r>
            <w:rPr>
              <w:rFonts w:hint="eastAsia" w:ascii="宋体" w:hAnsi="宋体" w:eastAsia="宋体" w:cs="宋体"/>
              <w:sz w:val="28"/>
              <w:szCs w:val="28"/>
            </w:rPr>
            <w:t>三、支出决算情况说明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_Toc2056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_Toc941 </w:instrText>
          </w:r>
          <w:r>
            <w:rPr>
              <w:rFonts w:hint="eastAsia" w:ascii="宋体" w:hAnsi="宋体" w:eastAsia="宋体" w:cs="宋体"/>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_Toc941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_Toc11219 </w:instrText>
          </w:r>
          <w:r>
            <w:rPr>
              <w:rFonts w:hint="eastAsia" w:ascii="宋体" w:hAnsi="宋体" w:eastAsia="宋体" w:cs="宋体"/>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_Toc11219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_Toc8149 </w:instrText>
          </w:r>
          <w:r>
            <w:rPr>
              <w:rFonts w:hint="eastAsia" w:ascii="宋体" w:hAnsi="宋体" w:eastAsia="宋体" w:cs="宋体"/>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_Toc8149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_Toc1375 </w:instrText>
          </w:r>
          <w:r>
            <w:rPr>
              <w:rFonts w:hint="eastAsia" w:ascii="宋体" w:hAnsi="宋体" w:eastAsia="宋体" w:cs="宋体"/>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_Toc1375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_Toc15165 </w:instrText>
          </w:r>
          <w:r>
            <w:rPr>
              <w:rFonts w:hint="eastAsia" w:ascii="宋体" w:hAnsi="宋体" w:eastAsia="宋体" w:cs="宋体"/>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_Toc15165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_Toc9373 </w:instrText>
          </w:r>
          <w:r>
            <w:rPr>
              <w:rFonts w:hint="eastAsia" w:ascii="宋体" w:hAnsi="宋体" w:eastAsia="宋体" w:cs="宋体"/>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_Toc9373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_Toc19520 </w:instrText>
          </w:r>
          <w:r>
            <w:rPr>
              <w:rFonts w:hint="eastAsia" w:ascii="宋体" w:hAnsi="宋体" w:eastAsia="宋体" w:cs="宋体"/>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_Toc19520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_Toc23548 </w:instrText>
          </w:r>
          <w:r>
            <w:rPr>
              <w:rFonts w:hint="eastAsia" w:ascii="宋体" w:hAnsi="宋体" w:eastAsia="宋体" w:cs="宋体"/>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_Toc23548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_Toc17162 </w:instrText>
          </w:r>
          <w:r>
            <w:rPr>
              <w:rFonts w:hint="eastAsia" w:ascii="宋体" w:hAnsi="宋体" w:eastAsia="宋体" w:cs="宋体"/>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_Toc17162 \h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_Toc3213 </w:instrText>
          </w:r>
          <w:r>
            <w:rPr>
              <w:rFonts w:hint="eastAsia" w:ascii="宋体" w:hAnsi="宋体" w:eastAsia="宋体" w:cs="宋体"/>
              <w:sz w:val="28"/>
              <w:szCs w:val="28"/>
            </w:rPr>
            <w:fldChar w:fldCharType="separate"/>
          </w:r>
          <w:r>
            <w:rPr>
              <w:rFonts w:hint="eastAsia" w:ascii="宋体" w:hAnsi="宋体" w:eastAsia="宋体" w:cs="宋体"/>
              <w:sz w:val="28"/>
              <w:szCs w:val="28"/>
            </w:rPr>
            <w:t>一、基本情况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_Toc3213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_Toc12211 </w:instrText>
          </w:r>
          <w:r>
            <w:rPr>
              <w:rFonts w:hint="eastAsia" w:ascii="宋体" w:hAnsi="宋体" w:eastAsia="宋体" w:cs="宋体"/>
              <w:sz w:val="28"/>
              <w:szCs w:val="28"/>
            </w:rPr>
            <w:fldChar w:fldCharType="separate"/>
          </w:r>
          <w:r>
            <w:rPr>
              <w:rFonts w:hint="eastAsia" w:ascii="宋体" w:hAnsi="宋体" w:eastAsia="宋体" w:cs="宋体"/>
              <w:sz w:val="28"/>
              <w:szCs w:val="28"/>
            </w:rPr>
            <w:t>二、资金使用情况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_Toc12211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_Toc5157 </w:instrText>
          </w:r>
          <w:r>
            <w:rPr>
              <w:rFonts w:hint="eastAsia" w:ascii="宋体" w:hAnsi="宋体" w:eastAsia="宋体" w:cs="宋体"/>
              <w:sz w:val="28"/>
              <w:szCs w:val="28"/>
            </w:rPr>
            <w:fldChar w:fldCharType="separate"/>
          </w:r>
          <w:r>
            <w:rPr>
              <w:rFonts w:hint="eastAsia" w:ascii="宋体" w:hAnsi="宋体" w:eastAsia="宋体" w:cs="宋体"/>
              <w:sz w:val="28"/>
              <w:szCs w:val="28"/>
            </w:rPr>
            <w:t>三、目标完成情况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_Toc5157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_Toc22097 </w:instrText>
          </w:r>
          <w:r>
            <w:rPr>
              <w:rFonts w:hint="eastAsia" w:ascii="宋体" w:hAnsi="宋体" w:eastAsia="宋体" w:cs="宋体"/>
              <w:sz w:val="28"/>
              <w:szCs w:val="28"/>
            </w:rPr>
            <w:fldChar w:fldCharType="separate"/>
          </w:r>
          <w:r>
            <w:rPr>
              <w:rFonts w:hint="eastAsia" w:ascii="宋体" w:hAnsi="宋体" w:eastAsia="宋体" w:cs="宋体"/>
              <w:sz w:val="28"/>
              <w:szCs w:val="28"/>
            </w:rPr>
            <w:t>四、项目效益情况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_Toc22097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_Toc30132 </w:instrText>
          </w:r>
          <w:r>
            <w:rPr>
              <w:rFonts w:hint="eastAsia" w:ascii="宋体" w:hAnsi="宋体" w:eastAsia="宋体" w:cs="宋体"/>
              <w:sz w:val="28"/>
              <w:szCs w:val="28"/>
            </w:rPr>
            <w:fldChar w:fldCharType="separate"/>
          </w:r>
          <w:r>
            <w:rPr>
              <w:rFonts w:hint="eastAsia" w:ascii="宋体" w:hAnsi="宋体" w:eastAsia="宋体" w:cs="宋体"/>
              <w:sz w:val="28"/>
              <w:szCs w:val="28"/>
            </w:rPr>
            <w:t>五、问题及建议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_Toc30132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_Toc2177 </w:instrText>
          </w:r>
          <w:r>
            <w:rPr>
              <w:rFonts w:hint="eastAsia" w:ascii="宋体" w:hAnsi="宋体" w:eastAsia="宋体" w:cs="宋体"/>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_Toc21803 </w:instrText>
          </w:r>
          <w:r>
            <w:rPr>
              <w:rFonts w:hint="eastAsia" w:ascii="宋体" w:hAnsi="宋体" w:eastAsia="宋体" w:cs="宋体"/>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_Toc21803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_Toc6187 </w:instrText>
          </w:r>
          <w:r>
            <w:rPr>
              <w:rFonts w:hint="eastAsia" w:ascii="宋体" w:hAnsi="宋体" w:eastAsia="宋体" w:cs="宋体"/>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_Toc6187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_Toc27552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_Toc27552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_Toc5529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_Toc5529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_Toc32149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_Toc32149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_Toc23321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_Toc23321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_Toc27797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_Toc27797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_Toc15032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_Toc15032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_Toc1658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_Toc1658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_Toc1760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_Toc1760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_Toc2074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_Toc2074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_Toc13533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_Toc13533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_Toc13871 </w:instrText>
          </w:r>
          <w:r>
            <w:rPr>
              <w:rFonts w:hint="eastAsia" w:ascii="宋体" w:hAnsi="宋体" w:eastAsia="宋体" w:cs="宋体"/>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_Toc13871 \h </w:instrText>
          </w:r>
          <w:r>
            <w:rPr>
              <w:rFonts w:hint="eastAsia" w:ascii="宋体" w:hAnsi="宋体" w:eastAsia="宋体" w:cs="宋体"/>
              <w:sz w:val="28"/>
              <w:szCs w:val="28"/>
            </w:rPr>
            <w:fldChar w:fldCharType="separate"/>
          </w:r>
          <w:r>
            <w:rPr>
              <w:rFonts w:hint="eastAsia" w:ascii="宋体" w:hAnsi="宋体" w:eastAsia="宋体" w:cs="宋体"/>
              <w:sz w:val="28"/>
              <w:szCs w:val="28"/>
            </w:rPr>
            <w:t>35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rFonts w:hint="eastAsia" w:ascii="宋体" w:hAnsi="宋体" w:eastAsia="宋体" w:cs="宋体"/>
              <w:sz w:val="28"/>
              <w:szCs w:val="28"/>
            </w:rPr>
            <w:fldChar w:fldCharType="end"/>
          </w:r>
        </w:p>
      </w:sdtContent>
    </w:sdt>
    <w:p>
      <w:pPr>
        <w:widowControl/>
        <w:spacing w:line="440" w:lineRule="exact"/>
        <w:jc w:val="left"/>
        <w:rPr>
          <w:rFonts w:hint="eastAsia" w:ascii="宋体" w:hAnsi="宋体" w:eastAsia="宋体" w:cs="宋体"/>
          <w:bCs/>
          <w:kern w:val="44"/>
          <w:sz w:val="24"/>
        </w:rPr>
      </w:pPr>
      <w:r>
        <w:rPr>
          <w:rFonts w:hint="eastAsia" w:ascii="宋体" w:hAnsi="宋体" w:eastAsia="宋体" w:cs="宋体"/>
          <w:b/>
          <w:sz w:val="24"/>
        </w:rPr>
        <w:br w:type="page"/>
      </w:r>
    </w:p>
    <w:p>
      <w:pPr>
        <w:pStyle w:val="2"/>
        <w:jc w:val="center"/>
        <w:rPr>
          <w:rStyle w:val="17"/>
          <w:rFonts w:ascii="黑体" w:hAnsi="黑体" w:eastAsia="黑体"/>
          <w:b/>
          <w:bCs w:val="0"/>
        </w:rPr>
      </w:pPr>
      <w:bookmarkStart w:id="14" w:name="_Toc26054"/>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bookmarkEnd w:id="14"/>
    </w:p>
    <w:p>
      <w:pPr>
        <w:pStyle w:val="3"/>
        <w:pageBreakBefore w:val="0"/>
        <w:kinsoku/>
        <w:wordWrap/>
        <w:overflowPunct/>
        <w:topLinePunct w:val="0"/>
        <w:autoSpaceDE/>
        <w:autoSpaceDN/>
        <w:bidi w:val="0"/>
        <w:spacing w:before="0" w:after="0" w:line="560" w:lineRule="exact"/>
        <w:ind w:firstLine="320" w:firstLineChars="100"/>
        <w:textAlignment w:val="auto"/>
        <w:rPr>
          <w:rStyle w:val="18"/>
          <w:rFonts w:hint="eastAsia" w:ascii="黑体" w:hAnsi="黑体" w:eastAsia="黑体"/>
          <w:b w:val="0"/>
          <w:bCs w:val="0"/>
          <w:sz w:val="32"/>
          <w:szCs w:val="32"/>
        </w:rPr>
      </w:pPr>
      <w:bookmarkStart w:id="15" w:name="_Toc15396600"/>
      <w:bookmarkStart w:id="16" w:name="_Toc27608"/>
      <w:bookmarkStart w:id="17" w:name="_Toc15377197"/>
      <w:r>
        <w:rPr>
          <w:rFonts w:hint="eastAsia" w:ascii="黑体" w:hAnsi="黑体" w:eastAsia="黑体"/>
          <w:b w:val="0"/>
          <w:color w:val="000000"/>
          <w:sz w:val="32"/>
          <w:szCs w:val="32"/>
        </w:rPr>
        <w:t>一、基</w:t>
      </w:r>
      <w:r>
        <w:rPr>
          <w:rStyle w:val="18"/>
          <w:rFonts w:hint="eastAsia" w:ascii="黑体" w:hAnsi="黑体" w:eastAsia="黑体"/>
          <w:b w:val="0"/>
          <w:bCs w:val="0"/>
          <w:sz w:val="32"/>
          <w:szCs w:val="32"/>
        </w:rPr>
        <w:t>本职能及主要工作</w:t>
      </w:r>
      <w:bookmarkEnd w:id="15"/>
      <w:bookmarkEnd w:id="16"/>
      <w:bookmarkEnd w:id="17"/>
      <w:bookmarkStart w:id="18" w:name="_Toc15377198"/>
      <w:bookmarkStart w:id="19" w:name="_Toc15378445"/>
    </w:p>
    <w:p>
      <w:pPr>
        <w:pStyle w:val="3"/>
        <w:pageBreakBefore w:val="0"/>
        <w:kinsoku/>
        <w:wordWrap/>
        <w:overflowPunct/>
        <w:topLinePunct w:val="0"/>
        <w:autoSpaceDE/>
        <w:autoSpaceDN/>
        <w:bidi w:val="0"/>
        <w:spacing w:before="0" w:after="0" w:line="560" w:lineRule="exact"/>
        <w:ind w:firstLine="321" w:firstLineChars="100"/>
        <w:textAlignment w:val="auto"/>
        <w:rPr>
          <w:rFonts w:ascii="仿宋" w:hAnsi="仿宋" w:eastAsia="仿宋"/>
          <w:bCs/>
          <w:color w:val="000000"/>
          <w:sz w:val="32"/>
          <w:szCs w:val="32"/>
        </w:rPr>
      </w:pPr>
      <w:bookmarkStart w:id="20" w:name="_Toc11854"/>
      <w:r>
        <w:rPr>
          <w:rFonts w:hint="eastAsia" w:ascii="仿宋" w:hAnsi="仿宋" w:eastAsia="仿宋"/>
          <w:bCs/>
          <w:color w:val="000000"/>
          <w:sz w:val="32"/>
          <w:szCs w:val="32"/>
        </w:rPr>
        <w:t>（一）主要职能。</w:t>
      </w:r>
      <w:bookmarkEnd w:id="20"/>
    </w:p>
    <w:bookmarkEnd w:id="18"/>
    <w:bookmarkEnd w:id="19"/>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bookmarkStart w:id="21" w:name="_Toc15377199"/>
      <w:bookmarkStart w:id="22" w:name="_Toc15378446"/>
      <w:r>
        <w:rPr>
          <w:rFonts w:hint="eastAsia" w:ascii="仿宋_GB2312" w:hAnsi="仿宋_GB2312" w:eastAsia="仿宋_GB2312" w:cs="仿宋_GB2312"/>
          <w:sz w:val="32"/>
          <w:szCs w:val="32"/>
        </w:rPr>
        <w:t>1.全面贯彻党的教育方针，执行落实上级有关教育工作的政策、法律法规，拟订学校教育改革与发展战略，制定学校教育事业发展规划和年度计划并组织实施。</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领导和管理全镇教育教学，全面贯彻党和国家的教育方针，认真普及九年义务教育，推进素质教育，提高教育教学质量；</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3.管理好全镇小学校的全面工作，制定学年、学期教育教学工作计划，搞好期中、期末总结工作；</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4.做好一年一度招生、考试工作，抓好师德教育，根据教育发展情况，管好、用好学校教育经费。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5.负责全校教师队伍建设和管理工作，依法管理教师的编制、资格认定、职务评聘、考核、聘用、培训、劳资、调配等。</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6.承担市教育局及其他部门具体工作。</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7.制定安全工作计划、措施及各种规章制度，对师生的各种安全教育给予指导。</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8.负责学生思想教育的过程性的协调、指导。</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9.加强学校党建工作的建设。</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10.全面贯彻党的教育方针，执行</w:t>
      </w:r>
      <w:r>
        <w:rPr>
          <w:rFonts w:hint="eastAsia" w:ascii="仿宋_GB2312" w:hAnsi="仿宋_GB2312" w:eastAsia="仿宋_GB2312" w:cs="仿宋_GB2312"/>
          <w:sz w:val="32"/>
          <w:szCs w:val="32"/>
          <w:highlight w:val="none"/>
          <w:lang w:eastAsia="zh-CN"/>
        </w:rPr>
        <w:t>教学大纲</w:t>
      </w:r>
      <w:r>
        <w:rPr>
          <w:rFonts w:hint="eastAsia" w:ascii="仿宋_GB2312" w:hAnsi="仿宋_GB2312" w:eastAsia="仿宋_GB2312" w:cs="仿宋_GB2312"/>
          <w:sz w:val="32"/>
          <w:szCs w:val="32"/>
        </w:rPr>
        <w:t>大纲，组织制定学校教学工作计划，健全教学常规，保证教学计划的执行。</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11.做好教材、教学参考资料的制定、发放工作。</w:t>
      </w:r>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Ansi="仿宋_GB2312" w:cs="仿宋_GB2312"/>
          <w:sz w:val="32"/>
          <w:szCs w:val="32"/>
        </w:rPr>
      </w:pPr>
      <w:r>
        <w:rPr>
          <w:rFonts w:hint="eastAsia" w:hAnsi="仿宋_GB2312" w:cs="仿宋_GB2312"/>
          <w:sz w:val="32"/>
          <w:szCs w:val="32"/>
        </w:rPr>
        <w:t>12.积极开展教学研究活动和教学方法改革，指导教师运用现代化教学理论和手段进行教学。参照三定方案描述；</w:t>
      </w:r>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1"/>
      <w:bookmarkEnd w:id="22"/>
    </w:p>
    <w:p>
      <w:pPr>
        <w:pStyle w:val="12"/>
        <w:pageBreakBefore w:val="0"/>
        <w:shd w:val="clear" w:color="auto" w:fill="FFFFFF"/>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1、加强队伍建设。一是干部队伍建设，二是党员队伍建设，三是中青年骨干教师队伍建设，四是班主任队伍建设。</w:t>
      </w:r>
    </w:p>
    <w:p>
      <w:pPr>
        <w:pageBreakBefore w:val="0"/>
        <w:widowControl/>
        <w:shd w:val="clear" w:color="auto" w:fill="FFFFFF"/>
        <w:kinsoku/>
        <w:wordWrap/>
        <w:overflowPunct/>
        <w:topLinePunct w:val="0"/>
        <w:autoSpaceDE/>
        <w:autoSpaceDN/>
        <w:bidi w:val="0"/>
        <w:spacing w:line="560" w:lineRule="exact"/>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2、加强德育工作，落实全员德育。积极探索新课程背景下德育工作的有效途径，挖掘德育资源。努力构建学校、家庭、社会齐抓共管的德育工作格局，形成德育的整体合力。</w:t>
      </w:r>
    </w:p>
    <w:p>
      <w:pPr>
        <w:pageBreakBefore w:val="0"/>
        <w:widowControl/>
        <w:shd w:val="clear" w:color="auto" w:fill="FFFFFF"/>
        <w:kinsoku/>
        <w:wordWrap/>
        <w:overflowPunct/>
        <w:topLinePunct w:val="0"/>
        <w:autoSpaceDE/>
        <w:autoSpaceDN/>
        <w:bidi w:val="0"/>
        <w:spacing w:line="560" w:lineRule="exact"/>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3、坚持教学工作是学校的中心工作这一原则，狠抓学科教学质量。强化毕业班教学质</w:t>
      </w:r>
      <w:r>
        <w:rPr>
          <w:rFonts w:hint="eastAsia" w:ascii="仿宋_GB2312" w:hAnsi="仿宋_GB2312" w:eastAsia="仿宋_GB2312" w:cs="仿宋_GB2312"/>
          <w:sz w:val="32"/>
          <w:szCs w:val="32"/>
          <w:lang w:eastAsia="zh-CN"/>
        </w:rPr>
        <w:t>质量的调研</w:t>
      </w:r>
      <w:r>
        <w:rPr>
          <w:rFonts w:ascii="仿宋_GB2312" w:hAnsi="仿宋_GB2312" w:eastAsia="仿宋_GB2312" w:cs="仿宋_GB2312"/>
          <w:sz w:val="32"/>
          <w:szCs w:val="32"/>
        </w:rPr>
        <w:t>监控，争取完成各项教育教学质量指标。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4、扎实推进教师校本培训，切实提高教师的专业技能和专业水平。</w:t>
      </w:r>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ascii="仿宋" w:hAnsi="仿宋" w:eastAsia="仿宋"/>
          <w:bCs/>
          <w:color w:val="000000"/>
          <w:sz w:val="32"/>
          <w:szCs w:val="32"/>
        </w:rPr>
      </w:pPr>
      <w:r>
        <w:rPr>
          <w:rFonts w:hAnsi="仿宋_GB2312" w:cs="仿宋_GB2312"/>
          <w:sz w:val="32"/>
          <w:szCs w:val="32"/>
        </w:rPr>
        <w:t>5、牢固树立“安全第一”意识。采取积极的预防措施，切实加强学校的安全工作，确保师生人身安全和教育教学的正常秩序。</w:t>
      </w:r>
    </w:p>
    <w:p>
      <w:pPr>
        <w:pStyle w:val="3"/>
        <w:pageBreakBefore w:val="0"/>
        <w:kinsoku/>
        <w:wordWrap/>
        <w:overflowPunct/>
        <w:topLinePunct w:val="0"/>
        <w:autoSpaceDE/>
        <w:autoSpaceDN/>
        <w:bidi w:val="0"/>
        <w:spacing w:before="0" w:after="0" w:line="560" w:lineRule="exact"/>
        <w:ind w:firstLine="640" w:firstLineChars="200"/>
        <w:textAlignment w:val="auto"/>
        <w:rPr>
          <w:rStyle w:val="18"/>
          <w:b w:val="0"/>
          <w:bCs w:val="0"/>
          <w:sz w:val="32"/>
          <w:szCs w:val="32"/>
        </w:rPr>
      </w:pPr>
      <w:bookmarkStart w:id="23" w:name="_Toc27098"/>
      <w:bookmarkStart w:id="24" w:name="_Toc15396601"/>
      <w:bookmarkStart w:id="25" w:name="_Toc15377200"/>
      <w:r>
        <w:rPr>
          <w:rFonts w:hint="eastAsia" w:ascii="黑体" w:eastAsia="黑体"/>
          <w:b w:val="0"/>
          <w:color w:val="000000"/>
          <w:sz w:val="32"/>
          <w:szCs w:val="32"/>
        </w:rPr>
        <w:t>二、</w:t>
      </w:r>
      <w:r>
        <w:rPr>
          <w:rFonts w:hint="eastAsia" w:ascii="黑体" w:hAnsi="黑体" w:eastAsia="黑体"/>
          <w:b w:val="0"/>
          <w:color w:val="000000"/>
          <w:sz w:val="32"/>
          <w:szCs w:val="32"/>
        </w:rPr>
        <w:t>机</w:t>
      </w:r>
      <w:r>
        <w:rPr>
          <w:rStyle w:val="18"/>
          <w:rFonts w:hint="eastAsia" w:ascii="黑体" w:hAnsi="黑体" w:eastAsia="黑体"/>
          <w:b w:val="0"/>
          <w:bCs w:val="0"/>
          <w:sz w:val="32"/>
          <w:szCs w:val="32"/>
        </w:rPr>
        <w:t>构设置</w:t>
      </w:r>
      <w:bookmarkEnd w:id="23"/>
      <w:bookmarkEnd w:id="24"/>
      <w:bookmarkEnd w:id="25"/>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Ansi="仿宋_GB2312" w:cs="仿宋_GB2312"/>
          <w:sz w:val="32"/>
          <w:szCs w:val="32"/>
        </w:rPr>
      </w:pPr>
      <w:r>
        <w:rPr>
          <w:rFonts w:hint="eastAsia" w:hAnsi="仿宋_GB2312" w:cs="仿宋_GB2312"/>
          <w:sz w:val="32"/>
          <w:szCs w:val="32"/>
        </w:rPr>
        <w:t>通江县沙溪初级中学现在独立机构编制单位1个（事业），独立核算机构1个，与2019相比增加</w:t>
      </w:r>
      <w:r>
        <w:rPr>
          <w:rFonts w:hint="eastAsia" w:hAnsi="仿宋_GB2312" w:cs="仿宋_GB2312"/>
          <w:sz w:val="32"/>
          <w:szCs w:val="32"/>
          <w:lang w:eastAsia="zh-CN"/>
        </w:rPr>
        <w:t>财拨人员</w:t>
      </w:r>
      <w:r>
        <w:rPr>
          <w:rFonts w:hint="eastAsia" w:hAnsi="仿宋_GB2312" w:cs="仿宋_GB2312"/>
          <w:sz w:val="32"/>
          <w:szCs w:val="32"/>
        </w:rPr>
        <w:t>2</w:t>
      </w:r>
      <w:r>
        <w:rPr>
          <w:rFonts w:hint="eastAsia" w:hAnsi="仿宋_GB2312" w:cs="仿宋_GB2312"/>
          <w:sz w:val="32"/>
          <w:szCs w:val="32"/>
          <w:lang w:eastAsia="zh-CN"/>
        </w:rPr>
        <w:t>名</w:t>
      </w:r>
      <w:r>
        <w:rPr>
          <w:rFonts w:hint="eastAsia" w:hAnsi="仿宋_GB2312" w:cs="仿宋_GB2312"/>
          <w:sz w:val="32"/>
          <w:szCs w:val="32"/>
        </w:rPr>
        <w:t>。</w:t>
      </w:r>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rPr>
          <w:rFonts w:ascii="华文宋体" w:hAnsi="华文宋体" w:eastAsia="华文宋体"/>
          <w:sz w:val="32"/>
          <w:szCs w:val="32"/>
        </w:rPr>
      </w:pPr>
    </w:p>
    <w:p>
      <w:pPr>
        <w:pStyle w:val="5"/>
        <w:pageBreakBefore w:val="0"/>
        <w:kinsoku/>
        <w:wordWrap/>
        <w:overflowPunct/>
        <w:topLinePunct w:val="0"/>
        <w:autoSpaceDE/>
        <w:autoSpaceDN/>
        <w:bidi w:val="0"/>
        <w:adjustRightInd w:val="0"/>
        <w:snapToGrid w:val="0"/>
        <w:spacing w:beforeLines="0" w:line="560" w:lineRule="exact"/>
        <w:ind w:firstLine="672" w:firstLineChars="210"/>
        <w:textAlignment w:val="auto"/>
        <w:rPr>
          <w:rFonts w:ascii="华文宋体" w:hAnsi="华文宋体" w:eastAsia="华文宋体"/>
          <w:sz w:val="32"/>
          <w:szCs w:val="32"/>
        </w:rPr>
      </w:pPr>
    </w:p>
    <w:p>
      <w:pPr>
        <w:pStyle w:val="5"/>
        <w:pageBreakBefore w:val="0"/>
        <w:kinsoku/>
        <w:wordWrap/>
        <w:overflowPunct/>
        <w:topLinePunct w:val="0"/>
        <w:autoSpaceDE/>
        <w:autoSpaceDN/>
        <w:bidi w:val="0"/>
        <w:adjustRightInd w:val="0"/>
        <w:snapToGrid w:val="0"/>
        <w:spacing w:beforeLines="0" w:line="560" w:lineRule="exact"/>
        <w:textAlignment w:val="auto"/>
        <w:rPr>
          <w:rFonts w:ascii="仿宋" w:hAnsi="仿宋" w:eastAsia="仿宋"/>
          <w:color w:val="000000"/>
          <w:sz w:val="32"/>
          <w:szCs w:val="32"/>
        </w:rPr>
      </w:pPr>
    </w:p>
    <w:p>
      <w:pPr>
        <w:pStyle w:val="2"/>
        <w:ind w:right="440"/>
        <w:jc w:val="right"/>
        <w:rPr>
          <w:rStyle w:val="17"/>
          <w:rFonts w:ascii="黑体" w:hAnsi="黑体" w:eastAsia="黑体"/>
          <w:b w:val="0"/>
          <w:bCs w:val="0"/>
        </w:rPr>
      </w:pPr>
      <w:bookmarkStart w:id="26" w:name="_Toc15396602"/>
      <w:bookmarkStart w:id="27" w:name="_Toc27550"/>
      <w:bookmarkStart w:id="28" w:name="_Toc15377204"/>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26"/>
      <w:bookmarkEnd w:id="27"/>
      <w:bookmarkEnd w:id="28"/>
    </w:p>
    <w:p/>
    <w:p>
      <w:pPr>
        <w:pStyle w:val="28"/>
        <w:numPr>
          <w:ilvl w:val="0"/>
          <w:numId w:val="1"/>
        </w:numPr>
        <w:spacing w:line="600" w:lineRule="exact"/>
        <w:ind w:firstLineChars="0"/>
        <w:outlineLvl w:val="1"/>
        <w:rPr>
          <w:rStyle w:val="18"/>
          <w:rFonts w:ascii="黑体" w:hAnsi="黑体" w:eastAsia="黑体"/>
          <w:b w:val="0"/>
        </w:rPr>
      </w:pPr>
      <w:bookmarkStart w:id="29" w:name="_Toc20876"/>
      <w:bookmarkStart w:id="30" w:name="_Toc15377205"/>
      <w:bookmarkStart w:id="31"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9"/>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ascii="仿宋" w:hAnsi="仿宋" w:eastAsia="仿宋"/>
          <w:color w:val="000000"/>
          <w:sz w:val="32"/>
          <w:szCs w:val="32"/>
        </w:rPr>
        <w:t>1422.562031</w:t>
      </w:r>
      <w:r>
        <w:rPr>
          <w:rFonts w:hint="eastAsia" w:ascii="仿宋" w:hAnsi="仿宋" w:eastAsia="仿宋"/>
          <w:color w:val="000000"/>
          <w:sz w:val="32"/>
          <w:szCs w:val="32"/>
        </w:rPr>
        <w:t>万元，</w:t>
      </w:r>
      <w:r>
        <w:rPr>
          <w:rFonts w:ascii="仿宋" w:hAnsi="仿宋" w:eastAsia="仿宋"/>
          <w:color w:val="000000"/>
          <w:sz w:val="32"/>
          <w:szCs w:val="32"/>
        </w:rPr>
        <w:t>2019</w:t>
      </w:r>
      <w:r>
        <w:rPr>
          <w:rFonts w:hint="eastAsia" w:ascii="仿宋" w:hAnsi="仿宋" w:eastAsia="仿宋"/>
          <w:color w:val="000000"/>
          <w:sz w:val="32"/>
          <w:szCs w:val="32"/>
        </w:rPr>
        <w:t>年度收、支总计</w:t>
      </w:r>
      <w:r>
        <w:rPr>
          <w:rFonts w:ascii="仿宋" w:hAnsi="仿宋" w:eastAsia="仿宋"/>
          <w:color w:val="000000"/>
          <w:sz w:val="32"/>
          <w:szCs w:val="32"/>
        </w:rPr>
        <w:t>2208.9752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ascii="仿宋" w:hAnsi="仿宋" w:eastAsia="仿宋"/>
          <w:color w:val="000000"/>
          <w:sz w:val="32"/>
          <w:szCs w:val="32"/>
        </w:rPr>
        <w:t>786.413169</w:t>
      </w:r>
      <w:r>
        <w:rPr>
          <w:rFonts w:hint="eastAsia" w:ascii="仿宋" w:hAnsi="仿宋" w:eastAsia="仿宋"/>
          <w:color w:val="000000"/>
          <w:sz w:val="32"/>
          <w:szCs w:val="32"/>
        </w:rPr>
        <w:t>万元，下降</w:t>
      </w:r>
      <w:r>
        <w:rPr>
          <w:rFonts w:ascii="仿宋" w:hAnsi="仿宋" w:eastAsia="仿宋"/>
          <w:color w:val="000000"/>
          <w:sz w:val="32"/>
          <w:szCs w:val="32"/>
        </w:rPr>
        <w:t>35.6%</w:t>
      </w:r>
      <w:r>
        <w:rPr>
          <w:rFonts w:hint="eastAsia" w:ascii="仿宋" w:hAnsi="仿宋" w:eastAsia="仿宋"/>
          <w:color w:val="000000"/>
          <w:sz w:val="32"/>
          <w:szCs w:val="32"/>
        </w:rPr>
        <w:t>。主要减少原因为无项目支出。</w:t>
      </w:r>
    </w:p>
    <w:p>
      <w:pPr>
        <w:spacing w:line="600" w:lineRule="exact"/>
        <w:ind w:firstLine="640" w:firstLineChars="200"/>
        <w:rPr>
          <w:rFonts w:ascii="仿宋" w:hAnsi="仿宋" w:eastAsia="仿宋"/>
          <w:color w:val="000000"/>
          <w:sz w:val="32"/>
          <w:szCs w:val="32"/>
        </w:rPr>
      </w:pPr>
      <w:r>
        <w:rPr>
          <w:rFonts w:ascii="仿宋_GB2312" w:hAnsi="仿宋" w:eastAsia="仿宋_GB2312"/>
          <w:sz w:val="32"/>
          <w:szCs w:val="32"/>
        </w:rPr>
        <w:drawing>
          <wp:anchor distT="0" distB="0" distL="114300" distR="114300" simplePos="0" relativeHeight="251659264" behindDoc="0" locked="0" layoutInCell="1" allowOverlap="1">
            <wp:simplePos x="0" y="0"/>
            <wp:positionH relativeFrom="margin">
              <wp:posOffset>255905</wp:posOffset>
            </wp:positionH>
            <wp:positionV relativeFrom="paragraph">
              <wp:posOffset>714375</wp:posOffset>
            </wp:positionV>
            <wp:extent cx="4337050" cy="2374900"/>
            <wp:effectExtent l="0" t="0" r="6350" b="635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8"/>
        <w:numPr>
          <w:ilvl w:val="0"/>
          <w:numId w:val="1"/>
        </w:numPr>
        <w:spacing w:line="600" w:lineRule="exact"/>
        <w:ind w:firstLineChars="0"/>
        <w:outlineLvl w:val="1"/>
        <w:rPr>
          <w:rStyle w:val="18"/>
          <w:rFonts w:ascii="黑体" w:hAnsi="黑体" w:eastAsia="黑体"/>
          <w:b w:val="0"/>
        </w:rPr>
      </w:pPr>
      <w:bookmarkStart w:id="32" w:name="_Toc15396604"/>
      <w:bookmarkStart w:id="33" w:name="_Toc15377206"/>
      <w:bookmarkStart w:id="34" w:name="_Toc1219"/>
      <w:r>
        <w:rPr>
          <w:rFonts w:hint="eastAsia" w:ascii="黑体" w:hAnsi="黑体" w:eastAsia="黑体"/>
          <w:color w:val="000000"/>
          <w:sz w:val="32"/>
          <w:szCs w:val="32"/>
        </w:rPr>
        <w:t>收</w:t>
      </w:r>
      <w:r>
        <w:rPr>
          <w:rStyle w:val="18"/>
          <w:rFonts w:hint="eastAsia" w:ascii="黑体" w:hAnsi="黑体" w:eastAsia="黑体"/>
          <w:b w:val="0"/>
        </w:rPr>
        <w:t>入决算情况说明</w:t>
      </w:r>
      <w:bookmarkEnd w:id="32"/>
      <w:bookmarkEnd w:id="33"/>
      <w:bookmarkEnd w:id="34"/>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ascii="仿宋" w:hAnsi="仿宋" w:eastAsia="仿宋"/>
          <w:color w:val="000000"/>
          <w:sz w:val="32"/>
          <w:szCs w:val="32"/>
        </w:rPr>
        <w:t>1422.562031</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1422.562031</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firstLineChars="200"/>
        <w:outlineLvl w:val="9"/>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黑体" w:hAnsi="黑体" w:eastAsia="黑体"/>
          <w:color w:val="000000"/>
          <w:sz w:val="32"/>
          <w:szCs w:val="32"/>
        </w:rPr>
      </w:pPr>
    </w:p>
    <w:p>
      <w:pPr>
        <w:spacing w:line="600" w:lineRule="exact"/>
        <w:ind w:firstLine="561" w:firstLineChars="200"/>
        <w:rPr>
          <w:rFonts w:ascii="黑体" w:hAnsi="黑体" w:eastAsia="黑体"/>
          <w:color w:val="000000"/>
          <w:sz w:val="32"/>
          <w:szCs w:val="32"/>
        </w:rPr>
      </w:pPr>
      <w:r>
        <w:rPr>
          <w:rFonts w:ascii="华文宋体" w:hAnsi="华文宋体" w:eastAsia="华文宋体"/>
          <w:b/>
          <w:sz w:val="28"/>
          <w:szCs w:val="28"/>
        </w:rPr>
        <w:drawing>
          <wp:anchor distT="0" distB="0" distL="114300" distR="114300" simplePos="0" relativeHeight="251660288" behindDoc="0" locked="0" layoutInCell="1" allowOverlap="1">
            <wp:simplePos x="0" y="0"/>
            <wp:positionH relativeFrom="margin">
              <wp:posOffset>1628775</wp:posOffset>
            </wp:positionH>
            <wp:positionV relativeFrom="paragraph">
              <wp:posOffset>0</wp:posOffset>
            </wp:positionV>
            <wp:extent cx="2546350" cy="2305050"/>
            <wp:effectExtent l="0" t="0" r="635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Style w:val="18"/>
          <w:rFonts w:ascii="黑体" w:hAnsi="黑体" w:eastAsia="黑体"/>
          <w:b w:val="0"/>
        </w:rPr>
      </w:pPr>
      <w:bookmarkStart w:id="35" w:name="_Toc2056"/>
      <w:r>
        <w:rPr>
          <w:rFonts w:hint="eastAsia" w:ascii="黑体" w:hAnsi="黑体" w:eastAsia="黑体"/>
          <w:color w:val="000000"/>
          <w:sz w:val="32"/>
          <w:szCs w:val="32"/>
        </w:rPr>
        <w:t>三、</w:t>
      </w:r>
      <w:bookmarkStart w:id="36" w:name="_Toc15396605"/>
      <w:bookmarkStart w:id="37" w:name="_Toc15377207"/>
      <w:r>
        <w:rPr>
          <w:rFonts w:hint="eastAsia" w:ascii="黑体" w:hAnsi="黑体" w:eastAsia="黑体"/>
          <w:color w:val="000000"/>
          <w:sz w:val="32"/>
          <w:szCs w:val="32"/>
        </w:rPr>
        <w:t>支</w:t>
      </w:r>
      <w:r>
        <w:rPr>
          <w:rStyle w:val="18"/>
          <w:rFonts w:hint="eastAsia" w:ascii="黑体" w:hAnsi="黑体" w:eastAsia="黑体"/>
          <w:b w:val="0"/>
        </w:rPr>
        <w:t>出决算情况说明</w:t>
      </w:r>
      <w:bookmarkEnd w:id="35"/>
      <w:bookmarkEnd w:id="36"/>
      <w:bookmarkEnd w:id="37"/>
    </w:p>
    <w:p>
      <w:pPr>
        <w:spacing w:line="600" w:lineRule="exact"/>
        <w:ind w:firstLine="640" w:firstLineChars="20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ascii="仿宋" w:hAnsi="仿宋" w:eastAsia="仿宋"/>
          <w:color w:val="000000"/>
          <w:sz w:val="32"/>
          <w:szCs w:val="32"/>
        </w:rPr>
        <w:t>1422.562031</w:t>
      </w:r>
      <w:r>
        <w:rPr>
          <w:rFonts w:hint="eastAsia" w:ascii="仿宋" w:hAnsi="仿宋" w:eastAsia="仿宋"/>
          <w:color w:val="000000"/>
          <w:sz w:val="32"/>
          <w:szCs w:val="32"/>
        </w:rPr>
        <w:t>万元，其中：基本支出</w:t>
      </w:r>
      <w:r>
        <w:rPr>
          <w:rFonts w:ascii="仿宋" w:hAnsi="仿宋" w:eastAsia="仿宋"/>
          <w:color w:val="000000"/>
          <w:sz w:val="32"/>
          <w:szCs w:val="32"/>
        </w:rPr>
        <w:t>1422.562031</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；项目支出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561" w:firstLineChars="200"/>
        <w:outlineLvl w:val="9"/>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1312" behindDoc="0" locked="0" layoutInCell="1" allowOverlap="1">
            <wp:simplePos x="0" y="0"/>
            <wp:positionH relativeFrom="margin">
              <wp:posOffset>1409700</wp:posOffset>
            </wp:positionH>
            <wp:positionV relativeFrom="paragraph">
              <wp:posOffset>600075</wp:posOffset>
            </wp:positionV>
            <wp:extent cx="2546350" cy="2305050"/>
            <wp:effectExtent l="0" t="0" r="635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Style w:val="18"/>
          <w:rFonts w:ascii="黑体" w:hAnsi="黑体" w:eastAsia="黑体"/>
          <w:b w:val="0"/>
        </w:rPr>
      </w:pPr>
      <w:bookmarkStart w:id="38" w:name="_Toc15377208"/>
      <w:bookmarkStart w:id="39" w:name="_Toc941"/>
      <w:bookmarkStart w:id="40" w:name="_Toc15396606"/>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8"/>
      <w:bookmarkEnd w:id="39"/>
      <w:bookmarkEnd w:id="40"/>
    </w:p>
    <w:p>
      <w:pPr>
        <w:spacing w:line="600" w:lineRule="exact"/>
        <w:ind w:firstLine="640"/>
        <w:outlineLvl w:val="9"/>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ascii="仿宋" w:hAnsi="仿宋" w:eastAsia="仿宋"/>
          <w:color w:val="000000"/>
          <w:sz w:val="32"/>
          <w:szCs w:val="32"/>
        </w:rPr>
        <w:t>1422.562031</w:t>
      </w:r>
      <w:r>
        <w:rPr>
          <w:rFonts w:hint="eastAsia" w:ascii="仿宋" w:hAnsi="仿宋" w:eastAsia="仿宋"/>
          <w:color w:val="000000"/>
          <w:sz w:val="32"/>
          <w:szCs w:val="32"/>
        </w:rPr>
        <w:t>万元。</w:t>
      </w:r>
      <w:r>
        <w:rPr>
          <w:rFonts w:ascii="仿宋" w:hAnsi="仿宋" w:eastAsia="仿宋"/>
          <w:color w:val="000000"/>
          <w:sz w:val="32"/>
          <w:szCs w:val="32"/>
        </w:rPr>
        <w:t>2019</w:t>
      </w:r>
      <w:r>
        <w:rPr>
          <w:rFonts w:hint="eastAsia" w:ascii="仿宋" w:hAnsi="仿宋" w:eastAsia="仿宋"/>
          <w:color w:val="000000"/>
          <w:sz w:val="32"/>
          <w:szCs w:val="32"/>
        </w:rPr>
        <w:t>年度财政拨款收、支总计</w:t>
      </w:r>
      <w:r>
        <w:rPr>
          <w:rFonts w:ascii="仿宋" w:hAnsi="仿宋" w:eastAsia="仿宋"/>
          <w:color w:val="000000"/>
          <w:sz w:val="32"/>
          <w:szCs w:val="32"/>
        </w:rPr>
        <w:t>2208.9752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ascii="仿宋" w:hAnsi="仿宋" w:eastAsia="仿宋"/>
          <w:color w:val="000000"/>
          <w:sz w:val="32"/>
          <w:szCs w:val="32"/>
        </w:rPr>
        <w:t>786.413169</w:t>
      </w:r>
      <w:r>
        <w:rPr>
          <w:rFonts w:hint="eastAsia" w:ascii="仿宋" w:hAnsi="仿宋" w:eastAsia="仿宋"/>
          <w:color w:val="000000"/>
          <w:sz w:val="32"/>
          <w:szCs w:val="32"/>
        </w:rPr>
        <w:t>万元，下降</w:t>
      </w:r>
      <w:r>
        <w:rPr>
          <w:rFonts w:ascii="仿宋" w:hAnsi="仿宋" w:eastAsia="仿宋"/>
          <w:color w:val="000000"/>
          <w:sz w:val="32"/>
          <w:szCs w:val="32"/>
        </w:rPr>
        <w:t>35.6%</w:t>
      </w:r>
      <w:r>
        <w:rPr>
          <w:rFonts w:hint="eastAsia" w:ascii="仿宋" w:hAnsi="仿宋" w:eastAsia="仿宋"/>
          <w:color w:val="000000"/>
          <w:sz w:val="32"/>
          <w:szCs w:val="32"/>
        </w:rPr>
        <w:t>。主要减少原因为无项目支出。</w:t>
      </w:r>
    </w:p>
    <w:p>
      <w:pPr>
        <w:spacing w:line="600" w:lineRule="exact"/>
        <w:ind w:firstLine="640" w:firstLineChars="200"/>
        <w:outlineLvl w:val="9"/>
        <w:rPr>
          <w:rFonts w:ascii="仿宋" w:hAnsi="仿宋" w:eastAsia="仿宋"/>
          <w:color w:val="000000"/>
          <w:sz w:val="32"/>
          <w:szCs w:val="32"/>
        </w:rPr>
      </w:pPr>
      <w:r>
        <w:rPr>
          <w:rFonts w:ascii="仿宋_GB2312" w:hAnsi="仿宋" w:eastAsia="仿宋_GB2312"/>
          <w:sz w:val="32"/>
          <w:szCs w:val="32"/>
        </w:rPr>
        <w:drawing>
          <wp:anchor distT="0" distB="0" distL="114300" distR="114300" simplePos="0" relativeHeight="251662336" behindDoc="0" locked="0" layoutInCell="1" allowOverlap="1">
            <wp:simplePos x="0" y="0"/>
            <wp:positionH relativeFrom="margin">
              <wp:posOffset>371475</wp:posOffset>
            </wp:positionH>
            <wp:positionV relativeFrom="paragraph">
              <wp:posOffset>733425</wp:posOffset>
            </wp:positionV>
            <wp:extent cx="4337050" cy="2374900"/>
            <wp:effectExtent l="0" t="0" r="6350"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8"/>
          <w:rFonts w:ascii="黑体" w:hAnsi="黑体" w:eastAsia="黑体"/>
          <w:b w:val="0"/>
        </w:rPr>
      </w:pPr>
      <w:bookmarkStart w:id="41" w:name="_Toc15377209"/>
      <w:bookmarkStart w:id="42" w:name="_Toc11219"/>
      <w:bookmarkStart w:id="4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41"/>
      <w:bookmarkEnd w:id="42"/>
      <w:bookmarkEnd w:id="43"/>
    </w:p>
    <w:p>
      <w:pPr>
        <w:spacing w:line="600" w:lineRule="exact"/>
        <w:ind w:firstLine="643" w:firstLineChars="200"/>
        <w:outlineLvl w:val="2"/>
        <w:rPr>
          <w:rFonts w:ascii="仿宋" w:hAnsi="仿宋" w:eastAsia="仿宋"/>
          <w:b/>
          <w:color w:val="000000"/>
          <w:sz w:val="32"/>
          <w:szCs w:val="32"/>
        </w:rPr>
      </w:pPr>
      <w:bookmarkStart w:id="44" w:name="_Toc15377210"/>
      <w:r>
        <w:rPr>
          <w:rFonts w:hint="eastAsia" w:ascii="仿宋" w:hAnsi="仿宋" w:eastAsia="仿宋"/>
          <w:b/>
          <w:color w:val="000000"/>
          <w:sz w:val="32"/>
          <w:szCs w:val="32"/>
        </w:rPr>
        <w:t>（一）一般公共预算财政拨款支出决算总体情况</w:t>
      </w:r>
      <w:bookmarkEnd w:id="4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1422.562031</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ascii="仿宋" w:hAnsi="仿宋" w:eastAsia="仿宋"/>
          <w:color w:val="000000"/>
          <w:sz w:val="32"/>
          <w:szCs w:val="32"/>
        </w:rPr>
        <w:t>786.413169</w:t>
      </w:r>
      <w:r>
        <w:rPr>
          <w:rFonts w:hint="eastAsia" w:ascii="仿宋" w:hAnsi="仿宋" w:eastAsia="仿宋"/>
          <w:color w:val="000000"/>
          <w:sz w:val="32"/>
          <w:szCs w:val="32"/>
        </w:rPr>
        <w:t>万元，下降</w:t>
      </w:r>
      <w:r>
        <w:rPr>
          <w:rFonts w:ascii="仿宋" w:hAnsi="仿宋" w:eastAsia="仿宋"/>
          <w:color w:val="000000"/>
          <w:sz w:val="32"/>
          <w:szCs w:val="32"/>
        </w:rPr>
        <w:t>35.6%</w:t>
      </w:r>
      <w:r>
        <w:rPr>
          <w:rFonts w:hint="eastAsia" w:ascii="仿宋" w:hAnsi="仿宋" w:eastAsia="仿宋"/>
          <w:color w:val="000000"/>
          <w:sz w:val="32"/>
          <w:szCs w:val="32"/>
        </w:rPr>
        <w:t>。主要减少原因为无项目支出。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b/>
          <w:color w:val="000000"/>
          <w:sz w:val="32"/>
          <w:szCs w:val="32"/>
        </w:rPr>
      </w:pPr>
      <w:r>
        <w:rPr>
          <w:rFonts w:ascii="仿宋_GB2312" w:hAnsi="仿宋" w:eastAsia="仿宋_GB2312"/>
          <w:sz w:val="32"/>
          <w:szCs w:val="32"/>
        </w:rPr>
        <w:drawing>
          <wp:anchor distT="0" distB="0" distL="114300" distR="114300" simplePos="0" relativeHeight="251663360" behindDoc="0" locked="0" layoutInCell="1" allowOverlap="1">
            <wp:simplePos x="0" y="0"/>
            <wp:positionH relativeFrom="margin">
              <wp:posOffset>647700</wp:posOffset>
            </wp:positionH>
            <wp:positionV relativeFrom="paragraph">
              <wp:posOffset>333375</wp:posOffset>
            </wp:positionV>
            <wp:extent cx="4337050" cy="2374900"/>
            <wp:effectExtent l="0" t="0" r="6350" b="635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5" w:name="_Toc15377211"/>
      <w:r>
        <w:rPr>
          <w:rFonts w:hint="eastAsia" w:ascii="仿宋" w:hAnsi="仿宋" w:eastAsia="仿宋"/>
          <w:b/>
          <w:color w:val="000000"/>
          <w:sz w:val="32"/>
          <w:szCs w:val="32"/>
        </w:rPr>
        <w:t>（二）一般公共预算财政拨款支出决算结构情况</w:t>
      </w:r>
      <w:bookmarkEnd w:id="45"/>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1422.562031</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color w:val="000000"/>
          <w:sz w:val="32"/>
          <w:szCs w:val="32"/>
          <w:lang w:eastAsia="zh-CN"/>
        </w:rPr>
        <w:t>：</w:t>
      </w:r>
      <w:bookmarkStart w:id="109" w:name="_GoBack"/>
      <w:bookmarkEnd w:id="109"/>
      <w:r>
        <w:rPr>
          <w:rFonts w:hint="eastAsia" w:ascii="仿宋" w:hAnsi="仿宋" w:eastAsia="仿宋"/>
          <w:b/>
          <w:color w:val="000000"/>
          <w:sz w:val="32"/>
          <w:szCs w:val="32"/>
        </w:rPr>
        <w:t>育支出（类）</w:t>
      </w:r>
      <w:r>
        <w:rPr>
          <w:rFonts w:hint="eastAsia" w:ascii="仿宋" w:hAnsi="仿宋" w:eastAsia="仿宋"/>
          <w:color w:val="000000"/>
          <w:sz w:val="32"/>
          <w:szCs w:val="32"/>
        </w:rPr>
        <w:t>1155.98万元，占81.32%；</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支出116.23万元，占8.18%；</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62.18万元，占4.37%；住房保障支出87.17万元，占6.13%。</w:t>
      </w:r>
    </w:p>
    <w:p>
      <w:pPr>
        <w:spacing w:line="600" w:lineRule="exact"/>
        <w:ind w:firstLine="561" w:firstLineChars="200"/>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4384" behindDoc="0" locked="0" layoutInCell="1" allowOverlap="1">
            <wp:simplePos x="0" y="0"/>
            <wp:positionH relativeFrom="margin">
              <wp:posOffset>1066800</wp:posOffset>
            </wp:positionH>
            <wp:positionV relativeFrom="paragraph">
              <wp:posOffset>637540</wp:posOffset>
            </wp:positionV>
            <wp:extent cx="3857625" cy="2771775"/>
            <wp:effectExtent l="0" t="0" r="9525" b="95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6" w:name="_Toc15377212"/>
      <w:r>
        <w:rPr>
          <w:rFonts w:hint="eastAsia" w:ascii="仿宋" w:hAnsi="仿宋" w:eastAsia="仿宋"/>
          <w:b/>
          <w:color w:val="000000"/>
          <w:sz w:val="32"/>
          <w:szCs w:val="32"/>
        </w:rPr>
        <w:t>（三）一般公共预算财政拨款支出决算具体情况</w:t>
      </w:r>
      <w:bookmarkEnd w:id="46"/>
    </w:p>
    <w:p>
      <w:pPr>
        <w:spacing w:line="600" w:lineRule="exact"/>
        <w:ind w:firstLine="643" w:firstLineChars="200"/>
        <w:outlineLvl w:val="2"/>
        <w:rPr>
          <w:rStyle w:val="15"/>
          <w:rFonts w:ascii="仿宋" w:hAnsi="仿宋" w:eastAsia="仿宋"/>
          <w:bCs/>
          <w:color w:val="000000"/>
          <w:sz w:val="32"/>
          <w:szCs w:val="32"/>
        </w:rPr>
      </w:pPr>
      <w:bookmarkStart w:id="47" w:name="_Toc15378460"/>
      <w:bookmarkStart w:id="48" w:name="_Toc15377213"/>
      <w:bookmarkStart w:id="49"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1422.562031</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ascii="仿宋" w:hAnsi="仿宋" w:eastAsia="仿宋"/>
          <w:bCs/>
          <w:color w:val="000000"/>
          <w:sz w:val="32"/>
          <w:szCs w:val="32"/>
        </w:rPr>
        <w:t>100%</w:t>
      </w:r>
      <w:r>
        <w:rPr>
          <w:rStyle w:val="15"/>
          <w:rFonts w:hint="eastAsia" w:ascii="仿宋" w:hAnsi="仿宋" w:eastAsia="仿宋"/>
          <w:bCs/>
          <w:color w:val="000000"/>
          <w:sz w:val="32"/>
          <w:szCs w:val="32"/>
        </w:rPr>
        <w:t>。其中：</w:t>
      </w:r>
      <w:bookmarkEnd w:id="47"/>
      <w:bookmarkEnd w:id="48"/>
      <w:bookmarkEnd w:id="49"/>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1.</w:t>
      </w:r>
      <w:r>
        <w:rPr>
          <w:rStyle w:val="15"/>
          <w:rFonts w:hint="eastAsia" w:ascii="仿宋" w:hAnsi="仿宋" w:eastAsia="仿宋"/>
          <w:b w:val="0"/>
          <w:bCs/>
          <w:color w:val="000000"/>
          <w:sz w:val="32"/>
          <w:szCs w:val="32"/>
        </w:rPr>
        <w:t>教育（类）</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支出决算为1155.98万元，完成预算81.32%。</w:t>
      </w:r>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2.</w:t>
      </w:r>
      <w:r>
        <w:rPr>
          <w:rStyle w:val="15"/>
          <w:rFonts w:hint="eastAsia" w:ascii="仿宋" w:hAnsi="仿宋" w:eastAsia="仿宋"/>
          <w:b w:val="0"/>
          <w:bCs/>
          <w:color w:val="000000"/>
          <w:sz w:val="32"/>
          <w:szCs w:val="32"/>
        </w:rPr>
        <w:t>社会保障和就业</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支出决算为116.23万元，完成预算8.18%。</w:t>
      </w:r>
    </w:p>
    <w:p>
      <w:pPr>
        <w:spacing w:line="600" w:lineRule="exact"/>
        <w:ind w:firstLine="640" w:firstLineChars="200"/>
        <w:rPr>
          <w:rFonts w:ascii="仿宋" w:hAnsi="仿宋" w:eastAsia="仿宋"/>
          <w:color w:val="000000"/>
          <w:sz w:val="32"/>
          <w:szCs w:val="32"/>
        </w:rPr>
      </w:pPr>
      <w:r>
        <w:rPr>
          <w:rStyle w:val="15"/>
          <w:rFonts w:ascii="仿宋" w:hAnsi="仿宋" w:eastAsia="仿宋"/>
          <w:b w:val="0"/>
          <w:bCs/>
          <w:color w:val="000000"/>
          <w:sz w:val="32"/>
          <w:szCs w:val="32"/>
        </w:rPr>
        <w:t>3.</w:t>
      </w:r>
      <w:r>
        <w:rPr>
          <w:rFonts w:hint="eastAsia" w:ascii="仿宋" w:hAnsi="仿宋" w:eastAsia="仿宋"/>
          <w:bCs/>
          <w:color w:val="000000"/>
          <w:sz w:val="32"/>
          <w:szCs w:val="32"/>
        </w:rPr>
        <w:t>卫生健康</w:t>
      </w:r>
      <w:r>
        <w:rPr>
          <w:rFonts w:hint="eastAsia" w:ascii="仿宋" w:hAnsi="仿宋" w:eastAsia="仿宋"/>
          <w:bCs/>
          <w:color w:val="000000"/>
          <w:sz w:val="32"/>
          <w:szCs w:val="32"/>
          <w:lang w:eastAsia="zh-CN"/>
        </w:rPr>
        <w:t>：</w:t>
      </w:r>
      <w:r>
        <w:rPr>
          <w:rStyle w:val="15"/>
          <w:rFonts w:hint="eastAsia" w:ascii="仿宋" w:hAnsi="仿宋" w:eastAsia="仿宋"/>
          <w:b w:val="0"/>
          <w:bCs/>
          <w:color w:val="000000"/>
          <w:sz w:val="32"/>
          <w:szCs w:val="32"/>
        </w:rPr>
        <w:t>支出决算为62.18</w:t>
      </w:r>
      <w:r>
        <w:rPr>
          <w:rStyle w:val="15"/>
          <w:rFonts w:hint="eastAsia" w:ascii="仿宋" w:hAnsi="仿宋" w:eastAsia="仿宋"/>
          <w:b w:val="0"/>
          <w:bCs/>
          <w:color w:val="000000"/>
          <w:sz w:val="32"/>
          <w:szCs w:val="32"/>
        </w:rPr>
        <w:tab/>
      </w:r>
      <w:r>
        <w:rPr>
          <w:rStyle w:val="15"/>
          <w:rFonts w:hint="eastAsia" w:ascii="仿宋" w:hAnsi="仿宋" w:eastAsia="仿宋"/>
          <w:b w:val="0"/>
          <w:bCs/>
          <w:color w:val="000000"/>
          <w:sz w:val="32"/>
          <w:szCs w:val="32"/>
        </w:rPr>
        <w:t>万元，完成预算4.37%</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w:t>
      </w:r>
      <w:r>
        <w:rPr>
          <w:rStyle w:val="15"/>
          <w:rFonts w:ascii="仿宋" w:hAnsi="仿宋" w:eastAsia="仿宋"/>
          <w:b w:val="0"/>
          <w:bCs/>
          <w:color w:val="000000"/>
          <w:sz w:val="32"/>
          <w:szCs w:val="32"/>
        </w:rPr>
        <w:t>.</w:t>
      </w:r>
      <w:r>
        <w:rPr>
          <w:rFonts w:hint="eastAsia" w:ascii="仿宋" w:hAnsi="仿宋" w:eastAsia="仿宋"/>
          <w:color w:val="000000"/>
          <w:sz w:val="32"/>
          <w:szCs w:val="32"/>
        </w:rPr>
        <w:t>住房保障：</w:t>
      </w:r>
      <w:r>
        <w:rPr>
          <w:rStyle w:val="15"/>
          <w:rFonts w:hint="eastAsia" w:ascii="仿宋" w:hAnsi="仿宋" w:eastAsia="仿宋"/>
          <w:b w:val="0"/>
          <w:bCs/>
          <w:color w:val="000000"/>
          <w:sz w:val="32"/>
          <w:szCs w:val="32"/>
        </w:rPr>
        <w:t>支出决算为87.17万元，完成预算6.13%</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18"/>
        </w:rPr>
      </w:pPr>
      <w:bookmarkStart w:id="50" w:name="_Toc8149"/>
      <w:bookmarkStart w:id="51" w:name="_Toc15377214"/>
      <w:bookmarkStart w:id="5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50"/>
      <w:bookmarkEnd w:id="51"/>
      <w:bookmarkEnd w:id="52"/>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1422.562031</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1307.91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ascii="仿宋" w:hAnsi="仿宋" w:eastAsia="仿宋"/>
          <w:color w:val="000000"/>
          <w:sz w:val="32"/>
          <w:szCs w:val="32"/>
        </w:rPr>
        <w:t>88.65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校舍维修2</w:t>
      </w:r>
      <w:r>
        <w:rPr>
          <w:rFonts w:ascii="仿宋" w:hAnsi="仿宋" w:eastAsia="仿宋"/>
          <w:color w:val="000000"/>
          <w:sz w:val="32"/>
          <w:szCs w:val="32"/>
        </w:rPr>
        <w:t>6</w:t>
      </w:r>
      <w:r>
        <w:rPr>
          <w:rFonts w:hint="eastAsia" w:ascii="仿宋" w:hAnsi="仿宋" w:eastAsia="仿宋"/>
          <w:color w:val="000000"/>
          <w:sz w:val="32"/>
          <w:szCs w:val="32"/>
        </w:rPr>
        <w:t>万元。主要对校舍进行维修。</w:t>
      </w:r>
    </w:p>
    <w:p>
      <w:pPr>
        <w:spacing w:line="600" w:lineRule="exact"/>
        <w:ind w:firstLine="640"/>
        <w:outlineLvl w:val="1"/>
        <w:rPr>
          <w:rStyle w:val="18"/>
          <w:rFonts w:ascii="黑体" w:hAnsi="黑体" w:eastAsia="黑体"/>
          <w:b w:val="0"/>
        </w:rPr>
      </w:pPr>
      <w:bookmarkStart w:id="53" w:name="_Toc15377215"/>
      <w:bookmarkStart w:id="54" w:name="_Toc15396609"/>
      <w:bookmarkStart w:id="55" w:name="_Toc137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53"/>
      <w:bookmarkEnd w:id="54"/>
      <w:bookmarkEnd w:id="55"/>
    </w:p>
    <w:p>
      <w:pPr>
        <w:spacing w:line="600" w:lineRule="exact"/>
        <w:ind w:firstLine="640"/>
        <w:outlineLvl w:val="2"/>
        <w:rPr>
          <w:rFonts w:ascii="仿宋" w:hAnsi="仿宋" w:eastAsia="仿宋"/>
          <w:b/>
          <w:color w:val="000000"/>
          <w:sz w:val="32"/>
          <w:szCs w:val="32"/>
        </w:rPr>
      </w:pPr>
      <w:bookmarkStart w:id="56" w:name="_Toc15377216"/>
      <w:r>
        <w:rPr>
          <w:rFonts w:hint="eastAsia" w:ascii="仿宋" w:hAnsi="仿宋" w:eastAsia="仿宋"/>
          <w:b/>
          <w:color w:val="000000"/>
          <w:sz w:val="32"/>
          <w:szCs w:val="32"/>
        </w:rPr>
        <w:t>（一）“三公”经费财政拨款支出决算总体情况说明</w:t>
      </w:r>
      <w:bookmarkEnd w:id="5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0.4</w:t>
      </w:r>
      <w:r>
        <w:rPr>
          <w:rFonts w:hint="eastAsia" w:ascii="仿宋" w:hAnsi="仿宋" w:eastAsia="仿宋"/>
          <w:color w:val="000000"/>
          <w:sz w:val="32"/>
          <w:szCs w:val="32"/>
        </w:rPr>
        <w:t>万元，完成预算</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57" w:name="_Toc15377217"/>
      <w:r>
        <w:rPr>
          <w:rFonts w:hint="eastAsia" w:ascii="仿宋" w:hAnsi="仿宋" w:eastAsia="仿宋"/>
          <w:b/>
          <w:color w:val="000000"/>
          <w:sz w:val="32"/>
          <w:szCs w:val="32"/>
        </w:rPr>
        <w:t>（二）“三公”经费财政拨款支出决算具体情况说明</w:t>
      </w:r>
      <w:bookmarkEnd w:id="5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0.4</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华文宋体" w:hAnsi="华文宋体" w:eastAsia="华文宋体"/>
          <w:b/>
          <w:sz w:val="28"/>
          <w:szCs w:val="28"/>
        </w:rPr>
        <w:drawing>
          <wp:anchor distT="0" distB="0" distL="114300" distR="114300" simplePos="0" relativeHeight="251665408" behindDoc="0" locked="0" layoutInCell="1" allowOverlap="1">
            <wp:simplePos x="0" y="0"/>
            <wp:positionH relativeFrom="margin">
              <wp:posOffset>895350</wp:posOffset>
            </wp:positionH>
            <wp:positionV relativeFrom="paragraph">
              <wp:posOffset>590550</wp:posOffset>
            </wp:positionV>
            <wp:extent cx="3838575" cy="2895600"/>
            <wp:effectExtent l="0" t="0" r="9525"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0%</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0%</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100%</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0.4</w:t>
      </w:r>
      <w:r>
        <w:rPr>
          <w:rFonts w:hint="eastAsia" w:ascii="仿宋_GB2312" w:eastAsia="仿宋_GB2312"/>
          <w:color w:val="000000"/>
          <w:sz w:val="32"/>
          <w:szCs w:val="32"/>
        </w:rPr>
        <w:t>万元，主要用于开展业务活动开支的交通费、住宿费、用餐费等。国内公务接待</w:t>
      </w:r>
      <w:r>
        <w:rPr>
          <w:rFonts w:ascii="仿宋_GB2312" w:eastAsia="仿宋_GB2312"/>
          <w:color w:val="000000"/>
          <w:sz w:val="32"/>
          <w:szCs w:val="32"/>
        </w:rPr>
        <w:t>5</w:t>
      </w:r>
      <w:r>
        <w:rPr>
          <w:rFonts w:hint="eastAsia" w:ascii="仿宋_GB2312" w:eastAsia="仿宋_GB2312"/>
          <w:color w:val="000000"/>
          <w:sz w:val="32"/>
          <w:szCs w:val="32"/>
        </w:rPr>
        <w:t>批次，</w:t>
      </w:r>
      <w:r>
        <w:rPr>
          <w:rFonts w:ascii="仿宋_GB2312" w:eastAsia="仿宋_GB2312"/>
          <w:color w:val="000000"/>
          <w:sz w:val="32"/>
          <w:szCs w:val="32"/>
        </w:rPr>
        <w:t>120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0.4</w:t>
      </w:r>
      <w:r>
        <w:rPr>
          <w:rFonts w:hint="eastAsia" w:ascii="仿宋_GB2312" w:eastAsia="仿宋_GB2312"/>
          <w:color w:val="000000"/>
          <w:sz w:val="32"/>
          <w:szCs w:val="32"/>
        </w:rPr>
        <w:t>万元。</w:t>
      </w:r>
    </w:p>
    <w:p>
      <w:pPr>
        <w:spacing w:line="600" w:lineRule="exact"/>
        <w:ind w:firstLine="640"/>
        <w:outlineLvl w:val="1"/>
        <w:rPr>
          <w:rStyle w:val="18"/>
          <w:rFonts w:ascii="黑体" w:hAnsi="黑体" w:eastAsia="黑体"/>
        </w:rPr>
      </w:pPr>
      <w:bookmarkStart w:id="58" w:name="_Toc15396610"/>
      <w:bookmarkStart w:id="59" w:name="_Toc15165"/>
      <w:bookmarkStart w:id="60" w:name="_Toc15377218"/>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18"/>
          <w:rFonts w:ascii="黑体" w:hAnsi="黑体" w:eastAsia="黑体"/>
          <w:b w:val="0"/>
        </w:rPr>
      </w:pPr>
      <w:bookmarkStart w:id="61" w:name="_Toc9373"/>
      <w:bookmarkStart w:id="62" w:name="_Toc15396611"/>
      <w:bookmarkStart w:id="63" w:name="_Toc15377219"/>
      <w:r>
        <w:rPr>
          <w:rStyle w:val="18"/>
          <w:rFonts w:hint="eastAsia" w:ascii="黑体" w:hAnsi="黑体" w:eastAsia="黑体"/>
          <w:b w:val="0"/>
        </w:rPr>
        <w:t>国有资本经营预算支出决算情况说明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800" w:firstLineChars="250"/>
        <w:outlineLvl w:val="1"/>
        <w:rPr>
          <w:rStyle w:val="18"/>
          <w:rFonts w:ascii="黑体" w:hAnsi="黑体" w:eastAsia="黑体"/>
        </w:rPr>
      </w:pPr>
      <w:bookmarkStart w:id="64" w:name="_Toc15377221"/>
      <w:bookmarkStart w:id="65" w:name="_Toc15396612"/>
      <w:bookmarkStart w:id="66" w:name="_Toc19520"/>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color w:val="000000"/>
          <w:sz w:val="32"/>
          <w:szCs w:val="32"/>
        </w:rPr>
      </w:pPr>
      <w:bookmarkStart w:id="67" w:name="_Toc15377222"/>
      <w:r>
        <w:rPr>
          <w:rFonts w:hint="eastAsia" w:ascii="仿宋" w:hAnsi="仿宋" w:eastAsia="仿宋"/>
          <w:b/>
          <w:color w:val="000000"/>
          <w:sz w:val="32"/>
          <w:szCs w:val="32"/>
        </w:rPr>
        <w:t>（一）机关运行经费支出情况</w:t>
      </w:r>
      <w:bookmarkEnd w:id="67"/>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本单位不属机关单位，无相关费用支出。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8" w:name="_Toc15377223"/>
      <w:r>
        <w:rPr>
          <w:rFonts w:hint="eastAsia" w:ascii="仿宋" w:hAnsi="仿宋" w:eastAsia="仿宋"/>
          <w:b/>
          <w:color w:val="000000"/>
          <w:sz w:val="32"/>
          <w:szCs w:val="32"/>
        </w:rPr>
        <w:t>（二）政府采购支出情况</w:t>
      </w:r>
      <w:bookmarkEnd w:id="6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w:t>
      </w:r>
      <w:r>
        <w:rPr>
          <w:rFonts w:ascii="仿宋_GB2312" w:eastAsia="仿宋_GB2312"/>
          <w:color w:val="000000"/>
          <w:sz w:val="32"/>
          <w:szCs w:val="32"/>
        </w:rPr>
        <w:t>0</w:t>
      </w:r>
      <w:r>
        <w:rPr>
          <w:rFonts w:hint="eastAsia" w:ascii="仿宋_GB2312" w:eastAsia="仿宋_GB2312"/>
          <w:color w:val="000000"/>
          <w:sz w:val="32"/>
          <w:szCs w:val="32"/>
        </w:rPr>
        <w:t>万元，其中：政府采购货物支出</w:t>
      </w:r>
      <w:r>
        <w:rPr>
          <w:rFonts w:ascii="仿宋_GB2312" w:eastAsia="仿宋_GB2312"/>
          <w:color w:val="000000"/>
          <w:sz w:val="32"/>
          <w:szCs w:val="32"/>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万元。授予中小企业合同金额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，其中：授予小微企业合同金额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w:t>
      </w:r>
      <w:r>
        <w:rPr>
          <w:rFonts w:ascii="仿宋_GB2312" w:eastAsia="仿宋_GB2312"/>
          <w:color w:val="000000"/>
          <w:sz w:val="32"/>
          <w:szCs w:val="32"/>
        </w:rPr>
        <w:t>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69" w:name="_Toc15377224"/>
      <w:r>
        <w:rPr>
          <w:rFonts w:hint="eastAsia" w:ascii="仿宋" w:hAnsi="仿宋" w:eastAsia="仿宋"/>
          <w:b/>
          <w:color w:val="000000"/>
          <w:sz w:val="32"/>
          <w:szCs w:val="32"/>
        </w:rPr>
        <w:t>（三）国有资产占有使用情况</w:t>
      </w:r>
      <w:bookmarkEnd w:id="69"/>
    </w:p>
    <w:p>
      <w:pPr>
        <w:snapToGrid w:val="0"/>
        <w:spacing w:line="520" w:lineRule="exact"/>
        <w:ind w:firstLine="560" w:firstLineChars="200"/>
        <w:rPr>
          <w:rFonts w:ascii="华文宋体" w:hAnsi="华文宋体" w:eastAsia="华文宋体"/>
          <w:sz w:val="28"/>
          <w:szCs w:val="28"/>
        </w:rPr>
      </w:pPr>
      <w:r>
        <w:rPr>
          <w:rFonts w:hint="eastAsia" w:ascii="华文宋体" w:hAnsi="华文宋体" w:eastAsia="华文宋体"/>
          <w:sz w:val="28"/>
          <w:szCs w:val="28"/>
        </w:rPr>
        <w:t>2020年末单位总资产为</w:t>
      </w:r>
      <w:r>
        <w:rPr>
          <w:rFonts w:ascii="华文宋体" w:hAnsi="华文宋体" w:eastAsia="华文宋体"/>
          <w:sz w:val="28"/>
          <w:szCs w:val="28"/>
        </w:rPr>
        <w:t>24825622.00</w:t>
      </w:r>
      <w:r>
        <w:rPr>
          <w:rFonts w:hint="eastAsia" w:ascii="华文宋体" w:hAnsi="华文宋体" w:eastAsia="华文宋体"/>
          <w:sz w:val="28"/>
          <w:szCs w:val="28"/>
        </w:rPr>
        <w:t>元其中：固定资产为</w:t>
      </w:r>
      <w:r>
        <w:rPr>
          <w:rFonts w:ascii="华文宋体" w:hAnsi="华文宋体" w:eastAsia="华文宋体"/>
          <w:sz w:val="28"/>
          <w:szCs w:val="28"/>
        </w:rPr>
        <w:t>24825622.00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根据预算绩效管理要求，本部门（单位）在年初预算编制阶段，组织对营养餐、困难学生生活补助、驻村生活补助、校舍维修项目开展了预算事前绩效评估，对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从评价情况来看整体绩效目标完成情况较好达到了年初设定目标。本单位还自行组织了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个项目支出绩效评价，从评价情况来看项目执行情况较好，完成率100%。</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年度部门决算中反映营养餐、困难学生生活补助、驻村生活补助、校舍维修项目4个项目绩效目标实际完成情况。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）扶贫项目绩效目标完成情况综述。项目全年预算数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highlight w:val="none"/>
          <w:lang w:eastAsia="zh-CN"/>
        </w:rPr>
        <w:t>保障</w:t>
      </w:r>
      <w:r>
        <w:rPr>
          <w:rFonts w:hint="eastAsia" w:ascii="仿宋_GB2312" w:hAnsi="仿宋_GB2312" w:eastAsia="仿宋_GB2312" w:cs="仿宋_GB2312"/>
          <w:sz w:val="32"/>
          <w:szCs w:val="32"/>
        </w:rPr>
        <w:t>通江县沙溪镇沙溪中学1驻村扶贫人员的差旅费补助及办公支出。发现的主要问题：资金使用效率低。下</w:t>
      </w:r>
      <w:r>
        <w:rPr>
          <w:rFonts w:hint="eastAsia" w:ascii="仿宋" w:hAnsi="仿宋" w:eastAsia="仿宋" w:cs="仿宋"/>
          <w:sz w:val="32"/>
          <w:szCs w:val="32"/>
        </w:rPr>
        <w:t>一</w:t>
      </w:r>
      <w:r>
        <w:rPr>
          <w:rFonts w:hint="eastAsia" w:ascii="仿宋_GB2312" w:hAnsi="仿宋_GB2312" w:eastAsia="仿宋_GB2312" w:cs="仿宋_GB2312"/>
          <w:sz w:val="32"/>
          <w:szCs w:val="32"/>
        </w:rPr>
        <w:t>步改进措施：加强财政资金使用管理水平和效率。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）困难学生生活补助项目绩效目标完成情况综述。项目全年预算数</w:t>
      </w:r>
      <w:r>
        <w:rPr>
          <w:rFonts w:ascii="仿宋_GB2312" w:hAnsi="仿宋_GB2312" w:eastAsia="仿宋_GB2312" w:cs="仿宋_GB2312"/>
          <w:sz w:val="32"/>
          <w:szCs w:val="32"/>
        </w:rPr>
        <w:t>176816.50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176816.50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。通过项目实施，保障了家庭经济困难学生正常入学。发现的主要问题：项目执行过程中有一定的偏差。下一步改进措施：建立科学的财政资金效益考评制度体系，不断提高财政资金使用管理水平和效率。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）营养餐资助项目绩效目标完成情况综述。项目全年预算数</w:t>
      </w:r>
      <w:r>
        <w:rPr>
          <w:rFonts w:ascii="仿宋_GB2312" w:hAnsi="仿宋_GB2312" w:eastAsia="仿宋_GB2312" w:cs="仿宋_GB2312"/>
          <w:sz w:val="32"/>
          <w:szCs w:val="32"/>
        </w:rPr>
        <w:t>667885.00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667885.00</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。通过项目实施，保障了国家营养改善计划落到了实处。发现的主要问题：项目执行过程中有一定的偏差。下一步改进措施：建立科学的财政资金效益考评制度体系，不断提高财政资金使用管理水平和效率。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）校舍维修项目绩效目标完成情况综述。项目全年预算数</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。通过项目实施，改善了办学条件。发现的主要问题：项目执行过程中有一定的偏差。下一步改进措施：建立科学的财政资金效益考评制度体系，不断提高财政资金使用管理水平和效率。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color w:val="000000"/>
                <w:sz w:val="36"/>
                <w:szCs w:val="36"/>
                <w:lang w:eastAsia="zh-CN"/>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rPr>
              <w:t>2020年驻村扶贫工作</w:t>
            </w:r>
            <w:r>
              <w:rPr>
                <w:rFonts w:hint="eastAsia" w:ascii="宋体" w:cs="宋体"/>
                <w:color w:val="000000"/>
                <w:sz w:val="24"/>
                <w:highlight w:val="none"/>
                <w:lang w:eastAsia="zh-CN"/>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坚持以产业发展引领、增加集体收入为落脚点，大力开展实施精准扶贫。驻村工作队对贫困户进行技能培训、产业规划、教育惠民政策宣讲。</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调动农民农业生产积极性，提高当地农业综合生产能力，促进当地经济发展，增加集体收入，改善群众生产生活条件，建设环境优美乡村，密切党群、干群关系。</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驻村干部人数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≥22天/月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≥22天/月</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驻村工作差旅报账总额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≥3万元</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驻村工作经费发放及时率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驻村工作经费总额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1万</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r>
              <w:rPr>
                <w:rFonts w:hint="eastAsia"/>
                <w:color w:val="000000"/>
                <w:sz w:val="24"/>
              </w:rPr>
              <w:t>驻村干部增收率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对本行业未来可持续发展的影响</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可持续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可持续</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eastAsia" w:ascii="宋体" w:hAnsi="宋体" w:eastAsia="宋体" w:cs="宋体"/>
                <w:kern w:val="0"/>
                <w:sz w:val="24"/>
              </w:rPr>
            </w:pPr>
            <w:r>
              <w:rPr>
                <w:rFonts w:hint="eastAsia" w:ascii="宋体" w:hAnsi="宋体" w:eastAsia="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对本行业未来可持续发展的影响</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贫困户对驻村工作满意度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color w:val="000000"/>
                <w:sz w:val="36"/>
                <w:szCs w:val="36"/>
                <w:lang w:eastAsia="zh-CN"/>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2020年困难学生生活补助</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s="宋体"/>
                <w:color w:val="000000"/>
                <w:sz w:val="24"/>
              </w:rPr>
            </w:pPr>
            <w:r>
              <w:rPr>
                <w:rFonts w:hint="eastAsia" w:ascii="宋体" w:cs="宋体"/>
                <w:color w:val="000000"/>
                <w:sz w:val="24"/>
              </w:rPr>
              <w:t>17.68165万元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17.6816万元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按照规定农村义务教育寄宿制贫困生生活补助资金必须全部用于学生资助支出，不得用于人员支出、基本建设投资、偿还债务等方面的开支。</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我校完成了2</w:t>
            </w:r>
            <w:r>
              <w:rPr>
                <w:rFonts w:ascii="宋体" w:cs="宋体"/>
                <w:color w:val="000000"/>
                <w:sz w:val="24"/>
              </w:rPr>
              <w:t>020</w:t>
            </w:r>
            <w:r>
              <w:rPr>
                <w:rFonts w:hint="eastAsia" w:ascii="宋体" w:cs="宋体"/>
                <w:color w:val="000000"/>
                <w:sz w:val="24"/>
              </w:rPr>
              <w:t>年贫困寄宿生生活补助项目绩效总目标的100%。阶段性目标均按时完成，为实现绩效总目标打好了坚实基础。</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补助人数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237人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237人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发放批次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贫困寄宿生生活补助发放率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贫困寄宿生生活补助总额</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kern w:val="0"/>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24"/>
              </w:rPr>
            </w:pPr>
            <w:r>
              <w:rPr>
                <w:rFonts w:hint="eastAsia"/>
                <w:color w:val="000000"/>
                <w:sz w:val="24"/>
              </w:rPr>
              <w:t>资金使用率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color w:val="000000"/>
                <w:kern w:val="0"/>
                <w:sz w:val="24"/>
              </w:rPr>
            </w:pPr>
            <w:r>
              <w:rPr>
                <w:rFonts w:hint="eastAsia"/>
                <w:color w:val="000000"/>
                <w:sz w:val="24"/>
              </w:rPr>
              <w:t>减轻贫困寄宿生家庭负担</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color w:val="000000"/>
                <w:sz w:val="36"/>
                <w:szCs w:val="36"/>
                <w:lang w:eastAsia="zh-CN"/>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2020年营养改善计划</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66.7885</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66.7885</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改善农村学生营养状况，提高农村学生健康水平，加快农村教育发展，促进教育公平。</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营养改善计划安排资金66.7885万元，受益学生599名，完成了年初设定目标。</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营养餐保障人数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年内营养餐实施天数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190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营养餐就餐人次</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108928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108928</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校内食品质量安全检查</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每天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每天</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营养餐物资采购成本</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66.7885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66.7885</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食堂从业人员增加率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经济效益指标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营养计划学生受益率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可持续影响指标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项目持续发挥作用的期限</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rPr>
            </w:pPr>
            <w:r>
              <w:rPr>
                <w:rFonts w:hint="eastAsia" w:ascii="宋体" w:hAnsi="宋体" w:eastAsia="宋体" w:cs="宋体"/>
                <w:sz w:val="24"/>
              </w:rPr>
              <w:t>长期</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服务对象满意度指标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学生及家长满意度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51"/>
        <w:gridCol w:w="1134"/>
        <w:gridCol w:w="1701"/>
        <w:gridCol w:w="2126"/>
        <w:gridCol w:w="1756"/>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color w:val="000000"/>
                <w:sz w:val="36"/>
                <w:szCs w:val="36"/>
                <w:lang w:eastAsia="zh-CN"/>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hint="eastAsia" w:ascii="宋体" w:hAnsi="宋体" w:cs="宋体"/>
                <w:color w:val="000000"/>
                <w:kern w:val="0"/>
                <w:sz w:val="36"/>
                <w:szCs w:val="36"/>
                <w:highlight w:val="none"/>
                <w:lang w:eastAsia="zh-CN"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highlight w:val="none"/>
                <w:lang w:eastAsia="zh-CN" w:bidi="ar"/>
              </w:rPr>
              <w:t>）</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2020年校舍维修项目</w:t>
            </w:r>
          </w:p>
        </w:tc>
      </w:tr>
      <w:tr>
        <w:tblPrEx>
          <w:tblCellMar>
            <w:top w:w="0" w:type="dxa"/>
            <w:left w:w="0" w:type="dxa"/>
            <w:bottom w:w="0" w:type="dxa"/>
            <w:right w:w="0" w:type="dxa"/>
          </w:tblCellMar>
        </w:tblPrEx>
        <w:trPr>
          <w:trHeight w:val="276" w:hRule="atLeast"/>
        </w:trPr>
        <w:tc>
          <w:tcPr>
            <w:tcW w:w="3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2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通江县沙溪初级中学</w:t>
            </w: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预算执行情况</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万元</w:t>
            </w:r>
            <w:r>
              <w:rPr>
                <w:rFonts w:hint="eastAsia" w:ascii="宋体" w:hAnsi="宋体" w:cs="宋体"/>
                <w:color w:val="000000"/>
                <w:kern w:val="0"/>
                <w:sz w:val="24"/>
                <w:highlight w:val="none"/>
                <w:lang w:eastAsia="zh-CN" w:bidi="ar"/>
              </w:rPr>
              <w:t>）</w:t>
            </w: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26</w:t>
            </w:r>
            <w:r>
              <w:rPr>
                <w:rFonts w:hint="eastAsia" w:ascii="宋体" w:cs="宋体"/>
                <w:color w:val="000000"/>
                <w:sz w:val="24"/>
              </w:rPr>
              <w:t>万元</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26</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621"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highlight w:val="none"/>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96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c>
          <w:tcPr>
            <w:tcW w:w="41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加强我校校舍维修管理工作，保障学校校舍高效运转，为学生提供良好的学习环境。</w:t>
            </w:r>
          </w:p>
        </w:tc>
      </w:tr>
      <w:tr>
        <w:tblPrEx>
          <w:tblCellMar>
            <w:top w:w="0" w:type="dxa"/>
            <w:left w:w="0" w:type="dxa"/>
            <w:bottom w:w="0" w:type="dxa"/>
            <w:right w:w="0" w:type="dxa"/>
          </w:tblCellMar>
        </w:tblPrEx>
        <w:trPr>
          <w:trHeight w:val="1042" w:hRule="atLeast"/>
        </w:trPr>
        <w:tc>
          <w:tcPr>
            <w:tcW w:w="8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预期指标值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实际完成指标值</w:t>
            </w:r>
            <w:r>
              <w:rPr>
                <w:rFonts w:hint="eastAsia" w:ascii="宋体" w:hAnsi="宋体" w:cs="宋体"/>
                <w:color w:val="000000"/>
                <w:kern w:val="0"/>
                <w:sz w:val="24"/>
                <w:highlight w:val="none"/>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highlight w:val="none"/>
                <w:lang w:eastAsia="zh-CN" w:bidi="ar"/>
              </w:rPr>
              <w:t>）</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项目实施个数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1个</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项目实施受益学生数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≥599人</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数量指标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项目实施受益学校数</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1所</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质量指标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符合国家相关要求</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100%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时效指标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项目实施完成时间</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2020-12-31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成本指标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项目实施资金额度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70</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"经济效益</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sz w:val="24"/>
              </w:rPr>
            </w:pPr>
            <w:r>
              <w:rPr>
                <w:rFonts w:hint="eastAsia"/>
                <w:sz w:val="24"/>
              </w:rPr>
              <w:t>农民工增收率</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1</w:t>
            </w:r>
          </w:p>
        </w:tc>
      </w:tr>
      <w:tr>
        <w:tblPrEx>
          <w:tblCellMar>
            <w:top w:w="0" w:type="dxa"/>
            <w:left w:w="0" w:type="dxa"/>
            <w:bottom w:w="0" w:type="dxa"/>
            <w:right w:w="0" w:type="dxa"/>
          </w:tblCellMar>
        </w:tblPrEx>
        <w:trPr>
          <w:trHeight w:val="680" w:hRule="atLeast"/>
        </w:trPr>
        <w:tc>
          <w:tcPr>
            <w:tcW w:w="851"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满意度指标</w:t>
            </w:r>
          </w:p>
        </w:tc>
        <w:tc>
          <w:tcPr>
            <w:tcW w:w="1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sz w:val="24"/>
              </w:rPr>
            </w:pPr>
            <w:r>
              <w:rPr>
                <w:rFonts w:hint="eastAsia"/>
                <w:sz w:val="24"/>
              </w:rPr>
              <w:t>服务对象</w:t>
            </w:r>
          </w:p>
          <w:p>
            <w:pPr>
              <w:widowControl/>
              <w:jc w:val="center"/>
              <w:textAlignment w:val="center"/>
              <w:rPr>
                <w:rFonts w:ascii="宋体" w:cs="宋体"/>
                <w:color w:val="000000"/>
                <w:sz w:val="24"/>
              </w:rPr>
            </w:pPr>
            <w:r>
              <w:rPr>
                <w:rFonts w:hint="eastAsia"/>
                <w:sz w:val="24"/>
              </w:rPr>
              <w:t>满意度指标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4"/>
              </w:rPr>
              <w:t>学校师生的满意度</w:t>
            </w:r>
          </w:p>
        </w:tc>
        <w:tc>
          <w:tcPr>
            <w:tcW w:w="1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sz w:val="24"/>
              </w:rPr>
            </w:pPr>
            <w:r>
              <w:rPr>
                <w:rFonts w:hint="eastAsia" w:ascii="宋体" w:hAnsi="宋体" w:eastAsia="宋体" w:cs="宋体"/>
                <w:sz w:val="24"/>
              </w:rP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本单位按要求对2020年部门整体支出绩效评价情况开展自评。《通江县沙溪中学2020年部门整体支出绩效评价报告》见附件（附件1）。</w:t>
      </w:r>
    </w:p>
    <w:p>
      <w:pPr>
        <w:widowControl/>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rPr>
        <w:t>本单位自行组织对营养餐、困难学生生活补助、驻村生活补助、校舍维修项目等开展了绩效评价，见附件（附件2）。</w:t>
      </w: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70" w:name="_Toc15377225"/>
      <w:bookmarkStart w:id="71" w:name="_Toc23548"/>
      <w:bookmarkStart w:id="72" w:name="_Toc15396613"/>
      <w:r>
        <w:rPr>
          <w:rFonts w:hint="eastAsia" w:ascii="黑体" w:hAnsi="黑体" w:eastAsia="黑体"/>
          <w:color w:val="000000"/>
          <w:sz w:val="44"/>
          <w:szCs w:val="44"/>
        </w:rPr>
        <w:t>名</w:t>
      </w:r>
      <w:r>
        <w:rPr>
          <w:rStyle w:val="17"/>
          <w:rFonts w:hint="eastAsia" w:ascii="黑体" w:hAnsi="黑体" w:eastAsia="黑体"/>
          <w:b w:val="0"/>
        </w:rPr>
        <w:t>词解释</w:t>
      </w:r>
      <w:bookmarkEnd w:id="70"/>
      <w:bookmarkEnd w:id="71"/>
      <w:bookmarkEnd w:id="72"/>
    </w:p>
    <w:p>
      <w:pPr>
        <w:spacing w:line="600" w:lineRule="exact"/>
        <w:jc w:val="left"/>
        <w:rPr>
          <w:rFonts w:ascii="宋体"/>
          <w:b/>
          <w:color w:val="000000"/>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10.</w:t>
      </w:r>
      <w:r>
        <w:rPr>
          <w:rFonts w:hint="eastAsia" w:ascii="仿宋_GB2312" w:eastAsia="仿宋_GB2312"/>
          <w:color w:val="000000"/>
          <w:sz w:val="32"/>
          <w:szCs w:val="32"/>
        </w:rPr>
        <w:t>外交（类）…（款）…（项）：指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12.</w:t>
      </w:r>
      <w:r>
        <w:rPr>
          <w:rFonts w:hint="eastAsia" w:ascii="仿宋_GB2312" w:eastAsia="仿宋_GB2312"/>
          <w:color w:val="000000"/>
          <w:sz w:val="32"/>
          <w:szCs w:val="32"/>
        </w:rPr>
        <w:t>教育（类）…（款）…（项）：指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19.</w:t>
      </w:r>
      <w:r>
        <w:rPr>
          <w:rFonts w:hint="eastAsia" w:ascii="仿宋_GB2312" w:eastAsia="仿宋_GB2312"/>
          <w:color w:val="000000"/>
          <w:sz w:val="32"/>
          <w:szCs w:val="32"/>
        </w:rPr>
        <w:t>农林水（类）…（款）…（项）：指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23.</w:t>
      </w:r>
      <w:r>
        <w:rPr>
          <w:rFonts w:hint="eastAsia" w:ascii="仿宋_GB2312" w:eastAsia="仿宋_GB2312"/>
          <w:color w:val="000000"/>
          <w:sz w:val="32"/>
          <w:szCs w:val="32"/>
        </w:rPr>
        <w:t>金融（类）…（款）…（项）：指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r>
        <w:rPr>
          <w:rFonts w:hint="eastAsia" w:ascii="仿宋_GB2312" w:eastAsia="仿宋_GB2312"/>
          <w:color w:val="000000"/>
          <w:sz w:val="32"/>
          <w:szCs w:val="32"/>
          <w:highlight w:val="none"/>
          <w:lang w:eastAsia="zh-CN"/>
        </w:rPr>
        <w:t>……</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r>
        <w:rPr>
          <w:rFonts w:hint="eastAsia" w:ascii="仿宋_GB2312" w:eastAsia="仿宋_GB2312"/>
          <w:color w:val="000000"/>
          <w:sz w:val="32"/>
          <w:szCs w:val="32"/>
          <w:highlight w:val="none"/>
          <w:lang w:eastAsia="zh-CN"/>
        </w:rPr>
        <w:t>……</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7"/>
          <w:rFonts w:ascii="黑体" w:hAnsi="黑体" w:eastAsia="黑体"/>
          <w:b w:val="0"/>
        </w:rPr>
      </w:pPr>
      <w:bookmarkStart w:id="73" w:name="_Toc15377226"/>
      <w:r>
        <w:rPr>
          <w:rFonts w:ascii="宋体"/>
          <w:b/>
          <w:color w:val="000000"/>
          <w:sz w:val="44"/>
          <w:szCs w:val="44"/>
        </w:rPr>
        <w:br w:type="page"/>
      </w:r>
      <w:bookmarkStart w:id="74" w:name="_Toc15396614"/>
      <w:bookmarkStart w:id="75" w:name="_Toc17162"/>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74"/>
      <w:bookmarkEnd w:id="75"/>
    </w:p>
    <w:p>
      <w:pPr>
        <w:spacing w:line="600" w:lineRule="exact"/>
        <w:jc w:val="left"/>
        <w:outlineLvl w:val="9"/>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outlineLvl w:val="9"/>
        <w:rPr>
          <w:rFonts w:hint="eastAsia" w:ascii="方正小标宋_GBK" w:hAnsi="方正小标宋_GBK" w:eastAsia="方正小标宋_GBK" w:cs="方正小标宋_GBK"/>
          <w:b/>
          <w:color w:val="000000"/>
          <w:kern w:val="0"/>
          <w:sz w:val="44"/>
          <w:szCs w:val="44"/>
        </w:rPr>
      </w:pPr>
      <w:r>
        <w:rPr>
          <w:rFonts w:hint="eastAsia" w:ascii="方正小标宋_GBK" w:hAnsi="方正小标宋_GBK" w:eastAsia="方正小标宋_GBK" w:cs="方正小标宋_GBK"/>
          <w:b/>
          <w:color w:val="000000"/>
          <w:kern w:val="0"/>
          <w:sz w:val="44"/>
          <w:szCs w:val="44"/>
        </w:rPr>
        <w:t>通江县沙溪初级中学</w:t>
      </w:r>
    </w:p>
    <w:p>
      <w:pPr>
        <w:spacing w:line="600" w:lineRule="exact"/>
        <w:jc w:val="center"/>
        <w:outlineLvl w:val="9"/>
        <w:rPr>
          <w:rFonts w:hint="eastAsia" w:ascii="方正小标宋_GBK" w:hAnsi="方正小标宋_GBK" w:eastAsia="方正小标宋_GBK" w:cs="方正小标宋_GBK"/>
          <w:color w:val="000000"/>
          <w:kern w:val="0"/>
          <w:sz w:val="40"/>
          <w:szCs w:val="44"/>
          <w:lang w:val="zh-CN"/>
        </w:rPr>
      </w:pPr>
      <w:r>
        <w:rPr>
          <w:rFonts w:hint="eastAsia" w:ascii="方正小标宋_GBK" w:hAnsi="方正小标宋_GBK" w:eastAsia="方正小标宋_GBK" w:cs="方正小标宋_GBK"/>
          <w:color w:val="000000"/>
          <w:kern w:val="0"/>
          <w:sz w:val="40"/>
          <w:szCs w:val="44"/>
        </w:rPr>
        <w:t>2020年部门</w:t>
      </w:r>
      <w:r>
        <w:rPr>
          <w:rFonts w:hint="eastAsia" w:ascii="方正小标宋_GBK" w:hAnsi="方正小标宋_GBK" w:eastAsia="方正小标宋_GBK" w:cs="方正小标宋_GBK"/>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一、部门概况</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highlight w:val="none"/>
          <w:lang w:eastAsia="zh-CN"/>
        </w:rPr>
        <w:t>（</w:t>
      </w: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highlight w:val="none"/>
          <w:lang w:eastAsia="zh-CN"/>
        </w:rPr>
        <w:t>）</w:t>
      </w:r>
      <w:r>
        <w:rPr>
          <w:rFonts w:hint="eastAsia" w:ascii="楷体_GB2312" w:hAnsi="楷体_GB2312" w:eastAsia="楷体_GB2312" w:cs="楷体_GB2312"/>
          <w:b/>
          <w:sz w:val="32"/>
          <w:szCs w:val="32"/>
        </w:rPr>
        <w:t>单位基本情况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1、通江县沙溪初级中学属全额拨款事业单位，预算级别为乡镇级。年末我校共有编制人数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人。</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2、2020年年初预算，通江县沙溪初级中学共有编制人数为</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人，其中全额拨款事业编制</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人，财政供养人员控制率100%，未超过编制。</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（二）主要职能</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二、资金使用情况</w:t>
      </w:r>
    </w:p>
    <w:p>
      <w:pPr>
        <w:adjustRightInd w:val="0"/>
        <w:snapToGrid w:val="0"/>
        <w:spacing w:line="600" w:lineRule="exact"/>
        <w:ind w:firstLine="720"/>
        <w:rPr>
          <w:rFonts w:ascii="楷体_GB2312" w:hAnsi="楷体_GB2312" w:eastAsia="楷体_GB2312" w:cs="楷体_GB2312"/>
          <w:b/>
          <w:sz w:val="32"/>
          <w:szCs w:val="32"/>
        </w:rPr>
      </w:pPr>
      <w:r>
        <w:rPr>
          <w:rFonts w:hint="eastAsia" w:ascii="楷体_GB2312" w:hAnsi="楷体_GB2312" w:eastAsia="楷体_GB2312" w:cs="楷体_GB2312"/>
          <w:b/>
          <w:sz w:val="32"/>
          <w:szCs w:val="32"/>
          <w:lang w:val="zh-CN"/>
        </w:rPr>
        <w:t>（一）资金使用情况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2020年12月31日实际支出</w:t>
      </w:r>
      <w:r>
        <w:rPr>
          <w:rFonts w:ascii="仿宋_GB2312" w:hAnsi="仿宋_GB2312" w:eastAsia="仿宋_GB2312" w:cs="仿宋_GB2312"/>
          <w:sz w:val="32"/>
          <w:szCs w:val="32"/>
        </w:rPr>
        <w:t>14225620.31</w:t>
      </w:r>
      <w:r>
        <w:rPr>
          <w:rFonts w:hint="eastAsia" w:ascii="仿宋_GB2312" w:hAnsi="仿宋_GB2312" w:eastAsia="仿宋_GB2312" w:cs="仿宋_GB2312"/>
          <w:sz w:val="32"/>
          <w:szCs w:val="32"/>
        </w:rPr>
        <w:t>元，资金开支范围包括：</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1、工资福利支出</w:t>
      </w:r>
      <w:r>
        <w:rPr>
          <w:rFonts w:ascii="仿宋_GB2312" w:hAnsi="仿宋_GB2312" w:eastAsia="仿宋_GB2312" w:cs="仿宋_GB2312"/>
          <w:sz w:val="32"/>
          <w:szCs w:val="32"/>
        </w:rPr>
        <w:t>12207369.81</w:t>
      </w:r>
      <w:r>
        <w:rPr>
          <w:rFonts w:hint="eastAsia" w:ascii="仿宋_GB2312" w:hAnsi="仿宋_GB2312" w:eastAsia="仿宋_GB2312" w:cs="仿宋_GB2312"/>
          <w:sz w:val="32"/>
          <w:szCs w:val="32"/>
        </w:rPr>
        <w:t>元。其中：基本工资</w:t>
      </w:r>
      <w:r>
        <w:rPr>
          <w:rFonts w:ascii="仿宋_GB2312" w:hAnsi="仿宋_GB2312" w:eastAsia="仿宋_GB2312" w:cs="仿宋_GB2312"/>
          <w:sz w:val="32"/>
          <w:szCs w:val="32"/>
        </w:rPr>
        <w:t>4096012.00</w:t>
      </w:r>
      <w:r>
        <w:rPr>
          <w:rFonts w:hint="eastAsia" w:ascii="仿宋_GB2312" w:hAnsi="仿宋_GB2312" w:eastAsia="仿宋_GB2312" w:cs="仿宋_GB2312"/>
          <w:sz w:val="32"/>
          <w:szCs w:val="32"/>
        </w:rPr>
        <w:t>元；津贴补贴</w:t>
      </w:r>
      <w:r>
        <w:rPr>
          <w:rFonts w:ascii="仿宋_GB2312" w:hAnsi="仿宋_GB2312" w:eastAsia="仿宋_GB2312" w:cs="仿宋_GB2312"/>
          <w:sz w:val="32"/>
          <w:szCs w:val="32"/>
        </w:rPr>
        <w:t>1005828.00</w:t>
      </w:r>
      <w:r>
        <w:rPr>
          <w:rFonts w:hint="eastAsia" w:ascii="仿宋_GB2312" w:hAnsi="仿宋_GB2312" w:eastAsia="仿宋_GB2312" w:cs="仿宋_GB2312"/>
          <w:sz w:val="32"/>
          <w:szCs w:val="32"/>
        </w:rPr>
        <w:t>元；绩效工资</w:t>
      </w:r>
      <w:r>
        <w:rPr>
          <w:rFonts w:ascii="仿宋_GB2312" w:hAnsi="仿宋_GB2312" w:eastAsia="仿宋_GB2312" w:cs="仿宋_GB2312"/>
          <w:sz w:val="32"/>
          <w:szCs w:val="32"/>
        </w:rPr>
        <w:t>2640919.00</w:t>
      </w:r>
      <w:r>
        <w:rPr>
          <w:rFonts w:hint="eastAsia" w:ascii="仿宋_GB2312" w:hAnsi="仿宋_GB2312" w:eastAsia="仿宋_GB2312" w:cs="仿宋_GB2312"/>
          <w:sz w:val="32"/>
          <w:szCs w:val="32"/>
        </w:rPr>
        <w:t>元；养老保险</w:t>
      </w:r>
      <w:r>
        <w:rPr>
          <w:rFonts w:ascii="仿宋_GB2312" w:hAnsi="仿宋_GB2312" w:eastAsia="仿宋_GB2312" w:cs="仿宋_GB2312"/>
          <w:sz w:val="32"/>
          <w:szCs w:val="32"/>
        </w:rPr>
        <w:t>1162322.00</w:t>
      </w:r>
      <w:r>
        <w:rPr>
          <w:rFonts w:hint="eastAsia" w:ascii="仿宋_GB2312" w:hAnsi="仿宋_GB2312" w:eastAsia="仿宋_GB2312" w:cs="仿宋_GB2312"/>
          <w:sz w:val="32"/>
          <w:szCs w:val="32"/>
        </w:rPr>
        <w:t>元；职业年金缴费</w:t>
      </w:r>
      <w:r>
        <w:rPr>
          <w:rFonts w:ascii="仿宋_GB2312" w:hAnsi="仿宋_GB2312" w:eastAsia="仿宋_GB2312" w:cs="仿宋_GB2312"/>
          <w:sz w:val="32"/>
          <w:szCs w:val="32"/>
        </w:rPr>
        <w:t>79712.81</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医疗保险</w:t>
      </w:r>
      <w:r>
        <w:rPr>
          <w:rFonts w:ascii="仿宋_GB2312" w:hAnsi="仿宋_GB2312" w:eastAsia="仿宋_GB2312" w:cs="仿宋_GB2312"/>
          <w:sz w:val="32"/>
          <w:szCs w:val="32"/>
        </w:rPr>
        <w:t>621760.00</w:t>
      </w:r>
      <w:r>
        <w:rPr>
          <w:rFonts w:hint="eastAsia" w:ascii="仿宋_GB2312" w:hAnsi="仿宋_GB2312" w:eastAsia="仿宋_GB2312" w:cs="仿宋_GB2312"/>
          <w:sz w:val="32"/>
          <w:szCs w:val="32"/>
        </w:rPr>
        <w:t>元；其他社会保障缴费</w:t>
      </w:r>
      <w:r>
        <w:rPr>
          <w:rFonts w:ascii="仿宋_GB2312" w:hAnsi="仿宋_GB2312" w:eastAsia="仿宋_GB2312" w:cs="仿宋_GB2312"/>
          <w:sz w:val="32"/>
          <w:szCs w:val="32"/>
        </w:rPr>
        <w:t>224651.00</w:t>
      </w:r>
      <w:r>
        <w:rPr>
          <w:rFonts w:hint="eastAsia" w:ascii="仿宋_GB2312" w:hAnsi="仿宋_GB2312" w:eastAsia="仿宋_GB2312" w:cs="仿宋_GB2312"/>
          <w:sz w:val="32"/>
          <w:szCs w:val="32"/>
        </w:rPr>
        <w:t>；住房公积金</w:t>
      </w:r>
      <w:r>
        <w:rPr>
          <w:rFonts w:ascii="仿宋_GB2312" w:hAnsi="仿宋_GB2312" w:eastAsia="仿宋_GB2312" w:cs="仿宋_GB2312"/>
          <w:sz w:val="32"/>
          <w:szCs w:val="32"/>
        </w:rPr>
        <w:t>871733.00</w:t>
      </w:r>
      <w:r>
        <w:rPr>
          <w:rFonts w:hint="eastAsia" w:ascii="仿宋_GB2312" w:hAnsi="仿宋_GB2312" w:eastAsia="仿宋_GB2312" w:cs="仿宋_GB2312"/>
          <w:sz w:val="32"/>
          <w:szCs w:val="32"/>
        </w:rPr>
        <w:t>元；其他工资福利支出</w:t>
      </w:r>
      <w:r>
        <w:rPr>
          <w:rFonts w:ascii="仿宋_GB2312" w:hAnsi="仿宋_GB2312" w:eastAsia="仿宋_GB2312" w:cs="仿宋_GB2312"/>
          <w:sz w:val="32"/>
          <w:szCs w:val="32"/>
        </w:rPr>
        <w:t>1504432.00</w:t>
      </w:r>
      <w:r>
        <w:rPr>
          <w:rFonts w:hint="eastAsia" w:ascii="仿宋_GB2312" w:hAnsi="仿宋_GB2312" w:eastAsia="仿宋_GB2312" w:cs="仿宋_GB2312"/>
          <w:sz w:val="32"/>
          <w:szCs w:val="32"/>
        </w:rPr>
        <w:t>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3、商品和服务支出</w:t>
      </w:r>
      <w:r>
        <w:rPr>
          <w:rFonts w:ascii="仿宋_GB2312" w:hAnsi="仿宋_GB2312" w:eastAsia="仿宋_GB2312" w:cs="仿宋_GB2312"/>
          <w:sz w:val="32"/>
          <w:szCs w:val="32"/>
        </w:rPr>
        <w:t>886501.00</w:t>
      </w:r>
      <w:r>
        <w:rPr>
          <w:rFonts w:hint="eastAsia" w:ascii="仿宋_GB2312" w:hAnsi="仿宋_GB2312" w:eastAsia="仿宋_GB2312" w:cs="仿宋_GB2312"/>
          <w:sz w:val="32"/>
          <w:szCs w:val="32"/>
        </w:rPr>
        <w:t>元。其中：公务接待费</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.00元；工会经费</w:t>
      </w:r>
      <w:r>
        <w:rPr>
          <w:rFonts w:ascii="仿宋_GB2312" w:hAnsi="仿宋_GB2312" w:eastAsia="仿宋_GB2312" w:cs="仿宋_GB2312"/>
          <w:sz w:val="32"/>
          <w:szCs w:val="32"/>
        </w:rPr>
        <w:t>49840.00</w:t>
      </w:r>
      <w:r>
        <w:rPr>
          <w:rFonts w:hint="eastAsia" w:ascii="仿宋_GB2312" w:hAnsi="仿宋_GB2312" w:eastAsia="仿宋_GB2312" w:cs="仿宋_GB2312"/>
          <w:sz w:val="32"/>
          <w:szCs w:val="32"/>
        </w:rPr>
        <w:t>元；福利费</w:t>
      </w:r>
      <w:r>
        <w:rPr>
          <w:rFonts w:ascii="仿宋_GB2312" w:hAnsi="仿宋_GB2312" w:eastAsia="仿宋_GB2312" w:cs="仿宋_GB2312"/>
          <w:sz w:val="32"/>
          <w:szCs w:val="32"/>
        </w:rPr>
        <w:t>62290.00</w:t>
      </w:r>
      <w:r>
        <w:rPr>
          <w:rFonts w:hint="eastAsia" w:ascii="仿宋_GB2312" w:hAnsi="仿宋_GB2312" w:eastAsia="仿宋_GB2312" w:cs="仿宋_GB2312"/>
          <w:sz w:val="32"/>
          <w:szCs w:val="32"/>
        </w:rPr>
        <w:t>元。</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4、对个人和家庭的补助支出</w:t>
      </w:r>
      <w:r>
        <w:rPr>
          <w:rFonts w:ascii="仿宋_GB2312" w:hAnsi="仿宋_GB2312" w:eastAsia="仿宋_GB2312" w:cs="仿宋_GB2312"/>
          <w:sz w:val="32"/>
          <w:szCs w:val="32"/>
        </w:rPr>
        <w:t>871749.50</w:t>
      </w:r>
      <w:r>
        <w:rPr>
          <w:rFonts w:hint="eastAsia" w:ascii="仿宋_GB2312" w:hAnsi="仿宋_GB2312" w:eastAsia="仿宋_GB2312" w:cs="仿宋_GB2312"/>
          <w:sz w:val="32"/>
          <w:szCs w:val="32"/>
        </w:rPr>
        <w:t>元。其中：助学金</w:t>
      </w:r>
      <w:r>
        <w:rPr>
          <w:rFonts w:ascii="仿宋_GB2312" w:hAnsi="仿宋_GB2312" w:eastAsia="仿宋_GB2312" w:cs="仿宋_GB2312"/>
          <w:sz w:val="32"/>
          <w:szCs w:val="32"/>
        </w:rPr>
        <w:t>844701.50</w:t>
      </w:r>
      <w:r>
        <w:rPr>
          <w:rFonts w:hint="eastAsia" w:ascii="仿宋_GB2312" w:hAnsi="仿宋_GB2312" w:eastAsia="仿宋_GB2312" w:cs="仿宋_GB2312"/>
          <w:sz w:val="32"/>
          <w:szCs w:val="32"/>
        </w:rPr>
        <w:t>元。遗嘱人员生活补助</w:t>
      </w:r>
      <w:r>
        <w:rPr>
          <w:rFonts w:ascii="仿宋_GB2312" w:hAnsi="仿宋_GB2312" w:eastAsia="仿宋_GB2312" w:cs="仿宋_GB2312"/>
          <w:sz w:val="32"/>
          <w:szCs w:val="32"/>
        </w:rPr>
        <w:t>27048.00</w:t>
      </w:r>
      <w:r>
        <w:rPr>
          <w:rFonts w:hint="eastAsia" w:ascii="仿宋_GB2312" w:hAnsi="仿宋_GB2312" w:eastAsia="仿宋_GB2312" w:cs="仿宋_GB2312"/>
          <w:sz w:val="32"/>
          <w:szCs w:val="32"/>
        </w:rPr>
        <w:t>元。</w:t>
      </w:r>
    </w:p>
    <w:p>
      <w:pPr>
        <w:adjustRightInd w:val="0"/>
        <w:snapToGrid w:val="0"/>
        <w:spacing w:line="600" w:lineRule="exact"/>
        <w:ind w:firstLine="720"/>
        <w:rPr>
          <w:rFonts w:ascii="宋体" w:hAnsi="宋体" w:cs="仿宋_GB2312"/>
          <w:sz w:val="32"/>
          <w:szCs w:val="32"/>
        </w:rPr>
      </w:pPr>
      <w:r>
        <w:rPr>
          <w:rFonts w:hint="eastAsia" w:ascii="仿宋_GB2312" w:hAnsi="仿宋_GB2312" w:eastAsia="仿宋_GB2312" w:cs="仿宋_GB2312"/>
          <w:sz w:val="32"/>
          <w:szCs w:val="32"/>
        </w:rPr>
        <w:t>5、资本性支出</w:t>
      </w:r>
      <w:r>
        <w:rPr>
          <w:rFonts w:ascii="仿宋_GB2312" w:hAnsi="仿宋_GB2312" w:eastAsia="仿宋_GB2312" w:cs="仿宋_GB2312"/>
          <w:sz w:val="32"/>
          <w:szCs w:val="32"/>
        </w:rPr>
        <w:t>260000</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主要用于校园校舍维修改造。支付进度为100%，支付依据合法合规，资金支付与年初预算相符。</w:t>
      </w:r>
    </w:p>
    <w:p>
      <w:pPr>
        <w:adjustRightInd w:val="0"/>
        <w:snapToGrid w:val="0"/>
        <w:spacing w:line="600" w:lineRule="exact"/>
        <w:ind w:firstLine="72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（二）组织实施情况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内设机构有办公室、教务处、安保处、信息中心、财务室。</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2、单位建立了内部控制制度，成立了财务内审领导小组。</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严格执行事业单位会计制度。一是严格按预算政策、口径编制部门预算；二是及时公示县财政局最终批复的预算数，并严格按预算额度、进度提出执行申请，无超预算支出；三是严格执行三公经费的管理规定，公务接待开支下降。</w:t>
      </w:r>
    </w:p>
    <w:p>
      <w:pPr>
        <w:adjustRightInd w:val="0"/>
        <w:snapToGrid w:val="0"/>
        <w:spacing w:line="560" w:lineRule="exact"/>
        <w:ind w:firstLine="643" w:firstLineChars="200"/>
        <w:rPr>
          <w:rFonts w:ascii="黑体" w:hAnsi="黑体" w:eastAsia="黑体" w:cs="黑体"/>
          <w:b/>
          <w:sz w:val="32"/>
          <w:szCs w:val="32"/>
          <w:lang w:val="zh-CN"/>
        </w:rPr>
      </w:pPr>
      <w:r>
        <w:rPr>
          <w:rFonts w:hint="eastAsia" w:ascii="黑体" w:hAnsi="黑体" w:eastAsia="黑体" w:cs="黑体"/>
          <w:b/>
          <w:sz w:val="32"/>
          <w:szCs w:val="32"/>
        </w:rPr>
        <w:t>三、目标完成情况</w:t>
      </w:r>
      <w:r>
        <w:rPr>
          <w:rFonts w:hint="eastAsia" w:ascii="黑体" w:hAnsi="黑体" w:eastAsia="黑体" w:cs="黑体"/>
          <w:b/>
          <w:sz w:val="32"/>
          <w:szCs w:val="32"/>
          <w:lang w:val="zh-CN"/>
        </w:rPr>
        <w:tab/>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1.完成精准扶贫工作任务。一是选派</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rPr>
        <w:t>名优秀职工驻村；二是组织</w:t>
      </w:r>
      <w:r>
        <w:rPr>
          <w:rFonts w:hint="eastAsia" w:ascii="仿宋_GB2312" w:hAnsi="仿宋_GB2312" w:eastAsia="仿宋_GB2312" w:cs="仿宋_GB2312"/>
          <w:sz w:val="32"/>
          <w:szCs w:val="32"/>
        </w:rPr>
        <w:t>全校</w:t>
      </w:r>
      <w:r>
        <w:rPr>
          <w:rFonts w:hint="eastAsia" w:ascii="仿宋_GB2312" w:hAnsi="仿宋_GB2312" w:eastAsia="仿宋_GB2312" w:cs="仿宋_GB2312"/>
          <w:sz w:val="32"/>
          <w:szCs w:val="32"/>
          <w:lang w:val="zh-CN"/>
        </w:rPr>
        <w:t>教职工结对帮扶。</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2.巩固义务教育均衡发展。义教均衡顺利接受并通过国家认定。</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3.精心组织学生学业水平测试。</w:t>
      </w:r>
      <w:r>
        <w:rPr>
          <w:rFonts w:ascii="仿宋_GB2312" w:hAnsi="仿宋_GB2312" w:eastAsia="仿宋_GB2312" w:cs="仿宋_GB2312"/>
          <w:sz w:val="32"/>
          <w:szCs w:val="32"/>
        </w:rPr>
        <w:t>599</w:t>
      </w:r>
      <w:r>
        <w:rPr>
          <w:rFonts w:hint="eastAsia" w:ascii="仿宋_GB2312" w:hAnsi="仿宋_GB2312" w:eastAsia="仿宋_GB2312" w:cs="仿宋_GB2312"/>
          <w:sz w:val="32"/>
          <w:szCs w:val="32"/>
          <w:lang w:val="zh-CN"/>
        </w:rPr>
        <w:t>名学生参加学业水平测试，参加率为100%，优生率</w:t>
      </w: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val="zh-CN"/>
        </w:rPr>
        <w:t>%，合格率为100%。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4.组织参加各级各类教师培训活动。组织全体教师全员参加并完成了巴中市远程非学历培训；组织教师参加了县上组织的各类培训。</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5.工资福利保障人数：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lang w:val="zh-CN"/>
        </w:rPr>
        <w:t>人；工资福利保障完成100%；工资福利100%按时发放。</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四、部门绩效评价情况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根据县教科体局年初下达的目标任务的完成情况，我校2020年综合目标考核为二等奖。根据《部门整体支出绩效评价指标体系》评分，部门整体支出绩效为“优”。</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五、问题及建议</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1.目前通江县沙溪初级中学</w:t>
      </w:r>
      <w:r>
        <w:rPr>
          <w:rFonts w:hint="eastAsia" w:ascii="仿宋_GB2312" w:hAnsi="仿宋_GB2312" w:eastAsia="仿宋_GB2312" w:cs="仿宋_GB2312"/>
          <w:sz w:val="32"/>
          <w:szCs w:val="32"/>
        </w:rPr>
        <w:t>只有</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个编制，</w:t>
      </w:r>
      <w:r>
        <w:rPr>
          <w:rFonts w:hint="eastAsia" w:ascii="仿宋_GB2312" w:hAnsi="仿宋_GB2312" w:eastAsia="仿宋_GB2312" w:cs="仿宋_GB2312"/>
          <w:sz w:val="32"/>
          <w:szCs w:val="32"/>
          <w:lang w:val="zh-CN"/>
        </w:rPr>
        <w:t>同时学校女教师占多数，随着</w:t>
      </w:r>
      <w:r>
        <w:rPr>
          <w:rFonts w:hint="eastAsia" w:ascii="仿宋_GB2312" w:hAnsi="仿宋_GB2312" w:eastAsia="仿宋_GB2312" w:cs="仿宋_GB2312"/>
          <w:sz w:val="32"/>
          <w:szCs w:val="32"/>
          <w:highlight w:val="none"/>
          <w:lang w:val="zh-CN"/>
        </w:rPr>
        <w:t>二孩政策</w:t>
      </w:r>
      <w:r>
        <w:rPr>
          <w:rFonts w:hint="eastAsia" w:ascii="仿宋_GB2312" w:hAnsi="仿宋_GB2312" w:eastAsia="仿宋_GB2312" w:cs="仿宋_GB2312"/>
          <w:sz w:val="32"/>
          <w:szCs w:val="32"/>
          <w:lang w:val="zh-CN"/>
        </w:rPr>
        <w:t>的放开，学校请产假的人数较多，为了完成目标工作任务，学校人员显得比较紧张。</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2、因下乡扶贫次数要求多，差旅经费严重不足。</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针对上述存在的问题，建议：①合理核编，对编制实施动态管理，确保教育事业的健康发展；②</w:t>
      </w:r>
      <w:r>
        <w:rPr>
          <w:rFonts w:hint="eastAsia" w:ascii="仿宋_GB2312" w:hAnsi="仿宋_GB2312" w:eastAsia="仿宋_GB2312" w:cs="仿宋_GB2312"/>
          <w:sz w:val="32"/>
          <w:szCs w:val="32"/>
        </w:rPr>
        <w:t xml:space="preserve">科学合理制定绩效目标及考核体系，充分发挥绩效工作效用。 </w:t>
      </w:r>
    </w:p>
    <w:p>
      <w:pPr>
        <w:adjustRightInd w:val="0"/>
        <w:snapToGrid w:val="0"/>
        <w:spacing w:line="600" w:lineRule="exact"/>
        <w:ind w:firstLine="72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outlineLvl w:val="9"/>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outlineLvl w:val="9"/>
        <w:rPr>
          <w:rFonts w:ascii="仿宋_GB2312" w:hAnsi="仿宋_GB2312" w:eastAsia="仿宋_GB2312" w:cs="仿宋_GB2312"/>
          <w:sz w:val="32"/>
          <w:szCs w:val="32"/>
        </w:rPr>
      </w:pPr>
    </w:p>
    <w:p>
      <w:pPr>
        <w:spacing w:line="560" w:lineRule="exact"/>
        <w:jc w:val="center"/>
        <w:outlineLvl w:val="9"/>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560" w:lineRule="exact"/>
        <w:jc w:val="center"/>
        <w:outlineLvl w:val="9"/>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关于20</w:t>
      </w:r>
      <w:r>
        <w:rPr>
          <w:rFonts w:ascii="方正小标宋简体" w:hAnsi="方正小标宋简体" w:eastAsia="方正小标宋简体" w:cs="方正小标宋简体"/>
          <w:b/>
          <w:color w:val="000000"/>
          <w:kern w:val="0"/>
          <w:sz w:val="44"/>
          <w:szCs w:val="44"/>
        </w:rPr>
        <w:t>20</w:t>
      </w:r>
      <w:r>
        <w:rPr>
          <w:rFonts w:hint="eastAsia" w:ascii="方正小标宋简体" w:hAnsi="方正小标宋简体" w:eastAsia="方正小标宋简体" w:cs="方正小标宋简体"/>
          <w:b/>
          <w:color w:val="000000"/>
          <w:kern w:val="0"/>
          <w:sz w:val="44"/>
          <w:szCs w:val="44"/>
        </w:rPr>
        <w:t>年度营养餐补助项目</w:t>
      </w:r>
    </w:p>
    <w:p>
      <w:pPr>
        <w:spacing w:line="560" w:lineRule="exact"/>
        <w:jc w:val="center"/>
        <w:outlineLvl w:val="9"/>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640" w:firstLineChars="200"/>
        <w:rPr>
          <w:rFonts w:ascii="宋体" w:hAnsi="宋体"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年营养餐项目决算总支出</w:t>
      </w:r>
      <w:r>
        <w:rPr>
          <w:rFonts w:ascii="仿宋_GB2312" w:hAnsi="仿宋_GB2312" w:eastAsia="仿宋_GB2312" w:cs="仿宋_GB2312"/>
          <w:sz w:val="32"/>
          <w:szCs w:val="32"/>
        </w:rPr>
        <w:t>667885.00</w:t>
      </w:r>
      <w:r>
        <w:rPr>
          <w:rFonts w:hint="eastAsia" w:ascii="仿宋_GB2312" w:hAnsi="仿宋_GB2312" w:eastAsia="仿宋_GB2312" w:cs="仿宋_GB2312"/>
          <w:sz w:val="32"/>
          <w:szCs w:val="32"/>
        </w:rPr>
        <w:t>元，我校已于20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年完成了项目绩效目标。</w:t>
      </w:r>
    </w:p>
    <w:p>
      <w:pPr>
        <w:adjustRightInd w:val="0"/>
        <w:snapToGrid w:val="0"/>
        <w:spacing w:line="560" w:lineRule="exact"/>
        <w:ind w:firstLine="720"/>
        <w:rPr>
          <w:rFonts w:ascii="宋体" w:hAnsi="宋体" w:cs="仿宋_GB2312"/>
          <w:b/>
          <w:sz w:val="32"/>
          <w:szCs w:val="32"/>
        </w:rPr>
      </w:pPr>
      <w:r>
        <w:rPr>
          <w:rFonts w:hint="eastAsia" w:ascii="宋体" w:hAnsi="宋体" w:cs="仿宋_GB2312"/>
          <w:b/>
          <w:sz w:val="32"/>
          <w:szCs w:val="32"/>
        </w:rPr>
        <w:t>一、资金使用情况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评价时资金的实际支出为</w:t>
      </w:r>
      <w:r>
        <w:rPr>
          <w:rFonts w:ascii="仿宋_GB2312" w:hAnsi="仿宋_GB2312" w:eastAsia="仿宋_GB2312" w:cs="仿宋_GB2312"/>
          <w:sz w:val="32"/>
          <w:szCs w:val="32"/>
        </w:rPr>
        <w:t>667885.00</w:t>
      </w:r>
      <w:r>
        <w:rPr>
          <w:rFonts w:hint="eastAsia" w:ascii="仿宋_GB2312" w:hAnsi="仿宋_GB2312" w:eastAsia="仿宋_GB2312" w:cs="仿宋_GB2312"/>
          <w:sz w:val="32"/>
          <w:szCs w:val="32"/>
        </w:rPr>
        <w:t>元，全部用于义务教育阶段学生营养改善计划的补助支出，支出依据合规合法，资金支付与预算相符。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的日常管理工作均按照我校相关管理制度执行，建立了工作有计划、实施有方案、日常有监督的管理机制，工作取得了较好的成效，效能得到了提高，获得了社会各界的好评，学校成立了义务教育阶段学生营养改善计划领导小组，由学校工会监督执行，严格按照上级文件和相关制度执行。</w:t>
      </w:r>
    </w:p>
    <w:p>
      <w:pPr>
        <w:tabs>
          <w:tab w:val="left" w:pos="6804"/>
          <w:tab w:val="left" w:pos="7088"/>
          <w:tab w:val="left" w:pos="7513"/>
          <w:tab w:val="left" w:pos="8080"/>
        </w:tabs>
        <w:spacing w:line="520" w:lineRule="exact"/>
        <w:ind w:firstLine="643" w:firstLineChars="200"/>
        <w:jc w:val="left"/>
        <w:rPr>
          <w:rFonts w:ascii="仿宋_GB2312" w:hAnsi="仿宋" w:eastAsia="仿宋_GB2312"/>
          <w:sz w:val="30"/>
          <w:szCs w:val="30"/>
        </w:rPr>
      </w:pPr>
      <w:r>
        <w:rPr>
          <w:rFonts w:hint="eastAsia" w:ascii="宋体" w:hAnsi="宋体" w:cs="仿宋_GB2312"/>
          <w:b/>
          <w:sz w:val="32"/>
          <w:szCs w:val="32"/>
          <w:lang w:val="en-US" w:eastAsia="zh-CN"/>
        </w:rPr>
        <w:t>二</w:t>
      </w:r>
      <w:r>
        <w:rPr>
          <w:rFonts w:hint="eastAsia" w:ascii="宋体" w:hAnsi="宋体" w:cs="仿宋_GB2312"/>
          <w:b/>
          <w:sz w:val="32"/>
          <w:szCs w:val="32"/>
        </w:rPr>
        <w:t>、目标完成情况</w:t>
      </w:r>
      <w:r>
        <w:rPr>
          <w:rFonts w:hint="eastAsia" w:ascii="仿宋_GB2312" w:hAnsi="仿宋" w:eastAsia="仿宋_GB2312"/>
          <w:sz w:val="30"/>
          <w:szCs w:val="30"/>
        </w:rPr>
        <w:tab/>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营养餐资金完成了学期目标任务，达到了相关要求，学校工作取得了较好成效。</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对照预定计划，营养餐资金完成了目标任务。</w:t>
      </w:r>
    </w:p>
    <w:p>
      <w:pPr>
        <w:tabs>
          <w:tab w:val="left" w:pos="6804"/>
          <w:tab w:val="left" w:pos="7088"/>
          <w:tab w:val="left" w:pos="7513"/>
          <w:tab w:val="left" w:pos="8080"/>
        </w:tabs>
        <w:spacing w:line="520" w:lineRule="exact"/>
        <w:ind w:firstLine="643" w:firstLineChars="200"/>
        <w:jc w:val="left"/>
        <w:rPr>
          <w:rFonts w:ascii="仿宋_GB2312" w:hAnsi="仿宋" w:eastAsia="仿宋_GB2312"/>
          <w:b/>
          <w:sz w:val="30"/>
          <w:szCs w:val="30"/>
        </w:rPr>
      </w:pPr>
      <w:r>
        <w:rPr>
          <w:rFonts w:hint="eastAsia" w:ascii="宋体" w:hAnsi="宋体" w:cs="仿宋_GB2312"/>
          <w:b/>
          <w:sz w:val="32"/>
          <w:szCs w:val="32"/>
          <w:lang w:val="en-US" w:eastAsia="zh-CN"/>
        </w:rPr>
        <w:t>三</w:t>
      </w:r>
      <w:r>
        <w:rPr>
          <w:rFonts w:hint="eastAsia" w:ascii="宋体" w:hAnsi="宋体" w:cs="仿宋_GB2312"/>
          <w:b/>
          <w:sz w:val="32"/>
          <w:szCs w:val="32"/>
        </w:rPr>
        <w:t>、项目效益情况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实施了目标绩效考核，学校各方面工作都有序，高质量完成，产生较好的社会效益，严格执行目标管理，充分保障学校正常教学。</w:t>
      </w:r>
    </w:p>
    <w:p>
      <w:pPr>
        <w:tabs>
          <w:tab w:val="left" w:pos="6804"/>
          <w:tab w:val="left" w:pos="7088"/>
          <w:tab w:val="left" w:pos="7513"/>
          <w:tab w:val="left" w:pos="8080"/>
        </w:tabs>
        <w:spacing w:line="520" w:lineRule="exact"/>
        <w:ind w:firstLine="643" w:firstLineChars="200"/>
        <w:jc w:val="left"/>
        <w:rPr>
          <w:rFonts w:ascii="宋体" w:hAnsi="宋体" w:cs="仿宋_GB2312"/>
          <w:b/>
          <w:sz w:val="32"/>
          <w:szCs w:val="32"/>
        </w:rPr>
      </w:pPr>
      <w:r>
        <w:rPr>
          <w:rFonts w:hint="eastAsia" w:ascii="宋体" w:hAnsi="宋体" w:cs="仿宋_GB2312"/>
          <w:b/>
          <w:sz w:val="32"/>
          <w:szCs w:val="32"/>
          <w:lang w:val="en-US" w:eastAsia="zh-CN"/>
        </w:rPr>
        <w:t>四</w:t>
      </w:r>
      <w:r>
        <w:rPr>
          <w:rFonts w:hint="eastAsia" w:ascii="宋体" w:hAnsi="宋体" w:cs="仿宋_GB2312"/>
          <w:b/>
          <w:sz w:val="32"/>
          <w:szCs w:val="32"/>
        </w:rPr>
        <w:t>、问题及建议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关于家庭经济困难学生生活补助项目</w:t>
      </w: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年家庭经济困难学生决算支出</w:t>
      </w:r>
      <w:r>
        <w:rPr>
          <w:rFonts w:ascii="仿宋_GB2312" w:hAnsi="仿宋_GB2312" w:eastAsia="仿宋_GB2312" w:cs="仿宋_GB2312"/>
          <w:sz w:val="32"/>
          <w:szCs w:val="32"/>
        </w:rPr>
        <w:t>165000</w:t>
      </w:r>
      <w:r>
        <w:rPr>
          <w:rFonts w:hint="eastAsia" w:ascii="仿宋_GB2312" w:hAnsi="仿宋_GB2312" w:eastAsia="仿宋_GB2312" w:cs="仿宋_GB2312"/>
          <w:sz w:val="32"/>
          <w:szCs w:val="32"/>
        </w:rPr>
        <w:t>.00元，我校已于20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年完成，完成了家庭经济困难学生生活补助绩效目标。</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二、主要职能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1.全面贯彻党的教育方针政策，依法组织教育教学，全面实施素质教育，培养德智体美劳全面发展的社会主义接班人，努力办好人民满意教育。</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2.保障学校的正常教育教学、办公、生活秩序。</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3.管好用好国家的教育资金，改善和优化农村办学条件。</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4.把教育教学质量放在首位，提高教师从教幸福感，关注留守儿童健康成长，争做“四有”好老师。</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三、资金使用情况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截至</w:t>
      </w:r>
      <w:r>
        <w:rPr>
          <w:rFonts w:hint="eastAsia" w:ascii="仿宋_GB2312" w:hAnsi="仿宋_GB2312" w:eastAsia="仿宋_GB2312" w:cs="仿宋_GB2312"/>
          <w:sz w:val="32"/>
          <w:szCs w:val="32"/>
        </w:rPr>
        <w:t>评价时资金的实际支出为</w:t>
      </w:r>
      <w:r>
        <w:rPr>
          <w:rFonts w:ascii="仿宋_GB2312" w:hAnsi="仿宋_GB2312" w:eastAsia="仿宋_GB2312" w:cs="仿宋_GB2312"/>
          <w:sz w:val="32"/>
          <w:szCs w:val="32"/>
        </w:rPr>
        <w:t>176816.50</w:t>
      </w:r>
      <w:r>
        <w:rPr>
          <w:rFonts w:hint="eastAsia" w:ascii="仿宋_GB2312" w:hAnsi="仿宋_GB2312" w:eastAsia="仿宋_GB2312" w:cs="仿宋_GB2312"/>
          <w:sz w:val="32"/>
          <w:szCs w:val="32"/>
        </w:rPr>
        <w:t>元，用于学校家庭经济困难学生生活补助发放，支出依据合规合法，资金支付与预算相符。</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日常管理工作均按照我校相关管理制度执行，建立了工作有计划、实施有方案、日常有监督的管理机制，工作取得了较好的成效，效能得到了提高，获得了社会各界的好评，学校成立了学生资助工作领导小组，由学校工会监督并严格执行。</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四、目标完成情况</w:t>
      </w:r>
      <w:r>
        <w:rPr>
          <w:rFonts w:hint="eastAsia" w:ascii="黑体" w:hAnsi="黑体" w:eastAsia="黑体" w:cs="黑体"/>
          <w:b/>
          <w:sz w:val="32"/>
          <w:szCs w:val="32"/>
        </w:rPr>
        <w:tab/>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家庭经济困难学生生活补助完成了学期目标任务，达到了相关要求，学校工作取得了较好成效。</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按照年初目标任务，实际完成较好。</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对照预定计划，家庭经济困难学生生活补助完成了目标任务。</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五、项目效益情况</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实施了目标绩效考核，学校各方面工作都有序，高质量完成，产生较好的社会效益，严格执行目标管理，充分保障学校正常教学。</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六、问题及建议</w:t>
      </w:r>
    </w:p>
    <w:p>
      <w:pPr>
        <w:adjustRightInd w:val="0"/>
        <w:snapToGrid w:val="0"/>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spacing w:line="580" w:lineRule="exact"/>
        <w:ind w:firstLine="640"/>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关于扶贫项目绩效评价报告</w:t>
      </w:r>
    </w:p>
    <w:p>
      <w:pPr>
        <w:spacing w:line="600" w:lineRule="exact"/>
        <w:rPr>
          <w:rFonts w:ascii="宋体"/>
          <w:sz w:val="32"/>
          <w:szCs w:val="32"/>
          <w:lang w:val="zh-CN"/>
        </w:rPr>
      </w:pP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一、基本情况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年扶贫项目决算支出</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.00元，我校已于2019年完成了扶贫项目绩效目标。</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二、资金使用情况</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（一）资金使用</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全年共拨入</w:t>
      </w:r>
      <w:r>
        <w:rPr>
          <w:rFonts w:ascii="仿宋_GB2312" w:hAnsi="仿宋_GB2312" w:eastAsia="仿宋_GB2312" w:cs="仿宋_GB2312"/>
          <w:color w:val="auto"/>
          <w:kern w:val="2"/>
          <w:sz w:val="32"/>
          <w:szCs w:val="32"/>
        </w:rPr>
        <w:t>10</w:t>
      </w:r>
      <w:r>
        <w:rPr>
          <w:rFonts w:hint="eastAsia" w:ascii="仿宋_GB2312" w:hAnsi="仿宋_GB2312" w:eastAsia="仿宋_GB2312" w:cs="仿宋_GB2312"/>
          <w:color w:val="auto"/>
          <w:kern w:val="2"/>
          <w:sz w:val="32"/>
          <w:szCs w:val="32"/>
        </w:rPr>
        <w:t>000.00元，用于学校</w:t>
      </w: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名驻村扶贫教师的差旅补助及办公支出，支出依据合规合法，资金支付与预算相符。</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（二）组织实施情况</w:t>
      </w:r>
    </w:p>
    <w:p>
      <w:pPr>
        <w:pStyle w:val="31"/>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的考核，及时发放驻村干部的差旅费和办公支出。</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三、目标完成情况</w:t>
      </w:r>
      <w:r>
        <w:rPr>
          <w:rFonts w:hint="eastAsia" w:ascii="黑体" w:hAnsi="黑体" w:eastAsia="黑体" w:cs="黑体"/>
          <w:b/>
          <w:sz w:val="32"/>
          <w:szCs w:val="32"/>
        </w:rPr>
        <w:tab/>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驻村干部完成了目标任务，达到了相关要求，推动</w:t>
      </w:r>
      <w:r>
        <w:rPr>
          <w:rFonts w:hint="eastAsia" w:ascii="仿宋_GB2312" w:hAnsi="仿宋_GB2312" w:eastAsia="仿宋_GB2312" w:cs="仿宋_GB2312"/>
          <w:sz w:val="32"/>
          <w:szCs w:val="32"/>
          <w:lang w:eastAsia="zh-CN"/>
        </w:rPr>
        <w:t>扶贫</w:t>
      </w:r>
      <w:r>
        <w:rPr>
          <w:rFonts w:hint="eastAsia" w:ascii="仿宋_GB2312" w:hAnsi="仿宋_GB2312" w:eastAsia="仿宋_GB2312" w:cs="仿宋_GB2312"/>
          <w:sz w:val="32"/>
          <w:szCs w:val="32"/>
        </w:rPr>
        <w:t>工作有序开展。</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按照年初目标任务，实际扶贫工作完成较好，扶贫干部做得很优秀。</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对照预定计划，全部完成了目标任务。</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四、项目效益情况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实施扶贫支出项目，充分调动了扶贫干部积极性，驻村干部工作都有序，高质量完成，产生较好的社会效益，严格执行目标管理，充分保障扶贫工作正常开展。</w:t>
      </w:r>
    </w:p>
    <w:p>
      <w:pPr>
        <w:adjustRightInd w:val="0"/>
        <w:snapToGrid w:val="0"/>
        <w:spacing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五、问题及建议</w:t>
      </w:r>
    </w:p>
    <w:p>
      <w:pPr>
        <w:spacing w:line="600" w:lineRule="exact"/>
        <w:ind w:firstLine="640" w:firstLineChars="20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通江县沙溪初级中学</w:t>
      </w:r>
    </w:p>
    <w:p>
      <w:pPr>
        <w:spacing w:line="600" w:lineRule="exact"/>
        <w:jc w:val="center"/>
        <w:rPr>
          <w:rFonts w:ascii="方正小标宋简体" w:hAnsi="方正小标宋简体" w:eastAsia="方正小标宋简体" w:cs="方正小标宋简体"/>
          <w:b/>
          <w:color w:val="000000"/>
          <w:kern w:val="0"/>
          <w:sz w:val="44"/>
          <w:szCs w:val="44"/>
        </w:rPr>
      </w:pPr>
      <w:r>
        <w:rPr>
          <w:rFonts w:hint="eastAsia" w:ascii="方正小标宋简体" w:hAnsi="方正小标宋简体" w:eastAsia="方正小标宋简体" w:cs="方正小标宋简体"/>
          <w:b/>
          <w:color w:val="000000"/>
          <w:kern w:val="0"/>
          <w:sz w:val="44"/>
          <w:szCs w:val="44"/>
        </w:rPr>
        <w:t>关于校舍维修项目绩效评价报告</w:t>
      </w:r>
    </w:p>
    <w:p>
      <w:pPr>
        <w:spacing w:line="600" w:lineRule="exact"/>
        <w:rPr>
          <w:rFonts w:ascii="宋体"/>
          <w:sz w:val="32"/>
          <w:szCs w:val="32"/>
          <w:lang w:val="zh-CN"/>
        </w:rPr>
      </w:pPr>
    </w:p>
    <w:p>
      <w:pPr>
        <w:adjustRightInd w:val="0"/>
        <w:snapToGrid w:val="0"/>
        <w:spacing w:line="560" w:lineRule="exact"/>
        <w:ind w:firstLine="643" w:firstLineChars="200"/>
        <w:outlineLvl w:val="1"/>
        <w:rPr>
          <w:rFonts w:ascii="黑体" w:hAnsi="黑体" w:eastAsia="黑体" w:cs="黑体"/>
          <w:b/>
          <w:sz w:val="32"/>
          <w:szCs w:val="32"/>
        </w:rPr>
      </w:pPr>
      <w:bookmarkStart w:id="76" w:name="_Toc3213"/>
      <w:r>
        <w:rPr>
          <w:rFonts w:hint="eastAsia" w:ascii="黑体" w:hAnsi="黑体" w:eastAsia="黑体" w:cs="黑体"/>
          <w:b/>
          <w:sz w:val="32"/>
          <w:szCs w:val="32"/>
        </w:rPr>
        <w:t>一、基本情况</w:t>
      </w:r>
      <w:bookmarkEnd w:id="76"/>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sz w:val="32"/>
          <w:szCs w:val="32"/>
        </w:rPr>
        <w:t>通江县沙溪初级中学属全额拨款事业单位，预算级别为乡镇级。年末我校共有编制人数</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人，退休人员</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人，学生人数</w:t>
      </w:r>
      <w:r>
        <w:rPr>
          <w:rFonts w:ascii="仿宋_GB2312" w:hAnsi="仿宋_GB2312" w:eastAsia="仿宋_GB2312" w:cs="仿宋_GB2312"/>
          <w:sz w:val="32"/>
          <w:szCs w:val="32"/>
        </w:rPr>
        <w:t>599</w:t>
      </w:r>
      <w:r>
        <w:rPr>
          <w:rFonts w:hint="eastAsia" w:ascii="仿宋_GB2312" w:hAnsi="仿宋_GB2312" w:eastAsia="仿宋_GB2312" w:cs="仿宋_GB2312"/>
          <w:sz w:val="32"/>
          <w:szCs w:val="32"/>
        </w:rPr>
        <w:t>人。20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w:t>
      </w:r>
      <w:r>
        <w:rPr>
          <w:rFonts w:hint="eastAsia" w:ascii="仿宋_GB2312" w:hAnsi="宋体" w:eastAsia="仿宋_GB2312" w:cs="宋体"/>
          <w:kern w:val="0"/>
          <w:sz w:val="32"/>
          <w:szCs w:val="32"/>
        </w:rPr>
        <w:t>校舍维修项目支出</w:t>
      </w:r>
      <w:r>
        <w:rPr>
          <w:rFonts w:ascii="仿宋_GB2312" w:hAnsi="宋体" w:eastAsia="仿宋_GB2312" w:cs="宋体"/>
          <w:kern w:val="0"/>
          <w:sz w:val="32"/>
          <w:szCs w:val="32"/>
        </w:rPr>
        <w:t>260000</w:t>
      </w:r>
      <w:r>
        <w:rPr>
          <w:rFonts w:hint="eastAsia" w:ascii="仿宋_GB2312" w:hAnsi="宋体" w:eastAsia="仿宋_GB2312" w:cs="宋体"/>
          <w:kern w:val="0"/>
          <w:sz w:val="32"/>
          <w:szCs w:val="32"/>
        </w:rPr>
        <w:t>.00元，我校已于20</w:t>
      </w:r>
      <w:r>
        <w:rPr>
          <w:rFonts w:ascii="仿宋_GB2312" w:hAnsi="宋体" w:eastAsia="仿宋_GB2312" w:cs="宋体"/>
          <w:kern w:val="0"/>
          <w:sz w:val="32"/>
          <w:szCs w:val="32"/>
        </w:rPr>
        <w:t>20</w:t>
      </w:r>
      <w:r>
        <w:rPr>
          <w:rFonts w:hint="eastAsia" w:ascii="仿宋_GB2312" w:hAnsi="宋体" w:eastAsia="仿宋_GB2312" w:cs="宋体"/>
          <w:kern w:val="0"/>
          <w:sz w:val="32"/>
          <w:szCs w:val="32"/>
        </w:rPr>
        <w:t>年完成了项目绩效目标。</w:t>
      </w:r>
    </w:p>
    <w:p>
      <w:pPr>
        <w:tabs>
          <w:tab w:val="left" w:pos="6804"/>
          <w:tab w:val="left" w:pos="7088"/>
          <w:tab w:val="left" w:pos="7513"/>
          <w:tab w:val="left" w:pos="8080"/>
        </w:tabs>
        <w:spacing w:line="520" w:lineRule="exact"/>
        <w:ind w:firstLine="640" w:firstLineChars="200"/>
        <w:jc w:val="left"/>
        <w:outlineLvl w:val="1"/>
        <w:rPr>
          <w:rFonts w:ascii="黑体" w:hAnsi="黑体" w:eastAsia="黑体"/>
          <w:sz w:val="32"/>
          <w:szCs w:val="32"/>
        </w:rPr>
      </w:pPr>
      <w:bookmarkStart w:id="77" w:name="_Toc12211"/>
      <w:r>
        <w:rPr>
          <w:rFonts w:hint="eastAsia" w:ascii="黑体" w:hAnsi="黑体" w:eastAsia="黑体"/>
          <w:sz w:val="32"/>
          <w:szCs w:val="32"/>
        </w:rPr>
        <w:t>二、资金使用情况</w:t>
      </w:r>
      <w:bookmarkEnd w:id="77"/>
    </w:p>
    <w:p>
      <w:pPr>
        <w:pStyle w:val="31"/>
        <w:spacing w:line="240" w:lineRule="auto"/>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（一）资金使用</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全年共拨入</w:t>
      </w:r>
      <w:r>
        <w:rPr>
          <w:rFonts w:ascii="仿宋_GB2312" w:hAnsi="宋体" w:eastAsia="仿宋_GB2312" w:cs="宋体"/>
          <w:kern w:val="0"/>
          <w:sz w:val="32"/>
          <w:szCs w:val="32"/>
        </w:rPr>
        <w:t>2600</w:t>
      </w:r>
      <w:r>
        <w:rPr>
          <w:rFonts w:hint="eastAsia" w:ascii="仿宋_GB2312" w:hAnsi="宋体" w:eastAsia="仿宋_GB2312" w:cs="宋体"/>
          <w:kern w:val="0"/>
          <w:sz w:val="32"/>
          <w:szCs w:val="32"/>
        </w:rPr>
        <w:t>00.00元，全部用于通江县沙溪初级中学水毁工程项目，支出依据合规合法，资金支付与预算相符。</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（二）组织实施情况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我单位20</w:t>
      </w:r>
      <w:r>
        <w:rPr>
          <w:rFonts w:ascii="仿宋_GB2312" w:hAnsi="仿宋" w:eastAsia="仿宋_GB2312" w:cs="仿宋"/>
          <w:sz w:val="32"/>
          <w:szCs w:val="32"/>
        </w:rPr>
        <w:t>20</w:t>
      </w:r>
      <w:r>
        <w:rPr>
          <w:rFonts w:hint="eastAsia" w:ascii="仿宋_GB2312" w:hAnsi="仿宋" w:eastAsia="仿宋_GB2312" w:cs="仿宋"/>
          <w:sz w:val="32"/>
          <w:szCs w:val="32"/>
        </w:rPr>
        <w:t>年</w:t>
      </w:r>
      <w:r>
        <w:rPr>
          <w:rFonts w:hint="eastAsia" w:ascii="仿宋_GB2312" w:hAnsi="宋体" w:eastAsia="仿宋_GB2312" w:cs="宋体"/>
          <w:kern w:val="0"/>
          <w:sz w:val="32"/>
          <w:szCs w:val="32"/>
        </w:rPr>
        <w:t>通江县沙溪初级中学水毁工程项目</w:t>
      </w:r>
      <w:r>
        <w:rPr>
          <w:rFonts w:hint="eastAsia" w:ascii="仿宋_GB2312" w:hAnsi="仿宋" w:eastAsia="仿宋_GB2312" w:cs="仿宋"/>
          <w:sz w:val="32"/>
          <w:szCs w:val="32"/>
        </w:rPr>
        <w:t>已于20</w:t>
      </w:r>
      <w:r>
        <w:rPr>
          <w:rFonts w:ascii="仿宋_GB2312" w:hAnsi="仿宋" w:eastAsia="仿宋_GB2312" w:cs="仿宋"/>
          <w:sz w:val="32"/>
          <w:szCs w:val="32"/>
        </w:rPr>
        <w:t>20</w:t>
      </w:r>
      <w:r>
        <w:rPr>
          <w:rFonts w:hint="eastAsia" w:ascii="仿宋_GB2312" w:hAnsi="仿宋" w:eastAsia="仿宋_GB2312" w:cs="仿宋"/>
          <w:sz w:val="32"/>
          <w:szCs w:val="32"/>
        </w:rPr>
        <w:t>年12月底完成，完成了年度绩效目标。项目的日常管理工作均按照我单位相关管理制度执行，建立了工作有计划、实施有方案、日常有监督的管理机制，工作取得了较好的成效，效能得到了提高、获得了社会公众的好评。</w:t>
      </w:r>
    </w:p>
    <w:p>
      <w:pPr>
        <w:tabs>
          <w:tab w:val="left" w:pos="6804"/>
          <w:tab w:val="left" w:pos="7088"/>
          <w:tab w:val="left" w:pos="7513"/>
          <w:tab w:val="left" w:pos="8080"/>
        </w:tabs>
        <w:spacing w:line="520" w:lineRule="exact"/>
        <w:ind w:firstLine="640" w:firstLineChars="200"/>
        <w:jc w:val="left"/>
        <w:outlineLvl w:val="1"/>
        <w:rPr>
          <w:rFonts w:ascii="仿宋_GB2312" w:hAnsi="宋体" w:eastAsia="仿宋_GB2312" w:cs="宋体"/>
          <w:kern w:val="0"/>
          <w:sz w:val="32"/>
          <w:szCs w:val="32"/>
        </w:rPr>
      </w:pPr>
      <w:bookmarkStart w:id="78" w:name="_Toc5157"/>
      <w:r>
        <w:rPr>
          <w:rFonts w:hint="eastAsia" w:ascii="黑体" w:hAnsi="黑体" w:eastAsia="黑体"/>
          <w:sz w:val="32"/>
          <w:szCs w:val="32"/>
        </w:rPr>
        <w:t>三、目标完成情况</w:t>
      </w:r>
      <w:bookmarkEnd w:id="78"/>
      <w:r>
        <w:rPr>
          <w:rFonts w:hint="eastAsia" w:ascii="仿宋_GB2312" w:hAnsi="宋体" w:eastAsia="仿宋_GB2312" w:cs="宋体"/>
          <w:kern w:val="0"/>
          <w:sz w:val="32"/>
          <w:szCs w:val="32"/>
        </w:rPr>
        <w:tab/>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（一）目标任务量完成情况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校舍维修建设项目资金完成了学期目标任务，达到了相关要求，学校工作取得了较好成效。</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（二）目标质量完成情况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按照年初目标任务，实际完成较好。</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（三）目标进度完成情况</w:t>
      </w:r>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对照预定计划，通江县沙溪初级中学水毁工程项目资金完成了目标任务。</w:t>
      </w:r>
    </w:p>
    <w:p>
      <w:pPr>
        <w:ind w:firstLine="640" w:firstLineChars="200"/>
        <w:outlineLvl w:val="1"/>
        <w:rPr>
          <w:rFonts w:ascii="黑体" w:hAnsi="黑体" w:eastAsia="黑体"/>
          <w:sz w:val="32"/>
          <w:szCs w:val="32"/>
        </w:rPr>
      </w:pPr>
      <w:bookmarkStart w:id="79" w:name="_Toc22097"/>
      <w:r>
        <w:rPr>
          <w:rFonts w:hint="eastAsia" w:ascii="黑体" w:hAnsi="黑体" w:eastAsia="黑体"/>
          <w:sz w:val="32"/>
          <w:szCs w:val="32"/>
        </w:rPr>
        <w:t>四、项目效益情况</w:t>
      </w:r>
      <w:bookmarkEnd w:id="79"/>
    </w:p>
    <w:p>
      <w:pPr>
        <w:adjustRightInd w:val="0"/>
        <w:snapToGrid w:val="0"/>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实施了目标绩效考核，学校各方面工作都有序，高质量完成，产生较好的社会效益，严格执行目标管理，充分保障学校正常教学。</w:t>
      </w:r>
    </w:p>
    <w:p>
      <w:pPr>
        <w:ind w:firstLine="640" w:firstLineChars="200"/>
        <w:outlineLvl w:val="1"/>
        <w:rPr>
          <w:rFonts w:ascii="黑体" w:hAnsi="黑体" w:eastAsia="黑体"/>
          <w:sz w:val="32"/>
          <w:szCs w:val="32"/>
        </w:rPr>
      </w:pPr>
      <w:bookmarkStart w:id="80" w:name="_Toc30132"/>
      <w:r>
        <w:rPr>
          <w:rFonts w:hint="eastAsia" w:ascii="黑体" w:hAnsi="黑体" w:eastAsia="黑体"/>
          <w:sz w:val="32"/>
          <w:szCs w:val="32"/>
        </w:rPr>
        <w:t>五、问题及建议</w:t>
      </w:r>
      <w:bookmarkEnd w:id="80"/>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Fonts w:ascii="仿宋_GB2312" w:hAnsi="仿宋_GB2312" w:eastAsia="仿宋_GB2312" w:cs="仿宋_GB2312"/>
          <w:sz w:val="32"/>
          <w:szCs w:val="32"/>
        </w:rPr>
      </w:pPr>
    </w:p>
    <w:p>
      <w:pPr>
        <w:spacing w:line="600" w:lineRule="exact"/>
        <w:jc w:val="center"/>
        <w:outlineLvl w:val="9"/>
        <w:rPr>
          <w:rStyle w:val="17"/>
          <w:rFonts w:ascii="黑体" w:hAnsi="黑体" w:eastAsia="黑体"/>
          <w:b w:val="0"/>
        </w:rPr>
      </w:pPr>
    </w:p>
    <w:p>
      <w:pPr>
        <w:spacing w:line="600" w:lineRule="exact"/>
        <w:jc w:val="center"/>
        <w:outlineLvl w:val="0"/>
        <w:rPr>
          <w:rStyle w:val="17"/>
          <w:rFonts w:ascii="黑体" w:hAnsi="黑体" w:eastAsia="黑体"/>
          <w:b w:val="0"/>
        </w:rPr>
      </w:pPr>
      <w:bookmarkStart w:id="81" w:name="_Toc2177"/>
      <w:bookmarkStart w:id="82"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73"/>
      <w:bookmarkEnd w:id="81"/>
      <w:bookmarkEnd w:id="82"/>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3" w:name="_Toc21803"/>
      <w:bookmarkStart w:id="84"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83"/>
      <w:bookmarkEnd w:id="84"/>
    </w:p>
    <w:p>
      <w:pPr>
        <w:pStyle w:val="3"/>
        <w:rPr>
          <w:rFonts w:ascii="仿宋" w:hAnsi="仿宋" w:eastAsia="仿宋"/>
          <w:color w:val="000000"/>
        </w:rPr>
      </w:pPr>
      <w:bookmarkStart w:id="85" w:name="_Toc6187"/>
      <w:bookmarkStart w:id="86"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85"/>
      <w:bookmarkEnd w:id="86"/>
    </w:p>
    <w:p>
      <w:pPr>
        <w:pStyle w:val="3"/>
        <w:rPr>
          <w:rFonts w:ascii="仿宋" w:hAnsi="仿宋" w:eastAsia="仿宋"/>
          <w:color w:val="000000"/>
        </w:rPr>
      </w:pPr>
      <w:bookmarkStart w:id="87" w:name="_Toc15396621"/>
      <w:bookmarkStart w:id="88" w:name="_Toc27552"/>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87"/>
      <w:bookmarkEnd w:id="88"/>
    </w:p>
    <w:p>
      <w:pPr>
        <w:pStyle w:val="3"/>
        <w:rPr>
          <w:rFonts w:ascii="仿宋" w:hAnsi="仿宋" w:eastAsia="仿宋"/>
          <w:b w:val="0"/>
          <w:color w:val="000000"/>
        </w:rPr>
      </w:pPr>
      <w:bookmarkStart w:id="89" w:name="_Toc15396622"/>
      <w:bookmarkStart w:id="90" w:name="_Toc5529"/>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89"/>
      <w:bookmarkEnd w:id="90"/>
    </w:p>
    <w:p>
      <w:pPr>
        <w:pStyle w:val="3"/>
        <w:rPr>
          <w:rStyle w:val="18"/>
          <w:rFonts w:ascii="仿宋" w:hAnsi="仿宋" w:eastAsia="仿宋"/>
          <w:b w:val="0"/>
          <w:bCs w:val="0"/>
        </w:rPr>
      </w:pPr>
      <w:bookmarkStart w:id="91" w:name="_Toc32149"/>
      <w:bookmarkStart w:id="92"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91"/>
      <w:bookmarkEnd w:id="92"/>
      <w:bookmarkStart w:id="93" w:name="_Toc15396624"/>
    </w:p>
    <w:p>
      <w:pPr>
        <w:pStyle w:val="3"/>
        <w:rPr>
          <w:rFonts w:ascii="仿宋" w:hAnsi="仿宋" w:eastAsia="仿宋"/>
          <w:color w:val="000000"/>
        </w:rPr>
      </w:pPr>
      <w:bookmarkStart w:id="94" w:name="_Toc23321"/>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93"/>
      <w:bookmarkEnd w:id="94"/>
    </w:p>
    <w:p>
      <w:pPr>
        <w:pStyle w:val="3"/>
        <w:rPr>
          <w:rFonts w:ascii="仿宋" w:hAnsi="仿宋" w:eastAsia="仿宋"/>
          <w:color w:val="000000"/>
        </w:rPr>
      </w:pPr>
      <w:bookmarkStart w:id="95" w:name="_Toc27797"/>
      <w:bookmarkStart w:id="96"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95"/>
      <w:bookmarkEnd w:id="96"/>
    </w:p>
    <w:p>
      <w:pPr>
        <w:pStyle w:val="3"/>
        <w:rPr>
          <w:rFonts w:ascii="仿宋" w:hAnsi="仿宋" w:eastAsia="仿宋"/>
          <w:color w:val="000000"/>
        </w:rPr>
      </w:pPr>
      <w:bookmarkStart w:id="97" w:name="_Toc15396626"/>
      <w:bookmarkStart w:id="98" w:name="_Toc15032"/>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97"/>
      <w:bookmarkEnd w:id="98"/>
    </w:p>
    <w:p>
      <w:pPr>
        <w:pStyle w:val="3"/>
        <w:rPr>
          <w:rFonts w:ascii="仿宋" w:hAnsi="仿宋" w:eastAsia="仿宋"/>
          <w:color w:val="000000"/>
        </w:rPr>
      </w:pPr>
      <w:bookmarkStart w:id="99" w:name="_Toc1658"/>
      <w:bookmarkStart w:id="100"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99"/>
      <w:bookmarkEnd w:id="100"/>
    </w:p>
    <w:p>
      <w:pPr>
        <w:pStyle w:val="3"/>
        <w:rPr>
          <w:rFonts w:ascii="仿宋" w:hAnsi="仿宋" w:eastAsia="仿宋"/>
          <w:color w:val="000000"/>
        </w:rPr>
      </w:pPr>
      <w:bookmarkStart w:id="101" w:name="_Toc15396628"/>
      <w:bookmarkStart w:id="102" w:name="_Toc1760"/>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101"/>
      <w:bookmarkEnd w:id="102"/>
    </w:p>
    <w:p>
      <w:pPr>
        <w:pStyle w:val="3"/>
        <w:rPr>
          <w:rFonts w:ascii="仿宋" w:hAnsi="仿宋" w:eastAsia="仿宋"/>
          <w:color w:val="000000"/>
        </w:rPr>
      </w:pPr>
      <w:bookmarkStart w:id="103" w:name="_Toc15396629"/>
      <w:bookmarkStart w:id="104" w:name="_Toc2074"/>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103"/>
      <w:bookmarkEnd w:id="104"/>
    </w:p>
    <w:p>
      <w:pPr>
        <w:pStyle w:val="3"/>
        <w:rPr>
          <w:rFonts w:ascii="仿宋" w:hAnsi="仿宋" w:eastAsia="仿宋"/>
          <w:color w:val="000000"/>
        </w:rPr>
      </w:pPr>
      <w:bookmarkStart w:id="105" w:name="_Toc15396630"/>
      <w:bookmarkStart w:id="106" w:name="_Toc13533"/>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105"/>
      <w:bookmarkEnd w:id="106"/>
    </w:p>
    <w:p>
      <w:pPr>
        <w:pStyle w:val="3"/>
        <w:rPr>
          <w:rFonts w:ascii="仿宋" w:hAnsi="仿宋" w:eastAsia="仿宋"/>
          <w:color w:val="000000"/>
        </w:rPr>
      </w:pPr>
      <w:bookmarkStart w:id="107" w:name="_Toc13871"/>
      <w:bookmarkStart w:id="108"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有资本经营预算财政拨款支出决算表</w:t>
      </w:r>
      <w:bookmarkEnd w:id="107"/>
      <w:bookmarkEnd w:id="10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Microsoft JhengHei Light"/>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yYTBhZThmOTU4YTliMjhiZDc4ZDk4MjhmMTAzNjkifQ=="/>
  </w:docVars>
  <w:rsids>
    <w:rsidRoot w:val="00F1361C"/>
    <w:rsid w:val="000222C6"/>
    <w:rsid w:val="0002549F"/>
    <w:rsid w:val="00027702"/>
    <w:rsid w:val="000468DB"/>
    <w:rsid w:val="000576B9"/>
    <w:rsid w:val="0006487A"/>
    <w:rsid w:val="00065F8F"/>
    <w:rsid w:val="00070A43"/>
    <w:rsid w:val="000765F8"/>
    <w:rsid w:val="000768F2"/>
    <w:rsid w:val="0007757F"/>
    <w:rsid w:val="000902BA"/>
    <w:rsid w:val="0009184B"/>
    <w:rsid w:val="00094236"/>
    <w:rsid w:val="0009593C"/>
    <w:rsid w:val="00097322"/>
    <w:rsid w:val="000A6A92"/>
    <w:rsid w:val="000B047F"/>
    <w:rsid w:val="000B5923"/>
    <w:rsid w:val="000B5A48"/>
    <w:rsid w:val="000B6FF3"/>
    <w:rsid w:val="000B7D29"/>
    <w:rsid w:val="000C3467"/>
    <w:rsid w:val="000C3CA6"/>
    <w:rsid w:val="000D1267"/>
    <w:rsid w:val="000D1D50"/>
    <w:rsid w:val="000D5782"/>
    <w:rsid w:val="000E6613"/>
    <w:rsid w:val="000E6F2B"/>
    <w:rsid w:val="000E7119"/>
    <w:rsid w:val="000F196E"/>
    <w:rsid w:val="000F65D4"/>
    <w:rsid w:val="001013AC"/>
    <w:rsid w:val="00114E9B"/>
    <w:rsid w:val="00115301"/>
    <w:rsid w:val="00116F19"/>
    <w:rsid w:val="001319E1"/>
    <w:rsid w:val="00142216"/>
    <w:rsid w:val="00144D6A"/>
    <w:rsid w:val="0014729F"/>
    <w:rsid w:val="0015779D"/>
    <w:rsid w:val="00157BAB"/>
    <w:rsid w:val="001654D1"/>
    <w:rsid w:val="00174518"/>
    <w:rsid w:val="001803F5"/>
    <w:rsid w:val="0018106D"/>
    <w:rsid w:val="001849C6"/>
    <w:rsid w:val="001877A7"/>
    <w:rsid w:val="00191536"/>
    <w:rsid w:val="00196687"/>
    <w:rsid w:val="001A0482"/>
    <w:rsid w:val="001B5A56"/>
    <w:rsid w:val="001B5EE4"/>
    <w:rsid w:val="001C0323"/>
    <w:rsid w:val="001C0962"/>
    <w:rsid w:val="001C3879"/>
    <w:rsid w:val="001D19CC"/>
    <w:rsid w:val="001D7531"/>
    <w:rsid w:val="001E6346"/>
    <w:rsid w:val="001E63F1"/>
    <w:rsid w:val="001E737D"/>
    <w:rsid w:val="001F0592"/>
    <w:rsid w:val="001F16A1"/>
    <w:rsid w:val="001F56C2"/>
    <w:rsid w:val="001F56CF"/>
    <w:rsid w:val="001F7506"/>
    <w:rsid w:val="002006CD"/>
    <w:rsid w:val="00201E3F"/>
    <w:rsid w:val="00202B36"/>
    <w:rsid w:val="00204B7A"/>
    <w:rsid w:val="00204CDE"/>
    <w:rsid w:val="0021101A"/>
    <w:rsid w:val="00220536"/>
    <w:rsid w:val="00235629"/>
    <w:rsid w:val="00245750"/>
    <w:rsid w:val="00245E7B"/>
    <w:rsid w:val="0024776A"/>
    <w:rsid w:val="00255AEC"/>
    <w:rsid w:val="00256262"/>
    <w:rsid w:val="0025695D"/>
    <w:rsid w:val="002576EA"/>
    <w:rsid w:val="00260C38"/>
    <w:rsid w:val="002616C0"/>
    <w:rsid w:val="00265372"/>
    <w:rsid w:val="002662AA"/>
    <w:rsid w:val="002728C4"/>
    <w:rsid w:val="00280496"/>
    <w:rsid w:val="00282454"/>
    <w:rsid w:val="0029323E"/>
    <w:rsid w:val="00294DC9"/>
    <w:rsid w:val="00295495"/>
    <w:rsid w:val="002A31DE"/>
    <w:rsid w:val="002A4109"/>
    <w:rsid w:val="002B2613"/>
    <w:rsid w:val="002D6D05"/>
    <w:rsid w:val="002D6EDB"/>
    <w:rsid w:val="002F1818"/>
    <w:rsid w:val="002F36F1"/>
    <w:rsid w:val="002F567B"/>
    <w:rsid w:val="003137BD"/>
    <w:rsid w:val="00314214"/>
    <w:rsid w:val="003216A9"/>
    <w:rsid w:val="00326A98"/>
    <w:rsid w:val="00326AC2"/>
    <w:rsid w:val="00335A74"/>
    <w:rsid w:val="00345345"/>
    <w:rsid w:val="0035228A"/>
    <w:rsid w:val="0035646C"/>
    <w:rsid w:val="0036561B"/>
    <w:rsid w:val="0037013F"/>
    <w:rsid w:val="00380C92"/>
    <w:rsid w:val="003827AD"/>
    <w:rsid w:val="00382F61"/>
    <w:rsid w:val="00383451"/>
    <w:rsid w:val="00386F0B"/>
    <w:rsid w:val="003876B0"/>
    <w:rsid w:val="003A384C"/>
    <w:rsid w:val="003A484F"/>
    <w:rsid w:val="003A4883"/>
    <w:rsid w:val="003A5939"/>
    <w:rsid w:val="003B0BE0"/>
    <w:rsid w:val="003B0C1B"/>
    <w:rsid w:val="003B512A"/>
    <w:rsid w:val="003B688C"/>
    <w:rsid w:val="003C0291"/>
    <w:rsid w:val="003C382D"/>
    <w:rsid w:val="003C39AE"/>
    <w:rsid w:val="003C7B60"/>
    <w:rsid w:val="003D0C0F"/>
    <w:rsid w:val="003D1FB2"/>
    <w:rsid w:val="003D419E"/>
    <w:rsid w:val="003D66DA"/>
    <w:rsid w:val="003E1310"/>
    <w:rsid w:val="003E6F55"/>
    <w:rsid w:val="003F0C80"/>
    <w:rsid w:val="003F1887"/>
    <w:rsid w:val="003F320E"/>
    <w:rsid w:val="004031EA"/>
    <w:rsid w:val="00406254"/>
    <w:rsid w:val="004223DE"/>
    <w:rsid w:val="0042561A"/>
    <w:rsid w:val="00434489"/>
    <w:rsid w:val="00437085"/>
    <w:rsid w:val="00443880"/>
    <w:rsid w:val="004464F4"/>
    <w:rsid w:val="0046296F"/>
    <w:rsid w:val="00471401"/>
    <w:rsid w:val="00473F31"/>
    <w:rsid w:val="0048263A"/>
    <w:rsid w:val="00487E5D"/>
    <w:rsid w:val="004A711F"/>
    <w:rsid w:val="004B199D"/>
    <w:rsid w:val="004B4690"/>
    <w:rsid w:val="004D315B"/>
    <w:rsid w:val="004D5A0E"/>
    <w:rsid w:val="004E0A2D"/>
    <w:rsid w:val="004E206B"/>
    <w:rsid w:val="004E6DF7"/>
    <w:rsid w:val="004F01F9"/>
    <w:rsid w:val="004F0FBD"/>
    <w:rsid w:val="00505A47"/>
    <w:rsid w:val="00512FDA"/>
    <w:rsid w:val="00516DF0"/>
    <w:rsid w:val="00520D66"/>
    <w:rsid w:val="00520DA0"/>
    <w:rsid w:val="005269D7"/>
    <w:rsid w:val="00547DC0"/>
    <w:rsid w:val="005552B6"/>
    <w:rsid w:val="00565F14"/>
    <w:rsid w:val="005664BB"/>
    <w:rsid w:val="00566FFA"/>
    <w:rsid w:val="005704FE"/>
    <w:rsid w:val="0057481D"/>
    <w:rsid w:val="0058486E"/>
    <w:rsid w:val="00585B33"/>
    <w:rsid w:val="0059014D"/>
    <w:rsid w:val="005A0419"/>
    <w:rsid w:val="005B5C64"/>
    <w:rsid w:val="005C5337"/>
    <w:rsid w:val="005C6BD0"/>
    <w:rsid w:val="005D1C8B"/>
    <w:rsid w:val="005D2B22"/>
    <w:rsid w:val="005D468D"/>
    <w:rsid w:val="005D5CED"/>
    <w:rsid w:val="005F1A4C"/>
    <w:rsid w:val="005F6489"/>
    <w:rsid w:val="00605688"/>
    <w:rsid w:val="006070AF"/>
    <w:rsid w:val="00607E6C"/>
    <w:rsid w:val="00607EFC"/>
    <w:rsid w:val="006101B1"/>
    <w:rsid w:val="00614E44"/>
    <w:rsid w:val="0062270A"/>
    <w:rsid w:val="00622830"/>
    <w:rsid w:val="00623DA0"/>
    <w:rsid w:val="00630AEF"/>
    <w:rsid w:val="006325F8"/>
    <w:rsid w:val="00633463"/>
    <w:rsid w:val="00634C9A"/>
    <w:rsid w:val="006440E4"/>
    <w:rsid w:val="00645D0E"/>
    <w:rsid w:val="006565C0"/>
    <w:rsid w:val="0066343B"/>
    <w:rsid w:val="00664777"/>
    <w:rsid w:val="006748A4"/>
    <w:rsid w:val="00674E97"/>
    <w:rsid w:val="00681A31"/>
    <w:rsid w:val="00683E73"/>
    <w:rsid w:val="00684FC4"/>
    <w:rsid w:val="006875D6"/>
    <w:rsid w:val="006A3141"/>
    <w:rsid w:val="006A5E34"/>
    <w:rsid w:val="006B01AF"/>
    <w:rsid w:val="006B2422"/>
    <w:rsid w:val="006B2B9A"/>
    <w:rsid w:val="006B5FE5"/>
    <w:rsid w:val="006C1937"/>
    <w:rsid w:val="006E21DB"/>
    <w:rsid w:val="006F020C"/>
    <w:rsid w:val="007127B7"/>
    <w:rsid w:val="0071798E"/>
    <w:rsid w:val="00723E51"/>
    <w:rsid w:val="00735F02"/>
    <w:rsid w:val="007416B6"/>
    <w:rsid w:val="0074490E"/>
    <w:rsid w:val="00746F48"/>
    <w:rsid w:val="00752CC6"/>
    <w:rsid w:val="00753BC5"/>
    <w:rsid w:val="0075404D"/>
    <w:rsid w:val="0076182A"/>
    <w:rsid w:val="007656E8"/>
    <w:rsid w:val="00767B7E"/>
    <w:rsid w:val="00767D4F"/>
    <w:rsid w:val="007770C3"/>
    <w:rsid w:val="00784D24"/>
    <w:rsid w:val="00785FBA"/>
    <w:rsid w:val="00786E4A"/>
    <w:rsid w:val="007875EB"/>
    <w:rsid w:val="00791939"/>
    <w:rsid w:val="0079426B"/>
    <w:rsid w:val="007A0B9F"/>
    <w:rsid w:val="007D1682"/>
    <w:rsid w:val="007D185D"/>
    <w:rsid w:val="007D312A"/>
    <w:rsid w:val="007D3F19"/>
    <w:rsid w:val="007D575C"/>
    <w:rsid w:val="007E23B0"/>
    <w:rsid w:val="007E23E5"/>
    <w:rsid w:val="007F1991"/>
    <w:rsid w:val="007F2C2F"/>
    <w:rsid w:val="007F55FC"/>
    <w:rsid w:val="007F5665"/>
    <w:rsid w:val="00800112"/>
    <w:rsid w:val="008103CF"/>
    <w:rsid w:val="00813348"/>
    <w:rsid w:val="008253BB"/>
    <w:rsid w:val="00835CD6"/>
    <w:rsid w:val="0083706E"/>
    <w:rsid w:val="008408F6"/>
    <w:rsid w:val="008423A5"/>
    <w:rsid w:val="00850625"/>
    <w:rsid w:val="00851524"/>
    <w:rsid w:val="00853718"/>
    <w:rsid w:val="00855221"/>
    <w:rsid w:val="00857020"/>
    <w:rsid w:val="008572D7"/>
    <w:rsid w:val="00860645"/>
    <w:rsid w:val="00864E44"/>
    <w:rsid w:val="00871F71"/>
    <w:rsid w:val="00872FD8"/>
    <w:rsid w:val="00885AF4"/>
    <w:rsid w:val="008921F3"/>
    <w:rsid w:val="008939CD"/>
    <w:rsid w:val="008A6C6A"/>
    <w:rsid w:val="008A7C24"/>
    <w:rsid w:val="008B768C"/>
    <w:rsid w:val="008C4DB1"/>
    <w:rsid w:val="008C4EAF"/>
    <w:rsid w:val="008C5176"/>
    <w:rsid w:val="008C7FD0"/>
    <w:rsid w:val="008D592F"/>
    <w:rsid w:val="008E1DE7"/>
    <w:rsid w:val="008E707C"/>
    <w:rsid w:val="008F2C0E"/>
    <w:rsid w:val="008F741A"/>
    <w:rsid w:val="00900B08"/>
    <w:rsid w:val="00902155"/>
    <w:rsid w:val="00902FA3"/>
    <w:rsid w:val="00921DCC"/>
    <w:rsid w:val="00923564"/>
    <w:rsid w:val="0092392E"/>
    <w:rsid w:val="00923B0C"/>
    <w:rsid w:val="009315F9"/>
    <w:rsid w:val="00933499"/>
    <w:rsid w:val="009334D8"/>
    <w:rsid w:val="00935C98"/>
    <w:rsid w:val="0094019A"/>
    <w:rsid w:val="009403DB"/>
    <w:rsid w:val="00946945"/>
    <w:rsid w:val="00951248"/>
    <w:rsid w:val="0095152F"/>
    <w:rsid w:val="00954C49"/>
    <w:rsid w:val="00955E37"/>
    <w:rsid w:val="00962E92"/>
    <w:rsid w:val="00970408"/>
    <w:rsid w:val="0097099F"/>
    <w:rsid w:val="00971997"/>
    <w:rsid w:val="00971FFC"/>
    <w:rsid w:val="0098660A"/>
    <w:rsid w:val="009931C3"/>
    <w:rsid w:val="009A4EA4"/>
    <w:rsid w:val="009B2C43"/>
    <w:rsid w:val="009B4EAE"/>
    <w:rsid w:val="009B7573"/>
    <w:rsid w:val="009C22F4"/>
    <w:rsid w:val="009C2A4B"/>
    <w:rsid w:val="009C2E98"/>
    <w:rsid w:val="009C65E9"/>
    <w:rsid w:val="009C66E1"/>
    <w:rsid w:val="009D3447"/>
    <w:rsid w:val="009D4711"/>
    <w:rsid w:val="009F1185"/>
    <w:rsid w:val="009F18CD"/>
    <w:rsid w:val="009F1F3E"/>
    <w:rsid w:val="009F2A13"/>
    <w:rsid w:val="009F375C"/>
    <w:rsid w:val="009F7527"/>
    <w:rsid w:val="00A039FB"/>
    <w:rsid w:val="00A04EB0"/>
    <w:rsid w:val="00A13CC1"/>
    <w:rsid w:val="00A16847"/>
    <w:rsid w:val="00A237D8"/>
    <w:rsid w:val="00A268C4"/>
    <w:rsid w:val="00A307CD"/>
    <w:rsid w:val="00A331C8"/>
    <w:rsid w:val="00A40A00"/>
    <w:rsid w:val="00A4142F"/>
    <w:rsid w:val="00A422EB"/>
    <w:rsid w:val="00A44241"/>
    <w:rsid w:val="00A45BB7"/>
    <w:rsid w:val="00A55A81"/>
    <w:rsid w:val="00A55BDC"/>
    <w:rsid w:val="00A56DF2"/>
    <w:rsid w:val="00A56E6E"/>
    <w:rsid w:val="00A67AB5"/>
    <w:rsid w:val="00A733B2"/>
    <w:rsid w:val="00A741C2"/>
    <w:rsid w:val="00A91760"/>
    <w:rsid w:val="00A93B00"/>
    <w:rsid w:val="00A93C21"/>
    <w:rsid w:val="00AB07B6"/>
    <w:rsid w:val="00AB63E6"/>
    <w:rsid w:val="00AB64C9"/>
    <w:rsid w:val="00AC1EBD"/>
    <w:rsid w:val="00AC3075"/>
    <w:rsid w:val="00AC3C6A"/>
    <w:rsid w:val="00AC4603"/>
    <w:rsid w:val="00AD1402"/>
    <w:rsid w:val="00AD5620"/>
    <w:rsid w:val="00AD5A41"/>
    <w:rsid w:val="00AD656B"/>
    <w:rsid w:val="00AD7C1B"/>
    <w:rsid w:val="00AE16BA"/>
    <w:rsid w:val="00AE1EBE"/>
    <w:rsid w:val="00AF03ED"/>
    <w:rsid w:val="00AF4FCE"/>
    <w:rsid w:val="00AF756D"/>
    <w:rsid w:val="00B03BAA"/>
    <w:rsid w:val="00B03C9D"/>
    <w:rsid w:val="00B060AE"/>
    <w:rsid w:val="00B10517"/>
    <w:rsid w:val="00B136A5"/>
    <w:rsid w:val="00B14E76"/>
    <w:rsid w:val="00B161B8"/>
    <w:rsid w:val="00B2048C"/>
    <w:rsid w:val="00B310B9"/>
    <w:rsid w:val="00B35F3F"/>
    <w:rsid w:val="00B36CBB"/>
    <w:rsid w:val="00B425E0"/>
    <w:rsid w:val="00B440AA"/>
    <w:rsid w:val="00B44B70"/>
    <w:rsid w:val="00B4576C"/>
    <w:rsid w:val="00B535F7"/>
    <w:rsid w:val="00B53C56"/>
    <w:rsid w:val="00B57DAF"/>
    <w:rsid w:val="00B62FE2"/>
    <w:rsid w:val="00B77EA6"/>
    <w:rsid w:val="00B81598"/>
    <w:rsid w:val="00B82531"/>
    <w:rsid w:val="00B841F1"/>
    <w:rsid w:val="00B90E4E"/>
    <w:rsid w:val="00B944D6"/>
    <w:rsid w:val="00B965DC"/>
    <w:rsid w:val="00BB4DF0"/>
    <w:rsid w:val="00BC0FEE"/>
    <w:rsid w:val="00BC289F"/>
    <w:rsid w:val="00BC2D50"/>
    <w:rsid w:val="00BC382E"/>
    <w:rsid w:val="00BC5361"/>
    <w:rsid w:val="00BC5460"/>
    <w:rsid w:val="00BC6B50"/>
    <w:rsid w:val="00BD0E25"/>
    <w:rsid w:val="00BD44BC"/>
    <w:rsid w:val="00BF2808"/>
    <w:rsid w:val="00BF5BD6"/>
    <w:rsid w:val="00C03E31"/>
    <w:rsid w:val="00C0628D"/>
    <w:rsid w:val="00C33E72"/>
    <w:rsid w:val="00C3460E"/>
    <w:rsid w:val="00C354B2"/>
    <w:rsid w:val="00C35554"/>
    <w:rsid w:val="00C42709"/>
    <w:rsid w:val="00C43E60"/>
    <w:rsid w:val="00C533CC"/>
    <w:rsid w:val="00C5480B"/>
    <w:rsid w:val="00C5751C"/>
    <w:rsid w:val="00C61BFC"/>
    <w:rsid w:val="00C62B85"/>
    <w:rsid w:val="00C65438"/>
    <w:rsid w:val="00C67262"/>
    <w:rsid w:val="00C746CB"/>
    <w:rsid w:val="00C87FD8"/>
    <w:rsid w:val="00C9015C"/>
    <w:rsid w:val="00C91381"/>
    <w:rsid w:val="00C914F2"/>
    <w:rsid w:val="00C91CBB"/>
    <w:rsid w:val="00CB4E70"/>
    <w:rsid w:val="00CC09B6"/>
    <w:rsid w:val="00CC666F"/>
    <w:rsid w:val="00CD1E3F"/>
    <w:rsid w:val="00CE44F6"/>
    <w:rsid w:val="00CE49DA"/>
    <w:rsid w:val="00CE7B61"/>
    <w:rsid w:val="00CF174A"/>
    <w:rsid w:val="00D00095"/>
    <w:rsid w:val="00D114F0"/>
    <w:rsid w:val="00D141EF"/>
    <w:rsid w:val="00D14897"/>
    <w:rsid w:val="00D20620"/>
    <w:rsid w:val="00D254F7"/>
    <w:rsid w:val="00D26091"/>
    <w:rsid w:val="00D26661"/>
    <w:rsid w:val="00D2685C"/>
    <w:rsid w:val="00D34E7C"/>
    <w:rsid w:val="00D35489"/>
    <w:rsid w:val="00D36AFE"/>
    <w:rsid w:val="00D51276"/>
    <w:rsid w:val="00D65E28"/>
    <w:rsid w:val="00D7035F"/>
    <w:rsid w:val="00D933D7"/>
    <w:rsid w:val="00D93A97"/>
    <w:rsid w:val="00DA634F"/>
    <w:rsid w:val="00DA65AC"/>
    <w:rsid w:val="00DB1913"/>
    <w:rsid w:val="00DC2A36"/>
    <w:rsid w:val="00DC410D"/>
    <w:rsid w:val="00DC5A81"/>
    <w:rsid w:val="00DC68CA"/>
    <w:rsid w:val="00DC7CBA"/>
    <w:rsid w:val="00DD73B7"/>
    <w:rsid w:val="00DE3A5D"/>
    <w:rsid w:val="00DF087D"/>
    <w:rsid w:val="00DF28BC"/>
    <w:rsid w:val="00DF34B9"/>
    <w:rsid w:val="00E01053"/>
    <w:rsid w:val="00E06771"/>
    <w:rsid w:val="00E07ACF"/>
    <w:rsid w:val="00E14FBD"/>
    <w:rsid w:val="00E2429C"/>
    <w:rsid w:val="00E32CAD"/>
    <w:rsid w:val="00E331A1"/>
    <w:rsid w:val="00E33202"/>
    <w:rsid w:val="00E336A9"/>
    <w:rsid w:val="00E472B1"/>
    <w:rsid w:val="00E50624"/>
    <w:rsid w:val="00E568DF"/>
    <w:rsid w:val="00E64269"/>
    <w:rsid w:val="00E82267"/>
    <w:rsid w:val="00E853CE"/>
    <w:rsid w:val="00E867B6"/>
    <w:rsid w:val="00E91AB6"/>
    <w:rsid w:val="00E922B6"/>
    <w:rsid w:val="00E96502"/>
    <w:rsid w:val="00EA010F"/>
    <w:rsid w:val="00EB0C8E"/>
    <w:rsid w:val="00EB5242"/>
    <w:rsid w:val="00ED1B63"/>
    <w:rsid w:val="00ED3C1F"/>
    <w:rsid w:val="00ED4085"/>
    <w:rsid w:val="00ED420E"/>
    <w:rsid w:val="00ED6FBE"/>
    <w:rsid w:val="00EE2F57"/>
    <w:rsid w:val="00EF4C34"/>
    <w:rsid w:val="00EF60EF"/>
    <w:rsid w:val="00EF77C6"/>
    <w:rsid w:val="00F05438"/>
    <w:rsid w:val="00F061C4"/>
    <w:rsid w:val="00F100B0"/>
    <w:rsid w:val="00F1278E"/>
    <w:rsid w:val="00F1361C"/>
    <w:rsid w:val="00F1498A"/>
    <w:rsid w:val="00F156F0"/>
    <w:rsid w:val="00F160C7"/>
    <w:rsid w:val="00F2408F"/>
    <w:rsid w:val="00F240E9"/>
    <w:rsid w:val="00F263D2"/>
    <w:rsid w:val="00F36A5B"/>
    <w:rsid w:val="00F36D8F"/>
    <w:rsid w:val="00F417B1"/>
    <w:rsid w:val="00F45853"/>
    <w:rsid w:val="00F50B98"/>
    <w:rsid w:val="00F5115E"/>
    <w:rsid w:val="00F602DF"/>
    <w:rsid w:val="00F754A1"/>
    <w:rsid w:val="00F81FD9"/>
    <w:rsid w:val="00F841AA"/>
    <w:rsid w:val="00F84A94"/>
    <w:rsid w:val="00F87E96"/>
    <w:rsid w:val="00F94B13"/>
    <w:rsid w:val="00FA23E8"/>
    <w:rsid w:val="00FC052F"/>
    <w:rsid w:val="00FD3CC1"/>
    <w:rsid w:val="00FE3968"/>
    <w:rsid w:val="00FE6D6F"/>
    <w:rsid w:val="00FF1E02"/>
    <w:rsid w:val="00FF30B4"/>
    <w:rsid w:val="00FF605E"/>
    <w:rsid w:val="00FF6DB1"/>
    <w:rsid w:val="034B5641"/>
    <w:rsid w:val="09893B83"/>
    <w:rsid w:val="0A2032A3"/>
    <w:rsid w:val="10C055FF"/>
    <w:rsid w:val="118107EC"/>
    <w:rsid w:val="16BB723D"/>
    <w:rsid w:val="1D155CEE"/>
    <w:rsid w:val="240371BF"/>
    <w:rsid w:val="29FD04D3"/>
    <w:rsid w:val="319F7F4E"/>
    <w:rsid w:val="4ECE2238"/>
    <w:rsid w:val="523D7153"/>
    <w:rsid w:val="5BF41A42"/>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lang w:val="zh-CN" w:eastAsia="zh-CN"/>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lang w:val="zh-CN" w:eastAsia="zh-CN"/>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iPriority w:val="99"/>
    <w:pPr>
      <w:jc w:val="left"/>
    </w:pPr>
    <w:rPr>
      <w:kern w:val="0"/>
      <w:sz w:val="24"/>
    </w:r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字符"/>
    <w:link w:val="2"/>
    <w:qFormat/>
    <w:locked/>
    <w:uiPriority w:val="9"/>
    <w:rPr>
      <w:rFonts w:ascii="Times New Roman" w:hAnsi="Times New Roman" w:cs="Times New Roman"/>
      <w:b/>
      <w:bCs/>
      <w:kern w:val="44"/>
      <w:sz w:val="44"/>
      <w:szCs w:val="44"/>
    </w:rPr>
  </w:style>
  <w:style w:type="character" w:customStyle="1" w:styleId="18">
    <w:name w:val="标题 2 字符"/>
    <w:link w:val="3"/>
    <w:qFormat/>
    <w:locked/>
    <w:uiPriority w:val="9"/>
    <w:rPr>
      <w:rFonts w:ascii="Cambria" w:hAnsi="Cambria" w:eastAsia="宋体" w:cs="Times New Roman"/>
      <w:b/>
      <w:bCs/>
      <w:kern w:val="2"/>
      <w:sz w:val="32"/>
      <w:szCs w:val="32"/>
    </w:rPr>
  </w:style>
  <w:style w:type="character" w:customStyle="1" w:styleId="19">
    <w:name w:val="标题 3 字符"/>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7"/>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9"/>
    <w:semiHidden/>
    <w:qFormat/>
    <w:locked/>
    <w:uiPriority w:val="99"/>
    <w:rPr>
      <w:sz w:val="18"/>
    </w:rPr>
  </w:style>
  <w:style w:type="character" w:customStyle="1" w:styleId="25">
    <w:name w:val="页脚 字符"/>
    <w:link w:val="8"/>
    <w:qFormat/>
    <w:locked/>
    <w:uiPriority w:val="99"/>
    <w:rPr>
      <w:sz w:val="18"/>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四号正文"/>
    <w:basedOn w:val="1"/>
    <w:qFormat/>
    <w:uiPriority w:val="0"/>
    <w:pPr>
      <w:spacing w:line="360" w:lineRule="auto"/>
    </w:pPr>
    <w:rPr>
      <w:rFonts w:ascii="??" w:hAnsi="??" w:cs="宋体"/>
      <w:color w:val="000000"/>
      <w:kern w:val="0"/>
      <w:sz w:val="28"/>
      <w:szCs w:val="21"/>
    </w:rPr>
  </w:style>
  <w:style w:type="paragraph" w:customStyle="1" w:styleId="32">
    <w:name w:val="WPSOffice手动目录 1"/>
    <w:qFormat/>
    <w:uiPriority w:val="0"/>
    <w:pPr>
      <w:ind w:leftChars="0"/>
    </w:pPr>
    <w:rPr>
      <w:rFonts w:ascii="Calibri" w:hAnsi="Calibri" w:eastAsia="宋体" w:cs="Times New Roman"/>
      <w:sz w:val="20"/>
      <w:szCs w:val="20"/>
    </w:rPr>
  </w:style>
  <w:style w:type="paragraph" w:customStyle="1" w:styleId="33">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Sheet1!$B$2:$B$3</c:f>
              <c:numCache>
                <c:formatCode>#,##0.00</c:formatCode>
                <c:ptCount val="2"/>
                <c:pt idx="0">
                  <c:v>2208.9752</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Sheet1!$C$2:$C$3</c:f>
              <c:numCache>
                <c:formatCode>#,##0.00</c:formatCode>
                <c:ptCount val="2"/>
                <c:pt idx="0">
                  <c:v>1422.562031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收入决算结构图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财政拨款收入</c:v>
                </c:pt>
                <c:pt idx="1">
                  <c:v>上级补助收入</c:v>
                </c:pt>
                <c:pt idx="2">
                  <c:v>事业收入</c:v>
                </c:pt>
                <c:pt idx="3">
                  <c:v>经营收入</c:v>
                </c:pt>
                <c:pt idx="4">
                  <c:v>附属单位上缴收入</c:v>
                </c:pt>
                <c:pt idx="5">
                  <c:v>其他收入</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支出决算结构图</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Sheet1!$B$2:$B$7</c:f>
              <c:numCache>
                <c:formatCode>General</c:formatCode>
                <c:ptCount val="6"/>
                <c:pt idx="0">
                  <c:v>1422.562031</c:v>
                </c:pt>
                <c:pt idx="1">
                  <c:v>0</c:v>
                </c:pt>
                <c:pt idx="2" c:formatCode="#,##0.00">
                  <c:v>0</c:v>
                </c:pt>
                <c:pt idx="3">
                  <c:v>0</c:v>
                </c:pt>
                <c:pt idx="4">
                  <c:v>0</c:v>
                </c:pt>
                <c:pt idx="5">
                  <c:v>0</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基本支出</c:v>
                </c:pt>
                <c:pt idx="1">
                  <c:v>项目支出</c:v>
                </c:pt>
                <c:pt idx="2">
                  <c:v>上缴上级支出</c:v>
                </c:pt>
                <c:pt idx="3">
                  <c:v>经营支出</c:v>
                </c:pt>
                <c:pt idx="4">
                  <c:v>对附属单位补助支</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Sheet1!$B$2:$B$3</c:f>
              <c:numCache>
                <c:formatCode>#,##0.00</c:formatCode>
                <c:ptCount val="2"/>
                <c:pt idx="0">
                  <c:v>2208.9752</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Sheet1!$C$2:$C$3</c:f>
              <c:numCache>
                <c:formatCode>#,##0.00</c:formatCode>
                <c:ptCount val="2"/>
                <c:pt idx="0">
                  <c:v>1422.562031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117130307467057"/>
                  <c:y val="-0.0097056718177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78477306002928"/>
                  <c:y val="0.01168470251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Sheet1!$B$2:$B$3</c:f>
              <c:numCache>
                <c:formatCode>#,##0.00</c:formatCode>
                <c:ptCount val="2"/>
                <c:pt idx="0">
                  <c:v>2208.9752</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468521229868228"/>
                  <c:y val="-0.041791233315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6412884333821"/>
                  <c:y val="-0.00435807823487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收支总计</c:v>
                </c:pt>
              </c:strCache>
            </c:strRef>
          </c:cat>
          <c:val>
            <c:numRef>
              <c:f>Sheet1!$C$2:$C$3</c:f>
              <c:numCache>
                <c:formatCode>#,##0.00</c:formatCode>
                <c:ptCount val="2"/>
                <c:pt idx="0">
                  <c:v>1422.562031</c:v>
                </c:pt>
              </c:numCache>
            </c:numRef>
          </c:val>
        </c:ser>
        <c:dLbls>
          <c:showLegendKey val="0"/>
          <c:showVal val="1"/>
          <c:showCatName val="0"/>
          <c:showSerName val="0"/>
          <c:showPercent val="0"/>
          <c:showBubbleSize val="0"/>
        </c:dLbls>
        <c:gapWidth val="219"/>
        <c:overlap val="-27"/>
        <c:axId val="516208584"/>
        <c:axId val="516206616"/>
      </c:barChart>
      <c:catAx>
        <c:axId val="51620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6616"/>
        <c:crosses val="autoZero"/>
        <c:auto val="1"/>
        <c:lblAlgn val="ctr"/>
        <c:lblOffset val="100"/>
        <c:noMultiLvlLbl val="0"/>
      </c:catAx>
      <c:valAx>
        <c:axId val="516206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2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一般公共预算财政拨款支出决算结构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Sheet1!$B$2:$B$7</c:f>
              <c:numCache>
                <c:formatCode>General</c:formatCode>
                <c:ptCount val="6"/>
                <c:pt idx="0">
                  <c:v>1155.98</c:v>
                </c:pt>
                <c:pt idx="1">
                  <c:v>116.23</c:v>
                </c:pt>
                <c:pt idx="2">
                  <c:v>62.18</c:v>
                </c:pt>
                <c:pt idx="3">
                  <c:v>87.17</c:v>
                </c:pt>
              </c:numCache>
            </c:numRef>
          </c:val>
        </c:ser>
        <c:ser>
          <c:idx val="1"/>
          <c:order val="1"/>
          <c:tx>
            <c:strRef>
              <c:f>Sheet1!$C$1</c:f>
              <c:strCache>
                <c:ptCount val="1"/>
                <c:pt idx="0">
                  <c:v>列1</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Sheet1!$C$2:$C$7</c:f>
              <c:numCache>
                <c:formatCode>General</c:formatCode>
                <c:ptCount val="6"/>
              </c:numCache>
            </c:numRef>
          </c:val>
        </c:ser>
        <c:ser>
          <c:idx val="2"/>
          <c:order val="2"/>
          <c:tx>
            <c:strRef>
              <c:f>Sheet1!$D$1</c:f>
              <c:strCache>
                <c:ptCount val="1"/>
                <c:pt idx="0">
                  <c:v>列2</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Sheet1!$D$2:$D$7</c:f>
              <c:numCache>
                <c:formatCode>General</c:formatCode>
                <c:ptCount val="6"/>
              </c:numCache>
            </c:numRef>
          </c:val>
        </c:ser>
        <c:ser>
          <c:idx val="3"/>
          <c:order val="3"/>
          <c:tx>
            <c:strRef>
              <c:f>Sheet1!$E$1</c:f>
              <c:strCache>
                <c:ptCount val="1"/>
                <c:pt idx="0">
                  <c:v>列3</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Sheet1!$E$2:$E$7</c:f>
              <c:numCache>
                <c:formatCode>General</c:formatCode>
                <c:ptCount val="6"/>
              </c:numCache>
            </c:numRef>
          </c:val>
        </c:ser>
        <c:ser>
          <c:idx val="4"/>
          <c:order val="4"/>
          <c:tx>
            <c:strRef>
              <c:f>Sheet1!$F$1</c:f>
              <c:strCache>
                <c:ptCount val="1"/>
                <c:pt idx="0">
                  <c:v>列4</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Sheet1!$F$2:$F$7</c:f>
              <c:numCache>
                <c:formatCode>General</c:formatCode>
                <c:ptCount val="6"/>
              </c:numCache>
            </c:numRef>
          </c:val>
        </c:ser>
        <c:ser>
          <c:idx val="5"/>
          <c:order val="5"/>
          <c:tx>
            <c:strRef>
              <c:f>Sheet1!$G$1</c:f>
              <c:strCache>
                <c:ptCount val="1"/>
                <c:pt idx="0">
                  <c:v>列5</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Sheet1!$G$2:$G$7</c:f>
              <c:numCache>
                <c:formatCode>General</c:formatCode>
                <c:ptCount val="6"/>
              </c:numCache>
            </c:numRef>
          </c:val>
        </c:ser>
        <c:ser>
          <c:idx val="6"/>
          <c:order val="6"/>
          <c:tx>
            <c:strRef>
              <c:f>Sheet1!$H$1</c:f>
              <c:strCache>
                <c:ptCount val="1"/>
                <c:pt idx="0">
                  <c:v>列6</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4"/>
                <c:pt idx="0">
                  <c:v>教育支出</c:v>
                </c:pt>
                <c:pt idx="1">
                  <c:v>社会保障和就业支出</c:v>
                </c:pt>
                <c:pt idx="2">
                  <c:v>卫生健康支出</c:v>
                </c:pt>
                <c:pt idx="3">
                  <c:v>住房保障支出</c:v>
                </c:pt>
              </c:strCache>
            </c:strRef>
          </c:cat>
          <c:val>
            <c:numRef>
              <c:f>Sheet1!$H$2:$H$7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r>
              <a:rPr lang="zh-CN" altLang="zh-CN" sz="1400" b="1" i="0" u="none" strike="noStrike" cap="all" baseline="0">
                <a:effectLst/>
              </a:rPr>
              <a:t>“三公”经费财政拨款支出结构</a:t>
            </a:r>
            <a:endParaRPr lang="zh-CN"/>
          </a:p>
        </c:rich>
      </c:tx>
      <c:layout>
        <c:manualLayout>
          <c:xMode val="edge"/>
          <c:yMode val="edge"/>
          <c:x val="0.154413965087282"/>
          <c:y val="0.0330578512396694"/>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3"/>
                <c:pt idx="0">
                  <c:v>公务接待费</c:v>
                </c:pt>
                <c:pt idx="1">
                  <c:v>因公出国（境）费支出</c:v>
                </c:pt>
                <c:pt idx="2">
                  <c:v>公务用车购置及运行维护费</c:v>
                </c:pt>
              </c:strCache>
            </c:strRef>
          </c:cat>
          <c:val>
            <c:numRef>
              <c:f>Sheet1!$B$2:$B$6</c:f>
              <c:numCache>
                <c:formatCode>General</c:formatCode>
                <c:ptCount val="5"/>
                <c:pt idx="0">
                  <c:v>0.4</c:v>
                </c:pt>
                <c:pt idx="1">
                  <c:v>0</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DE87-EB55-4CAB-962B-7CF8DF52722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11180</Words>
  <Characters>12248</Characters>
  <Lines>93</Lines>
  <Paragraphs>26</Paragraphs>
  <TotalTime>0</TotalTime>
  <ScaleCrop>false</ScaleCrop>
  <LinksUpToDate>false</LinksUpToDate>
  <CharactersWithSpaces>12395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2022-06-21T08:39:00Z</dcterms:created>
  <dc:creator>曹颖</dc:creator>
  <cp:lastModifiedBy>狂奔的蜗牛</cp:lastModifiedBy>
  <cp:lastPrinted>2022-06-24T03:22:00Z</cp:lastPrinted>
  <dcterms:modified xsi:type="dcterms:W3CDTF">2022-09-14T09:18:12Z</dcterms:modified>
  <dc:title>四川省***</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9901F63ED95D4AEE86C178EAF436E7ED</vt:lpwstr>
  </property>
</Properties>
</file>