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方正小标宋简体" w:hAnsi="宋体" w:eastAsia="方正小标宋简体"/>
          <w:color w:val="auto"/>
          <w:sz w:val="72"/>
          <w:szCs w:val="72"/>
          <w:highlight w:val="none"/>
          <w:lang w:val="en-US" w:eastAsia="zh-CN"/>
        </w:rPr>
      </w:pPr>
      <w:bookmarkStart w:id="0"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15377425"/>
      <w:bookmarkStart w:id="2" w:name="_Toc8162"/>
      <w:bookmarkStart w:id="3" w:name="_Toc15396597"/>
      <w:bookmarkStart w:id="4" w:name="_Toc15396475"/>
      <w:bookmarkStart w:id="5" w:name="_Toc15378441"/>
      <w:bookmarkStart w:id="6" w:name="_Toc4997"/>
      <w:bookmarkStart w:id="7" w:name="_Toc15377193"/>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20</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bookmarkEnd w:id="6"/>
      <w:bookmarkEnd w:id="7"/>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8" w:name="_Toc15377194"/>
      <w:bookmarkStart w:id="9" w:name="_Toc15396598"/>
      <w:bookmarkStart w:id="10" w:name="_Toc20605"/>
      <w:bookmarkStart w:id="11" w:name="_Toc15396476"/>
      <w:bookmarkStart w:id="12" w:name="_Toc15377426"/>
      <w:bookmarkStart w:id="13" w:name="_Toc15378442"/>
      <w:bookmarkStart w:id="14" w:name="_Toc1962"/>
      <w:r>
        <w:rPr>
          <w:rFonts w:hint="eastAsia" w:ascii="方正小标宋简体" w:hAnsi="方正小标宋简体" w:eastAsia="方正小标宋简体" w:cs="方正小标宋简体"/>
          <w:color w:val="auto"/>
          <w:sz w:val="72"/>
          <w:szCs w:val="72"/>
          <w:highlight w:val="none"/>
        </w:rPr>
        <w:t>四川省</w:t>
      </w:r>
      <w:bookmarkEnd w:id="0"/>
      <w:bookmarkStart w:id="15" w:name="_Toc15306268"/>
      <w:r>
        <w:rPr>
          <w:rFonts w:hint="eastAsia" w:ascii="方正小标宋简体" w:hAnsi="方正小标宋简体" w:eastAsia="方正小标宋简体" w:cs="方正小标宋简体"/>
          <w:color w:val="auto"/>
          <w:sz w:val="72"/>
          <w:szCs w:val="72"/>
          <w:highlight w:val="none"/>
          <w:lang w:eastAsia="zh-CN"/>
        </w:rPr>
        <w:t>通江县长坪镇人民政府单位</w:t>
      </w:r>
      <w:r>
        <w:rPr>
          <w:rFonts w:hint="eastAsia" w:ascii="方正小标宋简体" w:hAnsi="方正小标宋简体" w:eastAsia="方正小标宋简体" w:cs="方正小标宋简体"/>
          <w:color w:val="auto"/>
          <w:sz w:val="72"/>
          <w:szCs w:val="72"/>
          <w:highlight w:val="none"/>
        </w:rPr>
        <w:t>决算</w:t>
      </w:r>
      <w:bookmarkEnd w:id="8"/>
      <w:bookmarkEnd w:id="9"/>
      <w:bookmarkEnd w:id="10"/>
      <w:bookmarkEnd w:id="11"/>
      <w:bookmarkEnd w:id="12"/>
      <w:bookmarkEnd w:id="13"/>
      <w:bookmarkEnd w:id="14"/>
      <w:bookmarkEnd w:id="15"/>
    </w:p>
    <w:p>
      <w:pPr>
        <w:adjustRightInd w:val="0"/>
        <w:snapToGrid w:val="0"/>
        <w:spacing w:line="360" w:lineRule="auto"/>
        <w:jc w:val="both"/>
        <w:outlineLvl w:val="0"/>
        <w:rPr>
          <w:rFonts w:ascii="方正小标宋简体" w:hAnsi="宋体" w:eastAsia="方正小标宋简体"/>
          <w:color w:val="auto"/>
          <w:sz w:val="52"/>
          <w:szCs w:val="52"/>
          <w:highlight w:val="none"/>
        </w:rPr>
      </w:pPr>
    </w:p>
    <w:p>
      <w:pPr>
        <w:widowControl/>
        <w:jc w:val="center"/>
        <w:rPr>
          <w:rFonts w:hint="eastAsia" w:ascii="黑体" w:hAnsi="黑体" w:eastAsia="黑体"/>
          <w:color w:val="auto"/>
          <w:sz w:val="48"/>
          <w:szCs w:val="48"/>
          <w:highlight w:val="none"/>
        </w:rPr>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pPr>
    </w:p>
    <w:p>
      <w:pPr>
        <w:widowControl/>
        <w:jc w:val="center"/>
        <w:rPr>
          <w:rFonts w:ascii="黑体" w:hAnsi="黑体" w:eastAsia="黑体"/>
          <w:color w:val="auto"/>
          <w:sz w:val="48"/>
          <w:szCs w:val="48"/>
          <w:highlight w:val="none"/>
        </w:rPr>
      </w:pP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pPr>
      <w:r>
        <w:rPr>
          <w:rFonts w:hint="eastAsia" w:ascii="仿宋" w:hAnsi="仿宋" w:eastAsia="仿宋" w:cs="仿宋"/>
          <w:color w:val="auto"/>
          <w:sz w:val="28"/>
          <w:szCs w:val="28"/>
          <w:highlight w:val="none"/>
        </w:rPr>
        <w:t>公开时间：20</w:t>
      </w:r>
      <w:r>
        <w:rPr>
          <w:rFonts w:hint="eastAsia" w:ascii="仿宋" w:hAnsi="仿宋" w:eastAsia="仿宋" w:cs="仿宋"/>
          <w:color w:val="auto"/>
          <w:sz w:val="28"/>
          <w:szCs w:val="28"/>
          <w:highlight w:val="none"/>
          <w:lang w:val="en-US" w:eastAsia="zh-CN"/>
        </w:rPr>
        <w:t>21</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lang w:val="en-US" w:eastAsia="zh-CN"/>
        </w:rPr>
        <w:t>10</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lang w:val="en-US" w:eastAsia="zh-CN"/>
        </w:rPr>
        <w:t>15</w:t>
      </w:r>
      <w:r>
        <w:rPr>
          <w:rFonts w:hint="eastAsia" w:ascii="仿宋" w:hAnsi="仿宋" w:eastAsia="仿宋" w:cs="仿宋"/>
          <w:color w:val="auto"/>
          <w:sz w:val="28"/>
          <w:szCs w:val="28"/>
          <w:highlight w:val="none"/>
        </w:rPr>
        <w:t>日</w:t>
      </w:r>
      <w:r>
        <w:fldChar w:fldCharType="begin"/>
      </w:r>
      <w:r>
        <w:instrText xml:space="preserve">TOC \o "1-2" \h \u </w:instrText>
      </w:r>
      <w:r>
        <w:fldChar w:fldCharType="separate"/>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_Toc9832 </w:instrText>
      </w:r>
      <w:r>
        <w:rPr>
          <w:rFonts w:hint="eastAsia" w:ascii="仿宋" w:hAnsi="仿宋" w:eastAsia="仿宋" w:cs="仿宋"/>
          <w:sz w:val="24"/>
          <w:szCs w:val="24"/>
        </w:rPr>
        <w:fldChar w:fldCharType="separate"/>
      </w:r>
      <w:r>
        <w:rPr>
          <w:rFonts w:hint="eastAsia" w:ascii="仿宋" w:hAnsi="仿宋" w:eastAsia="仿宋" w:cs="仿宋"/>
          <w:sz w:val="24"/>
          <w:szCs w:val="24"/>
          <w:highlight w:val="none"/>
        </w:rPr>
        <w:t xml:space="preserve">第一部分 </w:t>
      </w:r>
      <w:r>
        <w:rPr>
          <w:rFonts w:hint="eastAsia" w:ascii="仿宋" w:hAnsi="仿宋" w:eastAsia="仿宋" w:cs="仿宋"/>
          <w:sz w:val="24"/>
          <w:szCs w:val="24"/>
          <w:highlight w:val="none"/>
          <w:lang w:eastAsia="zh-CN"/>
        </w:rPr>
        <w:t>单位</w:t>
      </w:r>
      <w:r>
        <w:rPr>
          <w:rFonts w:hint="eastAsia" w:ascii="仿宋" w:hAnsi="仿宋" w:eastAsia="仿宋" w:cs="仿宋"/>
          <w:bCs w:val="0"/>
          <w:sz w:val="24"/>
          <w:szCs w:val="24"/>
          <w:highlight w:val="none"/>
        </w:rPr>
        <w:t>概况</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_Toc9832 </w:instrText>
      </w:r>
      <w:r>
        <w:rPr>
          <w:rFonts w:hint="eastAsia" w:ascii="仿宋" w:hAnsi="仿宋" w:eastAsia="仿宋" w:cs="仿宋"/>
          <w:sz w:val="24"/>
          <w:szCs w:val="24"/>
        </w:rPr>
        <w:fldChar w:fldCharType="separate"/>
      </w:r>
      <w:r>
        <w:rPr>
          <w:rFonts w:hint="eastAsia" w:ascii="仿宋" w:hAnsi="仿宋" w:eastAsia="仿宋" w:cs="仿宋"/>
          <w:sz w:val="24"/>
          <w:szCs w:val="24"/>
        </w:rPr>
        <w:t>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_Toc28313 </w:instrText>
      </w:r>
      <w:r>
        <w:rPr>
          <w:rFonts w:hint="eastAsia" w:ascii="宋体" w:hAnsi="宋体" w:eastAsia="宋体" w:cs="宋体"/>
          <w:sz w:val="24"/>
          <w:szCs w:val="24"/>
        </w:rPr>
        <w:fldChar w:fldCharType="separate"/>
      </w:r>
      <w:r>
        <w:rPr>
          <w:rFonts w:hint="eastAsia" w:ascii="宋体" w:hAnsi="宋体" w:eastAsia="宋体" w:cs="宋体"/>
          <w:bCs w:val="0"/>
          <w:sz w:val="24"/>
          <w:szCs w:val="24"/>
          <w:lang w:eastAsia="zh-CN"/>
        </w:rPr>
        <w:t xml:space="preserve">一、 </w:t>
      </w:r>
      <w:r>
        <w:rPr>
          <w:rFonts w:hint="eastAsia" w:ascii="宋体" w:hAnsi="宋体" w:eastAsia="宋体" w:cs="宋体"/>
          <w:bCs w:val="0"/>
          <w:sz w:val="24"/>
          <w:szCs w:val="24"/>
          <w:highlight w:val="none"/>
        </w:rPr>
        <w:t>职能</w:t>
      </w:r>
      <w:r>
        <w:rPr>
          <w:rFonts w:hint="eastAsia" w:ascii="宋体" w:hAnsi="宋体" w:eastAsia="宋体" w:cs="宋体"/>
          <w:bCs w:val="0"/>
          <w:sz w:val="24"/>
          <w:szCs w:val="24"/>
          <w:highlight w:val="none"/>
          <w:lang w:eastAsia="zh-CN"/>
        </w:rPr>
        <w:t>简介</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_Toc28313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_Toc9977 </w:instrText>
      </w:r>
      <w:r>
        <w:rPr>
          <w:rFonts w:hint="eastAsia" w:ascii="宋体" w:hAnsi="宋体" w:eastAsia="宋体" w:cs="宋体"/>
          <w:sz w:val="24"/>
          <w:szCs w:val="24"/>
        </w:rPr>
        <w:fldChar w:fldCharType="separate"/>
      </w:r>
      <w:r>
        <w:rPr>
          <w:rFonts w:hint="eastAsia" w:ascii="宋体" w:hAnsi="宋体" w:eastAsia="宋体" w:cs="宋体"/>
          <w:sz w:val="24"/>
          <w:szCs w:val="24"/>
          <w:highlight w:val="none"/>
          <w:lang w:val="en-US" w:eastAsia="zh-CN"/>
        </w:rPr>
        <w:t>二、2020年重点</w:t>
      </w:r>
      <w:r>
        <w:rPr>
          <w:rFonts w:hint="eastAsia" w:ascii="宋体" w:hAnsi="宋体" w:eastAsia="宋体" w:cs="宋体"/>
          <w:sz w:val="24"/>
          <w:szCs w:val="24"/>
          <w:highlight w:val="none"/>
        </w:rPr>
        <w:t>工作</w:t>
      </w:r>
      <w:r>
        <w:rPr>
          <w:rFonts w:hint="eastAsia" w:ascii="宋体" w:hAnsi="宋体" w:eastAsia="宋体" w:cs="宋体"/>
          <w:sz w:val="24"/>
          <w:szCs w:val="24"/>
          <w:highlight w:val="none"/>
          <w:lang w:eastAsia="zh-CN"/>
        </w:rPr>
        <w:t>完成情况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_Toc9977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_Toc4210 </w:instrText>
      </w:r>
      <w:r>
        <w:rPr>
          <w:rFonts w:hint="eastAsia" w:ascii="仿宋" w:hAnsi="仿宋" w:eastAsia="仿宋" w:cs="仿宋"/>
          <w:sz w:val="24"/>
          <w:szCs w:val="24"/>
        </w:rPr>
        <w:fldChar w:fldCharType="separate"/>
      </w:r>
      <w:r>
        <w:rPr>
          <w:rFonts w:hint="eastAsia" w:ascii="仿宋" w:hAnsi="仿宋" w:eastAsia="仿宋" w:cs="仿宋"/>
          <w:bCs/>
          <w:sz w:val="24"/>
          <w:szCs w:val="24"/>
          <w:highlight w:val="none"/>
        </w:rPr>
        <w:t xml:space="preserve">第二部分 </w:t>
      </w:r>
      <w:r>
        <w:rPr>
          <w:rFonts w:hint="eastAsia" w:ascii="仿宋" w:hAnsi="仿宋" w:eastAsia="仿宋" w:cs="仿宋"/>
          <w:bCs/>
          <w:sz w:val="24"/>
          <w:szCs w:val="24"/>
          <w:highlight w:val="none"/>
          <w:lang w:val="en-US" w:eastAsia="zh-CN"/>
        </w:rPr>
        <w:t>2020年度</w:t>
      </w:r>
      <w:r>
        <w:rPr>
          <w:rFonts w:hint="eastAsia" w:ascii="仿宋" w:hAnsi="仿宋" w:eastAsia="仿宋" w:cs="仿宋"/>
          <w:bCs/>
          <w:sz w:val="24"/>
          <w:szCs w:val="24"/>
          <w:highlight w:val="none"/>
          <w:lang w:eastAsia="zh-CN"/>
        </w:rPr>
        <w:t>单位</w:t>
      </w:r>
      <w:r>
        <w:rPr>
          <w:rFonts w:hint="eastAsia" w:ascii="仿宋" w:hAnsi="仿宋" w:eastAsia="仿宋" w:cs="仿宋"/>
          <w:bCs/>
          <w:sz w:val="24"/>
          <w:szCs w:val="24"/>
          <w:highlight w:val="none"/>
        </w:rPr>
        <w:t>决算情况说明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_Toc4210 </w:instrText>
      </w:r>
      <w:r>
        <w:rPr>
          <w:rFonts w:hint="eastAsia" w:ascii="仿宋" w:hAnsi="仿宋" w:eastAsia="仿宋" w:cs="仿宋"/>
          <w:sz w:val="24"/>
          <w:szCs w:val="24"/>
        </w:rPr>
        <w:fldChar w:fldCharType="separate"/>
      </w:r>
      <w:r>
        <w:rPr>
          <w:rFonts w:hint="eastAsia" w:ascii="仿宋" w:hAnsi="仿宋" w:eastAsia="仿宋" w:cs="仿宋"/>
          <w:sz w:val="24"/>
          <w:szCs w:val="24"/>
        </w:rPr>
        <w:t>5</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_Toc3053 </w:instrText>
      </w:r>
      <w:r>
        <w:rPr>
          <w:rFonts w:hint="eastAsia" w:ascii="宋体" w:hAnsi="宋体" w:eastAsia="宋体" w:cs="宋体"/>
          <w:sz w:val="24"/>
          <w:szCs w:val="24"/>
        </w:rPr>
        <w:fldChar w:fldCharType="separate"/>
      </w:r>
      <w:r>
        <w:rPr>
          <w:rFonts w:hint="eastAsia" w:ascii="宋体" w:hAnsi="宋体" w:eastAsia="宋体" w:cs="宋体"/>
          <w:sz w:val="24"/>
          <w:szCs w:val="24"/>
        </w:rPr>
        <w:t xml:space="preserve">一、 </w:t>
      </w:r>
      <w:r>
        <w:rPr>
          <w:rFonts w:hint="eastAsia" w:ascii="宋体" w:hAnsi="宋体" w:eastAsia="宋体" w:cs="宋体"/>
          <w:sz w:val="24"/>
          <w:szCs w:val="24"/>
          <w:highlight w:val="none"/>
        </w:rPr>
        <w:t>收入支出决算总体情况说明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_Toc3053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_Toc25270 </w:instrText>
      </w:r>
      <w:r>
        <w:rPr>
          <w:rFonts w:hint="eastAsia" w:ascii="宋体" w:hAnsi="宋体" w:eastAsia="宋体" w:cs="宋体"/>
          <w:sz w:val="24"/>
          <w:szCs w:val="24"/>
        </w:rPr>
        <w:fldChar w:fldCharType="separate"/>
      </w:r>
      <w:r>
        <w:rPr>
          <w:rFonts w:hint="eastAsia" w:ascii="宋体" w:hAnsi="宋体" w:eastAsia="宋体" w:cs="宋体"/>
          <w:sz w:val="24"/>
          <w:szCs w:val="24"/>
        </w:rPr>
        <w:t xml:space="preserve">二、 </w:t>
      </w:r>
      <w:r>
        <w:rPr>
          <w:rFonts w:hint="eastAsia" w:ascii="宋体" w:hAnsi="宋体" w:eastAsia="宋体" w:cs="宋体"/>
          <w:sz w:val="24"/>
          <w:szCs w:val="24"/>
          <w:highlight w:val="none"/>
        </w:rPr>
        <w:t>收入决算情况说明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_Toc25270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_Toc3143 </w:instrText>
      </w:r>
      <w:r>
        <w:rPr>
          <w:rFonts w:hint="eastAsia" w:ascii="宋体" w:hAnsi="宋体" w:eastAsia="宋体" w:cs="宋体"/>
          <w:sz w:val="24"/>
          <w:szCs w:val="24"/>
        </w:rPr>
        <w:fldChar w:fldCharType="separate"/>
      </w:r>
      <w:r>
        <w:rPr>
          <w:rFonts w:hint="eastAsia" w:ascii="宋体" w:hAnsi="宋体" w:eastAsia="宋体" w:cs="宋体"/>
          <w:sz w:val="24"/>
          <w:szCs w:val="24"/>
        </w:rPr>
        <w:t xml:space="preserve">三、 </w:t>
      </w:r>
      <w:r>
        <w:rPr>
          <w:rFonts w:hint="eastAsia" w:ascii="宋体" w:hAnsi="宋体" w:eastAsia="宋体" w:cs="宋体"/>
          <w:sz w:val="24"/>
          <w:szCs w:val="24"/>
          <w:highlight w:val="none"/>
        </w:rPr>
        <w:t>支出决算情况说明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_Toc3143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_Toc15279 </w:instrText>
      </w:r>
      <w:r>
        <w:rPr>
          <w:rFonts w:hint="eastAsia" w:ascii="宋体" w:hAnsi="宋体" w:eastAsia="宋体" w:cs="宋体"/>
          <w:sz w:val="24"/>
          <w:szCs w:val="24"/>
        </w:rPr>
        <w:fldChar w:fldCharType="separate"/>
      </w:r>
      <w:r>
        <w:rPr>
          <w:rFonts w:hint="eastAsia" w:ascii="宋体" w:hAnsi="宋体" w:eastAsia="宋体" w:cs="宋体"/>
          <w:sz w:val="24"/>
          <w:szCs w:val="24"/>
          <w:highlight w:val="none"/>
        </w:rPr>
        <w:t>四、财政拨款收入支出决算总体情况说明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_Toc15279 </w:instrText>
      </w:r>
      <w:r>
        <w:rPr>
          <w:rFonts w:hint="eastAsia" w:ascii="宋体" w:hAnsi="宋体" w:eastAsia="宋体" w:cs="宋体"/>
          <w:sz w:val="24"/>
          <w:szCs w:val="24"/>
        </w:rPr>
        <w:fldChar w:fldCharType="separate"/>
      </w:r>
      <w:r>
        <w:rPr>
          <w:rFonts w:hint="eastAsia" w:ascii="宋体" w:hAnsi="宋体" w:eastAsia="宋体" w:cs="宋体"/>
          <w:sz w:val="24"/>
          <w:szCs w:val="24"/>
        </w:rPr>
        <w:t>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_Toc2588 </w:instrText>
      </w:r>
      <w:r>
        <w:rPr>
          <w:rFonts w:hint="eastAsia" w:ascii="宋体" w:hAnsi="宋体" w:eastAsia="宋体" w:cs="宋体"/>
          <w:sz w:val="24"/>
          <w:szCs w:val="24"/>
        </w:rPr>
        <w:fldChar w:fldCharType="separate"/>
      </w:r>
      <w:r>
        <w:rPr>
          <w:rFonts w:hint="eastAsia" w:ascii="宋体" w:hAnsi="宋体" w:eastAsia="宋体" w:cs="宋体"/>
          <w:sz w:val="24"/>
          <w:szCs w:val="24"/>
          <w:highlight w:val="none"/>
        </w:rPr>
        <w:t>五、一般公共预算财政拨款支出决算情况说明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_Toc2588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_Toc2133 </w:instrText>
      </w:r>
      <w:r>
        <w:rPr>
          <w:rFonts w:hint="eastAsia" w:ascii="宋体" w:hAnsi="宋体" w:eastAsia="宋体" w:cs="宋体"/>
          <w:sz w:val="24"/>
          <w:szCs w:val="24"/>
        </w:rPr>
        <w:fldChar w:fldCharType="separate"/>
      </w:r>
      <w:r>
        <w:rPr>
          <w:rFonts w:hint="eastAsia" w:ascii="宋体" w:hAnsi="宋体" w:eastAsia="宋体" w:cs="宋体"/>
          <w:sz w:val="24"/>
          <w:szCs w:val="24"/>
          <w:highlight w:val="none"/>
        </w:rPr>
        <w:t>六、一般公共预算财政拨款基本支出决算情况说明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_Toc2133 </w:instrText>
      </w:r>
      <w:r>
        <w:rPr>
          <w:rFonts w:hint="eastAsia" w:ascii="宋体" w:hAnsi="宋体" w:eastAsia="宋体" w:cs="宋体"/>
          <w:sz w:val="24"/>
          <w:szCs w:val="24"/>
        </w:rPr>
        <w:fldChar w:fldCharType="separate"/>
      </w:r>
      <w:r>
        <w:rPr>
          <w:rFonts w:hint="eastAsia" w:ascii="宋体" w:hAnsi="宋体" w:eastAsia="宋体" w:cs="宋体"/>
          <w:sz w:val="24"/>
          <w:szCs w:val="24"/>
        </w:rPr>
        <w:t>13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_Toc16093 </w:instrText>
      </w:r>
      <w:r>
        <w:rPr>
          <w:rFonts w:hint="eastAsia" w:ascii="宋体" w:hAnsi="宋体" w:eastAsia="宋体" w:cs="宋体"/>
          <w:sz w:val="24"/>
          <w:szCs w:val="24"/>
        </w:rPr>
        <w:fldChar w:fldCharType="separate"/>
      </w:r>
      <w:r>
        <w:rPr>
          <w:rFonts w:hint="eastAsia" w:ascii="宋体" w:hAnsi="宋体" w:eastAsia="宋体" w:cs="宋体"/>
          <w:sz w:val="24"/>
          <w:szCs w:val="24"/>
          <w:highlight w:val="none"/>
        </w:rPr>
        <w:t>七、“三公”经费财政拨款支出决算情况说明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_Toc16093 </w:instrText>
      </w:r>
      <w:r>
        <w:rPr>
          <w:rFonts w:hint="eastAsia" w:ascii="宋体" w:hAnsi="宋体" w:eastAsia="宋体" w:cs="宋体"/>
          <w:sz w:val="24"/>
          <w:szCs w:val="24"/>
        </w:rPr>
        <w:fldChar w:fldCharType="separate"/>
      </w:r>
      <w:r>
        <w:rPr>
          <w:rFonts w:hint="eastAsia" w:ascii="宋体" w:hAnsi="宋体" w:eastAsia="宋体" w:cs="宋体"/>
          <w:sz w:val="24"/>
          <w:szCs w:val="24"/>
        </w:rPr>
        <w:t>14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_Toc32417 </w:instrText>
      </w:r>
      <w:r>
        <w:rPr>
          <w:rFonts w:hint="eastAsia" w:ascii="宋体" w:hAnsi="宋体" w:eastAsia="宋体" w:cs="宋体"/>
          <w:sz w:val="24"/>
          <w:szCs w:val="24"/>
        </w:rPr>
        <w:fldChar w:fldCharType="separate"/>
      </w:r>
      <w:r>
        <w:rPr>
          <w:rFonts w:hint="eastAsia" w:ascii="宋体" w:hAnsi="宋体" w:eastAsia="宋体" w:cs="宋体"/>
          <w:sz w:val="24"/>
          <w:szCs w:val="24"/>
          <w:highlight w:val="none"/>
        </w:rPr>
        <w:t>八、政府性基金预算支出决算情况说明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_Toc32417 </w:instrText>
      </w:r>
      <w:r>
        <w:rPr>
          <w:rFonts w:hint="eastAsia" w:ascii="宋体" w:hAnsi="宋体" w:eastAsia="宋体" w:cs="宋体"/>
          <w:sz w:val="24"/>
          <w:szCs w:val="24"/>
        </w:rPr>
        <w:fldChar w:fldCharType="separate"/>
      </w:r>
      <w:r>
        <w:rPr>
          <w:rFonts w:hint="eastAsia" w:ascii="宋体" w:hAnsi="宋体" w:eastAsia="宋体" w:cs="宋体"/>
          <w:sz w:val="24"/>
          <w:szCs w:val="24"/>
        </w:rPr>
        <w:t>15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_Toc28781 </w:instrText>
      </w:r>
      <w:r>
        <w:rPr>
          <w:rFonts w:hint="eastAsia" w:ascii="宋体" w:hAnsi="宋体" w:eastAsia="宋体" w:cs="宋体"/>
          <w:sz w:val="24"/>
          <w:szCs w:val="24"/>
        </w:rPr>
        <w:fldChar w:fldCharType="separate"/>
      </w:r>
      <w:r>
        <w:rPr>
          <w:rFonts w:hint="eastAsia" w:ascii="宋体" w:hAnsi="宋体" w:eastAsia="宋体" w:cs="宋体"/>
          <w:sz w:val="24"/>
          <w:szCs w:val="24"/>
        </w:rPr>
        <w:t xml:space="preserve">九、 </w:t>
      </w:r>
      <w:r>
        <w:rPr>
          <w:rFonts w:hint="eastAsia" w:ascii="宋体" w:hAnsi="宋体" w:eastAsia="宋体" w:cs="宋体"/>
          <w:sz w:val="24"/>
          <w:szCs w:val="24"/>
          <w:highlight w:val="none"/>
        </w:rPr>
        <w:t>国有资本经营预算支出决算情况说明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_Toc28781 </w:instrText>
      </w:r>
      <w:r>
        <w:rPr>
          <w:rFonts w:hint="eastAsia" w:ascii="宋体" w:hAnsi="宋体" w:eastAsia="宋体" w:cs="宋体"/>
          <w:sz w:val="24"/>
          <w:szCs w:val="24"/>
        </w:rPr>
        <w:fldChar w:fldCharType="separate"/>
      </w:r>
      <w:r>
        <w:rPr>
          <w:rFonts w:hint="eastAsia" w:ascii="宋体" w:hAnsi="宋体" w:eastAsia="宋体" w:cs="宋体"/>
          <w:sz w:val="24"/>
          <w:szCs w:val="24"/>
        </w:rPr>
        <w:t>15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_Toc13871 </w:instrText>
      </w:r>
      <w:r>
        <w:rPr>
          <w:rFonts w:hint="eastAsia" w:ascii="宋体" w:hAnsi="宋体" w:eastAsia="宋体" w:cs="宋体"/>
          <w:sz w:val="24"/>
          <w:szCs w:val="24"/>
        </w:rPr>
        <w:fldChar w:fldCharType="separate"/>
      </w:r>
      <w:r>
        <w:rPr>
          <w:rFonts w:hint="eastAsia" w:ascii="宋体" w:hAnsi="宋体" w:eastAsia="宋体" w:cs="宋体"/>
          <w:sz w:val="24"/>
          <w:szCs w:val="24"/>
        </w:rPr>
        <w:t xml:space="preserve">十、 </w:t>
      </w:r>
      <w:r>
        <w:rPr>
          <w:rFonts w:hint="eastAsia" w:ascii="宋体" w:hAnsi="宋体" w:eastAsia="宋体" w:cs="宋体"/>
          <w:sz w:val="24"/>
          <w:szCs w:val="24"/>
          <w:highlight w:val="none"/>
        </w:rPr>
        <w:t>其他重要事项的情况说明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_Toc13871 </w:instrText>
      </w:r>
      <w:r>
        <w:rPr>
          <w:rFonts w:hint="eastAsia" w:ascii="宋体" w:hAnsi="宋体" w:eastAsia="宋体" w:cs="宋体"/>
          <w:sz w:val="24"/>
          <w:szCs w:val="24"/>
        </w:rPr>
        <w:fldChar w:fldCharType="separate"/>
      </w:r>
      <w:r>
        <w:rPr>
          <w:rFonts w:hint="eastAsia" w:ascii="宋体" w:hAnsi="宋体" w:eastAsia="宋体" w:cs="宋体"/>
          <w:sz w:val="24"/>
          <w:szCs w:val="24"/>
        </w:rPr>
        <w:t>15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_Toc18473 </w:instrText>
      </w:r>
      <w:r>
        <w:rPr>
          <w:rFonts w:hint="eastAsia" w:ascii="仿宋" w:hAnsi="仿宋" w:eastAsia="仿宋" w:cs="仿宋"/>
          <w:sz w:val="24"/>
          <w:szCs w:val="24"/>
        </w:rPr>
        <w:fldChar w:fldCharType="separate"/>
      </w:r>
      <w:r>
        <w:rPr>
          <w:rFonts w:hint="eastAsia" w:ascii="仿宋" w:hAnsi="仿宋" w:eastAsia="仿宋" w:cs="仿宋"/>
          <w:sz w:val="24"/>
          <w:szCs w:val="24"/>
        </w:rPr>
        <w:t xml:space="preserve">第三部分 </w:t>
      </w:r>
      <w:r>
        <w:rPr>
          <w:rFonts w:hint="eastAsia" w:ascii="仿宋" w:hAnsi="仿宋" w:eastAsia="仿宋" w:cs="仿宋"/>
          <w:sz w:val="24"/>
          <w:szCs w:val="24"/>
          <w:highlight w:val="none"/>
        </w:rPr>
        <w:t>名词解释</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_Toc18473 </w:instrText>
      </w:r>
      <w:r>
        <w:rPr>
          <w:rFonts w:hint="eastAsia" w:ascii="仿宋" w:hAnsi="仿宋" w:eastAsia="仿宋" w:cs="仿宋"/>
          <w:sz w:val="24"/>
          <w:szCs w:val="24"/>
        </w:rPr>
        <w:fldChar w:fldCharType="separate"/>
      </w:r>
      <w:r>
        <w:rPr>
          <w:rFonts w:hint="eastAsia" w:ascii="仿宋" w:hAnsi="仿宋" w:eastAsia="仿宋" w:cs="仿宋"/>
          <w:sz w:val="24"/>
          <w:szCs w:val="24"/>
        </w:rPr>
        <w:t>17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_Toc2668 </w:instrText>
      </w:r>
      <w:r>
        <w:rPr>
          <w:rFonts w:hint="eastAsia" w:ascii="仿宋" w:hAnsi="仿宋" w:eastAsia="仿宋" w:cs="仿宋"/>
          <w:sz w:val="24"/>
          <w:szCs w:val="24"/>
        </w:rPr>
        <w:fldChar w:fldCharType="separate"/>
      </w:r>
      <w:r>
        <w:rPr>
          <w:rFonts w:hint="eastAsia" w:ascii="仿宋" w:hAnsi="仿宋" w:eastAsia="仿宋" w:cs="仿宋"/>
          <w:sz w:val="24"/>
          <w:szCs w:val="24"/>
          <w:highlight w:val="none"/>
        </w:rPr>
        <w:t>第四部分 附件</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_Toc2668 </w:instrText>
      </w:r>
      <w:r>
        <w:rPr>
          <w:rFonts w:hint="eastAsia" w:ascii="仿宋" w:hAnsi="仿宋" w:eastAsia="仿宋" w:cs="仿宋"/>
          <w:sz w:val="24"/>
          <w:szCs w:val="24"/>
        </w:rPr>
        <w:fldChar w:fldCharType="separate"/>
      </w:r>
      <w:r>
        <w:rPr>
          <w:rFonts w:hint="eastAsia" w:ascii="仿宋" w:hAnsi="仿宋" w:eastAsia="仿宋" w:cs="仿宋"/>
          <w:sz w:val="24"/>
          <w:szCs w:val="24"/>
        </w:rPr>
        <w:t>22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_Toc4852 </w:instrText>
      </w:r>
      <w:r>
        <w:rPr>
          <w:rFonts w:hint="eastAsia" w:ascii="仿宋" w:hAnsi="仿宋" w:eastAsia="仿宋" w:cs="仿宋"/>
          <w:sz w:val="24"/>
          <w:szCs w:val="24"/>
        </w:rPr>
        <w:fldChar w:fldCharType="separate"/>
      </w:r>
      <w:r>
        <w:rPr>
          <w:rFonts w:hint="eastAsia" w:ascii="仿宋" w:hAnsi="仿宋" w:eastAsia="仿宋" w:cs="仿宋"/>
          <w:sz w:val="24"/>
          <w:szCs w:val="24"/>
          <w:highlight w:val="none"/>
        </w:rPr>
        <w:t>第五部分 附表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_Toc4852 </w:instrText>
      </w:r>
      <w:r>
        <w:rPr>
          <w:rFonts w:hint="eastAsia" w:ascii="仿宋" w:hAnsi="仿宋" w:eastAsia="仿宋" w:cs="仿宋"/>
          <w:sz w:val="24"/>
          <w:szCs w:val="24"/>
        </w:rPr>
        <w:fldChar w:fldCharType="separate"/>
      </w:r>
      <w:r>
        <w:rPr>
          <w:rFonts w:hint="eastAsia" w:ascii="仿宋" w:hAnsi="仿宋" w:eastAsia="仿宋" w:cs="仿宋"/>
          <w:sz w:val="24"/>
          <w:szCs w:val="24"/>
        </w:rPr>
        <w:t>26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_Toc2393 </w:instrText>
      </w:r>
      <w:r>
        <w:rPr>
          <w:rFonts w:hint="eastAsia" w:ascii="宋体" w:hAnsi="宋体" w:eastAsia="宋体" w:cs="宋体"/>
          <w:sz w:val="24"/>
          <w:szCs w:val="24"/>
        </w:rPr>
        <w:fldChar w:fldCharType="separate"/>
      </w:r>
      <w:r>
        <w:rPr>
          <w:rFonts w:hint="eastAsia" w:ascii="宋体" w:hAnsi="宋体" w:eastAsia="宋体" w:cs="宋体"/>
          <w:sz w:val="24"/>
          <w:szCs w:val="24"/>
          <w:highlight w:val="none"/>
        </w:rPr>
        <w:t>一、收</w:t>
      </w:r>
      <w:r>
        <w:rPr>
          <w:rFonts w:hint="eastAsia" w:ascii="宋体" w:hAnsi="宋体" w:eastAsia="宋体" w:cs="宋体"/>
          <w:bCs w:val="0"/>
          <w:sz w:val="24"/>
          <w:szCs w:val="24"/>
          <w:highlight w:val="none"/>
        </w:rPr>
        <w:t>入支出决算总表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_Toc2393 </w:instrText>
      </w:r>
      <w:r>
        <w:rPr>
          <w:rFonts w:hint="eastAsia" w:ascii="宋体" w:hAnsi="宋体" w:eastAsia="宋体" w:cs="宋体"/>
          <w:sz w:val="24"/>
          <w:szCs w:val="24"/>
        </w:rPr>
        <w:fldChar w:fldCharType="separate"/>
      </w:r>
      <w:r>
        <w:rPr>
          <w:rFonts w:hint="eastAsia" w:ascii="宋体" w:hAnsi="宋体" w:eastAsia="宋体" w:cs="宋体"/>
          <w:sz w:val="24"/>
          <w:szCs w:val="24"/>
        </w:rPr>
        <w:t>26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_Toc15816 </w:instrText>
      </w:r>
      <w:r>
        <w:rPr>
          <w:rFonts w:hint="eastAsia" w:ascii="宋体" w:hAnsi="宋体" w:eastAsia="宋体" w:cs="宋体"/>
          <w:sz w:val="24"/>
          <w:szCs w:val="24"/>
        </w:rPr>
        <w:fldChar w:fldCharType="separate"/>
      </w:r>
      <w:r>
        <w:rPr>
          <w:rFonts w:hint="eastAsia" w:ascii="宋体" w:hAnsi="宋体" w:eastAsia="宋体" w:cs="宋体"/>
          <w:sz w:val="24"/>
          <w:szCs w:val="24"/>
          <w:highlight w:val="none"/>
        </w:rPr>
        <w:t>二、收</w:t>
      </w:r>
      <w:r>
        <w:rPr>
          <w:rFonts w:hint="eastAsia" w:ascii="宋体" w:hAnsi="宋体" w:eastAsia="宋体" w:cs="宋体"/>
          <w:bCs w:val="0"/>
          <w:sz w:val="24"/>
          <w:szCs w:val="24"/>
          <w:highlight w:val="none"/>
        </w:rPr>
        <w:t>入决算表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_Toc15816 </w:instrText>
      </w:r>
      <w:r>
        <w:rPr>
          <w:rFonts w:hint="eastAsia" w:ascii="宋体" w:hAnsi="宋体" w:eastAsia="宋体" w:cs="宋体"/>
          <w:sz w:val="24"/>
          <w:szCs w:val="24"/>
        </w:rPr>
        <w:fldChar w:fldCharType="separate"/>
      </w:r>
      <w:r>
        <w:rPr>
          <w:rFonts w:hint="eastAsia" w:ascii="宋体" w:hAnsi="宋体" w:eastAsia="宋体" w:cs="宋体"/>
          <w:sz w:val="24"/>
          <w:szCs w:val="24"/>
        </w:rPr>
        <w:t>26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_Toc32273 </w:instrText>
      </w:r>
      <w:r>
        <w:rPr>
          <w:rFonts w:hint="eastAsia" w:ascii="宋体" w:hAnsi="宋体" w:eastAsia="宋体" w:cs="宋体"/>
          <w:sz w:val="24"/>
          <w:szCs w:val="24"/>
        </w:rPr>
        <w:fldChar w:fldCharType="separate"/>
      </w:r>
      <w:r>
        <w:rPr>
          <w:rFonts w:hint="eastAsia" w:ascii="宋体" w:hAnsi="宋体" w:eastAsia="宋体" w:cs="宋体"/>
          <w:bCs w:val="0"/>
          <w:sz w:val="24"/>
          <w:szCs w:val="24"/>
          <w:highlight w:val="none"/>
        </w:rPr>
        <w:t>三、</w:t>
      </w:r>
      <w:r>
        <w:rPr>
          <w:rFonts w:hint="eastAsia" w:ascii="宋体" w:hAnsi="宋体" w:eastAsia="宋体" w:cs="宋体"/>
          <w:sz w:val="24"/>
          <w:szCs w:val="24"/>
          <w:highlight w:val="none"/>
        </w:rPr>
        <w:t>支</w:t>
      </w:r>
      <w:r>
        <w:rPr>
          <w:rFonts w:hint="eastAsia" w:ascii="宋体" w:hAnsi="宋体" w:eastAsia="宋体" w:cs="宋体"/>
          <w:bCs w:val="0"/>
          <w:sz w:val="24"/>
          <w:szCs w:val="24"/>
          <w:highlight w:val="none"/>
        </w:rPr>
        <w:t>出决算表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_Toc32273 </w:instrText>
      </w:r>
      <w:r>
        <w:rPr>
          <w:rFonts w:hint="eastAsia" w:ascii="宋体" w:hAnsi="宋体" w:eastAsia="宋体" w:cs="宋体"/>
          <w:sz w:val="24"/>
          <w:szCs w:val="24"/>
        </w:rPr>
        <w:fldChar w:fldCharType="separate"/>
      </w:r>
      <w:r>
        <w:rPr>
          <w:rFonts w:hint="eastAsia" w:ascii="宋体" w:hAnsi="宋体" w:eastAsia="宋体" w:cs="宋体"/>
          <w:sz w:val="24"/>
          <w:szCs w:val="24"/>
        </w:rPr>
        <w:t>26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_Toc30503 </w:instrText>
      </w:r>
      <w:r>
        <w:rPr>
          <w:rFonts w:hint="eastAsia" w:ascii="宋体" w:hAnsi="宋体" w:eastAsia="宋体" w:cs="宋体"/>
          <w:sz w:val="24"/>
          <w:szCs w:val="24"/>
        </w:rPr>
        <w:fldChar w:fldCharType="separate"/>
      </w:r>
      <w:r>
        <w:rPr>
          <w:rFonts w:hint="eastAsia" w:ascii="宋体" w:hAnsi="宋体" w:eastAsia="宋体" w:cs="宋体"/>
          <w:bCs w:val="0"/>
          <w:sz w:val="24"/>
          <w:szCs w:val="24"/>
          <w:highlight w:val="none"/>
        </w:rPr>
        <w:t>四、</w:t>
      </w:r>
      <w:r>
        <w:rPr>
          <w:rFonts w:hint="eastAsia" w:ascii="宋体" w:hAnsi="宋体" w:eastAsia="宋体" w:cs="宋体"/>
          <w:sz w:val="24"/>
          <w:szCs w:val="24"/>
          <w:highlight w:val="none"/>
        </w:rPr>
        <w:t>财</w:t>
      </w:r>
      <w:r>
        <w:rPr>
          <w:rFonts w:hint="eastAsia" w:ascii="宋体" w:hAnsi="宋体" w:eastAsia="宋体" w:cs="宋体"/>
          <w:bCs w:val="0"/>
          <w:sz w:val="24"/>
          <w:szCs w:val="24"/>
          <w:highlight w:val="none"/>
        </w:rPr>
        <w:t>政拨款收入支出决算总表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_Toc30503 </w:instrText>
      </w:r>
      <w:r>
        <w:rPr>
          <w:rFonts w:hint="eastAsia" w:ascii="宋体" w:hAnsi="宋体" w:eastAsia="宋体" w:cs="宋体"/>
          <w:sz w:val="24"/>
          <w:szCs w:val="24"/>
        </w:rPr>
        <w:fldChar w:fldCharType="separate"/>
      </w:r>
      <w:r>
        <w:rPr>
          <w:rFonts w:hint="eastAsia" w:ascii="宋体" w:hAnsi="宋体" w:eastAsia="宋体" w:cs="宋体"/>
          <w:sz w:val="24"/>
          <w:szCs w:val="24"/>
        </w:rPr>
        <w:t>26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_Toc9729 </w:instrText>
      </w:r>
      <w:r>
        <w:rPr>
          <w:rFonts w:hint="eastAsia" w:ascii="宋体" w:hAnsi="宋体" w:eastAsia="宋体" w:cs="宋体"/>
          <w:sz w:val="24"/>
          <w:szCs w:val="24"/>
        </w:rPr>
        <w:fldChar w:fldCharType="separate"/>
      </w:r>
      <w:r>
        <w:rPr>
          <w:rFonts w:hint="eastAsia" w:ascii="宋体" w:hAnsi="宋体" w:eastAsia="宋体" w:cs="宋体"/>
          <w:bCs w:val="0"/>
          <w:sz w:val="24"/>
          <w:szCs w:val="24"/>
          <w:highlight w:val="none"/>
        </w:rPr>
        <w:t>五、</w:t>
      </w:r>
      <w:r>
        <w:rPr>
          <w:rFonts w:hint="eastAsia" w:ascii="宋体" w:hAnsi="宋体" w:eastAsia="宋体" w:cs="宋体"/>
          <w:sz w:val="24"/>
          <w:szCs w:val="24"/>
          <w:highlight w:val="none"/>
        </w:rPr>
        <w:t>财</w:t>
      </w:r>
      <w:r>
        <w:rPr>
          <w:rFonts w:hint="eastAsia" w:ascii="宋体" w:hAnsi="宋体" w:eastAsia="宋体" w:cs="宋体"/>
          <w:bCs w:val="0"/>
          <w:sz w:val="24"/>
          <w:szCs w:val="24"/>
          <w:highlight w:val="none"/>
        </w:rPr>
        <w:t>政拨款支出决算明细表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_Toc9729 </w:instrText>
      </w:r>
      <w:r>
        <w:rPr>
          <w:rFonts w:hint="eastAsia" w:ascii="宋体" w:hAnsi="宋体" w:eastAsia="宋体" w:cs="宋体"/>
          <w:sz w:val="24"/>
          <w:szCs w:val="24"/>
        </w:rPr>
        <w:fldChar w:fldCharType="separate"/>
      </w:r>
      <w:r>
        <w:rPr>
          <w:rFonts w:hint="eastAsia" w:ascii="宋体" w:hAnsi="宋体" w:eastAsia="宋体" w:cs="宋体"/>
          <w:sz w:val="24"/>
          <w:szCs w:val="24"/>
        </w:rPr>
        <w:t>26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_Toc13136 </w:instrText>
      </w:r>
      <w:r>
        <w:rPr>
          <w:rFonts w:hint="eastAsia" w:ascii="宋体" w:hAnsi="宋体" w:eastAsia="宋体" w:cs="宋体"/>
          <w:sz w:val="24"/>
          <w:szCs w:val="24"/>
        </w:rPr>
        <w:fldChar w:fldCharType="separate"/>
      </w:r>
      <w:r>
        <w:rPr>
          <w:rFonts w:hint="eastAsia" w:ascii="宋体" w:hAnsi="宋体" w:eastAsia="宋体" w:cs="宋体"/>
          <w:bCs w:val="0"/>
          <w:sz w:val="24"/>
          <w:szCs w:val="24"/>
          <w:highlight w:val="none"/>
        </w:rPr>
        <w:t>六、</w:t>
      </w:r>
      <w:r>
        <w:rPr>
          <w:rFonts w:hint="eastAsia" w:ascii="宋体" w:hAnsi="宋体" w:eastAsia="宋体" w:cs="宋体"/>
          <w:sz w:val="24"/>
          <w:szCs w:val="24"/>
          <w:highlight w:val="none"/>
        </w:rPr>
        <w:t>一</w:t>
      </w:r>
      <w:r>
        <w:rPr>
          <w:rFonts w:hint="eastAsia" w:ascii="宋体" w:hAnsi="宋体" w:eastAsia="宋体" w:cs="宋体"/>
          <w:bCs w:val="0"/>
          <w:sz w:val="24"/>
          <w:szCs w:val="24"/>
          <w:highlight w:val="none"/>
        </w:rPr>
        <w:t>般公共预算财政拨款支出决算表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_Toc13136 </w:instrText>
      </w:r>
      <w:r>
        <w:rPr>
          <w:rFonts w:hint="eastAsia" w:ascii="宋体" w:hAnsi="宋体" w:eastAsia="宋体" w:cs="宋体"/>
          <w:sz w:val="24"/>
          <w:szCs w:val="24"/>
        </w:rPr>
        <w:fldChar w:fldCharType="separate"/>
      </w:r>
      <w:r>
        <w:rPr>
          <w:rFonts w:hint="eastAsia" w:ascii="宋体" w:hAnsi="宋体" w:eastAsia="宋体" w:cs="宋体"/>
          <w:sz w:val="24"/>
          <w:szCs w:val="24"/>
        </w:rPr>
        <w:t>26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_Toc17728 </w:instrText>
      </w:r>
      <w:r>
        <w:rPr>
          <w:rFonts w:hint="eastAsia" w:ascii="宋体" w:hAnsi="宋体" w:eastAsia="宋体" w:cs="宋体"/>
          <w:sz w:val="24"/>
          <w:szCs w:val="24"/>
        </w:rPr>
        <w:fldChar w:fldCharType="separate"/>
      </w:r>
      <w:r>
        <w:rPr>
          <w:rFonts w:hint="eastAsia" w:ascii="宋体" w:hAnsi="宋体" w:eastAsia="宋体" w:cs="宋体"/>
          <w:bCs w:val="0"/>
          <w:sz w:val="24"/>
          <w:szCs w:val="24"/>
          <w:highlight w:val="none"/>
        </w:rPr>
        <w:t>七、</w:t>
      </w:r>
      <w:r>
        <w:rPr>
          <w:rFonts w:hint="eastAsia" w:ascii="宋体" w:hAnsi="宋体" w:eastAsia="宋体" w:cs="宋体"/>
          <w:sz w:val="24"/>
          <w:szCs w:val="24"/>
          <w:highlight w:val="none"/>
        </w:rPr>
        <w:t>一</w:t>
      </w:r>
      <w:r>
        <w:rPr>
          <w:rFonts w:hint="eastAsia" w:ascii="宋体" w:hAnsi="宋体" w:eastAsia="宋体" w:cs="宋体"/>
          <w:bCs w:val="0"/>
          <w:sz w:val="24"/>
          <w:szCs w:val="24"/>
          <w:highlight w:val="none"/>
        </w:rPr>
        <w:t>般公共预算财政拨款支出决算明细表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_Toc17728 </w:instrText>
      </w:r>
      <w:r>
        <w:rPr>
          <w:rFonts w:hint="eastAsia" w:ascii="宋体" w:hAnsi="宋体" w:eastAsia="宋体" w:cs="宋体"/>
          <w:sz w:val="24"/>
          <w:szCs w:val="24"/>
        </w:rPr>
        <w:fldChar w:fldCharType="separate"/>
      </w:r>
      <w:r>
        <w:rPr>
          <w:rFonts w:hint="eastAsia" w:ascii="宋体" w:hAnsi="宋体" w:eastAsia="宋体" w:cs="宋体"/>
          <w:sz w:val="24"/>
          <w:szCs w:val="24"/>
        </w:rPr>
        <w:t>26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_Toc2949 </w:instrText>
      </w:r>
      <w:r>
        <w:rPr>
          <w:rFonts w:hint="eastAsia" w:ascii="宋体" w:hAnsi="宋体" w:eastAsia="宋体" w:cs="宋体"/>
          <w:sz w:val="24"/>
          <w:szCs w:val="24"/>
        </w:rPr>
        <w:fldChar w:fldCharType="separate"/>
      </w:r>
      <w:r>
        <w:rPr>
          <w:rFonts w:hint="eastAsia" w:ascii="宋体" w:hAnsi="宋体" w:eastAsia="宋体" w:cs="宋体"/>
          <w:bCs w:val="0"/>
          <w:sz w:val="24"/>
          <w:szCs w:val="24"/>
          <w:highlight w:val="none"/>
        </w:rPr>
        <w:t>八、</w:t>
      </w:r>
      <w:r>
        <w:rPr>
          <w:rFonts w:hint="eastAsia" w:ascii="宋体" w:hAnsi="宋体" w:eastAsia="宋体" w:cs="宋体"/>
          <w:sz w:val="24"/>
          <w:szCs w:val="24"/>
          <w:highlight w:val="none"/>
        </w:rPr>
        <w:t>一</w:t>
      </w:r>
      <w:r>
        <w:rPr>
          <w:rFonts w:hint="eastAsia" w:ascii="宋体" w:hAnsi="宋体" w:eastAsia="宋体" w:cs="宋体"/>
          <w:bCs w:val="0"/>
          <w:sz w:val="24"/>
          <w:szCs w:val="24"/>
          <w:highlight w:val="none"/>
        </w:rPr>
        <w:t>般公共预算财政拨款基本支出决算表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_Toc2949 </w:instrText>
      </w:r>
      <w:r>
        <w:rPr>
          <w:rFonts w:hint="eastAsia" w:ascii="宋体" w:hAnsi="宋体" w:eastAsia="宋体" w:cs="宋体"/>
          <w:sz w:val="24"/>
          <w:szCs w:val="24"/>
        </w:rPr>
        <w:fldChar w:fldCharType="separate"/>
      </w:r>
      <w:r>
        <w:rPr>
          <w:rFonts w:hint="eastAsia" w:ascii="宋体" w:hAnsi="宋体" w:eastAsia="宋体" w:cs="宋体"/>
          <w:sz w:val="24"/>
          <w:szCs w:val="24"/>
        </w:rPr>
        <w:t>26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_Toc1898 </w:instrText>
      </w:r>
      <w:r>
        <w:rPr>
          <w:rFonts w:hint="eastAsia" w:ascii="宋体" w:hAnsi="宋体" w:eastAsia="宋体" w:cs="宋体"/>
          <w:sz w:val="24"/>
          <w:szCs w:val="24"/>
        </w:rPr>
        <w:fldChar w:fldCharType="separate"/>
      </w:r>
      <w:r>
        <w:rPr>
          <w:rFonts w:hint="eastAsia" w:ascii="宋体" w:hAnsi="宋体" w:eastAsia="宋体" w:cs="宋体"/>
          <w:bCs w:val="0"/>
          <w:sz w:val="24"/>
          <w:szCs w:val="24"/>
          <w:highlight w:val="none"/>
        </w:rPr>
        <w:t>九、</w:t>
      </w:r>
      <w:r>
        <w:rPr>
          <w:rFonts w:hint="eastAsia" w:ascii="宋体" w:hAnsi="宋体" w:eastAsia="宋体" w:cs="宋体"/>
          <w:sz w:val="24"/>
          <w:szCs w:val="24"/>
          <w:highlight w:val="none"/>
        </w:rPr>
        <w:t>一</w:t>
      </w:r>
      <w:r>
        <w:rPr>
          <w:rFonts w:hint="eastAsia" w:ascii="宋体" w:hAnsi="宋体" w:eastAsia="宋体" w:cs="宋体"/>
          <w:bCs w:val="0"/>
          <w:sz w:val="24"/>
          <w:szCs w:val="24"/>
          <w:highlight w:val="none"/>
        </w:rPr>
        <w:t>般公共预算财政拨款项目支出决算表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_Toc1898 </w:instrText>
      </w:r>
      <w:r>
        <w:rPr>
          <w:rFonts w:hint="eastAsia" w:ascii="宋体" w:hAnsi="宋体" w:eastAsia="宋体" w:cs="宋体"/>
          <w:sz w:val="24"/>
          <w:szCs w:val="24"/>
        </w:rPr>
        <w:fldChar w:fldCharType="separate"/>
      </w:r>
      <w:r>
        <w:rPr>
          <w:rFonts w:hint="eastAsia" w:ascii="宋体" w:hAnsi="宋体" w:eastAsia="宋体" w:cs="宋体"/>
          <w:sz w:val="24"/>
          <w:szCs w:val="24"/>
        </w:rPr>
        <w:t>26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_Toc7888 </w:instrText>
      </w:r>
      <w:r>
        <w:rPr>
          <w:rFonts w:hint="eastAsia" w:ascii="宋体" w:hAnsi="宋体" w:eastAsia="宋体" w:cs="宋体"/>
          <w:sz w:val="24"/>
          <w:szCs w:val="24"/>
        </w:rPr>
        <w:fldChar w:fldCharType="separate"/>
      </w:r>
      <w:r>
        <w:rPr>
          <w:rFonts w:hint="eastAsia" w:ascii="宋体" w:hAnsi="宋体" w:eastAsia="宋体" w:cs="宋体"/>
          <w:bCs w:val="0"/>
          <w:sz w:val="24"/>
          <w:szCs w:val="24"/>
          <w:highlight w:val="none"/>
        </w:rPr>
        <w:t>十、</w:t>
      </w:r>
      <w:r>
        <w:rPr>
          <w:rFonts w:hint="eastAsia" w:ascii="宋体" w:hAnsi="宋体" w:eastAsia="宋体" w:cs="宋体"/>
          <w:sz w:val="24"/>
          <w:szCs w:val="24"/>
          <w:highlight w:val="none"/>
        </w:rPr>
        <w:t>一</w:t>
      </w:r>
      <w:r>
        <w:rPr>
          <w:rFonts w:hint="eastAsia" w:ascii="宋体" w:hAnsi="宋体" w:eastAsia="宋体" w:cs="宋体"/>
          <w:bCs w:val="0"/>
          <w:sz w:val="24"/>
          <w:szCs w:val="24"/>
          <w:highlight w:val="none"/>
        </w:rPr>
        <w:t>般公共预算财政拨款“三公”经费支出决算表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_Toc7888 </w:instrText>
      </w:r>
      <w:r>
        <w:rPr>
          <w:rFonts w:hint="eastAsia" w:ascii="宋体" w:hAnsi="宋体" w:eastAsia="宋体" w:cs="宋体"/>
          <w:sz w:val="24"/>
          <w:szCs w:val="24"/>
        </w:rPr>
        <w:fldChar w:fldCharType="separate"/>
      </w:r>
      <w:r>
        <w:rPr>
          <w:rFonts w:hint="eastAsia" w:ascii="宋体" w:hAnsi="宋体" w:eastAsia="宋体" w:cs="宋体"/>
          <w:sz w:val="24"/>
          <w:szCs w:val="24"/>
        </w:rPr>
        <w:t>26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_Toc4562 </w:instrText>
      </w:r>
      <w:r>
        <w:rPr>
          <w:rFonts w:hint="eastAsia" w:ascii="宋体" w:hAnsi="宋体" w:eastAsia="宋体" w:cs="宋体"/>
          <w:sz w:val="24"/>
          <w:szCs w:val="24"/>
        </w:rPr>
        <w:fldChar w:fldCharType="separate"/>
      </w:r>
      <w:r>
        <w:rPr>
          <w:rFonts w:hint="eastAsia" w:ascii="宋体" w:hAnsi="宋体" w:eastAsia="宋体" w:cs="宋体"/>
          <w:bCs w:val="0"/>
          <w:sz w:val="24"/>
          <w:szCs w:val="24"/>
          <w:highlight w:val="none"/>
        </w:rPr>
        <w:t>十一、</w:t>
      </w:r>
      <w:r>
        <w:rPr>
          <w:rFonts w:hint="eastAsia" w:ascii="宋体" w:hAnsi="宋体" w:eastAsia="宋体" w:cs="宋体"/>
          <w:sz w:val="24"/>
          <w:szCs w:val="24"/>
          <w:highlight w:val="none"/>
        </w:rPr>
        <w:t>政</w:t>
      </w:r>
      <w:r>
        <w:rPr>
          <w:rFonts w:hint="eastAsia" w:ascii="宋体" w:hAnsi="宋体" w:eastAsia="宋体" w:cs="宋体"/>
          <w:bCs w:val="0"/>
          <w:sz w:val="24"/>
          <w:szCs w:val="24"/>
          <w:highlight w:val="none"/>
        </w:rPr>
        <w:t>府性基金预算财政拨款收入支出决算表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_Toc4562 </w:instrText>
      </w:r>
      <w:r>
        <w:rPr>
          <w:rFonts w:hint="eastAsia" w:ascii="宋体" w:hAnsi="宋体" w:eastAsia="宋体" w:cs="宋体"/>
          <w:sz w:val="24"/>
          <w:szCs w:val="24"/>
        </w:rPr>
        <w:fldChar w:fldCharType="separate"/>
      </w:r>
      <w:r>
        <w:rPr>
          <w:rFonts w:hint="eastAsia" w:ascii="宋体" w:hAnsi="宋体" w:eastAsia="宋体" w:cs="宋体"/>
          <w:sz w:val="24"/>
          <w:szCs w:val="24"/>
        </w:rPr>
        <w:t>26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_Toc15838 </w:instrText>
      </w:r>
      <w:r>
        <w:rPr>
          <w:rFonts w:hint="eastAsia" w:ascii="宋体" w:hAnsi="宋体" w:eastAsia="宋体" w:cs="宋体"/>
          <w:sz w:val="24"/>
          <w:szCs w:val="24"/>
        </w:rPr>
        <w:fldChar w:fldCharType="separate"/>
      </w:r>
      <w:r>
        <w:rPr>
          <w:rFonts w:hint="eastAsia" w:ascii="宋体" w:hAnsi="宋体" w:eastAsia="宋体" w:cs="宋体"/>
          <w:bCs w:val="0"/>
          <w:sz w:val="24"/>
          <w:szCs w:val="24"/>
          <w:highlight w:val="none"/>
        </w:rPr>
        <w:t>十二、</w:t>
      </w:r>
      <w:r>
        <w:rPr>
          <w:rFonts w:hint="eastAsia" w:ascii="宋体" w:hAnsi="宋体" w:eastAsia="宋体" w:cs="宋体"/>
          <w:sz w:val="24"/>
          <w:szCs w:val="24"/>
          <w:highlight w:val="none"/>
        </w:rPr>
        <w:t>政</w:t>
      </w:r>
      <w:r>
        <w:rPr>
          <w:rFonts w:hint="eastAsia" w:ascii="宋体" w:hAnsi="宋体" w:eastAsia="宋体" w:cs="宋体"/>
          <w:bCs w:val="0"/>
          <w:sz w:val="24"/>
          <w:szCs w:val="24"/>
          <w:highlight w:val="none"/>
        </w:rPr>
        <w:t>府性基金预算财政拨款“三公”经费支出决算表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_Toc15838 </w:instrText>
      </w:r>
      <w:r>
        <w:rPr>
          <w:rFonts w:hint="eastAsia" w:ascii="宋体" w:hAnsi="宋体" w:eastAsia="宋体" w:cs="宋体"/>
          <w:sz w:val="24"/>
          <w:szCs w:val="24"/>
        </w:rPr>
        <w:fldChar w:fldCharType="separate"/>
      </w:r>
      <w:r>
        <w:rPr>
          <w:rFonts w:hint="eastAsia" w:ascii="宋体" w:hAnsi="宋体" w:eastAsia="宋体" w:cs="宋体"/>
          <w:sz w:val="24"/>
          <w:szCs w:val="24"/>
        </w:rPr>
        <w:t>26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_Toc22642 </w:instrText>
      </w:r>
      <w:r>
        <w:rPr>
          <w:rFonts w:hint="eastAsia" w:ascii="宋体" w:hAnsi="宋体" w:eastAsia="宋体" w:cs="宋体"/>
          <w:sz w:val="24"/>
          <w:szCs w:val="24"/>
        </w:rPr>
        <w:fldChar w:fldCharType="separate"/>
      </w:r>
      <w:r>
        <w:rPr>
          <w:rFonts w:hint="eastAsia" w:ascii="宋体" w:hAnsi="宋体" w:eastAsia="宋体" w:cs="宋体"/>
          <w:bCs w:val="0"/>
          <w:sz w:val="24"/>
          <w:szCs w:val="24"/>
          <w:highlight w:val="none"/>
        </w:rPr>
        <w:t>十三、</w:t>
      </w:r>
      <w:r>
        <w:rPr>
          <w:rFonts w:hint="eastAsia" w:ascii="宋体" w:hAnsi="宋体" w:eastAsia="宋体" w:cs="宋体"/>
          <w:sz w:val="24"/>
          <w:szCs w:val="24"/>
          <w:highlight w:val="none"/>
        </w:rPr>
        <w:t>国</w:t>
      </w:r>
      <w:r>
        <w:rPr>
          <w:rFonts w:hint="eastAsia" w:ascii="宋体" w:hAnsi="宋体" w:eastAsia="宋体" w:cs="宋体"/>
          <w:bCs w:val="0"/>
          <w:sz w:val="24"/>
          <w:szCs w:val="24"/>
          <w:highlight w:val="none"/>
        </w:rPr>
        <w:t>有资本经营预算</w:t>
      </w:r>
      <w:r>
        <w:rPr>
          <w:rFonts w:hint="eastAsia" w:ascii="宋体" w:hAnsi="宋体" w:eastAsia="宋体" w:cs="宋体"/>
          <w:bCs w:val="0"/>
          <w:sz w:val="24"/>
          <w:szCs w:val="24"/>
          <w:highlight w:val="none"/>
          <w:lang w:eastAsia="zh-CN"/>
        </w:rPr>
        <w:t>财政拨款收入</w:t>
      </w:r>
      <w:r>
        <w:rPr>
          <w:rFonts w:hint="eastAsia" w:ascii="宋体" w:hAnsi="宋体" w:eastAsia="宋体" w:cs="宋体"/>
          <w:bCs w:val="0"/>
          <w:sz w:val="24"/>
          <w:szCs w:val="24"/>
          <w:highlight w:val="none"/>
        </w:rPr>
        <w:t>支出决算表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_Toc22642 </w:instrText>
      </w:r>
      <w:r>
        <w:rPr>
          <w:rFonts w:hint="eastAsia" w:ascii="宋体" w:hAnsi="宋体" w:eastAsia="宋体" w:cs="宋体"/>
          <w:sz w:val="24"/>
          <w:szCs w:val="24"/>
        </w:rPr>
        <w:fldChar w:fldCharType="separate"/>
      </w:r>
      <w:r>
        <w:rPr>
          <w:rFonts w:hint="eastAsia" w:ascii="宋体" w:hAnsi="宋体" w:eastAsia="宋体" w:cs="宋体"/>
          <w:sz w:val="24"/>
          <w:szCs w:val="24"/>
        </w:rPr>
        <w:t>26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40" w:lineRule="exact"/>
        <w:textAlignment w:val="auto"/>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_Toc25278 </w:instrText>
      </w:r>
      <w:r>
        <w:rPr>
          <w:rFonts w:hint="eastAsia" w:ascii="宋体" w:hAnsi="宋体" w:eastAsia="宋体" w:cs="宋体"/>
          <w:sz w:val="24"/>
          <w:szCs w:val="24"/>
        </w:rPr>
        <w:fldChar w:fldCharType="separate"/>
      </w:r>
      <w:r>
        <w:rPr>
          <w:rFonts w:hint="eastAsia" w:ascii="宋体" w:hAnsi="宋体" w:eastAsia="宋体" w:cs="宋体"/>
          <w:bCs w:val="0"/>
          <w:sz w:val="24"/>
          <w:szCs w:val="24"/>
          <w:highlight w:val="none"/>
          <w:lang w:eastAsia="zh-CN"/>
        </w:rPr>
        <w:t>十四、国有资本经营预算财政拨款支出决算表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_Toc25278 </w:instrText>
      </w:r>
      <w:r>
        <w:rPr>
          <w:rFonts w:hint="eastAsia" w:ascii="宋体" w:hAnsi="宋体" w:eastAsia="宋体" w:cs="宋体"/>
          <w:sz w:val="24"/>
          <w:szCs w:val="24"/>
        </w:rPr>
        <w:fldChar w:fldCharType="separate"/>
      </w:r>
      <w:r>
        <w:rPr>
          <w:rFonts w:hint="eastAsia" w:ascii="宋体" w:hAnsi="宋体" w:eastAsia="宋体" w:cs="宋体"/>
          <w:sz w:val="24"/>
          <w:szCs w:val="24"/>
        </w:rPr>
        <w:t>26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0"/>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olor w:val="auto"/>
          <w:sz w:val="24"/>
          <w:highlight w:val="none"/>
        </w:rPr>
      </w:pPr>
      <w:r>
        <w:fldChar w:fldCharType="end"/>
      </w:r>
    </w:p>
    <w:p>
      <w:pPr>
        <w:widowControl/>
        <w:spacing w:line="440" w:lineRule="exact"/>
        <w:jc w:val="left"/>
        <w:rPr>
          <w:rFonts w:ascii="仿宋" w:hAnsi="仿宋" w:eastAsia="仿宋"/>
          <w:bCs/>
          <w:color w:val="auto"/>
          <w:kern w:val="44"/>
          <w:sz w:val="24"/>
          <w:highlight w:val="none"/>
        </w:rPr>
      </w:pPr>
      <w:bookmarkStart w:id="16" w:name="_Toc15377196"/>
      <w:bookmarkStart w:id="17" w:name="_Toc15396599"/>
      <w:r>
        <w:rPr>
          <w:rFonts w:ascii="仿宋" w:hAnsi="仿宋" w:eastAsia="仿宋"/>
          <w:b/>
          <w:color w:val="auto"/>
          <w:sz w:val="24"/>
          <w:highlight w:val="none"/>
        </w:rPr>
        <w:br w:type="page"/>
      </w:r>
    </w:p>
    <w:p>
      <w:pPr>
        <w:pStyle w:val="3"/>
        <w:jc w:val="center"/>
        <w:rPr>
          <w:rStyle w:val="24"/>
          <w:rFonts w:ascii="黑体" w:hAnsi="黑体" w:eastAsia="黑体"/>
          <w:b/>
          <w:bCs w:val="0"/>
          <w:color w:val="auto"/>
          <w:highlight w:val="none"/>
        </w:rPr>
      </w:pPr>
      <w:bookmarkStart w:id="18" w:name="_Toc9832"/>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4"/>
          <w:rFonts w:hint="eastAsia" w:ascii="黑体" w:hAnsi="黑体" w:eastAsia="黑体"/>
          <w:b w:val="0"/>
          <w:bCs w:val="0"/>
          <w:color w:val="auto"/>
          <w:highlight w:val="none"/>
        </w:rPr>
        <w:t>概况</w:t>
      </w:r>
      <w:bookmarkEnd w:id="16"/>
      <w:bookmarkEnd w:id="17"/>
      <w:bookmarkEnd w:id="18"/>
    </w:p>
    <w:p>
      <w:pPr>
        <w:widowControl/>
        <w:jc w:val="left"/>
        <w:rPr>
          <w:rFonts w:ascii="黑体" w:eastAsia="黑体"/>
          <w:color w:val="auto"/>
          <w:sz w:val="32"/>
          <w:szCs w:val="32"/>
          <w:highlight w:val="none"/>
        </w:rPr>
      </w:pPr>
    </w:p>
    <w:p>
      <w:pPr>
        <w:pStyle w:val="4"/>
        <w:numPr>
          <w:ilvl w:val="0"/>
          <w:numId w:val="1"/>
        </w:numPr>
        <w:rPr>
          <w:rStyle w:val="25"/>
          <w:rFonts w:hint="eastAsia" w:ascii="黑体" w:hAnsi="黑体" w:eastAsia="黑体"/>
          <w:b w:val="0"/>
          <w:bCs w:val="0"/>
          <w:color w:val="auto"/>
          <w:highlight w:val="none"/>
          <w:lang w:eastAsia="zh-CN"/>
        </w:rPr>
      </w:pPr>
      <w:bookmarkStart w:id="19" w:name="_Toc28313"/>
      <w:bookmarkStart w:id="20" w:name="_Toc15396600"/>
      <w:bookmarkStart w:id="21" w:name="_Toc15377197"/>
      <w:r>
        <w:rPr>
          <w:rStyle w:val="25"/>
          <w:rFonts w:hint="eastAsia" w:ascii="黑体" w:hAnsi="黑体" w:eastAsia="黑体"/>
          <w:b w:val="0"/>
          <w:bCs w:val="0"/>
          <w:color w:val="auto"/>
          <w:highlight w:val="none"/>
        </w:rPr>
        <w:t>职能</w:t>
      </w:r>
      <w:r>
        <w:rPr>
          <w:rStyle w:val="25"/>
          <w:rFonts w:hint="eastAsia" w:ascii="黑体" w:hAnsi="黑体" w:eastAsia="黑体"/>
          <w:b w:val="0"/>
          <w:bCs w:val="0"/>
          <w:color w:val="auto"/>
          <w:highlight w:val="none"/>
          <w:lang w:eastAsia="zh-CN"/>
        </w:rPr>
        <w:t>简介</w:t>
      </w:r>
      <w:bookmarkEnd w:id="19"/>
    </w:p>
    <w:p>
      <w:pPr>
        <w:pStyle w:val="2"/>
        <w:keepNext w:val="0"/>
        <w:keepLines w:val="0"/>
        <w:pageBreakBefore w:val="0"/>
        <w:widowControl w:val="0"/>
        <w:kinsoku/>
        <w:wordWrap/>
        <w:overflowPunct/>
        <w:topLinePunct w:val="0"/>
        <w:autoSpaceDE/>
        <w:autoSpaceDN/>
        <w:bidi w:val="0"/>
        <w:adjustRightInd w:val="0"/>
        <w:snapToGrid w:val="0"/>
        <w:spacing w:before="93" w:line="600" w:lineRule="exact"/>
        <w:ind w:firstLine="672" w:firstLineChars="210"/>
        <w:textAlignment w:val="auto"/>
        <w:outlineLvl w:val="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通江县长坪镇严格贯彻落实国家政策，严格依法行政，发挥经济管理职能，加强政策引导，制定发展规划，服务市场主体和营造发展环境，搞好市场监管，大力促进社会事业发展，发展镇村经济、文化和社会事业，提供公共服务，维护社会稳定，构建社会主义和谐社会。</w:t>
      </w:r>
    </w:p>
    <w:p>
      <w:pPr>
        <w:pStyle w:val="2"/>
        <w:keepNext w:val="0"/>
        <w:keepLines w:val="0"/>
        <w:pageBreakBefore w:val="0"/>
        <w:widowControl w:val="0"/>
        <w:kinsoku/>
        <w:wordWrap/>
        <w:overflowPunct/>
        <w:topLinePunct w:val="0"/>
        <w:autoSpaceDE/>
        <w:autoSpaceDN/>
        <w:bidi w:val="0"/>
        <w:adjustRightInd w:val="0"/>
        <w:snapToGrid w:val="0"/>
        <w:spacing w:before="93" w:line="600" w:lineRule="exact"/>
        <w:ind w:firstLine="672" w:firstLineChars="210"/>
        <w:textAlignment w:val="auto"/>
        <w:outlineLvl w:val="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1、执行本级人民代表大会的决议和上级国家行政机关的决定和命令，发布决定和命令</w:t>
      </w:r>
      <w:r>
        <w:rPr>
          <w:rFonts w:hint="eastAsia" w:ascii="仿宋" w:hAnsi="仿宋" w:eastAsia="仿宋" w:cs="仿宋"/>
          <w:sz w:val="32"/>
          <w:szCs w:val="32"/>
          <w:lang w:eastAsia="zh-CN"/>
        </w:rPr>
        <w:t>。</w:t>
      </w:r>
    </w:p>
    <w:p>
      <w:pPr>
        <w:pStyle w:val="2"/>
        <w:keepNext w:val="0"/>
        <w:keepLines w:val="0"/>
        <w:pageBreakBefore w:val="0"/>
        <w:widowControl w:val="0"/>
        <w:kinsoku/>
        <w:wordWrap/>
        <w:overflowPunct/>
        <w:topLinePunct w:val="0"/>
        <w:autoSpaceDE/>
        <w:autoSpaceDN/>
        <w:bidi w:val="0"/>
        <w:adjustRightInd w:val="0"/>
        <w:snapToGrid w:val="0"/>
        <w:spacing w:before="93" w:line="600" w:lineRule="exact"/>
        <w:ind w:firstLine="672" w:firstLineChars="210"/>
        <w:textAlignment w:val="auto"/>
        <w:outlineLvl w:val="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2、执行本行政区域内的经济和社会发展计划、预算，管理本行政区域内的经济、教育、科学、文化、卫生、体育事业和财政、民政、公安、司法行政、计划生育等行政工作。</w:t>
      </w:r>
    </w:p>
    <w:p>
      <w:pPr>
        <w:pStyle w:val="2"/>
        <w:keepNext w:val="0"/>
        <w:keepLines w:val="0"/>
        <w:pageBreakBefore w:val="0"/>
        <w:widowControl w:val="0"/>
        <w:kinsoku/>
        <w:wordWrap/>
        <w:overflowPunct/>
        <w:topLinePunct w:val="0"/>
        <w:autoSpaceDE/>
        <w:autoSpaceDN/>
        <w:bidi w:val="0"/>
        <w:adjustRightInd w:val="0"/>
        <w:snapToGrid w:val="0"/>
        <w:spacing w:before="93" w:line="600" w:lineRule="exact"/>
        <w:ind w:firstLine="672" w:firstLineChars="210"/>
        <w:textAlignment w:val="auto"/>
        <w:outlineLvl w:val="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3、保护社会主义的全民所有的财产和劳动群众集体所有的财产，保护公民私人所有的合法财产，维护社会秩序，保障公民的人身权利、民主权利和其他权利。</w:t>
      </w:r>
    </w:p>
    <w:p>
      <w:pPr>
        <w:pStyle w:val="2"/>
        <w:keepNext w:val="0"/>
        <w:keepLines w:val="0"/>
        <w:pageBreakBefore w:val="0"/>
        <w:widowControl w:val="0"/>
        <w:kinsoku/>
        <w:wordWrap/>
        <w:overflowPunct/>
        <w:topLinePunct w:val="0"/>
        <w:autoSpaceDE/>
        <w:autoSpaceDN/>
        <w:bidi w:val="0"/>
        <w:adjustRightInd w:val="0"/>
        <w:snapToGrid w:val="0"/>
        <w:spacing w:before="93" w:line="600" w:lineRule="exact"/>
        <w:ind w:firstLine="672" w:firstLineChars="210"/>
        <w:textAlignment w:val="auto"/>
        <w:outlineLvl w:val="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4、保护各种经济组织的合法权益</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hint="eastAsia"/>
        </w:rPr>
      </w:pPr>
      <w:r>
        <w:rPr>
          <w:rFonts w:hint="eastAsia" w:ascii="仿宋" w:hAnsi="仿宋" w:eastAsia="仿宋" w:cs="仿宋"/>
          <w:sz w:val="32"/>
          <w:szCs w:val="32"/>
          <w:lang w:val="en-US" w:eastAsia="zh-CN"/>
        </w:rPr>
        <w:t>5、办理上级县委、县政府交办的其他事项。</w:t>
      </w:r>
    </w:p>
    <w:p>
      <w:pPr>
        <w:pStyle w:val="4"/>
        <w:numPr>
          <w:ilvl w:val="0"/>
          <w:numId w:val="0"/>
        </w:numPr>
        <w:rPr>
          <w:rFonts w:hint="eastAsia" w:ascii="黑体" w:hAnsi="黑体" w:eastAsia="黑体"/>
          <w:b w:val="0"/>
          <w:color w:val="auto"/>
          <w:highlight w:val="none"/>
          <w:lang w:eastAsia="zh-CN"/>
        </w:rPr>
      </w:pPr>
      <w:bookmarkStart w:id="22" w:name="_Toc9977"/>
      <w:r>
        <w:rPr>
          <w:rFonts w:hint="eastAsia" w:ascii="黑体" w:hAnsi="黑体" w:eastAsia="黑体"/>
          <w:b w:val="0"/>
          <w:color w:val="auto"/>
          <w:highlight w:val="none"/>
          <w:lang w:val="en-US" w:eastAsia="zh-CN"/>
        </w:rPr>
        <w:t>二、2020年重点</w:t>
      </w:r>
      <w:r>
        <w:rPr>
          <w:rFonts w:hint="eastAsia" w:ascii="黑体" w:hAnsi="黑体" w:eastAsia="黑体"/>
          <w:b w:val="0"/>
          <w:color w:val="auto"/>
          <w:highlight w:val="none"/>
        </w:rPr>
        <w:t>工作</w:t>
      </w:r>
      <w:bookmarkEnd w:id="20"/>
      <w:bookmarkEnd w:id="21"/>
      <w:r>
        <w:rPr>
          <w:rFonts w:hint="eastAsia" w:ascii="黑体" w:hAnsi="黑体" w:eastAsia="黑体"/>
          <w:b w:val="0"/>
          <w:color w:val="auto"/>
          <w:highlight w:val="none"/>
          <w:lang w:eastAsia="zh-CN"/>
        </w:rPr>
        <w:t>完成情况</w:t>
      </w:r>
      <w:bookmarkEnd w:id="22"/>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长坪镇在上级党委政府的领导下，以“党的十九大”会议精神为指导，坚持“中央八项规定”，严格预算执行，增加农民收入，大力发展产业，全身心投入到脱贫攻坚工作，顺利完成脱贫攻坚省检工作，为全镇脱贫做出来重大贡献。</w:t>
      </w:r>
    </w:p>
    <w:p>
      <w:pPr>
        <w:widowControl/>
        <w:jc w:val="left"/>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3"/>
        <w:ind w:right="440"/>
        <w:jc w:val="center"/>
        <w:rPr>
          <w:rStyle w:val="24"/>
          <w:rFonts w:ascii="黑体" w:hAnsi="黑体" w:eastAsia="黑体"/>
          <w:b w:val="0"/>
          <w:bCs/>
          <w:color w:val="auto"/>
          <w:highlight w:val="none"/>
        </w:rPr>
      </w:pPr>
      <w:bookmarkStart w:id="23" w:name="_Toc15377204"/>
      <w:bookmarkStart w:id="24" w:name="_Toc4210"/>
      <w:bookmarkStart w:id="25" w:name="_Toc15396602"/>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2020年度</w:t>
      </w:r>
      <w:r>
        <w:rPr>
          <w:rStyle w:val="24"/>
          <w:rFonts w:hint="eastAsia" w:ascii="黑体" w:hAnsi="黑体" w:eastAsia="黑体"/>
          <w:b w:val="0"/>
          <w:bCs/>
          <w:color w:val="auto"/>
          <w:highlight w:val="none"/>
          <w:lang w:eastAsia="zh-CN"/>
        </w:rPr>
        <w:t>单位</w:t>
      </w:r>
      <w:r>
        <w:rPr>
          <w:rStyle w:val="24"/>
          <w:rFonts w:hint="eastAsia" w:ascii="黑体" w:hAnsi="黑体" w:eastAsia="黑体"/>
          <w:b w:val="0"/>
          <w:bCs/>
          <w:color w:val="auto"/>
          <w:highlight w:val="none"/>
        </w:rPr>
        <w:t>决算情况说明</w:t>
      </w:r>
      <w:bookmarkEnd w:id="23"/>
      <w:bookmarkEnd w:id="24"/>
      <w:bookmarkEnd w:id="25"/>
    </w:p>
    <w:p>
      <w:pPr>
        <w:rPr>
          <w:color w:val="auto"/>
          <w:highlight w:val="none"/>
        </w:rPr>
      </w:pPr>
    </w:p>
    <w:p>
      <w:pPr>
        <w:pStyle w:val="23"/>
        <w:numPr>
          <w:ilvl w:val="0"/>
          <w:numId w:val="2"/>
        </w:numPr>
        <w:spacing w:line="600" w:lineRule="exact"/>
        <w:ind w:firstLineChars="0"/>
        <w:outlineLvl w:val="1"/>
        <w:rPr>
          <w:rStyle w:val="25"/>
          <w:rFonts w:ascii="黑体" w:hAnsi="黑体" w:eastAsia="黑体"/>
          <w:b w:val="0"/>
          <w:color w:val="auto"/>
          <w:highlight w:val="none"/>
        </w:rPr>
      </w:pPr>
      <w:bookmarkStart w:id="26" w:name="_Toc15396603"/>
      <w:bookmarkStart w:id="27" w:name="_Toc15377205"/>
      <w:bookmarkStart w:id="28" w:name="_Toc3053"/>
      <w:r>
        <w:rPr>
          <w:rFonts w:hint="eastAsia" w:ascii="黑体" w:hAnsi="黑体" w:eastAsia="黑体"/>
          <w:color w:val="auto"/>
          <w:sz w:val="32"/>
          <w:szCs w:val="32"/>
          <w:highlight w:val="none"/>
        </w:rPr>
        <w:t>收</w:t>
      </w:r>
      <w:r>
        <w:rPr>
          <w:rStyle w:val="25"/>
          <w:rFonts w:hint="eastAsia" w:ascii="黑体" w:hAnsi="黑体" w:eastAsia="黑体"/>
          <w:b w:val="0"/>
          <w:color w:val="auto"/>
          <w:highlight w:val="none"/>
        </w:rPr>
        <w:t>入支出决算总体情况说明</w:t>
      </w:r>
      <w:bookmarkEnd w:id="26"/>
      <w:bookmarkEnd w:id="27"/>
      <w:bookmarkEnd w:id="28"/>
    </w:p>
    <w:p>
      <w:pPr>
        <w:spacing w:line="600" w:lineRule="exact"/>
        <w:ind w:firstLine="640" w:firstLineChars="200"/>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年度收</w:t>
      </w:r>
      <w:r>
        <w:rPr>
          <w:rFonts w:hint="eastAsia" w:ascii="仿宋" w:hAnsi="仿宋" w:eastAsia="仿宋"/>
          <w:color w:val="auto"/>
          <w:sz w:val="32"/>
          <w:szCs w:val="32"/>
          <w:highlight w:val="none"/>
          <w:lang w:eastAsia="zh-CN"/>
        </w:rPr>
        <w:t>入</w:t>
      </w:r>
      <w:r>
        <w:rPr>
          <w:rFonts w:hint="eastAsia" w:ascii="仿宋" w:hAnsi="仿宋" w:eastAsia="仿宋"/>
          <w:color w:val="auto"/>
          <w:sz w:val="32"/>
          <w:szCs w:val="32"/>
          <w:highlight w:val="none"/>
          <w:lang w:val="en-US" w:eastAsia="zh-CN"/>
        </w:rPr>
        <w:t>1450.08万元</w:t>
      </w:r>
      <w:r>
        <w:rPr>
          <w:rFonts w:hint="eastAsia" w:ascii="仿宋" w:hAnsi="仿宋" w:eastAsia="仿宋"/>
          <w:color w:val="auto"/>
          <w:sz w:val="32"/>
          <w:szCs w:val="32"/>
          <w:highlight w:val="none"/>
        </w:rPr>
        <w:t>、支</w:t>
      </w:r>
      <w:r>
        <w:rPr>
          <w:rFonts w:hint="eastAsia" w:ascii="仿宋" w:hAnsi="仿宋" w:eastAsia="仿宋"/>
          <w:color w:val="auto"/>
          <w:sz w:val="32"/>
          <w:szCs w:val="32"/>
          <w:highlight w:val="none"/>
          <w:lang w:eastAsia="zh-CN"/>
        </w:rPr>
        <w:t>出</w:t>
      </w:r>
      <w:r>
        <w:rPr>
          <w:rFonts w:hint="eastAsia" w:ascii="仿宋" w:hAnsi="仿宋" w:eastAsia="仿宋"/>
          <w:color w:val="auto"/>
          <w:sz w:val="32"/>
          <w:szCs w:val="32"/>
          <w:highlight w:val="none"/>
        </w:rPr>
        <w:t>总计</w:t>
      </w:r>
      <w:r>
        <w:rPr>
          <w:rFonts w:hint="eastAsia" w:ascii="仿宋" w:hAnsi="仿宋" w:eastAsia="仿宋"/>
          <w:color w:val="auto"/>
          <w:sz w:val="32"/>
          <w:szCs w:val="32"/>
          <w:highlight w:val="none"/>
          <w:lang w:val="en-US" w:eastAsia="zh-CN"/>
        </w:rPr>
        <w:t>1450.08</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19</w:t>
      </w:r>
      <w:r>
        <w:rPr>
          <w:rFonts w:hint="eastAsia" w:ascii="仿宋" w:hAnsi="仿宋" w:eastAsia="仿宋"/>
          <w:color w:val="auto"/>
          <w:sz w:val="32"/>
          <w:szCs w:val="32"/>
          <w:highlight w:val="none"/>
        </w:rPr>
        <w:t>年相比，收</w:t>
      </w:r>
      <w:r>
        <w:rPr>
          <w:rFonts w:hint="eastAsia" w:ascii="仿宋" w:hAnsi="仿宋" w:eastAsia="仿宋"/>
          <w:color w:val="auto"/>
          <w:sz w:val="32"/>
          <w:szCs w:val="32"/>
          <w:highlight w:val="none"/>
          <w:lang w:eastAsia="zh-CN"/>
        </w:rPr>
        <w:t>入减少</w:t>
      </w:r>
      <w:r>
        <w:rPr>
          <w:rFonts w:hint="eastAsia" w:ascii="仿宋" w:hAnsi="仿宋" w:eastAsia="仿宋"/>
          <w:color w:val="auto"/>
          <w:sz w:val="32"/>
          <w:szCs w:val="32"/>
          <w:highlight w:val="none"/>
          <w:lang w:val="en-US" w:eastAsia="zh-CN"/>
        </w:rPr>
        <w:t>1236.69万元，下降46.03%；支出减少1236.69万元，下降46.03%。</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脱贫攻坚结束，人员增减变动。</w:t>
      </w:r>
    </w:p>
    <w:p>
      <w:pPr>
        <w:pStyle w:val="2"/>
        <w:rPr>
          <w:rFonts w:ascii="仿宋" w:hAnsi="仿宋" w:eastAsia="仿宋"/>
          <w:color w:val="auto"/>
          <w:sz w:val="32"/>
          <w:szCs w:val="32"/>
          <w:highlight w:val="none"/>
        </w:rPr>
      </w:pPr>
      <w:r>
        <w:rPr>
          <w:rFonts w:hint="eastAsia"/>
        </w:rPr>
        <w:drawing>
          <wp:inline distT="0" distB="0" distL="114300" distR="114300">
            <wp:extent cx="4288155" cy="3554095"/>
            <wp:effectExtent l="4445" t="4445" r="12700" b="2286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jc w:val="left"/>
        <w:rPr>
          <w:rFonts w:ascii="仿宋_GB2312" w:eastAsia="仿宋_GB2312"/>
          <w:color w:val="auto"/>
          <w:sz w:val="32"/>
          <w:szCs w:val="32"/>
          <w:highlight w:val="none"/>
        </w:rPr>
      </w:pPr>
    </w:p>
    <w:p>
      <w:pPr>
        <w:pStyle w:val="23"/>
        <w:numPr>
          <w:ilvl w:val="0"/>
          <w:numId w:val="2"/>
        </w:numPr>
        <w:spacing w:line="600" w:lineRule="exact"/>
        <w:ind w:firstLineChars="0"/>
        <w:outlineLvl w:val="1"/>
        <w:rPr>
          <w:rStyle w:val="25"/>
          <w:rFonts w:ascii="黑体" w:hAnsi="黑体" w:eastAsia="黑体"/>
          <w:b w:val="0"/>
          <w:color w:val="auto"/>
          <w:highlight w:val="none"/>
        </w:rPr>
      </w:pPr>
      <w:bookmarkStart w:id="29" w:name="_Toc15377206"/>
      <w:bookmarkStart w:id="30" w:name="_Toc15396604"/>
      <w:bookmarkStart w:id="31" w:name="_Toc25270"/>
      <w:r>
        <w:rPr>
          <w:rFonts w:hint="eastAsia" w:ascii="黑体" w:hAnsi="黑体" w:eastAsia="黑体"/>
          <w:color w:val="auto"/>
          <w:sz w:val="32"/>
          <w:szCs w:val="32"/>
          <w:highlight w:val="none"/>
        </w:rPr>
        <w:t>收</w:t>
      </w:r>
      <w:r>
        <w:rPr>
          <w:rStyle w:val="25"/>
          <w:rFonts w:hint="eastAsia" w:ascii="黑体" w:hAnsi="黑体" w:eastAsia="黑体"/>
          <w:b w:val="0"/>
          <w:color w:val="auto"/>
          <w:highlight w:val="none"/>
        </w:rPr>
        <w:t>入决算情况说明</w:t>
      </w:r>
      <w:bookmarkEnd w:id="29"/>
      <w:bookmarkEnd w:id="30"/>
      <w:bookmarkEnd w:id="31"/>
    </w:p>
    <w:p>
      <w:pPr>
        <w:spacing w:line="600" w:lineRule="exact"/>
        <w:ind w:firstLine="640" w:firstLineChars="200"/>
        <w:outlineLvl w:val="1"/>
        <w:rPr>
          <w:rFonts w:ascii="仿宋" w:hAnsi="仿宋" w:eastAsia="仿宋"/>
          <w:b/>
          <w:color w:val="auto"/>
          <w:sz w:val="32"/>
          <w:szCs w:val="32"/>
          <w:highlight w:val="none"/>
        </w:rPr>
      </w:pPr>
      <w:bookmarkStart w:id="32" w:name="_Toc8697"/>
      <w:bookmarkStart w:id="33" w:name="_Toc28640"/>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1450.08</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1450.08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；政府性基金预算财政拨款收入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国有资本经营预算财政拨款收入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；上级补助收入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；事业收入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；附属单位上缴收入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；其他收入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bookmarkEnd w:id="32"/>
      <w:bookmarkEnd w:id="33"/>
    </w:p>
    <w:p>
      <w:pPr>
        <w:spacing w:line="600" w:lineRule="exact"/>
        <w:ind w:firstLine="640" w:firstLineChars="200"/>
        <w:outlineLvl w:val="1"/>
        <w:rPr>
          <w:rFonts w:ascii="仿宋" w:hAnsi="仿宋" w:eastAsia="仿宋"/>
          <w:color w:val="auto"/>
          <w:sz w:val="32"/>
          <w:szCs w:val="32"/>
          <w:highlight w:val="none"/>
        </w:rPr>
      </w:pPr>
    </w:p>
    <w:p>
      <w:pPr>
        <w:pStyle w:val="2"/>
        <w:rPr>
          <w:rFonts w:ascii="仿宋" w:hAnsi="仿宋" w:eastAsia="仿宋"/>
          <w:color w:val="auto"/>
          <w:sz w:val="32"/>
          <w:szCs w:val="32"/>
          <w:highlight w:val="none"/>
        </w:rPr>
      </w:pPr>
      <w:r>
        <w:rPr>
          <w:rFonts w:hint="eastAsia" w:eastAsia="仿宋"/>
          <w:lang w:eastAsia="zh-CN"/>
        </w:rPr>
        <w:drawing>
          <wp:inline distT="0" distB="0" distL="114300" distR="114300">
            <wp:extent cx="4271010" cy="3344545"/>
            <wp:effectExtent l="4445" t="4445" r="10795" b="2286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rPr>
          <w:rFonts w:ascii="仿宋_GB2312" w:eastAsia="仿宋_GB2312"/>
          <w:color w:val="auto"/>
          <w:sz w:val="32"/>
          <w:szCs w:val="32"/>
          <w:highlight w:val="none"/>
        </w:rPr>
      </w:pPr>
    </w:p>
    <w:p>
      <w:pPr>
        <w:pStyle w:val="23"/>
        <w:numPr>
          <w:ilvl w:val="0"/>
          <w:numId w:val="2"/>
        </w:numPr>
        <w:spacing w:line="600" w:lineRule="exact"/>
        <w:ind w:firstLineChars="0"/>
        <w:outlineLvl w:val="1"/>
        <w:rPr>
          <w:rStyle w:val="25"/>
          <w:rFonts w:ascii="黑体" w:hAnsi="黑体" w:eastAsia="黑体"/>
          <w:b w:val="0"/>
          <w:color w:val="auto"/>
          <w:highlight w:val="none"/>
        </w:rPr>
      </w:pPr>
      <w:bookmarkStart w:id="34" w:name="_Toc15377207"/>
      <w:bookmarkStart w:id="35" w:name="_Toc3143"/>
      <w:bookmarkStart w:id="36" w:name="_Toc15396605"/>
      <w:r>
        <w:rPr>
          <w:rFonts w:hint="eastAsia" w:ascii="黑体" w:hAnsi="黑体" w:eastAsia="黑体"/>
          <w:color w:val="auto"/>
          <w:sz w:val="32"/>
          <w:szCs w:val="32"/>
          <w:highlight w:val="none"/>
        </w:rPr>
        <w:t>支</w:t>
      </w:r>
      <w:r>
        <w:rPr>
          <w:rStyle w:val="25"/>
          <w:rFonts w:hint="eastAsia" w:ascii="黑体" w:hAnsi="黑体" w:eastAsia="黑体"/>
          <w:b w:val="0"/>
          <w:color w:val="auto"/>
          <w:highlight w:val="none"/>
        </w:rPr>
        <w:t>出决算情况说明</w:t>
      </w:r>
      <w:bookmarkEnd w:id="34"/>
      <w:bookmarkEnd w:id="35"/>
      <w:bookmarkEnd w:id="36"/>
    </w:p>
    <w:p>
      <w:pPr>
        <w:spacing w:line="600" w:lineRule="exact"/>
        <w:ind w:firstLine="640" w:firstLineChars="200"/>
        <w:outlineLvl w:val="1"/>
        <w:rPr>
          <w:rFonts w:ascii="仿宋" w:hAnsi="仿宋" w:eastAsia="仿宋"/>
          <w:color w:val="auto"/>
          <w:sz w:val="32"/>
          <w:szCs w:val="32"/>
          <w:highlight w:val="none"/>
        </w:rPr>
      </w:pPr>
      <w:bookmarkStart w:id="37" w:name="_Toc31056"/>
      <w:bookmarkStart w:id="38" w:name="_Toc16910"/>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1450.08</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819.22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56.49</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630.86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43.51</w:t>
      </w:r>
      <w:r>
        <w:rPr>
          <w:rFonts w:ascii="仿宋" w:hAnsi="仿宋" w:eastAsia="仿宋"/>
          <w:color w:val="auto"/>
          <w:sz w:val="32"/>
          <w:szCs w:val="32"/>
          <w:highlight w:val="none"/>
        </w:rPr>
        <w:t>%</w:t>
      </w:r>
      <w:r>
        <w:rPr>
          <w:rFonts w:hint="eastAsia" w:ascii="仿宋" w:hAnsi="仿宋" w:eastAsia="仿宋"/>
          <w:color w:val="auto"/>
          <w:sz w:val="32"/>
          <w:szCs w:val="32"/>
          <w:highlight w:val="none"/>
        </w:rPr>
        <w:t>；上缴上级支出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；对附属单位补助支出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bookmarkEnd w:id="37"/>
      <w:bookmarkEnd w:id="38"/>
    </w:p>
    <w:p>
      <w:pPr>
        <w:spacing w:line="600" w:lineRule="exact"/>
        <w:ind w:firstLine="643" w:firstLineChars="200"/>
        <w:outlineLvl w:val="1"/>
        <w:rPr>
          <w:rFonts w:ascii="仿宋" w:hAnsi="仿宋" w:eastAsia="仿宋"/>
          <w:b/>
          <w:color w:val="auto"/>
          <w:sz w:val="32"/>
          <w:szCs w:val="32"/>
          <w:highlight w:val="none"/>
        </w:rPr>
      </w:pPr>
    </w:p>
    <w:p>
      <w:pPr>
        <w:spacing w:line="600" w:lineRule="exact"/>
        <w:ind w:firstLine="640"/>
        <w:rPr>
          <w:rFonts w:ascii="仿宋" w:hAnsi="仿宋" w:eastAsia="仿宋"/>
          <w:color w:val="auto"/>
          <w:sz w:val="32"/>
          <w:szCs w:val="32"/>
          <w:highlight w:val="none"/>
          <w:shd w:val="pct10" w:color="auto" w:fill="FFFFFF"/>
        </w:rPr>
      </w:pPr>
    </w:p>
    <w:p>
      <w:pPr>
        <w:pStyle w:val="2"/>
        <w:rPr>
          <w:rFonts w:ascii="仿宋" w:hAnsi="仿宋" w:eastAsia="仿宋"/>
          <w:color w:val="auto"/>
          <w:sz w:val="32"/>
          <w:szCs w:val="32"/>
          <w:highlight w:val="none"/>
        </w:rPr>
      </w:pPr>
      <w:r>
        <w:rPr>
          <w:rFonts w:hint="eastAsia" w:eastAsia="仿宋"/>
          <w:lang w:eastAsia="zh-CN"/>
        </w:rPr>
        <w:drawing>
          <wp:inline distT="0" distB="0" distL="114300" distR="114300">
            <wp:extent cx="4269105" cy="3411220"/>
            <wp:effectExtent l="4445" t="5080" r="12700" b="1270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rPr>
          <w:rFonts w:ascii="仿宋_GB2312" w:eastAsia="仿宋_GB2312"/>
          <w:color w:val="auto"/>
          <w:sz w:val="32"/>
          <w:szCs w:val="32"/>
          <w:highlight w:val="none"/>
        </w:rPr>
      </w:pPr>
    </w:p>
    <w:p>
      <w:pPr>
        <w:spacing w:line="600" w:lineRule="exact"/>
        <w:ind w:firstLine="640" w:firstLineChars="200"/>
        <w:outlineLvl w:val="1"/>
        <w:rPr>
          <w:rStyle w:val="25"/>
          <w:rFonts w:ascii="黑体" w:hAnsi="黑体" w:eastAsia="黑体"/>
          <w:b w:val="0"/>
          <w:color w:val="auto"/>
          <w:highlight w:val="none"/>
        </w:rPr>
      </w:pPr>
      <w:bookmarkStart w:id="39" w:name="_Toc15396606"/>
      <w:bookmarkStart w:id="40" w:name="_Toc15279"/>
      <w:bookmarkStart w:id="41" w:name="_Toc15377208"/>
      <w:r>
        <w:rPr>
          <w:rFonts w:hint="eastAsia" w:ascii="黑体" w:hAnsi="黑体" w:eastAsia="黑体"/>
          <w:color w:val="auto"/>
          <w:sz w:val="32"/>
          <w:szCs w:val="32"/>
          <w:highlight w:val="none"/>
        </w:rPr>
        <w:t>四、财</w:t>
      </w:r>
      <w:r>
        <w:rPr>
          <w:rStyle w:val="25"/>
          <w:rFonts w:hint="eastAsia" w:ascii="黑体" w:hAnsi="黑体" w:eastAsia="黑体"/>
          <w:b w:val="0"/>
          <w:color w:val="auto"/>
          <w:highlight w:val="none"/>
        </w:rPr>
        <w:t>政拨款收入支出决算总体情况说明</w:t>
      </w:r>
      <w:bookmarkEnd w:id="39"/>
      <w:bookmarkEnd w:id="40"/>
      <w:bookmarkEnd w:id="41"/>
    </w:p>
    <w:p>
      <w:pPr>
        <w:spacing w:line="600" w:lineRule="exact"/>
        <w:ind w:firstLine="640" w:firstLineChars="20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年财政拨款收</w:t>
      </w:r>
      <w:r>
        <w:rPr>
          <w:rFonts w:hint="eastAsia" w:ascii="仿宋" w:hAnsi="仿宋" w:eastAsia="仿宋"/>
          <w:color w:val="auto"/>
          <w:sz w:val="32"/>
          <w:szCs w:val="32"/>
          <w:highlight w:val="none"/>
          <w:lang w:eastAsia="zh-CN"/>
        </w:rPr>
        <w:t>入</w:t>
      </w:r>
      <w:r>
        <w:rPr>
          <w:rFonts w:hint="eastAsia" w:ascii="仿宋" w:hAnsi="仿宋" w:eastAsia="仿宋"/>
          <w:color w:val="auto"/>
          <w:sz w:val="32"/>
          <w:szCs w:val="32"/>
          <w:highlight w:val="none"/>
          <w:lang w:val="en-US" w:eastAsia="zh-CN"/>
        </w:rPr>
        <w:t>1450.08万元</w:t>
      </w:r>
      <w:r>
        <w:rPr>
          <w:rFonts w:hint="eastAsia" w:ascii="仿宋" w:hAnsi="仿宋" w:eastAsia="仿宋"/>
          <w:color w:val="auto"/>
          <w:sz w:val="32"/>
          <w:szCs w:val="32"/>
          <w:highlight w:val="none"/>
        </w:rPr>
        <w:t>、支</w:t>
      </w:r>
      <w:r>
        <w:rPr>
          <w:rFonts w:hint="eastAsia" w:ascii="仿宋" w:hAnsi="仿宋" w:eastAsia="仿宋"/>
          <w:color w:val="auto"/>
          <w:sz w:val="32"/>
          <w:szCs w:val="32"/>
          <w:highlight w:val="none"/>
          <w:lang w:eastAsia="zh-CN"/>
        </w:rPr>
        <w:t>出</w:t>
      </w:r>
      <w:r>
        <w:rPr>
          <w:rFonts w:hint="eastAsia" w:ascii="仿宋" w:hAnsi="仿宋" w:eastAsia="仿宋"/>
          <w:color w:val="auto"/>
          <w:sz w:val="32"/>
          <w:szCs w:val="32"/>
          <w:highlight w:val="none"/>
        </w:rPr>
        <w:t>总计</w:t>
      </w:r>
      <w:r>
        <w:rPr>
          <w:rFonts w:hint="eastAsia" w:ascii="仿宋" w:hAnsi="仿宋" w:eastAsia="仿宋"/>
          <w:color w:val="auto"/>
          <w:sz w:val="32"/>
          <w:szCs w:val="32"/>
          <w:highlight w:val="none"/>
          <w:lang w:val="en-US" w:eastAsia="zh-CN"/>
        </w:rPr>
        <w:t>1450.08</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19</w:t>
      </w:r>
      <w:r>
        <w:rPr>
          <w:rFonts w:hint="eastAsia" w:ascii="仿宋" w:hAnsi="仿宋" w:eastAsia="仿宋"/>
          <w:color w:val="auto"/>
          <w:sz w:val="32"/>
          <w:szCs w:val="32"/>
          <w:highlight w:val="none"/>
        </w:rPr>
        <w:t>年相比，财政拨款收</w:t>
      </w:r>
      <w:r>
        <w:rPr>
          <w:rFonts w:hint="eastAsia" w:ascii="仿宋" w:hAnsi="仿宋" w:eastAsia="仿宋"/>
          <w:color w:val="auto"/>
          <w:sz w:val="32"/>
          <w:szCs w:val="32"/>
          <w:highlight w:val="none"/>
          <w:lang w:eastAsia="zh-CN"/>
        </w:rPr>
        <w:t>入减少</w:t>
      </w:r>
      <w:r>
        <w:rPr>
          <w:rFonts w:hint="eastAsia" w:ascii="仿宋" w:hAnsi="仿宋" w:eastAsia="仿宋"/>
          <w:color w:val="auto"/>
          <w:sz w:val="32"/>
          <w:szCs w:val="32"/>
          <w:highlight w:val="none"/>
          <w:lang w:val="en-US" w:eastAsia="zh-CN"/>
        </w:rPr>
        <w:t>1236.69万元，下降46.03%；支出减少1236.69万元，下降46.03%。</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脱贫攻坚结束，人员增减变动。</w:t>
      </w:r>
    </w:p>
    <w:p>
      <w:pPr>
        <w:spacing w:line="600" w:lineRule="exact"/>
        <w:rPr>
          <w:rFonts w:ascii="仿宋" w:hAnsi="仿宋" w:eastAsia="仿宋"/>
          <w:b/>
          <w:color w:val="auto"/>
          <w:sz w:val="32"/>
          <w:szCs w:val="32"/>
          <w:highlight w:val="none"/>
        </w:rPr>
      </w:pPr>
    </w:p>
    <w:p>
      <w:pPr>
        <w:spacing w:line="600" w:lineRule="exact"/>
        <w:rPr>
          <w:rFonts w:ascii="仿宋" w:hAnsi="仿宋" w:eastAsia="仿宋"/>
          <w:color w:val="auto"/>
          <w:sz w:val="32"/>
          <w:szCs w:val="32"/>
          <w:highlight w:val="none"/>
        </w:rPr>
      </w:pPr>
    </w:p>
    <w:p>
      <w:pPr>
        <w:pStyle w:val="2"/>
        <w:rPr>
          <w:rFonts w:hint="eastAsia" w:ascii="仿宋" w:hAnsi="仿宋" w:eastAsia="仿宋"/>
          <w:color w:val="auto"/>
          <w:sz w:val="32"/>
          <w:szCs w:val="32"/>
          <w:highlight w:val="none"/>
          <w:lang w:val="en-US" w:eastAsia="zh-CN"/>
        </w:rPr>
      </w:pPr>
      <w:r>
        <w:rPr>
          <w:rFonts w:hint="eastAsia" w:eastAsia="仿宋"/>
          <w:lang w:eastAsia="zh-CN"/>
        </w:rPr>
        <w:drawing>
          <wp:inline distT="0" distB="0" distL="114300" distR="114300">
            <wp:extent cx="4270375" cy="3164205"/>
            <wp:effectExtent l="4445" t="4445" r="11430" b="1270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rPr>
          <w:rFonts w:ascii="仿宋" w:hAnsi="仿宋" w:eastAsia="仿宋"/>
          <w:b/>
          <w:color w:val="auto"/>
          <w:sz w:val="32"/>
          <w:szCs w:val="32"/>
          <w:highlight w:val="none"/>
        </w:rPr>
      </w:pPr>
    </w:p>
    <w:p>
      <w:pPr>
        <w:spacing w:line="600" w:lineRule="exact"/>
        <w:ind w:firstLine="640" w:firstLineChars="200"/>
        <w:outlineLvl w:val="1"/>
        <w:rPr>
          <w:rStyle w:val="25"/>
          <w:rFonts w:ascii="黑体" w:hAnsi="黑体" w:eastAsia="黑体"/>
          <w:b w:val="0"/>
          <w:color w:val="auto"/>
          <w:highlight w:val="none"/>
        </w:rPr>
      </w:pPr>
      <w:bookmarkStart w:id="42" w:name="_Toc15377209"/>
      <w:bookmarkStart w:id="43" w:name="_Toc15396607"/>
      <w:bookmarkStart w:id="44" w:name="_Toc2588"/>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5"/>
          <w:rFonts w:hint="eastAsia" w:ascii="黑体" w:hAnsi="黑体" w:eastAsia="黑体"/>
          <w:b w:val="0"/>
          <w:color w:val="auto"/>
          <w:highlight w:val="none"/>
        </w:rPr>
        <w:t>般公共预算财政拨款支出决算情况说明</w:t>
      </w:r>
      <w:bookmarkEnd w:id="42"/>
      <w:bookmarkEnd w:id="43"/>
      <w:bookmarkEnd w:id="44"/>
    </w:p>
    <w:p>
      <w:pPr>
        <w:spacing w:line="600" w:lineRule="exact"/>
        <w:ind w:firstLine="643" w:firstLineChars="200"/>
        <w:outlineLvl w:val="2"/>
        <w:rPr>
          <w:rFonts w:ascii="仿宋" w:hAnsi="仿宋" w:eastAsia="仿宋"/>
          <w:b/>
          <w:color w:val="auto"/>
          <w:sz w:val="32"/>
          <w:szCs w:val="32"/>
          <w:highlight w:val="none"/>
        </w:rPr>
      </w:pPr>
      <w:bookmarkStart w:id="45" w:name="_Toc15377210"/>
      <w:r>
        <w:rPr>
          <w:rFonts w:hint="eastAsia" w:ascii="仿宋" w:hAnsi="仿宋" w:eastAsia="仿宋"/>
          <w:b/>
          <w:color w:val="auto"/>
          <w:sz w:val="32"/>
          <w:szCs w:val="32"/>
          <w:highlight w:val="none"/>
        </w:rPr>
        <w:t>（一）一般公共预算财政拨款支出决算总体情况</w:t>
      </w:r>
      <w:bookmarkEnd w:id="45"/>
    </w:p>
    <w:p>
      <w:pPr>
        <w:spacing w:line="600" w:lineRule="exact"/>
        <w:ind w:firstLine="640" w:firstLineChars="20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1450.08</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19</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减少</w:t>
      </w:r>
      <w:r>
        <w:rPr>
          <w:rFonts w:hint="eastAsia" w:ascii="仿宋" w:hAnsi="仿宋" w:eastAsia="仿宋"/>
          <w:color w:val="auto"/>
          <w:sz w:val="32"/>
          <w:szCs w:val="32"/>
          <w:highlight w:val="none"/>
          <w:lang w:val="en-US" w:eastAsia="zh-CN"/>
        </w:rPr>
        <w:t>1236.69</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46.03</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脱贫攻坚结束，人员增减变动。</w:t>
      </w:r>
    </w:p>
    <w:p>
      <w:pPr>
        <w:spacing w:line="600" w:lineRule="exact"/>
        <w:ind w:firstLine="640" w:firstLineChars="200"/>
        <w:rPr>
          <w:rFonts w:ascii="仿宋" w:hAnsi="仿宋" w:eastAsia="仿宋"/>
          <w:color w:val="auto"/>
          <w:sz w:val="32"/>
          <w:szCs w:val="32"/>
          <w:highlight w:val="none"/>
        </w:rPr>
      </w:pPr>
    </w:p>
    <w:p>
      <w:pPr>
        <w:pStyle w:val="2"/>
        <w:rPr>
          <w:rFonts w:ascii="仿宋" w:hAnsi="仿宋" w:eastAsia="仿宋"/>
          <w:color w:val="auto"/>
          <w:sz w:val="32"/>
          <w:szCs w:val="32"/>
          <w:highlight w:val="none"/>
        </w:rPr>
      </w:pPr>
      <w:r>
        <w:rPr>
          <w:rFonts w:hint="eastAsia" w:eastAsia="仿宋"/>
          <w:lang w:eastAsia="zh-CN"/>
        </w:rPr>
        <w:drawing>
          <wp:inline distT="0" distB="0" distL="114300" distR="114300">
            <wp:extent cx="4270375" cy="2954020"/>
            <wp:effectExtent l="5080" t="4445" r="10795" b="1333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firstLineChars="200"/>
        <w:rPr>
          <w:rFonts w:ascii="仿宋" w:hAnsi="仿宋" w:eastAsia="仿宋"/>
          <w:color w:val="auto"/>
          <w:sz w:val="32"/>
          <w:szCs w:val="32"/>
          <w:highlight w:val="none"/>
        </w:rPr>
      </w:pPr>
    </w:p>
    <w:p>
      <w:pPr>
        <w:spacing w:line="600" w:lineRule="exact"/>
        <w:ind w:firstLine="643" w:firstLineChars="200"/>
        <w:outlineLvl w:val="2"/>
        <w:rPr>
          <w:rFonts w:ascii="仿宋" w:hAnsi="仿宋" w:eastAsia="仿宋"/>
          <w:b/>
          <w:color w:val="auto"/>
          <w:sz w:val="32"/>
          <w:szCs w:val="32"/>
          <w:highlight w:val="none"/>
        </w:rPr>
      </w:pPr>
      <w:bookmarkStart w:id="46" w:name="_Toc15377211"/>
      <w:r>
        <w:rPr>
          <w:rFonts w:hint="eastAsia" w:ascii="仿宋" w:hAnsi="仿宋" w:eastAsia="仿宋"/>
          <w:b/>
          <w:color w:val="auto"/>
          <w:sz w:val="32"/>
          <w:szCs w:val="32"/>
          <w:highlight w:val="none"/>
        </w:rPr>
        <w:t>（二）一般公共预算财政拨款支出决算结构情况</w:t>
      </w:r>
      <w:bookmarkEnd w:id="46"/>
    </w:p>
    <w:p>
      <w:pPr>
        <w:spacing w:line="600" w:lineRule="exact"/>
        <w:ind w:firstLine="640"/>
        <w:rPr>
          <w:rFonts w:hint="eastAsia"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1450.08</w:t>
      </w:r>
      <w:r>
        <w:rPr>
          <w:rFonts w:hint="eastAsia" w:ascii="仿宋" w:hAnsi="仿宋" w:eastAsia="仿宋"/>
          <w:color w:val="auto"/>
          <w:sz w:val="32"/>
          <w:szCs w:val="32"/>
          <w:highlight w:val="none"/>
        </w:rPr>
        <w:t>万元，主要用于以下方面</w:t>
      </w:r>
      <w:r>
        <w:rPr>
          <w:rFonts w:hint="eastAsia" w:ascii="仿宋" w:hAnsi="仿宋" w:eastAsia="仿宋"/>
          <w:color w:val="auto"/>
          <w:sz w:val="32"/>
          <w:szCs w:val="32"/>
          <w:highlight w:val="none"/>
          <w:lang w:eastAsia="zh-CN"/>
        </w:rPr>
        <w:t>：</w:t>
      </w:r>
      <w:bookmarkStart w:id="110" w:name="_GoBack"/>
      <w:bookmarkEnd w:id="110"/>
      <w:r>
        <w:rPr>
          <w:rFonts w:hint="eastAsia" w:ascii="仿宋" w:hAnsi="仿宋" w:eastAsia="仿宋"/>
          <w:b w:val="0"/>
          <w:bCs w:val="0"/>
          <w:color w:val="auto"/>
          <w:sz w:val="32"/>
          <w:szCs w:val="32"/>
          <w:highlight w:val="none"/>
        </w:rPr>
        <w:t>一般公共服务（类）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399.45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27.55</w:t>
      </w:r>
      <w:r>
        <w:rPr>
          <w:rFonts w:ascii="仿宋" w:hAnsi="仿宋" w:eastAsia="仿宋"/>
          <w:color w:val="auto"/>
          <w:sz w:val="32"/>
          <w:szCs w:val="32"/>
          <w:highlight w:val="none"/>
        </w:rPr>
        <w:t>%</w:t>
      </w:r>
      <w:r>
        <w:rPr>
          <w:rFonts w:hint="eastAsia" w:ascii="仿宋" w:hAnsi="仿宋" w:eastAsia="仿宋"/>
          <w:b w:val="0"/>
          <w:bCs w:val="0"/>
          <w:color w:val="auto"/>
          <w:sz w:val="32"/>
          <w:szCs w:val="32"/>
          <w:highlight w:val="none"/>
        </w:rPr>
        <w:t>；文化旅游体育与传媒（类）支出</w:t>
      </w:r>
      <w:r>
        <w:rPr>
          <w:rFonts w:hint="eastAsia" w:ascii="仿宋" w:hAnsi="仿宋" w:eastAsia="仿宋"/>
          <w:b w:val="0"/>
          <w:bCs w:val="0"/>
          <w:color w:val="auto"/>
          <w:sz w:val="32"/>
          <w:szCs w:val="32"/>
          <w:highlight w:val="none"/>
          <w:lang w:val="en-US" w:eastAsia="zh-CN"/>
        </w:rPr>
        <w:t>18.38</w:t>
      </w:r>
      <w:r>
        <w:rPr>
          <w:rFonts w:hint="eastAsia" w:ascii="仿宋" w:hAnsi="仿宋" w:eastAsia="仿宋"/>
          <w:b w:val="0"/>
          <w:bCs w:val="0"/>
          <w:color w:val="auto"/>
          <w:sz w:val="32"/>
          <w:szCs w:val="32"/>
          <w:highlight w:val="none"/>
        </w:rPr>
        <w:t>万元，占</w:t>
      </w:r>
      <w:r>
        <w:rPr>
          <w:rFonts w:hint="eastAsia" w:ascii="仿宋" w:hAnsi="仿宋" w:eastAsia="仿宋"/>
          <w:b w:val="0"/>
          <w:bCs w:val="0"/>
          <w:color w:val="auto"/>
          <w:sz w:val="32"/>
          <w:szCs w:val="32"/>
          <w:highlight w:val="none"/>
          <w:lang w:val="en-US" w:eastAsia="zh-CN"/>
        </w:rPr>
        <w:t>1.27</w:t>
      </w:r>
      <w:r>
        <w:rPr>
          <w:rFonts w:ascii="仿宋" w:hAnsi="仿宋" w:eastAsia="仿宋"/>
          <w:b w:val="0"/>
          <w:bCs w:val="0"/>
          <w:color w:val="auto"/>
          <w:sz w:val="32"/>
          <w:szCs w:val="32"/>
          <w:highlight w:val="none"/>
        </w:rPr>
        <w:t>%</w:t>
      </w:r>
      <w:r>
        <w:rPr>
          <w:rFonts w:hint="eastAsia" w:ascii="仿宋" w:hAnsi="仿宋" w:eastAsia="仿宋"/>
          <w:b w:val="0"/>
          <w:bCs w:val="0"/>
          <w:color w:val="auto"/>
          <w:sz w:val="32"/>
          <w:szCs w:val="32"/>
          <w:highlight w:val="none"/>
        </w:rPr>
        <w:t>；社会保障和就业（类）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99.61</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6.87</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val="0"/>
          <w:bCs w:val="0"/>
          <w:color w:val="auto"/>
          <w:sz w:val="32"/>
          <w:szCs w:val="32"/>
          <w:highlight w:val="none"/>
        </w:rPr>
        <w:t>卫生健康支出</w:t>
      </w:r>
      <w:r>
        <w:rPr>
          <w:rFonts w:hint="eastAsia" w:ascii="仿宋" w:hAnsi="仿宋" w:eastAsia="仿宋"/>
          <w:b w:val="0"/>
          <w:bCs w:val="0"/>
          <w:color w:val="auto"/>
          <w:sz w:val="32"/>
          <w:szCs w:val="32"/>
          <w:highlight w:val="none"/>
          <w:lang w:val="en-US" w:eastAsia="zh-CN"/>
        </w:rPr>
        <w:t>29.42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2.03</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节能环保支出</w:t>
      </w:r>
      <w:r>
        <w:rPr>
          <w:rFonts w:hint="eastAsia" w:ascii="仿宋" w:hAnsi="仿宋" w:eastAsia="仿宋"/>
          <w:color w:val="auto"/>
          <w:sz w:val="32"/>
          <w:szCs w:val="32"/>
          <w:highlight w:val="none"/>
          <w:lang w:val="en-US" w:eastAsia="zh-CN"/>
        </w:rPr>
        <w:t>0.69万元，占0.05%；农林水支出844.16万元，占58.21%；交通运输支出22.41万元，占1.55%；商业服务业等支出0.70万元，占0.05%；</w:t>
      </w:r>
      <w:r>
        <w:rPr>
          <w:rFonts w:hint="eastAsia" w:ascii="仿宋" w:hAnsi="仿宋" w:eastAsia="仿宋"/>
          <w:color w:val="auto"/>
          <w:sz w:val="32"/>
          <w:szCs w:val="32"/>
          <w:highlight w:val="none"/>
        </w:rPr>
        <w:t>住房保障支出</w:t>
      </w:r>
      <w:r>
        <w:rPr>
          <w:rFonts w:hint="eastAsia" w:ascii="仿宋" w:hAnsi="仿宋" w:eastAsia="仿宋"/>
          <w:color w:val="auto"/>
          <w:sz w:val="32"/>
          <w:szCs w:val="32"/>
          <w:highlight w:val="none"/>
          <w:lang w:val="en-US" w:eastAsia="zh-CN"/>
        </w:rPr>
        <w:t>35.26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2.42</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rPr>
          <w:rFonts w:hint="eastAsia" w:ascii="仿宋" w:hAnsi="仿宋" w:eastAsia="仿宋"/>
          <w:b/>
          <w:color w:val="auto"/>
          <w:sz w:val="32"/>
          <w:szCs w:val="32"/>
          <w:highlight w:val="none"/>
        </w:rPr>
      </w:pPr>
    </w:p>
    <w:p>
      <w:pPr>
        <w:pStyle w:val="2"/>
        <w:rPr>
          <w:rFonts w:ascii="仿宋" w:hAnsi="仿宋" w:eastAsia="仿宋"/>
          <w:color w:val="auto"/>
          <w:sz w:val="32"/>
          <w:szCs w:val="32"/>
          <w:highlight w:val="none"/>
        </w:rPr>
      </w:pPr>
      <w:r>
        <w:rPr>
          <w:rFonts w:hint="eastAsia" w:eastAsia="仿宋"/>
          <w:lang w:eastAsia="zh-CN"/>
        </w:rPr>
        <w:drawing>
          <wp:inline distT="0" distB="0" distL="114300" distR="114300">
            <wp:extent cx="4280535" cy="3202305"/>
            <wp:effectExtent l="4445" t="4445" r="20320" b="1270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ind w:firstLine="640" w:firstLineChars="200"/>
        <w:rPr>
          <w:rFonts w:ascii="仿宋" w:hAnsi="仿宋" w:eastAsia="仿宋"/>
          <w:color w:val="auto"/>
          <w:sz w:val="32"/>
          <w:szCs w:val="32"/>
          <w:highlight w:val="none"/>
        </w:rPr>
      </w:pPr>
    </w:p>
    <w:p>
      <w:pPr>
        <w:spacing w:line="600" w:lineRule="exact"/>
        <w:ind w:firstLine="643" w:firstLineChars="200"/>
        <w:outlineLvl w:val="2"/>
        <w:rPr>
          <w:rFonts w:ascii="仿宋" w:hAnsi="仿宋" w:eastAsia="仿宋"/>
          <w:b/>
          <w:color w:val="auto"/>
          <w:sz w:val="32"/>
          <w:szCs w:val="32"/>
          <w:highlight w:val="none"/>
        </w:rPr>
      </w:pPr>
      <w:bookmarkStart w:id="47" w:name="_Toc15377212"/>
      <w:r>
        <w:rPr>
          <w:rFonts w:hint="eastAsia" w:ascii="仿宋" w:hAnsi="仿宋" w:eastAsia="仿宋"/>
          <w:b/>
          <w:color w:val="auto"/>
          <w:sz w:val="32"/>
          <w:szCs w:val="32"/>
          <w:highlight w:val="none"/>
        </w:rPr>
        <w:t>（三）一般公共预算财政拨款支出决算具体情况</w:t>
      </w:r>
      <w:bookmarkEnd w:id="47"/>
    </w:p>
    <w:p>
      <w:pPr>
        <w:spacing w:line="600" w:lineRule="exact"/>
        <w:ind w:firstLine="643" w:firstLineChars="200"/>
        <w:outlineLvl w:val="2"/>
        <w:rPr>
          <w:rFonts w:ascii="仿宋" w:hAnsi="仿宋" w:eastAsia="仿宋"/>
          <w:color w:val="auto"/>
          <w:sz w:val="32"/>
          <w:szCs w:val="32"/>
          <w:highlight w:val="none"/>
        </w:rPr>
      </w:pPr>
      <w:bookmarkStart w:id="48" w:name="_Toc15377213"/>
      <w:bookmarkStart w:id="49" w:name="_Toc15378460"/>
      <w:bookmarkStart w:id="50" w:name="_Toc15377444"/>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20</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1450.08万元</w:t>
      </w:r>
      <w:r>
        <w:rPr>
          <w:rFonts w:hint="eastAsia" w:ascii="仿宋" w:hAnsi="仿宋" w:eastAsia="仿宋"/>
          <w:color w:val="auto"/>
          <w:sz w:val="32"/>
          <w:szCs w:val="32"/>
          <w:highlight w:val="none"/>
        </w:rPr>
        <w:t>，</w:t>
      </w:r>
      <w:r>
        <w:rPr>
          <w:rStyle w:val="14"/>
          <w:rFonts w:hint="eastAsia" w:ascii="仿宋" w:hAnsi="仿宋" w:eastAsia="仿宋"/>
          <w:bCs/>
          <w:color w:val="auto"/>
          <w:sz w:val="32"/>
          <w:szCs w:val="32"/>
          <w:highlight w:val="none"/>
        </w:rPr>
        <w:t>完成预算</w:t>
      </w:r>
      <w:r>
        <w:rPr>
          <w:rStyle w:val="14"/>
          <w:rFonts w:hint="eastAsia" w:ascii="仿宋" w:hAnsi="仿宋" w:eastAsia="仿宋"/>
          <w:bCs/>
          <w:color w:val="auto"/>
          <w:sz w:val="32"/>
          <w:szCs w:val="32"/>
          <w:highlight w:val="none"/>
          <w:lang w:val="en-US" w:eastAsia="zh-CN"/>
        </w:rPr>
        <w:t>100</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。其中：</w:t>
      </w:r>
      <w:bookmarkEnd w:id="48"/>
      <w:bookmarkEnd w:id="49"/>
      <w:bookmarkEnd w:id="50"/>
    </w:p>
    <w:p>
      <w:pPr>
        <w:spacing w:line="600" w:lineRule="exact"/>
        <w:ind w:firstLine="643" w:firstLineChars="200"/>
        <w:rPr>
          <w:rFonts w:ascii="仿宋" w:hAnsi="仿宋" w:eastAsia="仿宋"/>
          <w:b/>
          <w:color w:val="auto"/>
          <w:sz w:val="32"/>
          <w:szCs w:val="32"/>
          <w:highlight w:val="none"/>
        </w:rPr>
      </w:pPr>
      <w:r>
        <w:rPr>
          <w:rStyle w:val="14"/>
          <w:rFonts w:ascii="仿宋" w:hAnsi="仿宋" w:eastAsia="仿宋"/>
          <w:bCs/>
          <w:color w:val="auto"/>
          <w:sz w:val="32"/>
          <w:szCs w:val="32"/>
          <w:highlight w:val="none"/>
        </w:rPr>
        <w:t>1.</w:t>
      </w:r>
      <w:r>
        <w:rPr>
          <w:rStyle w:val="14"/>
          <w:rFonts w:hint="eastAsia" w:ascii="仿宋" w:hAnsi="仿宋" w:eastAsia="仿宋"/>
          <w:bCs/>
          <w:color w:val="auto"/>
          <w:sz w:val="32"/>
          <w:szCs w:val="32"/>
          <w:highlight w:val="none"/>
        </w:rPr>
        <w:t>一般公共服务（类）</w:t>
      </w:r>
      <w:r>
        <w:rPr>
          <w:rStyle w:val="14"/>
          <w:rFonts w:hint="eastAsia" w:ascii="仿宋" w:hAnsi="仿宋" w:eastAsia="仿宋"/>
          <w:bCs/>
          <w:color w:val="auto"/>
          <w:sz w:val="32"/>
          <w:szCs w:val="32"/>
          <w:highlight w:val="none"/>
          <w:lang w:eastAsia="zh-CN"/>
        </w:rPr>
        <w:t>人大事务</w:t>
      </w:r>
      <w:r>
        <w:rPr>
          <w:rStyle w:val="14"/>
          <w:rFonts w:hint="eastAsia" w:ascii="仿宋" w:hAnsi="仿宋" w:eastAsia="仿宋"/>
          <w:bCs/>
          <w:color w:val="auto"/>
          <w:sz w:val="32"/>
          <w:szCs w:val="32"/>
          <w:highlight w:val="none"/>
        </w:rPr>
        <w:t>（款）</w:t>
      </w:r>
      <w:r>
        <w:rPr>
          <w:rStyle w:val="14"/>
          <w:rFonts w:hint="eastAsia" w:ascii="仿宋" w:hAnsi="仿宋" w:eastAsia="仿宋"/>
          <w:bCs/>
          <w:color w:val="auto"/>
          <w:sz w:val="32"/>
          <w:szCs w:val="32"/>
          <w:highlight w:val="none"/>
          <w:lang w:eastAsia="zh-CN"/>
        </w:rPr>
        <w:t>行政运行</w:t>
      </w:r>
      <w:r>
        <w:rPr>
          <w:rStyle w:val="14"/>
          <w:rFonts w:hint="eastAsia" w:ascii="仿宋" w:hAnsi="仿宋" w:eastAsia="仿宋"/>
          <w:bCs/>
          <w:color w:val="auto"/>
          <w:sz w:val="32"/>
          <w:szCs w:val="32"/>
          <w:highlight w:val="none"/>
        </w:rPr>
        <w:t>（项）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7.65</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Style w:val="14"/>
          <w:rFonts w:hint="eastAsia" w:ascii="仿宋" w:hAnsi="仿宋" w:eastAsia="仿宋"/>
          <w:bCs/>
          <w:color w:val="auto"/>
          <w:sz w:val="32"/>
          <w:szCs w:val="32"/>
          <w:highlight w:val="none"/>
          <w:lang w:val="en-US" w:eastAsia="zh-CN"/>
        </w:rPr>
        <w:t>2.</w:t>
      </w:r>
      <w:r>
        <w:rPr>
          <w:rStyle w:val="14"/>
          <w:rFonts w:hint="eastAsia" w:ascii="仿宋" w:hAnsi="仿宋" w:eastAsia="仿宋"/>
          <w:bCs/>
          <w:color w:val="auto"/>
          <w:sz w:val="32"/>
          <w:szCs w:val="32"/>
          <w:highlight w:val="none"/>
        </w:rPr>
        <w:t>一般公共服务（类）</w:t>
      </w:r>
      <w:r>
        <w:rPr>
          <w:rStyle w:val="14"/>
          <w:rFonts w:hint="eastAsia" w:ascii="仿宋" w:hAnsi="仿宋" w:eastAsia="仿宋"/>
          <w:bCs/>
          <w:color w:val="auto"/>
          <w:sz w:val="32"/>
          <w:szCs w:val="32"/>
          <w:highlight w:val="none"/>
          <w:lang w:eastAsia="zh-CN"/>
        </w:rPr>
        <w:t>政府办公厅（室）及相关机构事务（款）行政运行（项）：</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317.08</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Style w:val="14"/>
          <w:rFonts w:hint="eastAsia" w:ascii="仿宋" w:hAnsi="仿宋" w:eastAsia="仿宋"/>
          <w:bCs/>
          <w:color w:val="auto"/>
          <w:sz w:val="32"/>
          <w:szCs w:val="32"/>
          <w:highlight w:val="none"/>
          <w:lang w:val="en-US" w:eastAsia="zh-CN"/>
        </w:rPr>
        <w:t>3.</w:t>
      </w:r>
      <w:r>
        <w:rPr>
          <w:rStyle w:val="14"/>
          <w:rFonts w:hint="eastAsia" w:ascii="仿宋" w:hAnsi="仿宋" w:eastAsia="仿宋"/>
          <w:bCs/>
          <w:color w:val="auto"/>
          <w:sz w:val="32"/>
          <w:szCs w:val="32"/>
          <w:highlight w:val="none"/>
        </w:rPr>
        <w:t>一般公共服务（类）</w:t>
      </w:r>
      <w:r>
        <w:rPr>
          <w:rStyle w:val="14"/>
          <w:rFonts w:hint="eastAsia" w:ascii="仿宋" w:hAnsi="仿宋" w:eastAsia="仿宋"/>
          <w:bCs/>
          <w:color w:val="auto"/>
          <w:sz w:val="32"/>
          <w:szCs w:val="32"/>
          <w:highlight w:val="none"/>
          <w:lang w:eastAsia="zh-CN"/>
        </w:rPr>
        <w:t>政府办公厅（室）及相关机构事务（款）一般行政管理事务（项）：</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23.75</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Style w:val="14"/>
          <w:rFonts w:hint="eastAsia" w:ascii="仿宋" w:hAnsi="仿宋" w:eastAsia="仿宋"/>
          <w:bCs/>
          <w:color w:val="auto"/>
          <w:sz w:val="32"/>
          <w:szCs w:val="32"/>
          <w:highlight w:val="none"/>
          <w:lang w:val="en-US" w:eastAsia="zh-CN"/>
        </w:rPr>
        <w:t>4.</w:t>
      </w:r>
      <w:r>
        <w:rPr>
          <w:rStyle w:val="14"/>
          <w:rFonts w:hint="eastAsia" w:ascii="仿宋" w:hAnsi="仿宋" w:eastAsia="仿宋"/>
          <w:bCs/>
          <w:color w:val="auto"/>
          <w:sz w:val="32"/>
          <w:szCs w:val="32"/>
          <w:highlight w:val="none"/>
        </w:rPr>
        <w:t>一般公共服务（类）</w:t>
      </w:r>
      <w:r>
        <w:rPr>
          <w:rStyle w:val="14"/>
          <w:rFonts w:hint="eastAsia" w:ascii="仿宋" w:hAnsi="仿宋" w:eastAsia="仿宋"/>
          <w:bCs/>
          <w:color w:val="auto"/>
          <w:sz w:val="32"/>
          <w:szCs w:val="32"/>
          <w:highlight w:val="none"/>
          <w:lang w:eastAsia="zh-CN"/>
        </w:rPr>
        <w:t>财政事务（款）行政运行（项）：</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30.24</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Style w:val="14"/>
          <w:rFonts w:hint="eastAsia" w:ascii="仿宋" w:hAnsi="仿宋" w:eastAsia="仿宋"/>
          <w:bCs/>
          <w:color w:val="auto"/>
          <w:sz w:val="32"/>
          <w:szCs w:val="32"/>
          <w:highlight w:val="none"/>
          <w:lang w:val="en-US" w:eastAsia="zh-CN"/>
        </w:rPr>
        <w:t>5.</w:t>
      </w:r>
      <w:r>
        <w:rPr>
          <w:rStyle w:val="14"/>
          <w:rFonts w:hint="eastAsia" w:ascii="仿宋" w:hAnsi="仿宋" w:eastAsia="仿宋"/>
          <w:bCs/>
          <w:color w:val="auto"/>
          <w:sz w:val="32"/>
          <w:szCs w:val="32"/>
          <w:highlight w:val="none"/>
        </w:rPr>
        <w:t>一般公共服务（类）</w:t>
      </w:r>
      <w:r>
        <w:rPr>
          <w:rStyle w:val="14"/>
          <w:rFonts w:hint="eastAsia" w:ascii="仿宋" w:hAnsi="仿宋" w:eastAsia="仿宋"/>
          <w:bCs/>
          <w:color w:val="auto"/>
          <w:sz w:val="32"/>
          <w:szCs w:val="32"/>
          <w:highlight w:val="none"/>
          <w:lang w:eastAsia="zh-CN"/>
        </w:rPr>
        <w:t>财政事务（款）事业运行（项）：</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3.00</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Style w:val="14"/>
          <w:rFonts w:hint="eastAsia" w:ascii="仿宋" w:hAnsi="仿宋" w:eastAsia="仿宋"/>
          <w:bCs/>
          <w:color w:val="auto"/>
          <w:sz w:val="32"/>
          <w:szCs w:val="32"/>
          <w:highlight w:val="none"/>
          <w:lang w:val="en-US" w:eastAsia="zh-CN"/>
        </w:rPr>
        <w:t>6.</w:t>
      </w:r>
      <w:r>
        <w:rPr>
          <w:rStyle w:val="14"/>
          <w:rFonts w:hint="eastAsia" w:ascii="仿宋" w:hAnsi="仿宋" w:eastAsia="仿宋"/>
          <w:bCs/>
          <w:color w:val="auto"/>
          <w:sz w:val="32"/>
          <w:szCs w:val="32"/>
          <w:highlight w:val="none"/>
        </w:rPr>
        <w:t>一般公共服务（类）</w:t>
      </w:r>
      <w:r>
        <w:rPr>
          <w:rStyle w:val="14"/>
          <w:rFonts w:hint="eastAsia" w:ascii="仿宋" w:hAnsi="仿宋" w:eastAsia="仿宋"/>
          <w:bCs/>
          <w:color w:val="auto"/>
          <w:sz w:val="32"/>
          <w:szCs w:val="32"/>
          <w:highlight w:val="none"/>
          <w:lang w:eastAsia="zh-CN"/>
        </w:rPr>
        <w:t>党委办公厅（室）及相关机构事务（款）行政运行（项）：</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14.68</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3" w:firstLineChars="200"/>
        <w:rPr>
          <w:rStyle w:val="14"/>
          <w:rFonts w:hint="eastAsia" w:ascii="仿宋" w:hAnsi="仿宋" w:eastAsia="仿宋"/>
          <w:bCs/>
          <w:color w:val="auto"/>
          <w:sz w:val="32"/>
          <w:szCs w:val="32"/>
          <w:highlight w:val="none"/>
          <w:lang w:val="en-US" w:eastAsia="zh-CN"/>
        </w:rPr>
      </w:pPr>
      <w:r>
        <w:rPr>
          <w:rStyle w:val="14"/>
          <w:rFonts w:hint="eastAsia" w:ascii="仿宋" w:hAnsi="仿宋" w:eastAsia="仿宋"/>
          <w:bCs/>
          <w:color w:val="auto"/>
          <w:sz w:val="32"/>
          <w:szCs w:val="32"/>
          <w:highlight w:val="none"/>
          <w:lang w:val="en-US" w:eastAsia="zh-CN"/>
        </w:rPr>
        <w:t>7.</w:t>
      </w:r>
      <w:r>
        <w:rPr>
          <w:rStyle w:val="14"/>
          <w:rFonts w:hint="eastAsia" w:ascii="仿宋" w:hAnsi="仿宋" w:eastAsia="仿宋"/>
          <w:bCs/>
          <w:color w:val="auto"/>
          <w:sz w:val="32"/>
          <w:szCs w:val="32"/>
          <w:highlight w:val="none"/>
        </w:rPr>
        <w:t>一般公共服务（类）</w:t>
      </w:r>
      <w:r>
        <w:rPr>
          <w:rStyle w:val="14"/>
          <w:rFonts w:hint="eastAsia" w:ascii="仿宋" w:hAnsi="仿宋" w:eastAsia="仿宋"/>
          <w:bCs/>
          <w:color w:val="auto"/>
          <w:sz w:val="32"/>
          <w:szCs w:val="32"/>
          <w:highlight w:val="none"/>
          <w:lang w:eastAsia="zh-CN"/>
        </w:rPr>
        <w:t>其他一般公共服务支出（款）其他一般公共服务支出（项）：</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3.05</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Style w:val="14"/>
          <w:rFonts w:hint="eastAsia" w:ascii="仿宋" w:hAnsi="仿宋" w:eastAsia="仿宋"/>
          <w:bCs/>
          <w:color w:val="auto"/>
          <w:sz w:val="32"/>
          <w:szCs w:val="32"/>
          <w:highlight w:val="none"/>
          <w:lang w:val="en-US" w:eastAsia="zh-CN"/>
        </w:rPr>
        <w:t>8</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文化旅游体育与传媒（类）</w:t>
      </w:r>
      <w:r>
        <w:rPr>
          <w:rStyle w:val="14"/>
          <w:rFonts w:hint="eastAsia" w:ascii="仿宋" w:hAnsi="仿宋" w:eastAsia="仿宋"/>
          <w:bCs/>
          <w:color w:val="auto"/>
          <w:sz w:val="32"/>
          <w:szCs w:val="32"/>
          <w:highlight w:val="none"/>
          <w:lang w:eastAsia="zh-CN"/>
        </w:rPr>
        <w:t>文化和旅游</w:t>
      </w:r>
      <w:r>
        <w:rPr>
          <w:rStyle w:val="14"/>
          <w:rFonts w:hint="eastAsia" w:ascii="仿宋" w:hAnsi="仿宋" w:eastAsia="仿宋"/>
          <w:bCs/>
          <w:color w:val="auto"/>
          <w:sz w:val="32"/>
          <w:szCs w:val="32"/>
          <w:highlight w:val="none"/>
        </w:rPr>
        <w:t>（款）</w:t>
      </w:r>
      <w:r>
        <w:rPr>
          <w:rStyle w:val="14"/>
          <w:rFonts w:hint="eastAsia" w:ascii="仿宋" w:hAnsi="仿宋" w:eastAsia="仿宋"/>
          <w:bCs/>
          <w:color w:val="auto"/>
          <w:sz w:val="32"/>
          <w:szCs w:val="32"/>
          <w:highlight w:val="none"/>
          <w:lang w:eastAsia="zh-CN"/>
        </w:rPr>
        <w:t>群众文化</w:t>
      </w:r>
      <w:r>
        <w:rPr>
          <w:rStyle w:val="14"/>
          <w:rFonts w:hint="eastAsia" w:ascii="仿宋" w:hAnsi="仿宋" w:eastAsia="仿宋"/>
          <w:bCs/>
          <w:color w:val="auto"/>
          <w:sz w:val="32"/>
          <w:szCs w:val="32"/>
          <w:highlight w:val="none"/>
        </w:rPr>
        <w:t>（项）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15.38</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3" w:firstLineChars="200"/>
        <w:rPr>
          <w:rStyle w:val="14"/>
          <w:rFonts w:hint="default" w:ascii="仿宋" w:hAnsi="仿宋" w:eastAsia="仿宋"/>
          <w:bCs/>
          <w:color w:val="auto"/>
          <w:sz w:val="32"/>
          <w:szCs w:val="32"/>
          <w:highlight w:val="none"/>
          <w:lang w:val="en-US" w:eastAsia="zh-CN"/>
        </w:rPr>
      </w:pPr>
      <w:r>
        <w:rPr>
          <w:rStyle w:val="14"/>
          <w:rFonts w:hint="eastAsia" w:ascii="仿宋" w:hAnsi="仿宋" w:eastAsia="仿宋"/>
          <w:bCs/>
          <w:color w:val="auto"/>
          <w:sz w:val="32"/>
          <w:szCs w:val="32"/>
          <w:highlight w:val="none"/>
          <w:lang w:val="en-US" w:eastAsia="zh-CN"/>
        </w:rPr>
        <w:t>9.</w:t>
      </w:r>
      <w:r>
        <w:rPr>
          <w:rStyle w:val="14"/>
          <w:rFonts w:hint="eastAsia" w:ascii="仿宋" w:hAnsi="仿宋" w:eastAsia="仿宋"/>
          <w:bCs/>
          <w:color w:val="auto"/>
          <w:sz w:val="32"/>
          <w:szCs w:val="32"/>
          <w:highlight w:val="none"/>
        </w:rPr>
        <w:t>文化旅游体育与传媒（类）</w:t>
      </w:r>
      <w:r>
        <w:rPr>
          <w:rStyle w:val="14"/>
          <w:rFonts w:hint="eastAsia" w:ascii="仿宋" w:hAnsi="仿宋" w:eastAsia="仿宋"/>
          <w:bCs/>
          <w:color w:val="auto"/>
          <w:sz w:val="32"/>
          <w:szCs w:val="32"/>
          <w:highlight w:val="none"/>
          <w:lang w:eastAsia="zh-CN"/>
        </w:rPr>
        <w:t>文化和旅游</w:t>
      </w:r>
      <w:r>
        <w:rPr>
          <w:rStyle w:val="14"/>
          <w:rFonts w:hint="eastAsia" w:ascii="仿宋" w:hAnsi="仿宋" w:eastAsia="仿宋"/>
          <w:bCs/>
          <w:color w:val="auto"/>
          <w:sz w:val="32"/>
          <w:szCs w:val="32"/>
          <w:highlight w:val="none"/>
        </w:rPr>
        <w:t>（款）</w:t>
      </w:r>
      <w:r>
        <w:rPr>
          <w:rStyle w:val="14"/>
          <w:rFonts w:hint="eastAsia" w:ascii="仿宋" w:hAnsi="仿宋" w:eastAsia="仿宋"/>
          <w:bCs/>
          <w:color w:val="auto"/>
          <w:sz w:val="32"/>
          <w:szCs w:val="32"/>
          <w:highlight w:val="none"/>
          <w:lang w:eastAsia="zh-CN"/>
        </w:rPr>
        <w:t>其他文化和旅游支出</w:t>
      </w:r>
      <w:r>
        <w:rPr>
          <w:rStyle w:val="14"/>
          <w:rFonts w:hint="eastAsia" w:ascii="仿宋" w:hAnsi="仿宋" w:eastAsia="仿宋"/>
          <w:bCs/>
          <w:color w:val="auto"/>
          <w:sz w:val="32"/>
          <w:szCs w:val="32"/>
          <w:highlight w:val="none"/>
        </w:rPr>
        <w:t>（项）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3.00</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Style w:val="14"/>
          <w:rFonts w:hint="eastAsia" w:ascii="仿宋" w:hAnsi="仿宋" w:eastAsia="仿宋"/>
          <w:bCs/>
          <w:color w:val="auto"/>
          <w:sz w:val="32"/>
          <w:szCs w:val="32"/>
          <w:highlight w:val="none"/>
          <w:lang w:val="en-US" w:eastAsia="zh-CN"/>
        </w:rPr>
        <w:t>10</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社会保障和就业（类）</w:t>
      </w:r>
      <w:r>
        <w:rPr>
          <w:rStyle w:val="14"/>
          <w:rFonts w:hint="eastAsia" w:ascii="仿宋" w:hAnsi="仿宋" w:eastAsia="仿宋"/>
          <w:bCs/>
          <w:color w:val="auto"/>
          <w:sz w:val="32"/>
          <w:szCs w:val="32"/>
          <w:highlight w:val="none"/>
          <w:lang w:eastAsia="zh-CN"/>
        </w:rPr>
        <w:t>人力资源和社会保障管理事务</w:t>
      </w:r>
      <w:r>
        <w:rPr>
          <w:rStyle w:val="14"/>
          <w:rFonts w:hint="eastAsia" w:ascii="仿宋" w:hAnsi="仿宋" w:eastAsia="仿宋"/>
          <w:bCs/>
          <w:color w:val="auto"/>
          <w:sz w:val="32"/>
          <w:szCs w:val="32"/>
          <w:highlight w:val="none"/>
        </w:rPr>
        <w:t>（款）</w:t>
      </w:r>
      <w:r>
        <w:rPr>
          <w:rStyle w:val="14"/>
          <w:rFonts w:hint="eastAsia" w:ascii="仿宋" w:hAnsi="仿宋" w:eastAsia="仿宋"/>
          <w:bCs/>
          <w:color w:val="auto"/>
          <w:sz w:val="32"/>
          <w:szCs w:val="32"/>
          <w:highlight w:val="none"/>
          <w:lang w:eastAsia="zh-CN"/>
        </w:rPr>
        <w:t>社会保险经办机构</w:t>
      </w:r>
      <w:r>
        <w:rPr>
          <w:rStyle w:val="14"/>
          <w:rFonts w:hint="eastAsia" w:ascii="仿宋" w:hAnsi="仿宋" w:eastAsia="仿宋"/>
          <w:bCs/>
          <w:color w:val="auto"/>
          <w:sz w:val="32"/>
          <w:szCs w:val="32"/>
          <w:highlight w:val="none"/>
        </w:rPr>
        <w:t>（项）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13.30</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Style w:val="14"/>
          <w:rFonts w:hint="eastAsia" w:ascii="仿宋" w:hAnsi="仿宋" w:eastAsia="仿宋"/>
          <w:bCs/>
          <w:color w:val="auto"/>
          <w:sz w:val="32"/>
          <w:szCs w:val="32"/>
          <w:highlight w:val="none"/>
          <w:lang w:val="en-US" w:eastAsia="zh-CN"/>
        </w:rPr>
        <w:t>11.</w:t>
      </w:r>
      <w:r>
        <w:rPr>
          <w:rStyle w:val="14"/>
          <w:rFonts w:hint="eastAsia" w:ascii="仿宋" w:hAnsi="仿宋" w:eastAsia="仿宋"/>
          <w:bCs/>
          <w:color w:val="auto"/>
          <w:sz w:val="32"/>
          <w:szCs w:val="32"/>
          <w:highlight w:val="none"/>
        </w:rPr>
        <w:t>社会保障和就业（类）</w:t>
      </w:r>
      <w:r>
        <w:rPr>
          <w:rStyle w:val="14"/>
          <w:rFonts w:hint="eastAsia" w:ascii="仿宋" w:hAnsi="仿宋" w:eastAsia="仿宋"/>
          <w:bCs/>
          <w:color w:val="auto"/>
          <w:sz w:val="32"/>
          <w:szCs w:val="32"/>
          <w:highlight w:val="none"/>
          <w:lang w:eastAsia="zh-CN"/>
        </w:rPr>
        <w:t>行政事业单位养老支出（款）机关事业单位基本养老保险缴费支出</w:t>
      </w:r>
      <w:r>
        <w:rPr>
          <w:rStyle w:val="14"/>
          <w:rFonts w:hint="eastAsia" w:ascii="仿宋" w:hAnsi="仿宋" w:eastAsia="仿宋"/>
          <w:bCs/>
          <w:color w:val="auto"/>
          <w:sz w:val="32"/>
          <w:szCs w:val="32"/>
          <w:highlight w:val="none"/>
        </w:rPr>
        <w:t>（项）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47.01</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3" w:firstLineChars="200"/>
        <w:rPr>
          <w:rStyle w:val="14"/>
          <w:rFonts w:hint="default" w:ascii="仿宋" w:hAnsi="仿宋" w:eastAsia="仿宋"/>
          <w:bCs/>
          <w:color w:val="auto"/>
          <w:sz w:val="32"/>
          <w:szCs w:val="32"/>
          <w:highlight w:val="none"/>
          <w:lang w:val="en-US" w:eastAsia="zh-CN"/>
        </w:rPr>
      </w:pPr>
      <w:r>
        <w:rPr>
          <w:rStyle w:val="14"/>
          <w:rFonts w:hint="eastAsia" w:ascii="仿宋" w:hAnsi="仿宋" w:eastAsia="仿宋"/>
          <w:bCs/>
          <w:color w:val="auto"/>
          <w:sz w:val="32"/>
          <w:szCs w:val="32"/>
          <w:highlight w:val="none"/>
          <w:lang w:val="en-US" w:eastAsia="zh-CN"/>
        </w:rPr>
        <w:t>12.</w:t>
      </w:r>
      <w:r>
        <w:rPr>
          <w:rStyle w:val="14"/>
          <w:rFonts w:hint="eastAsia" w:ascii="仿宋" w:hAnsi="仿宋" w:eastAsia="仿宋"/>
          <w:bCs/>
          <w:color w:val="auto"/>
          <w:sz w:val="32"/>
          <w:szCs w:val="32"/>
          <w:highlight w:val="none"/>
        </w:rPr>
        <w:t>社会保障和就业（类）</w:t>
      </w:r>
      <w:r>
        <w:rPr>
          <w:rStyle w:val="14"/>
          <w:rFonts w:hint="eastAsia" w:ascii="仿宋" w:hAnsi="仿宋" w:eastAsia="仿宋"/>
          <w:bCs/>
          <w:color w:val="auto"/>
          <w:sz w:val="32"/>
          <w:szCs w:val="32"/>
          <w:highlight w:val="none"/>
          <w:lang w:eastAsia="zh-CN"/>
        </w:rPr>
        <w:t>就业补助（款）公益性岗位补贴（项）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39.30</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3" w:firstLineChars="200"/>
        <w:rPr>
          <w:rFonts w:hint="default" w:ascii="仿宋" w:hAnsi="仿宋" w:eastAsia="仿宋"/>
          <w:color w:val="auto"/>
          <w:sz w:val="32"/>
          <w:szCs w:val="32"/>
          <w:highlight w:val="none"/>
          <w:lang w:val="en-US" w:eastAsia="zh-CN"/>
        </w:rPr>
      </w:pPr>
      <w:r>
        <w:rPr>
          <w:rStyle w:val="14"/>
          <w:rFonts w:hint="eastAsia" w:ascii="仿宋" w:hAnsi="仿宋" w:eastAsia="仿宋"/>
          <w:bCs/>
          <w:color w:val="auto"/>
          <w:sz w:val="32"/>
          <w:szCs w:val="32"/>
          <w:highlight w:val="none"/>
          <w:lang w:val="en-US" w:eastAsia="zh-CN"/>
        </w:rPr>
        <w:t>13</w:t>
      </w:r>
      <w:r>
        <w:rPr>
          <w:rStyle w:val="14"/>
          <w:rFonts w:ascii="仿宋" w:hAnsi="仿宋" w:eastAsia="仿宋"/>
          <w:bCs/>
          <w:color w:val="auto"/>
          <w:sz w:val="32"/>
          <w:szCs w:val="32"/>
          <w:highlight w:val="none"/>
        </w:rPr>
        <w:t>.</w:t>
      </w:r>
      <w:r>
        <w:rPr>
          <w:rFonts w:hint="eastAsia" w:ascii="仿宋" w:hAnsi="仿宋" w:eastAsia="仿宋"/>
          <w:b/>
          <w:bCs/>
          <w:color w:val="auto"/>
          <w:sz w:val="32"/>
          <w:szCs w:val="32"/>
          <w:highlight w:val="none"/>
        </w:rPr>
        <w:t>卫生健康</w:t>
      </w:r>
      <w:r>
        <w:rPr>
          <w:rStyle w:val="14"/>
          <w:rFonts w:hint="eastAsia" w:ascii="仿宋" w:hAnsi="仿宋" w:eastAsia="仿宋"/>
          <w:bCs/>
          <w:color w:val="auto"/>
          <w:sz w:val="32"/>
          <w:szCs w:val="32"/>
          <w:highlight w:val="none"/>
        </w:rPr>
        <w:t>（类）</w:t>
      </w:r>
      <w:r>
        <w:rPr>
          <w:rStyle w:val="14"/>
          <w:rFonts w:hint="eastAsia" w:ascii="仿宋" w:hAnsi="仿宋" w:eastAsia="仿宋"/>
          <w:bCs/>
          <w:color w:val="auto"/>
          <w:sz w:val="32"/>
          <w:szCs w:val="32"/>
          <w:highlight w:val="none"/>
          <w:lang w:eastAsia="zh-CN"/>
        </w:rPr>
        <w:t>公共卫生</w:t>
      </w:r>
      <w:r>
        <w:rPr>
          <w:rStyle w:val="14"/>
          <w:rFonts w:hint="eastAsia" w:ascii="仿宋" w:hAnsi="仿宋" w:eastAsia="仿宋"/>
          <w:bCs/>
          <w:color w:val="auto"/>
          <w:sz w:val="32"/>
          <w:szCs w:val="32"/>
          <w:highlight w:val="none"/>
        </w:rPr>
        <w:t>（款）</w:t>
      </w:r>
      <w:r>
        <w:rPr>
          <w:rStyle w:val="14"/>
          <w:rFonts w:hint="eastAsia" w:ascii="仿宋" w:hAnsi="仿宋" w:eastAsia="仿宋"/>
          <w:bCs/>
          <w:color w:val="auto"/>
          <w:sz w:val="32"/>
          <w:szCs w:val="32"/>
          <w:highlight w:val="none"/>
          <w:lang w:eastAsia="zh-CN"/>
        </w:rPr>
        <w:t>其他公共卫生支出</w:t>
      </w:r>
      <w:r>
        <w:rPr>
          <w:rStyle w:val="14"/>
          <w:rFonts w:hint="eastAsia" w:ascii="仿宋" w:hAnsi="仿宋" w:eastAsia="仿宋"/>
          <w:bCs/>
          <w:color w:val="auto"/>
          <w:sz w:val="32"/>
          <w:szCs w:val="32"/>
          <w:highlight w:val="none"/>
        </w:rPr>
        <w:t>（项）</w:t>
      </w:r>
      <w:r>
        <w:rPr>
          <w:rStyle w:val="14"/>
          <w:rFonts w:hint="eastAsia" w:ascii="仿宋" w:hAnsi="仿宋" w:eastAsia="仿宋"/>
          <w:bCs/>
          <w:color w:val="auto"/>
          <w:sz w:val="32"/>
          <w:szCs w:val="32"/>
          <w:highlight w:val="none"/>
          <w:lang w:eastAsia="zh-CN"/>
        </w:rPr>
        <w:t>：</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1.42</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3" w:firstLineChars="200"/>
        <w:rPr>
          <w:rFonts w:hint="default" w:ascii="仿宋" w:hAnsi="仿宋" w:eastAsia="仿宋"/>
          <w:color w:val="auto"/>
          <w:sz w:val="32"/>
          <w:szCs w:val="32"/>
          <w:highlight w:val="none"/>
          <w:lang w:val="en-US" w:eastAsia="zh-CN"/>
        </w:rPr>
      </w:pPr>
      <w:r>
        <w:rPr>
          <w:rFonts w:hint="eastAsia" w:ascii="仿宋" w:hAnsi="仿宋" w:eastAsia="仿宋"/>
          <w:b/>
          <w:bCs/>
          <w:color w:val="auto"/>
          <w:sz w:val="32"/>
          <w:szCs w:val="32"/>
          <w:highlight w:val="none"/>
          <w:lang w:val="en-US" w:eastAsia="zh-CN"/>
        </w:rPr>
        <w:t>14.</w:t>
      </w:r>
      <w:r>
        <w:rPr>
          <w:rFonts w:hint="eastAsia" w:ascii="仿宋" w:hAnsi="仿宋" w:eastAsia="仿宋"/>
          <w:b/>
          <w:bCs/>
          <w:color w:val="auto"/>
          <w:sz w:val="32"/>
          <w:szCs w:val="32"/>
          <w:highlight w:val="none"/>
        </w:rPr>
        <w:t>卫生健康</w:t>
      </w:r>
      <w:r>
        <w:rPr>
          <w:rStyle w:val="14"/>
          <w:rFonts w:hint="eastAsia" w:ascii="仿宋" w:hAnsi="仿宋" w:eastAsia="仿宋"/>
          <w:bCs/>
          <w:color w:val="auto"/>
          <w:sz w:val="32"/>
          <w:szCs w:val="32"/>
          <w:highlight w:val="none"/>
        </w:rPr>
        <w:t>（类）</w:t>
      </w:r>
      <w:r>
        <w:rPr>
          <w:rStyle w:val="14"/>
          <w:rFonts w:hint="eastAsia" w:ascii="仿宋" w:hAnsi="仿宋" w:eastAsia="仿宋"/>
          <w:bCs/>
          <w:color w:val="auto"/>
          <w:sz w:val="32"/>
          <w:szCs w:val="32"/>
          <w:highlight w:val="none"/>
          <w:lang w:eastAsia="zh-CN"/>
        </w:rPr>
        <w:t>行政事业单位医疗（款）行政单位医疗（项）：</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12.28</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3" w:firstLineChars="200"/>
        <w:rPr>
          <w:rFonts w:hint="default" w:ascii="仿宋" w:hAnsi="仿宋" w:eastAsia="仿宋"/>
          <w:color w:val="auto"/>
          <w:sz w:val="32"/>
          <w:szCs w:val="32"/>
          <w:highlight w:val="none"/>
          <w:lang w:val="en-US" w:eastAsia="zh-CN"/>
        </w:rPr>
      </w:pPr>
      <w:r>
        <w:rPr>
          <w:rFonts w:hint="eastAsia" w:ascii="仿宋" w:hAnsi="仿宋" w:eastAsia="仿宋"/>
          <w:b/>
          <w:bCs/>
          <w:color w:val="auto"/>
          <w:sz w:val="32"/>
          <w:szCs w:val="32"/>
          <w:highlight w:val="none"/>
          <w:lang w:val="en-US" w:eastAsia="zh-CN"/>
        </w:rPr>
        <w:t>15.</w:t>
      </w:r>
      <w:r>
        <w:rPr>
          <w:rFonts w:hint="eastAsia" w:ascii="仿宋" w:hAnsi="仿宋" w:eastAsia="仿宋"/>
          <w:b/>
          <w:bCs/>
          <w:color w:val="auto"/>
          <w:sz w:val="32"/>
          <w:szCs w:val="32"/>
          <w:highlight w:val="none"/>
        </w:rPr>
        <w:t>卫生健康</w:t>
      </w:r>
      <w:r>
        <w:rPr>
          <w:rStyle w:val="14"/>
          <w:rFonts w:hint="eastAsia" w:ascii="仿宋" w:hAnsi="仿宋" w:eastAsia="仿宋"/>
          <w:bCs/>
          <w:color w:val="auto"/>
          <w:sz w:val="32"/>
          <w:szCs w:val="32"/>
          <w:highlight w:val="none"/>
        </w:rPr>
        <w:t>（类）</w:t>
      </w:r>
      <w:r>
        <w:rPr>
          <w:rStyle w:val="14"/>
          <w:rFonts w:hint="eastAsia" w:ascii="仿宋" w:hAnsi="仿宋" w:eastAsia="仿宋"/>
          <w:bCs/>
          <w:color w:val="auto"/>
          <w:sz w:val="32"/>
          <w:szCs w:val="32"/>
          <w:highlight w:val="none"/>
          <w:lang w:eastAsia="zh-CN"/>
        </w:rPr>
        <w:t>行政事业单位医疗（款）事业单位医疗（项）：</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12.77</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3" w:firstLineChars="200"/>
        <w:rPr>
          <w:rFonts w:hint="default" w:ascii="仿宋" w:hAnsi="仿宋" w:eastAsia="仿宋"/>
          <w:b/>
          <w:bCs/>
          <w:color w:val="auto"/>
          <w:sz w:val="32"/>
          <w:szCs w:val="32"/>
          <w:highlight w:val="none"/>
          <w:lang w:val="en-US" w:eastAsia="zh-CN"/>
        </w:rPr>
      </w:pPr>
      <w:r>
        <w:rPr>
          <w:rFonts w:hint="eastAsia" w:ascii="仿宋" w:hAnsi="仿宋" w:eastAsia="仿宋"/>
          <w:b/>
          <w:bCs/>
          <w:color w:val="auto"/>
          <w:sz w:val="32"/>
          <w:szCs w:val="32"/>
          <w:highlight w:val="none"/>
          <w:lang w:val="en-US" w:eastAsia="zh-CN"/>
        </w:rPr>
        <w:t>16.</w:t>
      </w:r>
      <w:r>
        <w:rPr>
          <w:rFonts w:hint="eastAsia" w:ascii="仿宋" w:hAnsi="仿宋" w:eastAsia="仿宋"/>
          <w:b/>
          <w:bCs/>
          <w:color w:val="auto"/>
          <w:sz w:val="32"/>
          <w:szCs w:val="32"/>
          <w:highlight w:val="none"/>
        </w:rPr>
        <w:t>卫生健康</w:t>
      </w:r>
      <w:r>
        <w:rPr>
          <w:rStyle w:val="14"/>
          <w:rFonts w:hint="eastAsia" w:ascii="仿宋" w:hAnsi="仿宋" w:eastAsia="仿宋"/>
          <w:bCs/>
          <w:color w:val="auto"/>
          <w:sz w:val="32"/>
          <w:szCs w:val="32"/>
          <w:highlight w:val="none"/>
        </w:rPr>
        <w:t>（类）</w:t>
      </w:r>
      <w:r>
        <w:rPr>
          <w:rStyle w:val="14"/>
          <w:rFonts w:hint="eastAsia" w:ascii="仿宋" w:hAnsi="仿宋" w:eastAsia="仿宋"/>
          <w:bCs/>
          <w:color w:val="auto"/>
          <w:sz w:val="32"/>
          <w:szCs w:val="32"/>
          <w:highlight w:val="none"/>
          <w:lang w:eastAsia="zh-CN"/>
        </w:rPr>
        <w:t>行政事业单位医疗（款）公务员医疗补助（项）：</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2.95</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3" w:firstLineChars="200"/>
        <w:rPr>
          <w:rFonts w:hint="default" w:ascii="仿宋" w:hAnsi="仿宋" w:eastAsia="仿宋"/>
          <w:b/>
          <w:bCs/>
          <w:color w:val="auto"/>
          <w:sz w:val="32"/>
          <w:szCs w:val="32"/>
          <w:highlight w:val="none"/>
          <w:lang w:val="en-US" w:eastAsia="zh-CN"/>
        </w:rPr>
      </w:pPr>
      <w:r>
        <w:rPr>
          <w:rFonts w:hint="eastAsia" w:ascii="仿宋" w:hAnsi="仿宋" w:eastAsia="仿宋"/>
          <w:b/>
          <w:bCs/>
          <w:color w:val="auto"/>
          <w:sz w:val="32"/>
          <w:szCs w:val="32"/>
          <w:highlight w:val="none"/>
          <w:lang w:val="en-US" w:eastAsia="zh-CN"/>
        </w:rPr>
        <w:t>17.节能环保支出（类）天然林保护（款）森林管护（项）：</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0.69</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3" w:firstLineChars="200"/>
        <w:rPr>
          <w:rFonts w:hint="default" w:ascii="仿宋" w:hAnsi="仿宋" w:eastAsia="仿宋"/>
          <w:b/>
          <w:bCs/>
          <w:color w:val="auto"/>
          <w:sz w:val="32"/>
          <w:szCs w:val="32"/>
          <w:highlight w:val="none"/>
          <w:lang w:val="en-US" w:eastAsia="zh-CN"/>
        </w:rPr>
      </w:pPr>
      <w:r>
        <w:rPr>
          <w:rFonts w:hint="eastAsia" w:ascii="仿宋" w:hAnsi="仿宋" w:eastAsia="仿宋"/>
          <w:b/>
          <w:bCs/>
          <w:color w:val="auto"/>
          <w:sz w:val="32"/>
          <w:szCs w:val="32"/>
          <w:highlight w:val="none"/>
          <w:lang w:val="en-US" w:eastAsia="zh-CN"/>
        </w:rPr>
        <w:t>18.农林水支出（类）农业农村（款）事业运行（项）：</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72.03</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3" w:firstLineChars="200"/>
        <w:rPr>
          <w:rFonts w:hint="default" w:ascii="仿宋" w:hAnsi="仿宋" w:eastAsia="仿宋"/>
          <w:b/>
          <w:bCs/>
          <w:color w:val="auto"/>
          <w:sz w:val="32"/>
          <w:szCs w:val="32"/>
          <w:highlight w:val="none"/>
          <w:lang w:val="en-US" w:eastAsia="zh-CN"/>
        </w:rPr>
      </w:pPr>
      <w:r>
        <w:rPr>
          <w:rFonts w:hint="eastAsia" w:ascii="仿宋" w:hAnsi="仿宋" w:eastAsia="仿宋"/>
          <w:b/>
          <w:bCs/>
          <w:color w:val="auto"/>
          <w:sz w:val="32"/>
          <w:szCs w:val="32"/>
          <w:highlight w:val="none"/>
          <w:lang w:val="en-US" w:eastAsia="zh-CN"/>
        </w:rPr>
        <w:t>19.农林水支出（类）林业和草原（款）事业机构（项）：</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14.97</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3" w:firstLineChars="200"/>
        <w:rPr>
          <w:rFonts w:hint="default" w:ascii="仿宋" w:hAnsi="仿宋" w:eastAsia="仿宋"/>
          <w:b/>
          <w:bCs/>
          <w:color w:val="auto"/>
          <w:sz w:val="32"/>
          <w:szCs w:val="32"/>
          <w:highlight w:val="none"/>
          <w:lang w:val="en-US" w:eastAsia="zh-CN"/>
        </w:rPr>
      </w:pPr>
      <w:r>
        <w:rPr>
          <w:rFonts w:hint="eastAsia" w:ascii="仿宋" w:hAnsi="仿宋" w:eastAsia="仿宋"/>
          <w:b/>
          <w:bCs/>
          <w:color w:val="auto"/>
          <w:sz w:val="32"/>
          <w:szCs w:val="32"/>
          <w:highlight w:val="none"/>
          <w:lang w:val="en-US" w:eastAsia="zh-CN"/>
        </w:rPr>
        <w:t>20.农林水支出（类）水利（款）水利技术推广（项）：</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7.50</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仿宋" w:hAnsi="仿宋" w:eastAsia="仿宋"/>
          <w:b/>
          <w:bCs/>
          <w:color w:val="auto"/>
          <w:sz w:val="32"/>
          <w:szCs w:val="32"/>
          <w:highlight w:val="none"/>
          <w:lang w:val="en-US" w:eastAsia="zh-CN"/>
        </w:rPr>
      </w:pPr>
      <w:r>
        <w:rPr>
          <w:rFonts w:hint="eastAsia" w:ascii="仿宋" w:hAnsi="仿宋" w:eastAsia="仿宋"/>
          <w:b/>
          <w:bCs/>
          <w:color w:val="auto"/>
          <w:sz w:val="32"/>
          <w:szCs w:val="32"/>
          <w:highlight w:val="none"/>
          <w:lang w:val="en-US" w:eastAsia="zh-CN"/>
        </w:rPr>
        <w:t>21.农林水支出（类）扶贫（款）农村基础设施建设（项）：</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438.15</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仿宋" w:hAnsi="仿宋" w:eastAsia="仿宋"/>
          <w:b/>
          <w:bCs/>
          <w:color w:val="auto"/>
          <w:sz w:val="32"/>
          <w:szCs w:val="32"/>
          <w:highlight w:val="none"/>
          <w:lang w:val="en-US" w:eastAsia="zh-CN"/>
        </w:rPr>
      </w:pPr>
      <w:r>
        <w:rPr>
          <w:rFonts w:hint="eastAsia" w:ascii="仿宋" w:hAnsi="仿宋" w:eastAsia="仿宋"/>
          <w:b/>
          <w:bCs/>
          <w:color w:val="auto"/>
          <w:sz w:val="32"/>
          <w:szCs w:val="32"/>
          <w:highlight w:val="none"/>
          <w:lang w:val="en-US" w:eastAsia="zh-CN"/>
        </w:rPr>
        <w:t>22.农林水支出（类）扶贫（款）生产发展（项）：</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0.49</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仿宋" w:hAnsi="仿宋" w:eastAsia="仿宋"/>
          <w:b/>
          <w:bCs/>
          <w:color w:val="auto"/>
          <w:sz w:val="32"/>
          <w:szCs w:val="32"/>
          <w:highlight w:val="none"/>
          <w:lang w:val="en-US" w:eastAsia="zh-CN"/>
        </w:rPr>
      </w:pPr>
      <w:r>
        <w:rPr>
          <w:rFonts w:hint="eastAsia" w:ascii="仿宋" w:hAnsi="仿宋" w:eastAsia="仿宋"/>
          <w:b/>
          <w:bCs/>
          <w:color w:val="auto"/>
          <w:sz w:val="32"/>
          <w:szCs w:val="32"/>
          <w:highlight w:val="none"/>
          <w:lang w:val="en-US" w:eastAsia="zh-CN"/>
        </w:rPr>
        <w:t>23.农林水支出（类）扶贫（款）其他扶贫支出（项）：</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80.31</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3" w:firstLineChars="200"/>
        <w:rPr>
          <w:rStyle w:val="14"/>
          <w:rFonts w:hint="eastAsia" w:ascii="仿宋" w:hAnsi="仿宋" w:eastAsia="仿宋"/>
          <w:b w:val="0"/>
          <w:bCs/>
          <w:color w:val="auto"/>
          <w:sz w:val="32"/>
          <w:szCs w:val="32"/>
          <w:highlight w:val="none"/>
        </w:rPr>
      </w:pPr>
      <w:r>
        <w:rPr>
          <w:rFonts w:hint="eastAsia" w:ascii="仿宋" w:hAnsi="仿宋" w:eastAsia="仿宋"/>
          <w:b/>
          <w:bCs/>
          <w:color w:val="auto"/>
          <w:sz w:val="32"/>
          <w:szCs w:val="32"/>
          <w:highlight w:val="none"/>
          <w:lang w:val="en-US" w:eastAsia="zh-CN"/>
        </w:rPr>
        <w:t>24.农林水支出（类）农村综合改革（款）对村民委员会和村党支部的补助（项）：</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230.71</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3" w:firstLineChars="200"/>
        <w:rPr>
          <w:rStyle w:val="14"/>
          <w:rFonts w:hint="eastAsia" w:ascii="仿宋" w:hAnsi="仿宋" w:eastAsia="仿宋"/>
          <w:b w:val="0"/>
          <w:bCs/>
          <w:color w:val="auto"/>
          <w:sz w:val="32"/>
          <w:szCs w:val="32"/>
          <w:highlight w:val="none"/>
        </w:rPr>
      </w:pPr>
      <w:r>
        <w:rPr>
          <w:rStyle w:val="14"/>
          <w:rFonts w:hint="eastAsia" w:ascii="仿宋" w:hAnsi="仿宋" w:eastAsia="仿宋"/>
          <w:b/>
          <w:bCs w:val="0"/>
          <w:color w:val="auto"/>
          <w:sz w:val="32"/>
          <w:szCs w:val="32"/>
          <w:highlight w:val="none"/>
          <w:lang w:val="en-US" w:eastAsia="zh-CN"/>
        </w:rPr>
        <w:t>25.交通运输支出（类）公路水路运输（款）公路运输管理（项）</w:t>
      </w:r>
      <w:r>
        <w:rPr>
          <w:rFonts w:hint="eastAsia" w:ascii="仿宋" w:hAnsi="仿宋" w:eastAsia="仿宋"/>
          <w:b/>
          <w:bCs/>
          <w:color w:val="auto"/>
          <w:sz w:val="32"/>
          <w:szCs w:val="32"/>
          <w:highlight w:val="none"/>
          <w:lang w:val="en-US" w:eastAsia="zh-CN"/>
        </w:rPr>
        <w:t>：</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22.41</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3" w:firstLineChars="200"/>
        <w:rPr>
          <w:rStyle w:val="14"/>
          <w:rFonts w:hint="eastAsia" w:ascii="仿宋" w:hAnsi="仿宋" w:eastAsia="仿宋"/>
          <w:b/>
          <w:bCs w:val="0"/>
          <w:color w:val="auto"/>
          <w:sz w:val="32"/>
          <w:szCs w:val="32"/>
          <w:highlight w:val="none"/>
          <w:lang w:val="en-US" w:eastAsia="zh-CN"/>
        </w:rPr>
      </w:pPr>
      <w:r>
        <w:rPr>
          <w:rStyle w:val="14"/>
          <w:rFonts w:hint="eastAsia" w:ascii="仿宋" w:hAnsi="仿宋" w:eastAsia="仿宋"/>
          <w:b/>
          <w:bCs w:val="0"/>
          <w:color w:val="auto"/>
          <w:sz w:val="32"/>
          <w:szCs w:val="32"/>
          <w:highlight w:val="none"/>
          <w:lang w:val="en-US" w:eastAsia="zh-CN"/>
        </w:rPr>
        <w:t>26.商业服务业等支出（类）商业流通事务（款）其他商业流通事务支出（项）</w:t>
      </w:r>
      <w:r>
        <w:rPr>
          <w:rFonts w:hint="eastAsia" w:ascii="仿宋" w:hAnsi="仿宋" w:eastAsia="仿宋"/>
          <w:b/>
          <w:bCs/>
          <w:color w:val="auto"/>
          <w:sz w:val="32"/>
          <w:szCs w:val="32"/>
          <w:highlight w:val="none"/>
          <w:lang w:val="en-US" w:eastAsia="zh-CN"/>
        </w:rPr>
        <w:t>：</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0.70</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Fonts w:hint="eastAsia" w:ascii="仿宋" w:hAnsi="仿宋" w:eastAsia="仿宋"/>
          <w:b/>
          <w:bCs/>
          <w:color w:val="auto"/>
          <w:sz w:val="32"/>
          <w:szCs w:val="32"/>
          <w:highlight w:val="none"/>
          <w:lang w:val="en-US" w:eastAsia="zh-CN"/>
        </w:rPr>
        <w:t>27.住房保障支出（类）住房改革支出（款）住房公积金（项）：</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35.26</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0"/>
        <w:rPr>
          <w:rFonts w:ascii="仿宋" w:hAnsi="仿宋" w:eastAsia="仿宋"/>
          <w:b/>
          <w:color w:val="auto"/>
          <w:sz w:val="32"/>
          <w:szCs w:val="32"/>
          <w:highlight w:val="none"/>
        </w:rPr>
      </w:pPr>
    </w:p>
    <w:p>
      <w:pPr>
        <w:tabs>
          <w:tab w:val="right" w:pos="8306"/>
        </w:tabs>
        <w:spacing w:line="600" w:lineRule="exact"/>
        <w:ind w:firstLine="640"/>
        <w:outlineLvl w:val="1"/>
        <w:rPr>
          <w:rStyle w:val="25"/>
          <w:color w:val="auto"/>
          <w:highlight w:val="none"/>
        </w:rPr>
      </w:pPr>
      <w:bookmarkStart w:id="51" w:name="_Toc15377214"/>
      <w:bookmarkStart w:id="52" w:name="_Toc2133"/>
      <w:bookmarkStart w:id="53" w:name="_Toc15396608"/>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5"/>
          <w:rFonts w:hint="eastAsia" w:ascii="黑体" w:hAnsi="黑体" w:eastAsia="黑体"/>
          <w:b w:val="0"/>
          <w:color w:val="auto"/>
          <w:highlight w:val="none"/>
        </w:rPr>
        <w:t>般公共预算财政拨款基本支出决算情况说明</w:t>
      </w:r>
      <w:bookmarkEnd w:id="51"/>
      <w:bookmarkEnd w:id="52"/>
      <w:bookmarkEnd w:id="53"/>
      <w:r>
        <w:rPr>
          <w:rStyle w:val="25"/>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819.22</w:t>
      </w:r>
      <w:r>
        <w:rPr>
          <w:rFonts w:hint="eastAsia" w:ascii="仿宋" w:hAnsi="仿宋" w:eastAsia="仿宋"/>
          <w:color w:val="auto"/>
          <w:sz w:val="32"/>
          <w:szCs w:val="32"/>
          <w:highlight w:val="none"/>
        </w:rPr>
        <w:t>万元，其中：</w:t>
      </w:r>
    </w:p>
    <w:p>
      <w:pPr>
        <w:spacing w:line="600" w:lineRule="exact"/>
        <w:ind w:firstLine="645"/>
        <w:rPr>
          <w:rFonts w:ascii="仿宋" w:hAnsi="仿宋" w:eastAsia="仿宋"/>
          <w:b/>
          <w:color w:val="auto"/>
          <w:sz w:val="32"/>
          <w:szCs w:val="32"/>
          <w:highlight w:val="none"/>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695.29</w:t>
      </w:r>
      <w:r>
        <w:rPr>
          <w:rFonts w:hint="eastAsia" w:ascii="仿宋" w:hAnsi="仿宋" w:eastAsia="仿宋"/>
          <w:color w:val="auto"/>
          <w:sz w:val="32"/>
          <w:szCs w:val="32"/>
          <w:highlight w:val="none"/>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auto"/>
          <w:sz w:val="32"/>
          <w:szCs w:val="32"/>
          <w:highlight w:val="none"/>
        </w:rPr>
        <w:br w:type="textWrapping"/>
      </w:r>
      <w:r>
        <w:rPr>
          <w:rFonts w:hint="eastAsia" w:ascii="仿宋" w:hAnsi="仿宋" w:eastAsia="仿宋"/>
          <w:color w:val="auto"/>
          <w:sz w:val="32"/>
          <w:szCs w:val="32"/>
          <w:highlight w:val="none"/>
        </w:rPr>
        <w:t>　　公用经费</w:t>
      </w:r>
      <w:r>
        <w:rPr>
          <w:rFonts w:hint="eastAsia" w:ascii="仿宋" w:hAnsi="仿宋" w:eastAsia="仿宋"/>
          <w:color w:val="auto"/>
          <w:sz w:val="32"/>
          <w:szCs w:val="32"/>
          <w:highlight w:val="none"/>
          <w:lang w:val="en-US" w:eastAsia="zh-CN"/>
        </w:rPr>
        <w:t>123.93</w:t>
      </w:r>
      <w:r>
        <w:rPr>
          <w:rFonts w:hint="eastAsia" w:ascii="仿宋" w:hAnsi="仿宋" w:eastAsia="仿宋"/>
          <w:color w:val="auto"/>
          <w:sz w:val="32"/>
          <w:szCs w:val="32"/>
          <w:highlight w:val="none"/>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rPr>
          <w:rFonts w:ascii="仿宋" w:hAnsi="仿宋" w:eastAsia="仿宋"/>
          <w:b/>
          <w:color w:val="auto"/>
          <w:sz w:val="32"/>
          <w:szCs w:val="32"/>
          <w:highlight w:val="none"/>
        </w:rPr>
      </w:pPr>
    </w:p>
    <w:p>
      <w:pPr>
        <w:spacing w:line="600" w:lineRule="exact"/>
        <w:ind w:firstLine="640"/>
        <w:outlineLvl w:val="1"/>
        <w:rPr>
          <w:rStyle w:val="25"/>
          <w:rFonts w:ascii="黑体" w:hAnsi="黑体" w:eastAsia="黑体"/>
          <w:b w:val="0"/>
          <w:color w:val="auto"/>
          <w:highlight w:val="none"/>
        </w:rPr>
      </w:pPr>
      <w:bookmarkStart w:id="54" w:name="_Toc15377215"/>
      <w:bookmarkStart w:id="55" w:name="_Toc15396609"/>
      <w:bookmarkStart w:id="56" w:name="_Toc16093"/>
      <w:r>
        <w:rPr>
          <w:rFonts w:hint="eastAsia" w:ascii="黑体" w:eastAsia="黑体"/>
          <w:color w:val="auto"/>
          <w:sz w:val="32"/>
          <w:szCs w:val="32"/>
          <w:highlight w:val="none"/>
        </w:rPr>
        <w:t>七、</w:t>
      </w:r>
      <w:r>
        <w:rPr>
          <w:rStyle w:val="25"/>
          <w:rFonts w:hint="eastAsia" w:ascii="黑体" w:hAnsi="黑体" w:eastAsia="黑体"/>
          <w:color w:val="auto"/>
          <w:highlight w:val="none"/>
        </w:rPr>
        <w:t>“</w:t>
      </w:r>
      <w:r>
        <w:rPr>
          <w:rStyle w:val="25"/>
          <w:rFonts w:hint="eastAsia" w:ascii="黑体" w:hAnsi="黑体" w:eastAsia="黑体"/>
          <w:b w:val="0"/>
          <w:color w:val="auto"/>
          <w:highlight w:val="none"/>
        </w:rPr>
        <w:t>三公”经费财政拨款支出决算情况说明</w:t>
      </w:r>
      <w:bookmarkEnd w:id="54"/>
      <w:bookmarkEnd w:id="55"/>
      <w:bookmarkEnd w:id="56"/>
    </w:p>
    <w:p>
      <w:pPr>
        <w:spacing w:line="600" w:lineRule="exact"/>
        <w:ind w:firstLine="640"/>
        <w:outlineLvl w:val="2"/>
        <w:rPr>
          <w:rFonts w:ascii="仿宋" w:hAnsi="仿宋" w:eastAsia="仿宋"/>
          <w:b/>
          <w:color w:val="auto"/>
          <w:sz w:val="32"/>
          <w:szCs w:val="32"/>
          <w:highlight w:val="none"/>
        </w:rPr>
      </w:pPr>
      <w:bookmarkStart w:id="57" w:name="_Toc15377216"/>
      <w:r>
        <w:rPr>
          <w:rFonts w:hint="eastAsia" w:ascii="仿宋" w:hAnsi="仿宋" w:eastAsia="仿宋"/>
          <w:b/>
          <w:color w:val="auto"/>
          <w:sz w:val="32"/>
          <w:szCs w:val="32"/>
          <w:highlight w:val="none"/>
        </w:rPr>
        <w:t>（一）“三公”经费财政拨款支出决算总体情况说明</w:t>
      </w:r>
      <w:bookmarkEnd w:id="57"/>
    </w:p>
    <w:p>
      <w:pPr>
        <w:spacing w:line="600" w:lineRule="exact"/>
        <w:ind w:firstLine="640"/>
        <w:rPr>
          <w:rFonts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1.20</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，决算数与预算数持平。</w:t>
      </w:r>
    </w:p>
    <w:p>
      <w:pPr>
        <w:spacing w:line="600" w:lineRule="exact"/>
        <w:ind w:firstLine="640"/>
        <w:outlineLvl w:val="2"/>
        <w:rPr>
          <w:rFonts w:ascii="仿宋" w:hAnsi="仿宋" w:eastAsia="仿宋"/>
          <w:b/>
          <w:color w:val="auto"/>
          <w:sz w:val="32"/>
          <w:szCs w:val="32"/>
          <w:highlight w:val="none"/>
        </w:rPr>
      </w:pPr>
      <w:bookmarkStart w:id="58" w:name="_Toc15377217"/>
      <w:r>
        <w:rPr>
          <w:rFonts w:hint="eastAsia" w:ascii="仿宋" w:hAnsi="仿宋" w:eastAsia="仿宋"/>
          <w:b/>
          <w:color w:val="auto"/>
          <w:sz w:val="32"/>
          <w:szCs w:val="32"/>
          <w:highlight w:val="none"/>
        </w:rPr>
        <w:t>（二）“三公”经费财政拨款支出决算具体情况说明</w:t>
      </w:r>
      <w:bookmarkEnd w:id="58"/>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1.20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pStyle w:val="2"/>
        <w:rPr>
          <w:rFonts w:hint="eastAsia" w:ascii="仿宋" w:hAnsi="仿宋" w:eastAsia="仿宋"/>
          <w:color w:val="auto"/>
          <w:sz w:val="32"/>
          <w:szCs w:val="32"/>
          <w:highlight w:val="none"/>
        </w:rPr>
      </w:pPr>
    </w:p>
    <w:p>
      <w:pPr>
        <w:pStyle w:val="2"/>
        <w:rPr>
          <w:rFonts w:ascii="仿宋" w:hAnsi="仿宋" w:eastAsia="仿宋"/>
          <w:color w:val="auto"/>
          <w:sz w:val="32"/>
          <w:szCs w:val="32"/>
          <w:highlight w:val="none"/>
        </w:rPr>
      </w:pPr>
      <w:r>
        <w:rPr>
          <w:rFonts w:hint="eastAsia" w:ascii="仿宋" w:hAnsi="仿宋" w:eastAsia="仿宋"/>
          <w:color w:val="auto"/>
          <w:sz w:val="32"/>
          <w:szCs w:val="32"/>
          <w:highlight w:val="none"/>
          <w:lang w:eastAsia="zh-CN"/>
        </w:rPr>
        <w:drawing>
          <wp:inline distT="0" distB="0" distL="114300" distR="114300">
            <wp:extent cx="4289425" cy="3248025"/>
            <wp:effectExtent l="4445" t="4445" r="11430" b="508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完成预算</w:t>
      </w:r>
      <w:r>
        <w:rPr>
          <w:rStyle w:val="14"/>
          <w:rFonts w:hint="eastAsia" w:ascii="仿宋" w:hAnsi="仿宋" w:eastAsia="仿宋"/>
          <w:b w:val="0"/>
          <w:bCs/>
          <w:color w:val="auto"/>
          <w:sz w:val="32"/>
          <w:szCs w:val="32"/>
          <w:highlight w:val="none"/>
          <w:lang w:val="en-US" w:eastAsia="zh-CN"/>
        </w:rPr>
        <w:t>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全年安排因公出国（境）团组</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次，出国（境）</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b w:val="0"/>
          <w:bCs/>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r>
        <w:rPr>
          <w:rStyle w:val="14"/>
          <w:rFonts w:hint="eastAsia" w:ascii="仿宋" w:hAnsi="仿宋" w:eastAsia="仿宋"/>
          <w:b w:val="0"/>
          <w:bCs/>
          <w:color w:val="auto"/>
          <w:sz w:val="32"/>
          <w:szCs w:val="32"/>
          <w:highlight w:val="none"/>
        </w:rPr>
        <w:t>完成预算</w:t>
      </w:r>
      <w:r>
        <w:rPr>
          <w:rStyle w:val="14"/>
          <w:rFonts w:hint="eastAsia" w:ascii="仿宋" w:hAnsi="仿宋" w:eastAsia="仿宋"/>
          <w:b w:val="0"/>
          <w:bCs/>
          <w:color w:val="auto"/>
          <w:sz w:val="32"/>
          <w:szCs w:val="32"/>
          <w:highlight w:val="none"/>
          <w:lang w:val="en-US" w:eastAsia="zh-CN"/>
        </w:rPr>
        <w:t>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0" w:firstLineChars="200"/>
        <w:rPr>
          <w:rFonts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b w:val="0"/>
          <w:bCs/>
          <w:color w:val="auto"/>
          <w:sz w:val="32"/>
          <w:szCs w:val="32"/>
          <w:highlight w:val="none"/>
          <w:lang w:val="en-US" w:eastAsia="zh-CN"/>
        </w:rPr>
        <w:t>0</w:t>
      </w:r>
      <w:r>
        <w:rPr>
          <w:rFonts w:hint="eastAsia" w:ascii="仿宋_GB2312" w:eastAsia="仿宋_GB2312"/>
          <w:color w:val="auto"/>
          <w:sz w:val="32"/>
          <w:szCs w:val="32"/>
          <w:highlight w:val="none"/>
        </w:rPr>
        <w:t>万元。全年按规定更新购置公务用车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万元，越野车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万元，载客汽车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月底，单位共有公务用车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辆、越野车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辆、载客汽车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p>
    <w:p>
      <w:pPr>
        <w:spacing w:line="600" w:lineRule="exact"/>
        <w:ind w:firstLine="640"/>
        <w:rPr>
          <w:rFonts w:hint="eastAsia" w:ascii="仿宋_GB2312" w:eastAsia="仿宋_GB2312"/>
          <w:color w:val="auto"/>
          <w:sz w:val="32"/>
          <w:szCs w:val="32"/>
          <w:highlight w:val="none"/>
          <w:lang w:eastAsia="zh-CN"/>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1.2</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19</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0.3</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20</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接待减少</w:t>
      </w:r>
      <w:r>
        <w:rPr>
          <w:rFonts w:hint="eastAsia" w:ascii="仿宋_GB2312" w:eastAsia="仿宋_GB2312"/>
          <w:color w:val="auto"/>
          <w:sz w:val="32"/>
          <w:szCs w:val="32"/>
          <w:highlight w:val="none"/>
        </w:rPr>
        <w:t>。其中：</w:t>
      </w:r>
    </w:p>
    <w:p>
      <w:pPr>
        <w:spacing w:line="600" w:lineRule="exact"/>
        <w:ind w:firstLine="640"/>
        <w:rPr>
          <w:rFonts w:hint="eastAsia" w:ascii="仿宋_GB2312" w:eastAsia="仿宋_GB2312"/>
          <w:color w:val="auto"/>
          <w:sz w:val="32"/>
          <w:szCs w:val="32"/>
          <w:highlight w:val="yellow"/>
          <w:lang w:eastAsia="zh-CN"/>
        </w:rPr>
      </w:pPr>
      <w:r>
        <w:rPr>
          <w:rFonts w:hint="eastAsia" w:ascii="仿宋" w:hAnsi="仿宋" w:eastAsia="仿宋"/>
          <w:b/>
          <w:color w:val="auto"/>
          <w:sz w:val="32"/>
          <w:szCs w:val="32"/>
          <w:highlight w:val="none"/>
        </w:rPr>
        <w:t>国内公务接待支出</w:t>
      </w:r>
      <w:r>
        <w:rPr>
          <w:rFonts w:hint="eastAsia" w:ascii="仿宋" w:hAnsi="仿宋" w:eastAsia="仿宋"/>
          <w:b w:val="0"/>
          <w:bCs/>
          <w:color w:val="auto"/>
          <w:sz w:val="32"/>
          <w:szCs w:val="32"/>
          <w:highlight w:val="none"/>
          <w:lang w:val="en-US" w:eastAsia="zh-CN"/>
        </w:rPr>
        <w:t>1.2</w:t>
      </w:r>
      <w:r>
        <w:rPr>
          <w:rFonts w:hint="eastAsia" w:ascii="仿宋_GB2312" w:eastAsia="仿宋_GB2312"/>
          <w:color w:val="auto"/>
          <w:sz w:val="32"/>
          <w:szCs w:val="32"/>
          <w:highlight w:val="none"/>
        </w:rPr>
        <w:t>万元，主要用于执行公务、开展业务活动开支的交通费、住宿费、用餐费等。国内公务接待</w:t>
      </w:r>
      <w:r>
        <w:rPr>
          <w:rFonts w:hint="eastAsia" w:ascii="仿宋_GB2312" w:eastAsia="仿宋_GB2312"/>
          <w:color w:val="auto"/>
          <w:sz w:val="32"/>
          <w:szCs w:val="32"/>
          <w:highlight w:val="none"/>
          <w:lang w:val="en-US" w:eastAsia="zh-CN"/>
        </w:rPr>
        <w:t>24</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285</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1.2</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p>
    <w:p>
      <w:pPr>
        <w:spacing w:line="600" w:lineRule="exact"/>
        <w:ind w:firstLine="643" w:firstLineChars="200"/>
        <w:rPr>
          <w:rFonts w:hint="eastAsia" w:ascii="仿宋_GB2312" w:eastAsia="仿宋_GB2312"/>
          <w:color w:val="auto"/>
          <w:sz w:val="32"/>
          <w:szCs w:val="32"/>
          <w:highlight w:val="none"/>
          <w:lang w:eastAsia="zh-CN"/>
        </w:rPr>
      </w:pPr>
      <w:r>
        <w:rPr>
          <w:rFonts w:hint="eastAsia" w:ascii="仿宋" w:hAnsi="仿宋" w:eastAsia="仿宋"/>
          <w:b/>
          <w:color w:val="auto"/>
          <w:sz w:val="32"/>
          <w:szCs w:val="32"/>
          <w:highlight w:val="none"/>
        </w:rPr>
        <w:t>外事接待支出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万元，外事接待</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人，共计支出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p>
    <w:p>
      <w:pPr>
        <w:spacing w:line="600" w:lineRule="exact"/>
        <w:ind w:firstLine="640"/>
        <w:outlineLvl w:val="1"/>
        <w:rPr>
          <w:rFonts w:ascii="黑体" w:eastAsia="黑体"/>
          <w:color w:val="auto"/>
          <w:sz w:val="32"/>
          <w:szCs w:val="32"/>
          <w:highlight w:val="none"/>
        </w:rPr>
      </w:pPr>
      <w:bookmarkStart w:id="59" w:name="_Toc15377218"/>
      <w:bookmarkStart w:id="60" w:name="_Toc15396610"/>
    </w:p>
    <w:p>
      <w:pPr>
        <w:spacing w:line="600" w:lineRule="exact"/>
        <w:ind w:firstLine="640"/>
        <w:outlineLvl w:val="1"/>
        <w:rPr>
          <w:rStyle w:val="25"/>
          <w:rFonts w:ascii="黑体" w:hAnsi="黑体" w:eastAsia="黑体"/>
          <w:color w:val="auto"/>
          <w:highlight w:val="none"/>
        </w:rPr>
      </w:pPr>
      <w:bookmarkStart w:id="61" w:name="_Toc32417"/>
      <w:r>
        <w:rPr>
          <w:rFonts w:hint="eastAsia" w:ascii="黑体" w:eastAsia="黑体"/>
          <w:color w:val="auto"/>
          <w:sz w:val="32"/>
          <w:szCs w:val="32"/>
          <w:highlight w:val="none"/>
        </w:rPr>
        <w:t>八、</w:t>
      </w:r>
      <w:r>
        <w:rPr>
          <w:rStyle w:val="25"/>
          <w:rFonts w:hint="eastAsia" w:ascii="黑体" w:hAnsi="黑体" w:eastAsia="黑体"/>
          <w:b w:val="0"/>
          <w:color w:val="auto"/>
          <w:highlight w:val="none"/>
        </w:rPr>
        <w:t>政府性基金预算支出决算情况说明</w:t>
      </w:r>
      <w:bookmarkEnd w:id="59"/>
      <w:bookmarkEnd w:id="60"/>
      <w:bookmarkEnd w:id="61"/>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0"/>
        <w:rPr>
          <w:rFonts w:ascii="仿宋_GB2312" w:eastAsia="仿宋_GB2312"/>
          <w:color w:val="auto"/>
          <w:sz w:val="32"/>
          <w:szCs w:val="32"/>
          <w:highlight w:val="none"/>
        </w:rPr>
      </w:pPr>
    </w:p>
    <w:p>
      <w:pPr>
        <w:numPr>
          <w:ilvl w:val="0"/>
          <w:numId w:val="3"/>
        </w:numPr>
        <w:spacing w:line="600" w:lineRule="exact"/>
        <w:ind w:firstLine="640"/>
        <w:outlineLvl w:val="1"/>
        <w:rPr>
          <w:rStyle w:val="25"/>
          <w:rFonts w:ascii="黑体" w:hAnsi="黑体" w:eastAsia="黑体"/>
          <w:b w:val="0"/>
          <w:color w:val="auto"/>
          <w:highlight w:val="none"/>
        </w:rPr>
      </w:pPr>
      <w:bookmarkStart w:id="62" w:name="_Toc15377219"/>
      <w:bookmarkStart w:id="63" w:name="_Toc28781"/>
      <w:bookmarkStart w:id="64" w:name="_Toc15396611"/>
      <w:r>
        <w:rPr>
          <w:rStyle w:val="25"/>
          <w:rFonts w:hint="eastAsia" w:ascii="黑体" w:hAnsi="黑体" w:eastAsia="黑体"/>
          <w:b w:val="0"/>
          <w:color w:val="auto"/>
          <w:highlight w:val="none"/>
        </w:rPr>
        <w:t>国有资本经营预算支出决算情况说明</w:t>
      </w:r>
      <w:bookmarkEnd w:id="62"/>
      <w:bookmarkEnd w:id="63"/>
      <w:bookmarkEnd w:id="64"/>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580" w:lineRule="exact"/>
        <w:jc w:val="center"/>
        <w:rPr>
          <w:rFonts w:ascii="方正小标宋简体" w:hAnsi="方正小标宋简体" w:eastAsia="方正小标宋简体" w:cs="方正小标宋简体"/>
          <w:color w:val="auto"/>
          <w:sz w:val="44"/>
          <w:szCs w:val="44"/>
          <w:highlight w:val="none"/>
        </w:rPr>
      </w:pPr>
    </w:p>
    <w:p>
      <w:pPr>
        <w:numPr>
          <w:ilvl w:val="0"/>
          <w:numId w:val="3"/>
        </w:numPr>
        <w:spacing w:line="600" w:lineRule="exact"/>
        <w:ind w:firstLine="640"/>
        <w:outlineLvl w:val="1"/>
        <w:rPr>
          <w:rStyle w:val="25"/>
          <w:rFonts w:hint="eastAsia" w:ascii="黑体" w:hAnsi="黑体" w:eastAsia="黑体"/>
          <w:b w:val="0"/>
          <w:color w:val="auto"/>
          <w:highlight w:val="none"/>
        </w:rPr>
      </w:pPr>
      <w:bookmarkStart w:id="65" w:name="_Toc15396612"/>
      <w:bookmarkStart w:id="66" w:name="_Toc15377221"/>
      <w:bookmarkStart w:id="67" w:name="_Toc13871"/>
      <w:r>
        <w:rPr>
          <w:rStyle w:val="25"/>
          <w:rFonts w:hint="eastAsia" w:ascii="黑体" w:hAnsi="黑体" w:eastAsia="黑体"/>
          <w:b w:val="0"/>
          <w:color w:val="auto"/>
          <w:highlight w:val="none"/>
        </w:rPr>
        <w:t>其他重要事项的情况说明</w:t>
      </w:r>
      <w:bookmarkEnd w:id="65"/>
      <w:bookmarkEnd w:id="66"/>
      <w:bookmarkEnd w:id="67"/>
    </w:p>
    <w:p>
      <w:pPr>
        <w:spacing w:line="600" w:lineRule="exact"/>
        <w:ind w:firstLine="643" w:firstLineChars="200"/>
        <w:outlineLvl w:val="2"/>
        <w:rPr>
          <w:rFonts w:ascii="仿宋" w:hAnsi="仿宋" w:eastAsia="仿宋"/>
          <w:color w:val="auto"/>
          <w:sz w:val="32"/>
          <w:szCs w:val="32"/>
          <w:highlight w:val="none"/>
        </w:rPr>
      </w:pPr>
      <w:bookmarkStart w:id="68" w:name="_Toc15377222"/>
      <w:r>
        <w:rPr>
          <w:rFonts w:hint="eastAsia" w:ascii="仿宋" w:hAnsi="仿宋" w:eastAsia="仿宋"/>
          <w:b/>
          <w:color w:val="auto"/>
          <w:sz w:val="32"/>
          <w:szCs w:val="32"/>
          <w:highlight w:val="none"/>
        </w:rPr>
        <w:t>（一）机关运行经费支出情况</w:t>
      </w:r>
      <w:bookmarkEnd w:id="68"/>
    </w:p>
    <w:p>
      <w:pPr>
        <w:spacing w:line="600" w:lineRule="exact"/>
        <w:ind w:firstLine="640" w:firstLineChars="200"/>
        <w:rPr>
          <w:rFonts w:ascii="仿宋" w:hAnsi="仿宋" w:eastAsia="仿宋"/>
          <w:b/>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长坪镇</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11.53</w:t>
      </w:r>
      <w:r>
        <w:rPr>
          <w:rFonts w:hint="eastAsia" w:ascii="仿宋_GB2312" w:eastAsia="仿宋_GB2312"/>
          <w:color w:val="auto"/>
          <w:sz w:val="32"/>
          <w:szCs w:val="32"/>
          <w:highlight w:val="none"/>
        </w:rPr>
        <w:t>万元，与</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19</w:t>
      </w:r>
      <w:r>
        <w:rPr>
          <w:rFonts w:hint="eastAsia" w:ascii="仿宋_GB2312" w:eastAsia="仿宋_GB2312"/>
          <w:color w:val="auto"/>
          <w:sz w:val="32"/>
          <w:szCs w:val="32"/>
          <w:highlight w:val="none"/>
        </w:rPr>
        <w:t>年决算数持平。</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69" w:name="_Toc15377223"/>
      <w:r>
        <w:rPr>
          <w:rFonts w:hint="eastAsia" w:ascii="仿宋" w:hAnsi="仿宋" w:eastAsia="仿宋"/>
          <w:b/>
          <w:color w:val="auto"/>
          <w:sz w:val="32"/>
          <w:szCs w:val="32"/>
          <w:highlight w:val="none"/>
        </w:rPr>
        <w:t>（二）政府采购支出情况</w:t>
      </w:r>
      <w:bookmarkEnd w:id="69"/>
    </w:p>
    <w:p>
      <w:pPr>
        <w:spacing w:line="600" w:lineRule="exact"/>
        <w:ind w:firstLine="640" w:firstLineChars="200"/>
        <w:rPr>
          <w:rFonts w:ascii="仿宋" w:hAnsi="仿宋" w:eastAsia="仿宋"/>
          <w:b/>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长坪镇</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万元，其中：政府采购货物支出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万元、政府采购工程支出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万元、政府采购服务支出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万元。授予中小企业合同金额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，其中：授予小微企业合同金额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70" w:name="_Toc15377224"/>
      <w:r>
        <w:rPr>
          <w:rFonts w:hint="eastAsia" w:ascii="仿宋" w:hAnsi="仿宋" w:eastAsia="仿宋"/>
          <w:b/>
          <w:color w:val="auto"/>
          <w:sz w:val="32"/>
          <w:szCs w:val="32"/>
          <w:highlight w:val="none"/>
        </w:rPr>
        <w:t>（三）国有资产占有使用情况</w:t>
      </w:r>
      <w:bookmarkEnd w:id="70"/>
    </w:p>
    <w:p>
      <w:pPr>
        <w:autoSpaceDE w:val="0"/>
        <w:autoSpaceDN w:val="0"/>
        <w:adjustRightInd w:val="0"/>
        <w:spacing w:line="600" w:lineRule="exact"/>
        <w:ind w:firstLine="640" w:firstLineChars="200"/>
        <w:jc w:val="left"/>
        <w:rPr>
          <w:rFonts w:ascii="仿宋" w:hAnsi="仿宋" w:eastAsia="仿宋"/>
          <w:b/>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eastAsia="zh-CN"/>
        </w:rPr>
        <w:t>长坪镇</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辆，其中：主要领导干部用车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辆、机要通信用车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辆、应急保障用车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辆、其他用车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50</w:t>
      </w:r>
      <w:r>
        <w:rPr>
          <w:rFonts w:hint="eastAsia" w:ascii="仿宋_GB2312" w:eastAsia="仿宋_GB2312"/>
          <w:color w:val="auto"/>
          <w:sz w:val="32"/>
          <w:szCs w:val="32"/>
          <w:highlight w:val="none"/>
        </w:rPr>
        <w:t>万元以上通用设备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p>
    <w:p>
      <w:pPr>
        <w:autoSpaceDE w:val="0"/>
        <w:autoSpaceDN w:val="0"/>
        <w:adjustRightInd w:val="0"/>
        <w:spacing w:line="600" w:lineRule="exact"/>
        <w:ind w:firstLine="643" w:firstLineChars="200"/>
        <w:jc w:val="left"/>
        <w:outlineLvl w:val="2"/>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rPr>
        <w:t>（四）预算绩效管理情况</w:t>
      </w:r>
    </w:p>
    <w:p>
      <w:pPr>
        <w:spacing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根据预算绩效管理要求，本单位在</w:t>
      </w:r>
      <w:r>
        <w:rPr>
          <w:rFonts w:hint="eastAsia" w:ascii="仿宋_GB2312" w:hAnsi="仿宋_GB2312" w:eastAsia="仿宋_GB2312" w:cs="仿宋_GB2312"/>
          <w:color w:val="auto"/>
          <w:sz w:val="32"/>
          <w:szCs w:val="32"/>
          <w:highlight w:val="none"/>
          <w:lang w:val="en-US" w:eastAsia="zh-CN"/>
        </w:rPr>
        <w:t>2020年度</w:t>
      </w:r>
      <w:r>
        <w:rPr>
          <w:rFonts w:hint="eastAsia" w:ascii="仿宋_GB2312" w:hAnsi="仿宋_GB2312" w:eastAsia="仿宋_GB2312" w:cs="仿宋_GB2312"/>
          <w:color w:val="auto"/>
          <w:sz w:val="32"/>
          <w:szCs w:val="32"/>
          <w:highlight w:val="none"/>
        </w:rPr>
        <w:t>预算编制阶段，组织对</w:t>
      </w:r>
      <w:r>
        <w:rPr>
          <w:rFonts w:hint="eastAsia" w:ascii="仿宋_GB2312" w:hAnsi="仿宋_GB2312" w:eastAsia="仿宋_GB2312" w:cs="仿宋_GB2312"/>
          <w:color w:val="auto"/>
          <w:sz w:val="32"/>
          <w:szCs w:val="32"/>
          <w:highlight w:val="none"/>
          <w:lang w:val="en-US" w:eastAsia="zh-CN"/>
        </w:rPr>
        <w:t>17</w:t>
      </w:r>
      <w:r>
        <w:rPr>
          <w:rFonts w:hint="eastAsia" w:ascii="仿宋_GB2312" w:hAnsi="仿宋_GB2312" w:eastAsia="仿宋_GB2312" w:cs="仿宋_GB2312"/>
          <w:color w:val="auto"/>
          <w:sz w:val="32"/>
          <w:szCs w:val="32"/>
          <w:highlight w:val="none"/>
        </w:rPr>
        <w:t>项目（项目名称）</w:t>
      </w:r>
      <w:r>
        <w:rPr>
          <w:rFonts w:hint="eastAsia" w:ascii="仿宋_GB2312" w:hAnsi="仿宋_GB2312" w:eastAsia="仿宋_GB2312" w:cs="仿宋_GB2312"/>
          <w:color w:val="auto"/>
          <w:sz w:val="32"/>
          <w:szCs w:val="32"/>
          <w:highlight w:val="none"/>
          <w:lang w:eastAsia="zh-CN"/>
        </w:rPr>
        <w:t>等</w:t>
      </w:r>
      <w:r>
        <w:rPr>
          <w:rFonts w:hint="eastAsia" w:ascii="仿宋_GB2312" w:hAnsi="仿宋_GB2312" w:eastAsia="仿宋_GB2312" w:cs="仿宋_GB2312"/>
          <w:color w:val="auto"/>
          <w:sz w:val="32"/>
          <w:szCs w:val="32"/>
          <w:highlight w:val="none"/>
          <w:lang w:val="en-US" w:eastAsia="zh-CN"/>
        </w:rPr>
        <w:t>17个项目</w:t>
      </w:r>
      <w:r>
        <w:rPr>
          <w:rFonts w:hint="eastAsia" w:ascii="仿宋_GB2312" w:hAnsi="仿宋_GB2312" w:eastAsia="仿宋_GB2312" w:cs="仿宋_GB2312"/>
          <w:color w:val="auto"/>
          <w:sz w:val="32"/>
          <w:szCs w:val="32"/>
          <w:highlight w:val="none"/>
        </w:rPr>
        <w:t>开展了预算事前绩效评估，对</w:t>
      </w:r>
      <w:r>
        <w:rPr>
          <w:rFonts w:hint="eastAsia" w:ascii="仿宋_GB2312" w:hAnsi="仿宋_GB2312" w:eastAsia="仿宋_GB2312" w:cs="仿宋_GB2312"/>
          <w:color w:val="auto"/>
          <w:sz w:val="32"/>
          <w:szCs w:val="32"/>
          <w:highlight w:val="none"/>
          <w:lang w:val="en-US" w:eastAsia="zh-CN"/>
        </w:rPr>
        <w:t>17</w:t>
      </w:r>
      <w:r>
        <w:rPr>
          <w:rFonts w:hint="eastAsia" w:ascii="仿宋_GB2312" w:hAnsi="仿宋_GB2312" w:eastAsia="仿宋_GB2312" w:cs="仿宋_GB2312"/>
          <w:color w:val="auto"/>
          <w:sz w:val="32"/>
          <w:szCs w:val="32"/>
          <w:highlight w:val="none"/>
        </w:rPr>
        <w:t>个项目编制了绩效目标，预算执行过程中，选取</w:t>
      </w:r>
      <w:r>
        <w:rPr>
          <w:rFonts w:hint="eastAsia" w:ascii="仿宋_GB2312" w:hAnsi="仿宋_GB2312" w:eastAsia="仿宋_GB2312" w:cs="仿宋_GB2312"/>
          <w:color w:val="auto"/>
          <w:sz w:val="32"/>
          <w:szCs w:val="32"/>
          <w:highlight w:val="none"/>
          <w:lang w:val="en-US" w:eastAsia="zh-CN"/>
        </w:rPr>
        <w:t>17</w:t>
      </w:r>
      <w:r>
        <w:rPr>
          <w:rFonts w:hint="eastAsia" w:ascii="仿宋_GB2312" w:hAnsi="仿宋_GB2312" w:eastAsia="仿宋_GB2312" w:cs="仿宋_GB2312"/>
          <w:color w:val="auto"/>
          <w:sz w:val="32"/>
          <w:szCs w:val="32"/>
          <w:highlight w:val="none"/>
        </w:rPr>
        <w:t>个项目开展绩效监控，年终执行完毕后，对</w:t>
      </w:r>
      <w:r>
        <w:rPr>
          <w:rFonts w:hint="eastAsia" w:ascii="仿宋_GB2312" w:hAnsi="仿宋_GB2312" w:eastAsia="仿宋_GB2312" w:cs="仿宋_GB2312"/>
          <w:color w:val="auto"/>
          <w:sz w:val="32"/>
          <w:szCs w:val="32"/>
          <w:highlight w:val="none"/>
          <w:lang w:val="en-US" w:eastAsia="zh-CN"/>
        </w:rPr>
        <w:t>17</w:t>
      </w:r>
      <w:r>
        <w:rPr>
          <w:rFonts w:hint="eastAsia" w:ascii="仿宋_GB2312" w:hAnsi="仿宋_GB2312" w:eastAsia="仿宋_GB2312" w:cs="仿宋_GB2312"/>
          <w:color w:val="auto"/>
          <w:sz w:val="32"/>
          <w:szCs w:val="32"/>
          <w:highlight w:val="none"/>
        </w:rPr>
        <w:t>个项目开展了绩效自评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2020年特定目标类部门预算项目绩效目标自评表见附件（第四部分）</w:t>
      </w:r>
      <w:r>
        <w:rPr>
          <w:rFonts w:hint="eastAsia" w:ascii="仿宋_GB2312" w:hAnsi="仿宋_GB2312" w:eastAsia="仿宋_GB2312" w:cs="仿宋_GB2312"/>
          <w:color w:val="auto"/>
          <w:sz w:val="32"/>
          <w:szCs w:val="32"/>
          <w:highlight w:val="none"/>
        </w:rPr>
        <w:t>。</w:t>
      </w:r>
    </w:p>
    <w:p>
      <w:pPr>
        <w:pStyle w:val="2"/>
        <w:rPr>
          <w:highlight w:val="yellow"/>
        </w:rPr>
      </w:pP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4"/>
        </w:numPr>
        <w:spacing w:line="600" w:lineRule="exact"/>
        <w:ind w:firstLine="660" w:firstLineChars="150"/>
        <w:jc w:val="center"/>
        <w:outlineLvl w:val="0"/>
        <w:rPr>
          <w:rStyle w:val="24"/>
          <w:rFonts w:ascii="黑体" w:hAnsi="黑体" w:eastAsia="黑体"/>
          <w:b w:val="0"/>
          <w:color w:val="auto"/>
          <w:highlight w:val="none"/>
        </w:rPr>
      </w:pPr>
      <w:bookmarkStart w:id="71" w:name="_Toc15396613"/>
      <w:bookmarkStart w:id="72" w:name="_Toc15377225"/>
      <w:bookmarkStart w:id="73" w:name="_Toc18473"/>
      <w:r>
        <w:rPr>
          <w:rFonts w:hint="eastAsia" w:ascii="黑体" w:hAnsi="黑体" w:eastAsia="黑体"/>
          <w:color w:val="auto"/>
          <w:sz w:val="44"/>
          <w:szCs w:val="44"/>
          <w:highlight w:val="none"/>
        </w:rPr>
        <w:t>名</w:t>
      </w:r>
      <w:r>
        <w:rPr>
          <w:rStyle w:val="24"/>
          <w:rFonts w:hint="eastAsia" w:ascii="黑体" w:hAnsi="黑体" w:eastAsia="黑体"/>
          <w:b w:val="0"/>
          <w:color w:val="auto"/>
          <w:highlight w:val="none"/>
        </w:rPr>
        <w:t>词解释</w:t>
      </w:r>
      <w:bookmarkEnd w:id="71"/>
      <w:bookmarkEnd w:id="72"/>
      <w:bookmarkEnd w:id="73"/>
    </w:p>
    <w:p>
      <w:pPr>
        <w:spacing w:line="600" w:lineRule="exact"/>
        <w:jc w:val="left"/>
        <w:rPr>
          <w:rFonts w:ascii="宋体"/>
          <w:b/>
          <w:color w:val="auto"/>
          <w:sz w:val="44"/>
          <w:szCs w:val="44"/>
          <w:highlight w:val="none"/>
        </w:rPr>
      </w:pP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事业收入：指事业单位开展专业业务活动及辅助活动取得的收入。</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3.</w:t>
      </w:r>
      <w:r>
        <w:rPr>
          <w:rFonts w:hint="eastAsia" w:ascii="仿宋_GB2312" w:eastAsia="仿宋_GB2312"/>
          <w:color w:val="auto"/>
          <w:sz w:val="32"/>
          <w:szCs w:val="32"/>
          <w:highlight w:val="none"/>
        </w:rPr>
        <w:t>经营收入：指事业单位在专业业务活动及其辅助活动之外开展非独立核算经营活动取得的收入。</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4.</w:t>
      </w:r>
      <w:r>
        <w:rPr>
          <w:rFonts w:hint="eastAsia" w:ascii="仿宋_GB2312" w:eastAsia="仿宋_GB2312"/>
          <w:color w:val="auto"/>
          <w:sz w:val="32"/>
          <w:szCs w:val="32"/>
          <w:highlight w:val="none"/>
        </w:rPr>
        <w:t>其他收入：指单位取得的除上述收入以外的各项收入。</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5.</w:t>
      </w:r>
      <w:r>
        <w:rPr>
          <w:rFonts w:hint="eastAsia" w:ascii="仿宋_GB2312" w:eastAsia="仿宋_GB2312"/>
          <w:color w:val="auto"/>
          <w:sz w:val="32"/>
          <w:szCs w:val="32"/>
          <w:highlight w:val="none"/>
          <w:lang w:eastAsia="zh-CN"/>
        </w:rPr>
        <w:t>使用非财政拨款结余</w:t>
      </w:r>
      <w:r>
        <w:rPr>
          <w:rFonts w:hint="eastAsia" w:ascii="仿宋_GB2312" w:eastAsia="仿宋_GB2312"/>
          <w:color w:val="auto"/>
          <w:sz w:val="32"/>
          <w:szCs w:val="32"/>
          <w:highlight w:val="none"/>
        </w:rPr>
        <w:t>：指事业单位</w:t>
      </w:r>
      <w:r>
        <w:rPr>
          <w:rFonts w:hint="eastAsia" w:ascii="仿宋_GB2312" w:eastAsia="仿宋_GB2312"/>
          <w:color w:val="auto"/>
          <w:sz w:val="32"/>
          <w:szCs w:val="32"/>
          <w:highlight w:val="none"/>
          <w:lang w:eastAsia="zh-CN"/>
        </w:rPr>
        <w:t>使用以前年度积累的非财政拨款结余弥补当年收支差额的金额。</w:t>
      </w:r>
      <w:r>
        <w:rPr>
          <w:rFonts w:ascii="仿宋_GB2312" w:eastAsia="仿宋_GB2312"/>
          <w:color w:val="auto"/>
          <w:sz w:val="32"/>
          <w:szCs w:val="32"/>
          <w:highlight w:val="none"/>
        </w:rPr>
        <w:t xml:space="preserve"> </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6.</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7.</w:t>
      </w:r>
      <w:r>
        <w:rPr>
          <w:rFonts w:hint="eastAsia" w:ascii="仿宋_GB2312" w:eastAsia="仿宋_GB2312"/>
          <w:color w:val="auto"/>
          <w:sz w:val="32"/>
          <w:szCs w:val="32"/>
          <w:highlight w:val="none"/>
        </w:rPr>
        <w:t>结余分配：指事业单位按照会计制度规定</w:t>
      </w:r>
      <w:r>
        <w:rPr>
          <w:rFonts w:hint="eastAsia" w:ascii="仿宋_GB2312" w:eastAsia="仿宋_GB2312"/>
          <w:color w:val="auto"/>
          <w:sz w:val="32"/>
          <w:szCs w:val="32"/>
          <w:highlight w:val="none"/>
          <w:lang w:eastAsia="zh-CN"/>
        </w:rPr>
        <w:t>缴纳的所得税、提取的专用结余以及转入非财政拨款结余的金额</w:t>
      </w:r>
      <w:r>
        <w:rPr>
          <w:rFonts w:hint="eastAsia" w:ascii="仿宋_GB2312" w:eastAsia="仿宋_GB2312"/>
          <w:color w:val="auto"/>
          <w:sz w:val="32"/>
          <w:szCs w:val="32"/>
          <w:highlight w:val="none"/>
        </w:rPr>
        <w:t>等。</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8</w:t>
      </w:r>
      <w:r>
        <w:rPr>
          <w:rFonts w:hint="eastAsia" w:ascii="仿宋_GB2312" w:eastAsia="仿宋_GB2312"/>
          <w:color w:val="auto"/>
          <w:sz w:val="32"/>
          <w:szCs w:val="32"/>
          <w:highlight w:val="none"/>
        </w:rPr>
        <w:t>、年末结转和结余：指单位按有关规定结转到下年或以后年度继续使用的资金。</w:t>
      </w:r>
    </w:p>
    <w:p>
      <w:pPr>
        <w:pageBreakBefore w:val="0"/>
        <w:widowControl w:val="0"/>
        <w:kinsoku/>
        <w:wordWrap/>
        <w:overflowPunct/>
        <w:topLinePunct w:val="0"/>
        <w:bidi w:val="0"/>
        <w:spacing w:line="360" w:lineRule="auto"/>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9.</w:t>
      </w:r>
      <w:r>
        <w:rPr>
          <w:rFonts w:hint="eastAsia" w:ascii="仿宋_GB2312" w:eastAsia="仿宋_GB2312"/>
          <w:color w:val="auto"/>
          <w:sz w:val="32"/>
          <w:szCs w:val="32"/>
          <w:highlight w:val="none"/>
        </w:rPr>
        <w:t>一般公共服务（类）</w:t>
      </w:r>
      <w:r>
        <w:rPr>
          <w:rFonts w:hint="eastAsia" w:ascii="仿宋_GB2312" w:eastAsia="仿宋_GB2312"/>
          <w:color w:val="auto"/>
          <w:sz w:val="32"/>
          <w:szCs w:val="32"/>
          <w:highlight w:val="none"/>
          <w:lang w:eastAsia="zh-CN"/>
        </w:rPr>
        <w:t>人大事务</w:t>
      </w:r>
      <w:r>
        <w:rPr>
          <w:rFonts w:hint="eastAsia" w:ascii="仿宋_GB2312" w:eastAsia="仿宋_GB2312"/>
          <w:color w:val="auto"/>
          <w:sz w:val="32"/>
          <w:szCs w:val="32"/>
          <w:highlight w:val="none"/>
        </w:rPr>
        <w:t>（款）</w:t>
      </w:r>
      <w:r>
        <w:rPr>
          <w:rFonts w:hint="eastAsia" w:ascii="仿宋_GB2312" w:eastAsia="仿宋_GB2312"/>
          <w:color w:val="auto"/>
          <w:sz w:val="32"/>
          <w:szCs w:val="32"/>
          <w:highlight w:val="none"/>
          <w:lang w:eastAsia="zh-CN"/>
        </w:rPr>
        <w:t>行政运行</w:t>
      </w:r>
      <w:r>
        <w:rPr>
          <w:rFonts w:hint="eastAsia" w:ascii="仿宋_GB2312" w:eastAsia="仿宋_GB2312"/>
          <w:color w:val="auto"/>
          <w:sz w:val="32"/>
          <w:szCs w:val="32"/>
          <w:highlight w:val="none"/>
        </w:rPr>
        <w:t>（项）：指</w:t>
      </w:r>
      <w:r>
        <w:rPr>
          <w:rFonts w:hint="eastAsia" w:ascii="仿宋_GB2312" w:eastAsia="仿宋_GB2312"/>
          <w:color w:val="000000"/>
          <w:sz w:val="32"/>
          <w:szCs w:val="32"/>
          <w:lang w:eastAsia="zh-CN"/>
        </w:rPr>
        <w:t>行政单位（包括实行公务员管理的事业单位）的基本支出</w:t>
      </w:r>
      <w:r>
        <w:rPr>
          <w:rFonts w:hint="eastAsia" w:ascii="仿宋_GB2312" w:eastAsia="仿宋_GB2312"/>
          <w:color w:val="auto"/>
          <w:sz w:val="32"/>
          <w:szCs w:val="32"/>
          <w:highlight w:val="none"/>
        </w:rPr>
        <w:t>。</w:t>
      </w:r>
    </w:p>
    <w:p>
      <w:pPr>
        <w:ind w:firstLine="640" w:firstLineChars="200"/>
        <w:rPr>
          <w:rFonts w:hint="eastAsia" w:ascii="仿宋_GB2312" w:hAnsi="Times New Roman" w:eastAsia="仿宋_GB2312" w:cs="Times New Roman"/>
          <w:color w:val="auto"/>
          <w:sz w:val="32"/>
          <w:szCs w:val="32"/>
          <w:highlight w:val="none"/>
          <w:lang w:val="en-US" w:eastAsia="zh-CN"/>
        </w:rPr>
      </w:pPr>
      <w:r>
        <w:rPr>
          <w:rFonts w:hint="eastAsia" w:ascii="仿宋_GB2312" w:eastAsia="仿宋_GB2312"/>
          <w:color w:val="auto"/>
          <w:sz w:val="32"/>
          <w:szCs w:val="32"/>
          <w:highlight w:val="none"/>
          <w:lang w:val="en-US" w:eastAsia="zh-CN"/>
        </w:rPr>
        <w:t>10.</w:t>
      </w:r>
      <w:r>
        <w:rPr>
          <w:rFonts w:hint="eastAsia" w:ascii="仿宋_GB2312" w:eastAsia="仿宋_GB2312"/>
          <w:color w:val="auto"/>
          <w:sz w:val="32"/>
          <w:szCs w:val="32"/>
          <w:highlight w:val="none"/>
        </w:rPr>
        <w:t>一般公共服务（类）</w:t>
      </w:r>
      <w:r>
        <w:rPr>
          <w:rFonts w:hint="eastAsia" w:ascii="仿宋_GB2312" w:eastAsia="仿宋_GB2312"/>
          <w:color w:val="auto"/>
          <w:sz w:val="32"/>
          <w:szCs w:val="32"/>
          <w:highlight w:val="none"/>
          <w:lang w:eastAsia="zh-CN"/>
        </w:rPr>
        <w:t>政府办公厅（室）及相关机构事务（款）行政运行（项）：</w:t>
      </w:r>
      <w:r>
        <w:rPr>
          <w:rFonts w:hint="eastAsia" w:ascii="仿宋_GB2312" w:hAnsi="Times New Roman" w:eastAsia="仿宋_GB2312" w:cs="Times New Roman"/>
          <w:color w:val="auto"/>
          <w:sz w:val="32"/>
          <w:szCs w:val="32"/>
          <w:highlight w:val="none"/>
          <w:lang w:eastAsia="zh-CN"/>
        </w:rPr>
        <w:t>指</w:t>
      </w:r>
      <w:r>
        <w:rPr>
          <w:rFonts w:hint="eastAsia" w:ascii="仿宋_GB2312" w:hAnsi="Times New Roman" w:eastAsia="仿宋_GB2312" w:cs="Times New Roman"/>
          <w:color w:val="auto"/>
          <w:sz w:val="32"/>
          <w:szCs w:val="32"/>
          <w:highlight w:val="none"/>
        </w:rPr>
        <w:t>用于保障省政府办公厅机关、厅属各行政单位正常运转，用于行政运行方面的经费支出。</w:t>
      </w:r>
    </w:p>
    <w:p>
      <w:pPr>
        <w:ind w:firstLine="640" w:firstLineChars="200"/>
        <w:rPr>
          <w:rFonts w:hint="default" w:ascii="仿宋_GB2312" w:hAnsi="Times New Roman" w:eastAsia="仿宋_GB2312" w:cs="Times New Roman"/>
          <w:color w:val="auto"/>
          <w:sz w:val="32"/>
          <w:szCs w:val="32"/>
          <w:highlight w:val="none"/>
          <w:lang w:val="en-US" w:eastAsia="zh-CN"/>
        </w:rPr>
      </w:pPr>
      <w:r>
        <w:rPr>
          <w:rFonts w:hint="eastAsia" w:ascii="仿宋_GB2312" w:eastAsia="仿宋_GB2312"/>
          <w:color w:val="auto"/>
          <w:sz w:val="32"/>
          <w:szCs w:val="32"/>
          <w:highlight w:val="none"/>
          <w:lang w:val="en-US" w:eastAsia="zh-CN"/>
        </w:rPr>
        <w:t>11.</w:t>
      </w:r>
      <w:r>
        <w:rPr>
          <w:rFonts w:hint="eastAsia" w:ascii="仿宋_GB2312" w:eastAsia="仿宋_GB2312"/>
          <w:color w:val="auto"/>
          <w:sz w:val="32"/>
          <w:szCs w:val="32"/>
          <w:highlight w:val="none"/>
        </w:rPr>
        <w:t>一般公共服务（类）</w:t>
      </w:r>
      <w:r>
        <w:rPr>
          <w:rFonts w:hint="eastAsia" w:ascii="仿宋_GB2312" w:eastAsia="仿宋_GB2312"/>
          <w:color w:val="auto"/>
          <w:sz w:val="32"/>
          <w:szCs w:val="32"/>
          <w:highlight w:val="none"/>
          <w:lang w:eastAsia="zh-CN"/>
        </w:rPr>
        <w:t>政府办公厅（室）及相关机构事务（款）一般行政管理事务（项）：</w:t>
      </w:r>
      <w:r>
        <w:rPr>
          <w:rFonts w:hint="eastAsia" w:ascii="仿宋_GB2312" w:hAnsi="Times New Roman" w:eastAsia="仿宋_GB2312" w:cs="Times New Roman"/>
          <w:color w:val="auto"/>
          <w:sz w:val="32"/>
          <w:szCs w:val="32"/>
          <w:highlight w:val="none"/>
          <w:lang w:eastAsia="zh-CN"/>
        </w:rPr>
        <w:t>指</w:t>
      </w:r>
      <w:r>
        <w:rPr>
          <w:rFonts w:hint="eastAsia" w:ascii="仿宋_GB2312" w:hAnsi="Times New Roman" w:eastAsia="仿宋_GB2312" w:cs="Times New Roman"/>
          <w:color w:val="auto"/>
          <w:sz w:val="32"/>
          <w:szCs w:val="32"/>
          <w:highlight w:val="none"/>
        </w:rPr>
        <w:t>用于保障省政府办公厅机关、厅属各行政事业单位正常运转，为完成特定的工作任务，用于一般行政管理事务方面的经费支出。</w:t>
      </w:r>
    </w:p>
    <w:p>
      <w:pPr>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12.</w:t>
      </w:r>
      <w:r>
        <w:rPr>
          <w:rFonts w:hint="eastAsia" w:ascii="仿宋_GB2312" w:eastAsia="仿宋_GB2312"/>
          <w:color w:val="auto"/>
          <w:sz w:val="32"/>
          <w:szCs w:val="32"/>
          <w:highlight w:val="none"/>
        </w:rPr>
        <w:t>一般公共服务（类）</w:t>
      </w:r>
      <w:r>
        <w:rPr>
          <w:rFonts w:hint="eastAsia" w:ascii="仿宋_GB2312" w:eastAsia="仿宋_GB2312"/>
          <w:color w:val="auto"/>
          <w:sz w:val="32"/>
          <w:szCs w:val="32"/>
          <w:highlight w:val="none"/>
          <w:lang w:eastAsia="zh-CN"/>
        </w:rPr>
        <w:t>财政事务（款）行政运行（项）：指反映财政方面的行政支出。</w:t>
      </w:r>
    </w:p>
    <w:p>
      <w:pPr>
        <w:ind w:firstLine="640" w:firstLineChars="200"/>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13.</w:t>
      </w:r>
      <w:r>
        <w:rPr>
          <w:rFonts w:hint="eastAsia" w:ascii="仿宋_GB2312" w:eastAsia="仿宋_GB2312"/>
          <w:color w:val="auto"/>
          <w:sz w:val="32"/>
          <w:szCs w:val="32"/>
          <w:highlight w:val="none"/>
        </w:rPr>
        <w:t>一般公共服务（类）</w:t>
      </w:r>
      <w:r>
        <w:rPr>
          <w:rFonts w:hint="eastAsia" w:ascii="仿宋_GB2312" w:eastAsia="仿宋_GB2312"/>
          <w:color w:val="auto"/>
          <w:sz w:val="32"/>
          <w:szCs w:val="32"/>
          <w:highlight w:val="none"/>
          <w:lang w:eastAsia="zh-CN"/>
        </w:rPr>
        <w:t>财政事务（款）事业运行（项）：指反映财政方面的事业支出。</w:t>
      </w:r>
    </w:p>
    <w:p>
      <w:pPr>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14.</w:t>
      </w:r>
      <w:r>
        <w:rPr>
          <w:rFonts w:hint="eastAsia" w:ascii="仿宋_GB2312" w:eastAsia="仿宋_GB2312"/>
          <w:color w:val="auto"/>
          <w:sz w:val="32"/>
          <w:szCs w:val="32"/>
          <w:highlight w:val="none"/>
        </w:rPr>
        <w:t>一般公共服务（类）</w:t>
      </w:r>
      <w:r>
        <w:rPr>
          <w:rFonts w:hint="eastAsia" w:ascii="仿宋_GB2312" w:eastAsia="仿宋_GB2312"/>
          <w:color w:val="auto"/>
          <w:sz w:val="32"/>
          <w:szCs w:val="32"/>
          <w:highlight w:val="none"/>
          <w:lang w:eastAsia="zh-CN"/>
        </w:rPr>
        <w:t>党委办公厅（室）及相关机构事务（款）行政运行（项）：指用于党委办公厅及相关机构的行政支出。</w:t>
      </w:r>
    </w:p>
    <w:p>
      <w:pPr>
        <w:pStyle w:val="2"/>
        <w:ind w:firstLine="64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15.</w:t>
      </w:r>
      <w:r>
        <w:rPr>
          <w:rFonts w:hint="eastAsia" w:ascii="仿宋_GB2312" w:eastAsia="仿宋_GB2312"/>
          <w:color w:val="auto"/>
          <w:sz w:val="32"/>
          <w:szCs w:val="32"/>
          <w:highlight w:val="none"/>
        </w:rPr>
        <w:t>一般公共服务（类）</w:t>
      </w:r>
      <w:r>
        <w:rPr>
          <w:rFonts w:hint="eastAsia" w:ascii="仿宋_GB2312" w:eastAsia="仿宋_GB2312"/>
          <w:color w:val="auto"/>
          <w:sz w:val="32"/>
          <w:szCs w:val="32"/>
          <w:highlight w:val="none"/>
          <w:lang w:eastAsia="zh-CN"/>
        </w:rPr>
        <w:t>其他一般公共服务支出（款）其他一般公共服务支出（项）：</w:t>
      </w:r>
      <w:r>
        <w:rPr>
          <w:rFonts w:hint="eastAsia" w:ascii="仿宋_GB2312" w:hAnsi="仿宋_GB2312" w:eastAsia="仿宋_GB2312" w:cs="仿宋_GB2312"/>
          <w:bCs/>
          <w:sz w:val="32"/>
          <w:szCs w:val="32"/>
        </w:rPr>
        <w:t>指用于保障省政府办公厅机关、厅属各行政事业单位正常运转，为完成特定的工作任务，用于其他方面的经费支出。</w:t>
      </w:r>
    </w:p>
    <w:p>
      <w:pPr>
        <w:pageBreakBefore w:val="0"/>
        <w:widowControl w:val="0"/>
        <w:kinsoku/>
        <w:wordWrap/>
        <w:overflowPunct/>
        <w:topLinePunct w:val="0"/>
        <w:bidi w:val="0"/>
        <w:spacing w:line="360" w:lineRule="auto"/>
        <w:ind w:firstLine="640" w:firstLineChars="200"/>
        <w:textAlignment w:val="auto"/>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16.文化旅游体育与传媒（类）文化和旅游（款）群众文化（项）：指</w:t>
      </w:r>
      <w:r>
        <w:rPr>
          <w:rFonts w:hint="eastAsia" w:ascii="仿宋_GB2312" w:hAnsi="仿宋_GB2312" w:eastAsia="仿宋_GB2312" w:cs="仿宋_GB2312"/>
          <w:sz w:val="32"/>
          <w:szCs w:val="32"/>
          <w:lang w:eastAsia="zh-CN"/>
        </w:rPr>
        <w:t>反映群</w:t>
      </w:r>
      <w:r>
        <w:rPr>
          <w:rFonts w:hint="eastAsia" w:ascii="仿宋_GB2312" w:hAnsi="仿宋_GB2312" w:eastAsia="仿宋_GB2312" w:cs="仿宋_GB2312"/>
          <w:sz w:val="32"/>
          <w:szCs w:val="32"/>
        </w:rPr>
        <w:t>众文化方面的支出 </w:t>
      </w:r>
      <w:r>
        <w:rPr>
          <w:rFonts w:hint="eastAsia" w:ascii="仿宋_GB2312" w:hAnsi="仿宋_GB2312" w:eastAsia="仿宋_GB2312" w:cs="仿宋_GB2312"/>
          <w:sz w:val="32"/>
          <w:szCs w:val="32"/>
          <w:lang w:eastAsia="zh-CN"/>
        </w:rPr>
        <w:t>，包括</w:t>
      </w:r>
      <w:r>
        <w:rPr>
          <w:rFonts w:hint="eastAsia" w:ascii="仿宋_GB2312" w:hAnsi="仿宋_GB2312" w:eastAsia="仿宋_GB2312" w:cs="仿宋_GB2312"/>
          <w:sz w:val="32"/>
          <w:szCs w:val="32"/>
        </w:rPr>
        <w:t>基层文化馆、 群众艺术馆支出等</w:t>
      </w:r>
      <w:r>
        <w:rPr>
          <w:rFonts w:hint="eastAsia" w:ascii="仿宋_GB2312" w:hAnsi="仿宋_GB2312" w:eastAsia="仿宋_GB2312" w:cs="仿宋_GB2312"/>
          <w:sz w:val="32"/>
          <w:szCs w:val="32"/>
          <w:lang w:eastAsia="zh-CN"/>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17.文化旅游体育与传媒（类）文化和旅游（款）其他文化和旅游支出（项）：指</w:t>
      </w:r>
      <w:r>
        <w:rPr>
          <w:rFonts w:hint="eastAsia" w:ascii="仿宋_GB2312" w:hAnsi="仿宋_GB2312" w:eastAsia="仿宋_GB2312" w:cs="仿宋_GB2312"/>
          <w:sz w:val="32"/>
          <w:szCs w:val="32"/>
        </w:rPr>
        <w:t>反映除上述项目以外其他用于文化方面的支出。</w:t>
      </w:r>
    </w:p>
    <w:p>
      <w:pPr>
        <w:pageBreakBefore w:val="0"/>
        <w:widowControl w:val="0"/>
        <w:kinsoku/>
        <w:wordWrap/>
        <w:overflowPunct/>
        <w:topLinePunct w:val="0"/>
        <w:bidi w:val="0"/>
        <w:spacing w:line="360" w:lineRule="auto"/>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lang w:val="en-US" w:eastAsia="zh-CN"/>
        </w:rPr>
        <w:t>8</w:t>
      </w:r>
      <w:r>
        <w:rPr>
          <w:rFonts w:ascii="仿宋_GB2312" w:eastAsia="仿宋_GB2312"/>
          <w:color w:val="auto"/>
          <w:sz w:val="32"/>
          <w:szCs w:val="32"/>
          <w:highlight w:val="none"/>
        </w:rPr>
        <w:t>.</w:t>
      </w:r>
      <w:r>
        <w:rPr>
          <w:rFonts w:hint="eastAsia" w:ascii="仿宋_GB2312" w:eastAsia="仿宋_GB2312"/>
          <w:color w:val="auto"/>
          <w:sz w:val="32"/>
          <w:szCs w:val="32"/>
          <w:highlight w:val="none"/>
        </w:rPr>
        <w:t>社会保障和就业（类</w:t>
      </w:r>
      <w:r>
        <w:rPr>
          <w:rFonts w:hint="eastAsia" w:ascii="仿宋_GB2312" w:eastAsia="仿宋_GB2312"/>
          <w:color w:val="auto"/>
          <w:sz w:val="32"/>
          <w:szCs w:val="32"/>
          <w:highlight w:val="none"/>
          <w:lang w:eastAsia="zh-CN"/>
        </w:rPr>
        <w:t>）人力资源和社会保障管理事务</w:t>
      </w:r>
      <w:r>
        <w:rPr>
          <w:rFonts w:hint="eastAsia" w:ascii="仿宋_GB2312" w:eastAsia="仿宋_GB2312"/>
          <w:color w:val="auto"/>
          <w:sz w:val="32"/>
          <w:szCs w:val="32"/>
          <w:highlight w:val="none"/>
        </w:rPr>
        <w:t>（款）</w:t>
      </w:r>
      <w:r>
        <w:rPr>
          <w:rFonts w:hint="eastAsia" w:ascii="仿宋_GB2312" w:eastAsia="仿宋_GB2312"/>
          <w:color w:val="auto"/>
          <w:sz w:val="32"/>
          <w:szCs w:val="32"/>
          <w:highlight w:val="none"/>
          <w:lang w:eastAsia="zh-CN"/>
        </w:rPr>
        <w:t>社会保险经办机构</w:t>
      </w:r>
      <w:r>
        <w:rPr>
          <w:rFonts w:hint="eastAsia" w:ascii="仿宋_GB2312" w:eastAsia="仿宋_GB2312"/>
          <w:color w:val="auto"/>
          <w:sz w:val="32"/>
          <w:szCs w:val="32"/>
          <w:highlight w:val="none"/>
        </w:rPr>
        <w:t>（项）：指</w:t>
      </w:r>
      <w:r>
        <w:rPr>
          <w:rFonts w:hint="eastAsia" w:ascii="仿宋_GB2312" w:hAnsi="仿宋_GB2312" w:eastAsia="仿宋_GB2312" w:cs="仿宋_GB2312"/>
          <w:sz w:val="32"/>
          <w:szCs w:val="32"/>
        </w:rPr>
        <w:t>反映社会保险经办机构开展业务工作的支出。</w:t>
      </w:r>
    </w:p>
    <w:p>
      <w:pPr>
        <w:pageBreakBefore w:val="0"/>
        <w:widowControl w:val="0"/>
        <w:kinsoku/>
        <w:wordWrap/>
        <w:overflowPunct/>
        <w:topLinePunct w:val="0"/>
        <w:bidi w:val="0"/>
        <w:spacing w:line="360" w:lineRule="auto"/>
        <w:ind w:firstLine="640" w:firstLineChars="200"/>
        <w:textAlignment w:val="auto"/>
        <w:rPr>
          <w:rFonts w:hint="default" w:ascii="仿宋_GB2312" w:hAnsi="Times New Roman" w:eastAsia="仿宋_GB2312" w:cs="Times New Roman"/>
          <w:color w:val="auto"/>
          <w:sz w:val="32"/>
          <w:szCs w:val="32"/>
          <w:highlight w:val="none"/>
          <w:lang w:val="en-US" w:eastAsia="zh-CN"/>
        </w:rPr>
      </w:pPr>
      <w:r>
        <w:rPr>
          <w:rFonts w:hint="eastAsia" w:ascii="仿宋_GB2312" w:hAnsi="Times New Roman" w:eastAsia="仿宋_GB2312" w:cs="Times New Roman"/>
          <w:color w:val="auto"/>
          <w:sz w:val="32"/>
          <w:szCs w:val="32"/>
          <w:highlight w:val="none"/>
          <w:lang w:val="en-US" w:eastAsia="zh-CN"/>
        </w:rPr>
        <w:t>19.</w:t>
      </w:r>
      <w:r>
        <w:rPr>
          <w:rFonts w:hint="eastAsia" w:ascii="仿宋_GB2312" w:hAnsi="Times New Roman" w:eastAsia="仿宋_GB2312" w:cs="Times New Roman"/>
          <w:color w:val="auto"/>
          <w:sz w:val="32"/>
          <w:szCs w:val="32"/>
          <w:highlight w:val="none"/>
        </w:rPr>
        <w:t>社会保障和就业（类</w:t>
      </w:r>
      <w:r>
        <w:rPr>
          <w:rFonts w:hint="eastAsia" w:ascii="仿宋_GB2312" w:hAnsi="Times New Roman" w:eastAsia="仿宋_GB2312" w:cs="Times New Roman"/>
          <w:color w:val="auto"/>
          <w:sz w:val="32"/>
          <w:szCs w:val="32"/>
          <w:highlight w:val="none"/>
          <w:lang w:eastAsia="zh-CN"/>
        </w:rPr>
        <w:t>）行政事业单位养老支出（款）机关事业单位基本养老保险缴费支出（项）：</w:t>
      </w:r>
      <w:r>
        <w:rPr>
          <w:rFonts w:hint="eastAsia" w:ascii="仿宋_GB2312" w:hAnsi="Times New Roman" w:eastAsia="仿宋_GB2312" w:cs="Times New Roman"/>
          <w:color w:val="auto"/>
          <w:sz w:val="32"/>
          <w:szCs w:val="32"/>
          <w:highlight w:val="none"/>
        </w:rPr>
        <w:t>指用于机关事业单位职工单位</w:t>
      </w:r>
      <w:r>
        <w:rPr>
          <w:rFonts w:hint="eastAsia" w:ascii="仿宋_GB2312" w:hAnsi="Times New Roman" w:eastAsia="仿宋_GB2312" w:cs="Times New Roman"/>
          <w:color w:val="auto"/>
          <w:sz w:val="32"/>
          <w:szCs w:val="32"/>
          <w:highlight w:val="none"/>
          <w:lang w:eastAsia="zh-CN"/>
        </w:rPr>
        <w:t>部分</w:t>
      </w:r>
      <w:r>
        <w:rPr>
          <w:rFonts w:hint="eastAsia" w:ascii="仿宋_GB2312" w:hAnsi="Times New Roman" w:eastAsia="仿宋_GB2312" w:cs="Times New Roman"/>
          <w:color w:val="auto"/>
          <w:sz w:val="32"/>
          <w:szCs w:val="32"/>
          <w:highlight w:val="none"/>
        </w:rPr>
        <w:t>基本养老保险缴费支出。</w:t>
      </w:r>
    </w:p>
    <w:p>
      <w:pPr>
        <w:ind w:firstLine="640" w:firstLineChars="200"/>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社会保障和就业（类</w:t>
      </w:r>
      <w:r>
        <w:rPr>
          <w:rFonts w:hint="eastAsia" w:ascii="仿宋_GB2312" w:eastAsia="仿宋_GB2312"/>
          <w:color w:val="auto"/>
          <w:sz w:val="32"/>
          <w:szCs w:val="32"/>
          <w:highlight w:val="none"/>
          <w:lang w:eastAsia="zh-CN"/>
        </w:rPr>
        <w:t>）就业补助（款）公益性岗位补贴（项）：指用于安置就业困难人员的就业岗位补贴。</w:t>
      </w:r>
    </w:p>
    <w:p>
      <w:pPr>
        <w:ind w:firstLine="640" w:firstLineChars="200"/>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21.卫生健康（类）公共卫生（款）其他公共卫生支出（项）：指用于其他公共卫生方面的支出。</w:t>
      </w:r>
    </w:p>
    <w:p>
      <w:pPr>
        <w:pageBreakBefore w:val="0"/>
        <w:widowControl w:val="0"/>
        <w:kinsoku/>
        <w:wordWrap/>
        <w:overflowPunct/>
        <w:topLinePunct w:val="0"/>
        <w:autoSpaceDE/>
        <w:autoSpaceDN/>
        <w:bidi w:val="0"/>
        <w:spacing w:line="576" w:lineRule="exact"/>
        <w:ind w:firstLine="640" w:firstLineChars="200"/>
        <w:textAlignment w:val="auto"/>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22.卫生健康（类）行政事业单位医疗（款）行政单位医疗（项）：</w:t>
      </w:r>
      <w:r>
        <w:rPr>
          <w:rFonts w:hint="eastAsia" w:ascii="仿宋_GB2312" w:hAnsi="仿宋_GB2312" w:eastAsia="仿宋_GB2312" w:cs="仿宋_GB2312"/>
          <w:bCs/>
          <w:sz w:val="32"/>
          <w:szCs w:val="32"/>
        </w:rPr>
        <w:t>指用于按政策规定为行政单位职工缴纳医疗保险金等支出。</w:t>
      </w:r>
    </w:p>
    <w:p>
      <w:pPr>
        <w:pageBreakBefore w:val="0"/>
        <w:widowControl w:val="0"/>
        <w:kinsoku/>
        <w:wordWrap/>
        <w:overflowPunct/>
        <w:topLinePunct w:val="0"/>
        <w:autoSpaceDE/>
        <w:autoSpaceDN/>
        <w:bidi w:val="0"/>
        <w:spacing w:line="576" w:lineRule="exact"/>
        <w:ind w:firstLine="640" w:firstLineChars="200"/>
        <w:textAlignment w:val="auto"/>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23.卫生健康（类）行政事业单位医疗（款）事业单位医疗（项）：</w:t>
      </w:r>
      <w:r>
        <w:rPr>
          <w:rFonts w:hint="eastAsia" w:ascii="仿宋_GB2312" w:hAnsi="仿宋_GB2312" w:eastAsia="仿宋_GB2312" w:cs="仿宋_GB2312"/>
          <w:bCs/>
          <w:sz w:val="32"/>
          <w:szCs w:val="32"/>
        </w:rPr>
        <w:t>指用于按政策规定为</w:t>
      </w:r>
      <w:r>
        <w:rPr>
          <w:rFonts w:hint="eastAsia" w:ascii="仿宋_GB2312" w:hAnsi="仿宋_GB2312" w:eastAsia="仿宋_GB2312" w:cs="仿宋_GB2312"/>
          <w:bCs/>
          <w:sz w:val="32"/>
          <w:szCs w:val="32"/>
          <w:lang w:eastAsia="zh-CN"/>
        </w:rPr>
        <w:t>事业</w:t>
      </w:r>
      <w:r>
        <w:rPr>
          <w:rFonts w:hint="eastAsia" w:ascii="仿宋_GB2312" w:hAnsi="仿宋_GB2312" w:eastAsia="仿宋_GB2312" w:cs="仿宋_GB2312"/>
          <w:bCs/>
          <w:sz w:val="32"/>
          <w:szCs w:val="32"/>
        </w:rPr>
        <w:t>单位职工缴纳医疗保险金等支出。</w:t>
      </w:r>
    </w:p>
    <w:p>
      <w:pPr>
        <w:pageBreakBefore w:val="0"/>
        <w:widowControl w:val="0"/>
        <w:kinsoku/>
        <w:wordWrap/>
        <w:overflowPunct/>
        <w:topLinePunct w:val="0"/>
        <w:autoSpaceDE/>
        <w:autoSpaceDN/>
        <w:bidi w:val="0"/>
        <w:spacing w:line="576" w:lineRule="exact"/>
        <w:ind w:firstLine="640" w:firstLineChars="200"/>
        <w:textAlignment w:val="auto"/>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24.卫生健康（类）行政事业单位医疗（款）公务员医疗补助（项）：</w:t>
      </w:r>
      <w:r>
        <w:rPr>
          <w:rFonts w:hint="eastAsia" w:ascii="仿宋_GB2312" w:hAnsi="仿宋_GB2312" w:eastAsia="仿宋_GB2312" w:cs="仿宋_GB2312"/>
          <w:bCs/>
          <w:sz w:val="32"/>
          <w:szCs w:val="32"/>
        </w:rPr>
        <w:t>指用于按政策规定为职工缴纳公务员医疗补助等支出。</w:t>
      </w:r>
    </w:p>
    <w:p>
      <w:pPr>
        <w:ind w:firstLine="640" w:firstLineChars="200"/>
        <w:rPr>
          <w:rFonts w:hint="default"/>
          <w:lang w:val="en-US" w:eastAsia="zh-CN"/>
        </w:rPr>
      </w:pPr>
      <w:r>
        <w:rPr>
          <w:rFonts w:hint="eastAsia" w:ascii="仿宋_GB2312" w:eastAsia="仿宋_GB2312"/>
          <w:color w:val="auto"/>
          <w:sz w:val="32"/>
          <w:szCs w:val="32"/>
          <w:highlight w:val="none"/>
          <w:lang w:val="en-US" w:eastAsia="zh-CN"/>
        </w:rPr>
        <w:t>25.节能环保支出（类）天然林保护（款）森林管护（项）：指用于天然林管护支出。</w:t>
      </w:r>
    </w:p>
    <w:p>
      <w:pPr>
        <w:pStyle w:val="22"/>
        <w:pageBreakBefore w:val="0"/>
        <w:widowControl w:val="0"/>
        <w:kinsoku/>
        <w:wordWrap/>
        <w:overflowPunct/>
        <w:topLinePunct w:val="0"/>
        <w:bidi w:val="0"/>
        <w:spacing w:line="360" w:lineRule="auto"/>
        <w:ind w:firstLine="640" w:firstLineChars="200"/>
        <w:textAlignment w:val="auto"/>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26.农林水支出（类）农业农村（款）事业运行（项）：</w:t>
      </w:r>
      <w:r>
        <w:rPr>
          <w:rFonts w:hint="eastAsia" w:ascii="仿宋_GB2312" w:hAnsi="仿宋_GB2312" w:eastAsia="仿宋_GB2312" w:cs="仿宋_GB2312"/>
          <w:sz w:val="32"/>
          <w:szCs w:val="32"/>
          <w:lang w:eastAsia="zh-CN"/>
        </w:rPr>
        <w:t>指</w:t>
      </w:r>
      <w:r>
        <w:rPr>
          <w:rFonts w:hint="eastAsia" w:ascii="仿宋_GB2312" w:hAnsi="仿宋_GB2312" w:eastAsia="仿宋_GB2312" w:cs="仿宋_GB2312"/>
          <w:sz w:val="32"/>
          <w:szCs w:val="32"/>
        </w:rPr>
        <w:t>用于农业</w:t>
      </w:r>
      <w:r>
        <w:rPr>
          <w:rFonts w:hint="eastAsia" w:ascii="仿宋_GB2312" w:hAnsi="仿宋_GB2312" w:eastAsia="仿宋_GB2312" w:cs="仿宋_GB2312"/>
          <w:sz w:val="32"/>
          <w:szCs w:val="32"/>
          <w:lang w:eastAsia="zh-CN"/>
        </w:rPr>
        <w:t>农村</w:t>
      </w:r>
      <w:r>
        <w:rPr>
          <w:rFonts w:hint="eastAsia" w:ascii="仿宋_GB2312" w:hAnsi="仿宋_GB2312" w:eastAsia="仿宋_GB2312" w:cs="仿宋_GB2312"/>
          <w:sz w:val="32"/>
          <w:szCs w:val="32"/>
        </w:rPr>
        <w:t>事业</w:t>
      </w:r>
      <w:r>
        <w:rPr>
          <w:rFonts w:hint="eastAsia" w:ascii="仿宋_GB2312" w:hAnsi="仿宋_GB2312" w:eastAsia="仿宋_GB2312" w:cs="仿宋_GB2312"/>
          <w:sz w:val="32"/>
          <w:szCs w:val="32"/>
          <w:lang w:eastAsia="zh-CN"/>
        </w:rPr>
        <w:t>单位基本</w:t>
      </w:r>
      <w:r>
        <w:rPr>
          <w:rFonts w:hint="eastAsia" w:ascii="仿宋_GB2312" w:hAnsi="仿宋_GB2312" w:eastAsia="仿宋_GB2312" w:cs="仿宋_GB2312"/>
          <w:sz w:val="32"/>
          <w:szCs w:val="32"/>
        </w:rPr>
        <w:t>支出，事业单位设施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系统运行与资产维护</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方面的支出。</w:t>
      </w:r>
    </w:p>
    <w:p>
      <w:pPr>
        <w:ind w:firstLine="640" w:firstLineChars="200"/>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27.农林水支出（类）林业和草原（款）事业机构（项）：指用于林业和草原机构运行方面的支出。</w:t>
      </w:r>
    </w:p>
    <w:p>
      <w:pPr>
        <w:ind w:firstLine="640" w:firstLineChars="200"/>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28.农林水支出（类）水利（款）水利技术推广（项）：指用于水利技术推广方面的支出。</w:t>
      </w:r>
    </w:p>
    <w:p>
      <w:pPr>
        <w:ind w:firstLine="640" w:firstLineChars="200"/>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29.农林水支出（类）扶贫（款）农村基础设施建设（项）：指用于农村基础设施建设方面的扶贫支出。</w:t>
      </w:r>
    </w:p>
    <w:p>
      <w:pPr>
        <w:ind w:firstLine="640" w:firstLineChars="200"/>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30.农林水支出（类）扶贫（款）生产发展（项）：指用于社会生产发展方面的扶贫支出。</w:t>
      </w:r>
    </w:p>
    <w:p>
      <w:pPr>
        <w:ind w:firstLine="640" w:firstLineChars="200"/>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31.农林水支出（类）扶贫（款）其他扶贫支出（项）：指用于扶贫方面的其他支出。</w:t>
      </w:r>
    </w:p>
    <w:p>
      <w:pPr>
        <w:ind w:firstLine="640" w:firstLineChars="200"/>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32.农林水支出（类）农村综合改革（款）对村民委员会和村党支部的补助（项）：指用于村委会机构基本运行支出。</w:t>
      </w:r>
    </w:p>
    <w:p>
      <w:pPr>
        <w:ind w:firstLine="640" w:firstLineChars="200"/>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33.交通运输支出（类）公路水路运输（款）公路运输管理（项）：指用于公路运输管理方面的支出。</w:t>
      </w:r>
    </w:p>
    <w:p>
      <w:pPr>
        <w:ind w:firstLine="640" w:firstLineChars="200"/>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34.商业服务业等支出（类）商业流通事务（款）其他商业流通事务支出（项）：指用于商业流通事务方面的其他支出。</w:t>
      </w:r>
    </w:p>
    <w:p>
      <w:pPr>
        <w:pageBreakBefore w:val="0"/>
        <w:numPr>
          <w:ilvl w:val="0"/>
          <w:numId w:val="0"/>
        </w:numPr>
        <w:kinsoku/>
        <w:wordWrap/>
        <w:overflowPunct/>
        <w:topLinePunct w:val="0"/>
        <w:bidi w:val="0"/>
        <w:spacing w:line="560" w:lineRule="exact"/>
        <w:ind w:firstLine="640" w:firstLineChars="200"/>
        <w:textAlignment w:val="auto"/>
        <w:rPr>
          <w:rFonts w:ascii="仿宋" w:hAnsi="仿宋" w:eastAsia="仿宋"/>
          <w:b/>
          <w:color w:val="auto"/>
          <w:sz w:val="32"/>
          <w:szCs w:val="32"/>
          <w:highlight w:val="none"/>
        </w:rPr>
      </w:pPr>
      <w:r>
        <w:rPr>
          <w:rFonts w:hint="eastAsia" w:ascii="仿宋_GB2312" w:eastAsia="仿宋_GB2312"/>
          <w:color w:val="auto"/>
          <w:sz w:val="32"/>
          <w:szCs w:val="32"/>
          <w:highlight w:val="none"/>
          <w:lang w:val="en-US" w:eastAsia="zh-CN"/>
        </w:rPr>
        <w:t>35.住房保障支出（类）住房改革支出（款）住房公积金（项）：</w:t>
      </w:r>
      <w:r>
        <w:rPr>
          <w:rFonts w:hint="eastAsia" w:ascii="仿宋_GB2312" w:hAnsi="仿宋_GB2312" w:eastAsia="仿宋_GB2312" w:cs="仿宋_GB2312"/>
          <w:color w:val="000000"/>
          <w:kern w:val="0"/>
          <w:sz w:val="32"/>
          <w:szCs w:val="32"/>
        </w:rPr>
        <w:t>指用于按政策规定为职工缴纳的住房公积金支出。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36</w:t>
      </w:r>
      <w:r>
        <w:rPr>
          <w:rFonts w:ascii="仿宋_GB2312" w:eastAsia="仿宋_GB2312"/>
          <w:color w:val="auto"/>
          <w:sz w:val="32"/>
          <w:szCs w:val="32"/>
          <w:highlight w:val="none"/>
        </w:rPr>
        <w:t>.</w:t>
      </w:r>
      <w:r>
        <w:rPr>
          <w:rFonts w:hint="eastAsia" w:ascii="仿宋_GB2312" w:eastAsia="仿宋_GB2312"/>
          <w:color w:val="auto"/>
          <w:sz w:val="32"/>
          <w:szCs w:val="32"/>
          <w:highlight w:val="none"/>
        </w:rPr>
        <w:t>基本支出：指为保障机构正常运转、完成日常工作任务而发生的人员支出和公用支出。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37</w:t>
      </w:r>
      <w:r>
        <w:rPr>
          <w:rFonts w:ascii="仿宋_GB2312" w:eastAsia="仿宋_GB2312"/>
          <w:color w:val="auto"/>
          <w:sz w:val="32"/>
          <w:szCs w:val="32"/>
          <w:highlight w:val="none"/>
        </w:rPr>
        <w:t>.</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38</w:t>
      </w:r>
      <w:r>
        <w:rPr>
          <w:rFonts w:ascii="仿宋_GB2312" w:eastAsia="仿宋_GB2312"/>
          <w:color w:val="auto"/>
          <w:sz w:val="32"/>
          <w:szCs w:val="32"/>
          <w:highlight w:val="none"/>
        </w:rPr>
        <w:t>.</w:t>
      </w:r>
      <w:r>
        <w:rPr>
          <w:rFonts w:hint="eastAsia" w:ascii="仿宋_GB2312" w:eastAsia="仿宋_GB2312"/>
          <w:color w:val="auto"/>
          <w:sz w:val="32"/>
          <w:szCs w:val="32"/>
          <w:highlight w:val="none"/>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3</w:t>
      </w:r>
      <w:r>
        <w:rPr>
          <w:rFonts w:hint="eastAsia" w:ascii="仿宋_GB2312" w:eastAsia="仿宋_GB2312"/>
          <w:color w:val="auto"/>
          <w:sz w:val="32"/>
          <w:szCs w:val="32"/>
          <w:highlight w:val="none"/>
          <w:lang w:val="en-US" w:eastAsia="zh-CN"/>
        </w:rPr>
        <w:t>9</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“三公”经费：指</w:t>
      </w:r>
      <w:r>
        <w:rPr>
          <w:rFonts w:hint="eastAsia" w:ascii="仿宋_GB2312" w:eastAsia="仿宋_GB2312"/>
          <w:color w:val="auto"/>
          <w:sz w:val="32"/>
          <w:szCs w:val="32"/>
          <w:highlight w:val="none"/>
          <w:lang w:eastAsia="zh-CN"/>
        </w:rPr>
        <w:t>单位</w:t>
      </w:r>
      <w:r>
        <w:rPr>
          <w:rFonts w:hint="eastAsia" w:ascii="仿宋_GB2312" w:eastAsia="仿宋_GB2312"/>
          <w:color w:val="auto"/>
          <w:sz w:val="32"/>
          <w:szCs w:val="32"/>
          <w:highlight w:val="none"/>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40</w:t>
      </w:r>
      <w:r>
        <w:rPr>
          <w:rFonts w:ascii="仿宋_GB2312" w:eastAsia="仿宋_GB2312"/>
          <w:color w:val="auto"/>
          <w:sz w:val="32"/>
          <w:szCs w:val="32"/>
          <w:highlight w:val="none"/>
        </w:rPr>
        <w:t>.</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br w:type="page"/>
      </w:r>
    </w:p>
    <w:p>
      <w:pPr>
        <w:numPr>
          <w:ilvl w:val="0"/>
          <w:numId w:val="0"/>
        </w:numPr>
        <w:spacing w:line="600" w:lineRule="exact"/>
        <w:jc w:val="center"/>
        <w:outlineLvl w:val="0"/>
        <w:rPr>
          <w:rFonts w:hint="eastAsia" w:ascii="黑体" w:hAnsi="黑体" w:eastAsia="黑体"/>
          <w:color w:val="auto"/>
          <w:sz w:val="44"/>
          <w:szCs w:val="44"/>
          <w:highlight w:val="none"/>
        </w:rPr>
      </w:pPr>
      <w:bookmarkStart w:id="74" w:name="_Toc5715"/>
      <w:bookmarkStart w:id="75" w:name="_Toc2668"/>
      <w:r>
        <w:rPr>
          <w:rFonts w:hint="eastAsia" w:ascii="黑体" w:hAnsi="黑体" w:eastAsia="黑体"/>
          <w:color w:val="auto"/>
          <w:sz w:val="44"/>
          <w:szCs w:val="44"/>
          <w:highlight w:val="none"/>
        </w:rPr>
        <w:t>第四部分 附件</w:t>
      </w:r>
      <w:bookmarkEnd w:id="74"/>
      <w:bookmarkEnd w:id="75"/>
    </w:p>
    <w:p>
      <w:pPr>
        <w:keepNext w:val="0"/>
        <w:keepLines w:val="0"/>
        <w:pageBreakBefore w:val="0"/>
        <w:kinsoku/>
        <w:wordWrap/>
        <w:overflowPunct/>
        <w:topLinePunct w:val="0"/>
        <w:autoSpaceDE/>
        <w:autoSpaceDN/>
        <w:bidi w:val="0"/>
        <w:spacing w:line="572" w:lineRule="exact"/>
        <w:jc w:val="left"/>
        <w:textAlignment w:val="auto"/>
        <w:outlineLvl w:val="0"/>
        <w:rPr>
          <w:rFonts w:ascii="方正小标宋简体" w:hAnsi="方正小标宋简体" w:eastAsia="方正小标宋简体" w:cs="方正小标宋简体"/>
          <w:color w:val="auto"/>
          <w:sz w:val="44"/>
          <w:szCs w:val="44"/>
          <w:highlight w:val="none"/>
        </w:rPr>
      </w:pPr>
      <w:bookmarkStart w:id="76" w:name="_Toc18112"/>
      <w:bookmarkStart w:id="77" w:name="_Toc13632"/>
      <w:r>
        <w:rPr>
          <w:rFonts w:hint="eastAsia" w:ascii="黑体" w:hAnsi="黑体" w:eastAsia="黑体" w:cs="黑体"/>
          <w:color w:val="auto"/>
          <w:sz w:val="32"/>
          <w:szCs w:val="32"/>
          <w:highlight w:val="none"/>
        </w:rPr>
        <w:t>附件</w:t>
      </w:r>
      <w:bookmarkEnd w:id="76"/>
      <w:bookmarkEnd w:id="77"/>
    </w:p>
    <w:p>
      <w:pPr>
        <w:keepNext w:val="0"/>
        <w:keepLines w:val="0"/>
        <w:pageBreakBefore w:val="0"/>
        <w:kinsoku/>
        <w:wordWrap/>
        <w:overflowPunct/>
        <w:topLinePunct w:val="0"/>
        <w:autoSpaceDE/>
        <w:autoSpaceDN/>
        <w:bidi w:val="0"/>
        <w:spacing w:line="572" w:lineRule="exact"/>
        <w:jc w:val="center"/>
        <w:textAlignment w:val="auto"/>
        <w:rPr>
          <w:rFonts w:ascii="仿宋_GB2312" w:hAnsi="宋体" w:eastAsia="仿宋_GB2312"/>
          <w:color w:val="auto"/>
          <w:sz w:val="32"/>
          <w:szCs w:val="32"/>
          <w:highlight w:val="none"/>
          <w:shd w:val="clear" w:color="auto" w:fill="FFFFFF"/>
        </w:rPr>
      </w:pPr>
      <w:r>
        <w:rPr>
          <w:rFonts w:hint="eastAsia" w:ascii="方正小标宋简体" w:hAnsi="宋体" w:eastAsia="方正小标宋简体"/>
          <w:color w:val="auto"/>
          <w:kern w:val="0"/>
          <w:sz w:val="40"/>
          <w:szCs w:val="44"/>
          <w:highlight w:val="none"/>
        </w:rPr>
        <w:t>202</w:t>
      </w:r>
      <w:r>
        <w:rPr>
          <w:rFonts w:hint="eastAsia" w:ascii="方正小标宋简体" w:hAnsi="宋体" w:eastAsia="方正小标宋简体"/>
          <w:color w:val="auto"/>
          <w:kern w:val="0"/>
          <w:sz w:val="40"/>
          <w:szCs w:val="44"/>
          <w:highlight w:val="none"/>
          <w:lang w:val="en-US" w:eastAsia="zh-CN"/>
        </w:rPr>
        <w:t>0</w:t>
      </w:r>
      <w:r>
        <w:rPr>
          <w:rFonts w:hint="eastAsia" w:ascii="方正小标宋简体" w:hAnsi="宋体" w:eastAsia="方正小标宋简体"/>
          <w:color w:val="auto"/>
          <w:kern w:val="0"/>
          <w:sz w:val="40"/>
          <w:szCs w:val="44"/>
          <w:highlight w:val="none"/>
        </w:rPr>
        <w:t>年</w:t>
      </w:r>
      <w:r>
        <w:rPr>
          <w:rFonts w:hint="eastAsia" w:ascii="方正小标宋简体" w:hAnsi="宋体" w:eastAsia="方正小标宋简体"/>
          <w:color w:val="auto"/>
          <w:kern w:val="0"/>
          <w:sz w:val="40"/>
          <w:szCs w:val="44"/>
          <w:highlight w:val="none"/>
          <w:lang w:eastAsia="zh-CN"/>
        </w:rPr>
        <w:t>长坪镇</w:t>
      </w:r>
      <w:r>
        <w:rPr>
          <w:rFonts w:hint="eastAsia" w:ascii="方正小标宋简体" w:hAnsi="宋体" w:eastAsia="方正小标宋简体"/>
          <w:color w:val="auto"/>
          <w:kern w:val="0"/>
          <w:sz w:val="40"/>
          <w:szCs w:val="44"/>
          <w:highlight w:val="none"/>
        </w:rPr>
        <w:t>整体绩效评价报告</w:t>
      </w:r>
    </w:p>
    <w:p>
      <w:pPr>
        <w:keepNext w:val="0"/>
        <w:keepLines w:val="0"/>
        <w:pageBreakBefore w:val="0"/>
        <w:widowControl/>
        <w:kinsoku/>
        <w:wordWrap/>
        <w:overflowPunct/>
        <w:topLinePunct w:val="0"/>
        <w:autoSpaceDE/>
        <w:autoSpaceDN/>
        <w:bidi w:val="0"/>
        <w:adjustRightInd w:val="0"/>
        <w:snapToGrid w:val="0"/>
        <w:spacing w:line="572" w:lineRule="exact"/>
        <w:ind w:firstLine="480" w:firstLineChars="200"/>
        <w:contextualSpacing/>
        <w:jc w:val="left"/>
        <w:textAlignment w:val="auto"/>
        <w:rPr>
          <w:rFonts w:ascii="黑体" w:hAnsi="宋体" w:eastAsia="黑体" w:cs="宋体"/>
          <w:color w:val="auto"/>
          <w:kern w:val="0"/>
          <w:sz w:val="24"/>
          <w:szCs w:val="32"/>
          <w:highlight w:val="none"/>
          <w:shd w:val="clear" w:color="auto" w:fill="FFFFFF"/>
        </w:rPr>
      </w:pP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ascii="黑体" w:hAnsi="宋体" w:eastAsia="黑体" w:cs="宋体"/>
          <w:color w:val="auto"/>
          <w:kern w:val="0"/>
          <w:sz w:val="32"/>
          <w:szCs w:val="32"/>
          <w:highlight w:val="none"/>
          <w:shd w:val="clear" w:color="auto" w:fill="FFFFFF"/>
          <w:lang w:val="zh-CN"/>
        </w:rPr>
      </w:pPr>
      <w:r>
        <w:rPr>
          <w:rFonts w:hint="eastAsia" w:ascii="黑体" w:hAnsi="宋体" w:eastAsia="黑体" w:cs="宋体"/>
          <w:color w:val="auto"/>
          <w:kern w:val="0"/>
          <w:sz w:val="32"/>
          <w:szCs w:val="32"/>
          <w:highlight w:val="none"/>
          <w:shd w:val="clear" w:color="auto" w:fill="FFFFFF"/>
        </w:rPr>
        <w:t>一、</w:t>
      </w:r>
      <w:r>
        <w:rPr>
          <w:rFonts w:hint="eastAsia" w:ascii="黑体" w:hAnsi="宋体" w:eastAsia="黑体" w:cs="宋体"/>
          <w:color w:val="auto"/>
          <w:kern w:val="0"/>
          <w:sz w:val="32"/>
          <w:szCs w:val="32"/>
          <w:highlight w:val="none"/>
          <w:shd w:val="clear" w:color="auto" w:fill="FFFFFF"/>
          <w:lang w:val="zh-CN"/>
        </w:rPr>
        <w:t>部门（单位）概况</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（一）机构组成。</w:t>
      </w:r>
    </w:p>
    <w:p>
      <w:pPr>
        <w:pStyle w:val="2"/>
        <w:numPr>
          <w:ilvl w:val="0"/>
          <w:numId w:val="0"/>
        </w:numPr>
        <w:adjustRightInd w:val="0"/>
        <w:snapToGrid w:val="0"/>
        <w:spacing w:before="93" w:line="600" w:lineRule="exact"/>
        <w:ind w:left="0" w:leftChars="0" w:firstLine="640" w:firstLineChars="200"/>
        <w:outlineLvl w:val="2"/>
        <w:rPr>
          <w:rFonts w:hint="eastAsia" w:ascii="仿宋_GB2312" w:hAnsi="宋体" w:eastAsia="仿宋_GB2312" w:cs="宋体"/>
          <w:color w:val="auto"/>
          <w:kern w:val="0"/>
          <w:sz w:val="32"/>
          <w:szCs w:val="32"/>
          <w:highlight w:val="none"/>
          <w:shd w:val="clear" w:color="auto" w:fill="FFFFFF"/>
          <w:lang w:val="zh-CN" w:eastAsia="zh-CN" w:bidi="ar-SA"/>
        </w:rPr>
      </w:pPr>
      <w:r>
        <w:rPr>
          <w:rFonts w:hint="eastAsia" w:ascii="仿宋_GB2312" w:hAnsi="宋体" w:eastAsia="仿宋_GB2312" w:cs="宋体"/>
          <w:color w:val="auto"/>
          <w:kern w:val="0"/>
          <w:sz w:val="32"/>
          <w:szCs w:val="32"/>
          <w:highlight w:val="none"/>
          <w:shd w:val="clear" w:color="auto" w:fill="FFFFFF"/>
          <w:lang w:val="en-US" w:eastAsia="zh-CN" w:bidi="ar-SA"/>
        </w:rPr>
        <w:t>长坪</w:t>
      </w:r>
      <w:r>
        <w:rPr>
          <w:rFonts w:hint="eastAsia" w:ascii="仿宋_GB2312" w:hAnsi="宋体" w:eastAsia="仿宋_GB2312" w:cs="宋体"/>
          <w:color w:val="auto"/>
          <w:kern w:val="0"/>
          <w:sz w:val="32"/>
          <w:szCs w:val="32"/>
          <w:highlight w:val="none"/>
          <w:shd w:val="clear" w:color="auto" w:fill="FFFFFF"/>
          <w:lang w:val="zh-CN" w:eastAsia="zh-CN" w:bidi="ar-SA"/>
        </w:rPr>
        <w:t>镇</w:t>
      </w:r>
      <w:r>
        <w:rPr>
          <w:rFonts w:hint="eastAsia" w:ascii="仿宋_GB2312" w:hAnsi="宋体" w:eastAsia="仿宋_GB2312" w:cs="宋体"/>
          <w:color w:val="auto"/>
          <w:kern w:val="0"/>
          <w:sz w:val="32"/>
          <w:szCs w:val="32"/>
          <w:highlight w:val="none"/>
          <w:shd w:val="clear" w:color="auto" w:fill="FFFFFF"/>
          <w:lang w:val="en-US" w:eastAsia="zh-CN" w:bidi="ar-SA"/>
        </w:rPr>
        <w:t>人民政府属行政区划调整乡镇（由原长坪镇大兴乡合并）。</w:t>
      </w:r>
      <w:r>
        <w:rPr>
          <w:rFonts w:hint="eastAsia" w:ascii="仿宋_GB2312" w:hAnsi="宋体" w:eastAsia="仿宋_GB2312" w:cs="宋体"/>
          <w:color w:val="auto"/>
          <w:kern w:val="0"/>
          <w:sz w:val="32"/>
          <w:szCs w:val="32"/>
          <w:highlight w:val="none"/>
          <w:shd w:val="clear" w:color="auto" w:fill="FFFFFF"/>
          <w:lang w:val="zh-CN" w:eastAsia="zh-CN" w:bidi="ar-SA"/>
        </w:rPr>
        <w:t>政府内设党政办、民政办、社保办、卫计站、林业站、扶贫办、水利站、农业站、文化站、财政所、交管站等部门；下属二级单位通江县长坪镇</w:t>
      </w:r>
      <w:r>
        <w:rPr>
          <w:rFonts w:hint="eastAsia" w:ascii="仿宋_GB2312" w:hAnsi="宋体" w:eastAsia="仿宋_GB2312" w:cs="宋体"/>
          <w:color w:val="auto"/>
          <w:kern w:val="0"/>
          <w:sz w:val="32"/>
          <w:szCs w:val="32"/>
          <w:highlight w:val="none"/>
          <w:shd w:val="clear" w:color="auto" w:fill="FFFFFF"/>
          <w:lang w:val="en-US" w:eastAsia="zh-CN" w:bidi="ar-SA"/>
        </w:rPr>
        <w:t>新文</w:t>
      </w:r>
      <w:r>
        <w:rPr>
          <w:rFonts w:hint="eastAsia" w:ascii="仿宋_GB2312" w:hAnsi="宋体" w:eastAsia="仿宋_GB2312" w:cs="宋体"/>
          <w:color w:val="auto"/>
          <w:kern w:val="0"/>
          <w:sz w:val="32"/>
          <w:szCs w:val="32"/>
          <w:highlight w:val="none"/>
          <w:shd w:val="clear" w:color="auto" w:fill="FFFFFF"/>
          <w:lang w:val="zh-CN" w:eastAsia="zh-CN" w:bidi="ar-SA"/>
        </w:rPr>
        <w:t>小学、通江县长坪镇卫生院、通江县长坪镇中心小学。</w:t>
      </w:r>
    </w:p>
    <w:p>
      <w:pPr>
        <w:keepNext w:val="0"/>
        <w:keepLines w:val="0"/>
        <w:pageBreakBefore w:val="0"/>
        <w:widowControl/>
        <w:numPr>
          <w:ilvl w:val="0"/>
          <w:numId w:val="5"/>
        </w:numPr>
        <w:kinsoku/>
        <w:wordWrap/>
        <w:overflowPunct/>
        <w:topLinePunct w:val="0"/>
        <w:autoSpaceDE/>
        <w:autoSpaceDN/>
        <w:bidi w:val="0"/>
        <w:adjustRightInd w:val="0"/>
        <w:snapToGrid w:val="0"/>
        <w:spacing w:line="572" w:lineRule="exact"/>
        <w:ind w:firstLine="640" w:firstLineChars="20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机构职能。</w:t>
      </w:r>
    </w:p>
    <w:p>
      <w:pPr>
        <w:keepNext w:val="0"/>
        <w:keepLines w:val="0"/>
        <w:pageBreakBefore w:val="0"/>
        <w:widowControl/>
        <w:numPr>
          <w:ilvl w:val="0"/>
          <w:numId w:val="0"/>
        </w:numPr>
        <w:kinsoku/>
        <w:wordWrap/>
        <w:overflowPunct/>
        <w:topLinePunct w:val="0"/>
        <w:autoSpaceDE/>
        <w:autoSpaceDN/>
        <w:bidi w:val="0"/>
        <w:adjustRightInd w:val="0"/>
        <w:snapToGrid w:val="0"/>
        <w:spacing w:line="572" w:lineRule="exact"/>
        <w:ind w:firstLine="640" w:firstLineChars="20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eastAsia="zh-CN"/>
        </w:rPr>
        <w:t>长坪镇</w:t>
      </w:r>
      <w:r>
        <w:rPr>
          <w:rFonts w:hint="eastAsia" w:ascii="仿宋_GB2312" w:hAnsi="宋体" w:eastAsia="仿宋_GB2312" w:cs="宋体"/>
          <w:color w:val="auto"/>
          <w:kern w:val="0"/>
          <w:sz w:val="32"/>
          <w:szCs w:val="32"/>
          <w:highlight w:val="none"/>
          <w:shd w:val="clear" w:color="auto" w:fill="FFFFFF"/>
          <w:lang w:val="zh-CN"/>
        </w:rPr>
        <w:t>人民政府主要职责是：落实国家政策，严格依法行政，发挥经济管理职能，加强政策引导，制定发展规划，服务市场主体和营造发展环境，搞好市场监管，大力促进社会事业发展，发展</w:t>
      </w:r>
      <w:r>
        <w:rPr>
          <w:rFonts w:hint="eastAsia" w:ascii="仿宋_GB2312" w:hAnsi="宋体" w:eastAsia="仿宋_GB2312" w:cs="宋体"/>
          <w:color w:val="auto"/>
          <w:kern w:val="0"/>
          <w:sz w:val="32"/>
          <w:szCs w:val="32"/>
          <w:highlight w:val="none"/>
          <w:shd w:val="clear" w:color="auto" w:fill="FFFFFF"/>
          <w:lang w:val="zh-CN" w:eastAsia="zh-CN"/>
        </w:rPr>
        <w:t>乡村</w:t>
      </w:r>
      <w:r>
        <w:rPr>
          <w:rFonts w:hint="eastAsia" w:ascii="仿宋_GB2312" w:hAnsi="宋体" w:eastAsia="仿宋_GB2312" w:cs="宋体"/>
          <w:color w:val="auto"/>
          <w:kern w:val="0"/>
          <w:sz w:val="32"/>
          <w:szCs w:val="32"/>
          <w:highlight w:val="none"/>
          <w:shd w:val="clear" w:color="auto" w:fill="FFFFFF"/>
          <w:lang w:val="zh-CN"/>
        </w:rPr>
        <w:t>经济、文化和社会事业，提供公共服务，维护社会稳定，构建社会主义和谐社会。</w:t>
      </w:r>
    </w:p>
    <w:p>
      <w:pPr>
        <w:keepNext w:val="0"/>
        <w:keepLines w:val="0"/>
        <w:pageBreakBefore w:val="0"/>
        <w:widowControl/>
        <w:numPr>
          <w:ilvl w:val="0"/>
          <w:numId w:val="5"/>
        </w:numPr>
        <w:kinsoku/>
        <w:wordWrap/>
        <w:overflowPunct/>
        <w:topLinePunct w:val="0"/>
        <w:autoSpaceDE/>
        <w:autoSpaceDN/>
        <w:bidi w:val="0"/>
        <w:adjustRightInd w:val="0"/>
        <w:snapToGrid w:val="0"/>
        <w:spacing w:line="572" w:lineRule="exact"/>
        <w:ind w:left="0" w:leftChars="0" w:firstLine="640" w:firstLineChars="20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人员概况。</w:t>
      </w:r>
    </w:p>
    <w:p>
      <w:pPr>
        <w:keepNext w:val="0"/>
        <w:keepLines w:val="0"/>
        <w:pageBreakBefore w:val="0"/>
        <w:widowControl/>
        <w:numPr>
          <w:ilvl w:val="0"/>
          <w:numId w:val="0"/>
        </w:numPr>
        <w:kinsoku/>
        <w:wordWrap/>
        <w:overflowPunct/>
        <w:topLinePunct w:val="0"/>
        <w:autoSpaceDE/>
        <w:autoSpaceDN/>
        <w:bidi w:val="0"/>
        <w:adjustRightInd w:val="0"/>
        <w:snapToGrid w:val="0"/>
        <w:spacing w:line="572" w:lineRule="exact"/>
        <w:ind w:leftChars="200" w:firstLine="320" w:firstLineChars="10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eastAsia="zh-CN"/>
        </w:rPr>
        <w:t>20</w:t>
      </w:r>
      <w:r>
        <w:rPr>
          <w:rFonts w:hint="eastAsia" w:ascii="仿宋_GB2312" w:hAnsi="宋体" w:eastAsia="仿宋_GB2312" w:cs="宋体"/>
          <w:color w:val="auto"/>
          <w:kern w:val="0"/>
          <w:sz w:val="32"/>
          <w:szCs w:val="32"/>
          <w:highlight w:val="none"/>
          <w:shd w:val="clear" w:color="auto" w:fill="FFFFFF"/>
          <w:lang w:val="en-US" w:eastAsia="zh-CN"/>
        </w:rPr>
        <w:t>20</w:t>
      </w:r>
      <w:r>
        <w:rPr>
          <w:rFonts w:hint="eastAsia" w:ascii="仿宋_GB2312" w:hAnsi="宋体" w:eastAsia="仿宋_GB2312" w:cs="宋体"/>
          <w:color w:val="auto"/>
          <w:kern w:val="0"/>
          <w:sz w:val="32"/>
          <w:szCs w:val="32"/>
          <w:highlight w:val="none"/>
          <w:shd w:val="clear" w:color="auto" w:fill="FFFFFF"/>
          <w:lang w:val="zh-CN" w:eastAsia="zh-CN"/>
        </w:rPr>
        <w:t>年末实有在职人员</w:t>
      </w:r>
      <w:r>
        <w:rPr>
          <w:rFonts w:hint="eastAsia" w:ascii="仿宋_GB2312" w:hAnsi="宋体" w:eastAsia="仿宋_GB2312" w:cs="宋体"/>
          <w:color w:val="auto"/>
          <w:kern w:val="0"/>
          <w:sz w:val="32"/>
          <w:szCs w:val="32"/>
          <w:highlight w:val="none"/>
          <w:shd w:val="clear" w:color="auto" w:fill="FFFFFF"/>
          <w:lang w:val="en-US" w:eastAsia="zh-CN"/>
        </w:rPr>
        <w:t>45</w:t>
      </w:r>
      <w:r>
        <w:rPr>
          <w:rFonts w:hint="eastAsia" w:ascii="仿宋_GB2312" w:hAnsi="宋体" w:eastAsia="仿宋_GB2312" w:cs="宋体"/>
          <w:color w:val="auto"/>
          <w:kern w:val="0"/>
          <w:sz w:val="32"/>
          <w:szCs w:val="32"/>
          <w:highlight w:val="none"/>
          <w:shd w:val="clear" w:color="auto" w:fill="FFFFFF"/>
          <w:lang w:val="zh-CN" w:eastAsia="zh-CN"/>
        </w:rPr>
        <w:t>人。</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ascii="黑体" w:hAnsi="宋体" w:eastAsia="黑体" w:cs="宋体"/>
          <w:color w:val="auto"/>
          <w:kern w:val="0"/>
          <w:sz w:val="32"/>
          <w:szCs w:val="32"/>
          <w:highlight w:val="none"/>
          <w:shd w:val="clear" w:color="auto" w:fill="FFFFFF"/>
        </w:rPr>
      </w:pPr>
      <w:r>
        <w:rPr>
          <w:rFonts w:hint="eastAsia" w:ascii="黑体" w:hAnsi="宋体" w:eastAsia="黑体" w:cs="宋体"/>
          <w:color w:val="auto"/>
          <w:kern w:val="0"/>
          <w:sz w:val="32"/>
          <w:szCs w:val="32"/>
          <w:highlight w:val="none"/>
          <w:shd w:val="clear" w:color="auto" w:fill="FFFFFF"/>
        </w:rPr>
        <w:t>二、部门财政资金收支情况</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（一）部门财政资金收入情况。</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20</w:t>
      </w:r>
      <w:r>
        <w:rPr>
          <w:rFonts w:hint="eastAsia" w:ascii="仿宋_GB2312" w:hAnsi="宋体" w:eastAsia="仿宋_GB2312" w:cs="宋体"/>
          <w:color w:val="auto"/>
          <w:kern w:val="0"/>
          <w:sz w:val="32"/>
          <w:szCs w:val="32"/>
          <w:highlight w:val="none"/>
          <w:shd w:val="clear" w:color="auto" w:fill="FFFFFF"/>
          <w:lang w:val="en-US" w:eastAsia="zh-CN"/>
        </w:rPr>
        <w:t>20</w:t>
      </w:r>
      <w:r>
        <w:rPr>
          <w:rFonts w:hint="eastAsia" w:ascii="仿宋_GB2312" w:hAnsi="宋体" w:eastAsia="仿宋_GB2312" w:cs="宋体"/>
          <w:color w:val="auto"/>
          <w:kern w:val="0"/>
          <w:sz w:val="32"/>
          <w:szCs w:val="32"/>
          <w:highlight w:val="none"/>
          <w:shd w:val="clear" w:color="auto" w:fill="FFFFFF"/>
          <w:lang w:val="zh-CN"/>
        </w:rPr>
        <w:t>年我镇财政一般公共预算财政拨款收入</w:t>
      </w:r>
      <w:r>
        <w:rPr>
          <w:rFonts w:hint="eastAsia" w:ascii="仿宋_GB2312" w:hAnsi="宋体" w:eastAsia="仿宋_GB2312" w:cs="宋体"/>
          <w:color w:val="auto"/>
          <w:kern w:val="0"/>
          <w:sz w:val="32"/>
          <w:szCs w:val="32"/>
          <w:highlight w:val="none"/>
          <w:shd w:val="clear" w:color="auto" w:fill="FFFFFF"/>
          <w:lang w:val="en-US" w:eastAsia="zh-CN"/>
        </w:rPr>
        <w:t>1450.08</w:t>
      </w:r>
      <w:r>
        <w:rPr>
          <w:rFonts w:hint="eastAsia" w:ascii="仿宋_GB2312" w:hAnsi="宋体" w:eastAsia="仿宋_GB2312" w:cs="宋体"/>
          <w:color w:val="auto"/>
          <w:kern w:val="0"/>
          <w:sz w:val="32"/>
          <w:szCs w:val="32"/>
          <w:highlight w:val="none"/>
          <w:shd w:val="clear" w:color="auto" w:fill="FFFFFF"/>
          <w:lang w:val="zh-CN"/>
        </w:rPr>
        <w:t>万元</w:t>
      </w:r>
      <w:r>
        <w:rPr>
          <w:rFonts w:hint="eastAsia" w:ascii="仿宋_GB2312" w:hAnsi="宋体" w:eastAsia="仿宋_GB2312" w:cs="宋体"/>
          <w:color w:val="auto"/>
          <w:kern w:val="0"/>
          <w:sz w:val="32"/>
          <w:szCs w:val="32"/>
          <w:highlight w:val="none"/>
          <w:shd w:val="clear" w:color="auto" w:fill="FFFFFF"/>
          <w:lang w:val="en-US" w:eastAsia="zh-CN"/>
        </w:rPr>
        <w:t>。</w:t>
      </w:r>
    </w:p>
    <w:p>
      <w:pPr>
        <w:pStyle w:val="2"/>
        <w:rPr>
          <w:lang w:val="zh-CN"/>
        </w:rPr>
      </w:pPr>
    </w:p>
    <w:p>
      <w:pPr>
        <w:keepNext w:val="0"/>
        <w:keepLines w:val="0"/>
        <w:pageBreakBefore w:val="0"/>
        <w:widowControl/>
        <w:numPr>
          <w:ilvl w:val="0"/>
          <w:numId w:val="6"/>
        </w:numPr>
        <w:kinsoku/>
        <w:wordWrap/>
        <w:overflowPunct/>
        <w:topLinePunct w:val="0"/>
        <w:autoSpaceDE/>
        <w:autoSpaceDN/>
        <w:bidi w:val="0"/>
        <w:adjustRightInd w:val="0"/>
        <w:snapToGrid w:val="0"/>
        <w:spacing w:line="572" w:lineRule="exact"/>
        <w:ind w:firstLine="640" w:firstLineChars="20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部门财政资金支出情况。</w:t>
      </w:r>
    </w:p>
    <w:p>
      <w:pPr>
        <w:keepNext w:val="0"/>
        <w:keepLines w:val="0"/>
        <w:pageBreakBefore w:val="0"/>
        <w:widowControl/>
        <w:numPr>
          <w:ilvl w:val="0"/>
          <w:numId w:val="0"/>
        </w:numPr>
        <w:kinsoku/>
        <w:wordWrap/>
        <w:overflowPunct/>
        <w:topLinePunct w:val="0"/>
        <w:autoSpaceDE/>
        <w:autoSpaceDN/>
        <w:bidi w:val="0"/>
        <w:adjustRightInd w:val="0"/>
        <w:snapToGrid w:val="0"/>
        <w:spacing w:line="572" w:lineRule="exact"/>
        <w:ind w:firstLine="640" w:firstLineChars="20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20</w:t>
      </w:r>
      <w:r>
        <w:rPr>
          <w:rFonts w:hint="eastAsia" w:ascii="仿宋_GB2312" w:hAnsi="宋体" w:eastAsia="仿宋_GB2312" w:cs="宋体"/>
          <w:color w:val="auto"/>
          <w:kern w:val="0"/>
          <w:sz w:val="32"/>
          <w:szCs w:val="32"/>
          <w:highlight w:val="none"/>
          <w:shd w:val="clear" w:color="auto" w:fill="FFFFFF"/>
          <w:lang w:val="en-US" w:eastAsia="zh-CN"/>
        </w:rPr>
        <w:t>20</w:t>
      </w:r>
      <w:r>
        <w:rPr>
          <w:rFonts w:hint="eastAsia" w:ascii="仿宋_GB2312" w:hAnsi="宋体" w:eastAsia="仿宋_GB2312" w:cs="宋体"/>
          <w:color w:val="auto"/>
          <w:kern w:val="0"/>
          <w:sz w:val="32"/>
          <w:szCs w:val="32"/>
          <w:highlight w:val="none"/>
          <w:shd w:val="clear" w:color="auto" w:fill="FFFFFF"/>
          <w:lang w:val="zh-CN"/>
        </w:rPr>
        <w:t>年财政拨款支</w:t>
      </w:r>
      <w:r>
        <w:rPr>
          <w:rFonts w:hint="eastAsia" w:ascii="仿宋_GB2312" w:hAnsi="宋体" w:eastAsia="仿宋_GB2312" w:cs="宋体"/>
          <w:color w:val="auto"/>
          <w:kern w:val="0"/>
          <w:sz w:val="32"/>
          <w:szCs w:val="32"/>
          <w:highlight w:val="none"/>
          <w:shd w:val="clear" w:color="auto" w:fill="FFFFFF"/>
          <w:lang w:val="zh-CN" w:eastAsia="zh-CN"/>
        </w:rPr>
        <w:t>出</w:t>
      </w:r>
      <w:r>
        <w:rPr>
          <w:rFonts w:hint="eastAsia" w:ascii="仿宋_GB2312" w:hAnsi="宋体" w:eastAsia="仿宋_GB2312" w:cs="宋体"/>
          <w:color w:val="auto"/>
          <w:kern w:val="0"/>
          <w:sz w:val="32"/>
          <w:szCs w:val="32"/>
          <w:highlight w:val="none"/>
          <w:shd w:val="clear" w:color="auto" w:fill="FFFFFF"/>
          <w:lang w:val="en-US" w:eastAsia="zh-CN"/>
        </w:rPr>
        <w:t>1450.08</w:t>
      </w:r>
      <w:r>
        <w:rPr>
          <w:rFonts w:hint="eastAsia" w:ascii="仿宋_GB2312" w:hAnsi="宋体" w:eastAsia="仿宋_GB2312" w:cs="宋体"/>
          <w:color w:val="auto"/>
          <w:kern w:val="0"/>
          <w:sz w:val="32"/>
          <w:szCs w:val="32"/>
          <w:highlight w:val="none"/>
          <w:shd w:val="clear" w:color="auto" w:fill="FFFFFF"/>
          <w:lang w:val="zh-CN"/>
        </w:rPr>
        <w:t>万元。</w:t>
      </w:r>
    </w:p>
    <w:p>
      <w:pPr>
        <w:keepNext w:val="0"/>
        <w:keepLines w:val="0"/>
        <w:pageBreakBefore w:val="0"/>
        <w:widowControl/>
        <w:numPr>
          <w:ilvl w:val="0"/>
          <w:numId w:val="2"/>
        </w:numPr>
        <w:kinsoku/>
        <w:wordWrap/>
        <w:overflowPunct/>
        <w:topLinePunct w:val="0"/>
        <w:autoSpaceDE/>
        <w:autoSpaceDN/>
        <w:bidi w:val="0"/>
        <w:adjustRightInd w:val="0"/>
        <w:snapToGrid w:val="0"/>
        <w:spacing w:line="572" w:lineRule="exact"/>
        <w:ind w:left="1360" w:leftChars="0" w:hanging="720" w:firstLineChars="0"/>
        <w:contextualSpacing/>
        <w:jc w:val="left"/>
        <w:textAlignment w:val="auto"/>
        <w:rPr>
          <w:rFonts w:hint="eastAsia" w:ascii="黑体" w:hAnsi="宋体" w:eastAsia="黑体" w:cs="宋体"/>
          <w:color w:val="auto"/>
          <w:kern w:val="0"/>
          <w:sz w:val="32"/>
          <w:szCs w:val="32"/>
          <w:highlight w:val="none"/>
          <w:u w:val="none"/>
          <w:shd w:val="clear" w:color="auto" w:fill="FFFFFF"/>
        </w:rPr>
      </w:pPr>
      <w:r>
        <w:rPr>
          <w:rFonts w:hint="eastAsia" w:ascii="黑体" w:hAnsi="宋体" w:eastAsia="黑体" w:cs="宋体"/>
          <w:color w:val="auto"/>
          <w:kern w:val="0"/>
          <w:sz w:val="32"/>
          <w:szCs w:val="32"/>
          <w:highlight w:val="none"/>
          <w:u w:val="none"/>
          <w:shd w:val="clear" w:color="auto" w:fill="FFFFFF"/>
        </w:rPr>
        <w:t>部门整体预算绩效管理情况</w:t>
      </w:r>
    </w:p>
    <w:p>
      <w:pPr>
        <w:keepNext w:val="0"/>
        <w:keepLines w:val="0"/>
        <w:pageBreakBefore w:val="0"/>
        <w:widowControl/>
        <w:numPr>
          <w:ilvl w:val="0"/>
          <w:numId w:val="0"/>
        </w:numPr>
        <w:kinsoku/>
        <w:wordWrap/>
        <w:overflowPunct/>
        <w:topLinePunct w:val="0"/>
        <w:autoSpaceDE/>
        <w:autoSpaceDN/>
        <w:bidi w:val="0"/>
        <w:adjustRightInd w:val="0"/>
        <w:snapToGrid w:val="0"/>
        <w:spacing w:line="572" w:lineRule="exact"/>
        <w:ind w:left="640" w:leftChars="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（一）部门预算项目绩效管理。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b w:val="0"/>
          <w:bCs w:val="0"/>
          <w:color w:val="auto"/>
          <w:kern w:val="0"/>
          <w:sz w:val="32"/>
          <w:szCs w:val="32"/>
          <w:lang w:val="en-US" w:eastAsia="zh-CN"/>
        </w:rPr>
      </w:pPr>
      <w:r>
        <w:rPr>
          <w:rFonts w:hint="eastAsia" w:ascii="仿宋" w:hAnsi="仿宋" w:eastAsia="仿宋" w:cs="仿宋"/>
          <w:color w:val="auto"/>
          <w:kern w:val="0"/>
          <w:sz w:val="32"/>
          <w:szCs w:val="32"/>
          <w:highlight w:val="none"/>
          <w:shd w:val="clear" w:color="auto" w:fill="FFFFFF"/>
          <w:lang w:val="en-US" w:eastAsia="zh-CN"/>
        </w:rPr>
        <w:t>1.</w:t>
      </w:r>
      <w:r>
        <w:rPr>
          <w:rFonts w:hint="eastAsia" w:ascii="仿宋" w:hAnsi="仿宋" w:eastAsia="仿宋" w:cs="仿宋"/>
          <w:sz w:val="32"/>
          <w:szCs w:val="32"/>
          <w:lang w:val="zh-CN"/>
        </w:rPr>
        <w:t>资金使用。截至</w:t>
      </w:r>
      <w:r>
        <w:rPr>
          <w:rFonts w:hint="eastAsia" w:ascii="仿宋_GB2312" w:hAnsi="仿宋_GB2312" w:eastAsia="仿宋_GB2312" w:cs="仿宋_GB2312"/>
          <w:b w:val="0"/>
          <w:bCs w:val="0"/>
          <w:color w:val="auto"/>
          <w:kern w:val="0"/>
          <w:sz w:val="32"/>
          <w:szCs w:val="32"/>
          <w:lang w:val="en-US" w:eastAsia="zh-CN"/>
        </w:rPr>
        <w:t>评价时点，我镇的整体支出资金630.86万元已全部支付到位，用于解决全镇基本支出和项目支出，且资金支付范围及依据合法合规，资金支付与预算相符，无资金截留、挤占、挪用等情况。</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default" w:ascii="Times New Roman" w:hAnsi="Times New Roman" w:eastAsia="仿宋_GB2312" w:cs="Times New Roman"/>
          <w:sz w:val="32"/>
          <w:szCs w:val="32"/>
          <w:lang w:val="zh-CN" w:eastAsia="zh-CN"/>
        </w:rPr>
      </w:pPr>
      <w:r>
        <w:rPr>
          <w:rFonts w:hint="eastAsia" w:ascii="仿宋" w:hAnsi="仿宋" w:eastAsia="仿宋" w:cs="仿宋"/>
          <w:sz w:val="32"/>
          <w:szCs w:val="32"/>
          <w:lang w:val="en-US" w:eastAsia="zh-CN"/>
        </w:rPr>
        <w:t>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zh-CN"/>
        </w:rPr>
        <w:t>组织实施情况。所有开支均按照</w:t>
      </w:r>
      <w:r>
        <w:rPr>
          <w:rFonts w:hint="default" w:ascii="Times New Roman" w:hAnsi="Times New Roman" w:eastAsia="仿宋_GB2312" w:cs="Times New Roman"/>
          <w:sz w:val="32"/>
          <w:szCs w:val="32"/>
          <w:lang w:val="zh-CN" w:eastAsia="zh-CN"/>
        </w:rPr>
        <w:t>财经</w:t>
      </w:r>
      <w:r>
        <w:rPr>
          <w:rFonts w:hint="default" w:ascii="Times New Roman" w:hAnsi="Times New Roman" w:eastAsia="仿宋_GB2312" w:cs="Times New Roman"/>
          <w:sz w:val="32"/>
          <w:szCs w:val="32"/>
          <w:lang w:val="zh-CN"/>
        </w:rPr>
        <w:t>制度执行，资金的使用严格把关，运行</w:t>
      </w:r>
      <w:r>
        <w:rPr>
          <w:rFonts w:hint="default" w:ascii="Times New Roman" w:hAnsi="Times New Roman" w:eastAsia="仿宋_GB2312" w:cs="Times New Roman"/>
          <w:sz w:val="32"/>
          <w:szCs w:val="32"/>
          <w:lang w:val="zh-CN" w:eastAsia="zh-CN"/>
        </w:rPr>
        <w:t>严格</w:t>
      </w:r>
      <w:r>
        <w:rPr>
          <w:rFonts w:hint="default" w:ascii="Times New Roman" w:hAnsi="Times New Roman" w:eastAsia="仿宋_GB2312" w:cs="Times New Roman"/>
          <w:sz w:val="32"/>
          <w:szCs w:val="32"/>
          <w:lang w:val="zh-CN"/>
        </w:rPr>
        <w:t>按照县委</w:t>
      </w:r>
      <w:r>
        <w:rPr>
          <w:rFonts w:hint="default" w:ascii="Times New Roman" w:hAnsi="Times New Roman" w:eastAsia="仿宋_GB2312" w:cs="Times New Roman"/>
          <w:sz w:val="32"/>
          <w:szCs w:val="32"/>
          <w:lang w:val="zh-CN" w:eastAsia="zh-CN"/>
        </w:rPr>
        <w:t>、</w:t>
      </w:r>
      <w:r>
        <w:rPr>
          <w:rFonts w:hint="default" w:ascii="Times New Roman" w:hAnsi="Times New Roman" w:eastAsia="仿宋_GB2312" w:cs="Times New Roman"/>
          <w:sz w:val="32"/>
          <w:szCs w:val="32"/>
          <w:lang w:val="zh-CN"/>
        </w:rPr>
        <w:t>县政府及财政的有关规定</w:t>
      </w:r>
      <w:r>
        <w:rPr>
          <w:rFonts w:hint="default" w:ascii="Times New Roman" w:hAnsi="Times New Roman" w:eastAsia="仿宋_GB2312" w:cs="Times New Roman"/>
          <w:sz w:val="32"/>
          <w:szCs w:val="32"/>
          <w:lang w:val="zh-CN" w:eastAsia="zh-CN"/>
        </w:rPr>
        <w:t>和</w:t>
      </w:r>
      <w:r>
        <w:rPr>
          <w:rFonts w:hint="default" w:ascii="Times New Roman" w:hAnsi="Times New Roman" w:eastAsia="仿宋_GB2312" w:cs="Times New Roman"/>
          <w:sz w:val="32"/>
          <w:szCs w:val="32"/>
          <w:lang w:val="zh-CN"/>
        </w:rPr>
        <w:t>我单位内部管理制度执行。单位内部不定期进行抽查，严格人员作风，不存在违规违法的问题</w:t>
      </w:r>
      <w:r>
        <w:rPr>
          <w:rFonts w:hint="default" w:ascii="Times New Roman" w:hAnsi="Times New Roman" w:eastAsia="仿宋_GB2312" w:cs="Times New Roman"/>
          <w:sz w:val="32"/>
          <w:szCs w:val="32"/>
          <w:lang w:val="zh-CN" w:eastAsia="zh-CN"/>
        </w:rPr>
        <w:t>，</w:t>
      </w:r>
      <w:r>
        <w:rPr>
          <w:rFonts w:hint="default" w:ascii="Times New Roman" w:hAnsi="Times New Roman" w:eastAsia="仿宋_GB2312" w:cs="Times New Roman"/>
          <w:sz w:val="32"/>
          <w:szCs w:val="32"/>
          <w:lang w:val="zh-CN"/>
        </w:rPr>
        <w:t>资金使用与具体实施内容相符。</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（二）结果应用情况。</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en-US" w:eastAsia="zh-CN"/>
        </w:rPr>
        <w:t>1.内部应用：我</w:t>
      </w:r>
      <w:r>
        <w:rPr>
          <w:rFonts w:hint="eastAsia" w:eastAsia="仿宋_GB2312" w:cs="Times New Roman"/>
          <w:sz w:val="32"/>
          <w:szCs w:val="32"/>
          <w:lang w:val="en-US" w:eastAsia="zh-CN"/>
        </w:rPr>
        <w:t>单位</w:t>
      </w:r>
      <w:r>
        <w:rPr>
          <w:rFonts w:hint="default" w:ascii="Times New Roman" w:hAnsi="Times New Roman" w:eastAsia="仿宋_GB2312" w:cs="Times New Roman"/>
          <w:sz w:val="32"/>
          <w:szCs w:val="32"/>
          <w:lang w:val="en-US" w:eastAsia="zh-CN"/>
        </w:rPr>
        <w:t>资金使用</w:t>
      </w:r>
      <w:r>
        <w:rPr>
          <w:rFonts w:hint="default" w:ascii="Times New Roman" w:hAnsi="Times New Roman" w:eastAsia="仿宋_GB2312" w:cs="Times New Roman"/>
          <w:sz w:val="32"/>
          <w:szCs w:val="32"/>
          <w:lang w:val="zh-CN"/>
        </w:rPr>
        <w:t>主要用于以下方面：一般公共服务、社会保障和就业、卫生健康、</w:t>
      </w:r>
      <w:r>
        <w:rPr>
          <w:rFonts w:hint="default" w:ascii="Times New Roman" w:hAnsi="Times New Roman" w:eastAsia="仿宋_GB2312" w:cs="Times New Roman"/>
          <w:sz w:val="32"/>
          <w:szCs w:val="32"/>
          <w:lang w:val="en-US" w:eastAsia="zh-CN"/>
        </w:rPr>
        <w:t>农林水、</w:t>
      </w:r>
      <w:r>
        <w:rPr>
          <w:rFonts w:hint="default" w:ascii="Times New Roman" w:hAnsi="Times New Roman" w:eastAsia="仿宋_GB2312" w:cs="Times New Roman"/>
          <w:sz w:val="32"/>
          <w:szCs w:val="32"/>
          <w:lang w:val="zh-CN"/>
        </w:rPr>
        <w:t>住房保障</w:t>
      </w:r>
      <w:r>
        <w:rPr>
          <w:rFonts w:hint="default" w:ascii="Times New Roman" w:hAnsi="Times New Roman" w:eastAsia="仿宋_GB2312" w:cs="Times New Roman"/>
          <w:sz w:val="32"/>
          <w:szCs w:val="32"/>
          <w:lang w:val="zh-CN" w:eastAsia="zh-CN"/>
        </w:rPr>
        <w:t>、公务接待</w:t>
      </w:r>
      <w:r>
        <w:rPr>
          <w:rFonts w:hint="default" w:ascii="Times New Roman" w:hAnsi="Times New Roman" w:eastAsia="仿宋_GB2312" w:cs="Times New Roman"/>
          <w:sz w:val="32"/>
          <w:szCs w:val="32"/>
          <w:lang w:val="zh-CN"/>
        </w:rPr>
        <w:t>等支出。合理有序的资金安排保证顺利完成全年目标和任务。</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en-US" w:eastAsia="zh-CN"/>
        </w:rPr>
        <w:t>2.自评公开：我</w:t>
      </w:r>
      <w:r>
        <w:rPr>
          <w:rFonts w:hint="eastAsia" w:eastAsia="仿宋_GB2312" w:cs="Times New Roman"/>
          <w:sz w:val="32"/>
          <w:szCs w:val="32"/>
          <w:lang w:val="en-US" w:eastAsia="zh-CN"/>
        </w:rPr>
        <w:t>单位</w:t>
      </w:r>
      <w:r>
        <w:rPr>
          <w:rFonts w:hint="default" w:ascii="Times New Roman" w:hAnsi="Times New Roman" w:eastAsia="仿宋_GB2312" w:cs="Times New Roman"/>
          <w:sz w:val="32"/>
          <w:szCs w:val="32"/>
          <w:lang w:val="en-US" w:eastAsia="zh-CN"/>
        </w:rPr>
        <w:t>认真贯彻落实上级指示安排，严格规范资金使用，全年未出台任何违反党的路线、方针、政策和法律法规的文件。由财政局在门户网站进行统一公开，构建了“权界清晰、分工合理、权责一致、运转高效”的部门职责体系。严格执行中央八项规定</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使资金的使用效益得到充分发挥，并保持了工作的连续性和规范性。</w:t>
      </w:r>
    </w:p>
    <w:p>
      <w:pPr>
        <w:widowControl/>
        <w:numPr>
          <w:ilvl w:val="0"/>
          <w:numId w:val="7"/>
        </w:numPr>
        <w:adjustRightInd w:val="0"/>
        <w:snapToGrid w:val="0"/>
        <w:spacing w:line="580" w:lineRule="exact"/>
        <w:ind w:firstLine="640" w:firstLineChars="200"/>
        <w:contextualSpacing/>
        <w:jc w:val="left"/>
        <w:rPr>
          <w:rFonts w:hint="eastAsia" w:ascii="仿宋_GB2312" w:hAnsi="宋体" w:eastAsia="仿宋_GB2312" w:cs="宋体"/>
          <w:color w:val="auto"/>
          <w:kern w:val="0"/>
          <w:sz w:val="32"/>
          <w:szCs w:val="32"/>
          <w:highlight w:val="none"/>
          <w:u w:val="none"/>
          <w:shd w:val="clear" w:color="auto" w:fill="FFFFFF"/>
          <w:lang w:val="zh-CN"/>
        </w:rPr>
      </w:pPr>
      <w:r>
        <w:rPr>
          <w:rFonts w:hint="eastAsia" w:ascii="仿宋_GB2312" w:hAnsi="宋体" w:eastAsia="仿宋_GB2312" w:cs="宋体"/>
          <w:color w:val="auto"/>
          <w:kern w:val="0"/>
          <w:sz w:val="32"/>
          <w:szCs w:val="32"/>
          <w:highlight w:val="none"/>
          <w:u w:val="none"/>
          <w:shd w:val="clear" w:color="auto" w:fill="FFFFFF"/>
          <w:lang w:val="zh-CN"/>
        </w:rPr>
        <w:t>自评质量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仿宋_GB2312" w:hAnsi="宋体" w:eastAsia="仿宋_GB2312" w:cs="宋体"/>
          <w:color w:val="auto"/>
          <w:kern w:val="0"/>
          <w:sz w:val="32"/>
          <w:szCs w:val="32"/>
          <w:highlight w:val="none"/>
          <w:shd w:val="clear" w:color="auto" w:fill="FFFFFF"/>
          <w:lang w:val="en-US" w:eastAsia="zh-CN"/>
        </w:rPr>
        <w:t xml:space="preserve"> </w:t>
      </w:r>
      <w:r>
        <w:rPr>
          <w:rFonts w:hint="default" w:ascii="Times New Roman" w:hAnsi="Times New Roman" w:eastAsia="仿宋_GB2312" w:cs="Times New Roman"/>
          <w:sz w:val="32"/>
          <w:szCs w:val="32"/>
          <w:lang w:val="en-US" w:eastAsia="zh-CN"/>
        </w:rPr>
        <w:t>1.公众评价。202</w:t>
      </w:r>
      <w:r>
        <w:rPr>
          <w:rFonts w:hint="eastAsia" w:eastAsia="仿宋_GB2312" w:cs="Times New Roman"/>
          <w:sz w:val="32"/>
          <w:szCs w:val="32"/>
          <w:lang w:val="en-US" w:eastAsia="zh-CN"/>
        </w:rPr>
        <w:t>0</w:t>
      </w:r>
      <w:r>
        <w:rPr>
          <w:rFonts w:hint="default" w:ascii="Times New Roman" w:hAnsi="Times New Roman" w:eastAsia="仿宋_GB2312" w:cs="Times New Roman"/>
          <w:sz w:val="32"/>
          <w:szCs w:val="32"/>
          <w:lang w:val="en-US" w:eastAsia="zh-CN"/>
        </w:rPr>
        <w:t>年，我</w:t>
      </w:r>
      <w:r>
        <w:rPr>
          <w:rFonts w:hint="eastAsia" w:eastAsia="仿宋_GB2312" w:cs="Times New Roman"/>
          <w:sz w:val="32"/>
          <w:szCs w:val="32"/>
          <w:lang w:val="en-US" w:eastAsia="zh-CN"/>
        </w:rPr>
        <w:t>镇</w:t>
      </w:r>
      <w:r>
        <w:rPr>
          <w:rFonts w:hint="default" w:ascii="Times New Roman" w:hAnsi="Times New Roman" w:eastAsia="仿宋_GB2312" w:cs="Times New Roman"/>
          <w:sz w:val="32"/>
          <w:szCs w:val="32"/>
          <w:lang w:val="en-US" w:eastAsia="zh-CN"/>
        </w:rPr>
        <w:t>狠抓机关内部管理，认真履行部门职责，促进了区域经济发展，积极回应社会关心，得到了领导和</w:t>
      </w:r>
      <w:r>
        <w:rPr>
          <w:rFonts w:hint="eastAsia" w:eastAsia="仿宋_GB2312" w:cs="Times New Roman"/>
          <w:sz w:val="32"/>
          <w:szCs w:val="32"/>
          <w:lang w:val="en-US" w:eastAsia="zh-CN"/>
        </w:rPr>
        <w:t>群众</w:t>
      </w:r>
      <w:r>
        <w:rPr>
          <w:rFonts w:hint="default" w:ascii="Times New Roman" w:hAnsi="Times New Roman" w:eastAsia="仿宋_GB2312" w:cs="Times New Roman"/>
          <w:sz w:val="32"/>
          <w:szCs w:val="32"/>
          <w:lang w:val="en-US" w:eastAsia="zh-CN"/>
        </w:rPr>
        <w:t>乃至社会各界的肯定，实现了“领导放心、</w:t>
      </w:r>
      <w:r>
        <w:rPr>
          <w:rFonts w:hint="eastAsia" w:eastAsia="仿宋_GB2312" w:cs="Times New Roman"/>
          <w:sz w:val="32"/>
          <w:szCs w:val="32"/>
          <w:lang w:val="en-US" w:eastAsia="zh-CN"/>
        </w:rPr>
        <w:t>群众</w:t>
      </w:r>
      <w:r>
        <w:rPr>
          <w:rFonts w:hint="default" w:ascii="Times New Roman" w:hAnsi="Times New Roman" w:eastAsia="仿宋_GB2312" w:cs="Times New Roman"/>
          <w:sz w:val="32"/>
          <w:szCs w:val="32"/>
          <w:lang w:val="en-US" w:eastAsia="zh-CN"/>
        </w:rPr>
        <w:t>满意”的工作目标。</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default" w:ascii="仿宋_GB2312" w:hAnsi="宋体" w:eastAsia="仿宋_GB2312" w:cs="宋体"/>
          <w:color w:val="auto"/>
          <w:kern w:val="0"/>
          <w:sz w:val="32"/>
          <w:szCs w:val="32"/>
          <w:highlight w:val="none"/>
          <w:shd w:val="clear" w:color="auto" w:fill="FFFFFF"/>
          <w:lang w:val="en-US" w:eastAsia="zh-CN"/>
        </w:rPr>
      </w:pPr>
      <w:r>
        <w:rPr>
          <w:rFonts w:hint="default" w:ascii="Times New Roman" w:hAnsi="Times New Roman" w:eastAsia="仿宋_GB2312" w:cs="Times New Roman"/>
          <w:sz w:val="32"/>
          <w:szCs w:val="32"/>
          <w:lang w:val="en-US" w:eastAsia="zh-CN"/>
        </w:rPr>
        <w:t>2.内部互评。单位上下认真贯彻县委、县政府决策部署和县委领导指示精神，圆满完成全年工作任务，与各单位、各部门之间相互协调配合，各项工作有序推进，按时按质完成单位目标任务。</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ascii="黑体" w:hAnsi="宋体" w:eastAsia="黑体" w:cs="宋体"/>
          <w:color w:val="auto"/>
          <w:kern w:val="0"/>
          <w:sz w:val="32"/>
          <w:szCs w:val="32"/>
          <w:highlight w:val="none"/>
          <w:shd w:val="clear" w:color="auto" w:fill="FFFFFF"/>
        </w:rPr>
      </w:pPr>
      <w:r>
        <w:rPr>
          <w:rFonts w:hint="eastAsia" w:ascii="黑体" w:hAnsi="宋体" w:eastAsia="黑体" w:cs="宋体"/>
          <w:color w:val="auto"/>
          <w:kern w:val="0"/>
          <w:sz w:val="32"/>
          <w:szCs w:val="32"/>
          <w:highlight w:val="none"/>
          <w:shd w:val="clear" w:color="auto" w:fill="FFFFFF"/>
        </w:rPr>
        <w:t>四、评价结论及建议</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（一）评价结论。</w:t>
      </w:r>
      <w:r>
        <w:rPr>
          <w:rFonts w:hint="eastAsia" w:eastAsia="仿宋_GB2312" w:cs="Times New Roman"/>
          <w:sz w:val="32"/>
          <w:szCs w:val="32"/>
          <w:lang w:val="zh-CN" w:eastAsia="zh-CN"/>
        </w:rPr>
        <w:t>我镇</w:t>
      </w:r>
      <w:r>
        <w:rPr>
          <w:rFonts w:hint="default" w:ascii="Times New Roman" w:hAnsi="Times New Roman" w:eastAsia="仿宋_GB2312" w:cs="Times New Roman"/>
          <w:sz w:val="32"/>
          <w:szCs w:val="32"/>
          <w:lang w:val="zh-CN"/>
        </w:rPr>
        <w:t>按照岗位职责，严格执行机关财务管理制度，及时进行会计核算，对项目资金</w:t>
      </w:r>
      <w:r>
        <w:rPr>
          <w:rFonts w:hint="default" w:ascii="Times New Roman" w:hAnsi="Times New Roman" w:eastAsia="仿宋_GB2312" w:cs="Times New Roman"/>
          <w:sz w:val="32"/>
          <w:szCs w:val="32"/>
          <w:lang w:val="zh-CN" w:eastAsia="zh-CN"/>
        </w:rPr>
        <w:t>等</w:t>
      </w:r>
      <w:r>
        <w:rPr>
          <w:rFonts w:hint="default" w:ascii="Times New Roman" w:hAnsi="Times New Roman" w:eastAsia="仿宋_GB2312" w:cs="Times New Roman"/>
          <w:sz w:val="32"/>
          <w:szCs w:val="32"/>
          <w:lang w:val="zh-CN"/>
        </w:rPr>
        <w:t>进行公开公示，接受群众监督。</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（二）存在问题。</w:t>
      </w:r>
      <w:r>
        <w:rPr>
          <w:rFonts w:hint="eastAsia" w:ascii="仿宋" w:hAnsi="仿宋" w:eastAsia="仿宋" w:cs="仿宋"/>
          <w:sz w:val="32"/>
          <w:szCs w:val="32"/>
          <w:lang w:val="en-US" w:eastAsia="zh-CN"/>
        </w:rPr>
        <w:t>存在的问题。一是公用经费过少，不能满足工作需要；二是无专项工作经费，致使项目工作实施难度大； 三是效益指标有待提高。</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default" w:ascii="Times New Roman" w:hAnsi="Times New Roman" w:eastAsia="仿宋_GB2312" w:cs="Times New Roman"/>
          <w:sz w:val="32"/>
          <w:szCs w:val="32"/>
          <w:lang w:val="zh-CN"/>
        </w:rPr>
      </w:pPr>
      <w:r>
        <w:rPr>
          <w:rFonts w:hint="eastAsia" w:ascii="仿宋_GB2312" w:hAnsi="宋体" w:eastAsia="仿宋_GB2312" w:cs="宋体"/>
          <w:color w:val="auto"/>
          <w:kern w:val="0"/>
          <w:sz w:val="32"/>
          <w:szCs w:val="32"/>
          <w:highlight w:val="none"/>
          <w:shd w:val="clear" w:color="auto" w:fill="FFFFFF"/>
          <w:lang w:val="zh-CN"/>
        </w:rPr>
        <w:t>（三）改进建议。</w:t>
      </w:r>
      <w:r>
        <w:rPr>
          <w:rFonts w:hint="default" w:ascii="Times New Roman" w:hAnsi="Times New Roman" w:eastAsia="仿宋_GB2312" w:cs="Times New Roman"/>
          <w:sz w:val="32"/>
          <w:szCs w:val="32"/>
          <w:lang w:val="zh-CN"/>
        </w:rPr>
        <w:t>加大经费投入和人员保障，加强业务</w:t>
      </w:r>
      <w:r>
        <w:rPr>
          <w:rFonts w:hint="eastAsia" w:eastAsia="仿宋_GB2312" w:cs="Times New Roman"/>
          <w:sz w:val="32"/>
          <w:szCs w:val="32"/>
          <w:lang w:val="zh-CN"/>
        </w:rPr>
        <w:t>培训，提升工作效率。</w:t>
      </w:r>
    </w:p>
    <w:p>
      <w:pPr>
        <w:pStyle w:val="22"/>
        <w:spacing w:line="560" w:lineRule="exact"/>
        <w:ind w:firstLine="640" w:firstLineChars="200"/>
        <w:rPr>
          <w:rFonts w:hint="eastAsia" w:ascii="仿宋_GB2312" w:eastAsia="仿宋_GB2312"/>
          <w:color w:val="auto"/>
          <w:sz w:val="32"/>
          <w:szCs w:val="32"/>
          <w:highlight w:val="none"/>
        </w:rPr>
      </w:pPr>
    </w:p>
    <w:p>
      <w:pPr>
        <w:spacing w:line="600" w:lineRule="exact"/>
        <w:jc w:val="both"/>
        <w:outlineLvl w:val="0"/>
        <w:rPr>
          <w:rStyle w:val="24"/>
          <w:rFonts w:ascii="黑体" w:hAnsi="黑体" w:eastAsia="黑体"/>
          <w:b w:val="0"/>
          <w:color w:val="auto"/>
          <w:highlight w:val="none"/>
        </w:rPr>
      </w:pPr>
      <w:bookmarkStart w:id="78" w:name="_Toc15377226"/>
      <w:r>
        <w:rPr>
          <w:rFonts w:ascii="宋体"/>
          <w:b/>
          <w:color w:val="auto"/>
          <w:sz w:val="44"/>
          <w:szCs w:val="44"/>
          <w:highlight w:val="none"/>
        </w:rPr>
        <w:br w:type="page"/>
      </w:r>
    </w:p>
    <w:p>
      <w:pPr>
        <w:keepNext w:val="0"/>
        <w:keepLines w:val="0"/>
        <w:pageBreakBefore w:val="0"/>
        <w:kinsoku/>
        <w:wordWrap/>
        <w:overflowPunct/>
        <w:topLinePunct w:val="0"/>
        <w:autoSpaceDE/>
        <w:autoSpaceDN/>
        <w:bidi w:val="0"/>
        <w:spacing w:line="572" w:lineRule="exact"/>
        <w:jc w:val="left"/>
        <w:textAlignment w:val="auto"/>
        <w:outlineLvl w:val="0"/>
        <w:rPr>
          <w:rFonts w:ascii="仿宋_GB2312" w:hAnsi="仿宋_GB2312" w:eastAsia="仿宋_GB2312" w:cs="仿宋_GB2312"/>
          <w:color w:val="auto"/>
          <w:sz w:val="32"/>
          <w:szCs w:val="32"/>
          <w:highlight w:val="none"/>
        </w:rPr>
      </w:pPr>
      <w:bookmarkStart w:id="79" w:name="_Toc4443"/>
      <w:bookmarkStart w:id="80" w:name="_Toc64"/>
      <w:r>
        <w:rPr>
          <w:rFonts w:hint="eastAsia" w:ascii="黑体" w:hAnsi="黑体" w:eastAsia="黑体" w:cs="黑体"/>
          <w:color w:val="auto"/>
          <w:sz w:val="32"/>
          <w:szCs w:val="32"/>
          <w:highlight w:val="none"/>
        </w:rPr>
        <w:t>附件</w:t>
      </w:r>
      <w:bookmarkEnd w:id="79"/>
      <w:bookmarkEnd w:id="80"/>
    </w:p>
    <w:tbl>
      <w:tblPr>
        <w:tblStyle w:val="12"/>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224"/>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both"/>
              <w:textAlignment w:val="center"/>
              <w:rPr>
                <w:rFonts w:hint="eastAsia" w:ascii="宋体" w:hAnsi="宋体" w:eastAsia="宋体" w:cs="宋体"/>
                <w:b/>
                <w:i w:val="0"/>
                <w:color w:val="auto"/>
                <w:sz w:val="32"/>
                <w:szCs w:val="32"/>
                <w:u w:val="none"/>
              </w:rPr>
            </w:pPr>
            <w:bookmarkStart w:id="81" w:name="_Toc15396618"/>
            <w:r>
              <w:rPr>
                <w:rFonts w:hint="eastAsia" w:ascii="宋体" w:hAnsi="宋体" w:eastAsia="宋体" w:cs="宋体"/>
                <w:b/>
                <w:i w:val="0"/>
                <w:color w:val="auto"/>
                <w:sz w:val="32"/>
                <w:szCs w:val="32"/>
                <w:u w:val="none"/>
                <w:lang w:val="en-US" w:eastAsia="zh-CN"/>
              </w:rPr>
              <w:t>202</w:t>
            </w:r>
            <w:r>
              <w:rPr>
                <w:rFonts w:hint="eastAsia" w:ascii="宋体" w:hAnsi="宋体" w:cs="宋体"/>
                <w:b/>
                <w:i w:val="0"/>
                <w:color w:val="auto"/>
                <w:sz w:val="32"/>
                <w:szCs w:val="32"/>
                <w:u w:val="none"/>
                <w:lang w:val="en-US" w:eastAsia="zh-CN"/>
              </w:rPr>
              <w:t>0</w:t>
            </w:r>
            <w:r>
              <w:rPr>
                <w:rFonts w:hint="eastAsia" w:ascii="宋体" w:hAnsi="宋体" w:eastAsia="宋体" w:cs="宋体"/>
                <w:b/>
                <w:i w:val="0"/>
                <w:color w:val="auto"/>
                <w:sz w:val="32"/>
                <w:szCs w:val="32"/>
                <w:u w:val="none"/>
                <w:lang w:val="en-US" w:eastAsia="zh-CN"/>
              </w:rPr>
              <w:t>年100万元以上（含）特定目标类部门预算项目绩效目标自评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项目预算</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执行情况</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效益</w:t>
            </w:r>
            <w:r>
              <w:rPr>
                <w:rFonts w:hint="eastAsia" w:ascii="仿宋_GB2312" w:hAnsi="仿宋_GB2312" w:eastAsia="仿宋_GB2312" w:cs="仿宋_GB2312"/>
                <w:i w:val="0"/>
                <w:color w:val="auto"/>
                <w:kern w:val="0"/>
                <w:sz w:val="28"/>
                <w:szCs w:val="28"/>
                <w:u w:val="none"/>
                <w:lang w:val="en-US" w:eastAsia="zh-CN" w:bidi="ar"/>
              </w:rPr>
              <w:br w:type="textWrapping"/>
            </w: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ind w:left="463" w:leftChars="87" w:hanging="280" w:hangingChars="100"/>
              <w:jc w:val="left"/>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满意</w:t>
            </w:r>
            <w:r>
              <w:rPr>
                <w:rFonts w:hint="eastAsia" w:ascii="仿宋_GB2312" w:hAnsi="仿宋_GB2312" w:eastAsia="仿宋_GB2312" w:cs="仿宋_GB2312"/>
                <w:i w:val="0"/>
                <w:color w:val="auto"/>
                <w:kern w:val="0"/>
                <w:sz w:val="28"/>
                <w:szCs w:val="28"/>
                <w:u w:val="none"/>
                <w:lang w:val="en-US" w:eastAsia="zh-CN" w:bidi="ar"/>
              </w:rPr>
              <w:br w:type="textWrapping"/>
            </w:r>
            <w:r>
              <w:rPr>
                <w:rFonts w:hint="eastAsia" w:ascii="仿宋_GB2312" w:hAnsi="仿宋_GB2312" w:eastAsia="仿宋_GB2312" w:cs="仿宋_GB2312"/>
                <w:i w:val="0"/>
                <w:color w:val="auto"/>
                <w:kern w:val="0"/>
                <w:sz w:val="28"/>
                <w:szCs w:val="28"/>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bl>
    <w:p>
      <w:pPr>
        <w:spacing w:line="600" w:lineRule="exact"/>
        <w:jc w:val="center"/>
        <w:outlineLvl w:val="0"/>
        <w:rPr>
          <w:rFonts w:hint="eastAsia" w:ascii="黑体" w:hAnsi="黑体" w:eastAsia="黑体"/>
          <w:color w:val="auto"/>
          <w:sz w:val="44"/>
          <w:szCs w:val="44"/>
          <w:highlight w:val="none"/>
        </w:rPr>
      </w:pPr>
    </w:p>
    <w:p>
      <w:pPr>
        <w:widowControl/>
        <w:adjustRightInd w:val="0"/>
        <w:snapToGrid w:val="0"/>
        <w:spacing w:line="580" w:lineRule="exact"/>
        <w:contextualSpacing/>
        <w:jc w:val="left"/>
      </w:pPr>
      <w:r>
        <w:rPr>
          <w:rFonts w:hint="eastAsia" w:ascii="仿宋_GB2312" w:hAnsi="宋体" w:eastAsia="仿宋_GB2312" w:cs="宋体"/>
          <w:color w:val="000000"/>
          <w:kern w:val="0"/>
          <w:sz w:val="32"/>
          <w:szCs w:val="32"/>
          <w:shd w:val="clear" w:color="auto" w:fill="FFFFFF"/>
          <w:lang w:val="en-US" w:eastAsia="zh-CN"/>
        </w:rPr>
        <w:t>（注：有两个及以上100万元以上（含）特定目标类部门预算项目的，需分别开展绩效目标自评并填写附表）</w:t>
      </w:r>
    </w:p>
    <w:p>
      <w:pPr>
        <w:spacing w:line="600" w:lineRule="exact"/>
        <w:jc w:val="center"/>
        <w:outlineLvl w:val="0"/>
        <w:rPr>
          <w:rFonts w:hint="eastAsia" w:ascii="黑体" w:hAnsi="黑体" w:eastAsia="黑体"/>
          <w:color w:val="auto"/>
          <w:sz w:val="44"/>
          <w:szCs w:val="44"/>
          <w:highlight w:val="none"/>
        </w:rPr>
      </w:pPr>
    </w:p>
    <w:p>
      <w:pPr>
        <w:pStyle w:val="2"/>
        <w:rPr>
          <w:rFonts w:hint="eastAsia"/>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仿宋" w:hAnsi="仿宋" w:eastAsia="仿宋"/>
          <w:b w:val="0"/>
          <w:color w:val="auto"/>
          <w:highlight w:val="none"/>
        </w:rPr>
      </w:pPr>
      <w:bookmarkStart w:id="82" w:name="_Toc4852"/>
      <w:r>
        <w:rPr>
          <w:rFonts w:hint="eastAsia" w:ascii="黑体" w:hAnsi="黑体" w:eastAsia="黑体"/>
          <w:color w:val="auto"/>
          <w:sz w:val="44"/>
          <w:szCs w:val="44"/>
          <w:highlight w:val="none"/>
        </w:rPr>
        <w:t>第</w:t>
      </w:r>
      <w:r>
        <w:rPr>
          <w:rStyle w:val="24"/>
          <w:rFonts w:hint="eastAsia" w:ascii="黑体" w:hAnsi="黑体" w:eastAsia="黑体"/>
          <w:b w:val="0"/>
          <w:color w:val="auto"/>
          <w:highlight w:val="none"/>
        </w:rPr>
        <w:t>五部分 附表</w:t>
      </w:r>
      <w:bookmarkEnd w:id="78"/>
      <w:bookmarkEnd w:id="81"/>
      <w:bookmarkEnd w:id="82"/>
      <w:bookmarkStart w:id="83" w:name="_Toc15396619"/>
    </w:p>
    <w:p>
      <w:pPr>
        <w:pStyle w:val="4"/>
        <w:rPr>
          <w:rFonts w:ascii="仿宋" w:hAnsi="仿宋" w:eastAsia="仿宋"/>
          <w:color w:val="auto"/>
          <w:highlight w:val="none"/>
        </w:rPr>
      </w:pPr>
      <w:bookmarkStart w:id="84" w:name="_Toc2393"/>
      <w:r>
        <w:rPr>
          <w:rFonts w:hint="eastAsia" w:ascii="仿宋" w:hAnsi="仿宋" w:eastAsia="仿宋"/>
          <w:b w:val="0"/>
          <w:color w:val="auto"/>
          <w:highlight w:val="none"/>
        </w:rPr>
        <w:t>一、收</w:t>
      </w:r>
      <w:r>
        <w:rPr>
          <w:rStyle w:val="25"/>
          <w:rFonts w:hint="eastAsia" w:ascii="仿宋" w:hAnsi="仿宋" w:eastAsia="仿宋"/>
          <w:b w:val="0"/>
          <w:bCs w:val="0"/>
          <w:color w:val="auto"/>
          <w:highlight w:val="none"/>
        </w:rPr>
        <w:t>入支出决算总表</w:t>
      </w:r>
      <w:bookmarkEnd w:id="83"/>
      <w:bookmarkEnd w:id="84"/>
    </w:p>
    <w:p>
      <w:pPr>
        <w:pStyle w:val="4"/>
        <w:rPr>
          <w:rFonts w:ascii="仿宋" w:hAnsi="仿宋" w:eastAsia="仿宋"/>
          <w:color w:val="auto"/>
          <w:highlight w:val="none"/>
        </w:rPr>
      </w:pPr>
      <w:bookmarkStart w:id="85" w:name="_Toc15816"/>
      <w:bookmarkStart w:id="86" w:name="_Toc15396620"/>
      <w:r>
        <w:rPr>
          <w:rFonts w:hint="eastAsia" w:ascii="仿宋" w:hAnsi="仿宋" w:eastAsia="仿宋"/>
          <w:b w:val="0"/>
          <w:color w:val="auto"/>
          <w:highlight w:val="none"/>
        </w:rPr>
        <w:t>二、收</w:t>
      </w:r>
      <w:r>
        <w:rPr>
          <w:rStyle w:val="25"/>
          <w:rFonts w:hint="eastAsia" w:ascii="仿宋" w:hAnsi="仿宋" w:eastAsia="仿宋"/>
          <w:b w:val="0"/>
          <w:bCs w:val="0"/>
          <w:color w:val="auto"/>
          <w:highlight w:val="none"/>
        </w:rPr>
        <w:t>入决算表</w:t>
      </w:r>
      <w:bookmarkEnd w:id="85"/>
      <w:bookmarkEnd w:id="86"/>
    </w:p>
    <w:p>
      <w:pPr>
        <w:pStyle w:val="4"/>
        <w:rPr>
          <w:rFonts w:ascii="仿宋" w:hAnsi="仿宋" w:eastAsia="仿宋"/>
          <w:color w:val="auto"/>
          <w:highlight w:val="none"/>
        </w:rPr>
      </w:pPr>
      <w:bookmarkStart w:id="87" w:name="_Toc32273"/>
      <w:bookmarkStart w:id="88" w:name="_Toc15396621"/>
      <w:r>
        <w:rPr>
          <w:rStyle w:val="25"/>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5"/>
          <w:rFonts w:hint="eastAsia" w:ascii="仿宋" w:hAnsi="仿宋" w:eastAsia="仿宋"/>
          <w:b w:val="0"/>
          <w:bCs w:val="0"/>
          <w:color w:val="auto"/>
          <w:highlight w:val="none"/>
        </w:rPr>
        <w:t>出决算表</w:t>
      </w:r>
      <w:bookmarkEnd w:id="87"/>
      <w:bookmarkEnd w:id="88"/>
    </w:p>
    <w:p>
      <w:pPr>
        <w:pStyle w:val="4"/>
        <w:rPr>
          <w:rFonts w:ascii="仿宋" w:hAnsi="仿宋" w:eastAsia="仿宋"/>
          <w:b w:val="0"/>
          <w:color w:val="auto"/>
          <w:highlight w:val="none"/>
        </w:rPr>
      </w:pPr>
      <w:bookmarkStart w:id="89" w:name="_Toc15396622"/>
      <w:bookmarkStart w:id="90" w:name="_Toc30503"/>
      <w:r>
        <w:rPr>
          <w:rStyle w:val="25"/>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政拨款收入支出决算总表</w:t>
      </w:r>
      <w:bookmarkEnd w:id="89"/>
      <w:bookmarkEnd w:id="90"/>
    </w:p>
    <w:p>
      <w:pPr>
        <w:pStyle w:val="4"/>
        <w:rPr>
          <w:rStyle w:val="25"/>
          <w:rFonts w:ascii="仿宋" w:hAnsi="仿宋" w:eastAsia="仿宋"/>
          <w:b w:val="0"/>
          <w:bCs w:val="0"/>
          <w:color w:val="auto"/>
          <w:highlight w:val="none"/>
        </w:rPr>
      </w:pPr>
      <w:bookmarkStart w:id="91" w:name="_Toc15396623"/>
      <w:bookmarkStart w:id="92" w:name="_Toc9729"/>
      <w:r>
        <w:rPr>
          <w:rStyle w:val="25"/>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政拨款支出决算明细表</w:t>
      </w:r>
      <w:bookmarkEnd w:id="91"/>
      <w:bookmarkEnd w:id="92"/>
      <w:bookmarkStart w:id="93" w:name="_Toc15396624"/>
    </w:p>
    <w:p>
      <w:pPr>
        <w:pStyle w:val="4"/>
        <w:rPr>
          <w:rFonts w:ascii="仿宋" w:hAnsi="仿宋" w:eastAsia="仿宋"/>
          <w:color w:val="auto"/>
          <w:highlight w:val="none"/>
        </w:rPr>
      </w:pPr>
      <w:bookmarkStart w:id="94" w:name="_Toc13136"/>
      <w:r>
        <w:rPr>
          <w:rStyle w:val="25"/>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般公共预算财政拨款支出决算表</w:t>
      </w:r>
      <w:bookmarkEnd w:id="93"/>
      <w:bookmarkEnd w:id="94"/>
    </w:p>
    <w:p>
      <w:pPr>
        <w:pStyle w:val="4"/>
        <w:rPr>
          <w:rFonts w:ascii="仿宋" w:hAnsi="仿宋" w:eastAsia="仿宋"/>
          <w:color w:val="auto"/>
          <w:highlight w:val="none"/>
        </w:rPr>
      </w:pPr>
      <w:bookmarkStart w:id="95" w:name="_Toc15396625"/>
      <w:bookmarkStart w:id="96" w:name="_Toc17728"/>
      <w:r>
        <w:rPr>
          <w:rStyle w:val="25"/>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般公共预算财政拨款支出决算明细表</w:t>
      </w:r>
      <w:bookmarkEnd w:id="95"/>
      <w:bookmarkEnd w:id="96"/>
    </w:p>
    <w:p>
      <w:pPr>
        <w:pStyle w:val="4"/>
        <w:rPr>
          <w:rFonts w:ascii="仿宋" w:hAnsi="仿宋" w:eastAsia="仿宋"/>
          <w:color w:val="auto"/>
          <w:highlight w:val="none"/>
        </w:rPr>
      </w:pPr>
      <w:bookmarkStart w:id="97" w:name="_Toc15396626"/>
      <w:bookmarkStart w:id="98" w:name="_Toc2949"/>
      <w:r>
        <w:rPr>
          <w:rStyle w:val="25"/>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般公共预算财政拨款基本支出决算表</w:t>
      </w:r>
      <w:bookmarkEnd w:id="97"/>
      <w:bookmarkEnd w:id="98"/>
    </w:p>
    <w:p>
      <w:pPr>
        <w:pStyle w:val="4"/>
        <w:rPr>
          <w:rFonts w:ascii="仿宋" w:hAnsi="仿宋" w:eastAsia="仿宋"/>
          <w:color w:val="auto"/>
          <w:highlight w:val="none"/>
        </w:rPr>
      </w:pPr>
      <w:bookmarkStart w:id="99" w:name="_Toc15396627"/>
      <w:bookmarkStart w:id="100" w:name="_Toc1898"/>
      <w:r>
        <w:rPr>
          <w:rStyle w:val="25"/>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般公共预算财政拨款项目支出决算表</w:t>
      </w:r>
      <w:bookmarkEnd w:id="99"/>
      <w:bookmarkEnd w:id="100"/>
    </w:p>
    <w:p>
      <w:pPr>
        <w:pStyle w:val="4"/>
        <w:rPr>
          <w:rFonts w:ascii="仿宋" w:hAnsi="仿宋" w:eastAsia="仿宋"/>
          <w:color w:val="auto"/>
          <w:highlight w:val="none"/>
        </w:rPr>
      </w:pPr>
      <w:bookmarkStart w:id="101" w:name="_Toc15396628"/>
      <w:bookmarkStart w:id="102" w:name="_Toc7888"/>
      <w:r>
        <w:rPr>
          <w:rStyle w:val="25"/>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般公共预算财政拨款“三公”经费支出决算表</w:t>
      </w:r>
      <w:bookmarkEnd w:id="101"/>
      <w:bookmarkEnd w:id="102"/>
    </w:p>
    <w:p>
      <w:pPr>
        <w:pStyle w:val="4"/>
        <w:rPr>
          <w:rFonts w:ascii="仿宋" w:hAnsi="仿宋" w:eastAsia="仿宋"/>
          <w:color w:val="auto"/>
          <w:highlight w:val="none"/>
        </w:rPr>
      </w:pPr>
      <w:bookmarkStart w:id="103" w:name="_Toc4562"/>
      <w:bookmarkStart w:id="104" w:name="_Toc15396629"/>
      <w:r>
        <w:rPr>
          <w:rStyle w:val="25"/>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5"/>
          <w:rFonts w:hint="eastAsia" w:ascii="仿宋" w:hAnsi="仿宋" w:eastAsia="仿宋"/>
          <w:b w:val="0"/>
          <w:bCs w:val="0"/>
          <w:color w:val="auto"/>
          <w:highlight w:val="none"/>
        </w:rPr>
        <w:t>府性基金预算财政拨款收入支出决算表</w:t>
      </w:r>
      <w:bookmarkEnd w:id="103"/>
      <w:bookmarkEnd w:id="104"/>
    </w:p>
    <w:p>
      <w:pPr>
        <w:pStyle w:val="4"/>
        <w:rPr>
          <w:rFonts w:ascii="仿宋" w:hAnsi="仿宋" w:eastAsia="仿宋"/>
          <w:color w:val="auto"/>
          <w:highlight w:val="none"/>
        </w:rPr>
      </w:pPr>
      <w:bookmarkStart w:id="105" w:name="_Toc15396630"/>
      <w:bookmarkStart w:id="106" w:name="_Toc15838"/>
      <w:r>
        <w:rPr>
          <w:rStyle w:val="25"/>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5"/>
          <w:rFonts w:hint="eastAsia" w:ascii="仿宋" w:hAnsi="仿宋" w:eastAsia="仿宋"/>
          <w:b w:val="0"/>
          <w:bCs w:val="0"/>
          <w:color w:val="auto"/>
          <w:highlight w:val="none"/>
        </w:rPr>
        <w:t>府性基金预算财政拨款“三公”经费支出决算表</w:t>
      </w:r>
      <w:bookmarkEnd w:id="105"/>
      <w:bookmarkEnd w:id="106"/>
    </w:p>
    <w:p>
      <w:pPr>
        <w:pStyle w:val="4"/>
        <w:rPr>
          <w:rStyle w:val="25"/>
          <w:rFonts w:hint="eastAsia" w:ascii="仿宋" w:hAnsi="仿宋" w:eastAsia="仿宋"/>
          <w:b w:val="0"/>
          <w:bCs w:val="0"/>
          <w:color w:val="auto"/>
          <w:highlight w:val="none"/>
        </w:rPr>
      </w:pPr>
      <w:bookmarkStart w:id="107" w:name="_Toc15396631"/>
      <w:bookmarkStart w:id="108" w:name="_Toc22642"/>
      <w:r>
        <w:rPr>
          <w:rStyle w:val="25"/>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5"/>
          <w:rFonts w:hint="eastAsia" w:ascii="仿宋" w:hAnsi="仿宋" w:eastAsia="仿宋"/>
          <w:b w:val="0"/>
          <w:bCs w:val="0"/>
          <w:color w:val="auto"/>
          <w:highlight w:val="none"/>
        </w:rPr>
        <w:t>有资本经营预算</w:t>
      </w:r>
      <w:r>
        <w:rPr>
          <w:rStyle w:val="25"/>
          <w:rFonts w:hint="eastAsia" w:ascii="仿宋" w:hAnsi="仿宋" w:eastAsia="仿宋"/>
          <w:b w:val="0"/>
          <w:bCs w:val="0"/>
          <w:color w:val="auto"/>
          <w:highlight w:val="none"/>
          <w:lang w:eastAsia="zh-CN"/>
        </w:rPr>
        <w:t>财政拨款收入</w:t>
      </w:r>
      <w:r>
        <w:rPr>
          <w:rStyle w:val="25"/>
          <w:rFonts w:hint="eastAsia" w:ascii="仿宋" w:hAnsi="仿宋" w:eastAsia="仿宋"/>
          <w:b w:val="0"/>
          <w:bCs w:val="0"/>
          <w:color w:val="auto"/>
          <w:highlight w:val="none"/>
        </w:rPr>
        <w:t>支出决算表</w:t>
      </w:r>
      <w:bookmarkEnd w:id="107"/>
      <w:bookmarkEnd w:id="108"/>
    </w:p>
    <w:p>
      <w:pPr>
        <w:rPr>
          <w:rFonts w:hint="eastAsia" w:eastAsia="仿宋"/>
          <w:color w:val="auto"/>
          <w:highlight w:val="none"/>
          <w:lang w:eastAsia="zh-CN"/>
        </w:rPr>
      </w:pPr>
      <w:bookmarkStart w:id="109" w:name="_Toc25278"/>
      <w:r>
        <w:rPr>
          <w:rStyle w:val="25"/>
          <w:rFonts w:hint="eastAsia" w:ascii="仿宋" w:hAnsi="仿宋" w:eastAsia="仿宋"/>
          <w:b w:val="0"/>
          <w:bCs w:val="0"/>
          <w:color w:val="auto"/>
          <w:highlight w:val="none"/>
          <w:lang w:eastAsia="zh-CN"/>
        </w:rPr>
        <w:t>十四、国有资本经营预算财政拨款支出决算表</w:t>
      </w:r>
      <w:bookmarkEnd w:id="109"/>
    </w:p>
    <w:sectPr>
      <w:footerReference r:id="rId6" w:type="first"/>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63"/>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2EE212"/>
    <w:multiLevelType w:val="singleLevel"/>
    <w:tmpl w:val="912EE212"/>
    <w:lvl w:ilvl="0" w:tentative="0">
      <w:start w:val="2"/>
      <w:numFmt w:val="chineseCounting"/>
      <w:suff w:val="nothing"/>
      <w:lvlText w:val="（%1）"/>
      <w:lvlJc w:val="left"/>
      <w:rPr>
        <w:rFonts w:hint="eastAsia"/>
      </w:rPr>
    </w:lvl>
  </w:abstractNum>
  <w:abstractNum w:abstractNumId="1">
    <w:nsid w:val="A0C9C1D2"/>
    <w:multiLevelType w:val="singleLevel"/>
    <w:tmpl w:val="A0C9C1D2"/>
    <w:lvl w:ilvl="0" w:tentative="0">
      <w:start w:val="2"/>
      <w:numFmt w:val="chineseCounting"/>
      <w:suff w:val="nothing"/>
      <w:lvlText w:val="（%1）"/>
      <w:lvlJc w:val="left"/>
      <w:rPr>
        <w:rFonts w:hint="eastAsia"/>
      </w:rPr>
    </w:lvl>
  </w:abstractNum>
  <w:abstractNum w:abstractNumId="2">
    <w:nsid w:val="A6F1B493"/>
    <w:multiLevelType w:val="singleLevel"/>
    <w:tmpl w:val="A6F1B493"/>
    <w:lvl w:ilvl="0" w:tentative="0">
      <w:start w:val="1"/>
      <w:numFmt w:val="chineseCounting"/>
      <w:suff w:val="nothing"/>
      <w:lvlText w:val="%1、"/>
      <w:lvlJc w:val="left"/>
      <w:rPr>
        <w:rFonts w:hint="eastAsia"/>
      </w:rPr>
    </w:lvl>
  </w:abstractNum>
  <w:abstractNum w:abstractNumId="3">
    <w:nsid w:val="CF652CEC"/>
    <w:multiLevelType w:val="singleLevel"/>
    <w:tmpl w:val="CF652CEC"/>
    <w:lvl w:ilvl="0" w:tentative="0">
      <w:start w:val="9"/>
      <w:numFmt w:val="chineseCounting"/>
      <w:suff w:val="nothing"/>
      <w:lvlText w:val="%1、"/>
      <w:lvlJc w:val="left"/>
      <w:rPr>
        <w:rFonts w:hint="eastAsia"/>
      </w:rPr>
    </w:lvl>
  </w:abstractNum>
  <w:abstractNum w:abstractNumId="4">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5">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6">
    <w:nsid w:val="3E794925"/>
    <w:multiLevelType w:val="singleLevel"/>
    <w:tmpl w:val="3E794925"/>
    <w:lvl w:ilvl="0" w:tentative="0">
      <w:start w:val="3"/>
      <w:numFmt w:val="chineseCounting"/>
      <w:suff w:val="nothing"/>
      <w:lvlText w:val="（%1）"/>
      <w:lvlJc w:val="left"/>
      <w:rPr>
        <w:rFonts w:hint="eastAsia"/>
      </w:rPr>
    </w:lvl>
  </w:abstractNum>
  <w:num w:numId="1">
    <w:abstractNumId w:val="2"/>
  </w:num>
  <w:num w:numId="2">
    <w:abstractNumId w:val="5"/>
  </w:num>
  <w:num w:numId="3">
    <w:abstractNumId w:val="3"/>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yYTBhZThmOTU4YTliMjhiZDc4ZDk4MjhmMTAzNjk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2944CC8"/>
    <w:rsid w:val="02ED2D9A"/>
    <w:rsid w:val="04230035"/>
    <w:rsid w:val="046A6309"/>
    <w:rsid w:val="04DD48F7"/>
    <w:rsid w:val="04EB3ACB"/>
    <w:rsid w:val="05F83ED7"/>
    <w:rsid w:val="06655EA3"/>
    <w:rsid w:val="079924CD"/>
    <w:rsid w:val="0977132E"/>
    <w:rsid w:val="09D701A8"/>
    <w:rsid w:val="0A2032A3"/>
    <w:rsid w:val="0A34418E"/>
    <w:rsid w:val="0AE61C5F"/>
    <w:rsid w:val="0B8A37D8"/>
    <w:rsid w:val="0CCA0B61"/>
    <w:rsid w:val="0F5B5A41"/>
    <w:rsid w:val="10C055FF"/>
    <w:rsid w:val="110B660F"/>
    <w:rsid w:val="116A437E"/>
    <w:rsid w:val="11744787"/>
    <w:rsid w:val="118107EC"/>
    <w:rsid w:val="11DD6519"/>
    <w:rsid w:val="1211667E"/>
    <w:rsid w:val="128C477C"/>
    <w:rsid w:val="13443CA8"/>
    <w:rsid w:val="14E576A4"/>
    <w:rsid w:val="155A7AD3"/>
    <w:rsid w:val="15AA558A"/>
    <w:rsid w:val="161D2267"/>
    <w:rsid w:val="16BB723D"/>
    <w:rsid w:val="172045CF"/>
    <w:rsid w:val="17951EFC"/>
    <w:rsid w:val="18015F3F"/>
    <w:rsid w:val="18DC2FE9"/>
    <w:rsid w:val="198103A7"/>
    <w:rsid w:val="19FA356D"/>
    <w:rsid w:val="1A352C52"/>
    <w:rsid w:val="1B2D05FC"/>
    <w:rsid w:val="1BAB05D5"/>
    <w:rsid w:val="1BBF678D"/>
    <w:rsid w:val="1BE8440E"/>
    <w:rsid w:val="1D09133E"/>
    <w:rsid w:val="1D126826"/>
    <w:rsid w:val="1D155CEE"/>
    <w:rsid w:val="1D7B18A8"/>
    <w:rsid w:val="1E9F5162"/>
    <w:rsid w:val="1F16502A"/>
    <w:rsid w:val="1FAB4FED"/>
    <w:rsid w:val="1FD834CF"/>
    <w:rsid w:val="20F57F95"/>
    <w:rsid w:val="22D66DEA"/>
    <w:rsid w:val="234219E5"/>
    <w:rsid w:val="240371BF"/>
    <w:rsid w:val="25572470"/>
    <w:rsid w:val="25C741E6"/>
    <w:rsid w:val="272C00E5"/>
    <w:rsid w:val="27842671"/>
    <w:rsid w:val="27B26AE1"/>
    <w:rsid w:val="29E05D22"/>
    <w:rsid w:val="29FD04D3"/>
    <w:rsid w:val="2AA51711"/>
    <w:rsid w:val="2ABE7A3E"/>
    <w:rsid w:val="2ACD238D"/>
    <w:rsid w:val="2B8B1F51"/>
    <w:rsid w:val="2BA837EC"/>
    <w:rsid w:val="2C416110"/>
    <w:rsid w:val="2CDA4604"/>
    <w:rsid w:val="2DE0697C"/>
    <w:rsid w:val="2DF87D04"/>
    <w:rsid w:val="2EF668A1"/>
    <w:rsid w:val="2EFA178C"/>
    <w:rsid w:val="2F4B06BE"/>
    <w:rsid w:val="30B46D73"/>
    <w:rsid w:val="319F7F4E"/>
    <w:rsid w:val="32532B02"/>
    <w:rsid w:val="32B409B7"/>
    <w:rsid w:val="33713B09"/>
    <w:rsid w:val="338D3CCF"/>
    <w:rsid w:val="3421687C"/>
    <w:rsid w:val="356577C9"/>
    <w:rsid w:val="358F3902"/>
    <w:rsid w:val="363E6B44"/>
    <w:rsid w:val="36891E04"/>
    <w:rsid w:val="372A1E6B"/>
    <w:rsid w:val="381512E7"/>
    <w:rsid w:val="38F842B7"/>
    <w:rsid w:val="396D3581"/>
    <w:rsid w:val="39790129"/>
    <w:rsid w:val="39AE70AB"/>
    <w:rsid w:val="39E44FA6"/>
    <w:rsid w:val="39FA6FB7"/>
    <w:rsid w:val="3BCD74C2"/>
    <w:rsid w:val="3BED714A"/>
    <w:rsid w:val="3C0C0783"/>
    <w:rsid w:val="3C534D2C"/>
    <w:rsid w:val="3CB75150"/>
    <w:rsid w:val="3CD351B8"/>
    <w:rsid w:val="3DDA41E0"/>
    <w:rsid w:val="3E2D13C1"/>
    <w:rsid w:val="3F337076"/>
    <w:rsid w:val="3F6F0A9B"/>
    <w:rsid w:val="3F994A36"/>
    <w:rsid w:val="3F9F3A96"/>
    <w:rsid w:val="42BB06BE"/>
    <w:rsid w:val="43DF283A"/>
    <w:rsid w:val="448E1185"/>
    <w:rsid w:val="44B11D20"/>
    <w:rsid w:val="464D26EF"/>
    <w:rsid w:val="47121B67"/>
    <w:rsid w:val="480056F3"/>
    <w:rsid w:val="48B50791"/>
    <w:rsid w:val="493C27E9"/>
    <w:rsid w:val="496F39ED"/>
    <w:rsid w:val="49FF41D3"/>
    <w:rsid w:val="4A6C387D"/>
    <w:rsid w:val="4B6A0161"/>
    <w:rsid w:val="4BE068DB"/>
    <w:rsid w:val="4BF6002B"/>
    <w:rsid w:val="4CDB4292"/>
    <w:rsid w:val="4E011105"/>
    <w:rsid w:val="4EBD51F2"/>
    <w:rsid w:val="4ECE2238"/>
    <w:rsid w:val="4FC25CEC"/>
    <w:rsid w:val="51BA0A9C"/>
    <w:rsid w:val="51DB4B86"/>
    <w:rsid w:val="522B6EBA"/>
    <w:rsid w:val="5247725A"/>
    <w:rsid w:val="526B3465"/>
    <w:rsid w:val="526D30FC"/>
    <w:rsid w:val="535752BC"/>
    <w:rsid w:val="540F1977"/>
    <w:rsid w:val="54D90985"/>
    <w:rsid w:val="55333C3E"/>
    <w:rsid w:val="55A82C3A"/>
    <w:rsid w:val="58DA5A87"/>
    <w:rsid w:val="59366D7A"/>
    <w:rsid w:val="59446658"/>
    <w:rsid w:val="59736546"/>
    <w:rsid w:val="5A4745FE"/>
    <w:rsid w:val="5AAA2035"/>
    <w:rsid w:val="5AF77390"/>
    <w:rsid w:val="5B1B6377"/>
    <w:rsid w:val="5D2B1CAE"/>
    <w:rsid w:val="5D565B72"/>
    <w:rsid w:val="5D923233"/>
    <w:rsid w:val="5F20781D"/>
    <w:rsid w:val="5F324825"/>
    <w:rsid w:val="5FDE2C7A"/>
    <w:rsid w:val="615277ED"/>
    <w:rsid w:val="62885E3F"/>
    <w:rsid w:val="63522A2B"/>
    <w:rsid w:val="64CA39A1"/>
    <w:rsid w:val="65787944"/>
    <w:rsid w:val="65B35CED"/>
    <w:rsid w:val="67165B77"/>
    <w:rsid w:val="68951CEB"/>
    <w:rsid w:val="68C905DE"/>
    <w:rsid w:val="69C40889"/>
    <w:rsid w:val="69FD1E9E"/>
    <w:rsid w:val="6A3F478C"/>
    <w:rsid w:val="6AC16DE0"/>
    <w:rsid w:val="6C495A64"/>
    <w:rsid w:val="6C4A05C8"/>
    <w:rsid w:val="6C6D185D"/>
    <w:rsid w:val="6DA41478"/>
    <w:rsid w:val="6F760FC2"/>
    <w:rsid w:val="72734D90"/>
    <w:rsid w:val="73747F63"/>
    <w:rsid w:val="73BF7259"/>
    <w:rsid w:val="75660D45"/>
    <w:rsid w:val="759656E2"/>
    <w:rsid w:val="77C905CF"/>
    <w:rsid w:val="79463BAF"/>
    <w:rsid w:val="794C4FAE"/>
    <w:rsid w:val="795F629F"/>
    <w:rsid w:val="79E12F8F"/>
    <w:rsid w:val="79E7B28D"/>
    <w:rsid w:val="7D940097"/>
    <w:rsid w:val="7F1E69C2"/>
    <w:rsid w:val="7F451B6C"/>
    <w:rsid w:val="7F456289"/>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hart" Target="charts/chart7.xml"/><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_rels/chart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4.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5.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6.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7.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收、支决算总计变动情况图</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2020年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收入</c:v>
                </c:pt>
                <c:pt idx="1">
                  <c:v>支出</c:v>
                </c:pt>
              </c:strCache>
            </c:strRef>
          </c:cat>
          <c:val>
            <c:numRef>
              <c:f>Sheet1!$B$2:$B$3</c:f>
              <c:numCache>
                <c:formatCode>General</c:formatCode>
                <c:ptCount val="2"/>
                <c:pt idx="0">
                  <c:v>1450.08</c:v>
                </c:pt>
                <c:pt idx="1">
                  <c:v>1450.08</c:v>
                </c:pt>
              </c:numCache>
            </c:numRef>
          </c:val>
        </c:ser>
        <c:ser>
          <c:idx val="1"/>
          <c:order val="1"/>
          <c:tx>
            <c:strRef>
              <c:f>Sheet1!$C$1</c:f>
              <c:strCache>
                <c:ptCount val="1"/>
                <c:pt idx="0">
                  <c:v>2019年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收入</c:v>
                </c:pt>
                <c:pt idx="1">
                  <c:v>支出</c:v>
                </c:pt>
              </c:strCache>
            </c:strRef>
          </c:cat>
          <c:val>
            <c:numRef>
              <c:f>Sheet1!$C$2:$C$3</c:f>
              <c:numCache>
                <c:formatCode>General</c:formatCode>
                <c:ptCount val="2"/>
                <c:pt idx="0">
                  <c:v>2686.77</c:v>
                </c:pt>
                <c:pt idx="1">
                  <c:v>2686.77</c:v>
                </c:pt>
              </c:numCache>
            </c:numRef>
          </c:val>
        </c:ser>
        <c:dLbls>
          <c:showLegendKey val="0"/>
          <c:showVal val="1"/>
          <c:showCatName val="0"/>
          <c:showSerName val="0"/>
          <c:showPercent val="0"/>
          <c:showBubbleSize val="0"/>
        </c:dLbls>
        <c:gapWidth val="219"/>
        <c:overlap val="-27"/>
        <c:axId val="126050651"/>
        <c:axId val="869089518"/>
      </c:barChart>
      <c:catAx>
        <c:axId val="12605065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9089518"/>
        <c:crosses val="autoZero"/>
        <c:auto val="1"/>
        <c:lblAlgn val="ctr"/>
        <c:lblOffset val="100"/>
        <c:noMultiLvlLbl val="0"/>
      </c:catAx>
      <c:valAx>
        <c:axId val="86908951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605065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收入决算结构图</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一般公共预算财政拨款收入</c:v>
                </c:pt>
                <c:pt idx="1">
                  <c:v>政府性基金预算财政拨款收入</c:v>
                </c:pt>
                <c:pt idx="2">
                  <c:v>国有资本经营预算财政拨款收入</c:v>
                </c:pt>
                <c:pt idx="3">
                  <c:v>上级补助收入</c:v>
                </c:pt>
                <c:pt idx="4">
                  <c:v>事业收入</c:v>
                </c:pt>
                <c:pt idx="5">
                  <c:v>经营收入</c:v>
                </c:pt>
                <c:pt idx="6">
                  <c:v>附属单位上缴收入</c:v>
                </c:pt>
                <c:pt idx="7">
                  <c:v>其他收入</c:v>
                </c:pt>
              </c:strCache>
            </c:strRef>
          </c:cat>
          <c:val>
            <c:numRef>
              <c:f>Sheet1!$B$2:$B$9</c:f>
              <c:numCache>
                <c:formatCode>General</c:formatCode>
                <c:ptCount val="8"/>
                <c:pt idx="0">
                  <c:v>1450.08</c:v>
                </c:pt>
                <c:pt idx="1">
                  <c:v>0</c:v>
                </c:pt>
                <c:pt idx="2">
                  <c:v>0</c:v>
                </c:pt>
                <c:pt idx="3">
                  <c:v>0</c:v>
                </c:pt>
                <c:pt idx="4">
                  <c:v>0</c:v>
                </c:pt>
                <c:pt idx="5">
                  <c:v>0</c:v>
                </c:pt>
                <c:pt idx="6">
                  <c:v>0</c:v>
                </c:pt>
                <c:pt idx="7">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支出决算结构图</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基本支出</c:v>
                </c:pt>
                <c:pt idx="1">
                  <c:v>项目支出</c:v>
                </c:pt>
                <c:pt idx="2">
                  <c:v>上缴上级支出</c:v>
                </c:pt>
                <c:pt idx="3">
                  <c:v>经营支出</c:v>
                </c:pt>
                <c:pt idx="4">
                  <c:v>对附属单位补助支出</c:v>
                </c:pt>
              </c:strCache>
            </c:strRef>
          </c:cat>
          <c:val>
            <c:numRef>
              <c:f>Sheet1!$B$2:$B$6</c:f>
              <c:numCache>
                <c:formatCode>General</c:formatCode>
                <c:ptCount val="5"/>
                <c:pt idx="0">
                  <c:v>819.22</c:v>
                </c:pt>
                <c:pt idx="1">
                  <c:v>630.86</c:v>
                </c:pt>
                <c:pt idx="2">
                  <c:v>0</c:v>
                </c:pt>
                <c:pt idx="3">
                  <c:v>0</c:v>
                </c:pt>
                <c:pt idx="4">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财政拨款收、支决算总计变动情况</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2020年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收入</c:v>
                </c:pt>
                <c:pt idx="1">
                  <c:v>支出</c:v>
                </c:pt>
              </c:strCache>
            </c:strRef>
          </c:cat>
          <c:val>
            <c:numRef>
              <c:f>Sheet1!$B$2:$B$3</c:f>
              <c:numCache>
                <c:formatCode>General</c:formatCode>
                <c:ptCount val="2"/>
                <c:pt idx="0">
                  <c:v>1450.08</c:v>
                </c:pt>
                <c:pt idx="1">
                  <c:v>1450.08</c:v>
                </c:pt>
              </c:numCache>
            </c:numRef>
          </c:val>
        </c:ser>
        <c:ser>
          <c:idx val="1"/>
          <c:order val="1"/>
          <c:tx>
            <c:strRef>
              <c:f>Sheet1!$C$1</c:f>
              <c:strCache>
                <c:ptCount val="1"/>
                <c:pt idx="0">
                  <c:v>2019年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收入</c:v>
                </c:pt>
                <c:pt idx="1">
                  <c:v>支出</c:v>
                </c:pt>
              </c:strCache>
            </c:strRef>
          </c:cat>
          <c:val>
            <c:numRef>
              <c:f>Sheet1!$C$2:$C$3</c:f>
              <c:numCache>
                <c:formatCode>General</c:formatCode>
                <c:ptCount val="2"/>
                <c:pt idx="0">
                  <c:v>2686.77</c:v>
                </c:pt>
                <c:pt idx="1">
                  <c:v>2686.77</c:v>
                </c:pt>
              </c:numCache>
            </c:numRef>
          </c:val>
        </c:ser>
        <c:dLbls>
          <c:showLegendKey val="0"/>
          <c:showVal val="1"/>
          <c:showCatName val="0"/>
          <c:showSerName val="0"/>
          <c:showPercent val="0"/>
          <c:showBubbleSize val="0"/>
        </c:dLbls>
        <c:gapWidth val="219"/>
        <c:overlap val="-27"/>
        <c:axId val="524064505"/>
        <c:axId val="640906899"/>
      </c:barChart>
      <c:catAx>
        <c:axId val="52406450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0906899"/>
        <c:crosses val="autoZero"/>
        <c:auto val="1"/>
        <c:lblAlgn val="ctr"/>
        <c:lblOffset val="100"/>
        <c:noMultiLvlLbl val="0"/>
      </c:catAx>
      <c:valAx>
        <c:axId val="64090689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406450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一般公共预算财政拨款支出决算变动情况</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2020年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支出</c:v>
                </c:pt>
              </c:strCache>
            </c:strRef>
          </c:cat>
          <c:val>
            <c:numRef>
              <c:f>Sheet1!$B$2</c:f>
              <c:numCache>
                <c:formatCode>General</c:formatCode>
                <c:ptCount val="1"/>
                <c:pt idx="0">
                  <c:v>1450.08</c:v>
                </c:pt>
              </c:numCache>
            </c:numRef>
          </c:val>
        </c:ser>
        <c:ser>
          <c:idx val="1"/>
          <c:order val="1"/>
          <c:tx>
            <c:strRef>
              <c:f>Sheet1!$C$1</c:f>
              <c:strCache>
                <c:ptCount val="1"/>
                <c:pt idx="0">
                  <c:v>2019年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支出</c:v>
                </c:pt>
              </c:strCache>
            </c:strRef>
          </c:cat>
          <c:val>
            <c:numRef>
              <c:f>Sheet1!$C$2</c:f>
              <c:numCache>
                <c:formatCode>General</c:formatCode>
                <c:ptCount val="1"/>
                <c:pt idx="0">
                  <c:v>2686.77</c:v>
                </c:pt>
              </c:numCache>
            </c:numRef>
          </c:val>
        </c:ser>
        <c:dLbls>
          <c:showLegendKey val="0"/>
          <c:showVal val="1"/>
          <c:showCatName val="0"/>
          <c:showSerName val="0"/>
          <c:showPercent val="0"/>
          <c:showBubbleSize val="0"/>
        </c:dLbls>
        <c:gapWidth val="219"/>
        <c:overlap val="-27"/>
        <c:axId val="900590265"/>
        <c:axId val="368356383"/>
      </c:barChart>
      <c:catAx>
        <c:axId val="90059026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8356383"/>
        <c:crosses val="autoZero"/>
        <c:auto val="1"/>
        <c:lblAlgn val="ctr"/>
        <c:lblOffset val="100"/>
        <c:noMultiLvlLbl val="0"/>
      </c:catAx>
      <c:valAx>
        <c:axId val="3683563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0059026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一般公共预算财政拨款支出决算结构</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Lbls>
            <c:dLbl>
              <c:idx val="3"/>
              <c:layout>
                <c:manualLayout>
                  <c:x val="0.0896581678382585"/>
                  <c:y val="0.00061164755861882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35541600707385"/>
                  <c:y val="0.052743852586180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676361471552818"/>
                  <c:y val="0.027987994937613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0669223136337286"/>
                  <c:y val="-0.01660892215139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766098674487001"/>
                  <c:y val="-0.0046917852123943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一般公共服务（类）支出</c:v>
                </c:pt>
                <c:pt idx="1">
                  <c:v>文化旅游体育与传媒（类）支出</c:v>
                </c:pt>
                <c:pt idx="2">
                  <c:v>社会保障和就业（类）支出</c:v>
                </c:pt>
                <c:pt idx="3">
                  <c:v>卫生健康支出</c:v>
                </c:pt>
                <c:pt idx="4">
                  <c:v>节能环保支出</c:v>
                </c:pt>
                <c:pt idx="5">
                  <c:v>农林水支出</c:v>
                </c:pt>
                <c:pt idx="6">
                  <c:v>交通运输支出</c:v>
                </c:pt>
                <c:pt idx="7">
                  <c:v>商业服务业等支出</c:v>
                </c:pt>
                <c:pt idx="8">
                  <c:v>住房保障支出</c:v>
                </c:pt>
              </c:strCache>
            </c:strRef>
          </c:cat>
          <c:val>
            <c:numRef>
              <c:f>Sheet1!$B$2:$B$10</c:f>
              <c:numCache>
                <c:formatCode>General</c:formatCode>
                <c:ptCount val="9"/>
                <c:pt idx="0">
                  <c:v>399.45</c:v>
                </c:pt>
                <c:pt idx="1">
                  <c:v>18.38</c:v>
                </c:pt>
                <c:pt idx="2">
                  <c:v>99.61</c:v>
                </c:pt>
                <c:pt idx="3">
                  <c:v>29.42</c:v>
                </c:pt>
                <c:pt idx="4">
                  <c:v>0.69</c:v>
                </c:pt>
                <c:pt idx="5">
                  <c:v>844.16</c:v>
                </c:pt>
                <c:pt idx="6">
                  <c:v>22.41</c:v>
                </c:pt>
                <c:pt idx="7">
                  <c:v>0.7</c:v>
                </c:pt>
                <c:pt idx="8">
                  <c:v>35.26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“三公”经费财政拨款支出结构</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因公出国（境）费支出</c:v>
                </c:pt>
                <c:pt idx="1">
                  <c:v>公务用车购置及运行维护费支出</c:v>
                </c:pt>
                <c:pt idx="2">
                  <c:v>公务接待费支出</c:v>
                </c:pt>
              </c:strCache>
            </c:strRef>
          </c:cat>
          <c:val>
            <c:numRef>
              <c:f>Sheet1!$B$2:$B$4</c:f>
              <c:numCache>
                <c:formatCode>General</c:formatCode>
                <c:ptCount val="3"/>
                <c:pt idx="0">
                  <c:v>0</c:v>
                </c:pt>
                <c:pt idx="1">
                  <c:v>0</c:v>
                </c:pt>
                <c:pt idx="2">
                  <c:v>1.2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27</Pages>
  <Words>8206</Words>
  <Characters>8955</Characters>
  <Lines>61</Lines>
  <Paragraphs>17</Paragraphs>
  <TotalTime>3</TotalTime>
  <ScaleCrop>false</ScaleCrop>
  <LinksUpToDate>false</LinksUpToDate>
  <CharactersWithSpaces>9026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狂奔的蜗牛</cp:lastModifiedBy>
  <cp:lastPrinted>2022-08-06T02:23:00Z</cp:lastPrinted>
  <dcterms:modified xsi:type="dcterms:W3CDTF">2022-09-16T10:32:19Z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F27E765351294CC28FD8C27EC118EA37</vt:lpwstr>
  </property>
</Properties>
</file>