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96475"/>
      <w:bookmarkStart w:id="3" w:name="_Toc15396597"/>
      <w:bookmarkStart w:id="4" w:name="_Toc15378441"/>
      <w:bookmarkStart w:id="5" w:name="_Toc15377193"/>
      <w:r>
        <w:rPr>
          <w:rFonts w:hint="eastAsia" w:ascii="方正小标宋简体" w:hAnsi="方正小标宋简体" w:eastAsia="方正小标宋简体" w:cs="方正小标宋简体"/>
          <w:sz w:val="72"/>
          <w:szCs w:val="72"/>
        </w:rPr>
        <w:t>2020年度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96598"/>
      <w:bookmarkStart w:id="8" w:name="_Toc15396476"/>
      <w:bookmarkStart w:id="9" w:name="_Toc15377426"/>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通江县至诚镇人民政府单位决算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公开时间：2021年10月15日</w:t>
      </w:r>
    </w:p>
    <w:p/>
    <w:p>
      <w:pPr>
        <w:pStyle w:val="10"/>
        <w:adjustRightInd w:val="0"/>
        <w:snapToGrid w:val="0"/>
        <w:spacing w:before="0" w:line="440" w:lineRule="exact"/>
        <w:jc w:val="left"/>
        <w:rPr>
          <w:rFonts w:ascii="仿宋_GB2312" w:eastAsia="仿宋_GB2312" w:cstheme="minorBidi"/>
          <w:sz w:val="24"/>
          <w:szCs w:val="24"/>
        </w:rPr>
      </w:pPr>
      <w:r>
        <w:rPr>
          <w:rFonts w:hint="eastAsia" w:ascii="仿宋_GB2312" w:eastAsia="仿宋_GB2312"/>
          <w:sz w:val="24"/>
        </w:rPr>
        <w:t>第一部分 单位概况...............................................4</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一、职能简介.................................................4</w:t>
      </w:r>
    </w:p>
    <w:p>
      <w:pPr>
        <w:pStyle w:val="11"/>
        <w:adjustRightInd w:val="0"/>
        <w:snapToGrid w:val="0"/>
        <w:spacing w:line="440" w:lineRule="exact"/>
        <w:jc w:val="left"/>
        <w:rPr>
          <w:rFonts w:ascii="仿宋_GB2312" w:eastAsia="仿宋_GB2312" w:hAnsiTheme="minorEastAsia" w:cstheme="minorEastAsia"/>
          <w:sz w:val="24"/>
        </w:rPr>
      </w:pPr>
      <w:r>
        <w:rPr>
          <w:rFonts w:hint="eastAsia" w:ascii="仿宋_GB2312" w:eastAsia="仿宋_GB2312" w:hAnsiTheme="minorEastAsia" w:cstheme="minorEastAsia"/>
          <w:sz w:val="24"/>
        </w:rPr>
        <w:t>二、2020年重点工作完成情况..................................5</w:t>
      </w:r>
    </w:p>
    <w:p>
      <w:pPr>
        <w:pStyle w:val="10"/>
        <w:adjustRightInd w:val="0"/>
        <w:snapToGrid w:val="0"/>
        <w:spacing w:before="0" w:line="440" w:lineRule="exact"/>
        <w:jc w:val="left"/>
        <w:rPr>
          <w:rFonts w:ascii="仿宋_GB2312" w:eastAsia="仿宋_GB2312"/>
          <w:sz w:val="24"/>
          <w:szCs w:val="24"/>
        </w:rPr>
      </w:pPr>
      <w:r>
        <w:rPr>
          <w:rFonts w:hint="eastAsia" w:ascii="仿宋_GB2312" w:eastAsia="仿宋_GB2312"/>
          <w:sz w:val="24"/>
        </w:rPr>
        <w:t>第二部分 2020年度单位决算情况说明 ..............................6</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一、收入支出决算总体情况说明.................................6</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二、收入决算情况说明.........................................6</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三、支出决算情况说明.........................................7</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四、财政拨款收入支出决算总体情况说明.........................7</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五、一般公共预算财政拨款支出决算情况说明.....................7</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六、一般公共预算财政拨款基本支出决算情况说明................12</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七、“三公”经费财政拨款支出决算情况说明.....................13</w:t>
      </w:r>
    </w:p>
    <w:p>
      <w:pPr>
        <w:pStyle w:val="11"/>
        <w:adjustRightInd w:val="0"/>
        <w:snapToGrid w:val="0"/>
        <w:spacing w:line="440" w:lineRule="exact"/>
        <w:jc w:val="left"/>
        <w:rPr>
          <w:rFonts w:ascii="仿宋_GB2312" w:hAnsi="仿宋" w:eastAsia="仿宋_GB2312" w:cstheme="minorBidi"/>
          <w:sz w:val="24"/>
        </w:rPr>
      </w:pPr>
      <w:r>
        <w:rPr>
          <w:rFonts w:hint="eastAsia" w:ascii="仿宋_GB2312" w:eastAsia="仿宋_GB2312"/>
          <w:sz w:val="24"/>
        </w:rPr>
        <w:t>八、政府性基金预算支出决算情况说明..........................13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九、国有资本经营预算支出决算情况说明........................13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十、其他重要事项的情况说明..................................13</w:t>
      </w:r>
    </w:p>
    <w:p>
      <w:pPr>
        <w:pStyle w:val="10"/>
        <w:adjustRightInd w:val="0"/>
        <w:snapToGrid w:val="0"/>
        <w:spacing w:before="0" w:line="440" w:lineRule="exact"/>
        <w:jc w:val="left"/>
        <w:rPr>
          <w:rFonts w:ascii="仿宋_GB2312" w:eastAsia="仿宋_GB2312" w:cstheme="minorBidi"/>
          <w:sz w:val="24"/>
          <w:szCs w:val="24"/>
        </w:rPr>
      </w:pPr>
      <w:r>
        <w:rPr>
          <w:rFonts w:hint="eastAsia" w:ascii="仿宋_GB2312" w:eastAsia="仿宋_GB2312"/>
          <w:sz w:val="24"/>
        </w:rPr>
        <w:t>第三部分 名词解释...............................................15</w:t>
      </w:r>
    </w:p>
    <w:p>
      <w:pPr>
        <w:pStyle w:val="10"/>
        <w:adjustRightInd w:val="0"/>
        <w:snapToGrid w:val="0"/>
        <w:spacing w:before="0" w:line="440" w:lineRule="exact"/>
        <w:jc w:val="left"/>
        <w:rPr>
          <w:rFonts w:ascii="仿宋_GB2312" w:eastAsia="仿宋_GB2312" w:cstheme="minorBidi"/>
          <w:sz w:val="24"/>
          <w:szCs w:val="24"/>
        </w:rPr>
      </w:pPr>
      <w:r>
        <w:rPr>
          <w:rFonts w:hint="eastAsia" w:ascii="仿宋_GB2312" w:eastAsia="仿宋_GB2312"/>
          <w:sz w:val="24"/>
        </w:rPr>
        <w:t>第四部分 附件...................................................21</w:t>
      </w:r>
    </w:p>
    <w:p>
      <w:pPr>
        <w:pStyle w:val="10"/>
        <w:adjustRightInd w:val="0"/>
        <w:snapToGrid w:val="0"/>
        <w:spacing w:before="0" w:line="440" w:lineRule="exact"/>
        <w:jc w:val="left"/>
        <w:rPr>
          <w:rFonts w:ascii="仿宋_GB2312" w:eastAsia="仿宋_GB2312" w:cstheme="minorBidi"/>
          <w:sz w:val="24"/>
          <w:szCs w:val="24"/>
        </w:rPr>
      </w:pPr>
      <w:r>
        <w:rPr>
          <w:rFonts w:hint="eastAsia" w:ascii="仿宋_GB2312" w:eastAsia="仿宋_GB2312"/>
          <w:sz w:val="24"/>
        </w:rPr>
        <w:t>第五部分 附表...................................................23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一、收入支出决算总表........................................23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二、收入决算表..............................................23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三、支出决算表..............................................23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四、财政拨款收入支出决算总表................................23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五、财政拨款支出决算明细表..................................23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六、一般公共预算财政拨款支出决算表..........................23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七、一般公共预算财政拨款支出决算明细表......................23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八、一般公共预算财政拨款基本支出决算表......................23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九、一般公共预算财政拨款项目支出决算表......................23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十、一般公共预算财政拨款“三公”经费支出决算表...............23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十一、政府性基金预算财政拨款收入支出决算表...................23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十二、政府性基金预算财政拨款“三公”经费支出决算表...........23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十三、国有资本经营预算财政拨款收入支出决算表.................23</w:t>
      </w:r>
    </w:p>
    <w:p>
      <w:pPr>
        <w:pStyle w:val="11"/>
        <w:adjustRightInd w:val="0"/>
        <w:snapToGrid w:val="0"/>
        <w:spacing w:line="440" w:lineRule="exact"/>
        <w:jc w:val="left"/>
        <w:rPr>
          <w:rFonts w:ascii="仿宋_GB2312" w:eastAsia="仿宋_GB2312"/>
          <w:sz w:val="24"/>
        </w:rPr>
      </w:pPr>
      <w:r>
        <w:rPr>
          <w:rFonts w:hint="eastAsia" w:ascii="仿宋_GB2312" w:eastAsia="仿宋_GB2312"/>
          <w:sz w:val="24"/>
        </w:rPr>
        <w:t>十四、国有资本经营预算财政拨款支出决算表.....................23</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spacing w:after="0"/>
        <w:jc w:val="center"/>
        <w:rPr>
          <w:rFonts w:ascii="黑体" w:hAnsi="黑体" w:eastAsia="黑体"/>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pStyle w:val="4"/>
        <w:spacing w:before="0" w:after="0" w:line="415" w:lineRule="auto"/>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rPr>
        <w:t>一、职能简介</w:t>
      </w: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宣传、落实好党的路线、方针、政策和国家的法律、法规，稳定农村基本经济制度，坚持依法行政，推进政务公开，加强对村民委员会的指导，提高、培育村民委员会自治能力。</w:t>
      </w: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学制订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民政、教育、科技、文化、卫生、计划生育、安全生产、劳动保障和乡村规划等社会管理，加强社会主义精神文明建设，做好防灾减灾工作，加强环境保护，努力改善农村人居环境，不断提高农村人口素质和农民生活质量。</w:t>
      </w: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pPr>
        <w:pStyle w:val="4"/>
        <w:spacing w:before="0" w:after="0" w:line="415" w:lineRule="auto"/>
        <w:jc w:val="left"/>
        <w:rPr>
          <w:rFonts w:ascii="黑体" w:hAnsi="黑体" w:eastAsia="黑体"/>
          <w:b w:val="0"/>
        </w:rPr>
      </w:pPr>
      <w:r>
        <w:rPr>
          <w:rFonts w:hint="eastAsia" w:ascii="黑体" w:hAnsi="黑体" w:eastAsia="黑体"/>
          <w:b w:val="0"/>
        </w:rPr>
        <w:t>二、2020年重点工作</w:t>
      </w:r>
      <w:bookmarkEnd w:id="14"/>
      <w:bookmarkEnd w:id="15"/>
      <w:r>
        <w:rPr>
          <w:rFonts w:hint="eastAsia" w:ascii="黑体" w:hAnsi="黑体" w:eastAsia="黑体"/>
          <w:b w:val="0"/>
        </w:rPr>
        <w:t>完成情况</w:t>
      </w:r>
    </w:p>
    <w:p>
      <w:pPr>
        <w:spacing w:line="560" w:lineRule="exact"/>
        <w:ind w:firstLine="640" w:firstLineChars="200"/>
        <w:rPr>
          <w:rFonts w:eastAsia="仿宋_GB2312"/>
          <w:sz w:val="32"/>
          <w:szCs w:val="32"/>
        </w:rPr>
      </w:pPr>
      <w:bookmarkStart w:id="16" w:name="_Toc15377204"/>
      <w:bookmarkStart w:id="17" w:name="_Toc15396602"/>
      <w:r>
        <w:rPr>
          <w:rFonts w:eastAsia="楷体_GB2312"/>
          <w:sz w:val="32"/>
          <w:szCs w:val="32"/>
        </w:rPr>
        <w:t>常态开展“新冠肺炎”疫情防控。</w:t>
      </w:r>
      <w:r>
        <w:rPr>
          <w:rFonts w:eastAsia="仿宋_GB2312"/>
          <w:sz w:val="32"/>
          <w:szCs w:val="32"/>
        </w:rPr>
        <w:t>2020年，全镇坚持常态抓实新冠肺炎疫情防控工作。</w:t>
      </w:r>
      <w:r>
        <w:rPr>
          <w:rFonts w:eastAsia="楷体_GB2312"/>
          <w:sz w:val="32"/>
          <w:szCs w:val="32"/>
        </w:rPr>
        <w:t>一是</w:t>
      </w:r>
      <w:r>
        <w:rPr>
          <w:rFonts w:eastAsia="仿宋_GB2312"/>
          <w:sz w:val="32"/>
          <w:szCs w:val="32"/>
        </w:rPr>
        <w:t>加强组织领导，建立党政主要领导为组长的常态防控领导小组，实行网格化管控。</w:t>
      </w:r>
      <w:r>
        <w:rPr>
          <w:rFonts w:eastAsia="楷体_GB2312"/>
          <w:sz w:val="32"/>
          <w:szCs w:val="32"/>
        </w:rPr>
        <w:t>二是</w:t>
      </w:r>
      <w:r>
        <w:rPr>
          <w:rFonts w:eastAsia="仿宋_GB2312"/>
          <w:sz w:val="32"/>
          <w:szCs w:val="32"/>
        </w:rPr>
        <w:t>细化工作措施，加强排查管控，实行领导包片、干部包村，做到排查全覆盖，台账建立分类化。</w:t>
      </w:r>
      <w:r>
        <w:rPr>
          <w:rFonts w:eastAsia="楷体_GB2312"/>
          <w:sz w:val="32"/>
          <w:szCs w:val="32"/>
        </w:rPr>
        <w:t>三是</w:t>
      </w:r>
      <w:r>
        <w:rPr>
          <w:rFonts w:eastAsia="仿宋_GB2312"/>
          <w:sz w:val="32"/>
          <w:szCs w:val="32"/>
        </w:rPr>
        <w:t>加强重点疫区返乡人员管理。坚持“人盯人”、“多盯一”群众有偿举报等多种管控措施。</w:t>
      </w:r>
      <w:r>
        <w:rPr>
          <w:rFonts w:eastAsia="楷体_GB2312"/>
          <w:sz w:val="32"/>
          <w:szCs w:val="32"/>
        </w:rPr>
        <w:t>四是</w:t>
      </w:r>
      <w:r>
        <w:rPr>
          <w:rFonts w:eastAsia="仿宋_GB2312"/>
          <w:sz w:val="32"/>
          <w:szCs w:val="32"/>
        </w:rPr>
        <w:t>加强宣传引领，不断提升群众防控意识和掌握基本防控知识。做到了科学、有效</w:t>
      </w:r>
      <w:r>
        <w:rPr>
          <w:rFonts w:hint="eastAsia" w:eastAsia="仿宋_GB2312"/>
          <w:sz w:val="32"/>
          <w:szCs w:val="32"/>
        </w:rPr>
        <w:t>地</w:t>
      </w:r>
      <w:r>
        <w:rPr>
          <w:rFonts w:eastAsia="仿宋_GB2312"/>
          <w:sz w:val="32"/>
          <w:szCs w:val="32"/>
        </w:rPr>
        <w:t>应对疫情防控工作，确保了全镇人民身体健康和生命安全。</w:t>
      </w:r>
    </w:p>
    <w:p>
      <w:pPr>
        <w:pStyle w:val="2"/>
        <w:adjustRightInd w:val="0"/>
        <w:snapToGrid w:val="0"/>
        <w:spacing w:before="93" w:line="600" w:lineRule="exact"/>
        <w:ind w:firstLine="672" w:firstLineChars="210"/>
        <w:outlineLvl w:val="2"/>
        <w:rPr>
          <w:rFonts w:ascii="Times New Roman"/>
          <w:sz w:val="32"/>
          <w:szCs w:val="32"/>
        </w:rPr>
      </w:pPr>
      <w:r>
        <w:rPr>
          <w:rFonts w:ascii="Times New Roman" w:eastAsia="楷体_GB2312"/>
          <w:sz w:val="32"/>
          <w:szCs w:val="32"/>
        </w:rPr>
        <w:t>强力推进脱贫攻坚</w:t>
      </w:r>
      <w:r>
        <w:rPr>
          <w:rFonts w:hint="eastAsia" w:ascii="Times New Roman" w:eastAsia="楷体_GB2312"/>
          <w:sz w:val="32"/>
          <w:szCs w:val="32"/>
        </w:rPr>
        <w:t>工作</w:t>
      </w:r>
      <w:r>
        <w:rPr>
          <w:rFonts w:ascii="Times New Roman" w:eastAsia="楷体_GB2312"/>
          <w:sz w:val="32"/>
          <w:szCs w:val="32"/>
        </w:rPr>
        <w:t>。</w:t>
      </w:r>
      <w:r>
        <w:rPr>
          <w:rFonts w:ascii="Times New Roman"/>
          <w:sz w:val="32"/>
          <w:szCs w:val="32"/>
        </w:rPr>
        <w:t>2020年，全镇紧盯脱贫攻坚头等大事，围绕“两不愁三保障”</w:t>
      </w:r>
      <w:r>
        <w:rPr>
          <w:rFonts w:hint="eastAsia" w:ascii="Times New Roman"/>
          <w:sz w:val="32"/>
          <w:szCs w:val="32"/>
        </w:rPr>
        <w:t>、“村一低五有”、“户一超六有”</w:t>
      </w:r>
      <w:r>
        <w:rPr>
          <w:rFonts w:ascii="Times New Roman"/>
          <w:sz w:val="32"/>
          <w:szCs w:val="32"/>
        </w:rPr>
        <w:t>做到精心部署，扎实</w:t>
      </w:r>
      <w:r>
        <w:rPr>
          <w:rFonts w:hint="eastAsia" w:ascii="Times New Roman"/>
          <w:sz w:val="32"/>
          <w:szCs w:val="32"/>
        </w:rPr>
        <w:t>落实</w:t>
      </w:r>
      <w:r>
        <w:rPr>
          <w:rFonts w:ascii="Times New Roman"/>
          <w:sz w:val="32"/>
          <w:szCs w:val="32"/>
        </w:rPr>
        <w:t>，注重抓脱贫政策落实兑现，注重脱贫攻坚督查、自查发现问题</w:t>
      </w:r>
      <w:r>
        <w:rPr>
          <w:rFonts w:hint="eastAsia" w:ascii="Times New Roman"/>
          <w:sz w:val="32"/>
          <w:szCs w:val="32"/>
        </w:rPr>
        <w:t>的</w:t>
      </w:r>
      <w:r>
        <w:rPr>
          <w:rFonts w:ascii="Times New Roman"/>
          <w:sz w:val="32"/>
          <w:szCs w:val="32"/>
        </w:rPr>
        <w:t>整改，注重贫困户产业培育和村集体经济</w:t>
      </w:r>
      <w:r>
        <w:rPr>
          <w:rFonts w:hint="eastAsia" w:ascii="Times New Roman"/>
          <w:sz w:val="32"/>
          <w:szCs w:val="32"/>
          <w:highlight w:val="none"/>
          <w:lang w:eastAsia="zh-CN"/>
        </w:rPr>
        <w:t>壮大</w:t>
      </w:r>
      <w:r>
        <w:rPr>
          <w:rFonts w:ascii="Times New Roman"/>
          <w:sz w:val="32"/>
          <w:szCs w:val="32"/>
        </w:rPr>
        <w:t>。坚持多措并举巩固脱贫成效，</w:t>
      </w:r>
      <w:r>
        <w:rPr>
          <w:rFonts w:hint="eastAsia" w:ascii="Times New Roman"/>
          <w:sz w:val="32"/>
          <w:szCs w:val="32"/>
        </w:rPr>
        <w:t>2020年我镇脱贫20户51人，</w:t>
      </w:r>
      <w:r>
        <w:rPr>
          <w:rFonts w:ascii="Times New Roman"/>
          <w:sz w:val="32"/>
          <w:szCs w:val="32"/>
        </w:rPr>
        <w:t>全镇10</w:t>
      </w:r>
      <w:r>
        <w:rPr>
          <w:rFonts w:hint="eastAsia" w:ascii="Times New Roman"/>
          <w:sz w:val="32"/>
          <w:szCs w:val="32"/>
        </w:rPr>
        <w:t>84</w:t>
      </w:r>
      <w:r>
        <w:rPr>
          <w:rFonts w:ascii="Times New Roman"/>
          <w:sz w:val="32"/>
          <w:szCs w:val="32"/>
        </w:rPr>
        <w:t>户贫困户3</w:t>
      </w:r>
      <w:r>
        <w:rPr>
          <w:rFonts w:hint="eastAsia" w:ascii="Times New Roman"/>
          <w:sz w:val="32"/>
          <w:szCs w:val="32"/>
        </w:rPr>
        <w:t>505</w:t>
      </w:r>
      <w:r>
        <w:rPr>
          <w:rFonts w:ascii="Times New Roman"/>
          <w:sz w:val="32"/>
          <w:szCs w:val="32"/>
        </w:rPr>
        <w:t>人在国家普查验收中高质量</w:t>
      </w:r>
      <w:r>
        <w:rPr>
          <w:rFonts w:hint="eastAsia" w:ascii="Times New Roman"/>
          <w:sz w:val="32"/>
          <w:szCs w:val="32"/>
        </w:rPr>
        <w:t>脱贫。</w:t>
      </w:r>
    </w:p>
    <w:p>
      <w:pPr>
        <w:pStyle w:val="2"/>
        <w:adjustRightInd w:val="0"/>
        <w:snapToGrid w:val="0"/>
        <w:spacing w:before="93" w:line="600" w:lineRule="exact"/>
        <w:ind w:firstLine="672" w:firstLineChars="210"/>
        <w:outlineLvl w:val="2"/>
        <w:rPr>
          <w:rFonts w:ascii="仿宋" w:hAnsi="仿宋" w:eastAsia="仿宋"/>
          <w:bCs/>
          <w:color w:val="000000"/>
          <w:sz w:val="32"/>
          <w:szCs w:val="32"/>
        </w:rPr>
      </w:pPr>
      <w:r>
        <w:rPr>
          <w:rFonts w:ascii="Times New Roman" w:eastAsia="楷体_GB2312"/>
          <w:sz w:val="32"/>
          <w:szCs w:val="32"/>
        </w:rPr>
        <w:t>加快建设基础设施。</w:t>
      </w:r>
      <w:r>
        <w:rPr>
          <w:rFonts w:hint="eastAsia" w:ascii="Times New Roman"/>
          <w:sz w:val="32"/>
          <w:szCs w:val="32"/>
        </w:rPr>
        <w:t>2020</w:t>
      </w:r>
      <w:r>
        <w:rPr>
          <w:rFonts w:ascii="Times New Roman"/>
          <w:sz w:val="32"/>
          <w:szCs w:val="32"/>
        </w:rPr>
        <w:t>年，</w:t>
      </w:r>
      <w:bookmarkStart w:id="67" w:name="_GoBack"/>
      <w:bookmarkEnd w:id="67"/>
      <w:r>
        <w:rPr>
          <w:rFonts w:ascii="Times New Roman"/>
          <w:sz w:val="32"/>
          <w:szCs w:val="32"/>
        </w:rPr>
        <w:t>何家湾道班—挖断</w:t>
      </w:r>
      <w:r>
        <w:rPr>
          <w:rFonts w:hint="eastAsia" w:ascii="Times New Roman"/>
          <w:sz w:val="32"/>
          <w:szCs w:val="32"/>
        </w:rPr>
        <w:t>垭</w:t>
      </w:r>
      <w:r>
        <w:rPr>
          <w:rFonts w:ascii="Times New Roman"/>
          <w:sz w:val="32"/>
          <w:szCs w:val="32"/>
        </w:rPr>
        <w:t>1公里道路</w:t>
      </w:r>
      <w:r>
        <w:rPr>
          <w:rFonts w:hint="eastAsia" w:ascii="Times New Roman"/>
          <w:sz w:val="32"/>
          <w:szCs w:val="32"/>
        </w:rPr>
        <w:t>硬化</w:t>
      </w:r>
      <w:r>
        <w:rPr>
          <w:rFonts w:ascii="Times New Roman"/>
          <w:sz w:val="32"/>
          <w:szCs w:val="32"/>
        </w:rPr>
        <w:t>已</w:t>
      </w:r>
      <w:r>
        <w:rPr>
          <w:rFonts w:hint="eastAsia" w:ascii="Times New Roman"/>
          <w:sz w:val="32"/>
          <w:szCs w:val="32"/>
        </w:rPr>
        <w:t>完成</w:t>
      </w:r>
      <w:r>
        <w:rPr>
          <w:rFonts w:ascii="Times New Roman"/>
          <w:sz w:val="32"/>
          <w:szCs w:val="32"/>
        </w:rPr>
        <w:t>，碑湾里一鸳鸯村道路拓宽硬化工程</w:t>
      </w:r>
      <w:r>
        <w:rPr>
          <w:rFonts w:hint="eastAsia" w:ascii="Times New Roman"/>
          <w:sz w:val="32"/>
          <w:szCs w:val="32"/>
        </w:rPr>
        <w:t>已完工</w:t>
      </w:r>
      <w:r>
        <w:rPr>
          <w:rFonts w:ascii="Times New Roman"/>
          <w:sz w:val="32"/>
          <w:szCs w:val="32"/>
        </w:rPr>
        <w:t>，莲花池水库维修加固项目工程</w:t>
      </w:r>
      <w:r>
        <w:rPr>
          <w:rFonts w:hint="eastAsia" w:ascii="Times New Roman"/>
          <w:sz w:val="32"/>
          <w:szCs w:val="32"/>
        </w:rPr>
        <w:t>已完工</w:t>
      </w:r>
      <w:r>
        <w:rPr>
          <w:rFonts w:ascii="Times New Roman"/>
          <w:sz w:val="32"/>
          <w:szCs w:val="32"/>
        </w:rPr>
        <w:t>，市重点项目仓库湾水库项目</w:t>
      </w:r>
      <w:r>
        <w:rPr>
          <w:rFonts w:hint="eastAsia" w:ascii="Times New Roman"/>
          <w:sz w:val="32"/>
          <w:szCs w:val="32"/>
        </w:rPr>
        <w:t>有序推进</w:t>
      </w:r>
      <w:r>
        <w:rPr>
          <w:rFonts w:ascii="Times New Roman"/>
          <w:sz w:val="32"/>
          <w:szCs w:val="32"/>
        </w:rPr>
        <w:t>，</w:t>
      </w:r>
      <w:r>
        <w:rPr>
          <w:rFonts w:hint="eastAsia" w:ascii="Times New Roman"/>
          <w:sz w:val="32"/>
          <w:szCs w:val="32"/>
        </w:rPr>
        <w:t>至诚镇养老服务中心（敬老院）</w:t>
      </w:r>
      <w:r>
        <w:rPr>
          <w:rFonts w:ascii="Times New Roman"/>
          <w:sz w:val="32"/>
          <w:szCs w:val="32"/>
        </w:rPr>
        <w:t>项目工程</w:t>
      </w:r>
      <w:r>
        <w:rPr>
          <w:rFonts w:hint="eastAsia" w:ascii="Times New Roman"/>
          <w:sz w:val="32"/>
          <w:szCs w:val="32"/>
        </w:rPr>
        <w:t>大马力推进</w:t>
      </w:r>
      <w:r>
        <w:rPr>
          <w:rFonts w:ascii="Times New Roman"/>
          <w:sz w:val="32"/>
          <w:szCs w:val="32"/>
        </w:rPr>
        <w:t>。</w:t>
      </w:r>
    </w:p>
    <w:p>
      <w:pPr>
        <w:pStyle w:val="3"/>
        <w:spacing w:before="0" w:after="0"/>
        <w:jc w:val="center"/>
        <w:rPr>
          <w:rFonts w:ascii="黑体" w:hAnsi="黑体" w:eastAsia="黑体"/>
          <w:b w:val="0"/>
        </w:rPr>
      </w:pPr>
      <w:r>
        <w:rPr>
          <w:rFonts w:hint="eastAsia" w:ascii="黑体" w:hAnsi="黑体" w:eastAsia="黑体"/>
          <w:b w:val="0"/>
        </w:rPr>
        <w:t>第二部分 2020年度</w:t>
      </w:r>
      <w:r>
        <w:rPr>
          <w:rStyle w:val="24"/>
          <w:rFonts w:hint="eastAsia" w:ascii="黑体" w:hAnsi="黑体" w:eastAsia="黑体"/>
          <w:b w:val="0"/>
          <w:bCs/>
        </w:rPr>
        <w:t>单位决算情况说明</w:t>
      </w:r>
      <w:bookmarkEnd w:id="16"/>
      <w:bookmarkEnd w:id="17"/>
    </w:p>
    <w:p>
      <w:pPr>
        <w:pStyle w:val="23"/>
        <w:numPr>
          <w:ilvl w:val="0"/>
          <w:numId w:val="1"/>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2020年度收、支总计1882.24万元。与2019年相比，收、支总计各减少2419.76万元，减少56.25</w:t>
      </w:r>
      <w:r>
        <w:rPr>
          <w:rFonts w:ascii="仿宋" w:hAnsi="仿宋" w:eastAsia="仿宋"/>
          <w:sz w:val="32"/>
          <w:szCs w:val="32"/>
        </w:rPr>
        <w:t>%</w:t>
      </w:r>
      <w:r>
        <w:rPr>
          <w:rFonts w:hint="eastAsia" w:ascii="仿宋" w:hAnsi="仿宋" w:eastAsia="仿宋"/>
          <w:sz w:val="32"/>
          <w:szCs w:val="32"/>
        </w:rPr>
        <w:t>。主要变动原因是</w:t>
      </w:r>
      <w:r>
        <w:rPr>
          <w:rFonts w:ascii="仿宋" w:hAnsi="仿宋" w:eastAsia="仿宋"/>
          <w:sz w:val="32"/>
          <w:szCs w:val="32"/>
        </w:rPr>
        <w:t>脱贫攻坚</w:t>
      </w:r>
      <w:r>
        <w:rPr>
          <w:rFonts w:hint="eastAsia" w:ascii="仿宋" w:hAnsi="仿宋" w:eastAsia="仿宋"/>
          <w:sz w:val="32"/>
          <w:szCs w:val="32"/>
        </w:rPr>
        <w:t>任务减少。</w:t>
      </w:r>
    </w:p>
    <w:p>
      <w:pPr>
        <w:pStyle w:val="2"/>
        <w:spacing w:before="93"/>
      </w:pPr>
      <w:r>
        <w:rPr>
          <w:rFonts w:hint="eastAsia"/>
        </w:rPr>
        <w:drawing>
          <wp:inline distT="0" distB="0" distL="0" distR="0">
            <wp:extent cx="3514725" cy="1391920"/>
            <wp:effectExtent l="19050" t="0" r="28317"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：收、支决算总计变动情况图，单位：万元）（柱状图）</w:t>
      </w:r>
    </w:p>
    <w:p>
      <w:pPr>
        <w:pStyle w:val="23"/>
        <w:numPr>
          <w:ilvl w:val="0"/>
          <w:numId w:val="1"/>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年本年收入合计1882.24万元，其中：一般公共预算财政拨款收入1882.24万元，占100</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 xml:space="preserve"> </w:t>
      </w:r>
    </w:p>
    <w:p>
      <w:pPr>
        <w:spacing w:line="600" w:lineRule="exact"/>
        <w:ind w:firstLine="643" w:firstLineChars="200"/>
        <w:rPr>
          <w:rFonts w:ascii="仿宋" w:hAnsi="仿宋" w:eastAsia="仿宋"/>
          <w:b/>
          <w:sz w:val="32"/>
          <w:szCs w:val="32"/>
        </w:rPr>
      </w:pPr>
      <w:r>
        <w:rPr>
          <w:rFonts w:ascii="仿宋" w:hAnsi="仿宋" w:eastAsia="仿宋"/>
          <w:b/>
          <w:sz w:val="32"/>
          <w:szCs w:val="32"/>
        </w:rPr>
        <w:drawing>
          <wp:anchor distT="0" distB="0" distL="114300" distR="114300" simplePos="0" relativeHeight="251659264" behindDoc="0" locked="0" layoutInCell="1" allowOverlap="1">
            <wp:simplePos x="0" y="0"/>
            <wp:positionH relativeFrom="column">
              <wp:posOffset>375285</wp:posOffset>
            </wp:positionH>
            <wp:positionV relativeFrom="paragraph">
              <wp:posOffset>142240</wp:posOffset>
            </wp:positionV>
            <wp:extent cx="3597275" cy="1284605"/>
            <wp:effectExtent l="19050" t="0" r="22225" b="0"/>
            <wp:wrapSquare wrapText="bothSides"/>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（图2：收入决算结构图</w:t>
      </w:r>
      <w:r>
        <w:rPr>
          <w:rFonts w:hint="eastAsia" w:ascii="仿宋" w:hAnsi="仿宋" w:eastAsia="仿宋"/>
          <w:sz w:val="32"/>
          <w:szCs w:val="32"/>
          <w:lang w:eastAsia="zh-CN"/>
        </w:rPr>
        <w:t>，</w:t>
      </w:r>
      <w:r>
        <w:rPr>
          <w:rFonts w:hint="eastAsia" w:ascii="仿宋" w:hAnsi="仿宋" w:eastAsia="仿宋"/>
          <w:sz w:val="32"/>
          <w:szCs w:val="32"/>
        </w:rPr>
        <w:t xml:space="preserve"> 单位：万元）（饼状图）</w:t>
      </w:r>
    </w:p>
    <w:p>
      <w:pPr>
        <w:pStyle w:val="23"/>
        <w:numPr>
          <w:ilvl w:val="0"/>
          <w:numId w:val="1"/>
        </w:numPr>
        <w:spacing w:line="600" w:lineRule="exact"/>
        <w:ind w:firstLineChars="0"/>
        <w:outlineLvl w:val="1"/>
        <w:rPr>
          <w:rStyle w:val="25"/>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年本年支出合计1882.24万元，其中：基本支出1038.33万元，占55.16</w:t>
      </w:r>
      <w:r>
        <w:rPr>
          <w:rFonts w:ascii="仿宋" w:hAnsi="仿宋" w:eastAsia="仿宋"/>
          <w:sz w:val="32"/>
          <w:szCs w:val="32"/>
        </w:rPr>
        <w:t>%</w:t>
      </w:r>
      <w:r>
        <w:rPr>
          <w:rFonts w:hint="eastAsia" w:ascii="仿宋" w:hAnsi="仿宋" w:eastAsia="仿宋"/>
          <w:sz w:val="32"/>
          <w:szCs w:val="32"/>
        </w:rPr>
        <w:t>；项目支出843.91万元，占44.84</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424180</wp:posOffset>
            </wp:positionH>
            <wp:positionV relativeFrom="paragraph">
              <wp:posOffset>191135</wp:posOffset>
            </wp:positionV>
            <wp:extent cx="3973195" cy="1615440"/>
            <wp:effectExtent l="19050" t="0" r="27305" b="3810"/>
            <wp:wrapSquare wrapText="bothSides"/>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br w:type="textWrapping" w:clear="all"/>
      </w:r>
      <w:r>
        <w:rPr>
          <w:rFonts w:hint="eastAsia" w:ascii="仿宋" w:hAnsi="仿宋" w:eastAsia="仿宋"/>
          <w:sz w:val="32"/>
          <w:szCs w:val="32"/>
        </w:rPr>
        <w:t xml:space="preserve">   （图3：支出决算结构图</w:t>
      </w:r>
      <w:r>
        <w:rPr>
          <w:rFonts w:hint="eastAsia" w:ascii="仿宋" w:hAnsi="仿宋" w:eastAsia="仿宋"/>
          <w:sz w:val="32"/>
          <w:szCs w:val="32"/>
          <w:lang w:eastAsia="zh-CN"/>
        </w:rPr>
        <w:t>，</w:t>
      </w:r>
      <w:r>
        <w:rPr>
          <w:rFonts w:hint="eastAsia" w:ascii="仿宋" w:hAnsi="仿宋" w:eastAsia="仿宋"/>
          <w:sz w:val="32"/>
          <w:szCs w:val="32"/>
        </w:rPr>
        <w:t>单位：万元）（饼状图）</w:t>
      </w: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b/>
          <w:sz w:val="32"/>
          <w:szCs w:val="32"/>
        </w:rPr>
      </w:pPr>
      <w:r>
        <w:rPr>
          <w:rFonts w:ascii="仿宋" w:hAnsi="仿宋" w:eastAsia="仿宋"/>
          <w:sz w:val="32"/>
          <w:szCs w:val="32"/>
        </w:rPr>
        <w:t>2020</w:t>
      </w:r>
      <w:r>
        <w:rPr>
          <w:rFonts w:hint="eastAsia" w:ascii="仿宋" w:hAnsi="仿宋" w:eastAsia="仿宋"/>
          <w:sz w:val="32"/>
          <w:szCs w:val="32"/>
        </w:rPr>
        <w:t>年财政拨款收、支总计1882.24万元。与</w:t>
      </w:r>
      <w:r>
        <w:rPr>
          <w:rFonts w:ascii="仿宋" w:hAnsi="仿宋" w:eastAsia="仿宋"/>
          <w:sz w:val="32"/>
          <w:szCs w:val="32"/>
        </w:rPr>
        <w:t>20</w:t>
      </w:r>
      <w:r>
        <w:rPr>
          <w:rFonts w:hint="eastAsia" w:ascii="仿宋" w:hAnsi="仿宋" w:eastAsia="仿宋"/>
          <w:sz w:val="32"/>
          <w:szCs w:val="32"/>
        </w:rPr>
        <w:t>19年相比，财政拨款收、支总计各减少2419.76万元，减少56.25</w:t>
      </w:r>
      <w:r>
        <w:rPr>
          <w:rFonts w:ascii="仿宋" w:hAnsi="仿宋" w:eastAsia="仿宋"/>
          <w:sz w:val="32"/>
          <w:szCs w:val="32"/>
        </w:rPr>
        <w:t>%</w:t>
      </w:r>
      <w:r>
        <w:rPr>
          <w:rFonts w:hint="eastAsia" w:ascii="仿宋" w:hAnsi="仿宋" w:eastAsia="仿宋"/>
          <w:sz w:val="32"/>
          <w:szCs w:val="32"/>
        </w:rPr>
        <w:t>。主要变动原因是</w:t>
      </w:r>
      <w:r>
        <w:rPr>
          <w:rFonts w:ascii="仿宋" w:hAnsi="仿宋" w:eastAsia="仿宋"/>
          <w:sz w:val="32"/>
          <w:szCs w:val="32"/>
        </w:rPr>
        <w:t>脱贫攻坚</w:t>
      </w:r>
      <w:r>
        <w:rPr>
          <w:rFonts w:hint="eastAsia" w:ascii="仿宋" w:hAnsi="仿宋" w:eastAsia="仿宋"/>
          <w:sz w:val="32"/>
          <w:szCs w:val="32"/>
        </w:rPr>
        <w:t>任务减少。</w:t>
      </w:r>
    </w:p>
    <w:p>
      <w:pPr>
        <w:pStyle w:val="2"/>
        <w:spacing w:before="93"/>
      </w:pPr>
      <w:r>
        <w:rPr>
          <w:rFonts w:hint="eastAsia" w:ascii="仿宋" w:hAnsi="仿宋" w:eastAsia="仿宋"/>
          <w:sz w:val="32"/>
          <w:szCs w:val="32"/>
        </w:rPr>
        <w:drawing>
          <wp:inline distT="0" distB="0" distL="0" distR="0">
            <wp:extent cx="4593590" cy="1466215"/>
            <wp:effectExtent l="19050" t="0" r="15960" b="515"/>
            <wp:docPr id="1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w:t>
      </w:r>
      <w:r>
        <w:rPr>
          <w:rFonts w:hint="eastAsia" w:ascii="仿宋" w:hAnsi="仿宋" w:eastAsia="仿宋"/>
          <w:sz w:val="32"/>
          <w:szCs w:val="32"/>
          <w:lang w:eastAsia="zh-CN"/>
        </w:rPr>
        <w:t>，</w:t>
      </w:r>
      <w:r>
        <w:rPr>
          <w:rFonts w:hint="eastAsia" w:ascii="仿宋" w:hAnsi="仿宋" w:eastAsia="仿宋"/>
          <w:sz w:val="32"/>
          <w:szCs w:val="32"/>
        </w:rPr>
        <w:t>单位：万元）（柱状图）</w:t>
      </w:r>
    </w:p>
    <w:p>
      <w:pPr>
        <w:spacing w:line="600" w:lineRule="exact"/>
        <w:ind w:firstLine="640" w:firstLineChars="200"/>
        <w:outlineLvl w:val="1"/>
        <w:rPr>
          <w:rStyle w:val="25"/>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rPr>
          <w:rFonts w:ascii="仿宋" w:hAnsi="仿宋" w:eastAsia="仿宋"/>
          <w:b/>
          <w:sz w:val="32"/>
          <w:szCs w:val="32"/>
        </w:rPr>
      </w:pPr>
      <w:r>
        <w:rPr>
          <w:rFonts w:ascii="仿宋" w:hAnsi="仿宋" w:eastAsia="仿宋"/>
          <w:sz w:val="32"/>
          <w:szCs w:val="32"/>
        </w:rPr>
        <w:t>2020</w:t>
      </w:r>
      <w:r>
        <w:rPr>
          <w:rFonts w:hint="eastAsia" w:ascii="仿宋" w:hAnsi="仿宋" w:eastAsia="仿宋"/>
          <w:sz w:val="32"/>
          <w:szCs w:val="32"/>
        </w:rPr>
        <w:t>年一般公共预算财政拨款支出1882.24万元，占本年支出合计的100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19年相比，一般公共预算财政拨款支出减少1818.76万元，减少49.14</w:t>
      </w:r>
      <w:r>
        <w:rPr>
          <w:rFonts w:ascii="仿宋" w:hAnsi="仿宋" w:eastAsia="仿宋"/>
          <w:sz w:val="32"/>
          <w:szCs w:val="32"/>
        </w:rPr>
        <w:t>%</w:t>
      </w:r>
      <w:r>
        <w:rPr>
          <w:rFonts w:hint="eastAsia" w:ascii="仿宋" w:hAnsi="仿宋" w:eastAsia="仿宋"/>
          <w:sz w:val="32"/>
          <w:szCs w:val="32"/>
        </w:rPr>
        <w:t>。主要变动原因是</w:t>
      </w:r>
      <w:r>
        <w:rPr>
          <w:rFonts w:ascii="仿宋" w:hAnsi="仿宋" w:eastAsia="仿宋"/>
          <w:sz w:val="32"/>
          <w:szCs w:val="32"/>
        </w:rPr>
        <w:t>脱贫攻坚</w:t>
      </w:r>
      <w:r>
        <w:rPr>
          <w:rFonts w:hint="eastAsia" w:ascii="仿宋" w:hAnsi="仿宋" w:eastAsia="仿宋"/>
          <w:sz w:val="32"/>
          <w:szCs w:val="32"/>
        </w:rPr>
        <w:t>任务减少。</w:t>
      </w:r>
    </w:p>
    <w:p>
      <w:pPr>
        <w:pStyle w:val="2"/>
        <w:spacing w:before="93"/>
      </w:pPr>
      <w:r>
        <w:rPr>
          <w:rFonts w:hint="eastAsia" w:ascii="仿宋" w:hAnsi="仿宋" w:eastAsia="仿宋"/>
          <w:sz w:val="32"/>
          <w:szCs w:val="32"/>
        </w:rPr>
        <w:drawing>
          <wp:inline distT="0" distB="0" distL="0" distR="0">
            <wp:extent cx="4594225" cy="1593850"/>
            <wp:effectExtent l="19050" t="0" r="15360" b="5870"/>
            <wp:docPr id="1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r>
        <w:rPr>
          <w:rFonts w:hint="eastAsia" w:ascii="仿宋" w:hAnsi="仿宋" w:eastAsia="仿宋"/>
          <w:sz w:val="32"/>
          <w:szCs w:val="32"/>
          <w:lang w:eastAsia="zh-CN"/>
        </w:rPr>
        <w:t>，</w:t>
      </w:r>
      <w:r>
        <w:rPr>
          <w:rFonts w:hint="eastAsia" w:ascii="仿宋" w:hAnsi="仿宋" w:eastAsia="仿宋"/>
          <w:sz w:val="32"/>
          <w:szCs w:val="32"/>
        </w:rPr>
        <w:t>单位：万元）（柱状图）</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_GB2312" w:hAnsi="仿宋" w:eastAsia="仿宋_GB2312"/>
          <w:sz w:val="32"/>
          <w:szCs w:val="32"/>
        </w:rPr>
      </w:pPr>
      <w:r>
        <w:rPr>
          <w:rFonts w:ascii="仿宋" w:hAnsi="仿宋" w:eastAsia="仿宋"/>
          <w:sz w:val="32"/>
          <w:szCs w:val="32"/>
        </w:rPr>
        <w:t>2020</w:t>
      </w:r>
      <w:r>
        <w:rPr>
          <w:rFonts w:hint="eastAsia" w:ascii="仿宋" w:hAnsi="仿宋" w:eastAsia="仿宋"/>
          <w:sz w:val="32"/>
          <w:szCs w:val="32"/>
        </w:rPr>
        <w:t>年一般公共预算财政拨款支出1882.24万元，主要用于以下方面</w:t>
      </w:r>
      <w:r>
        <w:rPr>
          <w:rFonts w:hint="eastAsia" w:ascii="仿宋" w:hAnsi="仿宋" w:eastAsia="仿宋"/>
          <w:sz w:val="32"/>
          <w:szCs w:val="32"/>
          <w:lang w:eastAsia="zh-CN"/>
        </w:rPr>
        <w:t>：</w:t>
      </w:r>
      <w:r>
        <w:rPr>
          <w:rFonts w:hint="eastAsia" w:ascii="仿宋_GB2312" w:hAnsi="仿宋" w:eastAsia="仿宋_GB2312"/>
          <w:sz w:val="32"/>
          <w:szCs w:val="32"/>
        </w:rPr>
        <w:t>一般公共服务支出475.23万元，占25.25%；</w:t>
      </w:r>
      <w:r>
        <w:rPr>
          <w:rFonts w:hint="eastAsia" w:ascii="仿宋_GB2312" w:hAnsi="仿宋" w:eastAsia="仿宋_GB2312"/>
          <w:bCs/>
          <w:sz w:val="32"/>
          <w:szCs w:val="32"/>
        </w:rPr>
        <w:t>文化旅游体育与传媒支出51.12万元，占2.72%</w:t>
      </w:r>
      <w:r>
        <w:rPr>
          <w:rFonts w:hint="eastAsia" w:ascii="仿宋_GB2312" w:hAnsi="仿宋" w:eastAsia="仿宋_GB2312"/>
          <w:sz w:val="32"/>
          <w:szCs w:val="32"/>
        </w:rPr>
        <w:t>；社会保障和就业支出134.86万元，占7.16%；</w:t>
      </w:r>
      <w:r>
        <w:rPr>
          <w:rFonts w:hint="eastAsia" w:ascii="仿宋_GB2312" w:hAnsi="仿宋" w:eastAsia="仿宋_GB2312"/>
          <w:bCs/>
          <w:sz w:val="32"/>
          <w:szCs w:val="32"/>
        </w:rPr>
        <w:t>卫生健康支出</w:t>
      </w:r>
      <w:r>
        <w:rPr>
          <w:rFonts w:hint="eastAsia" w:ascii="仿宋_GB2312" w:hAnsi="仿宋" w:eastAsia="仿宋_GB2312"/>
          <w:sz w:val="32"/>
          <w:szCs w:val="32"/>
        </w:rPr>
        <w:t>37.54万元，占1.99%；节能环保支出0.51万元，占0.03%；城乡社区支出23.12万元，占1.23%；农林水支出1089.18万元，占57.87%；交通运输支出22.64万元，占1.20%；商业服务业等支出5.6万元，占0.30%；住房保障支出42.44万元，占2.25%。</w:t>
      </w:r>
    </w:p>
    <w:p>
      <w:pPr>
        <w:pStyle w:val="2"/>
        <w:spacing w:before="93"/>
      </w:pPr>
      <w:r>
        <w:rPr>
          <w:rFonts w:hint="eastAsia"/>
        </w:rPr>
        <w:drawing>
          <wp:inline distT="0" distB="0" distL="0" distR="0">
            <wp:extent cx="5011420" cy="3055620"/>
            <wp:effectExtent l="19050" t="0" r="17505" b="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（图6：一般公共预算财政拨款支出决算结构，单位：万元）（饼状图）</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Style w:val="14"/>
          <w:rFonts w:ascii="仿宋" w:hAnsi="仿宋" w:eastAsia="仿宋"/>
          <w:bCs/>
          <w:sz w:val="32"/>
          <w:szCs w:val="32"/>
        </w:rPr>
      </w:pPr>
      <w:bookmarkStart w:id="31" w:name="_Toc15377213"/>
      <w:bookmarkStart w:id="32" w:name="_Toc15378460"/>
      <w:bookmarkStart w:id="33" w:name="_Toc15377444"/>
      <w:r>
        <w:rPr>
          <w:rFonts w:hint="eastAsia" w:ascii="仿宋" w:hAnsi="仿宋" w:eastAsia="仿宋"/>
          <w:b/>
          <w:sz w:val="32"/>
          <w:szCs w:val="32"/>
        </w:rPr>
        <w:t>2020年一般公共预算支出决算数为1882.24万元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1.一般公共服务（类）人大事务（款）行政运行（项）: 支出</w:t>
      </w:r>
      <w:r>
        <w:rPr>
          <w:rFonts w:hint="eastAsia" w:ascii="仿宋_GB2312" w:hAnsi="宋体" w:eastAsia="仿宋_GB2312"/>
          <w:kern w:val="0"/>
          <w:sz w:val="28"/>
          <w:szCs w:val="28"/>
          <w:highlight w:val="none"/>
          <w:lang w:eastAsia="zh-CN"/>
        </w:rPr>
        <w:t>决</w:t>
      </w:r>
      <w:r>
        <w:rPr>
          <w:rFonts w:hint="eastAsia" w:ascii="仿宋_GB2312" w:hAnsi="宋体" w:eastAsia="仿宋_GB2312"/>
          <w:kern w:val="0"/>
          <w:sz w:val="28"/>
          <w:szCs w:val="28"/>
        </w:rPr>
        <w:t>算为9.72万元，完成预算100%，决算数等于预算数。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2.一般公共服务（类）政府办公厅（室）及相关机构事务（款）行政运行（项）: 支出决算为316.50万元，完成预算100%，决算数等于预算数。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3.一般公共服务（类）政府办公厅（室）及相关机构事务（款）一般行政管理事务（项）: 支出决算为23.75万元，完成预算100%，决算数等于预算数。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4.一般公共服务（类）财政事务（款）行政运行（项）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支出决算为20.18万元，完成预算100%，决算数等于预算数。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5.一般公共服务（类）财政事务（款）事业运行（项）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支出决算为24.31万元，完成预算100%，决算数等于预算数。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6.一般公共服务（类）纪检监察事务（款）派驻派出机构（项）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支出决算为28.21万元，完成预算100%，决算数等于预算数。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7.一般公共服务（类）党委办公厅（室）及相关机构事务（款）行政运行（项）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支出决算为49.62万元，完成预算100%，决算数等于预算数。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8.一般公共服务（类）其他一般公共服务支出（款）其他一般公共服务支出（项）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支出决算为2.95万元，完成预算100%，决算数等于预算数。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9.文化旅游体育与传媒支出（类）文化和旅游（款）群众文化（项）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支出决算为39.12万元，完成预算100%，决算数等于预算数。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10.文化旅游体育与传媒支出（类）文化和旅游（款）其他文化和旅游支出（项）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支出决算为4万元，完成预算100%，决算数等于预算数。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11.文化旅游体育与传媒支出（类）其他文化旅游体育与传媒支出（款）其他文化旅游体育与传媒支出（项）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支出决算为8万元，完成预算100%，决算数等于预算数。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12.社会保障和就业支出（类）人力资源和社会保障管理事务（款）社会保险经办机构（项）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支出决算为39.63万元，完成预算100%，决算数等于预算数。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13.社会保障和就业支出（类）行政事业单位养老支出（款）机关事业单位基本养老保险缴费支出（项）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支出决算为56.59万元，完成预算100%，决算数等于预算数。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14. 社会保障和就业支出（类）就业补助（款）公益性岗位补贴（项）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支出决算为38.64万元，完成预算100%，决算数等于预算数。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15.卫生健康支出（类）公共卫生（款）其他公共卫生支出（项）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支出决算为1.71万元，完成预算100%，决算数等于预算数。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16.卫生健康支出（类）行政事业单位医疗（款）行政单位医疗（项）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支出决算为14.45万元，完成预算100%，决算数等于预算数。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17.卫生健康支出（类）行政事业单位医疗（款）事业单位医疗（项）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支出决算为17.94万元，完成预算100%，决算数等于预算数。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18.卫生健康支出（类）行政事业单位医疗（款）公务员医疗补助（项）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支出决算为3.44万元，完成预算100%，决算数等于预算数。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19.</w:t>
      </w:r>
      <w:r>
        <w:rPr>
          <w:rFonts w:hint="eastAsia"/>
        </w:rPr>
        <w:t xml:space="preserve"> </w:t>
      </w:r>
      <w:r>
        <w:rPr>
          <w:rFonts w:hint="eastAsia" w:ascii="仿宋_GB2312" w:hAnsi="宋体" w:eastAsia="仿宋_GB2312"/>
          <w:kern w:val="0"/>
          <w:sz w:val="28"/>
          <w:szCs w:val="28"/>
        </w:rPr>
        <w:t>节能环保支出（类）天然林保护（款）森林管护（项）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支出决算为0.51万元，完成预算100%，决算数等于预算数。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20.城乡社区支出（类）城乡社区管理事务（款）行政运行（项）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支出决算为23.12万元，完成预算100%，决算数等于预算数。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21.农林水支出（类）农业农村（款）事业运行（项）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支出决算为117.87万元，完成预算100%，决算数等于预算数。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22.农林水支出（类）扶贫（款）农村基础设施建设（项）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支出决算为329.30万元，完成预算100%，决算数等于预算数。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23.农林水支出（类）扶贫（款）生产发展（项）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支出决算为55万元，完成预算100%，决算数等于预算数。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24.农林水支出（类）扶贫（款）其他扶贫支出（项）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支出决算为245.89万元，完成预算100%，决算数等于预算数。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25.农林水支出（类）农村综合改革（款）对村民委员会和村党支部的补助（项）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支出决算为261.13万元，完成预算100%，决算数等于预算数。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26.农林水支出（类）农村综合改革（款）对村集体经济组织的补助（项）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支出决算为80万元，完成预算100%，决算数等于预算数。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27.交通运输支出（类）公路水路运输（款）公路运输管理（项）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支出决算为22.64万元，完成预算100%，决算数等于预算数。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28.</w:t>
      </w:r>
      <w:r>
        <w:rPr>
          <w:rFonts w:hint="eastAsia"/>
        </w:rPr>
        <w:t xml:space="preserve"> </w:t>
      </w:r>
      <w:r>
        <w:rPr>
          <w:rFonts w:hint="eastAsia" w:ascii="仿宋_GB2312" w:hAnsi="宋体" w:eastAsia="仿宋_GB2312"/>
          <w:kern w:val="0"/>
          <w:sz w:val="28"/>
          <w:szCs w:val="28"/>
        </w:rPr>
        <w:t>商业服务业等支出（类）商业流通事务（款）其他商业流通事务支出（项）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支出决算为5.6万元，完成预算100%，决算数等于预算数。</w:t>
      </w:r>
    </w:p>
    <w:p>
      <w:pPr>
        <w:spacing w:line="6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29.住房保障支出（类）住房改革支出（款）住房公积金（项）</w:t>
      </w:r>
      <w:r>
        <w:rPr>
          <w:rFonts w:hint="eastAsia" w:ascii="仿宋_GB2312" w:hAnsi="宋体" w:eastAsia="仿宋_GB2312"/>
          <w:kern w:val="0"/>
          <w:sz w:val="28"/>
          <w:szCs w:val="28"/>
          <w:lang w:eastAsia="zh-CN"/>
        </w:rPr>
        <w:t>：</w:t>
      </w:r>
      <w:r>
        <w:rPr>
          <w:rFonts w:hint="eastAsia" w:ascii="仿宋_GB2312" w:hAnsi="宋体" w:eastAsia="仿宋_GB2312"/>
          <w:kern w:val="0"/>
          <w:sz w:val="28"/>
          <w:szCs w:val="28"/>
        </w:rPr>
        <w:t>支出决算为42.44万元，完成预算100%，决算数等于预算数。</w:t>
      </w:r>
    </w:p>
    <w:p>
      <w:pPr>
        <w:tabs>
          <w:tab w:val="right" w:pos="8306"/>
        </w:tabs>
        <w:spacing w:line="600" w:lineRule="exact"/>
        <w:ind w:firstLine="640"/>
        <w:outlineLvl w:val="1"/>
        <w:rPr>
          <w:rStyle w:val="25"/>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年一般公共预算财政拨款基本支出1038.33万元，其中：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864.47万元，主要包括：基本工资、津贴补贴、奖金、绩效工资、机关事业单位基本养老保险缴费、职业年金缴费、职工基本医疗保险缴费、公务员医疗补助缴费、其他社会保障缴费、生活补助、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公用经费173.86万元，主要包括：办公费、印刷费、水费、电费、邮电费、差旅费、会议费、培训费、公务接待费、工会经费、福利费、其他交通费、其他商品和服务支出等。</w:t>
      </w:r>
    </w:p>
    <w:p>
      <w:pPr>
        <w:spacing w:line="600" w:lineRule="exact"/>
        <w:ind w:firstLine="640"/>
        <w:outlineLvl w:val="1"/>
        <w:rPr>
          <w:rStyle w:val="25"/>
          <w:rFonts w:ascii="黑体" w:hAnsi="黑体" w:eastAsia="黑体"/>
          <w:b w:val="0"/>
        </w:rPr>
      </w:pPr>
      <w:bookmarkStart w:id="36" w:name="_Toc15396609"/>
      <w:bookmarkStart w:id="37" w:name="_Toc15377215"/>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年“三公”经费财政拨款支出决算为3.42万元，完成预算100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年“三公”经费财政拨款支出决算中，公务接待费支出决算3.42万元，占100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rPr>
        <w:t>3.42万元，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19年减少0.11万元，减少3.12</w:t>
      </w:r>
      <w:r>
        <w:rPr>
          <w:rFonts w:ascii="仿宋_GB2312" w:eastAsia="仿宋_GB2312"/>
          <w:sz w:val="32"/>
          <w:szCs w:val="32"/>
        </w:rPr>
        <w:t>%</w:t>
      </w:r>
      <w:r>
        <w:rPr>
          <w:rFonts w:hint="eastAsia" w:ascii="仿宋_GB2312" w:eastAsia="仿宋_GB2312"/>
          <w:sz w:val="32"/>
          <w:szCs w:val="32"/>
        </w:rPr>
        <w:t>。主要原因是公务接待次数减少。其中：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3.42</w:t>
      </w:r>
      <w:r>
        <w:rPr>
          <w:rFonts w:hint="eastAsia" w:ascii="仿宋_GB2312" w:eastAsia="仿宋_GB2312"/>
          <w:sz w:val="32"/>
          <w:szCs w:val="32"/>
        </w:rPr>
        <w:t>万元，主要用于执行公务、开展业务活动开支的交通费、住宿费、用餐费等。国内公务接待200批次，1500人次（不包括陪同人员），共计支出3.42万元。</w:t>
      </w:r>
      <w:bookmarkStart w:id="40" w:name="_Toc15396610"/>
      <w:bookmarkStart w:id="41" w:name="_Toc15377218"/>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年政府性基金预算财政拨款支出0万元。</w:t>
      </w:r>
    </w:p>
    <w:p>
      <w:pPr>
        <w:numPr>
          <w:ilvl w:val="0"/>
          <w:numId w:val="2"/>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年国有资本经营预算财政拨款支出0万元。</w:t>
      </w:r>
    </w:p>
    <w:p>
      <w:pPr>
        <w:numPr>
          <w:ilvl w:val="0"/>
          <w:numId w:val="2"/>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color w:val="000000"/>
          <w:sz w:val="32"/>
          <w:szCs w:val="32"/>
        </w:rPr>
      </w:pPr>
      <w:bookmarkStart w:id="47" w:name="_Toc15377223"/>
      <w:r>
        <w:rPr>
          <w:rFonts w:ascii="仿宋_GB2312" w:eastAsia="仿宋_GB2312"/>
          <w:color w:val="000000"/>
          <w:sz w:val="32"/>
          <w:szCs w:val="32"/>
        </w:rPr>
        <w:t>2020</w:t>
      </w:r>
      <w:r>
        <w:rPr>
          <w:rFonts w:hint="eastAsia" w:ascii="仿宋_GB2312" w:eastAsia="仿宋_GB2312"/>
          <w:color w:val="000000"/>
          <w:sz w:val="32"/>
          <w:szCs w:val="32"/>
        </w:rPr>
        <w:t>年，至诚镇机关运行经费支出35.5万元，比</w:t>
      </w:r>
      <w:r>
        <w:rPr>
          <w:rFonts w:ascii="仿宋_GB2312" w:eastAsia="仿宋_GB2312"/>
          <w:color w:val="000000"/>
          <w:sz w:val="32"/>
          <w:szCs w:val="32"/>
        </w:rPr>
        <w:t>2019</w:t>
      </w:r>
      <w:r>
        <w:rPr>
          <w:rFonts w:hint="eastAsia" w:ascii="仿宋_GB2312" w:eastAsia="仿宋_GB2312"/>
          <w:color w:val="000000"/>
          <w:sz w:val="32"/>
          <w:szCs w:val="32"/>
        </w:rPr>
        <w:t>年减少0.42万元，下降1.17</w:t>
      </w:r>
      <w:r>
        <w:rPr>
          <w:rFonts w:ascii="仿宋_GB2312" w:eastAsia="仿宋_GB2312"/>
          <w:color w:val="000000"/>
          <w:sz w:val="32"/>
          <w:szCs w:val="32"/>
        </w:rPr>
        <w:t>%</w:t>
      </w:r>
      <w:r>
        <w:rPr>
          <w:rFonts w:hint="eastAsia" w:ascii="仿宋_GB2312" w:eastAsia="仿宋_GB2312"/>
          <w:color w:val="000000"/>
          <w:sz w:val="32"/>
          <w:szCs w:val="32"/>
        </w:rPr>
        <w:t>。主要原因是缩减开支。</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年，至诚镇政府采购支出总额151.97万元，其中：政府采购货物支出41.97万元、政府采购工程支出110万元。主要用于</w:t>
      </w:r>
      <w:r>
        <w:rPr>
          <w:rFonts w:hint="eastAsia" w:ascii="仿宋_GB2312" w:eastAsia="仿宋_GB2312"/>
          <w:sz w:val="32"/>
          <w:szCs w:val="32"/>
        </w:rPr>
        <w:t>工程项目建设。授予中小企业合同金额</w:t>
      </w:r>
      <w:r>
        <w:rPr>
          <w:rFonts w:hint="eastAsia" w:ascii="仿宋_GB2312" w:eastAsia="仿宋_GB2312"/>
          <w:color w:val="000000"/>
          <w:sz w:val="32"/>
          <w:szCs w:val="32"/>
        </w:rPr>
        <w:t>151.97</w:t>
      </w:r>
      <w:r>
        <w:rPr>
          <w:rFonts w:hint="eastAsia" w:ascii="仿宋_GB2312" w:eastAsia="仿宋_GB2312"/>
          <w:sz w:val="32"/>
          <w:szCs w:val="32"/>
        </w:rPr>
        <w:t>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sz w:val="32"/>
          <w:szCs w:val="32"/>
        </w:rPr>
        <w:t>截至</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全镇无公务用车车辆；无单价50万元以上通用设备，无单价100万元以上专用设备。</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根据预算绩效管理要求，本单位在2020年度预算编制阶段，组织对“农村道路建设”、“东西部扶贫协作天麻产业”、“</w:t>
      </w:r>
      <w:r>
        <w:rPr>
          <w:rFonts w:hint="eastAsia" w:ascii="仿宋_GB2312" w:hAnsi="仿宋_GB2312" w:eastAsia="仿宋_GB2312" w:cs="仿宋_GB2312"/>
          <w:sz w:val="32"/>
          <w:szCs w:val="32"/>
          <w:highlight w:val="none"/>
        </w:rPr>
        <w:t>盘石</w:t>
      </w:r>
      <w:r>
        <w:rPr>
          <w:rFonts w:hint="eastAsia" w:ascii="仿宋_GB2312" w:hAnsi="仿宋_GB2312" w:eastAsia="仿宋_GB2312" w:cs="仿宋_GB2312"/>
          <w:sz w:val="32"/>
          <w:szCs w:val="32"/>
        </w:rPr>
        <w:t>村老鹰茶产业发展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 w:hAnsi="仿宋" w:eastAsia="仿宋"/>
          <w:color w:val="000000"/>
          <w:sz w:val="32"/>
          <w:szCs w:val="32"/>
        </w:rPr>
        <w:t>农村安全饮水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、“新冠肺炎疫情防控”、“公益性岗位”、“</w:t>
      </w:r>
      <w:r>
        <w:rPr>
          <w:rFonts w:hint="eastAsia" w:ascii="仿宋" w:hAnsi="仿宋" w:eastAsia="仿宋"/>
          <w:color w:val="000000"/>
          <w:sz w:val="32"/>
          <w:szCs w:val="32"/>
        </w:rPr>
        <w:t>文化院坝建设</w:t>
      </w:r>
      <w:r>
        <w:rPr>
          <w:rFonts w:hint="eastAsia" w:ascii="仿宋_GB2312" w:hAnsi="仿宋_GB2312" w:eastAsia="仿宋_GB2312" w:cs="仿宋_GB2312"/>
          <w:sz w:val="32"/>
          <w:szCs w:val="32"/>
        </w:rPr>
        <w:t>”等7个项目开展了预算事前绩效评估，对7个项目编制了绩效目标，预算执行过程中，选取7个项目开展绩效监控，年终执行完毕后，对7个项目开展了绩效自评，2020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sz w:val="32"/>
          <w:szCs w:val="32"/>
        </w:rPr>
      </w:pPr>
      <w:bookmarkStart w:id="51" w:name="_Toc15396614"/>
      <w:bookmarkStart w:id="52"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一般公共服务（类）人大事务（款）行政运行（项）：指反映行政单位（包括实行公务员管理的事业单位）的基本支出。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10.一般公共服务（类）政府办公厅（室）及相关机构事务（款）行政运行（项）</w:t>
      </w:r>
      <w:r>
        <w:rPr>
          <w:rFonts w:hint="eastAsia" w:ascii="仿宋_GB2312" w:eastAsia="仿宋_GB2312"/>
          <w:sz w:val="32"/>
          <w:szCs w:val="32"/>
        </w:rPr>
        <w:t>：</w:t>
      </w:r>
      <w:r>
        <w:rPr>
          <w:rFonts w:hint="eastAsia" w:ascii="仿宋_GB2312" w:eastAsia="仿宋_GB2312"/>
          <w:color w:val="000000"/>
          <w:sz w:val="32"/>
          <w:szCs w:val="32"/>
        </w:rPr>
        <w:t>指反映行政单位（包括实行公务员管理的事业单位）的基本支出。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11.一般公共服务（类）政府办公厅（室）及相关机构事务（款）一般行政管理事务（项）</w:t>
      </w:r>
      <w:r>
        <w:rPr>
          <w:rFonts w:hint="eastAsia" w:ascii="仿宋_GB2312" w:eastAsia="仿宋_GB2312"/>
          <w:sz w:val="32"/>
          <w:szCs w:val="32"/>
        </w:rPr>
        <w:t>：</w:t>
      </w:r>
      <w:r>
        <w:rPr>
          <w:rFonts w:hint="eastAsia" w:ascii="仿宋_GB2312" w:eastAsia="仿宋_GB2312"/>
          <w:color w:val="000000"/>
          <w:sz w:val="32"/>
          <w:szCs w:val="32"/>
        </w:rPr>
        <w:t>指反映行政单位（包括实行公务员管理的事业单位）未单独设置项级科目的其他项目支出。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12.一般公共服务（类）政府办公厅（室）及相关机构事务（款）信访事务（项）</w:t>
      </w:r>
      <w:r>
        <w:rPr>
          <w:rFonts w:hint="eastAsia" w:ascii="仿宋_GB2312" w:eastAsia="仿宋_GB2312"/>
          <w:sz w:val="32"/>
          <w:szCs w:val="32"/>
        </w:rPr>
        <w:t>：</w:t>
      </w:r>
      <w:r>
        <w:rPr>
          <w:rFonts w:hint="eastAsia" w:ascii="仿宋_GB2312" w:hAnsi="宋体" w:eastAsia="仿宋_GB2312"/>
          <w:kern w:val="0"/>
          <w:sz w:val="32"/>
          <w:szCs w:val="32"/>
        </w:rPr>
        <w:t>指反映各级政府用于群众来信来访方面的支出。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13.一般公共服务（类）财政事务（款）行政运行（项）</w:t>
      </w:r>
      <w:r>
        <w:rPr>
          <w:rFonts w:hint="eastAsia" w:ascii="仿宋_GB2312" w:eastAsia="仿宋_GB2312"/>
          <w:sz w:val="32"/>
          <w:szCs w:val="32"/>
        </w:rPr>
        <w:t>：</w:t>
      </w:r>
      <w:r>
        <w:rPr>
          <w:rFonts w:hint="eastAsia" w:ascii="仿宋_GB2312" w:eastAsia="仿宋_GB2312"/>
          <w:color w:val="000000"/>
          <w:sz w:val="32"/>
          <w:szCs w:val="32"/>
        </w:rPr>
        <w:t xml:space="preserve"> 指反映行政单位（包括实行公务员管理的事业单位）的基本支出。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14.一般公共服务（类）财政事务（款）事业运行（项）</w:t>
      </w:r>
      <w:r>
        <w:rPr>
          <w:rFonts w:hint="eastAsia" w:ascii="仿宋_GB2312" w:eastAsia="仿宋_GB2312"/>
          <w:sz w:val="32"/>
          <w:szCs w:val="32"/>
        </w:rPr>
        <w:t>：</w:t>
      </w:r>
      <w:r>
        <w:rPr>
          <w:rFonts w:ascii="仿宋_GB2312" w:hAnsi="宋体" w:eastAsia="仿宋_GB2312"/>
          <w:kern w:val="0"/>
          <w:sz w:val="32"/>
          <w:szCs w:val="32"/>
        </w:rPr>
        <w:t xml:space="preserve"> </w:t>
      </w:r>
      <w:r>
        <w:rPr>
          <w:rFonts w:hint="eastAsia" w:ascii="仿宋_GB2312" w:hAnsi="宋体" w:eastAsia="仿宋_GB2312"/>
          <w:kern w:val="0"/>
          <w:sz w:val="32"/>
          <w:szCs w:val="32"/>
        </w:rPr>
        <w:t>指</w:t>
      </w:r>
      <w:r>
        <w:rPr>
          <w:rFonts w:hint="eastAsia" w:ascii="仿宋_GB2312" w:hAnsi="宋体" w:eastAsia="仿宋_GB2312"/>
          <w:kern w:val="0"/>
          <w:sz w:val="32"/>
          <w:szCs w:val="32"/>
          <w:lang w:eastAsia="zh-CN"/>
        </w:rPr>
        <w:t>反映</w:t>
      </w:r>
      <w:r>
        <w:rPr>
          <w:rFonts w:hint="eastAsia" w:ascii="仿宋_GB2312" w:hAnsi="宋体" w:eastAsia="仿宋_GB2312"/>
          <w:kern w:val="0"/>
          <w:sz w:val="32"/>
          <w:szCs w:val="32"/>
        </w:rPr>
        <w:t>事业单位的基本支出，不包括行政单位</w:t>
      </w:r>
      <w:r>
        <w:rPr>
          <w:rFonts w:hint="eastAsia" w:ascii="仿宋_GB2312" w:eastAsia="仿宋_GB2312"/>
          <w:color w:val="000000"/>
          <w:sz w:val="32"/>
          <w:szCs w:val="32"/>
        </w:rPr>
        <w:t>（包括实行公务员管理的事业单位）后勤服务中心、医务室等附属事业单位。</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15.一般公共服务（类）纪检监察事务（款）派驻派出机构（项）</w:t>
      </w:r>
      <w:r>
        <w:rPr>
          <w:rFonts w:hint="eastAsia" w:ascii="仿宋_GB2312" w:eastAsia="仿宋_GB2312"/>
          <w:sz w:val="32"/>
          <w:szCs w:val="32"/>
        </w:rPr>
        <w:t>：</w:t>
      </w:r>
      <w:r>
        <w:rPr>
          <w:rFonts w:hint="eastAsia" w:ascii="仿宋_GB2312" w:hAnsi="宋体" w:eastAsia="仿宋_GB2312"/>
          <w:kern w:val="0"/>
          <w:sz w:val="32"/>
          <w:szCs w:val="32"/>
        </w:rPr>
        <w:t>指</w:t>
      </w:r>
      <w:r>
        <w:rPr>
          <w:rFonts w:hint="eastAsia" w:ascii="仿宋_GB2312" w:hAnsi="宋体" w:eastAsia="仿宋_GB2312"/>
          <w:kern w:val="0"/>
          <w:sz w:val="32"/>
          <w:szCs w:val="32"/>
          <w:lang w:eastAsia="zh-CN"/>
        </w:rPr>
        <w:t>反映</w:t>
      </w:r>
      <w:r>
        <w:rPr>
          <w:rFonts w:hint="eastAsia" w:ascii="仿宋_GB2312" w:hAnsi="宋体" w:eastAsia="仿宋_GB2312"/>
          <w:kern w:val="0"/>
          <w:sz w:val="32"/>
          <w:szCs w:val="32"/>
        </w:rPr>
        <w:t>由</w:t>
      </w:r>
      <w:r>
        <w:rPr>
          <w:rFonts w:hint="eastAsia" w:ascii="仿宋_GB2312" w:hAnsi="宋体" w:eastAsia="仿宋_GB2312"/>
          <w:kern w:val="0"/>
          <w:sz w:val="32"/>
          <w:szCs w:val="32"/>
          <w:highlight w:val="none"/>
          <w:lang w:eastAsia="zh-CN"/>
        </w:rPr>
        <w:t>纪检监察机关</w:t>
      </w:r>
      <w:r>
        <w:rPr>
          <w:rFonts w:hint="eastAsia" w:ascii="仿宋_GB2312" w:hAnsi="宋体" w:eastAsia="仿宋_GB2312"/>
          <w:kern w:val="0"/>
          <w:sz w:val="32"/>
          <w:szCs w:val="32"/>
        </w:rPr>
        <w:t>负担的派驻各部门和单位的纪检监察人员的专项业务支出。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16.一般公共服务（类）党委办公厅（室）及相关机构事务（款）行政运行（项）</w:t>
      </w:r>
      <w:r>
        <w:rPr>
          <w:rFonts w:hint="eastAsia" w:ascii="仿宋_GB2312" w:eastAsia="仿宋_GB2312"/>
          <w:sz w:val="32"/>
          <w:szCs w:val="32"/>
        </w:rPr>
        <w:t>：</w:t>
      </w:r>
      <w:r>
        <w:rPr>
          <w:rFonts w:hint="eastAsia" w:ascii="仿宋_GB2312" w:eastAsia="仿宋_GB2312"/>
          <w:color w:val="000000"/>
          <w:sz w:val="32"/>
          <w:szCs w:val="32"/>
        </w:rPr>
        <w:t>指反映行政单位（包括实行公务员管理的事业单位）的基本支出。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17.文化旅游体育与传媒支出（类）文化和旅游（款）群众文化（项）</w:t>
      </w:r>
      <w:r>
        <w:rPr>
          <w:rFonts w:hint="eastAsia" w:ascii="仿宋_GB2312" w:eastAsia="仿宋_GB2312"/>
          <w:sz w:val="32"/>
          <w:szCs w:val="32"/>
        </w:rPr>
        <w:t>：</w:t>
      </w:r>
      <w:r>
        <w:rPr>
          <w:rFonts w:hint="eastAsia" w:ascii="仿宋_GB2312" w:hAnsi="宋体" w:eastAsia="仿宋_GB2312"/>
          <w:kern w:val="0"/>
          <w:sz w:val="32"/>
          <w:szCs w:val="32"/>
        </w:rPr>
        <w:t>指反映群众文化方面的支出，包括基层文化馆（站）、群众艺术馆支出等。</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18.文化旅游体育与传媒支出（类）文化和旅游（款）其他文化和旅游支出（项）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指反映除上述项目以外其他用于文化和旅游方面的支出。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19.社会保障和就业支出（类）人力资源和社会保障管理事务（款）社会保险经办机构（项）</w:t>
      </w:r>
      <w:r>
        <w:rPr>
          <w:rFonts w:hint="eastAsia" w:ascii="仿宋_GB2312" w:eastAsia="仿宋_GB2312"/>
          <w:sz w:val="32"/>
          <w:szCs w:val="32"/>
        </w:rPr>
        <w:t>：</w:t>
      </w:r>
      <w:r>
        <w:rPr>
          <w:rFonts w:hint="eastAsia" w:ascii="仿宋_GB2312" w:hAnsi="宋体" w:eastAsia="仿宋_GB2312"/>
          <w:kern w:val="0"/>
          <w:sz w:val="32"/>
          <w:szCs w:val="32"/>
        </w:rPr>
        <w:t>指反映社会保险经办机构开展业务工作的支出。</w:t>
      </w:r>
    </w:p>
    <w:p>
      <w:pPr>
        <w:pStyle w:val="2"/>
        <w:spacing w:before="93"/>
        <w:ind w:firstLine="640" w:firstLineChars="200"/>
        <w:rPr>
          <w:sz w:val="32"/>
          <w:szCs w:val="32"/>
        </w:rPr>
      </w:pPr>
      <w:r>
        <w:rPr>
          <w:rFonts w:hint="eastAsia" w:hAnsi="宋体"/>
          <w:sz w:val="32"/>
          <w:szCs w:val="32"/>
        </w:rPr>
        <w:t>20.社会保障和就业支出（类）人力资源和社会保障管理事务（款）其他人力资源和社会保障管理事务支出（项）</w:t>
      </w:r>
      <w:r>
        <w:rPr>
          <w:rFonts w:hint="eastAsia"/>
          <w:sz w:val="32"/>
          <w:szCs w:val="32"/>
        </w:rPr>
        <w:t>：</w:t>
      </w:r>
      <w:r>
        <w:rPr>
          <w:rFonts w:hint="eastAsia" w:hAnsi="宋体"/>
          <w:sz w:val="32"/>
          <w:szCs w:val="32"/>
        </w:rPr>
        <w:t>指反映除上述项目以外其他用于人力资源和社会保障管理事务方面的支出。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21.社会保障和就业支出（类）行政事业单位养老支出（款）机关事业单位基本养老保险缴费支出（项）</w:t>
      </w:r>
      <w:r>
        <w:rPr>
          <w:rFonts w:hint="eastAsia" w:ascii="仿宋_GB2312" w:eastAsia="仿宋_GB2312"/>
          <w:sz w:val="32"/>
          <w:szCs w:val="32"/>
        </w:rPr>
        <w:t>：</w:t>
      </w:r>
      <w:r>
        <w:rPr>
          <w:rFonts w:hint="eastAsia" w:ascii="仿宋_GB2312" w:hAnsi="宋体" w:eastAsia="仿宋_GB2312"/>
          <w:kern w:val="0"/>
          <w:sz w:val="32"/>
          <w:szCs w:val="32"/>
        </w:rPr>
        <w:t>指反映机关事业单位实施养老保险制度由单位缴纳的基本养老保险费支出。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22.社会保障和就业支出（类）行政事业单位养老支出（款）机关事业单位职业年金缴费支出（项）</w:t>
      </w:r>
      <w:r>
        <w:rPr>
          <w:rFonts w:hint="eastAsia" w:ascii="仿宋_GB2312" w:eastAsia="仿宋_GB2312"/>
          <w:sz w:val="32"/>
          <w:szCs w:val="32"/>
        </w:rPr>
        <w:t>：</w:t>
      </w:r>
      <w:r>
        <w:rPr>
          <w:rFonts w:hint="eastAsia" w:ascii="仿宋_GB2312" w:hAnsi="宋体" w:eastAsia="仿宋_GB2312"/>
          <w:kern w:val="0"/>
          <w:sz w:val="32"/>
          <w:szCs w:val="32"/>
        </w:rPr>
        <w:t>指反映机关事业单位实施养老保险制度由单位实际缴纳的职业年金支出。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23. 社会保障和就业支出（类）就业补助（款）社会保险补贴（项）</w:t>
      </w:r>
      <w:r>
        <w:rPr>
          <w:rFonts w:hint="eastAsia" w:ascii="仿宋_GB2312" w:eastAsia="仿宋_GB2312"/>
          <w:sz w:val="32"/>
          <w:szCs w:val="32"/>
        </w:rPr>
        <w:t>：</w:t>
      </w:r>
      <w:r>
        <w:rPr>
          <w:rFonts w:hint="eastAsia" w:ascii="仿宋_GB2312" w:hAnsi="宋体" w:eastAsia="仿宋_GB2312"/>
          <w:kern w:val="0"/>
          <w:sz w:val="32"/>
          <w:szCs w:val="32"/>
        </w:rPr>
        <w:t>指反映财政对符合条件人员就业后缴纳的社会保险费</w:t>
      </w:r>
      <w:r>
        <w:rPr>
          <w:rFonts w:hint="eastAsia" w:ascii="仿宋_GB2312" w:hAnsi="宋体" w:eastAsia="仿宋_GB2312"/>
          <w:kern w:val="0"/>
          <w:sz w:val="32"/>
          <w:szCs w:val="32"/>
          <w:highlight w:val="none"/>
          <w:lang w:eastAsia="zh-CN"/>
        </w:rPr>
        <w:t>给予</w:t>
      </w:r>
      <w:r>
        <w:rPr>
          <w:rFonts w:hint="eastAsia" w:ascii="仿宋_GB2312" w:hAnsi="宋体" w:eastAsia="仿宋_GB2312"/>
          <w:kern w:val="0"/>
          <w:sz w:val="32"/>
          <w:szCs w:val="32"/>
        </w:rPr>
        <w:t>的补贴支出。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24. 社会保障和就业支出（类）就业补助（款）公益性岗位补贴（项）</w:t>
      </w:r>
      <w:r>
        <w:rPr>
          <w:rFonts w:hint="eastAsia" w:ascii="仿宋_GB2312" w:eastAsia="仿宋_GB2312"/>
          <w:sz w:val="32"/>
          <w:szCs w:val="32"/>
        </w:rPr>
        <w:t>：</w:t>
      </w:r>
      <w:r>
        <w:rPr>
          <w:rFonts w:hint="eastAsia" w:ascii="仿宋_GB2312" w:hAnsi="宋体" w:eastAsia="仿宋_GB2312"/>
          <w:kern w:val="0"/>
          <w:sz w:val="32"/>
          <w:szCs w:val="32"/>
        </w:rPr>
        <w:t>指反映财政对符合条件的就业困难人员在公益性岗位就业</w:t>
      </w:r>
      <w:r>
        <w:rPr>
          <w:rFonts w:hint="eastAsia" w:ascii="仿宋_GB2312" w:hAnsi="宋体" w:eastAsia="仿宋_GB2312"/>
          <w:kern w:val="0"/>
          <w:sz w:val="32"/>
          <w:szCs w:val="32"/>
          <w:highlight w:val="none"/>
          <w:lang w:eastAsia="zh-CN"/>
        </w:rPr>
        <w:t>给予</w:t>
      </w:r>
      <w:r>
        <w:rPr>
          <w:rFonts w:hint="eastAsia" w:ascii="仿宋_GB2312" w:hAnsi="宋体" w:eastAsia="仿宋_GB2312"/>
          <w:kern w:val="0"/>
          <w:sz w:val="32"/>
          <w:szCs w:val="32"/>
        </w:rPr>
        <w:t>的岗位补贴支出。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25. 社会保障和就业支出（类）就业补助（款）其他就业补助支出（项）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指反映除上述项目以外按规定确定的其他用于促进就业的补助支出。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26.卫生健康支出（类）行政事业单位医疗（款）行政单位医疗（项）</w:t>
      </w:r>
      <w:r>
        <w:rPr>
          <w:rFonts w:hint="eastAsia" w:ascii="仿宋_GB2312" w:eastAsia="仿宋_GB2312"/>
          <w:sz w:val="32"/>
          <w:szCs w:val="32"/>
        </w:rPr>
        <w:t>：</w:t>
      </w:r>
      <w:r>
        <w:rPr>
          <w:rFonts w:hint="eastAsia" w:ascii="仿宋_GB2312" w:hAnsi="宋体" w:eastAsia="仿宋_GB2312"/>
          <w:kern w:val="0"/>
          <w:sz w:val="32"/>
          <w:szCs w:val="32"/>
        </w:rPr>
        <w:t>指反映财政部门安排的行政单位基本医疗保险缴费经费。</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27.卫生健康支出（类）行政事业单位医疗（款）事业单位医疗（项）</w:t>
      </w:r>
      <w:r>
        <w:rPr>
          <w:rFonts w:hint="eastAsia" w:ascii="仿宋_GB2312" w:eastAsia="仿宋_GB2312"/>
          <w:sz w:val="32"/>
          <w:szCs w:val="32"/>
        </w:rPr>
        <w:t>：</w:t>
      </w:r>
      <w:r>
        <w:rPr>
          <w:rFonts w:hint="eastAsia" w:ascii="仿宋_GB2312" w:hAnsi="宋体" w:eastAsia="仿宋_GB2312"/>
          <w:kern w:val="0"/>
          <w:sz w:val="32"/>
          <w:szCs w:val="32"/>
        </w:rPr>
        <w:t>指反映财政部门安排的事业单位基本医疗保险缴费经费。</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28.卫生健康支出（类）行政事业单位医疗（款）公务员医疗补助（项）</w:t>
      </w:r>
      <w:r>
        <w:rPr>
          <w:rFonts w:hint="eastAsia" w:ascii="仿宋_GB2312" w:eastAsia="仿宋_GB2312"/>
          <w:sz w:val="32"/>
          <w:szCs w:val="32"/>
        </w:rPr>
        <w:t>：</w:t>
      </w:r>
      <w:r>
        <w:rPr>
          <w:rFonts w:hint="eastAsia" w:ascii="仿宋_GB2312" w:hAnsi="宋体" w:eastAsia="仿宋_GB2312"/>
          <w:kern w:val="0"/>
          <w:sz w:val="32"/>
          <w:szCs w:val="32"/>
        </w:rPr>
        <w:t>指反映财政部门安排的公务员医疗补助经费。</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29.城乡社区支出（类）城乡社区管理事务（款）行政运行（项）</w:t>
      </w:r>
      <w:r>
        <w:rPr>
          <w:rFonts w:hint="eastAsia" w:ascii="仿宋_GB2312" w:eastAsia="仿宋_GB2312"/>
          <w:sz w:val="32"/>
          <w:szCs w:val="32"/>
        </w:rPr>
        <w:t>：</w:t>
      </w:r>
      <w:r>
        <w:rPr>
          <w:rFonts w:hint="eastAsia" w:ascii="仿宋_GB2312" w:eastAsia="仿宋_GB2312"/>
          <w:color w:val="000000"/>
          <w:sz w:val="32"/>
          <w:szCs w:val="32"/>
        </w:rPr>
        <w:t>指反映行政单位（包括实行公务员管理的事业单位）的基本支出。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30.农林水支出（类）农业农村（款）事业运行（项）</w:t>
      </w:r>
      <w:r>
        <w:rPr>
          <w:rFonts w:hint="eastAsia" w:ascii="仿宋_GB2312" w:eastAsia="仿宋_GB2312"/>
          <w:sz w:val="32"/>
          <w:szCs w:val="32"/>
        </w:rPr>
        <w:t>：</w:t>
      </w:r>
      <w:r>
        <w:rPr>
          <w:rFonts w:hint="eastAsia" w:ascii="仿宋_GB2312" w:hAnsi="宋体" w:eastAsia="仿宋_GB2312"/>
          <w:kern w:val="0"/>
          <w:sz w:val="32"/>
          <w:szCs w:val="32"/>
        </w:rPr>
        <w:t>指反映用于农业事业单位基本支出，事业单位设施、系统运行与资产维护等方面的支出。</w:t>
      </w:r>
      <w:r>
        <w:rPr>
          <w:rFonts w:ascii="仿宋_GB2312" w:hAnsi="宋体" w:eastAsia="仿宋_GB2312"/>
          <w:kern w:val="0"/>
          <w:sz w:val="32"/>
          <w:szCs w:val="32"/>
        </w:rPr>
        <w:t xml:space="preserve"> </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31.农林水支出（类）扶贫（款）农村基础设施建设（项）</w:t>
      </w:r>
      <w:r>
        <w:rPr>
          <w:rFonts w:hint="eastAsia" w:ascii="仿宋_GB2312" w:eastAsia="仿宋_GB2312"/>
          <w:sz w:val="32"/>
          <w:szCs w:val="32"/>
        </w:rPr>
        <w:t>：</w:t>
      </w:r>
      <w:r>
        <w:rPr>
          <w:rFonts w:hint="eastAsia" w:ascii="仿宋_GB2312" w:hAnsi="宋体" w:eastAsia="仿宋_GB2312"/>
          <w:kern w:val="0"/>
          <w:sz w:val="32"/>
          <w:szCs w:val="32"/>
        </w:rPr>
        <w:t>指反映用于农村贫困地区乡村道路、住房、基本农田、水利设施、人畜饮水、生态环境保护等生产生活条件改善方面的支出。</w:t>
      </w:r>
      <w:r>
        <w:rPr>
          <w:rFonts w:ascii="仿宋_GB2312" w:hAnsi="宋体" w:eastAsia="仿宋_GB2312"/>
          <w:kern w:val="0"/>
          <w:sz w:val="32"/>
          <w:szCs w:val="32"/>
        </w:rPr>
        <w:t xml:space="preserve"> </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32.农林水支出（类）扶贫（款）生产发展（项）</w:t>
      </w:r>
      <w:r>
        <w:rPr>
          <w:rFonts w:hint="eastAsia" w:ascii="仿宋_GB2312" w:eastAsia="仿宋_GB2312"/>
          <w:sz w:val="32"/>
          <w:szCs w:val="32"/>
        </w:rPr>
        <w:t>：</w:t>
      </w:r>
      <w:r>
        <w:rPr>
          <w:rFonts w:hint="eastAsia" w:ascii="仿宋_GB2312" w:hAnsi="宋体" w:eastAsia="仿宋_GB2312"/>
          <w:kern w:val="0"/>
          <w:sz w:val="32"/>
          <w:szCs w:val="32"/>
        </w:rPr>
        <w:t>指反映用于农村贫困地区发展种植业、养殖业、畜牧业、农副产品加工、林果地建设等生产发展项目以及相关技术推广等方面的项目支出。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33.农林水支出（类）扶贫（款）其他扶贫支出（项）</w:t>
      </w:r>
      <w:r>
        <w:rPr>
          <w:rFonts w:hint="eastAsia" w:ascii="仿宋_GB2312" w:eastAsia="仿宋_GB2312"/>
          <w:sz w:val="32"/>
          <w:szCs w:val="32"/>
        </w:rPr>
        <w:t>：</w:t>
      </w:r>
      <w:r>
        <w:rPr>
          <w:rFonts w:hint="eastAsia" w:ascii="仿宋_GB2312" w:hAnsi="宋体" w:eastAsia="仿宋_GB2312"/>
          <w:kern w:val="0"/>
          <w:sz w:val="32"/>
          <w:szCs w:val="32"/>
        </w:rPr>
        <w:t>指反映除上述项目以外其他用于扶贫方面的支出。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34.农林水支出（类）农村综合改革（款）对村民委员会和村党支部的补助（项）</w:t>
      </w:r>
      <w:r>
        <w:rPr>
          <w:rFonts w:hint="eastAsia" w:ascii="仿宋_GB2312" w:eastAsia="仿宋_GB2312"/>
          <w:sz w:val="32"/>
          <w:szCs w:val="32"/>
        </w:rPr>
        <w:t>：</w:t>
      </w:r>
      <w:r>
        <w:rPr>
          <w:rFonts w:hint="eastAsia" w:ascii="仿宋_GB2312" w:hAnsi="宋体" w:eastAsia="仿宋_GB2312"/>
          <w:kern w:val="0"/>
          <w:sz w:val="32"/>
          <w:szCs w:val="32"/>
        </w:rPr>
        <w:t>指反映各级财政对村民委员会和村党支部的补助支出，以及支持建立县级基本财力保障机制安排的村级组织运转奖补资金。</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35.交通运输支出（类）公路水路运输（款）公路运输管理（项）</w:t>
      </w:r>
      <w:r>
        <w:rPr>
          <w:rFonts w:hint="eastAsia" w:ascii="仿宋_GB2312" w:eastAsia="仿宋_GB2312"/>
          <w:sz w:val="32"/>
          <w:szCs w:val="32"/>
        </w:rPr>
        <w:t>：</w:t>
      </w:r>
      <w:r>
        <w:rPr>
          <w:rFonts w:hint="eastAsia" w:ascii="仿宋_GB2312" w:eastAsia="仿宋_GB2312"/>
          <w:color w:val="000000"/>
          <w:sz w:val="32"/>
          <w:szCs w:val="32"/>
        </w:rPr>
        <w:t>指反映公路运输管理支出和公路路政管理支出。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36.住房保障支出（类）保障性安居工程支出（款）农村危房改造（项）</w:t>
      </w:r>
      <w:r>
        <w:rPr>
          <w:rFonts w:hint="eastAsia" w:ascii="仿宋_GB2312" w:eastAsia="仿宋_GB2312"/>
          <w:sz w:val="32"/>
          <w:szCs w:val="32"/>
        </w:rPr>
        <w:t>：</w:t>
      </w:r>
      <w:r>
        <w:rPr>
          <w:rFonts w:hint="eastAsia" w:ascii="仿宋_GB2312" w:hAnsi="宋体" w:eastAsia="仿宋_GB2312"/>
          <w:kern w:val="0"/>
          <w:sz w:val="32"/>
          <w:szCs w:val="32"/>
        </w:rPr>
        <w:t>指反映用于农村危房改造方面的支出。</w:t>
      </w:r>
    </w:p>
    <w:p>
      <w:pPr>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37.住房保障支出（类）住房改革支出（款）住房公积金（项）</w:t>
      </w:r>
      <w:r>
        <w:rPr>
          <w:rFonts w:hint="eastAsia" w:ascii="仿宋_GB2312" w:eastAsia="仿宋_GB2312"/>
          <w:sz w:val="32"/>
          <w:szCs w:val="32"/>
        </w:rPr>
        <w:t>：</w:t>
      </w:r>
      <w:r>
        <w:rPr>
          <w:rFonts w:hint="eastAsia" w:ascii="仿宋_GB2312" w:hAnsi="宋体" w:eastAsia="仿宋_GB2312"/>
          <w:kern w:val="0"/>
          <w:sz w:val="32"/>
          <w:szCs w:val="32"/>
        </w:rPr>
        <w:t>指反映行政事业单位按人力资源和社会保障部、财政部规定的基本工资和津贴补贴以及规定</w:t>
      </w:r>
      <w:r>
        <w:rPr>
          <w:rFonts w:hint="eastAsia" w:ascii="仿宋_GB2312" w:hAnsi="宋体" w:eastAsia="仿宋_GB2312"/>
          <w:kern w:val="0"/>
          <w:sz w:val="32"/>
          <w:szCs w:val="32"/>
          <w:lang w:eastAsia="zh-CN"/>
        </w:rPr>
        <w:t>比例为</w:t>
      </w:r>
      <w:r>
        <w:rPr>
          <w:rFonts w:hint="eastAsia" w:ascii="仿宋_GB2312" w:hAnsi="宋体" w:eastAsia="仿宋_GB2312"/>
          <w:kern w:val="0"/>
          <w:sz w:val="32"/>
          <w:szCs w:val="32"/>
        </w:rPr>
        <w:t>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38</w:t>
      </w:r>
      <w:r>
        <w:rPr>
          <w:rFonts w:ascii="仿宋_GB2312" w:eastAsia="仿宋_GB2312"/>
          <w:color w:val="000000"/>
          <w:sz w:val="32"/>
          <w:szCs w:val="32"/>
        </w:rPr>
        <w:t>.</w:t>
      </w:r>
      <w:r>
        <w:rPr>
          <w:rFonts w:hint="eastAsia" w:ascii="仿宋_GB2312" w:eastAsia="仿宋_GB2312"/>
          <w:color w:val="000000"/>
          <w:sz w:val="32"/>
          <w:szCs w:val="32"/>
        </w:rPr>
        <w:t>基本支出</w:t>
      </w:r>
      <w:r>
        <w:rPr>
          <w:rFonts w:hint="eastAsia" w:ascii="仿宋_GB2312" w:eastAsia="仿宋_GB2312"/>
          <w:sz w:val="32"/>
          <w:szCs w:val="32"/>
        </w:rPr>
        <w:t>：</w:t>
      </w:r>
      <w:r>
        <w:rPr>
          <w:rFonts w:hint="eastAsia" w:ascii="仿宋_GB2312" w:eastAsia="仿宋_GB2312"/>
          <w:color w:val="000000"/>
          <w:sz w:val="32"/>
          <w:szCs w:val="32"/>
        </w:rPr>
        <w:t>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40</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41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Ansi="仿宋"/>
          <w:b/>
          <w:sz w:val="32"/>
          <w:szCs w:val="32"/>
        </w:rPr>
      </w:pPr>
      <w:r>
        <w:rPr>
          <w:rFonts w:hint="eastAsia" w:ascii="仿宋_GB2312" w:eastAsia="仿宋_GB2312"/>
          <w:sz w:val="32"/>
          <w:szCs w:val="32"/>
        </w:rPr>
        <w:t>42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sz w:val="44"/>
          <w:szCs w:val="44"/>
        </w:rPr>
      </w:pPr>
    </w:p>
    <w:p>
      <w:pPr>
        <w:pStyle w:val="2"/>
        <w:spacing w:before="93"/>
      </w:pPr>
    </w:p>
    <w:p>
      <w:pPr>
        <w:pStyle w:val="2"/>
        <w:spacing w:before="93"/>
      </w:pPr>
    </w:p>
    <w:p>
      <w:pPr>
        <w:pStyle w:val="2"/>
        <w:spacing w:before="93"/>
      </w:pPr>
    </w:p>
    <w:p>
      <w:pPr>
        <w:spacing w:line="600" w:lineRule="exact"/>
        <w:jc w:val="center"/>
        <w:outlineLvl w:val="0"/>
        <w:rPr>
          <w:rFonts w:ascii="黑体" w:hAnsi="黑体" w:eastAsia="黑体"/>
          <w:sz w:val="44"/>
          <w:szCs w:val="44"/>
        </w:rPr>
      </w:pPr>
    </w:p>
    <w:p>
      <w:pPr>
        <w:spacing w:line="600" w:lineRule="exact"/>
        <w:jc w:val="center"/>
        <w:outlineLvl w:val="0"/>
        <w:rPr>
          <w:rStyle w:val="24"/>
          <w:rFonts w:ascii="黑体" w:hAnsi="黑体" w:eastAsia="黑体"/>
          <w:b w:val="0"/>
        </w:rPr>
      </w:pPr>
      <w:r>
        <w:rPr>
          <w:rFonts w:hint="eastAsia" w:ascii="黑体" w:hAnsi="黑体" w:eastAsia="黑体"/>
          <w:sz w:val="44"/>
          <w:szCs w:val="44"/>
        </w:rPr>
        <w:t>第</w:t>
      </w:r>
      <w:r>
        <w:rPr>
          <w:rStyle w:val="24"/>
          <w:rFonts w:hint="eastAsia" w:ascii="黑体" w:hAnsi="黑体" w:eastAsia="黑体"/>
          <w:b w:val="0"/>
        </w:rPr>
        <w:t>四部分 附件</w:t>
      </w:r>
      <w:bookmarkEnd w:id="51"/>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384"/>
        <w:gridCol w:w="1276"/>
        <w:gridCol w:w="458"/>
        <w:gridCol w:w="1101"/>
        <w:gridCol w:w="534"/>
        <w:gridCol w:w="1189"/>
        <w:gridCol w:w="1224"/>
        <w:gridCol w:w="172"/>
        <w:gridCol w:w="2237"/>
        <w:gridCol w:w="236"/>
      </w:tblGrid>
      <w:tr>
        <w:tblPrEx>
          <w:tblCellMar>
            <w:top w:w="0" w:type="dxa"/>
            <w:left w:w="108" w:type="dxa"/>
            <w:bottom w:w="0" w:type="dxa"/>
            <w:right w:w="108" w:type="dxa"/>
          </w:tblCellMar>
        </w:tblPrEx>
        <w:trPr>
          <w:trHeight w:val="675" w:hRule="atLeast"/>
        </w:trPr>
        <w:tc>
          <w:tcPr>
            <w:tcW w:w="9575" w:type="dxa"/>
            <w:gridSpan w:val="9"/>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53" w:name="_Toc15396618"/>
            <w:r>
              <w:rPr>
                <w:rFonts w:hint="eastAsia" w:ascii="宋体" w:hAnsi="宋体" w:cs="宋体"/>
                <w:b/>
                <w:sz w:val="32"/>
                <w:szCs w:val="32"/>
              </w:rPr>
              <w:t>2020年100万元以上（含）特定目标类部门预算项目绩效目标自评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通江县农业农村局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Cs w:val="21"/>
              </w:rPr>
            </w:pPr>
            <w:r>
              <w:rPr>
                <w:rFonts w:hint="eastAsia" w:ascii="宋体" w:hAnsi="宋体" w:cs="宋体"/>
                <w:szCs w:val="21"/>
              </w:rPr>
              <w:t>通江县至诚镇人民政府</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150</w:t>
            </w:r>
          </w:p>
        </w:tc>
      </w:tr>
      <w:tr>
        <w:tblPrEx>
          <w:tblCellMar>
            <w:top w:w="0" w:type="dxa"/>
            <w:left w:w="108" w:type="dxa"/>
            <w:bottom w:w="0" w:type="dxa"/>
            <w:right w:w="108" w:type="dxa"/>
          </w:tblCellMar>
        </w:tblPrEx>
        <w:trPr>
          <w:gridAfter w:val="1"/>
          <w:wAfter w:w="236" w:type="dxa"/>
          <w:trHeight w:val="555"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150</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558"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Cs w:val="21"/>
              </w:rPr>
            </w:pPr>
            <w:r>
              <w:rPr>
                <w:rFonts w:hint="eastAsia" w:ascii="宋体" w:hAnsi="宋体" w:cs="宋体"/>
                <w:szCs w:val="21"/>
              </w:rPr>
              <w:t>2020年计划申请150万元东西部扶贫协作资金，在我镇九子坡村、沙坝子村、快活岭村和洪山塘村发展天麻产业。</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Cs w:val="21"/>
              </w:rPr>
            </w:pPr>
            <w:r>
              <w:rPr>
                <w:rFonts w:hint="eastAsia" w:ascii="宋体" w:hAnsi="宋体" w:cs="宋体"/>
                <w:szCs w:val="21"/>
              </w:rPr>
              <w:t>2020年计划目标全面完成，改善了贫困户的生产生活条件，促进了社会经济发展，让惠民政策落到了实处。</w:t>
            </w:r>
          </w:p>
        </w:tc>
      </w:tr>
      <w:tr>
        <w:tblPrEx>
          <w:tblCellMar>
            <w:top w:w="0" w:type="dxa"/>
            <w:left w:w="108" w:type="dxa"/>
            <w:bottom w:w="0" w:type="dxa"/>
            <w:right w:w="108" w:type="dxa"/>
          </w:tblCellMar>
        </w:tblPrEx>
        <w:trPr>
          <w:gridAfter w:val="1"/>
          <w:wAfter w:w="236" w:type="dxa"/>
          <w:trHeight w:val="693" w:hRule="atLeast"/>
        </w:trPr>
        <w:tc>
          <w:tcPr>
            <w:tcW w:w="13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数量指标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天麻产业发展户数</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color w:val="000000"/>
                <w:sz w:val="24"/>
              </w:rPr>
              <w:t>≥300户</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color w:val="000000"/>
                <w:sz w:val="24"/>
              </w:rPr>
              <w:t>350户</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质量指标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项目验收合格率</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≥80%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81%</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时效指标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项目完成及时率</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成本指标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补助资金</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≥150万元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150万元</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经济效益  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促进村集体经济发展收入</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≥0.8万元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0.8万元</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社会效益  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带动建档立卡贫困户脱贫增收</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color w:val="000000"/>
                <w:sz w:val="24"/>
              </w:rPr>
              <w:t>≥300户</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color w:val="000000"/>
                <w:sz w:val="24"/>
              </w:rPr>
              <w:t>350户</w:t>
            </w:r>
          </w:p>
        </w:tc>
      </w:tr>
      <w:tr>
        <w:tblPrEx>
          <w:tblCellMar>
            <w:top w:w="0" w:type="dxa"/>
            <w:left w:w="108" w:type="dxa"/>
            <w:bottom w:w="0" w:type="dxa"/>
            <w:right w:w="108" w:type="dxa"/>
          </w:tblCellMar>
        </w:tblPrEx>
        <w:trPr>
          <w:gridAfter w:val="1"/>
          <w:wAfter w:w="236" w:type="dxa"/>
          <w:trHeight w:val="577"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社会效益  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增加建档立卡贫困户经济收入</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≥0.2万元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0.2万元</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可持续影响指标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产业发展持续性</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可持续</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可持续</w:t>
            </w:r>
          </w:p>
        </w:tc>
      </w:tr>
      <w:tr>
        <w:tblPrEx>
          <w:tblCellMar>
            <w:top w:w="0" w:type="dxa"/>
            <w:left w:w="108" w:type="dxa"/>
            <w:bottom w:w="0" w:type="dxa"/>
            <w:right w:w="108" w:type="dxa"/>
          </w:tblCellMar>
        </w:tblPrEx>
        <w:trPr>
          <w:gridAfter w:val="1"/>
          <w:wAfter w:w="236" w:type="dxa"/>
          <w:trHeight w:val="530" w:hRule="atLeast"/>
        </w:trPr>
        <w:tc>
          <w:tcPr>
            <w:tcW w:w="138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满意度</w:t>
            </w:r>
          </w:p>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受益群众满意度</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99%</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2"/>
        <w:spacing w:before="93"/>
      </w:pPr>
    </w:p>
    <w:p>
      <w:pPr>
        <w:pStyle w:val="2"/>
        <w:spacing w:before="93"/>
      </w:pP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384"/>
        <w:gridCol w:w="1276"/>
        <w:gridCol w:w="458"/>
        <w:gridCol w:w="1101"/>
        <w:gridCol w:w="534"/>
        <w:gridCol w:w="1189"/>
        <w:gridCol w:w="1224"/>
        <w:gridCol w:w="172"/>
        <w:gridCol w:w="2237"/>
        <w:gridCol w:w="236"/>
      </w:tblGrid>
      <w:tr>
        <w:tblPrEx>
          <w:tblCellMar>
            <w:top w:w="0" w:type="dxa"/>
            <w:left w:w="108" w:type="dxa"/>
            <w:bottom w:w="0" w:type="dxa"/>
            <w:right w:w="108" w:type="dxa"/>
          </w:tblCellMar>
        </w:tblPrEx>
        <w:trPr>
          <w:trHeight w:val="675" w:hRule="atLeast"/>
        </w:trPr>
        <w:tc>
          <w:tcPr>
            <w:tcW w:w="9575" w:type="dxa"/>
            <w:gridSpan w:val="9"/>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2020年100万元以上（含）特定目标类部门预算项目绩效目标自评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通江县交通运输局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Cs w:val="21"/>
              </w:rPr>
            </w:pPr>
            <w:r>
              <w:rPr>
                <w:rFonts w:hint="eastAsia" w:ascii="宋体" w:hAnsi="宋体" w:cs="宋体"/>
                <w:szCs w:val="21"/>
              </w:rPr>
              <w:t>通江县至诚镇人民政府</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162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162</w:t>
            </w:r>
          </w:p>
        </w:tc>
      </w:tr>
      <w:tr>
        <w:tblPrEx>
          <w:tblCellMar>
            <w:top w:w="0" w:type="dxa"/>
            <w:left w:w="108" w:type="dxa"/>
            <w:bottom w:w="0" w:type="dxa"/>
            <w:right w:w="108" w:type="dxa"/>
          </w:tblCellMar>
        </w:tblPrEx>
        <w:trPr>
          <w:gridAfter w:val="1"/>
          <w:wAfter w:w="236" w:type="dxa"/>
          <w:trHeight w:val="555"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162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162</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558"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2020年计划申请162万元财政资金，完善农村道路建设短板。</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Cs w:val="21"/>
              </w:rPr>
            </w:pPr>
            <w:r>
              <w:rPr>
                <w:rFonts w:hint="eastAsia" w:ascii="宋体" w:hAnsi="宋体" w:cs="宋体"/>
                <w:szCs w:val="21"/>
              </w:rPr>
              <w:t>2020年计划目标全面完成，解决了农村道路建设短板，进一步完善基础设施建设，解决群众出行困难的问题，提高群众的生产生活质量。</w:t>
            </w:r>
          </w:p>
        </w:tc>
      </w:tr>
      <w:tr>
        <w:tblPrEx>
          <w:tblCellMar>
            <w:top w:w="0" w:type="dxa"/>
            <w:left w:w="108" w:type="dxa"/>
            <w:bottom w:w="0" w:type="dxa"/>
            <w:right w:w="108" w:type="dxa"/>
          </w:tblCellMar>
        </w:tblPrEx>
        <w:trPr>
          <w:gridAfter w:val="1"/>
          <w:wAfter w:w="236" w:type="dxa"/>
          <w:trHeight w:val="693" w:hRule="atLeast"/>
        </w:trPr>
        <w:tc>
          <w:tcPr>
            <w:tcW w:w="13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硬化</w:t>
            </w:r>
            <w:r>
              <w:rPr>
                <w:rFonts w:hint="eastAsia" w:ascii="仿宋_GB2312" w:hAnsi="仿宋_GB2312" w:eastAsia="仿宋_GB2312" w:cs="仿宋_GB2312"/>
                <w:sz w:val="24"/>
                <w:lang w:eastAsia="zh-CN"/>
              </w:rPr>
              <w:t>公路</w:t>
            </w:r>
            <w:r>
              <w:rPr>
                <w:rFonts w:hint="eastAsia" w:ascii="仿宋_GB2312" w:hAnsi="仿宋_GB2312" w:eastAsia="仿宋_GB2312" w:cs="仿宋_GB2312"/>
                <w:sz w:val="24"/>
              </w:rPr>
              <w:t>里程</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≥2公里</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2.9公里</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项目验收合格率</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108" w:type="dxa"/>
            <w:bottom w:w="0" w:type="dxa"/>
            <w:right w:w="108" w:type="dxa"/>
          </w:tblCellMar>
        </w:tblPrEx>
        <w:trPr>
          <w:gridAfter w:val="1"/>
          <w:wAfter w:w="236" w:type="dxa"/>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项目（工程）完成及时率</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道路补助标准万/公里</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≥55万元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55万元</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促进村集体经济发展收入</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≥0.3万元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0.5万元</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贫困地区建制村通客车率</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108" w:type="dxa"/>
            <w:bottom w:w="0" w:type="dxa"/>
            <w:right w:w="108" w:type="dxa"/>
          </w:tblCellMar>
        </w:tblPrEx>
        <w:trPr>
          <w:gridAfter w:val="1"/>
          <w:wAfter w:w="236" w:type="dxa"/>
          <w:trHeight w:val="577"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贫困地区居民出行平均缩短时间</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≥0.5小时</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0.5小时</w:t>
            </w:r>
          </w:p>
        </w:tc>
      </w:tr>
      <w:tr>
        <w:tblPrEx>
          <w:tblCellMar>
            <w:top w:w="0" w:type="dxa"/>
            <w:left w:w="108" w:type="dxa"/>
            <w:bottom w:w="0" w:type="dxa"/>
            <w:right w:w="108" w:type="dxa"/>
          </w:tblCellMar>
        </w:tblPrEx>
        <w:trPr>
          <w:gridAfter w:val="1"/>
          <w:wAfter w:w="236" w:type="dxa"/>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新建公路列养率</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108" w:type="dxa"/>
            <w:bottom w:w="0" w:type="dxa"/>
            <w:right w:w="108" w:type="dxa"/>
          </w:tblCellMar>
        </w:tblPrEx>
        <w:trPr>
          <w:gridAfter w:val="1"/>
          <w:wAfter w:w="236" w:type="dxa"/>
          <w:trHeight w:val="530" w:hRule="atLeast"/>
        </w:trPr>
        <w:tc>
          <w:tcPr>
            <w:tcW w:w="138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受益群众满意度</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99%</w:t>
            </w:r>
          </w:p>
        </w:tc>
      </w:tr>
    </w:tbl>
    <w:p>
      <w:pPr>
        <w:pStyle w:val="2"/>
        <w:spacing w:before="93"/>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2"/>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65"/>
    </w:p>
    <w:p>
      <w:pPr>
        <w:pStyle w:val="4"/>
        <w:rPr>
          <w:rStyle w:val="25"/>
          <w:rFonts w:ascii="仿宋" w:hAnsi="仿宋" w:eastAsia="仿宋"/>
          <w:b w:val="0"/>
          <w:bCs w:val="0"/>
        </w:rPr>
      </w:pPr>
      <w:bookmarkStart w:id="66" w:name="_Toc15396631"/>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rPr>
          <w:rFonts w:eastAsia="仿宋"/>
        </w:rPr>
      </w:pPr>
      <w:r>
        <w:rPr>
          <w:rStyle w:val="25"/>
          <w:rFonts w:hint="eastAsia" w:ascii="仿宋" w:hAnsi="仿宋" w:eastAsia="仿宋"/>
          <w:b w:val="0"/>
          <w:bCs w:val="0"/>
        </w:rPr>
        <w:t>十四、国有资本经营预算财政拨款支出决算表</w:t>
      </w:r>
    </w:p>
    <w:bookmarkEnd w:id="66"/>
    <w:p>
      <w:pPr>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F1361C"/>
    <w:rsid w:val="000222C6"/>
    <w:rsid w:val="00023D5B"/>
    <w:rsid w:val="0002549F"/>
    <w:rsid w:val="000468DB"/>
    <w:rsid w:val="0006487A"/>
    <w:rsid w:val="00065F8F"/>
    <w:rsid w:val="00070A43"/>
    <w:rsid w:val="00076519"/>
    <w:rsid w:val="000768F2"/>
    <w:rsid w:val="000840CC"/>
    <w:rsid w:val="0009184B"/>
    <w:rsid w:val="00094236"/>
    <w:rsid w:val="0009593C"/>
    <w:rsid w:val="00097322"/>
    <w:rsid w:val="000A1389"/>
    <w:rsid w:val="000A6A92"/>
    <w:rsid w:val="000B047F"/>
    <w:rsid w:val="000B5923"/>
    <w:rsid w:val="000B5A48"/>
    <w:rsid w:val="000B6FF3"/>
    <w:rsid w:val="000C3467"/>
    <w:rsid w:val="000C3CA6"/>
    <w:rsid w:val="000D1267"/>
    <w:rsid w:val="000D1D50"/>
    <w:rsid w:val="000D3F0F"/>
    <w:rsid w:val="000D5782"/>
    <w:rsid w:val="000E6613"/>
    <w:rsid w:val="000E7119"/>
    <w:rsid w:val="00114E9B"/>
    <w:rsid w:val="001217DC"/>
    <w:rsid w:val="00142216"/>
    <w:rsid w:val="00144D6A"/>
    <w:rsid w:val="0014729F"/>
    <w:rsid w:val="00157BAB"/>
    <w:rsid w:val="001654D1"/>
    <w:rsid w:val="00174518"/>
    <w:rsid w:val="001771C9"/>
    <w:rsid w:val="0018106D"/>
    <w:rsid w:val="001877A7"/>
    <w:rsid w:val="00191536"/>
    <w:rsid w:val="00196687"/>
    <w:rsid w:val="001B4D98"/>
    <w:rsid w:val="001C0962"/>
    <w:rsid w:val="001D7531"/>
    <w:rsid w:val="001E737D"/>
    <w:rsid w:val="001F0592"/>
    <w:rsid w:val="001F67DB"/>
    <w:rsid w:val="001F7506"/>
    <w:rsid w:val="002006CD"/>
    <w:rsid w:val="00202B36"/>
    <w:rsid w:val="00204B7A"/>
    <w:rsid w:val="00204CDE"/>
    <w:rsid w:val="0021101A"/>
    <w:rsid w:val="00211893"/>
    <w:rsid w:val="00220536"/>
    <w:rsid w:val="00235629"/>
    <w:rsid w:val="00253105"/>
    <w:rsid w:val="00260C38"/>
    <w:rsid w:val="002616C0"/>
    <w:rsid w:val="00264C06"/>
    <w:rsid w:val="00265372"/>
    <w:rsid w:val="002662AA"/>
    <w:rsid w:val="00280496"/>
    <w:rsid w:val="00294DC9"/>
    <w:rsid w:val="00295495"/>
    <w:rsid w:val="002A31DE"/>
    <w:rsid w:val="002B2613"/>
    <w:rsid w:val="002D6D05"/>
    <w:rsid w:val="002E676A"/>
    <w:rsid w:val="002F1818"/>
    <w:rsid w:val="002F567B"/>
    <w:rsid w:val="002F7437"/>
    <w:rsid w:val="003216A9"/>
    <w:rsid w:val="00335A74"/>
    <w:rsid w:val="0036561B"/>
    <w:rsid w:val="0037013F"/>
    <w:rsid w:val="00380C92"/>
    <w:rsid w:val="003820C7"/>
    <w:rsid w:val="003A01CC"/>
    <w:rsid w:val="003A3A94"/>
    <w:rsid w:val="003A484F"/>
    <w:rsid w:val="003A4883"/>
    <w:rsid w:val="003B0BE0"/>
    <w:rsid w:val="003B0C1B"/>
    <w:rsid w:val="003B688C"/>
    <w:rsid w:val="003C0291"/>
    <w:rsid w:val="003C39AE"/>
    <w:rsid w:val="003C7B60"/>
    <w:rsid w:val="003D0C0F"/>
    <w:rsid w:val="003D1FB2"/>
    <w:rsid w:val="003D66DA"/>
    <w:rsid w:val="003E1310"/>
    <w:rsid w:val="003E6F55"/>
    <w:rsid w:val="004027EA"/>
    <w:rsid w:val="00406254"/>
    <w:rsid w:val="004223DE"/>
    <w:rsid w:val="004223F1"/>
    <w:rsid w:val="00431A47"/>
    <w:rsid w:val="00434489"/>
    <w:rsid w:val="00437085"/>
    <w:rsid w:val="00443880"/>
    <w:rsid w:val="00445578"/>
    <w:rsid w:val="004464F4"/>
    <w:rsid w:val="0046687F"/>
    <w:rsid w:val="00471401"/>
    <w:rsid w:val="00473F31"/>
    <w:rsid w:val="0048263A"/>
    <w:rsid w:val="00487E5D"/>
    <w:rsid w:val="004A711F"/>
    <w:rsid w:val="004B199D"/>
    <w:rsid w:val="004B4690"/>
    <w:rsid w:val="004C7713"/>
    <w:rsid w:val="004E0A2D"/>
    <w:rsid w:val="004E206B"/>
    <w:rsid w:val="004E25E8"/>
    <w:rsid w:val="004E6DF7"/>
    <w:rsid w:val="004F0FBD"/>
    <w:rsid w:val="00505A47"/>
    <w:rsid w:val="00510494"/>
    <w:rsid w:val="00512FDA"/>
    <w:rsid w:val="00516317"/>
    <w:rsid w:val="00520DA0"/>
    <w:rsid w:val="00530850"/>
    <w:rsid w:val="005664BB"/>
    <w:rsid w:val="00566FFA"/>
    <w:rsid w:val="00573BC2"/>
    <w:rsid w:val="0057481D"/>
    <w:rsid w:val="0058486E"/>
    <w:rsid w:val="00585B33"/>
    <w:rsid w:val="0059014D"/>
    <w:rsid w:val="005907A3"/>
    <w:rsid w:val="005B5C64"/>
    <w:rsid w:val="005C5337"/>
    <w:rsid w:val="005C6BD0"/>
    <w:rsid w:val="005D1C8B"/>
    <w:rsid w:val="005D468D"/>
    <w:rsid w:val="005D5CED"/>
    <w:rsid w:val="005E16FF"/>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54194"/>
    <w:rsid w:val="00756DDB"/>
    <w:rsid w:val="0076182A"/>
    <w:rsid w:val="00767B7E"/>
    <w:rsid w:val="007770C3"/>
    <w:rsid w:val="00784446"/>
    <w:rsid w:val="00784D24"/>
    <w:rsid w:val="00785FBA"/>
    <w:rsid w:val="00786E4A"/>
    <w:rsid w:val="007875EB"/>
    <w:rsid w:val="0079426B"/>
    <w:rsid w:val="007D1682"/>
    <w:rsid w:val="007D312A"/>
    <w:rsid w:val="007D3F19"/>
    <w:rsid w:val="007E23B0"/>
    <w:rsid w:val="007E23E5"/>
    <w:rsid w:val="007E5AAE"/>
    <w:rsid w:val="007F1991"/>
    <w:rsid w:val="007F2C2F"/>
    <w:rsid w:val="007F4687"/>
    <w:rsid w:val="007F55FC"/>
    <w:rsid w:val="007F5665"/>
    <w:rsid w:val="007F58F8"/>
    <w:rsid w:val="00800112"/>
    <w:rsid w:val="00813348"/>
    <w:rsid w:val="008217A9"/>
    <w:rsid w:val="008253BB"/>
    <w:rsid w:val="0083706E"/>
    <w:rsid w:val="008408F6"/>
    <w:rsid w:val="008423A5"/>
    <w:rsid w:val="00843A57"/>
    <w:rsid w:val="00850625"/>
    <w:rsid w:val="00853718"/>
    <w:rsid w:val="00854492"/>
    <w:rsid w:val="00855221"/>
    <w:rsid w:val="00860645"/>
    <w:rsid w:val="00871F71"/>
    <w:rsid w:val="00872FD8"/>
    <w:rsid w:val="00885AF4"/>
    <w:rsid w:val="008939CD"/>
    <w:rsid w:val="008B768C"/>
    <w:rsid w:val="008C4DB1"/>
    <w:rsid w:val="008C4EAF"/>
    <w:rsid w:val="008C5176"/>
    <w:rsid w:val="008C7FD0"/>
    <w:rsid w:val="008E1DE7"/>
    <w:rsid w:val="008E40F9"/>
    <w:rsid w:val="008E707C"/>
    <w:rsid w:val="00900B08"/>
    <w:rsid w:val="00902155"/>
    <w:rsid w:val="00902FA3"/>
    <w:rsid w:val="00912054"/>
    <w:rsid w:val="00923564"/>
    <w:rsid w:val="00923718"/>
    <w:rsid w:val="0092392E"/>
    <w:rsid w:val="009250F2"/>
    <w:rsid w:val="009315F9"/>
    <w:rsid w:val="00933499"/>
    <w:rsid w:val="00935C98"/>
    <w:rsid w:val="00946945"/>
    <w:rsid w:val="00951248"/>
    <w:rsid w:val="0095152F"/>
    <w:rsid w:val="00954C49"/>
    <w:rsid w:val="00955E37"/>
    <w:rsid w:val="0097099F"/>
    <w:rsid w:val="00971997"/>
    <w:rsid w:val="00971FFC"/>
    <w:rsid w:val="0097531E"/>
    <w:rsid w:val="0098660A"/>
    <w:rsid w:val="00990BAC"/>
    <w:rsid w:val="009931C3"/>
    <w:rsid w:val="009A7E6D"/>
    <w:rsid w:val="009B2C43"/>
    <w:rsid w:val="009B4EAE"/>
    <w:rsid w:val="009B7573"/>
    <w:rsid w:val="009C22F4"/>
    <w:rsid w:val="009C2A4B"/>
    <w:rsid w:val="009C2E98"/>
    <w:rsid w:val="009D3447"/>
    <w:rsid w:val="009D4711"/>
    <w:rsid w:val="009E17CF"/>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52B3"/>
    <w:rsid w:val="00A56DF2"/>
    <w:rsid w:val="00A56E6E"/>
    <w:rsid w:val="00A67AB5"/>
    <w:rsid w:val="00A733B2"/>
    <w:rsid w:val="00A741C2"/>
    <w:rsid w:val="00A85C0F"/>
    <w:rsid w:val="00A91760"/>
    <w:rsid w:val="00A93B00"/>
    <w:rsid w:val="00A93C21"/>
    <w:rsid w:val="00AA57BE"/>
    <w:rsid w:val="00AB64C9"/>
    <w:rsid w:val="00AC3C6A"/>
    <w:rsid w:val="00AC70FF"/>
    <w:rsid w:val="00AD5620"/>
    <w:rsid w:val="00AD656B"/>
    <w:rsid w:val="00AD7C1B"/>
    <w:rsid w:val="00AE16BA"/>
    <w:rsid w:val="00AE1EBE"/>
    <w:rsid w:val="00AF2C24"/>
    <w:rsid w:val="00AF5BDE"/>
    <w:rsid w:val="00B03C9D"/>
    <w:rsid w:val="00B060AE"/>
    <w:rsid w:val="00B10517"/>
    <w:rsid w:val="00B1068C"/>
    <w:rsid w:val="00B14E76"/>
    <w:rsid w:val="00B161B8"/>
    <w:rsid w:val="00B2048C"/>
    <w:rsid w:val="00B310B9"/>
    <w:rsid w:val="00B357F1"/>
    <w:rsid w:val="00B35F3F"/>
    <w:rsid w:val="00B36CBB"/>
    <w:rsid w:val="00B4153B"/>
    <w:rsid w:val="00B425E0"/>
    <w:rsid w:val="00B440AA"/>
    <w:rsid w:val="00B44B70"/>
    <w:rsid w:val="00B53C56"/>
    <w:rsid w:val="00B57713"/>
    <w:rsid w:val="00B57DAF"/>
    <w:rsid w:val="00B77EA6"/>
    <w:rsid w:val="00B81598"/>
    <w:rsid w:val="00B841F1"/>
    <w:rsid w:val="00B944D6"/>
    <w:rsid w:val="00B96E9E"/>
    <w:rsid w:val="00BB4DF0"/>
    <w:rsid w:val="00BC166F"/>
    <w:rsid w:val="00BC289F"/>
    <w:rsid w:val="00BC2D50"/>
    <w:rsid w:val="00BC5190"/>
    <w:rsid w:val="00BC5361"/>
    <w:rsid w:val="00BC5460"/>
    <w:rsid w:val="00BC6B50"/>
    <w:rsid w:val="00BD0E25"/>
    <w:rsid w:val="00BF5BD6"/>
    <w:rsid w:val="00BF5CD9"/>
    <w:rsid w:val="00BF6E8A"/>
    <w:rsid w:val="00C03E31"/>
    <w:rsid w:val="00C06FC8"/>
    <w:rsid w:val="00C33E72"/>
    <w:rsid w:val="00C354B2"/>
    <w:rsid w:val="00C35554"/>
    <w:rsid w:val="00C42709"/>
    <w:rsid w:val="00C533CC"/>
    <w:rsid w:val="00C5751C"/>
    <w:rsid w:val="00C61BFC"/>
    <w:rsid w:val="00C62B85"/>
    <w:rsid w:val="00C65438"/>
    <w:rsid w:val="00C860AF"/>
    <w:rsid w:val="00C87FD8"/>
    <w:rsid w:val="00C91381"/>
    <w:rsid w:val="00C91CBB"/>
    <w:rsid w:val="00CB4E70"/>
    <w:rsid w:val="00CC09B6"/>
    <w:rsid w:val="00CC41D5"/>
    <w:rsid w:val="00CC666F"/>
    <w:rsid w:val="00CD1E3F"/>
    <w:rsid w:val="00CE44F6"/>
    <w:rsid w:val="00CE49DA"/>
    <w:rsid w:val="00CE679A"/>
    <w:rsid w:val="00CE7B61"/>
    <w:rsid w:val="00D00095"/>
    <w:rsid w:val="00D02101"/>
    <w:rsid w:val="00D114F0"/>
    <w:rsid w:val="00D20620"/>
    <w:rsid w:val="00D254F7"/>
    <w:rsid w:val="00D26091"/>
    <w:rsid w:val="00D2685C"/>
    <w:rsid w:val="00D34E7C"/>
    <w:rsid w:val="00D35489"/>
    <w:rsid w:val="00D36AFE"/>
    <w:rsid w:val="00D51276"/>
    <w:rsid w:val="00D7035F"/>
    <w:rsid w:val="00D86353"/>
    <w:rsid w:val="00DA634F"/>
    <w:rsid w:val="00DA65AC"/>
    <w:rsid w:val="00DB040C"/>
    <w:rsid w:val="00DB1913"/>
    <w:rsid w:val="00DC410D"/>
    <w:rsid w:val="00DC5A81"/>
    <w:rsid w:val="00DC68CA"/>
    <w:rsid w:val="00DC7CBA"/>
    <w:rsid w:val="00DD73B7"/>
    <w:rsid w:val="00DD7678"/>
    <w:rsid w:val="00DF28BC"/>
    <w:rsid w:val="00DF34B9"/>
    <w:rsid w:val="00E01053"/>
    <w:rsid w:val="00E07ACF"/>
    <w:rsid w:val="00E23757"/>
    <w:rsid w:val="00E24632"/>
    <w:rsid w:val="00E31F07"/>
    <w:rsid w:val="00E331A1"/>
    <w:rsid w:val="00E33202"/>
    <w:rsid w:val="00E336A9"/>
    <w:rsid w:val="00E472B1"/>
    <w:rsid w:val="00E50624"/>
    <w:rsid w:val="00E561CE"/>
    <w:rsid w:val="00E568DF"/>
    <w:rsid w:val="00E64269"/>
    <w:rsid w:val="00E73641"/>
    <w:rsid w:val="00E82267"/>
    <w:rsid w:val="00E853CE"/>
    <w:rsid w:val="00E867B6"/>
    <w:rsid w:val="00EA010F"/>
    <w:rsid w:val="00ED1B63"/>
    <w:rsid w:val="00ED3C1F"/>
    <w:rsid w:val="00ED4085"/>
    <w:rsid w:val="00ED420E"/>
    <w:rsid w:val="00ED6FBE"/>
    <w:rsid w:val="00EE2A83"/>
    <w:rsid w:val="00EE2F57"/>
    <w:rsid w:val="00EF4C34"/>
    <w:rsid w:val="00EF77C6"/>
    <w:rsid w:val="00F05438"/>
    <w:rsid w:val="00F1183B"/>
    <w:rsid w:val="00F1361C"/>
    <w:rsid w:val="00F156F0"/>
    <w:rsid w:val="00F160C7"/>
    <w:rsid w:val="00F2408F"/>
    <w:rsid w:val="00F240E9"/>
    <w:rsid w:val="00F36D8F"/>
    <w:rsid w:val="00F417B1"/>
    <w:rsid w:val="00F45853"/>
    <w:rsid w:val="00F47EDA"/>
    <w:rsid w:val="00F602DF"/>
    <w:rsid w:val="00F632F5"/>
    <w:rsid w:val="00F754A1"/>
    <w:rsid w:val="00F81FD9"/>
    <w:rsid w:val="00F841AA"/>
    <w:rsid w:val="00F84A94"/>
    <w:rsid w:val="00F87E96"/>
    <w:rsid w:val="00F96866"/>
    <w:rsid w:val="00FA23E8"/>
    <w:rsid w:val="00FA3CEA"/>
    <w:rsid w:val="00FD3CC1"/>
    <w:rsid w:val="00FD7763"/>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562F0291"/>
    <w:rsid w:val="64CA39A1"/>
    <w:rsid w:val="6B3B1D20"/>
    <w:rsid w:val="6C4A05C8"/>
    <w:rsid w:val="72734D9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83627451926331"/>
          <c:y val="0.0344617371202026"/>
          <c:w val="0.505407442374079"/>
          <c:h val="0.847814670894457"/>
        </c:manualLayout>
      </c:layout>
      <c:barChart>
        <c:barDir val="col"/>
        <c:grouping val="clustered"/>
        <c:varyColors val="0"/>
        <c:ser>
          <c:idx val="0"/>
          <c:order val="0"/>
          <c:tx>
            <c:strRef>
              <c:f>Sheet1!$B$1</c:f>
              <c:strCache>
                <c:ptCount val="1"/>
                <c:pt idx="0">
                  <c:v>收入</c:v>
                </c:pt>
              </c:strCache>
            </c:strRef>
          </c:tx>
          <c:invertIfNegative val="0"/>
          <c:dLbls>
            <c:dLbl>
              <c:idx val="0"/>
              <c:layout>
                <c:manualLayout>
                  <c:x val="-0.0135920651048166"/>
                  <c:y val="-0.005647132479504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6902372253808"/>
                  <c:y val="0.02258852991801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3"/>
                <c:pt idx="0">
                  <c:v>2019年</c:v>
                </c:pt>
                <c:pt idx="2">
                  <c:v>2020年</c:v>
                </c:pt>
              </c:strCache>
            </c:strRef>
          </c:cat>
          <c:val>
            <c:numRef>
              <c:f>Sheet1!$B$2:$B$5</c:f>
              <c:numCache>
                <c:formatCode>General</c:formatCode>
                <c:ptCount val="4"/>
                <c:pt idx="0">
                  <c:v>4302</c:v>
                </c:pt>
                <c:pt idx="2">
                  <c:v>1882.24</c:v>
                </c:pt>
              </c:numCache>
            </c:numRef>
          </c:val>
        </c:ser>
        <c:ser>
          <c:idx val="1"/>
          <c:order val="1"/>
          <c:tx>
            <c:strRef>
              <c:f>Sheet1!$C$1</c:f>
              <c:strCache>
                <c:ptCount val="1"/>
                <c:pt idx="0">
                  <c:v>支出</c:v>
                </c:pt>
              </c:strCache>
            </c:strRef>
          </c:tx>
          <c:invertIfNegative val="0"/>
          <c:dLbls>
            <c:dLbl>
              <c:idx val="0"/>
              <c:layout>
                <c:manualLayout>
                  <c:x val="0.0565630267698797"/>
                  <c:y val="-0.002580880792863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17646563829234"/>
                  <c:y val="0.02258877649361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3"/>
                <c:pt idx="0">
                  <c:v>2019年</c:v>
                </c:pt>
                <c:pt idx="2">
                  <c:v>2020年</c:v>
                </c:pt>
              </c:strCache>
            </c:strRef>
          </c:cat>
          <c:val>
            <c:numRef>
              <c:f>Sheet1!$C$2:$C$5</c:f>
              <c:numCache>
                <c:formatCode>General</c:formatCode>
                <c:ptCount val="4"/>
                <c:pt idx="0">
                  <c:v>4302</c:v>
                </c:pt>
                <c:pt idx="2">
                  <c:v>1882.24</c:v>
                </c:pt>
              </c:numCache>
            </c:numRef>
          </c:val>
        </c:ser>
        <c:dLbls>
          <c:showLegendKey val="0"/>
          <c:showVal val="1"/>
          <c:showCatName val="0"/>
          <c:showSerName val="0"/>
          <c:showPercent val="0"/>
          <c:showBubbleSize val="0"/>
        </c:dLbls>
        <c:gapWidth val="150"/>
        <c:axId val="55827072"/>
        <c:axId val="56607104"/>
      </c:barChart>
      <c:catAx>
        <c:axId val="558270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607104"/>
        <c:crosses val="autoZero"/>
        <c:auto val="1"/>
        <c:lblAlgn val="ctr"/>
        <c:lblOffset val="100"/>
        <c:noMultiLvlLbl val="0"/>
      </c:catAx>
      <c:valAx>
        <c:axId val="566071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827072"/>
        <c:crosses val="autoZero"/>
        <c:crossBetween val="between"/>
      </c:valAx>
    </c:plotArea>
    <c:legend>
      <c:legendPos val="r"/>
      <c:layout>
        <c:manualLayout>
          <c:xMode val="edge"/>
          <c:yMode val="edge"/>
          <c:x val="0.641832577504526"/>
          <c:y val="0.262351990658665"/>
          <c:w val="0.12859115081888"/>
          <c:h val="0.52047263386260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a:t>本年收入</a:t>
            </a:r>
            <a:endParaRPr lang="zh-CN" altLang="en-US" sz="1200"/>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Lbls>
            <c:dLbl>
              <c:idx val="0"/>
              <c:layout>
                <c:manualLayout>
                  <c:x val="0.217765246593085"/>
                  <c:y val="-0.080545946150151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一般公共预算财政拨款收入</c:v>
                </c:pt>
              </c:strCache>
            </c:strRef>
          </c:cat>
          <c:val>
            <c:numRef>
              <c:f>Sheet1!$B$2</c:f>
              <c:numCache>
                <c:formatCode>General</c:formatCode>
                <c:ptCount val="1"/>
                <c:pt idx="0">
                  <c:v>1882.24</c:v>
                </c:pt>
              </c:numCache>
            </c:numRef>
          </c:val>
        </c:ser>
        <c:dLbls>
          <c:showLegendKey val="0"/>
          <c:showVal val="1"/>
          <c:showCatName val="0"/>
          <c:showSerName val="0"/>
          <c:showPercent val="1"/>
          <c:showBubbleSize val="0"/>
          <c:showLeaderLines val="1"/>
        </c:dLbls>
        <c:firstSliceAng val="0"/>
      </c:pieChart>
    </c:plotArea>
    <c:legend>
      <c:legendPos val="r"/>
      <c:layout>
        <c:manualLayout>
          <c:xMode val="edge"/>
          <c:yMode val="edge"/>
          <c:x val="0.656663267732824"/>
          <c:y val="0.173284341659936"/>
          <c:w val="0.318512570082653"/>
          <c:h val="0.46125716495765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t>本年支出</a:t>
            </a:r>
            <a:endParaRPr lang="zh-CN" altLang="en-US"/>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Lbls>
            <c:dLbl>
              <c:idx val="0"/>
              <c:layout>
                <c:manualLayout>
                  <c:x val="0.0411065905398552"/>
                  <c:y val="0.22206709194828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522659975158531"/>
                  <c:y val="-0.26456258741584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1038.33</c:v>
                </c:pt>
                <c:pt idx="1">
                  <c:v>843.91</c:v>
                </c:pt>
              </c:numCache>
            </c:numRef>
          </c:val>
        </c:ser>
        <c:dLbls>
          <c:showLegendKey val="0"/>
          <c:showVal val="1"/>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财政拨款收入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4302</c:v>
                </c:pt>
                <c:pt idx="1">
                  <c:v>1882.24</c:v>
                </c:pt>
              </c:numCache>
            </c:numRef>
          </c:val>
        </c:ser>
        <c:ser>
          <c:idx val="1"/>
          <c:order val="1"/>
          <c:tx>
            <c:strRef>
              <c:f>Sheet1!$C$1</c:f>
              <c:strCache>
                <c:ptCount val="1"/>
                <c:pt idx="0">
                  <c:v>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Sheet1!$C$2:$C$3</c:f>
              <c:numCache>
                <c:formatCode>General</c:formatCode>
                <c:ptCount val="2"/>
                <c:pt idx="0">
                  <c:v>4302</c:v>
                </c:pt>
                <c:pt idx="1">
                  <c:v>1882.24</c:v>
                </c:pt>
              </c:numCache>
            </c:numRef>
          </c:val>
        </c:ser>
        <c:dLbls>
          <c:showLegendKey val="0"/>
          <c:showVal val="1"/>
          <c:showCatName val="0"/>
          <c:showSerName val="0"/>
          <c:showPercent val="0"/>
          <c:showBubbleSize val="0"/>
        </c:dLbls>
        <c:gapWidth val="150"/>
        <c:overlap val="100"/>
        <c:axId val="56651136"/>
        <c:axId val="56661120"/>
      </c:barChart>
      <c:catAx>
        <c:axId val="566511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661120"/>
        <c:crosses val="autoZero"/>
        <c:auto val="1"/>
        <c:lblAlgn val="ctr"/>
        <c:lblOffset val="100"/>
        <c:noMultiLvlLbl val="0"/>
      </c:catAx>
      <c:valAx>
        <c:axId val="566611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6511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c:v>
                </c:pt>
                <c:pt idx="1">
                  <c:v>2020年</c:v>
                </c:pt>
              </c:strCache>
            </c:strRef>
          </c:cat>
          <c:val>
            <c:numRef>
              <c:f>Sheet1!$B$2:$B$3</c:f>
              <c:numCache>
                <c:formatCode>General</c:formatCode>
                <c:ptCount val="2"/>
                <c:pt idx="0">
                  <c:v>3701</c:v>
                </c:pt>
                <c:pt idx="1">
                  <c:v>1882.24</c:v>
                </c:pt>
              </c:numCache>
            </c:numRef>
          </c:val>
        </c:ser>
        <c:dLbls>
          <c:showLegendKey val="0"/>
          <c:showVal val="1"/>
          <c:showCatName val="0"/>
          <c:showSerName val="0"/>
          <c:showPercent val="0"/>
          <c:showBubbleSize val="0"/>
        </c:dLbls>
        <c:gapWidth val="150"/>
        <c:axId val="56677120"/>
        <c:axId val="56678656"/>
      </c:barChart>
      <c:catAx>
        <c:axId val="566771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678656"/>
        <c:crosses val="autoZero"/>
        <c:auto val="1"/>
        <c:lblAlgn val="ctr"/>
        <c:lblOffset val="100"/>
        <c:noMultiLvlLbl val="0"/>
      </c:catAx>
      <c:valAx>
        <c:axId val="566786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6771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400" b="1" i="0" u="none" strike="noStrike" baseline="0"/>
              <a:t>一般公共预算财政拨款支出</a:t>
            </a:r>
            <a:endParaRPr lang="zh-CN" altLang="en-US" sz="1400"/>
          </a:p>
        </c:rich>
      </c:tx>
      <c:layout/>
      <c:overlay val="0"/>
    </c:title>
    <c:autoTitleDeleted val="0"/>
    <c:plotArea>
      <c:layout>
        <c:manualLayout>
          <c:layoutTarget val="inner"/>
          <c:xMode val="edge"/>
          <c:yMode val="edge"/>
          <c:x val="0.0892982799550505"/>
          <c:y val="0.256629084556752"/>
          <c:w val="0.299752855608952"/>
          <c:h val="0.591470847463483"/>
        </c:manualLayout>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0"/>
              <c:layout>
                <c:manualLayout>
                  <c:x val="0.0862690734103497"/>
                  <c:y val="-0.1033736501399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410869066695052"/>
                  <c:y val="-0.20165498488340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470301238258055"/>
                  <c:y val="-0.14771027297982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682224249511894"/>
                  <c:y val="-0.090040241625960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786838230619043"/>
                  <c:y val="0.012883381748507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0385593828784196"/>
                  <c:y val="0.10739746032663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00739022095472964"/>
                  <c:y val="-0.032826932815620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7"/>
              <c:layout>
                <c:manualLayout>
                  <c:x val="-0.0564126093289775"/>
                  <c:y val="-0.13246751049915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Sheet1!$A$2:$A$11</c:f>
              <c:strCache>
                <c:ptCount val="10"/>
                <c:pt idx="0">
                  <c:v>一般公共服务支出</c:v>
                </c:pt>
                <c:pt idx="1">
                  <c:v>文化旅游体育与传媒支出</c:v>
                </c:pt>
                <c:pt idx="2">
                  <c:v>社会保障和就业支出</c:v>
                </c:pt>
                <c:pt idx="3">
                  <c:v>卫生健康支出</c:v>
                </c:pt>
                <c:pt idx="4">
                  <c:v>节能环保支出</c:v>
                </c:pt>
                <c:pt idx="5">
                  <c:v>城乡社区支出</c:v>
                </c:pt>
                <c:pt idx="6">
                  <c:v>农林水支出</c:v>
                </c:pt>
                <c:pt idx="7">
                  <c:v>交通运输支出</c:v>
                </c:pt>
                <c:pt idx="8">
                  <c:v>商业服务业等支出</c:v>
                </c:pt>
                <c:pt idx="9">
                  <c:v>住房保障支出</c:v>
                </c:pt>
              </c:strCache>
            </c:strRef>
          </c:cat>
          <c:val>
            <c:numRef>
              <c:f>Sheet1!$B$2:$B$11</c:f>
              <c:numCache>
                <c:formatCode>General</c:formatCode>
                <c:ptCount val="10"/>
                <c:pt idx="0">
                  <c:v>475.23</c:v>
                </c:pt>
                <c:pt idx="1">
                  <c:v>51.12</c:v>
                </c:pt>
                <c:pt idx="2">
                  <c:v>134.86</c:v>
                </c:pt>
                <c:pt idx="3">
                  <c:v>37.54</c:v>
                </c:pt>
                <c:pt idx="4">
                  <c:v>0.51</c:v>
                </c:pt>
                <c:pt idx="5">
                  <c:v>23.12</c:v>
                </c:pt>
                <c:pt idx="6">
                  <c:v>1089.18</c:v>
                </c:pt>
                <c:pt idx="7">
                  <c:v>22.64</c:v>
                </c:pt>
                <c:pt idx="8">
                  <c:v>5.6</c:v>
                </c:pt>
                <c:pt idx="9">
                  <c:v>42.44</c:v>
                </c:pt>
              </c:numCache>
            </c:numRef>
          </c:val>
        </c:ser>
        <c:dLbls>
          <c:showLegendKey val="0"/>
          <c:showVal val="1"/>
          <c:showCatName val="0"/>
          <c:showSerName val="0"/>
          <c:showPercent val="1"/>
          <c:showBubbleSize val="0"/>
          <c:showLeaderLines val="1"/>
        </c:dLbls>
        <c:firstSliceAng val="0"/>
      </c:pieChart>
    </c:plotArea>
    <c:legend>
      <c:legendPos val="r"/>
      <c:layout>
        <c:manualLayout>
          <c:xMode val="edge"/>
          <c:yMode val="edge"/>
          <c:x val="0.740476877312452"/>
          <c:y val="0.0518506954270304"/>
          <c:w val="0.231963359403216"/>
          <c:h val="0.90703969433420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0B38F-72C5-403C-A9E2-62EC15D672E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8895</Words>
  <Characters>10695</Characters>
  <Lines>79</Lines>
  <Paragraphs>22</Paragraphs>
  <TotalTime>406</TotalTime>
  <ScaleCrop>false</ScaleCrop>
  <LinksUpToDate>false</LinksUpToDate>
  <CharactersWithSpaces>10746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2022-09-13T11:07:00Z</cp:lastPrinted>
  <dcterms:modified xsi:type="dcterms:W3CDTF">2022-09-16T10:30:08Z</dcterms:modified>
  <dc:title>四川省***</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D1B11BCB89F9469B9F4735E4FE2F99FD</vt:lpwstr>
  </property>
</Properties>
</file>