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7425"/>
      <w:bookmarkStart w:id="1" w:name="_Toc15377193"/>
      <w:bookmarkStart w:id="2" w:name="_Toc15378441"/>
      <w:bookmarkStart w:id="3" w:name="_Toc15396597"/>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476"/>
      <w:bookmarkStart w:id="7" w:name="_Toc15377194"/>
      <w:bookmarkStart w:id="8" w:name="_Toc15378442"/>
      <w:bookmarkStart w:id="9" w:name="_Toc15377426"/>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通江县板桥口镇</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eastAsia"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tab/>
      </w:r>
      <w:r>
        <w:rPr>
          <w:rFonts w:hint="eastAsia"/>
          <w:lang w:val="en-US" w:eastAsia="zh-CN"/>
        </w:rPr>
        <w:t>4</w:t>
      </w:r>
    </w:p>
    <w:p>
      <w:pPr>
        <w:pStyle w:val="11"/>
        <w:adjustRightInd w:val="0"/>
        <w:snapToGrid w:val="0"/>
        <w:spacing w:line="440" w:lineRule="exact"/>
        <w:jc w:val="left"/>
        <w:rPr>
          <w:rFonts w:hint="eastAsia" w:ascii="仿宋" w:hAnsi="仿宋" w:eastAsia="宋体"/>
          <w:color w:val="auto"/>
          <w:sz w:val="24"/>
          <w:highlight w:val="none"/>
          <w:lang w:val="en-US" w:eastAsia="zh-CN"/>
        </w:rPr>
      </w:pPr>
      <w:r>
        <w:rPr>
          <w:rFonts w:hint="eastAsia"/>
          <w:color w:val="auto"/>
          <w:sz w:val="24"/>
          <w:highlight w:val="none"/>
        </w:rPr>
        <w:t>一、基本职能及主要工作</w:t>
      </w:r>
      <w:r>
        <w:tab/>
      </w:r>
      <w:r>
        <w:rPr>
          <w:rFonts w:hint="eastAsia"/>
          <w:lang w:val="en-US" w:eastAsia="zh-CN"/>
        </w:rPr>
        <w:t>4</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二、机构设置</w:t>
      </w:r>
      <w:r>
        <w:tab/>
      </w:r>
      <w:r>
        <w:rPr>
          <w:rFonts w:hint="eastAsia"/>
          <w:lang w:val="en-US" w:eastAsia="zh-CN"/>
        </w:rPr>
        <w:t>6</w:t>
      </w:r>
    </w:p>
    <w:p>
      <w:pPr>
        <w:pStyle w:val="10"/>
        <w:adjustRightInd w:val="0"/>
        <w:snapToGrid w:val="0"/>
        <w:spacing w:before="0" w:line="440" w:lineRule="exact"/>
        <w:jc w:val="left"/>
        <w:rPr>
          <w:rFonts w:hint="eastAsia"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tab/>
      </w:r>
      <w:r>
        <w:rPr>
          <w:rFonts w:hint="eastAsia"/>
          <w:lang w:val="en-US" w:eastAsia="zh-CN"/>
        </w:rPr>
        <w:t>7</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tab/>
      </w:r>
      <w:r>
        <w:rPr>
          <w:rFonts w:hint="eastAsia"/>
          <w:lang w:val="en-US" w:eastAsia="zh-CN"/>
        </w:rPr>
        <w:t>7</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二、收入决算情况说明</w:t>
      </w:r>
      <w:r>
        <w:tab/>
      </w:r>
      <w:r>
        <w:rPr>
          <w:rFonts w:hint="eastAsia"/>
          <w:lang w:val="en-US" w:eastAsia="zh-CN"/>
        </w:rPr>
        <w:t>7</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三、支出决算情况说明</w:t>
      </w:r>
      <w:r>
        <w:tab/>
      </w:r>
      <w:r>
        <w:rPr>
          <w:rFonts w:hint="eastAsia"/>
          <w:lang w:val="en-US" w:eastAsia="zh-CN"/>
        </w:rPr>
        <w:t>8</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tab/>
      </w:r>
      <w:r>
        <w:rPr>
          <w:rFonts w:hint="eastAsia"/>
          <w:lang w:val="en-US" w:eastAsia="zh-CN"/>
        </w:rPr>
        <w:t>9</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tab/>
      </w:r>
      <w:r>
        <w:rPr>
          <w:rFonts w:hint="eastAsia"/>
          <w:lang w:val="en-US" w:eastAsia="zh-CN"/>
        </w:rPr>
        <w:t>9</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tab/>
      </w:r>
      <w:r>
        <w:rPr>
          <w:rFonts w:hint="eastAsia"/>
          <w:lang w:val="en-US" w:eastAsia="zh-CN"/>
        </w:rPr>
        <w:t>14</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tab/>
      </w:r>
      <w:r>
        <w:rPr>
          <w:rFonts w:hint="eastAsia"/>
          <w:lang w:val="en-US" w:eastAsia="zh-CN"/>
        </w:rPr>
        <w:t>14</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tab/>
      </w:r>
      <w:r>
        <w:rPr>
          <w:rFonts w:hint="eastAsia"/>
          <w:lang w:val="en-US" w:eastAsia="zh-CN"/>
        </w:rPr>
        <w:t>16</w:t>
      </w:r>
    </w:p>
    <w:p>
      <w:pPr>
        <w:pStyle w:val="11"/>
        <w:adjustRightInd w:val="0"/>
        <w:snapToGrid w:val="0"/>
        <w:spacing w:line="440" w:lineRule="exact"/>
        <w:ind w:leftChars="0"/>
        <w:jc w:val="left"/>
        <w:rPr>
          <w:rFonts w:hint="default" w:eastAsia="宋体"/>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tab/>
      </w:r>
      <w:r>
        <w:rPr>
          <w:rFonts w:hint="eastAsia"/>
          <w:lang w:val="en-US" w:eastAsia="zh-CN"/>
        </w:rPr>
        <w:t>16</w:t>
      </w:r>
    </w:p>
    <w:p>
      <w:pPr>
        <w:pStyle w:val="11"/>
        <w:adjustRightInd w:val="0"/>
        <w:snapToGrid w:val="0"/>
        <w:spacing w:line="440" w:lineRule="exact"/>
        <w:ind w:leftChars="0"/>
        <w:jc w:val="left"/>
        <w:rPr>
          <w:rFonts w:hint="default" w:eastAsia="宋体"/>
          <w:lang w:val="en-US" w:eastAsia="zh-CN"/>
        </w:rPr>
      </w:pPr>
      <w:r>
        <w:rPr>
          <w:rFonts w:hint="eastAsia" w:asciiTheme="minorEastAsia" w:hAnsiTheme="minorEastAsia" w:eastAsiaTheme="minorEastAsia" w:cstheme="minorEastAsia"/>
          <w:color w:val="auto"/>
          <w:sz w:val="24"/>
          <w:highlight w:val="none"/>
          <w:lang w:eastAsia="zh-CN"/>
        </w:rPr>
        <w:t>十</w:t>
      </w:r>
      <w:r>
        <w:rPr>
          <w:rFonts w:hint="eastAsia" w:asciiTheme="minorEastAsia" w:hAnsiTheme="minorEastAsia" w:eastAsiaTheme="minorEastAsia" w:cstheme="minorEastAsia"/>
          <w:color w:val="auto"/>
          <w:sz w:val="24"/>
          <w:highlight w:val="none"/>
        </w:rPr>
        <w:t>、</w:t>
      </w:r>
      <w:r>
        <w:rPr>
          <w:rFonts w:hint="eastAsia"/>
          <w:color w:val="auto"/>
          <w:sz w:val="24"/>
          <w:highlight w:val="none"/>
        </w:rPr>
        <w:t>其他重要事项的情况说明</w:t>
      </w:r>
      <w:r>
        <w:tab/>
      </w:r>
      <w:r>
        <w:rPr>
          <w:rFonts w:hint="eastAsia"/>
          <w:lang w:val="en-US" w:eastAsia="zh-CN"/>
        </w:rPr>
        <w:t>16</w:t>
      </w:r>
    </w:p>
    <w:p>
      <w:pPr>
        <w:rPr>
          <w:rFonts w:hint="default"/>
          <w:lang w:val="en-US" w:eastAsia="zh-CN"/>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tab/>
      </w:r>
      <w:r>
        <w:rPr>
          <w:rFonts w:hint="eastAsia"/>
          <w:lang w:val="en-US" w:eastAsia="zh-CN"/>
        </w:rPr>
        <w:t>18</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tab/>
      </w:r>
      <w:r>
        <w:rPr>
          <w:rFonts w:hint="eastAsia"/>
          <w:lang w:val="en-US" w:eastAsia="zh-CN"/>
        </w:rPr>
        <w:t>22</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tab/>
      </w:r>
      <w:r>
        <w:rPr>
          <w:rFonts w:hint="eastAsia"/>
          <w:lang w:val="en-US" w:eastAsia="zh-CN"/>
        </w:rPr>
        <w:t>28</w:t>
      </w:r>
    </w:p>
    <w:p>
      <w:pPr>
        <w:pStyle w:val="11"/>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ascii="仿宋" w:hAnsi="仿宋" w:eastAsia="仿宋"/>
          <w:color w:val="auto"/>
          <w:sz w:val="24"/>
          <w:highlight w:val="none"/>
        </w:rPr>
        <w:t>一、</w:t>
      </w:r>
      <w:r>
        <w:rPr>
          <w:rFonts w:hint="eastAsia"/>
          <w:color w:val="auto"/>
          <w:sz w:val="24"/>
          <w:highlight w:val="none"/>
        </w:rPr>
        <w:t>收入支出决算总表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二、收入决算表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三、支出决算表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四、财政拨款收入支出决算总表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五、财政拨款支出决算明细表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六、一般公共预算财政拨款支出决算表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七、一般公共预算财政拨款支出决算明细表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八、一般公共预算财政拨款基本支出决算表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九、一般公共预算财政拨款项目支出决算表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十、一般公共预算财政拨款“三公”经费支出决算表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十一、政府性基金预算财政拨款收入支出决算表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十二、政府性基金预算财政拨款“三公”经费支出决算表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r>
        <w:tab/>
      </w:r>
      <w:r>
        <w:rPr>
          <w:rFonts w:hint="eastAsia"/>
          <w:lang w:val="en-US" w:eastAsia="zh-CN"/>
        </w:rPr>
        <w:t>28</w:t>
      </w:r>
    </w:p>
    <w:p>
      <w:pPr>
        <w:pStyle w:val="11"/>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r>
        <w:tab/>
      </w:r>
      <w:r>
        <w:rPr>
          <w:rFonts w:hint="eastAsia"/>
          <w:lang w:val="en-US" w:eastAsia="zh-CN"/>
        </w:rPr>
        <w:t>28</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4"/>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rPr>
          <w:rStyle w:val="25"/>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25"/>
          <w:rFonts w:hint="eastAsia" w:ascii="黑体" w:hAnsi="黑体" w:eastAsia="黑体"/>
          <w:b w:val="0"/>
          <w:bCs w:val="0"/>
          <w:color w:val="auto"/>
          <w:highlight w:val="none"/>
        </w:rPr>
        <w:t>本职能及主要工作</w:t>
      </w:r>
      <w:bookmarkEnd w:id="14"/>
      <w:bookmarkEnd w:id="15"/>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6" w:name="_Toc15377198"/>
      <w:bookmarkStart w:id="17" w:name="_Toc15378445"/>
      <w:r>
        <w:rPr>
          <w:rFonts w:hint="eastAsia" w:ascii="仿宋" w:hAnsi="仿宋" w:eastAsia="仿宋"/>
          <w:bCs/>
          <w:color w:val="auto"/>
          <w:sz w:val="32"/>
          <w:szCs w:val="32"/>
          <w:highlight w:val="none"/>
        </w:rPr>
        <w:t>（一）主要职能。</w:t>
      </w:r>
      <w:bookmarkEnd w:id="16"/>
      <w:bookmarkEnd w:id="17"/>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镇党政机构具有党委和政府两种职能，党委领导政府工作，主要是政治思想和方针政策的领导，干部的选拔，考核和监督，经济和行政工作中重大问题的决策。镇政府是基层国家行政机关，行使本行政区的行政职能。</w:t>
      </w:r>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1）党委工作职责：一是保证党的路线、方针、政策的坚决贯彻执行。二是保证监督职能。三是教育和管理职能。四是服从和服务于经济建设的职能。五是负责抓好本镇党建工作、群团工作、精神文明建设工作、新闻宣传工作。六是完成上级组织交给的其他工作任务。</w:t>
      </w:r>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2）政府职能：一是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二是制定并组织实施村镇建设规划，部署重点工程建设，地方道路建设及公共设施，水利设施的管理，负责土地、林木、水等自然资源和生态环境的保护，做好护林防火工作。三是负责本行政区域内的民政、计划生育、文化教育、卫生、体育等社会公益事业的综合性工作，维护一切经济单位和个人的正当经济权益，取缔非法经济活动，调解和处理民事纠纷，打击刑事犯罪维护社会稳定。四是按计划组织本级财政收入和地方税的征收，完成国家财政计划，不断培植税源，管好财政资金，增强财政实力。五是抓好精神文明建设，丰富群众文化生活，提倡移风易俗，反对封建迷信，破除陈规陋习，树立社会主义新风尚。六是完成上级政府交办的</w:t>
      </w:r>
      <w:r>
        <w:rPr>
          <w:rFonts w:hint="eastAsia" w:ascii="仿宋" w:hAnsi="仿宋" w:eastAsia="仿宋"/>
          <w:bCs/>
          <w:color w:val="auto"/>
          <w:sz w:val="32"/>
          <w:szCs w:val="32"/>
          <w:highlight w:val="none"/>
          <w:lang w:eastAsia="zh-CN"/>
        </w:rPr>
        <w:t>其他事项</w:t>
      </w:r>
      <w:r>
        <w:rPr>
          <w:rFonts w:hint="eastAsia" w:ascii="仿宋" w:hAnsi="仿宋" w:eastAsia="仿宋"/>
          <w:bCs/>
          <w:color w:val="auto"/>
          <w:sz w:val="32"/>
          <w:szCs w:val="32"/>
          <w:highlight w:val="none"/>
        </w:rPr>
        <w:t>。</w:t>
      </w:r>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8" w:name="_Toc15377199"/>
      <w:bookmarkStart w:id="19"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2021年板桥口镇在县委、县政府的坚强领导下，我镇坚决贯彻落实县委</w:t>
      </w:r>
      <w:r>
        <w:rPr>
          <w:rFonts w:hint="eastAsia" w:ascii="仿宋" w:hAnsi="仿宋" w:eastAsia="仿宋"/>
          <w:bCs/>
          <w:color w:val="auto"/>
          <w:sz w:val="32"/>
          <w:szCs w:val="32"/>
          <w:highlight w:val="none"/>
          <w:lang w:eastAsia="zh-CN"/>
        </w:rPr>
        <w:t>、</w:t>
      </w:r>
      <w:r>
        <w:rPr>
          <w:rFonts w:hint="eastAsia" w:ascii="仿宋" w:hAnsi="仿宋" w:eastAsia="仿宋"/>
          <w:bCs/>
          <w:color w:val="auto"/>
          <w:sz w:val="32"/>
          <w:szCs w:val="32"/>
          <w:highlight w:val="none"/>
        </w:rPr>
        <w:t>县政府的重大决策部署。一是疫情防控坚决有力。着眼于脱贫巩固和抗击新冠肺炎疫情“两手抓、两手硬”，全镇党员干部闻令而动、冲锋在前，医务工作者</w:t>
      </w:r>
      <w:r>
        <w:rPr>
          <w:rFonts w:hint="eastAsia" w:ascii="仿宋" w:hAnsi="仿宋" w:eastAsia="仿宋"/>
          <w:bCs/>
          <w:color w:val="auto"/>
          <w:sz w:val="32"/>
          <w:szCs w:val="32"/>
          <w:highlight w:val="none"/>
          <w:lang w:eastAsia="zh-CN"/>
        </w:rPr>
        <w:t>白衣擐甲</w:t>
      </w:r>
      <w:r>
        <w:rPr>
          <w:rFonts w:hint="eastAsia" w:ascii="仿宋" w:hAnsi="仿宋" w:eastAsia="仿宋"/>
          <w:bCs/>
          <w:color w:val="auto"/>
          <w:sz w:val="32"/>
          <w:szCs w:val="32"/>
          <w:highlight w:val="none"/>
        </w:rPr>
        <w:t>，村（社区）干部日夜值守，人民群众和社会各界群策群力，落实落细“外防输入、内防扩散、人物同防”总体防控措施，全镇常住人口实现新冠疫苗应接尽接，无一例输入型感染病例，构筑起疫情防控的坚固防线；二是产业经济逆势上扬。积极发展特色产业，采取“合作社+基地+农户”的合作模式，让群众在家门口务工，在家门口增收，全镇发展金银花、香菇、核桃等特色产业2000余亩，12个村集体经济收入实现新的增长突破；三是惠民实事持续实施。粮食直补、公益林、公益性岗位等惠农惠民资金按时兑现到户，积极动员群众参加城乡居民医疗保险和城乡居民养老保险，新建硬化道路2.1公里，拓宽6.7公里，城子山村刘家营水厂正常运转，确保板桥口镇等几个场镇供水，麻柳河山洪沟治理和镇农贸市场项目建成投入使用；四是基层治理彰显成效。大力提升镇容镇貌、激发治理活力，强化农村人居环境整治，城乡环境得到持续改善；防范化解重大风险制度机制不断健全，突发公共事件应急能力显著增强，自然灾害防御水平明显提升。</w:t>
      </w:r>
    </w:p>
    <w:p>
      <w:pPr>
        <w:pStyle w:val="4"/>
        <w:rPr>
          <w:rStyle w:val="25"/>
          <w:b w:val="0"/>
          <w:bCs w:val="0"/>
          <w:color w:val="auto"/>
          <w:highlight w:val="none"/>
        </w:rPr>
      </w:pPr>
      <w:bookmarkStart w:id="20" w:name="_Toc15377200"/>
      <w:bookmarkStart w:id="21"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5"/>
          <w:rFonts w:hint="eastAsia" w:ascii="黑体" w:hAnsi="黑体" w:eastAsia="黑体"/>
          <w:b w:val="0"/>
          <w:bCs w:val="0"/>
          <w:color w:val="auto"/>
          <w:highlight w:val="none"/>
        </w:rPr>
        <w:t>构设置</w:t>
      </w:r>
      <w:bookmarkEnd w:id="20"/>
      <w:bookmarkEnd w:id="21"/>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板桥口镇行政单位1个，下属二级单位3个，其中：参照公务员法管理的事业单位无，其他事业单位3个。</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纳入20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1.砥坝小学</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2.正文小学</w:t>
      </w:r>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rPr>
        <w:t>3.卫生院</w:t>
      </w:r>
    </w:p>
    <w:p>
      <w:pPr>
        <w:pStyle w:val="3"/>
        <w:ind w:right="440"/>
        <w:jc w:val="center"/>
        <w:rPr>
          <w:rFonts w:hint="eastAsia" w:ascii="黑体" w:hAnsi="黑体" w:eastAsia="黑体"/>
          <w:b w:val="0"/>
          <w:bCs/>
          <w:color w:val="auto"/>
          <w:highlight w:val="none"/>
        </w:rPr>
      </w:pPr>
      <w:bookmarkStart w:id="22" w:name="_Toc15377204"/>
      <w:bookmarkStart w:id="23" w:name="_Toc15396602"/>
    </w:p>
    <w:p>
      <w:pPr>
        <w:pStyle w:val="3"/>
        <w:ind w:right="440"/>
        <w:jc w:val="both"/>
        <w:rPr>
          <w:rFonts w:hint="eastAsia" w:ascii="黑体" w:hAnsi="黑体" w:eastAsia="黑体"/>
          <w:b w:val="0"/>
          <w:bCs/>
          <w:color w:val="auto"/>
          <w:highlight w:val="none"/>
        </w:rPr>
      </w:pPr>
    </w:p>
    <w:p>
      <w:pPr>
        <w:rPr>
          <w:rFonts w:hint="eastAsia"/>
        </w:rPr>
      </w:pPr>
    </w:p>
    <w:p>
      <w:pPr>
        <w:pStyle w:val="3"/>
        <w:ind w:right="440"/>
        <w:jc w:val="center"/>
        <w:rPr>
          <w:rStyle w:val="24"/>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rPr>
        <w:t>部门决算情况说明</w:t>
      </w:r>
      <w:bookmarkEnd w:id="22"/>
      <w:bookmarkEnd w:id="23"/>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3616.85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年相比，收、支总计各增加826.13万元，下降</w:t>
      </w:r>
      <w:r>
        <w:rPr>
          <w:rFonts w:hint="eastAsia" w:ascii="仿宋" w:hAnsi="仿宋" w:eastAsia="仿宋"/>
          <w:color w:val="auto"/>
          <w:sz w:val="32"/>
          <w:szCs w:val="32"/>
          <w:highlight w:val="none"/>
          <w:lang w:val="en-US" w:eastAsia="zh-CN"/>
        </w:rPr>
        <w:t>29.6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。主要变动原因是脱贫攻坚和乡村振兴有效衔接资金增加。</w:t>
      </w:r>
    </w:p>
    <w:p>
      <w:pPr>
        <w:pStyle w:val="2"/>
      </w:pPr>
      <w:r>
        <w:drawing>
          <wp:inline distT="0" distB="0" distL="114300" distR="114300">
            <wp:extent cx="4848225" cy="2743200"/>
            <wp:effectExtent l="4445" t="4445" r="5080"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3616.85</w:t>
      </w:r>
      <w:r>
        <w:rPr>
          <w:rFonts w:hint="eastAsia" w:ascii="仿宋" w:hAnsi="仿宋" w:eastAsia="仿宋"/>
          <w:color w:val="auto"/>
          <w:sz w:val="32"/>
          <w:szCs w:val="32"/>
          <w:highlight w:val="none"/>
        </w:rPr>
        <w:t>万元，其中：一般公共预算财政拨款收入3460.35万元</w:t>
      </w:r>
      <w:r>
        <w:rPr>
          <w:rFonts w:hint="eastAsia" w:ascii="仿宋" w:hAnsi="仿宋" w:eastAsia="仿宋"/>
          <w:color w:val="auto"/>
          <w:sz w:val="32"/>
          <w:szCs w:val="32"/>
          <w:highlight w:val="none"/>
          <w:lang w:eastAsia="zh-CN"/>
        </w:rPr>
        <w:t>（含上年结转</w:t>
      </w:r>
      <w:r>
        <w:rPr>
          <w:rFonts w:hint="eastAsia" w:ascii="仿宋" w:hAnsi="仿宋" w:eastAsia="仿宋"/>
          <w:color w:val="auto"/>
          <w:sz w:val="32"/>
          <w:szCs w:val="32"/>
          <w:highlight w:val="none"/>
          <w:lang w:val="en-US" w:eastAsia="zh-CN"/>
        </w:rPr>
        <w:t>9.25万元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95.67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万元；事业收入</w:t>
      </w:r>
      <w:r>
        <w:rPr>
          <w:rFonts w:hint="eastAsia" w:ascii="仿宋" w:hAnsi="仿宋" w:eastAsia="仿宋"/>
          <w:color w:val="auto"/>
          <w:sz w:val="32"/>
          <w:szCs w:val="32"/>
          <w:highlight w:val="none"/>
          <w:lang w:val="en-US" w:eastAsia="zh-CN"/>
        </w:rPr>
        <w:t>156.51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4.33</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240" w:lineRule="auto"/>
        <w:outlineLvl w:val="1"/>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4065" cy="2755265"/>
            <wp:effectExtent l="0" t="0" r="6985" b="6985"/>
            <wp:docPr id="1" name="图片 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4"/>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年本年支出合计3616.85万元，其中：基本支出2174.1万元，占60.11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；项目支出1442.75万元，占39.89%；上缴上级支出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240" w:lineRule="auto"/>
        <w:rPr>
          <w:rFonts w:ascii="仿宋" w:hAnsi="仿宋" w:eastAsia="仿宋"/>
          <w:color w:val="auto"/>
          <w:sz w:val="32"/>
          <w:szCs w:val="32"/>
          <w:highlight w:val="none"/>
          <w:shd w:val="pct10" w:color="auto" w:fill="FFFFFF"/>
        </w:rPr>
      </w:pPr>
      <w:r>
        <w:rPr>
          <w:rFonts w:hint="eastAsia" w:ascii="仿宋" w:hAnsi="仿宋" w:eastAsia="仿宋"/>
          <w:color w:val="auto"/>
          <w:sz w:val="32"/>
          <w:szCs w:val="32"/>
          <w:highlight w:val="none"/>
          <w:shd w:val="pct10" w:color="auto" w:fill="FFFFFF"/>
          <w:lang w:eastAsia="zh-CN"/>
        </w:rPr>
        <w:drawing>
          <wp:inline distT="0" distB="0" distL="114300" distR="114300">
            <wp:extent cx="4584065" cy="2755265"/>
            <wp:effectExtent l="0" t="0" r="6985" b="6985"/>
            <wp:docPr id="2" name="图片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5"/>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2"/>
      </w:pPr>
    </w:p>
    <w:p>
      <w:pPr>
        <w:spacing w:line="600" w:lineRule="exact"/>
        <w:ind w:firstLine="640" w:firstLineChars="200"/>
        <w:outlineLvl w:val="1"/>
        <w:rPr>
          <w:rStyle w:val="25"/>
          <w:rFonts w:ascii="黑体" w:hAnsi="黑体" w:eastAsia="黑体"/>
          <w:b w:val="0"/>
          <w:color w:val="auto"/>
          <w:highlight w:val="none"/>
        </w:rPr>
      </w:pPr>
      <w:bookmarkStart w:id="30" w:name="_Toc15396606"/>
      <w:bookmarkStart w:id="31"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年财政拨款收、支总计3460.35万元。与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669.63</w:t>
      </w:r>
      <w:r>
        <w:rPr>
          <w:rFonts w:hint="eastAsia" w:ascii="仿宋" w:hAnsi="仿宋" w:eastAsia="仿宋"/>
          <w:color w:val="auto"/>
          <w:sz w:val="32"/>
          <w:szCs w:val="32"/>
          <w:highlight w:val="none"/>
        </w:rPr>
        <w:t>万元，增长23.99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。主要变动原因是脱贫攻坚和乡村振兴有效衔接资金增加</w:t>
      </w:r>
      <w:r>
        <w:rPr>
          <w:rFonts w:hint="eastAsia" w:ascii="仿宋" w:hAnsi="仿宋" w:eastAsia="仿宋"/>
          <w:color w:val="auto"/>
          <w:sz w:val="32"/>
          <w:szCs w:val="32"/>
          <w:highlight w:val="none"/>
          <w:lang w:eastAsia="zh-CN"/>
        </w:rPr>
        <w:t>。</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4065" cy="2755265"/>
            <wp:effectExtent l="0" t="0" r="6985" b="6985"/>
            <wp:docPr id="3" name="图片 3"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6"/>
                    <pic:cNvPicPr>
                      <a:picLocks noChangeAspect="1"/>
                    </pic:cNvPicPr>
                  </pic:nvPicPr>
                  <pic:blipFill>
                    <a:blip r:embed="rId9"/>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5"/>
          <w:rFonts w:ascii="黑体" w:hAnsi="黑体" w:eastAsia="黑体"/>
          <w:b w:val="0"/>
          <w:color w:val="auto"/>
          <w:highlight w:val="none"/>
        </w:rPr>
      </w:pPr>
      <w:bookmarkStart w:id="32" w:name="_Toc15377209"/>
      <w:bookmarkStart w:id="3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3460.35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84.6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增加678.88万元，增长</w:t>
      </w:r>
      <w:r>
        <w:rPr>
          <w:rFonts w:hint="eastAsia" w:ascii="仿宋" w:hAnsi="仿宋" w:eastAsia="仿宋"/>
          <w:color w:val="auto"/>
          <w:sz w:val="32"/>
          <w:szCs w:val="32"/>
          <w:highlight w:val="none"/>
          <w:lang w:val="en-US" w:eastAsia="zh-CN"/>
        </w:rPr>
        <w:t>24.4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353560" cy="2990215"/>
            <wp:effectExtent l="0" t="0" r="8890" b="635"/>
            <wp:docPr id="4" name="图片 4"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7"/>
                    <pic:cNvPicPr>
                      <a:picLocks noChangeAspect="1"/>
                    </pic:cNvPicPr>
                  </pic:nvPicPr>
                  <pic:blipFill>
                    <a:blip r:embed="rId10"/>
                    <a:stretch>
                      <a:fillRect/>
                    </a:stretch>
                  </pic:blipFill>
                  <pic:spPr>
                    <a:xfrm>
                      <a:off x="0" y="0"/>
                      <a:ext cx="4353560" cy="299021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3460.35</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支出534.38万元，占15.44%；</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rPr>
        <w:t>1059.14万元，占30.61%；</w:t>
      </w:r>
      <w:r>
        <w:rPr>
          <w:rFonts w:hint="eastAsia" w:ascii="仿宋" w:hAnsi="仿宋" w:eastAsia="仿宋"/>
          <w:b/>
          <w:bCs/>
          <w:color w:val="auto"/>
          <w:sz w:val="32"/>
          <w:szCs w:val="32"/>
          <w:highlight w:val="none"/>
        </w:rPr>
        <w:t>文化旅游体育与传媒（类）支出4万元，占</w:t>
      </w:r>
      <w:r>
        <w:rPr>
          <w:rFonts w:hint="eastAsia" w:ascii="仿宋" w:hAnsi="仿宋" w:eastAsia="仿宋"/>
          <w:b w:val="0"/>
          <w:bCs w:val="0"/>
          <w:color w:val="auto"/>
          <w:sz w:val="32"/>
          <w:szCs w:val="32"/>
          <w:highlight w:val="none"/>
        </w:rPr>
        <w:t>0.12</w:t>
      </w:r>
      <w:r>
        <w:rPr>
          <w:rFonts w:ascii="仿宋" w:hAnsi="仿宋" w:eastAsia="仿宋"/>
          <w:b w:val="0"/>
          <w:bCs w:val="0"/>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支出198.27万元，占5.73%；</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288.82万元，占8.35%；</w:t>
      </w:r>
      <w:r>
        <w:rPr>
          <w:rFonts w:hint="eastAsia" w:ascii="仿宋" w:hAnsi="仿宋" w:eastAsia="仿宋"/>
          <w:b/>
          <w:bCs/>
          <w:color w:val="auto"/>
          <w:sz w:val="32"/>
          <w:szCs w:val="32"/>
          <w:highlight w:val="none"/>
        </w:rPr>
        <w:t>农林水支出</w:t>
      </w:r>
      <w:r>
        <w:rPr>
          <w:rFonts w:hint="eastAsia" w:ascii="仿宋" w:hAnsi="仿宋" w:eastAsia="仿宋"/>
          <w:color w:val="auto"/>
          <w:sz w:val="32"/>
          <w:szCs w:val="32"/>
          <w:highlight w:val="none"/>
        </w:rPr>
        <w:t>1078.9</w:t>
      </w:r>
      <w:r>
        <w:rPr>
          <w:rFonts w:hint="eastAsia" w:ascii="仿宋" w:hAnsi="仿宋" w:eastAsia="仿宋"/>
          <w:color w:val="auto"/>
          <w:sz w:val="32"/>
          <w:szCs w:val="32"/>
          <w:highlight w:val="none"/>
          <w:lang w:eastAsia="zh-CN"/>
        </w:rPr>
        <w:t>万元，占31.18%；</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296.84万元，占8.58%。</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584065" cy="2755265"/>
            <wp:effectExtent l="0" t="0" r="6985" b="6985"/>
            <wp:docPr id="5" name="图片 5"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8"/>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7444"/>
      <w:bookmarkStart w:id="38" w:name="_Toc15378460"/>
      <w:bookmarkStart w:id="3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般公共预算支出决算数为3460.35</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7"/>
      <w:bookmarkEnd w:id="38"/>
      <w:bookmarkEnd w:id="39"/>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一般公共服务（类）政府办公厅（室）及相关机构事务（款）</w:t>
      </w:r>
      <w:r>
        <w:rPr>
          <w:rStyle w:val="14"/>
          <w:rFonts w:hint="eastAsia" w:ascii="仿宋" w:hAnsi="仿宋" w:eastAsia="仿宋"/>
          <w:bCs/>
          <w:color w:val="000000"/>
          <w:sz w:val="32"/>
          <w:szCs w:val="32"/>
        </w:rPr>
        <w:t>行政运行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340.62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一般公共服务（类）政府办公厅（室）及相关机构事务（款）</w:t>
      </w:r>
      <w:r>
        <w:rPr>
          <w:rStyle w:val="14"/>
          <w:rFonts w:hint="eastAsia" w:ascii="仿宋" w:hAnsi="仿宋" w:eastAsia="仿宋"/>
          <w:bCs/>
          <w:color w:val="000000"/>
          <w:sz w:val="32"/>
          <w:szCs w:val="32"/>
          <w:lang w:eastAsia="zh-CN"/>
        </w:rPr>
        <w:t>一般行政管理事务</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14.5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一般公共服务（类）政府办公厅（室）及相关机构事务（款）</w:t>
      </w:r>
      <w:r>
        <w:rPr>
          <w:rStyle w:val="14"/>
          <w:rFonts w:hint="eastAsia" w:ascii="仿宋" w:hAnsi="仿宋" w:eastAsia="仿宋"/>
          <w:bCs/>
          <w:color w:val="000000"/>
          <w:sz w:val="32"/>
          <w:szCs w:val="32"/>
          <w:lang w:eastAsia="zh-CN"/>
        </w:rPr>
        <w:t>事业运行</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176.26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eastAsia="zh-CN"/>
        </w:rPr>
        <w:t>其他一般公共服务支出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其他一般公共服务支出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教育支出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普通教育</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学前教育</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15.61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教育支出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普通教育</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小学教育</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917.33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eastAsia"/>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教育支出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普通教育</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其他普通教育支出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126.2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8</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文化旅游体育与传媒支出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文化和旅游</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其他文化和旅游支出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9</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机关事业单位基本养老保险缴费支出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130.64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hint="eastAsia"/>
        </w:rPr>
      </w:pPr>
      <w:r>
        <w:rPr>
          <w:rStyle w:val="14"/>
          <w:rFonts w:hint="eastAsia" w:ascii="仿宋" w:hAnsi="仿宋" w:eastAsia="仿宋"/>
          <w:bCs/>
          <w:color w:val="auto"/>
          <w:sz w:val="32"/>
          <w:szCs w:val="32"/>
          <w:highlight w:val="none"/>
          <w:lang w:val="en-US" w:eastAsia="zh-CN"/>
        </w:rPr>
        <w:t>10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行政事业单位养老支出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机关事业单位职业年金缴费支出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19.21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11</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就业补助</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公益性岗位补贴</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39.42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12</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eastAsia="zh-CN"/>
        </w:rPr>
        <w:t>就业补助</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其他就业补助支出</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13</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基层医疗卫生机构</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乡镇卫生院</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79.59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14</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基层医疗卫生机构</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其他基层医疗卫生机构支出</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25.97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pPr>
      <w:r>
        <w:rPr>
          <w:rStyle w:val="14"/>
          <w:rFonts w:hint="eastAsia" w:ascii="仿宋" w:hAnsi="仿宋" w:eastAsia="仿宋"/>
          <w:bCs/>
          <w:color w:val="auto"/>
          <w:sz w:val="32"/>
          <w:szCs w:val="32"/>
          <w:highlight w:val="none"/>
          <w:lang w:val="en-US" w:eastAsia="zh-CN"/>
        </w:rPr>
        <w:t>15</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公共卫生</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基本公共卫生服务</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101.78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16</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行政单位医疗</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13.23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事业单位医疗</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65.6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18</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行政事业单位医疗</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公务员医疗补助</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19</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农林水支出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农业农村</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其他农业农村支出</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60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20</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农林水支出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扶贫</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农村基础设施建设</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513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21</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农林水支出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扶贫</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生产发展</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151.02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22</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农林水支出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扶贫</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其他扶贫支出</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33.44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23.</w:t>
      </w:r>
      <w:r>
        <w:rPr>
          <w:rFonts w:hint="eastAsia" w:ascii="仿宋" w:hAnsi="仿宋" w:eastAsia="仿宋"/>
          <w:b/>
          <w:bCs/>
          <w:color w:val="auto"/>
          <w:sz w:val="32"/>
          <w:szCs w:val="32"/>
          <w:highlight w:val="none"/>
          <w:lang w:eastAsia="zh-CN"/>
        </w:rPr>
        <w:t>农林水支出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农村综合改革</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对村民委员会和村党支部的补助</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321.44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24</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住房保障支出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保障性安居工程支出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农村危房改造</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198.86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25</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住房保障支出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eastAsia="zh-CN"/>
        </w:rPr>
        <w:t>住房改革支出</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eastAsia="zh-CN"/>
        </w:rPr>
        <w:t>住房公积金</w:t>
      </w:r>
      <w:r>
        <w:rPr>
          <w:rStyle w:val="14"/>
          <w:rFonts w:hint="eastAsia" w:ascii="仿宋" w:hAnsi="仿宋" w:eastAsia="仿宋"/>
          <w:bCs/>
          <w:color w:val="auto"/>
          <w:sz w:val="32"/>
          <w:szCs w:val="32"/>
          <w:highlight w:val="none"/>
        </w:rPr>
        <w:t>（项）</w:t>
      </w:r>
      <w:r>
        <w:rPr>
          <w:rStyle w:val="14"/>
          <w:rFonts w:hint="eastAsia" w:ascii="仿宋" w:hAnsi="仿宋" w:eastAsia="仿宋"/>
          <w:bCs/>
          <w:color w:val="auto"/>
          <w:sz w:val="32"/>
          <w:szCs w:val="32"/>
          <w:highlight w:val="none"/>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97.98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5"/>
          <w:color w:val="auto"/>
          <w:highlight w:val="none"/>
        </w:rPr>
      </w:pPr>
      <w:bookmarkStart w:id="40" w:name="_Toc15396608"/>
      <w:bookmarkStart w:id="4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0"/>
      <w:bookmarkEnd w:id="41"/>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年一般公共预算财政拨款基本支出2017.60万元，其中：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1750.99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266.61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2.38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，决算数小于预算数（或与预算数持平）的主要原因是我镇落实厉行节约有关规定，进一步规范“三公”经费管理，从严控制“三公”经费开支。</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万元；公务接待费支出决算</w:t>
      </w:r>
      <w:r>
        <w:rPr>
          <w:rFonts w:hint="eastAsia" w:ascii="仿宋" w:hAnsi="仿宋" w:eastAsia="仿宋"/>
          <w:color w:val="auto"/>
          <w:sz w:val="32"/>
          <w:szCs w:val="32"/>
          <w:highlight w:val="none"/>
          <w:lang w:val="en-US" w:eastAsia="zh-CN"/>
        </w:rPr>
        <w:t>2.38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eastAsia="仿宋"/>
          <w:lang w:eastAsia="zh-CN"/>
        </w:rPr>
      </w:pPr>
      <w:r>
        <w:rPr>
          <w:rFonts w:hint="eastAsia" w:eastAsia="仿宋"/>
          <w:lang w:eastAsia="zh-CN"/>
        </w:rPr>
        <w:drawing>
          <wp:inline distT="0" distB="0" distL="114300" distR="114300">
            <wp:extent cx="4243070" cy="2517775"/>
            <wp:effectExtent l="0" t="0" r="5080" b="15875"/>
            <wp:docPr id="6" name="图片 6"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9"/>
                    <pic:cNvPicPr>
                      <a:picLocks noChangeAspect="1"/>
                    </pic:cNvPicPr>
                  </pic:nvPicPr>
                  <pic:blipFill>
                    <a:blip r:embed="rId12"/>
                    <a:stretch>
                      <a:fillRect/>
                    </a:stretch>
                  </pic:blipFill>
                  <pic:spPr>
                    <a:xfrm>
                      <a:off x="0" y="0"/>
                      <a:ext cx="4243070" cy="2517775"/>
                    </a:xfrm>
                    <a:prstGeom prst="rect">
                      <a:avLst/>
                    </a:prstGeom>
                  </pic:spPr>
                </pic:pic>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bCs w:val="0"/>
          <w:color w:val="auto"/>
          <w:sz w:val="32"/>
          <w:szCs w:val="32"/>
          <w:highlight w:val="none"/>
        </w:rPr>
      </w:pPr>
      <w:r>
        <w:rPr>
          <w:rFonts w:ascii="仿宋_GB2312" w:eastAsia="仿宋_GB2312"/>
          <w:b/>
          <w:bCs w:val="0"/>
          <w:color w:val="auto"/>
          <w:sz w:val="32"/>
          <w:szCs w:val="32"/>
          <w:highlight w:val="none"/>
        </w:rPr>
        <w:t>1.</w:t>
      </w:r>
      <w:r>
        <w:rPr>
          <w:rFonts w:hint="eastAsia" w:ascii="仿宋_GB2312" w:eastAsia="仿宋_GB2312"/>
          <w:b/>
          <w:bCs w:val="0"/>
          <w:color w:val="auto"/>
          <w:sz w:val="32"/>
          <w:szCs w:val="32"/>
          <w:highlight w:val="none"/>
        </w:rPr>
        <w:t>因公出国（境）经费支出</w:t>
      </w:r>
      <w:r>
        <w:rPr>
          <w:rFonts w:hint="eastAsia" w:ascii="仿宋_GB2312" w:eastAsia="仿宋_GB2312"/>
          <w:b/>
          <w:bCs w:val="0"/>
          <w:color w:val="auto"/>
          <w:sz w:val="32"/>
          <w:szCs w:val="32"/>
          <w:highlight w:val="none"/>
          <w:lang w:eastAsia="zh-CN"/>
        </w:rPr>
        <w:t>无</w:t>
      </w:r>
      <w:r>
        <w:rPr>
          <w:rFonts w:hint="eastAsia" w:ascii="仿宋_GB2312" w:eastAsia="仿宋_GB2312"/>
          <w:b/>
          <w:bCs w:val="0"/>
          <w:color w:val="auto"/>
          <w:sz w:val="32"/>
          <w:szCs w:val="32"/>
          <w:highlight w:val="none"/>
        </w:rPr>
        <w:t>。</w:t>
      </w:r>
    </w:p>
    <w:p>
      <w:pPr>
        <w:spacing w:line="600" w:lineRule="exact"/>
        <w:ind w:firstLine="640"/>
        <w:rPr>
          <w:rFonts w:ascii="仿宋_GB2312" w:eastAsia="仿宋_GB2312"/>
          <w:b/>
          <w:bCs w:val="0"/>
          <w:color w:val="auto"/>
          <w:sz w:val="32"/>
          <w:szCs w:val="32"/>
          <w:highlight w:val="none"/>
        </w:rPr>
      </w:pPr>
      <w:r>
        <w:rPr>
          <w:rFonts w:ascii="仿宋_GB2312" w:eastAsia="仿宋_GB2312"/>
          <w:b/>
          <w:bCs w:val="0"/>
          <w:color w:val="auto"/>
          <w:sz w:val="32"/>
          <w:szCs w:val="32"/>
          <w:highlight w:val="none"/>
        </w:rPr>
        <w:t>2.</w:t>
      </w:r>
      <w:r>
        <w:rPr>
          <w:rFonts w:hint="eastAsia" w:ascii="仿宋_GB2312" w:eastAsia="仿宋_GB2312"/>
          <w:b/>
          <w:bCs w:val="0"/>
          <w:color w:val="auto"/>
          <w:sz w:val="32"/>
          <w:szCs w:val="32"/>
          <w:highlight w:val="none"/>
        </w:rPr>
        <w:t>公务用车购置及运行维护费支出</w:t>
      </w:r>
      <w:r>
        <w:rPr>
          <w:rFonts w:hint="eastAsia" w:ascii="仿宋_GB2312" w:eastAsia="仿宋_GB2312"/>
          <w:b/>
          <w:bCs w:val="0"/>
          <w:color w:val="auto"/>
          <w:sz w:val="32"/>
          <w:szCs w:val="32"/>
          <w:highlight w:val="none"/>
          <w:lang w:eastAsia="zh-CN"/>
        </w:rPr>
        <w:t>无</w:t>
      </w:r>
      <w:r>
        <w:rPr>
          <w:rFonts w:hint="eastAsia" w:ascii="仿宋_GB2312" w:eastAsia="仿宋_GB2312"/>
          <w:b/>
          <w:bCs w:val="0"/>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2.38</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。主要原因是贯彻落实中央八项规定，厉行节约，从严控制“三公”经费支出。其中：</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2.38</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89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674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2.38</w:t>
      </w:r>
      <w:r>
        <w:rPr>
          <w:rFonts w:hint="eastAsia" w:ascii="仿宋_GB2312" w:eastAsia="仿宋_GB2312"/>
          <w:color w:val="auto"/>
          <w:sz w:val="32"/>
          <w:szCs w:val="32"/>
          <w:highlight w:val="none"/>
        </w:rPr>
        <w:t>万元，具体内容包括：信访维稳、疫情防控、</w:t>
      </w:r>
      <w:r>
        <w:rPr>
          <w:rFonts w:hint="eastAsia" w:ascii="仿宋_GB2312" w:eastAsia="仿宋_GB2312"/>
          <w:color w:val="auto"/>
          <w:sz w:val="32"/>
          <w:szCs w:val="32"/>
          <w:highlight w:val="none"/>
          <w:lang w:eastAsia="zh-CN"/>
        </w:rPr>
        <w:t>校园安全</w:t>
      </w:r>
      <w:r>
        <w:rPr>
          <w:rFonts w:hint="eastAsia" w:ascii="仿宋_GB2312" w:eastAsia="仿宋_GB2312"/>
          <w:color w:val="auto"/>
          <w:sz w:val="32"/>
          <w:szCs w:val="32"/>
          <w:highlight w:val="none"/>
        </w:rPr>
        <w:t>等相关部门检查指导工作发生的接待支出。</w:t>
      </w:r>
      <w:bookmarkStart w:id="46" w:name="_Toc15377218"/>
      <w:bookmarkStart w:id="47"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6"/>
      <w:bookmarkEnd w:id="4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numPr>
          <w:ilvl w:val="0"/>
          <w:numId w:val="2"/>
        </w:numPr>
        <w:spacing w:line="600" w:lineRule="exact"/>
        <w:ind w:firstLine="640"/>
        <w:outlineLvl w:val="1"/>
        <w:rPr>
          <w:rStyle w:val="25"/>
          <w:rFonts w:ascii="黑体" w:hAnsi="黑体" w:eastAsia="黑体"/>
          <w:b w:val="0"/>
          <w:color w:val="auto"/>
          <w:highlight w:val="none"/>
        </w:rPr>
      </w:pPr>
      <w:bookmarkStart w:id="48" w:name="_Toc15377219"/>
      <w:bookmarkStart w:id="49" w:name="_Toc15396611"/>
      <w:r>
        <w:rPr>
          <w:rStyle w:val="25"/>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50" w:name="_Toc15396612"/>
      <w:bookmarkStart w:id="51" w:name="_Toc15377221"/>
      <w:r>
        <w:rPr>
          <w:rStyle w:val="25"/>
          <w:rFonts w:hint="eastAsia" w:ascii="黑体" w:hAnsi="黑体" w:eastAsia="黑体"/>
          <w:b w:val="0"/>
          <w:color w:val="auto"/>
          <w:highlight w:val="none"/>
        </w:rPr>
        <w:t>其他重要事项的情况说明</w:t>
      </w:r>
      <w:bookmarkEnd w:id="50"/>
      <w:bookmarkEnd w:id="51"/>
    </w:p>
    <w:p>
      <w:pPr>
        <w:spacing w:line="600" w:lineRule="exact"/>
        <w:ind w:firstLine="643"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年，机关运行经费支出450.65万元，比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212.1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88.9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年决算数持平）。主要原因是机构改革行政区划调整。</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45.32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10.32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2.04</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4.5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2.14</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4.5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2021年度，我镇政府采购支出总额0元，其中：政府采购货物支出0元、政府采购服务支出0元。主要是新的政府采购制度一次性购买5万元以下的货物不纳入政府采购范围。</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预算编制阶段，组织对一般行政管理事务资金</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24个项目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板桥口镇</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1．财政拨款收入：指省级财政当年拨付的资金。　</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2．事业收入：指事业单位开展专业业务活动及辅助活动所取得的收入。</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3．经营收入：指事业单位在专业业务活动及其辅助活动之外开展非独立核算经营活动取得的收入。</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4．其他收入：指除上述“财政拨款收入”“事业收入”“经营收入”等以外的收入。主要是银行存款利息收入等。　</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5．年初结转和结余：指以前年度尚未完成、结转到本年按有关规定继续使用的资金。　</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6．一般公共服务（类）政府办公厅〔室〕及相关机构事务（款）行政运行（项）：指用于保障省政府办公厅机关、厅属各行政单位正常运转，用于行政运行方面的经费支出。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一般公共服务（类）政府办公厅〔室〕及相关机构事务（款）一般行政管理事务（项）：指用于保障省政府办公厅机关、厅属各行政事业单位正常运转，为完成特定的工作任务，用于一般行政管理事务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8．一般公共服务（类）政府办公厅〔室〕及相关机构事务（款）机关服务（项）：指用于保障省政府办公厅正常运转，用于机关服务方面的经费支出。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9．一般公共服务（类）政府办公厅〔室〕及相关机构事务（款）政务公开审批（项）：指用于为完成特定的工作任务，用于政务公开审批方面的经费支出。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10．一般公共服务（类）政府办公厅〔室〕及相关机构事务（款）参事事务（项）：指用于为完成特定的工作任务，用于参事事务方面的经费支出。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11．一般公共服务（类）政府办公厅〔室〕及相关机构事务（款）事业运行（项）：指用于保障事业单位正常运转，用于事业运行方面的经费支出。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12．一般公共服务（类）政府办公厅〔室〕及相关机构事务（款）其他政府办公厅〔室〕及相关机构事务支出（项）：指用于保障省政府办公厅机关、厅属各行政事业单位正常运转，为完成特定的工作任务，用于其他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13．一般公共服务（类）商贸事务（款）其他商贸事务（项）：指用于为完成特定的工作任务，用于商贸事务方面的经费支出.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14.教育支出（类）进修及培训（款）培训支出（项）：指用于培训方面的经费支出。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15.社会保障和</w:t>
      </w:r>
      <w:r>
        <w:rPr>
          <w:rFonts w:hint="eastAsia" w:ascii="仿宋_GB2312" w:eastAsia="仿宋_GB2312"/>
          <w:color w:val="auto"/>
          <w:sz w:val="32"/>
          <w:szCs w:val="32"/>
          <w:highlight w:val="none"/>
          <w:lang w:eastAsia="zh-CN"/>
        </w:rPr>
        <w:t>就业</w:t>
      </w:r>
      <w:r>
        <w:rPr>
          <w:rFonts w:hint="eastAsia" w:ascii="仿宋_GB2312" w:eastAsia="仿宋_GB2312"/>
          <w:color w:val="auto"/>
          <w:sz w:val="32"/>
          <w:szCs w:val="32"/>
          <w:highlight w:val="none"/>
        </w:rPr>
        <w:t>支出（类）行政单位离退休（款）事业单位离退休（项）：指用于事业单位离退休人员支出。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16．社会保障和</w:t>
      </w:r>
      <w:r>
        <w:rPr>
          <w:rFonts w:hint="eastAsia" w:ascii="仿宋_GB2312" w:eastAsia="仿宋_GB2312"/>
          <w:color w:val="auto"/>
          <w:sz w:val="32"/>
          <w:szCs w:val="32"/>
          <w:highlight w:val="none"/>
          <w:lang w:eastAsia="zh-CN"/>
        </w:rPr>
        <w:t>就业</w:t>
      </w:r>
      <w:r>
        <w:rPr>
          <w:rFonts w:hint="eastAsia" w:ascii="仿宋_GB2312" w:eastAsia="仿宋_GB2312"/>
          <w:color w:val="auto"/>
          <w:sz w:val="32"/>
          <w:szCs w:val="32"/>
          <w:highlight w:val="none"/>
        </w:rPr>
        <w:t>支出（类）行政单位离退休（款）未归口管理的行政事业单位离退休（项）：指用于行政单位离休人员支出。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17．社会保障和</w:t>
      </w:r>
      <w:r>
        <w:rPr>
          <w:rFonts w:hint="eastAsia" w:ascii="仿宋_GB2312" w:eastAsia="仿宋_GB2312"/>
          <w:color w:val="auto"/>
          <w:sz w:val="32"/>
          <w:szCs w:val="32"/>
          <w:highlight w:val="none"/>
          <w:lang w:eastAsia="zh-CN"/>
        </w:rPr>
        <w:t>就业</w:t>
      </w:r>
      <w:r>
        <w:rPr>
          <w:rFonts w:hint="eastAsia" w:ascii="仿宋_GB2312" w:eastAsia="仿宋_GB2312"/>
          <w:color w:val="auto"/>
          <w:sz w:val="32"/>
          <w:szCs w:val="32"/>
          <w:highlight w:val="none"/>
        </w:rPr>
        <w:t>支出（类）行政单位离退休（款）机关事业单位基本养老保险缴费支出（项）：指用于机关事业单位基本养老保险缴费支出。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18．社会保障和</w:t>
      </w:r>
      <w:r>
        <w:rPr>
          <w:rFonts w:hint="eastAsia" w:ascii="仿宋_GB2312" w:eastAsia="仿宋_GB2312"/>
          <w:color w:val="auto"/>
          <w:sz w:val="32"/>
          <w:szCs w:val="32"/>
          <w:highlight w:val="none"/>
          <w:lang w:eastAsia="zh-CN"/>
        </w:rPr>
        <w:t>就业</w:t>
      </w:r>
      <w:r>
        <w:rPr>
          <w:rFonts w:hint="eastAsia" w:ascii="仿宋_GB2312" w:eastAsia="仿宋_GB2312"/>
          <w:color w:val="auto"/>
          <w:sz w:val="32"/>
          <w:szCs w:val="32"/>
          <w:highlight w:val="none"/>
        </w:rPr>
        <w:t>支出（类）行政单位离退休（款）机关事业单位职业年金缴费支出（项）：指用于事业单位职业年金缴费支出。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19．社会保障和就业（类）抚恤（款）死亡抚恤（项）：指用于病故人员家属的一次性抚恤金和丧葬费支出。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20．医疗卫生与计划生育支出（类）行政事业单位医疗（款）行政单位医疗（项）：指用于按政策规定为行政单位职工缴纳医疗保险金等支出。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21．医疗卫生与计划生育支出（类）行政事业单位医疗（款）事业单位医疗（项）：指用于按政策规定为事业单位职工缴纳医疗保险金等支出。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22．医疗卫生与计划生育支出（类）行政事业单位医疗（款）公务员医疗补助（项）：指用于按政策规定为职工缴纳公务员医疗补助等支出。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23．住房保障支出（类）住房改革支出（款）住房公积金（项）：指用于按政策规定为职工缴纳的住房公积金支出。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24．住房保障支出（类）住房改革支出（款）购房补贴（项）：指用于按政策规定发给无房职工的购房补贴支出。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25．年末结转和结余：指本年度或以前年度预算安排、因客观条件发生变化无法按原计划实施，需延迟到以后年度按有关规定继续使用的资金。</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26．基本支出：指为保障机构正常运转、完成日常工作任务而发生的人员支出和公用支出。</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27．项目支出：指在基本支出之外为完成特定行政任务和事业发展目标所发生的支出。　</w:t>
      </w:r>
    </w:p>
    <w:p>
      <w:pPr>
        <w:spacing w:line="600" w:lineRule="exact"/>
        <w:ind w:firstLine="640" w:firstLineChars="200"/>
        <w:jc w:val="both"/>
        <w:outlineLvl w:val="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jc w:val="center"/>
        <w:rPr>
          <w:rStyle w:val="24"/>
          <w:rFonts w:hint="eastAsia" w:ascii="黑体" w:hAnsi="黑体" w:eastAsia="黑体"/>
          <w:b w:val="0"/>
          <w:color w:val="auto"/>
          <w:highlight w:val="none"/>
          <w:lang w:eastAsia="zh-CN"/>
        </w:rPr>
      </w:pPr>
      <w:r>
        <w:rPr>
          <w:rFonts w:hint="eastAsia" w:ascii="仿宋_GB2312" w:eastAsia="仿宋_GB2312"/>
          <w:color w:val="auto"/>
          <w:sz w:val="32"/>
          <w:szCs w:val="32"/>
          <w:highlight w:val="none"/>
        </w:rPr>
        <w:t>29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板桥口镇</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全镇所辖</w:t>
      </w:r>
      <w:r>
        <w:rPr>
          <w:rFonts w:hint="eastAsia" w:ascii="仿宋_GB2312" w:hAnsi="宋体" w:eastAsia="仿宋_GB2312" w:cs="宋体"/>
          <w:color w:val="auto"/>
          <w:kern w:val="0"/>
          <w:sz w:val="32"/>
          <w:szCs w:val="32"/>
          <w:highlight w:val="none"/>
          <w:shd w:val="clear" w:color="auto" w:fill="FFFFFF"/>
          <w:lang w:val="en-US" w:eastAsia="zh-CN" w:bidi="ar-SA"/>
        </w:rPr>
        <w:t>4</w:t>
      </w:r>
      <w:r>
        <w:rPr>
          <w:rFonts w:hint="eastAsia" w:ascii="仿宋_GB2312" w:hAnsi="宋体" w:eastAsia="仿宋_GB2312" w:cs="宋体"/>
          <w:color w:val="auto"/>
          <w:kern w:val="0"/>
          <w:sz w:val="32"/>
          <w:szCs w:val="32"/>
          <w:highlight w:val="none"/>
          <w:shd w:val="clear" w:color="auto" w:fill="FFFFFF"/>
          <w:lang w:val="zh-CN" w:eastAsia="zh-CN" w:bidi="ar-SA"/>
        </w:rPr>
        <w:t>个预算单位：通江县诺江镇人民政府（本级）、通江县板桥口镇正文小学、通江县板桥口镇砥坝中心小学、通江县板桥口镇卫生院。</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独立编制机构数</w:t>
      </w:r>
      <w:r>
        <w:rPr>
          <w:rFonts w:hint="eastAsia" w:ascii="仿宋_GB2312" w:hAnsi="宋体" w:eastAsia="仿宋_GB2312" w:cs="宋体"/>
          <w:color w:val="auto"/>
          <w:kern w:val="0"/>
          <w:sz w:val="32"/>
          <w:szCs w:val="32"/>
          <w:highlight w:val="none"/>
          <w:shd w:val="clear" w:color="auto" w:fill="FFFFFF"/>
          <w:lang w:val="en-US" w:eastAsia="zh-CN" w:bidi="ar-SA"/>
        </w:rPr>
        <w:t>13</w:t>
      </w:r>
      <w:r>
        <w:rPr>
          <w:rFonts w:hint="eastAsia" w:ascii="仿宋_GB2312" w:hAnsi="宋体" w:eastAsia="仿宋_GB2312" w:cs="宋体"/>
          <w:color w:val="auto"/>
          <w:kern w:val="0"/>
          <w:sz w:val="32"/>
          <w:szCs w:val="32"/>
          <w:highlight w:val="none"/>
          <w:shd w:val="clear" w:color="auto" w:fill="FFFFFF"/>
          <w:lang w:val="zh-CN" w:eastAsia="zh-CN" w:bidi="ar-SA"/>
        </w:rPr>
        <w:t>个，其中：政府办公厅（室）及相关机构事务</w:t>
      </w:r>
      <w:r>
        <w:rPr>
          <w:rFonts w:hint="eastAsia" w:ascii="仿宋_GB2312" w:hAnsi="宋体" w:eastAsia="仿宋_GB2312" w:cs="宋体"/>
          <w:color w:val="auto"/>
          <w:kern w:val="0"/>
          <w:sz w:val="32"/>
          <w:szCs w:val="32"/>
          <w:highlight w:val="none"/>
          <w:shd w:val="clear" w:color="auto" w:fill="FFFFFF"/>
          <w:lang w:val="en-US" w:eastAsia="zh-CN" w:bidi="ar-SA"/>
        </w:rPr>
        <w:t>10</w:t>
      </w:r>
      <w:r>
        <w:rPr>
          <w:rFonts w:hint="eastAsia" w:ascii="仿宋_GB2312" w:hAnsi="宋体" w:eastAsia="仿宋_GB2312" w:cs="宋体"/>
          <w:color w:val="auto"/>
          <w:kern w:val="0"/>
          <w:sz w:val="32"/>
          <w:szCs w:val="32"/>
          <w:highlight w:val="none"/>
          <w:shd w:val="clear" w:color="auto" w:fill="FFFFFF"/>
          <w:lang w:val="zh-CN" w:eastAsia="zh-CN" w:bidi="ar-SA"/>
        </w:rPr>
        <w:t>个，教育支出</w:t>
      </w:r>
      <w:r>
        <w:rPr>
          <w:rFonts w:hint="eastAsia" w:ascii="仿宋_GB2312" w:hAnsi="宋体" w:eastAsia="仿宋_GB2312" w:cs="宋体"/>
          <w:color w:val="auto"/>
          <w:kern w:val="0"/>
          <w:sz w:val="32"/>
          <w:szCs w:val="32"/>
          <w:highlight w:val="none"/>
          <w:shd w:val="clear" w:color="auto" w:fill="FFFFFF"/>
          <w:lang w:val="en-US" w:eastAsia="zh-CN" w:bidi="ar-SA"/>
        </w:rPr>
        <w:t>2</w:t>
      </w:r>
      <w:r>
        <w:rPr>
          <w:rFonts w:hint="eastAsia" w:ascii="仿宋_GB2312" w:hAnsi="宋体" w:eastAsia="仿宋_GB2312" w:cs="宋体"/>
          <w:color w:val="auto"/>
          <w:kern w:val="0"/>
          <w:sz w:val="32"/>
          <w:szCs w:val="32"/>
          <w:highlight w:val="none"/>
          <w:shd w:val="clear" w:color="auto" w:fill="FFFFFF"/>
          <w:lang w:val="zh-CN" w:eastAsia="zh-CN" w:bidi="ar-SA"/>
        </w:rPr>
        <w:t>个，卫生健康支出1个。</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独立核算单位</w:t>
      </w:r>
      <w:r>
        <w:rPr>
          <w:rFonts w:hint="eastAsia" w:hAnsi="宋体" w:cs="宋体"/>
          <w:color w:val="auto"/>
          <w:kern w:val="0"/>
          <w:sz w:val="32"/>
          <w:szCs w:val="32"/>
          <w:highlight w:val="none"/>
          <w:shd w:val="clear" w:color="auto" w:fill="FFFFFF"/>
          <w:lang w:val="en-US" w:eastAsia="zh-CN" w:bidi="ar-SA"/>
        </w:rPr>
        <w:t>5</w:t>
      </w:r>
      <w:r>
        <w:rPr>
          <w:rFonts w:hint="eastAsia" w:ascii="仿宋_GB2312" w:hAnsi="宋体" w:eastAsia="仿宋_GB2312" w:cs="宋体"/>
          <w:color w:val="auto"/>
          <w:kern w:val="0"/>
          <w:sz w:val="32"/>
          <w:szCs w:val="32"/>
          <w:highlight w:val="none"/>
          <w:shd w:val="clear" w:color="auto" w:fill="FFFFFF"/>
          <w:lang w:val="zh-CN" w:eastAsia="zh-CN" w:bidi="ar-SA"/>
        </w:rPr>
        <w:t>个，其中：政府办公厅（室）及相关机构事务2个，教育支出</w:t>
      </w:r>
      <w:r>
        <w:rPr>
          <w:rFonts w:hint="eastAsia" w:hAnsi="宋体" w:cs="宋体"/>
          <w:color w:val="auto"/>
          <w:kern w:val="0"/>
          <w:sz w:val="32"/>
          <w:szCs w:val="32"/>
          <w:highlight w:val="none"/>
          <w:shd w:val="clear" w:color="auto" w:fill="FFFFFF"/>
          <w:lang w:val="en-US" w:eastAsia="zh-CN" w:bidi="ar-SA"/>
        </w:rPr>
        <w:t>1</w:t>
      </w:r>
      <w:r>
        <w:rPr>
          <w:rFonts w:hint="eastAsia" w:ascii="仿宋_GB2312" w:hAnsi="宋体" w:eastAsia="仿宋_GB2312" w:cs="宋体"/>
          <w:color w:val="auto"/>
          <w:kern w:val="0"/>
          <w:sz w:val="32"/>
          <w:szCs w:val="32"/>
          <w:highlight w:val="none"/>
          <w:shd w:val="clear" w:color="auto" w:fill="FFFFFF"/>
          <w:lang w:val="zh-CN" w:eastAsia="zh-CN" w:bidi="ar-SA"/>
        </w:rPr>
        <w:t>个，卫生健康支出1个。</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1、执行上级国家行政机关的决定、命令和国家制定的法令、法规，接受同级党委的领导，执行本级人民代表大会的各项决议，并报告执行决议、决定和命令的情况。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2、制定并落实本行政区域的经济计划和措施，促进产业结构调整及其他经济保持平衡协调发展，抓好招商引资，人才引进</w:t>
      </w:r>
      <w:r>
        <w:rPr>
          <w:rFonts w:hint="eastAsia" w:hAnsi="宋体" w:cs="宋体"/>
          <w:color w:val="auto"/>
          <w:kern w:val="0"/>
          <w:sz w:val="32"/>
          <w:szCs w:val="32"/>
          <w:highlight w:val="none"/>
          <w:shd w:val="clear" w:color="auto" w:fill="FFFFFF"/>
          <w:lang w:val="zh-CN" w:eastAsia="zh-CN" w:bidi="ar-SA"/>
        </w:rPr>
        <w:t>和</w:t>
      </w:r>
      <w:r>
        <w:rPr>
          <w:rFonts w:hint="eastAsia" w:ascii="仿宋_GB2312" w:hAnsi="宋体" w:eastAsia="仿宋_GB2312" w:cs="宋体"/>
          <w:color w:val="auto"/>
          <w:kern w:val="0"/>
          <w:sz w:val="32"/>
          <w:szCs w:val="32"/>
          <w:highlight w:val="none"/>
          <w:shd w:val="clear" w:color="auto" w:fill="FFFFFF"/>
          <w:lang w:val="zh-CN" w:eastAsia="zh-CN" w:bidi="ar-SA"/>
        </w:rPr>
        <w:t>项目开发，不断培育市场体系，组织经济运行，促进经济发展，全面提高人民群众的生活水平和生活质量。</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3、制定并组织实施村镇建设规划，部署重点工程建设，地方道路建设及公共设施，水利设施的管理，负责土地、林木、水等自然资源和生态环境的保护，做好护林防火工作。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4、承担国有资产、集体资产管理、监督及增值保值责任</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保护公民私人所有合法财产，保障集体经济组织应有的自主权</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监督企业和各种经济联合体、个体户认真执行国家的法律、法令和政策，履行经济合同。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 xml:space="preserve"> 5、开展社会主义民主和法制的宣传教育，保障公民的权利</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制定社会治安综合治理工作规划并组织实施</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加强社区管理工作，依法管理外来流动人口，处理人民来信来访，调解民间纠纷，打击违法犯罪，维护社会稳定。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 xml:space="preserve"> 6、制定社会各项事业发展计划，发展教育、卫生、科技、民政、广播电视、文化、体育事业</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组织实施义务教育和其他各类教育</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加强计划生育工作</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推进社会保障、社会福利事业和养老保险工作</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做好劳动管理、科普、老龄及宗教、侨务等工作。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 xml:space="preserve"> 7、加强镇级财政的监督和管理，按计划组织、管理镇财政收入和支出，执行国家有关财经纪律和政策，保证国家财政收入的完成</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做好统计工作。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 xml:space="preserve"> 8、指导、支持、帮助村</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居</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民委员会的组织制度建设和业务建设，促进村</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居</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民委员会民主自治。 </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 xml:space="preserve"> 9、协助和支持设置在本行政区域内不隶属于镇的国家机关和企事业单位工作，监督其遵守和执行国家的法律、法规和政策。</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10、完成县委、县政府交办的其他工作。</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p>
    <w:p>
      <w:pPr>
        <w:pageBreakBefore w:val="0"/>
        <w:widowControl w:val="0"/>
        <w:kinsoku/>
        <w:wordWrap/>
        <w:overflowPunct/>
        <w:topLinePunct w:val="0"/>
        <w:autoSpaceDE/>
        <w:autoSpaceDN/>
        <w:bidi w:val="0"/>
        <w:spacing w:line="576" w:lineRule="exact"/>
        <w:ind w:firstLine="640" w:firstLineChars="200"/>
        <w:textAlignment w:val="auto"/>
        <w:rPr>
          <w:lang w:val="zh-CN"/>
        </w:rPr>
      </w:pPr>
      <w:r>
        <w:rPr>
          <w:rFonts w:hint="eastAsia" w:ascii="仿宋_GB2312" w:hAnsi="仿宋_GB2312" w:eastAsia="仿宋_GB2312" w:cs="仿宋_GB2312"/>
          <w:bCs/>
          <w:sz w:val="32"/>
          <w:szCs w:val="32"/>
          <w:highlight w:val="none"/>
          <w:lang w:eastAsia="zh-CN"/>
        </w:rPr>
        <w:t>一般公共预算财政拨款人数</w:t>
      </w:r>
      <w:r>
        <w:rPr>
          <w:rFonts w:hint="eastAsia" w:ascii="仿宋_GB2312" w:hAnsi="仿宋_GB2312" w:eastAsia="仿宋_GB2312" w:cs="仿宋_GB2312"/>
          <w:bCs/>
          <w:sz w:val="32"/>
          <w:szCs w:val="32"/>
          <w:highlight w:val="none"/>
          <w:lang w:val="en-US" w:eastAsia="zh-CN"/>
        </w:rPr>
        <w:t>154人，其中：行政人员26人、非参公事业人员128人。在职人员154人，其中：政府办公厅（室）及相关机构事务53个，教育支出81个，卫生健康支出20个。</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pStyle w:val="2"/>
        <w:ind w:firstLine="640" w:firstLineChars="200"/>
        <w:rPr>
          <w:rFonts w:hint="default" w:eastAsia="仿宋_GB2312"/>
          <w:lang w:val="en-US" w:eastAsia="zh-CN"/>
        </w:rPr>
      </w:pPr>
      <w:r>
        <w:rPr>
          <w:rFonts w:hint="eastAsia" w:hAnsi="宋体" w:cs="宋体"/>
          <w:color w:val="auto"/>
          <w:kern w:val="0"/>
          <w:sz w:val="32"/>
          <w:szCs w:val="32"/>
          <w:highlight w:val="none"/>
          <w:shd w:val="clear" w:color="auto" w:fill="FFFFFF"/>
          <w:lang w:val="en-US" w:eastAsia="zh-CN"/>
        </w:rPr>
        <w:t>2021年部门财政资金收入3616.85万元，其中包括2020年项目支出结转和结余9.25万元。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（二）部门财政资金支出情况</w:t>
      </w:r>
    </w:p>
    <w:p>
      <w:pPr>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sz w:val="32"/>
          <w:szCs w:val="32"/>
          <w:lang w:eastAsia="zh-CN"/>
        </w:rPr>
        <w:t>板桥口</w:t>
      </w:r>
      <w:r>
        <w:rPr>
          <w:rFonts w:hint="eastAsia" w:ascii="仿宋_GB2312" w:hAnsi="仿宋_GB2312" w:eastAsia="仿宋_GB2312" w:cs="仿宋_GB2312"/>
          <w:bCs/>
          <w:sz w:val="32"/>
          <w:szCs w:val="32"/>
        </w:rPr>
        <w:t>镇20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部门财政资金</w:t>
      </w:r>
      <w:r>
        <w:rPr>
          <w:rFonts w:hint="eastAsia" w:ascii="仿宋_GB2312" w:hAnsi="仿宋_GB2312" w:eastAsia="仿宋_GB2312" w:cs="仿宋_GB2312"/>
          <w:bCs/>
          <w:sz w:val="32"/>
          <w:szCs w:val="32"/>
          <w:lang w:val="en-US" w:eastAsia="zh-CN"/>
        </w:rPr>
        <w:t>3616.85</w:t>
      </w:r>
      <w:r>
        <w:rPr>
          <w:rFonts w:hint="eastAsia" w:ascii="仿宋_GB2312" w:hAnsi="仿宋_GB2312" w:eastAsia="仿宋_GB2312" w:cs="仿宋_GB2312"/>
          <w:sz w:val="32"/>
          <w:szCs w:val="32"/>
        </w:rPr>
        <w:t>万</w:t>
      </w:r>
      <w:r>
        <w:rPr>
          <w:rFonts w:hint="eastAsia" w:ascii="仿宋_GB2312" w:hAnsi="仿宋_GB2312" w:eastAsia="仿宋_GB2312" w:cs="仿宋_GB2312"/>
          <w:bCs/>
          <w:sz w:val="32"/>
          <w:szCs w:val="32"/>
        </w:rPr>
        <w:t>元全额支出到位，没有结余。其中：</w:t>
      </w:r>
      <w:r>
        <w:rPr>
          <w:rFonts w:hint="eastAsia" w:ascii="仿宋_GB2312" w:hAnsi="仿宋_GB2312" w:eastAsia="仿宋_GB2312" w:cs="仿宋_GB2312"/>
          <w:bCs/>
          <w:sz w:val="32"/>
          <w:szCs w:val="32"/>
          <w:lang w:eastAsia="zh-CN"/>
        </w:rPr>
        <w:t>一般公共服务项目支出</w:t>
      </w:r>
      <w:r>
        <w:rPr>
          <w:rFonts w:hint="eastAsia" w:ascii="仿宋_GB2312" w:hAnsi="仿宋_GB2312" w:eastAsia="仿宋_GB2312" w:cs="仿宋_GB2312"/>
          <w:bCs/>
          <w:sz w:val="32"/>
          <w:szCs w:val="32"/>
          <w:lang w:val="en-US" w:eastAsia="zh-CN"/>
        </w:rPr>
        <w:t>534.38万元；教育支出1059.14万元；</w:t>
      </w:r>
      <w:r>
        <w:rPr>
          <w:rFonts w:hint="eastAsia" w:ascii="仿宋_GB2312" w:hAnsi="仿宋_GB2312" w:eastAsia="仿宋_GB2312" w:cs="仿宋_GB2312"/>
          <w:bCs/>
          <w:color w:val="auto"/>
          <w:sz w:val="32"/>
          <w:szCs w:val="32"/>
          <w:lang w:eastAsia="zh-CN"/>
        </w:rPr>
        <w:t>文化体育与传媒项目支出</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；社会保障和就业支出</w:t>
      </w:r>
      <w:r>
        <w:rPr>
          <w:rFonts w:hint="eastAsia" w:ascii="仿宋_GB2312" w:hAnsi="仿宋_GB2312" w:eastAsia="仿宋_GB2312" w:cs="仿宋_GB2312"/>
          <w:bCs/>
          <w:color w:val="auto"/>
          <w:sz w:val="32"/>
          <w:szCs w:val="32"/>
          <w:lang w:val="en-US" w:eastAsia="zh-CN"/>
        </w:rPr>
        <w:t>198.27万元；</w:t>
      </w:r>
      <w:r>
        <w:rPr>
          <w:rFonts w:hint="eastAsia" w:ascii="仿宋_GB2312" w:hAnsi="仿宋_GB2312" w:eastAsia="仿宋_GB2312" w:cs="仿宋_GB2312"/>
          <w:bCs/>
          <w:color w:val="auto"/>
          <w:sz w:val="32"/>
          <w:szCs w:val="32"/>
          <w:highlight w:val="none"/>
          <w:lang w:val="en-US" w:eastAsia="zh-CN"/>
        </w:rPr>
        <w:t>卫生健康项目支出445.32万元；农林水项目支出1078.9</w:t>
      </w:r>
      <w:r>
        <w:rPr>
          <w:rFonts w:hint="eastAsia" w:ascii="仿宋_GB2312" w:hAnsi="仿宋_GB2312" w:eastAsia="仿宋_GB2312" w:cs="仿宋_GB2312"/>
          <w:bCs/>
          <w:color w:val="auto"/>
          <w:sz w:val="32"/>
          <w:szCs w:val="32"/>
          <w:lang w:val="en-US" w:eastAsia="zh-CN"/>
        </w:rPr>
        <w:t>万元；住房保障支出296.84万元。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（三）组织实施情况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eastAsia="zh-CN"/>
        </w:rPr>
        <w:t>为将有限的资金发挥最大作用，在严格执行县委、县政府下发的有关财务制度的情况下，我镇出台了一系列的资金管理制度和措施，例如：严格出差管理、办公费用管理、政府采购管理，完善接待制度，坚持财务会审制度和单位财务公开制度。</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2021年全年，辖区各单位保障单位职工的工资福利支出，做到足额及时发放；工资福利、运转、民生保障率达到100%；辖区单位严格控制“三公经费”，推行节能环保措施，改善场镇生活环境；合力打造雷竹、金银花等特色产业，多举措提升基层群众对政府工作的满意度。</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2021年政府整体财政支出严格执行相关规定，及时考核目标任务执行进度情况，促使目标进度及时完成。一是保障了工资福利的足额兑现，严格控制“三公经费”，压缩公业务经费；二是宣传落实好惠民政策，严格“一卡通”管理制度，涉农惠民资金兑现率100%；三是搞好脱贫攻坚工作，脱贫攻坚项目资金按项目进度划拨率100%；四是积极推动城市经济建设发展，提高城市文化生活水平，按质按量完成好政府各项工作任务。</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contextualSpacing/>
        <w:jc w:val="left"/>
        <w:textAlignment w:val="auto"/>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    2021年政府整体财政支出始终是按年初有预算，年终有决算，按年初预算逐步推进实施，各项工作都有序高效完成，2021年政府各项财政工作都得到了各级部门的高度认可，政府整体财政支出绩效目标考核目标质量指标完成较好。</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政府各级部门认真履职履责，为了完成各项工作任务，不断创新学习，加强为民服务意识，改进工作作风；全镇完成了财政收支目标任务，保工资、保政府运转、保民生工程；确保了预算资金全方位、全过程、全覆盖绩效管理。总之</w:t>
      </w:r>
      <w:r>
        <w:rPr>
          <w:rFonts w:hint="eastAsia" w:hAnsi="宋体" w:cs="宋体"/>
          <w:color w:val="auto"/>
          <w:kern w:val="0"/>
          <w:sz w:val="32"/>
          <w:szCs w:val="32"/>
          <w:highlight w:val="none"/>
          <w:shd w:val="clear" w:color="auto" w:fill="FFFFFF"/>
          <w:lang w:val="zh-CN" w:eastAsia="zh-CN" w:bidi="ar-SA"/>
        </w:rPr>
        <w:t>，</w:t>
      </w:r>
      <w:r>
        <w:rPr>
          <w:rFonts w:hint="eastAsia" w:ascii="仿宋_GB2312" w:hAnsi="宋体" w:eastAsia="仿宋_GB2312" w:cs="宋体"/>
          <w:color w:val="auto"/>
          <w:kern w:val="0"/>
          <w:sz w:val="32"/>
          <w:szCs w:val="32"/>
          <w:highlight w:val="none"/>
          <w:shd w:val="clear" w:color="auto" w:fill="FFFFFF"/>
          <w:lang w:val="zh-CN" w:eastAsia="zh-CN" w:bidi="ar-SA"/>
        </w:rPr>
        <w:t>2021年政府整体财政支出绩效目标考核指标不论是经济效益、社会效益、经济持续发展效益都持续稳步增长。</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1.项目预算的准确性还不够高，如环境综合治理长效管理经费年初按照分类固定标准进行预算，实际使用中存在较大缺口，支出责任与资金预算不成正比。</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2.项目管理不到位。如惠民惠农政策由于收集的基础资料和信息不完整、不准确，导致对部分受益人的补贴多次直发失败。</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3.项目实施进度偏慢、固定资产合账未及时与账面资产金额对账，</w:t>
      </w:r>
      <w:r>
        <w:rPr>
          <w:rFonts w:hint="eastAsia" w:hAnsi="宋体" w:cs="宋体"/>
          <w:color w:val="auto"/>
          <w:kern w:val="0"/>
          <w:sz w:val="32"/>
          <w:szCs w:val="32"/>
          <w:highlight w:val="none"/>
          <w:shd w:val="clear" w:color="auto" w:fill="FFFFFF"/>
          <w:lang w:val="zh-CN" w:eastAsia="zh-CN" w:bidi="ar-SA"/>
        </w:rPr>
        <w:t>未</w:t>
      </w:r>
      <w:bookmarkStart w:id="73" w:name="_GoBack"/>
      <w:bookmarkEnd w:id="73"/>
      <w:r>
        <w:rPr>
          <w:rFonts w:hint="eastAsia" w:ascii="仿宋_GB2312" w:hAnsi="宋体" w:eastAsia="仿宋_GB2312" w:cs="宋体"/>
          <w:color w:val="auto"/>
          <w:kern w:val="0"/>
          <w:sz w:val="32"/>
          <w:szCs w:val="32"/>
          <w:highlight w:val="none"/>
          <w:shd w:val="clear" w:color="auto" w:fill="FFFFFF"/>
          <w:lang w:val="zh-CN" w:eastAsia="zh-CN" w:bidi="ar-SA"/>
        </w:rPr>
        <w:t>与实物进行清点，导致年</w:t>
      </w:r>
      <w:r>
        <w:rPr>
          <w:rFonts w:hint="eastAsia" w:hAnsi="宋体" w:cs="宋体"/>
          <w:color w:val="auto"/>
          <w:kern w:val="0"/>
          <w:sz w:val="32"/>
          <w:szCs w:val="32"/>
          <w:highlight w:val="none"/>
          <w:shd w:val="clear" w:color="auto" w:fill="FFFFFF"/>
          <w:lang w:val="zh-CN" w:eastAsia="zh-CN" w:bidi="ar-SA"/>
        </w:rPr>
        <w:t>末</w:t>
      </w:r>
      <w:r>
        <w:rPr>
          <w:rFonts w:hint="eastAsia" w:ascii="仿宋_GB2312" w:hAnsi="宋体" w:eastAsia="仿宋_GB2312" w:cs="宋体"/>
          <w:color w:val="auto"/>
          <w:kern w:val="0"/>
          <w:sz w:val="32"/>
          <w:szCs w:val="32"/>
          <w:highlight w:val="none"/>
          <w:shd w:val="clear" w:color="auto" w:fill="FFFFFF"/>
          <w:lang w:val="zh-CN" w:eastAsia="zh-CN" w:bidi="ar-SA"/>
        </w:rPr>
        <w:t>资产合账与账面资产金额存在差异，固定资产管理有待加强。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1、强化绩效理念，深入推进评价工作。将“要我评价”的被动认识转化为“我要评价”的主动实践，把财政绩效评价作为转变政府职能、深化财政改革、促进科学理财的重要工作来抓，健全完善制度办法，切实加强组织领导，深入推进评价工作，提升整体绩效管理水平。</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2、强化事前准备，提升评价质量。落实预算执行分析，及时了解预算执行差异，及时预算调整，切实提高部门预算收支管理水平。</w:t>
      </w:r>
    </w:p>
    <w:p>
      <w:pPr>
        <w:pStyle w:val="2"/>
        <w:ind w:firstLine="640" w:firstLineChars="200"/>
        <w:rPr>
          <w:rFonts w:hint="eastAsia" w:ascii="仿宋_GB2312" w:hAnsi="宋体" w:eastAsia="仿宋_GB2312" w:cs="宋体"/>
          <w:color w:val="auto"/>
          <w:kern w:val="0"/>
          <w:sz w:val="32"/>
          <w:szCs w:val="32"/>
          <w:highlight w:val="none"/>
          <w:shd w:val="clear" w:color="auto" w:fill="FFFFFF"/>
          <w:lang w:val="zh-CN" w:eastAsia="zh-CN" w:bidi="ar-SA"/>
        </w:rPr>
      </w:pPr>
      <w:r>
        <w:rPr>
          <w:rFonts w:hint="eastAsia" w:ascii="仿宋_GB2312" w:hAnsi="宋体" w:eastAsia="仿宋_GB2312" w:cs="宋体"/>
          <w:color w:val="auto"/>
          <w:kern w:val="0"/>
          <w:sz w:val="32"/>
          <w:szCs w:val="32"/>
          <w:highlight w:val="none"/>
          <w:shd w:val="clear" w:color="auto" w:fill="FFFFFF"/>
          <w:lang w:val="zh-CN" w:eastAsia="zh-CN" w:bidi="ar-SA"/>
        </w:rPr>
        <w:t>3、强化结果应用，巩固评价成效。在进一步严格问题整改落实，加强评价结果与县级预算安排挂钩的工作力度的基础上，试点评价结果公开。由主管部门将部门自评报告向社会公开，接受公众监督。</w:t>
      </w: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spacing w:line="600" w:lineRule="exact"/>
        <w:jc w:val="center"/>
        <w:outlineLvl w:val="0"/>
        <w:rPr>
          <w:rFonts w:hint="eastAsia" w:ascii="仿宋" w:hAnsi="仿宋" w:eastAsia="仿宋"/>
          <w:b w:val="0"/>
          <w:color w:val="auto"/>
          <w:highlight w:val="none"/>
        </w:rPr>
      </w:pPr>
      <w:bookmarkStart w:id="59" w:name="_Toc1539661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7"/>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3"/>
    </w:p>
    <w:p>
      <w:pPr>
        <w:pStyle w:val="4"/>
        <w:rPr>
          <w:rStyle w:val="25"/>
          <w:rFonts w:ascii="仿宋" w:hAnsi="仿宋" w:eastAsia="仿宋"/>
          <w:b w:val="0"/>
          <w:bCs w:val="0"/>
          <w:color w:val="auto"/>
          <w:highlight w:val="none"/>
        </w:rPr>
      </w:pPr>
      <w:bookmarkStart w:id="64"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71"/>
    </w:p>
    <w:p>
      <w:pPr>
        <w:pStyle w:val="4"/>
        <w:rPr>
          <w:rStyle w:val="25"/>
          <w:rFonts w:hint="eastAsia" w:ascii="仿宋" w:hAnsi="仿宋" w:eastAsia="仿宋"/>
          <w:b w:val="0"/>
          <w:bCs w:val="0"/>
          <w:color w:val="auto"/>
          <w:highlight w:val="none"/>
        </w:rPr>
      </w:pPr>
      <w:bookmarkStart w:id="72"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9711E29"/>
    <w:multiLevelType w:val="singleLevel"/>
    <w:tmpl w:val="39711E29"/>
    <w:lvl w:ilvl="0" w:tentative="0">
      <w:start w:val="2"/>
      <w:numFmt w:val="chineseCounting"/>
      <w:suff w:val="nothing"/>
      <w:lvlText w:val="（%1）"/>
      <w:lvlJc w:val="left"/>
      <w:rPr>
        <w:rFonts w:hint="eastAsia"/>
      </w:rPr>
    </w:lvl>
  </w:abstractNum>
  <w:abstractNum w:abstractNumId="4">
    <w:nsid w:val="3E794925"/>
    <w:multiLevelType w:val="singleLevel"/>
    <w:tmpl w:val="3E794925"/>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DNiZTcxOWVkMjJjNmY4MDAyZWZhYzRiOTMxNm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222EB"/>
    <w:rsid w:val="02C64259"/>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C9507A2"/>
    <w:rsid w:val="3D98207C"/>
    <w:rsid w:val="3DFB1439"/>
    <w:rsid w:val="44E268DA"/>
    <w:rsid w:val="4A627F82"/>
    <w:rsid w:val="4B4F25DA"/>
    <w:rsid w:val="4BE068DB"/>
    <w:rsid w:val="4D577224"/>
    <w:rsid w:val="4EAB630A"/>
    <w:rsid w:val="4ECE2238"/>
    <w:rsid w:val="559C1961"/>
    <w:rsid w:val="574F2D93"/>
    <w:rsid w:val="5AF92295"/>
    <w:rsid w:val="5CD71FC4"/>
    <w:rsid w:val="66BF43C6"/>
    <w:rsid w:val="6C4A05C8"/>
    <w:rsid w:val="6E7E3605"/>
    <w:rsid w:val="6FF5CC65"/>
    <w:rsid w:val="715C0E4B"/>
    <w:rsid w:val="72734D90"/>
    <w:rsid w:val="73AD73D5"/>
    <w:rsid w:val="73B15D04"/>
    <w:rsid w:val="73B6EB34"/>
    <w:rsid w:val="79DA2451"/>
    <w:rsid w:val="79EE5BA4"/>
    <w:rsid w:val="7A894339"/>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C:\Users\Administrator\Desktop\2021&#37096;&#38376;&#20915;&#31639;&#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[2021部门决算图.xls]Sheet1!$J$3</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[2021部门决算图.xls]Sheet1!$K$2:$L$2</c:f>
              <c:strCache>
                <c:ptCount val="2"/>
                <c:pt idx="0">
                  <c:v>收入</c:v>
                </c:pt>
                <c:pt idx="1">
                  <c:v>支出</c:v>
                </c:pt>
              </c:strCache>
            </c:strRef>
          </c:cat>
          <c:val>
            <c:numRef>
              <c:f>[2021部门决算图.xls]Sheet1!$K$3:$L$3</c:f>
              <c:numCache>
                <c:formatCode>General</c:formatCode>
                <c:ptCount val="2"/>
                <c:pt idx="0">
                  <c:v>2790.72</c:v>
                </c:pt>
                <c:pt idx="1">
                  <c:v>2790.72</c:v>
                </c:pt>
              </c:numCache>
            </c:numRef>
          </c:val>
        </c:ser>
        <c:ser>
          <c:idx val="1"/>
          <c:order val="1"/>
          <c:tx>
            <c:strRef>
              <c:f>[2021部门决算图.xls]Sheet1!$J$4</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[2021部门决算图.xls]Sheet1!$K$2:$L$2</c:f>
              <c:strCache>
                <c:ptCount val="2"/>
                <c:pt idx="0">
                  <c:v>收入</c:v>
                </c:pt>
                <c:pt idx="1">
                  <c:v>支出</c:v>
                </c:pt>
              </c:strCache>
            </c:strRef>
          </c:cat>
          <c:val>
            <c:numRef>
              <c:f>[2021部门决算图.xls]Sheet1!$K$4:$L$4</c:f>
              <c:numCache>
                <c:formatCode>General</c:formatCode>
                <c:ptCount val="2"/>
                <c:pt idx="0">
                  <c:v>3616.85</c:v>
                </c:pt>
                <c:pt idx="1">
                  <c:v>3616.85</c:v>
                </c:pt>
              </c:numCache>
            </c:numRef>
          </c:val>
        </c:ser>
        <c:dLbls>
          <c:showLegendKey val="0"/>
          <c:showVal val="1"/>
          <c:showCatName val="0"/>
          <c:showSerName val="0"/>
          <c:showPercent val="0"/>
          <c:showBubbleSize val="0"/>
        </c:dLbls>
        <c:gapWidth val="219"/>
        <c:overlap val="-27"/>
        <c:axId val="893354609"/>
        <c:axId val="794194627"/>
      </c:barChart>
      <c:catAx>
        <c:axId val="8933546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194627"/>
        <c:crosses val="autoZero"/>
        <c:auto val="1"/>
        <c:lblAlgn val="ctr"/>
        <c:lblOffset val="100"/>
        <c:noMultiLvlLbl val="0"/>
      </c:catAx>
      <c:valAx>
        <c:axId val="7941946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3546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0.765277777777778</cdr:x>
      <cdr:y>0.864583333333333</cdr:y>
    </cdr:from>
    <cdr:to>
      <cdr:x>0.963194444444444</cdr:x>
      <cdr:y>0.944444444444444</cdr:y>
    </cdr:to>
    <cdr:sp>
      <cdr:nvSpPr>
        <cdr:cNvPr id="2" name="矩形 1"/>
        <cdr:cNvSpPr/>
      </cdr:nvSpPr>
      <cdr:spPr xmlns:a="http://schemas.openxmlformats.org/drawingml/2006/main">
        <a:xfrm xmlns:a="http://schemas.openxmlformats.org/drawingml/2006/main">
          <a:off x="3498850" y="2371725"/>
          <a:ext cx="904875" cy="2190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dr:relSizeAnchor xmlns:cdr="http://schemas.openxmlformats.org/drawingml/2006/chartDrawing">
    <cdr:from>
      <cdr:x>0.761111111111111</cdr:x>
      <cdr:y>0.888888888888889</cdr:y>
    </cdr:from>
    <cdr:to>
      <cdr:x>0.979861111111111</cdr:x>
      <cdr:y>0.965277777777778</cdr:y>
    </cdr:to>
    <cdr:sp>
      <cdr:nvSpPr>
        <cdr:cNvPr id="3" name="矩形 2"/>
        <cdr:cNvSpPr/>
      </cdr:nvSpPr>
      <cdr:spPr xmlns:a="http://schemas.openxmlformats.org/drawingml/2006/main">
        <a:xfrm xmlns:a="http://schemas.openxmlformats.org/drawingml/2006/main">
          <a:off x="3479800" y="2438400"/>
          <a:ext cx="100012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zh-CN" altLang="en-US" sz="1000"/>
            <a:t>单位：万元</a:t>
          </a:r>
          <a:endParaRPr lang="zh-CN" alt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9651</Words>
  <Characters>10377</Characters>
  <Lines>61</Lines>
  <Paragraphs>17</Paragraphs>
  <TotalTime>9</TotalTime>
  <ScaleCrop>false</ScaleCrop>
  <LinksUpToDate>false</LinksUpToDate>
  <CharactersWithSpaces>10452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2022-10-21T02:47:43Z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C79C655A69894D949BE53D25B24EBC41</vt:lpwstr>
  </property>
</Properties>
</file>