
<file path=[Content_Types].xml><?xml version="1.0" encoding="utf-8"?>
<Types xmlns="http://schemas.openxmlformats.org/package/2006/content-types">
  <Default Extension="xml" ContentType="application/xml"/>
  <Default Extension="xls" ContentType="application/vnd.ms-excel"/>
  <Default Extension="xlsx" ContentType="application/vnd.openxmlformats-officedocument.spreadsheetml.shee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sz w:val="72"/>
          <w:szCs w:val="72"/>
        </w:rPr>
      </w:pPr>
      <w:bookmarkStart w:id="0" w:name="_Toc15396597"/>
      <w:bookmarkStart w:id="1" w:name="_Toc15396475"/>
      <w:bookmarkStart w:id="2" w:name="_Toc15377193"/>
      <w:bookmarkStart w:id="3" w:name="_Toc15377425"/>
      <w:bookmarkStart w:id="4" w:name="_Toc15306267"/>
      <w:bookmarkStart w:id="5" w:name="_Toc15378441"/>
    </w:p>
    <w:p>
      <w:pPr>
        <w:spacing w:line="600" w:lineRule="exact"/>
        <w:jc w:val="center"/>
        <w:rPr>
          <w:rFonts w:ascii="方正小标宋简体" w:hAnsi="宋体" w:eastAsia="方正小标宋简体"/>
          <w:sz w:val="72"/>
          <w:szCs w:val="72"/>
        </w:rPr>
      </w:pPr>
    </w:p>
    <w:p>
      <w:pPr>
        <w:spacing w:line="600" w:lineRule="exact"/>
        <w:jc w:val="center"/>
        <w:rPr>
          <w:rFonts w:ascii="方正小标宋简体" w:hAnsi="宋体" w:eastAsia="方正小标宋简体"/>
          <w:sz w:val="72"/>
          <w:szCs w:val="72"/>
        </w:rPr>
      </w:pPr>
    </w:p>
    <w:p>
      <w:pPr>
        <w:spacing w:line="600" w:lineRule="exact"/>
        <w:jc w:val="center"/>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2236"/>
      <w:r>
        <w:rPr>
          <w:rFonts w:hint="eastAsia" w:ascii="方正小标宋简体" w:hAnsi="方正小标宋简体" w:eastAsia="方正小标宋简体" w:cs="方正小标宋简体"/>
          <w:sz w:val="72"/>
          <w:szCs w:val="72"/>
        </w:rPr>
        <w:t>2021年度</w:t>
      </w:r>
      <w:bookmarkEnd w:id="0"/>
      <w:bookmarkEnd w:id="1"/>
      <w:bookmarkEnd w:id="2"/>
      <w:bookmarkEnd w:id="3"/>
      <w:bookmarkEnd w:id="4"/>
      <w:bookmarkEnd w:id="5"/>
      <w:bookmarkEnd w:id="6"/>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7" w:name="_Toc14947"/>
      <w:bookmarkStart w:id="8" w:name="_Toc15396476"/>
      <w:bookmarkStart w:id="9" w:name="_Toc15377194"/>
      <w:bookmarkStart w:id="10" w:name="_Toc15396598"/>
      <w:bookmarkStart w:id="11" w:name="_Toc15378442"/>
      <w:bookmarkStart w:id="12" w:name="_Toc15377426"/>
      <w:bookmarkStart w:id="13" w:name="_Toc15306268"/>
      <w:r>
        <w:rPr>
          <w:rFonts w:hint="eastAsia" w:ascii="方正小标宋简体" w:hAnsi="方正小标宋简体" w:eastAsia="方正小标宋简体" w:cs="方正小标宋简体"/>
          <w:sz w:val="72"/>
          <w:szCs w:val="72"/>
        </w:rPr>
        <w:t>通江县商务局</w:t>
      </w:r>
      <w:bookmarkEnd w:id="7"/>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4" w:name="_Toc12859"/>
      <w:r>
        <w:rPr>
          <w:rFonts w:hint="eastAsia" w:ascii="方正小标宋简体" w:hAnsi="方正小标宋简体" w:eastAsia="方正小标宋简体" w:cs="方正小标宋简体"/>
          <w:sz w:val="72"/>
          <w:szCs w:val="72"/>
        </w:rPr>
        <w:t>部门决算</w:t>
      </w:r>
      <w:bookmarkEnd w:id="8"/>
      <w:bookmarkEnd w:id="9"/>
      <w:bookmarkEnd w:id="10"/>
      <w:bookmarkEnd w:id="11"/>
      <w:bookmarkEnd w:id="12"/>
      <w:bookmarkEnd w:id="13"/>
      <w:bookmarkEnd w:id="14"/>
    </w:p>
    <w:p>
      <w:pPr>
        <w:pStyle w:val="3"/>
        <w:spacing w:before="93"/>
        <w:rPr>
          <w:rFonts w:ascii="方正小标宋简体" w:hAnsi="方正小标宋简体" w:eastAsia="方正小标宋简体" w:cs="方正小标宋简体"/>
          <w:sz w:val="72"/>
          <w:szCs w:val="72"/>
        </w:rPr>
      </w:pPr>
    </w:p>
    <w:p>
      <w:pPr>
        <w:pStyle w:val="3"/>
        <w:spacing w:before="93"/>
        <w:rPr>
          <w:rFonts w:ascii="方正小标宋简体" w:hAnsi="方正小标宋简体" w:eastAsia="方正小标宋简体" w:cs="方正小标宋简体"/>
          <w:sz w:val="72"/>
          <w:szCs w:val="72"/>
        </w:rPr>
      </w:pPr>
    </w:p>
    <w:p>
      <w:pPr>
        <w:pStyle w:val="16"/>
        <w:rPr>
          <w:rFonts w:ascii="方正小标宋简体" w:hAnsi="方正小标宋简体" w:eastAsia="方正小标宋简体" w:cs="方正小标宋简体"/>
          <w:sz w:val="72"/>
          <w:szCs w:val="72"/>
        </w:rPr>
      </w:pPr>
    </w:p>
    <w:p/>
    <w:p>
      <w:pPr>
        <w:widowControl/>
        <w:jc w:val="center"/>
        <w:rPr>
          <w:rFonts w:ascii="黑体" w:hAnsi="黑体" w:eastAsia="黑体"/>
          <w:sz w:val="48"/>
          <w:szCs w:val="48"/>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titlePg/>
          <w:docGrid w:type="lines" w:linePitch="312" w:charSpace="0"/>
        </w:sectPr>
      </w:pPr>
    </w:p>
    <w:p>
      <w:pPr>
        <w:widowControl/>
        <w:jc w:val="center"/>
        <w:rPr>
          <w:rFonts w:ascii="黑体" w:hAnsi="黑体" w:eastAsia="黑体" w:cstheme="minorBidi"/>
          <w:sz w:val="28"/>
          <w:szCs w:val="28"/>
        </w:rPr>
      </w:pPr>
      <w:r>
        <w:rPr>
          <w:rFonts w:hint="eastAsia" w:ascii="黑体" w:hAnsi="黑体" w:eastAsia="黑体"/>
          <w:sz w:val="48"/>
          <w:szCs w:val="48"/>
        </w:rPr>
        <w:t>目录</w:t>
      </w:r>
    </w:p>
    <w:p/>
    <w:p>
      <w:pPr>
        <w:pStyle w:val="20"/>
        <w:rPr>
          <w:b/>
          <w:bCs/>
        </w:rPr>
      </w:pPr>
      <w:r>
        <w:rPr>
          <w:rFonts w:hint="eastAsia"/>
          <w:b/>
          <w:bCs/>
        </w:rPr>
        <w:t>公开时间：2022年8月25日</w:t>
      </w:r>
    </w:p>
    <w:sdt>
      <w:sdtPr>
        <w:rPr>
          <w:rFonts w:ascii="宋体" w:hAnsi="宋体"/>
        </w:rPr>
        <w:id w:val="147462057"/>
        <w:docPartObj>
          <w:docPartGallery w:val="Table of Contents"/>
          <w:docPartUnique/>
        </w:docPartObj>
      </w:sdtPr>
      <w:sdtEndPr>
        <w:rPr>
          <w:rFonts w:ascii="宋体" w:hAnsi="宋体"/>
          <w:b/>
        </w:rPr>
      </w:sdtEndPr>
      <w:sdtContent>
        <w:p>
          <w:pPr>
            <w:jc w:val="center"/>
          </w:pPr>
          <w:bookmarkStart w:id="15" w:name="_Toc15377196"/>
        </w:p>
        <w:p>
          <w:pPr>
            <w:pStyle w:val="43"/>
            <w:tabs>
              <w:tab w:val="right" w:leader="dot" w:pos="8306"/>
            </w:tabs>
            <w:rPr>
              <w:b/>
            </w:rPr>
          </w:pPr>
          <w:r>
            <w:fldChar w:fldCharType="begin"/>
          </w:r>
          <w:r>
            <w:instrText xml:space="preserve">TOC \o "1-2" \h \u</w:instrText>
          </w:r>
          <w:r>
            <w:fldChar w:fldCharType="separate"/>
          </w:r>
          <w:r>
            <w:fldChar w:fldCharType="begin"/>
          </w:r>
          <w:r>
            <w:instrText xml:space="preserve"> HYPERLINK \l "_Toc3576" </w:instrText>
          </w:r>
          <w:r>
            <w:fldChar w:fldCharType="separate"/>
          </w:r>
          <w:r>
            <w:rPr>
              <w:rFonts w:hint="eastAsia" w:ascii="黑体" w:hAnsi="黑体" w:eastAsia="黑体"/>
              <w:b/>
            </w:rPr>
            <w:t>第一部分</w:t>
          </w:r>
          <w:r>
            <w:rPr>
              <w:rFonts w:hint="eastAsia" w:ascii="黑体" w:hAnsi="黑体" w:eastAsia="黑体"/>
              <w:b/>
              <w:lang w:val="en-US" w:eastAsia="zh-CN"/>
            </w:rPr>
            <w:t xml:space="preserve"> </w:t>
          </w:r>
          <w:r>
            <w:rPr>
              <w:rFonts w:hint="eastAsia" w:ascii="黑体" w:hAnsi="黑体" w:eastAsia="黑体"/>
              <w:b/>
            </w:rPr>
            <w:t>部门概况</w:t>
          </w:r>
          <w:r>
            <w:rPr>
              <w:b/>
            </w:rPr>
            <w:tab/>
          </w:r>
          <w:r>
            <w:rPr>
              <w:b/>
            </w:rPr>
            <w:fldChar w:fldCharType="begin"/>
          </w:r>
          <w:r>
            <w:rPr>
              <w:b/>
            </w:rPr>
            <w:instrText xml:space="preserve"> PAGEREF _Toc3576 </w:instrText>
          </w:r>
          <w:r>
            <w:rPr>
              <w:b/>
            </w:rPr>
            <w:fldChar w:fldCharType="separate"/>
          </w:r>
          <w:r>
            <w:rPr>
              <w:b/>
            </w:rPr>
            <w:t>1</w:t>
          </w:r>
          <w:r>
            <w:rPr>
              <w:b/>
            </w:rPr>
            <w:fldChar w:fldCharType="end"/>
          </w:r>
          <w:r>
            <w:rPr>
              <w:b/>
            </w:rPr>
            <w:fldChar w:fldCharType="end"/>
          </w:r>
        </w:p>
        <w:p>
          <w:pPr>
            <w:pStyle w:val="44"/>
            <w:tabs>
              <w:tab w:val="right" w:leader="dot" w:pos="8306"/>
            </w:tabs>
            <w:ind w:left="420"/>
          </w:pPr>
          <w:r>
            <w:fldChar w:fldCharType="begin"/>
          </w:r>
          <w:r>
            <w:instrText xml:space="preserve"> HYPERLINK \l "_Toc13285" </w:instrText>
          </w:r>
          <w:r>
            <w:fldChar w:fldCharType="separate"/>
          </w:r>
          <w:r>
            <w:rPr>
              <w:rFonts w:hint="eastAsia" w:ascii="黑体" w:hAnsi="黑体" w:eastAsia="黑体"/>
            </w:rPr>
            <w:t>一、基本职能及主要工作</w:t>
          </w:r>
          <w:r>
            <w:tab/>
          </w:r>
          <w:r>
            <w:fldChar w:fldCharType="begin"/>
          </w:r>
          <w:r>
            <w:instrText xml:space="preserve"> PAGEREF _Toc13285 </w:instrText>
          </w:r>
          <w:r>
            <w:fldChar w:fldCharType="separate"/>
          </w:r>
          <w:r>
            <w:t>1</w:t>
          </w:r>
          <w:r>
            <w:fldChar w:fldCharType="end"/>
          </w:r>
          <w:r>
            <w:fldChar w:fldCharType="end"/>
          </w:r>
        </w:p>
        <w:p>
          <w:pPr>
            <w:pStyle w:val="44"/>
            <w:tabs>
              <w:tab w:val="right" w:leader="dot" w:pos="8306"/>
            </w:tabs>
            <w:ind w:left="420"/>
          </w:pPr>
          <w:r>
            <w:fldChar w:fldCharType="begin"/>
          </w:r>
          <w:r>
            <w:instrText xml:space="preserve"> HYPERLINK \l "_Toc19938" </w:instrText>
          </w:r>
          <w:r>
            <w:fldChar w:fldCharType="separate"/>
          </w:r>
          <w:r>
            <w:rPr>
              <w:rFonts w:hint="eastAsia" w:ascii="黑体" w:eastAsia="黑体"/>
            </w:rPr>
            <w:t>二、</w:t>
          </w:r>
          <w:r>
            <w:rPr>
              <w:rFonts w:hint="eastAsia" w:ascii="黑体" w:hAnsi="黑体" w:eastAsia="黑体"/>
            </w:rPr>
            <w:t>机构设置</w:t>
          </w:r>
          <w:r>
            <w:tab/>
          </w:r>
          <w:r>
            <w:fldChar w:fldCharType="begin"/>
          </w:r>
          <w:r>
            <w:instrText xml:space="preserve"> PAGEREF _Toc19938 </w:instrText>
          </w:r>
          <w:r>
            <w:fldChar w:fldCharType="separate"/>
          </w:r>
          <w:r>
            <w:t>6</w:t>
          </w:r>
          <w:r>
            <w:fldChar w:fldCharType="end"/>
          </w:r>
          <w:r>
            <w:fldChar w:fldCharType="end"/>
          </w:r>
        </w:p>
        <w:p>
          <w:pPr>
            <w:pStyle w:val="43"/>
            <w:tabs>
              <w:tab w:val="right" w:leader="dot" w:pos="8306"/>
            </w:tabs>
            <w:rPr>
              <w:b/>
            </w:rPr>
          </w:pPr>
          <w:r>
            <w:fldChar w:fldCharType="begin"/>
          </w:r>
          <w:r>
            <w:instrText xml:space="preserve"> HYPERLINK \l "_Toc30480" </w:instrText>
          </w:r>
          <w:r>
            <w:fldChar w:fldCharType="separate"/>
          </w:r>
          <w:r>
            <w:rPr>
              <w:rFonts w:hint="eastAsia" w:ascii="黑体" w:hAnsi="黑体" w:eastAsia="黑体"/>
              <w:b/>
              <w:bCs/>
            </w:rPr>
            <w:t>第二部分2021年度部门决算情况说明</w:t>
          </w:r>
          <w:r>
            <w:rPr>
              <w:b/>
            </w:rPr>
            <w:tab/>
          </w:r>
          <w:r>
            <w:rPr>
              <w:b/>
            </w:rPr>
            <w:fldChar w:fldCharType="begin"/>
          </w:r>
          <w:r>
            <w:rPr>
              <w:b/>
            </w:rPr>
            <w:instrText xml:space="preserve"> PAGEREF _Toc30480 </w:instrText>
          </w:r>
          <w:r>
            <w:rPr>
              <w:b/>
            </w:rPr>
            <w:fldChar w:fldCharType="separate"/>
          </w:r>
          <w:r>
            <w:rPr>
              <w:b/>
            </w:rPr>
            <w:t>7</w:t>
          </w:r>
          <w:r>
            <w:rPr>
              <w:b/>
            </w:rPr>
            <w:fldChar w:fldCharType="end"/>
          </w:r>
          <w:r>
            <w:rPr>
              <w:b/>
            </w:rPr>
            <w:fldChar w:fldCharType="end"/>
          </w:r>
        </w:p>
        <w:p>
          <w:pPr>
            <w:pStyle w:val="44"/>
            <w:tabs>
              <w:tab w:val="right" w:leader="dot" w:pos="8306"/>
            </w:tabs>
            <w:ind w:left="420"/>
          </w:pPr>
          <w:r>
            <w:fldChar w:fldCharType="begin"/>
          </w:r>
          <w:r>
            <w:instrText xml:space="preserve"> HYPERLINK \l "_Toc1736" </w:instrText>
          </w:r>
          <w:r>
            <w:fldChar w:fldCharType="separate"/>
          </w:r>
          <w:r>
            <w:rPr>
              <w:rFonts w:ascii="黑体" w:hAnsi="黑体" w:eastAsia="黑体"/>
            </w:rPr>
            <w:t>一、</w:t>
          </w:r>
          <w:r>
            <w:rPr>
              <w:rFonts w:hint="eastAsia" w:ascii="黑体" w:hAnsi="黑体" w:eastAsia="黑体"/>
              <w:szCs w:val="32"/>
            </w:rPr>
            <w:t>收</w:t>
          </w:r>
          <w:r>
            <w:rPr>
              <w:rFonts w:hint="eastAsia" w:ascii="黑体" w:hAnsi="黑体" w:eastAsia="黑体"/>
            </w:rPr>
            <w:t>入支出决算总体情况说明</w:t>
          </w:r>
          <w:r>
            <w:tab/>
          </w:r>
          <w:r>
            <w:fldChar w:fldCharType="begin"/>
          </w:r>
          <w:r>
            <w:instrText xml:space="preserve"> PAGEREF _Toc1736 </w:instrText>
          </w:r>
          <w:r>
            <w:fldChar w:fldCharType="separate"/>
          </w:r>
          <w:r>
            <w:t>7</w:t>
          </w:r>
          <w:r>
            <w:fldChar w:fldCharType="end"/>
          </w:r>
          <w:r>
            <w:fldChar w:fldCharType="end"/>
          </w:r>
        </w:p>
        <w:p>
          <w:pPr>
            <w:pStyle w:val="44"/>
            <w:tabs>
              <w:tab w:val="right" w:leader="dot" w:pos="8306"/>
            </w:tabs>
            <w:ind w:left="420"/>
          </w:pPr>
          <w:r>
            <w:fldChar w:fldCharType="begin"/>
          </w:r>
          <w:r>
            <w:instrText xml:space="preserve"> HYPERLINK \l "_Toc9159" </w:instrText>
          </w:r>
          <w:r>
            <w:fldChar w:fldCharType="separate"/>
          </w:r>
          <w:r>
            <w:rPr>
              <w:rFonts w:ascii="黑体" w:hAnsi="黑体" w:eastAsia="黑体"/>
            </w:rPr>
            <w:t>二、</w:t>
          </w:r>
          <w:r>
            <w:rPr>
              <w:rFonts w:hint="eastAsia" w:ascii="黑体" w:hAnsi="黑体" w:eastAsia="黑体"/>
              <w:szCs w:val="32"/>
            </w:rPr>
            <w:t>收</w:t>
          </w:r>
          <w:r>
            <w:rPr>
              <w:rFonts w:hint="eastAsia" w:ascii="黑体" w:hAnsi="黑体" w:eastAsia="黑体"/>
            </w:rPr>
            <w:t>入决算情况说明</w:t>
          </w:r>
          <w:r>
            <w:tab/>
          </w:r>
          <w:r>
            <w:fldChar w:fldCharType="begin"/>
          </w:r>
          <w:r>
            <w:instrText xml:space="preserve"> PAGEREF _Toc9159 </w:instrText>
          </w:r>
          <w:r>
            <w:fldChar w:fldCharType="separate"/>
          </w:r>
          <w:r>
            <w:t>7</w:t>
          </w:r>
          <w:r>
            <w:fldChar w:fldCharType="end"/>
          </w:r>
          <w:r>
            <w:fldChar w:fldCharType="end"/>
          </w:r>
        </w:p>
        <w:p>
          <w:pPr>
            <w:pStyle w:val="44"/>
            <w:tabs>
              <w:tab w:val="right" w:leader="dot" w:pos="8306"/>
            </w:tabs>
            <w:ind w:left="420"/>
          </w:pPr>
          <w:r>
            <w:fldChar w:fldCharType="begin"/>
          </w:r>
          <w:r>
            <w:instrText xml:space="preserve"> HYPERLINK \l "_Toc7492" </w:instrText>
          </w:r>
          <w:r>
            <w:fldChar w:fldCharType="separate"/>
          </w:r>
          <w:r>
            <w:rPr>
              <w:rFonts w:ascii="黑体" w:hAnsi="黑体" w:eastAsia="黑体"/>
            </w:rPr>
            <w:t>三、</w:t>
          </w:r>
          <w:r>
            <w:rPr>
              <w:rFonts w:hint="eastAsia" w:ascii="黑体" w:hAnsi="黑体" w:eastAsia="黑体"/>
              <w:szCs w:val="32"/>
            </w:rPr>
            <w:t>支</w:t>
          </w:r>
          <w:r>
            <w:rPr>
              <w:rFonts w:hint="eastAsia" w:ascii="黑体" w:hAnsi="黑体" w:eastAsia="黑体"/>
            </w:rPr>
            <w:t>出决算情况说明</w:t>
          </w:r>
          <w:r>
            <w:tab/>
          </w:r>
          <w:r>
            <w:fldChar w:fldCharType="begin"/>
          </w:r>
          <w:r>
            <w:instrText xml:space="preserve"> PAGEREF _Toc7492 </w:instrText>
          </w:r>
          <w:r>
            <w:fldChar w:fldCharType="separate"/>
          </w:r>
          <w:r>
            <w:t>8</w:t>
          </w:r>
          <w:r>
            <w:fldChar w:fldCharType="end"/>
          </w:r>
          <w:r>
            <w:fldChar w:fldCharType="end"/>
          </w:r>
        </w:p>
        <w:p>
          <w:pPr>
            <w:pStyle w:val="44"/>
            <w:tabs>
              <w:tab w:val="right" w:leader="dot" w:pos="8306"/>
            </w:tabs>
            <w:ind w:left="420"/>
          </w:pPr>
          <w:r>
            <w:fldChar w:fldCharType="begin"/>
          </w:r>
          <w:r>
            <w:instrText xml:space="preserve"> HYPERLINK \l "_Toc5824" </w:instrText>
          </w:r>
          <w: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_Toc5824 </w:instrText>
          </w:r>
          <w:r>
            <w:fldChar w:fldCharType="separate"/>
          </w:r>
          <w:r>
            <w:t>9</w:t>
          </w:r>
          <w:r>
            <w:fldChar w:fldCharType="end"/>
          </w:r>
          <w:r>
            <w:fldChar w:fldCharType="end"/>
          </w:r>
        </w:p>
        <w:p>
          <w:pPr>
            <w:pStyle w:val="44"/>
            <w:tabs>
              <w:tab w:val="right" w:leader="dot" w:pos="8306"/>
            </w:tabs>
            <w:ind w:left="420"/>
          </w:pPr>
          <w:r>
            <w:fldChar w:fldCharType="begin"/>
          </w:r>
          <w:r>
            <w:instrText xml:space="preserve"> HYPERLINK \l "_Toc22532" </w:instrText>
          </w:r>
          <w: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_Toc22532 </w:instrText>
          </w:r>
          <w:r>
            <w:fldChar w:fldCharType="separate"/>
          </w:r>
          <w:r>
            <w:t>9</w:t>
          </w:r>
          <w:r>
            <w:fldChar w:fldCharType="end"/>
          </w:r>
          <w:r>
            <w:fldChar w:fldCharType="end"/>
          </w:r>
        </w:p>
        <w:p>
          <w:pPr>
            <w:pStyle w:val="44"/>
            <w:tabs>
              <w:tab w:val="right" w:leader="dot" w:pos="8306"/>
            </w:tabs>
            <w:ind w:left="420"/>
          </w:pPr>
          <w:r>
            <w:fldChar w:fldCharType="begin"/>
          </w:r>
          <w:r>
            <w:instrText xml:space="preserve"> HYPERLINK \l "_Toc31660" </w:instrText>
          </w:r>
          <w: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_Toc31660 </w:instrText>
          </w:r>
          <w:r>
            <w:fldChar w:fldCharType="separate"/>
          </w:r>
          <w:r>
            <w:t>12</w:t>
          </w:r>
          <w:r>
            <w:fldChar w:fldCharType="end"/>
          </w:r>
          <w:r>
            <w:fldChar w:fldCharType="end"/>
          </w:r>
        </w:p>
        <w:p>
          <w:pPr>
            <w:pStyle w:val="44"/>
            <w:tabs>
              <w:tab w:val="right" w:leader="dot" w:pos="8306"/>
            </w:tabs>
            <w:ind w:left="420"/>
          </w:pPr>
          <w:r>
            <w:fldChar w:fldCharType="begin"/>
          </w:r>
          <w:r>
            <w:instrText xml:space="preserve"> HYPERLINK \l "_Toc24202" </w:instrText>
          </w:r>
          <w:r>
            <w:fldChar w:fldCharType="separate"/>
          </w:r>
          <w:r>
            <w:rPr>
              <w:rFonts w:hint="eastAsia" w:ascii="黑体" w:eastAsia="黑体"/>
              <w:szCs w:val="32"/>
            </w:rPr>
            <w:t>七、</w:t>
          </w:r>
          <w:r>
            <w:rPr>
              <w:rFonts w:hint="eastAsia" w:ascii="黑体" w:hAnsi="黑体" w:eastAsia="黑体"/>
            </w:rPr>
            <w:t>“三公”经费财政拨款支出决算情况说明</w:t>
          </w:r>
          <w:r>
            <w:tab/>
          </w:r>
          <w:r>
            <w:fldChar w:fldCharType="begin"/>
          </w:r>
          <w:r>
            <w:instrText xml:space="preserve"> PAGEREF _Toc24202 </w:instrText>
          </w:r>
          <w:r>
            <w:fldChar w:fldCharType="separate"/>
          </w:r>
          <w:r>
            <w:t>12</w:t>
          </w:r>
          <w:r>
            <w:fldChar w:fldCharType="end"/>
          </w:r>
          <w:r>
            <w:fldChar w:fldCharType="end"/>
          </w:r>
        </w:p>
        <w:p>
          <w:pPr>
            <w:pStyle w:val="44"/>
            <w:tabs>
              <w:tab w:val="right" w:leader="dot" w:pos="8306"/>
            </w:tabs>
            <w:ind w:left="420"/>
          </w:pPr>
          <w:r>
            <w:fldChar w:fldCharType="begin"/>
          </w:r>
          <w:r>
            <w:instrText xml:space="preserve"> HYPERLINK \l "_Toc32733" </w:instrText>
          </w:r>
          <w:r>
            <w:fldChar w:fldCharType="separate"/>
          </w:r>
          <w:r>
            <w:rPr>
              <w:rFonts w:hint="eastAsia" w:ascii="黑体" w:eastAsia="黑体"/>
              <w:szCs w:val="32"/>
            </w:rPr>
            <w:t>八、</w:t>
          </w:r>
          <w:r>
            <w:rPr>
              <w:rFonts w:hint="eastAsia" w:ascii="黑体" w:hAnsi="黑体" w:eastAsia="黑体"/>
            </w:rPr>
            <w:t>政府性基金预算支出决算情况说明</w:t>
          </w:r>
          <w:r>
            <w:tab/>
          </w:r>
          <w:r>
            <w:fldChar w:fldCharType="begin"/>
          </w:r>
          <w:r>
            <w:instrText xml:space="preserve"> PAGEREF _Toc32733 </w:instrText>
          </w:r>
          <w:r>
            <w:fldChar w:fldCharType="separate"/>
          </w:r>
          <w:r>
            <w:t>14</w:t>
          </w:r>
          <w:r>
            <w:fldChar w:fldCharType="end"/>
          </w:r>
          <w:r>
            <w:fldChar w:fldCharType="end"/>
          </w:r>
        </w:p>
        <w:p>
          <w:pPr>
            <w:pStyle w:val="44"/>
            <w:tabs>
              <w:tab w:val="right" w:leader="dot" w:pos="8306"/>
            </w:tabs>
            <w:ind w:left="420"/>
          </w:pPr>
          <w:r>
            <w:fldChar w:fldCharType="begin"/>
          </w:r>
          <w:r>
            <w:instrText xml:space="preserve"> HYPERLINK \l "_Toc25548" </w:instrText>
          </w:r>
          <w:r>
            <w:fldChar w:fldCharType="separate"/>
          </w:r>
          <w:r>
            <w:rPr>
              <w:rFonts w:hint="eastAsia" w:ascii="黑体" w:hAnsi="黑体" w:eastAsia="黑体"/>
            </w:rPr>
            <w:t>九、国有资本经营预算支出决算情况说明</w:t>
          </w:r>
          <w:r>
            <w:tab/>
          </w:r>
          <w:r>
            <w:fldChar w:fldCharType="begin"/>
          </w:r>
          <w:r>
            <w:instrText xml:space="preserve"> PAGEREF _Toc25548 </w:instrText>
          </w:r>
          <w:r>
            <w:fldChar w:fldCharType="separate"/>
          </w:r>
          <w:r>
            <w:t>14</w:t>
          </w:r>
          <w:r>
            <w:fldChar w:fldCharType="end"/>
          </w:r>
          <w:r>
            <w:fldChar w:fldCharType="end"/>
          </w:r>
        </w:p>
        <w:p>
          <w:pPr>
            <w:pStyle w:val="44"/>
            <w:tabs>
              <w:tab w:val="right" w:leader="dot" w:pos="8306"/>
            </w:tabs>
            <w:ind w:left="420"/>
          </w:pPr>
          <w:r>
            <w:fldChar w:fldCharType="begin"/>
          </w:r>
          <w:r>
            <w:instrText xml:space="preserve"> HYPERLINK \l "_Toc12089" </w:instrText>
          </w:r>
          <w:r>
            <w:fldChar w:fldCharType="separate"/>
          </w:r>
          <w:r>
            <w:rPr>
              <w:rFonts w:hint="eastAsia" w:ascii="黑体" w:hAnsi="黑体" w:eastAsia="黑体"/>
            </w:rPr>
            <w:t>十、其他重要事项的情况说明</w:t>
          </w:r>
          <w:r>
            <w:tab/>
          </w:r>
          <w:r>
            <w:fldChar w:fldCharType="begin"/>
          </w:r>
          <w:r>
            <w:instrText xml:space="preserve"> PAGEREF _Toc12089 </w:instrText>
          </w:r>
          <w:r>
            <w:fldChar w:fldCharType="separate"/>
          </w:r>
          <w:r>
            <w:t>14</w:t>
          </w:r>
          <w:r>
            <w:fldChar w:fldCharType="end"/>
          </w:r>
          <w:r>
            <w:fldChar w:fldCharType="end"/>
          </w:r>
        </w:p>
        <w:p>
          <w:pPr>
            <w:pStyle w:val="43"/>
            <w:tabs>
              <w:tab w:val="right" w:leader="dot" w:pos="8306"/>
            </w:tabs>
            <w:rPr>
              <w:b/>
            </w:rPr>
          </w:pPr>
          <w:r>
            <w:fldChar w:fldCharType="begin"/>
          </w:r>
          <w:r>
            <w:instrText xml:space="preserve"> HYPERLINK \l "_Toc14963" </w:instrText>
          </w:r>
          <w:r>
            <w:fldChar w:fldCharType="separate"/>
          </w:r>
          <w:r>
            <w:rPr>
              <w:rFonts w:hint="eastAsia" w:ascii="黑体" w:hAnsi="黑体" w:eastAsia="黑体"/>
              <w:b/>
            </w:rPr>
            <w:t>第三部分</w:t>
          </w:r>
          <w:r>
            <w:rPr>
              <w:rFonts w:hint="eastAsia" w:ascii="黑体" w:hAnsi="黑体" w:eastAsia="黑体"/>
              <w:b/>
              <w:lang w:val="en-US" w:eastAsia="zh-CN"/>
            </w:rPr>
            <w:t xml:space="preserve">  </w:t>
          </w:r>
          <w:r>
            <w:rPr>
              <w:rFonts w:hint="eastAsia" w:ascii="黑体" w:hAnsi="黑体" w:eastAsia="黑体"/>
              <w:b/>
              <w:szCs w:val="44"/>
            </w:rPr>
            <w:t>名</w:t>
          </w:r>
          <w:r>
            <w:rPr>
              <w:rFonts w:hint="eastAsia" w:ascii="黑体" w:hAnsi="黑体" w:eastAsia="黑体"/>
              <w:b/>
            </w:rPr>
            <w:t>词解释</w:t>
          </w:r>
          <w:r>
            <w:rPr>
              <w:b/>
            </w:rPr>
            <w:tab/>
          </w:r>
          <w:r>
            <w:rPr>
              <w:b/>
            </w:rPr>
            <w:fldChar w:fldCharType="begin"/>
          </w:r>
          <w:r>
            <w:rPr>
              <w:b/>
            </w:rPr>
            <w:instrText xml:space="preserve"> PAGEREF _Toc14963 </w:instrText>
          </w:r>
          <w:r>
            <w:rPr>
              <w:b/>
            </w:rPr>
            <w:fldChar w:fldCharType="separate"/>
          </w:r>
          <w:r>
            <w:rPr>
              <w:b/>
            </w:rPr>
            <w:t>16</w:t>
          </w:r>
          <w:r>
            <w:rPr>
              <w:b/>
            </w:rPr>
            <w:fldChar w:fldCharType="end"/>
          </w:r>
          <w:r>
            <w:rPr>
              <w:b/>
            </w:rPr>
            <w:fldChar w:fldCharType="end"/>
          </w:r>
        </w:p>
        <w:p>
          <w:pPr>
            <w:pStyle w:val="43"/>
            <w:tabs>
              <w:tab w:val="right" w:leader="dot" w:pos="8306"/>
            </w:tabs>
            <w:rPr>
              <w:b/>
            </w:rPr>
          </w:pPr>
          <w:r>
            <w:fldChar w:fldCharType="begin"/>
          </w:r>
          <w:r>
            <w:instrText xml:space="preserve"> HYPERLINK \l "_Toc5816" </w:instrText>
          </w:r>
          <w:r>
            <w:fldChar w:fldCharType="separate"/>
          </w:r>
          <w:r>
            <w:rPr>
              <w:rFonts w:hint="eastAsia" w:ascii="黑体" w:hAnsi="黑体" w:eastAsia="黑体"/>
              <w:b/>
              <w:szCs w:val="44"/>
            </w:rPr>
            <w:t>第</w:t>
          </w:r>
          <w:r>
            <w:rPr>
              <w:rFonts w:hint="eastAsia" w:ascii="黑体" w:hAnsi="黑体" w:eastAsia="黑体"/>
              <w:b/>
              <w:u w:val="none" w:color="000000"/>
            </w:rPr>
            <w:t>四部</w:t>
          </w:r>
          <w:r>
            <w:rPr>
              <w:rFonts w:hint="eastAsia" w:ascii="黑体" w:hAnsi="黑体" w:eastAsia="黑体"/>
              <w:b/>
            </w:rPr>
            <w:t>分</w:t>
          </w:r>
          <w:r>
            <w:rPr>
              <w:rFonts w:hint="eastAsia" w:ascii="黑体" w:hAnsi="黑体" w:eastAsia="黑体"/>
              <w:b/>
              <w:u w:val="thick" w:color="FFB23A"/>
              <w:shd w:val="clear" w:fill="FFEFD8"/>
            </w:rPr>
            <w:t>附件</w:t>
          </w:r>
          <w:r>
            <w:rPr>
              <w:b/>
            </w:rPr>
            <w:tab/>
          </w:r>
          <w:r>
            <w:rPr>
              <w:b/>
            </w:rPr>
            <w:fldChar w:fldCharType="begin"/>
          </w:r>
          <w:r>
            <w:rPr>
              <w:b/>
            </w:rPr>
            <w:instrText xml:space="preserve"> PAGEREF _Toc5816 </w:instrText>
          </w:r>
          <w:r>
            <w:rPr>
              <w:b/>
            </w:rPr>
            <w:fldChar w:fldCharType="separate"/>
          </w:r>
          <w:r>
            <w:rPr>
              <w:b/>
            </w:rPr>
            <w:t>19</w:t>
          </w:r>
          <w:r>
            <w:rPr>
              <w:b/>
            </w:rPr>
            <w:fldChar w:fldCharType="end"/>
          </w:r>
          <w:r>
            <w:rPr>
              <w:b/>
            </w:rPr>
            <w:fldChar w:fldCharType="end"/>
          </w:r>
        </w:p>
        <w:p>
          <w:pPr>
            <w:pStyle w:val="43"/>
            <w:tabs>
              <w:tab w:val="right" w:leader="dot" w:pos="8306"/>
            </w:tabs>
            <w:rPr>
              <w:b/>
            </w:rPr>
          </w:pPr>
          <w:r>
            <w:fldChar w:fldCharType="begin"/>
          </w:r>
          <w:r>
            <w:instrText xml:space="preserve"> HYPERLINK \l "_Toc29887" </w:instrText>
          </w:r>
          <w:r>
            <w:fldChar w:fldCharType="separate"/>
          </w:r>
          <w:r>
            <w:rPr>
              <w:rFonts w:hint="eastAsia" w:ascii="黑体" w:hAnsi="黑体" w:eastAsia="黑体" w:cs="黑体"/>
              <w:b/>
              <w:szCs w:val="32"/>
            </w:rPr>
            <w:t>附件</w:t>
          </w:r>
          <w:r>
            <w:rPr>
              <w:b/>
            </w:rPr>
            <w:tab/>
          </w:r>
          <w:r>
            <w:rPr>
              <w:b/>
            </w:rPr>
            <w:fldChar w:fldCharType="begin"/>
          </w:r>
          <w:r>
            <w:rPr>
              <w:b/>
            </w:rPr>
            <w:instrText xml:space="preserve"> PAGEREF _Toc29887 </w:instrText>
          </w:r>
          <w:r>
            <w:rPr>
              <w:b/>
            </w:rPr>
            <w:fldChar w:fldCharType="separate"/>
          </w:r>
          <w:r>
            <w:rPr>
              <w:b/>
            </w:rPr>
            <w:t>19</w:t>
          </w:r>
          <w:r>
            <w:rPr>
              <w:b/>
            </w:rPr>
            <w:fldChar w:fldCharType="end"/>
          </w:r>
          <w:r>
            <w:rPr>
              <w:b/>
            </w:rPr>
            <w:fldChar w:fldCharType="end"/>
          </w:r>
        </w:p>
        <w:p>
          <w:pPr>
            <w:pStyle w:val="43"/>
            <w:tabs>
              <w:tab w:val="right" w:leader="dot" w:pos="8306"/>
            </w:tabs>
            <w:rPr>
              <w:b/>
            </w:rPr>
          </w:pPr>
          <w:r>
            <w:fldChar w:fldCharType="begin"/>
          </w:r>
          <w:r>
            <w:instrText xml:space="preserve"> HYPERLINK \l "_Toc21487" </w:instrText>
          </w:r>
          <w:r>
            <w:fldChar w:fldCharType="separate"/>
          </w:r>
          <w:r>
            <w:rPr>
              <w:rFonts w:hint="eastAsia" w:ascii="黑体" w:hAnsi="黑体" w:eastAsia="黑体"/>
              <w:b/>
              <w:szCs w:val="44"/>
            </w:rPr>
            <w:t>第</w:t>
          </w:r>
          <w:r>
            <w:rPr>
              <w:rFonts w:hint="eastAsia" w:ascii="黑体" w:hAnsi="黑体" w:eastAsia="黑体"/>
              <w:b/>
            </w:rPr>
            <w:t>五部分</w:t>
          </w:r>
          <w:r>
            <w:rPr>
              <w:rFonts w:hint="eastAsia" w:ascii="黑体" w:hAnsi="黑体" w:eastAsia="黑体"/>
              <w:b/>
              <w:lang w:val="en-US" w:eastAsia="zh-CN"/>
            </w:rPr>
            <w:t xml:space="preserve"> </w:t>
          </w:r>
          <w:r>
            <w:rPr>
              <w:rFonts w:hint="eastAsia" w:ascii="黑体" w:hAnsi="黑体" w:eastAsia="黑体"/>
              <w:b/>
            </w:rPr>
            <w:t>附表</w:t>
          </w:r>
          <w:r>
            <w:rPr>
              <w:b/>
            </w:rPr>
            <w:tab/>
          </w:r>
          <w:r>
            <w:rPr>
              <w:b/>
            </w:rPr>
            <w:fldChar w:fldCharType="begin"/>
          </w:r>
          <w:r>
            <w:rPr>
              <w:b/>
            </w:rPr>
            <w:instrText xml:space="preserve"> PAGEREF _Toc21487 </w:instrText>
          </w:r>
          <w:r>
            <w:rPr>
              <w:b/>
            </w:rPr>
            <w:fldChar w:fldCharType="separate"/>
          </w:r>
          <w:r>
            <w:rPr>
              <w:b/>
            </w:rPr>
            <w:t>28</w:t>
          </w:r>
          <w:r>
            <w:rPr>
              <w:b/>
            </w:rPr>
            <w:fldChar w:fldCharType="end"/>
          </w:r>
          <w:r>
            <w:rPr>
              <w:b/>
            </w:rPr>
            <w:fldChar w:fldCharType="end"/>
          </w:r>
        </w:p>
        <w:p>
          <w:pPr>
            <w:pStyle w:val="44"/>
            <w:tabs>
              <w:tab w:val="right" w:leader="dot" w:pos="8306"/>
            </w:tabs>
            <w:ind w:left="420"/>
          </w:pPr>
          <w:r>
            <w:fldChar w:fldCharType="begin"/>
          </w:r>
          <w:r>
            <w:instrText xml:space="preserve"> HYPERLINK \l "_Toc19504" </w:instrText>
          </w:r>
          <w:r>
            <w:fldChar w:fldCharType="separate"/>
          </w:r>
          <w:r>
            <w:rPr>
              <w:rFonts w:hint="eastAsia" w:ascii="仿宋" w:hAnsi="仿宋" w:eastAsia="仿宋"/>
            </w:rPr>
            <w:t>一、收入支出决算总表</w:t>
          </w:r>
          <w:r>
            <w:tab/>
          </w:r>
          <w:r>
            <w:fldChar w:fldCharType="begin"/>
          </w:r>
          <w:r>
            <w:instrText xml:space="preserve"> PAGEREF _Toc19504 </w:instrText>
          </w:r>
          <w:r>
            <w:fldChar w:fldCharType="separate"/>
          </w:r>
          <w:r>
            <w:t>28</w:t>
          </w:r>
          <w:r>
            <w:fldChar w:fldCharType="end"/>
          </w:r>
          <w:r>
            <w:fldChar w:fldCharType="end"/>
          </w:r>
        </w:p>
        <w:p>
          <w:pPr>
            <w:pStyle w:val="44"/>
            <w:tabs>
              <w:tab w:val="right" w:leader="dot" w:pos="8306"/>
            </w:tabs>
            <w:ind w:left="420"/>
          </w:pPr>
          <w:r>
            <w:fldChar w:fldCharType="begin"/>
          </w:r>
          <w:r>
            <w:instrText xml:space="preserve"> HYPERLINK \l "_Toc18383" </w:instrText>
          </w:r>
          <w:r>
            <w:fldChar w:fldCharType="separate"/>
          </w:r>
          <w:r>
            <w:rPr>
              <w:rFonts w:hint="eastAsia" w:ascii="仿宋" w:hAnsi="仿宋" w:eastAsia="仿宋"/>
            </w:rPr>
            <w:t>二、收入决算表</w:t>
          </w:r>
          <w:r>
            <w:tab/>
          </w:r>
          <w:r>
            <w:fldChar w:fldCharType="begin"/>
          </w:r>
          <w:r>
            <w:instrText xml:space="preserve"> PAGEREF _Toc18383 </w:instrText>
          </w:r>
          <w:r>
            <w:fldChar w:fldCharType="separate"/>
          </w:r>
          <w:r>
            <w:t>28</w:t>
          </w:r>
          <w:r>
            <w:fldChar w:fldCharType="end"/>
          </w:r>
          <w:r>
            <w:fldChar w:fldCharType="end"/>
          </w:r>
        </w:p>
        <w:p>
          <w:pPr>
            <w:pStyle w:val="44"/>
            <w:tabs>
              <w:tab w:val="right" w:leader="dot" w:pos="8306"/>
            </w:tabs>
            <w:ind w:left="420"/>
          </w:pPr>
          <w:r>
            <w:fldChar w:fldCharType="begin"/>
          </w:r>
          <w:r>
            <w:instrText xml:space="preserve"> HYPERLINK \l "_Toc15551" </w:instrText>
          </w:r>
          <w:r>
            <w:fldChar w:fldCharType="separate"/>
          </w:r>
          <w:r>
            <w:rPr>
              <w:rFonts w:hint="eastAsia" w:ascii="仿宋" w:hAnsi="仿宋" w:eastAsia="仿宋"/>
            </w:rPr>
            <w:t>三、支出决算表</w:t>
          </w:r>
          <w:r>
            <w:tab/>
          </w:r>
          <w:r>
            <w:fldChar w:fldCharType="begin"/>
          </w:r>
          <w:r>
            <w:instrText xml:space="preserve"> PAGEREF _Toc15551 </w:instrText>
          </w:r>
          <w:r>
            <w:fldChar w:fldCharType="separate"/>
          </w:r>
          <w:r>
            <w:t>28</w:t>
          </w:r>
          <w:r>
            <w:fldChar w:fldCharType="end"/>
          </w:r>
          <w:r>
            <w:fldChar w:fldCharType="end"/>
          </w:r>
        </w:p>
        <w:p>
          <w:pPr>
            <w:pStyle w:val="44"/>
            <w:tabs>
              <w:tab w:val="right" w:leader="dot" w:pos="8306"/>
            </w:tabs>
            <w:ind w:left="420"/>
          </w:pPr>
          <w:r>
            <w:fldChar w:fldCharType="begin"/>
          </w:r>
          <w:r>
            <w:instrText xml:space="preserve"> HYPERLINK \l "_Toc10165" </w:instrText>
          </w:r>
          <w:r>
            <w:fldChar w:fldCharType="separate"/>
          </w:r>
          <w:r>
            <w:rPr>
              <w:rFonts w:hint="eastAsia" w:ascii="仿宋" w:hAnsi="仿宋" w:eastAsia="仿宋"/>
            </w:rPr>
            <w:t>四、财政拨款收入支出决算总表</w:t>
          </w:r>
          <w:r>
            <w:tab/>
          </w:r>
          <w:r>
            <w:fldChar w:fldCharType="begin"/>
          </w:r>
          <w:r>
            <w:instrText xml:space="preserve"> PAGEREF _Toc10165 </w:instrText>
          </w:r>
          <w:r>
            <w:fldChar w:fldCharType="separate"/>
          </w:r>
          <w:r>
            <w:t>28</w:t>
          </w:r>
          <w:r>
            <w:fldChar w:fldCharType="end"/>
          </w:r>
          <w:r>
            <w:fldChar w:fldCharType="end"/>
          </w:r>
        </w:p>
        <w:p>
          <w:pPr>
            <w:pStyle w:val="44"/>
            <w:tabs>
              <w:tab w:val="right" w:leader="dot" w:pos="8306"/>
            </w:tabs>
            <w:ind w:left="420"/>
          </w:pPr>
          <w:r>
            <w:fldChar w:fldCharType="begin"/>
          </w:r>
          <w:r>
            <w:instrText xml:space="preserve"> HYPERLINK \l "_Toc17910" </w:instrText>
          </w:r>
          <w:r>
            <w:fldChar w:fldCharType="separate"/>
          </w:r>
          <w:r>
            <w:rPr>
              <w:rFonts w:hint="eastAsia" w:ascii="仿宋" w:hAnsi="仿宋" w:eastAsia="仿宋"/>
            </w:rPr>
            <w:t>五、财政拨款支出决算明细表</w:t>
          </w:r>
          <w:r>
            <w:tab/>
          </w:r>
          <w:r>
            <w:fldChar w:fldCharType="begin"/>
          </w:r>
          <w:r>
            <w:instrText xml:space="preserve"> PAGEREF _Toc17910 </w:instrText>
          </w:r>
          <w:r>
            <w:fldChar w:fldCharType="separate"/>
          </w:r>
          <w:r>
            <w:t>28</w:t>
          </w:r>
          <w:r>
            <w:fldChar w:fldCharType="end"/>
          </w:r>
          <w:r>
            <w:fldChar w:fldCharType="end"/>
          </w:r>
        </w:p>
        <w:p>
          <w:pPr>
            <w:pStyle w:val="44"/>
            <w:tabs>
              <w:tab w:val="right" w:leader="dot" w:pos="8306"/>
            </w:tabs>
            <w:ind w:left="420"/>
          </w:pPr>
          <w:r>
            <w:fldChar w:fldCharType="begin"/>
          </w:r>
          <w:r>
            <w:instrText xml:space="preserve"> HYPERLINK \l "_Toc22648" </w:instrText>
          </w:r>
          <w:r>
            <w:fldChar w:fldCharType="separate"/>
          </w:r>
          <w:r>
            <w:rPr>
              <w:rFonts w:hint="eastAsia" w:ascii="仿宋" w:hAnsi="仿宋" w:eastAsia="仿宋"/>
            </w:rPr>
            <w:t>六、一般公共预算财政拨款支出决算表</w:t>
          </w:r>
          <w:r>
            <w:tab/>
          </w:r>
          <w:r>
            <w:fldChar w:fldCharType="begin"/>
          </w:r>
          <w:r>
            <w:instrText xml:space="preserve"> PAGEREF _Toc22648 </w:instrText>
          </w:r>
          <w:r>
            <w:fldChar w:fldCharType="separate"/>
          </w:r>
          <w:r>
            <w:t>28</w:t>
          </w:r>
          <w:r>
            <w:fldChar w:fldCharType="end"/>
          </w:r>
          <w:r>
            <w:fldChar w:fldCharType="end"/>
          </w:r>
        </w:p>
        <w:p>
          <w:pPr>
            <w:pStyle w:val="44"/>
            <w:tabs>
              <w:tab w:val="right" w:leader="dot" w:pos="8306"/>
            </w:tabs>
            <w:ind w:left="420"/>
          </w:pPr>
          <w:r>
            <w:fldChar w:fldCharType="begin"/>
          </w:r>
          <w:r>
            <w:instrText xml:space="preserve"> HYPERLINK \l "_Toc30989" </w:instrText>
          </w:r>
          <w:r>
            <w:fldChar w:fldCharType="separate"/>
          </w:r>
          <w:r>
            <w:rPr>
              <w:rFonts w:hint="eastAsia" w:ascii="仿宋" w:hAnsi="仿宋" w:eastAsia="仿宋"/>
            </w:rPr>
            <w:t>七、一般公共预算财政拨款支出决算明细表</w:t>
          </w:r>
          <w:r>
            <w:tab/>
          </w:r>
          <w:r>
            <w:fldChar w:fldCharType="begin"/>
          </w:r>
          <w:r>
            <w:instrText xml:space="preserve"> PAGEREF _Toc30989 </w:instrText>
          </w:r>
          <w:r>
            <w:fldChar w:fldCharType="separate"/>
          </w:r>
          <w:r>
            <w:t>28</w:t>
          </w:r>
          <w:r>
            <w:fldChar w:fldCharType="end"/>
          </w:r>
          <w:r>
            <w:fldChar w:fldCharType="end"/>
          </w:r>
        </w:p>
        <w:p>
          <w:pPr>
            <w:pStyle w:val="44"/>
            <w:tabs>
              <w:tab w:val="right" w:leader="dot" w:pos="8306"/>
            </w:tabs>
            <w:ind w:left="420"/>
          </w:pPr>
          <w:r>
            <w:fldChar w:fldCharType="begin"/>
          </w:r>
          <w:r>
            <w:instrText xml:space="preserve"> HYPERLINK \l "_Toc28463" </w:instrText>
          </w:r>
          <w:r>
            <w:fldChar w:fldCharType="separate"/>
          </w:r>
          <w:r>
            <w:rPr>
              <w:rFonts w:hint="eastAsia" w:ascii="仿宋" w:hAnsi="仿宋" w:eastAsia="仿宋"/>
            </w:rPr>
            <w:t>八、一般公共预算财政拨款基本支出决算表</w:t>
          </w:r>
          <w:r>
            <w:tab/>
          </w:r>
          <w:r>
            <w:fldChar w:fldCharType="begin"/>
          </w:r>
          <w:r>
            <w:instrText xml:space="preserve"> PAGEREF _Toc28463 </w:instrText>
          </w:r>
          <w:r>
            <w:fldChar w:fldCharType="separate"/>
          </w:r>
          <w:r>
            <w:t>28</w:t>
          </w:r>
          <w:r>
            <w:fldChar w:fldCharType="end"/>
          </w:r>
          <w:r>
            <w:fldChar w:fldCharType="end"/>
          </w:r>
        </w:p>
        <w:p>
          <w:pPr>
            <w:pStyle w:val="44"/>
            <w:tabs>
              <w:tab w:val="right" w:leader="dot" w:pos="8306"/>
            </w:tabs>
            <w:ind w:left="420"/>
          </w:pPr>
          <w:r>
            <w:fldChar w:fldCharType="begin"/>
          </w:r>
          <w:r>
            <w:instrText xml:space="preserve"> HYPERLINK \l "_Toc9365" </w:instrText>
          </w:r>
          <w:r>
            <w:fldChar w:fldCharType="separate"/>
          </w:r>
          <w:r>
            <w:rPr>
              <w:rFonts w:hint="eastAsia" w:ascii="仿宋" w:hAnsi="仿宋" w:eastAsia="仿宋"/>
            </w:rPr>
            <w:t>九、一般公共预算财政拨款项目支出决算表</w:t>
          </w:r>
          <w:r>
            <w:tab/>
          </w:r>
          <w:r>
            <w:fldChar w:fldCharType="begin"/>
          </w:r>
          <w:r>
            <w:instrText xml:space="preserve"> PAGEREF _Toc9365 </w:instrText>
          </w:r>
          <w:r>
            <w:fldChar w:fldCharType="separate"/>
          </w:r>
          <w:r>
            <w:t>28</w:t>
          </w:r>
          <w:r>
            <w:fldChar w:fldCharType="end"/>
          </w:r>
          <w:r>
            <w:fldChar w:fldCharType="end"/>
          </w:r>
        </w:p>
        <w:p>
          <w:pPr>
            <w:pStyle w:val="44"/>
            <w:tabs>
              <w:tab w:val="right" w:leader="dot" w:pos="8306"/>
            </w:tabs>
            <w:ind w:left="420"/>
          </w:pPr>
          <w:r>
            <w:fldChar w:fldCharType="begin"/>
          </w:r>
          <w:r>
            <w:instrText xml:space="preserve"> HYPERLINK \l "_Toc7854" </w:instrText>
          </w:r>
          <w:r>
            <w:fldChar w:fldCharType="separate"/>
          </w:r>
          <w:r>
            <w:rPr>
              <w:rFonts w:hint="eastAsia" w:ascii="仿宋" w:hAnsi="仿宋" w:eastAsia="仿宋"/>
            </w:rPr>
            <w:t>十、一般公共预算财政拨款“三公”经费支出决算表</w:t>
          </w:r>
          <w:r>
            <w:tab/>
          </w:r>
          <w:r>
            <w:fldChar w:fldCharType="begin"/>
          </w:r>
          <w:r>
            <w:instrText xml:space="preserve"> PAGEREF _Toc7854 </w:instrText>
          </w:r>
          <w:r>
            <w:fldChar w:fldCharType="separate"/>
          </w:r>
          <w:r>
            <w:t>28</w:t>
          </w:r>
          <w:r>
            <w:fldChar w:fldCharType="end"/>
          </w:r>
          <w:r>
            <w:fldChar w:fldCharType="end"/>
          </w:r>
        </w:p>
        <w:p>
          <w:pPr>
            <w:pStyle w:val="44"/>
            <w:tabs>
              <w:tab w:val="right" w:leader="dot" w:pos="8306"/>
            </w:tabs>
            <w:ind w:left="420"/>
          </w:pPr>
          <w:r>
            <w:fldChar w:fldCharType="begin"/>
          </w:r>
          <w:r>
            <w:instrText xml:space="preserve"> HYPERLINK \l "_Toc31861" </w:instrText>
          </w:r>
          <w:r>
            <w:fldChar w:fldCharType="separate"/>
          </w:r>
          <w:r>
            <w:rPr>
              <w:rFonts w:hint="eastAsia" w:ascii="仿宋" w:hAnsi="仿宋" w:eastAsia="仿宋"/>
            </w:rPr>
            <w:t>十一、政府性基金预算财政拨款收入支出决算表</w:t>
          </w:r>
          <w:r>
            <w:tab/>
          </w:r>
          <w:r>
            <w:fldChar w:fldCharType="begin"/>
          </w:r>
          <w:r>
            <w:instrText xml:space="preserve"> PAGEREF _Toc31861 </w:instrText>
          </w:r>
          <w:r>
            <w:fldChar w:fldCharType="separate"/>
          </w:r>
          <w:r>
            <w:t>28</w:t>
          </w:r>
          <w:r>
            <w:fldChar w:fldCharType="end"/>
          </w:r>
          <w:r>
            <w:fldChar w:fldCharType="end"/>
          </w:r>
        </w:p>
        <w:p>
          <w:pPr>
            <w:pStyle w:val="44"/>
            <w:tabs>
              <w:tab w:val="right" w:leader="dot" w:pos="8306"/>
            </w:tabs>
            <w:ind w:left="420"/>
          </w:pPr>
          <w:r>
            <w:fldChar w:fldCharType="begin"/>
          </w:r>
          <w:r>
            <w:instrText xml:space="preserve"> HYPERLINK \l "_Toc28185" </w:instrText>
          </w:r>
          <w:r>
            <w:fldChar w:fldCharType="separate"/>
          </w:r>
          <w:r>
            <w:rPr>
              <w:rFonts w:hint="eastAsia" w:ascii="仿宋" w:hAnsi="仿宋" w:eastAsia="仿宋"/>
            </w:rPr>
            <w:t>十二、政府性基金预算财政拨款“三公”经费支出决算表</w:t>
          </w:r>
          <w:r>
            <w:tab/>
          </w:r>
          <w:r>
            <w:fldChar w:fldCharType="begin"/>
          </w:r>
          <w:r>
            <w:instrText xml:space="preserve"> PAGEREF _Toc28185 </w:instrText>
          </w:r>
          <w:r>
            <w:fldChar w:fldCharType="separate"/>
          </w:r>
          <w:r>
            <w:t>28</w:t>
          </w:r>
          <w:r>
            <w:fldChar w:fldCharType="end"/>
          </w:r>
          <w:r>
            <w:fldChar w:fldCharType="end"/>
          </w:r>
        </w:p>
        <w:p>
          <w:pPr>
            <w:pStyle w:val="44"/>
            <w:tabs>
              <w:tab w:val="right" w:leader="dot" w:pos="8306"/>
            </w:tabs>
            <w:ind w:left="420"/>
          </w:pPr>
          <w:r>
            <w:fldChar w:fldCharType="begin"/>
          </w:r>
          <w:r>
            <w:instrText xml:space="preserve"> HYPERLINK \l "_Toc27312" </w:instrText>
          </w:r>
          <w:r>
            <w:fldChar w:fldCharType="separate"/>
          </w:r>
          <w:r>
            <w:rPr>
              <w:rFonts w:hint="eastAsia" w:ascii="仿宋" w:hAnsi="仿宋" w:eastAsia="仿宋"/>
            </w:rPr>
            <w:t>十三、国有资本经营预算财政拨款收入支出决算表</w:t>
          </w:r>
          <w:r>
            <w:tab/>
          </w:r>
          <w:r>
            <w:fldChar w:fldCharType="begin"/>
          </w:r>
          <w:r>
            <w:instrText xml:space="preserve"> PAGEREF _Toc27312 </w:instrText>
          </w:r>
          <w:r>
            <w:fldChar w:fldCharType="separate"/>
          </w:r>
          <w:r>
            <w:t>28</w:t>
          </w:r>
          <w:r>
            <w:fldChar w:fldCharType="end"/>
          </w:r>
          <w:r>
            <w:fldChar w:fldCharType="end"/>
          </w:r>
        </w:p>
        <w:p>
          <w:pPr>
            <w:pStyle w:val="44"/>
            <w:tabs>
              <w:tab w:val="right" w:leader="dot" w:pos="8306"/>
            </w:tabs>
            <w:ind w:left="420"/>
          </w:pPr>
          <w:r>
            <w:fldChar w:fldCharType="begin"/>
          </w:r>
          <w:r>
            <w:instrText xml:space="preserve"> HYPERLINK \l "_Toc26900" </w:instrText>
          </w:r>
          <w:r>
            <w:fldChar w:fldCharType="separate"/>
          </w:r>
          <w:r>
            <w:rPr>
              <w:rFonts w:hint="eastAsia" w:ascii="仿宋" w:hAnsi="仿宋" w:eastAsia="仿宋"/>
            </w:rPr>
            <w:t>十四、国有资本经营预算财政拨款支出决算表</w:t>
          </w:r>
          <w:r>
            <w:tab/>
          </w:r>
          <w:r>
            <w:fldChar w:fldCharType="begin"/>
          </w:r>
          <w:r>
            <w:instrText xml:space="preserve"> PAGEREF _Toc26900 </w:instrText>
          </w:r>
          <w:r>
            <w:fldChar w:fldCharType="separate"/>
          </w:r>
          <w:r>
            <w:t>28</w:t>
          </w:r>
          <w:r>
            <w:fldChar w:fldCharType="end"/>
          </w:r>
          <w:r>
            <w:fldChar w:fldCharType="end"/>
          </w:r>
        </w:p>
        <w:p>
          <w:r>
            <w:rPr>
              <w:b/>
            </w:rPr>
            <w:fldChar w:fldCharType="end"/>
          </w:r>
        </w:p>
      </w:sdtContent>
    </w:sdt>
    <w:p>
      <w:pPr>
        <w:pStyle w:val="13"/>
        <w:jc w:val="center"/>
        <w:rPr>
          <w:rFonts w:ascii="黑体" w:hAnsi="黑体" w:eastAsia="黑体"/>
          <w:b w:val="0"/>
        </w:rPr>
        <w:sectPr>
          <w:footerReference r:id="rId10" w:type="first"/>
          <w:footerReference r:id="rId9" w:type="default"/>
          <w:pgSz w:w="11906" w:h="16838"/>
          <w:pgMar w:top="1440" w:right="1800" w:bottom="1440" w:left="1800" w:header="851" w:footer="992" w:gutter="0"/>
          <w:pgNumType w:start="1"/>
          <w:cols w:space="425" w:num="1"/>
          <w:docGrid w:type="lines" w:linePitch="312" w:charSpace="0"/>
        </w:sectPr>
      </w:pPr>
      <w:bookmarkStart w:id="16" w:name="_Toc3576"/>
    </w:p>
    <w:p>
      <w:pPr>
        <w:pStyle w:val="13"/>
        <w:jc w:val="center"/>
        <w:rPr>
          <w:rStyle w:val="31"/>
          <w:rFonts w:ascii="黑体" w:hAnsi="黑体" w:eastAsia="黑体"/>
          <w:b/>
          <w:bCs w:val="0"/>
        </w:rPr>
      </w:pPr>
      <w:r>
        <w:rPr>
          <w:rFonts w:hint="eastAsia" w:ascii="黑体" w:hAnsi="黑体" w:eastAsia="黑体"/>
          <w:b w:val="0"/>
        </w:rPr>
        <w:t>第一部分</w:t>
      </w:r>
      <w:r>
        <w:rPr>
          <w:rStyle w:val="31"/>
          <w:rFonts w:hint="eastAsia" w:ascii="黑体" w:hAnsi="黑体" w:eastAsia="黑体"/>
          <w:b w:val="0"/>
          <w:bCs w:val="0"/>
        </w:rPr>
        <w:t>部门概况</w:t>
      </w:r>
      <w:bookmarkEnd w:id="15"/>
      <w:bookmarkEnd w:id="16"/>
    </w:p>
    <w:p>
      <w:pPr>
        <w:pStyle w:val="14"/>
        <w:spacing w:before="0" w:after="0" w:line="560" w:lineRule="exact"/>
        <w:ind w:firstLine="640" w:firstLineChars="200"/>
        <w:rPr>
          <w:rStyle w:val="32"/>
          <w:rFonts w:ascii="仿宋" w:hAnsi="仿宋" w:eastAsia="仿宋"/>
          <w:b w:val="0"/>
          <w:bCs w:val="0"/>
        </w:rPr>
      </w:pPr>
      <w:bookmarkStart w:id="17" w:name="_Toc15377197"/>
      <w:bookmarkStart w:id="18" w:name="_Toc15396600"/>
      <w:bookmarkStart w:id="19" w:name="_Toc13285"/>
      <w:r>
        <w:rPr>
          <w:rFonts w:hint="eastAsia" w:ascii="黑体" w:hAnsi="黑体" w:eastAsia="黑体"/>
          <w:b w:val="0"/>
        </w:rPr>
        <w:t>一、基</w:t>
      </w:r>
      <w:r>
        <w:rPr>
          <w:rStyle w:val="32"/>
          <w:rFonts w:hint="eastAsia" w:ascii="黑体" w:hAnsi="黑体" w:eastAsia="黑体"/>
          <w:b w:val="0"/>
          <w:bCs w:val="0"/>
        </w:rPr>
        <w:t>本职能及主要工作</w:t>
      </w:r>
      <w:bookmarkEnd w:id="17"/>
      <w:bookmarkEnd w:id="18"/>
      <w:bookmarkEnd w:id="19"/>
    </w:p>
    <w:p>
      <w:pPr>
        <w:pStyle w:val="3"/>
        <w:adjustRightInd w:val="0"/>
        <w:snapToGrid w:val="0"/>
        <w:spacing w:beforeLines="0" w:line="560" w:lineRule="exact"/>
        <w:ind w:firstLine="672" w:firstLineChars="210"/>
        <w:outlineLvl w:val="2"/>
        <w:rPr>
          <w:rFonts w:ascii="仿宋" w:hAnsi="仿宋" w:eastAsia="仿宋"/>
          <w:bCs/>
          <w:sz w:val="32"/>
          <w:szCs w:val="32"/>
        </w:rPr>
      </w:pPr>
      <w:bookmarkStart w:id="20" w:name="_Toc15377198"/>
      <w:bookmarkStart w:id="21" w:name="_Toc15378445"/>
      <w:r>
        <w:rPr>
          <w:rFonts w:hint="eastAsia" w:ascii="仿宋" w:hAnsi="仿宋" w:eastAsia="仿宋"/>
          <w:bCs/>
          <w:sz w:val="32"/>
          <w:szCs w:val="32"/>
        </w:rPr>
        <w:t>（一）主要职能。</w:t>
      </w:r>
      <w:bookmarkEnd w:id="20"/>
      <w:bookmarkEnd w:id="21"/>
    </w:p>
    <w:p>
      <w:pPr>
        <w:spacing w:line="560" w:lineRule="exact"/>
        <w:ind w:firstLine="643" w:firstLineChars="200"/>
        <w:rPr>
          <w:rFonts w:eastAsia="仿宋_GB2312"/>
          <w:sz w:val="32"/>
          <w:szCs w:val="32"/>
        </w:rPr>
      </w:pPr>
      <w:r>
        <w:rPr>
          <w:rFonts w:hint="eastAsia" w:ascii="楷体_GB2312" w:hAnsi="楷体_GB2312" w:eastAsia="楷体_GB2312" w:cs="楷体_GB2312"/>
          <w:b/>
          <w:bCs/>
          <w:color w:val="000000"/>
          <w:sz w:val="32"/>
          <w:szCs w:val="32"/>
        </w:rPr>
        <w:t>1</w:t>
      </w:r>
      <w:r>
        <w:rPr>
          <w:rFonts w:ascii="楷体_GB2312" w:hAnsi="楷体_GB2312" w:eastAsia="楷体_GB2312" w:cs="楷体_GB2312"/>
          <w:b/>
          <w:bCs/>
          <w:color w:val="000000"/>
          <w:sz w:val="32"/>
          <w:szCs w:val="32"/>
        </w:rPr>
        <w:t>办公室。</w:t>
      </w:r>
      <w:r>
        <w:rPr>
          <w:rFonts w:eastAsia="仿宋_GB2312"/>
          <w:color w:val="000000"/>
          <w:sz w:val="32"/>
          <w:szCs w:val="32"/>
        </w:rPr>
        <w:t>拟订</w:t>
      </w:r>
      <w:r>
        <w:rPr>
          <w:rFonts w:eastAsia="仿宋_GB2312"/>
          <w:sz w:val="32"/>
          <w:szCs w:val="32"/>
        </w:rPr>
        <w:t>机关工作制度并组织实施；负责综合协调、会议组织、公文处理、新闻宣传、政务信息、政务公开、政务督办、绩效考核、机要档案、机关安全、保密工作、后勤接待等机关日常政务和行政事务；负责局</w:t>
      </w:r>
      <w:r>
        <w:rPr>
          <w:rFonts w:eastAsia="仿宋_GB2312"/>
          <w:sz w:val="32"/>
          <w:szCs w:val="32"/>
          <w:u w:val="none" w:color="000000"/>
        </w:rPr>
        <w:t>机关</w:t>
      </w:r>
      <w:r>
        <w:rPr>
          <w:rFonts w:eastAsia="仿宋_GB2312"/>
          <w:sz w:val="32"/>
          <w:szCs w:val="32"/>
        </w:rPr>
        <w:t>重要文稿</w:t>
      </w:r>
      <w:r>
        <w:rPr>
          <w:rFonts w:hint="eastAsia" w:eastAsia="仿宋_GB2312"/>
          <w:sz w:val="32"/>
          <w:szCs w:val="32"/>
          <w:lang w:val="en-US" w:eastAsia="zh-CN"/>
        </w:rPr>
        <w:t>的</w:t>
      </w:r>
      <w:r>
        <w:rPr>
          <w:rFonts w:eastAsia="仿宋_GB2312"/>
          <w:sz w:val="32"/>
          <w:szCs w:val="32"/>
        </w:rPr>
        <w:t>起草；负责商务系统党务及党风廉政建设工作，负责机构编制、人事管理、教育培训等工作；负责意识形态</w:t>
      </w:r>
      <w:r>
        <w:rPr>
          <w:rFonts w:hint="eastAsia" w:eastAsia="仿宋_GB2312"/>
          <w:sz w:val="32"/>
          <w:szCs w:val="32"/>
        </w:rPr>
        <w:t>和</w:t>
      </w:r>
      <w:r>
        <w:rPr>
          <w:rFonts w:eastAsia="仿宋_GB2312"/>
          <w:sz w:val="32"/>
          <w:szCs w:val="32"/>
        </w:rPr>
        <w:t>精神文明建设，群团、综合创建工作。</w:t>
      </w:r>
    </w:p>
    <w:p>
      <w:pPr>
        <w:spacing w:line="595" w:lineRule="exact"/>
        <w:ind w:firstLine="643" w:firstLineChars="200"/>
        <w:rPr>
          <w:rFonts w:eastAsia="仿宋_GB2312"/>
          <w:color w:val="000000"/>
          <w:sz w:val="32"/>
          <w:szCs w:val="32"/>
        </w:rPr>
      </w:pPr>
      <w:r>
        <w:rPr>
          <w:rFonts w:hint="eastAsia" w:ascii="楷体_GB2312" w:hAnsi="楷体_GB2312" w:eastAsia="楷体_GB2312" w:cs="楷体_GB2312"/>
          <w:b/>
          <w:bCs/>
          <w:color w:val="000000"/>
          <w:sz w:val="32"/>
          <w:szCs w:val="32"/>
        </w:rPr>
        <w:t>2</w:t>
      </w:r>
      <w:r>
        <w:rPr>
          <w:rFonts w:ascii="楷体_GB2312" w:hAnsi="楷体_GB2312" w:eastAsia="楷体_GB2312" w:cs="楷体_GB2312"/>
          <w:b/>
          <w:bCs/>
          <w:color w:val="000000"/>
          <w:sz w:val="32"/>
          <w:szCs w:val="32"/>
        </w:rPr>
        <w:t>市场体系建设股。</w:t>
      </w:r>
      <w:r>
        <w:rPr>
          <w:rFonts w:eastAsia="仿宋_GB2312"/>
          <w:color w:val="000000"/>
          <w:sz w:val="32"/>
          <w:szCs w:val="32"/>
        </w:rPr>
        <w:t>制</w:t>
      </w:r>
      <w:r>
        <w:rPr>
          <w:rFonts w:hint="eastAsia" w:eastAsia="仿宋_GB2312"/>
          <w:color w:val="000000"/>
          <w:sz w:val="32"/>
          <w:szCs w:val="32"/>
        </w:rPr>
        <w:t>定</w:t>
      </w:r>
      <w:r>
        <w:rPr>
          <w:rFonts w:eastAsia="仿宋_GB2312"/>
          <w:color w:val="000000"/>
          <w:sz w:val="32"/>
          <w:szCs w:val="32"/>
        </w:rPr>
        <w:t>全县商务发展规划并组织实施，拟定全县流通领域市场体系的政策、规定及市场发展规划；指导大宗产品批发市场规划工作，推进各类商品市场建设；指导城市商业网点规划，商业体系建设和社区商业发展；</w:t>
      </w:r>
      <w:r>
        <w:rPr>
          <w:rFonts w:eastAsia="仿宋_GB2312"/>
          <w:sz w:val="32"/>
          <w:szCs w:val="32"/>
        </w:rPr>
        <w:t>承担县域第三方物流发展规划编制并组织实施；参与协调推进现代物流基地、物流园区、物流重大项目建设，提出促进现代物流发展的政策建议；负责项目收集、储备、推进的综合组织协调工作；</w:t>
      </w:r>
      <w:r>
        <w:rPr>
          <w:rFonts w:eastAsia="仿宋_GB2312"/>
          <w:color w:val="000000"/>
          <w:sz w:val="32"/>
          <w:szCs w:val="32"/>
        </w:rPr>
        <w:t>负责大型商业综合体、商业聚集区发展，推进农村市场体系建设和农产品流通体系建设，促进城乡市场一体化发展；按有关规定对汽车流通行业进行监督</w:t>
      </w:r>
      <w:r>
        <w:rPr>
          <w:rFonts w:eastAsia="仿宋_GB2312"/>
          <w:sz w:val="32"/>
          <w:szCs w:val="32"/>
        </w:rPr>
        <w:t>管理</w:t>
      </w:r>
      <w:r>
        <w:rPr>
          <w:rFonts w:eastAsia="仿宋_GB2312"/>
          <w:color w:val="000000"/>
          <w:sz w:val="32"/>
          <w:szCs w:val="32"/>
        </w:rPr>
        <w:t>。</w:t>
      </w:r>
    </w:p>
    <w:p>
      <w:pPr>
        <w:spacing w:line="595" w:lineRule="exact"/>
        <w:ind w:firstLine="643" w:firstLineChars="200"/>
        <w:rPr>
          <w:rFonts w:eastAsia="仿宋_GB2312"/>
          <w:sz w:val="32"/>
          <w:szCs w:val="32"/>
        </w:rPr>
      </w:pPr>
      <w:r>
        <w:rPr>
          <w:rFonts w:hint="eastAsia" w:ascii="楷体_GB2312" w:hAnsi="楷体_GB2312" w:eastAsia="楷体_GB2312" w:cs="楷体_GB2312"/>
          <w:b/>
          <w:bCs/>
          <w:color w:val="000000"/>
          <w:sz w:val="32"/>
          <w:szCs w:val="32"/>
        </w:rPr>
        <w:t>3</w:t>
      </w:r>
      <w:r>
        <w:rPr>
          <w:rFonts w:ascii="楷体_GB2312" w:hAnsi="楷体_GB2312" w:eastAsia="楷体_GB2312" w:cs="楷体_GB2312"/>
          <w:b/>
          <w:bCs/>
          <w:color w:val="000000"/>
          <w:sz w:val="32"/>
          <w:szCs w:val="32"/>
        </w:rPr>
        <w:t>市场运行和秩序。</w:t>
      </w:r>
      <w:r>
        <w:rPr>
          <w:rFonts w:eastAsia="仿宋_GB2312"/>
          <w:sz w:val="32"/>
          <w:szCs w:val="32"/>
        </w:rPr>
        <w:t>拟订全县市场运行调控、规范市场运行和流通秩序的政策、措施并组织实施；负责全县商务经济运行情况监测、分析；</w:t>
      </w:r>
      <w:r>
        <w:rPr>
          <w:rFonts w:eastAsia="仿宋_GB2312"/>
          <w:color w:val="000000"/>
          <w:sz w:val="32"/>
          <w:szCs w:val="32"/>
        </w:rPr>
        <w:t>负责重要消费品的储备管理和市场调控；</w:t>
      </w:r>
      <w:r>
        <w:rPr>
          <w:rFonts w:eastAsia="仿宋_GB2312"/>
          <w:sz w:val="32"/>
          <w:szCs w:val="32"/>
        </w:rPr>
        <w:t>负责市场重要商品预测、预警和信息发布；牵头协调整顿和规范市场经济秩序的相关工作，参与社会信用制度建设，牵头推动商务领域信用建设；承担餐饮、住宿等商贸行业管理工作。</w:t>
      </w:r>
    </w:p>
    <w:p>
      <w:pPr>
        <w:spacing w:line="595" w:lineRule="exact"/>
        <w:ind w:firstLine="643" w:firstLineChars="200"/>
        <w:rPr>
          <w:rFonts w:eastAsia="仿宋_GB2312"/>
          <w:sz w:val="32"/>
          <w:szCs w:val="32"/>
        </w:rPr>
      </w:pPr>
      <w:r>
        <w:rPr>
          <w:rFonts w:hint="eastAsia" w:ascii="楷体_GB2312" w:hAnsi="楷体_GB2312" w:eastAsia="楷体_GB2312" w:cs="楷体_GB2312"/>
          <w:b/>
          <w:bCs/>
          <w:color w:val="000000"/>
          <w:sz w:val="32"/>
          <w:szCs w:val="32"/>
        </w:rPr>
        <w:t>4</w:t>
      </w:r>
      <w:r>
        <w:rPr>
          <w:rFonts w:ascii="楷体_GB2312" w:hAnsi="楷体_GB2312" w:eastAsia="楷体_GB2312" w:cs="楷体_GB2312"/>
          <w:b/>
          <w:bCs/>
          <w:color w:val="000000"/>
          <w:sz w:val="32"/>
          <w:szCs w:val="32"/>
        </w:rPr>
        <w:t>服务业发展股（电</w:t>
      </w:r>
      <w:r>
        <w:rPr>
          <w:rFonts w:hint="eastAsia" w:ascii="楷体_GB2312" w:hAnsi="楷体_GB2312" w:eastAsia="楷体_GB2312" w:cs="楷体_GB2312"/>
          <w:b/>
          <w:bCs/>
          <w:color w:val="000000"/>
          <w:sz w:val="32"/>
          <w:szCs w:val="32"/>
        </w:rPr>
        <w:t>子商务发展办公室</w:t>
      </w:r>
      <w:r>
        <w:rPr>
          <w:rFonts w:ascii="楷体_GB2312" w:hAnsi="楷体_GB2312" w:eastAsia="楷体_GB2312" w:cs="楷体_GB2312"/>
          <w:b/>
          <w:bCs/>
          <w:color w:val="000000"/>
          <w:sz w:val="32"/>
          <w:szCs w:val="32"/>
        </w:rPr>
        <w:t>）。</w:t>
      </w:r>
      <w:r>
        <w:rPr>
          <w:rFonts w:eastAsia="仿宋_GB2312"/>
          <w:sz w:val="32"/>
          <w:szCs w:val="32"/>
        </w:rPr>
        <w:t>贯彻落实国家、省、市促进服务业发展的方针政策，承担全县服务业发展领导小组办公室日常工作；拟订促进全县服务业发展总体规划和政策措施，牵头制订服务业专项规划，督促全县服务业发展规划和政策措施的贯彻落实；指导协调与服务业有关政策的执行，做好部门协调工作；汇总服务业运行发展情况，提出工作意见和建议；组织开展服务业调研、培训等工作；拟订全县电子商务发展规划和政策措施并组织实施；推动流通体制改革和连锁经营、特许经营、物流配送等现代流通方式发展。</w:t>
      </w:r>
    </w:p>
    <w:p>
      <w:pPr>
        <w:spacing w:line="595" w:lineRule="exact"/>
        <w:ind w:firstLine="643" w:firstLineChars="200"/>
        <w:rPr>
          <w:rFonts w:eastAsia="仿宋_GB2312"/>
          <w:sz w:val="32"/>
          <w:szCs w:val="32"/>
        </w:rPr>
      </w:pPr>
      <w:r>
        <w:rPr>
          <w:rFonts w:hint="eastAsia" w:ascii="楷体_GB2312" w:hAnsi="楷体_GB2312" w:eastAsia="楷体_GB2312" w:cs="楷体_GB2312"/>
          <w:b/>
          <w:bCs/>
          <w:color w:val="000000"/>
          <w:sz w:val="32"/>
          <w:szCs w:val="32"/>
        </w:rPr>
        <w:t>5</w:t>
      </w:r>
      <w:r>
        <w:rPr>
          <w:rFonts w:ascii="楷体_GB2312" w:hAnsi="楷体_GB2312" w:eastAsia="楷体_GB2312" w:cs="楷体_GB2312"/>
          <w:b/>
          <w:bCs/>
          <w:color w:val="000000"/>
          <w:sz w:val="32"/>
          <w:szCs w:val="32"/>
        </w:rPr>
        <w:t>外贸外经股。</w:t>
      </w:r>
      <w:r>
        <w:rPr>
          <w:rFonts w:eastAsia="仿宋_GB2312"/>
          <w:sz w:val="32"/>
          <w:szCs w:val="32"/>
        </w:rPr>
        <w:t>拟订加快外贸发展的政策措施并组织实施；负责对外经贸合作、对外贸易发展工作；依法监督技术引进、设备进口、国家限制出口技术</w:t>
      </w:r>
      <w:r>
        <w:rPr>
          <w:rFonts w:hint="eastAsia" w:eastAsia="仿宋_GB2312"/>
          <w:sz w:val="32"/>
          <w:szCs w:val="32"/>
        </w:rPr>
        <w:t>等</w:t>
      </w:r>
      <w:r>
        <w:rPr>
          <w:rFonts w:eastAsia="仿宋_GB2312"/>
          <w:sz w:val="32"/>
          <w:szCs w:val="32"/>
        </w:rPr>
        <w:t>工作</w:t>
      </w:r>
      <w:r>
        <w:rPr>
          <w:rFonts w:hint="eastAsia" w:eastAsia="仿宋_GB2312"/>
          <w:sz w:val="32"/>
          <w:szCs w:val="32"/>
        </w:rPr>
        <w:t>；</w:t>
      </w:r>
      <w:r>
        <w:rPr>
          <w:rFonts w:eastAsia="仿宋_GB2312"/>
          <w:sz w:val="32"/>
          <w:szCs w:val="32"/>
        </w:rPr>
        <w:t>承担外派劳务和赴境外就业人员的权益保护工作；负责多双边对我县无偿援助和赠款（不含财政合作项目下外国政府对我县的赠款）；负责全县会展业促进等管理工作；监督、管理和指导境内外各种商贸交易会、展览会、展销会等活动；研究提出促进加工贸易发展的政策并组织实施，促进加工贸易、服务贸易和服务外包发展，依法对加工贸易企业进行监管。</w:t>
      </w:r>
    </w:p>
    <w:p>
      <w:pPr>
        <w:spacing w:line="595" w:lineRule="exact"/>
        <w:ind w:firstLine="643" w:firstLineChars="200"/>
        <w:rPr>
          <w:rFonts w:eastAsia="仿宋_GB2312"/>
          <w:sz w:val="32"/>
          <w:szCs w:val="32"/>
        </w:rPr>
      </w:pPr>
      <w:r>
        <w:rPr>
          <w:rFonts w:hint="eastAsia" w:ascii="楷体_GB2312" w:hAnsi="楷体_GB2312" w:eastAsia="楷体_GB2312" w:cs="楷体_GB2312"/>
          <w:b/>
          <w:bCs/>
          <w:color w:val="000000"/>
          <w:sz w:val="32"/>
          <w:szCs w:val="32"/>
        </w:rPr>
        <w:t>6财务内部审计股。</w:t>
      </w:r>
      <w:r>
        <w:rPr>
          <w:rFonts w:eastAsia="仿宋_GB2312"/>
          <w:sz w:val="32"/>
          <w:szCs w:val="32"/>
        </w:rPr>
        <w:t>负责部门预算和相关财政资金管理和绩效评价工作；负责局机关财务管理、政府采购、资产管理、内部审计和基本建设工作。</w:t>
      </w:r>
    </w:p>
    <w:p>
      <w:pPr>
        <w:pStyle w:val="3"/>
        <w:adjustRightInd w:val="0"/>
        <w:snapToGrid w:val="0"/>
        <w:spacing w:before="93" w:line="600" w:lineRule="exact"/>
        <w:ind w:firstLine="675" w:firstLineChars="210"/>
        <w:outlineLvl w:val="2"/>
        <w:rPr>
          <w:rFonts w:ascii="仿宋" w:hAnsi="仿宋" w:eastAsia="仿宋"/>
          <w:bCs/>
          <w:sz w:val="32"/>
          <w:szCs w:val="32"/>
        </w:rPr>
      </w:pPr>
      <w:r>
        <w:rPr>
          <w:rFonts w:hint="eastAsia" w:ascii="楷体_GB2312" w:hAnsi="楷体_GB2312" w:eastAsia="楷体_GB2312" w:cs="楷体_GB2312"/>
          <w:b/>
          <w:bCs/>
          <w:color w:val="000000"/>
          <w:sz w:val="32"/>
          <w:szCs w:val="32"/>
        </w:rPr>
        <w:t>7安全生产办公室（行</w:t>
      </w:r>
      <w:r>
        <w:rPr>
          <w:rFonts w:hint="eastAsia" w:ascii="楷体_GB2312" w:hAnsi="楷体_GB2312" w:eastAsia="楷体_GB2312" w:cs="楷体_GB2312"/>
          <w:b/>
          <w:bCs/>
          <w:color w:val="000000"/>
          <w:sz w:val="32"/>
          <w:szCs w:val="32"/>
          <w:u w:val="none" w:color="000000"/>
        </w:rPr>
        <w:t>政审</w:t>
      </w:r>
      <w:r>
        <w:rPr>
          <w:rFonts w:hint="eastAsia" w:ascii="楷体_GB2312" w:hAnsi="楷体_GB2312" w:eastAsia="楷体_GB2312" w:cs="楷体_GB2312"/>
          <w:b/>
          <w:bCs/>
          <w:color w:val="000000"/>
          <w:sz w:val="32"/>
          <w:szCs w:val="32"/>
        </w:rPr>
        <w:t>批股、</w:t>
      </w:r>
      <w:r>
        <w:rPr>
          <w:rFonts w:hint="eastAsia" w:ascii="楷体_GB2312" w:hAnsi="楷体_GB2312" w:eastAsia="楷体_GB2312" w:cs="楷体_GB2312"/>
          <w:b/>
          <w:bCs/>
          <w:color w:val="000000"/>
          <w:sz w:val="32"/>
          <w:szCs w:val="32"/>
          <w:u w:val="thick" w:color="FFB23A"/>
          <w:shd w:val="clear" w:fill="FFEFD8"/>
        </w:rPr>
        <w:t>信访</w:t>
      </w:r>
      <w:r>
        <w:rPr>
          <w:rFonts w:hint="eastAsia" w:ascii="楷体_GB2312" w:hAnsi="楷体_GB2312" w:eastAsia="楷体_GB2312" w:cs="楷体_GB2312"/>
          <w:b/>
          <w:bCs/>
          <w:color w:val="000000"/>
          <w:sz w:val="32"/>
          <w:szCs w:val="32"/>
        </w:rPr>
        <w:t>和群众工作办公室）。</w:t>
      </w:r>
      <w:r>
        <w:rPr>
          <w:rFonts w:ascii="Times New Roman"/>
          <w:sz w:val="32"/>
          <w:szCs w:val="32"/>
        </w:rPr>
        <w:t>负责行政审批、行政执法、行政复议、行政应诉、行政调解和规范性文件的审查备案工作；负责再生资源回收、报废汽车、洗染、美容美发、旧货流通</w:t>
      </w:r>
      <w:r>
        <w:rPr>
          <w:rFonts w:hint="eastAsia" w:ascii="Times New Roman"/>
          <w:sz w:val="32"/>
          <w:szCs w:val="32"/>
        </w:rPr>
        <w:t>等行业监管及</w:t>
      </w:r>
      <w:r>
        <w:rPr>
          <w:rFonts w:ascii="Times New Roman"/>
          <w:sz w:val="32"/>
          <w:szCs w:val="32"/>
        </w:rPr>
        <w:t>商业预付卡备案工作；负责依法治理、法治教育宣传工作；负责接待处理群众来信来访，承办上级部门交办或转办</w:t>
      </w:r>
      <w:r>
        <w:rPr>
          <w:rFonts w:hint="eastAsia" w:ascii="Times New Roman"/>
          <w:sz w:val="32"/>
          <w:szCs w:val="32"/>
        </w:rPr>
        <w:t>的</w:t>
      </w:r>
      <w:r>
        <w:rPr>
          <w:rFonts w:ascii="Times New Roman"/>
          <w:sz w:val="32"/>
          <w:szCs w:val="32"/>
        </w:rPr>
        <w:t>信访案件；协调处理群体性上访事件；负责本系统综治、维稳、防邪、禁毒等工作。</w:t>
      </w:r>
    </w:p>
    <w:p>
      <w:pPr>
        <w:pStyle w:val="3"/>
        <w:adjustRightInd w:val="0"/>
        <w:snapToGrid w:val="0"/>
        <w:spacing w:before="93" w:line="600" w:lineRule="exact"/>
        <w:ind w:firstLine="672" w:firstLineChars="210"/>
        <w:outlineLvl w:val="2"/>
        <w:rPr>
          <w:rFonts w:ascii="仿宋" w:hAnsi="仿宋" w:eastAsia="仿宋"/>
          <w:bCs/>
          <w:sz w:val="32"/>
          <w:szCs w:val="32"/>
        </w:rPr>
      </w:pPr>
      <w:bookmarkStart w:id="22" w:name="_Toc15378446"/>
      <w:bookmarkStart w:id="23" w:name="_Toc15377199"/>
      <w:r>
        <w:rPr>
          <w:rFonts w:hint="eastAsia" w:ascii="仿宋" w:hAnsi="仿宋" w:eastAsia="仿宋"/>
          <w:bCs/>
          <w:sz w:val="32"/>
          <w:szCs w:val="32"/>
        </w:rPr>
        <w:t>（二）</w:t>
      </w:r>
      <w:r>
        <w:rPr>
          <w:rFonts w:ascii="仿宋" w:hAnsi="仿宋" w:eastAsia="仿宋"/>
          <w:bCs/>
          <w:sz w:val="32"/>
          <w:szCs w:val="32"/>
        </w:rPr>
        <w:t>20</w:t>
      </w:r>
      <w:r>
        <w:rPr>
          <w:rFonts w:hint="eastAsia" w:ascii="仿宋" w:hAnsi="仿宋" w:eastAsia="仿宋"/>
          <w:bCs/>
          <w:sz w:val="32"/>
          <w:szCs w:val="32"/>
        </w:rPr>
        <w:t>21年重点工作完成情况。</w:t>
      </w:r>
      <w:bookmarkEnd w:id="22"/>
      <w:bookmarkEnd w:id="23"/>
    </w:p>
    <w:p>
      <w:pPr>
        <w:spacing w:line="595" w:lineRule="exact"/>
        <w:ind w:firstLine="643" w:firstLineChars="200"/>
        <w:rPr>
          <w:rFonts w:eastAsia="仿宋_GB2312"/>
          <w:sz w:val="32"/>
          <w:szCs w:val="32"/>
        </w:rPr>
      </w:pPr>
      <w:r>
        <w:rPr>
          <w:rFonts w:hint="eastAsia" w:ascii="楷体_GB2312" w:hAnsi="楷体_GB2312" w:eastAsia="楷体_GB2312" w:cs="楷体_GB2312"/>
          <w:b/>
          <w:sz w:val="32"/>
          <w:szCs w:val="32"/>
        </w:rPr>
        <w:t>1重点</w:t>
      </w:r>
      <w:r>
        <w:rPr>
          <w:rFonts w:ascii="楷体_GB2312" w:hAnsi="楷体_GB2312" w:eastAsia="楷体_GB2312" w:cs="楷体_GB2312"/>
          <w:b/>
          <w:sz w:val="32"/>
          <w:szCs w:val="32"/>
        </w:rPr>
        <w:t>企业培育</w:t>
      </w:r>
      <w:r>
        <w:rPr>
          <w:rFonts w:hint="eastAsia" w:ascii="楷体_GB2312" w:hAnsi="楷体_GB2312" w:eastAsia="楷体_GB2312" w:cs="楷体_GB2312"/>
          <w:b/>
          <w:sz w:val="32"/>
          <w:szCs w:val="32"/>
        </w:rPr>
        <w:t>有突破</w:t>
      </w:r>
      <w:r>
        <w:rPr>
          <w:rFonts w:ascii="楷体_GB2312" w:hAnsi="楷体_GB2312" w:eastAsia="楷体_GB2312" w:cs="楷体_GB2312"/>
          <w:b/>
          <w:sz w:val="32"/>
          <w:szCs w:val="32"/>
        </w:rPr>
        <w:t>。</w:t>
      </w:r>
      <w:r>
        <w:rPr>
          <w:rFonts w:eastAsia="仿宋_GB2312"/>
          <w:spacing w:val="-8"/>
          <w:sz w:val="32"/>
          <w:szCs w:val="32"/>
        </w:rPr>
        <w:t>摸清全县新老注册的批发、零售、住宿、</w:t>
      </w:r>
      <w:r>
        <w:rPr>
          <w:rFonts w:eastAsia="仿宋_GB2312"/>
          <w:sz w:val="32"/>
          <w:szCs w:val="32"/>
        </w:rPr>
        <w:t>餐饮及服务业企业底数，落实企业培育部门联动制度，</w:t>
      </w:r>
      <w:r>
        <w:rPr>
          <w:rFonts w:eastAsia="仿宋_GB2312"/>
          <w:spacing w:val="-8"/>
          <w:sz w:val="32"/>
          <w:szCs w:val="32"/>
        </w:rPr>
        <w:t>深入企业，</w:t>
      </w:r>
      <w:r>
        <w:rPr>
          <w:rFonts w:eastAsia="仿宋_GB2312"/>
          <w:sz w:val="32"/>
          <w:szCs w:val="32"/>
        </w:rPr>
        <w:t>宣讲商贸流通发展鼓励办法，</w:t>
      </w:r>
      <w:r>
        <w:rPr>
          <w:rFonts w:hint="eastAsia" w:eastAsia="仿宋_GB2312"/>
          <w:sz w:val="32"/>
          <w:szCs w:val="32"/>
          <w:lang w:eastAsia="zh-CN"/>
        </w:rPr>
        <w:t>消除企业</w:t>
      </w:r>
      <w:r>
        <w:rPr>
          <w:rFonts w:eastAsia="仿宋_GB2312"/>
          <w:sz w:val="32"/>
          <w:szCs w:val="32"/>
        </w:rPr>
        <w:t>顾虑，积极指导企业完成入库申报资料，确保审批通过率。实行“一企一策”帮扶，扩大与重点企业的信息互动，帮助企业策划重大营销活动，及时帮助</w:t>
      </w:r>
      <w:r>
        <w:rPr>
          <w:rFonts w:hint="eastAsia" w:eastAsia="仿宋_GB2312"/>
          <w:sz w:val="32"/>
          <w:szCs w:val="32"/>
        </w:rPr>
        <w:t>企业</w:t>
      </w:r>
      <w:r>
        <w:rPr>
          <w:rFonts w:eastAsia="仿宋_GB2312"/>
          <w:sz w:val="32"/>
          <w:szCs w:val="32"/>
        </w:rPr>
        <w:t>解决存在的困难和问题。兑现企业和统计工作人员奖励，纳入相关部门及乡镇考核，实行奖惩制度。</w:t>
      </w:r>
      <w:r>
        <w:rPr>
          <w:rFonts w:hint="eastAsia" w:eastAsia="仿宋_GB2312"/>
          <w:sz w:val="32"/>
          <w:szCs w:val="32"/>
        </w:rPr>
        <w:t>2021年累计</w:t>
      </w:r>
      <w:r>
        <w:rPr>
          <w:rStyle w:val="37"/>
          <w:rFonts w:hint="default" w:ascii="Times New Roman" w:hAnsi="Times New Roman" w:eastAsia="仿宋_GB2312"/>
          <w:color w:val="auto"/>
          <w:sz w:val="32"/>
          <w:szCs w:val="32"/>
        </w:rPr>
        <w:t>新培育</w:t>
      </w:r>
      <w:r>
        <w:rPr>
          <w:rFonts w:hint="eastAsia" w:eastAsia="仿宋_GB2312"/>
          <w:sz w:val="32"/>
          <w:szCs w:val="32"/>
        </w:rPr>
        <w:t>规（限）上商贸服务业企业入库11户，完成目标任务137.5%。</w:t>
      </w:r>
    </w:p>
    <w:p>
      <w:pPr>
        <w:spacing w:line="595"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2</w:t>
      </w:r>
      <w:r>
        <w:rPr>
          <w:rFonts w:ascii="楷体_GB2312" w:hAnsi="楷体_GB2312" w:eastAsia="楷体_GB2312" w:cs="楷体_GB2312"/>
          <w:b/>
          <w:sz w:val="32"/>
          <w:szCs w:val="32"/>
        </w:rPr>
        <w:t>市场体系建设</w:t>
      </w:r>
      <w:r>
        <w:rPr>
          <w:rFonts w:hint="eastAsia" w:ascii="楷体_GB2312" w:hAnsi="楷体_GB2312" w:eastAsia="楷体_GB2312" w:cs="楷体_GB2312"/>
          <w:b/>
          <w:sz w:val="32"/>
          <w:szCs w:val="32"/>
        </w:rPr>
        <w:t>有成效</w:t>
      </w:r>
      <w:r>
        <w:rPr>
          <w:rFonts w:ascii="楷体_GB2312" w:hAnsi="楷体_GB2312" w:eastAsia="楷体_GB2312" w:cs="楷体_GB2312"/>
          <w:b/>
          <w:sz w:val="32"/>
          <w:szCs w:val="32"/>
        </w:rPr>
        <w:t>。</w:t>
      </w:r>
      <w:r>
        <w:rPr>
          <w:rFonts w:eastAsia="仿宋_GB2312"/>
          <w:kern w:val="0"/>
          <w:sz w:val="32"/>
          <w:szCs w:val="32"/>
          <w:shd w:val="clear" w:color="auto" w:fill="FFFFFF"/>
        </w:rPr>
        <w:t>狠抓重点项目建设，补齐基础设施短板</w:t>
      </w:r>
      <w:r>
        <w:rPr>
          <w:rFonts w:hint="eastAsia" w:eastAsia="仿宋_GB2312"/>
          <w:kern w:val="0"/>
          <w:sz w:val="32"/>
          <w:szCs w:val="32"/>
          <w:shd w:val="clear" w:color="auto" w:fill="FFFFFF"/>
        </w:rPr>
        <w:t>，</w:t>
      </w:r>
      <w:r>
        <w:rPr>
          <w:rFonts w:eastAsia="仿宋_GB2312"/>
          <w:kern w:val="0"/>
          <w:sz w:val="32"/>
          <w:szCs w:val="32"/>
          <w:shd w:val="clear" w:color="auto" w:fill="FFFFFF"/>
        </w:rPr>
        <w:t>逐步完善流通体系</w:t>
      </w:r>
      <w:r>
        <w:rPr>
          <w:rFonts w:hint="eastAsia" w:eastAsia="仿宋_GB2312"/>
          <w:kern w:val="0"/>
          <w:sz w:val="32"/>
          <w:szCs w:val="32"/>
          <w:shd w:val="clear" w:color="auto" w:fill="FFFFFF"/>
        </w:rPr>
        <w:t>，</w:t>
      </w:r>
      <w:r>
        <w:rPr>
          <w:rFonts w:eastAsia="仿宋_GB2312"/>
          <w:kern w:val="0"/>
          <w:sz w:val="32"/>
          <w:szCs w:val="32"/>
          <w:shd w:val="clear" w:color="auto" w:fill="FFFFFF"/>
        </w:rPr>
        <w:t>提高流通现代化水平</w:t>
      </w:r>
      <w:r>
        <w:rPr>
          <w:rFonts w:hint="eastAsia" w:eastAsia="仿宋_GB2312"/>
          <w:kern w:val="0"/>
          <w:sz w:val="32"/>
          <w:szCs w:val="32"/>
          <w:shd w:val="clear" w:color="auto" w:fill="FFFFFF"/>
        </w:rPr>
        <w:t>。</w:t>
      </w:r>
      <w:r>
        <w:rPr>
          <w:rFonts w:eastAsia="仿宋_GB2312"/>
          <w:kern w:val="0"/>
          <w:sz w:val="32"/>
          <w:szCs w:val="32"/>
          <w:shd w:val="clear" w:color="auto" w:fill="FFFFFF"/>
        </w:rPr>
        <w:t>完成电商进农村国家示范县、内贸流通示范县、家政服务示范县等3个项目验收，农商互联供应链项目初验工作。</w:t>
      </w:r>
      <w:r>
        <w:rPr>
          <w:rFonts w:hint="eastAsia" w:eastAsia="仿宋_GB2312"/>
          <w:kern w:val="0"/>
          <w:sz w:val="32"/>
          <w:szCs w:val="32"/>
          <w:shd w:val="clear" w:color="auto" w:fill="FFFFFF"/>
        </w:rPr>
        <w:t>全力保障民生福祉，建成板桥口镇农贸市场1个，社区菜店2个，同城电商平台1个。开展直播带货4场，成交金额30余万元，带动全县实现网络零售额2.78亿元，</w:t>
      </w:r>
      <w:r>
        <w:rPr>
          <w:rFonts w:hint="eastAsia" w:ascii="仿宋_GB2312" w:hAnsi="仿宋_GB2312" w:eastAsia="仿宋_GB2312" w:cs="仿宋_GB2312"/>
          <w:sz w:val="32"/>
          <w:szCs w:val="32"/>
        </w:rPr>
        <w:t>农村电商通江模式入选国家乡村振兴局东西部协作培训班典型案例。</w:t>
      </w:r>
    </w:p>
    <w:p>
      <w:pPr>
        <w:spacing w:line="595"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kern w:val="0"/>
          <w:sz w:val="32"/>
          <w:szCs w:val="32"/>
        </w:rPr>
        <w:t>3</w:t>
      </w:r>
      <w:r>
        <w:rPr>
          <w:rFonts w:hint="eastAsia" w:ascii="楷体_GB2312" w:hAnsi="黑体" w:eastAsia="楷体_GB2312" w:cs="黑体"/>
          <w:b/>
          <w:sz w:val="32"/>
          <w:szCs w:val="32"/>
        </w:rPr>
        <w:t>经济社会发展有增量。</w:t>
      </w:r>
      <w:r>
        <w:rPr>
          <w:rFonts w:hint="eastAsia" w:eastAsia="仿宋_GB2312"/>
          <w:sz w:val="32"/>
          <w:szCs w:val="32"/>
        </w:rPr>
        <w:t>切实发挥疫情防控应急处突机制和影响消费品市场</w:t>
      </w:r>
      <w:r>
        <w:rPr>
          <w:rFonts w:eastAsia="仿宋_GB2312"/>
          <w:sz w:val="32"/>
          <w:szCs w:val="32"/>
        </w:rPr>
        <w:t>Ι</w:t>
      </w:r>
      <w:r>
        <w:rPr>
          <w:rFonts w:hint="eastAsia" w:eastAsia="仿宋_GB2312"/>
          <w:sz w:val="32"/>
          <w:szCs w:val="32"/>
        </w:rPr>
        <w:t>级响应机制作用，落实24小时带班值班制度，常态化做好生活必需品市场保供监测和疫情防控综合指挥协调工作，统筹推进疫情防控和经济社会发展。商贸流通行业领域实现从业人员健康码申领率100%，经营场所码覆盖率100%，疫苗接种应接尽接，全县商贸领域疫情“零报告”，安全生产“零事故”。</w:t>
      </w:r>
      <w:r>
        <w:rPr>
          <w:rFonts w:hint="eastAsia" w:eastAsia="仿宋_GB2312"/>
          <w:kern w:val="0"/>
          <w:sz w:val="32"/>
          <w:szCs w:val="32"/>
          <w:shd w:val="clear" w:color="auto" w:fill="FFFFFF"/>
        </w:rPr>
        <w:t>组织26家企业参加“西洽会”“西博会”等市场拓展“三大活动”，累计销售1000余万元。</w:t>
      </w:r>
    </w:p>
    <w:p>
      <w:pPr>
        <w:pStyle w:val="3"/>
        <w:spacing w:before="93" w:line="595" w:lineRule="exact"/>
        <w:ind w:firstLine="643" w:firstLineChars="200"/>
      </w:pPr>
      <w:r>
        <w:rPr>
          <w:rFonts w:hint="eastAsia" w:ascii="楷体_GB2312" w:hAnsi="楷体_GB2312" w:eastAsia="楷体_GB2312" w:cs="楷体_GB2312"/>
          <w:b/>
          <w:sz w:val="32"/>
          <w:szCs w:val="32"/>
        </w:rPr>
        <w:t>4</w:t>
      </w:r>
      <w:r>
        <w:rPr>
          <w:rFonts w:ascii="楷体_GB2312" w:hAnsi="楷体_GB2312" w:eastAsia="楷体_GB2312" w:cs="楷体_GB2312"/>
          <w:b/>
          <w:sz w:val="32"/>
          <w:szCs w:val="32"/>
        </w:rPr>
        <w:t>商务执法</w:t>
      </w:r>
      <w:r>
        <w:rPr>
          <w:rFonts w:hint="eastAsia" w:ascii="楷体_GB2312" w:hAnsi="楷体_GB2312" w:eastAsia="楷体_GB2312" w:cs="楷体_GB2312"/>
          <w:b/>
          <w:sz w:val="32"/>
          <w:szCs w:val="32"/>
        </w:rPr>
        <w:t>工作有力度</w:t>
      </w:r>
      <w:r>
        <w:rPr>
          <w:rFonts w:ascii="楷体_GB2312" w:hAnsi="楷体_GB2312" w:eastAsia="楷体_GB2312" w:cs="楷体_GB2312"/>
          <w:b/>
          <w:sz w:val="32"/>
          <w:szCs w:val="32"/>
        </w:rPr>
        <w:t>。</w:t>
      </w:r>
      <w:r>
        <w:rPr>
          <w:rFonts w:ascii="Times New Roman"/>
          <w:sz w:val="32"/>
          <w:szCs w:val="32"/>
        </w:rPr>
        <w:t>强化理论学习，</w:t>
      </w:r>
      <w:r>
        <w:rPr>
          <w:rFonts w:hint="eastAsia" w:ascii="Times New Roman"/>
          <w:sz w:val="32"/>
          <w:szCs w:val="32"/>
        </w:rPr>
        <w:t>2021年度</w:t>
      </w:r>
      <w:r>
        <w:rPr>
          <w:rFonts w:ascii="Times New Roman"/>
          <w:sz w:val="32"/>
          <w:szCs w:val="32"/>
        </w:rPr>
        <w:t>有计划地对商贸流通行业安全管理办法</w:t>
      </w:r>
      <w:r>
        <w:rPr>
          <w:rFonts w:ascii="Times New Roman"/>
          <w:sz w:val="32"/>
          <w:szCs w:val="32"/>
          <w:u w:val="none" w:color="000000"/>
        </w:rPr>
        <w:t>、农</w:t>
      </w:r>
      <w:r>
        <w:rPr>
          <w:rFonts w:ascii="Times New Roman"/>
          <w:sz w:val="32"/>
          <w:szCs w:val="32"/>
        </w:rPr>
        <w:t>贸市场管理办法、服务行业安全管理办法、再生资源管理办法等相关法律法规进行了</w:t>
      </w:r>
      <w:r>
        <w:rPr>
          <w:rFonts w:hint="eastAsia" w:ascii="Times New Roman"/>
          <w:sz w:val="32"/>
          <w:szCs w:val="32"/>
        </w:rPr>
        <w:t>6次</w:t>
      </w:r>
      <w:r>
        <w:rPr>
          <w:rFonts w:ascii="Times New Roman"/>
          <w:sz w:val="32"/>
          <w:szCs w:val="32"/>
        </w:rPr>
        <w:t>集中学习，营造了浓厚的学习氛围，有效提升了执法理论水平。严肃执法纪律，严禁</w:t>
      </w:r>
      <w:r>
        <w:rPr>
          <w:rFonts w:ascii="Times New Roman"/>
          <w:sz w:val="32"/>
          <w:szCs w:val="32"/>
          <w:shd w:val="clear" w:color="auto" w:fill="FFFFFF"/>
        </w:rPr>
        <w:t>执法不亮证、酒后执法、索拿卡要等违法违纪行为，切实做到严格执法、热情服务，帮企业解难题、办实事。规范执法程序，严格遵守《</w:t>
      </w:r>
      <w:r>
        <w:rPr>
          <w:rFonts w:hint="eastAsia" w:ascii="Times New Roman"/>
          <w:sz w:val="32"/>
          <w:szCs w:val="32"/>
          <w:shd w:val="clear" w:color="auto" w:fill="FFFFFF"/>
        </w:rPr>
        <w:t>中华人民共和国</w:t>
      </w:r>
      <w:r>
        <w:rPr>
          <w:rFonts w:ascii="Times New Roman"/>
          <w:sz w:val="32"/>
          <w:szCs w:val="32"/>
          <w:shd w:val="clear" w:color="auto" w:fill="FFFFFF"/>
        </w:rPr>
        <w:t>安全生产法》《</w:t>
      </w:r>
      <w:r>
        <w:rPr>
          <w:rFonts w:hint="eastAsia" w:ascii="Times New Roman"/>
          <w:sz w:val="32"/>
          <w:szCs w:val="32"/>
          <w:shd w:val="clear" w:color="auto" w:fill="FFFFFF"/>
        </w:rPr>
        <w:t>中华人民共和国</w:t>
      </w:r>
      <w:r>
        <w:rPr>
          <w:rFonts w:ascii="Times New Roman"/>
          <w:sz w:val="32"/>
          <w:szCs w:val="32"/>
          <w:shd w:val="clear" w:color="auto" w:fill="FFFFFF"/>
        </w:rPr>
        <w:t>行政处罚法》等相关法律法规，按程序调查研究，按规范制作文书，切实做到有检查、有记录、有台账。</w:t>
      </w:r>
    </w:p>
    <w:p>
      <w:pPr>
        <w:spacing w:line="595" w:lineRule="exact"/>
        <w:ind w:firstLine="643" w:firstLineChars="200"/>
        <w:rPr>
          <w:rFonts w:eastAsia="仿宋_GB2312"/>
          <w:sz w:val="32"/>
          <w:szCs w:val="32"/>
        </w:rPr>
      </w:pPr>
      <w:r>
        <w:rPr>
          <w:rFonts w:hint="eastAsia" w:ascii="楷体_GB2312" w:hAnsi="楷体_GB2312" w:eastAsia="楷体_GB2312" w:cs="楷体_GB2312"/>
          <w:b/>
          <w:sz w:val="32"/>
          <w:szCs w:val="32"/>
        </w:rPr>
        <w:t>5</w:t>
      </w:r>
      <w:r>
        <w:rPr>
          <w:rFonts w:ascii="楷体_GB2312" w:hAnsi="楷体_GB2312" w:eastAsia="楷体_GB2312" w:cs="楷体_GB2312"/>
          <w:b/>
          <w:sz w:val="32"/>
          <w:szCs w:val="32"/>
        </w:rPr>
        <w:t>统计联网直报</w:t>
      </w:r>
      <w:r>
        <w:rPr>
          <w:rFonts w:hint="eastAsia" w:ascii="楷体_GB2312" w:hAnsi="楷体_GB2312" w:eastAsia="楷体_GB2312" w:cs="楷体_GB2312"/>
          <w:b/>
          <w:sz w:val="32"/>
          <w:szCs w:val="32"/>
        </w:rPr>
        <w:t>更畅通</w:t>
      </w:r>
      <w:r>
        <w:rPr>
          <w:rFonts w:ascii="楷体_GB2312" w:hAnsi="楷体_GB2312" w:eastAsia="楷体_GB2312" w:cs="楷体_GB2312"/>
          <w:b/>
          <w:sz w:val="32"/>
          <w:szCs w:val="32"/>
        </w:rPr>
        <w:t>。</w:t>
      </w:r>
      <w:r>
        <w:rPr>
          <w:rFonts w:eastAsia="仿宋_GB2312"/>
          <w:sz w:val="32"/>
          <w:szCs w:val="32"/>
        </w:rPr>
        <w:t>每月定时深入企业指导统计联网直报工作，及时汇总限上部分数据</w:t>
      </w:r>
      <w:r>
        <w:rPr>
          <w:rFonts w:hint="eastAsia" w:eastAsia="仿宋_GB2312"/>
          <w:sz w:val="32"/>
          <w:szCs w:val="32"/>
        </w:rPr>
        <w:t>。</w:t>
      </w:r>
      <w:r>
        <w:rPr>
          <w:rFonts w:eastAsia="仿宋_GB2312"/>
          <w:sz w:val="32"/>
          <w:szCs w:val="32"/>
        </w:rPr>
        <w:t>加强企业统计人员的业务指导、培训工作，按照企业经营类型分类、分批组织培训，</w:t>
      </w:r>
      <w:r>
        <w:rPr>
          <w:rFonts w:hint="eastAsia" w:eastAsia="仿宋_GB2312"/>
          <w:sz w:val="32"/>
          <w:szCs w:val="32"/>
        </w:rPr>
        <w:t>确保统计人员每年至少进行2次培训。同时，</w:t>
      </w:r>
      <w:r>
        <w:rPr>
          <w:rFonts w:eastAsia="仿宋_GB2312"/>
          <w:sz w:val="32"/>
          <w:szCs w:val="32"/>
        </w:rPr>
        <w:t>进一步利用QQ</w:t>
      </w:r>
      <w:r>
        <w:rPr>
          <w:rFonts w:hint="eastAsia" w:eastAsia="仿宋_GB2312"/>
          <w:sz w:val="32"/>
          <w:szCs w:val="32"/>
        </w:rPr>
        <w:t>、微信等方式</w:t>
      </w:r>
      <w:r>
        <w:rPr>
          <w:rFonts w:eastAsia="仿宋_GB2312"/>
          <w:sz w:val="32"/>
          <w:szCs w:val="32"/>
        </w:rPr>
        <w:t>实时交流，形成相互学习的良好氛围，基本达到了应统尽统。</w:t>
      </w:r>
    </w:p>
    <w:p>
      <w:pPr>
        <w:spacing w:line="595" w:lineRule="exact"/>
        <w:ind w:firstLine="643" w:firstLineChars="200"/>
      </w:pPr>
      <w:r>
        <w:rPr>
          <w:rFonts w:hint="eastAsia" w:ascii="楷体_GB2312" w:hAnsi="楷体_GB2312" w:eastAsia="楷体_GB2312" w:cs="楷体_GB2312"/>
          <w:b/>
          <w:sz w:val="32"/>
          <w:szCs w:val="32"/>
        </w:rPr>
        <w:t>6市场运行监测更高效。</w:t>
      </w:r>
      <w:r>
        <w:rPr>
          <w:rFonts w:eastAsia="仿宋_GB2312"/>
          <w:sz w:val="32"/>
          <w:szCs w:val="32"/>
        </w:rPr>
        <w:t>每月编撰一份《通江县城市生活必需品</w:t>
      </w:r>
      <w:r>
        <w:rPr>
          <w:rFonts w:hint="eastAsia" w:eastAsia="仿宋_GB2312"/>
          <w:sz w:val="32"/>
          <w:szCs w:val="32"/>
        </w:rPr>
        <w:t>监测</w:t>
      </w:r>
      <w:r>
        <w:rPr>
          <w:rFonts w:eastAsia="仿宋_GB2312"/>
          <w:sz w:val="32"/>
          <w:szCs w:val="32"/>
        </w:rPr>
        <w:t>报告》，确保我县</w:t>
      </w:r>
      <w:r>
        <w:rPr>
          <w:rFonts w:hint="eastAsia" w:eastAsia="仿宋_GB2312"/>
          <w:sz w:val="32"/>
          <w:szCs w:val="32"/>
        </w:rPr>
        <w:t>城市</w:t>
      </w:r>
      <w:r>
        <w:rPr>
          <w:rFonts w:eastAsia="仿宋_GB2312"/>
          <w:sz w:val="32"/>
          <w:szCs w:val="32"/>
        </w:rPr>
        <w:t>生活必需品监测系统的更好运行。按照《通江县生活必需品市场供应应急预案》要求，落实日常生活必需品应急储备企业</w:t>
      </w:r>
      <w:r>
        <w:rPr>
          <w:rFonts w:hint="eastAsia" w:eastAsia="仿宋_GB2312"/>
          <w:sz w:val="32"/>
          <w:szCs w:val="32"/>
        </w:rPr>
        <w:t>8</w:t>
      </w:r>
      <w:r>
        <w:rPr>
          <w:rFonts w:eastAsia="仿宋_GB2312"/>
          <w:sz w:val="32"/>
          <w:szCs w:val="32"/>
        </w:rPr>
        <w:t>家，对米、面、油等物品的应急储备落实到企业，完善了日常生活必需品应急储备支撑体系</w:t>
      </w:r>
      <w:r>
        <w:rPr>
          <w:rFonts w:hint="eastAsia" w:eastAsia="仿宋_GB2312"/>
          <w:sz w:val="32"/>
          <w:szCs w:val="32"/>
        </w:rPr>
        <w:t>，</w:t>
      </w:r>
      <w:r>
        <w:rPr>
          <w:rFonts w:eastAsia="仿宋_GB2312"/>
          <w:sz w:val="32"/>
          <w:szCs w:val="32"/>
        </w:rPr>
        <w:t>确保</w:t>
      </w:r>
      <w:r>
        <w:rPr>
          <w:rFonts w:hint="eastAsia" w:eastAsia="仿宋_GB2312"/>
          <w:sz w:val="32"/>
          <w:szCs w:val="32"/>
        </w:rPr>
        <w:t>疫情期间、节日期间</w:t>
      </w:r>
      <w:r>
        <w:rPr>
          <w:rFonts w:eastAsia="仿宋_GB2312"/>
          <w:sz w:val="32"/>
          <w:szCs w:val="32"/>
        </w:rPr>
        <w:t>生活必需品不脱销、不断档。</w:t>
      </w:r>
    </w:p>
    <w:p>
      <w:pPr>
        <w:spacing w:line="560" w:lineRule="exact"/>
        <w:ind w:firstLine="642"/>
      </w:pPr>
      <w:r>
        <w:rPr>
          <w:rFonts w:hint="eastAsia" w:ascii="楷体_GB2312" w:hAnsi="楷体_GB2312" w:eastAsia="楷体_GB2312" w:cs="楷体_GB2312"/>
          <w:b/>
          <w:bCs/>
          <w:kern w:val="0"/>
          <w:sz w:val="32"/>
          <w:szCs w:val="32"/>
        </w:rPr>
        <w:t>7党风廉政建设更深入。</w:t>
      </w:r>
      <w:r>
        <w:rPr>
          <w:rFonts w:eastAsia="仿宋_GB2312"/>
          <w:sz w:val="32"/>
          <w:szCs w:val="32"/>
        </w:rPr>
        <w:t>全面贯彻党的十九大和十九届中纪委全会精神，认真落实省、市、县纪委的部署要求，坚持标本兼治、综合治理、惩防并举、注重预防方针，明确“一把手负总责、分管领导具体抓、股室各负其责”的党风廉政</w:t>
      </w:r>
      <w:r>
        <w:rPr>
          <w:rFonts w:hint="eastAsia" w:eastAsia="仿宋_GB2312"/>
          <w:sz w:val="32"/>
          <w:szCs w:val="32"/>
        </w:rPr>
        <w:t>建设</w:t>
      </w:r>
      <w:r>
        <w:rPr>
          <w:rFonts w:eastAsia="仿宋_GB2312"/>
          <w:sz w:val="32"/>
          <w:szCs w:val="32"/>
        </w:rPr>
        <w:t>责任制，扭住行政执法、资金使用、公务接待等关键环节，把党风廉政建设与业务工作同部署、同落实，同检查、同考核，全力推进党风廉政建设和反腐败工作，</w:t>
      </w:r>
      <w:r>
        <w:rPr>
          <w:rFonts w:hint="eastAsia" w:eastAsia="仿宋_GB2312"/>
          <w:kern w:val="0"/>
          <w:sz w:val="32"/>
          <w:szCs w:val="32"/>
        </w:rPr>
        <w:t>为全县商务事业</w:t>
      </w:r>
      <w:r>
        <w:rPr>
          <w:rFonts w:hint="eastAsia" w:eastAsia="仿宋_GB2312"/>
          <w:kern w:val="0"/>
          <w:sz w:val="32"/>
          <w:szCs w:val="32"/>
          <w:lang w:eastAsia="zh-CN"/>
        </w:rPr>
        <w:t>更好地服务</w:t>
      </w:r>
      <w:r>
        <w:rPr>
          <w:rFonts w:hint="eastAsia" w:eastAsia="仿宋_GB2312"/>
          <w:kern w:val="0"/>
          <w:sz w:val="32"/>
          <w:szCs w:val="32"/>
        </w:rPr>
        <w:t>于革命老区振兴发展提供坚强的政治和纪律保证。</w:t>
      </w:r>
    </w:p>
    <w:p>
      <w:pPr>
        <w:pStyle w:val="14"/>
        <w:spacing w:before="0" w:after="0" w:line="560" w:lineRule="exact"/>
        <w:ind w:firstLine="640" w:firstLineChars="200"/>
        <w:rPr>
          <w:rStyle w:val="32"/>
          <w:b w:val="0"/>
          <w:bCs w:val="0"/>
        </w:rPr>
      </w:pPr>
      <w:bookmarkStart w:id="24" w:name="_Toc15396601"/>
      <w:bookmarkStart w:id="25" w:name="_Toc15377200"/>
      <w:bookmarkStart w:id="26" w:name="_Toc19938"/>
      <w:r>
        <w:rPr>
          <w:rFonts w:hint="eastAsia" w:ascii="黑体" w:eastAsia="黑体"/>
          <w:b w:val="0"/>
        </w:rPr>
        <w:t>二、</w:t>
      </w:r>
      <w:r>
        <w:rPr>
          <w:rFonts w:hint="eastAsia" w:ascii="黑体" w:hAnsi="黑体" w:eastAsia="黑体"/>
          <w:b w:val="0"/>
        </w:rPr>
        <w:t>机</w:t>
      </w:r>
      <w:r>
        <w:rPr>
          <w:rStyle w:val="32"/>
          <w:rFonts w:hint="eastAsia" w:ascii="黑体" w:hAnsi="黑体" w:eastAsia="黑体"/>
          <w:b w:val="0"/>
          <w:bCs w:val="0"/>
        </w:rPr>
        <w:t>构设置</w:t>
      </w:r>
      <w:bookmarkEnd w:id="24"/>
      <w:bookmarkEnd w:id="25"/>
      <w:bookmarkEnd w:id="26"/>
    </w:p>
    <w:p>
      <w:pPr>
        <w:spacing w:line="560" w:lineRule="exact"/>
        <w:ind w:firstLine="800" w:firstLineChars="250"/>
        <w:rPr>
          <w:rFonts w:ascii="仿宋" w:hAnsi="仿宋" w:eastAsia="仿宋"/>
          <w:sz w:val="32"/>
          <w:szCs w:val="32"/>
        </w:rPr>
      </w:pPr>
      <w:r>
        <w:rPr>
          <w:rFonts w:hint="eastAsia" w:ascii="仿宋" w:hAnsi="仿宋" w:eastAsia="仿宋"/>
          <w:sz w:val="32"/>
          <w:szCs w:val="32"/>
        </w:rPr>
        <w:t>通江县商务局下属二级单位2个，其中行政单位0个，参照公务员法管理的事业单位</w:t>
      </w:r>
      <w:r>
        <w:rPr>
          <w:rFonts w:hint="eastAsia" w:ascii="仿宋" w:hAnsi="仿宋" w:eastAsia="仿宋"/>
          <w:bCs/>
          <w:sz w:val="32"/>
          <w:szCs w:val="32"/>
        </w:rPr>
        <w:t>1</w:t>
      </w:r>
      <w:r>
        <w:rPr>
          <w:rFonts w:hint="eastAsia" w:ascii="仿宋" w:hAnsi="仿宋" w:eastAsia="仿宋"/>
          <w:sz w:val="32"/>
          <w:szCs w:val="32"/>
        </w:rPr>
        <w:t>个，其他事业单位1个。</w:t>
      </w:r>
    </w:p>
    <w:p>
      <w:pPr>
        <w:pStyle w:val="3"/>
        <w:adjustRightInd w:val="0"/>
        <w:snapToGrid w:val="0"/>
        <w:spacing w:beforeLines="0" w:line="560" w:lineRule="exact"/>
        <w:ind w:firstLine="672" w:firstLineChars="210"/>
        <w:rPr>
          <w:rFonts w:ascii="仿宋" w:hAnsi="仿宋" w:eastAsia="仿宋"/>
          <w:sz w:val="32"/>
          <w:szCs w:val="32"/>
        </w:rPr>
      </w:pPr>
      <w:r>
        <w:rPr>
          <w:rFonts w:hint="eastAsia" w:ascii="仿宋" w:hAnsi="仿宋" w:eastAsia="仿宋"/>
          <w:sz w:val="32"/>
          <w:szCs w:val="32"/>
        </w:rPr>
        <w:t>纳入通江县商务局2021年度部门决算编制范围的二级预算单位包括：</w:t>
      </w:r>
    </w:p>
    <w:p>
      <w:pPr>
        <w:pStyle w:val="38"/>
        <w:snapToGrid w:val="0"/>
        <w:spacing w:beforeLines="0" w:line="560" w:lineRule="exact"/>
        <w:ind w:firstLine="640" w:firstLineChars="200"/>
        <w:textAlignment w:val="baseline"/>
        <w:rPr>
          <w:rFonts w:ascii="仿宋" w:hAnsi="仿宋" w:eastAsia="仿宋"/>
          <w:color w:val="000000"/>
          <w:sz w:val="32"/>
          <w:szCs w:val="32"/>
        </w:rPr>
      </w:pPr>
      <w:bookmarkStart w:id="27" w:name="_Toc15306276"/>
      <w:bookmarkStart w:id="28" w:name="_Toc15377202"/>
      <w:bookmarkStart w:id="29" w:name="_Toc15377433"/>
      <w:bookmarkStart w:id="30" w:name="_Toc15378449"/>
      <w:r>
        <w:rPr>
          <w:rFonts w:hint="eastAsia" w:ascii="仿宋" w:hAnsi="仿宋" w:eastAsia="仿宋"/>
          <w:color w:val="000000"/>
          <w:sz w:val="32"/>
          <w:szCs w:val="32"/>
        </w:rPr>
        <w:t>1.通江县商务局执法大队</w:t>
      </w:r>
      <w:bookmarkEnd w:id="27"/>
      <w:bookmarkEnd w:id="28"/>
      <w:bookmarkEnd w:id="29"/>
      <w:bookmarkEnd w:id="30"/>
    </w:p>
    <w:p>
      <w:pPr>
        <w:widowControl/>
        <w:spacing w:line="560" w:lineRule="exact"/>
        <w:ind w:firstLine="640" w:firstLineChars="200"/>
        <w:jc w:val="left"/>
        <w:rPr>
          <w:rFonts w:ascii="仿宋" w:hAnsi="仿宋" w:eastAsia="仿宋"/>
          <w:kern w:val="0"/>
          <w:sz w:val="32"/>
          <w:szCs w:val="32"/>
        </w:rPr>
      </w:pPr>
      <w:r>
        <w:rPr>
          <w:rFonts w:hint="eastAsia" w:ascii="仿宋" w:hAnsi="仿宋" w:eastAsia="仿宋"/>
          <w:color w:val="000000"/>
          <w:sz w:val="32"/>
          <w:szCs w:val="32"/>
        </w:rPr>
        <w:t>2.通江县商务信息中</w:t>
      </w:r>
      <w:r>
        <w:rPr>
          <w:rFonts w:hint="eastAsia" w:ascii="仿宋" w:hAnsi="仿宋" w:eastAsia="仿宋"/>
          <w:color w:val="000000"/>
          <w:sz w:val="32"/>
          <w:szCs w:val="32"/>
          <w:u w:val="none" w:color="000000"/>
        </w:rPr>
        <w:t>心</w:t>
      </w:r>
      <w:r>
        <w:rPr>
          <w:u w:val="none" w:color="000000"/>
        </w:rPr>
        <w:br w:type="page"/>
      </w:r>
    </w:p>
    <w:p>
      <w:pPr>
        <w:pStyle w:val="13"/>
        <w:ind w:right="440"/>
        <w:jc w:val="center"/>
        <w:rPr>
          <w:rStyle w:val="31"/>
          <w:rFonts w:ascii="黑体" w:hAnsi="黑体" w:eastAsia="黑体"/>
          <w:b w:val="0"/>
          <w:bCs/>
        </w:rPr>
      </w:pPr>
      <w:bookmarkStart w:id="31" w:name="_Toc15377204"/>
      <w:bookmarkStart w:id="32" w:name="_Toc15396602"/>
      <w:bookmarkStart w:id="33" w:name="_Toc30480"/>
      <w:r>
        <w:rPr>
          <w:rFonts w:hint="eastAsia" w:ascii="黑体" w:hAnsi="黑体" w:eastAsia="黑体"/>
          <w:b w:val="0"/>
        </w:rPr>
        <w:t>第二</w:t>
      </w:r>
      <w:bookmarkStart w:id="114" w:name="_GoBack"/>
      <w:r>
        <w:rPr>
          <w:rFonts w:hint="eastAsia" w:ascii="黑体" w:hAnsi="黑体" w:eastAsia="黑体"/>
          <w:b w:val="0"/>
        </w:rPr>
        <w:t>部分</w:t>
      </w:r>
      <w:r>
        <w:rPr>
          <w:rFonts w:hint="eastAsia" w:ascii="黑体" w:hAnsi="黑体" w:eastAsia="黑体"/>
          <w:b w:val="0"/>
          <w:lang w:val="en-US" w:eastAsia="zh-CN"/>
        </w:rPr>
        <w:t xml:space="preserve"> </w:t>
      </w:r>
      <w:bookmarkEnd w:id="114"/>
      <w:r>
        <w:rPr>
          <w:rFonts w:hint="eastAsia" w:ascii="黑体" w:hAnsi="黑体" w:eastAsia="黑体"/>
          <w:b w:val="0"/>
        </w:rPr>
        <w:t>2021年度</w:t>
      </w:r>
      <w:r>
        <w:rPr>
          <w:rStyle w:val="31"/>
          <w:rFonts w:hint="eastAsia" w:ascii="黑体" w:hAnsi="黑体" w:eastAsia="黑体"/>
          <w:b w:val="0"/>
          <w:bCs/>
        </w:rPr>
        <w:t>部门决算情况说明</w:t>
      </w:r>
      <w:bookmarkEnd w:id="31"/>
      <w:bookmarkEnd w:id="32"/>
      <w:bookmarkEnd w:id="33"/>
    </w:p>
    <w:p/>
    <w:p>
      <w:pPr>
        <w:pStyle w:val="30"/>
        <w:numPr>
          <w:ilvl w:val="0"/>
          <w:numId w:val="1"/>
        </w:numPr>
        <w:spacing w:line="600" w:lineRule="exact"/>
        <w:ind w:firstLineChars="0"/>
        <w:outlineLvl w:val="1"/>
        <w:rPr>
          <w:rStyle w:val="32"/>
          <w:rFonts w:ascii="黑体" w:hAnsi="黑体" w:eastAsia="黑体"/>
          <w:b w:val="0"/>
        </w:rPr>
      </w:pPr>
      <w:bookmarkStart w:id="34" w:name="_Toc1736"/>
      <w:bookmarkStart w:id="35" w:name="_Toc15377205"/>
      <w:bookmarkStart w:id="36" w:name="_Toc15396603"/>
      <w:r>
        <w:rPr>
          <w:rFonts w:hint="eastAsia" w:ascii="黑体" w:hAnsi="黑体" w:eastAsia="黑体"/>
          <w:sz w:val="32"/>
          <w:szCs w:val="32"/>
        </w:rPr>
        <w:t>收</w:t>
      </w:r>
      <w:r>
        <w:rPr>
          <w:rStyle w:val="32"/>
          <w:rFonts w:hint="eastAsia" w:ascii="黑体" w:hAnsi="黑体" w:eastAsia="黑体"/>
          <w:b w:val="0"/>
        </w:rPr>
        <w:t>入支出决算总体情况说明</w:t>
      </w:r>
      <w:bookmarkEnd w:id="34"/>
      <w:bookmarkEnd w:id="35"/>
      <w:bookmarkEnd w:id="36"/>
    </w:p>
    <w:p>
      <w:pPr>
        <w:spacing w:line="600" w:lineRule="exact"/>
        <w:ind w:firstLine="640" w:firstLineChars="200"/>
        <w:rPr>
          <w:rFonts w:ascii="仿宋" w:hAnsi="仿宋" w:eastAsia="仿宋"/>
          <w:sz w:val="32"/>
          <w:szCs w:val="32"/>
        </w:rPr>
      </w:pPr>
      <w:r>
        <w:rPr>
          <w:rFonts w:hint="eastAsia" w:ascii="仿宋" w:hAnsi="仿宋" w:eastAsia="仿宋"/>
          <w:sz w:val="32"/>
          <w:szCs w:val="32"/>
        </w:rPr>
        <w:t>2021年度收、支总计828.8万元。与2020年相比，收、支总计减少318.6万元，下降27.76</w:t>
      </w:r>
      <w:r>
        <w:rPr>
          <w:rFonts w:ascii="仿宋" w:hAnsi="仿宋" w:eastAsia="仿宋"/>
          <w:sz w:val="32"/>
          <w:szCs w:val="32"/>
        </w:rPr>
        <w:t>%</w:t>
      </w:r>
      <w:r>
        <w:rPr>
          <w:rFonts w:hint="eastAsia" w:ascii="仿宋" w:hAnsi="仿宋" w:eastAsia="仿宋"/>
          <w:sz w:val="32"/>
          <w:szCs w:val="32"/>
        </w:rPr>
        <w:t>。主要变动原因是项目减少，项目资金减少。</w:t>
      </w:r>
    </w:p>
    <w:p>
      <w:pPr>
        <w:pStyle w:val="4"/>
      </w:pPr>
      <w:r>
        <w:rPr>
          <w:rFonts w:hint="eastAsia"/>
        </w:rPr>
        <w:drawing>
          <wp:inline distT="0" distB="0" distL="114300" distR="114300">
            <wp:extent cx="5080000" cy="3810000"/>
            <wp:effectExtent l="4445" t="4445" r="20955" b="14605"/>
            <wp:docPr id="699" name="_x0000_i278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spacing w:line="600" w:lineRule="exact"/>
        <w:ind w:firstLine="640" w:firstLineChars="200"/>
        <w:jc w:val="left"/>
        <w:rPr>
          <w:rFonts w:ascii="仿宋_GB2312" w:eastAsia="仿宋_GB2312"/>
          <w:sz w:val="32"/>
          <w:szCs w:val="32"/>
        </w:rPr>
      </w:pPr>
    </w:p>
    <w:p>
      <w:pPr>
        <w:pStyle w:val="30"/>
        <w:numPr>
          <w:ilvl w:val="0"/>
          <w:numId w:val="1"/>
        </w:numPr>
        <w:spacing w:line="600" w:lineRule="exact"/>
        <w:ind w:firstLineChars="0"/>
        <w:outlineLvl w:val="1"/>
        <w:rPr>
          <w:rStyle w:val="32"/>
          <w:rFonts w:ascii="黑体" w:hAnsi="黑体" w:eastAsia="黑体"/>
          <w:b w:val="0"/>
        </w:rPr>
      </w:pPr>
      <w:bookmarkStart w:id="37" w:name="_Toc15396604"/>
      <w:bookmarkStart w:id="38" w:name="_Toc15377206"/>
      <w:bookmarkStart w:id="39" w:name="_Toc9159"/>
      <w:r>
        <w:rPr>
          <w:rFonts w:hint="eastAsia" w:ascii="黑体" w:hAnsi="黑体" w:eastAsia="黑体"/>
          <w:sz w:val="32"/>
          <w:szCs w:val="32"/>
        </w:rPr>
        <w:t>收</w:t>
      </w:r>
      <w:r>
        <w:rPr>
          <w:rStyle w:val="32"/>
          <w:rFonts w:hint="eastAsia" w:ascii="黑体" w:hAnsi="黑体" w:eastAsia="黑体"/>
          <w:b w:val="0"/>
        </w:rPr>
        <w:t>入决算情况说明</w:t>
      </w:r>
      <w:bookmarkEnd w:id="37"/>
      <w:bookmarkEnd w:id="38"/>
      <w:bookmarkEnd w:id="39"/>
    </w:p>
    <w:p>
      <w:pPr>
        <w:spacing w:line="560" w:lineRule="exact"/>
        <w:ind w:firstLine="640" w:firstLineChars="200"/>
        <w:outlineLvl w:val="1"/>
      </w:pPr>
      <w:bookmarkStart w:id="40" w:name="_Toc24196"/>
      <w:r>
        <w:rPr>
          <w:rFonts w:ascii="仿宋" w:hAnsi="仿宋" w:eastAsia="仿宋"/>
          <w:sz w:val="32"/>
          <w:szCs w:val="32"/>
        </w:rPr>
        <w:t>20</w:t>
      </w:r>
      <w:r>
        <w:rPr>
          <w:rFonts w:hint="eastAsia" w:ascii="仿宋" w:hAnsi="仿宋" w:eastAsia="仿宋"/>
          <w:sz w:val="32"/>
          <w:szCs w:val="32"/>
        </w:rPr>
        <w:t>21年本年收入合计712.71万元，其中：一般公共预算财政拨款收入712.71万元，占100</w:t>
      </w:r>
      <w:r>
        <w:rPr>
          <w:rFonts w:ascii="仿宋" w:hAnsi="仿宋" w:eastAsia="仿宋"/>
          <w:sz w:val="32"/>
          <w:szCs w:val="32"/>
        </w:rPr>
        <w:t>%</w:t>
      </w:r>
      <w:r>
        <w:rPr>
          <w:rFonts w:hint="eastAsia" w:ascii="仿宋" w:hAnsi="仿宋" w:eastAsia="仿宋"/>
          <w:sz w:val="32"/>
          <w:szCs w:val="32"/>
        </w:rPr>
        <w:t>；政府性基金预算财政拨款收入0万元，占0</w:t>
      </w:r>
      <w:r>
        <w:rPr>
          <w:rFonts w:ascii="仿宋" w:hAnsi="仿宋" w:eastAsia="仿宋"/>
          <w:sz w:val="32"/>
          <w:szCs w:val="32"/>
        </w:rPr>
        <w:t>%</w:t>
      </w:r>
      <w:r>
        <w:rPr>
          <w:rFonts w:hint="eastAsia" w:ascii="仿宋" w:hAnsi="仿宋" w:eastAsia="仿宋"/>
          <w:sz w:val="32"/>
          <w:szCs w:val="32"/>
        </w:rPr>
        <w:t>；国有资本经营预算财政拨款收入0万元，占0</w:t>
      </w:r>
      <w:r>
        <w:rPr>
          <w:rFonts w:ascii="仿宋" w:hAnsi="仿宋" w:eastAsia="仿宋"/>
          <w:sz w:val="32"/>
          <w:szCs w:val="32"/>
        </w:rPr>
        <w:t>%</w:t>
      </w:r>
      <w:r>
        <w:rPr>
          <w:rFonts w:hint="eastAsia" w:ascii="仿宋" w:hAnsi="仿宋" w:eastAsia="仿宋"/>
          <w:sz w:val="32"/>
          <w:szCs w:val="32"/>
        </w:rPr>
        <w:t>；上级补助收入0万元，占0</w:t>
      </w:r>
      <w:r>
        <w:rPr>
          <w:rFonts w:ascii="仿宋" w:hAnsi="仿宋" w:eastAsia="仿宋"/>
          <w:sz w:val="32"/>
          <w:szCs w:val="32"/>
        </w:rPr>
        <w:t>%</w:t>
      </w:r>
      <w:r>
        <w:rPr>
          <w:rFonts w:hint="eastAsia" w:ascii="仿宋" w:hAnsi="仿宋" w:eastAsia="仿宋"/>
          <w:sz w:val="32"/>
          <w:szCs w:val="32"/>
        </w:rPr>
        <w:t>；事业收入0万元，占0</w:t>
      </w:r>
      <w:r>
        <w:rPr>
          <w:rFonts w:ascii="仿宋" w:hAnsi="仿宋" w:eastAsia="仿宋"/>
          <w:sz w:val="32"/>
          <w:szCs w:val="32"/>
        </w:rPr>
        <w:t>%</w:t>
      </w:r>
      <w:r>
        <w:rPr>
          <w:rFonts w:hint="eastAsia" w:ascii="仿宋" w:hAnsi="仿宋" w:eastAsia="仿宋"/>
          <w:sz w:val="32"/>
          <w:szCs w:val="32"/>
        </w:rPr>
        <w:t>；经营收入0万元，占比0</w:t>
      </w:r>
      <w:r>
        <w:rPr>
          <w:rFonts w:ascii="仿宋" w:hAnsi="仿宋" w:eastAsia="仿宋"/>
          <w:sz w:val="32"/>
          <w:szCs w:val="32"/>
        </w:rPr>
        <w:t>%</w:t>
      </w:r>
      <w:r>
        <w:rPr>
          <w:rFonts w:hint="eastAsia" w:ascii="仿宋" w:hAnsi="仿宋" w:eastAsia="仿宋"/>
          <w:sz w:val="32"/>
          <w:szCs w:val="32"/>
        </w:rPr>
        <w:t>；附属单位上缴收入0万元，占0</w:t>
      </w:r>
      <w:r>
        <w:rPr>
          <w:rFonts w:ascii="仿宋" w:hAnsi="仿宋" w:eastAsia="仿宋"/>
          <w:sz w:val="32"/>
          <w:szCs w:val="32"/>
        </w:rPr>
        <w:t>%</w:t>
      </w:r>
      <w:r>
        <w:rPr>
          <w:rFonts w:hint="eastAsia" w:ascii="仿宋" w:hAnsi="仿宋" w:eastAsia="仿宋"/>
          <w:sz w:val="32"/>
          <w:szCs w:val="32"/>
        </w:rPr>
        <w:t>；其他收入0万元，占0</w:t>
      </w:r>
      <w:r>
        <w:rPr>
          <w:rFonts w:ascii="仿宋" w:hAnsi="仿宋" w:eastAsia="仿宋"/>
          <w:sz w:val="32"/>
          <w:szCs w:val="32"/>
        </w:rPr>
        <w:t>%</w:t>
      </w:r>
      <w:r>
        <w:rPr>
          <w:rFonts w:hint="eastAsia" w:ascii="仿宋" w:hAnsi="仿宋" w:eastAsia="仿宋"/>
          <w:sz w:val="32"/>
          <w:szCs w:val="32"/>
        </w:rPr>
        <w:t>。</w:t>
      </w:r>
      <w:bookmarkEnd w:id="40"/>
    </w:p>
    <w:p>
      <w:pPr>
        <w:pStyle w:val="4"/>
        <w:ind w:firstLine="640" w:firstLineChars="200"/>
        <w:rPr>
          <w:rFonts w:ascii="仿宋_GB2312" w:eastAsia="仿宋_GB2312"/>
          <w:sz w:val="32"/>
          <w:szCs w:val="32"/>
        </w:rPr>
      </w:pPr>
      <w:r>
        <w:rPr>
          <w:rFonts w:hint="eastAsia" w:ascii="仿宋" w:hAnsi="仿宋" w:eastAsia="仿宋"/>
          <w:sz w:val="32"/>
          <w:szCs w:val="32"/>
        </w:rPr>
        <w:drawing>
          <wp:anchor distT="0" distB="0" distL="114300" distR="114300" simplePos="0" relativeHeight="251659264" behindDoc="1" locked="0" layoutInCell="1" allowOverlap="1">
            <wp:simplePos x="0" y="0"/>
            <wp:positionH relativeFrom="column">
              <wp:posOffset>86995</wp:posOffset>
            </wp:positionH>
            <wp:positionV relativeFrom="paragraph">
              <wp:posOffset>286385</wp:posOffset>
            </wp:positionV>
            <wp:extent cx="4994275" cy="2267585"/>
            <wp:effectExtent l="4445" t="4445" r="49530" b="52070"/>
            <wp:wrapTight wrapText="bothSides">
              <wp:wrapPolygon>
                <wp:start x="-19" y="-42"/>
                <wp:lineTo x="-19" y="21552"/>
                <wp:lineTo x="21567" y="21552"/>
                <wp:lineTo x="21567" y="-42"/>
                <wp:lineTo x="-19" y="-42"/>
              </wp:wrapPolygon>
            </wp:wrapTight>
            <wp:docPr id="700" name="_x0000_s278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hint="eastAsia" w:ascii="仿宋" w:hAnsi="仿宋" w:eastAsia="仿宋"/>
          <w:sz w:val="32"/>
          <w:szCs w:val="32"/>
        </w:rPr>
        <w:t>图2：收入决算结构图</w:t>
      </w:r>
    </w:p>
    <w:p>
      <w:pPr>
        <w:pStyle w:val="30"/>
        <w:numPr>
          <w:ilvl w:val="0"/>
          <w:numId w:val="1"/>
        </w:numPr>
        <w:spacing w:line="600" w:lineRule="exact"/>
        <w:ind w:firstLineChars="0"/>
        <w:outlineLvl w:val="1"/>
        <w:rPr>
          <w:rStyle w:val="32"/>
          <w:rFonts w:ascii="黑体" w:hAnsi="黑体" w:eastAsia="黑体"/>
          <w:b w:val="0"/>
        </w:rPr>
      </w:pPr>
      <w:bookmarkStart w:id="41" w:name="_Toc15396605"/>
      <w:bookmarkStart w:id="42" w:name="_Toc15377207"/>
      <w:bookmarkStart w:id="43" w:name="_Toc7492"/>
      <w:r>
        <w:rPr>
          <w:rFonts w:hint="eastAsia" w:ascii="黑体" w:hAnsi="黑体" w:eastAsia="黑体"/>
          <w:sz w:val="32"/>
          <w:szCs w:val="32"/>
        </w:rPr>
        <w:t>支</w:t>
      </w:r>
      <w:r>
        <w:rPr>
          <w:rStyle w:val="32"/>
          <w:rFonts w:hint="eastAsia" w:ascii="黑体" w:hAnsi="黑体" w:eastAsia="黑体"/>
          <w:b w:val="0"/>
        </w:rPr>
        <w:t>出决算情况说明</w:t>
      </w:r>
      <w:bookmarkEnd w:id="41"/>
      <w:bookmarkEnd w:id="42"/>
      <w:bookmarkEnd w:id="43"/>
    </w:p>
    <w:p>
      <w:pPr>
        <w:spacing w:line="600" w:lineRule="exact"/>
        <w:ind w:firstLine="640" w:firstLineChars="200"/>
        <w:outlineLvl w:val="1"/>
        <w:rPr>
          <w:rFonts w:ascii="仿宋" w:hAnsi="仿宋" w:eastAsia="仿宋"/>
          <w:sz w:val="32"/>
          <w:szCs w:val="32"/>
        </w:rPr>
      </w:pPr>
      <w:bookmarkStart w:id="44" w:name="_Toc1416"/>
      <w:r>
        <w:rPr>
          <w:rFonts w:ascii="仿宋" w:hAnsi="仿宋" w:eastAsia="仿宋"/>
          <w:sz w:val="32"/>
          <w:szCs w:val="32"/>
        </w:rPr>
        <w:t>20</w:t>
      </w:r>
      <w:r>
        <w:rPr>
          <w:rFonts w:hint="eastAsia" w:ascii="仿宋" w:hAnsi="仿宋" w:eastAsia="仿宋"/>
          <w:sz w:val="32"/>
          <w:szCs w:val="32"/>
        </w:rPr>
        <w:t>21年本年支出合计828.8万元，其中：基本支出300.41万元，占36.24</w:t>
      </w:r>
      <w:r>
        <w:rPr>
          <w:rFonts w:ascii="仿宋" w:hAnsi="仿宋" w:eastAsia="仿宋"/>
          <w:sz w:val="32"/>
          <w:szCs w:val="32"/>
        </w:rPr>
        <w:t>%</w:t>
      </w:r>
      <w:r>
        <w:rPr>
          <w:rFonts w:hint="eastAsia" w:ascii="仿宋" w:hAnsi="仿宋" w:eastAsia="仿宋"/>
          <w:sz w:val="32"/>
          <w:szCs w:val="32"/>
        </w:rPr>
        <w:t>；项目支出528.4万元，占63.76</w:t>
      </w:r>
      <w:r>
        <w:rPr>
          <w:rFonts w:ascii="仿宋" w:hAnsi="仿宋" w:eastAsia="仿宋"/>
          <w:sz w:val="32"/>
          <w:szCs w:val="32"/>
        </w:rPr>
        <w:t>%</w:t>
      </w:r>
      <w:r>
        <w:rPr>
          <w:rFonts w:hint="eastAsia" w:ascii="仿宋" w:hAnsi="仿宋" w:eastAsia="仿宋"/>
          <w:sz w:val="32"/>
          <w:szCs w:val="32"/>
        </w:rPr>
        <w:t>；上缴上级支出0万元，占0</w:t>
      </w:r>
      <w:r>
        <w:rPr>
          <w:rFonts w:ascii="仿宋" w:hAnsi="仿宋" w:eastAsia="仿宋"/>
          <w:sz w:val="32"/>
          <w:szCs w:val="32"/>
        </w:rPr>
        <w:t>%</w:t>
      </w:r>
      <w:r>
        <w:rPr>
          <w:rFonts w:hint="eastAsia" w:ascii="仿宋" w:hAnsi="仿宋" w:eastAsia="仿宋"/>
          <w:sz w:val="32"/>
          <w:szCs w:val="32"/>
        </w:rPr>
        <w:t>；经营支出0万元，占0</w:t>
      </w:r>
      <w:r>
        <w:rPr>
          <w:rFonts w:ascii="仿宋" w:hAnsi="仿宋" w:eastAsia="仿宋"/>
          <w:sz w:val="32"/>
          <w:szCs w:val="32"/>
        </w:rPr>
        <w:t>%</w:t>
      </w:r>
      <w:r>
        <w:rPr>
          <w:rFonts w:hint="eastAsia" w:ascii="仿宋" w:hAnsi="仿宋" w:eastAsia="仿宋"/>
          <w:sz w:val="32"/>
          <w:szCs w:val="32"/>
        </w:rPr>
        <w:t>；对附属单位补助支出0万元，占0</w:t>
      </w:r>
      <w:r>
        <w:rPr>
          <w:rFonts w:ascii="仿宋" w:hAnsi="仿宋" w:eastAsia="仿宋"/>
          <w:sz w:val="32"/>
          <w:szCs w:val="32"/>
        </w:rPr>
        <w:t>%</w:t>
      </w:r>
      <w:r>
        <w:rPr>
          <w:rFonts w:hint="eastAsia" w:ascii="仿宋" w:hAnsi="仿宋" w:eastAsia="仿宋"/>
          <w:sz w:val="32"/>
          <w:szCs w:val="32"/>
        </w:rPr>
        <w:t>。</w:t>
      </w:r>
      <w:bookmarkEnd w:id="44"/>
    </w:p>
    <w:p>
      <w:pPr>
        <w:pStyle w:val="4"/>
        <w:rPr>
          <w:rFonts w:ascii="仿宋" w:hAnsi="仿宋" w:eastAsia="仿宋"/>
          <w:sz w:val="32"/>
          <w:szCs w:val="32"/>
          <w:shd w:val="pct10" w:color="auto" w:fill="FFFFFF"/>
        </w:rPr>
      </w:pPr>
      <w:r>
        <w:rPr>
          <w:rFonts w:hint="eastAsia" w:ascii="仿宋" w:hAnsi="仿宋" w:eastAsia="仿宋"/>
          <w:sz w:val="32"/>
          <w:szCs w:val="32"/>
          <w:shd w:val="pct10" w:color="auto" w:fill="FFFFFF"/>
        </w:rPr>
        <w:drawing>
          <wp:inline distT="0" distB="0" distL="114300" distR="114300">
            <wp:extent cx="5080000" cy="2524760"/>
            <wp:effectExtent l="4445" t="4445" r="20955" b="23495"/>
            <wp:docPr id="701" name="_x0000_i278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600" w:lineRule="exact"/>
        <w:ind w:firstLine="640" w:firstLineChars="200"/>
        <w:rPr>
          <w:rFonts w:ascii="仿宋_GB2312" w:eastAsia="仿宋_GB2312"/>
          <w:sz w:val="32"/>
          <w:szCs w:val="32"/>
        </w:rPr>
      </w:pPr>
      <w:r>
        <w:rPr>
          <w:rFonts w:hint="eastAsia" w:ascii="仿宋" w:hAnsi="仿宋" w:eastAsia="仿宋"/>
          <w:sz w:val="32"/>
          <w:szCs w:val="32"/>
        </w:rPr>
        <w:t>图3：支出决算结构图</w:t>
      </w:r>
    </w:p>
    <w:p>
      <w:pPr>
        <w:spacing w:line="600" w:lineRule="exact"/>
        <w:ind w:firstLine="640" w:firstLineChars="200"/>
        <w:outlineLvl w:val="1"/>
        <w:rPr>
          <w:rStyle w:val="32"/>
          <w:rFonts w:ascii="黑体" w:hAnsi="黑体" w:eastAsia="黑体"/>
          <w:b w:val="0"/>
        </w:rPr>
      </w:pPr>
      <w:bookmarkStart w:id="45" w:name="_Toc15396606"/>
      <w:bookmarkStart w:id="46" w:name="_Toc15377208"/>
      <w:bookmarkStart w:id="47" w:name="_Toc5824"/>
      <w:r>
        <w:rPr>
          <w:rFonts w:hint="eastAsia" w:ascii="黑体" w:hAnsi="黑体" w:eastAsia="黑体"/>
          <w:sz w:val="32"/>
          <w:szCs w:val="32"/>
        </w:rPr>
        <w:t>四、财</w:t>
      </w:r>
      <w:r>
        <w:rPr>
          <w:rStyle w:val="32"/>
          <w:rFonts w:hint="eastAsia" w:ascii="黑体" w:hAnsi="黑体" w:eastAsia="黑体"/>
          <w:b w:val="0"/>
        </w:rPr>
        <w:t>政拨款收入支出决算总体情况说明</w:t>
      </w:r>
      <w:bookmarkEnd w:id="45"/>
      <w:bookmarkEnd w:id="46"/>
      <w:bookmarkEnd w:id="47"/>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21年财政拨款收、支总计828.8万元。与</w:t>
      </w:r>
      <w:r>
        <w:rPr>
          <w:rFonts w:ascii="仿宋" w:hAnsi="仿宋" w:eastAsia="仿宋"/>
          <w:sz w:val="32"/>
          <w:szCs w:val="32"/>
        </w:rPr>
        <w:t>20</w:t>
      </w:r>
      <w:r>
        <w:rPr>
          <w:rFonts w:hint="eastAsia" w:ascii="仿宋" w:hAnsi="仿宋" w:eastAsia="仿宋"/>
          <w:sz w:val="32"/>
          <w:szCs w:val="32"/>
        </w:rPr>
        <w:t>20年相比，财政拨款收、支总计各减少318.6万元，下降27.76</w:t>
      </w:r>
      <w:r>
        <w:rPr>
          <w:rFonts w:ascii="仿宋" w:hAnsi="仿宋" w:eastAsia="仿宋"/>
          <w:sz w:val="32"/>
          <w:szCs w:val="32"/>
        </w:rPr>
        <w:t>%</w:t>
      </w:r>
      <w:r>
        <w:rPr>
          <w:rFonts w:hint="eastAsia" w:ascii="仿宋" w:hAnsi="仿宋" w:eastAsia="仿宋"/>
          <w:sz w:val="32"/>
          <w:szCs w:val="32"/>
        </w:rPr>
        <w:t>。主要变动原因是项目减少，项目资金减少。</w:t>
      </w:r>
    </w:p>
    <w:p>
      <w:pPr>
        <w:spacing w:line="600" w:lineRule="exact"/>
        <w:rPr>
          <w:rFonts w:ascii="仿宋" w:hAnsi="仿宋" w:eastAsia="仿宋"/>
          <w:sz w:val="32"/>
          <w:szCs w:val="32"/>
        </w:rPr>
      </w:pPr>
    </w:p>
    <w:p>
      <w:pPr>
        <w:pStyle w:val="4"/>
        <w:rPr>
          <w:rFonts w:ascii="仿宋" w:hAnsi="仿宋" w:eastAsia="仿宋"/>
          <w:sz w:val="32"/>
          <w:szCs w:val="32"/>
        </w:rPr>
      </w:pPr>
      <w:r>
        <w:rPr>
          <w:rFonts w:hint="eastAsia" w:ascii="仿宋" w:hAnsi="仿宋" w:eastAsia="仿宋"/>
          <w:sz w:val="32"/>
          <w:szCs w:val="32"/>
        </w:rPr>
        <w:drawing>
          <wp:inline distT="0" distB="0" distL="114300" distR="114300">
            <wp:extent cx="5080000" cy="2886075"/>
            <wp:effectExtent l="4445" t="4445" r="20955" b="5080"/>
            <wp:docPr id="702" name="_x0000_i278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图4：财政拨款收、支决算总计变动情况</w:t>
      </w:r>
    </w:p>
    <w:p>
      <w:pPr>
        <w:spacing w:line="600" w:lineRule="exact"/>
        <w:ind w:firstLine="640" w:firstLineChars="200"/>
        <w:outlineLvl w:val="1"/>
        <w:rPr>
          <w:rStyle w:val="32"/>
          <w:rFonts w:ascii="黑体" w:hAnsi="黑体" w:eastAsia="黑体"/>
          <w:b w:val="0"/>
        </w:rPr>
      </w:pPr>
      <w:bookmarkStart w:id="48" w:name="_Toc15396607"/>
      <w:bookmarkStart w:id="49" w:name="_Toc15377209"/>
      <w:bookmarkStart w:id="50" w:name="_Toc22532"/>
      <w:r>
        <w:rPr>
          <w:rFonts w:hint="eastAsia" w:ascii="黑体" w:hAnsi="黑体" w:eastAsia="黑体"/>
          <w:sz w:val="32"/>
          <w:szCs w:val="32"/>
        </w:rPr>
        <w:t>五、</w:t>
      </w:r>
      <w:r>
        <w:rPr>
          <w:rFonts w:hint="eastAsia" w:ascii="黑体" w:hAnsi="黑体" w:eastAsia="黑体"/>
          <w:b/>
          <w:sz w:val="32"/>
          <w:szCs w:val="32"/>
        </w:rPr>
        <w:t>一</w:t>
      </w:r>
      <w:r>
        <w:rPr>
          <w:rStyle w:val="32"/>
          <w:rFonts w:hint="eastAsia" w:ascii="黑体" w:hAnsi="黑体" w:eastAsia="黑体"/>
          <w:b w:val="0"/>
        </w:rPr>
        <w:t>般公共预算</w:t>
      </w:r>
      <w:r>
        <w:rPr>
          <w:rFonts w:hint="eastAsia" w:ascii="黑体" w:hAnsi="黑体" w:eastAsia="黑体"/>
          <w:sz w:val="32"/>
          <w:szCs w:val="32"/>
        </w:rPr>
        <w:t>财政拨款支出决算情况说明</w:t>
      </w:r>
      <w:bookmarkEnd w:id="48"/>
      <w:bookmarkEnd w:id="49"/>
      <w:bookmarkEnd w:id="50"/>
    </w:p>
    <w:p>
      <w:pPr>
        <w:spacing w:line="600" w:lineRule="exact"/>
        <w:ind w:firstLine="643" w:firstLineChars="200"/>
        <w:outlineLvl w:val="2"/>
        <w:rPr>
          <w:rFonts w:ascii="仿宋" w:hAnsi="仿宋" w:eastAsia="仿宋"/>
          <w:b/>
          <w:sz w:val="32"/>
          <w:szCs w:val="32"/>
        </w:rPr>
      </w:pPr>
      <w:bookmarkStart w:id="51" w:name="_Toc15377210"/>
      <w:r>
        <w:rPr>
          <w:rFonts w:hint="eastAsia" w:ascii="仿宋" w:hAnsi="仿宋" w:eastAsia="仿宋"/>
          <w:b/>
          <w:sz w:val="32"/>
          <w:szCs w:val="32"/>
        </w:rPr>
        <w:t>（一）一般公共预算财政拨款支出决算总体情况</w:t>
      </w:r>
      <w:bookmarkEnd w:id="51"/>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21年一般公共预算财政拨款支出828.8万元，占本年支出合计的100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20年相比，一般公共预算财政拨款支出减少318.6万元，下降27.76</w:t>
      </w:r>
      <w:r>
        <w:rPr>
          <w:rFonts w:ascii="仿宋" w:hAnsi="仿宋" w:eastAsia="仿宋"/>
          <w:sz w:val="32"/>
          <w:szCs w:val="32"/>
        </w:rPr>
        <w:t>%</w:t>
      </w:r>
      <w:r>
        <w:rPr>
          <w:rFonts w:hint="eastAsia" w:ascii="仿宋" w:hAnsi="仿宋" w:eastAsia="仿宋"/>
          <w:sz w:val="32"/>
          <w:szCs w:val="32"/>
        </w:rPr>
        <w:t>。主要变动原因是项目减少，项目资金减少。</w:t>
      </w:r>
    </w:p>
    <w:p>
      <w:pPr>
        <w:spacing w:line="600" w:lineRule="exact"/>
        <w:ind w:firstLine="640" w:firstLineChars="200"/>
        <w:rPr>
          <w:rFonts w:ascii="仿宋" w:hAnsi="仿宋" w:eastAsia="仿宋"/>
          <w:sz w:val="32"/>
          <w:szCs w:val="32"/>
        </w:rPr>
      </w:pPr>
      <w:r>
        <w:rPr>
          <w:rFonts w:hint="eastAsia" w:ascii="仿宋" w:hAnsi="仿宋" w:eastAsia="仿宋"/>
          <w:sz w:val="32"/>
          <w:szCs w:val="32"/>
        </w:rPr>
        <w:drawing>
          <wp:anchor distT="0" distB="0" distL="114300" distR="114300" simplePos="0" relativeHeight="251660288" behindDoc="0" locked="0" layoutInCell="1" allowOverlap="1">
            <wp:simplePos x="0" y="0"/>
            <wp:positionH relativeFrom="column">
              <wp:posOffset>496570</wp:posOffset>
            </wp:positionH>
            <wp:positionV relativeFrom="paragraph">
              <wp:posOffset>186055</wp:posOffset>
            </wp:positionV>
            <wp:extent cx="4699635" cy="2627630"/>
            <wp:effectExtent l="4445" t="4445" r="20320" b="15875"/>
            <wp:wrapTopAndBottom/>
            <wp:docPr id="703" name="_x0000_s278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Pr>
          <w:rFonts w:hint="eastAsia" w:ascii="仿宋" w:hAnsi="仿宋" w:eastAsia="仿宋"/>
          <w:sz w:val="32"/>
          <w:szCs w:val="32"/>
        </w:rPr>
        <w:t>图5：一般公共预算财政拨款支出决算变动情况</w:t>
      </w:r>
    </w:p>
    <w:p>
      <w:pPr>
        <w:spacing w:line="560" w:lineRule="exact"/>
        <w:ind w:firstLine="643" w:firstLineChars="200"/>
        <w:outlineLvl w:val="2"/>
        <w:rPr>
          <w:rFonts w:ascii="仿宋" w:hAnsi="仿宋" w:eastAsia="仿宋"/>
          <w:b/>
          <w:sz w:val="32"/>
          <w:szCs w:val="32"/>
        </w:rPr>
      </w:pPr>
      <w:bookmarkStart w:id="52" w:name="_Toc15377211"/>
      <w:r>
        <w:rPr>
          <w:rFonts w:hint="eastAsia" w:ascii="仿宋" w:hAnsi="仿宋" w:eastAsia="仿宋"/>
          <w:b/>
          <w:sz w:val="32"/>
          <w:szCs w:val="32"/>
        </w:rPr>
        <w:t>（二）一般公共预算财政拨款支出决算结构情况</w:t>
      </w:r>
      <w:bookmarkEnd w:id="52"/>
    </w:p>
    <w:p>
      <w:pPr>
        <w:spacing w:line="56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21年一般公共预算财政拨款支出828.8万元，主要用于以下方面</w:t>
      </w:r>
      <w:r>
        <w:t>：</w:t>
      </w:r>
      <w:r>
        <w:rPr>
          <w:rFonts w:hint="eastAsia" w:ascii="仿宋" w:hAnsi="仿宋" w:eastAsia="仿宋"/>
          <w:b/>
          <w:sz w:val="32"/>
          <w:szCs w:val="32"/>
        </w:rPr>
        <w:t>一般公共服务（类）</w:t>
      </w:r>
      <w:r>
        <w:rPr>
          <w:rFonts w:hint="eastAsia" w:ascii="仿宋" w:hAnsi="仿宋" w:eastAsia="仿宋"/>
          <w:sz w:val="32"/>
          <w:szCs w:val="32"/>
        </w:rPr>
        <w:t>支出451.33万元，占54.45</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支出23.86万元，占2.87</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rPr>
        <w:t>15.57万元，占1.87</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农林水（类）</w:t>
      </w:r>
      <w:r>
        <w:rPr>
          <w:rFonts w:hint="eastAsia" w:ascii="仿宋" w:hAnsi="仿宋" w:eastAsia="仿宋"/>
          <w:sz w:val="32"/>
          <w:szCs w:val="32"/>
        </w:rPr>
        <w:t>支出235.68万元，占28.43%；</w:t>
      </w:r>
      <w:r>
        <w:rPr>
          <w:rFonts w:hint="eastAsia" w:ascii="仿宋" w:hAnsi="仿宋" w:eastAsia="仿宋"/>
          <w:b/>
          <w:bCs/>
          <w:sz w:val="32"/>
          <w:szCs w:val="32"/>
        </w:rPr>
        <w:t>商业服务业（类）</w:t>
      </w:r>
      <w:r>
        <w:rPr>
          <w:rFonts w:hint="eastAsia" w:ascii="仿宋" w:hAnsi="仿宋" w:eastAsia="仿宋"/>
          <w:sz w:val="32"/>
          <w:szCs w:val="32"/>
        </w:rPr>
        <w:t>等支出85.22万元，占10.28%；住房保障支出17.14万元，占比2.1</w:t>
      </w:r>
      <w:r>
        <w:rPr>
          <w:rFonts w:ascii="仿宋" w:hAnsi="仿宋" w:eastAsia="仿宋"/>
          <w:sz w:val="32"/>
          <w:szCs w:val="32"/>
        </w:rPr>
        <w:t>%</w:t>
      </w:r>
      <w:r>
        <w:rPr>
          <w:rFonts w:hint="eastAsia" w:ascii="仿宋" w:hAnsi="仿宋" w:eastAsia="仿宋"/>
          <w:sz w:val="32"/>
          <w:szCs w:val="32"/>
        </w:rPr>
        <w:t>。</w:t>
      </w:r>
    </w:p>
    <w:p>
      <w:pPr>
        <w:pStyle w:val="4"/>
        <w:rPr>
          <w:rFonts w:ascii="仿宋" w:hAnsi="仿宋" w:eastAsia="仿宋"/>
          <w:sz w:val="32"/>
          <w:szCs w:val="32"/>
        </w:rPr>
      </w:pPr>
      <w:r>
        <w:rPr>
          <w:rFonts w:hint="eastAsia" w:ascii="仿宋" w:hAnsi="仿宋" w:eastAsia="仿宋"/>
          <w:sz w:val="32"/>
          <w:szCs w:val="32"/>
        </w:rPr>
        <w:drawing>
          <wp:inline distT="0" distB="0" distL="114300" distR="114300">
            <wp:extent cx="4747260" cy="2695575"/>
            <wp:effectExtent l="4445" t="4445" r="10795" b="5080"/>
            <wp:docPr id="704" name="_x0000_i278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w:t>
      </w:r>
    </w:p>
    <w:p>
      <w:pPr>
        <w:spacing w:line="600" w:lineRule="exact"/>
        <w:ind w:firstLine="643" w:firstLineChars="200"/>
        <w:outlineLvl w:val="2"/>
        <w:rPr>
          <w:rFonts w:ascii="仿宋" w:hAnsi="仿宋" w:eastAsia="仿宋"/>
          <w:b/>
          <w:sz w:val="32"/>
          <w:szCs w:val="32"/>
        </w:rPr>
      </w:pPr>
      <w:bookmarkStart w:id="53" w:name="_Toc15377212"/>
      <w:r>
        <w:rPr>
          <w:rFonts w:hint="eastAsia" w:ascii="仿宋" w:hAnsi="仿宋" w:eastAsia="仿宋"/>
          <w:b/>
          <w:sz w:val="32"/>
          <w:szCs w:val="32"/>
        </w:rPr>
        <w:t>（三）一般公共预算财政拨款支出决算具体情况</w:t>
      </w:r>
      <w:bookmarkEnd w:id="53"/>
    </w:p>
    <w:p>
      <w:pPr>
        <w:spacing w:line="600" w:lineRule="exact"/>
        <w:ind w:firstLine="643" w:firstLineChars="200"/>
        <w:outlineLvl w:val="2"/>
        <w:rPr>
          <w:rFonts w:ascii="仿宋" w:hAnsi="仿宋" w:eastAsia="仿宋"/>
          <w:sz w:val="32"/>
          <w:szCs w:val="32"/>
        </w:rPr>
      </w:pPr>
      <w:bookmarkStart w:id="54" w:name="_Toc15377213"/>
      <w:bookmarkStart w:id="55" w:name="_Toc15378460"/>
      <w:bookmarkStart w:id="56" w:name="_Toc15377444"/>
      <w:r>
        <w:rPr>
          <w:rFonts w:hint="eastAsia" w:ascii="仿宋" w:hAnsi="仿宋" w:eastAsia="仿宋"/>
          <w:b/>
          <w:sz w:val="32"/>
          <w:szCs w:val="32"/>
        </w:rPr>
        <w:t>2021年一般公共预算支出决算数为828.8</w:t>
      </w:r>
      <w:r>
        <w:rPr>
          <w:rFonts w:hint="eastAsia" w:ascii="仿宋" w:hAnsi="仿宋" w:eastAsia="仿宋"/>
          <w:sz w:val="32"/>
          <w:szCs w:val="32"/>
        </w:rPr>
        <w:t>，</w:t>
      </w:r>
      <w:r>
        <w:rPr>
          <w:rStyle w:val="10"/>
          <w:rFonts w:hint="eastAsia" w:ascii="仿宋" w:hAnsi="仿宋" w:eastAsia="仿宋"/>
          <w:bCs/>
          <w:sz w:val="32"/>
          <w:szCs w:val="32"/>
        </w:rPr>
        <w:t>完成预算的</w:t>
      </w:r>
      <w:r>
        <w:rPr>
          <w:rFonts w:hint="eastAsia" w:ascii="仿宋" w:hAnsi="仿宋" w:eastAsia="仿宋"/>
          <w:bCs/>
          <w:sz w:val="32"/>
          <w:szCs w:val="32"/>
        </w:rPr>
        <w:t>100%</w:t>
      </w:r>
      <w:r>
        <w:rPr>
          <w:rStyle w:val="10"/>
          <w:rFonts w:hint="eastAsia" w:ascii="仿宋" w:hAnsi="仿宋" w:eastAsia="仿宋"/>
          <w:bCs/>
          <w:sz w:val="32"/>
          <w:szCs w:val="32"/>
        </w:rPr>
        <w:t>。其中：</w:t>
      </w:r>
      <w:bookmarkEnd w:id="54"/>
      <w:bookmarkEnd w:id="55"/>
      <w:bookmarkEnd w:id="56"/>
    </w:p>
    <w:p>
      <w:pPr>
        <w:spacing w:line="600" w:lineRule="exact"/>
        <w:ind w:firstLine="643" w:firstLineChars="200"/>
        <w:rPr>
          <w:rFonts w:ascii="仿宋" w:hAnsi="仿宋" w:eastAsia="仿宋"/>
          <w:b/>
          <w:sz w:val="32"/>
          <w:szCs w:val="32"/>
        </w:rPr>
      </w:pPr>
      <w:r>
        <w:rPr>
          <w:rStyle w:val="10"/>
          <w:rFonts w:ascii="仿宋" w:hAnsi="仿宋" w:eastAsia="仿宋"/>
          <w:bCs/>
          <w:sz w:val="32"/>
          <w:szCs w:val="32"/>
        </w:rPr>
        <w:t>1.</w:t>
      </w:r>
      <w:r>
        <w:rPr>
          <w:rStyle w:val="10"/>
          <w:rFonts w:hint="eastAsia" w:ascii="仿宋" w:hAnsi="仿宋" w:eastAsia="仿宋"/>
          <w:bCs/>
          <w:sz w:val="32"/>
          <w:szCs w:val="32"/>
        </w:rPr>
        <w:t>一般公共服务（类）商贸事务（款）</w:t>
      </w:r>
      <w:r>
        <w:rPr>
          <w:rStyle w:val="40"/>
          <w:rFonts w:hint="eastAsia" w:ascii="仿宋" w:hAnsi="仿宋" w:eastAsia="仿宋"/>
          <w:bCs/>
          <w:color w:val="000000"/>
          <w:sz w:val="32"/>
          <w:szCs w:val="32"/>
        </w:rPr>
        <w:t>行政运行、</w:t>
      </w:r>
      <w:r>
        <w:rPr>
          <w:rFonts w:hint="eastAsia" w:ascii="仿宋" w:hAnsi="仿宋" w:eastAsia="仿宋"/>
          <w:bCs/>
          <w:color w:val="000000"/>
          <w:sz w:val="32"/>
          <w:szCs w:val="32"/>
        </w:rPr>
        <w:t>一般行政管理事务、事业运行、其他商贸事务支出</w:t>
      </w:r>
      <w:r>
        <w:rPr>
          <w:rStyle w:val="10"/>
          <w:rFonts w:hint="eastAsia" w:ascii="仿宋" w:hAnsi="仿宋" w:eastAsia="仿宋"/>
          <w:bCs/>
          <w:sz w:val="32"/>
          <w:szCs w:val="32"/>
        </w:rPr>
        <w:t>（项）</w:t>
      </w:r>
      <w:r>
        <w:rPr>
          <w:rStyle w:val="10"/>
          <w:rFonts w:hint="eastAsia" w:ascii="仿宋" w:hAnsi="仿宋" w:eastAsia="仿宋"/>
          <w:bCs/>
          <w:sz w:val="32"/>
          <w:szCs w:val="32"/>
          <w:lang w:eastAsia="zh-CN"/>
        </w:rPr>
        <w:t>：</w:t>
      </w:r>
      <w:r>
        <w:rPr>
          <w:rStyle w:val="10"/>
          <w:rFonts w:hint="eastAsia" w:ascii="仿宋" w:hAnsi="仿宋" w:eastAsia="仿宋"/>
          <w:b w:val="0"/>
          <w:bCs/>
          <w:sz w:val="32"/>
          <w:szCs w:val="32"/>
        </w:rPr>
        <w:t>支出决算为451.33万元，完成</w:t>
      </w:r>
      <w:r>
        <w:rPr>
          <w:rStyle w:val="10"/>
          <w:rFonts w:hint="eastAsia" w:ascii="仿宋" w:hAnsi="仿宋" w:eastAsia="仿宋"/>
          <w:b w:val="0"/>
          <w:bCs/>
          <w:sz w:val="32"/>
          <w:szCs w:val="32"/>
          <w:lang w:eastAsia="zh-CN"/>
        </w:rPr>
        <w:t>预算的100%</w:t>
      </w:r>
      <w:r>
        <w:rPr>
          <w:rStyle w:val="10"/>
          <w:rFonts w:hint="eastAsia" w:ascii="仿宋" w:hAnsi="仿宋" w:eastAsia="仿宋"/>
          <w:b w:val="0"/>
          <w:bCs/>
          <w:sz w:val="32"/>
          <w:szCs w:val="32"/>
        </w:rPr>
        <w:t>，决算数</w:t>
      </w:r>
      <w:r>
        <w:rPr>
          <w:rFonts w:hint="eastAsia" w:ascii="仿宋" w:hAnsi="仿宋" w:eastAsia="仿宋"/>
          <w:bCs/>
          <w:sz w:val="32"/>
          <w:szCs w:val="32"/>
        </w:rPr>
        <w:t>等于</w:t>
      </w:r>
      <w:r>
        <w:rPr>
          <w:rStyle w:val="10"/>
          <w:rFonts w:hint="eastAsia" w:ascii="仿宋" w:hAnsi="仿宋" w:eastAsia="仿宋"/>
          <w:b w:val="0"/>
          <w:bCs/>
          <w:sz w:val="32"/>
          <w:szCs w:val="32"/>
        </w:rPr>
        <w:t>预算</w:t>
      </w:r>
      <w:r>
        <w:rPr>
          <w:rFonts w:hint="eastAsia" w:ascii="仿宋" w:hAnsi="仿宋" w:eastAsia="仿宋"/>
          <w:bCs/>
          <w:sz w:val="32"/>
          <w:szCs w:val="32"/>
        </w:rPr>
        <w:t>数。</w:t>
      </w:r>
    </w:p>
    <w:p>
      <w:pPr>
        <w:spacing w:line="600" w:lineRule="exact"/>
        <w:ind w:firstLine="643" w:firstLineChars="200"/>
        <w:rPr>
          <w:rFonts w:ascii="仿宋" w:hAnsi="仿宋" w:eastAsia="仿宋"/>
          <w:b/>
          <w:sz w:val="32"/>
          <w:szCs w:val="32"/>
        </w:rPr>
      </w:pPr>
      <w:r>
        <w:rPr>
          <w:rStyle w:val="10"/>
          <w:rFonts w:ascii="仿宋" w:hAnsi="仿宋" w:eastAsia="仿宋"/>
          <w:bCs/>
          <w:sz w:val="32"/>
          <w:szCs w:val="32"/>
        </w:rPr>
        <w:t>2.</w:t>
      </w:r>
      <w:r>
        <w:rPr>
          <w:rStyle w:val="10"/>
          <w:rFonts w:hint="eastAsia" w:ascii="仿宋" w:hAnsi="仿宋" w:eastAsia="仿宋"/>
          <w:bCs/>
          <w:sz w:val="32"/>
          <w:szCs w:val="32"/>
        </w:rPr>
        <w:t>社会保障和就业（类）人力资源和社会保障管理事务（款）引进</w:t>
      </w:r>
      <w:r>
        <w:rPr>
          <w:rFonts w:hint="eastAsia" w:ascii="仿宋" w:hAnsi="仿宋" w:eastAsia="仿宋"/>
          <w:bCs/>
          <w:sz w:val="32"/>
          <w:szCs w:val="32"/>
        </w:rPr>
        <w:t>人才费用（项）</w:t>
      </w:r>
      <w:r>
        <w:rPr>
          <w:rFonts w:hint="eastAsia" w:ascii="仿宋" w:hAnsi="仿宋" w:eastAsia="仿宋"/>
          <w:bCs/>
          <w:sz w:val="32"/>
          <w:szCs w:val="32"/>
          <w:lang w:eastAsia="zh-CN"/>
        </w:rPr>
        <w:t>：</w:t>
      </w:r>
      <w:r>
        <w:rPr>
          <w:rStyle w:val="10"/>
          <w:rFonts w:hint="eastAsia" w:ascii="仿宋" w:hAnsi="仿宋" w:eastAsia="仿宋"/>
          <w:b w:val="0"/>
          <w:bCs/>
          <w:sz w:val="32"/>
          <w:szCs w:val="32"/>
        </w:rPr>
        <w:t>支出决算为1万元，完成</w:t>
      </w:r>
      <w:r>
        <w:rPr>
          <w:rStyle w:val="10"/>
          <w:rFonts w:hint="eastAsia" w:ascii="仿宋" w:hAnsi="仿宋" w:eastAsia="仿宋"/>
          <w:b w:val="0"/>
          <w:bCs/>
          <w:sz w:val="32"/>
          <w:szCs w:val="32"/>
          <w:lang w:eastAsia="zh-CN"/>
        </w:rPr>
        <w:t>预算的100%</w:t>
      </w:r>
      <w:r>
        <w:rPr>
          <w:rStyle w:val="10"/>
          <w:rFonts w:hint="eastAsia" w:ascii="仿宋" w:hAnsi="仿宋" w:eastAsia="仿宋"/>
          <w:b w:val="0"/>
          <w:bCs/>
          <w:sz w:val="32"/>
          <w:szCs w:val="32"/>
        </w:rPr>
        <w:t>，</w:t>
      </w:r>
      <w:r>
        <w:rPr>
          <w:rStyle w:val="10"/>
          <w:rFonts w:hint="eastAsia" w:ascii="仿宋" w:hAnsi="仿宋" w:eastAsia="仿宋"/>
          <w:bCs/>
          <w:sz w:val="32"/>
          <w:szCs w:val="32"/>
        </w:rPr>
        <w:t>社会保障和就业（类）行政事业单位养老支出（款）机关事业单位基本养老保险缴费支出（项）</w:t>
      </w:r>
      <w:r>
        <w:rPr>
          <w:rStyle w:val="10"/>
          <w:rFonts w:hint="eastAsia" w:ascii="仿宋" w:hAnsi="仿宋" w:eastAsia="仿宋"/>
          <w:b w:val="0"/>
          <w:bCs/>
          <w:sz w:val="32"/>
          <w:szCs w:val="32"/>
        </w:rPr>
        <w:t>支出决算为22.86万元，决算数</w:t>
      </w:r>
      <w:r>
        <w:rPr>
          <w:rFonts w:hint="eastAsia" w:ascii="仿宋" w:hAnsi="仿宋" w:eastAsia="仿宋"/>
          <w:bCs/>
          <w:sz w:val="32"/>
          <w:szCs w:val="32"/>
        </w:rPr>
        <w:t>等于</w:t>
      </w:r>
      <w:r>
        <w:rPr>
          <w:rStyle w:val="10"/>
          <w:rFonts w:hint="eastAsia" w:ascii="仿宋" w:hAnsi="仿宋" w:eastAsia="仿宋"/>
          <w:b w:val="0"/>
          <w:bCs/>
          <w:sz w:val="32"/>
          <w:szCs w:val="32"/>
        </w:rPr>
        <w:t>预算</w:t>
      </w:r>
      <w:r>
        <w:rPr>
          <w:rFonts w:hint="eastAsia" w:ascii="仿宋" w:hAnsi="仿宋" w:eastAsia="仿宋"/>
          <w:bCs/>
          <w:sz w:val="32"/>
          <w:szCs w:val="32"/>
        </w:rPr>
        <w:t>数。</w:t>
      </w:r>
    </w:p>
    <w:p>
      <w:pPr>
        <w:spacing w:line="600" w:lineRule="exact"/>
        <w:ind w:firstLine="643" w:firstLineChars="200"/>
        <w:rPr>
          <w:rFonts w:ascii="仿宋" w:hAnsi="仿宋" w:eastAsia="仿宋"/>
          <w:b/>
          <w:sz w:val="32"/>
          <w:szCs w:val="32"/>
        </w:rPr>
      </w:pPr>
      <w:r>
        <w:rPr>
          <w:rStyle w:val="10"/>
          <w:rFonts w:ascii="仿宋" w:hAnsi="仿宋" w:eastAsia="仿宋"/>
          <w:bCs/>
          <w:sz w:val="32"/>
          <w:szCs w:val="32"/>
        </w:rPr>
        <w:t>3.</w:t>
      </w:r>
      <w:r>
        <w:rPr>
          <w:rFonts w:hint="eastAsia" w:ascii="仿宋" w:hAnsi="仿宋" w:eastAsia="仿宋"/>
          <w:b/>
          <w:bCs/>
          <w:sz w:val="32"/>
          <w:szCs w:val="32"/>
        </w:rPr>
        <w:t>卫生健康</w:t>
      </w:r>
      <w:r>
        <w:rPr>
          <w:rStyle w:val="10"/>
          <w:rFonts w:hint="eastAsia" w:ascii="仿宋" w:hAnsi="仿宋" w:eastAsia="仿宋"/>
          <w:bCs/>
          <w:sz w:val="32"/>
          <w:szCs w:val="32"/>
        </w:rPr>
        <w:t>（类）行政事业单位医疗（款）行政单位医疗、</w:t>
      </w:r>
      <w:r>
        <w:rPr>
          <w:rFonts w:hint="eastAsia" w:ascii="仿宋" w:hAnsi="仿宋" w:eastAsia="仿宋"/>
          <w:bCs/>
          <w:sz w:val="32"/>
          <w:szCs w:val="32"/>
        </w:rPr>
        <w:t>事业单位医疗、公务员医疗补助</w:t>
      </w:r>
      <w:r>
        <w:rPr>
          <w:rStyle w:val="10"/>
          <w:rFonts w:hint="eastAsia" w:ascii="仿宋" w:hAnsi="仿宋" w:eastAsia="仿宋"/>
          <w:bCs/>
          <w:sz w:val="32"/>
          <w:szCs w:val="32"/>
        </w:rPr>
        <w:t>（项）</w:t>
      </w:r>
      <w:r>
        <w:rPr>
          <w:rStyle w:val="10"/>
          <w:rFonts w:hint="eastAsia" w:ascii="仿宋" w:hAnsi="仿宋" w:eastAsia="仿宋"/>
          <w:bCs/>
          <w:sz w:val="32"/>
          <w:szCs w:val="32"/>
          <w:lang w:eastAsia="zh-CN"/>
        </w:rPr>
        <w:t>：</w:t>
      </w:r>
      <w:r>
        <w:rPr>
          <w:rStyle w:val="10"/>
          <w:rFonts w:hint="eastAsia" w:ascii="仿宋" w:hAnsi="仿宋" w:eastAsia="仿宋"/>
          <w:b w:val="0"/>
          <w:bCs/>
          <w:sz w:val="32"/>
          <w:szCs w:val="32"/>
        </w:rPr>
        <w:t>支出决算为15.57万元，完成</w:t>
      </w:r>
      <w:r>
        <w:rPr>
          <w:rStyle w:val="10"/>
          <w:rFonts w:hint="eastAsia" w:ascii="仿宋" w:hAnsi="仿宋" w:eastAsia="仿宋"/>
          <w:b w:val="0"/>
          <w:bCs/>
          <w:sz w:val="32"/>
          <w:szCs w:val="32"/>
          <w:lang w:eastAsia="zh-CN"/>
        </w:rPr>
        <w:t>预算的100%</w:t>
      </w:r>
      <w:r>
        <w:rPr>
          <w:rStyle w:val="10"/>
          <w:rFonts w:hint="eastAsia" w:ascii="仿宋" w:hAnsi="仿宋" w:eastAsia="仿宋"/>
          <w:b w:val="0"/>
          <w:bCs/>
          <w:sz w:val="32"/>
          <w:szCs w:val="32"/>
        </w:rPr>
        <w:t>，决算数</w:t>
      </w:r>
      <w:r>
        <w:rPr>
          <w:rFonts w:hint="eastAsia" w:ascii="仿宋" w:hAnsi="仿宋" w:eastAsia="仿宋"/>
          <w:bCs/>
          <w:sz w:val="32"/>
          <w:szCs w:val="32"/>
        </w:rPr>
        <w:t>等于</w:t>
      </w:r>
      <w:r>
        <w:rPr>
          <w:rStyle w:val="10"/>
          <w:rFonts w:hint="eastAsia" w:ascii="仿宋" w:hAnsi="仿宋" w:eastAsia="仿宋"/>
          <w:b w:val="0"/>
          <w:bCs/>
          <w:sz w:val="32"/>
          <w:szCs w:val="32"/>
        </w:rPr>
        <w:t>预算</w:t>
      </w:r>
      <w:r>
        <w:rPr>
          <w:rFonts w:hint="eastAsia" w:ascii="仿宋" w:hAnsi="仿宋" w:eastAsia="仿宋"/>
          <w:bCs/>
          <w:sz w:val="32"/>
          <w:szCs w:val="32"/>
        </w:rPr>
        <w:t>数。</w:t>
      </w:r>
    </w:p>
    <w:p>
      <w:pPr>
        <w:spacing w:line="600" w:lineRule="exact"/>
        <w:ind w:firstLine="643" w:firstLineChars="200"/>
        <w:rPr>
          <w:rStyle w:val="10"/>
          <w:rFonts w:ascii="仿宋" w:hAnsi="仿宋" w:eastAsia="仿宋"/>
          <w:b w:val="0"/>
          <w:bCs/>
          <w:sz w:val="32"/>
          <w:szCs w:val="32"/>
        </w:rPr>
      </w:pPr>
      <w:r>
        <w:rPr>
          <w:rStyle w:val="10"/>
          <w:rFonts w:ascii="仿宋" w:hAnsi="仿宋" w:eastAsia="仿宋"/>
          <w:bCs/>
          <w:sz w:val="32"/>
          <w:szCs w:val="32"/>
        </w:rPr>
        <w:t>4.</w:t>
      </w:r>
      <w:r>
        <w:rPr>
          <w:rStyle w:val="10"/>
          <w:rFonts w:hint="eastAsia" w:ascii="仿宋" w:hAnsi="仿宋" w:eastAsia="仿宋"/>
          <w:bCs/>
          <w:sz w:val="32"/>
          <w:szCs w:val="32"/>
        </w:rPr>
        <w:t>农林水支出（类）扶贫（款）社会发展、</w:t>
      </w:r>
      <w:r>
        <w:rPr>
          <w:rFonts w:hint="eastAsia" w:ascii="仿宋" w:hAnsi="仿宋" w:eastAsia="仿宋"/>
          <w:bCs/>
          <w:sz w:val="32"/>
          <w:szCs w:val="32"/>
        </w:rPr>
        <w:t>其他扶贫支出</w:t>
      </w:r>
      <w:r>
        <w:rPr>
          <w:rStyle w:val="10"/>
          <w:rFonts w:hint="eastAsia" w:ascii="仿宋" w:hAnsi="仿宋" w:eastAsia="仿宋"/>
          <w:bCs/>
          <w:sz w:val="32"/>
          <w:szCs w:val="32"/>
        </w:rPr>
        <w:t>（项）</w:t>
      </w:r>
      <w:r>
        <w:rPr>
          <w:rStyle w:val="10"/>
          <w:rFonts w:hint="eastAsia" w:ascii="仿宋" w:hAnsi="仿宋" w:eastAsia="仿宋"/>
          <w:bCs/>
          <w:sz w:val="32"/>
          <w:szCs w:val="32"/>
          <w:lang w:eastAsia="zh-CN"/>
        </w:rPr>
        <w:t>：</w:t>
      </w:r>
      <w:r>
        <w:rPr>
          <w:rStyle w:val="10"/>
          <w:rFonts w:hint="eastAsia" w:ascii="仿宋" w:hAnsi="仿宋" w:eastAsia="仿宋"/>
          <w:b w:val="0"/>
          <w:bCs/>
          <w:sz w:val="32"/>
          <w:szCs w:val="32"/>
        </w:rPr>
        <w:t>支出决算为235.68万元，完成</w:t>
      </w:r>
      <w:r>
        <w:rPr>
          <w:rStyle w:val="10"/>
          <w:rFonts w:hint="eastAsia" w:ascii="仿宋" w:hAnsi="仿宋" w:eastAsia="仿宋"/>
          <w:b w:val="0"/>
          <w:bCs/>
          <w:sz w:val="32"/>
          <w:szCs w:val="32"/>
          <w:lang w:eastAsia="zh-CN"/>
        </w:rPr>
        <w:t>预算的100%</w:t>
      </w:r>
      <w:r>
        <w:rPr>
          <w:rStyle w:val="10"/>
          <w:rFonts w:hint="eastAsia" w:ascii="仿宋" w:hAnsi="仿宋" w:eastAsia="仿宋"/>
          <w:b w:val="0"/>
          <w:bCs/>
          <w:sz w:val="32"/>
          <w:szCs w:val="32"/>
        </w:rPr>
        <w:t>，决算数</w:t>
      </w:r>
      <w:r>
        <w:rPr>
          <w:rFonts w:hint="eastAsia" w:ascii="仿宋" w:hAnsi="仿宋" w:eastAsia="仿宋"/>
          <w:bCs/>
          <w:sz w:val="32"/>
          <w:szCs w:val="32"/>
        </w:rPr>
        <w:t>等于</w:t>
      </w:r>
      <w:r>
        <w:rPr>
          <w:rStyle w:val="10"/>
          <w:rFonts w:hint="eastAsia" w:ascii="仿宋" w:hAnsi="仿宋" w:eastAsia="仿宋"/>
          <w:b w:val="0"/>
          <w:bCs/>
          <w:sz w:val="32"/>
          <w:szCs w:val="32"/>
        </w:rPr>
        <w:t>预算</w:t>
      </w:r>
      <w:r>
        <w:rPr>
          <w:rFonts w:hint="eastAsia" w:ascii="仿宋" w:hAnsi="仿宋" w:eastAsia="仿宋"/>
          <w:bCs/>
          <w:sz w:val="32"/>
          <w:szCs w:val="32"/>
        </w:rPr>
        <w:t>数。</w:t>
      </w:r>
    </w:p>
    <w:p>
      <w:pPr>
        <w:spacing w:line="600" w:lineRule="exact"/>
        <w:ind w:firstLine="643" w:firstLineChars="200"/>
      </w:pPr>
      <w:r>
        <w:rPr>
          <w:rStyle w:val="10"/>
          <w:rFonts w:hint="eastAsia" w:ascii="仿宋" w:hAnsi="仿宋" w:eastAsia="仿宋"/>
          <w:bCs/>
          <w:sz w:val="32"/>
          <w:szCs w:val="32"/>
        </w:rPr>
        <w:t>5</w:t>
      </w:r>
      <w:r>
        <w:rPr>
          <w:rStyle w:val="10"/>
          <w:rFonts w:ascii="仿宋" w:hAnsi="仿宋" w:eastAsia="仿宋"/>
          <w:bCs/>
          <w:sz w:val="32"/>
          <w:szCs w:val="32"/>
        </w:rPr>
        <w:t>.</w:t>
      </w:r>
      <w:r>
        <w:rPr>
          <w:rStyle w:val="10"/>
          <w:rFonts w:hint="eastAsia" w:ascii="仿宋" w:hAnsi="仿宋" w:eastAsia="仿宋"/>
          <w:bCs/>
          <w:sz w:val="32"/>
          <w:szCs w:val="32"/>
        </w:rPr>
        <w:t>商业服务业支出（类）商业流通事务（款）其他商业流通事务支出（项）</w:t>
      </w:r>
      <w:r>
        <w:rPr>
          <w:rStyle w:val="10"/>
          <w:rFonts w:hint="eastAsia" w:ascii="仿宋" w:hAnsi="仿宋" w:eastAsia="仿宋"/>
          <w:bCs/>
          <w:sz w:val="32"/>
          <w:szCs w:val="32"/>
          <w:lang w:eastAsia="zh-CN"/>
        </w:rPr>
        <w:t>：</w:t>
      </w:r>
      <w:r>
        <w:rPr>
          <w:rStyle w:val="10"/>
          <w:rFonts w:hint="eastAsia" w:ascii="仿宋" w:hAnsi="仿宋" w:eastAsia="仿宋"/>
          <w:b w:val="0"/>
          <w:bCs/>
          <w:sz w:val="32"/>
          <w:szCs w:val="32"/>
        </w:rPr>
        <w:t>支出决算为85.22万元，完成</w:t>
      </w:r>
      <w:r>
        <w:rPr>
          <w:rStyle w:val="10"/>
          <w:rFonts w:hint="eastAsia" w:ascii="仿宋" w:hAnsi="仿宋" w:eastAsia="仿宋"/>
          <w:b w:val="0"/>
          <w:bCs/>
          <w:sz w:val="32"/>
          <w:szCs w:val="32"/>
          <w:lang w:eastAsia="zh-CN"/>
        </w:rPr>
        <w:t>预算的100%</w:t>
      </w:r>
      <w:r>
        <w:rPr>
          <w:rStyle w:val="10"/>
          <w:rFonts w:hint="eastAsia" w:ascii="仿宋" w:hAnsi="仿宋" w:eastAsia="仿宋"/>
          <w:b w:val="0"/>
          <w:bCs/>
          <w:sz w:val="32"/>
          <w:szCs w:val="32"/>
        </w:rPr>
        <w:t>，决算数</w:t>
      </w:r>
      <w:r>
        <w:rPr>
          <w:rFonts w:hint="eastAsia" w:ascii="仿宋" w:hAnsi="仿宋" w:eastAsia="仿宋"/>
          <w:bCs/>
          <w:sz w:val="32"/>
          <w:szCs w:val="32"/>
        </w:rPr>
        <w:t>等于</w:t>
      </w:r>
      <w:r>
        <w:rPr>
          <w:rStyle w:val="10"/>
          <w:rFonts w:hint="eastAsia" w:ascii="仿宋" w:hAnsi="仿宋" w:eastAsia="仿宋"/>
          <w:b w:val="0"/>
          <w:bCs/>
          <w:sz w:val="32"/>
          <w:szCs w:val="32"/>
        </w:rPr>
        <w:t>预算</w:t>
      </w:r>
      <w:r>
        <w:rPr>
          <w:rFonts w:hint="eastAsia" w:ascii="仿宋" w:hAnsi="仿宋" w:eastAsia="仿宋"/>
          <w:bCs/>
          <w:sz w:val="32"/>
          <w:szCs w:val="32"/>
        </w:rPr>
        <w:t>数。</w:t>
      </w:r>
    </w:p>
    <w:p>
      <w:pPr>
        <w:spacing w:line="600" w:lineRule="exact"/>
        <w:ind w:firstLine="643" w:firstLineChars="200"/>
        <w:textAlignment w:val="baseline"/>
        <w:rPr>
          <w:rFonts w:ascii="仿宋" w:hAnsi="仿宋" w:eastAsia="仿宋"/>
          <w:color w:val="000000"/>
          <w:sz w:val="32"/>
          <w:szCs w:val="32"/>
        </w:rPr>
      </w:pPr>
      <w:r>
        <w:rPr>
          <w:rStyle w:val="10"/>
          <w:rFonts w:hint="eastAsia" w:ascii="仿宋" w:hAnsi="仿宋" w:eastAsia="仿宋"/>
          <w:bCs/>
          <w:sz w:val="32"/>
          <w:szCs w:val="32"/>
        </w:rPr>
        <w:t>6</w:t>
      </w:r>
      <w:r>
        <w:rPr>
          <w:rStyle w:val="10"/>
          <w:rFonts w:ascii="仿宋" w:hAnsi="仿宋" w:eastAsia="仿宋"/>
          <w:bCs/>
          <w:sz w:val="32"/>
          <w:szCs w:val="32"/>
        </w:rPr>
        <w:t>.</w:t>
      </w:r>
      <w:r>
        <w:rPr>
          <w:rFonts w:hint="eastAsia" w:ascii="仿宋" w:hAnsi="仿宋" w:eastAsia="仿宋"/>
          <w:b/>
          <w:bCs/>
          <w:color w:val="000000"/>
          <w:sz w:val="32"/>
          <w:szCs w:val="32"/>
        </w:rPr>
        <w:t>住房保障支出</w:t>
      </w:r>
      <w:r>
        <w:rPr>
          <w:rStyle w:val="40"/>
          <w:rFonts w:hint="eastAsia" w:ascii="仿宋" w:hAnsi="仿宋" w:eastAsia="仿宋"/>
          <w:bCs/>
          <w:color w:val="000000"/>
          <w:sz w:val="32"/>
          <w:szCs w:val="32"/>
        </w:rPr>
        <w:t>（</w:t>
      </w:r>
      <w:r>
        <w:rPr>
          <w:rFonts w:hint="eastAsia" w:ascii="仿宋" w:hAnsi="仿宋" w:eastAsia="仿宋"/>
          <w:bCs/>
          <w:color w:val="000000"/>
          <w:sz w:val="32"/>
          <w:szCs w:val="32"/>
        </w:rPr>
        <w:t>类</w:t>
      </w:r>
      <w:r>
        <w:rPr>
          <w:rStyle w:val="40"/>
          <w:rFonts w:hint="eastAsia" w:ascii="仿宋" w:hAnsi="仿宋" w:eastAsia="仿宋"/>
          <w:bCs/>
          <w:color w:val="000000"/>
          <w:sz w:val="32"/>
          <w:szCs w:val="32"/>
        </w:rPr>
        <w:t>）住房改革支出（</w:t>
      </w:r>
      <w:r>
        <w:rPr>
          <w:rFonts w:hint="eastAsia" w:ascii="仿宋" w:hAnsi="仿宋" w:eastAsia="仿宋"/>
          <w:bCs/>
          <w:color w:val="000000"/>
          <w:sz w:val="32"/>
          <w:szCs w:val="32"/>
        </w:rPr>
        <w:t>款</w:t>
      </w:r>
      <w:r>
        <w:rPr>
          <w:rStyle w:val="40"/>
          <w:rFonts w:hint="eastAsia" w:ascii="仿宋" w:hAnsi="仿宋" w:eastAsia="仿宋"/>
          <w:bCs/>
          <w:color w:val="000000"/>
          <w:sz w:val="32"/>
          <w:szCs w:val="32"/>
        </w:rPr>
        <w:t>）住房公积金（</w:t>
      </w:r>
      <w:r>
        <w:rPr>
          <w:rFonts w:hint="eastAsia" w:ascii="仿宋" w:hAnsi="仿宋" w:eastAsia="仿宋"/>
          <w:bCs/>
          <w:color w:val="000000"/>
          <w:sz w:val="32"/>
          <w:szCs w:val="32"/>
        </w:rPr>
        <w:t>项</w:t>
      </w:r>
      <w:r>
        <w:rPr>
          <w:rStyle w:val="40"/>
          <w:rFonts w:hint="eastAsia" w:ascii="仿宋" w:hAnsi="仿宋" w:eastAsia="仿宋"/>
          <w:bCs/>
          <w:color w:val="000000"/>
          <w:sz w:val="32"/>
          <w:szCs w:val="32"/>
        </w:rPr>
        <w:t>）</w:t>
      </w:r>
      <w:r>
        <w:rPr>
          <w:rStyle w:val="40"/>
          <w:rFonts w:hint="eastAsia" w:ascii="仿宋" w:hAnsi="仿宋" w:eastAsia="仿宋"/>
          <w:bCs/>
          <w:color w:val="000000"/>
          <w:sz w:val="32"/>
          <w:szCs w:val="32"/>
          <w:lang w:eastAsia="zh-CN"/>
        </w:rPr>
        <w:t>：</w:t>
      </w:r>
      <w:r>
        <w:rPr>
          <w:rStyle w:val="40"/>
          <w:rFonts w:hint="eastAsia" w:ascii="仿宋" w:hAnsi="仿宋" w:eastAsia="仿宋"/>
          <w:b w:val="0"/>
          <w:bCs/>
          <w:color w:val="000000"/>
          <w:sz w:val="32"/>
          <w:szCs w:val="32"/>
        </w:rPr>
        <w:t>支出决算为17.14万元，完成</w:t>
      </w:r>
      <w:r>
        <w:rPr>
          <w:rStyle w:val="40"/>
          <w:rFonts w:hint="eastAsia" w:ascii="仿宋" w:hAnsi="仿宋" w:eastAsia="仿宋"/>
          <w:b w:val="0"/>
          <w:bCs/>
          <w:color w:val="000000"/>
          <w:sz w:val="32"/>
          <w:szCs w:val="32"/>
          <w:lang w:eastAsia="zh-CN"/>
        </w:rPr>
        <w:t>预算的100%</w:t>
      </w:r>
      <w:r>
        <w:rPr>
          <w:rFonts w:hint="eastAsia" w:ascii="仿宋" w:hAnsi="仿宋" w:eastAsia="仿宋"/>
          <w:bCs/>
          <w:color w:val="000000"/>
          <w:sz w:val="32"/>
          <w:szCs w:val="32"/>
        </w:rPr>
        <w:t>，决算数等于预算数。</w:t>
      </w:r>
    </w:p>
    <w:p>
      <w:pPr>
        <w:tabs>
          <w:tab w:val="right" w:pos="8306"/>
        </w:tabs>
        <w:spacing w:line="600" w:lineRule="exact"/>
        <w:ind w:firstLine="640"/>
        <w:outlineLvl w:val="1"/>
        <w:rPr>
          <w:rStyle w:val="32"/>
        </w:rPr>
      </w:pPr>
      <w:bookmarkStart w:id="57" w:name="_Toc15396608"/>
      <w:bookmarkStart w:id="58" w:name="_Toc15377214"/>
      <w:bookmarkStart w:id="59" w:name="_Toc31660"/>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2"/>
          <w:rFonts w:hint="eastAsia" w:ascii="黑体" w:hAnsi="黑体" w:eastAsia="黑体"/>
          <w:b w:val="0"/>
        </w:rPr>
        <w:t>般公共预算</w:t>
      </w:r>
      <w:r>
        <w:rPr>
          <w:rFonts w:hint="eastAsia" w:ascii="黑体" w:hAnsi="黑体" w:eastAsia="黑体"/>
          <w:sz w:val="32"/>
          <w:szCs w:val="32"/>
        </w:rPr>
        <w:t>财政拨款基本支出决算情况说明</w:t>
      </w:r>
      <w:bookmarkEnd w:id="57"/>
      <w:bookmarkEnd w:id="58"/>
      <w:bookmarkEnd w:id="59"/>
      <w:r>
        <w:rPr>
          <w:rStyle w:val="32"/>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21年一般公共预算财政拨款基本支出300.41万元，其中：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263.74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36.67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服务费等。</w:t>
      </w:r>
    </w:p>
    <w:p>
      <w:pPr>
        <w:spacing w:line="600" w:lineRule="exact"/>
        <w:ind w:firstLine="640"/>
        <w:outlineLvl w:val="1"/>
        <w:rPr>
          <w:rStyle w:val="32"/>
          <w:rFonts w:ascii="黑体" w:hAnsi="黑体" w:eastAsia="黑体"/>
          <w:b w:val="0"/>
        </w:rPr>
      </w:pPr>
      <w:bookmarkStart w:id="60" w:name="_Toc15396609"/>
      <w:bookmarkStart w:id="61" w:name="_Toc15377215"/>
      <w:bookmarkStart w:id="62" w:name="_Toc24202"/>
      <w:r>
        <w:rPr>
          <w:rFonts w:hint="eastAsia" w:ascii="黑体" w:eastAsia="黑体"/>
          <w:sz w:val="32"/>
          <w:szCs w:val="32"/>
        </w:rPr>
        <w:t>七、</w:t>
      </w:r>
      <w:r>
        <w:rPr>
          <w:rStyle w:val="32"/>
          <w:rFonts w:hint="eastAsia" w:ascii="黑体" w:hAnsi="黑体" w:eastAsia="黑体"/>
        </w:rPr>
        <w:t>“</w:t>
      </w:r>
      <w:r>
        <w:rPr>
          <w:rStyle w:val="32"/>
          <w:rFonts w:hint="eastAsia" w:ascii="黑体" w:hAnsi="黑体" w:eastAsia="黑体"/>
          <w:b w:val="0"/>
        </w:rPr>
        <w:t>三公”</w:t>
      </w:r>
      <w:r>
        <w:rPr>
          <w:rFonts w:hint="eastAsia" w:ascii="黑体" w:hAnsi="黑体" w:eastAsia="黑体"/>
          <w:sz w:val="32"/>
          <w:szCs w:val="32"/>
        </w:rPr>
        <w:t>经费财政拨款支出决算情况说明</w:t>
      </w:r>
      <w:bookmarkEnd w:id="60"/>
      <w:bookmarkEnd w:id="61"/>
      <w:bookmarkEnd w:id="62"/>
    </w:p>
    <w:p>
      <w:pPr>
        <w:spacing w:line="600" w:lineRule="exact"/>
        <w:ind w:firstLine="640"/>
        <w:outlineLvl w:val="2"/>
        <w:rPr>
          <w:rFonts w:ascii="仿宋" w:hAnsi="仿宋" w:eastAsia="仿宋"/>
          <w:b/>
          <w:sz w:val="32"/>
          <w:szCs w:val="32"/>
        </w:rPr>
      </w:pPr>
      <w:bookmarkStart w:id="63" w:name="_Toc15377216"/>
      <w:r>
        <w:rPr>
          <w:rFonts w:hint="eastAsia" w:ascii="仿宋" w:hAnsi="仿宋" w:eastAsia="仿宋"/>
          <w:b/>
          <w:sz w:val="32"/>
          <w:szCs w:val="32"/>
        </w:rPr>
        <w:t>（一）“三公”经费财政拨款支出决算总体情况说明</w:t>
      </w:r>
      <w:bookmarkEnd w:id="63"/>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21年“三公”经费财政拨款支出决算为0.82万元，完成预算的100%，决算数与预算数持平。</w:t>
      </w:r>
    </w:p>
    <w:p>
      <w:pPr>
        <w:spacing w:line="600" w:lineRule="exact"/>
        <w:ind w:firstLine="640"/>
        <w:outlineLvl w:val="2"/>
        <w:rPr>
          <w:rFonts w:ascii="仿宋" w:hAnsi="仿宋" w:eastAsia="仿宋"/>
          <w:b/>
          <w:sz w:val="32"/>
          <w:szCs w:val="32"/>
        </w:rPr>
      </w:pPr>
      <w:bookmarkStart w:id="64" w:name="_Toc15377217"/>
      <w:r>
        <w:rPr>
          <w:rFonts w:hint="eastAsia" w:ascii="仿宋" w:hAnsi="仿宋" w:eastAsia="仿宋"/>
          <w:b/>
          <w:sz w:val="32"/>
          <w:szCs w:val="32"/>
        </w:rPr>
        <w:t>（二）“三公”经费财政拨款支出决算具体情况说明</w:t>
      </w:r>
      <w:bookmarkEnd w:id="64"/>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；公务用车购置及运行维护费支出决算0万元，占0</w:t>
      </w:r>
      <w:r>
        <w:rPr>
          <w:rFonts w:ascii="仿宋" w:hAnsi="仿宋" w:eastAsia="仿宋"/>
          <w:sz w:val="32"/>
          <w:szCs w:val="32"/>
        </w:rPr>
        <w:t>%</w:t>
      </w:r>
      <w:r>
        <w:rPr>
          <w:rFonts w:hint="eastAsia" w:ascii="仿宋" w:hAnsi="仿宋" w:eastAsia="仿宋"/>
          <w:sz w:val="32"/>
          <w:szCs w:val="32"/>
        </w:rPr>
        <w:t>；公务接待费支出决算0.82万元，占比100</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rPr>
          <w:rFonts w:ascii="仿宋" w:hAnsi="仿宋" w:eastAsia="仿宋"/>
          <w:sz w:val="32"/>
          <w:szCs w:val="32"/>
        </w:rPr>
      </w:pPr>
    </w:p>
    <w:p>
      <w:pPr>
        <w:pStyle w:val="4"/>
        <w:rPr>
          <w:rFonts w:ascii="仿宋" w:hAnsi="仿宋" w:eastAsia="仿宋"/>
          <w:sz w:val="32"/>
          <w:szCs w:val="32"/>
        </w:rPr>
      </w:pPr>
      <w:r>
        <w:rPr>
          <w:rFonts w:hint="eastAsia" w:ascii="仿宋" w:hAnsi="仿宋" w:eastAsia="仿宋"/>
          <w:sz w:val="32"/>
          <w:szCs w:val="32"/>
        </w:rPr>
        <w:drawing>
          <wp:inline distT="0" distB="0" distL="114300" distR="114300">
            <wp:extent cx="5080000" cy="2572385"/>
            <wp:effectExtent l="4445" t="4445" r="20955" b="13970"/>
            <wp:docPr id="705" name="_x0000_i278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spacing w:line="600" w:lineRule="exact"/>
        <w:ind w:firstLine="640"/>
        <w:rPr>
          <w:rFonts w:ascii="仿宋" w:hAnsi="仿宋" w:eastAsia="仿宋"/>
          <w:sz w:val="32"/>
          <w:szCs w:val="32"/>
        </w:rPr>
      </w:pPr>
      <w:r>
        <w:rPr>
          <w:rFonts w:hint="eastAsia" w:ascii="仿宋" w:hAnsi="仿宋" w:eastAsia="仿宋"/>
          <w:sz w:val="32"/>
          <w:szCs w:val="32"/>
        </w:rPr>
        <w:t>图7：“三公”经费财政拨款支出结构</w:t>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w:t>
      </w:r>
      <w:r>
        <w:rPr>
          <w:rFonts w:hint="eastAsia" w:ascii="仿宋_GB2312" w:eastAsia="仿宋_GB2312"/>
          <w:sz w:val="32"/>
          <w:szCs w:val="32"/>
          <w:u w:val="none" w:color="000000"/>
        </w:rPr>
        <w:t>万元</w:t>
      </w:r>
      <w:r>
        <w:rPr>
          <w:rFonts w:hint="eastAsia" w:ascii="仿宋_GB2312" w:eastAsia="仿宋_GB2312"/>
          <w:sz w:val="32"/>
          <w:szCs w:val="32"/>
        </w:rPr>
        <w:t>，</w:t>
      </w:r>
      <w:r>
        <w:rPr>
          <w:rStyle w:val="10"/>
          <w:rFonts w:hint="eastAsia" w:ascii="仿宋" w:hAnsi="仿宋" w:eastAsia="仿宋"/>
          <w:b w:val="0"/>
          <w:bCs/>
          <w:sz w:val="32"/>
          <w:szCs w:val="32"/>
        </w:rPr>
        <w:t>完成</w:t>
      </w:r>
      <w:r>
        <w:rPr>
          <w:rStyle w:val="10"/>
          <w:rFonts w:hint="eastAsia" w:ascii="仿宋" w:hAnsi="仿宋" w:eastAsia="仿宋" w:cstheme="minorBidi"/>
          <w:b w:val="0"/>
          <w:bCs/>
          <w:sz w:val="32"/>
          <w:szCs w:val="32"/>
        </w:rPr>
        <w:t>预算</w:t>
      </w:r>
      <w:r>
        <w:rPr>
          <w:rStyle w:val="10"/>
          <w:rFonts w:hint="eastAsia" w:ascii="仿宋" w:hAnsi="仿宋" w:eastAsia="仿宋" w:cstheme="minorBidi"/>
          <w:b w:val="0"/>
          <w:bCs/>
          <w:sz w:val="32"/>
          <w:szCs w:val="32"/>
          <w:lang w:val="en-US" w:eastAsia="zh-CN"/>
        </w:rPr>
        <w:t>的</w:t>
      </w:r>
      <w:r>
        <w:rPr>
          <w:rStyle w:val="10"/>
          <w:rFonts w:hint="eastAsia" w:ascii="仿宋" w:hAnsi="仿宋" w:eastAsia="仿宋"/>
          <w:b w:val="0"/>
          <w:bCs/>
          <w:sz w:val="32"/>
          <w:szCs w:val="32"/>
        </w:rPr>
        <w:t>0</w:t>
      </w:r>
      <w:r>
        <w:rPr>
          <w:rStyle w:val="10"/>
          <w:rFonts w:ascii="仿宋" w:hAnsi="仿宋" w:eastAsia="仿宋"/>
          <w:b w:val="0"/>
          <w:bCs/>
          <w:sz w:val="32"/>
          <w:szCs w:val="32"/>
        </w:rPr>
        <w:t>%</w:t>
      </w:r>
      <w:r>
        <w:rPr>
          <w:rStyle w:val="10"/>
          <w:rFonts w:hint="eastAsia" w:ascii="仿宋" w:hAnsi="仿宋" w:eastAsia="仿宋"/>
          <w:b w:val="0"/>
          <w:bCs/>
          <w:sz w:val="32"/>
          <w:szCs w:val="32"/>
        </w:rPr>
        <w:t>。</w:t>
      </w:r>
      <w:r>
        <w:rPr>
          <w:rFonts w:hint="eastAsia" w:ascii="仿宋_GB2312" w:eastAsia="仿宋_GB2312"/>
          <w:sz w:val="32"/>
          <w:szCs w:val="32"/>
        </w:rPr>
        <w:t>全年安排因公出国（境）团组0次，出国（境）0人。因公出国（境）支出决算比</w:t>
      </w:r>
      <w:r>
        <w:rPr>
          <w:rFonts w:ascii="仿宋_GB2312" w:eastAsia="仿宋_GB2312"/>
          <w:sz w:val="32"/>
          <w:szCs w:val="32"/>
        </w:rPr>
        <w:t>20</w:t>
      </w:r>
      <w:r>
        <w:rPr>
          <w:rFonts w:hint="eastAsia" w:ascii="仿宋_GB2312" w:eastAsia="仿宋_GB2312"/>
          <w:sz w:val="32"/>
          <w:szCs w:val="32"/>
        </w:rPr>
        <w:t>20年增加</w:t>
      </w:r>
      <w:r>
        <w:rPr>
          <w:rFonts w:ascii="仿宋_GB2312" w:eastAsia="仿宋_GB2312"/>
          <w:sz w:val="32"/>
          <w:szCs w:val="32"/>
        </w:rPr>
        <w:t>/</w:t>
      </w:r>
      <w:r>
        <w:rPr>
          <w:rFonts w:hint="eastAsia" w:ascii="仿宋_GB2312" w:eastAsia="仿宋_GB2312"/>
          <w:sz w:val="32"/>
          <w:szCs w:val="32"/>
        </w:rPr>
        <w:t>减少0万元，增长</w:t>
      </w:r>
      <w:r>
        <w:rPr>
          <w:rFonts w:ascii="仿宋_GB2312" w:eastAsia="仿宋_GB2312"/>
          <w:sz w:val="32"/>
          <w:szCs w:val="32"/>
        </w:rPr>
        <w:t>/</w:t>
      </w:r>
      <w:r>
        <w:rPr>
          <w:rFonts w:hint="eastAsia" w:ascii="仿宋_GB2312" w:eastAsia="仿宋_GB2312"/>
          <w:sz w:val="32"/>
          <w:szCs w:val="32"/>
        </w:rPr>
        <w:t>下降0</w:t>
      </w:r>
      <w:r>
        <w:rPr>
          <w:rFonts w:ascii="仿宋_GB2312" w:eastAsia="仿宋_GB2312"/>
          <w:sz w:val="32"/>
          <w:szCs w:val="32"/>
        </w:rPr>
        <w:t>%</w:t>
      </w:r>
      <w:r>
        <w:rPr>
          <w:rFonts w:hint="eastAsia" w:ascii="仿宋_GB2312" w:eastAsia="仿宋_GB2312"/>
          <w:sz w:val="32"/>
          <w:szCs w:val="32"/>
          <w:lang w:eastAsia="zh-CN"/>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u w:val="none" w:color="000000"/>
        </w:rPr>
        <w:t>0万</w:t>
      </w:r>
      <w:r>
        <w:rPr>
          <w:rFonts w:hint="eastAsia" w:ascii="仿宋_GB2312" w:eastAsia="仿宋_GB2312"/>
          <w:sz w:val="32"/>
          <w:szCs w:val="32"/>
        </w:rPr>
        <w:t>元</w:t>
      </w:r>
      <w:r>
        <w:t>，</w:t>
      </w:r>
      <w:r>
        <w:rPr>
          <w:rStyle w:val="10"/>
          <w:rFonts w:hint="eastAsia" w:ascii="仿宋" w:hAnsi="仿宋" w:eastAsia="仿宋"/>
          <w:b w:val="0"/>
          <w:bCs/>
          <w:sz w:val="32"/>
          <w:szCs w:val="32"/>
        </w:rPr>
        <w:t>完成</w:t>
      </w:r>
      <w:r>
        <w:rPr>
          <w:rStyle w:val="10"/>
          <w:rFonts w:hint="eastAsia" w:ascii="仿宋" w:hAnsi="仿宋" w:eastAsia="仿宋" w:cstheme="minorBidi"/>
          <w:b w:val="0"/>
          <w:bCs/>
          <w:sz w:val="32"/>
          <w:szCs w:val="32"/>
        </w:rPr>
        <w:t>预算</w:t>
      </w:r>
      <w:r>
        <w:rPr>
          <w:rStyle w:val="10"/>
          <w:rFonts w:hint="eastAsia" w:ascii="仿宋" w:hAnsi="仿宋" w:eastAsia="仿宋" w:cstheme="minorBidi"/>
          <w:b w:val="0"/>
          <w:bCs/>
          <w:sz w:val="32"/>
          <w:szCs w:val="32"/>
          <w:lang w:val="en-US" w:eastAsia="zh-CN"/>
        </w:rPr>
        <w:t>的</w:t>
      </w:r>
      <w:r>
        <w:rPr>
          <w:rStyle w:val="10"/>
          <w:rFonts w:hint="eastAsia" w:ascii="仿宋" w:hAnsi="仿宋" w:eastAsia="仿宋"/>
          <w:b w:val="0"/>
          <w:bCs/>
          <w:sz w:val="32"/>
          <w:szCs w:val="32"/>
        </w:rPr>
        <w:t>0</w:t>
      </w:r>
      <w:r>
        <w:rPr>
          <w:rStyle w:val="10"/>
          <w:rFonts w:ascii="仿宋" w:hAnsi="仿宋" w:eastAsia="仿宋"/>
          <w:b w:val="0"/>
          <w:bCs/>
          <w:sz w:val="32"/>
          <w:szCs w:val="32"/>
        </w:rPr>
        <w:t>%</w:t>
      </w:r>
      <w:r>
        <w:rPr>
          <w:rStyle w:val="10"/>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20年增加</w:t>
      </w:r>
      <w:r>
        <w:rPr>
          <w:rFonts w:ascii="仿宋_GB2312" w:eastAsia="仿宋_GB2312"/>
          <w:sz w:val="32"/>
          <w:szCs w:val="32"/>
        </w:rPr>
        <w:t>/</w:t>
      </w:r>
      <w:r>
        <w:rPr>
          <w:rFonts w:hint="eastAsia" w:ascii="仿宋_GB2312" w:eastAsia="仿宋_GB2312"/>
          <w:sz w:val="32"/>
          <w:szCs w:val="32"/>
        </w:rPr>
        <w:t>减少0万元，增长</w:t>
      </w:r>
      <w:r>
        <w:rPr>
          <w:rFonts w:ascii="仿宋_GB2312" w:eastAsia="仿宋_GB2312"/>
          <w:sz w:val="32"/>
          <w:szCs w:val="32"/>
        </w:rPr>
        <w:t>/</w:t>
      </w:r>
      <w:r>
        <w:rPr>
          <w:rFonts w:hint="eastAsia" w:ascii="仿宋_GB2312" w:eastAsia="仿宋_GB2312"/>
          <w:sz w:val="32"/>
          <w:szCs w:val="32"/>
        </w:rPr>
        <w:t>下降0</w:t>
      </w:r>
      <w:r>
        <w:rPr>
          <w:rFonts w:ascii="仿宋_GB2312" w:eastAsia="仿宋_GB2312"/>
          <w:sz w:val="32"/>
          <w:szCs w:val="32"/>
        </w:rPr>
        <w:t>%</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0万元。全年按规定更新购置公务用车0辆，截至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月底，单位共有公务用车0辆，其中：轿车0辆、越野车0辆、载客汽车1辆。</w:t>
      </w:r>
    </w:p>
    <w:p>
      <w:pPr>
        <w:spacing w:line="600" w:lineRule="exact"/>
        <w:ind w:firstLine="643" w:firstLineChars="20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0万元。</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0.82万元，</w:t>
      </w:r>
      <w:r>
        <w:rPr>
          <w:rStyle w:val="10"/>
          <w:rFonts w:hint="eastAsia" w:ascii="仿宋" w:hAnsi="仿宋" w:eastAsia="仿宋"/>
          <w:b w:val="0"/>
          <w:bCs/>
          <w:sz w:val="32"/>
          <w:szCs w:val="32"/>
        </w:rPr>
        <w:t>完成预算的</w:t>
      </w:r>
      <w:r>
        <w:rPr>
          <w:rFonts w:hint="eastAsia" w:ascii="仿宋" w:hAnsi="仿宋" w:eastAsia="仿宋"/>
          <w:bCs/>
          <w:sz w:val="32"/>
          <w:szCs w:val="32"/>
        </w:rPr>
        <w:t>100%</w:t>
      </w:r>
      <w:r>
        <w:rPr>
          <w:rStyle w:val="10"/>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20年减少0.05万元，下降5.74</w:t>
      </w:r>
      <w:r>
        <w:rPr>
          <w:rFonts w:ascii="仿宋_GB2312" w:eastAsia="仿宋_GB2312"/>
          <w:sz w:val="32"/>
          <w:szCs w:val="32"/>
        </w:rPr>
        <w:t>%</w:t>
      </w:r>
      <w:r>
        <w:rPr>
          <w:rFonts w:hint="eastAsia" w:ascii="仿宋_GB2312" w:eastAsia="仿宋_GB2312"/>
          <w:sz w:val="32"/>
          <w:szCs w:val="32"/>
        </w:rPr>
        <w:t>。主要原因是三公经费缩减。其中：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rPr>
        <w:t>0.82</w:t>
      </w:r>
      <w:r>
        <w:rPr>
          <w:rFonts w:hint="eastAsia" w:ascii="仿宋_GB2312" w:eastAsia="仿宋_GB2312"/>
          <w:sz w:val="32"/>
          <w:szCs w:val="32"/>
        </w:rPr>
        <w:t>万元，主要用于执行公务、开展业务活动开支的交通费、住宿费、用餐费等。国内公务接待12批次，100人次（不包括陪同人员），共计支出0.82万元。</w:t>
      </w:r>
    </w:p>
    <w:p>
      <w:pPr>
        <w:spacing w:line="600" w:lineRule="exact"/>
        <w:ind w:firstLine="643" w:firstLineChars="200"/>
        <w:rPr>
          <w:rFonts w:ascii="黑体" w:eastAsia="黑体"/>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万元，外事接待0批次，0人，共计支出0万元。</w:t>
      </w:r>
      <w:bookmarkStart w:id="65" w:name="_Toc15396610"/>
      <w:bookmarkStart w:id="66" w:name="_Toc15377218"/>
    </w:p>
    <w:p>
      <w:pPr>
        <w:spacing w:line="600" w:lineRule="exact"/>
        <w:ind w:firstLine="640"/>
        <w:outlineLvl w:val="1"/>
        <w:rPr>
          <w:rStyle w:val="32"/>
          <w:rFonts w:ascii="黑体" w:hAnsi="黑体" w:eastAsia="黑体"/>
        </w:rPr>
      </w:pPr>
      <w:bookmarkStart w:id="67" w:name="_Toc32733"/>
      <w:r>
        <w:rPr>
          <w:rFonts w:hint="eastAsia" w:ascii="黑体" w:eastAsia="黑体"/>
          <w:sz w:val="32"/>
          <w:szCs w:val="32"/>
        </w:rPr>
        <w:t>八、</w:t>
      </w:r>
      <w:r>
        <w:rPr>
          <w:rStyle w:val="32"/>
          <w:rFonts w:hint="eastAsia" w:ascii="黑体" w:hAnsi="黑体" w:eastAsia="黑体"/>
          <w:b w:val="0"/>
        </w:rPr>
        <w:t>政府性基金预算</w:t>
      </w:r>
      <w:r>
        <w:rPr>
          <w:rFonts w:hint="eastAsia" w:ascii="黑体" w:hAnsi="黑体" w:eastAsia="黑体"/>
          <w:sz w:val="32"/>
          <w:szCs w:val="32"/>
        </w:rPr>
        <w:t>支出决算情况说明</w:t>
      </w:r>
      <w:bookmarkEnd w:id="65"/>
      <w:bookmarkEnd w:id="66"/>
      <w:bookmarkEnd w:id="67"/>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21年政府性基金预算财政拨款支出0万元。</w:t>
      </w:r>
    </w:p>
    <w:p>
      <w:pPr>
        <w:numPr>
          <w:ilvl w:val="0"/>
          <w:numId w:val="2"/>
        </w:numPr>
        <w:spacing w:line="600" w:lineRule="exact"/>
        <w:ind w:firstLine="640"/>
        <w:outlineLvl w:val="1"/>
        <w:rPr>
          <w:rStyle w:val="32"/>
          <w:rFonts w:ascii="黑体" w:hAnsi="黑体" w:eastAsia="黑体"/>
          <w:b w:val="0"/>
        </w:rPr>
      </w:pPr>
      <w:bookmarkStart w:id="68" w:name="_Toc15377219"/>
      <w:bookmarkStart w:id="69" w:name="_Toc15396611"/>
      <w:bookmarkStart w:id="70" w:name="_Toc25548"/>
      <w:r>
        <w:rPr>
          <w:rStyle w:val="32"/>
          <w:rFonts w:hint="eastAsia" w:ascii="黑体" w:hAnsi="黑体" w:eastAsia="黑体"/>
          <w:b w:val="0"/>
        </w:rPr>
        <w:t>国有资本经营预算</w:t>
      </w:r>
      <w:r>
        <w:rPr>
          <w:rFonts w:hint="eastAsia" w:ascii="黑体" w:hAnsi="黑体" w:eastAsia="黑体"/>
          <w:sz w:val="32"/>
          <w:szCs w:val="32"/>
        </w:rPr>
        <w:t>支出决算情况说明</w:t>
      </w:r>
      <w:bookmarkEnd w:id="68"/>
      <w:bookmarkEnd w:id="69"/>
      <w:bookmarkEnd w:id="70"/>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21年国有资本经营预算财政拨款支出0万元。</w:t>
      </w:r>
    </w:p>
    <w:p>
      <w:pPr>
        <w:numPr>
          <w:ilvl w:val="0"/>
          <w:numId w:val="2"/>
        </w:numPr>
        <w:spacing w:line="600" w:lineRule="exact"/>
        <w:ind w:firstLine="640"/>
        <w:outlineLvl w:val="1"/>
        <w:rPr>
          <w:rStyle w:val="32"/>
          <w:rFonts w:ascii="黑体" w:hAnsi="黑体" w:eastAsia="黑体"/>
          <w:b w:val="0"/>
        </w:rPr>
      </w:pPr>
      <w:bookmarkStart w:id="71" w:name="_Toc12089"/>
      <w:bookmarkStart w:id="72" w:name="_Toc15377221"/>
      <w:bookmarkStart w:id="73" w:name="_Toc15396612"/>
      <w:r>
        <w:rPr>
          <w:rStyle w:val="32"/>
          <w:rFonts w:hint="eastAsia" w:ascii="黑体" w:hAnsi="黑体" w:eastAsia="黑体"/>
          <w:b w:val="0"/>
        </w:rPr>
        <w:t>其他重要事项的</w:t>
      </w:r>
      <w:r>
        <w:rPr>
          <w:rFonts w:hint="eastAsia" w:ascii="黑体" w:hAnsi="黑体" w:eastAsia="黑体"/>
          <w:sz w:val="32"/>
          <w:szCs w:val="32"/>
        </w:rPr>
        <w:t>情况说明</w:t>
      </w:r>
      <w:bookmarkEnd w:id="71"/>
      <w:bookmarkEnd w:id="72"/>
      <w:bookmarkEnd w:id="73"/>
    </w:p>
    <w:p>
      <w:pPr>
        <w:spacing w:line="600" w:lineRule="exact"/>
        <w:ind w:firstLine="643" w:firstLineChars="200"/>
        <w:outlineLvl w:val="2"/>
        <w:rPr>
          <w:rFonts w:ascii="仿宋" w:hAnsi="仿宋" w:eastAsia="仿宋"/>
          <w:sz w:val="32"/>
          <w:szCs w:val="32"/>
        </w:rPr>
      </w:pPr>
      <w:bookmarkStart w:id="74" w:name="_Toc15377222"/>
      <w:r>
        <w:rPr>
          <w:rFonts w:hint="eastAsia" w:ascii="仿宋" w:hAnsi="仿宋" w:eastAsia="仿宋"/>
          <w:b/>
          <w:sz w:val="32"/>
          <w:szCs w:val="32"/>
        </w:rPr>
        <w:t>（一）机关运行经费支出情况</w:t>
      </w:r>
      <w:bookmarkEnd w:id="74"/>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21年，通江县商务局机关运行经费支出36.67万元，比</w:t>
      </w:r>
      <w:r>
        <w:rPr>
          <w:rFonts w:ascii="仿宋_GB2312" w:eastAsia="仿宋_GB2312"/>
          <w:sz w:val="32"/>
          <w:szCs w:val="32"/>
        </w:rPr>
        <w:t>20</w:t>
      </w:r>
      <w:r>
        <w:rPr>
          <w:rFonts w:hint="eastAsia" w:ascii="仿宋_GB2312" w:eastAsia="仿宋_GB2312"/>
          <w:sz w:val="32"/>
          <w:szCs w:val="32"/>
        </w:rPr>
        <w:t>20年减少3.67万元，下降9.09</w:t>
      </w:r>
      <w:r>
        <w:rPr>
          <w:rFonts w:ascii="仿宋_GB2312" w:eastAsia="仿宋_GB2312"/>
          <w:sz w:val="32"/>
          <w:szCs w:val="32"/>
        </w:rPr>
        <w:t>%</w:t>
      </w:r>
      <w:r>
        <w:rPr>
          <w:rFonts w:hint="eastAsia" w:ascii="仿宋_GB2312" w:eastAsia="仿宋_GB2312"/>
          <w:sz w:val="32"/>
          <w:szCs w:val="32"/>
        </w:rPr>
        <w:t>，主要原因是人员退休</w:t>
      </w:r>
      <w: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75" w:name="_Toc15377223"/>
      <w:r>
        <w:rPr>
          <w:rFonts w:hint="eastAsia" w:ascii="仿宋" w:hAnsi="仿宋" w:eastAsia="仿宋"/>
          <w:b/>
          <w:sz w:val="32"/>
          <w:szCs w:val="32"/>
        </w:rPr>
        <w:t>（二）政府采购支出情况</w:t>
      </w:r>
      <w:bookmarkEnd w:id="75"/>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21年，通江县商务局政府采购支出总额0万元，其中：政府采购货物支出0万元、政府采购工程支出0万元、政府采购服务支出0万元。授予中小微企业合同金额0万元，占政府采购支出总额的0%。</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76" w:name="_Toc15377224"/>
      <w:r>
        <w:rPr>
          <w:rFonts w:hint="eastAsia" w:ascii="仿宋" w:hAnsi="仿宋" w:eastAsia="仿宋"/>
          <w:b/>
          <w:sz w:val="32"/>
          <w:szCs w:val="32"/>
        </w:rPr>
        <w:t>（三）国有资产占有使用情况</w:t>
      </w:r>
      <w:bookmarkEnd w:id="76"/>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日，通江县商务局共有车辆0辆，其中：主要领导干部用车0辆、机要通信用车0辆、应急保障用车0辆、其他用车0辆，单价</w:t>
      </w:r>
      <w:r>
        <w:rPr>
          <w:rFonts w:ascii="仿宋_GB2312" w:eastAsia="仿宋_GB2312"/>
          <w:sz w:val="32"/>
          <w:szCs w:val="32"/>
        </w:rPr>
        <w:t>50</w:t>
      </w:r>
      <w:r>
        <w:rPr>
          <w:rFonts w:hint="eastAsia" w:ascii="仿宋_GB2312" w:eastAsia="仿宋_GB2312"/>
          <w:sz w:val="32"/>
          <w:szCs w:val="32"/>
        </w:rPr>
        <w:t>万元以上通用设备0台（套），单价</w:t>
      </w:r>
      <w:r>
        <w:rPr>
          <w:rFonts w:ascii="仿宋_GB2312" w:eastAsia="仿宋_GB2312"/>
          <w:sz w:val="32"/>
          <w:szCs w:val="32"/>
        </w:rPr>
        <w:t>100</w:t>
      </w:r>
      <w:r>
        <w:rPr>
          <w:rFonts w:hint="eastAsia" w:ascii="仿宋_GB2312" w:eastAsia="仿宋_GB2312"/>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2021年度预算编制阶段，组织对“西洽会”“西博会”等4个项目开展了预算事前绩效评估，对4个项目编制了绩效目标，预算执行过程中，选取4个项目开展绩效监控，年终执行完毕后，对4个项目开展了绩效自评。同时，本部门对2021年部门整体开展绩效自评，《2021年通江县商务局部门整体绩效评价报告》见附件（第四部分）。</w:t>
      </w:r>
    </w:p>
    <w:p>
      <w:pPr>
        <w:widowControl/>
        <w:jc w:val="left"/>
        <w:rPr>
          <w:rFonts w:ascii="仿宋_GB2312" w:eastAsia="仿宋_GB2312"/>
          <w:b/>
          <w:sz w:val="32"/>
          <w:szCs w:val="32"/>
        </w:rPr>
      </w:pPr>
      <w:r>
        <w:br w:type="page"/>
      </w:r>
    </w:p>
    <w:p>
      <w:pPr>
        <w:numPr>
          <w:ilvl w:val="0"/>
          <w:numId w:val="3"/>
        </w:numPr>
        <w:spacing w:line="600" w:lineRule="exact"/>
        <w:ind w:firstLine="660" w:firstLineChars="150"/>
        <w:jc w:val="center"/>
        <w:outlineLvl w:val="0"/>
        <w:rPr>
          <w:rStyle w:val="31"/>
          <w:rFonts w:ascii="黑体" w:hAnsi="黑体" w:eastAsia="黑体"/>
          <w:b w:val="0"/>
        </w:rPr>
      </w:pPr>
      <w:bookmarkStart w:id="77" w:name="_Toc15396613"/>
      <w:bookmarkStart w:id="78" w:name="_Toc14963"/>
      <w:bookmarkStart w:id="79" w:name="_Toc15377225"/>
      <w:r>
        <w:rPr>
          <w:rFonts w:hint="eastAsia" w:ascii="黑体" w:hAnsi="黑体" w:eastAsia="黑体"/>
          <w:sz w:val="44"/>
          <w:szCs w:val="44"/>
        </w:rPr>
        <w:t>名</w:t>
      </w:r>
      <w:r>
        <w:rPr>
          <w:rStyle w:val="31"/>
          <w:rFonts w:hint="eastAsia" w:ascii="黑体" w:hAnsi="黑体" w:eastAsia="黑体"/>
          <w:b w:val="0"/>
        </w:rPr>
        <w:t>词解释</w:t>
      </w:r>
      <w:bookmarkEnd w:id="77"/>
      <w:bookmarkEnd w:id="78"/>
      <w:bookmarkEnd w:id="79"/>
    </w:p>
    <w:p>
      <w:pPr>
        <w:pStyle w:val="29"/>
        <w:spacing w:line="560" w:lineRule="exact"/>
        <w:ind w:firstLine="640" w:firstLineChars="200"/>
        <w:jc w:val="both"/>
        <w:textAlignment w:val="baseline"/>
        <w:rPr>
          <w:rFonts w:ascii="仿宋_GB2312" w:eastAsia="仿宋_GB2312"/>
          <w:sz w:val="32"/>
          <w:szCs w:val="32"/>
        </w:rPr>
      </w:pPr>
      <w:r>
        <w:rPr>
          <w:rFonts w:hint="eastAsia" w:ascii="仿宋_GB2312" w:eastAsia="仿宋_GB2312"/>
          <w:sz w:val="32"/>
          <w:szCs w:val="32"/>
        </w:rPr>
        <w:t>1.财政拨款收入：指单位从同级财政部门取得的财政预算资金。</w:t>
      </w:r>
    </w:p>
    <w:p>
      <w:pPr>
        <w:pStyle w:val="29"/>
        <w:spacing w:line="560" w:lineRule="exact"/>
        <w:ind w:firstLine="640" w:firstLineChars="200"/>
        <w:jc w:val="both"/>
        <w:textAlignment w:val="baseline"/>
        <w:rPr>
          <w:rFonts w:ascii="仿宋_GB2312" w:eastAsia="仿宋_GB2312"/>
          <w:sz w:val="32"/>
          <w:szCs w:val="32"/>
        </w:rPr>
      </w:pPr>
      <w:r>
        <w:rPr>
          <w:rFonts w:hint="eastAsia" w:ascii="仿宋_GB2312" w:eastAsia="仿宋_GB2312"/>
          <w:sz w:val="32"/>
          <w:szCs w:val="32"/>
        </w:rPr>
        <w:t>2.事业收入：指事业单位开展专业业务活动及辅助活动取得的收入。</w:t>
      </w:r>
    </w:p>
    <w:p>
      <w:pPr>
        <w:pStyle w:val="29"/>
        <w:spacing w:line="560" w:lineRule="exact"/>
        <w:ind w:firstLine="640" w:firstLineChars="200"/>
        <w:jc w:val="both"/>
        <w:textAlignment w:val="baseline"/>
        <w:rPr>
          <w:rFonts w:ascii="仿宋_GB2312" w:eastAsia="仿宋_GB2312"/>
          <w:sz w:val="32"/>
          <w:szCs w:val="32"/>
        </w:rPr>
      </w:pPr>
      <w:r>
        <w:rPr>
          <w:rFonts w:hint="eastAsia" w:ascii="仿宋_GB2312" w:eastAsia="仿宋_GB2312"/>
          <w:sz w:val="32"/>
          <w:szCs w:val="32"/>
        </w:rPr>
        <w:t>3.经营收入：指事业单位在专业业务活动及其辅助活动之外开展非独立核算经营活动取得的收入。</w:t>
      </w:r>
    </w:p>
    <w:p>
      <w:pPr>
        <w:pStyle w:val="29"/>
        <w:spacing w:line="560" w:lineRule="exact"/>
        <w:ind w:firstLine="640" w:firstLineChars="200"/>
        <w:jc w:val="both"/>
        <w:textAlignment w:val="baseline"/>
        <w:rPr>
          <w:rFonts w:ascii="仿宋_GB2312" w:eastAsia="仿宋_GB2312"/>
          <w:sz w:val="32"/>
          <w:szCs w:val="32"/>
        </w:rPr>
      </w:pPr>
      <w:r>
        <w:rPr>
          <w:rFonts w:hint="eastAsia" w:ascii="仿宋_GB2312" w:eastAsia="仿宋_GB2312"/>
          <w:sz w:val="32"/>
          <w:szCs w:val="32"/>
        </w:rPr>
        <w:t>4.其他收入：指单位取得的除上述收入以外的各项收入。</w:t>
      </w:r>
    </w:p>
    <w:p>
      <w:pPr>
        <w:pStyle w:val="29"/>
        <w:spacing w:line="560" w:lineRule="exact"/>
        <w:ind w:firstLine="640" w:firstLineChars="200"/>
        <w:jc w:val="both"/>
        <w:textAlignment w:val="baseline"/>
        <w:rPr>
          <w:rFonts w:ascii="仿宋_GB2312" w:eastAsia="仿宋_GB2312"/>
          <w:sz w:val="32"/>
          <w:szCs w:val="32"/>
        </w:rPr>
      </w:pPr>
      <w:r>
        <w:rPr>
          <w:rFonts w:hint="eastAsia" w:ascii="仿宋_GB2312" w:eastAsia="仿宋_GB2312"/>
          <w:sz w:val="32"/>
          <w:szCs w:val="32"/>
        </w:rPr>
        <w:t>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9"/>
        <w:spacing w:line="560" w:lineRule="exact"/>
        <w:ind w:firstLine="640" w:firstLineChars="200"/>
        <w:jc w:val="both"/>
        <w:textAlignment w:val="baseline"/>
        <w:rPr>
          <w:rFonts w:hint="eastAsia" w:ascii="仿宋_GB2312" w:eastAsia="仿宋_GB2312"/>
          <w:sz w:val="32"/>
          <w:szCs w:val="32"/>
        </w:rPr>
      </w:pPr>
      <w:r>
        <w:rPr>
          <w:rFonts w:hint="eastAsia" w:ascii="仿宋_GB2312" w:eastAsia="仿宋_GB2312"/>
          <w:sz w:val="32"/>
          <w:szCs w:val="32"/>
        </w:rPr>
        <w:t>6.年初结转和结余：指以前年度尚</w:t>
      </w:r>
      <w:r>
        <w:rPr>
          <w:rFonts w:hint="eastAsia" w:ascii="仿宋_GB2312" w:eastAsia="仿宋_GB2312"/>
          <w:sz w:val="32"/>
          <w:szCs w:val="32"/>
          <w:u w:val="none" w:color="000000"/>
        </w:rPr>
        <w:t>未完成</w:t>
      </w:r>
      <w:r>
        <w:rPr>
          <w:rFonts w:hint="eastAsia" w:ascii="仿宋_GB2312" w:eastAsia="仿宋_GB2312"/>
          <w:sz w:val="32"/>
          <w:szCs w:val="32"/>
        </w:rPr>
        <w:t>、结转到本年</w:t>
      </w:r>
      <w:r>
        <w:rPr>
          <w:rFonts w:hint="eastAsia" w:ascii="仿宋_GB2312" w:eastAsia="仿宋_GB2312"/>
          <w:sz w:val="32"/>
          <w:szCs w:val="32"/>
          <w:lang w:val="en-US" w:eastAsia="zh-CN"/>
        </w:rPr>
        <w:t>度</w:t>
      </w:r>
      <w:r>
        <w:rPr>
          <w:rFonts w:hint="eastAsia" w:ascii="仿宋_GB2312" w:eastAsia="仿宋_GB2312"/>
          <w:sz w:val="32"/>
          <w:szCs w:val="32"/>
        </w:rPr>
        <w:t>按</w:t>
      </w:r>
      <w:r>
        <w:rPr>
          <w:rFonts w:hint="eastAsia" w:ascii="仿宋_GB2312" w:eastAsia="仿宋_GB2312"/>
          <w:sz w:val="32"/>
          <w:szCs w:val="32"/>
        </w:rPr>
        <w:t>有关规定继续使用的资金。</w:t>
      </w:r>
    </w:p>
    <w:p>
      <w:pPr>
        <w:pStyle w:val="29"/>
        <w:spacing w:line="560" w:lineRule="exact"/>
        <w:ind w:firstLine="640" w:firstLineChars="200"/>
        <w:jc w:val="both"/>
        <w:textAlignment w:val="baseline"/>
        <w:rPr>
          <w:rFonts w:ascii="仿宋_GB2312" w:eastAsia="仿宋_GB2312"/>
          <w:sz w:val="32"/>
          <w:szCs w:val="32"/>
        </w:rPr>
      </w:pPr>
      <w:r>
        <w:rPr>
          <w:rFonts w:hint="eastAsia" w:ascii="仿宋_GB2312" w:eastAsia="仿宋_GB2312"/>
          <w:sz w:val="32"/>
          <w:szCs w:val="32"/>
        </w:rPr>
        <w:t>7.结余分配：指事业单位按照事业单位会计制度的规定从非财政补助结余中分配的事业基金和职工福利基金等。</w:t>
      </w:r>
    </w:p>
    <w:p>
      <w:pPr>
        <w:pStyle w:val="29"/>
        <w:spacing w:line="560" w:lineRule="exact"/>
        <w:ind w:firstLine="640" w:firstLineChars="200"/>
        <w:jc w:val="both"/>
        <w:textAlignment w:val="baseline"/>
        <w:rPr>
          <w:rFonts w:ascii="仿宋_GB2312" w:eastAsia="仿宋_GB2312"/>
          <w:sz w:val="32"/>
          <w:szCs w:val="32"/>
        </w:rPr>
      </w:pPr>
      <w:r>
        <w:rPr>
          <w:rFonts w:hint="eastAsia" w:ascii="仿宋_GB2312" w:eastAsia="仿宋_GB2312"/>
          <w:sz w:val="32"/>
          <w:szCs w:val="32"/>
        </w:rPr>
        <w:t>8、年末结转和结余：指单位按有关规定结转到下年或以后年度继续使用的资金。</w:t>
      </w:r>
    </w:p>
    <w:p>
      <w:pPr>
        <w:ind w:firstLine="640" w:firstLineChars="200"/>
        <w:textAlignment w:val="baseline"/>
        <w:rPr>
          <w:rFonts w:ascii="仿宋_GB2312" w:eastAsia="仿宋_GB2312"/>
          <w:color w:val="000000"/>
          <w:sz w:val="32"/>
          <w:szCs w:val="32"/>
        </w:rPr>
      </w:pPr>
      <w:r>
        <w:rPr>
          <w:rFonts w:hint="eastAsia" w:ascii="仿宋_GB2312" w:eastAsia="仿宋_GB2312"/>
          <w:color w:val="000000"/>
          <w:sz w:val="32"/>
          <w:szCs w:val="32"/>
        </w:rPr>
        <w:t>9.一般公共服务支出（类）人大事务（款）行政运行（项）：反映行政单位（包括实行公务员管理的事业单位）的基本支出。</w:t>
      </w:r>
    </w:p>
    <w:p>
      <w:pPr>
        <w:ind w:firstLine="640" w:firstLineChars="200"/>
        <w:textAlignment w:val="baseline"/>
        <w:rPr>
          <w:rFonts w:ascii="仿宋_GB2312" w:eastAsia="仿宋_GB2312"/>
          <w:color w:val="000000"/>
          <w:sz w:val="32"/>
          <w:szCs w:val="32"/>
        </w:rPr>
      </w:pPr>
      <w:r>
        <w:rPr>
          <w:rFonts w:hint="eastAsia" w:ascii="仿宋_GB2312" w:eastAsia="仿宋_GB2312"/>
          <w:color w:val="000000"/>
          <w:sz w:val="32"/>
          <w:szCs w:val="32"/>
        </w:rPr>
        <w:t>10.一般公共服务支出（类）政府办公厅（室）及相关机构事务（款）行政运行（项）：反映行政单位（包括实行公务员管理的事业单位）未单独设置项级科目的其他项目支出。</w:t>
      </w:r>
    </w:p>
    <w:p>
      <w:pPr>
        <w:ind w:firstLine="640" w:firstLineChars="200"/>
        <w:textAlignment w:val="baseline"/>
        <w:rPr>
          <w:rFonts w:ascii="仿宋_GB2312" w:eastAsia="仿宋_GB2312"/>
          <w:color w:val="000000"/>
          <w:sz w:val="32"/>
          <w:szCs w:val="32"/>
        </w:rPr>
      </w:pPr>
      <w:r>
        <w:rPr>
          <w:rFonts w:hint="eastAsia" w:ascii="仿宋_GB2312" w:eastAsia="仿宋_GB2312"/>
          <w:color w:val="000000"/>
          <w:sz w:val="32"/>
          <w:szCs w:val="32"/>
        </w:rPr>
        <w:t>11.一般公共服务支出（类）政府办公厅（室）及相关机构事务（款）信访事务（项）：</w:t>
      </w:r>
    </w:p>
    <w:p>
      <w:pPr>
        <w:ind w:firstLine="640" w:firstLineChars="200"/>
        <w:textAlignment w:val="baseline"/>
        <w:rPr>
          <w:rFonts w:ascii="仿宋_GB2312" w:eastAsia="仿宋_GB2312"/>
          <w:color w:val="000000"/>
          <w:sz w:val="32"/>
          <w:szCs w:val="32"/>
        </w:rPr>
      </w:pPr>
      <w:r>
        <w:rPr>
          <w:rFonts w:hint="eastAsia" w:ascii="仿宋_GB2312" w:eastAsia="仿宋_GB2312"/>
          <w:color w:val="000000"/>
          <w:sz w:val="32"/>
          <w:szCs w:val="32"/>
        </w:rPr>
        <w:t>12.一般公共服务支出（类）财政事务（款）行政运行（项）：反映行政单位（包括实行公务员管理的事业单位）的基本支出。</w:t>
      </w:r>
    </w:p>
    <w:p>
      <w:pPr>
        <w:ind w:firstLine="64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13 .一般公共服务支出</w:t>
      </w:r>
      <w:r>
        <w:t>（</w:t>
      </w:r>
      <w:r>
        <w:rPr>
          <w:rFonts w:hint="eastAsia" w:ascii="仿宋_GB2312" w:hAnsi="仿宋_GB2312" w:eastAsia="仿宋_GB2312" w:cs="仿宋_GB2312"/>
          <w:sz w:val="32"/>
          <w:szCs w:val="32"/>
        </w:rPr>
        <w:t>类</w:t>
      </w:r>
      <w:r>
        <w:t>）</w:t>
      </w:r>
      <w:r>
        <w:rPr>
          <w:rFonts w:hint="eastAsia" w:ascii="仿宋_GB2312" w:hAnsi="仿宋_GB2312" w:eastAsia="仿宋_GB2312" w:cs="仿宋_GB2312"/>
          <w:sz w:val="32"/>
          <w:szCs w:val="32"/>
        </w:rPr>
        <w:t>党委办公厅</w:t>
      </w:r>
      <w:r>
        <w:t>（</w:t>
      </w:r>
      <w:r>
        <w:rPr>
          <w:rFonts w:hint="eastAsia" w:ascii="仿宋_GB2312" w:hAnsi="仿宋_GB2312" w:eastAsia="仿宋_GB2312" w:cs="仿宋_GB2312"/>
          <w:sz w:val="32"/>
          <w:szCs w:val="32"/>
        </w:rPr>
        <w:t>室</w:t>
      </w:r>
      <w:r>
        <w:t>）</w:t>
      </w:r>
      <w:r>
        <w:rPr>
          <w:rFonts w:hint="eastAsia" w:ascii="仿宋_GB2312" w:hAnsi="仿宋_GB2312" w:eastAsia="仿宋_GB2312" w:cs="仿宋_GB2312"/>
          <w:sz w:val="32"/>
          <w:szCs w:val="32"/>
        </w:rPr>
        <w:t>及相关机构事务</w:t>
      </w:r>
      <w:r>
        <w:t>（</w:t>
      </w:r>
      <w:r>
        <w:rPr>
          <w:rFonts w:hint="eastAsia" w:ascii="仿宋_GB2312" w:hAnsi="仿宋_GB2312" w:eastAsia="仿宋_GB2312" w:cs="仿宋_GB2312"/>
          <w:sz w:val="32"/>
          <w:szCs w:val="32"/>
        </w:rPr>
        <w:t>款</w:t>
      </w:r>
      <w:r>
        <w:t>）</w:t>
      </w:r>
      <w:r>
        <w:rPr>
          <w:rFonts w:hint="eastAsia" w:ascii="仿宋_GB2312" w:hAnsi="仿宋_GB2312" w:eastAsia="仿宋_GB2312" w:cs="仿宋_GB2312"/>
          <w:sz w:val="32"/>
          <w:szCs w:val="32"/>
        </w:rPr>
        <w:t>行政运行</w:t>
      </w:r>
      <w:r>
        <w:t>（</w:t>
      </w:r>
      <w:r>
        <w:rPr>
          <w:rFonts w:hint="eastAsia" w:ascii="仿宋_GB2312" w:hAnsi="仿宋_GB2312" w:eastAsia="仿宋_GB2312" w:cs="仿宋_GB2312"/>
          <w:sz w:val="32"/>
          <w:szCs w:val="32"/>
        </w:rPr>
        <w:t>项</w:t>
      </w:r>
      <w:r>
        <w:t>）</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反映行政单位</w:t>
      </w:r>
      <w:r>
        <w:t>（</w:t>
      </w:r>
      <w:r>
        <w:rPr>
          <w:rFonts w:hint="eastAsia" w:ascii="仿宋_GB2312" w:hAnsi="仿宋_GB2312" w:eastAsia="仿宋_GB2312" w:cs="仿宋_GB2312"/>
          <w:sz w:val="32"/>
          <w:szCs w:val="32"/>
        </w:rPr>
        <w:t>包括实行公务员管理的事业单位</w:t>
      </w:r>
      <w:r>
        <w:t>）</w:t>
      </w:r>
      <w:r>
        <w:rPr>
          <w:rFonts w:hint="eastAsia" w:ascii="仿宋_GB2312" w:hAnsi="仿宋_GB2312" w:eastAsia="仿宋_GB2312" w:cs="仿宋_GB2312"/>
          <w:sz w:val="32"/>
          <w:szCs w:val="32"/>
        </w:rPr>
        <w:t>的基本支出。</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14.社会保障和就业支出</w:t>
      </w:r>
      <w:r>
        <w:t>（</w:t>
      </w:r>
      <w:r>
        <w:rPr>
          <w:rFonts w:hint="eastAsia" w:ascii="仿宋_GB2312" w:hAnsi="仿宋_GB2312" w:eastAsia="仿宋_GB2312" w:cs="仿宋_GB2312"/>
          <w:sz w:val="32"/>
          <w:szCs w:val="32"/>
        </w:rPr>
        <w:t>类</w:t>
      </w:r>
      <w:r>
        <w:t>）</w:t>
      </w:r>
      <w:r>
        <w:rPr>
          <w:rFonts w:hint="eastAsia" w:ascii="仿宋_GB2312" w:hAnsi="仿宋_GB2312" w:eastAsia="仿宋_GB2312" w:cs="仿宋_GB2312"/>
          <w:sz w:val="32"/>
          <w:szCs w:val="32"/>
        </w:rPr>
        <w:t>行政事业单位离退休</w:t>
      </w:r>
      <w:r>
        <w:t>（</w:t>
      </w:r>
      <w:r>
        <w:rPr>
          <w:rFonts w:hint="eastAsia" w:ascii="仿宋_GB2312" w:hAnsi="仿宋_GB2312" w:eastAsia="仿宋_GB2312" w:cs="仿宋_GB2312"/>
          <w:sz w:val="32"/>
          <w:szCs w:val="32"/>
        </w:rPr>
        <w:t>款）机关事业单位基本养老保险缴费支出</w:t>
      </w:r>
      <w:r>
        <w:t>（</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反映机关事业单位基本养老保险缴费支出。</w:t>
      </w:r>
    </w:p>
    <w:p>
      <w:pPr>
        <w:ind w:firstLine="640" w:firstLineChars="200"/>
        <w:textAlignment w:val="baseline"/>
        <w:rPr>
          <w:rFonts w:ascii="仿宋_GB2312" w:eastAsia="仿宋_GB2312"/>
          <w:color w:val="000000"/>
          <w:sz w:val="32"/>
          <w:szCs w:val="32"/>
        </w:rPr>
      </w:pPr>
      <w:r>
        <w:rPr>
          <w:rFonts w:hint="eastAsia" w:ascii="仿宋_GB2312" w:eastAsia="仿宋_GB2312"/>
          <w:color w:val="000000"/>
          <w:sz w:val="32"/>
          <w:szCs w:val="32"/>
        </w:rPr>
        <w:t>15</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textAlignment w:val="baseline"/>
        <w:rPr>
          <w:rFonts w:ascii="仿宋_GB2312" w:eastAsia="仿宋_GB2312"/>
          <w:color w:val="000000"/>
          <w:sz w:val="32"/>
          <w:szCs w:val="32"/>
        </w:rPr>
      </w:pPr>
      <w:r>
        <w:rPr>
          <w:rFonts w:hint="eastAsia" w:ascii="仿宋_GB2312" w:eastAsia="仿宋_GB2312"/>
          <w:color w:val="000000"/>
          <w:sz w:val="32"/>
          <w:szCs w:val="32"/>
        </w:rPr>
        <w:t>16</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ind w:firstLine="640" w:firstLineChars="200"/>
        <w:textAlignment w:val="baseline"/>
        <w:rPr>
          <w:rFonts w:ascii="仿宋_GB2312" w:eastAsia="仿宋_GB2312"/>
          <w:color w:val="000000"/>
          <w:sz w:val="32"/>
          <w:szCs w:val="32"/>
        </w:rPr>
      </w:pPr>
      <w:r>
        <w:rPr>
          <w:rFonts w:hint="eastAsia" w:ascii="仿宋_GB2312" w:eastAsia="仿宋_GB2312"/>
          <w:color w:val="000000"/>
          <w:sz w:val="32"/>
          <w:szCs w:val="32"/>
        </w:rPr>
        <w:t>17</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9"/>
        <w:spacing w:line="560" w:lineRule="exact"/>
        <w:ind w:firstLine="640" w:firstLineChars="200"/>
        <w:jc w:val="both"/>
        <w:textAlignment w:val="baseline"/>
        <w:rPr>
          <w:rFonts w:ascii="仿宋_GB2312" w:eastAsia="仿宋_GB2312"/>
          <w:sz w:val="32"/>
          <w:szCs w:val="32"/>
        </w:rPr>
      </w:pPr>
      <w:r>
        <w:rPr>
          <w:rFonts w:hint="eastAsia" w:ascii="仿宋_GB2312" w:eastAsia="仿宋_GB2312"/>
          <w:sz w:val="32"/>
          <w:szCs w:val="32"/>
        </w:rPr>
        <w:t>18</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9"/>
        <w:spacing w:line="560" w:lineRule="exact"/>
        <w:ind w:firstLine="640" w:firstLineChars="200"/>
        <w:jc w:val="both"/>
        <w:textAlignment w:val="baseline"/>
        <w:rPr>
          <w:rFonts w:ascii="仿宋_GB2312" w:eastAsia="仿宋_GB2312"/>
          <w:sz w:val="32"/>
          <w:szCs w:val="32"/>
        </w:rPr>
      </w:pPr>
      <w:r>
        <w:rPr>
          <w:rFonts w:hint="eastAsia" w:ascii="仿宋_GB2312" w:eastAsia="仿宋_GB2312"/>
          <w:sz w:val="32"/>
          <w:szCs w:val="32"/>
        </w:rPr>
        <w:t>19</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w:t>
      </w:r>
      <w:r>
        <w:rPr>
          <w:rFonts w:hint="eastAsia" w:ascii="仿宋_GB2312" w:eastAsia="仿宋_GB2312"/>
          <w:sz w:val="32"/>
          <w:szCs w:val="32"/>
          <w:u w:val="none" w:color="000000"/>
        </w:rPr>
        <w:t>的各</w:t>
      </w:r>
      <w:r>
        <w:rPr>
          <w:rFonts w:hint="eastAsia" w:ascii="仿宋_GB2312" w:eastAsia="仿宋_GB2312"/>
          <w:sz w:val="32"/>
          <w:szCs w:val="32"/>
        </w:rPr>
        <w:t>项资金，包括办公</w:t>
      </w:r>
      <w:r>
        <w:rPr>
          <w:rFonts w:hint="eastAsia" w:ascii="仿宋_GB2312" w:eastAsia="仿宋_GB2312"/>
          <w:sz w:val="32"/>
          <w:szCs w:val="32"/>
          <w:lang w:val="en-US" w:eastAsia="zh-CN"/>
        </w:rPr>
        <w:t>费</w:t>
      </w:r>
      <w:r>
        <w:rPr>
          <w:rFonts w:hint="eastAsia" w:ascii="仿宋_GB2312" w:eastAsia="仿宋_GB2312"/>
          <w:sz w:val="32"/>
          <w:szCs w:val="32"/>
        </w:rPr>
        <w:t>及印刷费、邮电费、差旅费、会议费、福利费、日常维修费、专用材料及一般设备购置费、办公用房水电费、办公用房取暖费、办公用房物业管理费、公务用车运行维护费以及其他费用。</w:t>
      </w:r>
    </w:p>
    <w:p>
      <w:pPr>
        <w:pStyle w:val="29"/>
        <w:spacing w:line="560" w:lineRule="exact"/>
        <w:rPr>
          <w:rFonts w:ascii="仿宋_GB2312" w:eastAsia="仿宋_GB2312" w:cs="黑体"/>
          <w:color w:val="auto"/>
          <w:sz w:val="32"/>
          <w:szCs w:val="32"/>
        </w:rPr>
      </w:pPr>
    </w:p>
    <w:p>
      <w:pPr>
        <w:spacing w:line="600" w:lineRule="exact"/>
        <w:jc w:val="center"/>
        <w:outlineLvl w:val="0"/>
        <w:rPr>
          <w:rFonts w:ascii="黑体" w:hAnsi="黑体" w:eastAsia="黑体"/>
          <w:sz w:val="44"/>
          <w:szCs w:val="44"/>
        </w:rPr>
      </w:pPr>
      <w:bookmarkStart w:id="80" w:name="_Toc5816"/>
      <w:bookmarkStart w:id="81" w:name="_Toc15396614"/>
      <w:bookmarkStart w:id="82" w:name="_Toc15377226"/>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Style w:val="31"/>
          <w:rFonts w:ascii="黑体" w:hAnsi="黑体" w:eastAsia="黑体"/>
          <w:b w:val="0"/>
        </w:rPr>
      </w:pPr>
      <w:r>
        <w:rPr>
          <w:rFonts w:hint="eastAsia" w:ascii="黑体" w:hAnsi="黑体" w:eastAsia="黑体"/>
          <w:sz w:val="44"/>
          <w:szCs w:val="44"/>
        </w:rPr>
        <w:t>第</w:t>
      </w:r>
      <w:r>
        <w:rPr>
          <w:rStyle w:val="31"/>
          <w:rFonts w:hint="eastAsia" w:ascii="黑体" w:hAnsi="黑体" w:eastAsia="黑体"/>
          <w:b w:val="0"/>
        </w:rPr>
        <w:t>四部分附件</w:t>
      </w:r>
      <w:bookmarkEnd w:id="80"/>
      <w:bookmarkEnd w:id="81"/>
    </w:p>
    <w:p>
      <w:pPr>
        <w:spacing w:line="572" w:lineRule="exact"/>
        <w:jc w:val="left"/>
        <w:outlineLvl w:val="0"/>
        <w:rPr>
          <w:rFonts w:ascii="方正小标宋简体" w:hAnsi="方正小标宋简体" w:eastAsia="方正小标宋简体" w:cs="方正小标宋简体"/>
          <w:sz w:val="44"/>
          <w:szCs w:val="44"/>
        </w:rPr>
      </w:pPr>
      <w:bookmarkStart w:id="83" w:name="_Toc29887"/>
      <w:r>
        <w:rPr>
          <w:rFonts w:hint="eastAsia" w:ascii="黑体" w:hAnsi="黑体" w:eastAsia="黑体" w:cs="黑体"/>
          <w:sz w:val="32"/>
          <w:szCs w:val="32"/>
        </w:rPr>
        <w:t>附件</w:t>
      </w:r>
      <w:bookmarkEnd w:id="83"/>
    </w:p>
    <w:p>
      <w:pPr>
        <w:pStyle w:val="42"/>
        <w:spacing w:line="560" w:lineRule="exact"/>
        <w:jc w:val="center"/>
        <w:rPr>
          <w:rFonts w:ascii="方正小标宋简体" w:hAnsi="方正小标宋简体" w:eastAsia="方正小标宋简体" w:cs="方正小标宋简体"/>
          <w:b/>
          <w:color w:val="auto"/>
          <w:sz w:val="44"/>
          <w:szCs w:val="44"/>
        </w:rPr>
      </w:pPr>
      <w:r>
        <w:rPr>
          <w:rFonts w:hint="eastAsia" w:ascii="方正小标宋简体" w:hAnsi="方正小标宋简体" w:eastAsia="方正小标宋简体" w:cs="方正小标宋简体"/>
          <w:b/>
          <w:color w:val="auto"/>
          <w:sz w:val="44"/>
          <w:szCs w:val="44"/>
        </w:rPr>
        <w:t>通江县商务局</w:t>
      </w:r>
    </w:p>
    <w:p>
      <w:pPr>
        <w:pStyle w:val="42"/>
        <w:spacing w:line="560" w:lineRule="exact"/>
        <w:jc w:val="center"/>
        <w:rPr>
          <w:rFonts w:ascii="方正小标宋简体" w:hAnsi="方正小标宋简体" w:eastAsia="方正小标宋简体" w:cs="方正小标宋简体"/>
          <w:b/>
          <w:color w:val="auto"/>
          <w:sz w:val="44"/>
          <w:szCs w:val="44"/>
        </w:rPr>
      </w:pPr>
      <w:r>
        <w:rPr>
          <w:rFonts w:hint="eastAsia" w:ascii="方正小标宋简体" w:hAnsi="方正小标宋简体" w:eastAsia="方正小标宋简体" w:cs="方正小标宋简体"/>
          <w:b/>
          <w:color w:val="auto"/>
          <w:sz w:val="44"/>
          <w:szCs w:val="44"/>
        </w:rPr>
        <w:t>2021年度预算整体支出绩效自评报告</w:t>
      </w:r>
    </w:p>
    <w:p>
      <w:pPr>
        <w:adjustRightInd w:val="0"/>
        <w:snapToGrid w:val="0"/>
        <w:spacing w:line="560" w:lineRule="exact"/>
        <w:rPr>
          <w:rFonts w:ascii="仿宋_GB2312" w:hAnsi="仿宋_GB2312" w:eastAsia="仿宋_GB2312" w:cs="仿宋_GB2312"/>
          <w:sz w:val="32"/>
          <w:szCs w:val="32"/>
        </w:rPr>
      </w:pP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一、总体概况</w:t>
      </w:r>
    </w:p>
    <w:p>
      <w:pPr>
        <w:adjustRightInd w:val="0"/>
        <w:snapToGrid w:val="0"/>
        <w:spacing w:line="560" w:lineRule="exact"/>
        <w:ind w:firstLine="643"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rPr>
        <w:t>（一）</w:t>
      </w:r>
      <w:r>
        <w:rPr>
          <w:rFonts w:hint="eastAsia" w:ascii="仿宋_GB2312" w:hAnsi="仿宋_GB2312" w:eastAsia="仿宋_GB2312" w:cs="仿宋_GB2312"/>
          <w:b/>
          <w:bCs/>
          <w:sz w:val="32"/>
          <w:szCs w:val="32"/>
          <w:shd w:val="clear" w:color="auto" w:fill="FFFFFF"/>
        </w:rPr>
        <w:t>单位基本情况</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通江县商务局位于通江县石牛嘴新区红峰大厦17楼，</w:t>
      </w:r>
      <w:r>
        <w:rPr>
          <w:rFonts w:hint="eastAsia" w:ascii="仿宋_GB2312" w:hAnsi="仿宋_GB2312" w:eastAsia="仿宋_GB2312" w:cs="仿宋_GB2312"/>
          <w:sz w:val="32"/>
          <w:szCs w:val="32"/>
        </w:rPr>
        <w:t>设6个内设机构</w:t>
      </w:r>
      <w:r>
        <w:t>：</w:t>
      </w:r>
      <w:r>
        <w:rPr>
          <w:rFonts w:hint="eastAsia" w:ascii="仿宋_GB2312" w:hAnsi="仿宋_GB2312" w:eastAsia="仿宋_GB2312" w:cs="仿宋_GB2312"/>
          <w:sz w:val="32"/>
          <w:szCs w:val="32"/>
        </w:rPr>
        <w:t>办公室、财务股、市建股、市运股、外贸股、电商办。现有2个所属单位：商务执法大队（参公管理单位）、通江县商务信息中心（事业单位）。</w:t>
      </w:r>
      <w:r>
        <w:rPr>
          <w:rFonts w:hint="eastAsia" w:ascii="仿宋_GB2312" w:hAnsi="仿宋_GB2312" w:eastAsia="仿宋_GB2312" w:cs="仿宋_GB2312"/>
          <w:kern w:val="0"/>
          <w:sz w:val="32"/>
          <w:szCs w:val="32"/>
        </w:rPr>
        <w:t>总编制人数为25人，其中：</w:t>
      </w:r>
      <w:r>
        <w:rPr>
          <w:rFonts w:hint="eastAsia" w:ascii="仿宋_GB2312" w:hAnsi="仿宋_GB2312" w:eastAsia="仿宋_GB2312" w:cs="仿宋_GB2312"/>
          <w:sz w:val="32"/>
          <w:szCs w:val="32"/>
        </w:rPr>
        <w:t>行政编制11人，参公管理编制5人，事业编制9人。</w:t>
      </w:r>
    </w:p>
    <w:p>
      <w:pPr>
        <w:adjustRightInd w:val="0"/>
        <w:snapToGrid w:val="0"/>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（二）预算编制和执行情况</w:t>
      </w:r>
    </w:p>
    <w:p>
      <w:pPr>
        <w:spacing w:line="560" w:lineRule="exact"/>
        <w:ind w:firstLine="640" w:firstLineChars="200"/>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我局2021年收入为828.8万元。2020年支出828.8万元，年末结转和结余0万元。其中：工资和福利支出261.93万元；商品和服务支出47.97万元；对个人和家庭的补助2.81万元；对企业补助516.1万元。</w:t>
      </w:r>
    </w:p>
    <w:p>
      <w:pPr>
        <w:spacing w:line="560" w:lineRule="exact"/>
        <w:ind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w:t>
      </w:r>
      <w:r>
        <w:t>）</w:t>
      </w:r>
      <w:r>
        <w:rPr>
          <w:rFonts w:hint="eastAsia" w:ascii="楷体_GB2312" w:hAnsi="楷体_GB2312" w:eastAsia="楷体_GB2312" w:cs="楷体_GB2312"/>
          <w:b/>
          <w:bCs/>
          <w:sz w:val="32"/>
          <w:szCs w:val="32"/>
        </w:rPr>
        <w:t>决策科学合理性</w:t>
      </w:r>
    </w:p>
    <w:p>
      <w:pPr>
        <w:spacing w:line="560" w:lineRule="exact"/>
        <w:ind w:firstLine="640" w:firstLineChars="200"/>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2021年我局预算资金均按照财政局统一口径进行预算，资金使用除人员经费由财政统一支付外，其余资金均按照使用途径和预算内容合理使用，三重一大资金由局党组会议决策后方可使用。</w:t>
      </w:r>
    </w:p>
    <w:p>
      <w:pPr>
        <w:spacing w:line="560" w:lineRule="exact"/>
        <w:ind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（四）资金申报及使用情况</w:t>
      </w:r>
    </w:p>
    <w:p>
      <w:pPr>
        <w:spacing w:line="560" w:lineRule="exact"/>
        <w:ind w:firstLine="640" w:firstLineChars="200"/>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我局所使用财政资金，先在财政大平台按程序申报资金使用计划，由财政局对口股室按程序审核、审批后，方可使用。2021年我局实际支出828.8万元，其中：1</w:t>
      </w:r>
      <w:r>
        <w:t>.</w:t>
      </w:r>
      <w:r>
        <w:rPr>
          <w:rFonts w:hint="eastAsia" w:ascii="仿宋_GB2312" w:hAnsi="仿宋_GB2312" w:eastAsia="仿宋_GB2312" w:cs="仿宋_GB2312"/>
          <w:sz w:val="32"/>
          <w:szCs w:val="32"/>
          <w:shd w:val="clear" w:color="auto" w:fill="FFFFFF"/>
        </w:rPr>
        <w:t>2021年度局机关、企业培育、服务业发展、市场拓展及扶贫等人员经费和基本运转支出312.7万元。2、项目支出516.1万元。上述资金均全部及时支付。支付范围及依据</w:t>
      </w:r>
      <w:r>
        <w:rPr>
          <w:rFonts w:hint="eastAsia" w:ascii="仿宋_GB2312" w:hAnsi="仿宋_GB2312" w:eastAsia="仿宋_GB2312" w:cs="仿宋_GB2312"/>
          <w:sz w:val="32"/>
          <w:szCs w:val="32"/>
          <w:shd w:val="clear" w:color="auto" w:fill="FFFFFF"/>
          <w:lang w:val="zh-CN"/>
        </w:rPr>
        <w:t>合规合法，资金支付与预算相符。</w:t>
      </w:r>
    </w:p>
    <w:p>
      <w:pPr>
        <w:spacing w:line="560" w:lineRule="exact"/>
        <w:ind w:firstLine="643" w:firstLineChars="200"/>
        <w:jc w:val="left"/>
        <w:rPr>
          <w:rFonts w:ascii="楷体_GB2312" w:hAnsi="楷体_GB2312" w:eastAsia="楷体_GB2312" w:cs="楷体_GB2312"/>
          <w:b/>
          <w:bCs/>
          <w:sz w:val="32"/>
          <w:szCs w:val="32"/>
          <w:lang w:val="zh-CN"/>
        </w:rPr>
      </w:pPr>
      <w:r>
        <w:rPr>
          <w:rFonts w:hint="eastAsia" w:ascii="楷体_GB2312" w:hAnsi="楷体_GB2312" w:eastAsia="楷体_GB2312" w:cs="楷体_GB2312"/>
          <w:b/>
          <w:bCs/>
          <w:sz w:val="32"/>
          <w:szCs w:val="32"/>
          <w:lang w:val="zh-CN"/>
        </w:rPr>
        <w:t>（五）指标完成情况及自评结果</w:t>
      </w:r>
    </w:p>
    <w:p>
      <w:pPr>
        <w:spacing w:line="560" w:lineRule="exact"/>
        <w:ind w:firstLine="640" w:firstLineChars="200"/>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2021年度基本支出指标已如期完成，项目指标完成情况：“西洽会”“西博会”专项经费3万元；“三大活动”专项经费17万元；“三上企业</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统计专项经费48万元；服务业发展专项经费8万元。均已完成。对于2021年度预算绩效自评结果为：较好。</w:t>
      </w:r>
    </w:p>
    <w:p>
      <w:pPr>
        <w:pStyle w:val="3"/>
        <w:spacing w:before="93" w:line="560" w:lineRule="exact"/>
        <w:ind w:left="720"/>
        <w:rPr>
          <w:rFonts w:ascii="黑体" w:hAnsi="黑体" w:eastAsia="黑体" w:cs="黑体"/>
          <w:b/>
          <w:bCs/>
          <w:sz w:val="32"/>
          <w:szCs w:val="32"/>
        </w:rPr>
      </w:pPr>
      <w:r>
        <w:rPr>
          <w:rFonts w:hint="eastAsia" w:ascii="黑体" w:hAnsi="黑体" w:eastAsia="黑体" w:cs="黑体"/>
          <w:b/>
          <w:bCs/>
          <w:sz w:val="32"/>
          <w:szCs w:val="32"/>
        </w:rPr>
        <w:t>二、绩效目标完成和实现的效益</w:t>
      </w:r>
    </w:p>
    <w:p>
      <w:pPr>
        <w:spacing w:line="560" w:lineRule="exact"/>
        <w:ind w:firstLine="643" w:firstLineChars="200"/>
        <w:rPr>
          <w:rFonts w:eastAsia="仿宋_GB2312"/>
          <w:sz w:val="32"/>
          <w:szCs w:val="32"/>
        </w:rPr>
      </w:pPr>
      <w:r>
        <w:rPr>
          <w:rFonts w:hint="eastAsia" w:ascii="楷体_GB2312" w:eastAsia="楷体_GB2312"/>
          <w:b/>
          <w:color w:val="000000"/>
          <w:kern w:val="0"/>
          <w:sz w:val="32"/>
          <w:szCs w:val="32"/>
          <w:shd w:val="clear" w:color="auto" w:fill="FFFFFF"/>
        </w:rPr>
        <w:t>1.抓企业培育，做大经济总量。</w:t>
      </w:r>
      <w:r>
        <w:rPr>
          <w:rFonts w:hint="eastAsia" w:ascii="仿宋_GB2312" w:hAnsi="仿宋_GB2312" w:eastAsia="仿宋_GB2312" w:cs="仿宋_GB2312"/>
          <w:snapToGrid w:val="0"/>
          <w:kern w:val="0"/>
          <w:sz w:val="32"/>
          <w:szCs w:val="32"/>
        </w:rPr>
        <w:t>制定限上规上企业培育实施方案，突出解决好个转企、企减税、账不实等难题，凝聚部门、乡镇合力，</w:t>
      </w:r>
      <w:r>
        <w:rPr>
          <w:rFonts w:hint="eastAsia" w:ascii="仿宋_GB2312" w:hAnsi="仿宋_GB2312" w:eastAsia="仿宋_GB2312" w:cs="仿宋_GB2312"/>
          <w:snapToGrid w:val="0"/>
          <w:kern w:val="0"/>
          <w:sz w:val="32"/>
          <w:szCs w:val="32"/>
          <w:u w:val="none" w:color="000000"/>
        </w:rPr>
        <w:t>集中</w:t>
      </w:r>
      <w:r>
        <w:rPr>
          <w:rFonts w:hint="eastAsia" w:ascii="仿宋_GB2312" w:hAnsi="仿宋_GB2312" w:eastAsia="仿宋_GB2312" w:cs="仿宋_GB2312"/>
          <w:snapToGrid w:val="0"/>
          <w:kern w:val="0"/>
          <w:sz w:val="32"/>
          <w:szCs w:val="32"/>
        </w:rPr>
        <w:t>攻关突破，</w:t>
      </w:r>
      <w:r>
        <w:rPr>
          <w:rFonts w:hint="eastAsia" w:ascii="仿宋_GB2312" w:hAnsi="仿宋_GB2312" w:eastAsia="仿宋_GB2312" w:cs="仿宋_GB2312"/>
          <w:sz w:val="32"/>
          <w:szCs w:val="32"/>
        </w:rPr>
        <w:t>申报</w:t>
      </w:r>
      <w:r>
        <w:rPr>
          <w:rFonts w:hint="eastAsia" w:ascii="仿宋_GB2312" w:hAnsi="仿宋_GB2312" w:eastAsia="仿宋_GB2312" w:cs="仿宋_GB2312"/>
          <w:snapToGrid w:val="0"/>
          <w:kern w:val="0"/>
          <w:sz w:val="32"/>
          <w:szCs w:val="32"/>
        </w:rPr>
        <w:t>入库</w:t>
      </w:r>
      <w:r>
        <w:rPr>
          <w:rFonts w:hint="eastAsia" w:ascii="仿宋_GB2312" w:hAnsi="仿宋_GB2312" w:eastAsia="仿宋_GB2312" w:cs="仿宋_GB2312"/>
          <w:snapToGrid w:val="0"/>
          <w:kern w:val="0"/>
          <w:sz w:val="32"/>
          <w:szCs w:val="32"/>
          <w:lang w:val="en-US" w:eastAsia="zh-CN"/>
        </w:rPr>
        <w:t>企业</w:t>
      </w:r>
      <w:r>
        <w:rPr>
          <w:rFonts w:hint="eastAsia" w:ascii="仿宋_GB2312" w:hAnsi="仿宋_GB2312" w:eastAsia="仿宋_GB2312" w:cs="仿宋_GB2312"/>
          <w:sz w:val="32"/>
          <w:szCs w:val="32"/>
        </w:rPr>
        <w:t>10家。</w:t>
      </w:r>
    </w:p>
    <w:p>
      <w:pPr>
        <w:spacing w:line="560" w:lineRule="exact"/>
        <w:ind w:firstLine="643" w:firstLineChars="200"/>
        <w:rPr>
          <w:rFonts w:eastAsia="仿宋_GB2312"/>
          <w:color w:val="000000"/>
          <w:kern w:val="0"/>
          <w:sz w:val="32"/>
          <w:szCs w:val="32"/>
          <w:shd w:val="clear" w:color="auto" w:fill="FFFFFF"/>
        </w:rPr>
      </w:pPr>
      <w:r>
        <w:rPr>
          <w:rFonts w:hint="eastAsia" w:ascii="楷体_GB2312" w:hAnsi="楷体_GB2312" w:eastAsia="楷体_GB2312" w:cs="楷体_GB2312"/>
          <w:b/>
          <w:bCs/>
          <w:sz w:val="32"/>
          <w:szCs w:val="32"/>
        </w:rPr>
        <w:t>2.抓刺激消费，</w:t>
      </w:r>
      <w:r>
        <w:rPr>
          <w:rFonts w:hint="eastAsia" w:ascii="楷体_GB2312" w:eastAsia="楷体_GB2312"/>
          <w:b/>
          <w:color w:val="000000"/>
          <w:kern w:val="0"/>
          <w:sz w:val="32"/>
          <w:szCs w:val="32"/>
          <w:shd w:val="clear" w:color="auto" w:fill="FFFFFF"/>
        </w:rPr>
        <w:t>激发市场活力。</w:t>
      </w:r>
      <w:r>
        <w:rPr>
          <w:rFonts w:hint="eastAsia" w:ascii="仿宋_GB2312" w:hAnsi="仿宋_GB2312" w:eastAsia="仿宋_GB2312" w:cs="仿宋_GB2312"/>
          <w:snapToGrid w:val="0"/>
          <w:kern w:val="0"/>
          <w:sz w:val="32"/>
          <w:szCs w:val="32"/>
        </w:rPr>
        <w:t>鼓励生活性服务企业向线上发展，积极引导线上消费，开展同城配送及村货直供业务，发展无接触式消费，提倡线上下单、配送到家服务。积极引导企业开展促销、打折等多种以惠民为导向的展示展销活动，组织企业参加市场拓展“三大活动”及贫困地区农特产品展示展销活动，刺激群众消费，激活市场活力。</w:t>
      </w:r>
    </w:p>
    <w:p>
      <w:pPr>
        <w:spacing w:line="560" w:lineRule="exact"/>
        <w:ind w:firstLine="643" w:firstLineChars="200"/>
        <w:rPr>
          <w:rFonts w:eastAsia="仿宋_GB2312"/>
          <w:color w:val="000000"/>
          <w:kern w:val="0"/>
          <w:sz w:val="32"/>
          <w:szCs w:val="32"/>
          <w:shd w:val="clear" w:color="auto" w:fill="FFFFFF"/>
        </w:rPr>
      </w:pPr>
      <w:r>
        <w:rPr>
          <w:rFonts w:hint="eastAsia" w:ascii="楷体_GB2312" w:eastAsia="楷体_GB2312"/>
          <w:b/>
          <w:color w:val="000000"/>
          <w:kern w:val="0"/>
          <w:sz w:val="32"/>
          <w:szCs w:val="32"/>
          <w:shd w:val="clear" w:color="auto" w:fill="FFFFFF"/>
        </w:rPr>
        <w:t>3.抓</w:t>
      </w:r>
      <w:r>
        <w:rPr>
          <w:rFonts w:ascii="楷体_GB2312" w:eastAsia="楷体_GB2312"/>
          <w:b/>
          <w:color w:val="000000"/>
          <w:kern w:val="0"/>
          <w:sz w:val="32"/>
          <w:szCs w:val="32"/>
          <w:shd w:val="clear" w:color="auto" w:fill="FFFFFF"/>
        </w:rPr>
        <w:t>服务业发展</w:t>
      </w:r>
      <w:r>
        <w:rPr>
          <w:rFonts w:hint="eastAsia" w:ascii="楷体_GB2312" w:eastAsia="楷体_GB2312"/>
          <w:b/>
          <w:color w:val="000000"/>
          <w:kern w:val="0"/>
          <w:sz w:val="32"/>
          <w:szCs w:val="32"/>
          <w:shd w:val="clear" w:color="auto" w:fill="FFFFFF"/>
        </w:rPr>
        <w:t>，做大做强服务业。</w:t>
      </w:r>
      <w:r>
        <w:rPr>
          <w:rFonts w:hint="eastAsia" w:ascii="仿宋_GB2312" w:hAnsi="仿宋_GB2312" w:eastAsia="仿宋_GB2312" w:cs="仿宋_GB2312"/>
          <w:snapToGrid w:val="0"/>
          <w:kern w:val="0"/>
          <w:sz w:val="32"/>
          <w:szCs w:val="32"/>
        </w:rPr>
        <w:t>加快构建“4+6”服务业产业体系，以东西部扶贫农村电商服务项目为抓手，推进电商进农村，盘活资源，挖掘产品，积极推动农产品上行，大力推广O2O村民直卖模式。鼓励引导商贸服务企业不断创新经营理念，完善服务功能，拓展服务领域，健全服务体系，延伸服务产业链，满足社会多元化需求。推动商贸服务行业从生存型、传统型、物质型向发展型、现代型、服务型转变。</w:t>
      </w:r>
    </w:p>
    <w:p>
      <w:pPr>
        <w:adjustRightInd w:val="0"/>
        <w:snapToGrid w:val="0"/>
        <w:spacing w:line="56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三、存在的主要问题和改进工作的建议</w:t>
      </w:r>
    </w:p>
    <w:p>
      <w:pPr>
        <w:adjustRightInd w:val="0"/>
        <w:snapToGrid w:val="0"/>
        <w:spacing w:line="560" w:lineRule="exact"/>
        <w:ind w:firstLine="643" w:firstLineChars="200"/>
        <w:rPr>
          <w:rFonts w:ascii="楷体_GB2312" w:hAnsi="楷体_GB2312" w:eastAsia="楷体_GB2312" w:cs="楷体_GB2312"/>
          <w:b/>
          <w:sz w:val="32"/>
          <w:szCs w:val="32"/>
          <w:lang w:val="zh-CN"/>
        </w:rPr>
      </w:pPr>
      <w:r>
        <w:rPr>
          <w:rFonts w:hint="eastAsia" w:ascii="楷体_GB2312" w:hAnsi="楷体_GB2312" w:eastAsia="楷体_GB2312" w:cs="楷体_GB2312"/>
          <w:b/>
          <w:sz w:val="32"/>
          <w:szCs w:val="32"/>
          <w:lang w:val="zh-CN"/>
        </w:rPr>
        <w:t>（一）存在的问题</w:t>
      </w:r>
    </w:p>
    <w:p>
      <w:pPr>
        <w:spacing w:line="56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尽管本单位的部门整体绩效评价工作取得了一定成绩，但也存在一些问题和不足，需要进一步认真研究解决。在部门整体支出的资金安排和使用上仍有不可预见性，在科学设置预算绩效指标上还需进一步加强，使之更加贴近实际工作需求。比如说在预算执行中，有时难免会出现一些意料不到的状况，年中时因人员的增加又产生了新的费用，导致年底需要调剂或者追加经费。预算执行未达标，年度预算执行情况超过年初预算。</w:t>
      </w:r>
    </w:p>
    <w:p>
      <w:pPr>
        <w:adjustRightInd w:val="0"/>
        <w:snapToGrid w:val="0"/>
        <w:spacing w:line="560" w:lineRule="exact"/>
        <w:ind w:firstLine="643" w:firstLineChars="200"/>
        <w:rPr>
          <w:rFonts w:ascii="楷体_GB2312" w:hAnsi="楷体_GB2312" w:eastAsia="楷体_GB2312" w:cs="楷体_GB2312"/>
          <w:b/>
          <w:sz w:val="32"/>
          <w:szCs w:val="32"/>
          <w:lang w:val="zh-CN"/>
        </w:rPr>
      </w:pPr>
      <w:r>
        <w:rPr>
          <w:rFonts w:hint="eastAsia" w:ascii="楷体_GB2312" w:hAnsi="楷体_GB2312" w:eastAsia="楷体_GB2312" w:cs="楷体_GB2312"/>
          <w:b/>
          <w:sz w:val="32"/>
          <w:szCs w:val="32"/>
          <w:lang w:val="zh-CN"/>
        </w:rPr>
        <w:t>（二）改进措施</w:t>
      </w:r>
    </w:p>
    <w:p>
      <w:pPr>
        <w:pStyle w:val="6"/>
        <w:shd w:val="clear" w:color="auto" w:fill="FFFFFF"/>
        <w:spacing w:before="0" w:beforeAutospacing="0" w:after="0" w:afterAutospacing="0" w:line="56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1</w:t>
      </w:r>
      <w:r>
        <w:rPr>
          <w:rFonts w:hint="eastAsia" w:ascii="仿宋_GB2312" w:hAnsi="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rPr>
        <w:t>科学合理编制预算，并严格执行预算。要加强预算编制的前瞻性，按照《中华人民共和国预算法》及其实施条例的相关规定，综合上一年的预算执行情况和本年度收支预测科学、合理地编制本年度预算</w:t>
      </w:r>
      <w:r>
        <w:rPr>
          <w:rFonts w:hint="eastAsia" w:ascii="仿宋_GB2312" w:hAnsi="仿宋_GB2312" w:eastAsia="仿宋_GB2312" w:cs="仿宋_GB2312"/>
          <w:color w:val="000000"/>
          <w:sz w:val="32"/>
          <w:szCs w:val="32"/>
          <w:u w:val="none" w:color="000000"/>
          <w:shd w:val="clear" w:color="auto" w:fill="auto"/>
        </w:rPr>
        <w:t>，以</w:t>
      </w:r>
      <w:r>
        <w:rPr>
          <w:rFonts w:hint="eastAsia" w:ascii="仿宋_GB2312" w:hAnsi="仿宋_GB2312" w:eastAsia="仿宋_GB2312" w:cs="仿宋_GB2312"/>
          <w:color w:val="000000"/>
          <w:sz w:val="32"/>
          <w:szCs w:val="32"/>
          <w:shd w:val="clear" w:color="auto" w:fill="FFFFFF"/>
        </w:rPr>
        <w:t>避免预算支出与实际执行</w:t>
      </w:r>
      <w:r>
        <w:rPr>
          <w:rFonts w:hint="eastAsia" w:ascii="仿宋_GB2312" w:hAnsi="仿宋_GB2312" w:eastAsia="仿宋_GB2312" w:cs="仿宋_GB2312"/>
          <w:color w:val="000000"/>
          <w:sz w:val="32"/>
          <w:szCs w:val="32"/>
          <w:shd w:val="clear" w:color="auto" w:fill="FFFFFF"/>
          <w:lang w:val="en-US" w:eastAsia="zh-CN"/>
        </w:rPr>
        <w:t>情况</w:t>
      </w:r>
      <w:r>
        <w:rPr>
          <w:rFonts w:hint="eastAsia" w:ascii="仿宋_GB2312" w:hAnsi="仿宋_GB2312" w:eastAsia="仿宋_GB2312" w:cs="仿宋_GB2312"/>
          <w:color w:val="000000"/>
          <w:sz w:val="32"/>
          <w:szCs w:val="32"/>
          <w:shd w:val="clear" w:color="auto" w:fill="FFFFFF"/>
        </w:rPr>
        <w:t>出现较大偏差的情况。提升预算编制质量，</w:t>
      </w:r>
      <w:r>
        <w:rPr>
          <w:rFonts w:hint="eastAsia" w:ascii="仿宋_GB2312" w:hAnsi="仿宋_GB2312" w:eastAsia="仿宋_GB2312" w:cs="仿宋_GB2312"/>
          <w:color w:val="000000"/>
          <w:sz w:val="32"/>
          <w:szCs w:val="32"/>
          <w:shd w:val="clear" w:color="auto" w:fill="FFFFFF"/>
          <w:lang w:eastAsia="zh-CN"/>
        </w:rPr>
        <w:t>加大</w:t>
      </w:r>
      <w:r>
        <w:rPr>
          <w:rFonts w:hint="eastAsia" w:ascii="仿宋_GB2312" w:hAnsi="仿宋_GB2312" w:eastAsia="仿宋_GB2312" w:cs="仿宋_GB2312"/>
          <w:color w:val="000000"/>
          <w:sz w:val="32"/>
          <w:szCs w:val="32"/>
          <w:shd w:val="clear" w:color="auto" w:fill="FFFFFF"/>
        </w:rPr>
        <w:t>预算执行与控制力度。</w:t>
      </w:r>
    </w:p>
    <w:p>
      <w:pPr>
        <w:pStyle w:val="6"/>
        <w:shd w:val="clear" w:color="auto" w:fill="FFFFFF"/>
        <w:spacing w:before="0" w:beforeAutospacing="0" w:after="0" w:afterAutospacing="0" w:line="560" w:lineRule="exact"/>
        <w:ind w:firstLine="8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2</w:t>
      </w:r>
      <w:r>
        <w:rPr>
          <w:rFonts w:hint="eastAsia" w:ascii="仿宋_GB2312" w:hAnsi="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rPr>
        <w:t>加强财务管理，严格财务审核。在费用报账支付时，按照预算规定的费用项目和用途进行资金使用审核、列报支付、财务核算，杜绝超支现象的发生。</w:t>
      </w:r>
    </w:p>
    <w:p>
      <w:pPr>
        <w:pStyle w:val="6"/>
        <w:shd w:val="clear" w:color="auto" w:fill="FFFFFF"/>
        <w:spacing w:before="0" w:beforeAutospacing="0" w:after="0" w:afterAutospacing="0" w:line="560" w:lineRule="exact"/>
        <w:ind w:firstLine="8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3</w:t>
      </w:r>
      <w:r>
        <w:rPr>
          <w:rFonts w:hint="eastAsia" w:ascii="仿宋_GB2312" w:hAnsi="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rPr>
        <w:t>加强“三公”经费控制管理。严格控制“三公”经费的规模和比例，把关“三公”经费支出的审核、审批，杜绝挪用和挤占其他预算资金行为；进一步细化“三公”经费的管理，合理压缩“三公”经费支出。</w:t>
      </w:r>
    </w:p>
    <w:p>
      <w:pPr>
        <w:pStyle w:val="3"/>
        <w:spacing w:before="93" w:line="560" w:lineRule="exact"/>
        <w:rPr>
          <w:rFonts w:hAnsi="仿宋_GB2312" w:cs="仿宋_GB2312"/>
          <w:sz w:val="32"/>
          <w:szCs w:val="32"/>
        </w:rPr>
      </w:pPr>
    </w:p>
    <w:p>
      <w:pPr>
        <w:pStyle w:val="3"/>
        <w:spacing w:before="93" w:line="560" w:lineRule="exact"/>
        <w:rPr>
          <w:rFonts w:hAnsi="仿宋_GB2312" w:cs="仿宋_GB2312"/>
          <w:sz w:val="32"/>
          <w:szCs w:val="32"/>
        </w:rPr>
      </w:pPr>
    </w:p>
    <w:p>
      <w:pPr>
        <w:pStyle w:val="3"/>
        <w:spacing w:before="93"/>
        <w:rPr>
          <w:rFonts w:hAnsi="宋体" w:cs="宋体"/>
          <w:sz w:val="32"/>
          <w:szCs w:val="32"/>
          <w:shd w:val="clear" w:color="auto" w:fill="FFFFFF"/>
          <w:lang w:val="zh-CN"/>
        </w:rPr>
      </w:pPr>
    </w:p>
    <w:p>
      <w:pPr>
        <w:pStyle w:val="3"/>
        <w:spacing w:before="93"/>
        <w:rPr>
          <w:rFonts w:hAnsi="宋体" w:cs="宋体"/>
          <w:sz w:val="32"/>
          <w:szCs w:val="32"/>
          <w:shd w:val="clear" w:color="auto" w:fill="FFFFFF"/>
          <w:lang w:val="zh-CN"/>
        </w:rPr>
      </w:pPr>
      <w:r>
        <w:rPr>
          <w:rFonts w:hint="eastAsia" w:hAnsi="宋体" w:cs="宋体"/>
          <w:sz w:val="32"/>
          <w:szCs w:val="32"/>
          <w:lang w:val="zh-CN"/>
        </w:rPr>
        <w:object>
          <v:shape id="_x0000_i1025" o:spt="75" type="#_x0000_t75" style="height:547.2pt;width:501pt;" o:ole="t" filled="f" o:preferrelative="t" stroked="f" coordsize="21600,21600">
            <v:path/>
            <v:fill on="f" focussize="0,0"/>
            <v:stroke on="f" joinstyle="miter"/>
            <v:imagedata r:id="rId21" o:title=""/>
            <o:lock v:ext="edit" aspectratio="t"/>
            <w10:wrap type="none"/>
            <w10:anchorlock/>
          </v:shape>
          <o:OLEObject Type="Embed" ProgID="Excel.Sheet.8" ShapeID="_x0000_i1025" DrawAspect="Content" ObjectID="_1468075725" r:id="rId20">
            <o:LockedField>false</o:LockedField>
          </o:OLEObject>
        </w:object>
      </w:r>
    </w:p>
    <w:p>
      <w:pPr>
        <w:pStyle w:val="16"/>
        <w:rPr>
          <w:rFonts w:hAnsi="宋体" w:cs="宋体"/>
          <w:kern w:val="0"/>
          <w:sz w:val="32"/>
          <w:szCs w:val="32"/>
          <w:shd w:val="clear" w:color="auto" w:fill="FFFFFF"/>
          <w:lang w:val="zh-CN"/>
        </w:rPr>
      </w:pPr>
    </w:p>
    <w:p>
      <w:pPr>
        <w:rPr>
          <w:rFonts w:hAnsi="宋体" w:cs="宋体"/>
          <w:kern w:val="0"/>
          <w:sz w:val="32"/>
          <w:szCs w:val="32"/>
          <w:shd w:val="clear" w:color="auto" w:fill="FFFFFF"/>
          <w:lang w:val="zh-CN"/>
        </w:rPr>
      </w:pPr>
    </w:p>
    <w:p>
      <w:pPr>
        <w:pStyle w:val="3"/>
        <w:spacing w:before="93"/>
        <w:rPr>
          <w:lang w:val="zh-CN"/>
        </w:rPr>
      </w:pPr>
    </w:p>
    <w:p>
      <w:pPr>
        <w:pStyle w:val="3"/>
        <w:spacing w:before="93"/>
        <w:rPr>
          <w:lang w:val="zh-CN"/>
        </w:rPr>
      </w:pPr>
      <w:r>
        <w:rPr>
          <w:rFonts w:hint="eastAsia" w:hAnsi="宋体" w:cs="宋体"/>
          <w:sz w:val="32"/>
          <w:szCs w:val="32"/>
          <w:shd w:val="clear" w:color="auto" w:fill="FFFFFF"/>
          <w:lang w:val="zh-CN"/>
        </w:rPr>
        <w:t>附件</w:t>
      </w:r>
    </w:p>
    <w:p>
      <w:pPr>
        <w:pStyle w:val="42"/>
        <w:spacing w:line="560" w:lineRule="exact"/>
        <w:jc w:val="center"/>
        <w:rPr>
          <w:rFonts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通江县商务局</w:t>
      </w:r>
    </w:p>
    <w:p>
      <w:pPr>
        <w:pStyle w:val="42"/>
        <w:spacing w:line="560" w:lineRule="exact"/>
        <w:jc w:val="center"/>
        <w:rPr>
          <w:rFonts w:ascii="方正小标宋简体" w:hAnsi="方正小标宋简体" w:eastAsia="方正小标宋简体" w:cs="方正小标宋简体"/>
          <w:bCs/>
          <w:color w:val="auto"/>
          <w:kern w:val="2"/>
          <w:sz w:val="44"/>
          <w:szCs w:val="44"/>
        </w:rPr>
      </w:pPr>
      <w:r>
        <w:rPr>
          <w:rFonts w:hint="eastAsia" w:ascii="方正小标宋简体" w:hAnsi="方正小标宋简体" w:eastAsia="方正小标宋简体" w:cs="方正小标宋简体"/>
          <w:bCs/>
          <w:color w:val="auto"/>
          <w:sz w:val="44"/>
          <w:szCs w:val="44"/>
        </w:rPr>
        <w:t>项目支出绩效自评报告</w:t>
      </w:r>
    </w:p>
    <w:p>
      <w:pPr>
        <w:spacing w:line="560" w:lineRule="exact"/>
        <w:jc w:val="center"/>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（“三大活动”专项经费）</w:t>
      </w:r>
    </w:p>
    <w:p>
      <w:pPr>
        <w:pStyle w:val="42"/>
        <w:spacing w:line="560" w:lineRule="exact"/>
        <w:jc w:val="center"/>
        <w:rPr>
          <w:rFonts w:ascii="宋体" w:hAnsi="宋体" w:cs="Times New Roman"/>
          <w:color w:val="auto"/>
          <w:kern w:val="2"/>
          <w:sz w:val="32"/>
          <w:szCs w:val="32"/>
        </w:rPr>
      </w:pPr>
    </w:p>
    <w:p>
      <w:pPr>
        <w:pStyle w:val="6"/>
        <w:shd w:val="clear" w:color="auto" w:fill="FFFFFF"/>
        <w:spacing w:before="0" w:beforeAutospacing="0" w:after="0" w:afterAutospacing="0" w:line="560" w:lineRule="exact"/>
        <w:ind w:firstLine="800"/>
        <w:rPr>
          <w:rFonts w:ascii="黑体" w:hAnsi="黑体" w:eastAsia="黑体" w:cs="黑体"/>
          <w:b/>
          <w:bCs/>
          <w:color w:val="000000"/>
          <w:sz w:val="32"/>
          <w:szCs w:val="32"/>
          <w:shd w:val="clear" w:color="auto" w:fill="FFFFFF"/>
          <w:lang w:val="zh-CN"/>
        </w:rPr>
      </w:pPr>
      <w:r>
        <w:rPr>
          <w:rFonts w:hint="eastAsia" w:ascii="黑体" w:hAnsi="黑体" w:eastAsia="黑体" w:cs="黑体"/>
          <w:b/>
          <w:bCs/>
          <w:color w:val="000000"/>
          <w:sz w:val="32"/>
          <w:szCs w:val="32"/>
          <w:shd w:val="clear" w:color="auto" w:fill="FFFFFF"/>
        </w:rPr>
        <w:t>一、</w:t>
      </w:r>
      <w:r>
        <w:rPr>
          <w:rFonts w:hint="eastAsia" w:ascii="黑体" w:hAnsi="黑体" w:eastAsia="黑体" w:cs="黑体"/>
          <w:b/>
          <w:bCs/>
          <w:color w:val="000000"/>
          <w:sz w:val="32"/>
          <w:szCs w:val="32"/>
          <w:shd w:val="clear" w:color="auto" w:fill="FFFFFF"/>
          <w:lang w:val="zh-CN"/>
        </w:rPr>
        <w:t>项目概况</w:t>
      </w:r>
    </w:p>
    <w:p>
      <w:pPr>
        <w:pStyle w:val="6"/>
        <w:shd w:val="clear" w:color="auto" w:fill="FFFFFF"/>
        <w:spacing w:before="0" w:beforeAutospacing="0" w:after="0" w:afterAutospacing="0" w:line="560" w:lineRule="exact"/>
        <w:ind w:firstLine="800"/>
        <w:rPr>
          <w:rFonts w:ascii="仿宋_GB2312" w:hAnsi="仿宋_GB2312" w:eastAsia="仿宋_GB2312" w:cs="仿宋_GB2312"/>
          <w:color w:val="000000"/>
          <w:sz w:val="32"/>
          <w:szCs w:val="32"/>
          <w:shd w:val="clear" w:color="auto" w:fill="FFFFFF"/>
          <w:lang w:val="zh-CN"/>
        </w:rPr>
      </w:pPr>
      <w:r>
        <w:rPr>
          <w:rFonts w:hint="eastAsia" w:ascii="楷体_GB2312" w:hAnsi="楷体_GB2312" w:eastAsia="楷体_GB2312" w:cs="楷体_GB2312"/>
          <w:b/>
          <w:bCs/>
          <w:color w:val="000000"/>
          <w:sz w:val="32"/>
          <w:szCs w:val="32"/>
          <w:shd w:val="clear" w:color="auto" w:fill="FFFFFF"/>
          <w:lang w:val="zh-CN"/>
        </w:rPr>
        <w:t>（一）项目资金申报及批复情况</w:t>
      </w:r>
      <w:r>
        <w:rPr>
          <w:rFonts w:hint="eastAsia" w:ascii="仿宋_GB2312" w:hAnsi="仿宋_GB2312" w:eastAsia="仿宋_GB2312" w:cs="仿宋_GB2312"/>
          <w:color w:val="000000"/>
          <w:sz w:val="32"/>
          <w:szCs w:val="32"/>
          <w:shd w:val="clear" w:color="auto" w:fill="FFFFFF"/>
          <w:lang w:val="zh-CN"/>
        </w:rPr>
        <w:t>。2021年年初预算申报“三大活动”专项经费</w:t>
      </w:r>
      <w:r>
        <w:rPr>
          <w:rFonts w:hint="eastAsia" w:ascii="仿宋_GB2312" w:hAnsi="仿宋_GB2312" w:eastAsia="仿宋_GB2312" w:cs="仿宋_GB2312"/>
          <w:color w:val="000000"/>
          <w:sz w:val="32"/>
          <w:szCs w:val="32"/>
          <w:shd w:val="clear" w:color="auto" w:fill="FFFFFF"/>
        </w:rPr>
        <w:t>17</w:t>
      </w:r>
      <w:r>
        <w:rPr>
          <w:rFonts w:hint="eastAsia" w:ascii="仿宋_GB2312" w:hAnsi="仿宋_GB2312" w:eastAsia="仿宋_GB2312" w:cs="仿宋_GB2312"/>
          <w:color w:val="000000"/>
          <w:sz w:val="32"/>
          <w:szCs w:val="32"/>
          <w:shd w:val="clear" w:color="auto" w:fill="FFFFFF"/>
          <w:lang w:val="zh-CN"/>
        </w:rPr>
        <w:t>万元，县本级财政批复后实际预算</w:t>
      </w:r>
      <w:r>
        <w:rPr>
          <w:rFonts w:hint="eastAsia" w:ascii="仿宋_GB2312" w:hAnsi="仿宋_GB2312" w:eastAsia="仿宋_GB2312" w:cs="仿宋_GB2312"/>
          <w:color w:val="000000"/>
          <w:sz w:val="32"/>
          <w:szCs w:val="32"/>
          <w:shd w:val="clear" w:color="auto" w:fill="FFFFFF"/>
        </w:rPr>
        <w:t>17</w:t>
      </w:r>
      <w:r>
        <w:rPr>
          <w:rFonts w:hint="eastAsia" w:ascii="仿宋_GB2312" w:hAnsi="仿宋_GB2312" w:eastAsia="仿宋_GB2312" w:cs="仿宋_GB2312"/>
          <w:color w:val="000000"/>
          <w:sz w:val="32"/>
          <w:szCs w:val="32"/>
          <w:shd w:val="clear" w:color="auto" w:fill="FFFFFF"/>
          <w:lang w:val="zh-CN"/>
        </w:rPr>
        <w:t>万元，全年无追加。</w:t>
      </w:r>
    </w:p>
    <w:p>
      <w:pPr>
        <w:pStyle w:val="6"/>
        <w:shd w:val="clear" w:color="auto" w:fill="FFFFFF"/>
        <w:spacing w:before="0" w:beforeAutospacing="0" w:after="0" w:afterAutospacing="0" w:line="560" w:lineRule="exact"/>
        <w:ind w:firstLine="800"/>
        <w:rPr>
          <w:rFonts w:ascii="仿宋_GB2312" w:hAnsi="仿宋_GB2312" w:eastAsia="仿宋_GB2312" w:cs="仿宋_GB2312"/>
          <w:color w:val="000000"/>
          <w:sz w:val="32"/>
          <w:szCs w:val="32"/>
          <w:shd w:val="clear" w:color="auto" w:fill="FFFFFF"/>
          <w:lang w:val="zh-CN"/>
        </w:rPr>
      </w:pPr>
      <w:r>
        <w:rPr>
          <w:rFonts w:hint="eastAsia" w:ascii="楷体_GB2312" w:hAnsi="楷体_GB2312" w:eastAsia="楷体_GB2312" w:cs="楷体_GB2312"/>
          <w:b/>
          <w:bCs/>
          <w:color w:val="000000"/>
          <w:sz w:val="32"/>
          <w:szCs w:val="32"/>
          <w:shd w:val="clear" w:color="auto" w:fill="FFFFFF"/>
          <w:lang w:val="zh-CN"/>
        </w:rPr>
        <w:t>（二）项目绩效目标。</w:t>
      </w:r>
      <w:r>
        <w:rPr>
          <w:rFonts w:hint="eastAsia" w:ascii="仿宋_GB2312" w:hAnsi="仿宋_GB2312" w:eastAsia="仿宋_GB2312" w:cs="仿宋_GB2312"/>
          <w:color w:val="000000"/>
          <w:sz w:val="32"/>
          <w:szCs w:val="32"/>
          <w:shd w:val="clear" w:color="auto" w:fill="FFFFFF"/>
          <w:lang w:val="zh-CN"/>
        </w:rPr>
        <w:t>2021年组织县内</w:t>
      </w:r>
      <w:r>
        <w:rPr>
          <w:rFonts w:hint="eastAsia" w:ascii="仿宋_GB2312" w:hAnsi="仿宋_GB2312" w:eastAsia="仿宋_GB2312" w:cs="仿宋_GB2312"/>
          <w:color w:val="000000"/>
          <w:sz w:val="32"/>
          <w:szCs w:val="32"/>
          <w:shd w:val="clear" w:color="auto" w:fill="FFFFFF"/>
        </w:rPr>
        <w:t>12</w:t>
      </w:r>
      <w:r>
        <w:rPr>
          <w:rFonts w:hint="eastAsia" w:ascii="仿宋_GB2312" w:hAnsi="仿宋_GB2312" w:eastAsia="仿宋_GB2312" w:cs="仿宋_GB2312"/>
          <w:color w:val="000000"/>
          <w:sz w:val="32"/>
          <w:szCs w:val="32"/>
          <w:shd w:val="clear" w:color="auto" w:fill="FFFFFF"/>
          <w:lang w:eastAsia="zh-CN"/>
        </w:rPr>
        <w:t>家</w:t>
      </w:r>
      <w:r>
        <w:rPr>
          <w:rFonts w:hint="eastAsia" w:ascii="仿宋_GB2312" w:hAnsi="仿宋_GB2312" w:eastAsia="仿宋_GB2312" w:cs="仿宋_GB2312"/>
          <w:color w:val="000000"/>
          <w:sz w:val="32"/>
          <w:szCs w:val="32"/>
          <w:shd w:val="clear" w:color="auto" w:fill="FFFFFF"/>
          <w:lang w:val="zh-CN"/>
        </w:rPr>
        <w:t>企业参加全省“惠民购物全川行”活动</w:t>
      </w:r>
      <w:r>
        <w:rPr>
          <w:rFonts w:hint="eastAsia" w:ascii="仿宋_GB2312" w:hAnsi="仿宋_GB2312" w:eastAsia="仿宋_GB2312" w:cs="仿宋_GB2312"/>
          <w:color w:val="000000"/>
          <w:sz w:val="32"/>
          <w:szCs w:val="32"/>
          <w:shd w:val="clear" w:color="auto" w:fill="FFFFFF"/>
        </w:rPr>
        <w:t>2</w:t>
      </w:r>
      <w:r>
        <w:rPr>
          <w:rFonts w:hint="eastAsia" w:ascii="仿宋_GB2312" w:hAnsi="仿宋_GB2312" w:eastAsia="仿宋_GB2312" w:cs="仿宋_GB2312"/>
          <w:color w:val="000000"/>
          <w:sz w:val="32"/>
          <w:szCs w:val="32"/>
          <w:shd w:val="clear" w:color="auto" w:fill="FFFFFF"/>
          <w:lang w:val="zh-CN"/>
        </w:rPr>
        <w:t>次；组织县内</w:t>
      </w:r>
      <w:r>
        <w:rPr>
          <w:rFonts w:hint="eastAsia" w:ascii="仿宋_GB2312" w:hAnsi="仿宋_GB2312" w:eastAsia="仿宋_GB2312" w:cs="仿宋_GB2312"/>
          <w:color w:val="000000"/>
          <w:sz w:val="32"/>
          <w:szCs w:val="32"/>
          <w:shd w:val="clear" w:color="auto" w:fill="FFFFFF"/>
        </w:rPr>
        <w:t>20家</w:t>
      </w:r>
      <w:r>
        <w:rPr>
          <w:rFonts w:hint="eastAsia" w:ascii="仿宋_GB2312" w:hAnsi="仿宋_GB2312" w:eastAsia="仿宋_GB2312" w:cs="仿宋_GB2312"/>
          <w:color w:val="000000"/>
          <w:sz w:val="32"/>
          <w:szCs w:val="32"/>
          <w:shd w:val="clear" w:color="auto" w:fill="FFFFFF"/>
          <w:lang w:val="zh-CN"/>
        </w:rPr>
        <w:t>企业参加“川货全国行”参展</w:t>
      </w:r>
      <w:r>
        <w:rPr>
          <w:rFonts w:hint="eastAsia" w:ascii="仿宋_GB2312" w:hAnsi="仿宋_GB2312" w:eastAsia="仿宋_GB2312" w:cs="仿宋_GB2312"/>
          <w:color w:val="000000"/>
          <w:sz w:val="32"/>
          <w:szCs w:val="32"/>
          <w:shd w:val="clear" w:color="auto" w:fill="FFFFFF"/>
        </w:rPr>
        <w:t>1</w:t>
      </w:r>
      <w:r>
        <w:rPr>
          <w:rFonts w:hint="eastAsia" w:ascii="仿宋_GB2312" w:hAnsi="仿宋_GB2312" w:eastAsia="仿宋_GB2312" w:cs="仿宋_GB2312"/>
          <w:color w:val="000000"/>
          <w:sz w:val="32"/>
          <w:szCs w:val="32"/>
          <w:shd w:val="clear" w:color="auto" w:fill="FFFFFF"/>
          <w:lang w:val="zh-CN"/>
        </w:rPr>
        <w:t>次；组织县内</w:t>
      </w:r>
      <w:r>
        <w:rPr>
          <w:rFonts w:hint="eastAsia" w:ascii="仿宋_GB2312" w:hAnsi="仿宋_GB2312" w:eastAsia="仿宋_GB2312" w:cs="仿宋_GB2312"/>
          <w:color w:val="000000"/>
          <w:sz w:val="32"/>
          <w:szCs w:val="32"/>
          <w:shd w:val="clear" w:color="auto" w:fill="FFFFFF"/>
        </w:rPr>
        <w:t>6家</w:t>
      </w:r>
      <w:r>
        <w:rPr>
          <w:rFonts w:hint="eastAsia" w:ascii="仿宋_GB2312" w:hAnsi="仿宋_GB2312" w:eastAsia="仿宋_GB2312" w:cs="仿宋_GB2312"/>
          <w:color w:val="000000"/>
          <w:sz w:val="32"/>
          <w:szCs w:val="32"/>
          <w:shd w:val="clear" w:color="auto" w:fill="FFFFFF"/>
          <w:lang w:val="zh-CN"/>
        </w:rPr>
        <w:t>企业参加“万企出国门”活动1次；组织实施好县内各类重大活动“地方特色商品”展示展销活动。</w:t>
      </w:r>
    </w:p>
    <w:p>
      <w:pPr>
        <w:pStyle w:val="6"/>
        <w:shd w:val="clear" w:color="auto" w:fill="FFFFFF"/>
        <w:spacing w:before="0" w:beforeAutospacing="0" w:after="0" w:afterAutospacing="0" w:line="560" w:lineRule="exact"/>
        <w:ind w:firstLine="800"/>
        <w:rPr>
          <w:rFonts w:ascii="仿宋_GB2312" w:hAnsi="仿宋_GB2312" w:eastAsia="仿宋_GB2312" w:cs="仿宋_GB2312"/>
          <w:color w:val="000000"/>
          <w:sz w:val="32"/>
          <w:szCs w:val="32"/>
          <w:shd w:val="clear" w:color="auto" w:fill="FFFFFF"/>
          <w:lang w:val="zh-CN"/>
        </w:rPr>
      </w:pPr>
      <w:r>
        <w:rPr>
          <w:rFonts w:hint="eastAsia" w:ascii="楷体_GB2312" w:hAnsi="楷体_GB2312" w:eastAsia="楷体_GB2312" w:cs="楷体_GB2312"/>
          <w:b/>
          <w:bCs/>
          <w:color w:val="000000"/>
          <w:sz w:val="32"/>
          <w:szCs w:val="32"/>
          <w:shd w:val="clear" w:color="auto" w:fill="FFFFFF"/>
          <w:lang w:val="zh-CN"/>
        </w:rPr>
        <w:t>（三）项目资金申报相符性。</w:t>
      </w:r>
      <w:r>
        <w:rPr>
          <w:rFonts w:hint="eastAsia" w:ascii="仿宋_GB2312" w:hAnsi="仿宋_GB2312" w:eastAsia="仿宋_GB2312" w:cs="仿宋_GB2312"/>
          <w:color w:val="000000"/>
          <w:sz w:val="32"/>
          <w:szCs w:val="32"/>
          <w:shd w:val="clear" w:color="auto" w:fill="FFFFFF"/>
          <w:lang w:val="zh-CN"/>
        </w:rPr>
        <w:t>我局对外贸易股主要承担我县赴境内外举办的各种商品交易和经贸推介活动，指导监督管理以通江县名义在境内外举办的各种商贸交易会、展览会、展销会活动等职能，因此我局项目申报内容与具体实施内容相符、申报目标合理可行。</w:t>
      </w:r>
    </w:p>
    <w:p>
      <w:pPr>
        <w:pStyle w:val="6"/>
        <w:shd w:val="clear" w:color="auto" w:fill="FFFFFF"/>
        <w:spacing w:before="0" w:beforeAutospacing="0" w:after="0" w:afterAutospacing="0" w:line="560" w:lineRule="exact"/>
        <w:ind w:firstLine="80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二、项目实施及管理情况</w:t>
      </w:r>
    </w:p>
    <w:p>
      <w:pPr>
        <w:pStyle w:val="6"/>
        <w:shd w:val="clear" w:color="auto" w:fill="FFFFFF"/>
        <w:spacing w:before="0" w:beforeAutospacing="0" w:after="0" w:afterAutospacing="0" w:line="560" w:lineRule="exact"/>
        <w:ind w:firstLine="800"/>
        <w:rPr>
          <w:rFonts w:ascii="楷体_GB2312" w:hAnsi="楷体_GB2312" w:eastAsia="楷体_GB2312" w:cs="楷体_GB2312"/>
          <w:b/>
          <w:bCs/>
          <w:color w:val="000000"/>
          <w:sz w:val="32"/>
          <w:szCs w:val="32"/>
          <w:shd w:val="clear" w:color="auto" w:fill="FFFFFF"/>
        </w:rPr>
      </w:pPr>
      <w:r>
        <w:rPr>
          <w:rFonts w:hint="eastAsia" w:ascii="楷体_GB2312" w:hAnsi="楷体_GB2312" w:eastAsia="楷体_GB2312" w:cs="楷体_GB2312"/>
          <w:b/>
          <w:bCs/>
          <w:color w:val="000000"/>
          <w:sz w:val="32"/>
          <w:szCs w:val="32"/>
          <w:shd w:val="clear" w:color="auto" w:fill="FFFFFF"/>
        </w:rPr>
        <w:t>（一）资金到位及使用情况</w:t>
      </w:r>
    </w:p>
    <w:p>
      <w:pPr>
        <w:pStyle w:val="6"/>
        <w:shd w:val="clear" w:color="auto" w:fill="FFFFFF"/>
        <w:spacing w:before="0" w:beforeAutospacing="0" w:after="0" w:afterAutospacing="0" w:line="560" w:lineRule="exact"/>
        <w:ind w:firstLine="800"/>
        <w:rPr>
          <w:rFonts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rPr>
        <w:t>1、</w:t>
      </w:r>
      <w:r>
        <w:rPr>
          <w:rFonts w:hint="eastAsia" w:ascii="仿宋_GB2312" w:hAnsi="仿宋_GB2312" w:eastAsia="仿宋_GB2312" w:cs="仿宋_GB2312"/>
          <w:color w:val="000000"/>
          <w:sz w:val="32"/>
          <w:szCs w:val="32"/>
          <w:shd w:val="clear" w:color="auto" w:fill="FFFFFF"/>
          <w:lang w:val="zh-CN"/>
        </w:rPr>
        <w:t>资金到位。2021年该项目截至评价时点实际到位</w:t>
      </w:r>
      <w:r>
        <w:rPr>
          <w:rFonts w:hint="eastAsia" w:ascii="仿宋_GB2312" w:hAnsi="仿宋_GB2312" w:eastAsia="仿宋_GB2312" w:cs="仿宋_GB2312"/>
          <w:color w:val="000000"/>
          <w:sz w:val="32"/>
          <w:szCs w:val="32"/>
          <w:shd w:val="clear" w:color="auto" w:fill="FFFFFF"/>
        </w:rPr>
        <w:t>17</w:t>
      </w:r>
      <w:r>
        <w:rPr>
          <w:rFonts w:hint="eastAsia" w:ascii="仿宋_GB2312" w:hAnsi="仿宋_GB2312" w:eastAsia="仿宋_GB2312" w:cs="仿宋_GB2312"/>
          <w:color w:val="000000"/>
          <w:sz w:val="32"/>
          <w:szCs w:val="32"/>
          <w:shd w:val="clear" w:color="auto" w:fill="FFFFFF"/>
          <w:lang w:val="zh-CN"/>
        </w:rPr>
        <w:t>万元。</w:t>
      </w:r>
    </w:p>
    <w:p>
      <w:pPr>
        <w:pStyle w:val="6"/>
        <w:shd w:val="clear" w:color="auto" w:fill="FFFFFF"/>
        <w:spacing w:before="0" w:beforeAutospacing="0" w:after="0" w:afterAutospacing="0" w:line="560" w:lineRule="exact"/>
        <w:ind w:firstLine="8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w:t>
      </w:r>
      <w:r>
        <w:rPr>
          <w:rFonts w:hint="eastAsia" w:ascii="仿宋_GB2312" w:hAnsi="仿宋_GB2312" w:eastAsia="仿宋_GB2312" w:cs="仿宋_GB2312"/>
          <w:color w:val="000000"/>
          <w:sz w:val="32"/>
          <w:szCs w:val="32"/>
          <w:shd w:val="clear" w:color="auto" w:fill="FFFFFF"/>
          <w:lang w:val="zh-CN"/>
        </w:rPr>
        <w:t>资金使用。2021年县本级预算的“三大活动”专项资金</w:t>
      </w:r>
      <w:r>
        <w:rPr>
          <w:rFonts w:hint="eastAsia" w:ascii="仿宋_GB2312" w:hAnsi="仿宋_GB2312" w:eastAsia="仿宋_GB2312" w:cs="仿宋_GB2312"/>
          <w:color w:val="000000"/>
          <w:sz w:val="32"/>
          <w:szCs w:val="32"/>
          <w:shd w:val="clear" w:color="auto" w:fill="FFFFFF"/>
        </w:rPr>
        <w:t>主要用于布展费、印刷资料费、差旅费等共计17万元。</w:t>
      </w:r>
    </w:p>
    <w:p>
      <w:pPr>
        <w:pStyle w:val="6"/>
        <w:shd w:val="clear" w:color="auto" w:fill="FFFFFF"/>
        <w:spacing w:before="0" w:beforeAutospacing="0" w:after="0" w:afterAutospacing="0" w:line="560" w:lineRule="exact"/>
        <w:ind w:firstLine="800"/>
        <w:rPr>
          <w:rFonts w:ascii="楷体_GB2312" w:hAnsi="楷体_GB2312" w:eastAsia="楷体_GB2312" w:cs="楷体_GB2312"/>
          <w:b/>
          <w:bCs/>
          <w:color w:val="000000"/>
          <w:sz w:val="32"/>
          <w:szCs w:val="32"/>
          <w:shd w:val="clear" w:color="auto" w:fill="FFFFFF"/>
          <w:lang w:val="zh-CN"/>
        </w:rPr>
      </w:pPr>
      <w:r>
        <w:rPr>
          <w:rFonts w:hint="eastAsia" w:ascii="楷体_GB2312" w:hAnsi="楷体_GB2312" w:eastAsia="楷体_GB2312" w:cs="楷体_GB2312"/>
          <w:b/>
          <w:bCs/>
          <w:color w:val="000000"/>
          <w:sz w:val="32"/>
          <w:szCs w:val="32"/>
          <w:shd w:val="clear" w:color="auto" w:fill="FFFFFF"/>
          <w:lang w:val="zh-CN"/>
        </w:rPr>
        <w:t>（二）项目财务管理情况。</w:t>
      </w:r>
    </w:p>
    <w:p>
      <w:pPr>
        <w:pStyle w:val="6"/>
        <w:shd w:val="clear" w:color="auto" w:fill="FFFFFF"/>
        <w:spacing w:before="0" w:beforeAutospacing="0" w:after="0" w:afterAutospacing="0" w:line="560" w:lineRule="exact"/>
        <w:ind w:firstLine="800"/>
        <w:rPr>
          <w:rFonts w:ascii="仿宋_GB2312" w:hAnsi="仿宋_GB2312" w:eastAsia="仿宋_GB2312" w:cs="仿宋_GB2312"/>
          <w:color w:val="000000"/>
          <w:sz w:val="32"/>
          <w:szCs w:val="32"/>
          <w:shd w:val="clear" w:color="auto" w:fill="FFFFFF"/>
          <w:lang w:val="zh-CN"/>
        </w:rPr>
      </w:pPr>
      <w:r>
        <w:rPr>
          <w:rFonts w:hint="eastAsia" w:ascii="仿宋_GB2312" w:hAnsi="仿宋_GB2312" w:eastAsia="仿宋_GB2312" w:cs="仿宋_GB2312"/>
          <w:color w:val="000000"/>
          <w:sz w:val="32"/>
          <w:szCs w:val="32"/>
          <w:shd w:val="clear" w:color="auto" w:fill="FFFFFF"/>
          <w:lang w:val="zh-CN"/>
        </w:rPr>
        <w:t>我局项目财务管理制度健全、会计核算规范，相关支出及时进行了账务处理。对照项目资金管理办法，在拨付前均进行了检查验收，项目资金拨付后对各使用单位的财务处理进行跟踪检查，对未按规定使用、账务不规范的企业及时要求整改到位。</w:t>
      </w:r>
    </w:p>
    <w:p>
      <w:pPr>
        <w:pStyle w:val="6"/>
        <w:shd w:val="clear" w:color="auto" w:fill="FFFFFF"/>
        <w:spacing w:before="0" w:beforeAutospacing="0" w:after="0" w:afterAutospacing="0" w:line="560" w:lineRule="exact"/>
        <w:ind w:firstLine="800"/>
        <w:rPr>
          <w:rFonts w:ascii="楷体_GB2312" w:hAnsi="楷体_GB2312" w:eastAsia="楷体_GB2312" w:cs="楷体_GB2312"/>
          <w:b/>
          <w:bCs/>
          <w:color w:val="000000"/>
          <w:sz w:val="32"/>
          <w:szCs w:val="32"/>
          <w:shd w:val="clear" w:color="auto" w:fill="FFFFFF"/>
          <w:lang w:val="zh-CN"/>
        </w:rPr>
      </w:pPr>
      <w:r>
        <w:rPr>
          <w:rFonts w:hint="eastAsia" w:ascii="楷体_GB2312" w:hAnsi="楷体_GB2312" w:eastAsia="楷体_GB2312" w:cs="楷体_GB2312"/>
          <w:b/>
          <w:bCs/>
          <w:color w:val="000000"/>
          <w:sz w:val="32"/>
          <w:szCs w:val="32"/>
          <w:shd w:val="clear" w:color="auto" w:fill="FFFFFF"/>
          <w:lang w:val="zh-CN"/>
        </w:rPr>
        <w:t>（三）项目组织实施情况。</w:t>
      </w:r>
    </w:p>
    <w:p>
      <w:pPr>
        <w:pStyle w:val="6"/>
        <w:shd w:val="clear" w:color="auto" w:fill="FFFFFF"/>
        <w:spacing w:before="0" w:beforeAutospacing="0" w:after="0" w:afterAutospacing="0" w:line="560" w:lineRule="exact"/>
        <w:ind w:firstLine="8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1、县商务局成立了项目专项领导小组，办公室设在局对外贸易股，负责项目的实施和监管。</w:t>
      </w:r>
    </w:p>
    <w:p>
      <w:pPr>
        <w:pStyle w:val="6"/>
        <w:shd w:val="clear" w:color="auto" w:fill="FFFFFF"/>
        <w:spacing w:before="0" w:beforeAutospacing="0" w:after="0" w:afterAutospacing="0" w:line="560" w:lineRule="exact"/>
        <w:ind w:firstLine="8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2、项目资金下达后，协助及时划拨专项资金到项目单位。并监管项目实施情况及专项资金使用情况，及时发现和纠正项目实施过程存在的问题，及时收集项目进度。</w:t>
      </w:r>
    </w:p>
    <w:p>
      <w:pPr>
        <w:pStyle w:val="6"/>
        <w:shd w:val="clear" w:color="auto" w:fill="FFFFFF"/>
        <w:spacing w:before="0" w:beforeAutospacing="0" w:after="0" w:afterAutospacing="0" w:line="560" w:lineRule="exact"/>
        <w:ind w:firstLine="8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3、项目完成后，及时进行项目的绩效评价，完善项目相关资料。</w:t>
      </w:r>
    </w:p>
    <w:p>
      <w:pPr>
        <w:pStyle w:val="6"/>
        <w:shd w:val="clear" w:color="auto" w:fill="FFFFFF"/>
        <w:spacing w:before="0" w:beforeAutospacing="0" w:after="0" w:afterAutospacing="0" w:line="560" w:lineRule="exact"/>
        <w:ind w:firstLine="800"/>
        <w:rPr>
          <w:rFonts w:ascii="仿宋_GB2312" w:hAnsi="仿宋_GB2312" w:eastAsia="仿宋_GB2312" w:cs="仿宋_GB2312"/>
          <w:color w:val="000000"/>
          <w:sz w:val="32"/>
          <w:szCs w:val="32"/>
          <w:shd w:val="clear" w:color="auto" w:fill="FFFFFF"/>
          <w:lang w:val="zh-CN"/>
        </w:rPr>
      </w:pPr>
      <w:r>
        <w:rPr>
          <w:rFonts w:hint="eastAsia" w:ascii="黑体" w:hAnsi="黑体" w:eastAsia="黑体" w:cs="黑体"/>
          <w:b/>
          <w:bCs/>
          <w:color w:val="000000"/>
          <w:sz w:val="32"/>
          <w:szCs w:val="32"/>
          <w:shd w:val="clear" w:color="auto" w:fill="FFFFFF"/>
        </w:rPr>
        <w:t>三、目标完成情况</w:t>
      </w:r>
      <w:r>
        <w:rPr>
          <w:rFonts w:hint="eastAsia" w:ascii="仿宋_GB2312" w:hAnsi="仿宋_GB2312" w:eastAsia="仿宋_GB2312" w:cs="仿宋_GB2312"/>
          <w:color w:val="000000"/>
          <w:sz w:val="32"/>
          <w:szCs w:val="32"/>
          <w:shd w:val="clear" w:color="auto" w:fill="FFFFFF"/>
          <w:lang w:val="zh-CN"/>
        </w:rPr>
        <w:tab/>
      </w:r>
    </w:p>
    <w:p>
      <w:pPr>
        <w:pStyle w:val="6"/>
        <w:shd w:val="clear" w:color="auto" w:fill="FFFFFF"/>
        <w:spacing w:before="0" w:beforeAutospacing="0" w:after="0" w:afterAutospacing="0" w:line="560" w:lineRule="exact"/>
        <w:ind w:firstLine="800"/>
        <w:rPr>
          <w:rFonts w:ascii="黑体" w:hAnsi="黑体" w:eastAsia="黑体" w:cs="黑体"/>
          <w:b/>
          <w:bCs/>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2021年组织四川顺和通米业有限公司、四川通江漫山红现代农业科技有限公司、巴中市巴山牧业股份有限公司等12家企业参加了省、市商务部门开展的“惠民购物全川行”活动5次；组织四川爱吃兔食品有限公司、四川昶永农业发展有限公司等20家企业参加“川货全国行”4次。</w:t>
      </w:r>
    </w:p>
    <w:p>
      <w:pPr>
        <w:pStyle w:val="6"/>
        <w:shd w:val="clear" w:color="auto" w:fill="FFFFFF"/>
        <w:spacing w:before="0" w:beforeAutospacing="0" w:after="0" w:afterAutospacing="0" w:line="560" w:lineRule="exact"/>
        <w:ind w:firstLine="800"/>
        <w:rPr>
          <w:rFonts w:ascii="黑体" w:hAnsi="黑体" w:eastAsia="黑体" w:cs="黑体"/>
          <w:b/>
          <w:bCs/>
          <w:color w:val="000000"/>
          <w:sz w:val="32"/>
          <w:szCs w:val="32"/>
          <w:shd w:val="clear" w:color="auto" w:fill="FFFFFF"/>
        </w:rPr>
      </w:pPr>
      <w:r>
        <w:rPr>
          <w:rFonts w:hint="eastAsia" w:ascii="黑体" w:hAnsi="黑体" w:eastAsia="黑体" w:cs="黑体"/>
          <w:b/>
          <w:bCs/>
          <w:color w:val="000000"/>
          <w:sz w:val="32"/>
          <w:szCs w:val="32"/>
          <w:shd w:val="clear" w:color="auto" w:fill="FFFFFF"/>
        </w:rPr>
        <w:t>四、项目效益情况</w:t>
      </w:r>
    </w:p>
    <w:p>
      <w:pPr>
        <w:pStyle w:val="6"/>
        <w:shd w:val="clear" w:color="auto" w:fill="FFFFFF"/>
        <w:spacing w:before="0" w:beforeAutospacing="0" w:after="0" w:afterAutospacing="0" w:line="560" w:lineRule="exact"/>
        <w:ind w:firstLine="8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市场拓展“三大活动”的开展推动了企业积极“走出去”、完善了产品营销渠道、推动了重点产业“走出去”、推动了商（协）会积极参与、搭建了省市县联动的工作机制、促进了经济发展。着力提升了“三大活动”美誉度，顺应消费升级趋势，进一步锁定重点国家、重点城市、重点市场，精耕细作，推动通江产品进展会、进商圈、进超市、进市场、进网络、进餐企，持续提升川货影响力。增加了企业的经济收入，带动老百姓作用较大，自愿参与展示展销活动积极性较高，市场主体竞争意识明显增强，品牌知名度、市场占有率稳步提升。</w:t>
      </w:r>
    </w:p>
    <w:p>
      <w:pPr>
        <w:pStyle w:val="6"/>
        <w:shd w:val="clear" w:color="auto" w:fill="FFFFFF"/>
        <w:spacing w:before="0" w:beforeAutospacing="0" w:after="0" w:afterAutospacing="0" w:line="560" w:lineRule="exact"/>
        <w:ind w:firstLine="800"/>
        <w:rPr>
          <w:rFonts w:ascii="仿宋_GB2312" w:hAnsi="仿宋_GB2312" w:eastAsia="仿宋_GB2312" w:cs="仿宋_GB2312"/>
          <w:color w:val="000000"/>
          <w:sz w:val="32"/>
          <w:szCs w:val="32"/>
          <w:shd w:val="clear" w:color="auto" w:fill="FFFFFF"/>
        </w:rPr>
      </w:pPr>
    </w:p>
    <w:p>
      <w:pPr>
        <w:pStyle w:val="6"/>
        <w:shd w:val="clear" w:color="auto" w:fill="FFFFFF"/>
        <w:spacing w:before="0" w:beforeAutospacing="0" w:after="0" w:afterAutospacing="0" w:line="560" w:lineRule="exact"/>
        <w:ind w:firstLine="800"/>
        <w:rPr>
          <w:rFonts w:ascii="仿宋_GB2312" w:hAnsi="仿宋_GB2312" w:eastAsia="仿宋_GB2312" w:cs="仿宋_GB2312"/>
          <w:color w:val="000000"/>
          <w:sz w:val="32"/>
          <w:szCs w:val="32"/>
          <w:shd w:val="clear" w:color="auto" w:fill="FFFFFF"/>
        </w:rPr>
      </w:pPr>
    </w:p>
    <w:p>
      <w:pPr>
        <w:pStyle w:val="6"/>
        <w:shd w:val="clear" w:color="auto" w:fill="FFFFFF"/>
        <w:spacing w:before="0" w:beforeAutospacing="0" w:after="0" w:afterAutospacing="0" w:line="560" w:lineRule="exact"/>
        <w:ind w:firstLine="5692" w:firstLineChars="1779"/>
        <w:rPr>
          <w:rFonts w:ascii="仿宋_GB2312" w:hAnsi="仿宋_GB2312" w:eastAsia="仿宋_GB2312" w:cs="仿宋_GB2312"/>
          <w:color w:val="000000"/>
          <w:sz w:val="32"/>
          <w:szCs w:val="32"/>
          <w:shd w:val="clear" w:color="auto" w:fill="FFFFFF"/>
          <w:lang w:val="zh-CN"/>
        </w:rPr>
      </w:pPr>
    </w:p>
    <w:p>
      <w:pPr>
        <w:pStyle w:val="3"/>
        <w:spacing w:before="93"/>
        <w:rPr>
          <w:lang w:val="zh-CN"/>
        </w:rPr>
      </w:pPr>
    </w:p>
    <w:p>
      <w:pPr>
        <w:pStyle w:val="3"/>
        <w:spacing w:before="93"/>
        <w:rPr>
          <w:lang w:val="zh-CN"/>
        </w:rPr>
      </w:pPr>
    </w:p>
    <w:p>
      <w:pPr>
        <w:pStyle w:val="3"/>
        <w:spacing w:before="93"/>
        <w:rPr>
          <w:lang w:val="zh-CN"/>
        </w:rPr>
      </w:pPr>
    </w:p>
    <w:p>
      <w:pPr>
        <w:pStyle w:val="3"/>
        <w:spacing w:before="93"/>
        <w:rPr>
          <w:lang w:val="zh-CN"/>
        </w:rPr>
      </w:pPr>
    </w:p>
    <w:p>
      <w:pPr>
        <w:pStyle w:val="3"/>
        <w:spacing w:before="93"/>
        <w:rPr>
          <w:lang w:val="zh-CN"/>
        </w:rPr>
      </w:pPr>
    </w:p>
    <w:p>
      <w:pPr>
        <w:pStyle w:val="3"/>
        <w:spacing w:before="93"/>
        <w:rPr>
          <w:lang w:val="zh-CN"/>
        </w:rPr>
      </w:pPr>
    </w:p>
    <w:p>
      <w:pPr>
        <w:pStyle w:val="3"/>
        <w:spacing w:before="93"/>
        <w:rPr>
          <w:lang w:val="zh-CN"/>
        </w:rPr>
      </w:pPr>
    </w:p>
    <w:p>
      <w:pPr>
        <w:pStyle w:val="3"/>
        <w:spacing w:before="93"/>
        <w:rPr>
          <w:lang w:val="zh-CN"/>
        </w:rPr>
      </w:pPr>
    </w:p>
    <w:p>
      <w:pPr>
        <w:spacing w:line="580" w:lineRule="exact"/>
        <w:rPr>
          <w:rStyle w:val="31"/>
          <w:rFonts w:ascii="黑体" w:hAnsi="黑体" w:eastAsia="黑体"/>
          <w:b w:val="0"/>
        </w:rPr>
      </w:pPr>
    </w:p>
    <w:p>
      <w:pPr>
        <w:widowControl/>
        <w:jc w:val="left"/>
        <w:rPr>
          <w:rStyle w:val="31"/>
          <w:rFonts w:ascii="黑体" w:hAnsi="黑体" w:eastAsia="黑体"/>
          <w:b w:val="0"/>
        </w:rPr>
      </w:pPr>
      <w:bookmarkStart w:id="84" w:name="_Toc31768"/>
      <w:r>
        <w:rPr>
          <w:rStyle w:val="31"/>
          <w:rFonts w:ascii="黑体" w:hAnsi="黑体" w:eastAsia="黑体"/>
          <w:b w:val="0"/>
        </w:rPr>
        <w:object>
          <v:shape id="_x0000_i1026" o:spt="75" type="#_x0000_t75" style="height:505.8pt;width:413.4pt;" o:ole="t" filled="f" o:preferrelative="t" stroked="f" coordsize="21600,21600">
            <v:path/>
            <v:fill on="f" focussize="0,0"/>
            <v:stroke on="f" joinstyle="miter"/>
            <v:imagedata r:id="rId23" o:title=""/>
            <o:lock v:ext="edit" aspectratio="t"/>
            <w10:wrap type="none"/>
            <w10:anchorlock/>
          </v:shape>
          <o:OLEObject Type="Embed" ProgID="Excel.Sheet.8" ShapeID="_x0000_i1026" DrawAspect="Content" ObjectID="_1468075726" r:id="rId22">
            <o:LockedField>false</o:LockedField>
          </o:OLEObject>
        </w:object>
      </w:r>
      <w:r>
        <w:br w:type="page"/>
      </w:r>
      <w:bookmarkEnd w:id="84"/>
    </w:p>
    <w:p>
      <w:pPr>
        <w:spacing w:line="600" w:lineRule="exact"/>
        <w:jc w:val="center"/>
        <w:outlineLvl w:val="0"/>
        <w:rPr>
          <w:rFonts w:ascii="仿宋" w:hAnsi="仿宋" w:eastAsia="仿宋"/>
        </w:rPr>
      </w:pPr>
      <w:bookmarkStart w:id="85" w:name="_Toc21487"/>
      <w:bookmarkStart w:id="86" w:name="_Toc15396618"/>
      <w:r>
        <w:rPr>
          <w:rFonts w:hint="eastAsia" w:ascii="黑体" w:hAnsi="黑体" w:eastAsia="黑体"/>
          <w:sz w:val="44"/>
          <w:szCs w:val="44"/>
        </w:rPr>
        <w:t>第</w:t>
      </w:r>
      <w:r>
        <w:rPr>
          <w:rStyle w:val="31"/>
          <w:rFonts w:hint="eastAsia" w:ascii="黑体" w:hAnsi="黑体" w:eastAsia="黑体"/>
          <w:b w:val="0"/>
        </w:rPr>
        <w:t>五部分附表</w:t>
      </w:r>
      <w:bookmarkEnd w:id="82"/>
      <w:bookmarkEnd w:id="85"/>
      <w:bookmarkEnd w:id="86"/>
      <w:bookmarkStart w:id="87" w:name="_Toc15396619"/>
    </w:p>
    <w:p>
      <w:pPr>
        <w:pStyle w:val="14"/>
        <w:rPr>
          <w:rFonts w:ascii="仿宋" w:hAnsi="仿宋" w:eastAsia="仿宋"/>
        </w:rPr>
      </w:pPr>
      <w:bookmarkStart w:id="88" w:name="_Toc19504"/>
      <w:r>
        <w:rPr>
          <w:rFonts w:hint="eastAsia" w:ascii="仿宋" w:hAnsi="仿宋" w:eastAsia="仿宋"/>
          <w:b w:val="0"/>
        </w:rPr>
        <w:t>一、收</w:t>
      </w:r>
      <w:r>
        <w:rPr>
          <w:rStyle w:val="32"/>
          <w:rFonts w:hint="eastAsia" w:ascii="仿宋" w:hAnsi="仿宋" w:eastAsia="仿宋"/>
          <w:b w:val="0"/>
          <w:bCs w:val="0"/>
        </w:rPr>
        <w:t>入支出决算总表</w:t>
      </w:r>
      <w:bookmarkEnd w:id="87"/>
      <w:bookmarkEnd w:id="88"/>
    </w:p>
    <w:p>
      <w:pPr>
        <w:pStyle w:val="14"/>
        <w:rPr>
          <w:rFonts w:ascii="仿宋" w:hAnsi="仿宋" w:eastAsia="仿宋"/>
        </w:rPr>
      </w:pPr>
      <w:bookmarkStart w:id="89" w:name="_Toc15396620"/>
      <w:bookmarkStart w:id="90" w:name="_Toc18383"/>
      <w:r>
        <w:rPr>
          <w:rFonts w:hint="eastAsia" w:ascii="仿宋" w:hAnsi="仿宋" w:eastAsia="仿宋"/>
          <w:b w:val="0"/>
        </w:rPr>
        <w:t>二、收</w:t>
      </w:r>
      <w:r>
        <w:rPr>
          <w:rStyle w:val="32"/>
          <w:rFonts w:hint="eastAsia" w:ascii="仿宋" w:hAnsi="仿宋" w:eastAsia="仿宋"/>
          <w:b w:val="0"/>
          <w:bCs w:val="0"/>
        </w:rPr>
        <w:t>入决算表</w:t>
      </w:r>
      <w:bookmarkEnd w:id="89"/>
      <w:bookmarkEnd w:id="90"/>
    </w:p>
    <w:p>
      <w:pPr>
        <w:pStyle w:val="14"/>
        <w:rPr>
          <w:rFonts w:ascii="仿宋" w:hAnsi="仿宋" w:eastAsia="仿宋"/>
        </w:rPr>
      </w:pPr>
      <w:bookmarkStart w:id="91" w:name="_Toc15396621"/>
      <w:bookmarkStart w:id="92" w:name="_Toc15551"/>
      <w:r>
        <w:rPr>
          <w:rStyle w:val="32"/>
          <w:rFonts w:hint="eastAsia" w:ascii="仿宋" w:hAnsi="仿宋" w:eastAsia="仿宋"/>
          <w:b w:val="0"/>
          <w:bCs w:val="0"/>
        </w:rPr>
        <w:t>三、</w:t>
      </w:r>
      <w:r>
        <w:rPr>
          <w:rFonts w:hint="eastAsia" w:ascii="仿宋" w:hAnsi="仿宋" w:eastAsia="仿宋"/>
          <w:b w:val="0"/>
        </w:rPr>
        <w:t>支</w:t>
      </w:r>
      <w:r>
        <w:rPr>
          <w:rStyle w:val="32"/>
          <w:rFonts w:hint="eastAsia" w:ascii="仿宋" w:hAnsi="仿宋" w:eastAsia="仿宋"/>
          <w:b w:val="0"/>
          <w:bCs w:val="0"/>
        </w:rPr>
        <w:t>出决算表</w:t>
      </w:r>
      <w:bookmarkEnd w:id="91"/>
      <w:bookmarkEnd w:id="92"/>
    </w:p>
    <w:p>
      <w:pPr>
        <w:pStyle w:val="14"/>
        <w:rPr>
          <w:rFonts w:ascii="仿宋" w:hAnsi="仿宋" w:eastAsia="仿宋"/>
          <w:b w:val="0"/>
        </w:rPr>
      </w:pPr>
      <w:bookmarkStart w:id="93" w:name="_Toc15396622"/>
      <w:bookmarkStart w:id="94" w:name="_Toc10165"/>
      <w:r>
        <w:rPr>
          <w:rStyle w:val="32"/>
          <w:rFonts w:hint="eastAsia" w:ascii="仿宋" w:hAnsi="仿宋" w:eastAsia="仿宋"/>
          <w:b w:val="0"/>
          <w:bCs w:val="0"/>
        </w:rPr>
        <w:t>四、</w:t>
      </w:r>
      <w:r>
        <w:rPr>
          <w:rFonts w:hint="eastAsia" w:ascii="仿宋" w:hAnsi="仿宋" w:eastAsia="仿宋"/>
          <w:b w:val="0"/>
        </w:rPr>
        <w:t>财</w:t>
      </w:r>
      <w:r>
        <w:rPr>
          <w:rStyle w:val="32"/>
          <w:rFonts w:hint="eastAsia" w:ascii="仿宋" w:hAnsi="仿宋" w:eastAsia="仿宋"/>
          <w:b w:val="0"/>
          <w:bCs w:val="0"/>
        </w:rPr>
        <w:t>政拨款收入支出决算总表</w:t>
      </w:r>
      <w:bookmarkEnd w:id="93"/>
      <w:bookmarkEnd w:id="94"/>
    </w:p>
    <w:p>
      <w:pPr>
        <w:pStyle w:val="14"/>
        <w:rPr>
          <w:rStyle w:val="32"/>
          <w:rFonts w:ascii="仿宋" w:hAnsi="仿宋" w:eastAsia="仿宋"/>
          <w:b w:val="0"/>
          <w:bCs w:val="0"/>
        </w:rPr>
      </w:pPr>
      <w:bookmarkStart w:id="95" w:name="_Toc15396623"/>
      <w:bookmarkStart w:id="96" w:name="_Toc17910"/>
      <w:r>
        <w:rPr>
          <w:rStyle w:val="32"/>
          <w:rFonts w:hint="eastAsia" w:ascii="仿宋" w:hAnsi="仿宋" w:eastAsia="仿宋"/>
          <w:b w:val="0"/>
          <w:bCs w:val="0"/>
        </w:rPr>
        <w:t>五、</w:t>
      </w:r>
      <w:r>
        <w:rPr>
          <w:rFonts w:hint="eastAsia" w:ascii="仿宋" w:hAnsi="仿宋" w:eastAsia="仿宋"/>
          <w:b w:val="0"/>
        </w:rPr>
        <w:t>财</w:t>
      </w:r>
      <w:r>
        <w:rPr>
          <w:rStyle w:val="32"/>
          <w:rFonts w:hint="eastAsia" w:ascii="仿宋" w:hAnsi="仿宋" w:eastAsia="仿宋"/>
          <w:b w:val="0"/>
          <w:bCs w:val="0"/>
        </w:rPr>
        <w:t>政拨款支出决算明细表</w:t>
      </w:r>
      <w:bookmarkEnd w:id="95"/>
      <w:bookmarkEnd w:id="96"/>
      <w:bookmarkStart w:id="97" w:name="_Toc15396624"/>
    </w:p>
    <w:p>
      <w:pPr>
        <w:pStyle w:val="14"/>
        <w:rPr>
          <w:rFonts w:ascii="仿宋" w:hAnsi="仿宋" w:eastAsia="仿宋"/>
        </w:rPr>
      </w:pPr>
      <w:bookmarkStart w:id="98" w:name="_Toc22648"/>
      <w:r>
        <w:rPr>
          <w:rStyle w:val="32"/>
          <w:rFonts w:hint="eastAsia" w:ascii="仿宋" w:hAnsi="仿宋" w:eastAsia="仿宋"/>
          <w:b w:val="0"/>
          <w:bCs w:val="0"/>
        </w:rPr>
        <w:t>六、</w:t>
      </w:r>
      <w:r>
        <w:rPr>
          <w:rFonts w:hint="eastAsia" w:ascii="仿宋" w:hAnsi="仿宋" w:eastAsia="仿宋"/>
          <w:b w:val="0"/>
        </w:rPr>
        <w:t>一</w:t>
      </w:r>
      <w:r>
        <w:rPr>
          <w:rStyle w:val="32"/>
          <w:rFonts w:hint="eastAsia" w:ascii="仿宋" w:hAnsi="仿宋" w:eastAsia="仿宋"/>
          <w:b w:val="0"/>
          <w:bCs w:val="0"/>
        </w:rPr>
        <w:t>般公共预算</w:t>
      </w:r>
      <w:r>
        <w:rPr>
          <w:rFonts w:hint="eastAsia" w:ascii="仿宋" w:hAnsi="仿宋" w:eastAsia="仿宋"/>
          <w:b w:val="0"/>
          <w:bCs w:val="0"/>
        </w:rPr>
        <w:t>财政拨款支出决算表</w:t>
      </w:r>
      <w:bookmarkEnd w:id="97"/>
      <w:bookmarkEnd w:id="98"/>
    </w:p>
    <w:p>
      <w:pPr>
        <w:pStyle w:val="14"/>
        <w:rPr>
          <w:rFonts w:ascii="仿宋" w:hAnsi="仿宋" w:eastAsia="仿宋"/>
        </w:rPr>
      </w:pPr>
      <w:bookmarkStart w:id="99" w:name="_Toc15396625"/>
      <w:bookmarkStart w:id="100" w:name="_Toc30989"/>
      <w:r>
        <w:rPr>
          <w:rStyle w:val="32"/>
          <w:rFonts w:hint="eastAsia" w:ascii="仿宋" w:hAnsi="仿宋" w:eastAsia="仿宋"/>
          <w:b w:val="0"/>
          <w:bCs w:val="0"/>
        </w:rPr>
        <w:t>七、</w:t>
      </w:r>
      <w:r>
        <w:rPr>
          <w:rFonts w:hint="eastAsia" w:ascii="仿宋" w:hAnsi="仿宋" w:eastAsia="仿宋"/>
          <w:b w:val="0"/>
        </w:rPr>
        <w:t>一</w:t>
      </w:r>
      <w:r>
        <w:rPr>
          <w:rStyle w:val="32"/>
          <w:rFonts w:hint="eastAsia" w:ascii="仿宋" w:hAnsi="仿宋" w:eastAsia="仿宋"/>
          <w:b w:val="0"/>
          <w:bCs w:val="0"/>
        </w:rPr>
        <w:t>般公共预算</w:t>
      </w:r>
      <w:r>
        <w:rPr>
          <w:rFonts w:hint="eastAsia" w:ascii="仿宋" w:hAnsi="仿宋" w:eastAsia="仿宋"/>
          <w:b w:val="0"/>
          <w:bCs w:val="0"/>
        </w:rPr>
        <w:t>财政拨款支出决算明细表</w:t>
      </w:r>
      <w:bookmarkEnd w:id="99"/>
      <w:bookmarkEnd w:id="100"/>
    </w:p>
    <w:p>
      <w:pPr>
        <w:pStyle w:val="14"/>
        <w:rPr>
          <w:rFonts w:ascii="仿宋" w:hAnsi="仿宋" w:eastAsia="仿宋"/>
        </w:rPr>
      </w:pPr>
      <w:bookmarkStart w:id="101" w:name="_Toc15396626"/>
      <w:bookmarkStart w:id="102" w:name="_Toc28463"/>
      <w:r>
        <w:rPr>
          <w:rStyle w:val="32"/>
          <w:rFonts w:hint="eastAsia" w:ascii="仿宋" w:hAnsi="仿宋" w:eastAsia="仿宋"/>
          <w:b w:val="0"/>
          <w:bCs w:val="0"/>
        </w:rPr>
        <w:t>八、</w:t>
      </w:r>
      <w:r>
        <w:rPr>
          <w:rFonts w:hint="eastAsia" w:ascii="仿宋" w:hAnsi="仿宋" w:eastAsia="仿宋"/>
          <w:b w:val="0"/>
        </w:rPr>
        <w:t>一</w:t>
      </w:r>
      <w:r>
        <w:rPr>
          <w:rStyle w:val="32"/>
          <w:rFonts w:hint="eastAsia" w:ascii="仿宋" w:hAnsi="仿宋" w:eastAsia="仿宋"/>
          <w:b w:val="0"/>
          <w:bCs w:val="0"/>
        </w:rPr>
        <w:t>般公共预算</w:t>
      </w:r>
      <w:r>
        <w:rPr>
          <w:rFonts w:hint="eastAsia" w:ascii="仿宋" w:hAnsi="仿宋" w:eastAsia="仿宋"/>
          <w:b w:val="0"/>
          <w:bCs w:val="0"/>
        </w:rPr>
        <w:t>财政拨款基本支出决算表</w:t>
      </w:r>
      <w:bookmarkEnd w:id="101"/>
      <w:bookmarkEnd w:id="102"/>
    </w:p>
    <w:p>
      <w:pPr>
        <w:pStyle w:val="14"/>
        <w:rPr>
          <w:rFonts w:ascii="仿宋" w:hAnsi="仿宋" w:eastAsia="仿宋"/>
        </w:rPr>
      </w:pPr>
      <w:bookmarkStart w:id="103" w:name="_Toc15396627"/>
      <w:bookmarkStart w:id="104" w:name="_Toc9365"/>
      <w:r>
        <w:rPr>
          <w:rStyle w:val="32"/>
          <w:rFonts w:hint="eastAsia" w:ascii="仿宋" w:hAnsi="仿宋" w:eastAsia="仿宋"/>
          <w:b w:val="0"/>
          <w:bCs w:val="0"/>
        </w:rPr>
        <w:t>九、</w:t>
      </w:r>
      <w:r>
        <w:rPr>
          <w:rFonts w:hint="eastAsia" w:ascii="仿宋" w:hAnsi="仿宋" w:eastAsia="仿宋"/>
          <w:b w:val="0"/>
        </w:rPr>
        <w:t>一</w:t>
      </w:r>
      <w:r>
        <w:rPr>
          <w:rStyle w:val="32"/>
          <w:rFonts w:hint="eastAsia" w:ascii="仿宋" w:hAnsi="仿宋" w:eastAsia="仿宋"/>
          <w:b w:val="0"/>
          <w:bCs w:val="0"/>
        </w:rPr>
        <w:t>般公共预算</w:t>
      </w:r>
      <w:r>
        <w:rPr>
          <w:rFonts w:hint="eastAsia" w:ascii="仿宋" w:hAnsi="仿宋" w:eastAsia="仿宋"/>
          <w:b w:val="0"/>
          <w:bCs w:val="0"/>
        </w:rPr>
        <w:t>财政拨款项目支出决算表</w:t>
      </w:r>
      <w:bookmarkEnd w:id="103"/>
      <w:bookmarkEnd w:id="104"/>
    </w:p>
    <w:p>
      <w:pPr>
        <w:pStyle w:val="14"/>
        <w:rPr>
          <w:rFonts w:ascii="仿宋" w:hAnsi="仿宋" w:eastAsia="仿宋"/>
        </w:rPr>
      </w:pPr>
      <w:bookmarkStart w:id="105" w:name="_Toc15396628"/>
      <w:bookmarkStart w:id="106" w:name="_Toc7854"/>
      <w:r>
        <w:rPr>
          <w:rStyle w:val="32"/>
          <w:rFonts w:hint="eastAsia" w:ascii="仿宋" w:hAnsi="仿宋" w:eastAsia="仿宋"/>
          <w:b w:val="0"/>
          <w:bCs w:val="0"/>
        </w:rPr>
        <w:t>十、</w:t>
      </w:r>
      <w:r>
        <w:rPr>
          <w:rFonts w:hint="eastAsia" w:ascii="仿宋" w:hAnsi="仿宋" w:eastAsia="仿宋"/>
          <w:b w:val="0"/>
        </w:rPr>
        <w:t>一</w:t>
      </w:r>
      <w:r>
        <w:rPr>
          <w:rStyle w:val="32"/>
          <w:rFonts w:hint="eastAsia" w:ascii="仿宋" w:hAnsi="仿宋" w:eastAsia="仿宋"/>
          <w:b w:val="0"/>
          <w:bCs w:val="0"/>
        </w:rPr>
        <w:t>般公共预算</w:t>
      </w:r>
      <w:r>
        <w:rPr>
          <w:rFonts w:hint="eastAsia" w:ascii="仿宋" w:hAnsi="仿宋" w:eastAsia="仿宋"/>
          <w:b w:val="0"/>
          <w:bCs w:val="0"/>
        </w:rPr>
        <w:t>财政拨款“三公”经费支出决算表</w:t>
      </w:r>
      <w:bookmarkEnd w:id="105"/>
      <w:bookmarkEnd w:id="106"/>
    </w:p>
    <w:p>
      <w:pPr>
        <w:pStyle w:val="14"/>
        <w:rPr>
          <w:rFonts w:ascii="仿宋" w:hAnsi="仿宋" w:eastAsia="仿宋"/>
        </w:rPr>
      </w:pPr>
      <w:bookmarkStart w:id="107" w:name="_Toc31861"/>
      <w:bookmarkStart w:id="108" w:name="_Toc15396629"/>
      <w:r>
        <w:rPr>
          <w:rStyle w:val="32"/>
          <w:rFonts w:hint="eastAsia" w:ascii="仿宋" w:hAnsi="仿宋" w:eastAsia="仿宋"/>
          <w:b w:val="0"/>
          <w:bCs w:val="0"/>
        </w:rPr>
        <w:t>十一、</w:t>
      </w:r>
      <w:r>
        <w:rPr>
          <w:rFonts w:hint="eastAsia" w:ascii="仿宋" w:hAnsi="仿宋" w:eastAsia="仿宋"/>
          <w:b w:val="0"/>
        </w:rPr>
        <w:t>政</w:t>
      </w:r>
      <w:r>
        <w:rPr>
          <w:rStyle w:val="32"/>
          <w:rFonts w:hint="eastAsia" w:ascii="仿宋" w:hAnsi="仿宋" w:eastAsia="仿宋"/>
          <w:b w:val="0"/>
          <w:bCs w:val="0"/>
        </w:rPr>
        <w:t>府性基金预算</w:t>
      </w:r>
      <w:r>
        <w:rPr>
          <w:rFonts w:hint="eastAsia" w:ascii="仿宋" w:hAnsi="仿宋" w:eastAsia="仿宋"/>
          <w:b w:val="0"/>
          <w:bCs w:val="0"/>
        </w:rPr>
        <w:t>财政拨款收入支出决算表</w:t>
      </w:r>
      <w:bookmarkEnd w:id="107"/>
      <w:bookmarkEnd w:id="108"/>
    </w:p>
    <w:p>
      <w:pPr>
        <w:pStyle w:val="14"/>
        <w:rPr>
          <w:rFonts w:ascii="仿宋" w:hAnsi="仿宋" w:eastAsia="仿宋"/>
        </w:rPr>
      </w:pPr>
      <w:bookmarkStart w:id="109" w:name="_Toc28185"/>
      <w:bookmarkStart w:id="110" w:name="_Toc15396630"/>
      <w:r>
        <w:rPr>
          <w:rStyle w:val="32"/>
          <w:rFonts w:hint="eastAsia" w:ascii="仿宋" w:hAnsi="仿宋" w:eastAsia="仿宋"/>
          <w:b w:val="0"/>
          <w:bCs w:val="0"/>
        </w:rPr>
        <w:t>十二、</w:t>
      </w:r>
      <w:r>
        <w:rPr>
          <w:rFonts w:hint="eastAsia" w:ascii="仿宋" w:hAnsi="仿宋" w:eastAsia="仿宋"/>
          <w:b w:val="0"/>
        </w:rPr>
        <w:t>政</w:t>
      </w:r>
      <w:r>
        <w:rPr>
          <w:rStyle w:val="32"/>
          <w:rFonts w:hint="eastAsia" w:ascii="仿宋" w:hAnsi="仿宋" w:eastAsia="仿宋"/>
          <w:b w:val="0"/>
          <w:bCs w:val="0"/>
        </w:rPr>
        <w:t>府性基金预算</w:t>
      </w:r>
      <w:r>
        <w:rPr>
          <w:rFonts w:hint="eastAsia" w:ascii="仿宋" w:hAnsi="仿宋" w:eastAsia="仿宋"/>
          <w:b w:val="0"/>
          <w:bCs w:val="0"/>
        </w:rPr>
        <w:t>财政拨款“三公”经费支出决算表</w:t>
      </w:r>
      <w:bookmarkEnd w:id="109"/>
      <w:bookmarkEnd w:id="110"/>
    </w:p>
    <w:p>
      <w:pPr>
        <w:pStyle w:val="14"/>
        <w:rPr>
          <w:rStyle w:val="32"/>
          <w:rFonts w:ascii="仿宋" w:hAnsi="仿宋" w:eastAsia="仿宋"/>
          <w:b w:val="0"/>
          <w:bCs w:val="0"/>
        </w:rPr>
      </w:pPr>
      <w:bookmarkStart w:id="111" w:name="_Toc15396631"/>
      <w:bookmarkStart w:id="112" w:name="_Toc27312"/>
      <w:r>
        <w:rPr>
          <w:rStyle w:val="32"/>
          <w:rFonts w:hint="eastAsia" w:ascii="仿宋" w:hAnsi="仿宋" w:eastAsia="仿宋"/>
          <w:b w:val="0"/>
          <w:bCs w:val="0"/>
        </w:rPr>
        <w:t>十三、</w:t>
      </w:r>
      <w:r>
        <w:rPr>
          <w:rFonts w:hint="eastAsia" w:ascii="仿宋" w:hAnsi="仿宋" w:eastAsia="仿宋"/>
          <w:b w:val="0"/>
        </w:rPr>
        <w:t>国</w:t>
      </w:r>
      <w:r>
        <w:rPr>
          <w:rStyle w:val="32"/>
          <w:rFonts w:hint="eastAsia" w:ascii="仿宋" w:hAnsi="仿宋" w:eastAsia="仿宋"/>
          <w:b w:val="0"/>
          <w:bCs w:val="0"/>
        </w:rPr>
        <w:t>有资本经营预算财政拨款收入支出决算表</w:t>
      </w:r>
      <w:bookmarkEnd w:id="111"/>
      <w:bookmarkEnd w:id="112"/>
    </w:p>
    <w:p>
      <w:pPr>
        <w:rPr>
          <w:rFonts w:eastAsia="仿宋"/>
          <w:sz w:val="36"/>
          <w:szCs w:val="36"/>
        </w:rPr>
      </w:pPr>
      <w:bookmarkStart w:id="113" w:name="_Toc26900"/>
      <w:r>
        <w:rPr>
          <w:rStyle w:val="32"/>
          <w:rFonts w:hint="eastAsia" w:ascii="仿宋" w:hAnsi="仿宋" w:eastAsia="仿宋"/>
          <w:b w:val="0"/>
          <w:bCs w:val="0"/>
        </w:rPr>
        <w:t>十四</w:t>
      </w:r>
      <w:r>
        <w:rPr>
          <w:rStyle w:val="32"/>
          <w:rFonts w:hint="eastAsia" w:ascii="仿宋" w:hAnsi="仿宋" w:eastAsia="仿宋"/>
          <w:b w:val="0"/>
          <w:bCs w:val="0"/>
          <w:sz w:val="36"/>
          <w:szCs w:val="36"/>
        </w:rPr>
        <w:t>、</w:t>
      </w:r>
      <w:r>
        <w:rPr>
          <w:rFonts w:hint="eastAsia" w:ascii="仿宋" w:hAnsi="仿宋" w:eastAsia="仿宋"/>
          <w:sz w:val="36"/>
          <w:szCs w:val="36"/>
        </w:rPr>
        <w:t>国有资本经营预算财政拨款支出决算表</w:t>
      </w:r>
      <w:bookmarkEnd w:id="113"/>
    </w:p>
    <w:sectPr>
      <w:footerReference r:id="rId11"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PAGE   \* MERGEFORMAT</w:instrText>
    </w:r>
    <w:r>
      <w:fldChar w:fldCharType="separate"/>
    </w:r>
    <w:r>
      <w:rPr>
        <w:lang w:val="zh-CN"/>
      </w:rPr>
      <w:t>8</w:t>
    </w:r>
    <w: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8"/>
          <w:jc w:val="center"/>
        </w:pPr>
        <w:r>
          <w:fldChar w:fldCharType="begin"/>
        </w:r>
        <w:r>
          <w:instrText xml:space="preserve">PAGE   \* MERGEFORMAT</w:instrText>
        </w:r>
        <w:r>
          <w:fldChar w:fldCharType="separate"/>
        </w:r>
        <w:r>
          <w:rPr>
            <w:lang w:val="zh-CN"/>
          </w:rPr>
          <w:t>23</w:t>
        </w:r>
        <w:r>
          <w:fldChar w:fldCharType="end"/>
        </w:r>
      </w:p>
    </w:sdtContent>
  </w:sdt>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8B3473"/>
    <w:multiLevelType w:val="singleLevel"/>
    <w:tmpl w:val="1C8B3473"/>
    <w:lvl w:ilvl="0" w:tentative="0">
      <w:start w:val="9"/>
      <w:numFmt w:val="chineseCounting"/>
      <w:suff w:val="nothing"/>
      <w:lvlText w:val="%1、"/>
      <w:lvlJc w:val="left"/>
      <w:rPr>
        <w:rFonts w:hint="eastAsia"/>
      </w:rPr>
    </w:lvl>
  </w:abstractNum>
  <w:abstractNum w:abstractNumId="1">
    <w:nsid w:val="3BD922C3"/>
    <w:multiLevelType w:val="multilevel"/>
    <w:tmpl w:val="3BD922C3"/>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5DCB7342"/>
    <w:multiLevelType w:val="singleLevel"/>
    <w:tmpl w:val="5DCB7342"/>
    <w:lvl w:ilvl="0" w:tentative="0">
      <w:start w:val="3"/>
      <w:numFmt w:val="chineseCounting"/>
      <w:suff w:val="space"/>
      <w:lvlText w:val="第%1部分"/>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UyYTBhZThmOTU4YTliMjhiZDc4ZDk4MjhmMTAzNjkifQ=="/>
  </w:docVars>
  <w:rsids>
    <w:rsidRoot w:val="00962FA1"/>
    <w:rsid w:val="00490CF9"/>
    <w:rsid w:val="00962FA1"/>
    <w:rsid w:val="00D70DF2"/>
    <w:rsid w:val="2D2D41C3"/>
    <w:rsid w:val="588773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qFormat="1" w:unhideWhenUsed="0" w:uiPriority="99"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ody Text"/>
    <w:basedOn w:val="1"/>
    <w:qFormat/>
    <w:uiPriority w:val="99"/>
    <w:pPr>
      <w:spacing w:beforeLines="30"/>
    </w:pPr>
    <w:rPr>
      <w:rFonts w:ascii="仿宋_GB2312" w:eastAsia="仿宋_GB2312"/>
      <w:kern w:val="0"/>
      <w:sz w:val="30"/>
    </w:rPr>
  </w:style>
  <w:style w:type="paragraph" w:styleId="4">
    <w:name w:val="Plain Text"/>
    <w:basedOn w:val="1"/>
    <w:qFormat/>
    <w:uiPriority w:val="0"/>
    <w:rPr>
      <w:rFonts w:ascii="宋体" w:hAnsi="宋体" w:cs="Arial"/>
      <w:sz w:val="30"/>
    </w:rPr>
  </w:style>
  <w:style w:type="paragraph" w:styleId="5">
    <w:name w:val="Balloon Text"/>
    <w:basedOn w:val="1"/>
    <w:semiHidden/>
    <w:unhideWhenUsed/>
    <w:qFormat/>
    <w:uiPriority w:val="99"/>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Strong"/>
    <w:basedOn w:val="9"/>
    <w:qFormat/>
    <w:uiPriority w:val="99"/>
    <w:rPr>
      <w:b/>
    </w:rPr>
  </w:style>
  <w:style w:type="character" w:styleId="11">
    <w:name w:val="Hyperlink"/>
    <w:basedOn w:val="9"/>
    <w:unhideWhenUsed/>
    <w:qFormat/>
    <w:uiPriority w:val="99"/>
    <w:rPr>
      <w:color w:val="0000FF" w:themeColor="hyperlink"/>
      <w:u w:val="single"/>
    </w:rPr>
  </w:style>
  <w:style w:type="character" w:styleId="12">
    <w:name w:val="annotation reference"/>
    <w:basedOn w:val="9"/>
    <w:semiHidden/>
    <w:unhideWhenUsed/>
    <w:uiPriority w:val="99"/>
    <w:rPr>
      <w:sz w:val="21"/>
      <w:szCs w:val="21"/>
    </w:rPr>
  </w:style>
  <w:style w:type="paragraph" w:customStyle="1" w:styleId="13">
    <w:name w:val="Heading 1"/>
    <w:basedOn w:val="1"/>
    <w:next w:val="1"/>
    <w:link w:val="31"/>
    <w:qFormat/>
    <w:uiPriority w:val="9"/>
    <w:pPr>
      <w:keepNext/>
      <w:keepLines/>
      <w:spacing w:before="340" w:after="330" w:line="578" w:lineRule="auto"/>
      <w:outlineLvl w:val="0"/>
    </w:pPr>
    <w:rPr>
      <w:b/>
      <w:bCs/>
      <w:kern w:val="44"/>
      <w:sz w:val="44"/>
      <w:szCs w:val="44"/>
    </w:rPr>
  </w:style>
  <w:style w:type="paragraph" w:customStyle="1" w:styleId="14">
    <w:name w:val="Heading 2"/>
    <w:basedOn w:val="1"/>
    <w:next w:val="1"/>
    <w:link w:val="3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customStyle="1" w:styleId="15">
    <w:name w:val="Heading 3"/>
    <w:basedOn w:val="1"/>
    <w:next w:val="1"/>
    <w:link w:val="35"/>
    <w:unhideWhenUsed/>
    <w:qFormat/>
    <w:uiPriority w:val="9"/>
    <w:pPr>
      <w:keepNext/>
      <w:keepLines/>
      <w:spacing w:before="260" w:after="260" w:line="416" w:lineRule="auto"/>
      <w:outlineLvl w:val="2"/>
    </w:pPr>
    <w:rPr>
      <w:b/>
      <w:bCs/>
      <w:sz w:val="32"/>
      <w:szCs w:val="32"/>
    </w:rPr>
  </w:style>
  <w:style w:type="paragraph" w:customStyle="1" w:styleId="16">
    <w:name w:val="TOC 5"/>
    <w:basedOn w:val="1"/>
    <w:next w:val="1"/>
    <w:qFormat/>
    <w:uiPriority w:val="99"/>
    <w:pPr>
      <w:ind w:left="1680"/>
    </w:pPr>
  </w:style>
  <w:style w:type="paragraph" w:customStyle="1" w:styleId="17">
    <w:name w:val="TOC 3"/>
    <w:basedOn w:val="1"/>
    <w:next w:val="1"/>
    <w:unhideWhenUsed/>
    <w:qFormat/>
    <w:uiPriority w:val="39"/>
    <w:pPr>
      <w:tabs>
        <w:tab w:val="right" w:leader="dot" w:pos="8296"/>
      </w:tabs>
      <w:ind w:left="840" w:leftChars="400"/>
    </w:pPr>
  </w:style>
  <w:style w:type="paragraph" w:customStyle="1" w:styleId="18">
    <w:name w:val="Footer"/>
    <w:basedOn w:val="1"/>
    <w:qFormat/>
    <w:uiPriority w:val="99"/>
    <w:pPr>
      <w:tabs>
        <w:tab w:val="center" w:pos="4153"/>
        <w:tab w:val="right" w:pos="8306"/>
      </w:tabs>
      <w:snapToGrid w:val="0"/>
      <w:jc w:val="left"/>
    </w:pPr>
    <w:rPr>
      <w:rFonts w:ascii="Calibri" w:hAnsi="Calibri"/>
      <w:kern w:val="0"/>
      <w:sz w:val="18"/>
      <w:szCs w:val="18"/>
    </w:rPr>
  </w:style>
  <w:style w:type="paragraph" w:customStyle="1" w:styleId="19">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customStyle="1" w:styleId="2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21">
    <w:name w:val="TOC 2"/>
    <w:basedOn w:val="1"/>
    <w:next w:val="1"/>
    <w:unhideWhenUsed/>
    <w:qFormat/>
    <w:uiPriority w:val="39"/>
    <w:pPr>
      <w:tabs>
        <w:tab w:val="right" w:leader="dot" w:pos="8296"/>
      </w:tabs>
      <w:ind w:left="420" w:leftChars="200"/>
    </w:pPr>
  </w:style>
  <w:style w:type="character" w:customStyle="1" w:styleId="22">
    <w:name w:val="Page Number"/>
    <w:basedOn w:val="9"/>
    <w:qFormat/>
    <w:uiPriority w:val="0"/>
  </w:style>
  <w:style w:type="character" w:customStyle="1" w:styleId="23">
    <w:name w:val="Header Char"/>
    <w:basedOn w:val="9"/>
    <w:semiHidden/>
    <w:qFormat/>
    <w:uiPriority w:val="99"/>
    <w:rPr>
      <w:rFonts w:ascii="Times New Roman" w:hAnsi="Times New Roman"/>
      <w:sz w:val="18"/>
      <w:szCs w:val="18"/>
    </w:rPr>
  </w:style>
  <w:style w:type="character" w:customStyle="1" w:styleId="24">
    <w:name w:val="页眉 Char"/>
    <w:semiHidden/>
    <w:qFormat/>
    <w:locked/>
    <w:uiPriority w:val="99"/>
    <w:rPr>
      <w:sz w:val="18"/>
    </w:rPr>
  </w:style>
  <w:style w:type="character" w:customStyle="1" w:styleId="25">
    <w:name w:val="Footer Char"/>
    <w:basedOn w:val="9"/>
    <w:semiHidden/>
    <w:qFormat/>
    <w:uiPriority w:val="99"/>
    <w:rPr>
      <w:rFonts w:ascii="Times New Roman" w:hAnsi="Times New Roman"/>
      <w:sz w:val="18"/>
      <w:szCs w:val="18"/>
    </w:rPr>
  </w:style>
  <w:style w:type="character" w:customStyle="1" w:styleId="26">
    <w:name w:val="页脚 Char"/>
    <w:qFormat/>
    <w:locked/>
    <w:uiPriority w:val="99"/>
    <w:rPr>
      <w:sz w:val="18"/>
    </w:rPr>
  </w:style>
  <w:style w:type="character" w:customStyle="1" w:styleId="27">
    <w:name w:val="Body Text Char"/>
    <w:basedOn w:val="9"/>
    <w:semiHidden/>
    <w:qFormat/>
    <w:uiPriority w:val="99"/>
    <w:rPr>
      <w:rFonts w:ascii="Times New Roman" w:hAnsi="Times New Roman"/>
      <w:szCs w:val="24"/>
    </w:rPr>
  </w:style>
  <w:style w:type="character" w:customStyle="1" w:styleId="28">
    <w:name w:val="正文文本 Char"/>
    <w:qFormat/>
    <w:locked/>
    <w:uiPriority w:val="99"/>
    <w:rPr>
      <w:rFonts w:ascii="仿宋_GB2312" w:hAnsi="Times New Roman" w:eastAsia="仿宋_GB2312"/>
      <w:sz w:val="24"/>
    </w:rPr>
  </w:style>
  <w:style w:type="paragraph" w:customStyle="1" w:styleId="2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0">
    <w:name w:val="List Paragraph"/>
    <w:basedOn w:val="1"/>
    <w:qFormat/>
    <w:uiPriority w:val="34"/>
    <w:pPr>
      <w:ind w:firstLine="420" w:firstLineChars="200"/>
    </w:pPr>
  </w:style>
  <w:style w:type="character" w:customStyle="1" w:styleId="31">
    <w:name w:val="标题 1 Char"/>
    <w:basedOn w:val="9"/>
    <w:link w:val="13"/>
    <w:qFormat/>
    <w:uiPriority w:val="9"/>
    <w:rPr>
      <w:rFonts w:ascii="Times New Roman" w:hAnsi="Times New Roman"/>
      <w:b/>
      <w:bCs/>
      <w:kern w:val="44"/>
      <w:sz w:val="44"/>
      <w:szCs w:val="44"/>
    </w:rPr>
  </w:style>
  <w:style w:type="character" w:customStyle="1" w:styleId="32">
    <w:name w:val="标题 2 Char"/>
    <w:basedOn w:val="9"/>
    <w:link w:val="14"/>
    <w:qFormat/>
    <w:uiPriority w:val="9"/>
    <w:rPr>
      <w:rFonts w:asciiTheme="majorHAnsi" w:hAnsiTheme="majorHAnsi" w:eastAsiaTheme="majorEastAsia" w:cstheme="majorBidi"/>
      <w:b/>
      <w:bCs/>
      <w:kern w:val="2"/>
      <w:sz w:val="32"/>
      <w:szCs w:val="32"/>
    </w:rPr>
  </w:style>
  <w:style w:type="paragraph" w:customStyle="1" w:styleId="33">
    <w:name w:val="TOC 标题1"/>
    <w:basedOn w:val="1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4">
    <w:name w:val="批注框文本 Char"/>
    <w:basedOn w:val="9"/>
    <w:semiHidden/>
    <w:qFormat/>
    <w:uiPriority w:val="99"/>
    <w:rPr>
      <w:rFonts w:ascii="Times New Roman" w:hAnsi="Times New Roman"/>
      <w:kern w:val="2"/>
      <w:sz w:val="18"/>
      <w:szCs w:val="18"/>
    </w:rPr>
  </w:style>
  <w:style w:type="character" w:customStyle="1" w:styleId="35">
    <w:name w:val="标题 3 Char"/>
    <w:basedOn w:val="9"/>
    <w:link w:val="15"/>
    <w:qFormat/>
    <w:uiPriority w:val="9"/>
    <w:rPr>
      <w:rFonts w:ascii="Times New Roman" w:hAnsi="Times New Roman"/>
      <w:b/>
      <w:bCs/>
      <w:kern w:val="2"/>
      <w:sz w:val="32"/>
      <w:szCs w:val="32"/>
    </w:rPr>
  </w:style>
  <w:style w:type="paragraph" w:customStyle="1" w:styleId="36">
    <w:name w:val="TOC 标题2"/>
    <w:basedOn w:val="1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7">
    <w:name w:val="font11"/>
    <w:basedOn w:val="9"/>
    <w:qFormat/>
    <w:uiPriority w:val="0"/>
    <w:rPr>
      <w:rFonts w:hint="eastAsia" w:ascii="宋体" w:hAnsi="宋体" w:eastAsia="宋体" w:cs="Times New Roman"/>
      <w:color w:val="000000"/>
      <w:sz w:val="20"/>
      <w:szCs w:val="20"/>
      <w:u w:val="none"/>
    </w:rPr>
  </w:style>
  <w:style w:type="paragraph" w:customStyle="1" w:styleId="38">
    <w:name w:val="正文文本1"/>
    <w:basedOn w:val="1"/>
    <w:qFormat/>
    <w:uiPriority w:val="99"/>
    <w:pPr>
      <w:spacing w:beforeLines="30"/>
    </w:pPr>
    <w:rPr>
      <w:rFonts w:ascii="仿宋_GB2312" w:eastAsia="仿宋_GB2312"/>
      <w:kern w:val="0"/>
      <w:sz w:val="24"/>
      <w:szCs w:val="20"/>
    </w:rPr>
  </w:style>
  <w:style w:type="paragraph" w:customStyle="1" w:styleId="39">
    <w:name w:val="批注框文本1"/>
    <w:basedOn w:val="1"/>
    <w:unhideWhenUsed/>
    <w:qFormat/>
    <w:uiPriority w:val="99"/>
    <w:rPr>
      <w:sz w:val="18"/>
      <w:szCs w:val="18"/>
    </w:rPr>
  </w:style>
  <w:style w:type="character" w:customStyle="1" w:styleId="40">
    <w:name w:val="要点1"/>
    <w:basedOn w:val="41"/>
    <w:qFormat/>
    <w:uiPriority w:val="99"/>
    <w:rPr>
      <w:rFonts w:cs="Times New Roman"/>
      <w:b/>
    </w:rPr>
  </w:style>
  <w:style w:type="character" w:customStyle="1" w:styleId="41">
    <w:name w:val="默认段落字体1"/>
    <w:unhideWhenUsed/>
    <w:qFormat/>
    <w:uiPriority w:val="1"/>
  </w:style>
  <w:style w:type="paragraph" w:customStyle="1" w:styleId="42">
    <w:name w:val="四号正文"/>
    <w:basedOn w:val="1"/>
    <w:qFormat/>
    <w:uiPriority w:val="0"/>
    <w:pPr>
      <w:spacing w:line="360" w:lineRule="auto"/>
    </w:pPr>
    <w:rPr>
      <w:rFonts w:ascii="??" w:hAnsi="??" w:cs="宋体"/>
      <w:color w:val="000000"/>
      <w:kern w:val="0"/>
      <w:sz w:val="28"/>
      <w:szCs w:val="21"/>
    </w:rPr>
  </w:style>
  <w:style w:type="paragraph" w:customStyle="1" w:styleId="43">
    <w:name w:val="WPSOffice手动目录 1"/>
    <w:qFormat/>
    <w:uiPriority w:val="0"/>
    <w:rPr>
      <w:rFonts w:asciiTheme="minorHAnsi" w:hAnsiTheme="minorHAnsi" w:eastAsiaTheme="minorEastAsia" w:cstheme="minorBidi"/>
      <w:lang w:val="en-US" w:eastAsia="zh-CN" w:bidi="ar-SA"/>
    </w:rPr>
  </w:style>
  <w:style w:type="paragraph" w:customStyle="1" w:styleId="44">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45">
    <w:name w:val="批注文字 Char"/>
    <w:basedOn w:val="9"/>
    <w:semiHidden/>
    <w:uiPriority w:val="99"/>
    <w:rPr>
      <w:rFonts w:ascii="Times New Roman" w:hAnsi="Times New Roman" w:eastAsia="宋体" w:cs="Times New Roman"/>
      <w:kern w:val="2"/>
      <w:sz w:val="21"/>
      <w:szCs w:val="24"/>
    </w:rPr>
  </w:style>
  <w:style w:type="paragraph" w:customStyle="1" w:styleId="46">
    <w:name w:val="Header0"/>
    <w:basedOn w:val="1"/>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47">
    <w:name w:val="页眉 Char1"/>
    <w:basedOn w:val="9"/>
    <w:semiHidden/>
    <w:uiPriority w:val="99"/>
    <w:rPr>
      <w:rFonts w:ascii="Times New Roman" w:hAnsi="Times New Roman" w:eastAsia="宋体" w:cs="Times New Roman"/>
      <w:kern w:val="2"/>
      <w:sz w:val="18"/>
      <w:szCs w:val="18"/>
    </w:rPr>
  </w:style>
  <w:style w:type="paragraph" w:customStyle="1" w:styleId="48">
    <w:name w:val="Footer0"/>
    <w:basedOn w:val="1"/>
    <w:qFormat/>
    <w:uiPriority w:val="99"/>
    <w:pPr>
      <w:tabs>
        <w:tab w:val="center" w:pos="4153"/>
        <w:tab w:val="right" w:pos="8306"/>
      </w:tabs>
      <w:snapToGrid w:val="0"/>
      <w:jc w:val="left"/>
    </w:pPr>
    <w:rPr>
      <w:sz w:val="18"/>
      <w:szCs w:val="18"/>
    </w:rPr>
  </w:style>
  <w:style w:type="character" w:customStyle="1" w:styleId="49">
    <w:name w:val="页脚 Char1"/>
    <w:basedOn w:val="9"/>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8" Type="http://schemas.openxmlformats.org/officeDocument/2006/relationships/fontTable" Target="fontTable.xml"/><Relationship Id="rId37" Type="http://schemas.openxmlformats.org/officeDocument/2006/relationships/customXml" Target="../customXml/item13.xml"/><Relationship Id="rId36" Type="http://schemas.openxmlformats.org/officeDocument/2006/relationships/customXml" Target="../customXml/item12.xml"/><Relationship Id="rId35" Type="http://schemas.openxmlformats.org/officeDocument/2006/relationships/customXml" Target="../customXml/item11.xml"/><Relationship Id="rId34" Type="http://schemas.openxmlformats.org/officeDocument/2006/relationships/customXml" Target="../customXml/item10.xml"/><Relationship Id="rId33" Type="http://schemas.openxmlformats.org/officeDocument/2006/relationships/customXml" Target="../customXml/item9.xml"/><Relationship Id="rId32" Type="http://schemas.openxmlformats.org/officeDocument/2006/relationships/customXml" Target="../customXml/item8.xml"/><Relationship Id="rId31" Type="http://schemas.openxmlformats.org/officeDocument/2006/relationships/customXml" Target="../customXml/item7.xml"/><Relationship Id="rId30" Type="http://schemas.openxmlformats.org/officeDocument/2006/relationships/customXml" Target="../customXml/item6.xml"/><Relationship Id="rId3" Type="http://schemas.openxmlformats.org/officeDocument/2006/relationships/header" Target="header1.xml"/><Relationship Id="rId29" Type="http://schemas.openxmlformats.org/officeDocument/2006/relationships/customXml" Target="../customXml/item5.xml"/><Relationship Id="rId28" Type="http://schemas.openxmlformats.org/officeDocument/2006/relationships/customXml" Target="../customXml/item4.xml"/><Relationship Id="rId27" Type="http://schemas.openxmlformats.org/officeDocument/2006/relationships/customXml" Target="../customXml/item3.xml"/><Relationship Id="rId26" Type="http://schemas.openxmlformats.org/officeDocument/2006/relationships/customXml" Target="../customXml/item2.xml"/><Relationship Id="rId25" Type="http://schemas.openxmlformats.org/officeDocument/2006/relationships/customXml" Target="../customXml/item1.xml"/><Relationship Id="rId24" Type="http://schemas.openxmlformats.org/officeDocument/2006/relationships/numbering" Target="numbering.xml"/><Relationship Id="rId23" Type="http://schemas.openxmlformats.org/officeDocument/2006/relationships/image" Target="media/image2.emf"/><Relationship Id="rId22" Type="http://schemas.openxmlformats.org/officeDocument/2006/relationships/oleObject" Target="embeddings/Workbook2.xls"/><Relationship Id="rId21" Type="http://schemas.openxmlformats.org/officeDocument/2006/relationships/image" Target="media/image1.emf"/><Relationship Id="rId20" Type="http://schemas.openxmlformats.org/officeDocument/2006/relationships/oleObject" Target="embeddings/Workbook1.xls"/><Relationship Id="rId2" Type="http://schemas.openxmlformats.org/officeDocument/2006/relationships/settings" Target="settings.xml"/><Relationship Id="rId19" Type="http://schemas.openxmlformats.org/officeDocument/2006/relationships/chart" Target="charts/chart7.xml"/><Relationship Id="rId18" Type="http://schemas.openxmlformats.org/officeDocument/2006/relationships/chart" Target="charts/chart6.xml"/><Relationship Id="rId17" Type="http://schemas.openxmlformats.org/officeDocument/2006/relationships/chart" Target="charts/chart5.xml"/><Relationship Id="rId16" Type="http://schemas.openxmlformats.org/officeDocument/2006/relationships/chart" Target="charts/chart4.xml"/><Relationship Id="rId15" Type="http://schemas.openxmlformats.org/officeDocument/2006/relationships/chart" Target="charts/chart3.xml"/><Relationship Id="rId14" Type="http://schemas.openxmlformats.org/officeDocument/2006/relationships/chart" Target="charts/chart2.xml"/><Relationship Id="rId13" Type="http://schemas.openxmlformats.org/officeDocument/2006/relationships/chart" Target="charts/chart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收入</c:v>
                </c:pt>
                <c:pt idx="1">
                  <c:v>支出</c:v>
                </c:pt>
              </c:strCache>
            </c:strRef>
          </c:cat>
          <c:val>
            <c:numRef>
              <c:f>Sheet1!$B$2:$B$3</c:f>
              <c:numCache>
                <c:formatCode>General</c:formatCode>
                <c:ptCount val="2"/>
                <c:pt idx="0">
                  <c:v>828.8</c:v>
                </c:pt>
                <c:pt idx="1">
                  <c:v>828.8</c:v>
                </c:pt>
              </c:numCache>
            </c:numRef>
          </c:val>
        </c:ser>
        <c:ser>
          <c:idx val="1"/>
          <c:order val="1"/>
          <c:tx>
            <c:strRef>
              <c:f>Sheet1!$C$1</c:f>
              <c:strCache>
                <c:ptCount val="1"/>
                <c:pt idx="0">
                  <c:v>2020年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收入</c:v>
                </c:pt>
                <c:pt idx="1">
                  <c:v>支出</c:v>
                </c:pt>
              </c:strCache>
            </c:strRef>
          </c:cat>
          <c:val>
            <c:numRef>
              <c:f>Sheet1!$C$2:$C$3</c:f>
              <c:numCache>
                <c:formatCode>General</c:formatCode>
                <c:ptCount val="2"/>
                <c:pt idx="0">
                  <c:v>1147.4</c:v>
                </c:pt>
                <c:pt idx="1">
                  <c:v>1147.4</c:v>
                </c:pt>
              </c:numCache>
            </c:numRef>
          </c:val>
        </c:ser>
        <c:dLbls>
          <c:showLegendKey val="0"/>
          <c:showVal val="1"/>
          <c:showCatName val="0"/>
          <c:showSerName val="0"/>
          <c:showPercent val="0"/>
          <c:showBubbleSize val="0"/>
        </c:dLbls>
        <c:gapWidth val="219"/>
        <c:overlap val="-27"/>
        <c:axId val="190817408"/>
        <c:axId val="190819328"/>
      </c:barChart>
      <c:catAx>
        <c:axId val="19081740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0819328"/>
        <c:crosses val="autoZero"/>
        <c:auto val="1"/>
        <c:lblAlgn val="ctr"/>
        <c:lblOffset val="100"/>
        <c:noMultiLvlLbl val="0"/>
      </c:catAx>
      <c:valAx>
        <c:axId val="1908193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081740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收入</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一般公共预算财政拨款收入</c:v>
                </c:pt>
              </c:strCache>
            </c:strRef>
          </c:cat>
          <c:val>
            <c:numRef>
              <c:f>Sheet1!$B$2:$B$5</c:f>
              <c:numCache>
                <c:formatCode>General</c:formatCode>
                <c:ptCount val="4"/>
                <c:pt idx="0">
                  <c:v>712.71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1"/>
        <c:delete val="1"/>
      </c:legendEntry>
      <c:legendEntry>
        <c:idx val="2"/>
        <c:delete val="1"/>
      </c:legendEntry>
      <c:legendEntry>
        <c:idx val="3"/>
        <c:delete val="1"/>
      </c:legendEntry>
      <c:layout>
        <c:manualLayout>
          <c:xMode val="edge"/>
          <c:yMode val="edge"/>
          <c:x val="0.2406875"/>
          <c:y val="0.91137695312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300.41</c:v>
                </c:pt>
                <c:pt idx="1">
                  <c:v>528.4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收入</c:v>
                </c:pt>
                <c:pt idx="1">
                  <c:v>支出</c:v>
                </c:pt>
              </c:strCache>
            </c:strRef>
          </c:cat>
          <c:val>
            <c:numRef>
              <c:f>Sheet1!$B$2:$B$3</c:f>
              <c:numCache>
                <c:formatCode>General</c:formatCode>
                <c:ptCount val="2"/>
                <c:pt idx="0">
                  <c:v>828.8</c:v>
                </c:pt>
                <c:pt idx="1">
                  <c:v>828.8</c:v>
                </c:pt>
              </c:numCache>
            </c:numRef>
          </c:val>
        </c:ser>
        <c:ser>
          <c:idx val="1"/>
          <c:order val="1"/>
          <c:tx>
            <c:strRef>
              <c:f>Sheet1!$C$1</c:f>
              <c:strCache>
                <c:ptCount val="1"/>
                <c:pt idx="0">
                  <c:v>2020年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收入</c:v>
                </c:pt>
                <c:pt idx="1">
                  <c:v>支出</c:v>
                </c:pt>
              </c:strCache>
            </c:strRef>
          </c:cat>
          <c:val>
            <c:numRef>
              <c:f>Sheet1!$C$2:$C$3</c:f>
              <c:numCache>
                <c:formatCode>General</c:formatCode>
                <c:ptCount val="2"/>
                <c:pt idx="0">
                  <c:v>1147.4</c:v>
                </c:pt>
                <c:pt idx="1">
                  <c:v>1147.4</c:v>
                </c:pt>
              </c:numCache>
            </c:numRef>
          </c:val>
        </c:ser>
        <c:dLbls>
          <c:showLegendKey val="0"/>
          <c:showVal val="1"/>
          <c:showCatName val="0"/>
          <c:showSerName val="0"/>
          <c:showPercent val="0"/>
          <c:showBubbleSize val="0"/>
        </c:dLbls>
        <c:gapWidth val="219"/>
        <c:overlap val="-27"/>
        <c:axId val="254245120"/>
        <c:axId val="254341120"/>
      </c:barChart>
      <c:catAx>
        <c:axId val="25424512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4341120"/>
        <c:crosses val="autoZero"/>
        <c:auto val="1"/>
        <c:lblAlgn val="ctr"/>
        <c:lblOffset val="100"/>
        <c:noMultiLvlLbl val="0"/>
      </c:catAx>
      <c:valAx>
        <c:axId val="25434112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424512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044575"/>
          <c:y val="0.135008133020061"/>
          <c:w val="0.927925"/>
          <c:h val="0.692644135188868"/>
        </c:manualLayout>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支出</c:v>
                </c:pt>
              </c:strCache>
            </c:strRef>
          </c:cat>
          <c:val>
            <c:numRef>
              <c:f>Sheet1!$B$2</c:f>
              <c:numCache>
                <c:formatCode>General</c:formatCode>
                <c:ptCount val="1"/>
                <c:pt idx="0">
                  <c:v>828.8</c:v>
                </c:pt>
              </c:numCache>
            </c:numRef>
          </c:val>
        </c:ser>
        <c:ser>
          <c:idx val="1"/>
          <c:order val="1"/>
          <c:tx>
            <c:strRef>
              <c:f>Sheet1!$C$1</c:f>
              <c:strCache>
                <c:ptCount val="1"/>
                <c:pt idx="0">
                  <c:v>2020年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支出</c:v>
                </c:pt>
              </c:strCache>
            </c:strRef>
          </c:cat>
          <c:val>
            <c:numRef>
              <c:f>Sheet1!$C$2</c:f>
              <c:numCache>
                <c:formatCode>General</c:formatCode>
                <c:ptCount val="1"/>
                <c:pt idx="0">
                  <c:v>1147.4</c:v>
                </c:pt>
              </c:numCache>
            </c:numRef>
          </c:val>
        </c:ser>
        <c:dLbls>
          <c:showLegendKey val="0"/>
          <c:showVal val="1"/>
          <c:showCatName val="0"/>
          <c:showSerName val="0"/>
          <c:showPercent val="0"/>
          <c:showBubbleSize val="0"/>
        </c:dLbls>
        <c:gapWidth val="219"/>
        <c:overlap val="-27"/>
        <c:axId val="162028544"/>
        <c:axId val="174011136"/>
      </c:barChart>
      <c:catAx>
        <c:axId val="16202854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4011136"/>
        <c:crosses val="autoZero"/>
        <c:auto val="1"/>
        <c:lblAlgn val="ctr"/>
        <c:lblOffset val="100"/>
        <c:noMultiLvlLbl val="0"/>
      </c:catAx>
      <c:valAx>
        <c:axId val="17401113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202854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6175"/>
          <c:y val="0.005"/>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公共预算拨款支出</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Sheet1!$A$2:$A$7</c:f>
              <c:strCache>
                <c:ptCount val="6"/>
                <c:pt idx="0">
                  <c:v>一般公共服务支出</c:v>
                </c:pt>
                <c:pt idx="1">
                  <c:v>社会保障和就业支出</c:v>
                </c:pt>
                <c:pt idx="2">
                  <c:v>卫生健康支出</c:v>
                </c:pt>
                <c:pt idx="3">
                  <c:v>农林水支出</c:v>
                </c:pt>
                <c:pt idx="4">
                  <c:v>商业服务业等支出</c:v>
                </c:pt>
                <c:pt idx="5">
                  <c:v>住房保障支出</c:v>
                </c:pt>
              </c:strCache>
            </c:strRef>
          </c:cat>
          <c:val>
            <c:numRef>
              <c:f>Sheet1!$B$2:$B$7</c:f>
              <c:numCache>
                <c:formatCode>General</c:formatCode>
                <c:ptCount val="6"/>
                <c:pt idx="0">
                  <c:v>451.33</c:v>
                </c:pt>
                <c:pt idx="1">
                  <c:v>23.86</c:v>
                </c:pt>
                <c:pt idx="2">
                  <c:v>15.57</c:v>
                </c:pt>
                <c:pt idx="3">
                  <c:v>235.68</c:v>
                </c:pt>
                <c:pt idx="4">
                  <c:v>85.22</c:v>
                </c:pt>
                <c:pt idx="5">
                  <c:v>17.14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三公经费支出</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因公出国出境费</c:v>
                </c:pt>
                <c:pt idx="1">
                  <c:v>公务用车购置及运行维护费</c:v>
                </c:pt>
                <c:pt idx="2">
                  <c:v>公务接待费</c:v>
                </c:pt>
              </c:strCache>
            </c:strRef>
          </c:cat>
          <c:val>
            <c:numRef>
              <c:f>Sheet1!$B$2:$B$4</c:f>
              <c:numCache>
                <c:formatCode>General</c:formatCode>
                <c:ptCount val="3"/>
                <c:pt idx="0">
                  <c:v>0</c:v>
                </c:pt>
                <c:pt idx="1">
                  <c:v>0</c:v>
                </c:pt>
                <c:pt idx="2">
                  <c:v>0.82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http://schemas.openxmlformats.org/officeDocument/2006/extended-properties" xmlns:vt="http://schemas.openxmlformats.org/officeDocument/2006/docPropsVTypes">
  <Template>Normal</Template>
  <TotalTime>10</TotalTime>
  <Pages>30</Pages>
  <Words>1867</Words>
  <Characters>10643</Characters>
  <Application>Microsoft Office Word</Application>
  <DocSecurity>0</DocSecurity>
  <Lines>88</Lines>
  <Paragraphs>24</Paragraphs>
  <ScaleCrop>false</ScaleCrop>
  <Company>四川省财政厅</Company>
  <LinksUpToDate>false</LinksUpToDate>
  <CharactersWithSpaces>12486</CharactersWithSpaces>
  <SharedDoc>false</SharedDoc>
  <HyperlinksChanged>false</HyperlinksChanged>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43</cp:revision>
  <cp:lastPrinted>2022-09-05T02:35:00Z</cp:lastPrinted>
  <dcterms:created xsi:type="dcterms:W3CDTF">2020-08-05T01:49:00Z</dcterms:created>
  <dcterms:modified xsi:type="dcterms:W3CDTF">2023-02-28T08:33:00Z</dcterms:modified>
</cp:coreProperties>
</file>

<file path=customXml/item11.xml><?xml version="1.0" encoding="utf-8"?>
<Properties xmlns:vt="http://schemas.openxmlformats.org/officeDocument/2006/docPropsVTypes" xmlns="http://schemas.openxmlformats.org/officeDocument/2006/extended-properties">
  <Template>Normal.dotm</Template>
  <TotalTime>1</TotalTime>
  <Pages>33</Pages>
  <Words>10562</Words>
  <Characters>11679</Characters>
  <Application>WPS Office_11.1.0.9208_F1E327BC-269C-435d-A152-05C5408002CA</Application>
  <DocSecurity>0</DocSecurity>
  <Lines>61</Lines>
  <Paragraphs>17</Paragraphs>
  <Company>四川省财政厅</Company>
  <CharactersWithSpaces>11818</CharactersWithSpaces>
  <AppVersion>14.0000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asd</cp:lastModifiedBy>
  <cp:lastPrinted>2022-09-05T02:35:00Z</cp:lastPrinted>
  <dcterms:modified xsi:type="dcterms:W3CDTF">2022-09-28T09:11:37Z</dcterms:modified>
  <dc:title>四川省***</dc:title>
  <cp:revision>32</cp:revision>
</cp:coreProperties>
</file>

<file path=customXml/item13.xml><?xml version="1.0" encoding="utf-8"?>
<Properties xmlns="http://schemas.openxmlformats.org/officeDocument/2006/extended-properties" xmlns:vt="http://schemas.openxmlformats.org/officeDocument/2006/docPropsVTypes">
  <Template>Normal.dotm</Template>
  <Company>四川省财政厅</Company>
  <Pages>33</Pages>
  <Words>10562</Words>
  <Characters>11679</Characters>
  <Lines>61</Lines>
  <Paragraphs>17</Paragraphs>
  <TotalTime>1</TotalTime>
  <ScaleCrop>false</ScaleCrop>
  <LinksUpToDate>false</LinksUpToDate>
  <CharactersWithSpaces>11818</CharactersWithSpaces>
  <Application>WPS Office_11.1.0.9208_F1E327BC-269C-435d-A152-05C5408002CA</Application>
  <DocSecurity>0</DocSecuri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32</cp:revision>
  <cp:lastPrinted>2022-09-05T02:35:00Z</cp:lastPrinted>
  <dcterms:created xsi:type="dcterms:W3CDTF">2020-08-05T01:49:00Z</dcterms:created>
  <dcterms:modified xsi:type="dcterms:W3CDTF">2022-09-28T09:11:37Z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43</cp:revision>
  <cp:lastPrinted>2022-09-05T02:35:00Z</cp:lastPrinted>
  <dcterms:created xsi:type="dcterms:W3CDTF">2020-08-05T01:49:00Z</dcterms:created>
  <dcterms:modified xsi:type="dcterms:W3CDTF">2023-02-28T08:33:00Z</dcterms:modified>
</cp:coreProperties>
</file>

<file path=customXml/item4.xml><?xml version="1.0" encoding="utf-8"?>
<Properties xmlns:vt="http://schemas.openxmlformats.org/officeDocument/2006/docPropsVTypes" xmlns="http://schemas.openxmlformats.org/officeDocument/2006/extended-properties">
  <Template>Normal</Template>
  <TotalTime>10</TotalTime>
  <Pages>30</Pages>
  <Words>1867</Words>
  <Characters>10643</Characters>
  <Application>Microsoft Office Word</Application>
  <DocSecurity>0</DocSecurity>
  <Lines>88</Lines>
  <Paragraphs>24</Paragraphs>
  <Company>四川省财政厅</Company>
  <CharactersWithSpaces>12486</CharactersWithSpaces>
  <AppVersion>12.0000</AppVersion>
</Properties>
</file>

<file path=customXml/item5.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7DB68AC163B343539BC7F26D971ACFA6</vt:lpwstr>
  </property>
</Properties>
</file>

<file path=customXml/item6.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7DB68AC163B343539BC7F26D971ACFA6</vt:lpwstr>
  </property>
</Properties>
</file>

<file path=customXml/item7.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7DB68AC163B343539BC7F26D971ACFA6</vt:lpstr>
  </property>
</Properties>
</file>

<file path=customXml/item8.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7DB68AC163B343539BC7F26D971ACFA6</vt:lpstr>
  </property>
</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E6A93-D9E9-4DB6-BAD6-3BD5D024CE47}">
  <ds:schemaRefs/>
</ds:datastoreItem>
</file>

<file path=customXml/itemProps10.xml><?xml version="1.0" encoding="utf-8"?>
<ds:datastoreItem xmlns:ds="http://schemas.openxmlformats.org/officeDocument/2006/customXml" ds:itemID="{EE01C567-15EA-4199-BD55-2EA43CACB09A}">
  <ds:schemaRefs/>
</ds:datastoreItem>
</file>

<file path=customXml/itemProps11.xml><?xml version="1.0" encoding="utf-8"?>
<ds:datastoreItem xmlns:ds="http://schemas.openxmlformats.org/officeDocument/2006/customXml" ds:itemID="{C1DB17FF-A58F-479F-B55C-3D5F848ADEDD}">
  <ds:schemaRefs/>
</ds:datastoreItem>
</file>

<file path=customXml/itemProps12.xml><?xml version="1.0" encoding="utf-8"?>
<ds:datastoreItem xmlns:ds="http://schemas.openxmlformats.org/officeDocument/2006/customXml" ds:itemID="{6A593B13-B655-41C7-BD70-F8345EA91A27}">
  <ds:schemaRefs/>
</ds:datastoreItem>
</file>

<file path=customXml/itemProps13.xml><?xml version="1.0" encoding="utf-8"?>
<ds:datastoreItem xmlns:ds="http://schemas.openxmlformats.org/officeDocument/2006/customXml" ds:itemID="{F51AD506-52D8-4939-825A-79550E67F1F6}">
  <ds:schemaRefs/>
</ds:datastoreItem>
</file>

<file path=customXml/itemProps2.xml><?xml version="1.0" encoding="utf-8"?>
<ds:datastoreItem xmlns:ds="http://schemas.openxmlformats.org/officeDocument/2006/customXml" ds:itemID="{8C29F64D-7191-47E0-8B7C-9342F3C038E4}">
  <ds:schemaRefs/>
</ds:datastoreItem>
</file>

<file path=customXml/itemProps3.xml><?xml version="1.0" encoding="utf-8"?>
<ds:datastoreItem xmlns:ds="http://schemas.openxmlformats.org/officeDocument/2006/customXml" ds:itemID="{B9F5B24D-68CB-493A-9EC8-0FAFEC104454}">
  <ds:schemaRefs/>
</ds:datastoreItem>
</file>

<file path=customXml/itemProps4.xml><?xml version="1.0" encoding="utf-8"?>
<ds:datastoreItem xmlns:ds="http://schemas.openxmlformats.org/officeDocument/2006/customXml" ds:itemID="{73069023-9630-43B4-944C-F30D48306297}">
  <ds:schemaRefs/>
</ds:datastoreItem>
</file>

<file path=customXml/itemProps5.xml><?xml version="1.0" encoding="utf-8"?>
<ds:datastoreItem xmlns:ds="http://schemas.openxmlformats.org/officeDocument/2006/customXml" ds:itemID="{1FC36113-EA0A-4BDB-8032-F9D66FB85868}">
  <ds:schemaRefs/>
</ds:datastoreItem>
</file>

<file path=customXml/itemProps6.xml><?xml version="1.0" encoding="utf-8"?>
<ds:datastoreItem xmlns:ds="http://schemas.openxmlformats.org/officeDocument/2006/customXml" ds:itemID="{21373507-B695-46E6-B1EF-7105FEE179E3}">
  <ds:schemaRefs/>
</ds:datastoreItem>
</file>

<file path=customXml/itemProps7.xml><?xml version="1.0" encoding="utf-8"?>
<ds:datastoreItem xmlns:ds="http://schemas.openxmlformats.org/officeDocument/2006/customXml" ds:itemID="{46C7937D-D85D-427A-8D78-75C817D19E7E}">
  <ds:schemaRefs/>
</ds:datastoreItem>
</file>

<file path=customXml/itemProps8.xml><?xml version="1.0" encoding="utf-8"?>
<ds:datastoreItem xmlns:ds="http://schemas.openxmlformats.org/officeDocument/2006/customXml" ds:itemID="{D4473ACD-64C7-48A6-93BF-3BCF323CC1F7}">
  <ds:schemaRefs/>
</ds:datastoreItem>
</file>

<file path=customXml/itemProps9.xml><?xml version="1.0" encoding="utf-8"?>
<ds:datastoreItem xmlns:ds="http://schemas.openxmlformats.org/officeDocument/2006/customXml" ds:itemID="{C02109A9-5572-4CCF-B034-77C87DFB66CF}">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30</Pages>
  <Words>10013</Words>
  <Characters>10581</Characters>
  <Lines>88</Lines>
  <Paragraphs>24</Paragraphs>
  <TotalTime>2</TotalTime>
  <ScaleCrop>false</ScaleCrop>
  <LinksUpToDate>false</LinksUpToDate>
  <CharactersWithSpaces>10684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狂奔的蜗牛</cp:lastModifiedBy>
  <cp:lastPrinted>2022-09-05T02:35:00Z</cp:lastPrinted>
  <dcterms:modified xsi:type="dcterms:W3CDTF">2023-03-12T13:51:42Z</dcterms:modified>
  <dc:title>四川省***</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7DB68AC163B343539BC7F26D971ACFA6</vt:lpwstr>
  </property>
</Properties>
</file>