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color w:val="000000"/>
          <w:sz w:val="72"/>
          <w:szCs w:val="72"/>
        </w:rPr>
      </w:pPr>
      <w:bookmarkStart w:id="0" w:name="_Toc15378441"/>
      <w:bookmarkStart w:id="1" w:name="_Toc15377425"/>
      <w:bookmarkStart w:id="2" w:name="_Toc15396475"/>
      <w:bookmarkStart w:id="3" w:name="_Toc15377193"/>
      <w:bookmarkStart w:id="4" w:name="_Toc15396597"/>
    </w:p>
    <w:p>
      <w:pPr>
        <w:adjustRightInd w:val="0"/>
        <w:snapToGrid w:val="0"/>
        <w:spacing w:line="360" w:lineRule="auto"/>
        <w:jc w:val="center"/>
        <w:rPr>
          <w:rFonts w:ascii="黑体" w:hAnsi="黑体" w:eastAsia="黑体"/>
          <w:color w:val="000000"/>
          <w:sz w:val="72"/>
          <w:szCs w:val="72"/>
        </w:rPr>
      </w:pPr>
    </w:p>
    <w:p>
      <w:pPr>
        <w:adjustRightInd w:val="0"/>
        <w:snapToGrid w:val="0"/>
        <w:spacing w:line="360" w:lineRule="auto"/>
        <w:jc w:val="center"/>
        <w:rPr>
          <w:rFonts w:ascii="方正小标宋简体" w:hAnsi="方正小标宋简体" w:eastAsia="方正小标宋简体" w:cs="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5" w:name="_Toc10040"/>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96598"/>
      <w:bookmarkStart w:id="9" w:name="_Toc15378442"/>
      <w:bookmarkStart w:id="10" w:name="_Toc15396476"/>
      <w:bookmarkStart w:id="11" w:name="_Toc15306268"/>
      <w:bookmarkStart w:id="12" w:name="_Toc19085"/>
      <w:r>
        <w:rPr>
          <w:rFonts w:hint="eastAsia" w:ascii="方正小标宋简体" w:hAnsi="方正小标宋简体" w:eastAsia="方正小标宋简体" w:cs="方正小标宋简体"/>
          <w:sz w:val="72"/>
          <w:szCs w:val="72"/>
        </w:rPr>
        <w:t>通江县统计局部门决算</w:t>
      </w:r>
      <w:bookmarkEnd w:id="6"/>
      <w:bookmarkEnd w:id="7"/>
      <w:bookmarkEnd w:id="8"/>
      <w:bookmarkEnd w:id="9"/>
      <w:bookmarkEnd w:id="10"/>
      <w:bookmarkEnd w:id="11"/>
      <w:bookmarkEnd w:id="12"/>
    </w:p>
    <w:p>
      <w:pPr>
        <w:adjustRightInd w:val="0"/>
        <w:snapToGrid w:val="0"/>
        <w:spacing w:line="360" w:lineRule="auto"/>
        <w:jc w:val="center"/>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6"/>
      </w:pPr>
      <w:r>
        <w:rPr>
          <w:rFonts w:hint="eastAsia"/>
        </w:rPr>
        <w:t>公开时间：2022年8月25日</w:t>
      </w:r>
    </w:p>
    <w:p/>
    <w:sdt>
      <w:sdtPr>
        <w:rPr>
          <w:rFonts w:ascii="宋体" w:hAnsi="宋体"/>
        </w:rPr>
        <w:id w:val="147482311"/>
        <w:docPartObj>
          <w:docPartGallery w:val="Table of Contents"/>
          <w:docPartUnique/>
        </w:docPartObj>
      </w:sdtPr>
      <w:sdtEndPr>
        <w:rPr>
          <w:rFonts w:ascii="宋体" w:hAnsi="宋体"/>
          <w:b/>
        </w:rPr>
      </w:sdtEndPr>
      <w:sdtContent>
        <w:p>
          <w:pPr>
            <w:jc w:val="center"/>
          </w:pPr>
          <w:bookmarkStart w:id="13" w:name="_Toc15377196"/>
        </w:p>
        <w:p>
          <w:pPr>
            <w:pStyle w:val="25"/>
            <w:tabs>
              <w:tab w:val="right" w:leader="dot" w:pos="8306"/>
            </w:tabs>
            <w:rPr>
              <w:b/>
            </w:rPr>
          </w:pPr>
          <w:r>
            <w:fldChar w:fldCharType="begin"/>
          </w:r>
          <w:r>
            <w:instrText xml:space="preserve">TOC \o "1-2" \h \u</w:instrText>
          </w:r>
          <w:r>
            <w:fldChar w:fldCharType="separate"/>
          </w:r>
          <w:r>
            <w:fldChar w:fldCharType="begin"/>
          </w:r>
          <w:r>
            <w:instrText xml:space="preserve"> HYPERLINK \l "_Toc12723" </w:instrText>
          </w:r>
          <w:r>
            <w:fldChar w:fldCharType="separate"/>
          </w:r>
          <w:r>
            <w:rPr>
              <w:rFonts w:hint="eastAsia" w:ascii="黑体" w:hAnsi="黑体" w:eastAsia="黑体"/>
              <w:b/>
            </w:rPr>
            <w:t>第一部分</w:t>
          </w:r>
          <w:r>
            <w:rPr>
              <w:rFonts w:hint="eastAsia" w:ascii="黑体" w:hAnsi="黑体" w:eastAsia="黑体"/>
              <w:b/>
              <w:lang w:val="en-US" w:eastAsia="zh-CN"/>
            </w:rPr>
            <w:t xml:space="preserve"> </w:t>
          </w:r>
          <w:r>
            <w:rPr>
              <w:rFonts w:hint="eastAsia" w:ascii="黑体" w:hAnsi="黑体" w:eastAsia="黑体"/>
              <w:b/>
            </w:rPr>
            <w:t>部门概况</w:t>
          </w:r>
          <w:r>
            <w:rPr>
              <w:b/>
            </w:rPr>
            <w:tab/>
          </w:r>
          <w:r>
            <w:rPr>
              <w:b/>
            </w:rPr>
            <w:fldChar w:fldCharType="begin"/>
          </w:r>
          <w:r>
            <w:rPr>
              <w:b/>
            </w:rPr>
            <w:instrText xml:space="preserve"> PAGEREF _Toc12723 </w:instrText>
          </w:r>
          <w:r>
            <w:rPr>
              <w:b/>
            </w:rPr>
            <w:fldChar w:fldCharType="separate"/>
          </w:r>
          <w:r>
            <w:rPr>
              <w:b/>
            </w:rPr>
            <w:t>1</w:t>
          </w:r>
          <w:r>
            <w:rPr>
              <w:b/>
            </w:rPr>
            <w:fldChar w:fldCharType="end"/>
          </w:r>
          <w:r>
            <w:rPr>
              <w:b/>
            </w:rPr>
            <w:fldChar w:fldCharType="end"/>
          </w:r>
        </w:p>
        <w:p>
          <w:pPr>
            <w:pStyle w:val="26"/>
            <w:tabs>
              <w:tab w:val="right" w:leader="dot" w:pos="8306"/>
            </w:tabs>
            <w:ind w:left="420"/>
          </w:pPr>
          <w:r>
            <w:fldChar w:fldCharType="begin"/>
          </w:r>
          <w:r>
            <w:instrText xml:space="preserve"> HYPERLINK \l "_Toc26434" </w:instrText>
          </w:r>
          <w:r>
            <w:fldChar w:fldCharType="separate"/>
          </w:r>
          <w:r>
            <w:rPr>
              <w:rFonts w:hint="eastAsia" w:ascii="黑体" w:hAnsi="黑体" w:eastAsia="黑体" w:cs="黑体"/>
              <w:bCs/>
              <w:szCs w:val="32"/>
            </w:rPr>
            <w:t>一、基本职能及主要工作</w:t>
          </w:r>
          <w:r>
            <w:tab/>
          </w:r>
          <w:r>
            <w:fldChar w:fldCharType="begin"/>
          </w:r>
          <w:r>
            <w:instrText xml:space="preserve"> PAGEREF _Toc26434 </w:instrText>
          </w:r>
          <w:r>
            <w:fldChar w:fldCharType="separate"/>
          </w:r>
          <w:r>
            <w:t>1</w:t>
          </w:r>
          <w:r>
            <w:fldChar w:fldCharType="end"/>
          </w:r>
          <w:r>
            <w:fldChar w:fldCharType="end"/>
          </w:r>
        </w:p>
        <w:p>
          <w:pPr>
            <w:pStyle w:val="26"/>
            <w:tabs>
              <w:tab w:val="right" w:leader="dot" w:pos="8306"/>
            </w:tabs>
            <w:ind w:left="420"/>
          </w:pPr>
          <w:r>
            <w:fldChar w:fldCharType="begin"/>
          </w:r>
          <w:r>
            <w:instrText xml:space="preserve"> HYPERLINK \l "_Toc10816" </w:instrText>
          </w:r>
          <w:r>
            <w:fldChar w:fldCharType="separate"/>
          </w:r>
          <w:r>
            <w:rPr>
              <w:rFonts w:hint="eastAsia" w:ascii="Times New Roman" w:hAnsi="Times New Roman" w:eastAsia="黑体"/>
            </w:rPr>
            <w:t>二、机构设置</w:t>
          </w:r>
          <w:r>
            <w:tab/>
          </w:r>
          <w:r>
            <w:fldChar w:fldCharType="begin"/>
          </w:r>
          <w:r>
            <w:instrText xml:space="preserve"> PAGEREF _Toc10816 </w:instrText>
          </w:r>
          <w:r>
            <w:fldChar w:fldCharType="separate"/>
          </w:r>
          <w:r>
            <w:t>3</w:t>
          </w:r>
          <w:r>
            <w:fldChar w:fldCharType="end"/>
          </w:r>
          <w:r>
            <w:fldChar w:fldCharType="end"/>
          </w:r>
        </w:p>
        <w:p>
          <w:pPr>
            <w:pStyle w:val="25"/>
            <w:tabs>
              <w:tab w:val="right" w:leader="dot" w:pos="8306"/>
            </w:tabs>
            <w:rPr>
              <w:b/>
            </w:rPr>
          </w:pPr>
          <w:r>
            <w:fldChar w:fldCharType="begin"/>
          </w:r>
          <w:r>
            <w:instrText xml:space="preserve"> HYPERLINK \l "_Toc2098" </w:instrText>
          </w:r>
          <w:r>
            <w:fldChar w:fldCharType="separate"/>
          </w:r>
          <w:r>
            <w:rPr>
              <w:rFonts w:hint="eastAsia" w:ascii="黑体" w:hAnsi="黑体" w:eastAsia="黑体" w:cs="黑体"/>
              <w:b/>
              <w:szCs w:val="44"/>
            </w:rPr>
            <w:t>第二部分 2021年度部门决算情况说明</w:t>
          </w:r>
          <w:r>
            <w:rPr>
              <w:b/>
            </w:rPr>
            <w:tab/>
          </w:r>
          <w:r>
            <w:rPr>
              <w:b/>
            </w:rPr>
            <w:fldChar w:fldCharType="begin"/>
          </w:r>
          <w:r>
            <w:rPr>
              <w:b/>
            </w:rPr>
            <w:instrText xml:space="preserve"> PAGEREF _Toc2098 </w:instrText>
          </w:r>
          <w:r>
            <w:rPr>
              <w:b/>
            </w:rPr>
            <w:fldChar w:fldCharType="separate"/>
          </w:r>
          <w:r>
            <w:rPr>
              <w:b/>
            </w:rPr>
            <w:t>4</w:t>
          </w:r>
          <w:r>
            <w:rPr>
              <w:b/>
            </w:rPr>
            <w:fldChar w:fldCharType="end"/>
          </w:r>
          <w:r>
            <w:rPr>
              <w:b/>
            </w:rPr>
            <w:fldChar w:fldCharType="end"/>
          </w:r>
        </w:p>
        <w:p>
          <w:pPr>
            <w:pStyle w:val="26"/>
            <w:tabs>
              <w:tab w:val="right" w:leader="dot" w:pos="8306"/>
            </w:tabs>
            <w:ind w:left="420"/>
          </w:pPr>
          <w:r>
            <w:fldChar w:fldCharType="begin"/>
          </w:r>
          <w:r>
            <w:instrText xml:space="preserve"> HYPERLINK \l "_Toc17351" </w:instrText>
          </w:r>
          <w:r>
            <w:fldChar w:fldCharType="separate"/>
          </w:r>
          <w:r>
            <w:rPr>
              <w:rFonts w:hint="eastAsia" w:ascii="黑体" w:hAnsi="黑体" w:eastAsia="黑体"/>
              <w:szCs w:val="32"/>
            </w:rPr>
            <w:t>一、收入支出决算总体情况说明</w:t>
          </w:r>
          <w:r>
            <w:tab/>
          </w:r>
          <w:r>
            <w:fldChar w:fldCharType="begin"/>
          </w:r>
          <w:r>
            <w:instrText xml:space="preserve"> PAGEREF _Toc17351 </w:instrText>
          </w:r>
          <w:r>
            <w:fldChar w:fldCharType="separate"/>
          </w:r>
          <w:r>
            <w:t>4</w:t>
          </w:r>
          <w:r>
            <w:fldChar w:fldCharType="end"/>
          </w:r>
          <w:r>
            <w:fldChar w:fldCharType="end"/>
          </w:r>
        </w:p>
        <w:p>
          <w:pPr>
            <w:pStyle w:val="26"/>
            <w:tabs>
              <w:tab w:val="right" w:leader="dot" w:pos="8306"/>
            </w:tabs>
            <w:ind w:left="420"/>
          </w:pPr>
          <w:r>
            <w:fldChar w:fldCharType="begin"/>
          </w:r>
          <w:r>
            <w:instrText xml:space="preserve"> HYPERLINK \l "_Toc29244" </w:instrText>
          </w:r>
          <w:r>
            <w:fldChar w:fldCharType="separate"/>
          </w:r>
          <w:r>
            <w:rPr>
              <w:rFonts w:hint="eastAsia" w:ascii="Times New Roman" w:hAnsi="Times New Roman" w:eastAsia="黑体"/>
            </w:rPr>
            <w:t>二</w:t>
          </w:r>
          <w:r>
            <w:rPr>
              <w:rFonts w:hint="eastAsia" w:eastAsia="黑体"/>
              <w:szCs w:val="32"/>
            </w:rPr>
            <w:t>、</w:t>
          </w:r>
          <w:r>
            <w:rPr>
              <w:rFonts w:hint="eastAsia" w:ascii="Times New Roman" w:hAnsi="Times New Roman" w:eastAsia="黑体"/>
              <w:szCs w:val="32"/>
            </w:rPr>
            <w:t>收</w:t>
          </w:r>
          <w:r>
            <w:rPr>
              <w:rFonts w:hint="eastAsia" w:ascii="Times New Roman" w:hAnsi="Times New Roman" w:eastAsia="黑体"/>
            </w:rPr>
            <w:t>入决算情况说明</w:t>
          </w:r>
          <w:r>
            <w:tab/>
          </w:r>
          <w:r>
            <w:fldChar w:fldCharType="begin"/>
          </w:r>
          <w:r>
            <w:instrText xml:space="preserve"> PAGEREF _Toc29244 </w:instrText>
          </w:r>
          <w:r>
            <w:fldChar w:fldCharType="separate"/>
          </w:r>
          <w:r>
            <w:t>4</w:t>
          </w:r>
          <w:r>
            <w:fldChar w:fldCharType="end"/>
          </w:r>
          <w:r>
            <w:fldChar w:fldCharType="end"/>
          </w:r>
        </w:p>
        <w:p>
          <w:pPr>
            <w:pStyle w:val="26"/>
            <w:tabs>
              <w:tab w:val="right" w:leader="dot" w:pos="8306"/>
            </w:tabs>
            <w:ind w:left="420"/>
          </w:pPr>
          <w:r>
            <w:fldChar w:fldCharType="begin"/>
          </w:r>
          <w:r>
            <w:instrText xml:space="preserve"> HYPERLINK \l "_Toc24306" </w:instrText>
          </w:r>
          <w:r>
            <w:fldChar w:fldCharType="separate"/>
          </w:r>
          <w:r>
            <w:rPr>
              <w:rFonts w:hint="eastAsia" w:ascii="Times New Roman" w:hAnsi="Times New Roman" w:eastAsia="黑体" w:cs="Times New Roman"/>
              <w:szCs w:val="32"/>
            </w:rPr>
            <w:t>五、一般公共预算财政拨款支出决算情况说明</w:t>
          </w:r>
          <w:r>
            <w:tab/>
          </w:r>
          <w:r>
            <w:fldChar w:fldCharType="begin"/>
          </w:r>
          <w:r>
            <w:instrText xml:space="preserve"> PAGEREF _Toc24306 </w:instrText>
          </w:r>
          <w:r>
            <w:fldChar w:fldCharType="separate"/>
          </w:r>
          <w:r>
            <w:t>6</w:t>
          </w:r>
          <w:r>
            <w:fldChar w:fldCharType="end"/>
          </w:r>
          <w:r>
            <w:fldChar w:fldCharType="end"/>
          </w:r>
        </w:p>
        <w:p>
          <w:pPr>
            <w:pStyle w:val="26"/>
            <w:tabs>
              <w:tab w:val="right" w:leader="dot" w:pos="8306"/>
            </w:tabs>
            <w:ind w:left="420"/>
          </w:pPr>
          <w:r>
            <w:fldChar w:fldCharType="begin"/>
          </w:r>
          <w:r>
            <w:instrText xml:space="preserve"> HYPERLINK \l "_Toc7550" </w:instrText>
          </w:r>
          <w:r>
            <w:fldChar w:fldCharType="separate"/>
          </w:r>
          <w:r>
            <w:rPr>
              <w:rFonts w:hint="eastAsia" w:ascii="Times New Roman" w:hAnsi="Times New Roman" w:eastAsia="黑体"/>
              <w:szCs w:val="32"/>
            </w:rPr>
            <w:t>六、一</w:t>
          </w:r>
          <w:r>
            <w:rPr>
              <w:rFonts w:hint="eastAsia" w:ascii="Times New Roman" w:hAnsi="Times New Roman" w:eastAsia="黑体"/>
            </w:rPr>
            <w:t>般公共预算财政拨款基本支出决算情况说明</w:t>
          </w:r>
          <w:r>
            <w:tab/>
          </w:r>
          <w:r>
            <w:fldChar w:fldCharType="begin"/>
          </w:r>
          <w:r>
            <w:instrText xml:space="preserve"> PAGEREF _Toc7550 </w:instrText>
          </w:r>
          <w:r>
            <w:fldChar w:fldCharType="separate"/>
          </w:r>
          <w:r>
            <w:t>8</w:t>
          </w:r>
          <w:r>
            <w:fldChar w:fldCharType="end"/>
          </w:r>
          <w:r>
            <w:fldChar w:fldCharType="end"/>
          </w:r>
        </w:p>
        <w:p>
          <w:pPr>
            <w:pStyle w:val="26"/>
            <w:tabs>
              <w:tab w:val="right" w:leader="dot" w:pos="8306"/>
            </w:tabs>
            <w:ind w:left="420"/>
          </w:pPr>
          <w:r>
            <w:fldChar w:fldCharType="begin"/>
          </w:r>
          <w:r>
            <w:instrText xml:space="preserve"> HYPERLINK \l "_Toc19715" </w:instrText>
          </w:r>
          <w:r>
            <w:fldChar w:fldCharType="separate"/>
          </w:r>
          <w:r>
            <w:rPr>
              <w:rFonts w:hint="eastAsia" w:ascii="Times New Roman" w:hAnsi="Times New Roman" w:eastAsia="黑体"/>
              <w:szCs w:val="32"/>
            </w:rPr>
            <w:t>七、</w:t>
          </w:r>
          <w:r>
            <w:rPr>
              <w:rFonts w:hint="eastAsia" w:ascii="Times New Roman" w:hAnsi="Times New Roman" w:eastAsia="黑体"/>
            </w:rPr>
            <w:t>“三公”经费财政拨款支出决算情况说明</w:t>
          </w:r>
          <w:r>
            <w:tab/>
          </w:r>
          <w:r>
            <w:fldChar w:fldCharType="begin"/>
          </w:r>
          <w:r>
            <w:instrText xml:space="preserve"> PAGEREF _Toc19715 </w:instrText>
          </w:r>
          <w:r>
            <w:fldChar w:fldCharType="separate"/>
          </w:r>
          <w:r>
            <w:t>9</w:t>
          </w:r>
          <w:r>
            <w:fldChar w:fldCharType="end"/>
          </w:r>
          <w:r>
            <w:fldChar w:fldCharType="end"/>
          </w:r>
        </w:p>
        <w:p>
          <w:pPr>
            <w:pStyle w:val="26"/>
            <w:tabs>
              <w:tab w:val="right" w:leader="dot" w:pos="8306"/>
            </w:tabs>
            <w:ind w:left="420"/>
          </w:pPr>
          <w:r>
            <w:fldChar w:fldCharType="begin"/>
          </w:r>
          <w:r>
            <w:instrText xml:space="preserve"> HYPERLINK \l "_Toc20839" </w:instrText>
          </w:r>
          <w:r>
            <w:fldChar w:fldCharType="separate"/>
          </w:r>
          <w:r>
            <w:rPr>
              <w:rFonts w:hint="eastAsia" w:ascii="Times New Roman" w:hAnsi="Times New Roman" w:eastAsia="黑体"/>
              <w:szCs w:val="32"/>
            </w:rPr>
            <w:t>八、</w:t>
          </w:r>
          <w:r>
            <w:rPr>
              <w:rFonts w:hint="eastAsia" w:ascii="Times New Roman" w:hAnsi="Times New Roman" w:eastAsia="黑体"/>
            </w:rPr>
            <w:t>政府性基金预算支出决算情况说明</w:t>
          </w:r>
          <w:r>
            <w:tab/>
          </w:r>
          <w:r>
            <w:fldChar w:fldCharType="begin"/>
          </w:r>
          <w:r>
            <w:instrText xml:space="preserve"> PAGEREF _Toc20839 </w:instrText>
          </w:r>
          <w:r>
            <w:fldChar w:fldCharType="separate"/>
          </w:r>
          <w:r>
            <w:t>10</w:t>
          </w:r>
          <w:r>
            <w:fldChar w:fldCharType="end"/>
          </w:r>
          <w:r>
            <w:fldChar w:fldCharType="end"/>
          </w:r>
        </w:p>
        <w:p>
          <w:pPr>
            <w:pStyle w:val="26"/>
            <w:tabs>
              <w:tab w:val="right" w:leader="dot" w:pos="8306"/>
            </w:tabs>
            <w:ind w:left="420"/>
          </w:pPr>
          <w:r>
            <w:fldChar w:fldCharType="begin"/>
          </w:r>
          <w:r>
            <w:instrText xml:space="preserve"> HYPERLINK \l "_Toc19992" </w:instrText>
          </w:r>
          <w:r>
            <w:fldChar w:fldCharType="separate"/>
          </w:r>
          <w:r>
            <w:rPr>
              <w:rFonts w:hint="eastAsia" w:ascii="Times New Roman" w:hAnsi="Times New Roman" w:eastAsia="黑体"/>
            </w:rPr>
            <w:t>九、 国有资本经营预算支出决算情况说明</w:t>
          </w:r>
          <w:r>
            <w:tab/>
          </w:r>
          <w:r>
            <w:fldChar w:fldCharType="begin"/>
          </w:r>
          <w:r>
            <w:instrText xml:space="preserve"> PAGEREF _Toc19992 </w:instrText>
          </w:r>
          <w:r>
            <w:fldChar w:fldCharType="separate"/>
          </w:r>
          <w:r>
            <w:t>10</w:t>
          </w:r>
          <w:r>
            <w:fldChar w:fldCharType="end"/>
          </w:r>
          <w:r>
            <w:fldChar w:fldCharType="end"/>
          </w:r>
        </w:p>
        <w:p>
          <w:pPr>
            <w:pStyle w:val="26"/>
            <w:tabs>
              <w:tab w:val="right" w:leader="dot" w:pos="8306"/>
            </w:tabs>
            <w:ind w:left="420"/>
          </w:pPr>
          <w:r>
            <w:fldChar w:fldCharType="begin"/>
          </w:r>
          <w:r>
            <w:instrText xml:space="preserve"> HYPERLINK \l "_Toc12892"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_Toc12892 </w:instrText>
          </w:r>
          <w:r>
            <w:fldChar w:fldCharType="separate"/>
          </w:r>
          <w:r>
            <w:t>10</w:t>
          </w:r>
          <w:r>
            <w:fldChar w:fldCharType="end"/>
          </w:r>
          <w:r>
            <w:fldChar w:fldCharType="end"/>
          </w:r>
        </w:p>
        <w:p>
          <w:pPr>
            <w:pStyle w:val="25"/>
            <w:tabs>
              <w:tab w:val="right" w:leader="dot" w:pos="8306"/>
            </w:tabs>
            <w:rPr>
              <w:b/>
            </w:rPr>
          </w:pPr>
          <w:r>
            <w:fldChar w:fldCharType="begin"/>
          </w:r>
          <w:r>
            <w:instrText xml:space="preserve"> HYPERLINK \l "_Toc20150" </w:instrText>
          </w:r>
          <w: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_Toc20150 </w:instrText>
          </w:r>
          <w:r>
            <w:rPr>
              <w:b/>
            </w:rPr>
            <w:fldChar w:fldCharType="separate"/>
          </w:r>
          <w:r>
            <w:rPr>
              <w:b/>
            </w:rPr>
            <w:t>12</w:t>
          </w:r>
          <w:r>
            <w:rPr>
              <w:b/>
            </w:rPr>
            <w:fldChar w:fldCharType="end"/>
          </w:r>
          <w:r>
            <w:rPr>
              <w:b/>
            </w:rPr>
            <w:fldChar w:fldCharType="end"/>
          </w:r>
        </w:p>
        <w:p>
          <w:pPr>
            <w:pStyle w:val="25"/>
            <w:tabs>
              <w:tab w:val="right" w:leader="dot" w:pos="8306"/>
            </w:tabs>
            <w:rPr>
              <w:b/>
            </w:rPr>
          </w:pPr>
          <w:r>
            <w:fldChar w:fldCharType="begin"/>
          </w:r>
          <w:r>
            <w:instrText xml:space="preserve"> HYPERLINK \l "_Toc21924" </w:instrText>
          </w:r>
          <w:r>
            <w:fldChar w:fldCharType="separate"/>
          </w:r>
          <w:r>
            <w:rPr>
              <w:rFonts w:hint="eastAsia" w:ascii="黑体" w:hAnsi="黑体" w:eastAsia="黑体"/>
              <w:b/>
              <w:szCs w:val="44"/>
            </w:rPr>
            <w:t>第</w:t>
          </w:r>
          <w:r>
            <w:rPr>
              <w:rFonts w:hint="eastAsia" w:ascii="黑体" w:hAnsi="黑体" w:eastAsia="黑体"/>
              <w:b/>
            </w:rPr>
            <w:t>四部分</w:t>
          </w:r>
          <w:r>
            <w:rPr>
              <w:rFonts w:hint="eastAsia" w:ascii="黑体" w:hAnsi="黑体" w:eastAsia="黑体"/>
              <w:b/>
              <w:lang w:val="en-US" w:eastAsia="zh-CN"/>
            </w:rPr>
            <w:t xml:space="preserve"> </w:t>
          </w:r>
          <w:r>
            <w:rPr>
              <w:rFonts w:hint="eastAsia" w:ascii="黑体" w:hAnsi="黑体" w:eastAsia="黑体"/>
              <w:b/>
            </w:rPr>
            <w:t>附件</w:t>
          </w:r>
          <w:r>
            <w:rPr>
              <w:b/>
            </w:rPr>
            <w:tab/>
          </w:r>
          <w:r>
            <w:rPr>
              <w:b/>
            </w:rPr>
            <w:fldChar w:fldCharType="begin"/>
          </w:r>
          <w:r>
            <w:rPr>
              <w:b/>
            </w:rPr>
            <w:instrText xml:space="preserve"> PAGEREF _Toc21924 </w:instrText>
          </w:r>
          <w:r>
            <w:rPr>
              <w:b/>
            </w:rPr>
            <w:fldChar w:fldCharType="separate"/>
          </w:r>
          <w:r>
            <w:rPr>
              <w:b/>
            </w:rPr>
            <w:t>15</w:t>
          </w:r>
          <w:r>
            <w:rPr>
              <w:b/>
            </w:rPr>
            <w:fldChar w:fldCharType="end"/>
          </w:r>
          <w:r>
            <w:rPr>
              <w:b/>
            </w:rPr>
            <w:fldChar w:fldCharType="end"/>
          </w:r>
        </w:p>
        <w:p>
          <w:pPr>
            <w:pStyle w:val="25"/>
            <w:tabs>
              <w:tab w:val="right" w:leader="dot" w:pos="8306"/>
            </w:tabs>
            <w:rPr>
              <w:b/>
            </w:rPr>
          </w:pPr>
          <w:r>
            <w:fldChar w:fldCharType="begin"/>
          </w:r>
          <w:r>
            <w:instrText xml:space="preserve"> HYPERLINK \l "_Toc18074" </w:instrText>
          </w:r>
          <w:r>
            <w:fldChar w:fldCharType="separate"/>
          </w:r>
          <w:r>
            <w:rPr>
              <w:rFonts w:hint="eastAsia" w:ascii="黑体" w:hAnsi="黑体" w:eastAsia="黑体" w:cs="黑体"/>
              <w:b/>
              <w:szCs w:val="32"/>
            </w:rPr>
            <w:t>附件一</w:t>
          </w:r>
          <w:r>
            <w:rPr>
              <w:b/>
            </w:rPr>
            <w:tab/>
          </w:r>
          <w:r>
            <w:rPr>
              <w:b/>
            </w:rPr>
            <w:fldChar w:fldCharType="begin"/>
          </w:r>
          <w:r>
            <w:rPr>
              <w:b/>
            </w:rPr>
            <w:instrText xml:space="preserve"> PAGEREF _Toc18074 </w:instrText>
          </w:r>
          <w:r>
            <w:rPr>
              <w:b/>
            </w:rPr>
            <w:fldChar w:fldCharType="separate"/>
          </w:r>
          <w:r>
            <w:rPr>
              <w:b/>
            </w:rPr>
            <w:t>15</w:t>
          </w:r>
          <w:r>
            <w:rPr>
              <w:b/>
            </w:rPr>
            <w:fldChar w:fldCharType="end"/>
          </w:r>
          <w:r>
            <w:rPr>
              <w:b/>
            </w:rPr>
            <w:fldChar w:fldCharType="end"/>
          </w:r>
        </w:p>
        <w:p>
          <w:pPr>
            <w:pStyle w:val="25"/>
            <w:tabs>
              <w:tab w:val="right" w:leader="dot" w:pos="8306"/>
            </w:tabs>
            <w:rPr>
              <w:b/>
            </w:rPr>
          </w:pPr>
          <w:r>
            <w:fldChar w:fldCharType="begin"/>
          </w:r>
          <w:r>
            <w:instrText xml:space="preserve"> HYPERLINK \l "_Toc21865" </w:instrText>
          </w:r>
          <w:r>
            <w:fldChar w:fldCharType="separate"/>
          </w:r>
          <w:r>
            <w:rPr>
              <w:rFonts w:hint="eastAsia" w:ascii="Times New Roman" w:hAnsi="Times New Roman" w:eastAsia="仿宋"/>
              <w:b/>
              <w:szCs w:val="32"/>
            </w:rPr>
            <w:t>附件</w:t>
          </w:r>
          <w:r>
            <w:rPr>
              <w:rFonts w:hint="eastAsia" w:eastAsia="仿宋"/>
              <w:b/>
              <w:szCs w:val="32"/>
            </w:rPr>
            <w:t>二</w:t>
          </w:r>
          <w:r>
            <w:rPr>
              <w:b/>
            </w:rPr>
            <w:tab/>
          </w:r>
          <w:r>
            <w:rPr>
              <w:b/>
            </w:rPr>
            <w:fldChar w:fldCharType="begin"/>
          </w:r>
          <w:r>
            <w:rPr>
              <w:b/>
            </w:rPr>
            <w:instrText xml:space="preserve"> PAGEREF _Toc21865 </w:instrText>
          </w:r>
          <w:r>
            <w:rPr>
              <w:b/>
            </w:rPr>
            <w:fldChar w:fldCharType="separate"/>
          </w:r>
          <w:r>
            <w:rPr>
              <w:b/>
            </w:rPr>
            <w:t>21</w:t>
          </w:r>
          <w:r>
            <w:rPr>
              <w:b/>
            </w:rPr>
            <w:fldChar w:fldCharType="end"/>
          </w:r>
          <w:r>
            <w:rPr>
              <w:b/>
            </w:rPr>
            <w:fldChar w:fldCharType="end"/>
          </w:r>
        </w:p>
        <w:p>
          <w:pPr>
            <w:pStyle w:val="25"/>
            <w:tabs>
              <w:tab w:val="right" w:leader="dot" w:pos="8306"/>
            </w:tabs>
            <w:rPr>
              <w:b/>
            </w:rPr>
          </w:pPr>
          <w:r>
            <w:fldChar w:fldCharType="begin"/>
          </w:r>
          <w:r>
            <w:instrText xml:space="preserve"> HYPERLINK \l "_Toc27420" </w:instrText>
          </w:r>
          <w:r>
            <w:fldChar w:fldCharType="separate"/>
          </w:r>
          <w:r>
            <w:rPr>
              <w:rFonts w:hint="eastAsia" w:ascii="黑体" w:hAnsi="黑体" w:eastAsia="黑体"/>
              <w:b/>
              <w:szCs w:val="44"/>
            </w:rPr>
            <w:t>第</w:t>
          </w:r>
          <w:r>
            <w:rPr>
              <w:rFonts w:hint="eastAsia" w:ascii="黑体" w:hAnsi="黑体" w:eastAsia="黑体"/>
              <w:b/>
            </w:rPr>
            <w:t>五部分</w:t>
          </w:r>
          <w:r>
            <w:rPr>
              <w:rFonts w:hint="eastAsia" w:ascii="黑体" w:hAnsi="黑体" w:eastAsia="黑体"/>
              <w:b/>
              <w:lang w:val="en-US" w:eastAsia="zh-CN"/>
            </w:rPr>
            <w:t xml:space="preserve"> </w:t>
          </w:r>
          <w:r>
            <w:rPr>
              <w:rFonts w:hint="eastAsia" w:ascii="黑体" w:hAnsi="黑体" w:eastAsia="黑体"/>
              <w:b/>
            </w:rPr>
            <w:t>附表</w:t>
          </w:r>
          <w:r>
            <w:rPr>
              <w:b/>
            </w:rPr>
            <w:tab/>
          </w:r>
          <w:r>
            <w:rPr>
              <w:b/>
            </w:rPr>
            <w:fldChar w:fldCharType="begin"/>
          </w:r>
          <w:r>
            <w:rPr>
              <w:b/>
            </w:rPr>
            <w:instrText xml:space="preserve"> PAGEREF _Toc27420 </w:instrText>
          </w:r>
          <w:r>
            <w:rPr>
              <w:b/>
            </w:rPr>
            <w:fldChar w:fldCharType="separate"/>
          </w:r>
          <w:r>
            <w:rPr>
              <w:b/>
            </w:rPr>
            <w:t>24</w:t>
          </w:r>
          <w:r>
            <w:rPr>
              <w:b/>
            </w:rPr>
            <w:fldChar w:fldCharType="end"/>
          </w:r>
          <w:r>
            <w:rPr>
              <w:b/>
            </w:rPr>
            <w:fldChar w:fldCharType="end"/>
          </w:r>
        </w:p>
        <w:p>
          <w:pPr>
            <w:pStyle w:val="26"/>
            <w:tabs>
              <w:tab w:val="right" w:leader="dot" w:pos="8306"/>
            </w:tabs>
            <w:ind w:left="420"/>
          </w:pPr>
          <w:r>
            <w:fldChar w:fldCharType="begin"/>
          </w:r>
          <w:r>
            <w:instrText xml:space="preserve"> HYPERLINK \l "_Toc28179" </w:instrText>
          </w:r>
          <w:r>
            <w:fldChar w:fldCharType="separate"/>
          </w:r>
          <w:r>
            <w:rPr>
              <w:rFonts w:hint="eastAsia" w:ascii="仿宋" w:hAnsi="仿宋" w:eastAsia="仿宋"/>
            </w:rPr>
            <w:t>一、收入支出决算总表</w:t>
          </w:r>
          <w:r>
            <w:tab/>
          </w:r>
          <w:r>
            <w:fldChar w:fldCharType="begin"/>
          </w:r>
          <w:r>
            <w:instrText xml:space="preserve"> PAGEREF _Toc28179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"_Toc14764" </w:instrText>
          </w:r>
          <w:r>
            <w:fldChar w:fldCharType="separate"/>
          </w:r>
          <w:r>
            <w:rPr>
              <w:rFonts w:hint="eastAsia" w:ascii="仿宋" w:hAnsi="仿宋" w:eastAsia="仿宋"/>
            </w:rPr>
            <w:t>二、收入决算表</w:t>
          </w:r>
          <w:r>
            <w:tab/>
          </w:r>
          <w:r>
            <w:fldChar w:fldCharType="begin"/>
          </w:r>
          <w:r>
            <w:instrText xml:space="preserve"> PAGEREF _Toc14764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"_Toc14165" </w:instrText>
          </w:r>
          <w:r>
            <w:fldChar w:fldCharType="separate"/>
          </w:r>
          <w:r>
            <w:rPr>
              <w:rFonts w:hint="eastAsia" w:ascii="仿宋" w:hAnsi="仿宋" w:eastAsia="仿宋"/>
            </w:rPr>
            <w:t>三、支出决算表</w:t>
          </w:r>
          <w:r>
            <w:tab/>
          </w:r>
          <w:r>
            <w:fldChar w:fldCharType="begin"/>
          </w:r>
          <w:r>
            <w:instrText xml:space="preserve"> PAGEREF _Toc14165 </w:instrText>
          </w:r>
          <w:r>
            <w:fldChar w:fldCharType="separate"/>
          </w:r>
          <w:r>
            <w:t>24</w:t>
          </w:r>
          <w:r>
            <w:fldChar w:fldCharType="end"/>
          </w:r>
          <w:r>
            <w:fldChar w:fldCharType="end"/>
          </w:r>
        </w:p>
        <w:p>
          <w:pPr>
            <w:pStyle w:val="26"/>
            <w:tabs>
              <w:tab w:val="right" w:leader="dot" w:pos="8306"/>
            </w:tabs>
            <w:ind w:left="420"/>
            <w:rPr>
              <w:u w:val="none" w:color="000000"/>
              <w:shd w:val="clear" w:fill="auto"/>
            </w:rPr>
          </w:pPr>
          <w:r>
            <w:fldChar w:fldCharType="begin"/>
          </w:r>
          <w:r>
            <w:instrText xml:space="preserve"> HYPERLINK \l "_Toc17199" </w:instrText>
          </w:r>
          <w:r>
            <w:fldChar w:fldCharType="separate"/>
          </w:r>
          <w:r>
            <w:rPr>
              <w:rFonts w:hint="eastAsia" w:ascii="仿宋" w:hAnsi="仿宋" w:eastAsia="仿宋"/>
            </w:rPr>
            <w:t>四、</w:t>
          </w:r>
          <w:r>
            <w:rPr>
              <w:rFonts w:hint="eastAsia" w:ascii="仿宋" w:hAnsi="仿宋" w:eastAsia="仿宋"/>
              <w:u w:val="none" w:color="000000"/>
              <w:shd w:val="clear" w:fill="auto"/>
            </w:rPr>
            <w:t>财政拨款收入支出决算总表</w:t>
          </w:r>
          <w:r>
            <w:rPr>
              <w:u w:val="none" w:color="000000"/>
              <w:shd w:val="clear" w:fill="auto"/>
            </w:rPr>
            <w:tab/>
          </w:r>
          <w:r>
            <w:rPr>
              <w:u w:val="none" w:color="000000"/>
              <w:shd w:val="clear" w:fill="auto"/>
            </w:rPr>
            <w:fldChar w:fldCharType="begin"/>
          </w:r>
          <w:r>
            <w:rPr>
              <w:u w:val="none" w:color="000000"/>
              <w:shd w:val="clear" w:fill="auto"/>
            </w:rPr>
            <w:instrText xml:space="preserve"> PAGEREF _Toc17199 </w:instrText>
          </w:r>
          <w:r>
            <w:rPr>
              <w:u w:val="none" w:color="000000"/>
              <w:shd w:val="clear" w:fill="auto"/>
            </w:rPr>
            <w:fldChar w:fldCharType="separate"/>
          </w:r>
          <w:r>
            <w:rPr>
              <w:u w:val="none" w:color="000000"/>
              <w:shd w:val="clear" w:fill="auto"/>
            </w:rPr>
            <w:t>24</w:t>
          </w:r>
          <w:r>
            <w:rPr>
              <w:u w:val="none" w:color="000000"/>
              <w:shd w:val="clear" w:fill="auto"/>
            </w:rPr>
            <w:fldChar w:fldCharType="end"/>
          </w:r>
          <w:r>
            <w:rPr>
              <w:u w:val="none" w:color="000000"/>
              <w:shd w:val="clear" w:fill="auto"/>
            </w:rPr>
            <w:fldChar w:fldCharType="end"/>
          </w:r>
        </w:p>
        <w:p>
          <w:pPr>
            <w:pStyle w:val="26"/>
            <w:tabs>
              <w:tab w:val="right" w:leader="dot" w:pos="8306"/>
            </w:tabs>
            <w:ind w:left="420"/>
            <w:rPr>
              <w:u w:val="none" w:color="000000"/>
              <w:shd w:val="clear" w:fill="auto"/>
            </w:rPr>
          </w:pPr>
          <w:r>
            <w:rPr>
              <w:u w:val="none" w:color="000000"/>
              <w:shd w:val="clear" w:fill="auto"/>
            </w:rPr>
            <w:fldChar w:fldCharType="begin"/>
          </w:r>
          <w:r>
            <w:rPr>
              <w:u w:val="none" w:color="000000"/>
              <w:shd w:val="clear" w:fill="auto"/>
            </w:rPr>
            <w:instrText xml:space="preserve"> HYPERLINK \l "_Toc24209" </w:instrText>
          </w:r>
          <w:r>
            <w:rPr>
              <w:u w:val="none" w:color="000000"/>
              <w:shd w:val="clear" w:fill="auto"/>
            </w:rPr>
            <w:fldChar w:fldCharType="separate"/>
          </w:r>
          <w:r>
            <w:rPr>
              <w:rFonts w:hint="eastAsia" w:ascii="仿宋" w:hAnsi="仿宋" w:eastAsia="仿宋"/>
              <w:u w:val="none" w:color="000000"/>
              <w:shd w:val="clear" w:fill="auto"/>
            </w:rPr>
            <w:t>五、财政拨款支出决算明细表</w:t>
          </w:r>
          <w:r>
            <w:rPr>
              <w:u w:val="none" w:color="000000"/>
              <w:shd w:val="clear" w:fill="auto"/>
            </w:rPr>
            <w:tab/>
          </w:r>
          <w:r>
            <w:rPr>
              <w:u w:val="none" w:color="000000"/>
              <w:shd w:val="clear" w:fill="auto"/>
            </w:rPr>
            <w:fldChar w:fldCharType="begin"/>
          </w:r>
          <w:r>
            <w:rPr>
              <w:u w:val="none" w:color="000000"/>
              <w:shd w:val="clear" w:fill="auto"/>
            </w:rPr>
            <w:instrText xml:space="preserve"> PAGEREF _Toc24209 </w:instrText>
          </w:r>
          <w:r>
            <w:rPr>
              <w:u w:val="none" w:color="000000"/>
              <w:shd w:val="clear" w:fill="auto"/>
            </w:rPr>
            <w:fldChar w:fldCharType="separate"/>
          </w:r>
          <w:r>
            <w:rPr>
              <w:u w:val="none" w:color="000000"/>
              <w:shd w:val="clear" w:fill="auto"/>
            </w:rPr>
            <w:t>24</w:t>
          </w:r>
          <w:r>
            <w:rPr>
              <w:u w:val="none" w:color="000000"/>
              <w:shd w:val="clear" w:fill="auto"/>
            </w:rPr>
            <w:fldChar w:fldCharType="end"/>
          </w:r>
          <w:r>
            <w:rPr>
              <w:u w:val="none" w:color="000000"/>
              <w:shd w:val="clear" w:fill="auto"/>
            </w:rPr>
            <w:fldChar w:fldCharType="end"/>
          </w:r>
        </w:p>
        <w:p>
          <w:pPr>
            <w:pStyle w:val="26"/>
            <w:tabs>
              <w:tab w:val="right" w:leader="dot" w:pos="8306"/>
            </w:tabs>
            <w:ind w:left="420"/>
          </w:pPr>
          <w:r>
            <w:rPr>
              <w:u w:val="none" w:color="000000"/>
              <w:shd w:val="clear" w:fill="auto"/>
            </w:rPr>
            <w:fldChar w:fldCharType="begin"/>
          </w:r>
          <w:r>
            <w:rPr>
              <w:u w:val="none" w:color="000000"/>
              <w:shd w:val="clear" w:fill="auto"/>
            </w:rPr>
            <w:instrText xml:space="preserve"> HYPERLINK \l "_T</w:instrText>
          </w:r>
          <w:r>
            <w:instrText xml:space="preserve">oc10054" </w:instrText>
          </w:r>
          <w:r>
            <w:fldChar w:fldCharType="separate"/>
          </w:r>
          <w:r>
            <w:rPr>
              <w:rFonts w:hint="eastAsia" w:ascii="仿宋" w:hAnsi="仿宋" w:eastAsia="仿宋"/>
            </w:rPr>
            <w:t>六、一般公共预算财政拨款支出决算表</w:t>
          </w:r>
          <w:r>
            <w:tab/>
          </w:r>
          <w:r>
            <w:fldChar w:fldCharType="begin"/>
          </w:r>
          <w:r>
            <w:instrText xml:space="preserve"> PAGEREF _Toc10054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"_Toc13707" </w:instrText>
          </w:r>
          <w:r>
            <w:fldChar w:fldCharType="separate"/>
          </w:r>
          <w:r>
            <w:rPr>
              <w:rFonts w:hint="eastAsia" w:ascii="仿宋" w:hAnsi="仿宋" w:eastAsia="仿宋"/>
            </w:rPr>
            <w:t>七、一般公共预算财政拨款支出决算明细表</w:t>
          </w:r>
          <w:r>
            <w:tab/>
          </w:r>
          <w:r>
            <w:fldChar w:fldCharType="begin"/>
          </w:r>
          <w:r>
            <w:instrText xml:space="preserve"> PAGEREF _Toc13707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"_Toc26305" </w:instrText>
          </w:r>
          <w:r>
            <w:fldChar w:fldCharType="separate"/>
          </w:r>
          <w:r>
            <w:rPr>
              <w:rFonts w:hint="eastAsia" w:ascii="仿宋" w:hAnsi="仿宋" w:eastAsia="仿宋"/>
            </w:rPr>
            <w:t>八、一般公共预算财政拨款基本支出决算表</w:t>
          </w:r>
          <w:r>
            <w:tab/>
          </w:r>
          <w:r>
            <w:fldChar w:fldCharType="begin"/>
          </w:r>
          <w:r>
            <w:instrText xml:space="preserve"> PAGEREF _Toc26305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"_Toc16255" </w:instrText>
          </w:r>
          <w:r>
            <w:fldChar w:fldCharType="separate"/>
          </w:r>
          <w:r>
            <w:rPr>
              <w:rFonts w:hint="eastAsia" w:ascii="仿宋" w:hAnsi="仿宋" w:eastAsia="仿宋"/>
            </w:rPr>
            <w:t>九、一般公共预算财政拨款项目支出决算表</w:t>
          </w:r>
          <w:r>
            <w:tab/>
          </w:r>
          <w:r>
            <w:fldChar w:fldCharType="begin"/>
          </w:r>
          <w:r>
            <w:instrText xml:space="preserve"> PAGEREF _Toc16255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"_Toc11988"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_Toc11988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"_Toc30740"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_Toc30740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"_Toc2760"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_Toc2760 </w:instrText>
          </w:r>
          <w:r>
            <w:fldChar w:fldCharType="separate"/>
          </w:r>
          <w:r>
            <w:t>24</w:t>
          </w:r>
          <w:r>
            <w:fldChar w:fldCharType="end"/>
          </w:r>
          <w:r>
            <w:fldChar w:fldCharType="end"/>
          </w:r>
        </w:p>
        <w:p>
          <w:pPr>
            <w:pStyle w:val="26"/>
            <w:tabs>
              <w:tab w:val="right" w:leader="dot" w:pos="8306"/>
            </w:tabs>
            <w:ind w:left="420"/>
          </w:pPr>
          <w:r>
            <w:fldChar w:fldCharType="begin"/>
          </w:r>
          <w:r>
            <w:instrText xml:space="preserve"> HYPERLINK \l "_Toc10950"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_Toc10950 </w:instrText>
          </w:r>
          <w:r>
            <w:fldChar w:fldCharType="separate"/>
          </w:r>
          <w:r>
            <w:t>24</w:t>
          </w:r>
          <w:r>
            <w:fldChar w:fldCharType="end"/>
          </w:r>
          <w:r>
            <w:fldChar w:fldCharType="end"/>
          </w:r>
        </w:p>
        <w:p>
          <w:r>
            <w:rPr>
              <w:b/>
            </w:rPr>
            <w:fldChar w:fldCharType="end"/>
          </w:r>
        </w:p>
      </w:sdtContent>
    </w:sdt>
    <w:p>
      <w:pPr>
        <w:pStyle w:val="2"/>
        <w:jc w:val="center"/>
        <w:rPr>
          <w:rFonts w:ascii="黑体" w:hAnsi="黑体" w:eastAsia="黑体"/>
          <w:b w:val="0"/>
        </w:rPr>
        <w:sectPr>
          <w:footerReference r:id="rId4" w:type="default"/>
          <w:pgSz w:w="11906" w:h="16838"/>
          <w:pgMar w:top="1440" w:right="1800" w:bottom="1440" w:left="1800" w:header="851" w:footer="992" w:gutter="0"/>
          <w:cols w:space="425" w:num="1"/>
          <w:docGrid w:type="lines" w:linePitch="312" w:charSpace="0"/>
        </w:sectPr>
      </w:pPr>
      <w:bookmarkStart w:id="14" w:name="_Toc12723"/>
    </w:p>
    <w:p>
      <w:pPr>
        <w:pStyle w:val="2"/>
        <w:jc w:val="center"/>
        <w:rPr>
          <w:rStyle w:val="18"/>
          <w:rFonts w:ascii="黑体" w:hAnsi="黑体" w:eastAsia="黑体"/>
          <w:b/>
          <w:bCs w:val="0"/>
        </w:rPr>
      </w:pPr>
      <w:r>
        <w:rPr>
          <w:rFonts w:hint="eastAsia" w:ascii="黑体" w:hAnsi="黑体" w:eastAsia="黑体"/>
          <w:b w:val="0"/>
        </w:rPr>
        <w:t>第一部分</w:t>
      </w:r>
      <w:r>
        <w:rPr>
          <w:rStyle w:val="18"/>
          <w:rFonts w:hint="eastAsia" w:ascii="黑体" w:hAnsi="黑体" w:eastAsia="黑体"/>
          <w:b w:val="0"/>
          <w:bCs w:val="0"/>
        </w:rPr>
        <w:t>部门概况</w:t>
      </w:r>
      <w:bookmarkEnd w:id="13"/>
      <w:bookmarkEnd w:id="14"/>
    </w:p>
    <w:p>
      <w:pPr>
        <w:spacing w:line="595" w:lineRule="exact"/>
        <w:ind w:firstLine="640" w:firstLineChars="200"/>
        <w:jc w:val="left"/>
        <w:outlineLvl w:val="1"/>
        <w:rPr>
          <w:rFonts w:ascii="黑体" w:hAnsi="黑体" w:eastAsia="黑体" w:cs="黑体"/>
          <w:bCs/>
          <w:color w:val="000000"/>
          <w:sz w:val="32"/>
          <w:szCs w:val="32"/>
        </w:rPr>
      </w:pPr>
      <w:bookmarkStart w:id="15" w:name="_Toc26434"/>
      <w:bookmarkStart w:id="16" w:name="_Toc15396600"/>
      <w:bookmarkStart w:id="17" w:name="_Toc15377197"/>
      <w:r>
        <w:rPr>
          <w:rFonts w:hint="eastAsia" w:ascii="黑体" w:hAnsi="黑体" w:eastAsia="黑体" w:cs="黑体"/>
          <w:bCs/>
          <w:color w:val="000000"/>
          <w:sz w:val="32"/>
          <w:szCs w:val="32"/>
        </w:rPr>
        <w:t>一、基本职能及主要工作</w:t>
      </w:r>
      <w:bookmarkEnd w:id="15"/>
      <w:bookmarkEnd w:id="16"/>
      <w:bookmarkEnd w:id="17"/>
    </w:p>
    <w:p>
      <w:pPr>
        <w:spacing w:line="595" w:lineRule="exact"/>
        <w:ind w:firstLine="643" w:firstLineChars="200"/>
        <w:jc w:val="left"/>
        <w:rPr>
          <w:rFonts w:eastAsia="楷体" w:cs="楷体"/>
          <w:b/>
          <w:sz w:val="32"/>
          <w:szCs w:val="32"/>
        </w:rPr>
      </w:pPr>
      <w:r>
        <w:rPr>
          <w:rFonts w:hint="eastAsia" w:eastAsia="楷体" w:cs="楷体"/>
          <w:b/>
          <w:sz w:val="32"/>
          <w:szCs w:val="32"/>
        </w:rPr>
        <w:t>（一）主要职能</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（1）贯彻执行国家统计工作的方针、政策和法律、法规以及统计制度、统计标准，制定全县统计规划，承担组织领导和协调全县统计工作，确保统计数据真实、准确、及时。</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（2）建立健全全县国民经济核算体系，组织实施全县国民经济核算制度，核算全县地区生产总值，整理提供国民经济核算资料，开展分析研究，指导、监督乡镇国民经济核算工作。</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组织实施农林牧渔业、工业、建筑业、批发和零售业、住宿和餐饮业、房地产业等国民经济行业以及能源、投资、人口、就业、城乡居民收入、科技、妇儿“两纲”、社会发展、环境状况等领域的统计调查，扎实推进“一套表”网络直报，建立全县经济社会发展监测评价制度及指标体系，对重点区域和重要领域实施监测评价，牵头综合整理和提供资源、房屋、旅游、教育、卫生、邮电、交通运输、社会保障、公用事业、对外贸易、对外经济等全县基本统计资料。</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（4）组织实施全县人口、经济、农业等重大国情国力普查及各项专项调查，组织实施全县投入产出调查。</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（5）对全县国民经济运行、科技进步、社会发展、资源环境等情况进行统计分析、预测，定期发布全县经济社会发展情况统计信息，向县委</w:t>
      </w:r>
      <w:r>
        <w:t>、</w:t>
      </w:r>
      <w:r>
        <w:rPr>
          <w:rFonts w:hint="eastAsia" w:ascii="仿宋_GB2312" w:hAnsi="仿宋_GB2312" w:eastAsia="仿宋_GB2312" w:cs="仿宋_GB2312"/>
          <w:bCs/>
          <w:color w:val="000000"/>
          <w:sz w:val="32"/>
          <w:szCs w:val="32"/>
        </w:rPr>
        <w:t>县政府及有关部门提供统计咨询建议，向社会公众提供统计信息服务。</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（6）建立健全全县统计数据质量审核、监督和评估制度，依法对全县乡镇、县级各部门重要统计数据进行审核、监督和评估。</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（7）建立健全和管理全县统计信息自动化系统及统计数据库体系，组织、推广计算机和传输技术在全县统计工作中的运用。</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（8）组织指导统计人员教育、培训、业务考核等工作，负责全县统计专业技术职务的组织协调、资格审查等工作。</w:t>
      </w:r>
    </w:p>
    <w:p>
      <w:pPr>
        <w:spacing w:line="595" w:lineRule="exact"/>
        <w:ind w:firstLine="640" w:firstLineChars="20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（9）承担县政府公布的有关行政审批事项。</w:t>
      </w:r>
    </w:p>
    <w:p>
      <w:pPr>
        <w:spacing w:line="595" w:lineRule="exact"/>
        <w:ind w:firstLine="640" w:firstLineChars="200"/>
        <w:jc w:val="left"/>
      </w:pPr>
      <w:r>
        <w:rPr>
          <w:rFonts w:hint="eastAsia" w:ascii="仿宋_GB2312" w:hAnsi="仿宋_GB2312" w:eastAsia="仿宋_GB2312" w:cs="仿宋_GB2312"/>
          <w:bCs/>
          <w:color w:val="000000"/>
          <w:sz w:val="32"/>
          <w:szCs w:val="32"/>
        </w:rPr>
        <w:t>（10）承办县委</w:t>
      </w:r>
      <w:r>
        <w:t>、</w:t>
      </w:r>
      <w:r>
        <w:rPr>
          <w:rFonts w:hint="eastAsia" w:ascii="仿宋_GB2312" w:hAnsi="仿宋_GB2312" w:eastAsia="仿宋_GB2312" w:cs="仿宋_GB2312"/>
          <w:bCs/>
          <w:color w:val="000000"/>
          <w:sz w:val="32"/>
          <w:szCs w:val="32"/>
        </w:rPr>
        <w:t>县政府交办的其他事项。</w:t>
      </w:r>
    </w:p>
    <w:p>
      <w:pPr>
        <w:spacing w:line="595" w:lineRule="exact"/>
        <w:ind w:firstLine="643" w:firstLineChars="200"/>
        <w:jc w:val="left"/>
        <w:rPr>
          <w:rFonts w:eastAsia="楷体" w:cs="楷体"/>
          <w:b/>
          <w:sz w:val="32"/>
          <w:szCs w:val="32"/>
        </w:rPr>
      </w:pPr>
      <w:bookmarkStart w:id="18" w:name="_Toc15378446"/>
      <w:bookmarkStart w:id="19" w:name="_Toc15377199"/>
      <w:r>
        <w:rPr>
          <w:rFonts w:hint="eastAsia" w:eastAsia="楷体" w:cs="楷体"/>
          <w:b/>
          <w:sz w:val="32"/>
          <w:szCs w:val="32"/>
        </w:rPr>
        <w:t>（二）2021年重点工作完成情况</w:t>
      </w:r>
      <w:bookmarkEnd w:id="18"/>
      <w:bookmarkEnd w:id="19"/>
    </w:p>
    <w:p>
      <w:pPr>
        <w:spacing w:line="595" w:lineRule="exact"/>
        <w:ind w:firstLine="640" w:firstLineChars="200"/>
        <w:jc w:val="left"/>
        <w:rPr>
          <w:rFonts w:eastAsia="仿宋_GB2312" w:cs="宋体"/>
          <w:color w:val="000000"/>
          <w:kern w:val="0"/>
          <w:sz w:val="32"/>
          <w:szCs w:val="32"/>
        </w:rPr>
      </w:pPr>
      <w:r>
        <w:rPr>
          <w:rFonts w:hint="eastAsia" w:eastAsia="仿宋_GB2312" w:cs="宋体"/>
          <w:color w:val="000000"/>
          <w:kern w:val="0"/>
          <w:sz w:val="32"/>
          <w:szCs w:val="32"/>
        </w:rPr>
        <w:t>一年来，我局严格按照县委、县政府的部署，严格执行各项规章制度，坚决贯彻各项决议。强化依法统计，从严治统。完成了城乡居民收入调查、粮食监测、主要畜禽监测、劳动力调查、工业、投资、商贸、服务业等专业的调查监测及数据统计工作，不断强化预测、预警、预报。2021年全县</w:t>
      </w:r>
      <w:r>
        <w:rPr>
          <w:rFonts w:eastAsia="仿宋_GB2312"/>
          <w:kern w:val="0"/>
          <w:sz w:val="32"/>
          <w:szCs w:val="22"/>
        </w:rPr>
        <w:t>地区生产总值</w:t>
      </w:r>
      <w:r>
        <w:rPr>
          <w:rFonts w:hint="eastAsia" w:eastAsia="仿宋_GB2312"/>
          <w:kern w:val="0"/>
          <w:sz w:val="32"/>
          <w:szCs w:val="22"/>
        </w:rPr>
        <w:t>（</w:t>
      </w:r>
      <w:r>
        <w:rPr>
          <w:rFonts w:hint="eastAsia" w:eastAsia="仿宋_GB2312" w:cs="宋体"/>
          <w:color w:val="000000"/>
          <w:kern w:val="0"/>
          <w:sz w:val="32"/>
          <w:szCs w:val="32"/>
        </w:rPr>
        <w:t>GDP</w:t>
      </w:r>
      <w:r>
        <w:rPr>
          <w:rFonts w:hint="eastAsia" w:eastAsia="仿宋_GB2312"/>
          <w:kern w:val="0"/>
          <w:sz w:val="32"/>
          <w:szCs w:val="22"/>
        </w:rPr>
        <w:t>）</w:t>
      </w:r>
      <w:r>
        <w:rPr>
          <w:rFonts w:hint="eastAsia" w:eastAsia="仿宋_GB2312" w:cs="宋体"/>
          <w:color w:val="000000"/>
          <w:kern w:val="0"/>
          <w:sz w:val="32"/>
          <w:szCs w:val="32"/>
        </w:rPr>
        <w:t>实现128.22亿元，同比增长3.2%。全面完成了人口变动抽样调查，发布了《通江县第七次全国人口普查公报》。专项调查稳步实施，统计</w:t>
      </w:r>
      <w:r>
        <w:rPr>
          <w:rFonts w:hint="eastAsia" w:eastAsia="仿宋_GB2312" w:cs="宋体"/>
          <w:color w:val="000000"/>
          <w:kern w:val="0"/>
          <w:sz w:val="32"/>
          <w:szCs w:val="32"/>
          <w:u w:val="none" w:color="000000"/>
        </w:rPr>
        <w:t>服务</w:t>
      </w:r>
      <w:r>
        <w:rPr>
          <w:rFonts w:hint="eastAsia" w:eastAsia="仿宋_GB2312" w:cs="宋体"/>
          <w:color w:val="000000"/>
          <w:kern w:val="0"/>
          <w:sz w:val="32"/>
          <w:szCs w:val="32"/>
          <w:lang w:val="en-US" w:eastAsia="zh-CN"/>
        </w:rPr>
        <w:t>水平</w:t>
      </w:r>
      <w:r>
        <w:rPr>
          <w:rFonts w:hint="eastAsia" w:eastAsia="仿宋_GB2312" w:cs="宋体"/>
          <w:color w:val="000000"/>
          <w:kern w:val="0"/>
          <w:sz w:val="32"/>
          <w:szCs w:val="32"/>
        </w:rPr>
        <w:t>不断提高，基层基础更加扎实，法制建设再上台阶，统计改革深入推进，党风廉政建设扎实推进，驻村帮扶务实见效。</w:t>
      </w:r>
    </w:p>
    <w:p>
      <w:pPr>
        <w:pStyle w:val="13"/>
        <w:spacing w:before="0" w:after="0" w:line="595" w:lineRule="exact"/>
        <w:ind w:firstLine="640" w:firstLineChars="200"/>
        <w:rPr>
          <w:rStyle w:val="20"/>
          <w:rFonts w:ascii="Times New Roman" w:hAnsi="Times New Roman" w:eastAsia="黑体"/>
          <w:b w:val="0"/>
          <w:bCs w:val="0"/>
        </w:rPr>
      </w:pPr>
      <w:bookmarkStart w:id="20" w:name="_Toc15377200"/>
      <w:bookmarkStart w:id="21" w:name="_Toc10816"/>
      <w:bookmarkStart w:id="22" w:name="_Toc15396601"/>
      <w:r>
        <w:rPr>
          <w:rFonts w:hint="eastAsia" w:ascii="Times New Roman" w:hAnsi="Times New Roman" w:eastAsia="黑体"/>
          <w:b w:val="0"/>
        </w:rPr>
        <w:t>二、机</w:t>
      </w:r>
      <w:r>
        <w:rPr>
          <w:rStyle w:val="20"/>
          <w:rFonts w:hint="eastAsia" w:ascii="Times New Roman" w:hAnsi="Times New Roman" w:eastAsia="黑体"/>
          <w:b w:val="0"/>
          <w:bCs w:val="0"/>
        </w:rPr>
        <w:t>构设置</w:t>
      </w:r>
      <w:bookmarkEnd w:id="20"/>
      <w:bookmarkEnd w:id="21"/>
      <w:bookmarkEnd w:id="22"/>
    </w:p>
    <w:p>
      <w:pPr>
        <w:spacing w:line="595" w:lineRule="exact"/>
        <w:ind w:firstLine="640" w:firstLineChars="200"/>
        <w:jc w:val="left"/>
        <w:rPr>
          <w:rFonts w:eastAsia="仿宋_GB2312" w:cs="宋体"/>
          <w:color w:val="000000"/>
          <w:kern w:val="0"/>
          <w:sz w:val="32"/>
          <w:szCs w:val="32"/>
        </w:rPr>
      </w:pPr>
      <w:r>
        <w:rPr>
          <w:rFonts w:hint="eastAsia" w:eastAsia="仿宋_GB2312" w:cs="宋体"/>
          <w:kern w:val="0"/>
          <w:sz w:val="32"/>
          <w:szCs w:val="32"/>
        </w:rPr>
        <w:t>县统计局是县属县</w:t>
      </w:r>
      <w:r>
        <w:rPr>
          <w:rFonts w:hint="eastAsia" w:eastAsia="仿宋_GB2312" w:cs="宋体"/>
          <w:color w:val="000000"/>
          <w:kern w:val="0"/>
          <w:sz w:val="32"/>
          <w:szCs w:val="32"/>
        </w:rPr>
        <w:t>政府的正科级行政机构。根据县委编办文件精神，我局现有内设股室5个：办公室、综合股、政策法规股、农村经济统计股，统计执法监督局；直属事业单位3个：县社情民意调查中心、县地方调查队、县统计大数据中心；下设1个参公管理单位：县普查中心。下设机构都不是独立核算单位。</w:t>
      </w:r>
    </w:p>
    <w:p>
      <w:pPr>
        <w:spacing w:line="595" w:lineRule="exact"/>
        <w:ind w:firstLine="640" w:firstLineChars="200"/>
        <w:jc w:val="left"/>
        <w:rPr>
          <w:rFonts w:eastAsia="仿宋_GB2312" w:cs="宋体"/>
          <w:color w:val="000000"/>
          <w:kern w:val="0"/>
          <w:sz w:val="32"/>
          <w:szCs w:val="32"/>
        </w:rPr>
      </w:pPr>
    </w:p>
    <w:p>
      <w:pPr>
        <w:spacing w:line="595" w:lineRule="exact"/>
        <w:ind w:firstLine="640" w:firstLineChars="200"/>
        <w:jc w:val="left"/>
        <w:rPr>
          <w:rFonts w:eastAsia="仿宋_GB2312" w:cs="宋体"/>
          <w:color w:val="000000"/>
          <w:kern w:val="0"/>
          <w:sz w:val="32"/>
          <w:szCs w:val="32"/>
        </w:rPr>
      </w:pPr>
    </w:p>
    <w:p>
      <w:pPr>
        <w:spacing w:line="595" w:lineRule="exact"/>
        <w:ind w:firstLine="640" w:firstLineChars="200"/>
        <w:jc w:val="left"/>
        <w:rPr>
          <w:rFonts w:eastAsia="仿宋_GB2312" w:cs="宋体"/>
          <w:color w:val="000000"/>
          <w:kern w:val="0"/>
          <w:sz w:val="32"/>
          <w:szCs w:val="32"/>
        </w:rPr>
      </w:pPr>
    </w:p>
    <w:p>
      <w:pPr>
        <w:pStyle w:val="4"/>
        <w:rPr>
          <w:rFonts w:eastAsia="仿宋_GB2312"/>
          <w:szCs w:val="32"/>
        </w:rPr>
      </w:pPr>
    </w:p>
    <w:p>
      <w:pPr>
        <w:pStyle w:val="4"/>
        <w:rPr>
          <w:rFonts w:eastAsia="仿宋_GB2312"/>
          <w:szCs w:val="32"/>
        </w:rPr>
      </w:pPr>
    </w:p>
    <w:p>
      <w:pPr>
        <w:pStyle w:val="4"/>
        <w:rPr>
          <w:rFonts w:eastAsia="仿宋_GB2312"/>
          <w:szCs w:val="32"/>
        </w:rPr>
      </w:pPr>
    </w:p>
    <w:p>
      <w:pPr>
        <w:pStyle w:val="4"/>
        <w:rPr>
          <w:rFonts w:eastAsia="仿宋_GB2312"/>
          <w:szCs w:val="32"/>
        </w:rPr>
      </w:pPr>
    </w:p>
    <w:p>
      <w:pPr>
        <w:pStyle w:val="4"/>
        <w:rPr>
          <w:rFonts w:eastAsia="仿宋_GB2312"/>
          <w:szCs w:val="32"/>
        </w:rPr>
      </w:pPr>
    </w:p>
    <w:p>
      <w:pPr>
        <w:spacing w:line="595" w:lineRule="exact"/>
        <w:jc w:val="center"/>
        <w:rPr>
          <w:rFonts w:ascii="黑体" w:hAnsi="黑体" w:eastAsia="黑体" w:cs="黑体"/>
          <w:color w:val="000000"/>
          <w:kern w:val="0"/>
          <w:sz w:val="44"/>
          <w:szCs w:val="44"/>
        </w:rPr>
      </w:pPr>
    </w:p>
    <w:p>
      <w:pPr>
        <w:spacing w:line="595" w:lineRule="exact"/>
        <w:jc w:val="center"/>
        <w:rPr>
          <w:rFonts w:ascii="黑体" w:hAnsi="黑体" w:eastAsia="黑体" w:cs="黑体"/>
          <w:color w:val="000000"/>
          <w:kern w:val="0"/>
          <w:sz w:val="44"/>
          <w:szCs w:val="44"/>
        </w:rPr>
      </w:pPr>
    </w:p>
    <w:p>
      <w:pPr>
        <w:pStyle w:val="2"/>
      </w:pPr>
    </w:p>
    <w:p>
      <w:pPr>
        <w:spacing w:line="595" w:lineRule="exact"/>
        <w:jc w:val="center"/>
        <w:rPr>
          <w:rFonts w:ascii="黑体" w:hAnsi="黑体" w:eastAsia="黑体" w:cs="黑体"/>
          <w:color w:val="000000"/>
          <w:kern w:val="0"/>
          <w:sz w:val="44"/>
          <w:szCs w:val="44"/>
        </w:rPr>
      </w:pPr>
    </w:p>
    <w:p>
      <w:pPr>
        <w:spacing w:line="595" w:lineRule="exact"/>
        <w:jc w:val="center"/>
        <w:outlineLvl w:val="0"/>
        <w:rPr>
          <w:rFonts w:ascii="黑体" w:hAnsi="黑体" w:eastAsia="黑体" w:cs="黑体"/>
          <w:color w:val="000000"/>
          <w:kern w:val="0"/>
          <w:sz w:val="44"/>
          <w:szCs w:val="44"/>
        </w:rPr>
      </w:pPr>
      <w:bookmarkStart w:id="23" w:name="_Toc2098"/>
      <w:r>
        <w:rPr>
          <w:rFonts w:hint="eastAsia" w:ascii="黑体" w:hAnsi="黑体" w:eastAsia="黑体" w:cs="黑体"/>
          <w:color w:val="000000"/>
          <w:kern w:val="0"/>
          <w:sz w:val="44"/>
          <w:szCs w:val="44"/>
          <w:u w:val="none" w:color="000000"/>
        </w:rPr>
        <w:t>第二</w:t>
      </w:r>
      <w:r>
        <w:rPr>
          <w:rFonts w:hint="eastAsia" w:ascii="黑体" w:hAnsi="黑体" w:eastAsia="黑体" w:cs="黑体"/>
          <w:color w:val="000000"/>
          <w:kern w:val="0"/>
          <w:sz w:val="44"/>
          <w:szCs w:val="44"/>
        </w:rPr>
        <w:t>部分 2021年度部门决算情况说明</w:t>
      </w:r>
      <w:bookmarkEnd w:id="23"/>
    </w:p>
    <w:p>
      <w:pPr>
        <w:pStyle w:val="21"/>
        <w:spacing w:line="600" w:lineRule="exact"/>
        <w:ind w:left="640" w:firstLine="0" w:firstLineChars="0"/>
        <w:rPr>
          <w:rFonts w:ascii="黑体" w:hAnsi="黑体" w:eastAsia="黑体"/>
          <w:sz w:val="32"/>
          <w:szCs w:val="32"/>
        </w:rPr>
      </w:pPr>
    </w:p>
    <w:p>
      <w:pPr>
        <w:pStyle w:val="21"/>
        <w:spacing w:line="600" w:lineRule="exact"/>
        <w:ind w:firstLine="640"/>
        <w:outlineLvl w:val="1"/>
        <w:rPr>
          <w:rFonts w:ascii="黑体" w:hAnsi="黑体" w:eastAsia="黑体"/>
          <w:sz w:val="32"/>
          <w:szCs w:val="32"/>
        </w:rPr>
      </w:pPr>
      <w:bookmarkStart w:id="24" w:name="_Toc17351"/>
      <w:r>
        <w:rPr>
          <w:rFonts w:hint="eastAsia" w:ascii="黑体" w:hAnsi="黑体" w:eastAsia="黑体"/>
          <w:sz w:val="32"/>
          <w:szCs w:val="32"/>
        </w:rPr>
        <w:t>一、收入支出决算总体情况说明</w:t>
      </w:r>
      <w:bookmarkEnd w:id="24"/>
    </w:p>
    <w:p>
      <w:pPr>
        <w:spacing w:line="595" w:lineRule="exact"/>
        <w:ind w:firstLine="640" w:firstLineChars="200"/>
        <w:jc w:val="left"/>
        <w:rPr>
          <w:rFonts w:eastAsia="仿宋_GB2312" w:cs="宋体"/>
          <w:color w:val="000000"/>
          <w:kern w:val="0"/>
          <w:sz w:val="32"/>
          <w:szCs w:val="32"/>
        </w:rPr>
      </w:pPr>
      <w:r>
        <w:rPr>
          <w:rFonts w:hint="eastAsia" w:eastAsia="仿宋_GB2312" w:cs="宋体"/>
          <w:color w:val="000000"/>
          <w:kern w:val="0"/>
          <w:sz w:val="32"/>
          <w:szCs w:val="32"/>
        </w:rPr>
        <w:t>2021年度收、支总计478.06万元。与2020年相比，收、支总计各减少832.16万元，下降了63.51%，主要变动原因是2021年项目资金收入减少。</w:t>
      </w:r>
    </w:p>
    <w:p>
      <w:pPr>
        <w:spacing w:line="595" w:lineRule="exact"/>
        <w:ind w:firstLine="640" w:firstLineChars="200"/>
        <w:jc w:val="left"/>
        <w:rPr>
          <w:rFonts w:eastAsia="仿宋_GB2312" w:cs="宋体"/>
          <w:color w:val="000000"/>
          <w:kern w:val="0"/>
          <w:sz w:val="32"/>
          <w:szCs w:val="32"/>
        </w:rPr>
      </w:pPr>
    </w:p>
    <w:p>
      <w:pPr>
        <w:spacing w:line="440" w:lineRule="exact"/>
        <w:ind w:firstLine="1960" w:firstLineChars="700"/>
        <w:rPr>
          <w:rFonts w:eastAsia="仿宋" w:cs="仿宋"/>
          <w:sz w:val="28"/>
          <w:szCs w:val="28"/>
        </w:rPr>
      </w:pPr>
      <w:r>
        <w:rPr>
          <w:rFonts w:hint="eastAsia" w:eastAsia="仿宋" w:cs="仿宋"/>
          <w:sz w:val="28"/>
          <w:szCs w:val="28"/>
        </w:rPr>
        <w:drawing>
          <wp:anchor distT="0" distB="0" distL="114300" distR="114300" simplePos="0" relativeHeight="251659264" behindDoc="0" locked="0" layoutInCell="1" allowOverlap="1">
            <wp:simplePos x="0" y="0"/>
            <wp:positionH relativeFrom="column">
              <wp:posOffset>253365</wp:posOffset>
            </wp:positionH>
            <wp:positionV relativeFrom="paragraph">
              <wp:posOffset>88900</wp:posOffset>
            </wp:positionV>
            <wp:extent cx="4681855" cy="1800225"/>
            <wp:effectExtent l="4445" t="4445" r="19050" b="5080"/>
            <wp:wrapTopAndBottom/>
            <wp:docPr id="830" name="_x0000_s39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1"/>
        <w:spacing w:line="595" w:lineRule="exact"/>
        <w:ind w:firstLine="640"/>
        <w:outlineLvl w:val="1"/>
        <w:rPr>
          <w:rStyle w:val="20"/>
          <w:rFonts w:ascii="Times New Roman" w:hAnsi="Times New Roman" w:eastAsia="黑体"/>
          <w:b w:val="0"/>
        </w:rPr>
      </w:pPr>
      <w:bookmarkStart w:id="25" w:name="_Toc29244"/>
      <w:r>
        <w:rPr>
          <w:rStyle w:val="20"/>
          <w:rFonts w:hint="eastAsia" w:ascii="Times New Roman" w:hAnsi="Times New Roman" w:eastAsia="黑体"/>
          <w:b w:val="0"/>
        </w:rPr>
        <w:t>二</w:t>
      </w:r>
      <w:r>
        <w:rPr>
          <w:rFonts w:hint="eastAsia" w:eastAsia="黑体"/>
          <w:color w:val="000000"/>
          <w:sz w:val="32"/>
          <w:szCs w:val="32"/>
        </w:rPr>
        <w:t>、收</w:t>
      </w:r>
      <w:r>
        <w:rPr>
          <w:rStyle w:val="20"/>
          <w:rFonts w:hint="eastAsia" w:ascii="Times New Roman" w:hAnsi="Times New Roman" w:eastAsia="黑体"/>
          <w:b w:val="0"/>
        </w:rPr>
        <w:t>入决算情况说明</w:t>
      </w:r>
      <w:bookmarkEnd w:id="25"/>
    </w:p>
    <w:p>
      <w:pPr>
        <w:spacing w:line="595" w:lineRule="exact"/>
        <w:ind w:firstLine="640" w:firstLineChars="200"/>
        <w:jc w:val="left"/>
        <w:rPr>
          <w:rFonts w:eastAsia="仿宋_GB2312" w:cs="宋体"/>
          <w:color w:val="000000"/>
          <w:kern w:val="0"/>
          <w:sz w:val="32"/>
          <w:szCs w:val="32"/>
        </w:rPr>
      </w:pPr>
      <w:r>
        <w:rPr>
          <w:rFonts w:hint="eastAsia" w:eastAsia="仿宋"/>
          <w:color w:val="000000"/>
          <w:sz w:val="32"/>
          <w:szCs w:val="32"/>
        </w:rPr>
        <w:drawing>
          <wp:anchor distT="0" distB="0" distL="114300" distR="114300" simplePos="0" relativeHeight="251660288" behindDoc="0" locked="0" layoutInCell="1" allowOverlap="1">
            <wp:simplePos x="0" y="0"/>
            <wp:positionH relativeFrom="column">
              <wp:posOffset>285115</wp:posOffset>
            </wp:positionH>
            <wp:positionV relativeFrom="paragraph">
              <wp:posOffset>1186815</wp:posOffset>
            </wp:positionV>
            <wp:extent cx="4681220" cy="2400935"/>
            <wp:effectExtent l="4445" t="4445" r="19685" b="13970"/>
            <wp:wrapTopAndBottom/>
            <wp:docPr id="831" name="_x0000_s39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eastAsia="仿宋_GB2312" w:cs="宋体"/>
          <w:color w:val="000000"/>
          <w:kern w:val="0"/>
          <w:sz w:val="32"/>
          <w:szCs w:val="32"/>
        </w:rPr>
        <w:t>2021年本年收入合计478.06万元，其中：一般公共预算财政拨款收入478.06万元，占100%；政府性基金预算财政拨款为0</w:t>
      </w:r>
      <w:r>
        <w:t>.</w:t>
      </w:r>
    </w:p>
    <w:p>
      <w:pPr>
        <w:spacing w:line="440" w:lineRule="exact"/>
        <w:ind w:firstLine="640" w:firstLineChars="200"/>
        <w:rPr>
          <w:rStyle w:val="20"/>
          <w:rFonts w:ascii="黑体" w:hAnsi="黑体" w:eastAsia="黑体"/>
          <w:b w:val="0"/>
        </w:rPr>
      </w:pPr>
      <w:bookmarkStart w:id="26" w:name="_Toc15377206"/>
      <w:bookmarkStart w:id="27" w:name="_Toc15396604"/>
      <w:r>
        <w:rPr>
          <w:rFonts w:hint="eastAsia" w:eastAsia="黑体"/>
          <w:color w:val="000000"/>
          <w:sz w:val="32"/>
          <w:szCs w:val="32"/>
        </w:rPr>
        <w:t>三、</w:t>
      </w:r>
      <w:bookmarkEnd w:id="26"/>
      <w:bookmarkEnd w:id="27"/>
      <w:bookmarkStart w:id="28" w:name="_Toc15377207"/>
      <w:bookmarkStart w:id="29" w:name="_Toc15396605"/>
      <w:r>
        <w:rPr>
          <w:rFonts w:hint="eastAsia" w:ascii="黑体" w:hAnsi="黑体" w:eastAsia="黑体"/>
          <w:sz w:val="32"/>
          <w:szCs w:val="32"/>
        </w:rPr>
        <w:t>支出决算情况说明</w:t>
      </w:r>
      <w:bookmarkEnd w:id="28"/>
      <w:bookmarkEnd w:id="29"/>
    </w:p>
    <w:p>
      <w:pPr>
        <w:spacing w:line="595" w:lineRule="exact"/>
        <w:ind w:firstLine="640" w:firstLineChars="200"/>
        <w:jc w:val="left"/>
        <w:rPr>
          <w:rFonts w:eastAsia="仿宋_GB2312" w:cs="宋体"/>
          <w:color w:val="000000"/>
          <w:kern w:val="0"/>
          <w:sz w:val="32"/>
          <w:szCs w:val="32"/>
        </w:rPr>
      </w:pPr>
      <w:r>
        <w:rPr>
          <w:rFonts w:hint="eastAsia" w:eastAsia="仿宋_GB2312" w:cs="宋体"/>
          <w:color w:val="000000"/>
          <w:kern w:val="0"/>
          <w:sz w:val="32"/>
          <w:szCs w:val="32"/>
        </w:rPr>
        <w:t>2021年本年支出合计478.06万元，其中：基本支出464.96万元，占97.26%；项目支出13.10万元，占2.74%；上缴上级支出0万元；经营支出0万元。如下图：</w:t>
      </w:r>
    </w:p>
    <w:p>
      <w:pPr>
        <w:pStyle w:val="4"/>
      </w:pPr>
      <w:r>
        <w:rPr>
          <w:rFonts w:hint="eastAsia"/>
        </w:rPr>
        <w:drawing>
          <wp:inline distT="0" distB="0" distL="114300" distR="114300">
            <wp:extent cx="5080000" cy="2990850"/>
            <wp:effectExtent l="4445" t="4445" r="20955" b="14605"/>
            <wp:docPr id="832" name="_x0000_i39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440" w:lineRule="exact"/>
        <w:ind w:firstLine="640" w:firstLineChars="200"/>
        <w:rPr>
          <w:rStyle w:val="20"/>
          <w:rFonts w:ascii="Times New Roman" w:hAnsi="Times New Roman" w:eastAsia="黑体"/>
          <w:b w:val="0"/>
        </w:rPr>
      </w:pPr>
      <w:bookmarkStart w:id="30" w:name="_Toc15377208"/>
      <w:bookmarkStart w:id="31" w:name="_Toc15396606"/>
      <w:r>
        <w:rPr>
          <w:rFonts w:hint="eastAsia" w:eastAsia="黑体"/>
          <w:color w:val="000000"/>
          <w:sz w:val="32"/>
          <w:szCs w:val="32"/>
        </w:rPr>
        <w:t>四、财</w:t>
      </w:r>
      <w:r>
        <w:rPr>
          <w:rStyle w:val="20"/>
          <w:rFonts w:hint="eastAsia" w:ascii="Times New Roman" w:hAnsi="Times New Roman" w:eastAsia="黑体"/>
          <w:b w:val="0"/>
        </w:rPr>
        <w:t>政拨款收入支出</w:t>
      </w:r>
      <w:r>
        <w:rPr>
          <w:rFonts w:hint="eastAsia" w:eastAsia="黑体"/>
          <w:sz w:val="32"/>
          <w:szCs w:val="32"/>
        </w:rPr>
        <w:t>决算总体情况说明</w:t>
      </w:r>
      <w:bookmarkEnd w:id="30"/>
      <w:bookmarkEnd w:id="31"/>
    </w:p>
    <w:p>
      <w:pPr>
        <w:spacing w:line="595" w:lineRule="exact"/>
        <w:ind w:firstLine="640" w:firstLineChars="200"/>
        <w:jc w:val="left"/>
        <w:rPr>
          <w:rFonts w:eastAsia="仿宋" w:cs="仿宋"/>
          <w:sz w:val="28"/>
          <w:szCs w:val="28"/>
        </w:rPr>
      </w:pPr>
      <w:r>
        <w:rPr>
          <w:rFonts w:hint="eastAsia" w:eastAsia="仿宋_GB2312" w:cs="宋体"/>
          <w:color w:val="000000"/>
          <w:kern w:val="0"/>
          <w:sz w:val="32"/>
          <w:szCs w:val="32"/>
        </w:rPr>
        <w:t>2021年财政拨款收、支总计478.06万元。与2020年相比，财政拨款收、支总计各减少832.16万元，下降了63.51%，主要变动原因是2021年项目资金财政拨款收入减少。</w:t>
      </w:r>
      <w:bookmarkStart w:id="32" w:name="_Toc15377209"/>
      <w:bookmarkStart w:id="33" w:name="_Toc15396607"/>
    </w:p>
    <w:p>
      <w:pPr>
        <w:spacing w:line="595" w:lineRule="exact"/>
        <w:jc w:val="left"/>
        <w:rPr>
          <w:rFonts w:eastAsia="仿宋" w:cs="仿宋"/>
          <w:sz w:val="28"/>
          <w:szCs w:val="28"/>
        </w:rPr>
      </w:pPr>
      <w:r>
        <w:rPr>
          <w:rFonts w:hint="eastAsia" w:eastAsia="仿宋" w:cs="仿宋"/>
          <w:sz w:val="28"/>
          <w:szCs w:val="28"/>
        </w:rPr>
        <w:drawing>
          <wp:anchor distT="0" distB="0" distL="114300" distR="114300" simplePos="0" relativeHeight="251662336" behindDoc="0" locked="0" layoutInCell="1" allowOverlap="1">
            <wp:simplePos x="0" y="0"/>
            <wp:positionH relativeFrom="column">
              <wp:posOffset>377825</wp:posOffset>
            </wp:positionH>
            <wp:positionV relativeFrom="paragraph">
              <wp:posOffset>46355</wp:posOffset>
            </wp:positionV>
            <wp:extent cx="4558665" cy="1696085"/>
            <wp:effectExtent l="4445" t="4445" r="8890" b="13970"/>
            <wp:wrapTopAndBottom/>
            <wp:docPr id="833" name="_x0000_s39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440" w:lineRule="exact"/>
        <w:ind w:firstLine="1960" w:firstLineChars="700"/>
        <w:rPr>
          <w:rFonts w:eastAsia="仿宋" w:cs="仿宋"/>
          <w:sz w:val="28"/>
          <w:szCs w:val="28"/>
        </w:rPr>
      </w:pPr>
    </w:p>
    <w:p>
      <w:pPr>
        <w:spacing w:line="440" w:lineRule="exact"/>
        <w:ind w:firstLine="640" w:firstLineChars="200"/>
        <w:rPr>
          <w:rFonts w:eastAsia="黑体"/>
          <w:color w:val="000000"/>
          <w:sz w:val="32"/>
          <w:szCs w:val="32"/>
        </w:rPr>
      </w:pPr>
    </w:p>
    <w:p>
      <w:pPr>
        <w:spacing w:line="440" w:lineRule="exact"/>
        <w:ind w:firstLine="640" w:firstLineChars="200"/>
        <w:outlineLvl w:val="1"/>
        <w:rPr>
          <w:rFonts w:eastAsia="黑体"/>
          <w:color w:val="000000"/>
          <w:sz w:val="32"/>
          <w:szCs w:val="32"/>
        </w:rPr>
      </w:pPr>
      <w:bookmarkStart w:id="34" w:name="_Toc24306"/>
      <w:r>
        <w:rPr>
          <w:rFonts w:hint="eastAsia" w:eastAsia="黑体"/>
          <w:color w:val="000000"/>
          <w:sz w:val="32"/>
          <w:szCs w:val="32"/>
        </w:rPr>
        <w:t>五、一般公共预算财政拨款支出决算情况说明</w:t>
      </w:r>
      <w:bookmarkEnd w:id="32"/>
      <w:bookmarkEnd w:id="33"/>
      <w:bookmarkEnd w:id="34"/>
    </w:p>
    <w:p>
      <w:pPr>
        <w:spacing w:line="595" w:lineRule="exact"/>
        <w:ind w:firstLine="643" w:firstLineChars="200"/>
        <w:outlineLvl w:val="2"/>
        <w:rPr>
          <w:rFonts w:eastAsia="楷体" w:cs="楷体"/>
          <w:b/>
          <w:color w:val="000000"/>
          <w:sz w:val="32"/>
          <w:szCs w:val="32"/>
        </w:rPr>
      </w:pPr>
      <w:bookmarkStart w:id="35" w:name="_Toc15377210"/>
      <w:r>
        <w:rPr>
          <w:rFonts w:hint="eastAsia" w:eastAsia="楷体" w:cs="楷体"/>
          <w:b/>
          <w:color w:val="000000"/>
          <w:sz w:val="32"/>
          <w:szCs w:val="32"/>
        </w:rPr>
        <w:t>（一）一般公共预算财政拨款支出决算总体情况</w:t>
      </w:r>
      <w:bookmarkEnd w:id="35"/>
    </w:p>
    <w:p>
      <w:pPr>
        <w:spacing w:line="595" w:lineRule="exact"/>
        <w:ind w:firstLine="640" w:firstLineChars="200"/>
        <w:jc w:val="left"/>
        <w:rPr>
          <w:rFonts w:eastAsia="仿宋_GB2312" w:cs="宋体"/>
          <w:color w:val="000000"/>
          <w:kern w:val="0"/>
          <w:sz w:val="32"/>
          <w:szCs w:val="32"/>
        </w:rPr>
      </w:pPr>
      <w:r>
        <w:rPr>
          <w:rFonts w:hint="eastAsia" w:eastAsia="仿宋_GB2312" w:cs="宋体"/>
          <w:color w:val="000000"/>
          <w:kern w:val="0"/>
          <w:sz w:val="32"/>
          <w:szCs w:val="32"/>
        </w:rPr>
        <w:t>2021年一般公共预算财政拨款支出478.06万元，占本年支出合计的100%。与2020年相比，一般公共预算财政拨款支出减少832.16万元，下降了63.51%。主要变动原因是2021年项目资金财政拨款收入减少，因此一般公共预算财政拨款支出相应减少。</w:t>
      </w:r>
    </w:p>
    <w:p>
      <w:pPr>
        <w:pStyle w:val="4"/>
        <w:rPr>
          <w:rFonts w:cs="仿宋"/>
          <w:sz w:val="28"/>
          <w:szCs w:val="28"/>
        </w:rPr>
      </w:pPr>
      <w:r>
        <w:rPr>
          <w:rFonts w:hint="eastAsia" w:cs="仿宋"/>
          <w:sz w:val="28"/>
          <w:szCs w:val="28"/>
        </w:rPr>
        <w:drawing>
          <wp:anchor distT="0" distB="0" distL="114300" distR="114300" simplePos="0" relativeHeight="251661312" behindDoc="0" locked="0" layoutInCell="1" allowOverlap="1">
            <wp:simplePos x="0" y="0"/>
            <wp:positionH relativeFrom="column">
              <wp:posOffset>347345</wp:posOffset>
            </wp:positionH>
            <wp:positionV relativeFrom="paragraph">
              <wp:posOffset>138430</wp:posOffset>
            </wp:positionV>
            <wp:extent cx="4558665" cy="1744345"/>
            <wp:effectExtent l="4445" t="4445" r="8890" b="22860"/>
            <wp:wrapTopAndBottom/>
            <wp:docPr id="834" name="_x0000_s39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4"/>
        <w:numPr>
          <w:ilvl w:val="0"/>
          <w:numId w:val="1"/>
        </w:numPr>
        <w:ind w:firstLine="643" w:firstLineChars="200"/>
        <w:rPr>
          <w:rFonts w:eastAsia="楷体" w:cs="楷体"/>
          <w:b/>
          <w:color w:val="000000"/>
          <w:szCs w:val="32"/>
        </w:rPr>
      </w:pPr>
      <w:r>
        <w:rPr>
          <w:rFonts w:hint="eastAsia" w:eastAsia="楷体" w:cs="楷体"/>
          <w:b/>
          <w:color w:val="000000"/>
          <w:szCs w:val="32"/>
        </w:rPr>
        <w:t>一般公共预算财政拨款支出决算结构情</w:t>
      </w:r>
      <w:r>
        <w:rPr>
          <w:rFonts w:hint="eastAsia" w:eastAsia="楷体" w:cs="楷体"/>
          <w:b/>
          <w:color w:val="000000"/>
          <w:szCs w:val="32"/>
          <w:u w:val="none" w:color="000000"/>
          <w:shd w:val="clear" w:fill="auto"/>
        </w:rPr>
        <w:t>况</w:t>
      </w:r>
    </w:p>
    <w:p>
      <w:pPr>
        <w:pStyle w:val="4"/>
        <w:ind w:firstLine="640" w:firstLineChars="200"/>
        <w:rPr>
          <w:color w:val="000000" w:themeColor="text1"/>
          <w:szCs w:val="32"/>
        </w:rPr>
      </w:pPr>
      <w:r>
        <w:rPr>
          <w:color w:val="000000"/>
          <w:szCs w:val="32"/>
        </w:rPr>
        <w:t>20</w:t>
      </w:r>
      <w:r>
        <w:rPr>
          <w:rFonts w:hint="eastAsia"/>
          <w:color w:val="000000"/>
          <w:szCs w:val="32"/>
        </w:rPr>
        <w:t>21年一般公共预算财政拨款</w:t>
      </w:r>
      <w:r>
        <w:rPr>
          <w:rFonts w:hint="eastAsia"/>
          <w:color w:val="000000" w:themeColor="text1"/>
          <w:szCs w:val="32"/>
        </w:rPr>
        <w:t>支出478.06万元，主要</w:t>
      </w:r>
      <w:r>
        <w:rPr>
          <w:rFonts w:hint="eastAsia"/>
          <w:color w:val="000000"/>
          <w:szCs w:val="32"/>
        </w:rPr>
        <w:t>用于以下方面</w:t>
      </w:r>
      <w:r>
        <w:t>：</w:t>
      </w:r>
      <w:r>
        <w:rPr>
          <w:rFonts w:hint="eastAsia"/>
          <w:color w:val="000000"/>
          <w:szCs w:val="32"/>
        </w:rPr>
        <w:t>一般公共服务（类）支出380.55万元，占79.60</w:t>
      </w:r>
      <w:r>
        <w:rPr>
          <w:color w:val="000000"/>
          <w:szCs w:val="32"/>
        </w:rPr>
        <w:t>%</w:t>
      </w:r>
      <w:r>
        <w:rPr>
          <w:rFonts w:hint="eastAsia"/>
          <w:color w:val="000000"/>
          <w:szCs w:val="32"/>
        </w:rPr>
        <w:t>；教育支出（类）0万元；科学技术（类）支出0万元；社会保障和就业（类）支出41.57万元，占8.70</w:t>
      </w:r>
      <w:r>
        <w:rPr>
          <w:color w:val="000000"/>
          <w:szCs w:val="32"/>
        </w:rPr>
        <w:t>%</w:t>
      </w:r>
      <w:r>
        <w:rPr>
          <w:rFonts w:hint="eastAsia"/>
          <w:color w:val="000000"/>
          <w:szCs w:val="32"/>
        </w:rPr>
        <w:t>；卫生健康</w:t>
      </w:r>
      <w:r>
        <w:rPr>
          <w:rFonts w:hint="eastAsia"/>
          <w:color w:val="000000" w:themeColor="text1"/>
          <w:szCs w:val="32"/>
        </w:rPr>
        <w:t>支出23.95</w:t>
      </w:r>
      <w:r>
        <w:rPr>
          <w:rFonts w:hint="eastAsia"/>
          <w:color w:val="000000"/>
          <w:szCs w:val="32"/>
        </w:rPr>
        <w:t>万元，</w:t>
      </w:r>
      <w:r>
        <w:rPr>
          <w:rFonts w:hint="eastAsia"/>
          <w:color w:val="000000" w:themeColor="text1"/>
          <w:szCs w:val="32"/>
        </w:rPr>
        <w:t>占5.01</w:t>
      </w:r>
      <w:r>
        <w:rPr>
          <w:color w:val="000000" w:themeColor="text1"/>
          <w:szCs w:val="32"/>
        </w:rPr>
        <w:t>%</w:t>
      </w:r>
      <w:r>
        <w:rPr>
          <w:rFonts w:hint="eastAsia"/>
          <w:color w:val="000000" w:themeColor="text1"/>
          <w:szCs w:val="32"/>
        </w:rPr>
        <w:t>；</w:t>
      </w:r>
      <w:r>
        <w:rPr>
          <w:rFonts w:hint="eastAsia"/>
          <w:color w:val="000000"/>
          <w:szCs w:val="32"/>
        </w:rPr>
        <w:t>农林水</w:t>
      </w:r>
      <w:r>
        <w:rPr>
          <w:rFonts w:hint="eastAsia"/>
          <w:color w:val="000000" w:themeColor="text1"/>
          <w:szCs w:val="32"/>
        </w:rPr>
        <w:t>支出4.6</w:t>
      </w:r>
      <w:r>
        <w:rPr>
          <w:rFonts w:hint="eastAsia"/>
          <w:color w:val="000000"/>
          <w:szCs w:val="32"/>
        </w:rPr>
        <w:t>万元，</w:t>
      </w:r>
      <w:r>
        <w:rPr>
          <w:rFonts w:hint="eastAsia"/>
          <w:color w:val="000000" w:themeColor="text1"/>
          <w:szCs w:val="32"/>
        </w:rPr>
        <w:t>占0.96%；</w:t>
      </w:r>
      <w:r>
        <w:rPr>
          <w:rFonts w:hint="eastAsia"/>
          <w:color w:val="000000"/>
          <w:szCs w:val="32"/>
        </w:rPr>
        <w:t>住房保障</w:t>
      </w:r>
      <w:r>
        <w:rPr>
          <w:rFonts w:hint="eastAsia"/>
          <w:color w:val="000000" w:themeColor="text1"/>
          <w:szCs w:val="32"/>
        </w:rPr>
        <w:t>支出27.39</w:t>
      </w:r>
      <w:r>
        <w:rPr>
          <w:rFonts w:hint="eastAsia"/>
          <w:color w:val="000000"/>
          <w:szCs w:val="32"/>
        </w:rPr>
        <w:t>万元，</w:t>
      </w:r>
      <w:r>
        <w:rPr>
          <w:rFonts w:hint="eastAsia"/>
          <w:color w:val="000000" w:themeColor="text1"/>
          <w:szCs w:val="32"/>
        </w:rPr>
        <w:t>占比5.73</w:t>
      </w:r>
      <w:r>
        <w:rPr>
          <w:color w:val="000000" w:themeColor="text1"/>
          <w:szCs w:val="32"/>
        </w:rPr>
        <w:t>%</w:t>
      </w:r>
      <w:r>
        <w:rPr>
          <w:rFonts w:hint="eastAsia"/>
          <w:color w:val="000000" w:themeColor="text1"/>
          <w:szCs w:val="32"/>
        </w:rPr>
        <w:t>。</w:t>
      </w:r>
    </w:p>
    <w:p>
      <w:pPr>
        <w:pStyle w:val="4"/>
        <w:rPr>
          <w:color w:val="000000" w:themeColor="text1"/>
          <w:szCs w:val="32"/>
        </w:rPr>
      </w:pPr>
    </w:p>
    <w:p>
      <w:pPr>
        <w:pStyle w:val="4"/>
        <w:rPr>
          <w:color w:val="000000"/>
          <w:szCs w:val="32"/>
        </w:rPr>
      </w:pPr>
      <w:r>
        <w:rPr>
          <w:rFonts w:hint="eastAsia"/>
          <w:color w:val="000000"/>
          <w:szCs w:val="32"/>
        </w:rPr>
        <w:drawing>
          <wp:anchor distT="0" distB="0" distL="114300" distR="114300" simplePos="0" relativeHeight="251663360" behindDoc="0" locked="0" layoutInCell="1" allowOverlap="1">
            <wp:simplePos x="0" y="0"/>
            <wp:positionH relativeFrom="column">
              <wp:posOffset>244475</wp:posOffset>
            </wp:positionH>
            <wp:positionV relativeFrom="paragraph">
              <wp:posOffset>185420</wp:posOffset>
            </wp:positionV>
            <wp:extent cx="4747895" cy="2142490"/>
            <wp:effectExtent l="4445" t="4445" r="10160" b="5715"/>
            <wp:wrapTopAndBottom/>
            <wp:docPr id="835" name="_x0000_s39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Start w:id="36" w:name="_Toc15377212"/>
    </w:p>
    <w:p>
      <w:pPr>
        <w:pStyle w:val="4"/>
        <w:ind w:firstLine="643" w:firstLineChars="200"/>
        <w:rPr>
          <w:b/>
          <w:color w:val="000000"/>
          <w:szCs w:val="32"/>
        </w:rPr>
      </w:pPr>
      <w:r>
        <w:rPr>
          <w:rFonts w:hint="eastAsia"/>
          <w:b/>
          <w:color w:val="000000"/>
          <w:szCs w:val="32"/>
        </w:rPr>
        <w:t>（三）一般公共预算财政拨款支出决算具体情况</w:t>
      </w:r>
      <w:bookmarkEnd w:id="36"/>
    </w:p>
    <w:p>
      <w:pPr>
        <w:spacing w:line="595" w:lineRule="exact"/>
        <w:ind w:firstLine="640"/>
        <w:rPr>
          <w:rFonts w:eastAsia="仿宋"/>
          <w:color w:val="000000"/>
          <w:sz w:val="32"/>
          <w:szCs w:val="32"/>
        </w:rPr>
      </w:pPr>
      <w:bookmarkStart w:id="37" w:name="_Toc15378460"/>
      <w:bookmarkStart w:id="38" w:name="_Toc15377444"/>
      <w:bookmarkStart w:id="39" w:name="_Toc15377213"/>
      <w:r>
        <w:rPr>
          <w:rFonts w:hint="eastAsia" w:eastAsia="仿宋"/>
          <w:color w:val="000000"/>
          <w:sz w:val="32"/>
          <w:szCs w:val="32"/>
        </w:rPr>
        <w:t>2021年一般公共预算支出决算数为478.06万元，完成预算的100%。其中：</w:t>
      </w:r>
      <w:bookmarkEnd w:id="37"/>
      <w:bookmarkEnd w:id="38"/>
      <w:bookmarkEnd w:id="39"/>
    </w:p>
    <w:p>
      <w:pPr>
        <w:numPr>
          <w:ilvl w:val="0"/>
          <w:numId w:val="2"/>
        </w:numPr>
        <w:spacing w:line="595" w:lineRule="exact"/>
        <w:ind w:firstLine="640" w:firstLineChars="200"/>
        <w:rPr>
          <w:rFonts w:eastAsia="仿宋_GB2312" w:cs="宋体"/>
          <w:color w:val="000000"/>
          <w:kern w:val="0"/>
          <w:sz w:val="32"/>
          <w:szCs w:val="32"/>
        </w:rPr>
      </w:pPr>
      <w:r>
        <w:rPr>
          <w:rFonts w:hint="eastAsia" w:eastAsia="仿宋_GB2312" w:cs="宋体"/>
          <w:color w:val="000000"/>
          <w:kern w:val="0"/>
          <w:sz w:val="32"/>
          <w:szCs w:val="32"/>
        </w:rPr>
        <w:t>一般公共服务支出（类）统计信息事务（款）行政运行（项）:2021年决算数为264.67万元，完成</w:t>
      </w:r>
      <w:r>
        <w:rPr>
          <w:rFonts w:hint="eastAsia" w:eastAsia="仿宋_GB2312" w:cs="宋体"/>
          <w:color w:val="000000"/>
          <w:kern w:val="0"/>
          <w:sz w:val="32"/>
          <w:szCs w:val="32"/>
          <w:lang w:eastAsia="zh-CN"/>
        </w:rPr>
        <w:t>预算的100%</w:t>
      </w:r>
      <w:r>
        <w:rPr>
          <w:rFonts w:hint="eastAsia" w:eastAsia="仿宋_GB2312" w:cs="宋体"/>
          <w:color w:val="000000"/>
          <w:kern w:val="0"/>
          <w:sz w:val="32"/>
          <w:szCs w:val="32"/>
        </w:rPr>
        <w:t>。</w:t>
      </w:r>
    </w:p>
    <w:p>
      <w:pPr>
        <w:spacing w:line="595" w:lineRule="exact"/>
        <w:rPr>
          <w:rFonts w:eastAsia="仿宋_GB2312" w:cs="宋体"/>
          <w:color w:val="000000"/>
          <w:kern w:val="0"/>
          <w:sz w:val="32"/>
          <w:szCs w:val="32"/>
        </w:rPr>
      </w:pPr>
      <w:r>
        <w:rPr>
          <w:rFonts w:hint="eastAsia" w:eastAsia="仿宋_GB2312" w:cs="宋体"/>
          <w:color w:val="000000"/>
          <w:kern w:val="0"/>
          <w:sz w:val="32"/>
          <w:szCs w:val="32"/>
        </w:rPr>
        <w:t>　　2．一般公共服务支出（类）统计信息事务（款）一般行政管理事务（项）:2021年决算数为7万元，完成</w:t>
      </w:r>
      <w:r>
        <w:rPr>
          <w:rFonts w:hint="eastAsia" w:eastAsia="仿宋_GB2312" w:cs="宋体"/>
          <w:color w:val="000000"/>
          <w:kern w:val="0"/>
          <w:sz w:val="32"/>
          <w:szCs w:val="32"/>
          <w:lang w:eastAsia="zh-CN"/>
        </w:rPr>
        <w:t>预算的100%</w:t>
      </w:r>
      <w:r>
        <w:rPr>
          <w:rFonts w:hint="eastAsia" w:eastAsia="仿宋_GB2312" w:cs="宋体"/>
          <w:color w:val="000000"/>
          <w:kern w:val="0"/>
          <w:sz w:val="32"/>
          <w:szCs w:val="32"/>
        </w:rPr>
        <w:t>.</w:t>
      </w:r>
    </w:p>
    <w:p>
      <w:pPr>
        <w:spacing w:line="595" w:lineRule="exact"/>
        <w:rPr>
          <w:rFonts w:eastAsia="仿宋_GB2312" w:cs="宋体"/>
          <w:color w:val="000000"/>
          <w:kern w:val="0"/>
          <w:sz w:val="32"/>
          <w:szCs w:val="32"/>
        </w:rPr>
      </w:pPr>
      <w:r>
        <w:rPr>
          <w:rFonts w:hint="eastAsia" w:eastAsia="仿宋_GB2312" w:cs="宋体"/>
          <w:color w:val="000000"/>
          <w:kern w:val="0"/>
          <w:sz w:val="32"/>
          <w:szCs w:val="32"/>
        </w:rPr>
        <w:t>　　3．一般公共服务支出（类）统计信息事务（款）事业运行（项）:2021年决算数为108.88万元，完成</w:t>
      </w:r>
      <w:r>
        <w:rPr>
          <w:rFonts w:hint="eastAsia" w:eastAsia="仿宋_GB2312" w:cs="宋体"/>
          <w:color w:val="000000"/>
          <w:kern w:val="0"/>
          <w:sz w:val="32"/>
          <w:szCs w:val="32"/>
          <w:lang w:eastAsia="zh-CN"/>
        </w:rPr>
        <w:t>预算的100%</w:t>
      </w:r>
      <w:r>
        <w:rPr>
          <w:rFonts w:hint="eastAsia" w:eastAsia="仿宋_GB2312" w:cs="宋体"/>
          <w:color w:val="000000"/>
          <w:kern w:val="0"/>
          <w:sz w:val="32"/>
          <w:szCs w:val="32"/>
        </w:rPr>
        <w:t>。</w:t>
      </w:r>
    </w:p>
    <w:p>
      <w:pPr>
        <w:spacing w:line="595" w:lineRule="exact"/>
        <w:ind w:firstLine="320" w:firstLineChars="100"/>
        <w:rPr>
          <w:rFonts w:eastAsia="仿宋_GB2312" w:cs="宋体"/>
          <w:color w:val="000000"/>
          <w:kern w:val="0"/>
          <w:sz w:val="32"/>
          <w:szCs w:val="32"/>
        </w:rPr>
      </w:pPr>
      <w:r>
        <w:rPr>
          <w:rFonts w:hint="eastAsia" w:eastAsia="仿宋_GB2312" w:cs="宋体"/>
          <w:color w:val="000000"/>
          <w:kern w:val="0"/>
          <w:sz w:val="32"/>
          <w:szCs w:val="32"/>
        </w:rPr>
        <w:t>　4．社会保障和就业支出（类）人力资源和社会保障管理事务（款）引进人才费用（项）:2021年决算数为1.5万元，完成预算的100%。</w:t>
      </w:r>
    </w:p>
    <w:p>
      <w:pPr>
        <w:spacing w:line="595" w:lineRule="exact"/>
        <w:ind w:firstLine="320" w:firstLineChars="100"/>
        <w:rPr>
          <w:rFonts w:eastAsia="仿宋_GB2312" w:cs="宋体"/>
          <w:color w:val="000000"/>
          <w:kern w:val="0"/>
          <w:sz w:val="32"/>
          <w:szCs w:val="32"/>
        </w:rPr>
      </w:pPr>
      <w:r>
        <w:rPr>
          <w:rFonts w:hint="eastAsia" w:eastAsia="仿宋_GB2312" w:cs="宋体"/>
          <w:color w:val="000000"/>
          <w:kern w:val="0"/>
          <w:sz w:val="32"/>
          <w:szCs w:val="32"/>
        </w:rPr>
        <w:t>　5．社会保障和就业支出（类）行政事业单位养老支出（款）机关事业单位基本养老保险缴费支出（项）:2021年决算数为36.51万元，完成</w:t>
      </w:r>
      <w:r>
        <w:rPr>
          <w:rFonts w:hint="eastAsia" w:eastAsia="仿宋_GB2312" w:cs="宋体"/>
          <w:color w:val="000000"/>
          <w:kern w:val="0"/>
          <w:sz w:val="32"/>
          <w:szCs w:val="32"/>
          <w:lang w:eastAsia="zh-CN"/>
        </w:rPr>
        <w:t>预算的100%</w:t>
      </w:r>
      <w:r>
        <w:rPr>
          <w:rFonts w:hint="eastAsia" w:eastAsia="仿宋_GB2312" w:cs="宋体"/>
          <w:color w:val="000000"/>
          <w:kern w:val="0"/>
          <w:sz w:val="32"/>
          <w:szCs w:val="32"/>
        </w:rPr>
        <w:t>。</w:t>
      </w:r>
    </w:p>
    <w:p>
      <w:pPr>
        <w:pStyle w:val="4"/>
        <w:ind w:firstLine="640" w:firstLineChars="200"/>
        <w:rPr>
          <w:rFonts w:eastAsia="仿宋_GB2312" w:cs="宋体"/>
          <w:color w:val="000000"/>
          <w:kern w:val="0"/>
          <w:szCs w:val="32"/>
        </w:rPr>
      </w:pPr>
      <w:r>
        <w:rPr>
          <w:rFonts w:hint="eastAsia" w:eastAsia="仿宋_GB2312" w:cs="宋体"/>
          <w:color w:val="000000"/>
          <w:kern w:val="0"/>
          <w:szCs w:val="32"/>
        </w:rPr>
        <w:t>6．社会保障和就业支出（类）行政事业单位养老支出（款）机关事业单位职业年金缴费支出（项）:2021年决算数为3.56万元，完成</w:t>
      </w:r>
      <w:r>
        <w:rPr>
          <w:rFonts w:hint="eastAsia" w:eastAsia="仿宋_GB2312" w:cs="宋体"/>
          <w:color w:val="000000"/>
          <w:kern w:val="0"/>
          <w:szCs w:val="32"/>
          <w:lang w:eastAsia="zh-CN"/>
        </w:rPr>
        <w:t>预算的100%</w:t>
      </w:r>
      <w:r>
        <w:rPr>
          <w:rFonts w:hint="eastAsia" w:eastAsia="仿宋_GB2312" w:cs="宋体"/>
          <w:color w:val="000000"/>
          <w:kern w:val="0"/>
          <w:szCs w:val="32"/>
        </w:rPr>
        <w:t>。　</w:t>
      </w:r>
    </w:p>
    <w:p>
      <w:pPr>
        <w:spacing w:line="595" w:lineRule="exact"/>
        <w:ind w:firstLine="640" w:firstLineChars="200"/>
        <w:rPr>
          <w:rFonts w:eastAsia="仿宋_GB2312" w:cs="宋体"/>
          <w:color w:val="000000"/>
          <w:kern w:val="0"/>
          <w:sz w:val="32"/>
          <w:szCs w:val="32"/>
        </w:rPr>
      </w:pPr>
      <w:r>
        <w:rPr>
          <w:rFonts w:hint="eastAsia" w:eastAsia="仿宋_GB2312" w:cs="宋体"/>
          <w:color w:val="000000"/>
          <w:kern w:val="0"/>
          <w:sz w:val="32"/>
          <w:szCs w:val="32"/>
        </w:rPr>
        <w:t>7</w:t>
      </w:r>
      <w:r>
        <w:rPr>
          <w:rFonts w:hint="eastAsia" w:eastAsia="仿宋_GB2312" w:cs="仿宋_GB2312"/>
          <w:color w:val="000000"/>
          <w:kern w:val="0"/>
          <w:sz w:val="32"/>
          <w:szCs w:val="32"/>
        </w:rPr>
        <w:t>.卫生健康支出</w:t>
      </w:r>
      <w:r>
        <w:rPr>
          <w:rFonts w:hint="eastAsia" w:eastAsia="仿宋_GB2312" w:cs="宋体"/>
          <w:color w:val="000000"/>
          <w:kern w:val="0"/>
          <w:sz w:val="32"/>
          <w:szCs w:val="32"/>
        </w:rPr>
        <w:t>（类）</w:t>
      </w:r>
      <w:r>
        <w:rPr>
          <w:rFonts w:hint="eastAsia" w:eastAsia="仿宋_GB2312" w:cs="仿宋_GB2312"/>
          <w:color w:val="000000"/>
          <w:kern w:val="0"/>
          <w:sz w:val="32"/>
          <w:szCs w:val="32"/>
        </w:rPr>
        <w:t>行政事业单位医疗</w:t>
      </w:r>
      <w:r>
        <w:rPr>
          <w:rFonts w:hint="eastAsia" w:eastAsia="仿宋_GB2312" w:cs="宋体"/>
          <w:color w:val="000000"/>
          <w:kern w:val="0"/>
          <w:sz w:val="32"/>
          <w:szCs w:val="32"/>
        </w:rPr>
        <w:t>（款）</w:t>
      </w:r>
      <w:r>
        <w:rPr>
          <w:rFonts w:hint="eastAsia" w:eastAsia="仿宋_GB2312" w:cs="仿宋_GB2312"/>
          <w:color w:val="000000"/>
          <w:kern w:val="0"/>
          <w:sz w:val="32"/>
          <w:szCs w:val="32"/>
        </w:rPr>
        <w:t>行政单位医疗</w:t>
      </w:r>
      <w:r>
        <w:rPr>
          <w:rFonts w:hint="eastAsia" w:eastAsia="仿宋_GB2312" w:cs="宋体"/>
          <w:color w:val="000000"/>
          <w:kern w:val="0"/>
          <w:sz w:val="32"/>
          <w:szCs w:val="32"/>
        </w:rPr>
        <w:t>（项）2021年决算数为11.46万元，完成</w:t>
      </w:r>
      <w:r>
        <w:rPr>
          <w:rFonts w:hint="eastAsia" w:eastAsia="仿宋_GB2312" w:cs="宋体"/>
          <w:color w:val="000000"/>
          <w:kern w:val="0"/>
          <w:sz w:val="32"/>
          <w:szCs w:val="32"/>
          <w:lang w:eastAsia="zh-CN"/>
        </w:rPr>
        <w:t>预算的100%</w:t>
      </w:r>
      <w:r>
        <w:rPr>
          <w:rFonts w:hint="eastAsia" w:eastAsia="仿宋_GB2312" w:cs="宋体"/>
          <w:color w:val="000000"/>
          <w:kern w:val="0"/>
          <w:sz w:val="32"/>
          <w:szCs w:val="32"/>
        </w:rPr>
        <w:t>。　</w:t>
      </w:r>
    </w:p>
    <w:p>
      <w:pPr>
        <w:spacing w:line="595" w:lineRule="exact"/>
        <w:ind w:firstLine="640" w:firstLineChars="200"/>
        <w:rPr>
          <w:rFonts w:eastAsia="仿宋_GB2312" w:cs="宋体"/>
          <w:color w:val="000000"/>
          <w:kern w:val="0"/>
          <w:sz w:val="32"/>
          <w:szCs w:val="32"/>
        </w:rPr>
      </w:pPr>
      <w:r>
        <w:rPr>
          <w:rFonts w:hint="eastAsia" w:eastAsia="仿宋_GB2312" w:cs="宋体"/>
          <w:color w:val="000000"/>
          <w:kern w:val="0"/>
          <w:sz w:val="32"/>
          <w:szCs w:val="32"/>
        </w:rPr>
        <w:t>8.</w:t>
      </w:r>
      <w:r>
        <w:rPr>
          <w:rFonts w:hint="eastAsia" w:eastAsia="仿宋_GB2312" w:cs="仿宋_GB2312"/>
          <w:color w:val="000000"/>
          <w:kern w:val="0"/>
          <w:sz w:val="32"/>
          <w:szCs w:val="32"/>
        </w:rPr>
        <w:t>卫生健康支出</w:t>
      </w:r>
      <w:r>
        <w:rPr>
          <w:rFonts w:hint="eastAsia" w:eastAsia="仿宋_GB2312" w:cs="宋体"/>
          <w:color w:val="000000"/>
          <w:kern w:val="0"/>
          <w:sz w:val="32"/>
          <w:szCs w:val="32"/>
        </w:rPr>
        <w:t>（类）</w:t>
      </w:r>
      <w:r>
        <w:rPr>
          <w:rFonts w:hint="eastAsia" w:eastAsia="仿宋_GB2312" w:cs="仿宋_GB2312"/>
          <w:color w:val="000000"/>
          <w:kern w:val="0"/>
          <w:sz w:val="32"/>
          <w:szCs w:val="32"/>
        </w:rPr>
        <w:t>行政事业单位医疗</w:t>
      </w:r>
      <w:r>
        <w:rPr>
          <w:rFonts w:hint="eastAsia" w:eastAsia="仿宋_GB2312" w:cs="宋体"/>
          <w:color w:val="000000"/>
          <w:kern w:val="0"/>
          <w:sz w:val="32"/>
          <w:szCs w:val="32"/>
        </w:rPr>
        <w:t>（款）</w:t>
      </w:r>
      <w:r>
        <w:rPr>
          <w:rFonts w:hint="eastAsia" w:eastAsia="仿宋_GB2312" w:cs="仿宋_GB2312"/>
          <w:color w:val="000000"/>
          <w:kern w:val="0"/>
          <w:sz w:val="32"/>
          <w:szCs w:val="32"/>
        </w:rPr>
        <w:t>事业单位医疗</w:t>
      </w:r>
      <w:r>
        <w:rPr>
          <w:rFonts w:hint="eastAsia" w:eastAsia="仿宋_GB2312" w:cs="宋体"/>
          <w:color w:val="000000"/>
          <w:kern w:val="0"/>
          <w:sz w:val="32"/>
          <w:szCs w:val="32"/>
        </w:rPr>
        <w:t>（项）2021年决算数为10.12万元，完成</w:t>
      </w:r>
      <w:r>
        <w:rPr>
          <w:rFonts w:hint="eastAsia" w:eastAsia="仿宋_GB2312" w:cs="宋体"/>
          <w:color w:val="000000"/>
          <w:kern w:val="0"/>
          <w:sz w:val="32"/>
          <w:szCs w:val="32"/>
          <w:lang w:eastAsia="zh-CN"/>
        </w:rPr>
        <w:t>预算的100%</w:t>
      </w:r>
      <w:r>
        <w:rPr>
          <w:rFonts w:hint="eastAsia" w:eastAsia="仿宋_GB2312" w:cs="宋体"/>
          <w:color w:val="000000"/>
          <w:kern w:val="0"/>
          <w:sz w:val="32"/>
          <w:szCs w:val="32"/>
        </w:rPr>
        <w:t>。</w:t>
      </w:r>
    </w:p>
    <w:p>
      <w:pPr>
        <w:spacing w:line="595" w:lineRule="exact"/>
        <w:ind w:firstLine="640" w:firstLineChars="200"/>
        <w:rPr>
          <w:rFonts w:eastAsia="仿宋_GB2312" w:cs="仿宋_GB2312"/>
          <w:color w:val="000000"/>
          <w:kern w:val="0"/>
          <w:sz w:val="32"/>
          <w:szCs w:val="32"/>
        </w:rPr>
      </w:pPr>
      <w:r>
        <w:rPr>
          <w:rFonts w:hint="eastAsia" w:eastAsia="仿宋_GB2312" w:cs="宋体"/>
          <w:color w:val="000000"/>
          <w:kern w:val="0"/>
          <w:sz w:val="32"/>
          <w:szCs w:val="32"/>
        </w:rPr>
        <w:t>9.</w:t>
      </w:r>
      <w:r>
        <w:rPr>
          <w:rFonts w:hint="eastAsia" w:eastAsia="仿宋_GB2312" w:cs="仿宋_GB2312"/>
          <w:color w:val="000000"/>
          <w:kern w:val="0"/>
          <w:sz w:val="32"/>
          <w:szCs w:val="32"/>
        </w:rPr>
        <w:t>卫生健康支出</w:t>
      </w:r>
      <w:r>
        <w:rPr>
          <w:rFonts w:hint="eastAsia" w:eastAsia="仿宋_GB2312" w:cs="宋体"/>
          <w:color w:val="000000"/>
          <w:kern w:val="0"/>
          <w:sz w:val="32"/>
          <w:szCs w:val="32"/>
        </w:rPr>
        <w:t>（类）</w:t>
      </w:r>
      <w:r>
        <w:rPr>
          <w:rFonts w:hint="eastAsia" w:eastAsia="仿宋_GB2312" w:cs="仿宋_GB2312"/>
          <w:color w:val="000000"/>
          <w:kern w:val="0"/>
          <w:sz w:val="32"/>
          <w:szCs w:val="32"/>
        </w:rPr>
        <w:t>行政事业单位医疗补助</w:t>
      </w:r>
      <w:r>
        <w:rPr>
          <w:rFonts w:hint="eastAsia" w:eastAsia="仿宋_GB2312" w:cs="宋体"/>
          <w:color w:val="000000"/>
          <w:kern w:val="0"/>
          <w:sz w:val="32"/>
          <w:szCs w:val="32"/>
        </w:rPr>
        <w:t>（款）</w:t>
      </w:r>
      <w:r>
        <w:rPr>
          <w:rFonts w:hint="eastAsia" w:eastAsia="仿宋_GB2312" w:cs="仿宋_GB2312"/>
          <w:color w:val="000000"/>
          <w:kern w:val="0"/>
          <w:sz w:val="32"/>
          <w:szCs w:val="32"/>
        </w:rPr>
        <w:t>公务员医疗补助</w:t>
      </w:r>
      <w:r>
        <w:rPr>
          <w:rFonts w:hint="eastAsia" w:eastAsia="仿宋_GB2312" w:cs="宋体"/>
          <w:color w:val="000000"/>
          <w:kern w:val="0"/>
          <w:sz w:val="32"/>
          <w:szCs w:val="32"/>
        </w:rPr>
        <w:t>（项）2021年决算数为2.37万元，完成</w:t>
      </w:r>
      <w:r>
        <w:rPr>
          <w:rFonts w:hint="eastAsia" w:eastAsia="仿宋_GB2312" w:cs="宋体"/>
          <w:color w:val="000000"/>
          <w:kern w:val="0"/>
          <w:sz w:val="32"/>
          <w:szCs w:val="32"/>
          <w:lang w:eastAsia="zh-CN"/>
        </w:rPr>
        <w:t>预算的100%</w:t>
      </w:r>
      <w:r>
        <w:rPr>
          <w:rFonts w:hint="eastAsia" w:eastAsia="仿宋_GB2312" w:cs="宋体"/>
          <w:color w:val="000000"/>
          <w:kern w:val="0"/>
          <w:sz w:val="32"/>
          <w:szCs w:val="32"/>
        </w:rPr>
        <w:t>。　</w:t>
      </w:r>
    </w:p>
    <w:p>
      <w:pPr>
        <w:spacing w:line="595" w:lineRule="exact"/>
        <w:ind w:firstLine="640" w:firstLineChars="200"/>
        <w:rPr>
          <w:rFonts w:eastAsia="仿宋_GB2312" w:cs="宋体"/>
          <w:color w:val="000000"/>
          <w:kern w:val="0"/>
          <w:sz w:val="32"/>
          <w:szCs w:val="32"/>
        </w:rPr>
      </w:pPr>
      <w:r>
        <w:rPr>
          <w:rFonts w:hint="eastAsia" w:eastAsia="仿宋_GB2312" w:cs="宋体"/>
          <w:color w:val="000000"/>
          <w:kern w:val="0"/>
          <w:sz w:val="32"/>
          <w:szCs w:val="32"/>
        </w:rPr>
        <w:t>10．农林水支出（类）扶贫（款）其他扶贫支出（项）:2021年决算数为4.6万元，完成</w:t>
      </w:r>
      <w:r>
        <w:rPr>
          <w:rFonts w:hint="eastAsia" w:eastAsia="仿宋_GB2312" w:cs="宋体"/>
          <w:color w:val="000000"/>
          <w:kern w:val="0"/>
          <w:sz w:val="32"/>
          <w:szCs w:val="32"/>
          <w:lang w:eastAsia="zh-CN"/>
        </w:rPr>
        <w:t>预算的100%</w:t>
      </w:r>
      <w:r>
        <w:rPr>
          <w:rFonts w:hint="eastAsia" w:eastAsia="仿宋_GB2312" w:cs="宋体"/>
          <w:color w:val="000000"/>
          <w:kern w:val="0"/>
          <w:sz w:val="32"/>
          <w:szCs w:val="32"/>
        </w:rPr>
        <w:t>。</w:t>
      </w:r>
    </w:p>
    <w:p>
      <w:pPr>
        <w:spacing w:line="595" w:lineRule="exact"/>
        <w:ind w:firstLine="640" w:firstLineChars="200"/>
        <w:rPr>
          <w:rFonts w:eastAsia="仿宋_GB2312" w:cs="仿宋_GB2312"/>
          <w:color w:val="000000"/>
          <w:kern w:val="0"/>
          <w:sz w:val="32"/>
          <w:szCs w:val="32"/>
        </w:rPr>
      </w:pPr>
      <w:r>
        <w:rPr>
          <w:rFonts w:hint="eastAsia" w:eastAsia="仿宋_GB2312" w:cs="宋体"/>
          <w:color w:val="000000"/>
          <w:kern w:val="0"/>
          <w:sz w:val="32"/>
          <w:szCs w:val="32"/>
        </w:rPr>
        <w:t>11．住房保障支出（类）住房改革支出（款）住房公积金（项）:2021年决算数为27.39万元，完成</w:t>
      </w:r>
      <w:r>
        <w:rPr>
          <w:rFonts w:hint="eastAsia" w:eastAsia="仿宋_GB2312" w:cs="宋体"/>
          <w:color w:val="000000"/>
          <w:kern w:val="0"/>
          <w:sz w:val="32"/>
          <w:szCs w:val="32"/>
          <w:lang w:eastAsia="zh-CN"/>
        </w:rPr>
        <w:t>预算的100%</w:t>
      </w:r>
      <w:r>
        <w:rPr>
          <w:rFonts w:hint="eastAsia" w:eastAsia="仿宋_GB2312" w:cs="仿宋_GB2312"/>
          <w:color w:val="000000"/>
          <w:kern w:val="0"/>
          <w:sz w:val="32"/>
          <w:szCs w:val="32"/>
        </w:rPr>
        <w:t>。</w:t>
      </w:r>
    </w:p>
    <w:p>
      <w:pPr>
        <w:tabs>
          <w:tab w:val="right" w:pos="8306"/>
        </w:tabs>
        <w:spacing w:line="595" w:lineRule="exact"/>
        <w:ind w:firstLine="640"/>
        <w:outlineLvl w:val="1"/>
        <w:rPr>
          <w:rStyle w:val="20"/>
          <w:rFonts w:ascii="Times New Roman" w:hAnsi="Times New Roman"/>
        </w:rPr>
      </w:pPr>
      <w:bookmarkStart w:id="40" w:name="_Toc7550"/>
      <w:bookmarkStart w:id="41" w:name="_Toc15377214"/>
      <w:bookmarkStart w:id="42" w:name="_Toc15396608"/>
      <w:r>
        <w:rPr>
          <w:rFonts w:hint="eastAsia" w:eastAsia="黑体"/>
          <w:color w:val="000000"/>
          <w:sz w:val="32"/>
          <w:szCs w:val="32"/>
        </w:rPr>
        <w:t>六</w:t>
      </w:r>
      <w:r>
        <w:rPr>
          <w:rFonts w:hint="eastAsia" w:eastAsia="黑体"/>
          <w:b/>
          <w:color w:val="000000"/>
          <w:sz w:val="32"/>
          <w:szCs w:val="32"/>
        </w:rPr>
        <w:t>、一</w:t>
      </w:r>
      <w:r>
        <w:rPr>
          <w:rStyle w:val="20"/>
          <w:rFonts w:hint="eastAsia" w:ascii="Times New Roman" w:hAnsi="Times New Roman" w:eastAsia="黑体"/>
          <w:b w:val="0"/>
        </w:rPr>
        <w:t>般公共预算</w:t>
      </w:r>
      <w:r>
        <w:rPr>
          <w:rFonts w:hint="eastAsia" w:eastAsia="黑体"/>
          <w:sz w:val="32"/>
          <w:szCs w:val="32"/>
        </w:rPr>
        <w:t>财政拨款基本支出决算情况说明</w:t>
      </w:r>
      <w:bookmarkEnd w:id="40"/>
      <w:bookmarkEnd w:id="41"/>
      <w:bookmarkEnd w:id="42"/>
      <w:r>
        <w:rPr>
          <w:rStyle w:val="20"/>
          <w:rFonts w:ascii="Times New Roman" w:hAnsi="Times New Roman" w:eastAsia="黑体"/>
          <w:b w:val="0"/>
        </w:rPr>
        <w:tab/>
      </w:r>
    </w:p>
    <w:p>
      <w:pPr>
        <w:spacing w:line="595" w:lineRule="exact"/>
        <w:ind w:firstLine="645"/>
        <w:rPr>
          <w:rFonts w:eastAsia="仿宋"/>
          <w:color w:val="000000"/>
          <w:sz w:val="32"/>
          <w:szCs w:val="32"/>
        </w:rPr>
      </w:pPr>
      <w:r>
        <w:rPr>
          <w:rFonts w:eastAsia="仿宋"/>
          <w:color w:val="000000"/>
          <w:sz w:val="32"/>
          <w:szCs w:val="32"/>
        </w:rPr>
        <w:t>20</w:t>
      </w:r>
      <w:r>
        <w:rPr>
          <w:rFonts w:hint="eastAsia" w:eastAsia="仿宋"/>
          <w:color w:val="000000"/>
          <w:sz w:val="32"/>
          <w:szCs w:val="32"/>
        </w:rPr>
        <w:t>21年一般公共预算财政拨款基本支出</w:t>
      </w:r>
      <w:r>
        <w:rPr>
          <w:rFonts w:hint="eastAsia" w:eastAsia="仿宋" w:cs="仿宋"/>
          <w:sz w:val="32"/>
          <w:szCs w:val="32"/>
        </w:rPr>
        <w:t>464.96</w:t>
      </w:r>
      <w:r>
        <w:rPr>
          <w:rFonts w:hint="eastAsia" w:eastAsia="仿宋"/>
          <w:color w:val="000000"/>
          <w:sz w:val="32"/>
          <w:szCs w:val="32"/>
        </w:rPr>
        <w:t>万元，其中：</w:t>
      </w:r>
    </w:p>
    <w:p>
      <w:pPr>
        <w:spacing w:line="595" w:lineRule="exact"/>
        <w:ind w:firstLine="645"/>
        <w:rPr>
          <w:rFonts w:eastAsia="仿宋"/>
          <w:color w:val="000000"/>
          <w:sz w:val="32"/>
          <w:szCs w:val="32"/>
        </w:rPr>
      </w:pPr>
      <w:r>
        <w:rPr>
          <w:rFonts w:hint="eastAsia" w:eastAsia="仿宋"/>
          <w:color w:val="000000"/>
          <w:sz w:val="32"/>
          <w:szCs w:val="32"/>
        </w:rPr>
        <w:t>人员经费</w:t>
      </w:r>
      <w:r>
        <w:rPr>
          <w:rFonts w:hint="eastAsia" w:eastAsia="仿宋" w:cs="仿宋"/>
          <w:sz w:val="32"/>
          <w:szCs w:val="32"/>
        </w:rPr>
        <w:t>412.26</w:t>
      </w:r>
      <w:r>
        <w:rPr>
          <w:rFonts w:hint="eastAsia" w:eastAsia="仿宋"/>
          <w:color w:val="000000"/>
          <w:sz w:val="32"/>
          <w:szCs w:val="32"/>
        </w:rPr>
        <w:t>万元，主要包括：基本工资、津贴补贴、奖金、绩效工资、机关事业单位基本养老保险缴费、职业年金缴费、职工基本医疗保险缴费、公务员医疗补助缴费、其他社会保障缴费、其他工资福利支出、生活补助、住房公积金、生活补助等。</w:t>
      </w:r>
    </w:p>
    <w:p>
      <w:pPr>
        <w:spacing w:line="595" w:lineRule="exact"/>
        <w:ind w:firstLine="645"/>
        <w:rPr>
          <w:rFonts w:eastAsia="仿宋"/>
          <w:color w:val="000000"/>
          <w:sz w:val="32"/>
          <w:szCs w:val="32"/>
        </w:rPr>
      </w:pPr>
      <w:r>
        <w:rPr>
          <w:rFonts w:hint="eastAsia" w:eastAsia="仿宋"/>
          <w:color w:val="000000"/>
          <w:sz w:val="32"/>
          <w:szCs w:val="32"/>
        </w:rPr>
        <w:t>公用经费</w:t>
      </w:r>
      <w:r>
        <w:rPr>
          <w:rFonts w:hint="eastAsia" w:eastAsia="仿宋" w:cs="仿宋"/>
          <w:sz w:val="32"/>
          <w:szCs w:val="32"/>
        </w:rPr>
        <w:t>52.7</w:t>
      </w:r>
      <w:r>
        <w:rPr>
          <w:rFonts w:hint="eastAsia" w:eastAsia="仿宋"/>
          <w:color w:val="000000"/>
          <w:sz w:val="32"/>
          <w:szCs w:val="32"/>
        </w:rPr>
        <w:t>万元，主要包括：办公费、印刷费、水费、电费、邮电费、差旅费、会议费、培训费、公务接待费、工会经费、福利费、其他交通费、其他商品和服务支出、办公设备购置费等。</w:t>
      </w:r>
    </w:p>
    <w:p>
      <w:pPr>
        <w:spacing w:line="595" w:lineRule="exact"/>
        <w:ind w:firstLine="640"/>
        <w:outlineLvl w:val="1"/>
        <w:rPr>
          <w:rStyle w:val="20"/>
          <w:rFonts w:ascii="Times New Roman" w:hAnsi="Times New Roman" w:eastAsia="黑体"/>
          <w:b w:val="0"/>
        </w:rPr>
      </w:pPr>
      <w:bookmarkStart w:id="43" w:name="_Toc15377215"/>
      <w:bookmarkStart w:id="44" w:name="_Toc15396609"/>
      <w:bookmarkStart w:id="45" w:name="_Toc19715"/>
      <w:r>
        <w:rPr>
          <w:rFonts w:hint="eastAsia" w:eastAsia="黑体"/>
          <w:color w:val="000000"/>
          <w:sz w:val="32"/>
          <w:szCs w:val="32"/>
        </w:rPr>
        <w:t>七、</w:t>
      </w:r>
      <w:r>
        <w:rPr>
          <w:rStyle w:val="20"/>
          <w:rFonts w:hint="eastAsia" w:ascii="Times New Roman" w:hAnsi="Times New Roman" w:eastAsia="黑体"/>
        </w:rPr>
        <w:t>“</w:t>
      </w:r>
      <w:r>
        <w:rPr>
          <w:rStyle w:val="20"/>
          <w:rFonts w:hint="eastAsia" w:ascii="Times New Roman" w:hAnsi="Times New Roman" w:eastAsia="黑体"/>
          <w:b w:val="0"/>
        </w:rPr>
        <w:t>三公”经费财政拨款支出</w:t>
      </w:r>
      <w:r>
        <w:rPr>
          <w:rFonts w:hint="eastAsia" w:eastAsia="黑体"/>
          <w:sz w:val="32"/>
          <w:szCs w:val="32"/>
        </w:rPr>
        <w:t>决算情况说明</w:t>
      </w:r>
      <w:bookmarkEnd w:id="43"/>
      <w:bookmarkEnd w:id="44"/>
      <w:bookmarkEnd w:id="45"/>
    </w:p>
    <w:p>
      <w:pPr>
        <w:spacing w:line="595" w:lineRule="exact"/>
        <w:ind w:firstLine="640"/>
        <w:outlineLvl w:val="2"/>
        <w:rPr>
          <w:rFonts w:eastAsia="仿宋"/>
          <w:b/>
          <w:color w:val="000000"/>
          <w:sz w:val="32"/>
          <w:szCs w:val="32"/>
        </w:rPr>
      </w:pPr>
      <w:bookmarkStart w:id="46" w:name="_Toc15377216"/>
      <w:r>
        <w:rPr>
          <w:rFonts w:hint="eastAsia" w:eastAsia="仿宋"/>
          <w:b/>
          <w:color w:val="000000"/>
          <w:sz w:val="32"/>
          <w:szCs w:val="32"/>
        </w:rPr>
        <w:t>（一）“三公”经费财政拨款支出决算总体情况说明</w:t>
      </w:r>
      <w:bookmarkEnd w:id="46"/>
    </w:p>
    <w:p>
      <w:pPr>
        <w:spacing w:line="595" w:lineRule="exact"/>
        <w:ind w:firstLine="640"/>
        <w:outlineLvl w:val="2"/>
        <w:rPr>
          <w:rFonts w:eastAsia="仿宋"/>
          <w:color w:val="000000"/>
          <w:sz w:val="32"/>
          <w:szCs w:val="32"/>
        </w:rPr>
      </w:pPr>
      <w:r>
        <w:rPr>
          <w:rFonts w:eastAsia="仿宋"/>
          <w:color w:val="000000"/>
          <w:sz w:val="32"/>
          <w:szCs w:val="32"/>
        </w:rPr>
        <w:t>20</w:t>
      </w:r>
      <w:r>
        <w:rPr>
          <w:rFonts w:hint="eastAsia" w:eastAsia="仿宋"/>
          <w:color w:val="000000"/>
          <w:sz w:val="32"/>
          <w:szCs w:val="32"/>
        </w:rPr>
        <w:t>21年“三公”经费财政拨款支出决算为0.49万元，完成预算的100</w:t>
      </w:r>
      <w:r>
        <w:rPr>
          <w:rFonts w:eastAsia="仿宋"/>
          <w:color w:val="000000"/>
          <w:sz w:val="32"/>
          <w:szCs w:val="32"/>
        </w:rPr>
        <w:t>%</w:t>
      </w:r>
      <w:bookmarkStart w:id="47" w:name="_Toc15377217"/>
      <w:r>
        <w:rPr>
          <w:rFonts w:hint="eastAsia" w:eastAsia="仿宋"/>
          <w:color w:val="000000"/>
          <w:sz w:val="32"/>
          <w:szCs w:val="32"/>
        </w:rPr>
        <w:t>。</w:t>
      </w:r>
    </w:p>
    <w:p>
      <w:pPr>
        <w:spacing w:line="595" w:lineRule="exact"/>
        <w:ind w:firstLine="640"/>
        <w:outlineLvl w:val="2"/>
        <w:rPr>
          <w:rFonts w:eastAsia="仿宋"/>
          <w:b/>
          <w:color w:val="000000"/>
          <w:sz w:val="32"/>
          <w:szCs w:val="32"/>
        </w:rPr>
      </w:pPr>
      <w:r>
        <w:rPr>
          <w:rFonts w:hint="eastAsia" w:eastAsia="仿宋"/>
          <w:b/>
          <w:color w:val="000000"/>
          <w:sz w:val="32"/>
          <w:szCs w:val="32"/>
        </w:rPr>
        <w:t>（二）“三公”经费财政拨款支出决算具体情况说明</w:t>
      </w:r>
      <w:bookmarkEnd w:id="47"/>
    </w:p>
    <w:p>
      <w:pPr>
        <w:spacing w:line="595" w:lineRule="exact"/>
        <w:rPr>
          <w:rFonts w:eastAsia="仿宋"/>
          <w:color w:val="000000"/>
          <w:sz w:val="32"/>
          <w:szCs w:val="32"/>
        </w:rPr>
      </w:pPr>
      <w:r>
        <w:rPr>
          <w:rFonts w:eastAsia="仿宋"/>
          <w:color w:val="000000"/>
          <w:sz w:val="32"/>
          <w:szCs w:val="32"/>
        </w:rPr>
        <w:t>20</w:t>
      </w:r>
      <w:r>
        <w:rPr>
          <w:rFonts w:hint="eastAsia" w:eastAsia="仿宋"/>
          <w:color w:val="000000"/>
          <w:sz w:val="32"/>
          <w:szCs w:val="32"/>
        </w:rPr>
        <w:t>21年“三公”经费财政拨款支出决算中，因公出国（境）费支出决算0万元；公务用车购置及运行维护费支出决算0万元；公务接待费支出预算0.49万元，占预算数的100</w:t>
      </w:r>
      <w:r>
        <w:rPr>
          <w:rFonts w:eastAsia="仿宋"/>
          <w:color w:val="000000"/>
          <w:sz w:val="32"/>
          <w:szCs w:val="32"/>
        </w:rPr>
        <w:t>%</w:t>
      </w:r>
      <w:r>
        <w:rPr>
          <w:rFonts w:hint="eastAsia" w:eastAsia="仿宋"/>
          <w:color w:val="000000"/>
          <w:sz w:val="32"/>
          <w:szCs w:val="32"/>
        </w:rPr>
        <w:t>。具体情况如下：</w:t>
      </w:r>
    </w:p>
    <w:p>
      <w:pPr>
        <w:pStyle w:val="4"/>
        <w:spacing w:after="0" w:line="560" w:lineRule="exact"/>
        <w:rPr>
          <w:rFonts w:eastAsia="仿宋_GB2312"/>
          <w:color w:val="000000"/>
          <w:szCs w:val="32"/>
        </w:rPr>
      </w:pPr>
      <w:r>
        <w:rPr>
          <w:rFonts w:hint="eastAsia" w:cs="仿宋"/>
          <w:sz w:val="28"/>
          <w:szCs w:val="28"/>
        </w:rPr>
        <w:drawing>
          <wp:anchor distT="0" distB="0" distL="114300" distR="114300" simplePos="0" relativeHeight="251664384" behindDoc="0" locked="0" layoutInCell="1" allowOverlap="1">
            <wp:simplePos x="0" y="0"/>
            <wp:positionH relativeFrom="column">
              <wp:posOffset>404495</wp:posOffset>
            </wp:positionH>
            <wp:positionV relativeFrom="paragraph">
              <wp:posOffset>68580</wp:posOffset>
            </wp:positionV>
            <wp:extent cx="4469765" cy="1982470"/>
            <wp:effectExtent l="4445" t="5080" r="21590" b="12700"/>
            <wp:wrapTopAndBottom/>
            <wp:docPr id="836" name="_x0000_s39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eastAsia="仿宋_GB2312"/>
          <w:b/>
          <w:color w:val="000000"/>
          <w:szCs w:val="32"/>
        </w:rPr>
        <w:t>1.因公出国（境）经费支出</w:t>
      </w:r>
      <w:r>
        <w:rPr>
          <w:rFonts w:hint="eastAsia" w:eastAsia="仿宋_GB2312"/>
          <w:color w:val="000000"/>
          <w:szCs w:val="32"/>
        </w:rPr>
        <w:t>0万元。</w:t>
      </w:r>
    </w:p>
    <w:p>
      <w:pPr>
        <w:spacing w:line="560" w:lineRule="exact"/>
        <w:ind w:firstLine="643" w:firstLineChars="200"/>
        <w:rPr>
          <w:rFonts w:eastAsia="仿宋_GB2312"/>
          <w:color w:val="000000"/>
          <w:sz w:val="32"/>
          <w:szCs w:val="32"/>
        </w:rPr>
      </w:pPr>
      <w:r>
        <w:rPr>
          <w:rFonts w:hint="eastAsia" w:eastAsia="仿宋_GB2312"/>
          <w:b/>
          <w:color w:val="000000"/>
          <w:sz w:val="32"/>
          <w:szCs w:val="32"/>
        </w:rPr>
        <w:t>2.公务用车购置及运行维护费支出0</w:t>
      </w:r>
      <w:r>
        <w:rPr>
          <w:rFonts w:hint="eastAsia" w:eastAsia="仿宋_GB2312"/>
          <w:color w:val="000000"/>
          <w:sz w:val="32"/>
          <w:szCs w:val="32"/>
        </w:rPr>
        <w:t>万元。</w:t>
      </w:r>
    </w:p>
    <w:p>
      <w:pPr>
        <w:spacing w:line="595" w:lineRule="exact"/>
        <w:ind w:firstLine="640" w:firstLineChars="200"/>
        <w:rPr>
          <w:rFonts w:eastAsia="仿宋_GB2312" w:cs="宋体"/>
          <w:color w:val="000000"/>
          <w:kern w:val="0"/>
          <w:sz w:val="32"/>
          <w:szCs w:val="32"/>
        </w:rPr>
      </w:pPr>
      <w:r>
        <w:rPr>
          <w:rFonts w:hint="eastAsia" w:eastAsia="仿宋_GB2312"/>
          <w:color w:val="000000"/>
          <w:sz w:val="32"/>
          <w:szCs w:val="32"/>
        </w:rPr>
        <w:t>其中：</w:t>
      </w:r>
      <w:r>
        <w:rPr>
          <w:rFonts w:hint="eastAsia" w:eastAsia="仿宋_GB2312"/>
          <w:b/>
          <w:color w:val="000000"/>
          <w:sz w:val="32"/>
          <w:szCs w:val="32"/>
        </w:rPr>
        <w:t>公务用车购置支出</w:t>
      </w:r>
      <w:r>
        <w:rPr>
          <w:rFonts w:hint="eastAsia" w:eastAsia="仿宋_GB2312" w:cs="宋体"/>
          <w:color w:val="000000"/>
          <w:kern w:val="0"/>
          <w:sz w:val="32"/>
          <w:szCs w:val="32"/>
        </w:rPr>
        <w:t>0万元。</w:t>
      </w:r>
    </w:p>
    <w:p>
      <w:pPr>
        <w:spacing w:line="595" w:lineRule="exact"/>
        <w:ind w:firstLine="643" w:firstLineChars="200"/>
        <w:jc w:val="left"/>
        <w:rPr>
          <w:rFonts w:eastAsia="仿宋_GB2312" w:cs="宋体"/>
          <w:color w:val="000000"/>
          <w:kern w:val="0"/>
          <w:sz w:val="32"/>
          <w:szCs w:val="32"/>
        </w:rPr>
      </w:pPr>
      <w:r>
        <w:rPr>
          <w:rFonts w:hint="eastAsia" w:eastAsia="仿宋_GB2312"/>
          <w:b/>
          <w:color w:val="000000"/>
          <w:sz w:val="32"/>
          <w:szCs w:val="32"/>
        </w:rPr>
        <w:t>公务用车运行维护费支出</w:t>
      </w:r>
      <w:r>
        <w:rPr>
          <w:rFonts w:hint="eastAsia" w:eastAsia="仿宋_GB2312" w:cs="宋体"/>
          <w:color w:val="000000"/>
          <w:kern w:val="0"/>
          <w:sz w:val="32"/>
          <w:szCs w:val="32"/>
        </w:rPr>
        <w:t>0万元。</w:t>
      </w:r>
    </w:p>
    <w:p>
      <w:pPr>
        <w:spacing w:line="600" w:lineRule="exact"/>
        <w:ind w:left="420" w:leftChars="200" w:firstLine="321" w:firstLineChars="100"/>
        <w:rPr>
          <w:rFonts w:eastAsia="仿宋_GB2312"/>
          <w:color w:val="000000"/>
          <w:sz w:val="32"/>
          <w:szCs w:val="32"/>
        </w:rPr>
      </w:pPr>
      <w:r>
        <w:rPr>
          <w:rFonts w:hint="eastAsia" w:eastAsia="仿宋_GB2312"/>
          <w:b/>
          <w:color w:val="000000"/>
          <w:sz w:val="32"/>
          <w:szCs w:val="32"/>
        </w:rPr>
        <w:t>3.公务接待费支出</w:t>
      </w:r>
      <w:r>
        <w:rPr>
          <w:rFonts w:hint="eastAsia" w:eastAsia="仿宋_GB2312"/>
          <w:color w:val="000000"/>
          <w:sz w:val="32"/>
          <w:szCs w:val="32"/>
        </w:rPr>
        <w:t>0.49万元，</w:t>
      </w:r>
      <w:r>
        <w:rPr>
          <w:rStyle w:val="10"/>
          <w:rFonts w:hint="eastAsia" w:eastAsia="仿宋"/>
          <w:b w:val="0"/>
          <w:bCs/>
          <w:color w:val="000000"/>
          <w:sz w:val="32"/>
          <w:szCs w:val="32"/>
        </w:rPr>
        <w:t>完成预算的100</w:t>
      </w:r>
      <w:r>
        <w:rPr>
          <w:rStyle w:val="10"/>
          <w:rFonts w:eastAsia="仿宋"/>
          <w:b w:val="0"/>
          <w:bCs/>
          <w:color w:val="000000"/>
          <w:sz w:val="32"/>
          <w:szCs w:val="32"/>
        </w:rPr>
        <w:t>%</w:t>
      </w:r>
      <w:r>
        <w:rPr>
          <w:rStyle w:val="10"/>
          <w:rFonts w:hint="eastAsia" w:eastAsia="仿宋"/>
          <w:b w:val="0"/>
          <w:bCs/>
          <w:color w:val="000000"/>
          <w:sz w:val="32"/>
          <w:szCs w:val="32"/>
        </w:rPr>
        <w:t>。</w:t>
      </w:r>
      <w:r>
        <w:rPr>
          <w:rFonts w:hint="eastAsia" w:eastAsia="仿宋_GB2312"/>
          <w:color w:val="000000"/>
          <w:sz w:val="32"/>
          <w:szCs w:val="32"/>
        </w:rPr>
        <w:t>公务接待费支出决算数与</w:t>
      </w:r>
      <w:r>
        <w:rPr>
          <w:rFonts w:eastAsia="仿宋_GB2312"/>
          <w:color w:val="000000"/>
          <w:sz w:val="32"/>
          <w:szCs w:val="32"/>
        </w:rPr>
        <w:t>20</w:t>
      </w:r>
      <w:r>
        <w:rPr>
          <w:rFonts w:hint="eastAsia" w:eastAsia="仿宋_GB2312"/>
          <w:color w:val="000000"/>
          <w:sz w:val="32"/>
          <w:szCs w:val="32"/>
        </w:rPr>
        <w:t>20年支出决算数持平。其中：</w:t>
      </w:r>
    </w:p>
    <w:p>
      <w:pPr>
        <w:spacing w:line="600" w:lineRule="exact"/>
        <w:ind w:left="420" w:leftChars="200" w:firstLine="643" w:firstLineChars="200"/>
        <w:rPr>
          <w:rFonts w:eastAsia="仿宋_GB2312" w:cs="宋体"/>
          <w:color w:val="000000"/>
          <w:kern w:val="0"/>
          <w:sz w:val="32"/>
          <w:szCs w:val="32"/>
        </w:rPr>
      </w:pPr>
      <w:r>
        <w:rPr>
          <w:rFonts w:hint="eastAsia" w:ascii="仿宋" w:hAnsi="仿宋" w:eastAsia="仿宋"/>
          <w:b/>
          <w:sz w:val="32"/>
          <w:szCs w:val="32"/>
        </w:rPr>
        <w:t>国内公务接待支出</w:t>
      </w:r>
      <w:r>
        <w:rPr>
          <w:rFonts w:hint="eastAsia" w:eastAsia="仿宋_GB2312" w:cs="宋体"/>
          <w:snapToGrid w:val="0"/>
          <w:color w:val="000000"/>
          <w:kern w:val="0"/>
          <w:sz w:val="32"/>
          <w:szCs w:val="32"/>
        </w:rPr>
        <w:t>0.49万元，主</w:t>
      </w:r>
      <w:r>
        <w:rPr>
          <w:rFonts w:hint="eastAsia" w:eastAsia="仿宋_GB2312" w:cs="宋体"/>
          <w:color w:val="000000"/>
          <w:kern w:val="0"/>
          <w:sz w:val="32"/>
          <w:szCs w:val="32"/>
        </w:rPr>
        <w:t>要用于执行公务、开展业务活动开支的交通费、住宿费、用餐费等。国内公务接待16批次，78人次（不包括陪同人员），共计支出0.49万元。具体内容包括：开展各项统计调查项目、专业培训、数据评估等接待工作12批次、58人次，0.3万元；县内外相关部门交流学习、专题研讨，检查指导等接待工作4批次、20人次，0.19万元。</w:t>
      </w:r>
    </w:p>
    <w:p>
      <w:pPr>
        <w:spacing w:line="595" w:lineRule="exact"/>
        <w:ind w:firstLine="643" w:firstLineChars="200"/>
        <w:rPr>
          <w:rFonts w:eastAsia="仿宋_GB2312"/>
          <w:color w:val="000000"/>
          <w:sz w:val="32"/>
          <w:szCs w:val="32"/>
        </w:rPr>
      </w:pPr>
      <w:r>
        <w:rPr>
          <w:rFonts w:hint="eastAsia" w:eastAsia="仿宋"/>
          <w:b/>
          <w:color w:val="000000"/>
          <w:sz w:val="32"/>
          <w:szCs w:val="32"/>
        </w:rPr>
        <w:t>外事接待支出</w:t>
      </w:r>
      <w:r>
        <w:rPr>
          <w:rFonts w:hint="eastAsia" w:eastAsia="仿宋"/>
          <w:color w:val="000000"/>
          <w:sz w:val="32"/>
          <w:szCs w:val="32"/>
        </w:rPr>
        <w:t>0</w:t>
      </w:r>
      <w:r>
        <w:rPr>
          <w:rFonts w:hint="eastAsia" w:eastAsia="仿宋_GB2312"/>
          <w:color w:val="000000"/>
          <w:sz w:val="32"/>
          <w:szCs w:val="32"/>
        </w:rPr>
        <w:t>万元</w:t>
      </w:r>
      <w:r>
        <w:rPr>
          <w:rFonts w:hint="eastAsia" w:eastAsia="仿宋_GB2312"/>
          <w:color w:val="000000" w:themeColor="text1"/>
          <w:sz w:val="32"/>
          <w:szCs w:val="32"/>
        </w:rPr>
        <w:t>，外事接待0批次，0</w:t>
      </w:r>
      <w:r>
        <w:rPr>
          <w:rFonts w:hint="eastAsia" w:eastAsia="仿宋_GB2312"/>
          <w:color w:val="000000"/>
          <w:sz w:val="32"/>
          <w:szCs w:val="32"/>
        </w:rPr>
        <w:t>人，共计</w:t>
      </w:r>
      <w:r>
        <w:rPr>
          <w:rFonts w:hint="eastAsia" w:eastAsia="仿宋_GB2312"/>
          <w:color w:val="000000" w:themeColor="text1"/>
          <w:sz w:val="32"/>
          <w:szCs w:val="32"/>
        </w:rPr>
        <w:t>支出0万元。</w:t>
      </w:r>
    </w:p>
    <w:p>
      <w:pPr>
        <w:spacing w:line="595" w:lineRule="exact"/>
        <w:ind w:firstLine="640"/>
        <w:outlineLvl w:val="1"/>
        <w:rPr>
          <w:rStyle w:val="20"/>
          <w:rFonts w:ascii="Times New Roman" w:hAnsi="Times New Roman" w:eastAsia="黑体"/>
          <w:sz w:val="30"/>
          <w:szCs w:val="30"/>
        </w:rPr>
      </w:pPr>
      <w:bookmarkStart w:id="48" w:name="_Toc20839"/>
      <w:r>
        <w:rPr>
          <w:rFonts w:hint="eastAsia" w:eastAsia="黑体"/>
          <w:color w:val="000000"/>
          <w:sz w:val="32"/>
          <w:szCs w:val="32"/>
        </w:rPr>
        <w:t>八、</w:t>
      </w:r>
      <w:r>
        <w:rPr>
          <w:rStyle w:val="20"/>
          <w:rFonts w:hint="eastAsia" w:ascii="Times New Roman" w:hAnsi="Times New Roman" w:eastAsia="黑体"/>
          <w:b w:val="0"/>
        </w:rPr>
        <w:t>政府性基金预算</w:t>
      </w:r>
      <w:r>
        <w:rPr>
          <w:rFonts w:hint="eastAsia" w:eastAsia="黑体"/>
          <w:sz w:val="30"/>
          <w:szCs w:val="30"/>
        </w:rPr>
        <w:t>支出决算情况说明</w:t>
      </w:r>
      <w:bookmarkEnd w:id="48"/>
    </w:p>
    <w:p>
      <w:pPr>
        <w:spacing w:line="595" w:lineRule="exact"/>
        <w:ind w:firstLine="640"/>
        <w:rPr>
          <w:rFonts w:eastAsia="仿宋_GB2312"/>
          <w:color w:val="000000"/>
          <w:sz w:val="32"/>
          <w:szCs w:val="32"/>
        </w:rPr>
      </w:pPr>
      <w:r>
        <w:rPr>
          <w:rFonts w:eastAsia="仿宋_GB2312"/>
          <w:color w:val="000000"/>
          <w:sz w:val="32"/>
          <w:szCs w:val="32"/>
        </w:rPr>
        <w:t>20</w:t>
      </w:r>
      <w:r>
        <w:rPr>
          <w:rFonts w:hint="eastAsia" w:eastAsia="仿宋_GB2312"/>
          <w:color w:val="000000"/>
          <w:sz w:val="32"/>
          <w:szCs w:val="32"/>
        </w:rPr>
        <w:t>21年政府性基金预算拨款支出0万元。</w:t>
      </w:r>
    </w:p>
    <w:p>
      <w:pPr>
        <w:numPr>
          <w:ilvl w:val="0"/>
          <w:numId w:val="3"/>
        </w:numPr>
        <w:spacing w:line="595" w:lineRule="exact"/>
        <w:ind w:firstLine="640"/>
        <w:outlineLvl w:val="1"/>
        <w:rPr>
          <w:rStyle w:val="20"/>
          <w:rFonts w:ascii="Times New Roman" w:hAnsi="Times New Roman" w:eastAsia="黑体"/>
          <w:b w:val="0"/>
          <w:sz w:val="30"/>
          <w:szCs w:val="30"/>
        </w:rPr>
      </w:pPr>
      <w:bookmarkStart w:id="49" w:name="_Toc15396611"/>
      <w:bookmarkStart w:id="50" w:name="_Toc19992"/>
      <w:bookmarkStart w:id="51" w:name="_Toc15377219"/>
      <w:r>
        <w:rPr>
          <w:rStyle w:val="20"/>
          <w:rFonts w:hint="eastAsia" w:ascii="Times New Roman" w:hAnsi="Times New Roman" w:eastAsia="黑体"/>
          <w:b w:val="0"/>
        </w:rPr>
        <w:t>国</w:t>
      </w:r>
      <w:r>
        <w:rPr>
          <w:rStyle w:val="20"/>
          <w:rFonts w:hint="eastAsia" w:ascii="Times New Roman" w:hAnsi="Times New Roman" w:eastAsia="黑体"/>
          <w:b w:val="0"/>
          <w:sz w:val="30"/>
          <w:szCs w:val="30"/>
        </w:rPr>
        <w:t>有</w:t>
      </w:r>
      <w:r>
        <w:rPr>
          <w:rFonts w:hint="eastAsia" w:eastAsia="黑体"/>
          <w:sz w:val="30"/>
          <w:szCs w:val="30"/>
        </w:rPr>
        <w:t>资本经营</w:t>
      </w:r>
      <w:r>
        <w:rPr>
          <w:rStyle w:val="20"/>
          <w:rFonts w:hint="eastAsia" w:ascii="Times New Roman" w:hAnsi="Times New Roman" w:eastAsia="黑体"/>
          <w:b w:val="0"/>
          <w:sz w:val="30"/>
          <w:szCs w:val="30"/>
        </w:rPr>
        <w:t>预算</w:t>
      </w:r>
      <w:r>
        <w:rPr>
          <w:rFonts w:hint="eastAsia" w:eastAsia="黑体"/>
          <w:sz w:val="30"/>
          <w:szCs w:val="30"/>
        </w:rPr>
        <w:t>支出决算情况说明</w:t>
      </w:r>
      <w:bookmarkEnd w:id="49"/>
      <w:bookmarkEnd w:id="50"/>
      <w:bookmarkEnd w:id="51"/>
    </w:p>
    <w:p>
      <w:pPr>
        <w:spacing w:line="595" w:lineRule="exact"/>
        <w:ind w:firstLine="640" w:firstLineChars="200"/>
        <w:rPr>
          <w:rFonts w:eastAsia="仿宋_GB2312"/>
          <w:color w:val="000000"/>
          <w:sz w:val="32"/>
          <w:szCs w:val="32"/>
        </w:rPr>
      </w:pPr>
      <w:r>
        <w:rPr>
          <w:rFonts w:eastAsia="仿宋_GB2312"/>
          <w:color w:val="000000"/>
          <w:sz w:val="32"/>
          <w:szCs w:val="32"/>
        </w:rPr>
        <w:t>20</w:t>
      </w:r>
      <w:r>
        <w:rPr>
          <w:rFonts w:hint="eastAsia" w:eastAsia="仿宋_GB2312"/>
          <w:color w:val="000000"/>
          <w:sz w:val="32"/>
          <w:szCs w:val="32"/>
        </w:rPr>
        <w:t>21年国有资本经营预算拨款支出0万元。</w:t>
      </w:r>
    </w:p>
    <w:p>
      <w:pPr>
        <w:spacing w:line="600" w:lineRule="exact"/>
        <w:ind w:firstLine="640" w:firstLineChars="200"/>
        <w:outlineLvl w:val="1"/>
        <w:rPr>
          <w:rStyle w:val="20"/>
          <w:rFonts w:ascii="黑体" w:hAnsi="黑体" w:eastAsia="黑体"/>
        </w:rPr>
      </w:pPr>
      <w:bookmarkStart w:id="52" w:name="_Toc15396612"/>
      <w:bookmarkStart w:id="53" w:name="_Toc15377221"/>
      <w:bookmarkStart w:id="54" w:name="_Toc12892"/>
      <w:r>
        <w:rPr>
          <w:rFonts w:hint="eastAsia" w:ascii="黑体" w:hAnsi="黑体" w:eastAsia="黑体"/>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52"/>
      <w:bookmarkEnd w:id="53"/>
      <w:bookmarkEnd w:id="54"/>
    </w:p>
    <w:p>
      <w:pPr>
        <w:spacing w:line="600" w:lineRule="exact"/>
        <w:ind w:firstLine="643" w:firstLineChars="200"/>
        <w:outlineLvl w:val="2"/>
        <w:rPr>
          <w:rFonts w:ascii="仿宋" w:hAnsi="仿宋" w:eastAsia="仿宋"/>
          <w:color w:val="000000"/>
          <w:sz w:val="32"/>
          <w:szCs w:val="32"/>
        </w:rPr>
      </w:pPr>
      <w:bookmarkStart w:id="55" w:name="_Toc15377222"/>
      <w:r>
        <w:rPr>
          <w:rFonts w:hint="eastAsia" w:ascii="仿宋" w:hAnsi="仿宋" w:eastAsia="仿宋"/>
          <w:b/>
          <w:color w:val="000000"/>
          <w:sz w:val="32"/>
          <w:szCs w:val="32"/>
        </w:rPr>
        <w:t>（一）机关运行经费支出情况</w:t>
      </w:r>
      <w:bookmarkEnd w:id="55"/>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rPr>
        <w:t>21年，通江统计局机关运行经费支出52.70万元，比</w:t>
      </w:r>
      <w:r>
        <w:rPr>
          <w:rFonts w:ascii="仿宋_GB2312" w:eastAsia="仿宋_GB2312"/>
          <w:color w:val="000000"/>
          <w:sz w:val="32"/>
          <w:szCs w:val="32"/>
        </w:rPr>
        <w:t>20</w:t>
      </w:r>
      <w:r>
        <w:rPr>
          <w:rFonts w:hint="eastAsia" w:ascii="仿宋_GB2312" w:eastAsia="仿宋_GB2312"/>
          <w:color w:val="000000"/>
          <w:sz w:val="32"/>
          <w:szCs w:val="32"/>
        </w:rPr>
        <w:t>20年增加2.06万元，增长4.07</w:t>
      </w:r>
      <w:r>
        <w:rPr>
          <w:rFonts w:ascii="仿宋_GB2312" w:eastAsia="仿宋_GB2312"/>
          <w:color w:val="000000"/>
          <w:sz w:val="32"/>
          <w:szCs w:val="32"/>
        </w:rPr>
        <w:t>%</w:t>
      </w:r>
      <w:r>
        <w:rPr>
          <w:rFonts w:hint="eastAsia" w:ascii="仿宋_GB2312" w:eastAsia="仿宋_GB2312"/>
          <w:color w:val="000000"/>
          <w:sz w:val="32"/>
          <w:szCs w:val="32"/>
        </w:rPr>
        <w:t>，增加的主要原因是人员的增加。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6" w:name="_Toc15377223"/>
      <w:r>
        <w:rPr>
          <w:rFonts w:hint="eastAsia" w:ascii="仿宋" w:hAnsi="仿宋" w:eastAsia="仿宋"/>
          <w:b/>
          <w:color w:val="000000"/>
          <w:sz w:val="32"/>
          <w:szCs w:val="32"/>
        </w:rPr>
        <w:t>（二）政府采购支出情况</w:t>
      </w:r>
      <w:bookmarkEnd w:id="5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21年，统计局政府采购支出总额0万元。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4"/>
      <w:r>
        <w:rPr>
          <w:rFonts w:hint="eastAsia" w:ascii="仿宋" w:hAnsi="仿宋" w:eastAsia="仿宋"/>
          <w:b/>
          <w:color w:val="000000"/>
          <w:sz w:val="32"/>
          <w:szCs w:val="32"/>
        </w:rPr>
        <w:t>（三）国有资产占有使用情况</w:t>
      </w:r>
      <w:bookmarkEnd w:id="57"/>
    </w:p>
    <w:p>
      <w:pPr>
        <w:autoSpaceDE w:val="0"/>
        <w:autoSpaceDN w:val="0"/>
        <w:adjustRightInd w:val="0"/>
        <w:spacing w:line="600" w:lineRule="exact"/>
        <w:ind w:firstLine="640" w:firstLineChars="200"/>
        <w:jc w:val="left"/>
        <w:rPr>
          <w:rFonts w:ascii="仿宋" w:hAnsi="仿宋" w:eastAsia="仿宋_GB2312"/>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日，统计局共有车辆0辆；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w:t>
      </w:r>
    </w:p>
    <w:p>
      <w:pPr>
        <w:numPr>
          <w:ilvl w:val="0"/>
          <w:numId w:val="4"/>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预算绩效管理情况。</w:t>
      </w:r>
    </w:p>
    <w:p>
      <w:pPr>
        <w:spacing w:line="595" w:lineRule="exact"/>
        <w:ind w:firstLine="640" w:firstLineChars="200"/>
        <w:rPr>
          <w:rFonts w:eastAsia="仿宋_GB2312" w:cs="仿宋_GB2312"/>
          <w:sz w:val="32"/>
          <w:szCs w:val="32"/>
        </w:rPr>
      </w:pPr>
      <w:r>
        <w:rPr>
          <w:rFonts w:hint="eastAsia" w:eastAsia="仿宋_GB2312" w:cs="仿宋_GB2312"/>
          <w:sz w:val="32"/>
          <w:szCs w:val="32"/>
        </w:rPr>
        <w:t>根据预算绩效管理要求，本部门在年初预算编制阶段，组织对一般公共预算项目开展了预算事前绩效评估，对1个项目编制了绩效目标，预算执行过程中，对1个项目开展绩效监控，年终执行完毕后，对1个项目开展了绩效目标自评。</w:t>
      </w:r>
    </w:p>
    <w:p>
      <w:pPr>
        <w:spacing w:line="595" w:lineRule="exact"/>
        <w:ind w:firstLine="640" w:firstLineChars="200"/>
        <w:rPr>
          <w:rFonts w:eastAsia="仿宋_GB2312" w:cs="仿宋_GB2312"/>
          <w:sz w:val="32"/>
          <w:szCs w:val="32"/>
        </w:rPr>
      </w:pPr>
      <w:r>
        <w:rPr>
          <w:rFonts w:hint="eastAsia" w:eastAsia="仿宋_GB2312" w:cs="仿宋_GB2312"/>
          <w:sz w:val="32"/>
          <w:szCs w:val="32"/>
        </w:rPr>
        <w:t>一、项目绩效目标完成情况。</w:t>
      </w:r>
    </w:p>
    <w:p>
      <w:pPr>
        <w:spacing w:line="595" w:lineRule="exact"/>
        <w:ind w:firstLine="640" w:firstLineChars="200"/>
        <w:rPr>
          <w:rFonts w:eastAsia="仿宋_GB2312" w:cs="仿宋_GB2312"/>
          <w:sz w:val="32"/>
          <w:szCs w:val="32"/>
        </w:rPr>
      </w:pPr>
      <w:r>
        <w:rPr>
          <w:rFonts w:hint="eastAsia" w:eastAsia="仿宋_GB2312" w:cs="仿宋_GB2312"/>
          <w:sz w:val="32"/>
          <w:szCs w:val="32"/>
        </w:rPr>
        <w:t>人才引进安家费项目绩效目标完成情况综述。项目全年预算数为1.5万元，执行数为1.5万元，完成预算的100%。通过项目实施，引进了优秀人才，进一步加强了人才强县战略和创新驱动发展战略的实施。</w:t>
      </w:r>
    </w:p>
    <w:p>
      <w:pPr>
        <w:numPr>
          <w:ilvl w:val="0"/>
          <w:numId w:val="5"/>
        </w:numPr>
        <w:spacing w:line="595" w:lineRule="exact"/>
        <w:ind w:firstLine="640" w:firstLineChars="200"/>
        <w:rPr>
          <w:rFonts w:eastAsia="仿宋" w:cs="楷体_GB2312"/>
          <w:sz w:val="32"/>
          <w:szCs w:val="32"/>
        </w:rPr>
      </w:pPr>
      <w:r>
        <w:rPr>
          <w:rFonts w:hint="eastAsia" w:eastAsia="仿宋" w:cs="楷体_GB2312"/>
          <w:sz w:val="32"/>
          <w:szCs w:val="32"/>
        </w:rPr>
        <w:t>部门开展绩效评价结果。</w:t>
      </w:r>
    </w:p>
    <w:p>
      <w:pPr>
        <w:spacing w:line="595" w:lineRule="exact"/>
        <w:ind w:firstLine="640" w:firstLineChars="200"/>
        <w:rPr>
          <w:rFonts w:eastAsia="仿宋_GB2312" w:cs="仿宋_GB2312"/>
          <w:sz w:val="32"/>
          <w:szCs w:val="32"/>
        </w:rPr>
      </w:pPr>
      <w:r>
        <w:rPr>
          <w:rFonts w:hint="eastAsia" w:eastAsia="仿宋_GB2312" w:cs="仿宋_GB2312"/>
          <w:sz w:val="32"/>
          <w:szCs w:val="32"/>
        </w:rPr>
        <w:t>本部门按要求对2021年部门整体支出绩效评价情况开展自评，《通江县统计局2021年整体支出绩效自评报告》见附件一（第四部分）。对引进人才安家补助项目开展了绩效评价，《通江县统计局关于2021年引进人才安家及住房补助经费绩效自评报告》见附件二（第四部分）。</w:t>
      </w:r>
    </w:p>
    <w:p>
      <w:pPr>
        <w:spacing w:line="595" w:lineRule="exact"/>
        <w:ind w:firstLine="640" w:firstLineChars="200"/>
        <w:rPr>
          <w:rFonts w:eastAsia="仿宋_GB2312" w:cs="仿宋_GB2312"/>
          <w:sz w:val="32"/>
          <w:szCs w:val="32"/>
        </w:rPr>
      </w:pPr>
    </w:p>
    <w:p>
      <w:pPr>
        <w:pStyle w:val="4"/>
      </w:pPr>
    </w:p>
    <w:p>
      <w:pPr>
        <w:pStyle w:val="4"/>
      </w:pPr>
    </w:p>
    <w:p>
      <w:pPr>
        <w:pStyle w:val="4"/>
        <w:rPr>
          <w:rFonts w:eastAsia="仿宋_GB2312" w:cs="仿宋_GB2312"/>
          <w:szCs w:val="32"/>
        </w:rPr>
      </w:pPr>
    </w:p>
    <w:p>
      <w:pPr>
        <w:pStyle w:val="4"/>
        <w:rPr>
          <w:rFonts w:eastAsia="仿宋_GB2312" w:cs="仿宋_GB2312"/>
          <w:szCs w:val="32"/>
        </w:rPr>
      </w:pPr>
    </w:p>
    <w:p>
      <w:pPr>
        <w:pStyle w:val="4"/>
        <w:rPr>
          <w:rFonts w:eastAsia="仿宋_GB2312" w:cs="仿宋_GB2312"/>
          <w:szCs w:val="32"/>
        </w:rPr>
      </w:pPr>
    </w:p>
    <w:p>
      <w:pPr>
        <w:pStyle w:val="4"/>
        <w:rPr>
          <w:rFonts w:eastAsia="仿宋_GB2312" w:cs="仿宋_GB2312"/>
          <w:szCs w:val="32"/>
        </w:rPr>
      </w:pPr>
    </w:p>
    <w:p>
      <w:pPr>
        <w:numPr>
          <w:ilvl w:val="0"/>
          <w:numId w:val="6"/>
        </w:numPr>
        <w:spacing w:line="600" w:lineRule="exact"/>
        <w:ind w:firstLine="660" w:firstLineChars="150"/>
        <w:jc w:val="center"/>
        <w:outlineLvl w:val="0"/>
        <w:rPr>
          <w:rStyle w:val="22"/>
          <w:rFonts w:ascii="黑体" w:hAnsi="黑体" w:eastAsia="黑体"/>
          <w:b w:val="0"/>
        </w:rPr>
      </w:pPr>
      <w:bookmarkStart w:id="58" w:name="_Toc20150"/>
      <w:bookmarkStart w:id="59" w:name="_Toc15377225"/>
      <w:bookmarkStart w:id="60" w:name="_Toc15396613"/>
      <w:r>
        <w:rPr>
          <w:rFonts w:hint="eastAsia" w:ascii="黑体" w:hAnsi="黑体" w:eastAsia="黑体"/>
          <w:color w:val="000000"/>
          <w:sz w:val="44"/>
          <w:szCs w:val="44"/>
        </w:rPr>
        <w:t>名</w:t>
      </w:r>
      <w:r>
        <w:rPr>
          <w:rStyle w:val="22"/>
          <w:rFonts w:hint="eastAsia" w:ascii="黑体" w:hAnsi="黑体" w:eastAsia="黑体"/>
          <w:b w:val="0"/>
        </w:rPr>
        <w:t>词解释</w:t>
      </w:r>
      <w:bookmarkEnd w:id="58"/>
      <w:bookmarkEnd w:id="59"/>
      <w:bookmarkEnd w:id="60"/>
    </w:p>
    <w:p>
      <w:pPr>
        <w:widowControl/>
        <w:jc w:val="center"/>
        <w:textAlignment w:val="center"/>
        <w:rPr>
          <w:rFonts w:ascii="宋体" w:hAnsi="宋体" w:cs="宋体"/>
          <w:bCs/>
          <w:color w:val="000000"/>
          <w:kern w:val="0"/>
          <w:sz w:val="20"/>
          <w:szCs w:val="20"/>
        </w:rPr>
      </w:pPr>
    </w:p>
    <w:p>
      <w:pPr>
        <w:pStyle w:val="23"/>
        <w:spacing w:line="595" w:lineRule="exact"/>
        <w:ind w:firstLine="640" w:firstLineChars="200"/>
        <w:rPr>
          <w:rFonts w:ascii="Times New Roman" w:eastAsia="仿宋_GB2312"/>
          <w:sz w:val="32"/>
          <w:szCs w:val="32"/>
        </w:rPr>
      </w:pPr>
      <w:r>
        <w:rPr>
          <w:rFonts w:hint="eastAsia" w:ascii="Times New Roman" w:eastAsia="仿宋_GB2312"/>
          <w:sz w:val="32"/>
          <w:szCs w:val="32"/>
        </w:rPr>
        <w:t>1.财政拨款收入：指单位从同级财政部门取得的财政预算资金。</w:t>
      </w:r>
    </w:p>
    <w:p>
      <w:pPr>
        <w:pStyle w:val="23"/>
        <w:spacing w:line="595" w:lineRule="exact"/>
        <w:ind w:firstLine="640" w:firstLineChars="200"/>
        <w:rPr>
          <w:rFonts w:ascii="Times New Roman" w:eastAsia="仿宋_GB2312"/>
          <w:sz w:val="32"/>
          <w:szCs w:val="32"/>
        </w:rPr>
      </w:pPr>
      <w:r>
        <w:rPr>
          <w:rFonts w:hint="eastAsia" w:ascii="Times New Roman" w:eastAsia="仿宋_GB2312"/>
          <w:sz w:val="32"/>
          <w:szCs w:val="32"/>
        </w:rPr>
        <w:t>2.事业收入：指事业单位开展专业业务活动及辅助活动取得的收入。</w:t>
      </w:r>
    </w:p>
    <w:p>
      <w:pPr>
        <w:pStyle w:val="23"/>
        <w:spacing w:line="595" w:lineRule="exact"/>
        <w:ind w:firstLine="640" w:firstLineChars="200"/>
        <w:rPr>
          <w:rFonts w:ascii="Times New Roman" w:eastAsia="仿宋_GB2312"/>
          <w:sz w:val="32"/>
          <w:szCs w:val="32"/>
        </w:rPr>
      </w:pPr>
      <w:r>
        <w:rPr>
          <w:rFonts w:hint="eastAsia" w:ascii="Times New Roman" w:eastAsia="仿宋_GB2312"/>
          <w:sz w:val="32"/>
          <w:szCs w:val="32"/>
        </w:rPr>
        <w:t>3.经营收入：指事业单位在专业业务活动及其辅助活动之外开展非独立核算经营活动取得的收入。</w:t>
      </w:r>
    </w:p>
    <w:p>
      <w:pPr>
        <w:pStyle w:val="23"/>
        <w:spacing w:line="595" w:lineRule="exact"/>
        <w:ind w:left="638" w:leftChars="304"/>
        <w:rPr>
          <w:rFonts w:ascii="Times New Roman" w:eastAsia="仿宋_GB2312"/>
          <w:sz w:val="32"/>
          <w:szCs w:val="32"/>
        </w:rPr>
      </w:pPr>
      <w:r>
        <w:rPr>
          <w:rFonts w:hint="eastAsia" w:ascii="Times New Roman" w:eastAsia="仿宋_GB2312"/>
          <w:sz w:val="32"/>
          <w:szCs w:val="32"/>
        </w:rPr>
        <w:t>4.其他收入：指单位取得的除上述收入以外的各项收入</w:t>
      </w:r>
    </w:p>
    <w:p>
      <w:pPr>
        <w:pStyle w:val="23"/>
        <w:spacing w:line="595" w:lineRule="exact"/>
        <w:ind w:firstLine="640" w:firstLineChars="200"/>
        <w:rPr>
          <w:rFonts w:ascii="Times New Roman" w:eastAsia="仿宋_GB2312"/>
          <w:sz w:val="32"/>
          <w:szCs w:val="32"/>
        </w:rPr>
      </w:pPr>
      <w:r>
        <w:rPr>
          <w:rFonts w:hint="eastAsia" w:ascii="Times New Roman" w:eastAsia="仿宋_GB2312"/>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95" w:lineRule="exact"/>
        <w:ind w:firstLine="640" w:firstLineChars="200"/>
        <w:rPr>
          <w:rFonts w:hint="eastAsia" w:ascii="Times New Roman" w:eastAsia="仿宋_GB2312"/>
          <w:sz w:val="32"/>
          <w:szCs w:val="32"/>
        </w:rPr>
      </w:pPr>
      <w:r>
        <w:rPr>
          <w:rFonts w:hint="eastAsia" w:ascii="Times New Roman" w:eastAsia="仿宋_GB2312"/>
          <w:sz w:val="32"/>
          <w:szCs w:val="32"/>
        </w:rPr>
        <w:t>6.年初结转和结余：指以前年度尚未完成、结</w:t>
      </w:r>
      <w:r>
        <w:rPr>
          <w:rFonts w:hint="eastAsia" w:ascii="Times New Roman" w:eastAsia="仿宋_GB2312"/>
          <w:sz w:val="32"/>
          <w:szCs w:val="32"/>
          <w:u w:val="none" w:color="000000"/>
        </w:rPr>
        <w:t>转到本</w:t>
      </w:r>
      <w:r>
        <w:rPr>
          <w:rFonts w:hint="eastAsia" w:ascii="Times New Roman" w:eastAsia="仿宋_GB2312"/>
          <w:sz w:val="32"/>
          <w:szCs w:val="32"/>
        </w:rPr>
        <w:t>年</w:t>
      </w:r>
      <w:r>
        <w:rPr>
          <w:rFonts w:hint="eastAsia" w:ascii="Times New Roman" w:eastAsia="仿宋_GB2312"/>
          <w:sz w:val="32"/>
          <w:szCs w:val="32"/>
          <w:lang w:val="en-US" w:eastAsia="zh-CN"/>
        </w:rPr>
        <w:t>度</w:t>
      </w:r>
      <w:r>
        <w:rPr>
          <w:rFonts w:hint="eastAsia" w:ascii="Times New Roman" w:eastAsia="仿宋_GB2312"/>
          <w:sz w:val="32"/>
          <w:szCs w:val="32"/>
        </w:rPr>
        <w:t>按</w:t>
      </w:r>
      <w:r>
        <w:rPr>
          <w:rFonts w:hint="eastAsia" w:ascii="Times New Roman" w:eastAsia="仿宋_GB2312"/>
          <w:sz w:val="32"/>
          <w:szCs w:val="32"/>
        </w:rPr>
        <w:t>有关规定继续使用的资金。</w:t>
      </w:r>
    </w:p>
    <w:p>
      <w:pPr>
        <w:pStyle w:val="23"/>
        <w:spacing w:line="595" w:lineRule="exact"/>
        <w:ind w:firstLine="640" w:firstLineChars="200"/>
        <w:rPr>
          <w:rFonts w:ascii="Times New Roman" w:eastAsia="仿宋_GB2312"/>
          <w:sz w:val="32"/>
          <w:szCs w:val="32"/>
        </w:rPr>
      </w:pPr>
      <w:r>
        <w:rPr>
          <w:rFonts w:hint="eastAsia" w:ascii="Times New Roman" w:eastAsia="仿宋_GB2312"/>
          <w:sz w:val="32"/>
          <w:szCs w:val="32"/>
        </w:rPr>
        <w:t>7.结余分配：指事业单位按照事业单位会计制度的规定从非财政补助结余中分配的事业基金和职工福利基金等。</w:t>
      </w:r>
    </w:p>
    <w:p>
      <w:pPr>
        <w:pStyle w:val="23"/>
        <w:spacing w:line="595" w:lineRule="exact"/>
        <w:ind w:firstLine="640" w:firstLineChars="200"/>
        <w:rPr>
          <w:rFonts w:ascii="Times New Roman" w:eastAsia="仿宋_GB2312"/>
          <w:sz w:val="32"/>
          <w:szCs w:val="32"/>
        </w:rPr>
      </w:pPr>
      <w:r>
        <w:rPr>
          <w:rFonts w:hint="eastAsia" w:ascii="Times New Roman" w:eastAsia="仿宋_GB2312"/>
          <w:sz w:val="32"/>
          <w:szCs w:val="32"/>
        </w:rPr>
        <w:t>8、年末结转和结余：指单位按有关规定结转到下年或以后年度继续使用的资金。</w:t>
      </w:r>
    </w:p>
    <w:p>
      <w:pPr>
        <w:spacing w:line="595" w:lineRule="exact"/>
        <w:ind w:firstLine="640" w:firstLineChars="200"/>
        <w:rPr>
          <w:rFonts w:eastAsia="仿宋_GB2312"/>
          <w:color w:val="000000"/>
          <w:sz w:val="32"/>
          <w:szCs w:val="32"/>
        </w:rPr>
      </w:pPr>
      <w:r>
        <w:rPr>
          <w:rFonts w:hint="eastAsia" w:eastAsia="仿宋_GB2312"/>
          <w:color w:val="000000"/>
          <w:sz w:val="32"/>
          <w:szCs w:val="32"/>
        </w:rPr>
        <w:t>9.社会保障和就业（类）行政事业单位离退休（款）机关事业单位基本养老保险缴费支出（项）：指机关事业单位实施养老保险制度由单位缴纳的基本养老保险支出。</w:t>
      </w:r>
    </w:p>
    <w:p>
      <w:pPr>
        <w:spacing w:line="595" w:lineRule="exact"/>
        <w:ind w:firstLine="640" w:firstLineChars="200"/>
        <w:rPr>
          <w:rFonts w:eastAsia="仿宋_GB2312"/>
          <w:color w:val="000000"/>
          <w:sz w:val="32"/>
          <w:szCs w:val="32"/>
        </w:rPr>
      </w:pPr>
      <w:r>
        <w:rPr>
          <w:rFonts w:hint="eastAsia" w:eastAsia="仿宋_GB2312"/>
          <w:color w:val="000000"/>
          <w:sz w:val="32"/>
          <w:szCs w:val="32"/>
        </w:rPr>
        <w:t>10.医疗卫生与计划生育（类）医疗卫生与计划生育管理事务（款）行政运行（项）：指行政单位（包括实行公务员管理的事业单位）的基本支出。</w:t>
      </w:r>
    </w:p>
    <w:p>
      <w:pPr>
        <w:spacing w:line="595" w:lineRule="exact"/>
        <w:ind w:firstLine="640" w:firstLineChars="200"/>
      </w:pPr>
      <w:r>
        <w:rPr>
          <w:rFonts w:hint="eastAsia" w:eastAsia="仿宋_GB2312"/>
          <w:color w:val="000000"/>
          <w:sz w:val="32"/>
          <w:szCs w:val="32"/>
        </w:rPr>
        <w:t>11.医疗卫生与计划生育（类）医疗卫生与计划生育管理事务（款）一般行政管理事务（项）：指行政单位（包括实行公务员管理的事业单位）未单独设置项级科目的其他支出。</w:t>
      </w:r>
    </w:p>
    <w:p>
      <w:pPr>
        <w:spacing w:line="595" w:lineRule="exact"/>
        <w:ind w:firstLine="640" w:firstLineChars="200"/>
        <w:rPr>
          <w:rFonts w:eastAsia="仿宋_GB2312"/>
          <w:color w:val="000000"/>
          <w:sz w:val="32"/>
          <w:szCs w:val="32"/>
        </w:rPr>
      </w:pPr>
      <w:r>
        <w:rPr>
          <w:rFonts w:hint="eastAsia" w:eastAsia="仿宋_GB2312"/>
          <w:color w:val="000000"/>
          <w:sz w:val="32"/>
          <w:szCs w:val="32"/>
        </w:rPr>
        <w:t>12.医疗卫生与计划生育（类）医疗卫生与计划生育管理事务（款）一般行政管理事务（项）：指行政单位（包括实行公务员管理的事业单位）未单独设置项级科目的其他支出。</w:t>
      </w:r>
    </w:p>
    <w:p>
      <w:pPr>
        <w:spacing w:line="595" w:lineRule="exact"/>
        <w:ind w:firstLine="640" w:firstLineChars="200"/>
        <w:rPr>
          <w:rFonts w:eastAsia="仿宋_GB2312"/>
          <w:color w:val="000000"/>
          <w:sz w:val="32"/>
          <w:szCs w:val="32"/>
        </w:rPr>
      </w:pPr>
      <w:r>
        <w:rPr>
          <w:rFonts w:hint="eastAsia" w:eastAsia="仿宋_GB2312"/>
          <w:color w:val="000000"/>
          <w:sz w:val="32"/>
          <w:szCs w:val="32"/>
        </w:rPr>
        <w:t>13.农林水（类）扶贫（款）社会发展（项）：指其他用于农村贫困地区卫生等方面关于扶贫的支出。</w:t>
      </w:r>
    </w:p>
    <w:p>
      <w:pPr>
        <w:spacing w:line="595" w:lineRule="exact"/>
        <w:ind w:firstLine="640" w:firstLineChars="200"/>
        <w:rPr>
          <w:rFonts w:eastAsia="仿宋_GB2312"/>
          <w:color w:val="000000"/>
          <w:sz w:val="32"/>
          <w:szCs w:val="32"/>
        </w:rPr>
      </w:pPr>
      <w:r>
        <w:rPr>
          <w:rFonts w:hint="eastAsia" w:eastAsia="仿宋_GB2312"/>
          <w:color w:val="000000"/>
          <w:sz w:val="32"/>
          <w:szCs w:val="32"/>
        </w:rPr>
        <w:t>14.住房保障（类）住房改革支出（款）住房公积金（项）：指行政事业单位按人力资源和社会保障部、财政部规定的基本工资和津贴补贴以及规定比例为职工缴纳的住房公积金。</w:t>
      </w:r>
    </w:p>
    <w:p>
      <w:pPr>
        <w:spacing w:line="595" w:lineRule="exact"/>
        <w:ind w:firstLine="640" w:firstLineChars="200"/>
        <w:rPr>
          <w:rFonts w:eastAsia="仿宋_GB2312"/>
          <w:color w:val="000000"/>
          <w:sz w:val="32"/>
          <w:szCs w:val="32"/>
        </w:rPr>
      </w:pPr>
      <w:r>
        <w:rPr>
          <w:rFonts w:hint="eastAsia" w:eastAsia="仿宋_GB2312"/>
          <w:color w:val="000000"/>
          <w:sz w:val="32"/>
          <w:szCs w:val="32"/>
        </w:rPr>
        <w:t>15.基本支出：指为保障机构正常运转、完成日常工作任务而发生的人员支出和公用支出。</w:t>
      </w:r>
    </w:p>
    <w:p>
      <w:pPr>
        <w:spacing w:line="595" w:lineRule="exact"/>
        <w:ind w:firstLine="640" w:firstLineChars="200"/>
        <w:rPr>
          <w:rFonts w:eastAsia="仿宋_GB2312"/>
          <w:color w:val="000000"/>
          <w:sz w:val="32"/>
          <w:szCs w:val="32"/>
        </w:rPr>
      </w:pPr>
      <w:r>
        <w:rPr>
          <w:rFonts w:hint="eastAsia" w:eastAsia="仿宋_GB2312"/>
          <w:color w:val="000000"/>
          <w:sz w:val="32"/>
          <w:szCs w:val="32"/>
        </w:rPr>
        <w:t>16.项目支出：指在基本支出之外为完成特定行政任务和事业发展目标所发生的支出。</w:t>
      </w:r>
    </w:p>
    <w:p>
      <w:pPr>
        <w:pStyle w:val="4"/>
        <w:ind w:firstLine="640" w:firstLineChars="200"/>
        <w:rPr>
          <w:rFonts w:ascii="仿宋_GB2312" w:eastAsia="仿宋_GB2312"/>
          <w:szCs w:val="32"/>
        </w:rPr>
      </w:pPr>
      <w:r>
        <w:rPr>
          <w:rFonts w:hint="eastAsia" w:ascii="仿宋_GB2312" w:eastAsia="仿宋_GB2312"/>
          <w:szCs w:val="32"/>
        </w:rPr>
        <w:t>17.经营支出：指事业单位在专业业务活动及其辅助活动之外开展非独立核算经营活动发生的支出。</w:t>
      </w:r>
    </w:p>
    <w:p>
      <w:pPr>
        <w:pStyle w:val="4"/>
        <w:ind w:firstLine="640" w:firstLineChars="200"/>
        <w:rPr>
          <w:rFonts w:eastAsia="仿宋_GB2312"/>
          <w:szCs w:val="32"/>
        </w:rPr>
      </w:pPr>
      <w:r>
        <w:rPr>
          <w:rFonts w:hint="eastAsia" w:eastAsia="仿宋_GB2312"/>
          <w:szCs w:val="32"/>
        </w:rPr>
        <w:t>18.“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95" w:lineRule="exact"/>
        <w:ind w:firstLine="640" w:firstLineChars="200"/>
        <w:rPr>
          <w:rFonts w:ascii="Times New Roman" w:eastAsia="仿宋_GB2312"/>
          <w:sz w:val="32"/>
          <w:szCs w:val="32"/>
        </w:rPr>
      </w:pPr>
      <w:r>
        <w:rPr>
          <w:rFonts w:hint="eastAsia" w:ascii="Times New Roman" w:eastAsia="仿宋_GB2312"/>
          <w:sz w:val="32"/>
          <w:szCs w:val="32"/>
        </w:rPr>
        <w:t>19.机关运行经费：为保障行政单位（含参照公务员法管理的事业单位）运行用于购买货物和服务的各项资金</w:t>
      </w:r>
      <w:r>
        <w:rPr>
          <w:rFonts w:hint="eastAsia" w:ascii="Times New Roman" w:eastAsia="仿宋_GB2312"/>
          <w:sz w:val="32"/>
          <w:szCs w:val="32"/>
          <w:u w:val="none" w:color="000000"/>
        </w:rPr>
        <w:t>，包</w:t>
      </w:r>
      <w:r>
        <w:rPr>
          <w:rFonts w:hint="eastAsia" w:ascii="Times New Roman" w:eastAsia="仿宋_GB2312"/>
          <w:sz w:val="32"/>
          <w:szCs w:val="32"/>
        </w:rPr>
        <w:t>括办公</w:t>
      </w:r>
      <w:r>
        <w:rPr>
          <w:rFonts w:hint="eastAsia" w:ascii="Times New Roman" w:eastAsia="仿宋_GB2312"/>
          <w:sz w:val="32"/>
          <w:szCs w:val="32"/>
          <w:lang w:val="en-US" w:eastAsia="zh-CN"/>
        </w:rPr>
        <w:t>费</w:t>
      </w:r>
      <w:r>
        <w:rPr>
          <w:rFonts w:hint="eastAsia" w:ascii="Times New Roman" w:eastAsia="仿宋_GB2312"/>
          <w:sz w:val="32"/>
          <w:szCs w:val="32"/>
        </w:rPr>
        <w:t>及印刷费、邮电费、差旅费、会议费、福利费、日常维修费、专用材料及一般设备购置费、办公用房水电费、办公用房取暖费、办公用房物业管理费、公务用车运行维护费以及其他费用。</w:t>
      </w:r>
    </w:p>
    <w:p>
      <w:pPr>
        <w:spacing w:line="595" w:lineRule="exact"/>
        <w:rPr>
          <w:color w:val="000000"/>
        </w:rPr>
      </w:pPr>
    </w:p>
    <w:p>
      <w:pPr>
        <w:widowControl/>
        <w:jc w:val="center"/>
        <w:textAlignment w:val="center"/>
        <w:rPr>
          <w:rFonts w:ascii="宋体" w:hAnsi="宋体" w:cs="宋体"/>
          <w:bCs/>
          <w:color w:val="000000"/>
          <w:kern w:val="0"/>
          <w:sz w:val="20"/>
          <w:szCs w:val="20"/>
        </w:rPr>
      </w:pPr>
    </w:p>
    <w:p>
      <w:pPr>
        <w:widowControl/>
        <w:jc w:val="center"/>
        <w:textAlignment w:val="center"/>
        <w:rPr>
          <w:rFonts w:ascii="宋体" w:hAnsi="宋体" w:cs="宋体"/>
          <w:bCs/>
          <w:color w:val="000000"/>
          <w:kern w:val="0"/>
          <w:sz w:val="20"/>
          <w:szCs w:val="20"/>
        </w:rPr>
      </w:pPr>
    </w:p>
    <w:p>
      <w:pPr>
        <w:spacing w:line="595" w:lineRule="exact"/>
        <w:rPr>
          <w:rFonts w:eastAsia="仿宋_GB2312" w:cs="仿宋_GB2312"/>
          <w:sz w:val="32"/>
          <w:szCs w:val="32"/>
        </w:rPr>
      </w:pPr>
    </w:p>
    <w:p>
      <w:pPr>
        <w:widowControl/>
        <w:jc w:val="center"/>
        <w:textAlignment w:val="center"/>
        <w:rPr>
          <w:rFonts w:ascii="宋体" w:hAnsi="宋体" w:cs="宋体"/>
          <w:bCs/>
          <w:color w:val="000000"/>
          <w:kern w:val="0"/>
          <w:sz w:val="20"/>
          <w:szCs w:val="20"/>
        </w:rPr>
      </w:pPr>
    </w:p>
    <w:p>
      <w:pPr>
        <w:widowControl/>
        <w:jc w:val="center"/>
        <w:textAlignment w:val="center"/>
        <w:rPr>
          <w:rFonts w:ascii="宋体" w:hAnsi="宋体" w:cs="宋体"/>
          <w:bCs/>
          <w:color w:val="000000"/>
          <w:kern w:val="0"/>
          <w:sz w:val="20"/>
          <w:szCs w:val="20"/>
        </w:rPr>
      </w:pPr>
    </w:p>
    <w:p>
      <w:pPr>
        <w:pStyle w:val="2"/>
        <w:rPr>
          <w:rFonts w:ascii="宋体" w:hAnsi="宋体" w:cs="宋体"/>
          <w:b w:val="0"/>
          <w:color w:val="000000"/>
          <w:kern w:val="0"/>
          <w:sz w:val="20"/>
          <w:szCs w:val="20"/>
        </w:rPr>
      </w:pPr>
    </w:p>
    <w:p/>
    <w:p>
      <w:pPr>
        <w:widowControl/>
        <w:jc w:val="center"/>
        <w:textAlignment w:val="center"/>
        <w:rPr>
          <w:rFonts w:ascii="宋体" w:hAnsi="宋体" w:cs="宋体"/>
          <w:bCs/>
          <w:color w:val="000000"/>
          <w:kern w:val="0"/>
          <w:sz w:val="20"/>
          <w:szCs w:val="20"/>
        </w:rPr>
      </w:pPr>
    </w:p>
    <w:p>
      <w:pPr>
        <w:pStyle w:val="4"/>
        <w:rPr>
          <w:rFonts w:eastAsia="仿宋_GB2312"/>
          <w:szCs w:val="32"/>
        </w:rPr>
      </w:pPr>
    </w:p>
    <w:p>
      <w:pPr>
        <w:spacing w:line="600" w:lineRule="exact"/>
        <w:rPr>
          <w:rFonts w:ascii="黑体" w:hAnsi="黑体" w:eastAsia="黑体"/>
          <w:color w:val="000000"/>
          <w:sz w:val="44"/>
          <w:szCs w:val="44"/>
        </w:rPr>
      </w:pPr>
      <w:bookmarkStart w:id="61" w:name="_Toc15396614"/>
    </w:p>
    <w:p>
      <w:pPr>
        <w:spacing w:line="600" w:lineRule="exact"/>
        <w:ind w:firstLine="2640" w:firstLineChars="600"/>
        <w:jc w:val="left"/>
        <w:outlineLvl w:val="0"/>
        <w:rPr>
          <w:rFonts w:ascii="黑体" w:hAnsi="黑体" w:eastAsia="黑体" w:cs="黑体"/>
          <w:sz w:val="32"/>
          <w:szCs w:val="32"/>
        </w:rPr>
      </w:pPr>
      <w:bookmarkStart w:id="62" w:name="_Toc21924"/>
      <w:r>
        <w:rPr>
          <w:rFonts w:hint="eastAsia" w:ascii="黑体" w:hAnsi="黑体" w:eastAsia="黑体"/>
          <w:color w:val="000000"/>
          <w:sz w:val="44"/>
          <w:szCs w:val="44"/>
        </w:rPr>
        <w:t>第</w:t>
      </w:r>
      <w:r>
        <w:rPr>
          <w:rStyle w:val="24"/>
          <w:rFonts w:hint="eastAsia" w:ascii="黑体" w:hAnsi="黑体" w:eastAsia="黑体"/>
          <w:b w:val="0"/>
        </w:rPr>
        <w:t>四部分附件</w:t>
      </w:r>
      <w:bookmarkEnd w:id="61"/>
      <w:bookmarkEnd w:id="62"/>
    </w:p>
    <w:p>
      <w:pPr>
        <w:spacing w:line="600" w:lineRule="exact"/>
        <w:jc w:val="left"/>
        <w:outlineLvl w:val="0"/>
        <w:rPr>
          <w:rFonts w:ascii="方正小标宋简体" w:hAnsi="方正小标宋简体" w:eastAsia="黑体" w:cs="方正小标宋简体"/>
          <w:sz w:val="32"/>
          <w:szCs w:val="32"/>
        </w:rPr>
      </w:pPr>
      <w:bookmarkStart w:id="63" w:name="_Toc18074"/>
      <w:r>
        <w:rPr>
          <w:rFonts w:hint="eastAsia" w:ascii="黑体" w:hAnsi="黑体" w:eastAsia="黑体" w:cs="黑体"/>
          <w:sz w:val="32"/>
          <w:szCs w:val="32"/>
        </w:rPr>
        <w:t>附件一</w:t>
      </w:r>
      <w:bookmarkEnd w:id="63"/>
    </w:p>
    <w:p>
      <w:pPr>
        <w:spacing w:line="570" w:lineRule="exact"/>
        <w:jc w:val="center"/>
        <w:rPr>
          <w:rFonts w:eastAsia="方正小标宋简体"/>
          <w:sz w:val="44"/>
          <w:szCs w:val="44"/>
        </w:rPr>
      </w:pPr>
      <w:r>
        <w:rPr>
          <w:rFonts w:eastAsia="方正小标宋简体"/>
          <w:sz w:val="44"/>
          <w:szCs w:val="44"/>
        </w:rPr>
        <w:t>通江县统计局</w:t>
      </w:r>
    </w:p>
    <w:p>
      <w:pPr>
        <w:spacing w:line="57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1</w:t>
      </w:r>
      <w:r>
        <w:rPr>
          <w:rFonts w:eastAsia="方正小标宋简体"/>
          <w:sz w:val="44"/>
          <w:szCs w:val="44"/>
        </w:rPr>
        <w:t>年整体支出绩效</w:t>
      </w:r>
      <w:r>
        <w:rPr>
          <w:rFonts w:hint="eastAsia" w:eastAsia="方正小标宋简体"/>
          <w:sz w:val="44"/>
          <w:szCs w:val="44"/>
        </w:rPr>
        <w:t>自评</w:t>
      </w:r>
      <w:r>
        <w:rPr>
          <w:rFonts w:eastAsia="方正小标宋简体"/>
          <w:sz w:val="44"/>
          <w:szCs w:val="44"/>
        </w:rPr>
        <w:t>报告</w:t>
      </w:r>
    </w:p>
    <w:p>
      <w:pPr>
        <w:spacing w:line="570" w:lineRule="exact"/>
        <w:rPr>
          <w:rFonts w:eastAsia="仿宋_GB2312"/>
          <w:sz w:val="32"/>
          <w:szCs w:val="32"/>
        </w:rPr>
      </w:pPr>
    </w:p>
    <w:p>
      <w:pPr>
        <w:spacing w:line="540" w:lineRule="exact"/>
        <w:ind w:firstLine="640" w:firstLineChars="200"/>
        <w:rPr>
          <w:rFonts w:eastAsia="黑体"/>
          <w:sz w:val="32"/>
          <w:szCs w:val="32"/>
        </w:rPr>
      </w:pPr>
      <w:r>
        <w:rPr>
          <w:rFonts w:eastAsia="黑体"/>
          <w:sz w:val="32"/>
          <w:szCs w:val="32"/>
        </w:rPr>
        <w:t>一、</w:t>
      </w:r>
      <w:r>
        <w:rPr>
          <w:rFonts w:hint="eastAsia" w:eastAsia="黑体"/>
          <w:sz w:val="32"/>
          <w:szCs w:val="32"/>
        </w:rPr>
        <w:t>部门概况</w:t>
      </w:r>
    </w:p>
    <w:p>
      <w:pPr>
        <w:spacing w:line="540" w:lineRule="exact"/>
        <w:ind w:firstLine="643" w:firstLineChars="200"/>
        <w:rPr>
          <w:rFonts w:eastAsia="仿宋_GB2312"/>
          <w:b/>
          <w:bCs/>
          <w:sz w:val="32"/>
          <w:szCs w:val="32"/>
        </w:rPr>
      </w:pPr>
      <w:r>
        <w:rPr>
          <w:rFonts w:hint="eastAsia" w:eastAsia="仿宋_GB2312"/>
          <w:b/>
          <w:bCs/>
          <w:sz w:val="32"/>
          <w:szCs w:val="32"/>
        </w:rPr>
        <w:t>（一）</w:t>
      </w:r>
      <w:r>
        <w:rPr>
          <w:rFonts w:eastAsia="仿宋_GB2312"/>
          <w:b/>
          <w:bCs/>
          <w:sz w:val="32"/>
          <w:szCs w:val="32"/>
        </w:rPr>
        <w:t>机构组成</w:t>
      </w:r>
    </w:p>
    <w:p>
      <w:pPr>
        <w:spacing w:line="540" w:lineRule="exact"/>
        <w:ind w:firstLine="640" w:firstLineChars="200"/>
        <w:rPr>
          <w:rFonts w:eastAsia="仿宋_GB2312" w:cs="宋体"/>
          <w:color w:val="000000"/>
          <w:kern w:val="0"/>
          <w:sz w:val="32"/>
          <w:szCs w:val="32"/>
        </w:rPr>
      </w:pPr>
      <w:r>
        <w:rPr>
          <w:rFonts w:hint="eastAsia" w:eastAsia="仿宋_GB2312" w:cs="宋体"/>
          <w:kern w:val="0"/>
          <w:sz w:val="32"/>
          <w:szCs w:val="32"/>
        </w:rPr>
        <w:t>县统计局是县属县</w:t>
      </w:r>
      <w:r>
        <w:rPr>
          <w:rFonts w:hint="eastAsia" w:eastAsia="仿宋_GB2312" w:cs="宋体"/>
          <w:color w:val="000000"/>
          <w:kern w:val="0"/>
          <w:sz w:val="32"/>
          <w:szCs w:val="32"/>
        </w:rPr>
        <w:t>政府的正科级行政机构。根据县委编办文件精神，我局现有内设股室5个：办公室、综合股、政策法规股、农村经济统计股，统计执法监督局；直属事业单位3个：县社情民意调查中心、县地方调查队、县统计大数据中心；下设1个参公管理单位：县普查中心。</w:t>
      </w:r>
    </w:p>
    <w:p>
      <w:pPr>
        <w:spacing w:line="540" w:lineRule="exact"/>
        <w:ind w:firstLine="643" w:firstLineChars="200"/>
        <w:rPr>
          <w:rFonts w:eastAsia="仿宋_GB2312"/>
          <w:b/>
          <w:bCs/>
          <w:sz w:val="32"/>
          <w:szCs w:val="32"/>
        </w:rPr>
      </w:pPr>
      <w:r>
        <w:rPr>
          <w:rFonts w:hint="eastAsia" w:eastAsia="仿宋_GB2312"/>
          <w:b/>
          <w:bCs/>
          <w:sz w:val="32"/>
          <w:szCs w:val="32"/>
        </w:rPr>
        <w:t>（二）机构</w:t>
      </w:r>
      <w:r>
        <w:rPr>
          <w:rFonts w:eastAsia="仿宋_GB2312"/>
          <w:b/>
          <w:bCs/>
          <w:sz w:val="32"/>
          <w:szCs w:val="32"/>
        </w:rPr>
        <w:t>职能</w:t>
      </w:r>
    </w:p>
    <w:p>
      <w:pPr>
        <w:spacing w:line="540" w:lineRule="exact"/>
        <w:ind w:firstLine="640" w:firstLineChars="200"/>
        <w:rPr>
          <w:rFonts w:eastAsia="仿宋_GB2312"/>
          <w:sz w:val="32"/>
          <w:szCs w:val="32"/>
        </w:rPr>
      </w:pPr>
      <w:r>
        <w:rPr>
          <w:rFonts w:eastAsia="仿宋_GB2312"/>
          <w:sz w:val="32"/>
          <w:szCs w:val="32"/>
        </w:rPr>
        <w:t>（1）贯彻执行国家统计工作的方针、政策和法律、法规以及统计制度、统计标准，制定全县统计规划，承担组织领导和协调全县统计工作，确保统计数据真实、准确、及时。</w:t>
      </w:r>
    </w:p>
    <w:p>
      <w:pPr>
        <w:spacing w:line="540" w:lineRule="exact"/>
        <w:ind w:firstLine="640" w:firstLineChars="200"/>
        <w:rPr>
          <w:rFonts w:eastAsia="仿宋_GB2312"/>
          <w:sz w:val="32"/>
          <w:szCs w:val="32"/>
        </w:rPr>
      </w:pPr>
      <w:r>
        <w:rPr>
          <w:rFonts w:eastAsia="仿宋_GB2312"/>
          <w:sz w:val="32"/>
          <w:szCs w:val="32"/>
        </w:rPr>
        <w:t>（2）建立健全全县国民经济核算体系，组织实施全县国民经济核算制度，核算全县地区生产总值，整理提供国民经济核算资料，开展分析研究，指导、监督乡镇国民经济核算工作。</w:t>
      </w:r>
    </w:p>
    <w:p>
      <w:pPr>
        <w:spacing w:line="540" w:lineRule="exact"/>
        <w:ind w:firstLine="640" w:firstLineChars="200"/>
        <w:rPr>
          <w:rFonts w:eastAsia="仿宋_GB2312"/>
          <w:sz w:val="32"/>
          <w:szCs w:val="32"/>
        </w:rPr>
      </w:pPr>
      <w:r>
        <w:rPr>
          <w:rFonts w:eastAsia="仿宋_GB2312"/>
          <w:sz w:val="32"/>
          <w:szCs w:val="32"/>
        </w:rPr>
        <w:t>（3）组织实施农林牧渔业、工业、建筑业、批发和零售业、住宿和餐饮业、房地产业等国民经济行业以及能源、投资、人口、就业、城乡居民收入、科技、妇儿“两纲”、社会发展、环境状况等领域的统计调查，扎实推进“一套表”网络直报，建立全县经济社会发展监测评价制度及指标体系，对重点区域和重要领域实施监测评价，牵头综合整理和提供资源、房屋、旅游、教育、卫生、邮电、交通运输、社会保障、公用事业、对外贸易、对外经济等全县基本统计资料。</w:t>
      </w:r>
    </w:p>
    <w:p>
      <w:pPr>
        <w:spacing w:line="540" w:lineRule="exact"/>
        <w:ind w:firstLine="640" w:firstLineChars="200"/>
        <w:rPr>
          <w:rFonts w:eastAsia="仿宋_GB2312"/>
          <w:sz w:val="32"/>
          <w:szCs w:val="32"/>
        </w:rPr>
      </w:pPr>
      <w:r>
        <w:rPr>
          <w:rFonts w:eastAsia="仿宋_GB2312"/>
          <w:sz w:val="32"/>
          <w:szCs w:val="32"/>
        </w:rPr>
        <w:t>（4）组织实施全县人口、经济、农业等重大国情国力普查及各项专项调查，组织实施全县投入产出调查。</w:t>
      </w:r>
    </w:p>
    <w:p>
      <w:pPr>
        <w:spacing w:line="540" w:lineRule="exact"/>
        <w:ind w:firstLine="640" w:firstLineChars="200"/>
        <w:rPr>
          <w:rFonts w:eastAsia="仿宋_GB2312"/>
          <w:sz w:val="32"/>
          <w:szCs w:val="32"/>
        </w:rPr>
      </w:pPr>
      <w:r>
        <w:rPr>
          <w:rFonts w:eastAsia="仿宋_GB2312"/>
          <w:sz w:val="32"/>
          <w:szCs w:val="32"/>
        </w:rPr>
        <w:t>（5）对全县国民经济运行、科技进步、社会发展、资源环境等情况进行统计分析、预测，定期发布全县经济社会发展情况统计信息，向县委</w:t>
      </w:r>
      <w:r>
        <w:t>、</w:t>
      </w:r>
      <w:r>
        <w:rPr>
          <w:rFonts w:eastAsia="仿宋_GB2312"/>
          <w:sz w:val="32"/>
          <w:szCs w:val="32"/>
        </w:rPr>
        <w:t>县政府及有关部门提供统计咨询建议，向社会公众提供统计信息服务。</w:t>
      </w:r>
    </w:p>
    <w:p>
      <w:pPr>
        <w:spacing w:line="540" w:lineRule="exact"/>
        <w:ind w:firstLine="640" w:firstLineChars="200"/>
        <w:rPr>
          <w:rFonts w:eastAsia="仿宋_GB2312"/>
          <w:sz w:val="32"/>
          <w:szCs w:val="32"/>
        </w:rPr>
      </w:pPr>
      <w:r>
        <w:rPr>
          <w:rFonts w:eastAsia="仿宋_GB2312"/>
          <w:sz w:val="32"/>
          <w:szCs w:val="32"/>
        </w:rPr>
        <w:t>（6）建立健全全县统计数据质量审核、监督和评估制度，依法对全县乡镇、县级各部门重要统计数据进行审核、监督和评估。</w:t>
      </w:r>
    </w:p>
    <w:p>
      <w:pPr>
        <w:spacing w:line="540" w:lineRule="exact"/>
        <w:ind w:firstLine="640" w:firstLineChars="200"/>
        <w:rPr>
          <w:rFonts w:eastAsia="仿宋_GB2312"/>
          <w:sz w:val="32"/>
          <w:szCs w:val="32"/>
        </w:rPr>
      </w:pPr>
      <w:r>
        <w:rPr>
          <w:rFonts w:eastAsia="仿宋_GB2312"/>
          <w:sz w:val="32"/>
          <w:szCs w:val="32"/>
        </w:rPr>
        <w:t>（7）建立健全和管理全县统计信息自动化系统及统计数据库体系，组织、推广计算机和传输技术在全县统计工作中的运用。</w:t>
      </w:r>
    </w:p>
    <w:p>
      <w:pPr>
        <w:spacing w:line="540" w:lineRule="exact"/>
        <w:ind w:firstLine="640" w:firstLineChars="200"/>
        <w:rPr>
          <w:rFonts w:eastAsia="仿宋_GB2312"/>
          <w:sz w:val="32"/>
          <w:szCs w:val="32"/>
        </w:rPr>
      </w:pPr>
      <w:r>
        <w:rPr>
          <w:rFonts w:eastAsia="仿宋_GB2312"/>
          <w:sz w:val="32"/>
          <w:szCs w:val="32"/>
        </w:rPr>
        <w:t>（8）组织指导统计人员教育、培训、业务考核等工作，负责全县统计专业技术职务的组织协调、资格审查等工作。</w:t>
      </w:r>
    </w:p>
    <w:p>
      <w:pPr>
        <w:spacing w:line="540" w:lineRule="exact"/>
        <w:ind w:firstLine="640" w:firstLineChars="200"/>
        <w:rPr>
          <w:rFonts w:eastAsia="仿宋_GB2312"/>
          <w:sz w:val="32"/>
          <w:szCs w:val="32"/>
        </w:rPr>
      </w:pPr>
      <w:r>
        <w:rPr>
          <w:rFonts w:eastAsia="仿宋_GB2312"/>
          <w:sz w:val="32"/>
          <w:szCs w:val="32"/>
        </w:rPr>
        <w:t>（9）承担县政府公布的有关行政审批事项。</w:t>
      </w:r>
    </w:p>
    <w:p>
      <w:pPr>
        <w:spacing w:line="540" w:lineRule="exact"/>
        <w:ind w:firstLine="640" w:firstLineChars="200"/>
        <w:rPr>
          <w:rFonts w:eastAsia="仿宋_GB2312"/>
          <w:b/>
          <w:bCs/>
          <w:sz w:val="32"/>
          <w:szCs w:val="32"/>
        </w:rPr>
      </w:pPr>
      <w:r>
        <w:rPr>
          <w:rFonts w:eastAsia="仿宋_GB2312"/>
          <w:sz w:val="32"/>
          <w:szCs w:val="32"/>
        </w:rPr>
        <w:t>（10）承办县委</w:t>
      </w:r>
      <w:r>
        <w:t>、</w:t>
      </w:r>
      <w:r>
        <w:rPr>
          <w:rFonts w:eastAsia="仿宋_GB2312"/>
          <w:sz w:val="32"/>
          <w:szCs w:val="32"/>
        </w:rPr>
        <w:t>县政府交办的其他事项。</w:t>
      </w:r>
    </w:p>
    <w:p>
      <w:pPr>
        <w:spacing w:line="540" w:lineRule="exact"/>
        <w:ind w:firstLine="643" w:firstLineChars="200"/>
        <w:rPr>
          <w:rFonts w:eastAsia="仿宋_GB2312"/>
          <w:b/>
          <w:sz w:val="32"/>
          <w:szCs w:val="32"/>
          <w:lang w:val="zh-CN"/>
        </w:rPr>
      </w:pPr>
      <w:r>
        <w:rPr>
          <w:rFonts w:hint="eastAsia" w:eastAsia="仿宋_GB2312"/>
          <w:b/>
          <w:bCs/>
          <w:sz w:val="32"/>
          <w:szCs w:val="32"/>
        </w:rPr>
        <w:t>（三）</w:t>
      </w:r>
      <w:r>
        <w:rPr>
          <w:rFonts w:eastAsia="仿宋_GB2312"/>
          <w:b/>
          <w:sz w:val="32"/>
          <w:szCs w:val="32"/>
          <w:lang w:val="zh-CN"/>
        </w:rPr>
        <w:t>人员概况</w:t>
      </w:r>
    </w:p>
    <w:p>
      <w:pPr>
        <w:spacing w:line="54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rPr>
        <w:t>1</w:t>
      </w:r>
      <w:r>
        <w:rPr>
          <w:rFonts w:eastAsia="仿宋_GB2312"/>
          <w:sz w:val="32"/>
          <w:szCs w:val="32"/>
        </w:rPr>
        <w:t>年统计局人员编制为3</w:t>
      </w:r>
      <w:r>
        <w:rPr>
          <w:rFonts w:hint="eastAsia" w:eastAsia="仿宋_GB2312"/>
          <w:sz w:val="32"/>
          <w:szCs w:val="32"/>
        </w:rPr>
        <w:t>5</w:t>
      </w:r>
      <w:r>
        <w:rPr>
          <w:rFonts w:eastAsia="仿宋_GB2312"/>
          <w:sz w:val="32"/>
          <w:szCs w:val="32"/>
        </w:rPr>
        <w:t>人，其中：行政编制11人，参照公务员管理人员编制为5人，事业编制1</w:t>
      </w:r>
      <w:r>
        <w:rPr>
          <w:rFonts w:hint="eastAsia" w:eastAsia="仿宋_GB2312"/>
          <w:sz w:val="32"/>
          <w:szCs w:val="32"/>
        </w:rPr>
        <w:t>9</w:t>
      </w:r>
      <w:r>
        <w:rPr>
          <w:rFonts w:eastAsia="仿宋_GB2312"/>
          <w:sz w:val="32"/>
          <w:szCs w:val="32"/>
        </w:rPr>
        <w:t>人。202</w:t>
      </w:r>
      <w:r>
        <w:rPr>
          <w:rFonts w:hint="eastAsia" w:eastAsia="仿宋_GB2312"/>
          <w:sz w:val="32"/>
          <w:szCs w:val="32"/>
        </w:rPr>
        <w:t>1</w:t>
      </w:r>
      <w:r>
        <w:rPr>
          <w:rFonts w:eastAsia="仿宋_GB2312"/>
          <w:sz w:val="32"/>
          <w:szCs w:val="32"/>
        </w:rPr>
        <w:t>年末统计局实有人数3</w:t>
      </w:r>
      <w:r>
        <w:rPr>
          <w:rFonts w:hint="eastAsia" w:eastAsia="仿宋_GB2312"/>
          <w:sz w:val="32"/>
          <w:szCs w:val="32"/>
        </w:rPr>
        <w:t>3</w:t>
      </w:r>
      <w:r>
        <w:rPr>
          <w:rFonts w:eastAsia="仿宋_GB2312"/>
          <w:sz w:val="32"/>
          <w:szCs w:val="32"/>
        </w:rPr>
        <w:t>人，行政人员11人，参照公务员管理人员</w:t>
      </w:r>
      <w:r>
        <w:rPr>
          <w:rFonts w:hint="eastAsia" w:eastAsia="仿宋_GB2312"/>
          <w:sz w:val="32"/>
          <w:szCs w:val="32"/>
        </w:rPr>
        <w:t>5</w:t>
      </w:r>
      <w:r>
        <w:rPr>
          <w:rFonts w:eastAsia="仿宋_GB2312"/>
          <w:sz w:val="32"/>
          <w:szCs w:val="32"/>
        </w:rPr>
        <w:t>人，财政全额拨款事业人员17人。</w:t>
      </w:r>
    </w:p>
    <w:p>
      <w:pPr>
        <w:spacing w:line="540" w:lineRule="exact"/>
        <w:rPr>
          <w:rFonts w:eastAsia="黑体"/>
          <w:sz w:val="32"/>
          <w:szCs w:val="32"/>
        </w:rPr>
      </w:pPr>
      <w:r>
        <w:rPr>
          <w:rFonts w:hint="eastAsia" w:eastAsia="黑体"/>
          <w:sz w:val="32"/>
          <w:szCs w:val="32"/>
        </w:rPr>
        <w:t>二、部门财政资金收支情况</w:t>
      </w:r>
    </w:p>
    <w:p>
      <w:pPr>
        <w:pStyle w:val="4"/>
        <w:spacing w:after="0" w:line="540" w:lineRule="exact"/>
      </w:pPr>
      <w:r>
        <w:rPr>
          <w:rFonts w:hint="eastAsia"/>
        </w:rPr>
        <w:t>（一）部门财政资金收入情况。</w:t>
      </w:r>
    </w:p>
    <w:p>
      <w:pPr>
        <w:pStyle w:val="4"/>
        <w:spacing w:after="0" w:line="540" w:lineRule="exact"/>
        <w:ind w:firstLine="640" w:firstLineChars="200"/>
        <w:rPr>
          <w:rFonts w:eastAsia="仿宋_GB2312"/>
          <w:szCs w:val="32"/>
        </w:rPr>
      </w:pPr>
      <w:r>
        <w:rPr>
          <w:rFonts w:eastAsia="仿宋_GB2312"/>
          <w:szCs w:val="32"/>
        </w:rPr>
        <w:t>202</w:t>
      </w:r>
      <w:r>
        <w:rPr>
          <w:rFonts w:hint="eastAsia" w:eastAsia="仿宋_GB2312"/>
          <w:szCs w:val="32"/>
        </w:rPr>
        <w:t>1</w:t>
      </w:r>
      <w:r>
        <w:rPr>
          <w:rFonts w:eastAsia="仿宋_GB2312"/>
          <w:szCs w:val="32"/>
        </w:rPr>
        <w:t>年度部门</w:t>
      </w:r>
      <w:r>
        <w:rPr>
          <w:rFonts w:hint="eastAsia" w:eastAsia="仿宋_GB2312"/>
          <w:szCs w:val="32"/>
        </w:rPr>
        <w:t>财政拨款</w:t>
      </w:r>
      <w:r>
        <w:rPr>
          <w:rFonts w:eastAsia="仿宋_GB2312"/>
          <w:szCs w:val="32"/>
        </w:rPr>
        <w:t>预算收入</w:t>
      </w:r>
      <w:r>
        <w:rPr>
          <w:rFonts w:hint="eastAsia" w:eastAsia="仿宋_GB2312"/>
          <w:szCs w:val="32"/>
        </w:rPr>
        <w:t>478.06</w:t>
      </w:r>
      <w:r>
        <w:rPr>
          <w:rFonts w:eastAsia="仿宋_GB2312"/>
          <w:szCs w:val="32"/>
        </w:rPr>
        <w:t>万元</w:t>
      </w:r>
      <w:r>
        <w:rPr>
          <w:rFonts w:hint="eastAsia" w:eastAsia="仿宋_GB2312"/>
          <w:szCs w:val="32"/>
        </w:rPr>
        <w:t>，其中</w:t>
      </w:r>
      <w:r>
        <w:rPr>
          <w:rFonts w:eastAsia="仿宋_GB2312"/>
          <w:szCs w:val="32"/>
        </w:rPr>
        <w:t>年初预算收入</w:t>
      </w:r>
      <w:r>
        <w:rPr>
          <w:rFonts w:hint="eastAsia" w:eastAsia="仿宋_GB2312"/>
          <w:szCs w:val="32"/>
        </w:rPr>
        <w:t>445.34</w:t>
      </w:r>
      <w:r>
        <w:rPr>
          <w:rFonts w:eastAsia="仿宋_GB2312"/>
          <w:szCs w:val="32"/>
        </w:rPr>
        <w:t>万元</w:t>
      </w:r>
      <w:r>
        <w:rPr>
          <w:rFonts w:hint="eastAsia" w:eastAsia="仿宋_GB2312"/>
          <w:szCs w:val="32"/>
        </w:rPr>
        <w:t>，年内调整</w:t>
      </w:r>
      <w:r>
        <w:rPr>
          <w:rFonts w:eastAsia="仿宋_GB2312"/>
          <w:szCs w:val="32"/>
        </w:rPr>
        <w:t>追加预算收入</w:t>
      </w:r>
      <w:r>
        <w:rPr>
          <w:rFonts w:hint="eastAsia" w:eastAsia="仿宋_GB2312"/>
          <w:szCs w:val="32"/>
        </w:rPr>
        <w:t>32.72万元。</w:t>
      </w:r>
    </w:p>
    <w:p>
      <w:pPr>
        <w:pStyle w:val="4"/>
        <w:spacing w:after="0" w:line="540" w:lineRule="exact"/>
        <w:rPr>
          <w:rFonts w:eastAsia="仿宋_GB2312"/>
          <w:szCs w:val="32"/>
        </w:rPr>
      </w:pPr>
      <w:r>
        <w:rPr>
          <w:rFonts w:hint="eastAsia" w:eastAsia="仿宋_GB2312"/>
          <w:szCs w:val="32"/>
        </w:rPr>
        <w:t>（二）部门财政资金支出情况。</w:t>
      </w:r>
    </w:p>
    <w:p>
      <w:pPr>
        <w:pStyle w:val="4"/>
        <w:spacing w:after="0" w:line="540" w:lineRule="exact"/>
        <w:ind w:firstLine="640" w:firstLineChars="200"/>
        <w:rPr>
          <w:rFonts w:eastAsia="仿宋_GB2312"/>
          <w:szCs w:val="32"/>
        </w:rPr>
      </w:pPr>
      <w:r>
        <w:rPr>
          <w:rFonts w:hint="eastAsia" w:eastAsia="仿宋_GB2312"/>
          <w:szCs w:val="32"/>
        </w:rPr>
        <w:t>2021年度部门财政资金支出478.06万元，包括基本支出464.96万元，项目支出13.1万元。</w:t>
      </w:r>
    </w:p>
    <w:p>
      <w:pPr>
        <w:pStyle w:val="4"/>
        <w:numPr>
          <w:ilvl w:val="0"/>
          <w:numId w:val="5"/>
        </w:numPr>
        <w:spacing w:after="0" w:line="540" w:lineRule="exact"/>
        <w:ind w:firstLine="640" w:firstLineChars="200"/>
        <w:rPr>
          <w:rFonts w:eastAsia="黑体"/>
          <w:szCs w:val="32"/>
        </w:rPr>
      </w:pPr>
      <w:r>
        <w:rPr>
          <w:rFonts w:hint="eastAsia" w:eastAsia="黑体"/>
          <w:szCs w:val="32"/>
        </w:rPr>
        <w:t>部门整体预算绩效管理情况</w:t>
      </w:r>
    </w:p>
    <w:p>
      <w:pPr>
        <w:pStyle w:val="4"/>
        <w:spacing w:after="0" w:line="540" w:lineRule="exact"/>
        <w:ind w:left="420" w:leftChars="200"/>
        <w:rPr>
          <w:rFonts w:eastAsia="黑体"/>
          <w:szCs w:val="32"/>
        </w:rPr>
      </w:pPr>
      <w:r>
        <w:rPr>
          <w:rFonts w:hint="eastAsia" w:ascii="楷体_GB2312" w:hAnsi="楷体_GB2312" w:eastAsia="楷体_GB2312" w:cs="楷体_GB2312"/>
          <w:b/>
          <w:bCs/>
          <w:szCs w:val="32"/>
        </w:rPr>
        <w:t>（一）部门预算项目绩效管理。</w:t>
      </w:r>
    </w:p>
    <w:p>
      <w:pPr>
        <w:spacing w:line="540" w:lineRule="exact"/>
        <w:ind w:firstLine="640" w:firstLineChars="200"/>
        <w:rPr>
          <w:rFonts w:eastAsia="仿宋_GB2312"/>
          <w:sz w:val="32"/>
          <w:szCs w:val="32"/>
        </w:rPr>
      </w:pPr>
      <w:r>
        <w:rPr>
          <w:rFonts w:hint="eastAsia" w:eastAsia="仿宋_GB2312" w:cs="仿宋_GB2312"/>
          <w:sz w:val="32"/>
          <w:szCs w:val="32"/>
        </w:rPr>
        <w:t>2021年度部门财政拨款预算收入为</w:t>
      </w:r>
      <w:r>
        <w:rPr>
          <w:rFonts w:hint="eastAsia" w:eastAsia="仿宋_GB2312"/>
          <w:sz w:val="32"/>
          <w:szCs w:val="32"/>
        </w:rPr>
        <w:t>478.06</w:t>
      </w:r>
      <w:r>
        <w:rPr>
          <w:rFonts w:hint="eastAsia" w:eastAsia="仿宋_GB2312" w:cs="仿宋_GB2312"/>
          <w:sz w:val="32"/>
          <w:szCs w:val="32"/>
        </w:rPr>
        <w:t>万元，</w:t>
      </w:r>
      <w:r>
        <w:rPr>
          <w:rFonts w:hint="eastAsia" w:eastAsia="仿宋_GB2312"/>
          <w:sz w:val="32"/>
          <w:szCs w:val="32"/>
        </w:rPr>
        <w:t>财政拨款支出为478.06万元。其中：</w:t>
      </w:r>
      <w:r>
        <w:rPr>
          <w:rFonts w:eastAsia="仿宋_GB2312"/>
          <w:sz w:val="32"/>
          <w:szCs w:val="32"/>
        </w:rPr>
        <w:t>工资福利支出</w:t>
      </w:r>
      <w:r>
        <w:rPr>
          <w:rFonts w:hint="eastAsia" w:eastAsia="仿宋_GB2312"/>
          <w:sz w:val="32"/>
          <w:szCs w:val="32"/>
        </w:rPr>
        <w:t>410.46万元，主要包括：基本工资、津贴补贴、奖金、绩效工资、社会保障缴费、住房公积金等；商品和服务支出63.3万元，主要包括：办公费、印刷费、水电费、邮电费、差旅费、会议费、培训费、公务接待费、劳务费、工会经费、福利费等；对个人和家庭的补助支出3.3万元，主要包括：生活补助等；资本性支出1万元，主要包括：办公设备购置等。</w:t>
      </w:r>
    </w:p>
    <w:p>
      <w:pPr>
        <w:spacing w:line="540" w:lineRule="exact"/>
        <w:ind w:firstLine="640" w:firstLineChars="200"/>
        <w:rPr>
          <w:rFonts w:eastAsia="仿宋_GB2312"/>
          <w:sz w:val="32"/>
          <w:szCs w:val="32"/>
        </w:rPr>
      </w:pPr>
      <w:r>
        <w:rPr>
          <w:rFonts w:hint="eastAsia" w:eastAsia="仿宋_GB2312"/>
          <w:sz w:val="32"/>
          <w:szCs w:val="32"/>
        </w:rPr>
        <w:t>“三公”经费财政拨款支出0.49万元，用于公务接待，与上年基本持平，经费是严格按照实际情况和既定标准执行。</w:t>
      </w:r>
    </w:p>
    <w:p>
      <w:pPr>
        <w:spacing w:line="540" w:lineRule="exact"/>
        <w:ind w:firstLine="640" w:firstLineChars="200"/>
        <w:rPr>
          <w:rFonts w:eastAsia="仿宋_GB2312" w:cs="仿宋_GB2312"/>
          <w:sz w:val="32"/>
          <w:szCs w:val="32"/>
        </w:rPr>
      </w:pPr>
      <w:r>
        <w:rPr>
          <w:rFonts w:hint="eastAsia" w:eastAsia="仿宋_GB2312"/>
          <w:sz w:val="32"/>
          <w:szCs w:val="32"/>
        </w:rPr>
        <w:t>2021年一般公共预算财政拨款项目支出13.1万元，实际支出13.1万元，按支出功能包括以下项目：大数据检测中心及项目管理费7万元，引进人才安家费1.5</w:t>
      </w:r>
      <w:r>
        <w:rPr>
          <w:rFonts w:eastAsia="仿宋_GB2312"/>
          <w:sz w:val="32"/>
          <w:szCs w:val="32"/>
        </w:rPr>
        <w:t>万元</w:t>
      </w:r>
      <w:r>
        <w:rPr>
          <w:rFonts w:hint="eastAsia" w:eastAsia="仿宋_GB2312"/>
          <w:sz w:val="32"/>
          <w:szCs w:val="32"/>
        </w:rPr>
        <w:t>、脱贫攻坚支出4.6万元。我局</w:t>
      </w:r>
      <w:r>
        <w:rPr>
          <w:rFonts w:hint="eastAsia" w:eastAsia="仿宋_GB2312" w:cs="仿宋_GB2312"/>
          <w:color w:val="333333"/>
          <w:sz w:val="32"/>
          <w:szCs w:val="32"/>
        </w:rPr>
        <w:t>严</w:t>
      </w:r>
      <w:r>
        <w:rPr>
          <w:rFonts w:hint="eastAsia" w:eastAsia="仿宋_GB2312" w:cs="仿宋_GB2312"/>
          <w:sz w:val="32"/>
          <w:szCs w:val="32"/>
        </w:rPr>
        <w:t>格按照县级部门预算编制有关要求，按时完成基础库、项目库报送工作，预算编制准确，县财政预算股审查后无提出并确需修改的问题，部门整体绩效目标能完整、合理反映部门年度职责履行情况，项目绩效目标编制明确、量化。</w:t>
      </w:r>
    </w:p>
    <w:p>
      <w:pPr>
        <w:spacing w:line="540" w:lineRule="exact"/>
        <w:ind w:firstLine="640" w:firstLineChars="200"/>
        <w:rPr>
          <w:rFonts w:eastAsia="仿宋_GB2312" w:cs="仿宋_GB2312"/>
          <w:sz w:val="32"/>
          <w:szCs w:val="32"/>
        </w:rPr>
      </w:pPr>
      <w:r>
        <w:rPr>
          <w:rFonts w:hint="eastAsia" w:eastAsia="仿宋_GB2312" w:cs="仿宋_GB2312"/>
          <w:sz w:val="32"/>
          <w:szCs w:val="32"/>
        </w:rPr>
        <w:t>统计局预算包括基本支出预算和项目支出预算：基本支出预算，是用于保障统计局机关正常运转的日常支出，包括基本工资、津贴补贴等人员经费以及办公费、印刷费、水电费、办公设备购置费等日常公用经费。项目支出是在基本支出之外为完成特定的行政工作任务而发生的支出，主要用于常规统计业务和专项统计调查等。</w:t>
      </w:r>
    </w:p>
    <w:p>
      <w:pPr>
        <w:spacing w:line="540" w:lineRule="exact"/>
        <w:ind w:firstLine="321" w:firstLineChars="100"/>
        <w:rPr>
          <w:rFonts w:eastAsia="楷体_GB2312" w:cs="仿宋_GB2312"/>
          <w:sz w:val="32"/>
          <w:szCs w:val="32"/>
        </w:rPr>
      </w:pPr>
      <w:r>
        <w:rPr>
          <w:rFonts w:hint="eastAsia" w:ascii="楷体_GB2312" w:hAnsi="楷体_GB2312" w:eastAsia="楷体_GB2312" w:cs="楷体_GB2312"/>
          <w:b/>
          <w:bCs/>
          <w:sz w:val="32"/>
          <w:szCs w:val="32"/>
        </w:rPr>
        <w:t>（二）结果应用情况。</w:t>
      </w:r>
    </w:p>
    <w:p>
      <w:pPr>
        <w:spacing w:line="540" w:lineRule="exact"/>
        <w:ind w:firstLine="640" w:firstLineChars="200"/>
        <w:rPr>
          <w:rFonts w:eastAsia="仿宋_GB2312" w:cs="仿宋_GB2312"/>
          <w:sz w:val="32"/>
          <w:szCs w:val="32"/>
        </w:rPr>
      </w:pPr>
      <w:r>
        <w:rPr>
          <w:rFonts w:hint="eastAsia" w:eastAsia="仿宋_GB2312" w:cs="仿宋_GB2312"/>
          <w:sz w:val="32"/>
          <w:szCs w:val="32"/>
        </w:rPr>
        <w:t>我局严格按照制度对单位资金进行管理，政府采购实施计划与政府采购预算的一致，执行的实施计划与备案的实施计划的一致；单位国有资产全部纳入系统管理，落实专人负责系统管理，按要求及时、准确、全面开展资产清查工作，报表填报规范，内容完整，数据真实，及时更新资产管理信息系统，系统资产数据与上报财政的资产清查结果一致；内部控制制度健全完整，未发生因制度不健全或执行不到位造成单位出现廉政风险或发生重大责任事故的情况；及时按要求公开单位预算、决算、整体支出绩效自评报告及其他按要求应公开的绩效信息；按要求向财政部门报送自评报告等相关绩效信息并针对绩效评价发现问题制定整改措施，并整改落实到位；依法接受财政监督，在规定时间内报送自查自纠相关材料，就发现的问题进行整改。</w:t>
      </w:r>
    </w:p>
    <w:p>
      <w:pPr>
        <w:spacing w:line="54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（三）自评质量。</w:t>
      </w:r>
    </w:p>
    <w:p>
      <w:pPr>
        <w:spacing w:line="540" w:lineRule="exact"/>
        <w:ind w:firstLine="643"/>
        <w:rPr>
          <w:rFonts w:eastAsia="楷体_GB2312" w:cs="楷体_GB2312"/>
          <w:kern w:val="0"/>
          <w:sz w:val="32"/>
          <w:szCs w:val="32"/>
        </w:rPr>
      </w:pPr>
      <w:r>
        <w:rPr>
          <w:rFonts w:hint="eastAsia" w:eastAsia="楷体_GB2312" w:cs="楷体_GB2312"/>
          <w:b/>
          <w:color w:val="333333"/>
          <w:kern w:val="0"/>
          <w:sz w:val="32"/>
          <w:szCs w:val="32"/>
        </w:rPr>
        <w:t>1、绩效自评目的</w:t>
      </w:r>
    </w:p>
    <w:p>
      <w:pPr>
        <w:spacing w:line="540" w:lineRule="exact"/>
        <w:ind w:firstLine="640" w:firstLineChars="200"/>
        <w:rPr>
          <w:rFonts w:eastAsia="仿宋_GB2312" w:cs="仿宋_GB2312"/>
          <w:sz w:val="32"/>
          <w:szCs w:val="32"/>
        </w:rPr>
      </w:pPr>
      <w:r>
        <w:rPr>
          <w:rFonts w:hint="eastAsia" w:eastAsia="仿宋_GB2312" w:cs="仿宋_GB2312"/>
          <w:sz w:val="32"/>
          <w:szCs w:val="32"/>
        </w:rPr>
        <w:t>分析预算与实际支出之间存在的问题，分析产生的社会绩效，及时找出预算实际执行情况与预算目标之间存在的差距，纠正偏差，为下一次科学、准确地编制部门预算积累经验。</w:t>
      </w:r>
    </w:p>
    <w:p>
      <w:pPr>
        <w:spacing w:line="540" w:lineRule="exact"/>
        <w:ind w:firstLine="643"/>
        <w:rPr>
          <w:rFonts w:eastAsia="楷体_GB2312" w:cs="楷体_GB2312"/>
          <w:b/>
          <w:color w:val="333333"/>
          <w:kern w:val="0"/>
          <w:sz w:val="32"/>
          <w:szCs w:val="32"/>
        </w:rPr>
      </w:pPr>
      <w:r>
        <w:rPr>
          <w:rFonts w:hint="eastAsia" w:eastAsia="楷体_GB2312" w:cs="楷体_GB2312"/>
          <w:b/>
          <w:color w:val="333333"/>
          <w:kern w:val="0"/>
          <w:sz w:val="32"/>
          <w:szCs w:val="32"/>
        </w:rPr>
        <w:t>2、自评指标体系</w:t>
      </w:r>
    </w:p>
    <w:p>
      <w:pPr>
        <w:spacing w:line="540" w:lineRule="exact"/>
        <w:ind w:firstLine="640" w:firstLineChars="200"/>
        <w:rPr>
          <w:rFonts w:eastAsia="仿宋_GB2312" w:cs="仿宋_GB2312"/>
          <w:sz w:val="32"/>
          <w:szCs w:val="32"/>
        </w:rPr>
      </w:pPr>
      <w:r>
        <w:rPr>
          <w:rFonts w:hint="eastAsia" w:eastAsia="仿宋_GB2312" w:cs="仿宋_GB2312"/>
          <w:sz w:val="32"/>
          <w:szCs w:val="32"/>
        </w:rPr>
        <w:t>我局对2021年度一般公共财政预算收入支出情况；基本支出、项目支出情况；三公经费和厉行节约情况；产生的社会绩效进行自评。</w:t>
      </w:r>
    </w:p>
    <w:p>
      <w:pPr>
        <w:spacing w:line="540" w:lineRule="exact"/>
        <w:ind w:firstLine="643"/>
        <w:rPr>
          <w:rFonts w:eastAsia="楷体_GB2312" w:cs="楷体_GB2312"/>
          <w:b/>
          <w:color w:val="333333"/>
          <w:kern w:val="0"/>
          <w:sz w:val="32"/>
          <w:szCs w:val="32"/>
        </w:rPr>
      </w:pPr>
      <w:r>
        <w:rPr>
          <w:rFonts w:hint="eastAsia" w:eastAsia="楷体_GB2312" w:cs="楷体_GB2312"/>
          <w:b/>
          <w:color w:val="333333"/>
          <w:kern w:val="0"/>
          <w:sz w:val="32"/>
          <w:szCs w:val="32"/>
        </w:rPr>
        <w:t>3、自评组织过程</w:t>
      </w:r>
    </w:p>
    <w:p>
      <w:pPr>
        <w:spacing w:line="540" w:lineRule="exact"/>
        <w:ind w:firstLine="643"/>
        <w:rPr>
          <w:rFonts w:eastAsia="仿宋_GB2312" w:cs="仿宋_GB2312"/>
          <w:kern w:val="0"/>
          <w:sz w:val="32"/>
          <w:szCs w:val="32"/>
        </w:rPr>
      </w:pPr>
      <w:r>
        <w:rPr>
          <w:rFonts w:hint="eastAsia" w:eastAsia="仿宋_GB2312" w:cs="仿宋_GB2312"/>
          <w:b/>
          <w:color w:val="333333"/>
          <w:kern w:val="0"/>
          <w:sz w:val="32"/>
          <w:szCs w:val="32"/>
        </w:rPr>
        <w:t>1.前期准备。</w:t>
      </w:r>
      <w:r>
        <w:rPr>
          <w:rFonts w:hint="eastAsia" w:eastAsia="仿宋_GB2312" w:cs="仿宋_GB2312"/>
          <w:kern w:val="0"/>
          <w:sz w:val="32"/>
          <w:szCs w:val="32"/>
        </w:rPr>
        <w:t>组织相关人员认真学习《中华人民共和国预算法》等相关法规制度，提高单位领导对全面预算管理的重视程度，增强财务人员预算意识，坚持先有预算、后有支出，没有预算不得支出。</w:t>
      </w:r>
    </w:p>
    <w:p>
      <w:pPr>
        <w:spacing w:line="540" w:lineRule="exact"/>
        <w:ind w:firstLine="643"/>
        <w:rPr>
          <w:rFonts w:eastAsia="仿宋_GB2312" w:cs="仿宋_GB2312"/>
          <w:kern w:val="0"/>
          <w:sz w:val="32"/>
          <w:szCs w:val="32"/>
        </w:rPr>
      </w:pPr>
      <w:r>
        <w:rPr>
          <w:rFonts w:hint="eastAsia" w:eastAsia="仿宋_GB2312" w:cs="仿宋_GB2312"/>
          <w:b/>
          <w:color w:val="333333"/>
          <w:kern w:val="0"/>
          <w:sz w:val="32"/>
          <w:szCs w:val="32"/>
        </w:rPr>
        <w:t>2.组织实施。</w:t>
      </w:r>
      <w:r>
        <w:rPr>
          <w:rFonts w:hint="eastAsia" w:eastAsia="仿宋_GB2312" w:cs="仿宋_GB2312"/>
          <w:kern w:val="0"/>
          <w:sz w:val="32"/>
          <w:szCs w:val="32"/>
        </w:rPr>
        <w:t>预算编制前根据年度内单位可预见的工作任务，确定单位年度预算目标，细化预算指标，科学合理编制部门预算，推进预算编制科学化、准确化。年度预算编制后，根据实际情况，定期做好预算执行情况分析，掌握预算执行进度，及时找出预算实际执行情况与预算目标之间存在的差距，纠正偏差，为下一次科学、准确地编制部门预算积累经验。</w:t>
      </w:r>
    </w:p>
    <w:p>
      <w:pPr>
        <w:spacing w:line="540" w:lineRule="exact"/>
        <w:ind w:firstLine="643"/>
        <w:rPr>
          <w:rFonts w:eastAsia="黑体" w:cs="黑体"/>
          <w:bCs/>
          <w:color w:val="333333"/>
          <w:kern w:val="0"/>
          <w:sz w:val="32"/>
          <w:szCs w:val="32"/>
        </w:rPr>
      </w:pPr>
      <w:r>
        <w:rPr>
          <w:rFonts w:hint="eastAsia" w:eastAsia="黑体" w:cs="黑体"/>
          <w:bCs/>
          <w:color w:val="333333"/>
          <w:kern w:val="0"/>
          <w:sz w:val="32"/>
          <w:szCs w:val="32"/>
        </w:rPr>
        <w:t>四、评价结论及建议</w:t>
      </w:r>
    </w:p>
    <w:p>
      <w:pPr>
        <w:spacing w:line="540" w:lineRule="exact"/>
        <w:ind w:firstLine="643"/>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（一）评价结论。</w:t>
      </w:r>
    </w:p>
    <w:p>
      <w:pPr>
        <w:spacing w:line="540" w:lineRule="exact"/>
        <w:ind w:firstLine="960" w:firstLineChars="300"/>
        <w:rPr>
          <w:rFonts w:eastAsia="仿宋_GB2312" w:cs="仿宋_GB2312"/>
          <w:kern w:val="0"/>
          <w:sz w:val="32"/>
          <w:szCs w:val="32"/>
        </w:rPr>
      </w:pPr>
      <w:r>
        <w:rPr>
          <w:rFonts w:hint="eastAsia" w:eastAsia="仿宋_GB2312" w:cs="仿宋_GB2312"/>
          <w:color w:val="333333"/>
          <w:kern w:val="0"/>
          <w:sz w:val="32"/>
          <w:szCs w:val="32"/>
        </w:rPr>
        <w:t>2021</w:t>
      </w:r>
      <w:r>
        <w:rPr>
          <w:rFonts w:hint="eastAsia" w:eastAsia="仿宋_GB2312" w:cs="仿宋_GB2312"/>
          <w:sz w:val="32"/>
          <w:szCs w:val="32"/>
        </w:rPr>
        <w:t>年我局预算资金保障了单位正常运转需要，公务接待费在年初预算指标0.49万元控制范围内，没超过上年支出数。建立健全了《通江县统计局财务管理制度》《通江县统计局固定资产管理制度》等内部管理制度；按时公开单位预算、决算、“三公”经费等要求公开的信息；固定资产由专人进行管理，做到账账、账证、账实相符，基本无闲置浪费现象。</w:t>
      </w:r>
    </w:p>
    <w:p>
      <w:pPr>
        <w:spacing w:line="540" w:lineRule="exact"/>
        <w:ind w:firstLine="643"/>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（二）存在问题。</w:t>
      </w:r>
    </w:p>
    <w:p>
      <w:pPr>
        <w:spacing w:line="540" w:lineRule="exact"/>
        <w:ind w:firstLine="640" w:firstLineChars="200"/>
        <w:rPr>
          <w:rFonts w:eastAsia="仿宋_GB2312" w:cs="仿宋_GB2312"/>
          <w:sz w:val="32"/>
          <w:szCs w:val="32"/>
        </w:rPr>
      </w:pPr>
      <w:r>
        <w:rPr>
          <w:rFonts w:hint="eastAsia" w:eastAsia="仿宋_GB2312" w:cs="仿宋_GB2312"/>
          <w:sz w:val="32"/>
          <w:szCs w:val="32"/>
        </w:rPr>
        <w:t>一是在编制部门年度预算时，虽然严格对照本单位职能职责和年度工作计划，但由于部分统计调查监测任务的临时性、突发性导致无法预计和列入年初预算的项目支出，需要在年度中间进行预算追加和调整。二是收入规模单一，收入结构不合理，统计事业发展所需财政支出压力大，收支矛盾还比较突出。</w:t>
      </w:r>
    </w:p>
    <w:p>
      <w:pPr>
        <w:spacing w:line="540" w:lineRule="exact"/>
        <w:ind w:firstLine="643"/>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（三）改进建议。</w:t>
      </w:r>
    </w:p>
    <w:p>
      <w:pPr>
        <w:spacing w:line="540" w:lineRule="exact"/>
        <w:ind w:firstLine="964" w:firstLineChars="300"/>
        <w:rPr>
          <w:rFonts w:eastAsia="仿宋_GB2312" w:cs="仿宋_GB2312"/>
          <w:b/>
          <w:bCs/>
          <w:sz w:val="32"/>
          <w:szCs w:val="32"/>
        </w:rPr>
      </w:pPr>
      <w:r>
        <w:rPr>
          <w:rFonts w:hint="eastAsia" w:eastAsia="仿宋_GB2312" w:cs="仿宋_GB2312"/>
          <w:b/>
          <w:bCs/>
          <w:sz w:val="32"/>
          <w:szCs w:val="32"/>
        </w:rPr>
        <w:t>1.科学合理编制，严格执行预算。</w:t>
      </w:r>
      <w:r>
        <w:rPr>
          <w:rFonts w:hint="eastAsia" w:eastAsia="仿宋_GB2312" w:cs="仿宋_GB2312"/>
          <w:sz w:val="32"/>
          <w:szCs w:val="32"/>
        </w:rPr>
        <w:t>鉴于统计局工作点多线长面广，工作任务繁重，编制本年度预算时，要按政策规定及部门发展规划，充分结合上年度预算执行情况和本年度预算收支变化因素，避免项目支出与基本支出划分不准或预算支出与实际执行出现较大偏差的情况，执行中确需调剂预算的，按规定程序报经批准。</w:t>
      </w:r>
    </w:p>
    <w:p>
      <w:pPr>
        <w:spacing w:line="540" w:lineRule="exact"/>
        <w:ind w:firstLine="643" w:firstLineChars="200"/>
        <w:rPr>
          <w:rFonts w:eastAsia="仿宋_GB2312" w:cs="仿宋_GB2312"/>
          <w:sz w:val="32"/>
          <w:szCs w:val="32"/>
        </w:rPr>
      </w:pPr>
      <w:r>
        <w:rPr>
          <w:rFonts w:hint="eastAsia" w:eastAsia="仿宋_GB2312" w:cs="仿宋_GB2312"/>
          <w:b/>
          <w:bCs/>
          <w:sz w:val="32"/>
          <w:szCs w:val="32"/>
        </w:rPr>
        <w:t>2.规范账务处理，提高财务质量。</w:t>
      </w:r>
      <w:r>
        <w:rPr>
          <w:rFonts w:hint="eastAsia" w:eastAsia="仿宋_GB2312" w:cs="仿宋_GB2312"/>
          <w:sz w:val="32"/>
          <w:szCs w:val="32"/>
        </w:rPr>
        <w:t>严格按照《</w:t>
      </w:r>
      <w:r>
        <w:rPr>
          <w:rFonts w:hint="eastAsia" w:eastAsia="仿宋_GB2312" w:cs="仿宋_GB2312"/>
          <w:kern w:val="0"/>
          <w:sz w:val="32"/>
          <w:szCs w:val="32"/>
        </w:rPr>
        <w:t>中华人民共和国</w:t>
      </w:r>
      <w:r>
        <w:rPr>
          <w:rFonts w:hint="eastAsia" w:eastAsia="仿宋_GB2312" w:cs="仿宋_GB2312"/>
          <w:sz w:val="32"/>
          <w:szCs w:val="32"/>
        </w:rPr>
        <w:t>会计法》《政府会计制度》《行政单位财务规则》等规定，结合实际情况，科学设置支出科目，规范财务核算，完整公布相关信息。</w:t>
      </w:r>
    </w:p>
    <w:p>
      <w:pPr>
        <w:spacing w:line="540" w:lineRule="exact"/>
        <w:rPr>
          <w:rFonts w:eastAsia="仿宋_GB2312" w:cs="仿宋_GB2312"/>
          <w:sz w:val="32"/>
          <w:szCs w:val="32"/>
        </w:rPr>
      </w:pPr>
    </w:p>
    <w:p>
      <w:pPr>
        <w:pStyle w:val="4"/>
        <w:spacing w:after="0" w:line="540" w:lineRule="exact"/>
        <w:rPr>
          <w:rFonts w:eastAsia="仿宋_GB2312"/>
          <w:szCs w:val="32"/>
        </w:rPr>
      </w:pPr>
    </w:p>
    <w:p>
      <w:pPr>
        <w:spacing w:line="595" w:lineRule="exact"/>
        <w:rPr>
          <w:rStyle w:val="22"/>
          <w:rFonts w:eastAsia="仿宋"/>
          <w:b w:val="0"/>
          <w:bCs w:val="0"/>
          <w:sz w:val="32"/>
          <w:szCs w:val="32"/>
        </w:rPr>
      </w:pPr>
      <w:bookmarkStart w:id="64" w:name="_Toc15396617"/>
    </w:p>
    <w:p>
      <w:pPr>
        <w:spacing w:line="595" w:lineRule="exact"/>
        <w:rPr>
          <w:rStyle w:val="22"/>
          <w:rFonts w:eastAsia="仿宋"/>
          <w:b w:val="0"/>
          <w:bCs w:val="0"/>
          <w:sz w:val="32"/>
          <w:szCs w:val="32"/>
        </w:rPr>
      </w:pPr>
      <w:bookmarkStart w:id="65" w:name="_Toc21865"/>
    </w:p>
    <w:p>
      <w:pPr>
        <w:spacing w:line="595" w:lineRule="exact"/>
        <w:rPr>
          <w:rStyle w:val="22"/>
          <w:rFonts w:eastAsia="仿宋"/>
          <w:b w:val="0"/>
          <w:bCs w:val="0"/>
          <w:sz w:val="32"/>
          <w:szCs w:val="32"/>
        </w:rPr>
      </w:pPr>
    </w:p>
    <w:p>
      <w:pPr>
        <w:spacing w:line="595" w:lineRule="exact"/>
        <w:rPr>
          <w:rStyle w:val="22"/>
          <w:rFonts w:eastAsia="仿宋"/>
          <w:b w:val="0"/>
          <w:bCs w:val="0"/>
          <w:sz w:val="32"/>
          <w:szCs w:val="32"/>
        </w:rPr>
      </w:pPr>
      <w:r>
        <w:rPr>
          <w:rStyle w:val="22"/>
          <w:rFonts w:hint="eastAsia" w:eastAsia="仿宋"/>
          <w:b w:val="0"/>
          <w:bCs w:val="0"/>
          <w:sz w:val="32"/>
          <w:szCs w:val="32"/>
        </w:rPr>
        <w:t>附件</w:t>
      </w:r>
      <w:bookmarkEnd w:id="64"/>
      <w:r>
        <w:rPr>
          <w:rStyle w:val="22"/>
          <w:rFonts w:hint="eastAsia" w:eastAsia="仿宋"/>
          <w:b w:val="0"/>
          <w:bCs w:val="0"/>
          <w:sz w:val="32"/>
          <w:szCs w:val="32"/>
        </w:rPr>
        <w:t>二</w:t>
      </w:r>
      <w:bookmarkEnd w:id="65"/>
    </w:p>
    <w:p>
      <w:pPr>
        <w:spacing w:line="560" w:lineRule="exact"/>
        <w:jc w:val="center"/>
        <w:rPr>
          <w:rFonts w:eastAsia="方正小标宋简体" w:cs="方正小标宋简体"/>
          <w:sz w:val="44"/>
          <w:szCs w:val="44"/>
        </w:rPr>
      </w:pPr>
      <w:r>
        <w:rPr>
          <w:rFonts w:hint="eastAsia" w:eastAsia="方正小标宋简体" w:cs="方正小标宋简体"/>
          <w:sz w:val="44"/>
          <w:szCs w:val="44"/>
        </w:rPr>
        <w:t>通江县统计局</w:t>
      </w:r>
    </w:p>
    <w:p>
      <w:pPr>
        <w:spacing w:line="560" w:lineRule="exact"/>
        <w:jc w:val="center"/>
        <w:rPr>
          <w:rFonts w:eastAsia="方正小标宋简体" w:cs="方正小标宋简体"/>
          <w:sz w:val="44"/>
          <w:szCs w:val="44"/>
        </w:rPr>
      </w:pPr>
      <w:r>
        <w:rPr>
          <w:rFonts w:hint="eastAsia" w:eastAsia="方正小标宋简体" w:cs="方正小标宋简体"/>
          <w:sz w:val="44"/>
          <w:szCs w:val="44"/>
        </w:rPr>
        <w:t>关于2021年引进人才安家及住房补助经费</w:t>
      </w:r>
    </w:p>
    <w:p>
      <w:pPr>
        <w:spacing w:line="560" w:lineRule="exact"/>
        <w:jc w:val="center"/>
        <w:rPr>
          <w:rFonts w:eastAsia="方正小标宋简体" w:cs="方正小标宋简体"/>
          <w:sz w:val="44"/>
          <w:szCs w:val="44"/>
        </w:rPr>
      </w:pPr>
      <w:r>
        <w:rPr>
          <w:rFonts w:hint="eastAsia" w:eastAsia="方正小标宋简体" w:cs="方正小标宋简体"/>
          <w:sz w:val="44"/>
          <w:szCs w:val="44"/>
        </w:rPr>
        <w:t>绩效自评报告</w:t>
      </w:r>
    </w:p>
    <w:p>
      <w:pPr>
        <w:spacing w:line="560" w:lineRule="exact"/>
        <w:jc w:val="center"/>
        <w:rPr>
          <w:rFonts w:ascii="方正粗黑宋简体" w:hAnsi="方正粗黑宋简体" w:eastAsia="方正粗黑宋简体"/>
          <w:b/>
          <w:bCs/>
          <w:sz w:val="44"/>
          <w:szCs w:val="44"/>
        </w:rPr>
      </w:pPr>
    </w:p>
    <w:p>
      <w:pPr>
        <w:adjustRightInd w:val="0"/>
        <w:snapToGrid w:val="0"/>
        <w:spacing w:line="560" w:lineRule="exact"/>
        <w:ind w:left="320" w:firstLine="320" w:firstLineChars="100"/>
        <w:rPr>
          <w:rFonts w:ascii="黑体" w:hAnsi="宋体" w:eastAsia="黑体"/>
          <w:sz w:val="32"/>
          <w:szCs w:val="32"/>
          <w:lang w:val="zh-CN"/>
        </w:rPr>
      </w:pPr>
      <w:r>
        <w:rPr>
          <w:rFonts w:hint="eastAsia" w:ascii="黑体" w:hAnsi="宋体" w:eastAsia="黑体"/>
          <w:sz w:val="32"/>
          <w:szCs w:val="32"/>
          <w:lang w:val="zh-CN"/>
        </w:rPr>
        <w:t>一、项目概况</w:t>
      </w:r>
    </w:p>
    <w:p>
      <w:pPr>
        <w:numPr>
          <w:ilvl w:val="0"/>
          <w:numId w:val="7"/>
        </w:num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项目基本情况。</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该项目为大力实施“巴山优才计划”，深入推进人才强市战略，持续引进高层次人才和急需紧缺专业人才助推巴中高质量发展。截至2021年底，我局人才引进共</w:t>
      </w:r>
      <w:r>
        <w:rPr>
          <w:rFonts w:hint="eastAsia" w:ascii="仿宋_GB2312" w:hAnsi="仿宋_GB2312" w:eastAsia="仿宋_GB2312" w:cs="仿宋_GB2312"/>
          <w:sz w:val="32"/>
          <w:szCs w:val="32"/>
        </w:rPr>
        <w:t>3人，该项目年初未纳入预算，后根据通江县委组织部《关于计发廖博文等150名引进人才2020年度安家补助费的通知》（通委组〔2021〕73号）文件精神追加预算1.5万元用于我局2021年引进人才安家及住房补助，</w:t>
      </w:r>
      <w:r>
        <w:rPr>
          <w:rFonts w:hint="eastAsia" w:ascii="仿宋_GB2312" w:hAnsi="仿宋_GB2312" w:eastAsia="仿宋_GB2312" w:cs="仿宋_GB2312"/>
          <w:sz w:val="32"/>
          <w:szCs w:val="32"/>
          <w:lang w:val="zh-CN"/>
        </w:rPr>
        <w:t>符合资金管理办法等相关规定。</w:t>
      </w:r>
    </w:p>
    <w:p>
      <w:pPr>
        <w:numPr>
          <w:ilvl w:val="0"/>
          <w:numId w:val="7"/>
        </w:numPr>
        <w:adjustRightInd w:val="0"/>
        <w:snapToGrid w:val="0"/>
        <w:spacing w:line="56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项目绩效目标</w:t>
      </w:r>
      <w:r>
        <w:rPr>
          <w:rFonts w:hint="eastAsia" w:ascii="仿宋_GB2312" w:hAnsi="宋体" w:eastAsia="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按照有关要求，对引进人才发放安家及住房补助。</w:t>
      </w:r>
    </w:p>
    <w:p>
      <w:pPr>
        <w:pStyle w:val="4"/>
        <w:spacing w:after="0" w:line="560" w:lineRule="exact"/>
        <w:rPr>
          <w:rFonts w:ascii="楷体_GB2312" w:hAnsi="宋体" w:eastAsia="楷体_GB2312"/>
          <w:b/>
          <w:szCs w:val="32"/>
          <w:lang w:val="zh-CN"/>
        </w:rPr>
      </w:pPr>
      <w:r>
        <w:rPr>
          <w:rFonts w:hint="eastAsia" w:ascii="楷体_GB2312" w:hAnsi="宋体" w:eastAsia="楷体_GB2312"/>
          <w:b/>
          <w:szCs w:val="32"/>
          <w:lang w:val="zh-CN"/>
        </w:rPr>
        <w:t>项目自评步骤及方法。</w:t>
      </w:r>
    </w:p>
    <w:p>
      <w:pPr>
        <w:adjustRightInd w:val="0"/>
        <w:snapToGri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按照专项资金文件的要求，在规定时间内对相关引进人才进行考核，对考核合格的人员及时兑现了安家及住房补助经费。</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根据通江县委组织部《关于计发廖博文等150名引进人才2020年度安家补助费的通知》（通委组〔2021〕73号）文件精神，我局2021年人才引进补助资金1.5万元。</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我局2021年引进人才</w:t>
      </w: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rPr>
        <w:t>实际到位</w:t>
      </w:r>
      <w:r>
        <w:rPr>
          <w:rFonts w:hint="eastAsia" w:ascii="仿宋_GB2312" w:hAnsi="仿宋_GB2312" w:eastAsia="仿宋_GB2312" w:cs="仿宋_GB2312"/>
          <w:sz w:val="32"/>
          <w:szCs w:val="32"/>
        </w:rPr>
        <w:t>1.5万元，资金到位率为100%。我单位实际支出1.5万元。支出合理、合法、合规，无违规使用现象。</w:t>
      </w:r>
    </w:p>
    <w:p>
      <w:pPr>
        <w:adjustRightInd w:val="0"/>
        <w:snapToGrid w:val="0"/>
        <w:spacing w:line="56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合理、有效、规范使用专项资金，我单位建立专项资金管理制度，完善专项资金管理流程，做到专款专用，严格按照相关会计制度进行会计核算和财务处理，做到财务处理及时、会计核算规范。项目资金纳入国库集中支付管理，项目单位严把审批关，杜绝了弄虚作假、截留、挤占、挪用专项资金的情况发生。</w:t>
      </w:r>
    </w:p>
    <w:p>
      <w:pPr>
        <w:adjustRightInd w:val="0"/>
        <w:snapToGrid w:val="0"/>
        <w:spacing w:line="600" w:lineRule="exact"/>
        <w:ind w:left="320" w:firstLine="320" w:firstLineChars="100"/>
        <w:rPr>
          <w:rFonts w:ascii="黑体" w:hAnsi="宋体" w:eastAsia="黑体"/>
          <w:sz w:val="32"/>
          <w:szCs w:val="32"/>
        </w:rPr>
      </w:pPr>
      <w:r>
        <w:rPr>
          <w:rFonts w:hint="eastAsia" w:ascii="黑体" w:hAnsi="宋体" w:eastAsia="黑体"/>
          <w:sz w:val="32"/>
          <w:szCs w:val="32"/>
        </w:rPr>
        <w:t>三、项目实施及管理情况</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（一）项目组织架构及实施流程。</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一是明确项目实施范围。</w:t>
      </w:r>
      <w:r>
        <w:rPr>
          <w:rFonts w:hint="eastAsia" w:ascii="仿宋_GB2312" w:hAnsi="仿宋_GB2312" w:eastAsia="仿宋_GB2312" w:cs="仿宋_GB2312"/>
          <w:sz w:val="32"/>
          <w:szCs w:val="32"/>
        </w:rPr>
        <w:t>单位引进人才人数为基础</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二是确保按补助标准发放到位。</w:t>
      </w:r>
      <w:r>
        <w:rPr>
          <w:rFonts w:hint="eastAsia" w:ascii="仿宋_GB2312" w:hAnsi="仿宋_GB2312" w:eastAsia="仿宋_GB2312" w:cs="仿宋_GB2312"/>
          <w:sz w:val="32"/>
          <w:szCs w:val="32"/>
        </w:rPr>
        <w:t>严格按照专项资金要求在规定时效内发放到位。</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（二）项目管理情况。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截至绩效跟踪时间节点，</w:t>
      </w:r>
      <w:r>
        <w:rPr>
          <w:rFonts w:hint="eastAsia" w:ascii="仿宋_GB2312" w:hAnsi="仿宋_GB2312" w:eastAsia="仿宋_GB2312" w:cs="仿宋_GB2312"/>
          <w:sz w:val="32"/>
          <w:szCs w:val="32"/>
        </w:rPr>
        <w:t>2021年引进人才安家及住房补助经费1.5万元，实际支出1.5万元，</w:t>
      </w:r>
      <w:r>
        <w:rPr>
          <w:rFonts w:hint="eastAsia" w:ascii="仿宋_GB2312" w:hAnsi="仿宋_GB2312" w:eastAsia="仿宋_GB2312" w:cs="仿宋_GB2312"/>
          <w:sz w:val="32"/>
          <w:szCs w:val="32"/>
          <w:lang w:val="zh-CN"/>
        </w:rPr>
        <w:t>项目资金执行率</w:t>
      </w:r>
      <w:r>
        <w:rPr>
          <w:rFonts w:hint="eastAsia" w:ascii="仿宋_GB2312" w:hAnsi="仿宋_GB2312" w:eastAsia="仿宋_GB2312" w:cs="仿宋_GB2312"/>
          <w:sz w:val="32"/>
          <w:szCs w:val="32"/>
        </w:rPr>
        <w:t>100%，目标任务全部按规定完成。</w:t>
      </w:r>
    </w:p>
    <w:p>
      <w:pPr>
        <w:spacing w:line="578" w:lineRule="exact"/>
        <w:ind w:left="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（三）项目监管情况。</w:t>
      </w:r>
    </w:p>
    <w:p>
      <w:pPr>
        <w:ind w:firstLine="640" w:firstLineChars="200"/>
      </w:pPr>
      <w:r>
        <w:rPr>
          <w:rFonts w:hint="eastAsia" w:ascii="仿宋_GB2312" w:hAnsi="仿宋_GB2312" w:eastAsia="仿宋_GB2312" w:cs="仿宋_GB2312"/>
          <w:sz w:val="32"/>
          <w:szCs w:val="32"/>
          <w:lang w:val="zh-CN"/>
        </w:rPr>
        <w:t>为合理、有效、规范使用专项资金，我单位建立专项资金管理制度，完善专项资金管理流程，做到专款专用，严格按照相关会计制度进行会计核算和财务处理，做到财务处理及时、会计核算规范。</w:t>
      </w:r>
    </w:p>
    <w:p>
      <w:pPr>
        <w:numPr>
          <w:ilvl w:val="0"/>
          <w:numId w:val="5"/>
        </w:numPr>
        <w:adjustRightInd w:val="0"/>
        <w:snapToGrid w:val="0"/>
        <w:spacing w:line="600" w:lineRule="exact"/>
        <w:ind w:firstLine="640" w:firstLineChars="200"/>
        <w:rPr>
          <w:rFonts w:ascii="仿宋_GB2312" w:hAnsi="宋体" w:eastAsia="仿宋_GB2312"/>
          <w:sz w:val="32"/>
          <w:szCs w:val="32"/>
          <w:lang w:val="zh-CN"/>
        </w:rPr>
      </w:pPr>
      <w:r>
        <w:rPr>
          <w:rFonts w:hint="eastAsia" w:ascii="黑体" w:hAnsi="宋体" w:eastAsia="黑体"/>
          <w:sz w:val="32"/>
          <w:szCs w:val="32"/>
        </w:rPr>
        <w:t>项目绩效情况</w:t>
      </w:r>
      <w:r>
        <w:rPr>
          <w:rFonts w:hint="eastAsia" w:ascii="仿宋_GB2312" w:hAnsi="宋体" w:eastAsia="仿宋_GB2312"/>
          <w:sz w:val="32"/>
          <w:szCs w:val="32"/>
          <w:lang w:val="zh-CN"/>
        </w:rPr>
        <w:tab/>
      </w:r>
    </w:p>
    <w:p>
      <w:pPr>
        <w:adjustRightInd w:val="0"/>
        <w:snapToGrid w:val="0"/>
        <w:spacing w:line="600" w:lineRule="exact"/>
        <w:ind w:firstLine="720"/>
        <w:rPr>
          <w:lang w:val="zh-CN"/>
        </w:rPr>
      </w:pPr>
      <w:r>
        <w:rPr>
          <w:rFonts w:hint="eastAsia" w:ascii="楷体_GB2312" w:hAnsi="宋体" w:eastAsia="楷体_GB2312"/>
          <w:b/>
          <w:sz w:val="32"/>
          <w:szCs w:val="32"/>
          <w:lang w:val="zh-CN"/>
        </w:rPr>
        <w:t>（一）项目完成情况。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根据专项资金使用的相关要求，我局人才引进3人，总金额1.5万元，已全部发放到位。</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（二）项目效益情况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该项目的实施，有效缓解了引进人员租房的压力，一定程度上减轻了他们的经济压力。使得他们更加安心地扎根基层，服务于人民群众。大大提升了满意度。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引进人才</w:t>
      </w:r>
      <w:r>
        <w:rPr>
          <w:rFonts w:hint="eastAsia" w:ascii="仿宋_GB2312" w:hAnsi="仿宋_GB2312" w:eastAsia="仿宋_GB2312" w:cs="仿宋_GB2312"/>
          <w:sz w:val="32"/>
          <w:szCs w:val="32"/>
        </w:rPr>
        <w:t>是一项深入民心的工程，让引进人员感受到党和国家对他们的关心和关怀，能更积极地参与到工作中，能更好地发挥自己的能力和专业水平，促进工作高效开展。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经过自评，我局切实做到财务管理健全规范，没有违法违规现象，我局将在以后的工作中加强专项资金的管理使用，严格控制专项资金的开支，加强监督检查工作，不断提高财政资金使用管理的水平和效率。</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（三）相关建议</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加大财政投入，最大程度上减轻引进人才人员的经济压力，使其更加安心工作。</w:t>
      </w:r>
    </w:p>
    <w:p>
      <w:pPr>
        <w:pStyle w:val="4"/>
      </w:pPr>
    </w:p>
    <w:p>
      <w:pPr>
        <w:spacing w:line="600" w:lineRule="exact"/>
        <w:jc w:val="left"/>
        <w:rPr>
          <w:rFonts w:ascii="黑体" w:hAnsi="黑体" w:eastAsia="黑体"/>
          <w:color w:val="000000"/>
          <w:sz w:val="44"/>
          <w:szCs w:val="44"/>
        </w:rPr>
      </w:pPr>
      <w:bookmarkStart w:id="66" w:name="_Toc15396618"/>
    </w:p>
    <w:p>
      <w:pPr>
        <w:spacing w:line="600" w:lineRule="exact"/>
        <w:ind w:firstLine="2200" w:firstLineChars="500"/>
        <w:jc w:val="left"/>
        <w:outlineLvl w:val="0"/>
        <w:rPr>
          <w:rFonts w:hint="eastAsia" w:ascii="黑体" w:hAnsi="黑体" w:eastAsia="黑体"/>
          <w:color w:val="000000"/>
          <w:sz w:val="44"/>
          <w:szCs w:val="44"/>
        </w:rPr>
      </w:pPr>
      <w:bookmarkStart w:id="67" w:name="_Toc27420"/>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ind w:firstLine="2200" w:firstLineChars="500"/>
        <w:jc w:val="left"/>
        <w:outlineLvl w:val="0"/>
        <w:rPr>
          <w:rFonts w:hint="eastAsia" w:ascii="黑体" w:hAnsi="黑体" w:eastAsia="黑体"/>
          <w:color w:val="000000"/>
          <w:sz w:val="44"/>
          <w:szCs w:val="44"/>
        </w:rPr>
      </w:pPr>
    </w:p>
    <w:p>
      <w:pPr>
        <w:spacing w:line="600" w:lineRule="exact"/>
        <w:jc w:val="center"/>
        <w:outlineLvl w:val="0"/>
        <w:rPr>
          <w:rStyle w:val="18"/>
          <w:rFonts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hint="eastAsia" w:ascii="黑体" w:hAnsi="黑体" w:eastAsia="黑体"/>
          <w:b w:val="0"/>
          <w:lang w:val="en-US" w:eastAsia="zh-CN"/>
        </w:rPr>
        <w:t xml:space="preserve">  </w:t>
      </w:r>
      <w:bookmarkStart w:id="94" w:name="_GoBack"/>
      <w:bookmarkEnd w:id="94"/>
      <w:r>
        <w:rPr>
          <w:rStyle w:val="18"/>
          <w:rFonts w:hint="eastAsia" w:ascii="黑体" w:hAnsi="黑体" w:eastAsia="黑体"/>
          <w:b w:val="0"/>
        </w:rPr>
        <w:t>附表</w:t>
      </w:r>
      <w:bookmarkEnd w:id="66"/>
      <w:bookmarkEnd w:id="67"/>
    </w:p>
    <w:p>
      <w:pPr>
        <w:pStyle w:val="13"/>
        <w:rPr>
          <w:rFonts w:ascii="仿宋" w:hAnsi="仿宋" w:eastAsia="仿宋"/>
          <w:color w:val="000000"/>
        </w:rPr>
      </w:pPr>
      <w:bookmarkStart w:id="68" w:name="_Toc15396619"/>
      <w:bookmarkStart w:id="69" w:name="_Toc28179"/>
      <w:r>
        <w:rPr>
          <w:rFonts w:hint="eastAsia" w:ascii="仿宋" w:hAnsi="仿宋" w:eastAsia="仿宋"/>
          <w:b w:val="0"/>
          <w:color w:val="000000"/>
        </w:rPr>
        <w:t>一、收</w:t>
      </w:r>
      <w:r>
        <w:rPr>
          <w:rStyle w:val="19"/>
          <w:rFonts w:hint="eastAsia" w:ascii="仿宋" w:hAnsi="仿宋" w:eastAsia="仿宋"/>
          <w:b w:val="0"/>
          <w:bCs w:val="0"/>
        </w:rPr>
        <w:t>入支出</w:t>
      </w:r>
      <w:r>
        <w:rPr>
          <w:rFonts w:hint="eastAsia" w:ascii="仿宋" w:hAnsi="仿宋" w:eastAsia="仿宋"/>
          <w:b w:val="0"/>
          <w:bCs w:val="0"/>
        </w:rPr>
        <w:t>决算总表</w:t>
      </w:r>
      <w:bookmarkEnd w:id="68"/>
      <w:bookmarkEnd w:id="69"/>
    </w:p>
    <w:p>
      <w:pPr>
        <w:pStyle w:val="13"/>
        <w:rPr>
          <w:rFonts w:ascii="仿宋" w:hAnsi="仿宋" w:eastAsia="仿宋"/>
          <w:color w:val="000000"/>
        </w:rPr>
      </w:pPr>
      <w:bookmarkStart w:id="70" w:name="_Toc14764"/>
      <w:bookmarkStart w:id="71" w:name="_Toc15396620"/>
      <w:r>
        <w:rPr>
          <w:rFonts w:hint="eastAsia" w:ascii="仿宋" w:hAnsi="仿宋" w:eastAsia="仿宋"/>
          <w:b w:val="0"/>
          <w:color w:val="000000"/>
        </w:rPr>
        <w:t>二、收</w:t>
      </w:r>
      <w:r>
        <w:rPr>
          <w:rStyle w:val="19"/>
          <w:rFonts w:hint="eastAsia" w:ascii="仿宋" w:hAnsi="仿宋" w:eastAsia="仿宋"/>
          <w:b w:val="0"/>
          <w:bCs w:val="0"/>
        </w:rPr>
        <w:t>入决算表</w:t>
      </w:r>
      <w:bookmarkEnd w:id="70"/>
      <w:bookmarkEnd w:id="71"/>
    </w:p>
    <w:p>
      <w:pPr>
        <w:pStyle w:val="13"/>
        <w:rPr>
          <w:rFonts w:ascii="仿宋" w:hAnsi="仿宋" w:eastAsia="仿宋"/>
          <w:color w:val="000000"/>
        </w:rPr>
      </w:pPr>
      <w:bookmarkStart w:id="72" w:name="_Toc15396621"/>
      <w:bookmarkStart w:id="73" w:name="_Toc14165"/>
      <w:r>
        <w:rPr>
          <w:rStyle w:val="19"/>
          <w:rFonts w:hint="eastAsia" w:ascii="仿宋" w:hAnsi="仿宋" w:eastAsia="仿宋"/>
          <w:b w:val="0"/>
          <w:bCs w:val="0"/>
        </w:rPr>
        <w:t>三、</w:t>
      </w:r>
      <w:r>
        <w:rPr>
          <w:rFonts w:hint="eastAsia" w:ascii="仿宋" w:hAnsi="仿宋" w:eastAsia="仿宋"/>
          <w:b w:val="0"/>
          <w:color w:val="000000"/>
        </w:rPr>
        <w:t>支出</w:t>
      </w:r>
      <w:r>
        <w:rPr>
          <w:rFonts w:hint="eastAsia" w:ascii="仿宋" w:hAnsi="仿宋" w:eastAsia="仿宋"/>
          <w:b w:val="0"/>
          <w:bCs w:val="0"/>
        </w:rPr>
        <w:t>决算表</w:t>
      </w:r>
      <w:bookmarkEnd w:id="72"/>
      <w:bookmarkEnd w:id="73"/>
    </w:p>
    <w:p>
      <w:pPr>
        <w:pStyle w:val="13"/>
        <w:rPr>
          <w:rFonts w:ascii="仿宋" w:hAnsi="仿宋" w:eastAsia="仿宋"/>
          <w:b w:val="0"/>
          <w:color w:val="000000"/>
        </w:rPr>
      </w:pPr>
      <w:bookmarkStart w:id="74" w:name="_Toc17199"/>
      <w:bookmarkStart w:id="75"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w:t>
      </w:r>
      <w:r>
        <w:rPr>
          <w:rFonts w:hint="eastAsia" w:ascii="仿宋" w:hAnsi="仿宋" w:eastAsia="仿宋"/>
          <w:b w:val="0"/>
          <w:bCs w:val="0"/>
        </w:rPr>
        <w:t>决算总表</w:t>
      </w:r>
      <w:bookmarkEnd w:id="74"/>
      <w:bookmarkEnd w:id="75"/>
    </w:p>
    <w:p>
      <w:pPr>
        <w:pStyle w:val="13"/>
        <w:rPr>
          <w:rStyle w:val="19"/>
          <w:rFonts w:ascii="仿宋" w:hAnsi="仿宋" w:eastAsia="仿宋"/>
          <w:b w:val="0"/>
          <w:bCs w:val="0"/>
        </w:rPr>
      </w:pPr>
      <w:bookmarkStart w:id="76" w:name="_Toc24209"/>
      <w:bookmarkStart w:id="77"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w:t>
      </w:r>
      <w:r>
        <w:rPr>
          <w:rFonts w:hint="eastAsia" w:ascii="仿宋" w:hAnsi="仿宋" w:eastAsia="仿宋"/>
          <w:b w:val="0"/>
          <w:bCs w:val="0"/>
        </w:rPr>
        <w:t>决算明细表</w:t>
      </w:r>
      <w:bookmarkEnd w:id="76"/>
      <w:bookmarkEnd w:id="77"/>
      <w:bookmarkStart w:id="78" w:name="_Toc15396624"/>
    </w:p>
    <w:p>
      <w:pPr>
        <w:pStyle w:val="13"/>
        <w:rPr>
          <w:rFonts w:ascii="仿宋" w:hAnsi="仿宋" w:eastAsia="仿宋"/>
          <w:color w:val="000000"/>
        </w:rPr>
      </w:pPr>
      <w:bookmarkStart w:id="79" w:name="_Toc10054"/>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b w:val="0"/>
          <w:bCs w:val="0"/>
        </w:rPr>
        <w:t>财政拨款支出决算表</w:t>
      </w:r>
      <w:bookmarkEnd w:id="78"/>
      <w:bookmarkEnd w:id="79"/>
    </w:p>
    <w:p>
      <w:pPr>
        <w:pStyle w:val="13"/>
        <w:rPr>
          <w:rFonts w:ascii="仿宋" w:hAnsi="仿宋" w:eastAsia="仿宋"/>
          <w:color w:val="000000"/>
        </w:rPr>
      </w:pPr>
      <w:bookmarkStart w:id="80" w:name="_Toc15396625"/>
      <w:bookmarkStart w:id="81" w:name="_Toc13707"/>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b w:val="0"/>
          <w:bCs w:val="0"/>
        </w:rPr>
        <w:t>财政拨款支出决算明细表</w:t>
      </w:r>
      <w:bookmarkEnd w:id="80"/>
      <w:bookmarkEnd w:id="81"/>
    </w:p>
    <w:p>
      <w:pPr>
        <w:pStyle w:val="13"/>
        <w:rPr>
          <w:rFonts w:ascii="仿宋" w:hAnsi="仿宋" w:eastAsia="仿宋"/>
          <w:color w:val="000000"/>
        </w:rPr>
      </w:pPr>
      <w:bookmarkStart w:id="82" w:name="_Toc26305"/>
      <w:bookmarkStart w:id="83"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b w:val="0"/>
          <w:bCs w:val="0"/>
        </w:rPr>
        <w:t>财政拨款基本支出决算表</w:t>
      </w:r>
      <w:bookmarkEnd w:id="82"/>
      <w:bookmarkEnd w:id="83"/>
    </w:p>
    <w:p>
      <w:pPr>
        <w:pStyle w:val="13"/>
        <w:rPr>
          <w:rFonts w:ascii="仿宋" w:hAnsi="仿宋" w:eastAsia="仿宋"/>
          <w:color w:val="000000"/>
        </w:rPr>
      </w:pPr>
      <w:bookmarkStart w:id="84" w:name="_Toc16255"/>
      <w:bookmarkStart w:id="85"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b w:val="0"/>
          <w:bCs w:val="0"/>
        </w:rPr>
        <w:t>财政拨款项目支出决算表</w:t>
      </w:r>
      <w:bookmarkEnd w:id="84"/>
      <w:bookmarkEnd w:id="85"/>
    </w:p>
    <w:p>
      <w:pPr>
        <w:pStyle w:val="13"/>
        <w:rPr>
          <w:rFonts w:ascii="仿宋" w:hAnsi="仿宋" w:eastAsia="仿宋"/>
          <w:color w:val="000000"/>
        </w:rPr>
      </w:pPr>
      <w:bookmarkStart w:id="86" w:name="_Toc15396628"/>
      <w:bookmarkStart w:id="87" w:name="_Toc1198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b w:val="0"/>
          <w:bCs w:val="0"/>
        </w:rPr>
        <w:t>财政拨款“三公”经费支出决算表</w:t>
      </w:r>
      <w:bookmarkEnd w:id="86"/>
      <w:bookmarkEnd w:id="87"/>
    </w:p>
    <w:p>
      <w:pPr>
        <w:pStyle w:val="13"/>
        <w:rPr>
          <w:rFonts w:ascii="仿宋" w:hAnsi="仿宋" w:eastAsia="仿宋"/>
          <w:color w:val="000000"/>
        </w:rPr>
      </w:pPr>
      <w:bookmarkStart w:id="88" w:name="_Toc30740"/>
      <w:bookmarkStart w:id="89" w:name="_Toc15396629"/>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w:t>
      </w:r>
      <w:r>
        <w:rPr>
          <w:rFonts w:hint="eastAsia" w:ascii="仿宋" w:hAnsi="仿宋" w:eastAsia="仿宋"/>
          <w:b w:val="0"/>
          <w:bCs w:val="0"/>
        </w:rPr>
        <w:t>财政拨款收入支出决算表</w:t>
      </w:r>
      <w:bookmarkEnd w:id="88"/>
      <w:bookmarkEnd w:id="89"/>
    </w:p>
    <w:p>
      <w:pPr>
        <w:pStyle w:val="13"/>
        <w:rPr>
          <w:rFonts w:ascii="仿宋" w:hAnsi="仿宋" w:eastAsia="仿宋"/>
          <w:color w:val="000000"/>
        </w:rPr>
      </w:pPr>
      <w:bookmarkStart w:id="90" w:name="_Toc15396630"/>
      <w:bookmarkStart w:id="91" w:name="_Toc2760"/>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w:t>
      </w:r>
      <w:r>
        <w:rPr>
          <w:rFonts w:hint="eastAsia" w:ascii="仿宋" w:hAnsi="仿宋" w:eastAsia="仿宋"/>
          <w:b w:val="0"/>
          <w:bCs w:val="0"/>
        </w:rPr>
        <w:t>财政拨款“三公”经费支出决算表</w:t>
      </w:r>
      <w:bookmarkEnd w:id="90"/>
      <w:bookmarkEnd w:id="91"/>
    </w:p>
    <w:p>
      <w:pPr>
        <w:pStyle w:val="13"/>
        <w:rPr>
          <w:rStyle w:val="19"/>
          <w:rFonts w:ascii="仿宋" w:hAnsi="仿宋" w:eastAsia="仿宋"/>
          <w:b w:val="0"/>
          <w:bCs w:val="0"/>
        </w:rPr>
      </w:pPr>
      <w:bookmarkStart w:id="92" w:name="_Toc10950"/>
      <w:bookmarkStart w:id="93"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w:t>
      </w:r>
      <w:r>
        <w:rPr>
          <w:rFonts w:hint="eastAsia" w:ascii="仿宋" w:hAnsi="仿宋" w:eastAsia="仿宋"/>
          <w:b w:val="0"/>
          <w:bCs w:val="0"/>
        </w:rPr>
        <w:t>资本经营</w:t>
      </w:r>
      <w:r>
        <w:rPr>
          <w:rStyle w:val="19"/>
          <w:rFonts w:hint="eastAsia" w:ascii="仿宋" w:hAnsi="仿宋" w:eastAsia="仿宋"/>
          <w:b w:val="0"/>
          <w:bCs w:val="0"/>
        </w:rPr>
        <w:t>预算</w:t>
      </w:r>
      <w:r>
        <w:rPr>
          <w:rFonts w:hint="eastAsia" w:ascii="仿宋" w:hAnsi="仿宋" w:eastAsia="仿宋"/>
          <w:b w:val="0"/>
          <w:bCs w:val="0"/>
        </w:rPr>
        <w:t>财政拨款</w:t>
      </w:r>
      <w:r>
        <w:rPr>
          <w:rStyle w:val="19"/>
          <w:rFonts w:hint="eastAsia" w:ascii="仿宋" w:hAnsi="仿宋" w:eastAsia="仿宋"/>
          <w:b w:val="0"/>
          <w:bCs w:val="0"/>
        </w:rPr>
        <w:t>收入支出决算表</w:t>
      </w:r>
      <w:bookmarkEnd w:id="92"/>
      <w:bookmarkEnd w:id="93"/>
    </w:p>
    <w:p>
      <w:pPr>
        <w:rPr>
          <w:rFonts w:eastAsia="仿宋"/>
        </w:rPr>
      </w:pPr>
      <w:r>
        <w:rPr>
          <w:rFonts w:hint="eastAsia" w:ascii="仿宋" w:hAnsi="仿宋" w:eastAsia="仿宋"/>
          <w:sz w:val="32"/>
          <w:szCs w:val="32"/>
        </w:rPr>
        <w:t>十四、国有资本经营预算财政拨款支出决算表</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2"/>
      <w:numFmt w:val="chineseCounting"/>
      <w:suff w:val="nothing"/>
      <w:lvlText w:val="%1、"/>
      <w:lvlJc w:val="left"/>
      <w:rPr>
        <w:rFonts w:hint="eastAsia"/>
      </w:rPr>
    </w:lvl>
  </w:abstractNum>
  <w:abstractNum w:abstractNumId="1">
    <w:nsid w:val="BF205925"/>
    <w:multiLevelType w:val="singleLevel"/>
    <w:tmpl w:val="BF205925"/>
    <w:lvl w:ilvl="0" w:tentative="0">
      <w:start w:val="4"/>
      <w:numFmt w:val="chineseCounting"/>
      <w:suff w:val="nothing"/>
      <w:lvlText w:val="（%1）"/>
      <w:lvlJc w:val="left"/>
      <w:rPr>
        <w:rFonts w:hint="eastAsia"/>
      </w:rPr>
    </w:lvl>
  </w:abstractNum>
  <w:abstractNum w:abstractNumId="2">
    <w:nsid w:val="CF092B84"/>
    <w:multiLevelType w:val="singleLevel"/>
    <w:tmpl w:val="CF092B84"/>
    <w:lvl w:ilvl="0" w:tentative="0">
      <w:start w:val="1"/>
      <w:numFmt w:val="decimal"/>
      <w:suff w:val="nothing"/>
      <w:lvlText w:val="%1．"/>
      <w:lvlJc w:val="left"/>
    </w:lvl>
  </w:abstractNum>
  <w:abstractNum w:abstractNumId="3">
    <w:nsid w:val="0053208E"/>
    <w:multiLevelType w:val="singleLevel"/>
    <w:tmpl w:val="0053208E"/>
    <w:lvl w:ilvl="0" w:tentative="0">
      <w:start w:val="2"/>
      <w:numFmt w:val="chineseCounting"/>
      <w:suff w:val="nothing"/>
      <w:lvlText w:val="（%1）"/>
      <w:lvlJc w:val="left"/>
      <w:rPr>
        <w:rFonts w:hint="eastAsia"/>
      </w:rPr>
    </w:lvl>
  </w:abstractNum>
  <w:abstractNum w:abstractNumId="4">
    <w:nsid w:val="03D62ECE"/>
    <w:multiLevelType w:val="singleLevel"/>
    <w:tmpl w:val="03D62ECE"/>
    <w:lvl w:ilvl="0" w:tentative="0">
      <w:start w:val="3"/>
      <w:numFmt w:val="chineseCounting"/>
      <w:suff w:val="space"/>
      <w:lvlText w:val="第%1部分"/>
      <w:lvlJc w:val="left"/>
      <w:rPr>
        <w:rFonts w:hint="eastAsia"/>
      </w:rPr>
    </w:lvl>
  </w:abstractNum>
  <w:abstractNum w:abstractNumId="5">
    <w:nsid w:val="25B654F3"/>
    <w:multiLevelType w:val="singleLevel"/>
    <w:tmpl w:val="25B654F3"/>
    <w:lvl w:ilvl="0" w:tentative="0">
      <w:start w:val="1"/>
      <w:numFmt w:val="chineseCounting"/>
      <w:suff w:val="nothing"/>
      <w:lvlText w:val="（%1）"/>
      <w:lvlJc w:val="left"/>
      <w:pPr>
        <w:ind w:left="-80"/>
      </w:pPr>
      <w:rPr>
        <w:rFonts w:hint="eastAsia"/>
        <w:b/>
        <w:bCs/>
      </w:rPr>
    </w:lvl>
  </w:abstractNum>
  <w:abstractNum w:abstractNumId="6">
    <w:nsid w:val="59ADCABA"/>
    <w:multiLevelType w:val="singleLevel"/>
    <w:tmpl w:val="59ADCABA"/>
    <w:lvl w:ilvl="0" w:tentative="0">
      <w:start w:val="9"/>
      <w:numFmt w:val="chineseCounting"/>
      <w:suff w:val="nothing"/>
      <w:lvlText w:val="%1、"/>
      <w:lvlJc w:val="left"/>
      <w:rPr>
        <w:rFonts w:hint="eastAsia"/>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NotTrackMoves/>
  <w:documentProtection w:edit="trackedChanges"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UyYTBhZThmOTU4YTliMjhiZDc4ZDk4MjhmMTAzNjkifQ=="/>
  </w:docVars>
  <w:rsids>
    <w:rsidRoot w:val="00000000"/>
    <w:rsid w:val="5AB06906"/>
    <w:rsid w:val="72050EFB"/>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annotation text"/>
    <w:basedOn w:val="1"/>
    <w:uiPriority w:val="0"/>
    <w:pPr>
      <w:jc w:val="left"/>
    </w:pPr>
  </w:style>
  <w:style w:type="paragraph" w:styleId="4">
    <w:name w:val="Body Text"/>
    <w:basedOn w:val="1"/>
    <w:qFormat/>
    <w:uiPriority w:val="0"/>
    <w:pPr>
      <w:spacing w:after="120"/>
    </w:pPr>
    <w:rPr>
      <w:rFonts w:eastAsia="仿宋"/>
      <w:sz w:val="32"/>
      <w:szCs w:val="21"/>
    </w:rPr>
  </w:style>
  <w:style w:type="paragraph" w:styleId="5">
    <w:name w:val="Balloon Text"/>
    <w:basedOn w:val="1"/>
    <w:uiPriority w:val="0"/>
    <w:rPr>
      <w:sz w:val="18"/>
      <w:szCs w:val="18"/>
    </w:rPr>
  </w:style>
  <w:style w:type="paragraph" w:styleId="6">
    <w:name w:val="Normal (Web)"/>
    <w:basedOn w:val="1"/>
    <w:qFormat/>
    <w:uiPriority w:val="0"/>
    <w:pPr>
      <w:jc w:val="left"/>
    </w:pPr>
    <w:rPr>
      <w:kern w:val="0"/>
      <w:sz w:val="24"/>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qFormat/>
    <w:uiPriority w:val="0"/>
  </w:style>
  <w:style w:type="character" w:styleId="12">
    <w:name w:val="annotation reference"/>
    <w:basedOn w:val="9"/>
    <w:uiPriority w:val="0"/>
    <w:rPr>
      <w:sz w:val="21"/>
      <w:szCs w:val="21"/>
    </w:rPr>
  </w:style>
  <w:style w:type="paragraph" w:customStyle="1" w:styleId="13">
    <w:name w:val="Heading 2"/>
    <w:basedOn w:val="1"/>
    <w:next w:val="1"/>
    <w:link w:val="20"/>
    <w:qFormat/>
    <w:uiPriority w:val="9"/>
    <w:pPr>
      <w:keepNext/>
      <w:keepLines/>
      <w:spacing w:before="260" w:after="260" w:line="416" w:lineRule="auto"/>
      <w:outlineLvl w:val="1"/>
    </w:pPr>
    <w:rPr>
      <w:rFonts w:ascii="Cambria" w:hAnsi="Cambria"/>
      <w:b/>
      <w:bCs/>
      <w:sz w:val="32"/>
      <w:szCs w:val="32"/>
    </w:rPr>
  </w:style>
  <w:style w:type="paragraph" w:customStyle="1" w:styleId="14">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15">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16">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7">
    <w:name w:val="TOC 2"/>
    <w:basedOn w:val="1"/>
    <w:next w:val="1"/>
    <w:unhideWhenUsed/>
    <w:qFormat/>
    <w:uiPriority w:val="39"/>
    <w:pPr>
      <w:tabs>
        <w:tab w:val="right" w:leader="dot" w:pos="8296"/>
      </w:tabs>
      <w:ind w:left="420" w:leftChars="200"/>
    </w:pPr>
  </w:style>
  <w:style w:type="character" w:customStyle="1" w:styleId="18">
    <w:name w:val="标题 1 字符"/>
    <w:link w:val="2"/>
    <w:qFormat/>
    <w:locked/>
    <w:uiPriority w:val="9"/>
    <w:rPr>
      <w:b/>
      <w:bCs/>
      <w:kern w:val="44"/>
      <w:sz w:val="44"/>
      <w:szCs w:val="44"/>
    </w:rPr>
  </w:style>
  <w:style w:type="character" w:customStyle="1" w:styleId="19">
    <w:name w:val="标题 2 字符"/>
    <w:link w:val="13"/>
    <w:qFormat/>
    <w:locked/>
    <w:uiPriority w:val="9"/>
    <w:rPr>
      <w:rFonts w:ascii="Cambria" w:hAnsi="Cambria"/>
      <w:b/>
      <w:bCs/>
      <w:sz w:val="32"/>
      <w:szCs w:val="32"/>
    </w:rPr>
  </w:style>
  <w:style w:type="character" w:customStyle="1" w:styleId="20">
    <w:name w:val="标题 2 Char"/>
    <w:basedOn w:val="9"/>
    <w:link w:val="13"/>
    <w:qFormat/>
    <w:uiPriority w:val="9"/>
    <w:rPr>
      <w:rFonts w:asciiTheme="majorHAnsi" w:hAnsiTheme="majorHAnsi" w:eastAsiaTheme="majorEastAsia" w:cstheme="majorBidi"/>
      <w:b/>
      <w:bCs/>
      <w:sz w:val="32"/>
      <w:szCs w:val="32"/>
    </w:rPr>
  </w:style>
  <w:style w:type="paragraph" w:customStyle="1" w:styleId="21">
    <w:name w:val="列出段落1"/>
    <w:basedOn w:val="1"/>
    <w:qFormat/>
    <w:uiPriority w:val="34"/>
    <w:pPr>
      <w:ind w:firstLine="420" w:firstLineChars="200"/>
    </w:pPr>
  </w:style>
  <w:style w:type="character" w:customStyle="1" w:styleId="22">
    <w:name w:val="标题 1 Char"/>
    <w:basedOn w:val="9"/>
    <w:link w:val="2"/>
    <w:qFormat/>
    <w:uiPriority w:val="9"/>
    <w:rPr>
      <w:b/>
      <w:bCs/>
      <w:kern w:val="44"/>
      <w:sz w:val="44"/>
      <w:szCs w:val="4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4">
    <w:name w:val="Char Char6"/>
    <w:basedOn w:val="9"/>
    <w:link w:val="2"/>
    <w:qFormat/>
    <w:locked/>
    <w:uiPriority w:val="9"/>
    <w:rPr>
      <w:rFonts w:ascii="Times New Roman" w:hAnsi="Times New Roman" w:cs="Times New Roman"/>
      <w:b/>
      <w:bCs/>
      <w:kern w:val="44"/>
      <w:sz w:val="44"/>
      <w:szCs w:val="44"/>
    </w:rPr>
  </w:style>
  <w:style w:type="paragraph" w:customStyle="1" w:styleId="25">
    <w:name w:val="WPSOffice手动目录 1"/>
    <w:qFormat/>
    <w:uiPriority w:val="0"/>
    <w:rPr>
      <w:rFonts w:asciiTheme="minorHAnsi" w:hAnsiTheme="minorHAnsi" w:eastAsiaTheme="minorEastAsia" w:cstheme="minorBidi"/>
      <w:lang w:val="en-US" w:eastAsia="zh-CN" w:bidi="ar-SA"/>
    </w:rPr>
  </w:style>
  <w:style w:type="paragraph" w:customStyle="1" w:styleId="26">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7">
    <w:name w:val="批注文字 Char"/>
    <w:basedOn w:val="9"/>
    <w:uiPriority w:val="0"/>
    <w:rPr>
      <w:rFonts w:ascii="Times New Roman" w:hAnsi="Times New Roman" w:eastAsia="宋体" w:cs="Times New Roman"/>
      <w:kern w:val="2"/>
      <w:sz w:val="21"/>
      <w:szCs w:val="24"/>
    </w:rPr>
  </w:style>
  <w:style w:type="paragraph" w:customStyle="1" w:styleId="28">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29">
    <w:name w:val="页眉 Char"/>
    <w:basedOn w:val="9"/>
    <w:semiHidden/>
    <w:uiPriority w:val="99"/>
    <w:rPr>
      <w:rFonts w:ascii="Times New Roman" w:hAnsi="Times New Roman" w:eastAsia="宋体" w:cs="Times New Roman"/>
      <w:kern w:val="2"/>
      <w:sz w:val="18"/>
      <w:szCs w:val="18"/>
    </w:rPr>
  </w:style>
  <w:style w:type="paragraph" w:customStyle="1" w:styleId="30">
    <w:name w:val="Footer0"/>
    <w:basedOn w:val="1"/>
    <w:qFormat/>
    <w:uiPriority w:val="99"/>
    <w:pPr>
      <w:tabs>
        <w:tab w:val="center" w:pos="4153"/>
        <w:tab w:val="right" w:pos="8306"/>
      </w:tabs>
      <w:snapToGrid w:val="0"/>
      <w:jc w:val="left"/>
    </w:pPr>
    <w:rPr>
      <w:sz w:val="18"/>
      <w:szCs w:val="18"/>
    </w:rPr>
  </w:style>
  <w:style w:type="character" w:customStyle="1" w:styleId="31">
    <w:name w:val="页脚 Char"/>
    <w:basedOn w:val="9"/>
    <w:uiPriority w:val="99"/>
    <w:rPr>
      <w:rFonts w:ascii="Times New Roman" w:hAnsi="Times New Roman" w:eastAsia="宋体" w:cs="Times New Roman"/>
      <w:kern w:val="2"/>
      <w:sz w:val="18"/>
      <w:szCs w:val="18"/>
    </w:rPr>
  </w:style>
  <w:style w:type="character" w:customStyle="1" w:styleId="32">
    <w:name w:val="批注框文本 Char"/>
    <w:basedOn w:val="9"/>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3.xml"/><Relationship Id="rId26" Type="http://schemas.openxmlformats.org/officeDocument/2006/relationships/customXml" Target="../customXml/item12.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收、支决算总计变动情况图（单位：万元）</a:t>
            </a:r>
          </a:p>
        </c:rich>
      </c:tx>
      <c:layout>
        <c:manualLayout>
          <c:xMode val="edge"/>
          <c:yMode val="edge"/>
          <c:x val="0.110877526108775"/>
          <c:y val="0.0112317484088356"/>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1310.22</c:v>
                </c:pt>
                <c:pt idx="1">
                  <c:v>478.06</c:v>
                </c:pt>
              </c:numCache>
            </c:numRef>
          </c:val>
        </c:ser>
        <c:dLbls>
          <c:showLegendKey val="0"/>
          <c:showVal val="1"/>
          <c:showCatName val="0"/>
          <c:showSerName val="0"/>
          <c:showPercent val="0"/>
          <c:showBubbleSize val="0"/>
        </c:dLbls>
        <c:gapWidth val="444"/>
        <c:overlap val="-90"/>
        <c:axId val="152555904"/>
        <c:axId val="158487296"/>
      </c:barChart>
      <c:catAx>
        <c:axId val="152555904"/>
        <c:scaling>
          <c:orientation val="minMax"/>
        </c:scaling>
        <c:delete val="0"/>
        <c:axPos val="b"/>
        <c:majorGridlines>
          <c:spPr>
            <a:ln w="9525" cap="flat" cmpd="sng" algn="ctr">
              <a:solidFill>
                <a:schemeClr val="tx1">
                  <a:lumMod val="15000"/>
                  <a:lumOff val="85000"/>
                </a:schemeClr>
              </a:solidFill>
              <a:prstDash val="solid"/>
              <a:round/>
            </a:ln>
            <a:effectLst/>
          </c:spPr>
        </c:majorGridlines>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158487296"/>
        <c:crosses val="autoZero"/>
        <c:auto val="1"/>
        <c:lblAlgn val="ctr"/>
        <c:lblOffset val="100"/>
        <c:noMultiLvlLbl val="0"/>
      </c:catAx>
      <c:valAx>
        <c:axId val="15848729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255590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solidFill>
                <a:latin typeface="黑体" panose="02010609060101010101" charset="-122"/>
                <a:ea typeface="黑体" panose="02010609060101010101" charset="-122"/>
                <a:cs typeface="黑体" panose="02010609060101010101" charset="-122"/>
                <a:sym typeface="黑体" panose="02010609060101010101" charset="-122"/>
              </a:defRPr>
            </a:pPr>
            <a:r>
              <a:rPr>
                <a:solidFill>
                  <a:schemeClr val="tx1"/>
                </a:solidFill>
                <a:latin typeface="黑体" panose="02010609060101010101" charset="-122"/>
                <a:ea typeface="黑体" panose="02010609060101010101" charset="-122"/>
                <a:cs typeface="黑体" panose="02010609060101010101" charset="-122"/>
                <a:sym typeface="黑体" panose="02010609060101010101" charset="-122"/>
              </a:rPr>
              <a:t>收入决算结构图（单位：万元）</a:t>
            </a:r>
            <a:endParaRPr>
              <a:solidFill>
                <a:schemeClr val="tx1"/>
              </a:solidFill>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17593861331872"/>
          <c:y val="0.0522190365457284"/>
        </c:manualLayout>
      </c:layout>
      <c:overlay val="0"/>
      <c:spPr>
        <a:noFill/>
        <a:ln>
          <a:noFill/>
        </a:ln>
        <a:effectLst/>
      </c:spPr>
    </c:title>
    <c:autoTitleDeleted val="0"/>
    <c:plotArea>
      <c:layout>
        <c:manualLayout>
          <c:layoutTarget val="inner"/>
          <c:xMode val="edge"/>
          <c:yMode val="edge"/>
          <c:x val="0.186832008769526"/>
          <c:y val="0.225695637238063"/>
          <c:w val="0.264318991504522"/>
          <c:h val="0.662658880109928"/>
        </c:manualLayout>
      </c:layout>
      <c:pieChart>
        <c:varyColors val="1"/>
        <c:ser>
          <c:idx val="0"/>
          <c:order val="0"/>
          <c:tx>
            <c:strRef>
              <c:f>Sheet1!$B$1</c:f>
              <c:strCache>
                <c:ptCount val="1"/>
                <c:pt idx="0">
                  <c:v/>
                </c:pt>
              </c:strCache>
            </c:strRef>
          </c:tx>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65000"/>
                            <a:lumOff val="35000"/>
                          </a:schemeClr>
                        </a:solidFill>
                        <a:latin typeface="+mn-lt"/>
                        <a:ea typeface="+mn-ea"/>
                        <a:cs typeface="+mn-cs"/>
                      </a:defRPr>
                    </a:pPr>
                    <a:r>
                      <a:rPr sz="1000" b="1"/>
                      <a:t>478.06万元，</a:t>
                    </a:r>
                    <a:endParaRPr sz="1000" b="1"/>
                  </a:p>
                  <a:p>
                    <a:pPr>
                      <a:defRPr lang="zh-CN" sz="1000" b="1" i="0" u="none" strike="noStrike" kern="1200" baseline="0">
                        <a:solidFill>
                          <a:schemeClr val="tx1">
                            <a:lumMod val="65000"/>
                            <a:lumOff val="35000"/>
                          </a:schemeClr>
                        </a:solidFill>
                        <a:latin typeface="+mn-lt"/>
                        <a:ea typeface="+mn-ea"/>
                        <a:cs typeface="+mn-cs"/>
                      </a:defRPr>
                    </a:pPr>
                    <a:r>
                      <a:rPr sz="1000" b="1"/>
                      <a:t> 占100%</a:t>
                    </a:r>
                    <a:endParaRPr sz="1000" b="1"/>
                  </a:p>
                </c:rich>
              </c:tx>
              <c:dLblPos val="outEnd"/>
              <c:showLegendKey val="0"/>
              <c:showVal val="1"/>
              <c:showCatName val="0"/>
              <c:showSerName val="0"/>
              <c:showPercent val="1"/>
              <c:showBubbleSize val="0"/>
              <c:extLst>
                <c:ext xmlns:c15="http://schemas.microsoft.com/office/drawing/2012/chart" uri="{CE6537A1-D6FC-4f65-9D91-7224C49458BB}">
                  <c15:layout>
                    <c:manualLayout>
                      <c:w val="0.269669017905589"/>
                      <c:h val="0.154145919030093"/>
                    </c:manualLayout>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一般公共预算财政拨款收入</c:v>
                </c:pt>
                <c:pt idx="1">
                  <c:v>政府性基金预算财政拨款收入</c:v>
                </c:pt>
                <c:pt idx="2">
                  <c:v>国有资本经营预算财政拨款收入</c:v>
                </c:pt>
                <c:pt idx="3">
                  <c:v>上级补助收入</c:v>
                </c:pt>
                <c:pt idx="4">
                  <c:v>事业收入</c:v>
                </c:pt>
                <c:pt idx="5">
                  <c:v>经营收入</c:v>
                </c:pt>
                <c:pt idx="6">
                  <c:v>其他收入</c:v>
                </c:pt>
              </c:strCache>
            </c:strRef>
          </c:cat>
          <c:val>
            <c:numRef>
              <c:f>Sheet1!$B$2:$B$8</c:f>
              <c:numCache>
                <c:formatCode>General</c:formatCode>
                <c:ptCount val="7"/>
                <c:pt idx="0">
                  <c:v>478.06</c:v>
                </c:pt>
                <c:pt idx="1">
                  <c:v>0</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4"/>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5"/>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6"/>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63781877373847"/>
          <c:y val="0.158692357653172"/>
          <c:w val="0.327455236028215"/>
          <c:h val="0.8055856245940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6125"/>
          <c:y val="0.025477707006369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title>
    <c:autoTitleDeleted val="0"/>
    <c:plotArea>
      <c:layout/>
      <c:pieChart>
        <c:varyColors val="1"/>
        <c:ser>
          <c:idx val="0"/>
          <c:order val="0"/>
          <c:tx>
            <c:strRef>
              <c:f>Sheet1!$B$1</c:f>
              <c:strCache>
                <c:ptCount val="1"/>
                <c:pt idx="0">
                  <c:v>支出决算结构图（单位：万元）</c:v>
                </c:pt>
              </c:strCache>
            </c:strRef>
          </c:tx>
          <c:explosion val="0"/>
          <c:dPt>
            <c:idx val="0"/>
            <c:bubble3D val="0"/>
            <c:spPr>
              <a:solidFill>
                <a:schemeClr val="accent1"/>
              </a:solidFill>
              <a:ln w="19050">
                <a:solidFill>
                  <a:schemeClr val="lt1"/>
                </a:solidFill>
              </a:ln>
              <a:effectLst/>
            </c:spPr>
          </c:dPt>
          <c:dPt>
            <c:idx val="1"/>
            <c:bubble3D val="0"/>
            <c:explosion val="1"/>
            <c:spPr>
              <a:solidFill>
                <a:schemeClr val="accent2"/>
              </a:solidFill>
              <a:ln w="19050">
                <a:solidFill>
                  <a:schemeClr val="lt1"/>
                </a:solidFill>
              </a:ln>
              <a:effectLst/>
            </c:spPr>
          </c:dPt>
          <c:dLbls>
            <c:dLbl>
              <c:idx val="0"/>
              <c:layout>
                <c:manualLayout>
                  <c:x val="-0.193125"/>
                  <c:y val="-0.0859872611464966"/>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tx1">
                            <a:lumMod val="75000"/>
                            <a:lumOff val="25000"/>
                          </a:schemeClr>
                        </a:solidFill>
                        <a:latin typeface="+mn-lt"/>
                        <a:ea typeface="+mn-ea"/>
                        <a:cs typeface="+mn-cs"/>
                      </a:defRPr>
                    </a:pPr>
                    <a:r>
                      <a:rPr sz="1000" b="1"/>
                      <a:t>464.96万元, </a:t>
                    </a:r>
                    <a:endParaRPr sz="1000" b="1"/>
                  </a:p>
                  <a:p>
                    <a:pPr defTabSz="914400">
                      <a:defRPr lang="zh-CN" sz="1000" b="1" i="0" u="none" strike="noStrike" kern="1200" baseline="0">
                        <a:solidFill>
                          <a:schemeClr val="tx1">
                            <a:lumMod val="75000"/>
                            <a:lumOff val="25000"/>
                          </a:schemeClr>
                        </a:solidFill>
                        <a:latin typeface="+mn-lt"/>
                        <a:ea typeface="+mn-ea"/>
                        <a:cs typeface="+mn-cs"/>
                      </a:defRPr>
                    </a:pPr>
                    <a:r>
                      <a:rPr sz="1000" b="1"/>
                      <a:t>占97</a:t>
                    </a:r>
                    <a:r>
                      <a:rPr lang="en-US" altLang="zh-CN" sz="1000" b="1"/>
                      <a:t>.26</a:t>
                    </a:r>
                    <a:r>
                      <a:rPr sz="1000" b="1"/>
                      <a:t>%</a:t>
                    </a:r>
                    <a:endParaRPr sz="1000" b="1"/>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571365195124"/>
                  <c:y val="0.0491148012565419"/>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tx1">
                            <a:lumMod val="75000"/>
                            <a:lumOff val="25000"/>
                          </a:schemeClr>
                        </a:solidFill>
                        <a:latin typeface="+mn-lt"/>
                        <a:ea typeface="+mn-ea"/>
                        <a:cs typeface="+mn-cs"/>
                      </a:defRPr>
                    </a:pPr>
                    <a:r>
                      <a:rPr sz="1000" b="1"/>
                      <a:t>13.1</a:t>
                    </a:r>
                    <a:r>
                      <a:rPr lang="en-US" altLang="zh-CN" sz="1000" b="1"/>
                      <a:t>0</a:t>
                    </a:r>
                    <a:r>
                      <a:rPr sz="1000" b="1"/>
                      <a:t>万元，</a:t>
                    </a:r>
                    <a:endParaRPr sz="1000" b="1"/>
                  </a:p>
                  <a:p>
                    <a:pPr defTabSz="914400">
                      <a:defRPr lang="zh-CN" sz="1000" b="1" i="0" u="none" strike="noStrike" kern="1200" baseline="0">
                        <a:solidFill>
                          <a:schemeClr val="tx1">
                            <a:lumMod val="75000"/>
                            <a:lumOff val="25000"/>
                          </a:schemeClr>
                        </a:solidFill>
                        <a:latin typeface="+mn-lt"/>
                        <a:ea typeface="+mn-ea"/>
                        <a:cs typeface="+mn-cs"/>
                      </a:defRPr>
                    </a:pPr>
                    <a:r>
                      <a:rPr sz="1000" b="1"/>
                      <a:t>占</a:t>
                    </a:r>
                    <a:r>
                      <a:rPr lang="en-US" altLang="zh-CN" sz="1000" b="1"/>
                      <a:t>2.74%</a:t>
                    </a:r>
                    <a:endParaRPr lang="en-US" altLang="zh-CN" sz="1000" b="1"/>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464.96</c:v>
                </c:pt>
                <c:pt idx="1">
                  <c:v>13.1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财政拨款、支决算总计变动情况图</a:t>
            </a:r>
            <a:endParaRPr>
              <a:latin typeface="黑体" panose="02010609060101010101" charset="-122"/>
              <a:ea typeface="黑体" panose="02010609060101010101" charset="-122"/>
              <a:cs typeface="黑体" panose="02010609060101010101" charset="-122"/>
              <a:sym typeface="黑体" panose="02010609060101010101" charset="-122"/>
            </a:endParaRPr>
          </a:p>
          <a:p>
            <a:pPr defTabSz="914400">
              <a:defRPr lang="zh-CN" sz="1400" b="0" i="0" u="none" strike="noStrike" kern="1200" spc="0" baseline="0">
                <a:solidFill>
                  <a:sysClr val="windowText" lastClr="000000">
                    <a:lumMod val="65000"/>
                    <a:lumOff val="35000"/>
                  </a:sys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00122067001221"/>
          <c:y val="0.050542867839760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1310.22</c:v>
                </c:pt>
                <c:pt idx="1">
                  <c:v>478.06</c:v>
                </c:pt>
              </c:numCache>
            </c:numRef>
          </c:val>
        </c:ser>
        <c:dLbls>
          <c:showLegendKey val="0"/>
          <c:showVal val="1"/>
          <c:showCatName val="0"/>
          <c:showSerName val="0"/>
          <c:showPercent val="0"/>
          <c:showBubbleSize val="0"/>
        </c:dLbls>
        <c:gapWidth val="219"/>
        <c:overlap val="-27"/>
        <c:axId val="192917888"/>
        <c:axId val="192919808"/>
      </c:barChart>
      <c:catAx>
        <c:axId val="192917888"/>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92919808"/>
        <c:crosses val="autoZero"/>
        <c:auto val="1"/>
        <c:lblAlgn val="ctr"/>
        <c:lblOffset val="100"/>
        <c:noMultiLvlLbl val="0"/>
      </c:catAx>
      <c:valAx>
        <c:axId val="192919808"/>
        <c:scaling>
          <c:orientation val="minMax"/>
        </c:scaling>
        <c:delete val="0"/>
        <c:axPos val="l"/>
        <c:majorGridlines>
          <c:spPr>
            <a:ln w="9525" cap="flat" cmpd="sng" algn="ctr">
              <a:solidFill>
                <a:sysClr val="windowText" lastClr="000000">
                  <a:lumMod val="15000"/>
                  <a:lumOff val="85000"/>
                </a:sys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92917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一般公共预算财政拨款支出决算变动情况图</a:t>
            </a:r>
            <a:endParaRPr>
              <a:latin typeface="黑体" panose="02010609060101010101" charset="-122"/>
              <a:ea typeface="黑体" panose="02010609060101010101" charset="-122"/>
              <a:cs typeface="黑体" panose="02010609060101010101" charset="-122"/>
              <a:sym typeface="黑体" panose="02010609060101010101" charset="-122"/>
            </a:endParaRPr>
          </a:p>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152065234573306"/>
          <c:y val="0.0687100055062925"/>
        </c:manualLayout>
      </c:layout>
      <c:overlay val="0"/>
      <c:spPr>
        <a:noFill/>
        <a:ln>
          <a:noFill/>
        </a:ln>
        <a:effectLst/>
      </c:spPr>
    </c:title>
    <c:autoTitleDeleted val="0"/>
    <c:plotArea>
      <c:layout>
        <c:manualLayout>
          <c:layoutTarget val="inner"/>
          <c:xMode val="edge"/>
          <c:yMode val="edge"/>
          <c:x val="0.0946649951246693"/>
          <c:y val="0.443278159063383"/>
          <c:w val="0.881654826577518"/>
          <c:h val="0.178603148970529"/>
        </c:manualLayout>
      </c:layout>
      <c:barChart>
        <c:barDir val="col"/>
        <c:grouping val="clustered"/>
        <c:varyColors val="0"/>
        <c:ser>
          <c:idx val="0"/>
          <c:order val="0"/>
          <c:tx>
            <c:strRef>
              <c:f>Sheet1!$B$1</c:f>
              <c:strCache>
                <c:ptCount val="1"/>
                <c:pt idx="0">
                  <c:v>一般公共预算财政拨款支出决算变动情况图（单位：万元）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1310.22</c:v>
                </c:pt>
                <c:pt idx="1">
                  <c:v>478.06</c:v>
                </c:pt>
              </c:numCache>
            </c:numRef>
          </c:val>
        </c:ser>
        <c:dLbls>
          <c:showLegendKey val="0"/>
          <c:showVal val="1"/>
          <c:showCatName val="0"/>
          <c:showSerName val="0"/>
          <c:showPercent val="0"/>
          <c:showBubbleSize val="0"/>
        </c:dLbls>
        <c:gapWidth val="219"/>
        <c:overlap val="-27"/>
        <c:axId val="233747200"/>
        <c:axId val="233748736"/>
      </c:barChart>
      <c:catAx>
        <c:axId val="2337472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748736"/>
        <c:crosses val="autoZero"/>
        <c:auto val="1"/>
        <c:lblAlgn val="ctr"/>
        <c:lblOffset val="100"/>
        <c:noMultiLvlLbl val="0"/>
      </c:catAx>
      <c:valAx>
        <c:axId val="2337487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7472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一般公共预算财拨支出决算结构图</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09597826321704"/>
          <c:y val="0.0376559297496119"/>
        </c:manualLayout>
      </c:layout>
      <c:overlay val="0"/>
      <c:spPr>
        <a:noFill/>
        <a:ln>
          <a:noFill/>
        </a:ln>
        <a:effectLst/>
      </c:spPr>
    </c:title>
    <c:autoTitleDeleted val="0"/>
    <c:plotArea>
      <c:layout>
        <c:manualLayout>
          <c:layoutTarget val="inner"/>
          <c:xMode val="edge"/>
          <c:yMode val="edge"/>
          <c:x val="0.188838160969606"/>
          <c:y val="0.321946076184652"/>
          <c:w val="0.264318991504522"/>
          <c:h val="0.662658880109928"/>
        </c:manualLayout>
      </c:layout>
      <c:pieChart>
        <c:varyColors val="1"/>
        <c:ser>
          <c:idx val="0"/>
          <c:order val="0"/>
          <c:tx>
            <c:strRef>
              <c:f>Sheet1!$B$1</c:f>
              <c:strCache>
                <c:ptCount val="1"/>
                <c:pt idx="0">
                  <c:v>支出类别</c:v>
                </c:pt>
              </c:strCache>
            </c:strRef>
          </c:tx>
          <c:explosion val="0"/>
          <c:dPt>
            <c:idx val="0"/>
            <c:bubble3D val="0"/>
            <c:explosion val="16"/>
            <c:spPr>
              <a:solidFill>
                <a:srgbClr val="5B9BD5"/>
              </a:solidFill>
              <a:ln w="19050">
                <a:solidFill>
                  <a:sysClr val="window" lastClr="FFFFFF"/>
                </a:solidFill>
              </a:ln>
              <a:effectLst/>
            </c:spPr>
          </c:dPt>
          <c:dPt>
            <c:idx val="1"/>
            <c:bubble3D val="0"/>
            <c:spPr>
              <a:solidFill>
                <a:srgbClr val="ED7D31"/>
              </a:solidFill>
              <a:ln w="19050">
                <a:solidFill>
                  <a:sysClr val="window" lastClr="FFFFFF"/>
                </a:solidFill>
              </a:ln>
              <a:effectLst/>
            </c:spPr>
          </c:dPt>
          <c:dPt>
            <c:idx val="2"/>
            <c:bubble3D val="0"/>
            <c:spPr>
              <a:solidFill>
                <a:srgbClr val="A5A5A5"/>
              </a:solidFill>
              <a:ln w="19050">
                <a:solidFill>
                  <a:sysClr val="window" lastClr="FFFFFF"/>
                </a:solidFill>
              </a:ln>
              <a:effectLst/>
            </c:spPr>
          </c:dPt>
          <c:dPt>
            <c:idx val="3"/>
            <c:bubble3D val="0"/>
            <c:spPr>
              <a:solidFill>
                <a:srgbClr val="FFC000"/>
              </a:solidFill>
              <a:ln w="19050">
                <a:solidFill>
                  <a:sysClr val="window" lastClr="FFFFFF"/>
                </a:solidFill>
              </a:ln>
              <a:effectLst/>
            </c:spPr>
          </c:dPt>
          <c:dPt>
            <c:idx val="4"/>
            <c:bubble3D val="0"/>
            <c:spPr>
              <a:solidFill>
                <a:srgbClr val="4472C4"/>
              </a:solidFill>
              <a:ln w="19050">
                <a:solidFill>
                  <a:sysClr val="window" lastClr="FFFFFF"/>
                </a:solidFill>
              </a:ln>
              <a:effectLst/>
            </c:spPr>
          </c:dPt>
          <c:dPt>
            <c:idx val="5"/>
            <c:bubble3D val="0"/>
            <c:spPr>
              <a:solidFill>
                <a:srgbClr val="70AD47"/>
              </a:solidFill>
              <a:ln w="19050">
                <a:solidFill>
                  <a:sysClr val="window" lastClr="FFFFFF"/>
                </a:solidFill>
              </a:ln>
              <a:effectLst/>
            </c:spPr>
          </c:dPt>
          <c:dPt>
            <c:idx val="6"/>
            <c:bubble3D val="0"/>
            <c:spPr>
              <a:solidFill>
                <a:srgbClr val="5B9BD5">
                  <a:lumMod val="60000"/>
                </a:srgbClr>
              </a:solidFill>
              <a:ln w="19050">
                <a:solidFill>
                  <a:sysClr val="window" lastClr="FFFFFF"/>
                </a:solidFill>
              </a:ln>
              <a:effectLst/>
            </c:spPr>
          </c:dPt>
          <c:dLbls>
            <c:dLbl>
              <c:idx val="0"/>
              <c:layout>
                <c:manualLayout>
                  <c:x val="0.116356827604654"/>
                  <c:y val="-0.11046205435853"/>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r>
                      <a:rPr lang="en-US" altLang="zh-CN"/>
                      <a:t>380.55</a:t>
                    </a:r>
                    <a:r>
                      <a:t>万元</a:t>
                    </a:r>
                  </a:p>
                  <a:p>
                    <a:pPr>
                      <a:defRPr lang="zh-CN" sz="900" b="0" i="0" u="none" strike="noStrike" kern="1200" baseline="0">
                        <a:solidFill>
                          <a:sysClr val="windowText" lastClr="000000">
                            <a:lumMod val="75000"/>
                            <a:lumOff val="25000"/>
                          </a:sysClr>
                        </a:solidFill>
                        <a:latin typeface="+mn-lt"/>
                        <a:ea typeface="+mn-ea"/>
                        <a:cs typeface="+mn-cs"/>
                      </a:defRPr>
                    </a:pPr>
                    <a:r>
                      <a:t>占</a:t>
                    </a:r>
                    <a:r>
                      <a:rPr lang="en-US" altLang="zh-CN"/>
                      <a:t>79.6%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layout>
                <c:manualLayout>
                  <c:x val="-0.0758399375583927"/>
                  <c:y val="0.205584428116514"/>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r>
                      <a:rPr lang="en-US" altLang="zh-CN"/>
                      <a:t>41.57</a:t>
                    </a:r>
                    <a:r>
                      <a:t>万元</a:t>
                    </a:r>
                  </a:p>
                  <a:p>
                    <a:pPr>
                      <a:defRPr lang="zh-CN" sz="900" b="0" i="0" u="none" strike="noStrike" kern="1200" baseline="0">
                        <a:solidFill>
                          <a:sysClr val="windowText" lastClr="000000">
                            <a:lumMod val="75000"/>
                            <a:lumOff val="25000"/>
                          </a:sysClr>
                        </a:solidFill>
                        <a:latin typeface="+mn-lt"/>
                        <a:ea typeface="+mn-ea"/>
                        <a:cs typeface="+mn-cs"/>
                      </a:defRPr>
                    </a:pPr>
                    <a:r>
                      <a:t>占</a:t>
                    </a:r>
                    <a:r>
                      <a:rPr lang="en-US" altLang="zh-CN"/>
                      <a:t>8.7%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24381436404975"/>
                  <c:y val="0.0954150066858742"/>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r>
                      <a:rPr lang="en-US" altLang="zh-CN"/>
                      <a:t>23.95</a:t>
                    </a:r>
                    <a:r>
                      <a:t>万元</a:t>
                    </a:r>
                  </a:p>
                  <a:p>
                    <a:pPr>
                      <a:defRPr lang="zh-CN" sz="900" b="0" i="0" u="none" strike="noStrike" kern="1200" baseline="0">
                        <a:solidFill>
                          <a:sysClr val="windowText" lastClr="000000">
                            <a:lumMod val="75000"/>
                            <a:lumOff val="25000"/>
                          </a:sysClr>
                        </a:solidFill>
                        <a:latin typeface="+mn-lt"/>
                        <a:ea typeface="+mn-ea"/>
                        <a:cs typeface="+mn-cs"/>
                      </a:defRPr>
                    </a:pPr>
                    <a:r>
                      <a:t>占</a:t>
                    </a:r>
                    <a:r>
                      <a:rPr lang="en-US" altLang="zh-CN"/>
                      <a:t>5.01%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983014578039321"/>
                  <c:y val="-0.0604651162790698"/>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r>
                      <a:rPr lang="en-US" altLang="zh-CN"/>
                      <a:t>4.6</a:t>
                    </a:r>
                    <a:r>
                      <a:t>万元</a:t>
                    </a:r>
                  </a:p>
                  <a:p>
                    <a:pPr>
                      <a:defRPr lang="zh-CN" sz="900" b="0" i="0" u="none" strike="noStrike" kern="1200" baseline="0">
                        <a:solidFill>
                          <a:sysClr val="windowText" lastClr="000000">
                            <a:lumMod val="75000"/>
                            <a:lumOff val="25000"/>
                          </a:sysClr>
                        </a:solidFill>
                        <a:latin typeface="+mn-lt"/>
                        <a:ea typeface="+mn-ea"/>
                        <a:cs typeface="+mn-cs"/>
                      </a:defRPr>
                    </a:pPr>
                    <a:r>
                      <a:t>占</a:t>
                    </a:r>
                    <a:r>
                      <a:rPr lang="en-US" altLang="zh-CN"/>
                      <a:t>0.96%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32406045205297"/>
                  <c:y val="-0.0502681242331923"/>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r>
                      <a:rPr lang="en-US" altLang="zh-CN"/>
                      <a:t>27.39</a:t>
                    </a:r>
                    <a:r>
                      <a:t>万元</a:t>
                    </a:r>
                  </a:p>
                  <a:p>
                    <a:pPr>
                      <a:defRPr lang="zh-CN" sz="900" b="0" i="0" u="none" strike="noStrike" kern="1200" baseline="0">
                        <a:solidFill>
                          <a:sysClr val="windowText" lastClr="000000">
                            <a:lumMod val="75000"/>
                            <a:lumOff val="25000"/>
                          </a:sysClr>
                        </a:solidFill>
                        <a:latin typeface="+mn-lt"/>
                        <a:ea typeface="+mn-ea"/>
                        <a:cs typeface="+mn-cs"/>
                      </a:defRPr>
                    </a:pPr>
                    <a:r>
                      <a:t>占</a:t>
                    </a:r>
                    <a:r>
                      <a:rPr lang="en-US" altLang="zh-CN"/>
                      <a:t>5.73%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rgbClr val="A5A5A5">
                  <a:lumMod val="40000"/>
                  <a:lumOff val="60000"/>
                </a:srgbClr>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Sheet1!$A$2:$A$8</c:f>
              <c:strCache>
                <c:ptCount val="7"/>
                <c:pt idx="0">
                  <c:v>一般公共服务（类）</c:v>
                </c:pt>
                <c:pt idx="1">
                  <c:v>教育支出（类）</c:v>
                </c:pt>
                <c:pt idx="2">
                  <c:v>科学技术（类）</c:v>
                </c:pt>
                <c:pt idx="3">
                  <c:v>社会保障和就业（类）</c:v>
                </c:pt>
                <c:pt idx="4">
                  <c:v>卫生健康</c:v>
                </c:pt>
                <c:pt idx="5">
                  <c:v>农林水</c:v>
                </c:pt>
                <c:pt idx="6">
                  <c:v>住房保障</c:v>
                </c:pt>
              </c:strCache>
            </c:strRef>
          </c:cat>
          <c:val>
            <c:numRef>
              <c:f>Sheet1!$B$2:$B$8</c:f>
              <c:numCache>
                <c:formatCode>General</c:formatCode>
                <c:ptCount val="7"/>
                <c:pt idx="0">
                  <c:v>380.55</c:v>
                </c:pt>
                <c:pt idx="1">
                  <c:v>0</c:v>
                </c:pt>
                <c:pt idx="2">
                  <c:v>0</c:v>
                </c:pt>
                <c:pt idx="3">
                  <c:v>41.57</c:v>
                </c:pt>
                <c:pt idx="4">
                  <c:v>23.95</c:v>
                </c:pt>
                <c:pt idx="5">
                  <c:v>4.6</c:v>
                </c:pt>
                <c:pt idx="6">
                  <c:v>27.39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5898087468236"/>
          <c:y val="0.253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zero"/>
    <c:showDLblsOverMax val="0"/>
  </c:chart>
  <c:spPr>
    <a:solidFill>
      <a:sysClr val="window" lastClr="FFFFFF"/>
    </a:solidFill>
    <a:ln w="9525" cap="flat" cmpd="sng" algn="ctr">
      <a:solidFill>
        <a:sysClr val="windowText" lastClr="000000">
          <a:lumMod val="15000"/>
          <a:lumOff val="85000"/>
        </a:sys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黑体" panose="02010609060101010101" charset="-122"/>
                <a:ea typeface="黑体" panose="02010609060101010101" charset="-122"/>
                <a:cs typeface="黑体" panose="02010609060101010101" charset="-122"/>
                <a:sym typeface="黑体" panose="02010609060101010101" charset="-122"/>
              </a:defRPr>
            </a:pPr>
            <a:r>
              <a:rPr sz="1400">
                <a:latin typeface="黑体" panose="02010609060101010101" charset="-122"/>
                <a:ea typeface="黑体" panose="02010609060101010101" charset="-122"/>
                <a:cs typeface="黑体" panose="02010609060101010101" charset="-122"/>
                <a:sym typeface="黑体" panose="02010609060101010101" charset="-122"/>
              </a:rPr>
              <a:t>支出决算情况说明（单位：万元）</a:t>
            </a:r>
            <a:endParaRPr sz="1400">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184259127717005"/>
          <c:y val="0.0288276745675849"/>
        </c:manualLayout>
      </c:layout>
      <c:overlay val="0"/>
      <c:spPr>
        <a:noFill/>
        <a:ln>
          <a:noFill/>
        </a:ln>
        <a:effectLst/>
      </c:spPr>
    </c:title>
    <c:autoTitleDeleted val="0"/>
    <c:plotArea>
      <c:layout/>
      <c:pieChart>
        <c:varyColors val="1"/>
        <c:ser>
          <c:idx val="0"/>
          <c:order val="0"/>
          <c:tx>
            <c:strRef>
              <c:f>Sheet1!$B$1</c:f>
              <c:strCache>
                <c:ptCount val="1"/>
                <c:pt idx="0">
                  <c:v>各项支出占总支出比重</c:v>
                </c:pt>
              </c:strCache>
            </c:strRef>
          </c:tx>
          <c:explosion val="0"/>
          <c:dPt>
            <c:idx val="0"/>
            <c:bubble3D val="0"/>
            <c:spPr>
              <a:solidFill>
                <a:srgbClr val="5B9BD5"/>
              </a:solidFill>
              <a:ln w="19050">
                <a:solidFill>
                  <a:sysClr val="window" lastClr="FFFFFF"/>
                </a:solidFill>
              </a:ln>
              <a:effectLst/>
            </c:spPr>
          </c:dPt>
          <c:dPt>
            <c:idx val="1"/>
            <c:bubble3D val="0"/>
            <c:spPr>
              <a:solidFill>
                <a:srgbClr val="ED7D31"/>
              </a:solidFill>
              <a:ln w="19050">
                <a:solidFill>
                  <a:sysClr val="window" lastClr="FFFFFF"/>
                </a:solidFill>
              </a:ln>
              <a:effectLst/>
            </c:spPr>
          </c:dPt>
          <c:dPt>
            <c:idx val="2"/>
            <c:bubble3D val="0"/>
            <c:spPr>
              <a:solidFill>
                <a:srgbClr val="70AD47"/>
              </a:solidFill>
              <a:ln w="19050">
                <a:solidFill>
                  <a:sysClr val="window" lastClr="FFFFFF"/>
                </a:solidFill>
              </a:ln>
              <a:effectLst/>
            </c:spPr>
          </c:dPt>
          <c:dLbls>
            <c:dLbl>
              <c:idx val="0"/>
              <c:layout>
                <c:manualLayout>
                  <c:x val="0.189657621821281"/>
                  <c:y val="0.0480461242793081"/>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r>
                      <a:t>0万元，占 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76871714732206"/>
                  <c:y val="0.0384368994234465"/>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r>
                      <a:t>0万元,占 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53430885068902"/>
                  <c:y val="-0.148942985265855"/>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r>
                      <a:t>0.49万元,占 100%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Sheet1!$A$2:$A$4</c:f>
              <c:strCache>
                <c:ptCount val="3"/>
                <c:pt idx="0">
                  <c:v>因公出国（境）支出</c:v>
                </c:pt>
                <c:pt idx="1">
                  <c:v>公务用车购置及运行维护费支出</c:v>
                </c:pt>
                <c:pt idx="2">
                  <c:v>公务接待费支出</c:v>
                </c:pt>
              </c:strCache>
            </c:strRef>
          </c:cat>
          <c:val>
            <c:numRef>
              <c:f>Sheet1!$B$2:$B$4</c:f>
              <c:numCache>
                <c:formatCode>General</c:formatCode>
                <c:ptCount val="3"/>
                <c:pt idx="0">
                  <c:v>0</c:v>
                </c:pt>
                <c:pt idx="1">
                  <c:v>0</c:v>
                </c:pt>
                <c:pt idx="2">
                  <c:v>0.49</c:v>
                </c:pt>
              </c:numCache>
            </c:numRef>
          </c:val>
        </c:ser>
        <c:ser>
          <c:idx val="1"/>
          <c:order val="1"/>
          <c:tx>
            <c:strRef>
              <c:f>Sheet1!$C$1</c:f>
              <c:strCache>
                <c:ptCount val="1"/>
                <c:pt idx="0">
                  <c:v>比例</c:v>
                </c:pt>
              </c:strCache>
            </c:strRef>
          </c:tx>
          <c:explosion val="0"/>
          <c:dPt>
            <c:idx val="0"/>
            <c:bubble3D val="0"/>
            <c:spPr>
              <a:solidFill>
                <a:schemeClr val="accent1"/>
              </a:solidFill>
              <a:ln w="19050">
                <a:solidFill>
                  <a:sysClr val="window" lastClr="FFFFFF"/>
                </a:solidFill>
              </a:ln>
              <a:effectLst/>
            </c:spPr>
          </c:dPt>
          <c:dPt>
            <c:idx val="1"/>
            <c:bubble3D val="0"/>
            <c:spPr>
              <a:solidFill>
                <a:schemeClr val="accent2"/>
              </a:solidFill>
              <a:ln w="19050">
                <a:solidFill>
                  <a:sysClr val="window" lastClr="FFFFFF"/>
                </a:solidFill>
              </a:ln>
              <a:effectLst/>
            </c:spPr>
          </c:dPt>
          <c:dPt>
            <c:idx val="2"/>
            <c:bubble3D val="0"/>
            <c:spPr>
              <a:solidFill>
                <a:schemeClr val="accent3"/>
              </a:solidFill>
              <a:ln w="19050">
                <a:solidFill>
                  <a:sysClr val="window" lastClr="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Sheet1!$A$2:$A$4</c:f>
              <c:strCache>
                <c:ptCount val="3"/>
                <c:pt idx="0">
                  <c:v>因公出国（境）支出</c:v>
                </c:pt>
                <c:pt idx="1">
                  <c:v>公务用车购置及运行维护费支出</c:v>
                </c:pt>
                <c:pt idx="2">
                  <c:v>公务接待费支出</c:v>
                </c:pt>
              </c:strCache>
            </c:strRef>
          </c:cat>
          <c:val>
            <c:numRef>
              <c:f>Sheet1!$C$2:$C$4</c:f>
              <c:numCache>
                <c:formatCode>0.00%</c:formatCode>
                <c:ptCount val="3"/>
                <c:pt idx="0">
                  <c:v>0</c:v>
                </c:pt>
                <c:pt idx="1">
                  <c:v>0</c:v>
                </c:pt>
                <c:pt idx="2">
                  <c:v>1</c:v>
                </c:pt>
              </c:numCache>
            </c:numRef>
          </c:val>
        </c:ser>
        <c:ser>
          <c:idx val="2"/>
          <c:order val="2"/>
          <c:tx>
            <c:strRef>
              <c:f>Sheet1!$D$1</c:f>
              <c:strCache>
                <c:ptCount val="1"/>
                <c:pt idx="0">
                  <c:v>列1</c:v>
                </c:pt>
              </c:strCache>
            </c:strRef>
          </c:tx>
          <c:explosion val="0"/>
          <c:dPt>
            <c:idx val="0"/>
            <c:bubble3D val="0"/>
            <c:spPr>
              <a:solidFill>
                <a:schemeClr val="accent1"/>
              </a:solidFill>
              <a:ln w="19050">
                <a:solidFill>
                  <a:sysClr val="window" lastClr="FFFFFF"/>
                </a:solidFill>
              </a:ln>
              <a:effectLst/>
            </c:spPr>
          </c:dPt>
          <c:dPt>
            <c:idx val="1"/>
            <c:bubble3D val="0"/>
            <c:spPr>
              <a:solidFill>
                <a:schemeClr val="accent2"/>
              </a:solidFill>
              <a:ln w="19050">
                <a:solidFill>
                  <a:sysClr val="window" lastClr="FFFFFF"/>
                </a:solidFill>
              </a:ln>
              <a:effectLst/>
            </c:spPr>
          </c:dPt>
          <c:dPt>
            <c:idx val="2"/>
            <c:bubble3D val="0"/>
            <c:spPr>
              <a:solidFill>
                <a:schemeClr val="accent3"/>
              </a:solidFill>
              <a:ln w="19050">
                <a:solidFill>
                  <a:sysClr val="window" lastClr="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Sheet1!$A$2:$A$4</c:f>
              <c:strCache>
                <c:ptCount val="3"/>
                <c:pt idx="0">
                  <c:v>因公出国（境）支出</c:v>
                </c:pt>
                <c:pt idx="1">
                  <c:v>公务用车购置及运行维护费支出</c:v>
                </c:pt>
                <c:pt idx="2">
                  <c:v>公务接待费支出</c:v>
                </c:pt>
              </c:strCache>
            </c:strRef>
          </c:cat>
          <c:val>
            <c:numRef>
              <c:f>Sheet1!$D$2:$D$4</c:f>
              <c:numCache>
                <c:formatCode>General</c:formatCode>
                <c:ptCount val="3"/>
                <c:pt idx="0">
                  <c:v>0.49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zero"/>
    <c:showDLblsOverMax val="0"/>
  </c:chart>
  <c:spPr>
    <a:solidFill>
      <a:sysClr val="window" lastClr="FFFFFF"/>
    </a:solidFill>
    <a:ln w="9525" cap="flat" cmpd="sng" algn="ctr">
      <a:solidFill>
        <a:sysClr val="windowText" lastClr="000000">
          <a:lumMod val="15000"/>
          <a:lumOff val="85000"/>
        </a:sys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1EAAB92B576341299D52FE8082711345</vt:lpwstr>
  </proper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zwc</dc:creator>
  <cp:lastModifiedBy>asd</cp:lastModifiedBy>
  <cp:revision>1</cp:revision>
  <cp:lastPrinted>2022-09-06T03:20:00Z</cp:lastPrinted>
  <dcterms:created xsi:type="dcterms:W3CDTF">2021-10-08T03:29:00Z</dcterms:created>
  <dcterms:modified xsi:type="dcterms:W3CDTF">2022-09-29T08:31:59Z</dcterms:modified>
</cp:coreProperties>
</file>

<file path=customXml/item12.xml><?xml version="1.0" encoding="utf-8"?>
<Properties xmlns:vt="http://schemas.openxmlformats.org/officeDocument/2006/docPropsVTypes" xmlns="http://schemas.openxmlformats.org/officeDocument/2006/extended-properties">
  <Template>Normal.dotm</Template>
  <TotalTime>6</TotalTime>
  <Pages>51</Pages>
  <Words>21421</Words>
  <Characters>22527</Characters>
  <Application>WPS Office_11.1.0.9208_F1E327BC-269C-435d-A152-05C5408002CA</Application>
  <DocSecurity>0</DocSecurity>
  <Lines>0</Lines>
  <Paragraphs>0</Paragraphs>
  <CharactersWithSpaces>22657</CharactersWithSpaces>
  <AppVersion>14.0000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creator>zwc</dc:creator>
  <cp:lastModifiedBy>User</cp:lastModifiedBy>
  <cp:revision>8</cp:revision>
  <cp:lastPrinted>2022-09-06T03:20:00Z</cp:lastPrinted>
  <dcterms:created xsi:type="dcterms:W3CDTF">2021-10-08T03:29:00Z</dcterms:created>
  <dcterms:modified xsi:type="dcterms:W3CDTF">2023-02-28T09:02:00Z</dcterms:modified>
</cp:core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1EAAB92B576341299D52FE8082711345</vt:lpstr>
  </proper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1EAAB92B576341299D52FE8082711345</vt:lpwstr>
  </property>
</Properties>
</file>

<file path=customXml/item4.xml><?xml version="1.0" encoding="utf-8"?>
<Properties xmlns="http://schemas.openxmlformats.org/officeDocument/2006/extended-properties" xmlns:vt="http://schemas.openxmlformats.org/officeDocument/2006/docPropsVTypes">
  <Template>Normal</Template>
  <TotalTime>12</TotalTime>
  <Pages>27</Pages>
  <Words>1819</Words>
  <Characters>10370</Characters>
  <Application>Microsoft Office Word</Application>
  <DocSecurity>0</DocSecurity>
  <Lines>86</Lines>
  <Paragraphs>24</Paragraphs>
  <ScaleCrop>false</ScaleCrop>
  <Company>China</Company>
  <LinksUpToDate>false</LinksUpToDate>
  <CharactersWithSpaces>12165</CharactersWithSpaces>
  <SharedDoc>false</SharedDoc>
  <HyperlinksChanged>false</HyperlinksChanged>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2021-10-08T03:29:00Z</dcterms:created>
  <dc:creator>zwc</dc:creator>
  <cp:lastModifiedBy>asd</cp:lastModifiedBy>
  <cp:lastPrinted>2022-09-06T03:20:00Z</cp:lastPrinted>
  <dcterms:modified xsi:type="dcterms:W3CDTF">2022-09-29T08:31:59Z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zwc</dc:creator>
  <cp:lastModifiedBy>User</cp:lastModifiedBy>
  <cp:revision>8</cp:revision>
  <cp:lastPrinted>2022-09-06T03:20:00Z</cp:lastPrinted>
  <dcterms:created xsi:type="dcterms:W3CDTF">2021-10-08T03:29:00Z</dcterms:created>
  <dcterms:modified xsi:type="dcterms:W3CDTF">2023-02-28T09:02:00Z</dcterms:modified>
</cp:core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1EAAB92B576341299D52FE8082711345</vt:lpstr>
  </property>
</Properties>
</file>

<file path=customXml/item8.xml><?xml version="1.0" encoding="utf-8"?>
<Properties xmlns:vt="http://schemas.openxmlformats.org/officeDocument/2006/docPropsVTypes" xmlns="http://schemas.openxmlformats.org/officeDocument/2006/extended-properties">
  <Template>Normal</Template>
  <TotalTime>12</TotalTime>
  <Pages>27</Pages>
  <Words>1819</Words>
  <Characters>10370</Characters>
  <Application>Microsoft Office Word</Application>
  <DocSecurity>0</DocSecurity>
  <Lines>86</Lines>
  <Paragraphs>24</Paragraphs>
  <Company>China</Company>
  <CharactersWithSpaces>12165</CharactersWithSpaces>
  <AppVersion>12.0000</AppVersion>
</Properties>
</file>

<file path=customXml/item9.xml><?xml version="1.0" encoding="utf-8"?>
<Properties xmlns="http://schemas.openxmlformats.org/officeDocument/2006/extended-properties" xmlns:vt="http://schemas.openxmlformats.org/officeDocument/2006/docPropsVTypes">
  <Template>Normal.dotm</Template>
  <Pages>51</Pages>
  <Words>21421</Words>
  <Characters>22527</Characters>
  <Lines>0</Lines>
  <Paragraphs>0</Paragraphs>
  <TotalTime>6</TotalTime>
  <ScaleCrop>false</ScaleCrop>
  <LinksUpToDate>false</LinksUpToDate>
  <CharactersWithSpaces>22657</CharactersWithSpaces>
  <Application>WPS Office_11.1.0.9208_F1E327BC-269C-435d-A152-05C5408002CA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9B98A56-DC10-4EA1-84EB-57F0CC9879EA}">
  <ds:schemaRefs/>
</ds:datastoreItem>
</file>

<file path=customXml/itemProps11.xml><?xml version="1.0" encoding="utf-8"?>
<ds:datastoreItem xmlns:ds="http://schemas.openxmlformats.org/officeDocument/2006/customXml" ds:itemID="{864AF9B8-A6C8-43B7-8713-1CCEC5D228A5}">
  <ds:schemaRefs/>
</ds:datastoreItem>
</file>

<file path=customXml/itemProps12.xml><?xml version="1.0" encoding="utf-8"?>
<ds:datastoreItem xmlns:ds="http://schemas.openxmlformats.org/officeDocument/2006/customXml" ds:itemID="{D7C447C6-4584-4F37-AF9F-BC83FD6127EB}">
  <ds:schemaRefs/>
</ds:datastoreItem>
</file>

<file path=customXml/itemProps13.xml><?xml version="1.0" encoding="utf-8"?>
<ds:datastoreItem xmlns:ds="http://schemas.openxmlformats.org/officeDocument/2006/customXml" ds:itemID="{4b5a700e-d1e4-4ba6-9842-620598f19223}">
  <ds:schemaRefs/>
</ds:datastoreItem>
</file>

<file path=customXml/itemProps2.xml><?xml version="1.0" encoding="utf-8"?>
<ds:datastoreItem xmlns:ds="http://schemas.openxmlformats.org/officeDocument/2006/customXml" ds:itemID="{55DE5F47-2EAA-4F42-A87A-81A98920D054}">
  <ds:schemaRefs/>
</ds:datastoreItem>
</file>

<file path=customXml/itemProps3.xml><?xml version="1.0" encoding="utf-8"?>
<ds:datastoreItem xmlns:ds="http://schemas.openxmlformats.org/officeDocument/2006/customXml" ds:itemID="{6216fd4d-21dd-48f1-9ff4-99e8c3b20afc}">
  <ds:schemaRefs/>
</ds:datastoreItem>
</file>

<file path=customXml/itemProps4.xml><?xml version="1.0" encoding="utf-8"?>
<ds:datastoreItem xmlns:ds="http://schemas.openxmlformats.org/officeDocument/2006/customXml" ds:itemID="{091389aa-8a73-4aec-bb50-357b3097b13c}">
  <ds:schemaRefs/>
</ds:datastoreItem>
</file>

<file path=customXml/itemProps5.xml><?xml version="1.0" encoding="utf-8"?>
<ds:datastoreItem xmlns:ds="http://schemas.openxmlformats.org/officeDocument/2006/customXml" ds:itemID="{17715DD7-3319-4ADC-8D48-32674B3154FA}">
  <ds:schemaRefs/>
</ds:datastoreItem>
</file>

<file path=customXml/itemProps6.xml><?xml version="1.0" encoding="utf-8"?>
<ds:datastoreItem xmlns:ds="http://schemas.openxmlformats.org/officeDocument/2006/customXml" ds:itemID="{646b3ddd-211b-4b11-811a-7cd4d9abe943}">
  <ds:schemaRefs/>
</ds:datastoreItem>
</file>

<file path=customXml/itemProps7.xml><?xml version="1.0" encoding="utf-8"?>
<ds:datastoreItem xmlns:ds="http://schemas.openxmlformats.org/officeDocument/2006/customXml" ds:itemID="{7238f8c9-e430-4723-b7ea-68631958096c}">
  <ds:schemaRefs/>
</ds:datastoreItem>
</file>

<file path=customXml/itemProps8.xml><?xml version="1.0" encoding="utf-8"?>
<ds:datastoreItem xmlns:ds="http://schemas.openxmlformats.org/officeDocument/2006/customXml" ds:itemID="{5d16156e-7467-4517-b64f-12ac8e8cb97b}">
  <ds:schemaRefs/>
</ds:datastoreItem>
</file>

<file path=customXml/itemProps9.xml><?xml version="1.0" encoding="utf-8"?>
<ds:datastoreItem xmlns:ds="http://schemas.openxmlformats.org/officeDocument/2006/customXml" ds:itemID="{F053E308-7187-4FB7-8B1C-2C73BB8E76C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27</Pages>
  <Words>9728</Words>
  <Characters>10393</Characters>
  <Lines>86</Lines>
  <Paragraphs>24</Paragraphs>
  <TotalTime>15</TotalTime>
  <ScaleCrop>false</ScaleCrop>
  <LinksUpToDate>false</LinksUpToDate>
  <CharactersWithSpaces>10621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2021-10-08T03:29:00Z</dcterms:created>
  <dc:creator>zwc</dc:creator>
  <cp:lastModifiedBy>狂奔的蜗牛</cp:lastModifiedBy>
  <cp:lastPrinted>2022-09-06T03:20:00Z</cp:lastPrinted>
  <dcterms:modified xsi:type="dcterms:W3CDTF">2023-03-12T14:25:55Z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6D95CB3E78D940D5B8B8DC5B1D7D9B0A</vt:lpwstr>
  </property>
</Properties>
</file>