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78441"/>
      <w:bookmarkStart w:id="1" w:name="_Toc15396597"/>
      <w:bookmarkStart w:id="2" w:name="_Toc15396475"/>
      <w:bookmarkStart w:id="3" w:name="_Toc15377425"/>
      <w:bookmarkStart w:id="4" w:name="_Toc15377193"/>
      <w:bookmarkStart w:id="5"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8501"/>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8401"/>
      <w:bookmarkStart w:id="8" w:name="_Toc15377426"/>
      <w:bookmarkStart w:id="9" w:name="_Toc15377194"/>
      <w:bookmarkStart w:id="10" w:name="_Toc15378442"/>
      <w:bookmarkStart w:id="11" w:name="_Toc15396476"/>
      <w:bookmarkStart w:id="12" w:name="_Toc15396598"/>
      <w:r>
        <w:rPr>
          <w:rFonts w:hint="eastAsia" w:ascii="方正小标宋简体" w:hAnsi="方正小标宋简体" w:eastAsia="方正小标宋简体" w:cs="方正小标宋简体"/>
          <w:sz w:val="72"/>
          <w:szCs w:val="72"/>
        </w:rPr>
        <w:t>四川省</w:t>
      </w:r>
      <w:bookmarkEnd w:id="5"/>
      <w:bookmarkStart w:id="13" w:name="_Toc15306268"/>
      <w:r>
        <w:rPr>
          <w:rFonts w:hint="eastAsia" w:ascii="方正小标宋简体" w:hAnsi="方正小标宋简体" w:eastAsia="方正小标宋简体" w:cs="方正小标宋简体"/>
          <w:sz w:val="72"/>
          <w:szCs w:val="72"/>
        </w:rPr>
        <w:t>国有资产监督管理委员会部门决算</w:t>
      </w:r>
      <w:bookmarkEnd w:id="7"/>
      <w:bookmarkEnd w:id="8"/>
      <w:bookmarkEnd w:id="9"/>
      <w:bookmarkEnd w:id="10"/>
      <w:bookmarkEnd w:id="11"/>
      <w:bookmarkEnd w:id="12"/>
      <w:bookmarkEnd w:id="13"/>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7"/>
      </w:pPr>
      <w:r>
        <w:rPr>
          <w:rFonts w:hint="eastAsia"/>
        </w:rPr>
        <w:t>公开时间：2022年8月25日</w:t>
      </w:r>
    </w:p>
    <w:p/>
    <w:sdt>
      <w:sdtPr>
        <w:rPr>
          <w:rFonts w:ascii="宋体" w:hAnsi="宋体"/>
        </w:rPr>
        <w:id w:val="147463848"/>
        <w:docPartObj>
          <w:docPartGallery w:val="Table of Contents"/>
          <w:docPartUnique/>
        </w:docPartObj>
      </w:sdtPr>
      <w:sdtEndPr>
        <w:rPr>
          <w:rFonts w:ascii="宋体" w:hAnsi="宋体"/>
          <w:b/>
        </w:rPr>
      </w:sdtEndPr>
      <w:sdtContent>
        <w:p>
          <w:pPr>
            <w:jc w:val="center"/>
          </w:pPr>
          <w:bookmarkStart w:id="14" w:name="_Toc15396599"/>
        </w:p>
        <w:p>
          <w:pPr>
            <w:pStyle w:val="34"/>
            <w:tabs>
              <w:tab w:val="right" w:leader="dot" w:pos="8306"/>
            </w:tabs>
            <w:rPr>
              <w:b/>
            </w:rPr>
          </w:pPr>
          <w:r>
            <w:fldChar w:fldCharType="begin"/>
          </w:r>
          <w:r>
            <w:instrText xml:space="preserve">TOC \o "1-2" \h \u</w:instrText>
          </w:r>
          <w:r>
            <w:fldChar w:fldCharType="separate"/>
          </w:r>
          <w:r>
            <w:fldChar w:fldCharType="begin"/>
          </w:r>
          <w:r>
            <w:instrText xml:space="preserve"> HYPERLINK \l "_Toc2902" </w:instrText>
          </w:r>
          <w:r>
            <w:fldChar w:fldCharType="separate"/>
          </w:r>
          <w:r>
            <w:rPr>
              <w:rFonts w:hint="eastAsia" w:ascii="黑体" w:hAnsi="黑体" w:eastAsia="黑体"/>
              <w:b/>
            </w:rPr>
            <w:t>第一部分</w:t>
          </w:r>
          <w:r>
            <w:rPr>
              <w:rFonts w:hint="eastAsia" w:ascii="黑体" w:hAnsi="黑体" w:eastAsia="黑体"/>
              <w:b/>
              <w:lang w:val="en-US" w:eastAsia="zh-CN"/>
            </w:rPr>
            <w:t xml:space="preserve"> </w:t>
          </w:r>
          <w:r>
            <w:rPr>
              <w:rFonts w:hint="eastAsia" w:ascii="黑体" w:hAnsi="黑体" w:eastAsia="黑体"/>
              <w:b/>
            </w:rPr>
            <w:t>部门概况</w:t>
          </w:r>
          <w:r>
            <w:rPr>
              <w:b/>
            </w:rPr>
            <w:tab/>
          </w:r>
          <w:r>
            <w:rPr>
              <w:b/>
            </w:rPr>
            <w:fldChar w:fldCharType="begin"/>
          </w:r>
          <w:r>
            <w:rPr>
              <w:b/>
            </w:rPr>
            <w:instrText xml:space="preserve"> PAGEREF _Toc2902 </w:instrText>
          </w:r>
          <w:r>
            <w:rPr>
              <w:b/>
            </w:rPr>
            <w:fldChar w:fldCharType="separate"/>
          </w:r>
          <w:r>
            <w:rPr>
              <w:b/>
            </w:rPr>
            <w:t>1</w:t>
          </w:r>
          <w:r>
            <w:rPr>
              <w:b/>
            </w:rPr>
            <w:fldChar w:fldCharType="end"/>
          </w:r>
          <w:r>
            <w:rPr>
              <w:b/>
            </w:rPr>
            <w:fldChar w:fldCharType="end"/>
          </w:r>
        </w:p>
        <w:p>
          <w:pPr>
            <w:pStyle w:val="35"/>
            <w:tabs>
              <w:tab w:val="right" w:leader="dot" w:pos="8306"/>
            </w:tabs>
            <w:ind w:left="420"/>
          </w:pPr>
          <w:r>
            <w:fldChar w:fldCharType="begin"/>
          </w:r>
          <w:r>
            <w:instrText xml:space="preserve"> HYPERLINK \l "_Toc27383" </w:instrText>
          </w:r>
          <w:r>
            <w:fldChar w:fldCharType="separate"/>
          </w:r>
          <w:r>
            <w:rPr>
              <w:rFonts w:hint="eastAsia" w:ascii="黑体" w:hAnsi="黑体" w:eastAsia="黑体"/>
            </w:rPr>
            <w:t>一、基本职能及主要工作</w:t>
          </w:r>
          <w:r>
            <w:tab/>
          </w:r>
          <w:r>
            <w:fldChar w:fldCharType="begin"/>
          </w:r>
          <w:r>
            <w:instrText xml:space="preserve"> PAGEREF _Toc27383 </w:instrText>
          </w:r>
          <w:r>
            <w:fldChar w:fldCharType="separate"/>
          </w:r>
          <w:r>
            <w:t>1</w:t>
          </w:r>
          <w:r>
            <w:fldChar w:fldCharType="end"/>
          </w:r>
          <w:r>
            <w:fldChar w:fldCharType="end"/>
          </w:r>
        </w:p>
        <w:p>
          <w:pPr>
            <w:pStyle w:val="35"/>
            <w:tabs>
              <w:tab w:val="right" w:leader="dot" w:pos="8306"/>
            </w:tabs>
            <w:ind w:left="420"/>
          </w:pPr>
          <w:r>
            <w:fldChar w:fldCharType="begin"/>
          </w:r>
          <w:r>
            <w:instrText xml:space="preserve"> HYPERLINK \l "_Toc15225"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_Toc15225 </w:instrText>
          </w:r>
          <w:r>
            <w:fldChar w:fldCharType="separate"/>
          </w:r>
          <w:r>
            <w:t>2</w:t>
          </w:r>
          <w:r>
            <w:fldChar w:fldCharType="end"/>
          </w:r>
          <w:r>
            <w:fldChar w:fldCharType="end"/>
          </w:r>
        </w:p>
        <w:p>
          <w:pPr>
            <w:pStyle w:val="34"/>
            <w:tabs>
              <w:tab w:val="right" w:leader="dot" w:pos="8306"/>
            </w:tabs>
            <w:rPr>
              <w:b/>
            </w:rPr>
          </w:pPr>
          <w:r>
            <w:fldChar w:fldCharType="begin"/>
          </w:r>
          <w:r>
            <w:instrText xml:space="preserve"> HYPERLINK \l "_Toc21747" </w:instrText>
          </w:r>
          <w:r>
            <w:fldChar w:fldCharType="separate"/>
          </w:r>
          <w:r>
            <w:rPr>
              <w:rFonts w:hint="eastAsia" w:ascii="黑体" w:hAnsi="黑体" w:eastAsia="黑体"/>
              <w:b/>
              <w:bCs/>
            </w:rPr>
            <w:t>第二部分2021年度部门决算情况说明</w:t>
          </w:r>
          <w:r>
            <w:rPr>
              <w:b/>
            </w:rPr>
            <w:tab/>
          </w:r>
          <w:r>
            <w:rPr>
              <w:b/>
            </w:rPr>
            <w:fldChar w:fldCharType="begin"/>
          </w:r>
          <w:r>
            <w:rPr>
              <w:b/>
            </w:rPr>
            <w:instrText xml:space="preserve"> PAGEREF _Toc21747 </w:instrText>
          </w:r>
          <w:r>
            <w:rPr>
              <w:b/>
            </w:rPr>
            <w:fldChar w:fldCharType="separate"/>
          </w:r>
          <w:r>
            <w:rPr>
              <w:b/>
            </w:rPr>
            <w:t>3</w:t>
          </w:r>
          <w:r>
            <w:rPr>
              <w:b/>
            </w:rPr>
            <w:fldChar w:fldCharType="end"/>
          </w:r>
          <w:r>
            <w:rPr>
              <w:b/>
            </w:rPr>
            <w:fldChar w:fldCharType="end"/>
          </w:r>
        </w:p>
        <w:p>
          <w:pPr>
            <w:pStyle w:val="35"/>
            <w:tabs>
              <w:tab w:val="right" w:leader="dot" w:pos="8306"/>
            </w:tabs>
            <w:ind w:left="420"/>
          </w:pPr>
          <w:r>
            <w:fldChar w:fldCharType="begin"/>
          </w:r>
          <w:r>
            <w:instrText xml:space="preserve"> HYPERLINK \l "_Toc7150"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_Toc7150 </w:instrText>
          </w:r>
          <w:r>
            <w:fldChar w:fldCharType="separate"/>
          </w:r>
          <w:r>
            <w:t>3</w:t>
          </w:r>
          <w:r>
            <w:fldChar w:fldCharType="end"/>
          </w:r>
          <w:r>
            <w:fldChar w:fldCharType="end"/>
          </w:r>
        </w:p>
        <w:p>
          <w:pPr>
            <w:pStyle w:val="35"/>
            <w:tabs>
              <w:tab w:val="right" w:leader="dot" w:pos="8306"/>
            </w:tabs>
            <w:ind w:left="420"/>
          </w:pPr>
          <w:r>
            <w:fldChar w:fldCharType="begin"/>
          </w:r>
          <w:r>
            <w:instrText xml:space="preserve"> HYPERLINK \l "_Toc12147"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_Toc12147 </w:instrText>
          </w:r>
          <w:r>
            <w:fldChar w:fldCharType="separate"/>
          </w:r>
          <w:r>
            <w:t>3</w:t>
          </w:r>
          <w:r>
            <w:fldChar w:fldCharType="end"/>
          </w:r>
          <w:r>
            <w:fldChar w:fldCharType="end"/>
          </w:r>
        </w:p>
        <w:p>
          <w:pPr>
            <w:pStyle w:val="35"/>
            <w:tabs>
              <w:tab w:val="right" w:leader="dot" w:pos="8306"/>
            </w:tabs>
            <w:ind w:left="420"/>
          </w:pPr>
          <w:r>
            <w:fldChar w:fldCharType="begin"/>
          </w:r>
          <w:r>
            <w:instrText xml:space="preserve"> HYPERLINK \l "_Toc13426"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_Toc13426 </w:instrText>
          </w:r>
          <w:r>
            <w:fldChar w:fldCharType="separate"/>
          </w:r>
          <w:r>
            <w:t>4</w:t>
          </w:r>
          <w:r>
            <w:fldChar w:fldCharType="end"/>
          </w:r>
          <w:r>
            <w:fldChar w:fldCharType="end"/>
          </w:r>
        </w:p>
        <w:p>
          <w:pPr>
            <w:pStyle w:val="35"/>
            <w:tabs>
              <w:tab w:val="right" w:leader="dot" w:pos="8306"/>
            </w:tabs>
            <w:ind w:left="420"/>
          </w:pPr>
          <w:r>
            <w:fldChar w:fldCharType="begin"/>
          </w:r>
          <w:r>
            <w:instrText xml:space="preserve"> HYPERLINK \l "_Toc5832" </w:instrText>
          </w:r>
          <w:r>
            <w:fldChar w:fldCharType="separate"/>
          </w:r>
          <w:r>
            <w:rPr>
              <w:rFonts w:hint="eastAsia" w:ascii="黑体" w:hAnsi="黑体" w:eastAsia="黑体"/>
              <w:szCs w:val="32"/>
            </w:rPr>
            <w:t>四、财政</w:t>
          </w:r>
          <w:r>
            <w:rPr>
              <w:rFonts w:hint="eastAsia" w:ascii="黑体" w:hAnsi="黑体" w:eastAsia="黑体"/>
            </w:rPr>
            <w:t>拨款收入支出决算总体情况说明</w:t>
          </w:r>
          <w:r>
            <w:tab/>
          </w:r>
          <w:r>
            <w:fldChar w:fldCharType="begin"/>
          </w:r>
          <w:r>
            <w:instrText xml:space="preserve"> PAGEREF _Toc5832 </w:instrText>
          </w:r>
          <w:r>
            <w:fldChar w:fldCharType="separate"/>
          </w:r>
          <w:r>
            <w:t>5</w:t>
          </w:r>
          <w:r>
            <w:fldChar w:fldCharType="end"/>
          </w:r>
          <w:r>
            <w:fldChar w:fldCharType="end"/>
          </w:r>
        </w:p>
        <w:p>
          <w:pPr>
            <w:pStyle w:val="35"/>
            <w:tabs>
              <w:tab w:val="right" w:leader="dot" w:pos="8306"/>
            </w:tabs>
            <w:ind w:left="420"/>
          </w:pPr>
          <w:r>
            <w:fldChar w:fldCharType="begin"/>
          </w:r>
          <w:r>
            <w:instrText xml:space="preserve"> HYPERLINK \l "_Toc20392"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_Toc20392 </w:instrText>
          </w:r>
          <w:r>
            <w:fldChar w:fldCharType="separate"/>
          </w:r>
          <w:r>
            <w:t>5</w:t>
          </w:r>
          <w:r>
            <w:fldChar w:fldCharType="end"/>
          </w:r>
          <w:r>
            <w:fldChar w:fldCharType="end"/>
          </w:r>
        </w:p>
        <w:p>
          <w:pPr>
            <w:pStyle w:val="35"/>
            <w:tabs>
              <w:tab w:val="right" w:leader="dot" w:pos="8306"/>
            </w:tabs>
            <w:ind w:left="420"/>
          </w:pPr>
          <w:r>
            <w:fldChar w:fldCharType="begin"/>
          </w:r>
          <w:r>
            <w:instrText xml:space="preserve"> HYPERLINK \l "_Toc20255"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_Toc20255 </w:instrText>
          </w:r>
          <w:r>
            <w:fldChar w:fldCharType="separate"/>
          </w:r>
          <w:r>
            <w:t>8</w:t>
          </w:r>
          <w:r>
            <w:fldChar w:fldCharType="end"/>
          </w:r>
          <w:r>
            <w:fldChar w:fldCharType="end"/>
          </w:r>
        </w:p>
        <w:p>
          <w:pPr>
            <w:pStyle w:val="35"/>
            <w:tabs>
              <w:tab w:val="right" w:leader="dot" w:pos="8306"/>
            </w:tabs>
            <w:ind w:left="420"/>
          </w:pPr>
          <w:r>
            <w:fldChar w:fldCharType="begin"/>
          </w:r>
          <w:r>
            <w:instrText xml:space="preserve"> HYPERLINK \l "_Toc4197"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_Toc4197 </w:instrText>
          </w:r>
          <w:r>
            <w:fldChar w:fldCharType="separate"/>
          </w:r>
          <w:r>
            <w:t>8</w:t>
          </w:r>
          <w:r>
            <w:fldChar w:fldCharType="end"/>
          </w:r>
          <w:r>
            <w:fldChar w:fldCharType="end"/>
          </w:r>
        </w:p>
        <w:p>
          <w:pPr>
            <w:pStyle w:val="35"/>
            <w:tabs>
              <w:tab w:val="right" w:leader="dot" w:pos="8306"/>
            </w:tabs>
            <w:ind w:left="420"/>
          </w:pPr>
          <w:r>
            <w:fldChar w:fldCharType="begin"/>
          </w:r>
          <w:r>
            <w:instrText xml:space="preserve"> HYPERLINK \l "_Toc5057"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_Toc5057 </w:instrText>
          </w:r>
          <w:r>
            <w:fldChar w:fldCharType="separate"/>
          </w:r>
          <w:r>
            <w:t>9</w:t>
          </w:r>
          <w:r>
            <w:fldChar w:fldCharType="end"/>
          </w:r>
          <w:r>
            <w:fldChar w:fldCharType="end"/>
          </w:r>
        </w:p>
        <w:p>
          <w:pPr>
            <w:pStyle w:val="35"/>
            <w:tabs>
              <w:tab w:val="right" w:leader="dot" w:pos="8306"/>
            </w:tabs>
            <w:ind w:left="420"/>
          </w:pPr>
          <w:r>
            <w:fldChar w:fldCharType="begin"/>
          </w:r>
          <w:r>
            <w:instrText xml:space="preserve"> HYPERLINK \l "_Toc24981" </w:instrText>
          </w:r>
          <w:r>
            <w:fldChar w:fldCharType="separate"/>
          </w:r>
          <w:r>
            <w:rPr>
              <w:rFonts w:hint="eastAsia" w:ascii="黑体" w:hAnsi="黑体" w:eastAsia="黑体"/>
            </w:rPr>
            <w:t>九、国有资本经营预算支出决算情况说明</w:t>
          </w:r>
          <w:r>
            <w:tab/>
          </w:r>
          <w:r>
            <w:fldChar w:fldCharType="begin"/>
          </w:r>
          <w:r>
            <w:instrText xml:space="preserve"> PAGEREF _Toc24981 </w:instrText>
          </w:r>
          <w:r>
            <w:fldChar w:fldCharType="separate"/>
          </w:r>
          <w:r>
            <w:t>9</w:t>
          </w:r>
          <w:r>
            <w:fldChar w:fldCharType="end"/>
          </w:r>
          <w:r>
            <w:fldChar w:fldCharType="end"/>
          </w:r>
        </w:p>
        <w:p>
          <w:pPr>
            <w:pStyle w:val="35"/>
            <w:tabs>
              <w:tab w:val="right" w:leader="dot" w:pos="8306"/>
            </w:tabs>
            <w:ind w:left="420"/>
          </w:pPr>
          <w:r>
            <w:fldChar w:fldCharType="begin"/>
          </w:r>
          <w:r>
            <w:instrText xml:space="preserve"> HYPERLINK \l "_Toc10251" </w:instrText>
          </w:r>
          <w:r>
            <w:fldChar w:fldCharType="separate"/>
          </w:r>
          <w:r>
            <w:rPr>
              <w:rFonts w:hint="eastAsia" w:ascii="黑体" w:hAnsi="黑体" w:eastAsia="黑体"/>
            </w:rPr>
            <w:t>十、其他重要事项的情况说明</w:t>
          </w:r>
          <w:r>
            <w:tab/>
          </w:r>
          <w:r>
            <w:fldChar w:fldCharType="begin"/>
          </w:r>
          <w:r>
            <w:instrText xml:space="preserve"> PAGEREF _Toc10251 </w:instrText>
          </w:r>
          <w:r>
            <w:fldChar w:fldCharType="separate"/>
          </w:r>
          <w:r>
            <w:t>10</w:t>
          </w:r>
          <w:r>
            <w:fldChar w:fldCharType="end"/>
          </w:r>
          <w:r>
            <w:fldChar w:fldCharType="end"/>
          </w:r>
        </w:p>
        <w:p>
          <w:pPr>
            <w:pStyle w:val="34"/>
            <w:tabs>
              <w:tab w:val="right" w:leader="dot" w:pos="8306"/>
            </w:tabs>
            <w:rPr>
              <w:b/>
            </w:rPr>
          </w:pPr>
          <w:r>
            <w:fldChar w:fldCharType="begin"/>
          </w:r>
          <w:r>
            <w:instrText xml:space="preserve"> HYPERLINK \l "_Toc24006" </w:instrText>
          </w:r>
          <w:r>
            <w:fldChar w:fldCharType="separate"/>
          </w:r>
          <w:r>
            <w:rPr>
              <w:rFonts w:hint="eastAsia" w:ascii="黑体" w:hAnsi="黑体" w:eastAsia="黑体"/>
              <w:b/>
            </w:rPr>
            <w:t>第三部分</w:t>
          </w:r>
          <w:r>
            <w:rPr>
              <w:rFonts w:hint="eastAsia" w:ascii="黑体" w:hAnsi="黑体" w:eastAsia="黑体"/>
              <w:b/>
              <w:lang w:val="en-US" w:eastAsia="zh-CN"/>
            </w:rPr>
            <w:t xml:space="preserve">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_Toc24006 </w:instrText>
          </w:r>
          <w:r>
            <w:rPr>
              <w:b/>
            </w:rPr>
            <w:fldChar w:fldCharType="separate"/>
          </w:r>
          <w:r>
            <w:rPr>
              <w:b/>
            </w:rPr>
            <w:t>11</w:t>
          </w:r>
          <w:r>
            <w:rPr>
              <w:b/>
            </w:rPr>
            <w:fldChar w:fldCharType="end"/>
          </w:r>
          <w:r>
            <w:rPr>
              <w:b/>
            </w:rPr>
            <w:fldChar w:fldCharType="end"/>
          </w:r>
        </w:p>
        <w:p>
          <w:pPr>
            <w:pStyle w:val="34"/>
            <w:tabs>
              <w:tab w:val="right" w:leader="dot" w:pos="8306"/>
            </w:tabs>
            <w:rPr>
              <w:b/>
            </w:rPr>
          </w:pPr>
          <w:r>
            <w:fldChar w:fldCharType="begin"/>
          </w:r>
          <w:r>
            <w:instrText xml:space="preserve"> HYPERLINK \l "_Toc5747" </w:instrText>
          </w:r>
          <w:r>
            <w:fldChar w:fldCharType="separate"/>
          </w:r>
          <w:r>
            <w:rPr>
              <w:rFonts w:hint="eastAsia" w:ascii="黑体" w:hAnsi="黑体" w:eastAsia="黑体"/>
              <w:b/>
              <w:szCs w:val="44"/>
            </w:rPr>
            <w:t>第</w:t>
          </w:r>
          <w:r>
            <w:rPr>
              <w:rFonts w:hint="eastAsia" w:ascii="黑体" w:hAnsi="黑体" w:eastAsia="黑体"/>
              <w:b/>
            </w:rPr>
            <w:t>四</w:t>
          </w:r>
          <w:r>
            <w:rPr>
              <w:rFonts w:hint="eastAsia" w:ascii="黑体" w:hAnsi="黑体" w:eastAsia="黑体"/>
              <w:b/>
              <w:u w:val="none" w:color="000000"/>
            </w:rPr>
            <w:t>部分</w:t>
          </w:r>
          <w:r>
            <w:rPr>
              <w:rFonts w:hint="eastAsia" w:ascii="黑体" w:hAnsi="黑体" w:eastAsia="黑体"/>
              <w:b/>
              <w:lang w:val="en-US" w:eastAsia="zh-CN"/>
            </w:rPr>
            <w:t xml:space="preserve"> </w:t>
          </w:r>
          <w:r>
            <w:rPr>
              <w:rFonts w:hint="eastAsia" w:ascii="黑体" w:hAnsi="黑体" w:eastAsia="黑体"/>
              <w:b/>
            </w:rPr>
            <w:t>附件</w:t>
          </w:r>
          <w:r>
            <w:rPr>
              <w:b/>
            </w:rPr>
            <w:tab/>
          </w:r>
          <w:r>
            <w:rPr>
              <w:b/>
            </w:rPr>
            <w:fldChar w:fldCharType="begin"/>
          </w:r>
          <w:r>
            <w:rPr>
              <w:b/>
            </w:rPr>
            <w:instrText xml:space="preserve"> PAGEREF _Toc5747 </w:instrText>
          </w:r>
          <w:r>
            <w:rPr>
              <w:b/>
            </w:rPr>
            <w:fldChar w:fldCharType="separate"/>
          </w:r>
          <w:r>
            <w:rPr>
              <w:b/>
            </w:rPr>
            <w:t>14</w:t>
          </w:r>
          <w:r>
            <w:rPr>
              <w:b/>
            </w:rPr>
            <w:fldChar w:fldCharType="end"/>
          </w:r>
          <w:r>
            <w:rPr>
              <w:b/>
            </w:rPr>
            <w:fldChar w:fldCharType="end"/>
          </w:r>
        </w:p>
        <w:p>
          <w:pPr>
            <w:pStyle w:val="34"/>
            <w:tabs>
              <w:tab w:val="right" w:leader="dot" w:pos="8306"/>
            </w:tabs>
            <w:rPr>
              <w:b/>
            </w:rPr>
          </w:pPr>
          <w:r>
            <w:fldChar w:fldCharType="begin"/>
          </w:r>
          <w:r>
            <w:instrText xml:space="preserve"> HYPERLINK \l "_Toc16195" </w:instrText>
          </w:r>
          <w:r>
            <w:fldChar w:fldCharType="separate"/>
          </w:r>
          <w:r>
            <w:rPr>
              <w:rFonts w:hint="eastAsia" w:ascii="黑体" w:hAnsi="黑体" w:eastAsia="黑体" w:cs="黑体"/>
              <w:b/>
              <w:szCs w:val="32"/>
            </w:rPr>
            <w:t>附件</w:t>
          </w:r>
          <w:r>
            <w:rPr>
              <w:b/>
            </w:rPr>
            <w:tab/>
          </w:r>
          <w:r>
            <w:rPr>
              <w:b/>
            </w:rPr>
            <w:fldChar w:fldCharType="begin"/>
          </w:r>
          <w:r>
            <w:rPr>
              <w:b/>
            </w:rPr>
            <w:instrText xml:space="preserve"> PAGEREF _Toc16195 </w:instrText>
          </w:r>
          <w:r>
            <w:rPr>
              <w:b/>
            </w:rPr>
            <w:fldChar w:fldCharType="separate"/>
          </w:r>
          <w:r>
            <w:rPr>
              <w:b/>
            </w:rPr>
            <w:t>14</w:t>
          </w:r>
          <w:r>
            <w:rPr>
              <w:b/>
            </w:rPr>
            <w:fldChar w:fldCharType="end"/>
          </w:r>
          <w:r>
            <w:rPr>
              <w:b/>
            </w:rPr>
            <w:fldChar w:fldCharType="end"/>
          </w:r>
        </w:p>
        <w:p>
          <w:pPr>
            <w:pStyle w:val="34"/>
            <w:tabs>
              <w:tab w:val="right" w:leader="dot" w:pos="8306"/>
            </w:tabs>
            <w:rPr>
              <w:b/>
            </w:rPr>
          </w:pPr>
          <w:r>
            <w:fldChar w:fldCharType="begin"/>
          </w:r>
          <w:r>
            <w:instrText xml:space="preserve"> HYPERLINK \l "_Toc27386" </w:instrText>
          </w:r>
          <w:r>
            <w:fldChar w:fldCharType="separate"/>
          </w:r>
          <w:r>
            <w:rPr>
              <w:rFonts w:hint="eastAsia" w:ascii="黑体" w:hAnsi="黑体" w:eastAsia="黑体"/>
              <w:b/>
              <w:szCs w:val="44"/>
            </w:rPr>
            <w:t>第</w:t>
          </w:r>
          <w:r>
            <w:rPr>
              <w:rFonts w:hint="eastAsia" w:ascii="黑体" w:hAnsi="黑体" w:eastAsia="黑体"/>
              <w:b/>
            </w:rPr>
            <w:t>五部分</w:t>
          </w:r>
          <w:r>
            <w:rPr>
              <w:rFonts w:hint="eastAsia" w:ascii="黑体" w:hAnsi="黑体" w:eastAsia="黑体"/>
              <w:b/>
              <w:lang w:val="en-US" w:eastAsia="zh-CN"/>
            </w:rPr>
            <w:t xml:space="preserve"> </w:t>
          </w:r>
          <w:r>
            <w:rPr>
              <w:rFonts w:hint="eastAsia" w:ascii="黑体" w:hAnsi="黑体" w:eastAsia="黑体"/>
              <w:b/>
            </w:rPr>
            <w:t>附表</w:t>
          </w:r>
          <w:r>
            <w:rPr>
              <w:b/>
            </w:rPr>
            <w:tab/>
          </w:r>
          <w:r>
            <w:rPr>
              <w:b/>
            </w:rPr>
            <w:fldChar w:fldCharType="begin"/>
          </w:r>
          <w:r>
            <w:rPr>
              <w:b/>
            </w:rPr>
            <w:instrText xml:space="preserve"> PAGEREF _Toc27386 </w:instrText>
          </w:r>
          <w:r>
            <w:rPr>
              <w:b/>
            </w:rPr>
            <w:fldChar w:fldCharType="separate"/>
          </w:r>
          <w:r>
            <w:rPr>
              <w:b/>
            </w:rPr>
            <w:t>23</w:t>
          </w:r>
          <w:r>
            <w:rPr>
              <w:b/>
            </w:rPr>
            <w:fldChar w:fldCharType="end"/>
          </w:r>
          <w:r>
            <w:rPr>
              <w:b/>
            </w:rPr>
            <w:fldChar w:fldCharType="end"/>
          </w:r>
        </w:p>
        <w:p>
          <w:pPr>
            <w:pStyle w:val="35"/>
            <w:tabs>
              <w:tab w:val="right" w:leader="dot" w:pos="8306"/>
            </w:tabs>
            <w:ind w:left="420"/>
          </w:pPr>
          <w:r>
            <w:fldChar w:fldCharType="begin"/>
          </w:r>
          <w:r>
            <w:instrText xml:space="preserve"> HYPERLINK \l "_Toc22862" </w:instrText>
          </w:r>
          <w:r>
            <w:fldChar w:fldCharType="separate"/>
          </w:r>
          <w:r>
            <w:rPr>
              <w:rFonts w:hint="eastAsia" w:ascii="仿宋" w:hAnsi="仿宋" w:eastAsia="仿宋"/>
            </w:rPr>
            <w:t>一、收入支出决算总表</w:t>
          </w:r>
          <w:r>
            <w:tab/>
          </w:r>
          <w:r>
            <w:fldChar w:fldCharType="begin"/>
          </w:r>
          <w:r>
            <w:instrText xml:space="preserve"> PAGEREF _Toc22862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"_Toc19996" </w:instrText>
          </w:r>
          <w:r>
            <w:fldChar w:fldCharType="separate"/>
          </w:r>
          <w:r>
            <w:rPr>
              <w:rFonts w:hint="eastAsia" w:ascii="仿宋" w:hAnsi="仿宋" w:eastAsia="仿宋"/>
            </w:rPr>
            <w:t>二、收入决算表</w:t>
          </w:r>
          <w:r>
            <w:tab/>
          </w:r>
          <w:r>
            <w:fldChar w:fldCharType="begin"/>
          </w:r>
          <w:r>
            <w:instrText xml:space="preserve"> PAGEREF _Toc19996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"_Toc13250" </w:instrText>
          </w:r>
          <w:r>
            <w:fldChar w:fldCharType="separate"/>
          </w:r>
          <w:r>
            <w:rPr>
              <w:rFonts w:hint="eastAsia" w:ascii="仿宋" w:hAnsi="仿宋" w:eastAsia="仿宋"/>
            </w:rPr>
            <w:t>三、支出决算表</w:t>
          </w:r>
          <w:r>
            <w:tab/>
          </w:r>
          <w:r>
            <w:fldChar w:fldCharType="begin"/>
          </w:r>
          <w:r>
            <w:instrText xml:space="preserve"> PAGEREF _Toc13250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"_Toc27724" </w:instrText>
          </w:r>
          <w:r>
            <w:fldChar w:fldCharType="separate"/>
          </w:r>
          <w:r>
            <w:rPr>
              <w:rFonts w:hint="eastAsia" w:ascii="仿宋" w:hAnsi="仿宋" w:eastAsia="仿宋"/>
            </w:rPr>
            <w:t>四、财政拨款收入支出决算总表</w:t>
          </w:r>
          <w:r>
            <w:tab/>
          </w:r>
          <w:r>
            <w:fldChar w:fldCharType="begin"/>
          </w:r>
          <w:r>
            <w:instrText xml:space="preserve"> PAGEREF _Toc27724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"_Toc9518" </w:instrText>
          </w:r>
          <w:r>
            <w:fldChar w:fldCharType="separate"/>
          </w:r>
          <w:r>
            <w:rPr>
              <w:rFonts w:hint="eastAsia" w:ascii="仿宋" w:hAnsi="仿宋" w:eastAsia="仿宋"/>
            </w:rPr>
            <w:t>五、财政拨款支出决算明细表</w:t>
          </w:r>
          <w:r>
            <w:tab/>
          </w:r>
          <w:r>
            <w:fldChar w:fldCharType="begin"/>
          </w:r>
          <w:r>
            <w:instrText xml:space="preserve"> PAGEREF _Toc9518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"_Toc13882" </w:instrText>
          </w:r>
          <w:r>
            <w:fldChar w:fldCharType="separate"/>
          </w:r>
          <w:r>
            <w:rPr>
              <w:rFonts w:hint="eastAsia" w:ascii="仿宋" w:hAnsi="仿宋" w:eastAsia="仿宋"/>
            </w:rPr>
            <w:t>六、一般公共预算财政拨款支出决算表</w:t>
          </w:r>
          <w:r>
            <w:tab/>
          </w:r>
          <w:r>
            <w:fldChar w:fldCharType="begin"/>
          </w:r>
          <w:r>
            <w:instrText xml:space="preserve"> PAGEREF _Toc13882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"_Toc26221" </w:instrText>
          </w:r>
          <w:r>
            <w:fldChar w:fldCharType="separate"/>
          </w:r>
          <w:r>
            <w:rPr>
              <w:rFonts w:hint="eastAsia" w:ascii="仿宋" w:hAnsi="仿宋" w:eastAsia="仿宋"/>
            </w:rPr>
            <w:t>七、一般公共预算财政拨款支出决算明细表</w:t>
          </w:r>
          <w:r>
            <w:tab/>
          </w:r>
          <w:r>
            <w:fldChar w:fldCharType="begin"/>
          </w:r>
          <w:r>
            <w:instrText xml:space="preserve"> PAGEREF _Toc26221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"_Toc10366" </w:instrText>
          </w:r>
          <w:r>
            <w:fldChar w:fldCharType="separate"/>
          </w:r>
          <w:r>
            <w:rPr>
              <w:rFonts w:hint="eastAsia" w:ascii="仿宋" w:hAnsi="仿宋" w:eastAsia="仿宋"/>
            </w:rPr>
            <w:t>八、一般公共预算财政拨款基本支出决算表</w:t>
          </w:r>
          <w:r>
            <w:tab/>
          </w:r>
          <w:r>
            <w:fldChar w:fldCharType="begin"/>
          </w:r>
          <w:r>
            <w:instrText xml:space="preserve"> PAGEREF _Toc10366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"_Toc13373" </w:instrText>
          </w:r>
          <w:r>
            <w:fldChar w:fldCharType="separate"/>
          </w:r>
          <w:r>
            <w:rPr>
              <w:rFonts w:hint="eastAsia" w:ascii="仿宋" w:hAnsi="仿宋" w:eastAsia="仿宋"/>
            </w:rPr>
            <w:t>九、一般公共预算财政拨款项目支出决算表</w:t>
          </w:r>
          <w:r>
            <w:tab/>
          </w:r>
          <w:r>
            <w:fldChar w:fldCharType="begin"/>
          </w:r>
          <w:r>
            <w:instrText xml:space="preserve"> PAGEREF _Toc13373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"_Toc32089"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_Toc32089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"_Toc30318"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_Toc30318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"_Toc418"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_Toc418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"_Toc24986"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_Toc24986 </w:instrText>
          </w:r>
          <w:r>
            <w:fldChar w:fldCharType="separate"/>
          </w:r>
          <w:r>
            <w:t>23</w:t>
          </w:r>
          <w:r>
            <w:fldChar w:fldCharType="end"/>
          </w:r>
          <w:r>
            <w:fldChar w:fldCharType="end"/>
          </w:r>
        </w:p>
        <w:p>
          <w:pPr>
            <w:pStyle w:val="35"/>
            <w:tabs>
              <w:tab w:val="right" w:leader="dot" w:pos="8306"/>
            </w:tabs>
            <w:ind w:left="420"/>
          </w:pPr>
          <w:r>
            <w:fldChar w:fldCharType="begin"/>
          </w:r>
          <w:r>
            <w:instrText xml:space="preserve"> HYPERLINK \l "_Toc20009"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_Toc20009 </w:instrText>
          </w:r>
          <w:r>
            <w:fldChar w:fldCharType="separate"/>
          </w:r>
          <w:r>
            <w:t>23</w:t>
          </w:r>
          <w:r>
            <w:fldChar w:fldCharType="end"/>
          </w:r>
          <w:r>
            <w:fldChar w:fldCharType="end"/>
          </w:r>
        </w:p>
        <w:p>
          <w:r>
            <w:rPr>
              <w:b/>
            </w:rPr>
            <w:fldChar w:fldCharType="end"/>
          </w:r>
        </w:p>
      </w:sdtContent>
    </w:sdt>
    <w:p>
      <w:pPr>
        <w:pStyle w:val="11"/>
        <w:jc w:val="center"/>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bookmarkStart w:id="15" w:name="_Toc2902"/>
    </w:p>
    <w:p>
      <w:pPr>
        <w:pStyle w:val="11"/>
        <w:jc w:val="center"/>
        <w:rPr>
          <w:rStyle w:val="27"/>
          <w:rFonts w:ascii="黑体" w:hAnsi="黑体" w:eastAsia="黑体"/>
          <w:b/>
          <w:bCs w:val="0"/>
        </w:rPr>
      </w:pPr>
      <w:r>
        <w:rPr>
          <w:rFonts w:hint="eastAsia" w:ascii="黑体" w:hAnsi="黑体" w:eastAsia="黑体"/>
          <w:b w:val="0"/>
        </w:rPr>
        <w:t>第一部分</w:t>
      </w:r>
      <w:r>
        <w:rPr>
          <w:rStyle w:val="27"/>
          <w:rFonts w:hint="eastAsia" w:ascii="黑体" w:hAnsi="黑体" w:eastAsia="黑体"/>
          <w:b w:val="0"/>
          <w:bCs w:val="0"/>
        </w:rPr>
        <w:t>部门概况</w:t>
      </w:r>
      <w:bookmarkEnd w:id="14"/>
      <w:bookmarkEnd w:id="15"/>
    </w:p>
    <w:p>
      <w:pPr>
        <w:pStyle w:val="12"/>
        <w:spacing w:before="0" w:after="0" w:line="560" w:lineRule="exact"/>
        <w:ind w:firstLine="640" w:firstLineChars="200"/>
        <w:rPr>
          <w:rStyle w:val="28"/>
          <w:rFonts w:ascii="仿宋" w:hAnsi="仿宋" w:eastAsia="仿宋"/>
          <w:b w:val="0"/>
          <w:bCs w:val="0"/>
        </w:rPr>
      </w:pPr>
      <w:bookmarkStart w:id="16" w:name="_Toc15377197"/>
      <w:bookmarkStart w:id="17" w:name="_Toc15396600"/>
      <w:bookmarkStart w:id="18" w:name="_Toc27383"/>
      <w:r>
        <w:rPr>
          <w:rFonts w:hint="eastAsia" w:ascii="黑体" w:hAnsi="黑体" w:eastAsia="黑体"/>
          <w:b w:val="0"/>
        </w:rPr>
        <w:t>一、基</w:t>
      </w:r>
      <w:r>
        <w:rPr>
          <w:rStyle w:val="28"/>
          <w:rFonts w:hint="eastAsia" w:ascii="黑体" w:hAnsi="黑体" w:eastAsia="黑体"/>
          <w:b w:val="0"/>
          <w:bCs w:val="0"/>
        </w:rPr>
        <w:t>本职能及主要工作</w:t>
      </w:r>
      <w:bookmarkEnd w:id="16"/>
      <w:bookmarkEnd w:id="17"/>
      <w:bookmarkEnd w:id="18"/>
    </w:p>
    <w:p>
      <w:pPr>
        <w:pStyle w:val="3"/>
        <w:adjustRightInd w:val="0"/>
        <w:snapToGrid w:val="0"/>
        <w:spacing w:beforeLines="0" w:line="560" w:lineRule="exact"/>
        <w:ind w:firstLine="675" w:firstLineChars="210"/>
        <w:outlineLvl w:val="2"/>
        <w:rPr>
          <w:rFonts w:ascii="仿宋" w:hAnsi="仿宋" w:eastAsia="仿宋"/>
          <w:bCs/>
          <w:sz w:val="32"/>
          <w:szCs w:val="32"/>
        </w:rPr>
      </w:pPr>
      <w:bookmarkStart w:id="19" w:name="_Toc15377198"/>
      <w:bookmarkStart w:id="20" w:name="_Toc15378445"/>
      <w:r>
        <w:rPr>
          <w:rFonts w:hint="eastAsia" w:ascii="仿宋" w:hAnsi="仿宋" w:eastAsia="仿宋"/>
          <w:b/>
          <w:sz w:val="32"/>
          <w:szCs w:val="32"/>
        </w:rPr>
        <w:t>（一）主要职能。</w:t>
      </w:r>
      <w:bookmarkEnd w:id="19"/>
      <w:bookmarkEnd w:id="20"/>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一是根据县政府授权，依照《中华人民共和国公司法》《中华人民共和国企业国有资产法》等法律法规，依法对县属国有企业履行出资人职责，监管县属企业的国有资产，加强国有资产管理工作。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二是研究拟定国有资产管理的规范性文件，制定或拟定有关制度，依法监管企业国有资产。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三是承担监督所监管企业国有资产保值增值的责任。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四是加强企业负责人管理，完善经营者激励和约束制度。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五是依法向企业派驻监事和加强监事会日常管理。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六是加强国有资本经营预算管理。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七是协调中央、省、市、外地在通江国有企业改革发展中与地方相关事宜。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八是承办县委、县政府交办的其他事项。</w:t>
      </w:r>
    </w:p>
    <w:p>
      <w:pPr>
        <w:spacing w:line="560" w:lineRule="exact"/>
        <w:ind w:firstLine="643" w:firstLineChars="200"/>
        <w:rPr>
          <w:rFonts w:ascii="仿宋" w:hAnsi="仿宋" w:eastAsia="仿宋"/>
          <w:b/>
          <w:sz w:val="32"/>
          <w:szCs w:val="32"/>
        </w:rPr>
      </w:pPr>
      <w:bookmarkStart w:id="21" w:name="_Toc15378446"/>
      <w:bookmarkStart w:id="22" w:name="_Toc15377199"/>
      <w:r>
        <w:rPr>
          <w:rFonts w:hint="eastAsia" w:ascii="仿宋" w:hAnsi="仿宋" w:eastAsia="仿宋"/>
          <w:b/>
          <w:sz w:val="32"/>
          <w:szCs w:val="32"/>
        </w:rPr>
        <w:t>（二）</w:t>
      </w:r>
      <w:r>
        <w:rPr>
          <w:rFonts w:ascii="仿宋" w:hAnsi="仿宋" w:eastAsia="仿宋"/>
          <w:b/>
          <w:sz w:val="32"/>
          <w:szCs w:val="32"/>
        </w:rPr>
        <w:t>20</w:t>
      </w:r>
      <w:r>
        <w:rPr>
          <w:rFonts w:hint="eastAsia" w:ascii="仿宋" w:hAnsi="仿宋" w:eastAsia="仿宋"/>
          <w:b/>
          <w:sz w:val="32"/>
          <w:szCs w:val="32"/>
        </w:rPr>
        <w:t>21年重点工作完成情况。</w:t>
      </w:r>
      <w:bookmarkEnd w:id="21"/>
      <w:bookmarkEnd w:id="22"/>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一是</w:t>
      </w:r>
      <w:r>
        <w:rPr>
          <w:rFonts w:hint="eastAsia" w:ascii="仿宋_GB2312" w:hAnsi="仿宋" w:eastAsia="仿宋_GB2312"/>
          <w:sz w:val="32"/>
          <w:szCs w:val="32"/>
        </w:rPr>
        <w:t>持续深化国资国企改革。制定了《通江县国有资本运营发展战略规划》，为全县国企改革提供了战略方向；全面推进国有企业负责人薪酬制度改革，牵头落实了《县属国有企业功能界定与分类监管方案》《关于深化县属国有企业董事会改革建立专职外部董事队伍的意见》等制度，提升了国有资产监督管理的科学性。</w:t>
      </w: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二是</w:t>
      </w:r>
      <w:r>
        <w:rPr>
          <w:rFonts w:hint="eastAsia" w:ascii="仿宋_GB2312" w:hAnsi="仿宋" w:eastAsia="仿宋_GB2312"/>
          <w:sz w:val="32"/>
          <w:szCs w:val="32"/>
        </w:rPr>
        <w:t>服务城市建设成效显著。统筹安排投融资公司积极投身于城市建设，运用资产抵押、参与“</w:t>
      </w:r>
      <w:r>
        <w:rPr>
          <w:rFonts w:ascii="仿宋_GB2312" w:hAnsi="仿宋" w:eastAsia="仿宋_GB2312"/>
          <w:sz w:val="32"/>
          <w:szCs w:val="32"/>
        </w:rPr>
        <w:t>PPP</w:t>
      </w:r>
      <w:r>
        <w:rPr>
          <w:rFonts w:hint="eastAsia" w:ascii="仿宋_GB2312" w:hAnsi="仿宋" w:eastAsia="仿宋_GB2312"/>
          <w:sz w:val="32"/>
          <w:szCs w:val="32"/>
        </w:rPr>
        <w:t>”项目、发行债券等多种融资渠道，积极参与五马桥和老东门棚户区改造、高明新区建设、高明大道、壁州大道、易地扶贫搬迁以及城乡供水管网等重点项目建设，服务县域经济发展。</w:t>
      </w:r>
    </w:p>
    <w:p>
      <w:pPr>
        <w:pStyle w:val="12"/>
        <w:spacing w:before="0" w:after="0" w:line="560" w:lineRule="exact"/>
        <w:ind w:firstLine="640" w:firstLineChars="200"/>
        <w:rPr>
          <w:rStyle w:val="28"/>
          <w:b w:val="0"/>
          <w:bCs w:val="0"/>
        </w:rPr>
      </w:pPr>
      <w:bookmarkStart w:id="23" w:name="_Toc15396601"/>
      <w:bookmarkStart w:id="24" w:name="_Toc15377200"/>
      <w:bookmarkStart w:id="25" w:name="_Toc15225"/>
      <w:r>
        <w:rPr>
          <w:rFonts w:hint="eastAsia" w:ascii="黑体" w:eastAsia="黑体"/>
          <w:b w:val="0"/>
        </w:rPr>
        <w:t>二、</w:t>
      </w:r>
      <w:r>
        <w:rPr>
          <w:rFonts w:hint="eastAsia" w:ascii="黑体" w:hAnsi="黑体" w:eastAsia="黑体"/>
          <w:b w:val="0"/>
        </w:rPr>
        <w:t>机</w:t>
      </w:r>
      <w:r>
        <w:rPr>
          <w:rStyle w:val="28"/>
          <w:rFonts w:hint="eastAsia" w:ascii="黑体" w:hAnsi="黑体" w:eastAsia="黑体"/>
          <w:b w:val="0"/>
          <w:bCs w:val="0"/>
        </w:rPr>
        <w:t>构设置</w:t>
      </w:r>
      <w:bookmarkEnd w:id="23"/>
      <w:bookmarkEnd w:id="24"/>
      <w:bookmarkEnd w:id="25"/>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（一）机构人员情况。通江县国有资产监督管理委员会由两股一室（国有资产监管股、财务监督与评价股和办公室）组成</w:t>
      </w:r>
      <w:r>
        <w:t>，</w:t>
      </w:r>
      <w:r>
        <w:rPr>
          <w:rFonts w:hint="eastAsia" w:ascii="仿宋_GB2312" w:hAnsi="仿宋" w:eastAsia="仿宋_GB2312"/>
          <w:sz w:val="32"/>
          <w:szCs w:val="32"/>
        </w:rPr>
        <w:t>设定编制</w:t>
      </w:r>
      <w:r>
        <w:rPr>
          <w:rFonts w:ascii="仿宋_GB2312" w:hAnsi="仿宋" w:eastAsia="仿宋_GB2312"/>
          <w:sz w:val="32"/>
          <w:szCs w:val="32"/>
        </w:rPr>
        <w:t>11</w:t>
      </w:r>
      <w:r>
        <w:rPr>
          <w:rFonts w:hint="eastAsia" w:ascii="仿宋_GB2312" w:hAnsi="仿宋" w:eastAsia="仿宋_GB2312"/>
          <w:sz w:val="32"/>
          <w:szCs w:val="32"/>
        </w:rPr>
        <w:t>人，现有人数1</w:t>
      </w:r>
      <w:r>
        <w:rPr>
          <w:rFonts w:ascii="仿宋_GB2312" w:hAnsi="仿宋" w:eastAsia="仿宋_GB2312"/>
          <w:sz w:val="32"/>
          <w:szCs w:val="32"/>
        </w:rPr>
        <w:t>1</w:t>
      </w:r>
      <w:r>
        <w:rPr>
          <w:rFonts w:hint="eastAsia" w:ascii="仿宋_GB2312" w:hAnsi="仿宋" w:eastAsia="仿宋_GB2312"/>
          <w:sz w:val="32"/>
          <w:szCs w:val="32"/>
        </w:rPr>
        <w:t>人，其中：办公室</w:t>
      </w:r>
      <w:r>
        <w:rPr>
          <w:rFonts w:ascii="仿宋_GB2312" w:hAnsi="仿宋" w:eastAsia="仿宋_GB2312"/>
          <w:sz w:val="32"/>
          <w:szCs w:val="32"/>
        </w:rPr>
        <w:t>3</w:t>
      </w:r>
      <w:r>
        <w:rPr>
          <w:rFonts w:hint="eastAsia" w:ascii="仿宋_GB2312" w:hAnsi="仿宋" w:eastAsia="仿宋_GB2312"/>
          <w:sz w:val="32"/>
          <w:szCs w:val="32"/>
        </w:rPr>
        <w:t>人、国有资产监管股</w:t>
      </w:r>
      <w:r>
        <w:rPr>
          <w:rFonts w:ascii="仿宋_GB2312" w:hAnsi="仿宋" w:eastAsia="仿宋_GB2312"/>
          <w:sz w:val="32"/>
          <w:szCs w:val="32"/>
        </w:rPr>
        <w:t>3</w:t>
      </w:r>
      <w:r>
        <w:rPr>
          <w:rFonts w:hint="eastAsia" w:ascii="仿宋_GB2312" w:hAnsi="仿宋" w:eastAsia="仿宋_GB2312"/>
          <w:sz w:val="32"/>
          <w:szCs w:val="32"/>
        </w:rPr>
        <w:t>人、财务监督与评价股3人、领导班子成员2人。事业身份1</w:t>
      </w:r>
      <w:r>
        <w:rPr>
          <w:rFonts w:ascii="仿宋_GB2312" w:hAnsi="仿宋" w:eastAsia="仿宋_GB2312"/>
          <w:sz w:val="32"/>
          <w:szCs w:val="32"/>
        </w:rPr>
        <w:t>1</w:t>
      </w:r>
      <w:r>
        <w:rPr>
          <w:rFonts w:hint="eastAsia" w:ascii="仿宋_GB2312" w:hAnsi="仿宋" w:eastAsia="仿宋_GB2312"/>
          <w:sz w:val="32"/>
          <w:szCs w:val="32"/>
        </w:rPr>
        <w:t>人。</w:t>
      </w:r>
    </w:p>
    <w:p>
      <w:pPr>
        <w:spacing w:line="560" w:lineRule="exact"/>
        <w:ind w:firstLine="800" w:firstLineChars="250"/>
        <w:rPr>
          <w:rFonts w:ascii="仿宋" w:hAnsi="仿宋" w:eastAsia="仿宋"/>
          <w:sz w:val="32"/>
          <w:szCs w:val="32"/>
        </w:rPr>
      </w:pPr>
      <w:r>
        <w:rPr>
          <w:rFonts w:hint="eastAsia" w:ascii="仿宋_GB2312" w:hAnsi="仿宋" w:eastAsia="仿宋_GB2312"/>
          <w:sz w:val="32"/>
          <w:szCs w:val="32"/>
        </w:rPr>
        <w:t>（二）机构人员当年变动情况及原因。通江县国有资产监督管理委员会现有1</w:t>
      </w:r>
      <w:r>
        <w:rPr>
          <w:rFonts w:ascii="仿宋_GB2312" w:hAnsi="仿宋" w:eastAsia="仿宋_GB2312"/>
          <w:sz w:val="32"/>
          <w:szCs w:val="32"/>
        </w:rPr>
        <w:t>1</w:t>
      </w:r>
      <w:r>
        <w:rPr>
          <w:rFonts w:hint="eastAsia" w:ascii="仿宋_GB2312" w:hAnsi="仿宋" w:eastAsia="仿宋_GB2312"/>
          <w:sz w:val="32"/>
          <w:szCs w:val="32"/>
        </w:rPr>
        <w:t>人，总人数与</w:t>
      </w:r>
      <w:r>
        <w:rPr>
          <w:rFonts w:ascii="仿宋_GB2312" w:hAnsi="仿宋" w:eastAsia="仿宋_GB2312"/>
          <w:sz w:val="32"/>
          <w:szCs w:val="32"/>
        </w:rPr>
        <w:t>2020</w:t>
      </w:r>
      <w:r>
        <w:rPr>
          <w:rFonts w:hint="eastAsia" w:ascii="仿宋_GB2312" w:hAnsi="仿宋" w:eastAsia="仿宋_GB2312"/>
          <w:sz w:val="32"/>
          <w:szCs w:val="32"/>
        </w:rPr>
        <w:t>年增加1人。</w:t>
      </w:r>
    </w:p>
    <w:p>
      <w:pPr>
        <w:widowControl/>
        <w:spacing w:line="560" w:lineRule="exact"/>
        <w:jc w:val="left"/>
        <w:rPr>
          <w:rFonts w:ascii="仿宋" w:hAnsi="仿宋" w:eastAsia="仿宋"/>
          <w:kern w:val="0"/>
          <w:sz w:val="32"/>
          <w:szCs w:val="32"/>
          <w:u w:val="none" w:color="000000"/>
        </w:rPr>
      </w:pPr>
      <w:r>
        <w:rPr>
          <w:u w:val="none" w:color="000000"/>
        </w:rPr>
        <w:br w:type="page"/>
      </w:r>
    </w:p>
    <w:p>
      <w:pPr>
        <w:pStyle w:val="11"/>
        <w:ind w:right="440"/>
        <w:jc w:val="center"/>
        <w:rPr>
          <w:rStyle w:val="27"/>
          <w:rFonts w:ascii="黑体" w:hAnsi="黑体" w:eastAsia="黑体"/>
          <w:b w:val="0"/>
          <w:bCs/>
        </w:rPr>
      </w:pPr>
      <w:bookmarkStart w:id="26" w:name="_Toc15396602"/>
      <w:bookmarkStart w:id="27" w:name="_Toc21747"/>
      <w:bookmarkStart w:id="28" w:name="_Toc15377204"/>
      <w:r>
        <w:rPr>
          <w:rFonts w:hint="eastAsia" w:ascii="黑体" w:hAnsi="黑体" w:eastAsia="黑体"/>
          <w:b w:val="0"/>
        </w:rPr>
        <w:t>第二部分</w:t>
      </w:r>
      <w:r>
        <w:rPr>
          <w:rFonts w:hint="eastAsia" w:ascii="黑体" w:hAnsi="黑体" w:eastAsia="黑体"/>
          <w:b w:val="0"/>
          <w:lang w:val="en-US" w:eastAsia="zh-CN"/>
        </w:rPr>
        <w:t xml:space="preserve"> </w:t>
      </w:r>
      <w:r>
        <w:rPr>
          <w:rFonts w:hint="eastAsia" w:ascii="黑体" w:hAnsi="黑体" w:eastAsia="黑体"/>
          <w:b w:val="0"/>
        </w:rPr>
        <w:t>2021年度</w:t>
      </w:r>
      <w:r>
        <w:rPr>
          <w:rStyle w:val="27"/>
          <w:rFonts w:hint="eastAsia" w:ascii="黑体" w:hAnsi="黑体" w:eastAsia="黑体"/>
          <w:b w:val="0"/>
          <w:bCs/>
        </w:rPr>
        <w:t>部门决算情况说明</w:t>
      </w:r>
      <w:bookmarkEnd w:id="26"/>
      <w:bookmarkEnd w:id="27"/>
      <w:bookmarkEnd w:id="28"/>
    </w:p>
    <w:p/>
    <w:p>
      <w:pPr>
        <w:pStyle w:val="26"/>
        <w:numPr>
          <w:ilvl w:val="0"/>
          <w:numId w:val="1"/>
        </w:numPr>
        <w:spacing w:line="600" w:lineRule="exact"/>
        <w:ind w:firstLineChars="0"/>
        <w:outlineLvl w:val="1"/>
        <w:rPr>
          <w:rStyle w:val="28"/>
          <w:rFonts w:ascii="黑体" w:hAnsi="黑体" w:eastAsia="黑体"/>
          <w:b w:val="0"/>
        </w:rPr>
      </w:pPr>
      <w:bookmarkStart w:id="29" w:name="_Toc15377205"/>
      <w:bookmarkStart w:id="30" w:name="_Toc7150"/>
      <w:bookmarkStart w:id="31" w:name="_Toc15396603"/>
      <w:r>
        <w:rPr>
          <w:rFonts w:hint="eastAsia" w:ascii="黑体" w:hAnsi="黑体" w:eastAsia="黑体"/>
          <w:sz w:val="32"/>
          <w:szCs w:val="32"/>
        </w:rPr>
        <w:t>收</w:t>
      </w:r>
      <w:r>
        <w:rPr>
          <w:rStyle w:val="28"/>
          <w:rFonts w:hint="eastAsia" w:ascii="黑体" w:hAnsi="黑体" w:eastAsia="黑体"/>
          <w:b w:val="0"/>
        </w:rPr>
        <w:t>入支出决算总体情况说明</w:t>
      </w:r>
      <w:bookmarkEnd w:id="29"/>
      <w:bookmarkEnd w:id="30"/>
      <w:bookmarkEnd w:id="31"/>
    </w:p>
    <w:p>
      <w:pPr>
        <w:spacing w:line="360" w:lineRule="auto"/>
        <w:ind w:firstLine="640" w:firstLineChars="200"/>
        <w:rPr>
          <w:rFonts w:ascii="仿宋" w:hAnsi="仿宋" w:eastAsia="仿宋"/>
          <w:sz w:val="32"/>
          <w:szCs w:val="32"/>
        </w:rPr>
      </w:pPr>
      <w:r>
        <w:rPr>
          <w:rFonts w:hint="eastAsia" w:ascii="仿宋" w:hAnsi="仿宋" w:eastAsia="仿宋"/>
          <w:sz w:val="32"/>
          <w:szCs w:val="32"/>
        </w:rPr>
        <w:t>2021年度收、支总计</w:t>
      </w:r>
      <w:r>
        <w:rPr>
          <w:rFonts w:ascii="仿宋" w:hAnsi="仿宋" w:eastAsia="仿宋"/>
          <w:sz w:val="32"/>
          <w:szCs w:val="32"/>
        </w:rPr>
        <w:t>144</w:t>
      </w:r>
      <w:r>
        <w:rPr>
          <w:rFonts w:hint="eastAsia" w:ascii="仿宋" w:hAnsi="仿宋" w:eastAsia="仿宋"/>
          <w:sz w:val="32"/>
          <w:szCs w:val="32"/>
        </w:rPr>
        <w:t>万元。与2020年相比，收、支总计各减少</w:t>
      </w:r>
      <w:r>
        <w:rPr>
          <w:rFonts w:ascii="仿宋" w:hAnsi="仿宋" w:eastAsia="仿宋"/>
          <w:sz w:val="32"/>
          <w:szCs w:val="32"/>
        </w:rPr>
        <w:t>27.24</w:t>
      </w:r>
      <w:r>
        <w:rPr>
          <w:rFonts w:hint="eastAsia" w:ascii="仿宋" w:hAnsi="仿宋" w:eastAsia="仿宋"/>
          <w:sz w:val="32"/>
          <w:szCs w:val="32"/>
        </w:rPr>
        <w:t>万元，下降</w:t>
      </w:r>
      <w:r>
        <w:rPr>
          <w:rFonts w:ascii="仿宋" w:hAnsi="仿宋" w:eastAsia="仿宋"/>
          <w:sz w:val="32"/>
          <w:szCs w:val="32"/>
        </w:rPr>
        <w:t>15.9%</w:t>
      </w:r>
      <w:r>
        <w:rPr>
          <w:rFonts w:hint="eastAsia" w:ascii="仿宋" w:hAnsi="仿宋" w:eastAsia="仿宋"/>
          <w:sz w:val="32"/>
          <w:szCs w:val="32"/>
        </w:rPr>
        <w:t>。主要变动原因是经费减少。</w:t>
      </w:r>
    </w:p>
    <w:p>
      <w:pPr>
        <w:spacing w:line="360" w:lineRule="auto"/>
        <w:ind w:firstLine="640" w:firstLineChars="200"/>
        <w:rPr>
          <w:rFonts w:ascii="仿宋" w:hAnsi="仿宋" w:eastAsia="仿宋"/>
          <w:sz w:val="32"/>
          <w:szCs w:val="32"/>
        </w:rPr>
      </w:pPr>
      <w:r>
        <w:rPr>
          <w:rFonts w:ascii="仿宋" w:hAnsi="仿宋" w:eastAsia="仿宋"/>
          <w:sz w:val="32"/>
          <w:szCs w:val="32"/>
        </w:rPr>
        <w:drawing>
          <wp:inline distT="0" distB="0" distL="114300" distR="114300">
            <wp:extent cx="4467860" cy="2436495"/>
            <wp:effectExtent l="4445" t="4445" r="10795" b="10160"/>
            <wp:docPr id="587" name="_x0000_i33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32" w:name="_Toc15377206"/>
      <w:bookmarkStart w:id="33" w:name="_Toc15396604"/>
      <w:bookmarkStart w:id="34" w:name="_Toc12147"/>
      <w:r>
        <w:rPr>
          <w:rFonts w:hint="eastAsia" w:ascii="黑体" w:hAnsi="黑体" w:eastAsia="黑体"/>
          <w:sz w:val="32"/>
          <w:szCs w:val="32"/>
        </w:rPr>
        <w:t>收</w:t>
      </w:r>
      <w:r>
        <w:rPr>
          <w:rStyle w:val="28"/>
          <w:rFonts w:hint="eastAsia" w:ascii="黑体" w:hAnsi="黑体" w:eastAsia="黑体"/>
          <w:b w:val="0"/>
        </w:rPr>
        <w:t>入决算情况说明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4981"/>
      <w:r>
        <w:rPr>
          <w:rFonts w:ascii="仿宋" w:hAnsi="仿宋" w:eastAsia="仿宋"/>
          <w:sz w:val="32"/>
          <w:szCs w:val="32"/>
        </w:rPr>
        <w:t>20</w:t>
      </w:r>
      <w:r>
        <w:rPr>
          <w:rFonts w:hint="eastAsia" w:ascii="仿宋" w:hAnsi="仿宋" w:eastAsia="仿宋"/>
          <w:sz w:val="32"/>
          <w:szCs w:val="32"/>
        </w:rPr>
        <w:t>21年本年收入合计</w:t>
      </w:r>
      <w:r>
        <w:rPr>
          <w:rFonts w:ascii="仿宋" w:hAnsi="仿宋" w:eastAsia="仿宋"/>
          <w:sz w:val="32"/>
          <w:szCs w:val="32"/>
        </w:rPr>
        <w:t>144</w:t>
      </w:r>
      <w:r>
        <w:rPr>
          <w:rFonts w:hint="eastAsia" w:ascii="仿宋" w:hAnsi="仿宋" w:eastAsia="仿宋"/>
          <w:sz w:val="32"/>
          <w:szCs w:val="32"/>
        </w:rPr>
        <w:t>万元，其中：一般公共预算财政拨款收入</w:t>
      </w:r>
      <w:r>
        <w:rPr>
          <w:rFonts w:ascii="仿宋" w:hAnsi="仿宋" w:eastAsia="仿宋"/>
          <w:sz w:val="32"/>
          <w:szCs w:val="32"/>
        </w:rPr>
        <w:t>134.99</w:t>
      </w:r>
      <w:r>
        <w:rPr>
          <w:rFonts w:hint="eastAsia" w:ascii="仿宋" w:hAnsi="仿宋" w:eastAsia="仿宋"/>
          <w:sz w:val="32"/>
          <w:szCs w:val="32"/>
        </w:rPr>
        <w:t>万元，占</w:t>
      </w:r>
      <w:r>
        <w:rPr>
          <w:rFonts w:ascii="仿宋" w:hAnsi="仿宋" w:eastAsia="仿宋"/>
          <w:sz w:val="32"/>
          <w:szCs w:val="32"/>
        </w:rPr>
        <w:t>93.74%</w:t>
      </w:r>
      <w:r>
        <w:rPr>
          <w:rFonts w:hint="eastAsia" w:ascii="仿宋" w:hAnsi="仿宋" w:eastAsia="仿宋"/>
          <w:sz w:val="32"/>
          <w:szCs w:val="32"/>
        </w:rPr>
        <w:t>；政府性基金预算财政拨款收入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；国有资本经营预算财政拨款收入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；上级补助收入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；事业收入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；经营收入</w:t>
      </w:r>
      <w:r>
        <w:rPr>
          <w:rFonts w:ascii="仿宋" w:hAnsi="仿宋" w:eastAsia="仿宋"/>
          <w:sz w:val="32"/>
          <w:szCs w:val="32"/>
        </w:rPr>
        <w:t>0</w:t>
      </w:r>
      <w:r>
        <w:rPr>
          <w:rFonts w:hint="eastAsia" w:ascii="仿宋" w:hAnsi="仿宋" w:eastAsia="仿宋"/>
          <w:sz w:val="32"/>
          <w:szCs w:val="32"/>
        </w:rPr>
        <w:t>万元，占比</w:t>
      </w:r>
      <w:r>
        <w:rPr>
          <w:rFonts w:ascii="仿宋" w:hAnsi="仿宋" w:eastAsia="仿宋"/>
          <w:sz w:val="32"/>
          <w:szCs w:val="32"/>
        </w:rPr>
        <w:t>0%</w:t>
      </w:r>
      <w:r>
        <w:rPr>
          <w:rFonts w:hint="eastAsia" w:ascii="仿宋" w:hAnsi="仿宋" w:eastAsia="仿宋"/>
          <w:sz w:val="32"/>
          <w:szCs w:val="32"/>
        </w:rPr>
        <w:t>；附属单位上缴收入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；其他收入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w:t>
      </w:r>
      <w:bookmarkEnd w:id="35"/>
    </w:p>
    <w:p>
      <w:pPr>
        <w:spacing w:line="360" w:lineRule="auto"/>
        <w:ind w:firstLine="643" w:firstLineChars="200"/>
        <w:outlineLvl w:val="1"/>
        <w:rPr>
          <w:rFonts w:ascii="仿宋" w:hAnsi="仿宋" w:eastAsia="仿宋"/>
          <w:b/>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drawing>
          <wp:inline distT="0" distB="0" distL="114300" distR="114300">
            <wp:extent cx="4709795" cy="2835275"/>
            <wp:effectExtent l="4445" t="4445" r="10160" b="5080"/>
            <wp:docPr id="588" name="_x0000_i33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w:t>
      </w:r>
    </w:p>
    <w:p>
      <w:pPr>
        <w:pStyle w:val="26"/>
        <w:numPr>
          <w:ilvl w:val="0"/>
          <w:numId w:val="1"/>
        </w:numPr>
        <w:spacing w:line="600" w:lineRule="exact"/>
        <w:ind w:firstLineChars="0"/>
        <w:outlineLvl w:val="1"/>
        <w:rPr>
          <w:rStyle w:val="28"/>
          <w:rFonts w:ascii="黑体" w:hAnsi="黑体" w:eastAsia="黑体"/>
          <w:b w:val="0"/>
        </w:rPr>
      </w:pPr>
      <w:bookmarkStart w:id="36" w:name="_Toc15396605"/>
      <w:bookmarkStart w:id="37" w:name="_Toc15377207"/>
      <w:bookmarkStart w:id="38" w:name="_Toc13426"/>
      <w:r>
        <w:rPr>
          <w:rFonts w:hint="eastAsia" w:ascii="黑体" w:hAnsi="黑体" w:eastAsia="黑体"/>
          <w:sz w:val="32"/>
          <w:szCs w:val="32"/>
        </w:rPr>
        <w:t>支</w:t>
      </w:r>
      <w:r>
        <w:rPr>
          <w:rStyle w:val="28"/>
          <w:rFonts w:hint="eastAsia" w:ascii="黑体" w:hAnsi="黑体" w:eastAsia="黑体"/>
          <w:b w:val="0"/>
        </w:rPr>
        <w:t>出决算情况说明</w:t>
      </w:r>
      <w:bookmarkEnd w:id="36"/>
      <w:bookmarkEnd w:id="37"/>
      <w:bookmarkEnd w:id="38"/>
    </w:p>
    <w:p>
      <w:pPr>
        <w:spacing w:line="360" w:lineRule="auto"/>
        <w:ind w:firstLine="640" w:firstLineChars="200"/>
        <w:outlineLvl w:val="1"/>
        <w:rPr>
          <w:rFonts w:ascii="仿宋" w:hAnsi="仿宋" w:eastAsia="仿宋"/>
          <w:sz w:val="32"/>
          <w:szCs w:val="32"/>
        </w:rPr>
      </w:pPr>
      <w:bookmarkStart w:id="39" w:name="_Toc22210"/>
      <w:r>
        <w:rPr>
          <w:rFonts w:ascii="仿宋" w:hAnsi="仿宋" w:eastAsia="仿宋"/>
          <w:sz w:val="32"/>
          <w:szCs w:val="32"/>
        </w:rPr>
        <w:t>20</w:t>
      </w:r>
      <w:r>
        <w:rPr>
          <w:rFonts w:hint="eastAsia" w:ascii="仿宋" w:hAnsi="仿宋" w:eastAsia="仿宋"/>
          <w:sz w:val="32"/>
          <w:szCs w:val="32"/>
        </w:rPr>
        <w:t>21年本年支出合计</w:t>
      </w:r>
      <w:r>
        <w:rPr>
          <w:rFonts w:ascii="仿宋" w:hAnsi="仿宋" w:eastAsia="仿宋"/>
          <w:sz w:val="32"/>
          <w:szCs w:val="32"/>
        </w:rPr>
        <w:t>144</w:t>
      </w:r>
      <w:r>
        <w:rPr>
          <w:rFonts w:hint="eastAsia" w:ascii="仿宋" w:hAnsi="仿宋" w:eastAsia="仿宋"/>
          <w:sz w:val="32"/>
          <w:szCs w:val="32"/>
        </w:rPr>
        <w:t>万元，其中：基本支出</w:t>
      </w:r>
      <w:r>
        <w:rPr>
          <w:rFonts w:ascii="仿宋" w:hAnsi="仿宋" w:eastAsia="仿宋"/>
          <w:sz w:val="32"/>
          <w:szCs w:val="32"/>
        </w:rPr>
        <w:t>139.20</w:t>
      </w:r>
      <w:r>
        <w:rPr>
          <w:rFonts w:hint="eastAsia" w:ascii="仿宋" w:hAnsi="仿宋" w:eastAsia="仿宋"/>
          <w:sz w:val="32"/>
          <w:szCs w:val="32"/>
        </w:rPr>
        <w:t>万元，占</w:t>
      </w:r>
      <w:r>
        <w:rPr>
          <w:rFonts w:ascii="仿宋" w:hAnsi="仿宋" w:eastAsia="仿宋"/>
          <w:sz w:val="32"/>
          <w:szCs w:val="32"/>
        </w:rPr>
        <w:t>96.67%</w:t>
      </w:r>
      <w:r>
        <w:rPr>
          <w:rFonts w:hint="eastAsia" w:ascii="仿宋" w:hAnsi="仿宋" w:eastAsia="仿宋"/>
          <w:sz w:val="32"/>
          <w:szCs w:val="32"/>
        </w:rPr>
        <w:t>；项目支出</w:t>
      </w:r>
      <w:r>
        <w:rPr>
          <w:rFonts w:ascii="仿宋" w:hAnsi="仿宋" w:eastAsia="仿宋"/>
          <w:sz w:val="32"/>
          <w:szCs w:val="32"/>
        </w:rPr>
        <w:t>4.8</w:t>
      </w:r>
      <w:r>
        <w:rPr>
          <w:rFonts w:hint="eastAsia" w:ascii="仿宋" w:hAnsi="仿宋" w:eastAsia="仿宋"/>
          <w:sz w:val="32"/>
          <w:szCs w:val="32"/>
        </w:rPr>
        <w:t>万元，占比</w:t>
      </w:r>
      <w:r>
        <w:rPr>
          <w:rFonts w:ascii="仿宋" w:hAnsi="仿宋" w:eastAsia="仿宋"/>
          <w:sz w:val="32"/>
          <w:szCs w:val="32"/>
        </w:rPr>
        <w:t>3.33%</w:t>
      </w:r>
      <w:r>
        <w:rPr>
          <w:rFonts w:hint="eastAsia" w:ascii="仿宋" w:hAnsi="仿宋" w:eastAsia="仿宋"/>
          <w:sz w:val="32"/>
          <w:szCs w:val="32"/>
        </w:rPr>
        <w:t>；上缴上级支出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；经营支出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；对附属单位补助支出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w:t>
      </w:r>
      <w:bookmarkEnd w:id="39"/>
    </w:p>
    <w:p>
      <w:pPr>
        <w:spacing w:line="360" w:lineRule="auto"/>
        <w:ind w:firstLine="640"/>
        <w:rPr>
          <w:rFonts w:ascii="仿宋" w:hAnsi="仿宋" w:eastAsia="仿宋"/>
          <w:sz w:val="32"/>
          <w:szCs w:val="32"/>
          <w:shd w:val="pct10" w:color="auto" w:fill="FFFFFF"/>
        </w:rPr>
      </w:pPr>
      <w:r>
        <w:rPr>
          <w:rFonts w:ascii="仿宋" w:hAnsi="仿宋" w:eastAsia="仿宋"/>
          <w:sz w:val="32"/>
          <w:szCs w:val="32"/>
          <w:shd w:val="pct10" w:color="auto" w:fill="FFFFFF"/>
        </w:rPr>
        <w:drawing>
          <wp:inline distT="0" distB="0" distL="114300" distR="114300">
            <wp:extent cx="4723765" cy="2911475"/>
            <wp:effectExtent l="4445" t="5080" r="15240" b="17145"/>
            <wp:docPr id="589" name="_x0000_i33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8"/>
          <w:rFonts w:ascii="黑体" w:hAnsi="黑体" w:eastAsia="黑体"/>
          <w:b w:val="0"/>
        </w:rPr>
      </w:pPr>
      <w:bookmarkStart w:id="40" w:name="_Toc15396606"/>
      <w:bookmarkStart w:id="41" w:name="_Toc15377208"/>
      <w:bookmarkStart w:id="42" w:name="_Toc5832"/>
      <w:r>
        <w:rPr>
          <w:rFonts w:hint="eastAsia" w:ascii="黑体" w:hAnsi="黑体" w:eastAsia="黑体"/>
          <w:sz w:val="32"/>
          <w:szCs w:val="32"/>
        </w:rPr>
        <w:t>四、财政拨款收入支出决算总体情况说明</w:t>
      </w:r>
      <w:bookmarkEnd w:id="40"/>
      <w:bookmarkEnd w:id="41"/>
      <w:bookmarkEnd w:id="42"/>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w:t>
      </w:r>
      <w:r>
        <w:rPr>
          <w:rFonts w:ascii="仿宋" w:hAnsi="仿宋" w:eastAsia="仿宋"/>
          <w:sz w:val="32"/>
          <w:szCs w:val="32"/>
        </w:rPr>
        <w:t>144</w:t>
      </w:r>
      <w:r>
        <w:rPr>
          <w:rFonts w:hint="eastAsia" w:ascii="仿宋" w:hAnsi="仿宋" w:eastAsia="仿宋"/>
          <w:sz w:val="32"/>
          <w:szCs w:val="32"/>
        </w:rPr>
        <w:t>万元。与2020年相比，收、支总计各减少</w:t>
      </w:r>
      <w:r>
        <w:rPr>
          <w:rFonts w:ascii="仿宋" w:hAnsi="仿宋" w:eastAsia="仿宋"/>
          <w:sz w:val="32"/>
          <w:szCs w:val="32"/>
        </w:rPr>
        <w:t>27.24</w:t>
      </w:r>
      <w:r>
        <w:rPr>
          <w:rFonts w:hint="eastAsia" w:ascii="仿宋" w:hAnsi="仿宋" w:eastAsia="仿宋"/>
          <w:sz w:val="32"/>
          <w:szCs w:val="32"/>
        </w:rPr>
        <w:t>万元，下降</w:t>
      </w:r>
      <w:r>
        <w:rPr>
          <w:rFonts w:ascii="仿宋" w:hAnsi="仿宋" w:eastAsia="仿宋"/>
          <w:sz w:val="32"/>
          <w:szCs w:val="32"/>
        </w:rPr>
        <w:t>15.9%</w:t>
      </w:r>
      <w:r>
        <w:rPr>
          <w:rFonts w:hint="eastAsia" w:ascii="仿宋" w:hAnsi="仿宋" w:eastAsia="仿宋"/>
          <w:sz w:val="32"/>
          <w:szCs w:val="32"/>
        </w:rPr>
        <w:t>。主要变动原因是经费减少。</w:t>
      </w:r>
    </w:p>
    <w:p>
      <w:pPr>
        <w:spacing w:line="360" w:lineRule="auto"/>
        <w:rPr>
          <w:rFonts w:ascii="仿宋" w:hAnsi="仿宋" w:eastAsia="仿宋"/>
          <w:sz w:val="32"/>
          <w:szCs w:val="32"/>
        </w:rPr>
      </w:pPr>
      <w:r>
        <w:rPr>
          <w:rFonts w:ascii="仿宋" w:hAnsi="仿宋" w:eastAsia="仿宋"/>
          <w:sz w:val="32"/>
          <w:szCs w:val="32"/>
        </w:rPr>
        <w:drawing>
          <wp:inline distT="0" distB="0" distL="114300" distR="114300">
            <wp:extent cx="5080000" cy="3810000"/>
            <wp:effectExtent l="4445" t="4445" r="8255" b="8255"/>
            <wp:docPr id="590" name="_x0000_i33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8"/>
          <w:rFonts w:ascii="黑体" w:hAnsi="黑体" w:eastAsia="黑体"/>
          <w:b w:val="0"/>
        </w:rPr>
      </w:pPr>
      <w:bookmarkStart w:id="43" w:name="_Toc15396607"/>
      <w:bookmarkStart w:id="44" w:name="_Toc15377209"/>
      <w:bookmarkStart w:id="45" w:name="_Toc20392"/>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财政拨款支出决算情况说明</w:t>
      </w:r>
      <w:bookmarkEnd w:id="43"/>
      <w:bookmarkEnd w:id="44"/>
      <w:bookmarkEnd w:id="45"/>
    </w:p>
    <w:p>
      <w:pPr>
        <w:spacing w:line="600" w:lineRule="exact"/>
        <w:ind w:firstLine="643" w:firstLineChars="200"/>
        <w:outlineLvl w:val="2"/>
        <w:rPr>
          <w:rFonts w:ascii="仿宋" w:hAnsi="仿宋" w:eastAsia="仿宋"/>
          <w:b/>
          <w:sz w:val="32"/>
          <w:szCs w:val="32"/>
        </w:rPr>
      </w:pPr>
      <w:bookmarkStart w:id="46" w:name="_Toc15377210"/>
      <w:r>
        <w:rPr>
          <w:rFonts w:hint="eastAsia" w:ascii="仿宋" w:hAnsi="仿宋" w:eastAsia="仿宋"/>
          <w:b/>
          <w:sz w:val="32"/>
          <w:szCs w:val="32"/>
        </w:rPr>
        <w:t>（一）一般公共预算财政拨款支出决算总体情况</w:t>
      </w:r>
      <w:bookmarkEnd w:id="46"/>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144</w:t>
      </w:r>
      <w:r>
        <w:rPr>
          <w:rFonts w:hint="eastAsia" w:ascii="仿宋" w:hAnsi="仿宋" w:eastAsia="仿宋"/>
          <w:sz w:val="32"/>
          <w:szCs w:val="32"/>
        </w:rPr>
        <w:t>万元，占本年支出合计的</w:t>
      </w:r>
      <w:r>
        <w:rPr>
          <w:rFonts w:ascii="仿宋" w:hAnsi="仿宋" w:eastAsia="仿宋"/>
          <w:sz w:val="32"/>
          <w:szCs w:val="32"/>
        </w:rPr>
        <w:t>100%</w:t>
      </w:r>
      <w:r>
        <w:rPr>
          <w:rFonts w:hint="eastAsia" w:ascii="仿宋" w:hAnsi="仿宋" w:eastAsia="仿宋"/>
          <w:sz w:val="32"/>
          <w:szCs w:val="32"/>
        </w:rPr>
        <w:t>。与2020年相比，收、支总计各减少</w:t>
      </w:r>
      <w:r>
        <w:rPr>
          <w:rFonts w:ascii="仿宋" w:hAnsi="仿宋" w:eastAsia="仿宋"/>
          <w:sz w:val="32"/>
          <w:szCs w:val="32"/>
        </w:rPr>
        <w:t>27.24</w:t>
      </w:r>
      <w:r>
        <w:rPr>
          <w:rFonts w:hint="eastAsia" w:ascii="仿宋" w:hAnsi="仿宋" w:eastAsia="仿宋"/>
          <w:sz w:val="32"/>
          <w:szCs w:val="32"/>
        </w:rPr>
        <w:t>万元，下降</w:t>
      </w:r>
      <w:r>
        <w:rPr>
          <w:rFonts w:ascii="仿宋" w:hAnsi="仿宋" w:eastAsia="仿宋"/>
          <w:sz w:val="32"/>
          <w:szCs w:val="32"/>
        </w:rPr>
        <w:t>15.9%</w:t>
      </w:r>
      <w:r>
        <w:rPr>
          <w:rFonts w:hint="eastAsia" w:ascii="仿宋" w:hAnsi="仿宋" w:eastAsia="仿宋"/>
          <w:sz w:val="32"/>
          <w:szCs w:val="32"/>
        </w:rPr>
        <w:t>。主要变动原因是经费减少。</w:t>
      </w:r>
    </w:p>
    <w:p>
      <w:pPr>
        <w:spacing w:line="360" w:lineRule="auto"/>
        <w:ind w:firstLine="640" w:firstLineChars="200"/>
        <w:rPr>
          <w:rFonts w:ascii="仿宋" w:hAnsi="仿宋" w:eastAsia="仿宋"/>
          <w:sz w:val="32"/>
          <w:szCs w:val="32"/>
        </w:rPr>
      </w:pPr>
      <w:r>
        <w:rPr>
          <w:rFonts w:ascii="仿宋" w:hAnsi="仿宋" w:eastAsia="仿宋"/>
          <w:sz w:val="32"/>
          <w:szCs w:val="32"/>
        </w:rPr>
        <w:drawing>
          <wp:inline distT="0" distB="0" distL="114300" distR="114300">
            <wp:extent cx="4390390" cy="2639060"/>
            <wp:effectExtent l="4445" t="4445" r="5715" b="23495"/>
            <wp:docPr id="591" name="_x0000_i33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7" w:name="_Toc15377211"/>
      <w:r>
        <w:rPr>
          <w:rFonts w:hint="eastAsia" w:ascii="仿宋" w:hAnsi="仿宋" w:eastAsia="仿宋"/>
          <w:b/>
          <w:sz w:val="32"/>
          <w:szCs w:val="32"/>
        </w:rPr>
        <w:t>（二）一般公共预算财政拨款支出决算结构情况</w:t>
      </w:r>
      <w:bookmarkEnd w:id="4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144</w:t>
      </w:r>
      <w:r>
        <w:rPr>
          <w:rFonts w:hint="eastAsia" w:ascii="仿宋" w:hAnsi="仿宋" w:eastAsia="仿宋"/>
          <w:sz w:val="32"/>
          <w:szCs w:val="32"/>
        </w:rPr>
        <w:t>万元，主要用于以下方面</w:t>
      </w:r>
      <w:r>
        <w:t>：</w:t>
      </w:r>
      <w:r>
        <w:rPr>
          <w:rFonts w:hint="eastAsia" w:ascii="仿宋" w:hAnsi="仿宋" w:eastAsia="仿宋"/>
          <w:b/>
          <w:sz w:val="32"/>
          <w:szCs w:val="32"/>
        </w:rPr>
        <w:t>社会保障和就业（类）</w:t>
      </w:r>
      <w:r>
        <w:rPr>
          <w:rFonts w:hint="eastAsia" w:ascii="仿宋" w:hAnsi="仿宋" w:eastAsia="仿宋"/>
          <w:sz w:val="32"/>
          <w:szCs w:val="32"/>
        </w:rPr>
        <w:t>支出</w:t>
      </w:r>
      <w:r>
        <w:rPr>
          <w:rFonts w:ascii="仿宋" w:hAnsi="仿宋" w:eastAsia="仿宋"/>
          <w:sz w:val="32"/>
          <w:szCs w:val="32"/>
        </w:rPr>
        <w:t>12.59</w:t>
      </w:r>
      <w:r>
        <w:rPr>
          <w:rFonts w:hint="eastAsia" w:ascii="仿宋" w:hAnsi="仿宋" w:eastAsia="仿宋"/>
          <w:sz w:val="32"/>
          <w:szCs w:val="32"/>
        </w:rPr>
        <w:t>万元，占</w:t>
      </w:r>
      <w:r>
        <w:rPr>
          <w:rFonts w:ascii="仿宋" w:hAnsi="仿宋" w:eastAsia="仿宋"/>
          <w:sz w:val="32"/>
          <w:szCs w:val="32"/>
        </w:rPr>
        <w:t>8.74%</w:t>
      </w:r>
      <w:r>
        <w:rPr>
          <w:rFonts w:hint="eastAsia" w:ascii="仿宋" w:hAnsi="仿宋" w:eastAsia="仿宋"/>
          <w:sz w:val="32"/>
          <w:szCs w:val="32"/>
        </w:rPr>
        <w:t>；</w:t>
      </w:r>
      <w:r>
        <w:rPr>
          <w:rFonts w:hint="eastAsia" w:ascii="仿宋" w:hAnsi="仿宋" w:eastAsia="仿宋"/>
          <w:b/>
          <w:sz w:val="32"/>
          <w:szCs w:val="32"/>
        </w:rPr>
        <w:t>卫生健康（类）</w:t>
      </w:r>
      <w:r>
        <w:rPr>
          <w:rFonts w:hint="eastAsia" w:ascii="仿宋" w:hAnsi="仿宋" w:eastAsia="仿宋"/>
          <w:bCs/>
          <w:sz w:val="32"/>
          <w:szCs w:val="32"/>
        </w:rPr>
        <w:t>支出</w:t>
      </w:r>
      <w:r>
        <w:rPr>
          <w:rFonts w:ascii="仿宋" w:hAnsi="仿宋" w:eastAsia="仿宋"/>
          <w:bCs/>
          <w:sz w:val="32"/>
          <w:szCs w:val="32"/>
        </w:rPr>
        <w:t>6.61</w:t>
      </w:r>
      <w:r>
        <w:rPr>
          <w:rFonts w:hint="eastAsia" w:ascii="仿宋" w:hAnsi="仿宋" w:eastAsia="仿宋"/>
          <w:sz w:val="32"/>
          <w:szCs w:val="32"/>
        </w:rPr>
        <w:t>万元，占</w:t>
      </w:r>
      <w:r>
        <w:rPr>
          <w:rFonts w:ascii="仿宋" w:hAnsi="仿宋" w:eastAsia="仿宋"/>
          <w:sz w:val="32"/>
          <w:szCs w:val="32"/>
        </w:rPr>
        <w:t>4.59%</w:t>
      </w:r>
      <w:r>
        <w:rPr>
          <w:rFonts w:hint="eastAsia" w:ascii="仿宋" w:hAnsi="仿宋" w:eastAsia="仿宋"/>
          <w:sz w:val="32"/>
          <w:szCs w:val="32"/>
        </w:rPr>
        <w:t>；</w:t>
      </w:r>
      <w:r>
        <w:rPr>
          <w:rFonts w:hint="eastAsia" w:ascii="仿宋" w:hAnsi="仿宋" w:eastAsia="仿宋"/>
          <w:b/>
          <w:sz w:val="32"/>
          <w:szCs w:val="32"/>
        </w:rPr>
        <w:t>农林水（类）</w:t>
      </w:r>
      <w:r>
        <w:rPr>
          <w:rFonts w:hint="eastAsia" w:ascii="仿宋" w:hAnsi="仿宋" w:eastAsia="仿宋"/>
          <w:sz w:val="32"/>
          <w:szCs w:val="32"/>
        </w:rPr>
        <w:t>支出</w:t>
      </w:r>
      <w:r>
        <w:rPr>
          <w:rFonts w:ascii="仿宋" w:hAnsi="仿宋" w:eastAsia="仿宋"/>
          <w:sz w:val="32"/>
          <w:szCs w:val="32"/>
        </w:rPr>
        <w:t>3.8</w:t>
      </w:r>
      <w:r>
        <w:rPr>
          <w:rFonts w:hint="eastAsia" w:ascii="仿宋" w:hAnsi="仿宋" w:eastAsia="仿宋"/>
          <w:sz w:val="32"/>
          <w:szCs w:val="32"/>
        </w:rPr>
        <w:t>万元，占</w:t>
      </w:r>
      <w:r>
        <w:rPr>
          <w:rFonts w:ascii="仿宋" w:hAnsi="仿宋" w:eastAsia="仿宋"/>
          <w:sz w:val="32"/>
          <w:szCs w:val="32"/>
        </w:rPr>
        <w:t>2.64%</w:t>
      </w:r>
      <w:r>
        <w:rPr>
          <w:rFonts w:hint="eastAsia" w:ascii="仿宋" w:hAnsi="仿宋" w:eastAsia="仿宋"/>
          <w:sz w:val="32"/>
          <w:szCs w:val="32"/>
        </w:rPr>
        <w:t>；</w:t>
      </w:r>
      <w:r>
        <w:rPr>
          <w:rFonts w:hint="eastAsia" w:ascii="仿宋" w:hAnsi="仿宋" w:eastAsia="仿宋"/>
          <w:b/>
          <w:bCs/>
          <w:sz w:val="32"/>
          <w:szCs w:val="32"/>
        </w:rPr>
        <w:t>资源勘探工业信息（类）</w:t>
      </w:r>
      <w:r>
        <w:rPr>
          <w:rFonts w:hint="eastAsia" w:ascii="仿宋" w:hAnsi="仿宋" w:eastAsia="仿宋"/>
          <w:sz w:val="32"/>
          <w:szCs w:val="32"/>
        </w:rPr>
        <w:t>支出</w:t>
      </w:r>
      <w:r>
        <w:rPr>
          <w:rFonts w:ascii="仿宋" w:hAnsi="仿宋" w:eastAsia="仿宋"/>
          <w:sz w:val="32"/>
          <w:szCs w:val="32"/>
        </w:rPr>
        <w:t>112.71</w:t>
      </w:r>
      <w:r>
        <w:rPr>
          <w:rFonts w:hint="eastAsia" w:ascii="仿宋" w:hAnsi="仿宋" w:eastAsia="仿宋"/>
          <w:sz w:val="32"/>
          <w:szCs w:val="32"/>
        </w:rPr>
        <w:t>万元，占</w:t>
      </w:r>
      <w:r>
        <w:rPr>
          <w:rFonts w:ascii="仿宋" w:hAnsi="仿宋" w:eastAsia="仿宋"/>
          <w:sz w:val="32"/>
          <w:szCs w:val="32"/>
        </w:rPr>
        <w:t>78.27%</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w:t>
      </w:r>
      <w:r>
        <w:rPr>
          <w:rFonts w:ascii="仿宋" w:hAnsi="仿宋" w:eastAsia="仿宋"/>
          <w:sz w:val="32"/>
          <w:szCs w:val="32"/>
        </w:rPr>
        <w:t>8.31</w:t>
      </w:r>
      <w:r>
        <w:rPr>
          <w:rFonts w:hint="eastAsia" w:ascii="仿宋" w:hAnsi="仿宋" w:eastAsia="仿宋"/>
          <w:sz w:val="32"/>
          <w:szCs w:val="32"/>
        </w:rPr>
        <w:t>万元，占比</w:t>
      </w:r>
      <w:r>
        <w:rPr>
          <w:rFonts w:ascii="仿宋" w:hAnsi="仿宋" w:eastAsia="仿宋"/>
          <w:sz w:val="32"/>
          <w:szCs w:val="32"/>
        </w:rPr>
        <w:t>5.77%</w:t>
      </w:r>
      <w:r>
        <w:rPr>
          <w:rFonts w:hint="eastAsia" w:ascii="仿宋" w:hAnsi="仿宋" w:eastAsia="仿宋"/>
          <w:sz w:val="32"/>
          <w:szCs w:val="32"/>
        </w:rPr>
        <w:t>。</w:t>
      </w:r>
    </w:p>
    <w:p>
      <w:pPr>
        <w:spacing w:line="360" w:lineRule="auto"/>
        <w:ind w:firstLine="641"/>
        <w:rPr>
          <w:rFonts w:ascii="仿宋" w:hAnsi="仿宋" w:eastAsia="仿宋"/>
          <w:sz w:val="32"/>
          <w:szCs w:val="32"/>
        </w:rPr>
      </w:pPr>
      <w:r>
        <w:rPr>
          <w:rFonts w:ascii="仿宋" w:hAnsi="仿宋" w:eastAsia="仿宋"/>
          <w:sz w:val="32"/>
          <w:szCs w:val="32"/>
        </w:rPr>
        <w:drawing>
          <wp:inline distT="0" distB="0" distL="114300" distR="114300">
            <wp:extent cx="4756785" cy="2943225"/>
            <wp:effectExtent l="4445" t="4445" r="20320" b="5080"/>
            <wp:docPr id="592" name="_x0000_i33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firstLineChars="200"/>
        <w:outlineLvl w:val="2"/>
        <w:rPr>
          <w:rFonts w:ascii="仿宋" w:hAnsi="仿宋" w:eastAsia="仿宋"/>
          <w:sz w:val="32"/>
          <w:szCs w:val="32"/>
        </w:rPr>
      </w:pPr>
      <w:r>
        <w:rPr>
          <w:rFonts w:hint="eastAsia" w:ascii="仿宋" w:hAnsi="仿宋" w:eastAsia="仿宋"/>
          <w:sz w:val="32"/>
          <w:szCs w:val="32"/>
        </w:rPr>
        <w:t>图6：一般公共预算财政拨款支出决算结构</w:t>
      </w:r>
      <w:bookmarkStart w:id="48"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48"/>
    </w:p>
    <w:p>
      <w:pPr>
        <w:spacing w:line="600" w:lineRule="exact"/>
        <w:ind w:firstLine="643" w:firstLineChars="200"/>
        <w:outlineLvl w:val="2"/>
        <w:rPr>
          <w:rFonts w:ascii="仿宋" w:hAnsi="仿宋" w:eastAsia="仿宋"/>
          <w:sz w:val="32"/>
          <w:szCs w:val="32"/>
        </w:rPr>
      </w:pPr>
      <w:bookmarkStart w:id="49" w:name="_Toc15377444"/>
      <w:bookmarkStart w:id="50" w:name="_Toc15378460"/>
      <w:bookmarkStart w:id="51" w:name="_Toc15377213"/>
      <w:r>
        <w:rPr>
          <w:rFonts w:hint="eastAsia" w:ascii="仿宋" w:hAnsi="仿宋" w:eastAsia="仿宋"/>
          <w:b/>
          <w:sz w:val="32"/>
          <w:szCs w:val="32"/>
        </w:rPr>
        <w:t>2021年一般公共预算支出决算数为</w:t>
      </w:r>
      <w:r>
        <w:rPr>
          <w:rFonts w:ascii="仿宋" w:hAnsi="仿宋" w:eastAsia="仿宋"/>
          <w:b/>
          <w:sz w:val="32"/>
          <w:szCs w:val="32"/>
        </w:rPr>
        <w:t>144</w:t>
      </w:r>
      <w:r>
        <w:rPr>
          <w:rFonts w:hint="eastAsia" w:ascii="仿宋" w:hAnsi="仿宋" w:eastAsia="仿宋"/>
          <w:sz w:val="32"/>
          <w:szCs w:val="32"/>
        </w:rPr>
        <w:t>，</w:t>
      </w:r>
      <w:r>
        <w:rPr>
          <w:rStyle w:val="8"/>
          <w:rFonts w:hint="eastAsia" w:ascii="仿宋" w:hAnsi="仿宋" w:eastAsia="仿宋"/>
          <w:bCs/>
          <w:sz w:val="32"/>
          <w:szCs w:val="32"/>
        </w:rPr>
        <w:t>完成</w:t>
      </w:r>
      <w:r>
        <w:rPr>
          <w:rStyle w:val="8"/>
          <w:rFonts w:hint="eastAsia" w:ascii="仿宋" w:hAnsi="仿宋" w:eastAsia="仿宋"/>
          <w:bCs/>
          <w:sz w:val="32"/>
          <w:szCs w:val="32"/>
          <w:lang w:eastAsia="zh-CN"/>
        </w:rPr>
        <w:t>预算的100%</w:t>
      </w:r>
      <w:r>
        <w:rPr>
          <w:rStyle w:val="8"/>
          <w:rFonts w:hint="eastAsia" w:ascii="仿宋" w:hAnsi="仿宋" w:eastAsia="仿宋"/>
          <w:bCs/>
          <w:sz w:val="32"/>
          <w:szCs w:val="32"/>
        </w:rPr>
        <w:t>。</w:t>
      </w:r>
      <w:r>
        <w:rPr>
          <w:rFonts w:hint="eastAsia" w:ascii="仿宋" w:hAnsi="仿宋" w:eastAsia="仿宋"/>
          <w:bCs/>
          <w:sz w:val="32"/>
          <w:szCs w:val="32"/>
        </w:rPr>
        <w:t>其中：</w:t>
      </w:r>
      <w:bookmarkEnd w:id="49"/>
      <w:bookmarkEnd w:id="50"/>
      <w:bookmarkEnd w:id="51"/>
    </w:p>
    <w:p>
      <w:pPr>
        <w:spacing w:line="600" w:lineRule="exact"/>
        <w:ind w:firstLine="643" w:firstLineChars="200"/>
        <w:rPr>
          <w:rFonts w:ascii="仿宋" w:hAnsi="仿宋" w:eastAsia="仿宋"/>
          <w:b/>
          <w:sz w:val="32"/>
          <w:szCs w:val="32"/>
        </w:rPr>
      </w:pPr>
      <w:r>
        <w:rPr>
          <w:rStyle w:val="8"/>
          <w:rFonts w:ascii="仿宋" w:hAnsi="仿宋" w:eastAsia="仿宋"/>
          <w:bCs/>
          <w:sz w:val="32"/>
          <w:szCs w:val="32"/>
        </w:rPr>
        <w:t>1.</w:t>
      </w:r>
      <w:r>
        <w:rPr>
          <w:rStyle w:val="8"/>
          <w:rFonts w:hint="eastAsia" w:ascii="仿宋" w:hAnsi="仿宋" w:eastAsia="仿宋"/>
          <w:bCs/>
          <w:sz w:val="32"/>
          <w:szCs w:val="32"/>
        </w:rPr>
        <w:t>社会保障和就业</w:t>
      </w:r>
      <w:r>
        <w:rPr>
          <w:rFonts w:hint="eastAsia" w:ascii="仿宋" w:hAnsi="仿宋" w:eastAsia="仿宋"/>
          <w:bCs/>
          <w:sz w:val="32"/>
          <w:szCs w:val="32"/>
        </w:rPr>
        <w:t>支出</w:t>
      </w:r>
      <w:r>
        <w:rPr>
          <w:rStyle w:val="8"/>
          <w:rFonts w:hint="eastAsia" w:ascii="仿宋" w:hAnsi="仿宋" w:eastAsia="仿宋"/>
          <w:bCs/>
          <w:sz w:val="32"/>
          <w:szCs w:val="32"/>
        </w:rPr>
        <w:t>（类）人力资源和社会保障管理事务（款）引进人才费用（项）</w:t>
      </w:r>
      <w:r>
        <w:rPr>
          <w:rStyle w:val="8"/>
          <w:rFonts w:hint="eastAsia" w:ascii="仿宋" w:hAnsi="仿宋" w:eastAsia="仿宋"/>
          <w:bCs/>
          <w:sz w:val="32"/>
          <w:szCs w:val="32"/>
          <w:lang w:eastAsia="zh-CN"/>
        </w:rPr>
        <w:t>：</w:t>
      </w:r>
      <w:r>
        <w:rPr>
          <w:rStyle w:val="8"/>
          <w:rFonts w:hint="eastAsia" w:ascii="仿宋" w:hAnsi="仿宋" w:eastAsia="仿宋"/>
          <w:b w:val="0"/>
          <w:bCs/>
          <w:sz w:val="32"/>
          <w:szCs w:val="32"/>
        </w:rPr>
        <w:t>支出决算为</w:t>
      </w:r>
      <w:r>
        <w:rPr>
          <w:rStyle w:val="8"/>
          <w:rFonts w:ascii="仿宋" w:hAnsi="仿宋" w:eastAsia="仿宋"/>
          <w:b w:val="0"/>
          <w:bCs/>
          <w:sz w:val="32"/>
          <w:szCs w:val="32"/>
        </w:rPr>
        <w:t>1</w:t>
      </w:r>
      <w:r>
        <w:rPr>
          <w:rStyle w:val="8"/>
          <w:rFonts w:hint="eastAsia" w:ascii="仿宋" w:hAnsi="仿宋" w:eastAsia="仿宋"/>
          <w:b w:val="0"/>
          <w:bCs/>
          <w:sz w:val="32"/>
          <w:szCs w:val="32"/>
        </w:rPr>
        <w:t>万元，完成</w:t>
      </w:r>
      <w:r>
        <w:rPr>
          <w:rStyle w:val="8"/>
          <w:rFonts w:hint="eastAsia" w:ascii="仿宋" w:hAnsi="仿宋" w:eastAsia="仿宋"/>
          <w:b w:val="0"/>
          <w:bCs/>
          <w:sz w:val="32"/>
          <w:szCs w:val="32"/>
          <w:lang w:eastAsia="zh-CN"/>
        </w:rPr>
        <w:t>预算的100%</w:t>
      </w:r>
      <w:r>
        <w:rPr>
          <w:rStyle w:val="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8"/>
          <w:rFonts w:ascii="仿宋" w:hAnsi="仿宋" w:eastAsia="仿宋"/>
          <w:bCs/>
          <w:sz w:val="32"/>
          <w:szCs w:val="32"/>
        </w:rPr>
        <w:t>2.</w:t>
      </w:r>
      <w:r>
        <w:rPr>
          <w:rStyle w:val="8"/>
          <w:rFonts w:hint="eastAsia" w:ascii="仿宋" w:hAnsi="仿宋" w:eastAsia="仿宋"/>
          <w:bCs/>
          <w:sz w:val="32"/>
          <w:szCs w:val="32"/>
        </w:rPr>
        <w:t>社会保障和就业</w:t>
      </w:r>
      <w:r>
        <w:rPr>
          <w:rFonts w:hint="eastAsia" w:ascii="仿宋" w:hAnsi="仿宋" w:eastAsia="仿宋"/>
          <w:bCs/>
          <w:sz w:val="32"/>
          <w:szCs w:val="32"/>
        </w:rPr>
        <w:t>支出</w:t>
      </w:r>
      <w:r>
        <w:rPr>
          <w:rStyle w:val="8"/>
          <w:rFonts w:hint="eastAsia" w:ascii="仿宋" w:hAnsi="仿宋" w:eastAsia="仿宋"/>
          <w:bCs/>
          <w:sz w:val="32"/>
          <w:szCs w:val="32"/>
        </w:rPr>
        <w:t>（类）行政事业单位养老支出（款）机关事业单位基本养老保险缴费支出（项）</w:t>
      </w:r>
      <w:r>
        <w:rPr>
          <w:rStyle w:val="8"/>
          <w:rFonts w:hint="eastAsia" w:ascii="仿宋" w:hAnsi="仿宋" w:eastAsia="仿宋"/>
          <w:bCs/>
          <w:sz w:val="32"/>
          <w:szCs w:val="32"/>
          <w:lang w:eastAsia="zh-CN"/>
        </w:rPr>
        <w:t>：</w:t>
      </w:r>
      <w:r>
        <w:rPr>
          <w:rStyle w:val="8"/>
          <w:rFonts w:hint="eastAsia" w:ascii="仿宋" w:hAnsi="仿宋" w:eastAsia="仿宋"/>
          <w:b w:val="0"/>
          <w:bCs/>
          <w:sz w:val="32"/>
          <w:szCs w:val="32"/>
        </w:rPr>
        <w:t>支出决算为</w:t>
      </w:r>
      <w:r>
        <w:rPr>
          <w:rStyle w:val="8"/>
          <w:rFonts w:ascii="仿宋" w:hAnsi="仿宋" w:eastAsia="仿宋"/>
          <w:b w:val="0"/>
          <w:bCs/>
          <w:sz w:val="32"/>
          <w:szCs w:val="32"/>
        </w:rPr>
        <w:t>11.08</w:t>
      </w:r>
      <w:r>
        <w:rPr>
          <w:rStyle w:val="8"/>
          <w:rFonts w:hint="eastAsia" w:ascii="仿宋" w:hAnsi="仿宋" w:eastAsia="仿宋"/>
          <w:b w:val="0"/>
          <w:bCs/>
          <w:sz w:val="32"/>
          <w:szCs w:val="32"/>
        </w:rPr>
        <w:t>万元，完成</w:t>
      </w:r>
      <w:r>
        <w:rPr>
          <w:rStyle w:val="8"/>
          <w:rFonts w:hint="eastAsia" w:ascii="仿宋" w:hAnsi="仿宋" w:eastAsia="仿宋"/>
          <w:b w:val="0"/>
          <w:bCs/>
          <w:sz w:val="32"/>
          <w:szCs w:val="32"/>
          <w:lang w:eastAsia="zh-CN"/>
        </w:rPr>
        <w:t>预算的100%</w:t>
      </w:r>
      <w:r>
        <w:rPr>
          <w:rStyle w:val="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8"/>
          <w:rFonts w:ascii="仿宋" w:hAnsi="仿宋" w:eastAsia="仿宋"/>
          <w:bCs/>
          <w:sz w:val="32"/>
          <w:szCs w:val="32"/>
        </w:rPr>
        <w:t>3.</w:t>
      </w:r>
      <w:r>
        <w:rPr>
          <w:rStyle w:val="8"/>
          <w:rFonts w:hint="eastAsia" w:ascii="仿宋" w:hAnsi="仿宋" w:eastAsia="仿宋"/>
          <w:bCs/>
          <w:sz w:val="32"/>
          <w:szCs w:val="32"/>
        </w:rPr>
        <w:t>社会保障和就业</w:t>
      </w:r>
      <w:r>
        <w:rPr>
          <w:rFonts w:hint="eastAsia" w:ascii="仿宋" w:hAnsi="仿宋" w:eastAsia="仿宋"/>
          <w:bCs/>
          <w:sz w:val="32"/>
          <w:szCs w:val="32"/>
        </w:rPr>
        <w:t>支出</w:t>
      </w:r>
      <w:r>
        <w:rPr>
          <w:rStyle w:val="8"/>
          <w:rFonts w:hint="eastAsia" w:ascii="仿宋" w:hAnsi="仿宋" w:eastAsia="仿宋"/>
          <w:bCs/>
          <w:sz w:val="32"/>
          <w:szCs w:val="32"/>
        </w:rPr>
        <w:t>（类）其他社会保障和就业</w:t>
      </w:r>
      <w:r>
        <w:rPr>
          <w:rFonts w:hint="eastAsia" w:ascii="仿宋" w:hAnsi="仿宋" w:eastAsia="仿宋"/>
          <w:bCs/>
          <w:sz w:val="32"/>
          <w:szCs w:val="32"/>
        </w:rPr>
        <w:t>支出（款）其他社会保障和就业支出（项）</w:t>
      </w:r>
      <w:r>
        <w:rPr>
          <w:rFonts w:hint="eastAsia" w:ascii="仿宋" w:hAnsi="仿宋" w:eastAsia="仿宋"/>
          <w:bCs/>
          <w:sz w:val="32"/>
          <w:szCs w:val="32"/>
          <w:lang w:eastAsia="zh-CN"/>
        </w:rPr>
        <w:t>：</w:t>
      </w:r>
      <w:r>
        <w:rPr>
          <w:rStyle w:val="8"/>
          <w:rFonts w:hint="eastAsia" w:ascii="仿宋" w:hAnsi="仿宋" w:eastAsia="仿宋"/>
          <w:b w:val="0"/>
          <w:bCs/>
          <w:sz w:val="32"/>
          <w:szCs w:val="32"/>
        </w:rPr>
        <w:t>支出决算为</w:t>
      </w:r>
      <w:r>
        <w:rPr>
          <w:rStyle w:val="8"/>
          <w:rFonts w:ascii="仿宋" w:hAnsi="仿宋" w:eastAsia="仿宋"/>
          <w:b w:val="0"/>
          <w:bCs/>
          <w:sz w:val="32"/>
          <w:szCs w:val="32"/>
        </w:rPr>
        <w:t>0.51</w:t>
      </w:r>
      <w:r>
        <w:rPr>
          <w:rStyle w:val="8"/>
          <w:rFonts w:hint="eastAsia" w:ascii="仿宋" w:hAnsi="仿宋" w:eastAsia="仿宋"/>
          <w:b w:val="0"/>
          <w:bCs/>
          <w:sz w:val="32"/>
          <w:szCs w:val="32"/>
        </w:rPr>
        <w:t>万元，完成预算的</w:t>
      </w:r>
      <w:r>
        <w:rPr>
          <w:rStyle w:val="8"/>
          <w:rFonts w:ascii="仿宋" w:hAnsi="仿宋" w:eastAsia="仿宋"/>
          <w:b w:val="0"/>
          <w:bCs/>
          <w:sz w:val="32"/>
          <w:szCs w:val="32"/>
        </w:rPr>
        <w:t>100%</w:t>
      </w:r>
      <w:r>
        <w:rPr>
          <w:rStyle w:val="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8"/>
          <w:rFonts w:ascii="仿宋" w:hAnsi="仿宋" w:eastAsia="仿宋"/>
          <w:bCs/>
          <w:sz w:val="32"/>
          <w:szCs w:val="32"/>
        </w:rPr>
        <w:t>4.</w:t>
      </w:r>
      <w:r>
        <w:rPr>
          <w:rStyle w:val="8"/>
          <w:rFonts w:hint="eastAsia" w:ascii="仿宋" w:hAnsi="仿宋" w:eastAsia="仿宋"/>
          <w:bCs/>
          <w:sz w:val="32"/>
          <w:szCs w:val="32"/>
        </w:rPr>
        <w:t>卫生健康支出（类）行政事业单位医疗</w:t>
      </w:r>
      <w:r>
        <w:rPr>
          <w:rFonts w:hint="eastAsia" w:ascii="仿宋" w:hAnsi="仿宋" w:eastAsia="仿宋"/>
          <w:bCs/>
          <w:sz w:val="32"/>
          <w:szCs w:val="32"/>
        </w:rPr>
        <w:t>（款）行政单位医疗（项）</w:t>
      </w:r>
      <w:r>
        <w:rPr>
          <w:rFonts w:hint="eastAsia" w:ascii="仿宋" w:hAnsi="仿宋" w:eastAsia="仿宋"/>
          <w:bCs/>
          <w:sz w:val="32"/>
          <w:szCs w:val="32"/>
          <w:lang w:eastAsia="zh-CN"/>
        </w:rPr>
        <w:t>：</w:t>
      </w:r>
      <w:r>
        <w:rPr>
          <w:rStyle w:val="8"/>
          <w:rFonts w:hint="eastAsia" w:ascii="仿宋" w:hAnsi="仿宋" w:eastAsia="仿宋"/>
          <w:b w:val="0"/>
          <w:bCs/>
          <w:sz w:val="32"/>
          <w:szCs w:val="32"/>
        </w:rPr>
        <w:t>支出决算为</w:t>
      </w:r>
      <w:r>
        <w:rPr>
          <w:rStyle w:val="8"/>
          <w:rFonts w:ascii="仿宋" w:hAnsi="仿宋" w:eastAsia="仿宋"/>
          <w:b w:val="0"/>
          <w:bCs/>
          <w:sz w:val="32"/>
          <w:szCs w:val="32"/>
        </w:rPr>
        <w:t>0.72</w:t>
      </w:r>
      <w:r>
        <w:rPr>
          <w:rStyle w:val="8"/>
          <w:rFonts w:hint="eastAsia" w:ascii="仿宋" w:hAnsi="仿宋" w:eastAsia="仿宋"/>
          <w:b w:val="0"/>
          <w:bCs/>
          <w:sz w:val="32"/>
          <w:szCs w:val="32"/>
        </w:rPr>
        <w:t>万元，完成</w:t>
      </w:r>
      <w:r>
        <w:rPr>
          <w:rStyle w:val="8"/>
          <w:rFonts w:hint="eastAsia" w:ascii="仿宋" w:hAnsi="仿宋" w:eastAsia="仿宋"/>
          <w:b w:val="0"/>
          <w:bCs/>
          <w:sz w:val="32"/>
          <w:szCs w:val="32"/>
          <w:lang w:eastAsia="zh-CN"/>
        </w:rPr>
        <w:t>预算的100%</w:t>
      </w:r>
      <w:r>
        <w:rPr>
          <w:rStyle w:val="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8"/>
          <w:rFonts w:ascii="仿宋" w:hAnsi="仿宋" w:eastAsia="仿宋"/>
          <w:bCs/>
          <w:sz w:val="32"/>
          <w:szCs w:val="32"/>
        </w:rPr>
        <w:t>5.</w:t>
      </w:r>
      <w:r>
        <w:rPr>
          <w:rStyle w:val="8"/>
          <w:rFonts w:hint="eastAsia" w:ascii="仿宋" w:hAnsi="仿宋" w:eastAsia="仿宋"/>
          <w:bCs/>
          <w:sz w:val="32"/>
          <w:szCs w:val="32"/>
        </w:rPr>
        <w:t>卫生健康支出（类）行政事业单位医疗</w:t>
      </w:r>
      <w:r>
        <w:rPr>
          <w:rFonts w:hint="eastAsia" w:ascii="仿宋" w:hAnsi="仿宋" w:eastAsia="仿宋"/>
          <w:bCs/>
          <w:sz w:val="32"/>
          <w:szCs w:val="32"/>
        </w:rPr>
        <w:t>（款）事业单位医疗（项）</w:t>
      </w:r>
      <w:r>
        <w:rPr>
          <w:rFonts w:hint="eastAsia" w:ascii="仿宋" w:hAnsi="仿宋" w:eastAsia="仿宋"/>
          <w:bCs/>
          <w:sz w:val="32"/>
          <w:szCs w:val="32"/>
          <w:lang w:eastAsia="zh-CN"/>
        </w:rPr>
        <w:t>：</w:t>
      </w:r>
      <w:r>
        <w:rPr>
          <w:rStyle w:val="8"/>
          <w:rFonts w:hint="eastAsia" w:ascii="仿宋" w:hAnsi="仿宋" w:eastAsia="仿宋"/>
          <w:b w:val="0"/>
          <w:bCs/>
          <w:sz w:val="32"/>
          <w:szCs w:val="32"/>
        </w:rPr>
        <w:t>支出决算为</w:t>
      </w:r>
      <w:r>
        <w:rPr>
          <w:rStyle w:val="8"/>
          <w:rFonts w:ascii="仿宋" w:hAnsi="仿宋" w:eastAsia="仿宋"/>
          <w:b w:val="0"/>
          <w:bCs/>
          <w:sz w:val="32"/>
          <w:szCs w:val="32"/>
        </w:rPr>
        <w:t>5.73</w:t>
      </w:r>
      <w:r>
        <w:rPr>
          <w:rStyle w:val="8"/>
          <w:rFonts w:hint="eastAsia" w:ascii="仿宋" w:hAnsi="仿宋" w:eastAsia="仿宋"/>
          <w:b w:val="0"/>
          <w:bCs/>
          <w:sz w:val="32"/>
          <w:szCs w:val="32"/>
        </w:rPr>
        <w:t>万元，完成</w:t>
      </w:r>
      <w:r>
        <w:rPr>
          <w:rStyle w:val="8"/>
          <w:rFonts w:hint="eastAsia" w:ascii="仿宋" w:hAnsi="仿宋" w:eastAsia="仿宋"/>
          <w:b w:val="0"/>
          <w:bCs/>
          <w:sz w:val="32"/>
          <w:szCs w:val="32"/>
          <w:lang w:eastAsia="zh-CN"/>
        </w:rPr>
        <w:t>预算的100%</w:t>
      </w:r>
      <w:r>
        <w:rPr>
          <w:rStyle w:val="8"/>
          <w:rFonts w:hint="eastAsia" w:ascii="仿宋" w:hAnsi="仿宋" w:eastAsia="仿宋"/>
          <w:b w:val="0"/>
          <w:bCs/>
          <w:sz w:val="32"/>
          <w:szCs w:val="32"/>
        </w:rPr>
        <w:t>。</w:t>
      </w:r>
    </w:p>
    <w:p>
      <w:pPr>
        <w:spacing w:line="600" w:lineRule="exact"/>
        <w:ind w:firstLine="643" w:firstLineChars="200"/>
        <w:rPr>
          <w:rStyle w:val="8"/>
          <w:rFonts w:ascii="仿宋" w:hAnsi="仿宋" w:eastAsia="仿宋"/>
          <w:b w:val="0"/>
          <w:bCs/>
          <w:sz w:val="32"/>
          <w:szCs w:val="32"/>
        </w:rPr>
      </w:pPr>
      <w:r>
        <w:rPr>
          <w:rStyle w:val="8"/>
          <w:rFonts w:ascii="仿宋" w:hAnsi="仿宋" w:eastAsia="仿宋"/>
          <w:bCs/>
          <w:sz w:val="32"/>
          <w:szCs w:val="32"/>
        </w:rPr>
        <w:t>6.</w:t>
      </w:r>
      <w:r>
        <w:rPr>
          <w:rStyle w:val="8"/>
          <w:rFonts w:hint="eastAsia" w:ascii="仿宋" w:hAnsi="仿宋" w:eastAsia="仿宋"/>
          <w:bCs/>
          <w:sz w:val="32"/>
          <w:szCs w:val="32"/>
        </w:rPr>
        <w:t>卫生健康支出（类）行政事业单位医疗补助</w:t>
      </w:r>
      <w:r>
        <w:rPr>
          <w:rFonts w:hint="eastAsia" w:ascii="仿宋" w:hAnsi="仿宋" w:eastAsia="仿宋"/>
          <w:bCs/>
          <w:sz w:val="32"/>
          <w:szCs w:val="32"/>
        </w:rPr>
        <w:t>（款</w:t>
      </w:r>
      <w:r>
        <w:rPr>
          <w:rStyle w:val="8"/>
          <w:rFonts w:hint="eastAsia" w:ascii="仿宋" w:hAnsi="仿宋" w:eastAsia="仿宋"/>
          <w:bCs/>
          <w:sz w:val="32"/>
          <w:szCs w:val="32"/>
        </w:rPr>
        <w:t>）公务员医疗</w:t>
      </w:r>
      <w:r>
        <w:rPr>
          <w:rFonts w:hint="eastAsia" w:ascii="仿宋" w:hAnsi="仿宋" w:eastAsia="仿宋"/>
          <w:bCs/>
          <w:sz w:val="32"/>
          <w:szCs w:val="32"/>
        </w:rPr>
        <w:t>补助（项）</w:t>
      </w:r>
      <w:r>
        <w:rPr>
          <w:rFonts w:hint="eastAsia" w:ascii="仿宋" w:hAnsi="仿宋" w:eastAsia="仿宋"/>
          <w:bCs/>
          <w:sz w:val="32"/>
          <w:szCs w:val="32"/>
          <w:lang w:eastAsia="zh-CN"/>
        </w:rPr>
        <w:t>：</w:t>
      </w:r>
      <w:r>
        <w:rPr>
          <w:rStyle w:val="8"/>
          <w:rFonts w:hint="eastAsia" w:ascii="仿宋" w:hAnsi="仿宋" w:eastAsia="仿宋"/>
          <w:b w:val="0"/>
          <w:bCs/>
          <w:sz w:val="32"/>
          <w:szCs w:val="32"/>
        </w:rPr>
        <w:t>支出决算为</w:t>
      </w:r>
      <w:r>
        <w:rPr>
          <w:rStyle w:val="8"/>
          <w:rFonts w:ascii="仿宋" w:hAnsi="仿宋" w:eastAsia="仿宋"/>
          <w:b w:val="0"/>
          <w:bCs/>
          <w:sz w:val="32"/>
          <w:szCs w:val="32"/>
        </w:rPr>
        <w:t>0.16</w:t>
      </w:r>
      <w:r>
        <w:rPr>
          <w:rStyle w:val="8"/>
          <w:rFonts w:hint="eastAsia" w:ascii="仿宋" w:hAnsi="仿宋" w:eastAsia="仿宋"/>
          <w:b w:val="0"/>
          <w:bCs/>
          <w:sz w:val="32"/>
          <w:szCs w:val="32"/>
        </w:rPr>
        <w:t>万元，完成</w:t>
      </w:r>
      <w:r>
        <w:rPr>
          <w:rStyle w:val="8"/>
          <w:rFonts w:hint="eastAsia" w:ascii="仿宋" w:hAnsi="仿宋" w:eastAsia="仿宋"/>
          <w:b w:val="0"/>
          <w:bCs/>
          <w:sz w:val="32"/>
          <w:szCs w:val="32"/>
          <w:lang w:eastAsia="zh-CN"/>
        </w:rPr>
        <w:t>预算的100%</w:t>
      </w:r>
      <w:r>
        <w:rPr>
          <w:rStyle w:val="8"/>
          <w:rFonts w:hint="eastAsia" w:ascii="仿宋" w:hAnsi="仿宋" w:eastAsia="仿宋"/>
          <w:b w:val="0"/>
          <w:bCs/>
          <w:sz w:val="32"/>
          <w:szCs w:val="32"/>
        </w:rPr>
        <w:t>。</w:t>
      </w:r>
    </w:p>
    <w:p>
      <w:pPr>
        <w:spacing w:line="600" w:lineRule="exact"/>
        <w:ind w:firstLine="643" w:firstLineChars="200"/>
        <w:rPr>
          <w:rFonts w:ascii="仿宋" w:hAnsi="仿宋" w:eastAsia="仿宋"/>
          <w:b/>
          <w:color w:val="000000"/>
          <w:sz w:val="32"/>
          <w:szCs w:val="32"/>
        </w:rPr>
      </w:pPr>
      <w:r>
        <w:rPr>
          <w:rStyle w:val="8"/>
          <w:rFonts w:hint="eastAsia" w:ascii="仿宋" w:hAnsi="仿宋" w:eastAsia="仿宋"/>
          <w:bCs/>
          <w:color w:val="000000"/>
          <w:sz w:val="32"/>
          <w:szCs w:val="32"/>
        </w:rPr>
        <w:t>7</w:t>
      </w:r>
      <w:r>
        <w:rPr>
          <w:rStyle w:val="8"/>
          <w:rFonts w:ascii="仿宋" w:hAnsi="仿宋" w:eastAsia="仿宋"/>
          <w:bCs/>
          <w:color w:val="000000"/>
          <w:sz w:val="32"/>
          <w:szCs w:val="32"/>
        </w:rPr>
        <w:t>.</w:t>
      </w:r>
      <w:r>
        <w:rPr>
          <w:rStyle w:val="8"/>
          <w:rFonts w:hint="eastAsia" w:ascii="仿宋" w:hAnsi="仿宋" w:eastAsia="仿宋"/>
          <w:bCs/>
          <w:color w:val="000000"/>
          <w:sz w:val="32"/>
          <w:szCs w:val="32"/>
        </w:rPr>
        <w:t>农林水支出（类）扶贫（款）其他扶贫支出（项）</w:t>
      </w:r>
      <w:r>
        <w:rPr>
          <w:rStyle w:val="8"/>
          <w:rFonts w:hint="eastAsia" w:ascii="仿宋" w:hAnsi="仿宋" w:eastAsia="仿宋"/>
          <w:bCs/>
          <w:color w:val="000000"/>
          <w:sz w:val="32"/>
          <w:szCs w:val="32"/>
          <w:lang w:eastAsia="zh-CN"/>
        </w:rPr>
        <w:t>：</w:t>
      </w:r>
      <w:r>
        <w:rPr>
          <w:rStyle w:val="8"/>
          <w:rFonts w:hint="eastAsia" w:ascii="仿宋" w:hAnsi="仿宋" w:eastAsia="仿宋"/>
          <w:b w:val="0"/>
          <w:bCs/>
          <w:color w:val="000000"/>
          <w:sz w:val="32"/>
          <w:szCs w:val="32"/>
        </w:rPr>
        <w:t>支出决算为</w:t>
      </w:r>
      <w:r>
        <w:rPr>
          <w:rStyle w:val="8"/>
          <w:rFonts w:ascii="仿宋" w:hAnsi="仿宋" w:eastAsia="仿宋"/>
          <w:b w:val="0"/>
          <w:bCs/>
          <w:color w:val="000000"/>
          <w:sz w:val="32"/>
          <w:szCs w:val="32"/>
        </w:rPr>
        <w:t>3.8</w:t>
      </w:r>
      <w:r>
        <w:rPr>
          <w:rStyle w:val="8"/>
          <w:rFonts w:hint="eastAsia" w:ascii="仿宋" w:hAnsi="仿宋" w:eastAsia="仿宋"/>
          <w:b w:val="0"/>
          <w:bCs/>
          <w:color w:val="000000"/>
          <w:sz w:val="32"/>
          <w:szCs w:val="32"/>
        </w:rPr>
        <w:t>万元，完成</w:t>
      </w:r>
      <w:r>
        <w:rPr>
          <w:rStyle w:val="8"/>
          <w:rFonts w:hint="eastAsia" w:ascii="仿宋" w:hAnsi="仿宋" w:eastAsia="仿宋"/>
          <w:b w:val="0"/>
          <w:bCs/>
          <w:color w:val="000000"/>
          <w:sz w:val="32"/>
          <w:szCs w:val="32"/>
          <w:lang w:eastAsia="zh-CN"/>
        </w:rPr>
        <w:t>预算的100%</w:t>
      </w:r>
      <w:r>
        <w:rPr>
          <w:rStyle w:val="8"/>
          <w:rFonts w:hint="eastAsia" w:ascii="仿宋" w:hAnsi="仿宋" w:eastAsia="仿宋"/>
          <w:b w:val="0"/>
          <w:bCs/>
          <w:color w:val="000000"/>
          <w:sz w:val="32"/>
          <w:szCs w:val="32"/>
        </w:rPr>
        <w:t>。</w:t>
      </w:r>
    </w:p>
    <w:p>
      <w:pPr>
        <w:spacing w:line="600" w:lineRule="exact"/>
        <w:ind w:firstLine="643" w:firstLineChars="200"/>
        <w:rPr>
          <w:rStyle w:val="8"/>
          <w:rFonts w:ascii="仿宋" w:hAnsi="仿宋" w:eastAsia="仿宋"/>
          <w:b w:val="0"/>
          <w:bCs/>
          <w:color w:val="000000"/>
          <w:sz w:val="32"/>
          <w:szCs w:val="32"/>
        </w:rPr>
      </w:pPr>
      <w:r>
        <w:rPr>
          <w:rStyle w:val="8"/>
          <w:rFonts w:hint="eastAsia" w:ascii="仿宋" w:hAnsi="仿宋" w:eastAsia="仿宋"/>
          <w:bCs/>
          <w:color w:val="000000"/>
          <w:sz w:val="32"/>
          <w:szCs w:val="32"/>
        </w:rPr>
        <w:t>8</w:t>
      </w:r>
      <w:r>
        <w:rPr>
          <w:rStyle w:val="8"/>
          <w:rFonts w:ascii="仿宋" w:hAnsi="仿宋" w:eastAsia="仿宋"/>
          <w:bCs/>
          <w:color w:val="000000"/>
          <w:sz w:val="32"/>
          <w:szCs w:val="32"/>
        </w:rPr>
        <w:t>.</w:t>
      </w:r>
      <w:r>
        <w:rPr>
          <w:rStyle w:val="8"/>
          <w:rFonts w:hint="eastAsia" w:ascii="仿宋" w:hAnsi="仿宋" w:eastAsia="仿宋"/>
          <w:bCs/>
          <w:color w:val="000000"/>
          <w:sz w:val="32"/>
          <w:szCs w:val="32"/>
        </w:rPr>
        <w:t>资源勘探工业信息等支出（类）国有资产监督（款）行政运行（项）</w:t>
      </w:r>
      <w:r>
        <w:rPr>
          <w:rStyle w:val="8"/>
          <w:rFonts w:hint="eastAsia" w:ascii="仿宋" w:hAnsi="仿宋" w:eastAsia="仿宋"/>
          <w:bCs/>
          <w:color w:val="000000"/>
          <w:sz w:val="32"/>
          <w:szCs w:val="32"/>
          <w:lang w:eastAsia="zh-CN"/>
        </w:rPr>
        <w:t>：</w:t>
      </w:r>
      <w:r>
        <w:rPr>
          <w:rStyle w:val="8"/>
          <w:rFonts w:hint="eastAsia" w:ascii="仿宋" w:hAnsi="仿宋" w:eastAsia="仿宋"/>
          <w:b w:val="0"/>
          <w:bCs/>
          <w:color w:val="000000"/>
          <w:sz w:val="32"/>
          <w:szCs w:val="32"/>
        </w:rPr>
        <w:t>支出决算为</w:t>
      </w:r>
      <w:r>
        <w:rPr>
          <w:rStyle w:val="8"/>
          <w:rFonts w:ascii="仿宋" w:hAnsi="仿宋" w:eastAsia="仿宋"/>
          <w:b w:val="0"/>
          <w:bCs/>
          <w:color w:val="000000"/>
          <w:sz w:val="32"/>
          <w:szCs w:val="32"/>
        </w:rPr>
        <w:t>9.02</w:t>
      </w:r>
      <w:r>
        <w:rPr>
          <w:rStyle w:val="8"/>
          <w:rFonts w:hint="eastAsia" w:ascii="仿宋" w:hAnsi="仿宋" w:eastAsia="仿宋"/>
          <w:b w:val="0"/>
          <w:bCs/>
          <w:color w:val="000000"/>
          <w:sz w:val="32"/>
          <w:szCs w:val="32"/>
        </w:rPr>
        <w:t>万元，完成</w:t>
      </w:r>
      <w:r>
        <w:rPr>
          <w:rStyle w:val="8"/>
          <w:rFonts w:hint="eastAsia" w:ascii="仿宋" w:hAnsi="仿宋" w:eastAsia="仿宋"/>
          <w:b w:val="0"/>
          <w:bCs/>
          <w:color w:val="000000"/>
          <w:sz w:val="32"/>
          <w:szCs w:val="32"/>
          <w:lang w:eastAsia="zh-CN"/>
        </w:rPr>
        <w:t>预算的100%</w:t>
      </w:r>
      <w:r>
        <w:rPr>
          <w:rStyle w:val="8"/>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8"/>
          <w:rFonts w:hint="eastAsia" w:ascii="仿宋" w:hAnsi="仿宋" w:eastAsia="仿宋"/>
          <w:bCs/>
          <w:color w:val="000000"/>
          <w:sz w:val="32"/>
          <w:szCs w:val="32"/>
        </w:rPr>
        <w:t>9</w:t>
      </w:r>
      <w:r>
        <w:rPr>
          <w:rStyle w:val="8"/>
          <w:rFonts w:ascii="仿宋" w:hAnsi="仿宋" w:eastAsia="仿宋"/>
          <w:bCs/>
          <w:color w:val="000000"/>
          <w:sz w:val="32"/>
          <w:szCs w:val="32"/>
        </w:rPr>
        <w:t>.</w:t>
      </w:r>
      <w:r>
        <w:rPr>
          <w:rStyle w:val="8"/>
          <w:rFonts w:hint="eastAsia" w:ascii="仿宋" w:hAnsi="仿宋" w:eastAsia="仿宋"/>
          <w:bCs/>
          <w:color w:val="000000"/>
          <w:sz w:val="32"/>
          <w:szCs w:val="32"/>
        </w:rPr>
        <w:t>资源勘探工业信息等支出（类）国有资产监管（款）其他国有资产监管支出（项）</w:t>
      </w:r>
      <w:r>
        <w:rPr>
          <w:rStyle w:val="8"/>
          <w:rFonts w:hint="eastAsia" w:ascii="仿宋" w:hAnsi="仿宋" w:eastAsia="仿宋"/>
          <w:bCs/>
          <w:color w:val="000000"/>
          <w:sz w:val="32"/>
          <w:szCs w:val="32"/>
          <w:lang w:eastAsia="zh-CN"/>
        </w:rPr>
        <w:t>：</w:t>
      </w:r>
      <w:r>
        <w:rPr>
          <w:rStyle w:val="8"/>
          <w:rFonts w:hint="eastAsia" w:ascii="仿宋" w:hAnsi="仿宋" w:eastAsia="仿宋"/>
          <w:b w:val="0"/>
          <w:bCs/>
          <w:color w:val="000000"/>
          <w:sz w:val="32"/>
          <w:szCs w:val="32"/>
        </w:rPr>
        <w:t>支出决算为</w:t>
      </w:r>
      <w:r>
        <w:rPr>
          <w:rStyle w:val="8"/>
          <w:rFonts w:ascii="仿宋" w:hAnsi="仿宋" w:eastAsia="仿宋"/>
          <w:b w:val="0"/>
          <w:bCs/>
          <w:color w:val="000000"/>
          <w:sz w:val="32"/>
          <w:szCs w:val="32"/>
        </w:rPr>
        <w:t>103.69</w:t>
      </w:r>
      <w:r>
        <w:rPr>
          <w:rStyle w:val="8"/>
          <w:rFonts w:hint="eastAsia" w:ascii="仿宋" w:hAnsi="仿宋" w:eastAsia="仿宋"/>
          <w:b w:val="0"/>
          <w:bCs/>
          <w:color w:val="000000"/>
          <w:sz w:val="32"/>
          <w:szCs w:val="32"/>
        </w:rPr>
        <w:t>万元，完成</w:t>
      </w:r>
      <w:r>
        <w:rPr>
          <w:rStyle w:val="8"/>
          <w:rFonts w:hint="eastAsia" w:ascii="仿宋" w:hAnsi="仿宋" w:eastAsia="仿宋"/>
          <w:b w:val="0"/>
          <w:bCs/>
          <w:color w:val="000000"/>
          <w:sz w:val="32"/>
          <w:szCs w:val="32"/>
          <w:lang w:eastAsia="zh-CN"/>
        </w:rPr>
        <w:t>预算的100%</w:t>
      </w:r>
      <w:r>
        <w:rPr>
          <w:rStyle w:val="8"/>
          <w:rFonts w:hint="eastAsia" w:ascii="仿宋" w:hAnsi="仿宋" w:eastAsia="仿宋"/>
          <w:b w:val="0"/>
          <w:bCs/>
          <w:color w:val="000000"/>
          <w:sz w:val="32"/>
          <w:szCs w:val="32"/>
        </w:rPr>
        <w:t>。</w:t>
      </w:r>
    </w:p>
    <w:p>
      <w:pPr>
        <w:spacing w:line="600" w:lineRule="exact"/>
        <w:ind w:firstLine="643" w:firstLineChars="200"/>
      </w:pPr>
      <w:r>
        <w:rPr>
          <w:rStyle w:val="8"/>
          <w:rFonts w:hint="eastAsia" w:ascii="仿宋" w:hAnsi="仿宋" w:eastAsia="仿宋"/>
          <w:bCs/>
          <w:color w:val="000000"/>
          <w:sz w:val="32"/>
          <w:szCs w:val="32"/>
        </w:rPr>
        <w:t>10</w:t>
      </w:r>
      <w:r>
        <w:rPr>
          <w:rStyle w:val="8"/>
          <w:rFonts w:ascii="仿宋" w:hAnsi="仿宋" w:eastAsia="仿宋"/>
          <w:bCs/>
          <w:color w:val="000000"/>
          <w:sz w:val="32"/>
          <w:szCs w:val="32"/>
        </w:rPr>
        <w:t>.</w:t>
      </w:r>
      <w:r>
        <w:rPr>
          <w:rStyle w:val="8"/>
          <w:rFonts w:hint="eastAsia" w:ascii="仿宋" w:hAnsi="仿宋" w:eastAsia="仿宋"/>
          <w:bCs/>
          <w:color w:val="000000"/>
          <w:sz w:val="32"/>
          <w:szCs w:val="32"/>
        </w:rPr>
        <w:t>住房保障支出（类）住房改革支出（款）住房公积金（项）</w:t>
      </w:r>
      <w:r>
        <w:rPr>
          <w:rStyle w:val="8"/>
          <w:rFonts w:hint="eastAsia" w:ascii="仿宋" w:hAnsi="仿宋" w:eastAsia="仿宋"/>
          <w:bCs/>
          <w:color w:val="000000"/>
          <w:sz w:val="32"/>
          <w:szCs w:val="32"/>
          <w:lang w:eastAsia="zh-CN"/>
        </w:rPr>
        <w:t>：</w:t>
      </w:r>
      <w:r>
        <w:rPr>
          <w:rStyle w:val="8"/>
          <w:rFonts w:hint="eastAsia" w:ascii="仿宋" w:hAnsi="仿宋" w:eastAsia="仿宋"/>
          <w:b w:val="0"/>
          <w:bCs/>
          <w:color w:val="000000"/>
          <w:sz w:val="32"/>
          <w:szCs w:val="32"/>
        </w:rPr>
        <w:t>支出决算为</w:t>
      </w:r>
      <w:r>
        <w:rPr>
          <w:rStyle w:val="8"/>
          <w:rFonts w:ascii="仿宋" w:hAnsi="仿宋" w:eastAsia="仿宋"/>
          <w:b w:val="0"/>
          <w:bCs/>
          <w:color w:val="000000"/>
          <w:sz w:val="32"/>
          <w:szCs w:val="32"/>
        </w:rPr>
        <w:t>8.31</w:t>
      </w:r>
      <w:r>
        <w:rPr>
          <w:rStyle w:val="8"/>
          <w:rFonts w:hint="eastAsia" w:ascii="仿宋" w:hAnsi="仿宋" w:eastAsia="仿宋"/>
          <w:b w:val="0"/>
          <w:bCs/>
          <w:color w:val="000000"/>
          <w:sz w:val="32"/>
          <w:szCs w:val="32"/>
        </w:rPr>
        <w:t>万元，完成预算的100</w:t>
      </w:r>
      <w:r>
        <w:rPr>
          <w:rStyle w:val="8"/>
          <w:rFonts w:ascii="仿宋" w:hAnsi="仿宋" w:eastAsia="仿宋"/>
          <w:b w:val="0"/>
          <w:bCs/>
          <w:color w:val="000000"/>
          <w:sz w:val="32"/>
          <w:szCs w:val="32"/>
        </w:rPr>
        <w:t>%</w:t>
      </w:r>
      <w:r>
        <w:rPr>
          <w:rStyle w:val="8"/>
          <w:rFonts w:hint="eastAsia" w:ascii="仿宋" w:hAnsi="仿宋" w:eastAsia="仿宋"/>
          <w:b w:val="0"/>
          <w:bCs/>
          <w:color w:val="000000"/>
          <w:sz w:val="32"/>
          <w:szCs w:val="32"/>
        </w:rPr>
        <w:t>。</w:t>
      </w:r>
    </w:p>
    <w:p>
      <w:pPr>
        <w:tabs>
          <w:tab w:val="right" w:pos="8306"/>
        </w:tabs>
        <w:spacing w:line="600" w:lineRule="exact"/>
        <w:ind w:firstLine="640"/>
        <w:outlineLvl w:val="1"/>
        <w:rPr>
          <w:rStyle w:val="28"/>
        </w:rPr>
      </w:pPr>
      <w:bookmarkStart w:id="52" w:name="_Toc15377214"/>
      <w:bookmarkStart w:id="53" w:name="_Toc15396608"/>
      <w:bookmarkStart w:id="54" w:name="_Toc20255"/>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财政拨款基本支出决算情况说明</w:t>
      </w:r>
      <w:bookmarkEnd w:id="52"/>
      <w:bookmarkEnd w:id="53"/>
      <w:bookmarkEnd w:id="54"/>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ascii="仿宋" w:hAnsi="仿宋" w:eastAsia="仿宋"/>
          <w:sz w:val="32"/>
          <w:szCs w:val="32"/>
        </w:rPr>
        <w:t>144</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125.13</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ascii="仿宋" w:hAnsi="仿宋" w:eastAsia="仿宋"/>
          <w:sz w:val="32"/>
          <w:szCs w:val="32"/>
        </w:rPr>
        <w:t>14.08</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28"/>
          <w:rFonts w:ascii="黑体" w:hAnsi="黑体" w:eastAsia="黑体"/>
          <w:b w:val="0"/>
        </w:rPr>
      </w:pPr>
      <w:bookmarkStart w:id="55" w:name="_Toc15396609"/>
      <w:bookmarkStart w:id="56" w:name="_Toc4197"/>
      <w:bookmarkStart w:id="57" w:name="_Toc15377215"/>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三公”经费财政</w:t>
      </w:r>
      <w:r>
        <w:rPr>
          <w:rFonts w:hint="eastAsia" w:ascii="黑体" w:hAnsi="黑体" w:eastAsia="黑体"/>
          <w:sz w:val="32"/>
          <w:szCs w:val="32"/>
        </w:rPr>
        <w:t>拨款支出决算情况说明</w:t>
      </w:r>
      <w:bookmarkEnd w:id="55"/>
      <w:bookmarkEnd w:id="56"/>
      <w:bookmarkEnd w:id="57"/>
    </w:p>
    <w:p>
      <w:pPr>
        <w:spacing w:line="600" w:lineRule="exact"/>
        <w:ind w:firstLine="640"/>
        <w:outlineLvl w:val="2"/>
        <w:rPr>
          <w:rFonts w:ascii="仿宋" w:hAnsi="仿宋" w:eastAsia="仿宋"/>
          <w:b/>
          <w:sz w:val="32"/>
          <w:szCs w:val="32"/>
        </w:rPr>
      </w:pPr>
      <w:bookmarkStart w:id="58" w:name="_Toc15377216"/>
      <w:r>
        <w:rPr>
          <w:rFonts w:hint="eastAsia" w:ascii="仿宋" w:hAnsi="仿宋" w:eastAsia="仿宋"/>
          <w:b/>
          <w:sz w:val="32"/>
          <w:szCs w:val="32"/>
        </w:rPr>
        <w:t>（一）“三公”经费财政拨款支出决算总体情况说明</w:t>
      </w:r>
      <w:bookmarkEnd w:id="5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ascii="仿宋" w:hAnsi="仿宋" w:eastAsia="仿宋"/>
          <w:sz w:val="32"/>
          <w:szCs w:val="32"/>
        </w:rPr>
        <w:t>0</w:t>
      </w:r>
      <w:r>
        <w:rPr>
          <w:rFonts w:hint="eastAsia" w:ascii="仿宋" w:hAnsi="仿宋" w:eastAsia="仿宋"/>
          <w:sz w:val="32"/>
          <w:szCs w:val="32"/>
          <w:u w:val="none" w:color="000000"/>
        </w:rPr>
        <w:t>万元</w:t>
      </w:r>
      <w:r>
        <w:rPr>
          <w:rFonts w:hint="eastAsia" w:ascii="仿宋" w:hAnsi="仿宋" w:eastAsia="仿宋"/>
          <w:sz w:val="32"/>
          <w:szCs w:val="32"/>
        </w:rPr>
        <w:t>，完成预算</w:t>
      </w:r>
      <w:r>
        <w:rPr>
          <w:rFonts w:hint="eastAsia" w:ascii="仿宋" w:hAnsi="仿宋" w:eastAsia="仿宋"/>
          <w:sz w:val="32"/>
          <w:szCs w:val="32"/>
          <w:lang w:val="en-US" w:eastAsia="zh-CN"/>
        </w:rPr>
        <w:t>的</w:t>
      </w:r>
      <w:r>
        <w:rPr>
          <w:rFonts w:ascii="仿宋" w:hAnsi="仿宋" w:eastAsia="仿宋"/>
          <w:sz w:val="32"/>
          <w:szCs w:val="32"/>
        </w:rPr>
        <w:t>0%</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59" w:name="_Toc15377217"/>
      <w:r>
        <w:rPr>
          <w:rFonts w:hint="eastAsia" w:ascii="仿宋" w:hAnsi="仿宋" w:eastAsia="仿宋"/>
          <w:b/>
          <w:sz w:val="32"/>
          <w:szCs w:val="32"/>
        </w:rPr>
        <w:t>（二）“三公”经费财政拨款支出决算具体情况说明</w:t>
      </w:r>
      <w:bookmarkEnd w:id="5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；公务用车购置及运行维护费支出决算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；公务接待费支出决算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ascii="仿宋_GB2312" w:eastAsia="仿宋_GB2312"/>
          <w:sz w:val="32"/>
          <w:szCs w:val="32"/>
        </w:rPr>
        <w:t>0</w:t>
      </w:r>
      <w:r>
        <w:rPr>
          <w:rFonts w:hint="eastAsia" w:ascii="仿宋_GB2312" w:eastAsia="仿宋_GB2312"/>
          <w:sz w:val="32"/>
          <w:szCs w:val="32"/>
        </w:rPr>
        <w:t>万元，</w:t>
      </w:r>
      <w:r>
        <w:rPr>
          <w:rStyle w:val="8"/>
          <w:rFonts w:hint="eastAsia" w:ascii="仿宋" w:hAnsi="仿宋" w:eastAsia="仿宋"/>
          <w:b w:val="0"/>
          <w:bCs/>
          <w:sz w:val="32"/>
          <w:szCs w:val="32"/>
        </w:rPr>
        <w:t>完成</w:t>
      </w:r>
      <w:r>
        <w:rPr>
          <w:rStyle w:val="8"/>
          <w:rFonts w:hint="eastAsia" w:ascii="仿宋" w:hAnsi="仿宋" w:eastAsia="仿宋"/>
          <w:b w:val="0"/>
          <w:bCs/>
          <w:sz w:val="32"/>
          <w:szCs w:val="32"/>
          <w:lang w:eastAsia="zh-CN"/>
        </w:rPr>
        <w:t>预算的100%</w:t>
      </w:r>
      <w:r>
        <w:rPr>
          <w:rStyle w:val="8"/>
          <w:rFonts w:hint="eastAsia" w:ascii="仿宋" w:hAnsi="仿宋" w:eastAsia="仿宋"/>
          <w:b w:val="0"/>
          <w:bCs/>
          <w:sz w:val="32"/>
          <w:szCs w:val="32"/>
        </w:rPr>
        <w:t>。</w:t>
      </w:r>
      <w:r>
        <w:rPr>
          <w:rFonts w:hint="eastAsia" w:ascii="仿宋_GB2312" w:eastAsia="仿宋_GB2312"/>
          <w:sz w:val="32"/>
          <w:szCs w:val="32"/>
        </w:rPr>
        <w:t>全年安排因公出国（境）团组</w:t>
      </w:r>
      <w:r>
        <w:rPr>
          <w:rFonts w:ascii="仿宋_GB2312" w:eastAsia="仿宋_GB2312"/>
          <w:sz w:val="32"/>
          <w:szCs w:val="32"/>
        </w:rPr>
        <w:t>0</w:t>
      </w:r>
      <w:r>
        <w:rPr>
          <w:rFonts w:hint="eastAsia" w:ascii="仿宋_GB2312" w:eastAsia="仿宋_GB2312"/>
          <w:sz w:val="32"/>
          <w:szCs w:val="32"/>
        </w:rPr>
        <w:t>次，出国（境）</w:t>
      </w:r>
      <w:r>
        <w:rPr>
          <w:rFonts w:ascii="仿宋_GB2312" w:eastAsia="仿宋_GB2312"/>
          <w:sz w:val="32"/>
          <w:szCs w:val="32"/>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ascii="仿宋_GB2312" w:eastAsia="仿宋_GB2312"/>
          <w:sz w:val="32"/>
          <w:szCs w:val="32"/>
        </w:rPr>
        <w:t>0%</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ascii="仿宋_GB2312" w:eastAsia="仿宋_GB2312"/>
          <w:sz w:val="32"/>
          <w:szCs w:val="32"/>
        </w:rPr>
        <w:t>0</w:t>
      </w:r>
      <w:r>
        <w:rPr>
          <w:rFonts w:hint="eastAsia" w:ascii="仿宋_GB2312" w:eastAsia="仿宋_GB2312"/>
          <w:sz w:val="32"/>
          <w:szCs w:val="32"/>
        </w:rPr>
        <w:t>万元</w:t>
      </w:r>
      <w:r>
        <w:t>，</w:t>
      </w:r>
      <w:r>
        <w:rPr>
          <w:rStyle w:val="8"/>
          <w:rFonts w:hint="eastAsia" w:ascii="仿宋" w:hAnsi="仿宋" w:eastAsia="仿宋"/>
          <w:b w:val="0"/>
          <w:bCs/>
          <w:sz w:val="32"/>
          <w:szCs w:val="32"/>
        </w:rPr>
        <w:t>完成</w:t>
      </w:r>
      <w:r>
        <w:rPr>
          <w:rStyle w:val="8"/>
          <w:rFonts w:hint="eastAsia" w:ascii="仿宋" w:hAnsi="仿宋" w:eastAsia="仿宋"/>
          <w:b w:val="0"/>
          <w:bCs/>
          <w:sz w:val="32"/>
          <w:szCs w:val="32"/>
          <w:lang w:eastAsia="zh-CN"/>
        </w:rPr>
        <w:t>预算的100%</w:t>
      </w:r>
      <w:r>
        <w:rPr>
          <w:rStyle w:val="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ascii="仿宋_GB2312" w:eastAsia="仿宋_GB2312"/>
          <w:sz w:val="32"/>
          <w:szCs w:val="32"/>
        </w:rPr>
        <w:t>0%</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ascii="仿宋_GB2312" w:eastAsia="仿宋_GB2312"/>
          <w:sz w:val="32"/>
          <w:szCs w:val="32"/>
        </w:rPr>
        <w:t>0</w:t>
      </w:r>
      <w:r>
        <w:rPr>
          <w:rFonts w:hint="eastAsia" w:ascii="仿宋_GB2312" w:eastAsia="仿宋_GB2312"/>
          <w:sz w:val="32"/>
          <w:szCs w:val="32"/>
        </w:rPr>
        <w:t>万元。全年按规定更新购置公务用车</w:t>
      </w:r>
      <w:r>
        <w:rPr>
          <w:rFonts w:ascii="仿宋_GB2312" w:eastAsia="仿宋_GB2312"/>
          <w:sz w:val="32"/>
          <w:szCs w:val="32"/>
        </w:rPr>
        <w:t>0</w:t>
      </w:r>
      <w:r>
        <w:rPr>
          <w:rFonts w:hint="eastAsia" w:ascii="仿宋_GB2312" w:eastAsia="仿宋_GB2312"/>
          <w:sz w:val="32"/>
          <w:szCs w:val="32"/>
        </w:rPr>
        <w:t>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w:t>
      </w:r>
      <w:r>
        <w:rPr>
          <w:rFonts w:ascii="仿宋_GB2312" w:eastAsia="仿宋_GB2312"/>
          <w:sz w:val="32"/>
          <w:szCs w:val="32"/>
        </w:rPr>
        <w:t>0</w:t>
      </w:r>
      <w:r>
        <w:rPr>
          <w:rFonts w:hint="eastAsia" w:ascii="仿宋_GB2312" w:eastAsia="仿宋_GB2312"/>
          <w:sz w:val="32"/>
          <w:szCs w:val="32"/>
        </w:rPr>
        <w:t>辆，其中：轿车0辆、越野车</w:t>
      </w:r>
      <w:r>
        <w:rPr>
          <w:rFonts w:ascii="仿宋_GB2312" w:eastAsia="仿宋_GB2312"/>
          <w:sz w:val="32"/>
          <w:szCs w:val="32"/>
        </w:rPr>
        <w:t>0</w:t>
      </w:r>
      <w:r>
        <w:rPr>
          <w:rFonts w:hint="eastAsia" w:ascii="仿宋_GB2312" w:eastAsia="仿宋_GB2312"/>
          <w:sz w:val="32"/>
          <w:szCs w:val="32"/>
        </w:rPr>
        <w:t>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ascii="仿宋_GB2312" w:eastAsia="仿宋_GB2312"/>
          <w:sz w:val="32"/>
          <w:szCs w:val="32"/>
        </w:rPr>
        <w:t>0</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ascii="仿宋_GB2312" w:eastAsia="仿宋_GB2312"/>
          <w:sz w:val="32"/>
          <w:szCs w:val="32"/>
        </w:rPr>
        <w:t>0</w:t>
      </w:r>
      <w:r>
        <w:rPr>
          <w:rFonts w:hint="eastAsia" w:ascii="仿宋_GB2312" w:eastAsia="仿宋_GB2312"/>
          <w:sz w:val="32"/>
          <w:szCs w:val="32"/>
        </w:rPr>
        <w:t>万元，</w:t>
      </w:r>
      <w:r>
        <w:rPr>
          <w:rStyle w:val="8"/>
          <w:rFonts w:hint="eastAsia" w:ascii="仿宋" w:hAnsi="仿宋" w:eastAsia="仿宋"/>
          <w:b w:val="0"/>
          <w:bCs/>
          <w:sz w:val="32"/>
          <w:szCs w:val="32"/>
        </w:rPr>
        <w:t>完成预算的</w:t>
      </w:r>
      <w:r>
        <w:rPr>
          <w:rStyle w:val="8"/>
          <w:rFonts w:ascii="仿宋" w:hAnsi="仿宋" w:eastAsia="仿宋"/>
          <w:b w:val="0"/>
          <w:bCs/>
          <w:sz w:val="32"/>
          <w:szCs w:val="32"/>
        </w:rPr>
        <w:t>100%</w:t>
      </w:r>
      <w:r>
        <w:rPr>
          <w:rStyle w:val="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ascii="仿宋_GB2312" w:eastAsia="仿宋_GB2312"/>
          <w:sz w:val="32"/>
          <w:szCs w:val="32"/>
        </w:rPr>
        <w:t>0%</w:t>
      </w:r>
      <w:r>
        <w:rPr>
          <w:rFonts w:hint="eastAsia" w:ascii="仿宋_GB2312" w:eastAsia="仿宋_GB2312"/>
          <w:sz w:val="32"/>
          <w:szCs w:val="32"/>
        </w:rPr>
        <w:t>。</w:t>
      </w:r>
    </w:p>
    <w:p>
      <w:pPr>
        <w:spacing w:line="600" w:lineRule="exact"/>
        <w:ind w:firstLine="640"/>
        <w:outlineLvl w:val="1"/>
        <w:rPr>
          <w:rStyle w:val="28"/>
          <w:rFonts w:ascii="黑体" w:hAnsi="黑体" w:eastAsia="黑体"/>
        </w:rPr>
      </w:pPr>
      <w:bookmarkStart w:id="60" w:name="_Toc15396610"/>
      <w:bookmarkStart w:id="61" w:name="_Toc5057"/>
      <w:bookmarkStart w:id="62" w:name="_Toc15377218"/>
      <w:r>
        <w:rPr>
          <w:rFonts w:hint="eastAsia" w:ascii="黑体" w:eastAsia="黑体"/>
          <w:sz w:val="32"/>
          <w:szCs w:val="32"/>
        </w:rPr>
        <w:t>八、</w:t>
      </w:r>
      <w:r>
        <w:rPr>
          <w:rStyle w:val="28"/>
          <w:rFonts w:hint="eastAsia" w:ascii="黑体" w:hAnsi="黑体" w:eastAsia="黑体"/>
          <w:b w:val="0"/>
        </w:rPr>
        <w:t>政府性基金预算</w:t>
      </w:r>
      <w:r>
        <w:rPr>
          <w:rFonts w:hint="eastAsia" w:ascii="黑体" w:hAnsi="黑体" w:eastAsia="黑体"/>
          <w:sz w:val="32"/>
          <w:szCs w:val="32"/>
        </w:rPr>
        <w:t>支出决算情况说明</w:t>
      </w:r>
      <w:bookmarkEnd w:id="60"/>
      <w:bookmarkEnd w:id="61"/>
      <w:bookmarkEnd w:id="6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8"/>
          <w:rFonts w:ascii="黑体" w:hAnsi="黑体" w:eastAsia="黑体"/>
          <w:b w:val="0"/>
        </w:rPr>
      </w:pPr>
      <w:bookmarkStart w:id="63" w:name="_Toc15377219"/>
      <w:bookmarkStart w:id="64" w:name="_Toc15396611"/>
      <w:bookmarkStart w:id="65" w:name="_Toc24981"/>
      <w:r>
        <w:rPr>
          <w:rStyle w:val="28"/>
          <w:rFonts w:hint="eastAsia" w:ascii="黑体" w:hAnsi="黑体" w:eastAsia="黑体"/>
          <w:b w:val="0"/>
        </w:rPr>
        <w:t>国有资本经营预算</w:t>
      </w:r>
      <w:r>
        <w:rPr>
          <w:rFonts w:hint="eastAsia" w:ascii="黑体" w:hAnsi="黑体" w:eastAsia="黑体"/>
          <w:sz w:val="32"/>
          <w:szCs w:val="32"/>
        </w:rPr>
        <w:t>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8"/>
          <w:rFonts w:ascii="黑体" w:hAnsi="黑体" w:eastAsia="黑体"/>
          <w:b w:val="0"/>
        </w:rPr>
      </w:pPr>
      <w:bookmarkStart w:id="66" w:name="_Toc15396612"/>
      <w:bookmarkStart w:id="67" w:name="_Toc10251"/>
      <w:bookmarkStart w:id="68" w:name="_Toc15377221"/>
      <w:r>
        <w:rPr>
          <w:rStyle w:val="28"/>
          <w:rFonts w:hint="eastAsia" w:ascii="黑体" w:hAnsi="黑体" w:eastAsia="黑体"/>
          <w:b w:val="0"/>
        </w:rPr>
        <w:t>其他重要事项的情况说明</w:t>
      </w:r>
      <w:bookmarkEnd w:id="66"/>
      <w:bookmarkEnd w:id="67"/>
      <w:bookmarkEnd w:id="68"/>
    </w:p>
    <w:p>
      <w:pPr>
        <w:spacing w:line="600" w:lineRule="exact"/>
        <w:ind w:firstLine="643" w:firstLineChars="200"/>
        <w:outlineLvl w:val="2"/>
        <w:rPr>
          <w:rFonts w:ascii="仿宋" w:hAnsi="仿宋" w:eastAsia="仿宋"/>
          <w:sz w:val="32"/>
          <w:szCs w:val="32"/>
        </w:rPr>
      </w:pPr>
      <w:bookmarkStart w:id="69" w:name="_Toc15377222"/>
      <w:r>
        <w:rPr>
          <w:rFonts w:hint="eastAsia" w:ascii="仿宋" w:hAnsi="仿宋" w:eastAsia="仿宋"/>
          <w:b/>
          <w:sz w:val="32"/>
          <w:szCs w:val="32"/>
        </w:rPr>
        <w:t>（一）机关运行经费支出情况</w:t>
      </w:r>
      <w:bookmarkEnd w:id="6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21年，国资委机关运行经费支出0万元，主要原因是本单位是事业单位，无机关运行经费支出。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0" w:name="_Toc15377223"/>
      <w:r>
        <w:rPr>
          <w:rFonts w:hint="eastAsia" w:ascii="仿宋" w:hAnsi="仿宋" w:eastAsia="仿宋"/>
          <w:b/>
          <w:sz w:val="32"/>
          <w:szCs w:val="32"/>
        </w:rPr>
        <w:t>（二）政府采购支出情况</w:t>
      </w:r>
      <w:bookmarkEnd w:id="7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21年，国资委政府采购支出总额</w:t>
      </w:r>
      <w:r>
        <w:rPr>
          <w:rFonts w:ascii="仿宋_GB2312" w:eastAsia="仿宋_GB2312"/>
          <w:sz w:val="32"/>
          <w:szCs w:val="32"/>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1" w:name="_Toc15377224"/>
      <w:r>
        <w:rPr>
          <w:rFonts w:hint="eastAsia" w:ascii="仿宋" w:hAnsi="仿宋" w:eastAsia="仿宋"/>
          <w:b/>
          <w:sz w:val="32"/>
          <w:szCs w:val="32"/>
        </w:rPr>
        <w:t>（三）国有资产占有使用情况</w:t>
      </w:r>
      <w:bookmarkEnd w:id="71"/>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日，国资委共有车辆</w:t>
      </w:r>
      <w:r>
        <w:rPr>
          <w:rFonts w:ascii="仿宋_GB2312" w:eastAsia="仿宋_GB2312"/>
          <w:sz w:val="32"/>
          <w:szCs w:val="32"/>
        </w:rPr>
        <w:t>0</w:t>
      </w:r>
      <w:r>
        <w:rPr>
          <w:rFonts w:hint="eastAsia" w:ascii="仿宋_GB2312" w:eastAsia="仿宋_GB2312"/>
          <w:sz w:val="32"/>
          <w:szCs w:val="32"/>
        </w:rPr>
        <w:t>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根据预算绩效管理要求，本部门在2021年度预算编制阶段，组织对“国有企业改革”项目（项目名称）等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个项目开展了预算事前绩效评估，对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个项目开展了绩效自评。同时，本部门对2021年部门整体开展绩效自评，《2021年国有资产监督管理委员会部门整体绩效评价报告》见附件（第四部分）。</w:t>
      </w: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27"/>
          <w:rFonts w:ascii="黑体" w:hAnsi="黑体" w:eastAsia="黑体"/>
          <w:b w:val="0"/>
        </w:rPr>
      </w:pPr>
      <w:bookmarkStart w:id="72" w:name="_Toc24006"/>
      <w:bookmarkStart w:id="73" w:name="_Toc15396613"/>
      <w:bookmarkStart w:id="74" w:name="_Toc15377225"/>
      <w:r>
        <w:rPr>
          <w:rFonts w:hint="eastAsia" w:ascii="黑体" w:hAnsi="黑体" w:eastAsia="黑体"/>
          <w:sz w:val="44"/>
          <w:szCs w:val="44"/>
        </w:rPr>
        <w:t>名</w:t>
      </w:r>
      <w:r>
        <w:rPr>
          <w:rStyle w:val="27"/>
          <w:rFonts w:hint="eastAsia" w:ascii="黑体" w:hAnsi="黑体" w:eastAsia="黑体"/>
          <w:b w:val="0"/>
        </w:rPr>
        <w:t>词解释</w:t>
      </w:r>
      <w:bookmarkEnd w:id="72"/>
      <w:bookmarkEnd w:id="73"/>
      <w:bookmarkEnd w:id="74"/>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4.其他收入：指单位取得的除上述收入以外的各项收</w:t>
      </w:r>
      <w:r>
        <w:rPr>
          <w:rFonts w:hint="eastAsia" w:ascii="仿宋_GB2312" w:eastAsia="仿宋_GB2312"/>
          <w:color w:val="auto"/>
          <w:sz w:val="32"/>
          <w:szCs w:val="32"/>
        </w:rPr>
        <w:t>入。</w:t>
      </w:r>
    </w:p>
    <w:p>
      <w:pPr>
        <w:pStyle w:val="25"/>
        <w:spacing w:line="560" w:lineRule="exact"/>
        <w:ind w:left="319" w:leftChars="152" w:firstLine="320" w:firstLineChars="100"/>
        <w:rPr>
          <w:rFonts w:ascii="仿宋_GB2312" w:eastAsia="仿宋_GB2312"/>
          <w:color w:val="auto"/>
          <w:sz w:val="32"/>
          <w:szCs w:val="32"/>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5"/>
        <w:spacing w:line="560" w:lineRule="exact"/>
        <w:ind w:firstLine="640" w:firstLineChars="200"/>
        <w:rPr>
          <w:rFonts w:hint="eastAsia" w:ascii="仿宋" w:hAnsi="仿宋" w:eastAsia="仿宋" w:cs="Times New Roman"/>
          <w:color w:val="auto"/>
          <w:kern w:val="2"/>
          <w:sz w:val="32"/>
          <w:szCs w:val="32"/>
          <w:lang w:val="en-US" w:eastAsia="zh-CN" w:bidi="ar-SA"/>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w:t>
      </w:r>
      <w:r>
        <w:rPr>
          <w:rFonts w:hint="eastAsia" w:ascii="仿宋_GB2312" w:eastAsia="仿宋_GB2312"/>
          <w:color w:val="auto"/>
          <w:sz w:val="32"/>
          <w:szCs w:val="32"/>
          <w:u w:val="none" w:color="000000"/>
        </w:rPr>
        <w:t>完成、</w:t>
      </w:r>
      <w:r>
        <w:rPr>
          <w:rFonts w:hint="eastAsia" w:ascii="仿宋_GB2312" w:eastAsia="仿宋_GB2312"/>
          <w:color w:val="auto"/>
          <w:sz w:val="32"/>
          <w:szCs w:val="32"/>
        </w:rPr>
        <w:t>结转到</w:t>
      </w:r>
      <w:r>
        <w:rPr>
          <w:rFonts w:hint="eastAsia" w:ascii="仿宋" w:hAnsi="仿宋" w:eastAsia="仿宋" w:cs="Times New Roman"/>
          <w:color w:val="auto"/>
          <w:kern w:val="2"/>
          <w:sz w:val="32"/>
          <w:szCs w:val="32"/>
          <w:lang w:val="en-US" w:eastAsia="zh-CN" w:bidi="ar-SA"/>
        </w:rPr>
        <w:t>本年度按有关规定继续使用的资金。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社会保障和就业（类）人力资源和社会保障管理事务（款）引进人才费用（项）：指反映用于引进外国专家补助、引智成果推广等方面的支出；行政事业单位养老支出（款）机关事业单位基本养老保险缴费支出（项）：指反映机关事业单位实施养老保险制度由单位缴纳的基本养老保险费支出；其他社会保障和就业支出（款）其他社会保障和就业支出（项）：指反映其他用于社会保障和就业方面的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Style w:val="8"/>
          <w:rFonts w:hint="eastAsia" w:ascii="仿宋" w:hAnsi="仿宋" w:eastAsia="仿宋"/>
          <w:b w:val="0"/>
          <w:bCs/>
          <w:sz w:val="32"/>
          <w:szCs w:val="32"/>
        </w:rPr>
        <w:t>卫生健康（类）行政事业单位医疗</w:t>
      </w:r>
      <w:r>
        <w:rPr>
          <w:rFonts w:hint="eastAsia" w:ascii="仿宋" w:hAnsi="仿宋" w:eastAsia="仿宋"/>
          <w:bCs/>
          <w:sz w:val="32"/>
          <w:szCs w:val="32"/>
        </w:rPr>
        <w:t>（款）行政单位医疗（项）</w:t>
      </w:r>
      <w:r>
        <w:rPr>
          <w:rStyle w:val="8"/>
          <w:rFonts w:hint="eastAsia" w:ascii="仿宋" w:hAnsi="仿宋" w:eastAsia="仿宋"/>
          <w:b w:val="0"/>
          <w:bCs/>
          <w:sz w:val="32"/>
          <w:szCs w:val="32"/>
        </w:rPr>
        <w:t>：</w:t>
      </w:r>
      <w:r>
        <w:rPr>
          <w:rFonts w:hint="eastAsia" w:ascii="仿宋_GB2312" w:eastAsia="仿宋_GB2312"/>
          <w:sz w:val="32"/>
          <w:szCs w:val="32"/>
        </w:rPr>
        <w:t>指反映财政部门安排的行政单位（包括实行公务员管理的事业单位）基本医疗保险缴费经费，未参加医疗保险的行政单位的公费医疗经费，按国家规定享受离休人员、红军老战士待遇人员的医疗经费；</w:t>
      </w:r>
      <w:r>
        <w:rPr>
          <w:rStyle w:val="8"/>
          <w:rFonts w:hint="eastAsia" w:ascii="仿宋" w:hAnsi="仿宋" w:eastAsia="仿宋"/>
          <w:b w:val="0"/>
          <w:bCs/>
          <w:sz w:val="32"/>
          <w:szCs w:val="32"/>
        </w:rPr>
        <w:t>卫生健康（类）行政事业单位医疗</w:t>
      </w:r>
      <w:r>
        <w:rPr>
          <w:rFonts w:hint="eastAsia" w:ascii="仿宋" w:hAnsi="仿宋" w:eastAsia="仿宋"/>
          <w:bCs/>
          <w:sz w:val="32"/>
          <w:szCs w:val="32"/>
        </w:rPr>
        <w:t>（款）</w:t>
      </w:r>
      <w:r>
        <w:rPr>
          <w:rFonts w:hint="eastAsia" w:ascii="仿宋_GB2312" w:eastAsia="仿宋_GB2312"/>
          <w:sz w:val="32"/>
          <w:szCs w:val="32"/>
        </w:rPr>
        <w:t>公务员医疗补助（项）：指反映财政部门安排的公务员医疗补助经费；</w:t>
      </w:r>
      <w:r>
        <w:rPr>
          <w:rStyle w:val="8"/>
          <w:rFonts w:hint="eastAsia" w:ascii="仿宋" w:hAnsi="仿宋" w:eastAsia="仿宋"/>
          <w:b w:val="0"/>
          <w:bCs/>
          <w:sz w:val="32"/>
          <w:szCs w:val="32"/>
        </w:rPr>
        <w:t>卫生健康（类）行政事业单位医疗</w:t>
      </w:r>
      <w:r>
        <w:rPr>
          <w:rFonts w:hint="eastAsia" w:ascii="仿宋" w:hAnsi="仿宋" w:eastAsia="仿宋"/>
          <w:bCs/>
          <w:sz w:val="32"/>
          <w:szCs w:val="32"/>
        </w:rPr>
        <w:t>（款）事业单位医疗（项）</w:t>
      </w:r>
      <w:r>
        <w:rPr>
          <w:rFonts w:hint="eastAsia" w:ascii="仿宋" w:hAnsi="仿宋" w:eastAsia="仿宋"/>
          <w:bCs/>
          <w:sz w:val="32"/>
          <w:szCs w:val="32"/>
          <w:lang w:eastAsia="zh-CN"/>
        </w:rPr>
        <w:t>：</w:t>
      </w:r>
      <w:r>
        <w:rPr>
          <w:rFonts w:hint="eastAsia" w:ascii="仿宋_GB2312" w:eastAsia="仿宋_GB2312"/>
          <w:sz w:val="32"/>
          <w:szCs w:val="32"/>
        </w:rPr>
        <w:t>指反映财政部门安排的事业单位基本医疗保险缴费，未参加医疗保险的事业单位的公费医疗经费，按国家规定享受离休人员待遇的医疗经费。</w:t>
      </w:r>
    </w:p>
    <w:p>
      <w:pPr>
        <w:numPr>
          <w:ilvl w:val="0"/>
          <w:numId w:val="4"/>
        </w:numPr>
        <w:ind w:firstLine="640" w:firstLineChars="200"/>
        <w:rPr>
          <w:rFonts w:ascii="仿宋_GB2312" w:eastAsia="仿宋_GB2312"/>
          <w:sz w:val="32"/>
          <w:szCs w:val="32"/>
        </w:rPr>
      </w:pPr>
      <w:r>
        <w:rPr>
          <w:rFonts w:hint="eastAsia" w:ascii="仿宋_GB2312" w:eastAsia="仿宋_GB2312"/>
          <w:sz w:val="32"/>
          <w:szCs w:val="32"/>
        </w:rPr>
        <w:t>农林水（类）扶贫（款）其他扶贫支出（项）：指反映其他用于扶贫方面的支出。</w:t>
      </w:r>
    </w:p>
    <w:p>
      <w:pPr>
        <w:ind w:firstLine="640" w:firstLineChars="200"/>
        <w:rPr>
          <w:rFonts w:ascii="仿宋_GB2312" w:eastAsia="仿宋_GB2312"/>
          <w:sz w:val="32"/>
          <w:szCs w:val="32"/>
        </w:rPr>
      </w:pPr>
      <w:r>
        <w:rPr>
          <w:rFonts w:hint="eastAsia" w:ascii="仿宋_GB2312" w:eastAsia="仿宋_GB2312"/>
          <w:sz w:val="32"/>
          <w:szCs w:val="32"/>
        </w:rPr>
        <w:t>12.资源勘探工业信息等支出（类）国有资产监管（款）行政运行（项）：指反映行政单位（包括实行公务员管理的事业单位）的基本支出；资源勘探工业信息等支出（类）国有资产监管（款）其他国有资产监管支出（项）：指反映其他用于国有资产监管方面的支出。</w:t>
      </w:r>
    </w:p>
    <w:p>
      <w:pPr>
        <w:ind w:firstLine="640" w:firstLineChars="200"/>
        <w:rPr>
          <w:rFonts w:ascii="仿宋_GB2312" w:eastAsia="仿宋_GB2312"/>
          <w:sz w:val="32"/>
          <w:szCs w:val="32"/>
        </w:rPr>
      </w:pPr>
      <w:r>
        <w:rPr>
          <w:rFonts w:hint="eastAsia" w:ascii="仿宋_GB2312" w:eastAsia="仿宋_GB2312"/>
          <w:sz w:val="32"/>
          <w:szCs w:val="32"/>
        </w:rPr>
        <w:t>13.住房保障（类）住房改革支出（款）住房公积金（项）：指反映行政事业单位按人力资源和社会保障部、财政部规定的基本工资和津贴补贴以及规定比例为职工缴纳的住房公积金。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w:t>
      </w:r>
      <w:r>
        <w:rPr>
          <w:rFonts w:hint="eastAsia" w:ascii="仿宋_GB2312" w:eastAsia="仿宋_GB2312"/>
          <w:color w:val="auto"/>
          <w:sz w:val="32"/>
          <w:szCs w:val="32"/>
          <w:u w:val="none" w:color="000000"/>
        </w:rPr>
        <w:t>各项</w:t>
      </w:r>
      <w:r>
        <w:rPr>
          <w:rFonts w:hint="eastAsia" w:ascii="仿宋_GB2312" w:eastAsia="仿宋_GB2312"/>
          <w:color w:val="auto"/>
          <w:sz w:val="32"/>
          <w:szCs w:val="32"/>
        </w:rPr>
        <w:t>资金，包括</w:t>
      </w:r>
      <w:r>
        <w:rPr>
          <w:rFonts w:hint="eastAsia" w:ascii="仿宋" w:hAnsi="仿宋" w:eastAsia="仿宋" w:cs="Times New Roman"/>
          <w:color w:val="auto"/>
          <w:kern w:val="2"/>
          <w:sz w:val="32"/>
          <w:szCs w:val="32"/>
          <w:lang w:val="en-US" w:eastAsia="zh-CN" w:bidi="ar-SA"/>
        </w:rPr>
        <w:t>办公费及</w:t>
      </w:r>
      <w:r>
        <w:rPr>
          <w:rFonts w:hint="eastAsia" w:ascii="仿宋_GB2312" w:eastAsia="仿宋_GB2312"/>
          <w:color w:val="auto"/>
          <w:sz w:val="32"/>
          <w:szCs w:val="32"/>
        </w:rPr>
        <w:t>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bookmarkStart w:id="75" w:name="_Toc15377226"/>
      <w:r>
        <w:br w:type="page"/>
      </w:r>
      <w:bookmarkStart w:id="76" w:name="_Toc15396614"/>
      <w:bookmarkStart w:id="77" w:name="_Toc5747"/>
      <w:r>
        <w:rPr>
          <w:rFonts w:hint="eastAsia" w:ascii="黑体" w:hAnsi="黑体" w:eastAsia="黑体"/>
          <w:sz w:val="44"/>
          <w:szCs w:val="44"/>
        </w:rPr>
        <w:t>第</w:t>
      </w:r>
      <w:r>
        <w:rPr>
          <w:rStyle w:val="27"/>
          <w:rFonts w:hint="eastAsia" w:ascii="黑体" w:hAnsi="黑体" w:eastAsia="黑体"/>
          <w:b w:val="0"/>
        </w:rPr>
        <w:t>四部分附件</w:t>
      </w:r>
      <w:bookmarkEnd w:id="76"/>
      <w:bookmarkEnd w:id="77"/>
    </w:p>
    <w:p>
      <w:pPr>
        <w:spacing w:line="572" w:lineRule="exact"/>
        <w:jc w:val="left"/>
        <w:outlineLvl w:val="0"/>
        <w:rPr>
          <w:rFonts w:ascii="方正小标宋简体" w:hAnsi="方正小标宋简体" w:eastAsia="方正小标宋简体" w:cs="方正小标宋简体"/>
          <w:sz w:val="44"/>
          <w:szCs w:val="44"/>
        </w:rPr>
      </w:pPr>
      <w:bookmarkStart w:id="78" w:name="_Toc16195"/>
      <w:r>
        <w:rPr>
          <w:rFonts w:hint="eastAsia" w:ascii="黑体" w:hAnsi="黑体" w:eastAsia="黑体" w:cs="黑体"/>
          <w:sz w:val="32"/>
          <w:szCs w:val="32"/>
        </w:rPr>
        <w:t>附件</w:t>
      </w:r>
      <w:bookmarkEnd w:id="78"/>
    </w:p>
    <w:p>
      <w:pPr>
        <w:spacing w:line="572" w:lineRule="exact"/>
        <w:jc w:val="center"/>
        <w:rPr>
          <w:rFonts w:ascii="方正小标宋简体" w:hAnsi="宋体" w:eastAsia="方正小标宋简体"/>
          <w:kern w:val="0"/>
          <w:sz w:val="40"/>
          <w:szCs w:val="44"/>
        </w:rPr>
      </w:pPr>
      <w:r>
        <w:rPr>
          <w:rFonts w:hint="eastAsia" w:ascii="方正小标宋简体" w:hAnsi="宋体" w:eastAsia="方正小标宋简体"/>
          <w:kern w:val="0"/>
          <w:sz w:val="40"/>
          <w:szCs w:val="44"/>
        </w:rPr>
        <w:t>2021年国有资产监督管理部门</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pStyle w:val="3"/>
        <w:spacing w:before="93"/>
        <w:ind w:firstLine="640" w:firstLineChars="200"/>
        <w:rPr>
          <w:sz w:val="32"/>
          <w:szCs w:val="32"/>
          <w:lang w:val="zh-CN"/>
        </w:rPr>
      </w:pPr>
      <w:r>
        <w:rPr>
          <w:rFonts w:hint="eastAsia" w:hAnsi="宋体"/>
          <w:sz w:val="32"/>
          <w:szCs w:val="32"/>
          <w:lang w:val="zh-CN"/>
        </w:rPr>
        <w:t>通江县国有资产监督管理委员会是县人民政府的直属事业单位，</w:t>
      </w:r>
      <w:r>
        <w:rPr>
          <w:rFonts w:hint="eastAsia"/>
          <w:sz w:val="32"/>
          <w:szCs w:val="32"/>
          <w:lang w:val="zh-CN"/>
        </w:rPr>
        <w:t>设办公室、财务监督与评价股、国有资产监管股等三个</w:t>
      </w:r>
      <w:r>
        <w:rPr>
          <w:rFonts w:hint="eastAsia"/>
          <w:sz w:val="32"/>
          <w:szCs w:val="32"/>
          <w:u w:val="thick" w:color="4B6EE0"/>
          <w:shd w:val="clear" w:fill="E8EBF5"/>
          <w:lang w:val="zh-CN"/>
        </w:rPr>
        <w:t>股</w:t>
      </w:r>
      <w:r>
        <w:rPr>
          <w:rFonts w:hint="eastAsia" w:ascii="仿宋" w:hAnsi="仿宋" w:eastAsia="仿宋" w:cs="Times New Roman"/>
          <w:kern w:val="2"/>
          <w:sz w:val="32"/>
          <w:szCs w:val="32"/>
          <w:lang w:val="zh-CN" w:eastAsia="zh-CN" w:bidi="ar-SA"/>
        </w:rPr>
        <w:t>室，按规定</w:t>
      </w:r>
      <w:r>
        <w:rPr>
          <w:rFonts w:hint="eastAsia"/>
          <w:sz w:val="32"/>
          <w:szCs w:val="32"/>
          <w:lang w:val="zh-CN"/>
        </w:rPr>
        <w:t>监管</w:t>
      </w:r>
      <w:r>
        <w:rPr>
          <w:rFonts w:hint="eastAsia"/>
          <w:sz w:val="32"/>
          <w:szCs w:val="32"/>
          <w:u w:val="none" w:color="000000"/>
          <w:shd w:val="clear" w:fill="auto"/>
          <w:lang w:val="zh-CN"/>
        </w:rPr>
        <w:t>县属 22</w:t>
      </w:r>
      <w:r>
        <w:rPr>
          <w:rFonts w:hint="eastAsia"/>
          <w:sz w:val="32"/>
          <w:szCs w:val="32"/>
          <w:lang w:val="zh-CN"/>
        </w:rPr>
        <w:t>个国有企业。</w:t>
      </w:r>
    </w:p>
    <w:p>
      <w:pPr>
        <w:widowControl/>
        <w:numPr>
          <w:ilvl w:val="0"/>
          <w:numId w:val="5"/>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机构职能。</w:t>
      </w:r>
    </w:p>
    <w:p>
      <w:pPr>
        <w:pStyle w:val="3"/>
        <w:spacing w:before="93"/>
        <w:ind w:firstLine="640" w:firstLineChars="200"/>
        <w:rPr>
          <w:sz w:val="32"/>
          <w:szCs w:val="32"/>
          <w:lang w:val="zh-CN"/>
        </w:rPr>
      </w:pPr>
      <w:r>
        <w:rPr>
          <w:rFonts w:hint="eastAsia"/>
          <w:sz w:val="32"/>
          <w:szCs w:val="32"/>
          <w:lang w:val="zh-CN"/>
        </w:rPr>
        <w:t>负责履行出资人职责，监管县属企业的国有资产，加强国有资产管理等工作。</w:t>
      </w:r>
    </w:p>
    <w:p>
      <w:pPr>
        <w:widowControl/>
        <w:numPr>
          <w:ilvl w:val="0"/>
          <w:numId w:val="5"/>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人员概况。</w:t>
      </w:r>
    </w:p>
    <w:p>
      <w:pPr>
        <w:pStyle w:val="3"/>
        <w:spacing w:before="93"/>
        <w:ind w:left="420" w:leftChars="200" w:firstLine="640" w:firstLineChars="200"/>
        <w:rPr>
          <w:sz w:val="32"/>
          <w:szCs w:val="32"/>
          <w:lang w:val="zh-CN"/>
        </w:rPr>
      </w:pPr>
      <w:r>
        <w:rPr>
          <w:rFonts w:hint="eastAsia"/>
          <w:sz w:val="32"/>
          <w:szCs w:val="32"/>
          <w:lang w:val="zh-CN"/>
        </w:rPr>
        <w:t>1、通江县国资委设科级领导正科级1名、副科级1名，现有主任1名、副主任1名。</w:t>
      </w:r>
    </w:p>
    <w:p>
      <w:pPr>
        <w:pStyle w:val="3"/>
        <w:spacing w:before="93"/>
        <w:ind w:left="420" w:leftChars="200" w:firstLine="640" w:firstLineChars="200"/>
        <w:rPr>
          <w:sz w:val="32"/>
          <w:szCs w:val="32"/>
          <w:lang w:val="zh-CN"/>
        </w:rPr>
      </w:pPr>
      <w:r>
        <w:rPr>
          <w:rFonts w:hint="eastAsia"/>
          <w:sz w:val="32"/>
          <w:szCs w:val="32"/>
          <w:lang w:val="zh-CN"/>
        </w:rPr>
        <w:t>2、通江县国资委核定编制10人，现实有在岗人员9人。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pStyle w:val="3"/>
        <w:spacing w:before="93"/>
        <w:ind w:firstLine="640" w:firstLineChars="200"/>
        <w:rPr>
          <w:rFonts w:eastAsia="仿宋"/>
          <w:lang w:val="zh-CN"/>
        </w:rPr>
      </w:pPr>
      <w:r>
        <w:rPr>
          <w:rFonts w:ascii="仿宋" w:hAnsi="仿宋" w:eastAsia="仿宋"/>
          <w:sz w:val="32"/>
          <w:szCs w:val="32"/>
        </w:rPr>
        <w:t>20</w:t>
      </w:r>
      <w:r>
        <w:rPr>
          <w:rFonts w:hint="eastAsia" w:ascii="仿宋" w:hAnsi="仿宋" w:eastAsia="仿宋"/>
          <w:sz w:val="32"/>
          <w:szCs w:val="32"/>
        </w:rPr>
        <w:t>21年本年收入合计</w:t>
      </w:r>
      <w:r>
        <w:rPr>
          <w:rFonts w:ascii="仿宋" w:hAnsi="仿宋" w:eastAsia="仿宋"/>
          <w:sz w:val="32"/>
          <w:szCs w:val="32"/>
        </w:rPr>
        <w:t>144</w:t>
      </w:r>
      <w:r>
        <w:rPr>
          <w:rFonts w:hint="eastAsia" w:ascii="仿宋" w:hAnsi="仿宋" w:eastAsia="仿宋"/>
          <w:sz w:val="32"/>
          <w:szCs w:val="32"/>
        </w:rPr>
        <w:t>万元，其中：一般公共预算财政拨款收入</w:t>
      </w:r>
      <w:r>
        <w:rPr>
          <w:rFonts w:ascii="仿宋" w:hAnsi="仿宋" w:eastAsia="仿宋"/>
          <w:sz w:val="32"/>
          <w:szCs w:val="32"/>
        </w:rPr>
        <w:t>134.99</w:t>
      </w:r>
      <w:r>
        <w:rPr>
          <w:rFonts w:hint="eastAsia" w:ascii="仿宋" w:hAnsi="仿宋" w:eastAsia="仿宋"/>
          <w:sz w:val="32"/>
          <w:szCs w:val="32"/>
        </w:rPr>
        <w:t>万元，占</w:t>
      </w:r>
      <w:r>
        <w:rPr>
          <w:rFonts w:ascii="仿宋" w:hAnsi="仿宋" w:eastAsia="仿宋"/>
          <w:sz w:val="32"/>
          <w:szCs w:val="32"/>
        </w:rPr>
        <w:t>93.74%</w:t>
      </w:r>
      <w:r>
        <w:rPr>
          <w:rFonts w:hint="eastAsia" w:ascii="仿宋" w:hAnsi="仿宋" w:eastAsia="仿宋"/>
          <w:sz w:val="32"/>
          <w:szCs w:val="32"/>
        </w:rPr>
        <w:t>。</w:t>
      </w:r>
    </w:p>
    <w:p>
      <w:pPr>
        <w:widowControl/>
        <w:numPr>
          <w:ilvl w:val="0"/>
          <w:numId w:val="6"/>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部门财政资金支出情况。</w:t>
      </w:r>
    </w:p>
    <w:p>
      <w:pPr>
        <w:pStyle w:val="3"/>
        <w:spacing w:before="93"/>
        <w:ind w:firstLine="640" w:firstLineChars="200"/>
        <w:rPr>
          <w:rFonts w:eastAsia="仿宋"/>
          <w:lang w:val="zh-CN"/>
        </w:rPr>
      </w:pPr>
      <w:r>
        <w:rPr>
          <w:rFonts w:ascii="仿宋" w:hAnsi="仿宋" w:eastAsia="仿宋"/>
          <w:sz w:val="32"/>
          <w:szCs w:val="32"/>
        </w:rPr>
        <w:t>20</w:t>
      </w:r>
      <w:r>
        <w:rPr>
          <w:rFonts w:hint="eastAsia" w:ascii="仿宋" w:hAnsi="仿宋" w:eastAsia="仿宋"/>
          <w:sz w:val="32"/>
          <w:szCs w:val="32"/>
        </w:rPr>
        <w:t>21年本年支出合计</w:t>
      </w:r>
      <w:r>
        <w:rPr>
          <w:rFonts w:ascii="仿宋" w:hAnsi="仿宋" w:eastAsia="仿宋"/>
          <w:sz w:val="32"/>
          <w:szCs w:val="32"/>
        </w:rPr>
        <w:t>144</w:t>
      </w:r>
      <w:r>
        <w:rPr>
          <w:rFonts w:hint="eastAsia" w:ascii="仿宋" w:hAnsi="仿宋" w:eastAsia="仿宋"/>
          <w:sz w:val="32"/>
          <w:szCs w:val="32"/>
        </w:rPr>
        <w:t>万元，其中：基本支出</w:t>
      </w:r>
      <w:r>
        <w:rPr>
          <w:rFonts w:ascii="仿宋" w:hAnsi="仿宋" w:eastAsia="仿宋"/>
          <w:sz w:val="32"/>
          <w:szCs w:val="32"/>
        </w:rPr>
        <w:t>139.20</w:t>
      </w:r>
      <w:r>
        <w:rPr>
          <w:rFonts w:hint="eastAsia" w:ascii="仿宋" w:hAnsi="仿宋" w:eastAsia="仿宋"/>
          <w:sz w:val="32"/>
          <w:szCs w:val="32"/>
        </w:rPr>
        <w:t>万元，占</w:t>
      </w:r>
      <w:r>
        <w:rPr>
          <w:rFonts w:ascii="仿宋" w:hAnsi="仿宋" w:eastAsia="仿宋"/>
          <w:sz w:val="32"/>
          <w:szCs w:val="32"/>
        </w:rPr>
        <w:t>96.67%</w:t>
      </w:r>
      <w:r>
        <w:rPr>
          <w:rFonts w:hint="eastAsia" w:ascii="仿宋" w:hAnsi="仿宋" w:eastAsia="仿宋"/>
          <w:sz w:val="32"/>
          <w:szCs w:val="32"/>
        </w:rPr>
        <w:t>；项目支出</w:t>
      </w:r>
      <w:r>
        <w:rPr>
          <w:rFonts w:ascii="仿宋" w:hAnsi="仿宋" w:eastAsia="仿宋"/>
          <w:sz w:val="32"/>
          <w:szCs w:val="32"/>
        </w:rPr>
        <w:t>4.8</w:t>
      </w:r>
      <w:r>
        <w:rPr>
          <w:rFonts w:hint="eastAsia" w:ascii="仿宋" w:hAnsi="仿宋" w:eastAsia="仿宋"/>
          <w:sz w:val="32"/>
          <w:szCs w:val="32"/>
        </w:rPr>
        <w:t>万元，占比</w:t>
      </w:r>
      <w:r>
        <w:rPr>
          <w:rFonts w:ascii="仿宋" w:hAnsi="仿宋" w:eastAsia="仿宋"/>
          <w:sz w:val="32"/>
          <w:szCs w:val="32"/>
        </w:rPr>
        <w:t>3.33%</w:t>
      </w:r>
      <w:r>
        <w:rPr>
          <w:rFonts w:hint="eastAsia" w:ascii="仿宋" w:hAnsi="仿宋" w:eastAsia="仿宋"/>
          <w:sz w:val="32"/>
          <w:szCs w:val="32"/>
        </w:rPr>
        <w:t>。</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三、部门整体预算绩效管理情况（涉及有专项预算的部门，专项预算项目自评报告作为附件报送；特定目标类部门预算项目绩效目标自评表作为附表报送）</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截至202</w:t>
      </w:r>
      <w:r>
        <w:rPr>
          <w:rFonts w:ascii="仿宋_GB2312" w:hAnsi="宋体" w:eastAsia="仿宋_GB2312" w:cs="宋体"/>
          <w:kern w:val="0"/>
          <w:sz w:val="32"/>
          <w:szCs w:val="32"/>
          <w:shd w:val="clear" w:color="auto" w:fill="FFFFFF"/>
        </w:rPr>
        <w:t>1</w:t>
      </w:r>
      <w:r>
        <w:rPr>
          <w:rFonts w:hint="eastAsia" w:ascii="仿宋_GB2312" w:hAnsi="宋体" w:eastAsia="仿宋_GB2312" w:cs="宋体"/>
          <w:kern w:val="0"/>
          <w:sz w:val="32"/>
          <w:szCs w:val="32"/>
          <w:shd w:val="clear" w:color="auto" w:fill="FFFFFF"/>
          <w:lang w:val="zh-CN"/>
        </w:rPr>
        <w:t>年12月底，县国资委全年预算资金1</w:t>
      </w:r>
      <w:r>
        <w:rPr>
          <w:rFonts w:ascii="仿宋_GB2312" w:hAnsi="宋体" w:eastAsia="仿宋_GB2312" w:cs="宋体"/>
          <w:kern w:val="0"/>
          <w:sz w:val="32"/>
          <w:szCs w:val="32"/>
          <w:shd w:val="clear" w:color="auto" w:fill="FFFFFF"/>
        </w:rPr>
        <w:t>44</w:t>
      </w:r>
      <w:r>
        <w:rPr>
          <w:rFonts w:hint="eastAsia" w:ascii="仿宋_GB2312" w:hAnsi="宋体" w:eastAsia="仿宋_GB2312" w:cs="宋体"/>
          <w:kern w:val="0"/>
          <w:sz w:val="32"/>
          <w:szCs w:val="32"/>
          <w:shd w:val="clear" w:color="auto" w:fill="FFFFFF"/>
          <w:lang w:val="zh-CN"/>
        </w:rPr>
        <w:t>万元，实际支付资金1</w:t>
      </w:r>
      <w:r>
        <w:rPr>
          <w:rFonts w:ascii="仿宋_GB2312" w:hAnsi="宋体" w:eastAsia="仿宋_GB2312" w:cs="宋体"/>
          <w:kern w:val="0"/>
          <w:sz w:val="32"/>
          <w:szCs w:val="32"/>
          <w:shd w:val="clear" w:color="auto" w:fill="FFFFFF"/>
        </w:rPr>
        <w:t>44</w:t>
      </w:r>
      <w:r>
        <w:rPr>
          <w:rFonts w:hint="eastAsia" w:ascii="仿宋_GB2312" w:hAnsi="宋体" w:eastAsia="仿宋_GB2312" w:cs="宋体"/>
          <w:kern w:val="0"/>
          <w:sz w:val="32"/>
          <w:szCs w:val="32"/>
          <w:shd w:val="clear" w:color="auto" w:fill="FFFFFF"/>
          <w:lang w:val="zh-CN"/>
        </w:rPr>
        <w:t>万元，其中人员经费</w:t>
      </w:r>
      <w:r>
        <w:rPr>
          <w:rFonts w:ascii="仿宋_GB2312" w:hAnsi="宋体" w:eastAsia="仿宋_GB2312" w:cs="宋体"/>
          <w:kern w:val="0"/>
          <w:sz w:val="32"/>
          <w:szCs w:val="32"/>
          <w:shd w:val="clear" w:color="auto" w:fill="FFFFFF"/>
        </w:rPr>
        <w:t>125.13</w:t>
      </w:r>
      <w:r>
        <w:rPr>
          <w:rFonts w:hint="eastAsia" w:ascii="仿宋_GB2312" w:hAnsi="宋体" w:eastAsia="仿宋_GB2312" w:cs="宋体"/>
          <w:kern w:val="0"/>
          <w:sz w:val="32"/>
          <w:szCs w:val="32"/>
          <w:shd w:val="clear" w:color="auto" w:fill="FFFFFF"/>
          <w:lang w:val="zh-CN"/>
        </w:rPr>
        <w:t>万元，项目经费</w:t>
      </w:r>
      <w:r>
        <w:rPr>
          <w:rFonts w:ascii="仿宋_GB2312" w:hAnsi="宋体" w:eastAsia="仿宋_GB2312" w:cs="宋体"/>
          <w:kern w:val="0"/>
          <w:sz w:val="32"/>
          <w:szCs w:val="32"/>
          <w:shd w:val="clear" w:color="auto" w:fill="FFFFFF"/>
        </w:rPr>
        <w:t>14.08</w:t>
      </w:r>
      <w:r>
        <w:rPr>
          <w:rFonts w:hint="eastAsia" w:ascii="仿宋_GB2312" w:hAnsi="宋体" w:eastAsia="仿宋_GB2312" w:cs="宋体"/>
          <w:kern w:val="0"/>
          <w:sz w:val="32"/>
          <w:szCs w:val="32"/>
          <w:shd w:val="clear" w:color="auto" w:fill="FFFFFF"/>
          <w:lang w:val="zh-CN"/>
        </w:rPr>
        <w:t>万元。主要用于国资委人员经费、日常工作开展经费及项目资金等支出，资金按时按规定支付。支付依据合规合法，资金支付与预算相符。</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各项经费已按财政预算金额安排到位</w:t>
      </w:r>
      <w:r>
        <w:t>，</w:t>
      </w:r>
      <w:r>
        <w:rPr>
          <w:rFonts w:hint="eastAsia" w:ascii="仿宋_GB2312" w:hAnsi="宋体" w:eastAsia="仿宋_GB2312" w:cs="宋体"/>
          <w:kern w:val="0"/>
          <w:sz w:val="32"/>
          <w:szCs w:val="32"/>
          <w:shd w:val="clear" w:color="auto" w:fill="FFFFFF"/>
          <w:lang w:val="zh-CN"/>
        </w:rPr>
        <w:t>同时各项经费已按实际使用情况拨付到位。县国资委资金做到专款专用，做到集中财力，突出重点、明确范围，分类管理、强化监督，讲求绩效。</w:t>
      </w:r>
    </w:p>
    <w:p>
      <w:pPr>
        <w:widowControl/>
        <w:numPr>
          <w:ilvl w:val="0"/>
          <w:numId w:val="7"/>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pStyle w:val="3"/>
        <w:spacing w:before="93"/>
        <w:ind w:firstLine="640" w:firstLineChars="200"/>
        <w:rPr>
          <w:sz w:val="32"/>
          <w:szCs w:val="32"/>
        </w:rPr>
      </w:pPr>
      <w:r>
        <w:rPr>
          <w:sz w:val="32"/>
          <w:szCs w:val="32"/>
        </w:rPr>
        <w:t>一是深入推进薪酬制度、实体化转型、监管体制等5项国有企业改革，完成企业</w:t>
      </w:r>
      <w:r>
        <w:rPr>
          <w:rFonts w:hint="eastAsia"/>
          <w:sz w:val="32"/>
          <w:szCs w:val="32"/>
        </w:rPr>
        <w:t>权</w:t>
      </w:r>
      <w:r>
        <w:rPr>
          <w:sz w:val="32"/>
          <w:szCs w:val="32"/>
        </w:rPr>
        <w:t>能分类改革，现代企业制度逐步完善。二是落实省委巡视组巡视反馈问题整改要求，对公职人员兼职问题进行全面清理，制定针对性措施，及时对公职人员兼任董事、监事进行了撤换，并完成工商登记备案。三是在红峰公司等5家企业实施薪酬制度改革，推进新的业绩考核、工资总额预算管理等措施，改革企业负责人薪酬结构，形成有效的激励约束机制。四是全面清理监管企业在招投标领域存在的问题，通过问责一批、规范一批等4项措施，招投标问题已整改到位，问责处理3人。</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p>
    <w:p>
      <w:pPr>
        <w:spacing w:line="560" w:lineRule="exact"/>
        <w:ind w:firstLine="630"/>
        <w:rPr>
          <w:lang w:val="zh-CN"/>
        </w:rPr>
      </w:pPr>
      <w:r>
        <w:rPr>
          <w:rFonts w:hint="eastAsia" w:ascii="仿宋_GB2312" w:hAnsi="仿宋" w:eastAsia="仿宋_GB2312"/>
          <w:sz w:val="32"/>
          <w:szCs w:val="32"/>
        </w:rPr>
        <w:t>20</w:t>
      </w:r>
      <w:r>
        <w:rPr>
          <w:rFonts w:hint="eastAsia" w:ascii="仿宋_GB2312" w:hAnsi="仿宋"/>
          <w:sz w:val="32"/>
          <w:szCs w:val="32"/>
        </w:rPr>
        <w:t>2</w:t>
      </w:r>
      <w:r>
        <w:rPr>
          <w:rFonts w:ascii="仿宋_GB2312" w:hAnsi="仿宋"/>
          <w:sz w:val="32"/>
          <w:szCs w:val="32"/>
        </w:rPr>
        <w:t>1</w:t>
      </w:r>
      <w:r>
        <w:rPr>
          <w:rFonts w:hint="eastAsia" w:ascii="仿宋_GB2312" w:hAnsi="仿宋" w:eastAsia="仿宋_GB2312"/>
          <w:sz w:val="32"/>
          <w:szCs w:val="32"/>
        </w:rPr>
        <w:t>年，通江县国资委按照县委</w:t>
      </w:r>
      <w:r>
        <w:rPr>
          <w:sz w:val="32"/>
          <w:szCs w:val="32"/>
        </w:rPr>
        <w:t>、</w:t>
      </w:r>
      <w:r>
        <w:rPr>
          <w:rFonts w:hint="eastAsia" w:ascii="仿宋_GB2312" w:hAnsi="仿宋" w:eastAsia="仿宋_GB2312"/>
          <w:sz w:val="32"/>
          <w:szCs w:val="32"/>
        </w:rPr>
        <w:t>县政府部署，坚持以国有资产保值增值为目标，不断推进监管职能转变、提升监管质量，加快推进国有企业改革发展，提质增效，监管企业发展成效明显。</w:t>
      </w:r>
    </w:p>
    <w:p>
      <w:pPr>
        <w:widowControl/>
        <w:numPr>
          <w:ilvl w:val="0"/>
          <w:numId w:val="6"/>
        </w:numPr>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存在问题。</w:t>
      </w:r>
    </w:p>
    <w:p>
      <w:pPr>
        <w:pStyle w:val="3"/>
        <w:spacing w:before="93"/>
        <w:ind w:left="420" w:leftChars="200" w:firstLine="640" w:firstLineChars="200"/>
        <w:rPr>
          <w:sz w:val="32"/>
          <w:szCs w:val="32"/>
          <w:lang w:val="zh-CN"/>
        </w:rPr>
      </w:pPr>
      <w:r>
        <w:rPr>
          <w:sz w:val="32"/>
          <w:szCs w:val="32"/>
        </w:rPr>
        <w:t>1</w:t>
      </w:r>
      <w:r>
        <w:rPr>
          <w:rFonts w:hint="eastAsia"/>
          <w:sz w:val="32"/>
          <w:szCs w:val="32"/>
        </w:rPr>
        <w:t>、</w:t>
      </w:r>
      <w:r>
        <w:rPr>
          <w:rFonts w:hint="eastAsia"/>
          <w:sz w:val="32"/>
          <w:szCs w:val="32"/>
          <w:lang w:val="zh-CN"/>
        </w:rPr>
        <w:t>人员、经费不足。国资委编制10人，现有正式在岗在编人员10人。国资委现有编制数是在2015年核算的，当时监管的国有企业少</w:t>
      </w:r>
      <w:r>
        <w:t>，</w:t>
      </w:r>
      <w:r>
        <w:rPr>
          <w:rFonts w:hint="eastAsia"/>
          <w:sz w:val="32"/>
          <w:szCs w:val="32"/>
          <w:lang w:val="zh-CN"/>
        </w:rPr>
        <w:t>然而近年来，由于国有资产的不断扩大，国有企业数量不断增加，全县国有企业已达到22家，关乎国有资产的增值发展越来越被重视，监管工作任务重，监管专项行动多</w:t>
      </w:r>
      <w:r>
        <w:t>，</w:t>
      </w:r>
      <w:r>
        <w:rPr>
          <w:rFonts w:hint="eastAsia"/>
          <w:sz w:val="32"/>
          <w:szCs w:val="32"/>
          <w:lang w:val="zh-CN"/>
        </w:rPr>
        <w:t>由于正式人员编制少，无法完成现有国有资产监管工作，严重影响了国资委工作的正常开展。</w:t>
      </w:r>
    </w:p>
    <w:p>
      <w:pPr>
        <w:pStyle w:val="3"/>
        <w:spacing w:before="93"/>
        <w:ind w:left="420" w:leftChars="200" w:firstLine="640" w:firstLineChars="200"/>
        <w:rPr>
          <w:sz w:val="32"/>
          <w:szCs w:val="32"/>
          <w:lang w:val="zh-CN"/>
        </w:rPr>
      </w:pPr>
      <w:r>
        <w:rPr>
          <w:sz w:val="32"/>
          <w:szCs w:val="32"/>
        </w:rPr>
        <w:t>2</w:t>
      </w:r>
      <w:r>
        <w:rPr>
          <w:rFonts w:hint="eastAsia"/>
          <w:sz w:val="32"/>
          <w:szCs w:val="32"/>
        </w:rPr>
        <w:t>、</w:t>
      </w:r>
      <w:r>
        <w:rPr>
          <w:rFonts w:hint="eastAsia"/>
          <w:sz w:val="32"/>
          <w:szCs w:val="32"/>
          <w:lang w:val="zh-CN"/>
        </w:rPr>
        <w:t>队伍履职尽责能力亟待提升。国资委职工队伍人员素质和业务能力参差不齐，部分职工政治意识、党性修养、法律知识、业务技能等有待进一步提高。</w:t>
      </w:r>
    </w:p>
    <w:p>
      <w:pPr>
        <w:pStyle w:val="3"/>
        <w:spacing w:before="93"/>
        <w:ind w:left="420" w:leftChars="200" w:firstLine="640" w:firstLineChars="200"/>
        <w:rPr>
          <w:sz w:val="32"/>
          <w:szCs w:val="32"/>
          <w:lang w:val="zh-CN"/>
        </w:rPr>
      </w:pPr>
      <w:r>
        <w:rPr>
          <w:sz w:val="32"/>
          <w:szCs w:val="32"/>
        </w:rPr>
        <w:t>3</w:t>
      </w:r>
      <w:r>
        <w:rPr>
          <w:rFonts w:hint="eastAsia"/>
          <w:sz w:val="32"/>
          <w:szCs w:val="32"/>
        </w:rPr>
        <w:t>、</w:t>
      </w:r>
      <w:r>
        <w:rPr>
          <w:rFonts w:hint="eastAsia"/>
          <w:sz w:val="32"/>
          <w:szCs w:val="32"/>
          <w:lang w:val="zh-CN"/>
        </w:rPr>
        <w:t>工作机制和管理制度需进一步完善。管理制度规范化程度需进一步提升，各项管理制度需进一步完善和修订，工作激励机制尚未完全形成。</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（三）改进建议。</w:t>
      </w:r>
    </w:p>
    <w:p>
      <w:pPr>
        <w:pStyle w:val="3"/>
        <w:spacing w:before="93"/>
        <w:ind w:firstLine="640" w:firstLineChars="200"/>
        <w:rPr>
          <w:sz w:val="32"/>
          <w:szCs w:val="32"/>
          <w:lang w:val="zh-CN"/>
        </w:rPr>
      </w:pPr>
      <w:r>
        <w:rPr>
          <w:rFonts w:hint="eastAsia"/>
          <w:sz w:val="32"/>
          <w:szCs w:val="32"/>
          <w:lang w:val="zh-CN"/>
        </w:rPr>
        <w:t>1、继续深入学习习近平新时代中国特色社会主义思想，全面贯彻落实十九大以来党的方针政策和省、市、县各级党委、政府的决策部署，教育引导全体党员干部从思想上、行动上与党中央保持一致，持续提高思想认识水平，持续改</w:t>
      </w:r>
      <w:r>
        <w:rPr>
          <w:rFonts w:hint="eastAsia" w:ascii="仿宋" w:hAnsi="仿宋" w:eastAsia="仿宋" w:cs="Times New Roman"/>
          <w:kern w:val="2"/>
          <w:sz w:val="32"/>
          <w:szCs w:val="32"/>
          <w:lang w:val="zh-CN" w:eastAsia="zh-CN" w:bidi="ar-SA"/>
        </w:rPr>
        <w:t>变</w:t>
      </w:r>
      <w:r>
        <w:rPr>
          <w:rFonts w:hint="eastAsia"/>
          <w:sz w:val="32"/>
          <w:szCs w:val="32"/>
          <w:lang w:val="zh-CN"/>
        </w:rPr>
        <w:t>工作作风，持续</w:t>
      </w:r>
      <w:r>
        <w:rPr>
          <w:rFonts w:hint="eastAsia"/>
          <w:sz w:val="32"/>
          <w:szCs w:val="32"/>
          <w:u w:val="none" w:color="000000"/>
          <w:shd w:val="clear" w:fill="auto"/>
          <w:lang w:val="zh-CN"/>
        </w:rPr>
        <w:t>抓</w:t>
      </w:r>
      <w:r>
        <w:rPr>
          <w:rFonts w:hint="eastAsia"/>
          <w:sz w:val="32"/>
          <w:szCs w:val="32"/>
          <w:lang w:val="zh-CN"/>
        </w:rPr>
        <w:t>队伍建设，持续树好队伍形象。</w:t>
      </w:r>
    </w:p>
    <w:p>
      <w:pPr>
        <w:pStyle w:val="3"/>
        <w:spacing w:before="93"/>
        <w:ind w:firstLine="640" w:firstLineChars="200"/>
        <w:rPr>
          <w:sz w:val="32"/>
          <w:szCs w:val="32"/>
          <w:lang w:val="zh-CN"/>
        </w:rPr>
      </w:pPr>
      <w:r>
        <w:rPr>
          <w:rFonts w:hint="eastAsia"/>
          <w:sz w:val="32"/>
          <w:szCs w:val="32"/>
          <w:lang w:val="zh-CN"/>
        </w:rPr>
        <w:t>2、持续开展“三基三化”“四统一”，行政执法“三项制度”“政风行风建设五大行动”建设。</w:t>
      </w:r>
    </w:p>
    <w:p>
      <w:pPr>
        <w:pStyle w:val="3"/>
        <w:spacing w:before="93"/>
        <w:ind w:firstLine="640" w:firstLineChars="200"/>
        <w:rPr>
          <w:sz w:val="32"/>
          <w:szCs w:val="32"/>
          <w:lang w:val="zh-CN"/>
        </w:rPr>
      </w:pPr>
      <w:r>
        <w:rPr>
          <w:rFonts w:hint="eastAsia"/>
          <w:sz w:val="32"/>
          <w:szCs w:val="32"/>
          <w:lang w:val="zh-CN"/>
        </w:rPr>
        <w:t>3、项目绩效目标与指标不完整，绩效指标较少，不能完全衡量条件建设经费项目的完成情况，绩效指标未涵盖所有工作事项，绩效标准表述不够准确，整体逻辑关系不够清晰。</w:t>
      </w:r>
    </w:p>
    <w:p>
      <w:pPr>
        <w:pStyle w:val="3"/>
        <w:spacing w:before="93"/>
        <w:ind w:firstLine="640" w:firstLineChars="200"/>
        <w:rPr>
          <w:sz w:val="32"/>
          <w:szCs w:val="32"/>
          <w:lang w:val="zh-CN"/>
        </w:rPr>
      </w:pPr>
      <w:r>
        <w:rPr>
          <w:rFonts w:hint="eastAsia"/>
          <w:sz w:val="32"/>
          <w:szCs w:val="32"/>
          <w:lang w:val="zh-CN"/>
        </w:rPr>
        <w:t>4、资金投入较少，项目建设是一项长期建设任务，投入资金有限。在一个时间范围内，完成一个整体的建设项目非常困难。</w:t>
      </w:r>
    </w:p>
    <w:p>
      <w:pPr>
        <w:rPr>
          <w:rFonts w:hAnsi="宋体" w:cs="宋体"/>
          <w:kern w:val="0"/>
          <w:sz w:val="32"/>
          <w:szCs w:val="32"/>
          <w:shd w:val="clear" w:color="auto" w:fill="FFFFFF"/>
          <w:lang w:val="zh-CN"/>
        </w:rPr>
      </w:pPr>
      <w:r>
        <w:br w:type="page"/>
      </w:r>
    </w:p>
    <w:p>
      <w:pPr>
        <w:pStyle w:val="3"/>
        <w:spacing w:before="93"/>
        <w:rPr>
          <w:lang w:val="zh-CN"/>
        </w:rPr>
      </w:pPr>
      <w:r>
        <w:rPr>
          <w:rFonts w:hint="eastAsia" w:hAnsi="宋体" w:cs="宋体"/>
          <w:sz w:val="32"/>
          <w:szCs w:val="32"/>
          <w:shd w:val="clear" w:color="auto" w:fill="FFFFFF"/>
          <w:lang w:val="zh-CN"/>
        </w:rPr>
        <w:t>附件</w:t>
      </w:r>
    </w:p>
    <w:p>
      <w:pPr>
        <w:pStyle w:val="33"/>
        <w:spacing w:line="240" w:lineRule="auto"/>
        <w:jc w:val="center"/>
        <w:rPr>
          <w:rFonts w:ascii="宋体" w:hAnsi="宋体"/>
          <w:b/>
          <w:sz w:val="44"/>
          <w:szCs w:val="44"/>
        </w:rPr>
      </w:pPr>
      <w:r>
        <w:rPr>
          <w:rFonts w:hint="eastAsia" w:ascii="方正小标宋简体" w:hAnsi="方正小标宋简体" w:eastAsia="方正小标宋简体" w:cs="方正小标宋简体"/>
          <w:color w:val="auto"/>
          <w:kern w:val="2"/>
          <w:sz w:val="40"/>
          <w:szCs w:val="40"/>
        </w:rPr>
        <w:t>2022年</w:t>
      </w:r>
      <w:r>
        <w:rPr>
          <w:rFonts w:hint="eastAsia" w:ascii="宋体" w:hAnsi="宋体"/>
          <w:b/>
          <w:sz w:val="44"/>
          <w:szCs w:val="44"/>
        </w:rPr>
        <w:t>通江县国有资产监督管理委员会</w:t>
      </w:r>
    </w:p>
    <w:p>
      <w:pPr>
        <w:pStyle w:val="33"/>
        <w:spacing w:line="240" w:lineRule="auto"/>
        <w:jc w:val="center"/>
        <w:rPr>
          <w:rFonts w:ascii="方正小标宋简体" w:hAnsi="方正小标宋简体" w:eastAsia="方正小标宋简体" w:cs="方正小标宋简体"/>
          <w:color w:val="auto"/>
          <w:kern w:val="2"/>
          <w:sz w:val="40"/>
          <w:szCs w:val="40"/>
          <w:lang w:val="zh-CN"/>
        </w:rPr>
      </w:pPr>
      <w:r>
        <w:rPr>
          <w:rFonts w:hint="eastAsia" w:ascii="宋体" w:hAnsi="宋体"/>
          <w:b/>
          <w:sz w:val="44"/>
          <w:szCs w:val="44"/>
        </w:rPr>
        <w:t>关于国有资产监管自评报告</w:t>
      </w:r>
    </w:p>
    <w:p>
      <w:pPr>
        <w:adjustRightInd w:val="0"/>
        <w:snapToGrid w:val="0"/>
        <w:spacing w:line="360" w:lineRule="auto"/>
        <w:ind w:firstLine="720"/>
        <w:rPr>
          <w:rFonts w:ascii="黑体" w:hAnsi="宋体" w:eastAsia="黑体"/>
          <w:sz w:val="32"/>
          <w:szCs w:val="32"/>
        </w:rPr>
      </w:pPr>
    </w:p>
    <w:p>
      <w:pPr>
        <w:adjustRightInd w:val="0"/>
        <w:snapToGrid w:val="0"/>
        <w:spacing w:line="520" w:lineRule="exact"/>
        <w:ind w:firstLine="720"/>
        <w:rPr>
          <w:rFonts w:ascii="黑体" w:hAnsi="宋体" w:eastAsia="黑体"/>
          <w:sz w:val="32"/>
          <w:szCs w:val="32"/>
        </w:rPr>
      </w:pPr>
      <w:r>
        <w:rPr>
          <w:rFonts w:hint="eastAsia" w:ascii="黑体" w:hAnsi="宋体" w:eastAsia="黑体"/>
          <w:sz w:val="32"/>
          <w:szCs w:val="32"/>
        </w:rPr>
        <w:t>一、基本情况</w:t>
      </w:r>
    </w:p>
    <w:p>
      <w:pPr>
        <w:snapToGrid w:val="0"/>
        <w:spacing w:line="52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（一）单位基本情况</w:t>
      </w: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通江县国有资产监督管理委员会是县人民政府的直属事业单位，负责履行出资人职责，监管县属企业的国有资产，加强国有资产管理等工作</w:t>
      </w:r>
      <w:r>
        <w:t>。</w:t>
      </w:r>
    </w:p>
    <w:p>
      <w:pPr>
        <w:snapToGrid w:val="0"/>
        <w:spacing w:line="520" w:lineRule="exact"/>
        <w:rPr>
          <w:rFonts w:ascii="仿宋_GB2312" w:hAnsi="宋体" w:eastAsia="仿宋_GB2312"/>
          <w:sz w:val="32"/>
          <w:szCs w:val="32"/>
          <w:lang w:val="zh-CN"/>
        </w:rPr>
      </w:pPr>
      <w:r>
        <w:rPr>
          <w:rFonts w:hint="eastAsia" w:ascii="仿宋_GB2312" w:hAnsi="宋体" w:eastAsia="仿宋_GB2312"/>
          <w:sz w:val="32"/>
          <w:szCs w:val="32"/>
          <w:lang w:val="zh-CN"/>
        </w:rPr>
        <w:t>（二）班子及内设机构配置情况</w:t>
      </w:r>
    </w:p>
    <w:p>
      <w:pPr>
        <w:snapToGrid w:val="0"/>
        <w:spacing w:line="52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1、通江县国资委设科级领导正科级1名、副科级1名，现有主任1名、副主任1名。</w:t>
      </w:r>
    </w:p>
    <w:p>
      <w:pPr>
        <w:snapToGrid w:val="0"/>
        <w:spacing w:line="520" w:lineRule="exact"/>
        <w:ind w:firstLine="640" w:firstLineChars="200"/>
        <w:rPr>
          <w:rFonts w:hint="eastAsia" w:ascii="仿宋" w:hAnsi="仿宋" w:eastAsia="仿宋"/>
          <w:sz w:val="32"/>
          <w:szCs w:val="32"/>
          <w:lang w:val="zh-CN"/>
        </w:rPr>
      </w:pPr>
      <w:r>
        <w:rPr>
          <w:rFonts w:hint="eastAsia" w:ascii="仿宋_GB2312" w:hAnsi="宋体" w:eastAsia="仿宋_GB2312"/>
          <w:sz w:val="32"/>
          <w:szCs w:val="32"/>
          <w:lang w:val="zh-CN"/>
        </w:rPr>
        <w:t>2、通江县国资委核定编制10人，现实有在岗人员9人。设办公室、财务监督与评价股、国有资产监管股等三个</w:t>
      </w:r>
      <w:r>
        <w:rPr>
          <w:rFonts w:hint="eastAsia" w:ascii="仿宋" w:hAnsi="仿宋" w:eastAsia="仿宋"/>
          <w:sz w:val="32"/>
          <w:szCs w:val="32"/>
          <w:lang w:val="zh-CN"/>
        </w:rPr>
        <w:t>股室，按规定监管县属 22个国有企业。</w:t>
      </w:r>
    </w:p>
    <w:p>
      <w:pPr>
        <w:adjustRightInd w:val="0"/>
        <w:snapToGrid w:val="0"/>
        <w:spacing w:line="520" w:lineRule="exact"/>
        <w:ind w:firstLine="480" w:firstLineChars="150"/>
        <w:rPr>
          <w:rFonts w:ascii="黑体" w:hAnsi="宋体" w:eastAsia="黑体"/>
          <w:sz w:val="32"/>
          <w:szCs w:val="32"/>
        </w:rPr>
      </w:pPr>
      <w:r>
        <w:rPr>
          <w:rFonts w:hint="eastAsia" w:ascii="黑体" w:hAnsi="宋体" w:eastAsia="黑体"/>
          <w:sz w:val="32"/>
          <w:szCs w:val="32"/>
        </w:rPr>
        <w:t>二、项目效益情况</w:t>
      </w:r>
    </w:p>
    <w:p>
      <w:pPr>
        <w:snapToGrid w:val="0"/>
        <w:spacing w:line="52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宋体" w:eastAsia="仿宋_GB2312"/>
          <w:sz w:val="32"/>
          <w:szCs w:val="32"/>
          <w:lang w:val="zh-CN"/>
        </w:rPr>
        <w:t>年12月底，国资委国有资产监管经费实际支出</w:t>
      </w:r>
      <w:r>
        <w:rPr>
          <w:rFonts w:hint="eastAsia" w:ascii="仿宋_GB2312" w:hAnsi="宋体" w:eastAsia="仿宋_GB2312"/>
          <w:sz w:val="32"/>
          <w:szCs w:val="32"/>
        </w:rPr>
        <w:t>23.4</w:t>
      </w:r>
      <w:r>
        <w:rPr>
          <w:rFonts w:hint="eastAsia" w:ascii="仿宋_GB2312" w:hAnsi="宋体" w:eastAsia="仿宋_GB2312"/>
          <w:sz w:val="32"/>
          <w:szCs w:val="32"/>
          <w:lang w:val="zh-CN"/>
        </w:rPr>
        <w:t>万元，支付依据合法合规，与预算相符。</w:t>
      </w:r>
    </w:p>
    <w:p>
      <w:pPr>
        <w:snapToGrid w:val="0"/>
        <w:spacing w:line="520" w:lineRule="exact"/>
        <w:ind w:firstLine="640" w:firstLineChars="200"/>
        <w:rPr>
          <w:rFonts w:ascii="黑体" w:hAnsi="黑体" w:eastAsia="黑体"/>
          <w:sz w:val="32"/>
          <w:szCs w:val="32"/>
          <w:lang w:val="zh-CN"/>
        </w:rPr>
      </w:pPr>
      <w:r>
        <w:rPr>
          <w:rFonts w:hint="eastAsia" w:ascii="黑体" w:hAnsi="黑体" w:eastAsia="黑体"/>
          <w:sz w:val="32"/>
          <w:szCs w:val="32"/>
          <w:lang w:val="zh-CN"/>
        </w:rPr>
        <w:t>三、目标完成情况</w:t>
      </w:r>
    </w:p>
    <w:p>
      <w:pPr>
        <w:snapToGrid w:val="0"/>
        <w:spacing w:line="52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宋体" w:eastAsia="仿宋_GB2312"/>
          <w:sz w:val="32"/>
          <w:szCs w:val="32"/>
          <w:lang w:val="zh-CN"/>
        </w:rPr>
        <w:t>年底，国资委国有资产监管已全部实施完毕。</w:t>
      </w:r>
    </w:p>
    <w:p>
      <w:pPr>
        <w:snapToGrid w:val="0"/>
        <w:spacing w:line="520" w:lineRule="exact"/>
        <w:ind w:firstLine="640" w:firstLineChars="200"/>
        <w:rPr>
          <w:rFonts w:ascii="黑体" w:hAnsi="黑体" w:eastAsia="黑体"/>
          <w:sz w:val="32"/>
          <w:szCs w:val="32"/>
          <w:lang w:val="zh-CN"/>
        </w:rPr>
      </w:pPr>
      <w:r>
        <w:rPr>
          <w:rFonts w:hint="eastAsia" w:ascii="黑体" w:hAnsi="黑体" w:eastAsia="黑体"/>
          <w:sz w:val="32"/>
          <w:szCs w:val="32"/>
          <w:lang w:val="zh-CN"/>
        </w:rPr>
        <w:t>四、资金使用情况</w:t>
      </w:r>
    </w:p>
    <w:p>
      <w:pPr>
        <w:snapToGrid w:val="0"/>
        <w:spacing w:line="52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宋体" w:eastAsia="仿宋_GB2312"/>
          <w:sz w:val="32"/>
          <w:szCs w:val="32"/>
          <w:lang w:val="zh-CN"/>
        </w:rPr>
        <w:t>年底，国资委国有资产监管按质量完成。</w:t>
      </w:r>
    </w:p>
    <w:p>
      <w:pPr>
        <w:adjustRightInd w:val="0"/>
        <w:snapToGrid w:val="0"/>
        <w:spacing w:line="520" w:lineRule="exact"/>
        <w:ind w:firstLine="720"/>
        <w:rPr>
          <w:rFonts w:ascii="黑体" w:hAnsi="宋体" w:eastAsia="黑体"/>
          <w:sz w:val="32"/>
          <w:szCs w:val="32"/>
        </w:rPr>
      </w:pPr>
      <w:r>
        <w:rPr>
          <w:rFonts w:hint="eastAsia" w:ascii="黑体" w:hAnsi="宋体" w:eastAsia="黑体"/>
          <w:sz w:val="32"/>
          <w:szCs w:val="32"/>
        </w:rPr>
        <w:t>五、问题及改进措施</w:t>
      </w:r>
    </w:p>
    <w:p>
      <w:pPr>
        <w:adjustRightInd w:val="0"/>
        <w:snapToGrid w:val="0"/>
        <w:spacing w:line="520" w:lineRule="exact"/>
        <w:ind w:firstLine="720"/>
        <w:rPr>
          <w:rFonts w:ascii="楷体_GB2312" w:hAnsi="宋体" w:eastAsia="楷体_GB2312"/>
          <w:b/>
          <w:sz w:val="32"/>
          <w:szCs w:val="32"/>
        </w:rPr>
      </w:pPr>
      <w:r>
        <w:rPr>
          <w:rFonts w:hint="eastAsia" w:ascii="仿宋_GB2312" w:hAnsi="宋体" w:eastAsia="仿宋_GB2312"/>
          <w:sz w:val="32"/>
          <w:szCs w:val="32"/>
          <w:lang w:val="zh-CN"/>
        </w:rPr>
        <w:t>建议资金拨付应及早兑现。</w:t>
      </w:r>
    </w:p>
    <w:p>
      <w:pPr>
        <w:pStyle w:val="3"/>
        <w:spacing w:beforeLines="0" w:line="520" w:lineRule="exact"/>
        <w:rPr>
          <w:lang w:val="zh-CN"/>
        </w:rPr>
      </w:pPr>
    </w:p>
    <w:p>
      <w:pPr>
        <w:rPr>
          <w:lang w:val="zh-CN"/>
        </w:rPr>
      </w:pPr>
      <w:r>
        <w:br w:type="page"/>
      </w:r>
    </w:p>
    <w:p>
      <w:pPr>
        <w:pStyle w:val="33"/>
        <w:spacing w:line="240" w:lineRule="auto"/>
        <w:jc w:val="center"/>
        <w:rPr>
          <w:rFonts w:ascii="宋体" w:hAnsi="宋体"/>
          <w:b/>
          <w:sz w:val="44"/>
          <w:szCs w:val="44"/>
        </w:rPr>
      </w:pPr>
      <w:r>
        <w:rPr>
          <w:rFonts w:hint="eastAsia" w:ascii="方正小标宋简体" w:hAnsi="方正小标宋简体" w:eastAsia="方正小标宋简体" w:cs="方正小标宋简体"/>
          <w:color w:val="auto"/>
          <w:kern w:val="2"/>
          <w:sz w:val="40"/>
          <w:szCs w:val="40"/>
        </w:rPr>
        <w:t>2022年</w:t>
      </w:r>
      <w:r>
        <w:rPr>
          <w:rFonts w:hint="eastAsia" w:ascii="宋体" w:hAnsi="宋体"/>
          <w:b/>
          <w:sz w:val="44"/>
          <w:szCs w:val="44"/>
        </w:rPr>
        <w:t>通江县国有资产监督管理委员会</w:t>
      </w:r>
    </w:p>
    <w:p>
      <w:pPr>
        <w:pStyle w:val="33"/>
        <w:spacing w:line="240" w:lineRule="auto"/>
        <w:jc w:val="center"/>
        <w:rPr>
          <w:rFonts w:ascii="方正小标宋简体" w:hAnsi="方正小标宋简体" w:eastAsia="方正小标宋简体" w:cs="方正小标宋简体"/>
          <w:color w:val="auto"/>
          <w:kern w:val="2"/>
          <w:sz w:val="40"/>
          <w:szCs w:val="40"/>
          <w:lang w:val="zh-CN"/>
        </w:rPr>
      </w:pPr>
      <w:r>
        <w:rPr>
          <w:rFonts w:hint="eastAsia" w:ascii="宋体" w:hAnsi="宋体"/>
          <w:b/>
          <w:sz w:val="44"/>
          <w:szCs w:val="44"/>
        </w:rPr>
        <w:t>关于国有企业改革绩效自评报告</w:t>
      </w:r>
    </w:p>
    <w:p>
      <w:pPr>
        <w:adjustRightInd w:val="0"/>
        <w:snapToGrid w:val="0"/>
        <w:spacing w:line="360" w:lineRule="auto"/>
        <w:ind w:firstLine="720"/>
        <w:rPr>
          <w:rFonts w:ascii="黑体" w:hAnsi="宋体" w:eastAsia="黑体"/>
          <w:sz w:val="32"/>
          <w:szCs w:val="32"/>
        </w:rPr>
      </w:pPr>
    </w:p>
    <w:p>
      <w:pPr>
        <w:adjustRightInd w:val="0"/>
        <w:snapToGrid w:val="0"/>
        <w:spacing w:line="360" w:lineRule="auto"/>
        <w:ind w:firstLine="720"/>
        <w:rPr>
          <w:rFonts w:ascii="黑体" w:hAnsi="宋体" w:eastAsia="黑体"/>
          <w:sz w:val="32"/>
          <w:szCs w:val="32"/>
        </w:rPr>
      </w:pPr>
      <w:r>
        <w:rPr>
          <w:rFonts w:hint="eastAsia" w:ascii="黑体" w:hAnsi="宋体" w:eastAsia="黑体"/>
          <w:sz w:val="32"/>
          <w:szCs w:val="32"/>
        </w:rPr>
        <w:t>一、基本情况</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（一）单位基本情况</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lang w:val="zh-CN"/>
        </w:rPr>
        <w:t>通江县国有资产监督管理委员会是县人民政府的直属事业单位，负责履行出资人职责，监管县属企业的国有资产，加强国有资产管理等工作</w:t>
      </w:r>
      <w:r>
        <w:t>。</w:t>
      </w:r>
    </w:p>
    <w:p>
      <w:pPr>
        <w:snapToGrid w:val="0"/>
        <w:spacing w:line="360" w:lineRule="auto"/>
        <w:rPr>
          <w:rFonts w:ascii="仿宋_GB2312" w:hAnsi="宋体" w:eastAsia="仿宋_GB2312"/>
          <w:sz w:val="32"/>
          <w:szCs w:val="32"/>
          <w:lang w:val="zh-CN"/>
        </w:rPr>
      </w:pPr>
      <w:r>
        <w:rPr>
          <w:rFonts w:hint="eastAsia" w:ascii="仿宋_GB2312" w:hAnsi="宋体" w:eastAsia="仿宋_GB2312"/>
          <w:sz w:val="32"/>
          <w:szCs w:val="32"/>
          <w:lang w:val="zh-CN"/>
        </w:rPr>
        <w:t>（二）班子及内设机构配置情况</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1、通江县国资委设科级领导正科级1名、副科级1名，现有主任1名、副主任1名。</w:t>
      </w:r>
    </w:p>
    <w:p>
      <w:pPr>
        <w:snapToGrid w:val="0"/>
        <w:spacing w:line="360" w:lineRule="auto"/>
        <w:ind w:firstLine="640" w:firstLineChars="200"/>
        <w:rPr>
          <w:rFonts w:hint="eastAsia" w:ascii="仿宋" w:hAnsi="仿宋" w:eastAsia="仿宋"/>
          <w:sz w:val="32"/>
          <w:szCs w:val="32"/>
          <w:lang w:val="zh-CN"/>
        </w:rPr>
      </w:pPr>
      <w:r>
        <w:rPr>
          <w:rFonts w:hint="eastAsia" w:ascii="仿宋_GB2312" w:hAnsi="宋体" w:eastAsia="仿宋_GB2312"/>
          <w:sz w:val="32"/>
          <w:szCs w:val="32"/>
          <w:lang w:val="zh-CN"/>
        </w:rPr>
        <w:t>2、通江县国资委核定编制10人，现实有在岗人员9人。设办公室、财务监督与评价股、国有资产监管股等三个</w:t>
      </w:r>
      <w:r>
        <w:rPr>
          <w:rFonts w:hint="eastAsia" w:ascii="仿宋" w:hAnsi="仿宋" w:eastAsia="仿宋"/>
          <w:sz w:val="32"/>
          <w:szCs w:val="32"/>
          <w:lang w:val="zh-CN"/>
        </w:rPr>
        <w:t>股室，按规定监管县属 22个国有企业。</w:t>
      </w:r>
    </w:p>
    <w:p>
      <w:pPr>
        <w:adjustRightInd w:val="0"/>
        <w:snapToGrid w:val="0"/>
        <w:spacing w:line="360" w:lineRule="auto"/>
        <w:ind w:firstLine="480" w:firstLineChars="150"/>
        <w:rPr>
          <w:rFonts w:ascii="黑体" w:hAnsi="宋体" w:eastAsia="黑体"/>
          <w:sz w:val="32"/>
          <w:szCs w:val="32"/>
        </w:rPr>
      </w:pPr>
      <w:r>
        <w:rPr>
          <w:rFonts w:hint="eastAsia" w:ascii="黑体" w:hAnsi="宋体" w:eastAsia="黑体"/>
          <w:sz w:val="32"/>
          <w:szCs w:val="32"/>
        </w:rPr>
        <w:t>二、资金使用情况</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宋体" w:eastAsia="仿宋_GB2312"/>
          <w:sz w:val="32"/>
          <w:szCs w:val="32"/>
          <w:lang w:val="zh-CN"/>
        </w:rPr>
        <w:t>年12月底，国资委企业改革经费实际支出</w:t>
      </w:r>
      <w:r>
        <w:rPr>
          <w:rFonts w:hint="eastAsia" w:ascii="仿宋_GB2312" w:hAnsi="宋体" w:eastAsia="仿宋_GB2312"/>
          <w:sz w:val="32"/>
          <w:szCs w:val="32"/>
        </w:rPr>
        <w:t>9</w:t>
      </w:r>
      <w:r>
        <w:rPr>
          <w:rFonts w:hint="eastAsia" w:ascii="仿宋_GB2312" w:hAnsi="宋体" w:eastAsia="仿宋_GB2312"/>
          <w:sz w:val="32"/>
          <w:szCs w:val="32"/>
          <w:lang w:val="zh-CN"/>
        </w:rPr>
        <w:t>万元，支付依据合法合规，与预算相符。</w:t>
      </w:r>
    </w:p>
    <w:p>
      <w:pPr>
        <w:snapToGrid w:val="0"/>
        <w:spacing w:line="360" w:lineRule="auto"/>
        <w:ind w:firstLine="640" w:firstLineChars="200"/>
        <w:rPr>
          <w:rFonts w:ascii="黑体" w:hAnsi="黑体" w:eastAsia="黑体"/>
          <w:sz w:val="32"/>
          <w:szCs w:val="32"/>
          <w:lang w:val="zh-CN"/>
        </w:rPr>
      </w:pPr>
      <w:r>
        <w:rPr>
          <w:rFonts w:hint="eastAsia" w:ascii="黑体" w:hAnsi="黑体" w:eastAsia="黑体"/>
          <w:sz w:val="32"/>
          <w:szCs w:val="32"/>
          <w:lang w:val="zh-CN"/>
        </w:rPr>
        <w:t>三、目标完成情况</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（一）目标任务量完成情况</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宋体" w:eastAsia="仿宋_GB2312"/>
          <w:sz w:val="32"/>
          <w:szCs w:val="32"/>
          <w:lang w:val="zh-CN"/>
        </w:rPr>
        <w:t>年底，国资委企业改革已全部实施完毕。</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（二）目标质量完成情况</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宋体" w:eastAsia="仿宋_GB2312"/>
          <w:sz w:val="32"/>
          <w:szCs w:val="32"/>
          <w:lang w:val="zh-CN"/>
        </w:rPr>
        <w:t>年底，国资委企业改革按质按量完成。</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（三）目标进度完成情况</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20</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宋体" w:eastAsia="仿宋_GB2312"/>
          <w:sz w:val="32"/>
          <w:szCs w:val="32"/>
          <w:lang w:val="zh-CN"/>
        </w:rPr>
        <w:t>年，国有企业改革工作按原计划完成。</w:t>
      </w:r>
    </w:p>
    <w:p>
      <w:pPr>
        <w:snapToGrid w:val="0"/>
        <w:spacing w:line="360" w:lineRule="auto"/>
        <w:ind w:firstLine="640" w:firstLineChars="200"/>
        <w:rPr>
          <w:rFonts w:ascii="黑体" w:hAnsi="黑体" w:eastAsia="黑体"/>
          <w:sz w:val="32"/>
          <w:szCs w:val="32"/>
          <w:lang w:val="zh-CN"/>
        </w:rPr>
      </w:pPr>
      <w:r>
        <w:rPr>
          <w:rFonts w:hint="eastAsia" w:ascii="黑体" w:hAnsi="黑体" w:eastAsia="黑体"/>
          <w:sz w:val="32"/>
          <w:szCs w:val="32"/>
          <w:lang w:val="zh-CN"/>
        </w:rPr>
        <w:t>四、项目效益情况</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国有企业改革工作的实施，有效地推动了国有企业的发展，助力全县经济发展。</w:t>
      </w:r>
    </w:p>
    <w:p>
      <w:pPr>
        <w:adjustRightInd w:val="0"/>
        <w:snapToGrid w:val="0"/>
        <w:spacing w:line="360" w:lineRule="auto"/>
        <w:ind w:firstLine="720"/>
        <w:rPr>
          <w:rFonts w:ascii="黑体" w:hAnsi="宋体" w:eastAsia="黑体"/>
          <w:sz w:val="32"/>
          <w:szCs w:val="32"/>
        </w:rPr>
      </w:pPr>
      <w:r>
        <w:rPr>
          <w:rFonts w:hint="eastAsia" w:ascii="黑体" w:hAnsi="宋体" w:eastAsia="黑体"/>
          <w:sz w:val="32"/>
          <w:szCs w:val="32"/>
        </w:rPr>
        <w:t>五、问题及改进措施</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（一）存在的问题。</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20</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宋体" w:eastAsia="仿宋_GB2312"/>
          <w:sz w:val="32"/>
          <w:szCs w:val="32"/>
          <w:lang w:val="zh-CN"/>
        </w:rPr>
        <w:t>年，我单位各项目标任务全面完成，有力促进了全县国有企业经济社会发展，但仍然存在一些问题。</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1、项目绩效目标与指标不完整</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绩效指标较少，不能完全衡量条件建设经费项目的完成情况，绩效指标未涵盖所有工作事项，绩效标准表述不够准确，整体逻辑关系不够清晰。</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2资金投入较少</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项目建设是一项长期建设任务，投入资金有限。在一个时间范围内，完成一个整体的建设项目非常困难。</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（二）相关建议。</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请财政部根据国资委事业发展的要求和实际情况，提高年初部门预算额度，将常规项目支出纳入年度预算，并增加相关预算项目。</w:t>
      </w:r>
    </w:p>
    <w:p>
      <w:pPr>
        <w:pStyle w:val="3"/>
        <w:spacing w:before="93"/>
        <w:rPr>
          <w:lang w:val="zh-CN"/>
        </w:rPr>
      </w:pPr>
    </w:p>
    <w:p>
      <w:pPr>
        <w:pStyle w:val="3"/>
        <w:spacing w:before="93"/>
        <w:rPr>
          <w:lang w:val="zh-CN"/>
        </w:rPr>
      </w:pPr>
    </w:p>
    <w:tbl>
      <w:tblPr>
        <w:tblStyle w:val="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050"/>
        <w:gridCol w:w="1451"/>
        <w:gridCol w:w="1536"/>
        <w:gridCol w:w="1153"/>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国有资产监督管理委员会</w:t>
            </w:r>
          </w:p>
        </w:tc>
      </w:tr>
      <w:tr>
        <w:tblPrEx>
          <w:tblCellMar>
            <w:top w:w="0" w:type="dxa"/>
            <w:left w:w="108" w:type="dxa"/>
            <w:bottom w:w="0" w:type="dxa"/>
            <w:right w:w="108" w:type="dxa"/>
          </w:tblCellMar>
        </w:tblPrEx>
        <w:trPr>
          <w:gridAfter w:val="1"/>
          <w:wAfter w:w="236" w:type="dxa"/>
          <w:trHeight w:val="341" w:hRule="atLeast"/>
        </w:trPr>
        <w:tc>
          <w:tcPr>
            <w:tcW w:w="30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ascii="宋体" w:hAnsi="宋体" w:cs="宋体"/>
                <w:sz w:val="24"/>
              </w:rPr>
              <w:t>32.4</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32.4</w:t>
            </w:r>
          </w:p>
        </w:tc>
      </w:tr>
      <w:tr>
        <w:tblPrEx>
          <w:tblCellMar>
            <w:top w:w="0" w:type="dxa"/>
            <w:left w:w="108" w:type="dxa"/>
            <w:bottom w:w="0" w:type="dxa"/>
            <w:right w:w="108" w:type="dxa"/>
          </w:tblCellMar>
        </w:tblPrEx>
        <w:trPr>
          <w:gridAfter w:val="1"/>
          <w:wAfter w:w="236" w:type="dxa"/>
          <w:trHeight w:val="555" w:hRule="atLeast"/>
        </w:trPr>
        <w:tc>
          <w:tcPr>
            <w:tcW w:w="3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thick" w:color="4B6EE0"/>
                <w:shd w:val="clear" w:fill="E8EBF5"/>
              </w:rPr>
            </w:pPr>
            <w:r>
              <w:rPr>
                <w:rFonts w:ascii="宋体" w:hAnsi="宋体" w:cs="宋体"/>
                <w:sz w:val="24"/>
              </w:rPr>
              <w:t>32.4</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hAnsi="宋体" w:cs="宋体"/>
                <w:sz w:val="24"/>
                <w:u w:val="none" w:color="000000"/>
                <w:shd w:val="clear" w:fill="auto"/>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000000"/>
                <w:shd w:val="clear" w:fill="auto"/>
              </w:rPr>
            </w:pPr>
            <w:r>
              <w:rPr>
                <w:rFonts w:ascii="宋体" w:hAnsi="宋体" w:cs="宋体"/>
                <w:sz w:val="24"/>
                <w:u w:val="none" w:color="000000"/>
                <w:shd w:val="clear" w:fill="auto"/>
              </w:rPr>
              <w:t>32.4</w:t>
            </w:r>
          </w:p>
        </w:tc>
      </w:tr>
      <w:tr>
        <w:tblPrEx>
          <w:tblCellMar>
            <w:top w:w="0" w:type="dxa"/>
            <w:left w:w="108" w:type="dxa"/>
            <w:bottom w:w="0" w:type="dxa"/>
            <w:right w:w="108" w:type="dxa"/>
          </w:tblCellMar>
        </w:tblPrEx>
        <w:trPr>
          <w:gridAfter w:val="1"/>
          <w:wAfter w:w="236" w:type="dxa"/>
          <w:trHeight w:val="341" w:hRule="atLeast"/>
        </w:trPr>
        <w:tc>
          <w:tcPr>
            <w:tcW w:w="3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其他资金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u w:val="thick" w:color="4B6EE0"/>
                <w:shd w:val="clear" w:fill="E8EBF5"/>
              </w:rPr>
              <w:t>年</w:t>
            </w:r>
            <w:bookmarkStart w:id="108" w:name="_GoBack"/>
            <w:r>
              <w:rPr>
                <w:rFonts w:hint="eastAsia" w:ascii="宋体" w:hAnsi="宋体" w:cs="宋体"/>
                <w:kern w:val="0"/>
                <w:sz w:val="24"/>
              </w:rPr>
              <w:t>度总体目标</w:t>
            </w:r>
          </w:p>
          <w:p>
            <w:pPr>
              <w:widowControl/>
              <w:spacing w:line="320" w:lineRule="exact"/>
              <w:jc w:val="center"/>
              <w:textAlignment w:val="center"/>
              <w:rPr>
                <w:rFonts w:ascii="宋体" w:hAnsi="宋体" w:cs="宋体"/>
                <w:sz w:val="24"/>
                <w:u w:val="thick" w:color="4B6EE0"/>
                <w:shd w:val="clear" w:fill="E8EBF5"/>
              </w:rPr>
            </w:pPr>
            <w:r>
              <w:rPr>
                <w:rFonts w:hint="eastAsia" w:ascii="宋体" w:hAnsi="宋体" w:cs="宋体"/>
                <w:kern w:val="0"/>
                <w:sz w:val="24"/>
              </w:rPr>
              <w:t>完成情况</w:t>
            </w:r>
            <w:bookmarkEnd w:id="108"/>
          </w:p>
        </w:tc>
        <w:tc>
          <w:tcPr>
            <w:tcW w:w="4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预期目标</w:t>
            </w: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thick" w:color="4B6EE0"/>
                <w:shd w:val="clear" w:fill="E8EBF5"/>
              </w:rPr>
            </w:pPr>
          </w:p>
        </w:tc>
        <w:tc>
          <w:tcPr>
            <w:tcW w:w="403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完成对国有资产的管理等工作</w:t>
            </w: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确保国有资产保值增值</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thick" w:color="4B6EE0"/>
                <w:shd w:val="clear" w:fill="E8EBF5"/>
              </w:rPr>
            </w:pPr>
            <w:r>
              <w:rPr>
                <w:rFonts w:hint="eastAsia" w:ascii="仿宋_GB2312" w:hAnsi="仿宋_GB2312" w:eastAsia="仿宋_GB2312" w:cs="仿宋_GB2312"/>
                <w:kern w:val="0"/>
                <w:sz w:val="28"/>
                <w:szCs w:val="28"/>
                <w:u w:val="none" w:color="000000"/>
                <w:shd w:val="clear" w:fill="auto"/>
              </w:rPr>
              <w:t>年度绩效指标完</w:t>
            </w:r>
            <w:r>
              <w:rPr>
                <w:rFonts w:hint="eastAsia" w:ascii="仿宋_GB2312" w:hAnsi="仿宋_GB2312" w:eastAsia="仿宋_GB2312" w:cs="仿宋_GB2312"/>
                <w:kern w:val="0"/>
                <w:sz w:val="28"/>
                <w:szCs w:val="28"/>
              </w:rPr>
              <w:t>成</w:t>
            </w:r>
            <w:r>
              <w:rPr>
                <w:rFonts w:hint="eastAsia" w:ascii="仿宋_GB2312" w:hAnsi="仿宋_GB2312" w:eastAsia="仿宋_GB2312" w:cs="仿宋_GB2312"/>
                <w:kern w:val="0"/>
                <w:sz w:val="28"/>
                <w:szCs w:val="28"/>
                <w:u w:val="thick" w:color="4B6EE0"/>
                <w:shd w:val="clear" w:fill="E8EBF5"/>
              </w:rPr>
              <w:t>情况</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指标</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1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预期指标值</w:t>
            </w:r>
          </w:p>
        </w:tc>
        <w:tc>
          <w:tcPr>
            <w:tcW w:w="240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实际完成指标值</w:t>
            </w:r>
          </w:p>
        </w:tc>
      </w:tr>
      <w:tr>
        <w:tblPrEx>
          <w:tblCellMar>
            <w:top w:w="0" w:type="dxa"/>
            <w:left w:w="108" w:type="dxa"/>
            <w:bottom w:w="0" w:type="dxa"/>
            <w:right w:w="108" w:type="dxa"/>
          </w:tblCellMar>
        </w:tblPrEx>
        <w:trPr>
          <w:gridAfter w:val="1"/>
          <w:wAfter w:w="236" w:type="dxa"/>
          <w:trHeight w:val="281"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thick" w:color="4B6EE0"/>
                <w:shd w:val="clear" w:fill="E8EBF5"/>
              </w:rPr>
            </w:pP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指标</w:t>
            </w:r>
          </w:p>
        </w:tc>
        <w:tc>
          <w:tcPr>
            <w:tcW w:w="14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数量指标</w:t>
            </w:r>
          </w:p>
        </w:tc>
        <w:tc>
          <w:tcPr>
            <w:tcW w:w="153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工资福利保障人数</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=10人</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=10人</w:t>
            </w:r>
          </w:p>
        </w:tc>
      </w:tr>
      <w:tr>
        <w:tblPrEx>
          <w:tblCellMar>
            <w:top w:w="0" w:type="dxa"/>
            <w:left w:w="108" w:type="dxa"/>
            <w:bottom w:w="0" w:type="dxa"/>
            <w:right w:w="108" w:type="dxa"/>
          </w:tblCellMar>
        </w:tblPrEx>
        <w:trPr>
          <w:gridAfter w:val="1"/>
          <w:wAfter w:w="236" w:type="dxa"/>
          <w:trHeight w:val="281"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u w:val="thick" w:color="4B6EE0"/>
                <w:shd w:val="clear" w:fill="E8EBF5"/>
              </w:rPr>
            </w:pPr>
          </w:p>
        </w:tc>
        <w:tc>
          <w:tcPr>
            <w:tcW w:w="105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u w:val="thick" w:color="4B6EE0"/>
                <w:shd w:val="clear" w:fill="E8EBF5"/>
              </w:rPr>
            </w:pPr>
          </w:p>
        </w:tc>
        <w:tc>
          <w:tcPr>
            <w:tcW w:w="1451"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p>
        </w:tc>
        <w:tc>
          <w:tcPr>
            <w:tcW w:w="153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购置办公设备数量</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≥3台（套）</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gridAfter w:val="1"/>
          <w:wAfter w:w="236" w:type="dxa"/>
          <w:trHeight w:val="281"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45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p>
        </w:tc>
        <w:tc>
          <w:tcPr>
            <w:tcW w:w="153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举办（组织外出）培训（会议）批次</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≥3次</w:t>
            </w:r>
          </w:p>
        </w:tc>
        <w:tc>
          <w:tcPr>
            <w:tcW w:w="2409"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≥3次</w:t>
            </w:r>
          </w:p>
        </w:tc>
      </w:tr>
      <w:tr>
        <w:tblPrEx>
          <w:tblCellMar>
            <w:top w:w="0" w:type="dxa"/>
            <w:left w:w="108" w:type="dxa"/>
            <w:bottom w:w="0" w:type="dxa"/>
            <w:right w:w="108" w:type="dxa"/>
          </w:tblCellMar>
        </w:tblPrEx>
        <w:trPr>
          <w:gridAfter w:val="1"/>
          <w:wAfter w:w="236" w:type="dxa"/>
          <w:trHeight w:val="278"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质量指标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工资福利、运转、民生保障率</w:t>
            </w:r>
          </w:p>
        </w:tc>
        <w:tc>
          <w:tcPr>
            <w:tcW w:w="11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≥95%</w:t>
            </w:r>
          </w:p>
        </w:tc>
        <w:tc>
          <w:tcPr>
            <w:tcW w:w="240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≥95%</w:t>
            </w:r>
          </w:p>
        </w:tc>
      </w:tr>
      <w:tr>
        <w:tblPrEx>
          <w:tblCellMar>
            <w:top w:w="0" w:type="dxa"/>
            <w:left w:w="108" w:type="dxa"/>
            <w:bottom w:w="0" w:type="dxa"/>
            <w:right w:w="108" w:type="dxa"/>
          </w:tblCellMar>
        </w:tblPrEx>
        <w:trPr>
          <w:gridAfter w:val="1"/>
          <w:wAfter w:w="236" w:type="dxa"/>
          <w:trHeight w:val="278"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pPr>
          </w:p>
        </w:tc>
        <w:tc>
          <w:tcPr>
            <w:tcW w:w="1451"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53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“三公”经费下降率</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≥20%</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gridAfter w:val="1"/>
          <w:wAfter w:w="236" w:type="dxa"/>
          <w:trHeight w:val="278"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050"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45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培训合格率</w:t>
            </w:r>
          </w:p>
        </w:tc>
        <w:tc>
          <w:tcPr>
            <w:tcW w:w="11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c>
          <w:tcPr>
            <w:tcW w:w="240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gridAfter w:val="1"/>
          <w:wAfter w:w="236" w:type="dxa"/>
          <w:trHeight w:val="45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53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工资福利发放及时率</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=100%</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gridAfter w:val="1"/>
          <w:wAfter w:w="236" w:type="dxa"/>
          <w:trHeight w:val="45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050"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pPr>
          </w:p>
        </w:tc>
        <w:tc>
          <w:tcPr>
            <w:tcW w:w="145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办公设备购置完成时间</w:t>
            </w:r>
          </w:p>
        </w:tc>
        <w:tc>
          <w:tcPr>
            <w:tcW w:w="11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≤12个月</w:t>
            </w:r>
          </w:p>
        </w:tc>
        <w:tc>
          <w:tcPr>
            <w:tcW w:w="240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12个月</w:t>
            </w:r>
          </w:p>
        </w:tc>
      </w:tr>
      <w:tr>
        <w:tblPrEx>
          <w:tblCellMar>
            <w:top w:w="0" w:type="dxa"/>
            <w:left w:w="108" w:type="dxa"/>
            <w:bottom w:w="0" w:type="dxa"/>
            <w:right w:w="108" w:type="dxa"/>
          </w:tblCellMar>
        </w:tblPrEx>
        <w:trPr>
          <w:gridAfter w:val="1"/>
          <w:wAfter w:w="236" w:type="dxa"/>
          <w:trHeight w:val="40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53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工资福利总额</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≤101万元</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118万元</w:t>
            </w:r>
          </w:p>
        </w:tc>
      </w:tr>
      <w:tr>
        <w:tblPrEx>
          <w:tblCellMar>
            <w:top w:w="0" w:type="dxa"/>
            <w:left w:w="108" w:type="dxa"/>
            <w:bottom w:w="0" w:type="dxa"/>
            <w:right w:w="108" w:type="dxa"/>
          </w:tblCellMar>
        </w:tblPrEx>
        <w:trPr>
          <w:gridAfter w:val="1"/>
          <w:wAfter w:w="236" w:type="dxa"/>
          <w:trHeight w:val="40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050"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pPr>
          </w:p>
        </w:tc>
        <w:tc>
          <w:tcPr>
            <w:tcW w:w="145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国企负责人培训</w:t>
            </w:r>
          </w:p>
        </w:tc>
        <w:tc>
          <w:tcPr>
            <w:tcW w:w="11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≤10万元</w:t>
            </w:r>
          </w:p>
        </w:tc>
        <w:tc>
          <w:tcPr>
            <w:tcW w:w="240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16"/>
                <w:szCs w:val="16"/>
              </w:rPr>
              <w:t>6.4万元</w:t>
            </w:r>
          </w:p>
        </w:tc>
      </w:tr>
      <w:tr>
        <w:tblPrEx>
          <w:tblCellMar>
            <w:top w:w="0" w:type="dxa"/>
            <w:left w:w="108" w:type="dxa"/>
            <w:bottom w:w="0" w:type="dxa"/>
            <w:right w:w="108" w:type="dxa"/>
          </w:tblCellMar>
        </w:tblPrEx>
        <w:trPr>
          <w:gridAfter w:val="1"/>
          <w:wAfter w:w="236" w:type="dxa"/>
          <w:trHeight w:val="32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4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53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维护企业经济健康发展</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100%</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gridAfter w:val="1"/>
          <w:wAfter w:w="236" w:type="dxa"/>
          <w:trHeight w:val="32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45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提升县域经济发展</w:t>
            </w:r>
          </w:p>
        </w:tc>
        <w:tc>
          <w:tcPr>
            <w:tcW w:w="11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c>
          <w:tcPr>
            <w:tcW w:w="240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rPr>
              <w:t>提升社会形象</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促进社会和谐发展</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提高企业满意度率</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r>
    </w:tbl>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jc w:val="left"/>
        <w:rPr>
          <w:rStyle w:val="27"/>
          <w:rFonts w:ascii="黑体" w:hAnsi="黑体" w:eastAsia="黑体"/>
          <w:b w:val="0"/>
        </w:rPr>
      </w:pPr>
      <w:r>
        <w:br w:type="page"/>
      </w:r>
    </w:p>
    <w:p>
      <w:pPr>
        <w:spacing w:line="600" w:lineRule="exact"/>
        <w:jc w:val="center"/>
        <w:outlineLvl w:val="0"/>
        <w:rPr>
          <w:rFonts w:ascii="仿宋" w:hAnsi="仿宋" w:eastAsia="仿宋"/>
        </w:rPr>
      </w:pPr>
      <w:bookmarkStart w:id="79" w:name="_Toc15396618"/>
      <w:bookmarkStart w:id="80" w:name="_Toc27386"/>
      <w:r>
        <w:rPr>
          <w:rFonts w:hint="eastAsia" w:ascii="黑体" w:hAnsi="黑体" w:eastAsia="黑体"/>
          <w:sz w:val="44"/>
          <w:szCs w:val="44"/>
        </w:rPr>
        <w:t>第</w:t>
      </w:r>
      <w:r>
        <w:rPr>
          <w:rStyle w:val="27"/>
          <w:rFonts w:hint="eastAsia" w:ascii="黑体" w:hAnsi="黑体" w:eastAsia="黑体"/>
          <w:b w:val="0"/>
        </w:rPr>
        <w:t>五部分</w:t>
      </w:r>
      <w:r>
        <w:rPr>
          <w:rStyle w:val="27"/>
          <w:rFonts w:hint="eastAsia" w:ascii="黑体" w:hAnsi="黑体" w:eastAsia="黑体"/>
          <w:b w:val="0"/>
          <w:lang w:val="en-US" w:eastAsia="zh-CN"/>
        </w:rPr>
        <w:t xml:space="preserve"> </w:t>
      </w:r>
      <w:r>
        <w:rPr>
          <w:rStyle w:val="27"/>
          <w:rFonts w:hint="eastAsia" w:ascii="黑体" w:hAnsi="黑体" w:eastAsia="黑体"/>
          <w:b w:val="0"/>
        </w:rPr>
        <w:t>附表</w:t>
      </w:r>
      <w:bookmarkEnd w:id="75"/>
      <w:bookmarkEnd w:id="79"/>
      <w:bookmarkEnd w:id="80"/>
      <w:bookmarkStart w:id="81" w:name="_Toc15396619"/>
    </w:p>
    <w:p>
      <w:pPr>
        <w:pStyle w:val="12"/>
        <w:rPr>
          <w:rFonts w:ascii="仿宋" w:hAnsi="仿宋" w:eastAsia="仿宋"/>
        </w:rPr>
      </w:pPr>
      <w:bookmarkStart w:id="82" w:name="_Toc22862"/>
      <w:r>
        <w:rPr>
          <w:rFonts w:hint="eastAsia" w:ascii="仿宋" w:hAnsi="仿宋" w:eastAsia="仿宋"/>
          <w:b w:val="0"/>
        </w:rPr>
        <w:t>一、收</w:t>
      </w:r>
      <w:r>
        <w:rPr>
          <w:rStyle w:val="28"/>
          <w:rFonts w:hint="eastAsia" w:ascii="仿宋" w:hAnsi="仿宋" w:eastAsia="仿宋"/>
          <w:b w:val="0"/>
          <w:bCs w:val="0"/>
        </w:rPr>
        <w:t>入支出决算总表</w:t>
      </w:r>
      <w:bookmarkEnd w:id="81"/>
      <w:bookmarkEnd w:id="82"/>
    </w:p>
    <w:p>
      <w:pPr>
        <w:pStyle w:val="12"/>
        <w:rPr>
          <w:rFonts w:ascii="仿宋" w:hAnsi="仿宋" w:eastAsia="仿宋"/>
        </w:rPr>
      </w:pPr>
      <w:bookmarkStart w:id="83" w:name="_Toc15396620"/>
      <w:bookmarkStart w:id="84" w:name="_Toc19996"/>
      <w:r>
        <w:rPr>
          <w:rFonts w:hint="eastAsia" w:ascii="仿宋" w:hAnsi="仿宋" w:eastAsia="仿宋"/>
          <w:b w:val="0"/>
        </w:rPr>
        <w:t>二、收</w:t>
      </w:r>
      <w:r>
        <w:rPr>
          <w:rStyle w:val="28"/>
          <w:rFonts w:hint="eastAsia" w:ascii="仿宋" w:hAnsi="仿宋" w:eastAsia="仿宋"/>
          <w:b w:val="0"/>
          <w:bCs w:val="0"/>
        </w:rPr>
        <w:t>入决算表</w:t>
      </w:r>
      <w:bookmarkEnd w:id="83"/>
      <w:bookmarkEnd w:id="84"/>
    </w:p>
    <w:p>
      <w:pPr>
        <w:pStyle w:val="12"/>
        <w:rPr>
          <w:rFonts w:ascii="仿宋" w:hAnsi="仿宋" w:eastAsia="仿宋"/>
        </w:rPr>
      </w:pPr>
      <w:bookmarkStart w:id="85" w:name="_Toc15396621"/>
      <w:bookmarkStart w:id="86" w:name="_Toc13250"/>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85"/>
      <w:bookmarkEnd w:id="86"/>
    </w:p>
    <w:p>
      <w:pPr>
        <w:pStyle w:val="12"/>
        <w:rPr>
          <w:rFonts w:ascii="仿宋" w:hAnsi="仿宋" w:eastAsia="仿宋"/>
          <w:b w:val="0"/>
        </w:rPr>
      </w:pPr>
      <w:bookmarkStart w:id="87" w:name="_Toc15396622"/>
      <w:bookmarkStart w:id="88" w:name="_Toc27724"/>
      <w:r>
        <w:rPr>
          <w:rStyle w:val="28"/>
          <w:rFonts w:hint="eastAsia" w:ascii="仿宋" w:hAnsi="仿宋" w:eastAsia="仿宋"/>
          <w:b w:val="0"/>
          <w:bCs w:val="0"/>
        </w:rPr>
        <w:t>四、</w:t>
      </w:r>
      <w:r>
        <w:rPr>
          <w:rFonts w:hint="eastAsia" w:ascii="仿宋" w:hAnsi="仿宋" w:eastAsia="仿宋"/>
          <w:b w:val="0"/>
        </w:rPr>
        <w:t>财政</w:t>
      </w:r>
      <w:r>
        <w:rPr>
          <w:rFonts w:hint="eastAsia" w:ascii="仿宋" w:hAnsi="仿宋" w:eastAsia="仿宋"/>
          <w:b w:val="0"/>
          <w:bCs w:val="0"/>
        </w:rPr>
        <w:t>拨款收入支出决算总表</w:t>
      </w:r>
      <w:bookmarkEnd w:id="87"/>
      <w:bookmarkEnd w:id="88"/>
    </w:p>
    <w:p>
      <w:pPr>
        <w:pStyle w:val="12"/>
        <w:rPr>
          <w:rStyle w:val="28"/>
          <w:rFonts w:ascii="仿宋" w:hAnsi="仿宋" w:eastAsia="仿宋"/>
          <w:b w:val="0"/>
          <w:bCs w:val="0"/>
        </w:rPr>
      </w:pPr>
      <w:bookmarkStart w:id="89" w:name="_Toc9518"/>
      <w:bookmarkStart w:id="90" w:name="_Toc15396623"/>
      <w:r>
        <w:rPr>
          <w:rStyle w:val="28"/>
          <w:rFonts w:hint="eastAsia" w:ascii="仿宋" w:hAnsi="仿宋" w:eastAsia="仿宋"/>
          <w:b w:val="0"/>
          <w:bCs w:val="0"/>
        </w:rPr>
        <w:t>五、</w:t>
      </w:r>
      <w:r>
        <w:rPr>
          <w:rFonts w:hint="eastAsia" w:ascii="仿宋" w:hAnsi="仿宋" w:eastAsia="仿宋"/>
          <w:b w:val="0"/>
        </w:rPr>
        <w:t>财政</w:t>
      </w:r>
      <w:r>
        <w:rPr>
          <w:rFonts w:hint="eastAsia" w:ascii="仿宋" w:hAnsi="仿宋" w:eastAsia="仿宋"/>
          <w:b w:val="0"/>
          <w:bCs w:val="0"/>
        </w:rPr>
        <w:t>拨款支出决算明细表</w:t>
      </w:r>
      <w:bookmarkEnd w:id="89"/>
      <w:bookmarkEnd w:id="90"/>
      <w:bookmarkStart w:id="91" w:name="_Toc15396624"/>
    </w:p>
    <w:p>
      <w:pPr>
        <w:pStyle w:val="12"/>
        <w:rPr>
          <w:rFonts w:ascii="仿宋" w:hAnsi="仿宋" w:eastAsia="仿宋"/>
        </w:rPr>
      </w:pPr>
      <w:bookmarkStart w:id="92" w:name="_Toc13882"/>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财政拨款支出决算表</w:t>
      </w:r>
      <w:bookmarkEnd w:id="91"/>
      <w:bookmarkEnd w:id="92"/>
    </w:p>
    <w:p>
      <w:pPr>
        <w:pStyle w:val="12"/>
        <w:rPr>
          <w:rFonts w:ascii="仿宋" w:hAnsi="仿宋" w:eastAsia="仿宋"/>
        </w:rPr>
      </w:pPr>
      <w:bookmarkStart w:id="93" w:name="_Toc26221"/>
      <w:bookmarkStart w:id="94"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财政拨款支出决算明细表</w:t>
      </w:r>
      <w:bookmarkEnd w:id="93"/>
      <w:bookmarkEnd w:id="94"/>
    </w:p>
    <w:p>
      <w:pPr>
        <w:pStyle w:val="12"/>
        <w:rPr>
          <w:rFonts w:hint="eastAsia" w:ascii="仿宋" w:hAnsi="仿宋" w:eastAsia="仿宋" w:cs="Times New Roman"/>
          <w:b w:val="0"/>
          <w:bCs w:val="0"/>
          <w:kern w:val="2"/>
          <w:sz w:val="32"/>
          <w:szCs w:val="32"/>
          <w:lang w:val="en-US" w:eastAsia="zh-CN" w:bidi="ar-SA"/>
        </w:rPr>
      </w:pPr>
      <w:bookmarkStart w:id="95" w:name="_Toc15396626"/>
      <w:bookmarkStart w:id="96" w:name="_Toc1036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w:t>
      </w:r>
      <w:r>
        <w:rPr>
          <w:rFonts w:hint="eastAsia" w:ascii="仿宋" w:hAnsi="仿宋" w:eastAsia="仿宋" w:cs="Times New Roman"/>
          <w:b w:val="0"/>
          <w:bCs w:val="0"/>
          <w:kern w:val="2"/>
          <w:sz w:val="32"/>
          <w:szCs w:val="32"/>
          <w:lang w:val="en-US" w:eastAsia="zh-CN" w:bidi="ar-SA"/>
        </w:rPr>
        <w:t>基本支出决算表</w:t>
      </w:r>
      <w:bookmarkEnd w:id="95"/>
      <w:bookmarkEnd w:id="96"/>
    </w:p>
    <w:p>
      <w:pPr>
        <w:pStyle w:val="12"/>
        <w:rPr>
          <w:rFonts w:hint="eastAsia" w:ascii="仿宋" w:hAnsi="仿宋" w:eastAsia="仿宋" w:cs="Times New Roman"/>
          <w:b w:val="0"/>
          <w:bCs w:val="0"/>
          <w:kern w:val="2"/>
          <w:sz w:val="32"/>
          <w:szCs w:val="32"/>
          <w:lang w:val="en-US" w:eastAsia="zh-CN" w:bidi="ar-SA"/>
        </w:rPr>
      </w:pPr>
      <w:bookmarkStart w:id="97" w:name="_Toc15396627"/>
      <w:bookmarkStart w:id="98" w:name="_Toc13373"/>
      <w:r>
        <w:rPr>
          <w:rFonts w:hint="eastAsia" w:ascii="仿宋" w:hAnsi="仿宋" w:eastAsia="仿宋" w:cs="Times New Roman"/>
          <w:b w:val="0"/>
          <w:bCs w:val="0"/>
          <w:kern w:val="2"/>
          <w:sz w:val="32"/>
          <w:szCs w:val="32"/>
          <w:lang w:val="en-US" w:eastAsia="zh-CN" w:bidi="ar-SA"/>
        </w:rPr>
        <w:t>九、一般公共预算财政拨款项目支出决算表</w:t>
      </w:r>
      <w:bookmarkEnd w:id="97"/>
      <w:bookmarkEnd w:id="98"/>
    </w:p>
    <w:p>
      <w:pPr>
        <w:pStyle w:val="12"/>
        <w:rPr>
          <w:rFonts w:hint="eastAsia" w:ascii="仿宋" w:hAnsi="仿宋" w:eastAsia="仿宋" w:cs="Times New Roman"/>
          <w:b w:val="0"/>
          <w:bCs w:val="0"/>
          <w:kern w:val="2"/>
          <w:sz w:val="32"/>
          <w:szCs w:val="32"/>
          <w:lang w:val="en-US" w:eastAsia="zh-CN" w:bidi="ar-SA"/>
        </w:rPr>
      </w:pPr>
      <w:bookmarkStart w:id="99" w:name="_Toc32089"/>
      <w:bookmarkStart w:id="100" w:name="_Toc15396628"/>
      <w:r>
        <w:rPr>
          <w:rFonts w:hint="eastAsia" w:ascii="仿宋" w:hAnsi="仿宋" w:eastAsia="仿宋" w:cs="Times New Roman"/>
          <w:b w:val="0"/>
          <w:bCs w:val="0"/>
          <w:kern w:val="2"/>
          <w:sz w:val="32"/>
          <w:szCs w:val="32"/>
          <w:lang w:val="en-US" w:eastAsia="zh-CN" w:bidi="ar-SA"/>
        </w:rPr>
        <w:t>十、一般公共预算财政拨款“三公”经费支出决算表</w:t>
      </w:r>
      <w:bookmarkEnd w:id="99"/>
      <w:bookmarkEnd w:id="100"/>
    </w:p>
    <w:p>
      <w:pPr>
        <w:pStyle w:val="12"/>
        <w:rPr>
          <w:rFonts w:hint="eastAsia" w:ascii="仿宋" w:hAnsi="仿宋" w:eastAsia="仿宋" w:cs="Times New Roman"/>
          <w:b w:val="0"/>
          <w:bCs w:val="0"/>
          <w:kern w:val="2"/>
          <w:sz w:val="32"/>
          <w:szCs w:val="32"/>
          <w:lang w:val="en-US" w:eastAsia="zh-CN" w:bidi="ar-SA"/>
        </w:rPr>
      </w:pPr>
      <w:bookmarkStart w:id="101" w:name="_Toc15396629"/>
      <w:bookmarkStart w:id="102" w:name="_Toc30318"/>
      <w:r>
        <w:rPr>
          <w:rFonts w:hint="eastAsia" w:ascii="仿宋" w:hAnsi="仿宋" w:eastAsia="仿宋" w:cs="Times New Roman"/>
          <w:b w:val="0"/>
          <w:bCs w:val="0"/>
          <w:kern w:val="2"/>
          <w:sz w:val="32"/>
          <w:szCs w:val="32"/>
          <w:lang w:val="en-US" w:eastAsia="zh-CN" w:bidi="ar-SA"/>
        </w:rPr>
        <w:t>十一、政府性基金预算财政拨款收入支出决算表</w:t>
      </w:r>
      <w:bookmarkEnd w:id="101"/>
      <w:bookmarkEnd w:id="102"/>
    </w:p>
    <w:p>
      <w:pPr>
        <w:pStyle w:val="12"/>
        <w:rPr>
          <w:rFonts w:hint="eastAsia" w:ascii="仿宋" w:hAnsi="仿宋" w:eastAsia="仿宋" w:cs="Times New Roman"/>
          <w:b w:val="0"/>
          <w:bCs w:val="0"/>
          <w:kern w:val="2"/>
          <w:sz w:val="32"/>
          <w:szCs w:val="32"/>
          <w:lang w:val="en-US" w:eastAsia="zh-CN" w:bidi="ar-SA"/>
        </w:rPr>
      </w:pPr>
      <w:bookmarkStart w:id="103" w:name="_Toc15396630"/>
      <w:bookmarkStart w:id="104" w:name="_Toc418"/>
      <w:r>
        <w:rPr>
          <w:rFonts w:hint="eastAsia" w:ascii="仿宋" w:hAnsi="仿宋" w:eastAsia="仿宋" w:cs="Times New Roman"/>
          <w:b w:val="0"/>
          <w:bCs w:val="0"/>
          <w:kern w:val="2"/>
          <w:sz w:val="32"/>
          <w:szCs w:val="32"/>
          <w:lang w:val="en-US" w:eastAsia="zh-CN" w:bidi="ar-SA"/>
        </w:rPr>
        <w:t>十二、政府性基金预算财政拨款“三公”经费支出决算表</w:t>
      </w:r>
      <w:bookmarkEnd w:id="103"/>
      <w:bookmarkEnd w:id="104"/>
    </w:p>
    <w:p>
      <w:pPr>
        <w:pStyle w:val="12"/>
        <w:rPr>
          <w:rFonts w:hint="eastAsia" w:ascii="仿宋" w:hAnsi="仿宋" w:eastAsia="仿宋" w:cs="Times New Roman"/>
          <w:b w:val="0"/>
          <w:bCs w:val="0"/>
          <w:kern w:val="2"/>
          <w:sz w:val="32"/>
          <w:szCs w:val="32"/>
          <w:lang w:val="en-US" w:eastAsia="zh-CN" w:bidi="ar-SA"/>
        </w:rPr>
      </w:pPr>
      <w:bookmarkStart w:id="105" w:name="_Toc15396631"/>
      <w:bookmarkStart w:id="106" w:name="_Toc24986"/>
      <w:r>
        <w:rPr>
          <w:rFonts w:hint="eastAsia" w:ascii="仿宋" w:hAnsi="仿宋" w:eastAsia="仿宋" w:cs="Times New Roman"/>
          <w:b w:val="0"/>
          <w:bCs w:val="0"/>
          <w:kern w:val="2"/>
          <w:sz w:val="32"/>
          <w:szCs w:val="32"/>
          <w:lang w:val="en-US" w:eastAsia="zh-CN" w:bidi="ar-SA"/>
        </w:rPr>
        <w:t>十三、国有资本经营预算财政拨款收入支出决算表</w:t>
      </w:r>
      <w:bookmarkEnd w:id="105"/>
      <w:bookmarkEnd w:id="106"/>
    </w:p>
    <w:p>
      <w:pPr>
        <w:rPr>
          <w:rFonts w:hint="eastAsia" w:ascii="仿宋" w:hAnsi="仿宋" w:eastAsia="仿宋" w:cs="Times New Roman"/>
          <w:b w:val="0"/>
          <w:bCs w:val="0"/>
          <w:kern w:val="2"/>
          <w:sz w:val="32"/>
          <w:szCs w:val="32"/>
          <w:lang w:val="en-US" w:eastAsia="zh-CN" w:bidi="ar-SA"/>
        </w:rPr>
      </w:pPr>
      <w:bookmarkStart w:id="107" w:name="_Toc20009"/>
      <w:r>
        <w:rPr>
          <w:rFonts w:hint="eastAsia" w:ascii="仿宋" w:hAnsi="仿宋" w:eastAsia="仿宋" w:cs="Times New Roman"/>
          <w:b w:val="0"/>
          <w:bCs w:val="0"/>
          <w:kern w:val="2"/>
          <w:sz w:val="32"/>
          <w:szCs w:val="32"/>
          <w:lang w:val="en-US" w:eastAsia="zh-CN" w:bidi="ar-SA"/>
        </w:rPr>
        <w:t>十四、国有资本经营预算财政拨款支出决算表</w:t>
      </w:r>
      <w:bookmarkEnd w:id="107"/>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18</w:t>
        </w:r>
        <w:r>
          <w:fldChar w:fldCharType="end"/>
        </w:r>
      </w:p>
    </w:sdtContent>
  </w:sdt>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868DB"/>
    <w:multiLevelType w:val="singleLevel"/>
    <w:tmpl w:val="018868DB"/>
    <w:lvl w:ilvl="0" w:tentative="0">
      <w:start w:val="9"/>
      <w:numFmt w:val="chineseCounting"/>
      <w:suff w:val="nothing"/>
      <w:lvlText w:val="%1、"/>
      <w:lvlJc w:val="left"/>
      <w:rPr>
        <w:rFonts w:hint="eastAsia"/>
      </w:rPr>
    </w:lvl>
  </w:abstractNum>
  <w:abstractNum w:abstractNumId="1">
    <w:nsid w:val="03A75CD2"/>
    <w:multiLevelType w:val="singleLevel"/>
    <w:tmpl w:val="03A75CD2"/>
    <w:lvl w:ilvl="0" w:tentative="0">
      <w:start w:val="2"/>
      <w:numFmt w:val="chineseCounting"/>
      <w:suff w:val="nothing"/>
      <w:lvlText w:val="（%1）"/>
      <w:lvlJc w:val="left"/>
      <w:rPr>
        <w:rFonts w:hint="eastAsia"/>
      </w:rPr>
    </w:lvl>
  </w:abstractNum>
  <w:abstractNum w:abstractNumId="2">
    <w:nsid w:val="24417E10"/>
    <w:multiLevelType w:val="singleLevel"/>
    <w:tmpl w:val="24417E10"/>
    <w:lvl w:ilvl="0" w:tentative="0">
      <w:start w:val="3"/>
      <w:numFmt w:val="chineseCounting"/>
      <w:suff w:val="space"/>
      <w:lvlText w:val="第%1部分"/>
      <w:lvlJc w:val="left"/>
      <w:rPr>
        <w:rFonts w:hint="eastAsia"/>
      </w:rPr>
    </w:lvl>
  </w:abstractNum>
  <w:abstractNum w:abstractNumId="3">
    <w:nsid w:val="24B86296"/>
    <w:multiLevelType w:val="singleLevel"/>
    <w:tmpl w:val="24B86296"/>
    <w:lvl w:ilvl="0" w:tentative="0">
      <w:start w:val="11"/>
      <w:numFmt w:val="decimal"/>
      <w:lvlText w:val="%1."/>
      <w:lvlJc w:val="left"/>
      <w:pPr>
        <w:tabs>
          <w:tab w:val="left" w:pos="312"/>
        </w:tabs>
      </w:pPr>
    </w:lvl>
  </w:abstractNum>
  <w:abstractNum w:abstractNumId="4">
    <w:nsid w:val="45B72E37"/>
    <w:multiLevelType w:val="singleLevel"/>
    <w:tmpl w:val="45B72E37"/>
    <w:lvl w:ilvl="0" w:tentative="0">
      <w:start w:val="2"/>
      <w:numFmt w:val="chineseCounting"/>
      <w:suff w:val="nothing"/>
      <w:lvlText w:val="（%1）"/>
      <w:lvlJc w:val="left"/>
      <w:rPr>
        <w:rFonts w:hint="eastAsia"/>
      </w:rPr>
    </w:lvl>
  </w:abstractNum>
  <w:abstractNum w:abstractNumId="5">
    <w:nsid w:val="55392461"/>
    <w:multiLevelType w:val="singleLevel"/>
    <w:tmpl w:val="55392461"/>
    <w:lvl w:ilvl="0" w:tentative="0">
      <w:start w:val="3"/>
      <w:numFmt w:val="chineseCounting"/>
      <w:suff w:val="nothing"/>
      <w:lvlText w:val="（%1）"/>
      <w:lvlJc w:val="left"/>
      <w:rPr>
        <w:rFonts w:hint="eastAsia"/>
      </w:rPr>
    </w:lvl>
  </w:abstractNum>
  <w:abstractNum w:abstractNumId="6">
    <w:nsid w:val="6FB12E1B"/>
    <w:multiLevelType w:val="multilevel"/>
    <w:tmpl w:val="6FB12E1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7211EE"/>
    <w:rsid w:val="002C376B"/>
    <w:rsid w:val="007211EE"/>
    <w:rsid w:val="007974D5"/>
    <w:rsid w:val="27FF406E"/>
    <w:rsid w:val="29B540D0"/>
    <w:rsid w:val="34763909"/>
    <w:rsid w:val="388E7474"/>
    <w:rsid w:val="6FF56BEC"/>
    <w:rsid w:val="70187047"/>
    <w:rsid w:val="7DCD7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四号正文"/>
    <w:basedOn w:val="1"/>
    <w:qFormat/>
    <w:uiPriority w:val="0"/>
    <w:pPr>
      <w:spacing w:line="360" w:lineRule="auto"/>
    </w:pPr>
    <w:rPr>
      <w:rFonts w:ascii="??" w:hAnsi="??" w:cs="宋体"/>
      <w:color w:val="000000"/>
      <w:kern w:val="0"/>
      <w:sz w:val="28"/>
      <w:szCs w:val="21"/>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6">
    <w:name w:val="批注文字 Char"/>
    <w:basedOn w:val="7"/>
    <w:semiHidden/>
    <w:uiPriority w:val="99"/>
    <w:rPr>
      <w:kern w:val="2"/>
      <w:sz w:val="21"/>
      <w:szCs w:val="24"/>
    </w:rPr>
  </w:style>
  <w:style w:type="paragraph" w:customStyle="1" w:styleId="37">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8">
    <w:name w:val="页眉 Char1"/>
    <w:basedOn w:val="7"/>
    <w:semiHidden/>
    <w:uiPriority w:val="99"/>
    <w:rPr>
      <w:kern w:val="2"/>
      <w:sz w:val="18"/>
      <w:szCs w:val="18"/>
    </w:rPr>
  </w:style>
  <w:style w:type="paragraph" w:customStyle="1" w:styleId="39">
    <w:name w:val="Footer0"/>
    <w:basedOn w:val="1"/>
    <w:qFormat/>
    <w:uiPriority w:val="99"/>
    <w:pPr>
      <w:tabs>
        <w:tab w:val="center" w:pos="4153"/>
        <w:tab w:val="right" w:pos="8306"/>
      </w:tabs>
      <w:snapToGrid w:val="0"/>
      <w:jc w:val="left"/>
    </w:pPr>
    <w:rPr>
      <w:sz w:val="18"/>
      <w:szCs w:val="18"/>
    </w:rPr>
  </w:style>
  <w:style w:type="character" w:customStyle="1" w:styleId="40">
    <w:name w:val="页脚 Char1"/>
    <w:basedOn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12.xml"/><Relationship Id="rId31" Type="http://schemas.openxmlformats.org/officeDocument/2006/relationships/customXml" Target="../customXml/item11.xml"/><Relationship Id="rId30" Type="http://schemas.openxmlformats.org/officeDocument/2006/relationships/customXml" Target="../customXml/item10.xml"/><Relationship Id="rId3" Type="http://schemas.openxmlformats.org/officeDocument/2006/relationships/header" Target="header1.xml"/><Relationship Id="rId29" Type="http://schemas.openxmlformats.org/officeDocument/2006/relationships/customXml" Target="../customXml/item9.xml"/><Relationship Id="rId28" Type="http://schemas.openxmlformats.org/officeDocument/2006/relationships/customXml" Target="../customXml/item8.xml"/><Relationship Id="rId27" Type="http://schemas.openxmlformats.org/officeDocument/2006/relationships/customXml" Target="../customXml/item7.xml"/><Relationship Id="rId26" Type="http://schemas.openxmlformats.org/officeDocument/2006/relationships/customXml" Target="../customXml/item6.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收、支决算总计变动情况图</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收、支总计</c:v>
                </c:pt>
              </c:strCache>
            </c:strRef>
          </c:cat>
          <c:val>
            <c:numRef>
              <c:f>Sheet1!$B$2</c:f>
              <c:numCache>
                <c:formatCode>General</c:formatCode>
                <c:ptCount val="1"/>
                <c:pt idx="0">
                  <c:v>171.24</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收、支总计</c:v>
                </c:pt>
              </c:strCache>
            </c:strRef>
          </c:cat>
          <c:val>
            <c:numRef>
              <c:f>Sheet1!$C$2</c:f>
              <c:numCache>
                <c:formatCode>General</c:formatCode>
                <c:ptCount val="1"/>
                <c:pt idx="0">
                  <c:v>144</c:v>
                </c:pt>
              </c:numCache>
            </c:numRef>
          </c:val>
        </c:ser>
        <c:dLbls>
          <c:showLegendKey val="0"/>
          <c:showVal val="0"/>
          <c:showCatName val="0"/>
          <c:showSerName val="0"/>
          <c:showPercent val="0"/>
          <c:showBubbleSize val="0"/>
        </c:dLbls>
        <c:gapWidth val="219"/>
        <c:overlap val="-27"/>
        <c:axId val="76054912"/>
        <c:axId val="76057600"/>
      </c:barChart>
      <c:catAx>
        <c:axId val="760549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57600"/>
        <c:crosses val="autoZero"/>
        <c:auto val="1"/>
        <c:lblAlgn val="ctr"/>
        <c:lblOffset val="100"/>
        <c:noMultiLvlLbl val="0"/>
      </c:catAx>
      <c:valAx>
        <c:axId val="76057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54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年初结转和结余</c:v>
                </c:pt>
              </c:strCache>
            </c:strRef>
          </c:cat>
          <c:val>
            <c:numRef>
              <c:f>Sheet1!$B$2:$B$3</c:f>
              <c:numCache>
                <c:formatCode>0.00%</c:formatCode>
                <c:ptCount val="2"/>
                <c:pt idx="0">
                  <c:v>0.9374</c:v>
                </c:pt>
                <c:pt idx="1">
                  <c:v>0.0626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0.9667</c:v>
                </c:pt>
                <c:pt idx="1">
                  <c:v>0.0333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财政拨款收支总计</c:v>
                </c:pt>
              </c:strCache>
            </c:strRef>
          </c:cat>
          <c:val>
            <c:numRef>
              <c:f>Sheet1!$B$2</c:f>
              <c:numCache>
                <c:formatCode>General</c:formatCode>
                <c:ptCount val="1"/>
                <c:pt idx="0">
                  <c:v>171.24</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财政拨款收支总计</c:v>
                </c:pt>
              </c:strCache>
            </c:strRef>
          </c:cat>
          <c:val>
            <c:numRef>
              <c:f>Sheet1!$C$2</c:f>
              <c:numCache>
                <c:formatCode>General</c:formatCode>
                <c:ptCount val="1"/>
                <c:pt idx="0">
                  <c:v>144</c:v>
                </c:pt>
              </c:numCache>
            </c:numRef>
          </c:val>
        </c:ser>
        <c:dLbls>
          <c:showLegendKey val="0"/>
          <c:showVal val="0"/>
          <c:showCatName val="0"/>
          <c:showSerName val="0"/>
          <c:showPercent val="0"/>
          <c:showBubbleSize val="0"/>
        </c:dLbls>
        <c:gapWidth val="219"/>
        <c:overlap val="-27"/>
        <c:axId val="78611200"/>
        <c:axId val="78633984"/>
      </c:barChart>
      <c:catAx>
        <c:axId val="786112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633984"/>
        <c:crosses val="autoZero"/>
        <c:auto val="1"/>
        <c:lblAlgn val="ctr"/>
        <c:lblOffset val="100"/>
        <c:noMultiLvlLbl val="0"/>
      </c:catAx>
      <c:valAx>
        <c:axId val="786339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6112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一般公共预算财政拨款支出</c:v>
                </c:pt>
              </c:strCache>
            </c:strRef>
          </c:cat>
          <c:val>
            <c:numRef>
              <c:f>Sheet1!$B$2</c:f>
              <c:numCache>
                <c:formatCode>General</c:formatCode>
                <c:ptCount val="1"/>
                <c:pt idx="0">
                  <c:v>171.24</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一般公共预算财政拨款支出</c:v>
                </c:pt>
              </c:strCache>
            </c:strRef>
          </c:cat>
          <c:val>
            <c:numRef>
              <c:f>Sheet1!$C$2</c:f>
              <c:numCache>
                <c:formatCode>General</c:formatCode>
                <c:ptCount val="1"/>
                <c:pt idx="0">
                  <c:v>144</c:v>
                </c:pt>
              </c:numCache>
            </c:numRef>
          </c:val>
        </c:ser>
        <c:dLbls>
          <c:showLegendKey val="0"/>
          <c:showVal val="0"/>
          <c:showCatName val="0"/>
          <c:showSerName val="0"/>
          <c:showPercent val="0"/>
          <c:showBubbleSize val="0"/>
        </c:dLbls>
        <c:gapWidth val="219"/>
        <c:overlap val="-27"/>
        <c:axId val="80099200"/>
        <c:axId val="80100736"/>
      </c:barChart>
      <c:catAx>
        <c:axId val="800992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00736"/>
        <c:crosses val="autoZero"/>
        <c:auto val="1"/>
        <c:lblAlgn val="ctr"/>
        <c:lblOffset val="100"/>
        <c:noMultiLvlLbl val="0"/>
      </c:catAx>
      <c:valAx>
        <c:axId val="801007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992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社会保障和就业（类）</c:v>
                </c:pt>
                <c:pt idx="1">
                  <c:v>卫生健康（类）</c:v>
                </c:pt>
                <c:pt idx="2">
                  <c:v>农林水（类）</c:v>
                </c:pt>
                <c:pt idx="3">
                  <c:v>资源勘探工业信息（类）</c:v>
                </c:pt>
              </c:strCache>
            </c:strRef>
          </c:cat>
          <c:val>
            <c:numRef>
              <c:f>Sheet1!$B$2:$B$5</c:f>
              <c:numCache>
                <c:formatCode>0.00%</c:formatCode>
                <c:ptCount val="4"/>
                <c:pt idx="0">
                  <c:v>0.0874</c:v>
                </c:pt>
                <c:pt idx="1">
                  <c:v>0.0459</c:v>
                </c:pt>
                <c:pt idx="2">
                  <c:v>0.0264</c:v>
                </c:pt>
                <c:pt idx="3">
                  <c:v>0.7827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13</TotalTime>
  <Pages>25</Pages>
  <Words>1637</Words>
  <Characters>9331</Characters>
  <Application>Microsoft Office Word</Application>
  <DocSecurity>0</DocSecurity>
  <Lines>77</Lines>
  <Paragraphs>21</Paragraphs>
  <ScaleCrop>false</ScaleCrop>
  <Company>四川省财政厅</Company>
  <LinksUpToDate>false</LinksUpToDate>
  <CharactersWithSpaces>10947</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4</TotalTime>
  <Pages>24</Pages>
  <Words>1299</Words>
  <Characters>7410</Characters>
  <Application>WPS Office_11.1.0.9208_F1E327BC-269C-435d-A152-05C5408002CA</Application>
  <DocSecurity>0</DocSecurity>
  <Lines>61</Lines>
  <Paragraphs>17</Paragraphs>
  <Company>四川省财政厅</Company>
  <CharactersWithSpaces>8692</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2022-08-08T09:11:00Z</cp:lastPrinted>
  <dcterms:modified xsi:type="dcterms:W3CDTF">2022-09-28T03:40:22Z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TotalTime>
  <ScaleCrop>false</ScaleCrop>
  <LinksUpToDate>false</LinksUpToDate>
  <CharactersWithSpaces>8692</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2022-08-08T09:11:00Z</cp:lastPrinted>
  <dcterms:created xsi:type="dcterms:W3CDTF">2020-08-05T01:49:00Z</dcterms:created>
  <dcterms:modified xsi:type="dcterms:W3CDTF">2022-09-28T03:40:22Z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41</cp:revision>
  <cp:lastPrinted>2022-08-08T09:11:00Z</cp:lastPrinted>
  <dcterms:created xsi:type="dcterms:W3CDTF">2020-08-05T01:49:00Z</dcterms:created>
  <dcterms:modified xsi:type="dcterms:W3CDTF">2023-02-28T03:54:00Z</dcterms:modified>
</cp:coreProperties>
</file>

<file path=customXml/item4.xml><?xml version="1.0" encoding="utf-8"?>
<Properties xmlns:vt="http://schemas.openxmlformats.org/officeDocument/2006/docPropsVTypes" xmlns="http://schemas.openxmlformats.org/officeDocument/2006/extended-properties">
  <Template>Normal</Template>
  <TotalTime>13</TotalTime>
  <Pages>25</Pages>
  <Words>1637</Words>
  <Characters>9331</Characters>
  <Application>Microsoft Office Word</Application>
  <DocSecurity>0</DocSecurity>
  <Lines>77</Lines>
  <Paragraphs>21</Paragraphs>
  <Company>四川省财政厅</Company>
  <CharactersWithSpaces>10947</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E925D79A6BEB43B5BDD6D2BE523AD08F</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E925D79A6BEB43B5BDD6D2BE523AD08F</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E925D79A6BEB43B5BDD6D2BE523AD08F</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E925D79A6BEB43B5BDD6D2BE523AD08F</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41</cp:revision>
  <cp:lastPrinted>2022-08-08T09:11:00Z</cp:lastPrinted>
  <dcterms:created xsi:type="dcterms:W3CDTF">2020-08-05T01:49:00Z</dcterms:created>
  <dcterms:modified xsi:type="dcterms:W3CDTF">2023-02-28T03:54:00Z</dcterms:modified>
</cp:coreProperties>
</file>

<file path=customXml/itemProps1.xml><?xml version="1.0" encoding="utf-8"?>
<ds:datastoreItem xmlns:ds="http://schemas.openxmlformats.org/officeDocument/2006/customXml" ds:itemID="{0AD51509-7A34-402A-A429-A2FD6C20BFC6}">
  <ds:schemaRefs/>
</ds:datastoreItem>
</file>

<file path=customXml/itemProps10.xml><?xml version="1.0" encoding="utf-8"?>
<ds:datastoreItem xmlns:ds="http://schemas.openxmlformats.org/officeDocument/2006/customXml" ds:itemID="{CBCB1163-25BC-42C3-8F94-93E39D093E14}">
  <ds:schemaRefs/>
</ds:datastoreItem>
</file>

<file path=customXml/itemProps11.xml><?xml version="1.0" encoding="utf-8"?>
<ds:datastoreItem xmlns:ds="http://schemas.openxmlformats.org/officeDocument/2006/customXml" ds:itemID="{476EC703-73A5-43DA-B3C7-A9A0774C11D7}">
  <ds:schemaRefs/>
</ds:datastoreItem>
</file>

<file path=customXml/itemProps12.xml><?xml version="1.0" encoding="utf-8"?>
<ds:datastoreItem xmlns:ds="http://schemas.openxmlformats.org/officeDocument/2006/customXml" ds:itemID="{4943CFF9-CBEA-4382-81B6-A4FA4DF8182E}">
  <ds:schemaRefs/>
</ds:datastoreItem>
</file>

<file path=customXml/itemProps2.xml><?xml version="1.0" encoding="utf-8"?>
<ds:datastoreItem xmlns:ds="http://schemas.openxmlformats.org/officeDocument/2006/customXml" ds:itemID="{965B44E2-23E3-4ADE-9B09-4C3A99F0A61B}">
  <ds:schemaRefs/>
</ds:datastoreItem>
</file>

<file path=customXml/itemProps3.xml><?xml version="1.0" encoding="utf-8"?>
<ds:datastoreItem xmlns:ds="http://schemas.openxmlformats.org/officeDocument/2006/customXml" ds:itemID="{53C24A33-95BD-4DAF-8677-19DCB3C7AE12}">
  <ds:schemaRefs/>
</ds:datastoreItem>
</file>

<file path=customXml/itemProps4.xml><?xml version="1.0" encoding="utf-8"?>
<ds:datastoreItem xmlns:ds="http://schemas.openxmlformats.org/officeDocument/2006/customXml" ds:itemID="{D7CB6506-B0D6-4B90-8709-427B66FC2E3B}">
  <ds:schemaRefs/>
</ds:datastoreItem>
</file>

<file path=customXml/itemProps5.xml><?xml version="1.0" encoding="utf-8"?>
<ds:datastoreItem xmlns:ds="http://schemas.openxmlformats.org/officeDocument/2006/customXml" ds:itemID="{32B0480A-B174-446F-96DF-AF7AAE206F23}">
  <ds:schemaRefs/>
</ds:datastoreItem>
</file>

<file path=customXml/itemProps6.xml><?xml version="1.0" encoding="utf-8"?>
<ds:datastoreItem xmlns:ds="http://schemas.openxmlformats.org/officeDocument/2006/customXml" ds:itemID="{07F38C1B-5D24-4260-AD85-F82BC043D146}">
  <ds:schemaRefs/>
</ds:datastoreItem>
</file>

<file path=customXml/itemProps7.xml><?xml version="1.0" encoding="utf-8"?>
<ds:datastoreItem xmlns:ds="http://schemas.openxmlformats.org/officeDocument/2006/customXml" ds:itemID="{7E42A75C-59F5-44FB-B482-23F92E506685}">
  <ds:schemaRefs/>
</ds:datastoreItem>
</file>

<file path=customXml/itemProps8.xml><?xml version="1.0" encoding="utf-8"?>
<ds:datastoreItem xmlns:ds="http://schemas.openxmlformats.org/officeDocument/2006/customXml" ds:itemID="{3335CAF9-5B5D-4657-92C2-EAA8C1666DC1}">
  <ds:schemaRefs/>
</ds:datastoreItem>
</file>

<file path=customXml/itemProps9.xml><?xml version="1.0" encoding="utf-8"?>
<ds:datastoreItem xmlns:ds="http://schemas.openxmlformats.org/officeDocument/2006/customXml" ds:itemID="{AFD4D43A-C8E7-485D-8D52-33AFC61DEFC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8359</Words>
  <Characters>8933</Characters>
  <Lines>77</Lines>
  <Paragraphs>21</Paragraphs>
  <TotalTime>16</TotalTime>
  <ScaleCrop>false</ScaleCrop>
  <LinksUpToDate>false</LinksUpToDate>
  <CharactersWithSpaces>9035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2022-08-08T09:11:00Z</cp:lastPrinted>
  <dcterms:modified xsi:type="dcterms:W3CDTF">2023-03-13T11:50:04Z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E925D79A6BEB43B5BDD6D2BE523AD08F</vt:lpwstr>
  </property>
</Properties>
</file>