
<file path=[Content_Types].xml><?xml version="1.0" encoding="utf-8"?>
<Types xmlns="http://schemas.openxmlformats.org/package/2006/content-types">
  <Default Extension="xml" ContentType="application/xml"/>
  <Default Extension="xls" ContentType="application/vnd.ms-exce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u w:val="none" w:color="auto"/>
          <w:shd w:val="clear" w:fill="auto"/>
        </w:rPr>
      </w:pPr>
      <w:bookmarkStart w:id="0" w:name="_Toc15378441"/>
      <w:bookmarkStart w:id="1" w:name="_Toc15396597"/>
      <w:bookmarkStart w:id="2" w:name="_Toc15377425"/>
      <w:bookmarkStart w:id="3" w:name="_Toc15396475"/>
      <w:bookmarkStart w:id="4" w:name="_Toc15377193"/>
      <w:bookmarkStart w:id="5" w:name="_Toc15306267"/>
    </w:p>
    <w:p>
      <w:pPr>
        <w:spacing w:line="600" w:lineRule="exact"/>
        <w:jc w:val="center"/>
        <w:rPr>
          <w:rFonts w:ascii="方正小标宋简体" w:hAnsi="宋体" w:eastAsia="方正小标宋简体"/>
          <w:sz w:val="72"/>
          <w:szCs w:val="72"/>
          <w:u w:val="none" w:color="auto"/>
          <w:shd w:val="clear" w:fill="auto"/>
        </w:rPr>
      </w:pPr>
    </w:p>
    <w:p>
      <w:pPr>
        <w:spacing w:line="600" w:lineRule="exact"/>
        <w:jc w:val="center"/>
        <w:rPr>
          <w:rFonts w:ascii="方正小标宋简体" w:hAnsi="宋体" w:eastAsia="方正小标宋简体"/>
          <w:sz w:val="72"/>
          <w:szCs w:val="72"/>
          <w:u w:val="none" w:color="auto"/>
          <w:shd w:val="clear" w:fill="auto"/>
        </w:rPr>
      </w:pPr>
    </w:p>
    <w:p>
      <w:pPr>
        <w:spacing w:line="600" w:lineRule="exact"/>
        <w:jc w:val="center"/>
        <w:rPr>
          <w:rFonts w:ascii="方正小标宋简体" w:hAnsi="宋体" w:eastAsia="方正小标宋简体"/>
          <w:sz w:val="72"/>
          <w:szCs w:val="72"/>
          <w:u w:val="none" w:color="auto"/>
          <w:shd w:val="clear" w:fill="auto"/>
        </w:rPr>
      </w:pPr>
    </w:p>
    <w:p>
      <w:pPr>
        <w:adjustRightInd w:val="0"/>
        <w:snapToGrid w:val="0"/>
        <w:spacing w:line="360" w:lineRule="auto"/>
        <w:jc w:val="center"/>
        <w:outlineLvl w:val="0"/>
        <w:rPr>
          <w:rFonts w:ascii="方正小标宋简体" w:hAnsi="方正小标宋简体" w:eastAsia="方正小标宋简体" w:cs="方正小标宋简体"/>
          <w:sz w:val="72"/>
          <w:szCs w:val="72"/>
          <w:u w:val="none" w:color="auto"/>
          <w:shd w:val="clear" w:fill="auto"/>
        </w:rPr>
      </w:pPr>
      <w:bookmarkStart w:id="6" w:name="_Toc31233"/>
      <w:r>
        <w:rPr>
          <w:rFonts w:hint="eastAsia" w:ascii="方正小标宋简体" w:hAnsi="方正小标宋简体" w:eastAsia="方正小标宋简体" w:cs="方正小标宋简体"/>
          <w:sz w:val="72"/>
          <w:szCs w:val="72"/>
          <w:u w:val="none" w:color="auto"/>
          <w:shd w:val="clear" w:fill="auto"/>
        </w:rPr>
        <w:t>2021年度</w:t>
      </w:r>
      <w:bookmarkEnd w:id="0"/>
      <w:bookmarkEnd w:id="1"/>
      <w:bookmarkEnd w:id="2"/>
      <w:bookmarkEnd w:id="3"/>
      <w:bookmarkEnd w:id="4"/>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u w:val="none" w:color="auto"/>
          <w:shd w:val="clear" w:fill="auto"/>
        </w:rPr>
      </w:pPr>
      <w:bookmarkStart w:id="7" w:name="_Toc4570"/>
      <w:bookmarkStart w:id="8" w:name="_Toc15396598"/>
      <w:bookmarkStart w:id="9" w:name="_Toc15378442"/>
      <w:bookmarkStart w:id="10" w:name="_Toc15396476"/>
      <w:bookmarkStart w:id="11" w:name="_Toc15377194"/>
      <w:bookmarkStart w:id="12" w:name="_Toc15377426"/>
      <w:r>
        <w:rPr>
          <w:rFonts w:hint="eastAsia" w:ascii="方正小标宋简体" w:hAnsi="方正小标宋简体" w:eastAsia="方正小标宋简体" w:cs="方正小标宋简体"/>
          <w:sz w:val="72"/>
          <w:szCs w:val="72"/>
          <w:u w:val="none" w:color="auto"/>
          <w:shd w:val="clear" w:fill="auto"/>
        </w:rPr>
        <w:t>四川省</w:t>
      </w:r>
      <w:bookmarkEnd w:id="5"/>
      <w:bookmarkStart w:id="13" w:name="_Toc15306268"/>
      <w:r>
        <w:rPr>
          <w:rFonts w:hint="eastAsia" w:ascii="方正小标宋简体" w:hAnsi="方正小标宋简体" w:eastAsia="方正小标宋简体" w:cs="方正小标宋简体"/>
          <w:sz w:val="72"/>
          <w:szCs w:val="72"/>
          <w:u w:val="none" w:color="auto"/>
          <w:shd w:val="clear" w:fill="auto"/>
        </w:rPr>
        <w:t>通江县委巡察办</w:t>
      </w:r>
      <w:bookmarkEnd w:id="7"/>
    </w:p>
    <w:p>
      <w:pPr>
        <w:adjustRightInd w:val="0"/>
        <w:snapToGrid w:val="0"/>
        <w:spacing w:line="360" w:lineRule="auto"/>
        <w:jc w:val="center"/>
        <w:outlineLvl w:val="0"/>
        <w:rPr>
          <w:rFonts w:ascii="方正小标宋简体" w:hAnsi="方正小标宋简体" w:eastAsia="方正小标宋简体" w:cs="方正小标宋简体"/>
          <w:sz w:val="72"/>
          <w:szCs w:val="72"/>
          <w:u w:val="none" w:color="auto"/>
          <w:shd w:val="clear" w:fill="auto"/>
        </w:rPr>
      </w:pPr>
      <w:bookmarkStart w:id="14" w:name="_Toc8240"/>
      <w:r>
        <w:rPr>
          <w:rFonts w:hint="eastAsia" w:ascii="方正小标宋简体" w:hAnsi="方正小标宋简体" w:eastAsia="方正小标宋简体" w:cs="方正小标宋简体"/>
          <w:sz w:val="72"/>
          <w:szCs w:val="72"/>
          <w:u w:val="none" w:color="auto"/>
          <w:shd w:val="clear" w:fill="auto"/>
        </w:rPr>
        <w:t>部门决算</w:t>
      </w:r>
      <w:bookmarkEnd w:id="8"/>
      <w:bookmarkEnd w:id="9"/>
      <w:bookmarkEnd w:id="10"/>
      <w:bookmarkEnd w:id="11"/>
      <w:bookmarkEnd w:id="12"/>
      <w:bookmarkEnd w:id="13"/>
      <w:bookmarkEnd w:id="14"/>
    </w:p>
    <w:p>
      <w:pPr>
        <w:widowControl/>
        <w:jc w:val="center"/>
        <w:rPr>
          <w:rFonts w:ascii="黑体" w:hAnsi="黑体" w:eastAsia="黑体"/>
          <w:sz w:val="48"/>
          <w:szCs w:val="48"/>
          <w:u w:val="none" w:color="auto"/>
          <w:shd w:val="clear" w:fill="auto"/>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sz w:val="48"/>
          <w:szCs w:val="48"/>
          <w:u w:val="none" w:color="auto"/>
          <w:shd w:val="clear" w:fill="auto"/>
        </w:rPr>
      </w:pPr>
      <w:r>
        <w:rPr>
          <w:rFonts w:hint="eastAsia" w:ascii="黑体" w:hAnsi="黑体" w:eastAsia="黑体"/>
          <w:sz w:val="48"/>
          <w:szCs w:val="48"/>
          <w:u w:val="none" w:color="auto"/>
          <w:shd w:val="clear" w:fill="auto"/>
        </w:rPr>
        <w:t>目录</w:t>
      </w:r>
    </w:p>
    <w:p>
      <w:pPr>
        <w:widowControl/>
        <w:jc w:val="center"/>
        <w:rPr>
          <w:rFonts w:ascii="黑体" w:hAnsi="黑体" w:eastAsia="黑体" w:cstheme="minorBidi"/>
          <w:sz w:val="28"/>
          <w:szCs w:val="28"/>
          <w:u w:val="none" w:color="auto"/>
          <w:shd w:val="clear" w:fill="auto"/>
        </w:rPr>
      </w:pPr>
    </w:p>
    <w:p>
      <w:pPr>
        <w:pStyle w:val="19"/>
        <w:rPr>
          <w:u w:val="none" w:color="auto"/>
          <w:shd w:val="clear" w:fill="auto"/>
        </w:rPr>
      </w:pPr>
      <w:r>
        <w:rPr>
          <w:rFonts w:hint="eastAsia"/>
          <w:u w:val="none" w:color="auto"/>
          <w:shd w:val="clear" w:fill="auto"/>
        </w:rPr>
        <w:t>公开时间：2022年8月25日</w:t>
      </w:r>
    </w:p>
    <w:p>
      <w:pPr>
        <w:rPr>
          <w:u w:val="none" w:color="auto"/>
          <w:shd w:val="clear" w:fill="auto"/>
        </w:rPr>
      </w:pPr>
    </w:p>
    <w:sdt>
      <w:sdtPr>
        <w:rPr>
          <w:rFonts w:ascii="宋体" w:hAnsi="宋体"/>
          <w:u w:val="none" w:color="auto"/>
          <w:shd w:val="clear" w:fill="auto"/>
        </w:rPr>
        <w:id w:val="147482309"/>
        <w:docPartObj>
          <w:docPartGallery w:val="Table of Contents"/>
          <w:docPartUnique/>
        </w:docPartObj>
      </w:sdtPr>
      <w:sdtEndPr>
        <w:rPr>
          <w:rFonts w:ascii="宋体" w:hAnsi="宋体"/>
          <w:b/>
          <w:u w:val="none" w:color="auto"/>
          <w:shd w:val="clear" w:fill="auto"/>
        </w:rPr>
      </w:sdtEndPr>
      <w:sdtContent>
        <w:p>
          <w:pPr>
            <w:jc w:val="center"/>
            <w:rPr>
              <w:u w:val="none" w:color="auto"/>
              <w:shd w:val="clear" w:fill="auto"/>
            </w:rPr>
          </w:pPr>
          <w:bookmarkStart w:id="15" w:name="_Toc15377196"/>
        </w:p>
        <w:p>
          <w:pPr>
            <w:pStyle w:val="36"/>
            <w:tabs>
              <w:tab w:val="right" w:leader="dot" w:pos="8306"/>
            </w:tabs>
            <w:rPr>
              <w:b/>
              <w:u w:val="none" w:color="auto"/>
              <w:shd w:val="clear" w:fill="auto"/>
            </w:rPr>
          </w:pPr>
          <w:r>
            <w:rPr>
              <w:u w:val="none" w:color="auto"/>
              <w:shd w:val="clear" w:fill="auto"/>
            </w:rPr>
            <w:fldChar w:fldCharType="begin"/>
          </w:r>
          <w:r>
            <w:rPr>
              <w:u w:val="none" w:color="auto"/>
              <w:shd w:val="clear" w:fill="auto"/>
            </w:rPr>
            <w:instrText xml:space="preserve">TOC \o "1-2" \h \u</w:instrText>
          </w:r>
          <w:r>
            <w:rPr>
              <w:u w:val="none" w:color="auto"/>
              <w:shd w:val="clear" w:fill="auto"/>
            </w:rPr>
            <w:fldChar w:fldCharType="separate"/>
          </w:r>
          <w:r>
            <w:rPr>
              <w:u w:val="none" w:color="auto"/>
              <w:shd w:val="clear" w:fill="auto"/>
            </w:rPr>
            <w:fldChar w:fldCharType="begin"/>
          </w:r>
          <w:r>
            <w:rPr>
              <w:u w:val="none" w:color="auto"/>
              <w:shd w:val="clear" w:fill="auto"/>
            </w:rPr>
            <w:instrText xml:space="preserve"> HYPERLINK \l "_Toc17536" </w:instrText>
          </w:r>
          <w:r>
            <w:rPr>
              <w:u w:val="none" w:color="auto"/>
              <w:shd w:val="clear" w:fill="auto"/>
            </w:rPr>
            <w:fldChar w:fldCharType="separate"/>
          </w:r>
          <w:r>
            <w:rPr>
              <w:rFonts w:hint="eastAsia" w:ascii="黑体" w:hAnsi="黑体" w:eastAsia="黑体"/>
              <w:b/>
              <w:u w:val="none" w:color="auto"/>
              <w:shd w:val="clear" w:fill="auto"/>
            </w:rPr>
            <w:t>第一部分 部门概况</w:t>
          </w:r>
          <w:r>
            <w:rPr>
              <w:b/>
              <w:u w:val="none" w:color="auto"/>
              <w:shd w:val="clear" w:fill="auto"/>
            </w:rPr>
            <w:tab/>
          </w:r>
          <w:r>
            <w:rPr>
              <w:b/>
              <w:u w:val="none" w:color="auto"/>
              <w:shd w:val="clear" w:fill="auto"/>
            </w:rPr>
            <w:fldChar w:fldCharType="begin"/>
          </w:r>
          <w:r>
            <w:rPr>
              <w:b/>
              <w:u w:val="none" w:color="auto"/>
              <w:shd w:val="clear" w:fill="auto"/>
            </w:rPr>
            <w:instrText xml:space="preserve"> PAGEREF _Toc17536 </w:instrText>
          </w:r>
          <w:r>
            <w:rPr>
              <w:b/>
              <w:u w:val="none" w:color="auto"/>
              <w:shd w:val="clear" w:fill="auto"/>
            </w:rPr>
            <w:fldChar w:fldCharType="separate"/>
          </w:r>
          <w:r>
            <w:rPr>
              <w:b/>
              <w:u w:val="none" w:color="auto"/>
              <w:shd w:val="clear" w:fill="auto"/>
            </w:rPr>
            <w:t>1</w:t>
          </w:r>
          <w:r>
            <w:rPr>
              <w:b/>
              <w:u w:val="none" w:color="auto"/>
              <w:shd w:val="clear" w:fill="auto"/>
            </w:rPr>
            <w:fldChar w:fldCharType="end"/>
          </w:r>
          <w:r>
            <w:rPr>
              <w:b/>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"_Toc14026" </w:instrText>
          </w:r>
          <w:r>
            <w:rPr>
              <w:u w:val="none" w:color="auto"/>
              <w:shd w:val="clear" w:fill="auto"/>
            </w:rPr>
            <w:fldChar w:fldCharType="separate"/>
          </w:r>
          <w:r>
            <w:rPr>
              <w:rFonts w:hint="eastAsia" w:ascii="黑体" w:hAnsi="黑体" w:eastAsia="黑体"/>
              <w:u w:val="none" w:color="auto"/>
              <w:shd w:val="clear" w:fill="auto"/>
            </w:rPr>
            <w:t>一、基本职能及主要工作</w:t>
          </w:r>
          <w:r>
            <w:rPr>
              <w:u w:val="none" w:color="auto"/>
              <w:shd w:val="clear" w:fill="auto"/>
            </w:rPr>
            <w:tab/>
          </w:r>
          <w:r>
            <w:rPr>
              <w:u w:val="none" w:color="auto"/>
              <w:shd w:val="clear" w:fill="auto"/>
            </w:rPr>
            <w:fldChar w:fldCharType="begin"/>
          </w:r>
          <w:r>
            <w:rPr>
              <w:u w:val="none" w:color="auto"/>
              <w:shd w:val="clear" w:fill="auto"/>
            </w:rPr>
            <w:instrText xml:space="preserve"> PAGEREF _Toc14026 </w:instrText>
          </w:r>
          <w:r>
            <w:rPr>
              <w:u w:val="none" w:color="auto"/>
              <w:shd w:val="clear" w:fill="auto"/>
            </w:rPr>
            <w:fldChar w:fldCharType="separate"/>
          </w:r>
          <w:r>
            <w:rPr>
              <w:u w:val="none" w:color="auto"/>
              <w:shd w:val="clear" w:fill="auto"/>
            </w:rPr>
            <w:t>1</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"_Toc30080" </w:instrText>
          </w:r>
          <w:r>
            <w:rPr>
              <w:u w:val="none" w:color="auto"/>
              <w:shd w:val="clear" w:fill="auto"/>
            </w:rPr>
            <w:fldChar w:fldCharType="separate"/>
          </w:r>
          <w:r>
            <w:rPr>
              <w:rFonts w:hint="eastAsia" w:ascii="黑体" w:hAnsi="黑体" w:eastAsia="黑体"/>
              <w:szCs w:val="28"/>
              <w:u w:val="none" w:color="auto"/>
              <w:shd w:val="clear" w:fill="auto"/>
            </w:rPr>
            <w:t>二、机构设置</w:t>
          </w:r>
          <w:r>
            <w:rPr>
              <w:u w:val="none" w:color="auto"/>
              <w:shd w:val="clear" w:fill="auto"/>
            </w:rPr>
            <w:tab/>
          </w:r>
          <w:r>
            <w:rPr>
              <w:u w:val="none" w:color="auto"/>
              <w:shd w:val="clear" w:fill="auto"/>
            </w:rPr>
            <w:fldChar w:fldCharType="begin"/>
          </w:r>
          <w:r>
            <w:rPr>
              <w:u w:val="none" w:color="auto"/>
              <w:shd w:val="clear" w:fill="auto"/>
            </w:rPr>
            <w:instrText xml:space="preserve"> PAGEREF _Toc30080 </w:instrText>
          </w:r>
          <w:r>
            <w:rPr>
              <w:u w:val="none" w:color="auto"/>
              <w:shd w:val="clear" w:fill="auto"/>
            </w:rPr>
            <w:fldChar w:fldCharType="separate"/>
          </w:r>
          <w:r>
            <w:rPr>
              <w:u w:val="none" w:color="auto"/>
              <w:shd w:val="clear" w:fill="auto"/>
            </w:rPr>
            <w:t>2</w:t>
          </w:r>
          <w:r>
            <w:rPr>
              <w:u w:val="none" w:color="auto"/>
              <w:shd w:val="clear" w:fill="auto"/>
            </w:rPr>
            <w:fldChar w:fldCharType="end"/>
          </w:r>
          <w:r>
            <w:rPr>
              <w:u w:val="none" w:color="auto"/>
              <w:shd w:val="clear" w:fill="auto"/>
            </w:rPr>
            <w:fldChar w:fldCharType="end"/>
          </w:r>
        </w:p>
        <w:p>
          <w:pPr>
            <w:pStyle w:val="36"/>
            <w:tabs>
              <w:tab w:val="right" w:leader="dot" w:pos="8306"/>
            </w:tabs>
            <w:rPr>
              <w:b/>
              <w:u w:val="none" w:color="auto"/>
              <w:shd w:val="clear" w:fill="auto"/>
            </w:rPr>
          </w:pPr>
          <w:r>
            <w:rPr>
              <w:u w:val="none" w:color="auto"/>
              <w:shd w:val="clear" w:fill="auto"/>
            </w:rPr>
            <w:fldChar w:fldCharType="begin"/>
          </w:r>
          <w:r>
            <w:rPr>
              <w:u w:val="none" w:color="auto"/>
              <w:shd w:val="clear" w:fill="auto"/>
            </w:rPr>
            <w:instrText xml:space="preserve"> HYPERLINK \l "_Toc22509" </w:instrText>
          </w:r>
          <w:r>
            <w:rPr>
              <w:u w:val="none" w:color="auto"/>
              <w:shd w:val="clear" w:fill="auto"/>
            </w:rPr>
            <w:fldChar w:fldCharType="separate"/>
          </w:r>
          <w:r>
            <w:rPr>
              <w:rFonts w:hint="eastAsia" w:ascii="黑体" w:hAnsi="黑体" w:eastAsia="黑体"/>
              <w:b/>
              <w:bCs/>
              <w:u w:val="none" w:color="auto"/>
              <w:shd w:val="clear" w:fill="auto"/>
            </w:rPr>
            <w:t>第二部分 2021年度部门决算情况说明</w:t>
          </w:r>
          <w:r>
            <w:rPr>
              <w:b/>
              <w:u w:val="none" w:color="auto"/>
              <w:shd w:val="clear" w:fill="auto"/>
            </w:rPr>
            <w:tab/>
          </w:r>
          <w:r>
            <w:rPr>
              <w:b/>
              <w:u w:val="none" w:color="auto"/>
              <w:shd w:val="clear" w:fill="auto"/>
            </w:rPr>
            <w:fldChar w:fldCharType="begin"/>
          </w:r>
          <w:r>
            <w:rPr>
              <w:b/>
              <w:u w:val="none" w:color="auto"/>
              <w:shd w:val="clear" w:fill="auto"/>
            </w:rPr>
            <w:instrText xml:space="preserve"> PAGEREF _Toc22509 </w:instrText>
          </w:r>
          <w:r>
            <w:rPr>
              <w:b/>
              <w:u w:val="none" w:color="auto"/>
              <w:shd w:val="clear" w:fill="auto"/>
            </w:rPr>
            <w:fldChar w:fldCharType="separate"/>
          </w:r>
          <w:r>
            <w:rPr>
              <w:b/>
              <w:u w:val="none" w:color="auto"/>
              <w:shd w:val="clear" w:fill="auto"/>
            </w:rPr>
            <w:t>3</w:t>
          </w:r>
          <w:r>
            <w:rPr>
              <w:b/>
              <w:u w:val="none" w:color="auto"/>
              <w:shd w:val="clear" w:fill="auto"/>
            </w:rPr>
            <w:fldChar w:fldCharType="end"/>
          </w:r>
          <w:r>
            <w:rPr>
              <w:b/>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"_Toc7333" </w:instrText>
          </w:r>
          <w:r>
            <w:rPr>
              <w:u w:val="none" w:color="auto"/>
              <w:shd w:val="clear" w:fill="auto"/>
            </w:rPr>
            <w:fldChar w:fldCharType="separate"/>
          </w:r>
          <w:r>
            <w:rPr>
              <w:rFonts w:ascii="黑体" w:hAnsi="黑体" w:eastAsia="黑体"/>
              <w:u w:val="none" w:color="auto"/>
              <w:shd w:val="clear" w:fill="auto"/>
            </w:rPr>
            <w:t>一、</w:t>
          </w:r>
          <w:r>
            <w:rPr>
              <w:rFonts w:hint="eastAsia" w:ascii="黑体" w:hAnsi="黑体" w:eastAsia="黑体"/>
              <w:szCs w:val="32"/>
              <w:u w:val="none" w:color="auto"/>
              <w:shd w:val="clear" w:fill="auto"/>
            </w:rPr>
            <w:t>收</w:t>
          </w:r>
          <w:r>
            <w:rPr>
              <w:rFonts w:hint="eastAsia" w:ascii="黑体" w:hAnsi="黑体" w:eastAsia="黑体"/>
              <w:u w:val="none" w:color="auto"/>
              <w:shd w:val="clear" w:fill="auto"/>
            </w:rPr>
            <w:t>入支出决算总体情况说明</w:t>
          </w:r>
          <w:r>
            <w:rPr>
              <w:u w:val="none" w:color="auto"/>
              <w:shd w:val="clear" w:fill="auto"/>
            </w:rPr>
            <w:tab/>
          </w:r>
          <w:r>
            <w:rPr>
              <w:u w:val="none" w:color="auto"/>
              <w:shd w:val="clear" w:fill="auto"/>
            </w:rPr>
            <w:fldChar w:fldCharType="begin"/>
          </w:r>
          <w:r>
            <w:rPr>
              <w:u w:val="none" w:color="auto"/>
              <w:shd w:val="clear" w:fill="auto"/>
            </w:rPr>
            <w:instrText xml:space="preserve"> PAGEREF _Toc7333 </w:instrText>
          </w:r>
          <w:r>
            <w:rPr>
              <w:u w:val="none" w:color="auto"/>
              <w:shd w:val="clear" w:fill="auto"/>
            </w:rPr>
            <w:fldChar w:fldCharType="separate"/>
          </w:r>
          <w:r>
            <w:rPr>
              <w:u w:val="none" w:color="auto"/>
              <w:shd w:val="clear" w:fill="auto"/>
            </w:rPr>
            <w:t>3</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"_Toc4262" </w:instrText>
          </w:r>
          <w:r>
            <w:rPr>
              <w:u w:val="none" w:color="auto"/>
              <w:shd w:val="clear" w:fill="auto"/>
            </w:rPr>
            <w:fldChar w:fldCharType="separate"/>
          </w:r>
          <w:r>
            <w:rPr>
              <w:rFonts w:ascii="黑体" w:hAnsi="黑体" w:eastAsia="黑体"/>
              <w:u w:val="none" w:color="auto"/>
              <w:shd w:val="clear" w:fill="auto"/>
            </w:rPr>
            <w:t>二、</w:t>
          </w:r>
          <w:r>
            <w:rPr>
              <w:rFonts w:hint="eastAsia" w:ascii="黑体" w:hAnsi="黑体" w:eastAsia="黑体"/>
              <w:szCs w:val="32"/>
              <w:u w:val="none" w:color="auto"/>
              <w:shd w:val="clear" w:fill="auto"/>
            </w:rPr>
            <w:t>收</w:t>
          </w:r>
          <w:r>
            <w:rPr>
              <w:rFonts w:hint="eastAsia" w:ascii="黑体" w:hAnsi="黑体" w:eastAsia="黑体"/>
              <w:u w:val="none" w:color="auto"/>
              <w:shd w:val="clear" w:fill="auto"/>
            </w:rPr>
            <w:t>入决算情况说明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_Toc4262 </w:instrText>
          </w:r>
          <w:r>
            <w:rPr>
              <w:u w:val="none" w:color="auto"/>
              <w:shd w:val="clear" w:fill="auto"/>
            </w:rPr>
            <w:fldChar w:fldCharType="separate"/>
          </w:r>
          <w:r>
            <w:rPr>
              <w:u w:val="none" w:color="auto"/>
              <w:shd w:val="clear" w:fill="auto"/>
            </w:rPr>
            <w:t>3</w:t>
          </w:r>
          <w:r>
            <w:rPr>
              <w:u w:val="none" w:color="auto"/>
              <w:shd w:val="clear" w:fill="auto"/>
            </w:rPr>
            <w:fldChar w:fldCharType="end"/>
          </w:r>
          <w:r>
            <w:rPr>
              <w:u w:val="none" w:color="auto"/>
              <w:shd w:val="clear" w:fill="auto"/>
            </w:rPr>
            <w:fldChar w:fldCharType="end"/>
          </w:r>
        </w:p>
        <w:p>
          <w:pPr>
            <w:pStyle w:val="36"/>
            <w:tabs>
              <w:tab w:val="right" w:leader="dot" w:pos="8306"/>
            </w:tabs>
            <w:rPr>
              <w:b/>
              <w:u w:val="none" w:color="auto"/>
              <w:shd w:val="clear" w:fill="auto"/>
            </w:rPr>
          </w:pPr>
          <w:r>
            <w:rPr>
              <w:u w:val="none" w:color="auto"/>
              <w:shd w:val="clear" w:fill="auto"/>
            </w:rPr>
            <w:fldChar w:fldCharType="begin"/>
          </w:r>
          <w:r>
            <w:rPr>
              <w:u w:val="none" w:color="auto"/>
              <w:shd w:val="clear" w:fill="auto"/>
            </w:rPr>
            <w:instrText xml:space="preserve"> HYPERLINK \l "_Toc17689" </w:instrText>
          </w:r>
          <w:r>
            <w:rPr>
              <w:u w:val="none" w:color="auto"/>
              <w:shd w:val="clear" w:fill="auto"/>
            </w:rPr>
            <w:fldChar w:fldCharType="separate"/>
          </w:r>
          <w:r>
            <w:rPr>
              <w:rFonts w:hint="eastAsia" w:ascii="仿宋" w:hAnsi="仿宋" w:eastAsia="仿宋"/>
              <w:b/>
              <w:szCs w:val="32"/>
              <w:u w:val="none" w:color="auto"/>
              <w:shd w:val="clear" w:fill="auto"/>
            </w:rPr>
            <w:t>图2：</w:t>
          </w:r>
          <w:r>
            <w:rPr>
              <w:rFonts w:hint="eastAsia" w:ascii="宋体" w:hAnsi="宋体" w:cs="宋体"/>
              <w:b/>
              <w:szCs w:val="28"/>
              <w:u w:val="none" w:color="auto"/>
              <w:shd w:val="clear" w:fill="auto"/>
            </w:rPr>
            <w:t>.收入</w:t>
          </w:r>
          <w:r>
            <w:rPr>
              <w:rFonts w:hint="eastAsia" w:ascii="仿宋" w:hAnsi="仿宋" w:eastAsia="仿宋"/>
              <w:b/>
              <w:szCs w:val="32"/>
              <w:u w:val="none" w:color="auto"/>
              <w:shd w:val="clear" w:fill="auto"/>
            </w:rPr>
            <w:t>决</w:t>
          </w:r>
          <w:r>
            <w:rPr>
              <w:rFonts w:hint="eastAsia" w:ascii="宋体" w:hAnsi="宋体" w:cs="宋体"/>
              <w:b/>
              <w:szCs w:val="28"/>
              <w:u w:val="none" w:color="auto"/>
              <w:shd w:val="clear" w:fill="auto"/>
            </w:rPr>
            <w:t>算结构图</w:t>
          </w:r>
          <w:r>
            <w:rPr>
              <w:b/>
              <w:u w:val="none" w:color="auto"/>
              <w:shd w:val="clear" w:fill="auto"/>
            </w:rPr>
            <w:tab/>
          </w:r>
          <w:r>
            <w:rPr>
              <w:b/>
              <w:u w:val="none" w:color="auto"/>
              <w:shd w:val="clear" w:fill="auto"/>
            </w:rPr>
            <w:fldChar w:fldCharType="begin"/>
          </w:r>
          <w:r>
            <w:rPr>
              <w:b/>
              <w:u w:val="none" w:color="auto"/>
              <w:shd w:val="clear" w:fill="auto"/>
            </w:rPr>
            <w:instrText xml:space="preserve"> PAGEREF _Toc17689 </w:instrText>
          </w:r>
          <w:r>
            <w:rPr>
              <w:b/>
              <w:u w:val="none" w:color="auto"/>
              <w:shd w:val="clear" w:fill="auto"/>
            </w:rPr>
            <w:fldChar w:fldCharType="separate"/>
          </w:r>
          <w:r>
            <w:rPr>
              <w:b/>
              <w:u w:val="none" w:color="auto"/>
              <w:shd w:val="clear" w:fill="auto"/>
            </w:rPr>
            <w:t>3</w:t>
          </w:r>
          <w:r>
            <w:rPr>
              <w:b/>
              <w:u w:val="none" w:color="auto"/>
              <w:shd w:val="clear" w:fill="auto"/>
            </w:rPr>
            <w:fldChar w:fldCharType="end"/>
          </w:r>
          <w:r>
            <w:rPr>
              <w:b/>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"_Toc12688" </w:instrText>
          </w:r>
          <w:r>
            <w:rPr>
              <w:u w:val="none" w:color="auto"/>
              <w:shd w:val="clear" w:fill="auto"/>
            </w:rPr>
            <w:fldChar w:fldCharType="separate"/>
          </w:r>
          <w:r>
            <w:rPr>
              <w:rFonts w:ascii="黑体" w:hAnsi="黑体" w:eastAsia="黑体"/>
              <w:u w:val="none" w:color="auto"/>
              <w:shd w:val="clear" w:fill="auto"/>
            </w:rPr>
            <w:t>三、</w:t>
          </w:r>
          <w:r>
            <w:rPr>
              <w:rFonts w:hint="eastAsia" w:ascii="黑体" w:hAnsi="黑体" w:eastAsia="黑体"/>
              <w:szCs w:val="32"/>
              <w:u w:val="none" w:color="auto"/>
              <w:shd w:val="clear" w:fill="auto"/>
            </w:rPr>
            <w:t>支出</w:t>
          </w:r>
          <w:r>
            <w:rPr>
              <w:rFonts w:hint="eastAsia" w:ascii="黑体" w:hAnsi="黑体" w:eastAsia="黑体"/>
              <w:u w:val="none" w:color="auto"/>
              <w:shd w:val="clear" w:fill="auto"/>
            </w:rPr>
            <w:t>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_Toc12688 </w:instrText>
          </w:r>
          <w:r>
            <w:rPr>
              <w:u w:val="none" w:color="auto"/>
              <w:shd w:val="clear" w:fill="auto"/>
            </w:rPr>
            <w:fldChar w:fldCharType="separate"/>
          </w:r>
          <w:r>
            <w:rPr>
              <w:u w:val="none" w:color="auto"/>
              <w:shd w:val="clear" w:fill="auto"/>
            </w:rPr>
            <w:t>4</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"_Toc23847" </w:instrText>
          </w:r>
          <w:r>
            <w:rPr>
              <w:u w:val="none" w:color="auto"/>
              <w:shd w:val="clear" w:fill="auto"/>
            </w:rPr>
            <w:fldChar w:fldCharType="separate"/>
          </w:r>
          <w:r>
            <w:rPr>
              <w:rFonts w:hint="eastAsia" w:ascii="黑体" w:hAnsi="黑体" w:eastAsia="黑体"/>
              <w:szCs w:val="32"/>
              <w:u w:val="none" w:color="auto"/>
              <w:shd w:val="clear" w:fill="auto"/>
            </w:rPr>
            <w:t>四、财</w:t>
          </w:r>
          <w:r>
            <w:rPr>
              <w:rFonts w:hint="eastAsia" w:ascii="黑体" w:hAnsi="黑体" w:eastAsia="黑体"/>
              <w:u w:val="none" w:color="auto"/>
              <w:shd w:val="clear" w:fill="auto"/>
            </w:rPr>
            <w:t>政拨款收入支出决算总体情况说明</w:t>
          </w:r>
          <w:r>
            <w:rPr>
              <w:u w:val="none" w:color="auto"/>
              <w:shd w:val="clear" w:fill="auto"/>
            </w:rPr>
            <w:tab/>
          </w:r>
          <w:r>
            <w:rPr>
              <w:u w:val="none" w:color="auto"/>
              <w:shd w:val="clear" w:fill="auto"/>
            </w:rPr>
            <w:fldChar w:fldCharType="begin"/>
          </w:r>
          <w:r>
            <w:rPr>
              <w:u w:val="none" w:color="auto"/>
              <w:shd w:val="clear" w:fill="auto"/>
            </w:rPr>
            <w:instrText xml:space="preserve"> PAGEREF _Toc23847 </w:instrText>
          </w:r>
          <w:r>
            <w:rPr>
              <w:u w:val="none" w:color="auto"/>
              <w:shd w:val="clear" w:fill="auto"/>
            </w:rPr>
            <w:fldChar w:fldCharType="separate"/>
          </w:r>
          <w:r>
            <w:rPr>
              <w:u w:val="none" w:color="auto"/>
              <w:shd w:val="clear" w:fill="auto"/>
            </w:rPr>
            <w:t>4</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"_Toc7194" </w:instrText>
          </w:r>
          <w:r>
            <w:rPr>
              <w:u w:val="none" w:color="auto"/>
              <w:shd w:val="clear" w:fill="auto"/>
            </w:rPr>
            <w:fldChar w:fldCharType="separate"/>
          </w:r>
          <w:r>
            <w:rPr>
              <w:rFonts w:hint="eastAsia" w:ascii="黑体" w:hAnsi="黑体" w:eastAsia="黑体"/>
              <w:szCs w:val="32"/>
              <w:u w:val="none" w:color="auto"/>
              <w:shd w:val="clear" w:fill="auto"/>
            </w:rPr>
            <w:t>五、一</w:t>
          </w:r>
          <w:r>
            <w:rPr>
              <w:rFonts w:hint="eastAsia" w:ascii="黑体" w:hAnsi="黑体" w:eastAsia="黑体"/>
              <w:u w:val="none" w:color="auto"/>
              <w:shd w:val="clear" w:fill="auto"/>
            </w:rPr>
            <w:t>般公共预算财政拨款支出决算情况说明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_Toc7194 </w:instrText>
          </w:r>
          <w:r>
            <w:rPr>
              <w:u w:val="none" w:color="auto"/>
              <w:shd w:val="clear" w:fill="auto"/>
            </w:rPr>
            <w:fldChar w:fldCharType="separate"/>
          </w:r>
          <w:r>
            <w:rPr>
              <w:u w:val="none" w:color="auto"/>
              <w:shd w:val="clear" w:fill="auto"/>
            </w:rPr>
            <w:t>5</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"_Toc7180" </w:instrText>
          </w:r>
          <w:r>
            <w:rPr>
              <w:u w:val="none" w:color="auto"/>
              <w:shd w:val="clear" w:fill="auto"/>
            </w:rPr>
            <w:fldChar w:fldCharType="separate"/>
          </w:r>
          <w:r>
            <w:rPr>
              <w:rFonts w:hint="eastAsia" w:ascii="黑体" w:eastAsia="黑体"/>
              <w:szCs w:val="28"/>
              <w:u w:val="none" w:color="auto"/>
              <w:shd w:val="clear" w:fill="auto"/>
            </w:rPr>
            <w:t>六、</w:t>
          </w:r>
          <w:r>
            <w:rPr>
              <w:rFonts w:hint="eastAsia" w:ascii="黑体" w:hAnsi="黑体" w:eastAsia="黑体"/>
              <w:szCs w:val="28"/>
              <w:u w:val="none" w:color="auto"/>
              <w:shd w:val="clear" w:fill="auto"/>
            </w:rPr>
            <w:t>一般公共预算财政拨款基本支出决算情况说明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_Toc7180 </w:instrText>
          </w:r>
          <w:r>
            <w:rPr>
              <w:u w:val="none" w:color="auto"/>
              <w:shd w:val="clear" w:fill="auto"/>
            </w:rPr>
            <w:fldChar w:fldCharType="separate"/>
          </w:r>
          <w:r>
            <w:rPr>
              <w:u w:val="none" w:color="auto"/>
              <w:shd w:val="clear" w:fill="auto"/>
            </w:rPr>
            <w:t>7</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"_Toc8202" </w:instrText>
          </w:r>
          <w:r>
            <w:rPr>
              <w:u w:val="none" w:color="auto"/>
              <w:shd w:val="clear" w:fill="auto"/>
            </w:rPr>
            <w:fldChar w:fldCharType="separate"/>
          </w:r>
          <w:r>
            <w:rPr>
              <w:rFonts w:hint="eastAsia" w:ascii="黑体" w:eastAsia="黑体"/>
              <w:szCs w:val="32"/>
              <w:u w:val="none" w:color="auto"/>
              <w:shd w:val="clear" w:fill="auto"/>
            </w:rPr>
            <w:t>七、</w:t>
          </w:r>
          <w:r>
            <w:rPr>
              <w:rFonts w:hint="eastAsia" w:ascii="黑体" w:hAnsi="黑体" w:eastAsia="黑体"/>
              <w:u w:val="none" w:color="auto"/>
              <w:shd w:val="clear" w:fill="auto"/>
            </w:rPr>
            <w:t>“三公”经费财政拨款支出决算情况说明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_Toc8202 </w:instrText>
          </w:r>
          <w:r>
            <w:rPr>
              <w:u w:val="none" w:color="auto"/>
              <w:shd w:val="clear" w:fill="auto"/>
            </w:rPr>
            <w:fldChar w:fldCharType="separate"/>
          </w:r>
          <w:r>
            <w:rPr>
              <w:u w:val="none" w:color="auto"/>
              <w:shd w:val="clear" w:fill="auto"/>
            </w:rPr>
            <w:t>7</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"_Toc6654" </w:instrText>
          </w:r>
          <w:r>
            <w:rPr>
              <w:u w:val="none" w:color="auto"/>
              <w:shd w:val="clear" w:fill="auto"/>
            </w:rPr>
            <w:fldChar w:fldCharType="separate"/>
          </w:r>
          <w:r>
            <w:rPr>
              <w:rFonts w:hint="eastAsia" w:ascii="黑体" w:eastAsia="黑体"/>
              <w:szCs w:val="28"/>
              <w:u w:val="none" w:color="auto"/>
              <w:shd w:val="clear" w:fill="auto"/>
            </w:rPr>
            <w:t>八、</w:t>
          </w:r>
          <w:r>
            <w:rPr>
              <w:rFonts w:hint="eastAsia" w:ascii="黑体" w:hAnsi="黑体" w:eastAsia="黑体"/>
              <w:szCs w:val="28"/>
              <w:u w:val="none" w:color="auto"/>
              <w:shd w:val="clear" w:fill="auto"/>
            </w:rPr>
            <w:t>政府性基金预算支出决算情况说明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_Toc6654 </w:instrText>
          </w:r>
          <w:r>
            <w:rPr>
              <w:u w:val="none" w:color="auto"/>
              <w:shd w:val="clear" w:fill="auto"/>
            </w:rPr>
            <w:fldChar w:fldCharType="separate"/>
          </w:r>
          <w:r>
            <w:rPr>
              <w:u w:val="none" w:color="auto"/>
              <w:shd w:val="clear" w:fill="auto"/>
            </w:rPr>
            <w:t>9</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"_Toc9733" </w:instrText>
          </w:r>
          <w:r>
            <w:rPr>
              <w:u w:val="none" w:color="auto"/>
              <w:shd w:val="clear" w:fill="auto"/>
            </w:rPr>
            <w:fldChar w:fldCharType="separate"/>
          </w:r>
          <w:r>
            <w:rPr>
              <w:rFonts w:hint="eastAsia" w:ascii="黑体" w:hAnsi="黑体" w:eastAsia="黑体"/>
              <w:szCs w:val="28"/>
              <w:u w:val="none" w:color="auto"/>
              <w:shd w:val="clear" w:fill="auto"/>
            </w:rPr>
            <w:t>九、国有资本经营预算支出决算情况说明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_Toc9733 </w:instrText>
          </w:r>
          <w:r>
            <w:rPr>
              <w:u w:val="none" w:color="auto"/>
              <w:shd w:val="clear" w:fill="auto"/>
            </w:rPr>
            <w:fldChar w:fldCharType="separate"/>
          </w:r>
          <w:r>
            <w:rPr>
              <w:u w:val="none" w:color="auto"/>
              <w:shd w:val="clear" w:fill="auto"/>
            </w:rPr>
            <w:t>9</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"_Toc12600" </w:instrText>
          </w:r>
          <w:r>
            <w:rPr>
              <w:u w:val="none" w:color="auto"/>
              <w:shd w:val="clear" w:fill="auto"/>
            </w:rPr>
            <w:fldChar w:fldCharType="separate"/>
          </w:r>
          <w:r>
            <w:rPr>
              <w:rFonts w:hint="eastAsia" w:ascii="黑体" w:hAnsi="黑体" w:eastAsia="黑体"/>
              <w:u w:val="none" w:color="auto"/>
              <w:shd w:val="clear" w:fill="auto"/>
            </w:rPr>
            <w:t>十、其他重要事项的情况说明</w:t>
          </w:r>
          <w:r>
            <w:rPr>
              <w:u w:val="none" w:color="auto"/>
              <w:shd w:val="clear" w:fill="auto"/>
            </w:rPr>
            <w:tab/>
          </w:r>
          <w:r>
            <w:rPr>
              <w:u w:val="none" w:color="auto"/>
              <w:shd w:val="clear" w:fill="auto"/>
            </w:rPr>
            <w:fldChar w:fldCharType="begin"/>
          </w:r>
          <w:r>
            <w:rPr>
              <w:u w:val="none" w:color="auto"/>
              <w:shd w:val="clear" w:fill="auto"/>
            </w:rPr>
            <w:instrText xml:space="preserve"> PAGEREF _Toc12600 </w:instrText>
          </w:r>
          <w:r>
            <w:rPr>
              <w:u w:val="none" w:color="auto"/>
              <w:shd w:val="clear" w:fill="auto"/>
            </w:rPr>
            <w:fldChar w:fldCharType="separate"/>
          </w:r>
          <w:r>
            <w:rPr>
              <w:u w:val="none" w:color="auto"/>
              <w:shd w:val="clear" w:fill="auto"/>
            </w:rPr>
            <w:t>9</w:t>
          </w:r>
          <w:r>
            <w:rPr>
              <w:u w:val="none" w:color="auto"/>
              <w:shd w:val="clear" w:fill="auto"/>
            </w:rPr>
            <w:fldChar w:fldCharType="end"/>
          </w:r>
          <w:r>
            <w:rPr>
              <w:u w:val="none" w:color="auto"/>
              <w:shd w:val="clear" w:fill="auto"/>
            </w:rPr>
            <w:fldChar w:fldCharType="end"/>
          </w:r>
        </w:p>
        <w:p>
          <w:pPr>
            <w:pStyle w:val="36"/>
            <w:tabs>
              <w:tab w:val="right" w:leader="dot" w:pos="8306"/>
            </w:tabs>
            <w:rPr>
              <w:b/>
              <w:u w:val="none" w:color="auto"/>
              <w:shd w:val="clear" w:fill="auto"/>
            </w:rPr>
          </w:pPr>
          <w:r>
            <w:rPr>
              <w:u w:val="none" w:color="auto"/>
              <w:shd w:val="clear" w:fill="auto"/>
            </w:rPr>
            <w:fldChar w:fldCharType="begin"/>
          </w:r>
          <w:r>
            <w:rPr>
              <w:u w:val="none" w:color="auto"/>
              <w:shd w:val="clear" w:fill="auto"/>
            </w:rPr>
            <w:instrText xml:space="preserve"> HYPERLINK \l "_Toc27382" </w:instrText>
          </w:r>
          <w:r>
            <w:rPr>
              <w:u w:val="none" w:color="auto"/>
              <w:shd w:val="clear" w:fill="auto"/>
            </w:rPr>
            <w:fldChar w:fldCharType="separate"/>
          </w:r>
          <w:r>
            <w:rPr>
              <w:rFonts w:hint="eastAsia" w:ascii="黑体" w:hAnsi="黑体" w:eastAsia="黑体"/>
              <w:b/>
              <w:szCs w:val="28"/>
              <w:u w:val="none" w:color="auto"/>
              <w:shd w:val="clear" w:fill="auto"/>
            </w:rPr>
            <w:t>第三部分 名词解释</w:t>
          </w:r>
          <w:r>
            <w:rPr>
              <w:b/>
              <w:u w:val="none" w:color="auto"/>
              <w:shd w:val="clear" w:fill="auto"/>
            </w:rPr>
            <w:tab/>
          </w:r>
          <w:r>
            <w:rPr>
              <w:b/>
              <w:u w:val="none" w:color="auto"/>
              <w:shd w:val="clear" w:fill="auto"/>
            </w:rPr>
            <w:fldChar w:fldCharType="begin"/>
          </w:r>
          <w:r>
            <w:rPr>
              <w:b/>
              <w:u w:val="none" w:color="auto"/>
              <w:shd w:val="clear" w:fill="auto"/>
            </w:rPr>
            <w:instrText xml:space="preserve"> PAGEREF _Toc27382 </w:instrText>
          </w:r>
          <w:r>
            <w:rPr>
              <w:b/>
              <w:u w:val="none" w:color="auto"/>
              <w:shd w:val="clear" w:fill="auto"/>
            </w:rPr>
            <w:fldChar w:fldCharType="separate"/>
          </w:r>
          <w:r>
            <w:rPr>
              <w:b/>
              <w:u w:val="none" w:color="auto"/>
              <w:shd w:val="clear" w:fill="auto"/>
            </w:rPr>
            <w:t>11</w:t>
          </w:r>
          <w:r>
            <w:rPr>
              <w:b/>
              <w:u w:val="none" w:color="auto"/>
              <w:shd w:val="clear" w:fill="auto"/>
            </w:rPr>
            <w:fldChar w:fldCharType="end"/>
          </w:r>
          <w:r>
            <w:rPr>
              <w:b/>
              <w:u w:val="none" w:color="auto"/>
              <w:shd w:val="clear" w:fill="auto"/>
            </w:rPr>
            <w:fldChar w:fldCharType="end"/>
          </w:r>
        </w:p>
        <w:p>
          <w:pPr>
            <w:pStyle w:val="36"/>
            <w:tabs>
              <w:tab w:val="right" w:leader="dot" w:pos="8306"/>
            </w:tabs>
            <w:rPr>
              <w:b/>
              <w:u w:val="none" w:color="auto"/>
              <w:shd w:val="clear" w:fill="auto"/>
            </w:rPr>
          </w:pPr>
          <w:r>
            <w:rPr>
              <w:u w:val="none" w:color="auto"/>
              <w:shd w:val="clear" w:fill="auto"/>
            </w:rPr>
            <w:fldChar w:fldCharType="begin"/>
          </w:r>
          <w:r>
            <w:rPr>
              <w:u w:val="none" w:color="auto"/>
              <w:shd w:val="clear" w:fill="auto"/>
            </w:rPr>
            <w:instrText xml:space="preserve"> HYPERLINK \l "_Toc12329" </w:instrText>
          </w:r>
          <w:r>
            <w:rPr>
              <w:u w:val="none" w:color="auto"/>
              <w:shd w:val="clear" w:fill="auto"/>
            </w:rPr>
            <w:fldChar w:fldCharType="separate"/>
          </w:r>
          <w:r>
            <w:rPr>
              <w:rFonts w:hint="eastAsia" w:ascii="黑体" w:hAnsi="黑体" w:eastAsia="黑体" w:cs="黑体"/>
              <w:b/>
              <w:szCs w:val="32"/>
              <w:u w:val="none" w:color="auto"/>
              <w:shd w:val="clear" w:fill="auto"/>
            </w:rPr>
            <w:t>附件1</w:t>
          </w:r>
          <w:r>
            <w:rPr>
              <w:b/>
              <w:u w:val="none" w:color="auto"/>
              <w:shd w:val="clear" w:fill="auto"/>
            </w:rPr>
            <w:tab/>
          </w:r>
          <w:r>
            <w:rPr>
              <w:b/>
              <w:u w:val="none" w:color="auto"/>
              <w:shd w:val="clear" w:fill="auto"/>
            </w:rPr>
            <w:fldChar w:fldCharType="begin"/>
          </w:r>
          <w:r>
            <w:rPr>
              <w:b/>
              <w:u w:val="none" w:color="auto"/>
              <w:shd w:val="clear" w:fill="auto"/>
            </w:rPr>
            <w:instrText xml:space="preserve"> PAGEREF _Toc12329 </w:instrText>
          </w:r>
          <w:r>
            <w:rPr>
              <w:b/>
              <w:u w:val="none" w:color="auto"/>
              <w:shd w:val="clear" w:fill="auto"/>
            </w:rPr>
            <w:fldChar w:fldCharType="separate"/>
          </w:r>
          <w:r>
            <w:rPr>
              <w:b/>
              <w:u w:val="none" w:color="auto"/>
              <w:shd w:val="clear" w:fill="auto"/>
            </w:rPr>
            <w:t>13</w:t>
          </w:r>
          <w:r>
            <w:rPr>
              <w:b/>
              <w:u w:val="none" w:color="auto"/>
              <w:shd w:val="clear" w:fill="auto"/>
            </w:rPr>
            <w:fldChar w:fldCharType="end"/>
          </w:r>
          <w:r>
            <w:rPr>
              <w:b/>
              <w:u w:val="none" w:color="auto"/>
              <w:shd w:val="clear" w:fill="auto"/>
            </w:rPr>
            <w:fldChar w:fldCharType="end"/>
          </w:r>
        </w:p>
        <w:p>
          <w:pPr>
            <w:pStyle w:val="36"/>
            <w:tabs>
              <w:tab w:val="right" w:leader="dot" w:pos="8306"/>
            </w:tabs>
            <w:rPr>
              <w:b/>
              <w:u w:val="none" w:color="auto"/>
              <w:shd w:val="clear" w:fill="auto"/>
            </w:rPr>
          </w:pPr>
          <w:r>
            <w:rPr>
              <w:u w:val="none" w:color="auto"/>
              <w:shd w:val="clear" w:fill="auto"/>
            </w:rPr>
            <w:fldChar w:fldCharType="begin"/>
          </w:r>
          <w:r>
            <w:rPr>
              <w:u w:val="none" w:color="auto"/>
              <w:shd w:val="clear" w:fill="auto"/>
            </w:rPr>
            <w:instrText xml:space="preserve"> HYPERLINK \l "_Toc15353" </w:instrText>
          </w:r>
          <w:r>
            <w:rPr>
              <w:u w:val="none" w:color="auto"/>
              <w:shd w:val="clear" w:fill="auto"/>
            </w:rPr>
            <w:fldChar w:fldCharType="separate"/>
          </w:r>
          <w:r>
            <w:rPr>
              <w:rFonts w:hint="eastAsia" w:ascii="黑体" w:hAnsi="黑体" w:eastAsia="黑体"/>
              <w:b/>
              <w:szCs w:val="44"/>
              <w:u w:val="none" w:color="auto"/>
              <w:shd w:val="clear" w:fill="auto"/>
            </w:rPr>
            <w:t>第</w:t>
          </w:r>
          <w:r>
            <w:rPr>
              <w:rFonts w:hint="eastAsia" w:ascii="黑体" w:hAnsi="黑体" w:eastAsia="黑体"/>
              <w:b/>
              <w:u w:val="none" w:color="auto"/>
              <w:shd w:val="clear" w:fill="auto"/>
            </w:rPr>
            <w:t>四部分</w:t>
          </w:r>
          <w:r>
            <w:rPr>
              <w:b/>
              <w:u w:val="none" w:color="auto"/>
              <w:shd w:val="clear" w:fill="auto"/>
            </w:rPr>
            <w:tab/>
          </w:r>
          <w:r>
            <w:rPr>
              <w:b/>
              <w:u w:val="none" w:color="auto"/>
              <w:shd w:val="clear" w:fill="auto"/>
            </w:rPr>
            <w:fldChar w:fldCharType="begin"/>
          </w:r>
          <w:r>
            <w:rPr>
              <w:b/>
              <w:u w:val="none" w:color="auto"/>
              <w:shd w:val="clear" w:fill="auto"/>
            </w:rPr>
            <w:instrText xml:space="preserve"> PAGEREF _Toc15353 </w:instrText>
          </w:r>
          <w:r>
            <w:rPr>
              <w:b/>
              <w:u w:val="none" w:color="auto"/>
              <w:shd w:val="clear" w:fill="auto"/>
            </w:rPr>
            <w:fldChar w:fldCharType="separate"/>
          </w:r>
          <w:r>
            <w:rPr>
              <w:b/>
              <w:u w:val="none" w:color="auto"/>
              <w:shd w:val="clear" w:fill="auto"/>
            </w:rPr>
            <w:t>13</w:t>
          </w:r>
          <w:r>
            <w:rPr>
              <w:b/>
              <w:u w:val="none" w:color="auto"/>
              <w:shd w:val="clear" w:fill="auto"/>
            </w:rPr>
            <w:fldChar w:fldCharType="end"/>
          </w:r>
          <w:r>
            <w:rPr>
              <w:b/>
              <w:u w:val="none" w:color="auto"/>
              <w:shd w:val="clear" w:fill="auto"/>
            </w:rPr>
            <w:fldChar w:fldCharType="end"/>
          </w:r>
        </w:p>
        <w:p>
          <w:pPr>
            <w:pStyle w:val="36"/>
            <w:tabs>
              <w:tab w:val="right" w:leader="dot" w:pos="8306"/>
            </w:tabs>
            <w:rPr>
              <w:b/>
              <w:u w:val="none" w:color="auto"/>
              <w:shd w:val="clear" w:fill="auto"/>
            </w:rPr>
          </w:pPr>
          <w:r>
            <w:rPr>
              <w:u w:val="none" w:color="auto"/>
              <w:shd w:val="clear" w:fill="auto"/>
            </w:rPr>
            <w:fldChar w:fldCharType="begin"/>
          </w:r>
          <w:r>
            <w:rPr>
              <w:u w:val="none" w:color="auto"/>
              <w:shd w:val="clear" w:fill="auto"/>
            </w:rPr>
            <w:instrText xml:space="preserve"> HYPERLINK \l "_Toc11837" </w:instrText>
          </w:r>
          <w:r>
            <w:rPr>
              <w:u w:val="none" w:color="auto"/>
              <w:shd w:val="clear" w:fill="auto"/>
            </w:rPr>
            <w:fldChar w:fldCharType="separate"/>
          </w:r>
          <w:r>
            <w:rPr>
              <w:rFonts w:hint="eastAsia" w:ascii="黑体" w:hAnsi="黑体" w:eastAsia="黑体"/>
              <w:b/>
              <w:szCs w:val="44"/>
              <w:u w:val="none" w:color="auto"/>
              <w:shd w:val="clear" w:fill="auto"/>
            </w:rPr>
            <w:t>第</w:t>
          </w:r>
          <w:r>
            <w:rPr>
              <w:rFonts w:hint="eastAsia" w:ascii="黑体" w:hAnsi="黑体" w:eastAsia="黑体"/>
              <w:b/>
              <w:u w:val="none" w:color="auto"/>
              <w:shd w:val="clear" w:fill="auto"/>
            </w:rPr>
            <w:t>五部分 附表</w:t>
          </w:r>
          <w:r>
            <w:rPr>
              <w:b/>
              <w:u w:val="none" w:color="auto"/>
              <w:shd w:val="clear" w:fill="auto"/>
            </w:rPr>
            <w:tab/>
          </w:r>
          <w:r>
            <w:rPr>
              <w:b/>
              <w:u w:val="none" w:color="auto"/>
              <w:shd w:val="clear" w:fill="auto"/>
            </w:rPr>
            <w:fldChar w:fldCharType="begin"/>
          </w:r>
          <w:r>
            <w:rPr>
              <w:b/>
              <w:u w:val="none" w:color="auto"/>
              <w:shd w:val="clear" w:fill="auto"/>
            </w:rPr>
            <w:instrText xml:space="preserve"> PAGEREF _Toc11837 </w:instrText>
          </w:r>
          <w:r>
            <w:rPr>
              <w:b/>
              <w:u w:val="none" w:color="auto"/>
              <w:shd w:val="clear" w:fill="auto"/>
            </w:rPr>
            <w:fldChar w:fldCharType="separate"/>
          </w:r>
          <w:r>
            <w:rPr>
              <w:b/>
              <w:u w:val="none" w:color="auto"/>
              <w:shd w:val="clear" w:fill="auto"/>
            </w:rPr>
            <w:t>32</w:t>
          </w:r>
          <w:r>
            <w:rPr>
              <w:b/>
              <w:u w:val="none" w:color="auto"/>
              <w:shd w:val="clear" w:fill="auto"/>
            </w:rPr>
            <w:fldChar w:fldCharType="end"/>
          </w:r>
          <w:r>
            <w:rPr>
              <w:b/>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"_Toc24198" </w:instrText>
          </w:r>
          <w:r>
            <w:rPr>
              <w:u w:val="none" w:color="auto"/>
              <w:shd w:val="clear" w:fill="auto"/>
            </w:rPr>
            <w:fldChar w:fldCharType="separate"/>
          </w:r>
          <w:r>
            <w:rPr>
              <w:rFonts w:hint="eastAsia" w:ascii="仿宋_GB2312" w:hAnsi="仿宋_GB2312" w:eastAsia="仿宋_GB2312" w:cs="仿宋_GB2312"/>
              <w:szCs w:val="28"/>
              <w:u w:val="none" w:color="auto"/>
              <w:shd w:val="clear" w:fill="auto"/>
            </w:rPr>
            <w:t>一、收入支出决算总表</w:t>
          </w:r>
          <w:r>
            <w:rPr>
              <w:u w:val="none" w:color="auto"/>
              <w:shd w:val="clear" w:fill="auto"/>
            </w:rPr>
            <w:tab/>
          </w:r>
          <w:r>
            <w:rPr>
              <w:u w:val="none" w:color="auto"/>
              <w:shd w:val="clear" w:fill="auto"/>
            </w:rPr>
            <w:fldChar w:fldCharType="begin"/>
          </w:r>
          <w:r>
            <w:rPr>
              <w:u w:val="none" w:color="auto"/>
              <w:shd w:val="clear" w:fill="auto"/>
            </w:rPr>
            <w:instrText xml:space="preserve"> PAGEREF _Toc24198 </w:instrText>
          </w:r>
          <w:r>
            <w:rPr>
              <w:u w:val="none" w:color="auto"/>
              <w:shd w:val="clear" w:fill="auto"/>
            </w:rPr>
            <w:fldChar w:fldCharType="separate"/>
          </w:r>
          <w:r>
            <w:rPr>
              <w:u w:val="none" w:color="auto"/>
              <w:shd w:val="clear" w:fill="auto"/>
            </w:rPr>
            <w:t>32</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"_Toc8159" </w:instrText>
          </w:r>
          <w:r>
            <w:rPr>
              <w:u w:val="none" w:color="auto"/>
              <w:shd w:val="clear" w:fill="auto"/>
            </w:rPr>
            <w:fldChar w:fldCharType="separate"/>
          </w:r>
          <w:r>
            <w:rPr>
              <w:rFonts w:hint="eastAsia" w:ascii="仿宋_GB2312" w:hAnsi="仿宋_GB2312" w:eastAsia="仿宋_GB2312" w:cs="仿宋_GB2312"/>
              <w:szCs w:val="28"/>
              <w:u w:val="none" w:color="auto"/>
              <w:shd w:val="clear" w:fill="auto"/>
            </w:rPr>
            <w:t>二、收入决算表</w:t>
          </w:r>
          <w:r>
            <w:rPr>
              <w:u w:val="none" w:color="auto"/>
              <w:shd w:val="clear" w:fill="auto"/>
            </w:rPr>
            <w:tab/>
          </w:r>
          <w:r>
            <w:rPr>
              <w:u w:val="none" w:color="auto"/>
              <w:shd w:val="clear" w:fill="auto"/>
            </w:rPr>
            <w:fldChar w:fldCharType="begin"/>
          </w:r>
          <w:r>
            <w:rPr>
              <w:u w:val="none" w:color="auto"/>
              <w:shd w:val="clear" w:fill="auto"/>
            </w:rPr>
            <w:instrText xml:space="preserve"> PAGEREF _Toc8159 </w:instrText>
          </w:r>
          <w:r>
            <w:rPr>
              <w:u w:val="none" w:color="auto"/>
              <w:shd w:val="clear" w:fill="auto"/>
            </w:rPr>
            <w:fldChar w:fldCharType="separate"/>
          </w:r>
          <w:r>
            <w:rPr>
              <w:u w:val="none" w:color="auto"/>
              <w:shd w:val="clear" w:fill="auto"/>
            </w:rPr>
            <w:t>32</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"_Toc28384" </w:instrText>
          </w:r>
          <w:r>
            <w:rPr>
              <w:u w:val="none" w:color="auto"/>
              <w:shd w:val="clear" w:fill="auto"/>
            </w:rPr>
            <w:fldChar w:fldCharType="separate"/>
          </w:r>
          <w:r>
            <w:rPr>
              <w:rFonts w:hint="eastAsia" w:ascii="仿宋_GB2312" w:hAnsi="仿宋_GB2312" w:eastAsia="仿宋_GB2312" w:cs="仿宋_GB2312"/>
              <w:szCs w:val="28"/>
              <w:u w:val="none" w:color="auto"/>
              <w:shd w:val="clear" w:fill="auto"/>
            </w:rPr>
            <w:t>三、支出决算表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_Toc28384 </w:instrText>
          </w:r>
          <w:r>
            <w:rPr>
              <w:u w:val="none" w:color="auto"/>
              <w:shd w:val="clear" w:fill="auto"/>
            </w:rPr>
            <w:fldChar w:fldCharType="separate"/>
          </w:r>
          <w:r>
            <w:rPr>
              <w:u w:val="none" w:color="auto"/>
              <w:shd w:val="clear" w:fill="auto"/>
            </w:rPr>
            <w:t>32</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"_Toc27561" </w:instrText>
          </w:r>
          <w:r>
            <w:rPr>
              <w:u w:val="none" w:color="auto"/>
              <w:shd w:val="clear" w:fill="auto"/>
            </w:rPr>
            <w:fldChar w:fldCharType="separate"/>
          </w:r>
          <w:r>
            <w:rPr>
              <w:rFonts w:hint="eastAsia" w:ascii="仿宋_GB2312" w:hAnsi="仿宋_GB2312" w:eastAsia="仿宋_GB2312" w:cs="仿宋_GB2312"/>
              <w:szCs w:val="28"/>
              <w:u w:val="none" w:color="auto"/>
              <w:shd w:val="clear" w:fill="auto"/>
            </w:rPr>
            <w:t>四、财政拨款收入支出决算总表</w:t>
          </w:r>
          <w:r>
            <w:rPr>
              <w:u w:val="none" w:color="auto"/>
              <w:shd w:val="clear" w:fill="auto"/>
            </w:rPr>
            <w:tab/>
          </w:r>
          <w:r>
            <w:rPr>
              <w:u w:val="none" w:color="auto"/>
              <w:shd w:val="clear" w:fill="auto"/>
            </w:rPr>
            <w:fldChar w:fldCharType="begin"/>
          </w:r>
          <w:r>
            <w:rPr>
              <w:u w:val="none" w:color="auto"/>
              <w:shd w:val="clear" w:fill="auto"/>
            </w:rPr>
            <w:instrText xml:space="preserve"> PAGEREF _Toc27561 </w:instrText>
          </w:r>
          <w:r>
            <w:rPr>
              <w:u w:val="none" w:color="auto"/>
              <w:shd w:val="clear" w:fill="auto"/>
            </w:rPr>
            <w:fldChar w:fldCharType="separate"/>
          </w:r>
          <w:r>
            <w:rPr>
              <w:u w:val="none" w:color="auto"/>
              <w:shd w:val="clear" w:fill="auto"/>
            </w:rPr>
            <w:t>32</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"_Toc3867" </w:instrText>
          </w:r>
          <w:r>
            <w:rPr>
              <w:u w:val="none" w:color="auto"/>
              <w:shd w:val="clear" w:fill="auto"/>
            </w:rPr>
            <w:fldChar w:fldCharType="separate"/>
          </w:r>
          <w:r>
            <w:rPr>
              <w:rFonts w:hint="eastAsia" w:ascii="仿宋_GB2312" w:hAnsi="仿宋_GB2312" w:eastAsia="仿宋_GB2312" w:cs="仿宋_GB2312"/>
              <w:szCs w:val="28"/>
              <w:u w:val="none" w:color="auto"/>
              <w:shd w:val="clear" w:fill="auto"/>
            </w:rPr>
            <w:t>五、财政拨款支出决算明细表</w:t>
          </w:r>
          <w:r>
            <w:rPr>
              <w:u w:val="none" w:color="auto"/>
              <w:shd w:val="clear" w:fill="auto"/>
            </w:rPr>
            <w:tab/>
          </w:r>
          <w:r>
            <w:rPr>
              <w:u w:val="none" w:color="auto"/>
              <w:shd w:val="clear" w:fill="auto"/>
            </w:rPr>
            <w:fldChar w:fldCharType="begin"/>
          </w:r>
          <w:r>
            <w:rPr>
              <w:u w:val="none" w:color="auto"/>
              <w:shd w:val="clear" w:fill="auto"/>
            </w:rPr>
            <w:instrText xml:space="preserve"> PAGEREF _Toc3867 </w:instrText>
          </w:r>
          <w:r>
            <w:rPr>
              <w:u w:val="none" w:color="auto"/>
              <w:shd w:val="clear" w:fill="auto"/>
            </w:rPr>
            <w:fldChar w:fldCharType="separate"/>
          </w:r>
          <w:r>
            <w:rPr>
              <w:u w:val="none" w:color="auto"/>
              <w:shd w:val="clear" w:fill="auto"/>
            </w:rPr>
            <w:t>32</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"_Toc4564" </w:instrText>
          </w:r>
          <w:r>
            <w:rPr>
              <w:u w:val="none" w:color="auto"/>
              <w:shd w:val="clear" w:fill="auto"/>
            </w:rPr>
            <w:fldChar w:fldCharType="separate"/>
          </w:r>
          <w:r>
            <w:rPr>
              <w:rFonts w:hint="eastAsia" w:ascii="仿宋_GB2312" w:hAnsi="仿宋_GB2312" w:eastAsia="仿宋_GB2312" w:cs="仿宋_GB2312"/>
              <w:szCs w:val="28"/>
              <w:u w:val="none" w:color="auto"/>
              <w:shd w:val="clear" w:fill="auto"/>
            </w:rPr>
            <w:t>六、一般公共预算财政拨款支出决算表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_Toc4564 </w:instrText>
          </w:r>
          <w:r>
            <w:rPr>
              <w:u w:val="none" w:color="auto"/>
              <w:shd w:val="clear" w:fill="auto"/>
            </w:rPr>
            <w:fldChar w:fldCharType="separate"/>
          </w:r>
          <w:r>
            <w:rPr>
              <w:u w:val="none" w:color="auto"/>
              <w:shd w:val="clear" w:fill="auto"/>
            </w:rPr>
            <w:t>32</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"_Toc21299" </w:instrText>
          </w:r>
          <w:r>
            <w:rPr>
              <w:u w:val="none" w:color="auto"/>
              <w:shd w:val="clear" w:fill="auto"/>
            </w:rPr>
            <w:fldChar w:fldCharType="separate"/>
          </w:r>
          <w:r>
            <w:rPr>
              <w:rFonts w:hint="eastAsia" w:ascii="仿宋_GB2312" w:hAnsi="仿宋_GB2312" w:eastAsia="仿宋_GB2312" w:cs="仿宋_GB2312"/>
              <w:szCs w:val="28"/>
              <w:u w:val="none" w:color="auto"/>
              <w:shd w:val="clear" w:fill="auto"/>
            </w:rPr>
            <w:t>七、一般公共预算财政拨款支出决算明细表</w:t>
          </w:r>
          <w:r>
            <w:rPr>
              <w:u w:val="none" w:color="auto"/>
              <w:shd w:val="clear" w:fill="auto"/>
            </w:rPr>
            <w:tab/>
          </w:r>
          <w:r>
            <w:rPr>
              <w:u w:val="none" w:color="auto"/>
              <w:shd w:val="clear" w:fill="auto"/>
            </w:rPr>
            <w:fldChar w:fldCharType="begin"/>
          </w:r>
          <w:r>
            <w:rPr>
              <w:u w:val="none" w:color="auto"/>
              <w:shd w:val="clear" w:fill="auto"/>
            </w:rPr>
            <w:instrText xml:space="preserve"> PAGEREF _Toc21299 </w:instrText>
          </w:r>
          <w:r>
            <w:rPr>
              <w:u w:val="none" w:color="auto"/>
              <w:shd w:val="clear" w:fill="auto"/>
            </w:rPr>
            <w:fldChar w:fldCharType="separate"/>
          </w:r>
          <w:r>
            <w:rPr>
              <w:u w:val="none" w:color="auto"/>
              <w:shd w:val="clear" w:fill="auto"/>
            </w:rPr>
            <w:t>32</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"_Toc16484" </w:instrText>
          </w:r>
          <w:r>
            <w:rPr>
              <w:u w:val="none" w:color="auto"/>
              <w:shd w:val="clear" w:fill="auto"/>
            </w:rPr>
            <w:fldChar w:fldCharType="separate"/>
          </w:r>
          <w:r>
            <w:rPr>
              <w:rFonts w:hint="eastAsia" w:ascii="仿宋_GB2312" w:hAnsi="仿宋_GB2312" w:eastAsia="仿宋_GB2312" w:cs="仿宋_GB2312"/>
              <w:szCs w:val="28"/>
              <w:u w:val="none" w:color="auto"/>
              <w:shd w:val="clear" w:fill="auto"/>
            </w:rPr>
            <w:t>八、一般公共预算财政拨款基本支出决算表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_Toc16484 </w:instrText>
          </w:r>
          <w:r>
            <w:rPr>
              <w:u w:val="none" w:color="auto"/>
              <w:shd w:val="clear" w:fill="auto"/>
            </w:rPr>
            <w:fldChar w:fldCharType="separate"/>
          </w:r>
          <w:r>
            <w:rPr>
              <w:u w:val="none" w:color="auto"/>
              <w:shd w:val="clear" w:fill="auto"/>
            </w:rPr>
            <w:t>32</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"_Toc31506" </w:instrText>
          </w:r>
          <w:r>
            <w:rPr>
              <w:u w:val="none" w:color="auto"/>
              <w:shd w:val="clear" w:fill="auto"/>
            </w:rPr>
            <w:fldChar w:fldCharType="separate"/>
          </w:r>
          <w:r>
            <w:rPr>
              <w:rFonts w:hint="eastAsia" w:ascii="仿宋_GB2312" w:hAnsi="仿宋_GB2312" w:eastAsia="仿宋_GB2312" w:cs="仿宋_GB2312"/>
              <w:szCs w:val="28"/>
              <w:u w:val="none" w:color="auto"/>
              <w:shd w:val="clear" w:fill="auto"/>
            </w:rPr>
            <w:t>九、一般公共预算财政拨款项目支出决算表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_Toc31506 </w:instrText>
          </w:r>
          <w:r>
            <w:rPr>
              <w:u w:val="none" w:color="auto"/>
              <w:shd w:val="clear" w:fill="auto"/>
            </w:rPr>
            <w:fldChar w:fldCharType="separate"/>
          </w:r>
          <w:r>
            <w:rPr>
              <w:u w:val="none" w:color="auto"/>
              <w:shd w:val="clear" w:fill="auto"/>
            </w:rPr>
            <w:t>32</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"_Toc16823" </w:instrText>
          </w:r>
          <w:r>
            <w:rPr>
              <w:u w:val="none" w:color="auto"/>
              <w:shd w:val="clear" w:fill="auto"/>
            </w:rPr>
            <w:fldChar w:fldCharType="separate"/>
          </w:r>
          <w:r>
            <w:rPr>
              <w:rFonts w:hint="eastAsia" w:ascii="仿宋_GB2312" w:hAnsi="仿宋_GB2312" w:eastAsia="仿宋_GB2312" w:cs="仿宋_GB2312"/>
              <w:szCs w:val="28"/>
              <w:u w:val="none" w:color="auto"/>
              <w:shd w:val="clear" w:fill="auto"/>
            </w:rPr>
            <w:t>十、一般公共预算财政拨款“三公”经费支出决算表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_Toc16823 </w:instrText>
          </w:r>
          <w:r>
            <w:rPr>
              <w:u w:val="none" w:color="auto"/>
              <w:shd w:val="clear" w:fill="auto"/>
            </w:rPr>
            <w:fldChar w:fldCharType="separate"/>
          </w:r>
          <w:r>
            <w:rPr>
              <w:u w:val="none" w:color="auto"/>
              <w:shd w:val="clear" w:fill="auto"/>
            </w:rPr>
            <w:t>32</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"_Toc20845" </w:instrText>
          </w:r>
          <w:r>
            <w:rPr>
              <w:u w:val="none" w:color="auto"/>
              <w:shd w:val="clear" w:fill="auto"/>
            </w:rPr>
            <w:fldChar w:fldCharType="separate"/>
          </w:r>
          <w:r>
            <w:rPr>
              <w:rFonts w:hint="eastAsia" w:ascii="仿宋_GB2312" w:hAnsi="仿宋_GB2312" w:eastAsia="仿宋_GB2312" w:cs="仿宋_GB2312"/>
              <w:szCs w:val="28"/>
              <w:u w:val="none" w:color="auto"/>
              <w:shd w:val="clear" w:fill="auto"/>
            </w:rPr>
            <w:t>十一、政府性基金预算财政拨款收入支出决算表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_Toc20845 </w:instrText>
          </w:r>
          <w:r>
            <w:rPr>
              <w:u w:val="none" w:color="auto"/>
              <w:shd w:val="clear" w:fill="auto"/>
            </w:rPr>
            <w:fldChar w:fldCharType="separate"/>
          </w:r>
          <w:r>
            <w:rPr>
              <w:u w:val="none" w:color="auto"/>
              <w:shd w:val="clear" w:fill="auto"/>
            </w:rPr>
            <w:t>32</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"_Toc24652" </w:instrText>
          </w:r>
          <w:r>
            <w:rPr>
              <w:u w:val="none" w:color="auto"/>
              <w:shd w:val="clear" w:fill="auto"/>
            </w:rPr>
            <w:fldChar w:fldCharType="separate"/>
          </w:r>
          <w:r>
            <w:rPr>
              <w:rFonts w:hint="eastAsia" w:ascii="仿宋_GB2312" w:hAnsi="仿宋_GB2312" w:eastAsia="仿宋_GB2312" w:cs="仿宋_GB2312"/>
              <w:szCs w:val="28"/>
              <w:u w:val="none" w:color="auto"/>
              <w:shd w:val="clear" w:fill="auto"/>
            </w:rPr>
            <w:t>十二、政府性基金预算财政拨款“三公”经费支出决算表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_Toc24652 </w:instrText>
          </w:r>
          <w:r>
            <w:rPr>
              <w:u w:val="none" w:color="auto"/>
              <w:shd w:val="clear" w:fill="auto"/>
            </w:rPr>
            <w:fldChar w:fldCharType="separate"/>
          </w:r>
          <w:r>
            <w:rPr>
              <w:u w:val="none" w:color="auto"/>
              <w:shd w:val="clear" w:fill="auto"/>
            </w:rPr>
            <w:t>32</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"_Toc32480" </w:instrText>
          </w:r>
          <w:r>
            <w:rPr>
              <w:u w:val="none" w:color="auto"/>
              <w:shd w:val="clear" w:fill="auto"/>
            </w:rPr>
            <w:fldChar w:fldCharType="separate"/>
          </w:r>
          <w:r>
            <w:rPr>
              <w:rFonts w:hint="eastAsia" w:ascii="仿宋_GB2312" w:hAnsi="仿宋_GB2312" w:eastAsia="仿宋_GB2312" w:cs="仿宋_GB2312"/>
              <w:szCs w:val="28"/>
              <w:u w:val="none" w:color="auto"/>
              <w:shd w:val="clear" w:fill="auto"/>
            </w:rPr>
            <w:t>十三、国有资本经营预算财政拨款收入支出决算表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_Toc32480 </w:instrText>
          </w:r>
          <w:r>
            <w:rPr>
              <w:u w:val="none" w:color="auto"/>
              <w:shd w:val="clear" w:fill="auto"/>
            </w:rPr>
            <w:fldChar w:fldCharType="separate"/>
          </w:r>
          <w:r>
            <w:rPr>
              <w:u w:val="none" w:color="auto"/>
              <w:shd w:val="clear" w:fill="auto"/>
            </w:rPr>
            <w:t>32</w:t>
          </w:r>
          <w:r>
            <w:rPr>
              <w:u w:val="none" w:color="auto"/>
              <w:shd w:val="clear" w:fill="auto"/>
            </w:rPr>
            <w:fldChar w:fldCharType="end"/>
          </w:r>
          <w:r>
            <w:rPr>
              <w:u w:val="none" w:color="auto"/>
              <w:shd w:val="clear" w:fill="auto"/>
            </w:rPr>
            <w:fldChar w:fldCharType="end"/>
          </w:r>
        </w:p>
        <w:p>
          <w:pPr>
            <w:pStyle w:val="37"/>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"_Toc29183" </w:instrText>
          </w:r>
          <w:r>
            <w:rPr>
              <w:u w:val="none" w:color="auto"/>
              <w:shd w:val="clear" w:fill="auto"/>
            </w:rPr>
            <w:fldChar w:fldCharType="separate"/>
          </w:r>
          <w:r>
            <w:rPr>
              <w:rFonts w:hint="eastAsia" w:ascii="仿宋_GB2312" w:hAnsi="仿宋_GB2312" w:eastAsia="仿宋_GB2312" w:cs="仿宋_GB2312"/>
              <w:szCs w:val="28"/>
              <w:u w:val="none" w:color="auto"/>
              <w:shd w:val="clear" w:fill="auto"/>
            </w:rPr>
            <w:t>十四、国有资本经营预算财政拨款支出决算表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_Toc29183 </w:instrText>
          </w:r>
          <w:r>
            <w:rPr>
              <w:u w:val="none" w:color="auto"/>
              <w:shd w:val="clear" w:fill="auto"/>
            </w:rPr>
            <w:fldChar w:fldCharType="separate"/>
          </w:r>
          <w:r>
            <w:rPr>
              <w:u w:val="none" w:color="auto"/>
              <w:shd w:val="clear" w:fill="auto"/>
            </w:rPr>
            <w:t>32</w:t>
          </w:r>
          <w:r>
            <w:rPr>
              <w:u w:val="none" w:color="auto"/>
              <w:shd w:val="clear" w:fill="auto"/>
            </w:rPr>
            <w:fldChar w:fldCharType="end"/>
          </w:r>
          <w:r>
            <w:rPr>
              <w:u w:val="none" w:color="auto"/>
              <w:shd w:val="clear" w:fill="auto"/>
            </w:rPr>
            <w:fldChar w:fldCharType="end"/>
          </w:r>
        </w:p>
        <w:p>
          <w:pPr>
            <w:rPr>
              <w:u w:val="none" w:color="auto"/>
              <w:shd w:val="clear" w:fill="auto"/>
            </w:rPr>
          </w:pPr>
          <w:r>
            <w:rPr>
              <w:b/>
              <w:u w:val="none" w:color="auto"/>
              <w:shd w:val="clear" w:fill="auto"/>
            </w:rPr>
            <w:fldChar w:fldCharType="end"/>
          </w:r>
        </w:p>
      </w:sdtContent>
    </w:sdt>
    <w:p>
      <w:pPr>
        <w:pStyle w:val="12"/>
        <w:jc w:val="center"/>
        <w:rPr>
          <w:rFonts w:ascii="黑体" w:hAnsi="黑体" w:eastAsia="黑体"/>
          <w:b w:val="0"/>
          <w:u w:val="none" w:color="auto"/>
          <w:shd w:val="clear" w:fill="auto"/>
        </w:rPr>
        <w:sectPr>
          <w:footerReference r:id="rId12" w:type="first"/>
          <w:footerReference r:id="rId11" w:type="default"/>
          <w:pgSz w:w="11906" w:h="16838"/>
          <w:pgMar w:top="1440" w:right="1800" w:bottom="1440" w:left="1800" w:header="851" w:footer="992" w:gutter="0"/>
          <w:pgNumType w:start="1"/>
          <w:cols w:space="425" w:num="1"/>
          <w:titlePg/>
          <w:docGrid w:type="lines" w:linePitch="312" w:charSpace="0"/>
        </w:sectPr>
      </w:pPr>
      <w:bookmarkStart w:id="16" w:name="_Toc17536"/>
    </w:p>
    <w:p>
      <w:pPr>
        <w:pStyle w:val="12"/>
        <w:jc w:val="center"/>
        <w:rPr>
          <w:rStyle w:val="29"/>
          <w:rFonts w:ascii="黑体" w:hAnsi="黑体" w:eastAsia="黑体"/>
          <w:b/>
          <w:bCs w:val="0"/>
          <w:u w:val="none" w:color="auto"/>
          <w:shd w:val="clear" w:fill="auto"/>
        </w:rPr>
      </w:pPr>
      <w:r>
        <w:rPr>
          <w:rFonts w:hint="eastAsia" w:ascii="黑体" w:hAnsi="黑体" w:eastAsia="黑体"/>
          <w:b w:val="0"/>
          <w:u w:val="none" w:color="auto"/>
          <w:shd w:val="clear" w:fill="auto"/>
        </w:rPr>
        <w:t xml:space="preserve">第一部分 </w:t>
      </w:r>
      <w:r>
        <w:rPr>
          <w:rStyle w:val="29"/>
          <w:rFonts w:hint="eastAsia" w:ascii="黑体" w:hAnsi="黑体" w:eastAsia="黑体"/>
          <w:b w:val="0"/>
          <w:bCs w:val="0"/>
          <w:u w:val="none" w:color="auto"/>
          <w:shd w:val="clear" w:fill="auto"/>
        </w:rPr>
        <w:t>部门概况</w:t>
      </w:r>
      <w:bookmarkEnd w:id="15"/>
      <w:bookmarkEnd w:id="16"/>
    </w:p>
    <w:p>
      <w:pPr>
        <w:pStyle w:val="13"/>
        <w:spacing w:before="0" w:after="0" w:line="560" w:lineRule="exact"/>
        <w:ind w:firstLine="640" w:firstLineChars="200"/>
        <w:rPr>
          <w:rStyle w:val="30"/>
          <w:rFonts w:ascii="仿宋" w:hAnsi="仿宋" w:eastAsia="仿宋"/>
          <w:b w:val="0"/>
          <w:bCs w:val="0"/>
          <w:u w:val="none" w:color="auto"/>
          <w:shd w:val="clear" w:fill="auto"/>
        </w:rPr>
      </w:pPr>
      <w:bookmarkStart w:id="17" w:name="_Toc15396600"/>
      <w:bookmarkStart w:id="18" w:name="_Toc14026"/>
      <w:bookmarkStart w:id="19" w:name="_Toc15377197"/>
      <w:r>
        <w:rPr>
          <w:rFonts w:hint="eastAsia" w:ascii="黑体" w:hAnsi="黑体" w:eastAsia="黑体"/>
          <w:b w:val="0"/>
          <w:u w:val="none" w:color="auto"/>
          <w:shd w:val="clear" w:fill="auto"/>
        </w:rPr>
        <w:t>一、基</w:t>
      </w:r>
      <w:r>
        <w:rPr>
          <w:rStyle w:val="30"/>
          <w:rFonts w:hint="eastAsia" w:ascii="黑体" w:hAnsi="黑体" w:eastAsia="黑体"/>
          <w:b w:val="0"/>
          <w:bCs w:val="0"/>
          <w:u w:val="none" w:color="auto"/>
          <w:shd w:val="clear" w:fill="auto"/>
        </w:rPr>
        <w:t>本职能及主要工作</w:t>
      </w:r>
      <w:bookmarkEnd w:id="17"/>
      <w:bookmarkEnd w:id="18"/>
      <w:bookmarkEnd w:id="19"/>
    </w:p>
    <w:p>
      <w:pPr>
        <w:pStyle w:val="3"/>
        <w:adjustRightInd w:val="0"/>
        <w:snapToGrid w:val="0"/>
        <w:spacing w:beforeLines="0" w:line="560" w:lineRule="exact"/>
        <w:ind w:firstLine="562" w:firstLineChars="200"/>
        <w:outlineLvl w:val="2"/>
        <w:rPr>
          <w:rFonts w:ascii="仿宋" w:hAnsi="仿宋" w:eastAsia="仿宋"/>
          <w:b/>
          <w:sz w:val="28"/>
          <w:szCs w:val="28"/>
          <w:u w:val="none" w:color="auto"/>
          <w:shd w:val="clear" w:fill="auto"/>
        </w:rPr>
      </w:pPr>
      <w:bookmarkStart w:id="20" w:name="_Toc15378445"/>
      <w:bookmarkStart w:id="21" w:name="_Toc15377198"/>
      <w:r>
        <w:rPr>
          <w:rFonts w:hint="eastAsia" w:ascii="仿宋" w:hAnsi="仿宋" w:eastAsia="仿宋"/>
          <w:b/>
          <w:sz w:val="28"/>
          <w:szCs w:val="28"/>
          <w:u w:val="none" w:color="auto"/>
          <w:shd w:val="clear" w:fill="auto"/>
        </w:rPr>
        <w:t>（一）主要职能。</w:t>
      </w:r>
      <w:bookmarkEnd w:id="20"/>
      <w:bookmarkEnd w:id="21"/>
    </w:p>
    <w:p>
      <w:pPr>
        <w:pStyle w:val="13"/>
        <w:spacing w:before="0" w:after="0" w:line="560" w:lineRule="exact"/>
        <w:ind w:firstLine="560" w:firstLineChars="200"/>
        <w:rPr>
          <w:rFonts w:ascii="仿宋_GB2312" w:hAnsi="仿宋_GB2312" w:eastAsia="仿宋_GB2312" w:cs="仿宋_GB2312"/>
          <w:sz w:val="28"/>
          <w:szCs w:val="28"/>
          <w:u w:val="none" w:color="auto"/>
          <w:shd w:val="clear" w:fill="auto"/>
        </w:rPr>
      </w:pPr>
      <w:bookmarkStart w:id="22" w:name="_Toc6826"/>
      <w:r>
        <w:rPr>
          <w:rFonts w:hint="eastAsia" w:ascii="仿宋_GB2312" w:hAnsi="仿宋_GB2312" w:eastAsia="仿宋_GB2312" w:cs="仿宋_GB2312"/>
          <w:b w:val="0"/>
          <w:bCs w:val="0"/>
          <w:color w:val="000000"/>
          <w:kern w:val="0"/>
          <w:sz w:val="28"/>
          <w:szCs w:val="28"/>
          <w:u w:val="none" w:color="auto"/>
          <w:shd w:val="clear" w:fill="auto"/>
        </w:rPr>
        <w:t>在县委坚强领导下，始终坚定政治方向，认真贯彻中央巡视工作方针、省委巡察工作办法以及市委巡察办对巡察工作的要求，根据《中国共产党巡视工作条例》开展巡察工作。其主要职责</w:t>
      </w:r>
      <w:r>
        <w:rPr>
          <w:u w:val="none" w:color="auto"/>
          <w:shd w:val="clear" w:fill="auto"/>
        </w:rPr>
        <w:t>：</w:t>
      </w:r>
      <w:r>
        <w:rPr>
          <w:rFonts w:hint="eastAsia" w:ascii="仿宋_GB2312" w:hAnsi="仿宋_GB2312" w:eastAsia="仿宋_GB2312" w:cs="仿宋_GB2312"/>
          <w:b w:val="0"/>
          <w:bCs w:val="0"/>
          <w:color w:val="000000"/>
          <w:kern w:val="0"/>
          <w:sz w:val="28"/>
          <w:szCs w:val="28"/>
          <w:u w:val="none" w:color="auto"/>
          <w:shd w:val="clear" w:fill="auto"/>
        </w:rPr>
        <w:t>一是负责拟定巡察工作规划、年度计划和传达贯彻巡察工作领导小组的决策和部署；二是负责政策研究、制度建设等工作；三是负责统筹、协调、指导巡察组开展工作；四是负责督办县委和县委巡察工作领导小组决定事项；五是配合县纪委、县委组织部及有关部门对巡察工作人员进行培训、考核、监督和管理；六是承办县委巡察工作领导小组和上级巡视或巡察工作领导小组办公室交办的其他事项。</w:t>
      </w:r>
      <w:bookmarkEnd w:id="22"/>
    </w:p>
    <w:p>
      <w:pPr>
        <w:pStyle w:val="3"/>
        <w:adjustRightInd w:val="0"/>
        <w:snapToGrid w:val="0"/>
        <w:spacing w:before="93" w:line="560" w:lineRule="exact"/>
        <w:ind w:firstLine="562" w:firstLineChars="200"/>
        <w:outlineLvl w:val="2"/>
        <w:rPr>
          <w:rFonts w:hAnsi="仿宋_GB2312" w:cs="仿宋_GB2312"/>
          <w:b/>
          <w:sz w:val="28"/>
          <w:szCs w:val="28"/>
          <w:u w:val="none" w:color="auto"/>
          <w:shd w:val="clear" w:fill="auto"/>
        </w:rPr>
      </w:pPr>
      <w:bookmarkStart w:id="23" w:name="_Toc15377199"/>
      <w:bookmarkStart w:id="24" w:name="_Toc15378446"/>
      <w:r>
        <w:rPr>
          <w:rFonts w:hint="eastAsia" w:hAnsi="仿宋_GB2312" w:cs="仿宋_GB2312"/>
          <w:b/>
          <w:sz w:val="28"/>
          <w:szCs w:val="28"/>
          <w:u w:val="none" w:color="auto"/>
          <w:shd w:val="clear" w:fill="auto"/>
        </w:rPr>
        <w:t>（二）2021年重点工作完成情况。</w:t>
      </w:r>
      <w:bookmarkEnd w:id="23"/>
      <w:bookmarkEnd w:id="24"/>
    </w:p>
    <w:p>
      <w:pPr>
        <w:pStyle w:val="21"/>
        <w:spacing w:line="560" w:lineRule="exact"/>
        <w:ind w:firstLine="560" w:firstLineChars="200"/>
        <w:jc w:val="both"/>
        <w:rPr>
          <w:rFonts w:ascii="仿宋_GB2312" w:hAnsi="仿宋_GB2312" w:eastAsia="仿宋_GB2312" w:cs="仿宋_GB2312"/>
          <w:color w:val="auto"/>
          <w:sz w:val="28"/>
          <w:szCs w:val="28"/>
          <w:u w:val="none" w:color="auto"/>
          <w:shd w:val="clear" w:fill="auto"/>
        </w:rPr>
      </w:pPr>
      <w:r>
        <w:rPr>
          <w:rFonts w:hint="eastAsia" w:ascii="Times New Roman" w:hAnsi="Times New Roman" w:eastAsia="仿宋_GB2312" w:cs="Times New Roman"/>
          <w:color w:val="auto"/>
          <w:sz w:val="28"/>
          <w:szCs w:val="28"/>
          <w:u w:val="none" w:color="auto"/>
          <w:shd w:val="clear" w:fill="auto"/>
        </w:rPr>
        <w:t>2021</w:t>
      </w:r>
      <w:r>
        <w:rPr>
          <w:rFonts w:hint="eastAsia" w:ascii="仿宋_GB2312" w:hAnsi="仿宋_GB2312" w:eastAsia="仿宋_GB2312" w:cs="仿宋_GB2312"/>
          <w:sz w:val="28"/>
          <w:szCs w:val="28"/>
          <w:u w:val="none" w:color="auto"/>
          <w:shd w:val="clear" w:fill="auto"/>
        </w:rPr>
        <w:t>年，</w:t>
      </w:r>
      <w:r>
        <w:rPr>
          <w:rFonts w:hint="eastAsia" w:ascii="仿宋_GB2312" w:hAnsi="仿宋_GB2312" w:eastAsia="仿宋_GB2312" w:cs="仿宋_GB2312"/>
          <w:color w:val="auto"/>
          <w:sz w:val="28"/>
          <w:szCs w:val="28"/>
          <w:u w:val="none" w:color="auto"/>
          <w:shd w:val="clear" w:fill="auto"/>
        </w:rPr>
        <w:t>县委巡察办全面贯彻“发现问题、形成震慑，推动改革、促进发展”巡视工作方针，坚持把“两个维护”作为根本任务，坚守以人民为中心的价值取向，对照习近平新时代中国特色社会主义思想、党章党规党纪、党的理论路线方针政策和党中央重大决策部</w:t>
      </w:r>
      <w:r>
        <w:rPr>
          <w:rFonts w:hint="eastAsia" w:ascii="仿宋_GB2312" w:hAnsi="仿宋_GB2312" w:eastAsia="仿宋_GB2312" w:cs="仿宋_GB2312"/>
          <w:color w:val="auto"/>
          <w:sz w:val="28"/>
          <w:szCs w:val="28"/>
          <w:u w:val="none" w:color="auto"/>
          <w:shd w:val="clear" w:fill="auto"/>
        </w:rPr>
        <w:t>署、被巡察单位的职能责任和“三定”规定，特别是将换届纪律、疫情防控、两项改革“后半篇”文章、粮食购销领域作风和腐败问题等作为巡察监督重要内容，发现并推动解决了一批影响党的先进性、弱化党的纯洁性的问题，切实督促被巡察党组织和党员干部增强“四个意识</w:t>
      </w:r>
      <w:r>
        <w:rPr>
          <w:rFonts w:hint="eastAsia" w:ascii="仿宋_GB2312" w:hAnsi="仿宋_GB2312" w:eastAsia="仿宋_GB2312" w:cs="仿宋_GB2312"/>
          <w:color w:val="auto"/>
          <w:sz w:val="28"/>
          <w:szCs w:val="28"/>
          <w:u w:val="none" w:color="auto"/>
          <w:shd w:val="clear" w:fill="auto"/>
        </w:rPr>
        <w:t>”、坚定“四个自信”、做到“两个维护”。</w:t>
      </w:r>
      <w:r>
        <w:rPr>
          <w:rFonts w:hint="eastAsia" w:ascii="仿宋_GB2312" w:hAnsi="仿宋_GB2312" w:eastAsia="仿宋_GB2312" w:cs="仿宋_GB2312"/>
          <w:sz w:val="28"/>
          <w:szCs w:val="28"/>
          <w:u w:val="none" w:color="auto"/>
          <w:shd w:val="clear" w:fill="auto"/>
        </w:rPr>
        <w:t>今年以来，</w:t>
      </w:r>
      <w:r>
        <w:rPr>
          <w:rFonts w:hint="eastAsia" w:ascii="仿宋_GB2312" w:hAnsi="仿宋_GB2312" w:eastAsia="仿宋_GB2312" w:cs="仿宋_GB2312"/>
          <w:color w:val="auto"/>
          <w:sz w:val="28"/>
          <w:szCs w:val="28"/>
          <w:u w:val="none" w:color="auto"/>
          <w:shd w:val="clear" w:fill="auto"/>
        </w:rPr>
        <w:t>开展十三届县委第八轮、第九轮巡察工作，完成对</w:t>
      </w:r>
      <w:r>
        <w:rPr>
          <w:rFonts w:hint="eastAsia" w:ascii="Times New Roman" w:hAnsi="Times New Roman" w:eastAsia="仿宋_GB2312" w:cs="Times New Roman"/>
          <w:kern w:val="2"/>
          <w:sz w:val="28"/>
          <w:szCs w:val="28"/>
          <w:u w:val="none" w:color="auto"/>
          <w:shd w:val="clear" w:fill="auto"/>
        </w:rPr>
        <w:t>火炬</w:t>
      </w:r>
      <w:r>
        <w:rPr>
          <w:rFonts w:ascii="Times New Roman" w:hAnsi="Times New Roman" w:eastAsia="仿宋_GB2312" w:cs="Times New Roman"/>
          <w:kern w:val="2"/>
          <w:sz w:val="28"/>
          <w:szCs w:val="28"/>
          <w:u w:val="none" w:color="auto"/>
          <w:shd w:val="clear" w:fill="auto"/>
        </w:rPr>
        <w:t>镇等2个乡镇</w:t>
      </w:r>
      <w:r>
        <w:rPr>
          <w:rFonts w:hint="eastAsia" w:ascii="Times New Roman" w:hAnsi="Times New Roman" w:eastAsia="仿宋_GB2312" w:cs="Times New Roman"/>
          <w:kern w:val="2"/>
          <w:sz w:val="28"/>
          <w:szCs w:val="28"/>
          <w:u w:val="none" w:color="auto"/>
          <w:shd w:val="clear" w:fill="auto"/>
        </w:rPr>
        <w:t>、</w:t>
      </w:r>
      <w:r>
        <w:rPr>
          <w:rFonts w:hint="eastAsia" w:ascii="Times New Roman" w:hAnsi="Times New Roman" w:eastAsia="仿宋_GB2312" w:cs="Times New Roman"/>
          <w:color w:val="auto"/>
          <w:kern w:val="2"/>
          <w:sz w:val="28"/>
          <w:szCs w:val="28"/>
          <w:u w:val="none" w:color="auto"/>
          <w:shd w:val="clear" w:fill="auto"/>
        </w:rPr>
        <w:t>国资委</w:t>
      </w:r>
      <w:r>
        <w:rPr>
          <w:rFonts w:ascii="Times New Roman" w:hAnsi="Times New Roman" w:eastAsia="仿宋_GB2312" w:cs="Times New Roman"/>
          <w:kern w:val="2"/>
          <w:sz w:val="28"/>
          <w:szCs w:val="28"/>
          <w:u w:val="none" w:color="auto"/>
          <w:shd w:val="clear" w:fill="auto"/>
        </w:rPr>
        <w:t>等</w:t>
      </w:r>
      <w:r>
        <w:rPr>
          <w:rFonts w:ascii="Times New Roman" w:hAnsi="Times New Roman" w:eastAsia="仿宋_GB2312" w:cs="Times New Roman"/>
          <w:color w:val="auto"/>
          <w:sz w:val="28"/>
          <w:szCs w:val="28"/>
          <w:u w:val="none" w:color="auto"/>
          <w:shd w:val="clear" w:fill="auto"/>
        </w:rPr>
        <w:t>6</w:t>
      </w:r>
      <w:r>
        <w:rPr>
          <w:rFonts w:ascii="Times New Roman" w:hAnsi="Times New Roman" w:eastAsia="仿宋_GB2312" w:cs="Times New Roman"/>
          <w:kern w:val="2"/>
          <w:sz w:val="28"/>
          <w:szCs w:val="28"/>
          <w:u w:val="none" w:color="auto"/>
          <w:shd w:val="clear" w:fill="auto"/>
        </w:rPr>
        <w:t>个县</w:t>
      </w:r>
      <w:r>
        <w:rPr>
          <w:rFonts w:ascii="仿宋_GB2312" w:hAnsi="仿宋_GB2312" w:eastAsia="仿宋_GB2312" w:cs="仿宋_GB2312"/>
          <w:color w:val="auto"/>
          <w:sz w:val="28"/>
          <w:szCs w:val="28"/>
          <w:u w:val="none" w:color="auto"/>
          <w:shd w:val="clear" w:fill="auto"/>
        </w:rPr>
        <w:t>级部门</w:t>
      </w:r>
      <w:r>
        <w:rPr>
          <w:rFonts w:hint="eastAsia" w:ascii="仿宋_GB2312" w:hAnsi="仿宋_GB2312" w:eastAsia="仿宋_GB2312" w:cs="仿宋_GB2312"/>
          <w:color w:val="auto"/>
          <w:sz w:val="28"/>
          <w:szCs w:val="28"/>
          <w:u w:val="none" w:color="auto"/>
          <w:shd w:val="clear" w:fill="auto"/>
        </w:rPr>
        <w:t>、</w:t>
      </w:r>
      <w:r>
        <w:rPr>
          <w:rFonts w:ascii="仿宋_GB2312" w:hAnsi="仿宋_GB2312" w:eastAsia="仿宋_GB2312" w:cs="仿宋_GB2312"/>
          <w:color w:val="auto"/>
          <w:sz w:val="28"/>
          <w:szCs w:val="28"/>
          <w:u w:val="none" w:color="auto"/>
          <w:shd w:val="clear" w:fill="auto"/>
        </w:rPr>
        <w:t>通江中学等6所县属学校</w:t>
      </w:r>
      <w:r>
        <w:rPr>
          <w:rFonts w:hint="eastAsia" w:ascii="仿宋_GB2312" w:hAnsi="仿宋_GB2312" w:eastAsia="仿宋_GB2312" w:cs="仿宋_GB2312"/>
          <w:color w:val="auto"/>
          <w:sz w:val="28"/>
          <w:szCs w:val="28"/>
          <w:u w:val="none" w:color="auto"/>
          <w:shd w:val="clear" w:fill="auto"/>
        </w:rPr>
        <w:t>和县检察院等12个党组织的巡察“回头看”工作。综合运用常规巡察、巡察“回头看”和专项巡察等方式，先后完成对47个党组织的巡察，共发现4类397个问题，移交31条问题线索。截至10月底，圆满完成了届内巡察任务。</w:t>
      </w:r>
    </w:p>
    <w:p>
      <w:pPr>
        <w:pStyle w:val="13"/>
        <w:spacing w:before="0" w:after="0" w:line="560" w:lineRule="exact"/>
        <w:ind w:firstLine="560" w:firstLineChars="200"/>
        <w:rPr>
          <w:rStyle w:val="30"/>
          <w:rFonts w:ascii="黑体" w:hAnsi="黑体" w:eastAsia="黑体"/>
          <w:b w:val="0"/>
          <w:bCs w:val="0"/>
          <w:sz w:val="28"/>
          <w:szCs w:val="28"/>
          <w:u w:val="none" w:color="auto"/>
          <w:shd w:val="clear" w:fill="auto"/>
        </w:rPr>
      </w:pPr>
      <w:bookmarkStart w:id="25" w:name="_Toc30080"/>
      <w:bookmarkStart w:id="26" w:name="_Toc15377200"/>
      <w:bookmarkStart w:id="27" w:name="_Toc15396601"/>
      <w:r>
        <w:rPr>
          <w:rFonts w:hint="eastAsia" w:ascii="黑体" w:hAnsi="黑体" w:eastAsia="黑体"/>
          <w:b w:val="0"/>
          <w:sz w:val="28"/>
          <w:szCs w:val="28"/>
          <w:u w:val="none" w:color="auto"/>
          <w:shd w:val="clear" w:fill="auto"/>
        </w:rPr>
        <w:t>二、机</w:t>
      </w:r>
      <w:r>
        <w:rPr>
          <w:rStyle w:val="30"/>
          <w:rFonts w:hint="eastAsia" w:ascii="黑体" w:hAnsi="黑体" w:eastAsia="黑体"/>
          <w:b w:val="0"/>
          <w:bCs w:val="0"/>
          <w:sz w:val="28"/>
          <w:szCs w:val="28"/>
          <w:u w:val="none" w:color="auto"/>
          <w:shd w:val="clear" w:fill="auto"/>
        </w:rPr>
        <w:t>构设置</w:t>
      </w:r>
      <w:bookmarkEnd w:id="25"/>
      <w:bookmarkEnd w:id="26"/>
      <w:bookmarkEnd w:id="27"/>
    </w:p>
    <w:p>
      <w:pPr>
        <w:pStyle w:val="13"/>
        <w:spacing w:before="0" w:after="0" w:line="560" w:lineRule="exact"/>
        <w:ind w:firstLine="560" w:firstLineChars="200"/>
        <w:rPr>
          <w:rFonts w:ascii="仿宋_GB2312" w:hAnsi="黑体" w:eastAsia="仿宋_GB2312" w:cs="Times New Roman"/>
          <w:b w:val="0"/>
          <w:bCs w:val="0"/>
          <w:sz w:val="28"/>
          <w:szCs w:val="28"/>
          <w:u w:val="none" w:color="auto"/>
          <w:shd w:val="clear" w:fill="auto"/>
        </w:rPr>
      </w:pPr>
      <w:bookmarkStart w:id="28" w:name="_Toc28045"/>
      <w:r>
        <w:rPr>
          <w:rFonts w:hint="eastAsia" w:ascii="仿宋_GB2312" w:hAnsi="黑体" w:eastAsia="仿宋_GB2312" w:cs="Times New Roman"/>
          <w:b w:val="0"/>
          <w:bCs w:val="0"/>
          <w:sz w:val="28"/>
          <w:szCs w:val="28"/>
          <w:u w:val="none" w:color="auto"/>
          <w:shd w:val="clear" w:fill="auto"/>
        </w:rPr>
        <w:t>县委巡察机构于2016年8月成立，按照“一办五组”模式组建，设立巡察办1个（下设1个巡察工作保障服务中心），巡察组5个。核定行政编制7名，事业编制7名，县巡察保障服务中心</w:t>
      </w:r>
      <w:r>
        <w:rPr>
          <w:rFonts w:hint="eastAsia" w:ascii="仿宋_GB2312" w:hAnsi="黑体" w:eastAsia="仿宋_GB2312" w:cs="Times New Roman"/>
          <w:b w:val="0"/>
          <w:bCs w:val="0"/>
          <w:sz w:val="28"/>
          <w:szCs w:val="28"/>
          <w:u w:val="none" w:color="auto"/>
          <w:shd w:val="clear" w:fill="auto"/>
        </w:rPr>
        <w:t>为</w:t>
      </w:r>
      <w:r>
        <w:rPr>
          <w:rFonts w:hint="eastAsia" w:ascii="仿宋_GB2312" w:hAnsi="黑体" w:eastAsia="仿宋_GB2312" w:cs="Times New Roman"/>
          <w:b w:val="0"/>
          <w:bCs w:val="0"/>
          <w:sz w:val="28"/>
          <w:szCs w:val="28"/>
          <w:u w:val="none" w:color="auto"/>
          <w:shd w:val="clear" w:fill="auto"/>
          <w:lang w:val="en-US" w:eastAsia="zh-CN"/>
        </w:rPr>
        <w:t>县</w:t>
      </w:r>
      <w:r>
        <w:rPr>
          <w:rFonts w:hint="eastAsia" w:ascii="仿宋_GB2312" w:hAnsi="黑体" w:eastAsia="仿宋_GB2312" w:cs="Times New Roman"/>
          <w:b w:val="0"/>
          <w:bCs w:val="0"/>
          <w:sz w:val="28"/>
          <w:szCs w:val="28"/>
          <w:u w:val="none" w:color="auto"/>
          <w:shd w:val="clear" w:fill="auto"/>
        </w:rPr>
        <w:t>巡察办管理的公益一类事业单位， 2021年末在岗人数24名，财政全额拨款人数24名。上派学习人员1人，年末在岗人员23人。</w:t>
      </w:r>
      <w:bookmarkEnd w:id="28"/>
    </w:p>
    <w:p>
      <w:pPr>
        <w:pStyle w:val="21"/>
        <w:spacing w:line="560" w:lineRule="exact"/>
        <w:rPr>
          <w:sz w:val="28"/>
          <w:szCs w:val="28"/>
          <w:u w:val="none" w:color="auto"/>
          <w:shd w:val="clear" w:fill="auto"/>
        </w:rPr>
      </w:pPr>
    </w:p>
    <w:p>
      <w:pPr>
        <w:pStyle w:val="21"/>
        <w:spacing w:line="560" w:lineRule="exact"/>
        <w:rPr>
          <w:sz w:val="28"/>
          <w:szCs w:val="28"/>
          <w:u w:val="none" w:color="auto"/>
          <w:shd w:val="clear" w:fill="auto"/>
        </w:rPr>
      </w:pPr>
    </w:p>
    <w:p>
      <w:pPr>
        <w:pStyle w:val="21"/>
        <w:spacing w:line="560" w:lineRule="exact"/>
        <w:rPr>
          <w:sz w:val="28"/>
          <w:szCs w:val="28"/>
          <w:u w:val="none" w:color="auto"/>
          <w:shd w:val="clear" w:fill="auto"/>
        </w:rPr>
      </w:pPr>
    </w:p>
    <w:p>
      <w:pPr>
        <w:pStyle w:val="21"/>
        <w:spacing w:line="560" w:lineRule="exact"/>
        <w:rPr>
          <w:sz w:val="28"/>
          <w:szCs w:val="28"/>
          <w:u w:val="none" w:color="auto"/>
          <w:shd w:val="clear" w:fill="auto"/>
        </w:rPr>
      </w:pPr>
    </w:p>
    <w:p>
      <w:pPr>
        <w:pStyle w:val="21"/>
        <w:spacing w:line="560" w:lineRule="exact"/>
        <w:rPr>
          <w:sz w:val="28"/>
          <w:szCs w:val="28"/>
          <w:u w:val="none" w:color="auto"/>
          <w:shd w:val="clear" w:fill="auto"/>
        </w:rPr>
      </w:pPr>
    </w:p>
    <w:p>
      <w:pPr>
        <w:pStyle w:val="21"/>
        <w:spacing w:line="560" w:lineRule="exact"/>
        <w:rPr>
          <w:u w:val="none" w:color="auto"/>
          <w:shd w:val="clear" w:fill="auto"/>
        </w:rPr>
      </w:pPr>
    </w:p>
    <w:p>
      <w:pPr>
        <w:pStyle w:val="21"/>
        <w:spacing w:line="560" w:lineRule="exact"/>
        <w:rPr>
          <w:u w:val="none" w:color="auto"/>
          <w:shd w:val="clear" w:fill="auto"/>
        </w:rPr>
      </w:pPr>
    </w:p>
    <w:p>
      <w:pPr>
        <w:pStyle w:val="12"/>
        <w:spacing w:line="560" w:lineRule="exact"/>
        <w:ind w:right="440"/>
        <w:outlineLvl w:val="9"/>
        <w:rPr>
          <w:rFonts w:ascii="黑体" w:hAnsi="黑体" w:eastAsia="黑体"/>
          <w:b w:val="0"/>
          <w:u w:val="none" w:color="auto"/>
          <w:shd w:val="clear" w:fill="auto"/>
        </w:rPr>
      </w:pPr>
      <w:bookmarkStart w:id="29" w:name="_Toc15396602"/>
      <w:bookmarkStart w:id="30" w:name="_Toc15377204"/>
    </w:p>
    <w:p>
      <w:pPr>
        <w:rPr>
          <w:u w:val="none" w:color="auto"/>
          <w:shd w:val="clear" w:fill="auto"/>
        </w:rPr>
      </w:pPr>
    </w:p>
    <w:p>
      <w:pPr>
        <w:pStyle w:val="12"/>
        <w:spacing w:line="560" w:lineRule="exact"/>
        <w:ind w:right="440"/>
        <w:outlineLvl w:val="9"/>
        <w:rPr>
          <w:rFonts w:ascii="黑体" w:hAnsi="黑体" w:eastAsia="黑体"/>
          <w:b w:val="0"/>
          <w:u w:val="none" w:color="auto"/>
          <w:shd w:val="clear" w:fill="auto"/>
        </w:rPr>
      </w:pPr>
    </w:p>
    <w:p>
      <w:pPr>
        <w:rPr>
          <w:u w:val="none" w:color="auto"/>
          <w:shd w:val="clear" w:fill="auto"/>
        </w:rPr>
      </w:pPr>
    </w:p>
    <w:p>
      <w:pPr>
        <w:pStyle w:val="12"/>
        <w:spacing w:line="560" w:lineRule="exact"/>
        <w:ind w:right="440" w:firstLine="440" w:firstLineChars="100"/>
        <w:rPr>
          <w:u w:val="none" w:color="auto"/>
          <w:shd w:val="clear" w:fill="auto"/>
        </w:rPr>
      </w:pPr>
      <w:bookmarkStart w:id="31" w:name="_Toc22509"/>
      <w:r>
        <w:rPr>
          <w:rFonts w:hint="eastAsia" w:ascii="黑体" w:hAnsi="黑体" w:eastAsia="黑体"/>
          <w:b w:val="0"/>
          <w:u w:val="none" w:color="auto"/>
          <w:shd w:val="clear" w:fill="auto"/>
        </w:rPr>
        <w:t>第二</w:t>
      </w:r>
      <w:bookmarkStart w:id="110" w:name="_GoBack"/>
      <w:r>
        <w:rPr>
          <w:rStyle w:val="29"/>
          <w:rFonts w:hint="eastAsia" w:ascii="黑体" w:hAnsi="黑体" w:eastAsia="黑体"/>
          <w:b w:val="0"/>
          <w:bCs/>
          <w:u w:val="none" w:color="auto"/>
          <w:shd w:val="clear" w:fill="auto"/>
        </w:rPr>
        <w:t>部分</w:t>
      </w:r>
      <w:bookmarkEnd w:id="110"/>
      <w:r>
        <w:rPr>
          <w:rFonts w:hint="eastAsia" w:ascii="黑体" w:hAnsi="黑体" w:eastAsia="黑体"/>
          <w:b w:val="0"/>
          <w:u w:val="none" w:color="auto"/>
          <w:shd w:val="clear" w:fill="auto"/>
        </w:rPr>
        <w:t xml:space="preserve"> 2021年度</w:t>
      </w:r>
      <w:r>
        <w:rPr>
          <w:rStyle w:val="29"/>
          <w:rFonts w:hint="eastAsia" w:ascii="黑体" w:hAnsi="黑体" w:eastAsia="黑体"/>
          <w:b w:val="0"/>
          <w:bCs/>
          <w:u w:val="none" w:color="auto"/>
          <w:shd w:val="clear" w:fill="auto"/>
        </w:rPr>
        <w:t>部门决算情况说</w:t>
      </w:r>
      <w:r>
        <w:rPr>
          <w:rStyle w:val="29"/>
          <w:rFonts w:hint="eastAsia" w:ascii="黑体" w:hAnsi="黑体" w:eastAsia="黑体"/>
          <w:b w:val="0"/>
          <w:bCs/>
          <w:u w:val="none" w:color="auto"/>
          <w:shd w:val="clear" w:fill="auto"/>
        </w:rPr>
        <w:t>明</w:t>
      </w:r>
      <w:bookmarkEnd w:id="29"/>
      <w:bookmarkEnd w:id="30"/>
      <w:bookmarkEnd w:id="31"/>
    </w:p>
    <w:p>
      <w:pPr>
        <w:pStyle w:val="28"/>
        <w:numPr>
          <w:ilvl w:val="0"/>
          <w:numId w:val="1"/>
        </w:numPr>
        <w:spacing w:line="560" w:lineRule="exact"/>
        <w:ind w:firstLineChars="0"/>
        <w:outlineLvl w:val="1"/>
        <w:rPr>
          <w:rStyle w:val="30"/>
          <w:rFonts w:ascii="黑体" w:hAnsi="黑体" w:eastAsia="黑体"/>
          <w:b w:val="0"/>
          <w:u w:val="none" w:color="auto"/>
          <w:shd w:val="clear" w:fill="auto"/>
        </w:rPr>
      </w:pPr>
      <w:bookmarkStart w:id="32" w:name="_Toc7333"/>
      <w:bookmarkStart w:id="33" w:name="_Toc15396603"/>
      <w:bookmarkStart w:id="34" w:name="_Toc15377205"/>
      <w:r>
        <w:rPr>
          <w:rFonts w:hint="eastAsia" w:ascii="黑体" w:hAnsi="黑体" w:eastAsia="黑体"/>
          <w:sz w:val="32"/>
          <w:szCs w:val="32"/>
          <w:u w:val="none" w:color="auto"/>
          <w:shd w:val="clear" w:fill="auto"/>
        </w:rPr>
        <w:t>收</w:t>
      </w:r>
      <w:r>
        <w:rPr>
          <w:rStyle w:val="30"/>
          <w:rFonts w:hint="eastAsia" w:ascii="黑体" w:hAnsi="黑体" w:eastAsia="黑体"/>
          <w:b w:val="0"/>
          <w:u w:val="none" w:color="auto"/>
          <w:shd w:val="clear" w:fill="auto"/>
        </w:rPr>
        <w:t>入支出</w:t>
      </w:r>
      <w:r>
        <w:rPr>
          <w:rFonts w:hint="eastAsia" w:ascii="黑体" w:hAnsi="黑体" w:eastAsia="黑体"/>
          <w:sz w:val="32"/>
          <w:szCs w:val="32"/>
          <w:u w:val="none" w:color="auto"/>
          <w:shd w:val="clear" w:fill="auto"/>
        </w:rPr>
        <w:t>决算总体情况说明</w:t>
      </w:r>
      <w:bookmarkEnd w:id="32"/>
      <w:bookmarkEnd w:id="33"/>
      <w:bookmarkEnd w:id="34"/>
    </w:p>
    <w:p>
      <w:pPr>
        <w:snapToGrid w:val="0"/>
        <w:spacing w:line="560" w:lineRule="exact"/>
        <w:ind w:firstLine="560" w:firstLineChars="200"/>
        <w:rPr>
          <w:u w:val="none" w:color="auto"/>
          <w:shd w:val="clear" w:fill="auto"/>
        </w:rPr>
      </w:pPr>
      <w:r>
        <w:rPr>
          <w:rFonts w:hint="eastAsia" w:ascii="仿宋_GB2312" w:hAnsi="仿宋_GB2312" w:eastAsia="仿宋_GB2312" w:cs="仿宋_GB2312"/>
          <w:sz w:val="28"/>
          <w:szCs w:val="28"/>
          <w:u w:val="none" w:color="auto"/>
          <w:shd w:val="clear" w:fill="auto"/>
        </w:rPr>
        <w:t>2021年度收、支总计434.82万元。与2020年相比，收、支总计各增加29.34万元，增长7.23%。</w:t>
      </w:r>
      <w:r>
        <w:rPr>
          <w:rFonts w:hint="eastAsia" w:ascii="仿宋_GB2312" w:hAnsi="仿宋_GB2312" w:eastAsia="仿宋_GB2312" w:cs="仿宋_GB2312"/>
          <w:color w:val="000000"/>
          <w:sz w:val="28"/>
          <w:szCs w:val="28"/>
          <w:u w:val="none" w:color="auto"/>
          <w:shd w:val="clear" w:fill="auto"/>
        </w:rPr>
        <w:t>主要变动原因是单位增人增资及巡察任务资金增加</w:t>
      </w:r>
      <w:r>
        <w:rPr>
          <w:rFonts w:hint="eastAsia" w:ascii="仿宋_GB2312" w:hAnsi="仿宋_GB2312" w:eastAsia="仿宋_GB2312" w:cs="仿宋_GB2312"/>
          <w:sz w:val="28"/>
          <w:szCs w:val="28"/>
          <w:u w:val="none" w:color="auto"/>
          <w:shd w:val="clear" w:fill="auto"/>
        </w:rPr>
        <w:t>。</w:t>
      </w:r>
    </w:p>
    <w:p>
      <w:pPr>
        <w:rPr>
          <w:u w:val="none" w:color="auto"/>
          <w:shd w:val="clear" w:fill="auto"/>
        </w:rPr>
      </w:pPr>
      <w:r>
        <w:rPr>
          <w:u w:val="none" w:color="auto"/>
          <w:shd w:val="clear" w:fill="auto"/>
        </w:rPr>
        <w:object>
          <v:shape id="_x0000_i1025" o:spt="75" type="#_x0000_t75" style="height:175.2pt;width:379.8pt;" o:ole="t" filled="f" o:preferrelative="t" stroked="f" coordsize="21600,21600">
            <v:path/>
            <v:fill on="f" focussize="0,0"/>
            <v:stroke on="f" joinstyle="miter"/>
            <v:imagedata r:id="rId17" o:title=""/>
            <o:lock v:ext="edit" aspectratio="t"/>
            <w10:wrap type="none"/>
            <w10:anchorlock/>
          </v:shape>
          <o:OLEObject Type="Embed" ProgID="Excel.Sheet.8" ShapeID="_x0000_i1025" DrawAspect="Content" ObjectID="_1468075725" r:id="rId16">
            <o:LockedField>false</o:LockedField>
          </o:OLEObject>
        </w:object>
      </w:r>
    </w:p>
    <w:p>
      <w:pPr>
        <w:pStyle w:val="28"/>
        <w:numPr>
          <w:ilvl w:val="0"/>
          <w:numId w:val="1"/>
        </w:numPr>
        <w:spacing w:line="560" w:lineRule="exact"/>
        <w:ind w:firstLineChars="0"/>
        <w:outlineLvl w:val="1"/>
        <w:rPr>
          <w:rStyle w:val="30"/>
          <w:rFonts w:ascii="黑体" w:hAnsi="黑体" w:eastAsia="黑体"/>
          <w:b w:val="0"/>
          <w:u w:val="none" w:color="auto"/>
          <w:shd w:val="clear" w:fill="auto"/>
        </w:rPr>
      </w:pPr>
      <w:bookmarkStart w:id="35" w:name="_Toc4262"/>
      <w:bookmarkStart w:id="36" w:name="_Toc15396604"/>
      <w:bookmarkStart w:id="37" w:name="_Toc15377206"/>
      <w:r>
        <w:rPr>
          <w:rFonts w:hint="eastAsia" w:ascii="黑体" w:hAnsi="黑体" w:eastAsia="黑体"/>
          <w:sz w:val="32"/>
          <w:szCs w:val="32"/>
          <w:u w:val="none" w:color="auto"/>
          <w:shd w:val="clear" w:fill="auto"/>
        </w:rPr>
        <w:t>收</w:t>
      </w:r>
      <w:r>
        <w:rPr>
          <w:rStyle w:val="30"/>
          <w:rFonts w:hint="eastAsia" w:ascii="黑体" w:hAnsi="黑体" w:eastAsia="黑体"/>
          <w:b w:val="0"/>
          <w:u w:val="none" w:color="auto"/>
          <w:shd w:val="clear" w:fill="auto"/>
        </w:rPr>
        <w:t>入决算情况说明</w:t>
      </w:r>
      <w:bookmarkEnd w:id="35"/>
      <w:bookmarkEnd w:id="36"/>
      <w:bookmarkEnd w:id="37"/>
    </w:p>
    <w:p>
      <w:pPr>
        <w:snapToGrid w:val="0"/>
        <w:spacing w:line="560" w:lineRule="exact"/>
        <w:ind w:firstLine="560" w:firstLineChars="200"/>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2021年本年收入合计434.82万元，其中：一般公共预算财政拨款收入364.34万元，占83.79%；年初结转和结余0.44万元</w:t>
      </w:r>
      <w:r>
        <w:rPr>
          <w:u w:val="none" w:color="auto"/>
          <w:shd w:val="clear" w:fill="auto"/>
        </w:rPr>
        <w:t>，</w:t>
      </w:r>
      <w:r>
        <w:rPr>
          <w:rFonts w:hint="eastAsia" w:ascii="仿宋_GB2312" w:hAnsi="仿宋_GB2312" w:eastAsia="仿宋_GB2312" w:cs="仿宋_GB2312"/>
          <w:sz w:val="28"/>
          <w:szCs w:val="28"/>
          <w:u w:val="none" w:color="auto"/>
          <w:shd w:val="clear" w:fill="auto"/>
        </w:rPr>
        <w:t>占比0.1%；政府性基金预算财政拨款收入0万元，占%；国有资本经营预算财政拨款收入0万元，占%；上级补助收入0万元，占%；事业收入0万元，占%；经营收入0万元，占%；附属单位上缴收入0万元，占%；其他收入70.04万元，占16.11%。</w:t>
      </w:r>
    </w:p>
    <w:p>
      <w:pPr>
        <w:snapToGrid w:val="0"/>
        <w:spacing w:line="460" w:lineRule="exact"/>
        <w:ind w:firstLine="640" w:firstLineChars="200"/>
        <w:outlineLvl w:val="0"/>
        <w:rPr>
          <w:rFonts w:ascii="宋体" w:hAnsi="宋体" w:cs="宋体"/>
          <w:b/>
          <w:color w:val="FF0000"/>
          <w:sz w:val="28"/>
          <w:szCs w:val="28"/>
          <w:u w:val="none" w:color="auto"/>
          <w:shd w:val="clear" w:fill="auto"/>
        </w:rPr>
      </w:pPr>
      <w:bookmarkStart w:id="38" w:name="_Toc17689"/>
      <w:r>
        <w:rPr>
          <w:rFonts w:hint="eastAsia" w:ascii="仿宋" w:hAnsi="仿宋" w:eastAsia="仿宋"/>
          <w:sz w:val="32"/>
          <w:szCs w:val="32"/>
          <w:u w:val="none" w:color="auto"/>
          <w:shd w:val="clear" w:fill="auto"/>
        </w:rPr>
        <w:t>图2：</w:t>
      </w:r>
      <w:r>
        <w:rPr>
          <w:rFonts w:hint="eastAsia" w:ascii="宋体" w:hAnsi="宋体" w:cs="宋体"/>
          <w:b/>
          <w:sz w:val="28"/>
          <w:szCs w:val="28"/>
          <w:u w:val="none" w:color="auto"/>
          <w:shd w:val="clear" w:fill="auto"/>
        </w:rPr>
        <w:t>.收入</w:t>
      </w:r>
      <w:r>
        <w:rPr>
          <w:rFonts w:hint="eastAsia" w:ascii="仿宋" w:hAnsi="仿宋" w:eastAsia="仿宋"/>
          <w:sz w:val="32"/>
          <w:szCs w:val="32"/>
          <w:u w:val="none" w:color="auto"/>
          <w:shd w:val="clear" w:fill="auto"/>
        </w:rPr>
        <w:t>决</w:t>
      </w:r>
      <w:r>
        <w:rPr>
          <w:rFonts w:hint="eastAsia" w:ascii="宋体" w:hAnsi="宋体" w:cs="宋体"/>
          <w:b/>
          <w:sz w:val="28"/>
          <w:szCs w:val="28"/>
          <w:u w:val="none" w:color="auto"/>
          <w:shd w:val="clear" w:fill="auto"/>
        </w:rPr>
        <w:t>算结构图</w:t>
      </w:r>
      <w:bookmarkEnd w:id="38"/>
    </w:p>
    <w:p>
      <w:pPr>
        <w:spacing w:line="600" w:lineRule="exact"/>
        <w:ind w:firstLine="640" w:firstLineChars="200"/>
        <w:rPr>
          <w:rFonts w:ascii="仿宋" w:hAnsi="仿宋" w:eastAsia="仿宋"/>
          <w:sz w:val="32"/>
          <w:szCs w:val="32"/>
          <w:u w:val="none" w:color="auto"/>
          <w:shd w:val="clear" w:fill="auto"/>
        </w:rPr>
      </w:pPr>
    </w:p>
    <w:p>
      <w:pPr>
        <w:rPr>
          <w:u w:val="none" w:color="auto"/>
          <w:shd w:val="clear" w:fill="auto"/>
        </w:rPr>
      </w:pPr>
      <w:r>
        <w:rPr>
          <w:rFonts w:hint="eastAsia" w:ascii="宋体" w:hAnsi="宋体" w:cs="宋体"/>
          <w:u w:val="none" w:color="auto"/>
          <w:shd w:val="clear" w:fill="auto"/>
        </w:rPr>
        <w:object>
          <v:shape id="_x0000_i1026" o:spt="75" type="#_x0000_t75" style="height:177.6pt;width:514.2pt;" o:ole="t" filled="f" o:preferrelative="t" stroked="f" coordsize="21600,21600">
            <v:path/>
            <v:fill on="f" focussize="0,0"/>
            <v:stroke on="f" joinstyle="miter"/>
            <v:imagedata r:id="rId19" o:title=""/>
            <o:lock v:ext="edit" aspectratio="t"/>
            <w10:wrap type="none"/>
            <w10:anchorlock/>
          </v:shape>
          <o:OLEObject Type="Embed" ProgID="Excel.Sheet.8" ShapeID="_x0000_i1026" DrawAspect="Content" ObjectID="_1468075726" r:id="rId18">
            <o:LockedField>false</o:LockedField>
          </o:OLEObject>
        </w:object>
      </w:r>
    </w:p>
    <w:p>
      <w:pPr>
        <w:pStyle w:val="28"/>
        <w:numPr>
          <w:ilvl w:val="0"/>
          <w:numId w:val="1"/>
        </w:numPr>
        <w:spacing w:line="560" w:lineRule="exact"/>
        <w:ind w:firstLineChars="0"/>
        <w:outlineLvl w:val="1"/>
        <w:rPr>
          <w:rStyle w:val="30"/>
          <w:rFonts w:ascii="黑体" w:hAnsi="黑体" w:eastAsia="黑体"/>
          <w:b w:val="0"/>
          <w:u w:val="none" w:color="auto"/>
          <w:shd w:val="clear" w:fill="auto"/>
        </w:rPr>
      </w:pPr>
      <w:bookmarkStart w:id="39" w:name="_Toc15377207"/>
      <w:bookmarkStart w:id="40" w:name="_Toc12688"/>
      <w:bookmarkStart w:id="41" w:name="_Toc15396605"/>
      <w:r>
        <w:rPr>
          <w:rFonts w:hint="eastAsia" w:ascii="黑体" w:hAnsi="黑体" w:eastAsia="黑体"/>
          <w:sz w:val="32"/>
          <w:szCs w:val="32"/>
          <w:u w:val="none" w:color="auto"/>
          <w:shd w:val="clear" w:fill="auto"/>
        </w:rPr>
        <w:t>支出决算情况说明</w:t>
      </w:r>
      <w:bookmarkEnd w:id="39"/>
      <w:bookmarkEnd w:id="40"/>
      <w:bookmarkEnd w:id="41"/>
    </w:p>
    <w:p>
      <w:pPr>
        <w:snapToGrid w:val="0"/>
        <w:spacing w:line="560" w:lineRule="exact"/>
        <w:ind w:firstLine="560" w:firstLineChars="200"/>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2021年本年支出合计432.96万元，其中：基本支出335.02万元，占77.38%；项目支出97.94万元，占22.62%；上缴上级支出0万元，占%；经营支出0万元，占%；对附属单位补助支出0万元，占%。</w:t>
      </w:r>
    </w:p>
    <w:p>
      <w:pPr>
        <w:pStyle w:val="3"/>
        <w:spacing w:before="93"/>
        <w:rPr>
          <w:rFonts w:hAnsi="仿宋_GB2312" w:cs="仿宋_GB2312"/>
          <w:sz w:val="28"/>
          <w:szCs w:val="28"/>
          <w:u w:val="none" w:color="auto"/>
          <w:shd w:val="clear" w:fill="auto"/>
        </w:rPr>
      </w:pPr>
      <w:r>
        <w:rPr>
          <w:u w:val="none" w:color="auto"/>
          <w:shd w:val="clear" w:fill="auto"/>
        </w:rPr>
        <w:object>
          <v:shape id="_x0000_i1027" o:spt="75" type="#_x0000_t75" style="height:184.8pt;width:391.8pt;" o:ole="t" filled="f" o:preferrelative="t" stroked="f" coordsize="21600,21600">
            <v:path/>
            <v:fill on="f" focussize="0,0"/>
            <v:stroke on="f" joinstyle="miter"/>
            <v:imagedata r:id="rId21" o:title=""/>
            <o:lock v:ext="edit" aspectratio="t"/>
            <w10:wrap type="none"/>
            <w10:anchorlock/>
          </v:shape>
          <o:OLEObject Type="Embed" ProgID="Excel.Sheet.8" ShapeID="_x0000_i1027" DrawAspect="Content" ObjectID="_1468075727" r:id="rId20">
            <o:LockedField>false</o:LockedField>
          </o:OLEObject>
        </w:object>
      </w:r>
    </w:p>
    <w:p>
      <w:pPr>
        <w:pStyle w:val="15"/>
        <w:ind w:left="0"/>
        <w:rPr>
          <w:u w:val="none" w:color="auto"/>
          <w:shd w:val="clear" w:fill="auto"/>
        </w:rPr>
      </w:pPr>
    </w:p>
    <w:p>
      <w:pPr>
        <w:spacing w:line="560" w:lineRule="exact"/>
        <w:ind w:firstLine="640" w:firstLineChars="200"/>
        <w:outlineLvl w:val="1"/>
        <w:rPr>
          <w:rStyle w:val="30"/>
          <w:rFonts w:ascii="黑体" w:hAnsi="黑体" w:eastAsia="黑体"/>
          <w:b w:val="0"/>
          <w:u w:val="none" w:color="auto"/>
          <w:shd w:val="clear" w:fill="auto"/>
        </w:rPr>
      </w:pPr>
      <w:bookmarkStart w:id="42" w:name="_Toc23847"/>
      <w:bookmarkStart w:id="43" w:name="_Toc15396606"/>
      <w:bookmarkStart w:id="44" w:name="_Toc15377208"/>
      <w:r>
        <w:rPr>
          <w:rFonts w:hint="eastAsia" w:ascii="黑体" w:hAnsi="黑体" w:eastAsia="黑体"/>
          <w:sz w:val="32"/>
          <w:szCs w:val="32"/>
          <w:u w:val="none" w:color="auto"/>
          <w:shd w:val="clear" w:fill="auto"/>
        </w:rPr>
        <w:t>四、财</w:t>
      </w:r>
      <w:r>
        <w:rPr>
          <w:rStyle w:val="30"/>
          <w:rFonts w:hint="eastAsia" w:ascii="黑体" w:hAnsi="黑体" w:eastAsia="黑体"/>
          <w:b w:val="0"/>
          <w:u w:val="none" w:color="auto"/>
          <w:shd w:val="clear" w:fill="auto"/>
        </w:rPr>
        <w:t>政拨款收入支出</w:t>
      </w:r>
      <w:r>
        <w:rPr>
          <w:rFonts w:hint="eastAsia" w:ascii="黑体" w:hAnsi="黑体" w:eastAsia="黑体"/>
          <w:sz w:val="32"/>
          <w:szCs w:val="32"/>
          <w:u w:val="none" w:color="auto"/>
          <w:shd w:val="clear" w:fill="auto"/>
        </w:rPr>
        <w:t>决算总体情况说明</w:t>
      </w:r>
      <w:bookmarkEnd w:id="42"/>
      <w:bookmarkEnd w:id="43"/>
      <w:bookmarkEnd w:id="44"/>
    </w:p>
    <w:p>
      <w:pPr>
        <w:snapToGrid w:val="0"/>
        <w:spacing w:line="560" w:lineRule="exact"/>
        <w:ind w:firstLine="560" w:firstLineChars="200"/>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2021年财政拨款收、支总计434.82万元。与2020年相比，财政拨款收、支总计各增加8.86万元，增长2.49%。主要变动原因是单位增人增资和巡察任务增加。</w:t>
      </w:r>
    </w:p>
    <w:p>
      <w:pPr>
        <w:pStyle w:val="3"/>
        <w:spacing w:before="93"/>
        <w:rPr>
          <w:rFonts w:hAnsi="仿宋_GB2312" w:cs="仿宋_GB2312"/>
          <w:sz w:val="28"/>
          <w:szCs w:val="28"/>
          <w:u w:val="none" w:color="auto"/>
          <w:shd w:val="clear" w:fill="auto"/>
        </w:rPr>
      </w:pPr>
    </w:p>
    <w:p>
      <w:pPr>
        <w:pStyle w:val="15"/>
        <w:rPr>
          <w:rFonts w:ascii="仿宋_GB2312" w:hAnsi="仿宋_GB2312" w:eastAsia="仿宋_GB2312" w:cs="仿宋_GB2312"/>
          <w:sz w:val="28"/>
          <w:szCs w:val="28"/>
          <w:u w:val="none" w:color="auto"/>
          <w:shd w:val="clear" w:fill="auto"/>
        </w:rPr>
      </w:pPr>
    </w:p>
    <w:p>
      <w:pPr>
        <w:rPr>
          <w:u w:val="none" w:color="auto"/>
          <w:shd w:val="clear" w:fill="auto"/>
        </w:rPr>
      </w:pPr>
      <w:r>
        <w:rPr>
          <w:rFonts w:hint="eastAsia" w:ascii="仿宋" w:hAnsi="仿宋" w:eastAsia="仿宋" w:cs="仿宋"/>
          <w:u w:val="none" w:color="auto"/>
          <w:shd w:val="clear" w:fill="auto"/>
        </w:rPr>
        <w:object>
          <v:shape id="_x0000_i1028" o:spt="75" type="#_x0000_t75" style="height:203.4pt;width:396pt;" o:ole="t" filled="f" o:preferrelative="t" stroked="f" coordsize="21600,21600">
            <v:path/>
            <v:fill on="f" focussize="0,0"/>
            <v:stroke on="f" joinstyle="miter"/>
            <v:imagedata r:id="rId23" o:title=""/>
            <o:lock v:ext="edit" aspectratio="t"/>
            <w10:wrap type="none"/>
            <w10:anchorlock/>
          </v:shape>
          <o:OLEObject Type="Embed" ProgID="Excel.Sheet.8" ShapeID="_x0000_i1028" DrawAspect="Content" ObjectID="_1468075728" r:id="rId22">
            <o:LockedField>false</o:LockedField>
          </o:OLEObject>
        </w:object>
      </w:r>
    </w:p>
    <w:p>
      <w:pPr>
        <w:spacing w:line="560" w:lineRule="exact"/>
        <w:ind w:firstLine="640" w:firstLineChars="200"/>
        <w:outlineLvl w:val="1"/>
        <w:rPr>
          <w:rStyle w:val="30"/>
          <w:rFonts w:ascii="黑体" w:hAnsi="黑体" w:eastAsia="黑体"/>
          <w:b w:val="0"/>
          <w:u w:val="none" w:color="auto"/>
          <w:shd w:val="clear" w:fill="auto"/>
        </w:rPr>
      </w:pPr>
      <w:bookmarkStart w:id="45" w:name="_Toc15377209"/>
      <w:bookmarkStart w:id="46" w:name="_Toc7194"/>
      <w:bookmarkStart w:id="47" w:name="_Toc15396607"/>
      <w:r>
        <w:rPr>
          <w:rFonts w:hint="eastAsia" w:ascii="黑体" w:hAnsi="黑体" w:eastAsia="黑体"/>
          <w:sz w:val="32"/>
          <w:szCs w:val="32"/>
          <w:u w:val="none" w:color="auto"/>
          <w:shd w:val="clear" w:fill="auto"/>
        </w:rPr>
        <w:t>五、</w:t>
      </w:r>
      <w:r>
        <w:rPr>
          <w:rFonts w:hint="eastAsia" w:ascii="黑体" w:hAnsi="黑体" w:eastAsia="黑体"/>
          <w:b/>
          <w:sz w:val="32"/>
          <w:szCs w:val="32"/>
          <w:u w:val="none" w:color="auto"/>
          <w:shd w:val="clear" w:fill="auto"/>
        </w:rPr>
        <w:t>一</w:t>
      </w:r>
      <w:r>
        <w:rPr>
          <w:rStyle w:val="30"/>
          <w:rFonts w:hint="eastAsia" w:ascii="黑体" w:hAnsi="黑体" w:eastAsia="黑体"/>
          <w:b w:val="0"/>
          <w:u w:val="none" w:color="auto"/>
          <w:shd w:val="clear" w:fill="auto"/>
        </w:rPr>
        <w:t>般公共预算</w:t>
      </w:r>
      <w:r>
        <w:rPr>
          <w:rFonts w:hint="eastAsia" w:ascii="黑体" w:hAnsi="黑体" w:eastAsia="黑体"/>
          <w:u w:val="none" w:color="auto"/>
          <w:shd w:val="clear" w:fill="auto"/>
        </w:rPr>
        <w:t>财政拨款支出决算情况说明</w:t>
      </w:r>
      <w:bookmarkEnd w:id="45"/>
      <w:bookmarkEnd w:id="46"/>
      <w:bookmarkEnd w:id="47"/>
    </w:p>
    <w:p>
      <w:pPr>
        <w:spacing w:line="560" w:lineRule="exact"/>
        <w:ind w:firstLine="643" w:firstLineChars="200"/>
        <w:outlineLvl w:val="2"/>
        <w:rPr>
          <w:rFonts w:ascii="仿宋" w:hAnsi="仿宋" w:eastAsia="仿宋"/>
          <w:b/>
          <w:sz w:val="32"/>
          <w:szCs w:val="32"/>
          <w:u w:val="none" w:color="auto"/>
          <w:shd w:val="clear" w:fill="auto"/>
        </w:rPr>
      </w:pPr>
      <w:bookmarkStart w:id="48" w:name="_Toc15377210"/>
      <w:r>
        <w:rPr>
          <w:rFonts w:hint="eastAsia" w:ascii="仿宋" w:hAnsi="仿宋" w:eastAsia="仿宋"/>
          <w:b/>
          <w:sz w:val="32"/>
          <w:szCs w:val="32"/>
          <w:u w:val="none" w:color="auto"/>
          <w:shd w:val="clear" w:fill="auto"/>
        </w:rPr>
        <w:t>（一）一般公共预算财政拨款支出决算总体情况</w:t>
      </w:r>
      <w:bookmarkEnd w:id="48"/>
    </w:p>
    <w:p>
      <w:pPr>
        <w:snapToGrid w:val="0"/>
        <w:spacing w:line="560" w:lineRule="exact"/>
        <w:ind w:firstLine="560" w:firstLineChars="200"/>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2021年一般公共预算财政拨款支出362.92万元，占本年支出合计的99.49%。与2020年相比，一般公共预算财政拨款支出增加7.44万元，增长2.09%。主要变动原因是单位增人增资和巡察任务增加。</w:t>
      </w:r>
    </w:p>
    <w:p>
      <w:pPr>
        <w:rPr>
          <w:rFonts w:ascii="仿宋" w:hAnsi="仿宋" w:eastAsia="仿宋"/>
          <w:color w:val="000000"/>
          <w:sz w:val="32"/>
          <w:szCs w:val="32"/>
          <w:u w:val="none" w:color="auto"/>
          <w:shd w:val="clear" w:fill="auto"/>
        </w:rPr>
      </w:pPr>
      <w:r>
        <w:rPr>
          <w:rFonts w:ascii="仿宋" w:hAnsi="仿宋" w:eastAsia="仿宋"/>
          <w:color w:val="000000"/>
          <w:sz w:val="32"/>
          <w:szCs w:val="32"/>
          <w:u w:val="none" w:color="auto"/>
          <w:shd w:val="clear" w:fill="auto"/>
        </w:rPr>
        <w:object>
          <v:shape id="_x0000_i1029" o:spt="75" type="#_x0000_t75" style="height:195.6pt;width:402.6pt;" o:ole="t" filled="f" o:preferrelative="t" stroked="f" coordsize="21600,21600">
            <v:path/>
            <v:fill on="f" focussize="0,0"/>
            <v:stroke on="f" joinstyle="miter"/>
            <v:imagedata r:id="rId25" o:title=""/>
            <o:lock v:ext="edit" aspectratio="t"/>
            <w10:wrap type="none"/>
            <w10:anchorlock/>
          </v:shape>
          <o:OLEObject Type="Embed" ProgID="Excel.Sheet.8" ShapeID="_x0000_i1029" DrawAspect="Content" ObjectID="_1468075729" r:id="rId24">
            <o:LockedField>false</o:LockedField>
          </o:OLEObject>
        </w:object>
      </w:r>
    </w:p>
    <w:p>
      <w:pPr>
        <w:pStyle w:val="3"/>
        <w:spacing w:before="93"/>
        <w:rPr>
          <w:u w:val="none" w:color="auto"/>
          <w:shd w:val="clear" w:fill="auto"/>
        </w:rPr>
      </w:pPr>
    </w:p>
    <w:p>
      <w:pPr>
        <w:pStyle w:val="3"/>
        <w:spacing w:before="93"/>
        <w:rPr>
          <w:rFonts w:hAnsi="仿宋_GB2312" w:cs="仿宋_GB2312"/>
          <w:sz w:val="28"/>
          <w:szCs w:val="28"/>
          <w:u w:val="none" w:color="auto"/>
          <w:shd w:val="clear" w:fill="auto"/>
        </w:rPr>
      </w:pPr>
    </w:p>
    <w:p>
      <w:pPr>
        <w:pStyle w:val="15"/>
        <w:rPr>
          <w:rFonts w:ascii="仿宋_GB2312" w:hAnsi="仿宋_GB2312" w:eastAsia="仿宋_GB2312" w:cs="仿宋_GB2312"/>
          <w:sz w:val="28"/>
          <w:szCs w:val="28"/>
          <w:u w:val="none" w:color="auto"/>
          <w:shd w:val="clear" w:fill="auto"/>
        </w:rPr>
      </w:pPr>
    </w:p>
    <w:p>
      <w:pPr>
        <w:rPr>
          <w:rFonts w:ascii="仿宋_GB2312" w:hAnsi="仿宋_GB2312" w:eastAsia="仿宋_GB2312" w:cs="仿宋_GB2312"/>
          <w:sz w:val="28"/>
          <w:szCs w:val="28"/>
          <w:u w:val="none" w:color="auto"/>
          <w:shd w:val="clear" w:fill="auto"/>
        </w:rPr>
      </w:pPr>
    </w:p>
    <w:p>
      <w:pPr>
        <w:pStyle w:val="3"/>
        <w:spacing w:before="93"/>
        <w:rPr>
          <w:u w:val="none" w:color="auto"/>
          <w:shd w:val="clear" w:fill="auto"/>
        </w:rPr>
      </w:pPr>
    </w:p>
    <w:p>
      <w:pPr>
        <w:spacing w:line="560" w:lineRule="exact"/>
        <w:ind w:firstLine="321" w:firstLineChars="100"/>
        <w:outlineLvl w:val="2"/>
        <w:rPr>
          <w:rFonts w:ascii="仿宋" w:hAnsi="仿宋" w:eastAsia="仿宋"/>
          <w:b/>
          <w:sz w:val="32"/>
          <w:szCs w:val="32"/>
          <w:u w:val="none" w:color="auto"/>
          <w:shd w:val="clear" w:fill="auto"/>
        </w:rPr>
      </w:pPr>
      <w:bookmarkStart w:id="49" w:name="_Toc15377211"/>
      <w:r>
        <w:rPr>
          <w:rFonts w:hint="eastAsia" w:ascii="仿宋" w:hAnsi="仿宋" w:eastAsia="仿宋"/>
          <w:b/>
          <w:sz w:val="32"/>
          <w:szCs w:val="32"/>
          <w:u w:val="none" w:color="auto"/>
          <w:shd w:val="clear" w:fill="auto"/>
        </w:rPr>
        <w:t>（二）一般公共预算财政拨款支出决算结构情况</w:t>
      </w:r>
      <w:bookmarkEnd w:id="49"/>
    </w:p>
    <w:p>
      <w:pPr>
        <w:snapToGrid w:val="0"/>
        <w:spacing w:line="560" w:lineRule="exact"/>
        <w:ind w:firstLine="560" w:firstLineChars="200"/>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2021年一般公共预算财政拨款支出362.92万元，主要用于以下方面</w:t>
      </w:r>
      <w:r>
        <w:rPr>
          <w:u w:val="none" w:color="auto"/>
          <w:shd w:val="clear" w:fill="auto"/>
        </w:rPr>
        <w:t>：</w:t>
      </w:r>
      <w:r>
        <w:rPr>
          <w:rFonts w:hint="eastAsia" w:ascii="仿宋_GB2312" w:hAnsi="仿宋_GB2312" w:eastAsia="仿宋_GB2312" w:cs="仿宋_GB2312"/>
          <w:sz w:val="28"/>
          <w:szCs w:val="28"/>
          <w:u w:val="none" w:color="auto"/>
          <w:shd w:val="clear" w:fill="auto"/>
        </w:rPr>
        <w:t>一般公共服务（类）支出301.63万元，占83.11%；教育支出（类）0万元，占%；科学技术（类）支出0万元，占%；文化旅游体育与传媒（类）支出0万元，占%；社会保障和就业（类）支出24.88万元，占6.85%；卫生健康支出15.73万元，占4.0%；住房保障支出18.28万元，占比5.04%；农林水支出2.4万元，占1%。</w:t>
      </w:r>
    </w:p>
    <w:p>
      <w:pPr>
        <w:pStyle w:val="3"/>
        <w:spacing w:before="93"/>
        <w:rPr>
          <w:rFonts w:hAnsi="仿宋_GB2312" w:cs="仿宋_GB2312"/>
          <w:sz w:val="28"/>
          <w:szCs w:val="28"/>
          <w:u w:val="none" w:color="auto"/>
          <w:shd w:val="clear" w:fill="auto"/>
        </w:rPr>
      </w:pPr>
    </w:p>
    <w:p>
      <w:pPr>
        <w:pStyle w:val="15"/>
        <w:rPr>
          <w:u w:val="none" w:color="auto"/>
          <w:shd w:val="clear" w:fill="auto"/>
        </w:rPr>
      </w:pPr>
      <w:r>
        <w:rPr>
          <w:u w:val="none" w:color="auto"/>
          <w:shd w:val="clear" w:fill="auto"/>
        </w:rPr>
        <w:object>
          <v:shape id="_x0000_i1030" o:spt="75" type="#_x0000_t75" style="height:174pt;width:399pt;" o:ole="t" filled="f" o:preferrelative="t" stroked="f" coordsize="21600,21600">
            <v:path/>
            <v:fill on="f" focussize="0,0"/>
            <v:stroke on="f" joinstyle="miter"/>
            <v:imagedata r:id="rId27" o:title=""/>
            <o:lock v:ext="edit" aspectratio="t"/>
            <w10:wrap type="none"/>
            <w10:anchorlock/>
          </v:shape>
          <o:OLEObject Type="Embed" ProgID="Excel.Sheet.8" ShapeID="_x0000_i1030" DrawAspect="Content" ObjectID="_1468075730" r:id="rId26">
            <o:LockedField>false</o:LockedField>
          </o:OLEObject>
        </w:object>
      </w:r>
    </w:p>
    <w:p>
      <w:pPr>
        <w:spacing w:line="560" w:lineRule="exact"/>
        <w:ind w:firstLine="321" w:firstLineChars="100"/>
        <w:outlineLvl w:val="2"/>
        <w:rPr>
          <w:rFonts w:ascii="仿宋" w:hAnsi="仿宋" w:eastAsia="仿宋"/>
          <w:b/>
          <w:sz w:val="32"/>
          <w:szCs w:val="32"/>
          <w:u w:val="none" w:color="auto"/>
          <w:shd w:val="clear" w:fill="auto"/>
        </w:rPr>
      </w:pPr>
      <w:bookmarkStart w:id="50" w:name="_Toc15377212"/>
      <w:r>
        <w:rPr>
          <w:rFonts w:hint="eastAsia" w:ascii="仿宋" w:hAnsi="仿宋" w:eastAsia="仿宋"/>
          <w:b/>
          <w:sz w:val="32"/>
          <w:szCs w:val="32"/>
          <w:u w:val="none" w:color="auto"/>
          <w:shd w:val="clear" w:fill="auto"/>
        </w:rPr>
        <w:t>（三）一般公共预算财政拨款支出决算具体情况</w:t>
      </w:r>
      <w:bookmarkEnd w:id="50"/>
    </w:p>
    <w:p>
      <w:pPr>
        <w:spacing w:line="560" w:lineRule="exact"/>
        <w:ind w:firstLine="562" w:firstLineChars="200"/>
        <w:outlineLvl w:val="2"/>
        <w:rPr>
          <w:rFonts w:ascii="仿宋_GB2312" w:hAnsi="仿宋_GB2312" w:eastAsia="仿宋_GB2312" w:cs="仿宋_GB2312"/>
          <w:sz w:val="28"/>
          <w:szCs w:val="28"/>
          <w:u w:val="none" w:color="auto"/>
          <w:shd w:val="clear" w:fill="auto"/>
        </w:rPr>
      </w:pPr>
      <w:bookmarkStart w:id="51" w:name="_Toc15377444"/>
      <w:bookmarkStart w:id="52" w:name="_Toc15377213"/>
      <w:bookmarkStart w:id="53" w:name="_Toc15378460"/>
      <w:r>
        <w:rPr>
          <w:rFonts w:hint="eastAsia" w:ascii="仿宋_GB2312" w:hAnsi="仿宋_GB2312" w:eastAsia="仿宋_GB2312" w:cs="仿宋_GB2312"/>
          <w:b/>
          <w:sz w:val="28"/>
          <w:szCs w:val="28"/>
          <w:u w:val="none" w:color="auto"/>
          <w:shd w:val="clear" w:fill="auto"/>
        </w:rPr>
        <w:t>2021年一般公共预算支出决算数为</w:t>
      </w:r>
      <w:r>
        <w:rPr>
          <w:rFonts w:hint="eastAsia" w:ascii="仿宋_GB2312" w:hAnsi="仿宋_GB2312" w:eastAsia="仿宋_GB2312" w:cs="仿宋_GB2312"/>
          <w:sz w:val="28"/>
          <w:szCs w:val="28"/>
          <w:u w:val="none" w:color="auto"/>
          <w:shd w:val="clear" w:fill="auto"/>
        </w:rPr>
        <w:t>362.92</w:t>
      </w:r>
      <w:r>
        <w:rPr>
          <w:rFonts w:hint="eastAsia" w:ascii="仿宋_GB2312" w:hAnsi="仿宋_GB2312" w:eastAsia="仿宋_GB2312" w:cs="仿宋_GB2312"/>
          <w:b/>
          <w:sz w:val="28"/>
          <w:szCs w:val="28"/>
          <w:u w:val="none" w:color="auto"/>
          <w:shd w:val="clear" w:fill="auto"/>
        </w:rPr>
        <w:t>万元</w:t>
      </w:r>
      <w:r>
        <w:rPr>
          <w:rFonts w:hint="eastAsia" w:ascii="仿宋_GB2312" w:hAnsi="仿宋_GB2312" w:eastAsia="仿宋_GB2312" w:cs="仿宋_GB2312"/>
          <w:sz w:val="28"/>
          <w:szCs w:val="28"/>
          <w:u w:val="none" w:color="auto"/>
          <w:shd w:val="clear" w:fill="auto"/>
        </w:rPr>
        <w:t>，</w:t>
      </w:r>
      <w:r>
        <w:rPr>
          <w:rStyle w:val="9"/>
          <w:rFonts w:hint="eastAsia" w:ascii="仿宋_GB2312" w:hAnsi="仿宋_GB2312" w:eastAsia="仿宋_GB2312" w:cs="仿宋_GB2312"/>
          <w:bCs/>
          <w:sz w:val="28"/>
          <w:szCs w:val="28"/>
          <w:u w:val="none" w:color="auto"/>
          <w:shd w:val="clear" w:fill="auto"/>
        </w:rPr>
        <w:t>完成预算的</w:t>
      </w:r>
      <w:r>
        <w:rPr>
          <w:rStyle w:val="9"/>
          <w:rFonts w:hint="eastAsia" w:ascii="仿宋_GB2312" w:hAnsi="仿宋_GB2312" w:eastAsia="仿宋_GB2312" w:cs="仿宋_GB2312"/>
          <w:bCs/>
          <w:color w:val="000000" w:themeColor="text1"/>
          <w:sz w:val="28"/>
          <w:szCs w:val="28"/>
          <w:u w:val="none" w:color="auto"/>
          <w:shd w:val="clear" w:fill="auto"/>
        </w:rPr>
        <w:t>100</w:t>
      </w:r>
      <w:r>
        <w:rPr>
          <w:rStyle w:val="9"/>
          <w:rFonts w:hint="eastAsia" w:ascii="仿宋_GB2312" w:hAnsi="仿宋_GB2312" w:eastAsia="仿宋_GB2312" w:cs="仿宋_GB2312"/>
          <w:bCs/>
          <w:sz w:val="28"/>
          <w:szCs w:val="28"/>
          <w:u w:val="none" w:color="auto"/>
          <w:shd w:val="clear" w:fill="auto"/>
        </w:rPr>
        <w:t>%。其中：</w:t>
      </w:r>
      <w:bookmarkEnd w:id="51"/>
      <w:bookmarkEnd w:id="52"/>
      <w:bookmarkEnd w:id="53"/>
    </w:p>
    <w:p>
      <w:pPr>
        <w:spacing w:line="560" w:lineRule="exact"/>
        <w:ind w:firstLine="562" w:firstLineChars="200"/>
        <w:rPr>
          <w:rFonts w:ascii="仿宋_GB2312" w:hAnsi="仿宋_GB2312" w:eastAsia="仿宋_GB2312" w:cs="仿宋_GB2312"/>
          <w:b/>
          <w:color w:val="000000"/>
          <w:sz w:val="28"/>
          <w:szCs w:val="28"/>
          <w:u w:val="none" w:color="auto"/>
          <w:shd w:val="clear" w:fill="auto"/>
        </w:rPr>
      </w:pPr>
      <w:r>
        <w:rPr>
          <w:rStyle w:val="9"/>
          <w:rFonts w:hint="eastAsia" w:ascii="仿宋_GB2312" w:hAnsi="仿宋_GB2312" w:eastAsia="仿宋_GB2312" w:cs="仿宋_GB2312"/>
          <w:bCs/>
          <w:color w:val="000000"/>
          <w:sz w:val="28"/>
          <w:szCs w:val="28"/>
          <w:u w:val="none" w:color="auto"/>
          <w:shd w:val="clear" w:fill="auto"/>
        </w:rPr>
        <w:t>1.</w:t>
      </w:r>
      <w:r>
        <w:rPr>
          <w:rFonts w:hint="eastAsia" w:ascii="仿宋_GB2312" w:hAnsi="仿宋_GB2312" w:eastAsia="仿宋_GB2312" w:cs="仿宋_GB2312"/>
          <w:bCs/>
          <w:color w:val="000000"/>
          <w:sz w:val="28"/>
          <w:szCs w:val="28"/>
          <w:u w:val="none" w:color="auto"/>
          <w:shd w:val="clear" w:fill="auto"/>
        </w:rPr>
        <w:t>一般公共服务（类）党委办公厅（室）及相关机构事务（款）其他党委办公厅（室）及相关机构事务支出（项）</w:t>
      </w:r>
      <w:r>
        <w:rPr>
          <w:rStyle w:val="9"/>
          <w:rFonts w:hint="eastAsia" w:ascii="仿宋_GB2312" w:hAnsi="仿宋_GB2312" w:eastAsia="仿宋_GB2312" w:cs="仿宋_GB2312"/>
          <w:bCs/>
          <w:sz w:val="28"/>
          <w:szCs w:val="28"/>
          <w:u w:val="none" w:color="auto"/>
          <w:shd w:val="clear" w:fill="auto"/>
        </w:rPr>
        <w:t>:</w:t>
      </w:r>
      <w:r>
        <w:rPr>
          <w:rStyle w:val="9"/>
          <w:rFonts w:hint="eastAsia" w:ascii="仿宋_GB2312" w:hAnsi="仿宋_GB2312" w:eastAsia="仿宋_GB2312" w:cs="仿宋_GB2312"/>
          <w:b w:val="0"/>
          <w:bCs/>
          <w:sz w:val="28"/>
          <w:szCs w:val="28"/>
          <w:u w:val="none" w:color="auto"/>
          <w:shd w:val="clear" w:fill="auto"/>
        </w:rPr>
        <w:t>支出</w:t>
      </w:r>
      <w:r>
        <w:rPr>
          <w:rFonts w:hint="eastAsia" w:ascii="仿宋_GB2312" w:hAnsi="仿宋_GB2312" w:eastAsia="仿宋_GB2312" w:cs="仿宋_GB2312"/>
          <w:bCs/>
          <w:sz w:val="28"/>
          <w:szCs w:val="28"/>
          <w:u w:val="none" w:color="auto"/>
          <w:shd w:val="clear" w:fill="auto"/>
        </w:rPr>
        <w:t>决算为</w:t>
      </w:r>
      <w:r>
        <w:rPr>
          <w:rFonts w:hint="eastAsia" w:ascii="仿宋_GB2312" w:hAnsi="仿宋_GB2312" w:eastAsia="仿宋_GB2312" w:cs="仿宋_GB2312"/>
          <w:sz w:val="28"/>
          <w:szCs w:val="28"/>
          <w:u w:val="none" w:color="auto"/>
          <w:shd w:val="clear" w:fill="auto"/>
        </w:rPr>
        <w:t>301.63</w:t>
      </w:r>
      <w:r>
        <w:rPr>
          <w:rStyle w:val="9"/>
          <w:rFonts w:hint="eastAsia" w:ascii="仿宋_GB2312" w:hAnsi="仿宋_GB2312" w:eastAsia="仿宋_GB2312" w:cs="仿宋_GB2312"/>
          <w:b w:val="0"/>
          <w:bCs/>
          <w:sz w:val="28"/>
          <w:szCs w:val="28"/>
          <w:u w:val="none" w:color="auto"/>
          <w:shd w:val="clear" w:fill="auto"/>
        </w:rPr>
        <w:t>万元，</w:t>
      </w:r>
      <w:r>
        <w:rPr>
          <w:rFonts w:hint="eastAsia" w:ascii="仿宋_GB2312" w:hAnsi="仿宋_GB2312" w:eastAsia="仿宋_GB2312" w:cs="仿宋_GB2312"/>
          <w:bCs/>
          <w:sz w:val="28"/>
          <w:szCs w:val="28"/>
          <w:u w:val="none" w:color="auto"/>
          <w:shd w:val="clear" w:fill="auto"/>
        </w:rPr>
        <w:t>完成</w:t>
      </w:r>
      <w:r>
        <w:rPr>
          <w:rFonts w:hint="eastAsia" w:ascii="仿宋_GB2312" w:hAnsi="仿宋_GB2312" w:eastAsia="仿宋_GB2312" w:cs="仿宋_GB2312"/>
          <w:bCs/>
          <w:sz w:val="28"/>
          <w:szCs w:val="28"/>
          <w:u w:val="none" w:color="auto"/>
          <w:shd w:val="clear" w:fill="auto"/>
          <w:lang w:eastAsia="zh-CN"/>
        </w:rPr>
        <w:t>预算的100%</w:t>
      </w:r>
      <w:r>
        <w:rPr>
          <w:rStyle w:val="9"/>
          <w:rFonts w:hint="eastAsia" w:ascii="仿宋_GB2312" w:hAnsi="仿宋_GB2312" w:eastAsia="仿宋_GB2312" w:cs="仿宋_GB2312"/>
          <w:b w:val="0"/>
          <w:bCs/>
          <w:sz w:val="28"/>
          <w:szCs w:val="28"/>
          <w:u w:val="none" w:color="auto"/>
          <w:shd w:val="clear" w:fill="auto"/>
        </w:rPr>
        <w:t>，</w:t>
      </w:r>
      <w:r>
        <w:rPr>
          <w:rStyle w:val="9"/>
          <w:rFonts w:hint="eastAsia" w:ascii="仿宋_GB2312" w:hAnsi="仿宋_GB2312" w:eastAsia="仿宋_GB2312" w:cs="仿宋_GB2312"/>
          <w:b w:val="0"/>
          <w:bCs/>
          <w:color w:val="000000"/>
          <w:sz w:val="28"/>
          <w:szCs w:val="28"/>
          <w:u w:val="none" w:color="auto"/>
          <w:shd w:val="clear" w:fill="auto"/>
        </w:rPr>
        <w:t xml:space="preserve"> 决算数大于预算</w:t>
      </w:r>
      <w:r>
        <w:rPr>
          <w:rFonts w:hint="eastAsia" w:ascii="仿宋_GB2312" w:hAnsi="仿宋_GB2312" w:eastAsia="仿宋_GB2312" w:cs="仿宋_GB2312"/>
          <w:bCs/>
          <w:color w:val="000000"/>
          <w:sz w:val="28"/>
          <w:szCs w:val="28"/>
          <w:u w:val="none" w:color="auto"/>
          <w:shd w:val="clear" w:fill="auto"/>
        </w:rPr>
        <w:t>数的主要原因是</w:t>
      </w:r>
      <w:r>
        <w:rPr>
          <w:rFonts w:hint="eastAsia" w:ascii="仿宋_GB2312" w:hAnsi="仿宋_GB2312" w:eastAsia="仿宋_GB2312" w:cs="仿宋_GB2312"/>
          <w:color w:val="000000"/>
          <w:sz w:val="28"/>
          <w:szCs w:val="28"/>
          <w:u w:val="none" w:color="auto"/>
          <w:shd w:val="clear" w:fill="auto"/>
        </w:rPr>
        <w:t>单位增人增资和巡察任务增加。</w:t>
      </w:r>
    </w:p>
    <w:p>
      <w:pPr>
        <w:spacing w:line="560" w:lineRule="exact"/>
        <w:ind w:firstLine="562" w:firstLineChars="200"/>
        <w:rPr>
          <w:rFonts w:ascii="仿宋_GB2312" w:hAnsi="仿宋_GB2312" w:eastAsia="仿宋_GB2312" w:cs="仿宋_GB2312"/>
          <w:b/>
          <w:color w:val="000000"/>
          <w:sz w:val="28"/>
          <w:szCs w:val="28"/>
          <w:u w:val="none" w:color="auto"/>
          <w:shd w:val="clear" w:fill="auto"/>
        </w:rPr>
      </w:pPr>
      <w:r>
        <w:rPr>
          <w:rStyle w:val="9"/>
          <w:rFonts w:hint="eastAsia" w:ascii="仿宋_GB2312" w:hAnsi="仿宋_GB2312" w:eastAsia="仿宋_GB2312" w:cs="仿宋_GB2312"/>
          <w:bCs/>
          <w:sz w:val="28"/>
          <w:szCs w:val="28"/>
          <w:u w:val="none" w:color="auto"/>
          <w:shd w:val="clear" w:fill="auto"/>
        </w:rPr>
        <w:t>2.</w:t>
      </w:r>
      <w:r>
        <w:rPr>
          <w:rStyle w:val="9"/>
          <w:rFonts w:hint="eastAsia" w:ascii="仿宋_GB2312" w:hAnsi="仿宋_GB2312" w:eastAsia="仿宋_GB2312" w:cs="仿宋_GB2312"/>
          <w:bCs/>
          <w:color w:val="000000"/>
          <w:sz w:val="28"/>
          <w:szCs w:val="28"/>
          <w:u w:val="none" w:color="auto"/>
          <w:shd w:val="clear" w:fill="auto"/>
        </w:rPr>
        <w:t>社会保</w:t>
      </w:r>
      <w:r>
        <w:rPr>
          <w:rFonts w:hint="eastAsia" w:ascii="仿宋_GB2312" w:hAnsi="仿宋_GB2312" w:eastAsia="仿宋_GB2312" w:cs="仿宋_GB2312"/>
          <w:bCs/>
          <w:color w:val="000000"/>
          <w:sz w:val="28"/>
          <w:szCs w:val="28"/>
          <w:u w:val="none" w:color="auto"/>
          <w:shd w:val="clear" w:fill="auto"/>
        </w:rPr>
        <w:t>障和就业（类）党委办公厅（室）及相关机构事务（款）其他党委办公厅（室）及相关机构事务支出（项）</w:t>
      </w:r>
      <w:r>
        <w:rPr>
          <w:rStyle w:val="9"/>
          <w:rFonts w:hint="eastAsia" w:ascii="仿宋_GB2312" w:hAnsi="仿宋_GB2312" w:eastAsia="仿宋_GB2312" w:cs="仿宋_GB2312"/>
          <w:bCs/>
          <w:sz w:val="28"/>
          <w:szCs w:val="28"/>
          <w:u w:val="none" w:color="auto"/>
          <w:shd w:val="clear" w:fill="auto"/>
        </w:rPr>
        <w:t>:</w:t>
      </w:r>
      <w:r>
        <w:rPr>
          <w:rStyle w:val="9"/>
          <w:rFonts w:hint="eastAsia" w:ascii="仿宋_GB2312" w:hAnsi="仿宋_GB2312" w:eastAsia="仿宋_GB2312" w:cs="仿宋_GB2312"/>
          <w:b w:val="0"/>
          <w:bCs/>
          <w:sz w:val="28"/>
          <w:szCs w:val="28"/>
          <w:u w:val="none" w:color="auto"/>
          <w:shd w:val="clear" w:fill="auto"/>
        </w:rPr>
        <w:t>支出</w:t>
      </w:r>
      <w:r>
        <w:rPr>
          <w:rFonts w:hint="eastAsia" w:ascii="仿宋_GB2312" w:hAnsi="仿宋_GB2312" w:eastAsia="仿宋_GB2312" w:cs="仿宋_GB2312"/>
          <w:bCs/>
          <w:sz w:val="28"/>
          <w:szCs w:val="28"/>
          <w:u w:val="none" w:color="auto"/>
          <w:shd w:val="clear" w:fill="auto"/>
        </w:rPr>
        <w:t>决算为</w:t>
      </w:r>
      <w:r>
        <w:rPr>
          <w:rStyle w:val="9"/>
          <w:rFonts w:hint="eastAsia" w:ascii="仿宋_GB2312" w:hAnsi="仿宋_GB2312" w:eastAsia="仿宋_GB2312" w:cs="仿宋_GB2312"/>
          <w:b w:val="0"/>
          <w:bCs/>
          <w:sz w:val="28"/>
          <w:szCs w:val="28"/>
          <w:u w:val="none" w:color="auto"/>
          <w:shd w:val="clear" w:fill="auto"/>
        </w:rPr>
        <w:t>24.</w:t>
      </w:r>
      <w:r>
        <w:rPr>
          <w:rFonts w:hint="eastAsia" w:ascii="仿宋_GB2312" w:hAnsi="仿宋_GB2312" w:eastAsia="仿宋_GB2312" w:cs="仿宋_GB2312"/>
          <w:bCs/>
          <w:sz w:val="28"/>
          <w:szCs w:val="28"/>
          <w:u w:val="none" w:color="auto"/>
          <w:shd w:val="clear" w:fill="auto"/>
        </w:rPr>
        <w:t>88</w:t>
      </w:r>
      <w:r>
        <w:rPr>
          <w:rStyle w:val="9"/>
          <w:rFonts w:hint="eastAsia" w:ascii="仿宋_GB2312" w:hAnsi="仿宋_GB2312" w:eastAsia="仿宋_GB2312" w:cs="仿宋_GB2312"/>
          <w:b w:val="0"/>
          <w:bCs/>
          <w:sz w:val="28"/>
          <w:szCs w:val="28"/>
          <w:u w:val="none" w:color="auto"/>
          <w:shd w:val="clear" w:fill="auto"/>
        </w:rPr>
        <w:t>万元，</w:t>
      </w:r>
      <w:r>
        <w:rPr>
          <w:rFonts w:hint="eastAsia" w:ascii="仿宋_GB2312" w:hAnsi="仿宋_GB2312" w:eastAsia="仿宋_GB2312" w:cs="仿宋_GB2312"/>
          <w:bCs/>
          <w:sz w:val="28"/>
          <w:szCs w:val="28"/>
          <w:u w:val="none" w:color="auto"/>
          <w:shd w:val="clear" w:fill="auto"/>
        </w:rPr>
        <w:t>完成</w:t>
      </w:r>
      <w:r>
        <w:rPr>
          <w:rFonts w:hint="eastAsia" w:ascii="仿宋_GB2312" w:hAnsi="仿宋_GB2312" w:eastAsia="仿宋_GB2312" w:cs="仿宋_GB2312"/>
          <w:bCs/>
          <w:sz w:val="28"/>
          <w:szCs w:val="28"/>
          <w:u w:val="none" w:color="auto"/>
          <w:shd w:val="clear" w:fill="auto"/>
          <w:lang w:eastAsia="zh-CN"/>
        </w:rPr>
        <w:t>预算的100%</w:t>
      </w:r>
      <w:r>
        <w:rPr>
          <w:rStyle w:val="9"/>
          <w:rFonts w:hint="eastAsia" w:ascii="仿宋_GB2312" w:hAnsi="仿宋_GB2312" w:eastAsia="仿宋_GB2312" w:cs="仿宋_GB2312"/>
          <w:b w:val="0"/>
          <w:bCs/>
          <w:sz w:val="28"/>
          <w:szCs w:val="28"/>
          <w:u w:val="none" w:color="auto"/>
          <w:shd w:val="clear" w:fill="auto"/>
        </w:rPr>
        <w:t>，</w:t>
      </w:r>
      <w:r>
        <w:rPr>
          <w:rStyle w:val="9"/>
          <w:rFonts w:hint="eastAsia" w:ascii="仿宋_GB2312" w:hAnsi="仿宋_GB2312" w:eastAsia="仿宋_GB2312" w:cs="仿宋_GB2312"/>
          <w:b w:val="0"/>
          <w:bCs/>
          <w:color w:val="000000"/>
          <w:sz w:val="28"/>
          <w:szCs w:val="28"/>
          <w:u w:val="none" w:color="auto"/>
          <w:shd w:val="clear" w:fill="auto"/>
        </w:rPr>
        <w:t>决算数大于预算</w:t>
      </w:r>
      <w:r>
        <w:rPr>
          <w:rFonts w:hint="eastAsia" w:ascii="仿宋_GB2312" w:hAnsi="仿宋_GB2312" w:eastAsia="仿宋_GB2312" w:cs="仿宋_GB2312"/>
          <w:bCs/>
          <w:color w:val="000000"/>
          <w:sz w:val="28"/>
          <w:szCs w:val="28"/>
          <w:u w:val="none" w:color="auto"/>
          <w:shd w:val="clear" w:fill="auto"/>
        </w:rPr>
        <w:t>数的主要原因是</w:t>
      </w:r>
      <w:r>
        <w:rPr>
          <w:rFonts w:hint="eastAsia" w:ascii="仿宋_GB2312" w:hAnsi="仿宋_GB2312" w:eastAsia="仿宋_GB2312" w:cs="仿宋_GB2312"/>
          <w:color w:val="000000"/>
          <w:sz w:val="28"/>
          <w:szCs w:val="28"/>
          <w:u w:val="none" w:color="auto"/>
          <w:shd w:val="clear" w:fill="auto"/>
        </w:rPr>
        <w:t>单位增人增资</w:t>
      </w:r>
      <w:r>
        <w:rPr>
          <w:rStyle w:val="9"/>
          <w:rFonts w:hint="eastAsia" w:ascii="仿宋_GB2312" w:hAnsi="仿宋_GB2312" w:eastAsia="仿宋_GB2312" w:cs="仿宋_GB2312"/>
          <w:b w:val="0"/>
          <w:bCs/>
          <w:color w:val="000000"/>
          <w:sz w:val="28"/>
          <w:szCs w:val="28"/>
          <w:u w:val="none" w:color="auto"/>
          <w:shd w:val="clear" w:fill="auto"/>
        </w:rPr>
        <w:t>。</w:t>
      </w:r>
    </w:p>
    <w:p>
      <w:pPr>
        <w:spacing w:line="560" w:lineRule="exact"/>
        <w:ind w:firstLine="562" w:firstLineChars="200"/>
        <w:rPr>
          <w:rFonts w:ascii="仿宋_GB2312" w:hAnsi="仿宋_GB2312" w:eastAsia="仿宋_GB2312" w:cs="仿宋_GB2312"/>
          <w:b/>
          <w:color w:val="000000"/>
          <w:sz w:val="28"/>
          <w:szCs w:val="28"/>
          <w:u w:val="none" w:color="auto"/>
          <w:shd w:val="clear" w:fill="auto"/>
        </w:rPr>
      </w:pPr>
      <w:r>
        <w:rPr>
          <w:rStyle w:val="9"/>
          <w:rFonts w:hint="eastAsia" w:ascii="仿宋_GB2312" w:hAnsi="仿宋_GB2312" w:eastAsia="仿宋_GB2312" w:cs="仿宋_GB2312"/>
          <w:bCs/>
          <w:sz w:val="28"/>
          <w:szCs w:val="28"/>
          <w:u w:val="none" w:color="auto"/>
          <w:shd w:val="clear" w:fill="auto"/>
        </w:rPr>
        <w:t>3.</w:t>
      </w:r>
      <w:r>
        <w:rPr>
          <w:rFonts w:hint="eastAsia" w:ascii="仿宋_GB2312" w:hAnsi="仿宋_GB2312" w:eastAsia="仿宋_GB2312" w:cs="仿宋_GB2312"/>
          <w:b/>
          <w:bCs/>
          <w:color w:val="000000"/>
          <w:sz w:val="28"/>
          <w:szCs w:val="28"/>
          <w:u w:val="none" w:color="auto"/>
          <w:shd w:val="clear" w:fill="auto"/>
        </w:rPr>
        <w:t>卫生健康</w:t>
      </w:r>
      <w:r>
        <w:rPr>
          <w:rStyle w:val="9"/>
          <w:rFonts w:hint="eastAsia" w:ascii="仿宋_GB2312" w:hAnsi="仿宋_GB2312" w:eastAsia="仿宋_GB2312" w:cs="仿宋_GB2312"/>
          <w:bCs/>
          <w:color w:val="000000"/>
          <w:sz w:val="28"/>
          <w:szCs w:val="28"/>
          <w:u w:val="none" w:color="auto"/>
          <w:shd w:val="clear" w:fill="auto"/>
        </w:rPr>
        <w:t>（类）党委办公厅（室）及相关机构事务（款）其他党委办公厅（室）及相关机构事务支出</w:t>
      </w:r>
      <w:r>
        <w:rPr>
          <w:rFonts w:hint="eastAsia" w:ascii="仿宋_GB2312" w:hAnsi="仿宋_GB2312" w:eastAsia="仿宋_GB2312" w:cs="仿宋_GB2312"/>
          <w:bCs/>
          <w:color w:val="000000"/>
          <w:sz w:val="28"/>
          <w:szCs w:val="28"/>
          <w:u w:val="none" w:color="auto"/>
          <w:shd w:val="clear" w:fill="auto"/>
        </w:rPr>
        <w:t>（项）</w:t>
      </w:r>
      <w:r>
        <w:rPr>
          <w:rStyle w:val="9"/>
          <w:rFonts w:hint="eastAsia" w:ascii="仿宋_GB2312" w:hAnsi="仿宋_GB2312" w:eastAsia="仿宋_GB2312" w:cs="仿宋_GB2312"/>
          <w:bCs/>
          <w:sz w:val="28"/>
          <w:szCs w:val="28"/>
          <w:u w:val="none" w:color="auto"/>
          <w:shd w:val="clear" w:fill="auto"/>
        </w:rPr>
        <w:t>:</w:t>
      </w:r>
      <w:r>
        <w:rPr>
          <w:rStyle w:val="9"/>
          <w:rFonts w:hint="eastAsia" w:ascii="仿宋_GB2312" w:hAnsi="仿宋_GB2312" w:eastAsia="仿宋_GB2312" w:cs="仿宋_GB2312"/>
          <w:b w:val="0"/>
          <w:bCs/>
          <w:sz w:val="28"/>
          <w:szCs w:val="28"/>
          <w:u w:val="none" w:color="auto"/>
          <w:shd w:val="clear" w:fill="auto"/>
        </w:rPr>
        <w:t>支出</w:t>
      </w:r>
      <w:r>
        <w:rPr>
          <w:rFonts w:hint="eastAsia" w:ascii="仿宋_GB2312" w:hAnsi="仿宋_GB2312" w:eastAsia="仿宋_GB2312" w:cs="仿宋_GB2312"/>
          <w:bCs/>
          <w:sz w:val="28"/>
          <w:szCs w:val="28"/>
          <w:u w:val="none" w:color="auto"/>
          <w:shd w:val="clear" w:fill="auto"/>
        </w:rPr>
        <w:t>决算为</w:t>
      </w:r>
      <w:r>
        <w:rPr>
          <w:rStyle w:val="9"/>
          <w:rFonts w:hint="eastAsia" w:ascii="仿宋_GB2312" w:hAnsi="仿宋_GB2312" w:eastAsia="仿宋_GB2312" w:cs="仿宋_GB2312"/>
          <w:b w:val="0"/>
          <w:bCs/>
          <w:sz w:val="28"/>
          <w:szCs w:val="28"/>
          <w:u w:val="none" w:color="auto"/>
          <w:shd w:val="clear" w:fill="auto"/>
        </w:rPr>
        <w:t>15.</w:t>
      </w:r>
      <w:r>
        <w:rPr>
          <w:rFonts w:hint="eastAsia" w:ascii="仿宋_GB2312" w:hAnsi="仿宋_GB2312" w:eastAsia="仿宋_GB2312" w:cs="仿宋_GB2312"/>
          <w:bCs/>
          <w:sz w:val="28"/>
          <w:szCs w:val="28"/>
          <w:u w:val="none" w:color="auto"/>
          <w:shd w:val="clear" w:fill="auto"/>
        </w:rPr>
        <w:t>73</w:t>
      </w:r>
      <w:r>
        <w:rPr>
          <w:rStyle w:val="9"/>
          <w:rFonts w:hint="eastAsia" w:ascii="仿宋_GB2312" w:hAnsi="仿宋_GB2312" w:eastAsia="仿宋_GB2312" w:cs="仿宋_GB2312"/>
          <w:b w:val="0"/>
          <w:bCs/>
          <w:sz w:val="28"/>
          <w:szCs w:val="28"/>
          <w:u w:val="none" w:color="auto"/>
          <w:shd w:val="clear" w:fill="auto"/>
        </w:rPr>
        <w:t>万元，</w:t>
      </w:r>
      <w:r>
        <w:rPr>
          <w:rFonts w:hint="eastAsia" w:ascii="仿宋_GB2312" w:hAnsi="仿宋_GB2312" w:eastAsia="仿宋_GB2312" w:cs="仿宋_GB2312"/>
          <w:bCs/>
          <w:sz w:val="28"/>
          <w:szCs w:val="28"/>
          <w:u w:val="none" w:color="auto"/>
          <w:shd w:val="clear" w:fill="auto"/>
        </w:rPr>
        <w:t>完成</w:t>
      </w:r>
      <w:r>
        <w:rPr>
          <w:rFonts w:hint="eastAsia" w:ascii="仿宋_GB2312" w:hAnsi="仿宋_GB2312" w:eastAsia="仿宋_GB2312" w:cs="仿宋_GB2312"/>
          <w:bCs/>
          <w:sz w:val="28"/>
          <w:szCs w:val="28"/>
          <w:u w:val="none" w:color="auto"/>
          <w:shd w:val="clear" w:fill="auto"/>
          <w:lang w:eastAsia="zh-CN"/>
        </w:rPr>
        <w:t>预算的100%</w:t>
      </w:r>
      <w:r>
        <w:rPr>
          <w:rStyle w:val="9"/>
          <w:rFonts w:hint="eastAsia" w:ascii="仿宋_GB2312" w:hAnsi="仿宋_GB2312" w:eastAsia="仿宋_GB2312" w:cs="仿宋_GB2312"/>
          <w:b w:val="0"/>
          <w:bCs/>
          <w:sz w:val="28"/>
          <w:szCs w:val="28"/>
          <w:u w:val="none" w:color="auto"/>
          <w:shd w:val="clear" w:fill="auto"/>
        </w:rPr>
        <w:t>，</w:t>
      </w:r>
      <w:r>
        <w:rPr>
          <w:rStyle w:val="9"/>
          <w:rFonts w:hint="eastAsia" w:ascii="仿宋_GB2312" w:hAnsi="仿宋_GB2312" w:eastAsia="仿宋_GB2312" w:cs="仿宋_GB2312"/>
          <w:b w:val="0"/>
          <w:bCs/>
          <w:color w:val="000000"/>
          <w:sz w:val="28"/>
          <w:szCs w:val="28"/>
          <w:u w:val="none" w:color="auto"/>
          <w:shd w:val="clear" w:fill="auto"/>
        </w:rPr>
        <w:t>决算数大于预算</w:t>
      </w:r>
      <w:r>
        <w:rPr>
          <w:rFonts w:hint="eastAsia" w:ascii="仿宋_GB2312" w:hAnsi="仿宋_GB2312" w:eastAsia="仿宋_GB2312" w:cs="仿宋_GB2312"/>
          <w:bCs/>
          <w:color w:val="000000"/>
          <w:sz w:val="28"/>
          <w:szCs w:val="28"/>
          <w:u w:val="none" w:color="auto"/>
          <w:shd w:val="clear" w:fill="auto"/>
        </w:rPr>
        <w:t>数的主要原因是</w:t>
      </w:r>
      <w:r>
        <w:rPr>
          <w:rFonts w:hint="eastAsia" w:ascii="仿宋_GB2312" w:hAnsi="仿宋_GB2312" w:eastAsia="仿宋_GB2312" w:cs="仿宋_GB2312"/>
          <w:color w:val="000000"/>
          <w:sz w:val="28"/>
          <w:szCs w:val="28"/>
          <w:u w:val="none" w:color="auto"/>
          <w:shd w:val="clear" w:fill="auto"/>
        </w:rPr>
        <w:t>单位人员增加</w:t>
      </w:r>
      <w:r>
        <w:rPr>
          <w:rStyle w:val="9"/>
          <w:rFonts w:hint="eastAsia" w:ascii="仿宋_GB2312" w:hAnsi="仿宋_GB2312" w:eastAsia="仿宋_GB2312" w:cs="仿宋_GB2312"/>
          <w:b w:val="0"/>
          <w:bCs/>
          <w:color w:val="000000"/>
          <w:sz w:val="28"/>
          <w:szCs w:val="28"/>
          <w:u w:val="none" w:color="auto"/>
          <w:shd w:val="clear" w:fill="auto"/>
        </w:rPr>
        <w:t>。</w:t>
      </w:r>
    </w:p>
    <w:p>
      <w:pPr>
        <w:spacing w:line="560" w:lineRule="exact"/>
        <w:ind w:firstLine="560" w:firstLineChars="200"/>
        <w:rPr>
          <w:rStyle w:val="9"/>
          <w:rFonts w:ascii="仿宋_GB2312" w:hAnsi="仿宋_GB2312" w:eastAsia="仿宋_GB2312" w:cs="仿宋_GB2312"/>
          <w:b w:val="0"/>
          <w:bCs/>
          <w:color w:val="000000"/>
          <w:sz w:val="28"/>
          <w:szCs w:val="28"/>
          <w:u w:val="none" w:color="auto"/>
          <w:shd w:val="clear" w:fill="auto"/>
        </w:rPr>
      </w:pPr>
      <w:r>
        <w:rPr>
          <w:rStyle w:val="9"/>
          <w:rFonts w:hint="eastAsia" w:ascii="仿宋_GB2312" w:hAnsi="仿宋_GB2312" w:eastAsia="仿宋_GB2312" w:cs="仿宋_GB2312"/>
          <w:b w:val="0"/>
          <w:bCs/>
          <w:color w:val="000000"/>
          <w:sz w:val="28"/>
          <w:szCs w:val="28"/>
          <w:u w:val="none" w:color="auto"/>
          <w:shd w:val="clear" w:fill="auto"/>
        </w:rPr>
        <w:t>4.住房保</w:t>
      </w:r>
      <w:r>
        <w:rPr>
          <w:rFonts w:hint="eastAsia" w:ascii="仿宋_GB2312" w:hAnsi="仿宋_GB2312" w:eastAsia="仿宋_GB2312" w:cs="仿宋_GB2312"/>
          <w:bCs/>
          <w:color w:val="000000"/>
          <w:sz w:val="28"/>
          <w:szCs w:val="28"/>
          <w:u w:val="none" w:color="auto"/>
          <w:shd w:val="clear" w:fill="auto"/>
        </w:rPr>
        <w:t>障（类）</w:t>
      </w:r>
      <w:r>
        <w:rPr>
          <w:rStyle w:val="9"/>
          <w:rFonts w:hint="eastAsia" w:ascii="仿宋_GB2312" w:hAnsi="仿宋_GB2312" w:eastAsia="仿宋_GB2312" w:cs="仿宋_GB2312"/>
          <w:bCs/>
          <w:color w:val="000000"/>
          <w:sz w:val="28"/>
          <w:szCs w:val="28"/>
          <w:u w:val="none" w:color="auto"/>
          <w:shd w:val="clear" w:fill="auto"/>
        </w:rPr>
        <w:t>党委办公厅（室）及相关机构事务（款）其他党委办公厅（室）及相关机构事务支出</w:t>
      </w:r>
      <w:r>
        <w:rPr>
          <w:rFonts w:hint="eastAsia" w:ascii="仿宋_GB2312" w:hAnsi="仿宋_GB2312" w:eastAsia="仿宋_GB2312" w:cs="仿宋_GB2312"/>
          <w:bCs/>
          <w:color w:val="000000"/>
          <w:sz w:val="28"/>
          <w:szCs w:val="28"/>
          <w:u w:val="none" w:color="auto"/>
          <w:shd w:val="clear" w:fill="auto"/>
        </w:rPr>
        <w:t>（项）：</w:t>
      </w:r>
      <w:r>
        <w:rPr>
          <w:rStyle w:val="9"/>
          <w:rFonts w:hint="eastAsia" w:ascii="仿宋_GB2312" w:hAnsi="仿宋_GB2312" w:eastAsia="仿宋_GB2312" w:cs="仿宋_GB2312"/>
          <w:b w:val="0"/>
          <w:bCs/>
          <w:color w:val="000000"/>
          <w:sz w:val="28"/>
          <w:szCs w:val="28"/>
          <w:u w:val="none" w:color="auto"/>
          <w:shd w:val="clear" w:fill="auto"/>
        </w:rPr>
        <w:t>支出</w:t>
      </w:r>
      <w:r>
        <w:rPr>
          <w:rFonts w:hint="eastAsia" w:ascii="仿宋_GB2312" w:hAnsi="仿宋_GB2312" w:eastAsia="仿宋_GB2312" w:cs="仿宋_GB2312"/>
          <w:bCs/>
          <w:color w:val="000000"/>
          <w:sz w:val="28"/>
          <w:szCs w:val="28"/>
          <w:u w:val="none" w:color="auto"/>
          <w:shd w:val="clear" w:fill="auto"/>
        </w:rPr>
        <w:t>决算为</w:t>
      </w:r>
      <w:r>
        <w:rPr>
          <w:rStyle w:val="9"/>
          <w:rFonts w:hint="eastAsia" w:ascii="仿宋_GB2312" w:hAnsi="仿宋_GB2312" w:eastAsia="仿宋_GB2312" w:cs="仿宋_GB2312"/>
          <w:b w:val="0"/>
          <w:bCs/>
          <w:color w:val="000000"/>
          <w:sz w:val="28"/>
          <w:szCs w:val="28"/>
          <w:u w:val="none" w:color="auto"/>
          <w:shd w:val="clear" w:fill="auto"/>
        </w:rPr>
        <w:t>18.</w:t>
      </w:r>
      <w:r>
        <w:rPr>
          <w:rFonts w:hint="eastAsia" w:ascii="仿宋_GB2312" w:hAnsi="仿宋_GB2312" w:eastAsia="仿宋_GB2312" w:cs="仿宋_GB2312"/>
          <w:bCs/>
          <w:color w:val="000000"/>
          <w:sz w:val="28"/>
          <w:szCs w:val="28"/>
          <w:u w:val="none" w:color="auto"/>
          <w:shd w:val="clear" w:fill="auto"/>
        </w:rPr>
        <w:t>28</w:t>
      </w:r>
      <w:r>
        <w:rPr>
          <w:rStyle w:val="9"/>
          <w:rFonts w:hint="eastAsia" w:ascii="仿宋_GB2312" w:hAnsi="仿宋_GB2312" w:eastAsia="仿宋_GB2312" w:cs="仿宋_GB2312"/>
          <w:b w:val="0"/>
          <w:bCs/>
          <w:color w:val="000000"/>
          <w:sz w:val="28"/>
          <w:szCs w:val="28"/>
          <w:u w:val="none" w:color="auto"/>
          <w:shd w:val="clear" w:fill="auto"/>
        </w:rPr>
        <w:t>万元，</w:t>
      </w:r>
      <w:r>
        <w:rPr>
          <w:rFonts w:hint="eastAsia" w:ascii="仿宋_GB2312" w:hAnsi="仿宋_GB2312" w:eastAsia="仿宋_GB2312" w:cs="仿宋_GB2312"/>
          <w:bCs/>
          <w:color w:val="000000"/>
          <w:sz w:val="28"/>
          <w:szCs w:val="28"/>
          <w:u w:val="none" w:color="auto"/>
          <w:shd w:val="clear" w:fill="auto"/>
        </w:rPr>
        <w:t>完成</w:t>
      </w:r>
      <w:r>
        <w:rPr>
          <w:rFonts w:hint="eastAsia" w:ascii="仿宋_GB2312" w:hAnsi="仿宋_GB2312" w:eastAsia="仿宋_GB2312" w:cs="仿宋_GB2312"/>
          <w:bCs/>
          <w:color w:val="000000"/>
          <w:sz w:val="28"/>
          <w:szCs w:val="28"/>
          <w:u w:val="none" w:color="auto"/>
          <w:shd w:val="clear" w:fill="auto"/>
          <w:lang w:eastAsia="zh-CN"/>
        </w:rPr>
        <w:t>预算的100%</w:t>
      </w:r>
      <w:r>
        <w:rPr>
          <w:rStyle w:val="9"/>
          <w:rFonts w:hint="eastAsia" w:ascii="仿宋_GB2312" w:hAnsi="仿宋_GB2312" w:eastAsia="仿宋_GB2312" w:cs="仿宋_GB2312"/>
          <w:b w:val="0"/>
          <w:bCs/>
          <w:color w:val="000000"/>
          <w:sz w:val="28"/>
          <w:szCs w:val="28"/>
          <w:u w:val="none" w:color="auto"/>
          <w:shd w:val="clear" w:fill="auto"/>
        </w:rPr>
        <w:t>，</w:t>
      </w:r>
      <w:r>
        <w:rPr>
          <w:rFonts w:hint="eastAsia" w:ascii="仿宋_GB2312" w:hAnsi="仿宋_GB2312" w:eastAsia="仿宋_GB2312" w:cs="仿宋_GB2312"/>
          <w:bCs/>
          <w:color w:val="000000"/>
          <w:sz w:val="28"/>
          <w:szCs w:val="28"/>
          <w:u w:val="none" w:color="auto"/>
          <w:shd w:val="clear" w:fill="auto"/>
        </w:rPr>
        <w:t>决算数大于</w:t>
      </w:r>
      <w:r>
        <w:rPr>
          <w:rStyle w:val="9"/>
          <w:rFonts w:hint="eastAsia" w:ascii="仿宋_GB2312" w:hAnsi="仿宋_GB2312" w:eastAsia="仿宋_GB2312" w:cs="仿宋_GB2312"/>
          <w:b w:val="0"/>
          <w:bCs/>
          <w:color w:val="000000"/>
          <w:sz w:val="28"/>
          <w:szCs w:val="28"/>
          <w:u w:val="none" w:color="auto"/>
          <w:shd w:val="clear" w:fill="auto"/>
        </w:rPr>
        <w:t>预算</w:t>
      </w:r>
      <w:r>
        <w:rPr>
          <w:rFonts w:hint="eastAsia" w:ascii="仿宋_GB2312" w:hAnsi="仿宋_GB2312" w:eastAsia="仿宋_GB2312" w:cs="仿宋_GB2312"/>
          <w:bCs/>
          <w:color w:val="000000"/>
          <w:sz w:val="28"/>
          <w:szCs w:val="28"/>
          <w:u w:val="none" w:color="auto"/>
          <w:shd w:val="clear" w:fill="auto"/>
        </w:rPr>
        <w:t>数的主要原因是在职职工人数增加。</w:t>
      </w:r>
    </w:p>
    <w:p>
      <w:pPr>
        <w:tabs>
          <w:tab w:val="right" w:pos="8306"/>
        </w:tabs>
        <w:spacing w:line="560" w:lineRule="exact"/>
        <w:ind w:firstLine="560" w:firstLineChars="200"/>
        <w:outlineLvl w:val="1"/>
        <w:rPr>
          <w:rStyle w:val="30"/>
          <w:sz w:val="28"/>
          <w:szCs w:val="28"/>
          <w:u w:val="none" w:color="auto"/>
          <w:shd w:val="clear" w:fill="auto"/>
        </w:rPr>
      </w:pPr>
      <w:bookmarkStart w:id="54" w:name="_Toc15377214"/>
      <w:bookmarkStart w:id="55" w:name="_Toc7180"/>
      <w:bookmarkStart w:id="56" w:name="_Toc15396608"/>
      <w:r>
        <w:rPr>
          <w:rFonts w:hint="eastAsia" w:ascii="黑体" w:eastAsia="黑体"/>
          <w:sz w:val="28"/>
          <w:szCs w:val="28"/>
          <w:u w:val="none" w:color="auto"/>
          <w:shd w:val="clear" w:fill="auto"/>
        </w:rPr>
        <w:t>六</w:t>
      </w:r>
      <w:r>
        <w:rPr>
          <w:rFonts w:hint="eastAsia" w:ascii="黑体" w:eastAsia="黑体"/>
          <w:b/>
          <w:sz w:val="28"/>
          <w:szCs w:val="28"/>
          <w:u w:val="none" w:color="auto"/>
          <w:shd w:val="clear" w:fill="auto"/>
        </w:rPr>
        <w:t>、</w:t>
      </w:r>
      <w:r>
        <w:rPr>
          <w:rFonts w:hint="eastAsia" w:ascii="黑体" w:hAnsi="黑体" w:eastAsia="黑体"/>
          <w:b/>
          <w:sz w:val="28"/>
          <w:szCs w:val="28"/>
          <w:u w:val="none" w:color="auto"/>
          <w:shd w:val="clear" w:fill="auto"/>
        </w:rPr>
        <w:t>一</w:t>
      </w:r>
      <w:r>
        <w:rPr>
          <w:rStyle w:val="30"/>
          <w:rFonts w:hint="eastAsia" w:ascii="黑体" w:hAnsi="黑体" w:eastAsia="黑体"/>
          <w:b w:val="0"/>
          <w:sz w:val="28"/>
          <w:szCs w:val="28"/>
          <w:u w:val="none" w:color="auto"/>
          <w:shd w:val="clear" w:fill="auto"/>
        </w:rPr>
        <w:t>般公共预算</w:t>
      </w:r>
      <w:r>
        <w:rPr>
          <w:rFonts w:hint="eastAsia" w:ascii="黑体" w:hAnsi="黑体" w:eastAsia="黑体"/>
          <w:sz w:val="28"/>
          <w:szCs w:val="28"/>
          <w:u w:val="none" w:color="auto"/>
          <w:shd w:val="clear" w:fill="auto"/>
        </w:rPr>
        <w:t>财政拨款基本支出决算情况说明</w:t>
      </w:r>
      <w:bookmarkEnd w:id="54"/>
      <w:bookmarkEnd w:id="55"/>
      <w:bookmarkEnd w:id="56"/>
      <w:r>
        <w:rPr>
          <w:rStyle w:val="30"/>
          <w:rFonts w:ascii="黑体" w:hAnsi="黑体" w:eastAsia="黑体"/>
          <w:b w:val="0"/>
          <w:sz w:val="28"/>
          <w:szCs w:val="28"/>
          <w:u w:val="none" w:color="auto"/>
          <w:shd w:val="clear" w:fill="auto"/>
        </w:rPr>
        <w:tab/>
      </w:r>
    </w:p>
    <w:p>
      <w:pPr>
        <w:spacing w:line="560" w:lineRule="exact"/>
        <w:ind w:firstLine="640"/>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2021年一般公共预算财政拨款基本支出335.02万元，其中：</w:t>
      </w:r>
    </w:p>
    <w:p>
      <w:pPr>
        <w:spacing w:line="560" w:lineRule="exact"/>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人员经费280.51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560" w:lineRule="exact"/>
        <w:ind w:firstLine="640"/>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公用经费54.51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服务费等。</w:t>
      </w:r>
    </w:p>
    <w:p>
      <w:pPr>
        <w:spacing w:line="560" w:lineRule="exact"/>
        <w:ind w:firstLine="640" w:firstLineChars="200"/>
        <w:outlineLvl w:val="1"/>
        <w:rPr>
          <w:rStyle w:val="30"/>
          <w:rFonts w:ascii="黑体" w:hAnsi="黑体" w:eastAsia="黑体"/>
          <w:b w:val="0"/>
          <w:u w:val="none" w:color="auto"/>
          <w:shd w:val="clear" w:fill="auto"/>
        </w:rPr>
      </w:pPr>
      <w:bookmarkStart w:id="57" w:name="_Toc15377215"/>
      <w:bookmarkStart w:id="58" w:name="_Toc15396609"/>
      <w:bookmarkStart w:id="59" w:name="_Toc8202"/>
      <w:r>
        <w:rPr>
          <w:rFonts w:hint="eastAsia" w:ascii="黑体" w:eastAsia="黑体"/>
          <w:sz w:val="32"/>
          <w:szCs w:val="32"/>
          <w:u w:val="none" w:color="auto"/>
          <w:shd w:val="clear" w:fill="auto"/>
        </w:rPr>
        <w:t>七、</w:t>
      </w:r>
      <w:r>
        <w:rPr>
          <w:rStyle w:val="30"/>
          <w:rFonts w:hint="eastAsia" w:ascii="黑体" w:hAnsi="黑体" w:eastAsia="黑体"/>
          <w:u w:val="none" w:color="auto"/>
          <w:shd w:val="clear" w:fill="auto"/>
        </w:rPr>
        <w:t>“</w:t>
      </w:r>
      <w:r>
        <w:rPr>
          <w:rStyle w:val="30"/>
          <w:rFonts w:hint="eastAsia" w:ascii="黑体" w:hAnsi="黑体" w:eastAsia="黑体"/>
          <w:b w:val="0"/>
          <w:u w:val="none" w:color="auto"/>
          <w:shd w:val="clear" w:fill="auto"/>
        </w:rPr>
        <w:t>三公”经费财政拨款支出</w:t>
      </w:r>
      <w:r>
        <w:rPr>
          <w:rFonts w:hint="eastAsia" w:ascii="黑体" w:hAnsi="黑体" w:eastAsia="黑体"/>
          <w:sz w:val="32"/>
          <w:szCs w:val="32"/>
          <w:u w:val="none" w:color="auto"/>
          <w:shd w:val="clear" w:fill="auto"/>
        </w:rPr>
        <w:t>决算情况说明</w:t>
      </w:r>
      <w:bookmarkEnd w:id="57"/>
      <w:bookmarkEnd w:id="58"/>
      <w:bookmarkEnd w:id="59"/>
    </w:p>
    <w:p>
      <w:pPr>
        <w:spacing w:line="560" w:lineRule="exact"/>
        <w:ind w:firstLine="640"/>
        <w:outlineLvl w:val="2"/>
        <w:rPr>
          <w:rFonts w:ascii="仿宋" w:hAnsi="仿宋" w:eastAsia="仿宋"/>
          <w:b/>
          <w:sz w:val="28"/>
          <w:szCs w:val="28"/>
          <w:u w:val="none" w:color="auto"/>
          <w:shd w:val="clear" w:fill="auto"/>
        </w:rPr>
      </w:pPr>
      <w:bookmarkStart w:id="60" w:name="_Toc15377216"/>
      <w:r>
        <w:rPr>
          <w:rFonts w:hint="eastAsia" w:ascii="仿宋" w:hAnsi="仿宋" w:eastAsia="仿宋"/>
          <w:b/>
          <w:sz w:val="28"/>
          <w:szCs w:val="28"/>
          <w:u w:val="none" w:color="auto"/>
          <w:shd w:val="clear" w:fill="auto"/>
        </w:rPr>
        <w:t>（一）“三公”经费财政拨款支出决算总体情况说明</w:t>
      </w:r>
      <w:bookmarkEnd w:id="60"/>
    </w:p>
    <w:p>
      <w:pPr>
        <w:spacing w:line="560" w:lineRule="exact"/>
        <w:ind w:firstLine="640"/>
        <w:rPr>
          <w:rFonts w:ascii="仿宋_GB2312" w:hAnsi="仿宋_GB2312" w:eastAsia="仿宋_GB2312" w:cs="仿宋_GB2312"/>
          <w:b/>
          <w:sz w:val="28"/>
          <w:szCs w:val="28"/>
          <w:u w:val="none" w:color="auto"/>
          <w:shd w:val="clear" w:fill="auto"/>
        </w:rPr>
      </w:pPr>
      <w:r>
        <w:rPr>
          <w:rFonts w:hint="eastAsia" w:ascii="仿宋_GB2312" w:hAnsi="仿宋_GB2312" w:eastAsia="仿宋_GB2312" w:cs="仿宋_GB2312"/>
          <w:sz w:val="28"/>
          <w:szCs w:val="28"/>
          <w:u w:val="none" w:color="auto"/>
          <w:shd w:val="clear" w:fill="auto"/>
        </w:rPr>
        <w:t>2021年“三公”经费财政拨款支出决算为0.97万元，完成</w:t>
      </w:r>
      <w:r>
        <w:rPr>
          <w:rFonts w:hint="eastAsia" w:ascii="仿宋_GB2312" w:hAnsi="仿宋_GB2312" w:eastAsia="仿宋_GB2312" w:cs="仿宋_GB2312"/>
          <w:sz w:val="28"/>
          <w:szCs w:val="28"/>
          <w:u w:val="none" w:color="auto"/>
          <w:shd w:val="clear" w:fill="auto"/>
          <w:lang w:eastAsia="zh-CN"/>
        </w:rPr>
        <w:t>预算的100%</w:t>
      </w:r>
      <w:r>
        <w:rPr>
          <w:rFonts w:hint="eastAsia" w:ascii="仿宋_GB2312" w:hAnsi="仿宋_GB2312" w:eastAsia="仿宋_GB2312" w:cs="仿宋_GB2312"/>
          <w:sz w:val="28"/>
          <w:szCs w:val="28"/>
          <w:u w:val="none" w:color="auto"/>
          <w:shd w:val="clear" w:fill="auto"/>
        </w:rPr>
        <w:t>，决算数与预算数持平。</w:t>
      </w:r>
    </w:p>
    <w:p>
      <w:pPr>
        <w:spacing w:line="560" w:lineRule="exact"/>
        <w:ind w:firstLine="640"/>
        <w:outlineLvl w:val="2"/>
        <w:rPr>
          <w:rFonts w:ascii="仿宋" w:hAnsi="仿宋" w:eastAsia="仿宋"/>
          <w:b/>
          <w:sz w:val="32"/>
          <w:szCs w:val="32"/>
          <w:u w:val="none" w:color="auto"/>
          <w:shd w:val="clear" w:fill="auto"/>
        </w:rPr>
      </w:pPr>
      <w:bookmarkStart w:id="61" w:name="_Toc15377217"/>
      <w:r>
        <w:rPr>
          <w:rFonts w:hint="eastAsia" w:ascii="仿宋" w:hAnsi="仿宋" w:eastAsia="仿宋"/>
          <w:b/>
          <w:sz w:val="32"/>
          <w:szCs w:val="32"/>
          <w:u w:val="none" w:color="auto"/>
          <w:shd w:val="clear" w:fill="auto"/>
        </w:rPr>
        <w:t>（二）“三公”经费财政拨款支出决算具体情况说明</w:t>
      </w:r>
      <w:bookmarkEnd w:id="61"/>
    </w:p>
    <w:p>
      <w:pPr>
        <w:spacing w:line="560" w:lineRule="exact"/>
        <w:ind w:firstLine="640"/>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2021年“三公”经费财政拨款支出决算中，因公出国（境）费支出决算0万元，占%；公务用车购置及运行维护费支出决算0万元，占%；公务接待费支出决算0.97万元，占比100%。具体情况如下：</w:t>
      </w:r>
    </w:p>
    <w:p>
      <w:pPr>
        <w:pStyle w:val="3"/>
        <w:spacing w:before="93"/>
        <w:rPr>
          <w:rFonts w:hAnsi="仿宋_GB2312" w:cs="仿宋_GB2312"/>
          <w:sz w:val="28"/>
          <w:szCs w:val="28"/>
          <w:u w:val="none" w:color="auto"/>
          <w:shd w:val="clear" w:fill="auto"/>
        </w:rPr>
      </w:pPr>
    </w:p>
    <w:p>
      <w:pPr>
        <w:pStyle w:val="15"/>
        <w:rPr>
          <w:rFonts w:ascii="仿宋_GB2312" w:hAnsi="仿宋_GB2312" w:eastAsia="仿宋_GB2312" w:cs="仿宋_GB2312"/>
          <w:sz w:val="28"/>
          <w:szCs w:val="28"/>
          <w:u w:val="none" w:color="auto"/>
          <w:shd w:val="clear" w:fill="auto"/>
        </w:rPr>
      </w:pPr>
    </w:p>
    <w:p>
      <w:pPr>
        <w:rPr>
          <w:rFonts w:ascii="仿宋_GB2312" w:hAnsi="仿宋_GB2312" w:eastAsia="仿宋_GB2312" w:cs="仿宋_GB2312"/>
          <w:sz w:val="28"/>
          <w:szCs w:val="28"/>
          <w:u w:val="none" w:color="auto"/>
          <w:shd w:val="clear" w:fill="auto"/>
        </w:rPr>
      </w:pPr>
      <w:r>
        <w:rPr>
          <w:rFonts w:ascii="仿宋" w:hAnsi="仿宋" w:eastAsia="仿宋"/>
          <w:b/>
          <w:color w:val="000000"/>
          <w:sz w:val="32"/>
          <w:szCs w:val="32"/>
          <w:u w:val="none" w:color="auto"/>
          <w:shd w:val="clear" w:fill="auto"/>
        </w:rPr>
        <w:drawing>
          <wp:inline distT="0" distB="0" distL="114300" distR="114300">
            <wp:extent cx="4019550" cy="2437765"/>
            <wp:effectExtent l="0" t="0" r="0" b="635"/>
            <wp:docPr id="8" name="_x0000_i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i1198"/>
                    <pic:cNvPicPr>
                      <a:picLocks noChangeAspect="1"/>
                    </pic:cNvPicPr>
                  </pic:nvPicPr>
                  <pic:blipFill>
                    <a:blip r:embed="rId28"/>
                    <a:stretch>
                      <a:fillRect/>
                    </a:stretch>
                  </pic:blipFill>
                  <pic:spPr>
                    <a:xfrm>
                      <a:off x="0" y="0"/>
                      <a:ext cx="4019550" cy="2437765"/>
                    </a:xfrm>
                    <a:prstGeom prst="rect">
                      <a:avLst/>
                    </a:prstGeom>
                    <a:noFill/>
                    <a:ln>
                      <a:noFill/>
                    </a:ln>
                  </pic:spPr>
                </pic:pic>
              </a:graphicData>
            </a:graphic>
          </wp:inline>
        </w:drawing>
      </w:r>
    </w:p>
    <w:p>
      <w:pPr>
        <w:rPr>
          <w:u w:val="none" w:color="auto"/>
          <w:shd w:val="clear" w:fill="auto"/>
        </w:rPr>
      </w:pPr>
    </w:p>
    <w:p>
      <w:pPr>
        <w:spacing w:line="560" w:lineRule="exact"/>
        <w:ind w:firstLine="640"/>
        <w:rPr>
          <w:rFonts w:ascii="仿宋_GB2312" w:hAnsi="仿宋_GB2312" w:eastAsia="仿宋_GB2312" w:cs="仿宋_GB2312"/>
          <w:b/>
          <w:sz w:val="28"/>
          <w:szCs w:val="28"/>
          <w:u w:val="none" w:color="auto"/>
          <w:shd w:val="clear" w:fill="auto"/>
        </w:rPr>
      </w:pPr>
      <w:r>
        <w:rPr>
          <w:rFonts w:hint="eastAsia" w:ascii="仿宋_GB2312" w:hAnsi="仿宋_GB2312" w:eastAsia="仿宋_GB2312" w:cs="仿宋_GB2312"/>
          <w:b/>
          <w:sz w:val="28"/>
          <w:szCs w:val="28"/>
          <w:u w:val="none" w:color="auto"/>
          <w:shd w:val="clear" w:fill="auto"/>
        </w:rPr>
        <w:t>1.因公出国（境）经费支出</w:t>
      </w:r>
      <w:r>
        <w:rPr>
          <w:rFonts w:hint="eastAsia" w:ascii="仿宋_GB2312" w:hAnsi="仿宋_GB2312" w:eastAsia="仿宋_GB2312" w:cs="仿宋_GB2312"/>
          <w:sz w:val="28"/>
          <w:szCs w:val="28"/>
          <w:u w:val="none" w:color="auto"/>
          <w:shd w:val="clear" w:fill="auto"/>
        </w:rPr>
        <w:t>0万元，</w:t>
      </w:r>
      <w:r>
        <w:rPr>
          <w:rStyle w:val="9"/>
          <w:rFonts w:hint="eastAsia" w:ascii="仿宋_GB2312" w:hAnsi="仿宋_GB2312" w:eastAsia="仿宋_GB2312" w:cs="仿宋_GB2312"/>
          <w:b w:val="0"/>
          <w:bCs/>
          <w:sz w:val="28"/>
          <w:szCs w:val="28"/>
          <w:u w:val="none" w:color="auto"/>
          <w:shd w:val="clear" w:fill="auto"/>
        </w:rPr>
        <w:t>完成预算</w:t>
      </w:r>
      <w:r>
        <w:rPr>
          <w:rFonts w:hint="eastAsia" w:ascii="仿宋_GB2312" w:hAnsi="仿宋_GB2312" w:eastAsia="仿宋_GB2312" w:cs="仿宋_GB2312"/>
          <w:bCs/>
          <w:sz w:val="28"/>
          <w:szCs w:val="28"/>
          <w:u w:val="none" w:color="auto"/>
          <w:shd w:val="clear" w:fill="auto"/>
        </w:rPr>
        <w:t>%。</w:t>
      </w:r>
      <w:r>
        <w:rPr>
          <w:rFonts w:hint="eastAsia" w:ascii="仿宋_GB2312" w:hAnsi="仿宋_GB2312" w:eastAsia="仿宋_GB2312" w:cs="仿宋_GB2312"/>
          <w:sz w:val="28"/>
          <w:szCs w:val="28"/>
          <w:u w:val="none" w:color="auto"/>
          <w:shd w:val="clear" w:fill="auto"/>
        </w:rPr>
        <w:t>全年安排因公出国（境）团组0次，出国（境）0人。因公出国（境）支出决算比2020年增加/减少0万元，增长/下降%。</w:t>
      </w:r>
      <w:r>
        <w:rPr>
          <w:rFonts w:hint="eastAsia" w:ascii="仿宋_GB2312" w:hAnsi="仿宋_GB2312" w:eastAsia="仿宋_GB2312" w:cs="仿宋_GB2312"/>
          <w:color w:val="000000"/>
          <w:sz w:val="28"/>
          <w:szCs w:val="28"/>
          <w:u w:val="none" w:color="auto"/>
          <w:shd w:val="clear" w:fill="auto"/>
        </w:rPr>
        <w:t>主要原因是无此项支出</w:t>
      </w:r>
      <w:r>
        <w:rPr>
          <w:rFonts w:hint="eastAsia" w:ascii="仿宋_GB2312" w:hAnsi="仿宋_GB2312" w:eastAsia="仿宋_GB2312" w:cs="仿宋_GB2312"/>
          <w:sz w:val="28"/>
          <w:szCs w:val="28"/>
          <w:u w:val="none" w:color="auto"/>
          <w:shd w:val="clear" w:fill="auto"/>
        </w:rPr>
        <w:t>。</w:t>
      </w:r>
    </w:p>
    <w:p>
      <w:pPr>
        <w:spacing w:line="578" w:lineRule="exact"/>
        <w:ind w:firstLine="562" w:firstLineChars="200"/>
        <w:rPr>
          <w:rFonts w:ascii="仿宋_GB2312" w:hAnsi="仿宋_GB2312" w:eastAsia="仿宋_GB2312" w:cs="仿宋_GB2312"/>
          <w:color w:val="000000"/>
          <w:sz w:val="28"/>
          <w:szCs w:val="28"/>
          <w:u w:val="none" w:color="auto"/>
          <w:shd w:val="clear" w:fill="auto"/>
        </w:rPr>
      </w:pPr>
      <w:r>
        <w:rPr>
          <w:rFonts w:hint="eastAsia" w:ascii="仿宋_GB2312" w:hAnsi="仿宋_GB2312" w:eastAsia="仿宋_GB2312" w:cs="仿宋_GB2312"/>
          <w:b/>
          <w:sz w:val="28"/>
          <w:szCs w:val="28"/>
          <w:u w:val="none" w:color="auto"/>
          <w:shd w:val="clear" w:fill="auto"/>
        </w:rPr>
        <w:t>2.公务用车购置及运行维护费支出</w:t>
      </w:r>
      <w:r>
        <w:rPr>
          <w:rFonts w:hint="eastAsia" w:ascii="仿宋_GB2312" w:hAnsi="仿宋_GB2312" w:eastAsia="仿宋_GB2312" w:cs="仿宋_GB2312"/>
          <w:sz w:val="28"/>
          <w:szCs w:val="28"/>
          <w:u w:val="none" w:color="auto"/>
          <w:shd w:val="clear" w:fill="auto"/>
        </w:rPr>
        <w:t>0万元</w:t>
      </w:r>
      <w:r>
        <w:rPr>
          <w:u w:val="none" w:color="auto"/>
          <w:shd w:val="clear" w:fill="auto"/>
        </w:rPr>
        <w:t>，</w:t>
      </w:r>
      <w:r>
        <w:rPr>
          <w:rFonts w:hint="eastAsia" w:ascii="仿宋_GB2312" w:hAnsi="仿宋_GB2312" w:eastAsia="仿宋_GB2312" w:cs="仿宋_GB2312"/>
          <w:color w:val="000000"/>
          <w:sz w:val="28"/>
          <w:szCs w:val="28"/>
          <w:u w:val="none" w:color="auto"/>
          <w:shd w:val="clear" w:fill="auto"/>
        </w:rPr>
        <w:t>比2020年减少0万元。主要原因是公务用车制度改革。</w:t>
      </w:r>
    </w:p>
    <w:p>
      <w:pPr>
        <w:spacing w:line="560" w:lineRule="exact"/>
        <w:ind w:firstLine="640"/>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b/>
          <w:sz w:val="28"/>
          <w:szCs w:val="28"/>
          <w:u w:val="none" w:color="auto"/>
          <w:shd w:val="clear" w:fill="auto"/>
        </w:rPr>
        <w:t>3.公务接待费支出</w:t>
      </w:r>
      <w:r>
        <w:rPr>
          <w:rFonts w:hint="eastAsia" w:ascii="仿宋_GB2312" w:hAnsi="仿宋_GB2312" w:eastAsia="仿宋_GB2312" w:cs="仿宋_GB2312"/>
          <w:sz w:val="28"/>
          <w:szCs w:val="28"/>
          <w:u w:val="none" w:color="auto"/>
          <w:shd w:val="clear" w:fill="auto"/>
        </w:rPr>
        <w:t>0.97万元，</w:t>
      </w:r>
      <w:r>
        <w:rPr>
          <w:rStyle w:val="9"/>
          <w:rFonts w:hint="eastAsia" w:ascii="仿宋_GB2312" w:hAnsi="仿宋_GB2312" w:eastAsia="仿宋_GB2312" w:cs="仿宋_GB2312"/>
          <w:b w:val="0"/>
          <w:bCs/>
          <w:sz w:val="28"/>
          <w:szCs w:val="28"/>
          <w:u w:val="none" w:color="auto"/>
          <w:shd w:val="clear" w:fill="auto"/>
        </w:rPr>
        <w:t>完成预算的100%。</w:t>
      </w:r>
      <w:r>
        <w:rPr>
          <w:rFonts w:hint="eastAsia" w:ascii="仿宋_GB2312" w:hAnsi="仿宋_GB2312" w:eastAsia="仿宋_GB2312" w:cs="仿宋_GB2312"/>
          <w:sz w:val="28"/>
          <w:szCs w:val="28"/>
          <w:u w:val="none" w:color="auto"/>
          <w:shd w:val="clear" w:fill="auto"/>
        </w:rPr>
        <w:t>公务接待费支出决算比2020年增加0.05万元，增长5.4%。</w:t>
      </w:r>
      <w:r>
        <w:rPr>
          <w:rFonts w:hint="eastAsia" w:ascii="仿宋_GB2312" w:hAnsi="仿宋_GB2312" w:eastAsia="仿宋_GB2312" w:cs="仿宋_GB2312"/>
          <w:color w:val="000000"/>
          <w:sz w:val="28"/>
          <w:szCs w:val="28"/>
          <w:u w:val="none" w:color="auto"/>
          <w:shd w:val="clear" w:fill="auto"/>
        </w:rPr>
        <w:t>主要原因是接待人数与次数增加。</w:t>
      </w:r>
      <w:r>
        <w:rPr>
          <w:rFonts w:hint="eastAsia" w:ascii="仿宋_GB2312" w:hAnsi="仿宋_GB2312" w:eastAsia="仿宋_GB2312" w:cs="仿宋_GB2312"/>
          <w:sz w:val="28"/>
          <w:szCs w:val="28"/>
          <w:u w:val="none" w:color="auto"/>
          <w:shd w:val="clear" w:fill="auto"/>
        </w:rPr>
        <w:t>其中：</w:t>
      </w:r>
    </w:p>
    <w:p>
      <w:pPr>
        <w:spacing w:line="560" w:lineRule="exact"/>
        <w:ind w:firstLine="562" w:firstLineChars="200"/>
        <w:rPr>
          <w:rFonts w:eastAsia="仿宋_GB2312"/>
          <w:u w:val="none" w:color="auto"/>
          <w:shd w:val="clear" w:fill="auto"/>
        </w:rPr>
      </w:pPr>
      <w:r>
        <w:rPr>
          <w:rFonts w:hint="eastAsia" w:ascii="仿宋_GB2312" w:hAnsi="仿宋_GB2312" w:eastAsia="仿宋_GB2312" w:cs="仿宋_GB2312"/>
          <w:b/>
          <w:sz w:val="28"/>
          <w:szCs w:val="28"/>
          <w:u w:val="none" w:color="auto"/>
          <w:shd w:val="clear" w:fill="auto"/>
        </w:rPr>
        <w:t>国内公务接待支出</w:t>
      </w:r>
      <w:r>
        <w:rPr>
          <w:rFonts w:hint="eastAsia" w:ascii="仿宋_GB2312" w:hAnsi="仿宋_GB2312" w:eastAsia="仿宋_GB2312" w:cs="仿宋_GB2312"/>
          <w:sz w:val="28"/>
          <w:szCs w:val="28"/>
          <w:u w:val="none" w:color="auto"/>
          <w:shd w:val="clear" w:fill="auto"/>
        </w:rPr>
        <w:t>0.97万元，主要用于</w:t>
      </w:r>
      <w:r>
        <w:rPr>
          <w:rFonts w:hint="eastAsia" w:ascii="仿宋_GB2312" w:hAnsi="仿宋_GB2312" w:eastAsia="仿宋_GB2312" w:cs="仿宋_GB2312"/>
          <w:color w:val="000000"/>
          <w:sz w:val="28"/>
          <w:szCs w:val="28"/>
          <w:u w:val="none" w:color="auto"/>
          <w:shd w:val="clear" w:fill="auto"/>
        </w:rPr>
        <w:t>执行公务、开展业务活动开支的交通费、住宿费、用餐费等。国内公务接待11批次，63人次（不包括陪同人员），共计支出0.97万元，主要用于巡察项目迎检工作</w:t>
      </w:r>
      <w:bookmarkStart w:id="62" w:name="_Toc15377218"/>
      <w:bookmarkStart w:id="63" w:name="_Toc15396610"/>
      <w:r>
        <w:rPr>
          <w:rFonts w:hint="eastAsia" w:ascii="仿宋_GB2312" w:hAnsi="仿宋_GB2312" w:eastAsia="仿宋_GB2312" w:cs="仿宋_GB2312"/>
          <w:color w:val="000000"/>
          <w:sz w:val="28"/>
          <w:szCs w:val="28"/>
          <w:u w:val="none" w:color="auto"/>
          <w:shd w:val="clear" w:fill="auto"/>
        </w:rPr>
        <w:t>。</w:t>
      </w:r>
    </w:p>
    <w:p>
      <w:pPr>
        <w:spacing w:line="560" w:lineRule="exact"/>
        <w:ind w:firstLine="640"/>
        <w:outlineLvl w:val="1"/>
        <w:rPr>
          <w:rStyle w:val="30"/>
          <w:rFonts w:ascii="黑体" w:hAnsi="黑体" w:eastAsia="黑体"/>
          <w:sz w:val="28"/>
          <w:szCs w:val="28"/>
          <w:u w:val="none" w:color="auto"/>
          <w:shd w:val="clear" w:fill="auto"/>
        </w:rPr>
      </w:pPr>
      <w:bookmarkStart w:id="64" w:name="_Toc6654"/>
      <w:r>
        <w:rPr>
          <w:rFonts w:hint="eastAsia" w:ascii="黑体" w:eastAsia="黑体"/>
          <w:sz w:val="28"/>
          <w:szCs w:val="28"/>
          <w:u w:val="none" w:color="auto"/>
          <w:shd w:val="clear" w:fill="auto"/>
        </w:rPr>
        <w:t>八、</w:t>
      </w:r>
      <w:r>
        <w:rPr>
          <w:rStyle w:val="30"/>
          <w:rFonts w:hint="eastAsia" w:ascii="黑体" w:hAnsi="黑体" w:eastAsia="黑体"/>
          <w:b w:val="0"/>
          <w:sz w:val="28"/>
          <w:szCs w:val="28"/>
          <w:u w:val="none" w:color="auto"/>
          <w:shd w:val="clear" w:fill="auto"/>
        </w:rPr>
        <w:t>政府性基金预算</w:t>
      </w:r>
      <w:r>
        <w:rPr>
          <w:rFonts w:hint="eastAsia" w:ascii="黑体" w:hAnsi="黑体" w:eastAsia="黑体"/>
          <w:sz w:val="28"/>
          <w:szCs w:val="28"/>
          <w:u w:val="none" w:color="auto"/>
          <w:shd w:val="clear" w:fill="auto"/>
        </w:rPr>
        <w:t>支出决算情况说明</w:t>
      </w:r>
      <w:bookmarkEnd w:id="62"/>
      <w:bookmarkEnd w:id="63"/>
      <w:bookmarkEnd w:id="64"/>
    </w:p>
    <w:p>
      <w:pPr>
        <w:spacing w:line="560" w:lineRule="exact"/>
        <w:ind w:firstLine="640"/>
        <w:rPr>
          <w:rFonts w:ascii="仿宋_GB2312" w:eastAsia="仿宋_GB2312"/>
          <w:sz w:val="28"/>
          <w:szCs w:val="28"/>
          <w:u w:val="none" w:color="auto"/>
          <w:shd w:val="clear" w:fill="auto"/>
        </w:rPr>
      </w:pPr>
      <w:r>
        <w:rPr>
          <w:rFonts w:ascii="仿宋_GB2312" w:eastAsia="仿宋_GB2312"/>
          <w:sz w:val="28"/>
          <w:szCs w:val="28"/>
          <w:u w:val="none" w:color="auto"/>
          <w:shd w:val="clear" w:fill="auto"/>
        </w:rPr>
        <w:t>20</w:t>
      </w:r>
      <w:r>
        <w:rPr>
          <w:rFonts w:hint="eastAsia" w:ascii="仿宋_GB2312" w:eastAsia="仿宋_GB2312"/>
          <w:sz w:val="28"/>
          <w:szCs w:val="28"/>
          <w:u w:val="none" w:color="auto"/>
          <w:shd w:val="clear" w:fill="auto"/>
        </w:rPr>
        <w:t>21年政府性基金预算财政拨款支出0万元。</w:t>
      </w:r>
    </w:p>
    <w:p>
      <w:pPr>
        <w:numPr>
          <w:ilvl w:val="0"/>
          <w:numId w:val="2"/>
        </w:numPr>
        <w:spacing w:line="560" w:lineRule="exact"/>
        <w:ind w:firstLine="640"/>
        <w:outlineLvl w:val="1"/>
        <w:rPr>
          <w:rStyle w:val="30"/>
          <w:rFonts w:ascii="黑体" w:hAnsi="黑体" w:eastAsia="黑体"/>
          <w:b w:val="0"/>
          <w:sz w:val="28"/>
          <w:szCs w:val="28"/>
          <w:u w:val="none" w:color="auto"/>
          <w:shd w:val="clear" w:fill="auto"/>
        </w:rPr>
      </w:pPr>
      <w:bookmarkStart w:id="65" w:name="_Toc15377219"/>
      <w:bookmarkStart w:id="66" w:name="_Toc15396611"/>
      <w:bookmarkStart w:id="67" w:name="_Toc9733"/>
      <w:r>
        <w:rPr>
          <w:rStyle w:val="30"/>
          <w:rFonts w:hint="eastAsia" w:ascii="黑体" w:hAnsi="黑体" w:eastAsia="黑体"/>
          <w:b w:val="0"/>
          <w:sz w:val="28"/>
          <w:szCs w:val="28"/>
          <w:u w:val="none" w:color="auto"/>
          <w:shd w:val="clear" w:fill="auto"/>
        </w:rPr>
        <w:t>国有资本经营预算</w:t>
      </w:r>
      <w:r>
        <w:rPr>
          <w:rFonts w:hint="eastAsia" w:ascii="黑体" w:hAnsi="黑体" w:eastAsia="黑体"/>
          <w:sz w:val="28"/>
          <w:szCs w:val="28"/>
          <w:u w:val="none" w:color="auto"/>
          <w:shd w:val="clear" w:fill="auto"/>
        </w:rPr>
        <w:t>支出决算情况说明</w:t>
      </w:r>
      <w:bookmarkEnd w:id="65"/>
      <w:bookmarkEnd w:id="66"/>
      <w:bookmarkEnd w:id="67"/>
    </w:p>
    <w:p>
      <w:pPr>
        <w:spacing w:line="560" w:lineRule="exact"/>
        <w:ind w:firstLine="640"/>
        <w:rPr>
          <w:rFonts w:ascii="方正小标宋简体" w:hAnsi="方正小标宋简体" w:eastAsia="方正小标宋简体" w:cs="方正小标宋简体"/>
          <w:sz w:val="28"/>
          <w:szCs w:val="28"/>
          <w:u w:val="none" w:color="auto"/>
          <w:shd w:val="clear" w:fill="auto"/>
        </w:rPr>
      </w:pPr>
      <w:r>
        <w:rPr>
          <w:rFonts w:ascii="仿宋_GB2312" w:eastAsia="仿宋_GB2312"/>
          <w:sz w:val="28"/>
          <w:szCs w:val="28"/>
          <w:u w:val="none" w:color="auto"/>
          <w:shd w:val="clear" w:fill="auto"/>
        </w:rPr>
        <w:t>20</w:t>
      </w:r>
      <w:r>
        <w:rPr>
          <w:rFonts w:hint="eastAsia" w:ascii="仿宋_GB2312" w:eastAsia="仿宋_GB2312"/>
          <w:sz w:val="28"/>
          <w:szCs w:val="28"/>
          <w:u w:val="none" w:color="auto"/>
          <w:shd w:val="clear" w:fill="auto"/>
        </w:rPr>
        <w:t>21年国有资本经营预算财政拨款支出0万元。</w:t>
      </w:r>
    </w:p>
    <w:p>
      <w:pPr>
        <w:numPr>
          <w:ilvl w:val="0"/>
          <w:numId w:val="2"/>
        </w:numPr>
        <w:spacing w:line="560" w:lineRule="exact"/>
        <w:ind w:firstLine="640"/>
        <w:outlineLvl w:val="1"/>
        <w:rPr>
          <w:rStyle w:val="30"/>
          <w:rFonts w:ascii="黑体" w:hAnsi="黑体" w:eastAsia="黑体"/>
          <w:b w:val="0"/>
          <w:u w:val="none" w:color="auto"/>
          <w:shd w:val="clear" w:fill="auto"/>
        </w:rPr>
      </w:pPr>
      <w:bookmarkStart w:id="68" w:name="_Toc12600"/>
      <w:bookmarkStart w:id="69" w:name="_Toc15377221"/>
      <w:bookmarkStart w:id="70" w:name="_Toc15396612"/>
      <w:r>
        <w:rPr>
          <w:rStyle w:val="30"/>
          <w:rFonts w:hint="eastAsia" w:ascii="黑体" w:hAnsi="黑体" w:eastAsia="黑体"/>
          <w:b w:val="0"/>
          <w:u w:val="none" w:color="auto"/>
          <w:shd w:val="clear" w:fill="auto"/>
        </w:rPr>
        <w:t>其他重要事项的情况说明</w:t>
      </w:r>
      <w:bookmarkEnd w:id="68"/>
      <w:bookmarkEnd w:id="69"/>
      <w:bookmarkEnd w:id="70"/>
    </w:p>
    <w:p>
      <w:pPr>
        <w:spacing w:line="560" w:lineRule="exact"/>
        <w:ind w:firstLine="562" w:firstLineChars="200"/>
        <w:outlineLvl w:val="2"/>
        <w:rPr>
          <w:rFonts w:ascii="仿宋" w:hAnsi="仿宋" w:eastAsia="仿宋"/>
          <w:sz w:val="28"/>
          <w:szCs w:val="28"/>
          <w:u w:val="none" w:color="auto"/>
          <w:shd w:val="clear" w:fill="auto"/>
        </w:rPr>
      </w:pPr>
      <w:bookmarkStart w:id="71" w:name="_Toc15377222"/>
      <w:r>
        <w:rPr>
          <w:rFonts w:hint="eastAsia" w:ascii="仿宋" w:hAnsi="仿宋" w:eastAsia="仿宋"/>
          <w:b/>
          <w:sz w:val="28"/>
          <w:szCs w:val="28"/>
          <w:u w:val="none" w:color="auto"/>
          <w:shd w:val="clear" w:fill="auto"/>
        </w:rPr>
        <w:t>（一）机关运行经费支出情况</w:t>
      </w:r>
      <w:bookmarkEnd w:id="71"/>
    </w:p>
    <w:p>
      <w:pPr>
        <w:spacing w:line="560" w:lineRule="exact"/>
        <w:ind w:firstLine="560" w:firstLineChars="200"/>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2021年，</w:t>
      </w:r>
      <w:r>
        <w:rPr>
          <w:rFonts w:hint="eastAsia" w:ascii="仿宋_GB2312" w:hAnsi="仿宋_GB2312" w:eastAsia="仿宋_GB2312" w:cs="仿宋_GB2312"/>
          <w:color w:val="000000"/>
          <w:sz w:val="28"/>
          <w:szCs w:val="28"/>
          <w:u w:val="none" w:color="auto"/>
          <w:shd w:val="clear" w:fill="auto"/>
        </w:rPr>
        <w:t>巡察办</w:t>
      </w:r>
      <w:r>
        <w:rPr>
          <w:rFonts w:hint="eastAsia" w:ascii="仿宋_GB2312" w:hAnsi="仿宋_GB2312" w:eastAsia="仿宋_GB2312" w:cs="仿宋_GB2312"/>
          <w:sz w:val="28"/>
          <w:szCs w:val="28"/>
          <w:u w:val="none" w:color="auto"/>
          <w:shd w:val="clear" w:fill="auto"/>
        </w:rPr>
        <w:t>机关运行经费支出54.51万元，比2020年增加12.31万元，增长29.17%。主要原因是</w:t>
      </w:r>
      <w:r>
        <w:rPr>
          <w:rFonts w:hint="eastAsia" w:ascii="仿宋_GB2312" w:hAnsi="仿宋_GB2312" w:eastAsia="仿宋_GB2312" w:cs="仿宋_GB2312"/>
          <w:color w:val="000000"/>
          <w:sz w:val="28"/>
          <w:szCs w:val="28"/>
          <w:u w:val="none" w:color="auto"/>
          <w:shd w:val="clear" w:fill="auto"/>
        </w:rPr>
        <w:t>单位人员增加及巡察任务加大。</w:t>
      </w:r>
    </w:p>
    <w:p>
      <w:pPr>
        <w:autoSpaceDE w:val="0"/>
        <w:autoSpaceDN w:val="0"/>
        <w:adjustRightInd w:val="0"/>
        <w:spacing w:line="560" w:lineRule="exact"/>
        <w:ind w:firstLine="321" w:firstLineChars="100"/>
        <w:jc w:val="left"/>
        <w:outlineLvl w:val="2"/>
        <w:rPr>
          <w:rFonts w:ascii="仿宋" w:hAnsi="仿宋" w:eastAsia="仿宋"/>
          <w:b/>
          <w:sz w:val="32"/>
          <w:szCs w:val="32"/>
          <w:u w:val="none" w:color="auto"/>
          <w:shd w:val="clear" w:fill="auto"/>
        </w:rPr>
      </w:pPr>
      <w:bookmarkStart w:id="72" w:name="_Toc15377223"/>
      <w:r>
        <w:rPr>
          <w:rFonts w:hint="eastAsia" w:ascii="仿宋" w:hAnsi="仿宋" w:eastAsia="仿宋"/>
          <w:b/>
          <w:sz w:val="32"/>
          <w:szCs w:val="32"/>
          <w:u w:val="none" w:color="auto"/>
          <w:shd w:val="clear" w:fill="auto"/>
        </w:rPr>
        <w:t>（二）政府采购支出情况</w:t>
      </w:r>
      <w:bookmarkEnd w:id="72"/>
    </w:p>
    <w:p>
      <w:pPr>
        <w:spacing w:line="560" w:lineRule="exact"/>
        <w:ind w:firstLine="560" w:firstLineChars="200"/>
        <w:rPr>
          <w:rFonts w:ascii="仿宋_GB2312" w:eastAsia="仿宋_GB2312"/>
          <w:sz w:val="28"/>
          <w:szCs w:val="28"/>
          <w:u w:val="none" w:color="auto"/>
          <w:shd w:val="clear" w:fill="auto"/>
        </w:rPr>
      </w:pPr>
      <w:r>
        <w:rPr>
          <w:rFonts w:ascii="仿宋_GB2312" w:eastAsia="仿宋_GB2312"/>
          <w:sz w:val="28"/>
          <w:szCs w:val="28"/>
          <w:u w:val="none" w:color="auto"/>
          <w:shd w:val="clear" w:fill="auto"/>
        </w:rPr>
        <w:t>20</w:t>
      </w:r>
      <w:r>
        <w:rPr>
          <w:rFonts w:hint="eastAsia" w:ascii="仿宋_GB2312" w:eastAsia="仿宋_GB2312"/>
          <w:sz w:val="28"/>
          <w:szCs w:val="28"/>
          <w:u w:val="none" w:color="auto"/>
          <w:shd w:val="clear" w:fill="auto"/>
        </w:rPr>
        <w:t>21年，</w:t>
      </w:r>
      <w:r>
        <w:rPr>
          <w:rFonts w:hint="eastAsia" w:ascii="仿宋_GB2312" w:eastAsia="仿宋_GB2312"/>
          <w:color w:val="000000"/>
          <w:sz w:val="28"/>
          <w:szCs w:val="28"/>
          <w:u w:val="none" w:color="auto"/>
          <w:shd w:val="clear" w:fill="auto"/>
        </w:rPr>
        <w:t>巡察办政府采购</w:t>
      </w:r>
      <w:r>
        <w:rPr>
          <w:rFonts w:hint="eastAsia" w:ascii="仿宋_GB2312" w:eastAsia="仿宋_GB2312"/>
          <w:sz w:val="28"/>
          <w:szCs w:val="28"/>
          <w:u w:val="none" w:color="auto"/>
          <w:shd w:val="clear" w:fill="auto"/>
        </w:rPr>
        <w:t>支出总额4.2万元，其中：政府采购货物支出4.2万元、政府采购工程支出0万元、政府采购服务支出0万元。主要用于</w:t>
      </w:r>
      <w:r>
        <w:rPr>
          <w:rFonts w:hint="eastAsia" w:ascii="仿宋_GB2312" w:hAnsi="宋体" w:eastAsia="仿宋_GB2312" w:cs="仿宋_GB2312"/>
          <w:sz w:val="28"/>
          <w:szCs w:val="28"/>
          <w:u w:val="none" w:color="auto"/>
          <w:shd w:val="clear" w:fill="auto"/>
        </w:rPr>
        <w:t>采购办公设备</w:t>
      </w:r>
      <w:r>
        <w:rPr>
          <w:rFonts w:hint="eastAsia" w:ascii="仿宋_GB2312" w:eastAsia="仿宋_GB2312"/>
          <w:sz w:val="28"/>
          <w:szCs w:val="28"/>
          <w:u w:val="none" w:color="auto"/>
          <w:shd w:val="clear" w:fill="auto"/>
        </w:rPr>
        <w:t>。授予中小微企业合同金额0万元，占政府采购支出总额的</w:t>
      </w:r>
      <w:r>
        <w:rPr>
          <w:rFonts w:ascii="仿宋_GB2312" w:eastAsia="仿宋_GB2312"/>
          <w:sz w:val="28"/>
          <w:szCs w:val="28"/>
          <w:u w:val="none" w:color="auto"/>
          <w:shd w:val="clear" w:fill="auto"/>
        </w:rPr>
        <w:t>%</w:t>
      </w:r>
      <w:r>
        <w:rPr>
          <w:rFonts w:hint="eastAsia" w:ascii="仿宋_GB2312" w:eastAsia="仿宋_GB2312"/>
          <w:sz w:val="28"/>
          <w:szCs w:val="28"/>
          <w:u w:val="none" w:color="auto"/>
          <w:shd w:val="clear" w:fill="auto"/>
        </w:rPr>
        <w:t>。</w:t>
      </w:r>
    </w:p>
    <w:p>
      <w:pPr>
        <w:autoSpaceDE w:val="0"/>
        <w:autoSpaceDN w:val="0"/>
        <w:adjustRightInd w:val="0"/>
        <w:spacing w:line="560" w:lineRule="exact"/>
        <w:ind w:firstLine="321" w:firstLineChars="100"/>
        <w:jc w:val="left"/>
        <w:outlineLvl w:val="2"/>
        <w:rPr>
          <w:rFonts w:ascii="仿宋" w:hAnsi="仿宋" w:eastAsia="仿宋"/>
          <w:b/>
          <w:sz w:val="32"/>
          <w:szCs w:val="32"/>
          <w:u w:val="none" w:color="auto"/>
          <w:shd w:val="clear" w:fill="auto"/>
        </w:rPr>
      </w:pPr>
      <w:bookmarkStart w:id="73" w:name="_Toc15377224"/>
      <w:r>
        <w:rPr>
          <w:rFonts w:hint="eastAsia" w:ascii="仿宋" w:hAnsi="仿宋" w:eastAsia="仿宋"/>
          <w:b/>
          <w:sz w:val="32"/>
          <w:szCs w:val="32"/>
          <w:u w:val="none" w:color="auto"/>
          <w:shd w:val="clear" w:fill="auto"/>
        </w:rPr>
        <w:t>（三）国有资产占有使用情况</w:t>
      </w:r>
      <w:bookmarkEnd w:id="73"/>
    </w:p>
    <w:p>
      <w:pPr>
        <w:autoSpaceDE w:val="0"/>
        <w:autoSpaceDN w:val="0"/>
        <w:adjustRightInd w:val="0"/>
        <w:spacing w:line="560" w:lineRule="exact"/>
        <w:ind w:firstLine="560" w:firstLineChars="200"/>
        <w:jc w:val="left"/>
        <w:rPr>
          <w:rFonts w:ascii="仿宋_GB2312" w:eastAsia="仿宋_GB2312"/>
          <w:sz w:val="28"/>
          <w:szCs w:val="28"/>
          <w:u w:val="none" w:color="auto"/>
          <w:shd w:val="clear" w:fill="auto"/>
        </w:rPr>
      </w:pPr>
      <w:r>
        <w:rPr>
          <w:rFonts w:hint="eastAsia" w:ascii="仿宋_GB2312" w:eastAsia="仿宋_GB2312"/>
          <w:sz w:val="28"/>
          <w:szCs w:val="28"/>
          <w:u w:val="none" w:color="auto"/>
          <w:shd w:val="clear" w:fill="auto"/>
        </w:rPr>
        <w:t>截至</w:t>
      </w:r>
      <w:r>
        <w:rPr>
          <w:rFonts w:ascii="仿宋_GB2312" w:eastAsia="仿宋_GB2312"/>
          <w:sz w:val="28"/>
          <w:szCs w:val="28"/>
          <w:u w:val="none" w:color="auto"/>
          <w:shd w:val="clear" w:fill="auto"/>
        </w:rPr>
        <w:t>20</w:t>
      </w:r>
      <w:r>
        <w:rPr>
          <w:rFonts w:hint="eastAsia" w:ascii="仿宋_GB2312" w:eastAsia="仿宋_GB2312"/>
          <w:sz w:val="28"/>
          <w:szCs w:val="28"/>
          <w:u w:val="none" w:color="auto"/>
          <w:shd w:val="clear" w:fill="auto"/>
        </w:rPr>
        <w:t>21年</w:t>
      </w:r>
      <w:r>
        <w:rPr>
          <w:rFonts w:ascii="仿宋_GB2312" w:eastAsia="仿宋_GB2312"/>
          <w:sz w:val="28"/>
          <w:szCs w:val="28"/>
          <w:u w:val="none" w:color="auto"/>
          <w:shd w:val="clear" w:fill="auto"/>
        </w:rPr>
        <w:t>12</w:t>
      </w:r>
      <w:r>
        <w:rPr>
          <w:rFonts w:hint="eastAsia" w:ascii="仿宋_GB2312" w:eastAsia="仿宋_GB2312"/>
          <w:sz w:val="28"/>
          <w:szCs w:val="28"/>
          <w:u w:val="none" w:color="auto"/>
          <w:shd w:val="clear" w:fill="auto"/>
        </w:rPr>
        <w:t>月</w:t>
      </w:r>
      <w:r>
        <w:rPr>
          <w:rFonts w:ascii="仿宋_GB2312" w:eastAsia="仿宋_GB2312"/>
          <w:sz w:val="28"/>
          <w:szCs w:val="28"/>
          <w:u w:val="none" w:color="auto"/>
          <w:shd w:val="clear" w:fill="auto"/>
        </w:rPr>
        <w:t>31</w:t>
      </w:r>
      <w:r>
        <w:rPr>
          <w:rFonts w:hint="eastAsia" w:ascii="仿宋_GB2312" w:eastAsia="仿宋_GB2312"/>
          <w:sz w:val="28"/>
          <w:szCs w:val="28"/>
          <w:u w:val="none" w:color="auto"/>
          <w:shd w:val="clear" w:fill="auto"/>
        </w:rPr>
        <w:t>日，共有车辆0辆，其中：主要领导干部用车0辆、机要通信用车0辆、应急保障用车0辆、其他用车0辆。单价</w:t>
      </w:r>
      <w:r>
        <w:rPr>
          <w:rFonts w:ascii="仿宋_GB2312" w:eastAsia="仿宋_GB2312"/>
          <w:sz w:val="28"/>
          <w:szCs w:val="28"/>
          <w:u w:val="none" w:color="auto"/>
          <w:shd w:val="clear" w:fill="auto"/>
        </w:rPr>
        <w:t>50</w:t>
      </w:r>
      <w:r>
        <w:rPr>
          <w:rFonts w:hint="eastAsia" w:ascii="仿宋_GB2312" w:eastAsia="仿宋_GB2312"/>
          <w:sz w:val="28"/>
          <w:szCs w:val="28"/>
          <w:u w:val="none" w:color="auto"/>
          <w:shd w:val="clear" w:fill="auto"/>
        </w:rPr>
        <w:t>万元以上通用设备0台（套），单价</w:t>
      </w:r>
      <w:r>
        <w:rPr>
          <w:rFonts w:ascii="仿宋_GB2312" w:eastAsia="仿宋_GB2312"/>
          <w:sz w:val="28"/>
          <w:szCs w:val="28"/>
          <w:u w:val="none" w:color="auto"/>
          <w:shd w:val="clear" w:fill="auto"/>
        </w:rPr>
        <w:t>100</w:t>
      </w:r>
      <w:r>
        <w:rPr>
          <w:rFonts w:hint="eastAsia" w:ascii="仿宋_GB2312" w:eastAsia="仿宋_GB2312"/>
          <w:sz w:val="28"/>
          <w:szCs w:val="28"/>
          <w:u w:val="none" w:color="auto"/>
          <w:shd w:val="clear" w:fill="auto"/>
        </w:rPr>
        <w:t>万元以上专用设备0台（套）。</w:t>
      </w:r>
    </w:p>
    <w:p>
      <w:pPr>
        <w:autoSpaceDE w:val="0"/>
        <w:autoSpaceDN w:val="0"/>
        <w:adjustRightInd w:val="0"/>
        <w:spacing w:line="560" w:lineRule="exact"/>
        <w:ind w:firstLine="321" w:firstLineChars="100"/>
        <w:jc w:val="left"/>
        <w:outlineLvl w:val="2"/>
        <w:rPr>
          <w:rFonts w:ascii="仿宋" w:hAnsi="仿宋" w:eastAsia="仿宋"/>
          <w:b/>
          <w:sz w:val="32"/>
          <w:szCs w:val="32"/>
          <w:u w:val="none" w:color="auto"/>
          <w:shd w:val="clear" w:fill="auto"/>
        </w:rPr>
      </w:pPr>
      <w:r>
        <w:rPr>
          <w:rFonts w:hint="eastAsia" w:ascii="仿宋" w:hAnsi="仿宋" w:eastAsia="仿宋"/>
          <w:b/>
          <w:sz w:val="32"/>
          <w:szCs w:val="32"/>
          <w:u w:val="none" w:color="auto"/>
          <w:shd w:val="clear" w:fill="auto"/>
        </w:rPr>
        <w:t>（四）预算绩效管理情况</w:t>
      </w:r>
    </w:p>
    <w:p>
      <w:pPr>
        <w:spacing w:line="560" w:lineRule="exact"/>
        <w:ind w:firstLine="560" w:firstLineChars="200"/>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根据预算绩效管理要求，本部门在2021年度预算编制阶段，组织对</w:t>
      </w:r>
      <w:r>
        <w:rPr>
          <w:rFonts w:hint="eastAsia" w:ascii="仿宋_GB2312" w:hAnsi="仿宋_GB2312" w:eastAsia="仿宋_GB2312" w:cs="仿宋_GB2312"/>
          <w:color w:val="000000"/>
          <w:sz w:val="28"/>
          <w:szCs w:val="28"/>
          <w:u w:val="none" w:color="auto"/>
          <w:shd w:val="clear" w:fill="auto"/>
        </w:rPr>
        <w:t>巡察工作经费、驻村工作经费等2</w:t>
      </w:r>
      <w:r>
        <w:rPr>
          <w:rFonts w:hint="eastAsia" w:ascii="仿宋_GB2312" w:hAnsi="仿宋_GB2312" w:eastAsia="仿宋_GB2312" w:cs="仿宋_GB2312"/>
          <w:sz w:val="28"/>
          <w:szCs w:val="28"/>
          <w:u w:val="none" w:color="auto"/>
          <w:shd w:val="clear" w:fill="auto"/>
        </w:rPr>
        <w:t>个项目开展了预算事前绩效评估，对2个项目编制了绩效目标，预算执行过程中，选取2个项目开展绩效监控，年终执行完毕后，对2个项目开展了绩效自评。同时，本部门对2021年部门整体开展绩效自评，《2021年XX部门整体绩效评价报告》见附件（第四部分）。</w:t>
      </w:r>
    </w:p>
    <w:p>
      <w:pPr>
        <w:pStyle w:val="3"/>
        <w:spacing w:before="93"/>
        <w:rPr>
          <w:rFonts w:hAnsi="仿宋_GB2312" w:cs="仿宋_GB2312"/>
          <w:sz w:val="28"/>
          <w:szCs w:val="28"/>
          <w:u w:val="none" w:color="auto"/>
          <w:shd w:val="clear" w:fill="auto"/>
        </w:rPr>
      </w:pPr>
    </w:p>
    <w:p>
      <w:pPr>
        <w:pStyle w:val="15"/>
        <w:rPr>
          <w:rFonts w:ascii="仿宋_GB2312" w:hAnsi="仿宋_GB2312" w:eastAsia="仿宋_GB2312" w:cs="仿宋_GB2312"/>
          <w:sz w:val="28"/>
          <w:szCs w:val="28"/>
          <w:u w:val="none" w:color="auto"/>
          <w:shd w:val="clear" w:fill="auto"/>
        </w:rPr>
      </w:pPr>
    </w:p>
    <w:p>
      <w:pPr>
        <w:rPr>
          <w:rFonts w:ascii="仿宋_GB2312" w:hAnsi="仿宋_GB2312" w:eastAsia="仿宋_GB2312" w:cs="仿宋_GB2312"/>
          <w:sz w:val="28"/>
          <w:szCs w:val="28"/>
          <w:u w:val="none" w:color="auto"/>
          <w:shd w:val="clear" w:fill="auto"/>
        </w:rPr>
      </w:pPr>
    </w:p>
    <w:p>
      <w:pPr>
        <w:pStyle w:val="3"/>
        <w:spacing w:before="93"/>
        <w:rPr>
          <w:rFonts w:hAnsi="仿宋_GB2312" w:cs="仿宋_GB2312"/>
          <w:sz w:val="28"/>
          <w:szCs w:val="28"/>
          <w:u w:val="none" w:color="auto"/>
          <w:shd w:val="clear" w:fill="auto"/>
        </w:rPr>
      </w:pPr>
    </w:p>
    <w:p>
      <w:pPr>
        <w:pStyle w:val="15"/>
        <w:rPr>
          <w:rFonts w:ascii="仿宋_GB2312" w:hAnsi="仿宋_GB2312" w:eastAsia="仿宋_GB2312" w:cs="仿宋_GB2312"/>
          <w:sz w:val="28"/>
          <w:szCs w:val="28"/>
          <w:u w:val="none" w:color="auto"/>
          <w:shd w:val="clear" w:fill="auto"/>
        </w:rPr>
      </w:pPr>
    </w:p>
    <w:p>
      <w:pPr>
        <w:rPr>
          <w:rFonts w:ascii="仿宋_GB2312" w:hAnsi="仿宋_GB2312" w:eastAsia="仿宋_GB2312" w:cs="仿宋_GB2312"/>
          <w:sz w:val="28"/>
          <w:szCs w:val="28"/>
          <w:u w:val="none" w:color="auto"/>
          <w:shd w:val="clear" w:fill="auto"/>
        </w:rPr>
      </w:pPr>
    </w:p>
    <w:p>
      <w:pPr>
        <w:pStyle w:val="3"/>
        <w:spacing w:before="93"/>
        <w:rPr>
          <w:rFonts w:hAnsi="仿宋_GB2312" w:cs="仿宋_GB2312"/>
          <w:sz w:val="28"/>
          <w:szCs w:val="28"/>
          <w:u w:val="none" w:color="auto"/>
          <w:shd w:val="clear" w:fill="auto"/>
        </w:rPr>
      </w:pPr>
    </w:p>
    <w:p>
      <w:pPr>
        <w:pStyle w:val="15"/>
        <w:rPr>
          <w:rFonts w:ascii="仿宋_GB2312" w:hAnsi="仿宋_GB2312" w:eastAsia="仿宋_GB2312" w:cs="仿宋_GB2312"/>
          <w:sz w:val="28"/>
          <w:szCs w:val="28"/>
          <w:u w:val="none" w:color="auto"/>
          <w:shd w:val="clear" w:fill="auto"/>
        </w:rPr>
      </w:pPr>
    </w:p>
    <w:p>
      <w:pPr>
        <w:rPr>
          <w:rFonts w:ascii="仿宋_GB2312" w:hAnsi="仿宋_GB2312" w:eastAsia="仿宋_GB2312" w:cs="仿宋_GB2312"/>
          <w:sz w:val="28"/>
          <w:szCs w:val="28"/>
          <w:u w:val="none" w:color="auto"/>
          <w:shd w:val="clear" w:fill="auto"/>
        </w:rPr>
      </w:pPr>
    </w:p>
    <w:p>
      <w:pPr>
        <w:pStyle w:val="3"/>
        <w:spacing w:before="93"/>
        <w:rPr>
          <w:rFonts w:hAnsi="仿宋_GB2312" w:cs="仿宋_GB2312"/>
          <w:sz w:val="28"/>
          <w:szCs w:val="28"/>
          <w:u w:val="none" w:color="auto"/>
          <w:shd w:val="clear" w:fill="auto"/>
        </w:rPr>
      </w:pPr>
    </w:p>
    <w:p>
      <w:pPr>
        <w:pStyle w:val="15"/>
        <w:rPr>
          <w:rFonts w:ascii="仿宋_GB2312" w:hAnsi="仿宋_GB2312" w:eastAsia="仿宋_GB2312" w:cs="仿宋_GB2312"/>
          <w:sz w:val="28"/>
          <w:szCs w:val="28"/>
          <w:u w:val="none" w:color="auto"/>
          <w:shd w:val="clear" w:fill="auto"/>
        </w:rPr>
      </w:pPr>
    </w:p>
    <w:p>
      <w:pPr>
        <w:rPr>
          <w:rFonts w:ascii="仿宋_GB2312" w:hAnsi="仿宋_GB2312" w:eastAsia="仿宋_GB2312" w:cs="仿宋_GB2312"/>
          <w:sz w:val="28"/>
          <w:szCs w:val="28"/>
          <w:u w:val="none" w:color="auto"/>
          <w:shd w:val="clear" w:fill="auto"/>
        </w:rPr>
      </w:pPr>
    </w:p>
    <w:p>
      <w:pPr>
        <w:pStyle w:val="3"/>
        <w:spacing w:before="93"/>
        <w:rPr>
          <w:rFonts w:hAnsi="仿宋_GB2312" w:cs="仿宋_GB2312"/>
          <w:sz w:val="28"/>
          <w:szCs w:val="28"/>
          <w:u w:val="none" w:color="auto"/>
          <w:shd w:val="clear" w:fill="auto"/>
        </w:rPr>
      </w:pPr>
    </w:p>
    <w:p>
      <w:pPr>
        <w:pStyle w:val="15"/>
        <w:rPr>
          <w:rFonts w:ascii="仿宋_GB2312" w:hAnsi="仿宋_GB2312" w:eastAsia="仿宋_GB2312" w:cs="仿宋_GB2312"/>
          <w:sz w:val="28"/>
          <w:szCs w:val="28"/>
          <w:u w:val="none" w:color="auto"/>
          <w:shd w:val="clear" w:fill="auto"/>
        </w:rPr>
      </w:pPr>
    </w:p>
    <w:p>
      <w:pPr>
        <w:rPr>
          <w:rFonts w:ascii="仿宋_GB2312" w:hAnsi="仿宋_GB2312" w:eastAsia="仿宋_GB2312" w:cs="仿宋_GB2312"/>
          <w:sz w:val="28"/>
          <w:szCs w:val="28"/>
          <w:u w:val="none" w:color="auto"/>
          <w:shd w:val="clear" w:fill="auto"/>
        </w:rPr>
      </w:pPr>
    </w:p>
    <w:p>
      <w:pPr>
        <w:rPr>
          <w:rFonts w:ascii="仿宋_GB2312" w:hAnsi="仿宋_GB2312" w:eastAsia="仿宋_GB2312" w:cs="仿宋_GB2312"/>
          <w:sz w:val="28"/>
          <w:szCs w:val="28"/>
          <w:u w:val="none" w:color="auto"/>
          <w:shd w:val="clear" w:fill="auto"/>
        </w:rPr>
      </w:pPr>
    </w:p>
    <w:p>
      <w:pPr>
        <w:rPr>
          <w:u w:val="none" w:color="auto"/>
          <w:shd w:val="clear" w:fill="auto"/>
        </w:rPr>
      </w:pPr>
    </w:p>
    <w:p>
      <w:pPr>
        <w:widowControl/>
        <w:spacing w:line="560" w:lineRule="exact"/>
        <w:jc w:val="left"/>
        <w:rPr>
          <w:rFonts w:ascii="仿宋_GB2312" w:eastAsia="仿宋_GB2312"/>
          <w:b/>
          <w:sz w:val="32"/>
          <w:szCs w:val="32"/>
          <w:u w:val="none" w:color="auto"/>
          <w:shd w:val="clear" w:fill="auto"/>
        </w:rPr>
      </w:pPr>
    </w:p>
    <w:p>
      <w:pPr>
        <w:numPr>
          <w:ilvl w:val="0"/>
          <w:numId w:val="3"/>
        </w:numPr>
        <w:spacing w:line="560" w:lineRule="exact"/>
        <w:ind w:firstLine="420" w:firstLineChars="150"/>
        <w:jc w:val="center"/>
        <w:outlineLvl w:val="0"/>
        <w:rPr>
          <w:rStyle w:val="29"/>
          <w:rFonts w:ascii="黑体" w:hAnsi="黑体" w:eastAsia="黑体"/>
          <w:b w:val="0"/>
          <w:sz w:val="28"/>
          <w:szCs w:val="28"/>
          <w:u w:val="none" w:color="auto"/>
          <w:shd w:val="clear" w:fill="auto"/>
        </w:rPr>
      </w:pPr>
      <w:bookmarkStart w:id="74" w:name="_Toc15396613"/>
      <w:bookmarkStart w:id="75" w:name="_Toc27382"/>
      <w:bookmarkStart w:id="76" w:name="_Toc15377225"/>
      <w:r>
        <w:rPr>
          <w:rFonts w:hint="eastAsia" w:ascii="黑体" w:hAnsi="黑体" w:eastAsia="黑体"/>
          <w:sz w:val="28"/>
          <w:szCs w:val="28"/>
          <w:u w:val="none" w:color="auto"/>
          <w:shd w:val="clear" w:fill="auto"/>
        </w:rPr>
        <w:t>名</w:t>
      </w:r>
      <w:r>
        <w:rPr>
          <w:rStyle w:val="29"/>
          <w:rFonts w:hint="eastAsia" w:ascii="黑体" w:hAnsi="黑体" w:eastAsia="黑体"/>
          <w:b w:val="0"/>
          <w:sz w:val="28"/>
          <w:szCs w:val="28"/>
          <w:u w:val="none" w:color="auto"/>
          <w:shd w:val="clear" w:fill="auto"/>
        </w:rPr>
        <w:t>词解</w:t>
      </w:r>
      <w:r>
        <w:rPr>
          <w:rStyle w:val="29"/>
          <w:rFonts w:hint="eastAsia" w:ascii="黑体" w:hAnsi="黑体" w:eastAsia="黑体"/>
          <w:b w:val="0"/>
          <w:sz w:val="28"/>
          <w:szCs w:val="28"/>
          <w:u w:val="none" w:color="auto"/>
          <w:shd w:val="clear" w:fill="auto"/>
        </w:rPr>
        <w:t>释</w:t>
      </w:r>
      <w:bookmarkEnd w:id="74"/>
      <w:bookmarkEnd w:id="75"/>
      <w:bookmarkEnd w:id="76"/>
    </w:p>
    <w:p>
      <w:pPr>
        <w:spacing w:line="560" w:lineRule="exact"/>
        <w:jc w:val="left"/>
        <w:rPr>
          <w:rFonts w:ascii="宋体"/>
          <w:b/>
          <w:sz w:val="28"/>
          <w:szCs w:val="28"/>
          <w:u w:val="none" w:color="auto"/>
          <w:shd w:val="clear" w:fill="auto"/>
        </w:rPr>
      </w:pPr>
    </w:p>
    <w:p>
      <w:pPr>
        <w:pStyle w:val="21"/>
        <w:spacing w:line="560" w:lineRule="exact"/>
        <w:ind w:firstLine="560" w:firstLineChars="200"/>
        <w:rPr>
          <w:rFonts w:ascii="仿宋_GB2312" w:eastAsia="仿宋_GB2312"/>
          <w:color w:val="auto"/>
          <w:sz w:val="28"/>
          <w:szCs w:val="28"/>
          <w:u w:val="none" w:color="auto"/>
          <w:shd w:val="clear" w:fill="auto"/>
        </w:rPr>
      </w:pPr>
      <w:r>
        <w:rPr>
          <w:rFonts w:ascii="仿宋_GB2312" w:eastAsia="仿宋_GB2312"/>
          <w:color w:val="auto"/>
          <w:sz w:val="28"/>
          <w:szCs w:val="28"/>
          <w:u w:val="none" w:color="auto"/>
          <w:shd w:val="clear" w:fill="auto"/>
        </w:rPr>
        <w:t>1.</w:t>
      </w:r>
      <w:r>
        <w:rPr>
          <w:rFonts w:hint="eastAsia" w:ascii="仿宋_GB2312" w:eastAsia="仿宋_GB2312"/>
          <w:color w:val="auto"/>
          <w:sz w:val="28"/>
          <w:szCs w:val="28"/>
          <w:u w:val="none" w:color="auto"/>
          <w:shd w:val="clear" w:fill="auto"/>
        </w:rPr>
        <w:t>财政拨款收入：指单位从同级财政部门取得的财政预算资金。</w:t>
      </w:r>
    </w:p>
    <w:p>
      <w:pPr>
        <w:pStyle w:val="21"/>
        <w:spacing w:line="560" w:lineRule="exact"/>
        <w:ind w:firstLine="560" w:firstLineChars="200"/>
        <w:rPr>
          <w:rFonts w:ascii="仿宋_GB2312" w:eastAsia="仿宋_GB2312"/>
          <w:color w:val="auto"/>
          <w:sz w:val="28"/>
          <w:szCs w:val="28"/>
          <w:u w:val="none" w:color="auto"/>
          <w:shd w:val="clear" w:fill="auto"/>
        </w:rPr>
      </w:pPr>
      <w:r>
        <w:rPr>
          <w:rFonts w:hint="eastAsia" w:ascii="仿宋_GB2312" w:eastAsia="仿宋_GB2312"/>
          <w:color w:val="auto"/>
          <w:sz w:val="28"/>
          <w:szCs w:val="28"/>
          <w:u w:val="none" w:color="auto"/>
          <w:shd w:val="clear" w:fill="auto"/>
        </w:rPr>
        <w:t>2</w:t>
      </w:r>
      <w:r>
        <w:rPr>
          <w:rFonts w:ascii="仿宋_GB2312" w:eastAsia="仿宋_GB2312"/>
          <w:color w:val="auto"/>
          <w:sz w:val="28"/>
          <w:szCs w:val="28"/>
          <w:u w:val="none" w:color="auto"/>
          <w:shd w:val="clear" w:fill="auto"/>
        </w:rPr>
        <w:t>.</w:t>
      </w:r>
      <w:r>
        <w:rPr>
          <w:rFonts w:hint="eastAsia" w:ascii="仿宋_GB2312" w:eastAsia="仿宋_GB2312"/>
          <w:color w:val="auto"/>
          <w:sz w:val="28"/>
          <w:szCs w:val="28"/>
          <w:u w:val="none" w:color="auto"/>
          <w:shd w:val="clear" w:fill="auto"/>
        </w:rPr>
        <w:t>其他收入：指单位取得的除上述收入以外的各项收入。主要是巡察工作经费和利息收入等。</w:t>
      </w:r>
    </w:p>
    <w:p>
      <w:pPr>
        <w:pStyle w:val="21"/>
        <w:spacing w:line="560" w:lineRule="exact"/>
        <w:ind w:firstLine="560" w:firstLineChars="200"/>
        <w:rPr>
          <w:rFonts w:ascii="仿宋_GB2312" w:eastAsia="仿宋_GB2312"/>
          <w:color w:val="auto"/>
          <w:sz w:val="28"/>
          <w:szCs w:val="28"/>
          <w:u w:val="none" w:color="auto"/>
          <w:shd w:val="clear" w:fill="auto"/>
        </w:rPr>
      </w:pPr>
      <w:r>
        <w:rPr>
          <w:rFonts w:hint="eastAsia" w:ascii="仿宋_GB2312" w:eastAsia="仿宋_GB2312"/>
          <w:color w:val="auto"/>
          <w:sz w:val="28"/>
          <w:szCs w:val="28"/>
          <w:u w:val="none" w:color="auto"/>
          <w:shd w:val="clear" w:fill="auto"/>
        </w:rPr>
        <w:t>3</w:t>
      </w:r>
      <w:r>
        <w:rPr>
          <w:rFonts w:ascii="仿宋_GB2312" w:eastAsia="仿宋_GB2312"/>
          <w:color w:val="auto"/>
          <w:sz w:val="28"/>
          <w:szCs w:val="28"/>
          <w:u w:val="none" w:color="auto"/>
          <w:shd w:val="clear" w:fill="auto"/>
        </w:rPr>
        <w:t>.</w:t>
      </w:r>
      <w:r>
        <w:rPr>
          <w:rFonts w:hint="eastAsia" w:ascii="仿宋_GB2312" w:eastAsia="仿宋_GB2312"/>
          <w:color w:val="auto"/>
          <w:sz w:val="28"/>
          <w:szCs w:val="28"/>
          <w:u w:val="none" w:color="auto"/>
          <w:shd w:val="clear" w:fill="auto"/>
        </w:rPr>
        <w:t>使用非财政拨款结余：指事业单位使用以前年度积累的非财政拨款结余弥补当年收支差额的金额。</w:t>
      </w:r>
    </w:p>
    <w:p>
      <w:pPr>
        <w:pStyle w:val="21"/>
        <w:spacing w:line="560" w:lineRule="exact"/>
        <w:ind w:firstLine="560" w:firstLineChars="200"/>
        <w:rPr>
          <w:rFonts w:ascii="仿宋_GB2312" w:eastAsia="仿宋_GB2312"/>
          <w:color w:val="auto"/>
          <w:sz w:val="28"/>
          <w:szCs w:val="28"/>
          <w:u w:val="none" w:color="auto"/>
          <w:shd w:val="clear" w:fill="auto"/>
        </w:rPr>
      </w:pPr>
      <w:r>
        <w:rPr>
          <w:rFonts w:hint="eastAsia" w:ascii="仿宋_GB2312" w:eastAsia="仿宋_GB2312"/>
          <w:color w:val="auto"/>
          <w:sz w:val="28"/>
          <w:szCs w:val="28"/>
          <w:u w:val="none" w:color="auto"/>
          <w:shd w:val="clear" w:fill="auto"/>
        </w:rPr>
        <w:t>4</w:t>
      </w:r>
      <w:r>
        <w:rPr>
          <w:rFonts w:ascii="仿宋_GB2312" w:eastAsia="仿宋_GB2312"/>
          <w:color w:val="auto"/>
          <w:sz w:val="28"/>
          <w:szCs w:val="28"/>
          <w:u w:val="none" w:color="auto"/>
          <w:shd w:val="clear" w:fill="auto"/>
        </w:rPr>
        <w:t>.</w:t>
      </w:r>
      <w:r>
        <w:rPr>
          <w:rFonts w:hint="eastAsia" w:ascii="仿宋_GB2312" w:eastAsia="仿宋_GB2312"/>
          <w:color w:val="auto"/>
          <w:sz w:val="28"/>
          <w:szCs w:val="28"/>
          <w:u w:val="none" w:color="auto"/>
          <w:shd w:val="clear" w:fill="auto"/>
        </w:rPr>
        <w:t>年初结转和结余：指以前年度尚未完成、结转到</w:t>
      </w:r>
      <w:r>
        <w:rPr>
          <w:rFonts w:hint="eastAsia" w:ascii="仿宋_GB2312" w:eastAsia="仿宋_GB2312"/>
          <w:color w:val="auto"/>
          <w:sz w:val="28"/>
          <w:szCs w:val="28"/>
          <w:u w:val="none" w:color="auto"/>
          <w:shd w:val="clear" w:fill="auto"/>
        </w:rPr>
        <w:t>本年</w:t>
      </w:r>
      <w:r>
        <w:rPr>
          <w:rFonts w:hint="eastAsia" w:ascii="仿宋_GB2312" w:eastAsia="仿宋_GB2312"/>
          <w:color w:val="auto"/>
          <w:sz w:val="28"/>
          <w:szCs w:val="28"/>
          <w:u w:val="none" w:color="auto"/>
          <w:shd w:val="clear" w:fill="auto"/>
          <w:lang w:val="en-US" w:eastAsia="zh-CN"/>
        </w:rPr>
        <w:t>度</w:t>
      </w:r>
      <w:r>
        <w:rPr>
          <w:rFonts w:hint="eastAsia" w:ascii="仿宋_GB2312" w:eastAsia="仿宋_GB2312"/>
          <w:color w:val="auto"/>
          <w:sz w:val="28"/>
          <w:szCs w:val="28"/>
          <w:u w:val="none" w:color="auto"/>
          <w:shd w:val="clear" w:fill="auto"/>
        </w:rPr>
        <w:t>按</w:t>
      </w:r>
      <w:r>
        <w:rPr>
          <w:rFonts w:hint="eastAsia" w:ascii="仿宋_GB2312" w:eastAsia="仿宋_GB2312"/>
          <w:color w:val="auto"/>
          <w:sz w:val="28"/>
          <w:szCs w:val="28"/>
          <w:u w:val="none" w:color="auto"/>
          <w:shd w:val="clear" w:fill="auto"/>
        </w:rPr>
        <w:t>有关规定继续使用的资金。</w:t>
      </w:r>
    </w:p>
    <w:p>
      <w:pPr>
        <w:pStyle w:val="21"/>
        <w:spacing w:line="560" w:lineRule="exact"/>
        <w:ind w:firstLine="560" w:firstLineChars="200"/>
        <w:rPr>
          <w:rFonts w:ascii="仿宋_GB2312" w:eastAsia="仿宋_GB2312"/>
          <w:color w:val="auto"/>
          <w:sz w:val="28"/>
          <w:szCs w:val="28"/>
          <w:u w:val="none" w:color="auto"/>
          <w:shd w:val="clear" w:fill="auto"/>
        </w:rPr>
      </w:pPr>
      <w:r>
        <w:rPr>
          <w:rFonts w:hint="eastAsia" w:ascii="仿宋_GB2312" w:eastAsia="仿宋_GB2312"/>
          <w:color w:val="auto"/>
          <w:sz w:val="28"/>
          <w:szCs w:val="28"/>
          <w:u w:val="none" w:color="auto"/>
          <w:shd w:val="clear" w:fill="auto"/>
        </w:rPr>
        <w:t>5</w:t>
      </w:r>
      <w:r>
        <w:rPr>
          <w:rFonts w:ascii="仿宋_GB2312" w:eastAsia="仿宋_GB2312"/>
          <w:color w:val="auto"/>
          <w:sz w:val="28"/>
          <w:szCs w:val="28"/>
          <w:u w:val="none" w:color="auto"/>
          <w:shd w:val="clear" w:fill="auto"/>
        </w:rPr>
        <w:t>.</w:t>
      </w:r>
      <w:r>
        <w:rPr>
          <w:rFonts w:hint="eastAsia" w:ascii="仿宋_GB2312" w:eastAsia="仿宋_GB2312"/>
          <w:color w:val="auto"/>
          <w:sz w:val="28"/>
          <w:szCs w:val="28"/>
          <w:u w:val="none" w:color="auto"/>
          <w:shd w:val="clear" w:fill="auto"/>
        </w:rPr>
        <w:t>结余分配：指事业单位按照会计制度规定缴纳的所得税、提取的专用结余以及转入非财政拨款结余的金额等。</w:t>
      </w:r>
    </w:p>
    <w:p>
      <w:pPr>
        <w:pStyle w:val="21"/>
        <w:spacing w:line="560" w:lineRule="exact"/>
        <w:ind w:firstLine="560" w:firstLineChars="200"/>
        <w:rPr>
          <w:rFonts w:ascii="仿宋_GB2312" w:eastAsia="仿宋_GB2312"/>
          <w:color w:val="auto"/>
          <w:sz w:val="28"/>
          <w:szCs w:val="28"/>
          <w:u w:val="none" w:color="auto"/>
          <w:shd w:val="clear" w:fill="auto"/>
        </w:rPr>
      </w:pPr>
      <w:r>
        <w:rPr>
          <w:rFonts w:hint="eastAsia" w:ascii="仿宋_GB2312" w:eastAsia="仿宋_GB2312"/>
          <w:color w:val="auto"/>
          <w:sz w:val="28"/>
          <w:szCs w:val="28"/>
          <w:u w:val="none" w:color="auto"/>
          <w:shd w:val="clear" w:fill="auto"/>
        </w:rPr>
        <w:t>6、年末结转和结余：指单位按有关规定结转到下年或以后年度继续使用的资金。</w:t>
      </w:r>
    </w:p>
    <w:p>
      <w:pPr>
        <w:spacing w:line="560" w:lineRule="exact"/>
        <w:ind w:firstLine="560" w:firstLineChars="200"/>
        <w:rPr>
          <w:rFonts w:ascii="仿宋_GB2312" w:eastAsia="仿宋_GB2312"/>
          <w:sz w:val="28"/>
          <w:szCs w:val="28"/>
          <w:u w:val="none" w:color="auto"/>
          <w:shd w:val="clear" w:fill="auto"/>
        </w:rPr>
      </w:pPr>
      <w:r>
        <w:rPr>
          <w:rFonts w:hint="eastAsia" w:ascii="仿宋_GB2312" w:eastAsia="仿宋_GB2312"/>
          <w:sz w:val="28"/>
          <w:szCs w:val="28"/>
          <w:u w:val="none" w:color="auto"/>
          <w:shd w:val="clear" w:fill="auto"/>
        </w:rPr>
        <w:t>7</w:t>
      </w:r>
      <w:r>
        <w:rPr>
          <w:rFonts w:ascii="仿宋_GB2312" w:eastAsia="仿宋_GB2312"/>
          <w:sz w:val="28"/>
          <w:szCs w:val="28"/>
          <w:u w:val="none" w:color="auto"/>
          <w:shd w:val="clear" w:fill="auto"/>
        </w:rPr>
        <w:t>.</w:t>
      </w:r>
      <w:r>
        <w:rPr>
          <w:rFonts w:hint="eastAsia" w:ascii="仿宋_GB2312" w:hAnsi="Calibri" w:eastAsia="仿宋_GB2312" w:cs="仿宋"/>
          <w:kern w:val="0"/>
          <w:sz w:val="28"/>
          <w:szCs w:val="28"/>
          <w:u w:val="none" w:color="auto"/>
          <w:shd w:val="clear" w:fill="auto"/>
        </w:rPr>
        <w:t>一般公共服务（类）党委办公厅（室）及相关机构事务（款）其他党委办公厅（室）及相关机构事务支出（项）</w:t>
      </w:r>
      <w:r>
        <w:rPr>
          <w:rFonts w:hint="eastAsia" w:ascii="仿宋_GB2312" w:eastAsia="仿宋_GB2312"/>
          <w:sz w:val="28"/>
          <w:szCs w:val="28"/>
          <w:u w:val="none" w:color="auto"/>
          <w:shd w:val="clear" w:fill="auto"/>
        </w:rPr>
        <w:t>：</w:t>
      </w:r>
      <w:r>
        <w:rPr>
          <w:rFonts w:hint="eastAsia" w:ascii="仿宋_GB2312" w:hAnsi="Calibri" w:eastAsia="仿宋_GB2312" w:cs="仿宋"/>
          <w:kern w:val="0"/>
          <w:sz w:val="28"/>
          <w:szCs w:val="28"/>
          <w:u w:val="none" w:color="auto"/>
          <w:shd w:val="clear" w:fill="auto"/>
        </w:rPr>
        <w:t>指用于保障我办机关正常运转，用于行政运行方面的经费支出。</w:t>
      </w:r>
    </w:p>
    <w:p>
      <w:pPr>
        <w:spacing w:line="560" w:lineRule="exact"/>
        <w:ind w:firstLine="560" w:firstLineChars="200"/>
        <w:rPr>
          <w:rFonts w:ascii="仿宋_GB2312" w:hAnsi="Calibri" w:eastAsia="仿宋_GB2312" w:cs="仿宋"/>
          <w:kern w:val="0"/>
          <w:sz w:val="28"/>
          <w:szCs w:val="28"/>
          <w:u w:val="none" w:color="auto"/>
          <w:shd w:val="clear" w:fill="auto"/>
        </w:rPr>
      </w:pPr>
      <w:r>
        <w:rPr>
          <w:rFonts w:hint="eastAsia" w:ascii="仿宋_GB2312" w:hAnsi="Calibri" w:eastAsia="仿宋_GB2312" w:cs="仿宋"/>
          <w:kern w:val="0"/>
          <w:sz w:val="28"/>
          <w:szCs w:val="28"/>
          <w:u w:val="none" w:color="auto"/>
          <w:shd w:val="clear" w:fill="auto"/>
        </w:rPr>
        <w:t>8.社会保障和就业支出（类）行政事业单位养老支出（款）机关事业单位职业年金缴费支出（项）:指用于机关行政事业单位职工单位部分基本养老保险缴费支出。</w:t>
      </w:r>
    </w:p>
    <w:p>
      <w:pPr>
        <w:spacing w:line="560" w:lineRule="exact"/>
        <w:ind w:firstLine="560" w:firstLineChars="200"/>
        <w:rPr>
          <w:rFonts w:ascii="仿宋_GB2312" w:hAnsi="Calibri" w:eastAsia="仿宋_GB2312" w:cs="仿宋"/>
          <w:kern w:val="0"/>
          <w:sz w:val="28"/>
          <w:szCs w:val="28"/>
          <w:u w:val="none" w:color="auto"/>
          <w:shd w:val="clear" w:fill="auto"/>
        </w:rPr>
      </w:pPr>
      <w:r>
        <w:rPr>
          <w:rFonts w:hint="eastAsia" w:ascii="仿宋_GB2312" w:hAnsi="Calibri" w:eastAsia="仿宋_GB2312" w:cs="仿宋"/>
          <w:kern w:val="0"/>
          <w:sz w:val="28"/>
          <w:szCs w:val="28"/>
          <w:u w:val="none" w:color="auto"/>
          <w:shd w:val="clear" w:fill="auto"/>
        </w:rPr>
        <w:t>9.卫生健康支出（类）行政事业单位医疗（款）行政单位医疗（项）: 指用于机关行政职工（公务员）基本医疗保险缴费支出。</w:t>
      </w:r>
    </w:p>
    <w:p>
      <w:pPr>
        <w:spacing w:line="560" w:lineRule="exact"/>
        <w:ind w:firstLine="560" w:firstLineChars="200"/>
        <w:rPr>
          <w:rFonts w:ascii="仿宋_GB2312" w:hAnsi="Calibri" w:eastAsia="仿宋_GB2312" w:cs="仿宋"/>
          <w:kern w:val="0"/>
          <w:sz w:val="28"/>
          <w:szCs w:val="28"/>
          <w:u w:val="none" w:color="auto"/>
          <w:shd w:val="clear" w:fill="auto"/>
        </w:rPr>
      </w:pPr>
      <w:r>
        <w:rPr>
          <w:rFonts w:hint="eastAsia" w:ascii="仿宋_GB2312" w:hAnsi="Calibri" w:eastAsia="仿宋_GB2312" w:cs="仿宋"/>
          <w:kern w:val="0"/>
          <w:sz w:val="28"/>
          <w:szCs w:val="28"/>
          <w:u w:val="none" w:color="auto"/>
          <w:shd w:val="clear" w:fill="auto"/>
        </w:rPr>
        <w:t>10.卫生健康支出（类）行政事业单位医疗（款）事业单位医疗（项）: 指用于机关事业职工（事业人员）基本医疗保险缴费支出。</w:t>
      </w:r>
    </w:p>
    <w:p>
      <w:pPr>
        <w:spacing w:line="560" w:lineRule="exact"/>
        <w:ind w:firstLine="560" w:firstLineChars="200"/>
        <w:rPr>
          <w:rFonts w:ascii="仿宋_GB2312" w:hAnsi="Calibri" w:eastAsia="仿宋_GB2312" w:cs="仿宋"/>
          <w:kern w:val="0"/>
          <w:sz w:val="28"/>
          <w:szCs w:val="28"/>
          <w:u w:val="none" w:color="auto"/>
          <w:shd w:val="clear" w:fill="auto"/>
        </w:rPr>
      </w:pPr>
      <w:r>
        <w:rPr>
          <w:rFonts w:hint="eastAsia" w:ascii="仿宋_GB2312" w:hAnsi="Calibri" w:eastAsia="仿宋_GB2312" w:cs="仿宋"/>
          <w:kern w:val="0"/>
          <w:sz w:val="28"/>
          <w:szCs w:val="28"/>
          <w:u w:val="none" w:color="auto"/>
          <w:shd w:val="clear" w:fill="auto"/>
        </w:rPr>
        <w:t>11.卫生健康支出（类）行政事业单位医疗（款）公务员补充医疗（项）:指用于机关行政职工（公务员）医疗补助缴费支出。</w:t>
      </w:r>
    </w:p>
    <w:p>
      <w:pPr>
        <w:spacing w:line="560" w:lineRule="exact"/>
        <w:ind w:firstLine="560" w:firstLineChars="200"/>
        <w:rPr>
          <w:rFonts w:ascii="仿宋_GB2312" w:hAnsi="Calibri" w:eastAsia="仿宋_GB2312" w:cs="仿宋"/>
          <w:kern w:val="0"/>
          <w:sz w:val="28"/>
          <w:szCs w:val="28"/>
          <w:u w:val="none" w:color="auto"/>
          <w:shd w:val="clear" w:fill="auto"/>
        </w:rPr>
      </w:pPr>
      <w:r>
        <w:rPr>
          <w:rFonts w:hint="eastAsia" w:ascii="仿宋_GB2312" w:eastAsia="仿宋_GB2312"/>
          <w:sz w:val="28"/>
          <w:szCs w:val="28"/>
          <w:u w:val="none" w:color="auto"/>
          <w:shd w:val="clear" w:fill="auto"/>
        </w:rPr>
        <w:t>12</w:t>
      </w:r>
      <w:r>
        <w:rPr>
          <w:rFonts w:ascii="仿宋_GB2312" w:eastAsia="仿宋_GB2312"/>
          <w:sz w:val="28"/>
          <w:szCs w:val="28"/>
          <w:u w:val="none" w:color="auto"/>
          <w:shd w:val="clear" w:fill="auto"/>
        </w:rPr>
        <w:t>.</w:t>
      </w:r>
      <w:r>
        <w:rPr>
          <w:rFonts w:hint="eastAsia" w:ascii="仿宋_GB2312" w:hAnsi="Calibri" w:eastAsia="仿宋_GB2312" w:cs="仿宋"/>
          <w:kern w:val="0"/>
          <w:sz w:val="28"/>
          <w:szCs w:val="28"/>
          <w:u w:val="none" w:color="auto"/>
          <w:shd w:val="clear" w:fill="auto"/>
        </w:rPr>
        <w:t>农林水（类）扶贫（款）其他扶贫（项）：用于驻村工作队差旅费及办公开支。</w:t>
      </w:r>
    </w:p>
    <w:p>
      <w:pPr>
        <w:spacing w:line="560" w:lineRule="exact"/>
        <w:ind w:firstLine="560" w:firstLineChars="200"/>
        <w:rPr>
          <w:rFonts w:ascii="仿宋_GB2312" w:eastAsia="仿宋_GB2312"/>
          <w:sz w:val="28"/>
          <w:szCs w:val="28"/>
          <w:u w:val="none" w:color="auto"/>
          <w:shd w:val="clear" w:fill="auto"/>
        </w:rPr>
      </w:pPr>
      <w:r>
        <w:rPr>
          <w:rFonts w:hint="eastAsia" w:ascii="仿宋_GB2312" w:eastAsia="仿宋_GB2312"/>
          <w:sz w:val="28"/>
          <w:szCs w:val="28"/>
          <w:u w:val="none" w:color="auto"/>
          <w:shd w:val="clear" w:fill="auto"/>
        </w:rPr>
        <w:t>13</w:t>
      </w:r>
      <w:r>
        <w:rPr>
          <w:rFonts w:ascii="仿宋_GB2312" w:eastAsia="仿宋_GB2312"/>
          <w:sz w:val="28"/>
          <w:szCs w:val="28"/>
          <w:u w:val="none" w:color="auto"/>
          <w:shd w:val="clear" w:fill="auto"/>
        </w:rPr>
        <w:t>.</w:t>
      </w:r>
      <w:r>
        <w:rPr>
          <w:rFonts w:hint="eastAsia" w:ascii="仿宋_GB2312" w:eastAsia="仿宋_GB2312"/>
          <w:sz w:val="28"/>
          <w:szCs w:val="28"/>
          <w:u w:val="none" w:color="auto"/>
          <w:shd w:val="clear" w:fill="auto"/>
        </w:rPr>
        <w:t>基本支出：指为保障机构正常运转、完成日常工作任务而发生的人员支出和公用支出。</w:t>
      </w:r>
    </w:p>
    <w:p>
      <w:pPr>
        <w:spacing w:line="560" w:lineRule="exact"/>
        <w:ind w:firstLine="560" w:firstLineChars="200"/>
        <w:rPr>
          <w:rFonts w:ascii="仿宋_GB2312" w:eastAsia="仿宋_GB2312"/>
          <w:sz w:val="28"/>
          <w:szCs w:val="28"/>
          <w:u w:val="none" w:color="auto"/>
          <w:shd w:val="clear" w:fill="auto"/>
        </w:rPr>
      </w:pPr>
      <w:r>
        <w:rPr>
          <w:rFonts w:hint="eastAsia" w:ascii="仿宋_GB2312" w:eastAsia="仿宋_GB2312"/>
          <w:sz w:val="28"/>
          <w:szCs w:val="28"/>
          <w:u w:val="none" w:color="auto"/>
          <w:shd w:val="clear" w:fill="auto"/>
        </w:rPr>
        <w:t>14</w:t>
      </w:r>
      <w:r>
        <w:rPr>
          <w:rFonts w:ascii="仿宋_GB2312" w:eastAsia="仿宋_GB2312"/>
          <w:sz w:val="28"/>
          <w:szCs w:val="28"/>
          <w:u w:val="none" w:color="auto"/>
          <w:shd w:val="clear" w:fill="auto"/>
        </w:rPr>
        <w:t>.</w:t>
      </w:r>
      <w:r>
        <w:rPr>
          <w:rFonts w:hint="eastAsia" w:ascii="仿宋_GB2312" w:eastAsia="仿宋_GB2312"/>
          <w:sz w:val="28"/>
          <w:szCs w:val="28"/>
          <w:u w:val="none" w:color="auto"/>
          <w:shd w:val="clear" w:fill="auto"/>
        </w:rPr>
        <w:t>项目支出：指在基本支出之外为完成特定行政任务和事业发展目标所发生的支出。</w:t>
      </w:r>
    </w:p>
    <w:p>
      <w:pPr>
        <w:spacing w:line="560" w:lineRule="exact"/>
        <w:ind w:firstLine="560" w:firstLineChars="200"/>
        <w:rPr>
          <w:rFonts w:ascii="仿宋_GB2312" w:eastAsia="仿宋_GB2312"/>
          <w:sz w:val="28"/>
          <w:szCs w:val="28"/>
          <w:u w:val="none" w:color="auto"/>
          <w:shd w:val="clear" w:fill="auto"/>
        </w:rPr>
      </w:pPr>
      <w:r>
        <w:rPr>
          <w:rFonts w:hint="eastAsia" w:ascii="仿宋_GB2312" w:eastAsia="仿宋_GB2312"/>
          <w:sz w:val="28"/>
          <w:szCs w:val="28"/>
          <w:u w:val="none" w:color="auto"/>
          <w:shd w:val="clear" w:fill="auto"/>
        </w:rPr>
        <w:t>15</w:t>
      </w:r>
      <w:r>
        <w:rPr>
          <w:rFonts w:ascii="仿宋_GB2312" w:eastAsia="仿宋_GB2312"/>
          <w:sz w:val="28"/>
          <w:szCs w:val="28"/>
          <w:u w:val="none" w:color="auto"/>
          <w:shd w:val="clear" w:fill="auto"/>
        </w:rPr>
        <w:t>.</w:t>
      </w:r>
      <w:r>
        <w:rPr>
          <w:rFonts w:hint="eastAsia" w:ascii="仿宋_GB2312" w:eastAsia="仿宋_GB2312"/>
          <w:sz w:val="28"/>
          <w:szCs w:val="28"/>
          <w:u w:val="none" w:color="auto"/>
          <w:shd w:val="clear" w:fill="auto"/>
        </w:rPr>
        <w:t>经营支出：指事业单位在专业业务活动及其辅助活动之外开展非独立核算经营活动发生的支出。</w:t>
      </w:r>
    </w:p>
    <w:p>
      <w:pPr>
        <w:pStyle w:val="21"/>
        <w:spacing w:line="560" w:lineRule="exact"/>
        <w:ind w:firstLine="560" w:firstLineChars="200"/>
        <w:rPr>
          <w:rFonts w:ascii="仿宋_GB2312" w:eastAsia="仿宋_GB2312"/>
          <w:color w:val="auto"/>
          <w:sz w:val="28"/>
          <w:szCs w:val="28"/>
          <w:u w:val="none" w:color="auto"/>
          <w:shd w:val="clear" w:fill="auto"/>
        </w:rPr>
      </w:pPr>
      <w:r>
        <w:rPr>
          <w:rFonts w:hint="eastAsia" w:ascii="仿宋_GB2312" w:eastAsia="仿宋_GB2312"/>
          <w:color w:val="auto"/>
          <w:sz w:val="28"/>
          <w:szCs w:val="28"/>
          <w:u w:val="none" w:color="auto"/>
          <w:shd w:val="clear" w:fill="auto"/>
        </w:rPr>
        <w:t>16</w:t>
      </w:r>
      <w:r>
        <w:rPr>
          <w:rFonts w:ascii="仿宋_GB2312" w:eastAsia="仿宋_GB2312"/>
          <w:color w:val="auto"/>
          <w:sz w:val="28"/>
          <w:szCs w:val="28"/>
          <w:u w:val="none" w:color="auto"/>
          <w:shd w:val="clear" w:fill="auto"/>
        </w:rPr>
        <w:t>.</w:t>
      </w:r>
      <w:r>
        <w:rPr>
          <w:rFonts w:hint="eastAsia" w:ascii="仿宋_GB2312" w:eastAsia="仿宋_GB2312"/>
          <w:color w:val="auto"/>
          <w:sz w:val="28"/>
          <w:szCs w:val="28"/>
          <w:u w:val="none" w:color="auto"/>
          <w:shd w:val="clear" w:fill="auto"/>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1"/>
        <w:spacing w:line="560" w:lineRule="exact"/>
        <w:ind w:firstLine="560" w:firstLineChars="200"/>
        <w:rPr>
          <w:rFonts w:ascii="仿宋_GB2312" w:eastAsia="仿宋_GB2312"/>
          <w:color w:val="auto"/>
          <w:sz w:val="28"/>
          <w:szCs w:val="28"/>
          <w:u w:val="none" w:color="auto"/>
          <w:shd w:val="clear" w:fill="auto"/>
        </w:rPr>
      </w:pPr>
      <w:r>
        <w:rPr>
          <w:rFonts w:hint="eastAsia" w:ascii="仿宋_GB2312" w:eastAsia="仿宋_GB2312"/>
          <w:color w:val="auto"/>
          <w:sz w:val="28"/>
          <w:szCs w:val="28"/>
          <w:u w:val="none" w:color="auto"/>
          <w:shd w:val="clear" w:fill="auto"/>
        </w:rPr>
        <w:t>17</w:t>
      </w:r>
      <w:r>
        <w:rPr>
          <w:rFonts w:ascii="仿宋_GB2312" w:eastAsia="仿宋_GB2312"/>
          <w:color w:val="auto"/>
          <w:sz w:val="28"/>
          <w:szCs w:val="28"/>
          <w:u w:val="none" w:color="auto"/>
          <w:shd w:val="clear" w:fill="auto"/>
        </w:rPr>
        <w:t>.</w:t>
      </w:r>
      <w:r>
        <w:rPr>
          <w:rFonts w:hint="eastAsia" w:ascii="仿宋_GB2312" w:eastAsia="仿宋_GB2312"/>
          <w:color w:val="auto"/>
          <w:sz w:val="28"/>
          <w:szCs w:val="28"/>
          <w:u w:val="none" w:color="auto"/>
          <w:shd w:val="clear" w:fill="auto"/>
        </w:rPr>
        <w:t>机关运行经费：为保障行政单位（含参照公务员法管理的事业单位）运行用于购买货物和服务的各项资金，包括</w:t>
      </w:r>
      <w:r>
        <w:rPr>
          <w:rFonts w:hint="eastAsia" w:ascii="仿宋_GB2312" w:eastAsia="仿宋_GB2312"/>
          <w:color w:val="auto"/>
          <w:sz w:val="28"/>
          <w:szCs w:val="28"/>
          <w:u w:val="none" w:color="auto"/>
          <w:shd w:val="clear" w:fill="auto"/>
        </w:rPr>
        <w:t>办公</w:t>
      </w:r>
      <w:r>
        <w:rPr>
          <w:rFonts w:hint="eastAsia" w:ascii="仿宋_GB2312" w:eastAsia="仿宋_GB2312"/>
          <w:color w:val="auto"/>
          <w:sz w:val="28"/>
          <w:szCs w:val="28"/>
          <w:u w:val="none" w:color="auto"/>
          <w:shd w:val="clear" w:fill="auto"/>
          <w:lang w:val="en-US" w:eastAsia="zh-CN"/>
        </w:rPr>
        <w:t>费</w:t>
      </w:r>
      <w:r>
        <w:rPr>
          <w:rFonts w:hint="eastAsia" w:ascii="仿宋_GB2312" w:eastAsia="仿宋_GB2312"/>
          <w:color w:val="auto"/>
          <w:sz w:val="28"/>
          <w:szCs w:val="28"/>
          <w:u w:val="none" w:color="auto"/>
          <w:shd w:val="clear" w:fill="auto"/>
        </w:rPr>
        <w:t>及印刷费、邮电费、差旅费、会议费、福利费、日常维修费、专用材料及一般设备购置费、办公用房水电费、办公用房取暖费、办公用房物业管理费、公务用车运行维护费以及其他费用。</w:t>
      </w:r>
    </w:p>
    <w:p>
      <w:pPr>
        <w:spacing w:line="560" w:lineRule="exact"/>
        <w:jc w:val="center"/>
        <w:rPr>
          <w:rFonts w:ascii="黑体" w:hAnsi="黑体" w:eastAsia="黑体"/>
          <w:sz w:val="28"/>
          <w:szCs w:val="28"/>
          <w:u w:val="none" w:color="auto"/>
          <w:shd w:val="clear" w:fill="auto"/>
        </w:rPr>
      </w:pPr>
      <w:bookmarkStart w:id="77" w:name="_Toc15396614"/>
      <w:bookmarkStart w:id="78" w:name="_Toc15377226"/>
    </w:p>
    <w:p>
      <w:pPr>
        <w:spacing w:line="560" w:lineRule="exact"/>
        <w:jc w:val="center"/>
        <w:rPr>
          <w:rFonts w:ascii="黑体" w:hAnsi="黑体" w:eastAsia="黑体"/>
          <w:sz w:val="28"/>
          <w:szCs w:val="28"/>
          <w:u w:val="none" w:color="auto"/>
          <w:shd w:val="clear" w:fill="auto"/>
        </w:rPr>
      </w:pPr>
    </w:p>
    <w:p>
      <w:pPr>
        <w:spacing w:line="560" w:lineRule="exact"/>
        <w:jc w:val="center"/>
        <w:rPr>
          <w:rFonts w:ascii="黑体" w:hAnsi="黑体" w:eastAsia="黑体"/>
          <w:sz w:val="28"/>
          <w:szCs w:val="28"/>
          <w:u w:val="none" w:color="auto"/>
          <w:shd w:val="clear" w:fill="auto"/>
        </w:rPr>
      </w:pPr>
    </w:p>
    <w:p>
      <w:pPr>
        <w:spacing w:line="560" w:lineRule="exact"/>
        <w:jc w:val="left"/>
        <w:outlineLvl w:val="0"/>
        <w:rPr>
          <w:rFonts w:hint="eastAsia" w:ascii="黑体" w:hAnsi="黑体" w:eastAsia="黑体" w:cs="黑体"/>
          <w:sz w:val="32"/>
          <w:szCs w:val="32"/>
          <w:u w:val="none" w:color="auto"/>
          <w:shd w:val="clear" w:fill="auto"/>
        </w:rPr>
      </w:pPr>
      <w:bookmarkStart w:id="79" w:name="_Toc12329"/>
    </w:p>
    <w:p>
      <w:pPr>
        <w:spacing w:line="560" w:lineRule="exact"/>
        <w:jc w:val="left"/>
        <w:outlineLvl w:val="0"/>
        <w:rPr>
          <w:rFonts w:ascii="方正小标宋简体" w:hAnsi="方正小标宋简体" w:eastAsia="方正小标宋简体" w:cs="方正小标宋简体"/>
          <w:sz w:val="44"/>
          <w:szCs w:val="44"/>
          <w:u w:val="none" w:color="auto"/>
          <w:shd w:val="clear" w:fill="auto"/>
        </w:rPr>
      </w:pPr>
      <w:r>
        <w:rPr>
          <w:rFonts w:hint="eastAsia" w:ascii="黑体" w:hAnsi="黑体" w:eastAsia="黑体" w:cs="黑体"/>
          <w:sz w:val="32"/>
          <w:szCs w:val="32"/>
          <w:u w:val="none" w:color="auto"/>
          <w:shd w:val="clear" w:fill="auto"/>
        </w:rPr>
        <w:t>附件1</w:t>
      </w:r>
      <w:bookmarkEnd w:id="79"/>
    </w:p>
    <w:p>
      <w:pPr>
        <w:spacing w:line="560" w:lineRule="exact"/>
        <w:ind w:firstLine="3080" w:firstLineChars="700"/>
        <w:outlineLvl w:val="0"/>
        <w:rPr>
          <w:rStyle w:val="29"/>
          <w:rFonts w:ascii="黑体" w:hAnsi="黑体" w:eastAsia="黑体"/>
          <w:b w:val="0"/>
          <w:u w:val="none" w:color="auto"/>
          <w:shd w:val="clear" w:fill="auto"/>
        </w:rPr>
      </w:pPr>
      <w:bookmarkStart w:id="80" w:name="_Toc15353"/>
      <w:r>
        <w:rPr>
          <w:rFonts w:hint="eastAsia" w:ascii="黑体" w:hAnsi="黑体" w:eastAsia="黑体"/>
          <w:sz w:val="44"/>
          <w:szCs w:val="44"/>
          <w:u w:val="none" w:color="auto"/>
          <w:shd w:val="clear" w:fill="auto"/>
        </w:rPr>
        <w:t>第</w:t>
      </w:r>
      <w:r>
        <w:rPr>
          <w:rStyle w:val="29"/>
          <w:rFonts w:hint="eastAsia" w:ascii="黑体" w:hAnsi="黑体" w:eastAsia="黑体"/>
          <w:b w:val="0"/>
          <w:u w:val="none" w:color="auto"/>
          <w:shd w:val="clear" w:fill="auto"/>
        </w:rPr>
        <w:t>四部分</w:t>
      </w:r>
      <w:bookmarkEnd w:id="77"/>
      <w:bookmarkEnd w:id="80"/>
    </w:p>
    <w:p>
      <w:pPr>
        <w:spacing w:line="560" w:lineRule="exact"/>
        <w:jc w:val="center"/>
        <w:rPr>
          <w:rFonts w:ascii="方正小标宋简体" w:hAnsi="宋体" w:eastAsia="方正小标宋简体"/>
          <w:kern w:val="0"/>
          <w:sz w:val="40"/>
          <w:szCs w:val="44"/>
          <w:u w:val="none" w:color="auto"/>
          <w:shd w:val="clear" w:fill="auto"/>
        </w:rPr>
      </w:pPr>
      <w:r>
        <w:rPr>
          <w:rFonts w:hint="eastAsia" w:ascii="方正小标宋简体" w:hAnsi="宋体" w:eastAsia="方正小标宋简体"/>
          <w:kern w:val="0"/>
          <w:sz w:val="40"/>
          <w:szCs w:val="44"/>
          <w:u w:val="none" w:color="auto"/>
          <w:shd w:val="clear" w:fill="auto"/>
        </w:rPr>
        <w:t>2021年巡察办整体部门绩效评价报告</w:t>
      </w:r>
    </w:p>
    <w:p>
      <w:pPr>
        <w:pStyle w:val="3"/>
        <w:spacing w:before="93"/>
        <w:rPr>
          <w:u w:val="none" w:color="auto"/>
          <w:shd w:val="clear" w:fill="auto"/>
          <w:lang w:val="zh-CN"/>
        </w:rPr>
      </w:pPr>
    </w:p>
    <w:p>
      <w:pPr>
        <w:widowControl/>
        <w:numPr>
          <w:ilvl w:val="0"/>
          <w:numId w:val="4"/>
        </w:numPr>
        <w:adjustRightInd w:val="0"/>
        <w:snapToGrid w:val="0"/>
        <w:spacing w:line="560" w:lineRule="exact"/>
        <w:ind w:firstLine="560" w:firstLineChars="200"/>
        <w:contextualSpacing/>
        <w:jc w:val="left"/>
        <w:rPr>
          <w:rFonts w:ascii="黑体" w:hAnsi="宋体" w:eastAsia="黑体" w:cs="宋体"/>
          <w:kern w:val="0"/>
          <w:sz w:val="28"/>
          <w:szCs w:val="28"/>
          <w:u w:val="none" w:color="auto"/>
          <w:shd w:val="clear" w:color="auto" w:fill="auto"/>
          <w:lang w:val="zh-CN"/>
        </w:rPr>
      </w:pPr>
      <w:r>
        <w:rPr>
          <w:rFonts w:hint="eastAsia" w:ascii="黑体" w:hAnsi="宋体" w:eastAsia="黑体" w:cs="宋体"/>
          <w:kern w:val="0"/>
          <w:sz w:val="28"/>
          <w:szCs w:val="28"/>
          <w:u w:val="none" w:color="auto"/>
          <w:shd w:val="clear" w:color="auto" w:fill="auto"/>
          <w:lang w:val="zh-CN"/>
        </w:rPr>
        <w:t>部门（单位）概况</w:t>
      </w:r>
    </w:p>
    <w:p>
      <w:pPr>
        <w:widowControl/>
        <w:adjustRightInd w:val="0"/>
        <w:snapToGrid w:val="0"/>
        <w:spacing w:line="560" w:lineRule="exact"/>
        <w:ind w:firstLine="560" w:firstLineChars="200"/>
        <w:contextualSpacing/>
        <w:jc w:val="left"/>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在县委坚强领导下，始终坚定政治方向，认真贯彻中央巡视工作方针、省委巡察工作办法以及市委巡察办对巡察工作的要求，根据《中国共产党巡视工作条例》开展巡察工作。</w:t>
      </w:r>
    </w:p>
    <w:p>
      <w:pPr>
        <w:widowControl/>
        <w:adjustRightInd w:val="0"/>
        <w:snapToGrid w:val="0"/>
        <w:spacing w:line="560" w:lineRule="exact"/>
        <w:ind w:firstLine="560" w:firstLineChars="200"/>
        <w:contextualSpacing/>
        <w:jc w:val="left"/>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color="auto" w:fill="auto"/>
          <w:lang w:val="zh-CN"/>
        </w:rPr>
        <w:t>（一）机构组成。</w:t>
      </w:r>
      <w:r>
        <w:rPr>
          <w:rFonts w:hint="eastAsia" w:ascii="仿宋_GB2312" w:hAnsi="仿宋_GB2312" w:eastAsia="仿宋_GB2312" w:cs="仿宋_GB2312"/>
          <w:sz w:val="28"/>
          <w:szCs w:val="28"/>
          <w:u w:val="none" w:color="auto"/>
          <w:shd w:val="clear" w:fill="auto"/>
        </w:rPr>
        <w:t>县委巡察办于2016年8月成立，执行《事业单位会计制度》，预算级次为一级预算单位。按照“一办五组”模式组建，设立巡察办1个（下设1个巡察工作保障服务中心），巡察组5个。</w:t>
      </w:r>
    </w:p>
    <w:p>
      <w:pPr>
        <w:widowControl/>
        <w:adjustRightInd w:val="0"/>
        <w:snapToGrid w:val="0"/>
        <w:spacing w:line="560" w:lineRule="exact"/>
        <w:ind w:firstLine="560" w:firstLineChars="200"/>
        <w:contextualSpacing/>
        <w:jc w:val="left"/>
        <w:rPr>
          <w:rFonts w:ascii="仿宋_GB2312" w:hAnsi="仿宋_GB2312" w:eastAsia="仿宋_GB2312" w:cs="仿宋_GB2312"/>
          <w:sz w:val="28"/>
          <w:szCs w:val="28"/>
          <w:u w:val="none" w:color="auto"/>
          <w:shd w:val="clear" w:fill="auto"/>
          <w:lang w:val="zh-CN"/>
        </w:rPr>
      </w:pPr>
      <w:r>
        <w:rPr>
          <w:rFonts w:hint="eastAsia" w:ascii="仿宋_GB2312" w:hAnsi="仿宋_GB2312" w:eastAsia="仿宋_GB2312" w:cs="仿宋_GB2312"/>
          <w:kern w:val="0"/>
          <w:sz w:val="28"/>
          <w:szCs w:val="28"/>
          <w:u w:val="none" w:color="auto"/>
          <w:shd w:val="clear" w:color="auto" w:fill="auto"/>
          <w:lang w:val="zh-CN"/>
        </w:rPr>
        <w:t>（二）机构职能。</w:t>
      </w:r>
      <w:r>
        <w:rPr>
          <w:rFonts w:hint="eastAsia" w:ascii="仿宋_GB2312" w:hAnsi="仿宋_GB2312" w:eastAsia="仿宋_GB2312" w:cs="仿宋_GB2312"/>
          <w:sz w:val="28"/>
          <w:szCs w:val="28"/>
          <w:u w:val="none" w:color="auto"/>
          <w:shd w:val="clear" w:fill="auto"/>
        </w:rPr>
        <w:t xml:space="preserve">负责拟定巡察工作规划、年度计划和传达贯彻巡察工作领导小组的决策和部署；负责政策研究、制度建设等工作；负责统筹、协调、指导巡察组开展工作；负责督办县委和县委巡察工作领导小组决定事项；配合县纪委、县委组织部及有关部门对巡察工作人员进行培训、考核、监督和管理；承办县委巡察工作领导小组和上级巡视或巡察工作领导小组办公室交办的其他事项。 </w:t>
      </w:r>
    </w:p>
    <w:p>
      <w:pPr>
        <w:adjustRightInd w:val="0"/>
        <w:snapToGrid w:val="0"/>
        <w:spacing w:line="560" w:lineRule="exact"/>
        <w:ind w:firstLine="560" w:firstLineChars="200"/>
        <w:rPr>
          <w:rFonts w:ascii="仿宋_GB2312" w:hAnsi="仿宋_GB2312" w:eastAsia="仿宋_GB2312" w:cs="仿宋_GB2312"/>
          <w:kern w:val="0"/>
          <w:sz w:val="28"/>
          <w:szCs w:val="28"/>
          <w:u w:val="none" w:color="auto"/>
          <w:shd w:val="clear" w:color="auto" w:fill="auto"/>
          <w:lang w:val="zh-CN"/>
        </w:rPr>
      </w:pPr>
      <w:r>
        <w:rPr>
          <w:rFonts w:hint="eastAsia" w:ascii="仿宋_GB2312" w:hAnsi="仿宋_GB2312" w:eastAsia="仿宋_GB2312" w:cs="仿宋_GB2312"/>
          <w:kern w:val="0"/>
          <w:sz w:val="28"/>
          <w:szCs w:val="28"/>
          <w:u w:val="none" w:color="auto"/>
          <w:shd w:val="clear" w:color="auto" w:fill="auto"/>
          <w:lang w:val="zh-CN"/>
        </w:rPr>
        <w:t>（三）人员概况。</w:t>
      </w:r>
      <w:r>
        <w:rPr>
          <w:rFonts w:hint="eastAsia" w:ascii="仿宋_GB2312" w:hAnsi="仿宋_GB2312" w:eastAsia="仿宋_GB2312" w:cs="仿宋_GB2312"/>
          <w:sz w:val="28"/>
          <w:szCs w:val="28"/>
          <w:u w:val="none" w:color="auto"/>
          <w:shd w:val="clear" w:fill="auto"/>
        </w:rPr>
        <w:t>核定行政编制8名，事业编制7名，县巡察保障中心</w:t>
      </w:r>
      <w:r>
        <w:rPr>
          <w:rFonts w:hint="eastAsia" w:ascii="仿宋_GB2312" w:hAnsi="仿宋_GB2312" w:eastAsia="仿宋_GB2312" w:cs="仿宋_GB2312"/>
          <w:sz w:val="28"/>
          <w:szCs w:val="28"/>
          <w:u w:val="none" w:color="auto"/>
          <w:shd w:val="clear" w:fill="auto"/>
        </w:rPr>
        <w:t>为</w:t>
      </w:r>
      <w:r>
        <w:rPr>
          <w:rFonts w:hint="eastAsia" w:ascii="仿宋_GB2312" w:hAnsi="仿宋_GB2312" w:eastAsia="仿宋_GB2312" w:cs="仿宋_GB2312"/>
          <w:sz w:val="28"/>
          <w:szCs w:val="28"/>
          <w:u w:val="none" w:color="auto"/>
          <w:shd w:val="clear" w:fill="auto"/>
          <w:lang w:val="en-US" w:eastAsia="zh-CN"/>
        </w:rPr>
        <w:t>县</w:t>
      </w:r>
      <w:r>
        <w:rPr>
          <w:rFonts w:hint="eastAsia" w:ascii="仿宋_GB2312" w:hAnsi="仿宋_GB2312" w:eastAsia="仿宋_GB2312" w:cs="仿宋_GB2312"/>
          <w:sz w:val="28"/>
          <w:szCs w:val="28"/>
          <w:u w:val="none" w:color="auto"/>
          <w:shd w:val="clear" w:fill="auto"/>
        </w:rPr>
        <w:t>巡察办管理的公益一类事业单位。2021年初在编在岗人数20名，财政全额拨款人数20名。上派学习人员1名，年末实有人数23人。</w:t>
      </w:r>
    </w:p>
    <w:p>
      <w:pPr>
        <w:widowControl/>
        <w:adjustRightInd w:val="0"/>
        <w:snapToGrid w:val="0"/>
        <w:spacing w:line="560" w:lineRule="exact"/>
        <w:ind w:firstLine="560" w:firstLineChars="200"/>
        <w:contextualSpacing/>
        <w:jc w:val="left"/>
        <w:rPr>
          <w:rFonts w:ascii="仿宋_GB2312" w:hAnsi="仿宋_GB2312" w:eastAsia="仿宋_GB2312" w:cs="仿宋_GB2312"/>
          <w:kern w:val="0"/>
          <w:sz w:val="28"/>
          <w:szCs w:val="28"/>
          <w:u w:val="none" w:color="auto"/>
          <w:shd w:val="clear" w:color="auto" w:fill="auto"/>
        </w:rPr>
      </w:pPr>
      <w:r>
        <w:rPr>
          <w:rFonts w:hint="eastAsia" w:ascii="仿宋_GB2312" w:hAnsi="仿宋_GB2312" w:eastAsia="仿宋_GB2312" w:cs="仿宋_GB2312"/>
          <w:kern w:val="0"/>
          <w:sz w:val="28"/>
          <w:szCs w:val="28"/>
          <w:u w:val="none" w:color="auto"/>
          <w:shd w:val="clear" w:color="auto" w:fill="auto"/>
        </w:rPr>
        <w:t>二、部门财政资金收支情况</w:t>
      </w:r>
    </w:p>
    <w:p>
      <w:pPr>
        <w:widowControl/>
        <w:adjustRightInd w:val="0"/>
        <w:snapToGrid w:val="0"/>
        <w:spacing w:line="560" w:lineRule="exact"/>
        <w:ind w:firstLine="560" w:firstLineChars="200"/>
        <w:contextualSpacing/>
        <w:jc w:val="left"/>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color="auto" w:fill="auto"/>
          <w:lang w:val="zh-CN"/>
        </w:rPr>
        <w:t>（一）部门财政资金收入情况。</w:t>
      </w:r>
      <w:r>
        <w:rPr>
          <w:rFonts w:hint="eastAsia" w:ascii="仿宋_GB2312" w:hAnsi="仿宋_GB2312" w:eastAsia="仿宋_GB2312" w:cs="仿宋_GB2312"/>
          <w:sz w:val="28"/>
          <w:szCs w:val="28"/>
          <w:u w:val="none" w:color="auto"/>
          <w:shd w:val="clear" w:fill="auto"/>
        </w:rPr>
        <w:t>2021年末财政拨款收入决算总额为：434.82万元。当年财政资金收入434.38万元，（财政拨款收入为364.34万元，非财政拨款收入为70万元），年初结转和结余0.44万元。</w:t>
      </w:r>
    </w:p>
    <w:p>
      <w:pPr>
        <w:widowControl/>
        <w:adjustRightInd w:val="0"/>
        <w:snapToGrid w:val="0"/>
        <w:spacing w:line="560" w:lineRule="exact"/>
        <w:ind w:firstLine="560" w:firstLineChars="200"/>
        <w:contextualSpacing/>
        <w:jc w:val="left"/>
        <w:rPr>
          <w:rFonts w:ascii="仿宋_GB2312" w:hAnsi="仿宋_GB2312" w:eastAsia="仿宋_GB2312" w:cs="仿宋_GB2312"/>
          <w:sz w:val="28"/>
          <w:szCs w:val="28"/>
          <w:u w:val="none" w:color="auto"/>
          <w:shd w:val="clear" w:fill="auto"/>
          <w:lang w:val="zh-CN"/>
        </w:rPr>
      </w:pPr>
      <w:r>
        <w:rPr>
          <w:rFonts w:hint="eastAsia" w:ascii="仿宋_GB2312" w:hAnsi="仿宋_GB2312" w:eastAsia="仿宋_GB2312" w:cs="仿宋_GB2312"/>
          <w:sz w:val="28"/>
          <w:szCs w:val="28"/>
          <w:u w:val="none" w:color="auto"/>
          <w:shd w:val="clear" w:fill="auto"/>
        </w:rPr>
        <w:t>（二）部门财政资金支出情况。2021年末支出决算总额为432.82万元，当年财政资金支出432.96万元，年末结转和结余1.86万元。其中：基本支出为335.02万元，项目支出为97.94万元。财政拨款支出362.92万元，按支出经济分类，其中工资福利支出为：275.26万元，比上年增加了26.92%；商品和服务支出为：77.71万元，比上年增加了84.15%；基本建设支出及其他资本性支出为：4.2万元，比上年增加了100%；对个人和家庭的补助5.75万元，比上年减少了2.87 %。</w:t>
      </w:r>
    </w:p>
    <w:p>
      <w:pPr>
        <w:widowControl/>
        <w:adjustRightInd w:val="0"/>
        <w:snapToGrid w:val="0"/>
        <w:spacing w:line="560" w:lineRule="exact"/>
        <w:ind w:firstLine="560" w:firstLineChars="200"/>
        <w:contextualSpacing/>
        <w:jc w:val="left"/>
        <w:rPr>
          <w:rFonts w:ascii="黑体" w:hAnsi="宋体" w:eastAsia="黑体" w:cs="宋体"/>
          <w:kern w:val="0"/>
          <w:sz w:val="28"/>
          <w:szCs w:val="28"/>
          <w:u w:val="none" w:color="auto"/>
          <w:shd w:val="clear" w:color="auto" w:fill="auto"/>
        </w:rPr>
      </w:pPr>
      <w:r>
        <w:rPr>
          <w:rFonts w:hint="eastAsia" w:ascii="黑体" w:hAnsi="宋体" w:eastAsia="黑体" w:cs="宋体"/>
          <w:kern w:val="0"/>
          <w:sz w:val="28"/>
          <w:szCs w:val="28"/>
          <w:u w:val="none" w:color="auto"/>
          <w:shd w:val="clear" w:color="auto" w:fill="auto"/>
        </w:rPr>
        <w:t>三、部门整体预算绩效管理情况</w:t>
      </w:r>
    </w:p>
    <w:p>
      <w:pPr>
        <w:widowControl/>
        <w:adjustRightInd w:val="0"/>
        <w:snapToGrid w:val="0"/>
        <w:spacing w:line="560" w:lineRule="exact"/>
        <w:ind w:firstLine="560" w:firstLineChars="200"/>
        <w:contextualSpacing/>
        <w:jc w:val="left"/>
        <w:rPr>
          <w:rFonts w:ascii="仿宋_GB2312" w:hAnsi="仿宋_GB2312" w:eastAsia="仿宋_GB2312" w:cs="仿宋_GB2312"/>
          <w:sz w:val="28"/>
          <w:szCs w:val="28"/>
          <w:u w:val="none" w:color="auto"/>
          <w:shd w:val="clear" w:fill="auto"/>
          <w:lang w:val="zh-CN"/>
        </w:rPr>
      </w:pPr>
      <w:r>
        <w:rPr>
          <w:rFonts w:hint="eastAsia" w:ascii="仿宋_GB2312" w:hAnsi="仿宋_GB2312" w:eastAsia="仿宋_GB2312" w:cs="仿宋_GB2312"/>
          <w:sz w:val="28"/>
          <w:szCs w:val="28"/>
          <w:u w:val="none" w:color="auto"/>
          <w:shd w:val="clear" w:fill="auto"/>
          <w:lang w:val="zh-CN"/>
        </w:rPr>
        <w:t>（一）部门预算项目绩效管理。</w:t>
      </w:r>
    </w:p>
    <w:p>
      <w:pPr>
        <w:widowControl/>
        <w:adjustRightInd w:val="0"/>
        <w:snapToGrid w:val="0"/>
        <w:spacing w:line="560" w:lineRule="exact"/>
        <w:ind w:firstLine="560" w:firstLineChars="200"/>
        <w:contextualSpacing/>
        <w:jc w:val="left"/>
        <w:rPr>
          <w:rFonts w:ascii="仿宋_GB2312" w:hAnsi="仿宋_GB2312" w:eastAsia="仿宋_GB2312" w:cs="仿宋_GB2312"/>
          <w:sz w:val="28"/>
          <w:szCs w:val="28"/>
          <w:u w:val="none" w:color="auto"/>
          <w:shd w:val="clear" w:fill="auto"/>
          <w:lang w:val="zh-CN"/>
        </w:rPr>
      </w:pPr>
      <w:r>
        <w:rPr>
          <w:rFonts w:hint="eastAsia" w:ascii="仿宋_GB2312" w:hAnsi="仿宋_GB2312" w:eastAsia="仿宋_GB2312" w:cs="仿宋_GB2312"/>
          <w:sz w:val="28"/>
          <w:szCs w:val="28"/>
          <w:u w:val="none" w:color="auto"/>
          <w:shd w:val="clear" w:fill="auto"/>
        </w:rPr>
        <w:t>根据《中华人民共和国会计法》《中华人民共和国预算法》《政府会计准则》等法律和财政部、省财政厅有关财务规章制度，我办制定了《中共通江县委巡察办财务内控制度》，严格执行经费审批制度、财务会审制度和报销程序，加强了经费支出的监督管理，实现了资金申请、审批、</w:t>
      </w:r>
      <w:r>
        <w:rPr>
          <w:rFonts w:hint="eastAsia" w:ascii="仿宋_GB2312" w:hAnsi="仿宋_GB2312" w:eastAsia="仿宋_GB2312" w:cs="仿宋_GB2312"/>
          <w:sz w:val="28"/>
          <w:szCs w:val="28"/>
          <w:u w:val="none" w:color="auto"/>
          <w:shd w:val="clear" w:fill="auto"/>
        </w:rPr>
        <w:t>拨付、监督等全流程制度化管理。</w:t>
      </w:r>
    </w:p>
    <w:p>
      <w:pPr>
        <w:widowControl/>
        <w:adjustRightInd w:val="0"/>
        <w:snapToGrid w:val="0"/>
        <w:spacing w:line="560" w:lineRule="exact"/>
        <w:ind w:firstLine="560" w:firstLineChars="200"/>
        <w:contextualSpacing/>
        <w:jc w:val="left"/>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为加强项目资金的管理和监督。一是严格执行政府采购的程序和规定。依据上级批复的建设实施方案实施，严格执行招投标制度和监理制度等。二是加强项目资金使用监督检查。对巡察和交叉巡察专项经费进行了自查自纠专项检查，并按要求上报专项资金绩效自评报告，确保专项资金使用的公开透明、优质高效。</w:t>
      </w:r>
    </w:p>
    <w:p>
      <w:pPr>
        <w:widowControl/>
        <w:adjustRightInd w:val="0"/>
        <w:snapToGrid w:val="0"/>
        <w:spacing w:line="580" w:lineRule="exact"/>
        <w:ind w:firstLine="562" w:firstLineChars="200"/>
        <w:contextualSpacing/>
        <w:jc w:val="left"/>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b/>
          <w:sz w:val="28"/>
          <w:szCs w:val="28"/>
          <w:u w:val="none" w:color="auto"/>
          <w:shd w:val="clear" w:fill="auto"/>
        </w:rPr>
        <w:t>1、绩效目标：</w:t>
      </w:r>
      <w:r>
        <w:rPr>
          <w:rFonts w:hint="eastAsia" w:ascii="仿宋_GB2312" w:hAnsi="仿宋_GB2312" w:eastAsia="仿宋_GB2312" w:cs="仿宋_GB2312"/>
          <w:sz w:val="28"/>
          <w:szCs w:val="28"/>
          <w:u w:val="none" w:color="auto"/>
          <w:shd w:val="clear" w:fill="auto"/>
        </w:rPr>
        <w:t>2021年我办主要工作目标为：完成对15个单位党组织的常规巡察和对</w:t>
      </w:r>
      <w:r>
        <w:rPr>
          <w:rFonts w:hint="eastAsia" w:ascii="仿宋_GB2312" w:hAnsi="仿宋_GB2312" w:eastAsia="仿宋_GB2312" w:cs="仿宋_GB2312"/>
          <w:sz w:val="28"/>
          <w:szCs w:val="28"/>
          <w:u w:val="none" w:color="auto"/>
          <w:shd w:val="clear" w:fill="auto"/>
        </w:rPr>
        <w:t>12个</w:t>
      </w:r>
      <w:r>
        <w:rPr>
          <w:rFonts w:hint="eastAsia" w:ascii="仿宋_GB2312" w:hAnsi="仿宋_GB2312" w:eastAsia="仿宋_GB2312" w:cs="仿宋_GB2312"/>
          <w:sz w:val="28"/>
          <w:szCs w:val="28"/>
          <w:u w:val="none" w:color="auto"/>
          <w:shd w:val="clear" w:fill="auto"/>
          <w:lang w:val="en-US" w:eastAsia="zh-CN"/>
        </w:rPr>
        <w:t>单位</w:t>
      </w:r>
      <w:r>
        <w:rPr>
          <w:rFonts w:hint="eastAsia" w:ascii="仿宋_GB2312" w:hAnsi="仿宋_GB2312" w:eastAsia="仿宋_GB2312" w:cs="仿宋_GB2312"/>
          <w:sz w:val="28"/>
          <w:szCs w:val="28"/>
          <w:u w:val="thick" w:color="FFB23A"/>
          <w:shd w:val="clear" w:fill="FFEFD8"/>
        </w:rPr>
        <w:t>党组织</w:t>
      </w:r>
      <w:r>
        <w:rPr>
          <w:rFonts w:hint="eastAsia" w:ascii="仿宋_GB2312" w:hAnsi="仿宋_GB2312" w:eastAsia="仿宋_GB2312" w:cs="仿宋_GB2312"/>
          <w:sz w:val="28"/>
          <w:szCs w:val="28"/>
          <w:u w:val="thick" w:color="FFB23A"/>
          <w:shd w:val="clear" w:fill="FFEFD8"/>
          <w:lang w:val="en-US" w:eastAsia="zh-CN"/>
        </w:rPr>
        <w:t>的</w:t>
      </w:r>
      <w:r>
        <w:rPr>
          <w:rFonts w:hint="eastAsia" w:ascii="仿宋_GB2312" w:hAnsi="仿宋_GB2312" w:eastAsia="仿宋_GB2312" w:cs="仿宋_GB2312"/>
          <w:sz w:val="28"/>
          <w:szCs w:val="28"/>
          <w:u w:val="none" w:color="auto"/>
          <w:shd w:val="clear" w:fill="auto"/>
        </w:rPr>
        <w:t>巡察“回头看”，及时移交线索和清退违规资金；完成了对全县乡镇、党工委，县委和政府部门、县管理的国有企业、事业单位的常规巡察工作，以及12个党组织的巡察“回头看”工作，并通过“巡乡（镇）带村（社区）”方式实现村（社区）全覆盖。</w:t>
      </w:r>
    </w:p>
    <w:p>
      <w:pPr>
        <w:pStyle w:val="5"/>
        <w:widowControl/>
        <w:spacing w:beforeAutospacing="0" w:afterAutospacing="0" w:line="530" w:lineRule="exact"/>
        <w:ind w:firstLine="562" w:firstLineChars="200"/>
        <w:rPr>
          <w:rFonts w:ascii="仿宋_GB2312" w:hAnsi="宋体" w:cs="宋体"/>
          <w:color w:val="000000"/>
          <w:sz w:val="32"/>
          <w:szCs w:val="32"/>
          <w:u w:val="none" w:color="auto"/>
          <w:shd w:val="clear" w:color="auto" w:fill="auto"/>
          <w:lang w:val="zh-CN"/>
        </w:rPr>
      </w:pPr>
      <w:r>
        <w:rPr>
          <w:rFonts w:hint="eastAsia" w:ascii="仿宋_GB2312" w:hAnsi="宋体" w:cs="宋体"/>
          <w:b/>
          <w:bCs/>
          <w:color w:val="000000"/>
          <w:sz w:val="28"/>
          <w:szCs w:val="28"/>
          <w:u w:val="none" w:color="auto"/>
          <w:shd w:val="clear" w:color="auto" w:fill="auto"/>
        </w:rPr>
        <w:t>2、</w:t>
      </w:r>
      <w:r>
        <w:rPr>
          <w:rFonts w:hint="eastAsia" w:ascii="仿宋_GB2312" w:hAnsi="宋体" w:eastAsia="仿宋_GB2312" w:cs="宋体"/>
          <w:b/>
          <w:bCs/>
          <w:color w:val="000000"/>
          <w:sz w:val="28"/>
          <w:szCs w:val="28"/>
          <w:u w:val="none" w:color="auto"/>
          <w:shd w:val="clear" w:color="auto" w:fill="auto"/>
          <w:lang w:val="zh-CN"/>
        </w:rPr>
        <w:t>目标实现</w:t>
      </w:r>
      <w:r>
        <w:rPr>
          <w:rFonts w:hint="eastAsia" w:ascii="仿宋_GB2312" w:hAnsi="宋体" w:cs="宋体"/>
          <w:b/>
          <w:bCs/>
          <w:color w:val="000000"/>
          <w:sz w:val="28"/>
          <w:szCs w:val="28"/>
          <w:u w:val="none" w:color="auto"/>
          <w:shd w:val="clear" w:color="auto" w:fill="auto"/>
          <w:lang w:val="zh-CN"/>
        </w:rPr>
        <w:t>情况</w:t>
      </w:r>
      <w:r>
        <w:rPr>
          <w:rFonts w:hint="eastAsia" w:ascii="仿宋_GB2312" w:hAnsi="宋体" w:cs="宋体"/>
          <w:color w:val="000000"/>
          <w:sz w:val="32"/>
          <w:szCs w:val="32"/>
          <w:u w:val="none" w:color="auto"/>
          <w:shd w:val="clear" w:color="auto" w:fill="auto"/>
          <w:lang w:val="zh-CN"/>
        </w:rPr>
        <w:t>：</w:t>
      </w:r>
    </w:p>
    <w:p>
      <w:pPr>
        <w:pStyle w:val="5"/>
        <w:widowControl/>
        <w:spacing w:beforeAutospacing="0" w:afterAutospacing="0" w:line="530" w:lineRule="exact"/>
        <w:ind w:firstLine="560" w:firstLineChars="200"/>
        <w:rPr>
          <w:rFonts w:ascii="仿宋_GB2312" w:hAnsi="仿宋_GB2312" w:eastAsia="仿宋_GB2312" w:cs="仿宋_GB2312"/>
          <w:kern w:val="2"/>
          <w:sz w:val="28"/>
          <w:szCs w:val="28"/>
          <w:u w:val="none" w:color="auto"/>
          <w:shd w:val="clear" w:fill="auto"/>
        </w:rPr>
      </w:pPr>
      <w:r>
        <w:rPr>
          <w:rFonts w:hint="eastAsia" w:ascii="仿宋_GB2312" w:hAnsi="仿宋_GB2312" w:eastAsia="仿宋_GB2312" w:cs="仿宋_GB2312"/>
          <w:kern w:val="2"/>
          <w:sz w:val="28"/>
          <w:szCs w:val="28"/>
          <w:u w:val="none" w:color="auto"/>
          <w:shd w:val="clear" w:fill="auto"/>
        </w:rPr>
        <w:t>我办根据《通江县财政局关于下达2021年部门预算的批复》财政拨款总收入为317.73万元，其中：2021年基本支出年初预算247.13万元，巡察工作经费70万元。基本支出中：工资福利支出194.79万元，商品和服务支出52.34万元。年终决算数为335.02万元，主要用于在职职工的工资福利，保障正常运转的公用支出和业务支出。按照预算绩效管理要求</w:t>
      </w:r>
      <w:r>
        <w:rPr>
          <w:u w:val="none" w:color="auto"/>
          <w:shd w:val="clear" w:fill="auto"/>
        </w:rPr>
        <w:t>，</w:t>
      </w:r>
      <w:r>
        <w:rPr>
          <w:rFonts w:hint="eastAsia" w:ascii="仿宋_GB2312" w:hAnsi="仿宋_GB2312" w:eastAsia="仿宋_GB2312" w:cs="仿宋_GB2312"/>
          <w:kern w:val="2"/>
          <w:sz w:val="28"/>
          <w:szCs w:val="28"/>
          <w:u w:val="none" w:color="auto"/>
          <w:shd w:val="clear" w:fill="auto"/>
        </w:rPr>
        <w:t>本年度严格执行财政预决算制度，按照“量入为出，统筹兼顾、保证机关日常工作正常运转”的原则，对2021年一般公共预算项目支出开展了绩效目标管理</w:t>
      </w:r>
      <w:r>
        <w:rPr>
          <w:u w:val="none" w:color="auto"/>
          <w:shd w:val="clear" w:fill="auto"/>
        </w:rPr>
        <w:t>。</w:t>
      </w:r>
      <w:r>
        <w:rPr>
          <w:rFonts w:hint="eastAsia" w:ascii="仿宋_GB2312" w:hAnsi="仿宋_GB2312" w:eastAsia="仿宋_GB2312" w:cs="仿宋_GB2312"/>
          <w:kern w:val="2"/>
          <w:sz w:val="28"/>
          <w:szCs w:val="28"/>
          <w:u w:val="none" w:color="auto"/>
          <w:shd w:val="clear" w:fill="auto"/>
        </w:rPr>
        <w:t xml:space="preserve"> 款项年底前支付到位。</w:t>
      </w:r>
    </w:p>
    <w:p>
      <w:pPr>
        <w:pStyle w:val="5"/>
        <w:widowControl/>
        <w:spacing w:beforeAutospacing="0" w:afterAutospacing="0" w:line="530" w:lineRule="exact"/>
        <w:ind w:firstLine="560" w:firstLineChars="200"/>
        <w:rPr>
          <w:rFonts w:ascii="仿宋_GB2312" w:hAnsi="仿宋_GB2312" w:eastAsia="仿宋_GB2312" w:cs="仿宋_GB2312"/>
          <w:kern w:val="2"/>
          <w:sz w:val="28"/>
          <w:szCs w:val="28"/>
          <w:u w:val="none" w:color="auto"/>
          <w:shd w:val="clear" w:fill="auto"/>
        </w:rPr>
      </w:pPr>
      <w:r>
        <w:rPr>
          <w:rFonts w:hint="eastAsia" w:ascii="仿宋_GB2312" w:hAnsi="仿宋_GB2312" w:eastAsia="仿宋_GB2312" w:cs="仿宋_GB2312"/>
          <w:kern w:val="2"/>
          <w:sz w:val="28"/>
          <w:szCs w:val="28"/>
          <w:u w:val="none" w:color="auto"/>
          <w:shd w:val="clear" w:fill="auto"/>
        </w:rPr>
        <w:t>项目支出情况：2021年初巡察工作经费预算数为70万元，年终决算数为97.94万元（巡察工作经费70万元，驻村工作经费2.4万元）。主要为巡察专项工作经费和驻村工作经费，且于年底全部支付到位。</w:t>
      </w:r>
    </w:p>
    <w:p>
      <w:pPr>
        <w:widowControl/>
        <w:adjustRightInd w:val="0"/>
        <w:snapToGrid w:val="0"/>
        <w:spacing w:line="580" w:lineRule="exact"/>
        <w:ind w:firstLine="562" w:firstLineChars="200"/>
        <w:contextualSpacing/>
        <w:jc w:val="left"/>
        <w:rPr>
          <w:rFonts w:ascii="仿宋_GB2312" w:hAnsi="宋体" w:cs="宋体"/>
          <w:b/>
          <w:bCs/>
          <w:color w:val="000000"/>
          <w:kern w:val="0"/>
          <w:szCs w:val="32"/>
          <w:u w:val="none" w:color="auto"/>
          <w:shd w:val="clear" w:color="auto" w:fill="auto"/>
        </w:rPr>
      </w:pPr>
      <w:r>
        <w:rPr>
          <w:rFonts w:hint="eastAsia" w:ascii="仿宋_GB2312" w:hAnsi="仿宋_GB2312" w:eastAsia="仿宋_GB2312" w:cs="仿宋_GB2312"/>
          <w:b/>
          <w:bCs/>
          <w:color w:val="000000"/>
          <w:kern w:val="0"/>
          <w:sz w:val="28"/>
          <w:szCs w:val="28"/>
          <w:u w:val="none" w:color="auto"/>
          <w:shd w:val="clear" w:color="auto" w:fill="auto"/>
        </w:rPr>
        <w:t>3、预算执行情况</w:t>
      </w:r>
    </w:p>
    <w:p>
      <w:pPr>
        <w:widowControl/>
        <w:adjustRightInd w:val="0"/>
        <w:snapToGrid w:val="0"/>
        <w:spacing w:line="580" w:lineRule="exact"/>
        <w:ind w:firstLine="560" w:firstLineChars="200"/>
        <w:contextualSpacing/>
        <w:jc w:val="left"/>
        <w:rPr>
          <w:rFonts w:ascii="仿宋_GB2312" w:hAnsi="宋体" w:eastAsia="仿宋_GB2312" w:cs="宋体"/>
          <w:color w:val="000000"/>
          <w:kern w:val="0"/>
          <w:sz w:val="28"/>
          <w:szCs w:val="28"/>
          <w:u w:val="none" w:color="auto"/>
          <w:shd w:val="clear" w:color="auto" w:fill="auto"/>
          <w:lang w:val="zh-CN"/>
        </w:rPr>
      </w:pPr>
      <w:r>
        <w:rPr>
          <w:rFonts w:hint="eastAsia" w:ascii="仿宋_GB2312" w:hAnsi="宋体" w:eastAsia="仿宋_GB2312" w:cs="宋体"/>
          <w:color w:val="000000"/>
          <w:kern w:val="0"/>
          <w:sz w:val="28"/>
          <w:szCs w:val="28"/>
          <w:u w:val="none" w:color="auto"/>
          <w:shd w:val="clear" w:color="auto" w:fill="auto"/>
        </w:rPr>
        <w:t>一是建立预算执行责任制。将年度预算收入责任及预算支出额度逐一分解落实到各股室，形成领导重视、衔接紧密、齐抓共管的体制机制，建立预算指标额度台账，将预算执行情况作为年度目标考核的内容。二是建立预算执行信息化管理制度。在通江县政务公开网公布部门财政预算批复及执行情况，及时公布“三公经费”支出情况，接受监督。三是建立健全项目资金管理制度。对于财政性专项资金，在县财政局的督导下，严格按专项资金项目实施方案执行，督促项目承担单位加快项目实施进度，及时办理报账、验收、结算等相关手续，做到不集中使用、不滥用资金，最大限度提高专项资金利用效率。</w:t>
      </w:r>
    </w:p>
    <w:p>
      <w:pPr>
        <w:pStyle w:val="5"/>
        <w:widowControl/>
        <w:numPr>
          <w:ilvl w:val="0"/>
          <w:numId w:val="5"/>
        </w:numPr>
        <w:spacing w:beforeAutospacing="0" w:afterAutospacing="0" w:line="530" w:lineRule="exact"/>
        <w:ind w:firstLine="562" w:firstLineChars="200"/>
        <w:rPr>
          <w:rFonts w:ascii="仿宋_GB2312" w:hAnsi="宋体" w:eastAsia="仿宋_GB2312" w:cs="宋体"/>
          <w:b/>
          <w:bCs/>
          <w:color w:val="000000"/>
          <w:sz w:val="28"/>
          <w:szCs w:val="28"/>
          <w:u w:val="none" w:color="auto"/>
          <w:shd w:val="clear" w:color="auto" w:fill="auto"/>
          <w:lang w:val="zh-CN"/>
        </w:rPr>
      </w:pPr>
      <w:r>
        <w:rPr>
          <w:rFonts w:hint="eastAsia" w:ascii="仿宋_GB2312" w:hAnsi="宋体" w:eastAsia="仿宋_GB2312" w:cs="宋体"/>
          <w:b/>
          <w:bCs/>
          <w:color w:val="000000"/>
          <w:sz w:val="28"/>
          <w:szCs w:val="28"/>
          <w:u w:val="none" w:color="auto"/>
          <w:shd w:val="clear" w:color="auto" w:fill="auto"/>
          <w:lang w:val="zh-CN"/>
        </w:rPr>
        <w:t>预算完成情况</w:t>
      </w:r>
    </w:p>
    <w:p>
      <w:pPr>
        <w:pStyle w:val="5"/>
        <w:widowControl/>
        <w:spacing w:beforeAutospacing="0" w:afterAutospacing="0" w:line="530" w:lineRule="exact"/>
        <w:ind w:firstLine="560" w:firstLineChars="200"/>
        <w:rPr>
          <w:rFonts w:ascii="仿宋_GB2312" w:hAnsi="宋体" w:eastAsia="仿宋_GB2312" w:cs="宋体"/>
          <w:color w:val="000000"/>
          <w:sz w:val="28"/>
          <w:szCs w:val="28"/>
          <w:u w:val="none" w:color="auto"/>
          <w:shd w:val="clear" w:color="auto" w:fill="auto"/>
        </w:rPr>
      </w:pPr>
      <w:r>
        <w:rPr>
          <w:rFonts w:hint="eastAsia" w:ascii="仿宋_GB2312" w:hAnsi="宋体" w:eastAsia="仿宋_GB2312" w:cs="宋体"/>
          <w:color w:val="000000"/>
          <w:sz w:val="28"/>
          <w:szCs w:val="28"/>
          <w:u w:val="none" w:color="auto"/>
          <w:shd w:val="clear" w:color="auto" w:fill="auto"/>
        </w:rPr>
        <w:t>2021年，县委巡察工作以习近平新时代中国特色社会主义思想为指导，全面贯彻中央巡视工作方针和中央、省委、市委、县委关于巡视巡察工作新部署新要求，紧紧围绕“上台阶、创一流”工作目标，紧扣“三个聚焦”，紧盯“关键少数”，始终突出政治巡察，充分发挥全面从严治党利剑作用，不断巩固和发展良好政治生态，为加快建设全国革命老区振兴发展示范县提供了坚强政治保证。</w:t>
      </w:r>
    </w:p>
    <w:p>
      <w:pPr>
        <w:pStyle w:val="21"/>
        <w:spacing w:line="580" w:lineRule="exact"/>
        <w:ind w:firstLine="562" w:firstLineChars="200"/>
        <w:jc w:val="both"/>
        <w:rPr>
          <w:rFonts w:ascii="仿宋_GB2312" w:hAnsi="仿宋_GB2312" w:eastAsia="仿宋_GB2312" w:cs="仿宋_GB2312"/>
          <w:color w:val="auto"/>
          <w:sz w:val="28"/>
          <w:szCs w:val="28"/>
          <w:u w:val="none" w:color="auto"/>
          <w:shd w:val="clear" w:fill="auto"/>
        </w:rPr>
      </w:pPr>
      <w:r>
        <w:rPr>
          <w:rFonts w:hint="eastAsia" w:ascii="仿宋_GB2312" w:hAnsi="仿宋_GB2312" w:eastAsia="仿宋_GB2312" w:cs="仿宋_GB2312"/>
          <w:b/>
          <w:bCs/>
          <w:color w:val="auto"/>
          <w:sz w:val="28"/>
          <w:szCs w:val="28"/>
          <w:u w:val="none" w:color="auto"/>
          <w:shd w:val="clear" w:fill="auto"/>
        </w:rPr>
        <w:t>全面履行巡察主体责任</w:t>
      </w:r>
      <w:r>
        <w:rPr>
          <w:rFonts w:hint="eastAsia" w:ascii="仿宋_GB2312" w:hAnsi="仿宋_GB2312" w:eastAsia="仿宋_GB2312" w:cs="仿宋_GB2312"/>
          <w:color w:val="auto"/>
          <w:sz w:val="28"/>
          <w:szCs w:val="28"/>
          <w:u w:val="none" w:color="auto"/>
          <w:shd w:val="clear" w:fill="auto"/>
        </w:rPr>
        <w:t>。县委高度重视巡察工作，始终坚持把巡察工作作为落实全面从严治党主体责任的重要抓手，以扎实有力、务实有效的工作举措切实推动巡察工作高质量发展。紧扣届内巡察“全覆盖”目标和不低于10%的巡察“回头看”任务，今年先后开展十三届县委第八轮、第九轮巡察工作，完成对</w:t>
      </w:r>
      <w:r>
        <w:rPr>
          <w:rFonts w:hint="eastAsia" w:ascii="仿宋_GB2312" w:hAnsi="仿宋_GB2312" w:eastAsia="仿宋_GB2312" w:cs="仿宋_GB2312"/>
          <w:kern w:val="2"/>
          <w:sz w:val="28"/>
          <w:szCs w:val="28"/>
          <w:u w:val="none" w:color="auto"/>
          <w:shd w:val="clear" w:fill="auto"/>
        </w:rPr>
        <w:t>火炬镇等2个乡镇、</w:t>
      </w:r>
      <w:r>
        <w:rPr>
          <w:rFonts w:hint="eastAsia" w:ascii="仿宋_GB2312" w:hAnsi="仿宋_GB2312" w:eastAsia="仿宋_GB2312" w:cs="仿宋_GB2312"/>
          <w:color w:val="auto"/>
          <w:kern w:val="2"/>
          <w:sz w:val="28"/>
          <w:szCs w:val="28"/>
          <w:u w:val="none" w:color="auto"/>
          <w:shd w:val="clear" w:fill="auto"/>
        </w:rPr>
        <w:t>国资委</w:t>
      </w:r>
      <w:r>
        <w:rPr>
          <w:rFonts w:hint="eastAsia" w:ascii="仿宋_GB2312" w:hAnsi="仿宋_GB2312" w:eastAsia="仿宋_GB2312" w:cs="仿宋_GB2312"/>
          <w:kern w:val="2"/>
          <w:sz w:val="28"/>
          <w:szCs w:val="28"/>
          <w:u w:val="none" w:color="auto"/>
          <w:shd w:val="clear" w:fill="auto"/>
        </w:rPr>
        <w:t>等</w:t>
      </w:r>
      <w:r>
        <w:rPr>
          <w:rFonts w:hint="eastAsia" w:ascii="仿宋_GB2312" w:hAnsi="仿宋_GB2312" w:eastAsia="仿宋_GB2312" w:cs="仿宋_GB2312"/>
          <w:color w:val="auto"/>
          <w:sz w:val="28"/>
          <w:szCs w:val="28"/>
          <w:u w:val="none" w:color="auto"/>
          <w:shd w:val="clear" w:fill="auto"/>
        </w:rPr>
        <w:t>6</w:t>
      </w:r>
      <w:r>
        <w:rPr>
          <w:rFonts w:hint="eastAsia" w:ascii="仿宋_GB2312" w:hAnsi="仿宋_GB2312" w:eastAsia="仿宋_GB2312" w:cs="仿宋_GB2312"/>
          <w:kern w:val="2"/>
          <w:sz w:val="28"/>
          <w:szCs w:val="28"/>
          <w:u w:val="none" w:color="auto"/>
          <w:shd w:val="clear" w:fill="auto"/>
        </w:rPr>
        <w:t>个县级部门、通江中学等6所县属学校和县检察院等12个党组织的巡察“回头看”工作。截至10月底，圆满完成了对全县乡镇、党工委，县委和政府部门、县管理的国有企业、事业单位的常规巡察工作，以及12个党组织的巡察“回头看”工作，并通过“巡乡（镇）带村（社区）”方式实现村（社区）全覆盖。</w:t>
      </w:r>
    </w:p>
    <w:p>
      <w:pPr>
        <w:pStyle w:val="21"/>
        <w:spacing w:line="580" w:lineRule="exact"/>
        <w:ind w:firstLine="562" w:firstLineChars="200"/>
        <w:jc w:val="both"/>
        <w:rPr>
          <w:rFonts w:ascii="仿宋_GB2312" w:hAnsi="仿宋_GB2312" w:eastAsia="仿宋_GB2312" w:cs="仿宋_GB2312"/>
          <w:color w:val="auto"/>
          <w:kern w:val="2"/>
          <w:sz w:val="28"/>
          <w:szCs w:val="28"/>
          <w:u w:val="none" w:color="auto"/>
          <w:shd w:val="clear" w:fill="auto"/>
        </w:rPr>
      </w:pPr>
      <w:r>
        <w:rPr>
          <w:rFonts w:hint="eastAsia" w:ascii="仿宋_GB2312" w:hAnsi="仿宋_GB2312" w:eastAsia="仿宋_GB2312" w:cs="仿宋_GB2312"/>
          <w:b/>
          <w:bCs/>
          <w:color w:val="auto"/>
          <w:kern w:val="2"/>
          <w:sz w:val="28"/>
          <w:szCs w:val="28"/>
          <w:u w:val="none" w:color="auto"/>
          <w:shd w:val="clear" w:fill="auto"/>
        </w:rPr>
        <w:t>全面提升巡察监督质量。</w:t>
      </w:r>
      <w:r>
        <w:rPr>
          <w:rFonts w:hint="eastAsia" w:ascii="仿宋_GB2312" w:hAnsi="仿宋_GB2312" w:eastAsia="仿宋_GB2312" w:cs="仿宋_GB2312"/>
          <w:color w:val="auto"/>
          <w:kern w:val="2"/>
          <w:sz w:val="28"/>
          <w:szCs w:val="28"/>
          <w:u w:val="none" w:color="auto"/>
          <w:shd w:val="clear" w:fill="auto"/>
        </w:rPr>
        <w:t>始终坚持把发现问题作为巡察工作的生命线，突出问题导向、目标导向、结果导向，综合运用常规巡察、巡察“回头看”和专项巡察等方式，先后完成</w:t>
      </w:r>
      <w:r>
        <w:rPr>
          <w:rFonts w:hint="eastAsia" w:ascii="仿宋_GB2312" w:hAnsi="仿宋_GB2312" w:eastAsia="仿宋_GB2312" w:cs="仿宋_GB2312"/>
          <w:color w:val="auto"/>
          <w:sz w:val="28"/>
          <w:szCs w:val="28"/>
          <w:u w:val="none" w:color="auto"/>
          <w:shd w:val="clear" w:fill="auto"/>
        </w:rPr>
        <w:t>对47个党组织的巡察，共发现4类397个问题，移交31条问题线索</w:t>
      </w:r>
      <w:r>
        <w:rPr>
          <w:rFonts w:hint="eastAsia" w:ascii="仿宋_GB2312" w:hAnsi="仿宋_GB2312" w:eastAsia="仿宋_GB2312" w:cs="仿宋_GB2312"/>
          <w:color w:val="auto"/>
          <w:kern w:val="2"/>
          <w:sz w:val="28"/>
          <w:szCs w:val="28"/>
          <w:u w:val="none" w:color="auto"/>
          <w:shd w:val="clear" w:fill="auto"/>
        </w:rPr>
        <w:t>，发现了一批贯彻落实上级决策部署不坚决、</w:t>
      </w:r>
      <w:r>
        <w:rPr>
          <w:rFonts w:hint="eastAsia" w:ascii="仿宋_GB2312" w:hAnsi="仿宋_GB2312" w:eastAsia="仿宋_GB2312" w:cs="仿宋_GB2312"/>
          <w:color w:val="auto"/>
          <w:kern w:val="2"/>
          <w:sz w:val="28"/>
          <w:szCs w:val="28"/>
          <w:u w:val="none" w:color="auto"/>
          <w:shd w:val="clear" w:fill="auto"/>
        </w:rPr>
        <w:t>履行职能责任不到位、搞形式主义官僚主义、侵害群众利益、违反中央八项规定精神等问题，有力督促推动党组织和党员干部以实际行动践行“两个维护”，增强了人民群众获得感安全感，巩固了党的执政基础。</w:t>
      </w:r>
    </w:p>
    <w:p>
      <w:pPr>
        <w:spacing w:line="580" w:lineRule="exact"/>
        <w:ind w:firstLine="562" w:firstLineChars="200"/>
        <w:rPr>
          <w:rFonts w:ascii="仿宋_GB2312" w:hAnsi="仿宋_GB2312" w:eastAsia="仿宋_GB2312" w:cs="仿宋_GB2312"/>
          <w:b/>
          <w:bCs/>
          <w:color w:val="000000"/>
          <w:kern w:val="0"/>
          <w:sz w:val="28"/>
          <w:szCs w:val="28"/>
          <w:u w:val="none" w:color="auto"/>
          <w:shd w:val="clear" w:color="auto" w:fill="auto"/>
          <w:lang w:val="zh-CN"/>
        </w:rPr>
      </w:pPr>
      <w:r>
        <w:rPr>
          <w:rFonts w:hint="eastAsia" w:ascii="仿宋_GB2312" w:hAnsi="仿宋_GB2312" w:eastAsia="仿宋_GB2312" w:cs="仿宋_GB2312"/>
          <w:b/>
          <w:bCs/>
          <w:color w:val="000000"/>
          <w:kern w:val="0"/>
          <w:sz w:val="28"/>
          <w:szCs w:val="28"/>
          <w:u w:val="none" w:color="auto"/>
          <w:shd w:val="clear" w:fill="auto"/>
        </w:rPr>
        <w:t>全面推进巡察规范化法治化建设。</w:t>
      </w:r>
      <w:r>
        <w:rPr>
          <w:rFonts w:hint="eastAsia" w:ascii="仿宋_GB2312" w:hAnsi="仿宋_GB2312" w:eastAsia="仿宋_GB2312" w:cs="仿宋_GB2312"/>
          <w:color w:val="000000"/>
          <w:kern w:val="0"/>
          <w:sz w:val="28"/>
          <w:szCs w:val="28"/>
          <w:u w:val="none" w:color="auto"/>
          <w:shd w:val="clear" w:fill="auto"/>
        </w:rPr>
        <w:t>坚持把加强巡察工作规范化法治化建设作为推进巡察工作高质量发展的重要抓手，不断增强巡察工作的针对性、操作性和实效性。</w:t>
      </w:r>
    </w:p>
    <w:p>
      <w:pPr>
        <w:widowControl/>
        <w:adjustRightInd w:val="0"/>
        <w:snapToGrid w:val="0"/>
        <w:spacing w:line="560" w:lineRule="exact"/>
        <w:ind w:firstLine="562" w:firstLineChars="200"/>
        <w:contextualSpacing/>
        <w:jc w:val="left"/>
        <w:rPr>
          <w:rFonts w:ascii="仿宋_GB2312" w:hAnsi="仿宋_GB2312" w:eastAsia="仿宋_GB2312" w:cs="仿宋_GB2312"/>
          <w:b/>
          <w:bCs/>
          <w:color w:val="000000"/>
          <w:kern w:val="0"/>
          <w:sz w:val="28"/>
          <w:szCs w:val="28"/>
          <w:u w:val="none" w:color="auto"/>
          <w:shd w:val="clear" w:fill="auto"/>
          <w:lang w:val="zh-CN"/>
        </w:rPr>
      </w:pPr>
      <w:r>
        <w:rPr>
          <w:rFonts w:hint="eastAsia" w:ascii="仿宋_GB2312" w:hAnsi="仿宋_GB2312" w:eastAsia="仿宋_GB2312" w:cs="仿宋_GB2312"/>
          <w:b/>
          <w:bCs/>
          <w:color w:val="000000"/>
          <w:kern w:val="0"/>
          <w:sz w:val="28"/>
          <w:szCs w:val="28"/>
          <w:u w:val="none" w:color="auto"/>
          <w:shd w:val="clear" w:fill="auto"/>
          <w:lang w:val="zh-CN"/>
        </w:rPr>
        <w:t>（二）结果应用情况。</w:t>
      </w:r>
    </w:p>
    <w:p>
      <w:pPr>
        <w:widowControl/>
        <w:adjustRightInd w:val="0"/>
        <w:snapToGrid w:val="0"/>
        <w:spacing w:line="560" w:lineRule="exact"/>
        <w:ind w:firstLine="560" w:firstLineChars="200"/>
        <w:contextualSpacing/>
        <w:jc w:val="left"/>
        <w:rPr>
          <w:rFonts w:ascii="仿宋_GB2312" w:hAnsi="仿宋_GB2312" w:eastAsia="仿宋_GB2312" w:cs="仿宋_GB2312"/>
          <w:color w:val="000000"/>
          <w:kern w:val="0"/>
          <w:sz w:val="28"/>
          <w:szCs w:val="28"/>
          <w:u w:val="none" w:color="auto"/>
          <w:shd w:val="clear" w:fill="auto"/>
          <w:lang w:val="zh-CN"/>
        </w:rPr>
      </w:pPr>
      <w:r>
        <w:rPr>
          <w:rFonts w:hint="eastAsia" w:ascii="仿宋_GB2312" w:hAnsi="仿宋_GB2312" w:eastAsia="仿宋_GB2312" w:cs="仿宋_GB2312"/>
          <w:color w:val="000000"/>
          <w:kern w:val="0"/>
          <w:sz w:val="28"/>
          <w:szCs w:val="28"/>
          <w:u w:val="none" w:color="auto"/>
          <w:shd w:val="clear" w:fill="auto"/>
        </w:rPr>
        <w:t>为规范机关财务管理，建立健全财务管理制度，我办制定了《中共通江县委巡察办财务管理办法》《中共通江县委巡察办财务内控制度》等一系列合法合规较为完整的具有很强的可操作性的财务管理制度。坚持经费预算科学化、精细化，执行控制规范化、责任化，监督检查常态化、同步化。</w:t>
      </w:r>
    </w:p>
    <w:p>
      <w:pPr>
        <w:widowControl/>
        <w:adjustRightInd w:val="0"/>
        <w:snapToGrid w:val="0"/>
        <w:spacing w:line="560" w:lineRule="exact"/>
        <w:ind w:firstLine="560" w:firstLineChars="200"/>
        <w:contextualSpacing/>
        <w:jc w:val="left"/>
        <w:rPr>
          <w:rFonts w:ascii="仿宋_GB2312" w:hAnsi="宋体" w:eastAsia="仿宋_GB2312" w:cs="宋体"/>
          <w:kern w:val="0"/>
          <w:sz w:val="28"/>
          <w:szCs w:val="28"/>
          <w:u w:val="none" w:color="auto"/>
          <w:shd w:val="clear" w:color="auto" w:fill="auto"/>
          <w:lang w:val="zh-CN"/>
        </w:rPr>
      </w:pPr>
      <w:r>
        <w:rPr>
          <w:rFonts w:hint="eastAsia" w:ascii="仿宋_GB2312" w:hAnsi="仿宋_GB2312" w:eastAsia="仿宋_GB2312" w:cs="仿宋_GB2312"/>
          <w:color w:val="000000"/>
          <w:kern w:val="0"/>
          <w:sz w:val="28"/>
          <w:szCs w:val="28"/>
          <w:u w:val="none" w:color="auto"/>
          <w:shd w:val="clear" w:fill="auto"/>
        </w:rPr>
        <w:t>资金的支付符合国家财经法规和财务管理制度规定，以及有关专项资金管理办法的规定；资金拨付有完整的审批程序和手续；支出符合部门预算批复的用途；资金使用没有截留、挪用、虚列支出、随意借用等情况；重大财务事项经由集体研究决策；专项资金做到专款专用；原始凭证的取得真实有效。部门预决算信息按规定内容，在规定的时限内予以公开。基础数据信息和会计信息资料真实、完整、准确。</w:t>
      </w:r>
    </w:p>
    <w:p>
      <w:pPr>
        <w:widowControl/>
        <w:numPr>
          <w:ilvl w:val="0"/>
          <w:numId w:val="6"/>
        </w:numPr>
        <w:adjustRightInd w:val="0"/>
        <w:snapToGrid w:val="0"/>
        <w:spacing w:line="560" w:lineRule="exact"/>
        <w:ind w:firstLine="560" w:firstLineChars="200"/>
        <w:contextualSpacing/>
        <w:jc w:val="left"/>
        <w:rPr>
          <w:rFonts w:ascii="仿宋_GB2312" w:hAnsi="宋体" w:eastAsia="仿宋_GB2312" w:cs="宋体"/>
          <w:kern w:val="0"/>
          <w:sz w:val="28"/>
          <w:szCs w:val="28"/>
          <w:u w:val="none" w:color="auto"/>
          <w:shd w:val="clear" w:color="auto" w:fill="auto"/>
          <w:lang w:val="zh-CN"/>
        </w:rPr>
      </w:pPr>
      <w:r>
        <w:rPr>
          <w:rFonts w:hint="eastAsia" w:ascii="仿宋_GB2312" w:hAnsi="宋体" w:eastAsia="仿宋_GB2312" w:cs="宋体"/>
          <w:kern w:val="0"/>
          <w:sz w:val="28"/>
          <w:szCs w:val="28"/>
          <w:u w:val="none" w:color="auto"/>
          <w:shd w:val="clear" w:color="auto" w:fill="auto"/>
          <w:lang w:val="zh-CN"/>
        </w:rPr>
        <w:t>自评质量</w:t>
      </w:r>
    </w:p>
    <w:p>
      <w:pPr>
        <w:widowControl/>
        <w:adjustRightInd w:val="0"/>
        <w:snapToGrid w:val="0"/>
        <w:spacing w:line="560" w:lineRule="exact"/>
        <w:ind w:firstLine="560" w:firstLineChars="200"/>
        <w:contextualSpacing/>
        <w:jc w:val="left"/>
        <w:rPr>
          <w:rFonts w:ascii="仿宋_GB2312" w:hAnsi="宋体" w:eastAsia="仿宋_GB2312" w:cs="宋体"/>
          <w:kern w:val="0"/>
          <w:sz w:val="28"/>
          <w:szCs w:val="28"/>
          <w:u w:val="none" w:color="auto"/>
          <w:shd w:val="clear" w:color="auto" w:fill="auto"/>
        </w:rPr>
      </w:pPr>
      <w:r>
        <w:rPr>
          <w:rFonts w:hint="eastAsia" w:ascii="仿宋_GB2312" w:hAnsi="仿宋_GB2312" w:eastAsia="仿宋_GB2312" w:cs="仿宋_GB2312"/>
          <w:color w:val="000000"/>
          <w:kern w:val="0"/>
          <w:sz w:val="28"/>
          <w:szCs w:val="28"/>
          <w:u w:val="none" w:color="auto"/>
          <w:shd w:val="clear" w:fill="auto"/>
        </w:rPr>
        <w:t>2021年，我单位积极履职，强化管理，较好地完成了年度工作目标。通过加强预算收支管理，不断建立健全内部管理制度，梳理内部管理流程，部门整体支出管理水平得到提升。</w:t>
      </w:r>
    </w:p>
    <w:p>
      <w:pPr>
        <w:widowControl/>
        <w:adjustRightInd w:val="0"/>
        <w:snapToGrid w:val="0"/>
        <w:spacing w:line="560" w:lineRule="exact"/>
        <w:ind w:firstLine="560" w:firstLineChars="200"/>
        <w:contextualSpacing/>
        <w:jc w:val="left"/>
        <w:rPr>
          <w:rFonts w:ascii="黑体" w:hAnsi="宋体" w:eastAsia="黑体" w:cs="宋体"/>
          <w:kern w:val="0"/>
          <w:sz w:val="28"/>
          <w:szCs w:val="28"/>
          <w:u w:val="none" w:color="auto"/>
          <w:shd w:val="clear" w:color="auto" w:fill="auto"/>
        </w:rPr>
      </w:pPr>
      <w:r>
        <w:rPr>
          <w:rFonts w:hint="eastAsia" w:ascii="黑体" w:hAnsi="宋体" w:eastAsia="黑体" w:cs="宋体"/>
          <w:kern w:val="0"/>
          <w:sz w:val="28"/>
          <w:szCs w:val="28"/>
          <w:u w:val="none" w:color="auto"/>
          <w:shd w:val="clear" w:color="auto" w:fill="auto"/>
        </w:rPr>
        <w:t>四、评价结论及建议</w:t>
      </w:r>
    </w:p>
    <w:p>
      <w:pPr>
        <w:adjustRightInd w:val="0"/>
        <w:snapToGrid w:val="0"/>
        <w:spacing w:line="560" w:lineRule="exact"/>
        <w:ind w:firstLine="560" w:firstLineChars="200"/>
        <w:rPr>
          <w:rFonts w:ascii="仿宋_GB2312" w:hAnsi="宋体" w:eastAsia="仿宋_GB2312" w:cs="宋体"/>
          <w:kern w:val="0"/>
          <w:sz w:val="28"/>
          <w:szCs w:val="28"/>
          <w:u w:val="none" w:color="auto"/>
          <w:shd w:val="clear" w:color="auto" w:fill="auto"/>
          <w:lang w:val="zh-CN"/>
        </w:rPr>
      </w:pPr>
      <w:r>
        <w:rPr>
          <w:rFonts w:hint="eastAsia" w:ascii="仿宋_GB2312" w:hAnsi="宋体" w:eastAsia="仿宋_GB2312" w:cs="宋体"/>
          <w:kern w:val="0"/>
          <w:sz w:val="28"/>
          <w:szCs w:val="28"/>
          <w:u w:val="none" w:color="auto"/>
          <w:shd w:val="clear" w:color="auto" w:fill="auto"/>
          <w:lang w:val="zh-CN"/>
        </w:rPr>
        <w:t>（一）评价结论。</w:t>
      </w:r>
      <w:r>
        <w:rPr>
          <w:rFonts w:hint="eastAsia" w:ascii="仿宋_GB2312" w:hAnsi="宋体" w:eastAsia="仿宋_GB2312" w:cs="宋体"/>
          <w:color w:val="000000"/>
          <w:kern w:val="0"/>
          <w:sz w:val="28"/>
          <w:szCs w:val="28"/>
          <w:u w:val="none" w:color="auto"/>
          <w:shd w:val="clear" w:fill="auto"/>
        </w:rPr>
        <w:t>通过加强预算绩效收支管理，不断建立健全单位内部管理制度，梳理内部管理流程，部门整体支出管理水平得到提升。202</w:t>
      </w:r>
      <w:r>
        <w:rPr>
          <w:rFonts w:hint="eastAsia" w:ascii="仿宋_GB2312" w:hAnsi="宋体" w:cs="宋体"/>
          <w:color w:val="000000"/>
          <w:kern w:val="0"/>
          <w:sz w:val="28"/>
          <w:szCs w:val="28"/>
          <w:u w:val="none" w:color="auto"/>
          <w:shd w:val="clear" w:fill="auto"/>
        </w:rPr>
        <w:t>1</w:t>
      </w:r>
      <w:r>
        <w:rPr>
          <w:rFonts w:hint="eastAsia" w:ascii="仿宋_GB2312" w:hAnsi="宋体" w:eastAsia="仿宋_GB2312" w:cs="宋体"/>
          <w:color w:val="000000"/>
          <w:kern w:val="0"/>
          <w:sz w:val="28"/>
          <w:szCs w:val="28"/>
          <w:u w:val="none" w:color="auto"/>
          <w:shd w:val="clear" w:fill="auto"/>
        </w:rPr>
        <w:t>年我办严格按照预算法和绩效目标管理的要求开展工作，在年初预算，财政再批复，单位再进行申报等方面均符合资金管理办法相关规定。202</w:t>
      </w:r>
      <w:r>
        <w:rPr>
          <w:rFonts w:hint="eastAsia" w:ascii="仿宋_GB2312" w:hAnsi="宋体" w:cs="宋体"/>
          <w:color w:val="000000"/>
          <w:kern w:val="0"/>
          <w:sz w:val="28"/>
          <w:szCs w:val="28"/>
          <w:u w:val="none" w:color="auto"/>
          <w:shd w:val="clear" w:fill="auto"/>
        </w:rPr>
        <w:t>1</w:t>
      </w:r>
      <w:r>
        <w:rPr>
          <w:rFonts w:hint="eastAsia" w:ascii="仿宋_GB2312" w:hAnsi="宋体" w:eastAsia="仿宋_GB2312" w:cs="宋体"/>
          <w:color w:val="000000"/>
          <w:kern w:val="0"/>
          <w:sz w:val="28"/>
          <w:szCs w:val="28"/>
          <w:u w:val="none" w:color="auto"/>
          <w:shd w:val="clear" w:fill="auto"/>
        </w:rPr>
        <w:t>年我办部门整体绩效自评分为9</w:t>
      </w:r>
      <w:r>
        <w:rPr>
          <w:rFonts w:hint="eastAsia" w:ascii="仿宋_GB2312" w:hAnsi="宋体" w:cs="宋体"/>
          <w:color w:val="000000"/>
          <w:kern w:val="0"/>
          <w:sz w:val="28"/>
          <w:szCs w:val="28"/>
          <w:u w:val="none" w:color="auto"/>
          <w:shd w:val="clear" w:fill="auto"/>
        </w:rPr>
        <w:t>6</w:t>
      </w:r>
      <w:r>
        <w:rPr>
          <w:rFonts w:hint="eastAsia" w:ascii="仿宋_GB2312" w:hAnsi="宋体" w:eastAsia="仿宋_GB2312" w:cs="宋体"/>
          <w:color w:val="000000"/>
          <w:kern w:val="0"/>
          <w:sz w:val="28"/>
          <w:szCs w:val="28"/>
          <w:u w:val="none" w:color="auto"/>
          <w:shd w:val="clear" w:fill="auto"/>
        </w:rPr>
        <w:t>分，为“优”等级。</w:t>
      </w:r>
    </w:p>
    <w:p>
      <w:pPr>
        <w:adjustRightInd w:val="0"/>
        <w:snapToGrid w:val="0"/>
        <w:spacing w:line="560" w:lineRule="exact"/>
        <w:ind w:firstLine="560" w:firstLineChars="200"/>
        <w:rPr>
          <w:rFonts w:ascii="仿宋_GB2312" w:hAnsi="宋体" w:eastAsia="仿宋_GB2312" w:cs="宋体"/>
          <w:kern w:val="0"/>
          <w:sz w:val="28"/>
          <w:szCs w:val="28"/>
          <w:u w:val="none" w:color="auto"/>
          <w:shd w:val="clear" w:color="auto" w:fill="auto"/>
          <w:lang w:val="zh-CN"/>
        </w:rPr>
      </w:pPr>
      <w:r>
        <w:rPr>
          <w:rFonts w:hint="eastAsia" w:ascii="仿宋_GB2312" w:hAnsi="宋体" w:eastAsia="仿宋_GB2312" w:cs="宋体"/>
          <w:kern w:val="0"/>
          <w:sz w:val="28"/>
          <w:szCs w:val="28"/>
          <w:u w:val="none" w:color="auto"/>
          <w:shd w:val="clear" w:color="auto" w:fill="auto"/>
          <w:lang w:val="zh-CN"/>
        </w:rPr>
        <w:t>（二）存在问题。</w:t>
      </w:r>
    </w:p>
    <w:p>
      <w:pPr>
        <w:adjustRightInd w:val="0"/>
        <w:snapToGrid w:val="0"/>
        <w:spacing w:line="560" w:lineRule="exact"/>
        <w:ind w:firstLine="560" w:firstLineChars="200"/>
        <w:rPr>
          <w:rFonts w:ascii="仿宋_GB2312" w:hAnsi="宋体" w:eastAsia="仿宋_GB2312" w:cs="宋体"/>
          <w:kern w:val="0"/>
          <w:sz w:val="28"/>
          <w:szCs w:val="28"/>
          <w:u w:val="none" w:color="auto"/>
          <w:shd w:val="clear" w:color="auto" w:fill="auto"/>
          <w:lang w:val="zh-CN"/>
        </w:rPr>
      </w:pPr>
      <w:r>
        <w:rPr>
          <w:rFonts w:hint="eastAsia" w:ascii="仿宋_GB2312" w:hAnsi="宋体" w:eastAsia="仿宋_GB2312" w:cs="宋体"/>
          <w:color w:val="000000"/>
          <w:kern w:val="0"/>
          <w:sz w:val="28"/>
          <w:szCs w:val="28"/>
          <w:u w:val="none" w:color="auto"/>
          <w:shd w:val="clear" w:fill="auto"/>
        </w:rPr>
        <w:t>财务制度执行力有待加强，资金使用计划有待细化；财政预算资金到位比较迟缓，各项经费支付不能及时到位。</w:t>
      </w:r>
    </w:p>
    <w:p>
      <w:pPr>
        <w:widowControl/>
        <w:numPr>
          <w:ilvl w:val="0"/>
          <w:numId w:val="6"/>
        </w:numPr>
        <w:adjustRightInd w:val="0"/>
        <w:snapToGrid w:val="0"/>
        <w:spacing w:line="560" w:lineRule="exact"/>
        <w:ind w:firstLine="560" w:firstLineChars="200"/>
        <w:contextualSpacing/>
        <w:jc w:val="left"/>
        <w:rPr>
          <w:rFonts w:ascii="仿宋_GB2312" w:hAnsi="宋体" w:eastAsia="仿宋_GB2312" w:cs="宋体"/>
          <w:kern w:val="0"/>
          <w:sz w:val="28"/>
          <w:szCs w:val="28"/>
          <w:u w:val="none" w:color="auto"/>
          <w:shd w:val="clear" w:color="auto" w:fill="auto"/>
          <w:lang w:val="zh-CN"/>
        </w:rPr>
      </w:pPr>
      <w:r>
        <w:rPr>
          <w:rFonts w:hint="eastAsia" w:ascii="仿宋_GB2312" w:hAnsi="宋体" w:eastAsia="仿宋_GB2312" w:cs="宋体"/>
          <w:kern w:val="0"/>
          <w:sz w:val="28"/>
          <w:szCs w:val="28"/>
          <w:u w:val="none" w:color="auto"/>
          <w:shd w:val="clear" w:color="auto" w:fill="auto"/>
          <w:lang w:val="zh-CN"/>
        </w:rPr>
        <w:t>改进建议。</w:t>
      </w:r>
    </w:p>
    <w:p>
      <w:pPr>
        <w:widowControl/>
        <w:adjustRightInd w:val="0"/>
        <w:snapToGrid w:val="0"/>
        <w:spacing w:line="560" w:lineRule="exact"/>
        <w:ind w:firstLine="560" w:firstLineChars="200"/>
        <w:contextualSpacing/>
        <w:jc w:val="left"/>
        <w:rPr>
          <w:rFonts w:ascii="仿宋_GB2312" w:hAnsi="仿宋_GB2312" w:eastAsia="仿宋_GB2312" w:cs="仿宋_GB2312"/>
          <w:color w:val="000000"/>
          <w:kern w:val="0"/>
          <w:sz w:val="28"/>
          <w:szCs w:val="28"/>
          <w:u w:val="none" w:color="auto"/>
          <w:shd w:val="clear" w:fill="auto"/>
        </w:rPr>
      </w:pPr>
      <w:r>
        <w:rPr>
          <w:rFonts w:hint="eastAsia" w:ascii="仿宋_GB2312" w:hAnsi="仿宋_GB2312" w:eastAsia="仿宋_GB2312" w:cs="仿宋_GB2312"/>
          <w:color w:val="000000"/>
          <w:kern w:val="0"/>
          <w:sz w:val="28"/>
          <w:szCs w:val="28"/>
          <w:u w:val="none" w:color="auto"/>
          <w:shd w:val="clear" w:fill="auto"/>
        </w:rPr>
        <w:t>进一步完善财务内部管理制度，严格执行财务管理制度、对开支及时进行财务处理、会计核算规范化。严格控制其数量指标、质量指标、时效指标、成本指标、效益指标和满意度指标。</w:t>
      </w:r>
    </w:p>
    <w:p>
      <w:pPr>
        <w:pStyle w:val="5"/>
        <w:widowControl/>
        <w:shd w:val="clear" w:color="auto" w:fill="FFFFFF"/>
        <w:spacing w:beforeAutospacing="0" w:afterAutospacing="0" w:line="560" w:lineRule="exact"/>
        <w:ind w:firstLine="560" w:firstLineChars="200"/>
        <w:jc w:val="both"/>
        <w:textAlignment w:val="center"/>
        <w:rPr>
          <w:rFonts w:ascii="仿宋_GB2312" w:hAnsi="仿宋_GB2312" w:eastAsia="仿宋_GB2312" w:cs="仿宋_GB2312"/>
          <w:color w:val="000000"/>
          <w:sz w:val="28"/>
          <w:szCs w:val="28"/>
          <w:u w:val="none" w:color="auto"/>
          <w:shd w:val="clear" w:fill="auto"/>
        </w:rPr>
      </w:pPr>
      <w:r>
        <w:rPr>
          <w:rFonts w:hint="eastAsia" w:ascii="仿宋_GB2312" w:hAnsi="仿宋_GB2312" w:eastAsia="仿宋_GB2312" w:cs="仿宋_GB2312"/>
          <w:color w:val="000000"/>
          <w:sz w:val="28"/>
          <w:szCs w:val="28"/>
          <w:u w:val="none" w:color="auto"/>
          <w:shd w:val="clear" w:fill="auto"/>
        </w:rPr>
        <w:t>1、建议加强政策学习，提高思想认识。组织人员认真学习《中华人民共和国预算法》等相关法规、制度，提高对全面预算管理的重视程度，增强财务人员的预算意识，坚持先有预算、后有支出，没有预算不得支出的支出理念。</w:t>
      </w:r>
    </w:p>
    <w:p>
      <w:pPr>
        <w:pStyle w:val="5"/>
        <w:widowControl/>
        <w:shd w:val="clear" w:color="auto" w:fill="FFFFFF"/>
        <w:spacing w:beforeAutospacing="0" w:afterAutospacing="0" w:line="560" w:lineRule="exact"/>
        <w:ind w:firstLine="560" w:firstLineChars="200"/>
        <w:jc w:val="both"/>
        <w:textAlignment w:val="center"/>
        <w:rPr>
          <w:rFonts w:ascii="仿宋_GB2312" w:hAnsi="仿宋_GB2312" w:eastAsia="仿宋_GB2312" w:cs="仿宋_GB2312"/>
          <w:color w:val="000000"/>
          <w:sz w:val="28"/>
          <w:szCs w:val="28"/>
          <w:u w:val="none" w:color="auto"/>
          <w:shd w:val="clear" w:fill="auto"/>
        </w:rPr>
      </w:pPr>
      <w:r>
        <w:rPr>
          <w:rFonts w:hint="eastAsia" w:ascii="仿宋_GB2312" w:hAnsi="仿宋_GB2312" w:eastAsia="仿宋_GB2312" w:cs="仿宋_GB2312"/>
          <w:color w:val="000000"/>
          <w:sz w:val="28"/>
          <w:szCs w:val="28"/>
          <w:u w:val="none" w:color="auto"/>
          <w:shd w:val="clear" w:fill="auto"/>
        </w:rPr>
        <w:t>2、建议优化绩效评价指标计分标准，改善绩效评价指标计分标准的不合理性，让评价结果更加公平公正。</w:t>
      </w:r>
    </w:p>
    <w:p>
      <w:pPr>
        <w:pStyle w:val="3"/>
        <w:spacing w:before="93"/>
        <w:ind w:left="420" w:leftChars="200"/>
        <w:rPr>
          <w:sz w:val="28"/>
          <w:szCs w:val="28"/>
          <w:u w:val="none" w:color="auto"/>
          <w:shd w:val="clear" w:fill="auto"/>
          <w:lang w:val="zh-CN"/>
        </w:rPr>
      </w:pPr>
    </w:p>
    <w:p>
      <w:pPr>
        <w:pStyle w:val="3"/>
        <w:spacing w:before="93"/>
        <w:rPr>
          <w:rFonts w:hAnsi="宋体" w:cs="宋体"/>
          <w:sz w:val="32"/>
          <w:szCs w:val="32"/>
          <w:u w:val="none" w:color="auto"/>
          <w:shd w:val="clear" w:color="auto" w:fill="auto"/>
          <w:lang w:val="zh-CN"/>
        </w:rPr>
      </w:pPr>
    </w:p>
    <w:p>
      <w:pPr>
        <w:pStyle w:val="3"/>
        <w:spacing w:before="93"/>
        <w:rPr>
          <w:rFonts w:hAnsi="宋体" w:cs="宋体"/>
          <w:sz w:val="32"/>
          <w:szCs w:val="32"/>
          <w:u w:val="none" w:color="auto"/>
          <w:shd w:val="clear" w:color="auto" w:fill="auto"/>
          <w:lang w:val="zh-CN"/>
        </w:rPr>
      </w:pPr>
    </w:p>
    <w:p>
      <w:pPr>
        <w:pStyle w:val="3"/>
        <w:spacing w:before="93"/>
        <w:rPr>
          <w:rFonts w:hAnsi="宋体" w:cs="宋体"/>
          <w:sz w:val="32"/>
          <w:szCs w:val="32"/>
          <w:u w:val="none" w:color="auto"/>
          <w:shd w:val="clear" w:color="auto" w:fill="auto"/>
          <w:lang w:val="zh-CN"/>
        </w:rPr>
      </w:pPr>
    </w:p>
    <w:p>
      <w:pPr>
        <w:pStyle w:val="3"/>
        <w:spacing w:before="93"/>
        <w:rPr>
          <w:rFonts w:hAnsi="宋体" w:cs="宋体"/>
          <w:sz w:val="32"/>
          <w:szCs w:val="32"/>
          <w:u w:val="none" w:color="auto"/>
          <w:shd w:val="clear" w:color="auto" w:fill="auto"/>
          <w:lang w:val="zh-CN"/>
        </w:rPr>
      </w:pPr>
    </w:p>
    <w:p>
      <w:pPr>
        <w:pStyle w:val="3"/>
        <w:spacing w:before="93"/>
        <w:rPr>
          <w:u w:val="none" w:color="auto"/>
          <w:shd w:val="clear" w:fill="auto"/>
          <w:lang w:val="zh-CN"/>
        </w:rPr>
      </w:pPr>
      <w:r>
        <w:rPr>
          <w:rFonts w:hint="eastAsia" w:hAnsi="宋体" w:cs="宋体"/>
          <w:sz w:val="32"/>
          <w:szCs w:val="32"/>
          <w:u w:val="none" w:color="auto"/>
          <w:shd w:val="clear" w:color="auto" w:fill="auto"/>
          <w:lang w:val="zh-CN"/>
        </w:rPr>
        <w:t>附件</w:t>
      </w:r>
      <w:r>
        <w:rPr>
          <w:rFonts w:hint="eastAsia" w:hAnsi="宋体" w:cs="宋体"/>
          <w:sz w:val="32"/>
          <w:szCs w:val="32"/>
          <w:u w:val="none" w:color="auto"/>
          <w:shd w:val="clear" w:color="auto" w:fill="auto"/>
        </w:rPr>
        <w:t>2</w:t>
      </w:r>
    </w:p>
    <w:p>
      <w:pPr>
        <w:spacing w:line="600" w:lineRule="exact"/>
        <w:jc w:val="center"/>
        <w:rPr>
          <w:rFonts w:ascii="宋体" w:hAnsi="宋体"/>
          <w:sz w:val="32"/>
          <w:szCs w:val="32"/>
          <w:u w:val="none" w:color="auto"/>
          <w:shd w:val="clear" w:fill="auto"/>
          <w:lang w:val="zh-CN"/>
        </w:rPr>
      </w:pPr>
      <w:r>
        <w:rPr>
          <w:rFonts w:hint="eastAsia" w:ascii="方正小标宋简体" w:hAnsi="方正小标宋简体" w:eastAsia="方正小标宋简体" w:cs="方正小标宋简体"/>
          <w:sz w:val="40"/>
          <w:szCs w:val="40"/>
          <w:u w:val="none" w:color="auto"/>
          <w:shd w:val="clear" w:fill="auto"/>
        </w:rPr>
        <w:t>2022年</w:t>
      </w:r>
      <w:r>
        <w:rPr>
          <w:rFonts w:hint="eastAsia" w:ascii="方正小标宋简体" w:hAnsi="方正小标宋简体" w:eastAsia="方正小标宋简体" w:cs="方正小标宋简体"/>
          <w:sz w:val="40"/>
          <w:szCs w:val="40"/>
          <w:u w:val="none" w:color="auto"/>
          <w:shd w:val="clear" w:fill="auto"/>
          <w:lang w:val="zh-CN"/>
        </w:rPr>
        <w:t>巡察工作经费支出绩效自评报告</w:t>
      </w:r>
    </w:p>
    <w:p>
      <w:pPr>
        <w:adjustRightInd w:val="0"/>
        <w:snapToGrid w:val="0"/>
        <w:spacing w:line="600" w:lineRule="exact"/>
        <w:ind w:firstLine="720"/>
        <w:rPr>
          <w:rFonts w:ascii="黑体" w:hAnsi="宋体" w:eastAsia="黑体"/>
          <w:sz w:val="32"/>
          <w:szCs w:val="32"/>
          <w:u w:val="none" w:color="auto"/>
          <w:shd w:val="clear" w:fill="auto"/>
        </w:rPr>
      </w:pPr>
    </w:p>
    <w:p>
      <w:pPr>
        <w:adjustRightInd w:val="0"/>
        <w:snapToGrid w:val="0"/>
        <w:spacing w:line="600" w:lineRule="exact"/>
        <w:ind w:firstLine="720"/>
        <w:rPr>
          <w:rFonts w:ascii="黑体" w:hAnsi="宋体" w:eastAsia="黑体"/>
          <w:sz w:val="32"/>
          <w:szCs w:val="32"/>
          <w:u w:val="none" w:color="auto"/>
          <w:shd w:val="clear" w:fill="auto"/>
          <w:lang w:val="zh-CN"/>
        </w:rPr>
      </w:pPr>
      <w:r>
        <w:rPr>
          <w:rFonts w:hint="eastAsia" w:ascii="黑体" w:hAnsi="宋体" w:eastAsia="黑体"/>
          <w:sz w:val="32"/>
          <w:szCs w:val="32"/>
          <w:u w:val="none" w:color="auto"/>
          <w:shd w:val="clear" w:fill="auto"/>
        </w:rPr>
        <w:t>一、</w:t>
      </w:r>
      <w:r>
        <w:rPr>
          <w:rFonts w:hint="eastAsia" w:ascii="黑体" w:hAnsi="宋体" w:eastAsia="黑体"/>
          <w:sz w:val="32"/>
          <w:szCs w:val="32"/>
          <w:u w:val="none" w:color="auto"/>
          <w:shd w:val="clear" w:fill="auto"/>
          <w:lang w:val="zh-CN"/>
        </w:rPr>
        <w:t>项目概况</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（一）项目基本情况。</w:t>
      </w:r>
    </w:p>
    <w:p>
      <w:pPr>
        <w:adjustRightInd w:val="0"/>
        <w:snapToGrid w:val="0"/>
        <w:spacing w:line="560" w:lineRule="exact"/>
        <w:ind w:firstLine="840" w:firstLineChars="300"/>
        <w:rPr>
          <w:rFonts w:ascii="仿宋_GB2312" w:hAnsi="宋体" w:eastAsia="仿宋_GB2312" w:cs="宋体"/>
          <w:color w:val="000000"/>
          <w:kern w:val="0"/>
          <w:sz w:val="28"/>
          <w:szCs w:val="28"/>
          <w:u w:val="none" w:color="auto"/>
          <w:shd w:val="clear" w:fill="auto"/>
          <w:lang w:val="zh-CN"/>
        </w:rPr>
      </w:pPr>
      <w:r>
        <w:rPr>
          <w:rFonts w:hint="eastAsia" w:ascii="仿宋_GB2312" w:hAnsi="宋体" w:eastAsia="仿宋_GB2312" w:cs="宋体"/>
          <w:color w:val="000000"/>
          <w:kern w:val="0"/>
          <w:sz w:val="28"/>
          <w:szCs w:val="28"/>
          <w:u w:val="none" w:color="auto"/>
          <w:shd w:val="clear" w:fill="auto"/>
          <w:lang w:val="zh-CN"/>
        </w:rPr>
        <w:t>1、主要职能。负责拟定巡察工作规划、年度计划和传达贯彻巡察工作领导小组的决策和部署</w:t>
      </w:r>
      <w:r>
        <w:rPr>
          <w:u w:val="none" w:color="auto"/>
          <w:shd w:val="clear" w:fill="auto"/>
        </w:rPr>
        <w:t>；</w:t>
      </w:r>
      <w:r>
        <w:rPr>
          <w:rFonts w:hint="eastAsia" w:ascii="仿宋_GB2312" w:hAnsi="宋体" w:eastAsia="仿宋_GB2312" w:cs="宋体"/>
          <w:color w:val="000000"/>
          <w:kern w:val="0"/>
          <w:sz w:val="28"/>
          <w:szCs w:val="28"/>
          <w:u w:val="none" w:color="auto"/>
          <w:shd w:val="clear" w:fill="auto"/>
          <w:lang w:val="zh-CN"/>
        </w:rPr>
        <w:t>负责政策研究、制度建设等工作</w:t>
      </w:r>
      <w:r>
        <w:rPr>
          <w:u w:val="none" w:color="auto"/>
          <w:shd w:val="clear" w:fill="auto"/>
        </w:rPr>
        <w:t>；</w:t>
      </w:r>
      <w:r>
        <w:rPr>
          <w:rFonts w:hint="eastAsia" w:ascii="仿宋_GB2312" w:hAnsi="宋体" w:eastAsia="仿宋_GB2312" w:cs="宋体"/>
          <w:color w:val="000000"/>
          <w:kern w:val="0"/>
          <w:sz w:val="28"/>
          <w:szCs w:val="28"/>
          <w:u w:val="none" w:color="auto"/>
          <w:shd w:val="clear" w:fill="auto"/>
          <w:lang w:val="zh-CN"/>
        </w:rPr>
        <w:t>负责统筹、协调、指导巡察组开展工作</w:t>
      </w:r>
      <w:r>
        <w:rPr>
          <w:u w:val="none" w:color="auto"/>
          <w:shd w:val="clear" w:fill="auto"/>
        </w:rPr>
        <w:t>；</w:t>
      </w:r>
      <w:r>
        <w:rPr>
          <w:rFonts w:hint="eastAsia" w:ascii="仿宋_GB2312" w:hAnsi="宋体" w:eastAsia="仿宋_GB2312" w:cs="宋体"/>
          <w:color w:val="000000"/>
          <w:kern w:val="0"/>
          <w:sz w:val="28"/>
          <w:szCs w:val="28"/>
          <w:u w:val="none" w:color="auto"/>
          <w:shd w:val="clear" w:fill="auto"/>
          <w:lang w:val="zh-CN"/>
        </w:rPr>
        <w:t>负责督办县委和县委巡察工作领导小组决定事项</w:t>
      </w:r>
      <w:r>
        <w:rPr>
          <w:u w:val="none" w:color="auto"/>
          <w:shd w:val="clear" w:fill="auto"/>
        </w:rPr>
        <w:t>；</w:t>
      </w:r>
      <w:r>
        <w:rPr>
          <w:rFonts w:hint="eastAsia" w:ascii="仿宋_GB2312" w:hAnsi="宋体" w:eastAsia="仿宋_GB2312" w:cs="宋体"/>
          <w:color w:val="000000"/>
          <w:kern w:val="0"/>
          <w:sz w:val="28"/>
          <w:szCs w:val="28"/>
          <w:u w:val="none" w:color="auto"/>
          <w:shd w:val="clear" w:fill="auto"/>
          <w:lang w:val="zh-CN"/>
        </w:rPr>
        <w:t>配合县纪委、县委组织部及有关部门对巡察工作人员进行培训、考核、监督和管理</w:t>
      </w:r>
      <w:r>
        <w:rPr>
          <w:u w:val="none" w:color="auto"/>
          <w:shd w:val="clear" w:fill="auto"/>
        </w:rPr>
        <w:t>；</w:t>
      </w:r>
      <w:r>
        <w:rPr>
          <w:rFonts w:hint="eastAsia" w:ascii="仿宋_GB2312" w:hAnsi="宋体" w:eastAsia="仿宋_GB2312" w:cs="宋体"/>
          <w:color w:val="000000"/>
          <w:kern w:val="0"/>
          <w:sz w:val="28"/>
          <w:szCs w:val="28"/>
          <w:u w:val="none" w:color="auto"/>
          <w:shd w:val="clear" w:fill="auto"/>
          <w:lang w:val="zh-CN"/>
        </w:rPr>
        <w:t>承办县委巡察工作领导小组和上级巡视或巡察工作领导小组办公室交办的其他事项，实现财政预算资金全方位、全过程、全覆盖绩效管理。</w:t>
      </w:r>
    </w:p>
    <w:p>
      <w:pPr>
        <w:adjustRightInd w:val="0"/>
        <w:snapToGrid w:val="0"/>
        <w:spacing w:line="560" w:lineRule="exact"/>
        <w:ind w:firstLine="560" w:firstLineChars="200"/>
        <w:rPr>
          <w:rFonts w:ascii="仿宋_GB2312" w:hAnsi="宋体" w:eastAsia="仿宋_GB2312" w:cs="宋体"/>
          <w:color w:val="000000"/>
          <w:kern w:val="0"/>
          <w:sz w:val="28"/>
          <w:szCs w:val="28"/>
          <w:u w:val="none" w:color="auto"/>
          <w:shd w:val="clear" w:fill="auto"/>
          <w:lang w:val="zh-CN"/>
        </w:rPr>
      </w:pPr>
      <w:r>
        <w:rPr>
          <w:rFonts w:hint="eastAsia" w:ascii="仿宋_GB2312" w:hAnsi="宋体" w:eastAsia="仿宋_GB2312" w:cs="宋体"/>
          <w:color w:val="000000"/>
          <w:kern w:val="0"/>
          <w:sz w:val="28"/>
          <w:szCs w:val="28"/>
          <w:u w:val="none" w:color="auto"/>
          <w:shd w:val="clear" w:fill="auto"/>
          <w:lang w:val="zh-CN"/>
        </w:rPr>
        <w:t>2．项目立项、资金申报的依据。</w:t>
      </w:r>
      <w:r>
        <w:rPr>
          <w:rFonts w:hint="eastAsia" w:ascii="仿宋_GB2312" w:hAnsi="宋体" w:eastAsia="仿宋_GB2312" w:cs="宋体"/>
          <w:color w:val="000000"/>
          <w:kern w:val="0"/>
          <w:sz w:val="28"/>
          <w:szCs w:val="28"/>
          <w:u w:val="none" w:color="auto"/>
          <w:shd w:val="clear" w:fill="auto"/>
        </w:rPr>
        <w:t>根</w:t>
      </w:r>
      <w:r>
        <w:rPr>
          <w:rFonts w:hint="eastAsia" w:ascii="仿宋_GB2312" w:hAnsi="宋体" w:eastAsia="仿宋_GB2312" w:cs="宋体"/>
          <w:color w:val="000000"/>
          <w:kern w:val="0"/>
          <w:sz w:val="28"/>
          <w:szCs w:val="28"/>
          <w:u w:val="none" w:color="auto"/>
          <w:shd w:val="clear" w:fill="auto"/>
          <w:lang w:val="zh-CN"/>
        </w:rPr>
        <w:t>据《中国共产党巡视工作条例》，党的市（地、州、盟）和县（市、区、旗）委员会建立巡察制度，设立巡察机构，对所管理的党组织进行巡察监督。</w:t>
      </w:r>
    </w:p>
    <w:p>
      <w:pPr>
        <w:adjustRightInd w:val="0"/>
        <w:snapToGrid w:val="0"/>
        <w:spacing w:line="600" w:lineRule="exact"/>
        <w:ind w:firstLine="720"/>
        <w:rPr>
          <w:rFonts w:ascii="仿宋_GB2312" w:hAnsi="宋体" w:eastAsia="仿宋_GB2312"/>
          <w:sz w:val="28"/>
          <w:szCs w:val="28"/>
          <w:u w:val="none" w:color="auto"/>
          <w:shd w:val="clear" w:fill="auto"/>
          <w:lang w:val="zh-CN"/>
        </w:rPr>
      </w:pPr>
      <w:r>
        <w:rPr>
          <w:rFonts w:hint="eastAsia" w:ascii="仿宋_GB2312" w:hAnsi="宋体" w:eastAsia="仿宋_GB2312" w:cs="宋体"/>
          <w:color w:val="000000"/>
          <w:kern w:val="0"/>
          <w:sz w:val="28"/>
          <w:szCs w:val="28"/>
          <w:u w:val="none" w:color="auto"/>
          <w:shd w:val="clear" w:fill="auto"/>
          <w:lang w:val="zh-CN"/>
        </w:rPr>
        <w:t>3．资金管理办法制定情况，</w:t>
      </w:r>
      <w:r>
        <w:rPr>
          <w:rFonts w:hint="eastAsia" w:ascii="仿宋_GB2312" w:hAnsi="宋体" w:eastAsia="仿宋_GB2312" w:cs="宋体"/>
          <w:color w:val="000000"/>
          <w:kern w:val="0"/>
          <w:sz w:val="28"/>
          <w:szCs w:val="28"/>
          <w:u w:val="none" w:color="auto"/>
          <w:shd w:val="clear" w:fill="auto"/>
        </w:rPr>
        <w:t>在资金使用上一直按照国家财经法规和本单位财务管理制度规定以及有关专项资金管理办法的规定收支，资金拨付有完整的审批程序和手续，按照财经制度的有关要求，有计划地安排、使用资金，严格落实财务审批制度。重大开支办公 会集体研究，保证资金使用合法合规，</w:t>
      </w:r>
      <w:r>
        <w:rPr>
          <w:rFonts w:hint="eastAsia" w:ascii="仿宋_GB2312" w:hAnsi="宋体" w:eastAsia="仿宋_GB2312" w:cs="宋体"/>
          <w:color w:val="000000"/>
          <w:kern w:val="0"/>
          <w:sz w:val="28"/>
          <w:szCs w:val="28"/>
          <w:u w:val="none" w:color="auto"/>
          <w:shd w:val="clear" w:fill="auto"/>
        </w:rPr>
        <w:t>同时</w:t>
      </w:r>
      <w:r>
        <w:rPr>
          <w:rFonts w:hint="eastAsia" w:ascii="仿宋_GB2312" w:hAnsi="宋体" w:eastAsia="仿宋_GB2312" w:cs="宋体"/>
          <w:color w:val="000000"/>
          <w:kern w:val="0"/>
          <w:sz w:val="28"/>
          <w:szCs w:val="28"/>
          <w:u w:val="none" w:color="auto"/>
          <w:shd w:val="clear" w:fill="auto"/>
          <w:lang w:val="en-US" w:eastAsia="zh-CN"/>
        </w:rPr>
        <w:t>确保</w:t>
      </w:r>
      <w:r>
        <w:rPr>
          <w:rFonts w:hint="eastAsia" w:ascii="仿宋_GB2312" w:hAnsi="宋体" w:eastAsia="仿宋_GB2312" w:cs="宋体"/>
          <w:color w:val="000000"/>
          <w:kern w:val="0"/>
          <w:sz w:val="28"/>
          <w:szCs w:val="28"/>
          <w:u w:val="none" w:color="auto"/>
          <w:shd w:val="clear" w:fill="auto"/>
        </w:rPr>
        <w:t>资金使用无截留、挤占、挪用、虚列支出等情况。在严格执行各项有关法律法规、财务规章制度的同时，我们单位还制定了《关于进一步严肃会议纪律的通知》《关</w:t>
      </w:r>
      <w:r>
        <w:rPr>
          <w:rFonts w:hint="eastAsia" w:ascii="仿宋_GB2312" w:eastAsia="仿宋_GB2312"/>
          <w:sz w:val="28"/>
          <w:szCs w:val="28"/>
          <w:u w:val="none" w:color="auto"/>
          <w:shd w:val="clear" w:fill="auto"/>
        </w:rPr>
        <w:t>于</w:t>
      </w:r>
      <w:r>
        <w:rPr>
          <w:rFonts w:hint="eastAsia" w:ascii="仿宋_GB2312" w:hAnsi="宋体" w:eastAsia="仿宋_GB2312" w:cs="宋体"/>
          <w:color w:val="000000"/>
          <w:kern w:val="0"/>
          <w:sz w:val="28"/>
          <w:szCs w:val="28"/>
          <w:u w:val="none" w:color="auto"/>
          <w:shd w:val="clear" w:fill="auto"/>
          <w:lang w:val="zh-CN"/>
        </w:rPr>
        <w:t>规范请假休假制度严格考勤的通知》《巡察办公务接待及财务报账制度》等制度。</w:t>
      </w:r>
    </w:p>
    <w:p>
      <w:pPr>
        <w:adjustRightInd w:val="0"/>
        <w:snapToGrid w:val="0"/>
        <w:spacing w:line="560" w:lineRule="exact"/>
        <w:ind w:firstLine="840" w:firstLineChars="300"/>
        <w:rPr>
          <w:rFonts w:ascii="仿宋_GB2312" w:hAnsi="宋体" w:eastAsia="仿宋_GB2312" w:cs="宋体"/>
          <w:color w:val="000000"/>
          <w:kern w:val="0"/>
          <w:sz w:val="28"/>
          <w:szCs w:val="28"/>
          <w:u w:val="none" w:color="auto"/>
          <w:shd w:val="clear" w:fill="auto"/>
          <w:lang w:val="zh-CN"/>
        </w:rPr>
      </w:pPr>
      <w:r>
        <w:rPr>
          <w:rFonts w:hint="eastAsia" w:ascii="仿宋_GB2312" w:hAnsi="宋体" w:eastAsia="仿宋_GB2312" w:cs="宋体"/>
          <w:color w:val="000000"/>
          <w:kern w:val="0"/>
          <w:sz w:val="28"/>
          <w:szCs w:val="28"/>
          <w:u w:val="none" w:color="auto"/>
          <w:shd w:val="clear" w:fill="auto"/>
          <w:lang w:val="zh-CN"/>
        </w:rPr>
        <w:t>4．资金分配的原则及考虑因素。结合本单位实际，量入为出，根据各项费用产生的频率及数额大小在各项经济科目中进行分配。</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（二）项目绩效目标。</w:t>
      </w:r>
    </w:p>
    <w:p>
      <w:pPr>
        <w:adjustRightInd w:val="0"/>
        <w:snapToGrid w:val="0"/>
        <w:spacing w:line="560" w:lineRule="exact"/>
        <w:ind w:firstLine="840" w:firstLineChars="300"/>
        <w:rPr>
          <w:rFonts w:ascii="仿宋_GB2312" w:hAnsi="宋体" w:eastAsia="仿宋_GB2312" w:cs="宋体"/>
          <w:color w:val="000000"/>
          <w:kern w:val="0"/>
          <w:sz w:val="28"/>
          <w:szCs w:val="28"/>
          <w:u w:val="none" w:color="auto"/>
          <w:shd w:val="clear" w:fill="auto"/>
          <w:lang w:val="zh-CN"/>
        </w:rPr>
      </w:pPr>
      <w:r>
        <w:rPr>
          <w:rFonts w:hint="eastAsia" w:ascii="仿宋_GB2312" w:hAnsi="宋体" w:eastAsia="仿宋_GB2312" w:cs="宋体"/>
          <w:color w:val="000000"/>
          <w:kern w:val="0"/>
          <w:sz w:val="28"/>
          <w:szCs w:val="28"/>
          <w:u w:val="none" w:color="auto"/>
          <w:shd w:val="clear" w:fill="auto"/>
          <w:lang w:val="zh-CN"/>
        </w:rPr>
        <w:t>1．项目主要内容。为深入落实全面从严治党要求，加强党内</w:t>
      </w:r>
      <w:r>
        <w:rPr>
          <w:rFonts w:hint="eastAsia" w:ascii="仿宋_GB2312" w:hAnsi="宋体" w:eastAsia="仿宋_GB2312" w:cs="宋体"/>
          <w:color w:val="000000"/>
          <w:kern w:val="0"/>
          <w:sz w:val="28"/>
          <w:szCs w:val="28"/>
          <w:u w:val="none" w:color="auto"/>
          <w:shd w:val="clear" w:fill="auto"/>
          <w:lang w:val="zh-CN"/>
        </w:rPr>
        <w:t>监督</w:t>
      </w:r>
      <w:r>
        <w:rPr>
          <w:rFonts w:hint="eastAsia" w:ascii="仿宋_GB2312" w:hAnsi="宋体" w:eastAsia="仿宋_GB2312" w:cs="宋体"/>
          <w:color w:val="000000"/>
          <w:kern w:val="0"/>
          <w:sz w:val="28"/>
          <w:szCs w:val="28"/>
          <w:u w:val="none" w:color="auto"/>
          <w:shd w:val="clear" w:fill="auto"/>
          <w:lang w:val="en-US" w:eastAsia="zh-CN"/>
        </w:rPr>
        <w:t>并</w:t>
      </w:r>
      <w:r>
        <w:rPr>
          <w:rFonts w:hint="eastAsia" w:ascii="仿宋_GB2312" w:hAnsi="宋体" w:eastAsia="仿宋_GB2312" w:cs="宋体"/>
          <w:color w:val="000000"/>
          <w:kern w:val="0"/>
          <w:sz w:val="28"/>
          <w:szCs w:val="28"/>
          <w:u w:val="none" w:color="auto"/>
          <w:shd w:val="clear" w:fill="auto"/>
          <w:lang w:val="zh-CN"/>
        </w:rPr>
        <w:t>承担巡察工作主体责任，对各级党组织进行巡察监督，实现巡察全覆盖。</w:t>
      </w:r>
    </w:p>
    <w:p>
      <w:pPr>
        <w:adjustRightInd w:val="0"/>
        <w:snapToGrid w:val="0"/>
        <w:spacing w:line="560" w:lineRule="exact"/>
        <w:ind w:firstLine="840" w:firstLineChars="300"/>
        <w:jc w:val="left"/>
        <w:rPr>
          <w:rFonts w:ascii="仿宋_GB2312" w:hAnsi="宋体" w:eastAsia="仿宋_GB2312" w:cs="宋体"/>
          <w:color w:val="000000"/>
          <w:kern w:val="0"/>
          <w:sz w:val="28"/>
          <w:szCs w:val="28"/>
          <w:u w:val="none" w:color="auto"/>
          <w:shd w:val="clear" w:fill="auto"/>
          <w:lang w:val="zh-CN"/>
        </w:rPr>
      </w:pPr>
      <w:r>
        <w:rPr>
          <w:rFonts w:hint="eastAsia" w:ascii="仿宋_GB2312" w:hAnsi="宋体" w:eastAsia="仿宋_GB2312" w:cs="宋体"/>
          <w:color w:val="000000"/>
          <w:kern w:val="0"/>
          <w:sz w:val="28"/>
          <w:szCs w:val="28"/>
          <w:u w:val="none" w:color="auto"/>
          <w:shd w:val="clear" w:fill="auto"/>
          <w:lang w:val="zh-CN"/>
        </w:rPr>
        <w:t>2．项目应实现的具体绩效目标，包括目标的量化细化情况以及项目实施进度计划等。根据县委工作安排开展巡察，2021年完成第八轮15个党组织常规巡察工作；</w:t>
      </w:r>
      <w:r>
        <w:rPr>
          <w:rFonts w:hint="eastAsia" w:ascii="仿宋_GB2312" w:hAnsi="宋体" w:eastAsia="仿宋_GB2312" w:cs="宋体"/>
          <w:color w:val="000000"/>
          <w:kern w:val="0"/>
          <w:sz w:val="28"/>
          <w:szCs w:val="28"/>
          <w:u w:val="none" w:color="auto"/>
          <w:shd w:val="clear" w:fill="auto"/>
          <w:lang w:val="zh-CN"/>
        </w:rPr>
        <w:t>完成</w:t>
      </w:r>
      <w:r>
        <w:rPr>
          <w:rFonts w:hint="eastAsia" w:ascii="仿宋_GB2312" w:hAnsi="宋体" w:eastAsia="仿宋_GB2312" w:cs="宋体"/>
          <w:color w:val="000000"/>
          <w:kern w:val="0"/>
          <w:sz w:val="28"/>
          <w:szCs w:val="28"/>
          <w:u w:val="none" w:color="auto"/>
          <w:shd w:val="clear" w:fill="auto"/>
          <w:lang w:val="en-US" w:eastAsia="zh-CN"/>
        </w:rPr>
        <w:t>对</w:t>
      </w:r>
      <w:r>
        <w:rPr>
          <w:rFonts w:hint="eastAsia" w:ascii="仿宋_GB2312" w:hAnsi="宋体" w:eastAsia="仿宋_GB2312" w:cs="宋体"/>
          <w:color w:val="000000"/>
          <w:kern w:val="0"/>
          <w:sz w:val="28"/>
          <w:szCs w:val="28"/>
          <w:u w:val="none" w:color="auto"/>
          <w:shd w:val="clear" w:fill="auto"/>
          <w:lang w:val="zh-CN"/>
        </w:rPr>
        <w:t>12个党组织的巡察“回头看”工作；圆满完成届内巡察任务；开展巡察培训。</w:t>
      </w:r>
    </w:p>
    <w:p>
      <w:pPr>
        <w:adjustRightInd w:val="0"/>
        <w:snapToGrid w:val="0"/>
        <w:spacing w:line="560" w:lineRule="exact"/>
        <w:ind w:firstLine="560" w:firstLineChars="200"/>
        <w:rPr>
          <w:rFonts w:ascii="仿宋_GB2312" w:hAnsi="宋体" w:eastAsia="仿宋_GB2312" w:cs="宋体"/>
          <w:color w:val="000000"/>
          <w:kern w:val="0"/>
          <w:sz w:val="28"/>
          <w:szCs w:val="28"/>
          <w:u w:val="none" w:color="auto"/>
          <w:shd w:val="clear" w:fill="auto"/>
          <w:lang w:val="zh-CN"/>
        </w:rPr>
      </w:pPr>
      <w:r>
        <w:rPr>
          <w:rFonts w:hint="eastAsia" w:ascii="仿宋_GB2312" w:hAnsi="宋体" w:eastAsia="仿宋_GB2312" w:cs="宋体"/>
          <w:color w:val="000000"/>
          <w:kern w:val="0"/>
          <w:sz w:val="28"/>
          <w:szCs w:val="28"/>
          <w:u w:val="none" w:color="auto"/>
          <w:shd w:val="clear" w:fill="auto"/>
          <w:lang w:val="zh-CN"/>
        </w:rPr>
        <w:t>3．分析评价申报内容是否与实际相符，申报目标是否合理可行。各项支出均用于保障巡察工作顺利开展，巡察过程中，我单位严格遵守各项规章制度，控制“三公”经费支出；巡察专项经费做到专款专用，按项目实施计划的进度情况进行资金分配。形成了先有预算、后有执行、“用钱必问效、无效必问责”的新常态。</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（三）项目自评步骤及方法。</w:t>
      </w:r>
    </w:p>
    <w:p>
      <w:pPr>
        <w:adjustRightInd w:val="0"/>
        <w:snapToGrid w:val="0"/>
        <w:spacing w:line="560" w:lineRule="exact"/>
        <w:ind w:firstLine="560" w:firstLineChars="200"/>
        <w:rPr>
          <w:rFonts w:ascii="仿宋_GB2312" w:hAnsi="宋体" w:eastAsia="仿宋_GB2312" w:cs="宋体"/>
          <w:color w:val="000000"/>
          <w:kern w:val="0"/>
          <w:sz w:val="28"/>
          <w:szCs w:val="28"/>
          <w:u w:val="none" w:color="auto"/>
          <w:shd w:val="clear" w:fill="auto"/>
          <w:lang w:val="zh-CN"/>
        </w:rPr>
      </w:pPr>
      <w:r>
        <w:rPr>
          <w:rFonts w:hint="eastAsia" w:ascii="仿宋_GB2312" w:hAnsi="宋体" w:eastAsia="仿宋_GB2312" w:cs="宋体"/>
          <w:color w:val="000000"/>
          <w:kern w:val="0"/>
          <w:sz w:val="28"/>
          <w:szCs w:val="28"/>
          <w:u w:val="none" w:color="auto"/>
          <w:shd w:val="clear" w:fill="auto"/>
          <w:lang w:val="zh-CN"/>
        </w:rPr>
        <w:t>我办成立了项目绩效评价工作组，负责绩效自评工作，按照项目批复文件、项目设计概算等，开展自评检查工作，对项目整体实施情况和质量进行评定，核实资金拨付情况等。</w:t>
      </w:r>
    </w:p>
    <w:p>
      <w:pPr>
        <w:adjustRightInd w:val="0"/>
        <w:snapToGrid w:val="0"/>
        <w:spacing w:line="600" w:lineRule="exact"/>
        <w:ind w:firstLine="720"/>
        <w:rPr>
          <w:rFonts w:ascii="黑体" w:hAnsi="宋体" w:eastAsia="黑体"/>
          <w:sz w:val="32"/>
          <w:szCs w:val="32"/>
          <w:u w:val="none" w:color="auto"/>
          <w:shd w:val="clear" w:fill="auto"/>
        </w:rPr>
      </w:pPr>
      <w:r>
        <w:rPr>
          <w:rFonts w:hint="eastAsia" w:ascii="黑体" w:hAnsi="宋体" w:eastAsia="黑体"/>
          <w:sz w:val="32"/>
          <w:szCs w:val="32"/>
          <w:u w:val="none" w:color="auto"/>
          <w:shd w:val="clear" w:fill="auto"/>
        </w:rPr>
        <w:t>二、项目资金申报及使用情况</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（一）项目资金申报及批复情况。</w:t>
      </w:r>
    </w:p>
    <w:p>
      <w:pPr>
        <w:adjustRightInd w:val="0"/>
        <w:snapToGrid w:val="0"/>
        <w:spacing w:line="600" w:lineRule="exact"/>
        <w:ind w:firstLine="720"/>
        <w:rPr>
          <w:rFonts w:ascii="仿宋_GB2312" w:hAnsi="宋体" w:eastAsia="仿宋_GB2312"/>
          <w:sz w:val="28"/>
          <w:szCs w:val="28"/>
          <w:u w:val="none" w:color="auto"/>
          <w:shd w:val="clear" w:fill="auto"/>
          <w:lang w:val="zh-CN"/>
        </w:rPr>
      </w:pPr>
      <w:r>
        <w:rPr>
          <w:rFonts w:hint="eastAsia" w:ascii="仿宋_GB2312" w:hAnsi="宋体" w:eastAsia="仿宋_GB2312" w:cs="宋体"/>
          <w:color w:val="000000"/>
          <w:kern w:val="0"/>
          <w:sz w:val="28"/>
          <w:szCs w:val="28"/>
          <w:u w:val="none" w:color="auto"/>
          <w:shd w:val="clear" w:fill="auto"/>
          <w:lang w:val="zh-CN"/>
        </w:rPr>
        <w:t>根据《通江县财政局关于</w:t>
      </w:r>
      <w:r>
        <w:rPr>
          <w:rFonts w:ascii="仿宋_GB2312" w:hAnsi="宋体" w:eastAsia="仿宋_GB2312" w:cs="宋体"/>
          <w:color w:val="000000"/>
          <w:kern w:val="0"/>
          <w:sz w:val="28"/>
          <w:szCs w:val="28"/>
          <w:u w:val="none" w:color="auto"/>
          <w:shd w:val="clear" w:fill="auto"/>
          <w:lang w:val="zh-CN"/>
        </w:rPr>
        <w:t>20</w:t>
      </w:r>
      <w:r>
        <w:rPr>
          <w:rFonts w:hint="eastAsia" w:ascii="仿宋_GB2312" w:hAnsi="宋体" w:eastAsia="仿宋_GB2312" w:cs="宋体"/>
          <w:color w:val="000000"/>
          <w:kern w:val="0"/>
          <w:sz w:val="28"/>
          <w:szCs w:val="28"/>
          <w:u w:val="none" w:color="auto"/>
          <w:shd w:val="clear" w:fill="auto"/>
        </w:rPr>
        <w:t>21</w:t>
      </w:r>
      <w:r>
        <w:rPr>
          <w:rFonts w:ascii="仿宋_GB2312" w:hAnsi="宋体" w:eastAsia="仿宋_GB2312" w:cs="宋体"/>
          <w:color w:val="000000"/>
          <w:kern w:val="0"/>
          <w:sz w:val="28"/>
          <w:szCs w:val="28"/>
          <w:u w:val="none" w:color="auto"/>
          <w:shd w:val="clear" w:fill="auto"/>
          <w:lang w:val="zh-CN"/>
        </w:rPr>
        <w:t>年部门预算批复有关事项的通知》</w:t>
      </w:r>
      <w:r>
        <w:rPr>
          <w:rFonts w:hint="eastAsia" w:ascii="仿宋_GB2312" w:hAnsi="宋体" w:eastAsia="仿宋_GB2312" w:cs="宋体"/>
          <w:color w:val="000000"/>
          <w:kern w:val="0"/>
          <w:sz w:val="28"/>
          <w:szCs w:val="28"/>
          <w:u w:val="none" w:color="auto"/>
          <w:shd w:val="clear" w:fill="auto"/>
          <w:lang w:val="zh-CN"/>
        </w:rPr>
        <w:t>，</w:t>
      </w:r>
      <w:r>
        <w:rPr>
          <w:rFonts w:ascii="仿宋_GB2312" w:hAnsi="宋体" w:eastAsia="仿宋_GB2312" w:cs="宋体"/>
          <w:color w:val="000000"/>
          <w:kern w:val="0"/>
          <w:sz w:val="28"/>
          <w:szCs w:val="28"/>
          <w:u w:val="none" w:color="auto"/>
          <w:shd w:val="clear" w:fill="auto"/>
          <w:lang w:val="zh-CN"/>
        </w:rPr>
        <w:t>下达我单位</w:t>
      </w:r>
      <w:r>
        <w:rPr>
          <w:rFonts w:hint="eastAsia" w:ascii="仿宋_GB2312" w:hAnsi="宋体" w:eastAsia="仿宋_GB2312" w:cs="宋体"/>
          <w:color w:val="000000"/>
          <w:kern w:val="0"/>
          <w:sz w:val="28"/>
          <w:szCs w:val="28"/>
          <w:u w:val="none" w:color="auto"/>
          <w:shd w:val="clear" w:fill="auto"/>
          <w:lang w:val="zh-CN"/>
        </w:rPr>
        <w:t>巡察工作经费</w:t>
      </w:r>
      <w:r>
        <w:rPr>
          <w:rFonts w:hint="eastAsia" w:ascii="仿宋_GB2312" w:hAnsi="宋体" w:eastAsia="仿宋_GB2312" w:cs="宋体"/>
          <w:color w:val="000000"/>
          <w:kern w:val="0"/>
          <w:sz w:val="28"/>
          <w:szCs w:val="28"/>
          <w:u w:val="none" w:color="auto"/>
          <w:shd w:val="clear" w:fill="auto"/>
        </w:rPr>
        <w:t>7</w:t>
      </w:r>
      <w:r>
        <w:rPr>
          <w:rFonts w:ascii="仿宋_GB2312" w:hAnsi="宋体" w:eastAsia="仿宋_GB2312" w:cs="宋体"/>
          <w:color w:val="000000"/>
          <w:kern w:val="0"/>
          <w:sz w:val="28"/>
          <w:szCs w:val="28"/>
          <w:u w:val="none" w:color="auto"/>
          <w:shd w:val="clear" w:fill="auto"/>
          <w:lang w:val="zh-CN"/>
        </w:rPr>
        <w:t>0万元</w:t>
      </w:r>
      <w:r>
        <w:rPr>
          <w:rFonts w:hint="eastAsia" w:ascii="仿宋_GB2312" w:hAnsi="宋体" w:eastAsia="仿宋_GB2312"/>
          <w:sz w:val="28"/>
          <w:szCs w:val="28"/>
          <w:u w:val="none" w:color="auto"/>
          <w:shd w:val="clear" w:fill="auto"/>
          <w:lang w:val="zh-CN"/>
        </w:rPr>
        <w:t>。</w:t>
      </w:r>
    </w:p>
    <w:p>
      <w:pPr>
        <w:adjustRightInd w:val="0"/>
        <w:snapToGrid w:val="0"/>
        <w:spacing w:line="600" w:lineRule="exact"/>
        <w:ind w:firstLine="420" w:firstLineChars="200"/>
        <w:jc w:val="left"/>
        <w:rPr>
          <w:rFonts w:ascii="楷体_GB2312" w:hAnsi="宋体" w:eastAsia="楷体_GB2312"/>
          <w:b/>
          <w:sz w:val="32"/>
          <w:szCs w:val="32"/>
          <w:u w:val="none" w:color="auto"/>
          <w:shd w:val="clear" w:fill="auto"/>
          <w:lang w:val="zh-CN"/>
        </w:rPr>
      </w:pPr>
      <w:r>
        <w:rPr>
          <w:u w:val="none" w:color="auto"/>
          <w:shd w:val="clear" w:fill="auto"/>
        </w:rPr>
        <w:t>（</w:t>
      </w:r>
      <w:r>
        <w:rPr>
          <w:rFonts w:hint="eastAsia" w:ascii="楷体_GB2312" w:hAnsi="宋体" w:eastAsia="楷体_GB2312"/>
          <w:b/>
          <w:sz w:val="32"/>
          <w:szCs w:val="32"/>
          <w:u w:val="none" w:color="auto"/>
          <w:shd w:val="clear" w:fill="auto"/>
        </w:rPr>
        <w:t>二）</w:t>
      </w:r>
      <w:r>
        <w:rPr>
          <w:rFonts w:hint="eastAsia" w:ascii="楷体_GB2312" w:hAnsi="宋体" w:eastAsia="楷体_GB2312"/>
          <w:b/>
          <w:sz w:val="32"/>
          <w:szCs w:val="32"/>
          <w:u w:val="none" w:color="auto"/>
          <w:shd w:val="clear" w:fill="auto"/>
          <w:lang w:val="zh-CN"/>
        </w:rPr>
        <w:t>资金计划、到位及使用情况</w:t>
      </w:r>
    </w:p>
    <w:p>
      <w:pPr>
        <w:adjustRightInd w:val="0"/>
        <w:snapToGrid w:val="0"/>
        <w:spacing w:line="600" w:lineRule="exact"/>
        <w:ind w:firstLine="720"/>
        <w:rPr>
          <w:rFonts w:ascii="仿宋_GB2312" w:hAnsi="宋体" w:eastAsia="仿宋_GB2312" w:cs="宋体"/>
          <w:color w:val="000000"/>
          <w:kern w:val="0"/>
          <w:sz w:val="28"/>
          <w:szCs w:val="28"/>
          <w:u w:val="none" w:color="auto"/>
          <w:shd w:val="clear" w:fill="auto"/>
          <w:lang w:val="zh-CN"/>
        </w:rPr>
      </w:pPr>
      <w:r>
        <w:rPr>
          <w:rFonts w:hint="eastAsia" w:ascii="仿宋_GB2312" w:hAnsi="宋体" w:eastAsia="仿宋_GB2312" w:cs="宋体"/>
          <w:color w:val="000000"/>
          <w:kern w:val="0"/>
          <w:sz w:val="28"/>
          <w:szCs w:val="28"/>
          <w:u w:val="none" w:color="auto"/>
          <w:shd w:val="clear" w:fill="auto"/>
          <w:lang w:val="zh-CN"/>
        </w:rPr>
        <w:t>1．资金计划。本单位2021年巡察工作经费年初</w:t>
      </w:r>
      <w:r>
        <w:rPr>
          <w:rFonts w:hint="eastAsia" w:ascii="仿宋_GB2312" w:hAnsi="宋体" w:eastAsia="仿宋_GB2312" w:cs="宋体"/>
          <w:color w:val="000000"/>
          <w:kern w:val="0"/>
          <w:sz w:val="28"/>
          <w:szCs w:val="28"/>
          <w:u w:val="none" w:color="auto"/>
          <w:shd w:val="clear" w:fill="auto"/>
          <w:lang w:val="zh-CN"/>
        </w:rPr>
        <w:t>预算</w:t>
      </w:r>
      <w:r>
        <w:rPr>
          <w:rFonts w:hint="eastAsia" w:ascii="仿宋_GB2312" w:hAnsi="宋体" w:eastAsia="仿宋_GB2312" w:cs="宋体"/>
          <w:color w:val="000000"/>
          <w:kern w:val="0"/>
          <w:sz w:val="28"/>
          <w:szCs w:val="28"/>
          <w:u w:val="none" w:color="auto"/>
          <w:shd w:val="clear" w:fill="auto"/>
          <w:lang w:val="en-US" w:eastAsia="zh-CN"/>
        </w:rPr>
        <w:t>资金</w:t>
      </w:r>
      <w:r>
        <w:rPr>
          <w:rFonts w:hint="eastAsia" w:ascii="仿宋_GB2312" w:hAnsi="宋体" w:eastAsia="仿宋_GB2312" w:cs="宋体"/>
          <w:color w:val="000000"/>
          <w:kern w:val="0"/>
          <w:sz w:val="28"/>
          <w:szCs w:val="28"/>
          <w:u w:val="none" w:color="auto"/>
          <w:shd w:val="clear" w:fill="auto"/>
          <w:lang w:val="zh-CN"/>
        </w:rPr>
        <w:t>70万元，实际到位资金95万元，全部为财政拨款。</w:t>
      </w:r>
    </w:p>
    <w:p>
      <w:pPr>
        <w:adjustRightInd w:val="0"/>
        <w:snapToGrid w:val="0"/>
        <w:spacing w:line="600" w:lineRule="exact"/>
        <w:ind w:firstLine="720"/>
        <w:rPr>
          <w:rFonts w:ascii="仿宋_GB2312" w:hAnsi="宋体" w:eastAsia="仿宋_GB2312" w:cs="宋体"/>
          <w:color w:val="000000"/>
          <w:kern w:val="0"/>
          <w:sz w:val="28"/>
          <w:szCs w:val="28"/>
          <w:u w:val="none" w:color="auto"/>
          <w:shd w:val="clear" w:fill="auto"/>
          <w:lang w:val="zh-CN"/>
        </w:rPr>
      </w:pPr>
      <w:r>
        <w:rPr>
          <w:rFonts w:hint="eastAsia" w:ascii="仿宋_GB2312" w:hAnsi="宋体" w:eastAsia="仿宋_GB2312" w:cs="宋体"/>
          <w:color w:val="000000"/>
          <w:kern w:val="0"/>
          <w:sz w:val="28"/>
          <w:szCs w:val="28"/>
          <w:u w:val="none" w:color="auto"/>
          <w:shd w:val="clear" w:fill="auto"/>
          <w:lang w:val="zh-CN"/>
        </w:rPr>
        <w:t>2．资金到位。根据县财政局2021年部门预算单位经费安排，县委巡察办2021年巡察专项经费共计70万元，实际拨付95万元，该专项资金均用于开展县委巡察工作。</w:t>
      </w:r>
    </w:p>
    <w:p>
      <w:pPr>
        <w:adjustRightInd w:val="0"/>
        <w:snapToGrid w:val="0"/>
        <w:spacing w:line="600" w:lineRule="exact"/>
        <w:ind w:firstLine="720"/>
        <w:rPr>
          <w:rFonts w:ascii="仿宋_GB2312" w:hAnsi="宋体" w:eastAsia="仿宋_GB2312" w:cs="宋体"/>
          <w:color w:val="000000"/>
          <w:kern w:val="0"/>
          <w:sz w:val="28"/>
          <w:szCs w:val="28"/>
          <w:u w:val="none" w:color="auto"/>
          <w:shd w:val="clear" w:fill="auto"/>
          <w:lang w:val="zh-CN"/>
        </w:rPr>
      </w:pPr>
      <w:r>
        <w:rPr>
          <w:rFonts w:hint="eastAsia" w:ascii="仿宋_GB2312" w:hAnsi="宋体" w:eastAsia="仿宋_GB2312" w:cs="宋体"/>
          <w:color w:val="000000"/>
          <w:kern w:val="0"/>
          <w:sz w:val="28"/>
          <w:szCs w:val="28"/>
          <w:u w:val="none" w:color="auto"/>
          <w:shd w:val="clear" w:fill="auto"/>
          <w:lang w:val="zh-CN"/>
        </w:rPr>
        <w:t>3．资金使用。巡察工作专项经费拟拨</w:t>
      </w:r>
      <w:r>
        <w:rPr>
          <w:rFonts w:hint="eastAsia" w:ascii="仿宋_GB2312" w:hAnsi="宋体" w:eastAsia="仿宋_GB2312" w:cs="宋体"/>
          <w:color w:val="000000"/>
          <w:kern w:val="0"/>
          <w:sz w:val="28"/>
          <w:szCs w:val="28"/>
          <w:u w:val="none" w:color="auto"/>
          <w:shd w:val="clear" w:fill="auto"/>
        </w:rPr>
        <w:t>70</w:t>
      </w:r>
      <w:r>
        <w:rPr>
          <w:rFonts w:ascii="仿宋_GB2312" w:hAnsi="宋体" w:eastAsia="仿宋_GB2312" w:cs="宋体"/>
          <w:color w:val="000000"/>
          <w:kern w:val="0"/>
          <w:sz w:val="28"/>
          <w:szCs w:val="28"/>
          <w:u w:val="none" w:color="auto"/>
          <w:shd w:val="clear" w:fill="auto"/>
          <w:lang w:val="zh-CN"/>
        </w:rPr>
        <w:t>万元，</w:t>
      </w:r>
      <w:r>
        <w:rPr>
          <w:rFonts w:hint="eastAsia" w:ascii="仿宋_GB2312" w:hAnsi="宋体" w:eastAsia="仿宋_GB2312" w:cs="宋体"/>
          <w:color w:val="000000"/>
          <w:kern w:val="0"/>
          <w:sz w:val="28"/>
          <w:szCs w:val="28"/>
          <w:u w:val="none" w:color="auto"/>
          <w:shd w:val="clear" w:fill="auto"/>
          <w:lang w:val="zh-CN"/>
        </w:rPr>
        <w:t>申请追加预算</w:t>
      </w:r>
      <w:r>
        <w:rPr>
          <w:rFonts w:hint="eastAsia" w:ascii="仿宋_GB2312" w:hAnsi="宋体" w:eastAsia="仿宋_GB2312" w:cs="宋体"/>
          <w:color w:val="000000"/>
          <w:kern w:val="0"/>
          <w:sz w:val="28"/>
          <w:szCs w:val="28"/>
          <w:u w:val="none" w:color="auto"/>
          <w:shd w:val="clear" w:fill="auto"/>
        </w:rPr>
        <w:t>25万元，</w:t>
      </w:r>
      <w:r>
        <w:rPr>
          <w:rFonts w:hint="eastAsia" w:ascii="仿宋_GB2312" w:hAnsi="宋体" w:eastAsia="仿宋_GB2312" w:cs="宋体"/>
          <w:color w:val="000000"/>
          <w:kern w:val="0"/>
          <w:sz w:val="28"/>
          <w:szCs w:val="28"/>
          <w:u w:val="none" w:color="auto"/>
          <w:shd w:val="clear" w:fill="auto"/>
          <w:lang w:val="zh-CN"/>
        </w:rPr>
        <w:t>实际拨付</w:t>
      </w:r>
      <w:r>
        <w:rPr>
          <w:rFonts w:hint="eastAsia" w:ascii="仿宋_GB2312" w:hAnsi="宋体" w:eastAsia="仿宋_GB2312" w:cs="宋体"/>
          <w:color w:val="000000"/>
          <w:kern w:val="0"/>
          <w:sz w:val="28"/>
          <w:szCs w:val="28"/>
          <w:u w:val="none" w:color="auto"/>
          <w:shd w:val="clear" w:fill="auto"/>
        </w:rPr>
        <w:t>95万元，</w:t>
      </w:r>
      <w:r>
        <w:rPr>
          <w:rFonts w:ascii="仿宋_GB2312" w:hAnsi="宋体" w:eastAsia="仿宋_GB2312" w:cs="宋体"/>
          <w:color w:val="000000"/>
          <w:kern w:val="0"/>
          <w:sz w:val="28"/>
          <w:szCs w:val="28"/>
          <w:u w:val="none" w:color="auto"/>
          <w:shd w:val="clear" w:fill="auto"/>
          <w:lang w:val="zh-CN"/>
        </w:rPr>
        <w:t>已全额使用，</w:t>
      </w:r>
      <w:r>
        <w:rPr>
          <w:rFonts w:hint="eastAsia" w:ascii="仿宋_GB2312" w:hAnsi="宋体" w:eastAsia="仿宋_GB2312" w:cs="宋体"/>
          <w:color w:val="000000"/>
          <w:kern w:val="0"/>
          <w:sz w:val="28"/>
          <w:szCs w:val="28"/>
          <w:u w:val="none" w:color="auto"/>
          <w:shd w:val="clear" w:fill="auto"/>
          <w:lang w:val="zh-CN"/>
        </w:rPr>
        <w:t>主要用于巡察工作期间的差旅费、办公费、交通费、印刷费、通讯费、办公设备购置费等必要开支，支付依据合规合法，资金支付与预算相符。</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（三）项目财务管理情况。</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cs="宋体"/>
          <w:color w:val="000000"/>
          <w:kern w:val="0"/>
          <w:sz w:val="28"/>
          <w:szCs w:val="28"/>
          <w:u w:val="none" w:color="auto"/>
          <w:shd w:val="clear" w:fill="auto"/>
          <w:lang w:val="zh-CN"/>
        </w:rPr>
        <w:t>在巡察专项资金使用管理上，我办一直按照国家财经法规和内部财务管理制度的规定开支。资金结付有完整的审批程序和手续，按照财经制度的有关要求，做到专款专用；单位分管领导对资金的使用进行全程监督，保证资金使用的合规性。资金使用无截留、挤占、挪用、虚列支出等情况。</w:t>
      </w:r>
    </w:p>
    <w:p>
      <w:pPr>
        <w:adjustRightInd w:val="0"/>
        <w:snapToGrid w:val="0"/>
        <w:spacing w:line="600" w:lineRule="exact"/>
        <w:ind w:firstLine="720"/>
        <w:rPr>
          <w:rFonts w:ascii="黑体" w:hAnsi="宋体" w:eastAsia="黑体"/>
          <w:sz w:val="32"/>
          <w:szCs w:val="32"/>
          <w:u w:val="none" w:color="auto"/>
          <w:shd w:val="clear" w:fill="auto"/>
        </w:rPr>
      </w:pPr>
      <w:r>
        <w:rPr>
          <w:rFonts w:hint="eastAsia" w:ascii="黑体" w:hAnsi="宋体" w:eastAsia="黑体"/>
          <w:sz w:val="32"/>
          <w:szCs w:val="32"/>
          <w:u w:val="none" w:color="auto"/>
          <w:shd w:val="clear" w:fill="auto"/>
        </w:rPr>
        <w:t>三、项目实施及管理情况</w:t>
      </w:r>
    </w:p>
    <w:p>
      <w:pPr>
        <w:adjustRightInd w:val="0"/>
        <w:snapToGrid w:val="0"/>
        <w:spacing w:line="600" w:lineRule="exact"/>
        <w:ind w:firstLine="720"/>
        <w:rPr>
          <w:rFonts w:ascii="仿宋_GB2312" w:hAnsi="宋体" w:eastAsia="仿宋_GB2312" w:cs="宋体"/>
          <w:color w:val="000000"/>
          <w:kern w:val="0"/>
          <w:sz w:val="28"/>
          <w:szCs w:val="28"/>
          <w:u w:val="none" w:color="auto"/>
          <w:shd w:val="clear" w:fill="auto"/>
          <w:lang w:val="zh-CN"/>
        </w:rPr>
      </w:pPr>
      <w:r>
        <w:rPr>
          <w:rFonts w:hint="eastAsia" w:ascii="仿宋_GB2312" w:hAnsi="宋体" w:eastAsia="仿宋_GB2312" w:cs="宋体"/>
          <w:color w:val="000000"/>
          <w:kern w:val="0"/>
          <w:sz w:val="28"/>
          <w:szCs w:val="28"/>
          <w:u w:val="none" w:color="auto"/>
          <w:shd w:val="clear" w:fill="auto"/>
          <w:lang w:val="zh-CN"/>
        </w:rPr>
        <w:t>结合项目组织实施管理办法，重点围绕以下内容进行分析评价，并对自评中发现的问题进行分析说明。</w:t>
      </w:r>
    </w:p>
    <w:p>
      <w:pPr>
        <w:pStyle w:val="21"/>
        <w:spacing w:line="560" w:lineRule="exact"/>
        <w:ind w:firstLine="643" w:firstLineChars="200"/>
        <w:rPr>
          <w:rFonts w:ascii="仿宋_GB2312" w:hAnsi="宋体" w:eastAsia="仿宋_GB2312" w:cs="宋体"/>
          <w:sz w:val="28"/>
          <w:szCs w:val="28"/>
          <w:u w:val="none" w:color="auto"/>
          <w:shd w:val="clear" w:fill="auto"/>
        </w:rPr>
      </w:pPr>
      <w:r>
        <w:rPr>
          <w:rFonts w:hint="eastAsia" w:ascii="楷体_GB2312" w:hAnsi="宋体" w:eastAsia="楷体_GB2312" w:cs="Times New Roman"/>
          <w:b/>
          <w:color w:val="auto"/>
          <w:sz w:val="32"/>
          <w:szCs w:val="32"/>
          <w:u w:val="none" w:color="auto"/>
          <w:shd w:val="clear" w:fill="auto"/>
          <w:lang w:val="zh-CN"/>
        </w:rPr>
        <w:t>（一）项目组织架构及实施流程。</w:t>
      </w:r>
      <w:r>
        <w:rPr>
          <w:rFonts w:hint="eastAsia" w:ascii="仿宋_GB2312" w:hAnsi="宋体" w:eastAsia="仿宋_GB2312" w:cs="宋体"/>
          <w:sz w:val="28"/>
          <w:szCs w:val="28"/>
          <w:u w:val="none" w:color="auto"/>
          <w:shd w:val="clear" w:fill="auto"/>
        </w:rPr>
        <w:t>由本单位牵头，按照县财政</w:t>
      </w:r>
      <w:r>
        <w:rPr>
          <w:rFonts w:hint="eastAsia" w:ascii="仿宋_GB2312" w:hAnsi="宋体" w:eastAsia="仿宋_GB2312" w:cs="宋体"/>
          <w:sz w:val="28"/>
          <w:szCs w:val="28"/>
          <w:u w:val="none" w:color="auto"/>
          <w:shd w:val="clear" w:fill="auto"/>
        </w:rPr>
        <w:t>下达</w:t>
      </w:r>
      <w:r>
        <w:rPr>
          <w:rFonts w:hint="eastAsia" w:ascii="仿宋_GB2312" w:hAnsi="宋体" w:eastAsia="仿宋_GB2312" w:cs="宋体"/>
          <w:sz w:val="28"/>
          <w:szCs w:val="28"/>
          <w:u w:val="none" w:color="auto"/>
          <w:shd w:val="clear" w:fill="auto"/>
          <w:lang w:val="en-US" w:eastAsia="zh-CN"/>
        </w:rPr>
        <w:t>的</w:t>
      </w:r>
      <w:r>
        <w:rPr>
          <w:rFonts w:hint="eastAsia" w:ascii="仿宋_GB2312" w:hAnsi="宋体" w:eastAsia="仿宋_GB2312" w:cs="宋体"/>
          <w:sz w:val="28"/>
          <w:szCs w:val="28"/>
          <w:u w:val="none" w:color="auto"/>
          <w:shd w:val="clear" w:fill="auto"/>
        </w:rPr>
        <w:t>预算资金，按实际</w:t>
      </w:r>
      <w:r>
        <w:rPr>
          <w:rFonts w:hint="eastAsia" w:ascii="仿宋_GB2312" w:hAnsi="宋体" w:eastAsia="仿宋_GB2312" w:cs="宋体"/>
          <w:sz w:val="28"/>
          <w:szCs w:val="28"/>
          <w:u w:val="none" w:color="auto"/>
          <w:shd w:val="clear" w:fill="auto"/>
        </w:rPr>
        <w:t>开支</w:t>
      </w:r>
      <w:r>
        <w:rPr>
          <w:rFonts w:hint="eastAsia" w:ascii="仿宋_GB2312" w:hAnsi="宋体" w:eastAsia="仿宋_GB2312" w:cs="宋体"/>
          <w:sz w:val="28"/>
          <w:szCs w:val="28"/>
          <w:u w:val="none" w:color="auto"/>
          <w:shd w:val="clear" w:fill="auto"/>
          <w:lang w:val="en-US" w:eastAsia="zh-CN"/>
        </w:rPr>
        <w:t>的</w:t>
      </w:r>
      <w:r>
        <w:rPr>
          <w:rFonts w:hint="eastAsia" w:ascii="仿宋_GB2312" w:hAnsi="宋体" w:eastAsia="仿宋_GB2312" w:cs="宋体"/>
          <w:sz w:val="28"/>
          <w:szCs w:val="28"/>
          <w:u w:val="none" w:color="auto"/>
          <w:shd w:val="clear" w:fill="auto"/>
        </w:rPr>
        <w:t>各项费用兑付资金。</w:t>
      </w:r>
    </w:p>
    <w:p>
      <w:pPr>
        <w:adjustRightInd w:val="0"/>
        <w:snapToGrid w:val="0"/>
        <w:spacing w:line="560" w:lineRule="exact"/>
        <w:ind w:firstLine="643" w:firstLineChars="200"/>
        <w:rPr>
          <w:rFonts w:ascii="仿宋_GB2312" w:hAnsi="宋体" w:eastAsia="仿宋_GB2312"/>
          <w:sz w:val="28"/>
          <w:szCs w:val="28"/>
          <w:u w:val="none" w:color="auto"/>
          <w:shd w:val="clear" w:fill="auto"/>
          <w:lang w:val="zh-CN"/>
        </w:rPr>
      </w:pPr>
      <w:r>
        <w:rPr>
          <w:rFonts w:hint="eastAsia" w:ascii="楷体_GB2312" w:hAnsi="宋体" w:eastAsia="楷体_GB2312"/>
          <w:b/>
          <w:sz w:val="32"/>
          <w:szCs w:val="32"/>
          <w:u w:val="none" w:color="auto"/>
          <w:shd w:val="clear" w:fill="auto"/>
          <w:lang w:val="zh-CN"/>
        </w:rPr>
        <w:t>（二）项目管理情况。</w:t>
      </w:r>
      <w:r>
        <w:rPr>
          <w:rFonts w:hint="eastAsia" w:ascii="仿宋_GB2312" w:hAnsi="宋体" w:eastAsia="仿宋_GB2312" w:cs="宋体"/>
          <w:color w:val="000000"/>
          <w:kern w:val="0"/>
          <w:sz w:val="28"/>
          <w:szCs w:val="28"/>
          <w:u w:val="none" w:color="auto"/>
          <w:shd w:val="clear" w:fill="auto"/>
          <w:lang w:val="zh-CN"/>
        </w:rPr>
        <w:t>制定了切实有效的内控制度、部门内部财务管理制度、部门预决算信息公开管理办法等，并结合实际对项目资金的审批、报销程序进行了细化，执行总体较为有效，制定</w:t>
      </w:r>
      <w:r>
        <w:rPr>
          <w:rFonts w:hint="eastAsia" w:ascii="仿宋_GB2312" w:hAnsi="宋体" w:eastAsia="仿宋_GB2312"/>
          <w:sz w:val="28"/>
          <w:szCs w:val="28"/>
          <w:u w:val="none" w:color="auto"/>
          <w:shd w:val="clear" w:fill="auto"/>
          <w:lang w:val="zh-CN"/>
        </w:rPr>
        <w:t>了</w:t>
      </w:r>
      <w:r>
        <w:rPr>
          <w:rFonts w:hint="eastAsia" w:ascii="仿宋_GB2312" w:hAnsi="宋体" w:eastAsia="仿宋_GB2312" w:cs="宋体"/>
          <w:color w:val="000000"/>
          <w:kern w:val="0"/>
          <w:sz w:val="28"/>
          <w:szCs w:val="28"/>
          <w:u w:val="none" w:color="auto"/>
          <w:shd w:val="clear" w:fill="auto"/>
          <w:lang w:val="zh-CN"/>
        </w:rPr>
        <w:t>详细的资产管理办法，对项目资产申购、采购、分配、保管、处置等细则进行规定，资源配置按照“合法依规、保障需要、节约开支、从严控制、调剂优先、共享共用”的原则，严格执行政府集中采购有关规定，完善了资产申购审批程序。</w:t>
      </w:r>
      <w:r>
        <w:rPr>
          <w:rFonts w:hint="eastAsia" w:ascii="仿宋_GB2312" w:hAnsi="宋体" w:eastAsia="仿宋_GB2312"/>
          <w:sz w:val="28"/>
          <w:szCs w:val="28"/>
          <w:u w:val="none" w:color="auto"/>
          <w:shd w:val="clear" w:fill="auto"/>
          <w:lang w:val="zh-CN"/>
        </w:rPr>
        <w:t> </w:t>
      </w:r>
    </w:p>
    <w:p>
      <w:pPr>
        <w:adjustRightInd w:val="0"/>
        <w:snapToGrid w:val="0"/>
        <w:spacing w:line="560" w:lineRule="exact"/>
        <w:ind w:firstLine="643" w:firstLineChars="200"/>
        <w:rPr>
          <w:rFonts w:ascii="仿宋_GB2312" w:hAnsi="宋体" w:eastAsia="仿宋_GB2312" w:cs="宋体"/>
          <w:color w:val="000000"/>
          <w:kern w:val="0"/>
          <w:sz w:val="28"/>
          <w:szCs w:val="28"/>
          <w:u w:val="none" w:color="auto"/>
          <w:shd w:val="clear" w:fill="auto"/>
          <w:lang w:val="zh-CN"/>
        </w:rPr>
      </w:pPr>
      <w:r>
        <w:rPr>
          <w:rFonts w:hint="eastAsia" w:ascii="楷体_GB2312" w:hAnsi="宋体" w:eastAsia="楷体_GB2312"/>
          <w:b/>
          <w:sz w:val="32"/>
          <w:szCs w:val="32"/>
          <w:u w:val="none" w:color="auto"/>
          <w:shd w:val="clear" w:fill="auto"/>
          <w:lang w:val="zh-CN"/>
        </w:rPr>
        <w:t>（三）项目监管情况。</w:t>
      </w:r>
      <w:r>
        <w:rPr>
          <w:rFonts w:hint="eastAsia" w:ascii="仿宋_GB2312" w:hAnsi="宋体" w:eastAsia="仿宋_GB2312" w:cs="宋体"/>
          <w:color w:val="000000"/>
          <w:kern w:val="0"/>
          <w:sz w:val="28"/>
          <w:szCs w:val="28"/>
          <w:u w:val="none" w:color="auto"/>
          <w:shd w:val="clear" w:fill="auto"/>
          <w:lang w:val="zh-CN"/>
        </w:rPr>
        <w:t>项目资金由财务室具体管理，按投资计划，制定管理制度，对项目资金按项目单独核算实行“专款专用、专人管理”，不得挤占、挪用项目资金。强化监督，项目的正常实施监督检查是保障。指派专人对项目的实施定期或不定期地进行现场检查和监督，及时协调解决困难和问题，保证工程质量。</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黑体" w:hAnsi="宋体" w:eastAsia="黑体"/>
          <w:sz w:val="32"/>
          <w:szCs w:val="32"/>
          <w:u w:val="none" w:color="auto"/>
          <w:shd w:val="clear" w:fill="auto"/>
        </w:rPr>
        <w:t>四、项目绩效情况</w:t>
      </w:r>
      <w:r>
        <w:rPr>
          <w:rFonts w:hint="eastAsia" w:ascii="仿宋_GB2312" w:hAnsi="宋体" w:eastAsia="仿宋_GB2312"/>
          <w:sz w:val="32"/>
          <w:szCs w:val="32"/>
          <w:u w:val="none" w:color="auto"/>
          <w:shd w:val="clear" w:fill="auto"/>
          <w:lang w:val="zh-CN"/>
        </w:rPr>
        <w:tab/>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（一）项目完成情况。</w:t>
      </w:r>
    </w:p>
    <w:p>
      <w:pPr>
        <w:adjustRightInd w:val="0"/>
        <w:snapToGrid w:val="0"/>
        <w:spacing w:line="560" w:lineRule="exact"/>
        <w:ind w:firstLine="560" w:firstLineChars="200"/>
        <w:rPr>
          <w:rFonts w:ascii="仿宋_GB2312" w:hAnsi="宋体" w:eastAsia="仿宋_GB2312" w:cs="宋体"/>
          <w:color w:val="000000"/>
          <w:kern w:val="0"/>
          <w:sz w:val="28"/>
          <w:szCs w:val="28"/>
          <w:u w:val="none" w:color="auto"/>
          <w:shd w:val="clear" w:fill="auto"/>
          <w:lang w:val="zh-CN"/>
        </w:rPr>
      </w:pPr>
      <w:r>
        <w:rPr>
          <w:rFonts w:hint="eastAsia" w:ascii="仿宋_GB2312" w:hAnsi="宋体" w:eastAsia="仿宋_GB2312" w:cs="宋体"/>
          <w:color w:val="000000"/>
          <w:kern w:val="0"/>
          <w:sz w:val="28"/>
          <w:szCs w:val="28"/>
          <w:u w:val="none" w:color="auto"/>
          <w:shd w:val="clear" w:fill="auto"/>
          <w:lang w:val="zh-CN"/>
        </w:rPr>
        <w:t>巡察工作经费保障了巡察工作顺利开展，稳步推进了巡察全覆盖。按照县委统一部署，对15个党组织开展常规巡察、</w:t>
      </w:r>
      <w:r>
        <w:rPr>
          <w:rFonts w:hint="eastAsia" w:ascii="仿宋_GB2312" w:hAnsi="宋体" w:eastAsia="仿宋_GB2312" w:cs="宋体"/>
          <w:color w:val="000000"/>
          <w:kern w:val="0"/>
          <w:sz w:val="28"/>
          <w:szCs w:val="28"/>
          <w:u w:val="none" w:color="auto"/>
          <w:shd w:val="clear" w:fill="auto"/>
        </w:rPr>
        <w:t>对12个</w:t>
      </w:r>
      <w:r>
        <w:rPr>
          <w:rFonts w:hint="eastAsia" w:ascii="仿宋_GB2312" w:hAnsi="宋体" w:eastAsia="仿宋_GB2312" w:cs="宋体"/>
          <w:color w:val="000000"/>
          <w:kern w:val="0"/>
          <w:sz w:val="28"/>
          <w:szCs w:val="28"/>
          <w:u w:val="none" w:color="auto"/>
          <w:shd w:val="clear" w:fill="auto"/>
          <w:lang w:val="zh-CN"/>
        </w:rPr>
        <w:t>党组织开展“回头看”，对县粮食购销领域突出问题开展专项巡察。始终坚持把发现问题作为巡察工作的生命线，突出问题导向、目标导向、结果导向，综合运用常规巡察、巡察“回头看”和专项巡察等方式，先后完成对47个党组织的巡察，共发现4类397个问题，移交31条问题线索。</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（二）项目效益情况。</w:t>
      </w:r>
    </w:p>
    <w:p>
      <w:pPr>
        <w:adjustRightInd w:val="0"/>
        <w:snapToGrid w:val="0"/>
        <w:spacing w:line="560" w:lineRule="exact"/>
        <w:ind w:firstLine="560" w:firstLineChars="200"/>
        <w:rPr>
          <w:rFonts w:ascii="仿宋_GB2312" w:hAnsi="宋体" w:eastAsia="仿宋_GB2312"/>
          <w:sz w:val="28"/>
          <w:szCs w:val="28"/>
          <w:u w:val="none" w:color="auto"/>
          <w:shd w:val="clear" w:fill="auto"/>
          <w:lang w:val="zh-CN"/>
        </w:rPr>
      </w:pPr>
      <w:r>
        <w:rPr>
          <w:rFonts w:hint="eastAsia" w:ascii="仿宋_GB2312" w:hAnsi="宋体" w:eastAsia="仿宋_GB2312" w:cs="宋体"/>
          <w:color w:val="000000"/>
          <w:kern w:val="0"/>
          <w:sz w:val="28"/>
          <w:szCs w:val="28"/>
          <w:u w:val="none" w:color="auto"/>
          <w:shd w:val="clear" w:fill="auto"/>
          <w:lang w:val="zh-CN"/>
        </w:rPr>
        <w:t>效益指标情况分析：从综合评价得分情况看，各项目此项综合评价满分为30分，平均实际得分30分，得分率达100%。取得了良好的社会效应。满意度情况分析：从综合评价得分情况看，各项目此项综合评价满分为10分，平均实际得分10分，得分率100%。各项目服务对象对项目实施情况满意</w:t>
      </w:r>
      <w:r>
        <w:rPr>
          <w:rFonts w:hint="eastAsia" w:ascii="仿宋_GB2312" w:hAnsi="宋体" w:eastAsia="仿宋_GB2312"/>
          <w:sz w:val="28"/>
          <w:szCs w:val="28"/>
          <w:u w:val="none" w:color="auto"/>
          <w:shd w:val="clear" w:fill="auto"/>
          <w:lang w:val="zh-CN"/>
        </w:rPr>
        <w:t>度</w:t>
      </w:r>
      <w:r>
        <w:rPr>
          <w:rFonts w:hint="eastAsia" w:ascii="仿宋_GB2312" w:hAnsi="宋体" w:eastAsia="仿宋_GB2312" w:cs="宋体"/>
          <w:color w:val="000000"/>
          <w:kern w:val="0"/>
          <w:sz w:val="28"/>
          <w:szCs w:val="28"/>
          <w:u w:val="none" w:color="auto"/>
          <w:shd w:val="clear" w:fill="auto"/>
          <w:lang w:val="zh-CN"/>
        </w:rPr>
        <w:t>为</w:t>
      </w:r>
      <w:r>
        <w:rPr>
          <w:rFonts w:hint="eastAsia" w:ascii="仿宋_GB2312" w:hAnsi="宋体" w:eastAsia="仿宋_GB2312" w:cs="宋体"/>
          <w:color w:val="000000"/>
          <w:kern w:val="0"/>
          <w:sz w:val="28"/>
          <w:szCs w:val="28"/>
          <w:u w:val="none" w:color="auto"/>
          <w:shd w:val="clear" w:fill="auto"/>
        </w:rPr>
        <w:t>98</w:t>
      </w:r>
      <w:r>
        <w:rPr>
          <w:rFonts w:hint="eastAsia" w:ascii="仿宋_GB2312" w:hAnsi="宋体" w:eastAsia="仿宋_GB2312" w:cs="宋体"/>
          <w:color w:val="000000"/>
          <w:kern w:val="0"/>
          <w:sz w:val="28"/>
          <w:szCs w:val="28"/>
          <w:u w:val="none" w:color="auto"/>
          <w:shd w:val="clear" w:fill="auto"/>
          <w:lang w:val="zh-CN"/>
        </w:rPr>
        <w:t>%。</w:t>
      </w:r>
    </w:p>
    <w:p>
      <w:pPr>
        <w:adjustRightInd w:val="0"/>
        <w:snapToGrid w:val="0"/>
        <w:spacing w:line="560" w:lineRule="exact"/>
        <w:ind w:firstLine="560" w:firstLineChars="200"/>
        <w:rPr>
          <w:rFonts w:ascii="仿宋_GB2312" w:hAnsi="宋体" w:eastAsia="仿宋_GB2312" w:cs="宋体"/>
          <w:color w:val="000000"/>
          <w:kern w:val="0"/>
          <w:sz w:val="28"/>
          <w:szCs w:val="28"/>
          <w:u w:val="none" w:color="auto"/>
          <w:shd w:val="clear" w:fill="auto"/>
          <w:lang w:val="zh-CN"/>
        </w:rPr>
      </w:pPr>
      <w:r>
        <w:rPr>
          <w:rFonts w:hint="eastAsia" w:ascii="仿宋_GB2312" w:hAnsi="宋体" w:eastAsia="仿宋_GB2312" w:cs="宋体"/>
          <w:color w:val="000000"/>
          <w:kern w:val="0"/>
          <w:sz w:val="28"/>
          <w:szCs w:val="28"/>
          <w:u w:val="none" w:color="auto"/>
          <w:shd w:val="clear" w:fill="auto"/>
          <w:lang w:val="zh-CN"/>
        </w:rPr>
        <w:t>通过巡察经费项目的实施，保障了巡察工作正常开展，坚守政治巡察定位，扎实开展常规巡察，突出监督重点，强化整改落实，发现问题、形成震慑，推动党的先进性建设和纯洁性建设。 </w:t>
      </w:r>
    </w:p>
    <w:p>
      <w:pPr>
        <w:adjustRightInd w:val="0"/>
        <w:snapToGrid w:val="0"/>
        <w:spacing w:line="600" w:lineRule="exact"/>
        <w:ind w:firstLine="720"/>
        <w:rPr>
          <w:rFonts w:ascii="黑体" w:hAnsi="宋体" w:eastAsia="黑体"/>
          <w:sz w:val="32"/>
          <w:szCs w:val="32"/>
          <w:u w:val="none" w:color="auto"/>
          <w:shd w:val="clear" w:fill="auto"/>
        </w:rPr>
      </w:pPr>
      <w:r>
        <w:rPr>
          <w:rFonts w:hint="eastAsia" w:ascii="黑体" w:hAnsi="宋体" w:eastAsia="黑体"/>
          <w:sz w:val="32"/>
          <w:szCs w:val="32"/>
          <w:u w:val="none" w:color="auto"/>
          <w:shd w:val="clear" w:fill="auto"/>
        </w:rPr>
        <w:t>五、评价结论及建议</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（一）评价结论。</w:t>
      </w:r>
    </w:p>
    <w:p>
      <w:pPr>
        <w:adjustRightInd w:val="0"/>
        <w:snapToGrid w:val="0"/>
        <w:spacing w:line="560" w:lineRule="exact"/>
        <w:ind w:firstLine="560" w:firstLineChars="200"/>
        <w:rPr>
          <w:rFonts w:ascii="仿宋_GB2312" w:hAnsi="宋体" w:eastAsia="仿宋_GB2312" w:cs="宋体"/>
          <w:color w:val="000000"/>
          <w:kern w:val="0"/>
          <w:sz w:val="28"/>
          <w:szCs w:val="28"/>
          <w:u w:val="none" w:color="auto"/>
          <w:shd w:val="clear" w:fill="auto"/>
          <w:lang w:val="zh-CN"/>
        </w:rPr>
      </w:pPr>
      <w:r>
        <w:rPr>
          <w:rFonts w:hint="eastAsia" w:ascii="仿宋_GB2312" w:hAnsi="宋体" w:eastAsia="仿宋_GB2312" w:cs="宋体"/>
          <w:color w:val="000000"/>
          <w:kern w:val="0"/>
          <w:sz w:val="28"/>
          <w:szCs w:val="28"/>
          <w:u w:val="none" w:color="auto"/>
          <w:shd w:val="clear" w:fill="auto"/>
          <w:lang w:val="zh-CN"/>
        </w:rPr>
        <w:t>2021年实施的项目指标已完成，取得了</w:t>
      </w:r>
      <w:r>
        <w:rPr>
          <w:rFonts w:hint="eastAsia" w:ascii="仿宋_GB2312" w:hAnsi="宋体" w:eastAsia="仿宋_GB2312" w:cs="宋体"/>
          <w:color w:val="000000"/>
          <w:kern w:val="0"/>
          <w:sz w:val="28"/>
          <w:szCs w:val="28"/>
          <w:u w:val="none" w:color="auto"/>
          <w:shd w:val="clear" w:fill="auto"/>
          <w:lang w:val="zh-CN"/>
        </w:rPr>
        <w:t>良好</w:t>
      </w:r>
      <w:r>
        <w:rPr>
          <w:rFonts w:hint="eastAsia" w:ascii="仿宋_GB2312" w:hAnsi="宋体" w:eastAsia="仿宋_GB2312" w:cs="宋体"/>
          <w:color w:val="000000"/>
          <w:kern w:val="0"/>
          <w:sz w:val="28"/>
          <w:szCs w:val="28"/>
          <w:u w:val="none" w:color="auto"/>
          <w:shd w:val="clear" w:fill="auto"/>
          <w:lang w:val="en-US" w:eastAsia="zh-CN"/>
        </w:rPr>
        <w:t>的</w:t>
      </w:r>
      <w:r>
        <w:rPr>
          <w:rFonts w:hint="eastAsia" w:ascii="仿宋_GB2312" w:hAnsi="宋体" w:eastAsia="仿宋_GB2312" w:cs="宋体"/>
          <w:color w:val="000000"/>
          <w:kern w:val="0"/>
          <w:sz w:val="28"/>
          <w:szCs w:val="28"/>
          <w:u w:val="none" w:color="auto"/>
          <w:shd w:val="clear" w:fill="auto"/>
          <w:lang w:val="zh-CN"/>
        </w:rPr>
        <w:t>社会效益，服务对象满意度较高。经自评，各项目平均得分</w:t>
      </w:r>
      <w:r>
        <w:rPr>
          <w:rFonts w:hint="eastAsia" w:ascii="仿宋_GB2312" w:hAnsi="宋体" w:eastAsia="仿宋_GB2312" w:cs="宋体"/>
          <w:color w:val="000000"/>
          <w:kern w:val="0"/>
          <w:sz w:val="28"/>
          <w:szCs w:val="28"/>
          <w:u w:val="none" w:color="auto"/>
          <w:shd w:val="clear" w:fill="auto"/>
        </w:rPr>
        <w:t>100</w:t>
      </w:r>
      <w:r>
        <w:rPr>
          <w:rFonts w:hint="eastAsia" w:ascii="仿宋_GB2312" w:hAnsi="宋体" w:eastAsia="仿宋_GB2312" w:cs="宋体"/>
          <w:color w:val="000000"/>
          <w:kern w:val="0"/>
          <w:sz w:val="28"/>
          <w:szCs w:val="28"/>
          <w:u w:val="none" w:color="auto"/>
          <w:shd w:val="clear" w:fill="auto"/>
          <w:lang w:val="zh-CN"/>
        </w:rPr>
        <w:t>分，评价等级为“优”。</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（二）存在的问题。</w:t>
      </w:r>
    </w:p>
    <w:p>
      <w:pPr>
        <w:adjustRightInd w:val="0"/>
        <w:snapToGrid w:val="0"/>
        <w:spacing w:line="560" w:lineRule="exact"/>
        <w:ind w:firstLine="560" w:firstLineChars="200"/>
        <w:rPr>
          <w:rFonts w:ascii="仿宋_GB2312" w:hAnsi="宋体" w:eastAsia="仿宋_GB2312" w:cs="宋体"/>
          <w:color w:val="000000"/>
          <w:kern w:val="0"/>
          <w:sz w:val="28"/>
          <w:szCs w:val="28"/>
          <w:u w:val="none" w:color="auto"/>
          <w:shd w:val="clear" w:fill="auto"/>
          <w:lang w:val="zh-CN"/>
        </w:rPr>
      </w:pPr>
      <w:r>
        <w:rPr>
          <w:rFonts w:hint="eastAsia" w:ascii="仿宋_GB2312" w:hAnsi="宋体" w:eastAsia="仿宋_GB2312" w:cs="宋体"/>
          <w:color w:val="000000"/>
          <w:kern w:val="0"/>
          <w:sz w:val="28"/>
          <w:szCs w:val="28"/>
          <w:u w:val="none" w:color="auto"/>
          <w:shd w:val="clear" w:fill="auto"/>
          <w:lang w:val="zh-CN"/>
        </w:rPr>
        <w:t>通过自查和自我评估，我单位专项资金管理能严格遵守财经纪律和财务制度，但是仍然存在专项经费实际使用不精细的地方。在今后的专项经费管理中，我们将进一步细化专项资金预算申报，做到合理安排资金，提高专项资金使用效果。</w:t>
      </w:r>
    </w:p>
    <w:p>
      <w:pPr>
        <w:adjustRightInd w:val="0"/>
        <w:snapToGrid w:val="0"/>
        <w:spacing w:line="600" w:lineRule="exact"/>
        <w:ind w:firstLine="321" w:firstLineChars="10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（三）相关建议。</w:t>
      </w:r>
    </w:p>
    <w:p>
      <w:pPr>
        <w:adjustRightInd w:val="0"/>
        <w:snapToGrid w:val="0"/>
        <w:spacing w:line="560" w:lineRule="exact"/>
        <w:ind w:firstLine="560" w:firstLineChars="200"/>
        <w:rPr>
          <w:rFonts w:ascii="仿宋_GB2312" w:hAnsi="宋体" w:eastAsia="仿宋_GB2312" w:cs="宋体"/>
          <w:color w:val="000000"/>
          <w:kern w:val="0"/>
          <w:sz w:val="28"/>
          <w:szCs w:val="28"/>
          <w:u w:val="none" w:color="auto"/>
          <w:shd w:val="clear" w:fill="auto"/>
          <w:lang w:val="zh-CN"/>
        </w:rPr>
      </w:pPr>
      <w:r>
        <w:rPr>
          <w:rFonts w:hint="eastAsia" w:ascii="仿宋_GB2312" w:hAnsi="宋体" w:eastAsia="仿宋_GB2312" w:cs="宋体"/>
          <w:color w:val="000000"/>
          <w:kern w:val="0"/>
          <w:sz w:val="28"/>
          <w:szCs w:val="28"/>
          <w:u w:val="none" w:color="auto"/>
          <w:shd w:val="clear" w:fill="auto"/>
          <w:lang w:val="zh-CN"/>
        </w:rPr>
        <w:t>建议加大巡察工作经费补助力度。</w:t>
      </w:r>
    </w:p>
    <w:p>
      <w:pPr>
        <w:adjustRightInd w:val="0"/>
        <w:snapToGrid w:val="0"/>
        <w:spacing w:line="560" w:lineRule="exact"/>
        <w:ind w:firstLine="420" w:firstLineChars="200"/>
        <w:rPr>
          <w:rFonts w:ascii="仿宋_GB2312" w:hAnsi="宋体" w:cs="仿宋_GB2312"/>
          <w:u w:val="none" w:color="auto"/>
          <w:shd w:val="clear" w:fill="auto"/>
          <w:lang w:val="zh-CN"/>
        </w:rPr>
      </w:pPr>
    </w:p>
    <w:p>
      <w:pPr>
        <w:adjustRightInd w:val="0"/>
        <w:snapToGrid w:val="0"/>
        <w:spacing w:line="600" w:lineRule="exact"/>
        <w:ind w:firstLine="640" w:firstLineChars="20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ab/>
      </w:r>
    </w:p>
    <w:p>
      <w:pPr>
        <w:pStyle w:val="3"/>
        <w:spacing w:before="93"/>
        <w:rPr>
          <w:u w:val="none" w:color="auto"/>
          <w:shd w:val="clear" w:fill="auto"/>
          <w:lang w:val="zh-CN"/>
        </w:rPr>
      </w:pPr>
    </w:p>
    <w:p>
      <w:pPr>
        <w:pStyle w:val="3"/>
        <w:spacing w:before="93"/>
        <w:rPr>
          <w:u w:val="none" w:color="auto"/>
          <w:shd w:val="clear" w:fill="auto"/>
          <w:lang w:val="zh-CN"/>
        </w:rPr>
      </w:pPr>
    </w:p>
    <w:p>
      <w:pPr>
        <w:pStyle w:val="3"/>
        <w:spacing w:before="93"/>
        <w:rPr>
          <w:u w:val="none" w:color="auto"/>
          <w:shd w:val="clear" w:fill="auto"/>
          <w:lang w:val="zh-CN"/>
        </w:rPr>
      </w:pPr>
    </w:p>
    <w:p>
      <w:pPr>
        <w:pStyle w:val="3"/>
        <w:spacing w:before="93"/>
        <w:rPr>
          <w:u w:val="none" w:color="auto"/>
          <w:shd w:val="clear" w:fill="auto"/>
          <w:lang w:val="zh-CN"/>
        </w:rPr>
      </w:pPr>
    </w:p>
    <w:p>
      <w:pPr>
        <w:pStyle w:val="3"/>
        <w:spacing w:before="93"/>
        <w:rPr>
          <w:u w:val="none" w:color="auto"/>
          <w:shd w:val="clear" w:fill="auto"/>
          <w:lang w:val="zh-CN"/>
        </w:rPr>
      </w:pPr>
    </w:p>
    <w:p>
      <w:pPr>
        <w:pStyle w:val="3"/>
        <w:spacing w:before="93"/>
        <w:rPr>
          <w:u w:val="none" w:color="auto"/>
          <w:shd w:val="clear" w:fill="auto"/>
          <w:lang w:val="zh-CN"/>
        </w:rPr>
      </w:pPr>
    </w:p>
    <w:p>
      <w:pPr>
        <w:pStyle w:val="3"/>
        <w:spacing w:before="93"/>
        <w:rPr>
          <w:u w:val="none" w:color="auto"/>
          <w:shd w:val="clear" w:fill="auto"/>
          <w:lang w:val="zh-CN"/>
        </w:rPr>
      </w:pPr>
    </w:p>
    <w:p>
      <w:pPr>
        <w:pStyle w:val="3"/>
        <w:spacing w:before="93"/>
        <w:rPr>
          <w:u w:val="none" w:color="auto"/>
          <w:shd w:val="clear" w:fill="auto"/>
          <w:lang w:val="zh-CN"/>
        </w:rPr>
      </w:pPr>
    </w:p>
    <w:tbl>
      <w:tblPr>
        <w:tblStyle w:val="6"/>
        <w:tblpPr w:leftFromText="180" w:rightFromText="180" w:vertAnchor="text" w:horzAnchor="page" w:tblpX="1281" w:tblpY="660"/>
        <w:tblOverlap w:val="never"/>
        <w:tblW w:w="10587" w:type="dxa"/>
        <w:tblInd w:w="0" w:type="dxa"/>
        <w:tblLayout w:type="fixed"/>
        <w:tblCellMar>
          <w:top w:w="0" w:type="dxa"/>
          <w:left w:w="108" w:type="dxa"/>
          <w:bottom w:w="0" w:type="dxa"/>
          <w:right w:w="108" w:type="dxa"/>
        </w:tblCellMar>
      </w:tblPr>
      <w:tblGrid>
        <w:gridCol w:w="1070"/>
        <w:gridCol w:w="1095"/>
        <w:gridCol w:w="1515"/>
        <w:gridCol w:w="2295"/>
        <w:gridCol w:w="2385"/>
        <w:gridCol w:w="1987"/>
        <w:gridCol w:w="240"/>
      </w:tblGrid>
      <w:tr>
        <w:tblPrEx>
          <w:tblCellMar>
            <w:top w:w="0" w:type="dxa"/>
            <w:left w:w="108" w:type="dxa"/>
            <w:bottom w:w="0" w:type="dxa"/>
            <w:right w:w="108" w:type="dxa"/>
          </w:tblCellMar>
        </w:tblPrEx>
        <w:trPr>
          <w:trHeight w:val="705" w:hRule="atLeast"/>
        </w:trPr>
        <w:tc>
          <w:tcPr>
            <w:tcW w:w="10347" w:type="dxa"/>
            <w:gridSpan w:val="6"/>
            <w:tcBorders>
              <w:top w:val="nil"/>
              <w:left w:val="nil"/>
              <w:bottom w:val="nil"/>
              <w:right w:val="nil"/>
            </w:tcBorders>
            <w:shd w:val="clear" w:color="auto" w:fill="auto"/>
            <w:vAlign w:val="center"/>
          </w:tcPr>
          <w:p>
            <w:pPr>
              <w:widowControl/>
              <w:ind w:firstLine="2249" w:firstLineChars="700"/>
              <w:textAlignment w:val="center"/>
              <w:rPr>
                <w:rFonts w:ascii="宋体" w:hAnsi="宋体" w:cs="宋体"/>
                <w:b/>
                <w:sz w:val="32"/>
                <w:szCs w:val="32"/>
                <w:u w:val="none" w:color="auto"/>
                <w:shd w:val="clear" w:fill="auto"/>
              </w:rPr>
            </w:pPr>
            <w:r>
              <w:rPr>
                <w:rFonts w:hint="eastAsia" w:ascii="宋体" w:hAnsi="宋体" w:cs="宋体"/>
                <w:b/>
                <w:sz w:val="32"/>
                <w:szCs w:val="32"/>
                <w:u w:val="none" w:color="auto"/>
                <w:shd w:val="clear" w:fill="auto"/>
              </w:rPr>
              <w:t>2021年巡察工作经费项目绩效目标自评</w:t>
            </w:r>
          </w:p>
        </w:tc>
        <w:tc>
          <w:tcPr>
            <w:tcW w:w="240"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u w:val="none" w:color="auto"/>
                <w:shd w:val="clear" w:fill="auto"/>
              </w:rPr>
            </w:pPr>
          </w:p>
        </w:tc>
      </w:tr>
      <w:tr>
        <w:tblPrEx>
          <w:tblCellMar>
            <w:top w:w="0" w:type="dxa"/>
            <w:left w:w="108" w:type="dxa"/>
            <w:bottom w:w="0" w:type="dxa"/>
            <w:right w:w="108" w:type="dxa"/>
          </w:tblCellMar>
        </w:tblPrEx>
        <w:trPr>
          <w:gridAfter w:val="1"/>
          <w:wAfter w:w="240" w:type="dxa"/>
          <w:trHeight w:val="505" w:hRule="atLeast"/>
        </w:trPr>
        <w:tc>
          <w:tcPr>
            <w:tcW w:w="2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主管部门及代码</w:t>
            </w:r>
          </w:p>
        </w:tc>
        <w:tc>
          <w:tcPr>
            <w:tcW w:w="3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巡察工作经费</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实施单位</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县委巡察办</w:t>
            </w:r>
          </w:p>
        </w:tc>
      </w:tr>
      <w:tr>
        <w:tblPrEx>
          <w:tblCellMar>
            <w:top w:w="0" w:type="dxa"/>
            <w:left w:w="108" w:type="dxa"/>
            <w:bottom w:w="0" w:type="dxa"/>
            <w:right w:w="108" w:type="dxa"/>
          </w:tblCellMar>
        </w:tblPrEx>
        <w:trPr>
          <w:gridAfter w:val="1"/>
          <w:wAfter w:w="240" w:type="dxa"/>
          <w:trHeight w:val="640" w:hRule="atLeast"/>
        </w:trPr>
        <w:tc>
          <w:tcPr>
            <w:tcW w:w="21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4"/>
                <w:u w:val="none" w:color="auto"/>
                <w:shd w:val="clear" w:fill="auto"/>
              </w:rPr>
            </w:pPr>
            <w:r>
              <w:rPr>
                <w:rFonts w:hint="eastAsia" w:ascii="仿宋_GB2312" w:hAnsi="仿宋_GB2312" w:eastAsia="仿宋_GB2312" w:cs="仿宋_GB2312"/>
                <w:kern w:val="0"/>
                <w:sz w:val="24"/>
                <w:u w:val="none" w:color="auto"/>
                <w:shd w:val="clear" w:fill="auto"/>
              </w:rPr>
              <w:t>项目预算</w:t>
            </w:r>
          </w:p>
          <w:p>
            <w:pPr>
              <w:widowControl/>
              <w:spacing w:line="320" w:lineRule="exact"/>
              <w:jc w:val="center"/>
              <w:textAlignment w:val="center"/>
              <w:rPr>
                <w:rFonts w:ascii="仿宋_GB2312" w:hAnsi="仿宋_GB2312" w:eastAsia="仿宋_GB2312" w:cs="仿宋_GB2312"/>
                <w:kern w:val="0"/>
                <w:sz w:val="24"/>
                <w:u w:val="none" w:color="auto"/>
                <w:shd w:val="clear" w:fill="auto"/>
              </w:rPr>
            </w:pPr>
            <w:r>
              <w:rPr>
                <w:rFonts w:hint="eastAsia" w:ascii="仿宋_GB2312" w:hAnsi="仿宋_GB2312" w:eastAsia="仿宋_GB2312" w:cs="仿宋_GB2312"/>
                <w:kern w:val="0"/>
                <w:sz w:val="24"/>
                <w:u w:val="none" w:color="auto"/>
                <w:shd w:val="clear" w:fill="auto"/>
              </w:rPr>
              <w:t>执行情况</w:t>
            </w:r>
          </w:p>
          <w:p>
            <w:pPr>
              <w:widowControl/>
              <w:spacing w:line="320" w:lineRule="exact"/>
              <w:jc w:val="center"/>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（万元）</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预算数：</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70</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 xml:space="preserve"> 执行数：</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95</w:t>
            </w:r>
          </w:p>
        </w:tc>
      </w:tr>
      <w:tr>
        <w:tblPrEx>
          <w:tblCellMar>
            <w:top w:w="0" w:type="dxa"/>
            <w:left w:w="108" w:type="dxa"/>
            <w:bottom w:w="0" w:type="dxa"/>
            <w:right w:w="108" w:type="dxa"/>
          </w:tblCellMar>
        </w:tblPrEx>
        <w:trPr>
          <w:gridAfter w:val="1"/>
          <w:wAfter w:w="240" w:type="dxa"/>
          <w:trHeight w:val="435" w:hRule="atLeast"/>
        </w:trPr>
        <w:tc>
          <w:tcPr>
            <w:tcW w:w="21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u w:val="none" w:color="auto"/>
                <w:shd w:val="clear" w:fill="auto"/>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其中：财政拨款</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70</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其中：财政拨款</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720" w:firstLineChars="300"/>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95</w:t>
            </w:r>
          </w:p>
        </w:tc>
      </w:tr>
      <w:tr>
        <w:tblPrEx>
          <w:tblCellMar>
            <w:top w:w="0" w:type="dxa"/>
            <w:left w:w="108" w:type="dxa"/>
            <w:bottom w:w="0" w:type="dxa"/>
            <w:right w:w="108" w:type="dxa"/>
          </w:tblCellMar>
        </w:tblPrEx>
        <w:trPr>
          <w:gridAfter w:val="1"/>
          <w:wAfter w:w="240" w:type="dxa"/>
          <w:trHeight w:val="341" w:hRule="atLeast"/>
        </w:trPr>
        <w:tc>
          <w:tcPr>
            <w:tcW w:w="21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u w:val="none" w:color="auto"/>
                <w:shd w:val="clear" w:fill="auto"/>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其他资金</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4"/>
                <w:u w:val="none" w:color="auto"/>
                <w:shd w:val="clear" w:fill="auto"/>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其他资金</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u w:val="none" w:color="auto"/>
                <w:shd w:val="clear" w:fill="auto"/>
              </w:rPr>
            </w:pPr>
          </w:p>
        </w:tc>
      </w:tr>
      <w:tr>
        <w:tblPrEx>
          <w:tblCellMar>
            <w:top w:w="0" w:type="dxa"/>
            <w:left w:w="108" w:type="dxa"/>
            <w:bottom w:w="0" w:type="dxa"/>
            <w:right w:w="108" w:type="dxa"/>
          </w:tblCellMar>
        </w:tblPrEx>
        <w:trPr>
          <w:gridAfter w:val="1"/>
          <w:wAfter w:w="240" w:type="dxa"/>
          <w:trHeight w:val="217" w:hRule="atLeast"/>
        </w:trPr>
        <w:tc>
          <w:tcPr>
            <w:tcW w:w="1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4"/>
                <w:u w:val="none" w:color="auto"/>
                <w:shd w:val="clear" w:fill="auto"/>
              </w:rPr>
            </w:pPr>
            <w:r>
              <w:rPr>
                <w:rFonts w:hint="eastAsia" w:ascii="仿宋_GB2312" w:hAnsi="仿宋_GB2312" w:eastAsia="仿宋_GB2312" w:cs="仿宋_GB2312"/>
                <w:kern w:val="0"/>
                <w:sz w:val="24"/>
                <w:u w:val="none" w:color="auto"/>
                <w:shd w:val="clear" w:fill="auto"/>
              </w:rPr>
              <w:t>年度总体目标</w:t>
            </w:r>
          </w:p>
          <w:p>
            <w:pPr>
              <w:widowControl/>
              <w:spacing w:line="320" w:lineRule="exact"/>
              <w:jc w:val="center"/>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完成情况</w:t>
            </w:r>
          </w:p>
        </w:tc>
        <w:tc>
          <w:tcPr>
            <w:tcW w:w="49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预期目标</w:t>
            </w:r>
          </w:p>
        </w:tc>
        <w:tc>
          <w:tcPr>
            <w:tcW w:w="4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目标实际完成情况</w:t>
            </w:r>
          </w:p>
        </w:tc>
      </w:tr>
      <w:tr>
        <w:tblPrEx>
          <w:tblCellMar>
            <w:top w:w="0" w:type="dxa"/>
            <w:left w:w="108" w:type="dxa"/>
            <w:bottom w:w="0" w:type="dxa"/>
            <w:right w:w="108" w:type="dxa"/>
          </w:tblCellMar>
        </w:tblPrEx>
        <w:trPr>
          <w:gridAfter w:val="1"/>
          <w:wAfter w:w="240" w:type="dxa"/>
          <w:trHeight w:val="1705" w:hRule="atLeast"/>
        </w:trPr>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u w:val="none" w:color="auto"/>
                <w:shd w:val="clear" w:fill="auto"/>
              </w:rPr>
            </w:pPr>
          </w:p>
        </w:tc>
        <w:tc>
          <w:tcPr>
            <w:tcW w:w="4905"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1.2021年完成第八轮15个党组织常规巡察工作，                                                                                                                                                                                                                              2.对5个党组织的巡察“回头看”                                                                   3.开展巡察培训</w:t>
            </w:r>
            <w:r>
              <w:rPr>
                <w:u w:val="none" w:color="auto"/>
                <w:shd w:val="clear" w:fill="auto"/>
              </w:rPr>
              <w:t>。</w:t>
            </w:r>
          </w:p>
        </w:tc>
        <w:tc>
          <w:tcPr>
            <w:tcW w:w="4372"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1.2021年完成第八轮15个党组织常规巡察工作</w:t>
            </w:r>
            <w:r>
              <w:rPr>
                <w:u w:val="none" w:color="auto"/>
                <w:shd w:val="clear" w:fill="auto"/>
              </w:rPr>
              <w:t>。</w:t>
            </w:r>
          </w:p>
          <w:p>
            <w:pPr>
              <w:widowControl/>
              <w:spacing w:line="320" w:lineRule="exact"/>
              <w:jc w:val="left"/>
              <w:textAlignment w:val="top"/>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 xml:space="preserve"> 2、完成对火炬镇等2个乡镇、国资委等6个县级部门、通江中学等6所县属学校和县检察院等12所党组织的巡察“回头看”工作；                             3.开展</w:t>
            </w:r>
            <w:r>
              <w:rPr>
                <w:rFonts w:hint="eastAsia" w:ascii="仿宋_GB2312" w:hAnsi="仿宋_GB2312" w:eastAsia="仿宋_GB2312" w:cs="仿宋_GB2312"/>
                <w:sz w:val="24"/>
                <w:u w:val="none" w:color="auto"/>
                <w:shd w:val="clear" w:fill="auto"/>
                <w:lang w:eastAsia="zh-CN"/>
              </w:rPr>
              <w:t>巡察</w:t>
            </w:r>
            <w:r>
              <w:rPr>
                <w:rFonts w:hint="eastAsia" w:ascii="仿宋_GB2312" w:hAnsi="仿宋_GB2312" w:eastAsia="仿宋_GB2312" w:cs="仿宋_GB2312"/>
                <w:sz w:val="24"/>
                <w:u w:val="none" w:color="auto"/>
                <w:shd w:val="clear" w:fill="auto"/>
              </w:rPr>
              <w:t>培训</w:t>
            </w:r>
            <w:r>
              <w:rPr>
                <w:u w:val="none" w:color="auto"/>
                <w:shd w:val="clear" w:fill="auto"/>
              </w:rPr>
              <w:t>。</w:t>
            </w:r>
          </w:p>
        </w:tc>
      </w:tr>
      <w:tr>
        <w:tblPrEx>
          <w:tblCellMar>
            <w:top w:w="0" w:type="dxa"/>
            <w:left w:w="108" w:type="dxa"/>
            <w:bottom w:w="0" w:type="dxa"/>
            <w:right w:w="108" w:type="dxa"/>
          </w:tblCellMar>
        </w:tblPrEx>
        <w:trPr>
          <w:gridAfter w:val="1"/>
          <w:wAfter w:w="240" w:type="dxa"/>
          <w:trHeight w:val="760" w:hRule="atLeast"/>
        </w:trPr>
        <w:tc>
          <w:tcPr>
            <w:tcW w:w="1070"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年度绩效指标完成情况</w:t>
            </w:r>
          </w:p>
        </w:tc>
        <w:tc>
          <w:tcPr>
            <w:tcW w:w="1095"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4"/>
                <w:u w:val="none" w:color="auto"/>
                <w:shd w:val="clear" w:fill="auto"/>
              </w:rPr>
            </w:pPr>
            <w:r>
              <w:rPr>
                <w:rFonts w:hint="eastAsia" w:ascii="仿宋_GB2312" w:hAnsi="仿宋_GB2312" w:eastAsia="仿宋_GB2312" w:cs="仿宋_GB2312"/>
                <w:kern w:val="0"/>
                <w:sz w:val="24"/>
                <w:u w:val="none" w:color="auto"/>
                <w:shd w:val="clear" w:fill="auto"/>
              </w:rPr>
              <w:t>一级</w:t>
            </w:r>
          </w:p>
          <w:p>
            <w:pPr>
              <w:widowControl/>
              <w:spacing w:line="320" w:lineRule="exact"/>
              <w:jc w:val="center"/>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4"/>
                <w:u w:val="none" w:color="auto"/>
                <w:shd w:val="clear" w:fill="auto"/>
              </w:rPr>
            </w:pPr>
            <w:r>
              <w:rPr>
                <w:rFonts w:hint="eastAsia" w:ascii="仿宋_GB2312" w:hAnsi="仿宋_GB2312" w:eastAsia="仿宋_GB2312" w:cs="仿宋_GB2312"/>
                <w:kern w:val="0"/>
                <w:sz w:val="24"/>
                <w:u w:val="none" w:color="auto"/>
                <w:shd w:val="clear" w:fill="auto"/>
              </w:rPr>
              <w:t>二级</w:t>
            </w:r>
          </w:p>
          <w:p>
            <w:pPr>
              <w:widowControl/>
              <w:spacing w:line="320" w:lineRule="exact"/>
              <w:jc w:val="center"/>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指标</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4"/>
                <w:u w:val="none" w:color="auto"/>
                <w:shd w:val="clear" w:fill="auto"/>
              </w:rPr>
            </w:pPr>
            <w:r>
              <w:rPr>
                <w:rFonts w:hint="eastAsia" w:ascii="仿宋_GB2312" w:hAnsi="仿宋_GB2312" w:eastAsia="仿宋_GB2312" w:cs="仿宋_GB2312"/>
                <w:kern w:val="0"/>
                <w:sz w:val="24"/>
                <w:u w:val="none" w:color="auto"/>
                <w:shd w:val="clear" w:fill="auto"/>
              </w:rPr>
              <w:t>三级</w:t>
            </w:r>
          </w:p>
          <w:p>
            <w:pPr>
              <w:widowControl/>
              <w:spacing w:line="320" w:lineRule="exact"/>
              <w:jc w:val="center"/>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指标</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预期指标值</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实际完成指标值</w:t>
            </w:r>
          </w:p>
        </w:tc>
      </w:tr>
      <w:tr>
        <w:tblPrEx>
          <w:tblCellMar>
            <w:top w:w="0" w:type="dxa"/>
            <w:left w:w="108" w:type="dxa"/>
            <w:bottom w:w="0" w:type="dxa"/>
            <w:right w:w="108" w:type="dxa"/>
          </w:tblCellMar>
        </w:tblPrEx>
        <w:trPr>
          <w:gridAfter w:val="1"/>
          <w:wAfter w:w="240" w:type="dxa"/>
          <w:trHeight w:val="590" w:hRule="atLeast"/>
        </w:trPr>
        <w:tc>
          <w:tcPr>
            <w:tcW w:w="1070"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u w:val="none" w:color="auto"/>
                <w:shd w:val="clear" w:fill="auto"/>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4"/>
                <w:u w:val="none" w:color="auto"/>
                <w:shd w:val="clear" w:fill="auto"/>
              </w:rPr>
            </w:pPr>
            <w:r>
              <w:rPr>
                <w:rFonts w:hint="eastAsia" w:ascii="仿宋_GB2312" w:hAnsi="仿宋_GB2312" w:eastAsia="仿宋_GB2312" w:cs="仿宋_GB2312"/>
                <w:kern w:val="0"/>
                <w:sz w:val="24"/>
                <w:u w:val="none" w:color="auto"/>
                <w:shd w:val="clear" w:fill="auto"/>
              </w:rPr>
              <w:t>完成</w:t>
            </w:r>
          </w:p>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数量指标</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巡视天数</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u w:val="none" w:color="auto"/>
                <w:shd w:val="clear" w:fill="auto"/>
              </w:rPr>
            </w:pPr>
            <w:r>
              <w:rPr>
                <w:rFonts w:hint="eastAsia" w:ascii="仿宋_GB2312" w:hAnsi="仿宋_GB2312" w:eastAsia="仿宋_GB2312" w:cs="仿宋_GB2312"/>
                <w:color w:val="000000"/>
                <w:kern w:val="0"/>
                <w:sz w:val="24"/>
                <w:u w:val="none" w:color="auto"/>
                <w:shd w:val="clear" w:fill="auto"/>
              </w:rPr>
              <w:t>≧5430天</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color w:val="000000"/>
                <w:kern w:val="0"/>
                <w:sz w:val="24"/>
                <w:u w:val="none" w:color="auto"/>
                <w:shd w:val="clear" w:fill="auto"/>
              </w:rPr>
              <w:t>≧5430天</w:t>
            </w:r>
          </w:p>
        </w:tc>
      </w:tr>
      <w:tr>
        <w:tblPrEx>
          <w:tblCellMar>
            <w:top w:w="0" w:type="dxa"/>
            <w:left w:w="108" w:type="dxa"/>
            <w:bottom w:w="0" w:type="dxa"/>
            <w:right w:w="108" w:type="dxa"/>
          </w:tblCellMar>
        </w:tblPrEx>
        <w:trPr>
          <w:gridAfter w:val="1"/>
          <w:wAfter w:w="240" w:type="dxa"/>
          <w:trHeight w:val="945" w:hRule="atLeast"/>
        </w:trPr>
        <w:tc>
          <w:tcPr>
            <w:tcW w:w="1070"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u w:val="none" w:color="auto"/>
                <w:shd w:val="clear" w:fill="auto"/>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u w:val="none" w:color="auto"/>
                <w:shd w:val="clear" w:fill="auto"/>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质量指标</w:t>
            </w:r>
          </w:p>
        </w:tc>
        <w:tc>
          <w:tcPr>
            <w:tcW w:w="229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与巡察相关规定要求一致</w:t>
            </w:r>
          </w:p>
        </w:tc>
        <w:tc>
          <w:tcPr>
            <w:tcW w:w="238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color w:val="000000"/>
                <w:sz w:val="24"/>
                <w:u w:val="none" w:color="auto"/>
                <w:shd w:val="clear" w:fill="auto"/>
              </w:rPr>
              <w:t>保障巡察办正常运行，确保巡察工作高效开展</w:t>
            </w:r>
            <w:r>
              <w:rPr>
                <w:u w:val="none" w:color="auto"/>
                <w:shd w:val="clear" w:fill="auto"/>
              </w:rPr>
              <w:t>。</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color w:val="000000"/>
                <w:sz w:val="24"/>
                <w:u w:val="none" w:color="auto"/>
                <w:shd w:val="clear" w:fill="auto"/>
              </w:rPr>
              <w:t>保障巡察办正常运行，确保巡察工作高效开展</w:t>
            </w:r>
            <w:r>
              <w:rPr>
                <w:u w:val="none" w:color="auto"/>
                <w:shd w:val="clear" w:fill="auto"/>
              </w:rPr>
              <w:t>。</w:t>
            </w:r>
          </w:p>
        </w:tc>
      </w:tr>
      <w:tr>
        <w:tblPrEx>
          <w:tblCellMar>
            <w:top w:w="0" w:type="dxa"/>
            <w:left w:w="108" w:type="dxa"/>
            <w:bottom w:w="0" w:type="dxa"/>
            <w:right w:w="108" w:type="dxa"/>
          </w:tblCellMar>
        </w:tblPrEx>
        <w:trPr>
          <w:gridAfter w:val="1"/>
          <w:wAfter w:w="240" w:type="dxa"/>
          <w:trHeight w:val="415" w:hRule="atLeast"/>
        </w:trPr>
        <w:tc>
          <w:tcPr>
            <w:tcW w:w="1070"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u w:val="none" w:color="auto"/>
                <w:shd w:val="clear" w:fill="auto"/>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u w:val="none" w:color="auto"/>
                <w:shd w:val="clear" w:fill="auto"/>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时效指标</w:t>
            </w:r>
          </w:p>
        </w:tc>
        <w:tc>
          <w:tcPr>
            <w:tcW w:w="229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2021年12月底</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color w:val="000000"/>
                <w:sz w:val="24"/>
                <w:u w:val="none" w:color="auto"/>
                <w:shd w:val="clear" w:fill="auto"/>
              </w:rPr>
              <w:t>按照上级规定办结时间完成项目任务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color w:val="000000"/>
                <w:sz w:val="24"/>
                <w:u w:val="none" w:color="auto"/>
                <w:shd w:val="clear" w:fill="auto"/>
              </w:rPr>
              <w:t>按照上级规定办结时间完成项目任务</w:t>
            </w:r>
          </w:p>
        </w:tc>
      </w:tr>
      <w:tr>
        <w:tblPrEx>
          <w:tblCellMar>
            <w:top w:w="0" w:type="dxa"/>
            <w:left w:w="108" w:type="dxa"/>
            <w:bottom w:w="0" w:type="dxa"/>
            <w:right w:w="108" w:type="dxa"/>
          </w:tblCellMar>
        </w:tblPrEx>
        <w:trPr>
          <w:gridAfter w:val="1"/>
          <w:wAfter w:w="240" w:type="dxa"/>
          <w:trHeight w:val="480" w:hRule="atLeast"/>
        </w:trPr>
        <w:tc>
          <w:tcPr>
            <w:tcW w:w="1070"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u w:val="none" w:color="auto"/>
                <w:shd w:val="clear" w:fill="auto"/>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u w:val="none" w:color="auto"/>
                <w:shd w:val="clear" w:fill="auto"/>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成本指标</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color w:val="000000"/>
                <w:sz w:val="24"/>
                <w:u w:val="none" w:color="auto"/>
                <w:shd w:val="clear" w:fill="auto"/>
              </w:rPr>
              <w:t>差旅费、办案经费、办公费、印刷</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≦95万元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≦95万元</w:t>
            </w:r>
          </w:p>
        </w:tc>
      </w:tr>
      <w:tr>
        <w:tblPrEx>
          <w:tblCellMar>
            <w:top w:w="0" w:type="dxa"/>
            <w:left w:w="108" w:type="dxa"/>
            <w:bottom w:w="0" w:type="dxa"/>
            <w:right w:w="108" w:type="dxa"/>
          </w:tblCellMar>
        </w:tblPrEx>
        <w:trPr>
          <w:gridAfter w:val="1"/>
          <w:wAfter w:w="240" w:type="dxa"/>
          <w:trHeight w:val="480" w:hRule="atLeast"/>
        </w:trPr>
        <w:tc>
          <w:tcPr>
            <w:tcW w:w="1070"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u w:val="none" w:color="auto"/>
                <w:shd w:val="clear" w:fill="auto"/>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4"/>
                <w:u w:val="none" w:color="auto"/>
                <w:shd w:val="clear" w:fill="auto"/>
              </w:rPr>
            </w:pPr>
            <w:r>
              <w:rPr>
                <w:rFonts w:hint="eastAsia" w:ascii="仿宋_GB2312" w:hAnsi="仿宋_GB2312" w:eastAsia="仿宋_GB2312" w:cs="仿宋_GB2312"/>
                <w:kern w:val="0"/>
                <w:sz w:val="24"/>
                <w:u w:val="none" w:color="auto"/>
                <w:shd w:val="clear" w:fill="auto"/>
              </w:rPr>
              <w:t>效益</w:t>
            </w:r>
          </w:p>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经济效益指标</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政治巡察与经济效益无直接关系</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u w:val="none" w:color="auto"/>
                <w:shd w:val="clear" w:fill="auto"/>
              </w:rPr>
            </w:pPr>
            <w:r>
              <w:rPr>
                <w:rFonts w:hint="eastAsia" w:ascii="仿宋_GB2312" w:hAnsi="仿宋_GB2312" w:eastAsia="仿宋_GB2312" w:cs="仿宋_GB2312"/>
                <w:color w:val="000000"/>
                <w:kern w:val="0"/>
                <w:sz w:val="24"/>
                <w:u w:val="none" w:color="auto"/>
                <w:shd w:val="clear" w:fill="auto"/>
              </w:rPr>
              <w:t>100%</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u w:val="none" w:color="auto"/>
                <w:shd w:val="clear" w:fill="auto"/>
              </w:rPr>
            </w:pPr>
            <w:r>
              <w:rPr>
                <w:rFonts w:hint="eastAsia" w:ascii="仿宋_GB2312" w:hAnsi="仿宋_GB2312" w:eastAsia="仿宋_GB2312" w:cs="仿宋_GB2312"/>
                <w:color w:val="000000"/>
                <w:kern w:val="0"/>
                <w:sz w:val="24"/>
                <w:u w:val="none" w:color="auto"/>
                <w:shd w:val="clear" w:fill="auto"/>
              </w:rPr>
              <w:t>100%</w:t>
            </w:r>
          </w:p>
        </w:tc>
      </w:tr>
      <w:tr>
        <w:tblPrEx>
          <w:tblCellMar>
            <w:top w:w="0" w:type="dxa"/>
            <w:left w:w="108" w:type="dxa"/>
            <w:bottom w:w="0" w:type="dxa"/>
            <w:right w:w="108" w:type="dxa"/>
          </w:tblCellMar>
        </w:tblPrEx>
        <w:trPr>
          <w:gridAfter w:val="1"/>
          <w:wAfter w:w="240" w:type="dxa"/>
          <w:trHeight w:val="1420" w:hRule="atLeast"/>
        </w:trPr>
        <w:tc>
          <w:tcPr>
            <w:tcW w:w="1070"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u w:val="none" w:color="auto"/>
                <w:shd w:val="clear" w:fill="auto"/>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u w:val="none" w:color="auto"/>
                <w:shd w:val="clear" w:fill="auto"/>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社会效益指标</w:t>
            </w:r>
          </w:p>
        </w:tc>
        <w:tc>
          <w:tcPr>
            <w:tcW w:w="229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精准发现问题，推动解决问题。</w:t>
            </w:r>
          </w:p>
        </w:tc>
        <w:tc>
          <w:tcPr>
            <w:tcW w:w="238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仿宋_GB2312" w:hAnsi="仿宋_GB2312" w:eastAsia="仿宋_GB2312" w:cs="仿宋_GB2312"/>
                <w:color w:val="000000"/>
                <w:sz w:val="24"/>
                <w:u w:val="none" w:color="auto"/>
                <w:shd w:val="clear" w:fill="auto"/>
              </w:rPr>
            </w:pPr>
            <w:r>
              <w:rPr>
                <w:rFonts w:hint="eastAsia" w:ascii="仿宋_GB2312" w:hAnsi="仿宋_GB2312" w:eastAsia="仿宋_GB2312" w:cs="仿宋_GB2312"/>
                <w:color w:val="000000"/>
                <w:sz w:val="24"/>
                <w:u w:val="none" w:color="auto"/>
                <w:shd w:val="clear" w:fill="auto"/>
              </w:rPr>
              <w:t>共发现4类397个问题，移交31条问题线索。截至10月底，圆满完成了届内巡察任务</w:t>
            </w:r>
          </w:p>
        </w:tc>
        <w:tc>
          <w:tcPr>
            <w:tcW w:w="1987"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center"/>
              <w:rPr>
                <w:rFonts w:ascii="仿宋_GB2312" w:hAnsi="仿宋_GB2312" w:eastAsia="仿宋_GB2312" w:cs="仿宋_GB2312"/>
                <w:color w:val="000000"/>
                <w:sz w:val="24"/>
                <w:u w:val="none" w:color="auto"/>
                <w:shd w:val="clear" w:fill="auto"/>
              </w:rPr>
            </w:pPr>
            <w:r>
              <w:rPr>
                <w:rFonts w:hint="eastAsia" w:ascii="仿宋_GB2312" w:hAnsi="仿宋_GB2312" w:eastAsia="仿宋_GB2312" w:cs="仿宋_GB2312"/>
                <w:color w:val="000000"/>
                <w:sz w:val="24"/>
                <w:u w:val="none" w:color="auto"/>
                <w:shd w:val="clear" w:fill="auto"/>
              </w:rPr>
              <w:t>共发现4类397个问题，移交31条问题线索。截至10月底，圆满完成了届内巡察任务</w:t>
            </w:r>
          </w:p>
        </w:tc>
      </w:tr>
      <w:tr>
        <w:tblPrEx>
          <w:tblCellMar>
            <w:top w:w="0" w:type="dxa"/>
            <w:left w:w="108" w:type="dxa"/>
            <w:bottom w:w="0" w:type="dxa"/>
            <w:right w:w="108" w:type="dxa"/>
          </w:tblCellMar>
        </w:tblPrEx>
        <w:trPr>
          <w:gridAfter w:val="1"/>
          <w:wAfter w:w="240" w:type="dxa"/>
          <w:trHeight w:val="577" w:hRule="atLeast"/>
        </w:trPr>
        <w:tc>
          <w:tcPr>
            <w:tcW w:w="1070"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u w:val="none" w:color="auto"/>
                <w:shd w:val="clear" w:fill="auto"/>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u w:val="none" w:color="auto"/>
                <w:shd w:val="clear" w:fill="auto"/>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生态效益指标</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政治巡察与经济效益无直接关系</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u w:val="none" w:color="auto"/>
                <w:shd w:val="clear" w:fill="auto"/>
              </w:rPr>
            </w:pPr>
            <w:r>
              <w:rPr>
                <w:rFonts w:hint="eastAsia" w:ascii="仿宋_GB2312" w:hAnsi="仿宋_GB2312" w:eastAsia="仿宋_GB2312" w:cs="仿宋_GB2312"/>
                <w:color w:val="000000"/>
                <w:kern w:val="0"/>
                <w:sz w:val="24"/>
                <w:u w:val="none" w:color="auto"/>
                <w:shd w:val="clear" w:fill="auto"/>
              </w:rPr>
              <w:t>≥100%</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u w:val="none" w:color="auto"/>
                <w:shd w:val="clear" w:fill="auto"/>
              </w:rPr>
            </w:pPr>
            <w:r>
              <w:rPr>
                <w:rFonts w:hint="eastAsia" w:ascii="仿宋_GB2312" w:hAnsi="仿宋_GB2312" w:eastAsia="仿宋_GB2312" w:cs="仿宋_GB2312"/>
                <w:color w:val="000000"/>
                <w:kern w:val="0"/>
                <w:sz w:val="24"/>
                <w:u w:val="none" w:color="auto"/>
                <w:shd w:val="clear" w:fill="auto"/>
              </w:rPr>
              <w:t>≥100%</w:t>
            </w:r>
          </w:p>
        </w:tc>
      </w:tr>
      <w:tr>
        <w:tblPrEx>
          <w:tblCellMar>
            <w:top w:w="0" w:type="dxa"/>
            <w:left w:w="108" w:type="dxa"/>
            <w:bottom w:w="0" w:type="dxa"/>
            <w:right w:w="108" w:type="dxa"/>
          </w:tblCellMar>
        </w:tblPrEx>
        <w:trPr>
          <w:gridAfter w:val="1"/>
          <w:wAfter w:w="240" w:type="dxa"/>
          <w:trHeight w:val="1213" w:hRule="atLeast"/>
        </w:trPr>
        <w:tc>
          <w:tcPr>
            <w:tcW w:w="1070"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u w:val="none" w:color="auto"/>
                <w:shd w:val="clear" w:fill="auto"/>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u w:val="none" w:color="auto"/>
                <w:shd w:val="clear" w:fill="auto"/>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可持续影响指标</w:t>
            </w:r>
          </w:p>
        </w:tc>
        <w:tc>
          <w:tcPr>
            <w:tcW w:w="229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项目符合上级各级党委规定，将继续实施</w:t>
            </w:r>
            <w:r>
              <w:rPr>
                <w:u w:val="none" w:color="auto"/>
                <w:shd w:val="clear" w:fill="auto"/>
              </w:rPr>
              <w:t>。</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u w:val="none" w:color="auto"/>
                <w:shd w:val="clear" w:fill="auto"/>
              </w:rPr>
            </w:pPr>
            <w:r>
              <w:rPr>
                <w:rFonts w:hint="eastAsia" w:ascii="仿宋_GB2312" w:hAnsi="仿宋_GB2312" w:eastAsia="仿宋_GB2312" w:cs="仿宋_GB2312"/>
                <w:color w:val="000000"/>
                <w:sz w:val="24"/>
                <w:u w:val="none" w:color="auto"/>
                <w:shd w:val="clear" w:fill="auto"/>
              </w:rPr>
              <w:t>通过巡察发现问题，分析原因，提出建议，相关政策完全落实</w:t>
            </w:r>
            <w:r>
              <w:rPr>
                <w:u w:val="none" w:color="auto"/>
                <w:shd w:val="clear" w:fill="auto"/>
              </w:rPr>
              <w:t>。</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u w:val="none" w:color="auto"/>
                <w:shd w:val="clear" w:fill="auto"/>
              </w:rPr>
            </w:pPr>
            <w:r>
              <w:rPr>
                <w:rFonts w:hint="eastAsia" w:ascii="仿宋_GB2312" w:hAnsi="仿宋_GB2312" w:eastAsia="仿宋_GB2312" w:cs="仿宋_GB2312"/>
                <w:color w:val="000000"/>
                <w:sz w:val="24"/>
                <w:u w:val="none" w:color="auto"/>
                <w:shd w:val="clear" w:fill="auto"/>
              </w:rPr>
              <w:t>通过巡察发现问题，分析原因，提出建议，相关政策完全落实</w:t>
            </w:r>
            <w:r>
              <w:rPr>
                <w:u w:val="none" w:color="auto"/>
                <w:shd w:val="clear" w:fill="auto"/>
              </w:rPr>
              <w:t>。</w:t>
            </w:r>
          </w:p>
        </w:tc>
      </w:tr>
      <w:tr>
        <w:tblPrEx>
          <w:tblCellMar>
            <w:top w:w="0" w:type="dxa"/>
            <w:left w:w="108" w:type="dxa"/>
            <w:bottom w:w="0" w:type="dxa"/>
            <w:right w:w="108" w:type="dxa"/>
          </w:tblCellMar>
        </w:tblPrEx>
        <w:trPr>
          <w:gridAfter w:val="1"/>
          <w:wAfter w:w="240" w:type="dxa"/>
          <w:trHeight w:val="685" w:hRule="atLeast"/>
        </w:trPr>
        <w:tc>
          <w:tcPr>
            <w:tcW w:w="1070"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u w:val="none" w:color="auto"/>
                <w:shd w:val="clear" w:fill="auto"/>
              </w:rPr>
            </w:pPr>
          </w:p>
        </w:tc>
        <w:tc>
          <w:tcPr>
            <w:tcW w:w="1095" w:type="dxa"/>
            <w:vMerge w:val="restart"/>
            <w:tcBorders>
              <w:top w:val="single" w:color="000000" w:sz="4" w:space="0"/>
              <w:left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kern w:val="0"/>
                <w:sz w:val="24"/>
                <w:u w:val="none" w:color="auto"/>
                <w:shd w:val="clear" w:fill="auto"/>
              </w:rPr>
            </w:pPr>
            <w:r>
              <w:rPr>
                <w:rFonts w:hint="eastAsia" w:ascii="仿宋_GB2312" w:hAnsi="仿宋_GB2312" w:eastAsia="仿宋_GB2312" w:cs="仿宋_GB2312"/>
                <w:kern w:val="0"/>
                <w:sz w:val="24"/>
                <w:u w:val="none" w:color="auto"/>
                <w:shd w:val="clear" w:fill="auto"/>
              </w:rPr>
              <w:t>满意</w:t>
            </w:r>
          </w:p>
          <w:p>
            <w:pPr>
              <w:widowControl/>
              <w:spacing w:line="320" w:lineRule="exact"/>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度指标</w:t>
            </w:r>
          </w:p>
        </w:tc>
        <w:tc>
          <w:tcPr>
            <w:tcW w:w="1515" w:type="dxa"/>
            <w:vMerge w:val="restart"/>
            <w:tcBorders>
              <w:top w:val="single" w:color="000000" w:sz="4" w:space="0"/>
              <w:left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kern w:val="0"/>
                <w:sz w:val="24"/>
                <w:u w:val="none" w:color="auto"/>
                <w:shd w:val="clear" w:fill="auto"/>
              </w:rPr>
            </w:pPr>
            <w:r>
              <w:rPr>
                <w:rFonts w:hint="eastAsia" w:ascii="仿宋_GB2312" w:hAnsi="仿宋_GB2312" w:eastAsia="仿宋_GB2312" w:cs="仿宋_GB2312"/>
                <w:kern w:val="0"/>
                <w:sz w:val="24"/>
                <w:u w:val="none" w:color="auto"/>
                <w:shd w:val="clear" w:fill="auto"/>
              </w:rPr>
              <w:t>满意度</w:t>
            </w:r>
          </w:p>
          <w:p>
            <w:pPr>
              <w:widowControl/>
              <w:spacing w:line="320" w:lineRule="exact"/>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指标</w:t>
            </w:r>
          </w:p>
        </w:tc>
        <w:tc>
          <w:tcPr>
            <w:tcW w:w="229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县委相关领导认可度</w:t>
            </w:r>
          </w:p>
        </w:tc>
        <w:tc>
          <w:tcPr>
            <w:tcW w:w="238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ind w:firstLine="720" w:firstLineChars="300"/>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≧98%</w:t>
            </w:r>
          </w:p>
        </w:tc>
        <w:tc>
          <w:tcPr>
            <w:tcW w:w="1987"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ind w:firstLine="480" w:firstLineChars="200"/>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≧98%</w:t>
            </w:r>
          </w:p>
        </w:tc>
      </w:tr>
      <w:tr>
        <w:tblPrEx>
          <w:tblCellMar>
            <w:top w:w="0" w:type="dxa"/>
            <w:left w:w="108" w:type="dxa"/>
            <w:bottom w:w="0" w:type="dxa"/>
            <w:right w:w="108" w:type="dxa"/>
          </w:tblCellMar>
        </w:tblPrEx>
        <w:trPr>
          <w:gridAfter w:val="1"/>
          <w:wAfter w:w="240" w:type="dxa"/>
          <w:trHeight w:val="530" w:hRule="atLeast"/>
        </w:trPr>
        <w:tc>
          <w:tcPr>
            <w:tcW w:w="1070"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u w:val="none" w:color="auto"/>
                <w:shd w:val="clear" w:fill="auto"/>
              </w:rPr>
            </w:pPr>
          </w:p>
        </w:tc>
        <w:tc>
          <w:tcPr>
            <w:tcW w:w="1095"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p>
        </w:tc>
        <w:tc>
          <w:tcPr>
            <w:tcW w:w="1515"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被巡察单位认可度</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≧96%</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≧96%</w:t>
            </w:r>
          </w:p>
        </w:tc>
      </w:tr>
    </w:tbl>
    <w:p>
      <w:pPr>
        <w:widowControl/>
        <w:adjustRightInd w:val="0"/>
        <w:snapToGrid w:val="0"/>
        <w:spacing w:line="580" w:lineRule="exact"/>
        <w:ind w:firstLine="640" w:firstLineChars="200"/>
        <w:contextualSpacing/>
        <w:jc w:val="left"/>
        <w:rPr>
          <w:rFonts w:ascii="仿宋_GB2312" w:hAnsi="宋体" w:eastAsia="仿宋_GB2312" w:cs="宋体"/>
          <w:kern w:val="0"/>
          <w:sz w:val="32"/>
          <w:szCs w:val="32"/>
          <w:u w:val="none" w:color="auto"/>
          <w:shd w:val="clear" w:color="auto" w:fill="auto"/>
          <w:lang w:val="zh-CN"/>
        </w:rPr>
      </w:pPr>
    </w:p>
    <w:p>
      <w:pPr>
        <w:spacing w:line="580" w:lineRule="exact"/>
        <w:rPr>
          <w:rStyle w:val="29"/>
          <w:rFonts w:ascii="黑体" w:hAnsi="黑体" w:eastAsia="黑体"/>
          <w:b w:val="0"/>
          <w:u w:val="none" w:color="auto"/>
          <w:shd w:val="clear" w:fill="auto"/>
        </w:rPr>
      </w:pPr>
    </w:p>
    <w:p>
      <w:pPr>
        <w:pStyle w:val="3"/>
        <w:spacing w:before="93"/>
        <w:rPr>
          <w:rStyle w:val="29"/>
          <w:rFonts w:ascii="黑体" w:hAnsi="黑体" w:eastAsia="黑体"/>
          <w:b w:val="0"/>
          <w:u w:val="none" w:color="auto"/>
          <w:shd w:val="clear" w:fill="auto"/>
        </w:rPr>
      </w:pPr>
    </w:p>
    <w:p>
      <w:pPr>
        <w:pStyle w:val="15"/>
        <w:rPr>
          <w:rStyle w:val="29"/>
          <w:rFonts w:ascii="黑体" w:hAnsi="黑体" w:eastAsia="黑体"/>
          <w:b w:val="0"/>
          <w:u w:val="none" w:color="auto"/>
          <w:shd w:val="clear" w:fill="auto"/>
        </w:rPr>
      </w:pPr>
    </w:p>
    <w:p>
      <w:pPr>
        <w:rPr>
          <w:rStyle w:val="29"/>
          <w:rFonts w:ascii="黑体" w:hAnsi="黑体" w:eastAsia="黑体"/>
          <w:b w:val="0"/>
          <w:u w:val="none" w:color="auto"/>
          <w:shd w:val="clear" w:fill="auto"/>
        </w:rPr>
      </w:pPr>
    </w:p>
    <w:p>
      <w:pPr>
        <w:pStyle w:val="3"/>
        <w:spacing w:before="93"/>
        <w:rPr>
          <w:rStyle w:val="29"/>
          <w:rFonts w:ascii="黑体" w:hAnsi="黑体" w:eastAsia="黑体"/>
          <w:b w:val="0"/>
          <w:u w:val="none" w:color="auto"/>
          <w:shd w:val="clear" w:fill="auto"/>
        </w:rPr>
      </w:pPr>
    </w:p>
    <w:p>
      <w:pPr>
        <w:pStyle w:val="15"/>
        <w:rPr>
          <w:rStyle w:val="29"/>
          <w:rFonts w:ascii="黑体" w:hAnsi="黑体" w:eastAsia="黑体"/>
          <w:b w:val="0"/>
          <w:u w:val="none" w:color="auto"/>
          <w:shd w:val="clear" w:fill="auto"/>
        </w:rPr>
      </w:pPr>
    </w:p>
    <w:p>
      <w:pPr>
        <w:rPr>
          <w:rStyle w:val="29"/>
          <w:rFonts w:ascii="黑体" w:hAnsi="黑体" w:eastAsia="黑体"/>
          <w:b w:val="0"/>
          <w:u w:val="none" w:color="auto"/>
          <w:shd w:val="clear" w:fill="auto"/>
        </w:rPr>
      </w:pPr>
    </w:p>
    <w:p>
      <w:pPr>
        <w:pStyle w:val="3"/>
        <w:spacing w:before="93"/>
        <w:rPr>
          <w:rStyle w:val="29"/>
          <w:rFonts w:ascii="黑体" w:hAnsi="黑体" w:eastAsia="黑体"/>
          <w:b w:val="0"/>
          <w:u w:val="none" w:color="auto"/>
          <w:shd w:val="clear" w:fill="auto"/>
        </w:rPr>
      </w:pPr>
    </w:p>
    <w:p>
      <w:pPr>
        <w:pStyle w:val="15"/>
        <w:rPr>
          <w:rStyle w:val="29"/>
          <w:rFonts w:ascii="黑体" w:hAnsi="黑体" w:eastAsia="黑体"/>
          <w:b w:val="0"/>
          <w:u w:val="none" w:color="auto"/>
          <w:shd w:val="clear" w:fill="auto"/>
        </w:rPr>
      </w:pPr>
    </w:p>
    <w:p>
      <w:pPr>
        <w:rPr>
          <w:rStyle w:val="29"/>
          <w:rFonts w:ascii="黑体" w:hAnsi="黑体" w:eastAsia="黑体"/>
          <w:b w:val="0"/>
          <w:u w:val="none" w:color="auto"/>
          <w:shd w:val="clear" w:fill="auto"/>
        </w:rPr>
      </w:pPr>
    </w:p>
    <w:p>
      <w:pPr>
        <w:pStyle w:val="3"/>
        <w:spacing w:before="93"/>
        <w:rPr>
          <w:rStyle w:val="29"/>
          <w:rFonts w:ascii="黑体" w:hAnsi="黑体" w:eastAsia="黑体"/>
          <w:b w:val="0"/>
          <w:u w:val="none" w:color="auto"/>
          <w:shd w:val="clear" w:fill="auto"/>
        </w:rPr>
      </w:pPr>
    </w:p>
    <w:p>
      <w:pPr>
        <w:pStyle w:val="15"/>
        <w:rPr>
          <w:rStyle w:val="29"/>
          <w:rFonts w:ascii="黑体" w:hAnsi="黑体" w:eastAsia="黑体"/>
          <w:b w:val="0"/>
          <w:u w:val="none" w:color="auto"/>
          <w:shd w:val="clear" w:fill="auto"/>
        </w:rPr>
      </w:pPr>
    </w:p>
    <w:p>
      <w:pPr>
        <w:rPr>
          <w:rStyle w:val="29"/>
          <w:rFonts w:ascii="黑体" w:hAnsi="黑体" w:eastAsia="黑体"/>
          <w:b w:val="0"/>
          <w:u w:val="none" w:color="auto"/>
          <w:shd w:val="clear" w:fill="auto"/>
        </w:rPr>
      </w:pPr>
    </w:p>
    <w:p>
      <w:pPr>
        <w:pStyle w:val="3"/>
        <w:spacing w:before="93"/>
        <w:rPr>
          <w:rStyle w:val="29"/>
          <w:rFonts w:ascii="黑体" w:hAnsi="黑体" w:eastAsia="黑体"/>
          <w:b w:val="0"/>
          <w:u w:val="none" w:color="auto"/>
          <w:shd w:val="clear" w:fill="auto"/>
        </w:rPr>
      </w:pPr>
    </w:p>
    <w:p>
      <w:pPr>
        <w:pStyle w:val="15"/>
        <w:rPr>
          <w:rStyle w:val="29"/>
          <w:rFonts w:ascii="黑体" w:hAnsi="黑体" w:eastAsia="黑体"/>
          <w:b w:val="0"/>
          <w:u w:val="none" w:color="auto"/>
          <w:shd w:val="clear" w:fill="auto"/>
        </w:rPr>
      </w:pPr>
    </w:p>
    <w:p>
      <w:pPr>
        <w:rPr>
          <w:rStyle w:val="29"/>
          <w:rFonts w:ascii="黑体" w:hAnsi="黑体" w:eastAsia="黑体"/>
          <w:b w:val="0"/>
          <w:u w:val="none" w:color="auto"/>
          <w:shd w:val="clear" w:fill="auto"/>
        </w:rPr>
      </w:pPr>
    </w:p>
    <w:p>
      <w:pPr>
        <w:rPr>
          <w:rStyle w:val="29"/>
          <w:rFonts w:ascii="黑体" w:hAnsi="黑体" w:eastAsia="黑体"/>
          <w:b w:val="0"/>
          <w:u w:val="none" w:color="auto"/>
          <w:shd w:val="clear" w:fill="auto"/>
        </w:rPr>
      </w:pPr>
    </w:p>
    <w:p>
      <w:pPr>
        <w:rPr>
          <w:rStyle w:val="29"/>
          <w:rFonts w:ascii="黑体" w:hAnsi="黑体" w:eastAsia="黑体"/>
          <w:b w:val="0"/>
          <w:u w:val="none" w:color="auto"/>
          <w:shd w:val="clear" w:fill="auto"/>
        </w:rPr>
      </w:pPr>
    </w:p>
    <w:p>
      <w:pPr>
        <w:rPr>
          <w:rStyle w:val="29"/>
          <w:rFonts w:ascii="黑体" w:hAnsi="黑体" w:eastAsia="黑体"/>
          <w:b w:val="0"/>
          <w:u w:val="none" w:color="auto"/>
          <w:shd w:val="clear" w:fill="auto"/>
        </w:rPr>
      </w:pPr>
    </w:p>
    <w:p>
      <w:pPr>
        <w:pStyle w:val="35"/>
        <w:spacing w:line="560" w:lineRule="exact"/>
        <w:jc w:val="center"/>
        <w:rPr>
          <w:rFonts w:ascii="方正小标宋简体" w:hAnsi="方正小标宋简体" w:eastAsia="方正小标宋简体" w:cs="Times New Roman"/>
          <w:color w:val="auto"/>
          <w:kern w:val="2"/>
          <w:sz w:val="40"/>
          <w:szCs w:val="40"/>
          <w:u w:val="none" w:color="auto"/>
          <w:shd w:val="clear" w:fill="auto"/>
        </w:rPr>
      </w:pPr>
      <w:r>
        <w:rPr>
          <w:rFonts w:ascii="方正小标宋简体" w:hAnsi="方正小标宋简体" w:eastAsia="方正小标宋简体" w:cs="方正小标宋简体"/>
          <w:color w:val="auto"/>
          <w:kern w:val="2"/>
          <w:sz w:val="40"/>
          <w:szCs w:val="40"/>
          <w:u w:val="none" w:color="auto"/>
          <w:shd w:val="clear" w:fill="auto"/>
          <w:lang w:val="en-US"/>
        </w:rPr>
        <w:t>202</w:t>
      </w:r>
      <w:r>
        <w:rPr>
          <w:rFonts w:hint="eastAsia" w:ascii="方正小标宋简体" w:hAnsi="方正小标宋简体" w:eastAsia="方正小标宋简体" w:cs="方正小标宋简体"/>
          <w:color w:val="auto"/>
          <w:kern w:val="2"/>
          <w:sz w:val="40"/>
          <w:szCs w:val="40"/>
          <w:u w:val="none" w:color="auto"/>
          <w:shd w:val="clear" w:fill="auto"/>
          <w:lang w:val="en-US"/>
        </w:rPr>
        <w:t>1年脱贫攻坚</w:t>
      </w:r>
      <w:r>
        <w:rPr>
          <w:rFonts w:hint="eastAsia" w:ascii="方正小标宋简体" w:hAnsi="方正小标宋简体" w:eastAsia="方正小标宋简体" w:cs="方正小标宋简体"/>
          <w:color w:val="auto"/>
          <w:kern w:val="2"/>
          <w:sz w:val="40"/>
          <w:szCs w:val="40"/>
          <w:u w:val="none" w:color="auto"/>
          <w:shd w:val="clear" w:fill="auto"/>
        </w:rPr>
        <w:t>经费支出绩效自评报告</w:t>
      </w:r>
    </w:p>
    <w:p>
      <w:pPr>
        <w:pStyle w:val="35"/>
        <w:spacing w:line="560" w:lineRule="exact"/>
        <w:ind w:firstLine="640"/>
        <w:jc w:val="center"/>
        <w:rPr>
          <w:rFonts w:ascii="宋体" w:cs="Times New Roman"/>
          <w:color w:val="auto"/>
          <w:kern w:val="2"/>
          <w:sz w:val="32"/>
          <w:szCs w:val="32"/>
          <w:u w:val="none" w:color="auto"/>
          <w:shd w:val="clear" w:fill="auto"/>
        </w:rPr>
      </w:pPr>
    </w:p>
    <w:p>
      <w:pPr>
        <w:adjustRightInd w:val="0"/>
        <w:snapToGrid w:val="0"/>
        <w:spacing w:line="560" w:lineRule="exact"/>
        <w:ind w:firstLine="720"/>
        <w:rPr>
          <w:rFonts w:ascii="黑体" w:hAnsi="宋体" w:eastAsia="黑体"/>
          <w:b/>
          <w:bCs/>
          <w:sz w:val="28"/>
          <w:szCs w:val="28"/>
          <w:u w:val="none" w:color="auto"/>
          <w:shd w:val="clear" w:fill="auto"/>
          <w:lang w:val="zh-CN"/>
        </w:rPr>
      </w:pPr>
      <w:r>
        <w:rPr>
          <w:rFonts w:hint="eastAsia" w:ascii="黑体" w:hAnsi="宋体" w:eastAsia="黑体" w:cs="黑体"/>
          <w:b/>
          <w:bCs/>
          <w:sz w:val="28"/>
          <w:szCs w:val="28"/>
          <w:u w:val="none" w:color="auto"/>
          <w:shd w:val="clear" w:fill="auto"/>
        </w:rPr>
        <w:t>一、</w:t>
      </w:r>
      <w:r>
        <w:rPr>
          <w:rFonts w:hint="eastAsia" w:ascii="黑体" w:hAnsi="宋体" w:eastAsia="黑体" w:cs="黑体"/>
          <w:b/>
          <w:bCs/>
          <w:sz w:val="28"/>
          <w:szCs w:val="28"/>
          <w:u w:val="none" w:color="auto"/>
          <w:shd w:val="clear" w:fill="auto"/>
          <w:lang w:val="zh-CN"/>
        </w:rPr>
        <w:t>项目概况</w:t>
      </w:r>
    </w:p>
    <w:p>
      <w:pPr>
        <w:adjustRightInd w:val="0"/>
        <w:snapToGrid w:val="0"/>
        <w:spacing w:line="560" w:lineRule="exact"/>
        <w:ind w:firstLine="720"/>
        <w:rPr>
          <w:rFonts w:ascii="楷体_GB2312" w:hAnsi="宋体" w:eastAsia="楷体_GB2312"/>
          <w:b/>
          <w:bCs/>
          <w:sz w:val="28"/>
          <w:szCs w:val="28"/>
          <w:u w:val="none" w:color="auto"/>
          <w:shd w:val="clear" w:fill="auto"/>
          <w:lang w:val="zh-CN"/>
        </w:rPr>
      </w:pPr>
      <w:r>
        <w:rPr>
          <w:rFonts w:hint="eastAsia" w:ascii="楷体_GB2312" w:hAnsi="宋体" w:eastAsia="楷体_GB2312" w:cs="楷体_GB2312"/>
          <w:b/>
          <w:bCs/>
          <w:sz w:val="28"/>
          <w:szCs w:val="28"/>
          <w:u w:val="none" w:color="auto"/>
          <w:shd w:val="clear" w:fill="auto"/>
          <w:lang w:val="zh-CN"/>
        </w:rPr>
        <w:t>（一）项目基本情况。</w:t>
      </w:r>
    </w:p>
    <w:p>
      <w:pPr>
        <w:adjustRightInd w:val="0"/>
        <w:snapToGrid w:val="0"/>
        <w:spacing w:line="560" w:lineRule="exact"/>
        <w:ind w:firstLine="840" w:firstLineChars="300"/>
        <w:rPr>
          <w:rFonts w:ascii="仿宋_GB2312" w:hAnsi="宋体" w:eastAsia="仿宋_GB2312" w:cs="仿宋_GB2312"/>
          <w:sz w:val="28"/>
          <w:szCs w:val="28"/>
          <w:u w:val="none" w:color="auto"/>
          <w:shd w:val="clear" w:fill="auto"/>
          <w:lang w:val="zh-CN"/>
        </w:rPr>
      </w:pPr>
      <w:r>
        <w:rPr>
          <w:rFonts w:hint="eastAsia" w:ascii="仿宋_GB2312" w:hAnsi="宋体" w:eastAsia="仿宋_GB2312" w:cs="仿宋_GB2312"/>
          <w:sz w:val="28"/>
          <w:szCs w:val="28"/>
          <w:u w:val="none" w:color="auto"/>
          <w:shd w:val="clear" w:fill="auto"/>
          <w:lang w:val="zh-CN"/>
        </w:rPr>
        <w:t>1、主要职能。负责拟定巡察工作规划、年度计划和传达贯彻巡察工作领导小组的决策和部署</w:t>
      </w:r>
      <w:r>
        <w:rPr>
          <w:u w:val="none" w:color="auto"/>
          <w:shd w:val="clear" w:fill="auto"/>
        </w:rPr>
        <w:t>；</w:t>
      </w:r>
      <w:r>
        <w:rPr>
          <w:rFonts w:hint="eastAsia" w:ascii="仿宋_GB2312" w:hAnsi="宋体" w:eastAsia="仿宋_GB2312" w:cs="仿宋_GB2312"/>
          <w:sz w:val="28"/>
          <w:szCs w:val="28"/>
          <w:u w:val="none" w:color="auto"/>
          <w:shd w:val="clear" w:fill="auto"/>
          <w:lang w:val="zh-CN"/>
        </w:rPr>
        <w:t>负责政策研究、制度建设等工作</w:t>
      </w:r>
      <w:r>
        <w:rPr>
          <w:u w:val="none" w:color="auto"/>
          <w:shd w:val="clear" w:fill="auto"/>
        </w:rPr>
        <w:t>；</w:t>
      </w:r>
      <w:r>
        <w:rPr>
          <w:rFonts w:hint="eastAsia" w:ascii="仿宋_GB2312" w:hAnsi="宋体" w:eastAsia="仿宋_GB2312" w:cs="仿宋_GB2312"/>
          <w:sz w:val="28"/>
          <w:szCs w:val="28"/>
          <w:u w:val="none" w:color="auto"/>
          <w:shd w:val="clear" w:fill="auto"/>
          <w:lang w:val="zh-CN"/>
        </w:rPr>
        <w:t>负责统筹、协调、指导巡察组开展工作</w:t>
      </w:r>
      <w:r>
        <w:rPr>
          <w:u w:val="none" w:color="auto"/>
          <w:shd w:val="clear" w:fill="auto"/>
        </w:rPr>
        <w:t>；</w:t>
      </w:r>
      <w:r>
        <w:rPr>
          <w:rFonts w:hint="eastAsia" w:ascii="仿宋_GB2312" w:hAnsi="宋体" w:eastAsia="仿宋_GB2312" w:cs="仿宋_GB2312"/>
          <w:sz w:val="28"/>
          <w:szCs w:val="28"/>
          <w:u w:val="none" w:color="auto"/>
          <w:shd w:val="clear" w:fill="auto"/>
          <w:lang w:val="zh-CN"/>
        </w:rPr>
        <w:t>负责督办县委和县委巡察工作领导小组决定事项</w:t>
      </w:r>
      <w:r>
        <w:rPr>
          <w:u w:val="none" w:color="auto"/>
          <w:shd w:val="clear" w:fill="auto"/>
        </w:rPr>
        <w:t>；</w:t>
      </w:r>
      <w:r>
        <w:rPr>
          <w:rFonts w:hint="eastAsia" w:ascii="仿宋_GB2312" w:hAnsi="宋体" w:eastAsia="仿宋_GB2312" w:cs="仿宋_GB2312"/>
          <w:sz w:val="28"/>
          <w:szCs w:val="28"/>
          <w:u w:val="none" w:color="auto"/>
          <w:shd w:val="clear" w:fill="auto"/>
          <w:lang w:val="zh-CN"/>
        </w:rPr>
        <w:t>配合县纪委、县委组织部及有关部门对巡察工作人员进行培训、考核、监督和管理</w:t>
      </w:r>
      <w:r>
        <w:rPr>
          <w:u w:val="none" w:color="auto"/>
          <w:shd w:val="clear" w:fill="auto"/>
        </w:rPr>
        <w:t>；</w:t>
      </w:r>
      <w:r>
        <w:rPr>
          <w:rFonts w:hint="eastAsia" w:ascii="仿宋_GB2312" w:hAnsi="宋体" w:eastAsia="仿宋_GB2312" w:cs="仿宋_GB2312"/>
          <w:sz w:val="28"/>
          <w:szCs w:val="28"/>
          <w:u w:val="none" w:color="auto"/>
          <w:shd w:val="clear" w:fill="auto"/>
          <w:lang w:val="zh-CN"/>
        </w:rPr>
        <w:t>承办县委巡察工作领导小组和上级巡视或巡察工作领导小组办公室交办的其他事项，实现财政预算资金全方位、全过程、全覆盖绩效管理。</w:t>
      </w:r>
    </w:p>
    <w:p>
      <w:pPr>
        <w:adjustRightInd w:val="0"/>
        <w:snapToGrid w:val="0"/>
        <w:spacing w:line="560" w:lineRule="exact"/>
        <w:ind w:firstLine="560" w:firstLineChars="200"/>
        <w:rPr>
          <w:rFonts w:ascii="仿宋_GB2312" w:hAnsi="宋体" w:eastAsia="仿宋_GB2312" w:cs="仿宋_GB2312"/>
          <w:sz w:val="28"/>
          <w:szCs w:val="28"/>
          <w:u w:val="none" w:color="auto"/>
          <w:shd w:val="clear" w:fill="auto"/>
          <w:lang w:val="zh-CN"/>
        </w:rPr>
      </w:pPr>
      <w:r>
        <w:rPr>
          <w:rFonts w:hint="eastAsia" w:ascii="仿宋_GB2312" w:hAnsi="宋体" w:eastAsia="仿宋_GB2312" w:cs="仿宋_GB2312"/>
          <w:sz w:val="28"/>
          <w:szCs w:val="28"/>
          <w:u w:val="none" w:color="auto"/>
          <w:shd w:val="clear" w:fill="auto"/>
          <w:lang w:val="zh-CN"/>
        </w:rPr>
        <w:t>2．项目立项、资金申报的依据。</w:t>
      </w:r>
    </w:p>
    <w:p>
      <w:pPr>
        <w:pStyle w:val="5"/>
        <w:widowControl/>
        <w:shd w:val="clear" w:color="auto" w:fill="FFFFFF"/>
        <w:spacing w:beforeAutospacing="0" w:afterAutospacing="0" w:line="560" w:lineRule="exact"/>
        <w:ind w:firstLine="600"/>
        <w:jc w:val="both"/>
        <w:rPr>
          <w:rFonts w:ascii="仿宋_GB2312" w:hAnsi="宋体" w:cs="仿宋_GB2312"/>
          <w:sz w:val="28"/>
          <w:szCs w:val="28"/>
          <w:u w:val="none" w:color="auto"/>
          <w:shd w:val="clear" w:fill="auto"/>
          <w:lang w:val="zh-CN"/>
        </w:rPr>
      </w:pPr>
      <w:r>
        <w:rPr>
          <w:rFonts w:hint="eastAsia" w:ascii="仿宋_GB2312" w:hAnsi="宋体" w:eastAsia="仿宋_GB2312" w:cs="仿宋_GB2312"/>
          <w:kern w:val="2"/>
          <w:sz w:val="28"/>
          <w:szCs w:val="28"/>
          <w:u w:val="none" w:color="auto"/>
          <w:shd w:val="clear" w:fill="auto"/>
          <w:lang w:val="zh-CN"/>
        </w:rPr>
        <w:t>根据绩效评价要求，对驻村工作经费从预算配置、预算执行、预算管理、职责履行、履职效益等方面，对照《部门整体支出绩效评价指标表》客观公正开展2020年度专项经费支出绩效自评工作。</w:t>
      </w:r>
      <w:r>
        <w:rPr>
          <w:rFonts w:ascii="仿宋_GB2312" w:hAnsi="宋体" w:eastAsia="仿宋_GB2312" w:cs="仿宋_GB2312"/>
          <w:kern w:val="2"/>
          <w:sz w:val="28"/>
          <w:szCs w:val="28"/>
          <w:u w:val="none" w:color="auto"/>
          <w:shd w:val="clear" w:fill="auto"/>
        </w:rPr>
        <w:t>脱贫攻坚专项工作经费为</w:t>
      </w:r>
      <w:r>
        <w:rPr>
          <w:rFonts w:hint="eastAsia" w:ascii="仿宋_GB2312" w:hAnsi="宋体" w:eastAsia="仿宋_GB2312" w:cs="仿宋_GB2312"/>
          <w:kern w:val="2"/>
          <w:sz w:val="28"/>
          <w:szCs w:val="28"/>
          <w:u w:val="none" w:color="auto"/>
          <w:shd w:val="clear" w:fill="auto"/>
        </w:rPr>
        <w:t>我办</w:t>
      </w:r>
      <w:r>
        <w:rPr>
          <w:rFonts w:ascii="仿宋_GB2312" w:hAnsi="宋体" w:eastAsia="仿宋_GB2312" w:cs="仿宋_GB2312"/>
          <w:kern w:val="2"/>
          <w:sz w:val="28"/>
          <w:szCs w:val="28"/>
          <w:u w:val="none" w:color="auto"/>
          <w:shd w:val="clear" w:fill="auto"/>
        </w:rPr>
        <w:t>脱贫攻坚工作顺利完成提供了保障</w:t>
      </w:r>
      <w:r>
        <w:rPr>
          <w:rFonts w:hint="eastAsia" w:ascii="仿宋_GB2312" w:hAnsi="宋体" w:eastAsia="仿宋_GB2312" w:cs="仿宋_GB2312"/>
          <w:kern w:val="2"/>
          <w:sz w:val="28"/>
          <w:szCs w:val="28"/>
          <w:u w:val="none" w:color="auto"/>
          <w:shd w:val="clear" w:fill="auto"/>
        </w:rPr>
        <w:t>。</w:t>
      </w:r>
    </w:p>
    <w:p>
      <w:pPr>
        <w:adjustRightInd w:val="0"/>
        <w:snapToGrid w:val="0"/>
        <w:spacing w:line="560" w:lineRule="exact"/>
        <w:ind w:firstLine="560" w:firstLineChars="200"/>
        <w:rPr>
          <w:rFonts w:ascii="仿宋_GB2312" w:hAnsi="宋体" w:eastAsia="仿宋_GB2312" w:cs="仿宋_GB2312"/>
          <w:sz w:val="28"/>
          <w:szCs w:val="28"/>
          <w:u w:val="none" w:color="auto"/>
          <w:shd w:val="clear" w:fill="auto"/>
          <w:lang w:val="zh-CN"/>
        </w:rPr>
      </w:pPr>
      <w:r>
        <w:rPr>
          <w:rFonts w:hint="eastAsia" w:ascii="仿宋_GB2312" w:hAnsi="宋体" w:eastAsia="仿宋_GB2312" w:cs="仿宋_GB2312"/>
          <w:sz w:val="28"/>
          <w:szCs w:val="28"/>
          <w:u w:val="none" w:color="auto"/>
          <w:shd w:val="clear" w:fill="auto"/>
        </w:rPr>
        <w:t>3、</w:t>
      </w:r>
      <w:r>
        <w:rPr>
          <w:rFonts w:hint="eastAsia" w:ascii="仿宋_GB2312" w:hAnsi="宋体" w:eastAsia="仿宋_GB2312" w:cs="仿宋_GB2312"/>
          <w:sz w:val="28"/>
          <w:szCs w:val="28"/>
          <w:u w:val="none" w:color="auto"/>
          <w:shd w:val="clear" w:fill="auto"/>
          <w:lang w:val="zh-CN"/>
        </w:rPr>
        <w:t>资金管理办法制定情况，资金支持具体项目的条件、范围与支持方式概况。</w:t>
      </w:r>
    </w:p>
    <w:p>
      <w:pPr>
        <w:adjustRightInd w:val="0"/>
        <w:snapToGrid w:val="0"/>
        <w:spacing w:line="560" w:lineRule="exact"/>
        <w:ind w:firstLine="560" w:firstLineChars="200"/>
        <w:rPr>
          <w:rFonts w:ascii="仿宋_GB2312" w:hAnsi="宋体" w:eastAsia="仿宋_GB2312" w:cs="仿宋_GB2312"/>
          <w:sz w:val="28"/>
          <w:szCs w:val="28"/>
          <w:u w:val="none" w:color="auto"/>
          <w:shd w:val="clear" w:fill="auto"/>
          <w:lang w:val="zh-CN"/>
        </w:rPr>
      </w:pPr>
      <w:r>
        <w:rPr>
          <w:rFonts w:hint="eastAsia" w:ascii="仿宋_GB2312" w:hAnsi="宋体" w:eastAsia="仿宋_GB2312" w:cs="仿宋_GB2312"/>
          <w:sz w:val="28"/>
          <w:szCs w:val="28"/>
          <w:u w:val="none" w:color="auto"/>
          <w:shd w:val="clear" w:fill="auto"/>
          <w:lang w:val="zh-CN"/>
        </w:rPr>
        <w:t>在资金使用上一直按照国家财经法规和本单位财务管理制度规定以及有关专项资金管理办法的规定收支，资金拨付有完整的审批程序和手续，按照财经制度的有关要求，有计划地安排、使用资金，严格落实财务审批制度。重大开支办公会集体研究，保证资金使用合法合规，</w:t>
      </w:r>
      <w:r>
        <w:rPr>
          <w:rFonts w:hint="eastAsia" w:ascii="仿宋_GB2312" w:hAnsi="宋体" w:eastAsia="仿宋_GB2312" w:cs="仿宋_GB2312"/>
          <w:sz w:val="28"/>
          <w:szCs w:val="28"/>
          <w:u w:val="none" w:color="auto"/>
          <w:shd w:val="clear" w:fill="auto"/>
          <w:lang w:val="zh-CN"/>
        </w:rPr>
        <w:t>同时</w:t>
      </w:r>
      <w:r>
        <w:rPr>
          <w:rFonts w:hint="eastAsia" w:ascii="仿宋_GB2312" w:hAnsi="宋体" w:eastAsia="仿宋_GB2312" w:cs="仿宋_GB2312"/>
          <w:sz w:val="28"/>
          <w:szCs w:val="28"/>
          <w:u w:val="none" w:color="auto"/>
          <w:shd w:val="clear" w:fill="auto"/>
          <w:lang w:val="en-US" w:eastAsia="zh-CN"/>
        </w:rPr>
        <w:t>确保</w:t>
      </w:r>
      <w:r>
        <w:rPr>
          <w:rFonts w:hint="eastAsia" w:ascii="仿宋_GB2312" w:hAnsi="宋体" w:eastAsia="仿宋_GB2312" w:cs="仿宋_GB2312"/>
          <w:sz w:val="28"/>
          <w:szCs w:val="28"/>
          <w:u w:val="none" w:color="auto"/>
          <w:shd w:val="clear" w:fill="auto"/>
          <w:lang w:val="zh-CN"/>
        </w:rPr>
        <w:t xml:space="preserve">资金使用无截留、挤占、挪用、虚列支出等情况。在严格执行各项有关法律法规、财务规章制度的同时，我们单位还制定了《关于进一步严肃会议纪律的通知》《关于规范请假休假制度严格考勤的通知》《巡察办公务接待及财务报账制度》等制度。 </w:t>
      </w:r>
    </w:p>
    <w:p>
      <w:pPr>
        <w:adjustRightInd w:val="0"/>
        <w:snapToGrid w:val="0"/>
        <w:spacing w:line="560" w:lineRule="exact"/>
        <w:ind w:firstLine="560" w:firstLineChars="200"/>
        <w:rPr>
          <w:rFonts w:ascii="仿宋_GB2312" w:hAnsi="宋体" w:eastAsia="仿宋_GB2312" w:cs="仿宋_GB2312"/>
          <w:sz w:val="28"/>
          <w:szCs w:val="28"/>
          <w:u w:val="none" w:color="auto"/>
          <w:shd w:val="clear" w:fill="auto"/>
          <w:lang w:val="zh-CN"/>
        </w:rPr>
      </w:pPr>
      <w:r>
        <w:rPr>
          <w:rFonts w:hint="eastAsia" w:ascii="仿宋_GB2312" w:hAnsi="宋体" w:eastAsia="仿宋_GB2312" w:cs="仿宋_GB2312"/>
          <w:sz w:val="28"/>
          <w:szCs w:val="28"/>
          <w:u w:val="none" w:color="auto"/>
          <w:shd w:val="clear" w:fill="auto"/>
          <w:lang w:val="zh-CN"/>
        </w:rPr>
        <w:t>4．资金分配的原则及考虑因素。</w:t>
      </w:r>
    </w:p>
    <w:p>
      <w:pPr>
        <w:adjustRightInd w:val="0"/>
        <w:snapToGrid w:val="0"/>
        <w:spacing w:line="560" w:lineRule="exact"/>
        <w:ind w:firstLine="560" w:firstLineChars="200"/>
        <w:rPr>
          <w:rFonts w:ascii="仿宋_GB2312" w:hAnsi="宋体" w:eastAsia="仿宋_GB2312" w:cs="仿宋_GB2312"/>
          <w:sz w:val="28"/>
          <w:szCs w:val="28"/>
          <w:u w:val="none" w:color="auto"/>
          <w:shd w:val="clear" w:fill="auto"/>
        </w:rPr>
      </w:pPr>
      <w:r>
        <w:rPr>
          <w:rFonts w:hint="eastAsia" w:ascii="仿宋_GB2312" w:hAnsi="宋体" w:eastAsia="仿宋_GB2312" w:cs="仿宋_GB2312"/>
          <w:sz w:val="28"/>
          <w:szCs w:val="28"/>
          <w:u w:val="none" w:color="auto"/>
          <w:shd w:val="clear" w:fill="auto"/>
          <w:lang w:val="zh-CN"/>
        </w:rPr>
        <w:t>量入为出，结合本单位实际，根据各项费用产生的频率及数额大小在各项经济科目中进行分配。</w:t>
      </w:r>
    </w:p>
    <w:p>
      <w:pPr>
        <w:adjustRightInd w:val="0"/>
        <w:snapToGrid w:val="0"/>
        <w:spacing w:line="560" w:lineRule="exact"/>
        <w:ind w:firstLine="562" w:firstLineChars="200"/>
        <w:rPr>
          <w:rFonts w:ascii="仿宋_GB2312" w:hAnsi="仿宋_GB2312" w:eastAsia="仿宋_GB2312" w:cs="仿宋_GB2312"/>
          <w:b/>
          <w:bCs/>
          <w:sz w:val="28"/>
          <w:szCs w:val="28"/>
          <w:u w:val="none" w:color="auto"/>
          <w:shd w:val="clear" w:fill="auto"/>
          <w:lang w:val="zh-CN"/>
        </w:rPr>
      </w:pPr>
      <w:r>
        <w:rPr>
          <w:rFonts w:hint="eastAsia" w:ascii="仿宋_GB2312" w:hAnsi="仿宋_GB2312" w:eastAsia="仿宋_GB2312" w:cs="仿宋_GB2312"/>
          <w:b/>
          <w:bCs/>
          <w:sz w:val="28"/>
          <w:szCs w:val="28"/>
          <w:u w:val="none" w:color="auto"/>
          <w:shd w:val="clear" w:fill="auto"/>
          <w:lang w:val="zh-CN"/>
        </w:rPr>
        <w:t>（二）项目绩效目标。</w:t>
      </w:r>
    </w:p>
    <w:p>
      <w:pPr>
        <w:adjustRightInd w:val="0"/>
        <w:snapToGrid w:val="0"/>
        <w:spacing w:line="560" w:lineRule="exact"/>
        <w:ind w:firstLine="560" w:firstLineChars="200"/>
        <w:rPr>
          <w:rFonts w:ascii="仿宋_GB2312" w:hAnsi="仿宋_GB2312" w:eastAsia="仿宋_GB2312" w:cs="仿宋_GB2312"/>
          <w:sz w:val="28"/>
          <w:szCs w:val="28"/>
          <w:u w:val="none" w:color="auto"/>
          <w:shd w:val="clear" w:fill="auto"/>
          <w:lang w:val="zh-CN"/>
        </w:rPr>
      </w:pPr>
      <w:r>
        <w:rPr>
          <w:rFonts w:hint="eastAsia" w:ascii="仿宋_GB2312" w:hAnsi="仿宋_GB2312" w:eastAsia="仿宋_GB2312" w:cs="仿宋_GB2312"/>
          <w:sz w:val="28"/>
          <w:szCs w:val="28"/>
          <w:u w:val="none" w:color="auto"/>
          <w:shd w:val="clear" w:fill="auto"/>
          <w:lang w:val="zh-CN"/>
        </w:rPr>
        <w:t>1．项目主要内容。</w:t>
      </w:r>
    </w:p>
    <w:p>
      <w:pPr>
        <w:widowControl/>
        <w:shd w:val="clear" w:color="auto" w:fill="FFFFFF"/>
        <w:spacing w:line="560" w:lineRule="exact"/>
        <w:ind w:firstLine="643"/>
        <w:rPr>
          <w:rFonts w:ascii="仿宋_GB2312" w:hAnsi="仿宋_GB2312" w:eastAsia="仿宋_GB2312" w:cs="仿宋_GB2312"/>
          <w:color w:val="333333"/>
          <w:sz w:val="28"/>
          <w:szCs w:val="28"/>
          <w:u w:val="none" w:color="auto"/>
          <w:shd w:val="clear" w:fill="auto"/>
        </w:rPr>
      </w:pPr>
      <w:r>
        <w:rPr>
          <w:rFonts w:hint="eastAsia" w:ascii="仿宋_GB2312" w:hAnsi="仿宋_GB2312" w:eastAsia="仿宋_GB2312" w:cs="仿宋_GB2312"/>
          <w:color w:val="333333"/>
          <w:kern w:val="0"/>
          <w:sz w:val="28"/>
          <w:szCs w:val="28"/>
          <w:u w:val="none" w:color="auto"/>
          <w:shd w:val="clear" w:color="auto" w:fill="auto"/>
        </w:rPr>
        <w:t>坚持以脱贫攻坚统领经济社会发展全局，以减贫任务为目标以连片开发为载体以持续增收为核心、以痕迹管理为路径、决战决胜脱贫攻坚。脱贫攻坚工作经费主要用于脱贫攻坚相关资料印刷复印费、脱贫攻坚相关业务培训费、差旅费、脱贫攻坚相关政策及成果宣传费以及迎接各级单位来通检查费用开支等。</w:t>
      </w:r>
      <w:r>
        <w:rPr>
          <w:u w:val="none" w:color="auto"/>
          <w:shd w:val="clear" w:fill="auto"/>
        </w:rPr>
        <w:commentReference w:id="0"/>
      </w:r>
    </w:p>
    <w:p>
      <w:pPr>
        <w:adjustRightInd w:val="0"/>
        <w:snapToGrid w:val="0"/>
        <w:spacing w:line="560" w:lineRule="exact"/>
        <w:ind w:firstLine="560" w:firstLineChars="200"/>
        <w:rPr>
          <w:rFonts w:ascii="仿宋_GB2312" w:hAnsi="仿宋_GB2312" w:eastAsia="仿宋_GB2312" w:cs="仿宋_GB2312"/>
          <w:sz w:val="28"/>
          <w:szCs w:val="28"/>
          <w:u w:val="none" w:color="auto"/>
          <w:shd w:val="clear" w:fill="auto"/>
          <w:lang w:val="zh-CN"/>
        </w:rPr>
      </w:pPr>
      <w:r>
        <w:rPr>
          <w:rFonts w:hint="eastAsia" w:ascii="仿宋_GB2312" w:hAnsi="仿宋_GB2312" w:eastAsia="仿宋_GB2312" w:cs="仿宋_GB2312"/>
          <w:sz w:val="28"/>
          <w:szCs w:val="28"/>
          <w:u w:val="none" w:color="auto"/>
          <w:shd w:val="clear" w:fill="auto"/>
          <w:lang w:val="zh-CN"/>
        </w:rPr>
        <w:t>2．项目实现的具体绩效目标。</w:t>
      </w:r>
    </w:p>
    <w:p>
      <w:pPr>
        <w:widowControl/>
        <w:shd w:val="clear" w:color="auto" w:fill="FFFFFF"/>
        <w:spacing w:line="560" w:lineRule="exact"/>
        <w:ind w:firstLine="560" w:firstLineChars="200"/>
        <w:rPr>
          <w:rFonts w:ascii="仿宋_GB2312" w:hAnsi="仿宋_GB2312" w:eastAsia="仿宋_GB2312" w:cs="仿宋_GB2312"/>
          <w:color w:val="333333"/>
          <w:kern w:val="0"/>
          <w:sz w:val="28"/>
          <w:szCs w:val="28"/>
          <w:u w:val="none" w:color="auto"/>
          <w:shd w:val="clear" w:color="auto" w:fill="auto"/>
        </w:rPr>
      </w:pPr>
      <w:r>
        <w:rPr>
          <w:rFonts w:hint="eastAsia" w:ascii="仿宋_GB2312" w:hAnsi="仿宋_GB2312" w:eastAsia="仿宋_GB2312" w:cs="仿宋_GB2312"/>
          <w:color w:val="333333"/>
          <w:kern w:val="0"/>
          <w:sz w:val="28"/>
          <w:szCs w:val="28"/>
          <w:u w:val="none" w:color="auto"/>
          <w:shd w:val="clear" w:color="auto" w:fill="auto"/>
        </w:rPr>
        <w:t>为了规范项目实施，有效、</w:t>
      </w:r>
      <w:r>
        <w:rPr>
          <w:rFonts w:hint="eastAsia" w:ascii="仿宋_GB2312" w:hAnsi="仿宋_GB2312" w:eastAsia="仿宋_GB2312" w:cs="仿宋_GB2312"/>
          <w:color w:val="333333"/>
          <w:kern w:val="0"/>
          <w:sz w:val="28"/>
          <w:szCs w:val="28"/>
          <w:u w:val="none" w:color="auto"/>
          <w:shd w:val="clear" w:color="auto" w:fill="auto"/>
          <w:lang w:eastAsia="zh-CN"/>
        </w:rPr>
        <w:t>安全地使用</w:t>
      </w:r>
      <w:r>
        <w:rPr>
          <w:rFonts w:hint="eastAsia" w:ascii="仿宋_GB2312" w:hAnsi="仿宋_GB2312" w:eastAsia="仿宋_GB2312" w:cs="仿宋_GB2312"/>
          <w:color w:val="333333"/>
          <w:kern w:val="0"/>
          <w:sz w:val="28"/>
          <w:szCs w:val="28"/>
          <w:u w:val="none" w:color="auto"/>
          <w:shd w:val="clear" w:color="auto" w:fill="auto"/>
        </w:rPr>
        <w:t>和管理脱贫攻坚工作经费，实现巩固拓展脱贫攻坚成果同乡村振兴有效衔接，做到群众满意度100%，将脱贫攻坚工作经费按公务费管理办法进行按月序时申报。我单位制定了《财务管理制度》，加强对该项工作经费的实施、使用进行监督管理，确保专款专用，严禁任何截留、挤占、挪用专项经费的行为。</w:t>
      </w:r>
    </w:p>
    <w:p>
      <w:pPr>
        <w:adjustRightInd w:val="0"/>
        <w:snapToGrid w:val="0"/>
        <w:spacing w:line="560" w:lineRule="exact"/>
        <w:ind w:firstLine="560" w:firstLineChars="200"/>
        <w:rPr>
          <w:rFonts w:ascii="仿宋_GB2312" w:hAnsi="仿宋_GB2312" w:eastAsia="仿宋_GB2312" w:cs="仿宋_GB2312"/>
          <w:sz w:val="28"/>
          <w:szCs w:val="28"/>
          <w:u w:val="none" w:color="auto"/>
          <w:shd w:val="clear" w:fill="auto"/>
          <w:lang w:val="zh-CN"/>
        </w:rPr>
      </w:pPr>
      <w:r>
        <w:rPr>
          <w:rFonts w:hint="eastAsia" w:ascii="仿宋_GB2312" w:hAnsi="仿宋_GB2312" w:eastAsia="仿宋_GB2312" w:cs="仿宋_GB2312"/>
          <w:sz w:val="28"/>
          <w:szCs w:val="28"/>
          <w:u w:val="none" w:color="auto"/>
          <w:shd w:val="clear" w:fill="auto"/>
        </w:rPr>
        <w:t>3、</w:t>
      </w:r>
      <w:r>
        <w:rPr>
          <w:rFonts w:hint="eastAsia" w:ascii="仿宋_GB2312" w:hAnsi="仿宋_GB2312" w:eastAsia="仿宋_GB2312" w:cs="仿宋_GB2312"/>
          <w:sz w:val="28"/>
          <w:szCs w:val="28"/>
          <w:u w:val="none" w:color="auto"/>
          <w:shd w:val="clear" w:fill="auto"/>
          <w:lang w:val="zh-CN"/>
        </w:rPr>
        <w:t>分析评价申报内容是否与实际相符，申报目标是否合理可行。</w:t>
      </w:r>
    </w:p>
    <w:p>
      <w:pPr>
        <w:adjustRightInd w:val="0"/>
        <w:snapToGrid w:val="0"/>
        <w:spacing w:line="560" w:lineRule="exact"/>
        <w:rPr>
          <w:rFonts w:ascii="仿宋_GB2312" w:hAnsi="微软雅黑" w:eastAsia="仿宋_GB2312" w:cs="仿宋_GB2312"/>
          <w:color w:val="333333"/>
          <w:kern w:val="0"/>
          <w:sz w:val="28"/>
          <w:szCs w:val="28"/>
          <w:u w:val="none" w:color="auto"/>
          <w:shd w:val="clear" w:color="auto" w:fill="auto"/>
        </w:rPr>
      </w:pPr>
      <w:r>
        <w:rPr>
          <w:rFonts w:ascii="仿宋_GB2312" w:hAnsi="微软雅黑" w:eastAsia="仿宋_GB2312" w:cs="仿宋_GB2312"/>
          <w:color w:val="333333"/>
          <w:kern w:val="0"/>
          <w:sz w:val="28"/>
          <w:szCs w:val="28"/>
          <w:u w:val="none" w:color="auto"/>
          <w:shd w:val="clear" w:color="auto" w:fill="auto"/>
        </w:rPr>
        <w:t>脱贫攻坚专项经费申报内容与具体实施内容相符、申报目标合理可行</w:t>
      </w:r>
      <w:r>
        <w:rPr>
          <w:rFonts w:hint="eastAsia" w:ascii="仿宋_GB2312" w:hAnsi="微软雅黑" w:cs="仿宋_GB2312"/>
          <w:color w:val="333333"/>
          <w:kern w:val="0"/>
          <w:sz w:val="28"/>
          <w:szCs w:val="28"/>
          <w:u w:val="none" w:color="auto"/>
          <w:shd w:val="clear" w:color="auto" w:fill="auto"/>
        </w:rPr>
        <w:t>。</w:t>
      </w:r>
    </w:p>
    <w:p>
      <w:pPr>
        <w:numPr>
          <w:ilvl w:val="0"/>
          <w:numId w:val="7"/>
        </w:numPr>
        <w:adjustRightInd w:val="0"/>
        <w:snapToGrid w:val="0"/>
        <w:spacing w:line="560" w:lineRule="exact"/>
        <w:ind w:firstLine="562" w:firstLineChars="200"/>
        <w:rPr>
          <w:rFonts w:ascii="仿宋_GB2312" w:hAnsi="仿宋_GB2312" w:eastAsia="仿宋_GB2312" w:cs="仿宋_GB2312"/>
          <w:b/>
          <w:bCs/>
          <w:sz w:val="28"/>
          <w:szCs w:val="28"/>
          <w:u w:val="none" w:color="auto"/>
          <w:shd w:val="clear" w:fill="auto"/>
          <w:lang w:val="zh-CN"/>
        </w:rPr>
      </w:pPr>
      <w:r>
        <w:rPr>
          <w:rFonts w:hint="eastAsia" w:ascii="仿宋_GB2312" w:hAnsi="仿宋_GB2312" w:eastAsia="仿宋_GB2312" w:cs="仿宋_GB2312"/>
          <w:b/>
          <w:bCs/>
          <w:sz w:val="28"/>
          <w:szCs w:val="28"/>
          <w:u w:val="none" w:color="auto"/>
          <w:shd w:val="clear" w:fill="auto"/>
          <w:lang w:val="zh-CN"/>
        </w:rPr>
        <w:t>项目自评步骤及方法。</w:t>
      </w:r>
    </w:p>
    <w:p>
      <w:pPr>
        <w:adjustRightInd w:val="0"/>
        <w:snapToGrid w:val="0"/>
        <w:spacing w:line="560" w:lineRule="exact"/>
        <w:ind w:firstLine="560" w:firstLineChars="200"/>
        <w:rPr>
          <w:rFonts w:ascii="仿宋_GB2312" w:hAnsi="仿宋_GB2312" w:eastAsia="仿宋_GB2312" w:cs="仿宋_GB2312"/>
          <w:color w:val="333333"/>
          <w:kern w:val="0"/>
          <w:sz w:val="28"/>
          <w:szCs w:val="28"/>
          <w:u w:val="none" w:color="auto"/>
          <w:shd w:val="clear" w:color="auto" w:fill="auto"/>
          <w:lang w:val="zh-CN"/>
        </w:rPr>
      </w:pPr>
      <w:r>
        <w:rPr>
          <w:rFonts w:hint="eastAsia" w:ascii="仿宋_GB2312" w:hAnsi="仿宋_GB2312" w:eastAsia="仿宋_GB2312" w:cs="仿宋_GB2312"/>
          <w:color w:val="333333"/>
          <w:kern w:val="0"/>
          <w:sz w:val="28"/>
          <w:szCs w:val="28"/>
          <w:u w:val="none" w:color="auto"/>
          <w:shd w:val="clear" w:color="auto" w:fill="auto"/>
          <w:lang w:val="zh-CN"/>
        </w:rPr>
        <w:t>该项目按项目预算申报、资金下达、项目实施、竣工验收、资金支付等步骤，通过查阅资料、核实了解项目具体内容、向相关人员了解报账情况等方式进行自评。</w:t>
      </w:r>
    </w:p>
    <w:p>
      <w:pPr>
        <w:adjustRightInd w:val="0"/>
        <w:snapToGrid w:val="0"/>
        <w:spacing w:line="560" w:lineRule="exact"/>
        <w:ind w:firstLine="562" w:firstLineChars="200"/>
        <w:rPr>
          <w:rFonts w:ascii="黑体" w:hAnsi="黑体" w:eastAsia="黑体" w:cs="黑体"/>
          <w:b/>
          <w:bCs/>
          <w:sz w:val="28"/>
          <w:szCs w:val="28"/>
          <w:u w:val="none" w:color="auto"/>
          <w:shd w:val="clear" w:fill="auto"/>
          <w:lang w:val="zh-CN"/>
        </w:rPr>
      </w:pPr>
      <w:r>
        <w:rPr>
          <w:rFonts w:hint="eastAsia" w:ascii="黑体" w:hAnsi="黑体" w:eastAsia="黑体" w:cs="黑体"/>
          <w:b/>
          <w:bCs/>
          <w:sz w:val="28"/>
          <w:szCs w:val="28"/>
          <w:u w:val="none" w:color="auto"/>
          <w:shd w:val="clear" w:fill="auto"/>
          <w:lang w:val="zh-CN"/>
        </w:rPr>
        <w:t>二、项目资金申报及使用情况</w:t>
      </w:r>
    </w:p>
    <w:p>
      <w:pPr>
        <w:adjustRightInd w:val="0"/>
        <w:snapToGrid w:val="0"/>
        <w:spacing w:line="560" w:lineRule="exact"/>
        <w:ind w:firstLine="562" w:firstLineChars="200"/>
        <w:rPr>
          <w:rFonts w:ascii="仿宋_GB2312" w:hAnsi="仿宋_GB2312" w:eastAsia="仿宋_GB2312" w:cs="仿宋_GB2312"/>
          <w:b/>
          <w:bCs/>
          <w:sz w:val="28"/>
          <w:szCs w:val="28"/>
          <w:u w:val="none" w:color="auto"/>
          <w:shd w:val="clear" w:fill="auto"/>
          <w:lang w:val="zh-CN"/>
        </w:rPr>
      </w:pPr>
      <w:r>
        <w:rPr>
          <w:rFonts w:hint="eastAsia" w:ascii="仿宋_GB2312" w:hAnsi="仿宋_GB2312" w:eastAsia="仿宋_GB2312" w:cs="仿宋_GB2312"/>
          <w:b/>
          <w:bCs/>
          <w:sz w:val="28"/>
          <w:szCs w:val="28"/>
          <w:u w:val="none" w:color="auto"/>
          <w:shd w:val="clear" w:fill="auto"/>
          <w:lang w:val="zh-CN"/>
        </w:rPr>
        <w:t>（一）项目资金申报及批复情况。</w:t>
      </w:r>
    </w:p>
    <w:p>
      <w:pPr>
        <w:adjustRightInd w:val="0"/>
        <w:snapToGrid w:val="0"/>
        <w:spacing w:line="560" w:lineRule="exact"/>
        <w:ind w:firstLine="560" w:firstLineChars="200"/>
        <w:rPr>
          <w:rFonts w:ascii="仿宋_GB2312" w:hAnsi="仿宋_GB2312" w:eastAsia="仿宋_GB2312" w:cs="仿宋_GB2312"/>
          <w:sz w:val="28"/>
          <w:szCs w:val="28"/>
          <w:u w:val="none" w:color="auto"/>
          <w:shd w:val="clear" w:fill="auto"/>
          <w:lang w:val="zh-CN"/>
        </w:rPr>
      </w:pPr>
      <w:r>
        <w:rPr>
          <w:rFonts w:hint="eastAsia" w:ascii="仿宋_GB2312" w:hAnsi="仿宋_GB2312" w:eastAsia="仿宋_GB2312" w:cs="仿宋_GB2312"/>
          <w:sz w:val="28"/>
          <w:szCs w:val="28"/>
          <w:u w:val="none" w:color="auto"/>
          <w:shd w:val="clear" w:fill="auto"/>
          <w:lang w:val="zh-CN"/>
        </w:rPr>
        <w:t>根据《通江县财政局关于20</w:t>
      </w:r>
      <w:r>
        <w:rPr>
          <w:rFonts w:hint="eastAsia" w:ascii="仿宋_GB2312" w:hAnsi="仿宋_GB2312" w:eastAsia="仿宋_GB2312" w:cs="仿宋_GB2312"/>
          <w:sz w:val="28"/>
          <w:szCs w:val="28"/>
          <w:u w:val="none" w:color="auto"/>
          <w:shd w:val="clear" w:fill="auto"/>
        </w:rPr>
        <w:t>21</w:t>
      </w:r>
      <w:r>
        <w:rPr>
          <w:rFonts w:hint="eastAsia" w:ascii="仿宋_GB2312" w:hAnsi="仿宋_GB2312" w:eastAsia="仿宋_GB2312" w:cs="仿宋_GB2312"/>
          <w:sz w:val="28"/>
          <w:szCs w:val="28"/>
          <w:u w:val="none" w:color="auto"/>
          <w:shd w:val="clear" w:fill="auto"/>
          <w:lang w:val="zh-CN"/>
        </w:rPr>
        <w:t>年部门预算批复有关事项的通知》，下达我单位</w:t>
      </w:r>
      <w:r>
        <w:rPr>
          <w:rFonts w:hint="eastAsia" w:ascii="仿宋_GB2312" w:hAnsi="仿宋_GB2312" w:eastAsia="仿宋_GB2312" w:cs="仿宋_GB2312"/>
          <w:sz w:val="28"/>
          <w:szCs w:val="28"/>
          <w:u w:val="none" w:color="auto"/>
          <w:shd w:val="clear" w:fill="auto"/>
        </w:rPr>
        <w:t>脱贫攻坚</w:t>
      </w:r>
      <w:r>
        <w:rPr>
          <w:rFonts w:hint="eastAsia" w:ascii="仿宋_GB2312" w:hAnsi="仿宋_GB2312" w:eastAsia="仿宋_GB2312" w:cs="仿宋_GB2312"/>
          <w:sz w:val="28"/>
          <w:szCs w:val="28"/>
          <w:u w:val="none" w:color="auto"/>
          <w:shd w:val="clear" w:fill="auto"/>
          <w:lang w:val="zh-CN"/>
        </w:rPr>
        <w:t>工作经费</w:t>
      </w:r>
      <w:r>
        <w:rPr>
          <w:rFonts w:hint="eastAsia" w:ascii="仿宋_GB2312" w:hAnsi="仿宋_GB2312" w:eastAsia="仿宋_GB2312" w:cs="仿宋_GB2312"/>
          <w:sz w:val="28"/>
          <w:szCs w:val="28"/>
          <w:u w:val="none" w:color="auto"/>
          <w:shd w:val="clear" w:fill="auto"/>
        </w:rPr>
        <w:t>2.4</w:t>
      </w:r>
      <w:r>
        <w:rPr>
          <w:rFonts w:hint="eastAsia" w:ascii="仿宋_GB2312" w:hAnsi="仿宋_GB2312" w:eastAsia="仿宋_GB2312" w:cs="仿宋_GB2312"/>
          <w:sz w:val="28"/>
          <w:szCs w:val="28"/>
          <w:u w:val="none" w:color="auto"/>
          <w:shd w:val="clear" w:fill="auto"/>
          <w:lang w:val="zh-CN"/>
        </w:rPr>
        <w:t>万元。</w:t>
      </w:r>
    </w:p>
    <w:p>
      <w:pPr>
        <w:adjustRightInd w:val="0"/>
        <w:snapToGrid w:val="0"/>
        <w:spacing w:line="560" w:lineRule="exact"/>
        <w:ind w:firstLine="562" w:firstLineChars="200"/>
        <w:rPr>
          <w:rFonts w:ascii="仿宋_GB2312" w:hAnsi="仿宋_GB2312" w:eastAsia="仿宋_GB2312" w:cs="仿宋_GB2312"/>
          <w:b/>
          <w:bCs/>
          <w:sz w:val="28"/>
          <w:szCs w:val="28"/>
          <w:u w:val="none" w:color="auto"/>
          <w:shd w:val="clear" w:fill="auto"/>
          <w:lang w:val="zh-CN"/>
        </w:rPr>
      </w:pPr>
      <w:r>
        <w:rPr>
          <w:rFonts w:hint="eastAsia" w:ascii="仿宋_GB2312" w:hAnsi="仿宋_GB2312" w:eastAsia="仿宋_GB2312" w:cs="仿宋_GB2312"/>
          <w:b/>
          <w:bCs/>
          <w:sz w:val="28"/>
          <w:szCs w:val="28"/>
          <w:u w:val="none" w:color="auto"/>
          <w:shd w:val="clear" w:fill="auto"/>
          <w:lang w:val="zh-CN"/>
        </w:rPr>
        <w:t>（二）资金计划、到位及使用情况</w:t>
      </w:r>
    </w:p>
    <w:p>
      <w:pPr>
        <w:adjustRightInd w:val="0"/>
        <w:snapToGrid w:val="0"/>
        <w:spacing w:line="560" w:lineRule="exact"/>
        <w:ind w:firstLine="560" w:firstLineChars="200"/>
        <w:rPr>
          <w:rFonts w:ascii="仿宋_GB2312" w:hAnsi="仿宋_GB2312" w:eastAsia="仿宋_GB2312" w:cs="仿宋_GB2312"/>
          <w:color w:val="333333"/>
          <w:sz w:val="28"/>
          <w:szCs w:val="28"/>
          <w:u w:val="none" w:color="auto"/>
          <w:shd w:val="clear" w:fill="auto"/>
        </w:rPr>
      </w:pPr>
      <w:r>
        <w:rPr>
          <w:rFonts w:hint="eastAsia" w:ascii="仿宋_GB2312" w:hAnsi="仿宋_GB2312" w:eastAsia="仿宋_GB2312" w:cs="仿宋_GB2312"/>
          <w:sz w:val="28"/>
          <w:szCs w:val="28"/>
          <w:u w:val="none" w:color="auto"/>
          <w:shd w:val="clear" w:fill="auto"/>
          <w:lang w:val="zh-CN"/>
        </w:rPr>
        <w:t>1．资金计划</w:t>
      </w:r>
      <w:r>
        <w:rPr>
          <w:rFonts w:hint="eastAsia" w:ascii="仿宋_GB2312" w:hAnsi="仿宋_GB2312" w:eastAsia="仿宋_GB2312" w:cs="仿宋_GB2312"/>
          <w:sz w:val="28"/>
          <w:szCs w:val="28"/>
          <w:u w:val="none" w:color="auto"/>
          <w:shd w:val="clear" w:fill="auto"/>
        </w:rPr>
        <w:t>和</w:t>
      </w:r>
      <w:r>
        <w:rPr>
          <w:rFonts w:hint="eastAsia" w:ascii="仿宋_GB2312" w:hAnsi="仿宋_GB2312" w:eastAsia="仿宋_GB2312" w:cs="仿宋_GB2312"/>
          <w:sz w:val="28"/>
          <w:szCs w:val="28"/>
          <w:u w:val="none" w:color="auto"/>
          <w:shd w:val="clear" w:fill="auto"/>
          <w:lang w:val="zh-CN"/>
        </w:rPr>
        <w:t>资金到位情况。</w:t>
      </w:r>
      <w:r>
        <w:rPr>
          <w:rFonts w:hint="eastAsia" w:ascii="仿宋_GB2312" w:hAnsi="仿宋_GB2312" w:eastAsia="仿宋_GB2312" w:cs="仿宋_GB2312"/>
          <w:color w:val="333333"/>
          <w:kern w:val="0"/>
          <w:sz w:val="28"/>
          <w:szCs w:val="28"/>
          <w:u w:val="none" w:color="auto"/>
          <w:shd w:val="clear" w:color="auto" w:fill="auto"/>
        </w:rPr>
        <w:t>该笔专项经费经2021年初下达我单位后，按序时进度每月申报使用，资金到位率100%。</w:t>
      </w:r>
    </w:p>
    <w:p>
      <w:pPr>
        <w:adjustRightInd w:val="0"/>
        <w:snapToGrid w:val="0"/>
        <w:spacing w:line="560" w:lineRule="exact"/>
        <w:ind w:firstLine="560" w:firstLineChars="200"/>
        <w:rPr>
          <w:rFonts w:ascii="仿宋_GB2312" w:hAnsi="宋体" w:cs="仿宋_GB2312"/>
          <w:sz w:val="28"/>
          <w:szCs w:val="28"/>
          <w:u w:val="none" w:color="auto"/>
          <w:shd w:val="clear" w:fill="auto"/>
          <w:lang w:val="zh-CN"/>
        </w:rPr>
      </w:pPr>
      <w:r>
        <w:rPr>
          <w:rFonts w:hint="eastAsia" w:ascii="仿宋_GB2312" w:hAnsi="仿宋_GB2312" w:eastAsia="仿宋_GB2312" w:cs="仿宋_GB2312"/>
          <w:sz w:val="28"/>
          <w:szCs w:val="28"/>
          <w:u w:val="none" w:color="auto"/>
          <w:shd w:val="clear" w:fill="auto"/>
        </w:rPr>
        <w:t>2</w:t>
      </w:r>
      <w:r>
        <w:rPr>
          <w:rFonts w:hint="eastAsia" w:ascii="仿宋_GB2312" w:hAnsi="仿宋_GB2312" w:eastAsia="仿宋_GB2312" w:cs="仿宋_GB2312"/>
          <w:sz w:val="28"/>
          <w:szCs w:val="28"/>
          <w:u w:val="none" w:color="auto"/>
          <w:shd w:val="clear" w:fill="auto"/>
          <w:lang w:val="zh-CN"/>
        </w:rPr>
        <w:t>．资金使用。</w:t>
      </w:r>
      <w:r>
        <w:rPr>
          <w:rFonts w:hint="eastAsia" w:ascii="仿宋_GB2312" w:hAnsi="仿宋_GB2312" w:eastAsia="仿宋_GB2312" w:cs="仿宋_GB2312"/>
          <w:sz w:val="28"/>
          <w:szCs w:val="28"/>
          <w:u w:val="none" w:color="auto"/>
          <w:shd w:val="clear" w:fill="auto"/>
        </w:rPr>
        <w:t>脱贫攻坚</w:t>
      </w:r>
      <w:r>
        <w:rPr>
          <w:rFonts w:hint="eastAsia" w:ascii="仿宋_GB2312" w:hAnsi="仿宋_GB2312" w:eastAsia="仿宋_GB2312" w:cs="仿宋_GB2312"/>
          <w:sz w:val="28"/>
          <w:szCs w:val="28"/>
          <w:u w:val="none" w:color="auto"/>
          <w:shd w:val="clear" w:fill="auto"/>
          <w:lang w:val="zh-CN"/>
        </w:rPr>
        <w:t>工作专项经费年初拨</w:t>
      </w:r>
      <w:r>
        <w:rPr>
          <w:rFonts w:hint="eastAsia" w:ascii="仿宋_GB2312" w:hAnsi="仿宋_GB2312" w:eastAsia="仿宋_GB2312" w:cs="仿宋_GB2312"/>
          <w:sz w:val="28"/>
          <w:szCs w:val="28"/>
          <w:u w:val="none" w:color="auto"/>
          <w:shd w:val="clear" w:fill="auto"/>
        </w:rPr>
        <w:t>2.4</w:t>
      </w:r>
      <w:r>
        <w:rPr>
          <w:rFonts w:hint="eastAsia" w:ascii="仿宋_GB2312" w:hAnsi="仿宋_GB2312" w:eastAsia="仿宋_GB2312" w:cs="仿宋_GB2312"/>
          <w:sz w:val="28"/>
          <w:szCs w:val="28"/>
          <w:u w:val="none" w:color="auto"/>
          <w:shd w:val="clear" w:fill="auto"/>
          <w:lang w:val="zh-CN"/>
        </w:rPr>
        <w:t>万元，实际拨付</w:t>
      </w:r>
      <w:r>
        <w:rPr>
          <w:rFonts w:hint="eastAsia" w:ascii="仿宋_GB2312" w:hAnsi="仿宋_GB2312" w:eastAsia="仿宋_GB2312" w:cs="仿宋_GB2312"/>
          <w:sz w:val="28"/>
          <w:szCs w:val="28"/>
          <w:u w:val="none" w:color="auto"/>
          <w:shd w:val="clear" w:fill="auto"/>
        </w:rPr>
        <w:t>2.4万元，</w:t>
      </w:r>
      <w:r>
        <w:rPr>
          <w:rFonts w:hint="eastAsia" w:ascii="仿宋_GB2312" w:hAnsi="仿宋_GB2312" w:eastAsia="仿宋_GB2312" w:cs="仿宋_GB2312"/>
          <w:sz w:val="28"/>
          <w:szCs w:val="28"/>
          <w:u w:val="none" w:color="auto"/>
          <w:shd w:val="clear" w:fill="auto"/>
          <w:lang w:val="zh-CN"/>
        </w:rPr>
        <w:t>已全额使用，主要用于驻村工作期间的差旅费、办公费、交通费、印刷费、通讯费、办公设备购置费等必要开支，支付依据合规合法，资金支付与预算相符。</w:t>
      </w:r>
    </w:p>
    <w:p>
      <w:pPr>
        <w:adjustRightInd w:val="0"/>
        <w:snapToGrid w:val="0"/>
        <w:spacing w:line="560" w:lineRule="exact"/>
        <w:ind w:firstLine="562" w:firstLineChars="200"/>
        <w:rPr>
          <w:rFonts w:ascii="仿宋_GB2312" w:hAnsi="仿宋_GB2312" w:eastAsia="仿宋_GB2312" w:cs="仿宋_GB2312"/>
          <w:b/>
          <w:bCs/>
          <w:sz w:val="28"/>
          <w:szCs w:val="28"/>
          <w:u w:val="none" w:color="auto"/>
          <w:shd w:val="clear" w:fill="auto"/>
          <w:lang w:val="zh-CN"/>
        </w:rPr>
      </w:pPr>
      <w:r>
        <w:rPr>
          <w:rFonts w:hint="eastAsia" w:ascii="仿宋_GB2312" w:hAnsi="仿宋_GB2312" w:eastAsia="仿宋_GB2312" w:cs="仿宋_GB2312"/>
          <w:b/>
          <w:bCs/>
          <w:sz w:val="28"/>
          <w:szCs w:val="28"/>
          <w:u w:val="none" w:color="auto"/>
          <w:shd w:val="clear" w:fill="auto"/>
          <w:lang w:val="zh-CN"/>
        </w:rPr>
        <w:t>（三）项目财务管理情况。</w:t>
      </w:r>
    </w:p>
    <w:p>
      <w:pPr>
        <w:widowControl/>
        <w:shd w:val="clear" w:color="auto" w:fill="FFFFFF"/>
        <w:spacing w:line="560" w:lineRule="exact"/>
        <w:ind w:firstLine="720"/>
        <w:rPr>
          <w:rFonts w:ascii="仿宋_GB2312" w:hAnsi="仿宋_GB2312" w:eastAsia="仿宋_GB2312" w:cs="仿宋_GB2312"/>
          <w:color w:val="333333"/>
          <w:sz w:val="28"/>
          <w:szCs w:val="28"/>
          <w:u w:val="none" w:color="auto"/>
          <w:shd w:val="clear" w:fill="auto"/>
        </w:rPr>
      </w:pPr>
      <w:r>
        <w:rPr>
          <w:rFonts w:hint="eastAsia" w:ascii="仿宋_GB2312" w:hAnsi="仿宋_GB2312" w:eastAsia="仿宋_GB2312" w:cs="仿宋_GB2312"/>
          <w:color w:val="333333"/>
          <w:kern w:val="0"/>
          <w:sz w:val="28"/>
          <w:szCs w:val="28"/>
          <w:u w:val="none" w:color="auto"/>
          <w:shd w:val="clear" w:color="auto" w:fill="auto"/>
        </w:rPr>
        <w:t>脱贫攻坚专项经费严格执行财经相关管理制度，财务处理及时，会计核算规范。其中差旅费严格按照《通江县财政局关于印发</w:t>
      </w:r>
      <w:r>
        <w:rPr>
          <w:rFonts w:hint="eastAsia" w:ascii="仿宋_GB2312" w:eastAsia="仿宋_GB2312"/>
          <w:sz w:val="32"/>
          <w:szCs w:val="32"/>
          <w:u w:val="none" w:color="auto"/>
          <w:shd w:val="clear" w:fill="auto"/>
        </w:rPr>
        <w:t>〈</w:t>
      </w:r>
      <w:r>
        <w:rPr>
          <w:rFonts w:hint="eastAsia" w:ascii="仿宋_GB2312" w:hAnsi="仿宋_GB2312" w:eastAsia="仿宋_GB2312" w:cs="仿宋_GB2312"/>
          <w:color w:val="333333"/>
          <w:kern w:val="0"/>
          <w:sz w:val="28"/>
          <w:szCs w:val="28"/>
          <w:u w:val="none" w:color="auto"/>
          <w:shd w:val="clear" w:color="auto" w:fill="auto"/>
        </w:rPr>
        <w:t>通江县行政事业单位差旅费管理办法</w:t>
      </w:r>
      <w:r>
        <w:rPr>
          <w:rFonts w:hint="eastAsia" w:ascii="仿宋_GB2312" w:eastAsia="仿宋_GB2312"/>
          <w:sz w:val="32"/>
          <w:szCs w:val="32"/>
          <w:u w:val="none" w:color="auto"/>
          <w:shd w:val="clear" w:fill="auto"/>
        </w:rPr>
        <w:t>〉</w:t>
      </w:r>
      <w:r>
        <w:rPr>
          <w:rFonts w:hint="eastAsia" w:ascii="仿宋_GB2312" w:hAnsi="仿宋_GB2312" w:eastAsia="仿宋_GB2312" w:cs="仿宋_GB2312"/>
          <w:color w:val="333333"/>
          <w:kern w:val="0"/>
          <w:sz w:val="28"/>
          <w:szCs w:val="28"/>
          <w:u w:val="none" w:color="auto"/>
          <w:shd w:val="clear" w:color="auto" w:fill="auto"/>
        </w:rPr>
        <w:t>的通知》；会议费严格按照《通江县财政局关于印发</w:t>
      </w:r>
      <w:r>
        <w:rPr>
          <w:rFonts w:hint="eastAsia" w:ascii="仿宋_GB2312" w:eastAsia="仿宋_GB2312"/>
          <w:sz w:val="32"/>
          <w:szCs w:val="32"/>
          <w:u w:val="none" w:color="auto"/>
          <w:shd w:val="clear" w:fill="auto"/>
        </w:rPr>
        <w:t>〈</w:t>
      </w:r>
      <w:r>
        <w:rPr>
          <w:rFonts w:hint="eastAsia" w:ascii="仿宋_GB2312" w:hAnsi="仿宋_GB2312" w:eastAsia="仿宋_GB2312" w:cs="仿宋_GB2312"/>
          <w:color w:val="333333"/>
          <w:kern w:val="0"/>
          <w:sz w:val="28"/>
          <w:szCs w:val="28"/>
          <w:u w:val="none" w:color="auto"/>
          <w:shd w:val="clear" w:color="auto" w:fill="auto"/>
        </w:rPr>
        <w:t>通江县党政机关会议费管理办法</w:t>
      </w:r>
      <w:r>
        <w:rPr>
          <w:rFonts w:hint="eastAsia" w:ascii="仿宋_GB2312" w:eastAsia="仿宋_GB2312"/>
          <w:sz w:val="32"/>
          <w:szCs w:val="32"/>
          <w:u w:val="none" w:color="auto"/>
          <w:shd w:val="clear" w:fill="auto"/>
        </w:rPr>
        <w:t>〉</w:t>
      </w:r>
      <w:r>
        <w:rPr>
          <w:rFonts w:hint="eastAsia" w:ascii="仿宋_GB2312" w:hAnsi="仿宋_GB2312" w:eastAsia="仿宋_GB2312" w:cs="仿宋_GB2312"/>
          <w:color w:val="333333"/>
          <w:kern w:val="0"/>
          <w:sz w:val="28"/>
          <w:szCs w:val="28"/>
          <w:u w:val="none" w:color="auto"/>
          <w:shd w:val="clear" w:color="auto" w:fill="auto"/>
        </w:rPr>
        <w:t>的通知》执行。</w:t>
      </w:r>
    </w:p>
    <w:p>
      <w:pPr>
        <w:adjustRightInd w:val="0"/>
        <w:snapToGrid w:val="0"/>
        <w:spacing w:line="560" w:lineRule="exact"/>
        <w:ind w:firstLine="281" w:firstLineChars="100"/>
        <w:rPr>
          <w:rFonts w:ascii="黑体" w:hAnsi="黑体" w:eastAsia="黑体" w:cs="黑体"/>
          <w:b/>
          <w:bCs/>
          <w:sz w:val="28"/>
          <w:szCs w:val="28"/>
          <w:u w:val="none" w:color="auto"/>
          <w:shd w:val="clear" w:fill="auto"/>
          <w:lang w:val="zh-CN"/>
        </w:rPr>
      </w:pPr>
      <w:r>
        <w:rPr>
          <w:rFonts w:hint="eastAsia" w:ascii="黑体" w:hAnsi="黑体" w:eastAsia="黑体" w:cs="黑体"/>
          <w:b/>
          <w:bCs/>
          <w:sz w:val="28"/>
          <w:szCs w:val="28"/>
          <w:u w:val="none" w:color="auto"/>
          <w:shd w:val="clear" w:fill="auto"/>
          <w:lang w:val="zh-CN"/>
        </w:rPr>
        <w:t>三、项目实施及管理情况</w:t>
      </w:r>
    </w:p>
    <w:p>
      <w:pPr>
        <w:widowControl/>
        <w:shd w:val="clear" w:color="auto" w:fill="FFFFFF"/>
        <w:spacing w:line="560" w:lineRule="exact"/>
        <w:ind w:firstLine="720"/>
        <w:rPr>
          <w:rFonts w:ascii="仿宋_GB2312" w:hAnsi="仿宋_GB2312" w:eastAsia="仿宋_GB2312" w:cs="仿宋_GB2312"/>
          <w:color w:val="333333"/>
          <w:kern w:val="0"/>
          <w:sz w:val="28"/>
          <w:szCs w:val="28"/>
          <w:u w:val="none" w:color="auto"/>
          <w:shd w:val="clear" w:color="auto" w:fill="auto"/>
          <w:lang w:val="zh-CN"/>
        </w:rPr>
      </w:pPr>
      <w:r>
        <w:rPr>
          <w:rFonts w:hint="eastAsia" w:ascii="仿宋_GB2312" w:hAnsi="仿宋_GB2312" w:eastAsia="仿宋_GB2312" w:cs="仿宋_GB2312"/>
          <w:color w:val="333333"/>
          <w:kern w:val="0"/>
          <w:sz w:val="28"/>
          <w:szCs w:val="28"/>
          <w:u w:val="none" w:color="auto"/>
          <w:shd w:val="clear" w:color="auto" w:fill="auto"/>
          <w:lang w:val="zh-CN"/>
        </w:rPr>
        <w:t>结合项目组织实施管理办法，重点围绕以下内容进行分析评价，并对自评中发现的问题进行分析说明。</w:t>
      </w:r>
    </w:p>
    <w:p>
      <w:pPr>
        <w:adjustRightInd w:val="0"/>
        <w:snapToGrid w:val="0"/>
        <w:spacing w:line="560" w:lineRule="exact"/>
        <w:ind w:firstLine="562" w:firstLineChars="200"/>
        <w:rPr>
          <w:rFonts w:ascii="仿宋_GB2312" w:hAnsi="仿宋_GB2312" w:eastAsia="仿宋_GB2312" w:cs="仿宋_GB2312"/>
          <w:b/>
          <w:bCs/>
          <w:sz w:val="28"/>
          <w:szCs w:val="28"/>
          <w:u w:val="none" w:color="auto"/>
          <w:shd w:val="clear" w:fill="auto"/>
          <w:lang w:val="zh-CN"/>
        </w:rPr>
      </w:pPr>
      <w:r>
        <w:rPr>
          <w:rFonts w:hint="eastAsia" w:ascii="仿宋_GB2312" w:hAnsi="仿宋_GB2312" w:eastAsia="仿宋_GB2312" w:cs="仿宋_GB2312"/>
          <w:b/>
          <w:bCs/>
          <w:sz w:val="28"/>
          <w:szCs w:val="28"/>
          <w:u w:val="none" w:color="auto"/>
          <w:shd w:val="clear" w:fill="auto"/>
          <w:lang w:val="zh-CN"/>
        </w:rPr>
        <w:t>（一）项目组织架构及实施流程。</w:t>
      </w:r>
    </w:p>
    <w:p>
      <w:pPr>
        <w:pStyle w:val="21"/>
        <w:spacing w:line="560" w:lineRule="exact"/>
        <w:ind w:firstLine="560" w:firstLineChars="200"/>
        <w:rPr>
          <w:rFonts w:ascii="仿宋_GB2312" w:hAnsi="仿宋_GB2312" w:eastAsia="仿宋_GB2312" w:cs="仿宋_GB2312"/>
          <w:color w:val="333333"/>
          <w:sz w:val="28"/>
          <w:szCs w:val="28"/>
          <w:u w:val="none" w:color="auto"/>
          <w:shd w:val="clear" w:color="auto" w:fill="auto"/>
        </w:rPr>
      </w:pPr>
      <w:r>
        <w:rPr>
          <w:rFonts w:hint="eastAsia" w:ascii="仿宋_GB2312" w:hAnsi="仿宋_GB2312" w:eastAsia="仿宋_GB2312" w:cs="仿宋_GB2312"/>
          <w:color w:val="333333"/>
          <w:sz w:val="28"/>
          <w:szCs w:val="28"/>
          <w:u w:val="none" w:color="auto"/>
          <w:shd w:val="clear" w:color="auto" w:fill="auto"/>
        </w:rPr>
        <w:t>由本单位牵头，按照县财政</w:t>
      </w:r>
      <w:r>
        <w:rPr>
          <w:rFonts w:hint="eastAsia" w:ascii="仿宋_GB2312" w:hAnsi="仿宋_GB2312" w:eastAsia="仿宋_GB2312" w:cs="仿宋_GB2312"/>
          <w:color w:val="333333"/>
          <w:sz w:val="28"/>
          <w:szCs w:val="28"/>
          <w:u w:val="none" w:color="auto"/>
          <w:shd w:val="clear" w:color="auto" w:fill="auto"/>
        </w:rPr>
        <w:t>下达</w:t>
      </w:r>
      <w:r>
        <w:rPr>
          <w:rFonts w:hint="eastAsia" w:ascii="仿宋_GB2312" w:hAnsi="仿宋_GB2312" w:eastAsia="仿宋_GB2312" w:cs="仿宋_GB2312"/>
          <w:color w:val="333333"/>
          <w:sz w:val="28"/>
          <w:szCs w:val="28"/>
          <w:u w:val="none" w:color="auto"/>
          <w:shd w:val="clear" w:color="auto" w:fill="auto"/>
          <w:lang w:val="en-US" w:eastAsia="zh-CN"/>
        </w:rPr>
        <w:t>的</w:t>
      </w:r>
      <w:r>
        <w:rPr>
          <w:rFonts w:hint="eastAsia" w:ascii="仿宋_GB2312" w:hAnsi="仿宋_GB2312" w:eastAsia="仿宋_GB2312" w:cs="仿宋_GB2312"/>
          <w:color w:val="333333"/>
          <w:sz w:val="28"/>
          <w:szCs w:val="28"/>
          <w:u w:val="none" w:color="auto"/>
          <w:shd w:val="clear" w:color="auto" w:fill="auto"/>
        </w:rPr>
        <w:t>预算资金，按实际</w:t>
      </w:r>
      <w:r>
        <w:rPr>
          <w:rFonts w:hint="eastAsia" w:ascii="仿宋_GB2312" w:hAnsi="仿宋_GB2312" w:eastAsia="仿宋_GB2312" w:cs="仿宋_GB2312"/>
          <w:color w:val="333333"/>
          <w:sz w:val="28"/>
          <w:szCs w:val="28"/>
          <w:u w:val="none" w:color="auto"/>
          <w:shd w:val="clear" w:color="auto" w:fill="auto"/>
        </w:rPr>
        <w:t>开支</w:t>
      </w:r>
      <w:r>
        <w:rPr>
          <w:rFonts w:hint="eastAsia" w:ascii="仿宋_GB2312" w:hAnsi="仿宋_GB2312" w:eastAsia="仿宋_GB2312" w:cs="仿宋_GB2312"/>
          <w:color w:val="333333"/>
          <w:sz w:val="28"/>
          <w:szCs w:val="28"/>
          <w:u w:val="none" w:color="auto"/>
          <w:shd w:val="clear" w:color="auto" w:fill="auto"/>
          <w:lang w:val="en-US" w:eastAsia="zh-CN"/>
        </w:rPr>
        <w:t>的</w:t>
      </w:r>
      <w:r>
        <w:rPr>
          <w:rFonts w:hint="eastAsia" w:ascii="仿宋_GB2312" w:hAnsi="仿宋_GB2312" w:eastAsia="仿宋_GB2312" w:cs="仿宋_GB2312"/>
          <w:color w:val="333333"/>
          <w:sz w:val="28"/>
          <w:szCs w:val="28"/>
          <w:u w:val="none" w:color="auto"/>
          <w:shd w:val="clear" w:color="auto" w:fill="auto"/>
        </w:rPr>
        <w:t>各项费用兑付资金。</w:t>
      </w:r>
    </w:p>
    <w:p>
      <w:pPr>
        <w:adjustRightInd w:val="0"/>
        <w:snapToGrid w:val="0"/>
        <w:spacing w:line="560" w:lineRule="exact"/>
        <w:ind w:firstLine="562" w:firstLineChars="200"/>
        <w:rPr>
          <w:rFonts w:ascii="仿宋_GB2312" w:hAnsi="仿宋_GB2312" w:eastAsia="仿宋_GB2312" w:cs="仿宋_GB2312"/>
          <w:b/>
          <w:bCs/>
          <w:sz w:val="28"/>
          <w:szCs w:val="28"/>
          <w:u w:val="none" w:color="auto"/>
          <w:shd w:val="clear" w:fill="auto"/>
          <w:lang w:val="zh-CN"/>
        </w:rPr>
      </w:pPr>
      <w:r>
        <w:rPr>
          <w:rFonts w:hint="eastAsia" w:ascii="仿宋_GB2312" w:hAnsi="仿宋_GB2312" w:eastAsia="仿宋_GB2312" w:cs="仿宋_GB2312"/>
          <w:b/>
          <w:bCs/>
          <w:sz w:val="28"/>
          <w:szCs w:val="28"/>
          <w:u w:val="none" w:color="auto"/>
          <w:shd w:val="clear" w:fill="auto"/>
          <w:lang w:val="zh-CN"/>
        </w:rPr>
        <w:t>（二）项目管理情况。</w:t>
      </w:r>
    </w:p>
    <w:p>
      <w:pPr>
        <w:widowControl/>
        <w:shd w:val="clear" w:color="auto" w:fill="FFFFFF"/>
        <w:spacing w:line="560" w:lineRule="exact"/>
        <w:ind w:firstLine="720"/>
        <w:rPr>
          <w:rFonts w:ascii="仿宋_GB2312" w:hAnsi="仿宋_GB2312" w:eastAsia="仿宋_GB2312" w:cs="仿宋_GB2312"/>
          <w:color w:val="333333"/>
          <w:kern w:val="0"/>
          <w:sz w:val="28"/>
          <w:szCs w:val="28"/>
          <w:u w:val="none" w:color="auto"/>
          <w:shd w:val="clear" w:color="auto" w:fill="auto"/>
          <w:lang w:val="zh-CN"/>
        </w:rPr>
      </w:pPr>
      <w:r>
        <w:rPr>
          <w:rFonts w:hint="eastAsia" w:ascii="仿宋_GB2312" w:hAnsi="仿宋_GB2312" w:eastAsia="仿宋_GB2312" w:cs="仿宋_GB2312"/>
          <w:color w:val="333333"/>
          <w:kern w:val="0"/>
          <w:sz w:val="28"/>
          <w:szCs w:val="28"/>
          <w:u w:val="none" w:color="auto"/>
          <w:shd w:val="clear" w:color="auto" w:fill="auto"/>
          <w:lang w:val="zh-CN"/>
        </w:rPr>
        <w:t>该项目资金由县财政局下达</w:t>
      </w:r>
      <w:r>
        <w:rPr>
          <w:u w:val="none" w:color="auto"/>
          <w:shd w:val="clear" w:fill="auto"/>
        </w:rPr>
        <w:t>、</w:t>
      </w:r>
      <w:r>
        <w:rPr>
          <w:rFonts w:hint="eastAsia" w:ascii="仿宋_GB2312" w:hAnsi="仿宋_GB2312" w:eastAsia="仿宋_GB2312" w:cs="仿宋_GB2312"/>
          <w:color w:val="333333"/>
          <w:kern w:val="0"/>
          <w:sz w:val="28"/>
          <w:szCs w:val="28"/>
          <w:u w:val="none" w:color="auto"/>
          <w:shd w:val="clear" w:color="auto" w:fill="auto"/>
          <w:lang w:val="zh-CN"/>
        </w:rPr>
        <w:t>实行专款专用</w:t>
      </w:r>
      <w:r>
        <w:rPr>
          <w:u w:val="none" w:color="auto"/>
          <w:shd w:val="clear" w:fill="auto"/>
        </w:rPr>
        <w:t>、</w:t>
      </w:r>
      <w:r>
        <w:rPr>
          <w:rFonts w:hint="eastAsia" w:ascii="仿宋_GB2312" w:hAnsi="仿宋_GB2312" w:eastAsia="仿宋_GB2312" w:cs="仿宋_GB2312"/>
          <w:color w:val="333333"/>
          <w:kern w:val="0"/>
          <w:sz w:val="28"/>
          <w:szCs w:val="28"/>
          <w:u w:val="none" w:color="auto"/>
          <w:shd w:val="clear" w:color="auto" w:fill="auto"/>
          <w:lang w:val="zh-CN"/>
        </w:rPr>
        <w:t>用于保障</w:t>
      </w:r>
      <w:r>
        <w:rPr>
          <w:rFonts w:hint="eastAsia" w:ascii="仿宋_GB2312" w:hAnsi="仿宋_GB2312" w:eastAsia="仿宋_GB2312" w:cs="仿宋_GB2312"/>
          <w:color w:val="333333"/>
          <w:kern w:val="0"/>
          <w:sz w:val="28"/>
          <w:szCs w:val="28"/>
          <w:u w:val="none" w:color="auto"/>
          <w:shd w:val="clear" w:color="auto" w:fill="auto"/>
        </w:rPr>
        <w:t>我单位</w:t>
      </w:r>
      <w:r>
        <w:rPr>
          <w:rFonts w:hint="eastAsia" w:ascii="仿宋_GB2312" w:hAnsi="仿宋_GB2312" w:eastAsia="仿宋_GB2312" w:cs="仿宋_GB2312"/>
          <w:color w:val="333333"/>
          <w:kern w:val="0"/>
          <w:sz w:val="28"/>
          <w:szCs w:val="28"/>
          <w:u w:val="none" w:color="auto"/>
          <w:shd w:val="clear" w:color="auto" w:fill="auto"/>
          <w:lang w:val="zh-CN"/>
        </w:rPr>
        <w:t>贫困村驻村工作队</w:t>
      </w:r>
      <w:r>
        <w:rPr>
          <w:rFonts w:hint="eastAsia" w:ascii="仿宋_GB2312" w:hAnsi="仿宋_GB2312" w:eastAsia="仿宋_GB2312" w:cs="仿宋_GB2312"/>
          <w:color w:val="333333"/>
          <w:kern w:val="0"/>
          <w:sz w:val="28"/>
          <w:szCs w:val="28"/>
          <w:u w:val="none" w:color="auto"/>
          <w:shd w:val="clear" w:color="auto" w:fill="auto"/>
        </w:rPr>
        <w:t>脱贫</w:t>
      </w:r>
      <w:r>
        <w:rPr>
          <w:rFonts w:hint="eastAsia" w:ascii="仿宋_GB2312" w:hAnsi="仿宋_GB2312" w:eastAsia="仿宋_GB2312" w:cs="仿宋_GB2312"/>
          <w:color w:val="333333"/>
          <w:kern w:val="0"/>
          <w:sz w:val="28"/>
          <w:szCs w:val="28"/>
          <w:u w:val="none" w:color="auto"/>
          <w:shd w:val="clear" w:color="auto" w:fill="auto"/>
          <w:lang w:val="zh-CN"/>
        </w:rPr>
        <w:t>工作正常开展等，由驻村相关人员申请申报相关支出</w:t>
      </w:r>
      <w:r>
        <w:rPr>
          <w:u w:val="none" w:color="auto"/>
          <w:shd w:val="clear" w:fill="auto"/>
        </w:rPr>
        <w:t>、</w:t>
      </w:r>
      <w:r>
        <w:rPr>
          <w:rFonts w:hint="eastAsia" w:ascii="仿宋_GB2312" w:hAnsi="仿宋_GB2312" w:eastAsia="仿宋_GB2312" w:cs="仿宋_GB2312"/>
          <w:color w:val="333333"/>
          <w:kern w:val="0"/>
          <w:sz w:val="28"/>
          <w:szCs w:val="28"/>
          <w:u w:val="none" w:color="auto"/>
          <w:shd w:val="clear" w:color="auto" w:fill="auto"/>
          <w:lang w:val="zh-CN"/>
        </w:rPr>
        <w:t>办公经费、差旅等费用按程序据实报账，支出手续较完备，资料齐全。</w:t>
      </w:r>
    </w:p>
    <w:p>
      <w:pPr>
        <w:widowControl/>
        <w:shd w:val="clear" w:color="auto" w:fill="FFFFFF"/>
        <w:spacing w:line="560" w:lineRule="exact"/>
        <w:ind w:firstLine="281" w:firstLineChars="100"/>
        <w:rPr>
          <w:rFonts w:ascii="仿宋_GB2312" w:hAnsi="仿宋_GB2312" w:eastAsia="仿宋_GB2312" w:cs="仿宋_GB2312"/>
          <w:b/>
          <w:bCs/>
          <w:sz w:val="28"/>
          <w:szCs w:val="28"/>
          <w:u w:val="none" w:color="auto"/>
          <w:shd w:val="clear" w:fill="auto"/>
          <w:lang w:val="zh-CN"/>
        </w:rPr>
      </w:pPr>
      <w:r>
        <w:rPr>
          <w:rFonts w:hint="eastAsia" w:ascii="仿宋_GB2312" w:hAnsi="仿宋_GB2312" w:eastAsia="仿宋_GB2312" w:cs="仿宋_GB2312"/>
          <w:b/>
          <w:bCs/>
          <w:sz w:val="28"/>
          <w:szCs w:val="28"/>
          <w:u w:val="none" w:color="auto"/>
          <w:shd w:val="clear" w:fill="auto"/>
          <w:lang w:val="zh-CN"/>
        </w:rPr>
        <w:t>（三）项目监管情况。</w:t>
      </w:r>
    </w:p>
    <w:p>
      <w:pPr>
        <w:widowControl/>
        <w:shd w:val="clear" w:color="auto" w:fill="FFFFFF"/>
        <w:spacing w:line="560" w:lineRule="exact"/>
        <w:ind w:firstLine="720"/>
        <w:rPr>
          <w:rFonts w:ascii="仿宋_GB2312" w:hAnsi="仿宋_GB2312" w:eastAsia="仿宋_GB2312" w:cs="仿宋_GB2312"/>
          <w:color w:val="333333"/>
          <w:kern w:val="0"/>
          <w:sz w:val="28"/>
          <w:szCs w:val="28"/>
          <w:u w:val="none" w:color="auto"/>
          <w:shd w:val="clear" w:color="auto" w:fill="auto"/>
          <w:lang w:val="zh-CN"/>
        </w:rPr>
      </w:pPr>
      <w:r>
        <w:rPr>
          <w:rFonts w:hint="eastAsia" w:ascii="仿宋_GB2312" w:hAnsi="仿宋_GB2312" w:eastAsia="仿宋_GB2312" w:cs="仿宋_GB2312"/>
          <w:color w:val="333333"/>
          <w:kern w:val="0"/>
          <w:sz w:val="28"/>
          <w:szCs w:val="28"/>
          <w:u w:val="none" w:color="auto"/>
          <w:shd w:val="clear" w:color="auto" w:fill="auto"/>
          <w:lang w:val="zh-CN"/>
        </w:rPr>
        <w:t>项目资金由财务室具体管理，按投资计划，制定管理制度，对项目资金按项目单独核算实行“专款专用、专人管理”，不得挤占、挪用项目资金。强化监督，项目的正常实施监督检查是保障。指派专人对项目的实施定期或不定期地进行现场检查和监督，及时协调解决困难和问题，保证工程质量。</w:t>
      </w:r>
    </w:p>
    <w:p>
      <w:pPr>
        <w:adjustRightInd w:val="0"/>
        <w:snapToGrid w:val="0"/>
        <w:spacing w:line="560" w:lineRule="exact"/>
        <w:ind w:firstLine="281" w:firstLineChars="100"/>
        <w:rPr>
          <w:rFonts w:ascii="黑体" w:hAnsi="黑体" w:eastAsia="黑体" w:cs="黑体"/>
          <w:b/>
          <w:bCs/>
          <w:sz w:val="28"/>
          <w:szCs w:val="28"/>
          <w:u w:val="none" w:color="auto"/>
          <w:shd w:val="clear" w:fill="auto"/>
          <w:lang w:val="zh-CN"/>
        </w:rPr>
      </w:pPr>
      <w:r>
        <w:rPr>
          <w:rFonts w:hint="eastAsia" w:ascii="黑体" w:hAnsi="黑体" w:eastAsia="黑体" w:cs="黑体"/>
          <w:b/>
          <w:bCs/>
          <w:sz w:val="28"/>
          <w:szCs w:val="28"/>
          <w:u w:val="none" w:color="auto"/>
          <w:shd w:val="clear" w:fill="auto"/>
          <w:lang w:val="zh-CN"/>
        </w:rPr>
        <w:t>四、项目绩效情况</w:t>
      </w:r>
      <w:r>
        <w:rPr>
          <w:rFonts w:hint="eastAsia" w:ascii="黑体" w:hAnsi="黑体" w:eastAsia="黑体" w:cs="黑体"/>
          <w:b/>
          <w:bCs/>
          <w:sz w:val="28"/>
          <w:szCs w:val="28"/>
          <w:u w:val="none" w:color="auto"/>
          <w:shd w:val="clear" w:fill="auto"/>
          <w:lang w:val="zh-CN"/>
        </w:rPr>
        <w:tab/>
      </w:r>
    </w:p>
    <w:p>
      <w:pPr>
        <w:adjustRightInd w:val="0"/>
        <w:snapToGrid w:val="0"/>
        <w:spacing w:line="560" w:lineRule="exact"/>
        <w:ind w:firstLine="562" w:firstLineChars="200"/>
        <w:rPr>
          <w:rFonts w:ascii="仿宋_GB2312" w:hAnsi="仿宋_GB2312" w:eastAsia="仿宋_GB2312" w:cs="仿宋_GB2312"/>
          <w:b/>
          <w:bCs/>
          <w:sz w:val="28"/>
          <w:szCs w:val="28"/>
          <w:u w:val="none" w:color="auto"/>
          <w:shd w:val="clear" w:fill="auto"/>
          <w:lang w:val="zh-CN"/>
        </w:rPr>
      </w:pPr>
      <w:r>
        <w:rPr>
          <w:rFonts w:hint="eastAsia" w:ascii="仿宋_GB2312" w:hAnsi="仿宋_GB2312" w:eastAsia="仿宋_GB2312" w:cs="仿宋_GB2312"/>
          <w:b/>
          <w:bCs/>
          <w:sz w:val="28"/>
          <w:szCs w:val="28"/>
          <w:u w:val="none" w:color="auto"/>
          <w:shd w:val="clear" w:fill="auto"/>
          <w:lang w:val="zh-CN"/>
        </w:rPr>
        <w:t>（一）项目完成情况。</w:t>
      </w:r>
    </w:p>
    <w:p>
      <w:pPr>
        <w:pStyle w:val="5"/>
        <w:widowControl/>
        <w:shd w:val="clear" w:color="auto" w:fill="FFFFFF"/>
        <w:spacing w:beforeAutospacing="0" w:afterAutospacing="0" w:line="560" w:lineRule="exact"/>
        <w:ind w:firstLine="600"/>
        <w:jc w:val="both"/>
        <w:rPr>
          <w:rFonts w:ascii="仿宋_GB2312" w:hAnsi="仿宋_GB2312" w:eastAsia="仿宋_GB2312" w:cs="仿宋_GB2312"/>
          <w:color w:val="333333"/>
          <w:sz w:val="28"/>
          <w:szCs w:val="28"/>
          <w:u w:val="none" w:color="auto"/>
          <w:shd w:val="clear" w:color="auto" w:fill="auto"/>
          <w:lang w:val="zh-CN"/>
        </w:rPr>
      </w:pPr>
      <w:r>
        <w:rPr>
          <w:rFonts w:hint="eastAsia" w:ascii="仿宋_GB2312" w:hAnsi="仿宋_GB2312" w:eastAsia="仿宋_GB2312" w:cs="仿宋_GB2312"/>
          <w:color w:val="333333"/>
          <w:sz w:val="28"/>
          <w:szCs w:val="28"/>
          <w:u w:val="none" w:color="auto"/>
          <w:shd w:val="clear" w:color="auto" w:fill="auto"/>
        </w:rPr>
        <w:t>脱贫攻坚专项工作经费项目按全年工作任务成立了领导小组，进行分类管理，专人负责，集体分工协作。通过制定专项工作计划，确定工作目标，明确组织实施措施和策略，更有效地指导工作的正常有序开展。通过对服务对象的反馈，驻村工作队员扶贫工作在服务群众方面取得了成就，提高了群众的获得感、幸福感，受益群众普遍满意。</w:t>
      </w:r>
    </w:p>
    <w:p>
      <w:pPr>
        <w:adjustRightInd w:val="0"/>
        <w:snapToGrid w:val="0"/>
        <w:spacing w:line="560" w:lineRule="exact"/>
        <w:ind w:firstLine="281" w:firstLineChars="100"/>
        <w:rPr>
          <w:rFonts w:ascii="仿宋_GB2312" w:hAnsi="宋体" w:cs="仿宋_GB2312"/>
          <w:u w:val="none" w:color="auto"/>
          <w:shd w:val="clear" w:fill="auto"/>
          <w:lang w:val="zh-CN"/>
        </w:rPr>
      </w:pPr>
      <w:r>
        <w:rPr>
          <w:rFonts w:hint="eastAsia" w:ascii="仿宋_GB2312" w:hAnsi="仿宋_GB2312" w:eastAsia="仿宋_GB2312" w:cs="仿宋_GB2312"/>
          <w:b/>
          <w:bCs/>
          <w:sz w:val="28"/>
          <w:szCs w:val="28"/>
          <w:u w:val="none" w:color="auto"/>
          <w:shd w:val="clear" w:fill="auto"/>
          <w:lang w:val="zh-CN"/>
        </w:rPr>
        <w:t>（二）项目效益情况。</w:t>
      </w:r>
    </w:p>
    <w:p>
      <w:pPr>
        <w:adjustRightInd w:val="0"/>
        <w:snapToGrid w:val="0"/>
        <w:spacing w:line="560" w:lineRule="exact"/>
        <w:ind w:firstLine="420" w:firstLineChars="200"/>
        <w:rPr>
          <w:rFonts w:ascii="仿宋_GB2312" w:hAnsi="仿宋_GB2312" w:eastAsia="仿宋_GB2312" w:cs="仿宋_GB2312"/>
          <w:color w:val="333333"/>
          <w:kern w:val="0"/>
          <w:sz w:val="28"/>
          <w:szCs w:val="28"/>
          <w:u w:val="none" w:color="auto"/>
          <w:shd w:val="clear" w:color="auto" w:fill="auto"/>
        </w:rPr>
      </w:pPr>
      <w:r>
        <w:rPr>
          <w:rFonts w:hint="eastAsia" w:ascii="仿宋_GB2312" w:hAnsi="宋体" w:cs="仿宋_GB2312"/>
          <w:u w:val="none" w:color="auto"/>
          <w:shd w:val="clear" w:fill="auto"/>
          <w:lang w:val="zh-CN"/>
        </w:rPr>
        <w:t>　</w:t>
      </w:r>
      <w:r>
        <w:rPr>
          <w:rFonts w:hint="eastAsia" w:ascii="仿宋_GB2312" w:hAnsi="仿宋_GB2312" w:eastAsia="仿宋_GB2312" w:cs="仿宋_GB2312"/>
          <w:color w:val="333333"/>
          <w:kern w:val="0"/>
          <w:sz w:val="28"/>
          <w:szCs w:val="28"/>
          <w:u w:val="none" w:color="auto"/>
          <w:shd w:val="clear" w:color="auto" w:fill="auto"/>
        </w:rPr>
        <w:t>优化资金使用，资金全部投入保障本单位贫困村驻村工作队扶贫工作正常开展，做好群众工作，提升群众满意度。</w:t>
      </w:r>
    </w:p>
    <w:p>
      <w:pPr>
        <w:adjustRightInd w:val="0"/>
        <w:snapToGrid w:val="0"/>
        <w:spacing w:line="560" w:lineRule="exact"/>
        <w:ind w:firstLine="281" w:firstLineChars="100"/>
        <w:rPr>
          <w:rFonts w:ascii="黑体" w:hAnsi="黑体" w:eastAsia="黑体" w:cs="黑体"/>
          <w:b/>
          <w:bCs/>
          <w:sz w:val="28"/>
          <w:szCs w:val="28"/>
          <w:u w:val="none" w:color="auto"/>
          <w:shd w:val="clear" w:fill="auto"/>
          <w:lang w:val="zh-CN"/>
        </w:rPr>
      </w:pPr>
      <w:r>
        <w:rPr>
          <w:rFonts w:hint="eastAsia" w:ascii="黑体" w:hAnsi="黑体" w:eastAsia="黑体" w:cs="黑体"/>
          <w:b/>
          <w:bCs/>
          <w:sz w:val="28"/>
          <w:szCs w:val="28"/>
          <w:u w:val="none" w:color="auto"/>
          <w:shd w:val="clear" w:fill="auto"/>
          <w:lang w:val="zh-CN"/>
        </w:rPr>
        <w:t>五、评价结论及建议</w:t>
      </w:r>
    </w:p>
    <w:p>
      <w:pPr>
        <w:adjustRightInd w:val="0"/>
        <w:snapToGrid w:val="0"/>
        <w:spacing w:line="560" w:lineRule="exact"/>
        <w:ind w:firstLine="562" w:firstLineChars="200"/>
        <w:rPr>
          <w:rFonts w:ascii="仿宋_GB2312" w:hAnsi="仿宋_GB2312" w:eastAsia="仿宋_GB2312" w:cs="仿宋_GB2312"/>
          <w:b/>
          <w:bCs/>
          <w:sz w:val="28"/>
          <w:szCs w:val="28"/>
          <w:u w:val="none" w:color="auto"/>
          <w:shd w:val="clear" w:fill="auto"/>
          <w:lang w:val="zh-CN"/>
        </w:rPr>
      </w:pPr>
      <w:r>
        <w:rPr>
          <w:rFonts w:hint="eastAsia" w:ascii="仿宋_GB2312" w:hAnsi="仿宋_GB2312" w:eastAsia="仿宋_GB2312" w:cs="仿宋_GB2312"/>
          <w:b/>
          <w:bCs/>
          <w:sz w:val="28"/>
          <w:szCs w:val="28"/>
          <w:u w:val="none" w:color="auto"/>
          <w:shd w:val="clear" w:fill="auto"/>
          <w:lang w:val="zh-CN"/>
        </w:rPr>
        <w:t>（一）评价结论。</w:t>
      </w:r>
    </w:p>
    <w:p>
      <w:pPr>
        <w:adjustRightInd w:val="0"/>
        <w:snapToGrid w:val="0"/>
        <w:spacing w:line="560" w:lineRule="exact"/>
        <w:ind w:firstLine="560" w:firstLineChars="200"/>
        <w:rPr>
          <w:rFonts w:ascii="仿宋_GB2312" w:hAnsi="仿宋_GB2312" w:eastAsia="仿宋_GB2312" w:cs="仿宋_GB2312"/>
          <w:color w:val="333333"/>
          <w:kern w:val="0"/>
          <w:sz w:val="28"/>
          <w:szCs w:val="28"/>
          <w:u w:val="none" w:color="auto"/>
          <w:shd w:val="clear" w:color="auto" w:fill="auto"/>
        </w:rPr>
      </w:pPr>
      <w:r>
        <w:rPr>
          <w:rFonts w:ascii="仿宋_GB2312" w:hAnsi="仿宋_GB2312" w:eastAsia="仿宋_GB2312" w:cs="仿宋_GB2312"/>
          <w:color w:val="333333"/>
          <w:kern w:val="0"/>
          <w:sz w:val="28"/>
          <w:szCs w:val="28"/>
          <w:u w:val="none" w:color="auto"/>
          <w:shd w:val="clear" w:color="auto" w:fill="auto"/>
        </w:rPr>
        <w:t>通过对20</w:t>
      </w:r>
      <w:r>
        <w:rPr>
          <w:rFonts w:hint="eastAsia" w:ascii="仿宋_GB2312" w:hAnsi="仿宋_GB2312" w:eastAsia="仿宋_GB2312" w:cs="仿宋_GB2312"/>
          <w:color w:val="333333"/>
          <w:kern w:val="0"/>
          <w:sz w:val="28"/>
          <w:szCs w:val="28"/>
          <w:u w:val="none" w:color="auto"/>
          <w:shd w:val="clear" w:color="auto" w:fill="auto"/>
        </w:rPr>
        <w:t>21</w:t>
      </w:r>
      <w:r>
        <w:rPr>
          <w:rFonts w:ascii="仿宋_GB2312" w:hAnsi="仿宋_GB2312" w:eastAsia="仿宋_GB2312" w:cs="仿宋_GB2312"/>
          <w:color w:val="333333"/>
          <w:kern w:val="0"/>
          <w:sz w:val="28"/>
          <w:szCs w:val="28"/>
          <w:u w:val="none" w:color="auto"/>
          <w:shd w:val="clear" w:color="auto" w:fill="auto"/>
        </w:rPr>
        <w:t>年度脱贫攻坚工作经费的使用，实施绩效进行了指标评价，该专项经费为全县脱贫攻坚事业发展提供有效资金保障，受益群众满意度达100%，评论结论为“</w:t>
      </w:r>
      <w:r>
        <w:rPr>
          <w:rFonts w:hint="eastAsia" w:ascii="仿宋_GB2312" w:hAnsi="仿宋_GB2312" w:eastAsia="仿宋_GB2312" w:cs="仿宋_GB2312"/>
          <w:color w:val="333333"/>
          <w:kern w:val="0"/>
          <w:sz w:val="28"/>
          <w:szCs w:val="28"/>
          <w:u w:val="none" w:color="auto"/>
          <w:shd w:val="clear" w:color="auto" w:fill="auto"/>
        </w:rPr>
        <w:t>优</w:t>
      </w:r>
      <w:r>
        <w:rPr>
          <w:rFonts w:ascii="仿宋_GB2312" w:hAnsi="仿宋_GB2312" w:eastAsia="仿宋_GB2312" w:cs="仿宋_GB2312"/>
          <w:color w:val="333333"/>
          <w:kern w:val="0"/>
          <w:sz w:val="28"/>
          <w:szCs w:val="28"/>
          <w:u w:val="none" w:color="auto"/>
          <w:shd w:val="clear" w:color="auto" w:fill="auto"/>
        </w:rPr>
        <w:t>”。</w:t>
      </w:r>
    </w:p>
    <w:p>
      <w:pPr>
        <w:adjustRightInd w:val="0"/>
        <w:snapToGrid w:val="0"/>
        <w:spacing w:line="560" w:lineRule="exact"/>
        <w:ind w:firstLine="562" w:firstLineChars="200"/>
        <w:rPr>
          <w:rFonts w:ascii="仿宋_GB2312" w:hAnsi="仿宋_GB2312" w:eastAsia="仿宋_GB2312" w:cs="仿宋_GB2312"/>
          <w:b/>
          <w:bCs/>
          <w:sz w:val="28"/>
          <w:szCs w:val="28"/>
          <w:u w:val="none" w:color="auto"/>
          <w:shd w:val="clear" w:fill="auto"/>
          <w:lang w:val="zh-CN"/>
        </w:rPr>
      </w:pPr>
      <w:r>
        <w:rPr>
          <w:rFonts w:hint="eastAsia" w:ascii="仿宋_GB2312" w:hAnsi="仿宋_GB2312" w:eastAsia="仿宋_GB2312" w:cs="仿宋_GB2312"/>
          <w:b/>
          <w:bCs/>
          <w:sz w:val="28"/>
          <w:szCs w:val="28"/>
          <w:u w:val="none" w:color="auto"/>
          <w:shd w:val="clear" w:fill="auto"/>
          <w:lang w:val="zh-CN"/>
        </w:rPr>
        <w:t>（二）存在的问题。</w:t>
      </w:r>
    </w:p>
    <w:p>
      <w:pPr>
        <w:widowControl/>
        <w:pBdr>
          <w:bottom w:val="single" w:color="FFFFFF" w:sz="8" w:space="13"/>
        </w:pBdr>
        <w:shd w:val="clear" w:color="auto" w:fill="FFFFFF"/>
        <w:spacing w:line="560" w:lineRule="exact"/>
        <w:ind w:firstLine="640"/>
        <w:rPr>
          <w:rFonts w:ascii="仿宋_GB2312" w:hAnsi="仿宋_GB2312" w:eastAsia="仿宋_GB2312" w:cs="仿宋_GB2312"/>
          <w:color w:val="333333"/>
          <w:kern w:val="0"/>
          <w:sz w:val="28"/>
          <w:szCs w:val="28"/>
          <w:u w:val="none" w:color="auto"/>
          <w:shd w:val="clear" w:color="auto" w:fill="auto"/>
        </w:rPr>
      </w:pPr>
      <w:r>
        <w:rPr>
          <w:rFonts w:ascii="仿宋_GB2312" w:hAnsi="仿宋_GB2312" w:eastAsia="仿宋_GB2312" w:cs="仿宋_GB2312"/>
          <w:color w:val="333333"/>
          <w:kern w:val="0"/>
          <w:sz w:val="28"/>
          <w:szCs w:val="28"/>
          <w:u w:val="none" w:color="auto"/>
          <w:shd w:val="clear" w:color="auto" w:fill="auto"/>
        </w:rPr>
        <w:t>绩效目标编制有待进一步完善。项目单位编制的绩效目标缺乏数量指标和时效指标，完善绩效目标的编制，在编制绩效目标时对绩效指标进行量化，设立清晰、具体可以衡量的绩效指标，以便于进行绩效考核。</w:t>
      </w:r>
    </w:p>
    <w:p>
      <w:pPr>
        <w:adjustRightInd w:val="0"/>
        <w:snapToGrid w:val="0"/>
        <w:spacing w:line="560" w:lineRule="exact"/>
        <w:ind w:firstLine="562" w:firstLineChars="200"/>
        <w:rPr>
          <w:rFonts w:ascii="仿宋_GB2312" w:hAnsi="仿宋_GB2312" w:eastAsia="仿宋_GB2312" w:cs="仿宋_GB2312"/>
          <w:b/>
          <w:bCs/>
          <w:sz w:val="28"/>
          <w:szCs w:val="28"/>
          <w:u w:val="none" w:color="auto"/>
          <w:shd w:val="clear" w:fill="auto"/>
          <w:lang w:val="zh-CN"/>
        </w:rPr>
      </w:pPr>
      <w:r>
        <w:rPr>
          <w:rFonts w:hint="eastAsia" w:ascii="仿宋_GB2312" w:hAnsi="仿宋_GB2312" w:eastAsia="仿宋_GB2312" w:cs="仿宋_GB2312"/>
          <w:b/>
          <w:bCs/>
          <w:sz w:val="28"/>
          <w:szCs w:val="28"/>
          <w:u w:val="none" w:color="auto"/>
          <w:shd w:val="clear" w:fill="auto"/>
          <w:lang w:val="zh-CN"/>
        </w:rPr>
        <w:t>（三）相关建议。</w:t>
      </w:r>
    </w:p>
    <w:p>
      <w:pPr>
        <w:widowControl/>
        <w:pBdr>
          <w:bottom w:val="single" w:color="FFFFFF" w:sz="8" w:space="13"/>
        </w:pBdr>
        <w:shd w:val="clear" w:color="auto" w:fill="FFFFFF"/>
        <w:spacing w:line="560" w:lineRule="exact"/>
        <w:ind w:firstLine="640"/>
        <w:rPr>
          <w:rFonts w:ascii="仿宋_GB2312" w:hAnsi="仿宋_GB2312" w:eastAsia="仿宋_GB2312" w:cs="仿宋_GB2312"/>
          <w:color w:val="333333"/>
          <w:kern w:val="0"/>
          <w:sz w:val="28"/>
          <w:szCs w:val="28"/>
          <w:u w:val="none" w:color="auto"/>
          <w:shd w:val="clear" w:color="auto" w:fill="auto"/>
        </w:rPr>
      </w:pPr>
      <w:r>
        <w:rPr>
          <w:rFonts w:hint="eastAsia" w:ascii="仿宋_GB2312" w:hAnsi="仿宋_GB2312" w:eastAsia="仿宋_GB2312" w:cs="仿宋_GB2312"/>
          <w:color w:val="333333"/>
          <w:kern w:val="0"/>
          <w:sz w:val="28"/>
          <w:szCs w:val="28"/>
          <w:u w:val="none" w:color="auto"/>
          <w:shd w:val="clear" w:color="auto" w:fill="auto"/>
        </w:rPr>
        <w:t>无</w:t>
      </w:r>
    </w:p>
    <w:p>
      <w:pPr>
        <w:pStyle w:val="21"/>
        <w:rPr>
          <w:rFonts w:ascii="仿宋_GB2312" w:hAnsi="仿宋_GB2312" w:eastAsia="仿宋_GB2312" w:cs="仿宋_GB2312"/>
          <w:color w:val="333333"/>
          <w:sz w:val="28"/>
          <w:szCs w:val="28"/>
          <w:u w:val="none" w:color="auto"/>
          <w:shd w:val="clear" w:color="auto" w:fill="auto"/>
        </w:rPr>
      </w:pPr>
    </w:p>
    <w:p>
      <w:pPr>
        <w:pStyle w:val="21"/>
        <w:rPr>
          <w:rFonts w:ascii="仿宋_GB2312" w:hAnsi="仿宋_GB2312" w:eastAsia="仿宋_GB2312" w:cs="仿宋_GB2312"/>
          <w:color w:val="333333"/>
          <w:sz w:val="28"/>
          <w:szCs w:val="28"/>
          <w:u w:val="none" w:color="auto"/>
          <w:shd w:val="clear" w:color="auto" w:fill="auto"/>
        </w:rPr>
      </w:pPr>
    </w:p>
    <w:p>
      <w:pPr>
        <w:pStyle w:val="21"/>
        <w:rPr>
          <w:rFonts w:ascii="仿宋_GB2312" w:hAnsi="仿宋_GB2312" w:eastAsia="仿宋_GB2312" w:cs="仿宋_GB2312"/>
          <w:color w:val="333333"/>
          <w:sz w:val="28"/>
          <w:szCs w:val="28"/>
          <w:u w:val="none" w:color="auto"/>
          <w:shd w:val="clear" w:color="auto" w:fill="auto"/>
        </w:rPr>
      </w:pPr>
    </w:p>
    <w:p>
      <w:pPr>
        <w:pStyle w:val="21"/>
        <w:rPr>
          <w:rFonts w:ascii="仿宋_GB2312" w:hAnsi="仿宋_GB2312" w:eastAsia="仿宋_GB2312" w:cs="仿宋_GB2312"/>
          <w:color w:val="333333"/>
          <w:sz w:val="28"/>
          <w:szCs w:val="28"/>
          <w:u w:val="none" w:color="auto"/>
          <w:shd w:val="clear" w:color="auto" w:fill="auto"/>
        </w:rPr>
      </w:pPr>
    </w:p>
    <w:p>
      <w:pPr>
        <w:pStyle w:val="21"/>
        <w:rPr>
          <w:rFonts w:ascii="仿宋_GB2312" w:hAnsi="仿宋_GB2312" w:eastAsia="仿宋_GB2312" w:cs="仿宋_GB2312"/>
          <w:color w:val="333333"/>
          <w:sz w:val="28"/>
          <w:szCs w:val="28"/>
          <w:u w:val="none" w:color="auto"/>
          <w:shd w:val="clear" w:color="auto" w:fill="auto"/>
        </w:rPr>
      </w:pPr>
    </w:p>
    <w:p>
      <w:pPr>
        <w:pStyle w:val="21"/>
        <w:rPr>
          <w:rFonts w:ascii="仿宋_GB2312" w:hAnsi="仿宋_GB2312" w:eastAsia="仿宋_GB2312" w:cs="仿宋_GB2312"/>
          <w:color w:val="333333"/>
          <w:sz w:val="28"/>
          <w:szCs w:val="28"/>
          <w:u w:val="none" w:color="auto"/>
          <w:shd w:val="clear" w:color="auto" w:fill="auto"/>
        </w:rPr>
      </w:pPr>
    </w:p>
    <w:p>
      <w:pPr>
        <w:pStyle w:val="21"/>
        <w:rPr>
          <w:rFonts w:ascii="仿宋_GB2312" w:hAnsi="仿宋_GB2312" w:eastAsia="仿宋_GB2312" w:cs="仿宋_GB2312"/>
          <w:color w:val="333333"/>
          <w:sz w:val="28"/>
          <w:szCs w:val="28"/>
          <w:u w:val="none" w:color="auto"/>
          <w:shd w:val="clear" w:color="auto" w:fill="auto"/>
        </w:rPr>
      </w:pPr>
    </w:p>
    <w:p>
      <w:pPr>
        <w:pStyle w:val="21"/>
        <w:rPr>
          <w:rFonts w:ascii="仿宋_GB2312" w:hAnsi="仿宋_GB2312" w:eastAsia="仿宋_GB2312" w:cs="仿宋_GB2312"/>
          <w:color w:val="333333"/>
          <w:sz w:val="28"/>
          <w:szCs w:val="28"/>
          <w:u w:val="none" w:color="auto"/>
          <w:shd w:val="clear" w:color="auto" w:fill="auto"/>
        </w:rPr>
      </w:pPr>
    </w:p>
    <w:p>
      <w:pPr>
        <w:pStyle w:val="21"/>
        <w:rPr>
          <w:rFonts w:ascii="仿宋_GB2312" w:hAnsi="仿宋_GB2312" w:eastAsia="仿宋_GB2312" w:cs="仿宋_GB2312"/>
          <w:color w:val="333333"/>
          <w:sz w:val="28"/>
          <w:szCs w:val="28"/>
          <w:u w:val="none" w:color="auto"/>
          <w:shd w:val="clear" w:color="auto" w:fill="auto"/>
        </w:rPr>
      </w:pPr>
    </w:p>
    <w:p>
      <w:pPr>
        <w:pStyle w:val="21"/>
        <w:rPr>
          <w:rFonts w:ascii="仿宋_GB2312" w:hAnsi="仿宋_GB2312" w:eastAsia="仿宋_GB2312" w:cs="仿宋_GB2312"/>
          <w:color w:val="333333"/>
          <w:sz w:val="28"/>
          <w:szCs w:val="28"/>
          <w:u w:val="none" w:color="auto"/>
          <w:shd w:val="clear" w:color="auto" w:fill="auto"/>
        </w:rPr>
      </w:pPr>
    </w:p>
    <w:p>
      <w:pPr>
        <w:pStyle w:val="21"/>
        <w:rPr>
          <w:rFonts w:ascii="仿宋_GB2312" w:hAnsi="仿宋_GB2312" w:eastAsia="仿宋_GB2312" w:cs="仿宋_GB2312"/>
          <w:color w:val="333333"/>
          <w:sz w:val="28"/>
          <w:szCs w:val="28"/>
          <w:u w:val="none" w:color="auto"/>
          <w:shd w:val="clear" w:color="auto" w:fill="auto"/>
        </w:rPr>
      </w:pPr>
    </w:p>
    <w:p>
      <w:pPr>
        <w:pStyle w:val="21"/>
        <w:rPr>
          <w:rFonts w:ascii="仿宋_GB2312" w:hAnsi="仿宋_GB2312" w:eastAsia="仿宋_GB2312" w:cs="仿宋_GB2312"/>
          <w:color w:val="333333"/>
          <w:sz w:val="28"/>
          <w:szCs w:val="28"/>
          <w:u w:val="none" w:color="auto"/>
          <w:shd w:val="clear" w:color="auto" w:fill="auto"/>
        </w:rPr>
      </w:pPr>
    </w:p>
    <w:p>
      <w:pPr>
        <w:pStyle w:val="21"/>
        <w:rPr>
          <w:rFonts w:ascii="仿宋_GB2312" w:hAnsi="仿宋_GB2312" w:eastAsia="仿宋_GB2312" w:cs="仿宋_GB2312"/>
          <w:color w:val="333333"/>
          <w:sz w:val="28"/>
          <w:szCs w:val="28"/>
          <w:u w:val="none" w:color="auto"/>
          <w:shd w:val="clear" w:color="auto" w:fill="auto"/>
        </w:rPr>
      </w:pPr>
    </w:p>
    <w:p>
      <w:pPr>
        <w:pStyle w:val="21"/>
        <w:rPr>
          <w:rFonts w:ascii="仿宋_GB2312" w:hAnsi="仿宋_GB2312" w:eastAsia="仿宋_GB2312" w:cs="仿宋_GB2312"/>
          <w:color w:val="333333"/>
          <w:sz w:val="28"/>
          <w:szCs w:val="28"/>
          <w:u w:val="none" w:color="auto"/>
          <w:shd w:val="clear" w:color="auto" w:fill="auto"/>
        </w:rPr>
      </w:pPr>
    </w:p>
    <w:p>
      <w:pPr>
        <w:pStyle w:val="21"/>
        <w:rPr>
          <w:rFonts w:ascii="仿宋_GB2312" w:hAnsi="仿宋_GB2312" w:eastAsia="仿宋_GB2312" w:cs="仿宋_GB2312"/>
          <w:color w:val="333333"/>
          <w:sz w:val="28"/>
          <w:szCs w:val="28"/>
          <w:u w:val="none" w:color="auto"/>
          <w:shd w:val="clear" w:color="auto" w:fill="auto"/>
        </w:rPr>
      </w:pPr>
    </w:p>
    <w:tbl>
      <w:tblPr>
        <w:tblStyle w:val="6"/>
        <w:tblpPr w:leftFromText="180" w:rightFromText="180" w:vertAnchor="text" w:horzAnchor="page" w:tblpX="1281" w:tblpY="660"/>
        <w:tblOverlap w:val="never"/>
        <w:tblW w:w="10587" w:type="dxa"/>
        <w:tblInd w:w="0" w:type="dxa"/>
        <w:tblLayout w:type="fixed"/>
        <w:tblCellMar>
          <w:top w:w="0" w:type="dxa"/>
          <w:left w:w="108" w:type="dxa"/>
          <w:bottom w:w="0" w:type="dxa"/>
          <w:right w:w="108" w:type="dxa"/>
        </w:tblCellMar>
      </w:tblPr>
      <w:tblGrid>
        <w:gridCol w:w="1070"/>
        <w:gridCol w:w="1095"/>
        <w:gridCol w:w="1515"/>
        <w:gridCol w:w="2295"/>
        <w:gridCol w:w="2385"/>
        <w:gridCol w:w="1987"/>
        <w:gridCol w:w="240"/>
      </w:tblGrid>
      <w:tr>
        <w:tblPrEx>
          <w:tblCellMar>
            <w:top w:w="0" w:type="dxa"/>
            <w:left w:w="108" w:type="dxa"/>
            <w:bottom w:w="0" w:type="dxa"/>
            <w:right w:w="108" w:type="dxa"/>
          </w:tblCellMar>
        </w:tblPrEx>
        <w:trPr>
          <w:trHeight w:val="705" w:hRule="atLeast"/>
        </w:trPr>
        <w:tc>
          <w:tcPr>
            <w:tcW w:w="10347" w:type="dxa"/>
            <w:gridSpan w:val="6"/>
            <w:tcBorders>
              <w:top w:val="nil"/>
              <w:left w:val="nil"/>
              <w:bottom w:val="nil"/>
              <w:right w:val="nil"/>
            </w:tcBorders>
            <w:shd w:val="clear" w:color="auto" w:fill="auto"/>
            <w:vAlign w:val="center"/>
          </w:tcPr>
          <w:p>
            <w:pPr>
              <w:widowControl/>
              <w:ind w:firstLine="1928" w:firstLineChars="600"/>
              <w:textAlignment w:val="center"/>
              <w:rPr>
                <w:rFonts w:ascii="宋体" w:hAnsi="宋体" w:cs="宋体"/>
                <w:b/>
                <w:sz w:val="32"/>
                <w:szCs w:val="32"/>
                <w:u w:val="none" w:color="auto"/>
                <w:shd w:val="clear" w:fill="auto"/>
              </w:rPr>
            </w:pPr>
            <w:r>
              <w:rPr>
                <w:rFonts w:hint="eastAsia" w:ascii="宋体" w:hAnsi="宋体" w:cs="宋体"/>
                <w:b/>
                <w:sz w:val="32"/>
                <w:szCs w:val="32"/>
                <w:u w:val="none" w:color="auto"/>
                <w:shd w:val="clear" w:fill="auto"/>
              </w:rPr>
              <w:t>2021年驻村工作经费项目绩效目标自评</w:t>
            </w:r>
          </w:p>
        </w:tc>
        <w:tc>
          <w:tcPr>
            <w:tcW w:w="240"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u w:val="none" w:color="auto"/>
                <w:shd w:val="clear" w:fill="auto"/>
              </w:rPr>
            </w:pPr>
          </w:p>
        </w:tc>
      </w:tr>
      <w:tr>
        <w:tblPrEx>
          <w:tblCellMar>
            <w:top w:w="0" w:type="dxa"/>
            <w:left w:w="108" w:type="dxa"/>
            <w:bottom w:w="0" w:type="dxa"/>
            <w:right w:w="108" w:type="dxa"/>
          </w:tblCellMar>
        </w:tblPrEx>
        <w:trPr>
          <w:gridAfter w:val="1"/>
          <w:wAfter w:w="240" w:type="dxa"/>
          <w:trHeight w:val="505" w:hRule="atLeast"/>
        </w:trPr>
        <w:tc>
          <w:tcPr>
            <w:tcW w:w="2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主管部门及代码</w:t>
            </w:r>
          </w:p>
        </w:tc>
        <w:tc>
          <w:tcPr>
            <w:tcW w:w="3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驻村工作经费</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实施单位</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县委巡察办</w:t>
            </w:r>
          </w:p>
        </w:tc>
      </w:tr>
      <w:tr>
        <w:tblPrEx>
          <w:tblCellMar>
            <w:top w:w="0" w:type="dxa"/>
            <w:left w:w="108" w:type="dxa"/>
            <w:bottom w:w="0" w:type="dxa"/>
            <w:right w:w="108" w:type="dxa"/>
          </w:tblCellMar>
        </w:tblPrEx>
        <w:trPr>
          <w:gridAfter w:val="1"/>
          <w:wAfter w:w="240" w:type="dxa"/>
          <w:trHeight w:val="640" w:hRule="atLeast"/>
        </w:trPr>
        <w:tc>
          <w:tcPr>
            <w:tcW w:w="21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4"/>
                <w:u w:val="none" w:color="auto"/>
                <w:shd w:val="clear" w:fill="auto"/>
              </w:rPr>
            </w:pPr>
            <w:r>
              <w:rPr>
                <w:rFonts w:hint="eastAsia" w:ascii="仿宋_GB2312" w:hAnsi="仿宋_GB2312" w:eastAsia="仿宋_GB2312" w:cs="仿宋_GB2312"/>
                <w:kern w:val="0"/>
                <w:sz w:val="24"/>
                <w:u w:val="none" w:color="auto"/>
                <w:shd w:val="clear" w:fill="auto"/>
              </w:rPr>
              <w:t>项目预算</w:t>
            </w:r>
          </w:p>
          <w:p>
            <w:pPr>
              <w:widowControl/>
              <w:spacing w:line="320" w:lineRule="exact"/>
              <w:jc w:val="center"/>
              <w:textAlignment w:val="center"/>
              <w:rPr>
                <w:rFonts w:ascii="仿宋_GB2312" w:hAnsi="仿宋_GB2312" w:eastAsia="仿宋_GB2312" w:cs="仿宋_GB2312"/>
                <w:kern w:val="0"/>
                <w:sz w:val="24"/>
                <w:u w:val="none" w:color="auto"/>
                <w:shd w:val="clear" w:fill="auto"/>
              </w:rPr>
            </w:pPr>
            <w:r>
              <w:rPr>
                <w:rFonts w:hint="eastAsia" w:ascii="仿宋_GB2312" w:hAnsi="仿宋_GB2312" w:eastAsia="仿宋_GB2312" w:cs="仿宋_GB2312"/>
                <w:kern w:val="0"/>
                <w:sz w:val="24"/>
                <w:u w:val="none" w:color="auto"/>
                <w:shd w:val="clear" w:fill="auto"/>
              </w:rPr>
              <w:t>执行情况</w:t>
            </w:r>
          </w:p>
          <w:p>
            <w:pPr>
              <w:widowControl/>
              <w:spacing w:line="320" w:lineRule="exact"/>
              <w:jc w:val="center"/>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（万元）</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预算数：</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2.4</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 xml:space="preserve"> 执行数：</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2.4</w:t>
            </w:r>
          </w:p>
        </w:tc>
      </w:tr>
      <w:tr>
        <w:tblPrEx>
          <w:tblCellMar>
            <w:top w:w="0" w:type="dxa"/>
            <w:left w:w="108" w:type="dxa"/>
            <w:bottom w:w="0" w:type="dxa"/>
            <w:right w:w="108" w:type="dxa"/>
          </w:tblCellMar>
        </w:tblPrEx>
        <w:trPr>
          <w:gridAfter w:val="1"/>
          <w:wAfter w:w="240" w:type="dxa"/>
          <w:trHeight w:val="435" w:hRule="atLeast"/>
        </w:trPr>
        <w:tc>
          <w:tcPr>
            <w:tcW w:w="21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u w:val="none" w:color="auto"/>
                <w:shd w:val="clear" w:fill="auto"/>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其中：财政拨款</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2.4</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其中：财政拨款</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720" w:firstLineChars="300"/>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2.4</w:t>
            </w:r>
          </w:p>
        </w:tc>
      </w:tr>
      <w:tr>
        <w:tblPrEx>
          <w:tblCellMar>
            <w:top w:w="0" w:type="dxa"/>
            <w:left w:w="108" w:type="dxa"/>
            <w:bottom w:w="0" w:type="dxa"/>
            <w:right w:w="108" w:type="dxa"/>
          </w:tblCellMar>
        </w:tblPrEx>
        <w:trPr>
          <w:gridAfter w:val="1"/>
          <w:wAfter w:w="240" w:type="dxa"/>
          <w:trHeight w:val="341" w:hRule="atLeast"/>
        </w:trPr>
        <w:tc>
          <w:tcPr>
            <w:tcW w:w="21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u w:val="none" w:color="auto"/>
                <w:shd w:val="clear" w:fill="auto"/>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其他资金</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4"/>
                <w:u w:val="none" w:color="auto"/>
                <w:shd w:val="clear" w:fill="auto"/>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其他资金</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u w:val="none" w:color="auto"/>
                <w:shd w:val="clear" w:fill="auto"/>
              </w:rPr>
            </w:pPr>
          </w:p>
        </w:tc>
      </w:tr>
      <w:tr>
        <w:tblPrEx>
          <w:tblCellMar>
            <w:top w:w="0" w:type="dxa"/>
            <w:left w:w="108" w:type="dxa"/>
            <w:bottom w:w="0" w:type="dxa"/>
            <w:right w:w="108" w:type="dxa"/>
          </w:tblCellMar>
        </w:tblPrEx>
        <w:trPr>
          <w:gridAfter w:val="1"/>
          <w:wAfter w:w="240" w:type="dxa"/>
          <w:trHeight w:val="217" w:hRule="atLeast"/>
        </w:trPr>
        <w:tc>
          <w:tcPr>
            <w:tcW w:w="1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4"/>
                <w:u w:val="none" w:color="auto"/>
                <w:shd w:val="clear" w:fill="auto"/>
              </w:rPr>
            </w:pPr>
            <w:r>
              <w:rPr>
                <w:rFonts w:hint="eastAsia" w:ascii="仿宋_GB2312" w:hAnsi="仿宋_GB2312" w:eastAsia="仿宋_GB2312" w:cs="仿宋_GB2312"/>
                <w:kern w:val="0"/>
                <w:sz w:val="24"/>
                <w:u w:val="none" w:color="auto"/>
                <w:shd w:val="clear" w:fill="auto"/>
              </w:rPr>
              <w:t>年度总体目标</w:t>
            </w:r>
          </w:p>
          <w:p>
            <w:pPr>
              <w:widowControl/>
              <w:spacing w:line="320" w:lineRule="exact"/>
              <w:jc w:val="center"/>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完成情况</w:t>
            </w:r>
          </w:p>
        </w:tc>
        <w:tc>
          <w:tcPr>
            <w:tcW w:w="49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预期目标</w:t>
            </w:r>
          </w:p>
        </w:tc>
        <w:tc>
          <w:tcPr>
            <w:tcW w:w="4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目标实际完成情况</w:t>
            </w:r>
          </w:p>
        </w:tc>
      </w:tr>
      <w:tr>
        <w:tblPrEx>
          <w:tblCellMar>
            <w:top w:w="0" w:type="dxa"/>
            <w:left w:w="108" w:type="dxa"/>
            <w:bottom w:w="0" w:type="dxa"/>
            <w:right w:w="108" w:type="dxa"/>
          </w:tblCellMar>
        </w:tblPrEx>
        <w:trPr>
          <w:gridAfter w:val="1"/>
          <w:wAfter w:w="240" w:type="dxa"/>
          <w:trHeight w:val="1140" w:hRule="atLeast"/>
        </w:trPr>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u w:val="none" w:color="auto"/>
                <w:shd w:val="clear" w:fill="auto"/>
              </w:rPr>
            </w:pPr>
          </w:p>
        </w:tc>
        <w:tc>
          <w:tcPr>
            <w:tcW w:w="4905"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1对37户脱贫户做好脱贫攻坚帮扶；                                2巩固拓展好脱贫攻坚成果；                                       3有效衔接好脱贫攻坚与乡村振兴。</w:t>
            </w:r>
          </w:p>
        </w:tc>
        <w:tc>
          <w:tcPr>
            <w:tcW w:w="4372"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1、对37户脱贫户做好脱贫攻坚帮扶；                                2、巩固拓展好脱贫攻坚成果；                                  3、有效衔接好脱贫攻坚与乡村振兴。</w:t>
            </w:r>
          </w:p>
        </w:tc>
      </w:tr>
      <w:tr>
        <w:tblPrEx>
          <w:tblCellMar>
            <w:top w:w="0" w:type="dxa"/>
            <w:left w:w="108" w:type="dxa"/>
            <w:bottom w:w="0" w:type="dxa"/>
            <w:right w:w="108" w:type="dxa"/>
          </w:tblCellMar>
        </w:tblPrEx>
        <w:trPr>
          <w:gridAfter w:val="1"/>
          <w:wAfter w:w="240" w:type="dxa"/>
          <w:trHeight w:val="760" w:hRule="atLeast"/>
        </w:trPr>
        <w:tc>
          <w:tcPr>
            <w:tcW w:w="1070"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年度绩效指标完成情况</w:t>
            </w:r>
          </w:p>
        </w:tc>
        <w:tc>
          <w:tcPr>
            <w:tcW w:w="1095"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4"/>
                <w:u w:val="none" w:color="auto"/>
                <w:shd w:val="clear" w:fill="auto"/>
              </w:rPr>
            </w:pPr>
            <w:r>
              <w:rPr>
                <w:rFonts w:hint="eastAsia" w:ascii="仿宋_GB2312" w:hAnsi="仿宋_GB2312" w:eastAsia="仿宋_GB2312" w:cs="仿宋_GB2312"/>
                <w:kern w:val="0"/>
                <w:sz w:val="24"/>
                <w:u w:val="none" w:color="auto"/>
                <w:shd w:val="clear" w:fill="auto"/>
              </w:rPr>
              <w:t>一级</w:t>
            </w:r>
          </w:p>
          <w:p>
            <w:pPr>
              <w:widowControl/>
              <w:spacing w:line="320" w:lineRule="exact"/>
              <w:jc w:val="center"/>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4"/>
                <w:u w:val="none" w:color="auto"/>
                <w:shd w:val="clear" w:fill="auto"/>
              </w:rPr>
            </w:pPr>
            <w:r>
              <w:rPr>
                <w:rFonts w:hint="eastAsia" w:ascii="仿宋_GB2312" w:hAnsi="仿宋_GB2312" w:eastAsia="仿宋_GB2312" w:cs="仿宋_GB2312"/>
                <w:kern w:val="0"/>
                <w:sz w:val="24"/>
                <w:u w:val="none" w:color="auto"/>
                <w:shd w:val="clear" w:fill="auto"/>
              </w:rPr>
              <w:t>二级</w:t>
            </w:r>
          </w:p>
          <w:p>
            <w:pPr>
              <w:widowControl/>
              <w:spacing w:line="320" w:lineRule="exact"/>
              <w:jc w:val="center"/>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指标</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4"/>
                <w:u w:val="none" w:color="auto"/>
                <w:shd w:val="clear" w:fill="auto"/>
              </w:rPr>
            </w:pPr>
            <w:r>
              <w:rPr>
                <w:rFonts w:hint="eastAsia" w:ascii="仿宋_GB2312" w:hAnsi="仿宋_GB2312" w:eastAsia="仿宋_GB2312" w:cs="仿宋_GB2312"/>
                <w:kern w:val="0"/>
                <w:sz w:val="24"/>
                <w:u w:val="none" w:color="auto"/>
                <w:shd w:val="clear" w:fill="auto"/>
              </w:rPr>
              <w:t>三级</w:t>
            </w:r>
          </w:p>
          <w:p>
            <w:pPr>
              <w:widowControl/>
              <w:spacing w:line="320" w:lineRule="exact"/>
              <w:jc w:val="center"/>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指标</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预期指标值</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实际完成指标值</w:t>
            </w:r>
          </w:p>
        </w:tc>
      </w:tr>
      <w:tr>
        <w:tblPrEx>
          <w:tblCellMar>
            <w:top w:w="0" w:type="dxa"/>
            <w:left w:w="108" w:type="dxa"/>
            <w:bottom w:w="0" w:type="dxa"/>
            <w:right w:w="108" w:type="dxa"/>
          </w:tblCellMar>
        </w:tblPrEx>
        <w:trPr>
          <w:gridAfter w:val="1"/>
          <w:wAfter w:w="240" w:type="dxa"/>
          <w:trHeight w:val="415" w:hRule="atLeast"/>
        </w:trPr>
        <w:tc>
          <w:tcPr>
            <w:tcW w:w="1070"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u w:val="none" w:color="auto"/>
                <w:shd w:val="clear" w:fill="auto"/>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4"/>
                <w:u w:val="none" w:color="auto"/>
                <w:shd w:val="clear" w:fill="auto"/>
              </w:rPr>
            </w:pPr>
            <w:r>
              <w:rPr>
                <w:rFonts w:hint="eastAsia" w:ascii="仿宋_GB2312" w:hAnsi="仿宋_GB2312" w:eastAsia="仿宋_GB2312" w:cs="仿宋_GB2312"/>
                <w:kern w:val="0"/>
                <w:sz w:val="24"/>
                <w:u w:val="none" w:color="auto"/>
                <w:shd w:val="clear" w:fill="auto"/>
              </w:rPr>
              <w:t>完成</w:t>
            </w:r>
          </w:p>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数量指标</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脱贫帮扶天数</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u w:val="none" w:color="auto"/>
                <w:shd w:val="clear" w:fill="auto"/>
              </w:rPr>
            </w:pPr>
            <w:r>
              <w:rPr>
                <w:rFonts w:hint="eastAsia" w:ascii="仿宋_GB2312" w:hAnsi="仿宋_GB2312" w:eastAsia="仿宋_GB2312" w:cs="仿宋_GB2312"/>
                <w:color w:val="000000"/>
                <w:kern w:val="0"/>
                <w:sz w:val="24"/>
                <w:u w:val="none" w:color="auto"/>
                <w:shd w:val="clear" w:fill="auto"/>
              </w:rPr>
              <w:t>≧1460天</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≧1460天</w:t>
            </w:r>
          </w:p>
        </w:tc>
      </w:tr>
      <w:tr>
        <w:tblPrEx>
          <w:tblCellMar>
            <w:top w:w="0" w:type="dxa"/>
            <w:left w:w="108" w:type="dxa"/>
            <w:bottom w:w="0" w:type="dxa"/>
            <w:right w:w="108" w:type="dxa"/>
          </w:tblCellMar>
        </w:tblPrEx>
        <w:trPr>
          <w:gridAfter w:val="1"/>
          <w:wAfter w:w="240" w:type="dxa"/>
          <w:trHeight w:val="575" w:hRule="atLeast"/>
        </w:trPr>
        <w:tc>
          <w:tcPr>
            <w:tcW w:w="1070"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u w:val="none" w:color="auto"/>
                <w:shd w:val="clear" w:fill="auto"/>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u w:val="none" w:color="auto"/>
                <w:shd w:val="clear" w:fill="auto"/>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质量指标</w:t>
            </w:r>
          </w:p>
        </w:tc>
        <w:tc>
          <w:tcPr>
            <w:tcW w:w="229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帮扶结对合格率</w:t>
            </w:r>
          </w:p>
        </w:tc>
        <w:tc>
          <w:tcPr>
            <w:tcW w:w="238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ind w:firstLine="480" w:firstLineChars="200"/>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color w:val="000000"/>
                <w:sz w:val="24"/>
                <w:u w:val="none" w:color="auto"/>
                <w:shd w:val="clear" w:fill="auto"/>
              </w:rPr>
              <w:t>100%</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firstLineChars="200"/>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100%</w:t>
            </w:r>
          </w:p>
        </w:tc>
      </w:tr>
      <w:tr>
        <w:tblPrEx>
          <w:tblCellMar>
            <w:top w:w="0" w:type="dxa"/>
            <w:left w:w="108" w:type="dxa"/>
            <w:bottom w:w="0" w:type="dxa"/>
            <w:right w:w="108" w:type="dxa"/>
          </w:tblCellMar>
        </w:tblPrEx>
        <w:trPr>
          <w:gridAfter w:val="1"/>
          <w:wAfter w:w="240" w:type="dxa"/>
          <w:trHeight w:val="685" w:hRule="atLeast"/>
        </w:trPr>
        <w:tc>
          <w:tcPr>
            <w:tcW w:w="1070"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u w:val="none" w:color="auto"/>
                <w:shd w:val="clear" w:fill="auto"/>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u w:val="none" w:color="auto"/>
                <w:shd w:val="clear" w:fill="auto"/>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时效指标</w:t>
            </w:r>
          </w:p>
        </w:tc>
        <w:tc>
          <w:tcPr>
            <w:tcW w:w="229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2021年12月底</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rFonts w:ascii="仿宋_GB2312" w:hAnsi="仿宋_GB2312" w:eastAsia="仿宋_GB2312" w:cs="仿宋_GB2312"/>
                <w:kern w:val="0"/>
                <w:sz w:val="24"/>
                <w:u w:val="none" w:color="auto"/>
                <w:shd w:val="clear" w:fill="auto"/>
              </w:rPr>
            </w:pPr>
            <w:r>
              <w:rPr>
                <w:rFonts w:hint="eastAsia" w:ascii="仿宋_GB2312" w:hAnsi="仿宋_GB2312" w:eastAsia="仿宋_GB2312" w:cs="仿宋_GB2312"/>
                <w:kern w:val="0"/>
                <w:sz w:val="24"/>
                <w:u w:val="none" w:color="auto"/>
                <w:shd w:val="clear" w:fill="auto"/>
              </w:rPr>
              <w:t>在规定时间内办结帮扶事项</w:t>
            </w:r>
          </w:p>
          <w:p>
            <w:pPr>
              <w:widowControl/>
              <w:spacing w:line="320" w:lineRule="exact"/>
              <w:jc w:val="center"/>
              <w:textAlignment w:val="center"/>
              <w:rPr>
                <w:rFonts w:ascii="仿宋_GB2312" w:hAnsi="仿宋_GB2312" w:eastAsia="仿宋_GB2312" w:cs="仿宋_GB2312"/>
                <w:kern w:val="0"/>
                <w:sz w:val="24"/>
                <w:u w:val="none" w:color="auto"/>
                <w:shd w:val="clear" w:fill="auto"/>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rFonts w:ascii="仿宋_GB2312" w:hAnsi="仿宋_GB2312" w:eastAsia="仿宋_GB2312" w:cs="仿宋_GB2312"/>
                <w:kern w:val="0"/>
                <w:sz w:val="24"/>
                <w:u w:val="none" w:color="auto"/>
                <w:shd w:val="clear" w:fill="auto"/>
              </w:rPr>
            </w:pPr>
            <w:r>
              <w:rPr>
                <w:rFonts w:hint="eastAsia" w:ascii="仿宋_GB2312" w:hAnsi="仿宋_GB2312" w:eastAsia="仿宋_GB2312" w:cs="仿宋_GB2312"/>
                <w:kern w:val="0"/>
                <w:sz w:val="24"/>
                <w:u w:val="none" w:color="auto"/>
                <w:shd w:val="clear" w:fill="auto"/>
              </w:rPr>
              <w:t>在规定时间内办结帮扶事项</w:t>
            </w:r>
          </w:p>
          <w:p>
            <w:pPr>
              <w:widowControl/>
              <w:spacing w:line="320" w:lineRule="exact"/>
              <w:jc w:val="center"/>
              <w:textAlignment w:val="center"/>
              <w:rPr>
                <w:rFonts w:ascii="仿宋_GB2312" w:hAnsi="仿宋_GB2312" w:eastAsia="仿宋_GB2312" w:cs="仿宋_GB2312"/>
                <w:kern w:val="0"/>
                <w:sz w:val="24"/>
                <w:u w:val="none" w:color="auto"/>
                <w:shd w:val="clear" w:fill="auto"/>
              </w:rPr>
            </w:pPr>
          </w:p>
        </w:tc>
      </w:tr>
      <w:tr>
        <w:tblPrEx>
          <w:tblCellMar>
            <w:top w:w="0" w:type="dxa"/>
            <w:left w:w="108" w:type="dxa"/>
            <w:bottom w:w="0" w:type="dxa"/>
            <w:right w:w="108" w:type="dxa"/>
          </w:tblCellMar>
        </w:tblPrEx>
        <w:trPr>
          <w:gridAfter w:val="1"/>
          <w:wAfter w:w="240" w:type="dxa"/>
          <w:trHeight w:val="480" w:hRule="atLeast"/>
        </w:trPr>
        <w:tc>
          <w:tcPr>
            <w:tcW w:w="1070"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u w:val="none" w:color="auto"/>
                <w:shd w:val="clear" w:fill="auto"/>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u w:val="none" w:color="auto"/>
                <w:shd w:val="clear" w:fill="auto"/>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成本指标</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color w:val="000000"/>
                <w:sz w:val="24"/>
                <w:u w:val="none" w:color="auto"/>
                <w:shd w:val="clear" w:fill="auto"/>
              </w:rPr>
              <w:t>脱贫成本</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u w:val="none" w:color="auto"/>
                <w:shd w:val="clear" w:fill="auto"/>
              </w:rPr>
            </w:pPr>
            <w:r>
              <w:rPr>
                <w:rFonts w:ascii="宋体" w:hAnsi="宋体" w:cs="宋体"/>
                <w:color w:val="000000"/>
                <w:kern w:val="0"/>
                <w:sz w:val="20"/>
                <w:szCs w:val="20"/>
                <w:u w:val="none" w:color="auto"/>
                <w:shd w:val="clear" w:fill="auto"/>
              </w:rPr>
              <w:t>≧</w:t>
            </w:r>
            <w:r>
              <w:rPr>
                <w:rFonts w:hint="eastAsia" w:ascii="宋体" w:hAnsi="宋体" w:cs="宋体"/>
                <w:color w:val="000000"/>
                <w:kern w:val="0"/>
                <w:sz w:val="20"/>
                <w:szCs w:val="20"/>
                <w:u w:val="none" w:color="auto"/>
                <w:shd w:val="clear" w:fill="auto"/>
              </w:rPr>
              <w:t>2.4万元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4"/>
                <w:u w:val="none" w:color="auto"/>
                <w:shd w:val="clear" w:fill="auto"/>
              </w:rPr>
            </w:pPr>
            <w:r>
              <w:rPr>
                <w:rFonts w:ascii="宋体" w:hAnsi="宋体" w:cs="宋体"/>
                <w:color w:val="000000"/>
                <w:kern w:val="0"/>
                <w:sz w:val="20"/>
                <w:szCs w:val="20"/>
                <w:u w:val="none" w:color="auto"/>
                <w:shd w:val="clear" w:fill="auto"/>
              </w:rPr>
              <w:t>≧</w:t>
            </w:r>
            <w:r>
              <w:rPr>
                <w:rFonts w:hint="eastAsia" w:ascii="宋体" w:hAnsi="宋体" w:cs="宋体"/>
                <w:color w:val="000000"/>
                <w:kern w:val="0"/>
                <w:sz w:val="20"/>
                <w:szCs w:val="20"/>
                <w:u w:val="none" w:color="auto"/>
                <w:shd w:val="clear" w:fill="auto"/>
              </w:rPr>
              <w:t>2.4万元</w:t>
            </w:r>
          </w:p>
        </w:tc>
      </w:tr>
      <w:tr>
        <w:tblPrEx>
          <w:tblCellMar>
            <w:top w:w="0" w:type="dxa"/>
            <w:left w:w="108" w:type="dxa"/>
            <w:bottom w:w="0" w:type="dxa"/>
            <w:right w:w="108" w:type="dxa"/>
          </w:tblCellMar>
        </w:tblPrEx>
        <w:trPr>
          <w:gridAfter w:val="1"/>
          <w:wAfter w:w="240" w:type="dxa"/>
          <w:trHeight w:val="480" w:hRule="atLeast"/>
        </w:trPr>
        <w:tc>
          <w:tcPr>
            <w:tcW w:w="1070"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u w:val="none" w:color="auto"/>
                <w:shd w:val="clear" w:fill="auto"/>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4"/>
                <w:u w:val="none" w:color="auto"/>
                <w:shd w:val="clear" w:fill="auto"/>
              </w:rPr>
            </w:pPr>
            <w:r>
              <w:rPr>
                <w:rFonts w:hint="eastAsia" w:ascii="仿宋_GB2312" w:hAnsi="仿宋_GB2312" w:eastAsia="仿宋_GB2312" w:cs="仿宋_GB2312"/>
                <w:kern w:val="0"/>
                <w:sz w:val="24"/>
                <w:u w:val="none" w:color="auto"/>
                <w:shd w:val="clear" w:fill="auto"/>
              </w:rPr>
              <w:t>效益</w:t>
            </w:r>
          </w:p>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经济效益指标</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帮扶对象增收率</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u w:val="none" w:color="auto"/>
                <w:shd w:val="clear" w:fill="auto"/>
              </w:rPr>
            </w:pPr>
            <w:r>
              <w:rPr>
                <w:rFonts w:hint="eastAsia" w:ascii="仿宋_GB2312" w:hAnsi="仿宋_GB2312" w:eastAsia="仿宋_GB2312" w:cs="仿宋_GB2312"/>
                <w:color w:val="000000"/>
                <w:kern w:val="0"/>
                <w:sz w:val="24"/>
                <w:u w:val="none" w:color="auto"/>
                <w:shd w:val="clear" w:fill="auto"/>
              </w:rPr>
              <w:t>100%</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u w:val="none" w:color="auto"/>
                <w:shd w:val="clear" w:fill="auto"/>
              </w:rPr>
            </w:pPr>
            <w:r>
              <w:rPr>
                <w:rFonts w:hint="eastAsia" w:ascii="仿宋_GB2312" w:hAnsi="仿宋_GB2312" w:eastAsia="仿宋_GB2312" w:cs="仿宋_GB2312"/>
                <w:color w:val="000000"/>
                <w:kern w:val="0"/>
                <w:sz w:val="24"/>
                <w:u w:val="none" w:color="auto"/>
                <w:shd w:val="clear" w:fill="auto"/>
              </w:rPr>
              <w:t>100%</w:t>
            </w:r>
          </w:p>
        </w:tc>
      </w:tr>
      <w:tr>
        <w:tblPrEx>
          <w:tblCellMar>
            <w:top w:w="0" w:type="dxa"/>
            <w:left w:w="108" w:type="dxa"/>
            <w:bottom w:w="0" w:type="dxa"/>
            <w:right w:w="108" w:type="dxa"/>
          </w:tblCellMar>
        </w:tblPrEx>
        <w:trPr>
          <w:gridAfter w:val="1"/>
          <w:wAfter w:w="240" w:type="dxa"/>
          <w:trHeight w:val="560" w:hRule="atLeast"/>
        </w:trPr>
        <w:tc>
          <w:tcPr>
            <w:tcW w:w="1070"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u w:val="none" w:color="auto"/>
                <w:shd w:val="clear" w:fill="auto"/>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u w:val="none" w:color="auto"/>
                <w:shd w:val="clear" w:fill="auto"/>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社会效益指标</w:t>
            </w:r>
          </w:p>
        </w:tc>
        <w:tc>
          <w:tcPr>
            <w:tcW w:w="229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巩固拓展脱贫攻坚成果</w:t>
            </w:r>
          </w:p>
        </w:tc>
        <w:tc>
          <w:tcPr>
            <w:tcW w:w="238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加强管理，建立健全相关制度，得到群众好评</w:t>
            </w:r>
            <w:r>
              <w:rPr>
                <w:u w:val="none" w:color="auto"/>
                <w:shd w:val="clear" w:fill="auto"/>
              </w:rPr>
              <w:t>。</w:t>
            </w:r>
          </w:p>
        </w:tc>
        <w:tc>
          <w:tcPr>
            <w:tcW w:w="1987"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center"/>
              <w:rPr>
                <w:rFonts w:ascii="仿宋_GB2312" w:hAnsi="仿宋_GB2312" w:eastAsia="仿宋_GB2312" w:cs="仿宋_GB2312"/>
                <w:color w:val="000000"/>
                <w:sz w:val="24"/>
                <w:u w:val="none" w:color="auto"/>
                <w:shd w:val="clear" w:fill="auto"/>
              </w:rPr>
            </w:pPr>
            <w:r>
              <w:rPr>
                <w:rFonts w:hint="eastAsia" w:ascii="仿宋_GB2312" w:hAnsi="仿宋_GB2312" w:eastAsia="仿宋_GB2312" w:cs="仿宋_GB2312"/>
                <w:sz w:val="24"/>
                <w:u w:val="none" w:color="auto"/>
                <w:shd w:val="clear" w:fill="auto"/>
              </w:rPr>
              <w:t>加强管理，建立健全相关制度，得到群众好评</w:t>
            </w:r>
            <w:r>
              <w:rPr>
                <w:u w:val="none" w:color="auto"/>
                <w:shd w:val="clear" w:fill="auto"/>
              </w:rPr>
              <w:t>。</w:t>
            </w:r>
          </w:p>
        </w:tc>
      </w:tr>
      <w:tr>
        <w:tblPrEx>
          <w:tblCellMar>
            <w:top w:w="0" w:type="dxa"/>
            <w:left w:w="108" w:type="dxa"/>
            <w:bottom w:w="0" w:type="dxa"/>
            <w:right w:w="108" w:type="dxa"/>
          </w:tblCellMar>
        </w:tblPrEx>
        <w:trPr>
          <w:gridAfter w:val="1"/>
          <w:wAfter w:w="240" w:type="dxa"/>
          <w:trHeight w:val="2110" w:hRule="atLeast"/>
        </w:trPr>
        <w:tc>
          <w:tcPr>
            <w:tcW w:w="1070"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u w:val="none" w:color="auto"/>
                <w:shd w:val="clear" w:fill="auto"/>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u w:val="none" w:color="auto"/>
                <w:shd w:val="clear" w:fill="auto"/>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u w:val="none" w:color="auto"/>
                <w:shd w:val="clear" w:fill="auto"/>
              </w:rPr>
            </w:pPr>
            <w:r>
              <w:rPr>
                <w:rFonts w:hint="eastAsia"/>
                <w:u w:val="none" w:color="auto"/>
                <w:shd w:val="clear" w:fill="auto"/>
              </w:rPr>
              <w:t>可持续影响指标</w:t>
            </w:r>
          </w:p>
          <w:p>
            <w:pPr>
              <w:pStyle w:val="21"/>
              <w:rPr>
                <w:rFonts w:ascii="仿宋_GB2312" w:hAnsi="仿宋_GB2312" w:eastAsia="仿宋_GB2312" w:cs="仿宋_GB2312"/>
                <w:color w:val="auto"/>
                <w:u w:val="none" w:color="auto"/>
                <w:shd w:val="clear" w:fill="auto"/>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tcPr>
          <w:p>
            <w:pPr>
              <w:pStyle w:val="5"/>
              <w:widowControl/>
              <w:spacing w:beforeAutospacing="0" w:afterAutospacing="0" w:line="560" w:lineRule="exact"/>
              <w:rPr>
                <w:rFonts w:ascii="仿宋_GB2312" w:hAnsi="仿宋_GB2312" w:eastAsia="仿宋_GB2312" w:cs="仿宋_GB2312"/>
                <w:kern w:val="2"/>
                <w:u w:val="none" w:color="auto"/>
                <w:shd w:val="clear" w:fill="auto"/>
              </w:rPr>
            </w:pPr>
            <w:r>
              <w:rPr>
                <w:rFonts w:hint="eastAsia" w:ascii="仿宋_GB2312" w:hAnsi="仿宋_GB2312" w:eastAsia="仿宋_GB2312" w:cs="仿宋_GB2312"/>
                <w:kern w:val="2"/>
                <w:u w:val="none" w:color="auto"/>
                <w:shd w:val="clear" w:fill="auto"/>
              </w:rPr>
              <w:t>促进相关政策落地落实</w:t>
            </w:r>
          </w:p>
          <w:p>
            <w:pPr>
              <w:widowControl/>
              <w:spacing w:line="320" w:lineRule="exact"/>
              <w:textAlignment w:val="bottom"/>
              <w:rPr>
                <w:rFonts w:ascii="仿宋_GB2312" w:hAnsi="仿宋_GB2312" w:eastAsia="仿宋_GB2312" w:cs="仿宋_GB2312"/>
                <w:sz w:val="24"/>
                <w:u w:val="none" w:color="auto"/>
                <w:shd w:val="clear" w:fill="auto"/>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widowControl/>
              <w:spacing w:beforeAutospacing="0" w:afterAutospacing="0" w:line="560" w:lineRule="exact"/>
              <w:rPr>
                <w:rFonts w:ascii="仿宋_GB2312" w:hAnsi="仿宋_GB2312" w:eastAsia="仿宋_GB2312" w:cs="仿宋_GB2312"/>
                <w:kern w:val="2"/>
                <w:u w:val="none" w:color="auto"/>
                <w:shd w:val="clear" w:fill="auto"/>
              </w:rPr>
            </w:pPr>
            <w:r>
              <w:rPr>
                <w:rFonts w:hint="eastAsia" w:ascii="仿宋_GB2312" w:hAnsi="仿宋_GB2312" w:eastAsia="仿宋_GB2312" w:cs="仿宋_GB2312"/>
                <w:kern w:val="2"/>
                <w:u w:val="none" w:color="auto"/>
                <w:shd w:val="clear" w:fill="auto"/>
              </w:rPr>
              <w:t>通过帮扶发现问题，分析原因，提出建议，相关政策完全落实</w:t>
            </w:r>
            <w:r>
              <w:rPr>
                <w:u w:val="none" w:color="auto"/>
                <w:shd w:val="clear" w:fill="auto"/>
              </w:rPr>
              <w:t>。</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widowControl/>
              <w:spacing w:beforeAutospacing="0" w:afterAutospacing="0" w:line="560" w:lineRule="exact"/>
              <w:rPr>
                <w:rFonts w:ascii="仿宋_GB2312" w:hAnsi="仿宋_GB2312" w:eastAsia="仿宋_GB2312" w:cs="仿宋_GB2312"/>
                <w:kern w:val="2"/>
                <w:u w:val="none" w:color="auto"/>
                <w:shd w:val="clear" w:fill="auto"/>
              </w:rPr>
            </w:pPr>
            <w:r>
              <w:rPr>
                <w:rFonts w:hint="eastAsia" w:ascii="仿宋_GB2312" w:hAnsi="仿宋_GB2312" w:eastAsia="仿宋_GB2312" w:cs="仿宋_GB2312"/>
                <w:kern w:val="2"/>
                <w:u w:val="none" w:color="auto"/>
                <w:shd w:val="clear" w:fill="auto"/>
              </w:rPr>
              <w:t>相关政策已完全落实</w:t>
            </w:r>
          </w:p>
          <w:p>
            <w:pPr>
              <w:pStyle w:val="5"/>
              <w:widowControl/>
              <w:spacing w:beforeAutospacing="0" w:afterAutospacing="0" w:line="560" w:lineRule="exact"/>
              <w:rPr>
                <w:rFonts w:ascii="仿宋_GB2312" w:hAnsi="仿宋_GB2312" w:eastAsia="仿宋_GB2312" w:cs="仿宋_GB2312"/>
                <w:kern w:val="2"/>
                <w:u w:val="none" w:color="auto"/>
                <w:shd w:val="clear" w:fill="auto"/>
              </w:rPr>
            </w:pPr>
          </w:p>
        </w:tc>
      </w:tr>
      <w:tr>
        <w:tblPrEx>
          <w:tblCellMar>
            <w:top w:w="0" w:type="dxa"/>
            <w:left w:w="108" w:type="dxa"/>
            <w:bottom w:w="0" w:type="dxa"/>
            <w:right w:w="108" w:type="dxa"/>
          </w:tblCellMar>
        </w:tblPrEx>
        <w:trPr>
          <w:gridAfter w:val="1"/>
          <w:wAfter w:w="240" w:type="dxa"/>
          <w:trHeight w:val="685" w:hRule="atLeast"/>
        </w:trPr>
        <w:tc>
          <w:tcPr>
            <w:tcW w:w="1070"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u w:val="none" w:color="auto"/>
                <w:shd w:val="clear" w:fill="auto"/>
              </w:rPr>
            </w:pPr>
          </w:p>
        </w:tc>
        <w:tc>
          <w:tcPr>
            <w:tcW w:w="1095" w:type="dxa"/>
            <w:vMerge w:val="restart"/>
            <w:tcBorders>
              <w:top w:val="single" w:color="000000" w:sz="4" w:space="0"/>
              <w:left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kern w:val="0"/>
                <w:sz w:val="24"/>
                <w:u w:val="none" w:color="auto"/>
                <w:shd w:val="clear" w:fill="auto"/>
              </w:rPr>
            </w:pPr>
            <w:r>
              <w:rPr>
                <w:rFonts w:hint="eastAsia" w:ascii="仿宋_GB2312" w:hAnsi="仿宋_GB2312" w:eastAsia="仿宋_GB2312" w:cs="仿宋_GB2312"/>
                <w:kern w:val="0"/>
                <w:sz w:val="24"/>
                <w:u w:val="none" w:color="auto"/>
                <w:shd w:val="clear" w:fill="auto"/>
              </w:rPr>
              <w:t>满意</w:t>
            </w:r>
          </w:p>
          <w:p>
            <w:pPr>
              <w:widowControl/>
              <w:spacing w:line="320" w:lineRule="exact"/>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度指标</w:t>
            </w:r>
          </w:p>
        </w:tc>
        <w:tc>
          <w:tcPr>
            <w:tcW w:w="1515" w:type="dxa"/>
            <w:vMerge w:val="restart"/>
            <w:tcBorders>
              <w:top w:val="single" w:color="000000" w:sz="4" w:space="0"/>
              <w:left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kern w:val="0"/>
                <w:sz w:val="24"/>
                <w:u w:val="none" w:color="auto"/>
                <w:shd w:val="clear" w:fill="auto"/>
              </w:rPr>
            </w:pPr>
            <w:r>
              <w:rPr>
                <w:rFonts w:hint="eastAsia" w:ascii="仿宋_GB2312" w:hAnsi="仿宋_GB2312" w:eastAsia="仿宋_GB2312" w:cs="仿宋_GB2312"/>
                <w:kern w:val="0"/>
                <w:sz w:val="24"/>
                <w:u w:val="none" w:color="auto"/>
                <w:shd w:val="clear" w:fill="auto"/>
              </w:rPr>
              <w:t>满意度</w:t>
            </w:r>
          </w:p>
          <w:p>
            <w:pPr>
              <w:widowControl/>
              <w:spacing w:line="320" w:lineRule="exact"/>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kern w:val="0"/>
                <w:sz w:val="24"/>
                <w:u w:val="none" w:color="auto"/>
                <w:shd w:val="clear" w:fill="auto"/>
              </w:rPr>
              <w:t>指标</w:t>
            </w:r>
          </w:p>
        </w:tc>
        <w:tc>
          <w:tcPr>
            <w:tcW w:w="229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县委相关领导认可度服务对象满意度</w:t>
            </w:r>
          </w:p>
        </w:tc>
        <w:tc>
          <w:tcPr>
            <w:tcW w:w="238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ind w:firstLine="720" w:firstLineChars="300"/>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≧96%</w:t>
            </w:r>
          </w:p>
        </w:tc>
        <w:tc>
          <w:tcPr>
            <w:tcW w:w="1987"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ind w:firstLine="480" w:firstLineChars="200"/>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≧96%</w:t>
            </w:r>
          </w:p>
        </w:tc>
      </w:tr>
      <w:tr>
        <w:tblPrEx>
          <w:tblCellMar>
            <w:top w:w="0" w:type="dxa"/>
            <w:left w:w="108" w:type="dxa"/>
            <w:bottom w:w="0" w:type="dxa"/>
            <w:right w:w="108" w:type="dxa"/>
          </w:tblCellMar>
        </w:tblPrEx>
        <w:trPr>
          <w:gridAfter w:val="1"/>
          <w:wAfter w:w="240" w:type="dxa"/>
          <w:trHeight w:val="530" w:hRule="atLeast"/>
        </w:trPr>
        <w:tc>
          <w:tcPr>
            <w:tcW w:w="1070"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u w:val="none" w:color="auto"/>
                <w:shd w:val="clear" w:fill="auto"/>
              </w:rPr>
            </w:pPr>
          </w:p>
        </w:tc>
        <w:tc>
          <w:tcPr>
            <w:tcW w:w="1095"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p>
        </w:tc>
        <w:tc>
          <w:tcPr>
            <w:tcW w:w="1515"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当地群众满意度</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≧96%</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≧96%</w:t>
            </w:r>
          </w:p>
        </w:tc>
      </w:tr>
    </w:tbl>
    <w:p>
      <w:pPr>
        <w:widowControl/>
        <w:adjustRightInd w:val="0"/>
        <w:snapToGrid w:val="0"/>
        <w:spacing w:line="580" w:lineRule="exact"/>
        <w:ind w:firstLine="640" w:firstLineChars="200"/>
        <w:contextualSpacing/>
        <w:jc w:val="left"/>
        <w:rPr>
          <w:rFonts w:ascii="仿宋_GB2312" w:hAnsi="宋体" w:eastAsia="仿宋_GB2312" w:cs="宋体"/>
          <w:kern w:val="0"/>
          <w:sz w:val="32"/>
          <w:szCs w:val="32"/>
          <w:u w:val="none" w:color="auto"/>
          <w:shd w:val="clear" w:color="auto" w:fill="auto"/>
          <w:lang w:val="zh-CN"/>
        </w:rPr>
      </w:pPr>
    </w:p>
    <w:p>
      <w:pPr>
        <w:widowControl/>
        <w:pBdr>
          <w:bottom w:val="single" w:color="FFFFFF" w:sz="8" w:space="13"/>
        </w:pBdr>
        <w:shd w:val="clear" w:color="auto" w:fill="FFFFFF"/>
        <w:spacing w:line="560" w:lineRule="exact"/>
        <w:ind w:firstLine="640"/>
        <w:rPr>
          <w:rStyle w:val="29"/>
          <w:rFonts w:ascii="黑体" w:hAnsi="黑体" w:eastAsia="黑体"/>
          <w:b w:val="0"/>
          <w:u w:val="none" w:color="auto"/>
          <w:shd w:val="clear" w:fill="auto"/>
        </w:rPr>
      </w:pPr>
      <w:r>
        <w:rPr>
          <w:u w:val="none" w:color="auto"/>
          <w:shd w:val="clear" w:fill="auto"/>
        </w:rPr>
        <w:br w:type="page"/>
      </w:r>
    </w:p>
    <w:p>
      <w:pPr>
        <w:spacing w:line="600" w:lineRule="exact"/>
        <w:jc w:val="center"/>
        <w:outlineLvl w:val="0"/>
        <w:rPr>
          <w:rFonts w:ascii="仿宋" w:hAnsi="仿宋" w:eastAsia="仿宋"/>
          <w:u w:val="none" w:color="auto"/>
          <w:shd w:val="clear" w:fill="auto"/>
        </w:rPr>
      </w:pPr>
      <w:bookmarkStart w:id="81" w:name="_Toc11837"/>
      <w:bookmarkStart w:id="82" w:name="_Toc15396618"/>
      <w:r>
        <w:rPr>
          <w:rFonts w:hint="eastAsia" w:ascii="黑体" w:hAnsi="黑体" w:eastAsia="黑体"/>
          <w:sz w:val="44"/>
          <w:szCs w:val="44"/>
          <w:u w:val="none" w:color="auto"/>
          <w:shd w:val="clear" w:fill="auto"/>
        </w:rPr>
        <w:t>第</w:t>
      </w:r>
      <w:r>
        <w:rPr>
          <w:rStyle w:val="29"/>
          <w:rFonts w:hint="eastAsia" w:ascii="黑体" w:hAnsi="黑体" w:eastAsia="黑体"/>
          <w:b w:val="0"/>
          <w:u w:val="none" w:color="auto"/>
          <w:shd w:val="clear" w:fill="auto"/>
        </w:rPr>
        <w:t>五部分 附表</w:t>
      </w:r>
      <w:bookmarkEnd w:id="78"/>
      <w:bookmarkEnd w:id="81"/>
      <w:bookmarkEnd w:id="82"/>
      <w:bookmarkStart w:id="83" w:name="_Toc15396619"/>
    </w:p>
    <w:p>
      <w:pPr>
        <w:pStyle w:val="13"/>
        <w:rPr>
          <w:rFonts w:ascii="仿宋_GB2312" w:hAnsi="仿宋_GB2312" w:eastAsia="仿宋_GB2312" w:cs="仿宋_GB2312"/>
          <w:sz w:val="28"/>
          <w:szCs w:val="28"/>
          <w:u w:val="none" w:color="auto"/>
          <w:shd w:val="clear" w:fill="auto"/>
        </w:rPr>
      </w:pPr>
      <w:bookmarkStart w:id="84" w:name="_Toc24198"/>
      <w:r>
        <w:rPr>
          <w:rFonts w:hint="eastAsia" w:ascii="仿宋_GB2312" w:hAnsi="仿宋_GB2312" w:eastAsia="仿宋_GB2312" w:cs="仿宋_GB2312"/>
          <w:b w:val="0"/>
          <w:sz w:val="28"/>
          <w:szCs w:val="28"/>
          <w:u w:val="none" w:color="auto"/>
          <w:shd w:val="clear" w:fill="auto"/>
        </w:rPr>
        <w:t>一、收</w:t>
      </w:r>
      <w:r>
        <w:rPr>
          <w:rStyle w:val="30"/>
          <w:rFonts w:hint="eastAsia" w:ascii="仿宋_GB2312" w:hAnsi="仿宋_GB2312" w:eastAsia="仿宋_GB2312" w:cs="仿宋_GB2312"/>
          <w:b w:val="0"/>
          <w:bCs w:val="0"/>
          <w:sz w:val="28"/>
          <w:szCs w:val="28"/>
          <w:u w:val="none" w:color="auto"/>
          <w:shd w:val="clear" w:fill="auto"/>
        </w:rPr>
        <w:t>入支出</w:t>
      </w:r>
      <w:r>
        <w:rPr>
          <w:rFonts w:hint="eastAsia" w:ascii="仿宋_GB2312" w:hAnsi="仿宋_GB2312" w:eastAsia="仿宋_GB2312" w:cs="仿宋_GB2312"/>
          <w:b w:val="0"/>
          <w:bCs w:val="0"/>
          <w:sz w:val="28"/>
          <w:szCs w:val="28"/>
          <w:u w:val="none" w:color="auto"/>
          <w:shd w:val="clear" w:fill="auto"/>
        </w:rPr>
        <w:t>决算总表</w:t>
      </w:r>
      <w:bookmarkEnd w:id="83"/>
      <w:bookmarkEnd w:id="84"/>
    </w:p>
    <w:p>
      <w:pPr>
        <w:pStyle w:val="13"/>
        <w:rPr>
          <w:rFonts w:ascii="仿宋_GB2312" w:hAnsi="仿宋_GB2312" w:eastAsia="仿宋_GB2312" w:cs="仿宋_GB2312"/>
          <w:sz w:val="28"/>
          <w:szCs w:val="28"/>
          <w:u w:val="none" w:color="auto"/>
          <w:shd w:val="clear" w:fill="auto"/>
        </w:rPr>
      </w:pPr>
      <w:bookmarkStart w:id="85" w:name="_Toc8159"/>
      <w:bookmarkStart w:id="86" w:name="_Toc15396620"/>
      <w:r>
        <w:rPr>
          <w:rFonts w:hint="eastAsia" w:ascii="仿宋_GB2312" w:hAnsi="仿宋_GB2312" w:eastAsia="仿宋_GB2312" w:cs="仿宋_GB2312"/>
          <w:b w:val="0"/>
          <w:sz w:val="28"/>
          <w:szCs w:val="28"/>
          <w:u w:val="none" w:color="auto"/>
          <w:shd w:val="clear" w:fill="auto"/>
        </w:rPr>
        <w:t>二、收</w:t>
      </w:r>
      <w:r>
        <w:rPr>
          <w:rStyle w:val="30"/>
          <w:rFonts w:hint="eastAsia" w:ascii="仿宋_GB2312" w:hAnsi="仿宋_GB2312" w:eastAsia="仿宋_GB2312" w:cs="仿宋_GB2312"/>
          <w:b w:val="0"/>
          <w:bCs w:val="0"/>
          <w:sz w:val="28"/>
          <w:szCs w:val="28"/>
          <w:u w:val="none" w:color="auto"/>
          <w:shd w:val="clear" w:fill="auto"/>
        </w:rPr>
        <w:t>入决算表</w:t>
      </w:r>
      <w:bookmarkEnd w:id="85"/>
      <w:bookmarkEnd w:id="86"/>
    </w:p>
    <w:p>
      <w:pPr>
        <w:pStyle w:val="13"/>
        <w:rPr>
          <w:rFonts w:ascii="仿宋_GB2312" w:hAnsi="仿宋_GB2312" w:eastAsia="仿宋_GB2312" w:cs="仿宋_GB2312"/>
          <w:sz w:val="28"/>
          <w:szCs w:val="28"/>
          <w:u w:val="none" w:color="auto"/>
          <w:shd w:val="clear" w:fill="auto"/>
        </w:rPr>
      </w:pPr>
      <w:bookmarkStart w:id="87" w:name="_Toc15396621"/>
      <w:bookmarkStart w:id="88" w:name="_Toc28384"/>
      <w:r>
        <w:rPr>
          <w:rStyle w:val="30"/>
          <w:rFonts w:hint="eastAsia" w:ascii="仿宋_GB2312" w:hAnsi="仿宋_GB2312" w:eastAsia="仿宋_GB2312" w:cs="仿宋_GB2312"/>
          <w:b w:val="0"/>
          <w:bCs w:val="0"/>
          <w:sz w:val="28"/>
          <w:szCs w:val="28"/>
          <w:u w:val="none" w:color="auto"/>
          <w:shd w:val="clear" w:fill="auto"/>
        </w:rPr>
        <w:t>三、</w:t>
      </w:r>
      <w:r>
        <w:rPr>
          <w:rFonts w:hint="eastAsia" w:ascii="仿宋_GB2312" w:hAnsi="仿宋_GB2312" w:eastAsia="仿宋_GB2312" w:cs="仿宋_GB2312"/>
          <w:b w:val="0"/>
          <w:sz w:val="28"/>
          <w:szCs w:val="28"/>
          <w:u w:val="none" w:color="auto"/>
          <w:shd w:val="clear" w:fill="auto"/>
        </w:rPr>
        <w:t>支出</w:t>
      </w:r>
      <w:r>
        <w:rPr>
          <w:rFonts w:hint="eastAsia" w:ascii="仿宋_GB2312" w:hAnsi="仿宋_GB2312" w:eastAsia="仿宋_GB2312" w:cs="仿宋_GB2312"/>
          <w:b w:val="0"/>
          <w:bCs w:val="0"/>
          <w:sz w:val="28"/>
          <w:szCs w:val="28"/>
          <w:u w:val="none" w:color="auto"/>
          <w:shd w:val="clear" w:fill="auto"/>
        </w:rPr>
        <w:t>决算表</w:t>
      </w:r>
      <w:bookmarkEnd w:id="87"/>
      <w:bookmarkEnd w:id="88"/>
    </w:p>
    <w:p>
      <w:pPr>
        <w:pStyle w:val="13"/>
        <w:rPr>
          <w:rFonts w:ascii="仿宋_GB2312" w:hAnsi="仿宋_GB2312" w:eastAsia="仿宋_GB2312" w:cs="仿宋_GB2312"/>
          <w:b w:val="0"/>
          <w:sz w:val="28"/>
          <w:szCs w:val="28"/>
          <w:u w:val="none" w:color="auto"/>
          <w:shd w:val="clear" w:fill="auto"/>
        </w:rPr>
      </w:pPr>
      <w:bookmarkStart w:id="89" w:name="_Toc27561"/>
      <w:bookmarkStart w:id="90" w:name="_Toc15396622"/>
      <w:r>
        <w:rPr>
          <w:rStyle w:val="30"/>
          <w:rFonts w:hint="eastAsia" w:ascii="仿宋_GB2312" w:hAnsi="仿宋_GB2312" w:eastAsia="仿宋_GB2312" w:cs="仿宋_GB2312"/>
          <w:b w:val="0"/>
          <w:bCs w:val="0"/>
          <w:sz w:val="28"/>
          <w:szCs w:val="28"/>
          <w:u w:val="none" w:color="auto"/>
          <w:shd w:val="clear" w:fill="auto"/>
        </w:rPr>
        <w:t>四、</w:t>
      </w:r>
      <w:r>
        <w:rPr>
          <w:rFonts w:hint="eastAsia" w:ascii="仿宋_GB2312" w:hAnsi="仿宋_GB2312" w:eastAsia="仿宋_GB2312" w:cs="仿宋_GB2312"/>
          <w:b w:val="0"/>
          <w:sz w:val="28"/>
          <w:szCs w:val="28"/>
          <w:u w:val="none" w:color="auto"/>
          <w:shd w:val="clear" w:fill="auto"/>
        </w:rPr>
        <w:t>财</w:t>
      </w:r>
      <w:r>
        <w:rPr>
          <w:rStyle w:val="30"/>
          <w:rFonts w:hint="eastAsia" w:ascii="仿宋_GB2312" w:hAnsi="仿宋_GB2312" w:eastAsia="仿宋_GB2312" w:cs="仿宋_GB2312"/>
          <w:b w:val="0"/>
          <w:bCs w:val="0"/>
          <w:sz w:val="28"/>
          <w:szCs w:val="28"/>
          <w:u w:val="none" w:color="auto"/>
          <w:shd w:val="clear" w:fill="auto"/>
        </w:rPr>
        <w:t>政拨款收入支出</w:t>
      </w:r>
      <w:r>
        <w:rPr>
          <w:rFonts w:hint="eastAsia" w:ascii="仿宋_GB2312" w:hAnsi="仿宋_GB2312" w:eastAsia="仿宋_GB2312" w:cs="仿宋_GB2312"/>
          <w:b w:val="0"/>
          <w:bCs w:val="0"/>
          <w:sz w:val="28"/>
          <w:szCs w:val="28"/>
          <w:u w:val="none" w:color="auto"/>
          <w:shd w:val="clear" w:fill="auto"/>
        </w:rPr>
        <w:t>决算总表</w:t>
      </w:r>
      <w:bookmarkEnd w:id="89"/>
      <w:bookmarkEnd w:id="90"/>
    </w:p>
    <w:p>
      <w:pPr>
        <w:pStyle w:val="13"/>
        <w:rPr>
          <w:rStyle w:val="30"/>
          <w:rFonts w:ascii="仿宋_GB2312" w:hAnsi="仿宋_GB2312" w:eastAsia="仿宋_GB2312" w:cs="仿宋_GB2312"/>
          <w:b w:val="0"/>
          <w:bCs w:val="0"/>
          <w:sz w:val="28"/>
          <w:szCs w:val="28"/>
          <w:u w:val="none" w:color="auto"/>
          <w:shd w:val="clear" w:fill="auto"/>
        </w:rPr>
      </w:pPr>
      <w:bookmarkStart w:id="91" w:name="_Toc3867"/>
      <w:bookmarkStart w:id="92" w:name="_Toc15396623"/>
      <w:r>
        <w:rPr>
          <w:rStyle w:val="30"/>
          <w:rFonts w:hint="eastAsia" w:ascii="仿宋_GB2312" w:hAnsi="仿宋_GB2312" w:eastAsia="仿宋_GB2312" w:cs="仿宋_GB2312"/>
          <w:b w:val="0"/>
          <w:bCs w:val="0"/>
          <w:sz w:val="28"/>
          <w:szCs w:val="28"/>
          <w:u w:val="none" w:color="auto"/>
          <w:shd w:val="clear" w:fill="auto"/>
        </w:rPr>
        <w:t>五、</w:t>
      </w:r>
      <w:r>
        <w:rPr>
          <w:rFonts w:hint="eastAsia" w:ascii="仿宋_GB2312" w:hAnsi="仿宋_GB2312" w:eastAsia="仿宋_GB2312" w:cs="仿宋_GB2312"/>
          <w:b w:val="0"/>
          <w:sz w:val="28"/>
          <w:szCs w:val="28"/>
          <w:u w:val="none" w:color="auto"/>
          <w:shd w:val="clear" w:fill="auto"/>
        </w:rPr>
        <w:t>财</w:t>
      </w:r>
      <w:r>
        <w:rPr>
          <w:rStyle w:val="30"/>
          <w:rFonts w:hint="eastAsia" w:ascii="仿宋_GB2312" w:hAnsi="仿宋_GB2312" w:eastAsia="仿宋_GB2312" w:cs="仿宋_GB2312"/>
          <w:b w:val="0"/>
          <w:bCs w:val="0"/>
          <w:sz w:val="28"/>
          <w:szCs w:val="28"/>
          <w:u w:val="none" w:color="auto"/>
          <w:shd w:val="clear" w:fill="auto"/>
        </w:rPr>
        <w:t>政拨款支出</w:t>
      </w:r>
      <w:r>
        <w:rPr>
          <w:rFonts w:hint="eastAsia" w:ascii="仿宋_GB2312" w:hAnsi="仿宋_GB2312" w:eastAsia="仿宋_GB2312" w:cs="仿宋_GB2312"/>
          <w:b w:val="0"/>
          <w:bCs w:val="0"/>
          <w:sz w:val="28"/>
          <w:szCs w:val="28"/>
          <w:u w:val="none" w:color="auto"/>
          <w:shd w:val="clear" w:fill="auto"/>
        </w:rPr>
        <w:t>决算明细表</w:t>
      </w:r>
      <w:bookmarkEnd w:id="91"/>
      <w:bookmarkEnd w:id="92"/>
      <w:bookmarkStart w:id="93" w:name="_Toc15396624"/>
    </w:p>
    <w:p>
      <w:pPr>
        <w:pStyle w:val="13"/>
        <w:rPr>
          <w:rFonts w:ascii="仿宋_GB2312" w:hAnsi="仿宋_GB2312" w:eastAsia="仿宋_GB2312" w:cs="仿宋_GB2312"/>
          <w:sz w:val="28"/>
          <w:szCs w:val="28"/>
          <w:u w:val="none" w:color="auto"/>
          <w:shd w:val="clear" w:fill="auto"/>
        </w:rPr>
      </w:pPr>
      <w:bookmarkStart w:id="94" w:name="_Toc4564"/>
      <w:r>
        <w:rPr>
          <w:rStyle w:val="30"/>
          <w:rFonts w:hint="eastAsia" w:ascii="仿宋_GB2312" w:hAnsi="仿宋_GB2312" w:eastAsia="仿宋_GB2312" w:cs="仿宋_GB2312"/>
          <w:b w:val="0"/>
          <w:bCs w:val="0"/>
          <w:sz w:val="28"/>
          <w:szCs w:val="28"/>
          <w:u w:val="none" w:color="auto"/>
          <w:shd w:val="clear" w:fill="auto"/>
        </w:rPr>
        <w:t>六、</w:t>
      </w:r>
      <w:r>
        <w:rPr>
          <w:rFonts w:hint="eastAsia" w:ascii="仿宋_GB2312" w:hAnsi="仿宋_GB2312" w:eastAsia="仿宋_GB2312" w:cs="仿宋_GB2312"/>
          <w:b w:val="0"/>
          <w:sz w:val="28"/>
          <w:szCs w:val="28"/>
          <w:u w:val="none" w:color="auto"/>
          <w:shd w:val="clear" w:fill="auto"/>
        </w:rPr>
        <w:t>一</w:t>
      </w:r>
      <w:r>
        <w:rPr>
          <w:rStyle w:val="30"/>
          <w:rFonts w:hint="eastAsia" w:ascii="仿宋_GB2312" w:hAnsi="仿宋_GB2312" w:eastAsia="仿宋_GB2312" w:cs="仿宋_GB2312"/>
          <w:b w:val="0"/>
          <w:bCs w:val="0"/>
          <w:sz w:val="28"/>
          <w:szCs w:val="28"/>
          <w:u w:val="none" w:color="auto"/>
          <w:shd w:val="clear" w:fill="auto"/>
        </w:rPr>
        <w:t>般公共预算</w:t>
      </w:r>
      <w:r>
        <w:rPr>
          <w:rFonts w:hint="eastAsia" w:ascii="仿宋_GB2312" w:hAnsi="仿宋_GB2312" w:eastAsia="仿宋_GB2312" w:cs="仿宋_GB2312"/>
          <w:b w:val="0"/>
          <w:bCs w:val="0"/>
          <w:sz w:val="28"/>
          <w:szCs w:val="28"/>
          <w:u w:val="none" w:color="auto"/>
          <w:shd w:val="clear" w:fill="auto"/>
        </w:rPr>
        <w:t>财政拨款支出决算表</w:t>
      </w:r>
      <w:bookmarkEnd w:id="93"/>
      <w:bookmarkEnd w:id="94"/>
    </w:p>
    <w:p>
      <w:pPr>
        <w:pStyle w:val="13"/>
        <w:rPr>
          <w:rFonts w:ascii="仿宋_GB2312" w:hAnsi="仿宋_GB2312" w:eastAsia="仿宋_GB2312" w:cs="仿宋_GB2312"/>
          <w:sz w:val="28"/>
          <w:szCs w:val="28"/>
          <w:u w:val="none" w:color="auto"/>
          <w:shd w:val="clear" w:fill="auto"/>
        </w:rPr>
      </w:pPr>
      <w:bookmarkStart w:id="95" w:name="_Toc15396625"/>
      <w:bookmarkStart w:id="96" w:name="_Toc21299"/>
      <w:r>
        <w:rPr>
          <w:rStyle w:val="30"/>
          <w:rFonts w:hint="eastAsia" w:ascii="仿宋_GB2312" w:hAnsi="仿宋_GB2312" w:eastAsia="仿宋_GB2312" w:cs="仿宋_GB2312"/>
          <w:b w:val="0"/>
          <w:bCs w:val="0"/>
          <w:sz w:val="28"/>
          <w:szCs w:val="28"/>
          <w:u w:val="none" w:color="auto"/>
          <w:shd w:val="clear" w:fill="auto"/>
        </w:rPr>
        <w:t>七、</w:t>
      </w:r>
      <w:r>
        <w:rPr>
          <w:rFonts w:hint="eastAsia" w:ascii="仿宋_GB2312" w:hAnsi="仿宋_GB2312" w:eastAsia="仿宋_GB2312" w:cs="仿宋_GB2312"/>
          <w:b w:val="0"/>
          <w:sz w:val="28"/>
          <w:szCs w:val="28"/>
          <w:u w:val="none" w:color="auto"/>
          <w:shd w:val="clear" w:fill="auto"/>
        </w:rPr>
        <w:t>一</w:t>
      </w:r>
      <w:r>
        <w:rPr>
          <w:rStyle w:val="30"/>
          <w:rFonts w:hint="eastAsia" w:ascii="仿宋_GB2312" w:hAnsi="仿宋_GB2312" w:eastAsia="仿宋_GB2312" w:cs="仿宋_GB2312"/>
          <w:b w:val="0"/>
          <w:bCs w:val="0"/>
          <w:sz w:val="28"/>
          <w:szCs w:val="28"/>
          <w:u w:val="none" w:color="auto"/>
          <w:shd w:val="clear" w:fill="auto"/>
        </w:rPr>
        <w:t>般公共预算</w:t>
      </w:r>
      <w:r>
        <w:rPr>
          <w:rFonts w:hint="eastAsia" w:ascii="仿宋_GB2312" w:hAnsi="仿宋_GB2312" w:eastAsia="仿宋_GB2312" w:cs="仿宋_GB2312"/>
          <w:b w:val="0"/>
          <w:bCs w:val="0"/>
          <w:sz w:val="28"/>
          <w:szCs w:val="28"/>
          <w:u w:val="none" w:color="auto"/>
          <w:shd w:val="clear" w:fill="auto"/>
        </w:rPr>
        <w:t>财政拨款支出决算明细表</w:t>
      </w:r>
      <w:bookmarkEnd w:id="95"/>
      <w:bookmarkEnd w:id="96"/>
    </w:p>
    <w:p>
      <w:pPr>
        <w:pStyle w:val="13"/>
        <w:rPr>
          <w:rFonts w:ascii="仿宋_GB2312" w:hAnsi="仿宋_GB2312" w:eastAsia="仿宋_GB2312" w:cs="仿宋_GB2312"/>
          <w:sz w:val="28"/>
          <w:szCs w:val="28"/>
          <w:u w:val="none" w:color="auto"/>
          <w:shd w:val="clear" w:fill="auto"/>
        </w:rPr>
      </w:pPr>
      <w:bookmarkStart w:id="97" w:name="_Toc16484"/>
      <w:bookmarkStart w:id="98" w:name="_Toc15396626"/>
      <w:r>
        <w:rPr>
          <w:rStyle w:val="30"/>
          <w:rFonts w:hint="eastAsia" w:ascii="仿宋_GB2312" w:hAnsi="仿宋_GB2312" w:eastAsia="仿宋_GB2312" w:cs="仿宋_GB2312"/>
          <w:b w:val="0"/>
          <w:bCs w:val="0"/>
          <w:sz w:val="28"/>
          <w:szCs w:val="28"/>
          <w:u w:val="none" w:color="auto"/>
          <w:shd w:val="clear" w:fill="auto"/>
        </w:rPr>
        <w:t>八、</w:t>
      </w:r>
      <w:r>
        <w:rPr>
          <w:rFonts w:hint="eastAsia" w:ascii="仿宋_GB2312" w:hAnsi="仿宋_GB2312" w:eastAsia="仿宋_GB2312" w:cs="仿宋_GB2312"/>
          <w:b w:val="0"/>
          <w:sz w:val="28"/>
          <w:szCs w:val="28"/>
          <w:u w:val="none" w:color="auto"/>
          <w:shd w:val="clear" w:fill="auto"/>
        </w:rPr>
        <w:t>一</w:t>
      </w:r>
      <w:r>
        <w:rPr>
          <w:rStyle w:val="30"/>
          <w:rFonts w:hint="eastAsia" w:ascii="仿宋_GB2312" w:hAnsi="仿宋_GB2312" w:eastAsia="仿宋_GB2312" w:cs="仿宋_GB2312"/>
          <w:b w:val="0"/>
          <w:bCs w:val="0"/>
          <w:sz w:val="28"/>
          <w:szCs w:val="28"/>
          <w:u w:val="none" w:color="auto"/>
          <w:shd w:val="clear" w:fill="auto"/>
        </w:rPr>
        <w:t>般公共预算</w:t>
      </w:r>
      <w:r>
        <w:rPr>
          <w:rFonts w:hint="eastAsia" w:ascii="仿宋_GB2312" w:hAnsi="仿宋_GB2312" w:eastAsia="仿宋_GB2312" w:cs="仿宋_GB2312"/>
          <w:b w:val="0"/>
          <w:bCs w:val="0"/>
          <w:sz w:val="28"/>
          <w:szCs w:val="28"/>
          <w:u w:val="none" w:color="auto"/>
          <w:shd w:val="clear" w:fill="auto"/>
        </w:rPr>
        <w:t>财政拨款基本支出决算表</w:t>
      </w:r>
      <w:bookmarkEnd w:id="97"/>
      <w:bookmarkEnd w:id="98"/>
    </w:p>
    <w:p>
      <w:pPr>
        <w:pStyle w:val="13"/>
        <w:rPr>
          <w:rFonts w:ascii="仿宋_GB2312" w:hAnsi="仿宋_GB2312" w:eastAsia="仿宋_GB2312" w:cs="仿宋_GB2312"/>
          <w:sz w:val="28"/>
          <w:szCs w:val="28"/>
          <w:u w:val="none" w:color="auto"/>
          <w:shd w:val="clear" w:fill="auto"/>
        </w:rPr>
      </w:pPr>
      <w:bookmarkStart w:id="99" w:name="_Toc31506"/>
      <w:bookmarkStart w:id="100" w:name="_Toc15396627"/>
      <w:r>
        <w:rPr>
          <w:rStyle w:val="30"/>
          <w:rFonts w:hint="eastAsia" w:ascii="仿宋_GB2312" w:hAnsi="仿宋_GB2312" w:eastAsia="仿宋_GB2312" w:cs="仿宋_GB2312"/>
          <w:b w:val="0"/>
          <w:bCs w:val="0"/>
          <w:sz w:val="28"/>
          <w:szCs w:val="28"/>
          <w:u w:val="none" w:color="auto"/>
          <w:shd w:val="clear" w:fill="auto"/>
        </w:rPr>
        <w:t>九、</w:t>
      </w:r>
      <w:r>
        <w:rPr>
          <w:rFonts w:hint="eastAsia" w:ascii="仿宋_GB2312" w:hAnsi="仿宋_GB2312" w:eastAsia="仿宋_GB2312" w:cs="仿宋_GB2312"/>
          <w:b w:val="0"/>
          <w:sz w:val="28"/>
          <w:szCs w:val="28"/>
          <w:u w:val="none" w:color="auto"/>
          <w:shd w:val="clear" w:fill="auto"/>
        </w:rPr>
        <w:t>一</w:t>
      </w:r>
      <w:r>
        <w:rPr>
          <w:rStyle w:val="30"/>
          <w:rFonts w:hint="eastAsia" w:ascii="仿宋_GB2312" w:hAnsi="仿宋_GB2312" w:eastAsia="仿宋_GB2312" w:cs="仿宋_GB2312"/>
          <w:b w:val="0"/>
          <w:bCs w:val="0"/>
          <w:sz w:val="28"/>
          <w:szCs w:val="28"/>
          <w:u w:val="none" w:color="auto"/>
          <w:shd w:val="clear" w:fill="auto"/>
        </w:rPr>
        <w:t>般公共预算</w:t>
      </w:r>
      <w:r>
        <w:rPr>
          <w:rFonts w:hint="eastAsia" w:ascii="仿宋_GB2312" w:hAnsi="仿宋_GB2312" w:eastAsia="仿宋_GB2312" w:cs="仿宋_GB2312"/>
          <w:b w:val="0"/>
          <w:bCs w:val="0"/>
          <w:sz w:val="28"/>
          <w:szCs w:val="28"/>
          <w:u w:val="none" w:color="auto"/>
          <w:shd w:val="clear" w:fill="auto"/>
        </w:rPr>
        <w:t>财政拨款项目支出决算表</w:t>
      </w:r>
      <w:bookmarkEnd w:id="99"/>
      <w:bookmarkEnd w:id="100"/>
    </w:p>
    <w:p>
      <w:pPr>
        <w:pStyle w:val="13"/>
        <w:rPr>
          <w:rFonts w:ascii="仿宋_GB2312" w:hAnsi="仿宋_GB2312" w:eastAsia="仿宋_GB2312" w:cs="仿宋_GB2312"/>
          <w:sz w:val="28"/>
          <w:szCs w:val="28"/>
          <w:u w:val="none" w:color="auto"/>
          <w:shd w:val="clear" w:fill="auto"/>
        </w:rPr>
      </w:pPr>
      <w:bookmarkStart w:id="101" w:name="_Toc15396628"/>
      <w:bookmarkStart w:id="102" w:name="_Toc16823"/>
      <w:r>
        <w:rPr>
          <w:rStyle w:val="30"/>
          <w:rFonts w:hint="eastAsia" w:ascii="仿宋_GB2312" w:hAnsi="仿宋_GB2312" w:eastAsia="仿宋_GB2312" w:cs="仿宋_GB2312"/>
          <w:b w:val="0"/>
          <w:bCs w:val="0"/>
          <w:sz w:val="28"/>
          <w:szCs w:val="28"/>
          <w:u w:val="none" w:color="auto"/>
          <w:shd w:val="clear" w:fill="auto"/>
        </w:rPr>
        <w:t>十、</w:t>
      </w:r>
      <w:r>
        <w:rPr>
          <w:rFonts w:hint="eastAsia" w:ascii="仿宋_GB2312" w:hAnsi="仿宋_GB2312" w:eastAsia="仿宋_GB2312" w:cs="仿宋_GB2312"/>
          <w:b w:val="0"/>
          <w:sz w:val="28"/>
          <w:szCs w:val="28"/>
          <w:u w:val="none" w:color="auto"/>
          <w:shd w:val="clear" w:fill="auto"/>
        </w:rPr>
        <w:t>一</w:t>
      </w:r>
      <w:r>
        <w:rPr>
          <w:rStyle w:val="30"/>
          <w:rFonts w:hint="eastAsia" w:ascii="仿宋_GB2312" w:hAnsi="仿宋_GB2312" w:eastAsia="仿宋_GB2312" w:cs="仿宋_GB2312"/>
          <w:b w:val="0"/>
          <w:bCs w:val="0"/>
          <w:sz w:val="28"/>
          <w:szCs w:val="28"/>
          <w:u w:val="none" w:color="auto"/>
          <w:shd w:val="clear" w:fill="auto"/>
        </w:rPr>
        <w:t>般公共预算</w:t>
      </w:r>
      <w:r>
        <w:rPr>
          <w:rFonts w:hint="eastAsia" w:ascii="仿宋_GB2312" w:hAnsi="仿宋_GB2312" w:eastAsia="仿宋_GB2312" w:cs="仿宋_GB2312"/>
          <w:b w:val="0"/>
          <w:bCs w:val="0"/>
          <w:sz w:val="28"/>
          <w:szCs w:val="28"/>
          <w:u w:val="none" w:color="auto"/>
          <w:shd w:val="clear" w:fill="auto"/>
        </w:rPr>
        <w:t>财政拨款“三公”经费支出决算表</w:t>
      </w:r>
      <w:bookmarkEnd w:id="101"/>
      <w:bookmarkEnd w:id="102"/>
    </w:p>
    <w:p>
      <w:pPr>
        <w:pStyle w:val="13"/>
        <w:rPr>
          <w:rFonts w:ascii="仿宋_GB2312" w:hAnsi="仿宋_GB2312" w:eastAsia="仿宋_GB2312" w:cs="仿宋_GB2312"/>
          <w:sz w:val="28"/>
          <w:szCs w:val="28"/>
          <w:u w:val="none" w:color="auto"/>
          <w:shd w:val="clear" w:fill="auto"/>
        </w:rPr>
      </w:pPr>
      <w:bookmarkStart w:id="103" w:name="_Toc20845"/>
      <w:bookmarkStart w:id="104" w:name="_Toc15396629"/>
      <w:r>
        <w:rPr>
          <w:rStyle w:val="30"/>
          <w:rFonts w:hint="eastAsia" w:ascii="仿宋_GB2312" w:hAnsi="仿宋_GB2312" w:eastAsia="仿宋_GB2312" w:cs="仿宋_GB2312"/>
          <w:b w:val="0"/>
          <w:bCs w:val="0"/>
          <w:sz w:val="28"/>
          <w:szCs w:val="28"/>
          <w:u w:val="none" w:color="auto"/>
          <w:shd w:val="clear" w:fill="auto"/>
        </w:rPr>
        <w:t>十一、</w:t>
      </w:r>
      <w:r>
        <w:rPr>
          <w:rFonts w:hint="eastAsia" w:ascii="仿宋_GB2312" w:hAnsi="仿宋_GB2312" w:eastAsia="仿宋_GB2312" w:cs="仿宋_GB2312"/>
          <w:b w:val="0"/>
          <w:sz w:val="28"/>
          <w:szCs w:val="28"/>
          <w:u w:val="none" w:color="auto"/>
          <w:shd w:val="clear" w:fill="auto"/>
        </w:rPr>
        <w:t>政</w:t>
      </w:r>
      <w:r>
        <w:rPr>
          <w:rStyle w:val="30"/>
          <w:rFonts w:hint="eastAsia" w:ascii="仿宋_GB2312" w:hAnsi="仿宋_GB2312" w:eastAsia="仿宋_GB2312" w:cs="仿宋_GB2312"/>
          <w:b w:val="0"/>
          <w:bCs w:val="0"/>
          <w:sz w:val="28"/>
          <w:szCs w:val="28"/>
          <w:u w:val="none" w:color="auto"/>
          <w:shd w:val="clear" w:fill="auto"/>
        </w:rPr>
        <w:t>府性基金预算</w:t>
      </w:r>
      <w:r>
        <w:rPr>
          <w:rFonts w:hint="eastAsia" w:ascii="仿宋_GB2312" w:hAnsi="仿宋_GB2312" w:eastAsia="仿宋_GB2312" w:cs="仿宋_GB2312"/>
          <w:b w:val="0"/>
          <w:bCs w:val="0"/>
          <w:sz w:val="28"/>
          <w:szCs w:val="28"/>
          <w:u w:val="none" w:color="auto"/>
          <w:shd w:val="clear" w:fill="auto"/>
        </w:rPr>
        <w:t>财政拨款收入支出决算表</w:t>
      </w:r>
      <w:bookmarkEnd w:id="103"/>
      <w:bookmarkEnd w:id="104"/>
    </w:p>
    <w:p>
      <w:pPr>
        <w:pStyle w:val="13"/>
        <w:rPr>
          <w:rFonts w:ascii="仿宋_GB2312" w:hAnsi="仿宋_GB2312" w:eastAsia="仿宋_GB2312" w:cs="仿宋_GB2312"/>
          <w:sz w:val="28"/>
          <w:szCs w:val="28"/>
          <w:u w:val="none" w:color="auto"/>
          <w:shd w:val="clear" w:fill="auto"/>
        </w:rPr>
      </w:pPr>
      <w:bookmarkStart w:id="105" w:name="_Toc15396630"/>
      <w:bookmarkStart w:id="106" w:name="_Toc24652"/>
      <w:r>
        <w:rPr>
          <w:rStyle w:val="30"/>
          <w:rFonts w:hint="eastAsia" w:ascii="仿宋_GB2312" w:hAnsi="仿宋_GB2312" w:eastAsia="仿宋_GB2312" w:cs="仿宋_GB2312"/>
          <w:b w:val="0"/>
          <w:bCs w:val="0"/>
          <w:sz w:val="28"/>
          <w:szCs w:val="28"/>
          <w:u w:val="none" w:color="auto"/>
          <w:shd w:val="clear" w:fill="auto"/>
        </w:rPr>
        <w:t>十二、</w:t>
      </w:r>
      <w:r>
        <w:rPr>
          <w:rFonts w:hint="eastAsia" w:ascii="仿宋_GB2312" w:hAnsi="仿宋_GB2312" w:eastAsia="仿宋_GB2312" w:cs="仿宋_GB2312"/>
          <w:b w:val="0"/>
          <w:sz w:val="28"/>
          <w:szCs w:val="28"/>
          <w:u w:val="none" w:color="auto"/>
          <w:shd w:val="clear" w:fill="auto"/>
        </w:rPr>
        <w:t>政</w:t>
      </w:r>
      <w:r>
        <w:rPr>
          <w:rStyle w:val="30"/>
          <w:rFonts w:hint="eastAsia" w:ascii="仿宋_GB2312" w:hAnsi="仿宋_GB2312" w:eastAsia="仿宋_GB2312" w:cs="仿宋_GB2312"/>
          <w:b w:val="0"/>
          <w:bCs w:val="0"/>
          <w:sz w:val="28"/>
          <w:szCs w:val="28"/>
          <w:u w:val="none" w:color="auto"/>
          <w:shd w:val="clear" w:fill="auto"/>
        </w:rPr>
        <w:t>府性基金预算</w:t>
      </w:r>
      <w:r>
        <w:rPr>
          <w:rFonts w:hint="eastAsia" w:ascii="仿宋_GB2312" w:hAnsi="仿宋_GB2312" w:eastAsia="仿宋_GB2312" w:cs="仿宋_GB2312"/>
          <w:b w:val="0"/>
          <w:bCs w:val="0"/>
          <w:sz w:val="28"/>
          <w:szCs w:val="28"/>
          <w:u w:val="none" w:color="auto"/>
          <w:shd w:val="clear" w:fill="auto"/>
        </w:rPr>
        <w:t>财政拨款“三公”经费支出决算表</w:t>
      </w:r>
      <w:bookmarkEnd w:id="105"/>
      <w:bookmarkEnd w:id="106"/>
    </w:p>
    <w:p>
      <w:pPr>
        <w:pStyle w:val="13"/>
        <w:rPr>
          <w:rStyle w:val="30"/>
          <w:rFonts w:ascii="仿宋_GB2312" w:hAnsi="仿宋_GB2312" w:eastAsia="仿宋_GB2312" w:cs="仿宋_GB2312"/>
          <w:b w:val="0"/>
          <w:bCs w:val="0"/>
          <w:sz w:val="28"/>
          <w:szCs w:val="28"/>
          <w:u w:val="none" w:color="auto"/>
          <w:shd w:val="clear" w:fill="auto"/>
        </w:rPr>
      </w:pPr>
      <w:bookmarkStart w:id="107" w:name="_Toc15396631"/>
      <w:bookmarkStart w:id="108" w:name="_Toc32480"/>
      <w:r>
        <w:rPr>
          <w:rStyle w:val="30"/>
          <w:rFonts w:hint="eastAsia" w:ascii="仿宋_GB2312" w:hAnsi="仿宋_GB2312" w:eastAsia="仿宋_GB2312" w:cs="仿宋_GB2312"/>
          <w:b w:val="0"/>
          <w:bCs w:val="0"/>
          <w:sz w:val="28"/>
          <w:szCs w:val="28"/>
          <w:u w:val="none" w:color="auto"/>
          <w:shd w:val="clear" w:fill="auto"/>
        </w:rPr>
        <w:t>十三、</w:t>
      </w:r>
      <w:r>
        <w:rPr>
          <w:rFonts w:hint="eastAsia" w:ascii="仿宋_GB2312" w:hAnsi="仿宋_GB2312" w:eastAsia="仿宋_GB2312" w:cs="仿宋_GB2312"/>
          <w:b w:val="0"/>
          <w:sz w:val="28"/>
          <w:szCs w:val="28"/>
          <w:u w:val="none" w:color="auto"/>
          <w:shd w:val="clear" w:fill="auto"/>
        </w:rPr>
        <w:t>国</w:t>
      </w:r>
      <w:r>
        <w:rPr>
          <w:rStyle w:val="30"/>
          <w:rFonts w:hint="eastAsia" w:ascii="仿宋_GB2312" w:hAnsi="仿宋_GB2312" w:eastAsia="仿宋_GB2312" w:cs="仿宋_GB2312"/>
          <w:b w:val="0"/>
          <w:bCs w:val="0"/>
          <w:sz w:val="28"/>
          <w:szCs w:val="28"/>
          <w:u w:val="none" w:color="auto"/>
          <w:shd w:val="clear" w:fill="auto"/>
        </w:rPr>
        <w:t>有资本经营预算财政拨款收入支出</w:t>
      </w:r>
      <w:r>
        <w:rPr>
          <w:rFonts w:hint="eastAsia" w:ascii="仿宋_GB2312" w:hAnsi="仿宋_GB2312" w:eastAsia="仿宋_GB2312" w:cs="仿宋_GB2312"/>
          <w:b w:val="0"/>
          <w:bCs w:val="0"/>
          <w:sz w:val="28"/>
          <w:szCs w:val="28"/>
          <w:u w:val="none" w:color="auto"/>
          <w:shd w:val="clear" w:fill="auto"/>
        </w:rPr>
        <w:t>决算表</w:t>
      </w:r>
      <w:bookmarkEnd w:id="107"/>
      <w:bookmarkEnd w:id="108"/>
    </w:p>
    <w:p>
      <w:pPr>
        <w:rPr>
          <w:rFonts w:ascii="仿宋_GB2312" w:hAnsi="仿宋_GB2312" w:eastAsia="仿宋_GB2312" w:cs="仿宋_GB2312"/>
          <w:sz w:val="28"/>
          <w:szCs w:val="28"/>
          <w:u w:val="none" w:color="auto"/>
          <w:shd w:val="clear" w:fill="auto"/>
        </w:rPr>
      </w:pPr>
      <w:bookmarkStart w:id="109" w:name="_Toc29183"/>
      <w:r>
        <w:rPr>
          <w:rStyle w:val="30"/>
          <w:rFonts w:hint="eastAsia" w:ascii="仿宋_GB2312" w:hAnsi="仿宋_GB2312" w:eastAsia="仿宋_GB2312" w:cs="仿宋_GB2312"/>
          <w:b w:val="0"/>
          <w:bCs w:val="0"/>
          <w:sz w:val="28"/>
          <w:szCs w:val="28"/>
          <w:u w:val="none" w:color="auto"/>
          <w:shd w:val="clear" w:fill="auto"/>
        </w:rPr>
        <w:t>十四、</w:t>
      </w:r>
      <w:r>
        <w:rPr>
          <w:rFonts w:hint="eastAsia" w:ascii="仿宋_GB2312" w:hAnsi="仿宋_GB2312" w:eastAsia="仿宋_GB2312" w:cs="仿宋_GB2312"/>
          <w:sz w:val="28"/>
          <w:szCs w:val="28"/>
          <w:u w:val="none" w:color="auto"/>
          <w:shd w:val="clear" w:fill="auto"/>
        </w:rPr>
        <w:t>国有资本经营</w:t>
      </w:r>
      <w:r>
        <w:rPr>
          <w:rStyle w:val="30"/>
          <w:rFonts w:hint="eastAsia" w:ascii="仿宋_GB2312" w:hAnsi="仿宋_GB2312" w:eastAsia="仿宋_GB2312" w:cs="仿宋_GB2312"/>
          <w:b w:val="0"/>
          <w:bCs w:val="0"/>
          <w:sz w:val="28"/>
          <w:szCs w:val="28"/>
          <w:u w:val="none" w:color="auto"/>
          <w:shd w:val="clear" w:fill="auto"/>
        </w:rPr>
        <w:t>预算</w:t>
      </w:r>
      <w:r>
        <w:rPr>
          <w:rFonts w:hint="eastAsia" w:ascii="仿宋_GB2312" w:hAnsi="仿宋_GB2312" w:eastAsia="仿宋_GB2312" w:cs="仿宋_GB2312"/>
          <w:sz w:val="28"/>
          <w:szCs w:val="28"/>
          <w:u w:val="none" w:color="auto"/>
          <w:shd w:val="clear" w:fill="auto"/>
        </w:rPr>
        <w:t>财政拨款支出决算表</w:t>
      </w:r>
      <w:bookmarkEnd w:id="109"/>
    </w:p>
    <w:sectPr>
      <w:footerReference r:id="rId14" w:type="first"/>
      <w:footerReference r:id="rId13" w:type="default"/>
      <w:pgSz w:w="11906" w:h="16838"/>
      <w:pgMar w:top="1440" w:right="1800" w:bottom="1440" w:left="1800" w:header="851" w:footer="992" w:gutter="0"/>
      <w:pgNumType w:start="1"/>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date="2023-03-01T09:25:00Z" w:initials="">
    <w:p w14:paraId="56F330EC">
      <w:r>
        <w:t xml:space="preserve">检测时间：2023-03-01 09:25:11 </w:t>
      </w:r>
    </w:p>
    <w:p w14:paraId="07A8083F">
      <w:r>
        <w:t xml:space="preserve">错误词：、 </w:t>
      </w:r>
    </w:p>
    <w:p w14:paraId="28351732">
      <w:r>
        <w:t>建议词：[]</w:t>
      </w:r>
    </w:p>
    <w:p w14:paraId="5F223B7C">
      <w:r>
        <w:t>错误类型：标点符号差错</w:t>
      </w:r>
    </w:p>
    <w:p w14:paraId="79C60A6D">
      <w:r>
        <w:t xml:space="preserve">可信度：疑错 </w:t>
      </w:r>
    </w:p>
    <w:p w14:paraId="56D27C3B">
      <w:r>
        <w:t>处理建议：重点检查</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6D27C3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rPr>
        <w:lang w:val="zh-CN"/>
      </w:rPr>
      <w:t>8</w:t>
    </w:r>
    <w: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7"/>
          <w:jc w:val="center"/>
        </w:pPr>
        <w:r>
          <w:fldChar w:fldCharType="begin"/>
        </w:r>
        <w:r>
          <w:instrText xml:space="preserve">PAGE   \* MERGEFORMAT</w:instrText>
        </w:r>
        <w:r>
          <w:fldChar w:fldCharType="separate"/>
        </w:r>
        <w:r>
          <w:rPr>
            <w:lang w:val="zh-CN"/>
          </w:rPr>
          <w:t>31</w:t>
        </w:r>
        <w:r>
          <w:fldChar w:fldCharType="end"/>
        </w:r>
      </w:p>
    </w:sdtContent>
  </w:sdt>
  <w:p>
    <w:pPr>
      <w:pStyle w:val="1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314385"/>
    <w:multiLevelType w:val="singleLevel"/>
    <w:tmpl w:val="36314385"/>
    <w:lvl w:ilvl="0" w:tentative="0">
      <w:start w:val="3"/>
      <w:numFmt w:val="chineseCounting"/>
      <w:suff w:val="nothing"/>
      <w:lvlText w:val="（%1）"/>
      <w:lvlJc w:val="left"/>
      <w:rPr>
        <w:rFonts w:hint="eastAsia"/>
      </w:rPr>
    </w:lvl>
  </w:abstractNum>
  <w:abstractNum w:abstractNumId="1">
    <w:nsid w:val="3C106F0B"/>
    <w:multiLevelType w:val="singleLevel"/>
    <w:tmpl w:val="3C106F0B"/>
    <w:lvl w:ilvl="0" w:tentative="0">
      <w:start w:val="4"/>
      <w:numFmt w:val="decimal"/>
      <w:suff w:val="nothing"/>
      <w:lvlText w:val="%1、"/>
      <w:lvlJc w:val="left"/>
    </w:lvl>
  </w:abstractNum>
  <w:abstractNum w:abstractNumId="2">
    <w:nsid w:val="56F82029"/>
    <w:multiLevelType w:val="singleLevel"/>
    <w:tmpl w:val="56F82029"/>
    <w:lvl w:ilvl="0" w:tentative="0">
      <w:start w:val="3"/>
      <w:numFmt w:val="chineseCounting"/>
      <w:suff w:val="space"/>
      <w:lvlText w:val="第%1部分"/>
      <w:lvlJc w:val="left"/>
      <w:rPr>
        <w:rFonts w:hint="eastAsia"/>
      </w:rPr>
    </w:lvl>
  </w:abstractNum>
  <w:abstractNum w:abstractNumId="3">
    <w:nsid w:val="6383539C"/>
    <w:multiLevelType w:val="singleLevel"/>
    <w:tmpl w:val="6383539C"/>
    <w:lvl w:ilvl="0" w:tentative="0">
      <w:start w:val="1"/>
      <w:numFmt w:val="chineseCounting"/>
      <w:suff w:val="nothing"/>
      <w:lvlText w:val="%1、"/>
      <w:lvlJc w:val="left"/>
      <w:rPr>
        <w:rFonts w:hint="eastAsia"/>
      </w:rPr>
    </w:lvl>
  </w:abstractNum>
  <w:abstractNum w:abstractNumId="4">
    <w:nsid w:val="687F290B"/>
    <w:multiLevelType w:val="singleLevel"/>
    <w:tmpl w:val="687F290B"/>
    <w:lvl w:ilvl="0" w:tentative="0">
      <w:start w:val="9"/>
      <w:numFmt w:val="chineseCounting"/>
      <w:suff w:val="nothing"/>
      <w:lvlText w:val="%1、"/>
      <w:lvlJc w:val="left"/>
      <w:rPr>
        <w:rFonts w:hint="eastAsia"/>
      </w:rPr>
    </w:lvl>
  </w:abstractNum>
  <w:abstractNum w:abstractNumId="5">
    <w:nsid w:val="70762A7B"/>
    <w:multiLevelType w:val="singleLevel"/>
    <w:tmpl w:val="70762A7B"/>
    <w:lvl w:ilvl="0" w:tentative="0">
      <w:start w:val="3"/>
      <w:numFmt w:val="chineseCounting"/>
      <w:suff w:val="nothing"/>
      <w:lvlText w:val="（%1）"/>
      <w:lvlJc w:val="left"/>
      <w:rPr>
        <w:rFonts w:hint="eastAsia"/>
      </w:rPr>
    </w:lvl>
  </w:abstractNum>
  <w:abstractNum w:abstractNumId="6">
    <w:nsid w:val="7DFD151B"/>
    <w:multiLevelType w:val="multilevel"/>
    <w:tmpl w:val="7DFD151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revisionView w:markup="0"/>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UyYTBhZThmOTU4YTliMjhiZDc4ZDk4MjhmMTAzNjkifQ=="/>
  </w:docVars>
  <w:rsids>
    <w:rsidRoot w:val="00635CCE"/>
    <w:rsid w:val="00635CCE"/>
    <w:rsid w:val="008629D6"/>
    <w:rsid w:val="00BA5CDE"/>
    <w:rsid w:val="00D67AF3"/>
    <w:rsid w:val="2DAB1B97"/>
    <w:rsid w:val="37C2574A"/>
    <w:rsid w:val="3D7C7CD4"/>
    <w:rsid w:val="4D95623E"/>
    <w:rsid w:val="529240EE"/>
    <w:rsid w:val="63E66ED4"/>
    <w:rsid w:val="71455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alloon Text"/>
    <w:basedOn w:val="1"/>
    <w:unhideWhenUsed/>
    <w:qFormat/>
    <w:uiPriority w:val="99"/>
    <w:rPr>
      <w:sz w:val="18"/>
      <w:szCs w:val="18"/>
    </w:rPr>
  </w:style>
  <w:style w:type="paragraph" w:styleId="5">
    <w:name w:val="Normal (Web)"/>
    <w:basedOn w:val="1"/>
    <w:qFormat/>
    <w:uiPriority w:val="0"/>
    <w:pPr>
      <w:spacing w:beforeAutospacing="1" w:afterAutospacing="1"/>
      <w:jc w:val="left"/>
    </w:pPr>
    <w:rPr>
      <w:kern w:val="0"/>
      <w:sz w:val="24"/>
    </w:r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Strong"/>
    <w:basedOn w:val="8"/>
    <w:qFormat/>
    <w:uiPriority w:val="99"/>
    <w:rPr>
      <w:b/>
    </w:rPr>
  </w:style>
  <w:style w:type="character" w:styleId="10">
    <w:name w:val="Hyperlink"/>
    <w:basedOn w:val="8"/>
    <w:unhideWhenUsed/>
    <w:qFormat/>
    <w:uiPriority w:val="99"/>
    <w:rPr>
      <w:color w:val="0000FF" w:themeColor="hyperlink"/>
      <w:u w:val="single"/>
    </w:rPr>
  </w:style>
  <w:style w:type="character" w:styleId="11">
    <w:name w:val="annotation reference"/>
    <w:basedOn w:val="8"/>
    <w:semiHidden/>
    <w:unhideWhenUsed/>
    <w:uiPriority w:val="99"/>
    <w:rPr>
      <w:sz w:val="21"/>
      <w:szCs w:val="21"/>
    </w:rPr>
  </w:style>
  <w:style w:type="paragraph" w:customStyle="1" w:styleId="12">
    <w:name w:val="Heading 1"/>
    <w:basedOn w:val="1"/>
    <w:next w:val="1"/>
    <w:link w:val="29"/>
    <w:qFormat/>
    <w:uiPriority w:val="9"/>
    <w:pPr>
      <w:keepNext/>
      <w:keepLines/>
      <w:spacing w:before="340" w:after="330" w:line="578" w:lineRule="auto"/>
      <w:outlineLvl w:val="0"/>
    </w:pPr>
    <w:rPr>
      <w:b/>
      <w:bCs/>
      <w:kern w:val="44"/>
      <w:sz w:val="44"/>
      <w:szCs w:val="44"/>
    </w:rPr>
  </w:style>
  <w:style w:type="paragraph" w:customStyle="1" w:styleId="1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4">
    <w:name w:val="Heading 3"/>
    <w:basedOn w:val="1"/>
    <w:next w:val="1"/>
    <w:link w:val="33"/>
    <w:unhideWhenUsed/>
    <w:qFormat/>
    <w:uiPriority w:val="9"/>
    <w:pPr>
      <w:keepNext/>
      <w:keepLines/>
      <w:spacing w:before="260" w:after="260" w:line="416" w:lineRule="auto"/>
      <w:outlineLvl w:val="2"/>
    </w:pPr>
    <w:rPr>
      <w:b/>
      <w:bCs/>
      <w:sz w:val="32"/>
      <w:szCs w:val="32"/>
    </w:rPr>
  </w:style>
  <w:style w:type="paragraph" w:customStyle="1" w:styleId="15">
    <w:name w:val="TOC 5"/>
    <w:basedOn w:val="1"/>
    <w:next w:val="1"/>
    <w:qFormat/>
    <w:uiPriority w:val="0"/>
    <w:pPr>
      <w:ind w:left="1680"/>
    </w:pPr>
  </w:style>
  <w:style w:type="paragraph" w:customStyle="1" w:styleId="16">
    <w:name w:val="TOC 3"/>
    <w:basedOn w:val="1"/>
    <w:next w:val="1"/>
    <w:unhideWhenUsed/>
    <w:qFormat/>
    <w:uiPriority w:val="39"/>
    <w:pPr>
      <w:tabs>
        <w:tab w:val="right" w:leader="dot" w:pos="8296"/>
      </w:tabs>
      <w:ind w:left="840" w:leftChars="400"/>
    </w:pPr>
  </w:style>
  <w:style w:type="paragraph" w:customStyle="1" w:styleId="17">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8">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19">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0">
    <w:name w:val="TOC 2"/>
    <w:basedOn w:val="1"/>
    <w:next w:val="1"/>
    <w:unhideWhenUsed/>
    <w:qFormat/>
    <w:uiPriority w:val="39"/>
    <w:pPr>
      <w:tabs>
        <w:tab w:val="right" w:leader="dot" w:pos="8296"/>
      </w:tabs>
      <w:ind w:left="420" w:leftChars="200"/>
    </w:pPr>
  </w:style>
  <w:style w:type="paragraph" w:customStyle="1" w:styleId="21">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22">
    <w:name w:val="Header Char"/>
    <w:basedOn w:val="8"/>
    <w:semiHidden/>
    <w:qFormat/>
    <w:uiPriority w:val="99"/>
    <w:rPr>
      <w:rFonts w:ascii="Times New Roman" w:hAnsi="Times New Roman"/>
      <w:sz w:val="18"/>
      <w:szCs w:val="18"/>
    </w:rPr>
  </w:style>
  <w:style w:type="character" w:customStyle="1" w:styleId="23">
    <w:name w:val="页眉 Char"/>
    <w:semiHidden/>
    <w:qFormat/>
    <w:locked/>
    <w:uiPriority w:val="99"/>
    <w:rPr>
      <w:sz w:val="18"/>
    </w:rPr>
  </w:style>
  <w:style w:type="character" w:customStyle="1" w:styleId="24">
    <w:name w:val="Footer Char"/>
    <w:basedOn w:val="8"/>
    <w:semiHidden/>
    <w:qFormat/>
    <w:uiPriority w:val="99"/>
    <w:rPr>
      <w:rFonts w:ascii="Times New Roman" w:hAnsi="Times New Roman"/>
      <w:sz w:val="18"/>
      <w:szCs w:val="18"/>
    </w:rPr>
  </w:style>
  <w:style w:type="character" w:customStyle="1" w:styleId="25">
    <w:name w:val="页脚 Char"/>
    <w:qFormat/>
    <w:locked/>
    <w:uiPriority w:val="99"/>
    <w:rPr>
      <w:sz w:val="18"/>
    </w:rPr>
  </w:style>
  <w:style w:type="character" w:customStyle="1" w:styleId="26">
    <w:name w:val="Body Text Char"/>
    <w:basedOn w:val="8"/>
    <w:semiHidden/>
    <w:qFormat/>
    <w:uiPriority w:val="99"/>
    <w:rPr>
      <w:rFonts w:ascii="Times New Roman" w:hAnsi="Times New Roman"/>
      <w:szCs w:val="24"/>
    </w:rPr>
  </w:style>
  <w:style w:type="character" w:customStyle="1" w:styleId="27">
    <w:name w:val="正文文本 Char"/>
    <w:qFormat/>
    <w:locked/>
    <w:uiPriority w:val="99"/>
    <w:rPr>
      <w:rFonts w:ascii="仿宋_GB2312" w:hAnsi="Times New Roman" w:eastAsia="仿宋_GB2312"/>
      <w:sz w:val="24"/>
    </w:rPr>
  </w:style>
  <w:style w:type="paragraph" w:customStyle="1" w:styleId="28">
    <w:name w:val="列出段落1"/>
    <w:basedOn w:val="1"/>
    <w:qFormat/>
    <w:uiPriority w:val="34"/>
    <w:pPr>
      <w:ind w:firstLine="420" w:firstLineChars="200"/>
    </w:pPr>
  </w:style>
  <w:style w:type="character" w:customStyle="1" w:styleId="29">
    <w:name w:val="标题 1 Char"/>
    <w:basedOn w:val="8"/>
    <w:link w:val="12"/>
    <w:qFormat/>
    <w:uiPriority w:val="9"/>
    <w:rPr>
      <w:rFonts w:ascii="Times New Roman" w:hAnsi="Times New Roman"/>
      <w:b/>
      <w:bCs/>
      <w:kern w:val="44"/>
      <w:sz w:val="44"/>
      <w:szCs w:val="44"/>
    </w:rPr>
  </w:style>
  <w:style w:type="character" w:customStyle="1" w:styleId="30">
    <w:name w:val="标题 2 Char"/>
    <w:basedOn w:val="8"/>
    <w:link w:val="13"/>
    <w:qFormat/>
    <w:uiPriority w:val="9"/>
    <w:rPr>
      <w:rFonts w:asciiTheme="majorHAnsi" w:hAnsiTheme="majorHAnsi" w:eastAsiaTheme="majorEastAsia" w:cstheme="majorBidi"/>
      <w:b/>
      <w:bCs/>
      <w:kern w:val="2"/>
      <w:sz w:val="32"/>
      <w:szCs w:val="32"/>
    </w:rPr>
  </w:style>
  <w:style w:type="paragraph" w:customStyle="1" w:styleId="31">
    <w:name w:val="TOC 标题1"/>
    <w:basedOn w:val="1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2">
    <w:name w:val="批注框文本 Char"/>
    <w:basedOn w:val="8"/>
    <w:semiHidden/>
    <w:qFormat/>
    <w:uiPriority w:val="99"/>
    <w:rPr>
      <w:rFonts w:ascii="Times New Roman" w:hAnsi="Times New Roman"/>
      <w:kern w:val="2"/>
      <w:sz w:val="18"/>
      <w:szCs w:val="18"/>
    </w:rPr>
  </w:style>
  <w:style w:type="character" w:customStyle="1" w:styleId="33">
    <w:name w:val="标题 3 Char"/>
    <w:basedOn w:val="8"/>
    <w:link w:val="14"/>
    <w:qFormat/>
    <w:uiPriority w:val="9"/>
    <w:rPr>
      <w:rFonts w:ascii="Times New Roman" w:hAnsi="Times New Roman"/>
      <w:b/>
      <w:bCs/>
      <w:kern w:val="2"/>
      <w:sz w:val="32"/>
      <w:szCs w:val="32"/>
    </w:rPr>
  </w:style>
  <w:style w:type="paragraph" w:customStyle="1" w:styleId="34">
    <w:name w:val="TOC 标题2"/>
    <w:basedOn w:val="1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5">
    <w:name w:val="四号正文"/>
    <w:basedOn w:val="1"/>
    <w:qFormat/>
    <w:uiPriority w:val="99"/>
    <w:pPr>
      <w:spacing w:line="360" w:lineRule="auto"/>
    </w:pPr>
    <w:rPr>
      <w:rFonts w:ascii="??" w:hAnsi="??" w:cs="??"/>
      <w:color w:val="000000"/>
      <w:kern w:val="0"/>
      <w:sz w:val="28"/>
      <w:szCs w:val="28"/>
      <w:lang w:val="zh-CN"/>
    </w:rPr>
  </w:style>
  <w:style w:type="paragraph" w:customStyle="1" w:styleId="36">
    <w:name w:val="WPSOffice手动目录 1"/>
    <w:qFormat/>
    <w:uiPriority w:val="0"/>
    <w:rPr>
      <w:rFonts w:ascii="Times New Roman" w:hAnsi="Times New Roman" w:eastAsia="宋体" w:cs="Times New Roman"/>
      <w:lang w:val="en-US" w:eastAsia="zh-CN" w:bidi="ar-SA"/>
    </w:rPr>
  </w:style>
  <w:style w:type="paragraph" w:customStyle="1" w:styleId="37">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8">
    <w:name w:val="批注文字 Char"/>
    <w:basedOn w:val="8"/>
    <w:semiHidden/>
    <w:uiPriority w:val="99"/>
    <w:rPr>
      <w:kern w:val="2"/>
      <w:sz w:val="21"/>
      <w:szCs w:val="24"/>
    </w:rPr>
  </w:style>
  <w:style w:type="paragraph" w:customStyle="1" w:styleId="39">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40">
    <w:name w:val="页眉 Char1"/>
    <w:basedOn w:val="8"/>
    <w:semiHidden/>
    <w:uiPriority w:val="99"/>
    <w:rPr>
      <w:kern w:val="2"/>
      <w:sz w:val="18"/>
      <w:szCs w:val="18"/>
    </w:rPr>
  </w:style>
  <w:style w:type="paragraph" w:customStyle="1" w:styleId="41">
    <w:name w:val="Footer0"/>
    <w:basedOn w:val="1"/>
    <w:qFormat/>
    <w:uiPriority w:val="99"/>
    <w:pPr>
      <w:tabs>
        <w:tab w:val="center" w:pos="4153"/>
        <w:tab w:val="right" w:pos="8306"/>
      </w:tabs>
      <w:snapToGrid w:val="0"/>
      <w:jc w:val="left"/>
    </w:pPr>
    <w:rPr>
      <w:sz w:val="18"/>
      <w:szCs w:val="18"/>
    </w:rPr>
  </w:style>
  <w:style w:type="character" w:customStyle="1" w:styleId="42">
    <w:name w:val="页脚 Char1"/>
    <w:basedOn w:val="8"/>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3" Type="http://schemas.microsoft.com/office/2011/relationships/people" Target="people.xml"/><Relationship Id="rId42" Type="http://schemas.openxmlformats.org/officeDocument/2006/relationships/fontTable" Target="fontTable.xml"/><Relationship Id="rId41" Type="http://schemas.openxmlformats.org/officeDocument/2006/relationships/customXml" Target="../customXml/item12.xml"/><Relationship Id="rId40" Type="http://schemas.openxmlformats.org/officeDocument/2006/relationships/customXml" Target="../customXml/item11.xml"/><Relationship Id="rId4" Type="http://schemas.microsoft.com/office/2011/relationships/commentsExtended" Target="commentsExtended.xml"/><Relationship Id="rId39" Type="http://schemas.openxmlformats.org/officeDocument/2006/relationships/customXml" Target="../customXml/item10.xml"/><Relationship Id="rId38" Type="http://schemas.openxmlformats.org/officeDocument/2006/relationships/customXml" Target="../customXml/item9.xml"/><Relationship Id="rId37" Type="http://schemas.openxmlformats.org/officeDocument/2006/relationships/customXml" Target="../customXml/item8.xml"/><Relationship Id="rId36" Type="http://schemas.openxmlformats.org/officeDocument/2006/relationships/customXml" Target="../customXml/item7.xml"/><Relationship Id="rId35" Type="http://schemas.openxmlformats.org/officeDocument/2006/relationships/customXml" Target="../customXml/item6.xml"/><Relationship Id="rId34" Type="http://schemas.openxmlformats.org/officeDocument/2006/relationships/customXml" Target="../customXml/item5.xml"/><Relationship Id="rId33" Type="http://schemas.openxmlformats.org/officeDocument/2006/relationships/customXml" Target="../customXml/item4.xml"/><Relationship Id="rId32" Type="http://schemas.openxmlformats.org/officeDocument/2006/relationships/customXml" Target="../customXml/item3.xml"/><Relationship Id="rId31" Type="http://schemas.openxmlformats.org/officeDocument/2006/relationships/customXml" Target="../customXml/item2.xml"/><Relationship Id="rId30" Type="http://schemas.openxmlformats.org/officeDocument/2006/relationships/customXml" Target="../customXml/item1.xml"/><Relationship Id="rId3" Type="http://schemas.openxmlformats.org/officeDocument/2006/relationships/comments" Target="comments.xml"/><Relationship Id="rId29" Type="http://schemas.openxmlformats.org/officeDocument/2006/relationships/numbering" Target="numbering.xml"/><Relationship Id="rId28" Type="http://schemas.openxmlformats.org/officeDocument/2006/relationships/image" Target="media/image7.png"/><Relationship Id="rId27" Type="http://schemas.openxmlformats.org/officeDocument/2006/relationships/image" Target="media/image6.emf"/><Relationship Id="rId26" Type="http://schemas.openxmlformats.org/officeDocument/2006/relationships/oleObject" Target="embeddings/Workbook6.xls"/><Relationship Id="rId25" Type="http://schemas.openxmlformats.org/officeDocument/2006/relationships/image" Target="media/image5.emf"/><Relationship Id="rId24" Type="http://schemas.openxmlformats.org/officeDocument/2006/relationships/oleObject" Target="embeddings/Workbook5.xls"/><Relationship Id="rId23" Type="http://schemas.openxmlformats.org/officeDocument/2006/relationships/image" Target="media/image4.emf"/><Relationship Id="rId22" Type="http://schemas.openxmlformats.org/officeDocument/2006/relationships/oleObject" Target="embeddings/Workbook4.xls"/><Relationship Id="rId21" Type="http://schemas.openxmlformats.org/officeDocument/2006/relationships/image" Target="media/image3.emf"/><Relationship Id="rId20" Type="http://schemas.openxmlformats.org/officeDocument/2006/relationships/oleObject" Target="embeddings/Workbook3.xls"/><Relationship Id="rId2" Type="http://schemas.openxmlformats.org/officeDocument/2006/relationships/settings" Target="settings.xml"/><Relationship Id="rId19" Type="http://schemas.openxmlformats.org/officeDocument/2006/relationships/image" Target="media/image2.emf"/><Relationship Id="rId18" Type="http://schemas.openxmlformats.org/officeDocument/2006/relationships/oleObject" Target="embeddings/Workbook2.xls"/><Relationship Id="rId17" Type="http://schemas.openxmlformats.org/officeDocument/2006/relationships/image" Target="media/image1.emf"/><Relationship Id="rId16" Type="http://schemas.openxmlformats.org/officeDocument/2006/relationships/oleObject" Target="embeddings/Workbook1.xls"/><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21</TotalTime>
  <Pages>34</Pages>
  <Words>2699</Words>
  <Characters>15388</Characters>
  <Application>Microsoft Office Word</Application>
  <DocSecurity>0</DocSecurity>
  <Lines>128</Lines>
  <Paragraphs>36</Paragraphs>
  <ScaleCrop>false</ScaleCrop>
  <Company>四川省财政厅</Company>
  <LinksUpToDate>false</LinksUpToDate>
  <CharactersWithSpaces>18051</CharactersWithSpaces>
  <SharedDoc>false</SharedDoc>
  <HyperlinksChanged>false</HyperlinksChanged>
  <AppVersion>12.0000</AppVersion>
</Properties>
</file>

<file path=customXml/item10.xml><?xml version="1.0" encoding="utf-8"?>
<Properties xmlns:vt="http://schemas.openxmlformats.org/officeDocument/2006/docPropsVTypes" xmlns="http://schemas.openxmlformats.org/officeDocument/2006/extended-properties">
  <Template>Normal.dotm</Template>
  <TotalTime>5</TotalTime>
  <Pages>35</Pages>
  <Words>14445</Words>
  <Characters>15230</Characters>
  <Application>WPS Office_11.1.0.9208_F1E327BC-269C-435d-A152-05C5408002CA</Application>
  <DocSecurity>0</DocSecurity>
  <Lines>61</Lines>
  <Paragraphs>17</Paragraphs>
  <Company>四川省财政厅</Company>
  <CharactersWithSpaces>15787</CharactersWithSpaces>
  <AppVersion>14.0000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2022-08-30T06:34:00Z</cp:lastPrinted>
  <dcterms:modified xsi:type="dcterms:W3CDTF">2022-09-30T01:15:18Z</dcterms:modified>
  <dc:title>四川省***</dc:title>
  <cp:revision>32</cp:revision>
</cp:coreProperties>
</file>

<file path=customXml/item12.xml><?xml version="1.0" encoding="utf-8"?>
<Properties xmlns="http://schemas.openxmlformats.org/officeDocument/2006/extended-properties" xmlns:vt="http://schemas.openxmlformats.org/officeDocument/2006/docPropsVTypes">
  <Template>Normal.dotm</Template>
  <Company>四川省财政厅</Company>
  <Pages>35</Pages>
  <Words>14445</Words>
  <Characters>15230</Characters>
  <Lines>61</Lines>
  <Paragraphs>17</Paragraphs>
  <TotalTime>5</TotalTime>
  <ScaleCrop>false</ScaleCrop>
  <LinksUpToDate>false</LinksUpToDate>
  <CharactersWithSpaces>15787</CharactersWithSpaces>
  <Application>WPS Office_11.1.0.9208_F1E327BC-269C-435d-A152-05C5408002CA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2022-08-30T06:34:00Z</cp:lastPrinted>
  <dcterms:created xsi:type="dcterms:W3CDTF">2020-08-05T01:49:00Z</dcterms:created>
  <dcterms:modified xsi:type="dcterms:W3CDTF">2022-09-30T01:15:18Z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41</cp:revision>
  <cp:lastPrinted>2022-08-30T06:34:00Z</cp:lastPrinted>
  <dcterms:created xsi:type="dcterms:W3CDTF">2020-08-05T01:49:00Z</dcterms:created>
  <dcterms:modified xsi:type="dcterms:W3CDTF">2023-03-01T01:25:00Z</dcterms:modified>
</cp:coreProperties>
</file>

<file path=customXml/item4.xml><?xml version="1.0" encoding="utf-8"?>
<Properties xmlns:vt="http://schemas.openxmlformats.org/officeDocument/2006/docPropsVTypes" xmlns="http://schemas.openxmlformats.org/officeDocument/2006/extended-properties">
  <Template>Normal</Template>
  <TotalTime>21</TotalTime>
  <Pages>34</Pages>
  <Words>2699</Words>
  <Characters>15388</Characters>
  <Application>Microsoft Office Word</Application>
  <DocSecurity>0</DocSecurity>
  <Lines>128</Lines>
  <Paragraphs>36</Paragraphs>
  <Company>四川省财政厅</Company>
  <CharactersWithSpaces>18051</CharactersWithSpaces>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6721972D502841C481EECCD6FB944F51</vt:lpwstr>
  </proper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6721972D502841C481EECCD6FB944F51</vt:lpw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6721972D502841C481EECCD6FB944F51</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6721972D502841C481EECCD6FB944F51</vt:lpstr>
  </property>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41</cp:revision>
  <cp:lastPrinted>2022-08-30T06:34:00Z</cp:lastPrinted>
  <dcterms:created xsi:type="dcterms:W3CDTF">2020-08-05T01:49:00Z</dcterms:created>
  <dcterms:modified xsi:type="dcterms:W3CDTF">2023-03-01T01:25:00Z</dcterms:modified>
</cp:coreProperties>
</file>

<file path=customXml/itemProps1.xml><?xml version="1.0" encoding="utf-8"?>
<ds:datastoreItem xmlns:ds="http://schemas.openxmlformats.org/officeDocument/2006/customXml" ds:itemID="{8EE57AFD-7A85-4013-B7EA-E479DA8136BA}">
  <ds:schemaRefs/>
</ds:datastoreItem>
</file>

<file path=customXml/itemProps10.xml><?xml version="1.0" encoding="utf-8"?>
<ds:datastoreItem xmlns:ds="http://schemas.openxmlformats.org/officeDocument/2006/customXml" ds:itemID="{3B6119E1-C0A2-4737-9DC2-7CDC22991004}">
  <ds:schemaRefs/>
</ds:datastoreItem>
</file>

<file path=customXml/itemProps11.xml><?xml version="1.0" encoding="utf-8"?>
<ds:datastoreItem xmlns:ds="http://schemas.openxmlformats.org/officeDocument/2006/customXml" ds:itemID="{D67DB70A-4563-4F62-8D8D-823F79D6DCC0}">
  <ds:schemaRefs/>
</ds:datastoreItem>
</file>

<file path=customXml/itemProps12.xml><?xml version="1.0" encoding="utf-8"?>
<ds:datastoreItem xmlns:ds="http://schemas.openxmlformats.org/officeDocument/2006/customXml" ds:itemID="{0699153C-250D-45C9-8B73-19C04AEBBFC6}">
  <ds:schemaRefs/>
</ds:datastoreItem>
</file>

<file path=customXml/itemProps2.xml><?xml version="1.0" encoding="utf-8"?>
<ds:datastoreItem xmlns:ds="http://schemas.openxmlformats.org/officeDocument/2006/customXml" ds:itemID="{18B93909-CD04-4C4D-B56F-3027A48B5F93}">
  <ds:schemaRefs/>
</ds:datastoreItem>
</file>

<file path=customXml/itemProps3.xml><?xml version="1.0" encoding="utf-8"?>
<ds:datastoreItem xmlns:ds="http://schemas.openxmlformats.org/officeDocument/2006/customXml" ds:itemID="{8CEEC552-2567-4810-9367-6288A525ACAB}">
  <ds:schemaRefs/>
</ds:datastoreItem>
</file>

<file path=customXml/itemProps4.xml><?xml version="1.0" encoding="utf-8"?>
<ds:datastoreItem xmlns:ds="http://schemas.openxmlformats.org/officeDocument/2006/customXml" ds:itemID="{57922D4B-4781-4028-86E9-C91BFFF82554}">
  <ds:schemaRefs/>
</ds:datastoreItem>
</file>

<file path=customXml/itemProps5.xml><?xml version="1.0" encoding="utf-8"?>
<ds:datastoreItem xmlns:ds="http://schemas.openxmlformats.org/officeDocument/2006/customXml" ds:itemID="{3DA549FA-AE4E-4E5D-94D7-1C3894C5D71C}">
  <ds:schemaRefs/>
</ds:datastoreItem>
</file>

<file path=customXml/itemProps6.xml><?xml version="1.0" encoding="utf-8"?>
<ds:datastoreItem xmlns:ds="http://schemas.openxmlformats.org/officeDocument/2006/customXml" ds:itemID="{9291C14D-414E-43EE-936E-BF3FAB770C3F}">
  <ds:schemaRefs/>
</ds:datastoreItem>
</file>

<file path=customXml/itemProps7.xml><?xml version="1.0" encoding="utf-8"?>
<ds:datastoreItem xmlns:ds="http://schemas.openxmlformats.org/officeDocument/2006/customXml" ds:itemID="{CAD3EE2E-E5B0-4879-9447-C53DBBBB63DB}">
  <ds:schemaRefs/>
</ds:datastoreItem>
</file>

<file path=customXml/itemProps8.xml><?xml version="1.0" encoding="utf-8"?>
<ds:datastoreItem xmlns:ds="http://schemas.openxmlformats.org/officeDocument/2006/customXml" ds:itemID="{71FC55E6-98AE-4BC0-B65C-EC5085156744}">
  <ds:schemaRefs/>
</ds:datastoreItem>
</file>

<file path=customXml/itemProps9.xml><?xml version="1.0" encoding="utf-8"?>
<ds:datastoreItem xmlns:ds="http://schemas.openxmlformats.org/officeDocument/2006/customXml" ds:itemID="{95DE48FB-8D36-444D-BD51-250C7BAB18D7}">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34</Pages>
  <Words>14425</Words>
  <Characters>15184</Characters>
  <Lines>128</Lines>
  <Paragraphs>36</Paragraphs>
  <TotalTime>27</TotalTime>
  <ScaleCrop>false</ScaleCrop>
  <LinksUpToDate>false</LinksUpToDate>
  <CharactersWithSpaces>15838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2022-08-30T06:34:00Z</cp:lastPrinted>
  <dcterms:modified xsi:type="dcterms:W3CDTF">2023-03-26T14:10:30Z</dcterms:modified>
  <dc:title>四川省***</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6721972D502841C481EECCD6FB944F51</vt:lpwstr>
  </property>
</Properties>
</file>