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r>
        <w:rPr>
          <w:rFonts w:hint="eastAsia" w:ascii="方正小标宋简体" w:hAnsi="宋体" w:eastAsia="方正小标宋简体"/>
          <w:color w:val="auto"/>
          <w:sz w:val="72"/>
          <w:szCs w:val="72"/>
          <w:highlight w:val="none"/>
          <w:lang w:val="en-US" w:eastAsia="zh-CN"/>
        </w:rPr>
        <w:t xml:space="preserve">                                  </w:t>
      </w: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黑体" w:hAnsi="黑体" w:eastAsia="黑体" w:cs="Times New Roman"/>
          <w:color w:val="000000"/>
          <w:sz w:val="72"/>
          <w:szCs w:val="72"/>
        </w:rPr>
      </w:pPr>
      <w:bookmarkStart w:id="1" w:name="_Toc15396475"/>
      <w:bookmarkStart w:id="2" w:name="_Toc15396597"/>
      <w:bookmarkStart w:id="3" w:name="_Toc23869"/>
      <w:bookmarkStart w:id="4" w:name="_Toc30140"/>
      <w:bookmarkStart w:id="5" w:name="_Toc15377425"/>
      <w:bookmarkStart w:id="6" w:name="_Toc15377193"/>
      <w:bookmarkStart w:id="7" w:name="_Toc15378441"/>
      <w:bookmarkStart w:id="8" w:name="_Toc5509"/>
      <w:r>
        <w:rPr>
          <w:rFonts w:hint="eastAsia" w:ascii="黑体" w:hAnsi="黑体" w:eastAsia="黑体" w:cs="Times New Roman"/>
          <w:color w:val="000000"/>
          <w:sz w:val="72"/>
          <w:szCs w:val="72"/>
        </w:rPr>
        <w:t>20</w:t>
      </w:r>
      <w:r>
        <w:rPr>
          <w:rFonts w:hint="eastAsia" w:ascii="黑体" w:hAnsi="黑体" w:eastAsia="黑体" w:cs="Times New Roman"/>
          <w:color w:val="000000"/>
          <w:sz w:val="72"/>
          <w:szCs w:val="72"/>
          <w:lang w:val="en-US" w:eastAsia="zh-CN"/>
        </w:rPr>
        <w:t>21</w:t>
      </w:r>
      <w:r>
        <w:rPr>
          <w:rFonts w:hint="eastAsia" w:ascii="黑体" w:hAnsi="黑体" w:eastAsia="黑体" w:cs="Times New Roman"/>
          <w:color w:val="000000"/>
          <w:sz w:val="72"/>
          <w:szCs w:val="72"/>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黑体" w:hAnsi="黑体" w:eastAsia="黑体" w:cs="Times New Roman"/>
          <w:color w:val="000000"/>
          <w:sz w:val="72"/>
          <w:szCs w:val="72"/>
        </w:rPr>
      </w:pPr>
      <w:bookmarkStart w:id="9" w:name="_Toc15396598"/>
      <w:bookmarkStart w:id="10" w:name="_Toc9250"/>
      <w:bookmarkStart w:id="11" w:name="_Toc8733"/>
      <w:bookmarkStart w:id="12" w:name="_Toc32694"/>
      <w:bookmarkStart w:id="13" w:name="_Toc16866"/>
      <w:bookmarkStart w:id="14" w:name="_Toc15377194"/>
      <w:bookmarkStart w:id="15" w:name="_Toc15377426"/>
      <w:bookmarkStart w:id="16" w:name="_Toc15378442"/>
      <w:bookmarkStart w:id="17" w:name="_Toc15396476"/>
      <w:r>
        <w:rPr>
          <w:rFonts w:hint="eastAsia" w:ascii="黑体" w:hAnsi="黑体" w:eastAsia="黑体" w:cs="Times New Roman"/>
          <w:color w:val="000000"/>
          <w:sz w:val="72"/>
          <w:szCs w:val="72"/>
        </w:rPr>
        <w:t>四川省</w:t>
      </w:r>
      <w:bookmarkEnd w:id="0"/>
      <w:bookmarkStart w:id="18" w:name="_Toc15306268"/>
      <w:r>
        <w:rPr>
          <w:rFonts w:hint="eastAsia" w:ascii="黑体" w:hAnsi="黑体" w:eastAsia="黑体" w:cs="Times New Roman"/>
          <w:color w:val="000000"/>
          <w:sz w:val="72"/>
          <w:szCs w:val="72"/>
          <w:lang w:eastAsia="zh-CN"/>
        </w:rPr>
        <w:t>通江县</w:t>
      </w:r>
      <w:r>
        <w:rPr>
          <w:rFonts w:hint="eastAsia" w:ascii="黑体" w:hAnsi="黑体" w:eastAsia="黑体" w:cs="Times New Roman"/>
          <w:color w:val="000000"/>
          <w:sz w:val="72"/>
          <w:szCs w:val="72"/>
          <w:lang w:val="en-US" w:eastAsia="zh-CN"/>
        </w:rPr>
        <w:t>空山镇人民政府</w:t>
      </w:r>
      <w:r>
        <w:rPr>
          <w:rFonts w:hint="eastAsia" w:ascii="黑体" w:hAnsi="黑体" w:eastAsia="黑体" w:cs="Times New Roman"/>
          <w:color w:val="000000"/>
          <w:sz w:val="72"/>
          <w:szCs w:val="72"/>
          <w:lang w:eastAsia="zh-CN"/>
        </w:rPr>
        <w:t>单位</w:t>
      </w:r>
      <w:r>
        <w:rPr>
          <w:rFonts w:hint="eastAsia" w:ascii="黑体" w:hAnsi="黑体" w:eastAsia="黑体" w:cs="Times New Roman"/>
          <w:color w:val="000000"/>
          <w:sz w:val="72"/>
          <w:szCs w:val="72"/>
        </w:rPr>
        <w:t>决算</w:t>
      </w:r>
      <w:bookmarkEnd w:id="9"/>
      <w:bookmarkEnd w:id="10"/>
      <w:bookmarkEnd w:id="11"/>
      <w:bookmarkEnd w:id="12"/>
      <w:bookmarkEnd w:id="13"/>
      <w:bookmarkEnd w:id="14"/>
      <w:bookmarkEnd w:id="15"/>
      <w:bookmarkEnd w:id="16"/>
      <w:bookmarkEnd w:id="17"/>
      <w:bookmarkEnd w:id="18"/>
    </w:p>
    <w:p>
      <w:pPr>
        <w:adjustRightInd w:val="0"/>
        <w:snapToGrid w:val="0"/>
        <w:spacing w:line="360" w:lineRule="auto"/>
        <w:jc w:val="center"/>
        <w:outlineLvl w:val="0"/>
        <w:rPr>
          <w:rFonts w:hint="eastAsia" w:ascii="黑体" w:hAnsi="黑体" w:eastAsia="黑体" w:cs="Times New Roman"/>
          <w:color w:val="000000"/>
          <w:sz w:val="72"/>
          <w:szCs w:val="72"/>
          <w:lang w:eastAsia="zh-CN"/>
        </w:rPr>
      </w:pPr>
    </w:p>
    <w:p>
      <w:pPr>
        <w:adjustRightInd w:val="0"/>
        <w:snapToGrid w:val="0"/>
        <w:spacing w:line="360" w:lineRule="auto"/>
        <w:jc w:val="center"/>
        <w:outlineLvl w:val="0"/>
        <w:rPr>
          <w:rFonts w:hint="eastAsia" w:ascii="黑体" w:hAnsi="黑体" w:eastAsia="黑体" w:cs="Times New Roman"/>
          <w:color w:val="000000"/>
          <w:sz w:val="72"/>
          <w:szCs w:val="72"/>
          <w:lang w:eastAsia="zh-CN"/>
        </w:rPr>
      </w:pPr>
    </w:p>
    <w:p>
      <w:pPr>
        <w:adjustRightInd w:val="0"/>
        <w:snapToGrid w:val="0"/>
        <w:spacing w:line="360" w:lineRule="auto"/>
        <w:jc w:val="center"/>
        <w:outlineLvl w:val="0"/>
        <w:rPr>
          <w:rFonts w:hint="eastAsia" w:ascii="黑体" w:hAnsi="黑体" w:eastAsia="黑体" w:cs="Times New Roman"/>
          <w:color w:val="000000"/>
          <w:sz w:val="72"/>
          <w:szCs w:val="72"/>
          <w:lang w:eastAsia="zh-CN"/>
        </w:rPr>
      </w:pPr>
    </w:p>
    <w:p>
      <w:pPr>
        <w:adjustRightInd w:val="0"/>
        <w:snapToGrid w:val="0"/>
        <w:spacing w:line="360" w:lineRule="auto"/>
        <w:jc w:val="center"/>
        <w:outlineLvl w:val="0"/>
        <w:rPr>
          <w:rFonts w:hint="default" w:ascii="黑体" w:hAnsi="黑体" w:eastAsia="黑体" w:cs="Times New Roman"/>
          <w:color w:val="000000"/>
          <w:sz w:val="72"/>
          <w:szCs w:val="72"/>
          <w:lang w:val="en-US" w:eastAsia="zh-CN"/>
        </w:rPr>
      </w:pPr>
    </w:p>
    <w:p>
      <w:pPr>
        <w:pStyle w:val="12"/>
        <w:jc w:val="both"/>
        <w:rPr>
          <w:rFonts w:hint="eastAsia" w:ascii="方正小标宋简体" w:hAnsi="宋体" w:eastAsia="方正小标宋简体"/>
          <w:color w:val="auto"/>
          <w:sz w:val="36"/>
          <w:szCs w:val="36"/>
          <w:highlight w:val="none"/>
          <w:lang w:val="en-US" w:eastAsia="zh-CN"/>
        </w:rPr>
      </w:pPr>
    </w:p>
    <w:sdt>
      <w:sdtPr>
        <w:rPr>
          <w:rFonts w:ascii="宋体" w:hAnsi="宋体" w:eastAsia="宋体" w:cs="Times New Roman"/>
          <w:kern w:val="2"/>
          <w:sz w:val="21"/>
          <w:szCs w:val="24"/>
          <w:lang w:val="en-US" w:eastAsia="zh-CN" w:bidi="ar-SA"/>
        </w:rPr>
        <w:id w:val="147463061"/>
        <w15:color w:val="DBDBDB"/>
        <w:docPartObj>
          <w:docPartGallery w:val="Table of Contents"/>
          <w:docPartUnique/>
        </w:docPartObj>
      </w:sdtPr>
      <w:sdtEndPr>
        <w:rPr>
          <w:rFonts w:hint="eastAsia" w:ascii="Times New Roman" w:hAnsi="Times New Roman" w:eastAsia="宋体" w:cs="Times New Roman"/>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19" w:name="_Toc19761"/>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widowControl w:val="0"/>
            <w:tabs>
              <w:tab w:val="right" w:leader="dot" w:pos="8296"/>
            </w:tabs>
            <w:spacing w:before="93"/>
            <w:jc w:val="center"/>
            <w:outlineLvl w:val="9"/>
            <w:rPr>
              <w:rFonts w:ascii="宋体" w:hAnsi="宋体" w:eastAsia="宋体"/>
              <w:sz w:val="28"/>
              <w:szCs w:val="36"/>
            </w:rPr>
          </w:pPr>
          <w:r>
            <w:rPr>
              <w:rFonts w:ascii="宋体" w:hAnsi="宋体" w:eastAsia="宋体"/>
              <w:sz w:val="28"/>
              <w:szCs w:val="36"/>
            </w:rPr>
            <w:t>目录</w:t>
          </w:r>
          <w:bookmarkEnd w:id="19"/>
        </w:p>
        <w:p>
          <w:pPr>
            <w:widowControl w:val="0"/>
            <w:tabs>
              <w:tab w:val="right" w:leader="dot" w:pos="8296"/>
            </w:tabs>
            <w:spacing w:before="93"/>
            <w:jc w:val="center"/>
            <w:outlineLvl w:val="9"/>
            <w:rPr>
              <w:rFonts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公开时间：2022年9月1日</w:t>
          </w:r>
        </w:p>
        <w:p>
          <w:pPr>
            <w:pStyle w:val="11"/>
            <w:adjustRightInd w:val="0"/>
            <w:snapToGrid w:val="0"/>
            <w:spacing w:line="440" w:lineRule="exact"/>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TOC \o "1-2" \h \u </w:instrText>
          </w:r>
          <w:r>
            <w:rPr>
              <w:rFonts w:hint="eastAsia" w:ascii="Times New Roman" w:hAnsi="Times New Roman" w:eastAsia="宋体" w:cs="Times New Roman"/>
              <w:sz w:val="24"/>
            </w:rPr>
            <w:fldChar w:fldCharType="separate"/>
          </w:r>
        </w:p>
        <w:p>
          <w:pPr>
            <w:pStyle w:val="11"/>
            <w:adjustRightInd w:val="0"/>
            <w:snapToGrid w:val="0"/>
            <w:spacing w:line="440" w:lineRule="exact"/>
            <w:jc w:val="left"/>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HYPERLINK \l _Toc18896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第一部分 单位概况</w:t>
          </w:r>
          <w:r>
            <w:rPr>
              <w:rFonts w:hint="eastAsia" w:ascii="仿宋" w:hAnsi="仿宋" w:eastAsia="仿宋" w:cs="Times New Roman"/>
              <w:kern w:val="2"/>
              <w:sz w:val="24"/>
              <w:szCs w:val="28"/>
              <w:lang w:val="en-US" w:eastAsia="zh-CN" w:bidi="ar-SA"/>
            </w:rPr>
            <w:tab/>
          </w: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PAGEREF _Toc18896 \h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4</w:t>
          </w:r>
          <w:r>
            <w:rPr>
              <w:rFonts w:hint="eastAsia" w:ascii="仿宋" w:hAnsi="仿宋" w:eastAsia="仿宋" w:cs="Times New Roman"/>
              <w:kern w:val="2"/>
              <w:sz w:val="24"/>
              <w:szCs w:val="28"/>
              <w:lang w:val="en-US" w:eastAsia="zh-CN" w:bidi="ar-SA"/>
            </w:rPr>
            <w:fldChar w:fldCharType="end"/>
          </w:r>
          <w:r>
            <w:rPr>
              <w:rFonts w:hint="eastAsia" w:ascii="仿宋" w:hAnsi="仿宋" w:eastAsia="仿宋" w:cs="Times New Roman"/>
              <w:kern w:val="2"/>
              <w:sz w:val="24"/>
              <w:szCs w:val="28"/>
              <w:lang w:val="en-US" w:eastAsia="zh-CN" w:bidi="ar-SA"/>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_Toc2596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lang w:eastAsia="zh-CN"/>
            </w:rPr>
            <w:t xml:space="preserve">一、 </w:t>
          </w:r>
          <w:r>
            <w:rPr>
              <w:rFonts w:hint="eastAsia" w:ascii="Times New Roman" w:hAnsi="Times New Roman" w:eastAsia="宋体" w:cs="Times New Roman"/>
              <w:sz w:val="24"/>
            </w:rPr>
            <w:t>职能</w:t>
          </w:r>
          <w:r>
            <w:rPr>
              <w:rFonts w:hint="eastAsia" w:ascii="Times New Roman" w:hAnsi="Times New Roman" w:eastAsia="宋体" w:cs="Times New Roman"/>
              <w:sz w:val="24"/>
              <w:lang w:eastAsia="zh-CN"/>
            </w:rPr>
            <w:t>简介</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_Toc2596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4</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_Toc10515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lang w:val="en-US" w:eastAsia="zh-CN"/>
            </w:rPr>
            <w:t>二、2021年重点</w:t>
          </w:r>
          <w:r>
            <w:rPr>
              <w:rFonts w:hint="eastAsia" w:ascii="Times New Roman" w:hAnsi="Times New Roman" w:eastAsia="宋体" w:cs="Times New Roman"/>
              <w:sz w:val="24"/>
            </w:rPr>
            <w:t>工作</w:t>
          </w:r>
          <w:r>
            <w:rPr>
              <w:rFonts w:hint="eastAsia" w:ascii="Times New Roman" w:hAnsi="Times New Roman" w:eastAsia="宋体" w:cs="Times New Roman"/>
              <w:sz w:val="24"/>
              <w:lang w:eastAsia="zh-CN"/>
            </w:rPr>
            <w:t>完成情况</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_Toc10515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jc w:val="left"/>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HYPERLINK \l _Toc23024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第二部分 2021年度单位决算情况说明</w:t>
          </w:r>
          <w:r>
            <w:rPr>
              <w:rFonts w:hint="eastAsia" w:ascii="仿宋" w:hAnsi="仿宋" w:eastAsia="仿宋" w:cs="Times New Roman"/>
              <w:kern w:val="2"/>
              <w:sz w:val="24"/>
              <w:szCs w:val="28"/>
              <w:lang w:val="en-US" w:eastAsia="zh-CN" w:bidi="ar-SA"/>
            </w:rPr>
            <w:tab/>
          </w: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PAGEREF _Toc23024 \h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8</w:t>
          </w:r>
          <w:r>
            <w:rPr>
              <w:rFonts w:hint="eastAsia" w:ascii="仿宋" w:hAnsi="仿宋" w:eastAsia="仿宋" w:cs="Times New Roman"/>
              <w:kern w:val="2"/>
              <w:sz w:val="24"/>
              <w:szCs w:val="28"/>
              <w:lang w:val="en-US" w:eastAsia="zh-CN" w:bidi="ar-SA"/>
            </w:rPr>
            <w:fldChar w:fldCharType="end"/>
          </w:r>
          <w:r>
            <w:rPr>
              <w:rFonts w:hint="eastAsia" w:ascii="仿宋" w:hAnsi="仿宋" w:eastAsia="仿宋" w:cs="Times New Roman"/>
              <w:kern w:val="2"/>
              <w:sz w:val="24"/>
              <w:szCs w:val="28"/>
              <w:lang w:val="en-US" w:eastAsia="zh-CN" w:bidi="ar-SA"/>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_Toc22027 </w:instrText>
          </w:r>
          <w:r>
            <w:rPr>
              <w:rFonts w:hint="eastAsia" w:ascii="Times New Roman" w:hAnsi="Times New Roman" w:eastAsia="宋体" w:cs="Times New Roman"/>
              <w:sz w:val="24"/>
            </w:rPr>
            <w:fldChar w:fldCharType="separate"/>
          </w:r>
          <w:r>
            <w:rPr>
              <w:rFonts w:hint="default" w:ascii="Times New Roman" w:hAnsi="Times New Roman" w:eastAsia="宋体" w:cs="Times New Roman"/>
              <w:sz w:val="24"/>
            </w:rPr>
            <w:t xml:space="preserve">一、 </w:t>
          </w:r>
          <w:r>
            <w:rPr>
              <w:rFonts w:hint="eastAsia" w:ascii="Times New Roman" w:hAnsi="Times New Roman" w:eastAsia="宋体" w:cs="Times New Roman"/>
              <w:sz w:val="24"/>
            </w:rPr>
            <w:t>收入支出决算总体情况说明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_Toc22027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_Toc5015 </w:instrText>
          </w:r>
          <w:r>
            <w:rPr>
              <w:rFonts w:hint="eastAsia" w:ascii="Times New Roman" w:hAnsi="Times New Roman" w:eastAsia="宋体" w:cs="Times New Roman"/>
              <w:sz w:val="24"/>
            </w:rPr>
            <w:fldChar w:fldCharType="separate"/>
          </w:r>
          <w:r>
            <w:rPr>
              <w:rFonts w:hint="default" w:ascii="Times New Roman" w:hAnsi="Times New Roman" w:eastAsia="宋体" w:cs="Times New Roman"/>
              <w:sz w:val="24"/>
            </w:rPr>
            <w:t xml:space="preserve">二、 </w:t>
          </w:r>
          <w:r>
            <w:rPr>
              <w:rFonts w:hint="eastAsia" w:ascii="Times New Roman" w:hAnsi="Times New Roman" w:eastAsia="宋体" w:cs="Times New Roman"/>
              <w:sz w:val="24"/>
            </w:rPr>
            <w:t>收入决算情况说明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_Toc5015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_Toc31216 </w:instrText>
          </w:r>
          <w:r>
            <w:rPr>
              <w:rFonts w:hint="eastAsia" w:ascii="Times New Roman" w:hAnsi="Times New Roman" w:eastAsia="宋体" w:cs="Times New Roman"/>
              <w:sz w:val="24"/>
            </w:rPr>
            <w:fldChar w:fldCharType="separate"/>
          </w:r>
          <w:r>
            <w:rPr>
              <w:rFonts w:hint="default" w:ascii="Times New Roman" w:hAnsi="Times New Roman" w:eastAsia="宋体" w:cs="Times New Roman"/>
              <w:sz w:val="24"/>
            </w:rPr>
            <w:t xml:space="preserve">三、 </w:t>
          </w:r>
          <w:r>
            <w:rPr>
              <w:rFonts w:hint="eastAsia" w:ascii="Times New Roman" w:hAnsi="Times New Roman" w:eastAsia="宋体" w:cs="Times New Roman"/>
              <w:sz w:val="24"/>
            </w:rPr>
            <w:t>支出决算情况说明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_Toc31216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_Toc3603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四、财政拨款收入支出决算总体情况说明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_Toc3603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_Toc11175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五、一般公共预算财政拨款支出决算情况说明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_Toc11175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_Toc18732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六、一般公共预算财政拨款基本支出决算情况说明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_Toc18732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_Toc3910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七、“三公”经费财政拨款支出决算情况说明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_Toc3910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_Toc16078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八、政府性基金预算支出决算情况说明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_Toc16078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_Toc23070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九、 国有资本经营预算支出决算情况说明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_Toc23070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_Toc8437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十、 其他重要事项的情况说明</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_Toc8437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jc w:val="left"/>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HYPERLINK \l _Toc7370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第三部分 名词解释</w:t>
          </w:r>
          <w:r>
            <w:rPr>
              <w:rFonts w:hint="eastAsia" w:ascii="仿宋" w:hAnsi="仿宋" w:eastAsia="仿宋" w:cs="Times New Roman"/>
              <w:kern w:val="2"/>
              <w:sz w:val="24"/>
              <w:szCs w:val="28"/>
              <w:lang w:val="en-US" w:eastAsia="zh-CN" w:bidi="ar-SA"/>
            </w:rPr>
            <w:tab/>
          </w: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PAGEREF _Toc7370 \h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19</w:t>
          </w:r>
          <w:r>
            <w:rPr>
              <w:rFonts w:hint="eastAsia" w:ascii="仿宋" w:hAnsi="仿宋" w:eastAsia="仿宋" w:cs="Times New Roman"/>
              <w:kern w:val="2"/>
              <w:sz w:val="24"/>
              <w:szCs w:val="28"/>
              <w:lang w:val="en-US" w:eastAsia="zh-CN" w:bidi="ar-SA"/>
            </w:rPr>
            <w:fldChar w:fldCharType="end"/>
          </w:r>
          <w:r>
            <w:rPr>
              <w:rFonts w:hint="eastAsia" w:ascii="仿宋" w:hAnsi="仿宋" w:eastAsia="仿宋" w:cs="Times New Roman"/>
              <w:kern w:val="2"/>
              <w:sz w:val="24"/>
              <w:szCs w:val="28"/>
              <w:lang w:val="en-US" w:eastAsia="zh-CN" w:bidi="ar-SA"/>
            </w:rPr>
            <w:fldChar w:fldCharType="end"/>
          </w:r>
        </w:p>
        <w:p>
          <w:pPr>
            <w:pStyle w:val="11"/>
            <w:adjustRightInd w:val="0"/>
            <w:snapToGrid w:val="0"/>
            <w:spacing w:line="440" w:lineRule="exact"/>
            <w:jc w:val="left"/>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HYPERLINK \l _Toc10282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第四部分 附件</w:t>
          </w:r>
          <w:r>
            <w:rPr>
              <w:rFonts w:hint="eastAsia" w:ascii="仿宋" w:hAnsi="仿宋" w:eastAsia="仿宋" w:cs="Times New Roman"/>
              <w:kern w:val="2"/>
              <w:sz w:val="24"/>
              <w:szCs w:val="28"/>
              <w:lang w:val="en-US" w:eastAsia="zh-CN" w:bidi="ar-SA"/>
            </w:rPr>
            <w:tab/>
          </w: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PAGEREF _Toc10282 \h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24</w:t>
          </w:r>
          <w:r>
            <w:rPr>
              <w:rFonts w:hint="eastAsia" w:ascii="仿宋" w:hAnsi="仿宋" w:eastAsia="仿宋" w:cs="Times New Roman"/>
              <w:kern w:val="2"/>
              <w:sz w:val="24"/>
              <w:szCs w:val="28"/>
              <w:lang w:val="en-US" w:eastAsia="zh-CN" w:bidi="ar-SA"/>
            </w:rPr>
            <w:fldChar w:fldCharType="end"/>
          </w:r>
          <w:r>
            <w:rPr>
              <w:rFonts w:hint="eastAsia" w:ascii="仿宋" w:hAnsi="仿宋" w:eastAsia="仿宋" w:cs="Times New Roman"/>
              <w:kern w:val="2"/>
              <w:sz w:val="24"/>
              <w:szCs w:val="28"/>
              <w:lang w:val="en-US" w:eastAsia="zh-CN" w:bidi="ar-SA"/>
            </w:rPr>
            <w:fldChar w:fldCharType="end"/>
          </w:r>
        </w:p>
        <w:p>
          <w:pPr>
            <w:pStyle w:val="11"/>
            <w:adjustRightInd w:val="0"/>
            <w:snapToGrid w:val="0"/>
            <w:spacing w:line="440" w:lineRule="exact"/>
            <w:jc w:val="left"/>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HYPERLINK \l _Toc31135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第五部分 附表</w:t>
          </w:r>
          <w:r>
            <w:rPr>
              <w:rFonts w:hint="eastAsia" w:ascii="仿宋" w:hAnsi="仿宋" w:eastAsia="仿宋" w:cs="Times New Roman"/>
              <w:kern w:val="2"/>
              <w:sz w:val="24"/>
              <w:szCs w:val="28"/>
              <w:lang w:val="en-US" w:eastAsia="zh-CN" w:bidi="ar-SA"/>
            </w:rPr>
            <w:tab/>
          </w:r>
          <w:r>
            <w:rPr>
              <w:rFonts w:hint="eastAsia" w:ascii="仿宋" w:hAnsi="仿宋" w:eastAsia="仿宋" w:cs="Times New Roman"/>
              <w:kern w:val="2"/>
              <w:sz w:val="24"/>
              <w:szCs w:val="28"/>
              <w:lang w:val="en-US" w:eastAsia="zh-CN" w:bidi="ar-SA"/>
            </w:rPr>
            <w:fldChar w:fldCharType="begin"/>
          </w:r>
          <w:r>
            <w:rPr>
              <w:rFonts w:hint="eastAsia" w:ascii="仿宋" w:hAnsi="仿宋" w:eastAsia="仿宋" w:cs="Times New Roman"/>
              <w:kern w:val="2"/>
              <w:sz w:val="24"/>
              <w:szCs w:val="28"/>
              <w:lang w:val="en-US" w:eastAsia="zh-CN" w:bidi="ar-SA"/>
            </w:rPr>
            <w:instrText xml:space="preserve"> PAGEREF _Toc31135 \h </w:instrText>
          </w:r>
          <w:r>
            <w:rPr>
              <w:rFonts w:hint="eastAsia" w:ascii="仿宋" w:hAnsi="仿宋" w:eastAsia="仿宋" w:cs="Times New Roman"/>
              <w:kern w:val="2"/>
              <w:sz w:val="24"/>
              <w:szCs w:val="28"/>
              <w:lang w:val="en-US" w:eastAsia="zh-CN" w:bidi="ar-SA"/>
            </w:rPr>
            <w:fldChar w:fldCharType="separate"/>
          </w:r>
          <w:r>
            <w:rPr>
              <w:rFonts w:hint="eastAsia" w:ascii="仿宋" w:hAnsi="仿宋" w:eastAsia="仿宋" w:cs="Times New Roman"/>
              <w:kern w:val="2"/>
              <w:sz w:val="24"/>
              <w:szCs w:val="28"/>
              <w:lang w:val="en-US" w:eastAsia="zh-CN" w:bidi="ar-SA"/>
            </w:rPr>
            <w:t>28</w:t>
          </w:r>
          <w:r>
            <w:rPr>
              <w:rFonts w:hint="eastAsia" w:ascii="仿宋" w:hAnsi="仿宋" w:eastAsia="仿宋" w:cs="Times New Roman"/>
              <w:kern w:val="2"/>
              <w:sz w:val="24"/>
              <w:szCs w:val="28"/>
              <w:lang w:val="en-US" w:eastAsia="zh-CN" w:bidi="ar-SA"/>
            </w:rPr>
            <w:fldChar w:fldCharType="end"/>
          </w:r>
          <w:r>
            <w:rPr>
              <w:rFonts w:hint="eastAsia" w:ascii="仿宋" w:hAnsi="仿宋" w:eastAsia="仿宋" w:cs="Times New Roman"/>
              <w:kern w:val="2"/>
              <w:sz w:val="24"/>
              <w:szCs w:val="28"/>
              <w:lang w:val="en-US" w:eastAsia="zh-CN" w:bidi="ar-SA"/>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_Toc6643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一、收入支出决算总表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_Toc6643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28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_Toc27797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二、收入决算表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_Toc27797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29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_Toc17604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三、支出决算表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_Toc17604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_Toc19235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四、财政拨款收入支出决算总表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_Toc19235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31</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_Toc19886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五、财政拨款支出决算明细表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_Toc19886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_Toc32202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六、一般公共预算财政拨款支出决算表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_Toc32202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33</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_Toc7216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七、一般公共预算财政拨款支出决算明细表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_Toc7216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34</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_Toc29440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八、一般公共预算财政拨款基本支出决算表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_Toc29440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34</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_Toc24055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九、一般公共预算财政拨款项目支出决算表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_Toc24055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_Toc32395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十、一般公共预算财政拨款“三公”经费支出决算表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_Toc32395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_Toc10585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十一、政府性基金预算财政拨款收入支出决算表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_Toc10585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36</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_Toc12417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十二、政府性基金预算财政拨款“三公”经费支出决算表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_Toc12417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36</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HYPERLINK \l _Toc15553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十三、国有资本经营预算</w:t>
          </w:r>
          <w:r>
            <w:rPr>
              <w:rFonts w:hint="eastAsia" w:ascii="Times New Roman" w:hAnsi="Times New Roman" w:eastAsia="宋体" w:cs="Times New Roman"/>
              <w:sz w:val="24"/>
              <w:lang w:eastAsia="zh-CN"/>
            </w:rPr>
            <w:t>财政拨款收入</w:t>
          </w:r>
          <w:r>
            <w:rPr>
              <w:rFonts w:hint="eastAsia" w:ascii="Times New Roman" w:hAnsi="Times New Roman" w:eastAsia="宋体" w:cs="Times New Roman"/>
              <w:sz w:val="24"/>
            </w:rPr>
            <w:t>支出决算表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_Toc15553 \h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36</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11"/>
            <w:adjustRightInd w:val="0"/>
            <w:snapToGrid w:val="0"/>
            <w:spacing w:line="440" w:lineRule="exact"/>
            <w:ind w:firstLine="240" w:firstLineChars="100"/>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十四、国有资本经营预算财政拨款支出决算</w:t>
          </w:r>
          <w:r>
            <w:rPr>
              <w:rFonts w:hint="eastAsia" w:cs="Times New Roman"/>
              <w:sz w:val="24"/>
              <w:lang w:val="en-US" w:eastAsia="zh-CN"/>
            </w:rPr>
            <w:t>表</w:t>
          </w:r>
          <w:r>
            <w:rPr>
              <w:rFonts w:hint="eastAsia" w:ascii="Times New Roman" w:hAnsi="Times New Roman" w:eastAsia="宋体" w:cs="Times New Roman"/>
              <w:sz w:val="24"/>
            </w:rPr>
            <w:tab/>
          </w:r>
          <w:r>
            <w:rPr>
              <w:rFonts w:hint="eastAsia" w:cs="Times New Roman"/>
              <w:sz w:val="24"/>
              <w:lang w:val="en-US" w:eastAsia="zh-CN"/>
            </w:rPr>
            <w:t>37</w:t>
          </w:r>
        </w:p>
        <w:p>
          <w:pPr>
            <w:pStyle w:val="11"/>
            <w:adjustRightInd w:val="0"/>
            <w:snapToGrid w:val="0"/>
            <w:spacing w:line="440" w:lineRule="exact"/>
            <w:jc w:val="left"/>
            <w:rPr>
              <w:rFonts w:hint="eastAsia" w:ascii="Times New Roman" w:hAnsi="Times New Roman" w:eastAsia="宋体" w:cs="Times New Roman"/>
              <w:sz w:val="24"/>
            </w:rPr>
          </w:pPr>
          <w:r>
            <w:rPr>
              <w:rFonts w:hint="eastAsia" w:ascii="Times New Roman" w:hAnsi="Times New Roman" w:eastAsia="宋体" w:cs="Times New Roman"/>
              <w:sz w:val="24"/>
            </w:rPr>
            <w:fldChar w:fldCharType="end"/>
          </w:r>
          <w:r>
            <w:rPr>
              <w:rFonts w:hint="eastAsia" w:ascii="Times New Roman" w:hAnsi="Times New Roman" w:eastAsia="宋体" w:cs="Times New Roman"/>
              <w:sz w:val="24"/>
              <w:lang w:val="en-US" w:eastAsia="zh-CN"/>
            </w:rPr>
            <w:t xml:space="preserve">                                                                         </w:t>
          </w:r>
        </w:p>
      </w:sdtContent>
    </w:sdt>
    <w:p>
      <w:pPr>
        <w:pStyle w:val="11"/>
        <w:adjustRightInd w:val="0"/>
        <w:snapToGrid w:val="0"/>
        <w:spacing w:line="440" w:lineRule="exact"/>
        <w:jc w:val="left"/>
        <w:rPr>
          <w:rFonts w:hint="eastAsia" w:ascii="Times New Roman" w:hAnsi="Times New Roman" w:eastAsia="宋体" w:cs="Times New Roman"/>
          <w:sz w:val="24"/>
        </w:rPr>
      </w:pPr>
      <w:bookmarkStart w:id="20" w:name="_Toc15377196"/>
      <w:bookmarkStart w:id="21" w:name="_Toc15396599"/>
      <w:r>
        <w:rPr>
          <w:rFonts w:hint="eastAsia" w:ascii="Times New Roman" w:hAnsi="Times New Roman" w:eastAsia="宋体" w:cs="Times New Roman"/>
          <w:sz w:val="24"/>
        </w:rPr>
        <w:br w:type="page"/>
      </w:r>
    </w:p>
    <w:p>
      <w:pPr>
        <w:pStyle w:val="4"/>
        <w:bidi w:val="0"/>
        <w:outlineLvl w:val="0"/>
      </w:pPr>
      <w:bookmarkStart w:id="22" w:name="_Toc18896"/>
      <w:r>
        <w:rPr>
          <w:rFonts w:hint="eastAsia"/>
        </w:rPr>
        <w:t xml:space="preserve">第一部分 </w:t>
      </w:r>
      <w:r>
        <w:rPr>
          <w:rFonts w:hint="eastAsia"/>
          <w:lang w:eastAsia="zh-CN"/>
        </w:rPr>
        <w:t>单位</w:t>
      </w:r>
      <w:r>
        <w:rPr>
          <w:rFonts w:hint="eastAsia"/>
        </w:rPr>
        <w:t>概况</w:t>
      </w:r>
      <w:bookmarkEnd w:id="20"/>
      <w:bookmarkEnd w:id="21"/>
      <w:bookmarkEnd w:id="22"/>
    </w:p>
    <w:p>
      <w:pPr>
        <w:widowControl/>
        <w:jc w:val="left"/>
        <w:rPr>
          <w:rFonts w:ascii="黑体" w:eastAsia="黑体"/>
          <w:color w:val="auto"/>
          <w:sz w:val="32"/>
          <w:szCs w:val="32"/>
          <w:highlight w:val="none"/>
        </w:rPr>
      </w:pPr>
    </w:p>
    <w:p>
      <w:pPr>
        <w:pStyle w:val="5"/>
        <w:numPr>
          <w:ilvl w:val="0"/>
          <w:numId w:val="1"/>
        </w:numPr>
        <w:bidi w:val="0"/>
        <w:outlineLvl w:val="1"/>
        <w:rPr>
          <w:rFonts w:hint="eastAsia"/>
          <w:lang w:eastAsia="zh-CN"/>
        </w:rPr>
      </w:pPr>
      <w:bookmarkStart w:id="23" w:name="_Toc2596"/>
      <w:bookmarkStart w:id="24" w:name="_Toc15396600"/>
      <w:bookmarkStart w:id="25" w:name="_Toc15377197"/>
      <w:r>
        <w:rPr>
          <w:rFonts w:hint="eastAsia"/>
        </w:rPr>
        <w:t>职能</w:t>
      </w:r>
      <w:r>
        <w:rPr>
          <w:rFonts w:hint="eastAsia"/>
          <w:lang w:eastAsia="zh-CN"/>
        </w:rPr>
        <w:t>简介</w:t>
      </w:r>
      <w:bookmarkEnd w:id="23"/>
    </w:p>
    <w:p>
      <w:pPr>
        <w:pStyle w:val="2"/>
        <w:numPr>
          <w:ilvl w:val="0"/>
          <w:numId w:val="2"/>
        </w:numPr>
        <w:ind w:left="0" w:leftChars="0"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贯彻执行党和国家的路线方针政策、法律法规和上级党委政府的决定、命令,接受同级党委（党工委）的领导，执行本级人民代表大会的各项决议，并报告执行决议、决定和命令的情况。</w:t>
      </w:r>
    </w:p>
    <w:p>
      <w:pPr>
        <w:pStyle w:val="2"/>
        <w:numPr>
          <w:ilvl w:val="0"/>
          <w:numId w:val="2"/>
        </w:numPr>
        <w:ind w:left="0" w:leftChars="0"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pPr>
        <w:pStyle w:val="2"/>
        <w:numPr>
          <w:ilvl w:val="0"/>
          <w:numId w:val="2"/>
        </w:numPr>
        <w:ind w:left="0" w:leftChars="0"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w:t>
      </w:r>
    </w:p>
    <w:p>
      <w:pPr>
        <w:pStyle w:val="2"/>
        <w:numPr>
          <w:ilvl w:val="0"/>
          <w:numId w:val="2"/>
        </w:numPr>
        <w:ind w:left="0" w:leftChars="0"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pStyle w:val="2"/>
        <w:numPr>
          <w:ilvl w:val="0"/>
          <w:numId w:val="2"/>
        </w:numPr>
        <w:ind w:left="0" w:leftChars="0"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pPr>
        <w:pStyle w:val="2"/>
        <w:numPr>
          <w:ilvl w:val="0"/>
          <w:numId w:val="2"/>
        </w:numPr>
        <w:ind w:left="0" w:leftChars="0"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w:t>
      </w:r>
    </w:p>
    <w:p>
      <w:pPr>
        <w:pStyle w:val="2"/>
        <w:numPr>
          <w:ilvl w:val="0"/>
          <w:numId w:val="2"/>
        </w:numPr>
        <w:ind w:left="0" w:leftChars="0" w:firstLine="640" w:firstLineChars="200"/>
        <w:rPr>
          <w:rFonts w:hint="eastAsia"/>
        </w:rPr>
      </w:pPr>
      <w:r>
        <w:rPr>
          <w:rFonts w:hint="eastAsia" w:ascii="仿宋" w:hAnsi="仿宋" w:eastAsia="仿宋" w:cs="Times New Roman"/>
          <w:color w:val="auto"/>
          <w:kern w:val="2"/>
          <w:sz w:val="32"/>
          <w:szCs w:val="32"/>
          <w:highlight w:val="none"/>
          <w:lang w:val="en-US" w:eastAsia="zh-CN" w:bidi="ar-SA"/>
        </w:rPr>
        <w:t>完成县委、县人民政府交办的其他任务。</w:t>
      </w:r>
    </w:p>
    <w:p>
      <w:pPr>
        <w:pStyle w:val="5"/>
        <w:bidi w:val="0"/>
        <w:outlineLvl w:val="1"/>
        <w:rPr>
          <w:rFonts w:hint="eastAsia"/>
        </w:rPr>
      </w:pPr>
      <w:bookmarkStart w:id="26" w:name="_Toc10515"/>
      <w:r>
        <w:rPr>
          <w:rFonts w:hint="eastAsia"/>
          <w:lang w:val="en-US" w:eastAsia="zh-CN"/>
        </w:rPr>
        <w:t>二、2021年重点</w:t>
      </w:r>
      <w:r>
        <w:rPr>
          <w:rFonts w:hint="eastAsia"/>
        </w:rPr>
        <w:t>工作</w:t>
      </w:r>
      <w:bookmarkEnd w:id="24"/>
      <w:bookmarkEnd w:id="25"/>
      <w:r>
        <w:rPr>
          <w:rFonts w:hint="eastAsia"/>
          <w:lang w:eastAsia="zh-CN"/>
        </w:rPr>
        <w:t>完成情况</w:t>
      </w:r>
      <w:bookmarkEnd w:id="26"/>
    </w:p>
    <w:p>
      <w:pPr>
        <w:pStyle w:val="2"/>
        <w:numPr>
          <w:ilvl w:val="0"/>
          <w:numId w:val="0"/>
        </w:numPr>
        <w:ind w:left="0" w:leftChars="0" w:firstLine="640" w:firstLineChars="200"/>
        <w:rPr>
          <w:rFonts w:hint="default"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1、</w:t>
      </w:r>
      <w:r>
        <w:rPr>
          <w:rFonts w:hint="default" w:ascii="仿宋" w:hAnsi="仿宋" w:eastAsia="仿宋" w:cs="Times New Roman"/>
          <w:color w:val="auto"/>
          <w:kern w:val="2"/>
          <w:sz w:val="32"/>
          <w:szCs w:val="32"/>
          <w:highlight w:val="none"/>
          <w:lang w:val="en-US" w:eastAsia="zh-CN" w:bidi="ar-SA"/>
        </w:rPr>
        <w:t>稳定经济增长</w:t>
      </w:r>
      <w:r>
        <w:rPr>
          <w:rFonts w:hint="eastAsia" w:ascii="仿宋" w:hAnsi="仿宋" w:eastAsia="仿宋" w:cs="Times New Roman"/>
          <w:color w:val="auto"/>
          <w:kern w:val="2"/>
          <w:sz w:val="32"/>
          <w:szCs w:val="32"/>
          <w:highlight w:val="none"/>
          <w:lang w:val="en-US" w:eastAsia="zh-CN" w:bidi="ar-SA"/>
        </w:rPr>
        <w:t>，推动乡村振兴。</w:t>
      </w:r>
      <w:r>
        <w:rPr>
          <w:rFonts w:hint="default" w:ascii="仿宋" w:hAnsi="仿宋" w:eastAsia="仿宋" w:cs="Times New Roman"/>
          <w:color w:val="auto"/>
          <w:kern w:val="2"/>
          <w:sz w:val="32"/>
          <w:szCs w:val="32"/>
          <w:highlight w:val="none"/>
          <w:lang w:val="en-US" w:eastAsia="zh-CN" w:bidi="ar-SA"/>
        </w:rPr>
        <w:t>强化主体责任落实，健全兜底保障政策</w:t>
      </w:r>
      <w:r>
        <w:rPr>
          <w:rFonts w:hint="eastAsia" w:ascii="仿宋" w:hAnsi="仿宋" w:eastAsia="仿宋" w:cs="Times New Roman"/>
          <w:color w:val="auto"/>
          <w:kern w:val="2"/>
          <w:sz w:val="32"/>
          <w:szCs w:val="32"/>
          <w:highlight w:val="none"/>
          <w:lang w:val="en-US" w:eastAsia="zh-CN" w:bidi="ar-SA"/>
        </w:rPr>
        <w:t xml:space="preserve"> 。</w:t>
      </w:r>
      <w:r>
        <w:rPr>
          <w:rFonts w:hint="default" w:ascii="仿宋" w:hAnsi="仿宋" w:eastAsia="仿宋" w:cs="Times New Roman"/>
          <w:color w:val="auto"/>
          <w:kern w:val="2"/>
          <w:sz w:val="32"/>
          <w:szCs w:val="32"/>
          <w:highlight w:val="none"/>
          <w:lang w:val="en-US" w:eastAsia="zh-CN" w:bidi="ar-SA"/>
        </w:rPr>
        <w:t>持续巩固提升脱贫攻坚成果。镇党政一把手深入调研、逐户走访、因人施策，克服疫情带来的不利影响，将贫困劳动力稳定就业、政策兜底户强化保障作为常抓不懈的主要任务，实现了困难群众中劳动力全部务工，兜底户低保、五保、残疾政策应享尽享。</w:t>
      </w:r>
    </w:p>
    <w:p>
      <w:pPr>
        <w:pStyle w:val="2"/>
        <w:numPr>
          <w:ilvl w:val="0"/>
          <w:numId w:val="0"/>
        </w:numPr>
        <w:ind w:left="0" w:leftChars="0" w:firstLine="640" w:firstLineChars="200"/>
        <w:rPr>
          <w:rFonts w:hint="default"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3、</w:t>
      </w:r>
      <w:r>
        <w:rPr>
          <w:rFonts w:hint="default" w:ascii="仿宋" w:hAnsi="仿宋" w:eastAsia="仿宋" w:cs="Times New Roman"/>
          <w:color w:val="auto"/>
          <w:kern w:val="2"/>
          <w:sz w:val="32"/>
          <w:szCs w:val="32"/>
          <w:highlight w:val="none"/>
          <w:lang w:val="en-US" w:eastAsia="zh-CN" w:bidi="ar-SA"/>
        </w:rPr>
        <w:t>推进项目建设。</w:t>
      </w:r>
      <w:r>
        <w:rPr>
          <w:rFonts w:hint="eastAsia" w:ascii="仿宋" w:hAnsi="仿宋" w:eastAsia="仿宋" w:cs="Times New Roman"/>
          <w:color w:val="auto"/>
          <w:kern w:val="2"/>
          <w:sz w:val="32"/>
          <w:szCs w:val="32"/>
          <w:highlight w:val="none"/>
          <w:lang w:val="en-US" w:eastAsia="zh-CN" w:bidi="ar-SA"/>
        </w:rPr>
        <w:t xml:space="preserve">  </w:t>
      </w:r>
    </w:p>
    <w:p>
      <w:pPr>
        <w:pStyle w:val="2"/>
        <w:numPr>
          <w:ilvl w:val="0"/>
          <w:numId w:val="0"/>
        </w:numPr>
        <w:ind w:left="0" w:leftChars="0" w:firstLine="640" w:firstLineChars="200"/>
        <w:rPr>
          <w:rFonts w:hint="default"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4、</w:t>
      </w:r>
      <w:r>
        <w:rPr>
          <w:rFonts w:hint="default" w:ascii="仿宋" w:hAnsi="仿宋" w:eastAsia="仿宋" w:cs="Times New Roman"/>
          <w:color w:val="auto"/>
          <w:kern w:val="2"/>
          <w:sz w:val="32"/>
          <w:szCs w:val="32"/>
          <w:highlight w:val="none"/>
          <w:lang w:val="en-US" w:eastAsia="zh-CN" w:bidi="ar-SA"/>
        </w:rPr>
        <w:t>培育致富产业。积极发展特色产业，采取“合作社+基地+农户”的合作模式，让群众在家门口务工，在家门口增收，全镇发展</w:t>
      </w:r>
      <w:r>
        <w:rPr>
          <w:rFonts w:hint="eastAsia" w:ascii="仿宋" w:hAnsi="仿宋" w:eastAsia="仿宋" w:cs="Times New Roman"/>
          <w:color w:val="auto"/>
          <w:kern w:val="2"/>
          <w:sz w:val="32"/>
          <w:szCs w:val="32"/>
          <w:highlight w:val="none"/>
          <w:lang w:val="en-US" w:eastAsia="zh-CN" w:bidi="ar-SA"/>
        </w:rPr>
        <w:t>土豆</w:t>
      </w:r>
      <w:r>
        <w:rPr>
          <w:rFonts w:hint="default" w:ascii="仿宋" w:hAnsi="仿宋" w:eastAsia="仿宋" w:cs="Times New Roman"/>
          <w:color w:val="auto"/>
          <w:kern w:val="2"/>
          <w:sz w:val="32"/>
          <w:szCs w:val="32"/>
          <w:highlight w:val="none"/>
          <w:lang w:val="en-US" w:eastAsia="zh-CN" w:bidi="ar-SA"/>
        </w:rPr>
        <w:t>、核桃</w:t>
      </w:r>
      <w:r>
        <w:rPr>
          <w:rFonts w:hint="eastAsia" w:ascii="仿宋" w:hAnsi="仿宋" w:eastAsia="仿宋" w:cs="Times New Roman"/>
          <w:color w:val="auto"/>
          <w:kern w:val="2"/>
          <w:sz w:val="32"/>
          <w:szCs w:val="32"/>
          <w:highlight w:val="none"/>
          <w:lang w:val="en-US" w:eastAsia="zh-CN" w:bidi="ar-SA"/>
        </w:rPr>
        <w:t>，空山牛</w:t>
      </w:r>
      <w:r>
        <w:rPr>
          <w:rFonts w:hint="default" w:ascii="仿宋" w:hAnsi="仿宋" w:eastAsia="仿宋" w:cs="Times New Roman"/>
          <w:color w:val="auto"/>
          <w:kern w:val="2"/>
          <w:sz w:val="32"/>
          <w:szCs w:val="32"/>
          <w:highlight w:val="none"/>
          <w:lang w:val="en-US" w:eastAsia="zh-CN" w:bidi="ar-SA"/>
        </w:rPr>
        <w:t>等特色产业，</w:t>
      </w:r>
      <w:r>
        <w:rPr>
          <w:rFonts w:hint="eastAsia" w:ascii="仿宋" w:hAnsi="仿宋" w:eastAsia="仿宋" w:cs="Times New Roman"/>
          <w:color w:val="auto"/>
          <w:kern w:val="2"/>
          <w:sz w:val="32"/>
          <w:szCs w:val="32"/>
          <w:highlight w:val="none"/>
          <w:lang w:val="en-US" w:eastAsia="zh-CN" w:bidi="ar-SA"/>
        </w:rPr>
        <w:t>5</w:t>
      </w:r>
      <w:r>
        <w:rPr>
          <w:rFonts w:hint="default" w:ascii="仿宋" w:hAnsi="仿宋" w:eastAsia="仿宋" w:cs="Times New Roman"/>
          <w:color w:val="auto"/>
          <w:kern w:val="2"/>
          <w:sz w:val="32"/>
          <w:szCs w:val="32"/>
          <w:highlight w:val="none"/>
          <w:lang w:val="en-US" w:eastAsia="zh-CN" w:bidi="ar-SA"/>
        </w:rPr>
        <w:t>个村集体经济收入实现新的增长突破</w:t>
      </w:r>
    </w:p>
    <w:p>
      <w:pPr>
        <w:pStyle w:val="2"/>
        <w:numPr>
          <w:ilvl w:val="0"/>
          <w:numId w:val="0"/>
        </w:numPr>
        <w:ind w:left="0" w:leftChars="0" w:firstLine="640" w:firstLineChars="200"/>
        <w:rPr>
          <w:rFonts w:hint="default"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5、</w:t>
      </w:r>
      <w:r>
        <w:rPr>
          <w:rFonts w:hint="default" w:ascii="仿宋" w:hAnsi="仿宋" w:eastAsia="仿宋" w:cs="Times New Roman"/>
          <w:color w:val="auto"/>
          <w:kern w:val="2"/>
          <w:sz w:val="32"/>
          <w:szCs w:val="32"/>
          <w:highlight w:val="none"/>
          <w:lang w:val="en-US" w:eastAsia="zh-CN" w:bidi="ar-SA"/>
        </w:rPr>
        <w:t>提升景镇品质。以创建天府旅游名县为契机，提升</w:t>
      </w:r>
      <w:r>
        <w:rPr>
          <w:rFonts w:hint="eastAsia" w:ascii="仿宋" w:hAnsi="仿宋" w:eastAsia="仿宋" w:cs="Times New Roman"/>
          <w:color w:val="auto"/>
          <w:kern w:val="2"/>
          <w:sz w:val="32"/>
          <w:szCs w:val="32"/>
          <w:highlight w:val="none"/>
          <w:lang w:val="en-US" w:eastAsia="zh-CN" w:bidi="ar-SA"/>
        </w:rPr>
        <w:t>空山镇</w:t>
      </w:r>
      <w:r>
        <w:rPr>
          <w:rFonts w:hint="default" w:ascii="仿宋" w:hAnsi="仿宋" w:eastAsia="仿宋" w:cs="Times New Roman"/>
          <w:color w:val="auto"/>
          <w:kern w:val="2"/>
          <w:sz w:val="32"/>
          <w:szCs w:val="32"/>
          <w:highlight w:val="none"/>
          <w:lang w:val="en-US" w:eastAsia="zh-CN" w:bidi="ar-SA"/>
        </w:rPr>
        <w:t>景区服务水平、完善配套设施、提高接待能力。</w:t>
      </w:r>
    </w:p>
    <w:p>
      <w:pPr>
        <w:pStyle w:val="2"/>
        <w:numPr>
          <w:ilvl w:val="0"/>
          <w:numId w:val="0"/>
        </w:numPr>
        <w:ind w:left="0" w:leftChars="0" w:firstLine="640" w:firstLineChars="200"/>
        <w:rPr>
          <w:rFonts w:hint="default"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6、</w:t>
      </w:r>
      <w:r>
        <w:rPr>
          <w:rFonts w:hint="default" w:ascii="仿宋" w:hAnsi="仿宋" w:eastAsia="仿宋" w:cs="Times New Roman"/>
          <w:color w:val="auto"/>
          <w:kern w:val="2"/>
          <w:sz w:val="32"/>
          <w:szCs w:val="32"/>
          <w:highlight w:val="none"/>
          <w:lang w:val="en-US" w:eastAsia="zh-CN" w:bidi="ar-SA"/>
        </w:rPr>
        <w:t>加强环境保护。以推进秸秆禁烧、非煤矿山技术改良、烟花爆竹燃放管控等为重点，严格落实河（湖）长制、农业面源污染、畜禽粪污等工作。</w:t>
      </w:r>
    </w:p>
    <w:p>
      <w:pPr>
        <w:pStyle w:val="2"/>
        <w:numPr>
          <w:ilvl w:val="0"/>
          <w:numId w:val="0"/>
        </w:numPr>
        <w:ind w:left="0" w:leftChars="0"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7、</w:t>
      </w:r>
      <w:r>
        <w:rPr>
          <w:rFonts w:hint="default" w:ascii="仿宋" w:hAnsi="仿宋" w:eastAsia="仿宋" w:cs="Times New Roman"/>
          <w:color w:val="auto"/>
          <w:kern w:val="2"/>
          <w:sz w:val="32"/>
          <w:szCs w:val="32"/>
          <w:highlight w:val="none"/>
          <w:lang w:val="en-US" w:eastAsia="zh-CN" w:bidi="ar-SA"/>
        </w:rPr>
        <w:t>增进民生福祉。兑现惠民资金</w:t>
      </w:r>
      <w:r>
        <w:rPr>
          <w:rFonts w:hint="eastAsia" w:ascii="仿宋" w:hAnsi="仿宋" w:eastAsia="仿宋" w:cs="Times New Roman"/>
          <w:color w:val="auto"/>
          <w:kern w:val="2"/>
          <w:sz w:val="32"/>
          <w:szCs w:val="32"/>
          <w:highlight w:val="none"/>
          <w:lang w:val="en-US" w:eastAsia="zh-CN" w:bidi="ar-SA"/>
        </w:rPr>
        <w:t>，</w:t>
      </w:r>
      <w:r>
        <w:rPr>
          <w:rFonts w:hint="default" w:ascii="仿宋" w:hAnsi="仿宋" w:eastAsia="仿宋" w:cs="Times New Roman"/>
          <w:color w:val="auto"/>
          <w:kern w:val="2"/>
          <w:sz w:val="32"/>
          <w:szCs w:val="32"/>
          <w:highlight w:val="none"/>
          <w:lang w:val="en-US" w:eastAsia="zh-CN" w:bidi="ar-SA"/>
        </w:rPr>
        <w:t>落实安全生产责任制</w:t>
      </w:r>
      <w:r>
        <w:rPr>
          <w:rFonts w:hint="eastAsia" w:ascii="仿宋" w:hAnsi="仿宋" w:eastAsia="仿宋" w:cs="Times New Roman"/>
          <w:color w:val="auto"/>
          <w:kern w:val="2"/>
          <w:sz w:val="32"/>
          <w:szCs w:val="32"/>
          <w:highlight w:val="none"/>
          <w:lang w:val="en-US" w:eastAsia="zh-CN" w:bidi="ar-SA"/>
        </w:rPr>
        <w:t>，</w:t>
      </w:r>
      <w:r>
        <w:rPr>
          <w:rFonts w:hint="default" w:ascii="仿宋" w:hAnsi="仿宋" w:eastAsia="仿宋" w:cs="Times New Roman"/>
          <w:color w:val="auto"/>
          <w:kern w:val="2"/>
          <w:sz w:val="32"/>
          <w:szCs w:val="32"/>
          <w:highlight w:val="none"/>
          <w:lang w:val="en-US" w:eastAsia="zh-CN" w:bidi="ar-SA"/>
        </w:rPr>
        <w:t>防范自然灾害，迅速核灾报灾救灾。</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bidi w:val="0"/>
        <w:outlineLvl w:val="0"/>
      </w:pPr>
      <w:bookmarkStart w:id="27" w:name="_Toc15396602"/>
      <w:bookmarkStart w:id="28" w:name="_Toc15377204"/>
      <w:bookmarkStart w:id="29" w:name="_Toc23024"/>
      <w:r>
        <w:rPr>
          <w:rFonts w:hint="eastAsia"/>
        </w:rPr>
        <w:t xml:space="preserve">第二部分 </w:t>
      </w:r>
      <w:r>
        <w:rPr>
          <w:rFonts w:hint="eastAsia"/>
          <w:lang w:val="en-US" w:eastAsia="zh-CN"/>
        </w:rPr>
        <w:t>2021年度</w:t>
      </w:r>
      <w:r>
        <w:rPr>
          <w:rFonts w:hint="eastAsia"/>
          <w:lang w:eastAsia="zh-CN"/>
        </w:rPr>
        <w:t>单位</w:t>
      </w:r>
      <w:r>
        <w:rPr>
          <w:rFonts w:hint="eastAsia"/>
        </w:rPr>
        <w:t>决算情况说明</w:t>
      </w:r>
      <w:bookmarkEnd w:id="27"/>
      <w:bookmarkEnd w:id="28"/>
      <w:bookmarkEnd w:id="29"/>
    </w:p>
    <w:p>
      <w:pPr>
        <w:rPr>
          <w:color w:val="auto"/>
          <w:highlight w:val="none"/>
        </w:rPr>
      </w:pPr>
    </w:p>
    <w:p>
      <w:pPr>
        <w:pStyle w:val="5"/>
        <w:numPr>
          <w:ilvl w:val="0"/>
          <w:numId w:val="3"/>
        </w:numPr>
        <w:bidi w:val="0"/>
        <w:outlineLvl w:val="1"/>
      </w:pPr>
      <w:bookmarkStart w:id="30" w:name="_Toc22027"/>
      <w:bookmarkStart w:id="31" w:name="_Toc15396603"/>
      <w:bookmarkStart w:id="32" w:name="_Toc15377205"/>
      <w:r>
        <w:rPr>
          <w:rFonts w:hint="eastAsia"/>
        </w:rPr>
        <w:t>收</w:t>
      </w:r>
      <w:r>
        <w:rPr>
          <w:rFonts w:hint="eastAsia"/>
          <w:lang w:eastAsia="zh-CN"/>
        </w:rPr>
        <w:t>入</w:t>
      </w:r>
      <w:r>
        <w:rPr>
          <w:rFonts w:hint="eastAsia"/>
        </w:rPr>
        <w:t>支出决算总体情况说明</w:t>
      </w:r>
      <w:bookmarkEnd w:id="30"/>
      <w:bookmarkEnd w:id="31"/>
      <w:bookmarkEnd w:id="32"/>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2148.6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入增加</w:t>
      </w:r>
      <w:r>
        <w:rPr>
          <w:rFonts w:hint="eastAsia" w:ascii="仿宋" w:hAnsi="仿宋" w:eastAsia="仿宋"/>
          <w:color w:val="auto"/>
          <w:sz w:val="32"/>
          <w:szCs w:val="32"/>
          <w:highlight w:val="none"/>
          <w:lang w:val="en-US" w:eastAsia="zh-CN"/>
        </w:rPr>
        <w:t>259.05万元。增长13.7%。</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出增加</w:t>
      </w:r>
      <w:r>
        <w:rPr>
          <w:rFonts w:hint="eastAsia" w:ascii="仿宋" w:hAnsi="仿宋" w:eastAsia="仿宋"/>
          <w:color w:val="auto"/>
          <w:sz w:val="32"/>
          <w:szCs w:val="32"/>
          <w:highlight w:val="none"/>
          <w:lang w:val="en-US" w:eastAsia="zh-CN"/>
        </w:rPr>
        <w:t>259.05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 xml:space="preserve"> 13.7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w: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r>
        <w:rPr>
          <w:rFonts w:hint="eastAsia" w:ascii="仿宋" w:hAnsi="仿宋" w:eastAsia="仿宋"/>
          <w:color w:val="auto"/>
          <w:sz w:val="32"/>
          <w:szCs w:val="32"/>
          <w:highlight w:val="none"/>
          <w:lang w:eastAsia="zh-CN"/>
        </w:rPr>
        <w:t>，单位：万元</w:t>
      </w:r>
      <w:r>
        <w:rPr>
          <w:rFonts w:hint="eastAsia" w:ascii="仿宋" w:hAnsi="仿宋" w:eastAsia="仿宋"/>
          <w:color w:val="auto"/>
          <w:sz w:val="32"/>
          <w:szCs w:val="32"/>
          <w:highlight w:val="none"/>
        </w:rPr>
        <w:t>）</w:t>
      </w:r>
    </w:p>
    <w:p>
      <w:pPr>
        <w:pStyle w:val="12"/>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4003675" cy="2572385"/>
            <wp:effectExtent l="4445" t="4445" r="11430" b="1397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
        <w:numPr>
          <w:ilvl w:val="0"/>
          <w:numId w:val="3"/>
        </w:numPr>
        <w:bidi w:val="0"/>
        <w:outlineLvl w:val="1"/>
      </w:pPr>
      <w:bookmarkStart w:id="33" w:name="_Toc15396604"/>
      <w:bookmarkStart w:id="34" w:name="_Toc5015"/>
      <w:bookmarkStart w:id="35" w:name="_Toc15377206"/>
      <w:r>
        <w:rPr>
          <w:rFonts w:hint="eastAsia"/>
        </w:rPr>
        <w:t>收入决算情况说明</w:t>
      </w:r>
      <w:bookmarkEnd w:id="33"/>
      <w:bookmarkEnd w:id="34"/>
      <w:bookmarkEnd w:id="35"/>
    </w:p>
    <w:p>
      <w:pPr>
        <w:spacing w:line="600" w:lineRule="exact"/>
        <w:ind w:firstLine="640" w:firstLineChars="200"/>
        <w:outlineLvl w:val="1"/>
        <w:rPr>
          <w:rStyle w:val="22"/>
          <w:rFonts w:hint="eastAsia"/>
          <w:sz w:val="32"/>
          <w:szCs w:val="32"/>
        </w:rPr>
      </w:pPr>
      <w:bookmarkStart w:id="36" w:name="_Toc628"/>
      <w:bookmarkStart w:id="37" w:name="_Toc11682"/>
      <w:bookmarkStart w:id="38" w:name="_Toc6439"/>
      <w:r>
        <w:rPr>
          <w:rStyle w:val="22"/>
          <w:sz w:val="32"/>
          <w:szCs w:val="32"/>
        </w:rPr>
        <w:t>20</w:t>
      </w:r>
      <w:r>
        <w:rPr>
          <w:rStyle w:val="22"/>
          <w:rFonts w:hint="eastAsia"/>
          <w:sz w:val="32"/>
          <w:szCs w:val="32"/>
          <w:lang w:val="en-US" w:eastAsia="zh-CN"/>
        </w:rPr>
        <w:t>21</w:t>
      </w:r>
      <w:r>
        <w:rPr>
          <w:rStyle w:val="22"/>
          <w:rFonts w:hint="eastAsia"/>
          <w:sz w:val="32"/>
          <w:szCs w:val="32"/>
        </w:rPr>
        <w:t>年本年收入合计</w:t>
      </w:r>
      <w:r>
        <w:rPr>
          <w:rStyle w:val="22"/>
          <w:rFonts w:hint="eastAsia" w:eastAsia="仿宋_GB2312"/>
          <w:sz w:val="32"/>
          <w:szCs w:val="32"/>
          <w:lang w:val="en-US" w:eastAsia="zh-CN"/>
        </w:rPr>
        <w:t>2148.6</w:t>
      </w:r>
      <w:r>
        <w:rPr>
          <w:rStyle w:val="22"/>
          <w:rFonts w:hint="eastAsia"/>
          <w:sz w:val="32"/>
          <w:szCs w:val="32"/>
        </w:rPr>
        <w:t>万元，其中：一般公共预算财政拨款收入</w:t>
      </w:r>
      <w:r>
        <w:rPr>
          <w:rStyle w:val="22"/>
          <w:rFonts w:hint="eastAsia" w:eastAsia="仿宋_GB2312"/>
          <w:sz w:val="32"/>
          <w:szCs w:val="32"/>
          <w:lang w:val="en-US" w:eastAsia="zh-CN"/>
        </w:rPr>
        <w:t>2129.8</w:t>
      </w:r>
      <w:r>
        <w:rPr>
          <w:rStyle w:val="22"/>
          <w:rFonts w:hint="eastAsia"/>
          <w:sz w:val="32"/>
          <w:szCs w:val="32"/>
        </w:rPr>
        <w:t>万元，占</w:t>
      </w:r>
      <w:r>
        <w:rPr>
          <w:rStyle w:val="22"/>
          <w:rFonts w:hint="eastAsia"/>
          <w:sz w:val="32"/>
          <w:szCs w:val="32"/>
          <w:lang w:val="en-US" w:eastAsia="zh-CN"/>
        </w:rPr>
        <w:t>99.12</w:t>
      </w:r>
      <w:r>
        <w:rPr>
          <w:rStyle w:val="22"/>
          <w:sz w:val="32"/>
          <w:szCs w:val="32"/>
        </w:rPr>
        <w:t>%</w:t>
      </w:r>
      <w:r>
        <w:rPr>
          <w:rStyle w:val="22"/>
          <w:rFonts w:hint="eastAsia"/>
          <w:sz w:val="32"/>
          <w:szCs w:val="32"/>
        </w:rPr>
        <w:t>；政府性基金预算财政拨款收入</w:t>
      </w:r>
      <w:r>
        <w:rPr>
          <w:rStyle w:val="22"/>
          <w:rFonts w:hint="eastAsia" w:eastAsia="仿宋_GB2312"/>
          <w:sz w:val="32"/>
          <w:szCs w:val="32"/>
          <w:lang w:val="en-US" w:eastAsia="zh-CN"/>
        </w:rPr>
        <w:t>17.80</w:t>
      </w:r>
      <w:r>
        <w:rPr>
          <w:rStyle w:val="22"/>
          <w:rFonts w:hint="eastAsia"/>
          <w:sz w:val="32"/>
          <w:szCs w:val="32"/>
        </w:rPr>
        <w:t>万元，占</w:t>
      </w:r>
      <w:r>
        <w:rPr>
          <w:rStyle w:val="22"/>
          <w:rFonts w:hint="eastAsia"/>
          <w:sz w:val="32"/>
          <w:szCs w:val="32"/>
          <w:lang w:val="en-US" w:eastAsia="zh-CN"/>
        </w:rPr>
        <w:t>0.83</w:t>
      </w:r>
      <w:r>
        <w:rPr>
          <w:rStyle w:val="22"/>
          <w:sz w:val="32"/>
          <w:szCs w:val="32"/>
        </w:rPr>
        <w:t>%</w:t>
      </w:r>
      <w:r>
        <w:rPr>
          <w:rStyle w:val="22"/>
          <w:rFonts w:hint="eastAsia"/>
          <w:sz w:val="32"/>
          <w:szCs w:val="32"/>
        </w:rPr>
        <w:t>；</w:t>
      </w:r>
      <w:r>
        <w:rPr>
          <w:rStyle w:val="22"/>
          <w:rFonts w:hint="eastAsia"/>
          <w:sz w:val="32"/>
          <w:szCs w:val="32"/>
          <w:lang w:eastAsia="zh-CN"/>
        </w:rPr>
        <w:t>国有资本经营预算财政拨款收入</w:t>
      </w:r>
      <w:r>
        <w:rPr>
          <w:rStyle w:val="22"/>
          <w:rFonts w:hint="eastAsia"/>
          <w:sz w:val="32"/>
          <w:szCs w:val="32"/>
          <w:lang w:val="en-US" w:eastAsia="zh-CN"/>
        </w:rPr>
        <w:t>0</w:t>
      </w:r>
      <w:r>
        <w:rPr>
          <w:rStyle w:val="22"/>
          <w:rFonts w:hint="eastAsia"/>
          <w:sz w:val="32"/>
          <w:szCs w:val="32"/>
        </w:rPr>
        <w:t>万元，占</w:t>
      </w:r>
      <w:r>
        <w:rPr>
          <w:rStyle w:val="22"/>
          <w:rFonts w:hint="eastAsia"/>
          <w:sz w:val="32"/>
          <w:szCs w:val="32"/>
          <w:lang w:val="en-US" w:eastAsia="zh-CN"/>
        </w:rPr>
        <w:t>0</w:t>
      </w:r>
      <w:r>
        <w:rPr>
          <w:rStyle w:val="22"/>
          <w:sz w:val="32"/>
          <w:szCs w:val="32"/>
        </w:rPr>
        <w:t>%</w:t>
      </w:r>
      <w:r>
        <w:rPr>
          <w:rStyle w:val="22"/>
          <w:rFonts w:hint="eastAsia"/>
          <w:sz w:val="32"/>
          <w:szCs w:val="32"/>
        </w:rPr>
        <w:t>；上级补助收入</w:t>
      </w:r>
      <w:r>
        <w:rPr>
          <w:rStyle w:val="22"/>
          <w:rFonts w:hint="eastAsia"/>
          <w:sz w:val="32"/>
          <w:szCs w:val="32"/>
          <w:lang w:val="en-US" w:eastAsia="zh-CN"/>
        </w:rPr>
        <w:t>0</w:t>
      </w:r>
      <w:r>
        <w:rPr>
          <w:rStyle w:val="22"/>
          <w:rFonts w:hint="eastAsia"/>
          <w:sz w:val="32"/>
          <w:szCs w:val="32"/>
        </w:rPr>
        <w:t>万元，占</w:t>
      </w:r>
      <w:r>
        <w:rPr>
          <w:rStyle w:val="22"/>
          <w:rFonts w:hint="eastAsia"/>
          <w:sz w:val="32"/>
          <w:szCs w:val="32"/>
          <w:lang w:val="en-US" w:eastAsia="zh-CN"/>
        </w:rPr>
        <w:t>0</w:t>
      </w:r>
      <w:r>
        <w:rPr>
          <w:rStyle w:val="22"/>
          <w:sz w:val="32"/>
          <w:szCs w:val="32"/>
        </w:rPr>
        <w:t>%</w:t>
      </w:r>
      <w:r>
        <w:rPr>
          <w:rStyle w:val="22"/>
          <w:rFonts w:hint="eastAsia"/>
          <w:sz w:val="32"/>
          <w:szCs w:val="32"/>
        </w:rPr>
        <w:t>；事业收入</w:t>
      </w:r>
      <w:r>
        <w:rPr>
          <w:rStyle w:val="22"/>
          <w:rFonts w:hint="eastAsia"/>
          <w:sz w:val="32"/>
          <w:szCs w:val="32"/>
          <w:lang w:val="en-US" w:eastAsia="zh-CN"/>
        </w:rPr>
        <w:t>0</w:t>
      </w:r>
      <w:r>
        <w:rPr>
          <w:rStyle w:val="22"/>
          <w:rFonts w:hint="eastAsia"/>
          <w:sz w:val="32"/>
          <w:szCs w:val="32"/>
        </w:rPr>
        <w:t>万元，占</w:t>
      </w:r>
      <w:r>
        <w:rPr>
          <w:rStyle w:val="22"/>
          <w:rFonts w:hint="eastAsia"/>
          <w:sz w:val="32"/>
          <w:szCs w:val="32"/>
          <w:lang w:val="en-US" w:eastAsia="zh-CN"/>
        </w:rPr>
        <w:t>0</w:t>
      </w:r>
      <w:r>
        <w:rPr>
          <w:rStyle w:val="22"/>
          <w:sz w:val="32"/>
          <w:szCs w:val="32"/>
        </w:rPr>
        <w:t>%</w:t>
      </w:r>
      <w:r>
        <w:rPr>
          <w:rStyle w:val="22"/>
          <w:rFonts w:hint="eastAsia"/>
          <w:sz w:val="32"/>
          <w:szCs w:val="32"/>
        </w:rPr>
        <w:t>；经营收入</w:t>
      </w:r>
      <w:r>
        <w:rPr>
          <w:rStyle w:val="22"/>
          <w:rFonts w:hint="eastAsia"/>
          <w:sz w:val="32"/>
          <w:szCs w:val="32"/>
          <w:lang w:val="en-US" w:eastAsia="zh-CN"/>
        </w:rPr>
        <w:t>0</w:t>
      </w:r>
      <w:r>
        <w:rPr>
          <w:rStyle w:val="22"/>
          <w:rFonts w:hint="eastAsia"/>
          <w:sz w:val="32"/>
          <w:szCs w:val="32"/>
        </w:rPr>
        <w:t>万元，占</w:t>
      </w:r>
      <w:r>
        <w:rPr>
          <w:rStyle w:val="22"/>
          <w:rFonts w:hint="eastAsia"/>
          <w:sz w:val="32"/>
          <w:szCs w:val="32"/>
          <w:lang w:val="en-US" w:eastAsia="zh-CN"/>
        </w:rPr>
        <w:t>0</w:t>
      </w:r>
      <w:r>
        <w:rPr>
          <w:rStyle w:val="22"/>
          <w:sz w:val="32"/>
          <w:szCs w:val="32"/>
        </w:rPr>
        <w:t>%</w:t>
      </w:r>
      <w:r>
        <w:rPr>
          <w:rStyle w:val="22"/>
          <w:rFonts w:hint="eastAsia"/>
          <w:sz w:val="32"/>
          <w:szCs w:val="32"/>
        </w:rPr>
        <w:t>；附属单位上缴收入</w:t>
      </w:r>
      <w:r>
        <w:rPr>
          <w:rStyle w:val="22"/>
          <w:rFonts w:hint="eastAsia"/>
          <w:sz w:val="32"/>
          <w:szCs w:val="32"/>
          <w:lang w:val="en-US" w:eastAsia="zh-CN"/>
        </w:rPr>
        <w:t>0</w:t>
      </w:r>
      <w:r>
        <w:rPr>
          <w:rStyle w:val="22"/>
          <w:rFonts w:hint="eastAsia"/>
          <w:sz w:val="32"/>
          <w:szCs w:val="32"/>
        </w:rPr>
        <w:t>万元，占</w:t>
      </w:r>
      <w:r>
        <w:rPr>
          <w:rStyle w:val="22"/>
          <w:rFonts w:hint="eastAsia"/>
          <w:sz w:val="32"/>
          <w:szCs w:val="32"/>
          <w:lang w:val="en-US" w:eastAsia="zh-CN"/>
        </w:rPr>
        <w:t>0</w:t>
      </w:r>
      <w:r>
        <w:rPr>
          <w:rStyle w:val="22"/>
          <w:sz w:val="32"/>
          <w:szCs w:val="32"/>
        </w:rPr>
        <w:t>%</w:t>
      </w:r>
      <w:r>
        <w:rPr>
          <w:rStyle w:val="22"/>
          <w:rFonts w:hint="eastAsia"/>
          <w:sz w:val="32"/>
          <w:szCs w:val="32"/>
        </w:rPr>
        <w:t>；其他收入</w:t>
      </w:r>
      <w:r>
        <w:rPr>
          <w:rStyle w:val="22"/>
          <w:rFonts w:hint="eastAsia" w:eastAsia="仿宋_GB2312"/>
          <w:sz w:val="32"/>
          <w:szCs w:val="32"/>
          <w:lang w:val="en-US" w:eastAsia="zh-CN"/>
        </w:rPr>
        <w:t>1</w:t>
      </w:r>
      <w:r>
        <w:rPr>
          <w:rStyle w:val="22"/>
          <w:rFonts w:hint="eastAsia"/>
          <w:sz w:val="32"/>
          <w:szCs w:val="32"/>
        </w:rPr>
        <w:t>万元，占</w:t>
      </w:r>
      <w:r>
        <w:rPr>
          <w:rStyle w:val="22"/>
          <w:rFonts w:hint="eastAsia"/>
          <w:sz w:val="32"/>
          <w:szCs w:val="32"/>
          <w:lang w:val="en-US" w:eastAsia="zh-CN"/>
        </w:rPr>
        <w:t>0.05</w:t>
      </w:r>
      <w:r>
        <w:rPr>
          <w:rStyle w:val="22"/>
          <w:sz w:val="32"/>
          <w:szCs w:val="32"/>
        </w:rPr>
        <w:t>%</w:t>
      </w:r>
      <w:r>
        <w:rPr>
          <w:rStyle w:val="22"/>
          <w:rFonts w:hint="eastAsia"/>
          <w:sz w:val="32"/>
          <w:szCs w:val="32"/>
        </w:rPr>
        <w:t>。</w:t>
      </w:r>
    </w:p>
    <w:p>
      <w:pPr>
        <w:spacing w:line="60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r>
        <w:rPr>
          <w:rFonts w:hint="eastAsia" w:ascii="仿宋" w:hAnsi="仿宋" w:eastAsia="仿宋"/>
          <w:color w:val="auto"/>
          <w:sz w:val="32"/>
          <w:szCs w:val="32"/>
          <w:highlight w:val="none"/>
          <w:lang w:eastAsia="zh-CN"/>
        </w:rPr>
        <w:t>，单位：万元</w:t>
      </w:r>
      <w:r>
        <w:rPr>
          <w:rFonts w:hint="eastAsia" w:ascii="仿宋" w:hAnsi="仿宋" w:eastAsia="仿宋"/>
          <w:color w:val="auto"/>
          <w:sz w:val="32"/>
          <w:szCs w:val="32"/>
          <w:highlight w:val="none"/>
        </w:rPr>
        <w:t>）</w:t>
      </w:r>
      <w:bookmarkEnd w:id="36"/>
      <w:bookmarkEnd w:id="37"/>
      <w:bookmarkEnd w:id="38"/>
    </w:p>
    <w:p>
      <w:pPr>
        <w:pStyle w:val="12"/>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4471035" cy="3171825"/>
            <wp:effectExtent l="4445" t="4445" r="2032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numPr>
          <w:ilvl w:val="0"/>
          <w:numId w:val="3"/>
        </w:numPr>
        <w:bidi w:val="0"/>
        <w:outlineLvl w:val="1"/>
      </w:pPr>
      <w:bookmarkStart w:id="39" w:name="_Toc31216"/>
      <w:bookmarkStart w:id="40" w:name="_Toc15377207"/>
      <w:bookmarkStart w:id="41" w:name="_Toc15396605"/>
      <w:r>
        <w:rPr>
          <w:rFonts w:hint="eastAsia"/>
        </w:rPr>
        <w:t>支出决算情况说明</w:t>
      </w:r>
      <w:bookmarkEnd w:id="39"/>
      <w:bookmarkEnd w:id="40"/>
      <w:bookmarkEnd w:id="41"/>
    </w:p>
    <w:p>
      <w:pPr>
        <w:pStyle w:val="2"/>
        <w:bidi w:val="0"/>
        <w:ind w:firstLine="640" w:firstLineChars="200"/>
        <w:rPr>
          <w:rFonts w:hint="eastAsia"/>
          <w:sz w:val="32"/>
          <w:szCs w:val="28"/>
        </w:rPr>
      </w:pPr>
      <w:bookmarkStart w:id="42" w:name="_Toc5927"/>
      <w:r>
        <w:rPr>
          <w:sz w:val="32"/>
          <w:szCs w:val="28"/>
        </w:rPr>
        <w:t>20</w:t>
      </w:r>
      <w:r>
        <w:rPr>
          <w:rFonts w:hint="eastAsia"/>
          <w:sz w:val="32"/>
          <w:szCs w:val="28"/>
          <w:lang w:val="en-US" w:eastAsia="zh-CN"/>
        </w:rPr>
        <w:t>21</w:t>
      </w:r>
      <w:r>
        <w:rPr>
          <w:rFonts w:hint="eastAsia"/>
          <w:sz w:val="32"/>
          <w:szCs w:val="28"/>
        </w:rPr>
        <w:t>年本年支出合计</w:t>
      </w:r>
      <w:r>
        <w:rPr>
          <w:rFonts w:hint="eastAsia"/>
          <w:sz w:val="32"/>
          <w:szCs w:val="28"/>
          <w:lang w:val="en-US" w:eastAsia="zh-CN"/>
        </w:rPr>
        <w:t>2148.60</w:t>
      </w:r>
      <w:r>
        <w:rPr>
          <w:rFonts w:hint="eastAsia"/>
          <w:sz w:val="32"/>
          <w:szCs w:val="28"/>
        </w:rPr>
        <w:t>万元，其中：基本支出</w:t>
      </w:r>
      <w:r>
        <w:rPr>
          <w:rFonts w:hint="eastAsia"/>
          <w:sz w:val="32"/>
          <w:szCs w:val="28"/>
          <w:lang w:val="en-US" w:eastAsia="zh-CN"/>
        </w:rPr>
        <w:t>590.73</w:t>
      </w:r>
      <w:r>
        <w:rPr>
          <w:rFonts w:hint="eastAsia"/>
          <w:sz w:val="32"/>
          <w:szCs w:val="28"/>
        </w:rPr>
        <w:t>万元，占</w:t>
      </w:r>
      <w:r>
        <w:rPr>
          <w:rFonts w:hint="eastAsia"/>
          <w:sz w:val="32"/>
          <w:szCs w:val="28"/>
          <w:lang w:val="en-US" w:eastAsia="zh-CN"/>
        </w:rPr>
        <w:t>27.50</w:t>
      </w:r>
      <w:r>
        <w:rPr>
          <w:sz w:val="32"/>
          <w:szCs w:val="28"/>
        </w:rPr>
        <w:t>%</w:t>
      </w:r>
      <w:r>
        <w:rPr>
          <w:rFonts w:hint="eastAsia"/>
          <w:sz w:val="32"/>
          <w:szCs w:val="28"/>
        </w:rPr>
        <w:t>；项目支出</w:t>
      </w:r>
      <w:r>
        <w:rPr>
          <w:rFonts w:hint="eastAsia"/>
          <w:sz w:val="32"/>
          <w:szCs w:val="28"/>
          <w:lang w:val="en-US" w:eastAsia="zh-CN"/>
        </w:rPr>
        <w:t>1557.87</w:t>
      </w:r>
      <w:r>
        <w:rPr>
          <w:rFonts w:hint="eastAsia"/>
          <w:sz w:val="32"/>
          <w:szCs w:val="28"/>
        </w:rPr>
        <w:t>万元，占</w:t>
      </w:r>
      <w:r>
        <w:rPr>
          <w:rFonts w:hint="eastAsia"/>
          <w:sz w:val="32"/>
          <w:szCs w:val="28"/>
          <w:lang w:val="en-US" w:eastAsia="zh-CN"/>
        </w:rPr>
        <w:t>72.50</w:t>
      </w:r>
      <w:r>
        <w:rPr>
          <w:sz w:val="32"/>
          <w:szCs w:val="28"/>
        </w:rPr>
        <w:t>%</w:t>
      </w:r>
      <w:r>
        <w:rPr>
          <w:rFonts w:hint="eastAsia"/>
          <w:sz w:val="32"/>
          <w:szCs w:val="28"/>
        </w:rPr>
        <w:t>；上缴上级支出</w:t>
      </w:r>
      <w:r>
        <w:rPr>
          <w:rFonts w:hint="eastAsia"/>
          <w:sz w:val="32"/>
          <w:szCs w:val="28"/>
          <w:lang w:val="en-US" w:eastAsia="zh-CN"/>
        </w:rPr>
        <w:t>0</w:t>
      </w:r>
      <w:r>
        <w:rPr>
          <w:rFonts w:hint="eastAsia"/>
          <w:sz w:val="32"/>
          <w:szCs w:val="28"/>
        </w:rPr>
        <w:t>万元，占</w:t>
      </w:r>
      <w:r>
        <w:rPr>
          <w:rFonts w:hint="eastAsia"/>
          <w:sz w:val="32"/>
          <w:szCs w:val="28"/>
          <w:lang w:val="en-US" w:eastAsia="zh-CN"/>
        </w:rPr>
        <w:t>0</w:t>
      </w:r>
      <w:r>
        <w:rPr>
          <w:sz w:val="32"/>
          <w:szCs w:val="28"/>
        </w:rPr>
        <w:t>%</w:t>
      </w:r>
      <w:r>
        <w:rPr>
          <w:rFonts w:hint="eastAsia"/>
          <w:sz w:val="32"/>
          <w:szCs w:val="28"/>
        </w:rPr>
        <w:t>；经营支出</w:t>
      </w:r>
      <w:r>
        <w:rPr>
          <w:rFonts w:hint="eastAsia"/>
          <w:sz w:val="32"/>
          <w:szCs w:val="28"/>
          <w:lang w:val="en-US" w:eastAsia="zh-CN"/>
        </w:rPr>
        <w:t>0</w:t>
      </w:r>
      <w:r>
        <w:rPr>
          <w:rFonts w:hint="eastAsia"/>
          <w:sz w:val="32"/>
          <w:szCs w:val="28"/>
        </w:rPr>
        <w:t>万元，占</w:t>
      </w:r>
      <w:r>
        <w:rPr>
          <w:rFonts w:hint="eastAsia"/>
          <w:sz w:val="32"/>
          <w:szCs w:val="28"/>
          <w:lang w:val="en-US" w:eastAsia="zh-CN"/>
        </w:rPr>
        <w:t>0</w:t>
      </w:r>
      <w:r>
        <w:rPr>
          <w:sz w:val="32"/>
          <w:szCs w:val="28"/>
        </w:rPr>
        <w:t>%</w:t>
      </w:r>
      <w:r>
        <w:rPr>
          <w:rFonts w:hint="eastAsia"/>
          <w:sz w:val="32"/>
          <w:szCs w:val="28"/>
        </w:rPr>
        <w:t>；对附属单位补助支出</w:t>
      </w:r>
      <w:r>
        <w:rPr>
          <w:rFonts w:hint="eastAsia"/>
          <w:sz w:val="32"/>
          <w:szCs w:val="28"/>
          <w:lang w:val="en-US" w:eastAsia="zh-CN"/>
        </w:rPr>
        <w:t>0</w:t>
      </w:r>
      <w:r>
        <w:rPr>
          <w:rFonts w:hint="eastAsia"/>
          <w:sz w:val="32"/>
          <w:szCs w:val="28"/>
        </w:rPr>
        <w:t>万元，占</w:t>
      </w:r>
      <w:r>
        <w:rPr>
          <w:rFonts w:hint="eastAsia"/>
          <w:sz w:val="32"/>
          <w:szCs w:val="28"/>
          <w:lang w:val="en-US" w:eastAsia="zh-CN"/>
        </w:rPr>
        <w:t>0</w:t>
      </w:r>
      <w:r>
        <w:rPr>
          <w:sz w:val="32"/>
          <w:szCs w:val="28"/>
        </w:rPr>
        <w:t>%</w:t>
      </w:r>
      <w:r>
        <w:rPr>
          <w:rFonts w:hint="eastAsia"/>
          <w:sz w:val="32"/>
          <w:szCs w:val="28"/>
        </w:rPr>
        <w:t>。</w:t>
      </w:r>
    </w:p>
    <w:p>
      <w:pPr>
        <w:pStyle w:val="2"/>
        <w:bidi w:val="0"/>
        <w:ind w:firstLine="640" w:firstLineChars="200"/>
        <w:rPr>
          <w:rFonts w:hint="eastAsia"/>
          <w:sz w:val="32"/>
          <w:szCs w:val="28"/>
        </w:rPr>
      </w:pPr>
      <w:r>
        <w:rPr>
          <w:rFonts w:hint="eastAsia"/>
          <w:sz w:val="32"/>
          <w:szCs w:val="28"/>
        </w:rPr>
        <w:t>（图3：支出决算结构图</w:t>
      </w:r>
      <w:r>
        <w:rPr>
          <w:rFonts w:hint="eastAsia"/>
          <w:sz w:val="32"/>
          <w:szCs w:val="28"/>
          <w:lang w:eastAsia="zh-CN"/>
        </w:rPr>
        <w:t>，单位：万元</w:t>
      </w:r>
      <w:r>
        <w:rPr>
          <w:rFonts w:hint="eastAsia"/>
          <w:sz w:val="32"/>
          <w:szCs w:val="28"/>
        </w:rPr>
        <w:t>）</w:t>
      </w:r>
      <w:bookmarkEnd w:id="42"/>
    </w:p>
    <w:p>
      <w:pPr>
        <w:pStyle w:val="12"/>
        <w:outlineLvl w:val="9"/>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651375" cy="3228975"/>
            <wp:effectExtent l="4445" t="4445" r="1143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43" w:name="_Toc3603"/>
      <w:bookmarkStart w:id="44" w:name="_Toc15396606"/>
      <w:bookmarkStart w:id="45" w:name="_Toc15377208"/>
      <w:r>
        <w:rPr>
          <w:rFonts w:hint="eastAsia" w:ascii="黑体" w:hAnsi="黑体" w:eastAsia="黑体"/>
          <w:color w:val="auto"/>
          <w:sz w:val="32"/>
          <w:szCs w:val="32"/>
          <w:highlight w:val="none"/>
        </w:rPr>
        <w:t>四、</w:t>
      </w:r>
      <w:r>
        <w:rPr>
          <w:rStyle w:val="29"/>
          <w:rFonts w:hint="eastAsia"/>
        </w:rPr>
        <w:t>财政拨款收入支出决算总体情况说明</w:t>
      </w:r>
      <w:bookmarkEnd w:id="43"/>
      <w:bookmarkEnd w:id="44"/>
      <w:bookmarkEnd w:id="4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4259.6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w:t>
      </w:r>
      <w:r>
        <w:rPr>
          <w:rFonts w:hint="eastAsia" w:ascii="仿宋" w:hAnsi="仿宋" w:eastAsia="仿宋"/>
          <w:color w:val="auto"/>
          <w:sz w:val="32"/>
          <w:szCs w:val="32"/>
          <w:highlight w:val="none"/>
          <w:lang w:eastAsia="zh-CN"/>
        </w:rPr>
        <w:t>各增加</w:t>
      </w:r>
      <w:r>
        <w:rPr>
          <w:rFonts w:hint="eastAsia" w:ascii="仿宋" w:hAnsi="仿宋" w:eastAsia="仿宋"/>
          <w:color w:val="auto"/>
          <w:sz w:val="32"/>
          <w:szCs w:val="32"/>
          <w:highlight w:val="none"/>
          <w:lang w:val="en-US" w:eastAsia="zh-CN"/>
        </w:rPr>
        <w:t>259.05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是人员增加。</w:t>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r>
        <w:rPr>
          <w:rFonts w:hint="eastAsia" w:ascii="仿宋" w:hAnsi="仿宋" w:eastAsia="仿宋"/>
          <w:color w:val="auto"/>
          <w:sz w:val="32"/>
          <w:szCs w:val="32"/>
          <w:highlight w:val="none"/>
          <w:lang w:eastAsia="zh-CN"/>
        </w:rPr>
        <w:t>，单位：万元</w:t>
      </w:r>
      <w:r>
        <w:rPr>
          <w:rFonts w:hint="eastAsia" w:ascii="仿宋" w:hAnsi="仿宋" w:eastAsia="仿宋"/>
          <w:color w:val="auto"/>
          <w:sz w:val="32"/>
          <w:szCs w:val="32"/>
          <w:highlight w:val="none"/>
        </w:rPr>
        <w:t>）</w:t>
      </w:r>
    </w:p>
    <w:p>
      <w:pPr>
        <w:pStyle w:val="12"/>
        <w:outlineLvl w:val="9"/>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4565650" cy="2486660"/>
            <wp:effectExtent l="4445" t="4445" r="20955" b="234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3" w:firstLineChars="200"/>
        <w:outlineLvl w:val="1"/>
        <w:rPr>
          <w:rStyle w:val="26"/>
          <w:rFonts w:ascii="黑体" w:hAnsi="黑体" w:eastAsia="黑体"/>
          <w:b w:val="0"/>
          <w:color w:val="auto"/>
          <w:highlight w:val="none"/>
        </w:rPr>
      </w:pPr>
      <w:bookmarkStart w:id="46" w:name="_Toc15377209"/>
      <w:bookmarkStart w:id="47" w:name="_Toc15396607"/>
      <w:bookmarkStart w:id="48" w:name="_Toc11175"/>
      <w:r>
        <w:rPr>
          <w:rStyle w:val="29"/>
          <w:rFonts w:hint="eastAsia"/>
        </w:rPr>
        <w:t>五、一般公共预算财政拨款支出决算情况说明</w:t>
      </w:r>
      <w:bookmarkEnd w:id="46"/>
      <w:bookmarkEnd w:id="47"/>
      <w:bookmarkEnd w:id="48"/>
    </w:p>
    <w:p>
      <w:pPr>
        <w:spacing w:line="600" w:lineRule="exact"/>
        <w:ind w:firstLine="643" w:firstLineChars="200"/>
        <w:outlineLvl w:val="2"/>
        <w:rPr>
          <w:rFonts w:ascii="仿宋" w:hAnsi="仿宋" w:eastAsia="仿宋"/>
          <w:b/>
          <w:color w:val="auto"/>
          <w:sz w:val="32"/>
          <w:szCs w:val="32"/>
          <w:highlight w:val="none"/>
        </w:rPr>
      </w:pPr>
      <w:bookmarkStart w:id="49" w:name="_Toc15377210"/>
      <w:r>
        <w:rPr>
          <w:rFonts w:hint="eastAsia" w:ascii="仿宋" w:hAnsi="仿宋" w:eastAsia="仿宋"/>
          <w:b/>
          <w:color w:val="auto"/>
          <w:sz w:val="32"/>
          <w:szCs w:val="32"/>
          <w:highlight w:val="none"/>
        </w:rPr>
        <w:t>（一）一般公共预算财政拨款支出决算总体情况</w:t>
      </w:r>
      <w:bookmarkEnd w:id="49"/>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2129.8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99.12</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244.3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人员增加。</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r>
        <w:rPr>
          <w:rFonts w:hint="eastAsia" w:ascii="仿宋" w:hAnsi="仿宋" w:eastAsia="仿宋"/>
          <w:color w:val="auto"/>
          <w:sz w:val="32"/>
          <w:szCs w:val="32"/>
          <w:highlight w:val="none"/>
          <w:lang w:eastAsia="zh-CN"/>
        </w:rPr>
        <w:t>，单位：万元</w:t>
      </w:r>
      <w:r>
        <w:rPr>
          <w:rFonts w:hint="eastAsia" w:ascii="仿宋" w:hAnsi="仿宋" w:eastAsia="仿宋"/>
          <w:color w:val="auto"/>
          <w:sz w:val="32"/>
          <w:szCs w:val="32"/>
          <w:highlight w:val="none"/>
        </w:rPr>
        <w:t>）</w:t>
      </w:r>
    </w:p>
    <w:p>
      <w:pPr>
        <w:pStyle w:val="12"/>
        <w:outlineLvl w:val="9"/>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477385" cy="2456180"/>
            <wp:effectExtent l="4445" t="4445" r="13970" b="15875"/>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50" w:name="_Toc15377211"/>
      <w:r>
        <w:rPr>
          <w:rFonts w:hint="eastAsia" w:ascii="仿宋" w:hAnsi="仿宋" w:eastAsia="仿宋"/>
          <w:b/>
          <w:color w:val="auto"/>
          <w:sz w:val="32"/>
          <w:szCs w:val="32"/>
          <w:highlight w:val="none"/>
        </w:rPr>
        <w:t>（二）一般公共预算财政拨款支出决算结构情况</w:t>
      </w:r>
      <w:bookmarkEnd w:id="50"/>
    </w:p>
    <w:p>
      <w:pPr>
        <w:spacing w:line="600" w:lineRule="exact"/>
        <w:ind w:firstLine="64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2129.8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431.08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10.86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0.05</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84.71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26.71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农林水支出</w:t>
      </w:r>
      <w:r>
        <w:rPr>
          <w:rFonts w:hint="eastAsia" w:ascii="仿宋" w:hAnsi="仿宋" w:eastAsia="仿宋"/>
          <w:color w:val="auto"/>
          <w:sz w:val="32"/>
          <w:szCs w:val="32"/>
          <w:highlight w:val="none"/>
          <w:lang w:val="en-US" w:eastAsia="zh-CN"/>
        </w:rPr>
        <w:t>1257.32万元，占59.03%；</w:t>
      </w:r>
      <w:r>
        <w:rPr>
          <w:rFonts w:hint="eastAsia" w:ascii="仿宋" w:hAnsi="仿宋" w:eastAsia="仿宋"/>
          <w:b/>
          <w:bCs/>
          <w:color w:val="auto"/>
          <w:sz w:val="32"/>
          <w:szCs w:val="32"/>
          <w:highlight w:val="none"/>
          <w:lang w:val="en-US" w:eastAsia="zh-CN"/>
        </w:rPr>
        <w:t>交通</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6.26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0.029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lang w:val="en-US" w:eastAsia="zh-CN"/>
        </w:rPr>
        <w:t>住房保障支出312.85</w:t>
      </w:r>
      <w:r>
        <w:rPr>
          <w:rFonts w:hint="eastAsia" w:ascii="仿宋" w:hAnsi="仿宋" w:eastAsia="仿宋"/>
          <w:color w:val="auto"/>
          <w:sz w:val="32"/>
          <w:szCs w:val="32"/>
          <w:highlight w:val="none"/>
          <w:lang w:val="en-US" w:eastAsia="zh-CN"/>
        </w:rPr>
        <w:t>万元，占14.68%.</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r>
        <w:rPr>
          <w:rFonts w:hint="eastAsia" w:ascii="仿宋" w:hAnsi="仿宋" w:eastAsia="仿宋"/>
          <w:color w:val="auto"/>
          <w:sz w:val="32"/>
          <w:szCs w:val="32"/>
          <w:highlight w:val="none"/>
          <w:lang w:eastAsia="zh-CN"/>
        </w:rPr>
        <w:t>，单位：万元</w:t>
      </w:r>
      <w:r>
        <w:rPr>
          <w:rFonts w:hint="eastAsia" w:ascii="仿宋" w:hAnsi="仿宋" w:eastAsia="仿宋"/>
          <w:color w:val="auto"/>
          <w:sz w:val="32"/>
          <w:szCs w:val="32"/>
          <w:highlight w:val="none"/>
        </w:rPr>
        <w:t>）</w:t>
      </w:r>
    </w:p>
    <w:p>
      <w:pPr>
        <w:pStyle w:val="12"/>
        <w:outlineLvl w:val="9"/>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hint="eastAsia" w:ascii="仿宋" w:hAnsi="仿宋" w:eastAsia="仿宋"/>
          <w:b/>
          <w:color w:val="auto"/>
          <w:sz w:val="32"/>
          <w:szCs w:val="32"/>
          <w:highlight w:val="none"/>
          <w:lang w:eastAsia="zh-CN"/>
        </w:rPr>
      </w:pPr>
      <w:bookmarkStart w:id="51" w:name="_Toc15377212"/>
      <w:r>
        <w:rPr>
          <w:rFonts w:hint="eastAsia" w:ascii="仿宋" w:hAnsi="仿宋" w:eastAsia="仿宋"/>
          <w:b/>
          <w:color w:val="auto"/>
          <w:sz w:val="32"/>
          <w:szCs w:val="32"/>
          <w:highlight w:val="none"/>
        </w:rPr>
        <w:t>（三）一般公共预算财政拨款支出决算具体情况</w:t>
      </w:r>
      <w:bookmarkEnd w:id="51"/>
    </w:p>
    <w:p>
      <w:pPr>
        <w:spacing w:line="600" w:lineRule="exact"/>
        <w:ind w:firstLine="643" w:firstLineChars="200"/>
        <w:outlineLvl w:val="1"/>
        <w:rPr>
          <w:rFonts w:ascii="仿宋" w:hAnsi="仿宋" w:eastAsia="仿宋"/>
          <w:color w:val="auto"/>
          <w:sz w:val="32"/>
          <w:szCs w:val="32"/>
          <w:highlight w:val="none"/>
        </w:rPr>
      </w:pPr>
      <w:bookmarkStart w:id="52" w:name="_Toc15378460"/>
      <w:bookmarkStart w:id="53" w:name="_Toc15377213"/>
      <w:bookmarkStart w:id="54" w:name="_Toc15377444"/>
      <w:bookmarkStart w:id="55" w:name="_Toc20678"/>
      <w:bookmarkStart w:id="56" w:name="_Toc10100"/>
      <w:bookmarkStart w:id="57" w:name="_Toc2762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2129.8</w:t>
      </w:r>
      <w:r>
        <w:rPr>
          <w:rFonts w:hint="eastAsia" w:ascii="仿宋" w:hAnsi="仿宋" w:eastAsia="仿宋"/>
          <w:b/>
          <w:color w:val="auto"/>
          <w:sz w:val="32"/>
          <w:szCs w:val="32"/>
          <w:highlight w:val="none"/>
          <w:lang w:val="en-US" w:eastAsia="zh-CN"/>
        </w:rPr>
        <w:t>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52"/>
      <w:bookmarkEnd w:id="53"/>
      <w:bookmarkEnd w:id="54"/>
      <w:bookmarkEnd w:id="55"/>
      <w:bookmarkEnd w:id="56"/>
      <w:bookmarkEnd w:id="57"/>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一般公共服务（类）政府办公厅（室）及相关机构事务（款）行政运行（项）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15.60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一般公共服务（类）政府办公厅（室）及相关机构事务（款）一般行政管理事务（项）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15.46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auto"/>
          <w:sz w:val="32"/>
          <w:szCs w:val="32"/>
          <w:highlight w:val="none"/>
        </w:rPr>
        <w:t>一般公共服务（类）政府办公厅（室）及相关机构事务（款）信访事务（项）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380.13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hint="eastAsia" w:ascii="仿宋" w:hAnsi="仿宋" w:eastAsia="仿宋"/>
          <w:bCs/>
          <w:color w:val="auto"/>
          <w:sz w:val="32"/>
          <w:szCs w:val="32"/>
          <w:highlight w:val="none"/>
        </w:rPr>
        <w:t>一般公共服务（类）政府办公厅（室）及相关机构事务（款）事业运行（项）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19.89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4"/>
        </w:numPr>
        <w:spacing w:line="600" w:lineRule="exact"/>
        <w:ind w:firstLine="643" w:firstLineChars="200"/>
        <w:rPr>
          <w:rStyle w:val="14"/>
          <w:rFonts w:hint="eastAsia" w:ascii="仿宋" w:hAnsi="仿宋" w:eastAsia="仿宋"/>
          <w:b w:val="0"/>
          <w:bCs/>
          <w:color w:val="auto"/>
          <w:sz w:val="32"/>
          <w:szCs w:val="32"/>
          <w:highlight w:val="none"/>
          <w:lang w:eastAsia="zh-CN"/>
        </w:rPr>
      </w:pPr>
      <w:r>
        <w:rPr>
          <w:rStyle w:val="14"/>
          <w:rFonts w:hint="eastAsia" w:ascii="仿宋" w:hAnsi="仿宋" w:eastAsia="仿宋"/>
          <w:bCs/>
          <w:color w:val="auto"/>
          <w:sz w:val="32"/>
          <w:szCs w:val="32"/>
          <w:highlight w:val="none"/>
        </w:rPr>
        <w:t>文化旅游体育与传媒（类）文化和旅游（款）其他文化和旅游支出（项）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10.86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p>
    <w:p>
      <w:pPr>
        <w:numPr>
          <w:ilvl w:val="0"/>
          <w:numId w:val="4"/>
        </w:numPr>
        <w:spacing w:line="600" w:lineRule="exact"/>
        <w:ind w:left="0" w:leftChars="0"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社会保障和就业（类）行政事业单位养老支出（款）机关事业单位基本养老保险缴费支出（项）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41.13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numId w:val="0"/>
        </w:numPr>
        <w:spacing w:line="600" w:lineRule="exact"/>
        <w:ind w:left="0" w:leftChars="0" w:firstLine="643" w:firstLineChars="200"/>
        <w:rPr>
          <w:rFonts w:hint="eastAsia"/>
        </w:rPr>
      </w:pPr>
      <w:r>
        <w:rPr>
          <w:rStyle w:val="14"/>
          <w:rFonts w:hint="eastAsia" w:ascii="仿宋" w:hAnsi="仿宋" w:eastAsia="仿宋"/>
          <w:bCs/>
          <w:color w:val="auto"/>
          <w:sz w:val="32"/>
          <w:szCs w:val="32"/>
          <w:highlight w:val="none"/>
          <w:lang w:val="en-US" w:eastAsia="zh-CN"/>
        </w:rPr>
        <w:t>7.</w:t>
      </w:r>
      <w:r>
        <w:rPr>
          <w:rStyle w:val="14"/>
          <w:rFonts w:hint="eastAsia" w:ascii="仿宋" w:hAnsi="仿宋" w:eastAsia="仿宋"/>
          <w:bCs/>
          <w:color w:val="auto"/>
          <w:sz w:val="32"/>
          <w:szCs w:val="32"/>
          <w:highlight w:val="none"/>
        </w:rPr>
        <w:t>社会保障和就业（类）行政事业</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人力资源和社会保障管理事务</w:t>
      </w:r>
      <w:r>
        <w:rPr>
          <w:rStyle w:val="14"/>
          <w:rFonts w:hint="eastAsia" w:ascii="仿宋" w:hAnsi="仿宋" w:eastAsia="仿宋"/>
          <w:bCs/>
          <w:color w:val="auto"/>
          <w:sz w:val="32"/>
          <w:szCs w:val="32"/>
          <w:highlight w:val="none"/>
        </w:rPr>
        <w:t>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7.28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12"/>
        <w:ind w:firstLine="642"/>
        <w:jc w:val="both"/>
        <w:rPr>
          <w:rStyle w:val="14"/>
          <w:rFonts w:hint="eastAsia" w:ascii="仿宋" w:hAnsi="仿宋" w:eastAsia="仿宋"/>
          <w:b w:val="0"/>
          <w:bCs/>
          <w:color w:val="auto"/>
          <w:sz w:val="32"/>
          <w:szCs w:val="32"/>
          <w:highlight w:val="none"/>
        </w:rPr>
      </w:pPr>
      <w:bookmarkStart w:id="58" w:name="_Toc25880"/>
      <w:bookmarkStart w:id="59" w:name="_Toc19498"/>
      <w:bookmarkStart w:id="60" w:name="_Toc30673"/>
      <w:r>
        <w:rPr>
          <w:rStyle w:val="14"/>
          <w:rFonts w:hint="eastAsia" w:ascii="仿宋" w:hAnsi="仿宋" w:eastAsia="仿宋" w:cstheme="minorBidi"/>
          <w:bCs/>
          <w:color w:val="auto"/>
          <w:kern w:val="2"/>
          <w:sz w:val="32"/>
          <w:szCs w:val="32"/>
          <w:highlight w:val="none"/>
          <w:lang w:val="en-US" w:eastAsia="zh-CN" w:bidi="ar-SA"/>
        </w:rPr>
        <w:t>8.社会保障和就业（类）就业补助（款）机关公益性岗位补贴（项）:</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16.8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bookmarkEnd w:id="58"/>
      <w:bookmarkEnd w:id="59"/>
      <w:bookmarkEnd w:id="60"/>
    </w:p>
    <w:p>
      <w:pPr>
        <w:spacing w:line="600" w:lineRule="exact"/>
        <w:ind w:firstLine="643" w:firstLineChars="200"/>
      </w:pPr>
      <w:r>
        <w:rPr>
          <w:rStyle w:val="14"/>
          <w:rFonts w:hint="eastAsia" w:ascii="仿宋" w:hAnsi="仿宋" w:eastAsia="仿宋"/>
          <w:bCs/>
          <w:color w:val="auto"/>
          <w:sz w:val="32"/>
          <w:szCs w:val="32"/>
          <w:highlight w:val="none"/>
          <w:lang w:val="en-US" w:eastAsia="zh-CN"/>
        </w:rPr>
        <w:t>9.</w:t>
      </w:r>
      <w:r>
        <w:rPr>
          <w:rStyle w:val="14"/>
          <w:rFonts w:hint="eastAsia" w:ascii="仿宋" w:hAnsi="仿宋" w:eastAsia="仿宋"/>
          <w:bCs/>
          <w:color w:val="auto"/>
          <w:sz w:val="32"/>
          <w:szCs w:val="32"/>
          <w:highlight w:val="none"/>
        </w:rPr>
        <w:t>社会保障和就业（类）就业补助（款）其他就业补助支出（项）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19.50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10.</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（类）行政事业单位医疗（款）行政单位医疗（项）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13.94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11.</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（类）行政事业单位医疗（款）事业单位医疗（项）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10.12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12.</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（类）行政事业单位医疗（款）公务员医疗补助（项）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bCs/>
          <w:color w:val="auto"/>
          <w:sz w:val="32"/>
          <w:szCs w:val="32"/>
          <w:highlight w:val="none"/>
          <w:lang w:val="en-US" w:eastAsia="zh-CN"/>
        </w:rPr>
        <w:t>13.农林水支出（类）农业农村（款）事业运行（项）:</w:t>
      </w:r>
      <w:r>
        <w:rPr>
          <w:rFonts w:hint="eastAsia" w:ascii="仿宋" w:hAnsi="仿宋" w:eastAsia="仿宋" w:cs="Times New Roman"/>
          <w:b w:val="0"/>
          <w:bCs w:val="0"/>
          <w:color w:val="auto"/>
          <w:sz w:val="32"/>
          <w:szCs w:val="32"/>
          <w:highlight w:val="none"/>
          <w:lang w:val="en-US" w:eastAsia="zh-CN"/>
        </w:rPr>
        <w:t>支出决算为106.18万元，完成预算100%。</w:t>
      </w:r>
    </w:p>
    <w:p>
      <w:pPr>
        <w:numPr>
          <w:ilvl w:val="0"/>
          <w:numId w:val="0"/>
        </w:numPr>
        <w:spacing w:line="600" w:lineRule="exact"/>
        <w:ind w:firstLine="643" w:firstLineChars="200"/>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bCs/>
          <w:color w:val="auto"/>
          <w:sz w:val="32"/>
          <w:szCs w:val="32"/>
          <w:highlight w:val="none"/>
          <w:lang w:val="en-US" w:eastAsia="zh-CN"/>
        </w:rPr>
        <w:t>14.林水支出（类）扶贫（款）农村基础设施建设（项）:</w:t>
      </w:r>
      <w:r>
        <w:rPr>
          <w:rFonts w:hint="eastAsia" w:ascii="仿宋" w:hAnsi="仿宋" w:eastAsia="仿宋" w:cs="Times New Roman"/>
          <w:b w:val="0"/>
          <w:bCs w:val="0"/>
          <w:color w:val="auto"/>
          <w:sz w:val="32"/>
          <w:szCs w:val="32"/>
          <w:highlight w:val="none"/>
          <w:lang w:val="en-US" w:eastAsia="zh-CN"/>
        </w:rPr>
        <w:t>支出决算为350.50万元，完成预算100%。</w:t>
      </w:r>
    </w:p>
    <w:p>
      <w:pPr>
        <w:numPr>
          <w:ilvl w:val="0"/>
          <w:numId w:val="0"/>
        </w:numPr>
        <w:spacing w:line="600" w:lineRule="exact"/>
        <w:ind w:firstLine="643" w:firstLineChars="200"/>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bCs/>
          <w:color w:val="auto"/>
          <w:sz w:val="32"/>
          <w:szCs w:val="32"/>
          <w:highlight w:val="none"/>
          <w:lang w:val="en-US" w:eastAsia="zh-CN"/>
        </w:rPr>
        <w:t>15.农林水支出（类）扶贫（款）生产发展（项）:</w:t>
      </w:r>
      <w:r>
        <w:rPr>
          <w:rFonts w:hint="eastAsia" w:ascii="仿宋" w:hAnsi="仿宋" w:eastAsia="仿宋" w:cs="Times New Roman"/>
          <w:b w:val="0"/>
          <w:bCs w:val="0"/>
          <w:color w:val="auto"/>
          <w:sz w:val="32"/>
          <w:szCs w:val="32"/>
          <w:highlight w:val="none"/>
          <w:lang w:val="en-US" w:eastAsia="zh-CN"/>
        </w:rPr>
        <w:t>支出决算为27.22万元，完成预算100%。</w:t>
      </w:r>
    </w:p>
    <w:p>
      <w:pPr>
        <w:numPr>
          <w:ilvl w:val="0"/>
          <w:numId w:val="0"/>
        </w:numPr>
        <w:spacing w:line="600" w:lineRule="exact"/>
        <w:ind w:firstLine="643" w:firstLineChars="200"/>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bCs/>
          <w:color w:val="auto"/>
          <w:sz w:val="32"/>
          <w:szCs w:val="32"/>
          <w:highlight w:val="none"/>
          <w:lang w:val="en-US" w:eastAsia="zh-CN"/>
        </w:rPr>
        <w:t>16.农林水支出（类）扶贫（款）其他扶贫支出（项）:</w:t>
      </w:r>
      <w:r>
        <w:rPr>
          <w:rFonts w:hint="eastAsia" w:ascii="仿宋" w:hAnsi="仿宋" w:eastAsia="仿宋" w:cs="Times New Roman"/>
          <w:b w:val="0"/>
          <w:bCs w:val="0"/>
          <w:color w:val="auto"/>
          <w:sz w:val="32"/>
          <w:szCs w:val="32"/>
          <w:highlight w:val="none"/>
          <w:lang w:val="en-US" w:eastAsia="zh-CN"/>
        </w:rPr>
        <w:t>支出决算为139.65万元，完成预算100%。</w:t>
      </w:r>
    </w:p>
    <w:p>
      <w:pPr>
        <w:numPr>
          <w:ilvl w:val="0"/>
          <w:numId w:val="5"/>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rPr>
        <w:t>农林水支出</w:t>
      </w:r>
      <w:r>
        <w:rPr>
          <w:rStyle w:val="14"/>
          <w:rFonts w:hint="eastAsia" w:ascii="仿宋" w:hAnsi="仿宋" w:eastAsia="仿宋"/>
          <w:bCs/>
          <w:color w:val="auto"/>
          <w:sz w:val="32"/>
          <w:szCs w:val="32"/>
          <w:highlight w:val="none"/>
        </w:rPr>
        <w:t>（类）农村综合改革（款）对村民委员会和村党支部的补助（项）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153.77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8"/>
        <w:rPr>
          <w:rFonts w:hint="eastAsia"/>
        </w:rPr>
      </w:pPr>
    </w:p>
    <w:p>
      <w:pPr>
        <w:numPr>
          <w:ilvl w:val="0"/>
          <w:numId w:val="5"/>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rPr>
        <w:t>农林水支出</w:t>
      </w:r>
      <w:r>
        <w:rPr>
          <w:rStyle w:val="14"/>
          <w:rFonts w:hint="eastAsia" w:ascii="仿宋" w:hAnsi="仿宋" w:eastAsia="仿宋"/>
          <w:bCs/>
          <w:color w:val="auto"/>
          <w:sz w:val="32"/>
          <w:szCs w:val="32"/>
          <w:highlight w:val="none"/>
        </w:rPr>
        <w:t>（类）农村综合改革（款）对对村集体经济组织的补助（项）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5"/>
        </w:numPr>
        <w:spacing w:line="600" w:lineRule="exact"/>
        <w:ind w:firstLine="643" w:firstLineChars="200"/>
        <w:rPr>
          <w:rFonts w:hint="default"/>
          <w:lang w:val="en-US" w:eastAsia="zh-CN"/>
        </w:rPr>
      </w:pPr>
      <w:r>
        <w:rPr>
          <w:rFonts w:hint="eastAsia" w:ascii="仿宋" w:hAnsi="仿宋" w:eastAsia="仿宋" w:cs="Times New Roman"/>
          <w:b/>
          <w:bCs/>
          <w:color w:val="auto"/>
          <w:sz w:val="32"/>
          <w:szCs w:val="32"/>
          <w:highlight w:val="none"/>
          <w:lang w:val="en-US" w:eastAsia="zh-CN"/>
        </w:rPr>
        <w:t>农林水支出（类）农村综合改革（款）其他农村综合该支出（项）:</w:t>
      </w:r>
      <w:r>
        <w:rPr>
          <w:rFonts w:hint="eastAsia" w:ascii="仿宋" w:hAnsi="仿宋" w:eastAsia="仿宋" w:cs="Times New Roman"/>
          <w:b w:val="0"/>
          <w:bCs w:val="0"/>
          <w:color w:val="auto"/>
          <w:sz w:val="32"/>
          <w:szCs w:val="32"/>
          <w:highlight w:val="none"/>
          <w:lang w:val="en-US" w:eastAsia="zh-CN"/>
        </w:rPr>
        <w:t>支出决算为400万元，完成预算100%。</w:t>
      </w:r>
    </w:p>
    <w:p>
      <w:pPr>
        <w:numPr>
          <w:ilvl w:val="0"/>
          <w:numId w:val="5"/>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rPr>
        <w:t>住房保障支出</w:t>
      </w:r>
      <w:r>
        <w:rPr>
          <w:rStyle w:val="14"/>
          <w:rFonts w:hint="eastAsia" w:ascii="仿宋" w:hAnsi="仿宋" w:eastAsia="仿宋"/>
          <w:bCs/>
          <w:color w:val="auto"/>
          <w:sz w:val="32"/>
          <w:szCs w:val="32"/>
          <w:highlight w:val="none"/>
        </w:rPr>
        <w:t>（类）保障性安居工程支出（款）农村危房改造（项）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282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5"/>
        </w:num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rPr>
        <w:t>住房保障支出</w:t>
      </w:r>
      <w:r>
        <w:rPr>
          <w:rStyle w:val="14"/>
          <w:rFonts w:hint="eastAsia" w:ascii="仿宋" w:hAnsi="仿宋" w:eastAsia="仿宋"/>
          <w:bCs/>
          <w:color w:val="auto"/>
          <w:sz w:val="32"/>
          <w:szCs w:val="32"/>
          <w:highlight w:val="none"/>
        </w:rPr>
        <w:t>（类）住房改革支出（款）住房公积金（项）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30.85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5"/>
        </w:num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eastAsia="zh-CN"/>
        </w:rPr>
        <w:t>交通支出</w:t>
      </w:r>
      <w:r>
        <w:rPr>
          <w:rFonts w:hint="eastAsia" w:ascii="仿宋" w:hAnsi="仿宋" w:eastAsia="仿宋"/>
          <w:b/>
          <w:bCs/>
          <w:color w:val="auto"/>
          <w:sz w:val="32"/>
          <w:szCs w:val="32"/>
          <w:highlight w:val="none"/>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公路水路运输</w:t>
      </w:r>
      <w:r>
        <w:rPr>
          <w:rStyle w:val="14"/>
          <w:rFonts w:hint="eastAsia" w:ascii="仿宋" w:hAnsi="仿宋" w:eastAsia="仿宋"/>
          <w:bCs/>
          <w:color w:val="auto"/>
          <w:sz w:val="32"/>
          <w:szCs w:val="32"/>
          <w:highlight w:val="none"/>
        </w:rPr>
        <w:t>支出（款）</w:t>
      </w:r>
      <w:r>
        <w:rPr>
          <w:rStyle w:val="14"/>
          <w:rFonts w:hint="eastAsia" w:ascii="仿宋" w:hAnsi="仿宋" w:eastAsia="仿宋"/>
          <w:bCs/>
          <w:color w:val="auto"/>
          <w:sz w:val="32"/>
          <w:szCs w:val="32"/>
          <w:highlight w:val="none"/>
          <w:lang w:eastAsia="zh-CN"/>
        </w:rPr>
        <w:t>公路运输管理</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6.26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12"/>
        <w:rPr>
          <w:rFonts w:hint="default" w:eastAsia="仿宋"/>
          <w:lang w:val="en-US" w:eastAsia="zh-CN"/>
        </w:rPr>
      </w:pPr>
      <w:r>
        <w:rPr>
          <w:rFonts w:hint="eastAsia" w:eastAsia="仿宋"/>
          <w:lang w:val="en-US" w:eastAsia="zh-CN"/>
        </w:rPr>
        <w:t xml:space="preserve"> </w:t>
      </w:r>
    </w:p>
    <w:p>
      <w:pPr>
        <w:tabs>
          <w:tab w:val="right" w:pos="8306"/>
        </w:tabs>
        <w:spacing w:line="600" w:lineRule="exact"/>
        <w:ind w:firstLine="640"/>
        <w:outlineLvl w:val="1"/>
        <w:rPr>
          <w:rStyle w:val="26"/>
          <w:color w:val="auto"/>
          <w:highlight w:val="none"/>
        </w:rPr>
      </w:pPr>
      <w:bookmarkStart w:id="61" w:name="_Toc15396608"/>
      <w:bookmarkStart w:id="62" w:name="_Toc18732"/>
      <w:bookmarkStart w:id="63" w:name="_Toc15377214"/>
      <w:r>
        <w:rPr>
          <w:rStyle w:val="29"/>
          <w:rFonts w:hint="eastAsia"/>
        </w:rPr>
        <w:t>六、一般公共预算财政拨款基本支出决算情况说明</w:t>
      </w:r>
      <w:bookmarkEnd w:id="61"/>
      <w:bookmarkEnd w:id="62"/>
      <w:bookmarkEnd w:id="63"/>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590.73</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491.57</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万元，主要包括：基本工资、津贴补贴、奖金、绩效工资、机关事业单位基本养老保险缴费、职业年金缴费、其他社会保障缴费、其他工资福利支出、生活补助、住房公积金、其他对个人和家庭的补助支出等。</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98.16</w:t>
      </w:r>
      <w:r>
        <w:rPr>
          <w:rFonts w:hint="eastAsia" w:ascii="仿宋" w:hAnsi="仿宋" w:eastAsia="仿宋"/>
          <w:color w:val="auto"/>
          <w:sz w:val="32"/>
          <w:szCs w:val="32"/>
          <w:highlight w:val="none"/>
        </w:rPr>
        <w:t>万元，主要包括：办公费、印刷费、咨询费、手续费、水费、电费、邮电费、物业管理费、差旅费、因公出国（境）费用、维修（护）费、租赁费、会议费、培训费、公务接待费、劳务费、工会经费、福利费、公务用车运行维护费、其他交通费、其他商品和服务支出、办公设备购置等。</w:t>
      </w:r>
    </w:p>
    <w:p>
      <w:pPr>
        <w:pStyle w:val="5"/>
        <w:bidi w:val="0"/>
        <w:outlineLvl w:val="1"/>
      </w:pPr>
      <w:bookmarkStart w:id="64" w:name="_Toc15396609"/>
      <w:bookmarkStart w:id="65" w:name="_Toc15377215"/>
      <w:bookmarkStart w:id="66" w:name="_Toc3910"/>
      <w:r>
        <w:rPr>
          <w:rFonts w:hint="eastAsia"/>
        </w:rPr>
        <w:t>七、“三公”经费财政拨款支出决算情况说明</w:t>
      </w:r>
      <w:bookmarkEnd w:id="64"/>
      <w:bookmarkEnd w:id="65"/>
      <w:bookmarkEnd w:id="66"/>
    </w:p>
    <w:p>
      <w:pPr>
        <w:spacing w:line="600" w:lineRule="exact"/>
        <w:ind w:firstLine="640"/>
        <w:outlineLvl w:val="2"/>
        <w:rPr>
          <w:rFonts w:ascii="仿宋" w:hAnsi="仿宋" w:eastAsia="仿宋"/>
          <w:b/>
          <w:color w:val="auto"/>
          <w:sz w:val="32"/>
          <w:szCs w:val="32"/>
          <w:highlight w:val="none"/>
        </w:rPr>
      </w:pPr>
      <w:bookmarkStart w:id="67" w:name="_Toc15377216"/>
      <w:r>
        <w:rPr>
          <w:rFonts w:hint="eastAsia" w:ascii="仿宋" w:hAnsi="仿宋" w:eastAsia="仿宋"/>
          <w:b/>
          <w:color w:val="auto"/>
          <w:sz w:val="32"/>
          <w:szCs w:val="32"/>
          <w:highlight w:val="none"/>
        </w:rPr>
        <w:t>（一）“三公”经费财政拨款支出决算总体情况说明</w:t>
      </w:r>
      <w:bookmarkEnd w:id="6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8" w:name="_Toc15377217"/>
      <w:r>
        <w:rPr>
          <w:rFonts w:hint="eastAsia" w:ascii="仿宋" w:hAnsi="仿宋" w:eastAsia="仿宋"/>
          <w:b/>
          <w:color w:val="auto"/>
          <w:sz w:val="32"/>
          <w:szCs w:val="32"/>
          <w:highlight w:val="none"/>
        </w:rPr>
        <w:t>（二）“三公”经费财政拨款支出决算具体情况说明</w:t>
      </w:r>
      <w:bookmarkEnd w:id="68"/>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。具体情况如下：（图7：“三公”经费财政拨款支出结构</w:t>
      </w:r>
      <w:r>
        <w:rPr>
          <w:rFonts w:hint="eastAsia" w:ascii="仿宋" w:hAnsi="仿宋" w:eastAsia="仿宋"/>
          <w:color w:val="auto"/>
          <w:sz w:val="32"/>
          <w:szCs w:val="32"/>
          <w:highlight w:val="none"/>
          <w:lang w:val="en-US" w:eastAsia="zh-CN"/>
        </w:rPr>
        <w:t>,单位：万元</w:t>
      </w:r>
      <w:r>
        <w:rPr>
          <w:rFonts w:hint="eastAsia" w:ascii="仿宋" w:hAnsi="仿宋" w:eastAsia="仿宋"/>
          <w:color w:val="auto"/>
          <w:sz w:val="32"/>
          <w:szCs w:val="32"/>
          <w:highlight w:val="none"/>
        </w:rPr>
        <w:t>）</w:t>
      </w:r>
    </w:p>
    <w:p>
      <w:pPr>
        <w:pStyle w:val="12"/>
        <w:outlineLvl w:val="9"/>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3525520" cy="2023110"/>
            <wp:effectExtent l="4445" t="4445" r="13335" b="10795"/>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6"/>
        </w:num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p>
    <w:p>
      <w:pPr>
        <w:numPr>
          <w:ilvl w:val="0"/>
          <w:numId w:val="0"/>
        </w:numPr>
        <w:spacing w:line="600" w:lineRule="exact"/>
        <w:ind w:firstLine="643" w:firstLineChars="20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0" w:firstLineChars="200"/>
        <w:rPr>
          <w:rFonts w:hint="eastAsia" w:ascii="仿宋_GB2312" w:eastAsia="仿宋_GB2312"/>
          <w:b/>
          <w:color w:val="auto"/>
          <w:sz w:val="32"/>
          <w:szCs w:val="32"/>
          <w:highlight w:val="none"/>
          <w:lang w:val="en-US"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相关工作增多</w:t>
      </w:r>
      <w:r>
        <w:rPr>
          <w:rFonts w:hint="eastAsia" w:ascii="仿宋_GB2312" w:eastAsia="仿宋_GB2312"/>
          <w:color w:val="auto"/>
          <w:sz w:val="32"/>
          <w:szCs w:val="32"/>
          <w:highlight w:val="none"/>
        </w:rPr>
        <w:t>。其中：</w:t>
      </w:r>
    </w:p>
    <w:p>
      <w:pPr>
        <w:spacing w:line="60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2</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70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350</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bookmarkStart w:id="69" w:name="_Toc15396610"/>
      <w:bookmarkStart w:id="70" w:name="_Toc15377218"/>
    </w:p>
    <w:p>
      <w:pPr>
        <w:pStyle w:val="5"/>
        <w:bidi w:val="0"/>
        <w:outlineLvl w:val="1"/>
      </w:pPr>
      <w:bookmarkStart w:id="71" w:name="_Toc16078"/>
      <w:r>
        <w:rPr>
          <w:rFonts w:hint="eastAsia"/>
        </w:rPr>
        <w:t>八、政府性基金预算支出决算情况说明</w:t>
      </w:r>
      <w:bookmarkEnd w:id="69"/>
      <w:bookmarkEnd w:id="70"/>
      <w:bookmarkEnd w:id="7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17.80</w:t>
      </w:r>
      <w:r>
        <w:rPr>
          <w:rFonts w:hint="eastAsia" w:ascii="仿宋_GB2312" w:eastAsia="仿宋_GB2312"/>
          <w:color w:val="auto"/>
          <w:sz w:val="32"/>
          <w:szCs w:val="32"/>
          <w:highlight w:val="none"/>
        </w:rPr>
        <w:t>万元。</w:t>
      </w:r>
    </w:p>
    <w:p>
      <w:pPr>
        <w:pStyle w:val="5"/>
        <w:numPr>
          <w:ilvl w:val="0"/>
          <w:numId w:val="7"/>
        </w:numPr>
        <w:bidi w:val="0"/>
        <w:outlineLvl w:val="1"/>
      </w:pPr>
      <w:bookmarkStart w:id="72" w:name="_Toc15396611"/>
      <w:bookmarkStart w:id="73" w:name="_Toc23070"/>
      <w:bookmarkStart w:id="74" w:name="_Toc15377219"/>
      <w:r>
        <w:rPr>
          <w:rFonts w:hint="eastAsia"/>
        </w:rPr>
        <w:t>国有资本经营预算支出决算情况说明</w:t>
      </w:r>
      <w:bookmarkEnd w:id="72"/>
      <w:bookmarkEnd w:id="73"/>
      <w:bookmarkEnd w:id="74"/>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5"/>
        <w:numPr>
          <w:ilvl w:val="0"/>
          <w:numId w:val="7"/>
        </w:numPr>
        <w:bidi w:val="0"/>
        <w:outlineLvl w:val="1"/>
        <w:rPr>
          <w:rFonts w:hint="eastAsia"/>
        </w:rPr>
      </w:pPr>
      <w:bookmarkStart w:id="75" w:name="_Toc15396612"/>
      <w:bookmarkStart w:id="76" w:name="_Toc15377221"/>
      <w:bookmarkStart w:id="77" w:name="_Toc8437"/>
      <w:r>
        <w:rPr>
          <w:rFonts w:hint="eastAsia"/>
        </w:rPr>
        <w:t>其他重要事项的情况说明</w:t>
      </w:r>
      <w:bookmarkEnd w:id="75"/>
      <w:bookmarkEnd w:id="76"/>
      <w:bookmarkEnd w:id="77"/>
    </w:p>
    <w:p>
      <w:pPr>
        <w:spacing w:line="600" w:lineRule="exact"/>
        <w:ind w:firstLine="643" w:firstLineChars="200"/>
        <w:outlineLvl w:val="2"/>
        <w:rPr>
          <w:rFonts w:ascii="仿宋" w:hAnsi="仿宋" w:eastAsia="仿宋"/>
          <w:color w:val="auto"/>
          <w:sz w:val="32"/>
          <w:szCs w:val="32"/>
          <w:highlight w:val="none"/>
        </w:rPr>
      </w:pPr>
      <w:bookmarkStart w:id="78" w:name="_Toc15377222"/>
      <w:r>
        <w:rPr>
          <w:rFonts w:hint="eastAsia" w:ascii="仿宋" w:hAnsi="仿宋" w:eastAsia="仿宋"/>
          <w:b/>
          <w:color w:val="auto"/>
          <w:sz w:val="32"/>
          <w:szCs w:val="32"/>
          <w:highlight w:val="none"/>
        </w:rPr>
        <w:t>（一）机关运行经费支出情况</w:t>
      </w:r>
      <w:bookmarkEnd w:id="78"/>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79" w:name="_Toc15377223"/>
      <w:r>
        <w:rPr>
          <w:rFonts w:hint="eastAsia" w:ascii="仿宋_GB2312" w:eastAsia="仿宋_GB2312"/>
          <w:color w:val="auto"/>
          <w:sz w:val="32"/>
          <w:szCs w:val="32"/>
          <w:highlight w:val="none"/>
        </w:rPr>
        <w:t>2021年，</w:t>
      </w:r>
      <w:r>
        <w:rPr>
          <w:rFonts w:hint="eastAsia" w:ascii="仿宋_GB2312" w:eastAsia="仿宋_GB2312"/>
          <w:color w:val="auto"/>
          <w:sz w:val="32"/>
          <w:szCs w:val="32"/>
          <w:highlight w:val="none"/>
          <w:lang w:eastAsia="zh-CN"/>
        </w:rPr>
        <w:t>本单位</w:t>
      </w:r>
      <w:r>
        <w:rPr>
          <w:rFonts w:hint="eastAsia" w:ascii="仿宋_GB2312" w:eastAsia="仿宋_GB2312"/>
          <w:color w:val="auto"/>
          <w:sz w:val="32"/>
          <w:szCs w:val="32"/>
          <w:highlight w:val="none"/>
        </w:rPr>
        <w:t>部门决算为汇总录入，无法反应机关运行经费。</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7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空山镇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0" w:name="_Toc15377224"/>
      <w:r>
        <w:rPr>
          <w:rFonts w:hint="eastAsia" w:ascii="仿宋" w:hAnsi="仿宋" w:eastAsia="仿宋"/>
          <w:b/>
          <w:color w:val="auto"/>
          <w:sz w:val="32"/>
          <w:szCs w:val="32"/>
          <w:highlight w:val="none"/>
        </w:rPr>
        <w:t>（三）国有资产占有使用情况</w:t>
      </w:r>
      <w:bookmarkEnd w:id="80"/>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空山镇镇政府</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hAnsi="仿宋_GB2312" w:eastAsia="仿宋_GB2312" w:cs="仿宋_GB2312"/>
          <w:kern w:val="0"/>
          <w:sz w:val="32"/>
          <w:szCs w:val="32"/>
        </w:rPr>
        <w:t>一般执法执勤用车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项目（项目名称）</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 xml:space="preserve">13                                                                                                                                                                                                                                                                                                                                                                                                                                                                                                                                                                                                                                                                                                                                                                                                                                                                                                                                                                                                                                                                                                                                                                                                                                                                                                                                                                                                                                                                                                                                                                                    </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 xml:space="preserve">                                 </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Style w:val="4"/>
        <w:numPr>
          <w:ilvl w:val="0"/>
          <w:numId w:val="8"/>
        </w:numPr>
        <w:bidi w:val="0"/>
        <w:outlineLvl w:val="0"/>
      </w:pPr>
      <w:bookmarkStart w:id="81" w:name="_Toc7370"/>
      <w:bookmarkStart w:id="82" w:name="_Toc15377225"/>
      <w:bookmarkStart w:id="83" w:name="_Toc15396613"/>
      <w:r>
        <w:rPr>
          <w:rFonts w:hint="eastAsia"/>
        </w:rPr>
        <w:t>名词解释</w:t>
      </w:r>
      <w:bookmarkEnd w:id="81"/>
      <w:bookmarkEnd w:id="82"/>
      <w:bookmarkEnd w:id="83"/>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9</w:t>
      </w:r>
      <w:r>
        <w:rPr>
          <w:rFonts w:hint="eastAsia" w:ascii="仿宋" w:hAnsi="仿宋" w:eastAsia="仿宋"/>
          <w:b w:val="0"/>
          <w:bCs/>
          <w:color w:val="auto"/>
          <w:sz w:val="32"/>
          <w:szCs w:val="32"/>
          <w:highlight w:val="none"/>
        </w:rPr>
        <w:t xml:space="preserve">.一般公共服务（类）政府办公厅（室）及相关机构事务（款）行政运行（项）: </w:t>
      </w:r>
      <w:r>
        <w:rPr>
          <w:rFonts w:hint="eastAsia" w:ascii="仿宋" w:hAnsi="仿宋" w:eastAsia="仿宋"/>
          <w:b w:val="0"/>
          <w:bCs/>
          <w:color w:val="auto"/>
          <w:sz w:val="32"/>
          <w:szCs w:val="32"/>
          <w:highlight w:val="none"/>
          <w:lang w:eastAsia="zh-CN"/>
        </w:rPr>
        <w:t>指行政单位（包括实行公务员管理的事业单位）的基本支出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10</w:t>
      </w:r>
      <w:r>
        <w:rPr>
          <w:rFonts w:hint="eastAsia" w:ascii="仿宋" w:hAnsi="仿宋" w:eastAsia="仿宋"/>
          <w:b w:val="0"/>
          <w:bCs/>
          <w:color w:val="auto"/>
          <w:sz w:val="32"/>
          <w:szCs w:val="32"/>
          <w:highlight w:val="none"/>
        </w:rPr>
        <w:t xml:space="preserve">.一般公共服务（类）政府办公厅（室）及相关机构事务（款）  一般行政管理事务（项）: </w:t>
      </w:r>
      <w:r>
        <w:rPr>
          <w:rFonts w:hint="eastAsia" w:ascii="仿宋" w:hAnsi="仿宋" w:eastAsia="仿宋"/>
          <w:b w:val="0"/>
          <w:bCs/>
          <w:color w:val="auto"/>
          <w:sz w:val="32"/>
          <w:szCs w:val="32"/>
          <w:highlight w:val="none"/>
          <w:lang w:eastAsia="zh-CN"/>
        </w:rPr>
        <w:t>指行政单位（包括实行公务员管理的事业单位）未单独设置项级科目的其他项目支出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11</w:t>
      </w:r>
      <w:r>
        <w:rPr>
          <w:rFonts w:hint="eastAsia" w:ascii="仿宋" w:hAnsi="仿宋" w:eastAsia="仿宋"/>
          <w:b w:val="0"/>
          <w:bCs/>
          <w:color w:val="auto"/>
          <w:sz w:val="32"/>
          <w:szCs w:val="32"/>
          <w:highlight w:val="none"/>
        </w:rPr>
        <w:t xml:space="preserve">.一般公共服务（类）政府办公厅（室）及相关机构事务（款）信访事务（项）: </w:t>
      </w:r>
      <w:r>
        <w:rPr>
          <w:rFonts w:hint="eastAsia" w:ascii="仿宋" w:hAnsi="仿宋" w:eastAsia="仿宋"/>
          <w:b w:val="0"/>
          <w:bCs/>
          <w:color w:val="auto"/>
          <w:sz w:val="32"/>
          <w:szCs w:val="32"/>
          <w:highlight w:val="none"/>
          <w:lang w:eastAsia="zh-CN"/>
        </w:rPr>
        <w:t>指各级政府用于接待群众来信来访方面的支出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12</w:t>
      </w:r>
      <w:r>
        <w:rPr>
          <w:rFonts w:hint="eastAsia" w:ascii="仿宋" w:hAnsi="仿宋" w:eastAsia="仿宋"/>
          <w:b w:val="0"/>
          <w:bCs/>
          <w:color w:val="auto"/>
          <w:sz w:val="32"/>
          <w:szCs w:val="32"/>
          <w:highlight w:val="none"/>
        </w:rPr>
        <w:t xml:space="preserve">.一般公共服务（类）政府办公厅（室）及相关机构事务（款）事业运行（项）: </w:t>
      </w:r>
      <w:r>
        <w:rPr>
          <w:rFonts w:hint="eastAsia" w:ascii="仿宋" w:hAnsi="仿宋" w:eastAsia="仿宋"/>
          <w:b w:val="0"/>
          <w:bCs/>
          <w:color w:val="auto"/>
          <w:sz w:val="32"/>
          <w:szCs w:val="32"/>
          <w:highlight w:val="none"/>
          <w:lang w:eastAsia="zh-CN"/>
        </w:rPr>
        <w:t>反映事业单位的基本支出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13.</w:t>
      </w:r>
      <w:r>
        <w:rPr>
          <w:rFonts w:hint="eastAsia" w:ascii="仿宋" w:hAnsi="仿宋" w:eastAsia="仿宋"/>
          <w:b w:val="0"/>
          <w:bCs/>
          <w:color w:val="auto"/>
          <w:sz w:val="32"/>
          <w:szCs w:val="32"/>
          <w:highlight w:val="none"/>
        </w:rPr>
        <w:t xml:space="preserve">一般公共服务（类）其他一般公共服务支出（款）  其他一般公共服务支出（项）: </w:t>
      </w:r>
      <w:r>
        <w:rPr>
          <w:rFonts w:hint="eastAsia" w:ascii="仿宋" w:hAnsi="仿宋" w:eastAsia="仿宋"/>
          <w:b w:val="0"/>
          <w:bCs/>
          <w:color w:val="auto"/>
          <w:sz w:val="32"/>
          <w:szCs w:val="32"/>
          <w:highlight w:val="none"/>
          <w:lang w:eastAsia="zh-CN"/>
        </w:rPr>
        <w:t>反映上述项目未包括的一般公共服务支出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lang w:eastAsia="zh-CN"/>
        </w:rPr>
      </w:pPr>
      <w:r>
        <w:rPr>
          <w:rFonts w:hint="eastAsia" w:ascii="仿宋" w:hAnsi="仿宋" w:eastAsia="仿宋"/>
          <w:b w:val="0"/>
          <w:bCs/>
          <w:color w:val="auto"/>
          <w:sz w:val="32"/>
          <w:szCs w:val="32"/>
          <w:highlight w:val="none"/>
          <w:lang w:val="en-US" w:eastAsia="zh-CN"/>
        </w:rPr>
        <w:t>14</w:t>
      </w:r>
      <w:r>
        <w:rPr>
          <w:rFonts w:hint="eastAsia" w:ascii="仿宋" w:hAnsi="仿宋" w:eastAsia="仿宋"/>
          <w:b w:val="0"/>
          <w:bCs/>
          <w:color w:val="auto"/>
          <w:sz w:val="32"/>
          <w:szCs w:val="32"/>
          <w:highlight w:val="none"/>
        </w:rPr>
        <w:t xml:space="preserve">.文化旅游体育与传媒（类）文化和旅游（款）其他文化和旅游支出（项）: </w:t>
      </w:r>
      <w:r>
        <w:rPr>
          <w:rFonts w:hint="eastAsia" w:ascii="仿宋" w:hAnsi="仿宋" w:eastAsia="仿宋"/>
          <w:b w:val="0"/>
          <w:bCs/>
          <w:color w:val="auto"/>
          <w:sz w:val="32"/>
          <w:szCs w:val="32"/>
          <w:highlight w:val="none"/>
          <w:lang w:eastAsia="zh-CN"/>
        </w:rPr>
        <w:t>指其他用于文化旅游体育与传媒方面的支出。</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val="0"/>
          <w:bCs/>
          <w:color w:val="auto"/>
          <w:sz w:val="32"/>
          <w:szCs w:val="32"/>
          <w:highlight w:val="none"/>
          <w:lang w:val="en-US" w:eastAsia="zh-CN"/>
        </w:rPr>
        <w:t>15</w:t>
      </w:r>
      <w:r>
        <w:rPr>
          <w:rFonts w:hint="eastAsia" w:ascii="仿宋" w:hAnsi="仿宋" w:eastAsia="仿宋"/>
          <w:b w:val="0"/>
          <w:bCs/>
          <w:color w:val="auto"/>
          <w:sz w:val="32"/>
          <w:szCs w:val="32"/>
          <w:highlight w:val="none"/>
        </w:rPr>
        <w:t xml:space="preserve">.社会保障和就业（类）行政事业单位养老支出（款）机关事业单位职业年金缴费支出（项）: </w:t>
      </w:r>
      <w:r>
        <w:rPr>
          <w:rFonts w:hint="eastAsia" w:ascii="仿宋" w:hAnsi="仿宋" w:eastAsia="仿宋"/>
          <w:b w:val="0"/>
          <w:bCs/>
          <w:color w:val="auto"/>
          <w:sz w:val="32"/>
          <w:szCs w:val="32"/>
          <w:highlight w:val="none"/>
          <w:lang w:eastAsia="zh-CN"/>
        </w:rPr>
        <w:t>指机关事业单位实施养老保险制度由单位实际缴纳的职业年金支出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cs="Times New Roman"/>
          <w:b w:val="0"/>
          <w:bCs/>
          <w:color w:val="auto"/>
          <w:sz w:val="32"/>
          <w:szCs w:val="32"/>
          <w:highlight w:val="none"/>
          <w:lang w:val="en-US" w:eastAsia="zh-CN"/>
        </w:rPr>
      </w:pPr>
      <w:r>
        <w:rPr>
          <w:rFonts w:hint="eastAsia" w:ascii="仿宋" w:hAnsi="仿宋" w:eastAsia="仿宋" w:cs="Times New Roman"/>
          <w:b w:val="0"/>
          <w:bCs/>
          <w:color w:val="auto"/>
          <w:sz w:val="32"/>
          <w:szCs w:val="32"/>
          <w:highlight w:val="none"/>
          <w:lang w:val="en-US" w:eastAsia="zh-CN"/>
        </w:rPr>
        <w:t>16.社会保障和就业（类）行政事业单位养老支出（款）机关事业单位基本养老保险缴费支出（项）: 指机关事业单位实施养老保险制度由单位实际缴纳的基本养老保险支出。</w:t>
      </w:r>
    </w:p>
    <w:p>
      <w:pPr>
        <w:spacing w:line="600" w:lineRule="exact"/>
        <w:ind w:firstLine="640"/>
        <w:rPr>
          <w:rFonts w:hint="eastAsia" w:ascii="仿宋" w:hAnsi="仿宋" w:eastAsia="仿宋" w:cs="Times New Roman"/>
          <w:b w:val="0"/>
          <w:bCs/>
          <w:color w:val="auto"/>
          <w:sz w:val="32"/>
          <w:szCs w:val="32"/>
          <w:highlight w:val="none"/>
          <w:lang w:val="en-US" w:eastAsia="zh-CN"/>
        </w:rPr>
      </w:pPr>
      <w:r>
        <w:rPr>
          <w:rFonts w:hint="eastAsia" w:ascii="仿宋" w:hAnsi="仿宋" w:eastAsia="仿宋" w:cs="Times New Roman"/>
          <w:b w:val="0"/>
          <w:bCs/>
          <w:color w:val="auto"/>
          <w:sz w:val="32"/>
          <w:szCs w:val="32"/>
          <w:highlight w:val="none"/>
          <w:lang w:val="en-US" w:eastAsia="zh-CN"/>
        </w:rPr>
        <w:t>17.社会保障和就业（类）就业补助（款）机关公益性岗位补贴（项）: 指符合条件的就业困难人员在公益性岗位就业给予的补贴支出。</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18</w:t>
      </w:r>
      <w:r>
        <w:rPr>
          <w:rFonts w:hint="eastAsia" w:ascii="仿宋" w:hAnsi="仿宋" w:eastAsia="仿宋"/>
          <w:b w:val="0"/>
          <w:bCs/>
          <w:color w:val="auto"/>
          <w:sz w:val="32"/>
          <w:szCs w:val="32"/>
          <w:highlight w:val="none"/>
        </w:rPr>
        <w:t>.社会保障和就业（类）就业补助（款）其他就业补助支出（项）:</w:t>
      </w:r>
      <w:r>
        <w:rPr>
          <w:rFonts w:hint="eastAsia" w:ascii="仿宋" w:hAnsi="仿宋" w:eastAsia="仿宋"/>
          <w:b w:val="0"/>
          <w:bCs/>
          <w:color w:val="auto"/>
          <w:sz w:val="32"/>
          <w:szCs w:val="32"/>
          <w:highlight w:val="none"/>
          <w:lang w:eastAsia="zh-CN"/>
        </w:rPr>
        <w:t>指其他用于就业补助的支出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w:t>
      </w:r>
      <w:r>
        <w:rPr>
          <w:rFonts w:hint="eastAsia" w:ascii="仿宋" w:hAnsi="仿宋" w:eastAsia="仿宋"/>
          <w:b w:val="0"/>
          <w:bCs/>
          <w:color w:val="auto"/>
          <w:sz w:val="32"/>
          <w:szCs w:val="32"/>
          <w:highlight w:val="none"/>
          <w:lang w:val="en-US" w:eastAsia="zh-CN"/>
        </w:rPr>
        <w:t>9</w:t>
      </w:r>
      <w:r>
        <w:rPr>
          <w:rFonts w:hint="eastAsia" w:ascii="仿宋" w:hAnsi="仿宋" w:eastAsia="仿宋"/>
          <w:b w:val="0"/>
          <w:bCs/>
          <w:color w:val="auto"/>
          <w:sz w:val="32"/>
          <w:szCs w:val="32"/>
          <w:highlight w:val="none"/>
        </w:rPr>
        <w:t>.卫生健康（类）行政事业单位医疗（款）行政单位医疗（项）:</w:t>
      </w:r>
      <w:r>
        <w:rPr>
          <w:rFonts w:hint="eastAsia" w:ascii="仿宋" w:hAnsi="仿宋" w:eastAsia="仿宋"/>
          <w:b w:val="0"/>
          <w:bCs/>
          <w:color w:val="auto"/>
          <w:sz w:val="32"/>
          <w:szCs w:val="32"/>
          <w:highlight w:val="none"/>
          <w:lang w:eastAsia="zh-CN"/>
        </w:rPr>
        <w:t>指财政部门安排的行政单位（包括实行公务员管理的事业单位）基本医疗保险缴费经费，未参加医疗保险的行政单位的公费医疗经费，按国家规定享受离休人员、红军老战士待遇人员的医疗经费</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20</w:t>
      </w:r>
      <w:r>
        <w:rPr>
          <w:rFonts w:hint="eastAsia" w:ascii="仿宋" w:hAnsi="仿宋" w:eastAsia="仿宋"/>
          <w:b w:val="0"/>
          <w:bCs/>
          <w:color w:val="auto"/>
          <w:sz w:val="32"/>
          <w:szCs w:val="32"/>
          <w:highlight w:val="none"/>
        </w:rPr>
        <w:t>.卫生健康（类）行政事业单位医疗（款）事业单位医疗（项）:</w:t>
      </w:r>
      <w:r>
        <w:rPr>
          <w:rFonts w:hint="eastAsia" w:ascii="仿宋" w:hAnsi="仿宋" w:eastAsia="仿宋"/>
          <w:b w:val="0"/>
          <w:bCs/>
          <w:color w:val="auto"/>
          <w:sz w:val="32"/>
          <w:szCs w:val="32"/>
          <w:highlight w:val="none"/>
          <w:lang w:eastAsia="zh-CN"/>
        </w:rPr>
        <w:t>指财政部门安排的事业单位基本医疗保险缴费经费，未参加医疗保险的事业单位的公费医疗经费，按国家规定享受离休人员待遇的医疗经费。</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21</w:t>
      </w:r>
      <w:r>
        <w:rPr>
          <w:rFonts w:hint="eastAsia" w:ascii="仿宋" w:hAnsi="仿宋" w:eastAsia="仿宋"/>
          <w:b w:val="0"/>
          <w:bCs/>
          <w:color w:val="auto"/>
          <w:sz w:val="32"/>
          <w:szCs w:val="32"/>
          <w:highlight w:val="none"/>
        </w:rPr>
        <w:t>.卫生健康（类）行政事业单位医疗（款）公务员医疗补助（项）:</w:t>
      </w:r>
      <w:r>
        <w:rPr>
          <w:rFonts w:hint="eastAsia" w:ascii="仿宋" w:hAnsi="仿宋" w:eastAsia="仿宋"/>
          <w:b w:val="0"/>
          <w:bCs/>
          <w:color w:val="auto"/>
          <w:sz w:val="32"/>
          <w:szCs w:val="32"/>
          <w:highlight w:val="none"/>
          <w:lang w:eastAsia="zh-CN"/>
        </w:rPr>
        <w:t>指财政部门安排的公务员医疗补助经费</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22</w:t>
      </w:r>
      <w:r>
        <w:rPr>
          <w:rFonts w:hint="eastAsia" w:ascii="仿宋" w:hAnsi="仿宋" w:eastAsia="仿宋"/>
          <w:b w:val="0"/>
          <w:bCs/>
          <w:color w:val="auto"/>
          <w:sz w:val="32"/>
          <w:szCs w:val="32"/>
          <w:highlight w:val="none"/>
        </w:rPr>
        <w:t>.农林水支出（类）农业农村（款）事业运行（项）:</w:t>
      </w:r>
      <w:r>
        <w:rPr>
          <w:rFonts w:hint="eastAsia" w:ascii="仿宋" w:hAnsi="仿宋" w:eastAsia="仿宋"/>
          <w:b w:val="0"/>
          <w:bCs/>
          <w:color w:val="auto"/>
          <w:sz w:val="32"/>
          <w:szCs w:val="32"/>
          <w:highlight w:val="none"/>
          <w:lang w:eastAsia="zh-CN"/>
        </w:rPr>
        <w:t>指用于农业事业单位基本支出，事业单位设施、系统运行与资产维护等方面的支出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23</w:t>
      </w:r>
      <w:r>
        <w:rPr>
          <w:rFonts w:hint="eastAsia" w:ascii="仿宋" w:hAnsi="仿宋" w:eastAsia="仿宋"/>
          <w:b w:val="0"/>
          <w:bCs/>
          <w:color w:val="auto"/>
          <w:sz w:val="32"/>
          <w:szCs w:val="32"/>
          <w:highlight w:val="none"/>
        </w:rPr>
        <w:t>.农林水支出（类）扶贫（款）农村基础设施建设（项）:</w:t>
      </w:r>
      <w:r>
        <w:rPr>
          <w:rFonts w:hint="eastAsia" w:ascii="仿宋" w:hAnsi="仿宋" w:eastAsia="仿宋"/>
          <w:b w:val="0"/>
          <w:bCs/>
          <w:color w:val="auto"/>
          <w:sz w:val="32"/>
          <w:szCs w:val="32"/>
          <w:highlight w:val="none"/>
          <w:lang w:eastAsia="zh-CN"/>
        </w:rPr>
        <w:t>指用于农村贫困地区乡村道路、住房、基本农田、水利设施、人畜饮水、生态环境保护等生产生活条件改善方面的支出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24</w:t>
      </w:r>
      <w:r>
        <w:rPr>
          <w:rFonts w:hint="eastAsia" w:ascii="仿宋" w:hAnsi="仿宋" w:eastAsia="仿宋"/>
          <w:b w:val="0"/>
          <w:bCs/>
          <w:color w:val="auto"/>
          <w:sz w:val="32"/>
          <w:szCs w:val="32"/>
          <w:highlight w:val="none"/>
        </w:rPr>
        <w:t>.农林水支出（类）扶贫（款）生产发展（项）:</w:t>
      </w:r>
      <w:r>
        <w:rPr>
          <w:rFonts w:hint="eastAsia" w:ascii="仿宋" w:hAnsi="仿宋" w:eastAsia="仿宋"/>
          <w:b w:val="0"/>
          <w:bCs/>
          <w:color w:val="auto"/>
          <w:sz w:val="32"/>
          <w:szCs w:val="32"/>
          <w:highlight w:val="none"/>
          <w:lang w:eastAsia="zh-CN"/>
        </w:rPr>
        <w:t>指用于农村贫困地区发展种植业、养殖业、畜牧业、农副产品加工、林果地建设等生产发展项目以及相关技术推广等方面的项目支出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25</w:t>
      </w:r>
      <w:r>
        <w:rPr>
          <w:rFonts w:hint="eastAsia" w:ascii="仿宋" w:hAnsi="仿宋" w:eastAsia="仿宋"/>
          <w:b w:val="0"/>
          <w:bCs/>
          <w:color w:val="auto"/>
          <w:sz w:val="32"/>
          <w:szCs w:val="32"/>
          <w:highlight w:val="none"/>
        </w:rPr>
        <w:t>.农林水支出（类）扶贫（款）其他扶贫支出（项）:</w:t>
      </w:r>
      <w:r>
        <w:rPr>
          <w:rFonts w:hint="eastAsia" w:ascii="仿宋" w:hAnsi="仿宋" w:eastAsia="仿宋"/>
          <w:b w:val="0"/>
          <w:bCs/>
          <w:color w:val="auto"/>
          <w:sz w:val="32"/>
          <w:szCs w:val="32"/>
          <w:highlight w:val="none"/>
          <w:lang w:eastAsia="zh-CN"/>
        </w:rPr>
        <w:t>指其他用于扶贫方面的支出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26</w:t>
      </w:r>
      <w:r>
        <w:rPr>
          <w:rFonts w:hint="eastAsia" w:ascii="仿宋" w:hAnsi="仿宋" w:eastAsia="仿宋"/>
          <w:b w:val="0"/>
          <w:bCs/>
          <w:color w:val="auto"/>
          <w:sz w:val="32"/>
          <w:szCs w:val="32"/>
          <w:highlight w:val="none"/>
        </w:rPr>
        <w:t>.农林水支出（类）农村综合改革（款）对村民委员会和村党支部的补助（项）:</w:t>
      </w:r>
      <w:r>
        <w:rPr>
          <w:rFonts w:hint="eastAsia" w:ascii="仿宋" w:hAnsi="仿宋" w:eastAsia="仿宋"/>
          <w:b w:val="0"/>
          <w:bCs/>
          <w:color w:val="auto"/>
          <w:sz w:val="32"/>
          <w:szCs w:val="32"/>
          <w:highlight w:val="none"/>
          <w:lang w:eastAsia="zh-CN"/>
        </w:rPr>
        <w:t>指各级财政对村民委员会和村党支部的补助支出，以及支持建立县级基本财力保障机制安排的村级组织运转奖补资金</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27</w:t>
      </w:r>
      <w:r>
        <w:rPr>
          <w:rFonts w:hint="eastAsia" w:ascii="仿宋" w:hAnsi="仿宋" w:eastAsia="仿宋"/>
          <w:b w:val="0"/>
          <w:bCs/>
          <w:color w:val="auto"/>
          <w:sz w:val="32"/>
          <w:szCs w:val="32"/>
          <w:highlight w:val="none"/>
        </w:rPr>
        <w:t>.农林水支出（类）农村综合改革（款）对对村集体经济组织的补助（项）:</w:t>
      </w:r>
      <w:r>
        <w:rPr>
          <w:rFonts w:hint="eastAsia" w:ascii="仿宋" w:hAnsi="仿宋" w:eastAsia="仿宋"/>
          <w:b w:val="0"/>
          <w:bCs/>
          <w:color w:val="auto"/>
          <w:sz w:val="32"/>
          <w:szCs w:val="32"/>
          <w:highlight w:val="none"/>
          <w:lang w:eastAsia="zh-CN"/>
        </w:rPr>
        <w:t>指农村税费改革后对村集体经济组织的补助支出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28</w:t>
      </w:r>
      <w:r>
        <w:rPr>
          <w:rFonts w:hint="eastAsia" w:ascii="仿宋" w:hAnsi="仿宋" w:eastAsia="仿宋"/>
          <w:b w:val="0"/>
          <w:bCs/>
          <w:color w:val="auto"/>
          <w:sz w:val="32"/>
          <w:szCs w:val="32"/>
          <w:highlight w:val="none"/>
        </w:rPr>
        <w:t>.住房保障支出（类）保障性安居工程支出（款）农村危房改造（项）:</w:t>
      </w:r>
      <w:r>
        <w:rPr>
          <w:rFonts w:hint="eastAsia" w:ascii="仿宋" w:hAnsi="仿宋" w:eastAsia="仿宋"/>
          <w:b w:val="0"/>
          <w:bCs/>
          <w:color w:val="auto"/>
          <w:sz w:val="32"/>
          <w:szCs w:val="32"/>
          <w:highlight w:val="none"/>
          <w:lang w:eastAsia="zh-CN"/>
        </w:rPr>
        <w:t>指用于农村危房改造方面的支出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29</w:t>
      </w:r>
      <w:r>
        <w:rPr>
          <w:rFonts w:hint="eastAsia" w:ascii="仿宋" w:hAnsi="仿宋" w:eastAsia="仿宋"/>
          <w:b w:val="0"/>
          <w:bCs/>
          <w:color w:val="auto"/>
          <w:sz w:val="32"/>
          <w:szCs w:val="32"/>
          <w:highlight w:val="none"/>
        </w:rPr>
        <w:t>.住房保障支出（类）保障性安居工程支出（款）其他保障性安居工程支出（项）:</w:t>
      </w:r>
      <w:r>
        <w:rPr>
          <w:rFonts w:hint="eastAsia" w:ascii="仿宋" w:hAnsi="仿宋" w:eastAsia="仿宋"/>
          <w:b w:val="0"/>
          <w:bCs/>
          <w:color w:val="auto"/>
          <w:sz w:val="32"/>
          <w:szCs w:val="32"/>
          <w:highlight w:val="none"/>
          <w:lang w:eastAsia="zh-CN"/>
        </w:rPr>
        <w:t>指其他用于保障性住房方面的支出</w:t>
      </w:r>
      <w:r>
        <w:rPr>
          <w:rFonts w:hint="eastAsia" w:ascii="仿宋" w:hAnsi="仿宋" w:eastAsia="仿宋"/>
          <w:b w:val="0"/>
          <w:bCs/>
          <w:color w:val="auto"/>
          <w:sz w:val="32"/>
          <w:szCs w:val="32"/>
          <w:highlight w:val="none"/>
        </w:rPr>
        <w:t>。</w:t>
      </w:r>
    </w:p>
    <w:p>
      <w:pPr>
        <w:spacing w:line="600" w:lineRule="exact"/>
        <w:ind w:firstLine="640"/>
        <w:rPr>
          <w:rFonts w:hint="eastAsia" w:ascii="仿宋" w:hAnsi="仿宋" w:eastAsia="仿宋"/>
          <w:b w:val="0"/>
          <w:bCs/>
          <w:color w:val="auto"/>
          <w:sz w:val="32"/>
          <w:szCs w:val="32"/>
          <w:highlight w:val="none"/>
          <w:lang w:eastAsia="zh-CN"/>
        </w:rPr>
      </w:pPr>
      <w:r>
        <w:rPr>
          <w:rFonts w:hint="eastAsia" w:ascii="仿宋" w:hAnsi="仿宋" w:eastAsia="仿宋"/>
          <w:b w:val="0"/>
          <w:bCs/>
          <w:color w:val="auto"/>
          <w:sz w:val="32"/>
          <w:szCs w:val="32"/>
          <w:highlight w:val="none"/>
          <w:lang w:val="en-US" w:eastAsia="zh-CN"/>
        </w:rPr>
        <w:t>30</w:t>
      </w:r>
      <w:r>
        <w:rPr>
          <w:rFonts w:hint="eastAsia" w:ascii="仿宋" w:hAnsi="仿宋" w:eastAsia="仿宋"/>
          <w:b w:val="0"/>
          <w:bCs/>
          <w:color w:val="auto"/>
          <w:sz w:val="32"/>
          <w:szCs w:val="32"/>
          <w:highlight w:val="none"/>
        </w:rPr>
        <w:t>.住房保障支出（类）住房改革支出（款）住房公积金（项）:</w:t>
      </w:r>
      <w:r>
        <w:rPr>
          <w:rFonts w:hint="eastAsia" w:ascii="仿宋" w:hAnsi="仿宋" w:eastAsia="仿宋"/>
          <w:b w:val="0"/>
          <w:bCs/>
          <w:color w:val="auto"/>
          <w:sz w:val="32"/>
          <w:szCs w:val="32"/>
          <w:highlight w:val="none"/>
          <w:lang w:eastAsia="zh-CN"/>
        </w:rPr>
        <w:t>指行政事业单位按人力资源和社会保障部、财政部规定的基本工资和津补贴以及规定比例为职工缴纳的住房公积金。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31</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32</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35</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9"/>
        <w:rPr>
          <w:rFonts w:hint="eastAsia" w:ascii="黑体" w:hAnsi="黑体" w:eastAsia="黑体"/>
          <w:color w:val="auto"/>
          <w:sz w:val="44"/>
          <w:szCs w:val="44"/>
          <w:highlight w:val="none"/>
        </w:rPr>
      </w:pPr>
      <w:bookmarkStart w:id="84" w:name="_Toc15396614"/>
      <w:bookmarkStart w:id="85" w:name="_Toc15377226"/>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both"/>
        <w:outlineLvl w:val="9"/>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s="Times New Roman"/>
          <w:color w:val="auto"/>
          <w:sz w:val="44"/>
          <w:szCs w:val="44"/>
          <w:highlight w:val="none"/>
        </w:rPr>
      </w:pPr>
      <w:bookmarkStart w:id="86" w:name="_Toc10282"/>
      <w:bookmarkStart w:id="115" w:name="_GoBack"/>
      <w:r>
        <w:rPr>
          <w:rFonts w:hint="eastAsia" w:ascii="黑体" w:hAnsi="黑体" w:eastAsia="黑体" w:cs="Times New Roman"/>
          <w:color w:val="auto"/>
          <w:sz w:val="44"/>
          <w:szCs w:val="44"/>
          <w:highlight w:val="none"/>
        </w:rPr>
        <w:t>第四部分 附件</w:t>
      </w:r>
      <w:bookmarkEnd w:id="84"/>
      <w:bookmarkEnd w:id="86"/>
    </w:p>
    <w:bookmarkEnd w:id="115"/>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1</w:t>
      </w:r>
    </w:p>
    <w:tbl>
      <w:tblPr>
        <w:tblStyle w:val="16"/>
        <w:tblpPr w:leftFromText="180" w:rightFromText="180" w:vertAnchor="text" w:horzAnchor="page" w:tblpX="1215" w:tblpY="411"/>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2021年农村危房改造补助资金项目绩效目标自评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通江县</w:t>
            </w:r>
            <w:r>
              <w:rPr>
                <w:rFonts w:hint="eastAsia" w:ascii="宋体" w:hAnsi="宋体" w:cs="宋体"/>
                <w:i w:val="0"/>
                <w:color w:val="auto"/>
                <w:sz w:val="24"/>
                <w:szCs w:val="24"/>
                <w:u w:val="none"/>
                <w:lang w:val="en-US" w:eastAsia="zh-CN"/>
              </w:rPr>
              <w:t>住建局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空山镇人民政府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282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282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按照政策要求予以按时兑现，改善农村环境面貌。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实现农村住房安全，确保</w:t>
            </w:r>
            <w:r>
              <w:rPr>
                <w:rFonts w:hint="eastAsia" w:ascii="宋体" w:hAnsi="宋体" w:cs="宋体"/>
                <w:i w:val="0"/>
                <w:color w:val="auto"/>
                <w:sz w:val="24"/>
                <w:szCs w:val="24"/>
                <w:u w:val="none"/>
                <w:lang w:eastAsia="zh-CN"/>
              </w:rPr>
              <w:t>农村</w:t>
            </w:r>
            <w:r>
              <w:rPr>
                <w:rFonts w:hint="eastAsia" w:ascii="宋体" w:hAnsi="宋体" w:eastAsia="宋体" w:cs="宋体"/>
                <w:i w:val="0"/>
                <w:color w:val="auto"/>
                <w:sz w:val="24"/>
                <w:szCs w:val="24"/>
                <w:u w:val="none"/>
              </w:rPr>
              <w:t>安全住房，提升区域经济发展。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rPr>
              <w:t>资金</w:t>
            </w:r>
            <w:r>
              <w:rPr>
                <w:rFonts w:hint="eastAsia" w:ascii="仿宋_GB2312" w:hAnsi="仿宋_GB2312" w:eastAsia="仿宋_GB2312" w:cs="仿宋_GB2312"/>
                <w:i w:val="0"/>
                <w:color w:val="auto"/>
                <w:sz w:val="24"/>
                <w:szCs w:val="24"/>
                <w:u w:val="none"/>
                <w:lang w:eastAsia="zh-CN"/>
              </w:rPr>
              <w:t>涉及村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5</w:t>
            </w:r>
            <w:r>
              <w:rPr>
                <w:rFonts w:hint="eastAsia" w:ascii="仿宋_GB2312" w:hAnsi="仿宋_GB2312" w:eastAsia="仿宋_GB2312" w:cs="仿宋_GB2312"/>
                <w:i w:val="0"/>
                <w:color w:val="auto"/>
                <w:sz w:val="24"/>
                <w:szCs w:val="24"/>
                <w:u w:val="none"/>
              </w:rPr>
              <w:t>个村（社区）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5</w:t>
            </w:r>
            <w:r>
              <w:rPr>
                <w:rFonts w:hint="eastAsia" w:ascii="仿宋_GB2312" w:hAnsi="仿宋_GB2312" w:eastAsia="仿宋_GB2312" w:cs="仿宋_GB2312"/>
                <w:i w:val="0"/>
                <w:color w:val="auto"/>
                <w:sz w:val="24"/>
                <w:szCs w:val="24"/>
                <w:u w:val="none"/>
              </w:rPr>
              <w:t>个村（社区）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质量合格率达到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截止2021年12月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人居环境整治资金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282</w:t>
            </w:r>
            <w:r>
              <w:rPr>
                <w:rFonts w:hint="eastAsia" w:ascii="仿宋_GB2312" w:hAnsi="仿宋_GB2312" w:eastAsia="仿宋_GB2312" w:cs="仿宋_GB2312"/>
                <w:i w:val="0"/>
                <w:color w:val="auto"/>
                <w:sz w:val="24"/>
                <w:szCs w:val="24"/>
                <w:u w:val="none"/>
              </w:rPr>
              <w:t>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282</w:t>
            </w:r>
            <w:r>
              <w:rPr>
                <w:rFonts w:hint="eastAsia" w:ascii="仿宋_GB2312" w:hAnsi="仿宋_GB2312" w:eastAsia="仿宋_GB2312" w:cs="仿宋_GB2312"/>
                <w:i w:val="0"/>
                <w:color w:val="auto"/>
                <w:sz w:val="24"/>
                <w:szCs w:val="24"/>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当地群众经济收入增加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持续增长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持续增长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改善群众生活环境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eastAsia="zh-CN"/>
              </w:rPr>
              <w:t>清洁家园</w:t>
            </w:r>
            <w:r>
              <w:rPr>
                <w:rFonts w:hint="eastAsia" w:ascii="仿宋_GB2312" w:hAnsi="仿宋_GB2312" w:eastAsia="仿宋_GB2312" w:cs="仿宋_GB2312"/>
                <w:i w:val="0"/>
                <w:color w:val="auto"/>
                <w:sz w:val="24"/>
                <w:szCs w:val="24"/>
                <w:u w:val="none"/>
              </w:rPr>
              <w:t>,共创文明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长期使用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rPr>
              <w:t>≥</w:t>
            </w:r>
            <w:r>
              <w:rPr>
                <w:rFonts w:hint="eastAsia" w:ascii="仿宋_GB2312" w:hAnsi="仿宋_GB2312" w:eastAsia="仿宋_GB2312" w:cs="仿宋_GB2312"/>
                <w:i w:val="0"/>
                <w:color w:val="auto"/>
                <w:sz w:val="24"/>
                <w:szCs w:val="24"/>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95%</w:t>
            </w:r>
          </w:p>
        </w:tc>
      </w:tr>
    </w:tbl>
    <w:p>
      <w:pPr>
        <w:pStyle w:val="2"/>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p>
    <w:p>
      <w:pPr>
        <w:spacing w:line="600" w:lineRule="exact"/>
        <w:jc w:val="center"/>
        <w:outlineLvl w:val="0"/>
        <w:rPr>
          <w:rFonts w:hint="eastAsia" w:ascii="黑体" w:hAnsi="黑体" w:eastAsia="黑体" w:cs="Times New Roman"/>
          <w:color w:val="auto"/>
          <w:sz w:val="44"/>
          <w:szCs w:val="44"/>
          <w:highlight w:val="none"/>
        </w:rPr>
      </w:pPr>
    </w:p>
    <w:p>
      <w:pPr>
        <w:pStyle w:val="3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325" w:firstLineChars="300"/>
        <w:jc w:val="both"/>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关于2021年农村危房改造补助资金</w:t>
      </w:r>
    </w:p>
    <w:p>
      <w:pPr>
        <w:pStyle w:val="33"/>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绩效自评报告</w:t>
      </w:r>
    </w:p>
    <w:p>
      <w:pPr>
        <w:pStyle w:val="33"/>
        <w:spacing w:line="240" w:lineRule="auto"/>
        <w:jc w:val="center"/>
        <w:rPr>
          <w:rFonts w:hint="eastAsia" w:ascii="宋体" w:hAnsi="宋体"/>
          <w:b w:val="0"/>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6" w:lineRule="exact"/>
        <w:ind w:firstLine="72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eastAsia="zh-CN"/>
        </w:rPr>
        <w:t>项目概况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b/>
          <w:bCs/>
          <w:sz w:val="32"/>
          <w:szCs w:val="32"/>
          <w:lang w:eastAsia="zh-CN"/>
        </w:rPr>
        <w:t>（一）项目资金申报及批复情况。</w:t>
      </w:r>
      <w:r>
        <w:rPr>
          <w:rFonts w:hint="eastAsia" w:ascii="仿宋_GB2312" w:hAnsi="仿宋_GB2312" w:eastAsia="仿宋_GB2312" w:cs="仿宋_GB2312"/>
          <w:sz w:val="32"/>
          <w:szCs w:val="32"/>
          <w:lang w:eastAsia="zh-CN"/>
        </w:rPr>
        <w:t>2021年农村危房改造补助资金</w:t>
      </w:r>
      <w:r>
        <w:rPr>
          <w:rFonts w:hint="eastAsia" w:ascii="仿宋_GB2312" w:hAnsi="仿宋_GB2312" w:eastAsia="仿宋_GB2312" w:cs="仿宋_GB2312"/>
          <w:sz w:val="32"/>
          <w:szCs w:val="32"/>
          <w:lang w:val="en-US" w:eastAsia="zh-CN"/>
        </w:rPr>
        <w:t>申报282万元</w:t>
      </w:r>
      <w:r>
        <w:rPr>
          <w:rFonts w:hint="eastAsia" w:ascii="仿宋_GB2312" w:hAnsi="仿宋_GB2312" w:eastAsia="仿宋_GB2312" w:cs="仿宋_GB2312"/>
          <w:sz w:val="32"/>
          <w:szCs w:val="32"/>
          <w:lang w:eastAsia="zh-CN"/>
        </w:rPr>
        <w:t>，上级财政批复</w:t>
      </w:r>
      <w:r>
        <w:rPr>
          <w:rFonts w:hint="eastAsia" w:ascii="仿宋_GB2312" w:hAnsi="仿宋_GB2312" w:eastAsia="仿宋_GB2312" w:cs="仿宋_GB2312"/>
          <w:sz w:val="32"/>
          <w:szCs w:val="32"/>
          <w:lang w:val="en-US" w:eastAsia="zh-CN"/>
        </w:rPr>
        <w:t>282万元，</w:t>
      </w:r>
      <w:r>
        <w:rPr>
          <w:rFonts w:hint="eastAsia" w:ascii="仿宋_GB2312" w:hAnsi="仿宋_GB2312" w:eastAsia="仿宋_GB2312" w:cs="仿宋_GB2312"/>
          <w:sz w:val="32"/>
          <w:szCs w:val="32"/>
        </w:rPr>
        <w:t>在资金支付上合规合法并与预算相符</w:t>
      </w:r>
      <w:r>
        <w:rPr>
          <w:rFonts w:hint="eastAsia" w:ascii="仿宋_GB2312" w:hAnsi="仿宋_GB2312" w:eastAsia="仿宋_GB2312" w:cs="仿宋_GB2312"/>
          <w:sz w:val="32"/>
          <w:szCs w:val="32"/>
          <w:lang w:eastAsia="zh-CN"/>
        </w:rPr>
        <w:t>，符合资金管理办法等相关规定。</w:t>
      </w:r>
    </w:p>
    <w:p>
      <w:pPr>
        <w:keepNext w:val="0"/>
        <w:keepLines w:val="0"/>
        <w:pageBreakBefore w:val="0"/>
        <w:widowControl w:val="0"/>
        <w:numPr>
          <w:ilvl w:val="0"/>
          <w:numId w:val="9"/>
        </w:numPr>
        <w:kinsoku/>
        <w:wordWrap/>
        <w:overflowPunct/>
        <w:topLinePunct w:val="0"/>
        <w:autoSpaceDE/>
        <w:autoSpaceDN/>
        <w:bidi w:val="0"/>
        <w:adjustRightInd w:val="0"/>
        <w:snapToGrid w:val="0"/>
        <w:spacing w:line="59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项目绩效目标。</w:t>
      </w:r>
      <w:r>
        <w:rPr>
          <w:rFonts w:hint="eastAsia" w:ascii="仿宋_GB2312" w:hAnsi="仿宋_GB2312" w:eastAsia="仿宋_GB2312" w:cs="仿宋_GB2312"/>
          <w:sz w:val="32"/>
          <w:szCs w:val="32"/>
          <w:lang w:eastAsia="zh-CN"/>
        </w:rPr>
        <w:t>2021年农村危房改造补助资金主要是用于农村危房、老旧房改造，保障农户的住房安全，项目进度按计划实施，已在</w:t>
      </w:r>
      <w:r>
        <w:rPr>
          <w:rFonts w:hint="eastAsia" w:ascii="仿宋_GB2312" w:hAnsi="仿宋_GB2312" w:eastAsia="仿宋_GB2312" w:cs="仿宋_GB2312"/>
          <w:sz w:val="32"/>
          <w:szCs w:val="32"/>
          <w:lang w:val="en-US" w:eastAsia="zh-CN"/>
        </w:rPr>
        <w:t>2021年底全面完成。</w:t>
      </w:r>
    </w:p>
    <w:p>
      <w:pPr>
        <w:keepNext w:val="0"/>
        <w:keepLines w:val="0"/>
        <w:pageBreakBefore w:val="0"/>
        <w:widowControl w:val="0"/>
        <w:numPr>
          <w:ilvl w:val="0"/>
          <w:numId w:val="9"/>
        </w:numPr>
        <w:kinsoku/>
        <w:wordWrap/>
        <w:overflowPunct/>
        <w:topLinePunct w:val="0"/>
        <w:autoSpaceDE/>
        <w:autoSpaceDN/>
        <w:bidi w:val="0"/>
        <w:adjustRightInd w:val="0"/>
        <w:snapToGrid w:val="0"/>
        <w:spacing w:line="596"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项目资金申报相符性。</w:t>
      </w:r>
      <w:r>
        <w:rPr>
          <w:rFonts w:hint="eastAsia" w:ascii="仿宋_GB2312" w:hAnsi="仿宋_GB2312" w:eastAsia="仿宋_GB2312" w:cs="仿宋_GB2312"/>
          <w:b w:val="0"/>
          <w:bCs w:val="0"/>
          <w:sz w:val="32"/>
          <w:szCs w:val="32"/>
          <w:lang w:eastAsia="zh-CN"/>
        </w:rPr>
        <w:t>我镇</w:t>
      </w:r>
      <w:r>
        <w:rPr>
          <w:rFonts w:hint="eastAsia" w:ascii="仿宋_GB2312" w:hAnsi="仿宋_GB2312" w:eastAsia="仿宋_GB2312" w:cs="仿宋_GB2312"/>
          <w:sz w:val="32"/>
          <w:szCs w:val="32"/>
          <w:lang w:eastAsia="zh-CN"/>
        </w:rPr>
        <w:t>2021年农村危房改造补助资金</w:t>
      </w:r>
      <w:r>
        <w:rPr>
          <w:rFonts w:hint="eastAsia" w:ascii="仿宋_GB2312" w:hAnsi="仿宋_GB2312" w:eastAsia="仿宋_GB2312" w:cs="仿宋_GB2312"/>
          <w:b w:val="0"/>
          <w:bCs w:val="0"/>
          <w:sz w:val="32"/>
          <w:szCs w:val="32"/>
          <w:lang w:val="en-US" w:eastAsia="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项目实施及管理</w:t>
      </w:r>
      <w:r>
        <w:rPr>
          <w:rFonts w:hint="eastAsia" w:ascii="仿宋_GB2312" w:hAnsi="仿宋_GB2312" w:eastAsia="仿宋_GB2312" w:cs="仿宋_GB2312"/>
          <w:sz w:val="32"/>
          <w:szCs w:val="32"/>
        </w:rPr>
        <w:t>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1.资金计划及到位。根据川财建〔2021〕91号，下达我镇</w:t>
      </w:r>
      <w:r>
        <w:rPr>
          <w:rFonts w:hint="eastAsia" w:ascii="仿宋_GB2312" w:hAnsi="仿宋_GB2312" w:eastAsia="仿宋_GB2312" w:cs="仿宋_GB2312"/>
          <w:sz w:val="32"/>
          <w:szCs w:val="32"/>
          <w:lang w:eastAsia="zh-CN"/>
        </w:rPr>
        <w:t>2021年农村危房改造补助资金</w:t>
      </w:r>
      <w:r>
        <w:rPr>
          <w:rFonts w:hint="eastAsia" w:ascii="仿宋_GB2312" w:hAnsi="仿宋_GB2312" w:eastAsia="仿宋_GB2312" w:cs="仿宋_GB2312"/>
          <w:b w:val="0"/>
          <w:bCs w:val="0"/>
          <w:sz w:val="32"/>
          <w:szCs w:val="32"/>
          <w:lang w:val="en-US" w:eastAsia="zh-CN"/>
        </w:rPr>
        <w:t>计划282万元，截止2021年12月底已全部到位，资金到位率100%、到位及时性100%。</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2.资金使用。</w:t>
      </w:r>
      <w:r>
        <w:rPr>
          <w:rFonts w:hint="eastAsia" w:ascii="仿宋_GB2312" w:hAnsi="仿宋_GB2312" w:eastAsia="仿宋_GB2312" w:cs="仿宋_GB2312"/>
          <w:sz w:val="32"/>
          <w:szCs w:val="32"/>
          <w:lang w:eastAsia="zh-CN"/>
        </w:rPr>
        <w:t>2021年农村危房改造补助资金</w:t>
      </w:r>
      <w:r>
        <w:rPr>
          <w:rFonts w:hint="eastAsia" w:ascii="仿宋_GB2312" w:hAnsi="仿宋_GB2312" w:eastAsia="仿宋_GB2312" w:cs="仿宋_GB2312"/>
          <w:sz w:val="32"/>
          <w:szCs w:val="32"/>
          <w:lang w:val="en-US" w:eastAsia="zh-CN"/>
        </w:rPr>
        <w:t>282</w:t>
      </w:r>
      <w:r>
        <w:rPr>
          <w:rFonts w:hint="eastAsia" w:ascii="仿宋_GB2312" w:hAnsi="仿宋_GB2312" w:eastAsia="仿宋_GB2312" w:cs="仿宋_GB2312"/>
          <w:b w:val="0"/>
          <w:bCs w:val="0"/>
          <w:sz w:val="32"/>
          <w:szCs w:val="32"/>
          <w:lang w:val="en-US"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截止评价时点项目资金的实际支出为</w:t>
      </w:r>
      <w:r>
        <w:rPr>
          <w:rFonts w:hint="eastAsia" w:ascii="仿宋_GB2312" w:hAnsi="仿宋_GB2312" w:eastAsia="仿宋_GB2312" w:cs="仿宋_GB2312"/>
          <w:sz w:val="32"/>
          <w:szCs w:val="32"/>
          <w:lang w:val="en-US" w:eastAsia="zh-CN"/>
        </w:rPr>
        <w:t>282</w:t>
      </w:r>
      <w:r>
        <w:rPr>
          <w:rFonts w:hint="eastAsia" w:ascii="仿宋_GB2312" w:hAnsi="仿宋_GB2312" w:eastAsia="仿宋_GB2312" w:cs="仿宋_GB2312"/>
          <w:b w:val="0"/>
          <w:bCs w:val="0"/>
          <w:sz w:val="32"/>
          <w:szCs w:val="32"/>
          <w:lang w:val="en-US" w:eastAsia="zh-CN"/>
        </w:rPr>
        <w:t>万元</w:t>
      </w:r>
      <w:r>
        <w:rPr>
          <w:rFonts w:hint="eastAsia" w:ascii="仿宋_GB2312" w:hAnsi="仿宋_GB2312" w:eastAsia="仿宋_GB2312" w:cs="仿宋_GB2312"/>
          <w:sz w:val="32"/>
          <w:szCs w:val="32"/>
          <w:lang w:val="en-US" w:eastAsia="zh-CN"/>
        </w:rPr>
        <w:t>。资金用于5个村危房整改，支付进度及支付率均到达100%，并且支付依据合规合法，</w:t>
      </w:r>
      <w:r>
        <w:rPr>
          <w:rFonts w:hint="eastAsia" w:ascii="仿宋_GB2312" w:hAnsi="仿宋_GB2312" w:eastAsia="仿宋_GB2312" w:cs="仿宋_GB2312"/>
          <w:sz w:val="32"/>
          <w:szCs w:val="32"/>
        </w:rPr>
        <w:t>与预算相符。</w:t>
      </w:r>
    </w:p>
    <w:p>
      <w:pPr>
        <w:keepNext w:val="0"/>
        <w:keepLines w:val="0"/>
        <w:pageBreakBefore w:val="0"/>
        <w:widowControl w:val="0"/>
        <w:kinsoku/>
        <w:wordWrap/>
        <w:overflowPunct/>
        <w:topLinePunct w:val="0"/>
        <w:autoSpaceDE/>
        <w:autoSpaceDN/>
        <w:bidi w:val="0"/>
        <w:adjustRightInd w:val="0"/>
        <w:snapToGrid w:val="0"/>
        <w:spacing w:line="596"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项目财务管理情况。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针对项目财务管理，我镇专门设立了财务管理制度，成立了财务领导小组，下设财政所为财务管理办公室，配备专门的财务人员对项目进行会计核算。对照项目资金管理办法，行政事务管理项目严格执行财务管理制度，财务处理及会计核算及时、规范。</w:t>
      </w:r>
    </w:p>
    <w:p>
      <w:pPr>
        <w:keepNext w:val="0"/>
        <w:keepLines w:val="0"/>
        <w:pageBreakBefore w:val="0"/>
        <w:widowControl w:val="0"/>
        <w:numPr>
          <w:ilvl w:val="0"/>
          <w:numId w:val="10"/>
        </w:numPr>
        <w:kinsoku/>
        <w:wordWrap/>
        <w:overflowPunct/>
        <w:topLinePunct w:val="0"/>
        <w:autoSpaceDE/>
        <w:autoSpaceDN/>
        <w:bidi w:val="0"/>
        <w:adjustRightInd w:val="0"/>
        <w:snapToGrid w:val="0"/>
        <w:spacing w:line="59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zh-CN"/>
        </w:rPr>
        <w:t>项目组织实施情况。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1.组织领导</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镇党委政府高度重视</w:t>
      </w:r>
      <w:r>
        <w:rPr>
          <w:rFonts w:hint="eastAsia" w:ascii="仿宋_GB2312" w:hAnsi="仿宋_GB2312" w:eastAsia="仿宋_GB2312" w:cs="仿宋_GB2312"/>
          <w:sz w:val="32"/>
          <w:szCs w:val="32"/>
          <w:lang w:eastAsia="zh-CN"/>
        </w:rPr>
        <w:t>项目资金</w:t>
      </w:r>
      <w:r>
        <w:rPr>
          <w:rFonts w:hint="eastAsia" w:ascii="仿宋_GB2312" w:hAnsi="仿宋_GB2312" w:eastAsia="仿宋_GB2312" w:cs="仿宋_GB2312"/>
          <w:sz w:val="32"/>
          <w:szCs w:val="32"/>
          <w:lang w:val="zh-CN"/>
        </w:rPr>
        <w:t>的绩效管理，成立了监督管理领导小组，统筹协调资金运用全过程。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组  长：刘泽训</w:t>
      </w:r>
      <w:r>
        <w:rPr>
          <w:rFonts w:hint="eastAsia" w:ascii="仿宋_GB2312" w:hAnsi="仿宋_GB2312" w:eastAsia="仿宋_GB2312" w:cs="仿宋_GB2312"/>
          <w:sz w:val="32"/>
          <w:szCs w:val="32"/>
        </w:rPr>
        <w:t xml:space="preserve">     镇长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副组长：</w:t>
      </w:r>
      <w:r>
        <w:rPr>
          <w:rFonts w:hint="eastAsia" w:ascii="仿宋_GB2312" w:hAnsi="仿宋_GB2312" w:eastAsia="仿宋_GB2312" w:cs="仿宋_GB2312"/>
          <w:sz w:val="32"/>
          <w:szCs w:val="32"/>
          <w:lang w:val="en-US" w:eastAsia="zh-CN"/>
        </w:rPr>
        <w:t>张杰</w:t>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副镇长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朱浩</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副镇长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刘永忠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财政所</w:t>
      </w:r>
      <w:r>
        <w:rPr>
          <w:rFonts w:hint="eastAsia" w:ascii="仿宋_GB2312" w:hAnsi="仿宋_GB2312" w:eastAsia="仿宋_GB2312" w:cs="仿宋_GB2312"/>
          <w:sz w:val="32"/>
          <w:szCs w:val="32"/>
          <w:lang w:val="en-US" w:eastAsia="zh-CN"/>
        </w:rPr>
        <w:t>所长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符文成     </w:t>
      </w:r>
      <w:r>
        <w:rPr>
          <w:rFonts w:hint="eastAsia" w:ascii="仿宋_GB2312" w:hAnsi="仿宋_GB2312" w:eastAsia="仿宋_GB2312" w:cs="仿宋_GB2312"/>
          <w:sz w:val="32"/>
          <w:szCs w:val="32"/>
          <w:lang w:eastAsia="zh-CN"/>
        </w:rPr>
        <w:t>国土站干部</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邢彦权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财政所干部</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2.监管措施</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成立了专门的领导小组，从微观上进行了资金管控；制定了相关内部控制制度，从制度上规范了资金运用；建立了监督检查机制，从纪律上加强了资金约束。</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3.执行情况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所有开支均符合财务管理管理规定，资金的运用内部控制制度严格管控，</w:t>
      </w:r>
      <w:r>
        <w:rPr>
          <w:rFonts w:hint="eastAsia" w:ascii="仿宋_GB2312" w:hAnsi="仿宋_GB2312" w:eastAsia="仿宋_GB2312" w:cs="仿宋_GB2312"/>
          <w:sz w:val="32"/>
          <w:szCs w:val="32"/>
          <w:lang w:val="zh-CN"/>
        </w:rPr>
        <w:t>在执行计划过程中</w:t>
      </w:r>
      <w:r>
        <w:rPr>
          <w:rFonts w:hint="eastAsia" w:ascii="仿宋_GB2312" w:hAnsi="仿宋_GB2312" w:eastAsia="仿宋_GB2312" w:cs="仿宋_GB2312"/>
          <w:sz w:val="32"/>
          <w:szCs w:val="32"/>
        </w:rPr>
        <w:t>不存在违规违法的问题。</w:t>
      </w:r>
    </w:p>
    <w:p>
      <w:pPr>
        <w:keepNext w:val="0"/>
        <w:keepLines w:val="0"/>
        <w:pageBreakBefore w:val="0"/>
        <w:widowControl w:val="0"/>
        <w:kinsoku/>
        <w:wordWrap/>
        <w:overflowPunct/>
        <w:topLinePunct w:val="0"/>
        <w:autoSpaceDE/>
        <w:autoSpaceDN/>
        <w:bidi w:val="0"/>
        <w:adjustRightInd w:val="0"/>
        <w:snapToGrid w:val="0"/>
        <w:spacing w:line="59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项目绩效情况</w:t>
      </w:r>
    </w:p>
    <w:p>
      <w:pPr>
        <w:keepNext w:val="0"/>
        <w:keepLines w:val="0"/>
        <w:pageBreakBefore w:val="0"/>
        <w:widowControl w:val="0"/>
        <w:kinsoku/>
        <w:wordWrap/>
        <w:overflowPunct/>
        <w:topLinePunct w:val="0"/>
        <w:autoSpaceDE/>
        <w:autoSpaceDN/>
        <w:bidi w:val="0"/>
        <w:adjustRightInd w:val="0"/>
        <w:snapToGrid w:val="0"/>
        <w:spacing w:line="596" w:lineRule="exact"/>
        <w:ind w:firstLine="720"/>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（一）目标完成情况。</w:t>
      </w:r>
    </w:p>
    <w:p>
      <w:pPr>
        <w:keepNext w:val="0"/>
        <w:keepLines w:val="0"/>
        <w:pageBreakBefore w:val="0"/>
        <w:widowControl w:val="0"/>
        <w:kinsoku/>
        <w:wordWrap/>
        <w:overflowPunct/>
        <w:topLinePunct w:val="0"/>
        <w:autoSpaceDE/>
        <w:autoSpaceDN/>
        <w:bidi w:val="0"/>
        <w:adjustRightInd w:val="0"/>
        <w:snapToGrid w:val="0"/>
        <w:spacing w:line="596" w:lineRule="exact"/>
        <w:ind w:firstLine="720"/>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eastAsia="zh-CN"/>
        </w:rPr>
        <w:t>2021年农村危房改造补助资金</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282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zh-CN"/>
        </w:rPr>
        <w:t>，均按2021年初计划实施，并于2021年</w:t>
      </w:r>
      <w:r>
        <w:rPr>
          <w:rFonts w:hint="eastAsia" w:ascii="仿宋_GB2312" w:hAnsi="仿宋_GB2312" w:eastAsia="仿宋_GB2312" w:cs="仿宋_GB2312"/>
          <w:sz w:val="32"/>
          <w:szCs w:val="32"/>
          <w:lang w:val="en-US" w:eastAsia="zh-CN"/>
        </w:rPr>
        <w:t>12月底</w:t>
      </w:r>
      <w:r>
        <w:rPr>
          <w:rFonts w:hint="eastAsia" w:ascii="仿宋_GB2312" w:hAnsi="仿宋_GB2312" w:eastAsia="仿宋_GB2312" w:cs="仿宋_GB2312"/>
          <w:sz w:val="32"/>
          <w:szCs w:val="32"/>
          <w:lang w:val="zh-CN"/>
        </w:rPr>
        <w:t>完成年度绩效目标。</w:t>
      </w:r>
      <w:r>
        <w:rPr>
          <w:rFonts w:hint="eastAsia" w:ascii="仿宋_GB2312" w:hAnsi="仿宋_GB2312" w:eastAsia="仿宋_GB2312" w:cs="仿宋_GB2312"/>
          <w:sz w:val="32"/>
          <w:szCs w:val="32"/>
        </w:rPr>
        <w:t>项目的开展主要根据镇党委、政府的安排，绩效总目标和阶段性目标按计划完成。</w:t>
      </w:r>
    </w:p>
    <w:p>
      <w:pPr>
        <w:keepNext w:val="0"/>
        <w:keepLines w:val="0"/>
        <w:pageBreakBefore w:val="0"/>
        <w:widowControl w:val="0"/>
        <w:kinsoku/>
        <w:wordWrap/>
        <w:overflowPunct/>
        <w:topLinePunct w:val="0"/>
        <w:autoSpaceDE/>
        <w:autoSpaceDN/>
        <w:bidi w:val="0"/>
        <w:adjustRightInd w:val="0"/>
        <w:snapToGrid w:val="0"/>
        <w:spacing w:line="596" w:lineRule="exact"/>
        <w:ind w:firstLine="720"/>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（二）目标效益情况。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eastAsia="zh-CN"/>
        </w:rPr>
        <w:t>2021年农村危房改造补助资金</w:t>
      </w:r>
      <w:r>
        <w:rPr>
          <w:rFonts w:hint="eastAsia" w:ascii="仿宋_GB2312" w:hAnsi="仿宋_GB2312" w:eastAsia="仿宋_GB2312" w:cs="仿宋_GB2312"/>
          <w:sz w:val="32"/>
          <w:szCs w:val="32"/>
        </w:rPr>
        <w:t>，年初计划</w:t>
      </w:r>
      <w:r>
        <w:rPr>
          <w:rFonts w:hint="eastAsia" w:ascii="仿宋_GB2312" w:hAnsi="仿宋_GB2312" w:eastAsia="仿宋_GB2312" w:cs="仿宋_GB2312"/>
          <w:sz w:val="32"/>
          <w:szCs w:val="32"/>
          <w:lang w:val="zh-CN"/>
        </w:rPr>
        <w:t>依据充分、</w:t>
      </w:r>
      <w:r>
        <w:rPr>
          <w:rFonts w:hint="eastAsia" w:ascii="仿宋_GB2312" w:hAnsi="仿宋_GB2312" w:eastAsia="仿宋_GB2312" w:cs="仿宋_GB2312"/>
          <w:sz w:val="32"/>
          <w:szCs w:val="32"/>
        </w:rPr>
        <w:t>制定科学、</w:t>
      </w:r>
      <w:r>
        <w:rPr>
          <w:rFonts w:hint="eastAsia" w:ascii="仿宋_GB2312" w:hAnsi="仿宋_GB2312" w:eastAsia="仿宋_GB2312" w:cs="仿宋_GB2312"/>
          <w:sz w:val="32"/>
          <w:szCs w:val="32"/>
          <w:lang w:val="zh-CN"/>
        </w:rPr>
        <w:t>目标明确，该项目实施解决了我镇农村危房、老旧房改造问题，从经济、社会、可持续效益及服务对象满意度方面实现了预定的绩效目标符合预期质量要求。</w:t>
      </w:r>
    </w:p>
    <w:p>
      <w:pPr>
        <w:keepNext w:val="0"/>
        <w:keepLines w:val="0"/>
        <w:pageBreakBefore w:val="0"/>
        <w:widowControl w:val="0"/>
        <w:kinsoku/>
        <w:wordWrap/>
        <w:overflowPunct/>
        <w:topLinePunct w:val="0"/>
        <w:autoSpaceDE/>
        <w:autoSpaceDN/>
        <w:bidi w:val="0"/>
        <w:adjustRightInd w:val="0"/>
        <w:snapToGrid w:val="0"/>
        <w:spacing w:line="596"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评价结论</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我单位严格执行相关规定，及时考核目标任务执行进度情况，促使目标进度及时完成。</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、问题及建议</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（一）存在的问题</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项目绩效监管制度不完善。</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（二）相关建议</w:t>
      </w:r>
    </w:p>
    <w:p>
      <w:pPr>
        <w:widowControl w:val="0"/>
        <w:spacing w:beforeLines="30"/>
        <w:jc w:val="both"/>
        <w:rPr>
          <w:rFonts w:hint="eastAsia" w:ascii="黑体" w:hAnsi="黑体" w:eastAsia="黑体" w:cs="Times New Roman"/>
          <w:color w:val="auto"/>
          <w:kern w:val="0"/>
          <w:sz w:val="44"/>
          <w:szCs w:val="44"/>
          <w:highlight w:val="none"/>
          <w:lang w:val="en-US" w:eastAsia="zh-CN" w:bidi="ar-SA"/>
        </w:rPr>
      </w:pPr>
      <w:r>
        <w:rPr>
          <w:rFonts w:hint="eastAsia" w:ascii="仿宋_GB2312" w:hAnsi="仿宋_GB2312" w:eastAsia="仿宋_GB2312" w:cs="仿宋_GB2312"/>
          <w:kern w:val="0"/>
          <w:sz w:val="32"/>
          <w:szCs w:val="32"/>
          <w:lang w:val="zh-CN" w:eastAsia="zh-CN" w:bidi="ar-SA"/>
        </w:rPr>
        <w:t>健全项目管理制度，制定项目用款计划、预期绩效目标，并对项目绩效实施实时监控，有效防止专项资金挤占、挪用现象发生。</w:t>
      </w:r>
    </w:p>
    <w:p>
      <w:pPr>
        <w:pStyle w:val="2"/>
        <w:bidi w:val="0"/>
        <w:rPr>
          <w:b/>
          <w:bCs/>
        </w:rPr>
      </w:pPr>
    </w:p>
    <w:p>
      <w:pPr>
        <w:pStyle w:val="4"/>
        <w:bidi w:val="0"/>
        <w:jc w:val="both"/>
        <w:outlineLvl w:val="9"/>
        <w:rPr>
          <w:rFonts w:hint="eastAsia"/>
        </w:rPr>
      </w:pPr>
      <w:bookmarkStart w:id="87" w:name="_Toc15396618"/>
    </w:p>
    <w:p>
      <w:pPr>
        <w:pStyle w:val="4"/>
        <w:bidi w:val="0"/>
        <w:outlineLvl w:val="0"/>
        <w:rPr>
          <w:rFonts w:hint="eastAsia"/>
        </w:rPr>
      </w:pPr>
      <w:bookmarkStart w:id="88" w:name="_Toc31135"/>
      <w:r>
        <w:rPr>
          <w:rFonts w:hint="eastAsia"/>
        </w:rPr>
        <w:t>第五部分 附表</w:t>
      </w:r>
      <w:bookmarkEnd w:id="85"/>
      <w:bookmarkEnd w:id="87"/>
      <w:bookmarkEnd w:id="88"/>
      <w:bookmarkStart w:id="89" w:name="_Toc15396619"/>
    </w:p>
    <w:p>
      <w:pPr>
        <w:pStyle w:val="4"/>
        <w:jc w:val="left"/>
        <w:rPr>
          <w:rFonts w:ascii="仿宋" w:hAnsi="仿宋" w:eastAsia="仿宋"/>
          <w:color w:val="auto"/>
          <w:highlight w:val="none"/>
        </w:rPr>
      </w:pPr>
      <w:bookmarkStart w:id="90" w:name="_Toc6643"/>
      <w:r>
        <w:rPr>
          <w:rStyle w:val="29"/>
          <w:rFonts w:hint="eastAsia"/>
          <w:b/>
          <w:bCs/>
        </w:rPr>
        <w:t>一、收入支出决算总表</w:t>
      </w:r>
      <w:bookmarkEnd w:id="89"/>
      <w:bookmarkEnd w:id="90"/>
      <w:r>
        <w:drawing>
          <wp:inline distT="0" distB="0" distL="114300" distR="114300">
            <wp:extent cx="5248275" cy="6637655"/>
            <wp:effectExtent l="0" t="0" r="9525" b="10795"/>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3"/>
                    <a:stretch>
                      <a:fillRect/>
                    </a:stretch>
                  </pic:blipFill>
                  <pic:spPr>
                    <a:xfrm>
                      <a:off x="0" y="0"/>
                      <a:ext cx="5248275" cy="6637655"/>
                    </a:xfrm>
                    <a:prstGeom prst="rect">
                      <a:avLst/>
                    </a:prstGeom>
                    <a:noFill/>
                    <a:ln>
                      <a:noFill/>
                    </a:ln>
                  </pic:spPr>
                </pic:pic>
              </a:graphicData>
            </a:graphic>
          </wp:inline>
        </w:drawing>
      </w:r>
    </w:p>
    <w:p>
      <w:pPr>
        <w:keepNext w:val="0"/>
        <w:keepLines w:val="0"/>
        <w:widowControl/>
        <w:suppressLineNumbers w:val="0"/>
        <w:jc w:val="left"/>
      </w:pPr>
      <w:bookmarkStart w:id="91" w:name="_Toc27797"/>
      <w:bookmarkStart w:id="92" w:name="_Toc15396620"/>
      <w:r>
        <w:rPr>
          <w:rStyle w:val="29"/>
          <w:rFonts w:hint="eastAsia"/>
          <w:b/>
          <w:bCs/>
        </w:rPr>
        <w:t>二、收入决算表</w:t>
      </w:r>
      <w:bookmarkEnd w:id="91"/>
      <w:bookmarkEnd w:id="92"/>
      <w:r>
        <w:rPr>
          <w:rFonts w:ascii="宋体" w:hAnsi="宋体" w:eastAsia="宋体" w:cs="宋体"/>
          <w:kern w:val="0"/>
          <w:sz w:val="24"/>
          <w:szCs w:val="24"/>
          <w:lang w:val="en-US" w:eastAsia="zh-CN" w:bidi="ar"/>
        </w:rPr>
        <w:drawing>
          <wp:inline distT="0" distB="0" distL="114300" distR="114300">
            <wp:extent cx="5534025" cy="8382635"/>
            <wp:effectExtent l="0" t="0" r="952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4"/>
                    <a:stretch>
                      <a:fillRect/>
                    </a:stretch>
                  </pic:blipFill>
                  <pic:spPr>
                    <a:xfrm>
                      <a:off x="0" y="0"/>
                      <a:ext cx="5534025" cy="8382635"/>
                    </a:xfrm>
                    <a:prstGeom prst="rect">
                      <a:avLst/>
                    </a:prstGeom>
                    <a:noFill/>
                    <a:ln w="9525">
                      <a:noFill/>
                    </a:ln>
                  </pic:spPr>
                </pic:pic>
              </a:graphicData>
            </a:graphic>
          </wp:inline>
        </w:drawing>
      </w:r>
    </w:p>
    <w:p>
      <w:pPr>
        <w:keepNext w:val="0"/>
        <w:keepLines w:val="0"/>
        <w:widowControl/>
        <w:suppressLineNumbers w:val="0"/>
        <w:jc w:val="left"/>
      </w:pPr>
      <w:bookmarkStart w:id="93" w:name="_Toc17604"/>
      <w:bookmarkStart w:id="94" w:name="_Toc15396621"/>
      <w:r>
        <w:rPr>
          <w:rStyle w:val="29"/>
          <w:rFonts w:hint="eastAsia"/>
          <w:b/>
          <w:bCs/>
        </w:rPr>
        <w:t>三、支出决算表</w:t>
      </w:r>
      <w:bookmarkEnd w:id="93"/>
      <w:bookmarkEnd w:id="94"/>
      <w:r>
        <w:rPr>
          <w:rFonts w:ascii="宋体" w:hAnsi="宋体" w:eastAsia="宋体" w:cs="宋体"/>
          <w:kern w:val="0"/>
          <w:sz w:val="24"/>
          <w:szCs w:val="24"/>
          <w:lang w:val="en-US" w:eastAsia="zh-CN" w:bidi="ar"/>
        </w:rPr>
        <w:drawing>
          <wp:inline distT="0" distB="0" distL="114300" distR="114300">
            <wp:extent cx="6067425" cy="820102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5"/>
                    <a:stretch>
                      <a:fillRect/>
                    </a:stretch>
                  </pic:blipFill>
                  <pic:spPr>
                    <a:xfrm>
                      <a:off x="0" y="0"/>
                      <a:ext cx="6067425" cy="8201025"/>
                    </a:xfrm>
                    <a:prstGeom prst="rect">
                      <a:avLst/>
                    </a:prstGeom>
                    <a:noFill/>
                    <a:ln w="9525">
                      <a:noFill/>
                    </a:ln>
                  </pic:spPr>
                </pic:pic>
              </a:graphicData>
            </a:graphic>
          </wp:inline>
        </w:drawing>
      </w:r>
    </w:p>
    <w:p>
      <w:pPr>
        <w:pStyle w:val="4"/>
        <w:jc w:val="left"/>
        <w:rPr>
          <w:rFonts w:ascii="仿宋" w:hAnsi="仿宋" w:eastAsia="仿宋"/>
          <w:color w:val="auto"/>
          <w:highlight w:val="none"/>
        </w:rPr>
      </w:pPr>
    </w:p>
    <w:p>
      <w:pPr>
        <w:pStyle w:val="4"/>
        <w:jc w:val="left"/>
        <w:rPr>
          <w:rFonts w:ascii="仿宋" w:hAnsi="仿宋" w:eastAsia="仿宋"/>
          <w:b w:val="0"/>
          <w:color w:val="auto"/>
          <w:highlight w:val="none"/>
        </w:rPr>
      </w:pPr>
      <w:bookmarkStart w:id="95" w:name="_Toc15396622"/>
      <w:bookmarkStart w:id="96" w:name="_Toc19235"/>
      <w:r>
        <w:rPr>
          <w:rStyle w:val="29"/>
          <w:rFonts w:hint="eastAsia"/>
          <w:b/>
          <w:bCs/>
        </w:rPr>
        <w:t>四、财政拨款收入支出决算总表</w:t>
      </w:r>
      <w:bookmarkEnd w:id="95"/>
      <w:bookmarkEnd w:id="96"/>
      <w:r>
        <w:drawing>
          <wp:inline distT="0" distB="0" distL="114300" distR="114300">
            <wp:extent cx="5269865" cy="6485890"/>
            <wp:effectExtent l="0" t="0" r="698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269865" cy="6485890"/>
                    </a:xfrm>
                    <a:prstGeom prst="rect">
                      <a:avLst/>
                    </a:prstGeom>
                    <a:noFill/>
                    <a:ln>
                      <a:noFill/>
                    </a:ln>
                  </pic:spPr>
                </pic:pic>
              </a:graphicData>
            </a:graphic>
          </wp:inline>
        </w:drawing>
      </w:r>
    </w:p>
    <w:p>
      <w:pPr>
        <w:pStyle w:val="4"/>
        <w:jc w:val="left"/>
        <w:rPr>
          <w:rStyle w:val="26"/>
          <w:rFonts w:ascii="仿宋" w:hAnsi="仿宋" w:eastAsia="仿宋"/>
          <w:b w:val="0"/>
          <w:bCs w:val="0"/>
          <w:color w:val="auto"/>
          <w:highlight w:val="none"/>
        </w:rPr>
      </w:pPr>
      <w:bookmarkStart w:id="97" w:name="_Toc15396623"/>
      <w:bookmarkStart w:id="98" w:name="_Toc19886"/>
      <w:r>
        <w:rPr>
          <w:rStyle w:val="29"/>
          <w:rFonts w:hint="eastAsia"/>
          <w:b/>
          <w:bCs/>
        </w:rPr>
        <w:t>五、财政拨款支出决算明细表</w:t>
      </w:r>
      <w:bookmarkEnd w:id="97"/>
      <w:bookmarkEnd w:id="98"/>
      <w:bookmarkStart w:id="99" w:name="_Toc15396624"/>
      <w:r>
        <w:drawing>
          <wp:inline distT="0" distB="0" distL="114300" distR="114300">
            <wp:extent cx="5265420" cy="8341995"/>
            <wp:effectExtent l="0" t="0" r="11430" b="190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7"/>
                    <a:stretch>
                      <a:fillRect/>
                    </a:stretch>
                  </pic:blipFill>
                  <pic:spPr>
                    <a:xfrm>
                      <a:off x="0" y="0"/>
                      <a:ext cx="5265420" cy="8341995"/>
                    </a:xfrm>
                    <a:prstGeom prst="rect">
                      <a:avLst/>
                    </a:prstGeom>
                    <a:noFill/>
                    <a:ln>
                      <a:noFill/>
                    </a:ln>
                  </pic:spPr>
                </pic:pic>
              </a:graphicData>
            </a:graphic>
          </wp:inline>
        </w:drawing>
      </w:r>
    </w:p>
    <w:p>
      <w:pPr>
        <w:pStyle w:val="4"/>
        <w:jc w:val="left"/>
        <w:rPr>
          <w:rFonts w:ascii="仿宋" w:hAnsi="仿宋" w:eastAsia="仿宋"/>
          <w:color w:val="auto"/>
          <w:highlight w:val="none"/>
        </w:rPr>
      </w:pPr>
      <w:bookmarkStart w:id="100" w:name="_Toc32202"/>
      <w:r>
        <w:rPr>
          <w:rStyle w:val="29"/>
          <w:rFonts w:hint="eastAsia"/>
          <w:b/>
          <w:bCs/>
        </w:rPr>
        <w:t>六、一般公共预算财政拨款支出决算表</w:t>
      </w:r>
      <w:bookmarkEnd w:id="99"/>
      <w:bookmarkEnd w:id="100"/>
      <w:r>
        <w:drawing>
          <wp:inline distT="0" distB="0" distL="114300" distR="114300">
            <wp:extent cx="5243830" cy="8256905"/>
            <wp:effectExtent l="0" t="0" r="13970" b="1079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8"/>
                    <a:stretch>
                      <a:fillRect/>
                    </a:stretch>
                  </pic:blipFill>
                  <pic:spPr>
                    <a:xfrm>
                      <a:off x="0" y="0"/>
                      <a:ext cx="5243830" cy="8256905"/>
                    </a:xfrm>
                    <a:prstGeom prst="rect">
                      <a:avLst/>
                    </a:prstGeom>
                    <a:noFill/>
                    <a:ln>
                      <a:noFill/>
                    </a:ln>
                  </pic:spPr>
                </pic:pic>
              </a:graphicData>
            </a:graphic>
          </wp:inline>
        </w:drawing>
      </w:r>
    </w:p>
    <w:p>
      <w:pPr>
        <w:pStyle w:val="4"/>
        <w:jc w:val="left"/>
        <w:rPr>
          <w:rFonts w:ascii="仿宋" w:hAnsi="仿宋" w:eastAsia="仿宋"/>
          <w:color w:val="auto"/>
          <w:highlight w:val="none"/>
        </w:rPr>
      </w:pPr>
      <w:bookmarkStart w:id="101" w:name="_Toc15396625"/>
      <w:bookmarkStart w:id="102" w:name="_Toc7216"/>
      <w:r>
        <w:rPr>
          <w:rStyle w:val="29"/>
          <w:rFonts w:hint="eastAsia"/>
          <w:b/>
          <w:bCs/>
        </w:rPr>
        <w:t>七、一般公共预算财政拨款支出决算明细表</w:t>
      </w:r>
      <w:bookmarkEnd w:id="101"/>
      <w:bookmarkEnd w:id="102"/>
      <w:r>
        <w:drawing>
          <wp:inline distT="0" distB="0" distL="114300" distR="114300">
            <wp:extent cx="5475605" cy="2272665"/>
            <wp:effectExtent l="0" t="0" r="10795" b="1333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9"/>
                    <a:stretch>
                      <a:fillRect/>
                    </a:stretch>
                  </pic:blipFill>
                  <pic:spPr>
                    <a:xfrm>
                      <a:off x="0" y="0"/>
                      <a:ext cx="5475605" cy="2272665"/>
                    </a:xfrm>
                    <a:prstGeom prst="rect">
                      <a:avLst/>
                    </a:prstGeom>
                    <a:noFill/>
                    <a:ln>
                      <a:noFill/>
                    </a:ln>
                  </pic:spPr>
                </pic:pic>
              </a:graphicData>
            </a:graphic>
          </wp:inline>
        </w:drawing>
      </w:r>
    </w:p>
    <w:p>
      <w:pPr>
        <w:pStyle w:val="4"/>
        <w:jc w:val="left"/>
        <w:rPr>
          <w:rFonts w:ascii="仿宋" w:hAnsi="仿宋" w:eastAsia="仿宋"/>
          <w:color w:val="auto"/>
          <w:highlight w:val="none"/>
        </w:rPr>
      </w:pPr>
      <w:bookmarkStart w:id="103" w:name="_Toc15396626"/>
      <w:bookmarkStart w:id="104" w:name="_Toc29440"/>
      <w:r>
        <w:rPr>
          <w:rStyle w:val="29"/>
          <w:rFonts w:hint="eastAsia"/>
          <w:b/>
          <w:bCs/>
        </w:rPr>
        <w:t>八、一般公共预算财政拨款基本支出决算表</w:t>
      </w:r>
      <w:bookmarkEnd w:id="103"/>
      <w:bookmarkEnd w:id="104"/>
      <w:r>
        <w:drawing>
          <wp:inline distT="0" distB="0" distL="114300" distR="114300">
            <wp:extent cx="5763895" cy="5214620"/>
            <wp:effectExtent l="0" t="0" r="8255" b="508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0"/>
                    <a:stretch>
                      <a:fillRect/>
                    </a:stretch>
                  </pic:blipFill>
                  <pic:spPr>
                    <a:xfrm>
                      <a:off x="0" y="0"/>
                      <a:ext cx="5763895" cy="5214620"/>
                    </a:xfrm>
                    <a:prstGeom prst="rect">
                      <a:avLst/>
                    </a:prstGeom>
                    <a:noFill/>
                    <a:ln>
                      <a:noFill/>
                    </a:ln>
                  </pic:spPr>
                </pic:pic>
              </a:graphicData>
            </a:graphic>
          </wp:inline>
        </w:drawing>
      </w:r>
    </w:p>
    <w:p>
      <w:pPr>
        <w:pStyle w:val="4"/>
        <w:jc w:val="left"/>
        <w:rPr>
          <w:rFonts w:ascii="仿宋" w:hAnsi="仿宋" w:eastAsia="仿宋"/>
          <w:color w:val="auto"/>
          <w:highlight w:val="none"/>
        </w:rPr>
      </w:pPr>
      <w:bookmarkStart w:id="105" w:name="_Toc24055"/>
      <w:bookmarkStart w:id="106" w:name="_Toc15396627"/>
      <w:r>
        <w:rPr>
          <w:rStyle w:val="29"/>
          <w:rFonts w:hint="eastAsia"/>
          <w:b/>
          <w:bCs/>
        </w:rPr>
        <w:t>九、一般公共预算财政拨款项目支出决算表</w:t>
      </w:r>
      <w:bookmarkEnd w:id="105"/>
      <w:bookmarkEnd w:id="106"/>
      <w:r>
        <w:drawing>
          <wp:inline distT="0" distB="0" distL="114300" distR="114300">
            <wp:extent cx="5272405" cy="4832985"/>
            <wp:effectExtent l="0" t="0" r="4445" b="571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21"/>
                    <a:stretch>
                      <a:fillRect/>
                    </a:stretch>
                  </pic:blipFill>
                  <pic:spPr>
                    <a:xfrm>
                      <a:off x="0" y="0"/>
                      <a:ext cx="5272405" cy="4832985"/>
                    </a:xfrm>
                    <a:prstGeom prst="rect">
                      <a:avLst/>
                    </a:prstGeom>
                    <a:noFill/>
                    <a:ln>
                      <a:noFill/>
                    </a:ln>
                  </pic:spPr>
                </pic:pic>
              </a:graphicData>
            </a:graphic>
          </wp:inline>
        </w:drawing>
      </w:r>
    </w:p>
    <w:p>
      <w:pPr>
        <w:pStyle w:val="4"/>
        <w:jc w:val="left"/>
        <w:rPr>
          <w:rFonts w:ascii="仿宋" w:hAnsi="仿宋" w:eastAsia="仿宋"/>
          <w:color w:val="auto"/>
          <w:highlight w:val="none"/>
        </w:rPr>
      </w:pPr>
      <w:bookmarkStart w:id="107" w:name="_Toc32395"/>
      <w:bookmarkStart w:id="108" w:name="_Toc15396628"/>
      <w:r>
        <w:rPr>
          <w:rStyle w:val="29"/>
          <w:rFonts w:hint="eastAsia"/>
          <w:b/>
          <w:bCs/>
        </w:rPr>
        <w:t>十、一般公共预算财政拨款“三公”经费支出决算表</w:t>
      </w:r>
      <w:bookmarkEnd w:id="107"/>
      <w:bookmarkEnd w:id="108"/>
      <w:r>
        <w:drawing>
          <wp:inline distT="0" distB="0" distL="114300" distR="114300">
            <wp:extent cx="5931535" cy="2496820"/>
            <wp:effectExtent l="0" t="0" r="12065" b="1778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22"/>
                    <a:stretch>
                      <a:fillRect/>
                    </a:stretch>
                  </pic:blipFill>
                  <pic:spPr>
                    <a:xfrm>
                      <a:off x="0" y="0"/>
                      <a:ext cx="5931535" cy="2496820"/>
                    </a:xfrm>
                    <a:prstGeom prst="rect">
                      <a:avLst/>
                    </a:prstGeom>
                    <a:noFill/>
                    <a:ln>
                      <a:noFill/>
                    </a:ln>
                  </pic:spPr>
                </pic:pic>
              </a:graphicData>
            </a:graphic>
          </wp:inline>
        </w:drawing>
      </w:r>
    </w:p>
    <w:p>
      <w:pPr>
        <w:pStyle w:val="4"/>
        <w:jc w:val="left"/>
        <w:rPr>
          <w:rFonts w:ascii="仿宋" w:hAnsi="仿宋" w:eastAsia="仿宋"/>
          <w:color w:val="auto"/>
          <w:highlight w:val="none"/>
        </w:rPr>
      </w:pPr>
      <w:bookmarkStart w:id="109" w:name="_Toc10585"/>
      <w:bookmarkStart w:id="110" w:name="_Toc15396629"/>
      <w:r>
        <w:rPr>
          <w:rStyle w:val="29"/>
          <w:rFonts w:hint="eastAsia"/>
          <w:b/>
          <w:bCs/>
        </w:rPr>
        <w:t>十一、政府性基金预算财政拨款收入支出决算表</w:t>
      </w:r>
      <w:bookmarkEnd w:id="109"/>
      <w:bookmarkEnd w:id="110"/>
      <w:r>
        <w:drawing>
          <wp:inline distT="0" distB="0" distL="114300" distR="114300">
            <wp:extent cx="5267325" cy="1906905"/>
            <wp:effectExtent l="0" t="0" r="9525" b="17145"/>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23"/>
                    <a:stretch>
                      <a:fillRect/>
                    </a:stretch>
                  </pic:blipFill>
                  <pic:spPr>
                    <a:xfrm>
                      <a:off x="0" y="0"/>
                      <a:ext cx="5267325" cy="1906905"/>
                    </a:xfrm>
                    <a:prstGeom prst="rect">
                      <a:avLst/>
                    </a:prstGeom>
                    <a:noFill/>
                    <a:ln>
                      <a:noFill/>
                    </a:ln>
                  </pic:spPr>
                </pic:pic>
              </a:graphicData>
            </a:graphic>
          </wp:inline>
        </w:drawing>
      </w:r>
    </w:p>
    <w:p>
      <w:pPr>
        <w:pStyle w:val="4"/>
        <w:jc w:val="both"/>
        <w:rPr>
          <w:rStyle w:val="29"/>
          <w:rFonts w:hint="eastAsia"/>
          <w:b/>
          <w:bCs/>
        </w:rPr>
      </w:pPr>
      <w:bookmarkStart w:id="111" w:name="_Toc12417"/>
      <w:bookmarkStart w:id="112" w:name="_Toc15396630"/>
      <w:r>
        <w:rPr>
          <w:rStyle w:val="29"/>
          <w:rFonts w:hint="eastAsia"/>
          <w:b/>
          <w:bCs/>
        </w:rPr>
        <w:t>十二、政府性基金预算财政拨款“三公”经费支出决算表</w:t>
      </w:r>
      <w:bookmarkEnd w:id="111"/>
      <w:bookmarkEnd w:id="112"/>
      <w:r>
        <w:drawing>
          <wp:inline distT="0" distB="0" distL="114300" distR="114300">
            <wp:extent cx="5422900" cy="1762125"/>
            <wp:effectExtent l="0" t="0" r="6350" b="9525"/>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4"/>
                    <a:stretch>
                      <a:fillRect/>
                    </a:stretch>
                  </pic:blipFill>
                  <pic:spPr>
                    <a:xfrm>
                      <a:off x="0" y="0"/>
                      <a:ext cx="5422900" cy="1762125"/>
                    </a:xfrm>
                    <a:prstGeom prst="rect">
                      <a:avLst/>
                    </a:prstGeom>
                    <a:noFill/>
                    <a:ln>
                      <a:noFill/>
                    </a:ln>
                  </pic:spPr>
                </pic:pic>
              </a:graphicData>
            </a:graphic>
          </wp:inline>
        </w:drawing>
      </w:r>
    </w:p>
    <w:p/>
    <w:p>
      <w:pPr>
        <w:pStyle w:val="4"/>
        <w:jc w:val="left"/>
      </w:pPr>
      <w:bookmarkStart w:id="113" w:name="_Toc15396631"/>
      <w:bookmarkStart w:id="114" w:name="_Toc15553"/>
      <w:r>
        <w:rPr>
          <w:rStyle w:val="29"/>
          <w:rFonts w:hint="eastAsia"/>
          <w:b/>
          <w:bCs/>
        </w:rPr>
        <w:t>十三、国有资本经营预算</w:t>
      </w:r>
      <w:r>
        <w:rPr>
          <w:rStyle w:val="29"/>
          <w:rFonts w:hint="eastAsia"/>
          <w:b/>
          <w:bCs/>
          <w:lang w:eastAsia="zh-CN"/>
        </w:rPr>
        <w:t>财政拨款收入</w:t>
      </w:r>
      <w:r>
        <w:rPr>
          <w:rStyle w:val="29"/>
          <w:rFonts w:hint="eastAsia"/>
          <w:b/>
          <w:bCs/>
        </w:rPr>
        <w:t>支出决算表</w:t>
      </w:r>
      <w:bookmarkEnd w:id="113"/>
      <w:bookmarkEnd w:id="114"/>
      <w:r>
        <w:drawing>
          <wp:inline distT="0" distB="0" distL="114300" distR="114300">
            <wp:extent cx="5268595" cy="2502535"/>
            <wp:effectExtent l="0" t="0" r="8255" b="12065"/>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25"/>
                    <a:stretch>
                      <a:fillRect/>
                    </a:stretch>
                  </pic:blipFill>
                  <pic:spPr>
                    <a:xfrm>
                      <a:off x="0" y="0"/>
                      <a:ext cx="5268595" cy="2502535"/>
                    </a:xfrm>
                    <a:prstGeom prst="rect">
                      <a:avLst/>
                    </a:prstGeom>
                    <a:noFill/>
                    <a:ln>
                      <a:noFill/>
                    </a:ln>
                  </pic:spPr>
                </pic:pic>
              </a:graphicData>
            </a:graphic>
          </wp:inline>
        </w:drawing>
      </w:r>
    </w:p>
    <w:p/>
    <w:p>
      <w:pPr>
        <w:jc w:val="left"/>
        <w:rPr>
          <w:rFonts w:hint="eastAsia" w:eastAsia="仿宋"/>
          <w:color w:val="auto"/>
          <w:highlight w:val="none"/>
          <w:lang w:eastAsia="zh-CN"/>
        </w:rPr>
      </w:pPr>
      <w:r>
        <w:rPr>
          <w:rStyle w:val="29"/>
          <w:rFonts w:hint="eastAsia"/>
          <w:lang w:val="en-US" w:eastAsia="zh-CN"/>
        </w:rPr>
        <w:t>十四、国有资本经营预算财政拨款支出决算表</w:t>
      </w:r>
      <w:r>
        <w:drawing>
          <wp:inline distT="0" distB="0" distL="114300" distR="114300">
            <wp:extent cx="5713730" cy="3576955"/>
            <wp:effectExtent l="0" t="0" r="1270" b="4445"/>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26"/>
                    <a:stretch>
                      <a:fillRect/>
                    </a:stretch>
                  </pic:blipFill>
                  <pic:spPr>
                    <a:xfrm>
                      <a:off x="0" y="0"/>
                      <a:ext cx="5713730" cy="3576955"/>
                    </a:xfrm>
                    <a:prstGeom prst="rect">
                      <a:avLst/>
                    </a:prstGeom>
                    <a:noFill/>
                    <a:ln>
                      <a:noFill/>
                    </a:ln>
                  </pic:spPr>
                </pic:pic>
              </a:graphicData>
            </a:graphic>
          </wp:inline>
        </w:drawing>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41B83"/>
    <w:multiLevelType w:val="singleLevel"/>
    <w:tmpl w:val="A7D41B83"/>
    <w:lvl w:ilvl="0" w:tentative="0">
      <w:start w:val="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C7A4082"/>
    <w:multiLevelType w:val="singleLevel"/>
    <w:tmpl w:val="DC7A4082"/>
    <w:lvl w:ilvl="0" w:tentative="0">
      <w:start w:val="5"/>
      <w:numFmt w:val="decimal"/>
      <w:lvlText w:val="%1."/>
      <w:lvlJc w:val="left"/>
      <w:pPr>
        <w:tabs>
          <w:tab w:val="left" w:pos="312"/>
        </w:tabs>
      </w:pPr>
      <w:rPr>
        <w:rFonts w:hint="default"/>
        <w:b/>
        <w:bCs/>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F4D674DE"/>
    <w:multiLevelType w:val="singleLevel"/>
    <w:tmpl w:val="F4D674DE"/>
    <w:lvl w:ilvl="0" w:tentative="0">
      <w:start w:val="2"/>
      <w:numFmt w:val="chineseCounting"/>
      <w:suff w:val="nothing"/>
      <w:lvlText w:val="（%1）"/>
      <w:lvlJc w:val="left"/>
      <w:rPr>
        <w:rFonts w:hint="eastAsia"/>
      </w:rPr>
    </w:lvl>
  </w:abstractNum>
  <w:abstractNum w:abstractNumId="5">
    <w:nsid w:val="1144DDC7"/>
    <w:multiLevelType w:val="singleLevel"/>
    <w:tmpl w:val="1144DDC7"/>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DD3C90B"/>
    <w:multiLevelType w:val="singleLevel"/>
    <w:tmpl w:val="3DD3C90B"/>
    <w:lvl w:ilvl="0" w:tentative="0">
      <w:start w:val="1"/>
      <w:numFmt w:val="decimal"/>
      <w:lvlText w:val="%1."/>
      <w:lvlJc w:val="left"/>
      <w:pPr>
        <w:tabs>
          <w:tab w:val="left" w:pos="312"/>
        </w:tabs>
      </w:pPr>
    </w:lvl>
  </w:abstractNum>
  <w:abstractNum w:abstractNumId="8">
    <w:nsid w:val="479E8890"/>
    <w:multiLevelType w:val="singleLevel"/>
    <w:tmpl w:val="479E8890"/>
    <w:lvl w:ilvl="0" w:tentative="0">
      <w:start w:val="2"/>
      <w:numFmt w:val="chineseCounting"/>
      <w:suff w:val="nothing"/>
      <w:lvlText w:val="（%1）"/>
      <w:lvlJc w:val="left"/>
      <w:rPr>
        <w:rFonts w:hint="eastAsia"/>
      </w:rPr>
    </w:lvl>
  </w:abstractNum>
  <w:abstractNum w:abstractNumId="9">
    <w:nsid w:val="5CE65484"/>
    <w:multiLevelType w:val="singleLevel"/>
    <w:tmpl w:val="5CE65484"/>
    <w:lvl w:ilvl="0" w:tentative="0">
      <w:start w:val="17"/>
      <w:numFmt w:val="decimal"/>
      <w:lvlText w:val="%1."/>
      <w:lvlJc w:val="left"/>
      <w:pPr>
        <w:tabs>
          <w:tab w:val="left" w:pos="312"/>
        </w:tabs>
      </w:pPr>
      <w:rPr>
        <w:rFonts w:hint="default"/>
        <w:b/>
        <w:bCs/>
      </w:rPr>
    </w:lvl>
  </w:abstractNum>
  <w:num w:numId="1">
    <w:abstractNumId w:val="5"/>
  </w:num>
  <w:num w:numId="2">
    <w:abstractNumId w:val="0"/>
  </w:num>
  <w:num w:numId="3">
    <w:abstractNumId w:val="6"/>
  </w:num>
  <w:num w:numId="4">
    <w:abstractNumId w:val="2"/>
  </w:num>
  <w:num w:numId="5">
    <w:abstractNumId w:val="9"/>
  </w:num>
  <w:num w:numId="6">
    <w:abstractNumId w:val="7"/>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YmQ0ZmQ2YjMxN2M3M2NmNmU5YzI1ZDE3ODM2N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C5827E2"/>
    <w:rsid w:val="10C055FF"/>
    <w:rsid w:val="118107EC"/>
    <w:rsid w:val="11DD6519"/>
    <w:rsid w:val="16BB723D"/>
    <w:rsid w:val="17C66640"/>
    <w:rsid w:val="18015F3F"/>
    <w:rsid w:val="1BE8440E"/>
    <w:rsid w:val="1D155CEE"/>
    <w:rsid w:val="1DE90178"/>
    <w:rsid w:val="20F57F95"/>
    <w:rsid w:val="20F81D76"/>
    <w:rsid w:val="240371BF"/>
    <w:rsid w:val="25C17AA0"/>
    <w:rsid w:val="25C741E6"/>
    <w:rsid w:val="25EE73A0"/>
    <w:rsid w:val="27842671"/>
    <w:rsid w:val="29FD04D3"/>
    <w:rsid w:val="2ABE7A3E"/>
    <w:rsid w:val="2BF93B2A"/>
    <w:rsid w:val="2D0375FD"/>
    <w:rsid w:val="2EFA178C"/>
    <w:rsid w:val="30B46D73"/>
    <w:rsid w:val="319F7F4E"/>
    <w:rsid w:val="34504354"/>
    <w:rsid w:val="39AE70AB"/>
    <w:rsid w:val="3C0C0783"/>
    <w:rsid w:val="3DC859CF"/>
    <w:rsid w:val="3F9F3A96"/>
    <w:rsid w:val="419620D7"/>
    <w:rsid w:val="434C6C7E"/>
    <w:rsid w:val="48FE72F2"/>
    <w:rsid w:val="493C27E9"/>
    <w:rsid w:val="496F39ED"/>
    <w:rsid w:val="49FF41D3"/>
    <w:rsid w:val="4BE068DB"/>
    <w:rsid w:val="4BF6002B"/>
    <w:rsid w:val="4D5A7F10"/>
    <w:rsid w:val="4ECE2238"/>
    <w:rsid w:val="50601FC9"/>
    <w:rsid w:val="51DB4B86"/>
    <w:rsid w:val="53722616"/>
    <w:rsid w:val="55333C3E"/>
    <w:rsid w:val="56786103"/>
    <w:rsid w:val="57A80A84"/>
    <w:rsid w:val="5A4C0400"/>
    <w:rsid w:val="5CE00B7A"/>
    <w:rsid w:val="5F356886"/>
    <w:rsid w:val="60913763"/>
    <w:rsid w:val="64CA39A1"/>
    <w:rsid w:val="673A7171"/>
    <w:rsid w:val="6A8B2335"/>
    <w:rsid w:val="6B79603C"/>
    <w:rsid w:val="6C4A05C8"/>
    <w:rsid w:val="71A266AA"/>
    <w:rsid w:val="72734D90"/>
    <w:rsid w:val="76E50FB4"/>
    <w:rsid w:val="79E7B28D"/>
    <w:rsid w:val="7B7A7B99"/>
    <w:rsid w:val="7CD8245F"/>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jc w:val="center"/>
      <w:outlineLvl w:val="1"/>
    </w:pPr>
    <w:rPr>
      <w:rFonts w:asciiTheme="majorAscii" w:hAnsiTheme="majorAscii" w:eastAsiaTheme="majorEastAsia" w:cstheme="majorBidi"/>
      <w:b/>
      <w:bCs/>
      <w:sz w:val="44"/>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Title"/>
    <w:basedOn w:val="1"/>
    <w:qFormat/>
    <w:uiPriority w:val="0"/>
    <w:pPr>
      <w:spacing w:before="240" w:beforeAutospacing="0" w:after="60" w:afterAutospacing="0"/>
      <w:jc w:val="center"/>
      <w:outlineLvl w:val="0"/>
    </w:pPr>
    <w:rPr>
      <w:rFonts w:ascii="Arial" w:hAnsi="Arial"/>
      <w:sz w:val="32"/>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Ascii" w:hAnsiTheme="majorAscii" w:eastAsiaTheme="majorEastAsia" w:cstheme="majorBidi"/>
      <w:b/>
      <w:bCs/>
      <w:kern w:val="2"/>
      <w:sz w:val="44"/>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uiPriority w:val="0"/>
    <w:pPr>
      <w:ind w:leftChars="0"/>
    </w:pPr>
    <w:rPr>
      <w:rFonts w:ascii="Times New Roman" w:hAnsi="Times New Roman" w:eastAsia="宋体" w:cs="Times New Roman"/>
      <w:sz w:val="20"/>
      <w:szCs w:val="20"/>
    </w:rPr>
  </w:style>
  <w:style w:type="paragraph" w:customStyle="1" w:styleId="32">
    <w:name w:val="WPSOffice手动目录 2"/>
    <w:uiPriority w:val="0"/>
    <w:pPr>
      <w:ind w:leftChars="200"/>
    </w:pPr>
    <w:rPr>
      <w:rFonts w:ascii="Times New Roman" w:hAnsi="Times New Roman" w:eastAsia="宋体" w:cs="Times New Roman"/>
      <w:sz w:val="20"/>
      <w:szCs w:val="20"/>
    </w:rPr>
  </w:style>
  <w:style w:type="paragraph" w:customStyle="1" w:styleId="33">
    <w:name w:val="四号正文"/>
    <w:qFormat/>
    <w:uiPriority w:val="0"/>
    <w:pPr>
      <w:widowControl w:val="0"/>
      <w:spacing w:line="360" w:lineRule="auto"/>
      <w:jc w:val="both"/>
    </w:pPr>
    <w:rPr>
      <w:rFonts w:ascii="??" w:hAnsi="??" w:eastAsia="宋体" w:cs="宋体"/>
      <w:color w:val="000000"/>
      <w:kern w:val="0"/>
      <w:sz w:val="28"/>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收入</c:v>
                </c:pt>
                <c:pt idx="1">
                  <c:v>支出</c:v>
                </c:pt>
                <c:pt idx="2">
                  <c:v>收支总计</c:v>
                </c:pt>
              </c:strCache>
            </c:strRef>
          </c:cat>
          <c:val>
            <c:numRef>
              <c:f>Sheet1!$B$2:$B$4</c:f>
              <c:numCache>
                <c:formatCode>General</c:formatCode>
                <c:ptCount val="3"/>
                <c:pt idx="0">
                  <c:v>1889.5</c:v>
                </c:pt>
                <c:pt idx="1">
                  <c:v>1889.5</c:v>
                </c:pt>
                <c:pt idx="2">
                  <c:v>3379</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收入</c:v>
                </c:pt>
                <c:pt idx="1">
                  <c:v>支出</c:v>
                </c:pt>
                <c:pt idx="2">
                  <c:v>收支总计</c:v>
                </c:pt>
              </c:strCache>
            </c:strRef>
          </c:cat>
          <c:val>
            <c:numRef>
              <c:f>Sheet1!$C$2:$C$4</c:f>
              <c:numCache>
                <c:formatCode>General</c:formatCode>
                <c:ptCount val="3"/>
                <c:pt idx="0">
                  <c:v>2148.6</c:v>
                </c:pt>
                <c:pt idx="1">
                  <c:v>2148.6</c:v>
                </c:pt>
                <c:pt idx="2">
                  <c:v>4297.2</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Sheet1!$A$2:$A$4</c:f>
              <c:strCache>
                <c:ptCount val="3"/>
                <c:pt idx="0">
                  <c:v>收入</c:v>
                </c:pt>
                <c:pt idx="1">
                  <c:v>支出</c:v>
                </c:pt>
                <c:pt idx="2">
                  <c:v>收支总计</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922339556"/>
        <c:axId val="622612104"/>
      </c:barChart>
      <c:catAx>
        <c:axId val="9223395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612104"/>
        <c:crosses val="autoZero"/>
        <c:auto val="1"/>
        <c:lblAlgn val="ctr"/>
        <c:lblOffset val="100"/>
        <c:noMultiLvlLbl val="0"/>
      </c:catAx>
      <c:valAx>
        <c:axId val="622612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33955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收入结算结构图</a:t>
            </a:r>
          </a:p>
        </c:rich>
      </c:tx>
      <c:layout/>
      <c:overlay val="0"/>
      <c:spPr>
        <a:noFill/>
        <a:ln>
          <a:noFill/>
        </a:ln>
        <a:effectLst/>
      </c:spPr>
    </c:title>
    <c:autoTitleDeleted val="0"/>
    <c:plotArea>
      <c:layout/>
      <c:pieChart>
        <c:varyColors val="1"/>
        <c:ser>
          <c:idx val="0"/>
          <c:order val="0"/>
          <c:tx>
            <c:strRef>
              <c:f>Sheet1!$B$1</c:f>
              <c:strCache>
                <c:ptCount val="1"/>
                <c:pt idx="0">
                  <c:v>收入结算结构图</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46366477879935"/>
                  <c:y val="-0.27552371034215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一般性公告预算财政拨款收入</c:v>
                </c:pt>
                <c:pt idx="1">
                  <c:v>政府性基金预算财政收入</c:v>
                </c:pt>
                <c:pt idx="2">
                  <c:v>其他</c:v>
                </c:pt>
              </c:strCache>
            </c:strRef>
          </c:cat>
          <c:val>
            <c:numRef>
              <c:f>Sheet1!$B$2:$B$4</c:f>
              <c:numCache>
                <c:formatCode>General</c:formatCode>
                <c:ptCount val="3"/>
                <c:pt idx="0">
                  <c:v>99.12</c:v>
                </c:pt>
                <c:pt idx="1">
                  <c:v>0.83</c:v>
                </c:pt>
                <c:pt idx="2">
                  <c:v>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dLbl>
              <c:idx val="0"/>
              <c:layout>
                <c:manualLayout>
                  <c:x val="-0.149187207422932"/>
                  <c:y val="0.157611247652339"/>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590.73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13725"/>
                      <c:h val="0.0585"/>
                    </c:manualLayout>
                  </c15:layout>
                </c:ext>
              </c:extLst>
            </c:dLbl>
            <c:dLbl>
              <c:idx val="1"/>
              <c:layout>
                <c:manualLayout>
                  <c:x val="0.147429500102559"/>
                  <c:y val="-0.200361971228494"/>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1557.87</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139658703071672"/>
                      <c:h val="0.16027531956735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27.5</c:v>
                </c:pt>
                <c:pt idx="1">
                  <c:v>72.5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财政拨款支出</c:v>
                </c:pt>
                <c:pt idx="2">
                  <c:v>财政拨款收支总计</c:v>
                </c:pt>
              </c:strCache>
            </c:strRef>
          </c:cat>
          <c:val>
            <c:numRef>
              <c:f>Sheet1!$B$2:$B$4</c:f>
              <c:numCache>
                <c:formatCode>General</c:formatCode>
                <c:ptCount val="3"/>
                <c:pt idx="0">
                  <c:v>1889.5</c:v>
                </c:pt>
                <c:pt idx="1">
                  <c:v>1889.5</c:v>
                </c:pt>
                <c:pt idx="2">
                  <c:v>3997.1</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财政拨款支出</c:v>
                </c:pt>
                <c:pt idx="2">
                  <c:v>财政拨款收支总计</c:v>
                </c:pt>
              </c:strCache>
            </c:strRef>
          </c:cat>
          <c:val>
            <c:numRef>
              <c:f>Sheet1!$C$2:$C$4</c:f>
              <c:numCache>
                <c:formatCode>General</c:formatCode>
                <c:ptCount val="3"/>
                <c:pt idx="0">
                  <c:v>2147.6</c:v>
                </c:pt>
                <c:pt idx="1">
                  <c:v>2147.6</c:v>
                </c:pt>
                <c:pt idx="2">
                  <c:v>4295.2</c:v>
                </c:pt>
              </c:numCache>
            </c:numRef>
          </c:val>
        </c:ser>
        <c:dLbls>
          <c:showLegendKey val="0"/>
          <c:showVal val="1"/>
          <c:showCatName val="0"/>
          <c:showSerName val="0"/>
          <c:showPercent val="0"/>
          <c:showBubbleSize val="0"/>
        </c:dLbls>
        <c:gapWidth val="219"/>
        <c:overlap val="-27"/>
        <c:axId val="386692850"/>
        <c:axId val="923041243"/>
      </c:barChart>
      <c:catAx>
        <c:axId val="3866928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041243"/>
        <c:crosses val="autoZero"/>
        <c:auto val="1"/>
        <c:lblAlgn val="ctr"/>
        <c:lblOffset val="100"/>
        <c:noMultiLvlLbl val="0"/>
      </c:catAx>
      <c:valAx>
        <c:axId val="9230412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928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财政拨款收、支决算总计变动情况</c:v>
                </c:pt>
              </c:strCache>
            </c:strRef>
          </c:tx>
          <c:spPr>
            <a:solidFill>
              <a:schemeClr val="accent1"/>
            </a:solidFill>
            <a:ln>
              <a:noFill/>
            </a:ln>
            <a:effectLst/>
          </c:spPr>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1889.5</c:v>
                </c:pt>
                <c:pt idx="1">
                  <c:v>2029.8</c:v>
                </c:pt>
              </c:numCache>
            </c:numRef>
          </c:val>
        </c:ser>
        <c:dLbls>
          <c:showLegendKey val="0"/>
          <c:showVal val="0"/>
          <c:showCatName val="0"/>
          <c:showSerName val="0"/>
          <c:showPercent val="0"/>
          <c:showBubbleSize val="0"/>
        </c:dLbls>
        <c:gapWidth val="150"/>
        <c:overlap val="100"/>
        <c:axId val="366882504"/>
        <c:axId val="718082833"/>
      </c:barChart>
      <c:catAx>
        <c:axId val="3668825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082833"/>
        <c:crosses val="autoZero"/>
        <c:auto val="1"/>
        <c:lblAlgn val="ctr"/>
        <c:lblOffset val="100"/>
        <c:noMultiLvlLbl val="0"/>
      </c:catAx>
      <c:valAx>
        <c:axId val="71808283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8825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一般公共服务支出</c:v>
                </c:pt>
                <c:pt idx="1">
                  <c:v>文化旅游体育与传媒支出</c:v>
                </c:pt>
                <c:pt idx="2">
                  <c:v>社会保障和就业支出</c:v>
                </c:pt>
                <c:pt idx="3">
                  <c:v>卫生健康支出</c:v>
                </c:pt>
                <c:pt idx="4">
                  <c:v>农林水支出</c:v>
                </c:pt>
                <c:pt idx="5">
                  <c:v>住房保障支出</c:v>
                </c:pt>
                <c:pt idx="6">
                  <c:v>交通支出</c:v>
                </c:pt>
              </c:strCache>
            </c:strRef>
          </c:cat>
          <c:val>
            <c:numRef>
              <c:f>Sheet1!$B$2:$B$8</c:f>
              <c:numCache>
                <c:formatCode>General</c:formatCode>
                <c:ptCount val="7"/>
                <c:pt idx="0">
                  <c:v>20.24</c:v>
                </c:pt>
                <c:pt idx="1">
                  <c:v>0.05</c:v>
                </c:pt>
                <c:pt idx="2">
                  <c:v>3.97</c:v>
                </c:pt>
                <c:pt idx="3">
                  <c:v>1.25</c:v>
                </c:pt>
                <c:pt idx="4">
                  <c:v>59.03</c:v>
                </c:pt>
                <c:pt idx="5">
                  <c:v>14.68</c:v>
                </c:pt>
                <c:pt idx="6">
                  <c:v>0.029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Sheet1!$A$2:$A$5</c:f>
              <c:strCache>
                <c:ptCount val="2"/>
                <c:pt idx="0">
                  <c:v>公务用车运行费</c:v>
                </c:pt>
                <c:pt idx="1">
                  <c:v>公务接待费</c:v>
                </c:pt>
              </c:strCache>
            </c:strRef>
          </c:cat>
          <c:val>
            <c:numRef>
              <c:f>Sheet1!$B$2:$B$5</c:f>
              <c:numCache>
                <c:formatCode>General</c:formatCode>
                <c:ptCount val="2"/>
                <c:pt idx="0">
                  <c:v>0</c:v>
                </c:pt>
                <c:pt idx="1">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37</Pages>
  <Words>8936</Words>
  <Characters>9618</Characters>
  <Lines>61</Lines>
  <Paragraphs>17</Paragraphs>
  <TotalTime>5</TotalTime>
  <ScaleCrop>false</ScaleCrop>
  <LinksUpToDate>false</LinksUpToDate>
  <CharactersWithSpaces>11480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2022-09-14T01:59:58Z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4585F327553A4E6CB681C60EB1287C4F</vt:lpwstr>
  </property>
</Properties>
</file>