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480" w:lineRule="auto"/>
        <w:jc w:val="center"/>
        <w:rPr>
          <w:rFonts w:ascii="黑体" w:hAnsi="黑体" w:eastAsia="黑体"/>
          <w:color w:val="000000"/>
          <w:sz w:val="72"/>
          <w:szCs w:val="72"/>
        </w:rPr>
      </w:pPr>
      <w:bookmarkStart w:id="1" w:name="_Toc5732"/>
      <w:bookmarkStart w:id="2" w:name="_Toc15377193"/>
      <w:bookmarkStart w:id="3" w:name="_Toc15378441"/>
      <w:bookmarkStart w:id="4" w:name="_Toc15396475"/>
      <w:bookmarkStart w:id="5" w:name="_Toc15377425"/>
      <w:bookmarkStart w:id="6" w:name="_Toc15396597"/>
    </w:p>
    <w:bookmarkEnd w:id="0"/>
    <w:bookmarkEnd w:id="1"/>
    <w:bookmarkEnd w:id="2"/>
    <w:bookmarkEnd w:id="3"/>
    <w:bookmarkEnd w:id="4"/>
    <w:bookmarkEnd w:id="5"/>
    <w:bookmarkEnd w:id="6"/>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6797"/>
      <w:bookmarkStart w:id="8" w:name="_Toc31122"/>
      <w:bookmarkStart w:id="9" w:name="_Toc17836"/>
      <w:bookmarkStart w:id="10" w:name="_Toc9460"/>
      <w:bookmarkStart w:id="11" w:name="_Toc25206"/>
      <w:r>
        <w:rPr>
          <w:rFonts w:hint="eastAsia" w:ascii="方正小标宋简体" w:hAnsi="方正小标宋简体" w:eastAsia="方正小标宋简体" w:cs="方正小标宋简体"/>
          <w:sz w:val="72"/>
          <w:szCs w:val="72"/>
        </w:rPr>
        <w:t>2021年度</w:t>
      </w:r>
      <w:bookmarkEnd w:id="7"/>
      <w:bookmarkEnd w:id="8"/>
      <w:bookmarkEnd w:id="9"/>
      <w:bookmarkEnd w:id="10"/>
      <w:bookmarkEnd w:id="11"/>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2" w:name="_Toc14362"/>
      <w:bookmarkStart w:id="13" w:name="_Toc15396476"/>
      <w:bookmarkStart w:id="14" w:name="_Toc15378442"/>
      <w:bookmarkStart w:id="15" w:name="_Toc6807"/>
      <w:bookmarkStart w:id="16" w:name="_Toc14105"/>
      <w:bookmarkStart w:id="17" w:name="_Toc15396598"/>
      <w:bookmarkStart w:id="18" w:name="_Toc15377194"/>
      <w:bookmarkStart w:id="19" w:name="_Toc15377426"/>
      <w:bookmarkStart w:id="20" w:name="_Toc12083"/>
      <w:bookmarkStart w:id="21" w:name="_Toc7246"/>
      <w:r>
        <w:rPr>
          <w:rFonts w:hint="eastAsia" w:ascii="方正小标宋简体" w:hAnsi="方正小标宋简体" w:eastAsia="方正小标宋简体" w:cs="方正小标宋简体"/>
          <w:sz w:val="72"/>
          <w:szCs w:val="72"/>
        </w:rPr>
        <w:t>四川省</w:t>
      </w:r>
      <w:bookmarkStart w:id="22" w:name="_Toc15306268"/>
      <w:r>
        <w:rPr>
          <w:rFonts w:hint="eastAsia" w:ascii="方正小标宋简体" w:hAnsi="方正小标宋简体" w:eastAsia="方正小标宋简体" w:cs="方正小标宋简体"/>
          <w:sz w:val="72"/>
          <w:szCs w:val="72"/>
        </w:rPr>
        <w:t>巴中市通江县涪阳镇草池卫生院单位决算</w:t>
      </w:r>
      <w:bookmarkEnd w:id="12"/>
      <w:bookmarkEnd w:id="13"/>
      <w:bookmarkEnd w:id="14"/>
      <w:bookmarkEnd w:id="15"/>
      <w:bookmarkEnd w:id="16"/>
      <w:bookmarkEnd w:id="17"/>
      <w:bookmarkEnd w:id="18"/>
      <w:bookmarkEnd w:id="19"/>
      <w:bookmarkEnd w:id="20"/>
      <w:bookmarkEnd w:id="21"/>
      <w:bookmarkEnd w:id="22"/>
    </w:p>
    <w:p>
      <w:pPr>
        <w:adjustRightInd w:val="0"/>
        <w:snapToGrid w:val="0"/>
        <w:spacing w:line="360" w:lineRule="auto"/>
        <w:jc w:val="center"/>
        <w:rPr>
          <w:rFonts w:eastAsia="方正小标宋简体"/>
          <w:color w:val="000000"/>
          <w:sz w:val="72"/>
          <w:szCs w:val="72"/>
          <w:highlight w:val="red"/>
        </w:rPr>
      </w:pPr>
    </w:p>
    <w:p>
      <w:pPr>
        <w:widowControl/>
        <w:jc w:val="center"/>
        <w:rPr>
          <w:rFonts w:ascii="黑体" w:hAnsi="黑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826" w:bottom="1440" w:left="780" w:header="851" w:footer="992" w:gutter="0"/>
          <w:pgNumType w:start="1"/>
          <w:cols w:space="720" w:num="1"/>
          <w:titlePg/>
          <w:docGrid w:type="lines" w:linePitch="312" w:charSpace="0"/>
        </w:sectPr>
      </w:pPr>
    </w:p>
    <w:p>
      <w:pPr>
        <w:widowControl/>
        <w:jc w:val="center"/>
        <w:rPr>
          <w:rFonts w:ascii="黑体" w:hAnsi="黑体" w:eastAsia="黑体"/>
          <w:sz w:val="28"/>
          <w:szCs w:val="28"/>
        </w:rPr>
      </w:pPr>
      <w:r>
        <w:rPr>
          <w:rFonts w:hint="eastAsia" w:ascii="黑体" w:hAnsi="黑体" w:eastAsia="黑体"/>
          <w:color w:val="000000"/>
          <w:sz w:val="48"/>
          <w:szCs w:val="48"/>
        </w:rPr>
        <w:t>目录</w:t>
      </w:r>
    </w:p>
    <w:p>
      <w:pPr>
        <w:pStyle w:val="35"/>
      </w:pPr>
      <w:r>
        <w:rPr>
          <w:rFonts w:hint="eastAsia"/>
        </w:rPr>
        <w:t>公开时间：</w:t>
      </w:r>
      <w:r>
        <w:t>202</w:t>
      </w:r>
      <w:r>
        <w:rPr>
          <w:rFonts w:hint="eastAsia"/>
        </w:rPr>
        <w:t>2年8月25日</w:t>
      </w:r>
    </w:p>
    <w:p>
      <w:pPr>
        <w:pStyle w:val="41"/>
        <w:tabs>
          <w:tab w:val="right" w:leader="dot" w:pos="10300"/>
        </w:tabs>
        <w:rPr>
          <w:b/>
        </w:rPr>
      </w:pPr>
      <w:r>
        <w:fldChar w:fldCharType="begin"/>
      </w:r>
      <w:r>
        <w:instrText xml:space="preserve">TOC \o "1-2" \h \u</w:instrText>
      </w:r>
      <w:r>
        <w:fldChar w:fldCharType="separate"/>
      </w:r>
    </w:p>
    <w:p>
      <w:pPr>
        <w:pStyle w:val="41"/>
        <w:tabs>
          <w:tab w:val="right" w:leader="dot" w:pos="10300"/>
        </w:tabs>
        <w:rPr>
          <w:rFonts w:ascii="仿宋" w:hAnsi="仿宋" w:eastAsia="仿宋" w:cs="仿宋"/>
          <w:bCs/>
          <w:sz w:val="24"/>
          <w:szCs w:val="24"/>
        </w:rPr>
      </w:pPr>
      <w:r>
        <w:fldChar w:fldCharType="begin"/>
      </w:r>
      <w:r>
        <w:instrText xml:space="preserve"> HYPERLINK \l "_Toc3173" </w:instrText>
      </w:r>
      <w:r>
        <w:fldChar w:fldCharType="separate"/>
      </w:r>
      <w:r>
        <w:rPr>
          <w:rFonts w:hint="eastAsia" w:ascii="仿宋" w:hAnsi="仿宋" w:eastAsia="仿宋" w:cs="仿宋"/>
          <w:bCs/>
          <w:sz w:val="24"/>
          <w:szCs w:val="24"/>
        </w:rPr>
        <w:t>第一部分</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单位概况</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_Toc3173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2</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"_Toc27135" </w:instrText>
      </w:r>
      <w:r>
        <w:fldChar w:fldCharType="separate"/>
      </w:r>
      <w:r>
        <w:rPr>
          <w:rFonts w:hint="eastAsia" w:ascii="仿宋" w:hAnsi="仿宋" w:eastAsia="仿宋" w:cs="仿宋"/>
          <w:bCs/>
          <w:sz w:val="24"/>
          <w:szCs w:val="24"/>
        </w:rPr>
        <w:t>一、职能简介</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_Toc27135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2</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"_Toc25424" </w:instrText>
      </w:r>
      <w:r>
        <w:fldChar w:fldCharType="separate"/>
      </w:r>
      <w:r>
        <w:rPr>
          <w:rFonts w:hint="eastAsia" w:ascii="仿宋" w:hAnsi="仿宋" w:eastAsia="仿宋" w:cs="仿宋"/>
          <w:bCs/>
          <w:sz w:val="24"/>
          <w:szCs w:val="24"/>
        </w:rPr>
        <w:t>二、2021年重点工作完成情况。</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_Toc25424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2</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1"/>
        <w:tabs>
          <w:tab w:val="right" w:leader="dot" w:pos="10300"/>
        </w:tabs>
        <w:rPr>
          <w:rFonts w:ascii="仿宋" w:hAnsi="仿宋" w:eastAsia="仿宋" w:cs="仿宋"/>
          <w:bCs/>
          <w:sz w:val="24"/>
          <w:szCs w:val="24"/>
        </w:rPr>
      </w:pPr>
      <w:r>
        <w:fldChar w:fldCharType="begin"/>
      </w:r>
      <w:r>
        <w:instrText xml:space="preserve"> HYPERLINK \l "_Toc13177" </w:instrText>
      </w:r>
      <w:r>
        <w:fldChar w:fldCharType="separate"/>
      </w:r>
      <w:r>
        <w:rPr>
          <w:rFonts w:hint="eastAsia" w:ascii="仿宋" w:hAnsi="仿宋" w:eastAsia="仿宋" w:cs="仿宋"/>
          <w:bCs/>
          <w:sz w:val="24"/>
          <w:szCs w:val="24"/>
        </w:rPr>
        <w:t>第二部分 2021年度单位决算情况说明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_Toc13177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3</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"_Toc15116" </w:instrText>
      </w:r>
      <w:r>
        <w:fldChar w:fldCharType="separate"/>
      </w:r>
      <w:r>
        <w:rPr>
          <w:rFonts w:hint="eastAsia" w:ascii="仿宋" w:hAnsi="仿宋" w:eastAsia="仿宋" w:cs="仿宋"/>
          <w:bCs/>
          <w:sz w:val="24"/>
          <w:szCs w:val="24"/>
        </w:rPr>
        <w:t>一、收入支出决算总体情况说明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_Toc15116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3</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"_Toc17041" </w:instrText>
      </w:r>
      <w:r>
        <w:fldChar w:fldCharType="separate"/>
      </w:r>
      <w:r>
        <w:rPr>
          <w:rFonts w:hint="eastAsia" w:ascii="仿宋" w:hAnsi="仿宋" w:eastAsia="仿宋" w:cs="仿宋"/>
          <w:bCs/>
          <w:sz w:val="24"/>
          <w:szCs w:val="24"/>
        </w:rPr>
        <w:t>二、收入决算情况说明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_Toc17041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3</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"_Toc10043" </w:instrText>
      </w:r>
      <w:r>
        <w:fldChar w:fldCharType="separate"/>
      </w:r>
      <w:r>
        <w:rPr>
          <w:rFonts w:hint="eastAsia" w:ascii="仿宋" w:hAnsi="仿宋" w:eastAsia="仿宋" w:cs="仿宋"/>
          <w:bCs/>
          <w:sz w:val="24"/>
          <w:szCs w:val="24"/>
        </w:rPr>
        <w:t>三、支出决算情况说明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_Toc10043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4</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"_Toc2590" </w:instrText>
      </w:r>
      <w:r>
        <w:fldChar w:fldCharType="separate"/>
      </w:r>
      <w:r>
        <w:rPr>
          <w:rFonts w:hint="eastAsia" w:ascii="仿宋" w:hAnsi="仿宋" w:eastAsia="仿宋" w:cs="仿宋"/>
          <w:bCs/>
          <w:sz w:val="24"/>
          <w:szCs w:val="24"/>
        </w:rPr>
        <w:t>四、财政拨款收入支出决算总体情况说明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_Toc2590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4</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"_Toc17786" </w:instrText>
      </w:r>
      <w:r>
        <w:fldChar w:fldCharType="separate"/>
      </w:r>
      <w:r>
        <w:rPr>
          <w:rFonts w:hint="eastAsia"/>
          <w:u w:val="none" w:color="FFB03A"/>
          <w:shd w:val="clear" w:fill="auto"/>
          <w:lang w:val="en-US" w:eastAsia="zh-CN"/>
        </w:rPr>
        <w:t>五</w:t>
      </w:r>
      <w:r>
        <w:rPr>
          <w:rFonts w:hint="eastAsia" w:ascii="仿宋" w:hAnsi="仿宋" w:eastAsia="仿宋" w:cs="仿宋"/>
          <w:bCs/>
          <w:sz w:val="24"/>
          <w:szCs w:val="24"/>
          <w:u w:val="none" w:color="FFB03A"/>
          <w:shd w:val="clear" w:fill="auto"/>
        </w:rPr>
        <w:t>、</w:t>
      </w:r>
      <w:r>
        <w:rPr>
          <w:rFonts w:hint="eastAsia" w:ascii="仿宋" w:hAnsi="仿宋" w:eastAsia="仿宋" w:cs="仿宋"/>
          <w:bCs/>
          <w:sz w:val="24"/>
          <w:szCs w:val="24"/>
        </w:rPr>
        <w:t>一般公共预算财政拨款基本支出决算情况说明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_Toc17786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6</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"_Toc1534" </w:instrText>
      </w:r>
      <w:r>
        <w:fldChar w:fldCharType="separate"/>
      </w:r>
      <w:r>
        <w:rPr>
          <w:rFonts w:hint="eastAsia" w:ascii="仿宋" w:hAnsi="仿宋" w:eastAsia="仿宋" w:cs="仿宋"/>
          <w:bCs/>
          <w:sz w:val="24"/>
          <w:szCs w:val="24"/>
          <w:lang w:val="en-US" w:eastAsia="zh-CN"/>
        </w:rPr>
        <w:t>六</w:t>
      </w:r>
      <w:r>
        <w:rPr>
          <w:rFonts w:hint="eastAsia" w:ascii="仿宋" w:hAnsi="仿宋" w:eastAsia="仿宋" w:cs="仿宋"/>
          <w:bCs/>
          <w:sz w:val="24"/>
          <w:szCs w:val="24"/>
        </w:rPr>
        <w:t>、“三公”经费财政拨款支出决算情况说明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_Toc1534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7</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"_Toc16041" </w:instrText>
      </w:r>
      <w:r>
        <w:fldChar w:fldCharType="separate"/>
      </w:r>
      <w:r>
        <w:rPr>
          <w:rFonts w:hint="eastAsia" w:ascii="仿宋" w:hAnsi="仿宋" w:eastAsia="仿宋" w:cs="仿宋"/>
          <w:bCs/>
          <w:sz w:val="24"/>
          <w:szCs w:val="24"/>
          <w:lang w:val="en-US" w:eastAsia="zh-CN"/>
        </w:rPr>
        <w:t>七</w:t>
      </w:r>
      <w:r>
        <w:rPr>
          <w:rFonts w:hint="eastAsia" w:ascii="仿宋" w:hAnsi="仿宋" w:eastAsia="仿宋" w:cs="仿宋"/>
          <w:bCs/>
          <w:sz w:val="24"/>
          <w:szCs w:val="24"/>
        </w:rPr>
        <w:t>、政府性基金预算支出决算情况说明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_Toc16041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8</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"_Toc15540" </w:instrText>
      </w:r>
      <w:r>
        <w:fldChar w:fldCharType="separate"/>
      </w:r>
      <w:r>
        <w:rPr>
          <w:rFonts w:hint="eastAsia" w:ascii="仿宋" w:hAnsi="仿宋" w:eastAsia="仿宋" w:cs="仿宋"/>
          <w:bCs/>
          <w:sz w:val="24"/>
          <w:szCs w:val="24"/>
          <w:lang w:val="en-US" w:eastAsia="zh-CN"/>
        </w:rPr>
        <w:t>八</w:t>
      </w:r>
      <w:r>
        <w:rPr>
          <w:rFonts w:hint="eastAsia" w:ascii="仿宋" w:hAnsi="仿宋" w:eastAsia="仿宋" w:cs="仿宋"/>
          <w:bCs/>
          <w:sz w:val="24"/>
          <w:szCs w:val="24"/>
        </w:rPr>
        <w:t>、国有资本经营预算支出决算情况说明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_Toc15540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8</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"_Toc18009" </w:instrText>
      </w:r>
      <w:r>
        <w:fldChar w:fldCharType="separate"/>
      </w:r>
      <w:r>
        <w:rPr>
          <w:rFonts w:hint="eastAsia"/>
          <w:lang w:val="en-US" w:eastAsia="zh-CN"/>
        </w:rPr>
        <w:t>九</w:t>
      </w:r>
      <w:r>
        <w:rPr>
          <w:rFonts w:hint="eastAsia" w:ascii="仿宋" w:hAnsi="仿宋" w:eastAsia="仿宋" w:cs="仿宋"/>
          <w:bCs/>
          <w:sz w:val="24"/>
          <w:szCs w:val="24"/>
        </w:rPr>
        <w:t>、其他重要事项的情况说明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_Toc18009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8</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1"/>
        <w:tabs>
          <w:tab w:val="right" w:leader="dot" w:pos="10300"/>
        </w:tabs>
        <w:rPr>
          <w:rFonts w:ascii="仿宋" w:hAnsi="仿宋" w:eastAsia="仿宋" w:cs="仿宋"/>
          <w:bCs/>
          <w:sz w:val="24"/>
          <w:szCs w:val="24"/>
        </w:rPr>
      </w:pPr>
      <w:r>
        <w:fldChar w:fldCharType="begin"/>
      </w:r>
      <w:r>
        <w:instrText xml:space="preserve"> HYPERLINK \l "_Toc27210" </w:instrText>
      </w:r>
      <w:r>
        <w:fldChar w:fldCharType="separate"/>
      </w:r>
      <w:r>
        <w:rPr>
          <w:rFonts w:hint="eastAsia" w:ascii="仿宋" w:hAnsi="仿宋" w:eastAsia="仿宋" w:cs="仿宋"/>
          <w:bCs/>
          <w:sz w:val="24"/>
          <w:szCs w:val="24"/>
        </w:rPr>
        <w:t>第三部分</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名词解释</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_Toc27210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10</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1"/>
        <w:tabs>
          <w:tab w:val="right" w:leader="dot" w:pos="10300"/>
        </w:tabs>
        <w:rPr>
          <w:rFonts w:ascii="仿宋" w:hAnsi="仿宋" w:eastAsia="仿宋" w:cs="仿宋"/>
          <w:bCs/>
          <w:sz w:val="24"/>
          <w:szCs w:val="24"/>
        </w:rPr>
      </w:pPr>
      <w:r>
        <w:fldChar w:fldCharType="begin"/>
      </w:r>
      <w:r>
        <w:instrText xml:space="preserve"> HYPERLINK \l "_Toc5960" </w:instrText>
      </w:r>
      <w:r>
        <w:fldChar w:fldCharType="separate"/>
      </w:r>
      <w:r>
        <w:rPr>
          <w:rFonts w:hint="eastAsia" w:ascii="仿宋" w:hAnsi="仿宋" w:eastAsia="仿宋" w:cs="仿宋"/>
          <w:bCs/>
          <w:sz w:val="24"/>
          <w:szCs w:val="24"/>
        </w:rPr>
        <w:t>第四部分</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附件</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_Toc5960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12</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"_Toc29584" </w:instrText>
      </w:r>
      <w:r>
        <w:fldChar w:fldCharType="separate"/>
      </w:r>
      <w:r>
        <w:rPr>
          <w:rFonts w:hint="eastAsia" w:ascii="仿宋" w:hAnsi="仿宋" w:eastAsia="仿宋" w:cs="仿宋"/>
          <w:bCs/>
          <w:sz w:val="24"/>
          <w:szCs w:val="24"/>
        </w:rPr>
        <w:t>附件</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_Toc29584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12</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0" w:leftChars="0"/>
        <w:rPr>
          <w:rFonts w:ascii="仿宋" w:hAnsi="仿宋" w:eastAsia="仿宋" w:cs="仿宋"/>
          <w:bCs/>
          <w:sz w:val="24"/>
          <w:szCs w:val="24"/>
        </w:rPr>
      </w:pPr>
      <w:r>
        <w:fldChar w:fldCharType="begin"/>
      </w:r>
      <w:r>
        <w:instrText xml:space="preserve"> HYPERLINK \l "_Toc27620" </w:instrText>
      </w:r>
      <w:r>
        <w:fldChar w:fldCharType="separate"/>
      </w:r>
      <w:r>
        <w:rPr>
          <w:rFonts w:hint="eastAsia" w:ascii="仿宋" w:hAnsi="仿宋" w:eastAsia="仿宋" w:cs="仿宋"/>
          <w:bCs/>
          <w:sz w:val="24"/>
          <w:szCs w:val="24"/>
        </w:rPr>
        <w:t>第五部分</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附表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_Toc27620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"_Toc30353" </w:instrText>
      </w:r>
      <w:r>
        <w:fldChar w:fldCharType="separate"/>
      </w:r>
      <w:r>
        <w:rPr>
          <w:rFonts w:hint="eastAsia" w:ascii="仿宋" w:hAnsi="仿宋" w:eastAsia="仿宋" w:cs="仿宋"/>
          <w:bCs/>
          <w:sz w:val="24"/>
          <w:szCs w:val="24"/>
        </w:rPr>
        <w:t>一、收入支出决算总表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_Toc30353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"_Toc27134" </w:instrText>
      </w:r>
      <w:r>
        <w:fldChar w:fldCharType="separate"/>
      </w:r>
      <w:r>
        <w:rPr>
          <w:rFonts w:hint="eastAsia" w:ascii="仿宋" w:hAnsi="仿宋" w:eastAsia="仿宋" w:cs="仿宋"/>
          <w:bCs/>
          <w:sz w:val="24"/>
          <w:szCs w:val="24"/>
        </w:rPr>
        <w:t>二、收入决算表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_Toc27134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"_Toc18952" </w:instrText>
      </w:r>
      <w:r>
        <w:fldChar w:fldCharType="separate"/>
      </w:r>
      <w:r>
        <w:rPr>
          <w:rFonts w:hint="eastAsia" w:ascii="仿宋" w:hAnsi="仿宋" w:eastAsia="仿宋" w:cs="仿宋"/>
          <w:bCs/>
          <w:sz w:val="24"/>
          <w:szCs w:val="24"/>
        </w:rPr>
        <w:t>三、支出决算表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_Toc18952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"_Toc23786" </w:instrText>
      </w:r>
      <w:r>
        <w:fldChar w:fldCharType="separate"/>
      </w:r>
      <w:r>
        <w:rPr>
          <w:rFonts w:hint="eastAsia" w:ascii="仿宋" w:hAnsi="仿宋" w:eastAsia="仿宋" w:cs="仿宋"/>
          <w:bCs/>
          <w:sz w:val="24"/>
          <w:szCs w:val="24"/>
        </w:rPr>
        <w:t>四、财政拨款收入支出决算总表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_Toc23786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"_Toc9586" </w:instrText>
      </w:r>
      <w:r>
        <w:fldChar w:fldCharType="separate"/>
      </w:r>
      <w:r>
        <w:rPr>
          <w:rFonts w:hint="eastAsia" w:ascii="仿宋" w:hAnsi="仿宋" w:eastAsia="仿宋" w:cs="仿宋"/>
          <w:bCs/>
          <w:sz w:val="24"/>
          <w:szCs w:val="24"/>
        </w:rPr>
        <w:t>五、财政拨款支出决算明细表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_Toc9586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"_Toc14785" </w:instrText>
      </w:r>
      <w:r>
        <w:fldChar w:fldCharType="separate"/>
      </w:r>
      <w:r>
        <w:rPr>
          <w:rFonts w:hint="eastAsia" w:ascii="仿宋" w:hAnsi="仿宋" w:eastAsia="仿宋" w:cs="仿宋"/>
          <w:bCs/>
          <w:sz w:val="24"/>
          <w:szCs w:val="24"/>
        </w:rPr>
        <w:t>六、一般公共预算财政拨款支出决算表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_Toc14785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"_Toc7887" </w:instrText>
      </w:r>
      <w:r>
        <w:fldChar w:fldCharType="separate"/>
      </w:r>
      <w:r>
        <w:rPr>
          <w:rFonts w:hint="eastAsia" w:ascii="仿宋" w:hAnsi="仿宋" w:eastAsia="仿宋" w:cs="仿宋"/>
          <w:bCs/>
          <w:sz w:val="24"/>
          <w:szCs w:val="24"/>
        </w:rPr>
        <w:t>七、一般公共预算财政拨款支出决算明细表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_Toc7887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"_Toc1702" </w:instrText>
      </w:r>
      <w:r>
        <w:fldChar w:fldCharType="separate"/>
      </w:r>
      <w:r>
        <w:rPr>
          <w:rFonts w:hint="eastAsia" w:ascii="仿宋" w:hAnsi="仿宋" w:eastAsia="仿宋" w:cs="仿宋"/>
          <w:bCs/>
          <w:sz w:val="24"/>
          <w:szCs w:val="24"/>
        </w:rPr>
        <w:t>八、一般公共预算财政拨款基本支出决算表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_Toc1702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"_Toc21327" </w:instrText>
      </w:r>
      <w:r>
        <w:fldChar w:fldCharType="separate"/>
      </w:r>
      <w:r>
        <w:rPr>
          <w:rFonts w:hint="eastAsia" w:ascii="仿宋" w:hAnsi="仿宋" w:eastAsia="仿宋" w:cs="仿宋"/>
          <w:bCs/>
          <w:sz w:val="24"/>
          <w:szCs w:val="24"/>
        </w:rPr>
        <w:t>九、一般公共预算财政拨款项目支出决算表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_Toc21327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"_Toc17721" </w:instrText>
      </w:r>
      <w:r>
        <w:fldChar w:fldCharType="separate"/>
      </w:r>
      <w:r>
        <w:rPr>
          <w:rFonts w:hint="eastAsia" w:ascii="仿宋" w:hAnsi="仿宋" w:eastAsia="仿宋" w:cs="仿宋"/>
          <w:bCs/>
          <w:sz w:val="24"/>
          <w:szCs w:val="24"/>
        </w:rPr>
        <w:t>十、一般公共预算财政拨款“三公”经费支出决算表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_Toc17721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"_Toc31356" </w:instrText>
      </w:r>
      <w:r>
        <w:fldChar w:fldCharType="separate"/>
      </w:r>
      <w:r>
        <w:rPr>
          <w:rFonts w:hint="eastAsia" w:ascii="仿宋" w:hAnsi="仿宋" w:eastAsia="仿宋" w:cs="仿宋"/>
          <w:bCs/>
          <w:sz w:val="24"/>
          <w:szCs w:val="24"/>
        </w:rPr>
        <w:t>十一、政府性基金预算财政拨款收入支出决算表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_Toc31356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"_Toc16798" </w:instrText>
      </w:r>
      <w:r>
        <w:fldChar w:fldCharType="separate"/>
      </w:r>
      <w:r>
        <w:rPr>
          <w:rFonts w:hint="eastAsia" w:ascii="仿宋" w:hAnsi="仿宋" w:eastAsia="仿宋" w:cs="仿宋"/>
          <w:bCs/>
          <w:sz w:val="24"/>
          <w:szCs w:val="24"/>
        </w:rPr>
        <w:t>十二、政府性基金预算财政拨款“三公”经费支出决算表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_Toc16798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"_Toc24483" </w:instrText>
      </w:r>
      <w:r>
        <w:fldChar w:fldCharType="separate"/>
      </w:r>
      <w:r>
        <w:rPr>
          <w:rFonts w:hint="eastAsia" w:ascii="仿宋" w:hAnsi="仿宋" w:eastAsia="仿宋" w:cs="仿宋"/>
          <w:bCs/>
          <w:sz w:val="24"/>
          <w:szCs w:val="24"/>
        </w:rPr>
        <w:t>十三、国有资本经营预算财政拨款收入支出决算表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_Toc24483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10300"/>
        </w:tabs>
        <w:ind w:left="420"/>
        <w:rPr>
          <w:rFonts w:ascii="仿宋" w:hAnsi="仿宋" w:eastAsia="仿宋" w:cs="仿宋"/>
          <w:bCs/>
          <w:sz w:val="24"/>
          <w:szCs w:val="24"/>
        </w:rPr>
      </w:pPr>
      <w:r>
        <w:fldChar w:fldCharType="begin"/>
      </w:r>
      <w:r>
        <w:instrText xml:space="preserve"> HYPERLINK \l "_Toc29381" </w:instrText>
      </w:r>
      <w:r>
        <w:fldChar w:fldCharType="separate"/>
      </w:r>
      <w:r>
        <w:rPr>
          <w:rFonts w:hint="eastAsia" w:ascii="仿宋" w:hAnsi="仿宋" w:eastAsia="仿宋" w:cs="仿宋"/>
          <w:bCs/>
          <w:sz w:val="24"/>
          <w:szCs w:val="24"/>
        </w:rPr>
        <w:t>十四、国有资本经营预算财政拨款支出决算表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_Toc29381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15</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r>
        <w:rPr>
          <w:b/>
        </w:rPr>
        <w:fldChar w:fldCharType="end"/>
      </w:r>
    </w:p>
    <w:p>
      <w:pPr>
        <w:widowControl/>
        <w:spacing w:line="560" w:lineRule="exact"/>
        <w:jc w:val="right"/>
        <w:rPr>
          <w:rFonts w:eastAsia="仿宋"/>
          <w:color w:val="000000"/>
          <w:sz w:val="24"/>
        </w:rPr>
      </w:pPr>
      <w:bookmarkStart w:id="23" w:name="_Toc15377196"/>
      <w:bookmarkStart w:id="24" w:name="_Toc15396599"/>
    </w:p>
    <w:p/>
    <w:p>
      <w:pPr>
        <w:pStyle w:val="3"/>
        <w:spacing w:before="93"/>
      </w:pPr>
    </w:p>
    <w:p>
      <w:pPr>
        <w:pStyle w:val="3"/>
        <w:spacing w:before="93"/>
      </w:pPr>
    </w:p>
    <w:p>
      <w:pPr>
        <w:pStyle w:val="3"/>
        <w:spacing w:before="93"/>
        <w:jc w:val="center"/>
        <w:outlineLvl w:val="0"/>
        <w:rPr>
          <w:rFonts w:ascii="黑体" w:eastAsia="黑体"/>
          <w:color w:val="000000"/>
          <w:sz w:val="32"/>
          <w:szCs w:val="32"/>
        </w:rPr>
      </w:pPr>
      <w:bookmarkStart w:id="25" w:name="_Toc21918"/>
      <w:bookmarkStart w:id="26" w:name="_Toc3173"/>
      <w:bookmarkStart w:id="27" w:name="_Toc25370"/>
      <w:bookmarkStart w:id="28" w:name="_Toc1872"/>
      <w:r>
        <w:rPr>
          <w:rStyle w:val="16"/>
          <w:rFonts w:hint="eastAsia" w:ascii="黑体" w:hAnsi="黑体" w:eastAsia="黑体"/>
        </w:rPr>
        <w:t>第一部分</w:t>
      </w:r>
      <w:r>
        <w:rPr>
          <w:rStyle w:val="16"/>
          <w:rFonts w:hint="eastAsia" w:ascii="黑体" w:hAnsi="黑体" w:eastAsia="黑体"/>
          <w:lang w:val="en-US" w:eastAsia="zh-CN"/>
        </w:rPr>
        <w:t xml:space="preserve"> </w:t>
      </w:r>
      <w:r>
        <w:rPr>
          <w:rStyle w:val="16"/>
          <w:rFonts w:hint="eastAsia" w:ascii="黑体" w:hAnsi="黑体" w:eastAsia="黑体"/>
        </w:rPr>
        <w:t>单位</w:t>
      </w:r>
      <w:r>
        <w:rPr>
          <w:rStyle w:val="16"/>
          <w:rFonts w:hint="eastAsia" w:ascii="黑体" w:hAnsi="黑体" w:eastAsia="黑体"/>
        </w:rPr>
        <w:t>概况</w:t>
      </w:r>
      <w:bookmarkEnd w:id="23"/>
      <w:bookmarkEnd w:id="24"/>
      <w:bookmarkEnd w:id="25"/>
      <w:bookmarkEnd w:id="26"/>
      <w:bookmarkEnd w:id="27"/>
      <w:bookmarkEnd w:id="28"/>
    </w:p>
    <w:p>
      <w:pPr>
        <w:pStyle w:val="13"/>
        <w:spacing w:before="0" w:line="560" w:lineRule="exact"/>
        <w:ind w:firstLine="964" w:firstLineChars="300"/>
        <w:rPr>
          <w:rFonts w:ascii="Times New Roman" w:hAnsi="Times New Roman" w:eastAsia="黑体"/>
          <w:bCs w:val="0"/>
          <w:color w:val="000000"/>
        </w:rPr>
      </w:pPr>
      <w:bookmarkStart w:id="29" w:name="_Toc15378445"/>
      <w:bookmarkStart w:id="30" w:name="_Toc15377197"/>
      <w:bookmarkStart w:id="31" w:name="_Toc15396600"/>
      <w:bookmarkStart w:id="32" w:name="_Toc15377198"/>
      <w:bookmarkStart w:id="33" w:name="_Toc27135"/>
      <w:bookmarkStart w:id="34" w:name="_Toc29106"/>
      <w:bookmarkStart w:id="35" w:name="_Toc30398"/>
    </w:p>
    <w:p>
      <w:pPr>
        <w:pStyle w:val="13"/>
        <w:spacing w:before="0" w:after="0" w:line="560" w:lineRule="exact"/>
        <w:ind w:firstLine="964" w:firstLineChars="300"/>
        <w:rPr>
          <w:rFonts w:ascii="仿宋" w:hAnsi="仿宋" w:eastAsia="黑体"/>
          <w:bCs w:val="0"/>
          <w:color w:val="000000"/>
        </w:rPr>
      </w:pPr>
      <w:r>
        <w:rPr>
          <w:rFonts w:ascii="Times New Roman" w:hAnsi="Times New Roman" w:eastAsia="黑体"/>
          <w:bCs w:val="0"/>
          <w:color w:val="000000"/>
        </w:rPr>
        <w:t>一、</w:t>
      </w:r>
      <w:bookmarkEnd w:id="29"/>
      <w:bookmarkEnd w:id="30"/>
      <w:bookmarkEnd w:id="31"/>
      <w:bookmarkEnd w:id="32"/>
      <w:r>
        <w:rPr>
          <w:rFonts w:hint="eastAsia" w:ascii="Times New Roman" w:hAnsi="Times New Roman" w:eastAsia="黑体"/>
          <w:bCs w:val="0"/>
          <w:color w:val="000000"/>
        </w:rPr>
        <w:t>职能简介</w:t>
      </w:r>
      <w:bookmarkEnd w:id="33"/>
      <w:bookmarkEnd w:id="34"/>
      <w:bookmarkEnd w:id="35"/>
    </w:p>
    <w:p>
      <w:pPr>
        <w:pStyle w:val="3"/>
        <w:adjustRightInd w:val="0"/>
        <w:snapToGrid w:val="0"/>
        <w:spacing w:before="93" w:line="595" w:lineRule="exact"/>
        <w:ind w:firstLine="672" w:firstLineChars="210"/>
        <w:outlineLvl w:val="2"/>
        <w:rPr>
          <w:rFonts w:ascii="仿宋" w:hAnsi="仿宋" w:eastAsia="仿宋"/>
          <w:bCs/>
          <w:color w:val="000000"/>
          <w:sz w:val="32"/>
          <w:szCs w:val="32"/>
        </w:rPr>
      </w:pPr>
      <w:bookmarkStart w:id="36" w:name="_Toc23931"/>
      <w:r>
        <w:rPr>
          <w:rFonts w:hint="eastAsia" w:ascii="仿宋" w:hAnsi="仿宋" w:eastAsia="仿宋"/>
          <w:bCs/>
          <w:color w:val="000000"/>
          <w:sz w:val="32"/>
          <w:szCs w:val="32"/>
        </w:rPr>
        <w:t>贯彻执行党的卫生工作方针政策和国家卫生法律、法规，以公共卫生服务为主，面向农村居民提供综合性卫生服务，承担辖区内预防保健、基本医疗、健康教育、康复和计划生育技术等工作。</w:t>
      </w:r>
      <w:bookmarkEnd w:id="36"/>
    </w:p>
    <w:p>
      <w:pPr>
        <w:pStyle w:val="5"/>
        <w:widowControl/>
        <w:numPr>
          <w:ilvl w:val="0"/>
          <w:numId w:val="1"/>
        </w:numPr>
        <w:spacing w:before="120" w:line="595" w:lineRule="exact"/>
        <w:ind w:firstLine="384"/>
        <w:rPr>
          <w:rFonts w:ascii="仿宋" w:hAnsi="仿宋" w:eastAsia="仿宋" w:cs="仿宋"/>
          <w:color w:val="333333"/>
          <w:sz w:val="32"/>
          <w:szCs w:val="32"/>
        </w:rPr>
      </w:pPr>
      <w:r>
        <w:rPr>
          <w:rFonts w:hint="eastAsia" w:ascii="仿宋" w:hAnsi="仿宋" w:eastAsia="仿宋" w:cs="仿宋"/>
          <w:color w:val="333333"/>
          <w:sz w:val="32"/>
          <w:szCs w:val="32"/>
        </w:rPr>
        <w:t>负责本辖区的卫生工作法律、法规、政策的贯彻，卫生事业发展规划和工作计划的制定，社会公共卫生工作的组织和实施。</w:t>
      </w:r>
    </w:p>
    <w:p>
      <w:pPr>
        <w:pStyle w:val="5"/>
        <w:widowControl/>
        <w:numPr>
          <w:ilvl w:val="0"/>
          <w:numId w:val="1"/>
        </w:numPr>
        <w:spacing w:before="120" w:line="595" w:lineRule="exact"/>
        <w:ind w:firstLine="384"/>
        <w:rPr>
          <w:rFonts w:ascii="仿宋" w:hAnsi="仿宋" w:eastAsia="仿宋" w:cs="仿宋"/>
          <w:color w:val="333333"/>
          <w:sz w:val="32"/>
          <w:szCs w:val="32"/>
        </w:rPr>
      </w:pPr>
      <w:r>
        <w:rPr>
          <w:rFonts w:hint="eastAsia" w:ascii="仿宋" w:hAnsi="仿宋" w:eastAsia="仿宋" w:cs="仿宋"/>
          <w:color w:val="333333"/>
          <w:sz w:val="32"/>
          <w:szCs w:val="32"/>
        </w:rPr>
        <w:t>负责本辖区的基本医疗服务。</w:t>
      </w:r>
    </w:p>
    <w:p>
      <w:pPr>
        <w:pStyle w:val="5"/>
        <w:widowControl/>
        <w:numPr>
          <w:ilvl w:val="0"/>
          <w:numId w:val="1"/>
        </w:numPr>
        <w:spacing w:before="120" w:line="595" w:lineRule="exact"/>
        <w:ind w:firstLine="384"/>
        <w:rPr>
          <w:rFonts w:ascii="仿宋" w:hAnsi="仿宋" w:eastAsia="仿宋" w:cs="仿宋"/>
          <w:color w:val="333333"/>
          <w:sz w:val="32"/>
          <w:szCs w:val="32"/>
        </w:rPr>
      </w:pPr>
      <w:r>
        <w:rPr>
          <w:rFonts w:hint="eastAsia" w:ascii="仿宋" w:hAnsi="仿宋" w:eastAsia="仿宋" w:cs="仿宋"/>
          <w:color w:val="333333"/>
          <w:sz w:val="32"/>
          <w:szCs w:val="32"/>
        </w:rPr>
        <w:t>负责本辖区突发公共卫生事件的报告，并依据上级部门要求组织实施处置；负责本辖区内的卫生信息统计、分析、上报。</w:t>
      </w:r>
    </w:p>
    <w:p>
      <w:pPr>
        <w:pStyle w:val="5"/>
        <w:widowControl/>
        <w:numPr>
          <w:ilvl w:val="0"/>
          <w:numId w:val="1"/>
        </w:numPr>
        <w:spacing w:before="120" w:line="595" w:lineRule="exact"/>
        <w:ind w:firstLine="384"/>
        <w:rPr>
          <w:rFonts w:ascii="仿宋" w:hAnsi="仿宋" w:eastAsia="仿宋" w:cs="仿宋"/>
          <w:color w:val="333333"/>
          <w:sz w:val="32"/>
          <w:szCs w:val="32"/>
        </w:rPr>
      </w:pPr>
      <w:r>
        <w:rPr>
          <w:rFonts w:hint="eastAsia" w:ascii="仿宋" w:hAnsi="仿宋" w:eastAsia="仿宋" w:cs="仿宋"/>
          <w:color w:val="333333"/>
          <w:sz w:val="32"/>
          <w:szCs w:val="32"/>
        </w:rPr>
        <w:t>负责对本辖区内村级卫生组织和乡村医生的业务指导和培训。</w:t>
      </w:r>
    </w:p>
    <w:p>
      <w:pPr>
        <w:pStyle w:val="5"/>
        <w:widowControl/>
        <w:numPr>
          <w:ilvl w:val="0"/>
          <w:numId w:val="1"/>
        </w:numPr>
        <w:spacing w:before="120" w:line="595" w:lineRule="exact"/>
        <w:ind w:firstLine="384"/>
        <w:rPr>
          <w:rFonts w:ascii="仿宋" w:hAnsi="仿宋" w:eastAsia="仿宋"/>
          <w:bCs/>
          <w:color w:val="000000"/>
          <w:sz w:val="32"/>
          <w:szCs w:val="32"/>
        </w:rPr>
      </w:pPr>
      <w:r>
        <w:rPr>
          <w:rFonts w:hint="eastAsia" w:ascii="仿宋" w:hAnsi="仿宋" w:eastAsia="仿宋" w:cs="仿宋"/>
          <w:color w:val="333333"/>
          <w:sz w:val="32"/>
          <w:szCs w:val="32"/>
        </w:rPr>
        <w:t>负责承办卫生行政部门分配的相关业务或事项；负责上级卫生行政部门下达的其他工作。</w:t>
      </w:r>
    </w:p>
    <w:p>
      <w:pPr>
        <w:pStyle w:val="13"/>
        <w:spacing w:before="0" w:after="0" w:line="560" w:lineRule="exact"/>
        <w:ind w:firstLine="643" w:firstLineChars="200"/>
        <w:rPr>
          <w:rFonts w:ascii="Times New Roman" w:hAnsi="Times New Roman" w:eastAsia="黑体"/>
          <w:bCs w:val="0"/>
          <w:color w:val="000000"/>
        </w:rPr>
      </w:pPr>
      <w:bookmarkStart w:id="37" w:name="_Toc15377199"/>
      <w:bookmarkStart w:id="38" w:name="_Toc15378446"/>
      <w:bookmarkStart w:id="39" w:name="_Toc25424"/>
      <w:bookmarkStart w:id="40" w:name="_Toc30715"/>
      <w:bookmarkStart w:id="41" w:name="_Toc4026"/>
      <w:r>
        <w:rPr>
          <w:rFonts w:hint="eastAsia" w:ascii="Times New Roman" w:hAnsi="Times New Roman" w:eastAsia="黑体"/>
          <w:bCs w:val="0"/>
          <w:color w:val="000000"/>
          <w:u w:val="thick" w:color="FFB03A"/>
          <w:shd w:val="clear" w:fill="FFEFD8"/>
        </w:rPr>
        <w:t>二、</w:t>
      </w:r>
      <w:r>
        <w:rPr>
          <w:rFonts w:ascii="Times New Roman" w:hAnsi="Times New Roman" w:eastAsia="黑体"/>
          <w:bCs w:val="0"/>
          <w:color w:val="000000"/>
        </w:rPr>
        <w:t>202</w:t>
      </w:r>
      <w:r>
        <w:rPr>
          <w:rFonts w:hint="eastAsia" w:ascii="Times New Roman" w:hAnsi="Times New Roman" w:eastAsia="黑体"/>
          <w:bCs w:val="0"/>
          <w:color w:val="000000"/>
        </w:rPr>
        <w:t>1年重点工作完成情况。</w:t>
      </w:r>
      <w:bookmarkEnd w:id="37"/>
      <w:bookmarkEnd w:id="38"/>
      <w:bookmarkEnd w:id="39"/>
      <w:bookmarkEnd w:id="40"/>
      <w:bookmarkEnd w:id="41"/>
    </w:p>
    <w:p>
      <w:pPr>
        <w:numPr>
          <w:ilvl w:val="0"/>
          <w:numId w:val="2"/>
        </w:numPr>
        <w:spacing w:line="595" w:lineRule="exact"/>
        <w:ind w:firstLine="560"/>
        <w:rPr>
          <w:rFonts w:ascii="仿宋" w:hAnsi="仿宋" w:eastAsia="仿宋" w:cs="仿宋"/>
          <w:sz w:val="32"/>
          <w:szCs w:val="32"/>
        </w:rPr>
      </w:pPr>
      <w:r>
        <w:rPr>
          <w:rFonts w:hint="eastAsia" w:ascii="仿宋" w:hAnsi="仿宋" w:eastAsia="仿宋" w:cs="仿宋"/>
          <w:sz w:val="32"/>
          <w:szCs w:val="32"/>
        </w:rPr>
        <w:t>严格执行深化医疗卫生体制改革政策，继续落实药品零差价销售政策。</w:t>
      </w:r>
    </w:p>
    <w:p>
      <w:pPr>
        <w:numPr>
          <w:ilvl w:val="0"/>
          <w:numId w:val="2"/>
        </w:numPr>
        <w:spacing w:line="595" w:lineRule="exact"/>
        <w:ind w:firstLine="560"/>
        <w:rPr>
          <w:rFonts w:ascii="仿宋" w:hAnsi="仿宋" w:eastAsia="仿宋" w:cs="仿宋"/>
          <w:sz w:val="32"/>
          <w:szCs w:val="32"/>
        </w:rPr>
      </w:pPr>
      <w:r>
        <w:rPr>
          <w:rFonts w:hint="eastAsia" w:ascii="仿宋" w:hAnsi="仿宋" w:eastAsia="仿宋" w:cs="仿宋"/>
          <w:sz w:val="32"/>
          <w:szCs w:val="32"/>
        </w:rPr>
        <w:t>疫情防控期间，全面落实疫情防控措施，我院积极主动加强院感防控，防止院内出现交叉感染情况，院内职工及人民群众的生命健康得到有效保障。</w:t>
      </w:r>
    </w:p>
    <w:p>
      <w:pPr>
        <w:numPr>
          <w:ilvl w:val="0"/>
          <w:numId w:val="2"/>
        </w:numPr>
        <w:spacing w:line="595" w:lineRule="exact"/>
        <w:ind w:firstLine="560"/>
        <w:rPr>
          <w:rFonts w:ascii="仿宋" w:hAnsi="仿宋" w:eastAsia="仿宋" w:cs="仿宋"/>
          <w:sz w:val="32"/>
          <w:szCs w:val="32"/>
        </w:rPr>
      </w:pPr>
      <w:r>
        <w:rPr>
          <w:rFonts w:hint="eastAsia" w:ascii="仿宋" w:hAnsi="仿宋" w:eastAsia="仿宋" w:cs="仿宋"/>
          <w:sz w:val="32"/>
          <w:szCs w:val="32"/>
        </w:rPr>
        <w:t>根据考评标准，认真完成基本公共卫生服务工作，进一步完善农村居民健康档案，对各种慢性病人进行规范化管理，深入开展健康教育宣传工作。</w:t>
      </w:r>
    </w:p>
    <w:p>
      <w:pPr>
        <w:numPr>
          <w:ilvl w:val="0"/>
          <w:numId w:val="2"/>
        </w:numPr>
        <w:spacing w:line="595" w:lineRule="exact"/>
        <w:ind w:firstLine="560"/>
        <w:rPr>
          <w:rFonts w:ascii="仿宋" w:hAnsi="仿宋" w:eastAsia="仿宋"/>
          <w:bCs/>
          <w:color w:val="000000"/>
          <w:sz w:val="32"/>
          <w:szCs w:val="32"/>
        </w:rPr>
      </w:pPr>
      <w:r>
        <w:rPr>
          <w:rFonts w:hint="eastAsia" w:ascii="仿宋" w:hAnsi="仿宋" w:eastAsia="仿宋" w:cs="仿宋"/>
          <w:sz w:val="32"/>
          <w:szCs w:val="32"/>
        </w:rPr>
        <w:t>加强对在职医务人员的继续教育，鼓励职工参加各种形式的学历教育，</w:t>
      </w:r>
      <w:r>
        <w:rPr>
          <w:rFonts w:hint="eastAsia" w:ascii="仿宋" w:hAnsi="仿宋" w:eastAsia="仿宋" w:cs="仿宋"/>
          <w:sz w:val="32"/>
          <w:szCs w:val="32"/>
          <w:u w:val="none" w:color="46CD7E"/>
          <w:shd w:val="clear" w:fill="auto"/>
          <w:lang w:eastAsia="zh-CN"/>
        </w:rPr>
        <w:t>支持职工</w:t>
      </w:r>
      <w:r>
        <w:rPr>
          <w:rFonts w:hint="eastAsia" w:ascii="仿宋" w:hAnsi="仿宋" w:eastAsia="仿宋" w:cs="仿宋"/>
          <w:sz w:val="32"/>
          <w:szCs w:val="32"/>
        </w:rPr>
        <w:t>参加执业医师、执业药师和执业护士等资格考试，增强本院医疗服务能力。</w:t>
      </w:r>
    </w:p>
    <w:p>
      <w:pPr>
        <w:pStyle w:val="12"/>
        <w:ind w:right="440"/>
        <w:jc w:val="center"/>
      </w:pPr>
      <w:bookmarkStart w:id="42" w:name="_Toc6955"/>
      <w:bookmarkStart w:id="43" w:name="_Toc15377204"/>
      <w:bookmarkStart w:id="44" w:name="_Toc7757"/>
      <w:bookmarkStart w:id="45" w:name="_Toc15396602"/>
      <w:bookmarkStart w:id="46" w:name="_Toc13177"/>
      <w:bookmarkStart w:id="47" w:name="_Toc4683"/>
      <w:r>
        <w:rPr>
          <w:rFonts w:hint="eastAsia" w:ascii="黑体" w:hAnsi="黑体" w:eastAsia="黑体"/>
          <w:b w:val="0"/>
          <w:color w:val="000000"/>
        </w:rPr>
        <w:t>第二</w:t>
      </w:r>
      <w:r>
        <w:rPr>
          <w:rFonts w:hint="eastAsia" w:ascii="黑体" w:hAnsi="黑体" w:eastAsia="黑体"/>
          <w:b w:val="0"/>
          <w:color w:val="000000"/>
          <w:u w:val="none" w:color="FFB03A"/>
          <w:shd w:val="clear" w:fill="auto"/>
        </w:rPr>
        <w:t>部分</w:t>
      </w:r>
      <w:r>
        <w:rPr>
          <w:rFonts w:hint="eastAsia" w:ascii="黑体" w:hAnsi="黑体" w:eastAsia="黑体"/>
          <w:b w:val="0"/>
          <w:color w:val="000000"/>
          <w:u w:val="thick" w:color="FFB03A"/>
          <w:shd w:val="clear" w:fill="FFEFD8"/>
          <w:lang w:val="en-US" w:eastAsia="zh-CN"/>
        </w:rPr>
        <w:t xml:space="preserve"> </w:t>
      </w:r>
      <w:r>
        <w:rPr>
          <w:rStyle w:val="16"/>
          <w:rFonts w:ascii="黑体" w:hAnsi="黑体" w:eastAsia="黑体"/>
          <w:b w:val="0"/>
          <w:bCs w:val="0"/>
        </w:rPr>
        <w:t>202</w:t>
      </w:r>
      <w:r>
        <w:rPr>
          <w:rStyle w:val="16"/>
          <w:rFonts w:hint="eastAsia" w:ascii="黑体" w:hAnsi="黑体" w:eastAsia="黑体"/>
          <w:b w:val="0"/>
          <w:bCs w:val="0"/>
        </w:rPr>
        <w:t>1年度单</w:t>
      </w:r>
      <w:r>
        <w:rPr>
          <w:rFonts w:hint="eastAsia" w:ascii="黑体" w:hAnsi="黑体" w:eastAsia="黑体"/>
        </w:rPr>
        <w:t>位</w:t>
      </w:r>
      <w:r>
        <w:rPr>
          <w:rStyle w:val="16"/>
          <w:rFonts w:hint="eastAsia" w:ascii="黑体" w:hAnsi="黑体" w:eastAsia="黑体"/>
          <w:b w:val="0"/>
          <w:bCs w:val="0"/>
        </w:rPr>
        <w:t>决算情况说明</w:t>
      </w:r>
      <w:bookmarkEnd w:id="42"/>
      <w:bookmarkEnd w:id="43"/>
      <w:bookmarkEnd w:id="44"/>
      <w:bookmarkEnd w:id="45"/>
      <w:bookmarkEnd w:id="46"/>
      <w:bookmarkEnd w:id="47"/>
    </w:p>
    <w:p>
      <w:pPr>
        <w:pStyle w:val="40"/>
        <w:numPr>
          <w:ilvl w:val="0"/>
          <w:numId w:val="3"/>
        </w:numPr>
        <w:spacing w:line="600" w:lineRule="exact"/>
        <w:ind w:firstLineChars="0"/>
        <w:outlineLvl w:val="1"/>
        <w:rPr>
          <w:rStyle w:val="17"/>
          <w:rFonts w:ascii="黑体" w:hAnsi="黑体" w:eastAsia="黑体"/>
          <w:b w:val="0"/>
        </w:rPr>
      </w:pPr>
      <w:bookmarkStart w:id="48" w:name="_Toc15116"/>
      <w:bookmarkStart w:id="49" w:name="_Toc20510"/>
      <w:bookmarkStart w:id="50" w:name="_Toc15377205"/>
      <w:bookmarkStart w:id="51" w:name="_Toc16015"/>
      <w:bookmarkStart w:id="52" w:name="_Toc15396603"/>
      <w:bookmarkStart w:id="53" w:name="_Toc7836"/>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48"/>
      <w:bookmarkEnd w:id="49"/>
      <w:bookmarkEnd w:id="50"/>
      <w:bookmarkEnd w:id="51"/>
      <w:bookmarkEnd w:id="52"/>
      <w:bookmarkEnd w:id="53"/>
    </w:p>
    <w:p>
      <w:pPr>
        <w:spacing w:line="600" w:lineRule="exact"/>
        <w:ind w:firstLine="640" w:firstLineChars="200"/>
        <w:rPr>
          <w:rFonts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1年度收入总计271.14万元，总支出271.14万元。与</w:t>
      </w:r>
      <w:r>
        <w:rPr>
          <w:rFonts w:ascii="仿宋" w:hAnsi="仿宋" w:eastAsia="仿宋"/>
          <w:color w:val="000000"/>
          <w:sz w:val="32"/>
          <w:szCs w:val="32"/>
        </w:rPr>
        <w:t>20</w:t>
      </w:r>
      <w:r>
        <w:rPr>
          <w:rFonts w:hint="eastAsia" w:ascii="仿宋" w:hAnsi="仿宋" w:eastAsia="仿宋"/>
          <w:color w:val="000000"/>
          <w:sz w:val="32"/>
          <w:szCs w:val="32"/>
        </w:rPr>
        <w:t>20年相比，收入减少24.77万元，下降8.37%；支出减少19.27</w:t>
      </w:r>
      <w:r>
        <w:rPr>
          <w:rFonts w:eastAsia="仿宋"/>
          <w:color w:val="000000"/>
          <w:sz w:val="32"/>
          <w:szCs w:val="32"/>
        </w:rPr>
        <w:t>万元，</w:t>
      </w:r>
      <w:r>
        <w:rPr>
          <w:rFonts w:hint="eastAsia" w:eastAsia="仿宋"/>
          <w:color w:val="000000"/>
          <w:sz w:val="32"/>
          <w:szCs w:val="32"/>
        </w:rPr>
        <w:t>下降6.64</w:t>
      </w:r>
      <w:r>
        <w:rPr>
          <w:rFonts w:eastAsia="仿宋"/>
          <w:color w:val="000000"/>
          <w:sz w:val="32"/>
          <w:szCs w:val="32"/>
        </w:rPr>
        <w:t>%。</w:t>
      </w:r>
    </w:p>
    <w:p>
      <w:pPr>
        <w:spacing w:line="600" w:lineRule="exact"/>
        <w:ind w:firstLine="640" w:firstLineChars="200"/>
        <w:rPr>
          <w:rFonts w:ascii="仿宋" w:hAnsi="仿宋" w:eastAsia="仿宋"/>
          <w:color w:val="000000"/>
          <w:sz w:val="32"/>
          <w:szCs w:val="32"/>
        </w:rPr>
      </w:pPr>
      <w:r>
        <w:rPr>
          <w:rFonts w:eastAsia="仿宋"/>
          <w:color w:val="000000"/>
          <w:sz w:val="32"/>
          <w:szCs w:val="32"/>
        </w:rPr>
        <w:t>主要变动原因：</w:t>
      </w:r>
      <w:r>
        <w:rPr>
          <w:rFonts w:hint="eastAsia" w:eastAsia="仿宋"/>
          <w:color w:val="000000"/>
          <w:sz w:val="32"/>
          <w:szCs w:val="32"/>
        </w:rPr>
        <w:t>年初结转结余减少；本来接收了新冠预防接种等项目，同时收入了公共卫生考核资金，绩效考核资金等；卫生健康支出减少，主要原因是本年开展项目较多。</w:t>
      </w:r>
    </w:p>
    <w:p>
      <w:pPr>
        <w:pStyle w:val="3"/>
        <w:spacing w:before="93"/>
        <w:rPr>
          <w:rStyle w:val="17"/>
          <w:rFonts w:ascii="黑体" w:hAnsi="黑体" w:eastAsia="黑体"/>
          <w:b w:val="0"/>
        </w:rPr>
      </w:pPr>
      <w:r>
        <w:rPr>
          <w:rStyle w:val="17"/>
          <w:rFonts w:hint="eastAsia" w:ascii="黑体" w:hAnsi="黑体" w:eastAsia="黑体"/>
          <w:b w:val="0"/>
        </w:rPr>
        <w:pict>
          <v:shape id="_x0000_s1447" o:spid="_x0000_s1447" o:spt="75" type="#_x0000_t75" style="position:absolute;left:0pt;margin-left:70.85pt;margin-top:17.45pt;height:217.5pt;width:361.5pt;mso-wrap-distance-bottom:0pt;mso-wrap-distance-top:0pt;z-index:251662336;mso-width-relative:page;mso-height-relative:page;" filled="f" o:preferrelative="t" stroked="f" coordsize="21600,21600">
            <v:path/>
            <v:fill on="f" focussize="0,0"/>
            <v:stroke on="f" joinstyle="miter"/>
            <v:imagedata r:id="rId12" o:title=""/>
            <o:lock v:ext="edit" aspectratio="t"/>
            <w10:wrap type="topAndBottom"/>
          </v:shape>
        </w:pict>
      </w:r>
      <w:bookmarkStart w:id="54" w:name="_Toc12654"/>
      <w:bookmarkStart w:id="55" w:name="_Toc17041"/>
      <w:bookmarkStart w:id="56" w:name="_Toc15396604"/>
      <w:bookmarkStart w:id="57" w:name="_Toc7779"/>
      <w:bookmarkStart w:id="58" w:name="_Toc15377206"/>
      <w:bookmarkStart w:id="59" w:name="_Toc20799"/>
      <w:r>
        <w:rPr>
          <w:rStyle w:val="17"/>
          <w:rFonts w:hint="eastAsia" w:ascii="黑体" w:hAnsi="黑体" w:eastAsia="黑体"/>
          <w:b w:val="0"/>
          <w:lang w:val="en-US" w:eastAsia="zh-CN"/>
        </w:rPr>
        <w:t xml:space="preserve">    二</w:t>
      </w:r>
      <w:r>
        <w:rPr>
          <w:rStyle w:val="17"/>
          <w:rFonts w:hint="eastAsia" w:ascii="黑体" w:hAnsi="黑体" w:eastAsia="黑体"/>
          <w:b w:val="0"/>
        </w:rPr>
        <w:t>、</w:t>
      </w:r>
      <w:r>
        <w:rPr>
          <w:rFonts w:hint="eastAsia" w:ascii="黑体" w:hAnsi="黑体" w:eastAsia="黑体"/>
          <w:color w:val="000000"/>
          <w:sz w:val="32"/>
          <w:szCs w:val="32"/>
        </w:rPr>
        <w:t>收</w:t>
      </w:r>
      <w:r>
        <w:rPr>
          <w:rStyle w:val="17"/>
          <w:rFonts w:hint="eastAsia" w:ascii="黑体" w:hAnsi="黑体" w:eastAsia="黑体"/>
          <w:b w:val="0"/>
        </w:rPr>
        <w:t>入决算情况说明</w:t>
      </w:r>
      <w:bookmarkEnd w:id="54"/>
      <w:bookmarkEnd w:id="55"/>
      <w:bookmarkEnd w:id="56"/>
      <w:bookmarkEnd w:id="57"/>
      <w:bookmarkEnd w:id="58"/>
      <w:bookmarkEnd w:id="59"/>
    </w:p>
    <w:p>
      <w:pPr>
        <w:spacing w:line="600" w:lineRule="exact"/>
        <w:ind w:firstLine="640" w:firstLineChars="200"/>
        <w:rPr>
          <w:rFonts w:ascii="仿宋" w:hAnsi="仿宋" w:eastAsia="仿宋"/>
          <w:color w:val="000000"/>
          <w:sz w:val="32"/>
          <w:szCs w:val="32"/>
        </w:rPr>
      </w:pPr>
      <w:bookmarkStart w:id="60" w:name="_Toc13025"/>
      <w:r>
        <w:rPr>
          <w:rFonts w:ascii="仿宋" w:hAnsi="仿宋" w:eastAsia="仿宋"/>
          <w:color w:val="000000"/>
          <w:sz w:val="32"/>
          <w:szCs w:val="32"/>
        </w:rPr>
        <w:t>202</w:t>
      </w:r>
      <w:r>
        <w:rPr>
          <w:rFonts w:hint="eastAsia" w:ascii="仿宋" w:hAnsi="仿宋" w:eastAsia="仿宋"/>
          <w:color w:val="000000"/>
          <w:sz w:val="32"/>
          <w:szCs w:val="32"/>
        </w:rPr>
        <w:t>1年本年收入合计271.14万元，其中：一般公共预算财政拨款收入100.21万元，占36.96</w:t>
      </w:r>
      <w:r>
        <w:rPr>
          <w:rFonts w:ascii="仿宋" w:hAnsi="仿宋" w:eastAsia="仿宋"/>
          <w:color w:val="000000"/>
          <w:sz w:val="32"/>
          <w:szCs w:val="32"/>
        </w:rPr>
        <w:t>%</w:t>
      </w:r>
      <w:r>
        <w:rPr>
          <w:rFonts w:hint="eastAsia" w:ascii="仿宋" w:hAnsi="仿宋" w:eastAsia="仿宋"/>
          <w:color w:val="000000"/>
          <w:sz w:val="32"/>
          <w:szCs w:val="32"/>
        </w:rPr>
        <w:t>；事业收入128.09万元，占47.24</w:t>
      </w:r>
      <w:r>
        <w:rPr>
          <w:rFonts w:ascii="仿宋" w:hAnsi="仿宋" w:eastAsia="仿宋"/>
          <w:color w:val="000000"/>
          <w:sz w:val="32"/>
          <w:szCs w:val="32"/>
        </w:rPr>
        <w:t>%</w:t>
      </w:r>
      <w:r>
        <w:rPr>
          <w:rFonts w:hint="eastAsia" w:ascii="仿宋" w:hAnsi="仿宋" w:eastAsia="仿宋"/>
          <w:color w:val="000000"/>
          <w:sz w:val="32"/>
          <w:szCs w:val="32"/>
        </w:rPr>
        <w:t>；其他收入37.35万元，占13.77</w:t>
      </w:r>
      <w:r>
        <w:rPr>
          <w:rFonts w:ascii="仿宋" w:hAnsi="仿宋" w:eastAsia="仿宋"/>
          <w:color w:val="000000"/>
          <w:sz w:val="32"/>
          <w:szCs w:val="32"/>
        </w:rPr>
        <w:t>%</w:t>
      </w:r>
      <w:bookmarkEnd w:id="60"/>
      <w:r>
        <w:rPr>
          <w:rFonts w:hint="eastAsia" w:ascii="仿宋" w:hAnsi="仿宋" w:eastAsia="仿宋"/>
          <w:color w:val="000000"/>
          <w:sz w:val="32"/>
          <w:szCs w:val="32"/>
        </w:rPr>
        <w:t>；年初结转和结余5.50万元，占比2.03%。</w:t>
      </w:r>
    </w:p>
    <w:p>
      <w:pPr>
        <w:spacing w:line="600" w:lineRule="exact"/>
        <w:ind w:firstLine="420" w:firstLineChars="200"/>
        <w:rPr>
          <w:rStyle w:val="17"/>
          <w:rFonts w:ascii="黑体" w:hAnsi="黑体" w:eastAsia="黑体"/>
          <w:b w:val="0"/>
        </w:rPr>
      </w:pPr>
      <w:r>
        <w:pict>
          <v:shape id="_x0000_s1448" o:spid="_x0000_s1448" o:spt="75" type="#_x0000_t75" style="position:absolute;left:0pt;margin-left:65.85pt;margin-top:18.45pt;height:217.5pt;width:361.5pt;mso-wrap-distance-bottom:0pt;mso-wrap-distance-top:0pt;z-index:251663360;mso-width-relative:page;mso-height-relative:page;" filled="f" o:preferrelative="t" stroked="f" coordsize="21600,21600">
            <v:path/>
            <v:fill on="f" focussize="0,0"/>
            <v:stroke on="f" joinstyle="miter"/>
            <v:imagedata r:id="rId13" o:title=""/>
            <o:lock v:ext="edit" aspectratio="t"/>
            <w10:wrap type="topAndBottom"/>
          </v:shape>
        </w:pict>
      </w:r>
      <w:bookmarkStart w:id="61" w:name="_Toc13254"/>
      <w:bookmarkStart w:id="62" w:name="_Toc15377207"/>
      <w:bookmarkStart w:id="63" w:name="_Toc24216"/>
      <w:bookmarkStart w:id="64" w:name="_Toc15396605"/>
      <w:bookmarkStart w:id="65" w:name="_Toc10043"/>
      <w:bookmarkStart w:id="66" w:name="_Toc24327"/>
      <w:r>
        <w:rPr>
          <w:rFonts w:hint="eastAsia" w:ascii="黑体" w:hAnsi="黑体" w:eastAsia="黑体"/>
          <w:color w:val="000000"/>
          <w:sz w:val="32"/>
          <w:szCs w:val="32"/>
        </w:rPr>
        <w:t>三、支</w:t>
      </w:r>
      <w:r>
        <w:rPr>
          <w:rStyle w:val="17"/>
          <w:rFonts w:hint="eastAsia" w:ascii="黑体" w:hAnsi="黑体" w:eastAsia="黑体"/>
          <w:b w:val="0"/>
        </w:rPr>
        <w:t>出决算情况说明</w:t>
      </w:r>
      <w:bookmarkEnd w:id="61"/>
      <w:bookmarkEnd w:id="62"/>
      <w:bookmarkEnd w:id="63"/>
      <w:bookmarkEnd w:id="64"/>
      <w:bookmarkEnd w:id="65"/>
      <w:bookmarkEnd w:id="66"/>
    </w:p>
    <w:p>
      <w:pPr>
        <w:spacing w:line="600" w:lineRule="exact"/>
        <w:ind w:firstLine="640" w:firstLineChars="200"/>
        <w:outlineLvl w:val="1"/>
        <w:rPr>
          <w:rFonts w:ascii="仿宋" w:hAnsi="仿宋" w:eastAsia="仿宋"/>
          <w:color w:val="000000"/>
          <w:sz w:val="32"/>
          <w:szCs w:val="32"/>
        </w:rPr>
      </w:pPr>
      <w:bookmarkStart w:id="67" w:name="_Toc6238"/>
      <w:bookmarkStart w:id="68" w:name="_Toc18165"/>
      <w:bookmarkStart w:id="69" w:name="_Toc17854"/>
      <w:bookmarkStart w:id="70" w:name="_Toc27829"/>
      <w:r>
        <w:rPr>
          <w:rFonts w:ascii="仿宋" w:hAnsi="仿宋" w:eastAsia="仿宋"/>
          <w:color w:val="000000"/>
          <w:sz w:val="32"/>
          <w:szCs w:val="32"/>
        </w:rPr>
        <w:t>202</w:t>
      </w:r>
      <w:r>
        <w:rPr>
          <w:rFonts w:hint="eastAsia" w:ascii="仿宋" w:hAnsi="仿宋" w:eastAsia="仿宋"/>
          <w:color w:val="000000"/>
          <w:sz w:val="32"/>
          <w:szCs w:val="32"/>
        </w:rPr>
        <w:t>1年本年支出合计271.14万元，其中：基本支出215.55万元，占79.50</w:t>
      </w:r>
      <w:r>
        <w:rPr>
          <w:rFonts w:ascii="仿宋" w:hAnsi="仿宋" w:eastAsia="仿宋"/>
          <w:color w:val="000000"/>
          <w:sz w:val="32"/>
          <w:szCs w:val="32"/>
        </w:rPr>
        <w:t>%</w:t>
      </w:r>
      <w:r>
        <w:rPr>
          <w:rFonts w:hint="eastAsia" w:ascii="仿宋" w:hAnsi="仿宋" w:eastAsia="仿宋"/>
          <w:color w:val="000000"/>
          <w:sz w:val="32"/>
          <w:szCs w:val="32"/>
        </w:rPr>
        <w:t>；项目支出55.59万元，占20.50</w:t>
      </w:r>
      <w:r>
        <w:rPr>
          <w:rFonts w:ascii="仿宋" w:hAnsi="仿宋" w:eastAsia="仿宋"/>
          <w:color w:val="000000"/>
          <w:sz w:val="32"/>
          <w:szCs w:val="32"/>
        </w:rPr>
        <w:t>%</w:t>
      </w:r>
      <w:bookmarkEnd w:id="67"/>
      <w:bookmarkEnd w:id="68"/>
      <w:bookmarkEnd w:id="69"/>
      <w:bookmarkEnd w:id="70"/>
      <w:r>
        <w:t>。</w:t>
      </w:r>
    </w:p>
    <w:p>
      <w:pPr>
        <w:spacing w:line="600" w:lineRule="exact"/>
        <w:ind w:firstLine="640"/>
        <w:rPr>
          <w:rFonts w:ascii="仿宋" w:hAnsi="仿宋" w:eastAsia="仿宋"/>
          <w:color w:val="000000"/>
          <w:sz w:val="32"/>
          <w:szCs w:val="32"/>
        </w:rPr>
      </w:pPr>
      <w:r>
        <w:pict>
          <v:shape id="_x0000_s1449" o:spid="_x0000_s1449" o:spt="75" type="#_x0000_t75" style="position:absolute;left:0pt;margin-left:63.75pt;margin-top:16.4pt;height:204.05pt;width:348pt;mso-wrap-distance-bottom:0pt;mso-wrap-distance-left:9pt;mso-wrap-distance-right:9pt;mso-wrap-distance-top:0pt;z-index:251659264;mso-width-relative:page;mso-height-relative:page;" filled="f" o:preferrelative="t" stroked="f" coordsize="21600,21600">
            <v:path/>
            <v:fill on="f" focussize="0,0"/>
            <v:stroke on="f" joinstyle="miter"/>
            <v:imagedata r:id="rId14" o:title=""/>
            <o:lock v:ext="edit" aspectratio="t"/>
            <w10:wrap type="square"/>
          </v:shape>
        </w:pict>
      </w: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pStyle w:val="3"/>
        <w:spacing w:before="93"/>
        <w:rPr>
          <w:rFonts w:ascii="仿宋" w:hAnsi="仿宋" w:eastAsia="仿宋"/>
          <w:color w:val="000000"/>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17"/>
          <w:rFonts w:ascii="黑体" w:hAnsi="黑体" w:eastAsia="黑体"/>
          <w:b w:val="0"/>
        </w:rPr>
      </w:pPr>
      <w:bookmarkStart w:id="71" w:name="_Toc10641"/>
      <w:bookmarkStart w:id="72" w:name="_Toc7187"/>
      <w:bookmarkStart w:id="73" w:name="_Toc58"/>
      <w:bookmarkStart w:id="74" w:name="_Toc15396606"/>
      <w:bookmarkStart w:id="75" w:name="_Toc15377208"/>
      <w:bookmarkStart w:id="76" w:name="_Toc2590"/>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71"/>
      <w:bookmarkEnd w:id="72"/>
      <w:bookmarkEnd w:id="73"/>
      <w:bookmarkEnd w:id="74"/>
      <w:bookmarkEnd w:id="75"/>
      <w:bookmarkEnd w:id="7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1年财政拨款收入总计105.71万元，财政拨款支出总计105.71万元。与</w:t>
      </w:r>
      <w:r>
        <w:rPr>
          <w:rFonts w:ascii="仿宋" w:hAnsi="仿宋" w:eastAsia="仿宋"/>
          <w:color w:val="000000"/>
          <w:sz w:val="32"/>
          <w:szCs w:val="32"/>
        </w:rPr>
        <w:t>20</w:t>
      </w:r>
      <w:r>
        <w:rPr>
          <w:rFonts w:hint="eastAsia" w:ascii="仿宋" w:hAnsi="仿宋" w:eastAsia="仿宋"/>
          <w:color w:val="000000"/>
          <w:sz w:val="32"/>
          <w:szCs w:val="32"/>
        </w:rPr>
        <w:t>20年相比，财政拨款收入减少11.64万元，下降9.92%；支出合计减少6.14万元，下降5.49</w:t>
      </w:r>
      <w:r>
        <w:rPr>
          <w:rFonts w:ascii="仿宋" w:hAnsi="仿宋" w:eastAsia="仿宋"/>
          <w:color w:val="000000"/>
          <w:sz w:val="32"/>
          <w:szCs w:val="32"/>
        </w:rPr>
        <w:t>%</w:t>
      </w:r>
      <w:r>
        <w:rPr>
          <w:rFonts w:hint="eastAsia" w:ascii="仿宋" w:hAnsi="仿宋" w:eastAsia="仿宋"/>
          <w:color w:val="000000"/>
          <w:sz w:val="32"/>
          <w:szCs w:val="32"/>
        </w:rPr>
        <w:t>。主要变动原因是年初财政拨款结转和结余中一般公共预算财政拨款收入减少，卫生健康支出减少。</w:t>
      </w:r>
      <w:bookmarkStart w:id="77" w:name="_Toc15396607"/>
      <w:bookmarkStart w:id="78" w:name="_Toc15377209"/>
      <w:bookmarkStart w:id="79" w:name="_Toc10001"/>
    </w:p>
    <w:p>
      <w:pPr>
        <w:spacing w:line="600" w:lineRule="exact"/>
        <w:ind w:firstLine="640"/>
        <w:rPr>
          <w:rStyle w:val="17"/>
          <w:rFonts w:ascii="黑体" w:hAnsi="黑体" w:eastAsia="黑体"/>
          <w:b w:val="0"/>
        </w:rPr>
      </w:pPr>
      <w:r>
        <w:pict>
          <v:shape id="_x0000_s1450" o:spid="_x0000_s1450" o:spt="75" type="#_x0000_t75" style="position:absolute;left:0pt;margin-left:73.35pt;margin-top:10.6pt;height:225.05pt;width:361.5pt;mso-wrap-distance-bottom:0pt;mso-wrap-distance-top:0pt;z-index:251664384;mso-width-relative:page;mso-height-relative:page;" filled="f" o:preferrelative="t" stroked="f" coordsize="21600,21600">
            <v:path/>
            <v:fill on="f" focussize="0,0"/>
            <v:stroke on="f" joinstyle="miter"/>
            <v:imagedata r:id="rId15" o:title=""/>
            <o:lock v:ext="edit" aspectratio="t"/>
            <w10:wrap type="topAndBottom"/>
          </v:shape>
        </w:pic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w:t>
      </w:r>
      <w:r>
        <w:rPr>
          <w:rFonts w:hint="eastAsia" w:ascii="黑体" w:hAnsi="黑体" w:eastAsia="黑体"/>
          <w:sz w:val="32"/>
          <w:szCs w:val="32"/>
        </w:rPr>
        <w:t>财政拨款支出决算情况说明</w:t>
      </w:r>
      <w:bookmarkEnd w:id="77"/>
      <w:bookmarkEnd w:id="78"/>
      <w:bookmarkEnd w:id="79"/>
    </w:p>
    <w:p>
      <w:pPr>
        <w:spacing w:line="600" w:lineRule="exact"/>
        <w:ind w:firstLine="643" w:firstLineChars="200"/>
        <w:outlineLvl w:val="2"/>
        <w:rPr>
          <w:rFonts w:ascii="仿宋" w:hAnsi="仿宋" w:eastAsia="仿宋"/>
          <w:b/>
          <w:color w:val="000000"/>
          <w:sz w:val="32"/>
          <w:szCs w:val="32"/>
        </w:rPr>
      </w:pPr>
      <w:bookmarkStart w:id="80" w:name="_Toc15377210"/>
      <w:r>
        <w:rPr>
          <w:rFonts w:hint="eastAsia" w:ascii="仿宋" w:hAnsi="仿宋" w:eastAsia="仿宋"/>
          <w:b/>
          <w:color w:val="000000"/>
          <w:sz w:val="32"/>
          <w:szCs w:val="32"/>
        </w:rPr>
        <w:t>（一）一般公共预算财政拨款支出决算总体情况</w:t>
      </w:r>
      <w:bookmarkEnd w:id="80"/>
    </w:p>
    <w:p>
      <w:pPr>
        <w:spacing w:line="600" w:lineRule="exact"/>
        <w:ind w:firstLine="420" w:firstLineChars="200"/>
        <w:rPr>
          <w:rFonts w:ascii="仿宋" w:hAnsi="仿宋" w:eastAsia="仿宋"/>
          <w:color w:val="000000"/>
          <w:sz w:val="32"/>
          <w:szCs w:val="32"/>
        </w:rPr>
      </w:pPr>
      <w:r>
        <w:pict>
          <v:shape id="_x0000_s1451" o:spid="_x0000_s1451" o:spt="75" type="#_x0000_t75" style="position:absolute;left:0pt;margin-left:72.7pt;margin-top:93.1pt;height:209.25pt;width:361.5pt;mso-wrap-distance-bottom:0pt;mso-wrap-distance-top:0pt;z-index:251661312;mso-width-relative:page;mso-height-relative:page;" filled="f" o:preferrelative="t" stroked="f" coordsize="21600,21600">
            <v:path/>
            <v:fill on="f" focussize="0,0"/>
            <v:stroke on="f" joinstyle="miter"/>
            <v:imagedata r:id="rId16" o:title=""/>
            <o:lock v:ext="edit" aspectratio="t"/>
            <w10:wrap type="topAndBottom"/>
          </v:shape>
        </w:pict>
      </w: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1年一般公共预算财政拨款支出105.71万元，占本年支出合计的38.99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20年相比，一般公共预算财政拨款减少6.14万元，下降5.49</w:t>
      </w:r>
      <w:r>
        <w:rPr>
          <w:rFonts w:ascii="仿宋" w:hAnsi="仿宋" w:eastAsia="仿宋"/>
          <w:color w:val="000000"/>
          <w:sz w:val="32"/>
          <w:szCs w:val="32"/>
        </w:rPr>
        <w:t>%</w:t>
      </w:r>
      <w:r>
        <w:rPr>
          <w:rFonts w:hint="eastAsia" w:ascii="仿宋" w:hAnsi="仿宋" w:eastAsia="仿宋"/>
          <w:color w:val="000000"/>
          <w:sz w:val="32"/>
          <w:szCs w:val="32"/>
        </w:rPr>
        <w:t>。主要变动原因是基本公共卫生服务支出减少，2021年也未发生农林水支出。</w:t>
      </w:r>
      <w:bookmarkStart w:id="81" w:name="_Toc15377211"/>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1年一般公共预算财政拨款支出105.71万元，主要用于以下方面</w:t>
      </w:r>
      <w: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105.71万元，占100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452" o:spid="_x0000_s1452" o:spt="75" type="#_x0000_t75" style="position:absolute;left:0pt;margin-left:78.75pt;margin-top:18.45pt;height:179.2pt;width:315.75pt;mso-wrap-distance-bottom:0pt;mso-wrap-distance-top:0pt;z-index:251660288;mso-width-relative:page;mso-height-relative:page;" filled="f" o:preferrelative="t" stroked="f" coordsize="21600,21600">
            <v:path/>
            <v:fill on="f" focussize="0,0"/>
            <v:stroke on="f" joinstyle="miter"/>
            <v:imagedata r:id="rId17" o:title=""/>
            <o:lock v:ext="edit" aspectratio="t"/>
            <w10:wrap type="topAndBottom"/>
          </v:shape>
        </w:pict>
      </w:r>
    </w:p>
    <w:p>
      <w:pPr>
        <w:spacing w:line="600" w:lineRule="exact"/>
        <w:ind w:firstLine="643" w:firstLineChars="200"/>
        <w:outlineLvl w:val="2"/>
        <w:rPr>
          <w:rFonts w:ascii="仿宋" w:hAnsi="仿宋" w:eastAsia="仿宋"/>
          <w:b/>
          <w:color w:val="000000"/>
          <w:sz w:val="32"/>
          <w:szCs w:val="32"/>
        </w:rPr>
      </w:pPr>
      <w:bookmarkStart w:id="82" w:name="_Toc15377212"/>
      <w:r>
        <w:rPr>
          <w:rFonts w:hint="eastAsia" w:ascii="仿宋" w:hAnsi="仿宋" w:eastAsia="仿宋"/>
          <w:b/>
          <w:color w:val="000000"/>
          <w:sz w:val="32"/>
          <w:szCs w:val="32"/>
        </w:rPr>
        <w:t>（三）一般公共预算财政拨款支出决算具体情况</w:t>
      </w:r>
      <w:bookmarkEnd w:id="82"/>
    </w:p>
    <w:p>
      <w:pPr>
        <w:spacing w:line="600" w:lineRule="exact"/>
        <w:ind w:firstLine="643" w:firstLineChars="200"/>
        <w:outlineLvl w:val="1"/>
        <w:rPr>
          <w:rFonts w:ascii="仿宋" w:hAnsi="仿宋" w:eastAsia="仿宋"/>
          <w:color w:val="FF0000"/>
          <w:sz w:val="32"/>
          <w:szCs w:val="32"/>
        </w:rPr>
      </w:pPr>
      <w:bookmarkStart w:id="83" w:name="_Toc15377213"/>
      <w:bookmarkStart w:id="84" w:name="_Toc15378460"/>
      <w:bookmarkStart w:id="85" w:name="_Toc15377444"/>
      <w:bookmarkStart w:id="86" w:name="_Toc3317"/>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1年一般公共预算支出决算数为105.71万元</w:t>
      </w:r>
      <w:r>
        <w:rPr>
          <w:rFonts w:hint="eastAsia" w:ascii="仿宋" w:hAnsi="仿宋" w:eastAsia="仿宋"/>
          <w:color w:val="000000"/>
          <w:sz w:val="32"/>
          <w:szCs w:val="32"/>
        </w:rPr>
        <w:t>，</w:t>
      </w:r>
      <w:r>
        <w:rPr>
          <w:rStyle w:val="9"/>
          <w:rFonts w:hint="eastAsia" w:ascii="仿宋" w:hAnsi="仿宋" w:eastAsia="仿宋"/>
          <w:bCs/>
          <w:color w:val="000000"/>
          <w:sz w:val="32"/>
          <w:szCs w:val="32"/>
        </w:rPr>
        <w:t>完成预算的100</w:t>
      </w:r>
      <w:r>
        <w:rPr>
          <w:rStyle w:val="9"/>
          <w:rFonts w:ascii="仿宋" w:hAnsi="仿宋" w:eastAsia="仿宋"/>
          <w:bCs/>
          <w:color w:val="000000"/>
          <w:sz w:val="32"/>
          <w:szCs w:val="32"/>
        </w:rPr>
        <w:t>%</w:t>
      </w:r>
      <w:r>
        <w:rPr>
          <w:rStyle w:val="9"/>
          <w:rFonts w:hint="eastAsia" w:ascii="仿宋" w:hAnsi="仿宋" w:eastAsia="仿宋"/>
          <w:bCs/>
          <w:color w:val="000000"/>
          <w:sz w:val="32"/>
          <w:szCs w:val="32"/>
        </w:rPr>
        <w:t>。其中：</w:t>
      </w:r>
      <w:bookmarkEnd w:id="83"/>
      <w:bookmarkEnd w:id="84"/>
      <w:bookmarkEnd w:id="85"/>
      <w:bookmarkEnd w:id="86"/>
    </w:p>
    <w:p>
      <w:pPr>
        <w:spacing w:line="600" w:lineRule="exact"/>
        <w:ind w:firstLine="643" w:firstLineChars="200"/>
        <w:rPr>
          <w:rStyle w:val="9"/>
          <w:rFonts w:ascii="仿宋" w:hAnsi="仿宋" w:eastAsia="仿宋"/>
          <w:b w:val="0"/>
          <w:bCs/>
          <w:color w:val="000000"/>
          <w:sz w:val="32"/>
          <w:szCs w:val="32"/>
        </w:rPr>
      </w:pPr>
      <w:r>
        <w:rPr>
          <w:rStyle w:val="9"/>
          <w:rFonts w:hint="eastAsia" w:ascii="仿宋" w:hAnsi="仿宋" w:eastAsia="仿宋"/>
          <w:bCs/>
          <w:color w:val="000000"/>
          <w:sz w:val="32"/>
          <w:szCs w:val="32"/>
        </w:rPr>
        <w:t>1</w:t>
      </w:r>
      <w:r>
        <w:rPr>
          <w:rStyle w:val="9"/>
          <w:rFonts w:ascii="仿宋" w:hAnsi="仿宋" w:eastAsia="仿宋"/>
          <w:bCs/>
          <w:color w:val="000000"/>
          <w:sz w:val="32"/>
          <w:szCs w:val="32"/>
        </w:rPr>
        <w:t>.</w:t>
      </w:r>
      <w:r>
        <w:rPr>
          <w:rFonts w:hint="eastAsia" w:ascii="仿宋" w:hAnsi="仿宋" w:eastAsia="仿宋"/>
          <w:b/>
          <w:bCs/>
          <w:color w:val="000000"/>
          <w:sz w:val="32"/>
          <w:szCs w:val="32"/>
        </w:rPr>
        <w:t>卫生健康</w:t>
      </w:r>
      <w:r>
        <w:rPr>
          <w:rStyle w:val="9"/>
          <w:rFonts w:hint="eastAsia" w:ascii="仿宋" w:hAnsi="仿宋" w:eastAsia="仿宋"/>
          <w:bCs/>
          <w:color w:val="000000"/>
          <w:sz w:val="32"/>
          <w:szCs w:val="32"/>
        </w:rPr>
        <w:t>（类）基层医疗卫生机构（款）乡镇卫生院（项）</w:t>
      </w:r>
      <w:r>
        <w:rPr>
          <w:rStyle w:val="9"/>
          <w:rFonts w:ascii="仿宋" w:hAnsi="仿宋" w:eastAsia="仿宋"/>
          <w:bCs/>
          <w:color w:val="000000"/>
          <w:sz w:val="32"/>
          <w:szCs w:val="32"/>
        </w:rPr>
        <w:t>:</w:t>
      </w:r>
      <w:r>
        <w:rPr>
          <w:rStyle w:val="9"/>
          <w:rFonts w:hint="eastAsia" w:ascii="仿宋" w:hAnsi="仿宋" w:eastAsia="仿宋"/>
          <w:b w:val="0"/>
          <w:bCs/>
          <w:color w:val="000000"/>
          <w:sz w:val="32"/>
          <w:szCs w:val="32"/>
        </w:rPr>
        <w:t>支出决算为50.11万元，完成</w:t>
      </w:r>
      <w:r>
        <w:rPr>
          <w:rStyle w:val="9"/>
          <w:rFonts w:hint="eastAsia" w:ascii="仿宋" w:hAnsi="仿宋" w:eastAsia="仿宋"/>
          <w:b w:val="0"/>
          <w:bCs/>
          <w:color w:val="000000"/>
          <w:sz w:val="32"/>
          <w:szCs w:val="32"/>
          <w:lang w:eastAsia="zh-CN"/>
        </w:rPr>
        <w:t>预算的100%</w:t>
      </w:r>
      <w:r>
        <w:rPr>
          <w:rStyle w:val="9"/>
          <w:rFonts w:hint="eastAsia" w:ascii="仿宋" w:hAnsi="仿宋" w:eastAsia="仿宋"/>
          <w:b w:val="0"/>
          <w:bCs/>
          <w:color w:val="000000"/>
          <w:sz w:val="32"/>
          <w:szCs w:val="32"/>
        </w:rPr>
        <w:t>。</w:t>
      </w:r>
    </w:p>
    <w:p>
      <w:pPr>
        <w:spacing w:line="600" w:lineRule="exact"/>
        <w:ind w:firstLine="643" w:firstLineChars="200"/>
        <w:rPr>
          <w:rStyle w:val="9"/>
          <w:rFonts w:ascii="仿宋" w:hAnsi="仿宋" w:eastAsia="仿宋"/>
          <w:b w:val="0"/>
          <w:bCs/>
          <w:color w:val="000000"/>
          <w:sz w:val="32"/>
          <w:szCs w:val="32"/>
        </w:rPr>
      </w:pPr>
      <w:r>
        <w:rPr>
          <w:rStyle w:val="9"/>
          <w:rFonts w:hint="eastAsia" w:ascii="仿宋" w:hAnsi="仿宋" w:eastAsia="仿宋"/>
          <w:bCs/>
          <w:color w:val="000000"/>
          <w:sz w:val="32"/>
          <w:szCs w:val="32"/>
        </w:rPr>
        <w:t>2.卫生健康（类）基层医疗卫生机构（款）其他基层医疗卫生机构支出（项）：</w:t>
      </w:r>
      <w:r>
        <w:rPr>
          <w:rStyle w:val="9"/>
          <w:rFonts w:hint="eastAsia" w:ascii="仿宋" w:hAnsi="仿宋" w:eastAsia="仿宋"/>
          <w:b w:val="0"/>
          <w:bCs/>
          <w:color w:val="000000"/>
          <w:sz w:val="32"/>
          <w:szCs w:val="32"/>
        </w:rPr>
        <w:t>支出决算为11.87万元，完成</w:t>
      </w:r>
      <w:r>
        <w:rPr>
          <w:rStyle w:val="9"/>
          <w:rFonts w:hint="eastAsia" w:ascii="仿宋" w:hAnsi="仿宋" w:eastAsia="仿宋"/>
          <w:b w:val="0"/>
          <w:bCs/>
          <w:color w:val="000000"/>
          <w:sz w:val="32"/>
          <w:szCs w:val="32"/>
          <w:lang w:eastAsia="zh-CN"/>
        </w:rPr>
        <w:t>预算的100%</w:t>
      </w:r>
      <w:r>
        <w:rPr>
          <w:rStyle w:val="9"/>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9"/>
          <w:rFonts w:hint="eastAsia" w:ascii="仿宋" w:hAnsi="仿宋" w:eastAsia="仿宋"/>
          <w:bCs/>
          <w:color w:val="000000"/>
          <w:sz w:val="32"/>
          <w:szCs w:val="32"/>
        </w:rPr>
        <w:t>3</w:t>
      </w:r>
      <w:r>
        <w:rPr>
          <w:rStyle w:val="9"/>
          <w:rFonts w:ascii="仿宋" w:hAnsi="仿宋" w:eastAsia="仿宋"/>
          <w:bCs/>
          <w:color w:val="000000"/>
          <w:sz w:val="32"/>
          <w:szCs w:val="32"/>
        </w:rPr>
        <w:t>.</w:t>
      </w:r>
      <w:r>
        <w:rPr>
          <w:rFonts w:hint="eastAsia" w:ascii="仿宋" w:hAnsi="仿宋" w:eastAsia="仿宋"/>
          <w:b/>
          <w:bCs/>
          <w:color w:val="000000"/>
          <w:sz w:val="32"/>
          <w:szCs w:val="32"/>
        </w:rPr>
        <w:t>卫生健康</w:t>
      </w:r>
      <w:r>
        <w:rPr>
          <w:rStyle w:val="9"/>
          <w:rFonts w:hint="eastAsia" w:ascii="仿宋" w:hAnsi="仿宋" w:eastAsia="仿宋"/>
          <w:bCs/>
          <w:color w:val="000000"/>
          <w:sz w:val="32"/>
          <w:szCs w:val="32"/>
        </w:rPr>
        <w:t>（类）公共卫生（款）基本公共卫生服务（项）</w:t>
      </w:r>
      <w:r>
        <w:rPr>
          <w:rStyle w:val="9"/>
          <w:rFonts w:ascii="仿宋" w:hAnsi="仿宋" w:eastAsia="仿宋"/>
          <w:bCs/>
          <w:color w:val="000000"/>
          <w:sz w:val="32"/>
          <w:szCs w:val="32"/>
        </w:rPr>
        <w:t>:</w:t>
      </w:r>
      <w:r>
        <w:rPr>
          <w:rStyle w:val="9"/>
          <w:rFonts w:hint="eastAsia" w:ascii="仿宋" w:hAnsi="仿宋" w:eastAsia="仿宋"/>
          <w:b w:val="0"/>
          <w:bCs/>
          <w:color w:val="000000"/>
          <w:sz w:val="32"/>
          <w:szCs w:val="32"/>
        </w:rPr>
        <w:t>支出决算为43.72万元，完成</w:t>
      </w:r>
      <w:r>
        <w:rPr>
          <w:rStyle w:val="9"/>
          <w:rFonts w:hint="eastAsia" w:ascii="仿宋" w:hAnsi="仿宋" w:eastAsia="仿宋"/>
          <w:b w:val="0"/>
          <w:bCs/>
          <w:color w:val="000000"/>
          <w:sz w:val="32"/>
          <w:szCs w:val="32"/>
          <w:lang w:eastAsia="zh-CN"/>
        </w:rPr>
        <w:t>预算的100%</w:t>
      </w:r>
      <w:r>
        <w:rPr>
          <w:rStyle w:val="9"/>
          <w:rFonts w:hint="eastAsia" w:ascii="仿宋" w:hAnsi="仿宋" w:eastAsia="仿宋"/>
          <w:b w:val="0"/>
          <w:bCs/>
          <w:color w:val="000000"/>
          <w:sz w:val="32"/>
          <w:szCs w:val="32"/>
        </w:rPr>
        <w:t>。</w:t>
      </w:r>
    </w:p>
    <w:p>
      <w:pPr>
        <w:tabs>
          <w:tab w:val="right" w:pos="8306"/>
        </w:tabs>
        <w:spacing w:line="600" w:lineRule="exact"/>
        <w:ind w:firstLine="640"/>
        <w:outlineLvl w:val="1"/>
      </w:pPr>
      <w:bookmarkStart w:id="87" w:name="_Toc29642"/>
      <w:bookmarkStart w:id="88" w:name="_Toc15377214"/>
      <w:bookmarkStart w:id="89" w:name="_Toc15396608"/>
      <w:bookmarkStart w:id="90" w:name="_Toc5465"/>
      <w:bookmarkStart w:id="91" w:name="_Toc822"/>
      <w:bookmarkStart w:id="92" w:name="_Toc17786"/>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w:t>
      </w:r>
      <w:r>
        <w:rPr>
          <w:rFonts w:hint="eastAsia" w:ascii="黑体" w:hAnsi="黑体" w:eastAsia="黑体"/>
          <w:sz w:val="32"/>
          <w:szCs w:val="32"/>
        </w:rPr>
        <w:t>财政拨款基本支出决算情况说明</w:t>
      </w:r>
      <w:bookmarkEnd w:id="87"/>
      <w:bookmarkEnd w:id="88"/>
      <w:bookmarkEnd w:id="89"/>
      <w:bookmarkEnd w:id="90"/>
      <w:bookmarkEnd w:id="91"/>
      <w:bookmarkEnd w:id="92"/>
      <w:r>
        <w:rPr>
          <w:rStyle w:val="17"/>
          <w:rFonts w:ascii="黑体" w:hAnsi="黑体" w:eastAsia="黑体"/>
          <w:b w:val="0"/>
        </w:rPr>
        <w:tab/>
      </w:r>
    </w:p>
    <w:p>
      <w:pPr>
        <w:spacing w:line="600" w:lineRule="exact"/>
        <w:ind w:firstLine="645"/>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1年一般公共预算财政拨款基本支出50.11万元，其中：人员经费50.11万元，主要包括：基本工资、津贴补贴、机关事业单位基本养老保险缴费、职业年金缴费、住房公积金缴费等。</w:t>
      </w:r>
    </w:p>
    <w:p>
      <w:pPr>
        <w:spacing w:line="600" w:lineRule="exact"/>
        <w:ind w:firstLine="640"/>
        <w:outlineLvl w:val="1"/>
        <w:rPr>
          <w:rStyle w:val="17"/>
          <w:rFonts w:ascii="黑体" w:hAnsi="黑体" w:eastAsia="黑体"/>
          <w:b w:val="0"/>
        </w:rPr>
      </w:pPr>
      <w:bookmarkStart w:id="93" w:name="_Toc1534"/>
      <w:bookmarkStart w:id="94" w:name="_Toc8799"/>
      <w:bookmarkStart w:id="95" w:name="_Toc15396609"/>
      <w:bookmarkStart w:id="96" w:name="_Toc327"/>
      <w:bookmarkStart w:id="97" w:name="_Toc12303"/>
      <w:bookmarkStart w:id="98"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93"/>
      <w:bookmarkEnd w:id="94"/>
      <w:bookmarkEnd w:id="95"/>
      <w:bookmarkEnd w:id="96"/>
      <w:bookmarkEnd w:id="97"/>
      <w:bookmarkEnd w:id="98"/>
    </w:p>
    <w:p>
      <w:pPr>
        <w:spacing w:line="600" w:lineRule="exact"/>
        <w:ind w:firstLine="640"/>
        <w:outlineLvl w:val="2"/>
        <w:rPr>
          <w:rFonts w:ascii="仿宋" w:hAnsi="仿宋" w:eastAsia="仿宋"/>
          <w:b/>
          <w:color w:val="000000"/>
          <w:sz w:val="32"/>
          <w:szCs w:val="32"/>
        </w:rPr>
      </w:pPr>
      <w:bookmarkStart w:id="99" w:name="_Toc15377216"/>
      <w:r>
        <w:rPr>
          <w:rFonts w:hint="eastAsia" w:ascii="仿宋" w:hAnsi="仿宋" w:eastAsia="仿宋"/>
          <w:b/>
          <w:color w:val="000000"/>
          <w:sz w:val="32"/>
          <w:szCs w:val="32"/>
        </w:rPr>
        <w:t>（一）“三公”经费财政拨款支出决算总体情况说明</w:t>
      </w:r>
      <w:bookmarkEnd w:id="99"/>
    </w:p>
    <w:p>
      <w:pPr>
        <w:spacing w:line="600" w:lineRule="exact"/>
        <w:ind w:firstLine="640"/>
        <w:rPr>
          <w:rFonts w:ascii="仿宋" w:hAnsi="仿宋" w:eastAsia="仿宋" w:cs="仿宋"/>
          <w:b/>
          <w:color w:val="FF0000"/>
          <w:sz w:val="32"/>
          <w:szCs w:val="32"/>
        </w:rPr>
      </w:pPr>
      <w:bookmarkStart w:id="100" w:name="_Toc15259"/>
      <w:bookmarkStart w:id="101" w:name="_Toc15396610"/>
      <w:bookmarkStart w:id="102" w:name="_Toc15377218"/>
      <w:r>
        <w:rPr>
          <w:rFonts w:hint="eastAsia" w:ascii="仿宋" w:hAnsi="仿宋" w:eastAsia="仿宋" w:cs="仿宋"/>
          <w:color w:val="000000"/>
          <w:sz w:val="32"/>
          <w:szCs w:val="32"/>
        </w:rPr>
        <w:t>2021年“三公”经费财政拨款支出决算为0万元，完成</w:t>
      </w:r>
      <w:r>
        <w:rPr>
          <w:rFonts w:hint="eastAsia" w:ascii="仿宋" w:hAnsi="仿宋" w:eastAsia="仿宋" w:cs="仿宋"/>
          <w:color w:val="000000"/>
          <w:sz w:val="32"/>
          <w:szCs w:val="32"/>
          <w:u w:val="none" w:color="46CD7E"/>
          <w:shd w:val="clear" w:fill="auto"/>
          <w:lang w:eastAsia="zh-CN"/>
        </w:rPr>
        <w:t>预算的</w:t>
      </w:r>
      <w:r>
        <w:rPr>
          <w:rFonts w:hint="eastAsia" w:ascii="仿宋" w:hAnsi="仿宋" w:eastAsia="仿宋" w:cs="仿宋"/>
          <w:color w:val="000000"/>
          <w:sz w:val="32"/>
          <w:szCs w:val="32"/>
        </w:rPr>
        <w:t>0%，决算数与预算数持平的主要原因是我单位属于差额拨款事业单位，三公经费财政无预算。</w:t>
      </w:r>
    </w:p>
    <w:p>
      <w:pPr>
        <w:spacing w:line="600" w:lineRule="exact"/>
        <w:ind w:firstLine="640"/>
        <w:outlineLvl w:val="2"/>
        <w:rPr>
          <w:rFonts w:ascii="仿宋" w:hAnsi="仿宋" w:eastAsia="仿宋" w:cs="仿宋"/>
          <w:b/>
          <w:color w:val="000000"/>
          <w:sz w:val="32"/>
          <w:szCs w:val="32"/>
        </w:rPr>
      </w:pPr>
      <w:bookmarkStart w:id="103" w:name="_Toc15377217"/>
      <w:r>
        <w:rPr>
          <w:rFonts w:hint="eastAsia" w:ascii="仿宋" w:hAnsi="仿宋" w:eastAsia="仿宋" w:cs="仿宋"/>
          <w:b/>
          <w:color w:val="000000"/>
          <w:sz w:val="32"/>
          <w:szCs w:val="32"/>
        </w:rPr>
        <w:t>（二）“三公”经费财政拨款支出决算具体情况说明</w:t>
      </w:r>
      <w:bookmarkEnd w:id="103"/>
    </w:p>
    <w:p>
      <w:pPr>
        <w:spacing w:line="60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2021年“三公”经费财政拨款支出决算中，因公出国（境）费支出决算0万元，占0%；公务用车购置及运行维护费支出决算0万元，占0%；公务接待费支出决算0万元，占0%。具体情况如下：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rPr>
        <w:t>0万元，</w:t>
      </w:r>
      <w:r>
        <w:rPr>
          <w:rStyle w:val="9"/>
          <w:rFonts w:hint="eastAsia" w:ascii="仿宋" w:hAnsi="仿宋" w:eastAsia="仿宋" w:cs="仿宋"/>
          <w:b w:val="0"/>
          <w:bCs/>
          <w:color w:val="000000"/>
          <w:sz w:val="32"/>
          <w:szCs w:val="32"/>
        </w:rPr>
        <w:t>完成</w:t>
      </w:r>
      <w:r>
        <w:rPr>
          <w:rStyle w:val="9"/>
          <w:rFonts w:hint="eastAsia" w:ascii="仿宋" w:hAnsi="仿宋" w:eastAsia="仿宋" w:cs="仿宋"/>
          <w:b w:val="0"/>
          <w:bCs/>
          <w:color w:val="000000"/>
          <w:sz w:val="32"/>
          <w:szCs w:val="32"/>
          <w:u w:val="none" w:color="46CD7E"/>
          <w:shd w:val="clear" w:fill="auto"/>
          <w:lang w:eastAsia="zh-CN"/>
        </w:rPr>
        <w:t>预算的</w:t>
      </w:r>
      <w:r>
        <w:rPr>
          <w:rStyle w:val="9"/>
          <w:rFonts w:hint="eastAsia" w:ascii="仿宋" w:hAnsi="仿宋" w:eastAsia="仿宋" w:cs="仿宋"/>
          <w:b w:val="0"/>
          <w:bCs/>
          <w:color w:val="000000"/>
          <w:sz w:val="32"/>
          <w:szCs w:val="32"/>
        </w:rPr>
        <w:t>0%。</w:t>
      </w:r>
      <w:r>
        <w:rPr>
          <w:rFonts w:hint="eastAsia" w:ascii="仿宋" w:hAnsi="仿宋" w:eastAsia="仿宋" w:cs="仿宋"/>
          <w:color w:val="000000"/>
          <w:sz w:val="32"/>
          <w:szCs w:val="32"/>
        </w:rPr>
        <w:t>全年安排因公出国（境）团组0次，出国（境）0人。因公出国（境）支出决算比2020年增加0万元，增长0%。</w:t>
      </w:r>
    </w:p>
    <w:p>
      <w:pPr>
        <w:spacing w:line="600" w:lineRule="exact"/>
        <w:ind w:firstLine="640"/>
        <w:rPr>
          <w:rFonts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rPr>
        <w:t>0万元</w:t>
      </w:r>
      <w:r>
        <w:t>，</w:t>
      </w:r>
      <w:r>
        <w:rPr>
          <w:rStyle w:val="9"/>
          <w:rFonts w:hint="eastAsia" w:ascii="仿宋" w:hAnsi="仿宋" w:eastAsia="仿宋" w:cs="仿宋"/>
          <w:b w:val="0"/>
          <w:bCs/>
          <w:color w:val="000000"/>
          <w:sz w:val="32"/>
          <w:szCs w:val="32"/>
        </w:rPr>
        <w:t>完成</w:t>
      </w:r>
      <w:r>
        <w:rPr>
          <w:rStyle w:val="9"/>
          <w:rFonts w:hint="eastAsia" w:ascii="仿宋" w:hAnsi="仿宋" w:eastAsia="仿宋" w:cs="仿宋"/>
          <w:b w:val="0"/>
          <w:bCs/>
          <w:color w:val="000000"/>
          <w:sz w:val="32"/>
          <w:szCs w:val="32"/>
          <w:u w:val="none" w:color="46CD7E"/>
          <w:shd w:val="clear" w:fill="auto"/>
          <w:lang w:eastAsia="zh-CN"/>
        </w:rPr>
        <w:t>预算的</w:t>
      </w:r>
      <w:r>
        <w:rPr>
          <w:rStyle w:val="9"/>
          <w:rFonts w:hint="eastAsia" w:ascii="仿宋" w:hAnsi="仿宋" w:eastAsia="仿宋" w:cs="仿宋"/>
          <w:b w:val="0"/>
          <w:bCs/>
          <w:color w:val="000000"/>
          <w:sz w:val="32"/>
          <w:szCs w:val="32"/>
        </w:rPr>
        <w:t>0%。</w:t>
      </w:r>
      <w:r>
        <w:rPr>
          <w:rFonts w:hint="eastAsia" w:ascii="仿宋" w:hAnsi="仿宋" w:eastAsia="仿宋" w:cs="仿宋"/>
          <w:color w:val="000000"/>
          <w:sz w:val="32"/>
          <w:szCs w:val="32"/>
        </w:rPr>
        <w:t>公务用车购置及运行维护费支出决算比2020年增加0万元，增长0%。</w:t>
      </w:r>
    </w:p>
    <w:p>
      <w:pPr>
        <w:spacing w:line="600" w:lineRule="exact"/>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w:t>
      </w:r>
    </w:p>
    <w:p>
      <w:pPr>
        <w:spacing w:line="600" w:lineRule="exact"/>
        <w:ind w:firstLine="640"/>
        <w:rPr>
          <w:rFonts w:ascii="仿宋" w:hAnsi="仿宋" w:eastAsia="仿宋" w:cs="仿宋"/>
          <w:color w:val="000000"/>
          <w:sz w:val="32"/>
          <w:szCs w:val="32"/>
        </w:rPr>
      </w:pPr>
      <w:r>
        <w:rPr>
          <w:rFonts w:hint="eastAsia" w:ascii="仿宋" w:hAnsi="仿宋" w:eastAsia="仿宋" w:cs="仿宋"/>
          <w:b/>
          <w:color w:val="000000"/>
          <w:sz w:val="32"/>
          <w:szCs w:val="32"/>
        </w:rPr>
        <w:t>公务用车运行维护费支出</w:t>
      </w:r>
      <w:r>
        <w:rPr>
          <w:rFonts w:hint="eastAsia" w:ascii="仿宋" w:hAnsi="仿宋" w:eastAsia="仿宋" w:cs="仿宋"/>
          <w:color w:val="000000"/>
          <w:sz w:val="32"/>
          <w:szCs w:val="32"/>
        </w:rPr>
        <w:t>0万元。</w:t>
      </w:r>
    </w:p>
    <w:p>
      <w:pPr>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rPr>
        <w:t>0万元，</w:t>
      </w:r>
      <w:r>
        <w:rPr>
          <w:rStyle w:val="9"/>
          <w:rFonts w:hint="eastAsia" w:ascii="仿宋" w:hAnsi="仿宋" w:eastAsia="仿宋" w:cs="仿宋"/>
          <w:b w:val="0"/>
          <w:bCs/>
          <w:color w:val="000000"/>
          <w:sz w:val="32"/>
          <w:szCs w:val="32"/>
        </w:rPr>
        <w:t>完成预算的0%。</w:t>
      </w:r>
      <w:r>
        <w:rPr>
          <w:rFonts w:hint="eastAsia" w:ascii="仿宋" w:hAnsi="仿宋" w:eastAsia="仿宋" w:cs="仿宋"/>
          <w:color w:val="000000"/>
          <w:sz w:val="32"/>
          <w:szCs w:val="32"/>
        </w:rPr>
        <w:t>公务接待费支出决算比2019年增加0万元，增长0%。</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rPr>
        <w:t>0万元，主要用于执行公务、开展业务活动开支的交通费、住宿费、用餐费等。国内公务接待0批次，0人次（不包括陪同人员），共计支出0万元。</w:t>
      </w:r>
    </w:p>
    <w:p>
      <w:pPr>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外事接待支出</w:t>
      </w:r>
      <w:r>
        <w:rPr>
          <w:rFonts w:hint="eastAsia" w:ascii="仿宋" w:hAnsi="仿宋" w:eastAsia="仿宋" w:cs="仿宋"/>
          <w:color w:val="000000"/>
          <w:sz w:val="32"/>
          <w:szCs w:val="32"/>
        </w:rPr>
        <w:t>0万元，外事接待0批次，0人，共计支出0万元。</w:t>
      </w:r>
    </w:p>
    <w:p>
      <w:pPr>
        <w:spacing w:line="600" w:lineRule="exact"/>
        <w:ind w:firstLine="640"/>
        <w:outlineLvl w:val="1"/>
        <w:rPr>
          <w:rStyle w:val="17"/>
          <w:rFonts w:ascii="黑体" w:hAnsi="黑体" w:eastAsia="黑体"/>
        </w:rPr>
      </w:pPr>
      <w:bookmarkStart w:id="104" w:name="_Toc16041"/>
      <w:bookmarkStart w:id="105" w:name="_Toc1187"/>
      <w:bookmarkStart w:id="106" w:name="_Toc31962"/>
      <w:r>
        <w:rPr>
          <w:rFonts w:hint="eastAsia" w:ascii="黑体" w:eastAsia="黑体"/>
          <w:color w:val="000000"/>
          <w:sz w:val="32"/>
          <w:szCs w:val="32"/>
        </w:rPr>
        <w:t>八、</w:t>
      </w:r>
      <w:r>
        <w:rPr>
          <w:rStyle w:val="17"/>
          <w:rFonts w:hint="eastAsia" w:ascii="黑体" w:hAnsi="黑体" w:eastAsia="黑体"/>
          <w:b w:val="0"/>
        </w:rPr>
        <w:t>政府性基金预算</w:t>
      </w:r>
      <w:r>
        <w:rPr>
          <w:rFonts w:hint="eastAsia" w:ascii="黑体" w:hAnsi="黑体" w:eastAsia="黑体"/>
          <w:sz w:val="32"/>
          <w:szCs w:val="32"/>
        </w:rPr>
        <w:t>支出决算情况说明</w:t>
      </w:r>
      <w:bookmarkEnd w:id="100"/>
      <w:bookmarkEnd w:id="101"/>
      <w:bookmarkEnd w:id="102"/>
      <w:bookmarkEnd w:id="104"/>
      <w:bookmarkEnd w:id="105"/>
      <w:bookmarkEnd w:id="106"/>
    </w:p>
    <w:p>
      <w:pPr>
        <w:spacing w:line="600" w:lineRule="exact"/>
        <w:ind w:firstLine="640"/>
        <w:rPr>
          <w:rFonts w:ascii="仿宋_GB2312" w:eastAsia="仿宋_GB2312"/>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1年政府性基金预算拨款支出0万元。</w:t>
      </w:r>
    </w:p>
    <w:p>
      <w:pPr>
        <w:numPr>
          <w:ilvl w:val="0"/>
          <w:numId w:val="4"/>
        </w:numPr>
        <w:spacing w:line="600" w:lineRule="exact"/>
        <w:ind w:firstLine="640"/>
        <w:outlineLvl w:val="1"/>
        <w:rPr>
          <w:rStyle w:val="17"/>
          <w:rFonts w:ascii="黑体" w:hAnsi="黑体" w:eastAsia="黑体"/>
          <w:b w:val="0"/>
        </w:rPr>
      </w:pPr>
      <w:bookmarkStart w:id="107" w:name="_Toc15540"/>
      <w:bookmarkStart w:id="108" w:name="_Toc15377219"/>
      <w:bookmarkStart w:id="109" w:name="_Toc23139"/>
      <w:bookmarkStart w:id="110" w:name="_Toc15396611"/>
      <w:bookmarkStart w:id="111" w:name="_Toc9792"/>
      <w:bookmarkStart w:id="112" w:name="_Toc27381"/>
      <w:r>
        <w:rPr>
          <w:rStyle w:val="17"/>
          <w:rFonts w:hint="eastAsia" w:ascii="黑体" w:hAnsi="黑体" w:eastAsia="黑体"/>
          <w:b w:val="0"/>
        </w:rPr>
        <w:t>国有资本经营预算</w:t>
      </w:r>
      <w:r>
        <w:rPr>
          <w:rFonts w:hint="eastAsia" w:ascii="黑体" w:hAnsi="黑体" w:eastAsia="黑体"/>
          <w:sz w:val="32"/>
          <w:szCs w:val="32"/>
        </w:rPr>
        <w:t>支出决算情况说明</w:t>
      </w:r>
      <w:bookmarkEnd w:id="107"/>
      <w:bookmarkEnd w:id="108"/>
      <w:bookmarkEnd w:id="109"/>
      <w:bookmarkEnd w:id="110"/>
      <w:bookmarkEnd w:id="111"/>
      <w:bookmarkEnd w:id="11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1年国有资本经营预算拨款支出0万元。</w:t>
      </w:r>
    </w:p>
    <w:p>
      <w:pPr>
        <w:spacing w:line="600" w:lineRule="exact"/>
        <w:ind w:firstLine="640" w:firstLineChars="200"/>
        <w:outlineLvl w:val="1"/>
        <w:rPr>
          <w:rStyle w:val="17"/>
          <w:rFonts w:ascii="黑体" w:hAnsi="黑体" w:eastAsia="黑体"/>
        </w:rPr>
      </w:pPr>
      <w:bookmarkStart w:id="113" w:name="_Toc30682"/>
      <w:bookmarkStart w:id="114" w:name="_Toc28889"/>
      <w:bookmarkStart w:id="115" w:name="_Toc31797"/>
      <w:bookmarkStart w:id="116" w:name="_Toc18009"/>
      <w:bookmarkStart w:id="117" w:name="_Toc15396612"/>
      <w:bookmarkStart w:id="118" w:name="_Toc15377221"/>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113"/>
      <w:bookmarkEnd w:id="114"/>
      <w:bookmarkEnd w:id="115"/>
      <w:bookmarkEnd w:id="116"/>
      <w:bookmarkEnd w:id="117"/>
      <w:bookmarkEnd w:id="118"/>
    </w:p>
    <w:p>
      <w:pPr>
        <w:spacing w:line="600" w:lineRule="exact"/>
        <w:ind w:firstLine="643" w:firstLineChars="200"/>
        <w:outlineLvl w:val="2"/>
        <w:rPr>
          <w:rFonts w:ascii="仿宋" w:hAnsi="仿宋" w:eastAsia="仿宋"/>
          <w:b/>
          <w:color w:val="000000"/>
          <w:sz w:val="32"/>
          <w:szCs w:val="32"/>
        </w:rPr>
      </w:pPr>
      <w:bookmarkStart w:id="119" w:name="_Toc15377222"/>
      <w:r>
        <w:rPr>
          <w:rFonts w:hint="eastAsia" w:ascii="仿宋" w:hAnsi="仿宋" w:eastAsia="仿宋"/>
          <w:b/>
          <w:color w:val="000000"/>
          <w:sz w:val="32"/>
          <w:szCs w:val="32"/>
        </w:rPr>
        <w:t>（一）机关运行经费支出情况</w:t>
      </w:r>
      <w:bookmarkEnd w:id="119"/>
    </w:p>
    <w:p>
      <w:pPr>
        <w:spacing w:line="520" w:lineRule="exact"/>
        <w:ind w:firstLine="640" w:firstLineChars="200"/>
        <w:rPr>
          <w:rFonts w:eastAsia="仿宋"/>
        </w:rPr>
      </w:pPr>
      <w:r>
        <w:rPr>
          <w:rFonts w:hint="eastAsia" w:ascii="仿宋" w:hAnsi="仿宋" w:eastAsia="仿宋" w:cs="仿宋"/>
          <w:sz w:val="32"/>
          <w:szCs w:val="32"/>
        </w:rPr>
        <w:t>2021年度机关运行经费决算0万元。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0" w:name="_Toc15377223"/>
      <w:r>
        <w:rPr>
          <w:rFonts w:hint="eastAsia" w:ascii="仿宋" w:hAnsi="仿宋" w:eastAsia="仿宋"/>
          <w:b/>
          <w:color w:val="000000"/>
          <w:sz w:val="32"/>
          <w:szCs w:val="32"/>
        </w:rPr>
        <w:t>（二）政府采购支出情况</w:t>
      </w:r>
      <w:bookmarkEnd w:id="120"/>
    </w:p>
    <w:p>
      <w:pPr>
        <w:spacing w:line="600" w:lineRule="exact"/>
        <w:ind w:firstLine="640" w:firstLineChars="200"/>
        <w:rPr>
          <w:rFonts w:ascii="仿宋" w:hAnsi="仿宋" w:eastAsia="仿宋"/>
          <w:b/>
          <w:color w:val="FF0000"/>
          <w:sz w:val="32"/>
          <w:szCs w:val="32"/>
        </w:rPr>
      </w:pPr>
      <w:r>
        <w:rPr>
          <w:rFonts w:hint="eastAsia" w:ascii="仿宋" w:hAnsi="仿宋" w:eastAsia="仿宋" w:cs="仿宋"/>
          <w:sz w:val="32"/>
          <w:szCs w:val="32"/>
        </w:rPr>
        <w:t>2021</w:t>
      </w:r>
      <w:r>
        <w:rPr>
          <w:rFonts w:hint="eastAsia" w:ascii="仿宋_GB2312" w:eastAsia="仿宋_GB2312"/>
          <w:color w:val="000000"/>
          <w:sz w:val="32"/>
          <w:szCs w:val="32"/>
        </w:rPr>
        <w:t>年，</w:t>
      </w:r>
      <w:r>
        <w:rPr>
          <w:rFonts w:hint="eastAsia" w:ascii="仿宋" w:hAnsi="仿宋" w:eastAsia="仿宋" w:cs="仿宋"/>
          <w:sz w:val="32"/>
          <w:szCs w:val="32"/>
        </w:rPr>
        <w:t>通江县涪阳镇草池卫生院</w:t>
      </w:r>
      <w:r>
        <w:rPr>
          <w:rFonts w:hint="eastAsia" w:ascii="仿宋_GB2312" w:eastAsia="仿宋_GB2312"/>
          <w:color w:val="000000"/>
          <w:sz w:val="32"/>
          <w:szCs w:val="32"/>
        </w:rPr>
        <w:t>政府采购支出总额1580元，其中：政府采购货物支出1580元。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1" w:name="_Toc15377224"/>
      <w:r>
        <w:rPr>
          <w:rFonts w:hint="eastAsia" w:ascii="仿宋" w:hAnsi="仿宋" w:eastAsia="仿宋"/>
          <w:b/>
          <w:color w:val="000000"/>
          <w:sz w:val="32"/>
          <w:szCs w:val="32"/>
        </w:rPr>
        <w:t>（三）国有资产占有使用情况</w:t>
      </w:r>
      <w:bookmarkEnd w:id="12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截至2021年12月31日，通江县涪阳镇草池卫生院共有车辆0辆。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基本公卫项目和基药项目开展了预算事前绩效评估，对2个项目编制了绩效目标，预算执行过程中，选取2个项目开展绩效监控，年终执行完毕后，对2个项目开展了绩效目标完成情况自评。2021年特定目标类部门预算项目绩效目标自评表见附件（第四部分）。</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本单位按要求对2021年项目支出开展绩效评价，从评价情况来看，单位紧紧围绕“以病人为中心，为人民服务”的宗旨，以过硬的医疗技术、优良的医疗服务赢得了良好的社会效益和经济效益。</w:t>
      </w:r>
    </w:p>
    <w:p>
      <w:pPr>
        <w:autoSpaceDE w:val="0"/>
        <w:autoSpaceDN w:val="0"/>
        <w:adjustRightInd w:val="0"/>
        <w:spacing w:line="600" w:lineRule="exact"/>
        <w:ind w:firstLine="643" w:firstLineChars="200"/>
        <w:jc w:val="left"/>
        <w:rPr>
          <w:rFonts w:ascii="仿宋" w:hAnsi="仿宋" w:eastAsia="仿宋" w:cs="仿宋"/>
          <w:sz w:val="32"/>
          <w:szCs w:val="32"/>
        </w:rPr>
      </w:pPr>
      <w:r>
        <w:rPr>
          <w:rFonts w:hint="eastAsia" w:ascii="楷体_GB2312" w:hAnsi="楷体_GB2312" w:eastAsia="楷体_GB2312" w:cs="楷体_GB2312"/>
          <w:b/>
          <w:bCs/>
          <w:sz w:val="32"/>
          <w:szCs w:val="32"/>
        </w:rPr>
        <w:t>1.项目绩效目标完成情况。</w:t>
      </w:r>
      <w:r>
        <w:rPr>
          <w:rFonts w:hint="eastAsia" w:ascii="仿宋" w:hAnsi="仿宋" w:eastAsia="仿宋" w:cs="仿宋"/>
          <w:sz w:val="32"/>
          <w:szCs w:val="32"/>
        </w:rPr>
        <w:br w:type="textWrapping"/>
      </w:r>
      <w:r>
        <w:rPr>
          <w:rFonts w:hint="eastAsia" w:ascii="仿宋" w:hAnsi="仿宋" w:eastAsia="仿宋" w:cs="仿宋"/>
          <w:sz w:val="32"/>
          <w:szCs w:val="32"/>
        </w:rPr>
        <w:t>本单位在2021年度部门决算中反映“基药补助”“基本公共卫生”等2个项目绩效目标实际完成情况。</w:t>
      </w:r>
    </w:p>
    <w:p>
      <w:pPr>
        <w:autoSpaceDE w:val="0"/>
        <w:autoSpaceDN w:val="0"/>
        <w:adjustRightInd w:val="0"/>
        <w:spacing w:line="600"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rPr>
        <w:t>（1）基本公共卫生项目绩效目标完成情况综述。项目全年预算数为43.72万元，执行数为43.72万元，完成预算的100%。通过项目实施，</w:t>
      </w:r>
      <w:r>
        <w:rPr>
          <w:rFonts w:hint="eastAsia" w:ascii="仿宋" w:hAnsi="仿宋" w:eastAsia="仿宋" w:cs="仿宋"/>
          <w:sz w:val="32"/>
          <w:szCs w:val="32"/>
          <w:lang w:val="zh-CN"/>
        </w:rPr>
        <w:t>为今后继续提高医疗质量、为老百姓提供良好的就医条件、解决老百姓看病难看病贵的问题、提高患者满意度等打下了</w:t>
      </w:r>
      <w:r>
        <w:rPr>
          <w:rFonts w:hint="eastAsia" w:ascii="仿宋" w:hAnsi="仿宋" w:eastAsia="仿宋" w:cs="仿宋"/>
          <w:sz w:val="32"/>
          <w:szCs w:val="32"/>
          <w:u w:val="none" w:color="46CD7E"/>
          <w:shd w:val="clear" w:fill="auto"/>
          <w:lang w:val="zh-CN"/>
        </w:rPr>
        <w:t>坚实</w:t>
      </w:r>
      <w:r>
        <w:rPr>
          <w:rFonts w:hint="eastAsia" w:ascii="仿宋" w:hAnsi="仿宋" w:eastAsia="仿宋" w:cs="仿宋"/>
          <w:sz w:val="32"/>
          <w:szCs w:val="32"/>
          <w:lang w:val="zh-CN"/>
        </w:rPr>
        <w:t>基础。</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发现的主要问题：</w:t>
      </w:r>
      <w:r>
        <w:rPr>
          <w:rFonts w:hint="eastAsia" w:ascii="仿宋" w:hAnsi="仿宋" w:eastAsia="仿宋" w:cs="仿宋"/>
          <w:sz w:val="32"/>
          <w:szCs w:val="32"/>
          <w:lang w:val="zh-CN"/>
        </w:rPr>
        <w:t>资金拨付不够及时</w:t>
      </w:r>
      <w:r>
        <w:rPr>
          <w:rFonts w:hint="eastAsia" w:ascii="仿宋" w:hAnsi="仿宋" w:eastAsia="仿宋" w:cs="仿宋"/>
          <w:sz w:val="32"/>
          <w:szCs w:val="32"/>
        </w:rPr>
        <w:t>。</w:t>
      </w:r>
    </w:p>
    <w:p>
      <w:pPr>
        <w:autoSpaceDE w:val="0"/>
        <w:autoSpaceDN w:val="0"/>
        <w:adjustRightInd w:val="0"/>
        <w:spacing w:line="600"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rPr>
        <w:t>下一步改进措施</w:t>
      </w:r>
      <w:r>
        <w:rPr>
          <w:rFonts w:hint="eastAsia" w:ascii="仿宋" w:hAnsi="仿宋" w:eastAsia="仿宋" w:cs="仿宋"/>
          <w:sz w:val="32"/>
          <w:szCs w:val="32"/>
          <w:lang w:val="zh-CN"/>
        </w:rPr>
        <w:t>：优化服务流程，加强预算管理，强化成本核算和支出管理，加强人才培训，提高技术水平、服务质量和运行效率。</w:t>
      </w:r>
    </w:p>
    <w:p>
      <w:pPr>
        <w:autoSpaceDE w:val="0"/>
        <w:autoSpaceDN w:val="0"/>
        <w:adjustRightInd w:val="0"/>
        <w:spacing w:line="600"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rPr>
        <w:t>2</w:t>
      </w:r>
      <w:r>
        <w:rPr>
          <w:rFonts w:hint="eastAsia" w:ascii="仿宋" w:hAnsi="仿宋" w:eastAsia="仿宋" w:cs="仿宋"/>
          <w:sz w:val="32"/>
          <w:szCs w:val="32"/>
          <w:lang w:val="zh-CN"/>
        </w:rPr>
        <w:t>）基药补助项目绩效目标完成情况综述。项目全年预算数为</w:t>
      </w:r>
      <w:r>
        <w:rPr>
          <w:rFonts w:hint="eastAsia" w:ascii="仿宋" w:hAnsi="仿宋" w:eastAsia="仿宋" w:cs="仿宋"/>
          <w:sz w:val="32"/>
          <w:szCs w:val="32"/>
        </w:rPr>
        <w:t>11.87</w:t>
      </w:r>
      <w:r>
        <w:rPr>
          <w:rFonts w:hint="eastAsia" w:ascii="仿宋" w:hAnsi="仿宋" w:eastAsia="仿宋" w:cs="仿宋"/>
          <w:sz w:val="32"/>
          <w:szCs w:val="32"/>
          <w:lang w:val="zh-CN"/>
        </w:rPr>
        <w:t>万元，执行数为</w:t>
      </w:r>
      <w:r>
        <w:rPr>
          <w:rFonts w:hint="eastAsia" w:ascii="仿宋" w:hAnsi="仿宋" w:eastAsia="仿宋" w:cs="仿宋"/>
          <w:sz w:val="32"/>
          <w:szCs w:val="32"/>
        </w:rPr>
        <w:t>11.87</w:t>
      </w:r>
      <w:r>
        <w:rPr>
          <w:rFonts w:hint="eastAsia" w:ascii="仿宋" w:hAnsi="仿宋" w:eastAsia="仿宋" w:cs="仿宋"/>
          <w:sz w:val="32"/>
          <w:szCs w:val="32"/>
          <w:lang w:val="zh-CN"/>
        </w:rPr>
        <w:t>万元，完成预算的</w:t>
      </w:r>
      <w:r>
        <w:rPr>
          <w:rFonts w:hint="eastAsia" w:ascii="仿宋" w:hAnsi="仿宋" w:eastAsia="仿宋" w:cs="仿宋"/>
          <w:sz w:val="32"/>
          <w:szCs w:val="32"/>
        </w:rPr>
        <w:t>100</w:t>
      </w:r>
      <w:r>
        <w:rPr>
          <w:rFonts w:hint="eastAsia" w:ascii="仿宋" w:hAnsi="仿宋" w:eastAsia="仿宋" w:cs="仿宋"/>
          <w:sz w:val="32"/>
          <w:szCs w:val="32"/>
          <w:lang w:val="zh-CN"/>
        </w:rPr>
        <w:t>%。通过项目实施，缓解了医患关系和“看病贵”的问题，同时打破了“以药养医”的局面。</w:t>
      </w:r>
    </w:p>
    <w:p>
      <w:pPr>
        <w:autoSpaceDE w:val="0"/>
        <w:autoSpaceDN w:val="0"/>
        <w:adjustRightInd w:val="0"/>
        <w:spacing w:line="600"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发现的主要问题：卫生院实施基本药物制度政策宣传深度和广度不够，实施基本药物制度政策欠到位。</w:t>
      </w:r>
    </w:p>
    <w:p>
      <w:pPr>
        <w:autoSpaceDE w:val="0"/>
        <w:autoSpaceDN w:val="0"/>
        <w:adjustRightInd w:val="0"/>
        <w:spacing w:line="600"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下一步改进措施：加大宣传力度，增强居民对于基本药物制度的认知度和信赖度，纠正居民错误观点，引导居民正确使用基本药物。</w:t>
      </w:r>
    </w:p>
    <w:p>
      <w:pPr>
        <w:spacing w:line="580" w:lineRule="exact"/>
        <w:ind w:left="420" w:leftChars="200"/>
      </w:pPr>
      <w:r>
        <w:rPr>
          <w:rFonts w:hint="eastAsia" w:ascii="楷体_GB2312" w:hAnsi="楷体_GB2312" w:eastAsia="楷体_GB2312" w:cs="楷体_GB2312"/>
          <w:b/>
          <w:bCs/>
          <w:sz w:val="32"/>
          <w:szCs w:val="32"/>
        </w:rPr>
        <w:t>2.部门绩效评价结果。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本单位按要求对2021年部门整体支出绩效评价情况开展自评，同时对基本公共卫生和基药补助2个项目开展绩效评价。</w:t>
      </w:r>
    </w:p>
    <w:p>
      <w:pPr>
        <w:widowControl/>
        <w:jc w:val="left"/>
        <w:rPr>
          <w:rFonts w:ascii="仿宋_GB2312" w:eastAsia="仿宋_GB2312"/>
          <w:b/>
          <w:color w:val="000000"/>
          <w:sz w:val="32"/>
          <w:szCs w:val="32"/>
        </w:rPr>
      </w:pPr>
      <w:r>
        <w:br w:type="page"/>
      </w:r>
    </w:p>
    <w:p>
      <w:pPr>
        <w:numPr>
          <w:ilvl w:val="0"/>
          <w:numId w:val="5"/>
        </w:numPr>
        <w:spacing w:line="600" w:lineRule="exact"/>
        <w:ind w:firstLine="660" w:firstLineChars="150"/>
        <w:jc w:val="center"/>
        <w:outlineLvl w:val="0"/>
        <w:rPr>
          <w:rStyle w:val="16"/>
          <w:rFonts w:ascii="黑体" w:hAnsi="黑体" w:eastAsia="黑体"/>
          <w:b w:val="0"/>
        </w:rPr>
      </w:pPr>
      <w:bookmarkStart w:id="122" w:name="_Toc5355"/>
      <w:bookmarkStart w:id="123" w:name="_Toc15377225"/>
      <w:bookmarkStart w:id="124" w:name="_Toc7813"/>
      <w:bookmarkStart w:id="125" w:name="_Toc10413"/>
      <w:bookmarkStart w:id="126" w:name="_Toc27210"/>
      <w:bookmarkStart w:id="127" w:name="_Toc15396613"/>
      <w:r>
        <w:rPr>
          <w:rFonts w:hint="eastAsia" w:ascii="黑体" w:hAnsi="黑体" w:eastAsia="黑体"/>
          <w:color w:val="000000"/>
          <w:sz w:val="44"/>
          <w:szCs w:val="44"/>
        </w:rPr>
        <w:t>名</w:t>
      </w:r>
      <w:r>
        <w:rPr>
          <w:rStyle w:val="16"/>
          <w:rFonts w:hint="eastAsia" w:ascii="黑体" w:hAnsi="黑体" w:eastAsia="黑体"/>
          <w:b w:val="0"/>
        </w:rPr>
        <w:t>词解释</w:t>
      </w:r>
      <w:bookmarkEnd w:id="122"/>
      <w:bookmarkEnd w:id="123"/>
      <w:bookmarkEnd w:id="124"/>
      <w:bookmarkEnd w:id="125"/>
      <w:bookmarkEnd w:id="126"/>
      <w:bookmarkEnd w:id="127"/>
    </w:p>
    <w:p>
      <w:pPr>
        <w:spacing w:line="600" w:lineRule="exact"/>
        <w:jc w:val="left"/>
        <w:rPr>
          <w:rFonts w:ascii="宋体"/>
          <w:b/>
          <w:color w:val="000000"/>
          <w:sz w:val="44"/>
          <w:szCs w:val="44"/>
        </w:rPr>
      </w:pP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1.财政拨款收入：指单位从同级财政部门取得的财政预算资金。</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2.事业收入：指事业单位开展专业业务活动及辅助活动取得的收入。</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3.经营收入：指事业单位在专业业务活动及其辅助活动之外开展非独立核算经营活动取得的收入。</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4.其他收入：指单位取得的除上述收入以外的各项收入。</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5.使用非财政拨款结余：指事业单位使用以前年度积累的非财政拨款结余弥补当年收支差额的金额。</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6.年初结转和结余：指以前年度尚未完成、结转到</w:t>
      </w:r>
      <w:r>
        <w:rPr>
          <w:rFonts w:hint="eastAsia" w:hAnsi="仿宋"/>
          <w:color w:val="auto"/>
          <w:kern w:val="2"/>
          <w:sz w:val="32"/>
          <w:szCs w:val="32"/>
          <w:u w:val="none" w:color="46CD7E"/>
          <w:shd w:val="clear" w:fill="auto"/>
          <w:lang w:val="zh-CN"/>
        </w:rPr>
        <w:t>本年度</w:t>
      </w:r>
      <w:r>
        <w:rPr>
          <w:rFonts w:hint="eastAsia" w:hAnsi="仿宋"/>
          <w:color w:val="auto"/>
          <w:kern w:val="2"/>
          <w:sz w:val="32"/>
          <w:szCs w:val="32"/>
          <w:lang w:val="zh-CN"/>
        </w:rPr>
        <w:t>按有关规定继续使用的资金。</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7.结余分配：指事业单位按照会计制度规定缴纳的所得税、提取的专用结余以及转入非财政拨款结余的金额等。</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lang w:val="zh-CN"/>
        </w:rPr>
        <w:t>8、年末结转和结余：指单位按有关规定结转到下年或以后年度继续使用的资金。</w:t>
      </w:r>
    </w:p>
    <w:p>
      <w:pPr>
        <w:ind w:firstLine="640" w:firstLineChars="200"/>
        <w:rPr>
          <w:rFonts w:ascii="仿宋" w:hAnsi="仿宋" w:eastAsia="仿宋" w:cs="仿宋"/>
          <w:sz w:val="32"/>
          <w:szCs w:val="32"/>
          <w:lang w:val="zh-CN"/>
        </w:rPr>
      </w:pPr>
      <w:r>
        <w:rPr>
          <w:rFonts w:hint="eastAsia" w:ascii="仿宋" w:hAnsi="仿宋" w:eastAsia="仿宋" w:cs="仿宋"/>
          <w:sz w:val="32"/>
          <w:szCs w:val="32"/>
        </w:rPr>
        <w:t>9</w:t>
      </w:r>
      <w:r>
        <w:rPr>
          <w:rFonts w:hint="eastAsia" w:ascii="仿宋" w:hAnsi="仿宋" w:eastAsia="仿宋" w:cs="仿宋"/>
          <w:sz w:val="32"/>
          <w:szCs w:val="32"/>
          <w:lang w:val="zh-CN"/>
        </w:rPr>
        <w:t>.基本支出：指为保障机构正常运转、完成日常工作任务而发生的人员支出和公用支出。</w:t>
      </w:r>
    </w:p>
    <w:p>
      <w:pPr>
        <w:ind w:firstLine="640" w:firstLineChars="200"/>
        <w:rPr>
          <w:rFonts w:ascii="仿宋" w:hAnsi="仿宋" w:eastAsia="仿宋" w:cs="仿宋"/>
          <w:sz w:val="32"/>
          <w:szCs w:val="32"/>
          <w:lang w:val="zh-CN"/>
        </w:rPr>
      </w:pPr>
      <w:r>
        <w:rPr>
          <w:rFonts w:hint="eastAsia" w:ascii="仿宋" w:hAnsi="仿宋" w:eastAsia="仿宋" w:cs="仿宋"/>
          <w:sz w:val="32"/>
          <w:szCs w:val="32"/>
        </w:rPr>
        <w:t>10</w:t>
      </w:r>
      <w:r>
        <w:rPr>
          <w:rFonts w:hint="eastAsia" w:ascii="仿宋" w:hAnsi="仿宋" w:eastAsia="仿宋" w:cs="仿宋"/>
          <w:sz w:val="32"/>
          <w:szCs w:val="32"/>
          <w:lang w:val="zh-CN"/>
        </w:rPr>
        <w:t>.项目支出：指在基本支出之外为完成特定行政任务和事业发展目标所发生的支出。</w:t>
      </w:r>
    </w:p>
    <w:p>
      <w:pPr>
        <w:ind w:firstLine="640" w:firstLineChars="200"/>
        <w:rPr>
          <w:rFonts w:ascii="仿宋" w:hAnsi="仿宋" w:eastAsia="仿宋" w:cs="仿宋"/>
          <w:sz w:val="32"/>
          <w:szCs w:val="32"/>
          <w:lang w:val="zh-CN"/>
        </w:rPr>
      </w:pPr>
      <w:r>
        <w:rPr>
          <w:rFonts w:hint="eastAsia" w:ascii="仿宋" w:hAnsi="仿宋" w:eastAsia="仿宋" w:cs="仿宋"/>
          <w:sz w:val="32"/>
          <w:szCs w:val="32"/>
        </w:rPr>
        <w:t>11</w:t>
      </w:r>
      <w:r>
        <w:rPr>
          <w:rFonts w:hint="eastAsia" w:ascii="仿宋" w:hAnsi="仿宋" w:eastAsia="仿宋" w:cs="仿宋"/>
          <w:sz w:val="32"/>
          <w:szCs w:val="32"/>
          <w:lang w:val="zh-CN"/>
        </w:rPr>
        <w:t>.经营支出：指事业单位在专业业务活动及其辅助活动之外开展非独立核算经营活动发生的支出。</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rPr>
        <w:t>12</w:t>
      </w:r>
      <w:r>
        <w:rPr>
          <w:rFonts w:hint="eastAsia" w:hAnsi="仿宋"/>
          <w:color w:val="auto"/>
          <w:kern w:val="2"/>
          <w:sz w:val="32"/>
          <w:szCs w:val="32"/>
          <w:lang w:val="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9"/>
        <w:spacing w:line="560" w:lineRule="exact"/>
        <w:ind w:firstLine="640" w:firstLineChars="200"/>
        <w:rPr>
          <w:rFonts w:hAnsi="仿宋"/>
          <w:color w:val="auto"/>
          <w:kern w:val="2"/>
          <w:sz w:val="32"/>
          <w:szCs w:val="32"/>
          <w:lang w:val="zh-CN"/>
        </w:rPr>
      </w:pPr>
      <w:r>
        <w:rPr>
          <w:rFonts w:hint="eastAsia" w:hAnsi="仿宋"/>
          <w:color w:val="auto"/>
          <w:kern w:val="2"/>
          <w:sz w:val="32"/>
          <w:szCs w:val="32"/>
        </w:rPr>
        <w:t>13</w:t>
      </w:r>
      <w:r>
        <w:rPr>
          <w:rFonts w:hint="eastAsia" w:hAnsi="仿宋"/>
          <w:color w:val="auto"/>
          <w:kern w:val="2"/>
          <w:sz w:val="32"/>
          <w:szCs w:val="32"/>
          <w:lang w:val="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9"/>
        <w:spacing w:line="560" w:lineRule="exact"/>
        <w:ind w:firstLine="640" w:firstLineChars="200"/>
        <w:rPr>
          <w:rFonts w:hAnsi="仿宋"/>
          <w:color w:val="auto"/>
          <w:kern w:val="2"/>
          <w:sz w:val="32"/>
          <w:szCs w:val="32"/>
          <w:lang w:val="zh-CN"/>
        </w:rPr>
      </w:pPr>
    </w:p>
    <w:p>
      <w:pPr>
        <w:spacing w:line="600" w:lineRule="exact"/>
        <w:jc w:val="center"/>
        <w:outlineLvl w:val="0"/>
        <w:rPr>
          <w:rFonts w:ascii="宋体"/>
          <w:b/>
          <w:color w:val="000000"/>
          <w:sz w:val="44"/>
          <w:szCs w:val="44"/>
        </w:rPr>
      </w:pPr>
      <w:bookmarkStart w:id="128" w:name="_Toc15377226"/>
      <w:r>
        <w:br w:type="page"/>
      </w:r>
      <w:bookmarkStart w:id="129" w:name="_Toc2042"/>
      <w:bookmarkStart w:id="130" w:name="_Toc2185"/>
      <w:bookmarkStart w:id="131" w:name="_Toc5960"/>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hint="eastAsia" w:ascii="黑体" w:hAnsi="黑体" w:eastAsia="黑体"/>
          <w:b w:val="0"/>
          <w:lang w:val="en-US" w:eastAsia="zh-CN"/>
        </w:rPr>
        <w:t xml:space="preserve"> </w:t>
      </w:r>
      <w:r>
        <w:rPr>
          <w:rStyle w:val="16"/>
          <w:rFonts w:hint="eastAsia" w:ascii="黑体" w:hAnsi="黑体" w:eastAsia="黑体"/>
          <w:b w:val="0"/>
        </w:rPr>
        <w:t>附件</w:t>
      </w:r>
      <w:bookmarkEnd w:id="129"/>
      <w:bookmarkEnd w:id="130"/>
      <w:bookmarkEnd w:id="131"/>
    </w:p>
    <w:p>
      <w:pPr>
        <w:widowControl/>
        <w:adjustRightInd w:val="0"/>
        <w:snapToGrid w:val="0"/>
        <w:spacing w:line="580" w:lineRule="exact"/>
        <w:ind w:firstLine="640" w:firstLineChars="200"/>
        <w:contextualSpacing/>
        <w:jc w:val="left"/>
        <w:outlineLvl w:val="1"/>
      </w:pPr>
      <w:bookmarkStart w:id="132" w:name="_Toc29584"/>
      <w:r>
        <w:rPr>
          <w:rFonts w:hint="eastAsia" w:ascii="黑体" w:hAnsi="黑体" w:eastAsia="黑体" w:cs="黑体"/>
          <w:sz w:val="32"/>
          <w:szCs w:val="32"/>
        </w:rPr>
        <w:t>附件</w:t>
      </w:r>
      <w:bookmarkEnd w:id="132"/>
    </w:p>
    <w:tbl>
      <w:tblPr>
        <w:tblStyle w:val="6"/>
        <w:tblW w:w="10596" w:type="dxa"/>
        <w:tblInd w:w="93" w:type="dxa"/>
        <w:tblLayout w:type="autofit"/>
        <w:tblCellMar>
          <w:top w:w="0" w:type="dxa"/>
          <w:left w:w="108" w:type="dxa"/>
          <w:bottom w:w="0" w:type="dxa"/>
          <w:right w:w="108" w:type="dxa"/>
        </w:tblCellMar>
      </w:tblPr>
      <w:tblGrid>
        <w:gridCol w:w="555"/>
        <w:gridCol w:w="1020"/>
        <w:gridCol w:w="1035"/>
        <w:gridCol w:w="1035"/>
        <w:gridCol w:w="795"/>
        <w:gridCol w:w="1365"/>
        <w:gridCol w:w="1455"/>
        <w:gridCol w:w="741"/>
        <w:gridCol w:w="915"/>
        <w:gridCol w:w="915"/>
        <w:gridCol w:w="765"/>
      </w:tblGrid>
      <w:tr>
        <w:tblPrEx>
          <w:tblCellMar>
            <w:top w:w="0" w:type="dxa"/>
            <w:left w:w="108" w:type="dxa"/>
            <w:bottom w:w="0" w:type="dxa"/>
            <w:right w:w="108" w:type="dxa"/>
          </w:tblCellMar>
        </w:tblPrEx>
        <w:trPr>
          <w:trHeight w:val="402" w:hRule="atLeast"/>
        </w:trPr>
        <w:tc>
          <w:tcPr>
            <w:tcW w:w="2610" w:type="dxa"/>
            <w:gridSpan w:val="3"/>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部门名称</w:t>
            </w:r>
          </w:p>
        </w:tc>
        <w:tc>
          <w:tcPr>
            <w:tcW w:w="7986" w:type="dxa"/>
            <w:gridSpan w:val="8"/>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通江县涪阳镇草池卫生院</w:t>
            </w:r>
          </w:p>
        </w:tc>
      </w:tr>
      <w:tr>
        <w:tblPrEx>
          <w:tblCellMar>
            <w:top w:w="0" w:type="dxa"/>
            <w:left w:w="108" w:type="dxa"/>
            <w:bottom w:w="0" w:type="dxa"/>
            <w:right w:w="108"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年度主要任务</w:t>
            </w:r>
          </w:p>
        </w:tc>
        <w:tc>
          <w:tcPr>
            <w:tcW w:w="1020"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任务名称</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主要内容</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分值</w:t>
            </w:r>
          </w:p>
        </w:tc>
        <w:tc>
          <w:tcPr>
            <w:tcW w:w="36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预算金额（万元）</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实际执行（万元）</w:t>
            </w:r>
          </w:p>
        </w:tc>
        <w:tc>
          <w:tcPr>
            <w:tcW w:w="7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nil"/>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总额</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财政拨款</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其他资金</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总额</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财政拨款</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其他资金</w:t>
            </w:r>
          </w:p>
        </w:tc>
        <w:tc>
          <w:tcPr>
            <w:tcW w:w="7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4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基本公卫</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预算执行补助经费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38.22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38.22</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38.22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38.22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r>
      <w:tr>
        <w:tblPrEx>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基药补助</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预算执行补助经费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11.87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11.87</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11.87</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11.87</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r>
      <w:tr>
        <w:tblPrEx>
          <w:tblCellMar>
            <w:top w:w="0" w:type="dxa"/>
            <w:left w:w="108" w:type="dxa"/>
            <w:bottom w:w="0" w:type="dxa"/>
            <w:right w:w="108"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2055"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合计</w:t>
            </w:r>
          </w:p>
        </w:tc>
        <w:tc>
          <w:tcPr>
            <w:tcW w:w="1035"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795"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50.09</w:t>
            </w:r>
          </w:p>
        </w:tc>
        <w:tc>
          <w:tcPr>
            <w:tcW w:w="1365"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50.09</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50.09</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50.09</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r>
      <w:tr>
        <w:tblPrEx>
          <w:tblCellMar>
            <w:top w:w="0" w:type="dxa"/>
            <w:left w:w="108" w:type="dxa"/>
            <w:bottom w:w="0" w:type="dxa"/>
            <w:right w:w="108"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年度总体目标</w:t>
            </w:r>
          </w:p>
        </w:tc>
        <w:tc>
          <w:tcPr>
            <w:tcW w:w="525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预期目标</w:t>
            </w:r>
          </w:p>
        </w:tc>
        <w:tc>
          <w:tcPr>
            <w:tcW w:w="479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实际完成目标</w:t>
            </w:r>
          </w:p>
        </w:tc>
      </w:tr>
      <w:tr>
        <w:tblPrEx>
          <w:tblCellMar>
            <w:top w:w="0" w:type="dxa"/>
            <w:left w:w="108" w:type="dxa"/>
            <w:bottom w:w="0" w:type="dxa"/>
            <w:right w:w="108" w:type="dxa"/>
          </w:tblCellMar>
        </w:tblPrEx>
        <w:trPr>
          <w:trHeight w:val="66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525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目标1：</w:t>
            </w:r>
            <w:r>
              <w:rPr>
                <w:rFonts w:hint="eastAsia" w:ascii="仿宋" w:hAnsi="仿宋" w:eastAsia="仿宋" w:cs="仿宋"/>
                <w:color w:val="000000"/>
                <w:kern w:val="0"/>
                <w:szCs w:val="21"/>
                <w:lang w:eastAsia="zh-CN"/>
              </w:rPr>
              <w:t>解决</w:t>
            </w:r>
            <w:r>
              <w:rPr>
                <w:rFonts w:hint="eastAsia" w:ascii="仿宋" w:hAnsi="仿宋" w:eastAsia="仿宋" w:cs="仿宋"/>
                <w:color w:val="000000"/>
                <w:kern w:val="0"/>
                <w:szCs w:val="21"/>
              </w:rPr>
              <w:t>老百姓看病难看病贵的问题；目标2:提高医疗服务能力；目标3：实现财政资金全方位、全过程、全覆盖管理，开展绩效监控和绩效评价；目标4：顺利完成基本公共卫生服务工作。</w:t>
            </w:r>
          </w:p>
        </w:tc>
        <w:tc>
          <w:tcPr>
            <w:tcW w:w="479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1、提升了本院医疗服务能力，减轻了老百姓看病难的负担；2.实行了全部西药、中成药零加成，减轻了老百姓看病贵的负担；3.精准扶贫经费按时按标准发放</w:t>
            </w:r>
            <w:r>
              <w:rPr>
                <w:rFonts w:hint="eastAsia" w:ascii="仿宋" w:hAnsi="仿宋" w:eastAsia="仿宋" w:cs="仿宋"/>
                <w:color w:val="000000"/>
                <w:kern w:val="0"/>
                <w:szCs w:val="21"/>
                <w:u w:val="none" w:color="46CD7E"/>
                <w:shd w:val="clear" w:fill="auto"/>
                <w:lang w:eastAsia="zh-CN"/>
              </w:rPr>
              <w:t>给</w:t>
            </w:r>
            <w:r>
              <w:rPr>
                <w:rFonts w:hint="eastAsia" w:ascii="仿宋" w:hAnsi="仿宋" w:eastAsia="仿宋" w:cs="仿宋"/>
                <w:color w:val="000000"/>
                <w:kern w:val="0"/>
                <w:szCs w:val="21"/>
              </w:rPr>
              <w:t>帮扶责任人，扶贫工作有序开展；4.顺利完成了2019年度基本公共卫生工作，改善了老百姓就医环境，减轻了老百姓就医的负担，提高了老百姓的满意度。</w:t>
            </w:r>
          </w:p>
        </w:tc>
      </w:tr>
      <w:tr>
        <w:tblPrEx>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绩效指标</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二级指标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三级指标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分值</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年度指标值</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全年实际值</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得分</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未完成原因及拟采取的改进措施</w:t>
            </w:r>
          </w:p>
        </w:tc>
      </w:tr>
      <w:tr>
        <w:tblPrEx>
          <w:tblCellMar>
            <w:top w:w="0" w:type="dxa"/>
            <w:left w:w="108" w:type="dxa"/>
            <w:bottom w:w="0" w:type="dxa"/>
            <w:right w:w="108"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出</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指</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标</w:t>
            </w:r>
            <w:r>
              <w:rPr>
                <w:rFonts w:hint="eastAsia" w:ascii="仿宋" w:hAnsi="仿宋" w:eastAsia="仿宋" w:cs="仿宋"/>
                <w:color w:val="000000"/>
                <w:kern w:val="0"/>
                <w:szCs w:val="21"/>
              </w:rPr>
              <w:br w:type="textWrapping"/>
            </w:r>
            <w:r>
              <w:t>（</w:t>
            </w:r>
            <w:r>
              <w:rPr>
                <w:rFonts w:hint="eastAsia" w:ascii="仿宋" w:hAnsi="仿宋" w:eastAsia="仿宋" w:cs="仿宋"/>
                <w:color w:val="000000"/>
                <w:kern w:val="0"/>
                <w:szCs w:val="21"/>
              </w:rPr>
              <w:t>50分</w:t>
            </w:r>
            <w:r>
              <w:t>）</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数量指标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基本公共卫生管理</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全部</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全部</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西药、中成药零加成品种规模</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全部</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全部</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指标2：药品合格率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指标3：财政拨款补助基本公共卫生人员经费及公用经费保障率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时效指标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指标1：财政拨款补助基本公共卫生人员经费及公用经费发放及时率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指标2：取消药品加成完成效率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成本指标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指标1：基本公共卫生，村卫定向补助</w:t>
            </w:r>
            <w:r>
              <w:t>。</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43.92</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43.92</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指标4：卫生室医药补助</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6.1</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6.1</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指标6：基本工资、五险两金</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48.34</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48.34</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益</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指</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标</w:t>
            </w:r>
            <w:r>
              <w:rPr>
                <w:rFonts w:hint="eastAsia" w:ascii="仿宋" w:hAnsi="仿宋" w:eastAsia="仿宋" w:cs="仿宋"/>
                <w:color w:val="000000"/>
                <w:kern w:val="0"/>
                <w:szCs w:val="21"/>
              </w:rPr>
              <w:br w:type="textWrapping"/>
            </w:r>
            <w:r>
              <w:t>（</w:t>
            </w:r>
            <w:r>
              <w:rPr>
                <w:rFonts w:hint="eastAsia" w:ascii="仿宋" w:hAnsi="仿宋" w:eastAsia="仿宋" w:cs="仿宋"/>
                <w:color w:val="000000"/>
                <w:kern w:val="0"/>
                <w:szCs w:val="21"/>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经济效益</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指标1:资产负债率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w:t>
            </w:r>
            <w:r>
              <w:rPr>
                <w:rStyle w:val="30"/>
                <w:rFonts w:hint="default" w:ascii="仿宋" w:hAnsi="仿宋" w:eastAsia="仿宋" w:cs="仿宋"/>
                <w:b w:val="0"/>
                <w:bCs w:val="0"/>
                <w:sz w:val="21"/>
                <w:szCs w:val="21"/>
              </w:rPr>
              <w:t>20%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w:t>
            </w:r>
            <w:r>
              <w:rPr>
                <w:rStyle w:val="30"/>
                <w:rFonts w:hint="default" w:ascii="仿宋" w:hAnsi="仿宋" w:eastAsia="仿宋" w:cs="仿宋"/>
                <w:b w:val="0"/>
                <w:bCs w:val="0"/>
                <w:sz w:val="21"/>
                <w:szCs w:val="21"/>
              </w:rPr>
              <w:t>20%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社会效益</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指标1：提高草池及周边地区公共卫生服务知晓率、保障率</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r>
              <w:rPr>
                <w:rStyle w:val="29"/>
                <w:rFonts w:hint="default" w:ascii="仿宋" w:hAnsi="仿宋" w:eastAsia="仿宋" w:cs="仿宋"/>
                <w:sz w:val="21"/>
                <w:szCs w:val="21"/>
              </w:rPr>
              <w:t>0%</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r>
              <w:rPr>
                <w:rStyle w:val="29"/>
                <w:rFonts w:hint="default" w:ascii="仿宋" w:hAnsi="仿宋" w:eastAsia="仿宋" w:cs="仿宋"/>
                <w:sz w:val="21"/>
                <w:szCs w:val="21"/>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指标2：减少老百姓就医药品费用支出</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≤57%</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≤57%</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指标3：药品收入占</w:t>
            </w:r>
            <w:r>
              <w:rPr>
                <w:rFonts w:hint="eastAsia" w:ascii="仿宋" w:hAnsi="仿宋" w:eastAsia="仿宋" w:cs="仿宋"/>
                <w:color w:val="000000"/>
                <w:kern w:val="0"/>
                <w:szCs w:val="21"/>
                <w:u w:val="none" w:color="46CD7E"/>
                <w:shd w:val="clear" w:fill="auto"/>
                <w:lang w:eastAsia="zh-CN"/>
              </w:rPr>
              <w:t>医疗收入的</w:t>
            </w:r>
            <w:r>
              <w:rPr>
                <w:rFonts w:hint="eastAsia" w:ascii="仿宋" w:hAnsi="仿宋" w:eastAsia="仿宋" w:cs="仿宋"/>
                <w:color w:val="000000"/>
                <w:kern w:val="0"/>
                <w:szCs w:val="21"/>
              </w:rPr>
              <w:t>比例</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48%</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48%</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生态效益指标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color w:val="000000"/>
                <w:szCs w:val="21"/>
              </w:rPr>
            </w:pP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可持续影响指标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指标1:开展基本公卫服务</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指标2：对医疗行业未来可持续发展的影响</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指标3：引进规范化培训人才并持续发挥作用的期限</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长期</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6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满意度指标</w:t>
            </w:r>
            <w:r>
              <w:rPr>
                <w:rFonts w:hint="eastAsia" w:ascii="仿宋" w:hAnsi="仿宋" w:eastAsia="仿宋" w:cs="仿宋"/>
                <w:color w:val="000000"/>
                <w:kern w:val="0"/>
                <w:szCs w:val="21"/>
              </w:rPr>
              <w:br w:type="textWrapping"/>
            </w:r>
            <w:r>
              <w:t>（</w:t>
            </w:r>
            <w:r>
              <w:rPr>
                <w:rFonts w:hint="eastAsia" w:ascii="仿宋" w:hAnsi="仿宋" w:eastAsia="仿宋" w:cs="仿宋"/>
                <w:color w:val="000000"/>
                <w:kern w:val="0"/>
                <w:szCs w:val="21"/>
              </w:rPr>
              <w:t>10分</w:t>
            </w:r>
            <w:r>
              <w:t>）</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服务对象</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满意度指标</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指标1：门急诊病人满意度</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≥95%</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≥95%</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指标2：住院病人满意度</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≥95%</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≥95%</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80" w:hRule="atLeast"/>
        </w:trPr>
        <w:tc>
          <w:tcPr>
            <w:tcW w:w="555"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仿宋" w:hAnsi="仿宋" w:eastAsia="仿宋" w:cs="仿宋"/>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指标3：基本公共卫生服务满意度</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≥95%</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≥98%</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52" w:hRule="atLeast"/>
        </w:trPr>
        <w:tc>
          <w:tcPr>
            <w:tcW w:w="364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总分</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100</w:t>
            </w:r>
          </w:p>
        </w:tc>
        <w:tc>
          <w:tcPr>
            <w:tcW w:w="282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90</w:t>
            </w:r>
          </w:p>
        </w:tc>
        <w:tc>
          <w:tcPr>
            <w:tcW w:w="25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Cs w:val="21"/>
              </w:rPr>
            </w:pPr>
          </w:p>
        </w:tc>
      </w:tr>
      <w:bookmarkEnd w:id="128"/>
    </w:tbl>
    <w:p>
      <w:pPr>
        <w:pStyle w:val="13"/>
        <w:jc w:val="center"/>
        <w:rPr>
          <w:rFonts w:ascii="仿宋" w:hAnsi="仿宋" w:eastAsia="仿宋"/>
          <w:b w:val="0"/>
          <w:color w:val="000000"/>
        </w:rPr>
      </w:pPr>
      <w:bookmarkStart w:id="133" w:name="_Toc27620"/>
      <w:bookmarkStart w:id="134" w:name="_Toc4137"/>
      <w:bookmarkStart w:id="135" w:name="_Toc10335"/>
      <w:bookmarkStart w:id="136" w:name="_Toc8720"/>
      <w:bookmarkStart w:id="137" w:name="_Toc15396619"/>
      <w:r>
        <w:rPr>
          <w:rFonts w:hint="eastAsia" w:ascii="黑体" w:hAnsi="黑体" w:eastAsia="黑体" w:cs="黑体"/>
          <w:b w:val="0"/>
          <w:color w:val="000000"/>
          <w:sz w:val="44"/>
          <w:szCs w:val="44"/>
        </w:rPr>
        <w:t>第五部分</w:t>
      </w:r>
      <w:r>
        <w:rPr>
          <w:rFonts w:hint="eastAsia" w:ascii="黑体" w:hAnsi="黑体" w:eastAsia="黑体" w:cs="黑体"/>
          <w:b w:val="0"/>
          <w:color w:val="000000"/>
          <w:sz w:val="44"/>
          <w:szCs w:val="44"/>
          <w:lang w:val="en-US" w:eastAsia="zh-CN"/>
        </w:rPr>
        <w:t xml:space="preserve"> </w:t>
      </w:r>
      <w:r>
        <w:rPr>
          <w:rFonts w:hint="eastAsia" w:ascii="黑体" w:hAnsi="黑体" w:eastAsia="黑体" w:cs="黑体"/>
          <w:b w:val="0"/>
          <w:color w:val="000000"/>
          <w:sz w:val="44"/>
          <w:szCs w:val="44"/>
        </w:rPr>
        <w:t>附表</w:t>
      </w:r>
      <w:bookmarkEnd w:id="133"/>
      <w:bookmarkEnd w:id="134"/>
      <w:bookmarkEnd w:id="135"/>
    </w:p>
    <w:p>
      <w:pPr>
        <w:pStyle w:val="13"/>
        <w:spacing w:before="0" w:after="0" w:line="640" w:lineRule="exact"/>
        <w:rPr>
          <w:rFonts w:ascii="仿宋" w:hAnsi="仿宋" w:eastAsia="仿宋"/>
          <w:color w:val="000000"/>
        </w:rPr>
      </w:pPr>
      <w:bookmarkStart w:id="138" w:name="_Toc19017"/>
      <w:bookmarkStart w:id="139" w:name="_Toc18616"/>
      <w:bookmarkStart w:id="140" w:name="_Toc30353"/>
      <w:r>
        <w:rPr>
          <w:rFonts w:hint="eastAsia" w:ascii="仿宋" w:hAnsi="仿宋" w:eastAsia="仿宋"/>
          <w:b w:val="0"/>
          <w:color w:val="000000"/>
        </w:rPr>
        <w:t>一、收</w:t>
      </w:r>
      <w:r>
        <w:rPr>
          <w:rStyle w:val="17"/>
          <w:rFonts w:hint="eastAsia" w:ascii="仿宋" w:hAnsi="仿宋" w:eastAsia="仿宋"/>
          <w:b w:val="0"/>
          <w:bCs w:val="0"/>
        </w:rPr>
        <w:t>入支出决算总表</w:t>
      </w:r>
      <w:bookmarkEnd w:id="136"/>
      <w:bookmarkEnd w:id="137"/>
      <w:bookmarkEnd w:id="138"/>
      <w:bookmarkEnd w:id="139"/>
      <w:bookmarkEnd w:id="140"/>
    </w:p>
    <w:p>
      <w:pPr>
        <w:pStyle w:val="13"/>
        <w:spacing w:before="0" w:after="0" w:line="640" w:lineRule="exact"/>
        <w:rPr>
          <w:rFonts w:ascii="仿宋" w:hAnsi="仿宋" w:eastAsia="仿宋"/>
          <w:color w:val="000000"/>
        </w:rPr>
      </w:pPr>
      <w:bookmarkStart w:id="141" w:name="_Toc3108"/>
      <w:bookmarkStart w:id="142" w:name="_Toc27134"/>
      <w:bookmarkStart w:id="143" w:name="_Toc15019"/>
      <w:bookmarkStart w:id="144" w:name="_Toc15396620"/>
      <w:bookmarkStart w:id="145" w:name="_Toc24890"/>
      <w:r>
        <w:rPr>
          <w:rFonts w:hint="eastAsia" w:ascii="仿宋" w:hAnsi="仿宋" w:eastAsia="仿宋"/>
          <w:b w:val="0"/>
          <w:color w:val="000000"/>
        </w:rPr>
        <w:t>二、收</w:t>
      </w:r>
      <w:r>
        <w:rPr>
          <w:rStyle w:val="17"/>
          <w:rFonts w:hint="eastAsia" w:ascii="仿宋" w:hAnsi="仿宋" w:eastAsia="仿宋"/>
          <w:b w:val="0"/>
          <w:bCs w:val="0"/>
        </w:rPr>
        <w:t>入决算表</w:t>
      </w:r>
      <w:bookmarkEnd w:id="141"/>
      <w:bookmarkEnd w:id="142"/>
      <w:bookmarkEnd w:id="143"/>
      <w:bookmarkEnd w:id="144"/>
      <w:bookmarkEnd w:id="145"/>
    </w:p>
    <w:p>
      <w:pPr>
        <w:pStyle w:val="13"/>
        <w:spacing w:before="0" w:after="0" w:line="640" w:lineRule="exact"/>
        <w:rPr>
          <w:rFonts w:ascii="仿宋" w:hAnsi="仿宋" w:eastAsia="仿宋"/>
          <w:color w:val="000000"/>
        </w:rPr>
      </w:pPr>
      <w:bookmarkStart w:id="146" w:name="_Toc16385"/>
      <w:bookmarkStart w:id="147" w:name="_Toc18952"/>
      <w:bookmarkStart w:id="148" w:name="_Toc15396621"/>
      <w:bookmarkStart w:id="149" w:name="_Toc25485"/>
      <w:bookmarkStart w:id="150" w:name="_Toc6472"/>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146"/>
      <w:bookmarkEnd w:id="147"/>
      <w:bookmarkEnd w:id="148"/>
      <w:bookmarkEnd w:id="149"/>
      <w:bookmarkEnd w:id="150"/>
    </w:p>
    <w:p>
      <w:pPr>
        <w:pStyle w:val="13"/>
        <w:spacing w:before="0" w:after="0" w:line="640" w:lineRule="exact"/>
        <w:rPr>
          <w:rFonts w:ascii="仿宋" w:hAnsi="仿宋" w:eastAsia="仿宋"/>
          <w:b w:val="0"/>
          <w:color w:val="000000"/>
        </w:rPr>
      </w:pPr>
      <w:bookmarkStart w:id="151" w:name="_Toc3983"/>
      <w:bookmarkStart w:id="152" w:name="_Toc20370"/>
      <w:bookmarkStart w:id="153" w:name="_Toc15396622"/>
      <w:bookmarkStart w:id="154" w:name="_Toc7804"/>
      <w:bookmarkStart w:id="155" w:name="_Toc23786"/>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151"/>
      <w:bookmarkEnd w:id="152"/>
      <w:bookmarkEnd w:id="153"/>
      <w:bookmarkEnd w:id="154"/>
      <w:bookmarkEnd w:id="155"/>
    </w:p>
    <w:p>
      <w:pPr>
        <w:pStyle w:val="13"/>
        <w:spacing w:before="0" w:after="0" w:line="640" w:lineRule="exact"/>
        <w:rPr>
          <w:rStyle w:val="17"/>
          <w:rFonts w:ascii="仿宋" w:hAnsi="仿宋" w:eastAsia="仿宋"/>
          <w:b w:val="0"/>
          <w:bCs w:val="0"/>
        </w:rPr>
      </w:pPr>
      <w:bookmarkStart w:id="156" w:name="_Toc9586"/>
      <w:bookmarkStart w:id="157" w:name="_Toc6476"/>
      <w:bookmarkStart w:id="158" w:name="_Toc15396623"/>
      <w:bookmarkStart w:id="159" w:name="_Toc25539"/>
      <w:bookmarkStart w:id="160" w:name="_Toc10175"/>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156"/>
      <w:bookmarkEnd w:id="157"/>
      <w:bookmarkEnd w:id="158"/>
      <w:bookmarkEnd w:id="159"/>
      <w:bookmarkEnd w:id="160"/>
      <w:bookmarkStart w:id="161" w:name="_Toc15396624"/>
    </w:p>
    <w:p>
      <w:pPr>
        <w:pStyle w:val="13"/>
        <w:spacing w:before="0" w:after="0" w:line="640" w:lineRule="exact"/>
        <w:rPr>
          <w:rStyle w:val="17"/>
          <w:rFonts w:hint="eastAsia" w:ascii="仿宋" w:hAnsi="仿宋" w:eastAsia="仿宋"/>
          <w:b w:val="0"/>
          <w:bCs w:val="0"/>
        </w:rPr>
      </w:pPr>
      <w:bookmarkStart w:id="162" w:name="_Toc11575"/>
      <w:bookmarkStart w:id="163" w:name="_Toc7870"/>
      <w:bookmarkStart w:id="164" w:name="_Toc14785"/>
      <w:bookmarkStart w:id="165" w:name="_Toc12681"/>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w:t>
      </w:r>
      <w:bookmarkStart w:id="205" w:name="_GoBack"/>
      <w:r>
        <w:rPr>
          <w:rStyle w:val="17"/>
          <w:rFonts w:hint="eastAsia" w:ascii="仿宋" w:hAnsi="仿宋" w:eastAsia="仿宋"/>
          <w:b w:val="0"/>
          <w:bCs w:val="0"/>
        </w:rPr>
        <w:t>预算财政拨款支出决算表</w:t>
      </w:r>
      <w:bookmarkEnd w:id="161"/>
      <w:bookmarkEnd w:id="162"/>
      <w:bookmarkEnd w:id="163"/>
      <w:bookmarkEnd w:id="164"/>
      <w:bookmarkEnd w:id="165"/>
    </w:p>
    <w:p>
      <w:pPr>
        <w:pStyle w:val="13"/>
        <w:spacing w:before="0" w:after="0" w:line="640" w:lineRule="exact"/>
        <w:rPr>
          <w:rStyle w:val="17"/>
          <w:rFonts w:hint="eastAsia" w:ascii="仿宋" w:hAnsi="仿宋" w:eastAsia="仿宋"/>
          <w:b w:val="0"/>
          <w:bCs w:val="0"/>
        </w:rPr>
      </w:pPr>
      <w:bookmarkStart w:id="166" w:name="_Toc15396625"/>
      <w:bookmarkStart w:id="167" w:name="_Toc4787"/>
      <w:bookmarkStart w:id="168" w:name="_Toc7887"/>
      <w:bookmarkStart w:id="169" w:name="_Toc4838"/>
      <w:bookmarkStart w:id="170" w:name="_Toc668"/>
      <w:r>
        <w:rPr>
          <w:rStyle w:val="17"/>
          <w:rFonts w:hint="eastAsia" w:ascii="仿宋" w:hAnsi="仿宋" w:eastAsia="仿宋"/>
          <w:b w:val="0"/>
          <w:bCs w:val="0"/>
        </w:rPr>
        <w:t>七、一</w:t>
      </w:r>
      <w:r>
        <w:rPr>
          <w:rStyle w:val="17"/>
          <w:rFonts w:hint="eastAsia" w:ascii="仿宋" w:hAnsi="仿宋" w:eastAsia="仿宋"/>
          <w:b w:val="0"/>
          <w:bCs w:val="0"/>
        </w:rPr>
        <w:t>般公共预算财政拨款支出决算明细表</w:t>
      </w:r>
      <w:bookmarkEnd w:id="166"/>
      <w:bookmarkEnd w:id="167"/>
      <w:bookmarkEnd w:id="168"/>
      <w:bookmarkEnd w:id="169"/>
      <w:bookmarkEnd w:id="170"/>
    </w:p>
    <w:p>
      <w:pPr>
        <w:pStyle w:val="13"/>
        <w:spacing w:before="0" w:after="0" w:line="640" w:lineRule="exact"/>
        <w:rPr>
          <w:rStyle w:val="17"/>
          <w:rFonts w:hint="eastAsia" w:ascii="仿宋" w:hAnsi="仿宋" w:eastAsia="仿宋"/>
          <w:b w:val="0"/>
          <w:bCs w:val="0"/>
        </w:rPr>
      </w:pPr>
      <w:bookmarkStart w:id="171" w:name="_Toc13220"/>
      <w:bookmarkStart w:id="172" w:name="_Toc4495"/>
      <w:bookmarkStart w:id="173" w:name="_Toc15396626"/>
      <w:bookmarkStart w:id="174" w:name="_Toc1702"/>
      <w:bookmarkStart w:id="175" w:name="_Toc9684"/>
      <w:r>
        <w:rPr>
          <w:rStyle w:val="17"/>
          <w:rFonts w:hint="eastAsia" w:ascii="仿宋" w:hAnsi="仿宋" w:eastAsia="仿宋"/>
          <w:b w:val="0"/>
          <w:bCs w:val="0"/>
        </w:rPr>
        <w:t>八、一</w:t>
      </w:r>
      <w:r>
        <w:rPr>
          <w:rStyle w:val="17"/>
          <w:rFonts w:hint="eastAsia" w:ascii="仿宋" w:hAnsi="仿宋" w:eastAsia="仿宋"/>
          <w:b w:val="0"/>
          <w:bCs w:val="0"/>
        </w:rPr>
        <w:t>般公共预算财政拨款基本支出决算表</w:t>
      </w:r>
      <w:bookmarkEnd w:id="171"/>
      <w:bookmarkEnd w:id="172"/>
      <w:bookmarkEnd w:id="173"/>
      <w:bookmarkEnd w:id="174"/>
      <w:bookmarkEnd w:id="175"/>
    </w:p>
    <w:p>
      <w:pPr>
        <w:pStyle w:val="13"/>
        <w:spacing w:before="0" w:after="0" w:line="640" w:lineRule="exact"/>
        <w:rPr>
          <w:rStyle w:val="17"/>
          <w:rFonts w:hint="eastAsia" w:ascii="仿宋" w:hAnsi="仿宋" w:eastAsia="仿宋"/>
          <w:b w:val="0"/>
          <w:bCs w:val="0"/>
        </w:rPr>
      </w:pPr>
      <w:bookmarkStart w:id="176" w:name="_Toc4231"/>
      <w:bookmarkStart w:id="177" w:name="_Toc21327"/>
      <w:bookmarkStart w:id="178" w:name="_Toc15396627"/>
      <w:bookmarkStart w:id="179" w:name="_Toc22483"/>
      <w:bookmarkStart w:id="180" w:name="_Toc3424"/>
      <w:r>
        <w:rPr>
          <w:rStyle w:val="17"/>
          <w:rFonts w:hint="eastAsia" w:ascii="仿宋" w:hAnsi="仿宋" w:eastAsia="仿宋"/>
          <w:b w:val="0"/>
          <w:bCs w:val="0"/>
        </w:rPr>
        <w:t>九、一</w:t>
      </w:r>
      <w:r>
        <w:rPr>
          <w:rStyle w:val="17"/>
          <w:rFonts w:hint="eastAsia" w:ascii="仿宋" w:hAnsi="仿宋" w:eastAsia="仿宋"/>
          <w:b w:val="0"/>
          <w:bCs w:val="0"/>
        </w:rPr>
        <w:t>般公共预算财政拨款项目支出决算表</w:t>
      </w:r>
      <w:bookmarkEnd w:id="176"/>
      <w:bookmarkEnd w:id="177"/>
      <w:bookmarkEnd w:id="178"/>
      <w:bookmarkEnd w:id="179"/>
      <w:bookmarkEnd w:id="180"/>
    </w:p>
    <w:p>
      <w:pPr>
        <w:pStyle w:val="13"/>
        <w:spacing w:before="0" w:after="0" w:line="640" w:lineRule="exact"/>
        <w:rPr>
          <w:rStyle w:val="17"/>
          <w:rFonts w:hint="eastAsia" w:ascii="仿宋" w:hAnsi="仿宋" w:eastAsia="仿宋"/>
          <w:b w:val="0"/>
          <w:bCs w:val="0"/>
        </w:rPr>
      </w:pPr>
      <w:bookmarkStart w:id="181" w:name="_Toc15396628"/>
      <w:bookmarkStart w:id="182" w:name="_Toc14647"/>
      <w:bookmarkStart w:id="183" w:name="_Toc27150"/>
      <w:bookmarkStart w:id="184" w:name="_Toc17721"/>
      <w:bookmarkStart w:id="185" w:name="_Toc9396"/>
      <w:r>
        <w:rPr>
          <w:rStyle w:val="17"/>
          <w:rFonts w:hint="eastAsia" w:ascii="仿宋" w:hAnsi="仿宋" w:eastAsia="仿宋"/>
          <w:b w:val="0"/>
          <w:bCs w:val="0"/>
        </w:rPr>
        <w:t>十、一</w:t>
      </w:r>
      <w:r>
        <w:rPr>
          <w:rStyle w:val="17"/>
          <w:rFonts w:hint="eastAsia" w:ascii="仿宋" w:hAnsi="仿宋" w:eastAsia="仿宋"/>
          <w:b w:val="0"/>
          <w:bCs w:val="0"/>
        </w:rPr>
        <w:t>般公共预算财政拨</w:t>
      </w:r>
      <w:r>
        <w:rPr>
          <w:rStyle w:val="17"/>
          <w:rFonts w:hint="eastAsia" w:ascii="仿宋" w:hAnsi="仿宋" w:eastAsia="仿宋"/>
          <w:b w:val="0"/>
          <w:bCs w:val="0"/>
        </w:rPr>
        <w:t>款“三公”经费支出决算表</w:t>
      </w:r>
      <w:bookmarkEnd w:id="181"/>
      <w:bookmarkEnd w:id="182"/>
      <w:bookmarkEnd w:id="183"/>
      <w:bookmarkEnd w:id="184"/>
      <w:bookmarkEnd w:id="185"/>
    </w:p>
    <w:p>
      <w:pPr>
        <w:pStyle w:val="13"/>
        <w:spacing w:before="0" w:after="0" w:line="640" w:lineRule="exact"/>
        <w:rPr>
          <w:rStyle w:val="17"/>
          <w:rFonts w:hint="eastAsia" w:ascii="仿宋" w:hAnsi="仿宋" w:eastAsia="仿宋"/>
          <w:b w:val="0"/>
          <w:bCs w:val="0"/>
        </w:rPr>
      </w:pPr>
      <w:bookmarkStart w:id="186" w:name="_Toc26232"/>
      <w:bookmarkStart w:id="187" w:name="_Toc15396629"/>
      <w:bookmarkStart w:id="188" w:name="_Toc17729"/>
      <w:bookmarkStart w:id="189" w:name="_Toc31356"/>
      <w:bookmarkStart w:id="190" w:name="_Toc19216"/>
      <w:r>
        <w:rPr>
          <w:rStyle w:val="17"/>
          <w:rFonts w:hint="eastAsia" w:ascii="仿宋" w:hAnsi="仿宋" w:eastAsia="仿宋"/>
          <w:b w:val="0"/>
          <w:bCs w:val="0"/>
        </w:rPr>
        <w:t>十一、政</w:t>
      </w:r>
      <w:r>
        <w:rPr>
          <w:rStyle w:val="17"/>
          <w:rFonts w:hint="eastAsia" w:ascii="仿宋" w:hAnsi="仿宋" w:eastAsia="仿宋"/>
          <w:b w:val="0"/>
          <w:bCs w:val="0"/>
        </w:rPr>
        <w:t>府性基金预算财政拨款收入支出决算表</w:t>
      </w:r>
      <w:bookmarkEnd w:id="186"/>
      <w:bookmarkEnd w:id="187"/>
      <w:bookmarkEnd w:id="188"/>
      <w:bookmarkEnd w:id="189"/>
      <w:bookmarkEnd w:id="190"/>
    </w:p>
    <w:p>
      <w:pPr>
        <w:pStyle w:val="13"/>
        <w:spacing w:before="0" w:after="0" w:line="640" w:lineRule="exact"/>
        <w:rPr>
          <w:rStyle w:val="17"/>
          <w:rFonts w:hint="eastAsia" w:ascii="仿宋" w:hAnsi="仿宋" w:eastAsia="仿宋"/>
          <w:b w:val="0"/>
          <w:bCs w:val="0"/>
        </w:rPr>
      </w:pPr>
      <w:bookmarkStart w:id="191" w:name="_Toc15396630"/>
      <w:bookmarkStart w:id="192" w:name="_Toc27108"/>
      <w:bookmarkStart w:id="193" w:name="_Toc7778"/>
      <w:bookmarkStart w:id="194" w:name="_Toc16798"/>
      <w:bookmarkStart w:id="195" w:name="_Toc15287"/>
      <w:r>
        <w:rPr>
          <w:rStyle w:val="17"/>
          <w:rFonts w:hint="eastAsia" w:ascii="仿宋" w:hAnsi="仿宋" w:eastAsia="仿宋"/>
          <w:b w:val="0"/>
          <w:bCs w:val="0"/>
        </w:rPr>
        <w:t>十二、政</w:t>
      </w:r>
      <w:r>
        <w:rPr>
          <w:rStyle w:val="17"/>
          <w:rFonts w:hint="eastAsia" w:ascii="仿宋" w:hAnsi="仿宋" w:eastAsia="仿宋"/>
          <w:b w:val="0"/>
          <w:bCs w:val="0"/>
        </w:rPr>
        <w:t>府性基金预算财政拨</w:t>
      </w:r>
      <w:r>
        <w:rPr>
          <w:rStyle w:val="17"/>
          <w:rFonts w:hint="eastAsia" w:ascii="仿宋" w:hAnsi="仿宋" w:eastAsia="仿宋"/>
          <w:b w:val="0"/>
          <w:bCs w:val="0"/>
        </w:rPr>
        <w:t>款“三公”经费支出决算表</w:t>
      </w:r>
      <w:bookmarkEnd w:id="191"/>
      <w:bookmarkEnd w:id="192"/>
      <w:bookmarkEnd w:id="193"/>
      <w:bookmarkEnd w:id="194"/>
      <w:bookmarkEnd w:id="195"/>
    </w:p>
    <w:p>
      <w:pPr>
        <w:pStyle w:val="13"/>
        <w:spacing w:before="0" w:after="0" w:line="640" w:lineRule="exact"/>
        <w:rPr>
          <w:rStyle w:val="17"/>
          <w:rFonts w:hint="eastAsia" w:ascii="仿宋" w:hAnsi="仿宋" w:eastAsia="仿宋"/>
          <w:b w:val="0"/>
          <w:bCs w:val="0"/>
        </w:rPr>
      </w:pPr>
      <w:bookmarkStart w:id="196" w:name="_Toc24483"/>
      <w:bookmarkStart w:id="197" w:name="_Toc22402"/>
      <w:bookmarkStart w:id="198" w:name="_Toc32678"/>
      <w:bookmarkStart w:id="199" w:name="_Toc22875"/>
      <w:bookmarkStart w:id="200" w:name="_Toc15396631"/>
      <w:r>
        <w:rPr>
          <w:rStyle w:val="17"/>
          <w:rFonts w:hint="eastAsia" w:ascii="仿宋" w:hAnsi="仿宋" w:eastAsia="仿宋"/>
          <w:b w:val="0"/>
          <w:bCs w:val="0"/>
        </w:rPr>
        <w:t>十三、国</w:t>
      </w:r>
      <w:r>
        <w:rPr>
          <w:rStyle w:val="17"/>
          <w:rFonts w:hint="eastAsia" w:ascii="仿宋" w:hAnsi="仿宋" w:eastAsia="仿宋"/>
          <w:b w:val="0"/>
          <w:bCs w:val="0"/>
        </w:rPr>
        <w:t>有资本经营预算财政拨款</w:t>
      </w:r>
      <w:r>
        <w:rPr>
          <w:rStyle w:val="17"/>
          <w:rFonts w:hint="eastAsia" w:ascii="仿宋" w:hAnsi="仿宋" w:eastAsia="仿宋"/>
          <w:b w:val="0"/>
          <w:bCs w:val="0"/>
        </w:rPr>
        <w:t>收入支出决算表</w:t>
      </w:r>
      <w:bookmarkEnd w:id="196"/>
      <w:bookmarkEnd w:id="197"/>
      <w:bookmarkEnd w:id="198"/>
      <w:bookmarkEnd w:id="199"/>
    </w:p>
    <w:p>
      <w:pPr>
        <w:pStyle w:val="13"/>
        <w:spacing w:before="0" w:after="0" w:line="640" w:lineRule="exact"/>
        <w:rPr>
          <w:rStyle w:val="17"/>
          <w:rFonts w:hint="eastAsia" w:ascii="仿宋" w:hAnsi="仿宋" w:eastAsia="仿宋"/>
          <w:b w:val="0"/>
          <w:bCs w:val="0"/>
        </w:rPr>
      </w:pPr>
      <w:bookmarkStart w:id="201" w:name="_Toc12222"/>
      <w:bookmarkStart w:id="202" w:name="_Toc4232"/>
      <w:bookmarkStart w:id="203" w:name="_Toc19223"/>
      <w:bookmarkStart w:id="204" w:name="_Toc29381"/>
      <w:r>
        <w:rPr>
          <w:rStyle w:val="17"/>
          <w:rFonts w:hint="eastAsia" w:ascii="仿宋" w:hAnsi="仿宋" w:eastAsia="仿宋"/>
          <w:b w:val="0"/>
          <w:bCs w:val="0"/>
        </w:rPr>
        <w:t>十四、国</w:t>
      </w:r>
      <w:r>
        <w:rPr>
          <w:rStyle w:val="17"/>
          <w:rFonts w:hint="eastAsia" w:ascii="仿宋" w:hAnsi="仿宋" w:eastAsia="仿宋"/>
          <w:b w:val="0"/>
          <w:bCs w:val="0"/>
        </w:rPr>
        <w:t>有资本经营预算财政拨款支出决算表</w:t>
      </w:r>
      <w:bookmarkEnd w:id="200"/>
      <w:bookmarkEnd w:id="201"/>
      <w:bookmarkEnd w:id="202"/>
      <w:bookmarkEnd w:id="203"/>
      <w:bookmarkEnd w:id="204"/>
    </w:p>
    <w:bookmarkEnd w:id="205"/>
    <w:sectPr>
      <w:footerReference r:id="rId10" w:type="first"/>
      <w:footerReference r:id="rId9" w:type="default"/>
      <w:pgSz w:w="11906" w:h="16838"/>
      <w:pgMar w:top="1440" w:right="826" w:bottom="1440" w:left="7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3</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14</w:t>
    </w:r>
    <w:r>
      <w:fldChar w:fldCharType="end"/>
    </w:r>
  </w:p>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53395"/>
    <w:multiLevelType w:val="singleLevel"/>
    <w:tmpl w:val="22653395"/>
    <w:lvl w:ilvl="0" w:tentative="0">
      <w:start w:val="9"/>
      <w:numFmt w:val="chineseCounting"/>
      <w:suff w:val="nothing"/>
      <w:lvlText w:val="%1、"/>
      <w:lvlJc w:val="left"/>
      <w:rPr>
        <w:rFonts w:hint="eastAsia" w:cs="Times New Roman"/>
      </w:rPr>
    </w:lvl>
  </w:abstractNum>
  <w:abstractNum w:abstractNumId="1">
    <w:nsid w:val="424B0720"/>
    <w:multiLevelType w:val="singleLevel"/>
    <w:tmpl w:val="424B0720"/>
    <w:lvl w:ilvl="0" w:tentative="0">
      <w:start w:val="3"/>
      <w:numFmt w:val="chineseCounting"/>
      <w:suff w:val="space"/>
      <w:lvlText w:val="第%1部分"/>
      <w:lvlJc w:val="left"/>
      <w:rPr>
        <w:rFonts w:hint="eastAsia" w:cs="Times New Roman"/>
      </w:rPr>
    </w:lvl>
  </w:abstractNum>
  <w:abstractNum w:abstractNumId="2">
    <w:nsid w:val="51014D8D"/>
    <w:multiLevelType w:val="singleLevel"/>
    <w:tmpl w:val="51014D8D"/>
    <w:lvl w:ilvl="0" w:tentative="0">
      <w:start w:val="1"/>
      <w:numFmt w:val="decimal"/>
      <w:suff w:val="nothing"/>
      <w:lvlText w:val="%1．"/>
      <w:lvlJc w:val="left"/>
      <w:pPr>
        <w:ind w:left="36" w:firstLine="400"/>
      </w:pPr>
      <w:rPr>
        <w:rFonts w:hint="default"/>
      </w:rPr>
    </w:lvl>
  </w:abstractNum>
  <w:abstractNum w:abstractNumId="3">
    <w:nsid w:val="6CA8407B"/>
    <w:multiLevelType w:val="multilevel"/>
    <w:tmpl w:val="6CA8407B"/>
    <w:lvl w:ilvl="0" w:tentative="0">
      <w:start w:val="1"/>
      <w:numFmt w:val="japaneseCounting"/>
      <w:lvlText w:val="%1、"/>
      <w:lvlJc w:val="left"/>
      <w:pPr>
        <w:ind w:left="135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7A723E54"/>
    <w:multiLevelType w:val="singleLevel"/>
    <w:tmpl w:val="7A723E54"/>
    <w:lvl w:ilvl="0" w:tentative="0">
      <w:start w:val="1"/>
      <w:numFmt w:val="decimal"/>
      <w:suff w:val="nothing"/>
      <w:lvlText w:val="%1．"/>
      <w:lvlJc w:val="left"/>
      <w:pPr>
        <w:ind w:left="280" w:firstLine="400"/>
      </w:pPr>
      <w:rPr>
        <w:rFonts w:hint="default"/>
        <w:b w:val="0"/>
        <w:bCs w:val="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F2629A"/>
    <w:rsid w:val="002A46AC"/>
    <w:rsid w:val="00ED4FBE"/>
    <w:rsid w:val="00F2629A"/>
    <w:rsid w:val="26F25026"/>
    <w:rsid w:val="39557F91"/>
    <w:rsid w:val="40AB0497"/>
    <w:rsid w:val="475A4440"/>
    <w:rsid w:val="5FC5111D"/>
    <w:rsid w:val="68EC2A31"/>
    <w:rsid w:val="7BCB1412"/>
    <w:rsid w:val="7D01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Normal (Web)"/>
    <w:basedOn w:val="1"/>
    <w:qFormat/>
    <w:uiPriority w:val="0"/>
    <w:pPr>
      <w:jc w:val="left"/>
    </w:pPr>
    <w:rPr>
      <w:kern w:val="0"/>
      <w:sz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Hyperlink"/>
    <w:basedOn w:val="8"/>
    <w:unhideWhenUsed/>
    <w:qFormat/>
    <w:uiPriority w:val="99"/>
    <w:rPr>
      <w:rFonts w:cs="Times New Roman"/>
      <w:color w:val="0000FF"/>
      <w:u w:val="single"/>
    </w:rPr>
  </w:style>
  <w:style w:type="character" w:styleId="11">
    <w:name w:val="annotation reference"/>
    <w:basedOn w:val="8"/>
    <w:semiHidden/>
    <w:unhideWhenUsed/>
    <w:uiPriority w:val="99"/>
    <w:rPr>
      <w:sz w:val="21"/>
      <w:szCs w:val="21"/>
    </w:rPr>
  </w:style>
  <w:style w:type="paragraph" w:customStyle="1" w:styleId="12">
    <w:name w:val="Heading 1"/>
    <w:basedOn w:val="1"/>
    <w:next w:val="1"/>
    <w:link w:val="24"/>
    <w:qFormat/>
    <w:uiPriority w:val="9"/>
    <w:pPr>
      <w:keepNext/>
      <w:keepLines/>
      <w:spacing w:before="340" w:after="330" w:line="578" w:lineRule="auto"/>
      <w:outlineLvl w:val="0"/>
    </w:pPr>
    <w:rPr>
      <w:b/>
      <w:bCs/>
      <w:kern w:val="44"/>
      <w:sz w:val="44"/>
      <w:szCs w:val="44"/>
    </w:rPr>
  </w:style>
  <w:style w:type="paragraph" w:customStyle="1" w:styleId="13">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paragraph" w:customStyle="1" w:styleId="14">
    <w:name w:val="Heading 3"/>
    <w:basedOn w:val="1"/>
    <w:next w:val="1"/>
    <w:link w:val="18"/>
    <w:unhideWhenUsed/>
    <w:qFormat/>
    <w:uiPriority w:val="9"/>
    <w:pPr>
      <w:keepNext/>
      <w:keepLines/>
      <w:spacing w:before="260" w:after="260" w:line="416" w:lineRule="auto"/>
      <w:outlineLvl w:val="2"/>
    </w:pPr>
    <w:rPr>
      <w:b/>
      <w:bCs/>
      <w:sz w:val="32"/>
      <w:szCs w:val="32"/>
    </w:rPr>
  </w:style>
  <w:style w:type="character" w:customStyle="1" w:styleId="15">
    <w:name w:val="Char Char3"/>
    <w:qFormat/>
    <w:locked/>
    <w:uiPriority w:val="99"/>
    <w:rPr>
      <w:rFonts w:ascii="仿宋_GB2312" w:hAnsi="Times New Roman" w:eastAsia="仿宋_GB2312"/>
      <w:sz w:val="24"/>
    </w:rPr>
  </w:style>
  <w:style w:type="character" w:customStyle="1" w:styleId="16">
    <w:name w:val="Char Char6"/>
    <w:basedOn w:val="8"/>
    <w:link w:val="12"/>
    <w:qFormat/>
    <w:locked/>
    <w:uiPriority w:val="9"/>
    <w:rPr>
      <w:rFonts w:ascii="Times New Roman" w:hAnsi="Times New Roman" w:cs="Times New Roman"/>
      <w:b/>
      <w:bCs/>
      <w:kern w:val="44"/>
      <w:sz w:val="44"/>
      <w:szCs w:val="44"/>
    </w:rPr>
  </w:style>
  <w:style w:type="character" w:customStyle="1" w:styleId="17">
    <w:name w:val="Char Char5"/>
    <w:basedOn w:val="8"/>
    <w:link w:val="13"/>
    <w:qFormat/>
    <w:locked/>
    <w:uiPriority w:val="9"/>
    <w:rPr>
      <w:rFonts w:ascii="Cambria" w:hAnsi="Cambria" w:eastAsia="宋体" w:cs="Times New Roman"/>
      <w:b/>
      <w:bCs/>
      <w:kern w:val="2"/>
      <w:sz w:val="32"/>
      <w:szCs w:val="32"/>
    </w:rPr>
  </w:style>
  <w:style w:type="character" w:customStyle="1" w:styleId="18">
    <w:name w:val="标题 3 Char"/>
    <w:basedOn w:val="8"/>
    <w:link w:val="14"/>
    <w:qFormat/>
    <w:locked/>
    <w:uiPriority w:val="9"/>
    <w:rPr>
      <w:rFonts w:ascii="Times New Roman" w:hAnsi="Times New Roman" w:cs="Times New Roman"/>
      <w:b/>
      <w:bCs/>
      <w:kern w:val="2"/>
      <w:sz w:val="32"/>
      <w:szCs w:val="32"/>
    </w:rPr>
  </w:style>
  <w:style w:type="character" w:customStyle="1" w:styleId="19">
    <w:name w:val="Body Text Char"/>
    <w:basedOn w:val="8"/>
    <w:semiHidden/>
    <w:qFormat/>
    <w:uiPriority w:val="99"/>
    <w:rPr>
      <w:rFonts w:ascii="Times New Roman" w:hAnsi="Times New Roman" w:cs="Times New Roman"/>
      <w:sz w:val="24"/>
      <w:szCs w:val="24"/>
    </w:rPr>
  </w:style>
  <w:style w:type="character" w:customStyle="1" w:styleId="20">
    <w:name w:val="Char Char2"/>
    <w:basedOn w:val="8"/>
    <w:semiHidden/>
    <w:qFormat/>
    <w:locked/>
    <w:uiPriority w:val="99"/>
    <w:rPr>
      <w:rFonts w:ascii="Times New Roman" w:hAnsi="Times New Roman" w:cs="Times New Roman"/>
      <w:kern w:val="2"/>
      <w:sz w:val="18"/>
      <w:szCs w:val="18"/>
    </w:rPr>
  </w:style>
  <w:style w:type="character" w:customStyle="1" w:styleId="21">
    <w:name w:val="Char Char"/>
    <w:semiHidden/>
    <w:qFormat/>
    <w:locked/>
    <w:uiPriority w:val="99"/>
    <w:rPr>
      <w:sz w:val="18"/>
    </w:rPr>
  </w:style>
  <w:style w:type="character" w:customStyle="1" w:styleId="22">
    <w:name w:val="Char Char1"/>
    <w:qFormat/>
    <w:locked/>
    <w:uiPriority w:val="99"/>
    <w:rPr>
      <w:sz w:val="18"/>
    </w:rPr>
  </w:style>
  <w:style w:type="character" w:customStyle="1" w:styleId="23">
    <w:name w:val="Footer Char"/>
    <w:basedOn w:val="8"/>
    <w:semiHidden/>
    <w:qFormat/>
    <w:uiPriority w:val="99"/>
    <w:rPr>
      <w:rFonts w:ascii="Times New Roman" w:hAnsi="Times New Roman" w:cs="Times New Roman"/>
      <w:sz w:val="18"/>
      <w:szCs w:val="18"/>
    </w:rPr>
  </w:style>
  <w:style w:type="character" w:customStyle="1" w:styleId="24">
    <w:name w:val="标题 1 Char"/>
    <w:basedOn w:val="8"/>
    <w:link w:val="12"/>
    <w:qFormat/>
    <w:uiPriority w:val="9"/>
    <w:rPr>
      <w:rFonts w:ascii="Times New Roman" w:hAnsi="Times New Roman"/>
      <w:b/>
      <w:bCs/>
      <w:kern w:val="44"/>
      <w:sz w:val="44"/>
      <w:szCs w:val="44"/>
    </w:rPr>
  </w:style>
  <w:style w:type="character" w:customStyle="1" w:styleId="25">
    <w:name w:val="标题 2 Char"/>
    <w:basedOn w:val="8"/>
    <w:link w:val="13"/>
    <w:qFormat/>
    <w:uiPriority w:val="9"/>
    <w:rPr>
      <w:rFonts w:ascii="Cambria" w:hAnsi="Cambria" w:eastAsia="宋体" w:cs="Times New Roman"/>
      <w:b/>
      <w:bCs/>
      <w:kern w:val="2"/>
      <w:sz w:val="32"/>
      <w:szCs w:val="32"/>
    </w:rPr>
  </w:style>
  <w:style w:type="character" w:customStyle="1" w:styleId="26">
    <w:name w:val="font181"/>
    <w:basedOn w:val="8"/>
    <w:uiPriority w:val="0"/>
    <w:rPr>
      <w:rFonts w:hint="eastAsia" w:ascii="宋体" w:hAnsi="宋体" w:eastAsia="宋体" w:cs="宋体"/>
      <w:color w:val="000000"/>
      <w:sz w:val="12"/>
      <w:szCs w:val="12"/>
      <w:u w:val="none"/>
    </w:rPr>
  </w:style>
  <w:style w:type="character" w:customStyle="1" w:styleId="27">
    <w:name w:val="Header Char"/>
    <w:basedOn w:val="8"/>
    <w:semiHidden/>
    <w:qFormat/>
    <w:uiPriority w:val="99"/>
    <w:rPr>
      <w:rFonts w:ascii="Times New Roman" w:hAnsi="Times New Roman" w:cs="Times New Roman"/>
      <w:sz w:val="18"/>
      <w:szCs w:val="18"/>
    </w:rPr>
  </w:style>
  <w:style w:type="character" w:customStyle="1" w:styleId="28">
    <w:name w:val="font91"/>
    <w:basedOn w:val="8"/>
    <w:uiPriority w:val="0"/>
    <w:rPr>
      <w:rFonts w:hint="eastAsia" w:ascii="宋体" w:hAnsi="宋体" w:eastAsia="宋体" w:cs="宋体"/>
      <w:color w:val="000000"/>
      <w:sz w:val="32"/>
      <w:szCs w:val="32"/>
      <w:u w:val="none"/>
    </w:rPr>
  </w:style>
  <w:style w:type="character" w:customStyle="1" w:styleId="29">
    <w:name w:val="font151"/>
    <w:basedOn w:val="8"/>
    <w:uiPriority w:val="0"/>
    <w:rPr>
      <w:rFonts w:hint="eastAsia" w:ascii="宋体" w:hAnsi="宋体" w:eastAsia="宋体" w:cs="宋体"/>
      <w:color w:val="000000"/>
      <w:sz w:val="18"/>
      <w:szCs w:val="18"/>
      <w:u w:val="none"/>
    </w:rPr>
  </w:style>
  <w:style w:type="character" w:customStyle="1" w:styleId="30">
    <w:name w:val="font121"/>
    <w:basedOn w:val="8"/>
    <w:uiPriority w:val="0"/>
    <w:rPr>
      <w:rFonts w:hint="eastAsia" w:ascii="宋体" w:hAnsi="宋体" w:eastAsia="宋体" w:cs="宋体"/>
      <w:b/>
      <w:bCs/>
      <w:color w:val="000000"/>
      <w:sz w:val="18"/>
      <w:szCs w:val="18"/>
      <w:u w:val="none"/>
    </w:rPr>
  </w:style>
  <w:style w:type="paragraph" w:customStyle="1" w:styleId="31">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2">
    <w:name w:val="TOC 2"/>
    <w:basedOn w:val="1"/>
    <w:next w:val="1"/>
    <w:unhideWhenUsed/>
    <w:qFormat/>
    <w:uiPriority w:val="39"/>
    <w:pPr>
      <w:tabs>
        <w:tab w:val="right" w:leader="dot" w:pos="8296"/>
      </w:tabs>
      <w:ind w:left="420" w:leftChars="200"/>
    </w:pPr>
  </w:style>
  <w:style w:type="paragraph" w:customStyle="1" w:styleId="33">
    <w:name w:val="TOC 3"/>
    <w:basedOn w:val="1"/>
    <w:next w:val="1"/>
    <w:unhideWhenUsed/>
    <w:qFormat/>
    <w:uiPriority w:val="39"/>
    <w:pPr>
      <w:tabs>
        <w:tab w:val="right" w:leader="dot" w:pos="8296"/>
      </w:tabs>
      <w:ind w:left="840" w:leftChars="400"/>
    </w:pPr>
  </w:style>
  <w:style w:type="paragraph" w:customStyle="1" w:styleId="34">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3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6">
    <w:name w:val="TOC Heading1"/>
    <w:basedOn w:val="1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BodyText2"/>
    <w:basedOn w:val="1"/>
    <w:unhideWhenUsed/>
    <w:qFormat/>
    <w:uiPriority w:val="0"/>
    <w:pPr>
      <w:spacing w:beforeAutospacing="1" w:line="480" w:lineRule="auto"/>
      <w:textAlignment w:val="baseline"/>
    </w:pPr>
  </w:style>
  <w:style w:type="paragraph" w:customStyle="1" w:styleId="38">
    <w:name w:val="TOC 标题1"/>
    <w:basedOn w:val="1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40">
    <w:name w:val="List Paragraph"/>
    <w:basedOn w:val="1"/>
    <w:qFormat/>
    <w:uiPriority w:val="34"/>
    <w:pPr>
      <w:ind w:firstLine="420" w:firstLineChars="200"/>
    </w:p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1.xml"/><Relationship Id="rId28" Type="http://schemas.openxmlformats.org/officeDocument/2006/relationships/customXml" Target="../customXml/item10.xml"/><Relationship Id="rId27" Type="http://schemas.openxmlformats.org/officeDocument/2006/relationships/customXml" Target="../customXml/item9.xml"/><Relationship Id="rId26" Type="http://schemas.openxmlformats.org/officeDocument/2006/relationships/customXml" Target="../customXml/item8.xml"/><Relationship Id="rId25" Type="http://schemas.openxmlformats.org/officeDocument/2006/relationships/customXml" Target="../customXml/item7.xml"/><Relationship Id="rId24" Type="http://schemas.openxmlformats.org/officeDocument/2006/relationships/customXml" Target="../customXml/item6.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447"/>
    <customShpInfo spid="_x0000_s1448"/>
    <customShpInfo spid="_x0000_s1449"/>
    <customShpInfo spid="_x0000_s1450"/>
    <customShpInfo spid="_x0000_s1451"/>
    <customShpInfo spid="_x0000_s1452"/>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157259040</TotalTime>
  <Pages>16</Pages>
  <Words>5409</Words>
  <Characters>5923</Characters>
  <Application>WPS Office_11.1.0.12353_F1E327BC-269C-435d-A152-05C5408002CA</Application>
  <DocSecurity>0</DocSecurity>
  <Lines>61</Lines>
  <Paragraphs>17</Paragraphs>
  <Company>四川省财政厅</Company>
  <CharactersWithSpaces>5985</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2021-07-29T03:56:00Z</cp:lastPrinted>
  <dcterms:created xsi:type="dcterms:W3CDTF">2020-08-04T01:49:00Z</dcterms:created>
  <dcterms:modified xsi:type="dcterms:W3CDTF">2022-11-03T01:17:19Z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2021-07-29T03:56:00Z</cp:lastPrinted>
  <dcterms:created xsi:type="dcterms:W3CDTF">2020-08-04T01:49:00Z</dcterms:created>
  <dcterms:modified xsi:type="dcterms:W3CDTF">2023-02-24T01:59:00Z</dcterms:modified>
</cp:coreProperties>
</file>

<file path=customXml/item4.xml><?xml version="1.0" encoding="utf-8"?>
<Properties xmlns="http://schemas.openxmlformats.org/officeDocument/2006/extended-properties" xmlns:vt="http://schemas.openxmlformats.org/officeDocument/2006/docPropsVTypes">
  <Template>Normal</Template>
  <TotalTime>157259044</TotalTime>
  <Pages>16</Pages>
  <Words>1192</Words>
  <Characters>6798</Characters>
  <Application>Microsoft Office Word</Application>
  <DocSecurity>0</DocSecurity>
  <Lines>56</Lines>
  <Paragraphs>15</Paragraphs>
  <ScaleCrop>false</ScaleCrop>
  <Company>四川省财政厅</Company>
  <LinksUpToDate>false</LinksUpToDate>
  <CharactersWithSpaces>7975</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39C3589276154D72B56ABAD8442E6D58</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2021-07-29T03:56:00Z</cp:lastPrinted>
  <dcterms:created xsi:type="dcterms:W3CDTF">2020-08-04T01:49:00Z</dcterms:created>
  <dcterms:modified xsi:type="dcterms:W3CDTF">2023-02-24T01:59:00Z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157259044</TotalTime>
  <Pages>16</Pages>
  <Words>1192</Words>
  <Characters>6798</Characters>
  <Application>Microsoft Office Word</Application>
  <DocSecurity>0</DocSecurity>
  <Lines>56</Lines>
  <Paragraphs>15</Paragraphs>
  <Company>四川省财政厅</Company>
  <CharactersWithSpaces>7975</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39C3589276154D72B56ABAD8442E6D58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39C3589276154D72B56ABAD8442E6D58</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B9771B6-D1DC-43C0-8778-F1132D9E1A7C}">
  <ds:schemaRefs/>
</ds:datastoreItem>
</file>

<file path=customXml/itemProps11.xml><?xml version="1.0" encoding="utf-8"?>
<ds:datastoreItem xmlns:ds="http://schemas.openxmlformats.org/officeDocument/2006/customXml" ds:itemID="{AAE8DFF6-822A-4DC5-B2C0-6F9DC91272D7}">
  <ds:schemaRefs/>
</ds:datastoreItem>
</file>

<file path=customXml/itemProps2.xml><?xml version="1.0" encoding="utf-8"?>
<ds:datastoreItem xmlns:ds="http://schemas.openxmlformats.org/officeDocument/2006/customXml" ds:itemID="{B32C889D-F353-42D5-B9F0-B7C6FE0E9931}">
  <ds:schemaRefs/>
</ds:datastoreItem>
</file>

<file path=customXml/itemProps3.xml><?xml version="1.0" encoding="utf-8"?>
<ds:datastoreItem xmlns:ds="http://schemas.openxmlformats.org/officeDocument/2006/customXml" ds:itemID="{82EC8544-61CC-4C4D-BF68-C5686F28FF8C}">
  <ds:schemaRefs/>
</ds:datastoreItem>
</file>

<file path=customXml/itemProps4.xml><?xml version="1.0" encoding="utf-8"?>
<ds:datastoreItem xmlns:ds="http://schemas.openxmlformats.org/officeDocument/2006/customXml" ds:itemID="{5135BC92-5679-4CB1-A6E2-B467D4DA9605}">
  <ds:schemaRefs/>
</ds:datastoreItem>
</file>

<file path=customXml/itemProps5.xml><?xml version="1.0" encoding="utf-8"?>
<ds:datastoreItem xmlns:ds="http://schemas.openxmlformats.org/officeDocument/2006/customXml" ds:itemID="{25894D56-9032-4D42-96E0-5C2321137765}">
  <ds:schemaRefs/>
</ds:datastoreItem>
</file>

<file path=customXml/itemProps6.xml><?xml version="1.0" encoding="utf-8"?>
<ds:datastoreItem xmlns:ds="http://schemas.openxmlformats.org/officeDocument/2006/customXml" ds:itemID="{A7A8F300-3915-4A47-9F71-162371DFE2C8}">
  <ds:schemaRefs/>
</ds:datastoreItem>
</file>

<file path=customXml/itemProps7.xml><?xml version="1.0" encoding="utf-8"?>
<ds:datastoreItem xmlns:ds="http://schemas.openxmlformats.org/officeDocument/2006/customXml" ds:itemID="{7C3E27F2-4618-4FAB-833D-5E3B4A8CAFD5}">
  <ds:schemaRefs/>
</ds:datastoreItem>
</file>

<file path=customXml/itemProps8.xml><?xml version="1.0" encoding="utf-8"?>
<ds:datastoreItem xmlns:ds="http://schemas.openxmlformats.org/officeDocument/2006/customXml" ds:itemID="{83C42F74-27D8-4D0C-9B87-F523D60C9266}">
  <ds:schemaRefs/>
</ds:datastoreItem>
</file>

<file path=customXml/itemProps9.xml><?xml version="1.0" encoding="utf-8"?>
<ds:datastoreItem xmlns:ds="http://schemas.openxmlformats.org/officeDocument/2006/customXml" ds:itemID="{C534B0C2-7BFD-499C-B2C3-F425F5531D5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16</Pages>
  <Words>5245</Words>
  <Characters>5749</Characters>
  <Lines>56</Lines>
  <Paragraphs>15</Paragraphs>
  <TotalTime>157259049</TotalTime>
  <ScaleCrop>false</ScaleCrop>
  <LinksUpToDate>false</LinksUpToDate>
  <CharactersWithSpaces>7466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2021-07-29T03:56:00Z</cp:lastPrinted>
  <dcterms:modified xsi:type="dcterms:W3CDTF">2023-04-16T11:49:40Z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39C3589276154D72B56ABAD8442E6D58</vt:lpwstr>
  </property>
</Properties>
</file>