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15377193"/>
      <w:bookmarkStart w:id="3" w:name="_Toc15396475"/>
      <w:bookmarkStart w:id="4" w:name="_Toc15378441"/>
      <w:bookmarkStart w:id="5" w:name="_Toc15377425"/>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77426"/>
      <w:bookmarkStart w:id="8" w:name="_Toc15396598"/>
      <w:bookmarkStart w:id="9" w:name="_Toc15377194"/>
      <w:bookmarkStart w:id="10" w:name="_Toc15378442"/>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方正小标宋简体" w:eastAsia="方正小标宋简体" w:cs="方正小标宋简体"/>
          <w:sz w:val="72"/>
          <w:szCs w:val="72"/>
        </w:rPr>
        <w:t>巴中市</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通江县涪阳镇人民政府</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方正小标宋简体" w:hAnsi="宋体" w:eastAsia="方正小标宋简体"/>
          <w:sz w:val="36"/>
          <w:szCs w:val="36"/>
        </w:rPr>
      </w:pPr>
    </w:p>
    <w:p>
      <w:pPr>
        <w:widowControl/>
        <w:jc w:val="center"/>
        <w:rPr>
          <w:rFonts w:ascii="黑体" w:hAnsi="黑体" w:eastAsia="黑体"/>
          <w:sz w:val="48"/>
          <w:szCs w:val="48"/>
        </w:rPr>
      </w:pPr>
      <w: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9"/>
      </w:pPr>
      <w:r>
        <w:rPr>
          <w:rFonts w:hint="eastAsia"/>
        </w:rPr>
        <w:t>公开时间：2022年8月25日</w:t>
      </w:r>
    </w:p>
    <w:sdt>
      <w:sdtPr>
        <w:rPr>
          <w:rFonts w:ascii="宋体" w:hAnsi="宋体"/>
          <w:kern w:val="0"/>
          <w:sz w:val="20"/>
          <w:szCs w:val="20"/>
        </w:rPr>
        <w:id w:val="147466481"/>
        <w:docPartObj>
          <w:docPartGallery w:val="Table of Contents"/>
          <w:docPartUnique/>
        </w:docPartObj>
      </w:sdtPr>
      <w:sdtEndPr>
        <w:rPr>
          <w:rFonts w:ascii="宋体" w:hAnsi="宋体"/>
          <w:kern w:val="0"/>
          <w:sz w:val="20"/>
          <w:szCs w:val="20"/>
        </w:rPr>
      </w:sdtEndPr>
      <w:sdtContent>
        <w:p>
          <w:pPr>
            <w:jc w:val="center"/>
          </w:pPr>
        </w:p>
        <w:p>
          <w:pPr>
            <w:pStyle w:val="41"/>
            <w:tabs>
              <w:tab w:val="right" w:leader="dot" w:pos="8306"/>
            </w:tabs>
          </w:pPr>
          <w:r>
            <w:fldChar w:fldCharType="begin"/>
          </w:r>
          <w:r>
            <w:instrText xml:space="preserve"> HYPERLINK \l "_Toc2422" </w:instrText>
          </w:r>
          <w:r>
            <w:fldChar w:fldCharType="separate"/>
          </w:r>
          <w:r>
            <w:rPr>
              <w:rFonts w:hint="eastAsia" w:ascii="黑体" w:hAnsi="黑体" w:eastAsia="黑体"/>
              <w:b/>
              <w:bCs/>
            </w:rPr>
            <w:t>第一部分单位概况</w:t>
          </w:r>
          <w:r>
            <w:rPr>
              <w:b/>
              <w:bCs/>
            </w:rPr>
            <w:tab/>
          </w:r>
          <w:r>
            <w:rPr>
              <w:b/>
              <w:bCs/>
            </w:rPr>
            <w:t>3</w:t>
          </w:r>
          <w:r>
            <w:rPr>
              <w:b/>
              <w:bCs/>
            </w:rPr>
            <w:fldChar w:fldCharType="end"/>
          </w:r>
        </w:p>
        <w:p>
          <w:pPr>
            <w:pStyle w:val="42"/>
            <w:tabs>
              <w:tab w:val="right" w:leader="dot" w:pos="8306"/>
            </w:tabs>
            <w:ind w:left="420"/>
          </w:pPr>
          <w:r>
            <w:fldChar w:fldCharType="begin"/>
          </w:r>
          <w:r>
            <w:instrText xml:space="preserve"> HYPERLINK \l "_Toc17182" </w:instrText>
          </w:r>
          <w:r>
            <w:fldChar w:fldCharType="separate"/>
          </w:r>
          <w:r>
            <w:rPr>
              <w:rFonts w:hint="eastAsia" w:ascii="黑体" w:hAnsi="黑体" w:eastAsia="黑体" w:cstheme="majorBidi"/>
            </w:rPr>
            <w:t>一、职能简介</w:t>
          </w:r>
          <w:r>
            <w:tab/>
          </w:r>
          <w:r>
            <w:t>3</w:t>
          </w:r>
          <w:r>
            <w:fldChar w:fldCharType="end"/>
          </w:r>
        </w:p>
        <w:p>
          <w:pPr>
            <w:pStyle w:val="42"/>
            <w:tabs>
              <w:tab w:val="right" w:leader="dot" w:pos="8306"/>
            </w:tabs>
            <w:ind w:left="420"/>
          </w:pPr>
          <w:r>
            <w:fldChar w:fldCharType="begin"/>
          </w:r>
          <w:r>
            <w:instrText xml:space="preserve"> HYPERLINK \l "_Toc17241" </w:instrText>
          </w:r>
          <w:r>
            <w:fldChar w:fldCharType="separate"/>
          </w:r>
          <w:r>
            <w:rPr>
              <w:rFonts w:hint="eastAsia" w:ascii="黑体" w:hAnsi="黑体" w:eastAsia="黑体" w:cstheme="majorBidi"/>
            </w:rPr>
            <w:t>二、2021年重点工作完成情况</w:t>
          </w:r>
          <w:r>
            <w:tab/>
          </w:r>
          <w:r>
            <w:t>3</w:t>
          </w:r>
          <w:r>
            <w:fldChar w:fldCharType="end"/>
          </w:r>
        </w:p>
        <w:p>
          <w:pPr>
            <w:pStyle w:val="41"/>
            <w:tabs>
              <w:tab w:val="right" w:leader="dot" w:pos="8306"/>
            </w:tabs>
          </w:pPr>
          <w:r>
            <w:fldChar w:fldCharType="begin"/>
          </w:r>
          <w:r>
            <w:instrText xml:space="preserve"> HYPERLINK \l "_Toc24984" </w:instrText>
          </w:r>
          <w:r>
            <w:fldChar w:fldCharType="separate"/>
          </w:r>
          <w:r>
            <w:rPr>
              <w:rFonts w:hint="eastAsia" w:ascii="黑体" w:hAnsi="黑体" w:eastAsia="黑体"/>
              <w:b/>
              <w:bCs/>
            </w:rPr>
            <w:t>第二部分 2021年度单位决算情况说明</w:t>
          </w:r>
          <w:r>
            <w:rPr>
              <w:b/>
              <w:bCs/>
            </w:rPr>
            <w:tab/>
          </w:r>
          <w:r>
            <w:rPr>
              <w:b/>
              <w:bCs/>
            </w:rPr>
            <w:t>5</w:t>
          </w:r>
          <w:r>
            <w:rPr>
              <w:b/>
              <w:bCs/>
            </w:rPr>
            <w:fldChar w:fldCharType="end"/>
          </w:r>
        </w:p>
        <w:p>
          <w:pPr>
            <w:pStyle w:val="42"/>
            <w:tabs>
              <w:tab w:val="right" w:leader="dot" w:pos="8306"/>
            </w:tabs>
            <w:ind w:left="420"/>
          </w:pPr>
          <w:r>
            <w:fldChar w:fldCharType="begin"/>
          </w:r>
          <w:r>
            <w:instrText xml:space="preserve"> HYPERLINK \l "_Toc2424" </w:instrText>
          </w:r>
          <w:r>
            <w:fldChar w:fldCharType="separate"/>
          </w:r>
          <w:r>
            <w:rPr>
              <w:rFonts w:ascii="黑体" w:hAnsi="黑体" w:eastAsia="黑体" w:cstheme="majorBidi"/>
            </w:rPr>
            <w:t>一、</w:t>
          </w:r>
          <w:r>
            <w:rPr>
              <w:rFonts w:hint="eastAsia" w:ascii="黑体" w:hAnsi="黑体" w:eastAsia="黑体"/>
            </w:rPr>
            <w:t>收</w:t>
          </w:r>
          <w:r>
            <w:rPr>
              <w:rFonts w:hint="eastAsia" w:ascii="黑体" w:hAnsi="黑体" w:eastAsia="黑体" w:cstheme="majorBidi"/>
            </w:rPr>
            <w:t>入支出决算总体情况说明</w:t>
          </w:r>
          <w:r>
            <w:tab/>
          </w:r>
          <w:r>
            <w:t>5</w:t>
          </w:r>
          <w:r>
            <w:fldChar w:fldCharType="end"/>
          </w:r>
        </w:p>
        <w:p>
          <w:pPr>
            <w:pStyle w:val="42"/>
            <w:tabs>
              <w:tab w:val="right" w:leader="dot" w:pos="8306"/>
            </w:tabs>
            <w:ind w:left="420"/>
          </w:pPr>
          <w:r>
            <w:fldChar w:fldCharType="begin"/>
          </w:r>
          <w:r>
            <w:instrText xml:space="preserve"> HYPERLINK \l "_Toc11185" </w:instrText>
          </w:r>
          <w:r>
            <w:fldChar w:fldCharType="separate"/>
          </w:r>
          <w:r>
            <w:rPr>
              <w:rFonts w:hint="eastAsia" w:ascii="黑体" w:hAnsi="黑体" w:eastAsia="黑体"/>
            </w:rPr>
            <w:t>二、收</w:t>
          </w:r>
          <w:r>
            <w:rPr>
              <w:rFonts w:hint="eastAsia" w:ascii="黑体" w:hAnsi="黑体" w:eastAsia="黑体" w:cstheme="majorBidi"/>
            </w:rPr>
            <w:t>入决算情况说明</w:t>
          </w:r>
          <w:r>
            <w:tab/>
          </w:r>
          <w:r>
            <w:t>5</w:t>
          </w:r>
          <w:r>
            <w:fldChar w:fldCharType="end"/>
          </w:r>
        </w:p>
        <w:p>
          <w:pPr>
            <w:pStyle w:val="42"/>
            <w:tabs>
              <w:tab w:val="right" w:leader="dot" w:pos="8306"/>
            </w:tabs>
            <w:ind w:left="420"/>
          </w:pPr>
          <w:r>
            <w:fldChar w:fldCharType="begin"/>
          </w:r>
          <w:r>
            <w:instrText xml:space="preserve"> HYPERLINK \l "_Toc21096" </w:instrText>
          </w:r>
          <w:r>
            <w:fldChar w:fldCharType="separate"/>
          </w:r>
          <w:r>
            <w:rPr>
              <w:rFonts w:hint="eastAsia" w:ascii="黑体" w:hAnsi="黑体" w:eastAsia="黑体"/>
            </w:rPr>
            <w:t>三、支</w:t>
          </w:r>
          <w:r>
            <w:rPr>
              <w:rFonts w:hint="eastAsia" w:ascii="黑体" w:hAnsi="黑体" w:eastAsia="黑体" w:cstheme="majorBidi"/>
            </w:rPr>
            <w:t>出决算情况说明</w:t>
          </w:r>
          <w:r>
            <w:tab/>
          </w:r>
          <w:r>
            <w:t>6</w:t>
          </w:r>
          <w:r>
            <w:fldChar w:fldCharType="end"/>
          </w:r>
        </w:p>
        <w:p>
          <w:pPr>
            <w:pStyle w:val="42"/>
            <w:tabs>
              <w:tab w:val="right" w:leader="dot" w:pos="8306"/>
            </w:tabs>
            <w:ind w:left="420"/>
          </w:pPr>
          <w:r>
            <w:fldChar w:fldCharType="begin"/>
          </w:r>
          <w:r>
            <w:instrText xml:space="preserve"> HYPERLINK \l "_Toc25933" </w:instrText>
          </w:r>
          <w:r>
            <w:fldChar w:fldCharType="separate"/>
          </w:r>
          <w:r>
            <w:rPr>
              <w:rFonts w:hint="eastAsia" w:ascii="黑体" w:hAnsi="黑体" w:eastAsia="黑体"/>
            </w:rPr>
            <w:t>四、财</w:t>
          </w:r>
          <w:r>
            <w:rPr>
              <w:rFonts w:hint="eastAsia" w:ascii="黑体" w:hAnsi="黑体" w:eastAsia="黑体" w:cstheme="majorBidi"/>
            </w:rPr>
            <w:t>政拨款收入支出决算总体情况说明</w:t>
          </w:r>
          <w:r>
            <w:tab/>
          </w:r>
          <w:r>
            <w:t>6</w:t>
          </w:r>
          <w:r>
            <w:fldChar w:fldCharType="end"/>
          </w:r>
        </w:p>
        <w:p>
          <w:pPr>
            <w:pStyle w:val="42"/>
            <w:tabs>
              <w:tab w:val="right" w:leader="dot" w:pos="8306"/>
            </w:tabs>
            <w:ind w:left="420"/>
          </w:pPr>
          <w:r>
            <w:fldChar w:fldCharType="begin"/>
          </w:r>
          <w:r>
            <w:instrText xml:space="preserve"> HYPERLINK \l "_Toc18930" </w:instrText>
          </w:r>
          <w:r>
            <w:fldChar w:fldCharType="separate"/>
          </w:r>
          <w:r>
            <w:rPr>
              <w:rFonts w:hint="eastAsia" w:ascii="黑体" w:hAnsi="黑体" w:eastAsia="黑体"/>
            </w:rPr>
            <w:t>五、一</w:t>
          </w:r>
          <w:r>
            <w:rPr>
              <w:rFonts w:hint="eastAsia" w:ascii="黑体" w:hAnsi="黑体" w:eastAsia="黑体" w:cstheme="majorBidi"/>
            </w:rPr>
            <w:t>般公共预算财政拨款支出决算情况说明</w:t>
          </w:r>
          <w:r>
            <w:tab/>
          </w:r>
          <w:r>
            <w:t>7</w:t>
          </w:r>
          <w:r>
            <w:fldChar w:fldCharType="end"/>
          </w:r>
        </w:p>
        <w:p>
          <w:pPr>
            <w:pStyle w:val="42"/>
            <w:tabs>
              <w:tab w:val="right" w:leader="dot" w:pos="8306"/>
            </w:tabs>
            <w:ind w:left="420"/>
          </w:pPr>
          <w:r>
            <w:fldChar w:fldCharType="begin"/>
          </w:r>
          <w:r>
            <w:instrText xml:space="preserve"> HYPERLINK \l "_Toc27835" </w:instrText>
          </w:r>
          <w:r>
            <w:fldChar w:fldCharType="separate"/>
          </w:r>
          <w:r>
            <w:rPr>
              <w:rFonts w:hint="eastAsia" w:ascii="黑体" w:eastAsia="黑体"/>
            </w:rPr>
            <w:t>六、</w:t>
          </w:r>
          <w:r>
            <w:rPr>
              <w:rFonts w:hint="eastAsia" w:ascii="黑体" w:hAnsi="黑体" w:eastAsia="黑体"/>
            </w:rPr>
            <w:t>一</w:t>
          </w:r>
          <w:r>
            <w:rPr>
              <w:rFonts w:hint="eastAsia" w:ascii="黑体" w:hAnsi="黑体" w:eastAsia="黑体" w:cstheme="majorBidi"/>
            </w:rPr>
            <w:t>般公共预算财政拨款基本支出决算情况说明</w:t>
          </w:r>
          <w:r>
            <w:tab/>
          </w:r>
          <w:r>
            <w:t>11</w:t>
          </w:r>
          <w:r>
            <w:fldChar w:fldCharType="end"/>
          </w:r>
        </w:p>
        <w:p>
          <w:pPr>
            <w:pStyle w:val="42"/>
            <w:tabs>
              <w:tab w:val="right" w:leader="dot" w:pos="8306"/>
            </w:tabs>
            <w:ind w:left="420"/>
          </w:pPr>
          <w:r>
            <w:fldChar w:fldCharType="begin"/>
          </w:r>
          <w:r>
            <w:instrText xml:space="preserve"> HYPERLINK \l "_Toc22564" </w:instrText>
          </w:r>
          <w:r>
            <w:fldChar w:fldCharType="separate"/>
          </w:r>
          <w:r>
            <w:rPr>
              <w:rFonts w:hint="eastAsia" w:ascii="黑体" w:eastAsia="黑体"/>
            </w:rPr>
            <w:t>七、</w:t>
          </w:r>
          <w:r>
            <w:rPr>
              <w:rFonts w:hint="eastAsia" w:ascii="黑体" w:hAnsi="黑体" w:eastAsia="黑体" w:cstheme="majorBidi"/>
            </w:rPr>
            <w:t>“三公”经费财政拨款支出决算情况说明</w:t>
          </w:r>
          <w:r>
            <w:tab/>
          </w:r>
          <w:r>
            <w:t>11</w:t>
          </w:r>
          <w:r>
            <w:fldChar w:fldCharType="end"/>
          </w:r>
        </w:p>
        <w:p>
          <w:pPr>
            <w:pStyle w:val="42"/>
            <w:tabs>
              <w:tab w:val="right" w:leader="dot" w:pos="8306"/>
            </w:tabs>
            <w:ind w:left="420"/>
          </w:pPr>
          <w:r>
            <w:fldChar w:fldCharType="begin"/>
          </w:r>
          <w:r>
            <w:instrText xml:space="preserve"> HYPERLINK \l "_Toc2249" </w:instrText>
          </w:r>
          <w:r>
            <w:fldChar w:fldCharType="separate"/>
          </w:r>
          <w:r>
            <w:rPr>
              <w:rFonts w:hint="eastAsia" w:ascii="黑体" w:eastAsia="黑体"/>
            </w:rPr>
            <w:t>八、</w:t>
          </w:r>
          <w:r>
            <w:rPr>
              <w:rFonts w:hint="eastAsia" w:ascii="黑体" w:hAnsi="黑体" w:eastAsia="黑体" w:cstheme="majorBidi"/>
            </w:rPr>
            <w:t>政府性基金预算支出决算情况说明</w:t>
          </w:r>
          <w:r>
            <w:tab/>
          </w:r>
          <w:r>
            <w:t>12</w:t>
          </w:r>
          <w:r>
            <w:fldChar w:fldCharType="end"/>
          </w:r>
        </w:p>
        <w:p>
          <w:pPr>
            <w:pStyle w:val="42"/>
            <w:tabs>
              <w:tab w:val="right" w:leader="dot" w:pos="8306"/>
            </w:tabs>
            <w:ind w:left="420"/>
          </w:pPr>
          <w:r>
            <w:fldChar w:fldCharType="begin"/>
          </w:r>
          <w:r>
            <w:instrText xml:space="preserve"> HYPERLINK \l "_Toc5038" </w:instrText>
          </w:r>
          <w:r>
            <w:fldChar w:fldCharType="separate"/>
          </w:r>
          <w:r>
            <w:rPr>
              <w:rFonts w:hint="eastAsia" w:ascii="黑体" w:hAnsi="黑体" w:eastAsia="黑体" w:cstheme="majorBidi"/>
            </w:rPr>
            <w:t>九、国有资本经营预算支出决算情况说明</w:t>
          </w:r>
          <w:r>
            <w:tab/>
          </w:r>
          <w:r>
            <w:t>13</w:t>
          </w:r>
          <w:r>
            <w:fldChar w:fldCharType="end"/>
          </w:r>
        </w:p>
        <w:p>
          <w:pPr>
            <w:pStyle w:val="42"/>
            <w:tabs>
              <w:tab w:val="right" w:leader="dot" w:pos="8306"/>
            </w:tabs>
            <w:ind w:left="420"/>
          </w:pPr>
          <w:r>
            <w:fldChar w:fldCharType="begin"/>
          </w:r>
          <w:r>
            <w:instrText xml:space="preserve"> HYPERLINK \l "_Toc31794" </w:instrText>
          </w:r>
          <w:r>
            <w:fldChar w:fldCharType="separate"/>
          </w:r>
          <w:r>
            <w:rPr>
              <w:rFonts w:hint="eastAsia" w:ascii="黑体" w:hAnsi="黑体" w:eastAsia="黑体" w:cstheme="majorBidi"/>
            </w:rPr>
            <w:t>十、其他重要事项的情况说明</w:t>
          </w:r>
          <w:r>
            <w:tab/>
          </w:r>
          <w:r>
            <w:t>13</w:t>
          </w:r>
          <w:r>
            <w:fldChar w:fldCharType="end"/>
          </w:r>
        </w:p>
        <w:p>
          <w:pPr>
            <w:pStyle w:val="41"/>
            <w:tabs>
              <w:tab w:val="right" w:leader="dot" w:pos="8306"/>
            </w:tabs>
          </w:pPr>
          <w:r>
            <w:fldChar w:fldCharType="begin"/>
          </w:r>
          <w:r>
            <w:instrText xml:space="preserve"> HYPERLINK \l "_Toc18429" </w:instrText>
          </w:r>
          <w:r>
            <w:fldChar w:fldCharType="separate"/>
          </w:r>
          <w:r>
            <w:rPr>
              <w:rFonts w:hint="eastAsia" w:ascii="黑体" w:hAnsi="黑体" w:eastAsia="黑体" w:cs="黑体"/>
              <w:b/>
              <w:bCs/>
            </w:rPr>
            <w:t>第三部分</w:t>
          </w:r>
          <w:r>
            <w:rPr>
              <w:rFonts w:hint="eastAsia" w:ascii="黑体" w:hAnsi="黑体" w:eastAsia="黑体"/>
              <w:b/>
              <w:bCs/>
            </w:rPr>
            <w:t>名词解释</w:t>
          </w:r>
          <w:r>
            <w:rPr>
              <w:b/>
              <w:bCs/>
            </w:rPr>
            <w:tab/>
          </w:r>
          <w:r>
            <w:rPr>
              <w:b/>
              <w:bCs/>
            </w:rPr>
            <w:t>14</w:t>
          </w:r>
          <w:r>
            <w:rPr>
              <w:b/>
              <w:bCs/>
            </w:rPr>
            <w:fldChar w:fldCharType="end"/>
          </w:r>
        </w:p>
        <w:p>
          <w:pPr>
            <w:pStyle w:val="41"/>
            <w:tabs>
              <w:tab w:val="right" w:leader="dot" w:pos="8306"/>
            </w:tabs>
          </w:pPr>
          <w:r>
            <w:fldChar w:fldCharType="begin"/>
          </w:r>
          <w:r>
            <w:instrText xml:space="preserve"> HYPERLINK \l "_Toc12746" </w:instrText>
          </w:r>
          <w:r>
            <w:fldChar w:fldCharType="separate"/>
          </w:r>
          <w:r>
            <w:rPr>
              <w:rFonts w:hint="eastAsia" w:ascii="黑体" w:hAnsi="黑体" w:eastAsia="黑体"/>
              <w:b/>
              <w:bCs/>
            </w:rPr>
            <w:t>第四部分附件</w:t>
          </w:r>
          <w:r>
            <w:rPr>
              <w:b/>
              <w:bCs/>
            </w:rPr>
            <w:tab/>
          </w:r>
          <w:r>
            <w:rPr>
              <w:b/>
              <w:bCs/>
            </w:rPr>
            <w:t>18</w:t>
          </w:r>
          <w:r>
            <w:rPr>
              <w:b/>
              <w:bCs/>
            </w:rPr>
            <w:fldChar w:fldCharType="end"/>
          </w:r>
        </w:p>
        <w:p>
          <w:pPr>
            <w:pStyle w:val="41"/>
            <w:tabs>
              <w:tab w:val="right" w:leader="dot" w:pos="8306"/>
            </w:tabs>
          </w:pPr>
          <w:r>
            <w:fldChar w:fldCharType="begin"/>
          </w:r>
          <w:r>
            <w:instrText xml:space="preserve"> HYPERLINK \l "_Toc13637" </w:instrText>
          </w:r>
          <w:r>
            <w:fldChar w:fldCharType="separate"/>
          </w:r>
          <w:r>
            <w:rPr>
              <w:rFonts w:hint="eastAsia" w:ascii="黑体" w:hAnsi="黑体" w:eastAsia="黑体"/>
              <w:b/>
              <w:bCs/>
            </w:rPr>
            <w:t>第五部分附表</w:t>
          </w:r>
          <w:r>
            <w:rPr>
              <w:b/>
              <w:bCs/>
            </w:rPr>
            <w:tab/>
          </w:r>
          <w:r>
            <w:rPr>
              <w:b/>
              <w:bCs/>
            </w:rPr>
            <w:t>19</w:t>
          </w:r>
          <w:r>
            <w:rPr>
              <w:b/>
              <w:bCs/>
            </w:rPr>
            <w:fldChar w:fldCharType="end"/>
          </w:r>
        </w:p>
        <w:p>
          <w:pPr>
            <w:pStyle w:val="42"/>
            <w:tabs>
              <w:tab w:val="right" w:leader="dot" w:pos="8306"/>
            </w:tabs>
            <w:ind w:left="420"/>
          </w:pPr>
          <w:r>
            <w:fldChar w:fldCharType="begin"/>
          </w:r>
          <w:r>
            <w:instrText xml:space="preserve"> HYPERLINK \l "_Toc11999" </w:instrText>
          </w:r>
          <w:r>
            <w:fldChar w:fldCharType="separate"/>
          </w:r>
          <w:r>
            <w:rPr>
              <w:rFonts w:hint="eastAsia" w:ascii="仿宋" w:hAnsi="仿宋" w:eastAsia="仿宋" w:cstheme="majorBidi"/>
            </w:rPr>
            <w:t>一、收入支出决算总表</w:t>
          </w:r>
          <w:r>
            <w:tab/>
          </w:r>
          <w:r>
            <w:t>19</w:t>
          </w:r>
          <w:r>
            <w:fldChar w:fldCharType="end"/>
          </w:r>
        </w:p>
        <w:p>
          <w:pPr>
            <w:pStyle w:val="42"/>
            <w:tabs>
              <w:tab w:val="right" w:leader="dot" w:pos="8306"/>
            </w:tabs>
            <w:ind w:left="420"/>
          </w:pPr>
          <w:r>
            <w:fldChar w:fldCharType="begin"/>
          </w:r>
          <w:r>
            <w:instrText xml:space="preserve"> HYPERLINK \l "_Toc8674" </w:instrText>
          </w:r>
          <w:r>
            <w:fldChar w:fldCharType="separate"/>
          </w:r>
          <w:r>
            <w:rPr>
              <w:rFonts w:hint="eastAsia" w:ascii="仿宋" w:hAnsi="仿宋" w:eastAsia="仿宋" w:cstheme="majorBidi"/>
            </w:rPr>
            <w:t>二、收入决算表</w:t>
          </w:r>
          <w:r>
            <w:tab/>
          </w:r>
          <w:r>
            <w:t>19</w:t>
          </w:r>
          <w:r>
            <w:fldChar w:fldCharType="end"/>
          </w:r>
        </w:p>
        <w:p>
          <w:pPr>
            <w:pStyle w:val="42"/>
            <w:tabs>
              <w:tab w:val="right" w:leader="dot" w:pos="8306"/>
            </w:tabs>
            <w:ind w:left="420"/>
          </w:pPr>
          <w:r>
            <w:fldChar w:fldCharType="begin"/>
          </w:r>
          <w:r>
            <w:instrText xml:space="preserve"> HYPERLINK \l "_Toc9622" </w:instrText>
          </w:r>
          <w:r>
            <w:fldChar w:fldCharType="separate"/>
          </w:r>
          <w:r>
            <w:rPr>
              <w:rFonts w:hint="eastAsia" w:ascii="仿宋" w:hAnsi="仿宋" w:eastAsia="仿宋" w:cstheme="majorBidi"/>
            </w:rPr>
            <w:t>三、支出决算表</w:t>
          </w:r>
          <w:r>
            <w:tab/>
          </w:r>
          <w:r>
            <w:t>19</w:t>
          </w:r>
          <w:r>
            <w:fldChar w:fldCharType="end"/>
          </w:r>
        </w:p>
        <w:p>
          <w:pPr>
            <w:pStyle w:val="42"/>
            <w:tabs>
              <w:tab w:val="right" w:leader="dot" w:pos="8306"/>
            </w:tabs>
            <w:ind w:left="420"/>
          </w:pPr>
          <w:r>
            <w:fldChar w:fldCharType="begin"/>
          </w:r>
          <w:r>
            <w:instrText xml:space="preserve"> HYPERLINK \l "_Toc20403" </w:instrText>
          </w:r>
          <w:r>
            <w:fldChar w:fldCharType="separate"/>
          </w:r>
          <w:r>
            <w:rPr>
              <w:rFonts w:hint="eastAsia" w:ascii="仿宋" w:hAnsi="仿宋" w:eastAsia="仿宋" w:cstheme="majorBidi"/>
            </w:rPr>
            <w:t>四、财政拨款收入支出决算总表</w:t>
          </w:r>
          <w:r>
            <w:tab/>
          </w:r>
          <w:r>
            <w:t>19</w:t>
          </w:r>
          <w:r>
            <w:fldChar w:fldCharType="end"/>
          </w:r>
        </w:p>
        <w:p>
          <w:pPr>
            <w:pStyle w:val="42"/>
            <w:tabs>
              <w:tab w:val="right" w:leader="dot" w:pos="8306"/>
            </w:tabs>
            <w:ind w:left="420"/>
          </w:pPr>
          <w:r>
            <w:fldChar w:fldCharType="begin"/>
          </w:r>
          <w:r>
            <w:instrText xml:space="preserve"> HYPERLINK \l "_Toc3929" </w:instrText>
          </w:r>
          <w:r>
            <w:fldChar w:fldCharType="separate"/>
          </w:r>
          <w:r>
            <w:rPr>
              <w:rFonts w:hint="eastAsia" w:ascii="仿宋" w:hAnsi="仿宋" w:eastAsia="仿宋" w:cstheme="majorBidi"/>
            </w:rPr>
            <w:t>五、财政拨款支出决算明细表</w:t>
          </w:r>
          <w:r>
            <w:tab/>
          </w:r>
          <w:r>
            <w:t>19</w:t>
          </w:r>
          <w:r>
            <w:fldChar w:fldCharType="end"/>
          </w:r>
        </w:p>
        <w:p>
          <w:pPr>
            <w:pStyle w:val="42"/>
            <w:tabs>
              <w:tab w:val="right" w:leader="dot" w:pos="8306"/>
            </w:tabs>
            <w:ind w:left="420"/>
          </w:pPr>
          <w:r>
            <w:fldChar w:fldCharType="begin"/>
          </w:r>
          <w:r>
            <w:instrText xml:space="preserve"> HYPERLINK \l "_Toc15713" </w:instrText>
          </w:r>
          <w:r>
            <w:fldChar w:fldCharType="separate"/>
          </w:r>
          <w:r>
            <w:rPr>
              <w:rFonts w:hint="eastAsia" w:ascii="仿宋" w:hAnsi="仿宋" w:eastAsia="仿宋" w:cstheme="majorBidi"/>
            </w:rPr>
            <w:t>六、一般公共预算财政拨款支出决算表</w:t>
          </w:r>
          <w:r>
            <w:tab/>
          </w:r>
          <w:r>
            <w:t>19</w:t>
          </w:r>
          <w:r>
            <w:fldChar w:fldCharType="end"/>
          </w:r>
        </w:p>
        <w:p>
          <w:pPr>
            <w:pStyle w:val="42"/>
            <w:tabs>
              <w:tab w:val="right" w:leader="dot" w:pos="8306"/>
            </w:tabs>
            <w:ind w:left="420"/>
          </w:pPr>
          <w:r>
            <w:fldChar w:fldCharType="begin"/>
          </w:r>
          <w:r>
            <w:instrText xml:space="preserve"> HYPERLINK \l "_Toc14224" </w:instrText>
          </w:r>
          <w:r>
            <w:fldChar w:fldCharType="separate"/>
          </w:r>
          <w:r>
            <w:rPr>
              <w:rFonts w:hint="eastAsia" w:ascii="仿宋" w:hAnsi="仿宋" w:eastAsia="仿宋" w:cstheme="majorBidi"/>
            </w:rPr>
            <w:t>七、一般公共预算财政拨款支出决算明细表</w:t>
          </w:r>
          <w:r>
            <w:tab/>
          </w:r>
          <w:r>
            <w:t>19</w:t>
          </w:r>
          <w:r>
            <w:fldChar w:fldCharType="end"/>
          </w:r>
        </w:p>
        <w:p>
          <w:pPr>
            <w:pStyle w:val="42"/>
            <w:tabs>
              <w:tab w:val="right" w:leader="dot" w:pos="8306"/>
            </w:tabs>
            <w:ind w:left="420"/>
          </w:pPr>
          <w:r>
            <w:fldChar w:fldCharType="begin"/>
          </w:r>
          <w:r>
            <w:instrText xml:space="preserve"> HYPERLINK \l "_Toc6819" </w:instrText>
          </w:r>
          <w:r>
            <w:fldChar w:fldCharType="separate"/>
          </w:r>
          <w:r>
            <w:rPr>
              <w:rFonts w:hint="eastAsia" w:ascii="仿宋" w:hAnsi="仿宋" w:eastAsia="仿宋" w:cstheme="majorBidi"/>
            </w:rPr>
            <w:t>八、一般公共预算财政拨款基本支出决算表</w:t>
          </w:r>
          <w:r>
            <w:tab/>
          </w:r>
          <w:r>
            <w:t>19</w:t>
          </w:r>
          <w:r>
            <w:fldChar w:fldCharType="end"/>
          </w:r>
        </w:p>
        <w:p>
          <w:pPr>
            <w:pStyle w:val="42"/>
            <w:tabs>
              <w:tab w:val="right" w:leader="dot" w:pos="8306"/>
            </w:tabs>
            <w:ind w:left="420"/>
          </w:pPr>
          <w:r>
            <w:fldChar w:fldCharType="begin"/>
          </w:r>
          <w:r>
            <w:instrText xml:space="preserve"> HYPERLINK \l "_Toc8500" </w:instrText>
          </w:r>
          <w:r>
            <w:fldChar w:fldCharType="separate"/>
          </w:r>
          <w:r>
            <w:rPr>
              <w:rFonts w:hint="eastAsia" w:ascii="仿宋" w:hAnsi="仿宋" w:eastAsia="仿宋" w:cstheme="majorBidi"/>
            </w:rPr>
            <w:t>九、一般公共预算财政拨款项目支出决算表</w:t>
          </w:r>
          <w:r>
            <w:tab/>
          </w:r>
          <w:r>
            <w:t>19</w:t>
          </w:r>
          <w:r>
            <w:fldChar w:fldCharType="end"/>
          </w:r>
        </w:p>
        <w:p>
          <w:pPr>
            <w:pStyle w:val="42"/>
            <w:tabs>
              <w:tab w:val="right" w:leader="dot" w:pos="8306"/>
            </w:tabs>
            <w:ind w:left="420"/>
          </w:pPr>
          <w:r>
            <w:fldChar w:fldCharType="begin"/>
          </w:r>
          <w:r>
            <w:instrText xml:space="preserve"> HYPERLINK \l "_Toc20495" </w:instrText>
          </w:r>
          <w:r>
            <w:fldChar w:fldCharType="separate"/>
          </w:r>
          <w:r>
            <w:rPr>
              <w:rFonts w:hint="eastAsia" w:ascii="仿宋" w:hAnsi="仿宋" w:eastAsia="仿宋" w:cstheme="majorBidi"/>
            </w:rPr>
            <w:t>十、一般公共预算财政拨款“三公”经费支出决算表</w:t>
          </w:r>
          <w:r>
            <w:tab/>
          </w:r>
          <w:r>
            <w:t>19</w:t>
          </w:r>
          <w:r>
            <w:fldChar w:fldCharType="end"/>
          </w:r>
        </w:p>
        <w:p>
          <w:pPr>
            <w:pStyle w:val="42"/>
            <w:tabs>
              <w:tab w:val="right" w:leader="dot" w:pos="8306"/>
            </w:tabs>
            <w:ind w:left="420"/>
          </w:pPr>
          <w:r>
            <w:fldChar w:fldCharType="begin"/>
          </w:r>
          <w:r>
            <w:instrText xml:space="preserve"> HYPERLINK \l "_Toc17929" </w:instrText>
          </w:r>
          <w:r>
            <w:fldChar w:fldCharType="separate"/>
          </w:r>
          <w:r>
            <w:rPr>
              <w:rFonts w:hint="eastAsia" w:ascii="仿宋" w:hAnsi="仿宋" w:eastAsia="仿宋" w:cstheme="majorBidi"/>
            </w:rPr>
            <w:t>十一、政府性基金预算财政拨款收入支出决算表</w:t>
          </w:r>
          <w:r>
            <w:tab/>
          </w:r>
          <w:r>
            <w:t>19</w:t>
          </w:r>
          <w:r>
            <w:fldChar w:fldCharType="end"/>
          </w:r>
        </w:p>
        <w:p>
          <w:pPr>
            <w:pStyle w:val="42"/>
            <w:tabs>
              <w:tab w:val="right" w:leader="dot" w:pos="8306"/>
            </w:tabs>
            <w:ind w:left="420"/>
          </w:pPr>
          <w:r>
            <w:fldChar w:fldCharType="begin"/>
          </w:r>
          <w:r>
            <w:instrText xml:space="preserve"> HYPERLINK \l "_Toc15854" </w:instrText>
          </w:r>
          <w:r>
            <w:fldChar w:fldCharType="separate"/>
          </w:r>
          <w:r>
            <w:rPr>
              <w:rFonts w:hint="eastAsia" w:ascii="仿宋" w:hAnsi="仿宋" w:eastAsia="仿宋" w:cstheme="majorBidi"/>
            </w:rPr>
            <w:t>十二、政府性基金预算财政拨款“三公”经费支出决算表</w:t>
          </w:r>
          <w:r>
            <w:tab/>
          </w:r>
          <w:r>
            <w:t>19</w:t>
          </w:r>
          <w:r>
            <w:fldChar w:fldCharType="end"/>
          </w:r>
        </w:p>
        <w:p>
          <w:pPr>
            <w:pStyle w:val="42"/>
            <w:tabs>
              <w:tab w:val="right" w:leader="dot" w:pos="8306"/>
            </w:tabs>
            <w:ind w:left="420"/>
          </w:pPr>
          <w:r>
            <w:fldChar w:fldCharType="begin"/>
          </w:r>
          <w:r>
            <w:instrText xml:space="preserve"> HYPERLINK \l "_Toc25718" </w:instrText>
          </w:r>
          <w:r>
            <w:fldChar w:fldCharType="separate"/>
          </w:r>
          <w:r>
            <w:rPr>
              <w:rFonts w:hint="eastAsia" w:ascii="仿宋" w:hAnsi="仿宋" w:eastAsia="仿宋" w:cstheme="majorBidi"/>
            </w:rPr>
            <w:t>十三、国有资本经营预算财政拨款收入支出决算表</w:t>
          </w:r>
          <w:r>
            <w:tab/>
          </w:r>
          <w:r>
            <w:t>19</w:t>
          </w:r>
          <w:r>
            <w:fldChar w:fldCharType="end"/>
          </w:r>
        </w:p>
        <w:p>
          <w:pPr>
            <w:pStyle w:val="42"/>
            <w:tabs>
              <w:tab w:val="right" w:leader="dot" w:pos="8306"/>
            </w:tabs>
            <w:ind w:left="420"/>
          </w:pPr>
          <w:r>
            <w:fldChar w:fldCharType="begin"/>
          </w:r>
          <w:r>
            <w:instrText xml:space="preserve"> HYPERLINK \l "_Toc13098" </w:instrText>
          </w:r>
          <w:r>
            <w:fldChar w:fldCharType="separate"/>
          </w:r>
          <w:r>
            <w:rPr>
              <w:rFonts w:hint="eastAsia" w:ascii="仿宋" w:hAnsi="仿宋" w:eastAsia="仿宋" w:cstheme="majorBidi"/>
            </w:rPr>
            <w:t>十四、国有资本经营预算财政拨款支出决算表</w:t>
          </w:r>
          <w:r>
            <w:tab/>
          </w:r>
          <w:r>
            <w:t>19</w:t>
          </w:r>
          <w:r>
            <w:fldChar w:fldCharType="end"/>
          </w:r>
        </w:p>
      </w:sdtContent>
    </w:sdt>
    <w:p/>
    <w:p>
      <w:pPr>
        <w:pStyle w:val="13"/>
        <w:jc w:val="center"/>
        <w:rPr>
          <w:rStyle w:val="29"/>
          <w:rFonts w:ascii="黑体" w:hAnsi="黑体" w:eastAsia="黑体"/>
          <w:b/>
          <w:bCs w:val="0"/>
        </w:rPr>
      </w:pPr>
      <w:bookmarkStart w:id="12" w:name="_Toc15396599"/>
      <w:bookmarkStart w:id="13" w:name="_Toc15377196"/>
      <w:bookmarkStart w:id="14" w:name="_Toc2422"/>
      <w:r>
        <w:rPr>
          <w:rFonts w:hint="eastAsia" w:ascii="黑体" w:hAnsi="黑体" w:eastAsia="黑体"/>
          <w:b w:val="0"/>
        </w:rPr>
        <w:t>第一部分</w:t>
      </w:r>
      <w:r>
        <w:rPr>
          <w:rFonts w:hint="eastAsia" w:ascii="黑体" w:hAnsi="黑体" w:eastAsia="黑体"/>
          <w:b w:val="0"/>
          <w:lang w:val="en-US" w:eastAsia="zh-CN"/>
        </w:rPr>
        <w:t xml:space="preserve"> </w:t>
      </w:r>
      <w:bookmarkStart w:id="95" w:name="_GoBack"/>
      <w:bookmarkEnd w:id="95"/>
      <w:r>
        <w:rPr>
          <w:rFonts w:hint="eastAsia" w:ascii="黑体" w:hAnsi="黑体" w:eastAsia="黑体"/>
          <w:b w:val="0"/>
        </w:rPr>
        <w:t>单位</w:t>
      </w:r>
      <w:r>
        <w:rPr>
          <w:rStyle w:val="29"/>
          <w:rFonts w:hint="eastAsia" w:ascii="黑体" w:hAnsi="黑体" w:eastAsia="黑体"/>
          <w:b w:val="0"/>
          <w:bCs w:val="0"/>
        </w:rPr>
        <w:t>概况</w:t>
      </w:r>
      <w:bookmarkEnd w:id="12"/>
      <w:bookmarkEnd w:id="13"/>
      <w:bookmarkEnd w:id="14"/>
    </w:p>
    <w:p>
      <w:pPr>
        <w:widowControl/>
        <w:jc w:val="left"/>
        <w:rPr>
          <w:rFonts w:ascii="黑体" w:eastAsia="黑体"/>
          <w:sz w:val="32"/>
          <w:szCs w:val="32"/>
        </w:rPr>
      </w:pPr>
    </w:p>
    <w:p>
      <w:pPr>
        <w:pStyle w:val="14"/>
        <w:numPr>
          <w:ilvl w:val="0"/>
          <w:numId w:val="1"/>
        </w:numPr>
        <w:rPr>
          <w:rStyle w:val="30"/>
          <w:rFonts w:ascii="黑体" w:hAnsi="黑体" w:eastAsia="黑体"/>
          <w:b w:val="0"/>
          <w:bCs w:val="0"/>
        </w:rPr>
      </w:pPr>
      <w:bookmarkStart w:id="15" w:name="_Toc17182"/>
      <w:bookmarkStart w:id="16" w:name="_Toc15396600"/>
      <w:bookmarkStart w:id="17" w:name="_Toc15377197"/>
      <w:r>
        <w:rPr>
          <w:rStyle w:val="30"/>
          <w:rFonts w:hint="eastAsia" w:ascii="黑体" w:hAnsi="黑体" w:eastAsia="黑体"/>
          <w:b w:val="0"/>
          <w:bCs w:val="0"/>
        </w:rPr>
        <w:t>职能简介</w:t>
      </w:r>
      <w:bookmarkEnd w:id="15"/>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1.执行本级人民代表大会的决议和上级国家行政机关的决定和命令，发布决定和命令</w:t>
      </w:r>
      <w: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2.执行本行政区域内的经济和社会发展计划、预算，管理本行政区域内的经济、教育、科学、文化、卫生、体育事业和财政、民政、公安、司法行政、计划生育等行政工作</w:t>
      </w:r>
      <w: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3.保护社会主义的全民所有的财产和劳动群众集体所有的财产，保护公民私人所有的合法财产，维护社会秩序，保障公民的人身权利、民主权利和其他权利</w:t>
      </w:r>
      <w: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4.保护</w:t>
      </w:r>
      <w:r>
        <w:rPr>
          <w:rFonts w:hint="eastAsia" w:ascii="仿宋_GB2312" w:hAnsi="仿宋_GB2312" w:eastAsia="仿宋_GB2312" w:cs="仿宋_GB2312"/>
          <w:sz w:val="32"/>
          <w:szCs w:val="32"/>
          <w:u w:val="none" w:color="46CD7E"/>
          <w:shd w:val="clear" w:fill="auto"/>
          <w:lang w:eastAsia="zh-CN"/>
        </w:rPr>
        <w:t>各类</w:t>
      </w:r>
      <w:r>
        <w:rPr>
          <w:rFonts w:hint="eastAsia" w:ascii="仿宋_GB2312" w:hAnsi="仿宋_GB2312" w:eastAsia="仿宋_GB2312" w:cs="仿宋_GB2312"/>
          <w:sz w:val="32"/>
          <w:szCs w:val="32"/>
        </w:rPr>
        <w:t>经济组织的合法权益</w:t>
      </w:r>
      <w: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5.保障少数民族的权利和尊重少数民族的风俗习惯</w:t>
      </w:r>
      <w: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6.保障宪法和法律赋予妇女的男女平等、同工同酬和婚姻自由等各项权利</w:t>
      </w:r>
      <w: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7.办理上级人民政府交办的其他事项。</w:t>
      </w:r>
    </w:p>
    <w:p>
      <w:pPr>
        <w:spacing w:line="520" w:lineRule="exact"/>
        <w:rPr>
          <w:rStyle w:val="30"/>
          <w:rFonts w:ascii="黑体" w:hAnsi="黑体" w:eastAsia="黑体"/>
          <w:b w:val="0"/>
          <w:bCs w:val="0"/>
        </w:rPr>
      </w:pPr>
      <w:bookmarkStart w:id="18" w:name="_Toc17241"/>
      <w:r>
        <w:rPr>
          <w:rStyle w:val="30"/>
          <w:rFonts w:hint="eastAsia" w:ascii="黑体" w:hAnsi="黑体" w:eastAsia="黑体"/>
          <w:b w:val="0"/>
          <w:bCs w:val="0"/>
          <w:u w:val="thick" w:color="FFB03A"/>
          <w:shd w:val="clear" w:fill="FFEFD8"/>
        </w:rPr>
        <w:t>二、</w:t>
      </w:r>
      <w:r>
        <w:rPr>
          <w:rStyle w:val="30"/>
          <w:rFonts w:hint="eastAsia" w:ascii="黑体" w:hAnsi="黑体" w:eastAsia="黑体"/>
          <w:b w:val="0"/>
          <w:bCs w:val="0"/>
        </w:rPr>
        <w:t>2021年重点工作</w:t>
      </w:r>
      <w:bookmarkEnd w:id="16"/>
      <w:bookmarkEnd w:id="17"/>
      <w:r>
        <w:rPr>
          <w:rStyle w:val="30"/>
          <w:rFonts w:hint="eastAsia" w:ascii="黑体" w:hAnsi="黑体" w:eastAsia="黑体"/>
          <w:b w:val="0"/>
          <w:bCs w:val="0"/>
        </w:rPr>
        <w:t>完成情况</w:t>
      </w:r>
      <w:bookmarkEnd w:id="18"/>
    </w:p>
    <w:p>
      <w:pPr>
        <w:pStyle w:val="14"/>
        <w:ind w:firstLine="640" w:firstLineChars="200"/>
        <w:rPr>
          <w:rFonts w:ascii="仿宋" w:hAnsi="仿宋" w:eastAsia="仿宋" w:cs="仿宋"/>
          <w:b w:val="0"/>
          <w:bCs w:val="0"/>
        </w:rPr>
      </w:pPr>
      <w:r>
        <w:rPr>
          <w:rFonts w:hint="eastAsia" w:ascii="仿宋" w:hAnsi="仿宋" w:eastAsia="仿宋" w:cs="仿宋"/>
          <w:b w:val="0"/>
          <w:bCs w:val="0"/>
        </w:rPr>
        <w:t>1.保障民生，持续巩固脱贫成果。按照“四个不摘”要求，落实提升脱贫质量、巩固脱贫成果“双十条”措施，防止返贫动态监测32户89人，地灾避险群众5户；城乡居民基本养老保险、医疗保险参保达2.2余万人次、覆盖率100%。</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2.聚力攻坚，筑牢疫情防控战线</w:t>
      </w:r>
      <w:r>
        <w:rPr>
          <w:rFonts w:hint="eastAsia" w:ascii="仿宋" w:hAnsi="仿宋" w:eastAsia="仿宋" w:cs="仿宋"/>
          <w:b/>
          <w:bCs/>
          <w:sz w:val="32"/>
          <w:szCs w:val="32"/>
        </w:rPr>
        <w:t>。</w:t>
      </w:r>
      <w:r>
        <w:rPr>
          <w:rFonts w:hint="eastAsia" w:ascii="仿宋" w:hAnsi="仿宋" w:eastAsia="仿宋" w:cs="仿宋"/>
          <w:sz w:val="32"/>
          <w:szCs w:val="32"/>
        </w:rPr>
        <w:t>积极推进疫苗接种，加快构建免疫屏障，12周岁以上人群接种新冠疫苗20210人，接种率为99.83%，圆满完成县下达目标任务。</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3.真抓实干，产业发展提质增效。粮油产量达4.5万吨；种植食用菌（两耳一菇）20万袋，产值1680万元；建成青花椒产业园2000余亩；出栏生猪3.5万头。</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4.综合整治，城乡面貌焕然一新。开展环境综合治理，新建垃圾中转站1个，增添垃圾箱（池）20余个。扎实开展“七五”普法和“法律七进”活动10余次，开展地质灾害隐患</w:t>
      </w:r>
      <w:r>
        <w:rPr>
          <w:rFonts w:hint="eastAsia" w:ascii="仿宋" w:hAnsi="仿宋" w:eastAsia="仿宋" w:cs="仿宋"/>
          <w:sz w:val="32"/>
          <w:szCs w:val="32"/>
          <w:u w:val="none" w:color="46CD7E"/>
          <w:shd w:val="clear" w:fill="auto"/>
          <w:lang w:eastAsia="zh-CN"/>
        </w:rPr>
        <w:t>点排查</w:t>
      </w:r>
      <w:r>
        <w:rPr>
          <w:rFonts w:hint="eastAsia" w:ascii="仿宋" w:hAnsi="仿宋" w:eastAsia="仿宋" w:cs="仿宋"/>
          <w:sz w:val="32"/>
          <w:szCs w:val="32"/>
        </w:rPr>
        <w:t>和安全隐患排查20余次。</w:t>
      </w:r>
    </w:p>
    <w:p>
      <w:pPr>
        <w:pStyle w:val="3"/>
        <w:spacing w:before="93"/>
        <w:ind w:firstLine="320" w:firstLineChars="100"/>
        <w:rPr>
          <w:rFonts w:ascii="仿宋" w:hAnsi="仿宋" w:eastAsia="仿宋" w:cs="仿宋"/>
          <w:sz w:val="32"/>
          <w:szCs w:val="32"/>
        </w:rPr>
      </w:pPr>
      <w:r>
        <w:rPr>
          <w:rFonts w:hint="eastAsia" w:ascii="仿宋" w:hAnsi="仿宋" w:eastAsia="仿宋" w:cs="仿宋"/>
          <w:sz w:val="32"/>
          <w:szCs w:val="32"/>
        </w:rPr>
        <w:t>5.务实作风，自身建设全面加强。扎实开展党史学习教育、“不忘初心、牢记使命”主题教育，全面扛牢党风廉政建设主体责任和“一岗双责”，正风肃纪，“四个意识”更加牢固、“四个自信”更加坚定、“两个维护”更加坚决。</w:t>
      </w:r>
    </w:p>
    <w:p>
      <w:pPr>
        <w:widowControl/>
        <w:jc w:val="left"/>
        <w:rPr>
          <w:rFonts w:ascii="仿宋" w:hAnsi="仿宋" w:eastAsia="仿宋"/>
          <w:kern w:val="0"/>
          <w:sz w:val="32"/>
          <w:szCs w:val="32"/>
        </w:rPr>
      </w:pPr>
      <w:r>
        <w:br w:type="page"/>
      </w:r>
    </w:p>
    <w:p>
      <w:pPr>
        <w:pStyle w:val="13"/>
        <w:ind w:right="440"/>
        <w:jc w:val="center"/>
        <w:rPr>
          <w:rStyle w:val="29"/>
          <w:rFonts w:ascii="黑体" w:hAnsi="黑体" w:eastAsia="黑体"/>
          <w:b w:val="0"/>
          <w:bCs/>
        </w:rPr>
      </w:pPr>
      <w:bookmarkStart w:id="19" w:name="_Toc15377204"/>
      <w:bookmarkStart w:id="20" w:name="_Toc15396602"/>
      <w:bookmarkStart w:id="21" w:name="_Toc24984"/>
      <w:r>
        <w:rPr>
          <w:rFonts w:hint="eastAsia" w:ascii="黑体" w:hAnsi="黑体" w:eastAsia="黑体"/>
          <w:b w:val="0"/>
        </w:rPr>
        <w:t>第二</w:t>
      </w:r>
      <w:r>
        <w:rPr>
          <w:rFonts w:hint="eastAsia" w:ascii="黑体" w:hAnsi="黑体" w:eastAsia="黑体"/>
          <w:b w:val="0"/>
          <w:u w:val="thick" w:color="FFB03A"/>
          <w:shd w:val="clear" w:fill="FFEFD8"/>
        </w:rPr>
        <w:t>部分</w:t>
      </w:r>
      <w:r>
        <w:rPr>
          <w:rFonts w:hint="eastAsia" w:ascii="黑体" w:hAnsi="黑体" w:eastAsia="黑体"/>
          <w:b w:val="0"/>
          <w:u w:val="thick" w:color="FFB03A"/>
          <w:shd w:val="clear" w:fill="FFEFD8"/>
          <w:lang w:val="en-US" w:eastAsia="zh-CN"/>
        </w:rPr>
        <w:t xml:space="preserve"> </w:t>
      </w:r>
      <w:r>
        <w:rPr>
          <w:rFonts w:hint="eastAsia" w:ascii="黑体" w:hAnsi="黑体" w:eastAsia="黑体"/>
          <w:b w:val="0"/>
        </w:rPr>
        <w:t>2021年度</w:t>
      </w:r>
      <w:r>
        <w:rPr>
          <w:rStyle w:val="29"/>
          <w:rFonts w:hint="eastAsia" w:ascii="黑体" w:hAnsi="黑体" w:eastAsia="黑体"/>
          <w:b w:val="0"/>
          <w:bCs/>
        </w:rPr>
        <w:t>单位决算情况说明</w:t>
      </w:r>
      <w:bookmarkEnd w:id="19"/>
      <w:bookmarkEnd w:id="20"/>
      <w:bookmarkEnd w:id="21"/>
    </w:p>
    <w:p/>
    <w:p>
      <w:pPr>
        <w:pStyle w:val="28"/>
        <w:numPr>
          <w:ilvl w:val="0"/>
          <w:numId w:val="2"/>
        </w:numPr>
        <w:spacing w:line="600" w:lineRule="exact"/>
        <w:ind w:firstLineChars="0"/>
        <w:outlineLvl w:val="1"/>
        <w:rPr>
          <w:rStyle w:val="30"/>
          <w:rFonts w:ascii="黑体" w:hAnsi="黑体" w:eastAsia="黑体"/>
          <w:b w:val="0"/>
        </w:rPr>
      </w:pPr>
      <w:bookmarkStart w:id="22" w:name="_Toc15396603"/>
      <w:bookmarkStart w:id="23" w:name="_Toc15377205"/>
      <w:bookmarkStart w:id="24" w:name="_Toc2424"/>
      <w:r>
        <w:rPr>
          <w:rFonts w:hint="eastAsia" w:ascii="黑体" w:hAnsi="黑体" w:eastAsia="黑体"/>
          <w:sz w:val="32"/>
          <w:szCs w:val="32"/>
        </w:rPr>
        <w:t>收</w:t>
      </w:r>
      <w:r>
        <w:rPr>
          <w:rStyle w:val="30"/>
          <w:rFonts w:hint="eastAsia" w:ascii="黑体" w:hAnsi="黑体" w:eastAsia="黑体"/>
          <w:b w:val="0"/>
        </w:rPr>
        <w:t>入支出决算总体情况说明</w:t>
      </w:r>
      <w:bookmarkEnd w:id="22"/>
      <w:bookmarkEnd w:id="23"/>
      <w:bookmarkEnd w:id="24"/>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2021年度收入2746.12万元，支出3255.05万元，收、支总计6001.17万元。与2020年相比，收入增加700.46万元，增加25.5%，支出减少1200.4万元，减少36.8%。收、支总计减少1900.86万元，减少31.67%。主要变动原因是2021年行政区划调整、脱贫攻坚项目资金减少。</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Fonts w:ascii="仿宋_GB2312" w:eastAsia="仿宋_GB2312"/>
          <w:sz w:val="32"/>
          <w:szCs w:val="32"/>
        </w:rPr>
      </w:pPr>
    </w:p>
    <w:p>
      <w:pPr>
        <w:pStyle w:val="28"/>
        <w:tabs>
          <w:tab w:val="left" w:pos="616"/>
        </w:tabs>
        <w:spacing w:line="600" w:lineRule="exact"/>
        <w:ind w:left="640" w:firstLine="0" w:firstLineChars="0"/>
        <w:outlineLvl w:val="1"/>
        <w:rPr>
          <w:rFonts w:ascii="黑体" w:hAnsi="黑体" w:eastAsia="黑体"/>
          <w:sz w:val="32"/>
          <w:szCs w:val="32"/>
        </w:rPr>
      </w:pPr>
      <w:bookmarkStart w:id="25" w:name="_Toc15396604"/>
      <w:bookmarkStart w:id="26" w:name="_Toc15377206"/>
    </w:p>
    <w:p>
      <w:pPr>
        <w:pStyle w:val="28"/>
        <w:tabs>
          <w:tab w:val="left" w:pos="616"/>
        </w:tabs>
        <w:spacing w:line="600" w:lineRule="exact"/>
        <w:ind w:left="640" w:firstLine="0" w:firstLineChars="0"/>
        <w:outlineLvl w:val="1"/>
        <w:rPr>
          <w:rFonts w:ascii="黑体" w:hAnsi="黑体" w:eastAsia="黑体"/>
          <w:sz w:val="32"/>
          <w:szCs w:val="32"/>
        </w:rPr>
      </w:pPr>
    </w:p>
    <w:p>
      <w:pPr>
        <w:pStyle w:val="28"/>
        <w:tabs>
          <w:tab w:val="left" w:pos="616"/>
        </w:tabs>
        <w:spacing w:line="600" w:lineRule="exact"/>
        <w:ind w:left="640" w:firstLine="0" w:firstLineChars="0"/>
        <w:outlineLvl w:val="1"/>
        <w:rPr>
          <w:rFonts w:ascii="黑体" w:hAnsi="黑体" w:eastAsia="黑体"/>
          <w:sz w:val="32"/>
          <w:szCs w:val="32"/>
        </w:rPr>
      </w:pPr>
    </w:p>
    <w:p>
      <w:pPr>
        <w:pStyle w:val="28"/>
        <w:tabs>
          <w:tab w:val="left" w:pos="616"/>
        </w:tabs>
        <w:spacing w:line="600" w:lineRule="exact"/>
        <w:ind w:left="640" w:firstLine="0" w:firstLineChars="0"/>
        <w:outlineLvl w:val="1"/>
        <w:rPr>
          <w:rFonts w:ascii="黑体" w:hAnsi="黑体" w:eastAsia="黑体"/>
          <w:sz w:val="32"/>
          <w:szCs w:val="32"/>
        </w:rPr>
      </w:pPr>
    </w:p>
    <w:p>
      <w:pPr>
        <w:pStyle w:val="28"/>
        <w:tabs>
          <w:tab w:val="left" w:pos="616"/>
        </w:tabs>
        <w:spacing w:line="600" w:lineRule="exact"/>
        <w:ind w:left="640" w:firstLine="0" w:firstLineChars="0"/>
        <w:outlineLvl w:val="1"/>
        <w:rPr>
          <w:rFonts w:ascii="黑体" w:hAnsi="黑体" w:eastAsia="黑体"/>
          <w:sz w:val="32"/>
          <w:szCs w:val="32"/>
        </w:rPr>
      </w:pPr>
      <w:r>
        <w:rPr>
          <w:rFonts w:hint="eastAsia" w:ascii="仿宋_GB2312" w:eastAsia="仿宋_GB2312"/>
          <w:sz w:val="32"/>
          <w:szCs w:val="32"/>
        </w:rPr>
        <w:drawing>
          <wp:anchor distT="0" distB="0" distL="114300" distR="114300" simplePos="0" relativeHeight="251659264" behindDoc="1" locked="0" layoutInCell="1" allowOverlap="1">
            <wp:simplePos x="0" y="0"/>
            <wp:positionH relativeFrom="column">
              <wp:posOffset>410845</wp:posOffset>
            </wp:positionH>
            <wp:positionV relativeFrom="paragraph">
              <wp:posOffset>-1595755</wp:posOffset>
            </wp:positionV>
            <wp:extent cx="4536440" cy="1884680"/>
            <wp:effectExtent l="4445" t="4445" r="12065" b="15875"/>
            <wp:wrapTight wrapText="bothSides">
              <wp:wrapPolygon>
                <wp:start x="-21" y="-51"/>
                <wp:lineTo x="-21" y="21345"/>
                <wp:lineTo x="21567" y="21345"/>
                <wp:lineTo x="21567" y="-51"/>
                <wp:lineTo x="-21" y="-51"/>
              </wp:wrapPolygon>
            </wp:wrapTight>
            <wp:docPr id="214" name="_x0000_s14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8"/>
        <w:tabs>
          <w:tab w:val="left" w:pos="616"/>
        </w:tabs>
        <w:spacing w:line="600" w:lineRule="exact"/>
        <w:ind w:left="640" w:firstLine="0" w:firstLineChars="0"/>
        <w:outlineLvl w:val="1"/>
        <w:rPr>
          <w:rFonts w:ascii="黑体" w:hAnsi="黑体" w:eastAsia="黑体"/>
          <w:sz w:val="32"/>
          <w:szCs w:val="32"/>
        </w:rPr>
      </w:pPr>
    </w:p>
    <w:p>
      <w:pPr>
        <w:pStyle w:val="28"/>
        <w:tabs>
          <w:tab w:val="left" w:pos="616"/>
        </w:tabs>
        <w:spacing w:line="600" w:lineRule="exact"/>
        <w:ind w:firstLine="0" w:firstLineChars="0"/>
        <w:outlineLvl w:val="1"/>
        <w:rPr>
          <w:rStyle w:val="30"/>
          <w:rFonts w:ascii="黑体" w:hAnsi="黑体" w:eastAsia="黑体"/>
          <w:b w:val="0"/>
        </w:rPr>
      </w:pPr>
      <w:bookmarkStart w:id="27" w:name="_Toc11185"/>
      <w:r>
        <w:rPr>
          <w:rFonts w:hint="eastAsia" w:ascii="黑体" w:hAnsi="黑体" w:eastAsia="黑体"/>
          <w:sz w:val="32"/>
          <w:szCs w:val="32"/>
        </w:rPr>
        <w:t>二、收</w:t>
      </w:r>
      <w:r>
        <w:rPr>
          <w:rStyle w:val="30"/>
          <w:rFonts w:hint="eastAsia" w:ascii="黑体" w:hAnsi="黑体" w:eastAsia="黑体"/>
          <w:b w:val="0"/>
        </w:rPr>
        <w:t>入决算情况说明</w:t>
      </w:r>
      <w:bookmarkEnd w:id="25"/>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21年本年收入合计2746.12万元，其中：一般公共预算财政拨款收入2710.25万元，占98.69</w:t>
      </w:r>
      <w:r>
        <w:rPr>
          <w:rFonts w:ascii="仿宋" w:hAnsi="仿宋" w:eastAsia="仿宋"/>
          <w:sz w:val="32"/>
          <w:szCs w:val="32"/>
        </w:rPr>
        <w:t>%</w:t>
      </w:r>
      <w:r>
        <w:rPr>
          <w:rFonts w:hint="eastAsia" w:ascii="仿宋" w:hAnsi="仿宋" w:eastAsia="仿宋"/>
          <w:sz w:val="32"/>
          <w:szCs w:val="32"/>
        </w:rPr>
        <w:t>；政府性基金预算财政拨款收入35.73万元，占1.3</w:t>
      </w:r>
      <w:r>
        <w:rPr>
          <w:rFonts w:ascii="仿宋" w:hAnsi="仿宋" w:eastAsia="仿宋"/>
          <w:sz w:val="32"/>
          <w:szCs w:val="32"/>
        </w:rPr>
        <w:t>%</w:t>
      </w:r>
      <w:r>
        <w:rPr>
          <w:rFonts w:hint="eastAsia" w:ascii="仿宋" w:hAnsi="仿宋" w:eastAsia="仿宋"/>
          <w:sz w:val="32"/>
          <w:szCs w:val="32"/>
        </w:rPr>
        <w:t>；其他收入0.14万元，占0.01</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_GB2312" w:eastAsia="仿宋_GB2312"/>
          <w:sz w:val="32"/>
          <w:szCs w:val="32"/>
        </w:rPr>
        <w:drawing>
          <wp:anchor distT="0" distB="0" distL="114300" distR="114300" simplePos="0" relativeHeight="251660288" behindDoc="1" locked="0" layoutInCell="1" allowOverlap="1">
            <wp:simplePos x="0" y="0"/>
            <wp:positionH relativeFrom="column">
              <wp:posOffset>-17145</wp:posOffset>
            </wp:positionH>
            <wp:positionV relativeFrom="paragraph">
              <wp:posOffset>375920</wp:posOffset>
            </wp:positionV>
            <wp:extent cx="5507990" cy="2524125"/>
            <wp:effectExtent l="4445" t="4445" r="12065" b="5080"/>
            <wp:wrapTight wrapText="bothSides">
              <wp:wrapPolygon>
                <wp:start x="-17" y="-38"/>
                <wp:lineTo x="-17" y="21480"/>
                <wp:lineTo x="21573" y="21480"/>
                <wp:lineTo x="21573" y="-38"/>
                <wp:lineTo x="-17" y="-38"/>
              </wp:wrapPolygon>
            </wp:wrapTight>
            <wp:docPr id="215" name="_x0000_s148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28"/>
        <w:spacing w:line="600" w:lineRule="exact"/>
        <w:ind w:firstLine="0" w:firstLineChars="0"/>
        <w:outlineLvl w:val="1"/>
        <w:rPr>
          <w:rStyle w:val="30"/>
          <w:rFonts w:ascii="黑体" w:hAnsi="黑体" w:eastAsia="黑体"/>
          <w:b w:val="0"/>
        </w:rPr>
      </w:pPr>
      <w:bookmarkStart w:id="28" w:name="_Toc15377207"/>
      <w:bookmarkStart w:id="29" w:name="_Toc21096"/>
      <w:bookmarkStart w:id="30" w:name="_Toc15396605"/>
      <w:r>
        <w:rPr>
          <w:rFonts w:hint="eastAsia" w:ascii="黑体" w:hAnsi="黑体" w:eastAsia="黑体"/>
          <w:sz w:val="32"/>
          <w:szCs w:val="32"/>
        </w:rPr>
        <w:t>三、支</w:t>
      </w:r>
      <w:r>
        <w:rPr>
          <w:rStyle w:val="30"/>
          <w:rFonts w:hint="eastAsia" w:ascii="黑体" w:hAnsi="黑体" w:eastAsia="黑体"/>
          <w:b w:val="0"/>
        </w:rPr>
        <w:t>出决算情况说明</w:t>
      </w:r>
      <w:bookmarkEnd w:id="28"/>
      <w:bookmarkEnd w:id="29"/>
      <w:bookmarkEnd w:id="30"/>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21年本年支出合计3255.05万元，其中：基本支出1410.05万元，占43.8</w:t>
      </w:r>
      <w:r>
        <w:rPr>
          <w:rFonts w:ascii="仿宋" w:hAnsi="仿宋" w:eastAsia="仿宋"/>
          <w:sz w:val="32"/>
          <w:szCs w:val="32"/>
        </w:rPr>
        <w:t>%</w:t>
      </w:r>
      <w:r>
        <w:rPr>
          <w:rFonts w:hint="eastAsia" w:ascii="仿宋" w:hAnsi="仿宋" w:eastAsia="仿宋"/>
          <w:sz w:val="32"/>
          <w:szCs w:val="32"/>
        </w:rPr>
        <w:t>；项目支出1844.9万元，占56.2</w:t>
      </w:r>
      <w:r>
        <w:rPr>
          <w:rFonts w:ascii="仿宋" w:hAnsi="仿宋" w:eastAsia="仿宋"/>
          <w:sz w:val="32"/>
          <w:szCs w:val="32"/>
        </w:rPr>
        <w:t>%</w:t>
      </w:r>
      <w:r>
        <w:rPr>
          <w:rFonts w:hint="eastAsia" w:ascii="仿宋" w:hAnsi="仿宋" w:eastAsia="仿宋"/>
          <w:sz w:val="32"/>
          <w:szCs w:val="32"/>
        </w:rPr>
        <w:t>。</w:t>
      </w:r>
    </w:p>
    <w:p>
      <w:pPr>
        <w:spacing w:line="600" w:lineRule="exact"/>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drawing>
          <wp:anchor distT="0" distB="0" distL="114300" distR="114300" simplePos="0" relativeHeight="251661312" behindDoc="1" locked="0" layoutInCell="1" allowOverlap="1">
            <wp:simplePos x="0" y="0"/>
            <wp:positionH relativeFrom="column">
              <wp:posOffset>125095</wp:posOffset>
            </wp:positionH>
            <wp:positionV relativeFrom="paragraph">
              <wp:posOffset>252095</wp:posOffset>
            </wp:positionV>
            <wp:extent cx="5270500" cy="2294890"/>
            <wp:effectExtent l="4445" t="4445" r="20955" b="5715"/>
            <wp:wrapTight wrapText="bothSides">
              <wp:wrapPolygon>
                <wp:start x="-18" y="-42"/>
                <wp:lineTo x="-18" y="21474"/>
                <wp:lineTo x="21530" y="21474"/>
                <wp:lineTo x="21530" y="-42"/>
                <wp:lineTo x="-18" y="-42"/>
              </wp:wrapPolygon>
            </wp:wrapTight>
            <wp:docPr id="216" name="_x0000_s149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outlineLvl w:val="1"/>
        <w:rPr>
          <w:rStyle w:val="30"/>
          <w:rFonts w:ascii="黑体" w:hAnsi="黑体" w:eastAsia="黑体"/>
          <w:b w:val="0"/>
        </w:rPr>
      </w:pPr>
      <w:bookmarkStart w:id="31" w:name="_Toc15396606"/>
      <w:bookmarkStart w:id="32" w:name="_Toc15377208"/>
      <w:bookmarkStart w:id="33" w:name="_Toc25933"/>
      <w:r>
        <w:rPr>
          <w:rFonts w:hint="eastAsia" w:ascii="黑体" w:hAnsi="黑体" w:eastAsia="黑体"/>
          <w:sz w:val="32"/>
          <w:szCs w:val="32"/>
        </w:rPr>
        <w:t>四、财</w:t>
      </w:r>
      <w:r>
        <w:rPr>
          <w:rStyle w:val="30"/>
          <w:rFonts w:hint="eastAsia" w:ascii="黑体" w:hAnsi="黑体" w:eastAsia="黑体"/>
          <w:b w:val="0"/>
        </w:rPr>
        <w:t>政拨款收入支出决算总体情况说明</w:t>
      </w:r>
      <w:bookmarkEnd w:id="31"/>
      <w:bookmarkEnd w:id="32"/>
      <w:bookmarkEnd w:id="3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21年财政拨款收入2710.25万元，支出3219.18万元，收、支总计5929.43万元。与</w:t>
      </w:r>
      <w:r>
        <w:rPr>
          <w:rFonts w:ascii="仿宋" w:hAnsi="仿宋" w:eastAsia="仿宋"/>
          <w:color w:val="000000"/>
          <w:sz w:val="32"/>
          <w:szCs w:val="32"/>
        </w:rPr>
        <w:t>20</w:t>
      </w:r>
      <w:r>
        <w:rPr>
          <w:rFonts w:hint="eastAsia" w:ascii="仿宋" w:hAnsi="仿宋" w:eastAsia="仿宋"/>
          <w:color w:val="000000"/>
          <w:sz w:val="32"/>
          <w:szCs w:val="32"/>
        </w:rPr>
        <w:t>20年相比，财政拨款收入增加664.73万元，增加24.52%，支出增加1164.66万元，增加36.17%，收、支总计增加了1829.39万元，增加30.85</w:t>
      </w:r>
      <w:r>
        <w:rPr>
          <w:rFonts w:ascii="仿宋" w:hAnsi="仿宋" w:eastAsia="仿宋"/>
          <w:color w:val="000000"/>
          <w:sz w:val="32"/>
          <w:szCs w:val="32"/>
        </w:rPr>
        <w:t>%</w:t>
      </w:r>
      <w:r>
        <w:rPr>
          <w:rFonts w:hint="eastAsia" w:ascii="仿宋" w:hAnsi="仿宋" w:eastAsia="仿宋"/>
          <w:color w:val="000000"/>
          <w:sz w:val="32"/>
          <w:szCs w:val="32"/>
        </w:rPr>
        <w:t>。主要变动原因是2021年疫情防控、脱贫攻坚项目资金增加。</w:t>
      </w:r>
    </w:p>
    <w:p>
      <w:pPr>
        <w:spacing w:line="600" w:lineRule="exact"/>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outlineLvl w:val="1"/>
        <w:rPr>
          <w:rFonts w:ascii="黑体" w:hAnsi="黑体" w:eastAsia="黑体"/>
          <w:sz w:val="32"/>
          <w:szCs w:val="32"/>
        </w:rPr>
      </w:pPr>
      <w:bookmarkStart w:id="34" w:name="_Toc15396607"/>
      <w:bookmarkStart w:id="35" w:name="_Toc15377209"/>
      <w:r>
        <w:rPr>
          <w:rFonts w:hint="eastAsia" w:ascii="黑体" w:hAnsi="黑体" w:eastAsia="黑体"/>
          <w:sz w:val="32"/>
          <w:szCs w:val="32"/>
        </w:rPr>
        <w:drawing>
          <wp:anchor distT="0" distB="0" distL="114300" distR="114300" simplePos="0" relativeHeight="251662336" behindDoc="1" locked="0" layoutInCell="1" allowOverlap="1">
            <wp:simplePos x="0" y="0"/>
            <wp:positionH relativeFrom="column">
              <wp:posOffset>233045</wp:posOffset>
            </wp:positionH>
            <wp:positionV relativeFrom="paragraph">
              <wp:posOffset>280670</wp:posOffset>
            </wp:positionV>
            <wp:extent cx="4927600" cy="3724910"/>
            <wp:effectExtent l="4445" t="4445" r="20955" b="23495"/>
            <wp:wrapTight wrapText="bothSides">
              <wp:wrapPolygon>
                <wp:start x="-19" y="-26"/>
                <wp:lineTo x="-19" y="21515"/>
                <wp:lineTo x="21525" y="21515"/>
                <wp:lineTo x="21525" y="-26"/>
                <wp:lineTo x="-19" y="-26"/>
              </wp:wrapPolygon>
            </wp:wrapTight>
            <wp:docPr id="217" name="_x0000_s14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outlineLvl w:val="1"/>
        <w:rPr>
          <w:rFonts w:ascii="黑体" w:hAnsi="黑体" w:eastAsia="黑体"/>
          <w:sz w:val="32"/>
          <w:szCs w:val="32"/>
        </w:rPr>
      </w:pPr>
    </w:p>
    <w:p>
      <w:pPr>
        <w:spacing w:line="600" w:lineRule="exact"/>
        <w:outlineLvl w:val="1"/>
        <w:rPr>
          <w:rFonts w:ascii="黑体" w:hAnsi="黑体" w:eastAsia="黑体"/>
          <w:sz w:val="32"/>
          <w:szCs w:val="32"/>
        </w:rPr>
      </w:pPr>
    </w:p>
    <w:p>
      <w:pPr>
        <w:spacing w:line="600" w:lineRule="exact"/>
        <w:outlineLvl w:val="1"/>
        <w:rPr>
          <w:rFonts w:ascii="黑体" w:hAnsi="黑体" w:eastAsia="黑体"/>
          <w:sz w:val="32"/>
          <w:szCs w:val="32"/>
        </w:rPr>
      </w:pPr>
    </w:p>
    <w:p>
      <w:pPr>
        <w:spacing w:line="600" w:lineRule="exact"/>
        <w:outlineLvl w:val="1"/>
        <w:rPr>
          <w:rFonts w:ascii="黑体" w:hAnsi="黑体" w:eastAsia="黑体"/>
          <w:sz w:val="32"/>
          <w:szCs w:val="32"/>
        </w:rPr>
      </w:pPr>
    </w:p>
    <w:p>
      <w:pPr>
        <w:spacing w:line="600" w:lineRule="exact"/>
        <w:outlineLvl w:val="1"/>
        <w:rPr>
          <w:rFonts w:ascii="黑体" w:hAnsi="黑体" w:eastAsia="黑体"/>
          <w:sz w:val="32"/>
          <w:szCs w:val="32"/>
        </w:rPr>
      </w:pPr>
    </w:p>
    <w:p>
      <w:pPr>
        <w:spacing w:line="600" w:lineRule="exact"/>
        <w:outlineLvl w:val="1"/>
        <w:rPr>
          <w:rFonts w:ascii="黑体" w:hAnsi="黑体" w:eastAsia="黑体"/>
          <w:sz w:val="32"/>
          <w:szCs w:val="32"/>
        </w:rPr>
      </w:pPr>
    </w:p>
    <w:p>
      <w:pPr>
        <w:spacing w:line="600" w:lineRule="exact"/>
        <w:outlineLvl w:val="1"/>
        <w:rPr>
          <w:rFonts w:ascii="黑体" w:hAnsi="黑体" w:eastAsia="黑体"/>
          <w:sz w:val="32"/>
          <w:szCs w:val="32"/>
        </w:rPr>
      </w:pPr>
    </w:p>
    <w:p>
      <w:pPr>
        <w:spacing w:line="600" w:lineRule="exact"/>
        <w:outlineLvl w:val="1"/>
        <w:rPr>
          <w:rFonts w:ascii="黑体" w:hAnsi="黑体" w:eastAsia="黑体"/>
          <w:sz w:val="32"/>
          <w:szCs w:val="32"/>
        </w:rPr>
      </w:pPr>
    </w:p>
    <w:p>
      <w:pPr>
        <w:spacing w:line="600" w:lineRule="exact"/>
        <w:outlineLvl w:val="1"/>
        <w:rPr>
          <w:rFonts w:ascii="黑体" w:hAnsi="黑体" w:eastAsia="黑体"/>
          <w:sz w:val="32"/>
          <w:szCs w:val="32"/>
        </w:rPr>
      </w:pPr>
    </w:p>
    <w:p>
      <w:pPr>
        <w:spacing w:line="600" w:lineRule="exact"/>
        <w:outlineLvl w:val="1"/>
        <w:rPr>
          <w:rStyle w:val="30"/>
          <w:rFonts w:ascii="黑体" w:hAnsi="黑体" w:eastAsia="黑体"/>
          <w:b w:val="0"/>
        </w:rPr>
      </w:pPr>
      <w:bookmarkStart w:id="36" w:name="_Toc18930"/>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w:t>
      </w:r>
      <w:r>
        <w:rPr>
          <w:rFonts w:hint="eastAsia" w:ascii="黑体" w:hAnsi="黑体" w:eastAsia="黑体"/>
          <w:sz w:val="32"/>
          <w:szCs w:val="32"/>
        </w:rPr>
        <w:t>财政拨款支出决算情况说明</w:t>
      </w:r>
      <w:bookmarkEnd w:id="34"/>
      <w:bookmarkEnd w:id="35"/>
      <w:bookmarkEnd w:id="36"/>
    </w:p>
    <w:p>
      <w:pPr>
        <w:spacing w:line="600" w:lineRule="exact"/>
        <w:ind w:firstLine="643" w:firstLineChars="200"/>
        <w:outlineLvl w:val="2"/>
        <w:rPr>
          <w:rFonts w:ascii="仿宋" w:hAnsi="仿宋" w:eastAsia="仿宋"/>
          <w:b/>
          <w:sz w:val="32"/>
          <w:szCs w:val="32"/>
        </w:rPr>
      </w:pPr>
      <w:bookmarkStart w:id="37" w:name="_Toc15377210"/>
      <w:r>
        <w:rPr>
          <w:rFonts w:hint="eastAsia" w:ascii="仿宋" w:hAnsi="仿宋" w:eastAsia="仿宋"/>
          <w:b/>
          <w:sz w:val="32"/>
          <w:szCs w:val="32"/>
        </w:rPr>
        <w:t>（一）一般公共预算财政拨款支出决算总体情况</w:t>
      </w:r>
      <w:bookmarkEnd w:id="37"/>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21年一般公共预算财政拨款支出3219.18万元，占本年支出合计的98.89</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20年相比，一般公共预算财政拨款支出增加1164.66万元，增长36.17</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olor w:val="000000"/>
          <w:sz w:val="32"/>
          <w:szCs w:val="32"/>
        </w:rPr>
        <w:t>2021年疫情防控、脱贫攻坚项目资金增加</w:t>
      </w:r>
      <w: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outlineLvl w:val="2"/>
        <w:rPr>
          <w:rFonts w:ascii="仿宋" w:hAnsi="仿宋" w:eastAsia="仿宋"/>
          <w:b/>
          <w:sz w:val="32"/>
          <w:szCs w:val="32"/>
        </w:rPr>
      </w:pPr>
      <w:bookmarkStart w:id="38" w:name="_Toc15377211"/>
      <w:r>
        <w:rPr>
          <w:rFonts w:hint="eastAsia"/>
        </w:rPr>
        <w:drawing>
          <wp:anchor distT="0" distB="0" distL="114300" distR="114300" simplePos="0" relativeHeight="251663360" behindDoc="1" locked="0" layoutInCell="1" allowOverlap="1">
            <wp:simplePos x="0" y="0"/>
            <wp:positionH relativeFrom="column">
              <wp:posOffset>271145</wp:posOffset>
            </wp:positionH>
            <wp:positionV relativeFrom="paragraph">
              <wp:posOffset>-2262505</wp:posOffset>
            </wp:positionV>
            <wp:extent cx="4984750" cy="2560320"/>
            <wp:effectExtent l="4445" t="4445" r="20955" b="6985"/>
            <wp:wrapTight wrapText="bothSides">
              <wp:wrapPolygon>
                <wp:start x="-19" y="-37"/>
                <wp:lineTo x="-19" y="21498"/>
                <wp:lineTo x="21526" y="21498"/>
                <wp:lineTo x="21526" y="-37"/>
                <wp:lineTo x="-19" y="-37"/>
              </wp:wrapPolygon>
            </wp:wrapTight>
            <wp:docPr id="218" name="_x0000_s14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b/>
          <w:sz w:val="32"/>
          <w:szCs w:val="32"/>
        </w:rPr>
        <w:t>（二）一般公共预算财政拨款支出决算结构情况</w:t>
      </w:r>
      <w:bookmarkEnd w:id="38"/>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21年一般公共预算财政拨款支出3219.18万元，主要用于以下方面</w:t>
      </w:r>
      <w:r>
        <w:t>：</w:t>
      </w:r>
      <w:r>
        <w:rPr>
          <w:rFonts w:hint="eastAsia" w:ascii="仿宋" w:hAnsi="仿宋" w:eastAsia="仿宋"/>
          <w:b/>
          <w:sz w:val="32"/>
          <w:szCs w:val="32"/>
        </w:rPr>
        <w:t>一般公共服务（类）</w:t>
      </w:r>
      <w:r>
        <w:rPr>
          <w:rFonts w:hint="eastAsia" w:ascii="仿宋" w:hAnsi="仿宋" w:eastAsia="仿宋"/>
          <w:sz w:val="32"/>
          <w:szCs w:val="32"/>
        </w:rPr>
        <w:t>支出1003.05万元，占31.16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文化旅游体育与传媒（类）支出20万元，占0.62</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支出137.48万元，占4.27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57.46万元，占1.78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color w:val="000000" w:themeColor="text1"/>
          <w:sz w:val="32"/>
          <w:szCs w:val="32"/>
        </w:rPr>
        <w:t>节能环保支出（类）</w:t>
      </w:r>
      <w:r>
        <w:rPr>
          <w:rFonts w:hint="eastAsia" w:ascii="仿宋" w:hAnsi="仿宋" w:eastAsia="仿宋"/>
          <w:color w:val="000000" w:themeColor="text1"/>
          <w:sz w:val="32"/>
          <w:szCs w:val="32"/>
        </w:rPr>
        <w:t>0.45万元，占0.01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城乡社区支出（类）</w:t>
      </w:r>
      <w:r>
        <w:rPr>
          <w:rFonts w:hint="eastAsia" w:ascii="仿宋" w:hAnsi="仿宋" w:eastAsia="仿宋"/>
          <w:color w:val="000000" w:themeColor="text1"/>
          <w:sz w:val="32"/>
          <w:szCs w:val="32"/>
        </w:rPr>
        <w:t>250万元，占7.77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农林水支出（类）1091.8</w:t>
      </w:r>
      <w:r>
        <w:rPr>
          <w:rFonts w:hint="eastAsia" w:ascii="仿宋" w:hAnsi="仿宋" w:eastAsia="仿宋"/>
          <w:color w:val="000000" w:themeColor="text1"/>
          <w:sz w:val="32"/>
          <w:szCs w:val="32"/>
        </w:rPr>
        <w:t>万元，占33.92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商业服务业等支出（类）</w:t>
      </w:r>
      <w:r>
        <w:rPr>
          <w:rFonts w:hint="eastAsia" w:ascii="仿宋" w:hAnsi="仿宋" w:eastAsia="仿宋"/>
          <w:color w:val="000000"/>
          <w:sz w:val="32"/>
          <w:szCs w:val="32"/>
        </w:rPr>
        <w:t>8.9万元，占0.28%</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住房保障支出</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类）</w:t>
      </w:r>
      <w:r>
        <w:rPr>
          <w:rFonts w:hint="eastAsia" w:ascii="仿宋" w:hAnsi="仿宋" w:eastAsia="仿宋"/>
          <w:color w:val="000000" w:themeColor="text1"/>
          <w:sz w:val="32"/>
          <w:szCs w:val="32"/>
        </w:rPr>
        <w:t>650.04</w:t>
      </w:r>
      <w:r>
        <w:rPr>
          <w:rFonts w:hint="eastAsia" w:ascii="仿宋" w:hAnsi="仿宋" w:eastAsia="仿宋"/>
          <w:color w:val="000000"/>
          <w:sz w:val="32"/>
          <w:szCs w:val="32"/>
        </w:rPr>
        <w:t>万元，</w:t>
      </w:r>
      <w:r>
        <w:rPr>
          <w:rFonts w:hint="eastAsia" w:ascii="仿宋" w:hAnsi="仿宋" w:eastAsia="仿宋"/>
          <w:color w:val="000000" w:themeColor="text1"/>
          <w:sz w:val="32"/>
          <w:szCs w:val="32"/>
        </w:rPr>
        <w:t>占20.19</w:t>
      </w:r>
      <w:r>
        <w:rPr>
          <w:rFonts w:ascii="仿宋" w:hAnsi="仿宋" w:eastAsia="仿宋"/>
          <w:color w:val="000000" w:themeColor="text1"/>
          <w:sz w:val="32"/>
          <w:szCs w:val="32"/>
        </w:rPr>
        <w:t>%</w:t>
      </w:r>
      <w:r>
        <w:rPr>
          <w:rFonts w:hint="eastAsia" w:ascii="仿宋" w:hAnsi="仿宋" w:eastAsia="仿宋"/>
          <w:sz w:val="32"/>
          <w:szCs w:val="32"/>
        </w:rPr>
        <w:t>。</w:t>
      </w:r>
    </w:p>
    <w:p>
      <w:pPr>
        <w:spacing w:line="600" w:lineRule="exact"/>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drawing>
          <wp:anchor distT="0" distB="0" distL="114300" distR="114300" simplePos="0" relativeHeight="251664384" behindDoc="0" locked="0" layoutInCell="1" allowOverlap="1">
            <wp:simplePos x="0" y="0"/>
            <wp:positionH relativeFrom="column">
              <wp:posOffset>77470</wp:posOffset>
            </wp:positionH>
            <wp:positionV relativeFrom="paragraph">
              <wp:posOffset>71120</wp:posOffset>
            </wp:positionV>
            <wp:extent cx="5079365" cy="2286635"/>
            <wp:effectExtent l="4445" t="4445" r="21590" b="13970"/>
            <wp:wrapSquare wrapText="bothSides"/>
            <wp:docPr id="219" name="_x0000_s149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3" w:firstLineChars="200"/>
        <w:outlineLvl w:val="2"/>
        <w:rPr>
          <w:rFonts w:ascii="仿宋" w:hAnsi="仿宋" w:eastAsia="仿宋"/>
          <w:b/>
          <w:sz w:val="32"/>
          <w:szCs w:val="32"/>
        </w:rPr>
      </w:pPr>
      <w:bookmarkStart w:id="39" w:name="_Toc15377212"/>
    </w:p>
    <w:p>
      <w:pPr>
        <w:tabs>
          <w:tab w:val="left" w:pos="6880"/>
        </w:tabs>
        <w:spacing w:line="600" w:lineRule="exact"/>
        <w:outlineLvl w:val="2"/>
        <w:rPr>
          <w:rFonts w:ascii="仿宋" w:hAnsi="仿宋" w:eastAsia="仿宋"/>
          <w:b/>
          <w:sz w:val="32"/>
          <w:szCs w:val="32"/>
        </w:rPr>
      </w:pPr>
      <w:r>
        <w:rPr>
          <w:rFonts w:hint="eastAsia" w:ascii="仿宋" w:hAnsi="仿宋" w:eastAsia="仿宋"/>
          <w:b/>
          <w:sz w:val="32"/>
          <w:szCs w:val="32"/>
        </w:rPr>
        <w:t>（三）一般公共预算财政拨款支出决算具体情况</w:t>
      </w:r>
      <w:bookmarkEnd w:id="39"/>
    </w:p>
    <w:p>
      <w:pPr>
        <w:ind w:firstLine="643" w:firstLineChars="200"/>
        <w:rPr>
          <w:rStyle w:val="10"/>
          <w:rFonts w:ascii="仿宋" w:hAnsi="仿宋" w:eastAsia="仿宋"/>
          <w:b w:val="0"/>
          <w:bCs/>
          <w:color w:val="000000"/>
          <w:sz w:val="32"/>
          <w:szCs w:val="32"/>
        </w:rPr>
      </w:pPr>
      <w:r>
        <w:rPr>
          <w:rStyle w:val="10"/>
          <w:rFonts w:hint="eastAsia" w:ascii="仿宋" w:hAnsi="仿宋" w:eastAsia="仿宋"/>
          <w:bCs/>
          <w:color w:val="000000"/>
          <w:sz w:val="32"/>
          <w:szCs w:val="32"/>
        </w:rPr>
        <w:t>1</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一般公共服务（类）政府办公厅（室）及相关机构事务（款）行政运行（项）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支出决算为609.16万元；</w:t>
      </w:r>
      <w:r>
        <w:rPr>
          <w:rStyle w:val="10"/>
          <w:rFonts w:hint="eastAsia" w:ascii="仿宋" w:hAnsi="仿宋" w:eastAsia="仿宋"/>
          <w:bCs/>
          <w:color w:val="000000"/>
          <w:sz w:val="32"/>
          <w:szCs w:val="32"/>
        </w:rPr>
        <w:t>一般行政管理（项）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支出决算为2万元；</w:t>
      </w:r>
      <w:r>
        <w:rPr>
          <w:rStyle w:val="10"/>
          <w:rFonts w:hint="eastAsia" w:ascii="仿宋" w:hAnsi="仿宋" w:eastAsia="仿宋"/>
          <w:bCs/>
          <w:color w:val="000000"/>
          <w:sz w:val="32"/>
          <w:szCs w:val="32"/>
        </w:rPr>
        <w:t>信访事务（项）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支出决算为6万元；</w:t>
      </w:r>
      <w:r>
        <w:rPr>
          <w:rStyle w:val="10"/>
          <w:rFonts w:hint="eastAsia" w:ascii="仿宋" w:hAnsi="仿宋" w:eastAsia="仿宋"/>
          <w:color w:val="000000"/>
          <w:sz w:val="32"/>
          <w:szCs w:val="32"/>
        </w:rPr>
        <w:t>事业运行（项）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支出决算为384.39万元，完成</w:t>
      </w:r>
      <w:r>
        <w:rPr>
          <w:rStyle w:val="10"/>
          <w:rFonts w:hint="eastAsia" w:ascii="仿宋" w:hAnsi="仿宋" w:eastAsia="仿宋"/>
          <w:b w:val="0"/>
          <w:bCs/>
          <w:color w:val="000000"/>
          <w:sz w:val="32"/>
          <w:szCs w:val="32"/>
          <w:lang w:eastAsia="zh-CN"/>
        </w:rPr>
        <w:t>预算的100%</w:t>
      </w:r>
      <w:r>
        <w:rPr>
          <w:rStyle w:val="10"/>
          <w:rFonts w:hint="eastAsia" w:ascii="仿宋" w:hAnsi="仿宋" w:eastAsia="仿宋"/>
          <w:b w:val="0"/>
          <w:bCs/>
          <w:color w:val="000000"/>
          <w:sz w:val="32"/>
          <w:szCs w:val="32"/>
        </w:rPr>
        <w:t>.</w:t>
      </w:r>
    </w:p>
    <w:p>
      <w:pPr>
        <w:ind w:firstLine="560"/>
        <w:rPr>
          <w:rStyle w:val="10"/>
          <w:rFonts w:ascii="仿宋" w:hAnsi="仿宋" w:eastAsia="仿宋"/>
          <w:b w:val="0"/>
          <w:bCs/>
          <w:color w:val="000000"/>
          <w:sz w:val="32"/>
          <w:szCs w:val="32"/>
        </w:rPr>
      </w:pPr>
      <w:r>
        <w:rPr>
          <w:rStyle w:val="10"/>
          <w:rFonts w:hint="eastAsia" w:ascii="仿宋" w:hAnsi="仿宋" w:eastAsia="仿宋"/>
          <w:bCs/>
          <w:color w:val="000000"/>
          <w:sz w:val="32"/>
          <w:szCs w:val="32"/>
        </w:rPr>
        <w:t>2</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一般公共服务（类）其他一般公共服务支出（款）其他一般公共服务支出（项）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支出决算为1.5万元，完成</w:t>
      </w:r>
      <w:r>
        <w:rPr>
          <w:rStyle w:val="10"/>
          <w:rFonts w:hint="eastAsia" w:ascii="仿宋" w:hAnsi="仿宋" w:eastAsia="仿宋"/>
          <w:b w:val="0"/>
          <w:bCs/>
          <w:color w:val="000000"/>
          <w:sz w:val="32"/>
          <w:szCs w:val="32"/>
          <w:lang w:eastAsia="zh-CN"/>
        </w:rPr>
        <w:t>预算的100%</w:t>
      </w:r>
      <w:r>
        <w:rPr>
          <w:rStyle w:val="10"/>
          <w:rFonts w:hint="eastAsia" w:ascii="仿宋" w:hAnsi="仿宋" w:eastAsia="仿宋"/>
          <w:b w:val="0"/>
          <w:bCs/>
          <w:color w:val="000000"/>
          <w:sz w:val="32"/>
          <w:szCs w:val="32"/>
        </w:rPr>
        <w:t>。</w:t>
      </w:r>
    </w:p>
    <w:p>
      <w:pPr>
        <w:spacing w:line="600" w:lineRule="exact"/>
        <w:ind w:firstLine="643" w:firstLineChars="200"/>
        <w:rPr>
          <w:rStyle w:val="10"/>
          <w:rFonts w:ascii="仿宋" w:hAnsi="仿宋" w:eastAsia="仿宋"/>
          <w:b w:val="0"/>
          <w:bCs/>
          <w:color w:val="000000"/>
          <w:sz w:val="32"/>
          <w:szCs w:val="32"/>
        </w:rPr>
      </w:pPr>
      <w:r>
        <w:rPr>
          <w:rStyle w:val="10"/>
          <w:rFonts w:hint="eastAsia" w:ascii="仿宋" w:hAnsi="仿宋" w:eastAsia="仿宋"/>
          <w:bCs/>
          <w:color w:val="000000"/>
          <w:sz w:val="32"/>
          <w:szCs w:val="32"/>
        </w:rPr>
        <w:t>3</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文化旅游体育与传媒（类）文化和旅游（款）其他文化和旅游支出（项）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支出决算为12万元，完成</w:t>
      </w:r>
      <w:r>
        <w:rPr>
          <w:rStyle w:val="10"/>
          <w:rFonts w:hint="eastAsia" w:ascii="仿宋" w:hAnsi="仿宋" w:eastAsia="仿宋"/>
          <w:b w:val="0"/>
          <w:bCs/>
          <w:color w:val="000000"/>
          <w:sz w:val="32"/>
          <w:szCs w:val="32"/>
          <w:lang w:eastAsia="zh-CN"/>
        </w:rPr>
        <w:t>预算的100%</w:t>
      </w:r>
      <w:r>
        <w:rPr>
          <w:rStyle w:val="10"/>
          <w:rFonts w:hint="eastAsia" w:ascii="仿宋" w:hAnsi="仿宋" w:eastAsia="仿宋"/>
          <w:b w:val="0"/>
          <w:bCs/>
          <w:color w:val="000000"/>
          <w:sz w:val="32"/>
          <w:szCs w:val="32"/>
        </w:rPr>
        <w:t>。</w:t>
      </w:r>
    </w:p>
    <w:p>
      <w:pPr>
        <w:spacing w:line="600" w:lineRule="exact"/>
        <w:ind w:firstLine="643" w:firstLineChars="200"/>
        <w:rPr>
          <w:rStyle w:val="10"/>
          <w:rFonts w:ascii="仿宋" w:hAnsi="仿宋" w:eastAsia="仿宋"/>
          <w:b w:val="0"/>
          <w:bCs/>
          <w:color w:val="000000"/>
          <w:sz w:val="32"/>
          <w:szCs w:val="32"/>
        </w:rPr>
      </w:pPr>
      <w:r>
        <w:rPr>
          <w:rStyle w:val="10"/>
          <w:rFonts w:hint="eastAsia" w:ascii="仿宋" w:hAnsi="仿宋" w:eastAsia="仿宋"/>
          <w:bCs/>
          <w:color w:val="000000"/>
          <w:sz w:val="32"/>
          <w:szCs w:val="32"/>
        </w:rPr>
        <w:t>4</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文化旅游体育与传媒（类）其他文化旅游体育与传媒支出（款）其他文化旅游体育与传媒支出（项）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支出决算为8万元，完成</w:t>
      </w:r>
      <w:r>
        <w:rPr>
          <w:rStyle w:val="10"/>
          <w:rFonts w:hint="eastAsia" w:ascii="仿宋" w:hAnsi="仿宋" w:eastAsia="仿宋"/>
          <w:b w:val="0"/>
          <w:bCs/>
          <w:color w:val="000000"/>
          <w:sz w:val="32"/>
          <w:szCs w:val="32"/>
          <w:lang w:eastAsia="zh-CN"/>
        </w:rPr>
        <w:t>预算的100%</w:t>
      </w:r>
      <w:r>
        <w:rPr>
          <w:rStyle w:val="10"/>
          <w:rFonts w:hint="eastAsia" w:ascii="仿宋" w:hAnsi="仿宋" w:eastAsia="仿宋"/>
          <w:b w:val="0"/>
          <w:bCs/>
          <w:color w:val="000000"/>
          <w:sz w:val="32"/>
          <w:szCs w:val="32"/>
        </w:rPr>
        <w:t>。</w:t>
      </w:r>
    </w:p>
    <w:p>
      <w:pPr>
        <w:spacing w:line="600" w:lineRule="exact"/>
        <w:ind w:firstLine="643" w:firstLineChars="200"/>
        <w:rPr>
          <w:rStyle w:val="10"/>
          <w:rFonts w:ascii="仿宋" w:hAnsi="仿宋" w:eastAsia="仿宋"/>
          <w:b w:val="0"/>
          <w:bCs/>
          <w:color w:val="000000"/>
          <w:sz w:val="32"/>
          <w:szCs w:val="32"/>
        </w:rPr>
      </w:pPr>
      <w:r>
        <w:rPr>
          <w:rStyle w:val="10"/>
          <w:rFonts w:hint="eastAsia" w:ascii="仿宋" w:hAnsi="仿宋" w:eastAsia="仿宋"/>
          <w:bCs/>
          <w:color w:val="000000"/>
          <w:sz w:val="32"/>
          <w:szCs w:val="32"/>
        </w:rPr>
        <w:t>5</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社会保障和就业（类）行政事业单位养老支出（款）机关事业单位基本养老保险支出（项）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支出决算为86.72万元；</w:t>
      </w:r>
      <w:r>
        <w:rPr>
          <w:rStyle w:val="10"/>
          <w:rFonts w:hint="eastAsia" w:ascii="仿宋" w:hAnsi="仿宋" w:eastAsia="仿宋"/>
          <w:color w:val="000000"/>
          <w:sz w:val="32"/>
          <w:szCs w:val="32"/>
        </w:rPr>
        <w:t>事业单位离退休（项）</w:t>
      </w:r>
      <w:r>
        <w:rPr>
          <w:rStyle w:val="10"/>
          <w:rFonts w:hint="eastAsia" w:ascii="仿宋" w:hAnsi="仿宋" w:eastAsia="仿宋"/>
          <w:b w:val="0"/>
          <w:bCs/>
          <w:color w:val="000000"/>
          <w:sz w:val="32"/>
          <w:szCs w:val="32"/>
        </w:rPr>
        <w:t>：支出决算数4.32万元</w:t>
      </w:r>
      <w:r>
        <w:rPr>
          <w:rFonts w:hint="eastAsia" w:ascii="仿宋" w:hAnsi="仿宋" w:eastAsia="仿宋"/>
          <w:bCs/>
          <w:color w:val="000000"/>
          <w:sz w:val="32"/>
          <w:szCs w:val="32"/>
        </w:rPr>
        <w:t>；</w:t>
      </w:r>
      <w:r>
        <w:rPr>
          <w:rStyle w:val="10"/>
          <w:rFonts w:hint="eastAsia" w:ascii="仿宋" w:hAnsi="仿宋" w:eastAsia="仿宋"/>
          <w:color w:val="000000"/>
          <w:sz w:val="32"/>
          <w:szCs w:val="32"/>
        </w:rPr>
        <w:t>机关事业单位职业年金缴费支出（项）：</w:t>
      </w:r>
      <w:r>
        <w:rPr>
          <w:rStyle w:val="10"/>
          <w:rFonts w:hint="eastAsia" w:ascii="仿宋" w:hAnsi="仿宋" w:eastAsia="仿宋"/>
          <w:b w:val="0"/>
          <w:bCs/>
          <w:color w:val="000000"/>
          <w:sz w:val="32"/>
          <w:szCs w:val="32"/>
        </w:rPr>
        <w:t>支出决算数11.04万元，完成</w:t>
      </w:r>
      <w:r>
        <w:rPr>
          <w:rStyle w:val="10"/>
          <w:rFonts w:hint="eastAsia" w:ascii="仿宋" w:hAnsi="仿宋" w:eastAsia="仿宋"/>
          <w:b w:val="0"/>
          <w:bCs/>
          <w:color w:val="000000"/>
          <w:sz w:val="32"/>
          <w:szCs w:val="32"/>
          <w:lang w:eastAsia="zh-CN"/>
        </w:rPr>
        <w:t>预算的100%</w:t>
      </w:r>
      <w:r>
        <w:rPr>
          <w:rStyle w:val="10"/>
          <w:rFonts w:hint="eastAsia" w:ascii="仿宋" w:hAnsi="仿宋" w:eastAsia="仿宋"/>
          <w:b w:val="0"/>
          <w:bCs/>
          <w:color w:val="000000"/>
          <w:sz w:val="32"/>
          <w:szCs w:val="32"/>
        </w:rPr>
        <w:t>。</w:t>
      </w:r>
    </w:p>
    <w:p>
      <w:pPr>
        <w:spacing w:line="600" w:lineRule="exact"/>
        <w:ind w:firstLine="643" w:firstLineChars="200"/>
        <w:rPr>
          <w:rStyle w:val="10"/>
          <w:rFonts w:ascii="仿宋" w:hAnsi="仿宋" w:eastAsia="仿宋"/>
          <w:b w:val="0"/>
          <w:bCs/>
          <w:color w:val="000000"/>
          <w:sz w:val="32"/>
          <w:szCs w:val="32"/>
        </w:rPr>
      </w:pPr>
      <w:r>
        <w:rPr>
          <w:rStyle w:val="10"/>
          <w:rFonts w:hint="eastAsia" w:ascii="仿宋" w:hAnsi="仿宋" w:eastAsia="仿宋"/>
          <w:bCs/>
          <w:color w:val="000000"/>
          <w:sz w:val="32"/>
          <w:szCs w:val="32"/>
        </w:rPr>
        <w:t>6</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社会保障和就业（类）就业补助（款）公益性岗位补贴（项）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支出决算为25.4万元。</w:t>
      </w:r>
      <w:r>
        <w:rPr>
          <w:rStyle w:val="10"/>
          <w:rFonts w:hint="eastAsia" w:ascii="仿宋" w:hAnsi="仿宋" w:eastAsia="仿宋"/>
          <w:color w:val="000000"/>
          <w:sz w:val="32"/>
          <w:szCs w:val="32"/>
        </w:rPr>
        <w:t>社会保险补贴（项）：</w:t>
      </w:r>
      <w:r>
        <w:rPr>
          <w:rStyle w:val="10"/>
          <w:rFonts w:hint="eastAsia" w:ascii="仿宋" w:hAnsi="仿宋" w:eastAsia="仿宋"/>
          <w:b w:val="0"/>
          <w:bCs/>
          <w:color w:val="000000"/>
          <w:sz w:val="32"/>
          <w:szCs w:val="32"/>
        </w:rPr>
        <w:t>支出决算数为0.99万元</w:t>
      </w:r>
      <w:r>
        <w:rPr>
          <w:rFonts w:hint="eastAsia" w:ascii="仿宋" w:hAnsi="仿宋" w:eastAsia="仿宋"/>
          <w:bCs/>
          <w:color w:val="000000"/>
          <w:sz w:val="32"/>
          <w:szCs w:val="32"/>
        </w:rPr>
        <w:t>；</w:t>
      </w:r>
      <w:r>
        <w:rPr>
          <w:rStyle w:val="10"/>
          <w:rFonts w:hint="eastAsia" w:ascii="仿宋" w:hAnsi="仿宋" w:eastAsia="仿宋"/>
          <w:color w:val="000000"/>
          <w:sz w:val="32"/>
          <w:szCs w:val="32"/>
        </w:rPr>
        <w:t>其他就业补助支出（项）：</w:t>
      </w:r>
      <w:r>
        <w:rPr>
          <w:rStyle w:val="10"/>
          <w:rFonts w:hint="eastAsia" w:ascii="仿宋" w:hAnsi="仿宋" w:eastAsia="仿宋"/>
          <w:b w:val="0"/>
          <w:bCs/>
          <w:color w:val="000000"/>
          <w:sz w:val="32"/>
          <w:szCs w:val="32"/>
        </w:rPr>
        <w:t>支出决算数为9万元，完成预算的</w:t>
      </w:r>
      <w:r>
        <w:rPr>
          <w:rFonts w:hint="eastAsia" w:ascii="仿宋" w:hAnsi="仿宋" w:eastAsia="仿宋"/>
          <w:bCs/>
          <w:color w:val="000000"/>
          <w:sz w:val="32"/>
          <w:szCs w:val="32"/>
        </w:rPr>
        <w:t>100%</w:t>
      </w:r>
      <w:r>
        <w:t>。</w:t>
      </w:r>
    </w:p>
    <w:p>
      <w:pPr>
        <w:spacing w:line="600" w:lineRule="exact"/>
        <w:ind w:firstLine="643" w:firstLineChars="200"/>
        <w:rPr>
          <w:rStyle w:val="10"/>
          <w:rFonts w:ascii="仿宋" w:hAnsi="仿宋" w:eastAsia="仿宋"/>
          <w:b w:val="0"/>
          <w:bCs/>
          <w:color w:val="000000"/>
          <w:sz w:val="32"/>
          <w:szCs w:val="32"/>
        </w:rPr>
      </w:pPr>
      <w:r>
        <w:rPr>
          <w:rStyle w:val="10"/>
          <w:rFonts w:hint="eastAsia" w:ascii="仿宋" w:hAnsi="仿宋" w:eastAsia="仿宋"/>
          <w:bCs/>
          <w:color w:val="000000"/>
          <w:sz w:val="32"/>
          <w:szCs w:val="32"/>
        </w:rPr>
        <w:t>7</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卫生健康（类）行政事业单位医疗（款）行政单位医疗（项）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支出决算为25.39万元；</w:t>
      </w:r>
      <w:r>
        <w:rPr>
          <w:rStyle w:val="10"/>
          <w:rFonts w:hint="eastAsia" w:ascii="仿宋" w:hAnsi="仿宋" w:eastAsia="仿宋"/>
          <w:bCs/>
          <w:color w:val="000000"/>
          <w:sz w:val="32"/>
          <w:szCs w:val="32"/>
        </w:rPr>
        <w:t>事业单位医疗（项）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支出决算为26.89万元；</w:t>
      </w:r>
      <w:r>
        <w:rPr>
          <w:rStyle w:val="10"/>
          <w:rFonts w:hint="eastAsia" w:ascii="仿宋" w:hAnsi="仿宋" w:eastAsia="仿宋"/>
          <w:bCs/>
          <w:color w:val="000000"/>
          <w:sz w:val="32"/>
          <w:szCs w:val="32"/>
        </w:rPr>
        <w:t>公务员医疗补助（项）：</w:t>
      </w:r>
      <w:r>
        <w:rPr>
          <w:rStyle w:val="10"/>
          <w:rFonts w:hint="eastAsia" w:ascii="仿宋" w:hAnsi="仿宋" w:eastAsia="仿宋"/>
          <w:b w:val="0"/>
          <w:bCs/>
          <w:color w:val="000000"/>
          <w:sz w:val="32"/>
          <w:szCs w:val="32"/>
        </w:rPr>
        <w:t>支出决算为5.17万元，完成预算的</w:t>
      </w:r>
      <w:r>
        <w:rPr>
          <w:rFonts w:hint="eastAsia" w:ascii="仿宋" w:hAnsi="仿宋" w:eastAsia="仿宋"/>
          <w:bCs/>
          <w:color w:val="000000"/>
          <w:sz w:val="32"/>
          <w:szCs w:val="32"/>
        </w:rPr>
        <w:t>100%</w:t>
      </w:r>
      <w:r>
        <w:rPr>
          <w:rStyle w:val="10"/>
          <w:rFonts w:hint="eastAsia" w:ascii="仿宋" w:hAnsi="仿宋" w:eastAsia="仿宋"/>
          <w:b w:val="0"/>
          <w:bCs/>
          <w:color w:val="000000"/>
          <w:sz w:val="32"/>
          <w:szCs w:val="32"/>
        </w:rPr>
        <w:t>。</w:t>
      </w:r>
    </w:p>
    <w:p>
      <w:pPr>
        <w:spacing w:line="600" w:lineRule="exact"/>
        <w:ind w:firstLine="643" w:firstLineChars="200"/>
        <w:rPr>
          <w:rStyle w:val="10"/>
          <w:rFonts w:ascii="仿宋" w:hAnsi="仿宋" w:eastAsia="仿宋"/>
          <w:b w:val="0"/>
          <w:bCs/>
          <w:color w:val="000000"/>
          <w:sz w:val="32"/>
          <w:szCs w:val="32"/>
        </w:rPr>
      </w:pPr>
      <w:r>
        <w:rPr>
          <w:rStyle w:val="10"/>
          <w:rFonts w:hint="eastAsia" w:ascii="仿宋" w:hAnsi="仿宋" w:eastAsia="仿宋"/>
          <w:bCs/>
          <w:color w:val="000000"/>
          <w:sz w:val="32"/>
          <w:szCs w:val="32"/>
        </w:rPr>
        <w:t>8</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节能环保（类）天然林保护（款）森林管护（项）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支出决算为0.45万元，完成预算的</w:t>
      </w:r>
      <w:r>
        <w:rPr>
          <w:rFonts w:hint="eastAsia" w:ascii="仿宋" w:hAnsi="仿宋" w:eastAsia="仿宋"/>
          <w:bCs/>
          <w:color w:val="000000"/>
          <w:sz w:val="32"/>
          <w:szCs w:val="32"/>
        </w:rPr>
        <w:t>100%。</w:t>
      </w:r>
    </w:p>
    <w:p>
      <w:pPr>
        <w:spacing w:line="600" w:lineRule="exact"/>
        <w:ind w:firstLine="643" w:firstLineChars="200"/>
        <w:rPr>
          <w:rStyle w:val="10"/>
          <w:rFonts w:ascii="仿宋" w:hAnsi="仿宋" w:eastAsia="仿宋"/>
          <w:b w:val="0"/>
          <w:bCs/>
          <w:color w:val="000000"/>
          <w:sz w:val="32"/>
          <w:szCs w:val="32"/>
        </w:rPr>
      </w:pPr>
      <w:r>
        <w:rPr>
          <w:rStyle w:val="10"/>
          <w:rFonts w:hint="eastAsia" w:ascii="仿宋" w:hAnsi="仿宋" w:eastAsia="仿宋"/>
          <w:bCs/>
          <w:color w:val="000000"/>
          <w:sz w:val="32"/>
          <w:szCs w:val="32"/>
        </w:rPr>
        <w:t>9</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城乡社区（类）其他城乡社区支出（款）其他城乡社区支出（项）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支出决算为250万元，完成</w:t>
      </w:r>
      <w:r>
        <w:rPr>
          <w:rStyle w:val="10"/>
          <w:rFonts w:hint="eastAsia" w:ascii="仿宋" w:hAnsi="仿宋" w:eastAsia="仿宋"/>
          <w:b w:val="0"/>
          <w:bCs/>
          <w:color w:val="000000"/>
          <w:sz w:val="32"/>
          <w:szCs w:val="32"/>
          <w:lang w:eastAsia="zh-CN"/>
        </w:rPr>
        <w:t>预算的100%</w:t>
      </w:r>
      <w:r>
        <w:rPr>
          <w:rStyle w:val="10"/>
          <w:rFonts w:hint="eastAsia" w:ascii="仿宋" w:hAnsi="仿宋" w:eastAsia="仿宋"/>
          <w:b w:val="0"/>
          <w:bCs/>
          <w:color w:val="000000"/>
          <w:sz w:val="32"/>
          <w:szCs w:val="32"/>
        </w:rPr>
        <w:t>。</w:t>
      </w:r>
    </w:p>
    <w:p>
      <w:pPr>
        <w:spacing w:line="600" w:lineRule="exact"/>
        <w:ind w:firstLine="643" w:firstLineChars="200"/>
        <w:rPr>
          <w:rStyle w:val="10"/>
          <w:rFonts w:ascii="仿宋" w:hAnsi="仿宋" w:eastAsia="仿宋"/>
          <w:b w:val="0"/>
          <w:bCs/>
          <w:color w:val="000000"/>
          <w:sz w:val="32"/>
          <w:szCs w:val="32"/>
        </w:rPr>
      </w:pPr>
      <w:r>
        <w:rPr>
          <w:rStyle w:val="10"/>
          <w:rFonts w:ascii="仿宋" w:hAnsi="仿宋" w:eastAsia="仿宋"/>
          <w:bCs/>
          <w:color w:val="000000"/>
          <w:sz w:val="32"/>
          <w:szCs w:val="32"/>
        </w:rPr>
        <w:t>1</w:t>
      </w:r>
      <w:r>
        <w:rPr>
          <w:rStyle w:val="10"/>
          <w:rFonts w:hint="eastAsia" w:ascii="仿宋" w:hAnsi="仿宋" w:eastAsia="仿宋"/>
          <w:bCs/>
          <w:color w:val="000000"/>
          <w:sz w:val="32"/>
          <w:szCs w:val="32"/>
        </w:rPr>
        <w:t>0</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农林水（类）扶贫（款）农村基础设施建设（项）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支出决算为609.19万元；</w:t>
      </w:r>
      <w:r>
        <w:rPr>
          <w:rStyle w:val="10"/>
          <w:rFonts w:hint="eastAsia" w:ascii="仿宋" w:hAnsi="仿宋" w:eastAsia="仿宋"/>
          <w:color w:val="000000"/>
          <w:sz w:val="32"/>
          <w:szCs w:val="32"/>
        </w:rPr>
        <w:t>生产发展（项）：</w:t>
      </w:r>
      <w:r>
        <w:rPr>
          <w:rStyle w:val="10"/>
          <w:rFonts w:hint="eastAsia" w:ascii="仿宋" w:hAnsi="仿宋" w:eastAsia="仿宋"/>
          <w:b w:val="0"/>
          <w:bCs/>
          <w:color w:val="000000"/>
          <w:sz w:val="32"/>
          <w:szCs w:val="32"/>
        </w:rPr>
        <w:t>支出决算为79.61万元；</w:t>
      </w:r>
      <w:r>
        <w:rPr>
          <w:rStyle w:val="10"/>
          <w:rFonts w:hint="eastAsia" w:ascii="仿宋" w:hAnsi="仿宋" w:eastAsia="仿宋"/>
          <w:color w:val="000000"/>
          <w:sz w:val="32"/>
          <w:szCs w:val="32"/>
        </w:rPr>
        <w:t>扶贫贷款奖补和贴息（项）：</w:t>
      </w:r>
      <w:r>
        <w:rPr>
          <w:rStyle w:val="10"/>
          <w:rFonts w:hint="eastAsia" w:ascii="仿宋" w:hAnsi="仿宋" w:eastAsia="仿宋"/>
          <w:b w:val="0"/>
          <w:bCs/>
          <w:color w:val="000000"/>
          <w:sz w:val="32"/>
          <w:szCs w:val="32"/>
        </w:rPr>
        <w:t>支出决算为0.061万元；</w:t>
      </w:r>
      <w:r>
        <w:rPr>
          <w:rStyle w:val="10"/>
          <w:rFonts w:hint="eastAsia" w:ascii="仿宋" w:hAnsi="仿宋" w:eastAsia="仿宋"/>
          <w:color w:val="000000"/>
          <w:sz w:val="32"/>
          <w:szCs w:val="32"/>
        </w:rPr>
        <w:t>其他扶贫支出（项）：</w:t>
      </w:r>
      <w:r>
        <w:rPr>
          <w:rStyle w:val="10"/>
          <w:rFonts w:hint="eastAsia" w:ascii="仿宋" w:hAnsi="仿宋" w:eastAsia="仿宋"/>
          <w:b w:val="0"/>
          <w:bCs/>
          <w:color w:val="000000"/>
          <w:sz w:val="32"/>
          <w:szCs w:val="32"/>
        </w:rPr>
        <w:t>支出决算为42.58万元，完成预算的</w:t>
      </w:r>
      <w:r>
        <w:rPr>
          <w:rFonts w:hint="eastAsia" w:ascii="仿宋" w:hAnsi="仿宋" w:eastAsia="仿宋"/>
          <w:bCs/>
          <w:color w:val="000000"/>
          <w:sz w:val="32"/>
          <w:szCs w:val="32"/>
        </w:rPr>
        <w:t>100%</w:t>
      </w:r>
      <w:r>
        <w:rPr>
          <w:rStyle w:val="10"/>
          <w:rFonts w:hint="eastAsia" w:ascii="仿宋" w:hAnsi="仿宋" w:eastAsia="仿宋"/>
          <w:b w:val="0"/>
          <w:bCs/>
          <w:color w:val="000000"/>
          <w:sz w:val="32"/>
          <w:szCs w:val="32"/>
        </w:rPr>
        <w:t>。</w:t>
      </w:r>
    </w:p>
    <w:p>
      <w:pPr>
        <w:spacing w:line="600" w:lineRule="exact"/>
        <w:ind w:firstLine="643" w:firstLineChars="200"/>
        <w:rPr>
          <w:rStyle w:val="10"/>
          <w:rFonts w:ascii="仿宋" w:hAnsi="仿宋" w:eastAsia="仿宋"/>
          <w:b w:val="0"/>
          <w:bCs/>
          <w:color w:val="000000"/>
          <w:sz w:val="32"/>
          <w:szCs w:val="32"/>
        </w:rPr>
      </w:pPr>
      <w:r>
        <w:rPr>
          <w:rStyle w:val="10"/>
          <w:rFonts w:hint="eastAsia" w:ascii="仿宋" w:hAnsi="仿宋" w:eastAsia="仿宋"/>
          <w:bCs/>
          <w:color w:val="000000"/>
          <w:sz w:val="32"/>
          <w:szCs w:val="32"/>
        </w:rPr>
        <w:t>11</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农林水（类）农村综合改革（款）对村民委员会和村党支部</w:t>
      </w:r>
      <w:r>
        <w:rPr>
          <w:rFonts w:hint="eastAsia" w:ascii="仿宋" w:hAnsi="仿宋" w:eastAsia="仿宋"/>
          <w:bCs/>
          <w:color w:val="000000"/>
          <w:sz w:val="32"/>
          <w:szCs w:val="32"/>
        </w:rPr>
        <w:t>的补助（项）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支出决算为339.91万元</w:t>
      </w:r>
      <w:r>
        <w:t>；</w:t>
      </w:r>
      <w:r>
        <w:rPr>
          <w:rStyle w:val="10"/>
          <w:rFonts w:hint="eastAsia" w:ascii="仿宋" w:hAnsi="仿宋" w:eastAsia="仿宋"/>
          <w:color w:val="000000"/>
          <w:sz w:val="32"/>
          <w:szCs w:val="32"/>
        </w:rPr>
        <w:t>对村集体经济组织的补助（项）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支出决算为20万元，完成</w:t>
      </w:r>
      <w:r>
        <w:rPr>
          <w:rStyle w:val="10"/>
          <w:rFonts w:hint="eastAsia" w:ascii="仿宋" w:hAnsi="仿宋" w:eastAsia="仿宋"/>
          <w:b w:val="0"/>
          <w:bCs/>
          <w:color w:val="000000"/>
          <w:sz w:val="32"/>
          <w:szCs w:val="32"/>
          <w:lang w:eastAsia="zh-CN"/>
        </w:rPr>
        <w:t>预算的100%</w:t>
      </w:r>
      <w:r>
        <w:rPr>
          <w:rStyle w:val="10"/>
          <w:rFonts w:hint="eastAsia" w:ascii="仿宋" w:hAnsi="仿宋" w:eastAsia="仿宋"/>
          <w:b w:val="0"/>
          <w:bCs/>
          <w:color w:val="000000"/>
          <w:sz w:val="32"/>
          <w:szCs w:val="32"/>
        </w:rPr>
        <w:t>。</w:t>
      </w:r>
      <w:r>
        <w:commentReference w:id="0"/>
      </w:r>
    </w:p>
    <w:p>
      <w:pPr>
        <w:spacing w:line="600" w:lineRule="exact"/>
        <w:ind w:firstLine="643" w:firstLineChars="200"/>
        <w:rPr>
          <w:rStyle w:val="10"/>
          <w:rFonts w:ascii="仿宋" w:hAnsi="仿宋" w:eastAsia="仿宋"/>
          <w:b w:val="0"/>
          <w:bCs/>
          <w:color w:val="000000"/>
          <w:sz w:val="32"/>
          <w:szCs w:val="32"/>
        </w:rPr>
      </w:pPr>
      <w:r>
        <w:rPr>
          <w:rStyle w:val="10"/>
          <w:rFonts w:hint="eastAsia" w:ascii="仿宋" w:hAnsi="仿宋" w:eastAsia="仿宋"/>
          <w:bCs/>
          <w:color w:val="000000"/>
          <w:sz w:val="32"/>
          <w:szCs w:val="32"/>
        </w:rPr>
        <w:t>12.商业服务业（类）商业流通事务（款）其他商业流通事务支出（项）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支出决算为8.9万元，完成</w:t>
      </w:r>
      <w:r>
        <w:rPr>
          <w:rStyle w:val="10"/>
          <w:rFonts w:hint="eastAsia" w:ascii="仿宋" w:hAnsi="仿宋" w:eastAsia="仿宋"/>
          <w:b w:val="0"/>
          <w:bCs/>
          <w:color w:val="000000"/>
          <w:sz w:val="32"/>
          <w:szCs w:val="32"/>
          <w:lang w:eastAsia="zh-CN"/>
        </w:rPr>
        <w:t>预算的100%</w:t>
      </w:r>
      <w:r>
        <w:rPr>
          <w:rStyle w:val="10"/>
          <w:rFonts w:hint="eastAsia" w:ascii="仿宋" w:hAnsi="仿宋" w:eastAsia="仿宋"/>
          <w:b w:val="0"/>
          <w:bCs/>
          <w:color w:val="000000"/>
          <w:sz w:val="32"/>
          <w:szCs w:val="32"/>
        </w:rPr>
        <w:t>。</w:t>
      </w:r>
    </w:p>
    <w:p>
      <w:pPr>
        <w:spacing w:line="600" w:lineRule="exact"/>
        <w:ind w:firstLine="643" w:firstLineChars="200"/>
        <w:rPr>
          <w:rStyle w:val="10"/>
          <w:rFonts w:ascii="仿宋" w:hAnsi="仿宋" w:eastAsia="仿宋"/>
          <w:b w:val="0"/>
          <w:bCs/>
          <w:color w:val="000000"/>
          <w:sz w:val="32"/>
          <w:szCs w:val="32"/>
        </w:rPr>
      </w:pPr>
      <w:r>
        <w:rPr>
          <w:rStyle w:val="10"/>
          <w:rFonts w:hint="eastAsia" w:ascii="仿宋" w:hAnsi="仿宋" w:eastAsia="仿宋"/>
          <w:bCs/>
          <w:color w:val="000000"/>
          <w:sz w:val="32"/>
          <w:szCs w:val="32"/>
        </w:rPr>
        <w:t>13.住房保障（类）保障性安居工程支出（款）其他保障性安居工程支出（项）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支出决算为585万元，完成</w:t>
      </w:r>
      <w:r>
        <w:rPr>
          <w:rStyle w:val="10"/>
          <w:rFonts w:hint="eastAsia" w:ascii="仿宋" w:hAnsi="仿宋" w:eastAsia="仿宋"/>
          <w:b w:val="0"/>
          <w:bCs/>
          <w:color w:val="000000"/>
          <w:sz w:val="32"/>
          <w:szCs w:val="32"/>
          <w:lang w:eastAsia="zh-CN"/>
        </w:rPr>
        <w:t>预算的100%</w:t>
      </w:r>
      <w:r>
        <w:rPr>
          <w:rStyle w:val="10"/>
          <w:rFonts w:hint="eastAsia" w:ascii="仿宋" w:hAnsi="仿宋" w:eastAsia="仿宋"/>
          <w:b w:val="0"/>
          <w:bCs/>
          <w:color w:val="000000"/>
          <w:sz w:val="32"/>
          <w:szCs w:val="32"/>
        </w:rPr>
        <w:t>。</w:t>
      </w:r>
    </w:p>
    <w:p>
      <w:pPr>
        <w:spacing w:line="600" w:lineRule="exact"/>
        <w:ind w:firstLine="643" w:firstLineChars="200"/>
        <w:rPr>
          <w:rStyle w:val="10"/>
          <w:rFonts w:ascii="仿宋" w:hAnsi="仿宋" w:eastAsia="仿宋"/>
          <w:b w:val="0"/>
          <w:bCs/>
          <w:color w:val="000000"/>
          <w:sz w:val="32"/>
          <w:szCs w:val="32"/>
        </w:rPr>
      </w:pPr>
      <w:r>
        <w:rPr>
          <w:rStyle w:val="10"/>
          <w:rFonts w:hint="eastAsia" w:ascii="仿宋" w:hAnsi="仿宋" w:eastAsia="仿宋"/>
          <w:bCs/>
          <w:color w:val="000000"/>
          <w:sz w:val="32"/>
          <w:szCs w:val="32"/>
        </w:rPr>
        <w:t>14.住房保障（类）住房改革支出（款）住房公积金（项）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支出决算为65.04万元，完成</w:t>
      </w:r>
      <w:r>
        <w:rPr>
          <w:rStyle w:val="10"/>
          <w:rFonts w:hint="eastAsia" w:ascii="仿宋" w:hAnsi="仿宋" w:eastAsia="仿宋"/>
          <w:b w:val="0"/>
          <w:bCs/>
          <w:color w:val="000000"/>
          <w:sz w:val="32"/>
          <w:szCs w:val="32"/>
          <w:lang w:eastAsia="zh-CN"/>
        </w:rPr>
        <w:t>预算的100%</w:t>
      </w:r>
      <w:r>
        <w:rPr>
          <w:rStyle w:val="10"/>
          <w:rFonts w:hint="eastAsia" w:ascii="仿宋" w:hAnsi="仿宋" w:eastAsia="仿宋"/>
          <w:b w:val="0"/>
          <w:bCs/>
          <w:color w:val="000000"/>
          <w:sz w:val="32"/>
          <w:szCs w:val="32"/>
        </w:rPr>
        <w:t>。</w:t>
      </w:r>
    </w:p>
    <w:p>
      <w:pPr>
        <w:tabs>
          <w:tab w:val="right" w:pos="8306"/>
        </w:tabs>
        <w:spacing w:line="600" w:lineRule="exact"/>
        <w:ind w:firstLine="640" w:firstLineChars="200"/>
        <w:outlineLvl w:val="1"/>
        <w:rPr>
          <w:rStyle w:val="30"/>
        </w:rPr>
      </w:pPr>
      <w:bookmarkStart w:id="40" w:name="_Toc15377214"/>
      <w:bookmarkStart w:id="41" w:name="_Toc15396608"/>
      <w:bookmarkStart w:id="42" w:name="_Toc27835"/>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w:t>
      </w:r>
      <w:r>
        <w:rPr>
          <w:rFonts w:hint="eastAsia" w:ascii="黑体" w:hAnsi="黑体" w:eastAsia="黑体"/>
          <w:sz w:val="32"/>
          <w:szCs w:val="32"/>
        </w:rPr>
        <w:t>财政拨款基本支出决算情况说明</w:t>
      </w:r>
      <w:bookmarkEnd w:id="40"/>
      <w:bookmarkEnd w:id="41"/>
      <w:bookmarkEnd w:id="42"/>
      <w:r>
        <w:rPr>
          <w:rStyle w:val="3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21年一般公共预算财政拨款基本支出1410.01万元，其中：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人员经费1237.74</w:t>
      </w:r>
      <w:r>
        <w:rPr>
          <w:rFonts w:ascii="仿宋" w:hAnsi="仿宋" w:eastAsia="仿宋"/>
          <w:sz w:val="32"/>
          <w:szCs w:val="32"/>
        </w:rPr>
        <w:t>**</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　　公用经费172.27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服务费等。</w:t>
      </w:r>
    </w:p>
    <w:p>
      <w:pPr>
        <w:spacing w:line="600" w:lineRule="exact"/>
        <w:ind w:firstLine="320" w:firstLineChars="100"/>
        <w:outlineLvl w:val="1"/>
        <w:rPr>
          <w:rStyle w:val="30"/>
          <w:rFonts w:ascii="黑体" w:hAnsi="黑体" w:eastAsia="黑体"/>
          <w:b w:val="0"/>
        </w:rPr>
      </w:pPr>
      <w:bookmarkStart w:id="43" w:name="_Toc22564"/>
      <w:bookmarkStart w:id="44" w:name="_Toc15396609"/>
      <w:bookmarkStart w:id="45" w:name="_Toc15377215"/>
      <w:r>
        <w:rPr>
          <w:rFonts w:hint="eastAsia" w:ascii="黑体" w:eastAsia="黑体"/>
          <w:sz w:val="32"/>
          <w:szCs w:val="32"/>
        </w:rPr>
        <w:t>七、</w:t>
      </w:r>
      <w:r>
        <w:rPr>
          <w:rStyle w:val="30"/>
          <w:rFonts w:hint="eastAsia" w:ascii="黑体" w:hAnsi="黑体" w:eastAsia="黑体"/>
        </w:rPr>
        <w:t>“</w:t>
      </w:r>
      <w:r>
        <w:rPr>
          <w:rStyle w:val="30"/>
          <w:rFonts w:hint="eastAsia" w:ascii="黑体" w:hAnsi="黑体" w:eastAsia="黑体"/>
          <w:b w:val="0"/>
        </w:rPr>
        <w:t>三公”经费财政拨款支出决算情况说明</w:t>
      </w:r>
      <w:bookmarkEnd w:id="43"/>
      <w:bookmarkEnd w:id="44"/>
      <w:bookmarkEnd w:id="45"/>
    </w:p>
    <w:p>
      <w:pPr>
        <w:spacing w:line="600" w:lineRule="exact"/>
        <w:ind w:firstLine="640"/>
        <w:outlineLvl w:val="2"/>
        <w:rPr>
          <w:rFonts w:ascii="仿宋" w:hAnsi="仿宋" w:eastAsia="仿宋"/>
          <w:b/>
          <w:sz w:val="32"/>
          <w:szCs w:val="32"/>
        </w:rPr>
      </w:pPr>
      <w:bookmarkStart w:id="46" w:name="_Toc15377216"/>
      <w:r>
        <w:rPr>
          <w:rFonts w:hint="eastAsia" w:ascii="仿宋" w:hAnsi="仿宋" w:eastAsia="仿宋"/>
          <w:b/>
          <w:sz w:val="32"/>
          <w:szCs w:val="32"/>
        </w:rPr>
        <w:t>（一）“三公”经费财政拨款支出决算总体情况说明</w:t>
      </w:r>
      <w:bookmarkEnd w:id="46"/>
    </w:p>
    <w:p>
      <w:pPr>
        <w:spacing w:line="600" w:lineRule="exact"/>
        <w:ind w:firstLine="640"/>
        <w:rPr>
          <w:rFonts w:ascii="仿宋" w:hAnsi="仿宋" w:eastAsia="仿宋"/>
          <w:sz w:val="32"/>
          <w:szCs w:val="32"/>
        </w:rPr>
      </w:pPr>
      <w:bookmarkStart w:id="47" w:name="_Toc15377217"/>
      <w:r>
        <w:rPr>
          <w:rFonts w:ascii="仿宋" w:hAnsi="仿宋" w:eastAsia="仿宋"/>
          <w:sz w:val="32"/>
          <w:szCs w:val="32"/>
        </w:rPr>
        <w:t>20</w:t>
      </w:r>
      <w:r>
        <w:rPr>
          <w:rFonts w:hint="eastAsia" w:ascii="仿宋" w:hAnsi="仿宋" w:eastAsia="仿宋"/>
          <w:sz w:val="32"/>
          <w:szCs w:val="32"/>
        </w:rPr>
        <w:t>21年“三公”经费财政拨款支出决算为5.5万元，完成预算的100%。</w:t>
      </w:r>
    </w:p>
    <w:p>
      <w:pPr>
        <w:spacing w:line="600" w:lineRule="exact"/>
        <w:ind w:firstLine="640"/>
        <w:outlineLvl w:val="2"/>
        <w:rPr>
          <w:rFonts w:ascii="仿宋" w:hAnsi="仿宋" w:eastAsia="仿宋"/>
          <w:b/>
          <w:sz w:val="32"/>
          <w:szCs w:val="32"/>
        </w:rPr>
      </w:pPr>
      <w:r>
        <w:rPr>
          <w:rFonts w:hint="eastAsia" w:ascii="仿宋" w:hAnsi="仿宋" w:eastAsia="仿宋"/>
          <w:b/>
          <w:sz w:val="32"/>
          <w:szCs w:val="32"/>
        </w:rPr>
        <w:t>（二）“三公”经费财政拨款支出决算具体情况说明</w:t>
      </w:r>
      <w:bookmarkEnd w:id="4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21年“三公”经费财政拨款支出决算中，因公出国（境）费支出决算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；公务用车购置及运行维护费支出决算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；公务接待费支出决算5.5万元，占比</w:t>
      </w:r>
      <w:r>
        <w:rPr>
          <w:rFonts w:ascii="仿宋" w:hAnsi="仿宋" w:eastAsia="仿宋"/>
          <w:color w:val="000000"/>
          <w:sz w:val="32"/>
          <w:szCs w:val="32"/>
        </w:rPr>
        <w:t>100%</w:t>
      </w:r>
      <w:r>
        <w:rPr>
          <w:rFonts w:hint="eastAsia" w:ascii="仿宋" w:hAnsi="仿宋" w:eastAsia="仿宋"/>
          <w:color w:val="000000"/>
          <w:sz w:val="32"/>
          <w:szCs w:val="32"/>
        </w:rPr>
        <w:t>。具体情况如下：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pStyle w:val="36"/>
        <w:ind w:firstLine="0" w:firstLineChars="0"/>
        <w:rPr>
          <w:rFonts w:ascii="仿宋" w:hAnsi="仿宋" w:eastAsia="仿宋"/>
          <w:szCs w:val="32"/>
        </w:rPr>
      </w:pPr>
      <w:r>
        <w:rPr>
          <w:rFonts w:hint="eastAsia" w:ascii="仿宋" w:hAnsi="仿宋" w:eastAsia="仿宋" w:cs="仿宋"/>
          <w:szCs w:val="32"/>
        </w:rPr>
        <w:drawing>
          <wp:anchor distT="0" distB="0" distL="114300" distR="114300" simplePos="0" relativeHeight="251665408" behindDoc="1" locked="0" layoutInCell="1" allowOverlap="1">
            <wp:simplePos x="0" y="0"/>
            <wp:positionH relativeFrom="column">
              <wp:posOffset>377825</wp:posOffset>
            </wp:positionH>
            <wp:positionV relativeFrom="paragraph">
              <wp:posOffset>121285</wp:posOffset>
            </wp:positionV>
            <wp:extent cx="4199255" cy="2162810"/>
            <wp:effectExtent l="4445" t="4445" r="6350" b="23495"/>
            <wp:wrapTight wrapText="bothSides">
              <wp:wrapPolygon>
                <wp:start x="-23" y="-44"/>
                <wp:lineTo x="-23" y="21454"/>
                <wp:lineTo x="21535" y="21454"/>
                <wp:lineTo x="21535" y="-44"/>
                <wp:lineTo x="-23" y="-44"/>
              </wp:wrapPolygon>
            </wp:wrapTight>
            <wp:docPr id="220" name="_x0000_s149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pStyle w:val="36"/>
        <w:ind w:firstLine="640"/>
        <w:rPr>
          <w:rFonts w:ascii="仿宋" w:hAnsi="仿宋" w:eastAsia="仿宋"/>
          <w:szCs w:val="32"/>
        </w:rPr>
      </w:pPr>
    </w:p>
    <w:p>
      <w:pPr>
        <w:spacing w:line="600" w:lineRule="exact"/>
        <w:ind w:firstLine="640"/>
        <w:rPr>
          <w:rFonts w:ascii="仿宋_GB2312" w:eastAsia="仿宋_GB2312"/>
          <w:b/>
          <w:sz w:val="32"/>
          <w:szCs w:val="32"/>
        </w:rPr>
      </w:pPr>
    </w:p>
    <w:p>
      <w:pPr>
        <w:spacing w:line="600" w:lineRule="exact"/>
        <w:ind w:firstLine="643" w:firstLineChars="200"/>
        <w:rPr>
          <w:rFonts w:ascii="仿宋_GB2312" w:eastAsia="仿宋_GB2312"/>
          <w:b/>
          <w:color w:val="000000"/>
          <w:sz w:val="32"/>
          <w:szCs w:val="32"/>
        </w:rPr>
      </w:pPr>
      <w:bookmarkStart w:id="48" w:name="_Toc15396610"/>
      <w:bookmarkStart w:id="49" w:name="_Toc15377218"/>
    </w:p>
    <w:p>
      <w:pPr>
        <w:spacing w:line="600" w:lineRule="exact"/>
        <w:ind w:firstLine="643" w:firstLineChars="200"/>
        <w:rPr>
          <w:rFonts w:ascii="仿宋_GB2312" w:eastAsia="仿宋_GB2312"/>
          <w:b/>
          <w:color w:val="000000"/>
          <w:sz w:val="32"/>
          <w:szCs w:val="32"/>
        </w:rPr>
      </w:pPr>
    </w:p>
    <w:p>
      <w:pPr>
        <w:spacing w:line="600" w:lineRule="exact"/>
        <w:ind w:firstLine="643" w:firstLineChars="200"/>
        <w:rPr>
          <w:rFonts w:ascii="仿宋_GB2312" w:eastAsia="仿宋_GB2312"/>
          <w:b/>
          <w:color w:val="000000"/>
          <w:sz w:val="32"/>
          <w:szCs w:val="32"/>
        </w:rPr>
      </w:pPr>
    </w:p>
    <w:p>
      <w:pPr>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1.因公出国（境）经费支出</w:t>
      </w:r>
      <w:r>
        <w:rPr>
          <w:rFonts w:ascii="仿宋_GB2312" w:eastAsia="仿宋_GB2312"/>
          <w:color w:val="000000"/>
          <w:sz w:val="32"/>
          <w:szCs w:val="32"/>
        </w:rPr>
        <w:t>0</w:t>
      </w:r>
      <w:r>
        <w:rPr>
          <w:rFonts w:hint="eastAsia" w:ascii="仿宋_GB2312" w:eastAsia="仿宋_GB2312"/>
          <w:color w:val="000000"/>
          <w:sz w:val="32"/>
          <w:szCs w:val="32"/>
        </w:rPr>
        <w:t>万元，</w:t>
      </w:r>
      <w:r>
        <w:rPr>
          <w:rStyle w:val="10"/>
          <w:rFonts w:hint="eastAsia" w:ascii="仿宋" w:hAnsi="仿宋" w:eastAsia="仿宋"/>
          <w:b w:val="0"/>
          <w:bCs/>
          <w:color w:val="000000"/>
          <w:sz w:val="32"/>
          <w:szCs w:val="32"/>
        </w:rPr>
        <w:t>完成</w:t>
      </w:r>
      <w:r>
        <w:rPr>
          <w:rStyle w:val="10"/>
          <w:rFonts w:hint="eastAsia" w:ascii="仿宋" w:hAnsi="仿宋" w:eastAsia="仿宋"/>
          <w:b w:val="0"/>
          <w:bCs/>
          <w:color w:val="000000"/>
          <w:sz w:val="32"/>
          <w:szCs w:val="32"/>
          <w:u w:val="none" w:color="46CD7E"/>
          <w:shd w:val="clear" w:fill="auto"/>
          <w:lang w:eastAsia="zh-CN"/>
        </w:rPr>
        <w:t>预算的</w:t>
      </w:r>
      <w:r>
        <w:rPr>
          <w:rStyle w:val="10"/>
          <w:rFonts w:ascii="仿宋" w:hAnsi="仿宋" w:eastAsia="仿宋"/>
          <w:b w:val="0"/>
          <w:bCs/>
          <w:color w:val="000000"/>
          <w:sz w:val="32"/>
          <w:szCs w:val="32"/>
        </w:rPr>
        <w:t>0%</w:t>
      </w:r>
      <w:r>
        <w:rPr>
          <w:rStyle w:val="10"/>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ascii="仿宋_GB2312" w:eastAsia="仿宋_GB2312"/>
          <w:color w:val="000000"/>
          <w:sz w:val="32"/>
          <w:szCs w:val="32"/>
        </w:rPr>
        <w:t>0</w:t>
      </w:r>
      <w:r>
        <w:rPr>
          <w:rFonts w:hint="eastAsia" w:ascii="仿宋_GB2312" w:eastAsia="仿宋_GB2312"/>
          <w:color w:val="000000"/>
          <w:sz w:val="32"/>
          <w:szCs w:val="32"/>
        </w:rPr>
        <w:t>次，出国（境）</w:t>
      </w:r>
      <w:r>
        <w:rPr>
          <w:rFonts w:ascii="仿宋_GB2312" w:eastAsia="仿宋_GB2312"/>
          <w:color w:val="000000"/>
          <w:sz w:val="32"/>
          <w:szCs w:val="32"/>
        </w:rPr>
        <w:t>0</w:t>
      </w:r>
      <w:r>
        <w:rPr>
          <w:rFonts w:hint="eastAsia" w:ascii="仿宋_GB2312" w:eastAsia="仿宋_GB2312"/>
          <w:color w:val="000000"/>
          <w:sz w:val="32"/>
          <w:szCs w:val="32"/>
        </w:rPr>
        <w:t>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ascii="仿宋_GB2312" w:eastAsia="仿宋_GB2312"/>
          <w:color w:val="000000"/>
          <w:sz w:val="32"/>
          <w:szCs w:val="32"/>
        </w:rPr>
        <w:t>0</w:t>
      </w:r>
      <w:r>
        <w:rPr>
          <w:rFonts w:hint="eastAsia" w:ascii="仿宋_GB2312" w:eastAsia="仿宋_GB2312"/>
          <w:color w:val="000000"/>
          <w:sz w:val="32"/>
          <w:szCs w:val="32"/>
        </w:rPr>
        <w:t>万元</w:t>
      </w:r>
      <w:r>
        <w:t>，</w:t>
      </w:r>
      <w:r>
        <w:rPr>
          <w:rStyle w:val="10"/>
          <w:rFonts w:hint="eastAsia" w:ascii="仿宋" w:hAnsi="仿宋" w:eastAsia="仿宋"/>
          <w:b w:val="0"/>
          <w:bCs/>
          <w:color w:val="000000"/>
          <w:sz w:val="32"/>
          <w:szCs w:val="32"/>
        </w:rPr>
        <w:t>完成</w:t>
      </w:r>
      <w:r>
        <w:rPr>
          <w:rStyle w:val="10"/>
          <w:rFonts w:hint="eastAsia" w:ascii="仿宋" w:hAnsi="仿宋" w:eastAsia="仿宋"/>
          <w:b w:val="0"/>
          <w:bCs/>
          <w:color w:val="000000"/>
          <w:sz w:val="32"/>
          <w:szCs w:val="32"/>
          <w:u w:val="none" w:color="46CD7E"/>
          <w:shd w:val="clear" w:fill="auto"/>
          <w:lang w:eastAsia="zh-CN"/>
        </w:rPr>
        <w:t>预算的</w:t>
      </w:r>
      <w:r>
        <w:rPr>
          <w:rStyle w:val="10"/>
          <w:rFonts w:ascii="仿宋" w:hAnsi="仿宋" w:eastAsia="仿宋"/>
          <w:b w:val="0"/>
          <w:bCs/>
          <w:color w:val="000000"/>
          <w:sz w:val="32"/>
          <w:szCs w:val="32"/>
        </w:rPr>
        <w:t>0%</w:t>
      </w:r>
      <w:r>
        <w:rPr>
          <w:rStyle w:val="10"/>
          <w:rFonts w:hint="eastAsia" w:ascii="仿宋" w:hAnsi="仿宋" w:eastAsia="仿宋"/>
          <w:b w:val="0"/>
          <w:bCs/>
          <w:color w:val="000000"/>
          <w:sz w:val="32"/>
          <w:szCs w:val="32"/>
        </w:rPr>
        <w:t>。主</w:t>
      </w:r>
      <w:r>
        <w:rPr>
          <w:rFonts w:hint="eastAsia" w:ascii="仿宋" w:hAnsi="仿宋" w:eastAsia="仿宋"/>
          <w:bCs/>
          <w:color w:val="000000"/>
          <w:sz w:val="32"/>
          <w:szCs w:val="32"/>
        </w:rPr>
        <w:t>要原因是：我</w:t>
      </w:r>
      <w:r>
        <w:rPr>
          <w:rStyle w:val="10"/>
          <w:rFonts w:hint="eastAsia" w:ascii="仿宋" w:hAnsi="仿宋" w:eastAsia="仿宋"/>
          <w:b w:val="0"/>
          <w:bCs/>
          <w:color w:val="000000"/>
          <w:sz w:val="32"/>
          <w:szCs w:val="32"/>
        </w:rPr>
        <w:t>镇无公务用车，无相应开支。</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3.公务接待费支出</w:t>
      </w:r>
      <w:r>
        <w:rPr>
          <w:rFonts w:hint="eastAsia" w:ascii="仿宋_GB2312" w:eastAsia="仿宋_GB2312"/>
          <w:color w:val="000000"/>
          <w:sz w:val="32"/>
          <w:szCs w:val="32"/>
        </w:rPr>
        <w:t>5.5万元，完成预算的100%。公务接待费支出决算比2020年减少0.1万元，减少1.8%。主要原因是厉行节约，减少接待。</w:t>
      </w:r>
    </w:p>
    <w:p>
      <w:pPr>
        <w:spacing w:line="600" w:lineRule="exact"/>
        <w:ind w:firstLine="640"/>
        <w:outlineLvl w:val="1"/>
        <w:rPr>
          <w:rStyle w:val="30"/>
          <w:rFonts w:ascii="黑体" w:hAnsi="黑体" w:eastAsia="黑体"/>
        </w:rPr>
      </w:pPr>
      <w:bookmarkStart w:id="50" w:name="_Toc2249"/>
      <w:r>
        <w:rPr>
          <w:rFonts w:hint="eastAsia" w:ascii="黑体" w:eastAsia="黑体"/>
          <w:sz w:val="32"/>
          <w:szCs w:val="32"/>
        </w:rPr>
        <w:t>八、</w:t>
      </w:r>
      <w:r>
        <w:rPr>
          <w:rStyle w:val="30"/>
          <w:rFonts w:hint="eastAsia" w:ascii="黑体" w:hAnsi="黑体" w:eastAsia="黑体"/>
          <w:b w:val="0"/>
        </w:rPr>
        <w:t>政府性基金预算</w:t>
      </w:r>
      <w:r>
        <w:rPr>
          <w:rFonts w:hint="eastAsia" w:ascii="黑体" w:hAnsi="黑体" w:eastAsia="黑体"/>
          <w:sz w:val="32"/>
          <w:szCs w:val="32"/>
        </w:rPr>
        <w:t>支出决算情况说明</w:t>
      </w:r>
      <w:bookmarkEnd w:id="48"/>
      <w:bookmarkEnd w:id="49"/>
      <w:bookmarkEnd w:id="50"/>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21年政府性基金预算财政拨款支出35.73万元。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30"/>
          <w:rFonts w:ascii="黑体" w:hAnsi="黑体" w:eastAsia="黑体"/>
          <w:b w:val="0"/>
        </w:rPr>
      </w:pPr>
      <w:bookmarkStart w:id="51" w:name="_Toc5038"/>
      <w:bookmarkStart w:id="52" w:name="_Toc15377219"/>
      <w:bookmarkStart w:id="53" w:name="_Toc15396611"/>
      <w:r>
        <w:rPr>
          <w:rStyle w:val="30"/>
          <w:rFonts w:hint="eastAsia" w:ascii="黑体" w:hAnsi="黑体" w:eastAsia="黑体"/>
          <w:b w:val="0"/>
        </w:rPr>
        <w:t>国有资本经营预算</w:t>
      </w:r>
      <w:r>
        <w:rPr>
          <w:rFonts w:hint="eastAsia" w:ascii="黑体" w:hAnsi="黑体" w:eastAsia="黑体"/>
          <w:sz w:val="32"/>
          <w:szCs w:val="32"/>
        </w:rPr>
        <w:t>支出决算情况说明</w:t>
      </w:r>
      <w:bookmarkEnd w:id="51"/>
      <w:bookmarkEnd w:id="52"/>
      <w:bookmarkEnd w:id="5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3"/>
        </w:numPr>
        <w:spacing w:line="600" w:lineRule="exact"/>
        <w:ind w:firstLine="640"/>
        <w:outlineLvl w:val="1"/>
        <w:rPr>
          <w:rStyle w:val="30"/>
          <w:rFonts w:ascii="黑体" w:hAnsi="黑体" w:eastAsia="黑体"/>
          <w:b w:val="0"/>
        </w:rPr>
      </w:pPr>
      <w:bookmarkStart w:id="54" w:name="_Toc15396612"/>
      <w:bookmarkStart w:id="55" w:name="_Toc15377221"/>
      <w:bookmarkStart w:id="56" w:name="_Toc31794"/>
      <w:r>
        <w:rPr>
          <w:rStyle w:val="30"/>
          <w:rFonts w:hint="eastAsia" w:ascii="黑体" w:hAnsi="黑体" w:eastAsia="黑体"/>
          <w:b w:val="0"/>
        </w:rPr>
        <w:t>其他重要事项的情况说明</w:t>
      </w:r>
      <w:bookmarkEnd w:id="54"/>
      <w:bookmarkEnd w:id="55"/>
      <w:bookmarkEnd w:id="56"/>
    </w:p>
    <w:p>
      <w:pPr>
        <w:spacing w:line="600" w:lineRule="exact"/>
        <w:ind w:firstLine="643" w:firstLineChars="200"/>
        <w:outlineLvl w:val="2"/>
        <w:rPr>
          <w:rFonts w:ascii="仿宋" w:hAnsi="仿宋" w:eastAsia="仿宋"/>
          <w:sz w:val="32"/>
          <w:szCs w:val="32"/>
        </w:rPr>
      </w:pPr>
      <w:bookmarkStart w:id="57" w:name="_Toc15377222"/>
      <w:r>
        <w:rPr>
          <w:rFonts w:hint="eastAsia" w:ascii="仿宋" w:hAnsi="仿宋" w:eastAsia="仿宋"/>
          <w:b/>
          <w:sz w:val="32"/>
          <w:szCs w:val="32"/>
          <w:u w:val="thick" w:color="FFB03A"/>
          <w:shd w:val="clear" w:fill="FFEFD8"/>
        </w:rPr>
        <w:t>（一）</w:t>
      </w:r>
      <w:r>
        <w:rPr>
          <w:rFonts w:hint="eastAsia" w:ascii="仿宋" w:hAnsi="仿宋" w:eastAsia="仿宋"/>
          <w:b/>
          <w:sz w:val="32"/>
          <w:szCs w:val="32"/>
        </w:rPr>
        <w:t>机关运行经费支出情况</w:t>
      </w:r>
      <w:bookmarkEnd w:id="5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21年，本单位部门决算</w:t>
      </w:r>
      <w:r>
        <w:rPr>
          <w:rFonts w:hint="eastAsia" w:ascii="仿宋_GB2312" w:eastAsia="仿宋_GB2312"/>
          <w:sz w:val="32"/>
          <w:szCs w:val="32"/>
          <w:lang w:eastAsia="zh-CN"/>
        </w:rPr>
        <w:t>未</w:t>
      </w:r>
      <w:r>
        <w:rPr>
          <w:rFonts w:hint="eastAsia" w:ascii="仿宋_GB2312" w:eastAsia="仿宋_GB2312"/>
          <w:sz w:val="32"/>
          <w:szCs w:val="32"/>
        </w:rPr>
        <w:t>汇总录入，无法反映机关运行经费。</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8" w:name="_Toc15377223"/>
      <w:r>
        <w:rPr>
          <w:rFonts w:hint="eastAsia" w:ascii="仿宋" w:hAnsi="仿宋" w:eastAsia="仿宋"/>
          <w:b/>
          <w:sz w:val="32"/>
          <w:szCs w:val="32"/>
        </w:rPr>
        <w:t>（二）政府采购支出情况</w:t>
      </w:r>
      <w:bookmarkEnd w:id="58"/>
    </w:p>
    <w:p>
      <w:pPr>
        <w:spacing w:line="600" w:lineRule="exact"/>
        <w:ind w:firstLine="640" w:firstLineChars="200"/>
        <w:rPr>
          <w:rFonts w:ascii="仿宋_GB2312" w:eastAsia="仿宋_GB2312"/>
          <w:color w:val="000000"/>
          <w:sz w:val="32"/>
          <w:szCs w:val="32"/>
        </w:rPr>
      </w:pPr>
      <w:r>
        <w:rPr>
          <w:rFonts w:ascii="仿宋_GB2312" w:eastAsia="仿宋_GB2312"/>
          <w:sz w:val="32"/>
          <w:szCs w:val="32"/>
        </w:rPr>
        <w:t>20</w:t>
      </w:r>
      <w:r>
        <w:rPr>
          <w:rFonts w:hint="eastAsia" w:ascii="仿宋_GB2312" w:eastAsia="仿宋_GB2312"/>
          <w:sz w:val="32"/>
          <w:szCs w:val="32"/>
        </w:rPr>
        <w:t>21年，涪阳镇政府采购支出总额0万元，其中：政府采购货物支出0万元、政府采购工程支出0万元，</w:t>
      </w:r>
      <w:r>
        <w:rPr>
          <w:rFonts w:hint="eastAsia" w:ascii="仿宋_GB2312" w:eastAsia="仿宋_GB2312"/>
          <w:color w:val="000000"/>
          <w:sz w:val="32"/>
          <w:szCs w:val="32"/>
        </w:rPr>
        <w:t>政府采购服务支出0万元。授予中小企业合同金额0万元。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9" w:name="_Toc15377224"/>
      <w:r>
        <w:rPr>
          <w:rFonts w:hint="eastAsia" w:ascii="仿宋" w:hAnsi="仿宋" w:eastAsia="仿宋"/>
          <w:b/>
          <w:sz w:val="32"/>
          <w:szCs w:val="32"/>
        </w:rPr>
        <w:t>（三）国有资产占有使用情况</w:t>
      </w:r>
      <w:bookmarkEnd w:id="59"/>
    </w:p>
    <w:p>
      <w:pPr>
        <w:autoSpaceDE w:val="0"/>
        <w:autoSpaceDN w:val="0"/>
        <w:adjustRightInd w:val="0"/>
        <w:spacing w:line="600" w:lineRule="exact"/>
        <w:ind w:firstLine="640" w:firstLineChars="200"/>
        <w:jc w:val="left"/>
        <w:rPr>
          <w:rFonts w:ascii="仿宋" w:hAnsi="仿宋" w:eastAsia="仿宋_GB2312"/>
          <w:b/>
          <w:color w:val="FF0000"/>
          <w:sz w:val="32"/>
          <w:szCs w:val="32"/>
        </w:rPr>
      </w:pPr>
      <w:r>
        <w:rPr>
          <w:rFonts w:hint="eastAsia" w:ascii="仿宋_GB2312" w:eastAsia="仿宋_GB2312"/>
          <w:color w:val="000000"/>
          <w:sz w:val="32"/>
          <w:szCs w:val="32"/>
        </w:rPr>
        <w:t>截至2021年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hAnsi="仿宋_GB2312" w:eastAsia="仿宋_GB2312" w:cs="仿宋_GB2312"/>
          <w:sz w:val="32"/>
          <w:szCs w:val="32"/>
        </w:rPr>
        <w:t>涪阳镇人民政府</w:t>
      </w:r>
      <w:r>
        <w:rPr>
          <w:rFonts w:hint="eastAsia" w:ascii="仿宋_GB2312" w:eastAsia="仿宋_GB2312"/>
          <w:color w:val="000000"/>
          <w:sz w:val="32"/>
          <w:szCs w:val="32"/>
        </w:rPr>
        <w:t>共有车辆1辆，其中</w:t>
      </w:r>
      <w:r>
        <w:t>：</w:t>
      </w:r>
      <w:r>
        <w:rPr>
          <w:rFonts w:hint="eastAsia" w:ascii="仿宋_GB2312" w:eastAsia="仿宋_GB2312"/>
          <w:color w:val="000000"/>
          <w:sz w:val="32"/>
          <w:szCs w:val="32"/>
        </w:rPr>
        <w:t>领导干部用车0辆、机要通信用车0辆、应急保障用车0辆、特种专业技术用车（垃圾压缩车）1辆。</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autoSpaceDE w:val="0"/>
        <w:autoSpaceDN w:val="0"/>
        <w:adjustRightInd w:val="0"/>
        <w:spacing w:line="600" w:lineRule="exact"/>
        <w:ind w:firstLine="640" w:firstLineChars="200"/>
        <w:rPr>
          <w:rFonts w:ascii="仿宋" w:hAnsi="仿宋" w:eastAsia="仿宋"/>
          <w:b/>
          <w:sz w:val="32"/>
          <w:szCs w:val="32"/>
        </w:rPr>
      </w:pPr>
      <w:r>
        <w:rPr>
          <w:rFonts w:hint="eastAsia" w:ascii="仿宋_GB2312" w:hAnsi="仿宋_GB2312" w:eastAsia="仿宋_GB2312" w:cs="仿宋_GB2312"/>
          <w:sz w:val="32"/>
          <w:szCs w:val="32"/>
        </w:rPr>
        <w:t>根据预算绩效管理要求，本部门在2021年度预算编制阶段，组织对农村环境整治、公益性岗位、文化院坝等14个项目开展了预算事前绩效评估，对14个项目编制了绩效目标，预算执行过程中，选取1个项目开展绩效监控，年终执行完毕后，对1个项目开展了绩效自评。同时，本部门对2021年部门整体开展绩效自评，《2021年涪阳镇整体绩效评价报告》见附件（第四部分）</w:t>
      </w:r>
    </w:p>
    <w:p>
      <w:pPr>
        <w:widowControl/>
        <w:jc w:val="left"/>
        <w:rPr>
          <w:rFonts w:ascii="仿宋_GB2312" w:eastAsia="仿宋_GB2312"/>
          <w:b/>
          <w:sz w:val="32"/>
          <w:szCs w:val="32"/>
        </w:rPr>
      </w:pPr>
      <w:r>
        <w:br w:type="page"/>
      </w:r>
    </w:p>
    <w:p>
      <w:pPr>
        <w:numPr>
          <w:ilvl w:val="0"/>
          <w:numId w:val="4"/>
        </w:numPr>
        <w:spacing w:line="600" w:lineRule="exact"/>
        <w:ind w:firstLine="660" w:firstLineChars="150"/>
        <w:jc w:val="center"/>
        <w:outlineLvl w:val="0"/>
        <w:rPr>
          <w:rStyle w:val="29"/>
          <w:rFonts w:ascii="黑体" w:hAnsi="黑体" w:eastAsia="黑体"/>
          <w:b w:val="0"/>
        </w:rPr>
      </w:pPr>
      <w:bookmarkStart w:id="60" w:name="_Toc18429"/>
      <w:bookmarkStart w:id="61" w:name="_Toc15396613"/>
      <w:bookmarkStart w:id="62" w:name="_Toc15377225"/>
      <w:r>
        <w:rPr>
          <w:rFonts w:hint="eastAsia" w:ascii="黑体" w:hAnsi="黑体" w:eastAsia="黑体"/>
          <w:sz w:val="44"/>
          <w:szCs w:val="44"/>
        </w:rPr>
        <w:t>名</w:t>
      </w:r>
      <w:r>
        <w:rPr>
          <w:rStyle w:val="29"/>
          <w:rFonts w:hint="eastAsia" w:ascii="黑体" w:hAnsi="黑体" w:eastAsia="黑体"/>
          <w:b w:val="0"/>
        </w:rPr>
        <w:t>词解释</w:t>
      </w:r>
      <w:bookmarkEnd w:id="60"/>
      <w:bookmarkEnd w:id="61"/>
      <w:bookmarkEnd w:id="62"/>
    </w:p>
    <w:p>
      <w:pPr>
        <w:spacing w:line="600" w:lineRule="exact"/>
        <w:jc w:val="left"/>
        <w:rPr>
          <w:rFonts w:ascii="宋体"/>
          <w:b/>
          <w:sz w:val="44"/>
          <w:szCs w:val="44"/>
        </w:rPr>
      </w:pPr>
    </w:p>
    <w:p>
      <w:pPr>
        <w:pStyle w:val="27"/>
        <w:spacing w:line="560" w:lineRule="exact"/>
        <w:ind w:firstLine="640" w:firstLineChars="200"/>
        <w:rPr>
          <w:rFonts w:ascii="仿宋_GB2312" w:eastAsia="仿宋_GB2312"/>
          <w:sz w:val="32"/>
          <w:szCs w:val="32"/>
        </w:rPr>
      </w:pPr>
      <w:bookmarkStart w:id="63"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widowControl/>
        <w:shd w:val="clear" w:color="auto" w:fill="FFFFFF"/>
        <w:ind w:firstLine="640"/>
        <w:rPr>
          <w:rFonts w:ascii="瀹嬩綋" w:hAnsi="瀹嬩綋" w:eastAsia="瀹嬩綋" w:cs="瀹嬩綋"/>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w:t>
      </w:r>
      <w:r>
        <w:rPr>
          <w:rFonts w:ascii="仿宋_GB2312" w:hAnsi="瀹嬩綋" w:eastAsia="仿宋_GB2312" w:cs="仿宋_GB2312"/>
          <w:color w:val="000000"/>
          <w:kern w:val="0"/>
          <w:sz w:val="32"/>
          <w:szCs w:val="32"/>
          <w:shd w:val="clear" w:color="auto" w:fill="FFFFFF"/>
        </w:rPr>
        <w:t>一般公共服务（类）人大事务（款）行政运行（项）: 反映行政单位（包括实行公务员管理的事业单位）的基本支出。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3.一般公共服务（类）政府办公厅（室）及相关机构事务（款）行政运行（项）:反映行政单位（包括实行公务员管理的事业单位）的基本支出。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4.一般公共服务（类）政府办公厅（室）及相关机构事务（款）一般行政管理事务（项）:反映行政</w:t>
      </w:r>
      <w:r>
        <w:rPr>
          <w:rFonts w:hint="eastAsia" w:ascii="仿宋_GB2312" w:hAnsi="瀹嬩綋" w:eastAsia="仿宋_GB2312" w:cs="仿宋_GB2312"/>
          <w:color w:val="000000"/>
          <w:kern w:val="0"/>
          <w:sz w:val="32"/>
          <w:szCs w:val="32"/>
          <w:u w:val="none" w:color="46CD7E"/>
          <w:shd w:val="clear" w:color="auto" w:fill="FFFFFF"/>
          <w:lang w:eastAsia="zh-CN"/>
        </w:rPr>
        <w:t>单位在</w:t>
      </w:r>
      <w:r>
        <w:rPr>
          <w:rFonts w:hint="eastAsia" w:ascii="仿宋_GB2312" w:hAnsi="瀹嬩綋" w:eastAsia="仿宋_GB2312" w:cs="仿宋_GB2312"/>
          <w:color w:val="000000"/>
          <w:kern w:val="0"/>
          <w:sz w:val="32"/>
          <w:szCs w:val="32"/>
          <w:shd w:val="clear" w:color="auto" w:fill="FFFFFF"/>
        </w:rPr>
        <w:t>行政管理事务方面的支出。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5.一般公共服务（类）政府办公厅（室）及相关机构事务（款）信访事务（项）:反映各级政府用于接待群众来信来访方面的支出。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6. 一般公共服务（类）财政事务（款）行政运行（项）:</w:t>
      </w:r>
    </w:p>
    <w:p>
      <w:pPr>
        <w:widowControl/>
        <w:shd w:val="clear" w:color="auto" w:fill="FFFFFF"/>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反映行政单位（包括实行公务员管理的事业单位）的基本支出。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7. 一般公共服务（类）纪检监察事务（款）行政运行（项）:反映行政单位（包括实行公务员管理的事业单位）的基本支出。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8. 一般公共服务（类）党委办公厅（室）及相关机构事务（款）行政运行（项）:反映行政单位（包括实行公务员管理的事业单位）的基本支出。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9. 文化体育与传媒支出（类）文化（款）其他文化支出（项）：反映除上述项目以外其他用于文化方面的支出。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10. 社会保障和就业支出（类）人力资源和社会保障管理事务（款）社会保险经办机构（项）：反映社会保险经办机构开展业务工作的支出。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11. 社会保障和就业支出（类）行政事业单位离退休（款）</w:t>
      </w:r>
    </w:p>
    <w:p>
      <w:pPr>
        <w:widowControl/>
        <w:shd w:val="clear" w:color="auto" w:fill="FFFFFF"/>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机关事业单位基本养老保险缴费支出（项）：反映机关事业单位实施养老保险制度由单位缴纳的基本养老保险费支出。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12. 医疗卫生与计划生育支出（类）医疗卫生与计划生育管理事务（款）行政运行（项）：反映行政单位（包括实行公务员管理的事业单位）的基本支出。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13. 医疗卫生与计划生育支出（类）基层医疗卫生机构（款）乡镇卫生院（项）：反映用于乡镇卫生院的支出。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14.城乡社区支出（类）城乡社区规划与管理（款）城乡社区规划与管理（项）: 指反映城乡社区、名胜风景区、防灾</w:t>
      </w:r>
      <w:r>
        <w:rPr>
          <w:rFonts w:hint="eastAsia" w:ascii="仿宋_GB2312" w:hAnsi="瀹嬩綋" w:eastAsia="仿宋_GB2312" w:cs="仿宋_GB2312"/>
          <w:color w:val="000000"/>
          <w:kern w:val="0"/>
          <w:sz w:val="32"/>
          <w:szCs w:val="32"/>
          <w:u w:val="none" w:color="46CD7E"/>
          <w:shd w:val="clear" w:color="auto" w:fill="FFFFFF"/>
          <w:lang w:eastAsia="zh-CN"/>
        </w:rPr>
        <w:t>减灾区</w:t>
      </w:r>
      <w:r>
        <w:rPr>
          <w:rFonts w:hint="eastAsia" w:ascii="仿宋_GB2312" w:hAnsi="瀹嬩綋" w:eastAsia="仿宋_GB2312" w:cs="仿宋_GB2312"/>
          <w:color w:val="000000"/>
          <w:kern w:val="0"/>
          <w:sz w:val="32"/>
          <w:szCs w:val="32"/>
          <w:shd w:val="clear" w:color="auto" w:fill="FFFFFF"/>
        </w:rPr>
        <w:t>、历史名城规划制定与管理等方面的支出。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15. 农林水支出（类）农业（款） 事业运行（项）：反映用于农业事业单位基本支出，事业单位设施、系统运行与资产维护等方面的支出。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16. 农林水支出（类）林业（款）林业事业机构（项）：用于林业事业单位的基本支出。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17. 农林水支出（类）水利（款）水利技术推广（项）：反映水利系统纳入预算管理的技术推广事业单位的支出。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18. 农林水支出（类）扶贫（款）农村基础设施建设（项）：反映用于农村公路、道路建设方面等基础设施建设的支出。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19. 农林水支出（类）扶贫（款）生产发展（项）：反映用于农村贫困地区发展种植业、养殖业、畜牧业、农副产品加工、林果地建设等生产发展项目以及相关技术推广等方面的项目支出。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20. 农林水支出（类）扶贫（款）其他扶贫支出（项）：反映除上述项目以外其他用于其他扶贫支出。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21. 农林水支出（类）农村综合改革（款）对村民委员会</w:t>
      </w:r>
      <w:r>
        <w:rPr>
          <w:rFonts w:hint="eastAsia" w:ascii="仿宋_GB2312" w:hAnsi="瀹嬩綋" w:eastAsia="仿宋_GB2312" w:cs="仿宋_GB2312"/>
          <w:color w:val="000000"/>
          <w:kern w:val="0"/>
          <w:sz w:val="32"/>
          <w:szCs w:val="32"/>
          <w:u w:val="none" w:color="46CD7E"/>
          <w:shd w:val="clear" w:color="auto" w:fill="FFFFFF"/>
          <w:lang w:eastAsia="zh-CN"/>
        </w:rPr>
        <w:t>和村</w:t>
      </w:r>
      <w:r>
        <w:rPr>
          <w:rFonts w:hint="eastAsia" w:ascii="仿宋_GB2312" w:hAnsi="瀹嬩綋" w:eastAsia="仿宋_GB2312" w:cs="仿宋_GB2312"/>
          <w:color w:val="000000"/>
          <w:kern w:val="0"/>
          <w:sz w:val="32"/>
          <w:szCs w:val="32"/>
          <w:shd w:val="clear" w:color="auto" w:fill="FFFFFF"/>
        </w:rPr>
        <w:t>党支部的补助（项）：反映各级财政对村民委员会和村党支部的补助支出。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22. 农林水支出（类）农村综合改革（款）对村集体经济组织的补助（项）：反映农村税费改革后对村集体经济组织的补助支出。</w:t>
      </w:r>
    </w:p>
    <w:p>
      <w:pPr>
        <w:widowControl/>
        <w:shd w:val="clear" w:color="auto" w:fill="FFFFFF"/>
        <w:spacing w:line="560" w:lineRule="exact"/>
        <w:ind w:firstLine="641"/>
        <w:rPr>
          <w:rFonts w:ascii="仿宋_GB2312" w:hAnsi="瀹嬩綋" w:eastAsia="仿宋_GB2312" w:cs="仿宋_GB2312"/>
          <w:color w:val="000000"/>
          <w:kern w:val="0"/>
          <w:sz w:val="32"/>
          <w:szCs w:val="32"/>
          <w:shd w:val="clear" w:color="auto" w:fill="FFFFFF"/>
        </w:rPr>
      </w:pPr>
      <w:r>
        <w:rPr>
          <w:rFonts w:hint="eastAsia" w:ascii="仿宋_GB2312" w:hAnsi="瀹嬩綋" w:eastAsia="仿宋_GB2312" w:cs="仿宋_GB2312"/>
          <w:color w:val="000000"/>
          <w:kern w:val="0"/>
          <w:sz w:val="32"/>
          <w:szCs w:val="32"/>
          <w:shd w:val="clear" w:color="auto" w:fill="FFFFFF"/>
        </w:rPr>
        <w:t>23.住房保障支出（类）住房改革支出（款）住房公积金（项）：反映用于本单位职工住房公积金缴存等支出。</w:t>
      </w:r>
    </w:p>
    <w:p>
      <w:pPr>
        <w:widowControl/>
        <w:shd w:val="clear" w:color="auto" w:fill="FFFFFF"/>
        <w:spacing w:line="560" w:lineRule="exact"/>
        <w:ind w:firstLine="641"/>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24. 基本支出：指为保障机构正常运转、完成日常工作任务而发生的人员支出和公用支出。</w:t>
      </w:r>
    </w:p>
    <w:p>
      <w:pPr>
        <w:widowControl/>
        <w:shd w:val="clear" w:color="auto" w:fill="FFFFFF"/>
        <w:spacing w:line="560" w:lineRule="exact"/>
        <w:ind w:firstLine="641"/>
        <w:rPr>
          <w:rFonts w:ascii="仿宋_GB2312" w:hAnsi="瀹嬩綋" w:eastAsia="仿宋_GB2312" w:cs="仿宋_GB2312"/>
          <w:color w:val="000000"/>
          <w:kern w:val="0"/>
          <w:sz w:val="32"/>
          <w:szCs w:val="32"/>
          <w:shd w:val="clear" w:color="auto" w:fill="FFFFFF"/>
        </w:rPr>
      </w:pPr>
      <w:r>
        <w:rPr>
          <w:rFonts w:hint="eastAsia" w:ascii="仿宋_GB2312" w:hAnsi="瀹嬩綋" w:eastAsia="仿宋_GB2312" w:cs="仿宋_GB2312"/>
          <w:color w:val="000000"/>
          <w:kern w:val="0"/>
          <w:sz w:val="32"/>
          <w:szCs w:val="32"/>
          <w:shd w:val="clear" w:color="auto" w:fill="FFFFFF"/>
        </w:rPr>
        <w:t>25. 项目支出：指在基本支出之外为完成特定行政任务和事业发展目标所发生的支出。</w:t>
      </w:r>
    </w:p>
    <w:p>
      <w:pPr>
        <w:widowControl/>
        <w:shd w:val="clear" w:color="auto" w:fill="FFFFFF"/>
        <w:spacing w:line="560" w:lineRule="exact"/>
        <w:ind w:firstLine="641"/>
        <w:rPr>
          <w:rFonts w:ascii="仿宋_GB2312" w:hAnsi="瀹嬩綋" w:eastAsia="仿宋_GB2312" w:cs="仿宋_GB2312"/>
          <w:color w:val="000000"/>
          <w:kern w:val="0"/>
          <w:sz w:val="32"/>
          <w:szCs w:val="32"/>
          <w:shd w:val="clear" w:color="auto" w:fill="FFFFFF"/>
        </w:rPr>
      </w:pPr>
      <w:r>
        <w:rPr>
          <w:rFonts w:hint="eastAsia" w:ascii="仿宋_GB2312" w:hAnsi="瀹嬩綋" w:eastAsia="仿宋_GB2312" w:cs="仿宋_GB2312"/>
          <w:color w:val="000000"/>
          <w:kern w:val="0"/>
          <w:sz w:val="32"/>
          <w:szCs w:val="32"/>
          <w:shd w:val="clear" w:color="auto" w:fill="FFFFFF"/>
        </w:rPr>
        <w:t>26. “三公”经费：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管理费用等支出；公务接待费反映单位按规定开支的各类公务接待（含外宾接待）支出。</w:t>
      </w:r>
    </w:p>
    <w:p>
      <w:pPr>
        <w:pStyle w:val="27"/>
        <w:spacing w:line="560" w:lineRule="exact"/>
        <w:ind w:firstLine="640" w:firstLineChars="200"/>
        <w:rPr>
          <w:rFonts w:ascii="宋体"/>
          <w:b/>
          <w:sz w:val="32"/>
          <w:szCs w:val="32"/>
        </w:rPr>
      </w:pPr>
      <w:r>
        <w:rPr>
          <w:rFonts w:hint="eastAsia" w:ascii="仿宋_GB2312" w:hAnsi="瀹嬩綋" w:eastAsia="仿宋_GB2312" w:cs="仿宋_GB2312"/>
          <w:sz w:val="32"/>
          <w:szCs w:val="32"/>
          <w:shd w:val="clear" w:color="auto" w:fill="FFFFFF"/>
        </w:rPr>
        <w:t>27. 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9"/>
          <w:rFonts w:ascii="黑体" w:hAnsi="黑体" w:eastAsia="黑体"/>
          <w:b w:val="0"/>
        </w:rPr>
      </w:pPr>
      <w:r>
        <w:br w:type="page"/>
      </w:r>
      <w:bookmarkStart w:id="64" w:name="_Toc15396614"/>
      <w:bookmarkStart w:id="65" w:name="_Toc12746"/>
      <w:r>
        <w:rPr>
          <w:rFonts w:hint="eastAsia" w:ascii="黑体" w:hAnsi="黑体" w:eastAsia="黑体"/>
          <w:sz w:val="44"/>
          <w:szCs w:val="44"/>
        </w:rPr>
        <w:t>第</w:t>
      </w:r>
      <w:r>
        <w:rPr>
          <w:rStyle w:val="29"/>
          <w:rFonts w:hint="eastAsia" w:ascii="黑体" w:hAnsi="黑体" w:eastAsia="黑体"/>
          <w:b w:val="0"/>
        </w:rPr>
        <w:t>四部分</w:t>
      </w:r>
      <w:r>
        <w:rPr>
          <w:rStyle w:val="29"/>
          <w:rFonts w:hint="eastAsia" w:ascii="黑体" w:hAnsi="黑体" w:eastAsia="黑体"/>
          <w:b w:val="0"/>
          <w:lang w:val="en-US" w:eastAsia="zh-CN"/>
        </w:rPr>
        <w:t xml:space="preserve"> </w:t>
      </w:r>
      <w:r>
        <w:rPr>
          <w:rStyle w:val="29"/>
          <w:rFonts w:hint="eastAsia" w:ascii="黑体" w:hAnsi="黑体" w:eastAsia="黑体"/>
          <w:b w:val="0"/>
        </w:rPr>
        <w:t>附件</w:t>
      </w:r>
      <w:bookmarkEnd w:id="64"/>
      <w:bookmarkEnd w:id="65"/>
    </w:p>
    <w:tbl>
      <w:tblPr>
        <w:tblStyle w:val="7"/>
        <w:tblW w:w="10575" w:type="dxa"/>
        <w:jc w:val="center"/>
        <w:tblLayout w:type="fixed"/>
        <w:tblCellMar>
          <w:top w:w="0" w:type="dxa"/>
          <w:left w:w="108" w:type="dxa"/>
          <w:bottom w:w="0" w:type="dxa"/>
          <w:right w:w="108" w:type="dxa"/>
        </w:tblCellMar>
      </w:tblPr>
      <w:tblGrid>
        <w:gridCol w:w="555"/>
        <w:gridCol w:w="863"/>
        <w:gridCol w:w="937"/>
        <w:gridCol w:w="2505"/>
        <w:gridCol w:w="615"/>
        <w:gridCol w:w="600"/>
        <w:gridCol w:w="1305"/>
        <w:gridCol w:w="945"/>
        <w:gridCol w:w="690"/>
        <w:gridCol w:w="915"/>
        <w:gridCol w:w="645"/>
      </w:tblGrid>
      <w:tr>
        <w:tblPrEx>
          <w:tblCellMar>
            <w:top w:w="0" w:type="dxa"/>
            <w:left w:w="108" w:type="dxa"/>
            <w:bottom w:w="0" w:type="dxa"/>
            <w:right w:w="108" w:type="dxa"/>
          </w:tblCellMar>
        </w:tblPrEx>
        <w:trPr>
          <w:trHeight w:val="570" w:hRule="atLeast"/>
          <w:jc w:val="center"/>
        </w:trPr>
        <w:tc>
          <w:tcPr>
            <w:tcW w:w="10575" w:type="dxa"/>
            <w:gridSpan w:val="11"/>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32"/>
                <w:szCs w:val="32"/>
              </w:rPr>
            </w:pPr>
            <w:bookmarkStart w:id="66" w:name="_Toc15396618"/>
            <w:r>
              <w:rPr>
                <w:rStyle w:val="37"/>
                <w:rFonts w:hint="default"/>
              </w:rPr>
              <w:t>绩效目标自评表</w:t>
            </w:r>
          </w:p>
        </w:tc>
      </w:tr>
      <w:tr>
        <w:tblPrEx>
          <w:tblCellMar>
            <w:top w:w="0" w:type="dxa"/>
            <w:left w:w="108" w:type="dxa"/>
            <w:bottom w:w="0" w:type="dxa"/>
            <w:right w:w="108" w:type="dxa"/>
          </w:tblCellMar>
        </w:tblPrEx>
        <w:trPr>
          <w:trHeight w:val="420" w:hRule="atLeast"/>
          <w:jc w:val="center"/>
        </w:trPr>
        <w:tc>
          <w:tcPr>
            <w:tcW w:w="10575" w:type="dxa"/>
            <w:gridSpan w:val="11"/>
            <w:tcBorders>
              <w:top w:val="nil"/>
              <w:left w:val="nil"/>
              <w:bottom w:val="single" w:color="000000" w:sz="4" w:space="0"/>
              <w:right w:val="nil"/>
            </w:tcBorders>
            <w:shd w:val="clear" w:color="auto" w:fill="auto"/>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（2021年度）</w:t>
            </w:r>
          </w:p>
        </w:tc>
      </w:tr>
      <w:tr>
        <w:tblPrEx>
          <w:tblCellMar>
            <w:top w:w="0" w:type="dxa"/>
            <w:left w:w="108" w:type="dxa"/>
            <w:bottom w:w="0" w:type="dxa"/>
            <w:right w:w="108" w:type="dxa"/>
          </w:tblCellMar>
        </w:tblPrEx>
        <w:trPr>
          <w:trHeight w:val="555" w:hRule="atLeast"/>
          <w:jc w:val="center"/>
        </w:trPr>
        <w:tc>
          <w:tcPr>
            <w:tcW w:w="23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农村环境整治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项目负责人及电话</w:t>
            </w:r>
          </w:p>
        </w:tc>
        <w:tc>
          <w:tcPr>
            <w:tcW w:w="31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u w:val="none"/>
                <w:lang w:eastAsia="zh-CN"/>
              </w:rPr>
            </w:pPr>
            <w:r>
              <w:rPr>
                <w:rFonts w:hint="eastAsia" w:ascii="宋体" w:hAnsi="宋体" w:cs="宋体"/>
                <w:color w:val="000000"/>
                <w:kern w:val="0"/>
                <w:sz w:val="20"/>
                <w:szCs w:val="20"/>
              </w:rPr>
              <w:t>景中</w:t>
            </w:r>
          </w:p>
        </w:tc>
      </w:tr>
      <w:tr>
        <w:tblPrEx>
          <w:tblCellMar>
            <w:top w:w="0" w:type="dxa"/>
            <w:left w:w="108" w:type="dxa"/>
            <w:bottom w:w="0" w:type="dxa"/>
            <w:right w:w="108" w:type="dxa"/>
          </w:tblCellMar>
        </w:tblPrEx>
        <w:trPr>
          <w:trHeight w:val="300" w:hRule="atLeast"/>
          <w:jc w:val="center"/>
        </w:trPr>
        <w:tc>
          <w:tcPr>
            <w:tcW w:w="23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环保局</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31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涪阳镇</w:t>
            </w:r>
          </w:p>
        </w:tc>
      </w:tr>
      <w:tr>
        <w:tblPrEx>
          <w:tblCellMar>
            <w:top w:w="0" w:type="dxa"/>
            <w:left w:w="108" w:type="dxa"/>
            <w:bottom w:w="0" w:type="dxa"/>
            <w:right w:w="108" w:type="dxa"/>
          </w:tblCellMar>
        </w:tblPrEx>
        <w:trPr>
          <w:trHeight w:val="465" w:hRule="atLeast"/>
          <w:jc w:val="center"/>
        </w:trPr>
        <w:tc>
          <w:tcPr>
            <w:tcW w:w="235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资金情况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（万元）</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w:t>
            </w:r>
            <w: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0" w:type="dxa"/>
            <w:left w:w="108" w:type="dxa"/>
            <w:bottom w:w="0" w:type="dxa"/>
            <w:right w:w="108" w:type="dxa"/>
          </w:tblCellMar>
        </w:tblPrEx>
        <w:trPr>
          <w:trHeight w:val="282" w:hRule="atLeast"/>
          <w:jc w:val="center"/>
        </w:trPr>
        <w:tc>
          <w:tcPr>
            <w:tcW w:w="23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82.18</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82.18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282" w:hRule="atLeast"/>
          <w:jc w:val="center"/>
        </w:trPr>
        <w:tc>
          <w:tcPr>
            <w:tcW w:w="23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Style w:val="39"/>
                <w:rFonts w:hint="default"/>
              </w:rPr>
              <w:t>其中：本年财政拨款</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82.18</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82.18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jc w:val="center"/>
        </w:trPr>
        <w:tc>
          <w:tcPr>
            <w:tcW w:w="23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Style w:val="39"/>
                <w:rFonts w:hint="default"/>
              </w:rPr>
              <w:t>其他资金</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55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w:t>
            </w:r>
            <w:r>
              <w:rPr>
                <w:rFonts w:hint="eastAsia" w:ascii="宋体" w:hAnsi="宋体" w:cs="宋体"/>
                <w:color w:val="000000"/>
                <w:kern w:val="0"/>
                <w:sz w:val="20"/>
                <w:szCs w:val="20"/>
                <w:u w:val="none" w:color="46CD7E"/>
                <w:shd w:val="clear" w:fill="auto"/>
                <w:lang w:eastAsia="zh-CN"/>
              </w:rPr>
              <w:t>设定的</w:t>
            </w:r>
            <w:r>
              <w:rPr>
                <w:rFonts w:hint="eastAsia" w:ascii="宋体" w:hAnsi="宋体" w:cs="宋体"/>
                <w:color w:val="000000"/>
                <w:kern w:val="0"/>
                <w:sz w:val="20"/>
                <w:szCs w:val="20"/>
              </w:rPr>
              <w:t>目标</w:t>
            </w:r>
          </w:p>
        </w:tc>
        <w:tc>
          <w:tcPr>
            <w:tcW w:w="45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CellMar>
            <w:top w:w="0" w:type="dxa"/>
            <w:left w:w="108" w:type="dxa"/>
            <w:bottom w:w="0" w:type="dxa"/>
            <w:right w:w="108" w:type="dxa"/>
          </w:tblCellMar>
        </w:tblPrEx>
        <w:trPr>
          <w:trHeight w:val="525"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改善生态环境质量，望得见山、看得见水</w:t>
            </w:r>
            <w:r>
              <w:t>、</w:t>
            </w:r>
            <w:r>
              <w:rPr>
                <w:rFonts w:hint="eastAsia" w:ascii="宋体" w:hAnsi="宋体" w:cs="宋体"/>
                <w:color w:val="000000"/>
                <w:kern w:val="0"/>
                <w:sz w:val="20"/>
                <w:szCs w:val="20"/>
              </w:rPr>
              <w:t>记得住乡愁。</w:t>
            </w:r>
          </w:p>
        </w:tc>
        <w:tc>
          <w:tcPr>
            <w:tcW w:w="45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改善生态环境质量，望得见山、看得见水</w:t>
            </w:r>
            <w:r>
              <w:t>、</w:t>
            </w:r>
            <w:r>
              <w:rPr>
                <w:rFonts w:hint="eastAsia" w:ascii="宋体" w:hAnsi="宋体" w:cs="宋体"/>
                <w:color w:val="000000"/>
                <w:kern w:val="0"/>
                <w:sz w:val="20"/>
                <w:szCs w:val="20"/>
              </w:rPr>
              <w:t>记得住乡愁。</w:t>
            </w:r>
          </w:p>
        </w:tc>
      </w:tr>
      <w:tr>
        <w:tblPrEx>
          <w:tblCellMar>
            <w:top w:w="0" w:type="dxa"/>
            <w:left w:w="108" w:type="dxa"/>
            <w:bottom w:w="0" w:type="dxa"/>
            <w:right w:w="108" w:type="dxa"/>
          </w:tblCellMar>
        </w:tblPrEx>
        <w:trPr>
          <w:trHeight w:val="559"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全年实际值</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未完成原因及拟采取的改进措施</w:t>
            </w: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50分</w:t>
            </w:r>
            <w:r>
              <w:t>）</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r>
              <w:rPr>
                <w:rFonts w:hint="eastAsia" w:ascii="宋体" w:hAnsi="宋体" w:cs="宋体"/>
                <w:color w:val="000000"/>
                <w:kern w:val="0"/>
                <w:sz w:val="20"/>
                <w:szCs w:val="20"/>
                <w:u w:val="thick" w:color="FFB03A"/>
                <w:shd w:val="clear" w:fill="FFEFD8"/>
              </w:rPr>
              <w:t>覆盖村</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生态环境整治</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≥20处</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20处</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05" w:type="dxa"/>
            <w:tcBorders>
              <w:top w:val="nil"/>
              <w:left w:val="nil"/>
              <w:bottom w:val="nil"/>
              <w:right w:val="nil"/>
            </w:tcBorders>
            <w:shd w:val="clear" w:color="auto" w:fill="auto"/>
            <w:vAlign w:val="center"/>
          </w:tcPr>
          <w:p>
            <w:pPr>
              <w:rPr>
                <w:rFonts w:ascii="宋体" w:hAnsi="宋体" w:cs="宋体"/>
                <w:color w:val="000000"/>
                <w:sz w:val="20"/>
                <w:szCs w:val="20"/>
              </w:rPr>
            </w:pPr>
          </w:p>
        </w:tc>
        <w:tc>
          <w:tcPr>
            <w:tcW w:w="945" w:type="dxa"/>
            <w:tcBorders>
              <w:top w:val="nil"/>
              <w:left w:val="nil"/>
              <w:bottom w:val="nil"/>
              <w:right w:val="nil"/>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项目验收合格率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资金兑现及时率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项目完成及时率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生态环境整治成效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优/良</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生态环境质量是否持续改善</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优/良</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10分</w:t>
            </w:r>
            <w:r>
              <w:t>）</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满意度指标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群众满意度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4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96</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bl>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bookmarkStart w:id="67" w:name="_Toc13637"/>
      <w:r>
        <w:rPr>
          <w:rFonts w:hint="eastAsia" w:ascii="黑体" w:hAnsi="黑体" w:eastAsia="黑体"/>
          <w:sz w:val="44"/>
          <w:szCs w:val="44"/>
        </w:rPr>
        <w:t>第</w:t>
      </w:r>
      <w:r>
        <w:rPr>
          <w:rStyle w:val="29"/>
          <w:rFonts w:hint="eastAsia" w:ascii="黑体" w:hAnsi="黑体" w:eastAsia="黑体"/>
          <w:b w:val="0"/>
        </w:rPr>
        <w:t>五部分</w:t>
      </w:r>
      <w:r>
        <w:rPr>
          <w:rStyle w:val="29"/>
          <w:rFonts w:hint="eastAsia" w:ascii="黑体" w:hAnsi="黑体" w:eastAsia="黑体"/>
          <w:b w:val="0"/>
          <w:lang w:val="en-US" w:eastAsia="zh-CN"/>
        </w:rPr>
        <w:t xml:space="preserve"> </w:t>
      </w:r>
      <w:r>
        <w:rPr>
          <w:rStyle w:val="29"/>
          <w:rFonts w:hint="eastAsia" w:ascii="黑体" w:hAnsi="黑体" w:eastAsia="黑体"/>
          <w:b w:val="0"/>
        </w:rPr>
        <w:t>附表</w:t>
      </w:r>
      <w:bookmarkEnd w:id="63"/>
      <w:bookmarkEnd w:id="66"/>
      <w:bookmarkEnd w:id="67"/>
      <w:bookmarkStart w:id="68" w:name="_Toc15396619"/>
    </w:p>
    <w:p>
      <w:pPr>
        <w:pStyle w:val="14"/>
        <w:rPr>
          <w:rFonts w:ascii="仿宋" w:hAnsi="仿宋" w:eastAsia="仿宋"/>
        </w:rPr>
      </w:pPr>
      <w:bookmarkStart w:id="69" w:name="_Toc11999"/>
      <w:r>
        <w:rPr>
          <w:rFonts w:hint="eastAsia" w:ascii="仿宋" w:hAnsi="仿宋" w:eastAsia="仿宋"/>
          <w:b w:val="0"/>
          <w:u w:val="thick" w:color="FFB03A"/>
          <w:shd w:val="clear" w:fill="FFEFD8"/>
        </w:rPr>
        <w:t>一、</w:t>
      </w:r>
      <w:r>
        <w:rPr>
          <w:rFonts w:hint="eastAsia" w:ascii="仿宋" w:hAnsi="仿宋" w:eastAsia="仿宋"/>
          <w:b w:val="0"/>
        </w:rPr>
        <w:t>收</w:t>
      </w:r>
      <w:r>
        <w:rPr>
          <w:rStyle w:val="30"/>
          <w:rFonts w:hint="eastAsia" w:ascii="仿宋" w:hAnsi="仿宋" w:eastAsia="仿宋"/>
          <w:b w:val="0"/>
          <w:bCs w:val="0"/>
        </w:rPr>
        <w:t>入支出决算总表</w:t>
      </w:r>
      <w:bookmarkEnd w:id="68"/>
      <w:bookmarkEnd w:id="69"/>
    </w:p>
    <w:p>
      <w:pPr>
        <w:pStyle w:val="14"/>
        <w:rPr>
          <w:rFonts w:ascii="仿宋" w:hAnsi="仿宋" w:eastAsia="仿宋"/>
        </w:rPr>
      </w:pPr>
      <w:bookmarkStart w:id="70" w:name="_Toc8674"/>
      <w:bookmarkStart w:id="71" w:name="_Toc15396620"/>
      <w:r>
        <w:rPr>
          <w:rFonts w:hint="eastAsia" w:ascii="仿宋" w:hAnsi="仿宋" w:eastAsia="仿宋"/>
          <w:b w:val="0"/>
        </w:rPr>
        <w:t>二、收</w:t>
      </w:r>
      <w:r>
        <w:rPr>
          <w:rStyle w:val="30"/>
          <w:rFonts w:hint="eastAsia" w:ascii="仿宋" w:hAnsi="仿宋" w:eastAsia="仿宋"/>
          <w:b w:val="0"/>
          <w:bCs w:val="0"/>
        </w:rPr>
        <w:t>入决算表</w:t>
      </w:r>
      <w:bookmarkEnd w:id="70"/>
      <w:bookmarkEnd w:id="71"/>
    </w:p>
    <w:p>
      <w:pPr>
        <w:pStyle w:val="14"/>
        <w:rPr>
          <w:rFonts w:ascii="仿宋" w:hAnsi="仿宋" w:eastAsia="仿宋"/>
        </w:rPr>
      </w:pPr>
      <w:bookmarkStart w:id="72" w:name="_Toc9622"/>
      <w:bookmarkStart w:id="73" w:name="_Toc15396621"/>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72"/>
      <w:bookmarkEnd w:id="73"/>
    </w:p>
    <w:p>
      <w:pPr>
        <w:pStyle w:val="14"/>
        <w:rPr>
          <w:rFonts w:ascii="仿宋" w:hAnsi="仿宋" w:eastAsia="仿宋"/>
          <w:b w:val="0"/>
        </w:rPr>
      </w:pPr>
      <w:bookmarkStart w:id="74" w:name="_Toc20403"/>
      <w:bookmarkStart w:id="75" w:name="_Toc15396622"/>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74"/>
      <w:bookmarkEnd w:id="75"/>
    </w:p>
    <w:p>
      <w:pPr>
        <w:pStyle w:val="14"/>
        <w:rPr>
          <w:rStyle w:val="30"/>
          <w:rFonts w:ascii="仿宋" w:hAnsi="仿宋" w:eastAsia="仿宋"/>
          <w:b w:val="0"/>
          <w:bCs w:val="0"/>
        </w:rPr>
      </w:pPr>
      <w:bookmarkStart w:id="76" w:name="_Toc15396623"/>
      <w:bookmarkStart w:id="77" w:name="_Toc3929"/>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76"/>
      <w:bookmarkEnd w:id="77"/>
      <w:bookmarkStart w:id="78" w:name="_Toc15396624"/>
    </w:p>
    <w:p>
      <w:pPr>
        <w:pStyle w:val="14"/>
        <w:rPr>
          <w:rFonts w:ascii="仿宋" w:hAnsi="仿宋" w:eastAsia="仿宋"/>
        </w:rPr>
      </w:pPr>
      <w:bookmarkStart w:id="79" w:name="_Toc15713"/>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财政拨款支出决算表</w:t>
      </w:r>
      <w:bookmarkEnd w:id="78"/>
      <w:bookmarkEnd w:id="79"/>
    </w:p>
    <w:p>
      <w:pPr>
        <w:pStyle w:val="14"/>
        <w:rPr>
          <w:rFonts w:ascii="仿宋" w:hAnsi="仿宋" w:eastAsia="仿宋"/>
        </w:rPr>
      </w:pPr>
      <w:bookmarkStart w:id="80" w:name="_Toc15396625"/>
      <w:bookmarkStart w:id="81" w:name="_Toc14224"/>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财政拨款支出决算明细表</w:t>
      </w:r>
      <w:bookmarkEnd w:id="80"/>
      <w:bookmarkEnd w:id="81"/>
    </w:p>
    <w:p>
      <w:pPr>
        <w:pStyle w:val="14"/>
        <w:rPr>
          <w:rFonts w:ascii="仿宋" w:hAnsi="仿宋" w:eastAsia="仿宋"/>
        </w:rPr>
      </w:pPr>
      <w:bookmarkStart w:id="82" w:name="_Toc15396626"/>
      <w:bookmarkStart w:id="83" w:name="_Toc6819"/>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财政拨款基本支出决算表</w:t>
      </w:r>
      <w:bookmarkEnd w:id="82"/>
      <w:bookmarkEnd w:id="83"/>
    </w:p>
    <w:p>
      <w:pPr>
        <w:pStyle w:val="14"/>
        <w:rPr>
          <w:rFonts w:ascii="仿宋" w:hAnsi="仿宋" w:eastAsia="仿宋"/>
        </w:rPr>
      </w:pPr>
      <w:bookmarkStart w:id="84" w:name="_Toc15396627"/>
      <w:bookmarkStart w:id="85" w:name="_Toc8500"/>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财政拨款项目支出决算表</w:t>
      </w:r>
      <w:bookmarkEnd w:id="84"/>
      <w:bookmarkEnd w:id="85"/>
    </w:p>
    <w:p>
      <w:pPr>
        <w:pStyle w:val="14"/>
        <w:rPr>
          <w:rFonts w:ascii="仿宋" w:hAnsi="仿宋" w:eastAsia="仿宋"/>
        </w:rPr>
      </w:pPr>
      <w:bookmarkStart w:id="86" w:name="_Toc20495"/>
      <w:bookmarkStart w:id="87" w:name="_Toc15396628"/>
      <w:r>
        <w:rPr>
          <w:rStyle w:val="30"/>
          <w:rFonts w:hint="eastAsia" w:ascii="仿宋" w:hAnsi="仿宋" w:eastAsia="仿宋"/>
          <w:b w:val="0"/>
          <w:bCs w:val="0"/>
        </w:rPr>
        <w:t>十、</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财政拨款“三公”经费支出决算表</w:t>
      </w:r>
      <w:bookmarkEnd w:id="86"/>
      <w:bookmarkEnd w:id="87"/>
    </w:p>
    <w:p>
      <w:pPr>
        <w:pStyle w:val="14"/>
        <w:rPr>
          <w:rFonts w:ascii="仿宋" w:hAnsi="仿宋" w:eastAsia="仿宋"/>
        </w:rPr>
      </w:pPr>
      <w:bookmarkStart w:id="88" w:name="_Toc17929"/>
      <w:bookmarkStart w:id="89" w:name="_Toc15396629"/>
      <w:r>
        <w:rPr>
          <w:rStyle w:val="30"/>
          <w:rFonts w:hint="eastAsia" w:ascii="仿宋" w:hAnsi="仿宋" w:eastAsia="仿宋"/>
          <w:b w:val="0"/>
          <w:bCs w:val="0"/>
        </w:rPr>
        <w:t>十一、</w:t>
      </w:r>
      <w:r>
        <w:rPr>
          <w:rFonts w:hint="eastAsia" w:ascii="仿宋" w:hAnsi="仿宋" w:eastAsia="仿宋"/>
          <w:b w:val="0"/>
        </w:rPr>
        <w:t>政</w:t>
      </w:r>
      <w:r>
        <w:rPr>
          <w:rStyle w:val="30"/>
          <w:rFonts w:hint="eastAsia" w:ascii="仿宋" w:hAnsi="仿宋" w:eastAsia="仿宋"/>
          <w:b w:val="0"/>
          <w:bCs w:val="0"/>
        </w:rPr>
        <w:t>府性基金预算</w:t>
      </w:r>
      <w:r>
        <w:rPr>
          <w:rFonts w:hint="eastAsia" w:ascii="仿宋" w:hAnsi="仿宋" w:eastAsia="仿宋"/>
          <w:b w:val="0"/>
          <w:bCs w:val="0"/>
        </w:rPr>
        <w:t>财政拨款收入支出决算表</w:t>
      </w:r>
      <w:bookmarkEnd w:id="88"/>
      <w:bookmarkEnd w:id="89"/>
    </w:p>
    <w:p>
      <w:pPr>
        <w:pStyle w:val="14"/>
        <w:rPr>
          <w:rFonts w:ascii="仿宋" w:hAnsi="仿宋" w:eastAsia="仿宋"/>
        </w:rPr>
      </w:pPr>
      <w:bookmarkStart w:id="90" w:name="_Toc15854"/>
      <w:bookmarkStart w:id="91" w:name="_Toc15396630"/>
      <w:r>
        <w:rPr>
          <w:rStyle w:val="30"/>
          <w:rFonts w:hint="eastAsia" w:ascii="仿宋" w:hAnsi="仿宋" w:eastAsia="仿宋"/>
          <w:b w:val="0"/>
          <w:bCs w:val="0"/>
        </w:rPr>
        <w:t>十二、</w:t>
      </w:r>
      <w:r>
        <w:rPr>
          <w:rFonts w:hint="eastAsia" w:ascii="仿宋" w:hAnsi="仿宋" w:eastAsia="仿宋"/>
          <w:b w:val="0"/>
        </w:rPr>
        <w:t>政</w:t>
      </w:r>
      <w:r>
        <w:rPr>
          <w:rStyle w:val="30"/>
          <w:rFonts w:hint="eastAsia" w:ascii="仿宋" w:hAnsi="仿宋" w:eastAsia="仿宋"/>
          <w:b w:val="0"/>
          <w:bCs w:val="0"/>
        </w:rPr>
        <w:t>府性基金预算</w:t>
      </w:r>
      <w:r>
        <w:rPr>
          <w:rFonts w:hint="eastAsia" w:ascii="仿宋" w:hAnsi="仿宋" w:eastAsia="仿宋"/>
          <w:b w:val="0"/>
          <w:bCs w:val="0"/>
        </w:rPr>
        <w:t>财政拨款“三公”经费支出决算表</w:t>
      </w:r>
      <w:bookmarkEnd w:id="90"/>
      <w:bookmarkEnd w:id="91"/>
    </w:p>
    <w:p>
      <w:pPr>
        <w:pStyle w:val="14"/>
        <w:rPr>
          <w:rStyle w:val="30"/>
          <w:rFonts w:ascii="仿宋" w:hAnsi="仿宋" w:eastAsia="仿宋"/>
          <w:b w:val="0"/>
          <w:bCs w:val="0"/>
        </w:rPr>
      </w:pPr>
      <w:bookmarkStart w:id="92" w:name="_Toc25718"/>
      <w:bookmarkStart w:id="93" w:name="_Toc15396631"/>
      <w:r>
        <w:rPr>
          <w:rStyle w:val="30"/>
          <w:rFonts w:hint="eastAsia" w:ascii="仿宋" w:hAnsi="仿宋" w:eastAsia="仿宋"/>
          <w:b w:val="0"/>
          <w:bCs w:val="0"/>
        </w:rPr>
        <w:t>十三、</w:t>
      </w:r>
      <w:r>
        <w:rPr>
          <w:rFonts w:hint="eastAsia" w:ascii="仿宋" w:hAnsi="仿宋" w:eastAsia="仿宋"/>
          <w:b w:val="0"/>
        </w:rPr>
        <w:t>国</w:t>
      </w:r>
      <w:r>
        <w:rPr>
          <w:rStyle w:val="30"/>
          <w:rFonts w:hint="eastAsia" w:ascii="仿宋" w:hAnsi="仿宋" w:eastAsia="仿宋"/>
          <w:b w:val="0"/>
          <w:bCs w:val="0"/>
        </w:rPr>
        <w:t>有资本经营预算财政拨款收入支出决算表</w:t>
      </w:r>
      <w:bookmarkEnd w:id="92"/>
      <w:bookmarkEnd w:id="93"/>
    </w:p>
    <w:p>
      <w:pPr>
        <w:rPr>
          <w:rFonts w:eastAsia="仿宋"/>
          <w:sz w:val="32"/>
          <w:szCs w:val="32"/>
        </w:rPr>
      </w:pPr>
      <w:bookmarkStart w:id="94" w:name="_Toc13098"/>
      <w:r>
        <w:rPr>
          <w:rStyle w:val="30"/>
          <w:rFonts w:hint="eastAsia" w:ascii="仿宋" w:hAnsi="仿宋" w:eastAsia="仿宋"/>
          <w:b w:val="0"/>
          <w:bCs w:val="0"/>
        </w:rPr>
        <w:t>十四、国有资本经营预算</w:t>
      </w:r>
      <w:r>
        <w:rPr>
          <w:rFonts w:hint="eastAsia" w:ascii="仿宋" w:hAnsi="仿宋" w:eastAsia="仿宋"/>
          <w:sz w:val="32"/>
          <w:szCs w:val="32"/>
        </w:rPr>
        <w:t>财政拨款支出决算表</w:t>
      </w:r>
      <w:bookmarkEnd w:id="94"/>
    </w:p>
    <w:sectPr>
      <w:headerReference r:id="rId5" w:type="defaul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date="2023-03-01T11:45:00Z" w:initials="">
    <w:p w14:paraId="79657374">
      <w:r>
        <w:t xml:space="preserve">检测时间：2023-03-01 11:45:00 </w:t>
      </w:r>
    </w:p>
    <w:p w14:paraId="59CB5E68">
      <w:r>
        <w:t xml:space="preserve">错误词：; </w:t>
      </w:r>
    </w:p>
    <w:p w14:paraId="60E37B90">
      <w:r>
        <w:t>建议词：[；]</w:t>
      </w:r>
    </w:p>
    <w:p w14:paraId="7AE67DB1">
      <w:r>
        <w:t>错误类型：标点符号差错</w:t>
      </w:r>
    </w:p>
    <w:p w14:paraId="7EF31A9A">
      <w:r>
        <w:t xml:space="preserve">可信度：疑错 </w:t>
      </w:r>
    </w:p>
    <w:p w14:paraId="6F652B39">
      <w:r>
        <w:t>处理建议：替换</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F652B3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瀹嬩綋">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7"/>
          <w:jc w:val="center"/>
        </w:pPr>
        <w:r>
          <w:fldChar w:fldCharType="begin"/>
        </w:r>
        <w:r>
          <w:instrText xml:space="preserve">PAGE   \* MERGEFORMAT</w:instrText>
        </w:r>
        <w:r>
          <w:fldChar w:fldCharType="separate"/>
        </w:r>
        <w:r>
          <w:rPr>
            <w:lang w:val="zh-CN"/>
          </w:rPr>
          <w:t>19</w:t>
        </w:r>
        <w:r>
          <w:fldChar w:fldCharType="end"/>
        </w:r>
      </w:p>
    </w:sdtContent>
  </w:sdt>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ED5D0E"/>
    <w:multiLevelType w:val="singleLevel"/>
    <w:tmpl w:val="3AED5D0E"/>
    <w:lvl w:ilvl="0" w:tentative="0">
      <w:start w:val="3"/>
      <w:numFmt w:val="chineseCounting"/>
      <w:suff w:val="space"/>
      <w:lvlText w:val="第%1部分"/>
      <w:lvlJc w:val="left"/>
      <w:rPr>
        <w:rFonts w:hint="eastAsia" w:ascii="黑体" w:hAnsi="黑体" w:eastAsia="黑体" w:cs="黑体"/>
        <w:sz w:val="44"/>
        <w:szCs w:val="44"/>
      </w:rPr>
    </w:lvl>
  </w:abstractNum>
  <w:abstractNum w:abstractNumId="1">
    <w:nsid w:val="3DBB7E7B"/>
    <w:multiLevelType w:val="multilevel"/>
    <w:tmpl w:val="3DBB7E7B"/>
    <w:lvl w:ilvl="0" w:tentative="0">
      <w:start w:val="1"/>
      <w:numFmt w:val="japaneseCounting"/>
      <w:lvlText w:val="%1、"/>
      <w:lvlJc w:val="left"/>
      <w:pPr>
        <w:ind w:left="135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0233CF3"/>
    <w:multiLevelType w:val="singleLevel"/>
    <w:tmpl w:val="70233CF3"/>
    <w:lvl w:ilvl="0" w:tentative="0">
      <w:start w:val="1"/>
      <w:numFmt w:val="chineseCounting"/>
      <w:suff w:val="nothing"/>
      <w:lvlText w:val="%1、"/>
      <w:lvlJc w:val="left"/>
      <w:rPr>
        <w:rFonts w:hint="eastAsia"/>
      </w:rPr>
    </w:lvl>
  </w:abstractNum>
  <w:abstractNum w:abstractNumId="3">
    <w:nsid w:val="789949FB"/>
    <w:multiLevelType w:val="singleLevel"/>
    <w:tmpl w:val="789949FB"/>
    <w:lvl w:ilvl="0" w:tentative="0">
      <w:start w:val="9"/>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revisionView w:markup="0"/>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M4ZDZhZGYyYjgzNzFmMmU3YTczMjUxMWY3YTZmZDIifQ=="/>
  </w:docVars>
  <w:rsids>
    <w:rsidRoot w:val="009A6F16"/>
    <w:rsid w:val="0016067B"/>
    <w:rsid w:val="002E222E"/>
    <w:rsid w:val="0058523E"/>
    <w:rsid w:val="009A6F16"/>
    <w:rsid w:val="00C9035A"/>
    <w:rsid w:val="2CD535EF"/>
    <w:rsid w:val="2D0143E4"/>
    <w:rsid w:val="2FB1317F"/>
    <w:rsid w:val="36974C82"/>
    <w:rsid w:val="79280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paragraph" w:styleId="5">
    <w:name w:val="footer"/>
    <w:basedOn w:val="1"/>
    <w:link w:val="49"/>
    <w:qFormat/>
    <w:uiPriority w:val="99"/>
    <w:pPr>
      <w:tabs>
        <w:tab w:val="center" w:pos="4153"/>
        <w:tab w:val="right" w:pos="8306"/>
      </w:tabs>
      <w:snapToGrid w:val="0"/>
      <w:jc w:val="left"/>
    </w:pPr>
    <w:rPr>
      <w:sz w:val="18"/>
      <w:szCs w:val="18"/>
    </w:rPr>
  </w:style>
  <w:style w:type="paragraph" w:styleId="6">
    <w:name w:val="header"/>
    <w:basedOn w:val="1"/>
    <w:link w:val="48"/>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b/>
    </w:rPr>
  </w:style>
  <w:style w:type="character" w:styleId="11">
    <w:name w:val="Hyperlink"/>
    <w:basedOn w:val="9"/>
    <w:unhideWhenUsed/>
    <w:qFormat/>
    <w:uiPriority w:val="99"/>
    <w:rPr>
      <w:color w:val="0000FF" w:themeColor="hyperlink"/>
      <w:u w:val="single"/>
    </w:rPr>
  </w:style>
  <w:style w:type="character" w:styleId="12">
    <w:name w:val="annotation reference"/>
    <w:basedOn w:val="9"/>
    <w:semiHidden/>
    <w:unhideWhenUsed/>
    <w:qFormat/>
    <w:uiPriority w:val="99"/>
    <w:rPr>
      <w:sz w:val="21"/>
      <w:szCs w:val="21"/>
    </w:rPr>
  </w:style>
  <w:style w:type="paragraph" w:customStyle="1" w:styleId="13">
    <w:name w:val="Heading 1"/>
    <w:basedOn w:val="1"/>
    <w:next w:val="1"/>
    <w:link w:val="29"/>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5">
    <w:name w:val="Heading 3"/>
    <w:basedOn w:val="1"/>
    <w:next w:val="1"/>
    <w:link w:val="33"/>
    <w:unhideWhenUsed/>
    <w:qFormat/>
    <w:uiPriority w:val="9"/>
    <w:pPr>
      <w:keepNext/>
      <w:keepLines/>
      <w:spacing w:before="260" w:after="260" w:line="416" w:lineRule="auto"/>
      <w:outlineLvl w:val="2"/>
    </w:pPr>
    <w:rPr>
      <w:b/>
      <w:bCs/>
      <w:sz w:val="32"/>
      <w:szCs w:val="32"/>
    </w:rPr>
  </w:style>
  <w:style w:type="paragraph" w:customStyle="1" w:styleId="16">
    <w:name w:val="TOC 3"/>
    <w:basedOn w:val="1"/>
    <w:next w:val="1"/>
    <w:unhideWhenUsed/>
    <w:qFormat/>
    <w:uiPriority w:val="39"/>
    <w:pPr>
      <w:tabs>
        <w:tab w:val="right" w:leader="dot" w:pos="8296"/>
      </w:tabs>
      <w:ind w:left="840" w:leftChars="400"/>
    </w:pPr>
  </w:style>
  <w:style w:type="paragraph" w:customStyle="1" w:styleId="17">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0">
    <w:name w:val="TOC 2"/>
    <w:basedOn w:val="1"/>
    <w:next w:val="1"/>
    <w:unhideWhenUsed/>
    <w:qFormat/>
    <w:uiPriority w:val="39"/>
    <w:pPr>
      <w:tabs>
        <w:tab w:val="right" w:leader="dot" w:pos="8296"/>
      </w:tabs>
      <w:ind w:left="420" w:leftChars="200"/>
    </w:pPr>
  </w:style>
  <w:style w:type="character" w:customStyle="1" w:styleId="21">
    <w:name w:val="Header Char"/>
    <w:basedOn w:val="9"/>
    <w:semiHidden/>
    <w:qFormat/>
    <w:uiPriority w:val="99"/>
    <w:rPr>
      <w:rFonts w:ascii="Times New Roman" w:hAnsi="Times New Roman"/>
      <w:sz w:val="18"/>
      <w:szCs w:val="18"/>
    </w:rPr>
  </w:style>
  <w:style w:type="character" w:customStyle="1" w:styleId="22">
    <w:name w:val="页眉 Char"/>
    <w:semiHidden/>
    <w:qFormat/>
    <w:locked/>
    <w:uiPriority w:val="99"/>
    <w:rPr>
      <w:sz w:val="18"/>
    </w:rPr>
  </w:style>
  <w:style w:type="character" w:customStyle="1" w:styleId="23">
    <w:name w:val="Footer Char"/>
    <w:basedOn w:val="9"/>
    <w:semiHidden/>
    <w:qFormat/>
    <w:uiPriority w:val="99"/>
    <w:rPr>
      <w:rFonts w:ascii="Times New Roman" w:hAnsi="Times New Roman"/>
      <w:sz w:val="18"/>
      <w:szCs w:val="18"/>
    </w:rPr>
  </w:style>
  <w:style w:type="character" w:customStyle="1" w:styleId="24">
    <w:name w:val="页脚 Char"/>
    <w:qFormat/>
    <w:locked/>
    <w:uiPriority w:val="99"/>
    <w:rPr>
      <w:sz w:val="18"/>
    </w:rPr>
  </w:style>
  <w:style w:type="character" w:customStyle="1" w:styleId="25">
    <w:name w:val="Body Text Char"/>
    <w:basedOn w:val="9"/>
    <w:semiHidden/>
    <w:qFormat/>
    <w:uiPriority w:val="99"/>
    <w:rPr>
      <w:rFonts w:ascii="Times New Roman" w:hAnsi="Times New Roman"/>
      <w:szCs w:val="24"/>
    </w:rPr>
  </w:style>
  <w:style w:type="character" w:customStyle="1" w:styleId="26">
    <w:name w:val="正文文本 Char"/>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9"/>
    <w:link w:val="13"/>
    <w:qFormat/>
    <w:uiPriority w:val="9"/>
    <w:rPr>
      <w:rFonts w:ascii="Times New Roman" w:hAnsi="Times New Roman"/>
      <w:b/>
      <w:bCs/>
      <w:kern w:val="44"/>
      <w:sz w:val="44"/>
      <w:szCs w:val="44"/>
    </w:rPr>
  </w:style>
  <w:style w:type="character" w:customStyle="1" w:styleId="30">
    <w:name w:val="标题 2 Char"/>
    <w:basedOn w:val="9"/>
    <w:link w:val="14"/>
    <w:qFormat/>
    <w:uiPriority w:val="9"/>
    <w:rPr>
      <w:rFonts w:asciiTheme="majorHAnsi" w:hAnsiTheme="majorHAnsi" w:eastAsiaTheme="majorEastAsia" w:cstheme="majorBidi"/>
      <w:b/>
      <w:bCs/>
      <w:kern w:val="2"/>
      <w:sz w:val="32"/>
      <w:szCs w:val="32"/>
    </w:rPr>
  </w:style>
  <w:style w:type="paragraph" w:customStyle="1" w:styleId="31">
    <w:name w:val="TOC 标题1"/>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批注框文本 Char"/>
    <w:basedOn w:val="9"/>
    <w:semiHidden/>
    <w:qFormat/>
    <w:uiPriority w:val="99"/>
    <w:rPr>
      <w:rFonts w:ascii="Times New Roman" w:hAnsi="Times New Roman"/>
      <w:kern w:val="2"/>
      <w:sz w:val="18"/>
      <w:szCs w:val="18"/>
    </w:rPr>
  </w:style>
  <w:style w:type="character" w:customStyle="1" w:styleId="33">
    <w:name w:val="标题 3 Char"/>
    <w:basedOn w:val="9"/>
    <w:link w:val="15"/>
    <w:qFormat/>
    <w:uiPriority w:val="9"/>
    <w:rPr>
      <w:rFonts w:ascii="Times New Roman" w:hAnsi="Times New Roman"/>
      <w:b/>
      <w:bCs/>
      <w:kern w:val="2"/>
      <w:sz w:val="32"/>
      <w:szCs w:val="32"/>
    </w:rPr>
  </w:style>
  <w:style w:type="paragraph" w:customStyle="1" w:styleId="34">
    <w:name w:val="TOC 标题2"/>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5">
    <w:name w:val="样式1"/>
    <w:basedOn w:val="1"/>
    <w:qFormat/>
    <w:uiPriority w:val="0"/>
    <w:pPr>
      <w:jc w:val="left"/>
    </w:pPr>
    <w:rPr>
      <w:rFonts w:ascii="Calibri" w:hAnsi="Calibri" w:eastAsia="仿宋_GB2312"/>
      <w:sz w:val="32"/>
    </w:rPr>
  </w:style>
  <w:style w:type="paragraph" w:customStyle="1" w:styleId="36">
    <w:name w:val="样式2"/>
    <w:basedOn w:val="1"/>
    <w:qFormat/>
    <w:uiPriority w:val="0"/>
    <w:pPr>
      <w:ind w:firstLine="200" w:firstLineChars="200"/>
    </w:pPr>
    <w:rPr>
      <w:rFonts w:eastAsia="仿宋_GB2312"/>
      <w:sz w:val="32"/>
    </w:rPr>
  </w:style>
  <w:style w:type="character" w:customStyle="1" w:styleId="37">
    <w:name w:val="font71"/>
    <w:basedOn w:val="9"/>
    <w:qFormat/>
    <w:uiPriority w:val="0"/>
    <w:rPr>
      <w:rFonts w:hint="eastAsia" w:ascii="宋体" w:hAnsi="宋体" w:eastAsia="宋体" w:cs="宋体"/>
      <w:b/>
      <w:bCs/>
      <w:color w:val="000000"/>
      <w:sz w:val="32"/>
      <w:szCs w:val="32"/>
      <w:u w:val="none"/>
    </w:rPr>
  </w:style>
  <w:style w:type="character" w:customStyle="1" w:styleId="38">
    <w:name w:val="font51"/>
    <w:basedOn w:val="9"/>
    <w:qFormat/>
    <w:uiPriority w:val="0"/>
    <w:rPr>
      <w:rFonts w:hint="eastAsia" w:ascii="宋体" w:hAnsi="宋体" w:eastAsia="宋体" w:cs="宋体"/>
      <w:color w:val="000000"/>
      <w:sz w:val="32"/>
      <w:szCs w:val="32"/>
      <w:u w:val="none"/>
    </w:rPr>
  </w:style>
  <w:style w:type="character" w:customStyle="1" w:styleId="39">
    <w:name w:val="font21"/>
    <w:basedOn w:val="9"/>
    <w:qFormat/>
    <w:uiPriority w:val="0"/>
    <w:rPr>
      <w:rFonts w:hint="eastAsia" w:ascii="宋体" w:hAnsi="宋体" w:eastAsia="宋体" w:cs="宋体"/>
      <w:color w:val="000000"/>
      <w:sz w:val="20"/>
      <w:szCs w:val="20"/>
      <w:u w:val="none"/>
    </w:rPr>
  </w:style>
  <w:style w:type="paragraph" w:customStyle="1" w:styleId="40">
    <w:name w:val="引用1"/>
    <w:next w:val="1"/>
    <w:qFormat/>
    <w:uiPriority w:val="0"/>
    <w:pPr>
      <w:wordWrap w:val="0"/>
      <w:spacing w:before="200" w:after="160"/>
      <w:ind w:left="864" w:right="864"/>
      <w:jc w:val="center"/>
    </w:pPr>
    <w:rPr>
      <w:rFonts w:ascii="Times New Roman" w:hAnsi="Times New Roman" w:eastAsia="宋体" w:cs="Times New Roman"/>
      <w:i/>
      <w:sz w:val="21"/>
      <w:szCs w:val="22"/>
      <w:lang w:val="en-US" w:eastAsia="zh-CN" w:bidi="ar-SA"/>
    </w:r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3">
    <w:name w:val="批注文字 Char"/>
    <w:basedOn w:val="9"/>
    <w:semiHidden/>
    <w:qFormat/>
    <w:uiPriority w:val="99"/>
    <w:rPr>
      <w:kern w:val="2"/>
      <w:sz w:val="21"/>
      <w:szCs w:val="24"/>
    </w:rPr>
  </w:style>
  <w:style w:type="paragraph" w:customStyle="1" w:styleId="44">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45">
    <w:name w:val="页眉 Char1"/>
    <w:basedOn w:val="9"/>
    <w:semiHidden/>
    <w:qFormat/>
    <w:uiPriority w:val="99"/>
    <w:rPr>
      <w:kern w:val="2"/>
      <w:sz w:val="18"/>
      <w:szCs w:val="18"/>
    </w:rPr>
  </w:style>
  <w:style w:type="paragraph" w:customStyle="1" w:styleId="46">
    <w:name w:val="Footer0"/>
    <w:basedOn w:val="1"/>
    <w:qFormat/>
    <w:uiPriority w:val="99"/>
    <w:pPr>
      <w:tabs>
        <w:tab w:val="center" w:pos="4153"/>
        <w:tab w:val="right" w:pos="8306"/>
      </w:tabs>
      <w:snapToGrid w:val="0"/>
      <w:jc w:val="left"/>
    </w:pPr>
    <w:rPr>
      <w:sz w:val="18"/>
      <w:szCs w:val="18"/>
    </w:rPr>
  </w:style>
  <w:style w:type="character" w:customStyle="1" w:styleId="47">
    <w:name w:val="页脚 Char1"/>
    <w:basedOn w:val="9"/>
    <w:qFormat/>
    <w:uiPriority w:val="99"/>
    <w:rPr>
      <w:kern w:val="2"/>
      <w:sz w:val="18"/>
      <w:szCs w:val="18"/>
    </w:rPr>
  </w:style>
  <w:style w:type="character" w:customStyle="1" w:styleId="48">
    <w:name w:val="页眉 Char2"/>
    <w:basedOn w:val="9"/>
    <w:link w:val="6"/>
    <w:semiHidden/>
    <w:qFormat/>
    <w:uiPriority w:val="99"/>
    <w:rPr>
      <w:kern w:val="2"/>
      <w:sz w:val="18"/>
      <w:szCs w:val="18"/>
    </w:rPr>
  </w:style>
  <w:style w:type="character" w:customStyle="1" w:styleId="49">
    <w:name w:val="页脚 Char2"/>
    <w:basedOn w:val="9"/>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customXml" Target="../customXml/item12.xml"/><Relationship Id="rId26" Type="http://schemas.openxmlformats.org/officeDocument/2006/relationships/customXml" Target="../customXml/item11.xml"/><Relationship Id="rId25" Type="http://schemas.openxmlformats.org/officeDocument/2006/relationships/customXml" Target="../customXml/item10.xml"/><Relationship Id="rId24" Type="http://schemas.openxmlformats.org/officeDocument/2006/relationships/customXml" Target="../customXml/item9.xml"/><Relationship Id="rId23" Type="http://schemas.openxmlformats.org/officeDocument/2006/relationships/customXml" Target="../customXml/item8.xml"/><Relationship Id="rId22" Type="http://schemas.openxmlformats.org/officeDocument/2006/relationships/customXml" Target="../customXml/item7.xml"/><Relationship Id="rId21" Type="http://schemas.openxmlformats.org/officeDocument/2006/relationships/customXml" Target="../customXml/item6.xml"/><Relationship Id="rId20" Type="http://schemas.openxmlformats.org/officeDocument/2006/relationships/customXml" Target="../customXml/item5.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manualLayout>
          <c:xMode val="edge"/>
          <c:yMode val="edge"/>
          <c:x val="0.218505039193729"/>
          <c:y val="0.0303234501347709"/>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Sheet1!$A$2:$A$3</c:f>
              <c:strCache>
                <c:ptCount val="2"/>
                <c:pt idx="0">
                  <c:v>2020年</c:v>
                </c:pt>
                <c:pt idx="1">
                  <c:v>2021年</c:v>
                </c:pt>
              </c:strCache>
            </c:strRef>
          </c:cat>
          <c:val>
            <c:numRef>
              <c:f>Sheet1!$B$2:$B$3</c:f>
              <c:numCache>
                <c:formatCode>General</c:formatCode>
                <c:ptCount val="2"/>
                <c:pt idx="0">
                  <c:v>2045.66</c:v>
                </c:pt>
                <c:pt idx="1">
                  <c:v>2746.12</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Sheet1!$A$2:$A$3</c:f>
              <c:strCache>
                <c:ptCount val="2"/>
                <c:pt idx="0">
                  <c:v>2020年</c:v>
                </c:pt>
                <c:pt idx="1">
                  <c:v>2021年</c:v>
                </c:pt>
              </c:strCache>
            </c:strRef>
          </c:cat>
          <c:val>
            <c:numRef>
              <c:f>Sheet1!$C$2:$C$3</c:f>
              <c:numCache>
                <c:formatCode>General</c:formatCode>
                <c:ptCount val="2"/>
                <c:pt idx="0">
                  <c:v>2054.65</c:v>
                </c:pt>
                <c:pt idx="1">
                  <c:v>3255.05</c:v>
                </c:pt>
              </c:numCache>
            </c:numRef>
          </c:val>
        </c:ser>
        <c:dLbls>
          <c:showLegendKey val="0"/>
          <c:showVal val="0"/>
          <c:showCatName val="0"/>
          <c:showSerName val="0"/>
          <c:showPercent val="0"/>
          <c:showBubbleSize val="0"/>
        </c:dLbls>
        <c:gapWidth val="219"/>
        <c:overlap val="-27"/>
        <c:axId val="189921152"/>
        <c:axId val="192851968"/>
      </c:barChart>
      <c:catAx>
        <c:axId val="18992115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851968"/>
        <c:crosses val="autoZero"/>
        <c:auto val="1"/>
        <c:lblAlgn val="ctr"/>
        <c:lblOffset val="100"/>
        <c:noMultiLvlLbl val="0"/>
      </c:catAx>
      <c:valAx>
        <c:axId val="1928519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9921152"/>
        <c:crosses val="autoZero"/>
        <c:crossBetween val="between"/>
      </c:valAx>
      <c:spPr>
        <a:noFill/>
        <a:ln>
          <a:noFill/>
        </a:ln>
        <a:effectLst/>
      </c:spPr>
    </c:plotArea>
    <c:legend>
      <c:legendPos val="b"/>
      <c:layout>
        <c:manualLayout>
          <c:xMode val="edge"/>
          <c:yMode val="edge"/>
          <c:x val="0.380094506792676"/>
          <c:y val="0.74095102909865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tx>
            <c:strRef>
              <c:f>Sheet1!$B$1</c:f>
              <c:strCache>
                <c:ptCount val="1"/>
                <c:pt idx="0">
                  <c:v>收入</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一般公共预算财政拨款收入</c:v>
                </c:pt>
                <c:pt idx="1">
                  <c:v>政府性基金预算财政拨款收入</c:v>
                </c:pt>
                <c:pt idx="2">
                  <c:v>其他收入</c:v>
                </c:pt>
              </c:strCache>
            </c:strRef>
          </c:cat>
          <c:val>
            <c:numRef>
              <c:f>Sheet1!$B$2:$B$4</c:f>
              <c:numCache>
                <c:formatCode>General</c:formatCode>
                <c:ptCount val="3"/>
                <c:pt idx="0">
                  <c:v>98.69</c:v>
                </c:pt>
                <c:pt idx="1">
                  <c:v>1.3</c:v>
                </c:pt>
                <c:pt idx="2">
                  <c:v>0.01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基本支出</c:v>
                </c:pt>
                <c:pt idx="1">
                  <c:v>项目支出</c:v>
                </c:pt>
              </c:strCache>
            </c:strRef>
          </c:cat>
          <c:val>
            <c:numRef>
              <c:f>Sheet1!$B$2:$B$3</c:f>
              <c:numCache>
                <c:formatCode>General</c:formatCode>
                <c:ptCount val="2"/>
                <c:pt idx="0">
                  <c:v>43.8</c:v>
                </c:pt>
                <c:pt idx="1">
                  <c:v>56.2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424819277108434"/>
          <c:y val="0.88682899833979"/>
          <c:w val="0.291807228915663"/>
          <c:h val="0.099612617598229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endParaRPr lang="en-US" alt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财政拨款收入</c:v>
                </c:pt>
              </c:strCache>
            </c:strRef>
          </c:tx>
          <c:spPr>
            <a:solidFill>
              <a:schemeClr val="accent1"/>
            </a:solidFill>
            <a:ln>
              <a:noFill/>
            </a:ln>
            <a:effectLst/>
          </c:spPr>
          <c:invertIfNegative val="0"/>
          <c:dLbls>
            <c:delete val="1"/>
          </c:dLbls>
          <c:cat>
            <c:strRef>
              <c:f>Sheet1!$A$2:$A$3</c:f>
              <c:strCache>
                <c:ptCount val="2"/>
                <c:pt idx="0">
                  <c:v>2020年</c:v>
                </c:pt>
                <c:pt idx="1">
                  <c:v>2021年</c:v>
                </c:pt>
              </c:strCache>
            </c:strRef>
          </c:cat>
          <c:val>
            <c:numRef>
              <c:f>Sheet1!$B$2:$B$3</c:f>
              <c:numCache>
                <c:formatCode>General</c:formatCode>
                <c:ptCount val="2"/>
                <c:pt idx="0">
                  <c:v>2045.52</c:v>
                </c:pt>
                <c:pt idx="1">
                  <c:v>2710.25</c:v>
                </c:pt>
              </c:numCache>
            </c:numRef>
          </c:val>
        </c:ser>
        <c:ser>
          <c:idx val="1"/>
          <c:order val="1"/>
          <c:tx>
            <c:strRef>
              <c:f>Sheet1!$C$1</c:f>
              <c:strCache>
                <c:ptCount val="1"/>
                <c:pt idx="0">
                  <c:v>财政拨款支出</c:v>
                </c:pt>
              </c:strCache>
            </c:strRef>
          </c:tx>
          <c:spPr>
            <a:solidFill>
              <a:schemeClr val="accent2"/>
            </a:solidFill>
            <a:ln>
              <a:noFill/>
            </a:ln>
            <a:effectLst/>
          </c:spPr>
          <c:invertIfNegative val="0"/>
          <c:dLbls>
            <c:delete val="1"/>
          </c:dLbls>
          <c:cat>
            <c:strRef>
              <c:f>Sheet1!$A$2:$A$3</c:f>
              <c:strCache>
                <c:ptCount val="2"/>
                <c:pt idx="0">
                  <c:v>2020年</c:v>
                </c:pt>
                <c:pt idx="1">
                  <c:v>2021年</c:v>
                </c:pt>
              </c:strCache>
            </c:strRef>
          </c:cat>
          <c:val>
            <c:numRef>
              <c:f>Sheet1!$C$2:$C$3</c:f>
              <c:numCache>
                <c:formatCode>General</c:formatCode>
                <c:ptCount val="2"/>
                <c:pt idx="0">
                  <c:v>2054.52</c:v>
                </c:pt>
                <c:pt idx="1">
                  <c:v>3219.18</c:v>
                </c:pt>
              </c:numCache>
            </c:numRef>
          </c:val>
        </c:ser>
        <c:dLbls>
          <c:showLegendKey val="0"/>
          <c:showVal val="0"/>
          <c:showCatName val="0"/>
          <c:showSerName val="0"/>
          <c:showPercent val="0"/>
          <c:showBubbleSize val="0"/>
        </c:dLbls>
        <c:gapWidth val="219"/>
        <c:overlap val="-27"/>
        <c:axId val="196834048"/>
        <c:axId val="196835584"/>
      </c:barChart>
      <c:catAx>
        <c:axId val="19683404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6835584"/>
        <c:crosses val="autoZero"/>
        <c:auto val="1"/>
        <c:lblAlgn val="ctr"/>
        <c:lblOffset val="100"/>
        <c:noMultiLvlLbl val="0"/>
      </c:catAx>
      <c:valAx>
        <c:axId val="1968355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68340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zh-CN"/>
              <a:t>一般公共预算财政拨款支出决算变动情况</a:t>
            </a:r>
            <a:endParaRPr alt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一般公共预算财政拨款支出</c:v>
                </c:pt>
              </c:strCache>
            </c:strRef>
          </c:tx>
          <c:spPr>
            <a:solidFill>
              <a:srgbClr val="FFFF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2054.52</c:v>
                </c:pt>
                <c:pt idx="1">
                  <c:v>3219.18</c:v>
                </c:pt>
              </c:numCache>
            </c:numRef>
          </c:val>
        </c:ser>
        <c:ser>
          <c:idx val="1"/>
          <c:order val="1"/>
          <c:tx>
            <c:strRef>
              <c:f>Sheet1!$C$1</c:f>
              <c:strCache>
                <c:ptCount val="1"/>
                <c:pt idx="0">
                  <c:v>本年支出合计</c:v>
                </c:pt>
              </c:strCache>
            </c:strRef>
          </c:tx>
          <c:spPr>
            <a:solidFill>
              <a:srgbClr val="FF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2021年</c:v>
                </c:pt>
              </c:strCache>
            </c:strRef>
          </c:cat>
          <c:val>
            <c:numRef>
              <c:f>Sheet1!$C$2:$C$3</c:f>
              <c:numCache>
                <c:formatCode>General</c:formatCode>
                <c:ptCount val="2"/>
                <c:pt idx="0">
                  <c:v>2054.65</c:v>
                </c:pt>
                <c:pt idx="1">
                  <c:v>3255.05</c:v>
                </c:pt>
              </c:numCache>
            </c:numRef>
          </c:val>
        </c:ser>
        <c:dLbls>
          <c:showLegendKey val="0"/>
          <c:showVal val="1"/>
          <c:showCatName val="0"/>
          <c:showSerName val="0"/>
          <c:showPercent val="0"/>
          <c:showBubbleSize val="0"/>
        </c:dLbls>
        <c:gapWidth val="219"/>
        <c:overlap val="-27"/>
        <c:axId val="196873600"/>
        <c:axId val="196887680"/>
      </c:barChart>
      <c:catAx>
        <c:axId val="19687360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6887680"/>
        <c:crosses val="autoZero"/>
        <c:auto val="1"/>
        <c:lblAlgn val="ctr"/>
        <c:lblOffset val="100"/>
        <c:noMultiLvlLbl val="0"/>
      </c:catAx>
      <c:valAx>
        <c:axId val="1968876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68736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manualLayout>
          <c:xMode val="edge"/>
          <c:yMode val="edge"/>
          <c:x val="0.211009416329202"/>
          <c:y val="0.0266619267685746"/>
        </c:manualLayout>
      </c:layout>
      <c:overlay val="0"/>
      <c:spPr>
        <a:noFill/>
        <a:ln>
          <a:noFill/>
        </a:ln>
        <a:effectLst/>
      </c:spPr>
    </c:title>
    <c:autoTitleDeleted val="0"/>
    <c:plotArea>
      <c:layout>
        <c:manualLayout>
          <c:layoutTarget val="inner"/>
          <c:xMode val="edge"/>
          <c:yMode val="edge"/>
          <c:x val="0.0794622831206903"/>
          <c:y val="0.146428571428571"/>
          <c:w val="0.508097416244283"/>
          <c:h val="0.698979591836735"/>
        </c:manualLayout>
      </c:layout>
      <c:pieChart>
        <c:varyColors val="1"/>
        <c:ser>
          <c:idx val="0"/>
          <c:order val="0"/>
          <c:tx>
            <c:strRef>
              <c:f>Sheet1!$B$1</c:f>
              <c:strCache>
                <c:ptCount val="1"/>
                <c:pt idx="0">
                  <c:v>支出</c:v>
                </c:pt>
              </c:strCache>
            </c:strRef>
          </c:tx>
          <c:spPr>
            <a:solidFill>
              <a:srgbClr val="FF0000"/>
            </a:solidFill>
          </c:spPr>
          <c:explosion val="0"/>
          <c:dPt>
            <c:idx val="0"/>
            <c:bubble3D val="0"/>
            <c:spPr>
              <a:gradFill>
                <a:gsLst>
                  <a:gs pos="0">
                    <a:srgbClr val="E30000"/>
                  </a:gs>
                  <a:gs pos="100000">
                    <a:srgbClr val="760303"/>
                  </a:gs>
                </a:gsLst>
                <a:lin ang="5400000" scaled="0"/>
              </a:gradFill>
              <a:ln w="19050">
                <a:solidFill>
                  <a:schemeClr val="lt1"/>
                </a:solidFill>
              </a:ln>
              <a:effectLst/>
            </c:spPr>
          </c:dPt>
          <c:dPt>
            <c:idx val="1"/>
            <c:bubble3D val="0"/>
            <c:spPr>
              <a:gradFill>
                <a:gsLst>
                  <a:gs pos="0">
                    <a:srgbClr val="9EE256"/>
                  </a:gs>
                  <a:gs pos="100000">
                    <a:srgbClr val="52762D"/>
                  </a:gs>
                </a:gsLst>
                <a:lin ang="5400000" scaled="0"/>
              </a:gradFill>
              <a:ln w="19050">
                <a:solidFill>
                  <a:schemeClr val="lt1"/>
                </a:solidFill>
              </a:ln>
              <a:effectLst/>
            </c:spPr>
          </c:dPt>
          <c:dPt>
            <c:idx val="2"/>
            <c:bubble3D val="0"/>
            <c:spPr>
              <a:solidFill>
                <a:schemeClr val="accent2">
                  <a:lumMod val="60000"/>
                  <a:lumOff val="40000"/>
                </a:schemeClr>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tx1"/>
              </a:solidFill>
              <a:ln w="19050">
                <a:solidFill>
                  <a:schemeClr val="lt1"/>
                </a:solidFill>
              </a:ln>
              <a:effectLst/>
            </c:spPr>
          </c:dPt>
          <c:dPt>
            <c:idx val="5"/>
            <c:bubble3D val="0"/>
            <c:spPr>
              <a:solidFill>
                <a:schemeClr val="accent5"/>
              </a:solidFill>
              <a:ln w="19050">
                <a:solidFill>
                  <a:schemeClr val="lt1"/>
                </a:solidFill>
              </a:ln>
              <a:effectLst/>
            </c:spPr>
          </c:dPt>
          <c:dPt>
            <c:idx val="6"/>
            <c:bubble3D val="0"/>
            <c:spPr>
              <a:gradFill>
                <a:gsLst>
                  <a:gs pos="0">
                    <a:srgbClr val="FBFB11"/>
                  </a:gs>
                  <a:gs pos="100000">
                    <a:srgbClr val="838309"/>
                  </a:gs>
                </a:gsLst>
                <a:lin ang="5400000" scaled="0"/>
              </a:gradFill>
              <a:ln w="19050">
                <a:solidFill>
                  <a:schemeClr val="lt1"/>
                </a:solidFill>
              </a:ln>
              <a:effectLst/>
            </c:spPr>
          </c:dPt>
          <c:dPt>
            <c:idx val="7"/>
            <c:bubble3D val="0"/>
            <c:spPr>
              <a:solidFill>
                <a:schemeClr val="accent2">
                  <a:lumMod val="20000"/>
                  <a:lumOff val="80000"/>
                </a:schemeClr>
              </a:solidFill>
              <a:ln w="19050">
                <a:solidFill>
                  <a:schemeClr val="lt1"/>
                </a:solidFill>
              </a:ln>
              <a:effectLst/>
            </c:spPr>
          </c:dPt>
          <c:dPt>
            <c:idx val="8"/>
            <c:bubble3D val="0"/>
            <c:spPr>
              <a:solidFill>
                <a:srgbClr val="FF0000"/>
              </a:solidFill>
              <a:ln w="19050">
                <a:solidFill>
                  <a:schemeClr val="lt1"/>
                </a:solidFill>
              </a:ln>
              <a:effectLst/>
            </c:spPr>
          </c:dPt>
          <c:dLbls>
            <c:dLbl>
              <c:idx val="0"/>
              <c:layout>
                <c:manualLayout>
                  <c:x val="0.0932673186221283"/>
                  <c:y val="0.014631093017272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984646308775187"/>
                  <c:y val="-0.0012927232630460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71094718038496"/>
                  <c:y val="0.097033605274274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9242098690581"/>
                  <c:y val="-0.00082412487187864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14254570976891"/>
                  <c:y val="0.017958592146120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05587559709013"/>
                  <c:y val="0.013346747386911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602215656229465"/>
                  <c:y val="-0.066607647116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0329199154238942"/>
                  <c:y val="-0.027726742838168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968017364387826"/>
                  <c:y val="-0.01759555496238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Sheet1!$A$2:$A$10</c:f>
              <c:strCache>
                <c:ptCount val="9"/>
                <c:pt idx="0">
                  <c:v>一般公共服务支出</c:v>
                </c:pt>
                <c:pt idx="1">
                  <c:v>文化旅游体育与传媒支出</c:v>
                </c:pt>
                <c:pt idx="2">
                  <c:v>社会保障和就业支出</c:v>
                </c:pt>
                <c:pt idx="3">
                  <c:v>卫生健康支出</c:v>
                </c:pt>
                <c:pt idx="4">
                  <c:v>节能环保支出</c:v>
                </c:pt>
                <c:pt idx="5">
                  <c:v>城乡社区支出</c:v>
                </c:pt>
                <c:pt idx="6">
                  <c:v>农林水支出</c:v>
                </c:pt>
                <c:pt idx="7">
                  <c:v>商业服务业等支出</c:v>
                </c:pt>
                <c:pt idx="8">
                  <c:v>住房保障支出</c:v>
                </c:pt>
              </c:strCache>
            </c:strRef>
          </c:cat>
          <c:val>
            <c:numRef>
              <c:f>Sheet1!$B$2:$B$10</c:f>
              <c:numCache>
                <c:formatCode>0.00%</c:formatCode>
                <c:ptCount val="9"/>
                <c:pt idx="0">
                  <c:v>0.3116</c:v>
                </c:pt>
                <c:pt idx="1">
                  <c:v>0.0062</c:v>
                </c:pt>
                <c:pt idx="2">
                  <c:v>0.0427</c:v>
                </c:pt>
                <c:pt idx="3">
                  <c:v>0.0178</c:v>
                </c:pt>
                <c:pt idx="4">
                  <c:v>0.0001</c:v>
                </c:pt>
                <c:pt idx="5">
                  <c:v>0.0777000000000001</c:v>
                </c:pt>
                <c:pt idx="6">
                  <c:v>0.3392</c:v>
                </c:pt>
                <c:pt idx="7">
                  <c:v>0.0028</c:v>
                </c:pt>
                <c:pt idx="8">
                  <c:v>0.2019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11954506119421"/>
          <c:y val="0.212939921791681"/>
          <c:w val="0.274817653603659"/>
          <c:h val="0.68254532527550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rPr altLang="en-US"/>
              <a:t>三公</a:t>
            </a:r>
            <a:r>
              <a:rPr lang="en-US" altLang="zh-CN"/>
              <a:t>”</a:t>
            </a:r>
            <a:r>
              <a:rPr altLang="en-US"/>
              <a:t>经费财政拨款支出结构图                          万元</a:t>
            </a:r>
            <a:endParaRPr altLang="en-US"/>
          </a:p>
        </c:rich>
      </c:tx>
      <c:layout>
        <c:manualLayout>
          <c:xMode val="edge"/>
          <c:yMode val="edge"/>
          <c:x val="0.240452074506219"/>
          <c:y val="0.0169395821569735"/>
        </c:manualLayout>
      </c:layout>
      <c:overlay val="0"/>
      <c:spPr>
        <a:noFill/>
        <a:ln>
          <a:noFill/>
        </a:ln>
        <a:effectLst/>
      </c:spPr>
    </c:title>
    <c:autoTitleDeleted val="0"/>
    <c:plotArea>
      <c:layout>
        <c:manualLayout>
          <c:layoutTarget val="inner"/>
          <c:xMode val="edge"/>
          <c:yMode val="edge"/>
          <c:x val="0.140765765765766"/>
          <c:y val="0.21985494106981"/>
          <c:w val="0.379754754754755"/>
          <c:h val="0.687896645512239"/>
        </c:manualLayout>
      </c:layout>
      <c:pieChart>
        <c:varyColors val="1"/>
        <c:ser>
          <c:idx val="0"/>
          <c:order val="0"/>
          <c:tx>
            <c:strRef>
              <c:f>Sheet1!$B$1</c:f>
              <c:strCache>
                <c:ptCount val="1"/>
                <c:pt idx="0">
                  <c:v>收入</c:v>
                </c:pt>
              </c:strCache>
            </c:strRef>
          </c:tx>
          <c:explosion val="0"/>
          <c:dPt>
            <c:idx val="0"/>
            <c:bubble3D val="0"/>
            <c:spPr>
              <a:solidFill>
                <a:srgbClr val="FF0000"/>
              </a:solidFill>
              <a:ln w="19050">
                <a:solidFill>
                  <a:schemeClr val="lt1"/>
                </a:solidFill>
              </a:ln>
              <a:effectLst/>
            </c:spPr>
          </c:dPt>
          <c:dPt>
            <c:idx val="1"/>
            <c:bubble3D val="0"/>
            <c:spPr>
              <a:solidFill>
                <a:srgbClr val="FFFF00"/>
              </a:solidFill>
              <a:ln w="19050">
                <a:solidFill>
                  <a:schemeClr val="lt1"/>
                </a:solidFill>
              </a:ln>
              <a:effectLst/>
            </c:spPr>
          </c:dPt>
          <c:dPt>
            <c:idx val="2"/>
            <c:bubble3D val="0"/>
            <c:spPr>
              <a:solidFill>
                <a:srgbClr val="00B0F0"/>
              </a:solidFill>
              <a:ln w="19050">
                <a:solidFill>
                  <a:schemeClr val="lt1"/>
                </a:solidFill>
              </a:ln>
              <a:effectLst/>
            </c:spPr>
          </c:dPt>
          <c:dLbls>
            <c:dLbl>
              <c:idx val="2"/>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因公出国（境）费用</c:v>
                </c:pt>
                <c:pt idx="1">
                  <c:v>公务用车购置及运行维护费</c:v>
                </c:pt>
                <c:pt idx="2">
                  <c:v>公务接待费</c:v>
                </c:pt>
              </c:strCache>
            </c:strRef>
          </c:cat>
          <c:val>
            <c:numRef>
              <c:f>Sheet1!$B$2:$B$4</c:f>
              <c:numCache>
                <c:formatCode>General</c:formatCode>
                <c:ptCount val="3"/>
                <c:pt idx="0">
                  <c:v>0</c:v>
                </c:pt>
                <c:pt idx="1">
                  <c:v>0</c:v>
                </c:pt>
                <c:pt idx="2">
                  <c:v>5.5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96204445788598"/>
          <c:y val="0.24901185770751"/>
          <c:w val="0.290488431876607"/>
          <c:h val="0.70863918690005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9</TotalTime>
  <Pages>20</Pages>
  <Words>1299</Words>
  <Characters>7408</Characters>
  <Application>Microsoft Office Word</Application>
  <DocSecurity>0</DocSecurity>
  <Lines>61</Lines>
  <Paragraphs>17</Paragraphs>
  <ScaleCrop>false</ScaleCrop>
  <Company>四川省财政厅</Company>
  <LinksUpToDate>false</LinksUpToDate>
  <CharactersWithSpaces>8690</CharactersWithSpaces>
  <SharedDoc>false</SharedDoc>
  <HyperlinksChanged>false</HyperlinksChanged>
  <AppVersion>12.0000</AppVersion>
</Properties>
</file>

<file path=customXml/item10.xml><?xml version="1.0" encoding="utf-8"?>
<Properties xmlns:vt="http://schemas.openxmlformats.org/officeDocument/2006/docPropsVTypes" xmlns="http://schemas.openxmlformats.org/officeDocument/2006/extended-properties">
  <Template>Normal.dotm</Template>
  <TotalTime>2</TotalTime>
  <Pages>20</Pages>
  <Words>6677</Words>
  <Characters>7453</Characters>
  <Application>WPS Office_10.8.2.6784_F1E327BC-269C-435d-A152-05C5408002CA</Application>
  <DocSecurity>0</DocSecurity>
  <Lines>61</Lines>
  <Paragraphs>17</Paragraphs>
  <Company>四川省财政厅</Company>
  <CharactersWithSpaces>7526</CharactersWithSpaces>
  <AppVersion>14.0000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2022-09-14T01:51:21Z</dcterms:modified>
  <dc:title>四川省***</dc:title>
  <cp:revision>32</cp:revision>
</cp:coreProperties>
</file>

<file path=customXml/item12.xml><?xml version="1.0" encoding="utf-8"?>
<Properties xmlns="http://schemas.openxmlformats.org/officeDocument/2006/extended-properties" xmlns:vt="http://schemas.openxmlformats.org/officeDocument/2006/docPropsVTypes">
  <Template>Normal.dotm</Template>
  <Company>四川省财政厅</Company>
  <Pages>20</Pages>
  <Words>6677</Words>
  <Characters>7453</Characters>
  <Lines>61</Lines>
  <Paragraphs>17</Paragraphs>
  <TotalTime>2</TotalTime>
  <ScaleCrop>false</ScaleCrop>
  <LinksUpToDate>false</LinksUpToDate>
  <CharactersWithSpaces>7526</CharactersWithSpaces>
  <Application>WPS Office_10.8.2.6784_F1E327BC-269C-435d-A152-05C5408002CA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32</cp:revision>
  <cp:lastPrinted>2022-08-06T02:23:00Z</cp:lastPrinted>
  <dcterms:created xsi:type="dcterms:W3CDTF">2020-08-05T01:49:00Z</dcterms:created>
  <dcterms:modified xsi:type="dcterms:W3CDTF">2022-09-14T01:51:21Z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35</cp:revision>
  <cp:lastPrinted>2022-08-06T02:23:00Z</cp:lastPrinted>
  <dcterms:created xsi:type="dcterms:W3CDTF">2020-08-05T01:49:00Z</dcterms:created>
  <dcterms:modified xsi:type="dcterms:W3CDTF">2023-03-01T03:45:00Z</dcterms:modified>
</cp:coreProperties>
</file>

<file path=customXml/item4.xml><?xml version="1.0" encoding="utf-8"?>
<Properties xmlns:vt="http://schemas.openxmlformats.org/officeDocument/2006/docPropsVTypes" xmlns="http://schemas.openxmlformats.org/officeDocument/2006/extended-properties">
  <Template>Normal</Template>
  <TotalTime>9</TotalTime>
  <Pages>20</Pages>
  <Words>1299</Words>
  <Characters>7408</Characters>
  <Application>Microsoft Office Word</Application>
  <DocSecurity>0</DocSecurity>
  <Lines>61</Lines>
  <Paragraphs>17</Paragraphs>
  <Company>四川省财政厅</Company>
  <CharactersWithSpaces>8690</CharactersWithSpaces>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845DE443D3014A84BB5A5467E63C8774</vt:lpw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845DE443D3014A84BB5A5467E63C8774</vt:lpw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2052-10.8.2.6784</vt:lpstr>
  </property>
  <property fmtid="{D5CDD505-2E9C-101B-9397-08002B2CF9AE}" pid="3" name="ICV">
    <vt:lpstr>845DE443D3014A84BB5A5467E63C8774</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2052-10.8.2.6784</vt:lpstr>
  </property>
  <property fmtid="{D5CDD505-2E9C-101B-9397-08002B2CF9AE}" pid="3" name="ICV">
    <vt:lpstr>845DE443D3014A84BB5A5467E63C8774</vt:lp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35</cp:revision>
  <cp:lastPrinted>2022-08-06T02:23:00Z</cp:lastPrinted>
  <dcterms:created xsi:type="dcterms:W3CDTF">2020-08-05T01:49:00Z</dcterms:created>
  <dcterms:modified xsi:type="dcterms:W3CDTF">2023-03-01T03:45:00Z</dcterms:modified>
</cp:coreProperties>
</file>

<file path=customXml/itemProps1.xml><?xml version="1.0" encoding="utf-8"?>
<ds:datastoreItem xmlns:ds="http://schemas.openxmlformats.org/officeDocument/2006/customXml" ds:itemID="{3544A3EE-93D9-4247-8D29-A0B54DCD78D9}">
  <ds:schemaRefs/>
</ds:datastoreItem>
</file>

<file path=customXml/itemProps10.xml><?xml version="1.0" encoding="utf-8"?>
<ds:datastoreItem xmlns:ds="http://schemas.openxmlformats.org/officeDocument/2006/customXml" ds:itemID="{3A9558A1-97B8-487D-B322-8AB66B49A8BC}">
  <ds:schemaRefs/>
</ds:datastoreItem>
</file>

<file path=customXml/itemProps11.xml><?xml version="1.0" encoding="utf-8"?>
<ds:datastoreItem xmlns:ds="http://schemas.openxmlformats.org/officeDocument/2006/customXml" ds:itemID="{3FB1C92D-C00B-422B-8530-5D5D1B64DFEF}">
  <ds:schemaRefs/>
</ds:datastoreItem>
</file>

<file path=customXml/itemProps12.xml><?xml version="1.0" encoding="utf-8"?>
<ds:datastoreItem xmlns:ds="http://schemas.openxmlformats.org/officeDocument/2006/customXml" ds:itemID="{A5AE8ECC-6908-4166-98C0-D5342E48DFD6}">
  <ds:schemaRefs/>
</ds:datastoreItem>
</file>

<file path=customXml/itemProps2.xml><?xml version="1.0" encoding="utf-8"?>
<ds:datastoreItem xmlns:ds="http://schemas.openxmlformats.org/officeDocument/2006/customXml" ds:itemID="{ADBBE264-5B65-4892-A228-31B677CD2C08}">
  <ds:schemaRefs/>
</ds:datastoreItem>
</file>

<file path=customXml/itemProps3.xml><?xml version="1.0" encoding="utf-8"?>
<ds:datastoreItem xmlns:ds="http://schemas.openxmlformats.org/officeDocument/2006/customXml" ds:itemID="{E3B62F3C-FA05-445D-A743-38D8190A5F71}">
  <ds:schemaRefs/>
</ds:datastoreItem>
</file>

<file path=customXml/itemProps4.xml><?xml version="1.0" encoding="utf-8"?>
<ds:datastoreItem xmlns:ds="http://schemas.openxmlformats.org/officeDocument/2006/customXml" ds:itemID="{54E50092-0C69-4F7D-9C60-A0E946159F6F}">
  <ds:schemaRefs/>
</ds:datastoreItem>
</file>

<file path=customXml/itemProps5.xml><?xml version="1.0" encoding="utf-8"?>
<ds:datastoreItem xmlns:ds="http://schemas.openxmlformats.org/officeDocument/2006/customXml" ds:itemID="{060C43C2-2CA6-48B4-BC86-A10481582F75}">
  <ds:schemaRefs/>
</ds:datastoreItem>
</file>

<file path=customXml/itemProps6.xml><?xml version="1.0" encoding="utf-8"?>
<ds:datastoreItem xmlns:ds="http://schemas.openxmlformats.org/officeDocument/2006/customXml" ds:itemID="{D47A9151-9348-40E0-81F2-5706C852973E}">
  <ds:schemaRefs/>
</ds:datastoreItem>
</file>

<file path=customXml/itemProps7.xml><?xml version="1.0" encoding="utf-8"?>
<ds:datastoreItem xmlns:ds="http://schemas.openxmlformats.org/officeDocument/2006/customXml" ds:itemID="{4B753A1D-6919-4DC1-A8E7-07028D34A23C}">
  <ds:schemaRefs/>
</ds:datastoreItem>
</file>

<file path=customXml/itemProps8.xml><?xml version="1.0" encoding="utf-8"?>
<ds:datastoreItem xmlns:ds="http://schemas.openxmlformats.org/officeDocument/2006/customXml" ds:itemID="{0C34F760-1554-4FFB-929A-7C95F3842DB2}">
  <ds:schemaRefs/>
</ds:datastoreItem>
</file>

<file path=customXml/itemProps9.xml><?xml version="1.0" encoding="utf-8"?>
<ds:datastoreItem xmlns:ds="http://schemas.openxmlformats.org/officeDocument/2006/customXml" ds:itemID="{C59619D8-84C8-47FE-9162-CB227E3F170D}">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19</Pages>
  <Words>6514</Words>
  <Characters>7237</Characters>
  <Lines>61</Lines>
  <Paragraphs>17</Paragraphs>
  <TotalTime>12</TotalTime>
  <ScaleCrop>false</ScaleCrop>
  <LinksUpToDate>false</LinksUpToDate>
  <CharactersWithSpaces>7423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2023-04-16T11:43:27Z</dcterms:modified>
  <dc:title>四川省***</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845DE443D3014A84BB5A5467E63C8774</vt:lpwstr>
  </property>
</Properties>
</file>