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ascii="方正小标宋简体" w:hAnsi="Calibri" w:eastAsia="方正小标宋简体" w:cs="Times New Roman"/>
          <w:b/>
          <w:color w:val="0D0D0D"/>
          <w:sz w:val="44"/>
          <w:szCs w:val="44"/>
        </w:rPr>
      </w:pPr>
      <w:r>
        <w:rPr>
          <w:rFonts w:ascii="Calibri" w:hAnsi="Calibri" w:eastAsia="仿宋_GB2312" w:cs="Times New Roman"/>
          <w:b/>
          <w:color w:val="0D0D0D"/>
          <w:sz w:val="32"/>
          <w:szCs w:val="32"/>
        </w:rPr>
        <w:t>附件</w:t>
      </w:r>
    </w:p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通江县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2"/>
        <w:tblW w:w="862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hint="default" w:ascii="仿宋_GB2312" w:hAnsi="Calibri" w:eastAsia="仿宋_GB2312" w:cs="Times New Roman"/>
                <w:color w:val="0D0D0D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E27089"/>
    <w:rsid w:val="7688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2023-04-24T03:03:22Z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