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rPr>
      </w:pPr>
      <w:bookmarkStart w:id="1" w:name="_Toc15396475"/>
      <w:bookmarkStart w:id="2" w:name="_Toc15377193"/>
      <w:bookmarkStart w:id="3" w:name="_Toc15378441"/>
      <w:bookmarkStart w:id="4" w:name="_Toc15396597"/>
      <w:bookmarkStart w:id="5" w:name="_Toc15377425"/>
      <w:r>
        <w:rPr>
          <w:rFonts w:hint="eastAsia" w:ascii="方正小标宋简体" w:hAnsi="方正小标宋简体" w:eastAsia="方正小标宋简体" w:cs="方正小标宋简体"/>
          <w:b/>
          <w:bCs/>
          <w:color w:val="auto"/>
          <w:sz w:val="72"/>
          <w:szCs w:val="72"/>
          <w:highlight w:val="none"/>
        </w:rPr>
        <w:t>20</w:t>
      </w:r>
      <w:r>
        <w:rPr>
          <w:rFonts w:hint="eastAsia" w:ascii="方正小标宋简体" w:hAnsi="方正小标宋简体" w:eastAsia="方正小标宋简体" w:cs="方正小标宋简体"/>
          <w:b/>
          <w:bCs/>
          <w:color w:val="auto"/>
          <w:sz w:val="72"/>
          <w:szCs w:val="72"/>
          <w:highlight w:val="none"/>
          <w:lang w:val="en-US" w:eastAsia="zh-CN"/>
        </w:rPr>
        <w:t>20</w:t>
      </w:r>
      <w:r>
        <w:rPr>
          <w:rFonts w:hint="eastAsia" w:ascii="方正小标宋简体" w:hAnsi="方正小标宋简体" w:eastAsia="方正小标宋简体" w:cs="方正小标宋简体"/>
          <w:b/>
          <w:bCs/>
          <w:color w:val="auto"/>
          <w:sz w:val="72"/>
          <w:szCs w:val="72"/>
          <w:highlight w:val="none"/>
        </w:rPr>
        <w:t>年度</w:t>
      </w:r>
      <w:bookmarkEnd w:id="1"/>
      <w:bookmarkEnd w:id="2"/>
      <w:bookmarkEnd w:id="3"/>
      <w:bookmarkEnd w:id="4"/>
      <w:bookmarkEnd w:id="5"/>
      <w:bookmarkStart w:id="6" w:name="_Toc15396476"/>
      <w:bookmarkStart w:id="7" w:name="_Toc15396598"/>
      <w:bookmarkStart w:id="8" w:name="_Toc15377426"/>
      <w:bookmarkStart w:id="9" w:name="_Toc15377194"/>
      <w:bookmarkStart w:id="10" w:name="_Toc15378442"/>
    </w:p>
    <w:bookmarkEnd w:id="0"/>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72"/>
          <w:szCs w:val="72"/>
          <w:highlight w:val="none"/>
          <w:lang w:eastAsia="zh-CN"/>
        </w:rPr>
      </w:pPr>
      <w:bookmarkStart w:id="11" w:name="_Toc15306268"/>
      <w:r>
        <w:rPr>
          <w:rFonts w:hint="eastAsia" w:ascii="方正小标宋简体" w:hAnsi="方正小标宋简体" w:eastAsia="方正小标宋简体" w:cs="方正小标宋简体"/>
          <w:b/>
          <w:bCs/>
          <w:color w:val="auto"/>
          <w:sz w:val="72"/>
          <w:szCs w:val="72"/>
          <w:highlight w:val="none"/>
          <w:lang w:eastAsia="zh-CN"/>
        </w:rPr>
        <w:t>通江县教育科学研究室</w:t>
      </w:r>
    </w:p>
    <w:p>
      <w:pPr>
        <w:adjustRightInd w:val="0"/>
        <w:snapToGrid w:val="0"/>
        <w:spacing w:line="360" w:lineRule="auto"/>
        <w:jc w:val="center"/>
        <w:outlineLvl w:val="0"/>
        <w:rPr>
          <w:rFonts w:hint="eastAsia" w:ascii="方正小标宋简体" w:hAnsi="方正小标宋简体" w:eastAsia="方正小标宋简体" w:cs="方正小标宋简体"/>
          <w:b/>
          <w:bCs/>
          <w:color w:val="auto"/>
          <w:sz w:val="52"/>
          <w:szCs w:val="52"/>
          <w:highlight w:val="none"/>
          <w:lang w:eastAsia="zh-CN"/>
        </w:rPr>
      </w:pPr>
      <w:r>
        <w:rPr>
          <w:rFonts w:hint="eastAsia" w:ascii="方正小标宋简体" w:hAnsi="方正小标宋简体" w:eastAsia="方正小标宋简体" w:cs="方正小标宋简体"/>
          <w:b/>
          <w:bCs/>
          <w:color w:val="auto"/>
          <w:sz w:val="72"/>
          <w:szCs w:val="72"/>
          <w:highlight w:val="none"/>
          <w:lang w:eastAsia="zh-CN"/>
        </w:rPr>
        <w:t>单位</w:t>
      </w:r>
      <w:r>
        <w:rPr>
          <w:rFonts w:hint="eastAsia" w:ascii="方正小标宋简体" w:hAnsi="方正小标宋简体" w:eastAsia="方正小标宋简体" w:cs="方正小标宋简体"/>
          <w:b/>
          <w:bCs/>
          <w:color w:val="auto"/>
          <w:sz w:val="72"/>
          <w:szCs w:val="72"/>
          <w:highlight w:val="none"/>
        </w:rPr>
        <w:t>决算</w:t>
      </w:r>
      <w:bookmarkEnd w:id="6"/>
      <w:bookmarkEnd w:id="7"/>
      <w:bookmarkEnd w:id="8"/>
      <w:bookmarkEnd w:id="9"/>
      <w:bookmarkEnd w:id="10"/>
      <w:bookmarkEnd w:id="11"/>
      <w:r>
        <w:rPr>
          <w:rFonts w:hint="eastAsia" w:ascii="方正小标宋简体" w:hAnsi="方正小标宋简体" w:eastAsia="方正小标宋简体" w:cs="方正小标宋简体"/>
          <w:b/>
          <w:bCs/>
          <w:color w:val="auto"/>
          <w:sz w:val="72"/>
          <w:szCs w:val="72"/>
          <w:highlight w:val="none"/>
          <w:lang w:eastAsia="zh-CN"/>
        </w:rPr>
        <w:t>编制说明</w:t>
      </w:r>
    </w:p>
    <w:p>
      <w:pPr>
        <w:widowControl/>
        <w:jc w:val="center"/>
        <w:rPr>
          <w:rFonts w:ascii="方正小标宋简体" w:hAnsi="宋体" w:eastAsia="方正小标宋简体"/>
          <w:b/>
          <w:bCs/>
          <w:color w:val="auto"/>
          <w:sz w:val="36"/>
          <w:szCs w:val="36"/>
          <w:highlight w:val="none"/>
        </w:rPr>
      </w:pPr>
    </w:p>
    <w:p>
      <w:pPr>
        <w:widowControl/>
        <w:jc w:val="center"/>
        <w:rPr>
          <w:rFonts w:ascii="方正小标宋简体" w:hAnsi="宋体" w:eastAsia="方正小标宋简体"/>
          <w:color w:val="auto"/>
          <w:sz w:val="36"/>
          <w:szCs w:val="36"/>
          <w:highlight w:val="none"/>
        </w:rPr>
      </w:pPr>
    </w:p>
    <w:p>
      <w:pPr>
        <w:widowControl/>
        <w:jc w:val="center"/>
        <w:rPr>
          <w:rFonts w:ascii="方正小标宋简体" w:hAnsi="宋体" w:eastAsia="方正小标宋简体"/>
          <w:color w:val="auto"/>
          <w:sz w:val="36"/>
          <w:szCs w:val="36"/>
          <w:highlight w:val="none"/>
        </w:rPr>
      </w:pPr>
    </w:p>
    <w:p>
      <w:pPr>
        <w:widowControl/>
        <w:jc w:val="center"/>
        <w:rPr>
          <w:rFonts w:ascii="方正小标宋简体" w:hAnsi="宋体" w:eastAsia="方正小标宋简体"/>
          <w:color w:val="auto"/>
          <w:sz w:val="36"/>
          <w:szCs w:val="36"/>
          <w:highlight w:val="none"/>
        </w:rPr>
      </w:pPr>
    </w:p>
    <w:p>
      <w:pPr>
        <w:widowControl/>
        <w:jc w:val="center"/>
        <w:rPr>
          <w:rFonts w:ascii="方正小标宋简体" w:hAnsi="宋体" w:eastAsia="方正小标宋简体"/>
          <w:color w:val="auto"/>
          <w:sz w:val="36"/>
          <w:szCs w:val="36"/>
          <w:highlight w:val="none"/>
        </w:rPr>
      </w:pPr>
    </w:p>
    <w:p>
      <w:pPr>
        <w:widowControl/>
        <w:jc w:val="center"/>
        <w:rPr>
          <w:rFonts w:ascii="方正小标宋简体" w:hAnsi="宋体" w:eastAsia="方正小标宋简体"/>
          <w:color w:val="auto"/>
          <w:sz w:val="36"/>
          <w:szCs w:val="36"/>
          <w:highlight w:val="none"/>
        </w:rPr>
      </w:pPr>
    </w:p>
    <w:p>
      <w:pPr>
        <w:widowControl/>
        <w:jc w:val="center"/>
        <w:rPr>
          <w:rFonts w:ascii="方正小标宋简体" w:hAnsi="宋体" w:eastAsia="方正小标宋简体"/>
          <w:color w:val="auto"/>
          <w:sz w:val="36"/>
          <w:szCs w:val="36"/>
          <w:highlight w:val="none"/>
        </w:rPr>
      </w:pPr>
    </w:p>
    <w:p>
      <w:pPr>
        <w:pStyle w:val="10"/>
        <w:rPr>
          <w:rFonts w:hint="eastAsia"/>
          <w:color w:val="auto"/>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21</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1</w:t>
      </w:r>
      <w:r>
        <w:rPr>
          <w:rFonts w:hint="eastAsia"/>
          <w:color w:val="auto"/>
          <w:highlight w:val="none"/>
        </w:rPr>
        <w:t>日</w:t>
      </w:r>
    </w:p>
    <w:p>
      <w:pPr>
        <w:pStyle w:val="10"/>
        <w:bidi w:val="0"/>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rPr>
          <w:color w:val="auto"/>
          <w:highlight w:val="none"/>
        </w:rPr>
      </w:pPr>
    </w:p>
    <w:p>
      <w:pPr>
        <w:pStyle w:val="10"/>
        <w:adjustRightInd w:val="0"/>
        <w:snapToGrid w:val="0"/>
        <w:spacing w:before="0"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 xml:space="preserve">第一部分 </w:t>
      </w:r>
      <w:r>
        <w:rPr>
          <w:rFonts w:hint="eastAsia" w:ascii="仿宋" w:hAnsi="仿宋" w:eastAsia="仿宋" w:cs="仿宋"/>
          <w:color w:val="auto"/>
          <w:sz w:val="24"/>
          <w:highlight w:val="none"/>
          <w:lang w:eastAsia="zh-CN"/>
        </w:rPr>
        <w:t>单位</w:t>
      </w:r>
      <w:r>
        <w:rPr>
          <w:rFonts w:hint="eastAsia" w:ascii="仿宋" w:hAnsi="仿宋" w:eastAsia="仿宋" w:cs="仿宋"/>
          <w:color w:val="auto"/>
          <w:sz w:val="24"/>
          <w:highlight w:val="none"/>
        </w:rPr>
        <w:t>概况</w:t>
      </w:r>
      <w:r>
        <w:rPr>
          <w:rFonts w:hint="eastAsia" w:cs="仿宋"/>
          <w:color w:val="auto"/>
          <w:sz w:val="24"/>
          <w:highlight w:val="none"/>
          <w:lang w:eastAsia="zh-CN"/>
        </w:rPr>
        <w:t>　</w:t>
      </w:r>
    </w:p>
    <w:p>
      <w:pPr>
        <w:pStyle w:val="11"/>
        <w:adjustRightInd w:val="0"/>
        <w:snapToGrid w:val="0"/>
        <w:spacing w:line="440" w:lineRule="exact"/>
        <w:ind w:left="0" w:leftChars="0" w:firstLine="480" w:firstLineChars="200"/>
        <w:jc w:val="righ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一、职能</w:t>
      </w:r>
      <w:r>
        <w:rPr>
          <w:rFonts w:hint="eastAsia" w:ascii="仿宋" w:hAnsi="仿宋" w:eastAsia="仿宋" w:cs="仿宋"/>
          <w:color w:val="auto"/>
          <w:sz w:val="24"/>
          <w:highlight w:val="none"/>
          <w:lang w:eastAsia="zh-CN"/>
        </w:rPr>
        <w:t>简介－</w:t>
      </w:r>
      <w:r>
        <w:rPr>
          <w:rFonts w:hint="eastAsia" w:ascii="仿宋" w:hAnsi="仿宋" w:eastAsia="仿宋" w:cs="仿宋"/>
          <w:color w:val="0000FF"/>
          <w:sz w:val="24"/>
          <w:highlight w:val="none"/>
          <w:lang w:val="en-US" w:eastAsia="zh-CN"/>
        </w:rPr>
        <w:t>------</w:t>
      </w:r>
      <w:r>
        <w:rPr>
          <w:rFonts w:hint="eastAsia" w:ascii="仿宋" w:hAnsi="仿宋" w:eastAsia="仿宋" w:cs="仿宋"/>
          <w:color w:val="auto"/>
          <w:sz w:val="24"/>
          <w:highlight w:val="none"/>
          <w:lang w:val="en-US" w:eastAsia="zh-CN"/>
        </w:rPr>
        <w:t>--------------------------------------- 4</w:t>
      </w:r>
    </w:p>
    <w:p>
      <w:pPr>
        <w:pStyle w:val="11"/>
        <w:adjustRightInd w:val="0"/>
        <w:snapToGrid w:val="0"/>
        <w:spacing w:line="440" w:lineRule="exact"/>
        <w:ind w:left="0" w:leftChars="0" w:firstLine="480" w:firstLineChars="200"/>
        <w:jc w:val="righ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lang w:val="en-US" w:eastAsia="zh-CN"/>
        </w:rPr>
        <w:t>2020年重点</w:t>
      </w:r>
      <w:r>
        <w:rPr>
          <w:rFonts w:hint="eastAsia" w:ascii="仿宋" w:hAnsi="仿宋" w:eastAsia="仿宋" w:cs="仿宋"/>
          <w:color w:val="auto"/>
          <w:sz w:val="24"/>
          <w:highlight w:val="none"/>
        </w:rPr>
        <w:t>工作</w:t>
      </w:r>
      <w:r>
        <w:rPr>
          <w:rFonts w:hint="eastAsia" w:ascii="仿宋" w:hAnsi="仿宋" w:eastAsia="仿宋" w:cs="仿宋"/>
          <w:color w:val="auto"/>
          <w:sz w:val="24"/>
          <w:highlight w:val="none"/>
          <w:lang w:eastAsia="zh-CN"/>
        </w:rPr>
        <w:t>完成情况</w:t>
      </w:r>
      <w:r>
        <w:rPr>
          <w:rStyle w:val="33"/>
          <w:rFonts w:hint="eastAsia"/>
          <w:lang w:eastAsia="zh-CN"/>
        </w:rPr>
        <w:t>　</w:t>
      </w:r>
      <w:r>
        <w:rPr>
          <w:rStyle w:val="33"/>
          <w:rFonts w:hint="eastAsia"/>
          <w:lang w:val="en-US" w:eastAsia="zh-CN"/>
        </w:rPr>
        <w:t>--------------------------</w:t>
      </w:r>
      <w:r>
        <w:rPr>
          <w:rFonts w:hint="eastAsia" w:ascii="仿宋" w:hAnsi="仿宋" w:eastAsia="仿宋" w:cs="仿宋"/>
          <w:color w:val="auto"/>
          <w:sz w:val="24"/>
          <w:highlight w:val="none"/>
          <w:lang w:val="en-US" w:eastAsia="zh-CN"/>
        </w:rPr>
        <w:t>4</w:t>
      </w:r>
    </w:p>
    <w:p>
      <w:pPr>
        <w:pStyle w:val="10"/>
        <w:adjustRightInd w:val="0"/>
        <w:snapToGrid w:val="0"/>
        <w:spacing w:before="0" w:line="440" w:lineRule="exact"/>
        <w:jc w:val="righ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第二部分</w:t>
      </w:r>
      <w:r>
        <w:rPr>
          <w:rFonts w:hint="eastAsia" w:ascii="仿宋" w:hAnsi="仿宋" w:eastAsia="仿宋" w:cs="仿宋"/>
          <w:color w:val="auto"/>
          <w:sz w:val="24"/>
          <w:highlight w:val="none"/>
          <w:lang w:val="en-US" w:eastAsia="zh-CN"/>
        </w:rPr>
        <w:t xml:space="preserve"> 202</w:t>
      </w:r>
      <w:r>
        <w:rPr>
          <w:rFonts w:hint="eastAsia" w:cs="仿宋"/>
          <w:color w:val="auto"/>
          <w:sz w:val="24"/>
          <w:highlight w:val="none"/>
          <w:lang w:val="en-US" w:eastAsia="zh-CN"/>
        </w:rPr>
        <w:t>0</w:t>
      </w:r>
      <w:r>
        <w:rPr>
          <w:rFonts w:hint="eastAsia" w:ascii="仿宋" w:hAnsi="仿宋" w:eastAsia="仿宋" w:cs="仿宋"/>
          <w:color w:val="auto"/>
          <w:sz w:val="24"/>
          <w:highlight w:val="none"/>
          <w:lang w:val="en-US" w:eastAsia="zh-CN"/>
        </w:rPr>
        <w:t>年度</w:t>
      </w:r>
      <w:r>
        <w:rPr>
          <w:rFonts w:hint="eastAsia" w:ascii="仿宋" w:hAnsi="仿宋" w:eastAsia="仿宋" w:cs="仿宋"/>
          <w:color w:val="auto"/>
          <w:sz w:val="24"/>
          <w:highlight w:val="none"/>
          <w:lang w:eastAsia="zh-CN"/>
        </w:rPr>
        <w:t>单位</w:t>
      </w:r>
      <w:r>
        <w:rPr>
          <w:rFonts w:hint="eastAsia" w:ascii="仿宋" w:hAnsi="仿宋" w:eastAsia="仿宋" w:cs="仿宋"/>
          <w:color w:val="auto"/>
          <w:sz w:val="24"/>
          <w:highlight w:val="none"/>
        </w:rPr>
        <w:t>决算情况说</w:t>
      </w:r>
      <w:r>
        <w:rPr>
          <w:rFonts w:hint="eastAsia" w:cs="仿宋"/>
          <w:color w:val="auto"/>
          <w:sz w:val="24"/>
          <w:highlight w:val="none"/>
          <w:lang w:val="en-US" w:eastAsia="zh-CN"/>
        </w:rPr>
        <w:t xml:space="preserve">  ----------------------------- 8 </w:t>
      </w:r>
    </w:p>
    <w:p>
      <w:pPr>
        <w:pStyle w:val="11"/>
        <w:adjustRightInd w:val="0"/>
        <w:snapToGrid w:val="0"/>
        <w:spacing w:line="440" w:lineRule="exact"/>
        <w:jc w:val="righ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一、收入支出决算总体情况说明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８</w:t>
      </w:r>
    </w:p>
    <w:p>
      <w:pPr>
        <w:pStyle w:val="11"/>
        <w:adjustRightInd w:val="0"/>
        <w:snapToGrid w:val="0"/>
        <w:spacing w:line="440" w:lineRule="exact"/>
        <w:jc w:val="righ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二、收入决算情况说明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８　　</w:t>
      </w:r>
    </w:p>
    <w:p>
      <w:pPr>
        <w:pStyle w:val="11"/>
        <w:adjustRightInd w:val="0"/>
        <w:snapToGrid w:val="0"/>
        <w:spacing w:line="440" w:lineRule="exact"/>
        <w:jc w:val="righ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三、支出决算情况说明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９</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四、财政拨款收入支出决算总体情况说明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--------------------- 10</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五、一般公共预算财政拨款支出决算情况说明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----------------- 11</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六、一般公共预算财政拨款基本支出决算情况说明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------------- 14</w:t>
      </w:r>
    </w:p>
    <w:p>
      <w:pPr>
        <w:pStyle w:val="11"/>
        <w:adjustRightInd w:val="0"/>
        <w:snapToGrid w:val="0"/>
        <w:spacing w:line="44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七、</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三公”经费财政拨款支出决算情况说明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------------------- 14</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八、政府性基金预算支出决算情况说明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----------------------- 16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九、国有资本经营预算支出决算情况说明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--------------------- 16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十、其他重要事项的情况说明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-------------------------------16</w:t>
      </w:r>
    </w:p>
    <w:p>
      <w:pPr>
        <w:pStyle w:val="10"/>
        <w:adjustRightInd w:val="0"/>
        <w:snapToGrid w:val="0"/>
        <w:spacing w:before="0" w:line="440" w:lineRule="exact"/>
        <w:jc w:val="righ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第三部分 名词解释</w:t>
      </w:r>
      <w:r>
        <w:rPr>
          <w:rFonts w:hint="eastAsia" w:cs="仿宋"/>
          <w:color w:val="auto"/>
          <w:sz w:val="24"/>
          <w:highlight w:val="none"/>
          <w:lang w:eastAsia="zh-CN"/>
        </w:rPr>
        <w:t>－</w:t>
      </w:r>
      <w:r>
        <w:rPr>
          <w:rFonts w:hint="eastAsia" w:cs="仿宋"/>
          <w:color w:val="auto"/>
          <w:sz w:val="24"/>
          <w:highlight w:val="none"/>
          <w:lang w:val="en-US" w:eastAsia="zh-CN"/>
        </w:rPr>
        <w:t>-------------------------------------------  19</w:t>
      </w:r>
    </w:p>
    <w:p>
      <w:pPr>
        <w:pStyle w:val="10"/>
        <w:adjustRightInd w:val="0"/>
        <w:snapToGrid w:val="0"/>
        <w:spacing w:before="0" w:line="440" w:lineRule="exact"/>
        <w:jc w:val="righ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第四部分 附件</w:t>
      </w:r>
      <w:r>
        <w:rPr>
          <w:rFonts w:hint="eastAsia" w:cs="仿宋"/>
          <w:color w:val="auto"/>
          <w:sz w:val="24"/>
          <w:highlight w:val="none"/>
          <w:lang w:eastAsia="zh-CN"/>
        </w:rPr>
        <w:t>－</w:t>
      </w:r>
      <w:r>
        <w:rPr>
          <w:rFonts w:hint="eastAsia" w:cs="仿宋"/>
          <w:color w:val="auto"/>
          <w:sz w:val="24"/>
          <w:highlight w:val="none"/>
          <w:lang w:val="en-US" w:eastAsia="zh-CN"/>
        </w:rPr>
        <w:t>-----------------------------------------------  22</w:t>
      </w:r>
    </w:p>
    <w:p>
      <w:pPr>
        <w:pStyle w:val="10"/>
        <w:adjustRightInd w:val="0"/>
        <w:snapToGrid w:val="0"/>
        <w:spacing w:before="0" w:line="440" w:lineRule="exact"/>
        <w:jc w:val="righ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rPr>
        <w:t>第五部分 附表</w:t>
      </w:r>
      <w:r>
        <w:rPr>
          <w:rFonts w:hint="eastAsia" w:cs="仿宋"/>
          <w:color w:val="auto"/>
          <w:sz w:val="24"/>
          <w:highlight w:val="none"/>
          <w:lang w:eastAsia="zh-CN"/>
        </w:rPr>
        <w:t>－</w:t>
      </w:r>
      <w:r>
        <w:rPr>
          <w:rFonts w:hint="eastAsia"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一、收入支出决算总表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二、收入决算表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三、支出决算表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四、财政拨款收入支出决算总表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五、财政拨款支出决算明细表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六、一般公共预算财政拨款支出决算表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七、一般公共预算财政拨款支出决算明细表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八、一般公共预算财政拨款基本支出决算表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九、一般公共预算财政拨款项目支出决算表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-------------------- 26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十、一般公共预算财政拨款“三公”经费支出决算表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十一、政府性基金预算财政拨款收入支出决算表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十二、政府性基金预算财政拨款“三公”经费支出决算表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十三、国有资本经营预算</w:t>
      </w:r>
      <w:r>
        <w:rPr>
          <w:rFonts w:hint="eastAsia" w:ascii="仿宋" w:hAnsi="仿宋" w:eastAsia="仿宋" w:cs="仿宋"/>
          <w:color w:val="auto"/>
          <w:sz w:val="24"/>
          <w:highlight w:val="none"/>
          <w:lang w:eastAsia="zh-CN"/>
        </w:rPr>
        <w:t>财政拨款收入</w:t>
      </w:r>
      <w:r>
        <w:rPr>
          <w:rFonts w:hint="eastAsia" w:ascii="仿宋" w:hAnsi="仿宋" w:eastAsia="仿宋" w:cs="仿宋"/>
          <w:color w:val="auto"/>
          <w:sz w:val="24"/>
          <w:highlight w:val="none"/>
        </w:rPr>
        <w:t>支出决算表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---------------26</w:t>
      </w:r>
    </w:p>
    <w:p>
      <w:pPr>
        <w:pStyle w:val="11"/>
        <w:adjustRightInd w:val="0"/>
        <w:snapToGrid w:val="0"/>
        <w:spacing w:line="440" w:lineRule="exact"/>
        <w:jc w:val="righ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十四、国有资本经营预算财政拨款支出决算表－-------------------26</w:t>
      </w:r>
    </w:p>
    <w:p>
      <w:pPr>
        <w:pStyle w:val="3"/>
        <w:jc w:val="center"/>
        <w:rPr>
          <w:rFonts w:hint="eastAsia" w:ascii="黑体" w:hAnsi="黑体" w:eastAsia="黑体"/>
          <w:b w:val="0"/>
          <w:color w:val="auto"/>
          <w:highlight w:val="none"/>
        </w:rPr>
      </w:pPr>
      <w:bookmarkStart w:id="12" w:name="_Toc15377196"/>
      <w:bookmarkStart w:id="13" w:name="_Toc15396599"/>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both"/>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Fonts w:hint="eastAsia" w:ascii="仿宋" w:hAnsi="仿宋" w:eastAsia="仿宋" w:cs="黑体"/>
          <w:sz w:val="32"/>
          <w:szCs w:val="32"/>
          <w:lang w:val="en-US"/>
        </w:rPr>
      </w:pPr>
      <w:bookmarkStart w:id="14" w:name="_Toc15377197"/>
      <w:bookmarkStart w:id="15" w:name="_Toc15396600"/>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pStyle w:val="4"/>
        <w:numPr>
          <w:ilvl w:val="0"/>
          <w:numId w:val="0"/>
        </w:numPr>
        <w:ind w:firstLine="640" w:firstLineChars="200"/>
        <w:rPr>
          <w:rFonts w:hint="eastAsia" w:ascii="仿宋" w:hAnsi="仿宋" w:eastAsia="仿宋" w:cs="黑体"/>
          <w:b w:val="0"/>
          <w:bCs w:val="0"/>
          <w:sz w:val="32"/>
          <w:szCs w:val="32"/>
          <w:lang w:val="en-US"/>
        </w:rPr>
      </w:pPr>
      <w:r>
        <w:rPr>
          <w:rFonts w:hint="eastAsia" w:ascii="仿宋" w:hAnsi="仿宋" w:eastAsia="仿宋" w:cs="黑体"/>
          <w:b w:val="0"/>
          <w:bCs w:val="0"/>
          <w:kern w:val="2"/>
          <w:sz w:val="32"/>
          <w:szCs w:val="32"/>
          <w:lang w:val="en-US" w:eastAsia="zh-CN" w:bidi="ar"/>
        </w:rPr>
        <w:t>通江县教育科学研究室贯彻执行有关教师发展方面的方针政策，法律法规及各种规范性文件，为教育发展服务。负责教师培训及继续教育工作，研究评估全县教师队伍发展状况，负责全县中小学教学研究与指导、教育科研管理、教育教学质量监测工作；负责全县中小学教育教学信息资源建设、应用、管理和校园电化教育网络建设与维护、技术培训、教学指导等工作，协助全县语言文字工作。</w:t>
      </w:r>
    </w:p>
    <w:p>
      <w:pPr>
        <w:numPr>
          <w:ilvl w:val="0"/>
          <w:numId w:val="0"/>
        </w:numPr>
        <w:rPr>
          <w:rFonts w:hint="eastAsia"/>
        </w:rPr>
      </w:pPr>
    </w:p>
    <w:p>
      <w:pPr>
        <w:pStyle w:val="4"/>
        <w:numPr>
          <w:ilvl w:val="0"/>
          <w:numId w:val="0"/>
        </w:numPr>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二、2020年重点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1、加强队伍建设，增强服务意识</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强化教研员“五个一”制度</w:t>
      </w:r>
      <w:r>
        <w:rPr>
          <w:rFonts w:hint="eastAsia" w:ascii="仿宋" w:hAnsi="仿宋" w:eastAsia="仿宋" w:cs="仿宋"/>
          <w:kern w:val="2"/>
          <w:sz w:val="32"/>
          <w:szCs w:val="32"/>
          <w:lang w:val="en-US" w:eastAsia="zh-CN" w:bidi="ar"/>
        </w:rPr>
        <w:t>。即教研员每学期至少读一本学术论著；一项科研课题研究；发表一篇教学论文；联系一个教改实验点；做一次教学改革学术报告等，切实提高每一位教研员的理论素养和工作能力。</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强化教研员联片工作制度</w:t>
      </w:r>
      <w:r>
        <w:rPr>
          <w:rFonts w:hint="eastAsia" w:ascii="仿宋" w:hAnsi="仿宋" w:eastAsia="仿宋" w:cs="仿宋"/>
          <w:kern w:val="2"/>
          <w:sz w:val="32"/>
          <w:szCs w:val="32"/>
          <w:lang w:val="en-US" w:eastAsia="zh-CN" w:bidi="ar"/>
        </w:rPr>
        <w:t>。即每位教研员联系1学区，组织并参加学区内的一切教研活动，深入学区各校，尤其是村小学和教学点，指导开展教学教研工作。要求教研员要经常性深入一线，走进课堂听课、评课和组织教研活动；全年听课、评课累计不少于120节。</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强化兼职教研职责</w:t>
      </w:r>
      <w:r>
        <w:rPr>
          <w:rFonts w:hint="eastAsia" w:ascii="仿宋" w:hAnsi="仿宋" w:eastAsia="仿宋" w:cs="仿宋"/>
          <w:kern w:val="2"/>
          <w:sz w:val="32"/>
          <w:szCs w:val="32"/>
          <w:lang w:val="en-US" w:eastAsia="zh-CN" w:bidi="ar"/>
        </w:rPr>
        <w:t>。进一步完善学区教研员及中学兼职教研员队伍建设，充分发挥他们的示范、带动作用。进一步增强全体教研员的服务意识，充分发挥他们在教学研究、管理、指导中的优势，为学校和一线教师服好务。</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2、 加强教研工作力度，提升教师队伍素质</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加强教研指导力度</w:t>
      </w:r>
      <w:r>
        <w:rPr>
          <w:rFonts w:hint="eastAsia" w:ascii="仿宋" w:hAnsi="仿宋" w:eastAsia="仿宋" w:cs="仿宋"/>
          <w:kern w:val="2"/>
          <w:sz w:val="32"/>
          <w:szCs w:val="32"/>
          <w:lang w:val="en-US" w:eastAsia="zh-CN" w:bidi="ar"/>
        </w:rPr>
        <w:t>，检查并指导各校教研组工作。督促并指导各校教研活动计划的制定和实施，在督促和指导中，把教研活动的内容是否符合学校实际，开展是否有效，是否有利于教师专业成长，是否有利于提高教学质量作为工作目标。建立并实施城区学校教学联盟，开展首次教学活动。</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深入开展学科教研活动</w:t>
      </w:r>
      <w:r>
        <w:rPr>
          <w:rFonts w:hint="eastAsia" w:ascii="仿宋" w:hAnsi="仿宋" w:eastAsia="仿宋" w:cs="仿宋"/>
          <w:kern w:val="2"/>
          <w:sz w:val="32"/>
          <w:szCs w:val="32"/>
          <w:lang w:val="en-US" w:eastAsia="zh-CN" w:bidi="ar"/>
        </w:rPr>
        <w:t>。各学科除扎实开展年会外，应结合各学科自身特点，创新性地开展好优质课展评和专题研讨活动，促进教师转变教学观念，规范教学行为，提高教师专业素质。创新展评课活动内容及形式，让更多的老师参与。开展小学各学科年会暨课赛，开展中学语文、数学、生物、英语、化学等学科教学展评活动。</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开展展、评、赛等活动。</w:t>
      </w:r>
      <w:r>
        <w:rPr>
          <w:rFonts w:hint="eastAsia" w:ascii="仿宋" w:hAnsi="仿宋" w:eastAsia="仿宋" w:cs="仿宋"/>
          <w:kern w:val="2"/>
          <w:sz w:val="32"/>
          <w:szCs w:val="32"/>
          <w:lang w:val="en-US" w:eastAsia="zh-CN" w:bidi="ar"/>
        </w:rPr>
        <w:t>持续深入开展新入职教师合格课课堂展评活动和初中群文阅读课题研究及成果运用活动。</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培养一批教坛新秀。</w:t>
      </w:r>
      <w:r>
        <w:rPr>
          <w:rFonts w:hint="eastAsia" w:ascii="仿宋" w:hAnsi="仿宋" w:eastAsia="仿宋" w:cs="仿宋"/>
          <w:kern w:val="2"/>
          <w:sz w:val="32"/>
          <w:szCs w:val="32"/>
          <w:lang w:val="en-US" w:eastAsia="zh-CN" w:bidi="ar"/>
        </w:rPr>
        <w:t>充分发挥省、市、县骨干教师的典型带动，市、县级学科带头人和骨干教师的示范作用，采取一对一、多对一或一对多的“传、帮、带”等形式，深入边远学校，尤其是村小学和教学点，开展“送教下乡”、“小专题研究”等活动，为通江教育培养更多教坛新秀，从而打造一支叫得响、树得起的名师和品牌队伍。</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探索教研新途径</w:t>
      </w:r>
      <w:r>
        <w:rPr>
          <w:rFonts w:hint="eastAsia" w:ascii="仿宋" w:hAnsi="仿宋" w:eastAsia="仿宋" w:cs="仿宋"/>
          <w:kern w:val="2"/>
          <w:sz w:val="32"/>
          <w:szCs w:val="32"/>
          <w:lang w:val="en-US" w:eastAsia="zh-CN" w:bidi="ar"/>
        </w:rPr>
        <w:t>。通过与电教馆合作，积极探索信息技术2.0背景下常规教研和网络教研相结合的网络教研新途径，为教师提供成长“沃土”。</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3、夯实学校教学常规，提高教育教学质量</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夯实教学常规。</w:t>
      </w:r>
      <w:r>
        <w:rPr>
          <w:rFonts w:hint="eastAsia" w:ascii="仿宋" w:hAnsi="仿宋" w:eastAsia="仿宋" w:cs="仿宋"/>
          <w:kern w:val="2"/>
          <w:sz w:val="32"/>
          <w:szCs w:val="32"/>
          <w:lang w:val="en-US" w:eastAsia="zh-CN" w:bidi="ar"/>
        </w:rPr>
        <w:t>教学常规是学校教学工作的基本要求和行为规范，它是全面推进素质教育，提高教育质量的重要保证，也是形成良好校风、教风和学风的重要条件。切实落实“双减”政策，推进“五项管理”工作落地，深入一线指导学校教师备课、上课、作业常规和教研等常规。督促学校严格按课程设置标准开全课程，开足课时和加强对音、体、美教学和实验教学的管理，保证学生每天一小时的体育锻炼时间。</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规范集体备课制度。</w:t>
      </w:r>
      <w:r>
        <w:rPr>
          <w:rFonts w:hint="eastAsia" w:ascii="仿宋" w:hAnsi="仿宋" w:eastAsia="仿宋" w:cs="仿宋"/>
          <w:kern w:val="2"/>
          <w:sz w:val="32"/>
          <w:szCs w:val="32"/>
          <w:lang w:val="en-US" w:eastAsia="zh-CN" w:bidi="ar"/>
        </w:rPr>
        <w:t>加强集体备课研究，积极实践“传、看、听、评、帮”一条龙的教学相长措施，培育教育教学教研共同体，规范“集体备课、资源共享、扬长补短、课后反思”的备课制度，充分发挥教师的集体智慧，提高教学设计的整体水平。</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提高课堂教学效率</w:t>
      </w:r>
      <w:r>
        <w:rPr>
          <w:rFonts w:hint="eastAsia" w:ascii="仿宋" w:hAnsi="仿宋" w:eastAsia="仿宋" w:cs="仿宋"/>
          <w:kern w:val="2"/>
          <w:sz w:val="32"/>
          <w:szCs w:val="32"/>
          <w:lang w:val="en-US" w:eastAsia="zh-CN" w:bidi="ar"/>
        </w:rPr>
        <w:t>。立足课堂，向40分钟要质量。围绕教育质量主题，紧抓课堂主阵地，以课堂为中心，通过课堂观察与诊断，发现教师在教学中的突出问题和学生在学习中的困惑，探索解决这些问题的新策略，提升课堂教学活动过程与教学效果的有效性，提高课堂教学效率。</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积极备战中高考。</w:t>
      </w:r>
      <w:r>
        <w:rPr>
          <w:rFonts w:hint="eastAsia" w:ascii="仿宋" w:hAnsi="仿宋" w:eastAsia="仿宋" w:cs="仿宋"/>
          <w:kern w:val="2"/>
          <w:sz w:val="32"/>
          <w:szCs w:val="32"/>
          <w:lang w:val="en-US" w:eastAsia="zh-CN" w:bidi="ar"/>
        </w:rPr>
        <w:t>切实发挥高三工作领导小组和指导小组职能，督促落实学校班子成员挂包班级，高三教师挂包学生，做好诊断考试和阶段分析，提升有效分，力争2022年高考再出亮点，出精品，重本和本科上线率较去年提升5%。</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建立健全评价制度</w:t>
      </w:r>
      <w:r>
        <w:rPr>
          <w:rFonts w:hint="eastAsia" w:ascii="仿宋" w:hAnsi="仿宋" w:eastAsia="仿宋" w:cs="仿宋"/>
          <w:kern w:val="2"/>
          <w:sz w:val="32"/>
          <w:szCs w:val="32"/>
          <w:lang w:val="en-US" w:eastAsia="zh-CN" w:bidi="ar"/>
        </w:rPr>
        <w:t>。积极探索适合我县实际的“双减”背景下的考试与评价制度，加强对各学段质量监测和指导，建立对学校的跟踪评价体系。倡导“立足过程，促进发展”的课程评价，强化考核，强化全员目标意识，促质量提升。</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4、加强教育科研工作，促进学校内涵发展</w:t>
      </w:r>
    </w:p>
    <w:p>
      <w:pPr>
        <w:keepNext w:val="0"/>
        <w:keepLines w:val="0"/>
        <w:widowControl w:val="0"/>
        <w:suppressLineNumbers w:val="0"/>
        <w:spacing w:before="0" w:beforeAutospacing="0" w:after="0" w:afterAutospacing="0" w:line="520" w:lineRule="exact"/>
        <w:ind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加强学校教育科研工作</w:t>
      </w:r>
      <w:r>
        <w:rPr>
          <w:rFonts w:hint="eastAsia" w:ascii="仿宋" w:hAnsi="仿宋" w:eastAsia="仿宋" w:cs="仿宋"/>
          <w:kern w:val="2"/>
          <w:sz w:val="32"/>
          <w:szCs w:val="32"/>
          <w:lang w:val="en-US" w:eastAsia="zh-CN" w:bidi="ar"/>
        </w:rPr>
        <w:t>。以省、市、县各类课题为抓手，广泛开展中小学课题研究，以教师在教育教学中发现的一个个真问题，立足于我们的基础，引导教师从“小”处着手，进行小专题研究，扎实开展校本教研，尤其是微型课题研究，让学校与教师都能紧扣教育教学中的具体问题开展微型课题研究，真正做到课题研究为教育教学服务，解决教育教学中的真问题。探索信息技术2.0背景下的中小学各学科深度教学实践研究，及“信息技术与学科深度融合”等相关课题研究。</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val="0"/>
          <w:kern w:val="2"/>
          <w:sz w:val="32"/>
          <w:szCs w:val="32"/>
          <w:lang w:val="en-US" w:eastAsia="zh-CN" w:bidi="ar"/>
        </w:rPr>
        <w:t>切实做好课题管理工作。</w:t>
      </w:r>
      <w:r>
        <w:rPr>
          <w:rFonts w:hint="eastAsia" w:ascii="仿宋" w:hAnsi="仿宋" w:eastAsia="仿宋" w:cs="仿宋"/>
          <w:kern w:val="2"/>
          <w:sz w:val="32"/>
          <w:szCs w:val="32"/>
          <w:lang w:val="en-US" w:eastAsia="zh-CN" w:bidi="ar"/>
        </w:rPr>
        <w:t>积极做好普教类课题的立项申报和微型课题的立项备案；积极做好各类在研课题的过程检查、督促指导；积极做好部分课题的效果检测、结题、阶段性成果提炼；扎实做好县内科研成果的推广等工作；组织开展第三届县微型课题成果评审工作。</w:t>
      </w:r>
    </w:p>
    <w:p>
      <w:pPr>
        <w:keepNext w:val="0"/>
        <w:keepLines w:val="0"/>
        <w:widowControl w:val="0"/>
        <w:suppressLineNumbers w:val="0"/>
        <w:spacing w:before="0" w:beforeAutospacing="0" w:after="0" w:afterAutospacing="0" w:line="52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5、语委及其他工作</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扎实开展语言文字工作，抓好“推普周”宣传活动，配合完成“国家语言资源保护工程”建设。认真开展普通话培训与测试。 </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继续完善教育学会的各项规章制度，充分发挥教育学会的职能作用，做好教育学会各分支机构理事会的换届及工作指导，为教育教学服务。</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 w:hAnsi="仿宋" w:eastAsia="仿宋" w:cs="仿宋"/>
          <w:sz w:val="28"/>
          <w:szCs w:val="28"/>
          <w:lang w:val="en-US"/>
        </w:rPr>
      </w:pPr>
    </w:p>
    <w:p>
      <w:pPr>
        <w:pStyle w:val="3"/>
        <w:ind w:right="440"/>
        <w:jc w:val="center"/>
        <w:rPr>
          <w:rStyle w:val="25"/>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2020年度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2"/>
        </w:numPr>
        <w:spacing w:line="600" w:lineRule="exact"/>
        <w:ind w:left="720" w:leftChars="0" w:firstLineChars="0"/>
        <w:outlineLvl w:val="1"/>
        <w:rPr>
          <w:rStyle w:val="26"/>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160.50</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12.46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7.76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增加调整预算和教研活动开支增加。</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rPr>
          <w:rFonts w:hint="eastAsia" w:ascii="仿宋" w:hAnsi="仿宋" w:eastAsia="仿宋"/>
          <w:color w:val="auto"/>
          <w:sz w:val="32"/>
          <w:szCs w:val="32"/>
          <w:highlight w:val="none"/>
          <w:lang w:eastAsia="zh-CN"/>
        </w:rPr>
      </w:pPr>
    </w:p>
    <w:p>
      <w:pPr>
        <w:spacing w:line="600" w:lineRule="exact"/>
        <w:ind w:firstLine="320" w:firstLineChars="1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left="720" w:leftChars="0"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160.50</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158.37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98.67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ascii="仿宋" w:hAnsi="仿宋" w:eastAsia="仿宋"/>
          <w:b/>
          <w:color w:val="auto"/>
          <w:sz w:val="32"/>
          <w:szCs w:val="32"/>
          <w:highlight w:val="none"/>
          <w:lang w:eastAsia="zh-CN"/>
        </w:rPr>
      </w:pP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left="720" w:leftChars="0" w:firstLineChars="0"/>
        <w:outlineLvl w:val="1"/>
        <w:rPr>
          <w:rStyle w:val="26"/>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年本年支出合计万元，其中：基本支出</w:t>
      </w:r>
      <w:r>
        <w:rPr>
          <w:rFonts w:hint="eastAsia" w:ascii="仿宋" w:hAnsi="仿宋" w:eastAsia="仿宋"/>
          <w:color w:val="auto"/>
          <w:sz w:val="32"/>
          <w:szCs w:val="32"/>
          <w:highlight w:val="none"/>
          <w:lang w:val="en-US" w:eastAsia="zh-CN"/>
        </w:rPr>
        <w:t>160.50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outlineLvl w:val="1"/>
        <w:rPr>
          <w:rStyle w:val="26"/>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160.50</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12.46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7.76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增加预算调整和增加教学科研活动开支。</w:t>
      </w:r>
    </w:p>
    <w:p>
      <w:pPr>
        <w:spacing w:line="600" w:lineRule="exact"/>
        <w:ind w:firstLine="640"/>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outlineLvl w:val="1"/>
        <w:rPr>
          <w:rStyle w:val="26"/>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160.50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12.46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7.76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增加教学科研活动开支。</w:t>
      </w: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ascii="仿宋" w:hAnsi="仿宋" w:eastAsia="仿宋"/>
          <w:color w:val="auto"/>
          <w:sz w:val="32"/>
          <w:szCs w:val="32"/>
          <w:highlight w:val="none"/>
          <w:lang w:eastAsia="zh-CN"/>
        </w:rPr>
      </w:pPr>
    </w:p>
    <w:p>
      <w:pPr>
        <w:pStyle w:val="2"/>
        <w:rPr>
          <w:rFonts w:hint="eastAsia" w:ascii="仿宋" w:hAnsi="仿宋" w:eastAsia="仿宋"/>
          <w:color w:val="auto"/>
          <w:sz w:val="32"/>
          <w:szCs w:val="32"/>
          <w:highlight w:val="none"/>
          <w:lang w:eastAsia="zh-CN"/>
        </w:rPr>
      </w:pPr>
    </w:p>
    <w:p>
      <w:pPr>
        <w:pStyle w:val="2"/>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160.50</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lang w:eastAsia="zh-CN"/>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b/>
          <w:color w:val="auto"/>
          <w:sz w:val="32"/>
          <w:szCs w:val="32"/>
          <w:highlight w:val="none"/>
          <w:lang w:val="en-US" w:eastAsia="zh-CN"/>
        </w:rPr>
        <w:t>129.88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0</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13.50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8.41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6.99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4.35</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10.12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6.32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7444"/>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20</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160.50万元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3" w:firstLineChars="200"/>
        <w:rPr>
          <w:rStyle w:val="15"/>
          <w:rFonts w:hint="eastAsia" w:ascii="仿宋" w:hAnsi="仿宋" w:eastAsia="仿宋"/>
          <w:b w:val="0"/>
          <w:bCs/>
          <w:color w:val="auto"/>
          <w:sz w:val="32"/>
          <w:szCs w:val="32"/>
          <w:highlight w:val="none"/>
          <w:lang w:eastAsia="zh-CN"/>
        </w:rPr>
      </w:pPr>
      <w:r>
        <w:rPr>
          <w:rStyle w:val="15"/>
          <w:rFonts w:hint="eastAsia" w:ascii="仿宋" w:hAnsi="仿宋" w:eastAsia="仿宋"/>
          <w:bCs/>
          <w:color w:val="auto"/>
          <w:sz w:val="32"/>
          <w:szCs w:val="32"/>
          <w:highlight w:val="none"/>
          <w:lang w:val="en-US" w:eastAsia="zh-CN"/>
        </w:rPr>
        <w:t>1.</w:t>
      </w:r>
      <w:r>
        <w:rPr>
          <w:rStyle w:val="15"/>
          <w:rFonts w:hint="eastAsia" w:ascii="仿宋" w:hAnsi="仿宋" w:eastAsia="仿宋"/>
          <w:bCs/>
          <w:color w:val="auto"/>
          <w:sz w:val="32"/>
          <w:szCs w:val="32"/>
          <w:highlight w:val="none"/>
        </w:rPr>
        <w:t>教育</w:t>
      </w:r>
      <w:r>
        <w:rPr>
          <w:rStyle w:val="15"/>
          <w:rFonts w:hint="eastAsia" w:ascii="仿宋" w:hAnsi="仿宋" w:eastAsia="仿宋"/>
          <w:bCs/>
          <w:color w:val="auto"/>
          <w:sz w:val="32"/>
          <w:szCs w:val="32"/>
          <w:highlight w:val="none"/>
          <w:lang w:val="en-US" w:eastAsia="zh-CN"/>
        </w:rPr>
        <w:t>205</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教育管理事务</w:t>
      </w:r>
      <w:r>
        <w:rPr>
          <w:rStyle w:val="15"/>
          <w:rFonts w:hint="eastAsia" w:ascii="仿宋" w:hAnsi="仿宋" w:eastAsia="仿宋"/>
          <w:bCs/>
          <w:color w:val="auto"/>
          <w:sz w:val="32"/>
          <w:szCs w:val="32"/>
          <w:highlight w:val="none"/>
          <w:lang w:val="en-US" w:eastAsia="zh-CN"/>
        </w:rPr>
        <w:t>01</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其他教育管理事务支出</w:t>
      </w:r>
      <w:r>
        <w:rPr>
          <w:rStyle w:val="15"/>
          <w:rFonts w:hint="eastAsia" w:ascii="仿宋" w:hAnsi="仿宋" w:eastAsia="仿宋"/>
          <w:bCs/>
          <w:color w:val="auto"/>
          <w:sz w:val="32"/>
          <w:szCs w:val="32"/>
          <w:highlight w:val="none"/>
          <w:lang w:val="en-US" w:eastAsia="zh-CN"/>
        </w:rPr>
        <w:t>99</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129.88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w:t>
      </w:r>
    </w:p>
    <w:p>
      <w:pPr>
        <w:numPr>
          <w:ilvl w:val="0"/>
          <w:numId w:val="0"/>
        </w:numPr>
        <w:spacing w:line="600" w:lineRule="exact"/>
        <w:ind w:firstLine="643" w:firstLineChars="200"/>
        <w:rPr>
          <w:rStyle w:val="15"/>
          <w:rFonts w:hint="eastAsia" w:ascii="仿宋" w:hAnsi="仿宋" w:eastAsia="仿宋"/>
          <w:b w:val="0"/>
          <w:bCs/>
          <w:color w:val="auto"/>
          <w:sz w:val="32"/>
          <w:szCs w:val="32"/>
          <w:highlight w:val="none"/>
          <w:lang w:eastAsia="zh-CN"/>
        </w:rPr>
      </w:pPr>
      <w:r>
        <w:rPr>
          <w:rStyle w:val="15"/>
          <w:rFonts w:hint="eastAsia" w:ascii="仿宋" w:hAnsi="仿宋" w:eastAsia="仿宋"/>
          <w:b/>
          <w:bCs/>
          <w:color w:val="auto"/>
          <w:sz w:val="32"/>
          <w:szCs w:val="32"/>
          <w:highlight w:val="none"/>
          <w:lang w:val="en-US" w:eastAsia="zh-CN"/>
        </w:rPr>
        <w:t>2.</w:t>
      </w:r>
      <w:r>
        <w:rPr>
          <w:rStyle w:val="15"/>
          <w:rFonts w:hint="eastAsia" w:ascii="仿宋" w:hAnsi="仿宋" w:eastAsia="仿宋"/>
          <w:b/>
          <w:bCs/>
          <w:color w:val="auto"/>
          <w:sz w:val="32"/>
          <w:szCs w:val="32"/>
          <w:highlight w:val="none"/>
        </w:rPr>
        <w:t>社会保障和就业</w:t>
      </w:r>
      <w:r>
        <w:rPr>
          <w:rStyle w:val="15"/>
          <w:rFonts w:hint="eastAsia" w:ascii="仿宋" w:hAnsi="仿宋" w:eastAsia="仿宋"/>
          <w:b/>
          <w:bCs/>
          <w:color w:val="auto"/>
          <w:sz w:val="32"/>
          <w:szCs w:val="32"/>
          <w:highlight w:val="none"/>
          <w:lang w:val="en-US" w:eastAsia="zh-CN"/>
        </w:rPr>
        <w:t>208</w:t>
      </w:r>
      <w:r>
        <w:rPr>
          <w:rStyle w:val="15"/>
          <w:rFonts w:hint="eastAsia" w:ascii="仿宋" w:hAnsi="仿宋" w:eastAsia="仿宋"/>
          <w:b/>
          <w:bCs/>
          <w:color w:val="auto"/>
          <w:sz w:val="32"/>
          <w:szCs w:val="32"/>
          <w:highlight w:val="none"/>
        </w:rPr>
        <w:t>（类）</w:t>
      </w:r>
      <w:r>
        <w:rPr>
          <w:rStyle w:val="15"/>
          <w:rFonts w:hint="eastAsia" w:ascii="仿宋" w:hAnsi="仿宋" w:eastAsia="仿宋"/>
          <w:b/>
          <w:bCs/>
          <w:color w:val="auto"/>
          <w:sz w:val="32"/>
          <w:szCs w:val="32"/>
          <w:highlight w:val="none"/>
          <w:lang w:eastAsia="zh-CN"/>
        </w:rPr>
        <w:t>行政事业单位养老支出</w:t>
      </w:r>
      <w:r>
        <w:rPr>
          <w:rStyle w:val="15"/>
          <w:rFonts w:hint="eastAsia" w:ascii="仿宋" w:hAnsi="仿宋" w:eastAsia="仿宋"/>
          <w:b/>
          <w:bCs/>
          <w:color w:val="auto"/>
          <w:sz w:val="32"/>
          <w:szCs w:val="32"/>
          <w:highlight w:val="none"/>
          <w:lang w:val="en-US" w:eastAsia="zh-CN"/>
        </w:rPr>
        <w:t>05</w:t>
      </w:r>
      <w:r>
        <w:rPr>
          <w:rStyle w:val="15"/>
          <w:rFonts w:hint="eastAsia" w:ascii="仿宋" w:hAnsi="仿宋" w:eastAsia="仿宋"/>
          <w:b/>
          <w:bCs/>
          <w:color w:val="auto"/>
          <w:sz w:val="32"/>
          <w:szCs w:val="32"/>
          <w:highlight w:val="none"/>
        </w:rPr>
        <w:t>（款）</w:t>
      </w:r>
      <w:r>
        <w:rPr>
          <w:rStyle w:val="15"/>
          <w:rFonts w:hint="eastAsia" w:ascii="仿宋" w:hAnsi="仿宋" w:eastAsia="仿宋"/>
          <w:bCs/>
          <w:color w:val="auto"/>
          <w:sz w:val="32"/>
          <w:szCs w:val="32"/>
          <w:highlight w:val="none"/>
          <w:lang w:eastAsia="zh-CN"/>
        </w:rPr>
        <w:t>机关事业单位基本养老保险缴费支出</w:t>
      </w:r>
      <w:r>
        <w:rPr>
          <w:rStyle w:val="15"/>
          <w:rFonts w:hint="eastAsia" w:ascii="仿宋" w:hAnsi="仿宋" w:eastAsia="仿宋"/>
          <w:bCs/>
          <w:color w:val="auto"/>
          <w:sz w:val="32"/>
          <w:szCs w:val="32"/>
          <w:highlight w:val="none"/>
          <w:lang w:val="en-US" w:eastAsia="zh-CN"/>
        </w:rPr>
        <w:t>05</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13.50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w:t>
      </w:r>
    </w:p>
    <w:p>
      <w:pPr>
        <w:numPr>
          <w:ilvl w:val="0"/>
          <w:numId w:val="0"/>
        </w:numPr>
        <w:spacing w:line="600" w:lineRule="exact"/>
        <w:ind w:left="630" w:leftChars="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6.</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210</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行政事业单位医疗</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事业单位医疗</w:t>
      </w:r>
      <w:r>
        <w:rPr>
          <w:rStyle w:val="15"/>
          <w:rFonts w:hint="eastAsia" w:ascii="仿宋" w:hAnsi="仿宋" w:eastAsia="仿宋"/>
          <w:bCs/>
          <w:color w:val="auto"/>
          <w:sz w:val="32"/>
          <w:szCs w:val="32"/>
          <w:highlight w:val="none"/>
          <w:lang w:val="en-US" w:eastAsia="zh-CN"/>
        </w:rPr>
        <w:t>02</w:t>
      </w:r>
      <w:r>
        <w:rPr>
          <w:rStyle w:val="15"/>
          <w:rFonts w:hint="eastAsia" w:ascii="仿宋" w:hAnsi="仿宋" w:eastAsia="仿宋"/>
          <w:bCs/>
          <w:color w:val="auto"/>
          <w:sz w:val="32"/>
          <w:szCs w:val="32"/>
          <w:highlight w:val="none"/>
        </w:rPr>
        <w:t>（项）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6.99</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w:t>
      </w:r>
    </w:p>
    <w:p>
      <w:pPr>
        <w:keepNext w:val="0"/>
        <w:keepLines w:val="0"/>
        <w:widowControl/>
        <w:suppressLineNumbers w:val="0"/>
        <w:ind w:firstLine="643" w:firstLineChars="200"/>
        <w:jc w:val="left"/>
      </w:pPr>
      <w:r>
        <w:rPr>
          <w:rFonts w:hint="eastAsia" w:ascii="仿宋" w:hAnsi="仿宋" w:eastAsia="仿宋" w:cs="仿宋"/>
          <w:b/>
          <w:bCs/>
          <w:color w:val="000000"/>
          <w:kern w:val="0"/>
          <w:sz w:val="32"/>
          <w:szCs w:val="32"/>
          <w:lang w:val="en-US" w:eastAsia="zh-CN" w:bidi="ar"/>
        </w:rPr>
        <w:t>7.住房保障支出221（类）住房改革支出02（款）住房公积金01</w:t>
      </w:r>
      <w:r>
        <w:rPr>
          <w:rFonts w:hint="eastAsia" w:ascii="仿宋" w:hAnsi="仿宋" w:eastAsia="仿宋" w:cs="仿宋"/>
          <w:b/>
          <w:bCs/>
          <w:color w:val="000000"/>
          <w:kern w:val="0"/>
          <w:sz w:val="31"/>
          <w:szCs w:val="31"/>
          <w:lang w:val="en-US" w:eastAsia="zh-CN" w:bidi="ar"/>
        </w:rPr>
        <w:t>（项）</w:t>
      </w:r>
      <w:r>
        <w:rPr>
          <w:rFonts w:hint="eastAsia" w:ascii="仿宋" w:hAnsi="仿宋" w:eastAsia="仿宋" w:cs="仿宋"/>
          <w:color w:val="000000"/>
          <w:kern w:val="0"/>
          <w:sz w:val="31"/>
          <w:szCs w:val="31"/>
          <w:lang w:val="en-US" w:eastAsia="zh-CN" w:bidi="ar"/>
        </w:rPr>
        <w:t>：支出决算为 10.12 万元，完成预算 100%。</w:t>
      </w:r>
      <w:r>
        <w:rPr>
          <w:rFonts w:hint="eastAsia" w:ascii="仿宋" w:hAnsi="仿宋" w:eastAsia="仿宋" w:cs="仿宋"/>
          <w:b/>
          <w:bCs/>
          <w:color w:val="000000"/>
          <w:kern w:val="0"/>
          <w:sz w:val="31"/>
          <w:szCs w:val="31"/>
          <w:lang w:val="en-US" w:eastAsia="zh-CN" w:bidi="ar"/>
        </w:rPr>
        <w:t xml:space="preserve"> </w:t>
      </w:r>
    </w:p>
    <w:p>
      <w:pPr>
        <w:spacing w:line="600" w:lineRule="exact"/>
        <w:ind w:firstLine="640"/>
        <w:rPr>
          <w:rFonts w:ascii="仿宋" w:hAnsi="仿宋" w:eastAsia="仿宋"/>
          <w:b/>
          <w:color w:val="auto"/>
          <w:sz w:val="32"/>
          <w:szCs w:val="32"/>
          <w:highlight w:val="none"/>
        </w:rPr>
      </w:pPr>
    </w:p>
    <w:p>
      <w:pPr>
        <w:tabs>
          <w:tab w:val="right" w:pos="8306"/>
        </w:tabs>
        <w:spacing w:line="600" w:lineRule="exact"/>
        <w:outlineLvl w:val="1"/>
        <w:rPr>
          <w:rStyle w:val="26"/>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160.50</w:t>
      </w:r>
      <w:r>
        <w:rPr>
          <w:rFonts w:hint="eastAsia" w:ascii="仿宋" w:hAnsi="仿宋" w:eastAsia="仿宋"/>
          <w:color w:val="auto"/>
          <w:sz w:val="32"/>
          <w:szCs w:val="32"/>
          <w:highlight w:val="none"/>
        </w:rPr>
        <w:t>万元，其中：</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144.63</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15.87</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26"/>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0.26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86.70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w:t>
      </w:r>
      <w:r>
        <w:rPr>
          <w:rFonts w:hint="eastAsia" w:ascii="仿宋" w:hAnsi="仿宋" w:eastAsia="仿宋"/>
          <w:color w:val="auto"/>
          <w:sz w:val="32"/>
          <w:szCs w:val="32"/>
          <w:highlight w:val="none"/>
          <w:lang w:eastAsia="zh-CN"/>
        </w:rPr>
        <w:t>节约开支</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r>
        <w:rPr>
          <w:rFonts w:hint="eastAsia" w:ascii="仿宋" w:hAnsi="仿宋" w:eastAsia="仿宋"/>
          <w:color w:val="auto"/>
          <w:sz w:val="32"/>
          <w:szCs w:val="32"/>
          <w:highlight w:val="none"/>
          <w:lang w:eastAsia="zh-CN"/>
        </w:rPr>
        <w:t>：</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480050" cy="3228975"/>
            <wp:effectExtent l="4445" t="4445" r="20955" b="508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hint="eastAsia" w:ascii="仿宋" w:hAnsi="仿宋" w:eastAsia="仿宋"/>
          <w:color w:val="auto"/>
          <w:sz w:val="32"/>
          <w:szCs w:val="32"/>
          <w:highlight w:val="none"/>
          <w:lang w:eastAsia="zh-CN"/>
        </w:rPr>
      </w:pPr>
    </w:p>
    <w:p>
      <w:pPr>
        <w:spacing w:line="600" w:lineRule="exact"/>
        <w:ind w:firstLine="320" w:firstLineChars="10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0.04</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节约开支</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0.26</w:t>
      </w:r>
      <w:r>
        <w:rPr>
          <w:rFonts w:hint="eastAsia" w:ascii="仿宋_GB2312" w:eastAsia="仿宋_GB2312"/>
          <w:color w:val="auto"/>
          <w:sz w:val="32"/>
          <w:szCs w:val="32"/>
          <w:highlight w:val="none"/>
        </w:rPr>
        <w:t>万元，主要用于执行公务、开展业务活动开支的交通费、住宿费、用餐费</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万元，具体内容包括：交通费、住宿费、用餐费等。</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firstLineChars="200"/>
        <w:outlineLvl w:val="1"/>
        <w:rPr>
          <w:rStyle w:val="26"/>
          <w:rFonts w:ascii="黑体" w:hAnsi="黑体" w:eastAsia="黑体"/>
          <w:color w:val="auto"/>
          <w:highlight w:val="none"/>
        </w:rPr>
      </w:pPr>
      <w:bookmarkStart w:id="40" w:name="_Toc15377218"/>
      <w:bookmarkStart w:id="41" w:name="_Toc15396610"/>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0"/>
        </w:numPr>
        <w:spacing w:line="600" w:lineRule="exact"/>
        <w:ind w:firstLine="640" w:firstLineChars="200"/>
        <w:outlineLvl w:val="1"/>
        <w:rPr>
          <w:rStyle w:val="26"/>
          <w:rFonts w:ascii="黑体" w:hAnsi="黑体" w:eastAsia="黑体"/>
          <w:b w:val="0"/>
          <w:color w:val="auto"/>
          <w:highlight w:val="none"/>
        </w:rPr>
      </w:pPr>
      <w:bookmarkStart w:id="42" w:name="_Toc15396611"/>
      <w:bookmarkStart w:id="43" w:name="_Toc15377219"/>
      <w:r>
        <w:rPr>
          <w:rStyle w:val="26"/>
          <w:rFonts w:hint="eastAsia" w:ascii="黑体" w:hAnsi="黑体" w:eastAsia="黑体"/>
          <w:b w:val="0"/>
          <w:color w:val="auto"/>
          <w:highlight w:val="none"/>
          <w:lang w:eastAsia="zh-CN"/>
        </w:rPr>
        <w:t>九、</w:t>
      </w:r>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0"/>
        </w:numPr>
        <w:spacing w:line="600" w:lineRule="exact"/>
        <w:ind w:firstLine="640" w:firstLineChars="200"/>
        <w:outlineLvl w:val="1"/>
        <w:rPr>
          <w:rStyle w:val="26"/>
          <w:rFonts w:hint="eastAsia" w:ascii="黑体" w:hAnsi="黑体" w:eastAsia="黑体"/>
          <w:b w:val="0"/>
          <w:color w:val="auto"/>
          <w:highlight w:val="none"/>
        </w:rPr>
      </w:pPr>
      <w:bookmarkStart w:id="44" w:name="_Toc15377221"/>
      <w:bookmarkStart w:id="45" w:name="_Toc15396612"/>
      <w:r>
        <w:rPr>
          <w:rStyle w:val="26"/>
          <w:rFonts w:hint="eastAsia" w:ascii="黑体" w:hAnsi="黑体" w:eastAsia="黑体"/>
          <w:b w:val="0"/>
          <w:color w:val="auto"/>
          <w:highlight w:val="none"/>
          <w:lang w:eastAsia="zh-CN"/>
        </w:rPr>
        <w:t>十、</w:t>
      </w:r>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年决算数持平）。主要原因是</w:t>
      </w:r>
      <w:r>
        <w:rPr>
          <w:rFonts w:hint="eastAsia" w:ascii="仿宋_GB2312" w:eastAsia="仿宋_GB2312"/>
          <w:color w:val="auto"/>
          <w:sz w:val="32"/>
          <w:szCs w:val="32"/>
          <w:highlight w:val="none"/>
          <w:lang w:eastAsia="zh-CN"/>
        </w:rPr>
        <w:t>本单位是事业单位，未安排机关运行经费。</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通江县教育科学研究室</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通江县教育可以先研究室</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辆于</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整体绩效</w:t>
      </w:r>
      <w:r>
        <w:rPr>
          <w:rFonts w:hint="eastAsia" w:ascii="仿宋_GB2312" w:hAnsi="仿宋_GB2312" w:eastAsia="仿宋_GB2312" w:cs="仿宋_GB2312"/>
          <w:color w:val="auto"/>
          <w:sz w:val="32"/>
          <w:szCs w:val="32"/>
          <w:highlight w:val="none"/>
        </w:rPr>
        <w:t>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2020年特定目标类部门预算项目绩效目标自评表见附件（第四部分）</w:t>
      </w:r>
    </w:p>
    <w:p>
      <w:pPr>
        <w:pStyle w:val="2"/>
        <w:rPr>
          <w:rFonts w:hint="eastAsia" w:ascii="仿宋_GB2312" w:hAnsi="仿宋_GB2312" w:eastAsia="仿宋_GB2312" w:cs="仿宋_GB2312"/>
          <w:color w:val="auto"/>
          <w:sz w:val="32"/>
          <w:szCs w:val="32"/>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tbl>
      <w:tblPr>
        <w:tblStyle w:val="13"/>
        <w:tblpPr w:leftFromText="180" w:rightFromText="180" w:vertAnchor="text" w:horzAnchor="page" w:tblpX="1281" w:tblpY="660"/>
        <w:tblOverlap w:val="never"/>
        <w:tblW w:w="10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62"/>
        <w:gridCol w:w="1915"/>
        <w:gridCol w:w="1189"/>
        <w:gridCol w:w="1231"/>
        <w:gridCol w:w="2835"/>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10009" w:type="dxa"/>
            <w:gridSpan w:val="6"/>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80" w:lineRule="exact"/>
              <w:ind w:left="630" w:right="0"/>
              <w:jc w:val="center"/>
              <w:rPr>
                <w:rFonts w:hint="eastAsia" w:ascii="宋体" w:hAnsi="宋体" w:eastAsia="宋体" w:cs="宋体"/>
                <w:b/>
                <w:bCs/>
                <w:color w:val="000000"/>
                <w:sz w:val="36"/>
                <w:szCs w:val="36"/>
                <w:lang w:val="en-US" w:eastAsia="zh-CN" w:bidi="ar"/>
              </w:rPr>
            </w:pPr>
            <w:r>
              <w:rPr>
                <w:rFonts w:hint="eastAsia" w:ascii="宋体" w:hAnsi="宋体" w:cs="宋体"/>
                <w:b/>
                <w:bCs/>
                <w:color w:val="000000"/>
                <w:sz w:val="36"/>
                <w:szCs w:val="36"/>
                <w:lang w:val="en-US" w:eastAsia="zh-CN" w:bidi="ar"/>
              </w:rPr>
              <w:t>整体支出项目</w:t>
            </w:r>
            <w:r>
              <w:rPr>
                <w:rFonts w:hint="eastAsia" w:ascii="宋体" w:hAnsi="宋体" w:eastAsia="宋体" w:cs="宋体"/>
                <w:b/>
                <w:bCs/>
                <w:color w:val="000000"/>
                <w:sz w:val="36"/>
                <w:szCs w:val="36"/>
                <w:lang w:val="en-US" w:eastAsia="zh-CN" w:bidi="ar"/>
              </w:rPr>
              <w:t>绩效目标完成情况表</w:t>
            </w:r>
          </w:p>
          <w:p>
            <w:pPr>
              <w:keepNext w:val="0"/>
              <w:keepLines w:val="0"/>
              <w:widowControl w:val="0"/>
              <w:suppressLineNumbers w:val="0"/>
              <w:spacing w:before="0" w:beforeAutospacing="0" w:after="0" w:afterAutospacing="0" w:line="580" w:lineRule="exact"/>
              <w:ind w:left="630" w:right="0"/>
              <w:jc w:val="center"/>
              <w:rPr>
                <w:rFonts w:hint="eastAsia" w:ascii="仿宋_GB2312" w:hAnsi="仿宋_GB2312" w:eastAsia="仿宋_GB2312" w:cs="仿宋_GB2312"/>
                <w:sz w:val="32"/>
                <w:szCs w:val="32"/>
                <w:lang w:val="en-US"/>
              </w:rPr>
            </w:pPr>
            <w:r>
              <w:rPr>
                <w:rFonts w:hint="eastAsia" w:ascii="宋体" w:hAnsi="Times New Roman" w:eastAsia="宋体" w:cs="宋体"/>
                <w:b/>
                <w:bCs/>
                <w:color w:val="000000"/>
                <w:sz w:val="36"/>
                <w:szCs w:val="36"/>
                <w:lang w:val="en-US" w:eastAsia="zh-CN" w:bidi="ar"/>
              </w:rPr>
              <w:t xml:space="preserve">  </w:t>
            </w:r>
            <w:r>
              <w:rPr>
                <w:rFonts w:hint="eastAsia" w:ascii="宋体" w:hAnsi="宋体" w:eastAsia="宋体" w:cs="宋体"/>
                <w:color w:val="000000"/>
                <w:sz w:val="36"/>
                <w:szCs w:val="36"/>
                <w:lang w:val="en-US" w:eastAsia="zh-CN" w:bidi="ar"/>
              </w:rPr>
              <w:t>(202</w:t>
            </w:r>
            <w:r>
              <w:rPr>
                <w:rFonts w:hint="eastAsia" w:ascii="宋体" w:hAnsi="宋体" w:cs="宋体"/>
                <w:color w:val="000000"/>
                <w:sz w:val="36"/>
                <w:szCs w:val="36"/>
                <w:lang w:val="en-US" w:eastAsia="zh-CN" w:bidi="ar"/>
              </w:rPr>
              <w:t>0</w:t>
            </w:r>
            <w:r>
              <w:rPr>
                <w:rFonts w:hint="eastAsia" w:ascii="宋体" w:hAnsi="宋体" w:eastAsia="宋体" w:cs="宋体"/>
                <w:color w:val="000000"/>
                <w:sz w:val="36"/>
                <w:szCs w:val="36"/>
                <w:lang w:val="en-US" w:eastAsia="zh-CN" w:bidi="ar"/>
              </w:rPr>
              <w:t>年度</w:t>
            </w:r>
            <w:r>
              <w:rPr>
                <w:rFonts w:hint="eastAsia" w:ascii="宋体" w:hAnsi="宋体" w:cs="宋体"/>
                <w:color w:val="000000"/>
                <w:sz w:val="36"/>
                <w:szCs w:val="36"/>
                <w:lang w:val="en-US" w:eastAsia="zh-CN" w:bidi="ar"/>
              </w:rPr>
              <w:t>）</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i w:val="0"/>
                <w:color w:val="auto"/>
                <w:sz w:val="32"/>
                <w:szCs w:val="32"/>
                <w:u w:val="none"/>
              </w:rPr>
            </w:pPr>
          </w:p>
        </w:tc>
        <w:tc>
          <w:tcPr>
            <w:tcW w:w="23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54" w:hRule="atLeast"/>
        </w:trPr>
        <w:tc>
          <w:tcPr>
            <w:tcW w:w="28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通江县教育科技和体育局</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通江县教育科学研究室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41" w:hRule="atLeast"/>
        </w:trPr>
        <w:tc>
          <w:tcPr>
            <w:tcW w:w="28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160.50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555" w:hRule="atLeast"/>
        </w:trPr>
        <w:tc>
          <w:tcPr>
            <w:tcW w:w="2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160.50</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341" w:hRule="atLeast"/>
        </w:trPr>
        <w:tc>
          <w:tcPr>
            <w:tcW w:w="28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u w:val="none"/>
              </w:rPr>
            </w:pPr>
            <w:r>
              <w:rPr>
                <w:rFonts w:hint="eastAsia" w:ascii="仿宋" w:hAnsi="仿宋" w:eastAsia="仿宋" w:cs="黑体"/>
                <w:b w:val="0"/>
                <w:bCs w:val="0"/>
                <w:kern w:val="2"/>
                <w:sz w:val="24"/>
                <w:szCs w:val="24"/>
                <w:lang w:val="en-US" w:eastAsia="zh-CN" w:bidi="ar"/>
              </w:rPr>
              <w:t>完成全县中小学教学研究与指导、教育科研管理、教育教学质量监测</w:t>
            </w:r>
          </w:p>
        </w:tc>
        <w:tc>
          <w:tcPr>
            <w:tcW w:w="40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default" w:ascii="宋体" w:hAnsi="宋体" w:eastAsia="宋体" w:cs="宋体"/>
                <w:i w:val="0"/>
                <w:color w:val="auto"/>
                <w:sz w:val="24"/>
                <w:szCs w:val="24"/>
                <w:u w:val="none"/>
                <w:lang w:val="en-US" w:eastAsia="zh-CN"/>
              </w:rPr>
            </w:pPr>
            <w:r>
              <w:rPr>
                <w:rFonts w:hint="eastAsia" w:ascii="宋体" w:hAnsi="宋体" w:cs="宋体"/>
                <w:szCs w:val="21"/>
              </w:rPr>
              <w:t>100%保障单位职工工资福利及正常办公运转。</w:t>
            </w:r>
            <w:r>
              <w:rPr>
                <w:rFonts w:hint="eastAsia" w:ascii="宋体" w:hAnsi="宋体" w:cs="宋体"/>
                <w:szCs w:val="21"/>
                <w:lang w:eastAsia="zh-CN"/>
              </w:rPr>
              <w:t>保障全县中小学教学质量检测达到</w:t>
            </w:r>
            <w:r>
              <w:rPr>
                <w:rFonts w:hint="eastAsia" w:ascii="宋体" w:hAnsi="宋体" w:cs="宋体"/>
                <w:szCs w:val="21"/>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8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44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工资福利保障人数</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jc w:val="center"/>
              <w:rPr>
                <w:rFonts w:ascii="宋体" w:hAnsi="宋体" w:cs="宋体"/>
                <w:color w:val="000000"/>
                <w:sz w:val="18"/>
                <w:szCs w:val="18"/>
              </w:rPr>
            </w:pP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人</w:t>
            </w:r>
          </w:p>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jc w:val="center"/>
              <w:rPr>
                <w:rFonts w:ascii="宋体" w:hAnsi="宋体" w:cs="宋体"/>
                <w:color w:val="000000"/>
                <w:sz w:val="18"/>
                <w:szCs w:val="18"/>
              </w:rPr>
            </w:pP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人</w:t>
            </w:r>
          </w:p>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518"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3"/>
                <w:szCs w:val="13"/>
                <w:lang w:val="en-US" w:eastAsia="zh-CN" w:bidi="ar-SA"/>
              </w:rPr>
            </w:pPr>
            <w:r>
              <w:rPr>
                <w:rFonts w:hint="eastAsia" w:ascii="仿宋_GB2312" w:hAnsi="仿宋_GB2312" w:eastAsia="仿宋_GB2312" w:cs="仿宋_GB2312"/>
                <w:sz w:val="13"/>
                <w:szCs w:val="13"/>
              </w:rPr>
              <w:t>单位职工工资福利保障运转率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ascii="仿宋_GB2312" w:hAnsi="仿宋_GB2312" w:eastAsia="仿宋_GB2312" w:cs="仿宋_GB2312"/>
                <w:sz w:val="15"/>
                <w:szCs w:val="15"/>
              </w:rPr>
              <w:t>=100%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593"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工资福利发放及时率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ascii="仿宋_GB2312" w:hAnsi="仿宋_GB2312" w:eastAsia="仿宋_GB2312" w:cs="仿宋_GB2312"/>
                <w:sz w:val="15"/>
                <w:szCs w:val="15"/>
              </w:rPr>
              <w:t>=100%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59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工资福利及项目资金总额</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w:t>
            </w:r>
            <w:r>
              <w:rPr>
                <w:rFonts w:hint="eastAsia" w:ascii="仿宋_GB2312" w:hAnsi="仿宋_GB2312" w:eastAsia="仿宋_GB2312" w:cs="仿宋_GB2312"/>
                <w:sz w:val="15"/>
                <w:szCs w:val="15"/>
                <w:lang w:val="en-US" w:eastAsia="zh-CN"/>
              </w:rPr>
              <w:t>160.50</w:t>
            </w:r>
            <w:r>
              <w:rPr>
                <w:rFonts w:hint="eastAsia" w:ascii="仿宋_GB2312" w:hAnsi="仿宋_GB2312" w:eastAsia="仿宋_GB2312" w:cs="仿宋_GB2312"/>
                <w:sz w:val="15"/>
                <w:szCs w:val="15"/>
              </w:rPr>
              <w:t>万元</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15"/>
                <w:szCs w:val="15"/>
              </w:rPr>
              <w:t>≤</w:t>
            </w:r>
            <w:r>
              <w:rPr>
                <w:rFonts w:hint="eastAsia" w:ascii="仿宋_GB2312" w:hAnsi="仿宋_GB2312" w:eastAsia="仿宋_GB2312" w:cs="仿宋_GB2312"/>
                <w:sz w:val="15"/>
                <w:szCs w:val="15"/>
                <w:lang w:val="en-US" w:eastAsia="zh-CN"/>
              </w:rPr>
              <w:t>160.50</w:t>
            </w:r>
            <w:r>
              <w:rPr>
                <w:rFonts w:hint="eastAsia" w:ascii="仿宋_GB2312" w:hAnsi="仿宋_GB2312" w:eastAsia="仿宋_GB2312" w:cs="仿宋_GB2312"/>
                <w:sz w:val="15"/>
                <w:szCs w:val="15"/>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568"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kern w:val="2"/>
                <w:sz w:val="15"/>
                <w:szCs w:val="15"/>
                <w:lang w:val="en-US" w:eastAsia="zh-CN" w:bidi="ar-SA"/>
              </w:rPr>
              <w:t>全县中小学质量检测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ascii="仿宋_GB2312" w:hAnsi="仿宋_GB2312" w:eastAsia="仿宋_GB2312" w:cs="仿宋_GB2312"/>
                <w:sz w:val="15"/>
                <w:szCs w:val="15"/>
              </w:rPr>
              <w:t>=100%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sz w:val="15"/>
                <w:szCs w:val="15"/>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606"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提高通江教育服务质量</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≥99%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801"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463" w:leftChars="87" w:right="0"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节约办公费用，改善办公环境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15"/>
                <w:szCs w:val="15"/>
              </w:rPr>
              <w:t>≥95%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15"/>
                <w:szCs w:val="15"/>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7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对通江教育持续稳定发展的影响</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12"/>
                <w:szCs w:val="12"/>
                <w:lang w:val="en-US" w:eastAsia="zh-CN" w:bidi="ar-SA"/>
              </w:rPr>
            </w:pPr>
            <w:r>
              <w:rPr>
                <w:rFonts w:hint="eastAsia"/>
                <w:sz w:val="12"/>
                <w:szCs w:val="12"/>
              </w:rPr>
              <w:t>=长期</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12"/>
                <w:szCs w:val="12"/>
                <w:lang w:val="en-US" w:eastAsia="zh-CN" w:bidi="ar-SA"/>
              </w:rPr>
            </w:pPr>
            <w:r>
              <w:rPr>
                <w:rFonts w:hint="eastAsia"/>
                <w:sz w:val="12"/>
                <w:szCs w:val="12"/>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872"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服务对象满意度</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≥99%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2"/>
                <w:sz w:val="15"/>
                <w:szCs w:val="15"/>
                <w:lang w:val="en-US" w:eastAsia="zh-CN" w:bidi="ar-SA"/>
              </w:rPr>
            </w:pPr>
            <w:r>
              <w:rPr>
                <w:rFonts w:hint="eastAsia" w:ascii="仿宋_GB2312" w:hAnsi="仿宋_GB2312" w:eastAsia="仿宋_GB2312" w:cs="仿宋_GB2312"/>
                <w:sz w:val="15"/>
                <w:szCs w:val="15"/>
              </w:rPr>
              <w:t>≥99%</w:t>
            </w:r>
          </w:p>
        </w:tc>
      </w:tr>
    </w:tbl>
    <w:p>
      <w:pPr>
        <w:spacing w:line="600" w:lineRule="exact"/>
        <w:jc w:val="center"/>
        <w:outlineLvl w:val="0"/>
        <w:rPr>
          <w:rFonts w:hint="eastAsia" w:ascii="黑体" w:hAnsi="黑体" w:eastAsia="黑体"/>
          <w:color w:val="auto"/>
          <w:sz w:val="44"/>
          <w:szCs w:val="44"/>
          <w:highlight w:val="none"/>
        </w:rPr>
      </w:pPr>
    </w:p>
    <w:p>
      <w:pPr>
        <w:keepNext w:val="0"/>
        <w:keepLines w:val="0"/>
        <w:widowControl w:val="0"/>
        <w:suppressLineNumbers w:val="0"/>
        <w:spacing w:before="0" w:beforeAutospacing="0" w:after="0" w:afterAutospacing="0" w:line="580" w:lineRule="exact"/>
        <w:ind w:right="0"/>
        <w:jc w:val="both"/>
        <w:rPr>
          <w:rFonts w:hint="eastAsia" w:ascii="仿宋_GB2312" w:hAnsi="仿宋_GB2312" w:eastAsia="仿宋_GB2312" w:cs="仿宋_GB2312"/>
          <w:kern w:val="2"/>
          <w:sz w:val="32"/>
          <w:szCs w:val="32"/>
          <w:lang w:val="en-US" w:eastAsia="zh-CN" w:bidi="ar"/>
        </w:rPr>
      </w:pPr>
      <w:bookmarkStart w:id="49" w:name="_Toc15396613"/>
      <w:bookmarkStart w:id="50" w:name="_Toc15377225"/>
    </w:p>
    <w:p>
      <w:pPr>
        <w:keepNext w:val="0"/>
        <w:keepLines w:val="0"/>
        <w:widowControl w:val="0"/>
        <w:suppressLineNumbers w:val="0"/>
        <w:spacing w:before="0" w:beforeAutospacing="0" w:after="0" w:afterAutospacing="0" w:line="580" w:lineRule="exact"/>
        <w:ind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2.部门绩效评价结果。</w:t>
      </w:r>
    </w:p>
    <w:p>
      <w:pPr>
        <w:keepNext w:val="0"/>
        <w:keepLines w:val="0"/>
        <w:widowControl w:val="0"/>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本部门按要求对2020年部门整体支出绩效评价情况开展自评，《通江县教育科学研究室2020年部门整体支出绩效评价报告》见附件（附件1）。</w:t>
      </w:r>
    </w:p>
    <w:p>
      <w:pPr>
        <w:spacing w:line="580" w:lineRule="exact"/>
        <w:rPr>
          <w:rStyle w:val="25"/>
          <w:rFonts w:ascii="黑体" w:hAnsi="黑体" w:eastAsia="黑体"/>
          <w:b w:val="0"/>
          <w:color w:val="auto"/>
          <w:highlight w:val="none"/>
        </w:rPr>
      </w:pPr>
      <w:r>
        <w:rPr>
          <w:rFonts w:hint="eastAsia" w:ascii="黑体" w:hAnsi="黑体" w:eastAsia="黑体"/>
          <w:color w:val="auto"/>
          <w:sz w:val="44"/>
          <w:szCs w:val="44"/>
          <w:highlight w:val="none"/>
          <w:lang w:eastAsia="zh-CN"/>
        </w:rPr>
        <w:t>第三部分</w:t>
      </w:r>
      <w:r>
        <w:rPr>
          <w:rFonts w:hint="eastAsia" w:ascii="黑体" w:hAnsi="黑体" w:eastAsia="黑体"/>
          <w:color w:val="auto"/>
          <w:sz w:val="44"/>
          <w:szCs w:val="44"/>
          <w:highlight w:val="none"/>
          <w:lang w:val="en-US" w:eastAsia="zh-CN"/>
        </w:rPr>
        <w:t xml:space="preserve">  </w:t>
      </w:r>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Style w:val="15"/>
          <w:rFonts w:hint="eastAsia" w:ascii="仿宋" w:hAnsi="仿宋" w:eastAsia="仿宋"/>
          <w:b w:val="0"/>
          <w:bCs/>
          <w:color w:val="auto"/>
          <w:sz w:val="32"/>
          <w:szCs w:val="32"/>
          <w:highlight w:val="none"/>
          <w:lang w:eastAsia="zh-CN"/>
        </w:rPr>
      </w:pPr>
      <w:r>
        <w:rPr>
          <w:rFonts w:hint="eastAsia" w:ascii="仿宋_GB2312" w:eastAsia="仿宋_GB2312"/>
          <w:sz w:val="32"/>
          <w:szCs w:val="32"/>
          <w:lang w:val="en-US" w:eastAsia="zh-CN"/>
        </w:rPr>
        <w:t>11</w:t>
      </w:r>
      <w:r>
        <w:rPr>
          <w:rFonts w:ascii="仿宋_GB2312" w:eastAsia="仿宋_GB2312"/>
          <w:sz w:val="32"/>
          <w:szCs w:val="32"/>
        </w:rPr>
        <w:t>.</w:t>
      </w:r>
      <w:r>
        <w:rPr>
          <w:rStyle w:val="15"/>
          <w:rFonts w:hint="eastAsia" w:ascii="仿宋" w:hAnsi="仿宋" w:eastAsia="仿宋"/>
          <w:b w:val="0"/>
          <w:bCs w:val="0"/>
          <w:color w:val="auto"/>
          <w:sz w:val="32"/>
          <w:szCs w:val="32"/>
          <w:highlight w:val="none"/>
        </w:rPr>
        <w:t>教育（类）</w:t>
      </w:r>
      <w:r>
        <w:rPr>
          <w:rStyle w:val="15"/>
          <w:rFonts w:hint="eastAsia" w:ascii="仿宋" w:hAnsi="仿宋" w:eastAsia="仿宋"/>
          <w:b w:val="0"/>
          <w:bCs w:val="0"/>
          <w:color w:val="auto"/>
          <w:sz w:val="32"/>
          <w:szCs w:val="32"/>
          <w:highlight w:val="none"/>
          <w:lang w:eastAsia="zh-CN"/>
        </w:rPr>
        <w:t>教育管理事务</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其他教育管理事务支出</w:t>
      </w:r>
      <w:r>
        <w:rPr>
          <w:rStyle w:val="15"/>
          <w:rFonts w:hint="eastAsia" w:ascii="仿宋" w:hAnsi="仿宋" w:eastAsia="仿宋"/>
          <w:b w:val="0"/>
          <w:bCs w:val="0"/>
          <w:color w:val="auto"/>
          <w:sz w:val="32"/>
          <w:szCs w:val="32"/>
          <w:highlight w:val="none"/>
        </w:rPr>
        <w:t>（项）</w:t>
      </w:r>
      <w:r>
        <w:rPr>
          <w:rStyle w:val="15"/>
          <w:rFonts w:hint="eastAsia" w:ascii="仿宋" w:hAnsi="仿宋" w:eastAsia="仿宋"/>
          <w:b w:val="0"/>
          <w:bCs w:val="0"/>
          <w:color w:val="auto"/>
          <w:sz w:val="32"/>
          <w:szCs w:val="32"/>
          <w:highlight w:val="none"/>
          <w:lang w:eastAsia="zh-CN"/>
        </w:rPr>
        <w:t>：指除了教学之外的因其他教育管理事务所发生的支出</w:t>
      </w:r>
      <w:r>
        <w:rPr>
          <w:rStyle w:val="15"/>
          <w:rFonts w:ascii="仿宋" w:hAnsi="仿宋" w:eastAsia="仿宋"/>
          <w:b w:val="0"/>
          <w:bCs w:val="0"/>
          <w:color w:val="auto"/>
          <w:sz w:val="32"/>
          <w:szCs w:val="32"/>
          <w:highlight w:val="none"/>
        </w:rPr>
        <w:t xml:space="preserve"> </w:t>
      </w:r>
      <w:r>
        <w:rPr>
          <w:rStyle w:val="15"/>
          <w:rFonts w:hint="eastAsia" w:ascii="仿宋" w:hAnsi="仿宋" w:eastAsia="仿宋"/>
          <w:b w:val="0"/>
          <w:bCs/>
          <w:color w:val="auto"/>
          <w:sz w:val="32"/>
          <w:szCs w:val="32"/>
          <w:highlight w:val="none"/>
          <w:lang w:eastAsia="zh-CN"/>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社会保障和就业（类）行政事业单位养老支出（款）机关事业单位基本养老保险缴费支出（项）：指反映机关事业单位实施养老保险制度由单位缴纳的基本养老保险费支出。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.社会保障和就业（类）行政事业单位养老支出（款）机关事业单位职业年金缴费支出（项）：指反映机关事业单位实施养老保险制度由单位实际缴纳的职业年金支出。</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卫生健康支出（类）行政事业单位医疗（款）事业单位医疗（项）：指反映财政部门安排的事业单位基本养医疗保险缴费经费，未参加医疗保险的事业单位的公费医疗经费，按国家规定享受离休人员待遇的医疗经费。</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农林水支出（类）扶贫（款）其他扶贫支出（项）：指反映上述项目以外其他用于脱贫攻坚方面支出。</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住房保障支出（类）住房改革支出（款）住房公积金（项）：指反映行政事业单位按人力资源和社会保障部、财政部规定的基本工资和津贴补贴以及规定比例为职工缴纳住房公积金。</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7</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公务用车运行维护费以及其他费用。</w:t>
      </w:r>
    </w:p>
    <w:p>
      <w:pPr>
        <w:spacing w:line="600" w:lineRule="exact"/>
        <w:ind w:firstLine="1320" w:firstLineChars="300"/>
        <w:jc w:val="both"/>
        <w:outlineLvl w:val="0"/>
        <w:rPr>
          <w:rFonts w:hint="eastAsia" w:ascii="黑体" w:hAnsi="黑体" w:eastAsia="黑体"/>
          <w:color w:val="auto"/>
          <w:sz w:val="44"/>
          <w:szCs w:val="44"/>
          <w:highlight w:val="none"/>
        </w:rPr>
      </w:pPr>
      <w:bookmarkStart w:id="51" w:name="_Toc15396614"/>
      <w:bookmarkStart w:id="52" w:name="_Toc15377226"/>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Fonts w:hint="eastAsia" w:ascii="黑体" w:hAnsi="黑体" w:eastAsia="黑体"/>
          <w:color w:val="auto"/>
          <w:sz w:val="44"/>
          <w:szCs w:val="44"/>
          <w:highlight w:val="none"/>
        </w:rPr>
      </w:pPr>
    </w:p>
    <w:p>
      <w:pPr>
        <w:spacing w:line="600" w:lineRule="exact"/>
        <w:ind w:firstLine="1320" w:firstLineChars="300"/>
        <w:jc w:val="both"/>
        <w:outlineLvl w:val="0"/>
        <w:rPr>
          <w:rStyle w:val="25"/>
          <w:rFonts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kern w:val="0"/>
          <w:sz w:val="44"/>
          <w:szCs w:val="44"/>
          <w:lang w:val="en-US"/>
        </w:rPr>
      </w:pPr>
      <w:bookmarkStart w:id="53" w:name="_Toc15396618"/>
    </w:p>
    <w:p>
      <w:pPr>
        <w:keepNext w:val="0"/>
        <w:keepLines w:val="0"/>
        <w:widowControl w:val="0"/>
        <w:suppressLineNumbers w:val="0"/>
        <w:spacing w:before="0" w:beforeAutospacing="0" w:after="0" w:afterAutospacing="0" w:line="580" w:lineRule="exact"/>
        <w:ind w:right="0" w:firstLine="1920" w:firstLineChars="400"/>
        <w:jc w:val="both"/>
        <w:rPr>
          <w:rFonts w:hint="default" w:ascii="方正小标宋简体" w:hAnsi="方正小标宋简体" w:eastAsia="方正小标宋简体" w:cs="方正小标宋简体"/>
          <w:b w:val="0"/>
          <w:bCs/>
          <w:kern w:val="2"/>
          <w:sz w:val="48"/>
          <w:szCs w:val="48"/>
          <w:lang w:val="en-US" w:eastAsia="zh-CN" w:bidi="ar"/>
        </w:rPr>
      </w:pPr>
      <w:r>
        <w:rPr>
          <w:rFonts w:hint="default" w:ascii="方正小标宋简体" w:hAnsi="方正小标宋简体" w:eastAsia="方正小标宋简体" w:cs="方正小标宋简体"/>
          <w:b w:val="0"/>
          <w:bCs/>
          <w:kern w:val="2"/>
          <w:sz w:val="48"/>
          <w:szCs w:val="48"/>
          <w:lang w:val="en-US" w:eastAsia="zh-CN" w:bidi="ar"/>
        </w:rPr>
        <w:t>通江县教育科学研究室</w:t>
      </w:r>
    </w:p>
    <w:p>
      <w:pPr>
        <w:keepNext w:val="0"/>
        <w:keepLines w:val="0"/>
        <w:widowControl w:val="0"/>
        <w:suppressLineNumbers w:val="0"/>
        <w:spacing w:before="0" w:beforeAutospacing="0" w:after="0" w:afterAutospacing="0" w:line="580" w:lineRule="exact"/>
        <w:ind w:left="0" w:right="0"/>
        <w:jc w:val="center"/>
        <w:rPr>
          <w:rFonts w:hint="default" w:ascii="方正小标宋简体" w:hAnsi="方正小标宋简体" w:eastAsia="方正小标宋简体" w:cs="方正小标宋简体"/>
          <w:b w:val="0"/>
          <w:bCs/>
          <w:sz w:val="48"/>
          <w:szCs w:val="48"/>
          <w:lang w:val="en-US"/>
        </w:rPr>
      </w:pPr>
      <w:r>
        <w:rPr>
          <w:rFonts w:hint="eastAsia" w:ascii="方正小标宋简体" w:hAnsi="方正小标宋简体" w:eastAsia="方正小标宋简体" w:cs="方正小标宋简体"/>
          <w:b w:val="0"/>
          <w:bCs/>
          <w:sz w:val="48"/>
          <w:szCs w:val="48"/>
          <w:lang w:eastAsia="zh-CN"/>
        </w:rPr>
        <w:t>部门</w:t>
      </w:r>
      <w:r>
        <w:rPr>
          <w:rFonts w:hint="default" w:ascii="方正小标宋简体" w:hAnsi="方正小标宋简体" w:eastAsia="方正小标宋简体" w:cs="方正小标宋简体"/>
          <w:b w:val="0"/>
          <w:bCs/>
          <w:sz w:val="48"/>
          <w:szCs w:val="48"/>
          <w:lang w:eastAsia="zh-CN"/>
        </w:rPr>
        <w:t>整体</w:t>
      </w:r>
      <w:r>
        <w:rPr>
          <w:rFonts w:hint="eastAsia" w:ascii="方正小标宋简体" w:hAnsi="方正小标宋简体" w:eastAsia="方正小标宋简体" w:cs="方正小标宋简体"/>
          <w:b w:val="0"/>
          <w:bCs/>
          <w:sz w:val="48"/>
          <w:szCs w:val="48"/>
          <w:lang w:eastAsia="zh-CN"/>
        </w:rPr>
        <w:t>支出</w:t>
      </w:r>
      <w:r>
        <w:rPr>
          <w:rFonts w:hint="default" w:ascii="方正小标宋简体" w:hAnsi="方正小标宋简体" w:eastAsia="方正小标宋简体" w:cs="方正小标宋简体"/>
          <w:b w:val="0"/>
          <w:bCs/>
          <w:sz w:val="48"/>
          <w:szCs w:val="48"/>
          <w:lang w:eastAsia="zh-CN"/>
        </w:rPr>
        <w:t>绩效自评报告</w:t>
      </w:r>
    </w:p>
    <w:p>
      <w:pPr>
        <w:pStyle w:val="31"/>
        <w:widowControl/>
        <w:spacing w:line="240" w:lineRule="auto"/>
        <w:rPr>
          <w:rFonts w:hint="eastAsia" w:ascii="仿宋_GB2312" w:hAnsi="仿宋" w:eastAsia="仿宋_GB2312" w:cs="仿宋_GB2312"/>
          <w:b/>
          <w:bCs w:val="0"/>
          <w:sz w:val="48"/>
          <w:szCs w:val="48"/>
          <w:lang w:val="en-US"/>
        </w:rPr>
      </w:pP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一、基本情况</w:t>
      </w:r>
    </w:p>
    <w:p>
      <w:pPr>
        <w:keepNext w:val="0"/>
        <w:keepLines w:val="0"/>
        <w:widowControl w:val="0"/>
        <w:suppressLineNumbers w:val="0"/>
        <w:adjustRightInd w:val="0"/>
        <w:snapToGrid w:val="0"/>
        <w:spacing w:before="0" w:beforeAutospacing="0" w:after="0" w:afterAutospacing="0" w:line="560" w:lineRule="exact"/>
        <w:ind w:left="0" w:right="0" w:firstLine="72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（一）单位基本情况</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1、通江县教育科学研究室是县教育科技和体育局直属事业单位；</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2、2020年年初预算，编制人数为10人，其中全额拨款事业编制10人，财政供养人员控制率100%，未超过编制。</w:t>
      </w:r>
    </w:p>
    <w:p>
      <w:pPr>
        <w:keepNext w:val="0"/>
        <w:keepLines w:val="0"/>
        <w:widowControl w:val="0"/>
        <w:suppressLineNumbers w:val="0"/>
        <w:adjustRightInd w:val="0"/>
        <w:snapToGrid w:val="0"/>
        <w:spacing w:before="0" w:beforeAutospacing="0" w:after="0" w:afterAutospacing="0" w:line="560" w:lineRule="exact"/>
        <w:ind w:left="0" w:right="0" w:firstLine="72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（二）主要职能</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承担县域内教育决策咨询，教育科研课题管理与指导，课程教材教法、教育教学研究与指导，教育监测评估及中小学（包括普通中小学、中等职业学校、特殊教育学校、幼儿园等）教师培训等职能。</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二、资金使用情况</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仿宋"/>
          <w:b w:val="0"/>
          <w:bCs/>
          <w:sz w:val="32"/>
          <w:szCs w:val="32"/>
          <w:lang w:val="en-US"/>
        </w:rPr>
      </w:pPr>
      <w:r>
        <w:rPr>
          <w:rFonts w:hint="eastAsia" w:ascii="仿宋" w:hAnsi="仿宋" w:eastAsia="仿宋" w:cs="仿宋"/>
          <w:b w:val="0"/>
          <w:bCs/>
          <w:kern w:val="2"/>
          <w:sz w:val="32"/>
          <w:szCs w:val="32"/>
          <w:lang w:val="zh-CN" w:eastAsia="zh-CN" w:bidi="ar"/>
        </w:rPr>
        <w:t>（一）</w:t>
      </w:r>
      <w:r>
        <w:rPr>
          <w:rFonts w:hint="eastAsia" w:ascii="仿宋" w:hAnsi="仿宋" w:eastAsia="仿宋" w:cs="楷体_GB2312"/>
          <w:b w:val="0"/>
          <w:bCs/>
          <w:kern w:val="2"/>
          <w:sz w:val="32"/>
          <w:szCs w:val="32"/>
          <w:lang w:val="zh-CN" w:eastAsia="zh-CN" w:bidi="ar"/>
        </w:rPr>
        <w:t>资金使用情况</w:t>
      </w:r>
      <w:r>
        <w:rPr>
          <w:rFonts w:hint="eastAsia" w:ascii="仿宋" w:hAnsi="仿宋" w:eastAsia="仿宋" w:cs="仿宋"/>
          <w:b w:val="0"/>
          <w:bCs/>
          <w:kern w:val="2"/>
          <w:sz w:val="32"/>
          <w:szCs w:val="32"/>
          <w:lang w:val="zh-CN"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72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截至2020年12月31日实际支出1605034.62元，资金开支范围包括：1、工资性支出：基本工资532509元；津贴补贴37543元；绩效工资544519元。2、五险一金支出：养老保险135015元；医疗保险69912元；职业年金缴费25618元；住房公积金101264元。3、商品和服务支出共326756元。其中公务接待费用为2594元；工会经费：12600元。4、对个人和家庭的补助15676元。</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支付进度为100%，支付依据合法合规，资金支付与年初预算相符。</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仿宋"/>
          <w:b w:val="0"/>
          <w:bCs/>
          <w:sz w:val="32"/>
          <w:szCs w:val="32"/>
          <w:lang w:val="zh-CN" w:eastAsia="zh-CN"/>
        </w:rPr>
      </w:pPr>
      <w:r>
        <w:rPr>
          <w:rFonts w:hint="eastAsia" w:ascii="仿宋" w:hAnsi="仿宋" w:eastAsia="仿宋" w:cs="仿宋"/>
          <w:b w:val="0"/>
          <w:bCs/>
          <w:kern w:val="2"/>
          <w:sz w:val="32"/>
          <w:szCs w:val="32"/>
          <w:lang w:val="zh-CN" w:eastAsia="zh-CN" w:bidi="ar"/>
        </w:rPr>
        <w:t>（二）</w:t>
      </w:r>
      <w:r>
        <w:rPr>
          <w:rFonts w:hint="eastAsia" w:ascii="仿宋" w:hAnsi="仿宋" w:eastAsia="仿宋" w:cs="楷体_GB2312"/>
          <w:b w:val="0"/>
          <w:bCs/>
          <w:kern w:val="2"/>
          <w:sz w:val="32"/>
          <w:szCs w:val="32"/>
          <w:lang w:val="zh-CN" w:eastAsia="zh-CN" w:bidi="ar"/>
        </w:rPr>
        <w:t>组织实施情况</w:t>
      </w:r>
      <w:r>
        <w:rPr>
          <w:rFonts w:hint="eastAsia" w:ascii="仿宋" w:hAnsi="仿宋" w:eastAsia="仿宋" w:cs="仿宋"/>
          <w:b w:val="0"/>
          <w:bCs/>
          <w:kern w:val="2"/>
          <w:sz w:val="32"/>
          <w:szCs w:val="32"/>
          <w:lang w:val="zh-CN" w:eastAsia="zh-CN" w:bidi="ar"/>
        </w:rPr>
        <w:t>。</w:t>
      </w:r>
    </w:p>
    <w:p>
      <w:pPr>
        <w:keepNext w:val="0"/>
        <w:keepLines w:val="0"/>
        <w:widowControl w:val="0"/>
        <w:suppressLineNumbers w:val="0"/>
        <w:adjustRightInd w:val="0"/>
        <w:snapToGrid w:val="0"/>
        <w:spacing w:before="0" w:beforeAutospacing="0" w:after="0" w:afterAutospacing="0" w:line="560" w:lineRule="exact"/>
        <w:ind w:left="210" w:leftChars="100" w:right="0" w:firstLine="480" w:firstLineChars="15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zh-CN" w:eastAsia="zh-CN" w:bidi="ar"/>
        </w:rPr>
        <w:t>1、</w:t>
      </w:r>
      <w:r>
        <w:rPr>
          <w:rFonts w:hint="eastAsia" w:ascii="仿宋" w:hAnsi="仿宋" w:eastAsia="仿宋" w:cs="仿宋_GB2312"/>
          <w:b w:val="0"/>
          <w:bCs/>
          <w:kern w:val="2"/>
          <w:sz w:val="32"/>
          <w:szCs w:val="32"/>
          <w:lang w:val="en-US" w:eastAsia="zh-CN" w:bidi="ar"/>
        </w:rPr>
        <w:t>内设中学室、小学室、幼教室、理论室、信息技术室、办公室和语委办。</w:t>
      </w:r>
    </w:p>
    <w:p>
      <w:pPr>
        <w:keepNext w:val="0"/>
        <w:keepLines w:val="0"/>
        <w:widowControl w:val="0"/>
        <w:suppressLineNumbers w:val="0"/>
        <w:adjustRightInd w:val="0"/>
        <w:snapToGrid w:val="0"/>
        <w:spacing w:before="0" w:beforeAutospacing="0" w:after="0" w:afterAutospacing="0" w:line="560" w:lineRule="exact"/>
        <w:ind w:left="210" w:leftChars="100" w:right="0" w:firstLine="480" w:firstLineChars="15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2、单位建立了内部控制方案，成立了财务内审、监督领导小组。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 w:hAnsi="仿宋" w:eastAsia="仿宋" w:cs="仿宋_GB2312"/>
          <w:b w:val="0"/>
          <w:bCs/>
          <w:sz w:val="32"/>
          <w:szCs w:val="32"/>
          <w:lang w:val="en-US"/>
        </w:rPr>
      </w:pPr>
      <w:r>
        <w:rPr>
          <w:rFonts w:hint="eastAsia" w:ascii="仿宋" w:hAnsi="仿宋" w:eastAsia="仿宋" w:cs="仿宋_GB2312"/>
          <w:b w:val="0"/>
          <w:bCs/>
          <w:kern w:val="2"/>
          <w:sz w:val="32"/>
          <w:szCs w:val="32"/>
          <w:lang w:val="en-US" w:eastAsia="zh-CN" w:bidi="ar"/>
        </w:rPr>
        <w:t>3、执行政府会计制度。</w:t>
      </w:r>
    </w:p>
    <w:p>
      <w:pPr>
        <w:keepNext w:val="0"/>
        <w:keepLines w:val="0"/>
        <w:widowControl w:val="0"/>
        <w:suppressLineNumbers w:val="0"/>
        <w:adjustRightInd w:val="0"/>
        <w:snapToGrid w:val="0"/>
        <w:spacing w:before="0" w:beforeAutospacing="0" w:after="0" w:afterAutospacing="0" w:line="560" w:lineRule="exact"/>
        <w:ind w:left="0" w:right="0" w:firstLine="643" w:firstLineChars="200"/>
        <w:jc w:val="both"/>
        <w:rPr>
          <w:rFonts w:hint="eastAsia" w:ascii="仿宋" w:hAnsi="仿宋" w:eastAsia="仿宋" w:cs="仿宋"/>
          <w:b/>
          <w:bCs w:val="0"/>
          <w:sz w:val="32"/>
          <w:szCs w:val="32"/>
          <w:lang w:val="zh-CN" w:eastAsia="zh-CN"/>
        </w:rPr>
      </w:pPr>
      <w:r>
        <w:rPr>
          <w:rFonts w:hint="eastAsia" w:ascii="仿宋" w:hAnsi="仿宋" w:eastAsia="仿宋" w:cs="仿宋"/>
          <w:b/>
          <w:bCs w:val="0"/>
          <w:kern w:val="2"/>
          <w:sz w:val="32"/>
          <w:szCs w:val="32"/>
          <w:lang w:val="en-US" w:eastAsia="zh-CN" w:bidi="ar"/>
        </w:rPr>
        <w:t>三、目标完成情况</w:t>
      </w:r>
      <w:r>
        <w:rPr>
          <w:rFonts w:hint="eastAsia" w:ascii="仿宋" w:hAnsi="仿宋" w:eastAsia="仿宋" w:cs="仿宋"/>
          <w:b/>
          <w:bCs w:val="0"/>
          <w:kern w:val="2"/>
          <w:sz w:val="32"/>
          <w:szCs w:val="32"/>
          <w:lang w:val="zh-CN" w:eastAsia="zh-CN" w:bidi="ar"/>
        </w:rPr>
        <w:tab/>
      </w:r>
    </w:p>
    <w:p>
      <w:pPr>
        <w:keepNext w:val="0"/>
        <w:keepLines w:val="0"/>
        <w:widowControl w:val="0"/>
        <w:suppressLineNumbers w:val="0"/>
        <w:adjustRightInd w:val="0"/>
        <w:snapToGrid w:val="0"/>
        <w:spacing w:before="0" w:beforeAutospacing="0" w:after="0" w:afterAutospacing="0" w:line="560" w:lineRule="exact"/>
        <w:ind w:left="0" w:right="0" w:firstLine="720"/>
        <w:jc w:val="both"/>
        <w:rPr>
          <w:rFonts w:hint="eastAsia" w:ascii="仿宋" w:hAnsi="仿宋" w:eastAsia="仿宋" w:cs="仿宋"/>
          <w:b w:val="0"/>
          <w:bCs/>
          <w:sz w:val="32"/>
          <w:szCs w:val="32"/>
          <w:lang w:val="zh-CN" w:eastAsia="zh-CN"/>
        </w:rPr>
      </w:pPr>
      <w:r>
        <w:rPr>
          <w:rFonts w:hint="eastAsia" w:ascii="仿宋" w:hAnsi="仿宋" w:eastAsia="仿宋" w:cs="楷体_GB2312"/>
          <w:b w:val="0"/>
          <w:bCs/>
          <w:kern w:val="2"/>
          <w:sz w:val="32"/>
          <w:szCs w:val="32"/>
          <w:lang w:val="zh-CN" w:eastAsia="zh-CN" w:bidi="ar"/>
        </w:rPr>
        <w:t>（一）目标任务量完成情况</w:t>
      </w:r>
      <w:r>
        <w:rPr>
          <w:rFonts w:hint="eastAsia" w:ascii="仿宋" w:hAnsi="仿宋" w:eastAsia="仿宋" w:cs="仿宋"/>
          <w:b w:val="0"/>
          <w:bCs/>
          <w:kern w:val="2"/>
          <w:sz w:val="32"/>
          <w:szCs w:val="32"/>
          <w:lang w:val="zh-CN"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800" w:firstLineChars="25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1、工资福利保障人数：10人。</w:t>
      </w:r>
    </w:p>
    <w:p>
      <w:pPr>
        <w:keepNext w:val="0"/>
        <w:keepLines w:val="0"/>
        <w:widowControl w:val="0"/>
        <w:suppressLineNumbers w:val="0"/>
        <w:adjustRightInd w:val="0"/>
        <w:snapToGrid w:val="0"/>
        <w:spacing w:before="0" w:beforeAutospacing="0" w:after="0" w:afterAutospacing="0" w:line="560" w:lineRule="exact"/>
        <w:ind w:left="0" w:right="0" w:firstLine="800" w:firstLineChars="25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2、公务接待批次：4批次。</w:t>
      </w:r>
    </w:p>
    <w:p>
      <w:pPr>
        <w:keepNext w:val="0"/>
        <w:keepLines w:val="0"/>
        <w:widowControl w:val="0"/>
        <w:suppressLineNumbers w:val="0"/>
        <w:adjustRightInd w:val="0"/>
        <w:snapToGrid w:val="0"/>
        <w:spacing w:before="0" w:beforeAutospacing="0" w:after="0" w:afterAutospacing="0" w:line="560" w:lineRule="exact"/>
        <w:ind w:left="0" w:right="0" w:firstLine="800" w:firstLineChars="25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3、脱贫攻坚帮扶对象：12户。</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仿宋"/>
          <w:b w:val="0"/>
          <w:bCs/>
          <w:sz w:val="32"/>
          <w:szCs w:val="32"/>
          <w:lang w:val="zh-CN" w:eastAsia="zh-CN"/>
        </w:rPr>
      </w:pPr>
      <w:r>
        <w:rPr>
          <w:rFonts w:hint="eastAsia" w:ascii="仿宋" w:hAnsi="仿宋" w:eastAsia="仿宋" w:cs="楷体_GB2312"/>
          <w:b w:val="0"/>
          <w:bCs/>
          <w:kern w:val="2"/>
          <w:sz w:val="32"/>
          <w:szCs w:val="32"/>
          <w:lang w:val="zh-CN" w:eastAsia="zh-CN" w:bidi="ar"/>
        </w:rPr>
        <w:t>（二）目标质量完成情况</w:t>
      </w:r>
      <w:r>
        <w:rPr>
          <w:rFonts w:hint="eastAsia" w:ascii="仿宋" w:hAnsi="仿宋" w:eastAsia="仿宋" w:cs="仿宋"/>
          <w:b w:val="0"/>
          <w:bCs/>
          <w:kern w:val="2"/>
          <w:sz w:val="32"/>
          <w:szCs w:val="32"/>
          <w:lang w:val="zh-CN"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800" w:firstLineChars="25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1、工资福利保障完成100%。</w:t>
      </w:r>
    </w:p>
    <w:p>
      <w:pPr>
        <w:keepNext w:val="0"/>
        <w:keepLines w:val="0"/>
        <w:widowControl w:val="0"/>
        <w:suppressLineNumbers w:val="0"/>
        <w:adjustRightInd w:val="0"/>
        <w:snapToGrid w:val="0"/>
        <w:spacing w:before="0" w:beforeAutospacing="0" w:after="0" w:afterAutospacing="0" w:line="560" w:lineRule="exact"/>
        <w:ind w:left="0" w:right="0" w:firstLine="72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2、三公经费下降率≥5%。</w:t>
      </w:r>
    </w:p>
    <w:p>
      <w:pPr>
        <w:keepNext w:val="0"/>
        <w:keepLines w:val="0"/>
        <w:widowControl w:val="0"/>
        <w:suppressLineNumbers w:val="0"/>
        <w:adjustRightInd w:val="0"/>
        <w:snapToGrid w:val="0"/>
        <w:spacing w:before="0" w:beforeAutospacing="0" w:after="0" w:afterAutospacing="0" w:line="560" w:lineRule="exact"/>
        <w:ind w:left="0" w:right="0" w:firstLine="72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3、能耗下降率≥5%。</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仿宋"/>
          <w:b w:val="0"/>
          <w:bCs/>
          <w:sz w:val="32"/>
          <w:szCs w:val="32"/>
          <w:lang w:val="zh-CN" w:eastAsia="zh-CN"/>
        </w:rPr>
      </w:pPr>
      <w:r>
        <w:rPr>
          <w:rFonts w:hint="eastAsia" w:ascii="仿宋" w:hAnsi="仿宋" w:eastAsia="仿宋" w:cs="楷体_GB2312"/>
          <w:b w:val="0"/>
          <w:bCs/>
          <w:kern w:val="2"/>
          <w:sz w:val="32"/>
          <w:szCs w:val="32"/>
          <w:lang w:val="zh-CN" w:eastAsia="zh-CN" w:bidi="ar"/>
        </w:rPr>
        <w:t>（三）目标进度完成情况</w:t>
      </w:r>
      <w:r>
        <w:rPr>
          <w:rFonts w:hint="eastAsia" w:ascii="仿宋" w:hAnsi="仿宋" w:eastAsia="仿宋" w:cs="仿宋"/>
          <w:b w:val="0"/>
          <w:bCs/>
          <w:kern w:val="2"/>
          <w:sz w:val="32"/>
          <w:szCs w:val="32"/>
          <w:lang w:val="zh-CN" w:eastAsia="zh-CN" w:bidi="ar"/>
        </w:rPr>
        <w:t>。</w:t>
      </w:r>
    </w:p>
    <w:p>
      <w:pPr>
        <w:keepNext w:val="0"/>
        <w:keepLines w:val="0"/>
        <w:widowControl w:val="0"/>
        <w:suppressLineNumbers w:val="0"/>
        <w:adjustRightInd w:val="0"/>
        <w:snapToGrid w:val="0"/>
        <w:spacing w:before="0" w:beforeAutospacing="0" w:after="0" w:afterAutospacing="0" w:line="560" w:lineRule="exact"/>
        <w:ind w:left="0" w:right="0" w:firstLine="320" w:firstLineChars="10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 xml:space="preserve">   1、工资福利100%按时发放。</w:t>
      </w:r>
    </w:p>
    <w:p>
      <w:pPr>
        <w:keepNext w:val="0"/>
        <w:keepLines w:val="0"/>
        <w:widowControl w:val="0"/>
        <w:suppressLineNumbers w:val="0"/>
        <w:adjustRightInd w:val="0"/>
        <w:snapToGrid w:val="0"/>
        <w:spacing w:before="0" w:beforeAutospacing="0" w:after="0" w:afterAutospacing="0" w:line="560" w:lineRule="exact"/>
        <w:ind w:left="0" w:right="0" w:firstLine="320" w:firstLineChars="100"/>
        <w:jc w:val="both"/>
        <w:rPr>
          <w:rFonts w:hint="eastAsia" w:ascii="仿宋" w:hAnsi="仿宋" w:eastAsia="仿宋" w:cs="仿宋_GB2312"/>
          <w:b w:val="0"/>
          <w:bCs/>
          <w:sz w:val="32"/>
          <w:szCs w:val="32"/>
          <w:lang w:val="zh-CN" w:eastAsia="zh-CN"/>
        </w:rPr>
      </w:pPr>
      <w:r>
        <w:rPr>
          <w:rFonts w:hint="eastAsia" w:ascii="仿宋" w:hAnsi="仿宋" w:eastAsia="仿宋" w:cs="仿宋_GB2312"/>
          <w:b w:val="0"/>
          <w:bCs/>
          <w:kern w:val="2"/>
          <w:sz w:val="32"/>
          <w:szCs w:val="32"/>
          <w:lang w:val="zh-CN" w:eastAsia="zh-CN" w:bidi="ar"/>
        </w:rPr>
        <w:t xml:space="preserve">   2、其他目标都是100%按时完成。</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（四）执行管理情况。</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严格遵守县财政局经费来源和分配、管理、使用原则。一是规范账户管理。单位允许设立一个银行账户。严禁公款私存、私设小金库和账外账，所有资金收支必须在一个银行账户中反映。二是严格遵守支出审批制度。按照“量力而行、量入为出”的原则，合理安排经费。各科室安排工作涉及2000元以上支出的，需事先编制工作方案，经分管财务的领导审核后实施。所有票据由经办人、科室负责人签署意见，送财务室对票据的合法性、支出的真实性进行审核，报分管财务领导审核。单项支出金额无论大小，均由分管财务的领导审核后，报主要领导审批。公务支出要求使用公务卡支付。无划卡条件的，原则上采取银行转账方式支付。三是严格</w:t>
      </w:r>
      <w:bookmarkStart w:id="67" w:name="_GoBack"/>
      <w:bookmarkEnd w:id="67"/>
      <w:r>
        <w:rPr>
          <w:rFonts w:hint="eastAsia" w:ascii="仿宋" w:hAnsi="仿宋" w:eastAsia="仿宋" w:cs="楷体_GB2312"/>
          <w:b w:val="0"/>
          <w:bCs/>
          <w:kern w:val="2"/>
          <w:sz w:val="32"/>
          <w:szCs w:val="32"/>
          <w:lang w:val="zh-CN" w:eastAsia="zh-CN" w:bidi="ar"/>
        </w:rPr>
        <w:t>遵守财务内审和监督制度。内部财务管理制度中包含了经费管理、经费审批、借款管理、现金及支票管理和财务管理五个方面。还对“三公经费”、会议费、培训费支出进行严格管理。单位干部、职工都严格遵守财经纪律，严格按照财务管理制度照章办事，没有发生违反财经纪律、违反财务管理制度的情况。单位的财务收支情况每年在职工大会上公布，接受监督。同时，在开支控制、办公用品采购、大宗印刷管理等方面严格执行相关制度。</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（五）财务管理情况</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一是成立了以主任杨怀通为组长，党支部书记向勇为副组长，相关科室负责人为成员的部门支出绩效评价工作领导小组，主要负责绩效评价方案的制定、组织实施和检查、督促、验收工作。二是在单位完成绩效评价工作后，组织人员对重点项目进行抽查。较好地实现了预期绩效目标。</w:t>
      </w:r>
    </w:p>
    <w:p>
      <w:pPr>
        <w:keepNext w:val="0"/>
        <w:keepLines w:val="0"/>
        <w:widowControl w:val="0"/>
        <w:suppressLineNumbers w:val="0"/>
        <w:adjustRightInd w:val="0"/>
        <w:snapToGrid w:val="0"/>
        <w:spacing w:before="0" w:beforeAutospacing="0" w:after="0" w:afterAutospacing="0" w:line="560" w:lineRule="exact"/>
        <w:ind w:left="0" w:right="0" w:firstLine="482" w:firstLineChars="150"/>
        <w:jc w:val="both"/>
        <w:rPr>
          <w:rFonts w:hint="eastAsia" w:ascii="仿宋" w:hAnsi="仿宋" w:eastAsia="仿宋" w:cs="楷体_GB2312"/>
          <w:b/>
          <w:bCs w:val="0"/>
          <w:sz w:val="32"/>
          <w:szCs w:val="32"/>
          <w:lang w:val="zh-CN" w:eastAsia="zh-CN"/>
        </w:rPr>
      </w:pPr>
      <w:r>
        <w:rPr>
          <w:rFonts w:hint="eastAsia" w:ascii="仿宋" w:hAnsi="仿宋" w:eastAsia="仿宋" w:cs="楷体_GB2312"/>
          <w:b/>
          <w:bCs w:val="0"/>
          <w:kern w:val="2"/>
          <w:sz w:val="32"/>
          <w:szCs w:val="32"/>
          <w:lang w:val="zh-CN" w:eastAsia="zh-CN" w:bidi="ar"/>
        </w:rPr>
        <w:t>四、项目绩效情况</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　202</w:t>
      </w:r>
      <w:r>
        <w:rPr>
          <w:rFonts w:hint="eastAsia" w:ascii="仿宋" w:hAnsi="仿宋" w:eastAsia="仿宋" w:cs="楷体_GB2312"/>
          <w:b w:val="0"/>
          <w:bCs/>
          <w:kern w:val="2"/>
          <w:sz w:val="32"/>
          <w:szCs w:val="32"/>
          <w:lang w:val="en-US" w:eastAsia="zh-CN" w:bidi="ar"/>
        </w:rPr>
        <w:t>0</w:t>
      </w:r>
      <w:r>
        <w:rPr>
          <w:rFonts w:hint="eastAsia" w:ascii="仿宋" w:hAnsi="仿宋" w:eastAsia="仿宋" w:cs="楷体_GB2312"/>
          <w:b w:val="0"/>
          <w:bCs/>
          <w:kern w:val="2"/>
          <w:sz w:val="32"/>
          <w:szCs w:val="32"/>
          <w:lang w:val="zh-CN" w:eastAsia="zh-CN" w:bidi="ar"/>
        </w:rPr>
        <w:t>年，县教研室以“研究教学、服务教学、指导教学”为工作职能，坚持贴近教师、贴近学校、追求实效的原则，加强教学研究，促进了我县教育教学质量的提升。全面完成了县教育科技和体育局下达的各项目工作目标任务，高三毕业班指导及教科研成绩显著，年终单位目标考核，获得一等奖。取得了良好的社会效益和经济效益。单位还厉行节约，严格管控三公经费、会议费、培训费支出，“水、电、气”实行专人管理，让有限的资金发挥了更大的效益。</w:t>
      </w:r>
    </w:p>
    <w:p>
      <w:pPr>
        <w:keepNext w:val="0"/>
        <w:keepLines w:val="0"/>
        <w:widowControl w:val="0"/>
        <w:suppressLineNumbers w:val="0"/>
        <w:adjustRightInd w:val="0"/>
        <w:snapToGrid w:val="0"/>
        <w:spacing w:before="0" w:beforeAutospacing="0" w:after="0" w:afterAutospacing="0" w:line="560" w:lineRule="exact"/>
        <w:ind w:left="0" w:right="0" w:firstLine="482" w:firstLineChars="150"/>
        <w:jc w:val="both"/>
        <w:rPr>
          <w:rFonts w:hint="eastAsia" w:ascii="仿宋" w:hAnsi="仿宋" w:eastAsia="仿宋" w:cs="楷体_GB2312"/>
          <w:b/>
          <w:bCs w:val="0"/>
          <w:sz w:val="32"/>
          <w:szCs w:val="32"/>
          <w:lang w:val="zh-CN" w:eastAsia="zh-CN"/>
        </w:rPr>
      </w:pPr>
      <w:r>
        <w:rPr>
          <w:rFonts w:hint="eastAsia" w:ascii="仿宋" w:hAnsi="仿宋" w:eastAsia="仿宋" w:cs="楷体_GB2312"/>
          <w:b/>
          <w:bCs w:val="0"/>
          <w:kern w:val="2"/>
          <w:sz w:val="32"/>
          <w:szCs w:val="32"/>
          <w:lang w:val="zh-CN" w:eastAsia="zh-CN" w:bidi="ar"/>
        </w:rPr>
        <w:t>五、问题及建议</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（一）存在问题</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一是资金使用效益有待进一步提高。二是绩效目标设立不够科学和精细。 三是需要更多地深入片区学校，组织开展联片教研活动，更好地促进我县教育事业的发展</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（二）改进建议</w:t>
      </w:r>
    </w:p>
    <w:p>
      <w:pPr>
        <w:keepNext w:val="0"/>
        <w:keepLines w:val="0"/>
        <w:widowControl w:val="0"/>
        <w:suppressLineNumbers w:val="0"/>
        <w:adjustRightInd w:val="0"/>
        <w:snapToGrid w:val="0"/>
        <w:spacing w:before="0" w:beforeAutospacing="0" w:after="0" w:afterAutospacing="0" w:line="560" w:lineRule="exact"/>
        <w:ind w:left="0" w:right="0" w:firstLine="480" w:firstLineChars="150"/>
        <w:jc w:val="both"/>
        <w:rPr>
          <w:rFonts w:hint="eastAsia" w:ascii="仿宋" w:hAnsi="仿宋" w:eastAsia="仿宋" w:cs="楷体_GB2312"/>
          <w:b w:val="0"/>
          <w:bCs/>
          <w:sz w:val="32"/>
          <w:szCs w:val="32"/>
          <w:lang w:val="zh-CN" w:eastAsia="zh-CN"/>
        </w:rPr>
      </w:pPr>
      <w:r>
        <w:rPr>
          <w:rFonts w:hint="eastAsia" w:ascii="仿宋" w:hAnsi="仿宋" w:eastAsia="仿宋" w:cs="楷体_GB2312"/>
          <w:b w:val="0"/>
          <w:bCs/>
          <w:kern w:val="2"/>
          <w:sz w:val="32"/>
          <w:szCs w:val="32"/>
          <w:lang w:val="zh-CN" w:eastAsia="zh-CN" w:bidi="ar"/>
        </w:rPr>
        <w:t>县财政拨付一定数额的教育科研专项经费，助推我县教育科研工作的开展，更好地提升我县的教育教学质量。</w:t>
      </w:r>
    </w:p>
    <w:p>
      <w:pPr>
        <w:keepNext w:val="0"/>
        <w:keepLines w:val="0"/>
        <w:widowControl w:val="0"/>
        <w:suppressLineNumbers w:val="0"/>
        <w:snapToGrid w:val="0"/>
        <w:spacing w:before="0" w:beforeAutospacing="0" w:after="0" w:afterAutospacing="0" w:line="580" w:lineRule="exact"/>
        <w:ind w:left="0" w:right="0" w:firstLine="5600" w:firstLineChars="1750"/>
        <w:jc w:val="both"/>
        <w:rPr>
          <w:rFonts w:hint="eastAsia" w:ascii="仿宋" w:hAnsi="仿宋" w:eastAsia="仿宋" w:cs="仿宋_GB2312"/>
          <w:b w:val="0"/>
          <w:bCs/>
          <w:color w:val="000000"/>
          <w:sz w:val="32"/>
          <w:szCs w:val="32"/>
          <w:lang w:val="en-US" w:bidi="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lang w:val="en-US" w:eastAsia="zh-CN"/>
        </w:rPr>
      </w:pPr>
    </w:p>
    <w:p>
      <w:pPr>
        <w:spacing w:line="600" w:lineRule="exact"/>
        <w:jc w:val="both"/>
        <w:outlineLvl w:val="0"/>
        <w:rPr>
          <w:rStyle w:val="25"/>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Start w:id="54" w:name="_Toc15396619"/>
    </w:p>
    <w:p>
      <w:pPr>
        <w:spacing w:line="600" w:lineRule="exact"/>
        <w:jc w:val="both"/>
        <w:outlineLvl w:val="0"/>
        <w:rPr>
          <w:rStyle w:val="26"/>
          <w:rFonts w:hint="eastAsia" w:ascii="仿宋" w:hAnsi="仿宋" w:eastAsia="仿宋"/>
          <w:b w:val="0"/>
          <w:bCs w:val="0"/>
          <w:color w:val="auto"/>
          <w:sz w:val="32"/>
          <w:szCs w:val="32"/>
          <w:highlight w:val="none"/>
        </w:rPr>
      </w:pPr>
      <w:r>
        <w:rPr>
          <w:rFonts w:hint="eastAsia" w:ascii="仿宋" w:hAnsi="仿宋" w:eastAsia="仿宋"/>
          <w:b w:val="0"/>
          <w:color w:val="auto"/>
          <w:sz w:val="32"/>
          <w:szCs w:val="32"/>
          <w:highlight w:val="none"/>
        </w:rPr>
        <w:t>一、收</w:t>
      </w:r>
      <w:r>
        <w:rPr>
          <w:rStyle w:val="26"/>
          <w:rFonts w:hint="eastAsia" w:ascii="仿宋" w:hAnsi="仿宋" w:eastAsia="仿宋"/>
          <w:b w:val="0"/>
          <w:bCs w:val="0"/>
          <w:color w:val="auto"/>
          <w:sz w:val="32"/>
          <w:szCs w:val="32"/>
          <w:highlight w:val="none"/>
        </w:rPr>
        <w:t>入支出决算总表</w:t>
      </w:r>
      <w:bookmarkEnd w:id="54"/>
      <w:bookmarkStart w:id="55" w:name="_Toc15396620"/>
    </w:p>
    <w:p>
      <w:pPr>
        <w:spacing w:line="600" w:lineRule="exact"/>
        <w:jc w:val="both"/>
        <w:outlineLvl w:val="0"/>
        <w:rPr>
          <w:rStyle w:val="26"/>
          <w:rFonts w:hint="eastAsia" w:ascii="仿宋" w:hAnsi="仿宋" w:eastAsia="仿宋"/>
          <w:b w:val="0"/>
          <w:bCs w:val="0"/>
          <w:color w:val="auto"/>
          <w:sz w:val="32"/>
          <w:szCs w:val="32"/>
          <w:highlight w:val="none"/>
        </w:rPr>
      </w:pPr>
      <w:r>
        <w:rPr>
          <w:rFonts w:hint="eastAsia" w:ascii="仿宋" w:hAnsi="仿宋" w:eastAsia="仿宋"/>
          <w:b w:val="0"/>
          <w:color w:val="auto"/>
          <w:sz w:val="32"/>
          <w:szCs w:val="32"/>
          <w:highlight w:val="none"/>
        </w:rPr>
        <w:t>二、收</w:t>
      </w:r>
      <w:r>
        <w:rPr>
          <w:rStyle w:val="26"/>
          <w:rFonts w:hint="eastAsia" w:ascii="仿宋" w:hAnsi="仿宋" w:eastAsia="仿宋"/>
          <w:b w:val="0"/>
          <w:bCs w:val="0"/>
          <w:color w:val="auto"/>
          <w:sz w:val="32"/>
          <w:szCs w:val="32"/>
          <w:highlight w:val="none"/>
        </w:rPr>
        <w:t>入决算表</w:t>
      </w:r>
      <w:bookmarkEnd w:id="55"/>
      <w:bookmarkStart w:id="56" w:name="_Toc15396621"/>
    </w:p>
    <w:p>
      <w:pPr>
        <w:spacing w:line="600" w:lineRule="exact"/>
        <w:jc w:val="both"/>
        <w:outlineLvl w:val="0"/>
        <w:rPr>
          <w:rFonts w:ascii="仿宋" w:hAnsi="仿宋" w:eastAsia="仿宋"/>
          <w:color w:val="auto"/>
          <w:sz w:val="32"/>
          <w:szCs w:val="32"/>
          <w:highlight w:val="none"/>
        </w:rPr>
      </w:pPr>
      <w:r>
        <w:rPr>
          <w:rStyle w:val="26"/>
          <w:rFonts w:hint="eastAsia" w:ascii="仿宋" w:hAnsi="仿宋" w:eastAsia="仿宋"/>
          <w:b w:val="0"/>
          <w:bCs w:val="0"/>
          <w:color w:val="auto"/>
          <w:highlight w:val="none"/>
        </w:rPr>
        <w:t>三、</w:t>
      </w:r>
      <w:r>
        <w:rPr>
          <w:rFonts w:hint="eastAsia" w:ascii="仿宋" w:hAnsi="仿宋" w:eastAsia="仿宋"/>
          <w:b w:val="0"/>
          <w:color w:val="auto"/>
          <w:sz w:val="32"/>
          <w:szCs w:val="32"/>
          <w:highlight w:val="none"/>
        </w:rPr>
        <w:t>支</w:t>
      </w:r>
      <w:r>
        <w:rPr>
          <w:rStyle w:val="26"/>
          <w:rFonts w:hint="eastAsia" w:ascii="仿宋" w:hAnsi="仿宋" w:eastAsia="仿宋"/>
          <w:b w:val="0"/>
          <w:bCs w:val="0"/>
          <w:color w:val="auto"/>
          <w:sz w:val="32"/>
          <w:szCs w:val="32"/>
          <w:highlight w:val="none"/>
        </w:rPr>
        <w:t>出决算表</w:t>
      </w:r>
      <w:bookmarkEnd w:id="56"/>
    </w:p>
    <w:p>
      <w:pPr>
        <w:pStyle w:val="4"/>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5"/>
    </w:p>
    <w:p>
      <w:pPr>
        <w:pStyle w:val="4"/>
        <w:rPr>
          <w:rStyle w:val="26"/>
          <w:rFonts w:hint="eastAsia" w:ascii="仿宋" w:hAnsi="仿宋" w:eastAsia="仿宋"/>
          <w:b w:val="0"/>
          <w:bCs w:val="0"/>
          <w:color w:val="auto"/>
          <w:highlight w:val="none"/>
        </w:rPr>
      </w:pPr>
      <w:bookmarkStart w:id="66"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p>
      <w:pPr>
        <w:pStyle w:val="2"/>
        <w:rPr>
          <w:rFonts w:hint="eastAsia"/>
          <w:lang w:val="en-US" w:eastAsia="zh-CN"/>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bookmarkEnd w:id="52"/>
    <w:bookmarkEnd w:id="53"/>
    <w:p>
      <w:pPr>
        <w:spacing w:line="600" w:lineRule="exact"/>
        <w:jc w:val="both"/>
        <w:outlineLvl w:val="0"/>
        <w:rPr>
          <w:rFonts w:hint="eastAsia" w:ascii="黑体" w:hAnsi="黑体" w:eastAsia="黑体"/>
          <w:color w:val="auto"/>
          <w:sz w:val="44"/>
          <w:szCs w:val="44"/>
          <w:highlight w:val="none"/>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3C960"/>
    <w:multiLevelType w:val="singleLevel"/>
    <w:tmpl w:val="9063C960"/>
    <w:lvl w:ilvl="0" w:tentative="0">
      <w:start w:val="1"/>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72A78"/>
    <w:rsid w:val="022C5CCC"/>
    <w:rsid w:val="031F5362"/>
    <w:rsid w:val="047631A5"/>
    <w:rsid w:val="047A063D"/>
    <w:rsid w:val="05A94B4C"/>
    <w:rsid w:val="05DC5F0A"/>
    <w:rsid w:val="067C2872"/>
    <w:rsid w:val="06BF3957"/>
    <w:rsid w:val="06D47713"/>
    <w:rsid w:val="06D711C6"/>
    <w:rsid w:val="07AD5DF1"/>
    <w:rsid w:val="08033CE1"/>
    <w:rsid w:val="09935912"/>
    <w:rsid w:val="0A2032A3"/>
    <w:rsid w:val="0A740EC6"/>
    <w:rsid w:val="0B8A37D8"/>
    <w:rsid w:val="0BA92DF2"/>
    <w:rsid w:val="0CA71847"/>
    <w:rsid w:val="0CD80447"/>
    <w:rsid w:val="0CF76DEA"/>
    <w:rsid w:val="0D365FE1"/>
    <w:rsid w:val="0D6D5FF2"/>
    <w:rsid w:val="0DAE5F61"/>
    <w:rsid w:val="0ED308B1"/>
    <w:rsid w:val="0FAE2225"/>
    <w:rsid w:val="10C055FF"/>
    <w:rsid w:val="11261C36"/>
    <w:rsid w:val="118107EC"/>
    <w:rsid w:val="11AC0F46"/>
    <w:rsid w:val="11DD6519"/>
    <w:rsid w:val="12173E30"/>
    <w:rsid w:val="121A54EF"/>
    <w:rsid w:val="125C471A"/>
    <w:rsid w:val="13416360"/>
    <w:rsid w:val="134F21EB"/>
    <w:rsid w:val="13D74FC3"/>
    <w:rsid w:val="14FA57F5"/>
    <w:rsid w:val="157314D8"/>
    <w:rsid w:val="16BB723D"/>
    <w:rsid w:val="18015F3F"/>
    <w:rsid w:val="18160881"/>
    <w:rsid w:val="187878CA"/>
    <w:rsid w:val="18BC2305"/>
    <w:rsid w:val="1A512FD2"/>
    <w:rsid w:val="1A614629"/>
    <w:rsid w:val="1AEF5419"/>
    <w:rsid w:val="1AF837C8"/>
    <w:rsid w:val="1B013980"/>
    <w:rsid w:val="1BE8440E"/>
    <w:rsid w:val="1C0D60DC"/>
    <w:rsid w:val="1C8A06A4"/>
    <w:rsid w:val="1D155CEE"/>
    <w:rsid w:val="1D630D4A"/>
    <w:rsid w:val="1DE62504"/>
    <w:rsid w:val="1EF95204"/>
    <w:rsid w:val="20616516"/>
    <w:rsid w:val="20F57F95"/>
    <w:rsid w:val="21026DD4"/>
    <w:rsid w:val="218F3A27"/>
    <w:rsid w:val="22E8690C"/>
    <w:rsid w:val="239301B8"/>
    <w:rsid w:val="23B053B3"/>
    <w:rsid w:val="240371BF"/>
    <w:rsid w:val="244336D7"/>
    <w:rsid w:val="255211AD"/>
    <w:rsid w:val="25B368EF"/>
    <w:rsid w:val="25C741E6"/>
    <w:rsid w:val="27842671"/>
    <w:rsid w:val="27E46B57"/>
    <w:rsid w:val="281A4A03"/>
    <w:rsid w:val="281F12BD"/>
    <w:rsid w:val="28471A73"/>
    <w:rsid w:val="29FD04D3"/>
    <w:rsid w:val="2ABE7A3E"/>
    <w:rsid w:val="2B9A51A4"/>
    <w:rsid w:val="2C5807BB"/>
    <w:rsid w:val="2D2E77CD"/>
    <w:rsid w:val="2D406CBA"/>
    <w:rsid w:val="2D4744ED"/>
    <w:rsid w:val="2D762EAA"/>
    <w:rsid w:val="2D7A5068"/>
    <w:rsid w:val="2DC163B5"/>
    <w:rsid w:val="2EB167E8"/>
    <w:rsid w:val="2EFA178C"/>
    <w:rsid w:val="30484631"/>
    <w:rsid w:val="30594671"/>
    <w:rsid w:val="30B46D73"/>
    <w:rsid w:val="30BB7964"/>
    <w:rsid w:val="319F7F4E"/>
    <w:rsid w:val="33DE5CBC"/>
    <w:rsid w:val="34277894"/>
    <w:rsid w:val="3603123F"/>
    <w:rsid w:val="363C648D"/>
    <w:rsid w:val="380F20AB"/>
    <w:rsid w:val="384D6512"/>
    <w:rsid w:val="39AE70AB"/>
    <w:rsid w:val="3A30455A"/>
    <w:rsid w:val="3A4E4517"/>
    <w:rsid w:val="3B5C4C1F"/>
    <w:rsid w:val="3B700067"/>
    <w:rsid w:val="3B9603ED"/>
    <w:rsid w:val="3B9649FE"/>
    <w:rsid w:val="3C0C0783"/>
    <w:rsid w:val="3D3718E4"/>
    <w:rsid w:val="3E174B2D"/>
    <w:rsid w:val="3E8405B6"/>
    <w:rsid w:val="3ECA54DD"/>
    <w:rsid w:val="3F7722E4"/>
    <w:rsid w:val="3F9F3A96"/>
    <w:rsid w:val="40B01F51"/>
    <w:rsid w:val="41134DBB"/>
    <w:rsid w:val="419C6C00"/>
    <w:rsid w:val="426C3C56"/>
    <w:rsid w:val="44D02BC2"/>
    <w:rsid w:val="451F3201"/>
    <w:rsid w:val="45244CBC"/>
    <w:rsid w:val="46D149CF"/>
    <w:rsid w:val="47B05D8B"/>
    <w:rsid w:val="48382F58"/>
    <w:rsid w:val="48F81A68"/>
    <w:rsid w:val="493C27E9"/>
    <w:rsid w:val="496F39ED"/>
    <w:rsid w:val="49FF41D3"/>
    <w:rsid w:val="4A0D24EA"/>
    <w:rsid w:val="4A0E1EAA"/>
    <w:rsid w:val="4A5B4494"/>
    <w:rsid w:val="4A683556"/>
    <w:rsid w:val="4AF82851"/>
    <w:rsid w:val="4B41093A"/>
    <w:rsid w:val="4B8F6806"/>
    <w:rsid w:val="4BE068DB"/>
    <w:rsid w:val="4BE13907"/>
    <w:rsid w:val="4BF6002B"/>
    <w:rsid w:val="4C7A6D37"/>
    <w:rsid w:val="4D5C1EC2"/>
    <w:rsid w:val="4E74789C"/>
    <w:rsid w:val="4ECE2238"/>
    <w:rsid w:val="4F8967BC"/>
    <w:rsid w:val="4FF84CC2"/>
    <w:rsid w:val="516D4E7D"/>
    <w:rsid w:val="51DB4B86"/>
    <w:rsid w:val="523429E2"/>
    <w:rsid w:val="536561B7"/>
    <w:rsid w:val="54291F8D"/>
    <w:rsid w:val="54CF07A0"/>
    <w:rsid w:val="55333C3E"/>
    <w:rsid w:val="55767857"/>
    <w:rsid w:val="5611195E"/>
    <w:rsid w:val="573752E0"/>
    <w:rsid w:val="57D1357D"/>
    <w:rsid w:val="57DA20CD"/>
    <w:rsid w:val="586821D1"/>
    <w:rsid w:val="58946BCF"/>
    <w:rsid w:val="59684D1F"/>
    <w:rsid w:val="5A200CF1"/>
    <w:rsid w:val="5B501F0F"/>
    <w:rsid w:val="5D7E6190"/>
    <w:rsid w:val="5DE64944"/>
    <w:rsid w:val="5FBF7663"/>
    <w:rsid w:val="62055836"/>
    <w:rsid w:val="62C9688E"/>
    <w:rsid w:val="63BD0D5C"/>
    <w:rsid w:val="63BD3EBA"/>
    <w:rsid w:val="642B7F8F"/>
    <w:rsid w:val="64844BCA"/>
    <w:rsid w:val="64CA39A1"/>
    <w:rsid w:val="64CD246E"/>
    <w:rsid w:val="65550966"/>
    <w:rsid w:val="65584A66"/>
    <w:rsid w:val="65590B63"/>
    <w:rsid w:val="65804E88"/>
    <w:rsid w:val="65841133"/>
    <w:rsid w:val="65BA0441"/>
    <w:rsid w:val="66650F64"/>
    <w:rsid w:val="667B2536"/>
    <w:rsid w:val="66BF1E45"/>
    <w:rsid w:val="67172D95"/>
    <w:rsid w:val="67D024F0"/>
    <w:rsid w:val="67D24697"/>
    <w:rsid w:val="685D3693"/>
    <w:rsid w:val="68866F70"/>
    <w:rsid w:val="689232B8"/>
    <w:rsid w:val="68A32B16"/>
    <w:rsid w:val="694B7329"/>
    <w:rsid w:val="69D16911"/>
    <w:rsid w:val="69D9262A"/>
    <w:rsid w:val="6A670B9B"/>
    <w:rsid w:val="6A8851A7"/>
    <w:rsid w:val="6A9C7878"/>
    <w:rsid w:val="6AA442D9"/>
    <w:rsid w:val="6B055FFE"/>
    <w:rsid w:val="6B464326"/>
    <w:rsid w:val="6BAF1E2A"/>
    <w:rsid w:val="6C4A05C8"/>
    <w:rsid w:val="6CA271AE"/>
    <w:rsid w:val="6D7609C7"/>
    <w:rsid w:val="6ED30943"/>
    <w:rsid w:val="6F7246F2"/>
    <w:rsid w:val="70171A4B"/>
    <w:rsid w:val="70DB2328"/>
    <w:rsid w:val="70EB475C"/>
    <w:rsid w:val="711C2B67"/>
    <w:rsid w:val="718922DC"/>
    <w:rsid w:val="72113D4E"/>
    <w:rsid w:val="72734D90"/>
    <w:rsid w:val="72963230"/>
    <w:rsid w:val="72A24A6F"/>
    <w:rsid w:val="73737A6C"/>
    <w:rsid w:val="73962E51"/>
    <w:rsid w:val="73AA677E"/>
    <w:rsid w:val="74292CA7"/>
    <w:rsid w:val="74BC6ADF"/>
    <w:rsid w:val="763005C4"/>
    <w:rsid w:val="76DB493A"/>
    <w:rsid w:val="76F31C74"/>
    <w:rsid w:val="7712343A"/>
    <w:rsid w:val="77624441"/>
    <w:rsid w:val="77EC27C2"/>
    <w:rsid w:val="78E57237"/>
    <w:rsid w:val="79203A4D"/>
    <w:rsid w:val="795D7320"/>
    <w:rsid w:val="79E7B28D"/>
    <w:rsid w:val="7A407717"/>
    <w:rsid w:val="7B020C68"/>
    <w:rsid w:val="7C755963"/>
    <w:rsid w:val="7D6037E0"/>
    <w:rsid w:val="7D620E06"/>
    <w:rsid w:val="7F2826D7"/>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link w:val="33"/>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四号正文"/>
    <w:basedOn w:val="1"/>
    <w:link w:val="32"/>
    <w:qFormat/>
    <w:uiPriority w:val="0"/>
    <w:pPr>
      <w:keepNext w:val="0"/>
      <w:keepLines w:val="0"/>
      <w:widowControl w:val="0"/>
      <w:suppressLineNumbers w:val="0"/>
      <w:spacing w:before="0" w:beforeAutospacing="0" w:after="0" w:afterAutospacing="0" w:line="360" w:lineRule="auto"/>
      <w:ind w:left="0" w:right="0"/>
      <w:jc w:val="both"/>
    </w:pPr>
    <w:rPr>
      <w:rFonts w:hint="default" w:ascii="??" w:hAnsi="??" w:eastAsia="宋体" w:cs="宋体"/>
      <w:color w:val="000000"/>
      <w:kern w:val="0"/>
      <w:sz w:val="28"/>
      <w:szCs w:val="21"/>
      <w:lang w:val="en-US" w:eastAsia="zh-CN" w:bidi="ar"/>
    </w:rPr>
  </w:style>
  <w:style w:type="character" w:customStyle="1" w:styleId="32">
    <w:name w:val="四号正文 Char"/>
    <w:basedOn w:val="14"/>
    <w:link w:val="31"/>
    <w:qFormat/>
    <w:uiPriority w:val="0"/>
    <w:rPr>
      <w:rFonts w:hint="default" w:ascii="??" w:hAnsi="??" w:eastAsia="??" w:cs="宋体"/>
      <w:color w:val="000000"/>
      <w:sz w:val="28"/>
      <w:szCs w:val="21"/>
    </w:rPr>
  </w:style>
  <w:style w:type="character" w:customStyle="1" w:styleId="33">
    <w:name w:val="目录 1 Char"/>
    <w:link w:val="10"/>
    <w:qFormat/>
    <w:uiPriority w:val="39"/>
    <w:rPr>
      <w:rFonts w:ascii="仿宋" w:hAnsi="仿宋" w:eastAsia="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zh-CN"/>
              <a:t>年、</a:t>
            </a:r>
            <a:r>
              <a:rPr lang="en-US" altLang="zh-CN"/>
              <a:t>2019</a:t>
            </a:r>
            <a:r>
              <a:rPr altLang="en-US"/>
              <a:t>年收支决算结构图</a:t>
            </a:r>
            <a:endParaRPr altLang="en-US"/>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2019年</c:v>
                </c:pt>
              </c:strCache>
            </c:strRef>
          </c:cat>
          <c:val>
            <c:numRef>
              <c:f>Sheet1!$B$2:$C$2</c:f>
              <c:numCache>
                <c:formatCode>General</c:formatCode>
                <c:ptCount val="2"/>
                <c:pt idx="0">
                  <c:v>160.5</c:v>
                </c:pt>
                <c:pt idx="1">
                  <c:v>148.04</c:v>
                </c:pt>
              </c:numCache>
            </c:numRef>
          </c:val>
        </c:ser>
        <c:dLbls>
          <c:showLegendKey val="0"/>
          <c:showVal val="0"/>
          <c:showCatName val="0"/>
          <c:showSerName val="0"/>
          <c:showPercent val="0"/>
          <c:showBubbleSize val="0"/>
        </c:dLbls>
        <c:gapWidth val="150"/>
        <c:overlap val="-25"/>
        <c:axId val="394408955"/>
        <c:axId val="554615777"/>
      </c:barChart>
      <c:catAx>
        <c:axId val="3944089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615777"/>
        <c:crosses val="autoZero"/>
        <c:auto val="1"/>
        <c:lblAlgn val="ctr"/>
        <c:lblOffset val="100"/>
        <c:noMultiLvlLbl val="0"/>
      </c:catAx>
      <c:valAx>
        <c:axId val="554615777"/>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408955"/>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a:t>
            </a:r>
            <a:r>
              <a:rPr lang="en-US" altLang="zh-CN"/>
              <a:t>0</a:t>
            </a:r>
            <a:r>
              <a:t>年收入决算结构图</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158.37</c:v>
                </c:pt>
                <c:pt idx="1">
                  <c:v>2.13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2020年支出决算结构图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strCache>
            </c:strRef>
          </c:cat>
          <c:val>
            <c:numRef>
              <c:f>Sheet1!$B$2:$B$5</c:f>
              <c:numCache>
                <c:formatCode>General</c:formatCode>
                <c:ptCount val="4"/>
                <c:pt idx="0">
                  <c:v>160.5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财政拨款收、支决算总计变动结构图</a:t>
            </a:r>
            <a:endParaRPr altLang="zh-CN"/>
          </a:p>
        </c:rich>
      </c:tx>
      <c:layout/>
      <c:overlay val="0"/>
      <c:spPr>
        <a:noFill/>
        <a:ln>
          <a:noFill/>
        </a:ln>
        <a:effectLst/>
      </c:spPr>
    </c:title>
    <c:autoTitleDeleted val="0"/>
    <c:plotArea>
      <c:layout>
        <c:manualLayout>
          <c:layoutTarget val="inner"/>
          <c:xMode val="edge"/>
          <c:yMode val="edge"/>
          <c:x val="0.0702"/>
          <c:y val="0.125166666666667"/>
          <c:w val="0.905175"/>
          <c:h val="0.7169"/>
        </c:manualLayout>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收支</c:v>
                </c:pt>
              </c:strCache>
            </c:strRef>
          </c:cat>
          <c:val>
            <c:numRef>
              <c:f>Sheet1!$B$2:$B$5</c:f>
              <c:numCache>
                <c:formatCode>General</c:formatCode>
                <c:ptCount val="4"/>
                <c:pt idx="0">
                  <c:v>160.5</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收支</c:v>
                </c:pt>
              </c:strCache>
            </c:strRef>
          </c:cat>
          <c:val>
            <c:numRef>
              <c:f>Sheet1!$C$2:$C$5</c:f>
              <c:numCache>
                <c:formatCode>General</c:formatCode>
                <c:ptCount val="4"/>
                <c:pt idx="0">
                  <c:v>148.04</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收支</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432558395"/>
        <c:axId val="864787582"/>
      </c:barChart>
      <c:catAx>
        <c:axId val="4325583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787582"/>
        <c:crosses val="autoZero"/>
        <c:auto val="1"/>
        <c:lblAlgn val="ctr"/>
        <c:lblOffset val="100"/>
        <c:noMultiLvlLbl val="0"/>
      </c:catAx>
      <c:valAx>
        <c:axId val="86478758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5583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一般公共预算财政拨款支出决算变动结构图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收支</c:v>
                </c:pt>
              </c:strCache>
            </c:strRef>
          </c:cat>
          <c:val>
            <c:numRef>
              <c:f>Sheet1!$B$2:$B$5</c:f>
              <c:numCache>
                <c:formatCode>General</c:formatCode>
                <c:ptCount val="4"/>
                <c:pt idx="0">
                  <c:v>160.5</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收支</c:v>
                </c:pt>
              </c:strCache>
            </c:strRef>
          </c:cat>
          <c:val>
            <c:numRef>
              <c:f>Sheet1!$C$2:$C$5</c:f>
              <c:numCache>
                <c:formatCode>General</c:formatCode>
                <c:ptCount val="4"/>
                <c:pt idx="0">
                  <c:v>148.04</c:v>
                </c:pt>
              </c:numCache>
            </c:numRef>
          </c:val>
        </c:ser>
        <c:ser>
          <c:idx val="2"/>
          <c:order val="2"/>
          <c:tx>
            <c:strRef>
              <c:f>Sheet1!$E$1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收支</c:v>
                </c:pt>
              </c:strCache>
            </c:strRef>
          </c:cat>
          <c:val>
            <c:numRef>
              <c:f>Sheet1!$E$2:$E$5</c:f>
              <c:numCache>
                <c:formatCode>General</c:formatCode>
                <c:ptCount val="4"/>
              </c:numCache>
            </c:numRef>
          </c:val>
        </c:ser>
        <c:dLbls>
          <c:showLegendKey val="0"/>
          <c:showVal val="1"/>
          <c:showCatName val="0"/>
          <c:showSerName val="0"/>
          <c:showPercent val="0"/>
          <c:showBubbleSize val="0"/>
        </c:dLbls>
        <c:gapWidth val="219"/>
        <c:overlap val="-27"/>
        <c:axId val="718174170"/>
        <c:axId val="502662639"/>
      </c:barChart>
      <c:catAx>
        <c:axId val="718174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662639"/>
        <c:crosses val="autoZero"/>
        <c:auto val="1"/>
        <c:lblAlgn val="ctr"/>
        <c:lblOffset val="100"/>
        <c:noMultiLvlLbl val="0"/>
      </c:catAx>
      <c:valAx>
        <c:axId val="502662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174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一般公共预算财政拨款支出决算变动结构图</a:t>
            </a:r>
          </a:p>
        </c:rich>
      </c:tx>
      <c:layout>
        <c:manualLayout>
          <c:xMode val="edge"/>
          <c:yMode val="edge"/>
          <c:x val="0.2115"/>
          <c:y val="0.0256666666666667"/>
        </c:manualLayout>
      </c:layout>
      <c:overlay val="0"/>
      <c:spPr>
        <a:noFill/>
        <a:ln>
          <a:noFill/>
        </a:ln>
        <a:effectLst/>
      </c:spPr>
    </c:title>
    <c:autoTitleDeleted val="0"/>
    <c:plotArea>
      <c:layout>
        <c:manualLayout>
          <c:layoutTarget val="inner"/>
          <c:xMode val="edge"/>
          <c:yMode val="edge"/>
          <c:x val="0.04895"/>
          <c:y val="0.127"/>
          <c:w val="0.905175"/>
          <c:h val="0.7169"/>
        </c:manualLayout>
      </c:layout>
      <c:pieChart>
        <c:varyColors val="1"/>
        <c:ser>
          <c:idx val="0"/>
          <c:order val="0"/>
          <c:tx>
            <c:strRef>
              <c:f>Sheet1!$A$2</c:f>
              <c:strCache>
                <c:ptCount val="1"/>
                <c:pt idx="0">
                  <c:v>支出</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教育支出</c:v>
                </c:pt>
                <c:pt idx="1">
                  <c:v>社会保障和就业支出</c:v>
                </c:pt>
                <c:pt idx="2">
                  <c:v>卫生健康支出</c:v>
                </c:pt>
                <c:pt idx="3">
                  <c:v>住房保障支出</c:v>
                </c:pt>
              </c:strCache>
            </c:strRef>
          </c:cat>
          <c:val>
            <c:numRef>
              <c:f>Sheet1!$B$2:$F$2</c:f>
              <c:numCache>
                <c:formatCode>General</c:formatCode>
                <c:ptCount val="5"/>
                <c:pt idx="0">
                  <c:v>129.88</c:v>
                </c:pt>
                <c:pt idx="1">
                  <c:v>13.5</c:v>
                </c:pt>
                <c:pt idx="2">
                  <c:v>6.99</c:v>
                </c:pt>
                <c:pt idx="3">
                  <c:v>10.12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t>三公</a:t>
            </a:r>
            <a:r>
              <a:rPr lang="en-US" altLang="zh-CN"/>
              <a:t>”</a:t>
            </a:r>
            <a:r>
              <a:rPr altLang="en-US"/>
              <a:t>经费财政拨款支出结构图</a:t>
            </a:r>
            <a:endParaRPr altLang="en-US"/>
          </a:p>
        </c:rich>
      </c:tx>
      <c:layout/>
      <c:overlay val="0"/>
      <c:spPr>
        <a:noFill/>
        <a:ln>
          <a:noFill/>
        </a:ln>
        <a:effectLst/>
      </c:spPr>
    </c:title>
    <c:autoTitleDeleted val="0"/>
    <c:plotArea>
      <c:layout/>
      <c:pieChart>
        <c:varyColors val="1"/>
        <c:ser>
          <c:idx val="0"/>
          <c:order val="0"/>
          <c:tx>
            <c:strRef>
              <c:f>Sheet1!$A$5</c:f>
              <c:strCache>
                <c:ptCount val="1"/>
                <c:pt idx="0">
                  <c:v>2021年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Sheet1!$B$4:$D$4</c:f>
              <c:strCache>
                <c:ptCount val="3"/>
                <c:pt idx="0">
                  <c:v>因公出国（境）费</c:v>
                </c:pt>
                <c:pt idx="1">
                  <c:v>公务用车购置及运行维护费</c:v>
                </c:pt>
                <c:pt idx="2">
                  <c:v>公务接待费</c:v>
                </c:pt>
              </c:strCache>
            </c:strRef>
          </c:cat>
          <c:val>
            <c:numRef>
              <c:f>Sheet1!$B$5:$D$5</c:f>
              <c:numCache>
                <c:formatCode>General</c:formatCode>
                <c:ptCount val="3"/>
                <c:pt idx="0">
                  <c:v>0</c:v>
                </c:pt>
                <c:pt idx="1">
                  <c:v>0</c:v>
                </c:pt>
                <c:pt idx="2">
                  <c:v>0.26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8846</Words>
  <Characters>10259</Characters>
  <Lines>61</Lines>
  <Paragraphs>17</Paragraphs>
  <TotalTime>9</TotalTime>
  <ScaleCrop>false</ScaleCrop>
  <LinksUpToDate>false</LinksUpToDate>
  <CharactersWithSpaces>10345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2023-06-09T08:25:13Z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8103FF8E3FF84E45984CF209DB638BA4</vt:lpwstr>
  </property>
</Properties>
</file>