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bookmarkStart w:id="78" w:name="_GoBack"/>
      <w:bookmarkEnd w:id="78"/>
      <w:r>
        <w:rPr>
          <w:rFonts w:hint="eastAsia" w:ascii="方正小标宋简体" w:hAnsi="宋体" w:eastAsia="方正小标宋简体"/>
          <w:color w:val="000000"/>
          <w:sz w:val="30"/>
          <w:szCs w:val="30"/>
        </w:rPr>
        <w:t>附件</w:t>
      </w:r>
      <w:r>
        <w:rPr>
          <w:rFonts w:ascii="方正小标宋简体" w:hAnsi="宋体" w:eastAsia="方正小标宋简体"/>
          <w:color w:val="000000"/>
          <w:sz w:val="30"/>
          <w:szCs w:val="30"/>
        </w:rPr>
        <w:t>4</w: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8441"/>
      <w:bookmarkStart w:id="3" w:name="_Toc15396475"/>
      <w:bookmarkStart w:id="4" w:name="_Toc15396597"/>
      <w:bookmarkStart w:id="5" w:name="_Toc15377425"/>
      <w:r>
        <w:rPr>
          <w:rFonts w:ascii="黑体" w:hAnsi="黑体" w:eastAsia="黑体"/>
          <w:color w:val="000000"/>
          <w:sz w:val="72"/>
          <w:szCs w:val="72"/>
        </w:rPr>
        <w:t>202</w:t>
      </w:r>
      <w:r>
        <w:rPr>
          <w:rFonts w:hint="eastAsia" w:ascii="黑体" w:hAnsi="黑体" w:eastAsia="黑体"/>
          <w:color w:val="000000"/>
          <w:sz w:val="72"/>
          <w:szCs w:val="72"/>
        </w:rPr>
        <w:t>1</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widowControl/>
        <w:jc w:val="center"/>
        <w:rPr>
          <w:rFonts w:ascii="黑体" w:hAnsi="黑体" w:eastAsia="黑体"/>
          <w:color w:val="000000"/>
          <w:sz w:val="48"/>
          <w:szCs w:val="48"/>
        </w:rPr>
      </w:pPr>
      <w:bookmarkStart w:id="6" w:name="_Toc15396598"/>
      <w:bookmarkStart w:id="7" w:name="_Toc15377194"/>
      <w:bookmarkStart w:id="8" w:name="_Toc15378442"/>
      <w:bookmarkStart w:id="9" w:name="_Toc15396476"/>
      <w:bookmarkStart w:id="10" w:name="_Toc15377426"/>
      <w:r>
        <w:rPr>
          <w:rFonts w:hint="eastAsia" w:ascii="方正小标宋简体" w:hAnsi="宋体" w:eastAsia="方正小标宋简体"/>
          <w:color w:val="000000"/>
          <w:sz w:val="72"/>
          <w:szCs w:val="72"/>
        </w:rPr>
        <w:t>四川省</w:t>
      </w:r>
      <w:bookmarkStart w:id="11" w:name="_Toc15306268"/>
      <w:r>
        <w:rPr>
          <w:rFonts w:hint="eastAsia" w:ascii="方正小标宋简体" w:hAnsi="宋体" w:eastAsia="方正小标宋简体"/>
          <w:color w:val="000000"/>
          <w:sz w:val="72"/>
          <w:szCs w:val="72"/>
        </w:rPr>
        <w:t>巴中市通江县三溪镇人民政府部门决算</w:t>
      </w:r>
      <w:bookmarkEnd w:id="6"/>
      <w:bookmarkEnd w:id="7"/>
      <w:bookmarkEnd w:id="8"/>
      <w:bookmarkEnd w:id="9"/>
      <w:bookmarkEnd w:id="10"/>
      <w:bookmarkEnd w:id="11"/>
      <w: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27"/>
      </w:pPr>
      <w:r>
        <w:rPr>
          <w:rFonts w:hint="eastAsia"/>
        </w:rPr>
        <w:t>公开时间：</w:t>
      </w:r>
      <w:r>
        <w:t>202</w:t>
      </w:r>
      <w:r>
        <w:rPr>
          <w:rFonts w:hint="eastAsia"/>
        </w:rPr>
        <w:t>2年8月25日</w:t>
      </w:r>
    </w:p>
    <w:p/>
    <w:p>
      <w:pPr>
        <w:pStyle w:val="27"/>
        <w:tabs>
          <w:tab w:val="right" w:leader="dot" w:pos="7980"/>
        </w:tabs>
        <w:adjustRightInd w:val="0"/>
        <w:snapToGrid w:val="0"/>
        <w:spacing w:before="0" w:line="440" w:lineRule="exact"/>
        <w:jc w:val="left"/>
        <w:rPr>
          <w:sz w:val="24"/>
          <w:szCs w:val="24"/>
        </w:rPr>
      </w:pPr>
      <w:r>
        <w:rPr>
          <w:rFonts w:hint="eastAsia"/>
          <w:sz w:val="24"/>
        </w:rPr>
        <w:t>第一部分部门概况</w:t>
      </w:r>
      <w:r>
        <w:rPr>
          <w:sz w:val="24"/>
        </w:rPr>
        <w:tab/>
      </w:r>
      <w:r>
        <w:rPr>
          <w:rFonts w:hint="eastAsia"/>
          <w:sz w:val="24"/>
        </w:rPr>
        <w:t>1</w:t>
      </w:r>
    </w:p>
    <w:p>
      <w:pPr>
        <w:pStyle w:val="28"/>
        <w:tabs>
          <w:tab w:val="right" w:leader="dot" w:pos="7980"/>
        </w:tabs>
        <w:adjustRightInd w:val="0"/>
        <w:snapToGrid w:val="0"/>
        <w:spacing w:line="440" w:lineRule="exact"/>
        <w:jc w:val="left"/>
        <w:rPr>
          <w:rFonts w:ascii="仿宋" w:hAnsi="仿宋" w:eastAsia="仿宋"/>
          <w:sz w:val="24"/>
        </w:rPr>
      </w:pPr>
      <w:r>
        <w:rPr>
          <w:rFonts w:hint="eastAsia"/>
          <w:sz w:val="24"/>
        </w:rPr>
        <w:t>一、基本职能及主要工作</w:t>
      </w:r>
      <w:r>
        <w:rPr>
          <w:sz w:val="24"/>
        </w:rPr>
        <w:tab/>
      </w:r>
      <w:r>
        <w:rPr>
          <w:rFonts w:hint="eastAsia"/>
          <w:sz w:val="24"/>
        </w:rPr>
        <w:t>1</w:t>
      </w:r>
    </w:p>
    <w:p>
      <w:pPr>
        <w:pStyle w:val="28"/>
        <w:tabs>
          <w:tab w:val="right" w:leader="dot" w:pos="7980"/>
        </w:tabs>
        <w:adjustRightInd w:val="0"/>
        <w:snapToGrid w:val="0"/>
        <w:spacing w:line="440" w:lineRule="exact"/>
        <w:jc w:val="left"/>
        <w:rPr>
          <w:rFonts w:ascii="仿宋" w:hAnsi="仿宋"/>
          <w:sz w:val="24"/>
        </w:rPr>
      </w:pPr>
      <w:r>
        <w:rPr>
          <w:rFonts w:hint="eastAsia"/>
          <w:sz w:val="24"/>
        </w:rPr>
        <w:t>二、机构设置</w:t>
      </w:r>
      <w:r>
        <w:rPr>
          <w:sz w:val="24"/>
        </w:rPr>
        <w:tab/>
      </w:r>
      <w:r>
        <w:rPr>
          <w:rFonts w:hint="eastAsia"/>
          <w:sz w:val="24"/>
        </w:rPr>
        <w:t>5</w:t>
      </w:r>
    </w:p>
    <w:p>
      <w:pPr>
        <w:pStyle w:val="27"/>
        <w:tabs>
          <w:tab w:val="right" w:leader="dot" w:pos="7980"/>
        </w:tabs>
        <w:adjustRightInd w:val="0"/>
        <w:snapToGrid w:val="0"/>
        <w:spacing w:before="0" w:line="440" w:lineRule="exact"/>
        <w:jc w:val="left"/>
        <w:rPr>
          <w:sz w:val="24"/>
          <w:szCs w:val="24"/>
        </w:rPr>
      </w:pPr>
      <w:r>
        <w:rPr>
          <w:rFonts w:hint="eastAsia"/>
          <w:sz w:val="24"/>
        </w:rPr>
        <w:t>第二部分年度部门决算情况说明</w:t>
      </w:r>
      <w:r>
        <w:rPr>
          <w:sz w:val="24"/>
        </w:rPr>
        <w:tab/>
      </w:r>
      <w:r>
        <w:rPr>
          <w:rFonts w:hint="eastAsia"/>
          <w:sz w:val="24"/>
        </w:rPr>
        <w:t>6</w:t>
      </w:r>
    </w:p>
    <w:p>
      <w:pPr>
        <w:pStyle w:val="28"/>
        <w:tabs>
          <w:tab w:val="right" w:leader="dot" w:pos="7980"/>
        </w:tabs>
        <w:adjustRightInd w:val="0"/>
        <w:snapToGrid w:val="0"/>
        <w:spacing w:line="440" w:lineRule="exact"/>
        <w:jc w:val="left"/>
        <w:rPr>
          <w:rFonts w:ascii="仿宋" w:hAnsi="仿宋"/>
          <w:sz w:val="24"/>
        </w:rPr>
      </w:pPr>
      <w:r>
        <w:rPr>
          <w:rFonts w:hint="eastAsia"/>
          <w:sz w:val="24"/>
        </w:rPr>
        <w:t>一、收入支出决算总体情况说明</w:t>
      </w:r>
      <w:r>
        <w:rPr>
          <w:sz w:val="24"/>
        </w:rPr>
        <w:tab/>
      </w:r>
      <w:r>
        <w:rPr>
          <w:rFonts w:hint="eastAsia"/>
          <w:sz w:val="24"/>
        </w:rPr>
        <w:t>6</w:t>
      </w:r>
    </w:p>
    <w:p>
      <w:pPr>
        <w:pStyle w:val="28"/>
        <w:tabs>
          <w:tab w:val="right" w:leader="dot" w:pos="7980"/>
        </w:tabs>
        <w:adjustRightInd w:val="0"/>
        <w:snapToGrid w:val="0"/>
        <w:spacing w:line="440" w:lineRule="exact"/>
        <w:jc w:val="left"/>
        <w:rPr>
          <w:rFonts w:ascii="仿宋" w:hAnsi="仿宋"/>
          <w:sz w:val="24"/>
        </w:rPr>
      </w:pPr>
      <w:r>
        <w:rPr>
          <w:rFonts w:hint="eastAsia"/>
          <w:sz w:val="24"/>
        </w:rPr>
        <w:t>二、收入决算情况说明</w:t>
      </w:r>
      <w:r>
        <w:rPr>
          <w:sz w:val="24"/>
        </w:rPr>
        <w:tab/>
      </w:r>
      <w:r>
        <w:rPr>
          <w:rFonts w:hint="eastAsia"/>
          <w:sz w:val="24"/>
        </w:rPr>
        <w:t>6</w:t>
      </w:r>
    </w:p>
    <w:p>
      <w:pPr>
        <w:pStyle w:val="28"/>
        <w:tabs>
          <w:tab w:val="right" w:leader="dot" w:pos="7980"/>
        </w:tabs>
        <w:adjustRightInd w:val="0"/>
        <w:snapToGrid w:val="0"/>
        <w:spacing w:line="440" w:lineRule="exact"/>
        <w:jc w:val="left"/>
        <w:rPr>
          <w:rFonts w:ascii="仿宋" w:hAnsi="仿宋"/>
          <w:sz w:val="24"/>
        </w:rPr>
      </w:pPr>
      <w:r>
        <w:rPr>
          <w:rFonts w:hint="eastAsia"/>
          <w:sz w:val="24"/>
        </w:rPr>
        <w:t>三、支出决算情况说明</w:t>
      </w:r>
      <w:r>
        <w:rPr>
          <w:sz w:val="24"/>
        </w:rPr>
        <w:tab/>
      </w:r>
      <w:r>
        <w:rPr>
          <w:rFonts w:hint="eastAsia"/>
          <w:sz w:val="24"/>
        </w:rPr>
        <w:t>7</w:t>
      </w:r>
    </w:p>
    <w:p>
      <w:pPr>
        <w:pStyle w:val="28"/>
        <w:tabs>
          <w:tab w:val="right" w:leader="dot" w:pos="7980"/>
        </w:tabs>
        <w:adjustRightInd w:val="0"/>
        <w:snapToGrid w:val="0"/>
        <w:spacing w:line="440" w:lineRule="exact"/>
        <w:jc w:val="left"/>
        <w:rPr>
          <w:rFonts w:ascii="仿宋" w:hAnsi="仿宋"/>
          <w:sz w:val="24"/>
        </w:rPr>
      </w:pPr>
      <w:r>
        <w:rPr>
          <w:rFonts w:hint="eastAsia"/>
          <w:sz w:val="24"/>
        </w:rPr>
        <w:t>四、财政拨款收入支出决算总体情况说明</w:t>
      </w:r>
      <w:r>
        <w:rPr>
          <w:sz w:val="24"/>
        </w:rPr>
        <w:tab/>
      </w:r>
      <w:r>
        <w:rPr>
          <w:rFonts w:hint="eastAsia"/>
          <w:sz w:val="24"/>
        </w:rPr>
        <w:t>7</w:t>
      </w:r>
    </w:p>
    <w:p>
      <w:pPr>
        <w:pStyle w:val="28"/>
        <w:tabs>
          <w:tab w:val="right" w:leader="dot" w:pos="7980"/>
        </w:tabs>
        <w:adjustRightInd w:val="0"/>
        <w:snapToGrid w:val="0"/>
        <w:spacing w:line="440" w:lineRule="exact"/>
        <w:jc w:val="left"/>
        <w:rPr>
          <w:rFonts w:ascii="仿宋" w:hAnsi="仿宋"/>
          <w:sz w:val="24"/>
        </w:rPr>
      </w:pPr>
      <w:r>
        <w:rPr>
          <w:rFonts w:hint="eastAsia"/>
          <w:sz w:val="24"/>
        </w:rPr>
        <w:t>五、一般公共预算财政拨款支出决算情况说明</w:t>
      </w:r>
      <w:r>
        <w:rPr>
          <w:sz w:val="24"/>
        </w:rPr>
        <w:tab/>
      </w:r>
      <w:r>
        <w:rPr>
          <w:rFonts w:hint="eastAsia"/>
          <w:sz w:val="24"/>
        </w:rPr>
        <w:t>8</w:t>
      </w:r>
    </w:p>
    <w:p>
      <w:pPr>
        <w:pStyle w:val="28"/>
        <w:tabs>
          <w:tab w:val="right" w:leader="dot" w:pos="7980"/>
        </w:tabs>
        <w:adjustRightInd w:val="0"/>
        <w:snapToGrid w:val="0"/>
        <w:spacing w:line="440" w:lineRule="exact"/>
        <w:jc w:val="left"/>
        <w:rPr>
          <w:rFonts w:ascii="仿宋" w:hAnsi="仿宋"/>
          <w:sz w:val="24"/>
        </w:rPr>
      </w:pPr>
      <w:r>
        <w:rPr>
          <w:rFonts w:hint="eastAsia"/>
          <w:sz w:val="24"/>
        </w:rPr>
        <w:t>六、一般公共预算财政拨款基本支出决算情况说明</w:t>
      </w:r>
      <w:r>
        <w:rPr>
          <w:sz w:val="24"/>
        </w:rPr>
        <w:tab/>
      </w:r>
      <w:r>
        <w:rPr>
          <w:rFonts w:hint="eastAsia"/>
          <w:sz w:val="24"/>
        </w:rPr>
        <w:t>12</w:t>
      </w:r>
    </w:p>
    <w:p>
      <w:pPr>
        <w:pStyle w:val="28"/>
        <w:tabs>
          <w:tab w:val="right" w:leader="dot" w:pos="7980"/>
        </w:tabs>
        <w:adjustRightInd w:val="0"/>
        <w:snapToGrid w:val="0"/>
        <w:spacing w:line="440" w:lineRule="exact"/>
        <w:jc w:val="left"/>
        <w:rPr>
          <w:rFonts w:ascii="仿宋" w:hAnsi="仿宋"/>
          <w:sz w:val="24"/>
        </w:rPr>
      </w:pPr>
      <w:r>
        <w:rPr>
          <w:rFonts w:hint="eastAsia"/>
          <w:sz w:val="24"/>
        </w:rPr>
        <w:t>七、</w:t>
      </w:r>
      <w:r>
        <w:rPr>
          <w:sz w:val="24"/>
        </w:rPr>
        <w:t>“</w:t>
      </w:r>
      <w:r>
        <w:rPr>
          <w:rFonts w:hint="eastAsia"/>
          <w:sz w:val="24"/>
        </w:rPr>
        <w:t>三公”经费财政拨款支出决算情况说明</w:t>
      </w:r>
      <w:r>
        <w:rPr>
          <w:sz w:val="24"/>
        </w:rPr>
        <w:tab/>
      </w:r>
      <w:r>
        <w:rPr>
          <w:rFonts w:hint="eastAsia"/>
          <w:sz w:val="24"/>
        </w:rPr>
        <w:t>13</w:t>
      </w:r>
    </w:p>
    <w:p>
      <w:pPr>
        <w:pStyle w:val="28"/>
        <w:tabs>
          <w:tab w:val="right" w:leader="dot" w:pos="7980"/>
        </w:tabs>
        <w:adjustRightInd w:val="0"/>
        <w:snapToGrid w:val="0"/>
        <w:spacing w:line="440" w:lineRule="exact"/>
        <w:jc w:val="left"/>
        <w:rPr>
          <w:rFonts w:ascii="仿宋" w:hAnsi="仿宋"/>
          <w:sz w:val="24"/>
        </w:rPr>
      </w:pPr>
      <w:r>
        <w:rPr>
          <w:rFonts w:hint="eastAsia"/>
          <w:sz w:val="24"/>
        </w:rPr>
        <w:t>八、政府性基金预算支出决算情况说明</w:t>
      </w:r>
      <w:r>
        <w:rPr>
          <w:sz w:val="24"/>
        </w:rPr>
        <w:tab/>
      </w:r>
      <w:r>
        <w:rPr>
          <w:rFonts w:hint="eastAsia"/>
          <w:sz w:val="24"/>
        </w:rPr>
        <w:t>14</w:t>
      </w:r>
    </w:p>
    <w:p>
      <w:pPr>
        <w:pStyle w:val="28"/>
        <w:tabs>
          <w:tab w:val="right" w:leader="dot" w:pos="7980"/>
        </w:tabs>
        <w:adjustRightInd w:val="0"/>
        <w:snapToGrid w:val="0"/>
        <w:spacing w:line="440" w:lineRule="exact"/>
        <w:ind w:leftChars="0"/>
        <w:jc w:val="left"/>
        <w:rPr>
          <w:rFonts w:ascii="仿宋" w:hAnsi="仿宋"/>
          <w:sz w:val="24"/>
        </w:rPr>
      </w:pPr>
      <w:r>
        <w:rPr>
          <w:rFonts w:hint="eastAsia" w:ascii="仿宋" w:hAnsi="仿宋" w:eastAsia="仿宋"/>
          <w:sz w:val="24"/>
        </w:rPr>
        <w:t>九、</w:t>
      </w:r>
      <w:r>
        <w:rPr>
          <w:rFonts w:hint="eastAsia"/>
          <w:sz w:val="24"/>
        </w:rPr>
        <w:t>国有资本经营预算支出决算情况说明</w:t>
      </w:r>
      <w:r>
        <w:rPr>
          <w:sz w:val="24"/>
        </w:rPr>
        <w:tab/>
      </w:r>
      <w:r>
        <w:rPr>
          <w:rFonts w:hint="eastAsia"/>
          <w:sz w:val="24"/>
        </w:rPr>
        <w:t>14</w:t>
      </w:r>
    </w:p>
    <w:p>
      <w:pPr>
        <w:tabs>
          <w:tab w:val="right" w:leader="dot" w:pos="7980"/>
        </w:tabs>
        <w:adjustRightInd w:val="0"/>
        <w:snapToGrid w:val="0"/>
        <w:spacing w:line="440" w:lineRule="exact"/>
        <w:ind w:firstLine="480" w:firstLineChars="200"/>
        <w:jc w:val="left"/>
        <w:rPr>
          <w:rFonts w:ascii="仿宋" w:hAnsi="仿宋" w:eastAsia="仿宋"/>
          <w:sz w:val="24"/>
        </w:rPr>
      </w:pPr>
      <w:r>
        <w:rPr>
          <w:rStyle w:val="12"/>
          <w:rFonts w:hint="eastAsia" w:ascii="仿宋" w:hAnsi="仿宋" w:eastAsia="仿宋"/>
          <w:color w:val="000000"/>
          <w:sz w:val="24"/>
          <w:u w:val="none"/>
        </w:rPr>
        <w:t>十、</w:t>
      </w:r>
      <w:r>
        <w:rPr>
          <w:rFonts w:hint="eastAsia"/>
          <w:sz w:val="24"/>
        </w:rPr>
        <w:t>其他重要事项的情况说明</w:t>
      </w:r>
      <w:r>
        <w:rPr>
          <w:rFonts w:ascii="仿宋" w:hAnsi="仿宋" w:eastAsia="仿宋"/>
          <w:sz w:val="24"/>
        </w:rPr>
        <w:tab/>
      </w:r>
      <w:r>
        <w:rPr>
          <w:rFonts w:hint="eastAsia" w:ascii="仿宋" w:hAnsi="仿宋" w:eastAsia="仿宋"/>
          <w:sz w:val="24"/>
        </w:rPr>
        <w:t>14</w:t>
      </w:r>
    </w:p>
    <w:p>
      <w:pPr>
        <w:pStyle w:val="27"/>
        <w:tabs>
          <w:tab w:val="right" w:leader="dot" w:pos="7980"/>
        </w:tabs>
        <w:adjustRightInd w:val="0"/>
        <w:snapToGrid w:val="0"/>
        <w:spacing w:before="0" w:line="440" w:lineRule="exact"/>
        <w:jc w:val="left"/>
        <w:rPr>
          <w:sz w:val="24"/>
          <w:szCs w:val="24"/>
        </w:rPr>
      </w:pPr>
      <w:r>
        <w:rPr>
          <w:rFonts w:hint="eastAsia"/>
          <w:sz w:val="24"/>
        </w:rPr>
        <w:t>第三部分名词解释</w:t>
      </w:r>
      <w:r>
        <w:rPr>
          <w:sz w:val="24"/>
        </w:rPr>
        <w:tab/>
      </w:r>
      <w:r>
        <w:rPr>
          <w:rFonts w:hint="eastAsia"/>
          <w:sz w:val="24"/>
        </w:rPr>
        <w:t>16</w:t>
      </w:r>
    </w:p>
    <w:p>
      <w:pPr>
        <w:pStyle w:val="27"/>
        <w:tabs>
          <w:tab w:val="right" w:leader="dot" w:pos="7980"/>
        </w:tabs>
        <w:adjustRightInd w:val="0"/>
        <w:snapToGrid w:val="0"/>
        <w:spacing w:before="0" w:line="440" w:lineRule="exact"/>
        <w:jc w:val="left"/>
        <w:rPr>
          <w:sz w:val="24"/>
          <w:szCs w:val="24"/>
        </w:rPr>
      </w:pPr>
      <w:r>
        <w:rPr>
          <w:rFonts w:hint="eastAsia"/>
          <w:sz w:val="24"/>
        </w:rPr>
        <w:t>第四部分附件</w:t>
      </w:r>
      <w:r>
        <w:rPr>
          <w:sz w:val="24"/>
        </w:rPr>
        <w:tab/>
      </w:r>
      <w:r>
        <w:rPr>
          <w:rFonts w:hint="eastAsia"/>
          <w:sz w:val="24"/>
        </w:rPr>
        <w:t>23</w:t>
      </w:r>
    </w:p>
    <w:p>
      <w:pPr>
        <w:pStyle w:val="28"/>
        <w:tabs>
          <w:tab w:val="right" w:leader="dot" w:pos="7980"/>
        </w:tabs>
        <w:adjustRightInd w:val="0"/>
        <w:snapToGrid w:val="0"/>
        <w:spacing w:line="440" w:lineRule="exact"/>
        <w:jc w:val="left"/>
        <w:rPr>
          <w:rFonts w:ascii="仿宋" w:hAnsi="仿宋"/>
          <w:sz w:val="24"/>
        </w:rPr>
      </w:pPr>
      <w:r>
        <w:rPr>
          <w:rFonts w:hint="eastAsia"/>
          <w:sz w:val="24"/>
        </w:rPr>
        <w:t>附件</w:t>
      </w:r>
      <w:r>
        <w:rPr>
          <w:sz w:val="24"/>
        </w:rPr>
        <w:t>1</w:t>
      </w:r>
      <w:r>
        <w:rPr>
          <w:sz w:val="24"/>
        </w:rPr>
        <w:tab/>
      </w:r>
      <w:r>
        <w:rPr>
          <w:rFonts w:hint="eastAsia"/>
          <w:sz w:val="24"/>
        </w:rPr>
        <w:t>23</w:t>
      </w:r>
    </w:p>
    <w:p>
      <w:pPr>
        <w:pStyle w:val="28"/>
        <w:tabs>
          <w:tab w:val="right" w:leader="dot" w:pos="7980"/>
        </w:tabs>
        <w:adjustRightInd w:val="0"/>
        <w:snapToGrid w:val="0"/>
        <w:spacing w:line="440" w:lineRule="exact"/>
        <w:jc w:val="left"/>
        <w:rPr>
          <w:rFonts w:ascii="仿宋" w:hAnsi="仿宋"/>
          <w:sz w:val="24"/>
        </w:rPr>
      </w:pPr>
      <w:r>
        <w:rPr>
          <w:rFonts w:hint="eastAsia"/>
          <w:sz w:val="24"/>
        </w:rPr>
        <w:t>附件</w:t>
      </w:r>
      <w:r>
        <w:rPr>
          <w:sz w:val="24"/>
        </w:rPr>
        <w:t>2</w:t>
      </w:r>
      <w:r>
        <w:rPr>
          <w:sz w:val="24"/>
        </w:rPr>
        <w:tab/>
      </w:r>
      <w:r>
        <w:rPr>
          <w:rFonts w:hint="eastAsia"/>
          <w:sz w:val="24"/>
        </w:rPr>
        <w:t>32</w:t>
      </w:r>
    </w:p>
    <w:p>
      <w:pPr>
        <w:pStyle w:val="27"/>
        <w:tabs>
          <w:tab w:val="right" w:leader="dot" w:pos="7980"/>
        </w:tabs>
        <w:adjustRightInd w:val="0"/>
        <w:snapToGrid w:val="0"/>
        <w:spacing w:before="0" w:line="440" w:lineRule="exact"/>
        <w:jc w:val="left"/>
        <w:rPr>
          <w:sz w:val="24"/>
          <w:szCs w:val="24"/>
        </w:rPr>
      </w:pPr>
      <w:r>
        <w:rPr>
          <w:rFonts w:hint="eastAsia"/>
          <w:sz w:val="24"/>
        </w:rPr>
        <w:t>第五部分附表</w:t>
      </w:r>
      <w:r>
        <w:rPr>
          <w:sz w:val="24"/>
        </w:rPr>
        <w:tab/>
      </w:r>
      <w:r>
        <w:rPr>
          <w:rFonts w:hint="eastAsia"/>
          <w:sz w:val="24"/>
        </w:rPr>
        <w:t>27</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一、</w:t>
      </w:r>
      <w:r>
        <w:rPr>
          <w:rFonts w:hint="eastAsia"/>
          <w:sz w:val="24"/>
        </w:rPr>
        <w:t>收入支出决算总表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四、</w:t>
      </w:r>
      <w:r>
        <w:rPr>
          <w:rFonts w:hint="eastAsia"/>
          <w:sz w:val="24"/>
        </w:rPr>
        <w:t>财政拨款收入支出决算总表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r>
        <w:rPr>
          <w:rFonts w:ascii="仿宋" w:hAnsi="仿宋" w:eastAsia="仿宋"/>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六、</w:t>
      </w:r>
      <w:r>
        <w:rPr>
          <w:rFonts w:hint="eastAsia"/>
          <w:sz w:val="24"/>
        </w:rPr>
        <w:t>一般公共预算财政拨款支出决算表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七、</w:t>
      </w:r>
      <w:r>
        <w:rPr>
          <w:rFonts w:hint="eastAsia"/>
          <w:sz w:val="24"/>
        </w:rPr>
        <w:t>一般公共预算财政拨款支出决算明细表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八、</w:t>
      </w:r>
      <w:r>
        <w:rPr>
          <w:rFonts w:hint="eastAsia"/>
          <w:sz w:val="24"/>
        </w:rPr>
        <w:t>一般公共预算财政拨款基本支出决算表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九、</w:t>
      </w:r>
      <w:r>
        <w:rPr>
          <w:rFonts w:hint="eastAsia"/>
          <w:sz w:val="24"/>
        </w:rPr>
        <w:t>一般公共预算财政拨款项目支出决算表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十、</w:t>
      </w:r>
      <w:r>
        <w:rPr>
          <w:rFonts w:hint="eastAsia"/>
          <w:sz w:val="24"/>
        </w:rPr>
        <w:t>一般公共预算财政拨款“三公”经费支出决算表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十一、</w:t>
      </w:r>
      <w:r>
        <w:rPr>
          <w:rFonts w:hint="eastAsia"/>
          <w:sz w:val="24"/>
        </w:rPr>
        <w:t>政府性基金预算财政拨款收入支出决算表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sz w:val="24"/>
        </w:rPr>
      </w:pPr>
      <w:r>
        <w:rPr>
          <w:rFonts w:hint="eastAsia" w:ascii="仿宋" w:hAnsi="仿宋" w:eastAsia="仿宋"/>
          <w:sz w:val="24"/>
        </w:rPr>
        <w:t>十二、</w:t>
      </w:r>
      <w:r>
        <w:rPr>
          <w:rFonts w:hint="eastAsia"/>
          <w:sz w:val="24"/>
        </w:rPr>
        <w:t>政府性基金预算财政拨款“三公”经费支出决算表</w:t>
      </w:r>
      <w:r>
        <w:rPr>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eastAsia="仿宋"/>
          <w:sz w:val="24"/>
        </w:rPr>
      </w:pPr>
      <w:r>
        <w:rPr>
          <w:rFonts w:hint="eastAsia" w:ascii="仿宋" w:hAnsi="仿宋" w:eastAsia="仿宋"/>
          <w:sz w:val="24"/>
        </w:rPr>
        <w:t>十三、国有资本经营预算财政拨款收入支出决算表</w:t>
      </w:r>
      <w:r>
        <w:rPr>
          <w:rFonts w:ascii="仿宋" w:hAnsi="仿宋" w:eastAsia="仿宋"/>
          <w:sz w:val="24"/>
        </w:rPr>
        <w:tab/>
      </w:r>
      <w:r>
        <w:rPr>
          <w:rFonts w:hint="eastAsia"/>
          <w:sz w:val="24"/>
        </w:rPr>
        <w:t>28</w:t>
      </w:r>
    </w:p>
    <w:p>
      <w:pPr>
        <w:pStyle w:val="28"/>
        <w:tabs>
          <w:tab w:val="right" w:leader="dot" w:pos="7980"/>
        </w:tabs>
        <w:adjustRightInd w:val="0"/>
        <w:snapToGrid w:val="0"/>
        <w:spacing w:line="440" w:lineRule="exact"/>
        <w:jc w:val="left"/>
        <w:rPr>
          <w:rFonts w:ascii="仿宋" w:hAnsi="仿宋" w:eastAsia="仿宋"/>
          <w:sz w:val="24"/>
        </w:rPr>
      </w:pPr>
      <w:r>
        <w:rPr>
          <w:rFonts w:hint="eastAsia" w:ascii="仿宋" w:hAnsi="仿宋" w:eastAsia="仿宋"/>
          <w:sz w:val="24"/>
        </w:rPr>
        <w:t>十四、国有资本经营预算财政拨款支出决算表</w:t>
      </w:r>
      <w:r>
        <w:rPr>
          <w:rFonts w:ascii="仿宋" w:hAnsi="仿宋" w:eastAsia="仿宋"/>
          <w:sz w:val="24"/>
        </w:rPr>
        <w:tab/>
      </w:r>
      <w:r>
        <w:rPr>
          <w:rFonts w:hint="eastAsia"/>
          <w:sz w:val="24"/>
        </w:rPr>
        <w:t>28</w:t>
      </w:r>
    </w:p>
    <w:p>
      <w:pPr>
        <w:widowControl/>
        <w:adjustRightInd w:val="0"/>
        <w:snapToGrid w:val="0"/>
        <w:spacing w:line="440" w:lineRule="exact"/>
        <w:ind w:firstLine="1320" w:firstLineChars="550"/>
        <w:jc w:val="left"/>
        <w:rPr>
          <w:rFonts w:ascii="仿宋" w:hAnsi="仿宋" w:eastAsia="仿宋"/>
          <w:color w:val="FF0000"/>
          <w:sz w:val="24"/>
        </w:rPr>
      </w:pPr>
      <w:bookmarkStart w:id="12" w:name="_Toc15377196"/>
      <w:bookmarkStart w:id="13" w:name="_Toc15396599"/>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jc w:val="left"/>
        <w:rPr>
          <w:rFonts w:ascii="仿宋" w:hAnsi="仿宋" w:eastAsia="仿宋"/>
          <w:color w:val="FF0000"/>
          <w:sz w:val="24"/>
        </w:rPr>
        <w:sectPr>
          <w:headerReference r:id="rId4" w:type="first"/>
          <w:footerReference r:id="rId5" w:type="first"/>
          <w:headerReference r:id="rId3" w:type="default"/>
          <w:pgSz w:w="11906" w:h="16838"/>
          <w:pgMar w:top="1440" w:right="1800" w:bottom="1440" w:left="1800" w:header="851" w:footer="992" w:gutter="0"/>
          <w:pgNumType w:start="0"/>
          <w:cols w:space="720" w:num="1"/>
          <w:titlePg/>
          <w:docGrid w:type="lines" w:linePitch="312" w:charSpace="0"/>
        </w:sectPr>
      </w:pPr>
    </w:p>
    <w:p>
      <w:pPr>
        <w:widowControl/>
        <w:spacing w:line="440" w:lineRule="exact"/>
        <w:jc w:val="left"/>
        <w:rPr>
          <w:rFonts w:ascii="仿宋" w:hAnsi="仿宋" w:eastAsia="仿宋"/>
          <w:bCs/>
          <w:kern w:val="44"/>
          <w:sz w:val="24"/>
        </w:rPr>
      </w:pPr>
    </w:p>
    <w:p>
      <w:pPr>
        <w:pStyle w:val="14"/>
        <w:jc w:val="center"/>
        <w:rPr>
          <w:rStyle w:val="18"/>
          <w:rFonts w:ascii="黑体" w:hAnsi="黑体" w:eastAsia="黑体"/>
          <w:b w:val="0"/>
          <w:bCs w:val="0"/>
        </w:rPr>
      </w:pPr>
      <w:r>
        <w:rPr>
          <w:rFonts w:hint="eastAsia" w:ascii="黑体" w:hAnsi="黑体" w:eastAsia="黑体"/>
          <w:b w:val="0"/>
        </w:rPr>
        <w:t>第一部分</w:t>
      </w:r>
      <w:r>
        <w:rPr>
          <w:rFonts w:hint="eastAsia" w:ascii="黑体" w:hAnsi="黑体" w:eastAsia="黑体"/>
          <w:b w:val="0"/>
          <w:lang w:val="en-US" w:eastAsia="zh-CN"/>
        </w:rPr>
        <w:t xml:space="preserve"> </w:t>
      </w:r>
      <w:r>
        <w:rPr>
          <w:rStyle w:val="18"/>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15"/>
        <w:numPr>
          <w:numId w:val="0"/>
        </w:numPr>
        <w:rPr>
          <w:rStyle w:val="19"/>
          <w:rFonts w:ascii="黑体" w:hAnsi="黑体" w:eastAsia="黑体"/>
          <w:b w:val="0"/>
          <w:bCs w:val="0"/>
        </w:rPr>
      </w:pPr>
      <w:bookmarkStart w:id="14" w:name="_Toc15396600"/>
      <w:bookmarkStart w:id="15" w:name="_Toc15377197"/>
      <w:r>
        <w:rPr>
          <w:rFonts w:hint="eastAsia" w:ascii="黑体" w:hAnsi="黑体" w:eastAsia="黑体"/>
          <w:b w:val="0"/>
          <w:color w:val="000000"/>
          <w:lang w:val="en-US" w:eastAsia="zh-CN"/>
        </w:rPr>
        <w:t>一、</w:t>
      </w:r>
      <w:r>
        <w:rPr>
          <w:rFonts w:hint="eastAsia" w:ascii="黑体" w:hAnsi="黑体" w:eastAsia="黑体"/>
          <w:b w:val="0"/>
          <w:color w:val="000000"/>
        </w:rPr>
        <w:t>基</w:t>
      </w:r>
      <w:r>
        <w:rPr>
          <w:rStyle w:val="19"/>
          <w:rFonts w:hint="eastAsia" w:ascii="黑体" w:hAnsi="黑体" w:eastAsia="黑体"/>
          <w:b w:val="0"/>
          <w:bCs w:val="0"/>
        </w:rPr>
        <w:t>本职能及主要工作</w:t>
      </w:r>
      <w:bookmarkEnd w:id="14"/>
      <w:bookmarkEnd w:id="15"/>
    </w:p>
    <w:p>
      <w:r>
        <w:rPr>
          <w:rFonts w:hint="eastAsia" w:ascii="仿宋" w:hAnsi="仿宋" w:eastAsia="仿宋"/>
          <w:bCs/>
          <w:color w:val="000000"/>
          <w:sz w:val="32"/>
          <w:szCs w:val="32"/>
        </w:rPr>
        <w:t>（一）主要职能。</w:t>
      </w:r>
    </w:p>
    <w:p>
      <w:pPr>
        <w:ind w:firstLine="800" w:firstLineChars="25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做好内务管理、政工、科协、</w:t>
      </w:r>
      <w:r>
        <w:rPr>
          <w:rFonts w:ascii="仿宋" w:hAnsi="仿宋" w:eastAsia="仿宋"/>
          <w:sz w:val="32"/>
          <w:szCs w:val="32"/>
        </w:rPr>
        <w:t>依法治县、档案、收发文件</w:t>
      </w:r>
      <w:r>
        <w:rPr>
          <w:rFonts w:hint="eastAsia" w:ascii="仿宋" w:hAnsi="仿宋" w:eastAsia="仿宋"/>
          <w:sz w:val="32"/>
          <w:szCs w:val="32"/>
        </w:rPr>
        <w:t>、</w:t>
      </w:r>
      <w:r>
        <w:rPr>
          <w:rFonts w:ascii="仿宋" w:hAnsi="仿宋" w:eastAsia="仿宋"/>
          <w:sz w:val="32"/>
          <w:szCs w:val="32"/>
        </w:rPr>
        <w:t>文秘、保密、信息调研、舆情监控等工作</w:t>
      </w:r>
      <w:r>
        <w:rPr>
          <w:rFonts w:hint="eastAsia" w:ascii="仿宋" w:hAnsi="仿宋" w:eastAsia="仿宋"/>
          <w:sz w:val="32"/>
          <w:szCs w:val="32"/>
        </w:rPr>
        <w:t>。</w:t>
      </w:r>
    </w:p>
    <w:p>
      <w:pPr>
        <w:ind w:firstLine="800" w:firstLineChars="25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贯彻落实上级纪委相关工作的决定，监督检查本镇各部门及其工作人员执行国家法律、法规、政策和镇党委的决定、决议、命令情况。负责组织协调全镇党风廉政建设和反腐败工作。</w:t>
      </w:r>
    </w:p>
    <w:p>
      <w:pPr>
        <w:ind w:firstLine="800" w:firstLineChars="25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加强镇级财政的监督和管理，按计划组织、管理镇财政收入和支出，执行国家有关财经纪律和政策，保证国家财政收入的完成，做好农村财务、机关财务、</w:t>
      </w:r>
      <w:r>
        <w:rPr>
          <w:rFonts w:ascii="仿宋" w:hAnsi="仿宋" w:eastAsia="仿宋"/>
          <w:sz w:val="32"/>
          <w:szCs w:val="32"/>
        </w:rPr>
        <w:t>“三资”及涉农资金管理等工作</w:t>
      </w:r>
      <w:r>
        <w:t>。</w:t>
      </w:r>
    </w:p>
    <w:p>
      <w:pPr>
        <w:ind w:firstLine="800" w:firstLineChars="25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做好民政、社会养老、敬老院、残联、环保、人口</w:t>
      </w:r>
      <w:r>
        <w:rPr>
          <w:rFonts w:hint="eastAsia" w:ascii="仿宋" w:hAnsi="仿宋" w:eastAsia="仿宋"/>
          <w:sz w:val="32"/>
          <w:szCs w:val="32"/>
          <w:u w:val="none" w:color="FFB03A"/>
          <w:shd w:val="clear" w:fill="auto"/>
        </w:rPr>
        <w:t>计生</w:t>
      </w:r>
      <w:r>
        <w:rPr>
          <w:rFonts w:hint="eastAsia" w:ascii="仿宋" w:hAnsi="仿宋" w:eastAsia="仿宋"/>
          <w:sz w:val="32"/>
          <w:szCs w:val="32"/>
        </w:rPr>
        <w:t>、社会劳动保障、回引创业等工作。</w:t>
      </w:r>
    </w:p>
    <w:p>
      <w:pPr>
        <w:ind w:firstLine="800" w:firstLineChars="25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做好交通安全管理、</w:t>
      </w:r>
      <w:r>
        <w:rPr>
          <w:rFonts w:ascii="仿宋" w:hAnsi="仿宋" w:eastAsia="仿宋"/>
          <w:sz w:val="32"/>
          <w:szCs w:val="32"/>
        </w:rPr>
        <w:t>综治、网格化、信访、维稳、防邪、禁毒、司法、大调解</w:t>
      </w:r>
      <w:r>
        <w:rPr>
          <w:rFonts w:hint="eastAsia" w:ascii="仿宋" w:hAnsi="仿宋" w:eastAsia="仿宋"/>
          <w:sz w:val="32"/>
          <w:szCs w:val="32"/>
        </w:rPr>
        <w:t>、</w:t>
      </w:r>
      <w:r>
        <w:rPr>
          <w:rFonts w:ascii="仿宋" w:hAnsi="仿宋" w:eastAsia="仿宋"/>
          <w:sz w:val="32"/>
          <w:szCs w:val="32"/>
        </w:rPr>
        <w:t>食品药品与市场管理工作。</w:t>
      </w:r>
    </w:p>
    <w:p>
      <w:pPr>
        <w:ind w:firstLine="800" w:firstLineChars="25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发展农业产业，推广、指导、培训农业技术，监测农作物病虫害，监管土壤肥料，农资市场，指导村集体经济发展；申报、审核、发放惠民惠农资金；审批农村宅基地；宣传林业相关政策，护林防火；组织协调农田水利基本建设；承担防汛抗旱、农村电商协调等工作。</w:t>
      </w:r>
    </w:p>
    <w:p>
      <w:pPr>
        <w:ind w:firstLine="800" w:firstLineChars="250"/>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做好集镇管理、环境保护、街道网格化、项目实施过程中的监督、督查验收、资料收集等工作。</w:t>
      </w:r>
    </w:p>
    <w:p>
      <w:pPr>
        <w:ind w:firstLine="800" w:firstLineChars="250"/>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完成县委、县政府交办的其他工作。</w:t>
      </w:r>
    </w:p>
    <w:p>
      <w:pPr>
        <w:rPr>
          <w:rFonts w:ascii="仿宋" w:hAnsi="仿宋" w:eastAsia="仿宋"/>
          <w:sz w:val="32"/>
          <w:szCs w:val="32"/>
        </w:rPr>
      </w:pPr>
      <w:bookmarkStart w:id="16" w:name="_Toc15378446"/>
      <w:bookmarkStart w:id="17" w:name="_Toc15377199"/>
      <w:r>
        <w:rPr>
          <w:rFonts w:hint="eastAsia" w:ascii="仿宋" w:hAnsi="仿宋" w:eastAsia="仿宋"/>
          <w:sz w:val="32"/>
          <w:szCs w:val="32"/>
        </w:rPr>
        <w:t>（二）2021年重点工作完成情况。</w:t>
      </w:r>
      <w:bookmarkEnd w:id="16"/>
      <w:bookmarkEnd w:id="17"/>
    </w:p>
    <w:p>
      <w:pPr>
        <w:ind w:firstLine="800" w:firstLineChars="250"/>
        <w:rPr>
          <w:rFonts w:ascii="仿宋" w:hAnsi="仿宋" w:eastAsia="仿宋"/>
          <w:sz w:val="32"/>
          <w:szCs w:val="32"/>
        </w:rPr>
      </w:pPr>
      <w:r>
        <w:rPr>
          <w:rFonts w:hint="eastAsia" w:ascii="仿宋" w:hAnsi="仿宋" w:eastAsia="仿宋"/>
          <w:sz w:val="32"/>
          <w:szCs w:val="32"/>
        </w:rPr>
        <w:t>1.巩固拓展脱贫攻坚成果同乡村振兴有效衔接取得新成效</w:t>
      </w:r>
    </w:p>
    <w:p>
      <w:pPr>
        <w:ind w:firstLine="800" w:firstLineChars="250"/>
        <w:rPr>
          <w:rFonts w:eastAsia="仿宋_GB2312"/>
          <w:sz w:val="32"/>
          <w:szCs w:val="32"/>
        </w:rPr>
      </w:pPr>
      <w:r>
        <w:rPr>
          <w:rFonts w:hint="eastAsia" w:ascii="仿宋" w:hAnsi="仿宋" w:eastAsia="仿宋"/>
          <w:sz w:val="32"/>
          <w:szCs w:val="32"/>
        </w:rPr>
        <w:t>严格落实“四个不摘”。坚持</w:t>
      </w:r>
      <w:r>
        <w:rPr>
          <w:rFonts w:hint="eastAsia" w:eastAsia="仿宋_GB2312"/>
          <w:sz w:val="32"/>
          <w:szCs w:val="32"/>
        </w:rPr>
        <w:t>摘帽不摘责任，继续坚持党组织书记抓乡村振兴，全面压实党组织书记抓乡村振兴第一责任人的责任，建立起统一高效的实现巩固拓展脱贫攻坚成果同乡村振兴有效衔接的决策议事协调工作推进机制。坚持摘帽不摘政策，对脱贫攻坚期内带有探索性和创新性的工作，比如小额扶贫信贷、公益岗位等，进一步地强化管理，规范完善，确保持续发挥作用。坚持摘帽不摘帮扶，对全镇510户脱贫户，13户监测户实行全覆盖帮扶，坚持按时监测、及时汇总，全镇未出现返贫或新增贫困现象。</w:t>
      </w:r>
    </w:p>
    <w:p>
      <w:pPr>
        <w:ind w:firstLine="800" w:firstLineChars="250"/>
        <w:rPr>
          <w:rFonts w:eastAsia="仿宋_GB2312"/>
          <w:sz w:val="32"/>
          <w:szCs w:val="32"/>
        </w:rPr>
      </w:pPr>
      <w:r>
        <w:rPr>
          <w:rFonts w:hint="eastAsia" w:eastAsia="仿宋_GB2312"/>
          <w:sz w:val="32"/>
          <w:szCs w:val="32"/>
        </w:rPr>
        <w:t>2.产业发展实现新突破</w:t>
      </w:r>
    </w:p>
    <w:p>
      <w:pPr>
        <w:pStyle w:val="36"/>
        <w:ind w:firstLine="680"/>
        <w:rPr>
          <w:rFonts w:eastAsia="仿宋_GB2312"/>
          <w:szCs w:val="32"/>
        </w:rPr>
      </w:pPr>
      <w:r>
        <w:rPr>
          <w:rFonts w:hint="eastAsia" w:eastAsia="仿宋_GB2312"/>
          <w:bCs/>
          <w:spacing w:val="10"/>
          <w:szCs w:val="32"/>
        </w:rPr>
        <w:t>继续推进</w:t>
      </w:r>
      <w:r>
        <w:rPr>
          <w:rFonts w:eastAsia="仿宋_GB2312"/>
          <w:bCs/>
          <w:spacing w:val="10"/>
          <w:szCs w:val="32"/>
        </w:rPr>
        <w:t>“五带五抓”（业主带动抓基地、协会带动抓技术、企业带动抓市场、党员带动抓群众、大户带动抓弱户），持续壮大青花椒产业和稻渔综合种养，</w:t>
      </w:r>
      <w:r>
        <w:rPr>
          <w:rFonts w:hint="eastAsia" w:eastAsia="仿宋_GB2312"/>
          <w:bCs/>
          <w:spacing w:val="10"/>
          <w:szCs w:val="32"/>
        </w:rPr>
        <w:t>通过争取上级政策支持</w:t>
      </w:r>
      <w:r>
        <w:rPr>
          <w:rFonts w:eastAsia="仿宋_GB2312"/>
          <w:szCs w:val="32"/>
        </w:rPr>
        <w:t>，吸引民间资金，积极引导群众广泛参与，形成了以青花椒、稻渔为主导产业，其他产业竞相发展的布局</w:t>
      </w:r>
      <w:r>
        <w:rPr>
          <w:rFonts w:hint="eastAsia" w:eastAsia="仿宋_GB2312"/>
          <w:szCs w:val="32"/>
        </w:rPr>
        <w:t>。今年，全镇</w:t>
      </w:r>
      <w:r>
        <w:rPr>
          <w:rFonts w:hint="eastAsia" w:ascii="仿宋_GB2312" w:hAnsi="仿宋_GB2312" w:eastAsia="仿宋_GB2312" w:cs="仿宋_GB2312"/>
          <w:szCs w:val="32"/>
        </w:rPr>
        <w:t>青花椒种植面积达6000余亩，培育集体经济青花椒产业园1024亩，实现产值600余万元</w:t>
      </w:r>
      <w:r>
        <w:rPr>
          <w:rFonts w:hint="eastAsia" w:eastAsia="仿宋_GB2312"/>
          <w:szCs w:val="32"/>
        </w:rPr>
        <w:t>，</w:t>
      </w:r>
      <w:r>
        <w:rPr>
          <w:rFonts w:hint="eastAsia" w:ascii="仿宋_GB2312" w:hAnsi="仿宋_GB2312" w:eastAsia="仿宋_GB2312" w:cs="仿宋_GB2312"/>
          <w:szCs w:val="32"/>
        </w:rPr>
        <w:t>其中，3000余亩青花椒提前进入盛产期，单产最高超2000斤/亩。深入推进稻渔综合种养项目建设，今年新增扩面500余亩，建成金碑</w:t>
      </w:r>
      <w:r>
        <w:t>——</w:t>
      </w:r>
      <w:r>
        <w:rPr>
          <w:rFonts w:hint="eastAsia" w:ascii="仿宋_GB2312" w:hAnsi="仿宋_GB2312" w:eastAsia="仿宋_GB2312" w:cs="仿宋_GB2312"/>
          <w:szCs w:val="32"/>
        </w:rPr>
        <w:t>纳溪坝稻渔综合种养产业片区1500余亩，实现年产值1200余万元。全年发展蔬果200余亩，中药材300余亩。</w:t>
      </w:r>
      <w:r>
        <w:rPr>
          <w:rFonts w:eastAsia="仿宋_GB2312"/>
          <w:szCs w:val="32"/>
        </w:rPr>
        <w:t>年出栏生猪19000余头、鸡鸭等小家禽3.5万只。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3.民生福祉再上新高度</w:t>
      </w:r>
    </w:p>
    <w:p>
      <w:pPr>
        <w:pStyle w:val="36"/>
        <w:rPr>
          <w:rFonts w:eastAsia="仿宋_GB2312"/>
          <w:bCs/>
          <w:szCs w:val="32"/>
        </w:rPr>
      </w:pPr>
      <w:r>
        <w:rPr>
          <w:rFonts w:hint="eastAsia" w:ascii="仿宋_GB2312" w:hAnsi="仿宋_GB2312" w:eastAsia="仿宋_GB2312" w:cs="仿宋_GB2312"/>
          <w:szCs w:val="32"/>
        </w:rPr>
        <w:t>两项改革“后半篇”文章工作扎实推进。镇党委始终严格按照聚焦优化资源配置、提升发展质量、增强服务能力、提高治理效能的要求，坚持系统推进、全面发力，全面做好两项改革“后半篇”文章重点任务，让两项改革助推全镇发展的红利得到更加充分的释放。社会保障更加有力。全年累计完成退役军人登记201人；城乡居民最低生活保障救助2562户；农村分散特困供养59人；100余名困难残疾人享受生活补贴、重度残疾人护理补贴等各类补助；落实计生奖扶、特扶政策，受益人数92人；城乡居民基本医疗保险参保缴费9415人，参保金额235.38万元；城乡居民养老保险缴费3845人，领取</w:t>
      </w:r>
      <w:r>
        <w:rPr>
          <w:rFonts w:eastAsia="仿宋_GB2312"/>
          <w:szCs w:val="32"/>
        </w:rPr>
        <w:t>养老保险1888人</w:t>
      </w:r>
      <w:r>
        <w:rPr>
          <w:rFonts w:eastAsia="仿宋"/>
          <w:szCs w:val="32"/>
        </w:rPr>
        <w:t>；</w:t>
      </w:r>
      <w:r>
        <w:rPr>
          <w:rFonts w:hint="eastAsia" w:ascii="仿宋_GB2312" w:hAnsi="仿宋_GB2312" w:eastAsia="仿宋_GB2312" w:cs="仿宋_GB2312"/>
          <w:szCs w:val="32"/>
        </w:rPr>
        <w:t>通过组</w:t>
      </w:r>
      <w:r>
        <w:rPr>
          <w:rFonts w:eastAsia="仿宋_GB2312"/>
          <w:szCs w:val="32"/>
        </w:rPr>
        <w:t>织参加招聘会、农民工返岗、春风行</w:t>
      </w:r>
      <w:r>
        <w:rPr>
          <w:rFonts w:hint="eastAsia" w:ascii="仿宋_GB2312" w:hAnsi="仿宋_GB2312" w:eastAsia="仿宋_GB2312" w:cs="仿宋_GB2312"/>
          <w:szCs w:val="32"/>
        </w:rPr>
        <w:t>动、开设技术培训班、扶贫车间、公益性岗位等方式，解决农村劳动力劳务输转就业100余人。社会事业协调发展。</w:t>
      </w:r>
      <w:r>
        <w:rPr>
          <w:rFonts w:eastAsia="仿宋_GB2312"/>
          <w:bCs/>
          <w:szCs w:val="32"/>
        </w:rPr>
        <w:t>疫情防控扎实有效。全镇累计排查返通人员700余人次，累计监管重点区域返通人员82人次，全镇接种疫苗</w:t>
      </w:r>
      <w:r>
        <w:rPr>
          <w:rFonts w:hint="eastAsia" w:eastAsia="仿宋_GB2312"/>
          <w:bCs/>
          <w:szCs w:val="32"/>
        </w:rPr>
        <w:t>做到应接尽接</w:t>
      </w:r>
      <w:r>
        <w:rPr>
          <w:rFonts w:eastAsia="仿宋_GB2312"/>
          <w:bCs/>
          <w:szCs w:val="32"/>
        </w:rPr>
        <w:t>，始终保持无确诊病例、无疑似病例的“双零”势头，做到了一手抓防控一手抓生产，做到了“两手抓两不误”，全镇复产复工率达100%。</w:t>
      </w:r>
    </w:p>
    <w:p>
      <w:pPr>
        <w:spacing w:line="560" w:lineRule="exact"/>
        <w:ind w:firstLine="640" w:firstLineChars="200"/>
        <w:rPr>
          <w:rFonts w:eastAsia="仿宋_GB2312"/>
          <w:bCs/>
          <w:sz w:val="32"/>
          <w:szCs w:val="32"/>
        </w:rPr>
      </w:pPr>
      <w:r>
        <w:rPr>
          <w:rFonts w:hint="eastAsia" w:eastAsia="仿宋_GB2312"/>
          <w:bCs/>
          <w:sz w:val="32"/>
          <w:szCs w:val="32"/>
        </w:rPr>
        <w:t>4.基层治理开创新局面</w:t>
      </w:r>
    </w:p>
    <w:p>
      <w:pPr>
        <w:spacing w:line="530" w:lineRule="exact"/>
        <w:ind w:firstLine="640" w:firstLineChars="200"/>
        <w:jc w:val="left"/>
        <w:rPr>
          <w:rFonts w:eastAsia="仿宋_GB2312"/>
          <w:bCs/>
          <w:sz w:val="32"/>
          <w:szCs w:val="32"/>
        </w:rPr>
      </w:pPr>
      <w:r>
        <w:rPr>
          <w:rFonts w:eastAsia="仿宋_GB2312"/>
          <w:bCs/>
          <w:sz w:val="32"/>
          <w:szCs w:val="32"/>
        </w:rPr>
        <w:t>安全生产常抓不懈。我</w:t>
      </w:r>
      <w:r>
        <w:rPr>
          <w:rFonts w:hint="eastAsia" w:eastAsia="仿宋_GB2312"/>
          <w:bCs/>
          <w:sz w:val="32"/>
          <w:szCs w:val="32"/>
        </w:rPr>
        <w:t>镇</w:t>
      </w:r>
      <w:r>
        <w:rPr>
          <w:rFonts w:eastAsia="仿宋_GB2312"/>
          <w:bCs/>
          <w:sz w:val="32"/>
          <w:szCs w:val="32"/>
        </w:rPr>
        <w:t>认真贯彻落实习近平总书记关于安全生产重要批示、指示精神，稳步推进安全生产工作，积极开展安全生产大检查、大排查、大</w:t>
      </w:r>
      <w:r>
        <w:rPr>
          <w:rFonts w:hint="eastAsia" w:eastAsia="仿宋_GB2312"/>
          <w:bCs/>
          <w:sz w:val="32"/>
          <w:szCs w:val="32"/>
        </w:rPr>
        <w:t>整治</w:t>
      </w:r>
      <w:r>
        <w:rPr>
          <w:rFonts w:eastAsia="仿宋_GB2312"/>
          <w:bCs/>
          <w:sz w:val="32"/>
          <w:szCs w:val="32"/>
        </w:rPr>
        <w:t>，</w:t>
      </w:r>
      <w:r>
        <w:rPr>
          <w:rFonts w:hint="eastAsia" w:eastAsia="仿宋_GB2312"/>
          <w:bCs/>
          <w:sz w:val="32"/>
          <w:szCs w:val="32"/>
        </w:rPr>
        <w:t>努力做好防汛减灾和地质灾害防范工作，时刻紧绷安全生产之弦。</w:t>
      </w:r>
      <w:r>
        <w:rPr>
          <w:rFonts w:eastAsia="仿宋_GB2312"/>
          <w:bCs/>
          <w:sz w:val="32"/>
          <w:szCs w:val="32"/>
        </w:rPr>
        <w:t>先后开展各类安全生产监管检查300余人次，</w:t>
      </w:r>
      <w:r>
        <w:rPr>
          <w:rFonts w:hint="eastAsia" w:eastAsia="仿宋_GB2312"/>
          <w:bCs/>
          <w:sz w:val="32"/>
          <w:szCs w:val="32"/>
        </w:rPr>
        <w:t>组织</w:t>
      </w:r>
      <w:r>
        <w:rPr>
          <w:rFonts w:eastAsia="仿宋_GB2312"/>
          <w:bCs/>
          <w:sz w:val="32"/>
          <w:szCs w:val="32"/>
        </w:rPr>
        <w:t>应急演练</w:t>
      </w:r>
      <w:r>
        <w:rPr>
          <w:rFonts w:hint="eastAsia" w:eastAsia="仿宋_GB2312"/>
          <w:bCs/>
          <w:sz w:val="32"/>
          <w:szCs w:val="32"/>
        </w:rPr>
        <w:t>2</w:t>
      </w:r>
      <w:r>
        <w:rPr>
          <w:rFonts w:eastAsia="仿宋_GB2312"/>
          <w:bCs/>
          <w:sz w:val="32"/>
          <w:szCs w:val="32"/>
        </w:rPr>
        <w:t>次，发放各类宣传资料</w:t>
      </w:r>
      <w:r>
        <w:rPr>
          <w:rFonts w:hint="eastAsia" w:eastAsia="仿宋_GB2312"/>
          <w:bCs/>
          <w:sz w:val="32"/>
          <w:szCs w:val="32"/>
        </w:rPr>
        <w:t>3万</w:t>
      </w:r>
      <w:r>
        <w:rPr>
          <w:rFonts w:eastAsia="仿宋_GB2312"/>
          <w:bCs/>
          <w:sz w:val="32"/>
          <w:szCs w:val="32"/>
        </w:rPr>
        <w:t>余份（册），持续深</w:t>
      </w:r>
      <w:r>
        <w:rPr>
          <w:rFonts w:hint="eastAsia" w:eastAsia="仿宋_GB2312"/>
          <w:bCs/>
          <w:sz w:val="32"/>
          <w:szCs w:val="32"/>
        </w:rPr>
        <w:t>化</w:t>
      </w:r>
      <w:r>
        <w:rPr>
          <w:rFonts w:eastAsia="仿宋_GB2312"/>
          <w:bCs/>
          <w:sz w:val="32"/>
          <w:szCs w:val="32"/>
        </w:rPr>
        <w:t>森林防灭火、防汛减灾、交通运输、河</w:t>
      </w:r>
      <w:r>
        <w:rPr>
          <w:rFonts w:hint="eastAsia" w:eastAsia="仿宋_GB2312"/>
          <w:bCs/>
          <w:sz w:val="32"/>
          <w:szCs w:val="32"/>
        </w:rPr>
        <w:t>（</w:t>
      </w:r>
      <w:r>
        <w:rPr>
          <w:rFonts w:eastAsia="仿宋_GB2312"/>
          <w:bCs/>
          <w:sz w:val="32"/>
          <w:szCs w:val="32"/>
        </w:rPr>
        <w:t>湖</w:t>
      </w:r>
      <w:r>
        <w:rPr>
          <w:rFonts w:hint="eastAsia" w:eastAsia="仿宋_GB2312"/>
          <w:bCs/>
          <w:sz w:val="32"/>
          <w:szCs w:val="32"/>
        </w:rPr>
        <w:t>）</w:t>
      </w:r>
      <w:r>
        <w:rPr>
          <w:rFonts w:eastAsia="仿宋_GB2312"/>
          <w:bCs/>
          <w:sz w:val="32"/>
          <w:szCs w:val="32"/>
        </w:rPr>
        <w:t>长制等工作，全镇无一例重特大安全事故和责任事故发生。社会治理</w:t>
      </w:r>
      <w:r>
        <w:rPr>
          <w:rFonts w:hint="eastAsia" w:eastAsia="仿宋_GB2312"/>
          <w:bCs/>
          <w:sz w:val="32"/>
          <w:szCs w:val="32"/>
        </w:rPr>
        <w:t>更加</w:t>
      </w:r>
      <w:r>
        <w:rPr>
          <w:rFonts w:eastAsia="仿宋_GB2312"/>
          <w:bCs/>
          <w:sz w:val="32"/>
          <w:szCs w:val="32"/>
        </w:rPr>
        <w:t>精细高效。纵深推进法治三溪建设，扎实开展普法活动，实现普法对象、普法区域、普法内容“三个100%”。大力推进雪亮工程和平安通江建设，做到全域覆盖，切实抓好综治、信访、维稳、扫黑除恶工作。</w:t>
      </w:r>
      <w:r>
        <w:rPr>
          <w:rFonts w:hint="eastAsia" w:eastAsia="仿宋_GB2312"/>
          <w:bCs/>
          <w:sz w:val="32"/>
          <w:szCs w:val="32"/>
        </w:rPr>
        <w:t>今</w:t>
      </w:r>
      <w:r>
        <w:rPr>
          <w:rFonts w:eastAsia="仿宋_GB2312"/>
          <w:bCs/>
          <w:sz w:val="32"/>
          <w:szCs w:val="32"/>
        </w:rPr>
        <w:t>年来，共调处各类矛盾纠纷110余次，领导班子主动接访，进村入户化解矛盾纠纷，变群众上访为领导下访，累计接待群众来信来访100余件，群众满意率达95％。全镇党风廉政建设满意度测评成绩斐然，市政热线12345群众诉求反映有效化解。</w:t>
      </w:r>
    </w:p>
    <w:p>
      <w:pPr>
        <w:pStyle w:val="15"/>
      </w:pPr>
      <w:bookmarkStart w:id="18" w:name="_Toc15377200"/>
      <w:bookmarkStart w:id="19" w:name="_Toc15396601"/>
      <w:r>
        <w:rPr>
          <w:rFonts w:hint="eastAsia" w:ascii="黑体" w:eastAsia="黑体"/>
          <w:b w:val="0"/>
          <w:color w:val="000000"/>
          <w:u w:val="none" w:color="FFB03A"/>
          <w:shd w:val="clear" w:fill="auto"/>
        </w:rPr>
        <w:t>二、</w:t>
      </w:r>
      <w:r>
        <w:rPr>
          <w:rFonts w:hint="eastAsia" w:ascii="黑体" w:hAnsi="黑体" w:eastAsia="黑体"/>
          <w:b w:val="0"/>
          <w:color w:val="000000"/>
        </w:rPr>
        <w:t>机</w:t>
      </w:r>
      <w:r>
        <w:rPr>
          <w:rStyle w:val="19"/>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rPr>
        <w:t>三溪镇人民政府下属二级单位2个，其中其他事业单位2个。</w:t>
      </w:r>
    </w:p>
    <w:p>
      <w:pPr>
        <w:pStyle w:val="3"/>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rPr>
        <w:t>三溪镇人民政府</w:t>
      </w:r>
      <w:r>
        <w:rPr>
          <w:rFonts w:hint="eastAsia" w:ascii="仿宋" w:hAnsi="仿宋" w:eastAsia="仿宋"/>
          <w:color w:val="000000"/>
          <w:sz w:val="32"/>
          <w:szCs w:val="32"/>
        </w:rPr>
        <w:t>2021年度部门决算编制范围的二级预算单位包括：</w:t>
      </w:r>
    </w:p>
    <w:p>
      <w:pPr>
        <w:numPr>
          <w:ilvl w:val="0"/>
          <w:numId w:val="1"/>
        </w:numPr>
        <w:adjustRightInd w:val="0"/>
        <w:snapToGrid w:val="0"/>
        <w:spacing w:beforeLines="30"/>
        <w:rPr>
          <w:rFonts w:ascii="仿宋" w:hAnsi="仿宋" w:eastAsia="仿宋"/>
          <w:color w:val="000000"/>
          <w:kern w:val="0"/>
          <w:sz w:val="32"/>
          <w:szCs w:val="32"/>
        </w:rPr>
      </w:pPr>
      <w:bookmarkStart w:id="20" w:name="_Toc15377433"/>
      <w:bookmarkStart w:id="21" w:name="_Toc15306276"/>
      <w:bookmarkStart w:id="22" w:name="_Toc15377202"/>
      <w:bookmarkStart w:id="23" w:name="_Toc15378449"/>
      <w:r>
        <w:rPr>
          <w:rFonts w:hint="eastAsia" w:ascii="仿宋" w:hAnsi="仿宋" w:eastAsia="仿宋"/>
          <w:color w:val="000000"/>
          <w:kern w:val="0"/>
          <w:sz w:val="32"/>
          <w:szCs w:val="32"/>
        </w:rPr>
        <w:t>三溪镇中心小学</w:t>
      </w:r>
    </w:p>
    <w:p>
      <w:pPr>
        <w:numPr>
          <w:ilvl w:val="0"/>
          <w:numId w:val="1"/>
        </w:numPr>
        <w:adjustRightInd w:val="0"/>
        <w:snapToGrid w:val="0"/>
        <w:spacing w:beforeLines="30"/>
        <w:outlineLvl w:val="2"/>
        <w:rPr>
          <w:rFonts w:ascii="仿宋" w:hAnsi="仿宋" w:eastAsia="仿宋"/>
          <w:color w:val="000000"/>
          <w:kern w:val="0"/>
          <w:sz w:val="32"/>
          <w:szCs w:val="32"/>
        </w:rPr>
      </w:pPr>
      <w:r>
        <w:rPr>
          <w:rFonts w:hint="eastAsia" w:ascii="仿宋" w:hAnsi="仿宋" w:eastAsia="仿宋"/>
          <w:color w:val="000000"/>
          <w:kern w:val="0"/>
          <w:sz w:val="32"/>
          <w:szCs w:val="32"/>
        </w:rPr>
        <w:t>三溪中心卫生院</w:t>
      </w:r>
      <w:bookmarkEnd w:id="20"/>
      <w:bookmarkEnd w:id="21"/>
      <w:bookmarkEnd w:id="22"/>
      <w:bookmarkEnd w:id="23"/>
    </w:p>
    <w:p>
      <w:pPr>
        <w:widowControl/>
        <w:jc w:val="left"/>
        <w:rPr>
          <w:rFonts w:ascii="仿宋" w:hAnsi="仿宋" w:eastAsia="仿宋"/>
          <w:color w:val="000000"/>
          <w:kern w:val="0"/>
          <w:sz w:val="32"/>
          <w:szCs w:val="32"/>
        </w:rPr>
      </w:pPr>
      <w:r>
        <w:br w:type="page"/>
      </w:r>
    </w:p>
    <w:p>
      <w:pPr>
        <w:pStyle w:val="14"/>
        <w:ind w:right="440"/>
        <w:jc w:val="right"/>
        <w:rPr>
          <w:rStyle w:val="18"/>
          <w:rFonts w:ascii="黑体" w:hAnsi="黑体" w:eastAsia="黑体"/>
          <w:b w:val="0"/>
          <w:bCs w:val="0"/>
        </w:rPr>
      </w:pPr>
      <w:bookmarkStart w:id="24" w:name="_Toc15396602"/>
      <w:bookmarkStart w:id="25" w:name="_Toc15377204"/>
      <w:r>
        <w:rPr>
          <w:rFonts w:hint="eastAsia" w:ascii="黑体" w:hAnsi="黑体" w:eastAsia="黑体"/>
          <w:b w:val="0"/>
          <w:color w:val="000000"/>
        </w:rPr>
        <w:t>第二部分</w:t>
      </w:r>
      <w:r>
        <w:rPr>
          <w:rStyle w:val="18"/>
          <w:rFonts w:hint="eastAsia" w:ascii="黑体" w:hAnsi="黑体" w:eastAsia="黑体"/>
          <w:b w:val="0"/>
          <w:bCs w:val="0"/>
        </w:rPr>
        <w:t>2</w:t>
      </w:r>
      <w:r>
        <w:rPr>
          <w:rFonts w:hint="eastAsia" w:ascii="黑体" w:hAnsi="黑体" w:eastAsia="黑体"/>
        </w:rPr>
        <w:t>021</w:t>
      </w:r>
      <w:r>
        <w:rPr>
          <w:rStyle w:val="18"/>
          <w:rFonts w:hint="eastAsia" w:ascii="黑体" w:hAnsi="黑体" w:eastAsia="黑体"/>
          <w:b w:val="0"/>
          <w:bCs w:val="0"/>
        </w:rPr>
        <w:t>年度部门决算情况说明</w:t>
      </w:r>
      <w:bookmarkEnd w:id="24"/>
      <w:bookmarkEnd w:id="25"/>
    </w:p>
    <w:p/>
    <w:p>
      <w:pPr>
        <w:pStyle w:val="34"/>
        <w:numPr>
          <w:ilvl w:val="0"/>
          <w:numId w:val="2"/>
        </w:numPr>
        <w:spacing w:line="600" w:lineRule="exact"/>
        <w:ind w:firstLineChars="0"/>
        <w:outlineLvl w:val="1"/>
        <w:rPr>
          <w:rStyle w:val="19"/>
          <w:rFonts w:ascii="黑体" w:hAnsi="黑体" w:eastAsia="黑体"/>
          <w:b w:val="0"/>
        </w:rPr>
      </w:pPr>
      <w:bookmarkStart w:id="26" w:name="_Toc15377205"/>
      <w:bookmarkStart w:id="27" w:name="_Toc15396603"/>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6"/>
      <w:bookmarkEnd w:id="2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2021年度收、支总计3186.73万元。与2020年相比，收、支总计各增加1292.3万元，增幅68.22</w:t>
      </w:r>
      <w:r>
        <w:rPr>
          <w:rFonts w:ascii="仿宋" w:hAnsi="仿宋" w:eastAsia="仿宋"/>
          <w:color w:val="000000"/>
          <w:sz w:val="32"/>
          <w:szCs w:val="32"/>
        </w:rPr>
        <w:t>%</w:t>
      </w:r>
      <w:r>
        <w:rPr>
          <w:rFonts w:hint="eastAsia" w:ascii="仿宋" w:hAnsi="仿宋" w:eastAsia="仿宋"/>
          <w:color w:val="000000"/>
          <w:sz w:val="32"/>
          <w:szCs w:val="32"/>
        </w:rPr>
        <w:t>。主要变动原因是农林水支出增加。</w:t>
      </w:r>
    </w:p>
    <w:p>
      <w:pPr>
        <w:pStyle w:val="3"/>
        <w:spacing w:before="93"/>
        <w:jc w:val="center"/>
        <w:rPr>
          <w:rFonts w:ascii="仿宋" w:hAnsi="仿宋" w:eastAsia="仿宋"/>
          <w:color w:val="000000"/>
          <w:sz w:val="32"/>
          <w:szCs w:val="32"/>
        </w:rPr>
      </w:pPr>
      <w:r>
        <w:pict>
          <v:shape id="_x0000_i1025" o:spt="75" type="#_x0000_t75" style="height:218pt;width:362pt;" filled="f" o:preferrelative="t" stroked="f" coordsize="21600,21600">
            <v:path/>
            <v:fill on="f" focussize="0,0"/>
            <v:stroke on="f" joinstyle="miter"/>
            <v:imagedata r:id="rId8" o:title=""/>
            <o:lock v:ext="edit" aspectratio="t"/>
            <w10:wrap type="none"/>
            <w10:anchorlock/>
          </v:shape>
        </w:pict>
      </w:r>
    </w:p>
    <w:p>
      <w:pPr>
        <w:spacing w:line="600" w:lineRule="exact"/>
        <w:jc w:val="left"/>
        <w:rPr>
          <w:rFonts w:ascii="仿宋_GB2312" w:eastAsia="仿宋_GB2312"/>
          <w:color w:val="000000"/>
          <w:sz w:val="32"/>
          <w:szCs w:val="32"/>
        </w:rPr>
      </w:pPr>
    </w:p>
    <w:p>
      <w:pPr>
        <w:pStyle w:val="34"/>
        <w:numPr>
          <w:ilvl w:val="0"/>
          <w:numId w:val="2"/>
        </w:numPr>
        <w:spacing w:line="600" w:lineRule="exact"/>
        <w:ind w:firstLineChars="0"/>
        <w:outlineLvl w:val="1"/>
        <w:rPr>
          <w:rStyle w:val="19"/>
          <w:rFonts w:ascii="黑体" w:hAnsi="黑体" w:eastAsia="黑体"/>
          <w:b w:val="0"/>
        </w:rPr>
      </w:pPr>
      <w:bookmarkStart w:id="28" w:name="_Toc15377206"/>
      <w:bookmarkStart w:id="29" w:name="_Toc15396604"/>
      <w:r>
        <w:rPr>
          <w:rFonts w:hint="eastAsia" w:ascii="黑体" w:hAnsi="黑体" w:eastAsia="黑体"/>
          <w:color w:val="000000"/>
          <w:sz w:val="32"/>
          <w:szCs w:val="32"/>
        </w:rPr>
        <w:t>收</w:t>
      </w:r>
      <w:r>
        <w:rPr>
          <w:rStyle w:val="19"/>
          <w:rFonts w:hint="eastAsia" w:ascii="黑体" w:hAnsi="黑体" w:eastAsia="黑体"/>
          <w:b w:val="0"/>
        </w:rPr>
        <w:t>入决算情况说明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2021年本年收入合计3182.54万元，其中：一般公共预算财政拨款收入2963.67万元，占93.12</w:t>
      </w:r>
      <w:r>
        <w:rPr>
          <w:rFonts w:ascii="仿宋" w:hAnsi="仿宋" w:eastAsia="仿宋"/>
          <w:color w:val="000000"/>
          <w:sz w:val="32"/>
          <w:szCs w:val="32"/>
        </w:rPr>
        <w:t>%</w:t>
      </w:r>
      <w:r>
        <w:rPr>
          <w:rFonts w:hint="eastAsia" w:ascii="仿宋" w:hAnsi="仿宋" w:eastAsia="仿宋"/>
          <w:color w:val="000000"/>
          <w:sz w:val="32"/>
          <w:szCs w:val="32"/>
        </w:rPr>
        <w:t>；营业收入200.62万元，占6.3</w:t>
      </w:r>
      <w:r>
        <w:rPr>
          <w:rFonts w:ascii="仿宋" w:hAnsi="仿宋" w:eastAsia="仿宋"/>
          <w:color w:val="000000"/>
          <w:sz w:val="32"/>
          <w:szCs w:val="32"/>
        </w:rPr>
        <w:t>%</w:t>
      </w:r>
      <w:r>
        <w:rPr>
          <w:rFonts w:hint="eastAsia" w:ascii="仿宋" w:hAnsi="仿宋" w:eastAsia="仿宋"/>
          <w:color w:val="000000"/>
          <w:sz w:val="32"/>
          <w:szCs w:val="32"/>
        </w:rPr>
        <w:t>；其他收入18.25万元，占0.57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outlineLvl w:val="1"/>
        <w:rPr>
          <w:rFonts w:ascii="仿宋" w:hAnsi="仿宋" w:eastAsia="仿宋"/>
          <w:color w:val="000000"/>
          <w:sz w:val="32"/>
          <w:szCs w:val="32"/>
        </w:rPr>
      </w:pPr>
      <w:r>
        <w:pict>
          <v:shape id="_x0000_s1215" o:spid="_x0000_s1215" o:spt="75" type="#_x0000_t75" style="position:absolute;left:0pt;margin-left:27.85pt;margin-top:-14.9pt;height:217.5pt;width:361.5pt;mso-wrap-distance-left:9pt;mso-wrap-distance-right:9pt;z-index:251659264;mso-width-relative:page;mso-height-relative:page;" filled="f" o:preferrelative="t" stroked="f" coordsize="21600,21600" wrapcoords="21591 -2 0 0 0 21600 21591 21602 8 21602 21599 21600 21599 0 8 -2 21591 -2">
            <v:path/>
            <v:fill on="f" focussize="0,0"/>
            <v:stroke on="f" joinstyle="miter"/>
            <v:imagedata r:id="rId9" o:title=""/>
            <o:lock v:ext="edit" aspectratio="t"/>
            <w10:wrap type="tight"/>
          </v:shape>
        </w:pic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rPr>
          <w:rFonts w:ascii="仿宋" w:hAnsi="仿宋" w:eastAsia="仿宋"/>
          <w:color w:val="000000"/>
          <w:sz w:val="32"/>
          <w:szCs w:val="32"/>
        </w:rPr>
      </w:pPr>
    </w:p>
    <w:p>
      <w:pPr>
        <w:pStyle w:val="34"/>
        <w:numPr>
          <w:ilvl w:val="0"/>
          <w:numId w:val="2"/>
        </w:numPr>
        <w:spacing w:line="600" w:lineRule="exact"/>
        <w:ind w:firstLineChars="0"/>
        <w:outlineLvl w:val="1"/>
        <w:rPr>
          <w:rStyle w:val="19"/>
          <w:rFonts w:ascii="黑体" w:hAnsi="黑体" w:eastAsia="黑体"/>
          <w:b w:val="0"/>
        </w:rPr>
      </w:pPr>
      <w:bookmarkStart w:id="30" w:name="_Toc15377207"/>
      <w:bookmarkStart w:id="31" w:name="_Toc15396605"/>
      <w:r>
        <w:rPr>
          <w:rFonts w:hint="eastAsia" w:ascii="黑体" w:hAnsi="黑体" w:eastAsia="黑体"/>
          <w:color w:val="000000"/>
          <w:sz w:val="32"/>
          <w:szCs w:val="32"/>
        </w:rPr>
        <w:t>支</w:t>
      </w:r>
      <w:r>
        <w:rPr>
          <w:rStyle w:val="19"/>
          <w:rFonts w:hint="eastAsia" w:ascii="黑体" w:hAnsi="黑体" w:eastAsia="黑体"/>
          <w:b w:val="0"/>
        </w:rPr>
        <w:t>出决算情况说明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2021年本年支出合计3186.73万元，其中：基本支出1620.42万元，占51</w:t>
      </w:r>
      <w:r>
        <w:rPr>
          <w:rFonts w:ascii="仿宋" w:hAnsi="仿宋" w:eastAsia="仿宋"/>
          <w:color w:val="000000"/>
          <w:sz w:val="32"/>
          <w:szCs w:val="32"/>
        </w:rPr>
        <w:t>%</w:t>
      </w:r>
      <w:r>
        <w:rPr>
          <w:rFonts w:hint="eastAsia" w:ascii="仿宋" w:hAnsi="仿宋" w:eastAsia="仿宋"/>
          <w:color w:val="000000"/>
          <w:sz w:val="32"/>
          <w:szCs w:val="32"/>
        </w:rPr>
        <w:t>；项目支出1566.31万元，占49</w:t>
      </w:r>
      <w:r>
        <w:rPr>
          <w:rFonts w:ascii="仿宋" w:hAnsi="仿宋" w:eastAsia="仿宋"/>
          <w:color w:val="000000"/>
          <w:sz w:val="32"/>
          <w:szCs w:val="32"/>
        </w:rPr>
        <w:t>%</w:t>
      </w:r>
      <w:r>
        <w:rPr>
          <w:rFonts w:hint="eastAsia" w:ascii="仿宋" w:hAnsi="仿宋" w:eastAsia="仿宋"/>
          <w:color w:val="000000"/>
          <w:sz w:val="32"/>
          <w:szCs w:val="32"/>
        </w:rPr>
        <w:t>。</w:t>
      </w:r>
    </w:p>
    <w:p>
      <w:pPr>
        <w:pStyle w:val="3"/>
        <w:spacing w:before="93"/>
        <w:jc w:val="center"/>
      </w:pPr>
      <w:r>
        <w:pict>
          <v:shape id="_x0000_i1026" o:spt="75" type="#_x0000_t75" style="height:217.35pt;width:361.35pt;" filled="f" o:preferrelative="t" stroked="f" coordsize="21600,21600">
            <v:path/>
            <v:fill on="f" focussize="0,0"/>
            <v:stroke on="f" joinstyle="miter"/>
            <v:imagedata r:id="rId10" o:title=""/>
            <o:lock v:ext="edit" aspectratio="t"/>
            <w10:wrap type="none"/>
            <w10:anchorlock/>
          </v:shape>
        </w:pict>
      </w:r>
    </w:p>
    <w:p>
      <w:pPr>
        <w:spacing w:line="600" w:lineRule="exact"/>
        <w:rPr>
          <w:rFonts w:ascii="仿宋_GB2312" w:eastAsia="仿宋_GB2312"/>
          <w:color w:val="FF0000"/>
          <w:sz w:val="32"/>
          <w:szCs w:val="32"/>
        </w:rPr>
      </w:pPr>
    </w:p>
    <w:p>
      <w:pPr>
        <w:numPr>
          <w:ilvl w:val="0"/>
          <w:numId w:val="2"/>
        </w:numPr>
        <w:spacing w:line="600" w:lineRule="exact"/>
        <w:outlineLvl w:val="1"/>
        <w:rPr>
          <w:rFonts w:ascii="黑体" w:hAnsi="黑体" w:eastAsia="黑体"/>
          <w:bCs/>
          <w:sz w:val="32"/>
          <w:szCs w:val="32"/>
        </w:rPr>
      </w:pPr>
      <w:bookmarkStart w:id="32" w:name="_Toc15396606"/>
      <w:bookmarkStart w:id="33" w:name="_Toc15377208"/>
      <w:r>
        <w:rPr>
          <w:rFonts w:hint="eastAsia" w:ascii="黑体" w:hAnsi="黑体" w:eastAsia="黑体"/>
          <w:color w:val="000000"/>
          <w:sz w:val="32"/>
          <w:szCs w:val="32"/>
        </w:rPr>
        <w:t>财</w:t>
      </w:r>
      <w:r>
        <w:rPr>
          <w:rStyle w:val="19"/>
          <w:rFonts w:hint="eastAsia" w:ascii="黑体" w:hAnsi="黑体" w:eastAsia="黑体"/>
          <w:b w:val="0"/>
        </w:rPr>
        <w:t>政拨款</w:t>
      </w:r>
      <w:r>
        <w:rPr>
          <w:rFonts w:hint="eastAsia" w:ascii="黑体" w:hAnsi="黑体" w:eastAsia="黑体"/>
          <w:sz w:val="32"/>
          <w:szCs w:val="32"/>
        </w:rPr>
        <w:t>收入支出决算总体情况说明</w:t>
      </w:r>
      <w:bookmarkEnd w:id="32"/>
      <w:bookmarkEnd w:id="33"/>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2021年财政拨款</w:t>
      </w:r>
      <w:bookmarkStart w:id="34" w:name="_Hlk83633997"/>
      <w:r>
        <w:rPr>
          <w:rFonts w:hint="eastAsia" w:ascii="仿宋" w:hAnsi="仿宋" w:eastAsia="仿宋"/>
          <w:color w:val="000000"/>
          <w:sz w:val="32"/>
          <w:szCs w:val="32"/>
        </w:rPr>
        <w:t>收、支总计</w:t>
      </w:r>
      <w:bookmarkEnd w:id="34"/>
      <w:bookmarkStart w:id="35" w:name="_Hlk83634076"/>
      <w:r>
        <w:rPr>
          <w:rFonts w:hint="eastAsia" w:ascii="仿宋" w:hAnsi="仿宋" w:eastAsia="仿宋"/>
          <w:color w:val="000000"/>
          <w:sz w:val="32"/>
          <w:szCs w:val="32"/>
        </w:rPr>
        <w:t>2967.86万元</w:t>
      </w:r>
      <w:bookmarkEnd w:id="35"/>
      <w:r>
        <w:rPr>
          <w:rFonts w:hint="eastAsia" w:ascii="仿宋" w:hAnsi="仿宋" w:eastAsia="仿宋"/>
          <w:color w:val="000000"/>
          <w:sz w:val="32"/>
          <w:szCs w:val="32"/>
        </w:rPr>
        <w:t>。与2020年财政拨款收、支总计1643.31万元相比，财政拨款收、支总计增加1324.55万元，增幅80.6</w:t>
      </w:r>
      <w:r>
        <w:rPr>
          <w:rFonts w:ascii="仿宋" w:hAnsi="仿宋" w:eastAsia="仿宋"/>
          <w:color w:val="000000"/>
          <w:sz w:val="32"/>
          <w:szCs w:val="32"/>
        </w:rPr>
        <w:t>%</w:t>
      </w:r>
      <w:r>
        <w:rPr>
          <w:rFonts w:hint="eastAsia" w:ascii="仿宋" w:hAnsi="仿宋" w:eastAsia="仿宋"/>
          <w:color w:val="000000"/>
          <w:sz w:val="32"/>
          <w:szCs w:val="32"/>
        </w:rPr>
        <w:t>。主要变动原因是农林水支出增加。</w:t>
      </w:r>
    </w:p>
    <w:p>
      <w:pPr>
        <w:pStyle w:val="3"/>
        <w:spacing w:before="93"/>
        <w:jc w:val="center"/>
      </w:pPr>
      <w:r>
        <w:pict>
          <v:shape id="_x0000_i1027" o:spt="75" type="#_x0000_t75" style="height:217.35pt;width:361.35pt;" filled="f" o:preferrelative="t" stroked="f" coordsize="21600,21600">
            <v:path/>
            <v:fill on="f" focussize="0,0"/>
            <v:stroke on="f" joinstyle="miter"/>
            <v:imagedata r:id="rId11" o:title=""/>
            <o:lock v:ext="edit" aspectratio="t"/>
            <w10:wrap type="none"/>
            <w10:anchorlock/>
          </v:shape>
        </w:pict>
      </w:r>
    </w:p>
    <w:p>
      <w:pPr>
        <w:spacing w:line="600" w:lineRule="exact"/>
        <w:outlineLvl w:val="1"/>
        <w:rPr>
          <w:rFonts w:ascii="黑体" w:hAnsi="黑体" w:eastAsia="黑体"/>
          <w:color w:val="000000"/>
          <w:sz w:val="32"/>
          <w:szCs w:val="32"/>
        </w:rPr>
      </w:pPr>
      <w:bookmarkStart w:id="36" w:name="_Toc15377209"/>
      <w:bookmarkStart w:id="37" w:name="_Toc15396607"/>
    </w:p>
    <w:p>
      <w:pPr>
        <w:spacing w:line="600" w:lineRule="exact"/>
        <w:outlineLvl w:val="1"/>
        <w:rPr>
          <w:rStyle w:val="19"/>
          <w:rFonts w:ascii="黑体" w:hAnsi="黑体" w:eastAsia="黑体"/>
          <w:b w:val="0"/>
        </w:rPr>
      </w:pPr>
      <w:r>
        <w:rPr>
          <w:rFonts w:hint="eastAsia" w:ascii="黑体" w:hAnsi="黑体" w:eastAsia="黑体"/>
          <w:color w:val="000000"/>
          <w:sz w:val="32"/>
          <w:szCs w:val="32"/>
          <w:u w:val="thick" w:color="FFB03A"/>
          <w:shd w:val="clear" w:fill="FFEFD8"/>
        </w:rPr>
        <w:t>五、</w:t>
      </w:r>
      <w:r>
        <w:rPr>
          <w:rFonts w:hint="eastAsia" w:ascii="黑体" w:hAnsi="黑体" w:eastAsia="黑体"/>
          <w:b/>
          <w:color w:val="000000"/>
          <w:sz w:val="32"/>
          <w:szCs w:val="32"/>
        </w:rPr>
        <w:t>一</w:t>
      </w:r>
      <w:r>
        <w:rPr>
          <w:rStyle w:val="19"/>
          <w:rFonts w:hint="eastAsia" w:ascii="黑体" w:hAnsi="黑体" w:eastAsia="黑体"/>
          <w:b w:val="0"/>
        </w:rPr>
        <w:t>般公共预算</w:t>
      </w:r>
      <w:r>
        <w:rPr>
          <w:rFonts w:hint="eastAsia" w:ascii="黑体" w:hAnsi="黑体" w:eastAsia="黑体"/>
          <w:sz w:val="32"/>
          <w:szCs w:val="32"/>
        </w:rPr>
        <w:t>财政</w:t>
      </w:r>
      <w:r>
        <w:rPr>
          <w:rStyle w:val="19"/>
          <w:rFonts w:hint="eastAsia" w:ascii="黑体" w:hAnsi="黑体" w:eastAsia="黑体"/>
          <w:b w:val="0"/>
        </w:rPr>
        <w:t>拨款</w:t>
      </w:r>
      <w:r>
        <w:rPr>
          <w:rFonts w:hint="eastAsia" w:ascii="黑体" w:hAnsi="黑体" w:eastAsia="黑体"/>
          <w:sz w:val="32"/>
          <w:szCs w:val="32"/>
        </w:rPr>
        <w:t>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2021年一般公共预算财政拨款支出2967.86万元，占本年支出合计的93.13</w:t>
      </w:r>
      <w:r>
        <w:rPr>
          <w:rFonts w:ascii="仿宋" w:hAnsi="仿宋" w:eastAsia="仿宋"/>
          <w:color w:val="000000"/>
          <w:sz w:val="32"/>
          <w:szCs w:val="32"/>
        </w:rPr>
        <w:t>%</w:t>
      </w:r>
      <w:r>
        <w:rPr>
          <w:rFonts w:hint="eastAsia" w:ascii="仿宋" w:hAnsi="仿宋" w:eastAsia="仿宋"/>
          <w:color w:val="000000"/>
          <w:sz w:val="32"/>
          <w:szCs w:val="32"/>
        </w:rPr>
        <w:t>。与2020年一般公共预算财政拨款支出1643.31万元相比，一般公共预算财政拨款支出增加1324.55万元，增长80.6</w:t>
      </w:r>
      <w:r>
        <w:rPr>
          <w:rFonts w:ascii="仿宋" w:hAnsi="仿宋" w:eastAsia="仿宋"/>
          <w:color w:val="000000"/>
          <w:sz w:val="32"/>
          <w:szCs w:val="32"/>
        </w:rPr>
        <w:t>%</w:t>
      </w:r>
      <w:r>
        <w:rPr>
          <w:rFonts w:hint="eastAsia" w:ascii="仿宋" w:hAnsi="仿宋" w:eastAsia="仿宋"/>
          <w:color w:val="000000"/>
          <w:sz w:val="32"/>
          <w:szCs w:val="32"/>
        </w:rPr>
        <w:t>。主要变动原因是</w:t>
      </w:r>
      <w:bookmarkStart w:id="39" w:name="_Hlk83657553"/>
      <w:r>
        <w:rPr>
          <w:rFonts w:hint="eastAsia" w:ascii="仿宋" w:hAnsi="仿宋" w:eastAsia="仿宋"/>
          <w:color w:val="000000"/>
          <w:sz w:val="32"/>
          <w:szCs w:val="32"/>
        </w:rPr>
        <w:t>农林水支出增加。</w:t>
      </w:r>
      <w:bookmarkEnd w:id="39"/>
    </w:p>
    <w:p>
      <w:pPr>
        <w:spacing w:line="600" w:lineRule="exact"/>
        <w:ind w:firstLine="640"/>
        <w:rPr>
          <w:rFonts w:ascii="仿宋" w:hAnsi="仿宋" w:eastAsia="仿宋"/>
          <w:color w:val="000000"/>
          <w:sz w:val="32"/>
          <w:szCs w:val="32"/>
        </w:rPr>
      </w:pPr>
      <w:r>
        <w:pict>
          <v:shape id="_x0000_s1218" o:spid="_x0000_s1218" o:spt="75" type="#_x0000_t75" style="position:absolute;left:0pt;margin-left:31.3pt;margin-top:24.65pt;height:217.5pt;width:361.5pt;z-index:251660288;mso-width-relative:page;mso-height-relative:page;" filled="f" o:preferrelative="t" stroked="f" coordsize="21600,21600">
            <v:path/>
            <v:fill on="f" focussize="0,0"/>
            <v:stroke on="f" joinstyle="miter"/>
            <v:imagedata r:id="rId12" o:title=""/>
            <o:lock v:ext="edit" aspectratio="t"/>
          </v:shape>
        </w:pic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outlineLvl w:val="2"/>
        <w:rPr>
          <w:rFonts w:ascii="仿宋" w:hAnsi="仿宋" w:eastAsia="仿宋"/>
          <w:b/>
          <w:color w:val="000000"/>
          <w:sz w:val="32"/>
          <w:szCs w:val="32"/>
        </w:rPr>
      </w:pPr>
      <w:bookmarkStart w:id="40" w:name="_Toc15377211"/>
      <w:r>
        <w:rPr>
          <w:rFonts w:hint="eastAsia" w:ascii="仿宋" w:hAnsi="仿宋" w:eastAsia="仿宋"/>
          <w:b/>
          <w:color w:val="000000"/>
          <w:sz w:val="32"/>
          <w:szCs w:val="32"/>
        </w:rPr>
        <w:t>（二）一般公共预算财政拨款支出决算结构情况</w:t>
      </w:r>
      <w:bookmarkEnd w:id="40"/>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2021年一般公共预算财政拨款支出2967.86万元，主要用于以下方面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支出470.81万元，占15.86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592.7万元，占19.97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w:t>
      </w:r>
      <w:r>
        <w:rPr>
          <w:rFonts w:hint="eastAsia" w:ascii="仿宋" w:hAnsi="仿宋" w:eastAsia="仿宋"/>
          <w:color w:val="000000"/>
          <w:sz w:val="32"/>
          <w:szCs w:val="32"/>
        </w:rPr>
        <w:t>支出4万元，占0.13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支出165.3万元，占5.58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卫生健康（类）</w:t>
      </w:r>
      <w:r>
        <w:rPr>
          <w:rFonts w:hint="eastAsia" w:ascii="仿宋" w:hAnsi="仿宋" w:eastAsia="仿宋"/>
          <w:color w:val="000000"/>
          <w:sz w:val="32"/>
          <w:szCs w:val="32"/>
        </w:rPr>
        <w:t>支出186.29万元，占6.28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农林水支出（类）</w:t>
      </w:r>
      <w:r>
        <w:rPr>
          <w:rFonts w:hint="eastAsia" w:ascii="仿宋" w:hAnsi="仿宋" w:eastAsia="仿宋"/>
          <w:color w:val="000000"/>
          <w:sz w:val="32"/>
          <w:szCs w:val="32"/>
        </w:rPr>
        <w:t>1042.66万元，占35.13%；</w:t>
      </w:r>
      <w:r>
        <w:rPr>
          <w:rFonts w:hint="eastAsia" w:ascii="仿宋" w:hAnsi="仿宋" w:eastAsia="仿宋"/>
          <w:b/>
          <w:bCs/>
          <w:color w:val="000000"/>
          <w:sz w:val="32"/>
          <w:szCs w:val="32"/>
        </w:rPr>
        <w:t>商业服务业等支出（类）</w:t>
      </w:r>
      <w:r>
        <w:rPr>
          <w:rFonts w:hint="eastAsia" w:ascii="仿宋" w:hAnsi="仿宋" w:eastAsia="仿宋"/>
          <w:color w:val="000000"/>
          <w:sz w:val="32"/>
          <w:szCs w:val="32"/>
        </w:rPr>
        <w:t>10万元，占0.33%；</w:t>
      </w:r>
      <w:r>
        <w:rPr>
          <w:rFonts w:hint="eastAsia" w:ascii="仿宋" w:hAnsi="仿宋" w:eastAsia="仿宋"/>
          <w:b/>
          <w:bCs/>
          <w:color w:val="000000"/>
          <w:sz w:val="32"/>
          <w:szCs w:val="32"/>
        </w:rPr>
        <w:t>住房保障支出（类）</w:t>
      </w:r>
      <w:r>
        <w:rPr>
          <w:rFonts w:hint="eastAsia" w:ascii="仿宋" w:hAnsi="仿宋" w:eastAsia="仿宋"/>
          <w:color w:val="000000"/>
          <w:sz w:val="32"/>
          <w:szCs w:val="32"/>
        </w:rPr>
        <w:t>496.12万元，占16.72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pict>
          <v:shape id="_x0000_s1219" o:spid="_x0000_s1219" o:spt="75" type="#_x0000_t75" style="position:absolute;left:0pt;margin-left:32pt;margin-top:-234pt;height:258pt;width:393pt;z-index:251661312;mso-width-relative:page;mso-height-relative:page;" filled="f" o:preferrelative="t" stroked="f" coordsize="21600,21600">
            <v:path/>
            <v:fill on="f" focussize="0,0"/>
            <v:stroke on="f" joinstyle="miter"/>
            <v:imagedata r:id="rId13" o:title=""/>
            <o:lock v:ext="edit" aspectratio="t"/>
          </v:shape>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outlineLvl w:val="2"/>
        <w:rPr>
          <w:rFonts w:ascii="仿宋" w:hAnsi="仿宋" w:eastAsia="仿宋"/>
          <w:b/>
          <w:color w:val="000000"/>
          <w:sz w:val="32"/>
          <w:szCs w:val="32"/>
        </w:rPr>
      </w:pPr>
      <w:bookmarkStart w:id="41" w:name="_Toc15377212"/>
      <w:r>
        <w:rPr>
          <w:rFonts w:hint="eastAsia" w:ascii="仿宋" w:hAnsi="仿宋" w:eastAsia="仿宋"/>
          <w:b/>
          <w:color w:val="000000"/>
          <w:sz w:val="32"/>
          <w:szCs w:val="32"/>
        </w:rPr>
        <w:t>（三）一般公共预算财政拨款支出决算具体情况</w:t>
      </w:r>
      <w:bookmarkEnd w:id="41"/>
    </w:p>
    <w:p>
      <w:pPr>
        <w:spacing w:line="600" w:lineRule="exact"/>
        <w:ind w:firstLine="640"/>
        <w:rPr>
          <w:rFonts w:ascii="仿宋" w:hAnsi="仿宋" w:eastAsia="仿宋"/>
          <w:color w:val="000000"/>
          <w:sz w:val="32"/>
          <w:szCs w:val="32"/>
        </w:rPr>
      </w:pPr>
      <w:bookmarkStart w:id="42" w:name="_Toc15378460"/>
      <w:bookmarkStart w:id="43" w:name="_Toc15377213"/>
      <w:bookmarkStart w:id="44" w:name="_Toc15377444"/>
      <w:r>
        <w:rPr>
          <w:rFonts w:hint="eastAsia" w:ascii="仿宋" w:hAnsi="仿宋" w:eastAsia="仿宋"/>
          <w:color w:val="000000"/>
          <w:sz w:val="32"/>
          <w:szCs w:val="32"/>
        </w:rPr>
        <w:t>2021年一般公共预算支出决算数为2967.86万元，完成预算的100%。其中：</w:t>
      </w:r>
    </w:p>
    <w:p>
      <w:pPr>
        <w:numPr>
          <w:ilvl w:val="0"/>
          <w:numId w:val="3"/>
        </w:numPr>
        <w:ind w:firstLine="643"/>
        <w:rPr>
          <w:rFonts w:ascii="仿宋" w:hAnsi="仿宋" w:eastAsia="仿宋"/>
          <w:bCs/>
          <w:color w:val="000000"/>
          <w:sz w:val="32"/>
          <w:szCs w:val="32"/>
        </w:rPr>
      </w:pPr>
      <w:r>
        <w:rPr>
          <w:rFonts w:hint="eastAsia" w:ascii="仿宋" w:hAnsi="仿宋" w:eastAsia="仿宋"/>
          <w:b/>
          <w:bCs/>
          <w:color w:val="000000"/>
          <w:sz w:val="32"/>
          <w:szCs w:val="32"/>
        </w:rPr>
        <w:t>一般公共服务支出（类）政府办公厅（室）及相关机构事务（款）行政运行（项）:</w:t>
      </w:r>
      <w:r>
        <w:rPr>
          <w:rFonts w:hint="eastAsia" w:ascii="仿宋" w:hAnsi="仿宋" w:eastAsia="仿宋"/>
          <w:color w:val="000000"/>
          <w:sz w:val="32"/>
          <w:szCs w:val="32"/>
        </w:rPr>
        <w:t>支出决算为345.85万元，完成预算100%。</w:t>
      </w:r>
    </w:p>
    <w:p>
      <w:pPr>
        <w:numPr>
          <w:ilvl w:val="0"/>
          <w:numId w:val="3"/>
        </w:numPr>
        <w:ind w:firstLine="643"/>
        <w:rPr>
          <w:rFonts w:ascii="仿宋" w:hAnsi="仿宋" w:eastAsia="仿宋"/>
          <w:color w:val="000000"/>
          <w:sz w:val="32"/>
          <w:szCs w:val="32"/>
        </w:rPr>
      </w:pPr>
      <w:r>
        <w:rPr>
          <w:rFonts w:hint="eastAsia" w:ascii="仿宋" w:hAnsi="仿宋" w:eastAsia="仿宋"/>
          <w:b/>
          <w:bCs/>
          <w:color w:val="000000"/>
          <w:sz w:val="32"/>
          <w:szCs w:val="32"/>
        </w:rPr>
        <w:t>一般公共服务支出（类）政府办公厅（室）及相关机构事务（款）一般行政管理事务（项）:</w:t>
      </w:r>
      <w:r>
        <w:rPr>
          <w:rFonts w:hint="eastAsia" w:ascii="仿宋" w:hAnsi="仿宋" w:eastAsia="仿宋"/>
          <w:color w:val="000000"/>
          <w:sz w:val="32"/>
          <w:szCs w:val="32"/>
        </w:rPr>
        <w:t>支出决算为2万元，完成预算100%。</w:t>
      </w:r>
    </w:p>
    <w:p>
      <w:pPr>
        <w:numPr>
          <w:ilvl w:val="0"/>
          <w:numId w:val="3"/>
        </w:numPr>
        <w:ind w:firstLine="643"/>
        <w:rPr>
          <w:rFonts w:ascii="仿宋" w:hAnsi="仿宋" w:eastAsia="仿宋"/>
          <w:color w:val="000000"/>
          <w:sz w:val="32"/>
          <w:szCs w:val="32"/>
        </w:rPr>
      </w:pPr>
      <w:r>
        <w:rPr>
          <w:rFonts w:hint="eastAsia" w:ascii="仿宋" w:hAnsi="仿宋" w:eastAsia="仿宋"/>
          <w:b/>
          <w:bCs/>
          <w:color w:val="000000"/>
          <w:sz w:val="32"/>
          <w:szCs w:val="32"/>
        </w:rPr>
        <w:t>一般公共服务支出（类）政府办公厅（室）及相关机构事务（款）事业运行（项）:</w:t>
      </w:r>
      <w:r>
        <w:rPr>
          <w:rFonts w:hint="eastAsia" w:ascii="仿宋" w:hAnsi="仿宋" w:eastAsia="仿宋"/>
          <w:color w:val="000000"/>
          <w:sz w:val="32"/>
          <w:szCs w:val="32"/>
        </w:rPr>
        <w:t>支出决算为122.96万元，完成预算100%。</w:t>
      </w:r>
    </w:p>
    <w:p>
      <w:pPr>
        <w:numPr>
          <w:ilvl w:val="0"/>
          <w:numId w:val="3"/>
        </w:numPr>
        <w:ind w:firstLine="643"/>
        <w:rPr>
          <w:rFonts w:ascii="仿宋" w:hAnsi="仿宋" w:eastAsia="仿宋"/>
          <w:color w:val="000000"/>
          <w:sz w:val="32"/>
          <w:szCs w:val="32"/>
        </w:rPr>
      </w:pPr>
      <w:r>
        <w:rPr>
          <w:rFonts w:hint="eastAsia" w:ascii="仿宋" w:hAnsi="仿宋" w:eastAsia="仿宋"/>
          <w:b/>
          <w:bCs/>
          <w:color w:val="000000"/>
          <w:sz w:val="32"/>
          <w:szCs w:val="32"/>
        </w:rPr>
        <w:t>教育支出（类）普通教育（款）学前教育（项）:</w:t>
      </w:r>
      <w:r>
        <w:rPr>
          <w:rFonts w:hint="eastAsia" w:ascii="仿宋" w:hAnsi="仿宋" w:eastAsia="仿宋"/>
          <w:color w:val="000000"/>
          <w:sz w:val="32"/>
          <w:szCs w:val="32"/>
        </w:rPr>
        <w:t>支出决算为7.64万元，完成预算的100%。</w:t>
      </w:r>
    </w:p>
    <w:p>
      <w:pPr>
        <w:numPr>
          <w:ilvl w:val="0"/>
          <w:numId w:val="3"/>
        </w:numPr>
        <w:ind w:firstLine="643"/>
        <w:rPr>
          <w:rFonts w:ascii="仿宋" w:hAnsi="仿宋" w:eastAsia="仿宋"/>
          <w:color w:val="000000"/>
          <w:sz w:val="32"/>
          <w:szCs w:val="32"/>
        </w:rPr>
      </w:pPr>
      <w:r>
        <w:rPr>
          <w:rFonts w:hint="eastAsia" w:ascii="仿宋" w:hAnsi="仿宋" w:eastAsia="仿宋"/>
          <w:b/>
          <w:bCs/>
          <w:color w:val="000000"/>
          <w:sz w:val="32"/>
          <w:szCs w:val="32"/>
        </w:rPr>
        <w:t>教育支出（类）普通教育（款）小学教育（项）:</w:t>
      </w:r>
      <w:r>
        <w:rPr>
          <w:rFonts w:hint="eastAsia" w:ascii="仿宋" w:hAnsi="仿宋" w:eastAsia="仿宋"/>
          <w:color w:val="000000"/>
          <w:sz w:val="32"/>
          <w:szCs w:val="32"/>
        </w:rPr>
        <w:t>支出决算为541.51万元，完成预算的100%。</w:t>
      </w:r>
    </w:p>
    <w:p>
      <w:pPr>
        <w:numPr>
          <w:ilvl w:val="0"/>
          <w:numId w:val="3"/>
        </w:numPr>
        <w:ind w:firstLine="643"/>
        <w:rPr>
          <w:rFonts w:ascii="仿宋" w:hAnsi="仿宋" w:eastAsia="仿宋"/>
          <w:bCs/>
          <w:color w:val="000000"/>
          <w:sz w:val="32"/>
          <w:szCs w:val="32"/>
        </w:rPr>
      </w:pPr>
      <w:r>
        <w:rPr>
          <w:rFonts w:hint="eastAsia" w:ascii="仿宋" w:hAnsi="仿宋" w:eastAsia="仿宋"/>
          <w:b/>
          <w:bCs/>
          <w:color w:val="000000"/>
          <w:sz w:val="32"/>
          <w:szCs w:val="32"/>
        </w:rPr>
        <w:t>教育支出（类）普通教育（款）其他普通教育支出（项）:</w:t>
      </w:r>
      <w:r>
        <w:rPr>
          <w:rFonts w:hint="eastAsia" w:ascii="仿宋" w:hAnsi="仿宋" w:eastAsia="仿宋"/>
          <w:color w:val="000000"/>
          <w:sz w:val="32"/>
          <w:szCs w:val="32"/>
        </w:rPr>
        <w:t>支出决算为43.55万元，完成预算100%。</w:t>
      </w:r>
    </w:p>
    <w:p>
      <w:pPr>
        <w:numPr>
          <w:ilvl w:val="0"/>
          <w:numId w:val="3"/>
        </w:numPr>
        <w:ind w:firstLine="643"/>
        <w:rPr>
          <w:rFonts w:ascii="仿宋" w:hAnsi="仿宋" w:eastAsia="仿宋"/>
          <w:bCs/>
          <w:color w:val="000000"/>
          <w:sz w:val="32"/>
          <w:szCs w:val="32"/>
        </w:rPr>
      </w:pPr>
      <w:r>
        <w:rPr>
          <w:rFonts w:hint="eastAsia" w:ascii="仿宋" w:hAnsi="仿宋" w:eastAsia="仿宋"/>
          <w:b/>
          <w:bCs/>
          <w:color w:val="000000"/>
          <w:sz w:val="32"/>
          <w:szCs w:val="32"/>
        </w:rPr>
        <w:t>文化旅游体育与传媒（类）文化和旅游（款）群众文化（项）:</w:t>
      </w:r>
      <w:r>
        <w:rPr>
          <w:rFonts w:hint="eastAsia" w:ascii="仿宋" w:hAnsi="仿宋" w:eastAsia="仿宋"/>
          <w:color w:val="000000"/>
          <w:sz w:val="32"/>
          <w:szCs w:val="32"/>
        </w:rPr>
        <w:t>支出决算为14.53万元，完成预算100%。</w:t>
      </w:r>
    </w:p>
    <w:p>
      <w:pPr>
        <w:numPr>
          <w:ilvl w:val="0"/>
          <w:numId w:val="3"/>
        </w:numPr>
        <w:ind w:firstLine="643"/>
        <w:rPr>
          <w:rFonts w:ascii="仿宋" w:hAnsi="仿宋" w:eastAsia="仿宋"/>
          <w:bCs/>
          <w:color w:val="000000"/>
          <w:sz w:val="32"/>
          <w:szCs w:val="32"/>
        </w:rPr>
      </w:pPr>
      <w:r>
        <w:rPr>
          <w:rFonts w:hint="eastAsia" w:ascii="仿宋" w:hAnsi="仿宋" w:eastAsia="仿宋"/>
          <w:b/>
          <w:bCs/>
          <w:color w:val="000000"/>
          <w:sz w:val="32"/>
          <w:szCs w:val="32"/>
        </w:rPr>
        <w:t>文化旅游体育与传媒（类）文化和旅游（款）其他文化旅游体育与传媒支出（项）:</w:t>
      </w:r>
      <w:r>
        <w:rPr>
          <w:rFonts w:hint="eastAsia" w:ascii="仿宋" w:hAnsi="仿宋" w:eastAsia="仿宋"/>
          <w:color w:val="000000"/>
          <w:sz w:val="32"/>
          <w:szCs w:val="32"/>
        </w:rPr>
        <w:t>支出决算为4万元，完成预算100%。</w:t>
      </w:r>
    </w:p>
    <w:p>
      <w:pPr>
        <w:numPr>
          <w:ilvl w:val="0"/>
          <w:numId w:val="3"/>
        </w:numPr>
        <w:ind w:firstLine="643"/>
        <w:rPr>
          <w:rFonts w:ascii="仿宋" w:hAnsi="仿宋" w:eastAsia="仿宋"/>
          <w:b/>
          <w:bCs/>
          <w:color w:val="000000"/>
          <w:sz w:val="32"/>
          <w:szCs w:val="32"/>
        </w:rPr>
      </w:pPr>
      <w:r>
        <w:rPr>
          <w:rFonts w:hint="eastAsia" w:ascii="仿宋" w:hAnsi="仿宋" w:eastAsia="仿宋"/>
          <w:b/>
          <w:bCs/>
          <w:color w:val="000000"/>
          <w:sz w:val="32"/>
          <w:szCs w:val="32"/>
        </w:rPr>
        <w:t>社会保障和就业支出（类）行政事业单位养老支出（款）机关事业单位基本养老保险缴费支出（项）:</w:t>
      </w:r>
      <w:r>
        <w:rPr>
          <w:rFonts w:hint="eastAsia" w:ascii="仿宋" w:hAnsi="仿宋" w:eastAsia="仿宋"/>
          <w:color w:val="000000"/>
          <w:sz w:val="32"/>
          <w:szCs w:val="32"/>
        </w:rPr>
        <w:t>支出决算为93.48万元，完成预算100%。</w:t>
      </w:r>
    </w:p>
    <w:p>
      <w:pPr>
        <w:pStyle w:val="3"/>
        <w:spacing w:before="93"/>
        <w:ind w:firstLine="643" w:firstLineChars="200"/>
      </w:pPr>
      <w:r>
        <w:rPr>
          <w:rFonts w:hint="eastAsia" w:ascii="仿宋" w:hAnsi="仿宋" w:eastAsia="仿宋"/>
          <w:b/>
          <w:bCs/>
          <w:color w:val="000000"/>
          <w:sz w:val="32"/>
          <w:szCs w:val="32"/>
        </w:rPr>
        <w:t>10.社会保障和就业支出（类）行政事业单位养老支出（款）机关事业单位职业年金缴费支出（项）:</w:t>
      </w:r>
      <w:r>
        <w:rPr>
          <w:rFonts w:hint="eastAsia" w:ascii="仿宋" w:hAnsi="仿宋" w:eastAsia="仿宋"/>
          <w:color w:val="000000"/>
          <w:sz w:val="32"/>
          <w:szCs w:val="32"/>
        </w:rPr>
        <w:t>支出决算为34.2万元，完成预算的100%</w:t>
      </w:r>
      <w:r>
        <w:t>。</w:t>
      </w:r>
    </w:p>
    <w:p>
      <w:pPr>
        <w:pStyle w:val="3"/>
        <w:spacing w:before="93"/>
        <w:ind w:firstLine="643" w:firstLineChars="200"/>
        <w:rPr>
          <w:rFonts w:ascii="仿宋" w:hAnsi="仿宋" w:eastAsia="仿宋"/>
          <w:color w:val="000000"/>
          <w:kern w:val="2"/>
          <w:sz w:val="32"/>
          <w:szCs w:val="32"/>
        </w:rPr>
      </w:pPr>
      <w:r>
        <w:rPr>
          <w:rFonts w:hint="eastAsia" w:ascii="仿宋" w:hAnsi="仿宋" w:eastAsia="仿宋"/>
          <w:b/>
          <w:bCs/>
          <w:color w:val="000000"/>
          <w:sz w:val="32"/>
          <w:szCs w:val="32"/>
        </w:rPr>
        <w:t>11.社会保障和就业支出（类）就业补助（款）公益性岗位补贴（项）:</w:t>
      </w:r>
      <w:r>
        <w:rPr>
          <w:rFonts w:hint="eastAsia" w:ascii="仿宋" w:hAnsi="仿宋" w:eastAsia="仿宋"/>
          <w:color w:val="000000"/>
          <w:kern w:val="2"/>
          <w:sz w:val="32"/>
          <w:szCs w:val="32"/>
        </w:rPr>
        <w:t>支出决算为33.12万元，完成预算100%。</w:t>
      </w:r>
    </w:p>
    <w:p>
      <w:pPr>
        <w:pStyle w:val="3"/>
        <w:spacing w:before="93"/>
        <w:ind w:firstLine="643" w:firstLineChars="200"/>
        <w:rPr>
          <w:rFonts w:ascii="仿宋" w:hAnsi="仿宋" w:eastAsia="仿宋"/>
          <w:color w:val="000000"/>
          <w:kern w:val="2"/>
          <w:sz w:val="32"/>
          <w:szCs w:val="32"/>
        </w:rPr>
      </w:pPr>
      <w:r>
        <w:rPr>
          <w:rFonts w:hint="eastAsia" w:ascii="仿宋" w:hAnsi="仿宋" w:eastAsia="仿宋"/>
          <w:b/>
          <w:bCs/>
          <w:color w:val="000000"/>
          <w:sz w:val="32"/>
          <w:szCs w:val="32"/>
        </w:rPr>
        <w:t>12.社会保障和就业支出（类）就业补助（款）其他就业补助支出（项）:</w:t>
      </w:r>
      <w:r>
        <w:rPr>
          <w:rFonts w:hint="eastAsia" w:ascii="仿宋" w:hAnsi="仿宋" w:eastAsia="仿宋"/>
          <w:color w:val="000000"/>
          <w:kern w:val="2"/>
          <w:sz w:val="32"/>
          <w:szCs w:val="32"/>
        </w:rPr>
        <w:t>支出决算为4.5万元，完成预算100%。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13.卫生健康支出（类）基层医疗卫生机构（款）乡镇卫生院（项）:</w:t>
      </w:r>
      <w:r>
        <w:rPr>
          <w:rFonts w:hint="eastAsia" w:ascii="仿宋" w:hAnsi="仿宋" w:eastAsia="仿宋"/>
          <w:color w:val="000000"/>
          <w:kern w:val="2"/>
          <w:sz w:val="32"/>
          <w:szCs w:val="32"/>
        </w:rPr>
        <w:t>支出决算为70.53万元，完成预算100%。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14.卫生健康支出（类）基层医疗卫生机构（款）其他基层医疗卫生机构支出（项）:</w:t>
      </w:r>
      <w:r>
        <w:rPr>
          <w:rFonts w:hint="eastAsia" w:ascii="仿宋" w:hAnsi="仿宋" w:eastAsia="仿宋"/>
          <w:color w:val="000000"/>
          <w:kern w:val="2"/>
          <w:sz w:val="32"/>
          <w:szCs w:val="32"/>
        </w:rPr>
        <w:t>支出决算为11.08万元，完成预算100%。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15.卫生健康支出（类）公共卫生（款）基本公共卫生服务（项）:</w:t>
      </w:r>
      <w:r>
        <w:rPr>
          <w:rFonts w:hint="eastAsia" w:ascii="仿宋" w:hAnsi="仿宋" w:eastAsia="仿宋"/>
          <w:color w:val="000000"/>
          <w:kern w:val="2"/>
          <w:sz w:val="32"/>
          <w:szCs w:val="32"/>
        </w:rPr>
        <w:t>支出决算为44.99万元，完成预算100%。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16.卫生健康支出（类）行政事业单位医疗（款）行政单位医疗（项）:</w:t>
      </w:r>
      <w:r>
        <w:rPr>
          <w:rFonts w:hint="eastAsia" w:ascii="仿宋" w:hAnsi="仿宋" w:eastAsia="仿宋"/>
          <w:color w:val="000000"/>
          <w:kern w:val="2"/>
          <w:sz w:val="32"/>
          <w:szCs w:val="32"/>
        </w:rPr>
        <w:t>支出决算为13.24万元，完成预算100%。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17.卫生健康支出（类）行政事业单位医疗（款）事业单位医疗</w:t>
      </w:r>
      <w:r>
        <w:t>：</w:t>
      </w:r>
      <w:r>
        <w:rPr>
          <w:rFonts w:hint="eastAsia" w:ascii="仿宋" w:hAnsi="仿宋" w:eastAsia="仿宋"/>
          <w:color w:val="000000"/>
          <w:kern w:val="2"/>
          <w:sz w:val="32"/>
          <w:szCs w:val="32"/>
        </w:rPr>
        <w:t>支出决算为43.85万元，完成预算100%。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18.卫生健康支出（类）行政事业单位医疗补助（款）公务员医疗补助（项）:</w:t>
      </w:r>
      <w:r>
        <w:rPr>
          <w:rFonts w:hint="eastAsia" w:ascii="仿宋" w:hAnsi="仿宋" w:eastAsia="仿宋"/>
          <w:color w:val="000000"/>
          <w:kern w:val="2"/>
          <w:sz w:val="32"/>
          <w:szCs w:val="32"/>
        </w:rPr>
        <w:t>支出决算为2.6万元，完成预算100%。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19.农林水支出（类）农业农村（款）其他农业农村（项）:</w:t>
      </w:r>
      <w:r>
        <w:rPr>
          <w:rFonts w:hint="eastAsia" w:ascii="仿宋" w:hAnsi="仿宋" w:eastAsia="仿宋"/>
          <w:color w:val="000000"/>
          <w:kern w:val="2"/>
          <w:sz w:val="32"/>
          <w:szCs w:val="32"/>
        </w:rPr>
        <w:t>支出决算为60万元，完成预算100%。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20.农林水支出（类）扶贫（款）农村基础设施建设（项）:</w:t>
      </w:r>
      <w:r>
        <w:rPr>
          <w:rFonts w:hint="eastAsia" w:ascii="仿宋" w:hAnsi="仿宋" w:eastAsia="仿宋"/>
          <w:color w:val="000000"/>
          <w:kern w:val="2"/>
          <w:sz w:val="32"/>
          <w:szCs w:val="32"/>
        </w:rPr>
        <w:t>支出决算为639.02万元，完成预算100%。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21.农林水支出（类）扶贫（款）生产发展（项）:</w:t>
      </w:r>
      <w:r>
        <w:rPr>
          <w:rFonts w:hint="eastAsia" w:ascii="仿宋" w:hAnsi="仿宋" w:eastAsia="仿宋"/>
          <w:color w:val="000000"/>
          <w:kern w:val="2"/>
          <w:sz w:val="32"/>
          <w:szCs w:val="32"/>
        </w:rPr>
        <w:t>支出决算为112.57万元，完成预算100%。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22.农林水支出（类）扶贫（款）其他扶贫支出（项）:</w:t>
      </w:r>
      <w:r>
        <w:rPr>
          <w:rFonts w:hint="eastAsia" w:ascii="仿宋" w:hAnsi="仿宋" w:eastAsia="仿宋"/>
          <w:color w:val="000000"/>
          <w:kern w:val="2"/>
          <w:sz w:val="32"/>
          <w:szCs w:val="32"/>
        </w:rPr>
        <w:t>支出决算为12.03万元，完成预算100%。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23.农林水支出（类）农村综合改革（款）对村民委员会和村党支部的补助（项）:</w:t>
      </w:r>
      <w:r>
        <w:rPr>
          <w:rFonts w:hint="eastAsia" w:ascii="仿宋" w:hAnsi="仿宋" w:eastAsia="仿宋"/>
          <w:color w:val="000000"/>
          <w:kern w:val="2"/>
          <w:sz w:val="32"/>
          <w:szCs w:val="32"/>
        </w:rPr>
        <w:t>支出决算为139.04万元，完成预算100%。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24.农林水支出（类）农村综合改革（款）对村集体经济组织的补助（项）:</w:t>
      </w:r>
      <w:r>
        <w:rPr>
          <w:rFonts w:hint="eastAsia" w:ascii="仿宋" w:hAnsi="仿宋" w:eastAsia="仿宋"/>
          <w:color w:val="000000"/>
          <w:kern w:val="2"/>
          <w:sz w:val="32"/>
          <w:szCs w:val="32"/>
        </w:rPr>
        <w:t>支出决算为80万元，完成预算100%。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25.商业服务业等（类）商业流通事务（款）其他商业流通事务（项）:</w:t>
      </w:r>
      <w:r>
        <w:rPr>
          <w:rFonts w:hint="eastAsia" w:ascii="仿宋" w:hAnsi="仿宋" w:eastAsia="仿宋"/>
          <w:color w:val="000000"/>
          <w:kern w:val="2"/>
          <w:sz w:val="32"/>
          <w:szCs w:val="32"/>
        </w:rPr>
        <w:t>支出决算为10万元，完成预算100%。</w:t>
      </w:r>
    </w:p>
    <w:p>
      <w:pPr>
        <w:pStyle w:val="3"/>
        <w:spacing w:before="93"/>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26.住房保障支出（类）保障性安居工程支出（款）农村危房改造（项）:</w:t>
      </w:r>
      <w:r>
        <w:rPr>
          <w:rFonts w:hint="eastAsia" w:ascii="仿宋" w:hAnsi="仿宋" w:eastAsia="仿宋"/>
          <w:color w:val="000000"/>
          <w:kern w:val="2"/>
          <w:sz w:val="32"/>
          <w:szCs w:val="32"/>
        </w:rPr>
        <w:t>支出决算为426万元，完成预算100%。</w:t>
      </w:r>
    </w:p>
    <w:bookmarkEnd w:id="42"/>
    <w:bookmarkEnd w:id="43"/>
    <w:bookmarkEnd w:id="44"/>
    <w:p>
      <w:pPr>
        <w:pStyle w:val="3"/>
        <w:spacing w:before="93"/>
        <w:ind w:firstLine="643" w:firstLineChars="200"/>
        <w:rPr>
          <w:rFonts w:ascii="仿宋" w:hAnsi="仿宋" w:eastAsia="仿宋"/>
          <w:b/>
          <w:bCs/>
          <w:color w:val="000000"/>
          <w:sz w:val="32"/>
          <w:szCs w:val="32"/>
        </w:rPr>
      </w:pPr>
      <w:bookmarkStart w:id="45" w:name="_Toc15377214"/>
      <w:bookmarkStart w:id="46" w:name="_Toc15396608"/>
      <w:r>
        <w:rPr>
          <w:rFonts w:hint="eastAsia" w:ascii="仿宋" w:hAnsi="仿宋" w:eastAsia="仿宋"/>
          <w:b/>
          <w:bCs/>
          <w:color w:val="000000"/>
          <w:sz w:val="32"/>
          <w:szCs w:val="32"/>
        </w:rPr>
        <w:t>27.住房保障支出（类）住房改革支出（款）住房公积金（项）:</w:t>
      </w:r>
      <w:r>
        <w:rPr>
          <w:rFonts w:hint="eastAsia" w:ascii="仿宋" w:hAnsi="仿宋" w:eastAsia="仿宋"/>
          <w:color w:val="000000"/>
          <w:kern w:val="2"/>
          <w:sz w:val="32"/>
          <w:szCs w:val="32"/>
        </w:rPr>
        <w:t>支出决算为70.12万元，完成预算100%。</w:t>
      </w:r>
    </w:p>
    <w:p>
      <w:pPr>
        <w:tabs>
          <w:tab w:val="right" w:pos="8306"/>
        </w:tabs>
        <w:spacing w:line="600" w:lineRule="exact"/>
        <w:ind w:firstLine="640"/>
        <w:outlineLvl w:val="1"/>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w:t>
      </w:r>
      <w:r>
        <w:rPr>
          <w:rFonts w:hint="eastAsia" w:ascii="黑体" w:hAnsi="黑体" w:eastAsia="黑体"/>
          <w:sz w:val="32"/>
          <w:szCs w:val="32"/>
        </w:rPr>
        <w:t>财政</w:t>
      </w:r>
      <w:r>
        <w:rPr>
          <w:rStyle w:val="19"/>
          <w:rFonts w:hint="eastAsia" w:ascii="黑体" w:hAnsi="黑体" w:eastAsia="黑体"/>
          <w:b w:val="0"/>
        </w:rPr>
        <w:t>拨款</w:t>
      </w:r>
      <w:r>
        <w:rPr>
          <w:rFonts w:hint="eastAsia" w:ascii="黑体" w:hAnsi="黑体" w:eastAsia="黑体"/>
          <w:sz w:val="32"/>
          <w:szCs w:val="32"/>
        </w:rPr>
        <w:t>基本支出决算情况说明</w:t>
      </w:r>
      <w:bookmarkEnd w:id="45"/>
      <w:bookmarkEnd w:id="46"/>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2021年一般公共预算财政拨款基本支出1401.55万元，其中：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1239.55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162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19"/>
          <w:rFonts w:ascii="黑体" w:hAnsi="黑体" w:eastAsia="黑体"/>
          <w:b w:val="0"/>
        </w:rPr>
      </w:pPr>
      <w:bookmarkStart w:id="47" w:name="_Toc15377215"/>
      <w:bookmarkStart w:id="48" w:name="_Toc15396609"/>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w:t>
      </w:r>
      <w:r>
        <w:rPr>
          <w:rFonts w:hint="eastAsia" w:ascii="黑体" w:hAnsi="黑体" w:eastAsia="黑体"/>
          <w:sz w:val="32"/>
          <w:szCs w:val="32"/>
        </w:rPr>
        <w:t>支出决算情况说明</w:t>
      </w:r>
      <w:bookmarkEnd w:id="47"/>
      <w:bookmarkEnd w:id="48"/>
    </w:p>
    <w:p>
      <w:pPr>
        <w:spacing w:line="600" w:lineRule="exact"/>
        <w:ind w:firstLine="640"/>
        <w:outlineLvl w:val="2"/>
        <w:rPr>
          <w:rFonts w:ascii="仿宋" w:hAnsi="仿宋" w:eastAsia="仿宋"/>
          <w:b/>
          <w:color w:val="000000"/>
          <w:sz w:val="32"/>
          <w:szCs w:val="32"/>
        </w:rPr>
      </w:pPr>
      <w:bookmarkStart w:id="49" w:name="_Toc15377216"/>
      <w:r>
        <w:rPr>
          <w:rFonts w:hint="eastAsia" w:ascii="仿宋" w:hAnsi="仿宋" w:eastAsia="仿宋"/>
          <w:b/>
          <w:color w:val="000000"/>
          <w:sz w:val="32"/>
          <w:szCs w:val="32"/>
        </w:rPr>
        <w:t>（一）“三公”经费财政拨款支出决算总体情况说明</w:t>
      </w:r>
      <w:bookmarkEnd w:id="49"/>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2021年“三公”经费财政拨款支出决算为2.26万元，完成预算的100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50" w:name="_Toc15377217"/>
      <w:r>
        <w:rPr>
          <w:rFonts w:hint="eastAsia" w:ascii="仿宋" w:hAnsi="仿宋" w:eastAsia="仿宋"/>
          <w:b/>
          <w:color w:val="000000"/>
          <w:sz w:val="32"/>
          <w:szCs w:val="32"/>
        </w:rPr>
        <w:t>（二）“三公”经费财政拨款支出决算具体情况说明</w:t>
      </w:r>
      <w:bookmarkEnd w:id="50"/>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；公务接待费支出决算2.26万元，占比</w:t>
      </w:r>
      <w:r>
        <w:rPr>
          <w:rFonts w:ascii="仿宋" w:hAnsi="仿宋" w:eastAsia="仿宋"/>
          <w:color w:val="000000"/>
          <w:sz w:val="32"/>
          <w:szCs w:val="32"/>
        </w:rPr>
        <w:t>100%</w:t>
      </w:r>
      <w:r>
        <w:rPr>
          <w:rFonts w:hint="eastAsia" w:ascii="仿宋" w:hAnsi="仿宋" w:eastAsia="仿宋"/>
          <w:color w:val="000000"/>
          <w:sz w:val="32"/>
          <w:szCs w:val="32"/>
        </w:rPr>
        <w:t>。具体情况如下：</w:t>
      </w: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pict>
          <v:shape id="_x0000_s1220" o:spid="_x0000_s1220" o:spt="75" type="#_x0000_t75" style="position:absolute;left:0pt;margin-left:32pt;margin-top:-193.5pt;height:217.5pt;width:361.5pt;z-index:251662336;mso-width-relative:page;mso-height-relative:page;" filled="f" o:preferrelative="t" stroked="f" coordsize="21600,21600">
            <v:path/>
            <v:fill on="f" focussize="0,0"/>
            <v:stroke on="f" joinstyle="miter"/>
            <v:imagedata r:id="rId14" o:title=""/>
            <o:lock v:ext="edit" aspectratio="t"/>
          </v:shape>
        </w:pict>
      </w:r>
    </w:p>
    <w:p>
      <w:pPr>
        <w:spacing w:line="600" w:lineRule="exact"/>
        <w:ind w:firstLine="643" w:firstLineChars="20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无因公出国（境）经费支出。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无公务用车购置及运行维护费支出</w:t>
      </w:r>
      <w:r>
        <w:rPr>
          <w:rFonts w:hint="eastAsia" w:ascii="仿宋_GB2312" w:eastAsia="仿宋_GB2312"/>
          <w:color w:val="000000"/>
          <w:sz w:val="32"/>
          <w:szCs w:val="32"/>
        </w:rPr>
        <w:t>。</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2.26万元，完成预算的100</w:t>
      </w:r>
      <w:r>
        <w:rPr>
          <w:rFonts w:ascii="仿宋_GB2312" w:eastAsia="仿宋_GB2312"/>
          <w:color w:val="000000"/>
          <w:sz w:val="32"/>
          <w:szCs w:val="32"/>
        </w:rPr>
        <w:t>%</w:t>
      </w:r>
      <w:r>
        <w:rPr>
          <w:rFonts w:hint="eastAsia" w:ascii="仿宋_GB2312" w:eastAsia="仿宋_GB2312"/>
          <w:color w:val="000000"/>
          <w:sz w:val="32"/>
          <w:szCs w:val="32"/>
        </w:rPr>
        <w:t>。公务接待费支出决算比2020年的1.8万元增加0.46万元，增长25.55%。主要原因是公务接待增加。其中：国内公务接待支出2.26万元，主要用于国内公务接待。国内公务接待86批次，723人次（不包括陪同人员），共计支出2.26万元。</w:t>
      </w:r>
    </w:p>
    <w:p>
      <w:pPr>
        <w:spacing w:line="600" w:lineRule="exact"/>
        <w:ind w:firstLine="640"/>
        <w:outlineLvl w:val="1"/>
        <w:rPr>
          <w:rStyle w:val="19"/>
          <w:rFonts w:ascii="黑体" w:hAnsi="黑体" w:eastAsia="黑体"/>
        </w:rPr>
      </w:pPr>
      <w:bookmarkStart w:id="51" w:name="_Toc15377218"/>
      <w:bookmarkStart w:id="52" w:name="_Toc15396610"/>
      <w:r>
        <w:rPr>
          <w:rFonts w:hint="eastAsia" w:ascii="黑体" w:eastAsia="黑体"/>
          <w:color w:val="000000"/>
          <w:sz w:val="32"/>
          <w:szCs w:val="32"/>
        </w:rPr>
        <w:t>八、</w:t>
      </w:r>
      <w:r>
        <w:rPr>
          <w:rStyle w:val="19"/>
          <w:rFonts w:hint="eastAsia" w:ascii="黑体" w:hAnsi="黑体" w:eastAsia="黑体"/>
          <w:b w:val="0"/>
        </w:rPr>
        <w:t>政府性基金预算</w:t>
      </w:r>
      <w:r>
        <w:rPr>
          <w:rFonts w:hint="eastAsia" w:ascii="黑体" w:hAnsi="黑体" w:eastAsia="黑体"/>
          <w:sz w:val="32"/>
          <w:szCs w:val="32"/>
        </w:rPr>
        <w:t>支出决算情况说明</w:t>
      </w:r>
      <w:bookmarkEnd w:id="51"/>
      <w:bookmarkEnd w:id="52"/>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2021年政府性基金预算拨款支出0万元。</w:t>
      </w:r>
    </w:p>
    <w:p>
      <w:pPr>
        <w:numPr>
          <w:numId w:val="0"/>
        </w:numPr>
        <w:spacing w:line="600" w:lineRule="exact"/>
        <w:outlineLvl w:val="1"/>
        <w:rPr>
          <w:rStyle w:val="19"/>
          <w:rFonts w:ascii="黑体" w:hAnsi="黑体" w:eastAsia="黑体"/>
          <w:b w:val="0"/>
        </w:rPr>
      </w:pPr>
      <w:bookmarkStart w:id="53" w:name="_Toc15396611"/>
      <w:bookmarkStart w:id="54" w:name="_Toc15377219"/>
      <w:r>
        <w:rPr>
          <w:rStyle w:val="19"/>
          <w:rFonts w:hint="eastAsia" w:ascii="黑体" w:hAnsi="黑体" w:eastAsia="黑体"/>
          <w:b w:val="0"/>
          <w:lang w:val="en-US" w:eastAsia="zh-CN"/>
        </w:rPr>
        <w:t>九、</w:t>
      </w:r>
      <w:r>
        <w:rPr>
          <w:rStyle w:val="19"/>
          <w:rFonts w:hint="eastAsia" w:ascii="黑体" w:hAnsi="黑体" w:eastAsia="黑体"/>
          <w:b w:val="0"/>
        </w:rPr>
        <w:t>国有资本经营预算</w:t>
      </w:r>
      <w:r>
        <w:rPr>
          <w:rFonts w:hint="eastAsia" w:ascii="黑体" w:hAnsi="黑体" w:eastAsia="黑体"/>
          <w:sz w:val="32"/>
          <w:szCs w:val="32"/>
        </w:rPr>
        <w:t>支出决算情况说明</w:t>
      </w:r>
      <w:bookmarkEnd w:id="53"/>
      <w:bookmarkEnd w:id="54"/>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2021年国有资本经营预算拨款支出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800" w:firstLineChars="250"/>
        <w:outlineLvl w:val="1"/>
        <w:rPr>
          <w:rStyle w:val="19"/>
          <w:rFonts w:ascii="黑体" w:hAnsi="黑体" w:eastAsia="黑体"/>
        </w:rPr>
      </w:pPr>
      <w:bookmarkStart w:id="55" w:name="_Toc15377221"/>
      <w:bookmarkStart w:id="56" w:name="_Toc15396612"/>
      <w:r>
        <w:rPr>
          <w:rFonts w:hint="eastAsia" w:ascii="黑体" w:hAnsi="黑体" w:eastAsia="黑体"/>
          <w:color w:val="000000"/>
          <w:sz w:val="32"/>
          <w:szCs w:val="32"/>
          <w:u w:val="none" w:color="FFB03A"/>
          <w:shd w:val="clear" w:fill="auto"/>
        </w:rPr>
        <w:t>十</w:t>
      </w:r>
      <w:r>
        <w:rPr>
          <w:rStyle w:val="19"/>
          <w:rFonts w:hint="eastAsia" w:ascii="黑体" w:hAnsi="黑体" w:eastAsia="黑体"/>
          <w:u w:val="none" w:color="FFB03A"/>
          <w:shd w:val="clear" w:fill="auto"/>
        </w:rPr>
        <w:t>、</w:t>
      </w:r>
      <w:r>
        <w:rPr>
          <w:rStyle w:val="19"/>
          <w:rFonts w:hint="eastAsia" w:ascii="黑体" w:hAnsi="黑体" w:eastAsia="黑体"/>
          <w:b w:val="0"/>
        </w:rPr>
        <w:t>其他重要事项的</w:t>
      </w:r>
      <w:r>
        <w:rPr>
          <w:rFonts w:hint="eastAsia" w:ascii="黑体" w:hAnsi="黑体" w:eastAsia="黑体"/>
          <w:sz w:val="32"/>
          <w:szCs w:val="32"/>
        </w:rPr>
        <w:t>情况说明</w:t>
      </w:r>
      <w:bookmarkEnd w:id="55"/>
      <w:bookmarkEnd w:id="56"/>
    </w:p>
    <w:p>
      <w:pPr>
        <w:spacing w:line="600" w:lineRule="exact"/>
        <w:ind w:firstLine="643" w:firstLineChars="200"/>
        <w:outlineLvl w:val="2"/>
        <w:rPr>
          <w:rFonts w:ascii="仿宋" w:hAnsi="仿宋" w:eastAsia="仿宋"/>
          <w:color w:val="000000"/>
          <w:sz w:val="32"/>
          <w:szCs w:val="32"/>
        </w:rPr>
      </w:pPr>
      <w:bookmarkStart w:id="57" w:name="_Toc15377222"/>
      <w:r>
        <w:rPr>
          <w:rFonts w:hint="eastAsia" w:ascii="仿宋" w:hAnsi="仿宋" w:eastAsia="仿宋"/>
          <w:b/>
          <w:color w:val="000000"/>
          <w:sz w:val="32"/>
          <w:szCs w:val="32"/>
        </w:rPr>
        <w:t>（一）机关运行经费支出情况</w:t>
      </w:r>
      <w:bookmarkEnd w:id="57"/>
    </w:p>
    <w:p>
      <w:pPr>
        <w:spacing w:line="600" w:lineRule="exact"/>
        <w:ind w:firstLine="640"/>
        <w:rPr>
          <w:rFonts w:ascii="仿宋" w:hAnsi="仿宋" w:eastAsia="仿宋"/>
          <w:color w:val="000000"/>
          <w:sz w:val="32"/>
          <w:szCs w:val="32"/>
        </w:rPr>
      </w:pPr>
      <w:r>
        <w:rPr>
          <w:rFonts w:hint="eastAsia" w:ascii="仿宋_GB2312" w:eastAsia="仿宋_GB2312"/>
          <w:color w:val="000000"/>
          <w:sz w:val="32"/>
          <w:szCs w:val="32"/>
        </w:rPr>
        <w:t>2021年，三溪镇机关运行经费支出1401.55万元，比2020年的</w:t>
      </w:r>
      <w:r>
        <w:rPr>
          <w:rFonts w:ascii="仿宋_GB2312" w:eastAsia="仿宋_GB2312"/>
          <w:color w:val="000000"/>
          <w:sz w:val="32"/>
          <w:szCs w:val="32"/>
        </w:rPr>
        <w:t>1194.81</w:t>
      </w:r>
      <w:r>
        <w:rPr>
          <w:rFonts w:hint="eastAsia" w:ascii="仿宋_GB2312" w:eastAsia="仿宋_GB2312"/>
          <w:color w:val="000000"/>
          <w:sz w:val="32"/>
          <w:szCs w:val="32"/>
        </w:rPr>
        <w:t>万元增加206.74万元，增长17.3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ascii="仿宋_GB2312" w:eastAsia="仿宋_GB2312"/>
          <w:color w:val="000000"/>
          <w:sz w:val="32"/>
          <w:szCs w:val="32"/>
        </w:rPr>
        <w:t>机关运行费用</w:t>
      </w:r>
      <w:r>
        <w:rPr>
          <w:rFonts w:hint="eastAsia" w:ascii="仿宋_GB2312" w:eastAsia="仿宋_GB2312"/>
          <w:color w:val="000000"/>
          <w:sz w:val="32"/>
          <w:szCs w:val="32"/>
        </w:rPr>
        <w:t>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3"/>
      <w:r>
        <w:rPr>
          <w:rFonts w:hint="eastAsia" w:ascii="仿宋" w:hAnsi="仿宋" w:eastAsia="仿宋"/>
          <w:b/>
          <w:color w:val="000000"/>
          <w:sz w:val="32"/>
          <w:szCs w:val="32"/>
        </w:rPr>
        <w:t>（二）政府采购支出情况</w:t>
      </w:r>
      <w:bookmarkEnd w:id="58"/>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2021年，三溪镇中心小学采购支出总额4.6万元，其中：政府采购货物支出4.6万元。主要用于采购办公设备。授予中小企业合同金额4.6万元，占政府采购支出总额的</w:t>
      </w:r>
      <w:r>
        <w:rPr>
          <w:rFonts w:ascii="仿宋_GB2312" w:eastAsia="仿宋_GB2312"/>
          <w:color w:val="000000"/>
          <w:sz w:val="32"/>
          <w:szCs w:val="32"/>
        </w:rPr>
        <w:t>100%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9" w:name="_Toc15377224"/>
      <w:r>
        <w:rPr>
          <w:rFonts w:hint="eastAsia" w:ascii="仿宋" w:hAnsi="仿宋" w:eastAsia="仿宋"/>
          <w:b/>
          <w:color w:val="000000"/>
          <w:sz w:val="32"/>
          <w:szCs w:val="32"/>
        </w:rPr>
        <w:t>（三）国有资产占有使用情况</w:t>
      </w:r>
      <w:bookmarkEnd w:id="59"/>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日，我镇共有车辆0辆。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2021年公益性岗位补贴、2021年农村基础设施建设、2021年其他普通教育支出、2021年度基本公共卫生服务等4个项目开展了预算事前绩效评估，对4个项目编制了绩效目标，预算执行过程中，选取3个项目开展绩效监控，年终执行完毕后，对16个项目开展了绩效目标完成情况自评。同时，本部门对2021年部门整体开展绩效自评，《2021年三溪镇整体绩效评价报告》见附件（第四部分）。</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eastAsia="仿宋_GB2312"/>
          <w:b/>
          <w:color w:val="000000"/>
          <w:sz w:val="32"/>
          <w:szCs w:val="32"/>
        </w:rPr>
      </w:pPr>
      <w:r>
        <w:br w:type="page"/>
      </w:r>
    </w:p>
    <w:p>
      <w:pPr>
        <w:numPr>
          <w:ilvl w:val="0"/>
          <w:numId w:val="4"/>
        </w:numPr>
        <w:spacing w:line="600" w:lineRule="exact"/>
        <w:ind w:firstLine="660" w:firstLineChars="150"/>
        <w:jc w:val="center"/>
        <w:outlineLvl w:val="0"/>
        <w:rPr>
          <w:rStyle w:val="18"/>
          <w:rFonts w:ascii="黑体" w:hAnsi="黑体" w:eastAsia="黑体"/>
          <w:b w:val="0"/>
        </w:rPr>
      </w:pPr>
      <w:bookmarkStart w:id="60" w:name="_Toc15396613"/>
      <w:bookmarkStart w:id="61" w:name="_Toc15377225"/>
      <w:r>
        <w:rPr>
          <w:rFonts w:hint="eastAsia" w:ascii="黑体" w:hAnsi="黑体" w:eastAsia="黑体"/>
          <w:color w:val="000000"/>
          <w:sz w:val="44"/>
          <w:szCs w:val="44"/>
        </w:rPr>
        <w:t>名</w:t>
      </w:r>
      <w:r>
        <w:rPr>
          <w:rStyle w:val="18"/>
          <w:rFonts w:hint="eastAsia" w:ascii="黑体" w:hAnsi="黑体" w:eastAsia="黑体"/>
          <w:b w:val="0"/>
        </w:rPr>
        <w:t>词解释</w:t>
      </w:r>
      <w:bookmarkEnd w:id="60"/>
      <w:bookmarkEnd w:id="61"/>
    </w:p>
    <w:p>
      <w:pPr>
        <w:spacing w:line="600" w:lineRule="exact"/>
        <w:jc w:val="left"/>
        <w:rPr>
          <w:rFonts w:ascii="宋体"/>
          <w:b/>
          <w:color w:val="000000"/>
          <w:sz w:val="44"/>
          <w:szCs w:val="44"/>
        </w:rPr>
      </w:pP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u w:val="none" w:color="FFB03A"/>
          <w:shd w:val="clear" w:fill="auto"/>
        </w:rPr>
        <w:t>9．</w:t>
      </w:r>
      <w:r>
        <w:rPr>
          <w:rFonts w:hint="eastAsia" w:ascii="仿宋_GB2312" w:eastAsia="仿宋_GB2312"/>
          <w:color w:val="000000"/>
          <w:sz w:val="32"/>
          <w:szCs w:val="32"/>
        </w:rPr>
        <w:t>一般公共服务（类）人大事务（款）行政运行（项）:指用于保障乡镇人大机构正常运转，用于行政运行方面的人员经费和日常运转经费支出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10．一般公共服务（类）政府办公厅（室）及相关机构事务（款）行政运行（项）:指用于保障乡镇政府机构正常运转，用于行政运行方面的人员经费和日常运转经费支出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11.一般公共服务（类）政府办公厅（室）及相关机构事务（款）一般行政管理事务（项）指为完成上级安排的特定工作和任务发生的支出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12.一般公共服务（类）政府办公厅（室）及相关机构事务（款）信访事务（项）:指信访维稳、矛盾纠纷调解、网格化服务和征兵等支出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13．一般公共服务（类）财政事务（款）行政运行（项）:保障乡镇财政机构正常运行，用于行政运行方面的人员经费和日常运转经费支出</w:t>
      </w:r>
      <w:r>
        <w:t>。</w:t>
      </w:r>
    </w:p>
    <w:p>
      <w:pPr>
        <w:spacing w:line="600" w:lineRule="exact"/>
        <w:ind w:firstLine="640"/>
        <w:rPr>
          <w:rFonts w:hint="eastAsia"/>
        </w:rPr>
      </w:pPr>
      <w:r>
        <w:rPr>
          <w:rFonts w:hint="eastAsia" w:ascii="仿宋_GB2312" w:eastAsia="仿宋_GB2312"/>
          <w:color w:val="000000"/>
          <w:sz w:val="32"/>
          <w:szCs w:val="32"/>
        </w:rPr>
        <w:t>14．一般公共服务（类）人力资源事务（款）其他人力资源事务支出（项）:指引进人才的安家住房补贴支出</w:t>
      </w:r>
      <w:r>
        <w:t>。</w:t>
      </w:r>
      <w:r>
        <w:rPr>
          <w:rFonts w:hint="eastAsia" w:ascii="仿宋_GB2312" w:eastAsia="仿宋_GB2312"/>
          <w:color w:val="000000"/>
          <w:sz w:val="32"/>
          <w:szCs w:val="32"/>
        </w:rPr>
        <w:t>15．一般公共服务（类）纪检监察事务（款）行政运行（项）:保障乡镇纪检机构正常运行，用于行政运行方面的人员经费和日常运转经费支出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16．一般公共服务（类）群众团体事务（款）行政运行（项）:保障乡镇妇联、共青团机构正常运行，用于行政运行方面的人员经费和日常运转经费支出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17．一般公共服务（类）党委办公厅（室）及相关机构事务（款）行政运行（项）:保障乡镇党委机构正常运行，用于行政运行方面的人员经费和日常运转经费支出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18．教育支出（类）普通教育（款）学前教育（项）:指乡镇学前教育阶段专项支出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19．教育支出（类）普通教育（款）小学教育（项）:指义务教育小学阶段的人员经费和日常运转经费支出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20．教育支出（类）普通教育（款）初中教育（项）:指义务教育初中阶段的经费支出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21．教育支出（类）普通教育（款）其他普通教育支出（项）:指义务教育阶段寄宿生生活补助、作业本费、学生营养餐</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22．教育支出（类）其他教育支出（款）其他教育支出（项）:指麻石初级中学运动场建设支出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23．文化体育与传媒支出（类）文化（款）其他文化支出（项）:指乡镇文化站、农家书屋免费开放补助支出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24．文化体育与传媒支出（类）新闻出版广播影视（款）广播（项）:指乡镇广播站人员经费和日常运转经费支出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25．社会保障和就业支出（类）人力资源和社会保障管理事务（款）社会保险经办机构（项）:指乡镇社会保险机构人员经费和日常运转经费支出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26．社会保障和就业支出（类）行政事业单位离退休（款）机关事业单位基本养老保险缴费支出（项）:指乡镇在职人员基本养老保险缴费支出</w:t>
      </w:r>
      <w:r>
        <w:t>。</w:t>
      </w:r>
      <w:r>
        <w:rPr>
          <w:rFonts w:hint="eastAsia" w:ascii="仿宋_GB2312" w:eastAsia="仿宋_GB2312"/>
          <w:color w:val="000000"/>
          <w:sz w:val="32"/>
          <w:szCs w:val="32"/>
        </w:rPr>
        <w:t>27．医疗卫生与计划生育支出（类）基层医疗卫生机构（款）乡镇卫生院（项）:指乡镇卫生院人员及正常运行必要经费支出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28．医疗卫生与计划生育支出（类）基层医疗卫生机构（款）其他基层医疗卫生机构支出（项）:指乡镇卫生院人员及正常运行必要经费支出</w:t>
      </w:r>
      <w:r>
        <w:t>。</w:t>
      </w:r>
      <w:r>
        <w:rPr>
          <w:rFonts w:hint="eastAsia" w:ascii="仿宋_GB2312" w:eastAsia="仿宋_GB2312"/>
          <w:color w:val="000000"/>
          <w:sz w:val="32"/>
          <w:szCs w:val="32"/>
        </w:rPr>
        <w:t>29．医疗卫生与计划生育支出（类）公共卫生（款）基本公共卫生服务（项）:指公共卫生人员及日常运行经费支出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30．医疗卫生与计划生育支出（类）中医药（款）其他中医药支出（项）:指麻石卫生院中医馆建设支出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31．医疗卫生与计划生育支出（类）计划生育事务（款）计划生育机构（项）:指乡镇卫计部门人员经费和日常运转经费支出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32．医疗卫生与计划生育支出（类）食品和药品监督管理事务（款）事业运行（项）:指乡镇食品和药品监督管理人员经费和日常运转经费支出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33．医疗卫生与计划生育支出（类）财政对基本医疗保险基金的补助（款）财政对城乡居民基本医疗保险基金的补助（项）:指对乡镇2014年至2015年已脱贫人员的农村医疗参保补贴</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34．节能环保支出（类）退耕还林（款）退耕还林（项）:指2017年林业生态保护完善退耕还林政策补助和2017年林业生态保护恢复资金，兑现2015年度第三年新一轮退耕还林补助</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35．城乡社区支出（类）城乡社区公共设施（款）其他城乡社区公共设施支出（项）:指乡村垃圾池建设</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36．农林水支出（类）农业（款）事业运行（项）:指农业技术岗位人员经费和日常运转经费</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37．农林水支出（类）农业（款）农业生产支持补贴（项）:指2020年农村地力保护补贴</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38．农林水支出（类）农业（款）农村道路建设（项）:指农村道路维修补助</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39．农林水支出（类）农业（款）林业事业机构（项）:指林业岗位人员经费及日常运转支出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40．农林水支出（类）农业（款）森林生态效益补偿（项）:指集体公益补偿支出</w:t>
      </w:r>
      <w:r>
        <w:t>。</w:t>
      </w:r>
    </w:p>
    <w:p>
      <w:pPr>
        <w:spacing w:line="600" w:lineRule="exact"/>
        <w:ind w:firstLine="640"/>
      </w:pPr>
      <w:r>
        <w:rPr>
          <w:rFonts w:hint="eastAsia" w:ascii="仿宋_GB2312" w:eastAsia="仿宋_GB2312"/>
          <w:color w:val="000000"/>
          <w:sz w:val="32"/>
          <w:szCs w:val="32"/>
        </w:rPr>
        <w:t>41．农林水支出（类）水利（款）水利技术推广（项）:指水利岗位人员经费及日常运转经费支出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42．农林水支出（类）水利（款）农村人畜基础设施（项）:指农村基础设施项目补助</w:t>
      </w:r>
      <w:r>
        <w:t>。</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43．农林水支出（类）扶贫（款）其他扶贫支出（项）:指2017年易地移民搬迁中央财政补助资金支出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u w:val="thick" w:color="FFB03A"/>
          <w:shd w:val="clear" w:fill="FFEFD8"/>
        </w:rPr>
        <w:t>45．</w:t>
      </w:r>
      <w:r>
        <w:rPr>
          <w:rFonts w:hint="eastAsia" w:ascii="仿宋_GB2312" w:eastAsia="仿宋_GB2312"/>
          <w:color w:val="000000"/>
          <w:sz w:val="32"/>
          <w:szCs w:val="32"/>
        </w:rPr>
        <w:t>农林水支出（类）农村综合改革（款）其他农村综合改革支出</w:t>
      </w:r>
      <w:r>
        <w:t>：</w:t>
      </w:r>
      <w:r>
        <w:rPr>
          <w:rFonts w:hint="eastAsia" w:ascii="仿宋_GB2312" w:eastAsia="仿宋_GB2312"/>
          <w:color w:val="000000"/>
          <w:sz w:val="32"/>
          <w:szCs w:val="32"/>
        </w:rPr>
        <w:t>指农村基层党组织活动和公共服务运转支出</w:t>
      </w:r>
      <w:r>
        <w:t>。</w:t>
      </w:r>
    </w:p>
    <w:p>
      <w:pPr>
        <w:spacing w:line="600" w:lineRule="exact"/>
        <w:ind w:firstLine="640"/>
      </w:pPr>
      <w:r>
        <w:rPr>
          <w:rFonts w:hint="eastAsia" w:ascii="仿宋_GB2312" w:eastAsia="仿宋_GB2312"/>
          <w:color w:val="000000"/>
          <w:sz w:val="32"/>
          <w:szCs w:val="32"/>
        </w:rPr>
        <w:t>46．交通运输支出（类）公路水路运输（款）公路运输管理（项）:指交通岗位人员经费和日常运转经费支出</w:t>
      </w:r>
      <w: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47．住房保障支出（类）住房改革支出（款）住房公积金（项）:指在职职工单位负担住房公积金支出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48.</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49.</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50.</w:t>
      </w:r>
      <w:r>
        <w:rPr>
          <w:rFonts w:hint="eastAsia" w:ascii="仿宋_GB2312" w:eastAsia="仿宋_GB2312"/>
          <w:color w:val="000000"/>
          <w:sz w:val="32"/>
          <w:szCs w:val="32"/>
        </w:rPr>
        <w:t>经营支出：指事业单位在专业业务活动及其辅助活动之外开展非独立核算经营活动发生的支出。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51.</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52.</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hAnsi="黑体" w:eastAsia="黑体"/>
          <w:b w:val="0"/>
        </w:rPr>
      </w:pPr>
      <w:bookmarkStart w:id="62" w:name="_Toc15377226"/>
      <w:r>
        <w:br w:type="page"/>
      </w:r>
      <w:bookmarkStart w:id="63" w:name="_Toc15396614"/>
      <w:r>
        <w:rPr>
          <w:rFonts w:hint="eastAsia" w:ascii="黑体" w:hAnsi="黑体" w:eastAsia="黑体"/>
          <w:color w:val="000000"/>
          <w:sz w:val="44"/>
          <w:szCs w:val="44"/>
        </w:rPr>
        <w:t>第</w:t>
      </w:r>
      <w:r>
        <w:rPr>
          <w:rStyle w:val="18"/>
          <w:rFonts w:hint="eastAsia" w:ascii="黑体" w:hAnsi="黑体" w:eastAsia="黑体"/>
          <w:b w:val="0"/>
        </w:rPr>
        <w:t>四部分附件</w:t>
      </w:r>
      <w:bookmarkEnd w:id="63"/>
    </w:p>
    <w:p>
      <w:pPr>
        <w:spacing w:line="600" w:lineRule="exact"/>
        <w:jc w:val="left"/>
        <w:outlineLvl w:val="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00" w:lineRule="exact"/>
        <w:jc w:val="left"/>
        <w:outlineLvl w:val="0"/>
        <w:rPr>
          <w:rFonts w:ascii="黑体" w:hAnsi="黑体" w:eastAsia="黑体" w:cs="黑体"/>
          <w:sz w:val="32"/>
          <w:szCs w:val="32"/>
        </w:rPr>
      </w:pPr>
    </w:p>
    <w:p>
      <w:pPr>
        <w:spacing w:line="540" w:lineRule="exact"/>
        <w:jc w:val="center"/>
        <w:rPr>
          <w:rFonts w:ascii="仿宋_GB2312" w:hAnsi="仿宋_GB2312" w:eastAsia="仿宋_GB2312" w:cs="仿宋_GB2312"/>
          <w:sz w:val="32"/>
          <w:szCs w:val="32"/>
        </w:rPr>
      </w:pPr>
      <w:r>
        <w:rPr>
          <w:rFonts w:hint="eastAsia" w:ascii="方正小标宋简体" w:hAnsi="宋体" w:eastAsia="方正小标宋简体"/>
          <w:color w:val="000000"/>
          <w:kern w:val="0"/>
          <w:sz w:val="40"/>
          <w:szCs w:val="44"/>
        </w:rPr>
        <w:t>三溪镇2021</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72" w:lineRule="exact"/>
        <w:ind w:firstLine="640" w:firstLineChars="200"/>
        <w:contextualSpacing/>
        <w:jc w:val="left"/>
        <w:rPr>
          <w:rFonts w:ascii="黑体" w:hAnsi="宋体" w:eastAsia="黑体" w:cs="宋体"/>
          <w:kern w:val="0"/>
          <w:sz w:val="32"/>
          <w:szCs w:val="32"/>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（一）机构组成。</w:t>
      </w:r>
    </w:p>
    <w:p>
      <w:pPr>
        <w:ind w:firstLine="800" w:firstLineChars="250"/>
        <w:rPr>
          <w:rFonts w:ascii="仿宋" w:hAnsi="仿宋" w:eastAsia="仿宋"/>
          <w:color w:val="000000"/>
          <w:kern w:val="0"/>
          <w:sz w:val="32"/>
          <w:szCs w:val="32"/>
        </w:rPr>
      </w:pPr>
      <w:r>
        <w:rPr>
          <w:rFonts w:hint="eastAsia" w:ascii="仿宋" w:hAnsi="仿宋" w:eastAsia="仿宋"/>
          <w:sz w:val="32"/>
          <w:szCs w:val="32"/>
        </w:rPr>
        <w:t>三溪镇人民政府下属二级单位2个，其中其他事业单位2个。</w:t>
      </w:r>
      <w:r>
        <w:rPr>
          <w:rFonts w:hint="eastAsia" w:ascii="仿宋" w:hAnsi="仿宋" w:eastAsia="仿宋"/>
          <w:color w:val="000000"/>
          <w:kern w:val="0"/>
          <w:sz w:val="32"/>
          <w:szCs w:val="32"/>
        </w:rPr>
        <w:t>三溪镇中心小学，三溪中心卫生院。</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（二）机构职能。</w:t>
      </w:r>
    </w:p>
    <w:p>
      <w:pPr>
        <w:pStyle w:val="7"/>
        <w:widowControl/>
        <w:shd w:val="clear" w:color="auto" w:fill="FFFFFF"/>
        <w:spacing w:before="0" w:beforeAutospacing="0" w:after="0" w:afterAutospacing="0"/>
        <w:ind w:firstLine="420"/>
        <w:jc w:val="both"/>
        <w:rPr>
          <w:rFonts w:ascii="仿宋" w:hAnsi="仿宋" w:eastAsia="仿宋"/>
          <w:kern w:val="2"/>
          <w:sz w:val="32"/>
          <w:szCs w:val="32"/>
        </w:rPr>
      </w:pPr>
      <w:r>
        <w:rPr>
          <w:rFonts w:hint="eastAsia" w:ascii="仿宋" w:hAnsi="仿宋" w:eastAsia="仿宋"/>
          <w:kern w:val="2"/>
          <w:sz w:val="32"/>
          <w:szCs w:val="32"/>
        </w:rPr>
        <w:t>1.三溪镇人民政府贯彻执行党和国家的路线方针政策、法律法规和上级党委政府的决定、命令</w:t>
      </w:r>
      <w:r>
        <w:t>，</w:t>
      </w:r>
      <w:r>
        <w:rPr>
          <w:rFonts w:hint="eastAsia" w:ascii="仿宋" w:hAnsi="仿宋" w:eastAsia="仿宋"/>
          <w:kern w:val="2"/>
          <w:sz w:val="32"/>
          <w:szCs w:val="32"/>
        </w:rPr>
        <w:t>接受同级党委（党工委）的领导，执行本级人民代表大会的各项决议，并报告执行决议、决定和命令的情况。促进本地经济发展、提供区域公共服务。充分利用和整合农村（城镇）资源，为城乡居民提供科技、教育、体育、文化、信息、卫生、医疗、人才开发、劳动就业、社会保障、计划生育、安全生产、防灾减灾、城乡低保、社会救助、社会治安等方面的服务，推进社会主义新农村建设。</w:t>
      </w:r>
    </w:p>
    <w:p>
      <w:pPr>
        <w:spacing w:line="595" w:lineRule="exact"/>
        <w:ind w:firstLine="640" w:firstLineChars="200"/>
        <w:rPr>
          <w:rFonts w:ascii="仿宋" w:hAnsi="仿宋" w:eastAsia="仿宋"/>
          <w:sz w:val="32"/>
          <w:szCs w:val="32"/>
        </w:rPr>
      </w:pPr>
      <w:r>
        <w:rPr>
          <w:rFonts w:hint="eastAsia" w:ascii="仿宋" w:hAnsi="仿宋" w:eastAsia="仿宋"/>
          <w:sz w:val="32"/>
          <w:szCs w:val="32"/>
        </w:rPr>
        <w:t>2.三溪镇卫生院为人民身体健康提供医疗与预防保健服务。负责辖区内常见病多发病诊治、护理</w:t>
      </w:r>
      <w:r>
        <w:t>；</w:t>
      </w:r>
      <w:r>
        <w:rPr>
          <w:rFonts w:hint="eastAsia" w:ascii="仿宋" w:hAnsi="仿宋" w:eastAsia="仿宋"/>
          <w:sz w:val="32"/>
          <w:szCs w:val="32"/>
        </w:rPr>
        <w:t>院前急救、巡回医疗，辖区内的疾病控制、妇幼保健、健康教育、计划免疫，新型合作医疗的组织与管理等工作，承担乡村卫生人员业务培训和技术指导。</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rPr>
      </w:pPr>
      <w:r>
        <w:rPr>
          <w:rFonts w:hint="eastAsia" w:ascii="仿宋" w:hAnsi="仿宋" w:eastAsia="仿宋"/>
          <w:sz w:val="32"/>
          <w:szCs w:val="32"/>
        </w:rPr>
        <w:t>3.三溪镇中心小学</w:t>
      </w:r>
      <w:r>
        <w:rPr>
          <w:rFonts w:hint="eastAsia" w:ascii="仿宋_GB2312" w:hAnsi="宋体" w:eastAsia="仿宋_GB2312" w:cs="宋体"/>
          <w:kern w:val="0"/>
          <w:sz w:val="32"/>
          <w:szCs w:val="32"/>
        </w:rPr>
        <w:t>全面贯彻党的教育方针政策，依法组织教育教学，全面实施素质教育，培养德智体美劳全面发展的社会主义接班人，努力办好人民满意教育。保障学校的正常教育教学、办公、生活秩序。</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（三）人员概况。</w:t>
      </w:r>
    </w:p>
    <w:p>
      <w:pPr>
        <w:adjustRightInd w:val="0"/>
        <w:snapToGrid w:val="0"/>
        <w:spacing w:line="56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2021年</w:t>
      </w:r>
      <w:r>
        <w:rPr>
          <w:rFonts w:ascii="仿宋_GB2312" w:hAnsi="Calibri" w:eastAsia="仿宋_GB2312" w:cs="仿宋"/>
          <w:color w:val="000000"/>
          <w:kern w:val="0"/>
          <w:sz w:val="32"/>
          <w:szCs w:val="32"/>
        </w:rPr>
        <w:t>财政全额预算拨款</w:t>
      </w:r>
      <w:r>
        <w:rPr>
          <w:rFonts w:hint="eastAsia" w:ascii="仿宋_GB2312" w:hAnsi="Calibri" w:eastAsia="仿宋_GB2312" w:cs="仿宋"/>
          <w:color w:val="000000"/>
          <w:kern w:val="0"/>
          <w:sz w:val="32"/>
          <w:szCs w:val="32"/>
        </w:rPr>
        <w:t>122</w:t>
      </w:r>
      <w:r>
        <w:rPr>
          <w:rFonts w:ascii="仿宋_GB2312" w:hAnsi="Calibri" w:eastAsia="仿宋_GB2312" w:cs="仿宋"/>
          <w:color w:val="000000"/>
          <w:kern w:val="0"/>
          <w:sz w:val="32"/>
          <w:szCs w:val="32"/>
        </w:rPr>
        <w:t>人，其中：在职人员</w:t>
      </w:r>
      <w:r>
        <w:rPr>
          <w:rFonts w:hint="eastAsia" w:ascii="仿宋_GB2312" w:hAnsi="Calibri" w:eastAsia="仿宋_GB2312" w:cs="仿宋"/>
          <w:color w:val="000000"/>
          <w:kern w:val="0"/>
          <w:sz w:val="32"/>
          <w:szCs w:val="32"/>
        </w:rPr>
        <w:t>113</w:t>
      </w:r>
      <w:r>
        <w:rPr>
          <w:rFonts w:ascii="仿宋_GB2312" w:hAnsi="Calibri" w:eastAsia="仿宋_GB2312" w:cs="仿宋"/>
          <w:color w:val="000000"/>
          <w:kern w:val="0"/>
          <w:sz w:val="32"/>
          <w:szCs w:val="32"/>
        </w:rPr>
        <w:t>人、遗属</w:t>
      </w:r>
      <w:r>
        <w:rPr>
          <w:rFonts w:hint="eastAsia" w:ascii="仿宋_GB2312" w:hAnsi="Calibri" w:eastAsia="仿宋_GB2312" w:cs="仿宋"/>
          <w:color w:val="000000"/>
          <w:kern w:val="0"/>
          <w:sz w:val="32"/>
          <w:szCs w:val="32"/>
        </w:rPr>
        <w:t>9</w:t>
      </w:r>
      <w:r>
        <w:rPr>
          <w:rFonts w:ascii="仿宋_GB2312" w:hAnsi="Calibri" w:eastAsia="仿宋_GB2312" w:cs="仿宋"/>
          <w:color w:val="000000"/>
          <w:kern w:val="0"/>
          <w:sz w:val="32"/>
          <w:szCs w:val="32"/>
        </w:rPr>
        <w:t>人。</w:t>
      </w:r>
      <w:r>
        <w:rPr>
          <w:rFonts w:hint="eastAsia" w:ascii="仿宋_GB2312" w:hAnsi="Calibri" w:eastAsia="仿宋_GB2312" w:cs="仿宋"/>
          <w:color w:val="000000"/>
          <w:kern w:val="0"/>
          <w:sz w:val="32"/>
          <w:szCs w:val="32"/>
        </w:rPr>
        <w:t>其中行政人员21人，事业人员92人。</w:t>
      </w:r>
    </w:p>
    <w:p>
      <w:pPr>
        <w:widowControl/>
        <w:adjustRightInd w:val="0"/>
        <w:snapToGrid w:val="0"/>
        <w:spacing w:line="572" w:lineRule="exact"/>
        <w:ind w:firstLine="640" w:firstLineChars="200"/>
        <w:contextualSpacing/>
        <w:jc w:val="left"/>
        <w:rPr>
          <w:rFonts w:ascii="黑体" w:hAnsi="宋体" w:eastAsia="黑体" w:cs="宋体"/>
          <w:kern w:val="0"/>
          <w:sz w:val="32"/>
          <w:szCs w:val="32"/>
        </w:rPr>
      </w:pPr>
      <w:r>
        <w:rPr>
          <w:rFonts w:hint="eastAsia" w:ascii="黑体" w:hAnsi="宋体" w:eastAsia="黑体" w:cs="宋体"/>
          <w:kern w:val="0"/>
          <w:sz w:val="32"/>
          <w:szCs w:val="32"/>
          <w:shd w:val="clear" w:color="auto" w:fill="FFFFFF"/>
        </w:rPr>
        <w:t>二、部门财政资金收支情况</w:t>
      </w:r>
    </w:p>
    <w:p>
      <w:pPr>
        <w:adjustRightInd w:val="0"/>
        <w:snapToGrid w:val="0"/>
        <w:spacing w:line="560" w:lineRule="exact"/>
        <w:ind w:firstLine="720"/>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（一）部门财政资金收入情况</w:t>
      </w:r>
    </w:p>
    <w:p>
      <w:pPr>
        <w:widowControl/>
        <w:adjustRightInd w:val="0"/>
        <w:snapToGrid w:val="0"/>
        <w:spacing w:line="572" w:lineRule="exact"/>
        <w:ind w:firstLine="640" w:firstLineChars="200"/>
        <w:contextualSpacing/>
        <w:jc w:val="left"/>
        <w:rPr>
          <w:rFonts w:ascii="仿宋" w:hAnsi="仿宋" w:eastAsia="仿宋"/>
          <w:color w:val="000000"/>
          <w:sz w:val="32"/>
          <w:szCs w:val="32"/>
        </w:rPr>
      </w:pPr>
      <w:r>
        <w:rPr>
          <w:rFonts w:hint="eastAsia" w:ascii="仿宋" w:hAnsi="仿宋" w:eastAsia="仿宋"/>
          <w:color w:val="000000"/>
          <w:sz w:val="32"/>
          <w:szCs w:val="32"/>
        </w:rPr>
        <w:t>2021年度收入总计3186.73万元。其中一般公共预算财政拨款收入2963.67万元，事业收入200.62万元，其他收入18.25万元，年初结转和结余4.19万元。</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（二）部门财政资金支出情况。</w:t>
      </w:r>
    </w:p>
    <w:p>
      <w:pPr>
        <w:pStyle w:val="3"/>
        <w:spacing w:before="93"/>
        <w:ind w:firstLine="640" w:firstLineChars="200"/>
        <w:rPr>
          <w:rFonts w:ascii="仿宋" w:hAnsi="仿宋" w:eastAsia="仿宋"/>
          <w:color w:val="000000"/>
          <w:kern w:val="2"/>
          <w:sz w:val="32"/>
          <w:szCs w:val="32"/>
          <w:lang w:val="zh-CN"/>
        </w:rPr>
      </w:pPr>
      <w:r>
        <w:rPr>
          <w:rFonts w:hint="eastAsia" w:ascii="仿宋" w:hAnsi="仿宋" w:eastAsia="仿宋"/>
          <w:color w:val="000000"/>
          <w:sz w:val="32"/>
          <w:szCs w:val="32"/>
        </w:rPr>
        <w:t>2021年度支出总计3186.73</w:t>
      </w:r>
      <w:r>
        <w:rPr>
          <w:rFonts w:hint="eastAsia" w:ascii="仿宋" w:hAnsi="仿宋" w:eastAsia="仿宋"/>
          <w:color w:val="000000"/>
          <w:kern w:val="2"/>
          <w:sz w:val="32"/>
          <w:szCs w:val="32"/>
        </w:rPr>
        <w:t>万元。其中基本支出</w:t>
      </w:r>
      <w:r>
        <w:rPr>
          <w:rFonts w:hint="eastAsia" w:ascii="仿宋" w:hAnsi="仿宋" w:eastAsia="仿宋"/>
          <w:color w:val="000000"/>
          <w:kern w:val="2"/>
          <w:sz w:val="32"/>
          <w:szCs w:val="32"/>
          <w:lang w:val="zh-CN"/>
        </w:rPr>
        <w:t>1620.42万元，项目支出1,566.31万元。</w:t>
      </w:r>
    </w:p>
    <w:p>
      <w:pPr>
        <w:widowControl/>
        <w:adjustRightInd w:val="0"/>
        <w:snapToGrid w:val="0"/>
        <w:spacing w:line="572" w:lineRule="exact"/>
        <w:ind w:firstLine="640" w:firstLineChars="200"/>
        <w:contextualSpacing/>
        <w:jc w:val="left"/>
        <w:rPr>
          <w:rFonts w:ascii="黑体" w:hAnsi="宋体" w:eastAsia="黑体" w:cs="宋体"/>
          <w:kern w:val="0"/>
          <w:sz w:val="32"/>
          <w:szCs w:val="32"/>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（一）部门预算项目绩效管理。</w:t>
      </w:r>
    </w:p>
    <w:p>
      <w:pPr>
        <w:adjustRightInd w:val="0"/>
        <w:snapToGrid w:val="0"/>
        <w:spacing w:line="560" w:lineRule="exact"/>
        <w:ind w:firstLine="640" w:firstLineChars="20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lang w:val="zh-CN"/>
        </w:rPr>
        <w:t>截至</w:t>
      </w:r>
      <w:r>
        <w:rPr>
          <w:rFonts w:hint="eastAsia" w:ascii="仿宋_GB2312" w:hAnsi="Calibri" w:eastAsia="仿宋_GB2312" w:cs="仿宋"/>
          <w:color w:val="000000"/>
          <w:kern w:val="0"/>
          <w:sz w:val="32"/>
          <w:szCs w:val="32"/>
        </w:rPr>
        <w:t>2021</w:t>
      </w:r>
      <w:r>
        <w:rPr>
          <w:rFonts w:hint="eastAsia" w:ascii="仿宋_GB2312" w:hAnsi="Calibri" w:eastAsia="仿宋_GB2312" w:cs="仿宋"/>
          <w:color w:val="000000"/>
          <w:kern w:val="0"/>
          <w:sz w:val="32"/>
          <w:szCs w:val="32"/>
          <w:lang w:val="zh-CN"/>
        </w:rPr>
        <w:t>年12月</w:t>
      </w:r>
      <w:r>
        <w:rPr>
          <w:rFonts w:hint="eastAsia" w:ascii="仿宋_GB2312" w:hAnsi="Calibri" w:eastAsia="仿宋_GB2312" w:cs="仿宋"/>
          <w:color w:val="000000"/>
          <w:kern w:val="0"/>
          <w:sz w:val="32"/>
          <w:szCs w:val="32"/>
        </w:rPr>
        <w:t>31日</w:t>
      </w:r>
      <w:r>
        <w:rPr>
          <w:rFonts w:hint="eastAsia" w:ascii="仿宋_GB2312" w:hAnsi="Calibri" w:eastAsia="仿宋_GB2312" w:cs="仿宋"/>
          <w:color w:val="000000"/>
          <w:kern w:val="0"/>
          <w:sz w:val="32"/>
          <w:szCs w:val="32"/>
          <w:lang w:val="zh-CN"/>
        </w:rPr>
        <w:t>，实际支付资金</w:t>
      </w:r>
      <w:r>
        <w:rPr>
          <w:rFonts w:hint="eastAsia" w:ascii="仿宋_GB2312" w:hAnsi="Calibri" w:eastAsia="仿宋_GB2312" w:cs="仿宋"/>
          <w:color w:val="000000"/>
          <w:kern w:val="0"/>
          <w:sz w:val="32"/>
          <w:szCs w:val="32"/>
        </w:rPr>
        <w:t>3186.73</w:t>
      </w:r>
      <w:r>
        <w:rPr>
          <w:rFonts w:hint="eastAsia" w:ascii="仿宋_GB2312" w:hAnsi="Calibri" w:eastAsia="仿宋_GB2312" w:cs="仿宋"/>
          <w:color w:val="000000"/>
          <w:kern w:val="0"/>
          <w:sz w:val="32"/>
          <w:szCs w:val="32"/>
          <w:lang w:val="zh-CN"/>
        </w:rPr>
        <w:t>万元。资金按时按规定支付，支付依据合规合法，资金支付与预算相符。</w:t>
      </w:r>
    </w:p>
    <w:p>
      <w:pPr>
        <w:widowControl/>
        <w:numPr>
          <w:ilvl w:val="0"/>
          <w:numId w:val="5"/>
        </w:numPr>
        <w:adjustRightInd w:val="0"/>
        <w:snapToGrid w:val="0"/>
        <w:spacing w:line="572" w:lineRule="exact"/>
        <w:ind w:firstLine="640" w:firstLineChars="200"/>
        <w:contextualSpacing/>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结果应用情况。</w:t>
      </w:r>
    </w:p>
    <w:p>
      <w:pPr>
        <w:adjustRightInd w:val="0"/>
        <w:snapToGrid w:val="0"/>
        <w:spacing w:line="560" w:lineRule="exact"/>
        <w:ind w:firstLine="640" w:firstLineChars="200"/>
        <w:rPr>
          <w:lang w:val="zh-CN"/>
        </w:rPr>
      </w:pPr>
      <w:r>
        <w:rPr>
          <w:rFonts w:ascii="仿宋_GB2312" w:hAnsi="Calibri" w:eastAsia="仿宋_GB2312" w:cs="仿宋"/>
          <w:color w:val="000000"/>
          <w:kern w:val="0"/>
          <w:sz w:val="32"/>
          <w:szCs w:val="32"/>
          <w:lang w:val="zh-CN"/>
        </w:rPr>
        <w:t>对绩效评价结果为“优”的</w:t>
      </w:r>
      <w:r>
        <w:rPr>
          <w:rFonts w:hint="eastAsia" w:ascii="仿宋_GB2312" w:hAnsi="Calibri" w:eastAsia="仿宋_GB2312" w:cs="仿宋"/>
          <w:color w:val="000000"/>
          <w:kern w:val="0"/>
          <w:sz w:val="32"/>
          <w:szCs w:val="32"/>
          <w:lang w:val="zh-CN"/>
        </w:rPr>
        <w:t>项目</w:t>
      </w:r>
      <w:r>
        <w:rPr>
          <w:rFonts w:ascii="仿宋_GB2312" w:hAnsi="Calibri" w:eastAsia="仿宋_GB2312" w:cs="仿宋"/>
          <w:color w:val="000000"/>
          <w:kern w:val="0"/>
          <w:sz w:val="32"/>
          <w:szCs w:val="32"/>
          <w:lang w:val="zh-CN"/>
        </w:rPr>
        <w:t>在</w:t>
      </w:r>
      <w:r>
        <w:rPr>
          <w:rFonts w:hint="eastAsia" w:ascii="仿宋_GB2312" w:hAnsi="Calibri" w:eastAsia="仿宋_GB2312" w:cs="仿宋"/>
          <w:color w:val="000000"/>
          <w:kern w:val="0"/>
          <w:sz w:val="32"/>
          <w:szCs w:val="32"/>
        </w:rPr>
        <w:t>2022</w:t>
      </w:r>
      <w:r>
        <w:rPr>
          <w:rFonts w:ascii="仿宋_GB2312" w:hAnsi="Calibri" w:eastAsia="仿宋_GB2312" w:cs="仿宋"/>
          <w:color w:val="000000"/>
          <w:kern w:val="0"/>
          <w:sz w:val="32"/>
          <w:szCs w:val="32"/>
          <w:lang w:val="zh-CN"/>
        </w:rPr>
        <w:t>年优先保障年度预算。</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shd w:val="clear" w:color="auto" w:fill="FFFFFF"/>
          <w:lang w:val="zh-CN"/>
        </w:rPr>
        <w:t>自评质量</w:t>
      </w:r>
    </w:p>
    <w:p>
      <w:pPr>
        <w:pStyle w:val="3"/>
        <w:spacing w:before="93"/>
        <w:ind w:firstLine="640" w:firstLineChars="200"/>
        <w:rPr>
          <w:rFonts w:hAnsi="Calibri" w:cs="仿宋"/>
          <w:color w:val="000000"/>
          <w:sz w:val="32"/>
          <w:szCs w:val="32"/>
          <w:lang w:val="zh-CN"/>
        </w:rPr>
      </w:pPr>
      <w:r>
        <w:rPr>
          <w:rFonts w:hAnsi="Calibri" w:cs="仿宋"/>
          <w:color w:val="000000"/>
          <w:sz w:val="32"/>
          <w:szCs w:val="32"/>
          <w:lang w:val="zh-CN"/>
        </w:rPr>
        <w:t>指标设置合理，指标与项目关联，绩效目标内容填写规范，项目资金录入规范，自评结果的真实准确</w:t>
      </w:r>
      <w:r>
        <w:rPr>
          <w:rFonts w:hint="eastAsia" w:hAnsi="Calibri" w:cs="仿宋"/>
          <w:color w:val="000000"/>
          <w:sz w:val="32"/>
          <w:szCs w:val="32"/>
          <w:lang w:val="zh-CN"/>
        </w:rPr>
        <w:t>，保证绩效</w:t>
      </w:r>
      <w:r>
        <w:rPr>
          <w:rFonts w:hAnsi="Calibri" w:cs="仿宋"/>
          <w:color w:val="000000"/>
          <w:sz w:val="32"/>
          <w:szCs w:val="32"/>
          <w:lang w:val="zh-CN"/>
        </w:rPr>
        <w:t>自评质量</w:t>
      </w:r>
      <w:r>
        <w:rPr>
          <w:rFonts w:hint="eastAsia" w:hAnsi="Calibri" w:cs="仿宋"/>
          <w:color w:val="000000"/>
          <w:sz w:val="32"/>
          <w:szCs w:val="32"/>
          <w:lang w:val="zh-CN"/>
        </w:rPr>
        <w:t>。</w:t>
      </w:r>
    </w:p>
    <w:p>
      <w:pPr>
        <w:widowControl/>
        <w:numPr>
          <w:ilvl w:val="0"/>
          <w:numId w:val="2"/>
        </w:numPr>
        <w:adjustRightInd w:val="0"/>
        <w:snapToGrid w:val="0"/>
        <w:spacing w:line="576" w:lineRule="exact"/>
        <w:contextualSpacing/>
        <w:jc w:val="left"/>
        <w:rPr>
          <w:rFonts w:ascii="黑体" w:hAnsi="宋体" w:eastAsia="黑体" w:cs="宋体"/>
          <w:kern w:val="0"/>
          <w:sz w:val="32"/>
          <w:szCs w:val="32"/>
        </w:rPr>
      </w:pPr>
      <w:r>
        <w:rPr>
          <w:rFonts w:hint="eastAsia" w:ascii="黑体" w:hAnsi="宋体" w:eastAsia="黑体" w:cs="宋体"/>
          <w:kern w:val="0"/>
          <w:sz w:val="32"/>
          <w:szCs w:val="32"/>
          <w:shd w:val="clear" w:color="auto" w:fill="FFFFFF"/>
        </w:rPr>
        <w:t>评价结论及建议</w:t>
      </w:r>
    </w:p>
    <w:p>
      <w:pPr>
        <w:numPr>
          <w:numId w:val="0"/>
        </w:numPr>
        <w:adjustRightInd w:val="0"/>
        <w:snapToGrid w:val="0"/>
        <w:spacing w:line="560" w:lineRule="exact"/>
        <w:ind w:firstLine="640" w:firstLineChars="20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lang w:val="zh-CN"/>
        </w:rPr>
        <w:t>（</w:t>
      </w:r>
      <w:r>
        <w:rPr>
          <w:rFonts w:hint="eastAsia" w:ascii="仿宋_GB2312" w:hAnsi="Calibri" w:eastAsia="仿宋_GB2312" w:cs="仿宋"/>
          <w:color w:val="000000"/>
          <w:kern w:val="0"/>
          <w:sz w:val="32"/>
          <w:szCs w:val="32"/>
          <w:lang w:val="en-US" w:eastAsia="zh-CN"/>
        </w:rPr>
        <w:t>一</w:t>
      </w:r>
      <w:r>
        <w:rPr>
          <w:rFonts w:hint="eastAsia" w:ascii="仿宋_GB2312" w:hAnsi="Calibri" w:eastAsia="仿宋_GB2312" w:cs="仿宋"/>
          <w:color w:val="000000"/>
          <w:kern w:val="0"/>
          <w:sz w:val="32"/>
          <w:szCs w:val="32"/>
          <w:lang w:val="zh-CN"/>
        </w:rPr>
        <w:t>）评价结论</w:t>
      </w:r>
    </w:p>
    <w:p>
      <w:pPr>
        <w:adjustRightInd w:val="0"/>
        <w:snapToGrid w:val="0"/>
        <w:spacing w:line="560" w:lineRule="exact"/>
        <w:ind w:firstLine="640" w:firstLineChars="200"/>
        <w:rPr>
          <w:lang w:val="zh-CN"/>
        </w:rPr>
      </w:pPr>
      <w:r>
        <w:rPr>
          <w:rFonts w:ascii="仿宋_GB2312" w:hAnsi="Calibri" w:eastAsia="仿宋_GB2312" w:cs="仿宋"/>
          <w:color w:val="000000"/>
          <w:kern w:val="0"/>
          <w:sz w:val="32"/>
          <w:szCs w:val="32"/>
          <w:lang w:val="zh-CN"/>
        </w:rPr>
        <w:t>按照财政部对</w:t>
      </w:r>
      <w:r>
        <w:rPr>
          <w:rFonts w:hint="eastAsia" w:ascii="仿宋_GB2312" w:hAnsi="Calibri" w:eastAsia="仿宋_GB2312" w:cs="仿宋"/>
          <w:color w:val="000000"/>
          <w:kern w:val="0"/>
          <w:sz w:val="32"/>
          <w:szCs w:val="32"/>
        </w:rPr>
        <w:t>2021</w:t>
      </w:r>
      <w:r>
        <w:rPr>
          <w:rFonts w:ascii="仿宋_GB2312" w:hAnsi="Calibri" w:eastAsia="仿宋_GB2312" w:cs="仿宋"/>
          <w:color w:val="000000"/>
          <w:kern w:val="0"/>
          <w:sz w:val="32"/>
          <w:szCs w:val="32"/>
          <w:lang w:val="zh-CN"/>
        </w:rPr>
        <w:t>年度绩效目标设置的要求，设置了“产出、效益、满意度”等指标值，其中产出指标</w:t>
      </w:r>
      <w:r>
        <w:rPr>
          <w:rFonts w:ascii="仿宋_GB2312" w:hAnsi="Calibri" w:eastAsia="仿宋_GB2312" w:cs="仿宋"/>
          <w:color w:val="000000"/>
          <w:kern w:val="0"/>
          <w:sz w:val="32"/>
          <w:szCs w:val="32"/>
        </w:rPr>
        <w:t>50分，实际得分48分</w:t>
      </w:r>
      <w:r>
        <w:rPr>
          <w:rFonts w:ascii="仿宋_GB2312" w:hAnsi="Calibri" w:eastAsia="仿宋_GB2312" w:cs="仿宋"/>
          <w:color w:val="000000"/>
          <w:kern w:val="0"/>
          <w:sz w:val="32"/>
          <w:szCs w:val="32"/>
          <w:lang w:val="zh-CN"/>
        </w:rPr>
        <w:t>，效益指标</w:t>
      </w:r>
      <w:r>
        <w:rPr>
          <w:rFonts w:ascii="仿宋_GB2312" w:hAnsi="Calibri" w:eastAsia="仿宋_GB2312" w:cs="仿宋"/>
          <w:color w:val="000000"/>
          <w:kern w:val="0"/>
          <w:sz w:val="32"/>
          <w:szCs w:val="32"/>
        </w:rPr>
        <w:t>30分，实际得分29分，满意度指标10分，实际得分9分。预算资金执行得分10分，合计得分96分</w:t>
      </w:r>
      <w:r>
        <w:rPr>
          <w:rFonts w:hint="eastAsia" w:ascii="仿宋_GB2312" w:hAnsi="Calibri" w:eastAsia="仿宋_GB2312" w:cs="仿宋"/>
          <w:color w:val="000000"/>
          <w:kern w:val="0"/>
          <w:sz w:val="32"/>
          <w:szCs w:val="32"/>
        </w:rPr>
        <w:t>。</w:t>
      </w:r>
    </w:p>
    <w:p>
      <w:pPr>
        <w:numPr>
          <w:numId w:val="0"/>
        </w:numPr>
        <w:adjustRightInd w:val="0"/>
        <w:snapToGrid w:val="0"/>
        <w:spacing w:line="56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val="zh-CN"/>
        </w:rPr>
        <w:t>（</w:t>
      </w:r>
      <w:r>
        <w:rPr>
          <w:rFonts w:hint="eastAsia" w:ascii="仿宋_GB2312" w:hAnsi="Calibri" w:eastAsia="仿宋_GB2312" w:cs="仿宋"/>
          <w:color w:val="000000"/>
          <w:kern w:val="0"/>
          <w:sz w:val="32"/>
          <w:szCs w:val="32"/>
          <w:lang w:val="en-US" w:eastAsia="zh-CN"/>
        </w:rPr>
        <w:t>二</w:t>
      </w:r>
      <w:r>
        <w:rPr>
          <w:rFonts w:hint="eastAsia" w:ascii="仿宋_GB2312" w:hAnsi="Calibri" w:eastAsia="仿宋_GB2312" w:cs="仿宋"/>
          <w:color w:val="000000"/>
          <w:kern w:val="0"/>
          <w:sz w:val="32"/>
          <w:szCs w:val="32"/>
          <w:lang w:val="zh-CN"/>
        </w:rPr>
        <w:t>）</w:t>
      </w:r>
      <w:r>
        <w:rPr>
          <w:rFonts w:ascii="仿宋_GB2312" w:hAnsi="Calibri" w:eastAsia="仿宋_GB2312" w:cs="仿宋"/>
          <w:color w:val="000000"/>
          <w:kern w:val="0"/>
          <w:sz w:val="32"/>
          <w:szCs w:val="32"/>
          <w:lang w:val="zh-CN"/>
        </w:rPr>
        <w:t>存在的问题</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1.项目绩效目标与指标不完整</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绩效指标较少，不能完全衡量条件建设经费项目的完成情况，绩效指标未涵盖所有工作事项，绩效标准表述不够准确，整体逻辑关系不够清晰。</w:t>
      </w:r>
    </w:p>
    <w:p>
      <w:pPr>
        <w:adjustRightInd w:val="0"/>
        <w:snapToGrid w:val="0"/>
        <w:spacing w:line="560" w:lineRule="exact"/>
        <w:ind w:firstLine="720"/>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lang w:val="zh-CN"/>
        </w:rPr>
        <w:t>2.</w:t>
      </w:r>
      <w:r>
        <w:rPr>
          <w:rFonts w:ascii="仿宋_GB2312" w:hAnsi="Calibri" w:eastAsia="仿宋_GB2312" w:cs="仿宋"/>
          <w:color w:val="000000"/>
          <w:kern w:val="0"/>
          <w:sz w:val="32"/>
          <w:szCs w:val="32"/>
        </w:rPr>
        <w:t>项目建设与项目资金不配套</w:t>
      </w:r>
    </w:p>
    <w:p>
      <w:pPr>
        <w:adjustRightInd w:val="0"/>
        <w:snapToGrid w:val="0"/>
        <w:spacing w:line="560" w:lineRule="exact"/>
        <w:ind w:firstLine="720"/>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项目建设与项目资金不配套，不吻合，资金缺口大，政府难以化解和难以应付债务矛盾。</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3.资金监控机制有待进一步加强</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在执行过程中，未对项目资金使用及项目完成情况进行有效的监督，导致执行滞后的问题。</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u w:val="none" w:color="FFB03A"/>
          <w:shd w:val="clear" w:fill="auto"/>
          <w:lang w:val="zh-CN"/>
        </w:rPr>
        <w:t>（三）</w:t>
      </w:r>
      <w:r>
        <w:rPr>
          <w:rFonts w:ascii="仿宋_GB2312" w:hAnsi="Calibri" w:eastAsia="仿宋_GB2312" w:cs="仿宋"/>
          <w:color w:val="000000"/>
          <w:kern w:val="0"/>
          <w:sz w:val="32"/>
          <w:szCs w:val="32"/>
          <w:lang w:val="zh-CN"/>
        </w:rPr>
        <w:t>相关建议</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1</w:t>
      </w:r>
      <w:r>
        <w:rPr>
          <w:rFonts w:ascii="仿宋_GB2312" w:hAnsi="Calibri" w:eastAsia="仿宋_GB2312" w:cs="仿宋"/>
          <w:color w:val="000000"/>
          <w:kern w:val="0"/>
          <w:sz w:val="32"/>
          <w:szCs w:val="32"/>
        </w:rPr>
        <w:t>.政府加强日常管理</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政府加强日常管理，节约支出，县级相关部门加大投入，解决人民群众的生产生活困难。同时财政所要加强财政财务管理，堵塞各种资金漏洞，提高财政资金的使用效率</w:t>
      </w:r>
      <w:r>
        <w:t>。</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2</w:t>
      </w:r>
      <w:r>
        <w:rPr>
          <w:rFonts w:ascii="仿宋_GB2312" w:hAnsi="Calibri" w:eastAsia="仿宋_GB2312" w:cs="仿宋"/>
          <w:color w:val="000000"/>
          <w:kern w:val="0"/>
          <w:sz w:val="32"/>
          <w:szCs w:val="32"/>
        </w:rPr>
        <w:t>.</w:t>
      </w:r>
      <w:r>
        <w:rPr>
          <w:rFonts w:ascii="仿宋_GB2312" w:hAnsi="Calibri" w:eastAsia="仿宋_GB2312" w:cs="仿宋"/>
          <w:color w:val="000000"/>
          <w:kern w:val="0"/>
          <w:sz w:val="32"/>
          <w:szCs w:val="32"/>
          <w:lang w:val="zh-CN"/>
        </w:rPr>
        <w:t>进一步完善项目绩效目标及绩效指标</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u w:val="none" w:color="46CD7E"/>
          <w:shd w:val="clear" w:fill="auto"/>
          <w:lang w:val="zh-CN"/>
        </w:rPr>
        <w:t>加强与</w:t>
      </w:r>
      <w:r>
        <w:rPr>
          <w:rFonts w:ascii="仿宋_GB2312" w:hAnsi="Calibri" w:eastAsia="仿宋_GB2312" w:cs="仿宋"/>
          <w:color w:val="000000"/>
          <w:kern w:val="0"/>
          <w:sz w:val="32"/>
          <w:szCs w:val="32"/>
          <w:lang w:val="zh-CN"/>
        </w:rPr>
        <w:t>各执行部门的沟通，建立事权、财权、责任匹配制度，在绩效目标的设定方面，绩效目标有待准确化，使项目目标</w:t>
      </w:r>
      <w:r>
        <w:rPr>
          <w:rFonts w:hint="eastAsia" w:ascii="仿宋_GB2312" w:hAnsi="Calibri" w:eastAsia="仿宋_GB2312" w:cs="仿宋"/>
          <w:color w:val="000000"/>
          <w:kern w:val="0"/>
          <w:sz w:val="32"/>
          <w:szCs w:val="32"/>
          <w:u w:val="none" w:color="46CD7E"/>
          <w:shd w:val="clear" w:fill="auto"/>
          <w:lang w:val="zh-CN"/>
        </w:rPr>
        <w:t>更加</w:t>
      </w:r>
      <w:r>
        <w:rPr>
          <w:rFonts w:ascii="仿宋_GB2312" w:hAnsi="Calibri" w:eastAsia="仿宋_GB2312" w:cs="仿宋"/>
          <w:color w:val="000000"/>
          <w:kern w:val="0"/>
          <w:sz w:val="32"/>
          <w:szCs w:val="32"/>
          <w:lang w:val="zh-CN"/>
        </w:rPr>
        <w:t>简洁，更加明晰。项目绩效指标需结合项目明细具体设置，尽可能全面、客观的反映项目产出及效果。</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3</w:t>
      </w:r>
      <w:r>
        <w:rPr>
          <w:rFonts w:ascii="仿宋_GB2312" w:hAnsi="Calibri" w:eastAsia="仿宋_GB2312" w:cs="仿宋"/>
          <w:color w:val="000000"/>
          <w:kern w:val="0"/>
          <w:sz w:val="32"/>
          <w:szCs w:val="32"/>
        </w:rPr>
        <w:t>.</w:t>
      </w:r>
      <w:r>
        <w:rPr>
          <w:rFonts w:ascii="仿宋_GB2312" w:hAnsi="Calibri" w:eastAsia="仿宋_GB2312" w:cs="仿宋"/>
          <w:color w:val="000000"/>
          <w:kern w:val="0"/>
          <w:sz w:val="32"/>
          <w:szCs w:val="32"/>
          <w:lang w:val="zh-CN"/>
        </w:rPr>
        <w:t>提高项目资金使用率</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实时监控预算完成情况，对项目资金执行情况及项目进度进行通报，对执行进度滞后的情况，要求加快执行，确保项目能按计划执行。同时明确监管层次，对项目的时间</w:t>
      </w:r>
      <w:r>
        <w:rPr>
          <w:rFonts w:hint="eastAsia" w:ascii="仿宋_GB2312" w:hAnsi="Calibri" w:eastAsia="仿宋_GB2312" w:cs="仿宋"/>
          <w:color w:val="000000"/>
          <w:kern w:val="0"/>
          <w:sz w:val="32"/>
          <w:szCs w:val="32"/>
          <w:u w:val="none" w:color="46CD7E"/>
          <w:shd w:val="clear" w:fill="auto"/>
          <w:lang w:val="zh-CN"/>
        </w:rPr>
        <w:t>节点进行</w:t>
      </w:r>
      <w:r>
        <w:rPr>
          <w:rFonts w:ascii="仿宋_GB2312" w:hAnsi="Calibri" w:eastAsia="仿宋_GB2312" w:cs="仿宋"/>
          <w:color w:val="000000"/>
          <w:kern w:val="0"/>
          <w:sz w:val="32"/>
          <w:szCs w:val="32"/>
          <w:lang w:val="zh-CN"/>
        </w:rPr>
        <w:t>控制，进一步提高内部控制意识，明确责任主体。</w:t>
      </w:r>
    </w:p>
    <w:p>
      <w:pPr>
        <w:spacing w:line="580" w:lineRule="exact"/>
        <w:jc w:val="center"/>
        <w:rPr>
          <w:rFonts w:ascii="仿宋_GB2312" w:hAnsi="Calibri" w:eastAsia="仿宋_GB2312" w:cs="仿宋"/>
          <w:color w:val="000000"/>
          <w:kern w:val="0"/>
          <w:sz w:val="32"/>
          <w:szCs w:val="32"/>
        </w:rPr>
      </w:pPr>
    </w:p>
    <w:p>
      <w:pPr>
        <w:spacing w:line="580" w:lineRule="exact"/>
        <w:jc w:val="center"/>
        <w:rPr>
          <w:rFonts w:ascii="方正小标宋简体" w:hAnsi="方正小标宋简体" w:eastAsia="方正小标宋简体" w:cs="方正小标宋简体"/>
          <w:sz w:val="44"/>
          <w:szCs w:val="44"/>
        </w:rPr>
      </w:pPr>
    </w:p>
    <w:p>
      <w:pPr>
        <w:pStyle w:val="3"/>
        <w:spacing w:before="93"/>
        <w:rPr>
          <w:rFonts w:ascii="方正小标宋简体" w:hAnsi="方正小标宋简体" w:eastAsia="方正小标宋简体" w:cs="方正小标宋简体"/>
          <w:sz w:val="44"/>
          <w:szCs w:val="44"/>
        </w:rPr>
      </w:pPr>
    </w:p>
    <w:p>
      <w:pPr>
        <w:pStyle w:val="3"/>
        <w:spacing w:before="93"/>
        <w:rPr>
          <w:rFonts w:ascii="方正小标宋简体" w:hAnsi="方正小标宋简体" w:eastAsia="方正小标宋简体" w:cs="方正小标宋简体"/>
          <w:sz w:val="44"/>
          <w:szCs w:val="44"/>
        </w:rPr>
      </w:pPr>
    </w:p>
    <w:p>
      <w:pPr>
        <w:pStyle w:val="3"/>
        <w:spacing w:before="93"/>
        <w:rPr>
          <w:rFonts w:ascii="方正小标宋简体" w:hAnsi="方正小标宋简体" w:eastAsia="方正小标宋简体" w:cs="方正小标宋简体"/>
          <w:sz w:val="44"/>
          <w:szCs w:val="44"/>
        </w:rPr>
      </w:pPr>
    </w:p>
    <w:p>
      <w:pPr>
        <w:pStyle w:val="3"/>
        <w:spacing w:before="93"/>
        <w:rPr>
          <w:rFonts w:ascii="方正小标宋简体" w:hAnsi="方正小标宋简体" w:eastAsia="方正小标宋简体" w:cs="方正小标宋简体"/>
          <w:sz w:val="44"/>
          <w:szCs w:val="44"/>
        </w:rPr>
      </w:pPr>
    </w:p>
    <w:p>
      <w:pPr>
        <w:pStyle w:val="3"/>
        <w:spacing w:before="93"/>
        <w:rPr>
          <w:rFonts w:ascii="方正小标宋简体" w:hAnsi="方正小标宋简体" w:eastAsia="方正小标宋简体" w:cs="方正小标宋简体"/>
          <w:sz w:val="44"/>
          <w:szCs w:val="44"/>
        </w:rPr>
      </w:pPr>
    </w:p>
    <w:p>
      <w:pPr>
        <w:pStyle w:val="3"/>
        <w:spacing w:before="93"/>
        <w:rPr>
          <w:rFonts w:ascii="方正小标宋简体" w:hAnsi="方正小标宋简体" w:eastAsia="方正小标宋简体" w:cs="方正小标宋简体"/>
          <w:sz w:val="44"/>
          <w:szCs w:val="44"/>
        </w:rPr>
      </w:pPr>
    </w:p>
    <w:p>
      <w:pPr>
        <w:pStyle w:val="3"/>
        <w:spacing w:before="93"/>
        <w:rPr>
          <w:rFonts w:ascii="方正小标宋简体" w:hAnsi="方正小标宋简体" w:eastAsia="方正小标宋简体" w:cs="方正小标宋简体"/>
          <w:sz w:val="44"/>
          <w:szCs w:val="44"/>
        </w:rPr>
      </w:pPr>
    </w:p>
    <w:tbl>
      <w:tblPr>
        <w:tblStyle w:val="8"/>
        <w:tblpPr w:leftFromText="180" w:rightFromText="180" w:vertAnchor="text" w:horzAnchor="page" w:tblpX="1281" w:tblpY="660"/>
        <w:tblOverlap w:val="never"/>
        <w:tblW w:w="9811" w:type="dxa"/>
        <w:tblInd w:w="-108" w:type="dxa"/>
        <w:tblLayout w:type="fixed"/>
        <w:tblCellMar>
          <w:top w:w="0" w:type="dxa"/>
          <w:left w:w="108" w:type="dxa"/>
          <w:bottom w:w="0" w:type="dxa"/>
          <w:right w:w="108" w:type="dxa"/>
        </w:tblCellMar>
      </w:tblPr>
      <w:tblGrid>
        <w:gridCol w:w="1976"/>
        <w:gridCol w:w="1141"/>
        <w:gridCol w:w="1635"/>
        <w:gridCol w:w="1685"/>
        <w:gridCol w:w="1197"/>
        <w:gridCol w:w="1941"/>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ign w:val="center"/>
          </w:tcPr>
          <w:p>
            <w:pPr>
              <w:widowControl/>
              <w:jc w:val="center"/>
              <w:textAlignment w:val="center"/>
              <w:rPr>
                <w:rFonts w:ascii="宋体" w:hAnsi="宋体" w:cs="宋体"/>
                <w:b/>
                <w:sz w:val="32"/>
                <w:szCs w:val="32"/>
              </w:rPr>
            </w:pPr>
            <w:r>
              <w:rPr>
                <w:rFonts w:hint="eastAsia" w:ascii="宋体" w:hAnsi="宋体" w:cs="宋体"/>
                <w:b/>
                <w:sz w:val="32"/>
                <w:szCs w:val="32"/>
              </w:rPr>
              <w:t>三溪镇桅杆坪村项目绩效目标自评</w:t>
            </w:r>
          </w:p>
        </w:tc>
        <w:tc>
          <w:tcPr>
            <w:tcW w:w="234" w:type="dxa"/>
            <w:tcBorders>
              <w:top w:val="nil"/>
              <w:left w:val="nil"/>
              <w:bottom w:val="nil"/>
              <w:right w:val="nil"/>
            </w:tcBorders>
            <w:noWrap/>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3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通江县交通运输局</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ascii="宋体" w:hAnsi="宋体" w:cs="宋体"/>
                <w:sz w:val="24"/>
              </w:rPr>
            </w:pPr>
            <w:r>
              <w:rPr>
                <w:rFonts w:hint="eastAsia" w:ascii="宋体" w:hAnsi="宋体" w:cs="宋体"/>
                <w:sz w:val="24"/>
              </w:rPr>
              <w:t>通江县三溪镇人民政府</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sz w:val="24"/>
              </w:rPr>
              <w:t>195.5</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sz w:val="24"/>
              </w:rPr>
              <w:t>195.5</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sz w:val="24"/>
              </w:rPr>
              <w:t>195.5</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sz w:val="24"/>
              </w:rPr>
              <w:t>195.5</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13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cs="宋体"/>
                <w:sz w:val="24"/>
              </w:rPr>
            </w:pPr>
          </w:p>
        </w:tc>
        <w:tc>
          <w:tcPr>
            <w:tcW w:w="4462"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hAnsi="宋体" w:cs="宋体"/>
                <w:sz w:val="24"/>
              </w:rPr>
            </w:pPr>
            <w:r>
              <w:rPr>
                <w:rFonts w:hint="eastAsia" w:ascii="宋体" w:hAnsi="宋体" w:cs="宋体"/>
                <w:sz w:val="24"/>
              </w:rPr>
              <w:t>进一步完善基础设施建设，解决桅杆坪村群众出行困难的问题，提高群众的生产生活质量，保障群众的生命财产安全。</w:t>
            </w:r>
          </w:p>
        </w:tc>
        <w:tc>
          <w:tcPr>
            <w:tcW w:w="3138"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ascii="宋体" w:hAnsi="宋体" w:cs="宋体"/>
                <w:sz w:val="24"/>
              </w:rPr>
            </w:pPr>
            <w:r>
              <w:rPr>
                <w:rFonts w:hint="eastAsia" w:ascii="宋体" w:hAnsi="宋体" w:cs="宋体"/>
                <w:sz w:val="24"/>
              </w:rPr>
              <w:t>新建道路5.9公里，解决了群众出行困难的问题，提高了群众的生产生活质量。</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新建道路</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＞5公里</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5.9公里</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项目验收合格率</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工程完工及时</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及时</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及时</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补助资金</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＞190万元</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195.5万元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促进村集体经济发展</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textAlignment w:val="bottom"/>
              <w:rPr>
                <w:rFonts w:ascii="仿宋_GB2312" w:hAnsi="仿宋_GB2312" w:eastAsia="仿宋_GB2312" w:cs="仿宋_GB2312"/>
                <w:sz w:val="24"/>
              </w:rPr>
            </w:pPr>
            <w:r>
              <w:rPr>
                <w:rFonts w:hint="eastAsia" w:ascii="仿宋_GB2312" w:hAnsi="仿宋_GB2312" w:eastAsia="仿宋_GB2312" w:cs="仿宋_GB2312"/>
                <w:sz w:val="24"/>
              </w:rPr>
              <w:t>＞2万元</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3万元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缩短村民出行时间</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textAlignment w:val="bottom"/>
              <w:rPr>
                <w:rFonts w:ascii="仿宋_GB2312" w:hAnsi="仿宋_GB2312" w:eastAsia="仿宋_GB2312" w:cs="仿宋_GB2312"/>
                <w:sz w:val="24"/>
              </w:rPr>
            </w:pPr>
            <w:r>
              <w:rPr>
                <w:rFonts w:hint="eastAsia" w:ascii="仿宋_GB2312" w:hAnsi="仿宋_GB2312" w:eastAsia="仿宋_GB2312" w:cs="仿宋_GB2312"/>
                <w:sz w:val="24"/>
              </w:rPr>
              <w:t>≥0.5小时</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≥0.5小时</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生态效益影响率</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道路使用年限</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≥30年</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≥30年</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群众满意度</w:t>
            </w:r>
          </w:p>
        </w:tc>
        <w:tc>
          <w:tcPr>
            <w:tcW w:w="1197"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≥98%</w:t>
            </w:r>
          </w:p>
        </w:tc>
        <w:tc>
          <w:tcPr>
            <w:tcW w:w="1941"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≥98%</w:t>
            </w:r>
          </w:p>
        </w:tc>
      </w:tr>
    </w:tbl>
    <w:p>
      <w:pPr>
        <w:adjustRightInd w:val="0"/>
        <w:snapToGrid w:val="0"/>
        <w:spacing w:line="560" w:lineRule="exact"/>
        <w:ind w:firstLine="720"/>
        <w:rPr>
          <w:rFonts w:ascii="仿宋_GB2312" w:hAnsi="Calibri" w:eastAsia="仿宋_GB2312" w:cs="仿宋"/>
          <w:color w:val="000000"/>
          <w:kern w:val="0"/>
          <w:sz w:val="32"/>
          <w:szCs w:val="32"/>
          <w:lang w:val="zh-CN"/>
        </w:rPr>
      </w:pPr>
    </w:p>
    <w:p>
      <w:pPr>
        <w:spacing w:line="600" w:lineRule="exact"/>
        <w:rPr>
          <w:rFonts w:ascii="宋体"/>
          <w:sz w:val="32"/>
          <w:szCs w:val="32"/>
          <w:lang w:val="zh-CN"/>
        </w:rPr>
      </w:pPr>
    </w:p>
    <w:p>
      <w:pPr>
        <w:widowControl/>
        <w:jc w:val="left"/>
        <w:rPr>
          <w:rStyle w:val="18"/>
          <w:rFonts w:ascii="黑体" w:hAnsi="黑体" w:eastAsia="黑体"/>
          <w:b w:val="0"/>
        </w:rPr>
      </w:pPr>
    </w:p>
    <w:p>
      <w:pPr>
        <w:spacing w:line="600" w:lineRule="exact"/>
        <w:jc w:val="center"/>
        <w:outlineLvl w:val="0"/>
        <w:rPr>
          <w:rStyle w:val="18"/>
          <w:rFonts w:ascii="黑体" w:hAnsi="黑体" w:eastAsia="黑体"/>
          <w:b w:val="0"/>
        </w:rPr>
      </w:pPr>
    </w:p>
    <w:p>
      <w:pPr>
        <w:spacing w:line="600" w:lineRule="exact"/>
        <w:jc w:val="center"/>
        <w:outlineLvl w:val="0"/>
        <w:rPr>
          <w:rFonts w:ascii="黑体" w:hAnsi="黑体" w:eastAsia="黑体"/>
          <w:color w:val="000000"/>
          <w:sz w:val="44"/>
          <w:szCs w:val="44"/>
        </w:rPr>
      </w:pPr>
      <w:bookmarkStart w:id="64"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五部分附表</w:t>
      </w:r>
      <w:bookmarkEnd w:id="62"/>
      <w:bookmarkEnd w:id="64"/>
    </w:p>
    <w:p>
      <w:pPr>
        <w:spacing w:line="600" w:lineRule="exact"/>
        <w:jc w:val="center"/>
        <w:outlineLvl w:val="0"/>
        <w:rPr>
          <w:rFonts w:ascii="仿宋" w:hAnsi="仿宋" w:eastAsia="仿宋"/>
          <w:b/>
          <w:color w:val="000000"/>
          <w:sz w:val="44"/>
          <w:szCs w:val="44"/>
        </w:rPr>
      </w:pPr>
    </w:p>
    <w:p>
      <w:pPr>
        <w:pStyle w:val="15"/>
        <w:rPr>
          <w:rFonts w:ascii="仿宋" w:hAnsi="仿宋" w:eastAsia="仿宋"/>
          <w:color w:val="000000"/>
        </w:rPr>
      </w:pPr>
      <w:bookmarkStart w:id="65"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65"/>
    </w:p>
    <w:p>
      <w:pPr>
        <w:pStyle w:val="15"/>
        <w:rPr>
          <w:rFonts w:ascii="仿宋" w:hAnsi="仿宋" w:eastAsia="仿宋"/>
          <w:color w:val="000000"/>
        </w:rPr>
      </w:pPr>
      <w:bookmarkStart w:id="66"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66"/>
    </w:p>
    <w:p>
      <w:pPr>
        <w:pStyle w:val="15"/>
        <w:rPr>
          <w:rFonts w:ascii="仿宋" w:hAnsi="仿宋" w:eastAsia="仿宋"/>
          <w:color w:val="000000"/>
        </w:rPr>
      </w:pPr>
      <w:bookmarkStart w:id="67"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67"/>
    </w:p>
    <w:p>
      <w:pPr>
        <w:pStyle w:val="15"/>
        <w:rPr>
          <w:rFonts w:ascii="仿宋" w:hAnsi="仿宋" w:eastAsia="仿宋"/>
          <w:b w:val="0"/>
          <w:color w:val="000000"/>
        </w:rPr>
      </w:pPr>
      <w:bookmarkStart w:id="68"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w:t>
      </w:r>
      <w:r>
        <w:rPr>
          <w:rFonts w:hint="eastAsia" w:ascii="仿宋" w:hAnsi="仿宋" w:eastAsia="仿宋"/>
        </w:rPr>
        <w:t>收入支出决算总表</w:t>
      </w:r>
      <w:bookmarkEnd w:id="68"/>
    </w:p>
    <w:p>
      <w:pPr>
        <w:pStyle w:val="15"/>
        <w:rPr>
          <w:rStyle w:val="19"/>
          <w:rFonts w:ascii="仿宋" w:hAnsi="仿宋" w:eastAsia="仿宋"/>
          <w:b w:val="0"/>
          <w:bCs w:val="0"/>
        </w:rPr>
      </w:pPr>
      <w:bookmarkStart w:id="69"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w:t>
      </w:r>
      <w:r>
        <w:rPr>
          <w:rFonts w:hint="eastAsia" w:ascii="仿宋" w:hAnsi="仿宋" w:eastAsia="仿宋"/>
        </w:rPr>
        <w:t>支出决算明细表</w:t>
      </w:r>
      <w:bookmarkEnd w:id="69"/>
      <w:bookmarkStart w:id="70" w:name="_Toc15396624"/>
    </w:p>
    <w:p>
      <w:pPr>
        <w:pStyle w:val="15"/>
        <w:rPr>
          <w:rFonts w:ascii="仿宋" w:hAnsi="仿宋" w:eastAsia="仿宋"/>
          <w:color w:val="000000"/>
        </w:rPr>
      </w:pPr>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支出决算表</w:t>
      </w:r>
      <w:bookmarkEnd w:id="70"/>
    </w:p>
    <w:p>
      <w:pPr>
        <w:pStyle w:val="15"/>
        <w:rPr>
          <w:rFonts w:ascii="仿宋" w:hAnsi="仿宋" w:eastAsia="仿宋"/>
          <w:color w:val="000000"/>
        </w:rPr>
      </w:pPr>
      <w:bookmarkStart w:id="71"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支出决算明细表</w:t>
      </w:r>
      <w:bookmarkEnd w:id="71"/>
    </w:p>
    <w:p>
      <w:pPr>
        <w:pStyle w:val="15"/>
        <w:rPr>
          <w:rFonts w:ascii="仿宋" w:hAnsi="仿宋" w:eastAsia="仿宋"/>
          <w:color w:val="000000"/>
        </w:rPr>
      </w:pPr>
      <w:bookmarkStart w:id="72"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基本支出决算表</w:t>
      </w:r>
      <w:bookmarkEnd w:id="72"/>
    </w:p>
    <w:p>
      <w:pPr>
        <w:pStyle w:val="15"/>
        <w:rPr>
          <w:rFonts w:ascii="仿宋" w:hAnsi="仿宋" w:eastAsia="仿宋"/>
          <w:color w:val="000000"/>
        </w:rPr>
      </w:pPr>
      <w:bookmarkStart w:id="73"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项目支出决算表</w:t>
      </w:r>
      <w:bookmarkEnd w:id="73"/>
    </w:p>
    <w:p>
      <w:pPr>
        <w:pStyle w:val="15"/>
        <w:rPr>
          <w:rFonts w:ascii="仿宋" w:hAnsi="仿宋" w:eastAsia="仿宋"/>
          <w:color w:val="000000"/>
        </w:rPr>
      </w:pPr>
      <w:bookmarkStart w:id="74"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w:t>
      </w:r>
      <w:r>
        <w:rPr>
          <w:rStyle w:val="19"/>
          <w:rFonts w:hint="eastAsia" w:ascii="仿宋" w:hAnsi="仿宋" w:eastAsia="仿宋"/>
          <w:b w:val="0"/>
          <w:bCs w:val="0"/>
        </w:rPr>
        <w:t>拨款“三公”经费支出决算表</w:t>
      </w:r>
      <w:bookmarkEnd w:id="74"/>
    </w:p>
    <w:p>
      <w:pPr>
        <w:pStyle w:val="15"/>
        <w:rPr>
          <w:rFonts w:ascii="仿宋" w:hAnsi="仿宋" w:eastAsia="仿宋"/>
          <w:color w:val="000000"/>
        </w:rPr>
      </w:pPr>
      <w:bookmarkStart w:id="75" w:name="_Toc1539662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收入支出决算表</w:t>
      </w:r>
      <w:bookmarkEnd w:id="75"/>
    </w:p>
    <w:p>
      <w:pPr>
        <w:pStyle w:val="15"/>
        <w:rPr>
          <w:rFonts w:ascii="仿宋" w:hAnsi="仿宋" w:eastAsia="仿宋"/>
          <w:color w:val="000000"/>
        </w:rPr>
      </w:pPr>
      <w:bookmarkStart w:id="76" w:name="_Toc1539663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rPr>
        <w:t>财政</w:t>
      </w:r>
      <w:r>
        <w:rPr>
          <w:rStyle w:val="19"/>
          <w:rFonts w:hint="eastAsia" w:ascii="仿宋" w:hAnsi="仿宋" w:eastAsia="仿宋"/>
          <w:b w:val="0"/>
          <w:bCs w:val="0"/>
        </w:rPr>
        <w:t>拨款“三公”经费支出决算表</w:t>
      </w:r>
      <w:bookmarkEnd w:id="76"/>
    </w:p>
    <w:p>
      <w:pPr>
        <w:pStyle w:val="15"/>
        <w:rPr>
          <w:rFonts w:ascii="仿宋" w:hAnsi="仿宋" w:eastAsia="仿宋"/>
          <w:color w:val="000000"/>
        </w:rPr>
      </w:pPr>
      <w:bookmarkStart w:id="77"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w:t>
      </w:r>
      <w:r>
        <w:rPr>
          <w:rFonts w:hint="eastAsia" w:ascii="仿宋" w:hAnsi="仿宋" w:eastAsia="仿宋"/>
        </w:rPr>
        <w:t>财政</w:t>
      </w:r>
      <w:r>
        <w:rPr>
          <w:rStyle w:val="19"/>
          <w:rFonts w:hint="eastAsia" w:ascii="仿宋" w:hAnsi="仿宋" w:eastAsia="仿宋"/>
          <w:b w:val="0"/>
          <w:bCs w:val="0"/>
        </w:rPr>
        <w:t>拨款</w:t>
      </w:r>
      <w:r>
        <w:rPr>
          <w:rFonts w:hint="eastAsia" w:ascii="仿宋" w:hAnsi="仿宋" w:eastAsia="仿宋"/>
        </w:rPr>
        <w:t>支出决算表</w:t>
      </w:r>
      <w:bookmarkEnd w:id="77"/>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28</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E72C0"/>
    <w:multiLevelType w:val="singleLevel"/>
    <w:tmpl w:val="18AE72C0"/>
    <w:lvl w:ilvl="0" w:tentative="0">
      <w:start w:val="3"/>
      <w:numFmt w:val="chineseCounting"/>
      <w:suff w:val="space"/>
      <w:lvlText w:val="第%1部分"/>
      <w:lvlJc w:val="left"/>
      <w:rPr>
        <w:rFonts w:hint="eastAsia" w:cs="Times New Roman"/>
      </w:rPr>
    </w:lvl>
  </w:abstractNum>
  <w:abstractNum w:abstractNumId="1">
    <w:nsid w:val="1EA00566"/>
    <w:multiLevelType w:val="multilevel"/>
    <w:tmpl w:val="1EA00566"/>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abstractNum w:abstractNumId="2">
    <w:nsid w:val="295A1770"/>
    <w:multiLevelType w:val="multilevel"/>
    <w:tmpl w:val="295A1770"/>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35ED7D39"/>
    <w:multiLevelType w:val="singleLevel"/>
    <w:tmpl w:val="35ED7D39"/>
    <w:lvl w:ilvl="0" w:tentative="0">
      <w:start w:val="1"/>
      <w:numFmt w:val="decimal"/>
      <w:lvlText w:val="%1."/>
      <w:lvlJc w:val="left"/>
      <w:pPr>
        <w:tabs>
          <w:tab w:val="left" w:pos="312"/>
        </w:tabs>
        <w:ind w:left="-13" w:firstLine="0"/>
      </w:pPr>
    </w:lvl>
  </w:abstractNum>
  <w:abstractNum w:abstractNumId="4">
    <w:nsid w:val="4CD96883"/>
    <w:multiLevelType w:val="singleLevel"/>
    <w:tmpl w:val="4CD96883"/>
    <w:lvl w:ilvl="0" w:tentative="0">
      <w:start w:val="3"/>
      <w:numFmt w:val="chineseCounting"/>
      <w:suff w:val="nothing"/>
      <w:lvlText w:val="（%1）"/>
      <w:lvlJc w:val="left"/>
      <w:rPr>
        <w:rFonts w:hint="eastAsia"/>
      </w:rPr>
    </w:lvl>
  </w:abstractNum>
  <w:abstractNum w:abstractNumId="5">
    <w:nsid w:val="76C648F6"/>
    <w:multiLevelType w:val="singleLevel"/>
    <w:tmpl w:val="76C648F6"/>
    <w:lvl w:ilvl="0" w:tentative="0">
      <w:start w:val="2"/>
      <w:numFmt w:val="chineseCounting"/>
      <w:suff w:val="nothing"/>
      <w:lvlText w:val="（%1）"/>
      <w:lvlJc w:val="left"/>
      <w:rPr>
        <w:rFonts w:hint="eastAsia"/>
      </w:rPr>
    </w:lvl>
  </w:abstractNum>
  <w:num w:numId="1">
    <w:abstractNumId w:val="1"/>
  </w:num>
  <w:num w:numId="2">
    <w:abstractNumId w:val="2"/>
  </w:num>
  <w:num w:numId="3">
    <w:abstractNumId w:val="3"/>
    <w:lvlOverride w:ilvl="0">
      <w:startOverride w:val="1"/>
    </w:lvlOverride>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M4ZDZhZGYyYjgzNzFmMmU3YTczMjUxMWY3YTZmZDIifQ=="/>
  </w:docVars>
  <w:rsids>
    <w:rsidRoot w:val="00781B0B"/>
    <w:rsid w:val="00090B0F"/>
    <w:rsid w:val="003314D5"/>
    <w:rsid w:val="005818E2"/>
    <w:rsid w:val="00781B0B"/>
    <w:rsid w:val="007829E9"/>
    <w:rsid w:val="00DA0A3D"/>
    <w:rsid w:val="00EC66FB"/>
    <w:rsid w:val="00EE4BE5"/>
    <w:rsid w:val="3B8D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39"/>
    <w:qFormat/>
    <w:uiPriority w:val="99"/>
    <w:pPr>
      <w:tabs>
        <w:tab w:val="center" w:pos="4153"/>
        <w:tab w:val="right" w:pos="8306"/>
      </w:tabs>
      <w:snapToGrid w:val="0"/>
      <w:jc w:val="left"/>
    </w:pPr>
    <w:rPr>
      <w:sz w:val="18"/>
      <w:szCs w:val="18"/>
    </w:rPr>
  </w:style>
  <w:style w:type="paragraph" w:styleId="6">
    <w:name w:val="header"/>
    <w:basedOn w:val="1"/>
    <w:link w:val="3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qFormat/>
    <w:uiPriority w:val="99"/>
    <w:rPr>
      <w:rFonts w:cs="Times New Roman"/>
      <w:b/>
    </w:rPr>
  </w:style>
  <w:style w:type="character" w:styleId="12">
    <w:name w:val="Hyperlink"/>
    <w:unhideWhenUsed/>
    <w:qFormat/>
    <w:uiPriority w:val="99"/>
    <w:rPr>
      <w:rFonts w:cs="Times New Roman"/>
      <w:color w:val="0000FF"/>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18"/>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customStyle="1" w:styleId="16">
    <w:name w:val="Heading 3"/>
    <w:basedOn w:val="1"/>
    <w:next w:val="1"/>
    <w:link w:val="20"/>
    <w:qFormat/>
    <w:uiPriority w:val="9"/>
    <w:pPr>
      <w:keepNext/>
      <w:keepLines/>
      <w:spacing w:before="260" w:after="260" w:line="416" w:lineRule="auto"/>
      <w:outlineLvl w:val="2"/>
    </w:pPr>
    <w:rPr>
      <w:b/>
      <w:bCs/>
      <w:sz w:val="32"/>
      <w:szCs w:val="32"/>
    </w:rPr>
  </w:style>
  <w:style w:type="character" w:customStyle="1" w:styleId="17">
    <w:name w:val="正文文本 字符"/>
    <w:qFormat/>
    <w:locked/>
    <w:uiPriority w:val="99"/>
    <w:rPr>
      <w:rFonts w:ascii="仿宋_GB2312" w:hAnsi="Times New Roman" w:eastAsia="仿宋_GB2312"/>
      <w:sz w:val="24"/>
    </w:rPr>
  </w:style>
  <w:style w:type="character" w:customStyle="1" w:styleId="18">
    <w:name w:val="标题 1 Char"/>
    <w:link w:val="14"/>
    <w:qFormat/>
    <w:locked/>
    <w:uiPriority w:val="9"/>
    <w:rPr>
      <w:rFonts w:ascii="Times New Roman" w:hAnsi="Times New Roman" w:cs="Times New Roman"/>
      <w:b/>
      <w:bCs/>
      <w:kern w:val="44"/>
      <w:sz w:val="44"/>
      <w:szCs w:val="44"/>
    </w:rPr>
  </w:style>
  <w:style w:type="character" w:customStyle="1" w:styleId="19">
    <w:name w:val="标题 2 Char"/>
    <w:link w:val="15"/>
    <w:qFormat/>
    <w:locked/>
    <w:uiPriority w:val="9"/>
    <w:rPr>
      <w:rFonts w:ascii="Cambria" w:hAnsi="Cambria" w:eastAsia="宋体" w:cs="Times New Roman"/>
      <w:b/>
      <w:bCs/>
      <w:kern w:val="2"/>
      <w:sz w:val="32"/>
      <w:szCs w:val="32"/>
    </w:rPr>
  </w:style>
  <w:style w:type="character" w:customStyle="1" w:styleId="20">
    <w:name w:val="标题 3 Char"/>
    <w:link w:val="16"/>
    <w:qFormat/>
    <w:locked/>
    <w:uiPriority w:val="9"/>
    <w:rPr>
      <w:rFonts w:ascii="Times New Roman" w:hAnsi="Times New Roman" w:cs="Times New Roman"/>
      <w:b/>
      <w:bCs/>
      <w:kern w:val="2"/>
      <w:sz w:val="32"/>
      <w:szCs w:val="32"/>
    </w:rPr>
  </w:style>
  <w:style w:type="paragraph" w:customStyle="1" w:styleId="21">
    <w:name w:val="TOC 3"/>
    <w:basedOn w:val="1"/>
    <w:next w:val="1"/>
    <w:unhideWhenUsed/>
    <w:qFormat/>
    <w:uiPriority w:val="39"/>
    <w:pPr>
      <w:tabs>
        <w:tab w:val="right" w:leader="dot" w:pos="8296"/>
      </w:tabs>
      <w:ind w:left="840" w:leftChars="400"/>
    </w:pPr>
  </w:style>
  <w:style w:type="character" w:customStyle="1" w:styleId="22">
    <w:name w:val="批注框文本 字符"/>
    <w:semiHidden/>
    <w:qFormat/>
    <w:locked/>
    <w:uiPriority w:val="99"/>
    <w:rPr>
      <w:rFonts w:ascii="Times New Roman" w:hAnsi="Times New Roman" w:cs="Times New Roman"/>
      <w:kern w:val="2"/>
      <w:sz w:val="18"/>
      <w:szCs w:val="18"/>
    </w:rPr>
  </w:style>
  <w:style w:type="paragraph" w:customStyle="1" w:styleId="23">
    <w:name w:val="Footer"/>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4">
    <w:name w:val="页脚 字符"/>
    <w:qFormat/>
    <w:locked/>
    <w:uiPriority w:val="99"/>
    <w:rPr>
      <w:sz w:val="18"/>
    </w:rPr>
  </w:style>
  <w:style w:type="paragraph" w:customStyle="1" w:styleId="25">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6">
    <w:name w:val="页眉 字符"/>
    <w:semiHidden/>
    <w:qFormat/>
    <w:locked/>
    <w:uiPriority w:val="99"/>
    <w:rPr>
      <w:sz w:val="18"/>
    </w:rPr>
  </w:style>
  <w:style w:type="paragraph" w:customStyle="1" w:styleId="2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8">
    <w:name w:val="TOC 2"/>
    <w:basedOn w:val="1"/>
    <w:next w:val="1"/>
    <w:unhideWhenUsed/>
    <w:qFormat/>
    <w:uiPriority w:val="39"/>
    <w:pPr>
      <w:tabs>
        <w:tab w:val="right" w:leader="dot" w:pos="8296"/>
      </w:tabs>
      <w:ind w:left="420" w:leftChars="200"/>
    </w:pPr>
  </w:style>
  <w:style w:type="character" w:customStyle="1" w:styleId="29">
    <w:name w:val="Footer Char"/>
    <w:semiHidden/>
    <w:qFormat/>
    <w:uiPriority w:val="99"/>
    <w:rPr>
      <w:rFonts w:ascii="Times New Roman" w:hAnsi="Times New Roman" w:cs="Times New Roman"/>
      <w:sz w:val="18"/>
      <w:szCs w:val="18"/>
    </w:rPr>
  </w:style>
  <w:style w:type="character" w:customStyle="1" w:styleId="30">
    <w:name w:val="Body Text Char"/>
    <w:semiHidden/>
    <w:qFormat/>
    <w:uiPriority w:val="99"/>
    <w:rPr>
      <w:rFonts w:ascii="Times New Roman" w:hAnsi="Times New Roman" w:cs="Times New Roman"/>
      <w:sz w:val="24"/>
      <w:szCs w:val="24"/>
    </w:rPr>
  </w:style>
  <w:style w:type="character" w:customStyle="1" w:styleId="31">
    <w:name w:val="Header Char"/>
    <w:semiHidden/>
    <w:qFormat/>
    <w:uiPriority w:val="99"/>
    <w:rPr>
      <w:rFonts w:ascii="Times New Roman" w:hAnsi="Times New Roman" w:cs="Times New Roman"/>
      <w:sz w:val="18"/>
      <w:szCs w:val="18"/>
    </w:rPr>
  </w:style>
  <w:style w:type="paragraph" w:customStyle="1" w:styleId="32">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4">
    <w:name w:val="List Paragraph"/>
    <w:basedOn w:val="1"/>
    <w:qFormat/>
    <w:uiPriority w:val="34"/>
    <w:pPr>
      <w:ind w:firstLine="420" w:firstLineChars="200"/>
    </w:pPr>
  </w:style>
  <w:style w:type="paragraph" w:customStyle="1" w:styleId="35">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常用样式（方正仿宋简）"/>
    <w:basedOn w:val="1"/>
    <w:next w:val="1"/>
    <w:qFormat/>
    <w:uiPriority w:val="0"/>
    <w:pPr>
      <w:spacing w:line="560" w:lineRule="exact"/>
      <w:ind w:firstLine="640" w:firstLineChars="200"/>
    </w:pPr>
    <w:rPr>
      <w:rFonts w:eastAsia="方正仿宋简体"/>
      <w:sz w:val="32"/>
    </w:rPr>
  </w:style>
  <w:style w:type="character" w:customStyle="1" w:styleId="37">
    <w:name w:val="批注文字 Char"/>
    <w:basedOn w:val="10"/>
    <w:semiHidden/>
    <w:uiPriority w:val="99"/>
    <w:rPr>
      <w:kern w:val="2"/>
      <w:sz w:val="21"/>
      <w:szCs w:val="24"/>
    </w:rPr>
  </w:style>
  <w:style w:type="character" w:customStyle="1" w:styleId="38">
    <w:name w:val="页眉 Char"/>
    <w:basedOn w:val="10"/>
    <w:link w:val="6"/>
    <w:semiHidden/>
    <w:uiPriority w:val="99"/>
    <w:rPr>
      <w:kern w:val="2"/>
      <w:sz w:val="18"/>
      <w:szCs w:val="18"/>
    </w:rPr>
  </w:style>
  <w:style w:type="character" w:customStyle="1" w:styleId="39">
    <w:name w:val="页脚 Char"/>
    <w:basedOn w:val="10"/>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215"/>
    <customShpInfo spid="_x0000_s1218"/>
    <customShpInfo spid="_x0000_s1219"/>
    <customShpInfo spid="_x0000_s1220"/>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Template>Normal.dotm</Template>
  <TotalTime>157256160</TotalTime>
  <Pages>31</Pages>
  <Words>10633</Words>
  <Characters>11551</Characters>
  <Application>WPS Office_11.1.0.12302_F1E327BC-269C-435d-A152-05C5408002CA</Application>
  <DocSecurity>0</DocSecurity>
  <Lines>135</Lines>
  <Paragraphs>38</Paragraphs>
  <Company>四川省财政厅</Company>
  <CharactersWithSpaces>11649</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9</cp:revision>
  <cp:lastPrinted>2022-08-25T01:16:55Z</cp:lastPrinted>
  <dcterms:created xsi:type="dcterms:W3CDTF">2020-08-04T01:49:00Z</dcterms:created>
  <dcterms:modified xsi:type="dcterms:W3CDTF">2022-10-12T01:07:03Z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12</cp:revision>
  <cp:lastPrinted>2022-08-25T01:16:00Z</cp:lastPrinted>
  <dcterms:created xsi:type="dcterms:W3CDTF">2020-08-04T01:49:00Z</dcterms:created>
  <dcterms:modified xsi:type="dcterms:W3CDTF">2023-03-03T01:53:00Z</dcterms:modified>
</cp:coreProperties>
</file>

<file path=customXml/item4.xml><?xml version="1.0" encoding="utf-8"?>
<Properties xmlns="http://schemas.openxmlformats.org/officeDocument/2006/extended-properties" xmlns:vt="http://schemas.openxmlformats.org/officeDocument/2006/docPropsVTypes">
  <Template>Normal</Template>
  <TotalTime>157256184</TotalTime>
  <Pages>31</Pages>
  <Words>1778</Words>
  <Characters>10135</Characters>
  <Application>Microsoft Office Word</Application>
  <DocSecurity>0</DocSecurity>
  <Lines>84</Lines>
  <Paragraphs>23</Paragraphs>
  <ScaleCrop>false</ScaleCrop>
  <Company>四川省财政厅</Company>
  <LinksUpToDate>false</LinksUpToDate>
  <CharactersWithSpaces>11890</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D4B359D2EB0443DD8D1DEBACE755E4A0</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12</cp:revision>
  <cp:lastPrinted>2022-08-25T01:16:00Z</cp:lastPrinted>
  <dcterms:created xsi:type="dcterms:W3CDTF">2020-08-04T01:49:00Z</dcterms:created>
  <dcterms:modified xsi:type="dcterms:W3CDTF">2023-03-03T01:53:00Z</dcterms:modified>
</cp:coreProperties>
</file>

<file path=customXml/item7.xml><?xml version="1.0" encoding="utf-8"?>
<Properties xmlns:vt="http://schemas.openxmlformats.org/officeDocument/2006/docPropsVTypes" xmlns="http://schemas.openxmlformats.org/officeDocument/2006/extended-properties">
  <Template>Normal</Template>
  <TotalTime>157256184</TotalTime>
  <Pages>31</Pages>
  <Words>1778</Words>
  <Characters>10135</Characters>
  <Application>Microsoft Office Word</Application>
  <DocSecurity>0</DocSecurity>
  <Lines>84</Lines>
  <Paragraphs>23</Paragraphs>
  <Company>四川省财政厅</Company>
  <CharactersWithSpaces>11890</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D4B359D2EB0443DD8D1DEBACE755E4A0</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D4B359D2EB0443DD8D1DEBACE755E4A0</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E180AFD-73D3-4152-8A3F-6A2EE2CE5790}">
  <ds:schemaRefs/>
</ds:datastoreItem>
</file>

<file path=customXml/itemProps11.xml><?xml version="1.0" encoding="utf-8"?>
<ds:datastoreItem xmlns:ds="http://schemas.openxmlformats.org/officeDocument/2006/customXml" ds:itemID="{4955ADEF-CCAF-4BB0-9FDC-1916A8948BF5}">
  <ds:schemaRefs/>
</ds:datastoreItem>
</file>

<file path=customXml/itemProps2.xml><?xml version="1.0" encoding="utf-8"?>
<ds:datastoreItem xmlns:ds="http://schemas.openxmlformats.org/officeDocument/2006/customXml" ds:itemID="{0FA899BA-AAC4-42BF-A4DE-F01AB526B6D7}">
  <ds:schemaRefs/>
</ds:datastoreItem>
</file>

<file path=customXml/itemProps3.xml><?xml version="1.0" encoding="utf-8"?>
<ds:datastoreItem xmlns:ds="http://schemas.openxmlformats.org/officeDocument/2006/customXml" ds:itemID="{6D368882-0EB7-4201-8EA0-EFBA814CF2F9}">
  <ds:schemaRefs/>
</ds:datastoreItem>
</file>

<file path=customXml/itemProps4.xml><?xml version="1.0" encoding="utf-8"?>
<ds:datastoreItem xmlns:ds="http://schemas.openxmlformats.org/officeDocument/2006/customXml" ds:itemID="{CE5CAA3B-124B-41E4-924E-F7F7020D872B}">
  <ds:schemaRefs/>
</ds:datastoreItem>
</file>

<file path=customXml/itemProps5.xml><?xml version="1.0" encoding="utf-8"?>
<ds:datastoreItem xmlns:ds="http://schemas.openxmlformats.org/officeDocument/2006/customXml" ds:itemID="{799C5D48-DCAD-450E-B277-42761195A91F}">
  <ds:schemaRefs/>
</ds:datastoreItem>
</file>

<file path=customXml/itemProps6.xml><?xml version="1.0" encoding="utf-8"?>
<ds:datastoreItem xmlns:ds="http://schemas.openxmlformats.org/officeDocument/2006/customXml" ds:itemID="{A154FCE0-6426-4FF9-B5DA-A1513FA1E1E2}">
  <ds:schemaRefs/>
</ds:datastoreItem>
</file>

<file path=customXml/itemProps7.xml><?xml version="1.0" encoding="utf-8"?>
<ds:datastoreItem xmlns:ds="http://schemas.openxmlformats.org/officeDocument/2006/customXml" ds:itemID="{8D84F288-87C8-4370-9E63-43D6722CCA6F}">
  <ds:schemaRefs/>
</ds:datastoreItem>
</file>

<file path=customXml/itemProps8.xml><?xml version="1.0" encoding="utf-8"?>
<ds:datastoreItem xmlns:ds="http://schemas.openxmlformats.org/officeDocument/2006/customXml" ds:itemID="{088A1A87-7B33-4A29-BDEE-EB8268244A97}">
  <ds:schemaRefs/>
</ds:datastoreItem>
</file>

<file path=customXml/itemProps9.xml><?xml version="1.0" encoding="utf-8"?>
<ds:datastoreItem xmlns:ds="http://schemas.openxmlformats.org/officeDocument/2006/customXml" ds:itemID="{BF9B3A61-60D2-49F8-96B2-A8EA18A99B8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10381</Words>
  <Characters>11296</Characters>
  <Lines>83</Lines>
  <Paragraphs>23</Paragraphs>
  <TotalTime>157256188</TotalTime>
  <ScaleCrop>false</ScaleCrop>
  <LinksUpToDate>false</LinksUpToDate>
  <CharactersWithSpaces>11332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2022-08-25T01:16:00Z</cp:lastPrinted>
  <dcterms:modified xsi:type="dcterms:W3CDTF">2023-06-18T12:05:22Z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D4B359D2EB0443DD8D1DEBACE755E4A0</vt:lpwstr>
  </property>
</Properties>
</file>