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27359"/>
      <w:bookmarkStart w:id="2" w:name="_Toc15377425"/>
      <w:bookmarkStart w:id="3" w:name="_Toc15396475"/>
      <w:bookmarkStart w:id="4" w:name="_Toc15396597"/>
      <w:bookmarkStart w:id="5" w:name="_Toc15378441"/>
      <w:bookmarkStart w:id="6" w:name="_Toc15377193"/>
      <w:r>
        <w:rPr>
          <w:rFonts w:hint="eastAsia" w:ascii="方正小标宋简体" w:hAnsi="方正小标宋简体" w:eastAsia="方正小标宋简体" w:cs="方正小标宋简体"/>
          <w:sz w:val="72"/>
          <w:szCs w:val="72"/>
        </w:rPr>
        <w:t>2021年度</w:t>
      </w:r>
      <w:bookmarkEnd w:id="1"/>
      <w:bookmarkEnd w:id="2"/>
      <w:bookmarkEnd w:id="3"/>
      <w:bookmarkEnd w:id="4"/>
      <w:bookmarkEnd w:id="5"/>
      <w:bookmarkEnd w:id="6"/>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7" w:name="_Toc15378442"/>
      <w:bookmarkStart w:id="8" w:name="_Toc15396476"/>
      <w:bookmarkStart w:id="9" w:name="_Toc17656"/>
      <w:bookmarkStart w:id="10" w:name="_Toc15396598"/>
      <w:bookmarkStart w:id="11" w:name="_Toc15377426"/>
      <w:bookmarkStart w:id="12" w:name="_Toc15377194"/>
      <w:r>
        <w:rPr>
          <w:rFonts w:hint="eastAsia" w:ascii="方正小标宋简体" w:hAnsi="方正小标宋简体" w:eastAsia="方正小标宋简体" w:cs="方正小标宋简体"/>
          <w:sz w:val="72"/>
          <w:szCs w:val="72"/>
        </w:rPr>
        <w:t>四川省</w:t>
      </w:r>
      <w:bookmarkEnd w:id="0"/>
      <w:bookmarkStart w:id="13" w:name="_Toc15306268"/>
      <w:r>
        <w:rPr>
          <w:rFonts w:hint="eastAsia" w:ascii="方正小标宋简体" w:hAnsi="方正小标宋简体" w:eastAsia="方正小标宋简体" w:cs="方正小标宋简体"/>
          <w:sz w:val="72"/>
          <w:szCs w:val="72"/>
        </w:rPr>
        <w:t>通江县三溪镇卫生院单位决算</w:t>
      </w:r>
      <w:bookmarkEnd w:id="7"/>
      <w:bookmarkEnd w:id="8"/>
      <w:bookmarkEnd w:id="9"/>
      <w:bookmarkEnd w:id="10"/>
      <w:bookmarkEnd w:id="11"/>
      <w:bookmarkEnd w:id="12"/>
      <w:bookmarkEnd w:id="13"/>
    </w:p>
    <w:p>
      <w:pPr>
        <w:widowControl/>
        <w:jc w:val="center"/>
        <w:rPr>
          <w:rFonts w:ascii="方正小标宋简体" w:hAnsi="宋体" w:eastAsia="方正小标宋简体"/>
          <w:sz w:val="36"/>
          <w:szCs w:val="36"/>
        </w:rPr>
      </w:pPr>
    </w:p>
    <w:p>
      <w:pPr>
        <w:widowControl/>
        <w:jc w:val="center"/>
        <w:rPr>
          <w:rFonts w:ascii="方正小标宋简体" w:hAnsi="宋体" w:eastAsia="方正小标宋简体"/>
          <w:sz w:val="36"/>
          <w:szCs w:val="36"/>
        </w:rPr>
      </w:pPr>
    </w:p>
    <w:p>
      <w:pPr>
        <w:widowControl/>
        <w:jc w:val="center"/>
        <w:rPr>
          <w:rFonts w:ascii="方正小标宋简体" w:hAnsi="宋体" w:eastAsia="方正小标宋简体"/>
          <w:sz w:val="36"/>
          <w:szCs w:val="36"/>
        </w:rPr>
      </w:pPr>
    </w:p>
    <w:p>
      <w:pPr>
        <w:widowControl/>
        <w:jc w:val="center"/>
        <w:rPr>
          <w:rFonts w:ascii="方正小标宋简体" w:hAnsi="宋体" w:eastAsia="方正小标宋简体"/>
          <w:sz w:val="36"/>
          <w:szCs w:val="36"/>
        </w:rPr>
      </w:pPr>
    </w:p>
    <w:p>
      <w:pPr>
        <w:widowControl/>
        <w:jc w:val="center"/>
        <w:rPr>
          <w:rFonts w:ascii="方正小标宋简体" w:hAnsi="宋体" w:eastAsia="方正小标宋简体"/>
          <w:sz w:val="36"/>
          <w:szCs w:val="36"/>
        </w:rPr>
      </w:pPr>
    </w:p>
    <w:p>
      <w:pPr>
        <w:widowControl/>
        <w:jc w:val="center"/>
        <w:rPr>
          <w:rFonts w:ascii="方正小标宋简体" w:hAnsi="宋体" w:eastAsia="方正小标宋简体"/>
          <w:sz w:val="36"/>
          <w:szCs w:val="36"/>
        </w:rPr>
      </w:pPr>
    </w:p>
    <w:p>
      <w:pPr>
        <w:widowControl/>
        <w:jc w:val="center"/>
        <w:rPr>
          <w:rFonts w:ascii="方正小标宋简体" w:hAnsi="宋体" w:eastAsia="方正小标宋简体"/>
          <w:sz w:val="36"/>
          <w:szCs w:val="36"/>
        </w:rPr>
      </w:pPr>
    </w:p>
    <w:p>
      <w:pPr>
        <w:widowControl/>
        <w:jc w:val="center"/>
        <w:rPr>
          <w:rFonts w:ascii="方正小标宋简体" w:hAnsi="宋体" w:eastAsia="方正小标宋简体"/>
          <w:sz w:val="36"/>
          <w:szCs w:val="36"/>
        </w:rPr>
      </w:pPr>
    </w:p>
    <w:p>
      <w:pPr>
        <w:widowControl/>
        <w:jc w:val="center"/>
        <w:rPr>
          <w:rFonts w:ascii="方正小标宋简体" w:hAnsi="宋体" w:eastAsia="方正小标宋简体"/>
          <w:sz w:val="36"/>
          <w:szCs w:val="36"/>
        </w:rPr>
      </w:pPr>
    </w:p>
    <w:p>
      <w:pPr>
        <w:pStyle w:val="17"/>
      </w:pPr>
    </w:p>
    <w:p>
      <w:pPr>
        <w:jc w:val="center"/>
        <w:rPr>
          <w:rFonts w:ascii="宋体" w:hAnsi="宋体"/>
          <w:b/>
          <w:bCs/>
          <w:sz w:val="52"/>
          <w:szCs w:val="52"/>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1"/>
          <w:cols w:space="425" w:num="1"/>
          <w:titlePg/>
          <w:docGrid w:type="lines" w:linePitch="312" w:charSpace="0"/>
        </w:sectPr>
      </w:pPr>
    </w:p>
    <w:sdt>
      <w:sdtPr>
        <w:rPr>
          <w:rFonts w:ascii="宋体" w:hAnsi="宋体"/>
          <w:b/>
          <w:bCs/>
          <w:sz w:val="52"/>
          <w:szCs w:val="52"/>
        </w:rPr>
        <w:id w:val="147459844"/>
        <w:docPartObj>
          <w:docPartGallery w:val="Table of Contents"/>
          <w:docPartUnique/>
        </w:docPartObj>
      </w:sdtPr>
      <w:sdtEndPr>
        <w:rPr>
          <w:rFonts w:hint="eastAsia" w:ascii="黑体" w:hAnsi="黑体" w:eastAsia="黑体"/>
          <w:b/>
          <w:bCs/>
          <w:sz w:val="21"/>
          <w:szCs w:val="24"/>
        </w:rPr>
      </w:sdtEndPr>
      <w:sdtContent>
        <w:p>
          <w:pPr>
            <w:jc w:val="center"/>
            <w:rPr>
              <w:rFonts w:ascii="黑体" w:hAnsi="黑体" w:eastAsia="黑体" w:cs="黑体"/>
              <w:sz w:val="48"/>
              <w:szCs w:val="48"/>
            </w:rPr>
          </w:pPr>
          <w:r>
            <w:rPr>
              <w:rFonts w:hint="eastAsia" w:ascii="黑体" w:hAnsi="黑体" w:eastAsia="黑体" w:cs="黑体"/>
              <w:sz w:val="48"/>
              <w:szCs w:val="48"/>
            </w:rPr>
            <w:t>目录</w:t>
          </w:r>
        </w:p>
        <w:p>
          <w:pPr>
            <w:jc w:val="center"/>
            <w:rPr>
              <w:rFonts w:ascii="黑体" w:hAnsi="黑体" w:eastAsia="黑体"/>
            </w:rPr>
          </w:pPr>
          <w:r>
            <w:rPr>
              <w:rFonts w:hint="eastAsia" w:ascii="仿宋" w:hAnsi="仿宋" w:eastAsia="仿宋" w:cs="仿宋"/>
              <w:sz w:val="28"/>
              <w:szCs w:val="28"/>
            </w:rPr>
            <w:t>公开时间：2022年8月25日</w:t>
          </w:r>
          <w:r>
            <w:fldChar w:fldCharType="begin"/>
          </w:r>
          <w:r>
            <w:instrText xml:space="preserve">TOC \o "1-3" \h \u</w:instrText>
          </w:r>
          <w:r>
            <w:rPr>
              <w:rFonts w:hint="eastAsia" w:ascii="黑体" w:hAnsi="黑体" w:eastAsia="黑体"/>
            </w:rPr>
            <w:fldChar w:fldCharType="separate"/>
          </w:r>
        </w:p>
        <w:p>
          <w:pPr>
            <w:pStyle w:val="17"/>
            <w:tabs>
              <w:tab w:val="right" w:leader="dot" w:pos="8306"/>
              <w:tab w:val="clear" w:pos="8296"/>
            </w:tabs>
            <w:rPr>
              <w:rFonts w:cs="仿宋"/>
              <w:sz w:val="24"/>
              <w:szCs w:val="24"/>
            </w:rPr>
          </w:pPr>
          <w:r>
            <w:fldChar w:fldCharType="begin"/>
          </w:r>
          <w:r>
            <w:instrText xml:space="preserve"> HYPERLINK \l "_Toc28609" </w:instrText>
          </w:r>
          <w:r>
            <w:fldChar w:fldCharType="separate"/>
          </w:r>
          <w:r>
            <w:rPr>
              <w:rFonts w:hint="eastAsia" w:cs="仿宋"/>
              <w:sz w:val="24"/>
              <w:szCs w:val="24"/>
            </w:rPr>
            <w:t>第一部分 单位概况</w:t>
          </w:r>
          <w:r>
            <w:rPr>
              <w:rFonts w:hint="eastAsia" w:cs="仿宋"/>
              <w:sz w:val="24"/>
              <w:szCs w:val="24"/>
            </w:rPr>
            <w:tab/>
          </w:r>
          <w:r>
            <w:rPr>
              <w:rFonts w:hint="eastAsia" w:cs="仿宋"/>
              <w:sz w:val="24"/>
              <w:szCs w:val="24"/>
            </w:rPr>
            <w:fldChar w:fldCharType="begin"/>
          </w:r>
          <w:r>
            <w:rPr>
              <w:rFonts w:hint="eastAsia" w:cs="仿宋"/>
              <w:sz w:val="24"/>
              <w:szCs w:val="24"/>
            </w:rPr>
            <w:instrText xml:space="preserve"> PAGEREF _Toc28609 \h </w:instrText>
          </w:r>
          <w:r>
            <w:rPr>
              <w:rFonts w:hint="eastAsia" w:cs="仿宋"/>
              <w:sz w:val="24"/>
              <w:szCs w:val="24"/>
            </w:rPr>
            <w:fldChar w:fldCharType="separate"/>
          </w:r>
          <w:r>
            <w:rPr>
              <w:rFonts w:hint="eastAsia" w:cs="仿宋"/>
              <w:sz w:val="24"/>
              <w:szCs w:val="24"/>
            </w:rPr>
            <w:t>1</w:t>
          </w:r>
          <w:r>
            <w:rPr>
              <w:rFonts w:hint="eastAsia" w:cs="仿宋"/>
              <w:sz w:val="24"/>
              <w:szCs w:val="24"/>
            </w:rPr>
            <w:fldChar w:fldCharType="end"/>
          </w:r>
          <w:r>
            <w:rPr>
              <w:rFonts w:hint="eastAsia" w:cs="仿宋"/>
              <w:sz w:val="24"/>
              <w:szCs w:val="24"/>
            </w:rPr>
            <w:fldChar w:fldCharType="end"/>
          </w:r>
        </w:p>
        <w:p>
          <w:pPr>
            <w:pStyle w:val="18"/>
            <w:tabs>
              <w:tab w:val="right" w:leader="dot" w:pos="8306"/>
              <w:tab w:val="clear" w:pos="8296"/>
            </w:tabs>
            <w:rPr>
              <w:rFonts w:ascii="宋体" w:hAnsi="宋体" w:cs="宋体"/>
              <w:sz w:val="24"/>
            </w:rPr>
          </w:pPr>
          <w:r>
            <w:fldChar w:fldCharType="begin"/>
          </w:r>
          <w:r>
            <w:instrText xml:space="preserve"> HYPERLINK \l "_Toc27870" </w:instrText>
          </w:r>
          <w:r>
            <w:fldChar w:fldCharType="separate"/>
          </w:r>
          <w:r>
            <w:rPr>
              <w:rFonts w:hint="eastAsia" w:ascii="宋体" w:hAnsi="宋体" w:cs="宋体"/>
              <w:sz w:val="24"/>
            </w:rPr>
            <w:t>一、 职能简介</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_Toc27870 \h </w:instrText>
          </w:r>
          <w:r>
            <w:rPr>
              <w:rFonts w:hint="eastAsia" w:ascii="宋体" w:hAnsi="宋体" w:cs="宋体"/>
              <w:sz w:val="24"/>
            </w:rPr>
            <w:fldChar w:fldCharType="separate"/>
          </w:r>
          <w:r>
            <w:rPr>
              <w:rFonts w:hint="eastAsia" w:ascii="宋体" w:hAnsi="宋体" w:cs="宋体"/>
              <w:sz w:val="24"/>
            </w:rPr>
            <w:t>1</w:t>
          </w:r>
          <w:r>
            <w:rPr>
              <w:rFonts w:hint="eastAsia" w:ascii="宋体" w:hAnsi="宋体" w:cs="宋体"/>
              <w:sz w:val="24"/>
            </w:rPr>
            <w:fldChar w:fldCharType="end"/>
          </w:r>
          <w:r>
            <w:rPr>
              <w:rFonts w:hint="eastAsia" w:ascii="宋体" w:hAnsi="宋体" w:cs="宋体"/>
              <w:sz w:val="24"/>
            </w:rPr>
            <w:fldChar w:fldCharType="end"/>
          </w:r>
        </w:p>
        <w:p>
          <w:pPr>
            <w:pStyle w:val="18"/>
            <w:tabs>
              <w:tab w:val="right" w:leader="dot" w:pos="8306"/>
              <w:tab w:val="clear" w:pos="8296"/>
            </w:tabs>
            <w:rPr>
              <w:rFonts w:ascii="仿宋" w:hAnsi="仿宋" w:eastAsia="仿宋" w:cs="仿宋"/>
              <w:sz w:val="24"/>
            </w:rPr>
          </w:pPr>
          <w:r>
            <w:fldChar w:fldCharType="begin"/>
          </w:r>
          <w:r>
            <w:instrText xml:space="preserve"> HYPERLINK \l "_Toc17952" </w:instrText>
          </w:r>
          <w:r>
            <w:fldChar w:fldCharType="separate"/>
          </w:r>
          <w:r>
            <w:rPr>
              <w:rFonts w:hint="eastAsia" w:ascii="宋体" w:hAnsi="宋体" w:cs="宋体"/>
              <w:sz w:val="24"/>
            </w:rPr>
            <w:t>二、2021年重点工作完成情况</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_Toc17952 \h </w:instrText>
          </w:r>
          <w:r>
            <w:rPr>
              <w:rFonts w:hint="eastAsia" w:ascii="宋体" w:hAnsi="宋体" w:cs="宋体"/>
              <w:sz w:val="24"/>
            </w:rPr>
            <w:fldChar w:fldCharType="separate"/>
          </w:r>
          <w:r>
            <w:rPr>
              <w:rFonts w:hint="eastAsia" w:ascii="宋体" w:hAnsi="宋体" w:cs="宋体"/>
              <w:sz w:val="24"/>
            </w:rPr>
            <w:t>1</w:t>
          </w:r>
          <w:r>
            <w:rPr>
              <w:rFonts w:hint="eastAsia" w:ascii="宋体" w:hAnsi="宋体" w:cs="宋体"/>
              <w:sz w:val="24"/>
            </w:rPr>
            <w:fldChar w:fldCharType="end"/>
          </w:r>
          <w:r>
            <w:rPr>
              <w:rFonts w:hint="eastAsia" w:ascii="宋体" w:hAnsi="宋体" w:cs="宋体"/>
              <w:sz w:val="24"/>
            </w:rPr>
            <w:fldChar w:fldCharType="end"/>
          </w:r>
        </w:p>
        <w:p>
          <w:pPr>
            <w:pStyle w:val="17"/>
            <w:tabs>
              <w:tab w:val="right" w:leader="dot" w:pos="8306"/>
              <w:tab w:val="clear" w:pos="8296"/>
            </w:tabs>
            <w:rPr>
              <w:rFonts w:cs="仿宋"/>
              <w:sz w:val="24"/>
              <w:szCs w:val="24"/>
            </w:rPr>
          </w:pPr>
          <w:r>
            <w:fldChar w:fldCharType="begin"/>
          </w:r>
          <w:r>
            <w:instrText xml:space="preserve"> HYPERLINK \l "_Toc9890" </w:instrText>
          </w:r>
          <w:r>
            <w:fldChar w:fldCharType="separate"/>
          </w:r>
          <w:r>
            <w:rPr>
              <w:rFonts w:hint="eastAsia" w:cs="仿宋"/>
              <w:sz w:val="24"/>
              <w:szCs w:val="24"/>
            </w:rPr>
            <w:t>第二部分 2021年度单位决算情况说明</w:t>
          </w:r>
          <w:r>
            <w:rPr>
              <w:rFonts w:hint="eastAsia" w:cs="仿宋"/>
              <w:sz w:val="24"/>
              <w:szCs w:val="24"/>
            </w:rPr>
            <w:tab/>
          </w:r>
          <w:r>
            <w:rPr>
              <w:rFonts w:hint="eastAsia" w:cs="仿宋"/>
              <w:sz w:val="24"/>
              <w:szCs w:val="24"/>
            </w:rPr>
            <w:fldChar w:fldCharType="begin"/>
          </w:r>
          <w:r>
            <w:rPr>
              <w:rFonts w:hint="eastAsia" w:cs="仿宋"/>
              <w:sz w:val="24"/>
              <w:szCs w:val="24"/>
            </w:rPr>
            <w:instrText xml:space="preserve"> PAGEREF _Toc9890 \h </w:instrText>
          </w:r>
          <w:r>
            <w:rPr>
              <w:rFonts w:hint="eastAsia" w:cs="仿宋"/>
              <w:sz w:val="24"/>
              <w:szCs w:val="24"/>
            </w:rPr>
            <w:fldChar w:fldCharType="separate"/>
          </w:r>
          <w:r>
            <w:rPr>
              <w:rFonts w:hint="eastAsia" w:cs="仿宋"/>
              <w:sz w:val="24"/>
              <w:szCs w:val="24"/>
            </w:rPr>
            <w:t>2</w:t>
          </w:r>
          <w:r>
            <w:rPr>
              <w:rFonts w:hint="eastAsia" w:cs="仿宋"/>
              <w:sz w:val="24"/>
              <w:szCs w:val="24"/>
            </w:rPr>
            <w:fldChar w:fldCharType="end"/>
          </w:r>
          <w:r>
            <w:rPr>
              <w:rFonts w:hint="eastAsia" w:cs="仿宋"/>
              <w:sz w:val="24"/>
              <w:szCs w:val="24"/>
            </w:rPr>
            <w:fldChar w:fldCharType="end"/>
          </w:r>
        </w:p>
        <w:p>
          <w:pPr>
            <w:pStyle w:val="18"/>
            <w:tabs>
              <w:tab w:val="right" w:leader="dot" w:pos="8306"/>
              <w:tab w:val="clear" w:pos="8296"/>
            </w:tabs>
            <w:rPr>
              <w:rFonts w:ascii="宋体" w:hAnsi="宋体" w:cs="宋体"/>
              <w:sz w:val="24"/>
            </w:rPr>
          </w:pPr>
          <w:r>
            <w:fldChar w:fldCharType="begin"/>
          </w:r>
          <w:r>
            <w:instrText xml:space="preserve"> HYPERLINK \l "_Toc28046" </w:instrText>
          </w:r>
          <w:r>
            <w:fldChar w:fldCharType="separate"/>
          </w:r>
          <w:r>
            <w:rPr>
              <w:rFonts w:hint="eastAsia" w:ascii="宋体" w:hAnsi="宋体" w:cs="宋体"/>
              <w:sz w:val="24"/>
            </w:rPr>
            <w:t>一、 收入支出决算总体情况说明</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_Toc28046 \h </w:instrText>
          </w:r>
          <w:r>
            <w:rPr>
              <w:rFonts w:hint="eastAsia" w:ascii="宋体" w:hAnsi="宋体" w:cs="宋体"/>
              <w:sz w:val="24"/>
            </w:rPr>
            <w:fldChar w:fldCharType="separate"/>
          </w:r>
          <w:r>
            <w:rPr>
              <w:rFonts w:hint="eastAsia" w:ascii="宋体" w:hAnsi="宋体" w:cs="宋体"/>
              <w:sz w:val="24"/>
            </w:rPr>
            <w:t>2</w:t>
          </w:r>
          <w:r>
            <w:rPr>
              <w:rFonts w:hint="eastAsia" w:ascii="宋体" w:hAnsi="宋体" w:cs="宋体"/>
              <w:sz w:val="24"/>
            </w:rPr>
            <w:fldChar w:fldCharType="end"/>
          </w:r>
          <w:r>
            <w:rPr>
              <w:rFonts w:hint="eastAsia" w:ascii="宋体" w:hAnsi="宋体" w:cs="宋体"/>
              <w:sz w:val="24"/>
            </w:rPr>
            <w:fldChar w:fldCharType="end"/>
          </w:r>
        </w:p>
        <w:p>
          <w:pPr>
            <w:pStyle w:val="18"/>
            <w:tabs>
              <w:tab w:val="right" w:leader="dot" w:pos="8306"/>
              <w:tab w:val="clear" w:pos="8296"/>
            </w:tabs>
            <w:rPr>
              <w:rFonts w:ascii="宋体" w:hAnsi="宋体" w:cs="宋体"/>
              <w:sz w:val="24"/>
            </w:rPr>
          </w:pPr>
          <w:r>
            <w:fldChar w:fldCharType="begin"/>
          </w:r>
          <w:r>
            <w:instrText xml:space="preserve"> HYPERLINK \l "_Toc402" </w:instrText>
          </w:r>
          <w:r>
            <w:fldChar w:fldCharType="separate"/>
          </w:r>
          <w:r>
            <w:rPr>
              <w:rFonts w:hint="eastAsia" w:ascii="宋体" w:hAnsi="宋体" w:cs="宋体"/>
              <w:sz w:val="24"/>
            </w:rPr>
            <w:t>二、 收入决算情况说明</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_Toc402 \h </w:instrText>
          </w:r>
          <w:r>
            <w:rPr>
              <w:rFonts w:hint="eastAsia" w:ascii="宋体" w:hAnsi="宋体" w:cs="宋体"/>
              <w:sz w:val="24"/>
            </w:rPr>
            <w:fldChar w:fldCharType="separate"/>
          </w:r>
          <w:r>
            <w:rPr>
              <w:rFonts w:hint="eastAsia" w:ascii="宋体" w:hAnsi="宋体" w:cs="宋体"/>
              <w:sz w:val="24"/>
            </w:rPr>
            <w:t>2</w:t>
          </w:r>
          <w:r>
            <w:rPr>
              <w:rFonts w:hint="eastAsia" w:ascii="宋体" w:hAnsi="宋体" w:cs="宋体"/>
              <w:sz w:val="24"/>
            </w:rPr>
            <w:fldChar w:fldCharType="end"/>
          </w:r>
          <w:r>
            <w:rPr>
              <w:rFonts w:hint="eastAsia" w:ascii="宋体" w:hAnsi="宋体" w:cs="宋体"/>
              <w:sz w:val="24"/>
            </w:rPr>
            <w:fldChar w:fldCharType="end"/>
          </w:r>
        </w:p>
        <w:p>
          <w:pPr>
            <w:pStyle w:val="18"/>
            <w:tabs>
              <w:tab w:val="right" w:leader="dot" w:pos="8306"/>
              <w:tab w:val="clear" w:pos="8296"/>
            </w:tabs>
            <w:rPr>
              <w:rFonts w:ascii="宋体" w:hAnsi="宋体" w:cs="宋体"/>
              <w:sz w:val="24"/>
            </w:rPr>
          </w:pPr>
          <w:r>
            <w:fldChar w:fldCharType="begin"/>
          </w:r>
          <w:r>
            <w:instrText xml:space="preserve"> HYPERLINK \l "_Toc32258" </w:instrText>
          </w:r>
          <w:r>
            <w:fldChar w:fldCharType="separate"/>
          </w:r>
          <w:r>
            <w:rPr>
              <w:rFonts w:hint="eastAsia" w:ascii="宋体" w:hAnsi="宋体" w:cs="宋体"/>
              <w:sz w:val="24"/>
            </w:rPr>
            <w:t>三、 支出决算情况说明</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_Toc32258 \h </w:instrText>
          </w:r>
          <w:r>
            <w:rPr>
              <w:rFonts w:hint="eastAsia" w:ascii="宋体" w:hAnsi="宋体" w:cs="宋体"/>
              <w:sz w:val="24"/>
            </w:rPr>
            <w:fldChar w:fldCharType="separate"/>
          </w:r>
          <w:r>
            <w:rPr>
              <w:rFonts w:hint="eastAsia" w:ascii="宋体" w:hAnsi="宋体" w:cs="宋体"/>
              <w:sz w:val="24"/>
            </w:rPr>
            <w:t>3</w:t>
          </w:r>
          <w:r>
            <w:rPr>
              <w:rFonts w:hint="eastAsia" w:ascii="宋体" w:hAnsi="宋体" w:cs="宋体"/>
              <w:sz w:val="24"/>
            </w:rPr>
            <w:fldChar w:fldCharType="end"/>
          </w:r>
          <w:r>
            <w:rPr>
              <w:rFonts w:hint="eastAsia" w:ascii="宋体" w:hAnsi="宋体" w:cs="宋体"/>
              <w:sz w:val="24"/>
            </w:rPr>
            <w:fldChar w:fldCharType="end"/>
          </w:r>
        </w:p>
        <w:p>
          <w:pPr>
            <w:pStyle w:val="18"/>
            <w:tabs>
              <w:tab w:val="right" w:leader="dot" w:pos="8306"/>
              <w:tab w:val="clear" w:pos="8296"/>
            </w:tabs>
            <w:rPr>
              <w:rFonts w:ascii="宋体" w:hAnsi="宋体" w:cs="宋体"/>
              <w:sz w:val="24"/>
            </w:rPr>
          </w:pPr>
          <w:r>
            <w:fldChar w:fldCharType="begin"/>
          </w:r>
          <w:r>
            <w:instrText xml:space="preserve"> HYPERLINK \l "_Toc7235" </w:instrText>
          </w:r>
          <w:r>
            <w:fldChar w:fldCharType="separate"/>
          </w:r>
          <w:r>
            <w:rPr>
              <w:rFonts w:hint="eastAsia" w:ascii="宋体" w:hAnsi="宋体" w:cs="宋体"/>
              <w:sz w:val="24"/>
            </w:rPr>
            <w:t>四、财政拨款收入支出决算总体情况说明</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_Toc7235 \h </w:instrText>
          </w:r>
          <w:r>
            <w:rPr>
              <w:rFonts w:hint="eastAsia" w:ascii="宋体" w:hAnsi="宋体" w:cs="宋体"/>
              <w:sz w:val="24"/>
            </w:rPr>
            <w:fldChar w:fldCharType="separate"/>
          </w:r>
          <w:r>
            <w:rPr>
              <w:rFonts w:hint="eastAsia" w:ascii="宋体" w:hAnsi="宋体" w:cs="宋体"/>
              <w:sz w:val="24"/>
            </w:rPr>
            <w:t>3</w:t>
          </w:r>
          <w:r>
            <w:rPr>
              <w:rFonts w:hint="eastAsia" w:ascii="宋体" w:hAnsi="宋体" w:cs="宋体"/>
              <w:sz w:val="24"/>
            </w:rPr>
            <w:fldChar w:fldCharType="end"/>
          </w:r>
          <w:r>
            <w:rPr>
              <w:rFonts w:hint="eastAsia" w:ascii="宋体" w:hAnsi="宋体" w:cs="宋体"/>
              <w:sz w:val="24"/>
            </w:rPr>
            <w:fldChar w:fldCharType="end"/>
          </w:r>
        </w:p>
        <w:p>
          <w:pPr>
            <w:pStyle w:val="18"/>
            <w:tabs>
              <w:tab w:val="right" w:leader="dot" w:pos="8306"/>
              <w:tab w:val="clear" w:pos="8296"/>
            </w:tabs>
            <w:rPr>
              <w:rFonts w:ascii="宋体" w:hAnsi="宋体" w:cs="宋体"/>
              <w:sz w:val="24"/>
            </w:rPr>
          </w:pPr>
          <w:r>
            <w:fldChar w:fldCharType="begin"/>
          </w:r>
          <w:r>
            <w:instrText xml:space="preserve"> HYPERLINK \l "_Toc3317" </w:instrText>
          </w:r>
          <w:r>
            <w:fldChar w:fldCharType="separate"/>
          </w:r>
          <w:r>
            <w:rPr>
              <w:rFonts w:hint="eastAsia" w:ascii="宋体" w:hAnsi="宋体" w:cs="宋体"/>
              <w:sz w:val="24"/>
            </w:rPr>
            <w:t>五、一般公共预算财政拨款支出决算情况说明</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_Toc3317 \h </w:instrText>
          </w:r>
          <w:r>
            <w:rPr>
              <w:rFonts w:hint="eastAsia" w:ascii="宋体" w:hAnsi="宋体" w:cs="宋体"/>
              <w:sz w:val="24"/>
            </w:rPr>
            <w:fldChar w:fldCharType="separate"/>
          </w:r>
          <w:r>
            <w:rPr>
              <w:rFonts w:hint="eastAsia" w:ascii="宋体" w:hAnsi="宋体" w:cs="宋体"/>
              <w:sz w:val="24"/>
            </w:rPr>
            <w:t>4</w:t>
          </w:r>
          <w:r>
            <w:rPr>
              <w:rFonts w:hint="eastAsia" w:ascii="宋体" w:hAnsi="宋体" w:cs="宋体"/>
              <w:sz w:val="24"/>
            </w:rPr>
            <w:fldChar w:fldCharType="end"/>
          </w:r>
          <w:r>
            <w:rPr>
              <w:rFonts w:hint="eastAsia" w:ascii="宋体" w:hAnsi="宋体" w:cs="宋体"/>
              <w:sz w:val="24"/>
            </w:rPr>
            <w:fldChar w:fldCharType="end"/>
          </w:r>
        </w:p>
        <w:p>
          <w:pPr>
            <w:pStyle w:val="18"/>
            <w:tabs>
              <w:tab w:val="right" w:leader="dot" w:pos="8306"/>
              <w:tab w:val="clear" w:pos="8296"/>
            </w:tabs>
            <w:rPr>
              <w:rFonts w:ascii="宋体" w:hAnsi="宋体" w:cs="宋体"/>
              <w:sz w:val="24"/>
            </w:rPr>
          </w:pPr>
          <w:r>
            <w:fldChar w:fldCharType="begin"/>
          </w:r>
          <w:r>
            <w:instrText xml:space="preserve"> HYPERLINK \l "_Toc30425" </w:instrText>
          </w:r>
          <w:r>
            <w:fldChar w:fldCharType="separate"/>
          </w:r>
          <w:r>
            <w:rPr>
              <w:rFonts w:hint="eastAsia" w:ascii="宋体" w:hAnsi="宋体" w:cs="宋体"/>
              <w:sz w:val="24"/>
            </w:rPr>
            <w:t>六、一般公共预算财政拨款基本支出决算情况说明</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_Toc30425 \h </w:instrText>
          </w:r>
          <w:r>
            <w:rPr>
              <w:rFonts w:hint="eastAsia" w:ascii="宋体" w:hAnsi="宋体" w:cs="宋体"/>
              <w:sz w:val="24"/>
            </w:rPr>
            <w:fldChar w:fldCharType="separate"/>
          </w:r>
          <w:r>
            <w:rPr>
              <w:rFonts w:hint="eastAsia" w:ascii="宋体" w:hAnsi="宋体" w:cs="宋体"/>
              <w:sz w:val="24"/>
            </w:rPr>
            <w:t>6</w:t>
          </w:r>
          <w:r>
            <w:rPr>
              <w:rFonts w:hint="eastAsia" w:ascii="宋体" w:hAnsi="宋体" w:cs="宋体"/>
              <w:sz w:val="24"/>
            </w:rPr>
            <w:fldChar w:fldCharType="end"/>
          </w:r>
          <w:r>
            <w:rPr>
              <w:rFonts w:hint="eastAsia" w:ascii="宋体" w:hAnsi="宋体" w:cs="宋体"/>
              <w:sz w:val="24"/>
            </w:rPr>
            <w:fldChar w:fldCharType="end"/>
          </w:r>
        </w:p>
        <w:p>
          <w:pPr>
            <w:pStyle w:val="18"/>
            <w:tabs>
              <w:tab w:val="right" w:leader="dot" w:pos="8306"/>
              <w:tab w:val="clear" w:pos="8296"/>
            </w:tabs>
            <w:rPr>
              <w:rFonts w:ascii="宋体" w:hAnsi="宋体" w:cs="宋体"/>
              <w:sz w:val="24"/>
            </w:rPr>
          </w:pPr>
          <w:r>
            <w:fldChar w:fldCharType="begin"/>
          </w:r>
          <w:r>
            <w:instrText xml:space="preserve"> HYPERLINK \l "_Toc5453" </w:instrText>
          </w:r>
          <w:r>
            <w:fldChar w:fldCharType="separate"/>
          </w:r>
          <w:r>
            <w:rPr>
              <w:rFonts w:hint="eastAsia" w:ascii="宋体" w:hAnsi="宋体" w:cs="宋体"/>
              <w:sz w:val="24"/>
            </w:rPr>
            <w:t>七、“三公”经费财政拨款支出决算情况说明</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_Toc5453 \h </w:instrText>
          </w:r>
          <w:r>
            <w:rPr>
              <w:rFonts w:hint="eastAsia" w:ascii="宋体" w:hAnsi="宋体" w:cs="宋体"/>
              <w:sz w:val="24"/>
            </w:rPr>
            <w:fldChar w:fldCharType="separate"/>
          </w:r>
          <w:r>
            <w:rPr>
              <w:rFonts w:hint="eastAsia" w:ascii="宋体" w:hAnsi="宋体" w:cs="宋体"/>
              <w:sz w:val="24"/>
            </w:rPr>
            <w:t>6</w:t>
          </w:r>
          <w:r>
            <w:rPr>
              <w:rFonts w:hint="eastAsia" w:ascii="宋体" w:hAnsi="宋体" w:cs="宋体"/>
              <w:sz w:val="24"/>
            </w:rPr>
            <w:fldChar w:fldCharType="end"/>
          </w:r>
          <w:r>
            <w:rPr>
              <w:rFonts w:hint="eastAsia" w:ascii="宋体" w:hAnsi="宋体" w:cs="宋体"/>
              <w:sz w:val="24"/>
            </w:rPr>
            <w:fldChar w:fldCharType="end"/>
          </w:r>
        </w:p>
        <w:p>
          <w:pPr>
            <w:pStyle w:val="18"/>
            <w:tabs>
              <w:tab w:val="right" w:leader="dot" w:pos="8306"/>
              <w:tab w:val="clear" w:pos="8296"/>
            </w:tabs>
            <w:rPr>
              <w:rFonts w:ascii="宋体" w:hAnsi="宋体" w:cs="宋体"/>
              <w:sz w:val="24"/>
            </w:rPr>
          </w:pPr>
          <w:r>
            <w:fldChar w:fldCharType="begin"/>
          </w:r>
          <w:r>
            <w:instrText xml:space="preserve"> HYPERLINK \l "_Toc18297" </w:instrText>
          </w:r>
          <w:r>
            <w:fldChar w:fldCharType="separate"/>
          </w:r>
          <w:r>
            <w:rPr>
              <w:rFonts w:hint="eastAsia" w:ascii="宋体" w:hAnsi="宋体" w:cs="宋体"/>
              <w:sz w:val="24"/>
            </w:rPr>
            <w:t>八、政府性基金预算支出决算情况说明</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_Toc18297 \h </w:instrText>
          </w:r>
          <w:r>
            <w:rPr>
              <w:rFonts w:hint="eastAsia" w:ascii="宋体" w:hAnsi="宋体" w:cs="宋体"/>
              <w:sz w:val="24"/>
            </w:rPr>
            <w:fldChar w:fldCharType="separate"/>
          </w:r>
          <w:r>
            <w:rPr>
              <w:rFonts w:hint="eastAsia" w:ascii="宋体" w:hAnsi="宋体" w:cs="宋体"/>
              <w:sz w:val="24"/>
            </w:rPr>
            <w:t>7</w:t>
          </w:r>
          <w:r>
            <w:rPr>
              <w:rFonts w:hint="eastAsia" w:ascii="宋体" w:hAnsi="宋体" w:cs="宋体"/>
              <w:sz w:val="24"/>
            </w:rPr>
            <w:fldChar w:fldCharType="end"/>
          </w:r>
          <w:r>
            <w:rPr>
              <w:rFonts w:hint="eastAsia" w:ascii="宋体" w:hAnsi="宋体" w:cs="宋体"/>
              <w:sz w:val="24"/>
            </w:rPr>
            <w:fldChar w:fldCharType="end"/>
          </w:r>
        </w:p>
        <w:p>
          <w:pPr>
            <w:pStyle w:val="18"/>
            <w:tabs>
              <w:tab w:val="right" w:leader="dot" w:pos="8306"/>
              <w:tab w:val="clear" w:pos="8296"/>
            </w:tabs>
            <w:rPr>
              <w:rFonts w:ascii="宋体" w:hAnsi="宋体" w:cs="宋体"/>
              <w:sz w:val="24"/>
            </w:rPr>
          </w:pPr>
          <w:r>
            <w:fldChar w:fldCharType="begin"/>
          </w:r>
          <w:r>
            <w:instrText xml:space="preserve"> HYPERLINK \l "_Toc29900" </w:instrText>
          </w:r>
          <w:r>
            <w:fldChar w:fldCharType="separate"/>
          </w:r>
          <w:r>
            <w:rPr>
              <w:rFonts w:hint="eastAsia" w:ascii="宋体" w:hAnsi="宋体" w:cs="宋体"/>
              <w:sz w:val="24"/>
            </w:rPr>
            <w:t>九、 国有资本经营预算支出决算情况说明</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_Toc29900 \h </w:instrText>
          </w:r>
          <w:r>
            <w:rPr>
              <w:rFonts w:hint="eastAsia" w:ascii="宋体" w:hAnsi="宋体" w:cs="宋体"/>
              <w:sz w:val="24"/>
            </w:rPr>
            <w:fldChar w:fldCharType="separate"/>
          </w:r>
          <w:r>
            <w:rPr>
              <w:rFonts w:hint="eastAsia" w:ascii="宋体" w:hAnsi="宋体" w:cs="宋体"/>
              <w:sz w:val="24"/>
            </w:rPr>
            <w:t>7</w:t>
          </w:r>
          <w:r>
            <w:rPr>
              <w:rFonts w:hint="eastAsia" w:ascii="宋体" w:hAnsi="宋体" w:cs="宋体"/>
              <w:sz w:val="24"/>
            </w:rPr>
            <w:fldChar w:fldCharType="end"/>
          </w:r>
          <w:r>
            <w:rPr>
              <w:rFonts w:hint="eastAsia" w:ascii="宋体" w:hAnsi="宋体" w:cs="宋体"/>
              <w:sz w:val="24"/>
            </w:rPr>
            <w:fldChar w:fldCharType="end"/>
          </w:r>
        </w:p>
        <w:p>
          <w:pPr>
            <w:pStyle w:val="18"/>
            <w:tabs>
              <w:tab w:val="right" w:leader="dot" w:pos="8306"/>
              <w:tab w:val="clear" w:pos="8296"/>
            </w:tabs>
            <w:rPr>
              <w:rFonts w:ascii="仿宋" w:hAnsi="仿宋" w:eastAsia="仿宋" w:cs="仿宋"/>
              <w:sz w:val="24"/>
            </w:rPr>
          </w:pPr>
          <w:r>
            <w:fldChar w:fldCharType="begin"/>
          </w:r>
          <w:r>
            <w:instrText xml:space="preserve"> HYPERLINK \l "_Toc19343" </w:instrText>
          </w:r>
          <w:r>
            <w:fldChar w:fldCharType="separate"/>
          </w:r>
          <w:r>
            <w:rPr>
              <w:rFonts w:hint="eastAsia" w:ascii="宋体" w:hAnsi="宋体" w:cs="宋体"/>
              <w:sz w:val="24"/>
            </w:rPr>
            <w:t>十、 其他重要事项的情况说明</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_Toc19343 \h </w:instrText>
          </w:r>
          <w:r>
            <w:rPr>
              <w:rFonts w:hint="eastAsia" w:ascii="宋体" w:hAnsi="宋体" w:cs="宋体"/>
              <w:sz w:val="24"/>
            </w:rPr>
            <w:fldChar w:fldCharType="separate"/>
          </w:r>
          <w:r>
            <w:rPr>
              <w:rFonts w:hint="eastAsia" w:ascii="宋体" w:hAnsi="宋体" w:cs="宋体"/>
              <w:sz w:val="24"/>
            </w:rPr>
            <w:t>8</w:t>
          </w:r>
          <w:r>
            <w:rPr>
              <w:rFonts w:hint="eastAsia" w:ascii="宋体" w:hAnsi="宋体" w:cs="宋体"/>
              <w:sz w:val="24"/>
            </w:rPr>
            <w:fldChar w:fldCharType="end"/>
          </w:r>
          <w:r>
            <w:rPr>
              <w:rFonts w:hint="eastAsia" w:ascii="宋体" w:hAnsi="宋体" w:cs="宋体"/>
              <w:sz w:val="24"/>
            </w:rPr>
            <w:fldChar w:fldCharType="end"/>
          </w:r>
        </w:p>
        <w:p>
          <w:pPr>
            <w:pStyle w:val="17"/>
            <w:tabs>
              <w:tab w:val="right" w:leader="dot" w:pos="8306"/>
              <w:tab w:val="clear" w:pos="8296"/>
            </w:tabs>
            <w:rPr>
              <w:rFonts w:cs="仿宋"/>
              <w:sz w:val="24"/>
              <w:szCs w:val="24"/>
            </w:rPr>
          </w:pPr>
          <w:r>
            <w:fldChar w:fldCharType="begin"/>
          </w:r>
          <w:r>
            <w:instrText xml:space="preserve"> HYPERLINK \l "_Toc10101" </w:instrText>
          </w:r>
          <w:r>
            <w:fldChar w:fldCharType="separate"/>
          </w:r>
          <w:r>
            <w:rPr>
              <w:rFonts w:hint="eastAsia" w:cs="仿宋"/>
              <w:sz w:val="24"/>
              <w:szCs w:val="24"/>
            </w:rPr>
            <w:t>第三部分 名词解释</w:t>
          </w:r>
          <w:r>
            <w:rPr>
              <w:rFonts w:hint="eastAsia" w:cs="仿宋"/>
              <w:sz w:val="24"/>
              <w:szCs w:val="24"/>
            </w:rPr>
            <w:tab/>
          </w:r>
          <w:r>
            <w:rPr>
              <w:rFonts w:hint="eastAsia" w:cs="仿宋"/>
              <w:sz w:val="24"/>
              <w:szCs w:val="24"/>
            </w:rPr>
            <w:fldChar w:fldCharType="begin"/>
          </w:r>
          <w:r>
            <w:rPr>
              <w:rFonts w:hint="eastAsia" w:cs="仿宋"/>
              <w:sz w:val="24"/>
              <w:szCs w:val="24"/>
            </w:rPr>
            <w:instrText xml:space="preserve"> PAGEREF _Toc10101 \h </w:instrText>
          </w:r>
          <w:r>
            <w:rPr>
              <w:rFonts w:hint="eastAsia" w:cs="仿宋"/>
              <w:sz w:val="24"/>
              <w:szCs w:val="24"/>
            </w:rPr>
            <w:fldChar w:fldCharType="separate"/>
          </w:r>
          <w:r>
            <w:rPr>
              <w:rFonts w:hint="eastAsia" w:cs="仿宋"/>
              <w:sz w:val="24"/>
              <w:szCs w:val="24"/>
            </w:rPr>
            <w:t>9</w:t>
          </w:r>
          <w:r>
            <w:rPr>
              <w:rFonts w:hint="eastAsia" w:cs="仿宋"/>
              <w:sz w:val="24"/>
              <w:szCs w:val="24"/>
            </w:rPr>
            <w:fldChar w:fldCharType="end"/>
          </w:r>
          <w:r>
            <w:rPr>
              <w:rFonts w:hint="eastAsia" w:cs="仿宋"/>
              <w:sz w:val="24"/>
              <w:szCs w:val="24"/>
            </w:rPr>
            <w:fldChar w:fldCharType="end"/>
          </w:r>
        </w:p>
        <w:p>
          <w:pPr>
            <w:pStyle w:val="17"/>
            <w:tabs>
              <w:tab w:val="right" w:leader="dot" w:pos="8306"/>
              <w:tab w:val="clear" w:pos="8296"/>
            </w:tabs>
            <w:rPr>
              <w:rFonts w:cs="仿宋"/>
              <w:sz w:val="24"/>
              <w:szCs w:val="24"/>
            </w:rPr>
          </w:pPr>
          <w:r>
            <w:fldChar w:fldCharType="begin"/>
          </w:r>
          <w:r>
            <w:instrText xml:space="preserve"> HYPERLINK \l "_Toc25183" </w:instrText>
          </w:r>
          <w:r>
            <w:fldChar w:fldCharType="separate"/>
          </w:r>
          <w:r>
            <w:rPr>
              <w:rFonts w:hint="eastAsia" w:cs="仿宋"/>
              <w:sz w:val="24"/>
              <w:szCs w:val="24"/>
            </w:rPr>
            <w:t>第四部分 附件</w:t>
          </w:r>
          <w:r>
            <w:rPr>
              <w:rFonts w:hint="eastAsia" w:cs="仿宋"/>
              <w:sz w:val="24"/>
              <w:szCs w:val="24"/>
            </w:rPr>
            <w:tab/>
          </w:r>
          <w:r>
            <w:rPr>
              <w:rFonts w:hint="eastAsia" w:cs="仿宋"/>
              <w:sz w:val="24"/>
              <w:szCs w:val="24"/>
            </w:rPr>
            <w:fldChar w:fldCharType="begin"/>
          </w:r>
          <w:r>
            <w:rPr>
              <w:rFonts w:hint="eastAsia" w:cs="仿宋"/>
              <w:sz w:val="24"/>
              <w:szCs w:val="24"/>
            </w:rPr>
            <w:instrText xml:space="preserve"> PAGEREF _Toc25183 \h </w:instrText>
          </w:r>
          <w:r>
            <w:rPr>
              <w:rFonts w:hint="eastAsia" w:cs="仿宋"/>
              <w:sz w:val="24"/>
              <w:szCs w:val="24"/>
            </w:rPr>
            <w:fldChar w:fldCharType="separate"/>
          </w:r>
          <w:r>
            <w:rPr>
              <w:rFonts w:hint="eastAsia" w:cs="仿宋"/>
              <w:sz w:val="24"/>
              <w:szCs w:val="24"/>
            </w:rPr>
            <w:t>14</w:t>
          </w:r>
          <w:r>
            <w:rPr>
              <w:rFonts w:hint="eastAsia" w:cs="仿宋"/>
              <w:sz w:val="24"/>
              <w:szCs w:val="24"/>
            </w:rPr>
            <w:fldChar w:fldCharType="end"/>
          </w:r>
          <w:r>
            <w:rPr>
              <w:rFonts w:hint="eastAsia" w:cs="仿宋"/>
              <w:sz w:val="24"/>
              <w:szCs w:val="24"/>
            </w:rPr>
            <w:fldChar w:fldCharType="end"/>
          </w:r>
        </w:p>
        <w:p>
          <w:pPr>
            <w:pStyle w:val="17"/>
            <w:tabs>
              <w:tab w:val="right" w:leader="dot" w:pos="8306"/>
              <w:tab w:val="clear" w:pos="8296"/>
            </w:tabs>
            <w:rPr>
              <w:rFonts w:cs="仿宋"/>
              <w:sz w:val="24"/>
              <w:szCs w:val="24"/>
            </w:rPr>
          </w:pPr>
          <w:r>
            <w:fldChar w:fldCharType="begin"/>
          </w:r>
          <w:r>
            <w:instrText xml:space="preserve"> HYPERLINK \l "_Toc24593" </w:instrText>
          </w:r>
          <w:r>
            <w:fldChar w:fldCharType="separate"/>
          </w:r>
          <w:r>
            <w:rPr>
              <w:rFonts w:hint="eastAsia" w:ascii="宋体" w:hAnsi="宋体" w:eastAsia="宋体" w:cs="宋体"/>
              <w:sz w:val="24"/>
              <w:szCs w:val="24"/>
            </w:rPr>
            <w:t>附件1</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_Toc24593 \h </w:instrText>
          </w:r>
          <w:r>
            <w:rPr>
              <w:rFonts w:hint="eastAsia" w:ascii="宋体" w:hAnsi="宋体" w:eastAsia="宋体" w:cs="宋体"/>
              <w:sz w:val="24"/>
              <w:szCs w:val="24"/>
            </w:rPr>
            <w:fldChar w:fldCharType="separate"/>
          </w:r>
          <w:r>
            <w:rPr>
              <w:rFonts w:hint="eastAsia" w:ascii="宋体" w:hAnsi="宋体" w:eastAsia="宋体" w:cs="宋体"/>
              <w:sz w:val="24"/>
              <w:szCs w:val="24"/>
            </w:rPr>
            <w:t>14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7"/>
            <w:tabs>
              <w:tab w:val="right" w:leader="dot" w:pos="8306"/>
              <w:tab w:val="clear" w:pos="8296"/>
            </w:tabs>
            <w:rPr>
              <w:rFonts w:cs="仿宋"/>
              <w:sz w:val="24"/>
              <w:szCs w:val="24"/>
            </w:rPr>
          </w:pPr>
          <w:r>
            <w:fldChar w:fldCharType="begin"/>
          </w:r>
          <w:r>
            <w:instrText xml:space="preserve"> HYPERLINK \l "_Toc31834" </w:instrText>
          </w:r>
          <w:r>
            <w:fldChar w:fldCharType="separate"/>
          </w:r>
          <w:r>
            <w:rPr>
              <w:rFonts w:hint="eastAsia" w:cs="仿宋"/>
              <w:sz w:val="24"/>
              <w:szCs w:val="24"/>
            </w:rPr>
            <w:t>第五部分 附表</w:t>
          </w:r>
          <w:r>
            <w:rPr>
              <w:rFonts w:hint="eastAsia" w:cs="仿宋"/>
              <w:sz w:val="24"/>
              <w:szCs w:val="24"/>
            </w:rPr>
            <w:tab/>
          </w:r>
          <w:r>
            <w:rPr>
              <w:rFonts w:hint="eastAsia" w:cs="仿宋"/>
              <w:sz w:val="24"/>
              <w:szCs w:val="24"/>
            </w:rPr>
            <w:fldChar w:fldCharType="begin"/>
          </w:r>
          <w:r>
            <w:rPr>
              <w:rFonts w:hint="eastAsia" w:cs="仿宋"/>
              <w:sz w:val="24"/>
              <w:szCs w:val="24"/>
            </w:rPr>
            <w:instrText xml:space="preserve"> PAGEREF _Toc31834 \h </w:instrText>
          </w:r>
          <w:r>
            <w:rPr>
              <w:rFonts w:hint="eastAsia" w:cs="仿宋"/>
              <w:sz w:val="24"/>
              <w:szCs w:val="24"/>
            </w:rPr>
            <w:fldChar w:fldCharType="separate"/>
          </w:r>
          <w:r>
            <w:rPr>
              <w:rFonts w:hint="eastAsia" w:cs="仿宋"/>
              <w:sz w:val="24"/>
              <w:szCs w:val="24"/>
            </w:rPr>
            <w:t>14</w:t>
          </w:r>
          <w:r>
            <w:rPr>
              <w:rFonts w:hint="eastAsia" w:cs="仿宋"/>
              <w:sz w:val="24"/>
              <w:szCs w:val="24"/>
            </w:rPr>
            <w:fldChar w:fldCharType="end"/>
          </w:r>
          <w:r>
            <w:rPr>
              <w:rFonts w:hint="eastAsia" w:cs="仿宋"/>
              <w:sz w:val="24"/>
              <w:szCs w:val="24"/>
            </w:rPr>
            <w:fldChar w:fldCharType="end"/>
          </w:r>
        </w:p>
        <w:p>
          <w:pPr>
            <w:pStyle w:val="18"/>
            <w:tabs>
              <w:tab w:val="right" w:leader="dot" w:pos="8306"/>
              <w:tab w:val="clear" w:pos="8296"/>
            </w:tabs>
            <w:rPr>
              <w:rFonts w:ascii="宋体" w:hAnsi="宋体" w:cs="宋体"/>
              <w:sz w:val="24"/>
            </w:rPr>
          </w:pPr>
          <w:r>
            <w:fldChar w:fldCharType="begin"/>
          </w:r>
          <w:r>
            <w:instrText xml:space="preserve"> HYPERLINK \l "_Toc17747" </w:instrText>
          </w:r>
          <w:r>
            <w:fldChar w:fldCharType="separate"/>
          </w:r>
          <w:r>
            <w:rPr>
              <w:rFonts w:hint="eastAsia" w:ascii="宋体" w:hAnsi="宋体" w:cs="宋体"/>
              <w:sz w:val="24"/>
            </w:rPr>
            <w:t>一、收入支出决算总表</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_Toc17747 \h </w:instrText>
          </w:r>
          <w:r>
            <w:rPr>
              <w:rFonts w:hint="eastAsia" w:ascii="宋体" w:hAnsi="宋体" w:cs="宋体"/>
              <w:sz w:val="24"/>
            </w:rPr>
            <w:fldChar w:fldCharType="separate"/>
          </w:r>
          <w:r>
            <w:rPr>
              <w:rFonts w:hint="eastAsia" w:ascii="宋体" w:hAnsi="宋体" w:cs="宋体"/>
              <w:sz w:val="24"/>
            </w:rPr>
            <w:t>16</w:t>
          </w:r>
          <w:r>
            <w:rPr>
              <w:rFonts w:hint="eastAsia" w:ascii="宋体" w:hAnsi="宋体" w:cs="宋体"/>
              <w:sz w:val="24"/>
            </w:rPr>
            <w:fldChar w:fldCharType="end"/>
          </w:r>
          <w:r>
            <w:rPr>
              <w:rFonts w:hint="eastAsia" w:ascii="宋体" w:hAnsi="宋体" w:cs="宋体"/>
              <w:sz w:val="24"/>
            </w:rPr>
            <w:fldChar w:fldCharType="end"/>
          </w:r>
        </w:p>
        <w:p>
          <w:pPr>
            <w:pStyle w:val="18"/>
            <w:tabs>
              <w:tab w:val="right" w:leader="dot" w:pos="8306"/>
              <w:tab w:val="clear" w:pos="8296"/>
            </w:tabs>
            <w:rPr>
              <w:rFonts w:ascii="宋体" w:hAnsi="宋体" w:cs="宋体"/>
              <w:sz w:val="24"/>
            </w:rPr>
          </w:pPr>
          <w:r>
            <w:fldChar w:fldCharType="begin"/>
          </w:r>
          <w:r>
            <w:instrText xml:space="preserve"> HYPERLINK \l "_Toc14108" </w:instrText>
          </w:r>
          <w:r>
            <w:fldChar w:fldCharType="separate"/>
          </w:r>
          <w:r>
            <w:rPr>
              <w:rFonts w:hint="eastAsia" w:ascii="宋体" w:hAnsi="宋体" w:cs="宋体"/>
              <w:sz w:val="24"/>
            </w:rPr>
            <w:t>二、收入决算表</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_Toc14108 \h </w:instrText>
          </w:r>
          <w:r>
            <w:rPr>
              <w:rFonts w:hint="eastAsia" w:ascii="宋体" w:hAnsi="宋体" w:cs="宋体"/>
              <w:sz w:val="24"/>
            </w:rPr>
            <w:fldChar w:fldCharType="separate"/>
          </w:r>
          <w:r>
            <w:rPr>
              <w:rFonts w:hint="eastAsia" w:ascii="宋体" w:hAnsi="宋体" w:cs="宋体"/>
              <w:sz w:val="24"/>
            </w:rPr>
            <w:t>16</w:t>
          </w:r>
          <w:r>
            <w:rPr>
              <w:rFonts w:hint="eastAsia" w:ascii="宋体" w:hAnsi="宋体" w:cs="宋体"/>
              <w:sz w:val="24"/>
            </w:rPr>
            <w:fldChar w:fldCharType="end"/>
          </w:r>
          <w:r>
            <w:rPr>
              <w:rFonts w:hint="eastAsia" w:ascii="宋体" w:hAnsi="宋体" w:cs="宋体"/>
              <w:sz w:val="24"/>
            </w:rPr>
            <w:fldChar w:fldCharType="end"/>
          </w:r>
        </w:p>
        <w:p>
          <w:pPr>
            <w:pStyle w:val="18"/>
            <w:tabs>
              <w:tab w:val="right" w:leader="dot" w:pos="8306"/>
              <w:tab w:val="clear" w:pos="8296"/>
            </w:tabs>
            <w:rPr>
              <w:rFonts w:ascii="宋体" w:hAnsi="宋体" w:cs="宋体"/>
              <w:sz w:val="24"/>
            </w:rPr>
          </w:pPr>
          <w:r>
            <w:fldChar w:fldCharType="begin"/>
          </w:r>
          <w:r>
            <w:instrText xml:space="preserve"> HYPERLINK \l "_Toc18706" </w:instrText>
          </w:r>
          <w:r>
            <w:fldChar w:fldCharType="separate"/>
          </w:r>
          <w:r>
            <w:rPr>
              <w:rFonts w:hint="eastAsia" w:ascii="宋体" w:hAnsi="宋体" w:cs="宋体"/>
              <w:sz w:val="24"/>
            </w:rPr>
            <w:t>三、支出决算表</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_Toc18706 \h </w:instrText>
          </w:r>
          <w:r>
            <w:rPr>
              <w:rFonts w:hint="eastAsia" w:ascii="宋体" w:hAnsi="宋体" w:cs="宋体"/>
              <w:sz w:val="24"/>
            </w:rPr>
            <w:fldChar w:fldCharType="separate"/>
          </w:r>
          <w:r>
            <w:rPr>
              <w:rFonts w:hint="eastAsia" w:ascii="宋体" w:hAnsi="宋体" w:cs="宋体"/>
              <w:sz w:val="24"/>
            </w:rPr>
            <w:t>16</w:t>
          </w:r>
          <w:r>
            <w:rPr>
              <w:rFonts w:hint="eastAsia" w:ascii="宋体" w:hAnsi="宋体" w:cs="宋体"/>
              <w:sz w:val="24"/>
            </w:rPr>
            <w:fldChar w:fldCharType="end"/>
          </w:r>
          <w:r>
            <w:rPr>
              <w:rFonts w:hint="eastAsia" w:ascii="宋体" w:hAnsi="宋体" w:cs="宋体"/>
              <w:sz w:val="24"/>
            </w:rPr>
            <w:fldChar w:fldCharType="end"/>
          </w:r>
        </w:p>
        <w:p>
          <w:pPr>
            <w:pStyle w:val="18"/>
            <w:tabs>
              <w:tab w:val="right" w:leader="dot" w:pos="8306"/>
              <w:tab w:val="clear" w:pos="8296"/>
            </w:tabs>
            <w:rPr>
              <w:rFonts w:ascii="宋体" w:hAnsi="宋体" w:cs="宋体"/>
              <w:sz w:val="24"/>
            </w:rPr>
          </w:pPr>
          <w:r>
            <w:fldChar w:fldCharType="begin"/>
          </w:r>
          <w:r>
            <w:instrText xml:space="preserve"> HYPERLINK \l "_Toc13546" </w:instrText>
          </w:r>
          <w:r>
            <w:fldChar w:fldCharType="separate"/>
          </w:r>
          <w:r>
            <w:rPr>
              <w:rFonts w:hint="eastAsia" w:ascii="宋体" w:hAnsi="宋体" w:cs="宋体"/>
              <w:sz w:val="24"/>
            </w:rPr>
            <w:t>四、财政拨款收入支出决算总表</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_Toc13546 \h </w:instrText>
          </w:r>
          <w:r>
            <w:rPr>
              <w:rFonts w:hint="eastAsia" w:ascii="宋体" w:hAnsi="宋体" w:cs="宋体"/>
              <w:sz w:val="24"/>
            </w:rPr>
            <w:fldChar w:fldCharType="separate"/>
          </w:r>
          <w:r>
            <w:rPr>
              <w:rFonts w:hint="eastAsia" w:ascii="宋体" w:hAnsi="宋体" w:cs="宋体"/>
              <w:sz w:val="24"/>
            </w:rPr>
            <w:t>16</w:t>
          </w:r>
          <w:r>
            <w:rPr>
              <w:rFonts w:hint="eastAsia" w:ascii="宋体" w:hAnsi="宋体" w:cs="宋体"/>
              <w:sz w:val="24"/>
            </w:rPr>
            <w:fldChar w:fldCharType="end"/>
          </w:r>
          <w:r>
            <w:rPr>
              <w:rFonts w:hint="eastAsia" w:ascii="宋体" w:hAnsi="宋体" w:cs="宋体"/>
              <w:sz w:val="24"/>
            </w:rPr>
            <w:fldChar w:fldCharType="end"/>
          </w:r>
        </w:p>
        <w:p>
          <w:pPr>
            <w:pStyle w:val="18"/>
            <w:tabs>
              <w:tab w:val="right" w:leader="dot" w:pos="8306"/>
              <w:tab w:val="clear" w:pos="8296"/>
            </w:tabs>
            <w:rPr>
              <w:rFonts w:ascii="宋体" w:hAnsi="宋体" w:cs="宋体"/>
              <w:sz w:val="24"/>
            </w:rPr>
          </w:pPr>
          <w:r>
            <w:fldChar w:fldCharType="begin"/>
          </w:r>
          <w:r>
            <w:instrText xml:space="preserve"> HYPERLINK \l "_Toc17701" </w:instrText>
          </w:r>
          <w:r>
            <w:fldChar w:fldCharType="separate"/>
          </w:r>
          <w:r>
            <w:rPr>
              <w:rFonts w:hint="eastAsia" w:ascii="宋体" w:hAnsi="宋体" w:cs="宋体"/>
              <w:sz w:val="24"/>
            </w:rPr>
            <w:t>五、财政拨款支出决算明细表</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_Toc17701 \h </w:instrText>
          </w:r>
          <w:r>
            <w:rPr>
              <w:rFonts w:hint="eastAsia" w:ascii="宋体" w:hAnsi="宋体" w:cs="宋体"/>
              <w:sz w:val="24"/>
            </w:rPr>
            <w:fldChar w:fldCharType="separate"/>
          </w:r>
          <w:r>
            <w:rPr>
              <w:rFonts w:hint="eastAsia" w:ascii="宋体" w:hAnsi="宋体" w:cs="宋体"/>
              <w:sz w:val="24"/>
            </w:rPr>
            <w:t>16</w:t>
          </w:r>
          <w:r>
            <w:rPr>
              <w:rFonts w:hint="eastAsia" w:ascii="宋体" w:hAnsi="宋体" w:cs="宋体"/>
              <w:sz w:val="24"/>
            </w:rPr>
            <w:fldChar w:fldCharType="end"/>
          </w:r>
          <w:r>
            <w:rPr>
              <w:rFonts w:hint="eastAsia" w:ascii="宋体" w:hAnsi="宋体" w:cs="宋体"/>
              <w:sz w:val="24"/>
            </w:rPr>
            <w:fldChar w:fldCharType="end"/>
          </w:r>
        </w:p>
        <w:p>
          <w:pPr>
            <w:pStyle w:val="18"/>
            <w:tabs>
              <w:tab w:val="right" w:leader="dot" w:pos="8306"/>
              <w:tab w:val="clear" w:pos="8296"/>
            </w:tabs>
            <w:rPr>
              <w:rFonts w:ascii="宋体" w:hAnsi="宋体" w:cs="宋体"/>
              <w:sz w:val="24"/>
            </w:rPr>
          </w:pPr>
          <w:r>
            <w:fldChar w:fldCharType="begin"/>
          </w:r>
          <w:r>
            <w:instrText xml:space="preserve"> HYPERLINK \l "_Toc11865" </w:instrText>
          </w:r>
          <w:r>
            <w:fldChar w:fldCharType="separate"/>
          </w:r>
          <w:r>
            <w:rPr>
              <w:rFonts w:hint="eastAsia" w:ascii="宋体" w:hAnsi="宋体" w:cs="宋体"/>
              <w:sz w:val="24"/>
            </w:rPr>
            <w:t>六、一般公共预算财政拨款支出决算表</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_Toc11865 \h </w:instrText>
          </w:r>
          <w:r>
            <w:rPr>
              <w:rFonts w:hint="eastAsia" w:ascii="宋体" w:hAnsi="宋体" w:cs="宋体"/>
              <w:sz w:val="24"/>
            </w:rPr>
            <w:fldChar w:fldCharType="separate"/>
          </w:r>
          <w:r>
            <w:rPr>
              <w:rFonts w:hint="eastAsia" w:ascii="宋体" w:hAnsi="宋体" w:cs="宋体"/>
              <w:sz w:val="24"/>
            </w:rPr>
            <w:t>16</w:t>
          </w:r>
          <w:r>
            <w:rPr>
              <w:rFonts w:hint="eastAsia" w:ascii="宋体" w:hAnsi="宋体" w:cs="宋体"/>
              <w:sz w:val="24"/>
            </w:rPr>
            <w:fldChar w:fldCharType="end"/>
          </w:r>
          <w:r>
            <w:rPr>
              <w:rFonts w:hint="eastAsia" w:ascii="宋体" w:hAnsi="宋体" w:cs="宋体"/>
              <w:sz w:val="24"/>
            </w:rPr>
            <w:fldChar w:fldCharType="end"/>
          </w:r>
        </w:p>
        <w:p>
          <w:pPr>
            <w:pStyle w:val="18"/>
            <w:tabs>
              <w:tab w:val="right" w:leader="dot" w:pos="8306"/>
              <w:tab w:val="clear" w:pos="8296"/>
            </w:tabs>
            <w:rPr>
              <w:rFonts w:ascii="宋体" w:hAnsi="宋体" w:cs="宋体"/>
              <w:sz w:val="24"/>
            </w:rPr>
          </w:pPr>
          <w:r>
            <w:fldChar w:fldCharType="begin"/>
          </w:r>
          <w:r>
            <w:instrText xml:space="preserve"> HYPERLINK \l "_Toc9597" </w:instrText>
          </w:r>
          <w:r>
            <w:fldChar w:fldCharType="separate"/>
          </w:r>
          <w:r>
            <w:rPr>
              <w:rFonts w:hint="eastAsia" w:ascii="宋体" w:hAnsi="宋体" w:cs="宋体"/>
              <w:sz w:val="24"/>
            </w:rPr>
            <w:t>七、一般公共预算财政拨款支出决算明细表</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_Toc9597 \h </w:instrText>
          </w:r>
          <w:r>
            <w:rPr>
              <w:rFonts w:hint="eastAsia" w:ascii="宋体" w:hAnsi="宋体" w:cs="宋体"/>
              <w:sz w:val="24"/>
            </w:rPr>
            <w:fldChar w:fldCharType="separate"/>
          </w:r>
          <w:r>
            <w:rPr>
              <w:rFonts w:hint="eastAsia" w:ascii="宋体" w:hAnsi="宋体" w:cs="宋体"/>
              <w:sz w:val="24"/>
            </w:rPr>
            <w:t>16</w:t>
          </w:r>
          <w:r>
            <w:rPr>
              <w:rFonts w:hint="eastAsia" w:ascii="宋体" w:hAnsi="宋体" w:cs="宋体"/>
              <w:sz w:val="24"/>
            </w:rPr>
            <w:fldChar w:fldCharType="end"/>
          </w:r>
          <w:r>
            <w:rPr>
              <w:rFonts w:hint="eastAsia" w:ascii="宋体" w:hAnsi="宋体" w:cs="宋体"/>
              <w:sz w:val="24"/>
            </w:rPr>
            <w:fldChar w:fldCharType="end"/>
          </w:r>
        </w:p>
        <w:p>
          <w:pPr>
            <w:pStyle w:val="18"/>
            <w:tabs>
              <w:tab w:val="right" w:leader="dot" w:pos="8306"/>
              <w:tab w:val="clear" w:pos="8296"/>
            </w:tabs>
            <w:rPr>
              <w:rFonts w:ascii="宋体" w:hAnsi="宋体" w:cs="宋体"/>
              <w:sz w:val="24"/>
            </w:rPr>
          </w:pPr>
          <w:r>
            <w:fldChar w:fldCharType="begin"/>
          </w:r>
          <w:r>
            <w:instrText xml:space="preserve"> HYPERLINK \l "_Toc26242" </w:instrText>
          </w:r>
          <w:r>
            <w:fldChar w:fldCharType="separate"/>
          </w:r>
          <w:r>
            <w:rPr>
              <w:rFonts w:hint="eastAsia" w:ascii="宋体" w:hAnsi="宋体" w:cs="宋体"/>
              <w:sz w:val="24"/>
            </w:rPr>
            <w:t>八、一般公共预算财政拨款基本支出决算表</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_Toc26242 \h </w:instrText>
          </w:r>
          <w:r>
            <w:rPr>
              <w:rFonts w:hint="eastAsia" w:ascii="宋体" w:hAnsi="宋体" w:cs="宋体"/>
              <w:sz w:val="24"/>
            </w:rPr>
            <w:fldChar w:fldCharType="separate"/>
          </w:r>
          <w:r>
            <w:rPr>
              <w:rFonts w:hint="eastAsia" w:ascii="宋体" w:hAnsi="宋体" w:cs="宋体"/>
              <w:sz w:val="24"/>
            </w:rPr>
            <w:t>16</w:t>
          </w:r>
          <w:r>
            <w:rPr>
              <w:rFonts w:hint="eastAsia" w:ascii="宋体" w:hAnsi="宋体" w:cs="宋体"/>
              <w:sz w:val="24"/>
            </w:rPr>
            <w:fldChar w:fldCharType="end"/>
          </w:r>
          <w:r>
            <w:rPr>
              <w:rFonts w:hint="eastAsia" w:ascii="宋体" w:hAnsi="宋体" w:cs="宋体"/>
              <w:sz w:val="24"/>
            </w:rPr>
            <w:fldChar w:fldCharType="end"/>
          </w:r>
        </w:p>
        <w:p>
          <w:pPr>
            <w:pStyle w:val="18"/>
            <w:tabs>
              <w:tab w:val="right" w:leader="dot" w:pos="8306"/>
              <w:tab w:val="clear" w:pos="8296"/>
            </w:tabs>
            <w:rPr>
              <w:rFonts w:ascii="宋体" w:hAnsi="宋体" w:cs="宋体"/>
              <w:sz w:val="24"/>
            </w:rPr>
          </w:pPr>
          <w:r>
            <w:fldChar w:fldCharType="begin"/>
          </w:r>
          <w:r>
            <w:instrText xml:space="preserve"> HYPERLINK \l "_Toc13332" </w:instrText>
          </w:r>
          <w:r>
            <w:fldChar w:fldCharType="separate"/>
          </w:r>
          <w:r>
            <w:rPr>
              <w:rFonts w:hint="eastAsia" w:ascii="宋体" w:hAnsi="宋体" w:cs="宋体"/>
              <w:sz w:val="24"/>
            </w:rPr>
            <w:t>九、一般公共预算财政拨款项目支出决算表</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_Toc13332 \h </w:instrText>
          </w:r>
          <w:r>
            <w:rPr>
              <w:rFonts w:hint="eastAsia" w:ascii="宋体" w:hAnsi="宋体" w:cs="宋体"/>
              <w:sz w:val="24"/>
            </w:rPr>
            <w:fldChar w:fldCharType="separate"/>
          </w:r>
          <w:r>
            <w:rPr>
              <w:rFonts w:hint="eastAsia" w:ascii="宋体" w:hAnsi="宋体" w:cs="宋体"/>
              <w:sz w:val="24"/>
            </w:rPr>
            <w:t>16</w:t>
          </w:r>
          <w:r>
            <w:rPr>
              <w:rFonts w:hint="eastAsia" w:ascii="宋体" w:hAnsi="宋体" w:cs="宋体"/>
              <w:sz w:val="24"/>
            </w:rPr>
            <w:fldChar w:fldCharType="end"/>
          </w:r>
          <w:r>
            <w:rPr>
              <w:rFonts w:hint="eastAsia" w:ascii="宋体" w:hAnsi="宋体" w:cs="宋体"/>
              <w:sz w:val="24"/>
            </w:rPr>
            <w:fldChar w:fldCharType="end"/>
          </w:r>
        </w:p>
        <w:p>
          <w:pPr>
            <w:pStyle w:val="18"/>
            <w:tabs>
              <w:tab w:val="right" w:leader="dot" w:pos="8306"/>
              <w:tab w:val="clear" w:pos="8296"/>
            </w:tabs>
            <w:rPr>
              <w:rFonts w:ascii="宋体" w:hAnsi="宋体" w:cs="宋体"/>
              <w:sz w:val="24"/>
            </w:rPr>
          </w:pPr>
          <w:r>
            <w:fldChar w:fldCharType="begin"/>
          </w:r>
          <w:r>
            <w:instrText xml:space="preserve"> HYPERLINK \l "_Toc19886" </w:instrText>
          </w:r>
          <w:r>
            <w:fldChar w:fldCharType="separate"/>
          </w:r>
          <w:r>
            <w:rPr>
              <w:rFonts w:hint="eastAsia" w:ascii="宋体" w:hAnsi="宋体" w:cs="宋体"/>
              <w:sz w:val="24"/>
            </w:rPr>
            <w:t>十、一般公共预算财政拨款“三公”经费支出决算表</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_Toc19886 \h </w:instrText>
          </w:r>
          <w:r>
            <w:rPr>
              <w:rFonts w:hint="eastAsia" w:ascii="宋体" w:hAnsi="宋体" w:cs="宋体"/>
              <w:sz w:val="24"/>
            </w:rPr>
            <w:fldChar w:fldCharType="separate"/>
          </w:r>
          <w:r>
            <w:rPr>
              <w:rFonts w:hint="eastAsia" w:ascii="宋体" w:hAnsi="宋体" w:cs="宋体"/>
              <w:sz w:val="24"/>
            </w:rPr>
            <w:t>16</w:t>
          </w:r>
          <w:r>
            <w:rPr>
              <w:rFonts w:hint="eastAsia" w:ascii="宋体" w:hAnsi="宋体" w:cs="宋体"/>
              <w:sz w:val="24"/>
            </w:rPr>
            <w:fldChar w:fldCharType="end"/>
          </w:r>
          <w:r>
            <w:rPr>
              <w:rFonts w:hint="eastAsia" w:ascii="宋体" w:hAnsi="宋体" w:cs="宋体"/>
              <w:sz w:val="24"/>
            </w:rPr>
            <w:fldChar w:fldCharType="end"/>
          </w:r>
        </w:p>
        <w:p>
          <w:pPr>
            <w:pStyle w:val="18"/>
            <w:tabs>
              <w:tab w:val="right" w:leader="dot" w:pos="8306"/>
              <w:tab w:val="clear" w:pos="8296"/>
            </w:tabs>
            <w:rPr>
              <w:rFonts w:ascii="宋体" w:hAnsi="宋体" w:cs="宋体"/>
              <w:sz w:val="24"/>
            </w:rPr>
          </w:pPr>
          <w:r>
            <w:fldChar w:fldCharType="begin"/>
          </w:r>
          <w:r>
            <w:instrText xml:space="preserve"> HYPERLINK \l "_Toc7515" </w:instrText>
          </w:r>
          <w:r>
            <w:fldChar w:fldCharType="separate"/>
          </w:r>
          <w:r>
            <w:rPr>
              <w:rFonts w:hint="eastAsia" w:ascii="宋体" w:hAnsi="宋体" w:cs="宋体"/>
              <w:sz w:val="24"/>
            </w:rPr>
            <w:t>十一、政府性基金预算财政拨款收入支出决算表</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_Toc7515 \h </w:instrText>
          </w:r>
          <w:r>
            <w:rPr>
              <w:rFonts w:hint="eastAsia" w:ascii="宋体" w:hAnsi="宋体" w:cs="宋体"/>
              <w:sz w:val="24"/>
            </w:rPr>
            <w:fldChar w:fldCharType="separate"/>
          </w:r>
          <w:r>
            <w:rPr>
              <w:rFonts w:hint="eastAsia" w:ascii="宋体" w:hAnsi="宋体" w:cs="宋体"/>
              <w:sz w:val="24"/>
            </w:rPr>
            <w:t>16</w:t>
          </w:r>
          <w:r>
            <w:rPr>
              <w:rFonts w:hint="eastAsia" w:ascii="宋体" w:hAnsi="宋体" w:cs="宋体"/>
              <w:sz w:val="24"/>
            </w:rPr>
            <w:fldChar w:fldCharType="end"/>
          </w:r>
          <w:r>
            <w:rPr>
              <w:rFonts w:hint="eastAsia" w:ascii="宋体" w:hAnsi="宋体" w:cs="宋体"/>
              <w:sz w:val="24"/>
            </w:rPr>
            <w:fldChar w:fldCharType="end"/>
          </w:r>
        </w:p>
        <w:p>
          <w:pPr>
            <w:pStyle w:val="18"/>
            <w:tabs>
              <w:tab w:val="right" w:leader="dot" w:pos="8306"/>
              <w:tab w:val="clear" w:pos="8296"/>
            </w:tabs>
            <w:rPr>
              <w:rFonts w:ascii="宋体" w:hAnsi="宋体" w:cs="宋体"/>
              <w:sz w:val="24"/>
            </w:rPr>
          </w:pPr>
          <w:r>
            <w:fldChar w:fldCharType="begin"/>
          </w:r>
          <w:r>
            <w:instrText xml:space="preserve"> HYPERLINK \l "_Toc11927" </w:instrText>
          </w:r>
          <w:r>
            <w:fldChar w:fldCharType="separate"/>
          </w:r>
          <w:r>
            <w:rPr>
              <w:rFonts w:hint="eastAsia" w:ascii="宋体" w:hAnsi="宋体" w:cs="宋体"/>
              <w:sz w:val="24"/>
            </w:rPr>
            <w:t>十二、政府性基金预算财政拨款“三公”经费支出决算表</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_Toc11927 \h </w:instrText>
          </w:r>
          <w:r>
            <w:rPr>
              <w:rFonts w:hint="eastAsia" w:ascii="宋体" w:hAnsi="宋体" w:cs="宋体"/>
              <w:sz w:val="24"/>
            </w:rPr>
            <w:fldChar w:fldCharType="separate"/>
          </w:r>
          <w:r>
            <w:rPr>
              <w:rFonts w:hint="eastAsia" w:ascii="宋体" w:hAnsi="宋体" w:cs="宋体"/>
              <w:sz w:val="24"/>
            </w:rPr>
            <w:t>16</w:t>
          </w:r>
          <w:r>
            <w:rPr>
              <w:rFonts w:hint="eastAsia" w:ascii="宋体" w:hAnsi="宋体" w:cs="宋体"/>
              <w:sz w:val="24"/>
            </w:rPr>
            <w:fldChar w:fldCharType="end"/>
          </w:r>
          <w:r>
            <w:rPr>
              <w:rFonts w:hint="eastAsia" w:ascii="宋体" w:hAnsi="宋体" w:cs="宋体"/>
              <w:sz w:val="24"/>
            </w:rPr>
            <w:fldChar w:fldCharType="end"/>
          </w:r>
        </w:p>
        <w:p>
          <w:pPr>
            <w:pStyle w:val="18"/>
            <w:tabs>
              <w:tab w:val="right" w:leader="dot" w:pos="8306"/>
              <w:tab w:val="clear" w:pos="8296"/>
            </w:tabs>
            <w:rPr>
              <w:rFonts w:ascii="宋体" w:hAnsi="宋体" w:cs="宋体"/>
              <w:sz w:val="24"/>
            </w:rPr>
          </w:pPr>
          <w:r>
            <w:fldChar w:fldCharType="begin"/>
          </w:r>
          <w:r>
            <w:instrText xml:space="preserve"> HYPERLINK \l "_Toc14601" </w:instrText>
          </w:r>
          <w:r>
            <w:fldChar w:fldCharType="separate"/>
          </w:r>
          <w:r>
            <w:rPr>
              <w:rFonts w:hint="eastAsia" w:ascii="宋体" w:hAnsi="宋体" w:cs="宋体"/>
              <w:sz w:val="24"/>
            </w:rPr>
            <w:t>十三、国有资本经营预算财政拨款收入支出决算表</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_Toc14601 \h </w:instrText>
          </w:r>
          <w:r>
            <w:rPr>
              <w:rFonts w:hint="eastAsia" w:ascii="宋体" w:hAnsi="宋体" w:cs="宋体"/>
              <w:sz w:val="24"/>
            </w:rPr>
            <w:fldChar w:fldCharType="separate"/>
          </w:r>
          <w:r>
            <w:rPr>
              <w:rFonts w:hint="eastAsia" w:ascii="宋体" w:hAnsi="宋体" w:cs="宋体"/>
              <w:sz w:val="24"/>
            </w:rPr>
            <w:t>16</w:t>
          </w:r>
          <w:r>
            <w:rPr>
              <w:rFonts w:hint="eastAsia" w:ascii="宋体" w:hAnsi="宋体" w:cs="宋体"/>
              <w:sz w:val="24"/>
            </w:rPr>
            <w:fldChar w:fldCharType="end"/>
          </w:r>
          <w:r>
            <w:rPr>
              <w:rFonts w:hint="eastAsia" w:ascii="宋体" w:hAnsi="宋体" w:cs="宋体"/>
              <w:sz w:val="24"/>
            </w:rPr>
            <w:fldChar w:fldCharType="end"/>
          </w:r>
        </w:p>
        <w:p>
          <w:pPr>
            <w:pStyle w:val="18"/>
            <w:tabs>
              <w:tab w:val="right" w:leader="dot" w:pos="8306"/>
              <w:tab w:val="clear" w:pos="8296"/>
            </w:tabs>
            <w:rPr>
              <w:rFonts w:ascii="黑体" w:hAnsi="黑体" w:eastAsia="黑体"/>
            </w:rPr>
          </w:pPr>
          <w:r>
            <w:fldChar w:fldCharType="begin"/>
          </w:r>
          <w:r>
            <w:instrText xml:space="preserve"> HYPERLINK \l "_Toc25198" </w:instrText>
          </w:r>
          <w:r>
            <w:fldChar w:fldCharType="separate"/>
          </w:r>
          <w:r>
            <w:rPr>
              <w:rFonts w:hint="eastAsia" w:ascii="宋体" w:hAnsi="宋体" w:cs="宋体"/>
              <w:sz w:val="24"/>
            </w:rPr>
            <w:t>十四、国有资本经营预算财政拨款支出决算表</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_Toc25198 \h </w:instrText>
          </w:r>
          <w:r>
            <w:rPr>
              <w:rFonts w:hint="eastAsia" w:ascii="宋体" w:hAnsi="宋体" w:cs="宋体"/>
              <w:sz w:val="24"/>
            </w:rPr>
            <w:fldChar w:fldCharType="separate"/>
          </w:r>
          <w:r>
            <w:rPr>
              <w:rFonts w:hint="eastAsia" w:ascii="宋体" w:hAnsi="宋体" w:cs="宋体"/>
              <w:sz w:val="24"/>
            </w:rPr>
            <w:t>16</w:t>
          </w:r>
          <w:r>
            <w:rPr>
              <w:rFonts w:hint="eastAsia" w:ascii="宋体" w:hAnsi="宋体" w:cs="宋体"/>
              <w:sz w:val="24"/>
            </w:rPr>
            <w:fldChar w:fldCharType="end"/>
          </w:r>
          <w:r>
            <w:rPr>
              <w:rFonts w:hint="eastAsia" w:ascii="宋体" w:hAnsi="宋体" w:cs="宋体"/>
              <w:sz w:val="24"/>
            </w:rPr>
            <w:fldChar w:fldCharType="end"/>
          </w:r>
        </w:p>
        <w:p>
          <w:pPr>
            <w:rPr>
              <w:rFonts w:ascii="黑体" w:hAnsi="黑体" w:eastAsia="黑体"/>
            </w:rPr>
            <w:sectPr>
              <w:footerReference r:id="rId10" w:type="first"/>
              <w:footerReference r:id="rId9" w:type="default"/>
              <w:pgSz w:w="11906" w:h="16838"/>
              <w:pgMar w:top="1440" w:right="1800" w:bottom="1440" w:left="1800" w:header="851" w:footer="992" w:gutter="0"/>
              <w:pgNumType w:start="1"/>
              <w:cols w:space="425" w:num="1"/>
              <w:titlePg/>
              <w:docGrid w:type="lines" w:linePitch="312" w:charSpace="0"/>
            </w:sectPr>
          </w:pPr>
          <w:r>
            <w:rPr>
              <w:rFonts w:hint="eastAsia" w:ascii="黑体" w:hAnsi="黑体" w:eastAsia="黑体"/>
            </w:rPr>
            <w:fldChar w:fldCharType="end"/>
          </w:r>
        </w:p>
      </w:sdtContent>
    </w:sdt>
    <w:p>
      <w:pPr>
        <w:pStyle w:val="11"/>
        <w:jc w:val="center"/>
        <w:rPr>
          <w:rStyle w:val="28"/>
          <w:rFonts w:ascii="黑体" w:hAnsi="黑体" w:eastAsia="黑体"/>
          <w:b/>
          <w:bCs w:val="0"/>
        </w:rPr>
      </w:pPr>
      <w:bookmarkStart w:id="14" w:name="_Toc15396599"/>
      <w:bookmarkStart w:id="15" w:name="_Toc15377196"/>
      <w:bookmarkStart w:id="16" w:name="_Toc28609"/>
      <w:r>
        <w:rPr>
          <w:rFonts w:hint="eastAsia" w:ascii="黑体" w:hAnsi="黑体" w:eastAsia="黑体"/>
          <w:b w:val="0"/>
        </w:rPr>
        <w:t>第一部分 单位</w:t>
      </w:r>
      <w:r>
        <w:rPr>
          <w:rStyle w:val="28"/>
          <w:rFonts w:hint="eastAsia" w:ascii="黑体" w:hAnsi="黑体" w:eastAsia="黑体"/>
          <w:b w:val="0"/>
          <w:bCs w:val="0"/>
        </w:rPr>
        <w:t>概况</w:t>
      </w:r>
      <w:bookmarkEnd w:id="14"/>
      <w:bookmarkEnd w:id="15"/>
      <w:bookmarkEnd w:id="16"/>
    </w:p>
    <w:p>
      <w:pPr>
        <w:pStyle w:val="12"/>
        <w:spacing w:after="0" w:line="560" w:lineRule="exact"/>
        <w:ind w:firstLine="640" w:firstLineChars="200"/>
        <w:rPr>
          <w:rStyle w:val="29"/>
          <w:rFonts w:ascii="黑体" w:hAnsi="黑体" w:eastAsia="黑体"/>
          <w:b w:val="0"/>
          <w:bCs w:val="0"/>
        </w:rPr>
      </w:pPr>
      <w:bookmarkStart w:id="17" w:name="_Toc27870"/>
      <w:bookmarkStart w:id="18" w:name="_Toc15396600"/>
      <w:bookmarkStart w:id="19" w:name="_Toc15377197"/>
      <w:r>
        <w:rPr>
          <w:rStyle w:val="29"/>
          <w:rFonts w:hint="eastAsia" w:ascii="黑体" w:hAnsi="黑体" w:eastAsia="黑体"/>
          <w:b w:val="0"/>
          <w:bCs w:val="0"/>
        </w:rPr>
        <w:t>一、职能简介</w:t>
      </w:r>
      <w:bookmarkEnd w:id="17"/>
    </w:p>
    <w:p>
      <w:pPr>
        <w:pStyle w:val="3"/>
        <w:adjustRightInd w:val="0"/>
        <w:snapToGrid w:val="0"/>
        <w:spacing w:beforeLines="0" w:line="560" w:lineRule="exact"/>
        <w:ind w:firstLine="672" w:firstLineChars="210"/>
        <w:outlineLvl w:val="2"/>
        <w:rPr>
          <w:rFonts w:ascii="仿宋" w:hAnsi="仿宋" w:eastAsia="仿宋"/>
          <w:color w:val="000000"/>
          <w:sz w:val="32"/>
          <w:szCs w:val="32"/>
        </w:rPr>
      </w:pPr>
      <w:bookmarkStart w:id="20" w:name="_Toc15377199"/>
      <w:bookmarkStart w:id="21" w:name="_Toc14311"/>
      <w:bookmarkStart w:id="22" w:name="_Toc17164"/>
      <w:bookmarkStart w:id="23" w:name="_Toc15378446"/>
      <w:bookmarkStart w:id="24" w:name="_Toc17376"/>
      <w:r>
        <w:rPr>
          <w:rFonts w:hint="eastAsia" w:ascii="仿宋" w:hAnsi="仿宋" w:eastAsia="仿宋"/>
          <w:color w:val="000000"/>
          <w:sz w:val="32"/>
          <w:szCs w:val="32"/>
        </w:rPr>
        <w:t>负责辖区内常见病、多发病的诊治，院前急救，巡回医疗，辖区内的疾病控制、妇幼保健、健康教育、计划免疫、中医药健康管理、健康素养促进，承担乡村卫生人员业务培训与技术指导，负责初级卫生保健的规划与实施，城镇职工和城乡居民基本医疗保险的组织与管理，卫生监督协管与卫生信息管理等工作。</w:t>
      </w:r>
      <w:bookmarkEnd w:id="20"/>
      <w:bookmarkEnd w:id="21"/>
      <w:bookmarkEnd w:id="22"/>
      <w:bookmarkEnd w:id="23"/>
      <w:bookmarkEnd w:id="24"/>
    </w:p>
    <w:p>
      <w:pPr>
        <w:pStyle w:val="12"/>
        <w:spacing w:before="0" w:after="0" w:line="560" w:lineRule="exact"/>
        <w:ind w:firstLine="640" w:firstLineChars="200"/>
        <w:rPr>
          <w:rFonts w:ascii="黑体" w:hAnsi="黑体" w:eastAsia="黑体"/>
          <w:b w:val="0"/>
        </w:rPr>
      </w:pPr>
      <w:bookmarkStart w:id="25" w:name="_Toc17952"/>
      <w:r>
        <w:rPr>
          <w:rFonts w:hint="eastAsia" w:ascii="黑体" w:hAnsi="黑体" w:eastAsia="黑体"/>
          <w:b w:val="0"/>
        </w:rPr>
        <w:t>二、2021年重点工作</w:t>
      </w:r>
      <w:bookmarkEnd w:id="18"/>
      <w:bookmarkEnd w:id="19"/>
      <w:r>
        <w:rPr>
          <w:rFonts w:hint="eastAsia" w:ascii="黑体" w:hAnsi="黑体" w:eastAsia="黑体"/>
          <w:b w:val="0"/>
        </w:rPr>
        <w:t>完成情况</w:t>
      </w:r>
      <w:bookmarkEnd w:id="25"/>
    </w:p>
    <w:p>
      <w:pPr>
        <w:pStyle w:val="12"/>
        <w:numPr>
          <w:ilvl w:val="0"/>
          <w:numId w:val="1"/>
        </w:numPr>
        <w:spacing w:before="0" w:after="0" w:line="560" w:lineRule="exact"/>
        <w:ind w:firstLine="640" w:firstLineChars="200"/>
        <w:rPr>
          <w:rFonts w:ascii="仿宋" w:hAnsi="仿宋" w:eastAsia="仿宋" w:cs="Times New Roman"/>
          <w:b w:val="0"/>
          <w:bCs w:val="0"/>
          <w:color w:val="000000"/>
          <w:kern w:val="0"/>
        </w:rPr>
      </w:pPr>
      <w:bookmarkStart w:id="26" w:name="_Toc8569"/>
      <w:r>
        <w:rPr>
          <w:rFonts w:hint="eastAsia" w:ascii="仿宋" w:hAnsi="仿宋" w:eastAsia="仿宋" w:cs="Times New Roman"/>
          <w:b w:val="0"/>
          <w:bCs w:val="0"/>
          <w:color w:val="000000"/>
          <w:kern w:val="0"/>
        </w:rPr>
        <w:t>基本医疗保险；</w:t>
      </w:r>
      <w:bookmarkEnd w:id="26"/>
    </w:p>
    <w:p>
      <w:pPr>
        <w:pStyle w:val="12"/>
        <w:numPr>
          <w:ilvl w:val="0"/>
          <w:numId w:val="1"/>
        </w:numPr>
        <w:spacing w:before="0" w:after="0" w:line="560" w:lineRule="exact"/>
        <w:ind w:firstLine="640" w:firstLineChars="200"/>
      </w:pPr>
      <w:bookmarkStart w:id="27" w:name="_Toc16738"/>
      <w:r>
        <w:rPr>
          <w:rFonts w:hint="eastAsia" w:ascii="仿宋" w:hAnsi="仿宋" w:eastAsia="仿宋" w:cs="Times New Roman"/>
          <w:b w:val="0"/>
          <w:bCs w:val="0"/>
          <w:color w:val="000000"/>
          <w:kern w:val="0"/>
        </w:rPr>
        <w:t>基本公共卫生服务；</w:t>
      </w:r>
      <w:bookmarkEnd w:id="27"/>
    </w:p>
    <w:p>
      <w:pPr>
        <w:pStyle w:val="12"/>
        <w:numPr>
          <w:ilvl w:val="0"/>
          <w:numId w:val="1"/>
        </w:numPr>
        <w:spacing w:before="0" w:after="0" w:line="560" w:lineRule="exact"/>
        <w:ind w:firstLine="640" w:firstLineChars="200"/>
      </w:pPr>
      <w:bookmarkStart w:id="28" w:name="_Toc27835"/>
      <w:r>
        <w:rPr>
          <w:rFonts w:hint="eastAsia" w:ascii="仿宋" w:hAnsi="仿宋" w:eastAsia="仿宋" w:cs="Times New Roman"/>
          <w:b w:val="0"/>
          <w:bCs w:val="0"/>
          <w:color w:val="000000"/>
          <w:kern w:val="0"/>
        </w:rPr>
        <w:t>健康扶贫。</w:t>
      </w:r>
      <w:bookmarkEnd w:id="28"/>
    </w:p>
    <w:p>
      <w:pPr>
        <w:widowControl/>
        <w:jc w:val="left"/>
        <w:rPr>
          <w:rFonts w:ascii="仿宋" w:hAnsi="仿宋" w:eastAsia="仿宋"/>
          <w:kern w:val="0"/>
          <w:sz w:val="32"/>
          <w:szCs w:val="32"/>
        </w:rPr>
      </w:pPr>
      <w:r>
        <w:br w:type="page"/>
      </w:r>
    </w:p>
    <w:p>
      <w:pPr>
        <w:pStyle w:val="11"/>
        <w:ind w:right="440"/>
        <w:jc w:val="center"/>
        <w:rPr>
          <w:rStyle w:val="28"/>
          <w:rFonts w:ascii="黑体" w:hAnsi="黑体" w:eastAsia="黑体"/>
          <w:b w:val="0"/>
          <w:bCs/>
        </w:rPr>
      </w:pPr>
      <w:bookmarkStart w:id="29" w:name="_Toc15377204"/>
      <w:bookmarkStart w:id="30" w:name="_Toc9890"/>
      <w:bookmarkStart w:id="31" w:name="_Toc15396602"/>
      <w:r>
        <w:rPr>
          <w:rFonts w:hint="eastAsia" w:ascii="黑体" w:hAnsi="黑体" w:eastAsia="黑体"/>
          <w:b w:val="0"/>
        </w:rPr>
        <w:t>第二部分 2021年度</w:t>
      </w:r>
      <w:r>
        <w:rPr>
          <w:rStyle w:val="28"/>
          <w:rFonts w:hint="eastAsia" w:ascii="黑体" w:hAnsi="黑体" w:eastAsia="黑体"/>
          <w:b w:val="0"/>
          <w:bCs/>
        </w:rPr>
        <w:t>单位决算情况说明</w:t>
      </w:r>
      <w:bookmarkEnd w:id="29"/>
      <w:bookmarkEnd w:id="30"/>
      <w:bookmarkEnd w:id="31"/>
    </w:p>
    <w:p/>
    <w:p>
      <w:pPr>
        <w:pStyle w:val="27"/>
        <w:numPr>
          <w:ilvl w:val="0"/>
          <w:numId w:val="2"/>
        </w:numPr>
        <w:spacing w:line="600" w:lineRule="exact"/>
        <w:ind w:firstLineChars="0"/>
        <w:outlineLvl w:val="1"/>
        <w:rPr>
          <w:rStyle w:val="29"/>
          <w:rFonts w:ascii="黑体" w:hAnsi="黑体" w:eastAsia="黑体"/>
          <w:b w:val="0"/>
        </w:rPr>
      </w:pPr>
      <w:bookmarkStart w:id="32" w:name="_Toc28046"/>
      <w:bookmarkStart w:id="33" w:name="_Toc15396603"/>
      <w:bookmarkStart w:id="34" w:name="_Toc15377205"/>
      <w:r>
        <w:rPr>
          <w:rFonts w:hint="eastAsia" w:ascii="黑体" w:hAnsi="黑体" w:eastAsia="黑体"/>
          <w:sz w:val="32"/>
          <w:szCs w:val="32"/>
        </w:rPr>
        <w:t>收</w:t>
      </w:r>
      <w:r>
        <w:rPr>
          <w:rStyle w:val="29"/>
          <w:rFonts w:hint="eastAsia" w:ascii="黑体" w:hAnsi="黑体" w:eastAsia="黑体"/>
          <w:b w:val="0"/>
        </w:rPr>
        <w:t>入支出决算总体情况说明</w:t>
      </w:r>
      <w:bookmarkEnd w:id="32"/>
      <w:bookmarkEnd w:id="33"/>
      <w:bookmarkEnd w:id="34"/>
    </w:p>
    <w:p>
      <w:pPr>
        <w:spacing w:line="600" w:lineRule="exact"/>
        <w:ind w:firstLine="640" w:firstLineChars="200"/>
        <w:rPr>
          <w:rFonts w:ascii="仿宋" w:hAnsi="仿宋" w:eastAsia="仿宋"/>
          <w:color w:val="000000"/>
          <w:sz w:val="32"/>
          <w:szCs w:val="32"/>
        </w:rPr>
      </w:pPr>
      <w:r>
        <w:rPr>
          <w:rFonts w:hint="eastAsia" w:ascii="仿宋" w:hAnsi="仿宋" w:eastAsia="仿宋"/>
          <w:sz w:val="32"/>
          <w:szCs w:val="32"/>
        </w:rPr>
        <w:t>2021年度收入总计342.52万元。同比上年，收入减少27.16万元，减少7.35</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color w:val="000000"/>
          <w:sz w:val="32"/>
          <w:szCs w:val="32"/>
        </w:rPr>
        <w:t>2021年支出总计346.71万元，同比上年减少22.97万元，同比减少6.21%。</w:t>
      </w:r>
    </w:p>
    <w:p>
      <w:pPr>
        <w:pStyle w:val="3"/>
        <w:spacing w:before="93"/>
        <w:jc w:val="center"/>
        <w:rPr>
          <w:rFonts w:eastAsia="仿宋"/>
        </w:rPr>
      </w:pPr>
      <w:r>
        <w:rPr>
          <w:rFonts w:hint="eastAsia" w:eastAsia="仿宋"/>
        </w:rPr>
        <w:drawing>
          <wp:inline distT="0" distB="0" distL="114300" distR="114300">
            <wp:extent cx="4584065" cy="3522980"/>
            <wp:effectExtent l="0" t="0" r="6985" b="1270"/>
            <wp:docPr id="370" name="_x0000_i1660"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_x0000_i1660" descr="图片1"/>
                    <pic:cNvPicPr>
                      <a:picLocks noChangeAspect="1"/>
                    </pic:cNvPicPr>
                  </pic:nvPicPr>
                  <pic:blipFill>
                    <a:blip r:embed="rId14"/>
                    <a:stretch>
                      <a:fillRect/>
                    </a:stretch>
                  </pic:blipFill>
                  <pic:spPr>
                    <a:xfrm>
                      <a:off x="0" y="0"/>
                      <a:ext cx="4584065" cy="3522980"/>
                    </a:xfrm>
                    <a:prstGeom prst="rect">
                      <a:avLst/>
                    </a:prstGeom>
                  </pic:spPr>
                </pic:pic>
              </a:graphicData>
            </a:graphic>
          </wp:inline>
        </w:drawing>
      </w:r>
    </w:p>
    <w:p>
      <w:pPr>
        <w:spacing w:line="600" w:lineRule="exact"/>
        <w:ind w:firstLine="640" w:firstLineChars="200"/>
        <w:jc w:val="center"/>
        <w:rPr>
          <w:rFonts w:ascii="仿宋_GB2312" w:eastAsia="仿宋_GB2312"/>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w:t>
      </w:r>
    </w:p>
    <w:p>
      <w:pPr>
        <w:pStyle w:val="27"/>
        <w:numPr>
          <w:ilvl w:val="0"/>
          <w:numId w:val="2"/>
        </w:numPr>
        <w:spacing w:line="600" w:lineRule="exact"/>
        <w:ind w:firstLineChars="0"/>
        <w:outlineLvl w:val="1"/>
        <w:rPr>
          <w:rStyle w:val="29"/>
          <w:rFonts w:ascii="黑体" w:hAnsi="黑体" w:eastAsia="黑体"/>
          <w:b w:val="0"/>
        </w:rPr>
      </w:pPr>
      <w:bookmarkStart w:id="35" w:name="_Toc15396604"/>
      <w:bookmarkStart w:id="36" w:name="_Toc402"/>
      <w:bookmarkStart w:id="37" w:name="_Toc15377206"/>
      <w:r>
        <w:rPr>
          <w:rFonts w:hint="eastAsia" w:ascii="黑体" w:hAnsi="黑体" w:eastAsia="黑体"/>
          <w:sz w:val="32"/>
          <w:szCs w:val="32"/>
        </w:rPr>
        <w:t>收</w:t>
      </w:r>
      <w:r>
        <w:rPr>
          <w:rStyle w:val="29"/>
          <w:rFonts w:hint="eastAsia" w:ascii="黑体" w:hAnsi="黑体" w:eastAsia="黑体"/>
          <w:b w:val="0"/>
        </w:rPr>
        <w:t>入决算情况说明</w:t>
      </w:r>
      <w:bookmarkEnd w:id="35"/>
      <w:bookmarkEnd w:id="36"/>
      <w:bookmarkEnd w:id="37"/>
    </w:p>
    <w:p>
      <w:pPr>
        <w:spacing w:line="600" w:lineRule="exact"/>
        <w:ind w:firstLine="640" w:firstLineChars="200"/>
        <w:outlineLvl w:val="1"/>
        <w:rPr>
          <w:rFonts w:ascii="仿宋" w:hAnsi="仿宋" w:eastAsia="仿宋"/>
          <w:sz w:val="32"/>
          <w:szCs w:val="32"/>
        </w:rPr>
      </w:pPr>
      <w:bookmarkStart w:id="38" w:name="_Toc30488"/>
      <w:r>
        <w:rPr>
          <w:rFonts w:ascii="仿宋" w:hAnsi="仿宋" w:eastAsia="仿宋"/>
          <w:sz w:val="32"/>
          <w:szCs w:val="32"/>
        </w:rPr>
        <w:t>20</w:t>
      </w:r>
      <w:r>
        <w:rPr>
          <w:rFonts w:hint="eastAsia" w:ascii="仿宋" w:hAnsi="仿宋" w:eastAsia="仿宋"/>
          <w:sz w:val="32"/>
          <w:szCs w:val="32"/>
        </w:rPr>
        <w:t>21年本年收入合计342.52万元，其中：一般公共预算财政拨款收入123.66万元，占36</w:t>
      </w:r>
      <w:r>
        <w:rPr>
          <w:rFonts w:ascii="仿宋" w:hAnsi="仿宋" w:eastAsia="仿宋"/>
          <w:sz w:val="32"/>
          <w:szCs w:val="32"/>
        </w:rPr>
        <w:t>%</w:t>
      </w:r>
      <w:r>
        <w:rPr>
          <w:rFonts w:hint="eastAsia" w:ascii="仿宋" w:hAnsi="仿宋" w:eastAsia="仿宋"/>
          <w:sz w:val="32"/>
          <w:szCs w:val="32"/>
        </w:rPr>
        <w:t>；政府性基金预算财政拨款收入0万元</w:t>
      </w:r>
      <w:r>
        <w:rPr>
          <w:rFonts w:ascii="仿宋" w:hAnsi="仿宋" w:eastAsia="仿宋"/>
          <w:sz w:val="32"/>
          <w:szCs w:val="32"/>
        </w:rPr>
        <w:t>%</w:t>
      </w:r>
      <w:r>
        <w:rPr>
          <w:rFonts w:hint="eastAsia" w:ascii="仿宋" w:hAnsi="仿宋" w:eastAsia="仿宋"/>
          <w:sz w:val="32"/>
          <w:szCs w:val="32"/>
        </w:rPr>
        <w:t>；国有资本经营预算财政拨款收入0万元，上级补助收入0万元；营业收入200.62万元，占比59</w:t>
      </w:r>
      <w:r>
        <w:rPr>
          <w:rFonts w:ascii="仿宋" w:hAnsi="仿宋" w:eastAsia="仿宋"/>
          <w:sz w:val="32"/>
          <w:szCs w:val="32"/>
        </w:rPr>
        <w:t>%</w:t>
      </w:r>
      <w:r>
        <w:rPr>
          <w:rFonts w:hint="eastAsia" w:ascii="仿宋" w:hAnsi="仿宋" w:eastAsia="仿宋"/>
          <w:sz w:val="32"/>
          <w:szCs w:val="32"/>
        </w:rPr>
        <w:t>；经营收入0万元；其他收入18.25万元，占比5</w:t>
      </w:r>
      <w:r>
        <w:rPr>
          <w:rFonts w:ascii="仿宋" w:hAnsi="仿宋" w:eastAsia="仿宋"/>
          <w:sz w:val="32"/>
          <w:szCs w:val="32"/>
        </w:rPr>
        <w:t>%</w:t>
      </w:r>
      <w:r>
        <w:rPr>
          <w:rFonts w:hint="eastAsia" w:ascii="仿宋" w:hAnsi="仿宋" w:eastAsia="仿宋"/>
          <w:sz w:val="32"/>
          <w:szCs w:val="32"/>
        </w:rPr>
        <w:t>。</w:t>
      </w:r>
      <w:bookmarkEnd w:id="38"/>
    </w:p>
    <w:p>
      <w:pPr>
        <w:ind w:firstLine="640" w:firstLineChars="200"/>
        <w:jc w:val="center"/>
        <w:rPr>
          <w:rFonts w:ascii="仿宋_GB2312" w:eastAsia="仿宋_GB2312"/>
          <w:sz w:val="32"/>
          <w:szCs w:val="32"/>
        </w:rPr>
      </w:pPr>
      <w:r>
        <w:rPr>
          <w:rFonts w:hint="eastAsia" w:ascii="仿宋" w:hAnsi="仿宋" w:eastAsia="仿宋"/>
          <w:sz w:val="32"/>
          <w:szCs w:val="32"/>
        </w:rPr>
        <w:drawing>
          <wp:inline distT="0" distB="0" distL="114300" distR="114300">
            <wp:extent cx="4584065" cy="2755265"/>
            <wp:effectExtent l="0" t="0" r="6985" b="6985"/>
            <wp:docPr id="371" name="_x0000_i1661"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 name="_x0000_i1661" descr="图片2"/>
                    <pic:cNvPicPr>
                      <a:picLocks noChangeAspect="1"/>
                    </pic:cNvPicPr>
                  </pic:nvPicPr>
                  <pic:blipFill>
                    <a:blip r:embed="rId15"/>
                    <a:stretch>
                      <a:fillRect/>
                    </a:stretch>
                  </pic:blipFill>
                  <pic:spPr>
                    <a:xfrm>
                      <a:off x="0" y="0"/>
                      <a:ext cx="4584065" cy="2755265"/>
                    </a:xfrm>
                    <a:prstGeom prst="rect">
                      <a:avLst/>
                    </a:prstGeom>
                  </pic:spPr>
                </pic:pic>
              </a:graphicData>
            </a:graphic>
          </wp:inline>
        </w:drawing>
      </w:r>
      <w:r>
        <w:rPr>
          <w:rFonts w:hint="eastAsia" w:ascii="仿宋" w:hAnsi="仿宋" w:eastAsia="仿宋"/>
          <w:sz w:val="32"/>
          <w:szCs w:val="32"/>
        </w:rPr>
        <w:t>（图2：收入决算结构图）</w:t>
      </w:r>
    </w:p>
    <w:p>
      <w:pPr>
        <w:pStyle w:val="27"/>
        <w:numPr>
          <w:ilvl w:val="0"/>
          <w:numId w:val="2"/>
        </w:numPr>
        <w:spacing w:line="560" w:lineRule="exact"/>
        <w:ind w:firstLineChars="0"/>
        <w:outlineLvl w:val="1"/>
        <w:rPr>
          <w:rStyle w:val="29"/>
          <w:rFonts w:ascii="黑体" w:hAnsi="黑体" w:eastAsia="黑体"/>
          <w:b w:val="0"/>
        </w:rPr>
      </w:pPr>
      <w:bookmarkStart w:id="39" w:name="_Toc32258"/>
      <w:bookmarkStart w:id="40" w:name="_Toc15377207"/>
      <w:bookmarkStart w:id="41" w:name="_Toc15396605"/>
      <w:r>
        <w:rPr>
          <w:rFonts w:hint="eastAsia" w:ascii="黑体" w:hAnsi="黑体" w:eastAsia="黑体"/>
          <w:sz w:val="32"/>
          <w:szCs w:val="32"/>
        </w:rPr>
        <w:t>支</w:t>
      </w:r>
      <w:r>
        <w:rPr>
          <w:rStyle w:val="29"/>
          <w:rFonts w:hint="eastAsia" w:ascii="黑体" w:hAnsi="黑体" w:eastAsia="黑体"/>
          <w:b w:val="0"/>
        </w:rPr>
        <w:t>出决算情况说明</w:t>
      </w:r>
      <w:bookmarkEnd w:id="39"/>
      <w:bookmarkEnd w:id="40"/>
      <w:bookmarkEnd w:id="41"/>
    </w:p>
    <w:p>
      <w:pPr>
        <w:spacing w:line="560" w:lineRule="exact"/>
        <w:ind w:firstLine="640" w:firstLineChars="200"/>
        <w:outlineLvl w:val="1"/>
        <w:rPr>
          <w:rFonts w:ascii="仿宋" w:hAnsi="仿宋" w:eastAsia="仿宋"/>
          <w:sz w:val="32"/>
          <w:szCs w:val="32"/>
        </w:rPr>
      </w:pPr>
      <w:bookmarkStart w:id="42" w:name="_Toc32320"/>
      <w:r>
        <w:rPr>
          <w:rFonts w:ascii="仿宋" w:hAnsi="仿宋" w:eastAsia="仿宋"/>
          <w:sz w:val="32"/>
          <w:szCs w:val="32"/>
        </w:rPr>
        <w:t>20</w:t>
      </w:r>
      <w:r>
        <w:rPr>
          <w:rFonts w:hint="eastAsia" w:ascii="仿宋" w:hAnsi="仿宋" w:eastAsia="仿宋"/>
          <w:sz w:val="32"/>
          <w:szCs w:val="32"/>
        </w:rPr>
        <w:t>21年本年支出合计346.71万元，其中：基本支出300.47万元，占87</w:t>
      </w:r>
      <w:r>
        <w:rPr>
          <w:rFonts w:ascii="仿宋" w:hAnsi="仿宋" w:eastAsia="仿宋"/>
          <w:sz w:val="32"/>
          <w:szCs w:val="32"/>
        </w:rPr>
        <w:t>%</w:t>
      </w:r>
      <w:r>
        <w:rPr>
          <w:rFonts w:hint="eastAsia" w:ascii="仿宋" w:hAnsi="仿宋" w:eastAsia="仿宋"/>
          <w:sz w:val="32"/>
          <w:szCs w:val="32"/>
        </w:rPr>
        <w:t>；项目支出46.24万元，占比13</w:t>
      </w:r>
      <w:r>
        <w:rPr>
          <w:rFonts w:ascii="仿宋" w:hAnsi="仿宋" w:eastAsia="仿宋"/>
          <w:sz w:val="32"/>
          <w:szCs w:val="32"/>
        </w:rPr>
        <w:t>%</w:t>
      </w:r>
      <w:r>
        <w:rPr>
          <w:rFonts w:hint="eastAsia" w:ascii="仿宋" w:hAnsi="仿宋" w:eastAsia="仿宋"/>
          <w:sz w:val="32"/>
          <w:szCs w:val="32"/>
        </w:rPr>
        <w:t>；上缴上级支出0万元；经营支出0万元；对附属单位补助支出0万元。</w:t>
      </w:r>
      <w:bookmarkEnd w:id="42"/>
    </w:p>
    <w:p>
      <w:pPr>
        <w:ind w:firstLine="640" w:firstLineChars="200"/>
        <w:jc w:val="center"/>
        <w:rPr>
          <w:rFonts w:ascii="仿宋_GB2312" w:eastAsia="仿宋_GB2312"/>
          <w:sz w:val="32"/>
          <w:szCs w:val="32"/>
        </w:rPr>
      </w:pPr>
      <w:r>
        <w:rPr>
          <w:rFonts w:hint="eastAsia" w:ascii="仿宋" w:hAnsi="仿宋" w:eastAsia="仿宋"/>
          <w:sz w:val="32"/>
          <w:szCs w:val="32"/>
        </w:rPr>
        <w:drawing>
          <wp:inline distT="0" distB="0" distL="114300" distR="114300">
            <wp:extent cx="4584065" cy="2755265"/>
            <wp:effectExtent l="0" t="0" r="6985" b="6985"/>
            <wp:docPr id="372" name="_x0000_i1662"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_x0000_i1662" descr="图片3"/>
                    <pic:cNvPicPr>
                      <a:picLocks noChangeAspect="1"/>
                    </pic:cNvPicPr>
                  </pic:nvPicPr>
                  <pic:blipFill>
                    <a:blip r:embed="rId16"/>
                    <a:stretch>
                      <a:fillRect/>
                    </a:stretch>
                  </pic:blipFill>
                  <pic:spPr>
                    <a:xfrm>
                      <a:off x="0" y="0"/>
                      <a:ext cx="4584065" cy="2755265"/>
                    </a:xfrm>
                    <a:prstGeom prst="rect">
                      <a:avLst/>
                    </a:prstGeom>
                  </pic:spPr>
                </pic:pic>
              </a:graphicData>
            </a:graphic>
          </wp:inline>
        </w:drawing>
      </w:r>
      <w:r>
        <w:rPr>
          <w:rFonts w:hint="eastAsia" w:ascii="仿宋" w:hAnsi="仿宋" w:eastAsia="仿宋"/>
          <w:sz w:val="32"/>
          <w:szCs w:val="32"/>
        </w:rPr>
        <w:t>（图3：支出决算结构图）</w:t>
      </w:r>
    </w:p>
    <w:p>
      <w:pPr>
        <w:spacing w:line="600" w:lineRule="exact"/>
        <w:ind w:firstLine="640" w:firstLineChars="200"/>
        <w:outlineLvl w:val="1"/>
        <w:rPr>
          <w:rStyle w:val="29"/>
          <w:rFonts w:ascii="黑体" w:hAnsi="黑体" w:eastAsia="黑体"/>
          <w:b w:val="0"/>
        </w:rPr>
      </w:pPr>
      <w:bookmarkStart w:id="43" w:name="_Toc7235"/>
      <w:bookmarkStart w:id="44" w:name="_Toc15396606"/>
      <w:bookmarkStart w:id="45" w:name="_Toc15377208"/>
      <w:r>
        <w:rPr>
          <w:rFonts w:hint="eastAsia" w:ascii="黑体" w:hAnsi="黑体" w:eastAsia="黑体"/>
          <w:sz w:val="32"/>
          <w:szCs w:val="32"/>
        </w:rPr>
        <w:t>四、财</w:t>
      </w:r>
      <w:r>
        <w:rPr>
          <w:rStyle w:val="29"/>
          <w:rFonts w:hint="eastAsia" w:ascii="黑体" w:hAnsi="黑体" w:eastAsia="黑体"/>
          <w:b w:val="0"/>
        </w:rPr>
        <w:t>政拨款收入支出决算总体情况说明</w:t>
      </w:r>
      <w:bookmarkEnd w:id="43"/>
      <w:bookmarkEnd w:id="44"/>
      <w:bookmarkEnd w:id="45"/>
    </w:p>
    <w:p>
      <w:pPr>
        <w:spacing w:line="560" w:lineRule="exact"/>
        <w:ind w:firstLine="64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21年财政拨款收入123.66万元。同比上年，财政拨款收入增加5.10万元，增加4.30%。</w:t>
      </w:r>
    </w:p>
    <w:p>
      <w:pPr>
        <w:ind w:firstLine="640" w:firstLineChars="200"/>
        <w:jc w:val="center"/>
        <w:rPr>
          <w:rFonts w:ascii="仿宋" w:hAnsi="仿宋" w:eastAsia="仿宋"/>
          <w:b/>
          <w:sz w:val="32"/>
          <w:szCs w:val="32"/>
        </w:rPr>
      </w:pPr>
      <w:r>
        <w:rPr>
          <w:rFonts w:hint="eastAsia" w:ascii="仿宋" w:hAnsi="仿宋" w:eastAsia="仿宋"/>
          <w:sz w:val="32"/>
          <w:szCs w:val="32"/>
        </w:rPr>
        <w:drawing>
          <wp:inline distT="0" distB="0" distL="114300" distR="114300">
            <wp:extent cx="4584065" cy="2576195"/>
            <wp:effectExtent l="0" t="0" r="6985" b="14605"/>
            <wp:docPr id="373" name="_x0000_i1663" descr="图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 name="_x0000_i1663" descr="图片4"/>
                    <pic:cNvPicPr>
                      <a:picLocks noChangeAspect="1"/>
                    </pic:cNvPicPr>
                  </pic:nvPicPr>
                  <pic:blipFill>
                    <a:blip r:embed="rId17"/>
                    <a:stretch>
                      <a:fillRect/>
                    </a:stretch>
                  </pic:blipFill>
                  <pic:spPr>
                    <a:xfrm>
                      <a:off x="0" y="0"/>
                      <a:ext cx="4584065" cy="2576195"/>
                    </a:xfrm>
                    <a:prstGeom prst="rect">
                      <a:avLst/>
                    </a:prstGeom>
                  </pic:spPr>
                </pic:pic>
              </a:graphicData>
            </a:graphic>
          </wp:inline>
        </w:drawing>
      </w:r>
      <w:r>
        <w:rPr>
          <w:rFonts w:hint="eastAsia" w:ascii="仿宋" w:hAnsi="仿宋" w:eastAsia="仿宋"/>
          <w:sz w:val="32"/>
          <w:szCs w:val="32"/>
        </w:rPr>
        <w:t>（图4：财政拨款收、支决算总计变动情况）</w:t>
      </w:r>
    </w:p>
    <w:p>
      <w:pPr>
        <w:spacing w:line="600" w:lineRule="exact"/>
        <w:ind w:firstLine="640" w:firstLineChars="200"/>
        <w:outlineLvl w:val="1"/>
        <w:rPr>
          <w:rStyle w:val="29"/>
          <w:rFonts w:ascii="黑体" w:hAnsi="黑体" w:eastAsia="黑体"/>
          <w:b w:val="0"/>
        </w:rPr>
      </w:pPr>
      <w:bookmarkStart w:id="46" w:name="_Toc3317"/>
      <w:bookmarkStart w:id="47" w:name="_Toc15396607"/>
      <w:bookmarkStart w:id="48" w:name="_Toc15377209"/>
      <w:r>
        <w:rPr>
          <w:rFonts w:hint="eastAsia" w:ascii="黑体" w:hAnsi="黑体" w:eastAsia="黑体"/>
          <w:sz w:val="32"/>
          <w:szCs w:val="32"/>
        </w:rPr>
        <w:t>五、</w:t>
      </w:r>
      <w:r>
        <w:rPr>
          <w:rFonts w:hint="eastAsia" w:ascii="黑体" w:hAnsi="黑体" w:eastAsia="黑体"/>
          <w:b/>
          <w:sz w:val="32"/>
          <w:szCs w:val="32"/>
        </w:rPr>
        <w:t>一</w:t>
      </w:r>
      <w:r>
        <w:rPr>
          <w:rStyle w:val="29"/>
          <w:rFonts w:hint="eastAsia" w:ascii="黑体" w:hAnsi="黑体" w:eastAsia="黑体"/>
          <w:b w:val="0"/>
        </w:rPr>
        <w:t>般公共预算</w:t>
      </w:r>
      <w:r>
        <w:rPr>
          <w:rFonts w:hint="eastAsia" w:ascii="黑体" w:hAnsi="黑体" w:eastAsia="黑体"/>
          <w:sz w:val="32"/>
          <w:szCs w:val="32"/>
        </w:rPr>
        <w:t>财政拨款支出决算情况说明</w:t>
      </w:r>
      <w:bookmarkEnd w:id="46"/>
      <w:bookmarkEnd w:id="47"/>
      <w:bookmarkEnd w:id="48"/>
    </w:p>
    <w:p>
      <w:pPr>
        <w:spacing w:line="600" w:lineRule="exact"/>
        <w:ind w:firstLine="643" w:firstLineChars="200"/>
        <w:outlineLvl w:val="2"/>
        <w:rPr>
          <w:rFonts w:ascii="仿宋" w:hAnsi="仿宋" w:eastAsia="仿宋"/>
          <w:b/>
          <w:sz w:val="32"/>
          <w:szCs w:val="32"/>
        </w:rPr>
      </w:pPr>
      <w:bookmarkStart w:id="49" w:name="_Toc9700"/>
      <w:bookmarkStart w:id="50" w:name="_Toc15377210"/>
      <w:r>
        <w:rPr>
          <w:rFonts w:hint="eastAsia" w:ascii="仿宋" w:hAnsi="仿宋" w:eastAsia="仿宋"/>
          <w:b/>
          <w:sz w:val="32"/>
          <w:szCs w:val="32"/>
        </w:rPr>
        <w:t>（一）一般公共预算财政拨款支出决算总体情况</w:t>
      </w:r>
      <w:bookmarkEnd w:id="49"/>
      <w:bookmarkEnd w:id="50"/>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21年一般公共预算财政拨款支出123.66万元，占本年支出合计的36.10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20年相比，一般公共预算财政拨款支出</w:t>
      </w:r>
      <w:r>
        <w:rPr>
          <w:rFonts w:hint="eastAsia" w:ascii="仿宋" w:hAnsi="仿宋" w:eastAsia="仿宋"/>
          <w:color w:val="000000"/>
          <w:sz w:val="32"/>
          <w:szCs w:val="32"/>
        </w:rPr>
        <w:t>增加5.10万元，</w:t>
      </w:r>
      <w:r>
        <w:rPr>
          <w:rFonts w:hint="eastAsia" w:ascii="仿宋" w:hAnsi="仿宋" w:eastAsia="仿宋"/>
          <w:sz w:val="32"/>
          <w:szCs w:val="32"/>
        </w:rPr>
        <w:t>增加4.30%。</w:t>
      </w:r>
    </w:p>
    <w:p>
      <w:pPr>
        <w:ind w:firstLine="640" w:firstLineChars="200"/>
        <w:jc w:val="center"/>
        <w:rPr>
          <w:rFonts w:ascii="仿宋" w:hAnsi="仿宋" w:eastAsia="仿宋"/>
          <w:sz w:val="32"/>
          <w:szCs w:val="32"/>
        </w:rPr>
      </w:pPr>
      <w:r>
        <w:rPr>
          <w:rFonts w:hint="eastAsia" w:ascii="仿宋" w:hAnsi="仿宋" w:eastAsia="仿宋"/>
          <w:sz w:val="32"/>
          <w:szCs w:val="32"/>
        </w:rPr>
        <w:drawing>
          <wp:inline distT="0" distB="0" distL="114300" distR="114300">
            <wp:extent cx="4584065" cy="2564765"/>
            <wp:effectExtent l="0" t="0" r="6985" b="6985"/>
            <wp:docPr id="374" name="_x0000_i1664" descr="图片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_x0000_i1664" descr="图片5"/>
                    <pic:cNvPicPr>
                      <a:picLocks noChangeAspect="1"/>
                    </pic:cNvPicPr>
                  </pic:nvPicPr>
                  <pic:blipFill>
                    <a:blip r:embed="rId18"/>
                    <a:stretch>
                      <a:fillRect/>
                    </a:stretch>
                  </pic:blipFill>
                  <pic:spPr>
                    <a:xfrm>
                      <a:off x="0" y="0"/>
                      <a:ext cx="4584065" cy="2564765"/>
                    </a:xfrm>
                    <a:prstGeom prst="rect">
                      <a:avLst/>
                    </a:prstGeom>
                  </pic:spPr>
                </pic:pic>
              </a:graphicData>
            </a:graphic>
          </wp:inline>
        </w:drawing>
      </w:r>
    </w:p>
    <w:p>
      <w:pPr>
        <w:spacing w:line="600" w:lineRule="exact"/>
        <w:ind w:firstLine="640" w:firstLineChars="200"/>
        <w:jc w:val="center"/>
        <w:rPr>
          <w:rFonts w:ascii="仿宋" w:hAnsi="仿宋" w:eastAsia="仿宋"/>
          <w:sz w:val="32"/>
          <w:szCs w:val="32"/>
        </w:rPr>
      </w:pPr>
      <w:r>
        <w:rPr>
          <w:rFonts w:hint="eastAsia" w:ascii="仿宋" w:hAnsi="仿宋" w:eastAsia="仿宋"/>
          <w:sz w:val="32"/>
          <w:szCs w:val="32"/>
        </w:rPr>
        <w:t>（图5：一般公共预算财政拨款支出决算变动情况）</w:t>
      </w:r>
    </w:p>
    <w:p>
      <w:pPr>
        <w:spacing w:line="600" w:lineRule="exact"/>
        <w:ind w:firstLine="643" w:firstLineChars="200"/>
        <w:outlineLvl w:val="2"/>
        <w:rPr>
          <w:rFonts w:ascii="仿宋" w:hAnsi="仿宋" w:eastAsia="仿宋"/>
          <w:b/>
          <w:sz w:val="32"/>
          <w:szCs w:val="32"/>
        </w:rPr>
      </w:pPr>
      <w:bookmarkStart w:id="51" w:name="_Toc15377211"/>
      <w:bookmarkStart w:id="52" w:name="_Toc30840"/>
      <w:r>
        <w:rPr>
          <w:rFonts w:hint="eastAsia" w:ascii="仿宋" w:hAnsi="仿宋" w:eastAsia="仿宋"/>
          <w:b/>
          <w:sz w:val="32"/>
          <w:szCs w:val="32"/>
        </w:rPr>
        <w:t>（二）一般公共预算财政拨款支出决算结构情况</w:t>
      </w:r>
      <w:bookmarkEnd w:id="51"/>
      <w:bookmarkEnd w:id="52"/>
    </w:p>
    <w:p>
      <w:pPr>
        <w:spacing w:line="600" w:lineRule="exact"/>
        <w:ind w:firstLine="64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21年一般公共预算财政拨款支出123.66万元，主要用于以下方面</w:t>
      </w:r>
      <w:r>
        <w:t>：</w:t>
      </w:r>
      <w:r>
        <w:rPr>
          <w:rFonts w:hint="eastAsia" w:ascii="仿宋" w:hAnsi="仿宋" w:eastAsia="仿宋"/>
          <w:b/>
          <w:sz w:val="32"/>
          <w:szCs w:val="32"/>
        </w:rPr>
        <w:t>一般公共服务（类）</w:t>
      </w:r>
      <w:r>
        <w:rPr>
          <w:rFonts w:hint="eastAsia" w:ascii="仿宋" w:hAnsi="仿宋" w:eastAsia="仿宋"/>
          <w:sz w:val="32"/>
          <w:szCs w:val="32"/>
        </w:rPr>
        <w:t>支出0万元；</w:t>
      </w:r>
      <w:r>
        <w:rPr>
          <w:rFonts w:hint="eastAsia" w:ascii="仿宋" w:hAnsi="仿宋" w:eastAsia="仿宋"/>
          <w:b/>
          <w:sz w:val="32"/>
          <w:szCs w:val="32"/>
        </w:rPr>
        <w:t>教育支出（类）</w:t>
      </w:r>
      <w:r>
        <w:rPr>
          <w:rFonts w:hint="eastAsia" w:ascii="仿宋" w:hAnsi="仿宋" w:eastAsia="仿宋"/>
          <w:sz w:val="32"/>
          <w:szCs w:val="32"/>
        </w:rPr>
        <w:t>0万元；</w:t>
      </w:r>
      <w:r>
        <w:rPr>
          <w:rFonts w:hint="eastAsia" w:ascii="仿宋" w:hAnsi="仿宋" w:eastAsia="仿宋"/>
          <w:b/>
          <w:bCs/>
          <w:sz w:val="32"/>
          <w:szCs w:val="32"/>
        </w:rPr>
        <w:t>文化旅游体育与传媒（类）支出0万元</w:t>
      </w:r>
      <w:r>
        <w:rPr>
          <w:rFonts w:hint="eastAsia" w:ascii="仿宋" w:hAnsi="仿宋" w:eastAsia="仿宋"/>
          <w:sz w:val="32"/>
          <w:szCs w:val="32"/>
        </w:rPr>
        <w:t>；</w:t>
      </w:r>
      <w:r>
        <w:rPr>
          <w:rFonts w:hint="eastAsia" w:ascii="仿宋" w:hAnsi="仿宋" w:eastAsia="仿宋"/>
          <w:b/>
          <w:sz w:val="32"/>
          <w:szCs w:val="32"/>
        </w:rPr>
        <w:t>社会保障和就业（类）</w:t>
      </w:r>
      <w:r>
        <w:rPr>
          <w:rFonts w:hint="eastAsia" w:ascii="仿宋" w:hAnsi="仿宋" w:eastAsia="仿宋"/>
          <w:sz w:val="32"/>
          <w:szCs w:val="32"/>
        </w:rPr>
        <w:t>支出0万元</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sz w:val="32"/>
          <w:szCs w:val="32"/>
        </w:rPr>
        <w:t>122.41万元，占98.99</w:t>
      </w:r>
      <w:r>
        <w:rPr>
          <w:rFonts w:ascii="仿宋" w:hAnsi="仿宋" w:eastAsia="仿宋"/>
          <w:sz w:val="32"/>
          <w:szCs w:val="32"/>
        </w:rPr>
        <w:t>%</w:t>
      </w:r>
      <w:r>
        <w:rPr>
          <w:rFonts w:hint="eastAsia" w:ascii="仿宋" w:hAnsi="仿宋" w:eastAsia="仿宋"/>
          <w:sz w:val="32"/>
          <w:szCs w:val="32"/>
        </w:rPr>
        <w:t>；农林水支出1.25万元，占1.01</w:t>
      </w:r>
      <w:r>
        <w:rPr>
          <w:rFonts w:ascii="仿宋" w:hAnsi="仿宋" w:eastAsia="仿宋"/>
          <w:sz w:val="32"/>
          <w:szCs w:val="32"/>
        </w:rPr>
        <w:t>%</w:t>
      </w:r>
      <w:r>
        <w:rPr>
          <w:rFonts w:hint="eastAsia" w:ascii="仿宋" w:hAnsi="仿宋" w:eastAsia="仿宋"/>
          <w:sz w:val="32"/>
          <w:szCs w:val="32"/>
        </w:rPr>
        <w:t>。</w:t>
      </w:r>
    </w:p>
    <w:p>
      <w:pPr>
        <w:ind w:firstLine="640"/>
        <w:jc w:val="center"/>
        <w:rPr>
          <w:rFonts w:ascii="仿宋" w:hAnsi="仿宋" w:eastAsia="仿宋"/>
          <w:sz w:val="32"/>
          <w:szCs w:val="32"/>
        </w:rPr>
      </w:pPr>
      <w:r>
        <w:rPr>
          <w:rFonts w:hint="eastAsia" w:ascii="仿宋" w:hAnsi="仿宋" w:eastAsia="仿宋"/>
          <w:sz w:val="32"/>
          <w:szCs w:val="32"/>
        </w:rPr>
        <w:drawing>
          <wp:inline distT="0" distB="0" distL="114300" distR="114300">
            <wp:extent cx="4584065" cy="2877185"/>
            <wp:effectExtent l="0" t="0" r="6985" b="18415"/>
            <wp:docPr id="375" name="_x0000_i1665" descr="图片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 name="_x0000_i1665" descr="图片6"/>
                    <pic:cNvPicPr>
                      <a:picLocks noChangeAspect="1"/>
                    </pic:cNvPicPr>
                  </pic:nvPicPr>
                  <pic:blipFill>
                    <a:blip r:embed="rId19"/>
                    <a:stretch>
                      <a:fillRect/>
                    </a:stretch>
                  </pic:blipFill>
                  <pic:spPr>
                    <a:xfrm>
                      <a:off x="0" y="0"/>
                      <a:ext cx="4584065" cy="2877185"/>
                    </a:xfrm>
                    <a:prstGeom prst="rect">
                      <a:avLst/>
                    </a:prstGeom>
                  </pic:spPr>
                </pic:pic>
              </a:graphicData>
            </a:graphic>
          </wp:inline>
        </w:drawing>
      </w:r>
    </w:p>
    <w:p>
      <w:pPr>
        <w:spacing w:line="600" w:lineRule="exact"/>
        <w:ind w:firstLine="640" w:firstLineChars="200"/>
        <w:jc w:val="center"/>
        <w:rPr>
          <w:rFonts w:ascii="仿宋" w:hAnsi="仿宋" w:eastAsia="仿宋"/>
          <w:sz w:val="32"/>
          <w:szCs w:val="32"/>
        </w:rPr>
      </w:pPr>
      <w:r>
        <w:rPr>
          <w:rFonts w:hint="eastAsia" w:ascii="仿宋" w:hAnsi="仿宋" w:eastAsia="仿宋"/>
          <w:sz w:val="32"/>
          <w:szCs w:val="32"/>
        </w:rPr>
        <w:t>（图6：一般公共预算财政拨款支出决算结构）</w:t>
      </w:r>
    </w:p>
    <w:p>
      <w:pPr>
        <w:spacing w:line="600" w:lineRule="exact"/>
        <w:ind w:firstLine="643" w:firstLineChars="200"/>
        <w:outlineLvl w:val="2"/>
        <w:rPr>
          <w:rFonts w:ascii="仿宋" w:hAnsi="仿宋" w:eastAsia="仿宋"/>
          <w:b/>
          <w:sz w:val="32"/>
          <w:szCs w:val="32"/>
        </w:rPr>
      </w:pPr>
      <w:bookmarkStart w:id="53" w:name="_Toc15377212"/>
      <w:bookmarkStart w:id="54" w:name="_Toc19784"/>
      <w:r>
        <w:rPr>
          <w:rFonts w:hint="eastAsia" w:ascii="仿宋" w:hAnsi="仿宋" w:eastAsia="仿宋"/>
          <w:b/>
          <w:sz w:val="32"/>
          <w:szCs w:val="32"/>
        </w:rPr>
        <w:t>（三）一般公共预算财政拨款支出决算具体情况</w:t>
      </w:r>
      <w:bookmarkEnd w:id="53"/>
      <w:bookmarkEnd w:id="54"/>
    </w:p>
    <w:p>
      <w:pPr>
        <w:spacing w:line="600" w:lineRule="exact"/>
        <w:ind w:firstLine="643" w:firstLineChars="200"/>
        <w:outlineLvl w:val="2"/>
        <w:rPr>
          <w:rFonts w:ascii="仿宋" w:hAnsi="仿宋" w:eastAsia="仿宋"/>
          <w:sz w:val="32"/>
          <w:szCs w:val="32"/>
        </w:rPr>
      </w:pPr>
      <w:bookmarkStart w:id="55" w:name="_Toc15377444"/>
      <w:bookmarkStart w:id="56" w:name="_Toc15377213"/>
      <w:bookmarkStart w:id="57" w:name="_Toc15378460"/>
      <w:bookmarkStart w:id="58" w:name="_Toc15140"/>
      <w:r>
        <w:rPr>
          <w:rFonts w:hint="eastAsia" w:ascii="仿宋" w:hAnsi="仿宋" w:eastAsia="仿宋"/>
          <w:b/>
          <w:sz w:val="32"/>
          <w:szCs w:val="32"/>
        </w:rPr>
        <w:t>2021年一般公共预算支出决算数为123.66万元</w:t>
      </w:r>
      <w:r>
        <w:rPr>
          <w:rFonts w:hint="eastAsia" w:ascii="仿宋" w:hAnsi="仿宋" w:eastAsia="仿宋"/>
          <w:sz w:val="32"/>
          <w:szCs w:val="32"/>
        </w:rPr>
        <w:t>，</w:t>
      </w:r>
      <w:r>
        <w:rPr>
          <w:rStyle w:val="8"/>
          <w:rFonts w:hint="eastAsia" w:ascii="仿宋" w:hAnsi="仿宋" w:eastAsia="仿宋"/>
          <w:bCs/>
          <w:sz w:val="32"/>
          <w:szCs w:val="32"/>
        </w:rPr>
        <w:t>完成预算的100</w:t>
      </w:r>
      <w:r>
        <w:rPr>
          <w:rStyle w:val="8"/>
          <w:rFonts w:ascii="仿宋" w:hAnsi="仿宋" w:eastAsia="仿宋"/>
          <w:bCs/>
          <w:sz w:val="32"/>
          <w:szCs w:val="32"/>
        </w:rPr>
        <w:t>%</w:t>
      </w:r>
      <w:r>
        <w:rPr>
          <w:rStyle w:val="8"/>
          <w:rFonts w:hint="eastAsia" w:ascii="仿宋" w:hAnsi="仿宋" w:eastAsia="仿宋"/>
          <w:bCs/>
          <w:sz w:val="32"/>
          <w:szCs w:val="32"/>
        </w:rPr>
        <w:t>。其中：</w:t>
      </w:r>
      <w:bookmarkEnd w:id="55"/>
      <w:bookmarkEnd w:id="56"/>
      <w:bookmarkEnd w:id="57"/>
      <w:bookmarkEnd w:id="58"/>
    </w:p>
    <w:p>
      <w:pPr>
        <w:spacing w:line="600" w:lineRule="exact"/>
        <w:ind w:firstLine="643" w:firstLineChars="200"/>
        <w:rPr>
          <w:rStyle w:val="8"/>
          <w:rFonts w:ascii="仿宋" w:hAnsi="仿宋" w:eastAsia="仿宋"/>
          <w:b w:val="0"/>
          <w:bCs/>
          <w:color w:val="000000"/>
          <w:sz w:val="32"/>
          <w:szCs w:val="32"/>
        </w:rPr>
      </w:pPr>
      <w:r>
        <w:rPr>
          <w:rStyle w:val="8"/>
          <w:rFonts w:ascii="仿宋" w:hAnsi="仿宋" w:eastAsia="仿宋"/>
          <w:bCs/>
          <w:sz w:val="32"/>
          <w:szCs w:val="32"/>
        </w:rPr>
        <w:t>1.</w:t>
      </w:r>
      <w:r>
        <w:rPr>
          <w:rFonts w:hint="eastAsia" w:ascii="仿宋" w:hAnsi="仿宋" w:eastAsia="仿宋"/>
          <w:b/>
          <w:bCs/>
          <w:color w:val="000000"/>
          <w:sz w:val="32"/>
          <w:szCs w:val="32"/>
        </w:rPr>
        <w:t>卫生健康</w:t>
      </w:r>
      <w:r>
        <w:rPr>
          <w:rStyle w:val="8"/>
          <w:rFonts w:hint="eastAsia" w:ascii="仿宋" w:hAnsi="仿宋" w:eastAsia="仿宋"/>
          <w:bCs/>
          <w:color w:val="000000"/>
          <w:sz w:val="32"/>
          <w:szCs w:val="32"/>
        </w:rPr>
        <w:t>（类）基层医疗</w:t>
      </w:r>
      <w:r>
        <w:rPr>
          <w:rFonts w:hint="eastAsia" w:ascii="仿宋" w:hAnsi="仿宋" w:eastAsia="仿宋"/>
          <w:bCs/>
          <w:color w:val="000000"/>
          <w:sz w:val="32"/>
          <w:szCs w:val="32"/>
        </w:rPr>
        <w:t>卫生机构</w:t>
      </w:r>
      <w:r>
        <w:rPr>
          <w:rStyle w:val="8"/>
          <w:rFonts w:hint="eastAsia" w:ascii="仿宋" w:hAnsi="仿宋" w:eastAsia="仿宋"/>
          <w:bCs/>
          <w:color w:val="000000"/>
          <w:sz w:val="32"/>
          <w:szCs w:val="32"/>
        </w:rPr>
        <w:t>（款）乡镇卫生院（项）</w:t>
      </w:r>
      <w:r>
        <w:rPr>
          <w:rStyle w:val="8"/>
          <w:rFonts w:ascii="仿宋" w:hAnsi="仿宋" w:eastAsia="仿宋"/>
          <w:bCs/>
          <w:color w:val="000000"/>
          <w:sz w:val="32"/>
          <w:szCs w:val="32"/>
        </w:rPr>
        <w:t>:</w:t>
      </w:r>
      <w:r>
        <w:rPr>
          <w:rStyle w:val="8"/>
          <w:rFonts w:hint="eastAsia" w:ascii="仿宋" w:hAnsi="仿宋" w:eastAsia="仿宋"/>
          <w:b w:val="0"/>
          <w:bCs/>
          <w:color w:val="000000"/>
          <w:sz w:val="32"/>
          <w:szCs w:val="32"/>
        </w:rPr>
        <w:t>支出决算为70.53万元，完成预算100</w:t>
      </w:r>
      <w:r>
        <w:rPr>
          <w:rStyle w:val="8"/>
          <w:rFonts w:ascii="仿宋" w:hAnsi="仿宋" w:eastAsia="仿宋"/>
          <w:b w:val="0"/>
          <w:bCs/>
          <w:color w:val="000000"/>
          <w:sz w:val="32"/>
          <w:szCs w:val="32"/>
        </w:rPr>
        <w:t>%</w:t>
      </w:r>
      <w:r>
        <w:t>。</w:t>
      </w:r>
    </w:p>
    <w:p>
      <w:pPr>
        <w:spacing w:line="600" w:lineRule="exact"/>
        <w:ind w:firstLine="643" w:firstLineChars="200"/>
        <w:rPr>
          <w:rStyle w:val="8"/>
          <w:rFonts w:ascii="仿宋" w:hAnsi="仿宋" w:eastAsia="仿宋"/>
          <w:b w:val="0"/>
          <w:bCs/>
          <w:color w:val="000000"/>
          <w:sz w:val="32"/>
          <w:szCs w:val="32"/>
        </w:rPr>
      </w:pPr>
      <w:r>
        <w:rPr>
          <w:rFonts w:hint="eastAsia" w:ascii="仿宋" w:hAnsi="仿宋" w:eastAsia="仿宋"/>
          <w:b/>
          <w:bCs/>
          <w:color w:val="000000"/>
          <w:sz w:val="32"/>
          <w:szCs w:val="32"/>
        </w:rPr>
        <w:t>2.卫生健康</w:t>
      </w:r>
      <w:r>
        <w:rPr>
          <w:rStyle w:val="8"/>
          <w:rFonts w:hint="eastAsia" w:ascii="仿宋" w:hAnsi="仿宋" w:eastAsia="仿宋"/>
          <w:bCs/>
          <w:color w:val="000000"/>
          <w:sz w:val="32"/>
          <w:szCs w:val="32"/>
        </w:rPr>
        <w:t>（类）基层医疗</w:t>
      </w:r>
      <w:r>
        <w:rPr>
          <w:rFonts w:hint="eastAsia" w:ascii="仿宋" w:hAnsi="仿宋" w:eastAsia="仿宋"/>
          <w:bCs/>
          <w:color w:val="000000"/>
          <w:sz w:val="32"/>
          <w:szCs w:val="32"/>
        </w:rPr>
        <w:t>卫生机构</w:t>
      </w:r>
      <w:r>
        <w:rPr>
          <w:rStyle w:val="8"/>
          <w:rFonts w:hint="eastAsia" w:ascii="仿宋" w:hAnsi="仿宋" w:eastAsia="仿宋"/>
          <w:bCs/>
          <w:color w:val="000000"/>
          <w:sz w:val="32"/>
          <w:szCs w:val="32"/>
        </w:rPr>
        <w:t>（款）其他基层医疗</w:t>
      </w:r>
      <w:r>
        <w:rPr>
          <w:rFonts w:hint="eastAsia" w:ascii="仿宋" w:hAnsi="仿宋" w:eastAsia="仿宋"/>
          <w:bCs/>
          <w:color w:val="000000"/>
          <w:sz w:val="32"/>
          <w:szCs w:val="32"/>
        </w:rPr>
        <w:t>卫生机构支出</w:t>
      </w:r>
      <w:r>
        <w:rPr>
          <w:rStyle w:val="8"/>
          <w:rFonts w:hint="eastAsia" w:ascii="仿宋" w:hAnsi="仿宋" w:eastAsia="仿宋"/>
          <w:bCs/>
          <w:color w:val="000000"/>
          <w:sz w:val="32"/>
          <w:szCs w:val="32"/>
        </w:rPr>
        <w:t>（项）</w:t>
      </w:r>
      <w:r>
        <w:rPr>
          <w:rStyle w:val="8"/>
          <w:rFonts w:ascii="仿宋" w:hAnsi="仿宋" w:eastAsia="仿宋"/>
          <w:bCs/>
          <w:color w:val="000000"/>
          <w:sz w:val="32"/>
          <w:szCs w:val="32"/>
        </w:rPr>
        <w:t>:</w:t>
      </w:r>
      <w:r>
        <w:rPr>
          <w:rStyle w:val="8"/>
          <w:rFonts w:hint="eastAsia" w:ascii="仿宋" w:hAnsi="仿宋" w:eastAsia="仿宋"/>
          <w:b w:val="0"/>
          <w:bCs/>
          <w:color w:val="000000"/>
          <w:sz w:val="32"/>
          <w:szCs w:val="32"/>
        </w:rPr>
        <w:t>支出决算为11.08万元，完成预算100</w:t>
      </w:r>
      <w:r>
        <w:rPr>
          <w:rStyle w:val="8"/>
          <w:rFonts w:ascii="仿宋" w:hAnsi="仿宋" w:eastAsia="仿宋"/>
          <w:b w:val="0"/>
          <w:bCs/>
          <w:color w:val="000000"/>
          <w:sz w:val="32"/>
          <w:szCs w:val="32"/>
        </w:rPr>
        <w:t>%</w:t>
      </w:r>
      <w:r>
        <w:t>。</w:t>
      </w:r>
    </w:p>
    <w:p>
      <w:pPr>
        <w:spacing w:line="600" w:lineRule="exact"/>
        <w:ind w:firstLine="643" w:firstLineChars="200"/>
        <w:rPr>
          <w:rFonts w:ascii="仿宋" w:hAnsi="仿宋" w:eastAsia="仿宋"/>
          <w:b/>
          <w:color w:val="000000"/>
          <w:sz w:val="32"/>
          <w:szCs w:val="32"/>
        </w:rPr>
      </w:pPr>
      <w:r>
        <w:rPr>
          <w:rFonts w:hint="eastAsia" w:ascii="仿宋" w:hAnsi="仿宋" w:eastAsia="仿宋"/>
          <w:b/>
          <w:bCs/>
          <w:color w:val="000000"/>
          <w:sz w:val="32"/>
          <w:szCs w:val="32"/>
        </w:rPr>
        <w:t>3.卫生健康</w:t>
      </w:r>
      <w:r>
        <w:rPr>
          <w:rStyle w:val="8"/>
          <w:rFonts w:hint="eastAsia" w:ascii="仿宋" w:hAnsi="仿宋" w:eastAsia="仿宋"/>
          <w:bCs/>
          <w:color w:val="000000"/>
          <w:sz w:val="32"/>
          <w:szCs w:val="32"/>
        </w:rPr>
        <w:t>（类）公共卫生（款）基本公共卫生服务（项）</w:t>
      </w:r>
      <w:r>
        <w:rPr>
          <w:rStyle w:val="8"/>
          <w:rFonts w:ascii="仿宋" w:hAnsi="仿宋" w:eastAsia="仿宋"/>
          <w:bCs/>
          <w:color w:val="000000"/>
          <w:sz w:val="32"/>
          <w:szCs w:val="32"/>
        </w:rPr>
        <w:t>:</w:t>
      </w:r>
      <w:r>
        <w:rPr>
          <w:rStyle w:val="8"/>
          <w:rFonts w:hint="eastAsia" w:ascii="仿宋" w:hAnsi="仿宋" w:eastAsia="仿宋"/>
          <w:b w:val="0"/>
          <w:bCs/>
          <w:color w:val="000000"/>
          <w:sz w:val="32"/>
          <w:szCs w:val="32"/>
        </w:rPr>
        <w:t>支出决算为40.80万元，完成预算100</w:t>
      </w:r>
      <w:r>
        <w:rPr>
          <w:rStyle w:val="8"/>
          <w:rFonts w:ascii="仿宋" w:hAnsi="仿宋" w:eastAsia="仿宋"/>
          <w:b w:val="0"/>
          <w:bCs/>
          <w:color w:val="000000"/>
          <w:sz w:val="32"/>
          <w:szCs w:val="32"/>
        </w:rPr>
        <w:t>%</w:t>
      </w:r>
      <w:r>
        <w:rPr>
          <w:rStyle w:val="8"/>
          <w:rFonts w:hint="eastAsia" w:ascii="仿宋" w:hAnsi="仿宋" w:eastAsia="仿宋"/>
          <w:b w:val="0"/>
          <w:bCs/>
          <w:color w:val="000000"/>
          <w:sz w:val="32"/>
          <w:szCs w:val="32"/>
        </w:rPr>
        <w:t>。</w:t>
      </w:r>
    </w:p>
    <w:p>
      <w:pPr>
        <w:spacing w:line="600" w:lineRule="exact"/>
        <w:ind w:firstLine="643" w:firstLineChars="200"/>
        <w:rPr>
          <w:rFonts w:ascii="仿宋" w:hAnsi="仿宋" w:eastAsia="仿宋"/>
          <w:b/>
          <w:sz w:val="32"/>
          <w:szCs w:val="32"/>
        </w:rPr>
      </w:pPr>
      <w:r>
        <w:rPr>
          <w:rStyle w:val="8"/>
          <w:rFonts w:hint="eastAsia" w:ascii="仿宋" w:hAnsi="仿宋" w:eastAsia="仿宋"/>
          <w:bCs/>
          <w:color w:val="000000"/>
          <w:sz w:val="32"/>
          <w:szCs w:val="32"/>
        </w:rPr>
        <w:t>4</w:t>
      </w:r>
      <w:r>
        <w:rPr>
          <w:rStyle w:val="8"/>
          <w:rFonts w:ascii="仿宋" w:hAnsi="仿宋" w:eastAsia="仿宋"/>
          <w:bCs/>
          <w:color w:val="000000"/>
          <w:sz w:val="32"/>
          <w:szCs w:val="32"/>
        </w:rPr>
        <w:t>.</w:t>
      </w:r>
      <w:r>
        <w:rPr>
          <w:rFonts w:hint="eastAsia" w:ascii="仿宋" w:hAnsi="仿宋" w:eastAsia="仿宋"/>
          <w:b/>
          <w:bCs/>
          <w:color w:val="000000"/>
          <w:sz w:val="32"/>
          <w:szCs w:val="32"/>
        </w:rPr>
        <w:t>农林水</w:t>
      </w:r>
      <w:r>
        <w:rPr>
          <w:rStyle w:val="8"/>
          <w:rFonts w:hint="eastAsia" w:ascii="仿宋" w:hAnsi="仿宋" w:eastAsia="仿宋"/>
          <w:bCs/>
          <w:color w:val="000000"/>
          <w:sz w:val="32"/>
          <w:szCs w:val="32"/>
        </w:rPr>
        <w:t>（类）扶贫（款）其他扶贫支出（项）</w:t>
      </w:r>
      <w:r>
        <w:rPr>
          <w:rStyle w:val="8"/>
          <w:rFonts w:ascii="仿宋" w:hAnsi="仿宋" w:eastAsia="仿宋"/>
          <w:bCs/>
          <w:color w:val="000000"/>
          <w:sz w:val="32"/>
          <w:szCs w:val="32"/>
        </w:rPr>
        <w:t>:</w:t>
      </w:r>
      <w:r>
        <w:rPr>
          <w:rStyle w:val="8"/>
          <w:rFonts w:hint="eastAsia" w:ascii="仿宋" w:hAnsi="仿宋" w:eastAsia="仿宋"/>
          <w:b w:val="0"/>
          <w:bCs/>
          <w:color w:val="000000"/>
          <w:sz w:val="32"/>
          <w:szCs w:val="32"/>
        </w:rPr>
        <w:t>支出决算为1.25万元，完成预算100</w:t>
      </w:r>
      <w:r>
        <w:rPr>
          <w:rStyle w:val="8"/>
          <w:rFonts w:ascii="仿宋" w:hAnsi="仿宋" w:eastAsia="仿宋"/>
          <w:b w:val="0"/>
          <w:bCs/>
          <w:color w:val="000000"/>
          <w:sz w:val="32"/>
          <w:szCs w:val="32"/>
        </w:rPr>
        <w:t>%</w:t>
      </w:r>
      <w:r>
        <w:rPr>
          <w:rStyle w:val="8"/>
          <w:rFonts w:hint="eastAsia" w:ascii="仿宋" w:hAnsi="仿宋" w:eastAsia="仿宋"/>
          <w:b w:val="0"/>
          <w:bCs/>
          <w:color w:val="000000"/>
          <w:sz w:val="32"/>
          <w:szCs w:val="32"/>
        </w:rPr>
        <w:t>。</w:t>
      </w:r>
    </w:p>
    <w:p>
      <w:pPr>
        <w:tabs>
          <w:tab w:val="right" w:pos="8306"/>
        </w:tabs>
        <w:spacing w:line="600" w:lineRule="exact"/>
        <w:ind w:firstLine="640"/>
        <w:outlineLvl w:val="1"/>
        <w:rPr>
          <w:rStyle w:val="29"/>
        </w:rPr>
      </w:pPr>
      <w:bookmarkStart w:id="59" w:name="_Toc15377214"/>
      <w:bookmarkStart w:id="60" w:name="_Toc30425"/>
      <w:bookmarkStart w:id="61" w:name="_Toc15396608"/>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9"/>
          <w:rFonts w:hint="eastAsia" w:ascii="黑体" w:hAnsi="黑体" w:eastAsia="黑体"/>
          <w:b w:val="0"/>
        </w:rPr>
        <w:t>般公共预算</w:t>
      </w:r>
      <w:r>
        <w:rPr>
          <w:rFonts w:hint="eastAsia" w:ascii="黑体" w:hAnsi="黑体" w:eastAsia="黑体"/>
          <w:sz w:val="32"/>
          <w:szCs w:val="32"/>
        </w:rPr>
        <w:t>财政拨款基本支出决算情况说明</w:t>
      </w:r>
      <w:bookmarkEnd w:id="59"/>
      <w:bookmarkEnd w:id="60"/>
      <w:bookmarkEnd w:id="61"/>
      <w:r>
        <w:rPr>
          <w:rStyle w:val="29"/>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21年一般公共预算财政拨款基本支出70.53万元，其中：</w:t>
      </w:r>
    </w:p>
    <w:p>
      <w:pPr>
        <w:spacing w:line="600" w:lineRule="exact"/>
        <w:ind w:firstLine="645"/>
        <w:rPr>
          <w:rFonts w:ascii="仿宋" w:hAnsi="仿宋" w:eastAsia="仿宋"/>
          <w:b/>
          <w:sz w:val="32"/>
          <w:szCs w:val="32"/>
        </w:rPr>
      </w:pPr>
      <w:r>
        <w:rPr>
          <w:rFonts w:hint="eastAsia" w:ascii="仿宋" w:hAnsi="仿宋" w:eastAsia="仿宋"/>
          <w:sz w:val="32"/>
          <w:szCs w:val="32"/>
        </w:rPr>
        <w:t>人员经费70.53万元，主要包括：基本工资、津贴补贴、奖金、伙食补助费、绩效工资、机关事业单位基本养老保险缴费、职业年金缴费、其他社会保障缴费、其他工资福利支出、离休费、退休费、抚恤金、生活补助、医疗补助、奖励金、住房公积金、其他对个人和家庭的补助支出等。</w:t>
      </w:r>
      <w:r>
        <w:rPr>
          <w:rFonts w:ascii="仿宋" w:hAnsi="仿宋" w:eastAsia="仿宋"/>
          <w:sz w:val="32"/>
          <w:szCs w:val="32"/>
        </w:rPr>
        <w:br w:type="textWrapping"/>
      </w:r>
      <w:r>
        <w:rPr>
          <w:rFonts w:hint="eastAsia" w:ascii="仿宋" w:hAnsi="仿宋" w:eastAsia="仿宋"/>
          <w:sz w:val="32"/>
          <w:szCs w:val="32"/>
        </w:rPr>
        <w:t>　　公用经费5.38万元，主要包括：办公费、印刷费、咨询费、手续费、水费、电费、邮电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9"/>
          <w:rFonts w:ascii="黑体" w:hAnsi="黑体" w:eastAsia="黑体"/>
          <w:b w:val="0"/>
        </w:rPr>
      </w:pPr>
      <w:bookmarkStart w:id="62" w:name="_Toc15377215"/>
      <w:bookmarkStart w:id="63" w:name="_Toc15396609"/>
      <w:bookmarkStart w:id="64" w:name="_Toc5453"/>
      <w:r>
        <w:rPr>
          <w:rFonts w:hint="eastAsia" w:ascii="黑体" w:eastAsia="黑体"/>
          <w:sz w:val="32"/>
          <w:szCs w:val="32"/>
        </w:rPr>
        <w:t>七、</w:t>
      </w:r>
      <w:r>
        <w:rPr>
          <w:rStyle w:val="29"/>
          <w:rFonts w:hint="eastAsia" w:ascii="黑体" w:hAnsi="黑体" w:eastAsia="黑体"/>
        </w:rPr>
        <w:t>“</w:t>
      </w:r>
      <w:r>
        <w:rPr>
          <w:rStyle w:val="29"/>
          <w:rFonts w:hint="eastAsia" w:ascii="黑体" w:hAnsi="黑体" w:eastAsia="黑体"/>
          <w:b w:val="0"/>
        </w:rPr>
        <w:t>三公”经费</w:t>
      </w:r>
      <w:r>
        <w:rPr>
          <w:rFonts w:hint="eastAsia" w:ascii="黑体" w:hAnsi="黑体" w:eastAsia="黑体"/>
          <w:sz w:val="32"/>
          <w:szCs w:val="32"/>
        </w:rPr>
        <w:t>财政拨款支出决算情况说明</w:t>
      </w:r>
      <w:bookmarkEnd w:id="62"/>
      <w:bookmarkEnd w:id="63"/>
      <w:bookmarkEnd w:id="64"/>
    </w:p>
    <w:p>
      <w:pPr>
        <w:spacing w:line="600" w:lineRule="exact"/>
        <w:ind w:firstLine="640"/>
        <w:outlineLvl w:val="2"/>
        <w:rPr>
          <w:rFonts w:ascii="仿宋" w:hAnsi="仿宋" w:eastAsia="仿宋"/>
          <w:b/>
          <w:sz w:val="32"/>
          <w:szCs w:val="32"/>
        </w:rPr>
      </w:pPr>
      <w:bookmarkStart w:id="65" w:name="_Toc24808"/>
      <w:bookmarkStart w:id="66" w:name="_Toc15377216"/>
      <w:r>
        <w:rPr>
          <w:rFonts w:hint="eastAsia" w:ascii="仿宋" w:hAnsi="仿宋" w:eastAsia="仿宋"/>
          <w:b/>
          <w:sz w:val="32"/>
          <w:szCs w:val="32"/>
        </w:rPr>
        <w:t>（一）“三公”经费财政拨款支出决算总体情况说明</w:t>
      </w:r>
      <w:bookmarkEnd w:id="65"/>
      <w:bookmarkEnd w:id="66"/>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21年“三公”经费财政拨款支出决算为0.06万元。</w:t>
      </w:r>
    </w:p>
    <w:p>
      <w:pPr>
        <w:pStyle w:val="3"/>
        <w:spacing w:before="93"/>
        <w:rPr>
          <w:rFonts w:eastAsia="仿宋"/>
        </w:rPr>
      </w:pPr>
      <w:r>
        <w:rPr>
          <w:rFonts w:hint="eastAsia" w:eastAsia="仿宋"/>
        </w:rPr>
        <w:drawing>
          <wp:inline distT="0" distB="0" distL="114300" distR="114300">
            <wp:extent cx="4584065" cy="2755265"/>
            <wp:effectExtent l="0" t="0" r="6985" b="6985"/>
            <wp:docPr id="376" name="_x0000_i1666" descr="图片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_x0000_i1666" descr="图片7"/>
                    <pic:cNvPicPr>
                      <a:picLocks noChangeAspect="1"/>
                    </pic:cNvPicPr>
                  </pic:nvPicPr>
                  <pic:blipFill>
                    <a:blip r:embed="rId20"/>
                    <a:stretch>
                      <a:fillRect/>
                    </a:stretch>
                  </pic:blipFill>
                  <pic:spPr>
                    <a:xfrm>
                      <a:off x="0" y="0"/>
                      <a:ext cx="4584065" cy="2755265"/>
                    </a:xfrm>
                    <a:prstGeom prst="rect">
                      <a:avLst/>
                    </a:prstGeom>
                  </pic:spPr>
                </pic:pic>
              </a:graphicData>
            </a:graphic>
          </wp:inline>
        </w:drawing>
      </w:r>
    </w:p>
    <w:p>
      <w:pPr>
        <w:spacing w:line="600" w:lineRule="exact"/>
        <w:ind w:firstLine="640"/>
        <w:outlineLvl w:val="2"/>
        <w:rPr>
          <w:rFonts w:ascii="仿宋" w:hAnsi="仿宋" w:eastAsia="仿宋"/>
          <w:b/>
          <w:sz w:val="32"/>
          <w:szCs w:val="32"/>
        </w:rPr>
      </w:pPr>
      <w:bookmarkStart w:id="67" w:name="_Toc15377217"/>
      <w:bookmarkStart w:id="68" w:name="_Toc30244"/>
      <w:r>
        <w:rPr>
          <w:rFonts w:hint="eastAsia" w:ascii="仿宋" w:hAnsi="仿宋" w:eastAsia="仿宋"/>
          <w:b/>
          <w:sz w:val="32"/>
          <w:szCs w:val="32"/>
        </w:rPr>
        <w:t>（二）“三公”经费财政拨款支出决算具体情况说明</w:t>
      </w:r>
      <w:bookmarkEnd w:id="67"/>
      <w:bookmarkEnd w:id="68"/>
    </w:p>
    <w:p>
      <w:pPr>
        <w:spacing w:line="600" w:lineRule="exact"/>
        <w:ind w:firstLine="640"/>
        <w:rPr>
          <w:rFonts w:eastAsia="仿宋"/>
        </w:rPr>
      </w:pPr>
      <w:r>
        <w:rPr>
          <w:rFonts w:ascii="仿宋" w:hAnsi="仿宋" w:eastAsia="仿宋"/>
          <w:sz w:val="32"/>
          <w:szCs w:val="32"/>
        </w:rPr>
        <w:t>20</w:t>
      </w:r>
      <w:r>
        <w:rPr>
          <w:rFonts w:hint="eastAsia" w:ascii="仿宋" w:hAnsi="仿宋" w:eastAsia="仿宋"/>
          <w:sz w:val="32"/>
          <w:szCs w:val="32"/>
        </w:rPr>
        <w:t>21年“三公”经费财政拨款支出决算中，因公出国（境）费支出决算0万元。</w:t>
      </w:r>
    </w:p>
    <w:p>
      <w:pPr>
        <w:spacing w:line="600" w:lineRule="exact"/>
        <w:ind w:firstLine="640"/>
        <w:rPr>
          <w:rFonts w:ascii="仿宋_GB2312" w:eastAsia="仿宋_GB2312"/>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rPr>
        <w:t>0万元</w:t>
      </w:r>
      <w:r>
        <w:rPr>
          <w:rStyle w:val="8"/>
          <w:rFonts w:hint="eastAsia" w:ascii="仿宋" w:hAnsi="仿宋" w:eastAsia="仿宋"/>
          <w:b w:val="0"/>
          <w:bCs/>
          <w:sz w:val="32"/>
          <w:szCs w:val="32"/>
        </w:rPr>
        <w:t>。</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rPr>
        <w:t>0万元。</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rPr>
        <w:t>0万元。</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rPr>
        <w:t>0万元。</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 w:hAnsi="仿宋" w:eastAsia="仿宋"/>
          <w:sz w:val="32"/>
          <w:szCs w:val="32"/>
        </w:rPr>
        <w:t>0</w:t>
      </w:r>
      <w:r>
        <w:rPr>
          <w:rFonts w:hint="eastAsia" w:ascii="仿宋_GB2312" w:eastAsia="仿宋_GB2312"/>
          <w:sz w:val="32"/>
          <w:szCs w:val="32"/>
        </w:rPr>
        <w:t>.06万元。</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rPr>
        <w:t>0</w:t>
      </w:r>
      <w:r>
        <w:rPr>
          <w:rFonts w:hint="eastAsia" w:ascii="仿宋_GB2312" w:eastAsia="仿宋_GB2312"/>
          <w:sz w:val="32"/>
          <w:szCs w:val="32"/>
        </w:rPr>
        <w:t>.06万元。</w:t>
      </w:r>
    </w:p>
    <w:p>
      <w:pPr>
        <w:spacing w:line="600" w:lineRule="exact"/>
        <w:ind w:firstLine="643" w:firstLineChars="200"/>
        <w:rPr>
          <w:rFonts w:ascii="黑体" w:eastAsia="黑体"/>
          <w:sz w:val="32"/>
          <w:szCs w:val="32"/>
        </w:rPr>
      </w:pPr>
      <w:r>
        <w:rPr>
          <w:rFonts w:hint="eastAsia" w:ascii="仿宋" w:hAnsi="仿宋" w:eastAsia="仿宋"/>
          <w:b/>
          <w:sz w:val="32"/>
          <w:szCs w:val="32"/>
        </w:rPr>
        <w:t>外事接待支出</w:t>
      </w:r>
      <w:r>
        <w:rPr>
          <w:rFonts w:hint="eastAsia" w:ascii="仿宋" w:hAnsi="仿宋" w:eastAsia="仿宋"/>
          <w:sz w:val="32"/>
          <w:szCs w:val="32"/>
        </w:rPr>
        <w:t>0</w:t>
      </w:r>
      <w:r>
        <w:rPr>
          <w:rFonts w:hint="eastAsia" w:ascii="仿宋_GB2312" w:eastAsia="仿宋_GB2312"/>
          <w:sz w:val="32"/>
          <w:szCs w:val="32"/>
        </w:rPr>
        <w:t>万元。</w:t>
      </w:r>
      <w:bookmarkStart w:id="69" w:name="_Toc15377218"/>
      <w:bookmarkStart w:id="70" w:name="_Toc15396610"/>
    </w:p>
    <w:p>
      <w:pPr>
        <w:spacing w:line="600" w:lineRule="exact"/>
        <w:ind w:firstLine="640"/>
        <w:outlineLvl w:val="1"/>
        <w:rPr>
          <w:rStyle w:val="29"/>
          <w:rFonts w:ascii="黑体" w:hAnsi="黑体" w:eastAsia="黑体"/>
        </w:rPr>
      </w:pPr>
      <w:bookmarkStart w:id="71" w:name="_Toc18297"/>
      <w:r>
        <w:rPr>
          <w:rFonts w:hint="eastAsia" w:ascii="黑体" w:eastAsia="黑体"/>
          <w:sz w:val="32"/>
          <w:szCs w:val="32"/>
        </w:rPr>
        <w:t>八、</w:t>
      </w:r>
      <w:r>
        <w:rPr>
          <w:rStyle w:val="29"/>
          <w:rFonts w:hint="eastAsia" w:ascii="黑体" w:hAnsi="黑体" w:eastAsia="黑体"/>
          <w:b w:val="0"/>
        </w:rPr>
        <w:t>政府性基金预算</w:t>
      </w:r>
      <w:r>
        <w:rPr>
          <w:rFonts w:hint="eastAsia" w:ascii="黑体" w:hAnsi="黑体" w:eastAsia="黑体"/>
          <w:sz w:val="32"/>
          <w:szCs w:val="32"/>
        </w:rPr>
        <w:t>支出决算情况说明</w:t>
      </w:r>
      <w:bookmarkEnd w:id="69"/>
      <w:bookmarkEnd w:id="70"/>
      <w:bookmarkEnd w:id="71"/>
    </w:p>
    <w:p>
      <w:pPr>
        <w:spacing w:line="600" w:lineRule="exact"/>
        <w:ind w:firstLine="640"/>
        <w:rPr>
          <w:rFonts w:ascii="仿宋" w:hAnsi="仿宋" w:eastAsia="仿宋" w:cs="仿宋"/>
          <w:sz w:val="32"/>
          <w:szCs w:val="32"/>
        </w:rPr>
      </w:pPr>
      <w:r>
        <w:rPr>
          <w:rFonts w:hint="eastAsia" w:ascii="仿宋" w:hAnsi="仿宋" w:eastAsia="仿宋" w:cs="仿宋"/>
          <w:sz w:val="32"/>
          <w:szCs w:val="32"/>
        </w:rPr>
        <w:t>2021年政府性基金预算财政拨款支出0万元。</w:t>
      </w:r>
    </w:p>
    <w:p>
      <w:pPr>
        <w:numPr>
          <w:ilvl w:val="0"/>
          <w:numId w:val="3"/>
        </w:numPr>
        <w:spacing w:line="600" w:lineRule="exact"/>
        <w:ind w:firstLine="640"/>
        <w:outlineLvl w:val="1"/>
        <w:rPr>
          <w:rStyle w:val="29"/>
          <w:rFonts w:ascii="黑体" w:hAnsi="黑体" w:eastAsia="黑体"/>
          <w:b w:val="0"/>
        </w:rPr>
      </w:pPr>
      <w:bookmarkStart w:id="72" w:name="_Toc29900"/>
      <w:bookmarkStart w:id="73" w:name="_Toc15377219"/>
      <w:bookmarkStart w:id="74" w:name="_Toc15396611"/>
      <w:r>
        <w:rPr>
          <w:rStyle w:val="29"/>
          <w:rFonts w:hint="eastAsia" w:ascii="黑体" w:hAnsi="黑体" w:eastAsia="黑体"/>
          <w:b w:val="0"/>
        </w:rPr>
        <w:t>国有</w:t>
      </w:r>
      <w:r>
        <w:rPr>
          <w:rFonts w:hint="eastAsia" w:ascii="黑体" w:hAnsi="黑体" w:eastAsia="黑体"/>
          <w:sz w:val="32"/>
          <w:szCs w:val="32"/>
        </w:rPr>
        <w:t>资本经营</w:t>
      </w:r>
      <w:r>
        <w:rPr>
          <w:rStyle w:val="29"/>
          <w:rFonts w:hint="eastAsia" w:ascii="黑体" w:hAnsi="黑体" w:eastAsia="黑体"/>
          <w:b w:val="0"/>
        </w:rPr>
        <w:t>预算</w:t>
      </w:r>
      <w:r>
        <w:rPr>
          <w:rFonts w:hint="eastAsia" w:ascii="黑体" w:hAnsi="黑体" w:eastAsia="黑体"/>
          <w:sz w:val="32"/>
          <w:szCs w:val="32"/>
        </w:rPr>
        <w:t>支出决算情况说明</w:t>
      </w:r>
      <w:bookmarkEnd w:id="72"/>
      <w:bookmarkEnd w:id="73"/>
      <w:bookmarkEnd w:id="74"/>
    </w:p>
    <w:p>
      <w:pPr>
        <w:spacing w:line="600" w:lineRule="exact"/>
        <w:ind w:firstLine="640"/>
        <w:rPr>
          <w:rFonts w:ascii="仿宋" w:hAnsi="仿宋" w:eastAsia="仿宋" w:cs="仿宋"/>
          <w:sz w:val="44"/>
          <w:szCs w:val="44"/>
        </w:rPr>
      </w:pPr>
      <w:r>
        <w:rPr>
          <w:rFonts w:hint="eastAsia" w:ascii="仿宋" w:hAnsi="仿宋" w:eastAsia="仿宋" w:cs="仿宋"/>
          <w:sz w:val="32"/>
          <w:szCs w:val="32"/>
        </w:rPr>
        <w:t>2021年国有资本经营预算财政拨款支出0万元。</w:t>
      </w:r>
    </w:p>
    <w:p>
      <w:pPr>
        <w:numPr>
          <w:ilvl w:val="0"/>
          <w:numId w:val="3"/>
        </w:numPr>
        <w:spacing w:line="600" w:lineRule="exact"/>
        <w:ind w:firstLine="640"/>
        <w:outlineLvl w:val="1"/>
        <w:rPr>
          <w:rStyle w:val="29"/>
          <w:rFonts w:ascii="黑体" w:hAnsi="黑体" w:eastAsia="黑体"/>
          <w:b w:val="0"/>
        </w:rPr>
      </w:pPr>
      <w:bookmarkStart w:id="75" w:name="_Toc19343"/>
      <w:bookmarkStart w:id="76" w:name="_Toc15396612"/>
      <w:bookmarkStart w:id="77" w:name="_Toc15377221"/>
      <w:r>
        <w:rPr>
          <w:rStyle w:val="29"/>
          <w:rFonts w:hint="eastAsia" w:ascii="黑体" w:hAnsi="黑体" w:eastAsia="黑体"/>
          <w:b w:val="0"/>
        </w:rPr>
        <w:t>其他重要事项的情况说明</w:t>
      </w:r>
      <w:bookmarkEnd w:id="75"/>
      <w:bookmarkEnd w:id="76"/>
      <w:bookmarkEnd w:id="77"/>
    </w:p>
    <w:p>
      <w:pPr>
        <w:spacing w:line="600" w:lineRule="exact"/>
        <w:ind w:firstLine="643" w:firstLineChars="200"/>
        <w:outlineLvl w:val="2"/>
        <w:rPr>
          <w:rFonts w:ascii="仿宋" w:hAnsi="仿宋" w:eastAsia="仿宋"/>
          <w:sz w:val="32"/>
          <w:szCs w:val="32"/>
        </w:rPr>
      </w:pPr>
      <w:bookmarkStart w:id="78" w:name="_Toc8961"/>
      <w:bookmarkStart w:id="79" w:name="_Toc15377222"/>
      <w:r>
        <w:rPr>
          <w:rFonts w:hint="eastAsia" w:ascii="仿宋" w:hAnsi="仿宋" w:eastAsia="仿宋"/>
          <w:b/>
          <w:sz w:val="32"/>
          <w:szCs w:val="32"/>
        </w:rPr>
        <w:t>（一）单位运行经费支出情况</w:t>
      </w:r>
      <w:bookmarkEnd w:id="78"/>
      <w:bookmarkEnd w:id="79"/>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2021年，通江县三溪镇卫生院运行经费支出179万元，比2020年增加15万元，增长9.15%。</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80" w:name="_Toc25010"/>
      <w:bookmarkStart w:id="81" w:name="_Toc15377223"/>
      <w:r>
        <w:rPr>
          <w:rFonts w:hint="eastAsia" w:ascii="仿宋" w:hAnsi="仿宋" w:eastAsia="仿宋"/>
          <w:b/>
          <w:sz w:val="32"/>
          <w:szCs w:val="32"/>
        </w:rPr>
        <w:t>（二）政府采购支出情况</w:t>
      </w:r>
      <w:bookmarkEnd w:id="80"/>
      <w:bookmarkEnd w:id="81"/>
    </w:p>
    <w:p>
      <w:pPr>
        <w:spacing w:line="600" w:lineRule="exact"/>
        <w:ind w:firstLine="640" w:firstLineChars="200"/>
        <w:rPr>
          <w:rFonts w:ascii="仿宋" w:hAnsi="仿宋" w:eastAsia="仿宋" w:cs="仿宋"/>
          <w:b/>
          <w:sz w:val="32"/>
          <w:szCs w:val="32"/>
        </w:rPr>
      </w:pPr>
      <w:r>
        <w:rPr>
          <w:rFonts w:hint="eastAsia" w:ascii="仿宋" w:hAnsi="仿宋" w:eastAsia="仿宋" w:cs="仿宋"/>
          <w:sz w:val="32"/>
          <w:szCs w:val="32"/>
        </w:rPr>
        <w:t>2021年，通江县三溪镇卫生院政府采购支出总额0万元。</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82" w:name="_Toc15377224"/>
      <w:bookmarkStart w:id="83" w:name="_Toc3577"/>
      <w:r>
        <w:rPr>
          <w:rFonts w:hint="eastAsia" w:ascii="仿宋" w:hAnsi="仿宋" w:eastAsia="仿宋"/>
          <w:b/>
          <w:sz w:val="32"/>
          <w:szCs w:val="32"/>
        </w:rPr>
        <w:t>（三）国有资产占有使用情况</w:t>
      </w:r>
      <w:bookmarkEnd w:id="82"/>
      <w:bookmarkEnd w:id="83"/>
    </w:p>
    <w:p>
      <w:pPr>
        <w:autoSpaceDE w:val="0"/>
        <w:autoSpaceDN w:val="0"/>
        <w:adjustRightInd w:val="0"/>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截至2021年12月31日，通江县三溪镇卫生院共有车辆0辆。单价50万元以上通用设备0台（套），单价100万元以上专用设备0台（套）。</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84" w:name="_Toc27075"/>
      <w:r>
        <w:rPr>
          <w:rFonts w:hint="eastAsia" w:ascii="仿宋" w:hAnsi="仿宋" w:eastAsia="仿宋"/>
          <w:b/>
          <w:sz w:val="32"/>
          <w:szCs w:val="32"/>
        </w:rPr>
        <w:t>（四）预算绩效管理情况</w:t>
      </w:r>
      <w:bookmarkEnd w:id="84"/>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根据预算绩效管理要求，本单位在2021年度预算编制阶段，组织对基本公共卫生服务项目（项目名称）等4个项目开展了预算事前绩效评估，对4个项目编制了绩效目标，预算执行过程中，选取4个项目开展绩效监控，年终执行完毕后，对4个项目开展了绩效自评，2021年特定目标类部门预算项目绩效目标自评表见附件（第四部分）。</w:t>
      </w:r>
    </w:p>
    <w:p>
      <w:pPr>
        <w:pStyle w:val="3"/>
        <w:spacing w:before="93"/>
        <w:rPr>
          <w:highlight w:val="yellow"/>
        </w:rPr>
      </w:pPr>
    </w:p>
    <w:p>
      <w:pPr>
        <w:widowControl/>
        <w:jc w:val="left"/>
        <w:rPr>
          <w:rFonts w:ascii="仿宋_GB2312" w:eastAsia="仿宋_GB2312"/>
          <w:b/>
          <w:sz w:val="32"/>
          <w:szCs w:val="32"/>
        </w:rPr>
      </w:pPr>
      <w:r>
        <w:br w:type="page"/>
      </w:r>
    </w:p>
    <w:p>
      <w:pPr>
        <w:numPr>
          <w:ilvl w:val="0"/>
          <w:numId w:val="4"/>
        </w:numPr>
        <w:spacing w:line="600" w:lineRule="exact"/>
        <w:ind w:firstLine="660" w:firstLineChars="150"/>
        <w:jc w:val="center"/>
        <w:outlineLvl w:val="0"/>
        <w:rPr>
          <w:rStyle w:val="28"/>
          <w:rFonts w:ascii="黑体" w:hAnsi="黑体" w:eastAsia="黑体"/>
          <w:b w:val="0"/>
        </w:rPr>
      </w:pPr>
      <w:bookmarkStart w:id="85" w:name="_Toc10101"/>
      <w:bookmarkStart w:id="86" w:name="_Toc15377225"/>
      <w:bookmarkStart w:id="87" w:name="_Toc15396613"/>
      <w:r>
        <w:rPr>
          <w:rFonts w:hint="eastAsia" w:ascii="黑体" w:hAnsi="黑体" w:eastAsia="黑体"/>
          <w:sz w:val="44"/>
          <w:szCs w:val="44"/>
        </w:rPr>
        <w:t>名</w:t>
      </w:r>
      <w:r>
        <w:rPr>
          <w:rStyle w:val="28"/>
          <w:rFonts w:hint="eastAsia" w:ascii="黑体" w:hAnsi="黑体" w:eastAsia="黑体"/>
          <w:b w:val="0"/>
        </w:rPr>
        <w:t>词解释</w:t>
      </w:r>
      <w:bookmarkEnd w:id="85"/>
      <w:bookmarkEnd w:id="86"/>
      <w:bookmarkEnd w:id="87"/>
    </w:p>
    <w:p>
      <w:pPr>
        <w:spacing w:line="600" w:lineRule="exact"/>
        <w:jc w:val="left"/>
        <w:rPr>
          <w:rFonts w:ascii="宋体"/>
          <w:b/>
          <w:sz w:val="44"/>
          <w:szCs w:val="44"/>
        </w:rPr>
      </w:pPr>
    </w:p>
    <w:p>
      <w:pPr>
        <w:spacing w:line="600" w:lineRule="exact"/>
        <w:ind w:firstLine="640" w:firstLineChars="200"/>
        <w:jc w:val="left"/>
        <w:outlineLvl w:val="0"/>
        <w:rPr>
          <w:rFonts w:ascii="仿宋" w:hAnsi="仿宋" w:eastAsia="仿宋" w:cs="仿宋"/>
          <w:sz w:val="32"/>
          <w:szCs w:val="32"/>
        </w:rPr>
      </w:pPr>
      <w:bookmarkStart w:id="88" w:name="_Toc15377226"/>
      <w:r>
        <w:rPr>
          <w:rFonts w:hint="eastAsia" w:ascii="仿宋" w:hAnsi="仿宋" w:eastAsia="仿宋" w:cs="仿宋"/>
          <w:sz w:val="32"/>
          <w:szCs w:val="32"/>
        </w:rPr>
        <w:t>1.财政拨款收入：指单位从同级财政部门取得的财政预算资金。</w:t>
      </w:r>
    </w:p>
    <w:p>
      <w:pPr>
        <w:spacing w:line="600" w:lineRule="exact"/>
        <w:ind w:firstLine="640" w:firstLineChars="200"/>
        <w:jc w:val="left"/>
        <w:outlineLvl w:val="0"/>
        <w:rPr>
          <w:rFonts w:ascii="仿宋" w:hAnsi="仿宋" w:eastAsia="仿宋" w:cs="仿宋"/>
          <w:sz w:val="32"/>
          <w:szCs w:val="32"/>
        </w:rPr>
      </w:pPr>
      <w:r>
        <w:rPr>
          <w:rFonts w:hint="eastAsia" w:ascii="仿宋" w:hAnsi="仿宋" w:eastAsia="仿宋" w:cs="仿宋"/>
          <w:sz w:val="32"/>
          <w:szCs w:val="32"/>
        </w:rPr>
        <w:t>2.事业收入：指事业单位开展专业业务活动及辅助活动取得的收入。</w:t>
      </w:r>
    </w:p>
    <w:p>
      <w:pPr>
        <w:spacing w:line="600" w:lineRule="exact"/>
        <w:ind w:firstLine="640" w:firstLineChars="200"/>
        <w:jc w:val="left"/>
        <w:outlineLvl w:val="0"/>
        <w:rPr>
          <w:rFonts w:ascii="仿宋" w:hAnsi="仿宋" w:eastAsia="仿宋" w:cs="仿宋"/>
          <w:sz w:val="32"/>
          <w:szCs w:val="32"/>
        </w:rPr>
      </w:pPr>
      <w:r>
        <w:rPr>
          <w:rFonts w:hint="eastAsia" w:ascii="仿宋" w:hAnsi="仿宋" w:eastAsia="仿宋" w:cs="仿宋"/>
          <w:sz w:val="32"/>
          <w:szCs w:val="32"/>
        </w:rPr>
        <w:t>3.经营收入：指事业单位在专业业务活动及其辅助活动之外开展非独立核算经营活动取得的收入。</w:t>
      </w:r>
    </w:p>
    <w:p>
      <w:pPr>
        <w:spacing w:line="600" w:lineRule="exact"/>
        <w:ind w:firstLine="640" w:firstLineChars="200"/>
        <w:jc w:val="left"/>
        <w:outlineLvl w:val="0"/>
        <w:rPr>
          <w:rFonts w:ascii="仿宋" w:hAnsi="仿宋" w:eastAsia="仿宋" w:cs="仿宋"/>
          <w:sz w:val="32"/>
          <w:szCs w:val="32"/>
        </w:rPr>
      </w:pPr>
      <w:r>
        <w:rPr>
          <w:rFonts w:hint="eastAsia" w:ascii="仿宋" w:hAnsi="仿宋" w:eastAsia="仿宋" w:cs="仿宋"/>
          <w:sz w:val="32"/>
          <w:szCs w:val="32"/>
        </w:rPr>
        <w:t>4.其他收入：指单位取得的除上述收入以外的各项收入。</w:t>
      </w:r>
    </w:p>
    <w:p>
      <w:pPr>
        <w:spacing w:line="600" w:lineRule="exact"/>
        <w:ind w:firstLine="640" w:firstLineChars="200"/>
        <w:jc w:val="left"/>
        <w:outlineLvl w:val="0"/>
        <w:rPr>
          <w:rFonts w:ascii="仿宋" w:hAnsi="仿宋" w:eastAsia="仿宋" w:cs="仿宋"/>
          <w:sz w:val="32"/>
          <w:szCs w:val="32"/>
        </w:rPr>
      </w:pPr>
      <w:r>
        <w:rPr>
          <w:rFonts w:hint="eastAsia" w:ascii="仿宋" w:hAnsi="仿宋" w:eastAsia="仿宋" w:cs="仿宋"/>
          <w:sz w:val="32"/>
          <w:szCs w:val="32"/>
        </w:rPr>
        <w:t>5.使用非财政拨款结余：指事业单位使用以前年度积累的非财政拨款结余弥补当年收支差额的金额。 </w:t>
      </w:r>
    </w:p>
    <w:p>
      <w:pPr>
        <w:spacing w:line="600" w:lineRule="exact"/>
        <w:ind w:firstLine="640" w:firstLineChars="200"/>
        <w:jc w:val="left"/>
        <w:outlineLvl w:val="0"/>
        <w:rPr>
          <w:rFonts w:ascii="仿宋" w:hAnsi="仿宋" w:eastAsia="仿宋" w:cs="仿宋"/>
          <w:sz w:val="32"/>
          <w:szCs w:val="32"/>
        </w:rPr>
      </w:pPr>
      <w:r>
        <w:rPr>
          <w:rFonts w:hint="eastAsia" w:ascii="仿宋" w:hAnsi="仿宋" w:eastAsia="仿宋" w:cs="仿宋"/>
          <w:sz w:val="32"/>
          <w:szCs w:val="32"/>
        </w:rPr>
        <w:t>6.年初结转和结余：指以前年度尚未完成、结转到</w:t>
      </w:r>
      <w:r>
        <w:rPr>
          <w:rFonts w:hint="eastAsia" w:ascii="仿宋" w:hAnsi="仿宋" w:eastAsia="仿宋" w:cs="仿宋"/>
          <w:sz w:val="32"/>
          <w:szCs w:val="32"/>
          <w:u w:val="none" w:color="46CD7E"/>
          <w:shd w:val="clear" w:fill="auto"/>
          <w:lang w:eastAsia="zh-CN"/>
        </w:rPr>
        <w:t>本年度</w:t>
      </w:r>
      <w:r>
        <w:rPr>
          <w:rFonts w:hint="eastAsia" w:ascii="仿宋" w:hAnsi="仿宋" w:eastAsia="仿宋" w:cs="仿宋"/>
          <w:sz w:val="32"/>
          <w:szCs w:val="32"/>
        </w:rPr>
        <w:t>有关规定继续使用的资金。 </w:t>
      </w:r>
    </w:p>
    <w:p>
      <w:pPr>
        <w:spacing w:line="600" w:lineRule="exact"/>
        <w:ind w:firstLine="640" w:firstLineChars="200"/>
        <w:jc w:val="left"/>
        <w:outlineLvl w:val="0"/>
        <w:rPr>
          <w:rFonts w:ascii="仿宋" w:hAnsi="仿宋" w:eastAsia="仿宋" w:cs="仿宋"/>
          <w:sz w:val="32"/>
          <w:szCs w:val="32"/>
        </w:rPr>
      </w:pPr>
      <w:r>
        <w:rPr>
          <w:rFonts w:hint="eastAsia" w:ascii="仿宋" w:hAnsi="仿宋" w:eastAsia="仿宋" w:cs="仿宋"/>
          <w:sz w:val="32"/>
          <w:szCs w:val="32"/>
        </w:rPr>
        <w:t>7.结余分配：指事业单位按照会计制度规定缴纳的所得税、提取的专用结余以及转入非财政拨款结余的金额等。</w:t>
      </w:r>
    </w:p>
    <w:p>
      <w:pPr>
        <w:spacing w:line="600" w:lineRule="exact"/>
        <w:ind w:firstLine="640" w:firstLineChars="200"/>
        <w:jc w:val="left"/>
        <w:outlineLvl w:val="0"/>
        <w:rPr>
          <w:rFonts w:ascii="仿宋" w:hAnsi="仿宋" w:eastAsia="仿宋" w:cs="仿宋"/>
          <w:sz w:val="32"/>
          <w:szCs w:val="32"/>
        </w:rPr>
      </w:pPr>
      <w:r>
        <w:rPr>
          <w:rFonts w:hint="eastAsia" w:ascii="仿宋" w:hAnsi="仿宋" w:eastAsia="仿宋" w:cs="仿宋"/>
          <w:sz w:val="32"/>
          <w:szCs w:val="32"/>
        </w:rPr>
        <w:t>8</w:t>
      </w:r>
      <w:r>
        <w:rPr>
          <w:rFonts w:hint="eastAsia" w:ascii="仿宋" w:hAnsi="仿宋" w:eastAsia="仿宋" w:cs="仿宋"/>
          <w:sz w:val="32"/>
          <w:szCs w:val="32"/>
          <w:u w:val="none" w:color="46CD7E"/>
          <w:shd w:val="clear" w:fill="auto"/>
          <w:lang w:eastAsia="zh-CN"/>
        </w:rPr>
        <w:t>.</w:t>
      </w:r>
      <w:r>
        <w:rPr>
          <w:rFonts w:hint="eastAsia" w:ascii="仿宋" w:hAnsi="仿宋" w:eastAsia="仿宋" w:cs="仿宋"/>
          <w:sz w:val="32"/>
          <w:szCs w:val="32"/>
        </w:rPr>
        <w:t>年末结转和结余：指单位按有关规定结转到下年或以后年度继续使用的资金。</w:t>
      </w:r>
    </w:p>
    <w:p>
      <w:pPr>
        <w:spacing w:line="600" w:lineRule="exact"/>
        <w:ind w:firstLine="640" w:firstLineChars="200"/>
        <w:jc w:val="left"/>
        <w:outlineLvl w:val="0"/>
        <w:rPr>
          <w:rFonts w:ascii="仿宋" w:hAnsi="仿宋" w:eastAsia="仿宋" w:cs="仿宋"/>
          <w:sz w:val="32"/>
          <w:szCs w:val="32"/>
        </w:rPr>
      </w:pPr>
      <w:r>
        <w:rPr>
          <w:rFonts w:hint="eastAsia" w:ascii="仿宋" w:hAnsi="仿宋" w:eastAsia="仿宋" w:cs="仿宋"/>
          <w:sz w:val="32"/>
          <w:szCs w:val="32"/>
          <w:u w:val="none" w:color="FFB03A"/>
          <w:shd w:val="clear" w:fill="auto"/>
        </w:rPr>
        <w:t>9.</w:t>
      </w:r>
      <w:r>
        <w:rPr>
          <w:rFonts w:hint="eastAsia" w:ascii="仿宋" w:hAnsi="仿宋" w:eastAsia="仿宋" w:cs="仿宋"/>
          <w:sz w:val="32"/>
          <w:szCs w:val="32"/>
        </w:rPr>
        <w:t>一般公共服务（类）人力资源事务（款）引进人才费用（项）：指反映用于引进外国专家补助、引智成果推广等方面的支出。</w:t>
      </w:r>
    </w:p>
    <w:p>
      <w:pPr>
        <w:spacing w:line="600" w:lineRule="exact"/>
        <w:ind w:firstLine="640" w:firstLineChars="200"/>
        <w:jc w:val="left"/>
        <w:outlineLvl w:val="0"/>
        <w:rPr>
          <w:rFonts w:ascii="仿宋" w:hAnsi="仿宋" w:eastAsia="仿宋" w:cs="仿宋"/>
          <w:sz w:val="32"/>
          <w:szCs w:val="32"/>
        </w:rPr>
      </w:pPr>
      <w:r>
        <w:rPr>
          <w:rFonts w:hint="eastAsia" w:ascii="仿宋" w:hAnsi="仿宋" w:eastAsia="仿宋" w:cs="仿宋"/>
          <w:sz w:val="32"/>
          <w:szCs w:val="32"/>
        </w:rPr>
        <w:t>10.教育（类）职业教育（款）中专教育（项）: 指各部门举办的各类中等专业学校的支出。</w:t>
      </w:r>
    </w:p>
    <w:p>
      <w:pPr>
        <w:spacing w:line="600" w:lineRule="exact"/>
        <w:ind w:firstLine="640" w:firstLineChars="200"/>
        <w:jc w:val="left"/>
        <w:outlineLvl w:val="0"/>
        <w:rPr>
          <w:rFonts w:ascii="仿宋" w:hAnsi="仿宋" w:eastAsia="仿宋" w:cs="仿宋"/>
          <w:sz w:val="32"/>
          <w:szCs w:val="32"/>
        </w:rPr>
      </w:pPr>
      <w:r>
        <w:rPr>
          <w:rFonts w:hint="eastAsia" w:ascii="仿宋" w:hAnsi="仿宋" w:eastAsia="仿宋" w:cs="仿宋"/>
          <w:sz w:val="32"/>
          <w:szCs w:val="32"/>
        </w:rPr>
        <w:t>11.社会保障和就业（类）行政事业单位离退休（款）机关事业单位基本养老保险缴费支出（项）:指机关事业单位实施养老保险制度由单位缴纳的基本养老保险支出。</w:t>
      </w:r>
    </w:p>
    <w:p>
      <w:pPr>
        <w:spacing w:line="600" w:lineRule="exact"/>
        <w:ind w:firstLine="640" w:firstLineChars="200"/>
        <w:jc w:val="left"/>
        <w:outlineLvl w:val="0"/>
        <w:rPr>
          <w:rFonts w:ascii="仿宋" w:hAnsi="仿宋" w:eastAsia="仿宋" w:cs="仿宋"/>
          <w:sz w:val="32"/>
          <w:szCs w:val="32"/>
        </w:rPr>
      </w:pPr>
      <w:r>
        <w:rPr>
          <w:rFonts w:hint="eastAsia" w:ascii="仿宋" w:hAnsi="仿宋" w:eastAsia="仿宋" w:cs="仿宋"/>
          <w:sz w:val="32"/>
          <w:szCs w:val="32"/>
        </w:rPr>
        <w:t>12. 卫生健康支出（类）卫生健康管理事务（款）行政运行（项）:指行政单位（包括实行公务员管理的事业单位）的基本支出。</w:t>
      </w:r>
    </w:p>
    <w:p>
      <w:pPr>
        <w:spacing w:line="600" w:lineRule="exact"/>
        <w:ind w:firstLine="640" w:firstLineChars="200"/>
        <w:jc w:val="left"/>
        <w:outlineLvl w:val="0"/>
        <w:rPr>
          <w:rFonts w:ascii="仿宋" w:hAnsi="仿宋" w:eastAsia="仿宋" w:cs="仿宋"/>
          <w:sz w:val="32"/>
          <w:szCs w:val="32"/>
        </w:rPr>
      </w:pPr>
      <w:r>
        <w:rPr>
          <w:rFonts w:hint="eastAsia" w:ascii="仿宋" w:hAnsi="仿宋" w:eastAsia="仿宋" w:cs="仿宋"/>
          <w:sz w:val="32"/>
          <w:szCs w:val="32"/>
        </w:rPr>
        <w:t>13.卫生健康支出（类）卫生健康管理事务（款）一般行政管理事务（项）:指行政单位（包括实行公务员管理的事业单位）未单独设置项级科目的其他支出。</w:t>
      </w:r>
    </w:p>
    <w:p>
      <w:pPr>
        <w:spacing w:line="600" w:lineRule="exact"/>
        <w:ind w:firstLine="640" w:firstLineChars="200"/>
        <w:jc w:val="left"/>
        <w:outlineLvl w:val="0"/>
        <w:rPr>
          <w:rFonts w:ascii="仿宋" w:hAnsi="仿宋" w:eastAsia="仿宋" w:cs="仿宋"/>
          <w:sz w:val="32"/>
          <w:szCs w:val="32"/>
        </w:rPr>
      </w:pPr>
      <w:r>
        <w:rPr>
          <w:rFonts w:hint="eastAsia" w:ascii="仿宋" w:hAnsi="仿宋" w:eastAsia="仿宋" w:cs="仿宋"/>
          <w:sz w:val="32"/>
          <w:szCs w:val="32"/>
        </w:rPr>
        <w:t>14.卫生健康支出（类）卫生健康管理事务（款）其他卫生健康管理事务支出（项）:指其他用于卫生健康管理事务方面的支出。</w:t>
      </w:r>
    </w:p>
    <w:p>
      <w:pPr>
        <w:spacing w:line="600" w:lineRule="exact"/>
        <w:ind w:firstLine="640" w:firstLineChars="200"/>
        <w:jc w:val="left"/>
        <w:outlineLvl w:val="0"/>
        <w:rPr>
          <w:rFonts w:ascii="仿宋" w:hAnsi="仿宋" w:eastAsia="仿宋" w:cs="仿宋"/>
          <w:sz w:val="32"/>
          <w:szCs w:val="32"/>
        </w:rPr>
      </w:pPr>
      <w:r>
        <w:rPr>
          <w:rFonts w:hint="eastAsia" w:ascii="仿宋" w:hAnsi="仿宋" w:eastAsia="仿宋" w:cs="仿宋"/>
          <w:sz w:val="32"/>
          <w:szCs w:val="32"/>
        </w:rPr>
        <w:t>15.卫生健康支出（类）公立医院（款）综合医院（项）:指卫生健康、中医部门所属的城市综合性医院、独立门诊、教学医院、疗养院和县医院的支出。</w:t>
      </w:r>
    </w:p>
    <w:p>
      <w:pPr>
        <w:spacing w:line="600" w:lineRule="exact"/>
        <w:ind w:firstLine="640" w:firstLineChars="200"/>
        <w:jc w:val="left"/>
        <w:outlineLvl w:val="0"/>
        <w:rPr>
          <w:rFonts w:ascii="仿宋" w:hAnsi="仿宋" w:eastAsia="仿宋" w:cs="仿宋"/>
          <w:sz w:val="32"/>
          <w:szCs w:val="32"/>
        </w:rPr>
      </w:pPr>
      <w:r>
        <w:rPr>
          <w:rFonts w:hint="eastAsia" w:ascii="仿宋" w:hAnsi="仿宋" w:eastAsia="仿宋" w:cs="仿宋"/>
          <w:sz w:val="32"/>
          <w:szCs w:val="32"/>
        </w:rPr>
        <w:t>16.卫生健康支出（类）公立医院（款）中医（民族）医院（项）:指卫生健康、中医部门所属的中医院、中西医结合医院、民族医院的支出。</w:t>
      </w:r>
    </w:p>
    <w:p>
      <w:pPr>
        <w:spacing w:line="600" w:lineRule="exact"/>
        <w:ind w:firstLine="640" w:firstLineChars="200"/>
        <w:jc w:val="left"/>
        <w:outlineLvl w:val="0"/>
        <w:rPr>
          <w:rFonts w:ascii="仿宋" w:hAnsi="仿宋" w:eastAsia="仿宋" w:cs="仿宋"/>
          <w:sz w:val="32"/>
          <w:szCs w:val="32"/>
        </w:rPr>
      </w:pPr>
      <w:r>
        <w:rPr>
          <w:rFonts w:hint="eastAsia" w:ascii="仿宋" w:hAnsi="仿宋" w:eastAsia="仿宋" w:cs="仿宋"/>
          <w:sz w:val="32"/>
          <w:szCs w:val="32"/>
        </w:rPr>
        <w:t>17.卫生健康支出（类）公立医院（款）传染病医院（项）:指卫生健康、中医部门所属的专门收治各类传染病人的支出。</w:t>
      </w:r>
    </w:p>
    <w:p>
      <w:pPr>
        <w:spacing w:line="600" w:lineRule="exact"/>
        <w:ind w:firstLine="640" w:firstLineChars="200"/>
        <w:jc w:val="left"/>
        <w:outlineLvl w:val="0"/>
        <w:rPr>
          <w:rFonts w:ascii="仿宋" w:hAnsi="仿宋" w:eastAsia="仿宋" w:cs="仿宋"/>
          <w:sz w:val="32"/>
          <w:szCs w:val="32"/>
        </w:rPr>
      </w:pPr>
      <w:r>
        <w:rPr>
          <w:rFonts w:hint="eastAsia" w:ascii="仿宋" w:hAnsi="仿宋" w:eastAsia="仿宋" w:cs="仿宋"/>
          <w:sz w:val="32"/>
          <w:szCs w:val="32"/>
        </w:rPr>
        <w:t>18.卫生健康支出（类）公立医院（款）其他公立医院支出（项）:指其他用于公立医院方面的支出。</w:t>
      </w:r>
    </w:p>
    <w:p>
      <w:pPr>
        <w:spacing w:line="600" w:lineRule="exact"/>
        <w:ind w:firstLine="640" w:firstLineChars="200"/>
        <w:jc w:val="left"/>
        <w:outlineLvl w:val="0"/>
        <w:rPr>
          <w:rFonts w:ascii="仿宋" w:hAnsi="仿宋" w:eastAsia="仿宋" w:cs="仿宋"/>
          <w:sz w:val="32"/>
          <w:szCs w:val="32"/>
        </w:rPr>
      </w:pPr>
      <w:r>
        <w:rPr>
          <w:rFonts w:hint="eastAsia" w:ascii="仿宋" w:hAnsi="仿宋" w:eastAsia="仿宋" w:cs="仿宋"/>
          <w:sz w:val="32"/>
          <w:szCs w:val="32"/>
        </w:rPr>
        <w:t>19.卫生健康支出（类）基层医疗卫生机构（款）乡镇卫生院（项）：反映用于乡镇卫生院的支出。</w:t>
      </w:r>
    </w:p>
    <w:p>
      <w:pPr>
        <w:spacing w:line="600" w:lineRule="exact"/>
        <w:ind w:firstLine="640" w:firstLineChars="200"/>
        <w:jc w:val="left"/>
        <w:outlineLvl w:val="0"/>
        <w:rPr>
          <w:rFonts w:ascii="仿宋" w:hAnsi="仿宋" w:eastAsia="仿宋" w:cs="仿宋"/>
          <w:sz w:val="32"/>
          <w:szCs w:val="32"/>
        </w:rPr>
      </w:pPr>
      <w:r>
        <w:rPr>
          <w:rFonts w:hint="eastAsia" w:ascii="仿宋" w:hAnsi="仿宋" w:eastAsia="仿宋" w:cs="仿宋"/>
          <w:sz w:val="32"/>
          <w:szCs w:val="32"/>
        </w:rPr>
        <w:t>20.卫生健康支出（类）基层医疗卫生机构（款）其他基层医疗卫生机构（项）：指用于村卫生室方面的支出。</w:t>
      </w:r>
    </w:p>
    <w:p>
      <w:pPr>
        <w:spacing w:line="600" w:lineRule="exact"/>
        <w:ind w:firstLine="640" w:firstLineChars="200"/>
        <w:jc w:val="left"/>
        <w:outlineLvl w:val="0"/>
        <w:rPr>
          <w:rFonts w:ascii="仿宋" w:hAnsi="仿宋" w:eastAsia="仿宋" w:cs="仿宋"/>
          <w:sz w:val="32"/>
          <w:szCs w:val="32"/>
        </w:rPr>
      </w:pPr>
      <w:r>
        <w:rPr>
          <w:rFonts w:hint="eastAsia" w:ascii="仿宋" w:hAnsi="仿宋" w:eastAsia="仿宋" w:cs="仿宋"/>
          <w:sz w:val="32"/>
          <w:szCs w:val="32"/>
        </w:rPr>
        <w:t>21.卫生健康支出（类）公共卫生（款）疾病预防控制机构（项）:指卫生健康部门所属疾病预防控制机构的支出。</w:t>
      </w:r>
    </w:p>
    <w:p>
      <w:pPr>
        <w:spacing w:line="600" w:lineRule="exact"/>
        <w:ind w:firstLine="640" w:firstLineChars="200"/>
        <w:jc w:val="left"/>
        <w:outlineLvl w:val="0"/>
        <w:rPr>
          <w:rFonts w:ascii="仿宋" w:hAnsi="仿宋" w:eastAsia="仿宋" w:cs="仿宋"/>
          <w:sz w:val="32"/>
          <w:szCs w:val="32"/>
        </w:rPr>
      </w:pPr>
      <w:r>
        <w:rPr>
          <w:rFonts w:hint="eastAsia" w:ascii="仿宋" w:hAnsi="仿宋" w:eastAsia="仿宋" w:cs="仿宋"/>
          <w:sz w:val="32"/>
          <w:szCs w:val="32"/>
        </w:rPr>
        <w:t>22.卫生健康支出（类）公共卫生（款）卫生监督机构（项）:指卫生健康部门所属卫生监督机构的支出。</w:t>
      </w:r>
    </w:p>
    <w:p>
      <w:pPr>
        <w:spacing w:line="600" w:lineRule="exact"/>
        <w:ind w:firstLine="640" w:firstLineChars="200"/>
        <w:jc w:val="left"/>
        <w:outlineLvl w:val="0"/>
        <w:rPr>
          <w:rFonts w:ascii="仿宋" w:hAnsi="仿宋" w:eastAsia="仿宋" w:cs="仿宋"/>
          <w:sz w:val="32"/>
          <w:szCs w:val="32"/>
        </w:rPr>
      </w:pPr>
      <w:r>
        <w:rPr>
          <w:rFonts w:hint="eastAsia" w:ascii="仿宋" w:hAnsi="仿宋" w:eastAsia="仿宋" w:cs="仿宋"/>
          <w:sz w:val="32"/>
          <w:szCs w:val="32"/>
        </w:rPr>
        <w:t>23.卫生健康支出（类）公共卫生（款）妇幼保健机构（项）:指卫生健康部门所属妇幼保健机构的支出。</w:t>
      </w:r>
    </w:p>
    <w:p>
      <w:pPr>
        <w:spacing w:line="600" w:lineRule="exact"/>
        <w:ind w:firstLine="640" w:firstLineChars="200"/>
        <w:jc w:val="left"/>
        <w:outlineLvl w:val="0"/>
        <w:rPr>
          <w:rFonts w:ascii="仿宋" w:hAnsi="仿宋" w:eastAsia="仿宋" w:cs="仿宋"/>
          <w:sz w:val="32"/>
          <w:szCs w:val="32"/>
        </w:rPr>
      </w:pPr>
      <w:r>
        <w:rPr>
          <w:rFonts w:hint="eastAsia" w:ascii="仿宋" w:hAnsi="仿宋" w:eastAsia="仿宋" w:cs="仿宋"/>
          <w:sz w:val="32"/>
          <w:szCs w:val="32"/>
        </w:rPr>
        <w:t>24.卫生健康支出（类）公共卫生（款）基本公共卫生服务（项）:指用于基本公共卫生服务支出。</w:t>
      </w:r>
    </w:p>
    <w:p>
      <w:pPr>
        <w:spacing w:line="600" w:lineRule="exact"/>
        <w:ind w:firstLine="640" w:firstLineChars="200"/>
        <w:jc w:val="left"/>
        <w:outlineLvl w:val="0"/>
        <w:rPr>
          <w:rFonts w:ascii="仿宋" w:hAnsi="仿宋" w:eastAsia="仿宋" w:cs="仿宋"/>
          <w:sz w:val="32"/>
          <w:szCs w:val="32"/>
        </w:rPr>
      </w:pPr>
      <w:r>
        <w:rPr>
          <w:rFonts w:hint="eastAsia" w:ascii="仿宋" w:hAnsi="仿宋" w:eastAsia="仿宋" w:cs="仿宋"/>
          <w:sz w:val="32"/>
          <w:szCs w:val="32"/>
        </w:rPr>
        <w:t>25.卫生健康支出（类）公共卫生（款）重大公共卫生专项（项）:指重大疾病、重大传染病预防控制等重大公共卫生服务支出。</w:t>
      </w:r>
    </w:p>
    <w:p>
      <w:pPr>
        <w:spacing w:line="600" w:lineRule="exact"/>
        <w:ind w:firstLine="640" w:firstLineChars="200"/>
        <w:jc w:val="left"/>
        <w:outlineLvl w:val="0"/>
        <w:rPr>
          <w:rFonts w:ascii="仿宋" w:hAnsi="仿宋" w:eastAsia="仿宋" w:cs="仿宋"/>
          <w:sz w:val="32"/>
          <w:szCs w:val="32"/>
        </w:rPr>
      </w:pPr>
      <w:r>
        <w:rPr>
          <w:rFonts w:hint="eastAsia" w:ascii="仿宋" w:hAnsi="仿宋" w:eastAsia="仿宋" w:cs="仿宋"/>
          <w:sz w:val="32"/>
          <w:szCs w:val="32"/>
        </w:rPr>
        <w:t>26.卫生健康支出（类）公共卫生（款）其他公共卫生支出（项）:指其他用于公共卫生方面的支出。</w:t>
      </w:r>
    </w:p>
    <w:p>
      <w:pPr>
        <w:spacing w:line="600" w:lineRule="exact"/>
        <w:ind w:firstLine="640" w:firstLineChars="200"/>
        <w:jc w:val="left"/>
        <w:outlineLvl w:val="0"/>
        <w:rPr>
          <w:rFonts w:ascii="仿宋" w:hAnsi="仿宋" w:eastAsia="仿宋" w:cs="仿宋"/>
          <w:sz w:val="32"/>
          <w:szCs w:val="32"/>
        </w:rPr>
      </w:pPr>
      <w:r>
        <w:rPr>
          <w:rFonts w:hint="eastAsia" w:ascii="仿宋" w:hAnsi="仿宋" w:eastAsia="仿宋" w:cs="仿宋"/>
          <w:sz w:val="32"/>
          <w:szCs w:val="32"/>
        </w:rPr>
        <w:t>27.卫生健康支出（类）中医药（款）中医（民族医）药专项（项）:指中医（民族医）药方面的专项支出。</w:t>
      </w:r>
    </w:p>
    <w:p>
      <w:pPr>
        <w:spacing w:line="600" w:lineRule="exact"/>
        <w:ind w:firstLine="640" w:firstLineChars="200"/>
        <w:jc w:val="left"/>
        <w:outlineLvl w:val="0"/>
        <w:rPr>
          <w:rFonts w:ascii="仿宋" w:hAnsi="仿宋" w:eastAsia="仿宋" w:cs="仿宋"/>
          <w:sz w:val="32"/>
          <w:szCs w:val="32"/>
        </w:rPr>
      </w:pPr>
      <w:r>
        <w:rPr>
          <w:rFonts w:hint="eastAsia" w:ascii="仿宋" w:hAnsi="仿宋" w:eastAsia="仿宋" w:cs="仿宋"/>
          <w:sz w:val="32"/>
          <w:szCs w:val="32"/>
        </w:rPr>
        <w:t>28.卫生健康支出（类）计划生育服务（款） 计划生育服务（项）:指计划生育服务支出。</w:t>
      </w:r>
    </w:p>
    <w:p>
      <w:pPr>
        <w:spacing w:line="600" w:lineRule="exact"/>
        <w:ind w:firstLine="640" w:firstLineChars="200"/>
        <w:jc w:val="left"/>
        <w:outlineLvl w:val="0"/>
        <w:rPr>
          <w:rFonts w:ascii="仿宋" w:hAnsi="仿宋" w:eastAsia="仿宋" w:cs="仿宋"/>
          <w:sz w:val="32"/>
          <w:szCs w:val="32"/>
        </w:rPr>
      </w:pPr>
      <w:r>
        <w:rPr>
          <w:rFonts w:hint="eastAsia" w:ascii="仿宋" w:hAnsi="仿宋" w:eastAsia="仿宋" w:cs="仿宋"/>
          <w:sz w:val="32"/>
          <w:szCs w:val="32"/>
        </w:rPr>
        <w:t>29.卫生健康支出（类）计划生育事务（款）其他计划生育事务支出（项）:指其他用于计划生育管理事务方面的支出。</w:t>
      </w:r>
    </w:p>
    <w:p>
      <w:pPr>
        <w:spacing w:line="600" w:lineRule="exact"/>
        <w:ind w:firstLine="640" w:firstLineChars="200"/>
        <w:jc w:val="left"/>
        <w:outlineLvl w:val="0"/>
        <w:rPr>
          <w:rFonts w:ascii="仿宋" w:hAnsi="仿宋" w:eastAsia="仿宋" w:cs="仿宋"/>
          <w:sz w:val="32"/>
          <w:szCs w:val="32"/>
        </w:rPr>
      </w:pPr>
      <w:r>
        <w:rPr>
          <w:rFonts w:hint="eastAsia" w:ascii="仿宋" w:hAnsi="仿宋" w:eastAsia="仿宋" w:cs="仿宋"/>
          <w:sz w:val="32"/>
          <w:szCs w:val="32"/>
        </w:rPr>
        <w:t>30.卫生健康支出（类）食品和药品监督管理事务（款）行政运行（项）:指行政单位（包括实行公务员管理的事业单位）的基本支出。</w:t>
      </w:r>
    </w:p>
    <w:p>
      <w:pPr>
        <w:spacing w:line="600" w:lineRule="exact"/>
        <w:ind w:firstLine="640" w:firstLineChars="200"/>
        <w:jc w:val="left"/>
        <w:outlineLvl w:val="0"/>
        <w:rPr>
          <w:rFonts w:ascii="仿宋" w:hAnsi="仿宋" w:eastAsia="仿宋" w:cs="仿宋"/>
          <w:sz w:val="32"/>
          <w:szCs w:val="32"/>
        </w:rPr>
      </w:pPr>
      <w:r>
        <w:rPr>
          <w:rFonts w:hint="eastAsia" w:ascii="仿宋" w:hAnsi="仿宋" w:eastAsia="仿宋" w:cs="仿宋"/>
          <w:sz w:val="32"/>
          <w:szCs w:val="32"/>
        </w:rPr>
        <w:t>31.卫生健康支出（类）行政事业单位医疗（款）  行政单位医疗（项）:指财政部门集中安排的行政单位医疗保险缴费经费，未参加医疗保险的行政单位的公费医疗经费，按国家规定享受离休人员、红军老战士待遇人员的医疗经费。</w:t>
      </w:r>
    </w:p>
    <w:p>
      <w:pPr>
        <w:spacing w:line="600" w:lineRule="exact"/>
        <w:ind w:firstLine="640" w:firstLineChars="200"/>
        <w:jc w:val="left"/>
        <w:outlineLvl w:val="0"/>
        <w:rPr>
          <w:rFonts w:ascii="仿宋" w:hAnsi="仿宋" w:eastAsia="仿宋" w:cs="仿宋"/>
          <w:sz w:val="32"/>
          <w:szCs w:val="32"/>
        </w:rPr>
      </w:pPr>
      <w:r>
        <w:rPr>
          <w:rFonts w:hint="eastAsia" w:ascii="仿宋" w:hAnsi="仿宋" w:eastAsia="仿宋" w:cs="仿宋"/>
          <w:sz w:val="32"/>
          <w:szCs w:val="32"/>
        </w:rPr>
        <w:t>32.卫生健康支出（类）行政事业单位医疗（款）  事业单位医疗（项）:指财政部门集中安排的事业单位医疗保险缴费经费，未参加医疗保险的事业单位的公费医疗经费，按国家规定享受离休人员待遇的医疗经费。</w:t>
      </w:r>
    </w:p>
    <w:p>
      <w:pPr>
        <w:spacing w:line="600" w:lineRule="exact"/>
        <w:ind w:firstLine="640" w:firstLineChars="200"/>
        <w:jc w:val="left"/>
        <w:outlineLvl w:val="0"/>
        <w:rPr>
          <w:rFonts w:ascii="仿宋" w:hAnsi="仿宋" w:eastAsia="仿宋" w:cs="仿宋"/>
          <w:sz w:val="32"/>
          <w:szCs w:val="32"/>
        </w:rPr>
      </w:pPr>
      <w:r>
        <w:rPr>
          <w:rFonts w:hint="eastAsia" w:ascii="仿宋" w:hAnsi="仿宋" w:eastAsia="仿宋" w:cs="仿宋"/>
          <w:sz w:val="32"/>
          <w:szCs w:val="32"/>
        </w:rPr>
        <w:t>33.卫生健康支出（类）行政事业单位医疗（款）   其他行政事业单位医疗支出（项）:指其他用于行政事业单位医疗方面的支出。</w:t>
      </w:r>
    </w:p>
    <w:p>
      <w:pPr>
        <w:spacing w:line="600" w:lineRule="exact"/>
        <w:ind w:firstLine="640" w:firstLineChars="200"/>
        <w:jc w:val="left"/>
        <w:outlineLvl w:val="0"/>
        <w:rPr>
          <w:rFonts w:ascii="仿宋" w:hAnsi="仿宋" w:eastAsia="仿宋" w:cs="仿宋"/>
          <w:sz w:val="32"/>
          <w:szCs w:val="32"/>
        </w:rPr>
      </w:pPr>
      <w:r>
        <w:rPr>
          <w:rFonts w:hint="eastAsia" w:ascii="仿宋" w:hAnsi="仿宋" w:eastAsia="仿宋" w:cs="仿宋"/>
          <w:sz w:val="32"/>
          <w:szCs w:val="32"/>
        </w:rPr>
        <w:t>34.卫生健康支出（类）其他医疗卫生与计划生育支出（款）其他医疗卫生与计划生育支出（项）:指其他用于医疗卫生与计划生育方面的支出。</w:t>
      </w:r>
    </w:p>
    <w:p>
      <w:pPr>
        <w:spacing w:line="600" w:lineRule="exact"/>
        <w:ind w:firstLine="640" w:firstLineChars="200"/>
        <w:jc w:val="left"/>
        <w:outlineLvl w:val="0"/>
        <w:rPr>
          <w:rFonts w:ascii="仿宋" w:hAnsi="仿宋" w:eastAsia="仿宋" w:cs="仿宋"/>
          <w:sz w:val="32"/>
          <w:szCs w:val="32"/>
        </w:rPr>
      </w:pPr>
      <w:r>
        <w:rPr>
          <w:rFonts w:hint="eastAsia" w:ascii="仿宋" w:hAnsi="仿宋" w:eastAsia="仿宋" w:cs="仿宋"/>
          <w:sz w:val="32"/>
          <w:szCs w:val="32"/>
        </w:rPr>
        <w:t>35.农林水支出（类）扶贫（款）其他扶贫支出（项）:指其他用于扶贫方面的支出。</w:t>
      </w:r>
    </w:p>
    <w:p>
      <w:pPr>
        <w:spacing w:line="600" w:lineRule="exact"/>
        <w:ind w:firstLine="640" w:firstLineChars="200"/>
        <w:jc w:val="left"/>
        <w:outlineLvl w:val="0"/>
        <w:rPr>
          <w:rFonts w:ascii="仿宋" w:hAnsi="仿宋" w:eastAsia="仿宋" w:cs="仿宋"/>
          <w:sz w:val="32"/>
          <w:szCs w:val="32"/>
        </w:rPr>
      </w:pPr>
      <w:r>
        <w:rPr>
          <w:rFonts w:hint="eastAsia" w:ascii="仿宋" w:hAnsi="仿宋" w:eastAsia="仿宋" w:cs="仿宋"/>
          <w:sz w:val="32"/>
          <w:szCs w:val="32"/>
        </w:rPr>
        <w:t>36.住房保障支出（类）住房改革支出（款）住房公积金（项）:指行政事业单位按人力资源和社会保障部、财政部规定的基本工资和津贴补贴以及规定比例为职工缴纳的住房公积金。</w:t>
      </w:r>
    </w:p>
    <w:p>
      <w:pPr>
        <w:spacing w:line="600" w:lineRule="exact"/>
        <w:ind w:firstLine="640" w:firstLineChars="200"/>
        <w:jc w:val="left"/>
        <w:outlineLvl w:val="0"/>
        <w:rPr>
          <w:rFonts w:ascii="仿宋" w:hAnsi="仿宋" w:eastAsia="仿宋" w:cs="仿宋"/>
          <w:sz w:val="32"/>
          <w:szCs w:val="32"/>
        </w:rPr>
      </w:pPr>
      <w:r>
        <w:rPr>
          <w:rFonts w:hint="eastAsia" w:ascii="仿宋" w:hAnsi="仿宋" w:eastAsia="仿宋" w:cs="仿宋"/>
          <w:sz w:val="32"/>
          <w:szCs w:val="32"/>
        </w:rPr>
        <w:t>37.基本支出：指为保障机构正常运转、完成日常工作任务而发生的人员支出和公用支出。</w:t>
      </w:r>
    </w:p>
    <w:p>
      <w:pPr>
        <w:spacing w:line="600" w:lineRule="exact"/>
        <w:ind w:firstLine="640" w:firstLineChars="200"/>
        <w:jc w:val="left"/>
        <w:outlineLvl w:val="0"/>
        <w:rPr>
          <w:rFonts w:ascii="仿宋" w:hAnsi="仿宋" w:eastAsia="仿宋" w:cs="仿宋"/>
          <w:sz w:val="32"/>
          <w:szCs w:val="32"/>
        </w:rPr>
      </w:pPr>
      <w:r>
        <w:rPr>
          <w:rFonts w:hint="eastAsia" w:ascii="仿宋" w:hAnsi="仿宋" w:eastAsia="仿宋" w:cs="仿宋"/>
          <w:sz w:val="32"/>
          <w:szCs w:val="32"/>
        </w:rPr>
        <w:t>38.项目支出：指在基本支出之外为完成特定行政任务和事业发展目标所发生的支出。</w:t>
      </w:r>
    </w:p>
    <w:p>
      <w:pPr>
        <w:spacing w:line="600" w:lineRule="exact"/>
        <w:ind w:firstLine="640" w:firstLineChars="200"/>
        <w:jc w:val="left"/>
        <w:outlineLvl w:val="0"/>
        <w:rPr>
          <w:rFonts w:ascii="仿宋" w:hAnsi="仿宋" w:eastAsia="仿宋" w:cs="仿宋"/>
          <w:sz w:val="32"/>
          <w:szCs w:val="32"/>
        </w:rPr>
      </w:pPr>
      <w:r>
        <w:rPr>
          <w:rFonts w:hint="eastAsia" w:ascii="仿宋" w:hAnsi="仿宋" w:eastAsia="仿宋" w:cs="仿宋"/>
          <w:sz w:val="32"/>
          <w:szCs w:val="32"/>
        </w:rPr>
        <w:t>39.经营支出：指事业单位在专业业务活动及其辅助活动之外开展非独立核算经营活动发生的支出。</w:t>
      </w:r>
    </w:p>
    <w:p>
      <w:pPr>
        <w:spacing w:line="600" w:lineRule="exact"/>
        <w:ind w:firstLine="640" w:firstLineChars="200"/>
        <w:jc w:val="left"/>
        <w:outlineLvl w:val="0"/>
        <w:rPr>
          <w:rFonts w:ascii="仿宋" w:hAnsi="仿宋" w:eastAsia="仿宋" w:cs="仿宋"/>
          <w:sz w:val="32"/>
          <w:szCs w:val="32"/>
        </w:rPr>
      </w:pPr>
      <w:r>
        <w:rPr>
          <w:rFonts w:hint="eastAsia" w:ascii="仿宋" w:hAnsi="仿宋" w:eastAsia="仿宋" w:cs="仿宋"/>
          <w:sz w:val="32"/>
          <w:szCs w:val="32"/>
        </w:rPr>
        <w:t>40.“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ind w:firstLine="640" w:firstLineChars="200"/>
        <w:jc w:val="left"/>
        <w:outlineLvl w:val="0"/>
        <w:rPr>
          <w:rFonts w:ascii="仿宋" w:hAnsi="仿宋" w:eastAsia="仿宋" w:cs="仿宋"/>
          <w:sz w:val="32"/>
          <w:szCs w:val="32"/>
        </w:rPr>
      </w:pPr>
      <w:r>
        <w:rPr>
          <w:rFonts w:hint="eastAsia" w:ascii="仿宋" w:hAnsi="仿宋" w:eastAsia="仿宋" w:cs="仿宋"/>
          <w:sz w:val="32"/>
          <w:szCs w:val="32"/>
        </w:rPr>
        <w:t>41.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8"/>
          <w:rFonts w:ascii="黑体" w:hAnsi="黑体" w:eastAsia="黑体"/>
          <w:b w:val="0"/>
        </w:rPr>
      </w:pPr>
      <w:r>
        <w:br w:type="page"/>
      </w:r>
      <w:bookmarkStart w:id="89" w:name="_Toc15396614"/>
      <w:bookmarkStart w:id="90" w:name="_Toc25183"/>
      <w:r>
        <w:rPr>
          <w:rFonts w:hint="eastAsia" w:ascii="黑体" w:hAnsi="黑体" w:eastAsia="黑体"/>
          <w:sz w:val="44"/>
          <w:szCs w:val="44"/>
        </w:rPr>
        <w:t>第</w:t>
      </w:r>
      <w:r>
        <w:rPr>
          <w:rStyle w:val="28"/>
          <w:rFonts w:hint="eastAsia" w:ascii="黑体" w:hAnsi="黑体" w:eastAsia="黑体"/>
          <w:b w:val="0"/>
        </w:rPr>
        <w:t>四部分 附件</w:t>
      </w:r>
      <w:bookmarkEnd w:id="89"/>
      <w:bookmarkEnd w:id="90"/>
    </w:p>
    <w:p>
      <w:pPr>
        <w:spacing w:line="572" w:lineRule="exact"/>
        <w:jc w:val="left"/>
        <w:outlineLvl w:val="0"/>
        <w:rPr>
          <w:rFonts w:ascii="仿宋_GB2312" w:hAnsi="仿宋_GB2312" w:eastAsia="黑体" w:cs="仿宋_GB2312"/>
          <w:sz w:val="32"/>
          <w:szCs w:val="32"/>
        </w:rPr>
      </w:pPr>
      <w:bookmarkStart w:id="91" w:name="_Toc24593"/>
      <w:r>
        <w:rPr>
          <w:rFonts w:hint="eastAsia" w:ascii="黑体" w:hAnsi="黑体" w:eastAsia="黑体" w:cs="黑体"/>
          <w:sz w:val="32"/>
          <w:szCs w:val="32"/>
        </w:rPr>
        <w:t>附件1</w:t>
      </w:r>
      <w:bookmarkEnd w:id="91"/>
    </w:p>
    <w:tbl>
      <w:tblPr>
        <w:tblStyle w:val="5"/>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805"/>
        <w:gridCol w:w="1233"/>
        <w:gridCol w:w="1317"/>
        <w:gridCol w:w="1633"/>
        <w:gridCol w:w="1178"/>
        <w:gridCol w:w="2409"/>
        <w:gridCol w:w="236"/>
      </w:tblGrid>
      <w:tr>
        <w:tblPrEx>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widowControl/>
              <w:jc w:val="center"/>
              <w:textAlignment w:val="center"/>
              <w:rPr>
                <w:rFonts w:ascii="宋体" w:hAnsi="宋体" w:cs="宋体"/>
                <w:b/>
                <w:sz w:val="32"/>
                <w:szCs w:val="32"/>
              </w:rPr>
            </w:pPr>
            <w:bookmarkStart w:id="92" w:name="_Toc15396618"/>
            <w:bookmarkStart w:id="93" w:name="_Toc31834"/>
            <w:r>
              <w:rPr>
                <w:rFonts w:hint="eastAsia" w:ascii="宋体" w:hAnsi="宋体" w:cs="宋体"/>
                <w:b/>
                <w:sz w:val="32"/>
                <w:szCs w:val="32"/>
              </w:rPr>
              <w:t>2021年整体支出预算绩效目标自评</w:t>
            </w:r>
          </w:p>
        </w:tc>
        <w:tc>
          <w:tcPr>
            <w:tcW w:w="234"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rPr>
            </w:pPr>
          </w:p>
        </w:tc>
      </w:tr>
      <w:tr>
        <w:tblPrEx>
          <w:tblCellMar>
            <w:top w:w="0" w:type="dxa"/>
            <w:left w:w="108" w:type="dxa"/>
            <w:bottom w:w="0" w:type="dxa"/>
            <w:right w:w="108" w:type="dxa"/>
          </w:tblCellMar>
        </w:tblPrEx>
        <w:trPr>
          <w:gridAfter w:val="1"/>
          <w:wAfter w:w="234" w:type="dxa"/>
          <w:trHeight w:val="254" w:hRule="atLeast"/>
        </w:trPr>
        <w:tc>
          <w:tcPr>
            <w:tcW w:w="30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sz w:val="24"/>
              </w:rPr>
            </w:pPr>
            <w:r>
              <w:rPr>
                <w:rFonts w:hint="eastAsia" w:ascii="仿宋" w:hAnsi="仿宋" w:eastAsia="仿宋" w:cs="仿宋"/>
                <w:kern w:val="0"/>
                <w:sz w:val="24"/>
              </w:rPr>
              <w:t>主管部门及代码</w:t>
            </w:r>
          </w:p>
        </w:tc>
        <w:tc>
          <w:tcPr>
            <w:tcW w:w="29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sz w:val="24"/>
              </w:rPr>
            </w:pPr>
            <w:r>
              <w:rPr>
                <w:rFonts w:hint="eastAsia" w:ascii="仿宋" w:hAnsi="仿宋" w:eastAsia="仿宋" w:cs="仿宋"/>
                <w:sz w:val="24"/>
              </w:rPr>
              <w:t>通江县卫健局</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sz w:val="24"/>
              </w:rPr>
            </w:pPr>
            <w:r>
              <w:rPr>
                <w:rFonts w:hint="eastAsia" w:ascii="仿宋" w:hAnsi="仿宋" w:eastAsia="仿宋" w:cs="仿宋"/>
                <w:kern w:val="0"/>
                <w:sz w:val="24"/>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sz w:val="24"/>
              </w:rPr>
            </w:pPr>
            <w:r>
              <w:rPr>
                <w:rFonts w:hint="eastAsia" w:ascii="仿宋" w:hAnsi="仿宋" w:eastAsia="仿宋" w:cs="仿宋"/>
                <w:sz w:val="24"/>
              </w:rPr>
              <w:t>通江县三溪镇卫生院</w:t>
            </w:r>
          </w:p>
        </w:tc>
      </w:tr>
      <w:tr>
        <w:tblPrEx>
          <w:tblCellMar>
            <w:top w:w="0" w:type="dxa"/>
            <w:left w:w="108" w:type="dxa"/>
            <w:bottom w:w="0" w:type="dxa"/>
            <w:right w:w="108" w:type="dxa"/>
          </w:tblCellMar>
        </w:tblPrEx>
        <w:trPr>
          <w:gridAfter w:val="1"/>
          <w:wAfter w:w="234" w:type="dxa"/>
          <w:trHeight w:val="341" w:hRule="atLeast"/>
        </w:trPr>
        <w:tc>
          <w:tcPr>
            <w:tcW w:w="303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sz w:val="24"/>
              </w:rPr>
            </w:pPr>
            <w:r>
              <w:rPr>
                <w:rFonts w:hint="eastAsia" w:ascii="仿宋" w:hAnsi="仿宋" w:eastAsia="仿宋" w:cs="仿宋"/>
                <w:kern w:val="0"/>
                <w:sz w:val="24"/>
              </w:rPr>
              <w:t>整体预算</w:t>
            </w:r>
            <w:r>
              <w:rPr>
                <w:rFonts w:hint="eastAsia" w:ascii="仿宋" w:hAnsi="仿宋" w:eastAsia="仿宋" w:cs="仿宋"/>
                <w:kern w:val="0"/>
                <w:sz w:val="24"/>
              </w:rPr>
              <w:br w:type="textWrapping"/>
            </w:r>
            <w:r>
              <w:rPr>
                <w:rFonts w:hint="eastAsia" w:ascii="仿宋" w:hAnsi="仿宋" w:eastAsia="仿宋" w:cs="仿宋"/>
                <w:kern w:val="0"/>
                <w:sz w:val="24"/>
              </w:rPr>
              <w:t>执行情况</w:t>
            </w:r>
            <w:r>
              <w:rPr>
                <w:rFonts w:hint="eastAsia" w:ascii="仿宋" w:hAnsi="仿宋" w:eastAsia="仿宋" w:cs="仿宋"/>
                <w:kern w:val="0"/>
                <w:sz w:val="24"/>
              </w:rPr>
              <w:br w:type="textWrapping"/>
            </w:r>
            <w:r>
              <w:rPr>
                <w:rFonts w:hint="eastAsia" w:ascii="仿宋" w:hAnsi="仿宋" w:eastAsia="仿宋" w:cs="仿宋"/>
                <w:kern w:val="0"/>
                <w:sz w:val="24"/>
              </w:rPr>
              <w:t>（万元）</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sz w:val="24"/>
              </w:rPr>
            </w:pPr>
            <w:r>
              <w:rPr>
                <w:rFonts w:hint="eastAsia" w:ascii="仿宋" w:hAnsi="仿宋" w:eastAsia="仿宋" w:cs="仿宋"/>
                <w:kern w:val="0"/>
                <w:sz w:val="24"/>
              </w:rPr>
              <w:t>预算数：</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sz w:val="24"/>
              </w:rPr>
            </w:pPr>
            <w:r>
              <w:rPr>
                <w:rFonts w:hint="eastAsia" w:ascii="仿宋" w:hAnsi="仿宋" w:eastAsia="仿宋" w:cs="仿宋"/>
                <w:sz w:val="24"/>
              </w:rPr>
              <w:t>346.72</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sz w:val="24"/>
              </w:rPr>
            </w:pPr>
            <w:r>
              <w:rPr>
                <w:rFonts w:hint="eastAsia" w:ascii="仿宋" w:hAnsi="仿宋" w:eastAsia="仿宋" w:cs="仿宋"/>
                <w:kern w:val="0"/>
                <w:sz w:val="24"/>
              </w:rPr>
              <w:t>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sz w:val="24"/>
              </w:rPr>
            </w:pPr>
            <w:r>
              <w:rPr>
                <w:rFonts w:hint="eastAsia" w:ascii="仿宋" w:hAnsi="仿宋" w:eastAsia="仿宋" w:cs="仿宋"/>
                <w:sz w:val="24"/>
              </w:rPr>
              <w:t>346.72</w:t>
            </w:r>
          </w:p>
        </w:tc>
      </w:tr>
      <w:tr>
        <w:tblPrEx>
          <w:tblCellMar>
            <w:top w:w="0" w:type="dxa"/>
            <w:left w:w="108" w:type="dxa"/>
            <w:bottom w:w="0" w:type="dxa"/>
            <w:right w:w="108" w:type="dxa"/>
          </w:tblCellMar>
        </w:tblPrEx>
        <w:trPr>
          <w:gridAfter w:val="1"/>
          <w:wAfter w:w="234" w:type="dxa"/>
          <w:trHeight w:val="555" w:hRule="atLeast"/>
        </w:trPr>
        <w:tc>
          <w:tcPr>
            <w:tcW w:w="303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4"/>
              </w:rPr>
            </w:pP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kern w:val="0"/>
                <w:sz w:val="24"/>
              </w:rPr>
            </w:pPr>
            <w:r>
              <w:rPr>
                <w:rFonts w:hint="eastAsia" w:ascii="仿宋" w:hAnsi="仿宋" w:eastAsia="仿宋" w:cs="仿宋"/>
                <w:kern w:val="0"/>
                <w:sz w:val="24"/>
              </w:rPr>
              <w:t>其中：</w:t>
            </w:r>
          </w:p>
          <w:p>
            <w:pPr>
              <w:widowControl/>
              <w:spacing w:line="320" w:lineRule="exact"/>
              <w:jc w:val="center"/>
              <w:textAlignment w:val="center"/>
              <w:rPr>
                <w:rFonts w:ascii="仿宋" w:hAnsi="仿宋" w:eastAsia="仿宋" w:cs="仿宋"/>
                <w:sz w:val="24"/>
              </w:rPr>
            </w:pPr>
            <w:r>
              <w:rPr>
                <w:rFonts w:hint="eastAsia" w:ascii="仿宋" w:hAnsi="仿宋" w:eastAsia="仿宋" w:cs="仿宋"/>
                <w:kern w:val="0"/>
                <w:sz w:val="24"/>
              </w:rPr>
              <w:t>财政拨款</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sz w:val="24"/>
              </w:rPr>
              <w:t>346.72</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kern w:val="0"/>
                <w:sz w:val="24"/>
              </w:rPr>
            </w:pPr>
            <w:r>
              <w:rPr>
                <w:rFonts w:hint="eastAsia" w:ascii="仿宋" w:hAnsi="仿宋" w:eastAsia="仿宋" w:cs="仿宋"/>
                <w:kern w:val="0"/>
                <w:sz w:val="24"/>
              </w:rPr>
              <w:t>其中：</w:t>
            </w:r>
          </w:p>
          <w:p>
            <w:pPr>
              <w:widowControl/>
              <w:spacing w:line="320" w:lineRule="exact"/>
              <w:jc w:val="center"/>
              <w:textAlignment w:val="center"/>
              <w:rPr>
                <w:rFonts w:ascii="仿宋" w:hAnsi="仿宋" w:eastAsia="仿宋" w:cs="仿宋"/>
                <w:sz w:val="24"/>
              </w:rPr>
            </w:pPr>
            <w:r>
              <w:rPr>
                <w:rFonts w:hint="eastAsia" w:ascii="仿宋" w:hAnsi="仿宋" w:eastAsia="仿宋" w:cs="仿宋"/>
                <w:kern w:val="0"/>
                <w:sz w:val="24"/>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sz w:val="24"/>
              </w:rPr>
            </w:pPr>
            <w:r>
              <w:rPr>
                <w:rFonts w:hint="eastAsia" w:ascii="仿宋" w:hAnsi="仿宋" w:eastAsia="仿宋" w:cs="仿宋"/>
                <w:sz w:val="24"/>
              </w:rPr>
              <w:t>346.72</w:t>
            </w:r>
          </w:p>
        </w:tc>
      </w:tr>
      <w:tr>
        <w:tblPrEx>
          <w:tblCellMar>
            <w:top w:w="0" w:type="dxa"/>
            <w:left w:w="108" w:type="dxa"/>
            <w:bottom w:w="0" w:type="dxa"/>
            <w:right w:w="108" w:type="dxa"/>
          </w:tblCellMar>
        </w:tblPrEx>
        <w:trPr>
          <w:gridAfter w:val="1"/>
          <w:wAfter w:w="234" w:type="dxa"/>
          <w:trHeight w:val="341" w:hRule="atLeast"/>
        </w:trPr>
        <w:tc>
          <w:tcPr>
            <w:tcW w:w="303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4"/>
              </w:rPr>
            </w:pP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sz w:val="24"/>
              </w:rPr>
            </w:pPr>
            <w:r>
              <w:rPr>
                <w:rFonts w:hint="eastAsia" w:ascii="仿宋" w:hAnsi="仿宋" w:eastAsia="仿宋" w:cs="仿宋"/>
                <w:kern w:val="0"/>
                <w:sz w:val="24"/>
              </w:rPr>
              <w:t>其他资金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sz w:val="24"/>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sz w:val="24"/>
              </w:rPr>
            </w:pPr>
            <w:r>
              <w:rPr>
                <w:rFonts w:hint="eastAsia" w:ascii="仿宋" w:hAnsi="仿宋" w:eastAsia="仿宋" w:cs="仿宋"/>
                <w:kern w:val="0"/>
                <w:sz w:val="24"/>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sz w:val="24"/>
              </w:rPr>
            </w:pPr>
          </w:p>
        </w:tc>
      </w:tr>
      <w:tr>
        <w:tblPrEx>
          <w:tblCellMar>
            <w:top w:w="0" w:type="dxa"/>
            <w:left w:w="108" w:type="dxa"/>
            <w:bottom w:w="0" w:type="dxa"/>
            <w:right w:w="108" w:type="dxa"/>
          </w:tblCellMar>
        </w:tblPrEx>
        <w:trPr>
          <w:gridAfter w:val="1"/>
          <w:wAfter w:w="234" w:type="dxa"/>
          <w:trHeight w:val="217" w:hRule="atLeast"/>
        </w:trPr>
        <w:tc>
          <w:tcPr>
            <w:tcW w:w="18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kern w:val="0"/>
                <w:sz w:val="24"/>
              </w:rPr>
            </w:pPr>
            <w:r>
              <w:rPr>
                <w:rFonts w:hint="eastAsia" w:ascii="仿宋" w:hAnsi="仿宋" w:eastAsia="仿宋" w:cs="仿宋"/>
                <w:kern w:val="0"/>
                <w:sz w:val="24"/>
              </w:rPr>
              <w:t>年度总体目标</w:t>
            </w:r>
          </w:p>
          <w:p>
            <w:pPr>
              <w:widowControl/>
              <w:spacing w:line="320" w:lineRule="exact"/>
              <w:jc w:val="center"/>
              <w:textAlignment w:val="center"/>
              <w:rPr>
                <w:rFonts w:ascii="仿宋" w:hAnsi="仿宋" w:eastAsia="仿宋" w:cs="仿宋"/>
                <w:sz w:val="24"/>
              </w:rPr>
            </w:pPr>
            <w:r>
              <w:rPr>
                <w:rFonts w:hint="eastAsia" w:ascii="仿宋" w:hAnsi="仿宋" w:eastAsia="仿宋" w:cs="仿宋"/>
                <w:kern w:val="0"/>
                <w:sz w:val="24"/>
              </w:rPr>
              <w:t>完成情况</w:t>
            </w:r>
          </w:p>
        </w:tc>
        <w:tc>
          <w:tcPr>
            <w:tcW w:w="41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sz w:val="24"/>
              </w:rPr>
            </w:pPr>
            <w:r>
              <w:rPr>
                <w:rFonts w:hint="eastAsia" w:ascii="仿宋" w:hAnsi="仿宋" w:eastAsia="仿宋" w:cs="仿宋"/>
                <w:kern w:val="0"/>
                <w:sz w:val="24"/>
              </w:rPr>
              <w:t>预期目标</w:t>
            </w:r>
          </w:p>
        </w:tc>
        <w:tc>
          <w:tcPr>
            <w:tcW w:w="35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sz w:val="24"/>
              </w:rPr>
            </w:pPr>
            <w:r>
              <w:rPr>
                <w:rFonts w:hint="eastAsia" w:ascii="仿宋" w:hAnsi="仿宋" w:eastAsia="仿宋" w:cs="仿宋"/>
                <w:kern w:val="0"/>
                <w:sz w:val="24"/>
              </w:rPr>
              <w:t>目标实际完成情况</w:t>
            </w:r>
          </w:p>
        </w:tc>
      </w:tr>
      <w:tr>
        <w:tblPrEx>
          <w:tblCellMar>
            <w:top w:w="0" w:type="dxa"/>
            <w:left w:w="108" w:type="dxa"/>
            <w:bottom w:w="0" w:type="dxa"/>
            <w:right w:w="108" w:type="dxa"/>
          </w:tblCellMar>
        </w:tblPrEx>
        <w:trPr>
          <w:gridAfter w:val="1"/>
          <w:wAfter w:w="234" w:type="dxa"/>
          <w:trHeight w:val="797" w:hRule="atLeast"/>
        </w:trPr>
        <w:tc>
          <w:tcPr>
            <w:tcW w:w="18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4"/>
              </w:rPr>
            </w:pPr>
          </w:p>
        </w:tc>
        <w:tc>
          <w:tcPr>
            <w:tcW w:w="4183"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仿宋" w:hAnsi="仿宋" w:eastAsia="仿宋" w:cs="仿宋"/>
                <w:sz w:val="24"/>
              </w:rPr>
            </w:pPr>
            <w:r>
              <w:rPr>
                <w:rFonts w:hint="eastAsia" w:ascii="仿宋" w:hAnsi="仿宋" w:eastAsia="仿宋" w:cs="仿宋"/>
                <w:sz w:val="24"/>
              </w:rPr>
              <w:t>目标1：改善老百姓看病难看病贵的问题</w:t>
            </w:r>
            <w:r>
              <w:t>。</w:t>
            </w:r>
          </w:p>
          <w:p>
            <w:pPr>
              <w:widowControl/>
              <w:spacing w:line="320" w:lineRule="exact"/>
              <w:jc w:val="left"/>
              <w:textAlignment w:val="top"/>
              <w:rPr>
                <w:rFonts w:ascii="仿宋" w:hAnsi="仿宋" w:eastAsia="仿宋" w:cs="仿宋"/>
                <w:sz w:val="24"/>
              </w:rPr>
            </w:pPr>
            <w:r>
              <w:rPr>
                <w:rFonts w:hint="eastAsia" w:ascii="仿宋" w:hAnsi="仿宋" w:eastAsia="仿宋" w:cs="仿宋"/>
                <w:sz w:val="24"/>
              </w:rPr>
              <w:t>目标2：提升医疗服务能力</w:t>
            </w:r>
            <w:r>
              <w:t>。</w:t>
            </w:r>
          </w:p>
          <w:p>
            <w:pPr>
              <w:widowControl/>
              <w:spacing w:line="320" w:lineRule="exact"/>
              <w:jc w:val="left"/>
              <w:textAlignment w:val="top"/>
              <w:rPr>
                <w:rFonts w:ascii="仿宋" w:hAnsi="仿宋" w:eastAsia="仿宋" w:cs="仿宋"/>
                <w:sz w:val="24"/>
              </w:rPr>
            </w:pPr>
            <w:r>
              <w:rPr>
                <w:rFonts w:hint="eastAsia" w:ascii="仿宋" w:hAnsi="仿宋" w:eastAsia="仿宋" w:cs="仿宋"/>
                <w:sz w:val="24"/>
              </w:rPr>
              <w:t>目标3：实现财政资金全方位、全过程、全覆盖绩效管理，开展绩效监控和绩效评价</w:t>
            </w:r>
            <w:r>
              <w:t>。</w:t>
            </w:r>
          </w:p>
          <w:p>
            <w:pPr>
              <w:widowControl/>
              <w:spacing w:line="320" w:lineRule="exact"/>
              <w:jc w:val="left"/>
              <w:textAlignment w:val="top"/>
              <w:rPr>
                <w:rFonts w:ascii="仿宋" w:hAnsi="仿宋" w:eastAsia="仿宋" w:cs="仿宋"/>
                <w:sz w:val="24"/>
              </w:rPr>
            </w:pPr>
            <w:r>
              <w:rPr>
                <w:rFonts w:hint="eastAsia" w:ascii="仿宋" w:hAnsi="仿宋" w:eastAsia="仿宋" w:cs="仿宋"/>
                <w:sz w:val="24"/>
              </w:rPr>
              <w:t>目标4：顺利完成基本公共卫生服务工作</w:t>
            </w:r>
            <w:r>
              <w:t>。</w:t>
            </w:r>
          </w:p>
          <w:p>
            <w:pPr>
              <w:widowControl/>
              <w:spacing w:line="320" w:lineRule="exact"/>
              <w:jc w:val="left"/>
              <w:textAlignment w:val="top"/>
              <w:rPr>
                <w:rFonts w:ascii="仿宋" w:hAnsi="仿宋" w:eastAsia="仿宋" w:cs="仿宋"/>
                <w:sz w:val="24"/>
              </w:rPr>
            </w:pPr>
            <w:r>
              <w:rPr>
                <w:rFonts w:hint="eastAsia" w:ascii="仿宋" w:hAnsi="仿宋" w:eastAsia="仿宋" w:cs="仿宋"/>
                <w:sz w:val="24"/>
              </w:rPr>
              <w:t>目标5：驻村帮扶工作有序开展。</w:t>
            </w:r>
          </w:p>
        </w:tc>
        <w:tc>
          <w:tcPr>
            <w:tcW w:w="3588"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仿宋" w:hAnsi="仿宋" w:eastAsia="仿宋" w:cs="仿宋"/>
                <w:sz w:val="24"/>
              </w:rPr>
            </w:pPr>
            <w:r>
              <w:rPr>
                <w:rFonts w:hint="eastAsia" w:ascii="仿宋" w:hAnsi="仿宋" w:eastAsia="仿宋" w:cs="仿宋"/>
                <w:sz w:val="24"/>
              </w:rPr>
              <w:t>1.提升医疗服务质量，在医疗工作中必须严格地遵守各级各类规章制度，实行医疗质量自查制度</w:t>
            </w:r>
            <w:r>
              <w:t>。</w:t>
            </w:r>
          </w:p>
          <w:p>
            <w:pPr>
              <w:widowControl/>
              <w:spacing w:line="320" w:lineRule="exact"/>
              <w:jc w:val="left"/>
              <w:textAlignment w:val="top"/>
              <w:rPr>
                <w:rFonts w:ascii="仿宋" w:hAnsi="仿宋" w:eastAsia="仿宋" w:cs="仿宋"/>
                <w:sz w:val="24"/>
              </w:rPr>
            </w:pPr>
            <w:r>
              <w:rPr>
                <w:rFonts w:hint="eastAsia" w:ascii="仿宋" w:hAnsi="仿宋" w:eastAsia="仿宋" w:cs="仿宋"/>
                <w:sz w:val="24"/>
              </w:rPr>
              <w:t>2</w:t>
            </w:r>
            <w:r>
              <w:rPr>
                <w:rFonts w:hint="eastAsia" w:ascii="仿宋" w:hAnsi="仿宋" w:eastAsia="仿宋" w:cs="仿宋"/>
                <w:sz w:val="24"/>
                <w:u w:val="none" w:color="46CD7E"/>
                <w:shd w:val="clear" w:fill="auto"/>
                <w:lang w:eastAsia="zh-CN"/>
              </w:rPr>
              <w:t>.</w:t>
            </w:r>
            <w:r>
              <w:rPr>
                <w:rFonts w:hint="eastAsia" w:ascii="仿宋" w:hAnsi="仿宋" w:eastAsia="仿宋" w:cs="仿宋"/>
                <w:sz w:val="24"/>
              </w:rPr>
              <w:t>实行了全部西药、中成药、卫生材料零加成，减轻了老百姓看病贵的负担</w:t>
            </w:r>
            <w:r>
              <w:t>。</w:t>
            </w:r>
          </w:p>
          <w:p>
            <w:pPr>
              <w:widowControl/>
              <w:spacing w:line="320" w:lineRule="exact"/>
              <w:jc w:val="left"/>
              <w:textAlignment w:val="top"/>
              <w:rPr>
                <w:rFonts w:ascii="仿宋" w:hAnsi="仿宋" w:eastAsia="仿宋" w:cs="仿宋"/>
                <w:sz w:val="24"/>
              </w:rPr>
            </w:pPr>
            <w:r>
              <w:rPr>
                <w:rFonts w:hint="eastAsia" w:ascii="仿宋" w:hAnsi="仿宋" w:eastAsia="仿宋" w:cs="仿宋"/>
                <w:sz w:val="24"/>
              </w:rPr>
              <w:t>3</w:t>
            </w:r>
            <w:r>
              <w:rPr>
                <w:rFonts w:hint="eastAsia" w:ascii="仿宋" w:hAnsi="仿宋" w:eastAsia="仿宋" w:cs="仿宋"/>
                <w:sz w:val="24"/>
                <w:u w:val="none" w:color="46CD7E"/>
                <w:shd w:val="clear" w:fill="auto"/>
                <w:lang w:eastAsia="zh-CN"/>
              </w:rPr>
              <w:t>.</w:t>
            </w:r>
            <w:r>
              <w:rPr>
                <w:rFonts w:hint="eastAsia" w:ascii="仿宋" w:hAnsi="仿宋" w:eastAsia="仿宋" w:cs="仿宋"/>
                <w:sz w:val="24"/>
              </w:rPr>
              <w:t>改善了村卫生室工作环境，保障了乡村医生的日常工作经费</w:t>
            </w:r>
            <w:r>
              <w:t>。</w:t>
            </w:r>
          </w:p>
          <w:p>
            <w:pPr>
              <w:widowControl/>
              <w:spacing w:line="320" w:lineRule="exact"/>
              <w:jc w:val="left"/>
              <w:textAlignment w:val="top"/>
              <w:rPr>
                <w:rFonts w:ascii="仿宋" w:hAnsi="仿宋" w:eastAsia="仿宋" w:cs="仿宋"/>
                <w:sz w:val="24"/>
              </w:rPr>
            </w:pPr>
            <w:r>
              <w:rPr>
                <w:rFonts w:hint="eastAsia" w:ascii="仿宋" w:hAnsi="仿宋" w:eastAsia="仿宋" w:cs="仿宋"/>
                <w:sz w:val="24"/>
              </w:rPr>
              <w:t>4</w:t>
            </w:r>
            <w:r>
              <w:rPr>
                <w:rFonts w:hint="eastAsia" w:ascii="仿宋" w:hAnsi="仿宋" w:eastAsia="仿宋" w:cs="仿宋"/>
                <w:sz w:val="24"/>
                <w:u w:val="none" w:color="46CD7E"/>
                <w:shd w:val="clear" w:fill="auto"/>
                <w:lang w:eastAsia="zh-CN"/>
              </w:rPr>
              <w:t>.</w:t>
            </w:r>
            <w:r>
              <w:rPr>
                <w:rFonts w:hint="eastAsia" w:ascii="仿宋" w:hAnsi="仿宋" w:eastAsia="仿宋" w:cs="仿宋"/>
                <w:sz w:val="24"/>
              </w:rPr>
              <w:t>驻村工作经费按时按标准发放</w:t>
            </w:r>
            <w:r>
              <w:rPr>
                <w:rFonts w:hint="eastAsia" w:ascii="仿宋" w:hAnsi="仿宋" w:eastAsia="仿宋" w:cs="仿宋"/>
                <w:sz w:val="24"/>
                <w:u w:val="none" w:color="46CD7E"/>
                <w:shd w:val="clear" w:fill="auto"/>
                <w:lang w:eastAsia="zh-CN"/>
              </w:rPr>
              <w:t>给</w:t>
            </w:r>
            <w:r>
              <w:rPr>
                <w:rFonts w:hint="eastAsia" w:ascii="仿宋" w:hAnsi="仿宋" w:eastAsia="仿宋" w:cs="仿宋"/>
                <w:sz w:val="24"/>
              </w:rPr>
              <w:t>帮扶责任人，扶贫工作有序开展</w:t>
            </w:r>
            <w:r>
              <w:t>。</w:t>
            </w:r>
            <w:r>
              <w:rPr>
                <w:rFonts w:hint="eastAsia" w:ascii="仿宋" w:hAnsi="仿宋" w:eastAsia="仿宋" w:cs="仿宋"/>
                <w:sz w:val="24"/>
              </w:rPr>
              <w:t>5</w:t>
            </w:r>
            <w:r>
              <w:rPr>
                <w:rFonts w:hint="eastAsia" w:ascii="仿宋" w:hAnsi="仿宋" w:eastAsia="仿宋" w:cs="仿宋"/>
                <w:sz w:val="24"/>
                <w:u w:val="none" w:color="46CD7E"/>
                <w:shd w:val="clear" w:fill="auto"/>
                <w:lang w:eastAsia="zh-CN"/>
              </w:rPr>
              <w:t>.</w:t>
            </w:r>
            <w:r>
              <w:rPr>
                <w:rFonts w:hint="eastAsia" w:ascii="仿宋" w:hAnsi="仿宋" w:eastAsia="仿宋" w:cs="仿宋"/>
                <w:sz w:val="24"/>
              </w:rPr>
              <w:t>顺利完成2021年度基本公共卫生工作，兑现了6个村卫生室公共卫生补助资金，提高了群众的健康意识及满意度。</w:t>
            </w:r>
          </w:p>
        </w:tc>
      </w:tr>
      <w:tr>
        <w:tblPrEx>
          <w:tblCellMar>
            <w:top w:w="0" w:type="dxa"/>
            <w:left w:w="108" w:type="dxa"/>
            <w:bottom w:w="0" w:type="dxa"/>
            <w:right w:w="108" w:type="dxa"/>
          </w:tblCellMar>
        </w:tblPrEx>
        <w:trPr>
          <w:gridAfter w:val="1"/>
          <w:wAfter w:w="234" w:type="dxa"/>
          <w:trHeight w:val="693" w:hRule="atLeast"/>
        </w:trPr>
        <w:tc>
          <w:tcPr>
            <w:tcW w:w="1806"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sz w:val="24"/>
              </w:rPr>
            </w:pPr>
            <w:r>
              <w:rPr>
                <w:rFonts w:hint="eastAsia" w:ascii="仿宋" w:hAnsi="仿宋" w:eastAsia="仿宋" w:cs="仿宋"/>
                <w:kern w:val="0"/>
                <w:sz w:val="24"/>
              </w:rPr>
              <w:t>年度绩效指标完成情况</w:t>
            </w:r>
          </w:p>
        </w:tc>
        <w:tc>
          <w:tcPr>
            <w:tcW w:w="1233"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kern w:val="0"/>
                <w:sz w:val="24"/>
              </w:rPr>
            </w:pPr>
            <w:r>
              <w:rPr>
                <w:rFonts w:hint="eastAsia" w:ascii="仿宋" w:hAnsi="仿宋" w:eastAsia="仿宋" w:cs="仿宋"/>
                <w:kern w:val="0"/>
                <w:sz w:val="24"/>
              </w:rPr>
              <w:t>一级</w:t>
            </w:r>
          </w:p>
          <w:p>
            <w:pPr>
              <w:widowControl/>
              <w:spacing w:line="320" w:lineRule="exact"/>
              <w:jc w:val="center"/>
              <w:textAlignment w:val="center"/>
              <w:rPr>
                <w:rFonts w:ascii="仿宋" w:hAnsi="仿宋" w:eastAsia="仿宋" w:cs="仿宋"/>
                <w:sz w:val="24"/>
              </w:rPr>
            </w:pPr>
            <w:r>
              <w:rPr>
                <w:rFonts w:hint="eastAsia" w:ascii="仿宋" w:hAnsi="仿宋" w:eastAsia="仿宋" w:cs="仿宋"/>
                <w:kern w:val="0"/>
                <w:sz w:val="24"/>
              </w:rPr>
              <w:t>指标</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kern w:val="0"/>
                <w:sz w:val="24"/>
              </w:rPr>
            </w:pPr>
            <w:r>
              <w:rPr>
                <w:rFonts w:hint="eastAsia" w:ascii="仿宋" w:hAnsi="仿宋" w:eastAsia="仿宋" w:cs="仿宋"/>
                <w:kern w:val="0"/>
                <w:sz w:val="24"/>
              </w:rPr>
              <w:t>二级</w:t>
            </w:r>
          </w:p>
          <w:p>
            <w:pPr>
              <w:widowControl/>
              <w:spacing w:line="320" w:lineRule="exact"/>
              <w:jc w:val="center"/>
              <w:textAlignment w:val="center"/>
              <w:rPr>
                <w:rFonts w:ascii="仿宋" w:hAnsi="仿宋" w:eastAsia="仿宋" w:cs="仿宋"/>
                <w:sz w:val="24"/>
              </w:rPr>
            </w:pPr>
            <w:r>
              <w:rPr>
                <w:rFonts w:hint="eastAsia" w:ascii="仿宋" w:hAnsi="仿宋" w:eastAsia="仿宋" w:cs="仿宋"/>
                <w:kern w:val="0"/>
                <w:sz w:val="24"/>
              </w:rPr>
              <w:t>指标</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kern w:val="0"/>
                <w:sz w:val="24"/>
              </w:rPr>
            </w:pPr>
            <w:r>
              <w:rPr>
                <w:rFonts w:hint="eastAsia" w:ascii="仿宋" w:hAnsi="仿宋" w:eastAsia="仿宋" w:cs="仿宋"/>
                <w:kern w:val="0"/>
                <w:sz w:val="24"/>
              </w:rPr>
              <w:t>三级</w:t>
            </w:r>
          </w:p>
          <w:p>
            <w:pPr>
              <w:widowControl/>
              <w:spacing w:line="320" w:lineRule="exact"/>
              <w:jc w:val="center"/>
              <w:textAlignment w:val="center"/>
              <w:rPr>
                <w:rFonts w:ascii="仿宋" w:hAnsi="仿宋" w:eastAsia="仿宋" w:cs="仿宋"/>
                <w:sz w:val="24"/>
              </w:rPr>
            </w:pPr>
            <w:r>
              <w:rPr>
                <w:rFonts w:hint="eastAsia" w:ascii="仿宋" w:hAnsi="仿宋" w:eastAsia="仿宋" w:cs="仿宋"/>
                <w:kern w:val="0"/>
                <w:sz w:val="24"/>
              </w:rPr>
              <w:t>指标</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sz w:val="24"/>
              </w:rPr>
            </w:pPr>
            <w:r>
              <w:rPr>
                <w:rFonts w:hint="eastAsia" w:ascii="仿宋" w:hAnsi="仿宋" w:eastAsia="仿宋" w:cs="仿宋"/>
                <w:kern w:val="0"/>
                <w:sz w:val="24"/>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sz w:val="24"/>
              </w:rPr>
            </w:pPr>
            <w:r>
              <w:rPr>
                <w:rFonts w:hint="eastAsia" w:ascii="仿宋" w:hAnsi="仿宋" w:eastAsia="仿宋" w:cs="仿宋"/>
                <w:kern w:val="0"/>
                <w:sz w:val="24"/>
              </w:rPr>
              <w:t>实际完成指标值</w:t>
            </w:r>
          </w:p>
        </w:tc>
      </w:tr>
      <w:tr>
        <w:tblPrEx>
          <w:tblCellMar>
            <w:top w:w="0" w:type="dxa"/>
            <w:left w:w="108" w:type="dxa"/>
            <w:bottom w:w="0" w:type="dxa"/>
            <w:right w:w="108" w:type="dxa"/>
          </w:tblCellMar>
        </w:tblPrEx>
        <w:trPr>
          <w:gridAfter w:val="1"/>
          <w:wAfter w:w="234" w:type="dxa"/>
          <w:trHeight w:val="415" w:hRule="atLeast"/>
        </w:trPr>
        <w:tc>
          <w:tcPr>
            <w:tcW w:w="180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4"/>
              </w:rPr>
            </w:pPr>
          </w:p>
        </w:tc>
        <w:tc>
          <w:tcPr>
            <w:tcW w:w="12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4"/>
              </w:rPr>
            </w:pPr>
            <w:r>
              <w:rPr>
                <w:rFonts w:hint="eastAsia" w:ascii="仿宋" w:hAnsi="仿宋" w:eastAsia="仿宋" w:cs="仿宋"/>
                <w:kern w:val="0"/>
                <w:sz w:val="24"/>
              </w:rPr>
              <w:t>完成</w:t>
            </w:r>
          </w:p>
          <w:p>
            <w:pPr>
              <w:widowControl/>
              <w:spacing w:line="320" w:lineRule="exact"/>
              <w:jc w:val="center"/>
              <w:textAlignment w:val="bottom"/>
              <w:rPr>
                <w:rFonts w:ascii="仿宋" w:hAnsi="仿宋" w:eastAsia="仿宋" w:cs="仿宋"/>
                <w:sz w:val="24"/>
              </w:rPr>
            </w:pPr>
            <w:r>
              <w:rPr>
                <w:rFonts w:hint="eastAsia" w:ascii="仿宋" w:hAnsi="仿宋" w:eastAsia="仿宋" w:cs="仿宋"/>
                <w:kern w:val="0"/>
                <w:sz w:val="24"/>
              </w:rPr>
              <w:t>指标</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kern w:val="0"/>
                <w:sz w:val="24"/>
              </w:rPr>
              <w:t>数量指标</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驻村干部人数</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1人</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1人</w:t>
            </w:r>
          </w:p>
        </w:tc>
      </w:tr>
      <w:tr>
        <w:tblPrEx>
          <w:tblCellMar>
            <w:top w:w="0" w:type="dxa"/>
            <w:left w:w="108" w:type="dxa"/>
            <w:bottom w:w="0" w:type="dxa"/>
            <w:right w:w="108" w:type="dxa"/>
          </w:tblCellMar>
        </w:tblPrEx>
        <w:trPr>
          <w:gridAfter w:val="1"/>
          <w:wAfter w:w="234" w:type="dxa"/>
          <w:trHeight w:val="600" w:hRule="atLeast"/>
        </w:trPr>
        <w:tc>
          <w:tcPr>
            <w:tcW w:w="180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4"/>
              </w:rPr>
            </w:pPr>
          </w:p>
        </w:tc>
        <w:tc>
          <w:tcPr>
            <w:tcW w:w="1233"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 w:hAnsi="仿宋" w:eastAsia="仿宋" w:cs="仿宋"/>
                <w:sz w:val="24"/>
              </w:rPr>
            </w:pP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kern w:val="0"/>
                <w:sz w:val="24"/>
              </w:rPr>
            </w:pPr>
            <w:r>
              <w:rPr>
                <w:rFonts w:hint="eastAsia" w:ascii="仿宋" w:hAnsi="仿宋" w:eastAsia="仿宋" w:cs="仿宋"/>
                <w:kern w:val="0"/>
                <w:sz w:val="24"/>
              </w:rPr>
              <w:t>数量指标</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村卫生室工作有序开展</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6个</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6个</w:t>
            </w:r>
          </w:p>
        </w:tc>
      </w:tr>
      <w:tr>
        <w:tblPrEx>
          <w:tblCellMar>
            <w:top w:w="0" w:type="dxa"/>
            <w:left w:w="108" w:type="dxa"/>
            <w:bottom w:w="0" w:type="dxa"/>
            <w:right w:w="108" w:type="dxa"/>
          </w:tblCellMar>
        </w:tblPrEx>
        <w:trPr>
          <w:gridAfter w:val="1"/>
          <w:wAfter w:w="234" w:type="dxa"/>
          <w:trHeight w:val="415" w:hRule="atLeast"/>
        </w:trPr>
        <w:tc>
          <w:tcPr>
            <w:tcW w:w="180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4"/>
              </w:rPr>
            </w:pPr>
          </w:p>
        </w:tc>
        <w:tc>
          <w:tcPr>
            <w:tcW w:w="1233"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 w:hAnsi="仿宋" w:eastAsia="仿宋" w:cs="仿宋"/>
                <w:sz w:val="24"/>
              </w:rPr>
            </w:pP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kern w:val="0"/>
                <w:sz w:val="24"/>
              </w:rPr>
              <w:t>质量指标</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财拨在编人员经费发放率</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100%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100%</w:t>
            </w:r>
          </w:p>
        </w:tc>
      </w:tr>
      <w:tr>
        <w:tblPrEx>
          <w:tblCellMar>
            <w:top w:w="0" w:type="dxa"/>
            <w:left w:w="108" w:type="dxa"/>
            <w:bottom w:w="0" w:type="dxa"/>
            <w:right w:w="108" w:type="dxa"/>
          </w:tblCellMar>
        </w:tblPrEx>
        <w:trPr>
          <w:gridAfter w:val="1"/>
          <w:wAfter w:w="234" w:type="dxa"/>
          <w:trHeight w:val="415" w:hRule="atLeast"/>
        </w:trPr>
        <w:tc>
          <w:tcPr>
            <w:tcW w:w="180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4"/>
              </w:rPr>
            </w:pPr>
          </w:p>
        </w:tc>
        <w:tc>
          <w:tcPr>
            <w:tcW w:w="1233"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 w:hAnsi="仿宋" w:eastAsia="仿宋" w:cs="仿宋"/>
                <w:sz w:val="24"/>
              </w:rPr>
            </w:pP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kern w:val="0"/>
                <w:sz w:val="24"/>
              </w:rPr>
            </w:pPr>
            <w:r>
              <w:rPr>
                <w:rFonts w:hint="eastAsia" w:ascii="仿宋" w:hAnsi="仿宋" w:eastAsia="仿宋" w:cs="仿宋"/>
                <w:kern w:val="0"/>
                <w:sz w:val="24"/>
              </w:rPr>
              <w:t>质量指标</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基本药物补助/村卫生室资金及时拨付到位率</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100%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100%</w:t>
            </w:r>
          </w:p>
        </w:tc>
      </w:tr>
      <w:tr>
        <w:tblPrEx>
          <w:tblCellMar>
            <w:top w:w="0" w:type="dxa"/>
            <w:left w:w="108" w:type="dxa"/>
            <w:bottom w:w="0" w:type="dxa"/>
            <w:right w:w="108" w:type="dxa"/>
          </w:tblCellMar>
        </w:tblPrEx>
        <w:trPr>
          <w:gridAfter w:val="1"/>
          <w:wAfter w:w="234" w:type="dxa"/>
          <w:trHeight w:val="558" w:hRule="atLeast"/>
        </w:trPr>
        <w:tc>
          <w:tcPr>
            <w:tcW w:w="180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4"/>
              </w:rPr>
            </w:pPr>
          </w:p>
        </w:tc>
        <w:tc>
          <w:tcPr>
            <w:tcW w:w="1233"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 w:hAnsi="仿宋" w:eastAsia="仿宋" w:cs="仿宋"/>
                <w:sz w:val="24"/>
              </w:rPr>
            </w:pP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kern w:val="0"/>
                <w:sz w:val="24"/>
              </w:rPr>
            </w:pPr>
            <w:r>
              <w:rPr>
                <w:rFonts w:hint="eastAsia" w:ascii="仿宋" w:hAnsi="仿宋" w:eastAsia="仿宋" w:cs="仿宋"/>
                <w:kern w:val="0"/>
                <w:sz w:val="24"/>
              </w:rPr>
              <w:t>质量指标</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药品合格率</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100%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100%</w:t>
            </w:r>
          </w:p>
        </w:tc>
      </w:tr>
      <w:tr>
        <w:tblPrEx>
          <w:tblCellMar>
            <w:top w:w="0" w:type="dxa"/>
            <w:left w:w="108" w:type="dxa"/>
            <w:bottom w:w="0" w:type="dxa"/>
            <w:right w:w="108" w:type="dxa"/>
          </w:tblCellMar>
        </w:tblPrEx>
        <w:trPr>
          <w:gridAfter w:val="1"/>
          <w:wAfter w:w="234" w:type="dxa"/>
          <w:trHeight w:val="415" w:hRule="atLeast"/>
        </w:trPr>
        <w:tc>
          <w:tcPr>
            <w:tcW w:w="180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4"/>
              </w:rPr>
            </w:pPr>
          </w:p>
        </w:tc>
        <w:tc>
          <w:tcPr>
            <w:tcW w:w="1233"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 w:hAnsi="仿宋" w:eastAsia="仿宋" w:cs="仿宋"/>
                <w:sz w:val="24"/>
              </w:rPr>
            </w:pP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kern w:val="0"/>
                <w:sz w:val="24"/>
              </w:rPr>
              <w:t>时效指标</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村卫生公共卫生补助拨付到位情况时间</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2021年12月31日前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2021年12月31日前</w:t>
            </w:r>
          </w:p>
        </w:tc>
      </w:tr>
      <w:tr>
        <w:tblPrEx>
          <w:tblCellMar>
            <w:top w:w="0" w:type="dxa"/>
            <w:left w:w="108" w:type="dxa"/>
            <w:bottom w:w="0" w:type="dxa"/>
            <w:right w:w="108" w:type="dxa"/>
          </w:tblCellMar>
        </w:tblPrEx>
        <w:trPr>
          <w:gridAfter w:val="1"/>
          <w:wAfter w:w="234" w:type="dxa"/>
          <w:trHeight w:val="480" w:hRule="atLeast"/>
        </w:trPr>
        <w:tc>
          <w:tcPr>
            <w:tcW w:w="180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4"/>
              </w:rPr>
            </w:pPr>
          </w:p>
        </w:tc>
        <w:tc>
          <w:tcPr>
            <w:tcW w:w="1233"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 w:hAnsi="仿宋" w:eastAsia="仿宋" w:cs="仿宋"/>
                <w:sz w:val="24"/>
              </w:rPr>
            </w:pP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kern w:val="0"/>
                <w:sz w:val="24"/>
              </w:rPr>
            </w:pPr>
            <w:r>
              <w:rPr>
                <w:rFonts w:hint="eastAsia" w:ascii="仿宋" w:hAnsi="仿宋" w:eastAsia="仿宋" w:cs="仿宋"/>
                <w:kern w:val="0"/>
                <w:sz w:val="24"/>
              </w:rPr>
              <w:t>成本指标</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驻村帮扶工作经费</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1.25</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1.25</w:t>
            </w:r>
          </w:p>
        </w:tc>
      </w:tr>
      <w:tr>
        <w:tblPrEx>
          <w:tblCellMar>
            <w:top w:w="0" w:type="dxa"/>
            <w:left w:w="108" w:type="dxa"/>
            <w:bottom w:w="0" w:type="dxa"/>
            <w:right w:w="108" w:type="dxa"/>
          </w:tblCellMar>
        </w:tblPrEx>
        <w:trPr>
          <w:gridAfter w:val="1"/>
          <w:wAfter w:w="234" w:type="dxa"/>
          <w:trHeight w:val="480" w:hRule="atLeast"/>
        </w:trPr>
        <w:tc>
          <w:tcPr>
            <w:tcW w:w="180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4"/>
              </w:rPr>
            </w:pPr>
          </w:p>
        </w:tc>
        <w:tc>
          <w:tcPr>
            <w:tcW w:w="1233"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 w:hAnsi="仿宋" w:eastAsia="仿宋" w:cs="仿宋"/>
                <w:sz w:val="24"/>
              </w:rPr>
            </w:pP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kern w:val="0"/>
                <w:sz w:val="24"/>
              </w:rPr>
              <w:t>成本指标</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财政补助资金</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346.72</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346.72</w:t>
            </w:r>
          </w:p>
        </w:tc>
      </w:tr>
      <w:tr>
        <w:tblPrEx>
          <w:tblCellMar>
            <w:top w:w="0" w:type="dxa"/>
            <w:left w:w="108" w:type="dxa"/>
            <w:bottom w:w="0" w:type="dxa"/>
            <w:right w:w="108" w:type="dxa"/>
          </w:tblCellMar>
        </w:tblPrEx>
        <w:trPr>
          <w:gridAfter w:val="1"/>
          <w:wAfter w:w="234" w:type="dxa"/>
          <w:trHeight w:val="480" w:hRule="atLeast"/>
        </w:trPr>
        <w:tc>
          <w:tcPr>
            <w:tcW w:w="180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4"/>
              </w:rPr>
            </w:pPr>
          </w:p>
        </w:tc>
        <w:tc>
          <w:tcPr>
            <w:tcW w:w="12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sz w:val="24"/>
              </w:rPr>
            </w:pPr>
            <w:r>
              <w:rPr>
                <w:rFonts w:hint="eastAsia" w:ascii="仿宋" w:hAnsi="仿宋" w:eastAsia="仿宋" w:cs="仿宋"/>
                <w:kern w:val="0"/>
                <w:sz w:val="24"/>
              </w:rPr>
              <w:t>效益</w:t>
            </w:r>
            <w:r>
              <w:rPr>
                <w:rFonts w:hint="eastAsia" w:ascii="仿宋" w:hAnsi="仿宋" w:eastAsia="仿宋" w:cs="仿宋"/>
                <w:kern w:val="0"/>
                <w:sz w:val="24"/>
              </w:rPr>
              <w:br w:type="textWrapping"/>
            </w:r>
            <w:r>
              <w:rPr>
                <w:rFonts w:hint="eastAsia" w:ascii="仿宋" w:hAnsi="仿宋" w:eastAsia="仿宋" w:cs="仿宋"/>
                <w:kern w:val="0"/>
                <w:sz w:val="24"/>
              </w:rPr>
              <w:t>指标</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kern w:val="0"/>
                <w:sz w:val="24"/>
              </w:rPr>
              <w:t>经济效益  指标</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资产负债率</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sz w:val="24"/>
              </w:rPr>
              <w:t>≥20%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sz w:val="24"/>
              </w:rPr>
              <w:t>42.18%</w:t>
            </w:r>
          </w:p>
        </w:tc>
      </w:tr>
      <w:tr>
        <w:tblPrEx>
          <w:tblCellMar>
            <w:top w:w="0" w:type="dxa"/>
            <w:left w:w="108" w:type="dxa"/>
            <w:bottom w:w="0" w:type="dxa"/>
            <w:right w:w="108" w:type="dxa"/>
          </w:tblCellMar>
        </w:tblPrEx>
        <w:trPr>
          <w:gridAfter w:val="1"/>
          <w:wAfter w:w="234" w:type="dxa"/>
          <w:trHeight w:val="480" w:hRule="atLeast"/>
        </w:trPr>
        <w:tc>
          <w:tcPr>
            <w:tcW w:w="180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4"/>
              </w:rPr>
            </w:pPr>
          </w:p>
        </w:tc>
        <w:tc>
          <w:tcPr>
            <w:tcW w:w="1233"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 w:hAnsi="仿宋" w:eastAsia="仿宋" w:cs="仿宋"/>
                <w:sz w:val="24"/>
              </w:rPr>
            </w:pP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kern w:val="0"/>
                <w:sz w:val="24"/>
              </w:rPr>
              <w:t>社会效益  指标</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药品收入占医疗收入比例</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&lt;35%</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30.07%</w:t>
            </w:r>
          </w:p>
        </w:tc>
      </w:tr>
      <w:tr>
        <w:tblPrEx>
          <w:tblCellMar>
            <w:top w:w="0" w:type="dxa"/>
            <w:left w:w="108" w:type="dxa"/>
            <w:bottom w:w="0" w:type="dxa"/>
            <w:right w:w="108" w:type="dxa"/>
          </w:tblCellMar>
        </w:tblPrEx>
        <w:trPr>
          <w:gridAfter w:val="1"/>
          <w:wAfter w:w="234" w:type="dxa"/>
          <w:trHeight w:val="903" w:hRule="atLeast"/>
        </w:trPr>
        <w:tc>
          <w:tcPr>
            <w:tcW w:w="180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4"/>
              </w:rPr>
            </w:pPr>
          </w:p>
        </w:tc>
        <w:tc>
          <w:tcPr>
            <w:tcW w:w="1233"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 w:hAnsi="仿宋" w:eastAsia="仿宋" w:cs="仿宋"/>
                <w:sz w:val="24"/>
              </w:rPr>
            </w:pP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423" w:leftChars="87" w:hanging="240" w:hangingChars="100"/>
              <w:jc w:val="center"/>
              <w:textAlignment w:val="bottom"/>
              <w:rPr>
                <w:rFonts w:ascii="仿宋" w:hAnsi="仿宋" w:eastAsia="仿宋" w:cs="仿宋"/>
                <w:sz w:val="24"/>
              </w:rPr>
            </w:pPr>
            <w:r>
              <w:rPr>
                <w:rFonts w:hint="eastAsia" w:ascii="仿宋" w:hAnsi="仿宋" w:eastAsia="仿宋" w:cs="仿宋"/>
                <w:kern w:val="0"/>
                <w:sz w:val="24"/>
              </w:rPr>
              <w:t>社会效益  指标</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居民健康保健意识和健康知识知晓率</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&gt;95%</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97.41%</w:t>
            </w:r>
          </w:p>
        </w:tc>
      </w:tr>
      <w:tr>
        <w:tblPrEx>
          <w:tblCellMar>
            <w:top w:w="0" w:type="dxa"/>
            <w:left w:w="108" w:type="dxa"/>
            <w:bottom w:w="0" w:type="dxa"/>
            <w:right w:w="108" w:type="dxa"/>
          </w:tblCellMar>
        </w:tblPrEx>
        <w:trPr>
          <w:gridAfter w:val="1"/>
          <w:wAfter w:w="234" w:type="dxa"/>
          <w:trHeight w:val="480" w:hRule="atLeast"/>
        </w:trPr>
        <w:tc>
          <w:tcPr>
            <w:tcW w:w="180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4"/>
              </w:rPr>
            </w:pPr>
          </w:p>
        </w:tc>
        <w:tc>
          <w:tcPr>
            <w:tcW w:w="1233"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 w:hAnsi="仿宋" w:eastAsia="仿宋" w:cs="仿宋"/>
                <w:sz w:val="24"/>
              </w:rPr>
            </w:pP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kern w:val="0"/>
                <w:sz w:val="24"/>
              </w:rPr>
              <w:t>可持续影响指标</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对医疗行业未来可持续发展的影响</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可持续</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可持续</w:t>
            </w:r>
          </w:p>
        </w:tc>
      </w:tr>
      <w:tr>
        <w:tblPrEx>
          <w:tblCellMar>
            <w:top w:w="0" w:type="dxa"/>
            <w:left w:w="108" w:type="dxa"/>
            <w:bottom w:w="0" w:type="dxa"/>
            <w:right w:w="108" w:type="dxa"/>
          </w:tblCellMar>
        </w:tblPrEx>
        <w:trPr>
          <w:gridAfter w:val="1"/>
          <w:wAfter w:w="234" w:type="dxa"/>
          <w:trHeight w:val="530" w:hRule="atLeast"/>
        </w:trPr>
        <w:tc>
          <w:tcPr>
            <w:tcW w:w="1806"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4"/>
              </w:rPr>
            </w:pP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kern w:val="0"/>
                <w:sz w:val="24"/>
              </w:rPr>
              <w:t>满意</w:t>
            </w:r>
            <w:r>
              <w:rPr>
                <w:rFonts w:hint="eastAsia" w:ascii="仿宋" w:hAnsi="仿宋" w:eastAsia="仿宋" w:cs="仿宋"/>
                <w:kern w:val="0"/>
                <w:sz w:val="24"/>
              </w:rPr>
              <w:br w:type="textWrapping"/>
            </w:r>
            <w:r>
              <w:rPr>
                <w:rFonts w:hint="eastAsia" w:ascii="仿宋" w:hAnsi="仿宋" w:eastAsia="仿宋" w:cs="仿宋"/>
                <w:kern w:val="0"/>
                <w:sz w:val="24"/>
              </w:rPr>
              <w:t>度指标</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kern w:val="0"/>
                <w:sz w:val="24"/>
              </w:rPr>
            </w:pPr>
            <w:r>
              <w:rPr>
                <w:rFonts w:hint="eastAsia" w:ascii="仿宋" w:hAnsi="仿宋" w:eastAsia="仿宋" w:cs="仿宋"/>
                <w:kern w:val="0"/>
                <w:sz w:val="24"/>
              </w:rPr>
              <w:t>满意度</w:t>
            </w:r>
          </w:p>
          <w:p>
            <w:pPr>
              <w:widowControl/>
              <w:spacing w:line="320" w:lineRule="exact"/>
              <w:jc w:val="center"/>
              <w:textAlignment w:val="bottom"/>
              <w:rPr>
                <w:rFonts w:ascii="仿宋" w:hAnsi="仿宋" w:eastAsia="仿宋" w:cs="仿宋"/>
                <w:sz w:val="24"/>
              </w:rPr>
            </w:pPr>
            <w:r>
              <w:rPr>
                <w:rFonts w:hint="eastAsia" w:ascii="仿宋" w:hAnsi="仿宋" w:eastAsia="仿宋" w:cs="仿宋"/>
                <w:kern w:val="0"/>
                <w:sz w:val="24"/>
              </w:rPr>
              <w:t>指标</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住院病人满意度</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&gt;96%</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98.33%</w:t>
            </w:r>
          </w:p>
        </w:tc>
      </w:tr>
    </w:tbl>
    <w:p>
      <w:pPr>
        <w:outlineLvl w:val="0"/>
        <w:rPr>
          <w:rFonts w:ascii="仿宋" w:hAnsi="仿宋" w:eastAsia="仿宋" w:cs="仿宋"/>
          <w:sz w:val="24"/>
        </w:rPr>
      </w:pPr>
    </w:p>
    <w:p>
      <w:pPr>
        <w:jc w:val="center"/>
        <w:outlineLvl w:val="0"/>
        <w:rPr>
          <w:rFonts w:ascii="黑体" w:hAnsi="黑体" w:eastAsia="黑体"/>
          <w:sz w:val="44"/>
          <w:szCs w:val="44"/>
        </w:rPr>
      </w:pPr>
    </w:p>
    <w:p>
      <w:pPr>
        <w:jc w:val="center"/>
        <w:outlineLvl w:val="0"/>
        <w:rPr>
          <w:rFonts w:ascii="黑体" w:hAnsi="黑体" w:eastAsia="黑体"/>
          <w:sz w:val="44"/>
          <w:szCs w:val="44"/>
        </w:rPr>
      </w:pPr>
    </w:p>
    <w:p>
      <w:pPr>
        <w:pStyle w:val="3"/>
        <w:spacing w:before="93"/>
        <w:rPr>
          <w:rFonts w:ascii="黑体" w:hAnsi="黑体" w:eastAsia="黑体"/>
          <w:sz w:val="44"/>
          <w:szCs w:val="44"/>
        </w:rPr>
      </w:pPr>
    </w:p>
    <w:p>
      <w:pPr>
        <w:pStyle w:val="3"/>
        <w:spacing w:before="93"/>
        <w:rPr>
          <w:rFonts w:ascii="黑体" w:hAnsi="黑体" w:eastAsia="黑体"/>
          <w:sz w:val="44"/>
          <w:szCs w:val="44"/>
        </w:rPr>
      </w:pPr>
    </w:p>
    <w:p>
      <w:pPr>
        <w:pStyle w:val="3"/>
        <w:spacing w:before="93"/>
        <w:rPr>
          <w:rFonts w:ascii="黑体" w:hAnsi="黑体" w:eastAsia="黑体"/>
          <w:sz w:val="44"/>
          <w:szCs w:val="44"/>
        </w:rPr>
      </w:pPr>
    </w:p>
    <w:p>
      <w:pPr>
        <w:pStyle w:val="3"/>
        <w:spacing w:before="93"/>
        <w:rPr>
          <w:rFonts w:ascii="黑体" w:hAnsi="黑体" w:eastAsia="黑体"/>
          <w:sz w:val="44"/>
          <w:szCs w:val="44"/>
        </w:rPr>
      </w:pPr>
    </w:p>
    <w:p>
      <w:pPr>
        <w:pStyle w:val="3"/>
        <w:spacing w:before="93"/>
        <w:rPr>
          <w:rFonts w:ascii="黑体" w:hAnsi="黑体" w:eastAsia="黑体"/>
          <w:sz w:val="44"/>
          <w:szCs w:val="44"/>
        </w:rPr>
      </w:pPr>
    </w:p>
    <w:p>
      <w:pPr>
        <w:pStyle w:val="3"/>
        <w:spacing w:before="93"/>
        <w:rPr>
          <w:rFonts w:ascii="黑体" w:hAnsi="黑体" w:eastAsia="黑体"/>
          <w:sz w:val="44"/>
          <w:szCs w:val="44"/>
        </w:rPr>
      </w:pPr>
    </w:p>
    <w:p>
      <w:pPr>
        <w:pStyle w:val="3"/>
        <w:spacing w:before="93"/>
        <w:rPr>
          <w:rFonts w:ascii="黑体" w:hAnsi="黑体" w:eastAsia="黑体"/>
          <w:sz w:val="44"/>
          <w:szCs w:val="44"/>
        </w:rPr>
      </w:pPr>
      <w:bookmarkStart w:id="121" w:name="_GoBack"/>
      <w:bookmarkEnd w:id="121"/>
    </w:p>
    <w:p>
      <w:pPr>
        <w:ind w:firstLine="1760" w:firstLineChars="400"/>
        <w:outlineLvl w:val="0"/>
        <w:rPr>
          <w:rFonts w:ascii="仿宋" w:hAnsi="仿宋" w:eastAsia="仿宋"/>
        </w:rPr>
      </w:pPr>
      <w:r>
        <w:rPr>
          <w:rFonts w:hint="eastAsia" w:ascii="黑体" w:hAnsi="黑体" w:eastAsia="黑体"/>
          <w:sz w:val="44"/>
          <w:szCs w:val="44"/>
        </w:rPr>
        <w:t>第</w:t>
      </w:r>
      <w:r>
        <w:rPr>
          <w:rStyle w:val="28"/>
          <w:rFonts w:hint="eastAsia" w:ascii="黑体" w:hAnsi="黑体" w:eastAsia="黑体"/>
          <w:b w:val="0"/>
        </w:rPr>
        <w:t>五部分 附表</w:t>
      </w:r>
      <w:bookmarkEnd w:id="88"/>
      <w:bookmarkEnd w:id="92"/>
      <w:bookmarkEnd w:id="93"/>
      <w:bookmarkStart w:id="94" w:name="_Toc15396619"/>
    </w:p>
    <w:p>
      <w:pPr>
        <w:pStyle w:val="12"/>
        <w:spacing w:before="0" w:after="0" w:line="640" w:lineRule="exact"/>
        <w:rPr>
          <w:rFonts w:ascii="仿宋" w:hAnsi="仿宋" w:eastAsia="仿宋"/>
          <w:b w:val="0"/>
        </w:rPr>
      </w:pPr>
      <w:bookmarkStart w:id="95" w:name="_Toc17747"/>
    </w:p>
    <w:p>
      <w:pPr>
        <w:pStyle w:val="12"/>
        <w:spacing w:before="0" w:after="0" w:line="640" w:lineRule="exact"/>
        <w:rPr>
          <w:rFonts w:ascii="仿宋" w:hAnsi="仿宋" w:eastAsia="仿宋"/>
        </w:rPr>
      </w:pPr>
      <w:r>
        <w:rPr>
          <w:rFonts w:hint="eastAsia" w:ascii="仿宋" w:hAnsi="仿宋" w:eastAsia="仿宋"/>
          <w:b w:val="0"/>
        </w:rPr>
        <w:t>一、收</w:t>
      </w:r>
      <w:r>
        <w:rPr>
          <w:rStyle w:val="29"/>
          <w:rFonts w:hint="eastAsia" w:ascii="仿宋" w:hAnsi="仿宋" w:eastAsia="仿宋"/>
          <w:b w:val="0"/>
          <w:bCs w:val="0"/>
        </w:rPr>
        <w:t>入支出决算总表</w:t>
      </w:r>
      <w:bookmarkEnd w:id="94"/>
      <w:bookmarkEnd w:id="95"/>
    </w:p>
    <w:p>
      <w:pPr>
        <w:pStyle w:val="12"/>
        <w:spacing w:before="0" w:after="0" w:line="640" w:lineRule="exact"/>
        <w:rPr>
          <w:rFonts w:ascii="仿宋" w:hAnsi="仿宋" w:eastAsia="仿宋"/>
        </w:rPr>
      </w:pPr>
      <w:bookmarkStart w:id="96" w:name="_Toc15396620"/>
      <w:bookmarkStart w:id="97" w:name="_Toc14108"/>
      <w:r>
        <w:rPr>
          <w:rFonts w:hint="eastAsia" w:ascii="仿宋" w:hAnsi="仿宋" w:eastAsia="仿宋"/>
          <w:b w:val="0"/>
        </w:rPr>
        <w:t>二、收</w:t>
      </w:r>
      <w:r>
        <w:rPr>
          <w:rStyle w:val="29"/>
          <w:rFonts w:hint="eastAsia" w:ascii="仿宋" w:hAnsi="仿宋" w:eastAsia="仿宋"/>
          <w:b w:val="0"/>
          <w:bCs w:val="0"/>
        </w:rPr>
        <w:t>入决算表</w:t>
      </w:r>
      <w:bookmarkEnd w:id="96"/>
      <w:bookmarkEnd w:id="97"/>
    </w:p>
    <w:p>
      <w:pPr>
        <w:pStyle w:val="12"/>
        <w:spacing w:before="0" w:after="0" w:line="640" w:lineRule="exact"/>
        <w:rPr>
          <w:rFonts w:ascii="仿宋" w:hAnsi="仿宋" w:eastAsia="仿宋"/>
        </w:rPr>
      </w:pPr>
      <w:bookmarkStart w:id="98" w:name="_Toc18706"/>
      <w:bookmarkStart w:id="99" w:name="_Toc15396621"/>
      <w:r>
        <w:rPr>
          <w:rStyle w:val="29"/>
          <w:rFonts w:hint="eastAsia" w:ascii="仿宋" w:hAnsi="仿宋" w:eastAsia="仿宋"/>
          <w:b w:val="0"/>
          <w:bCs w:val="0"/>
        </w:rPr>
        <w:t>三、</w:t>
      </w:r>
      <w:r>
        <w:rPr>
          <w:rFonts w:hint="eastAsia" w:ascii="仿宋" w:hAnsi="仿宋" w:eastAsia="仿宋"/>
          <w:b w:val="0"/>
        </w:rPr>
        <w:t>支</w:t>
      </w:r>
      <w:r>
        <w:rPr>
          <w:rStyle w:val="29"/>
          <w:rFonts w:hint="eastAsia" w:ascii="仿宋" w:hAnsi="仿宋" w:eastAsia="仿宋"/>
          <w:b w:val="0"/>
          <w:bCs w:val="0"/>
        </w:rPr>
        <w:t>出决算表</w:t>
      </w:r>
      <w:bookmarkEnd w:id="98"/>
      <w:bookmarkEnd w:id="99"/>
    </w:p>
    <w:p>
      <w:pPr>
        <w:pStyle w:val="12"/>
        <w:spacing w:before="0" w:after="0" w:line="640" w:lineRule="exact"/>
        <w:rPr>
          <w:rFonts w:ascii="仿宋" w:hAnsi="仿宋" w:eastAsia="仿宋"/>
          <w:b w:val="0"/>
        </w:rPr>
      </w:pPr>
      <w:bookmarkStart w:id="100" w:name="_Toc15396622"/>
      <w:bookmarkStart w:id="101" w:name="_Toc13546"/>
      <w:r>
        <w:rPr>
          <w:rStyle w:val="29"/>
          <w:rFonts w:hint="eastAsia" w:ascii="仿宋" w:hAnsi="仿宋" w:eastAsia="仿宋"/>
          <w:b w:val="0"/>
          <w:bCs w:val="0"/>
        </w:rPr>
        <w:t>四、</w:t>
      </w:r>
      <w:r>
        <w:rPr>
          <w:rFonts w:hint="eastAsia" w:ascii="仿宋" w:hAnsi="仿宋" w:eastAsia="仿宋"/>
          <w:b w:val="0"/>
        </w:rPr>
        <w:t>财</w:t>
      </w:r>
      <w:r>
        <w:rPr>
          <w:rStyle w:val="29"/>
          <w:rFonts w:hint="eastAsia" w:ascii="仿宋" w:hAnsi="仿宋" w:eastAsia="仿宋"/>
          <w:b w:val="0"/>
          <w:bCs w:val="0"/>
        </w:rPr>
        <w:t>政拨款收入支出决算总表</w:t>
      </w:r>
      <w:bookmarkEnd w:id="100"/>
      <w:bookmarkEnd w:id="101"/>
    </w:p>
    <w:p>
      <w:pPr>
        <w:pStyle w:val="12"/>
        <w:spacing w:before="0" w:after="0" w:line="640" w:lineRule="exact"/>
        <w:rPr>
          <w:rStyle w:val="29"/>
          <w:rFonts w:ascii="仿宋" w:hAnsi="仿宋" w:eastAsia="仿宋"/>
          <w:b w:val="0"/>
          <w:bCs w:val="0"/>
        </w:rPr>
      </w:pPr>
      <w:bookmarkStart w:id="102" w:name="_Toc17701"/>
      <w:bookmarkStart w:id="103" w:name="_Toc15396623"/>
      <w:r>
        <w:rPr>
          <w:rStyle w:val="29"/>
          <w:rFonts w:hint="eastAsia" w:ascii="仿宋" w:hAnsi="仿宋" w:eastAsia="仿宋"/>
          <w:b w:val="0"/>
          <w:bCs w:val="0"/>
        </w:rPr>
        <w:t>五、</w:t>
      </w:r>
      <w:r>
        <w:rPr>
          <w:rFonts w:hint="eastAsia" w:ascii="仿宋" w:hAnsi="仿宋" w:eastAsia="仿宋"/>
          <w:b w:val="0"/>
        </w:rPr>
        <w:t>财</w:t>
      </w:r>
      <w:r>
        <w:rPr>
          <w:rStyle w:val="29"/>
          <w:rFonts w:hint="eastAsia" w:ascii="仿宋" w:hAnsi="仿宋" w:eastAsia="仿宋"/>
          <w:b w:val="0"/>
          <w:bCs w:val="0"/>
        </w:rPr>
        <w:t>政拨款支出决算明细表</w:t>
      </w:r>
      <w:bookmarkEnd w:id="102"/>
      <w:bookmarkEnd w:id="103"/>
      <w:bookmarkStart w:id="104" w:name="_Toc15396624"/>
    </w:p>
    <w:p>
      <w:pPr>
        <w:pStyle w:val="12"/>
        <w:spacing w:before="0" w:after="0" w:line="640" w:lineRule="exact"/>
        <w:rPr>
          <w:rFonts w:ascii="仿宋" w:hAnsi="仿宋" w:eastAsia="仿宋"/>
        </w:rPr>
      </w:pPr>
      <w:bookmarkStart w:id="105" w:name="_Toc11865"/>
      <w:r>
        <w:rPr>
          <w:rStyle w:val="29"/>
          <w:rFonts w:hint="eastAsia" w:ascii="仿宋" w:hAnsi="仿宋" w:eastAsia="仿宋"/>
          <w:b w:val="0"/>
          <w:bCs w:val="0"/>
        </w:rPr>
        <w:t>六、</w:t>
      </w:r>
      <w:r>
        <w:rPr>
          <w:rFonts w:hint="eastAsia" w:ascii="仿宋" w:hAnsi="仿宋" w:eastAsia="仿宋"/>
          <w:b w:val="0"/>
        </w:rPr>
        <w:t>一</w:t>
      </w:r>
      <w:r>
        <w:rPr>
          <w:rStyle w:val="29"/>
          <w:rFonts w:hint="eastAsia" w:ascii="仿宋" w:hAnsi="仿宋" w:eastAsia="仿宋"/>
          <w:b w:val="0"/>
          <w:bCs w:val="0"/>
        </w:rPr>
        <w:t>般公共预算</w:t>
      </w:r>
      <w:r>
        <w:rPr>
          <w:rFonts w:hint="eastAsia" w:ascii="仿宋" w:hAnsi="仿宋" w:eastAsia="仿宋"/>
          <w:b w:val="0"/>
          <w:bCs w:val="0"/>
        </w:rPr>
        <w:t>财政拨款支出决算表</w:t>
      </w:r>
      <w:bookmarkEnd w:id="104"/>
      <w:bookmarkEnd w:id="105"/>
    </w:p>
    <w:p>
      <w:pPr>
        <w:pStyle w:val="12"/>
        <w:spacing w:before="0" w:after="0" w:line="640" w:lineRule="exact"/>
        <w:rPr>
          <w:rFonts w:ascii="仿宋" w:hAnsi="仿宋" w:eastAsia="仿宋"/>
        </w:rPr>
      </w:pPr>
      <w:bookmarkStart w:id="106" w:name="_Toc9597"/>
      <w:bookmarkStart w:id="107" w:name="_Toc15396625"/>
      <w:r>
        <w:rPr>
          <w:rStyle w:val="29"/>
          <w:rFonts w:hint="eastAsia" w:ascii="仿宋" w:hAnsi="仿宋" w:eastAsia="仿宋"/>
          <w:b w:val="0"/>
          <w:bCs w:val="0"/>
        </w:rPr>
        <w:t>七、</w:t>
      </w:r>
      <w:r>
        <w:rPr>
          <w:rFonts w:hint="eastAsia" w:ascii="仿宋" w:hAnsi="仿宋" w:eastAsia="仿宋"/>
          <w:b w:val="0"/>
        </w:rPr>
        <w:t>一</w:t>
      </w:r>
      <w:r>
        <w:rPr>
          <w:rStyle w:val="29"/>
          <w:rFonts w:hint="eastAsia" w:ascii="仿宋" w:hAnsi="仿宋" w:eastAsia="仿宋"/>
          <w:b w:val="0"/>
          <w:bCs w:val="0"/>
        </w:rPr>
        <w:t>般公共预算</w:t>
      </w:r>
      <w:r>
        <w:rPr>
          <w:rFonts w:hint="eastAsia" w:ascii="仿宋" w:hAnsi="仿宋" w:eastAsia="仿宋"/>
          <w:b w:val="0"/>
          <w:bCs w:val="0"/>
        </w:rPr>
        <w:t>财政拨款支出决算明细表</w:t>
      </w:r>
      <w:bookmarkEnd w:id="106"/>
      <w:bookmarkEnd w:id="107"/>
    </w:p>
    <w:p>
      <w:pPr>
        <w:pStyle w:val="12"/>
        <w:spacing w:before="0" w:after="0" w:line="640" w:lineRule="exact"/>
        <w:rPr>
          <w:rFonts w:ascii="仿宋" w:hAnsi="仿宋" w:eastAsia="仿宋"/>
        </w:rPr>
      </w:pPr>
      <w:bookmarkStart w:id="108" w:name="_Toc26242"/>
      <w:bookmarkStart w:id="109" w:name="_Toc15396626"/>
      <w:r>
        <w:rPr>
          <w:rStyle w:val="29"/>
          <w:rFonts w:hint="eastAsia" w:ascii="仿宋" w:hAnsi="仿宋" w:eastAsia="仿宋"/>
          <w:b w:val="0"/>
          <w:bCs w:val="0"/>
        </w:rPr>
        <w:t>八、</w:t>
      </w:r>
      <w:r>
        <w:rPr>
          <w:rFonts w:hint="eastAsia" w:ascii="仿宋" w:hAnsi="仿宋" w:eastAsia="仿宋"/>
          <w:b w:val="0"/>
        </w:rPr>
        <w:t>一</w:t>
      </w:r>
      <w:r>
        <w:rPr>
          <w:rStyle w:val="29"/>
          <w:rFonts w:hint="eastAsia" w:ascii="仿宋" w:hAnsi="仿宋" w:eastAsia="仿宋"/>
          <w:b w:val="0"/>
          <w:bCs w:val="0"/>
        </w:rPr>
        <w:t>般公共预算</w:t>
      </w:r>
      <w:r>
        <w:rPr>
          <w:rFonts w:hint="eastAsia" w:ascii="仿宋" w:hAnsi="仿宋" w:eastAsia="仿宋"/>
          <w:b w:val="0"/>
          <w:bCs w:val="0"/>
        </w:rPr>
        <w:t>财政拨款基本支出决算表</w:t>
      </w:r>
      <w:bookmarkEnd w:id="108"/>
      <w:bookmarkEnd w:id="109"/>
    </w:p>
    <w:p>
      <w:pPr>
        <w:pStyle w:val="12"/>
        <w:spacing w:before="0" w:after="0" w:line="640" w:lineRule="exact"/>
        <w:rPr>
          <w:rFonts w:ascii="仿宋" w:hAnsi="仿宋" w:eastAsia="仿宋"/>
        </w:rPr>
      </w:pPr>
      <w:bookmarkStart w:id="110" w:name="_Toc15396627"/>
      <w:bookmarkStart w:id="111" w:name="_Toc13332"/>
      <w:r>
        <w:rPr>
          <w:rStyle w:val="29"/>
          <w:rFonts w:hint="eastAsia" w:ascii="仿宋" w:hAnsi="仿宋" w:eastAsia="仿宋"/>
          <w:b w:val="0"/>
          <w:bCs w:val="0"/>
        </w:rPr>
        <w:t>九、</w:t>
      </w:r>
      <w:r>
        <w:rPr>
          <w:rFonts w:hint="eastAsia" w:ascii="仿宋" w:hAnsi="仿宋" w:eastAsia="仿宋"/>
          <w:b w:val="0"/>
        </w:rPr>
        <w:t>一</w:t>
      </w:r>
      <w:r>
        <w:rPr>
          <w:rStyle w:val="29"/>
          <w:rFonts w:hint="eastAsia" w:ascii="仿宋" w:hAnsi="仿宋" w:eastAsia="仿宋"/>
          <w:b w:val="0"/>
          <w:bCs w:val="0"/>
        </w:rPr>
        <w:t>般公共预算</w:t>
      </w:r>
      <w:r>
        <w:rPr>
          <w:rFonts w:hint="eastAsia" w:ascii="仿宋" w:hAnsi="仿宋" w:eastAsia="仿宋"/>
          <w:b w:val="0"/>
          <w:bCs w:val="0"/>
        </w:rPr>
        <w:t>财政拨款项目支出决算表</w:t>
      </w:r>
      <w:bookmarkEnd w:id="110"/>
      <w:bookmarkEnd w:id="111"/>
    </w:p>
    <w:p>
      <w:pPr>
        <w:pStyle w:val="12"/>
        <w:spacing w:before="0" w:after="0" w:line="640" w:lineRule="exact"/>
        <w:rPr>
          <w:rFonts w:ascii="仿宋" w:hAnsi="仿宋" w:eastAsia="仿宋"/>
        </w:rPr>
      </w:pPr>
      <w:bookmarkStart w:id="112" w:name="_Toc19886"/>
      <w:bookmarkStart w:id="113" w:name="_Toc15396628"/>
      <w:r>
        <w:rPr>
          <w:rStyle w:val="29"/>
          <w:rFonts w:hint="eastAsia" w:ascii="仿宋" w:hAnsi="仿宋" w:eastAsia="仿宋"/>
          <w:b w:val="0"/>
          <w:bCs w:val="0"/>
        </w:rPr>
        <w:t>十、</w:t>
      </w:r>
      <w:r>
        <w:rPr>
          <w:rFonts w:hint="eastAsia" w:ascii="仿宋" w:hAnsi="仿宋" w:eastAsia="仿宋"/>
          <w:b w:val="0"/>
        </w:rPr>
        <w:t>一</w:t>
      </w:r>
      <w:r>
        <w:rPr>
          <w:rStyle w:val="29"/>
          <w:rFonts w:hint="eastAsia" w:ascii="仿宋" w:hAnsi="仿宋" w:eastAsia="仿宋"/>
          <w:b w:val="0"/>
          <w:bCs w:val="0"/>
        </w:rPr>
        <w:t>般公共预算</w:t>
      </w:r>
      <w:r>
        <w:rPr>
          <w:rFonts w:hint="eastAsia" w:ascii="仿宋" w:hAnsi="仿宋" w:eastAsia="仿宋"/>
          <w:b w:val="0"/>
          <w:bCs w:val="0"/>
        </w:rPr>
        <w:t>财政拨款“三公”经费支出决算表</w:t>
      </w:r>
      <w:bookmarkEnd w:id="112"/>
      <w:bookmarkEnd w:id="113"/>
    </w:p>
    <w:p>
      <w:pPr>
        <w:pStyle w:val="12"/>
        <w:spacing w:before="0" w:after="0" w:line="640" w:lineRule="exact"/>
        <w:rPr>
          <w:rFonts w:ascii="仿宋" w:hAnsi="仿宋" w:eastAsia="仿宋"/>
        </w:rPr>
      </w:pPr>
      <w:bookmarkStart w:id="114" w:name="_Toc7515"/>
      <w:bookmarkStart w:id="115" w:name="_Toc15396629"/>
      <w:r>
        <w:rPr>
          <w:rStyle w:val="29"/>
          <w:rFonts w:hint="eastAsia" w:ascii="仿宋" w:hAnsi="仿宋" w:eastAsia="仿宋"/>
          <w:b w:val="0"/>
          <w:bCs w:val="0"/>
        </w:rPr>
        <w:t>十一、</w:t>
      </w:r>
      <w:r>
        <w:rPr>
          <w:rFonts w:hint="eastAsia" w:ascii="仿宋" w:hAnsi="仿宋" w:eastAsia="仿宋"/>
          <w:b w:val="0"/>
        </w:rPr>
        <w:t>政</w:t>
      </w:r>
      <w:r>
        <w:rPr>
          <w:rStyle w:val="29"/>
          <w:rFonts w:hint="eastAsia" w:ascii="仿宋" w:hAnsi="仿宋" w:eastAsia="仿宋"/>
          <w:b w:val="0"/>
          <w:bCs w:val="0"/>
        </w:rPr>
        <w:t>府性基金预算</w:t>
      </w:r>
      <w:r>
        <w:rPr>
          <w:rFonts w:hint="eastAsia" w:ascii="仿宋" w:hAnsi="仿宋" w:eastAsia="仿宋"/>
          <w:b w:val="0"/>
          <w:bCs w:val="0"/>
        </w:rPr>
        <w:t>财政拨款收入支出决算表</w:t>
      </w:r>
      <w:bookmarkEnd w:id="114"/>
      <w:bookmarkEnd w:id="115"/>
    </w:p>
    <w:p>
      <w:pPr>
        <w:pStyle w:val="12"/>
        <w:spacing w:before="0" w:after="0" w:line="640" w:lineRule="exact"/>
        <w:rPr>
          <w:rFonts w:ascii="仿宋" w:hAnsi="仿宋" w:eastAsia="仿宋"/>
        </w:rPr>
      </w:pPr>
      <w:bookmarkStart w:id="116" w:name="_Toc15396630"/>
      <w:bookmarkStart w:id="117" w:name="_Toc11927"/>
      <w:r>
        <w:rPr>
          <w:rStyle w:val="29"/>
          <w:rFonts w:hint="eastAsia" w:ascii="仿宋" w:hAnsi="仿宋" w:eastAsia="仿宋"/>
          <w:b w:val="0"/>
          <w:bCs w:val="0"/>
        </w:rPr>
        <w:t>十二、</w:t>
      </w:r>
      <w:r>
        <w:rPr>
          <w:rFonts w:hint="eastAsia" w:ascii="仿宋" w:hAnsi="仿宋" w:eastAsia="仿宋"/>
          <w:b w:val="0"/>
        </w:rPr>
        <w:t>政</w:t>
      </w:r>
      <w:r>
        <w:rPr>
          <w:rStyle w:val="29"/>
          <w:rFonts w:hint="eastAsia" w:ascii="仿宋" w:hAnsi="仿宋" w:eastAsia="仿宋"/>
          <w:b w:val="0"/>
          <w:bCs w:val="0"/>
        </w:rPr>
        <w:t>府性基金预算</w:t>
      </w:r>
      <w:r>
        <w:rPr>
          <w:rFonts w:hint="eastAsia" w:ascii="仿宋" w:hAnsi="仿宋" w:eastAsia="仿宋"/>
          <w:b w:val="0"/>
          <w:bCs w:val="0"/>
        </w:rPr>
        <w:t>财政拨款“三公”经费支出决算表</w:t>
      </w:r>
      <w:bookmarkEnd w:id="116"/>
      <w:bookmarkEnd w:id="117"/>
    </w:p>
    <w:p>
      <w:pPr>
        <w:pStyle w:val="12"/>
        <w:spacing w:before="0" w:after="0" w:line="640" w:lineRule="exact"/>
        <w:rPr>
          <w:rStyle w:val="29"/>
          <w:rFonts w:ascii="仿宋" w:hAnsi="仿宋" w:eastAsia="仿宋"/>
          <w:b w:val="0"/>
          <w:bCs w:val="0"/>
        </w:rPr>
      </w:pPr>
      <w:bookmarkStart w:id="118" w:name="_Toc14601"/>
      <w:bookmarkStart w:id="119" w:name="_Toc15396631"/>
      <w:r>
        <w:rPr>
          <w:rStyle w:val="29"/>
          <w:rFonts w:hint="eastAsia" w:ascii="仿宋" w:hAnsi="仿宋" w:eastAsia="仿宋"/>
          <w:b w:val="0"/>
          <w:bCs w:val="0"/>
        </w:rPr>
        <w:t>十三、</w:t>
      </w:r>
      <w:r>
        <w:rPr>
          <w:rFonts w:hint="eastAsia" w:ascii="仿宋" w:hAnsi="仿宋" w:eastAsia="仿宋"/>
          <w:b w:val="0"/>
        </w:rPr>
        <w:t>国</w:t>
      </w:r>
      <w:r>
        <w:rPr>
          <w:rStyle w:val="29"/>
          <w:rFonts w:hint="eastAsia" w:ascii="仿宋" w:hAnsi="仿宋" w:eastAsia="仿宋"/>
          <w:b w:val="0"/>
          <w:bCs w:val="0"/>
        </w:rPr>
        <w:t>有</w:t>
      </w:r>
      <w:r>
        <w:rPr>
          <w:rFonts w:hint="eastAsia" w:ascii="仿宋" w:hAnsi="仿宋" w:eastAsia="仿宋"/>
          <w:b w:val="0"/>
          <w:bCs w:val="0"/>
        </w:rPr>
        <w:t>资本经营</w:t>
      </w:r>
      <w:r>
        <w:rPr>
          <w:rStyle w:val="29"/>
          <w:rFonts w:hint="eastAsia" w:ascii="仿宋" w:hAnsi="仿宋" w:eastAsia="仿宋"/>
          <w:b w:val="0"/>
          <w:bCs w:val="0"/>
        </w:rPr>
        <w:t>预算财政拨款收入支出决算表</w:t>
      </w:r>
      <w:bookmarkEnd w:id="118"/>
      <w:bookmarkEnd w:id="119"/>
    </w:p>
    <w:p>
      <w:pPr>
        <w:spacing w:line="640" w:lineRule="exact"/>
        <w:rPr>
          <w:rFonts w:eastAsia="仿宋"/>
          <w:sz w:val="32"/>
          <w:szCs w:val="32"/>
        </w:rPr>
      </w:pPr>
      <w:bookmarkStart w:id="120" w:name="_Toc25198"/>
      <w:r>
        <w:rPr>
          <w:rStyle w:val="29"/>
          <w:rFonts w:hint="eastAsia" w:ascii="仿宋" w:hAnsi="仿宋" w:eastAsia="仿宋"/>
          <w:b w:val="0"/>
          <w:bCs w:val="0"/>
        </w:rPr>
        <w:t>十四、国有</w:t>
      </w:r>
      <w:r>
        <w:rPr>
          <w:rFonts w:hint="eastAsia" w:ascii="仿宋" w:hAnsi="仿宋" w:eastAsia="仿宋"/>
          <w:sz w:val="32"/>
          <w:szCs w:val="32"/>
        </w:rPr>
        <w:t>资本经营</w:t>
      </w:r>
      <w:r>
        <w:rPr>
          <w:rStyle w:val="29"/>
          <w:rFonts w:hint="eastAsia" w:ascii="仿宋" w:hAnsi="仿宋" w:eastAsia="仿宋"/>
          <w:b w:val="0"/>
          <w:bCs w:val="0"/>
        </w:rPr>
        <w:t>预算</w:t>
      </w:r>
      <w:r>
        <w:rPr>
          <w:rFonts w:hint="eastAsia" w:ascii="仿宋" w:hAnsi="仿宋" w:eastAsia="仿宋"/>
          <w:sz w:val="32"/>
          <w:szCs w:val="32"/>
        </w:rPr>
        <w:t>财政拨款支出决算表</w:t>
      </w:r>
      <w:bookmarkEnd w:id="120"/>
    </w:p>
    <w:sectPr>
      <w:footerReference r:id="rId12" w:type="first"/>
      <w:footerReference r:id="rId11"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Cambria">
    <w:panose1 w:val="02040503050406030204"/>
    <w:charset w:val="00"/>
    <w:family w:val="auto"/>
    <w:pitch w:val="default"/>
    <w:sig w:usb0="E00006FF" w:usb1="420024FF" w:usb2="02000000"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2010601030101010101"/>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PAGE   \* MERGEFORMAT</w:instrText>
    </w:r>
    <w:r>
      <w:fldChar w:fldCharType="separate"/>
    </w:r>
    <w:r>
      <w:rPr>
        <w:lang w:val="zh-CN"/>
      </w:rPr>
      <w:t>8</w:t>
    </w:r>
    <w:r>
      <w:fldChar w:fldCharType="end"/>
    </w: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v:imagedata o:title=""/>
          <o:lock v:ext="edit"/>
          <v:textbox inset="0mm,0mm,0mm,0mm" style="mso-fit-shape-to-text:t;">
            <w:txbxContent>
              <w:p>
                <w:pPr>
                  <w:pStyle w:val="15"/>
                  <w:jc w:val="center"/>
                </w:pPr>
              </w:p>
              <w:p>
                <w:pPr>
                  <w:pStyle w:val="15"/>
                  <w:jc w:val="center"/>
                </w:pPr>
              </w:p>
              <w:sdt>
                <w:sdtPr>
                  <w:id w:val="-1994781956"/>
                </w:sdtPr>
                <w:sdtContent>
                  <w:p>
                    <w:pPr>
                      <w:pStyle w:val="15"/>
                      <w:jc w:val="center"/>
                    </w:pPr>
                    <w:r>
                      <w:fldChar w:fldCharType="begin"/>
                    </w:r>
                    <w:r>
                      <w:instrText xml:space="preserve">PAGE   \* MERGEFORMAT</w:instrText>
                    </w:r>
                    <w:r>
                      <w:fldChar w:fldCharType="separate"/>
                    </w:r>
                    <w:r>
                      <w:rPr>
                        <w:lang w:val="zh-CN"/>
                      </w:rPr>
                      <w:t>16</w:t>
                    </w:r>
                    <w:r>
                      <w:fldChar w:fldCharType="end"/>
                    </w:r>
                  </w:p>
                </w:sdtContent>
              </w:sdt>
              <w:p>
                <w:pPr>
                  <w:pStyle w:val="3"/>
                  <w:spacing w:before="72"/>
                </w:pPr>
              </w:p>
            </w:txbxContent>
          </v:textbox>
        </v:shape>
      </w:pict>
    </w:r>
  </w:p>
  <w:p>
    <w:pPr>
      <w:pStyle w:val="1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_x0000_s2050" o:spid="_x0000_s2050"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0.5pt"/>
          <v:imagedata o:title=""/>
          <o:lock v:ext="edit"/>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205925"/>
    <w:multiLevelType w:val="singleLevel"/>
    <w:tmpl w:val="BF205925"/>
    <w:lvl w:ilvl="0" w:tentative="0">
      <w:start w:val="3"/>
      <w:numFmt w:val="chineseCounting"/>
      <w:suff w:val="space"/>
      <w:lvlText w:val="第%1部分"/>
      <w:lvlJc w:val="left"/>
      <w:rPr>
        <w:rFonts w:hint="eastAsia" w:ascii="黑体" w:hAnsi="黑体" w:eastAsia="黑体" w:cs="黑体"/>
        <w:sz w:val="44"/>
        <w:szCs w:val="44"/>
      </w:rPr>
    </w:lvl>
  </w:abstractNum>
  <w:abstractNum w:abstractNumId="1">
    <w:nsid w:val="CF092B84"/>
    <w:multiLevelType w:val="multilevel"/>
    <w:tmpl w:val="CF092B84"/>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0053208E"/>
    <w:multiLevelType w:val="singleLevel"/>
    <w:tmpl w:val="0053208E"/>
    <w:lvl w:ilvl="0" w:tentative="0">
      <w:start w:val="1"/>
      <w:numFmt w:val="decimal"/>
      <w:suff w:val="nothing"/>
      <w:lvlText w:val="%1、"/>
      <w:lvlJc w:val="left"/>
      <w:rPr>
        <w:rFonts w:hint="default"/>
        <w:b w:val="0"/>
        <w:bCs w:val="0"/>
      </w:rPr>
    </w:lvl>
  </w:abstractNum>
  <w:abstractNum w:abstractNumId="3">
    <w:nsid w:val="59ADCABA"/>
    <w:multiLevelType w:val="singleLevel"/>
    <w:tmpl w:val="59ADCABA"/>
    <w:lvl w:ilvl="0" w:tentative="0">
      <w:start w:val="9"/>
      <w:numFmt w:val="chineseCounting"/>
      <w:suff w:val="nothing"/>
      <w:lvlText w:val="%1、"/>
      <w:lvlJc w:val="left"/>
      <w:rPr>
        <w:rFonts w:hint="eastAsi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dit="trackedChanges"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M4ZDZhZGYyYjgzNzFmMmU3YTczMjUxMWY3YTZmZDIifQ=="/>
  </w:docVars>
  <w:rsids>
    <w:rsidRoot w:val="00000000"/>
    <w:rsid w:val="2C474974"/>
    <w:rsid w:val="69C756A3"/>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ody Text"/>
    <w:basedOn w:val="1"/>
    <w:qFormat/>
    <w:uiPriority w:val="99"/>
    <w:pPr>
      <w:spacing w:beforeLines="30"/>
    </w:pPr>
    <w:rPr>
      <w:rFonts w:ascii="仿宋_GB2312" w:eastAsia="仿宋_GB2312"/>
      <w:kern w:val="0"/>
      <w:sz w:val="30"/>
    </w:rPr>
  </w:style>
  <w:style w:type="paragraph" w:styleId="4">
    <w:name w:val="Balloon Text"/>
    <w:basedOn w:val="1"/>
    <w:semiHidden/>
    <w:unhideWhenUsed/>
    <w:qFormat/>
    <w:uiPriority w:val="99"/>
    <w:rPr>
      <w:sz w:val="18"/>
      <w:szCs w:val="18"/>
    </w:rPr>
  </w:style>
  <w:style w:type="table" w:styleId="6">
    <w:name w:val="Table Grid"/>
    <w:basedOn w:val="5"/>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8">
    <w:name w:val="Strong"/>
    <w:basedOn w:val="7"/>
    <w:qFormat/>
    <w:uiPriority w:val="99"/>
    <w:rPr>
      <w:b/>
    </w:rPr>
  </w:style>
  <w:style w:type="character" w:styleId="9">
    <w:name w:val="Hyperlink"/>
    <w:basedOn w:val="7"/>
    <w:unhideWhenUsed/>
    <w:qFormat/>
    <w:uiPriority w:val="99"/>
    <w:rPr>
      <w:color w:val="0000FF" w:themeColor="hyperlink"/>
      <w:u w:val="single"/>
    </w:rPr>
  </w:style>
  <w:style w:type="character" w:styleId="10">
    <w:name w:val="annotation reference"/>
    <w:basedOn w:val="7"/>
    <w:semiHidden/>
    <w:unhideWhenUsed/>
    <w:uiPriority w:val="99"/>
    <w:rPr>
      <w:sz w:val="21"/>
      <w:szCs w:val="21"/>
    </w:rPr>
  </w:style>
  <w:style w:type="paragraph" w:customStyle="1" w:styleId="11">
    <w:name w:val="Heading 1"/>
    <w:basedOn w:val="1"/>
    <w:next w:val="1"/>
    <w:link w:val="28"/>
    <w:qFormat/>
    <w:uiPriority w:val="9"/>
    <w:pPr>
      <w:keepNext/>
      <w:keepLines/>
      <w:spacing w:before="340" w:after="330" w:line="578" w:lineRule="auto"/>
      <w:outlineLvl w:val="0"/>
    </w:pPr>
    <w:rPr>
      <w:b/>
      <w:bCs/>
      <w:kern w:val="44"/>
      <w:sz w:val="44"/>
      <w:szCs w:val="44"/>
    </w:rPr>
  </w:style>
  <w:style w:type="paragraph" w:customStyle="1" w:styleId="12">
    <w:name w:val="Heading 2"/>
    <w:basedOn w:val="1"/>
    <w:next w:val="1"/>
    <w:link w:val="2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customStyle="1" w:styleId="13">
    <w:name w:val="Heading 3"/>
    <w:basedOn w:val="1"/>
    <w:next w:val="1"/>
    <w:link w:val="32"/>
    <w:unhideWhenUsed/>
    <w:qFormat/>
    <w:uiPriority w:val="9"/>
    <w:pPr>
      <w:keepNext/>
      <w:keepLines/>
      <w:spacing w:before="260" w:after="260" w:line="416" w:lineRule="auto"/>
      <w:outlineLvl w:val="2"/>
    </w:pPr>
    <w:rPr>
      <w:b/>
      <w:bCs/>
      <w:sz w:val="32"/>
      <w:szCs w:val="32"/>
    </w:rPr>
  </w:style>
  <w:style w:type="paragraph" w:customStyle="1" w:styleId="14">
    <w:name w:val="TOC 3"/>
    <w:basedOn w:val="1"/>
    <w:next w:val="1"/>
    <w:unhideWhenUsed/>
    <w:qFormat/>
    <w:uiPriority w:val="39"/>
    <w:pPr>
      <w:tabs>
        <w:tab w:val="right" w:leader="dot" w:pos="8296"/>
      </w:tabs>
      <w:ind w:left="840" w:leftChars="400"/>
    </w:pPr>
  </w:style>
  <w:style w:type="paragraph" w:customStyle="1" w:styleId="15">
    <w:name w:val="Footer"/>
    <w:basedOn w:val="1"/>
    <w:qFormat/>
    <w:uiPriority w:val="99"/>
    <w:pPr>
      <w:tabs>
        <w:tab w:val="center" w:pos="4153"/>
        <w:tab w:val="right" w:pos="8306"/>
      </w:tabs>
      <w:snapToGrid w:val="0"/>
      <w:jc w:val="left"/>
    </w:pPr>
    <w:rPr>
      <w:rFonts w:ascii="Calibri" w:hAnsi="Calibri"/>
      <w:kern w:val="0"/>
      <w:sz w:val="18"/>
      <w:szCs w:val="18"/>
    </w:rPr>
  </w:style>
  <w:style w:type="paragraph" w:customStyle="1" w:styleId="16">
    <w:name w:val="Header"/>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customStyle="1" w:styleId="17">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customStyle="1" w:styleId="18">
    <w:name w:val="TOC 2"/>
    <w:basedOn w:val="1"/>
    <w:next w:val="1"/>
    <w:unhideWhenUsed/>
    <w:qFormat/>
    <w:uiPriority w:val="39"/>
    <w:pPr>
      <w:tabs>
        <w:tab w:val="right" w:leader="dot" w:pos="8296"/>
      </w:tabs>
      <w:ind w:left="420" w:leftChars="200"/>
    </w:pPr>
  </w:style>
  <w:style w:type="character" w:customStyle="1" w:styleId="19">
    <w:name w:val="Page Number"/>
    <w:basedOn w:val="7"/>
    <w:qFormat/>
    <w:uiPriority w:val="0"/>
  </w:style>
  <w:style w:type="character" w:customStyle="1" w:styleId="20">
    <w:name w:val="Header Char"/>
    <w:basedOn w:val="7"/>
    <w:semiHidden/>
    <w:qFormat/>
    <w:uiPriority w:val="99"/>
    <w:rPr>
      <w:rFonts w:ascii="Times New Roman" w:hAnsi="Times New Roman"/>
      <w:sz w:val="18"/>
      <w:szCs w:val="18"/>
    </w:rPr>
  </w:style>
  <w:style w:type="character" w:customStyle="1" w:styleId="21">
    <w:name w:val="页眉 Char"/>
    <w:semiHidden/>
    <w:qFormat/>
    <w:locked/>
    <w:uiPriority w:val="99"/>
    <w:rPr>
      <w:sz w:val="18"/>
    </w:rPr>
  </w:style>
  <w:style w:type="character" w:customStyle="1" w:styleId="22">
    <w:name w:val="Footer Char"/>
    <w:basedOn w:val="7"/>
    <w:semiHidden/>
    <w:qFormat/>
    <w:uiPriority w:val="99"/>
    <w:rPr>
      <w:rFonts w:ascii="Times New Roman" w:hAnsi="Times New Roman"/>
      <w:sz w:val="18"/>
      <w:szCs w:val="18"/>
    </w:rPr>
  </w:style>
  <w:style w:type="character" w:customStyle="1" w:styleId="23">
    <w:name w:val="页脚 Char"/>
    <w:qFormat/>
    <w:locked/>
    <w:uiPriority w:val="99"/>
    <w:rPr>
      <w:sz w:val="18"/>
    </w:rPr>
  </w:style>
  <w:style w:type="character" w:customStyle="1" w:styleId="24">
    <w:name w:val="Body Text Char"/>
    <w:basedOn w:val="7"/>
    <w:semiHidden/>
    <w:qFormat/>
    <w:uiPriority w:val="99"/>
    <w:rPr>
      <w:rFonts w:ascii="Times New Roman" w:hAnsi="Times New Roman"/>
      <w:szCs w:val="24"/>
    </w:rPr>
  </w:style>
  <w:style w:type="character" w:customStyle="1" w:styleId="25">
    <w:name w:val="正文文本 Char"/>
    <w:qFormat/>
    <w:locked/>
    <w:uiPriority w:val="99"/>
    <w:rPr>
      <w:rFonts w:ascii="仿宋_GB2312" w:hAnsi="Times New Roman" w:eastAsia="仿宋_GB2312"/>
      <w:sz w:val="24"/>
    </w:rPr>
  </w:style>
  <w:style w:type="paragraph" w:customStyle="1" w:styleId="26">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7">
    <w:name w:val="List Paragraph"/>
    <w:basedOn w:val="1"/>
    <w:qFormat/>
    <w:uiPriority w:val="34"/>
    <w:pPr>
      <w:ind w:firstLine="420" w:firstLineChars="200"/>
    </w:pPr>
  </w:style>
  <w:style w:type="character" w:customStyle="1" w:styleId="28">
    <w:name w:val="标题 1 Char"/>
    <w:basedOn w:val="7"/>
    <w:link w:val="11"/>
    <w:qFormat/>
    <w:uiPriority w:val="9"/>
    <w:rPr>
      <w:rFonts w:ascii="Times New Roman" w:hAnsi="Times New Roman"/>
      <w:b/>
      <w:bCs/>
      <w:kern w:val="44"/>
      <w:sz w:val="44"/>
      <w:szCs w:val="44"/>
    </w:rPr>
  </w:style>
  <w:style w:type="character" w:customStyle="1" w:styleId="29">
    <w:name w:val="标题 2 Char"/>
    <w:basedOn w:val="7"/>
    <w:link w:val="12"/>
    <w:qFormat/>
    <w:uiPriority w:val="9"/>
    <w:rPr>
      <w:rFonts w:asciiTheme="majorHAnsi" w:hAnsiTheme="majorHAnsi" w:eastAsiaTheme="majorEastAsia" w:cstheme="majorBidi"/>
      <w:b/>
      <w:bCs/>
      <w:kern w:val="2"/>
      <w:sz w:val="32"/>
      <w:szCs w:val="32"/>
    </w:rPr>
  </w:style>
  <w:style w:type="paragraph" w:customStyle="1" w:styleId="30">
    <w:name w:val="TOC 标题1"/>
    <w:basedOn w:val="11"/>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1">
    <w:name w:val="批注框文本 Char"/>
    <w:basedOn w:val="7"/>
    <w:semiHidden/>
    <w:qFormat/>
    <w:uiPriority w:val="99"/>
    <w:rPr>
      <w:rFonts w:ascii="Times New Roman" w:hAnsi="Times New Roman"/>
      <w:kern w:val="2"/>
      <w:sz w:val="18"/>
      <w:szCs w:val="18"/>
    </w:rPr>
  </w:style>
  <w:style w:type="character" w:customStyle="1" w:styleId="32">
    <w:name w:val="标题 3 Char"/>
    <w:basedOn w:val="7"/>
    <w:link w:val="13"/>
    <w:qFormat/>
    <w:uiPriority w:val="9"/>
    <w:rPr>
      <w:rFonts w:ascii="Times New Roman" w:hAnsi="Times New Roman"/>
      <w:b/>
      <w:bCs/>
      <w:kern w:val="2"/>
      <w:sz w:val="32"/>
      <w:szCs w:val="32"/>
    </w:rPr>
  </w:style>
  <w:style w:type="paragraph" w:customStyle="1" w:styleId="33">
    <w:name w:val="TOC 标题2"/>
    <w:basedOn w:val="11"/>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4">
    <w:name w:val="批注文字 Char"/>
    <w:basedOn w:val="7"/>
    <w:semiHidden/>
    <w:uiPriority w:val="99"/>
    <w:rPr>
      <w:rFonts w:ascii="Times New Roman" w:hAnsi="Times New Roman" w:eastAsia="宋体" w:cs="Times New Roman"/>
      <w:kern w:val="2"/>
      <w:sz w:val="21"/>
      <w:szCs w:val="24"/>
    </w:rPr>
  </w:style>
  <w:style w:type="paragraph" w:customStyle="1" w:styleId="35">
    <w:name w:val="Header0"/>
    <w:basedOn w:val="1"/>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36">
    <w:name w:val="页眉 Char1"/>
    <w:basedOn w:val="7"/>
    <w:semiHidden/>
    <w:uiPriority w:val="99"/>
    <w:rPr>
      <w:rFonts w:ascii="Times New Roman" w:hAnsi="Times New Roman" w:eastAsia="宋体" w:cs="Times New Roman"/>
      <w:kern w:val="2"/>
      <w:sz w:val="18"/>
      <w:szCs w:val="18"/>
    </w:rPr>
  </w:style>
  <w:style w:type="paragraph" w:customStyle="1" w:styleId="37">
    <w:name w:val="Footer0"/>
    <w:basedOn w:val="1"/>
    <w:qFormat/>
    <w:uiPriority w:val="99"/>
    <w:pPr>
      <w:tabs>
        <w:tab w:val="center" w:pos="4153"/>
        <w:tab w:val="right" w:pos="8306"/>
      </w:tabs>
      <w:snapToGrid w:val="0"/>
      <w:jc w:val="left"/>
    </w:pPr>
    <w:rPr>
      <w:sz w:val="18"/>
      <w:szCs w:val="18"/>
    </w:rPr>
  </w:style>
  <w:style w:type="character" w:customStyle="1" w:styleId="38">
    <w:name w:val="页脚 Char1"/>
    <w:basedOn w:val="7"/>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5" Type="http://schemas.openxmlformats.org/officeDocument/2006/relationships/fontTable" Target="fontTable.xml"/><Relationship Id="rId34" Type="http://schemas.openxmlformats.org/officeDocument/2006/relationships/customXml" Target="../customXml/item13.xml"/><Relationship Id="rId33" Type="http://schemas.openxmlformats.org/officeDocument/2006/relationships/customXml" Target="../customXml/item12.xml"/><Relationship Id="rId32" Type="http://schemas.openxmlformats.org/officeDocument/2006/relationships/customXml" Target="../customXml/item11.xml"/><Relationship Id="rId31" Type="http://schemas.openxmlformats.org/officeDocument/2006/relationships/customXml" Target="../customXml/item10.xml"/><Relationship Id="rId30" Type="http://schemas.openxmlformats.org/officeDocument/2006/relationships/customXml" Target="../customXml/item9.xml"/><Relationship Id="rId3" Type="http://schemas.openxmlformats.org/officeDocument/2006/relationships/header" Target="header1.xml"/><Relationship Id="rId29" Type="http://schemas.openxmlformats.org/officeDocument/2006/relationships/customXml" Target="../customXml/item8.xml"/><Relationship Id="rId28" Type="http://schemas.openxmlformats.org/officeDocument/2006/relationships/customXml" Target="../customXml/item7.xml"/><Relationship Id="rId27" Type="http://schemas.openxmlformats.org/officeDocument/2006/relationships/customXml" Target="../customXml/item6.xml"/><Relationship Id="rId26" Type="http://schemas.openxmlformats.org/officeDocument/2006/relationships/customXml" Target="../customXml/item5.xml"/><Relationship Id="rId25" Type="http://schemas.openxmlformats.org/officeDocument/2006/relationships/customXml" Target="../customXml/item4.xml"/><Relationship Id="rId24" Type="http://schemas.openxmlformats.org/officeDocument/2006/relationships/customXml" Target="../customXml/item3.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7.png"/><Relationship Id="rId2" Type="http://schemas.openxmlformats.org/officeDocument/2006/relationships/settings" Target="settings.xml"/><Relationship Id="rId19" Type="http://schemas.openxmlformats.org/officeDocument/2006/relationships/image" Target="media/image6.png"/><Relationship Id="rId18" Type="http://schemas.openxmlformats.org/officeDocument/2006/relationships/image" Target="media/image5.png"/><Relationship Id="rId17" Type="http://schemas.openxmlformats.org/officeDocument/2006/relationships/image" Target="media/image4.png"/><Relationship Id="rId16" Type="http://schemas.openxmlformats.org/officeDocument/2006/relationships/image" Target="media/image3.png"/><Relationship Id="rId15" Type="http://schemas.openxmlformats.org/officeDocument/2006/relationships/image" Target="media/image2.png"/><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2050"/>
  </customShpExts>
</s:customData>
</file>

<file path=customXml/item10.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6AEB641DDFB64490B32C30AD50813FCF</vt:lpwstr>
  </property>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asd</cp:lastModifiedBy>
  <cp:revision>32</cp:revision>
  <cp:lastPrinted>2022-08-06T02:23:00Z</cp:lastPrinted>
  <dcterms:created xsi:type="dcterms:W3CDTF">2020-08-05T01:49:00Z</dcterms:created>
  <dcterms:modified xsi:type="dcterms:W3CDTF">2022-11-03T01:14:31Z</dcterms:modified>
</cp:coreProperties>
</file>

<file path=customXml/item12.xml><?xml version="1.0" encoding="utf-8"?>
<Properties xmlns:vt="http://schemas.openxmlformats.org/officeDocument/2006/docPropsVTypes" xmlns="http://schemas.openxmlformats.org/officeDocument/2006/extended-properties">
  <Template>Normal.dotm</Template>
  <TotalTime>2</TotalTime>
  <Pages>18</Pages>
  <Words>5939</Words>
  <Characters>6422</Characters>
  <Application>WPS Office_11.1.0.9208_F1E327BC-269C-435d-A152-05C5408002CA</Application>
  <DocSecurity>0</DocSecurity>
  <Lines>61</Lines>
  <Paragraphs>17</Paragraphs>
  <Company>四川省财政厅</Company>
  <CharactersWithSpaces>6555</CharactersWithSpaces>
  <AppVersion>14.0000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User</cp:lastModifiedBy>
  <cp:revision>34</cp:revision>
  <cp:lastPrinted>2022-08-06T02:23:00Z</cp:lastPrinted>
  <dcterms:created xsi:type="dcterms:W3CDTF">2020-08-05T01:49:00Z</dcterms:created>
  <dcterms:modified xsi:type="dcterms:W3CDTF">2023-02-24T02:51:00Z</dcterms:modified>
</cp:coreProperties>
</file>

<file path=customXml/item2.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6AEB641DDFB64490B32C30AD50813FCF</vt:lpstr>
  </property>
</Properties>
</file>

<file path=customXml/item3.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6AEB641DDFB64490B32C30AD50813FCF</vt:lpwstr>
  </property>
</Properties>
</file>

<file path=customXml/item4.xml><?xml version="1.0" encoding="utf-8"?>
<Properties xmlns="http://schemas.openxmlformats.org/officeDocument/2006/extended-properties" xmlns:vt="http://schemas.openxmlformats.org/officeDocument/2006/docPropsVTypes">
  <Template>Normal</Template>
  <TotalTime>5</TotalTime>
  <Pages>18</Pages>
  <Words>1254</Words>
  <Characters>7148</Characters>
  <Application>Microsoft Office Word</Application>
  <DocSecurity>0</DocSecurity>
  <Lines>59</Lines>
  <Paragraphs>16</Paragraphs>
  <ScaleCrop>false</ScaleCrop>
  <Company>四川省财政厅</Company>
  <LinksUpToDate>false</LinksUpToDate>
  <CharactersWithSpaces>8386</CharactersWithSpaces>
  <SharedDoc>false</SharedDoc>
  <HyperlinksChanged>false</HyperlinksChanged>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asd</cp:lastModifiedBy>
  <cp:lastPrinted>2022-08-06T02:23:00Z</cp:lastPrinted>
  <dcterms:modified xsi:type="dcterms:W3CDTF">2022-11-03T01:14:31Z</dcterms:modified>
  <dc:title>四川省***</dc:title>
  <cp:revision>32</cp:revision>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User</cp:lastModifiedBy>
  <cp:revision>34</cp:revision>
  <cp:lastPrinted>2022-08-06T02:23:00Z</cp:lastPrinted>
  <dcterms:created xsi:type="dcterms:W3CDTF">2020-08-05T01:49:00Z</dcterms:created>
  <dcterms:modified xsi:type="dcterms:W3CDTF">2023-02-24T02:51:00Z</dcterms:modified>
</cp:coreProperties>
</file>

<file path=customXml/item7.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6AEB641DDFB64490B32C30AD50813FCF</vt:lpstr>
  </property>
</Properties>
</file>

<file path=customXml/item8.xml><?xml version="1.0" encoding="utf-8"?>
<Properties xmlns:vt="http://schemas.openxmlformats.org/officeDocument/2006/docPropsVTypes" xmlns="http://schemas.openxmlformats.org/officeDocument/2006/extended-properties">
  <Template>Normal</Template>
  <TotalTime>5</TotalTime>
  <Pages>18</Pages>
  <Words>1254</Words>
  <Characters>7148</Characters>
  <Application>Microsoft Office Word</Application>
  <DocSecurity>0</DocSecurity>
  <Lines>59</Lines>
  <Paragraphs>16</Paragraphs>
  <Company>四川省财政厅</Company>
  <CharactersWithSpaces>8386</CharactersWithSpaces>
  <AppVersion>12.0000</AppVersion>
</Properties>
</file>

<file path=customXml/item9.xml><?xml version="1.0" encoding="utf-8"?>
<Properties xmlns="http://schemas.openxmlformats.org/officeDocument/2006/extended-properties" xmlns:vt="http://schemas.openxmlformats.org/officeDocument/2006/docPropsVTypes">
  <Template>Normal.dotm</Template>
  <Company>四川省财政厅</Company>
  <Pages>18</Pages>
  <Words>5939</Words>
  <Characters>6422</Characters>
  <Lines>61</Lines>
  <Paragraphs>17</Paragraphs>
  <TotalTime>2</TotalTime>
  <ScaleCrop>false</ScaleCrop>
  <LinksUpToDate>false</LinksUpToDate>
  <CharactersWithSpaces>6555</CharactersWithSpaces>
  <Application>WPS Office_11.1.0.9208_F1E327BC-269C-435d-A152-05C5408002CA</Application>
  <DocSecurity>0</DocSecuri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2A13391A-887A-4EE7-AA41-969DADB0AE6E}">
  <ds:schemaRefs/>
</ds:datastoreItem>
</file>

<file path=customXml/itemProps11.xml><?xml version="1.0" encoding="utf-8"?>
<ds:datastoreItem xmlns:ds="http://schemas.openxmlformats.org/officeDocument/2006/customXml" ds:itemID="{5C9DA20E-682F-480A-98F4-FC31C0F96604}">
  <ds:schemaRefs/>
</ds:datastoreItem>
</file>

<file path=customXml/itemProps12.xml><?xml version="1.0" encoding="utf-8"?>
<ds:datastoreItem xmlns:ds="http://schemas.openxmlformats.org/officeDocument/2006/customXml" ds:itemID="{39E11382-0225-4B54-81C6-CEF5176C3591}">
  <ds:schemaRefs/>
</ds:datastoreItem>
</file>

<file path=customXml/itemProps13.xml><?xml version="1.0" encoding="utf-8"?>
<ds:datastoreItem xmlns:ds="http://schemas.openxmlformats.org/officeDocument/2006/customXml" ds:itemID="{9ce5c055-9238-428d-8b94-d440f614a02e}">
  <ds:schemaRefs/>
</ds:datastoreItem>
</file>

<file path=customXml/itemProps2.xml><?xml version="1.0" encoding="utf-8"?>
<ds:datastoreItem xmlns:ds="http://schemas.openxmlformats.org/officeDocument/2006/customXml" ds:itemID="{3AAEB5F7-59D5-4AF6-84BB-16CF5BE197CE}">
  <ds:schemaRefs/>
</ds:datastoreItem>
</file>

<file path=customXml/itemProps3.xml><?xml version="1.0" encoding="utf-8"?>
<ds:datastoreItem xmlns:ds="http://schemas.openxmlformats.org/officeDocument/2006/customXml" ds:itemID="{eab5569b-8b64-447a-9abf-41d80f5a92f9}">
  <ds:schemaRefs/>
</ds:datastoreItem>
</file>

<file path=customXml/itemProps4.xml><?xml version="1.0" encoding="utf-8"?>
<ds:datastoreItem xmlns:ds="http://schemas.openxmlformats.org/officeDocument/2006/customXml" ds:itemID="{98da635c-8dce-4e6f-bdc1-306f613ec9d5}">
  <ds:schemaRefs/>
</ds:datastoreItem>
</file>

<file path=customXml/itemProps5.xml><?xml version="1.0" encoding="utf-8"?>
<ds:datastoreItem xmlns:ds="http://schemas.openxmlformats.org/officeDocument/2006/customXml" ds:itemID="{1BE69602-932C-4262-A431-3076F46CDADD}">
  <ds:schemaRefs/>
</ds:datastoreItem>
</file>

<file path=customXml/itemProps6.xml><?xml version="1.0" encoding="utf-8"?>
<ds:datastoreItem xmlns:ds="http://schemas.openxmlformats.org/officeDocument/2006/customXml" ds:itemID="{807a39b6-6d7a-4ddb-b2f7-69c2f93ccd09}">
  <ds:schemaRefs/>
</ds:datastoreItem>
</file>

<file path=customXml/itemProps7.xml><?xml version="1.0" encoding="utf-8"?>
<ds:datastoreItem xmlns:ds="http://schemas.openxmlformats.org/officeDocument/2006/customXml" ds:itemID="{8a2f797e-068b-4953-9446-91c4158ebc27}">
  <ds:schemaRefs/>
</ds:datastoreItem>
</file>

<file path=customXml/itemProps8.xml><?xml version="1.0" encoding="utf-8"?>
<ds:datastoreItem xmlns:ds="http://schemas.openxmlformats.org/officeDocument/2006/customXml" ds:itemID="{90b15886-6356-495f-8d63-95c34b643ad8}">
  <ds:schemaRefs/>
</ds:datastoreItem>
</file>

<file path=customXml/itemProps9.xml><?xml version="1.0" encoding="utf-8"?>
<ds:datastoreItem xmlns:ds="http://schemas.openxmlformats.org/officeDocument/2006/customXml" ds:itemID="{471433A0-8BAD-4020-98A8-10CD81577F32}">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18</Pages>
  <Words>5810</Words>
  <Characters>6278</Characters>
  <Lines>59</Lines>
  <Paragraphs>16</Paragraphs>
  <TotalTime>6</TotalTime>
  <ScaleCrop>false</ScaleCrop>
  <LinksUpToDate>false</LinksUpToDate>
  <CharactersWithSpaces>6410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狂奔的蜗牛</cp:lastModifiedBy>
  <cp:lastPrinted>2022-08-06T02:23:00Z</cp:lastPrinted>
  <dcterms:modified xsi:type="dcterms:W3CDTF">2023-06-18T11:49:48Z</dcterms:modified>
  <dc:title>四川省_x002A__x002A__x002A_</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4A520B7663454B54B9DCD82F97E624CA_12</vt:lpwstr>
  </property>
</Properties>
</file>