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distribute"/>
      </w:pPr>
    </w:p>
    <w:p>
      <w:pPr>
        <w:adjustRightInd w:val="0"/>
        <w:snapToGrid w:val="0"/>
        <w:spacing w:line="360" w:lineRule="auto"/>
        <w:jc w:val="center"/>
        <w:rPr>
          <w:rFonts w:ascii="方正小标宋简体" w:hAnsi="宋体" w:eastAsia="方正小标宋简体"/>
          <w:b/>
          <w:bCs/>
          <w:color w:val="000000"/>
          <w:sz w:val="72"/>
          <w:szCs w:val="72"/>
        </w:rPr>
      </w:pPr>
    </w:p>
    <w:p>
      <w:pPr>
        <w:adjustRightInd w:val="0"/>
        <w:snapToGrid w:val="0"/>
        <w:spacing w:line="360" w:lineRule="auto"/>
        <w:jc w:val="center"/>
        <w:rPr>
          <w:rFonts w:ascii="方正小标宋简体" w:hAnsi="宋体" w:eastAsia="方正小标宋简体"/>
          <w:b/>
          <w:bCs/>
          <w:color w:val="000000"/>
          <w:sz w:val="72"/>
          <w:szCs w:val="72"/>
        </w:rPr>
      </w:pPr>
      <w:r>
        <w:rPr>
          <w:rFonts w:hint="eastAsia" w:ascii="方正小标宋简体" w:hAnsi="宋体" w:eastAsia="方正小标宋简体"/>
          <w:b/>
          <w:bCs/>
          <w:color w:val="000000"/>
          <w:sz w:val="72"/>
          <w:szCs w:val="72"/>
        </w:rPr>
        <w:t>2021年度</w:t>
      </w:r>
    </w:p>
    <w:p>
      <w:pPr>
        <w:adjustRightInd w:val="0"/>
        <w:snapToGrid w:val="0"/>
        <w:spacing w:line="360" w:lineRule="auto"/>
        <w:jc w:val="center"/>
        <w:rPr>
          <w:rFonts w:ascii="方正小标宋简体" w:hAnsi="宋体" w:eastAsia="方正小标宋简体"/>
          <w:b/>
          <w:bCs/>
          <w:color w:val="000000"/>
          <w:sz w:val="72"/>
          <w:szCs w:val="72"/>
        </w:rPr>
      </w:pPr>
      <w:bookmarkStart w:id="0" w:name="_Toc15377194"/>
      <w:bookmarkStart w:id="1" w:name="_Toc15396598"/>
      <w:bookmarkStart w:id="2" w:name="_Toc15378442"/>
      <w:bookmarkStart w:id="3" w:name="_Toc15396476"/>
      <w:bookmarkStart w:id="4" w:name="_Toc15377426"/>
      <w:bookmarkStart w:id="5" w:name="_Toc15306268"/>
      <w:r>
        <w:rPr>
          <w:rFonts w:hint="eastAsia" w:ascii="方正小标宋简体" w:hAnsi="宋体" w:eastAsia="方正小标宋简体"/>
          <w:b/>
          <w:bCs/>
          <w:color w:val="000000"/>
          <w:sz w:val="72"/>
          <w:szCs w:val="72"/>
        </w:rPr>
        <w:t>通江县三溪镇中心小学</w:t>
      </w:r>
    </w:p>
    <w:p>
      <w:pPr>
        <w:adjustRightInd w:val="0"/>
        <w:snapToGrid w:val="0"/>
        <w:spacing w:line="360" w:lineRule="auto"/>
        <w:jc w:val="center"/>
        <w:rPr>
          <w:rFonts w:ascii="方正小标宋简体" w:hAnsi="宋体" w:eastAsia="方正小标宋简体"/>
          <w:b/>
          <w:bCs/>
          <w:color w:val="000000"/>
          <w:sz w:val="72"/>
          <w:szCs w:val="72"/>
        </w:rPr>
      </w:pPr>
      <w:r>
        <w:rPr>
          <w:rFonts w:hint="eastAsia" w:ascii="方正小标宋简体" w:hAnsi="宋体" w:eastAsia="方正小标宋简体"/>
          <w:b/>
          <w:bCs/>
          <w:color w:val="000000"/>
          <w:sz w:val="72"/>
          <w:szCs w:val="72"/>
        </w:rPr>
        <w:t>单位决算</w:t>
      </w:r>
      <w:bookmarkEnd w:id="0"/>
      <w:bookmarkEnd w:id="1"/>
      <w:bookmarkEnd w:id="2"/>
      <w:bookmarkEnd w:id="3"/>
      <w:bookmarkEnd w:id="4"/>
      <w:bookmarkEnd w:id="5"/>
    </w:p>
    <w:p>
      <w:pPr>
        <w:adjustRightInd w:val="0"/>
        <w:snapToGrid w:val="0"/>
        <w:spacing w:line="360" w:lineRule="auto"/>
        <w:jc w:val="center"/>
        <w:rPr>
          <w:rFonts w:ascii="方正小标宋简体" w:hAnsi="宋体" w:eastAsia="方正小标宋简体"/>
          <w:color w:val="000000"/>
          <w:sz w:val="72"/>
          <w:szCs w:val="72"/>
        </w:rPr>
      </w:pPr>
    </w:p>
    <w:p>
      <w:pPr>
        <w:pStyle w:val="46"/>
        <w:jc w:val="both"/>
        <w:rPr>
          <w:rFonts w:ascii="宋体" w:hAnsi="宋体" w:eastAsia="宋体"/>
          <w:sz w:val="36"/>
          <w:szCs w:val="36"/>
        </w:rPr>
      </w:pPr>
    </w:p>
    <w:p>
      <w:pPr>
        <w:pStyle w:val="46"/>
        <w:rPr>
          <w:rFonts w:ascii="宋体" w:hAnsi="宋体" w:eastAsia="宋体"/>
          <w:sz w:val="36"/>
          <w:szCs w:val="36"/>
        </w:rPr>
      </w:pPr>
    </w:p>
    <w:p>
      <w:pPr>
        <w:pStyle w:val="46"/>
        <w:rPr>
          <w:rFonts w:ascii="宋体" w:hAnsi="宋体" w:eastAsia="宋体"/>
          <w:sz w:val="36"/>
          <w:szCs w:val="36"/>
        </w:rPr>
      </w:pPr>
      <w:bookmarkStart w:id="6" w:name="_Toc15396599"/>
      <w:bookmarkStart w:id="7" w:name="_Toc15377196"/>
    </w:p>
    <w:p>
      <w:pPr>
        <w:pStyle w:val="46"/>
        <w:rPr>
          <w:rFonts w:ascii="宋体" w:hAnsi="宋体" w:eastAsia="宋体"/>
          <w:sz w:val="36"/>
          <w:szCs w:val="36"/>
        </w:rPr>
      </w:pPr>
    </w:p>
    <w:p>
      <w:pPr>
        <w:pStyle w:val="46"/>
        <w:rPr>
          <w:rFonts w:ascii="宋体" w:hAnsi="宋体" w:eastAsia="宋体"/>
          <w:sz w:val="36"/>
          <w:szCs w:val="36"/>
        </w:rPr>
      </w:pPr>
    </w:p>
    <w:p>
      <w:pPr>
        <w:pStyle w:val="46"/>
        <w:rPr>
          <w:rFonts w:ascii="宋体" w:hAnsi="宋体" w:eastAsia="宋体"/>
          <w:sz w:val="36"/>
          <w:szCs w:val="36"/>
        </w:rPr>
      </w:pPr>
    </w:p>
    <w:p>
      <w:pPr>
        <w:pStyle w:val="46"/>
        <w:rPr>
          <w:rFonts w:ascii="宋体" w:hAnsi="宋体" w:eastAsia="宋体"/>
          <w:sz w:val="36"/>
          <w:szCs w:val="36"/>
        </w:rPr>
      </w:pPr>
    </w:p>
    <w:p>
      <w:pPr>
        <w:pStyle w:val="46"/>
        <w:jc w:val="both"/>
        <w:rPr>
          <w:rFonts w:ascii="黑体" w:hAnsi="黑体" w:eastAsia="黑体"/>
          <w:color w:val="000000"/>
          <w:sz w:val="48"/>
          <w:szCs w:val="48"/>
        </w:rPr>
      </w:pPr>
    </w:p>
    <w:p>
      <w:pPr>
        <w:rPr>
          <w:rFonts w:ascii="黑体" w:hAnsi="黑体" w:eastAsia="黑体"/>
          <w:color w:val="000000"/>
          <w:sz w:val="48"/>
          <w:szCs w:val="48"/>
        </w:rPr>
      </w:pPr>
    </w:p>
    <w:p>
      <w:pPr>
        <w:rPr>
          <w:rFonts w:ascii="黑体" w:hAnsi="黑体" w:eastAsia="黑体"/>
          <w:color w:val="000000"/>
          <w:sz w:val="48"/>
          <w:szCs w:val="48"/>
        </w:rPr>
      </w:pPr>
    </w:p>
    <w:p/>
    <w:p/>
    <w:p>
      <w:pPr>
        <w:pStyle w:val="40"/>
        <w:rPr>
          <w:rFonts w:ascii="黑体" w:hAnsi="黑体" w:eastAsia="黑体"/>
          <w:color w:val="000000"/>
          <w:sz w:val="48"/>
          <w:szCs w:val="48"/>
        </w:rPr>
      </w:pPr>
      <w:r>
        <w:rPr>
          <w:rFonts w:hint="eastAsia" w:ascii="黑体" w:hAnsi="黑体" w:eastAsia="黑体"/>
          <w:color w:val="000000"/>
          <w:sz w:val="48"/>
          <w:szCs w:val="48"/>
        </w:rPr>
        <w:t>目录</w:t>
      </w:r>
    </w:p>
    <w:p>
      <w:pPr>
        <w:pStyle w:val="40"/>
        <w:rPr>
          <w:rFonts w:ascii="黑体" w:hAnsi="黑体" w:eastAsia="黑体"/>
          <w:color w:val="000000"/>
          <w:sz w:val="48"/>
          <w:szCs w:val="48"/>
        </w:rPr>
      </w:pPr>
      <w:r>
        <w:rPr>
          <w:rFonts w:hint="eastAsia"/>
          <w:sz w:val="24"/>
          <w:szCs w:val="24"/>
        </w:rPr>
        <w:t>公开时间：</w:t>
      </w:r>
      <w:r>
        <w:rPr>
          <w:sz w:val="24"/>
          <w:szCs w:val="24"/>
        </w:rPr>
        <w:t>202</w:t>
      </w:r>
      <w:r>
        <w:rPr>
          <w:rFonts w:hint="eastAsia"/>
          <w:sz w:val="24"/>
          <w:szCs w:val="24"/>
        </w:rPr>
        <w:t>2年8月25日</w:t>
      </w:r>
    </w:p>
    <w:p/>
    <w:p>
      <w:pPr>
        <w:jc w:val="center"/>
      </w:pPr>
    </w:p>
    <w:p>
      <w:pPr>
        <w:pStyle w:val="51"/>
        <w:tabs>
          <w:tab w:val="right" w:leader="dot" w:pos="8980"/>
        </w:tabs>
        <w:rPr>
          <w:b/>
        </w:rPr>
      </w:pPr>
      <w:r>
        <w:fldChar w:fldCharType="begin"/>
      </w:r>
      <w:r>
        <w:instrText xml:space="preserve">TOC \o "1-2" \h \u</w:instrText>
      </w:r>
      <w:r>
        <w:rPr>
          <w:rFonts w:ascii="仿宋" w:hAnsi="仿宋" w:eastAsia="仿宋"/>
          <w:bCs/>
          <w:kern w:val="44"/>
          <w:sz w:val="24"/>
        </w:rPr>
        <w:fldChar w:fldCharType="separate"/>
      </w:r>
      <w:r>
        <w:fldChar w:fldCharType="begin"/>
      </w:r>
      <w:r>
        <w:instrText xml:space="preserve"> HYPERLINK \l "_Toc14358"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_Toc14358 </w:instrText>
      </w:r>
      <w:r>
        <w:rPr>
          <w:b/>
        </w:rPr>
        <w:fldChar w:fldCharType="separate"/>
      </w:r>
      <w:r>
        <w:rPr>
          <w:b/>
        </w:rPr>
        <w:t>3</w:t>
      </w:r>
      <w:r>
        <w:rPr>
          <w:b/>
        </w:rPr>
        <w:fldChar w:fldCharType="end"/>
      </w:r>
      <w:r>
        <w:rPr>
          <w:b/>
        </w:rPr>
        <w:fldChar w:fldCharType="end"/>
      </w:r>
    </w:p>
    <w:p>
      <w:pPr>
        <w:pStyle w:val="52"/>
        <w:tabs>
          <w:tab w:val="right" w:leader="dot" w:pos="8980"/>
        </w:tabs>
        <w:ind w:left="420"/>
      </w:pPr>
      <w:r>
        <w:fldChar w:fldCharType="begin"/>
      </w:r>
      <w:r>
        <w:instrText xml:space="preserve"> HYPERLINK \l "_Toc28173" </w:instrText>
      </w:r>
      <w:r>
        <w:fldChar w:fldCharType="separate"/>
      </w:r>
      <w:r>
        <w:rPr>
          <w:rFonts w:hint="eastAsia" w:ascii="黑体" w:hAnsi="黑体" w:eastAsia="黑体"/>
        </w:rPr>
        <w:t>一、职能简介</w:t>
      </w:r>
      <w:r>
        <w:tab/>
      </w:r>
      <w:r>
        <w:fldChar w:fldCharType="begin"/>
      </w:r>
      <w:r>
        <w:instrText xml:space="preserve"> PAGEREF _Toc28173 </w:instrText>
      </w:r>
      <w:r>
        <w:fldChar w:fldCharType="separate"/>
      </w:r>
      <w:r>
        <w:t>3</w:t>
      </w:r>
      <w:r>
        <w:fldChar w:fldCharType="end"/>
      </w:r>
      <w:r>
        <w:fldChar w:fldCharType="end"/>
      </w:r>
    </w:p>
    <w:p>
      <w:pPr>
        <w:pStyle w:val="52"/>
        <w:tabs>
          <w:tab w:val="right" w:leader="dot" w:pos="8980"/>
        </w:tabs>
        <w:ind w:left="420"/>
      </w:pPr>
      <w:r>
        <w:fldChar w:fldCharType="begin"/>
      </w:r>
      <w:r>
        <w:instrText xml:space="preserve"> HYPERLINK \l "_Toc15493" </w:instrText>
      </w:r>
      <w:r>
        <w:fldChar w:fldCharType="separate"/>
      </w:r>
      <w:r>
        <w:rPr>
          <w:rFonts w:hint="eastAsia" w:ascii="黑体" w:hAnsi="黑体" w:eastAsia="黑体"/>
          <w:bCs/>
          <w:u w:val="thick" w:color="FFB03A"/>
          <w:shd w:val="clear" w:fill="FFEFD8"/>
        </w:rPr>
        <w:t>二、</w:t>
      </w:r>
      <w:r>
        <w:rPr>
          <w:rFonts w:hint="eastAsia" w:ascii="黑体" w:hAnsi="黑体" w:eastAsia="黑体"/>
          <w:bCs/>
        </w:rPr>
        <w:t>2021年重点工作完成情况</w:t>
      </w:r>
      <w:r>
        <w:tab/>
      </w:r>
      <w:r>
        <w:fldChar w:fldCharType="begin"/>
      </w:r>
      <w:r>
        <w:instrText xml:space="preserve"> PAGEREF _Toc15493 </w:instrText>
      </w:r>
      <w:r>
        <w:fldChar w:fldCharType="separate"/>
      </w:r>
      <w:r>
        <w:t>3</w:t>
      </w:r>
      <w:r>
        <w:fldChar w:fldCharType="end"/>
      </w:r>
      <w:r>
        <w:fldChar w:fldCharType="end"/>
      </w:r>
    </w:p>
    <w:p>
      <w:pPr>
        <w:pStyle w:val="51"/>
        <w:tabs>
          <w:tab w:val="right" w:leader="dot" w:pos="8980"/>
        </w:tabs>
        <w:rPr>
          <w:rFonts w:hint="eastAsia" w:ascii="黑体" w:hAnsi="黑体" w:eastAsia="黑体"/>
          <w:b/>
        </w:rPr>
      </w:pPr>
      <w:r>
        <w:fldChar w:fldCharType="begin"/>
      </w:r>
      <w:r>
        <w:instrText xml:space="preserve"> HYPERLINK \l "_Toc32751" </w:instrText>
      </w:r>
      <w:r>
        <w:fldChar w:fldCharType="separate"/>
      </w:r>
      <w:r>
        <w:rPr>
          <w:rFonts w:hint="eastAsia" w:ascii="黑体" w:hAnsi="黑体" w:eastAsia="黑体"/>
          <w:b/>
        </w:rPr>
        <w:t>第二部分</w:t>
      </w:r>
      <w:r>
        <w:rPr>
          <w:rFonts w:ascii="黑体" w:hAnsi="黑体" w:eastAsia="黑体"/>
          <w:b/>
        </w:rPr>
        <w:t xml:space="preserve"> 202</w:t>
      </w:r>
      <w:r>
        <w:rPr>
          <w:rFonts w:hint="eastAsia" w:ascii="黑体" w:hAnsi="黑体" w:eastAsia="黑体"/>
          <w:b/>
        </w:rPr>
        <w:t>1年度单位决算情况说明</w:t>
      </w:r>
    </w:p>
    <w:p>
      <w:pPr>
        <w:pStyle w:val="51"/>
        <w:tabs>
          <w:tab w:val="right" w:leader="dot" w:pos="8980"/>
        </w:tabs>
        <w:ind w:firstLine="400" w:firstLineChars="200"/>
        <w:rPr>
          <w:b/>
        </w:rPr>
      </w:pPr>
      <w:r>
        <w:rPr>
          <w:rFonts w:hint="eastAsia" w:ascii="黑体" w:hAnsi="黑体" w:eastAsia="黑体"/>
          <w:b w:val="0"/>
          <w:bCs/>
        </w:rPr>
        <w:t>一、</w:t>
      </w:r>
      <w:r>
        <w:rPr>
          <w:rFonts w:hint="eastAsia" w:ascii="黑体" w:hAnsi="黑体" w:eastAsia="黑体"/>
          <w:b w:val="0"/>
          <w:bCs/>
          <w:szCs w:val="32"/>
        </w:rPr>
        <w:t>收</w:t>
      </w:r>
      <w:r>
        <w:rPr>
          <w:rFonts w:hint="eastAsia" w:ascii="黑体" w:hAnsi="黑体" w:eastAsia="黑体"/>
          <w:b w:val="0"/>
          <w:bCs/>
        </w:rPr>
        <w:t>入支出决算总体情况说明</w:t>
      </w:r>
      <w:r>
        <w:rPr>
          <w:b/>
        </w:rPr>
        <w:tab/>
      </w:r>
      <w:r>
        <w:rPr>
          <w:b/>
        </w:rPr>
        <w:fldChar w:fldCharType="begin"/>
      </w:r>
      <w:r>
        <w:rPr>
          <w:b/>
        </w:rPr>
        <w:instrText xml:space="preserve"> PAGEREF _Toc32751 </w:instrText>
      </w:r>
      <w:r>
        <w:rPr>
          <w:b/>
        </w:rPr>
        <w:fldChar w:fldCharType="separate"/>
      </w:r>
      <w:r>
        <w:rPr>
          <w:b/>
        </w:rPr>
        <w:t>4</w:t>
      </w:r>
      <w:r>
        <w:rPr>
          <w:b/>
        </w:rPr>
        <w:fldChar w:fldCharType="end"/>
      </w:r>
      <w:r>
        <w:rPr>
          <w:b/>
        </w:rPr>
        <w:fldChar w:fldCharType="end"/>
      </w:r>
    </w:p>
    <w:p>
      <w:pPr>
        <w:pStyle w:val="52"/>
        <w:tabs>
          <w:tab w:val="right" w:leader="dot" w:pos="8980"/>
        </w:tabs>
        <w:ind w:left="420"/>
      </w:pPr>
      <w:r>
        <w:fldChar w:fldCharType="begin"/>
      </w:r>
      <w:r>
        <w:instrText xml:space="preserve"> HYPERLINK \l "_Toc26986" </w:instrText>
      </w:r>
      <w:r>
        <w:fldChar w:fldCharType="separate"/>
      </w:r>
      <w:r>
        <w:rPr>
          <w:rFonts w:hint="eastAsia" w:ascii="黑体" w:hAnsi="黑体" w:eastAsia="黑体"/>
          <w:szCs w:val="32"/>
          <w:u w:val="thick" w:color="FFB03A"/>
          <w:shd w:val="clear" w:fill="FFEFD8"/>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_Toc26986 </w:instrText>
      </w:r>
      <w:r>
        <w:fldChar w:fldCharType="separate"/>
      </w:r>
      <w:r>
        <w:t>4</w:t>
      </w:r>
      <w:r>
        <w:fldChar w:fldCharType="end"/>
      </w:r>
      <w:r>
        <w:fldChar w:fldCharType="end"/>
      </w:r>
    </w:p>
    <w:p>
      <w:pPr>
        <w:pStyle w:val="52"/>
        <w:tabs>
          <w:tab w:val="right" w:leader="dot" w:pos="8980"/>
        </w:tabs>
        <w:ind w:left="420"/>
      </w:pPr>
      <w:r>
        <w:fldChar w:fldCharType="begin"/>
      </w:r>
      <w:r>
        <w:instrText xml:space="preserve"> HYPERLINK \l "_Toc11942" </w:instrText>
      </w:r>
      <w:r>
        <w:fldChar w:fldCharType="separate"/>
      </w:r>
      <w:r>
        <w:rPr>
          <w:rFonts w:hint="eastAsia" w:ascii="黑体" w:hAnsi="黑体" w:eastAsia="黑体"/>
          <w:szCs w:val="32"/>
        </w:rPr>
        <w:t>三、支</w:t>
      </w:r>
      <w:r>
        <w:rPr>
          <w:rFonts w:hint="eastAsia" w:ascii="黑体" w:hAnsi="黑体" w:eastAsia="黑体"/>
        </w:rPr>
        <w:t>出决算情况说明</w:t>
      </w:r>
      <w:r>
        <w:tab/>
      </w:r>
      <w:r>
        <w:fldChar w:fldCharType="begin"/>
      </w:r>
      <w:r>
        <w:instrText xml:space="preserve"> PAGEREF _Toc11942 </w:instrText>
      </w:r>
      <w:r>
        <w:fldChar w:fldCharType="separate"/>
      </w:r>
      <w:r>
        <w:t>5</w:t>
      </w:r>
      <w:r>
        <w:fldChar w:fldCharType="end"/>
      </w:r>
      <w:r>
        <w:fldChar w:fldCharType="end"/>
      </w:r>
    </w:p>
    <w:p>
      <w:pPr>
        <w:pStyle w:val="52"/>
        <w:tabs>
          <w:tab w:val="right" w:leader="dot" w:pos="8980"/>
        </w:tabs>
        <w:ind w:left="420"/>
      </w:pPr>
      <w:r>
        <w:fldChar w:fldCharType="begin"/>
      </w:r>
      <w:r>
        <w:instrText xml:space="preserve"> HYPERLINK \l "_Toc209"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_Toc209 </w:instrText>
      </w:r>
      <w:r>
        <w:fldChar w:fldCharType="separate"/>
      </w:r>
      <w:r>
        <w:t>5</w:t>
      </w:r>
      <w:r>
        <w:fldChar w:fldCharType="end"/>
      </w:r>
      <w:r>
        <w:fldChar w:fldCharType="end"/>
      </w:r>
    </w:p>
    <w:p>
      <w:pPr>
        <w:pStyle w:val="52"/>
        <w:tabs>
          <w:tab w:val="right" w:leader="dot" w:pos="8980"/>
        </w:tabs>
        <w:ind w:left="420"/>
      </w:pPr>
      <w:r>
        <w:fldChar w:fldCharType="begin"/>
      </w:r>
      <w:r>
        <w:instrText xml:space="preserve"> HYPERLINK \l "_Toc14851"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_Toc14851 </w:instrText>
      </w:r>
      <w:r>
        <w:fldChar w:fldCharType="separate"/>
      </w:r>
      <w:r>
        <w:t>6</w:t>
      </w:r>
      <w:r>
        <w:fldChar w:fldCharType="end"/>
      </w:r>
      <w:r>
        <w:fldChar w:fldCharType="end"/>
      </w:r>
    </w:p>
    <w:p>
      <w:pPr>
        <w:pStyle w:val="52"/>
        <w:tabs>
          <w:tab w:val="right" w:leader="dot" w:pos="8980"/>
        </w:tabs>
        <w:ind w:left="420"/>
      </w:pPr>
      <w:r>
        <w:fldChar w:fldCharType="begin"/>
      </w:r>
      <w:r>
        <w:instrText xml:space="preserve"> HYPERLINK \l "_Toc19628" </w:instrText>
      </w:r>
      <w:r>
        <w:fldChar w:fldCharType="separate"/>
      </w:r>
      <w:r>
        <w:rPr>
          <w:rFonts w:hint="eastAsia" w:ascii="黑体" w:hAnsi="黑体" w:eastAsia="黑体"/>
          <w:szCs w:val="32"/>
        </w:rPr>
        <w:t>六、一般公共预算财政拨款基本支出决算情况说明</w:t>
      </w:r>
      <w:r>
        <w:tab/>
      </w:r>
      <w:r>
        <w:fldChar w:fldCharType="begin"/>
      </w:r>
      <w:r>
        <w:instrText xml:space="preserve"> PAGEREF _Toc19628 </w:instrText>
      </w:r>
      <w:r>
        <w:fldChar w:fldCharType="separate"/>
      </w:r>
      <w:r>
        <w:t>8</w:t>
      </w:r>
      <w:r>
        <w:fldChar w:fldCharType="end"/>
      </w:r>
      <w:r>
        <w:fldChar w:fldCharType="end"/>
      </w:r>
    </w:p>
    <w:p>
      <w:pPr>
        <w:pStyle w:val="52"/>
        <w:tabs>
          <w:tab w:val="right" w:leader="dot" w:pos="8980"/>
        </w:tabs>
        <w:ind w:left="420"/>
      </w:pPr>
      <w:r>
        <w:fldChar w:fldCharType="begin"/>
      </w:r>
      <w:r>
        <w:instrText xml:space="preserve"> HYPERLINK \l "_Toc16352"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_Toc16352 </w:instrText>
      </w:r>
      <w:r>
        <w:fldChar w:fldCharType="separate"/>
      </w:r>
      <w:r>
        <w:t>8</w:t>
      </w:r>
      <w:r>
        <w:fldChar w:fldCharType="end"/>
      </w:r>
      <w:r>
        <w:fldChar w:fldCharType="end"/>
      </w:r>
    </w:p>
    <w:p>
      <w:pPr>
        <w:pStyle w:val="52"/>
        <w:tabs>
          <w:tab w:val="right" w:leader="dot" w:pos="8980"/>
        </w:tabs>
        <w:ind w:left="420"/>
      </w:pPr>
      <w:r>
        <w:fldChar w:fldCharType="begin"/>
      </w:r>
      <w:r>
        <w:instrText xml:space="preserve"> HYPERLINK \l "_Toc29418" </w:instrText>
      </w:r>
      <w:r>
        <w:fldChar w:fldCharType="separate"/>
      </w:r>
      <w:r>
        <w:rPr>
          <w:rFonts w:hint="eastAsia" w:ascii="黑体" w:eastAsia="黑体"/>
          <w:szCs w:val="32"/>
        </w:rPr>
        <w:t>八、政府性基金预算支出决算情况说明</w:t>
      </w:r>
      <w:r>
        <w:tab/>
      </w:r>
      <w:r>
        <w:fldChar w:fldCharType="begin"/>
      </w:r>
      <w:r>
        <w:instrText xml:space="preserve"> PAGEREF _Toc29418 </w:instrText>
      </w:r>
      <w:r>
        <w:fldChar w:fldCharType="separate"/>
      </w:r>
      <w:r>
        <w:t>9</w:t>
      </w:r>
      <w:r>
        <w:fldChar w:fldCharType="end"/>
      </w:r>
      <w:r>
        <w:fldChar w:fldCharType="end"/>
      </w:r>
    </w:p>
    <w:p>
      <w:pPr>
        <w:pStyle w:val="52"/>
        <w:tabs>
          <w:tab w:val="right" w:leader="dot" w:pos="8980"/>
        </w:tabs>
        <w:ind w:left="420"/>
      </w:pPr>
      <w:r>
        <w:fldChar w:fldCharType="begin"/>
      </w:r>
      <w:r>
        <w:instrText xml:space="preserve"> HYPERLINK \l "_Toc18762" </w:instrText>
      </w:r>
      <w:r>
        <w:fldChar w:fldCharType="separate"/>
      </w:r>
      <w:r>
        <w:rPr>
          <w:rFonts w:hint="eastAsia" w:ascii="黑体" w:hAnsi="黑体" w:eastAsia="黑体"/>
          <w:szCs w:val="28"/>
        </w:rPr>
        <w:t>九、国有资本经营预算支出决算情况说明</w:t>
      </w:r>
      <w:r>
        <w:tab/>
      </w:r>
      <w:r>
        <w:fldChar w:fldCharType="begin"/>
      </w:r>
      <w:r>
        <w:instrText xml:space="preserve"> PAGEREF _Toc18762 </w:instrText>
      </w:r>
      <w:r>
        <w:fldChar w:fldCharType="separate"/>
      </w:r>
      <w:r>
        <w:t>9</w:t>
      </w:r>
      <w:r>
        <w:fldChar w:fldCharType="end"/>
      </w:r>
      <w:r>
        <w:fldChar w:fldCharType="end"/>
      </w:r>
    </w:p>
    <w:p>
      <w:pPr>
        <w:pStyle w:val="52"/>
        <w:tabs>
          <w:tab w:val="right" w:leader="dot" w:pos="8980"/>
        </w:tabs>
        <w:ind w:left="420"/>
      </w:pPr>
      <w:r>
        <w:fldChar w:fldCharType="begin"/>
      </w:r>
      <w:r>
        <w:instrText xml:space="preserve"> HYPERLINK \l "_Toc30566" </w:instrText>
      </w:r>
      <w:r>
        <w:fldChar w:fldCharType="separate"/>
      </w:r>
      <w:r>
        <w:rPr>
          <w:rFonts w:hint="eastAsia" w:ascii="黑体" w:hAnsi="黑体" w:eastAsia="黑体"/>
          <w:szCs w:val="28"/>
        </w:rPr>
        <w:t>十、其他重要事项的情况说明</w:t>
      </w:r>
      <w:r>
        <w:tab/>
      </w:r>
      <w:r>
        <w:fldChar w:fldCharType="begin"/>
      </w:r>
      <w:r>
        <w:instrText xml:space="preserve"> PAGEREF _Toc30566 </w:instrText>
      </w:r>
      <w:r>
        <w:fldChar w:fldCharType="separate"/>
      </w:r>
      <w:r>
        <w:t>9</w:t>
      </w:r>
      <w:r>
        <w:fldChar w:fldCharType="end"/>
      </w:r>
      <w:r>
        <w:fldChar w:fldCharType="end"/>
      </w:r>
    </w:p>
    <w:p>
      <w:pPr>
        <w:pStyle w:val="51"/>
        <w:tabs>
          <w:tab w:val="right" w:leader="dot" w:pos="8980"/>
        </w:tabs>
        <w:rPr>
          <w:b/>
        </w:rPr>
      </w:pPr>
      <w:r>
        <w:fldChar w:fldCharType="begin"/>
      </w:r>
      <w:r>
        <w:instrText xml:space="preserve"> HYPERLINK \l "_Toc6735" </w:instrText>
      </w:r>
      <w:r>
        <w:fldChar w:fldCharType="separate"/>
      </w:r>
      <w:r>
        <w:rPr>
          <w:rFonts w:hint="eastAsia" w:ascii="黑体" w:hAnsi="黑体" w:eastAsia="黑体" w:cs="黑体"/>
          <w:b/>
          <w:szCs w:val="44"/>
        </w:rPr>
        <w:t>第三部分名</w:t>
      </w:r>
      <w:r>
        <w:rPr>
          <w:rFonts w:hint="eastAsia" w:ascii="黑体" w:hAnsi="黑体" w:eastAsia="黑体" w:cs="黑体"/>
          <w:b/>
        </w:rPr>
        <w:t>词解释</w:t>
      </w:r>
      <w:r>
        <w:rPr>
          <w:b/>
        </w:rPr>
        <w:tab/>
      </w:r>
      <w:r>
        <w:rPr>
          <w:b/>
        </w:rPr>
        <w:fldChar w:fldCharType="begin"/>
      </w:r>
      <w:r>
        <w:rPr>
          <w:b/>
        </w:rPr>
        <w:instrText xml:space="preserve"> PAGEREF _Toc6735 </w:instrText>
      </w:r>
      <w:r>
        <w:rPr>
          <w:b/>
        </w:rPr>
        <w:fldChar w:fldCharType="separate"/>
      </w:r>
      <w:r>
        <w:rPr>
          <w:b/>
        </w:rPr>
        <w:t>11</w:t>
      </w:r>
      <w:r>
        <w:rPr>
          <w:b/>
        </w:rPr>
        <w:fldChar w:fldCharType="end"/>
      </w:r>
      <w:r>
        <w:rPr>
          <w:b/>
        </w:rPr>
        <w:fldChar w:fldCharType="end"/>
      </w:r>
    </w:p>
    <w:p>
      <w:pPr>
        <w:pStyle w:val="51"/>
        <w:tabs>
          <w:tab w:val="right" w:leader="dot" w:pos="8980"/>
        </w:tabs>
        <w:rPr>
          <w:b/>
        </w:rPr>
      </w:pPr>
      <w:r>
        <w:fldChar w:fldCharType="begin"/>
      </w:r>
      <w:r>
        <w:instrText xml:space="preserve"> HYPERLINK \l "_Toc9995" </w:instrText>
      </w:r>
      <w:r>
        <w:fldChar w:fldCharType="separate"/>
      </w:r>
      <w:r>
        <w:rPr>
          <w:rFonts w:hint="eastAsia" w:ascii="黑体" w:hAnsi="黑体" w:eastAsia="黑体" w:cs="黑体"/>
          <w:b/>
          <w:szCs w:val="44"/>
        </w:rPr>
        <w:t>第</w:t>
      </w:r>
      <w:r>
        <w:rPr>
          <w:rFonts w:hint="eastAsia" w:ascii="黑体" w:hAnsi="黑体" w:eastAsia="黑体" w:cs="黑体"/>
          <w:b/>
        </w:rPr>
        <w:t>四部分附件</w:t>
      </w:r>
      <w:r>
        <w:rPr>
          <w:b/>
        </w:rPr>
        <w:tab/>
      </w:r>
      <w:r>
        <w:rPr>
          <w:b/>
        </w:rPr>
        <w:fldChar w:fldCharType="begin"/>
      </w:r>
      <w:r>
        <w:rPr>
          <w:b/>
        </w:rPr>
        <w:instrText xml:space="preserve"> PAGEREF _Toc9995 </w:instrText>
      </w:r>
      <w:r>
        <w:rPr>
          <w:b/>
        </w:rPr>
        <w:fldChar w:fldCharType="separate"/>
      </w:r>
      <w:r>
        <w:rPr>
          <w:b/>
        </w:rPr>
        <w:t>14</w:t>
      </w:r>
      <w:r>
        <w:rPr>
          <w:b/>
        </w:rPr>
        <w:fldChar w:fldCharType="end"/>
      </w:r>
      <w:r>
        <w:rPr>
          <w:b/>
        </w:rPr>
        <w:fldChar w:fldCharType="end"/>
      </w:r>
    </w:p>
    <w:p>
      <w:pPr>
        <w:pStyle w:val="51"/>
        <w:tabs>
          <w:tab w:val="right" w:leader="dot" w:pos="8980"/>
        </w:tabs>
        <w:rPr>
          <w:b/>
        </w:rPr>
      </w:pPr>
      <w:r>
        <w:fldChar w:fldCharType="begin"/>
      </w:r>
      <w:r>
        <w:instrText xml:space="preserve"> HYPERLINK \l "_Toc26847" </w:instrText>
      </w:r>
      <w:r>
        <w:fldChar w:fldCharType="separate"/>
      </w:r>
      <w:r>
        <w:rPr>
          <w:rFonts w:hint="eastAsia" w:ascii="黑体" w:hAnsi="黑体" w:eastAsia="黑体" w:cs="黑体"/>
          <w:b/>
          <w:szCs w:val="32"/>
        </w:rPr>
        <w:t>附件2</w:t>
      </w:r>
      <w:r>
        <w:rPr>
          <w:b/>
        </w:rPr>
        <w:tab/>
      </w:r>
      <w:r>
        <w:rPr>
          <w:b/>
        </w:rPr>
        <w:fldChar w:fldCharType="begin"/>
      </w:r>
      <w:r>
        <w:rPr>
          <w:b/>
        </w:rPr>
        <w:instrText xml:space="preserve"> PAGEREF _Toc26847 </w:instrText>
      </w:r>
      <w:r>
        <w:rPr>
          <w:b/>
        </w:rPr>
        <w:fldChar w:fldCharType="separate"/>
      </w:r>
      <w:r>
        <w:rPr>
          <w:b/>
        </w:rPr>
        <w:t>19</w:t>
      </w:r>
      <w:r>
        <w:rPr>
          <w:b/>
        </w:rPr>
        <w:fldChar w:fldCharType="end"/>
      </w:r>
      <w:r>
        <w:rPr>
          <w:b/>
        </w:rPr>
        <w:fldChar w:fldCharType="end"/>
      </w:r>
    </w:p>
    <w:p>
      <w:pPr>
        <w:pStyle w:val="51"/>
        <w:tabs>
          <w:tab w:val="right" w:leader="dot" w:pos="8980"/>
        </w:tabs>
        <w:rPr>
          <w:b/>
        </w:rPr>
      </w:pPr>
      <w:r>
        <w:fldChar w:fldCharType="begin"/>
      </w:r>
      <w:r>
        <w:instrText xml:space="preserve"> HYPERLINK \l "_Toc20982" </w:instrText>
      </w:r>
      <w:r>
        <w:fldChar w:fldCharType="separate"/>
      </w:r>
      <w:r>
        <w:rPr>
          <w:rFonts w:hint="eastAsia" w:ascii="黑体" w:hAnsi="黑体" w:eastAsia="黑体" w:cs="黑体"/>
          <w:b/>
        </w:rPr>
        <w:t>第五部分附表</w:t>
      </w:r>
      <w:r>
        <w:rPr>
          <w:b/>
        </w:rPr>
        <w:tab/>
      </w:r>
      <w:r>
        <w:rPr>
          <w:b/>
        </w:rPr>
        <w:fldChar w:fldCharType="begin"/>
      </w:r>
      <w:r>
        <w:rPr>
          <w:b/>
        </w:rPr>
        <w:instrText xml:space="preserve"> PAGEREF _Toc20982 </w:instrText>
      </w:r>
      <w:r>
        <w:rPr>
          <w:b/>
        </w:rPr>
        <w:fldChar w:fldCharType="separate"/>
      </w:r>
      <w:r>
        <w:rPr>
          <w:b/>
        </w:rPr>
        <w:t>30</w:t>
      </w:r>
      <w:r>
        <w:rPr>
          <w:b/>
        </w:rPr>
        <w:fldChar w:fldCharType="end"/>
      </w:r>
      <w:r>
        <w:rPr>
          <w:b/>
        </w:rPr>
        <w:fldChar w:fldCharType="end"/>
      </w:r>
    </w:p>
    <w:p>
      <w:pPr>
        <w:pStyle w:val="52"/>
        <w:tabs>
          <w:tab w:val="right" w:leader="dot" w:pos="8980"/>
        </w:tabs>
        <w:ind w:left="420"/>
      </w:pPr>
      <w:r>
        <w:fldChar w:fldCharType="begin"/>
      </w:r>
      <w:r>
        <w:instrText xml:space="preserve"> HYPERLINK \l "_Toc5866" </w:instrText>
      </w:r>
      <w:r>
        <w:fldChar w:fldCharType="separate"/>
      </w:r>
      <w:r>
        <w:rPr>
          <w:rFonts w:hint="eastAsia" w:ascii="仿宋" w:hAnsi="仿宋" w:eastAsia="仿宋"/>
        </w:rPr>
        <w:t>一、收入支出决算总表</w:t>
      </w:r>
      <w:r>
        <w:tab/>
      </w:r>
      <w:r>
        <w:fldChar w:fldCharType="begin"/>
      </w:r>
      <w:r>
        <w:instrText xml:space="preserve"> PAGEREF _Toc5866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"_Toc25491" </w:instrText>
      </w:r>
      <w:r>
        <w:fldChar w:fldCharType="separate"/>
      </w:r>
      <w:r>
        <w:rPr>
          <w:rFonts w:hint="eastAsia" w:ascii="仿宋" w:hAnsi="仿宋" w:eastAsia="仿宋"/>
        </w:rPr>
        <w:t>二、收入决算表</w:t>
      </w:r>
      <w:r>
        <w:tab/>
      </w:r>
      <w:r>
        <w:fldChar w:fldCharType="begin"/>
      </w:r>
      <w:r>
        <w:instrText xml:space="preserve"> PAGEREF _Toc25491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"_Toc5754" </w:instrText>
      </w:r>
      <w:r>
        <w:fldChar w:fldCharType="separate"/>
      </w:r>
      <w:r>
        <w:rPr>
          <w:rFonts w:hint="eastAsia" w:ascii="仿宋" w:hAnsi="仿宋" w:eastAsia="仿宋"/>
        </w:rPr>
        <w:t>三、支出决算表</w:t>
      </w:r>
      <w:r>
        <w:tab/>
      </w:r>
      <w:r>
        <w:fldChar w:fldCharType="begin"/>
      </w:r>
      <w:r>
        <w:instrText xml:space="preserve"> PAGEREF _Toc5754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"_Toc12491" </w:instrText>
      </w:r>
      <w:r>
        <w:fldChar w:fldCharType="separate"/>
      </w:r>
      <w:r>
        <w:rPr>
          <w:rFonts w:hint="eastAsia" w:ascii="仿宋" w:hAnsi="仿宋" w:eastAsia="仿宋"/>
        </w:rPr>
        <w:t>四、财政拨款收入支出决算总表</w:t>
      </w:r>
      <w:r>
        <w:tab/>
      </w:r>
      <w:r>
        <w:fldChar w:fldCharType="begin"/>
      </w:r>
      <w:r>
        <w:instrText xml:space="preserve"> PAGEREF _Toc12491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"_Toc4025" </w:instrText>
      </w:r>
      <w:r>
        <w:fldChar w:fldCharType="separate"/>
      </w:r>
      <w:r>
        <w:rPr>
          <w:rFonts w:hint="eastAsia" w:ascii="仿宋" w:hAnsi="仿宋" w:eastAsia="仿宋"/>
        </w:rPr>
        <w:t>五、财政拨款支出决算明细表</w:t>
      </w:r>
      <w:r>
        <w:tab/>
      </w:r>
      <w:r>
        <w:fldChar w:fldCharType="begin"/>
      </w:r>
      <w:r>
        <w:instrText xml:space="preserve"> PAGEREF _Toc4025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"_Toc21628" </w:instrText>
      </w:r>
      <w:r>
        <w:fldChar w:fldCharType="separate"/>
      </w:r>
      <w:r>
        <w:rPr>
          <w:rFonts w:hint="eastAsia" w:ascii="仿宋" w:hAnsi="仿宋" w:eastAsia="仿宋"/>
        </w:rPr>
        <w:t>六、一般公共预算财政拨款支出决算表</w:t>
      </w:r>
      <w:r>
        <w:tab/>
      </w:r>
      <w:r>
        <w:fldChar w:fldCharType="begin"/>
      </w:r>
      <w:r>
        <w:instrText xml:space="preserve"> PAGEREF _Toc21628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"_Toc24572" </w:instrText>
      </w:r>
      <w:r>
        <w:fldChar w:fldCharType="separate"/>
      </w:r>
      <w:r>
        <w:rPr>
          <w:rFonts w:hint="eastAsia" w:ascii="仿宋" w:hAnsi="仿宋" w:eastAsia="仿宋"/>
        </w:rPr>
        <w:t>七、一般公共预算财政拨款支出决算明细表</w:t>
      </w:r>
      <w:r>
        <w:tab/>
      </w:r>
      <w:r>
        <w:fldChar w:fldCharType="begin"/>
      </w:r>
      <w:r>
        <w:instrText xml:space="preserve"> PAGEREF _Toc24572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"_Toc29904" </w:instrText>
      </w:r>
      <w:r>
        <w:fldChar w:fldCharType="separate"/>
      </w:r>
      <w:r>
        <w:rPr>
          <w:rFonts w:hint="eastAsia" w:ascii="仿宋" w:hAnsi="仿宋" w:eastAsia="仿宋"/>
        </w:rPr>
        <w:t>八、一般公共预算财政拨款基本支出决算表</w:t>
      </w:r>
      <w:r>
        <w:tab/>
      </w:r>
      <w:r>
        <w:fldChar w:fldCharType="begin"/>
      </w:r>
      <w:r>
        <w:instrText xml:space="preserve"> PAGEREF _Toc29904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"_Toc585" </w:instrText>
      </w:r>
      <w:r>
        <w:fldChar w:fldCharType="separate"/>
      </w:r>
      <w:r>
        <w:rPr>
          <w:rFonts w:hint="eastAsia" w:ascii="仿宋" w:hAnsi="仿宋" w:eastAsia="仿宋"/>
        </w:rPr>
        <w:t>九、一般公共预算财政拨款项目支出决算表</w:t>
      </w:r>
      <w:r>
        <w:tab/>
      </w:r>
      <w:r>
        <w:fldChar w:fldCharType="begin"/>
      </w:r>
      <w:r>
        <w:instrText xml:space="preserve"> PAGEREF _Toc585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"_Toc24624"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_Toc24624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"_Toc13558"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_Toc13558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"_Toc9955"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_Toc9955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"_Toc3407"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_Toc3407 </w:instrText>
      </w:r>
      <w:r>
        <w:fldChar w:fldCharType="separate"/>
      </w:r>
      <w:r>
        <w:t>30</w:t>
      </w:r>
      <w:r>
        <w:fldChar w:fldCharType="end"/>
      </w:r>
      <w:r>
        <w:fldChar w:fldCharType="end"/>
      </w:r>
    </w:p>
    <w:p>
      <w:pPr>
        <w:pStyle w:val="52"/>
        <w:tabs>
          <w:tab w:val="right" w:leader="dot" w:pos="8980"/>
        </w:tabs>
        <w:ind w:left="420"/>
      </w:pPr>
      <w:r>
        <w:fldChar w:fldCharType="begin"/>
      </w:r>
      <w:r>
        <w:instrText xml:space="preserve"> HYPERLINK \l "_Toc16030"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_Toc16030 </w:instrText>
      </w:r>
      <w:r>
        <w:fldChar w:fldCharType="separate"/>
      </w:r>
      <w:r>
        <w:t>30</w:t>
      </w:r>
      <w:r>
        <w:fldChar w:fldCharType="end"/>
      </w:r>
      <w:r>
        <w:fldChar w:fldCharType="end"/>
      </w:r>
    </w:p>
    <w:p>
      <w:pPr>
        <w:widowControl/>
        <w:spacing w:line="440" w:lineRule="exact"/>
        <w:jc w:val="left"/>
        <w:rPr>
          <w:rFonts w:ascii="仿宋" w:hAnsi="仿宋" w:eastAsia="仿宋"/>
          <w:bCs/>
          <w:kern w:val="44"/>
          <w:sz w:val="24"/>
        </w:rPr>
      </w:pPr>
      <w:r>
        <w:rPr>
          <w:rFonts w:ascii="仿宋" w:hAnsi="仿宋" w:eastAsia="仿宋"/>
          <w:b/>
          <w:bCs/>
          <w:kern w:val="44"/>
        </w:rPr>
        <w:fldChar w:fldCharType="end"/>
      </w:r>
    </w:p>
    <w:p>
      <w:pPr>
        <w:pStyle w:val="13"/>
        <w:jc w:val="center"/>
        <w:rPr>
          <w:rFonts w:ascii="黑体" w:hAnsi="黑体" w:eastAsia="黑体"/>
          <w:b w:val="0"/>
        </w:rPr>
      </w:pPr>
      <w:bookmarkStart w:id="8" w:name="_Toc14358"/>
    </w:p>
    <w:p>
      <w:pPr>
        <w:pStyle w:val="13"/>
        <w:jc w:val="center"/>
        <w:rPr>
          <w:rFonts w:ascii="黑体" w:eastAsia="黑体"/>
          <w:color w:val="000000"/>
          <w:sz w:val="32"/>
          <w:szCs w:val="32"/>
        </w:rPr>
      </w:pPr>
      <w:r>
        <w:rPr>
          <w:rFonts w:hint="eastAsia" w:ascii="黑体" w:hAnsi="黑体" w:eastAsia="黑体"/>
          <w:b w:val="0"/>
        </w:rPr>
        <w:t>第一部分</w:t>
      </w:r>
      <w:r>
        <w:rPr>
          <w:rFonts w:hint="eastAsia" w:ascii="黑体" w:hAnsi="黑体" w:eastAsia="黑体"/>
          <w:b w:val="0"/>
          <w:lang w:val="en-US" w:eastAsia="zh-CN"/>
        </w:rPr>
        <w:t xml:space="preserve"> </w:t>
      </w:r>
      <w:r>
        <w:rPr>
          <w:rStyle w:val="19"/>
          <w:rFonts w:hint="eastAsia" w:ascii="黑体" w:hAnsi="黑体" w:eastAsia="黑体"/>
          <w:b w:val="0"/>
          <w:bCs w:val="0"/>
        </w:rPr>
        <w:t>单位概况</w:t>
      </w:r>
      <w:bookmarkEnd w:id="6"/>
      <w:bookmarkEnd w:id="7"/>
      <w:bookmarkEnd w:id="8"/>
    </w:p>
    <w:p>
      <w:pPr>
        <w:pStyle w:val="14"/>
        <w:spacing w:before="0" w:after="0" w:line="560" w:lineRule="exact"/>
        <w:ind w:firstLine="960" w:firstLineChars="300"/>
        <w:rPr>
          <w:rStyle w:val="21"/>
          <w:rFonts w:ascii="仿宋" w:hAnsi="仿宋" w:eastAsia="黑体"/>
          <w:b w:val="0"/>
          <w:bCs w:val="0"/>
        </w:rPr>
      </w:pPr>
      <w:bookmarkStart w:id="9" w:name="_Toc15377197"/>
      <w:bookmarkStart w:id="10" w:name="_Toc15396600"/>
      <w:bookmarkStart w:id="11" w:name="_Toc28173"/>
      <w:r>
        <w:rPr>
          <w:rFonts w:hint="eastAsia" w:ascii="黑体" w:hAnsi="黑体" w:eastAsia="黑体"/>
          <w:b w:val="0"/>
          <w:color w:val="000000"/>
        </w:rPr>
        <w:t>一、</w:t>
      </w:r>
      <w:bookmarkEnd w:id="9"/>
      <w:bookmarkEnd w:id="10"/>
      <w:r>
        <w:rPr>
          <w:rFonts w:hint="eastAsia" w:ascii="黑体" w:hAnsi="黑体" w:eastAsia="黑体"/>
          <w:b w:val="0"/>
          <w:color w:val="000000"/>
        </w:rPr>
        <w:t>职能简介</w:t>
      </w:r>
      <w:bookmarkEnd w:id="11"/>
    </w:p>
    <w:p>
      <w:pPr>
        <w:spacing w:line="560" w:lineRule="exact"/>
        <w:ind w:firstLine="800" w:firstLineChars="250"/>
        <w:rPr>
          <w:rFonts w:ascii="仿宋" w:hAnsi="仿宋" w:eastAsia="仿宋"/>
          <w:sz w:val="32"/>
          <w:szCs w:val="32"/>
        </w:rPr>
      </w:pPr>
      <w:bookmarkStart w:id="12" w:name="_Toc15377199"/>
      <w:bookmarkStart w:id="13" w:name="_Toc15378446"/>
      <w:r>
        <w:rPr>
          <w:rFonts w:hint="eastAsia" w:ascii="仿宋" w:hAnsi="仿宋" w:eastAsia="仿宋"/>
          <w:sz w:val="32"/>
          <w:szCs w:val="32"/>
        </w:rPr>
        <w:t>1.认真贯彻落实党和国家的方针、政策，正确执行上级主管部门的决议和指示，全面实施素质教育，培养德、智、体、美等方面全面发展的社会主义事业的建设者和接班人。</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2.编制年度财政预算并执行，管理和监督各项财政收支。</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3.管理各类政策性补贴等资金，进一步完善财政补贴惠民资金“一卡（折）通”发放机制。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4.负责对各类专项资金的监管，提高财政资金使用效率。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5.管理好幼儿园非税收入。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6.提供加强财政管理的政策建议，负责财政、税收政策法规的宣传工作。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7.执行会计集中核算，严格按照上级财政部门规定的工作程序开展工作，充分发挥财政资金使用效率。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8.负责本单位的国有资产监督管理工作。</w:t>
      </w:r>
    </w:p>
    <w:p>
      <w:pPr>
        <w:spacing w:line="560" w:lineRule="exact"/>
        <w:ind w:firstLine="800" w:firstLineChars="250"/>
        <w:rPr>
          <w:rFonts w:ascii="仿宋" w:hAnsi="仿宋" w:eastAsia="仿宋"/>
          <w:bCs/>
          <w:color w:val="000000"/>
          <w:kern w:val="0"/>
          <w:sz w:val="32"/>
          <w:szCs w:val="32"/>
        </w:rPr>
      </w:pPr>
      <w:r>
        <w:rPr>
          <w:rFonts w:hint="eastAsia" w:ascii="仿宋" w:hAnsi="仿宋" w:eastAsia="仿宋"/>
          <w:sz w:val="32"/>
          <w:szCs w:val="32"/>
        </w:rPr>
        <w:t>9.承办上级部门交办的其他事项。</w:t>
      </w:r>
    </w:p>
    <w:p>
      <w:pPr>
        <w:pStyle w:val="14"/>
        <w:spacing w:before="0" w:after="0" w:line="560" w:lineRule="exact"/>
        <w:ind w:firstLine="964" w:firstLineChars="300"/>
        <w:rPr>
          <w:rFonts w:ascii="黑体" w:hAnsi="黑体" w:eastAsia="黑体"/>
          <w:color w:val="000000"/>
        </w:rPr>
      </w:pPr>
      <w:bookmarkStart w:id="14" w:name="_Toc15493"/>
      <w:r>
        <w:rPr>
          <w:rFonts w:hint="eastAsia" w:ascii="黑体" w:hAnsi="黑体" w:eastAsia="黑体"/>
          <w:color w:val="000000"/>
          <w:u w:val="thick" w:color="FFB03A"/>
          <w:shd w:val="clear" w:fill="FFEFD8"/>
        </w:rPr>
        <w:t>二、</w:t>
      </w:r>
      <w:r>
        <w:rPr>
          <w:rFonts w:hint="eastAsia" w:ascii="黑体" w:hAnsi="黑体" w:eastAsia="黑体"/>
          <w:color w:val="000000"/>
        </w:rPr>
        <w:t>2021年重点工作完成情况</w:t>
      </w:r>
      <w:bookmarkEnd w:id="12"/>
      <w:bookmarkEnd w:id="13"/>
      <w:bookmarkEnd w:id="14"/>
    </w:p>
    <w:p>
      <w:pPr>
        <w:snapToGrid w:val="0"/>
        <w:spacing w:line="560" w:lineRule="exact"/>
        <w:ind w:firstLine="640" w:firstLineChars="200"/>
      </w:pPr>
      <w:r>
        <w:rPr>
          <w:rFonts w:hint="eastAsia" w:ascii="仿宋" w:hAnsi="仿宋" w:eastAsia="仿宋"/>
          <w:sz w:val="32"/>
          <w:szCs w:val="32"/>
        </w:rPr>
        <w:t>三溪小学在县委、县政府的领导下，在上级主管部门的指导下，全面完成了2021年教育教学工作，并取得了一定的成绩，特别是诚信教育进校园，</w:t>
      </w:r>
      <w:bookmarkStart w:id="15" w:name="_Toc15396602"/>
      <w:bookmarkStart w:id="16" w:name="_Toc15377204"/>
      <w:r>
        <w:rPr>
          <w:rFonts w:hint="eastAsia" w:ascii="仿宋" w:hAnsi="仿宋" w:eastAsia="仿宋"/>
          <w:sz w:val="32"/>
          <w:szCs w:val="32"/>
        </w:rPr>
        <w:t>效果较好。</w:t>
      </w:r>
    </w:p>
    <w:p>
      <w:pPr>
        <w:pStyle w:val="13"/>
        <w:ind w:left="878" w:leftChars="418" w:right="440"/>
        <w:rPr>
          <w:rFonts w:hint="eastAsia" w:ascii="黑体" w:hAnsi="黑体" w:eastAsia="黑体"/>
        </w:rPr>
      </w:pPr>
      <w:bookmarkStart w:id="17" w:name="_Toc32751"/>
      <w:r>
        <w:rPr>
          <w:rFonts w:hint="eastAsia" w:ascii="黑体" w:hAnsi="黑体" w:eastAsia="黑体"/>
          <w:b w:val="0"/>
          <w:color w:val="000000"/>
        </w:rPr>
        <w:t>第二部分</w:t>
      </w:r>
      <w:r>
        <w:rPr>
          <w:rStyle w:val="19"/>
          <w:rFonts w:ascii="黑体" w:hAnsi="黑体" w:eastAsia="黑体"/>
          <w:b w:val="0"/>
          <w:bCs w:val="0"/>
        </w:rPr>
        <w:t>202</w:t>
      </w:r>
      <w:r>
        <w:rPr>
          <w:rStyle w:val="19"/>
          <w:rFonts w:hint="eastAsia" w:ascii="黑体" w:hAnsi="黑体" w:eastAsia="黑体"/>
          <w:b w:val="0"/>
          <w:bCs w:val="0"/>
        </w:rPr>
        <w:t>1年度单位决算</w:t>
      </w:r>
      <w:r>
        <w:rPr>
          <w:rFonts w:hint="eastAsia" w:ascii="黑体" w:hAnsi="黑体" w:eastAsia="黑体"/>
        </w:rPr>
        <w:t>情况说明</w:t>
      </w:r>
      <w:bookmarkEnd w:id="15"/>
      <w:bookmarkEnd w:id="16"/>
      <w:bookmarkStart w:id="18" w:name="_Toc15377205"/>
      <w:bookmarkStart w:id="19" w:name="_Toc15396603"/>
    </w:p>
    <w:p>
      <w:pPr>
        <w:pStyle w:val="13"/>
        <w:ind w:left="878" w:leftChars="418" w:right="440"/>
        <w:rPr>
          <w:rStyle w:val="21"/>
          <w:rFonts w:ascii="黑体" w:hAnsi="黑体" w:eastAsia="黑体"/>
          <w:b w:val="0"/>
          <w:bCs w:val="0"/>
        </w:rPr>
      </w:pPr>
      <w:r>
        <w:rPr>
          <w:rStyle w:val="19"/>
          <w:rFonts w:hint="eastAsia" w:ascii="黑体" w:hAnsi="黑体" w:eastAsia="黑体"/>
          <w:b w:val="0"/>
          <w:bCs w:val="0"/>
          <w:sz w:val="32"/>
          <w:szCs w:val="32"/>
        </w:rPr>
        <w:t>一、</w:t>
      </w:r>
      <w:r>
        <w:rPr>
          <w:rFonts w:hint="eastAsia" w:ascii="黑体" w:hAnsi="黑体" w:eastAsia="黑体"/>
          <w:color w:val="000000"/>
          <w:sz w:val="32"/>
          <w:szCs w:val="32"/>
        </w:rPr>
        <w:t>收</w:t>
      </w:r>
      <w:r>
        <w:rPr>
          <w:rStyle w:val="21"/>
          <w:rFonts w:hint="eastAsia" w:ascii="黑体" w:hAnsi="黑体" w:eastAsia="黑体"/>
          <w:b w:val="0"/>
          <w:bCs w:val="0"/>
          <w:sz w:val="32"/>
          <w:szCs w:val="32"/>
        </w:rPr>
        <w:t>入支出决算</w:t>
      </w:r>
      <w:r>
        <w:rPr>
          <w:rFonts w:hint="eastAsia" w:ascii="黑体" w:hAnsi="黑体" w:eastAsia="黑体"/>
          <w:b w:val="0"/>
          <w:sz w:val="32"/>
          <w:szCs w:val="32"/>
        </w:rPr>
        <w:t>总体情况说明</w:t>
      </w:r>
      <w:bookmarkEnd w:id="17"/>
      <w:bookmarkEnd w:id="18"/>
      <w:bookmarkEnd w:id="1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1年度收、支总计736.93万元。与</w:t>
      </w:r>
      <w:r>
        <w:rPr>
          <w:rFonts w:ascii="仿宋" w:hAnsi="仿宋" w:eastAsia="仿宋"/>
          <w:color w:val="000000"/>
          <w:sz w:val="32"/>
          <w:szCs w:val="32"/>
        </w:rPr>
        <w:t>20</w:t>
      </w:r>
      <w:r>
        <w:rPr>
          <w:rFonts w:hint="eastAsia" w:ascii="仿宋" w:hAnsi="仿宋" w:eastAsia="仿宋"/>
          <w:color w:val="000000"/>
          <w:sz w:val="32"/>
          <w:szCs w:val="32"/>
        </w:rPr>
        <w:t>20年相比，收、支总计共增加75.22万元，增加11.37</w:t>
      </w:r>
      <w:r>
        <w:rPr>
          <w:rFonts w:ascii="仿宋" w:hAnsi="仿宋" w:eastAsia="仿宋"/>
          <w:color w:val="000000"/>
          <w:sz w:val="32"/>
          <w:szCs w:val="32"/>
        </w:rPr>
        <w:t>%</w:t>
      </w:r>
      <w:r>
        <w:rPr>
          <w:rFonts w:hint="eastAsia" w:ascii="仿宋" w:hAnsi="仿宋" w:eastAsia="仿宋"/>
          <w:color w:val="000000"/>
          <w:sz w:val="32"/>
          <w:szCs w:val="32"/>
        </w:rPr>
        <w:t>。主要变动原因是操场维修拨款和</w:t>
      </w:r>
      <w:r>
        <w:rPr>
          <w:rFonts w:hint="eastAsia" w:ascii="仿宋_GB2312" w:hAnsi="仿宋" w:eastAsia="仿宋_GB2312"/>
          <w:sz w:val="32"/>
          <w:szCs w:val="32"/>
        </w:rPr>
        <w:t>教职工工资增加。</w:t>
      </w:r>
    </w:p>
    <w:p>
      <w:pPr>
        <w:jc w:val="center"/>
        <w:rPr>
          <w:rFonts w:ascii="仿宋" w:hAnsi="仿宋" w:eastAsia="仿宋"/>
          <w:color w:val="000000"/>
          <w:sz w:val="32"/>
          <w:szCs w:val="32"/>
        </w:rPr>
      </w:pPr>
      <w:r>
        <w:pict>
          <v:shape id="_x0000_i1025" o:spt="75" type="#_x0000_t75" style="height:130.35pt;width:361.65pt;" filled="f" o:preferrelative="t" stroked="f" coordsize="21600,21600">
            <v:path/>
            <v:fill on="f" focussize="0,0"/>
            <v:stroke on="f" joinstyle="miter"/>
            <v:imagedata r:id="rId6" o:title=""/>
            <o:lock v:ext="edit" aspectratio="t"/>
            <w10:wrap type="none"/>
            <w10:anchorlock/>
          </v:shape>
        </w:pic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49"/>
        <w:spacing w:line="600" w:lineRule="exact"/>
        <w:ind w:firstLine="640"/>
        <w:outlineLvl w:val="1"/>
        <w:rPr>
          <w:rStyle w:val="21"/>
          <w:rFonts w:ascii="黑体" w:hAnsi="黑体" w:eastAsia="黑体"/>
          <w:b w:val="0"/>
        </w:rPr>
      </w:pPr>
      <w:bookmarkStart w:id="20" w:name="_Toc15377206"/>
      <w:bookmarkStart w:id="21" w:name="_Toc15396604"/>
      <w:bookmarkStart w:id="22" w:name="_Toc26986"/>
      <w:r>
        <w:rPr>
          <w:rFonts w:hint="eastAsia" w:ascii="黑体" w:hAnsi="黑体" w:eastAsia="黑体"/>
          <w:color w:val="000000"/>
          <w:sz w:val="32"/>
          <w:szCs w:val="32"/>
          <w:u w:val="thick" w:color="FFB03A"/>
          <w:shd w:val="clear" w:fill="FFEFD8"/>
        </w:rPr>
        <w:t>二、</w:t>
      </w:r>
      <w:r>
        <w:rPr>
          <w:rFonts w:hint="eastAsia" w:ascii="黑体" w:hAnsi="黑体" w:eastAsia="黑体"/>
          <w:color w:val="000000"/>
          <w:sz w:val="32"/>
          <w:szCs w:val="32"/>
        </w:rPr>
        <w:t>收</w:t>
      </w:r>
      <w:r>
        <w:rPr>
          <w:rStyle w:val="21"/>
          <w:rFonts w:hint="eastAsia" w:ascii="黑体" w:hAnsi="黑体" w:eastAsia="黑体"/>
          <w:b w:val="0"/>
        </w:rPr>
        <w:t>入决算</w:t>
      </w:r>
      <w:r>
        <w:rPr>
          <w:rFonts w:hint="eastAsia" w:ascii="黑体" w:hAnsi="黑体" w:eastAsia="黑体"/>
          <w:sz w:val="32"/>
          <w:szCs w:val="32"/>
        </w:rPr>
        <w:t>情况说明</w:t>
      </w:r>
      <w:bookmarkEnd w:id="20"/>
      <w:bookmarkEnd w:id="21"/>
      <w:bookmarkEnd w:id="22"/>
    </w:p>
    <w:p>
      <w:pPr>
        <w:spacing w:line="600" w:lineRule="exact"/>
        <w:ind w:firstLine="640" w:firstLineChars="200"/>
        <w:outlineLvl w:val="1"/>
        <w:rPr>
          <w:rFonts w:ascii="仿宋" w:hAnsi="仿宋" w:eastAsia="仿宋"/>
          <w:color w:val="000000"/>
          <w:sz w:val="32"/>
          <w:szCs w:val="32"/>
        </w:rPr>
      </w:pPr>
      <w:bookmarkStart w:id="23" w:name="_Toc4414"/>
      <w:r>
        <w:rPr>
          <w:rFonts w:ascii="仿宋" w:hAnsi="仿宋" w:eastAsia="仿宋"/>
          <w:color w:val="000000"/>
          <w:sz w:val="32"/>
          <w:szCs w:val="32"/>
        </w:rPr>
        <w:t>202</w:t>
      </w:r>
      <w:r>
        <w:rPr>
          <w:rFonts w:hint="eastAsia" w:ascii="仿宋" w:hAnsi="仿宋" w:eastAsia="仿宋"/>
          <w:color w:val="000000"/>
          <w:sz w:val="32"/>
          <w:szCs w:val="32"/>
        </w:rPr>
        <w:t>1年本年收入合计736.93万元，其中：一般公共预算财政拨款收入736.93万元，占100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；上级补助收入0万元，占比0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23"/>
    </w:p>
    <w:p>
      <w:pPr>
        <w:ind w:firstLine="420" w:firstLineChars="200"/>
        <w:jc w:val="center"/>
        <w:rPr>
          <w:rFonts w:ascii="仿宋" w:hAnsi="仿宋" w:eastAsia="仿宋"/>
          <w:color w:val="000000"/>
          <w:sz w:val="32"/>
          <w:szCs w:val="32"/>
        </w:rPr>
      </w:pPr>
      <w:r>
        <w:pict>
          <v:shape id="_x0000_i1026" o:spt="75" type="#_x0000_t75" style="height:124.35pt;width:442.35pt;" filled="f" o:preferrelative="t" stroked="f" coordsize="21600,21600">
            <v:path/>
            <v:fill on="f" focussize="0,0"/>
            <v:stroke on="f" joinstyle="miter"/>
            <v:imagedata r:id="rId7" o:title=""/>
            <o:lock v:ext="edit" aspectratio="t"/>
            <w10:wrap type="none"/>
            <w10:anchorlock/>
          </v:shape>
        </w:pict>
      </w:r>
    </w:p>
    <w:p>
      <w:pPr>
        <w:spacing w:line="600" w:lineRule="exact"/>
        <w:ind w:firstLine="1600" w:firstLineChars="5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49"/>
        <w:spacing w:line="600" w:lineRule="exact"/>
        <w:ind w:left="640" w:firstLine="0" w:firstLineChars="0"/>
        <w:outlineLvl w:val="1"/>
        <w:rPr>
          <w:rStyle w:val="21"/>
          <w:rFonts w:ascii="黑体" w:hAnsi="黑体" w:eastAsia="黑体"/>
          <w:b w:val="0"/>
          <w:sz w:val="32"/>
          <w:szCs w:val="32"/>
        </w:rPr>
      </w:pPr>
      <w:bookmarkStart w:id="24" w:name="_Toc15377207"/>
      <w:bookmarkStart w:id="25" w:name="_Toc15396605"/>
      <w:bookmarkStart w:id="26" w:name="_Toc11942"/>
      <w:r>
        <w:rPr>
          <w:rFonts w:hint="eastAsia" w:ascii="黑体" w:hAnsi="黑体" w:eastAsia="黑体"/>
          <w:color w:val="000000"/>
          <w:sz w:val="32"/>
          <w:szCs w:val="32"/>
        </w:rPr>
        <w:t>三、支</w:t>
      </w:r>
      <w:r>
        <w:rPr>
          <w:rStyle w:val="21"/>
          <w:rFonts w:hint="eastAsia" w:ascii="黑体" w:hAnsi="黑体" w:eastAsia="黑体"/>
          <w:b w:val="0"/>
        </w:rPr>
        <w:t>出决算</w:t>
      </w:r>
      <w:bookmarkStart w:id="94" w:name="_GoBack"/>
      <w:r>
        <w:rPr>
          <w:rFonts w:hint="eastAsia" w:ascii="黑体" w:hAnsi="黑体" w:eastAsia="黑体"/>
          <w:sz w:val="32"/>
          <w:szCs w:val="32"/>
        </w:rPr>
        <w:t>情况说明</w:t>
      </w:r>
      <w:bookmarkEnd w:id="24"/>
      <w:bookmarkEnd w:id="25"/>
      <w:bookmarkEnd w:id="26"/>
    </w:p>
    <w:bookmarkEnd w:id="94"/>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bookmarkStart w:id="27" w:name="_Toc4793"/>
      <w:r>
        <w:rPr>
          <w:rFonts w:ascii="仿宋" w:hAnsi="仿宋" w:eastAsia="仿宋"/>
          <w:color w:val="000000"/>
          <w:sz w:val="32"/>
          <w:szCs w:val="32"/>
        </w:rPr>
        <w:t>202</w:t>
      </w:r>
      <w:r>
        <w:rPr>
          <w:rFonts w:hint="eastAsia" w:ascii="仿宋" w:hAnsi="仿宋" w:eastAsia="仿宋"/>
          <w:color w:val="000000"/>
          <w:sz w:val="32"/>
          <w:szCs w:val="32"/>
        </w:rPr>
        <w:t>1年本年支出合计736.93万元，其中：基本支出624.19万元，占84.70</w:t>
      </w:r>
      <w:r>
        <w:rPr>
          <w:rFonts w:ascii="仿宋" w:hAnsi="仿宋" w:eastAsia="仿宋"/>
          <w:color w:val="000000"/>
          <w:sz w:val="32"/>
          <w:szCs w:val="32"/>
        </w:rPr>
        <w:t>%</w:t>
      </w:r>
      <w:r>
        <w:rPr>
          <w:rFonts w:hint="eastAsia" w:ascii="仿宋" w:hAnsi="仿宋" w:eastAsia="仿宋"/>
          <w:color w:val="000000"/>
          <w:sz w:val="32"/>
          <w:szCs w:val="32"/>
        </w:rPr>
        <w:t>；项目支出112.74万元，占15.30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27"/>
    </w:p>
    <w:p>
      <w:pPr>
        <w:ind w:firstLine="640"/>
        <w:rPr>
          <w:rFonts w:ascii="仿宋" w:hAnsi="仿宋" w:eastAsia="仿宋"/>
          <w:color w:val="000000"/>
          <w:sz w:val="32"/>
          <w:szCs w:val="32"/>
        </w:rPr>
      </w:pPr>
      <w:r>
        <w:pict>
          <v:shape id="_x0000_i1027" o:spt="75" type="#_x0000_t75" style="height:261.25pt;width:321.8pt;" filled="f" o:preferrelative="t" stroked="f" coordsize="21600,21600">
            <v:path/>
            <v:fill on="f" focussize="0,0"/>
            <v:stroke on="f" joinstyle="miter"/>
            <v:imagedata r:id="rId8" o:title=""/>
            <o:lock v:ext="edit" aspectratio="t"/>
            <w10:wrap type="none"/>
            <w10:anchorlock/>
          </v:shape>
        </w:pict>
      </w:r>
    </w:p>
    <w:p>
      <w:pPr>
        <w:spacing w:line="600" w:lineRule="exact"/>
        <w:ind w:firstLine="2240" w:firstLineChars="7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1"/>
          <w:rFonts w:ascii="黑体" w:hAnsi="黑体" w:eastAsia="黑体"/>
          <w:b w:val="0"/>
        </w:rPr>
      </w:pPr>
      <w:bookmarkStart w:id="28" w:name="_Toc15396606"/>
      <w:bookmarkStart w:id="29" w:name="_Toc209"/>
      <w:bookmarkStart w:id="30" w:name="_Toc15377208"/>
      <w:r>
        <w:rPr>
          <w:rFonts w:hint="eastAsia" w:ascii="黑体" w:hAnsi="黑体" w:eastAsia="黑体"/>
          <w:color w:val="000000"/>
          <w:sz w:val="32"/>
          <w:szCs w:val="32"/>
        </w:rPr>
        <w:t>四、财</w:t>
      </w:r>
      <w:r>
        <w:rPr>
          <w:rStyle w:val="21"/>
          <w:rFonts w:hint="eastAsia" w:ascii="黑体" w:hAnsi="黑体" w:eastAsia="黑体"/>
          <w:b w:val="0"/>
        </w:rPr>
        <w:t>政</w:t>
      </w:r>
      <w:r>
        <w:rPr>
          <w:rFonts w:hint="eastAsia" w:ascii="黑体" w:hAnsi="黑体" w:eastAsia="黑体"/>
          <w:sz w:val="32"/>
          <w:szCs w:val="32"/>
        </w:rPr>
        <w:t>拨款收入支出</w:t>
      </w:r>
      <w:r>
        <w:rPr>
          <w:rStyle w:val="21"/>
          <w:rFonts w:hint="eastAsia" w:ascii="黑体" w:hAnsi="黑体" w:eastAsia="黑体"/>
          <w:b w:val="0"/>
        </w:rPr>
        <w:t>决算</w:t>
      </w:r>
      <w:r>
        <w:rPr>
          <w:rFonts w:hint="eastAsia" w:ascii="黑体" w:hAnsi="黑体" w:eastAsia="黑体"/>
          <w:sz w:val="32"/>
          <w:szCs w:val="32"/>
        </w:rPr>
        <w:t>总体情况说明</w:t>
      </w:r>
      <w:bookmarkEnd w:id="28"/>
      <w:bookmarkEnd w:id="29"/>
      <w:bookmarkEnd w:id="3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1年财政拨款收、支总计736.93万元。与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20年相比，财政拨款收、支总计各增加75.22万元，增加11.37</w:t>
      </w:r>
      <w:r>
        <w:rPr>
          <w:rFonts w:ascii="仿宋" w:hAnsi="仿宋" w:eastAsia="仿宋"/>
          <w:color w:val="000000"/>
          <w:sz w:val="32"/>
          <w:szCs w:val="32"/>
        </w:rPr>
        <w:t>%</w:t>
      </w:r>
      <w:r>
        <w:rPr>
          <w:rFonts w:hint="eastAsia" w:ascii="仿宋" w:hAnsi="仿宋" w:eastAsia="仿宋"/>
          <w:color w:val="000000"/>
          <w:sz w:val="32"/>
          <w:szCs w:val="32"/>
        </w:rPr>
        <w:t>。主要变动原因是操场维修拨款和</w:t>
      </w:r>
      <w:r>
        <w:rPr>
          <w:rFonts w:hint="eastAsia" w:ascii="仿宋_GB2312" w:hAnsi="仿宋" w:eastAsia="仿宋_GB2312"/>
          <w:sz w:val="32"/>
          <w:szCs w:val="32"/>
        </w:rPr>
        <w:t>教职工工资增加。</w:t>
      </w:r>
    </w:p>
    <w:p>
      <w:pPr>
        <w:jc w:val="center"/>
        <w:rPr>
          <w:rFonts w:ascii="仿宋" w:hAnsi="仿宋" w:eastAsia="仿宋"/>
          <w:color w:val="000000"/>
          <w:sz w:val="32"/>
          <w:szCs w:val="32"/>
        </w:rPr>
      </w:pPr>
      <w:r>
        <w:pict>
          <v:shape id="_x0000_i1028" o:spt="75" type="#_x0000_t75" style="height:240.55pt;width:247.1pt;" filled="f" o:preferrelative="t" stroked="f" coordsize="21600,21600">
            <v:path/>
            <v:fill on="f" focussize="0,0"/>
            <v:stroke on="f" joinstyle="miter"/>
            <v:imagedata r:id="rId6" o:title=""/>
            <o:lock v:ext="edit" aspectratio="t"/>
            <w10:wrap type="none"/>
            <w10:anchorlock/>
          </v:shape>
        </w:pict>
      </w:r>
    </w:p>
    <w:p>
      <w:pPr>
        <w:spacing w:line="600" w:lineRule="exact"/>
        <w:ind w:firstLine="1280" w:firstLineChars="400"/>
        <w:rPr>
          <w:rFonts w:ascii="仿宋" w:hAnsi="仿宋" w:eastAsia="仿宋"/>
          <w:b/>
          <w:color w:val="00B05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1"/>
          <w:rFonts w:ascii="黑体" w:hAnsi="黑体" w:eastAsia="黑体"/>
          <w:b w:val="0"/>
        </w:rPr>
      </w:pPr>
      <w:bookmarkStart w:id="31" w:name="_Toc14851"/>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w:t>
      </w:r>
      <w:r>
        <w:rPr>
          <w:rFonts w:hint="eastAsia" w:ascii="黑体" w:hAnsi="黑体" w:eastAsia="黑体"/>
          <w:sz w:val="32"/>
          <w:szCs w:val="32"/>
        </w:rPr>
        <w:t>财政拨款支出决算情况说明</w:t>
      </w:r>
      <w:bookmarkEnd w:id="31"/>
      <w:bookmarkEnd w:id="32"/>
      <w:bookmarkEnd w:id="33"/>
    </w:p>
    <w:p>
      <w:pPr>
        <w:spacing w:line="600" w:lineRule="exact"/>
        <w:ind w:firstLine="321" w:firstLineChars="1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1年财政拨款收、支总计736.93万元。与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20年相比，财政拨款收、支总计各增加75.22万元，增加11.37</w:t>
      </w:r>
      <w:r>
        <w:rPr>
          <w:rFonts w:ascii="仿宋" w:hAnsi="仿宋" w:eastAsia="仿宋"/>
          <w:color w:val="000000"/>
          <w:sz w:val="32"/>
          <w:szCs w:val="32"/>
        </w:rPr>
        <w:t>%</w:t>
      </w:r>
      <w:r>
        <w:rPr>
          <w:rFonts w:hint="eastAsia" w:ascii="仿宋" w:hAnsi="仿宋" w:eastAsia="仿宋"/>
          <w:color w:val="000000"/>
          <w:sz w:val="32"/>
          <w:szCs w:val="32"/>
        </w:rPr>
        <w:t>。主要变动原因是操场维修拨款和</w:t>
      </w:r>
      <w:r>
        <w:rPr>
          <w:rFonts w:hint="eastAsia" w:ascii="仿宋_GB2312" w:hAnsi="仿宋" w:eastAsia="仿宋_GB2312"/>
          <w:sz w:val="32"/>
          <w:szCs w:val="32"/>
        </w:rPr>
        <w:t>教职工工资增加。</w:t>
      </w:r>
    </w:p>
    <w:p>
      <w:pPr>
        <w:ind w:firstLine="420" w:firstLineChars="200"/>
        <w:rPr>
          <w:rFonts w:ascii="仿宋" w:hAnsi="仿宋" w:eastAsia="仿宋"/>
          <w:color w:val="000000"/>
          <w:sz w:val="32"/>
          <w:szCs w:val="32"/>
        </w:rPr>
      </w:pPr>
      <w:r>
        <w:pict>
          <v:shape id="_x0000_i1029" o:spt="75" type="#_x0000_t75" style="height:134.75pt;width:361.65pt;" filled="f" o:preferrelative="t" stroked="f" coordsize="21600,21600">
            <v:path/>
            <v:fill on="f" focussize="0,0"/>
            <v:stroke on="f" joinstyle="miter"/>
            <v:imagedata r:id="rId9" o:title=""/>
            <o:lock v:ext="edit" aspectratio="t"/>
            <w10:wrap type="none"/>
            <w10:anchorlock/>
          </v:shape>
        </w:pic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1年一般公共预算财政拨款支出736.93万元，主要用于以下方面</w:t>
      </w:r>
      <w:r>
        <w:t>：</w:t>
      </w:r>
      <w:r>
        <w:rPr>
          <w:rFonts w:hint="eastAsia" w:ascii="仿宋" w:hAnsi="仿宋" w:eastAsia="仿宋"/>
          <w:b/>
          <w:color w:val="000000"/>
          <w:sz w:val="32"/>
          <w:szCs w:val="32"/>
        </w:rPr>
        <w:t>教育支出（类）</w:t>
      </w:r>
      <w:r>
        <w:rPr>
          <w:rFonts w:hint="eastAsia" w:ascii="仿宋" w:hAnsi="仿宋" w:eastAsia="仿宋"/>
          <w:color w:val="000000"/>
          <w:sz w:val="32"/>
          <w:szCs w:val="32"/>
        </w:rPr>
        <w:t>592.70万元，占80.43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农林水支出（类）支出1万元，占0.14</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支出71.44万元，占9.70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32.25万元，占4.38</w:t>
      </w:r>
      <w:r>
        <w:rPr>
          <w:rFonts w:ascii="仿宋" w:hAnsi="仿宋" w:eastAsia="仿宋"/>
          <w:color w:val="000000"/>
          <w:sz w:val="32"/>
          <w:szCs w:val="32"/>
        </w:rPr>
        <w:t>%</w:t>
      </w:r>
      <w:r>
        <w:rPr>
          <w:rFonts w:hint="eastAsia" w:ascii="仿宋" w:hAnsi="仿宋" w:eastAsia="仿宋"/>
          <w:color w:val="000000"/>
          <w:sz w:val="32"/>
          <w:szCs w:val="32"/>
        </w:rPr>
        <w:t>；住房保障支出39.55万元，占比5.37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ind w:firstLine="640"/>
        <w:jc w:val="center"/>
        <w:rPr>
          <w:rFonts w:ascii="仿宋" w:hAnsi="仿宋" w:eastAsia="仿宋"/>
          <w:color w:val="000000"/>
          <w:sz w:val="32"/>
          <w:szCs w:val="32"/>
        </w:rPr>
      </w:pPr>
      <w:r>
        <w:pict>
          <v:shape id="_x0000_i1030" o:spt="75" type="#_x0000_t75" style="height:121.65pt;width:361.65pt;" filled="f" o:preferrelative="t" stroked="f" coordsize="21600,21600">
            <v:path/>
            <v:fill on="f" focussize="0,0"/>
            <v:stroke on="f" joinstyle="miter"/>
            <v:imagedata r:id="rId10" o:title=""/>
            <o:lock v:ext="edit" aspectratio="t"/>
            <w10:wrap type="none"/>
            <w10:anchorlock/>
          </v:shape>
        </w:pict>
      </w:r>
    </w:p>
    <w:p>
      <w:pPr>
        <w:spacing w:line="60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72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6"/>
          <w:szCs w:val="36"/>
        </w:rPr>
        <w:t>（三）一般公共预算财政拨款支出决算具体情况</w:t>
      </w:r>
      <w:bookmarkEnd w:id="36"/>
    </w:p>
    <w:p>
      <w:pPr>
        <w:spacing w:line="600" w:lineRule="exact"/>
        <w:ind w:firstLine="643" w:firstLineChars="200"/>
        <w:outlineLvl w:val="2"/>
        <w:rPr>
          <w:rStyle w:val="10"/>
          <w:rFonts w:ascii="仿宋" w:hAnsi="仿宋" w:eastAsia="仿宋"/>
          <w:bCs/>
          <w:color w:val="000000"/>
          <w:sz w:val="32"/>
          <w:szCs w:val="32"/>
        </w:rPr>
      </w:pPr>
      <w:bookmarkStart w:id="37" w:name="_Toc15377213"/>
      <w:bookmarkStart w:id="38" w:name="_Toc15377444"/>
      <w:bookmarkStart w:id="39" w:name="_Toc15378460"/>
      <w:r>
        <w:rPr>
          <w:rStyle w:val="10"/>
          <w:rFonts w:ascii="仿宋" w:hAnsi="仿宋" w:eastAsia="仿宋"/>
          <w:bCs/>
          <w:color w:val="000000"/>
          <w:sz w:val="32"/>
          <w:szCs w:val="32"/>
        </w:rPr>
        <w:t>202</w:t>
      </w:r>
      <w:r>
        <w:rPr>
          <w:rStyle w:val="10"/>
          <w:rFonts w:hint="eastAsia" w:ascii="仿宋" w:hAnsi="仿宋" w:eastAsia="仿宋"/>
          <w:bCs/>
          <w:color w:val="000000"/>
          <w:sz w:val="32"/>
          <w:szCs w:val="32"/>
        </w:rPr>
        <w:t>1年一般公共预算</w:t>
      </w:r>
      <w:r>
        <w:rPr>
          <w:rFonts w:hint="eastAsia" w:ascii="仿宋" w:hAnsi="仿宋" w:eastAsia="仿宋"/>
          <w:b/>
          <w:bCs/>
          <w:color w:val="000000"/>
          <w:sz w:val="32"/>
          <w:szCs w:val="32"/>
        </w:rPr>
        <w:t>支出决算数为</w:t>
      </w:r>
      <w:bookmarkEnd w:id="37"/>
      <w:bookmarkEnd w:id="38"/>
      <w:bookmarkEnd w:id="39"/>
      <w:r>
        <w:rPr>
          <w:rStyle w:val="10"/>
          <w:rFonts w:hint="eastAsia" w:ascii="仿宋" w:hAnsi="仿宋" w:eastAsia="仿宋"/>
          <w:bCs/>
          <w:color w:val="000000"/>
          <w:sz w:val="32"/>
          <w:szCs w:val="32"/>
        </w:rPr>
        <w:t>736.93</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。其中：</w:t>
      </w:r>
    </w:p>
    <w:p>
      <w:pPr>
        <w:spacing w:line="600" w:lineRule="exact"/>
        <w:ind w:firstLine="643" w:firstLineChars="200"/>
        <w:rPr>
          <w:rFonts w:ascii="仿宋_GB2312" w:eastAsia="仿宋_GB2312"/>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教育（类）普通教育（款）小学</w:t>
      </w:r>
      <w:r>
        <w:rPr>
          <w:rFonts w:hint="eastAsia" w:ascii="仿宋" w:hAnsi="仿宋" w:eastAsia="仿宋"/>
          <w:b/>
          <w:bCs/>
          <w:color w:val="000000"/>
          <w:sz w:val="32"/>
          <w:szCs w:val="32"/>
        </w:rPr>
        <w:t>教育（项）</w:t>
      </w:r>
      <w:r>
        <w:rPr>
          <w:rStyle w:val="10"/>
          <w:rFonts w:ascii="仿宋" w:hAnsi="仿宋" w:eastAsia="仿宋"/>
          <w:bCs/>
          <w:color w:val="000000"/>
          <w:sz w:val="32"/>
          <w:szCs w:val="32"/>
        </w:rPr>
        <w:t>:</w:t>
      </w:r>
      <w:r>
        <w:rPr>
          <w:rStyle w:val="10"/>
          <w:rFonts w:hint="eastAsia" w:ascii="仿宋" w:hAnsi="仿宋" w:eastAsia="仿宋"/>
          <w:b w:val="0"/>
          <w:bCs/>
          <w:color w:val="000000"/>
          <w:sz w:val="24"/>
        </w:rPr>
        <w:t>支</w:t>
      </w:r>
      <w:r>
        <w:rPr>
          <w:rFonts w:hint="eastAsia" w:ascii="仿宋_GB2312" w:eastAsia="仿宋_GB2312"/>
          <w:color w:val="000000"/>
          <w:sz w:val="32"/>
          <w:szCs w:val="32"/>
        </w:rPr>
        <w:t>出决算为540.81万元，完成预算100%，决算数等于预算数。</w:t>
      </w:r>
    </w:p>
    <w:p>
      <w:pPr>
        <w:spacing w:line="600" w:lineRule="exact"/>
        <w:ind w:firstLine="643" w:firstLineChars="200"/>
        <w:rPr>
          <w:rFonts w:ascii="仿宋_GB2312" w:eastAsia="仿宋_GB2312"/>
          <w:color w:val="000000"/>
          <w:sz w:val="32"/>
          <w:szCs w:val="32"/>
        </w:rPr>
      </w:pPr>
      <w:r>
        <w:rPr>
          <w:rStyle w:val="10"/>
          <w:rFonts w:hint="eastAsia" w:ascii="仿宋" w:hAnsi="仿宋" w:eastAsia="仿宋"/>
          <w:bCs/>
          <w:color w:val="000000"/>
          <w:sz w:val="32"/>
          <w:szCs w:val="32"/>
        </w:rPr>
        <w:t>2.社会保障和就业（类）行政</w:t>
      </w:r>
      <w:r>
        <w:rPr>
          <w:rFonts w:hint="eastAsia" w:ascii="仿宋" w:hAnsi="仿宋" w:eastAsia="仿宋"/>
          <w:b/>
          <w:bCs/>
          <w:color w:val="000000"/>
          <w:sz w:val="32"/>
          <w:szCs w:val="32"/>
        </w:rPr>
        <w:t>事业单位养老保险（款）机关事业单位基</w:t>
      </w:r>
      <w:r>
        <w:rPr>
          <w:rStyle w:val="10"/>
          <w:rFonts w:hint="eastAsia" w:ascii="仿宋" w:hAnsi="仿宋" w:eastAsia="仿宋"/>
          <w:bCs/>
          <w:color w:val="000000"/>
          <w:sz w:val="32"/>
          <w:szCs w:val="32"/>
        </w:rPr>
        <w:t>本</w:t>
      </w:r>
      <w:r>
        <w:rPr>
          <w:rFonts w:hint="eastAsia" w:ascii="仿宋" w:hAnsi="仿宋" w:eastAsia="仿宋"/>
          <w:b/>
          <w:bCs/>
          <w:color w:val="000000"/>
          <w:sz w:val="32"/>
          <w:szCs w:val="32"/>
        </w:rPr>
        <w:t>养老保险（项</w:t>
      </w:r>
      <w:r>
        <w:rPr>
          <w:rStyle w:val="10"/>
          <w:rFonts w:hint="eastAsia" w:ascii="仿宋" w:hAnsi="仿宋" w:eastAsia="仿宋"/>
          <w:bCs/>
          <w:color w:val="000000"/>
          <w:sz w:val="32"/>
          <w:szCs w:val="32"/>
        </w:rPr>
        <w:t>）:</w:t>
      </w:r>
      <w:r>
        <w:rPr>
          <w:rFonts w:hint="eastAsia" w:ascii="仿宋_GB2312" w:eastAsia="仿宋_GB2312"/>
          <w:color w:val="000000"/>
          <w:sz w:val="32"/>
          <w:szCs w:val="32"/>
        </w:rPr>
        <w:t>支出决算为71.44万元，完成预算100%，决算数等于预算数。</w:t>
      </w:r>
    </w:p>
    <w:p>
      <w:pPr>
        <w:spacing w:line="600" w:lineRule="exact"/>
        <w:ind w:firstLine="643" w:firstLineChars="200"/>
        <w:rPr>
          <w:rFonts w:ascii="仿宋_GB2312" w:eastAsia="仿宋_GB2312"/>
          <w:color w:val="000000"/>
          <w:sz w:val="32"/>
          <w:szCs w:val="32"/>
        </w:rPr>
      </w:pPr>
      <w:r>
        <w:rPr>
          <w:rStyle w:val="10"/>
          <w:rFonts w:hint="eastAsia" w:ascii="仿宋" w:hAnsi="仿宋" w:eastAsia="仿宋"/>
          <w:bCs/>
          <w:color w:val="000000"/>
          <w:sz w:val="32"/>
          <w:szCs w:val="32"/>
        </w:rPr>
        <w:t>3.卫生健康（类）行政</w:t>
      </w:r>
      <w:r>
        <w:rPr>
          <w:rFonts w:hint="eastAsia" w:ascii="仿宋" w:hAnsi="仿宋" w:eastAsia="仿宋"/>
          <w:b/>
          <w:bCs/>
          <w:color w:val="000000"/>
          <w:sz w:val="32"/>
          <w:szCs w:val="32"/>
        </w:rPr>
        <w:t>事业单位医疗（款）事业单位医疗（项</w:t>
      </w:r>
      <w:r>
        <w:rPr>
          <w:rStyle w:val="10"/>
          <w:rFonts w:hint="eastAsia" w:ascii="仿宋" w:hAnsi="仿宋" w:eastAsia="仿宋"/>
          <w:bCs/>
          <w:color w:val="000000"/>
          <w:sz w:val="32"/>
          <w:szCs w:val="32"/>
        </w:rPr>
        <w:t>）:</w:t>
      </w:r>
      <w:r>
        <w:rPr>
          <w:rFonts w:hint="eastAsia" w:ascii="仿宋_GB2312" w:eastAsia="仿宋_GB2312"/>
          <w:color w:val="000000"/>
          <w:sz w:val="32"/>
          <w:szCs w:val="32"/>
        </w:rPr>
        <w:t>支出决算为32.25万元，完成预算100%，决算数等于预算数。</w:t>
      </w:r>
    </w:p>
    <w:p>
      <w:pPr>
        <w:spacing w:line="600" w:lineRule="exact"/>
        <w:ind w:firstLine="643" w:firstLineChars="200"/>
        <w:rPr>
          <w:rFonts w:ascii="仿宋_GB2312" w:eastAsia="仿宋_GB2312"/>
          <w:color w:val="000000"/>
          <w:sz w:val="32"/>
          <w:szCs w:val="32"/>
        </w:rPr>
      </w:pPr>
      <w:r>
        <w:rPr>
          <w:rStyle w:val="10"/>
          <w:rFonts w:hint="eastAsia" w:ascii="仿宋" w:hAnsi="仿宋" w:eastAsia="仿宋"/>
          <w:bCs/>
          <w:color w:val="000000"/>
          <w:sz w:val="32"/>
          <w:szCs w:val="32"/>
        </w:rPr>
        <w:t>4.农林水支出（类）扶</w:t>
      </w:r>
      <w:r>
        <w:rPr>
          <w:rFonts w:hint="eastAsia" w:ascii="仿宋" w:hAnsi="仿宋" w:eastAsia="仿宋"/>
          <w:b/>
          <w:bCs/>
          <w:color w:val="000000"/>
          <w:sz w:val="32"/>
          <w:szCs w:val="32"/>
        </w:rPr>
        <w:t>贫（款</w:t>
      </w:r>
      <w:r>
        <w:rPr>
          <w:rStyle w:val="10"/>
          <w:rFonts w:hint="eastAsia" w:ascii="仿宋" w:hAnsi="仿宋" w:eastAsia="仿宋"/>
          <w:bCs/>
          <w:color w:val="000000"/>
          <w:sz w:val="32"/>
          <w:szCs w:val="32"/>
        </w:rPr>
        <w:t>）其他扶</w:t>
      </w:r>
      <w:r>
        <w:rPr>
          <w:rFonts w:hint="eastAsia" w:ascii="仿宋" w:hAnsi="仿宋" w:eastAsia="仿宋"/>
          <w:b/>
          <w:bCs/>
          <w:color w:val="000000"/>
          <w:sz w:val="32"/>
          <w:szCs w:val="32"/>
        </w:rPr>
        <w:t>贫支出（项</w:t>
      </w:r>
      <w:r>
        <w:rPr>
          <w:rStyle w:val="10"/>
          <w:rFonts w:hint="eastAsia" w:ascii="仿宋" w:hAnsi="仿宋" w:eastAsia="仿宋"/>
          <w:bCs/>
          <w:color w:val="000000"/>
          <w:sz w:val="32"/>
          <w:szCs w:val="32"/>
        </w:rPr>
        <w:t>）:</w:t>
      </w:r>
      <w:r>
        <w:rPr>
          <w:rFonts w:hint="eastAsia" w:ascii="仿宋_GB2312" w:eastAsia="仿宋_GB2312"/>
          <w:color w:val="000000"/>
          <w:sz w:val="32"/>
          <w:szCs w:val="32"/>
        </w:rPr>
        <w:t>支出决算为1万元，完成预算100%，决算数等于预算数。</w:t>
      </w:r>
    </w:p>
    <w:p>
      <w:pPr>
        <w:spacing w:line="600" w:lineRule="exact"/>
        <w:ind w:firstLine="643" w:firstLineChars="200"/>
        <w:rPr>
          <w:rFonts w:ascii="仿宋_GB2312" w:eastAsia="仿宋_GB2312"/>
          <w:color w:val="000000"/>
          <w:sz w:val="32"/>
          <w:szCs w:val="32"/>
        </w:rPr>
      </w:pPr>
      <w:r>
        <w:rPr>
          <w:rStyle w:val="10"/>
          <w:rFonts w:hint="eastAsia" w:ascii="仿宋" w:hAnsi="仿宋" w:eastAsia="仿宋"/>
          <w:bCs/>
          <w:color w:val="000000"/>
          <w:sz w:val="32"/>
          <w:szCs w:val="32"/>
        </w:rPr>
        <w:t>5.住房保障支出（类）住房改革支出（款）住房公积金（项）:</w:t>
      </w:r>
      <w:r>
        <w:rPr>
          <w:rFonts w:hint="eastAsia" w:ascii="仿宋_GB2312" w:eastAsia="仿宋_GB2312"/>
          <w:color w:val="000000"/>
          <w:sz w:val="32"/>
          <w:szCs w:val="32"/>
        </w:rPr>
        <w:t>支出决算为39.55万元，完成预算100%，决算数等于预算数。</w:t>
      </w:r>
    </w:p>
    <w:p>
      <w:pPr>
        <w:tabs>
          <w:tab w:val="right" w:pos="8306"/>
        </w:tabs>
        <w:spacing w:line="600" w:lineRule="exact"/>
        <w:ind w:firstLine="640"/>
        <w:outlineLvl w:val="1"/>
        <w:rPr>
          <w:rStyle w:val="21"/>
          <w:sz w:val="24"/>
          <w:szCs w:val="24"/>
        </w:rPr>
      </w:pPr>
      <w:bookmarkStart w:id="40" w:name="_Toc15377214"/>
      <w:bookmarkStart w:id="41" w:name="_Toc15396608"/>
      <w:bookmarkStart w:id="42" w:name="_Toc19628"/>
      <w:r>
        <w:rPr>
          <w:rFonts w:hint="eastAsia" w:ascii="黑体" w:hAnsi="黑体" w:eastAsia="黑体"/>
          <w:color w:val="000000"/>
          <w:sz w:val="32"/>
          <w:szCs w:val="32"/>
        </w:rPr>
        <w:t>六、一般公共预算财政拨款基本支出决算情况说明</w:t>
      </w:r>
      <w:bookmarkEnd w:id="40"/>
      <w:bookmarkEnd w:id="41"/>
      <w:bookmarkEnd w:id="42"/>
      <w:r>
        <w:rPr>
          <w:rStyle w:val="21"/>
          <w:rFonts w:ascii="黑体" w:hAnsi="黑体" w:eastAsia="黑体"/>
          <w:b w:val="0"/>
          <w:sz w:val="24"/>
          <w:szCs w:val="24"/>
        </w:rPr>
        <w:tab/>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一般公共预算财政拨款基本支出736.93万元，人员经费585.87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日常公用经费38.32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1"/>
          <w:rFonts w:ascii="黑体" w:hAnsi="黑体" w:eastAsia="黑体"/>
          <w:b w:val="0"/>
        </w:rPr>
      </w:pPr>
      <w:bookmarkStart w:id="43" w:name="_Toc15377215"/>
      <w:bookmarkStart w:id="44" w:name="_Toc15396609"/>
      <w:bookmarkStart w:id="45" w:name="_Toc16352"/>
      <w:r>
        <w:rPr>
          <w:rFonts w:hint="eastAsia" w:asci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w:t>
      </w:r>
      <w:r>
        <w:rPr>
          <w:rFonts w:hint="eastAsia" w:ascii="黑体" w:hAnsi="黑体" w:eastAsia="黑体"/>
          <w:sz w:val="32"/>
          <w:szCs w:val="32"/>
        </w:rPr>
        <w:t>财政拨款支出</w:t>
      </w:r>
      <w:r>
        <w:rPr>
          <w:rStyle w:val="21"/>
          <w:rFonts w:hint="eastAsia" w:ascii="黑体" w:hAnsi="黑体" w:eastAsia="黑体"/>
          <w:b w:val="0"/>
        </w:rPr>
        <w:t>决算</w:t>
      </w:r>
      <w:r>
        <w:rPr>
          <w:rFonts w:hint="eastAsia" w:ascii="黑体" w:hAnsi="黑体" w:eastAsia="黑体"/>
          <w:sz w:val="32"/>
          <w:szCs w:val="32"/>
        </w:rPr>
        <w:t>情况说明</w:t>
      </w:r>
      <w:bookmarkEnd w:id="43"/>
      <w:bookmarkEnd w:id="44"/>
      <w:bookmarkEnd w:id="45"/>
    </w:p>
    <w:p>
      <w:pPr>
        <w:spacing w:line="600" w:lineRule="exact"/>
        <w:ind w:firstLine="640"/>
        <w:outlineLvl w:val="2"/>
        <w:rPr>
          <w:rFonts w:ascii="仿宋" w:hAnsi="仿宋" w:eastAsia="仿宋"/>
          <w:b/>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1年“三公”经费财政拨款支出决算为0.1万元，完成预算100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0"/>
        <w:rPr>
          <w:rFonts w:ascii="仿宋" w:hAnsi="仿宋" w:eastAsia="仿宋"/>
          <w:color w:val="000000"/>
          <w:sz w:val="32"/>
          <w:szCs w:val="32"/>
        </w:rPr>
      </w:pPr>
      <w:r>
        <w:rPr>
          <w:rFonts w:ascii="仿宋" w:hAnsi="仿宋" w:eastAsia="仿宋"/>
          <w:color w:val="000000"/>
          <w:sz w:val="32"/>
          <w:szCs w:val="32"/>
        </w:rPr>
        <w:pict>
          <v:shape id="_x0000_i1031" o:spt="75" alt="T[Q%VKCXRZI$X$FGB))5{97" type="#_x0000_t75" style="height:167.45pt;width:415.1pt;" filled="f" o:preferrelative="t" stroked="f" coordsize="21600,21600">
            <v:path/>
            <v:fill on="f" focussize="0,0"/>
            <v:stroke on="f" joinstyle="miter"/>
            <v:imagedata r:id="rId11" o:title="T[Q%VKCXRZI$X$FGB))5{97"/>
            <o:lock v:ext="edit" aspectratio="t"/>
            <w10:wrap type="none"/>
            <w10:anchorlock/>
          </v:shape>
        </w:pict>
      </w:r>
    </w:p>
    <w:p>
      <w:pPr>
        <w:spacing w:line="600" w:lineRule="exact"/>
        <w:ind w:firstLine="1929" w:firstLineChars="603"/>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3" w:firstLineChars="200"/>
        <w:rPr>
          <w:rFonts w:ascii="黑体" w:eastAsia="黑体"/>
          <w:color w:val="000000"/>
          <w:sz w:val="28"/>
          <w:szCs w:val="28"/>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0.1万元，</w:t>
      </w:r>
      <w:r>
        <w:rPr>
          <w:rStyle w:val="10"/>
          <w:rFonts w:hint="eastAsia" w:ascii="仿宋" w:hAnsi="仿宋" w:eastAsia="仿宋"/>
          <w:b w:val="0"/>
          <w:bCs/>
          <w:color w:val="000000"/>
          <w:sz w:val="32"/>
          <w:szCs w:val="32"/>
        </w:rPr>
        <w:t>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rPr>
        <w:t>20年</w:t>
      </w:r>
      <w:bookmarkStart w:id="48" w:name="_Toc15396610"/>
      <w:bookmarkStart w:id="49" w:name="_Toc15377218"/>
      <w:r>
        <w:rPr>
          <w:rFonts w:hint="eastAsia" w:ascii="仿宋_GB2312" w:eastAsia="仿宋_GB2312"/>
          <w:color w:val="000000"/>
          <w:sz w:val="32"/>
          <w:szCs w:val="32"/>
        </w:rPr>
        <w:t>持平。</w:t>
      </w:r>
    </w:p>
    <w:p>
      <w:pPr>
        <w:spacing w:line="600" w:lineRule="exact"/>
        <w:ind w:firstLine="640"/>
        <w:outlineLvl w:val="1"/>
        <w:rPr>
          <w:rFonts w:ascii="黑体" w:eastAsia="黑体"/>
          <w:color w:val="000000"/>
          <w:sz w:val="32"/>
          <w:szCs w:val="32"/>
        </w:rPr>
      </w:pPr>
      <w:bookmarkStart w:id="50" w:name="_Toc29418"/>
      <w:r>
        <w:rPr>
          <w:rFonts w:hint="eastAsia" w:ascii="黑体" w:eastAsia="黑体"/>
          <w:color w:val="000000"/>
          <w:sz w:val="32"/>
          <w:szCs w:val="32"/>
        </w:rPr>
        <w:t>八、政府性基金预算支出决算情况说明</w:t>
      </w:r>
      <w:bookmarkEnd w:id="48"/>
      <w:bookmarkEnd w:id="49"/>
      <w:bookmarkEnd w:id="50"/>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我校</w:t>
      </w:r>
      <w:r>
        <w:rPr>
          <w:rFonts w:hint="eastAsia" w:ascii="仿宋_GB2312" w:eastAsia="仿宋_GB2312"/>
          <w:color w:val="000000"/>
          <w:sz w:val="32"/>
          <w:szCs w:val="32"/>
          <w:u w:val="none" w:color="FFB03A"/>
          <w:shd w:val="clear" w:fill="auto"/>
        </w:rPr>
        <w:t>2021年</w:t>
      </w:r>
      <w:r>
        <w:rPr>
          <w:rFonts w:hint="eastAsia" w:ascii="仿宋_GB2312" w:eastAsia="仿宋_GB2312"/>
          <w:color w:val="000000"/>
          <w:sz w:val="32"/>
          <w:szCs w:val="32"/>
          <w:u w:val="none" w:color="FFB03A"/>
          <w:shd w:val="clear" w:fill="auto"/>
          <w:lang w:val="en-US" w:eastAsia="zh-CN"/>
        </w:rPr>
        <w:t>度</w:t>
      </w:r>
      <w:r>
        <w:rPr>
          <w:rFonts w:hint="eastAsia" w:ascii="仿宋_GB2312" w:eastAsia="仿宋_GB2312"/>
          <w:color w:val="000000"/>
          <w:sz w:val="32"/>
          <w:szCs w:val="32"/>
          <w:u w:val="none" w:color="FFB03A"/>
          <w:shd w:val="clear" w:fill="auto"/>
        </w:rPr>
        <w:t>无</w:t>
      </w:r>
      <w:r>
        <w:rPr>
          <w:rFonts w:hint="eastAsia" w:ascii="仿宋_GB2312" w:eastAsia="仿宋_GB2312"/>
          <w:color w:val="000000"/>
          <w:sz w:val="32"/>
          <w:szCs w:val="32"/>
        </w:rPr>
        <w:t>政府性基金预算拨款支出0万元。</w:t>
      </w:r>
    </w:p>
    <w:p>
      <w:pPr>
        <w:numPr>
          <w:ilvl w:val="0"/>
          <w:numId w:val="1"/>
        </w:numPr>
        <w:spacing w:line="220" w:lineRule="atLeast"/>
        <w:ind w:firstLine="640"/>
        <w:outlineLvl w:val="1"/>
        <w:rPr>
          <w:rStyle w:val="21"/>
          <w:rFonts w:ascii="黑体" w:hAnsi="黑体" w:eastAsia="黑体"/>
          <w:b w:val="0"/>
          <w:sz w:val="28"/>
          <w:szCs w:val="28"/>
        </w:rPr>
      </w:pPr>
      <w:bookmarkStart w:id="51" w:name="_Toc15377219"/>
      <w:bookmarkStart w:id="52" w:name="_Toc18762"/>
      <w:bookmarkStart w:id="53" w:name="_Toc15396611"/>
      <w:r>
        <w:rPr>
          <w:rStyle w:val="21"/>
          <w:rFonts w:hint="eastAsia" w:ascii="黑体" w:hAnsi="黑体" w:eastAsia="黑体"/>
          <w:b w:val="0"/>
          <w:sz w:val="28"/>
          <w:szCs w:val="28"/>
        </w:rPr>
        <w:t>国有资本</w:t>
      </w:r>
      <w:r>
        <w:rPr>
          <w:rFonts w:hint="eastAsia" w:ascii="黑体" w:hAnsi="黑体" w:eastAsia="黑体"/>
          <w:sz w:val="28"/>
          <w:szCs w:val="28"/>
        </w:rPr>
        <w:t>经营</w:t>
      </w:r>
      <w:r>
        <w:rPr>
          <w:rStyle w:val="21"/>
          <w:rFonts w:hint="eastAsia" w:ascii="黑体" w:hAnsi="黑体" w:eastAsia="黑体"/>
          <w:b w:val="0"/>
          <w:sz w:val="28"/>
          <w:szCs w:val="28"/>
        </w:rPr>
        <w:t>预算</w:t>
      </w:r>
      <w:r>
        <w:rPr>
          <w:rFonts w:hint="eastAsia" w:ascii="黑体" w:hAnsi="黑体" w:eastAsia="黑体"/>
          <w:sz w:val="28"/>
          <w:szCs w:val="28"/>
        </w:rPr>
        <w:t>支出决算情况说明</w:t>
      </w:r>
      <w:bookmarkEnd w:id="51"/>
      <w:bookmarkEnd w:id="52"/>
      <w:bookmarkEnd w:id="53"/>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我校</w:t>
      </w:r>
      <w:r>
        <w:rPr>
          <w:rFonts w:hint="eastAsia" w:ascii="仿宋_GB2312" w:eastAsia="仿宋_GB2312"/>
          <w:color w:val="000000"/>
          <w:sz w:val="32"/>
          <w:szCs w:val="32"/>
          <w:u w:val="none" w:color="FFB03A"/>
          <w:shd w:val="clear" w:fill="auto"/>
        </w:rPr>
        <w:t>2021年</w:t>
      </w:r>
      <w:r>
        <w:rPr>
          <w:rFonts w:hint="eastAsia" w:ascii="仿宋_GB2312" w:eastAsia="仿宋_GB2312"/>
          <w:color w:val="000000"/>
          <w:sz w:val="32"/>
          <w:szCs w:val="32"/>
          <w:u w:val="none" w:color="FFB03A"/>
          <w:shd w:val="clear" w:fill="auto"/>
          <w:lang w:val="en-US" w:eastAsia="zh-CN"/>
        </w:rPr>
        <w:t>度</w:t>
      </w:r>
      <w:r>
        <w:rPr>
          <w:rFonts w:hint="eastAsia" w:ascii="仿宋_GB2312" w:eastAsia="仿宋_GB2312"/>
          <w:color w:val="000000"/>
          <w:sz w:val="32"/>
          <w:szCs w:val="32"/>
          <w:u w:val="none" w:color="FFB03A"/>
          <w:shd w:val="clear" w:fill="auto"/>
        </w:rPr>
        <w:t>无</w:t>
      </w:r>
      <w:r>
        <w:rPr>
          <w:rFonts w:hint="eastAsia" w:ascii="仿宋_GB2312" w:eastAsia="仿宋_GB2312"/>
          <w:color w:val="000000"/>
          <w:sz w:val="32"/>
          <w:szCs w:val="32"/>
        </w:rPr>
        <w:t>国有资本经营预算拨款支出0万元。</w:t>
      </w:r>
    </w:p>
    <w:p>
      <w:pPr>
        <w:spacing w:line="220" w:lineRule="atLeast"/>
        <w:ind w:firstLine="700" w:firstLineChars="250"/>
        <w:outlineLvl w:val="1"/>
        <w:rPr>
          <w:rStyle w:val="21"/>
          <w:rFonts w:ascii="黑体" w:hAnsi="黑体" w:eastAsia="黑体"/>
          <w:sz w:val="28"/>
          <w:szCs w:val="28"/>
        </w:rPr>
      </w:pPr>
      <w:bookmarkStart w:id="54" w:name="_Toc15377221"/>
      <w:bookmarkStart w:id="55" w:name="_Toc30566"/>
      <w:bookmarkStart w:id="56" w:name="_Toc15396612"/>
      <w:r>
        <w:rPr>
          <w:rFonts w:hint="eastAsia" w:ascii="黑体" w:hAnsi="黑体" w:eastAsia="黑体"/>
          <w:color w:val="000000"/>
          <w:sz w:val="28"/>
          <w:szCs w:val="28"/>
        </w:rPr>
        <w:t>十</w:t>
      </w:r>
      <w:r>
        <w:rPr>
          <w:rStyle w:val="21"/>
          <w:rFonts w:hint="eastAsia" w:ascii="黑体" w:hAnsi="黑体" w:eastAsia="黑体"/>
          <w:sz w:val="28"/>
          <w:szCs w:val="28"/>
        </w:rPr>
        <w:t>、</w:t>
      </w:r>
      <w:r>
        <w:rPr>
          <w:rStyle w:val="21"/>
          <w:rFonts w:hint="eastAsia" w:ascii="黑体" w:hAnsi="黑体" w:eastAsia="黑体"/>
          <w:b w:val="0"/>
          <w:sz w:val="28"/>
          <w:szCs w:val="28"/>
        </w:rPr>
        <w:t>其他重要事项的</w:t>
      </w:r>
      <w:r>
        <w:rPr>
          <w:rFonts w:hint="eastAsia" w:ascii="黑体" w:hAnsi="黑体" w:eastAsia="黑体"/>
          <w:sz w:val="28"/>
          <w:szCs w:val="28"/>
        </w:rPr>
        <w:t>情况说明</w:t>
      </w:r>
      <w:bookmarkEnd w:id="54"/>
      <w:bookmarkEnd w:id="55"/>
      <w:bookmarkEnd w:id="56"/>
    </w:p>
    <w:p>
      <w:pPr>
        <w:spacing w:line="220" w:lineRule="atLeast"/>
        <w:ind w:firstLine="562" w:firstLineChars="200"/>
        <w:outlineLvl w:val="2"/>
        <w:rPr>
          <w:rFonts w:ascii="仿宋" w:hAnsi="仿宋" w:eastAsia="仿宋"/>
          <w:color w:val="000000"/>
          <w:sz w:val="28"/>
          <w:szCs w:val="28"/>
        </w:rPr>
      </w:pPr>
      <w:bookmarkStart w:id="57" w:name="_Toc15377222"/>
      <w:r>
        <w:rPr>
          <w:rFonts w:hint="eastAsia" w:ascii="仿宋" w:hAnsi="仿宋" w:eastAsia="仿宋"/>
          <w:b/>
          <w:color w:val="000000"/>
          <w:sz w:val="28"/>
          <w:szCs w:val="28"/>
        </w:rPr>
        <w:t>（一）机关运行经费支出情况</w:t>
      </w:r>
      <w:bookmarkEnd w:id="57"/>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2021年，三溪小学无机关运行经费支出。</w:t>
      </w:r>
    </w:p>
    <w:p>
      <w:pPr>
        <w:autoSpaceDE w:val="0"/>
        <w:autoSpaceDN w:val="0"/>
        <w:adjustRightInd w:val="0"/>
        <w:spacing w:line="220" w:lineRule="atLeast"/>
        <w:ind w:firstLine="562" w:firstLineChars="200"/>
        <w:jc w:val="left"/>
        <w:outlineLvl w:val="2"/>
        <w:rPr>
          <w:rFonts w:ascii="仿宋" w:hAnsi="仿宋" w:eastAsia="仿宋"/>
          <w:b/>
          <w:color w:val="000000"/>
          <w:sz w:val="28"/>
          <w:szCs w:val="28"/>
        </w:rPr>
      </w:pPr>
      <w:bookmarkStart w:id="58" w:name="_Toc15377223"/>
      <w:r>
        <w:rPr>
          <w:rFonts w:hint="eastAsia" w:ascii="仿宋" w:hAnsi="仿宋" w:eastAsia="仿宋"/>
          <w:b/>
          <w:color w:val="000000"/>
          <w:sz w:val="28"/>
          <w:szCs w:val="28"/>
        </w:rPr>
        <w:t>（二）政府采购支出情况</w:t>
      </w:r>
      <w:bookmarkEnd w:id="58"/>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2021年，三溪小学采购电子测温仪1台，组合音响1套。授予中小微企业合同金额0万元，占政府采购支出总额的0%。</w:t>
      </w:r>
    </w:p>
    <w:p>
      <w:pPr>
        <w:autoSpaceDE w:val="0"/>
        <w:autoSpaceDN w:val="0"/>
        <w:adjustRightInd w:val="0"/>
        <w:spacing w:line="220" w:lineRule="atLeast"/>
        <w:ind w:firstLine="562" w:firstLineChars="200"/>
        <w:jc w:val="left"/>
        <w:outlineLvl w:val="2"/>
        <w:rPr>
          <w:rFonts w:ascii="仿宋" w:hAnsi="仿宋" w:eastAsia="仿宋"/>
          <w:b/>
          <w:color w:val="000000"/>
          <w:sz w:val="28"/>
          <w:szCs w:val="28"/>
        </w:rPr>
      </w:pPr>
      <w:bookmarkStart w:id="59" w:name="_Toc15377224"/>
      <w:r>
        <w:rPr>
          <w:rFonts w:hint="eastAsia" w:ascii="仿宋" w:hAnsi="仿宋" w:eastAsia="仿宋"/>
          <w:b/>
          <w:color w:val="000000"/>
          <w:sz w:val="28"/>
          <w:szCs w:val="28"/>
        </w:rPr>
        <w:t>（三）国有资产占有使用情况</w:t>
      </w:r>
      <w:bookmarkEnd w:id="59"/>
    </w:p>
    <w:p>
      <w:pPr>
        <w:autoSpaceDE w:val="0"/>
        <w:autoSpaceDN w:val="0"/>
        <w:adjustRightInd w:val="0"/>
        <w:spacing w:line="220" w:lineRule="atLeast"/>
        <w:ind w:firstLine="960" w:firstLineChars="300"/>
        <w:jc w:val="left"/>
        <w:rPr>
          <w:rFonts w:ascii="仿宋" w:hAnsi="仿宋" w:eastAsia="仿宋"/>
          <w:b/>
          <w:color w:val="FF0000"/>
          <w:sz w:val="28"/>
          <w:szCs w:val="28"/>
        </w:rPr>
      </w:pPr>
      <w:r>
        <w:rPr>
          <w:rFonts w:hint="eastAsia" w:ascii="仿宋_GB2312" w:eastAsia="仿宋_GB2312"/>
          <w:color w:val="000000"/>
          <w:sz w:val="32"/>
          <w:szCs w:val="32"/>
        </w:rPr>
        <w:t>截至2021年12月31日，三溪小学共有车辆0辆，单价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220" w:lineRule="atLeast"/>
        <w:ind w:firstLine="562" w:firstLineChars="200"/>
        <w:jc w:val="left"/>
        <w:outlineLvl w:val="2"/>
        <w:rPr>
          <w:rFonts w:ascii="仿宋" w:hAnsi="仿宋" w:eastAsia="仿宋"/>
          <w:b/>
          <w:color w:val="000000"/>
          <w:sz w:val="28"/>
          <w:szCs w:val="28"/>
        </w:rPr>
      </w:pPr>
      <w:r>
        <w:rPr>
          <w:rFonts w:hint="eastAsia" w:ascii="仿宋" w:hAnsi="仿宋" w:eastAsia="仿宋"/>
          <w:b/>
          <w:color w:val="000000"/>
          <w:sz w:val="28"/>
          <w:szCs w:val="28"/>
        </w:rPr>
        <w:t>（四）预算绩效管理情况</w:t>
      </w:r>
    </w:p>
    <w:p>
      <w:pPr>
        <w:autoSpaceDE w:val="0"/>
        <w:autoSpaceDN w:val="0"/>
        <w:adjustRightInd w:val="0"/>
        <w:spacing w:line="220" w:lineRule="atLeast"/>
        <w:ind w:firstLine="960" w:firstLineChars="300"/>
        <w:jc w:val="left"/>
        <w:rPr>
          <w:rFonts w:ascii="仿宋_GB2312" w:eastAsia="仿宋_GB2312"/>
          <w:color w:val="000000"/>
          <w:sz w:val="32"/>
          <w:szCs w:val="32"/>
        </w:rPr>
      </w:pPr>
      <w:r>
        <w:rPr>
          <w:rFonts w:hint="eastAsia" w:ascii="仿宋_GB2312" w:eastAsia="仿宋_GB2312"/>
          <w:color w:val="000000"/>
          <w:sz w:val="32"/>
          <w:szCs w:val="32"/>
        </w:rPr>
        <w:t>本部门按要求对2021年部门整体支出开展绩效自评。本部门还自行组织了6个项目支出绩效评价，从评价情况来看各个项目能够全部完成指标值。</w:t>
      </w:r>
    </w:p>
    <w:p>
      <w:pPr>
        <w:autoSpaceDE w:val="0"/>
        <w:autoSpaceDN w:val="0"/>
        <w:adjustRightInd w:val="0"/>
        <w:spacing w:line="220" w:lineRule="atLeast"/>
        <w:ind w:firstLine="960" w:firstLineChars="300"/>
        <w:jc w:val="left"/>
        <w:rPr>
          <w:rFonts w:ascii="仿宋_GB2312" w:eastAsia="仿宋_GB2312"/>
          <w:color w:val="000000"/>
          <w:sz w:val="32"/>
          <w:szCs w:val="32"/>
        </w:rPr>
      </w:pPr>
      <w:r>
        <w:rPr>
          <w:rFonts w:hint="eastAsia" w:ascii="仿宋_GB2312" w:eastAsia="仿宋_GB2312"/>
          <w:color w:val="000000"/>
          <w:sz w:val="32"/>
          <w:szCs w:val="32"/>
        </w:rPr>
        <w:t>1.项目绩效目标完成情况。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本单位在2021年度部门决算中反映“三儿资助”“贫困寄宿生生活补助”“其他商品和服务支出”“学生营养餐及作业本费”“扶贫经费”6个项目绩效目标实际完成情况。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教育项目前期工作经费项目绩效目标完成情况综述。项目全年预算数为112.74万元，执行数为112.74万元，完成预算的100%。通过项目实施，保障了教育项目的有序推进。</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2.单位绩效评价结果。</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部门按要求对2021年部门整体支出绩效评价情况开展自评，《通江县三溪镇三溪小学2021年项目支出目标绩效评价表》，《通江县三溪镇三溪小学2021年部门整体支出绩效评价报告》，2021年特定目标类部门预算项目绩效目标自评表见附件（第四部分）。</w:t>
      </w:r>
    </w:p>
    <w:p>
      <w:pPr>
        <w:spacing w:line="600" w:lineRule="exact"/>
        <w:ind w:firstLine="640" w:firstLineChars="200"/>
        <w:rPr>
          <w:rFonts w:ascii="仿宋_GB2312" w:eastAsia="仿宋_GB2312"/>
          <w:color w:val="000000"/>
          <w:sz w:val="32"/>
          <w:szCs w:val="32"/>
        </w:rPr>
      </w:pPr>
    </w:p>
    <w:p>
      <w:pPr>
        <w:spacing w:line="600" w:lineRule="exact"/>
        <w:jc w:val="center"/>
        <w:rPr>
          <w:rFonts w:ascii="黑体" w:hAnsi="黑体" w:eastAsia="黑体" w:cs="黑体"/>
          <w:color w:val="000000"/>
          <w:sz w:val="44"/>
          <w:szCs w:val="44"/>
        </w:rPr>
      </w:pPr>
      <w:bookmarkStart w:id="60" w:name="_Toc25234"/>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ind w:firstLine="2640" w:firstLineChars="600"/>
        <w:outlineLvl w:val="0"/>
        <w:rPr>
          <w:rStyle w:val="19"/>
          <w:rFonts w:ascii="黑体" w:hAnsi="黑体" w:eastAsia="黑体" w:cs="黑体"/>
          <w:b w:val="0"/>
        </w:rPr>
      </w:pPr>
      <w:bookmarkStart w:id="61" w:name="_Toc6735"/>
      <w:r>
        <w:rPr>
          <w:rFonts w:hint="eastAsia" w:ascii="黑体" w:hAnsi="黑体" w:eastAsia="黑体" w:cs="黑体"/>
          <w:color w:val="000000"/>
          <w:sz w:val="44"/>
          <w:szCs w:val="44"/>
        </w:rPr>
        <w:t>第三部分名</w:t>
      </w:r>
      <w:r>
        <w:rPr>
          <w:rStyle w:val="19"/>
          <w:rFonts w:hint="eastAsia" w:ascii="黑体" w:hAnsi="黑体" w:eastAsia="黑体" w:cs="黑体"/>
        </w:rPr>
        <w:t>词解释</w:t>
      </w:r>
      <w:bookmarkEnd w:id="60"/>
      <w:bookmarkEnd w:id="61"/>
    </w:p>
    <w:p>
      <w:pPr>
        <w:spacing w:line="600" w:lineRule="exact"/>
        <w:jc w:val="left"/>
        <w:rPr>
          <w:rFonts w:ascii="仿宋" w:hAnsi="仿宋" w:eastAsia="仿宋"/>
          <w:b/>
          <w:color w:val="000000"/>
          <w:sz w:val="30"/>
          <w:szCs w:val="30"/>
        </w:rPr>
      </w:pPr>
    </w:p>
    <w:p>
      <w:pPr>
        <w:pStyle w:val="48"/>
        <w:spacing w:line="560" w:lineRule="exact"/>
        <w:ind w:firstLine="640" w:firstLineChars="200"/>
        <w:rPr>
          <w:rFonts w:ascii="仿宋_GB2312" w:eastAsia="仿宋_GB2312"/>
          <w:sz w:val="32"/>
          <w:szCs w:val="32"/>
        </w:rPr>
      </w:pPr>
      <w:bookmarkStart w:id="62" w:name="_Toc8820"/>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FFB03A"/>
          <w:shd w:val="clear" w:fill="auto"/>
        </w:rPr>
        <w:t>本年</w:t>
      </w:r>
      <w:r>
        <w:rPr>
          <w:rFonts w:hint="eastAsia" w:ascii="仿宋_GB2312" w:eastAsia="仿宋_GB2312"/>
          <w:sz w:val="32"/>
          <w:szCs w:val="32"/>
          <w:u w:val="none" w:color="FFB03A"/>
          <w:shd w:val="clear" w:fill="auto"/>
          <w:lang w:val="en-US" w:eastAsia="zh-CN"/>
        </w:rPr>
        <w:t>度</w:t>
      </w:r>
      <w:r>
        <w:rPr>
          <w:rFonts w:hint="eastAsia" w:ascii="仿宋_GB2312" w:eastAsia="仿宋_GB2312"/>
          <w:sz w:val="32"/>
          <w:szCs w:val="32"/>
          <w:u w:val="none" w:color="FFB03A"/>
          <w:shd w:val="clear" w:fill="auto"/>
        </w:rPr>
        <w:t>按</w:t>
      </w:r>
      <w:r>
        <w:rPr>
          <w:rFonts w:hint="eastAsia" w:ascii="仿宋_GB2312" w:eastAsia="仿宋_GB2312"/>
          <w:sz w:val="32"/>
          <w:szCs w:val="32"/>
        </w:rPr>
        <w:t>有关规定继续使用的资金。</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4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thick" w:color="909090"/>
          <w:shd w:val="clear" w:fill="DDDDDD"/>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FFB03A"/>
          <w:shd w:val="clear" w:fill="auto"/>
        </w:rPr>
        <w:t>9</w:t>
      </w:r>
      <w:r>
        <w:rPr>
          <w:rFonts w:ascii="仿宋_GB2312" w:eastAsia="仿宋_GB2312"/>
          <w:color w:val="000000"/>
          <w:sz w:val="32"/>
          <w:szCs w:val="32"/>
          <w:u w:val="none" w:color="FFB03A"/>
          <w:shd w:val="clear" w:fill="auto"/>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 w:hAnsi="仿宋" w:eastAsia="仿宋"/>
          <w:b/>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48"/>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pPr>
        <w:pStyle w:val="48"/>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8"/>
        <w:spacing w:line="560" w:lineRule="exact"/>
        <w:jc w:val="center"/>
        <w:rPr>
          <w:rFonts w:ascii="黑体" w:hAnsi="黑体" w:eastAsia="黑体" w:cs="黑体"/>
          <w:sz w:val="44"/>
          <w:szCs w:val="44"/>
        </w:rPr>
      </w:pPr>
    </w:p>
    <w:p>
      <w:pPr>
        <w:rPr>
          <w:vanish/>
        </w:rPr>
      </w:pPr>
    </w:p>
    <w:tbl>
      <w:tblPr>
        <w:tblStyle w:val="7"/>
        <w:tblpPr w:leftFromText="180" w:rightFromText="180" w:vertAnchor="text" w:horzAnchor="page" w:tblpX="992" w:tblpY="-965"/>
        <w:tblOverlap w:val="never"/>
        <w:tblW w:w="9990" w:type="dxa"/>
        <w:tblInd w:w="-108" w:type="dxa"/>
        <w:tblLayout w:type="autofit"/>
        <w:tblCellMar>
          <w:top w:w="0" w:type="dxa"/>
          <w:left w:w="108" w:type="dxa"/>
          <w:bottom w:w="0" w:type="dxa"/>
          <w:right w:w="108" w:type="dxa"/>
        </w:tblCellMar>
      </w:tblPr>
      <w:tblGrid>
        <w:gridCol w:w="555"/>
        <w:gridCol w:w="644"/>
        <w:gridCol w:w="824"/>
        <w:gridCol w:w="2376"/>
        <w:gridCol w:w="495"/>
        <w:gridCol w:w="600"/>
        <w:gridCol w:w="1303"/>
        <w:gridCol w:w="944"/>
        <w:gridCol w:w="689"/>
        <w:gridCol w:w="915"/>
        <w:gridCol w:w="645"/>
      </w:tblGrid>
      <w:tr>
        <w:tblPrEx>
          <w:tblCellMar>
            <w:top w:w="0" w:type="dxa"/>
            <w:left w:w="108" w:type="dxa"/>
            <w:bottom w:w="0" w:type="dxa"/>
            <w:right w:w="108" w:type="dxa"/>
          </w:tblCellMar>
        </w:tblPrEx>
        <w:trPr>
          <w:trHeight w:val="380" w:hRule="atLeast"/>
        </w:trPr>
        <w:tc>
          <w:tcPr>
            <w:tcW w:w="9990" w:type="dxa"/>
            <w:gridSpan w:val="11"/>
            <w:tcBorders>
              <w:top w:val="nil"/>
              <w:left w:val="nil"/>
              <w:bottom w:val="nil"/>
              <w:right w:val="nil"/>
            </w:tcBorders>
            <w:noWrap/>
            <w:vAlign w:val="center"/>
          </w:tcPr>
          <w:p>
            <w:pPr>
              <w:pStyle w:val="48"/>
              <w:spacing w:line="560" w:lineRule="exact"/>
              <w:jc w:val="center"/>
              <w:outlineLvl w:val="0"/>
              <w:rPr>
                <w:rFonts w:ascii="宋体" w:hAnsi="宋体" w:eastAsia="宋体" w:cs="宋体"/>
                <w:b/>
                <w:bCs/>
                <w:sz w:val="12"/>
                <w:szCs w:val="12"/>
              </w:rPr>
            </w:pPr>
            <w:bookmarkStart w:id="63" w:name="_Toc9995"/>
            <w:r>
              <w:rPr>
                <w:rFonts w:hint="eastAsia" w:ascii="黑体" w:hAnsi="黑体" w:eastAsia="黑体" w:cs="黑体"/>
                <w:sz w:val="44"/>
                <w:szCs w:val="44"/>
              </w:rPr>
              <w:t>第</w:t>
            </w:r>
            <w:r>
              <w:rPr>
                <w:rStyle w:val="19"/>
                <w:rFonts w:hint="eastAsia" w:ascii="黑体" w:hAnsi="黑体" w:eastAsia="黑体" w:cs="黑体"/>
              </w:rPr>
              <w:t>四部分附件</w:t>
            </w:r>
            <w:bookmarkEnd w:id="62"/>
            <w:bookmarkEnd w:id="63"/>
            <w:r>
              <w:rPr>
                <w:rFonts w:ascii="仿宋_GB2312" w:hAnsi="仿宋_GB2312" w:eastAsia="仿宋_GB2312" w:cs="仿宋_GB2312"/>
                <w:sz w:val="32"/>
                <w:szCs w:val="32"/>
              </w:rPr>
              <w:pict>
                <v:shape id="_x0000_i1032" o:spt="75" type="#_x0000_t75" style="height:669.25pt;width:479.45pt;" filled="f" o:preferrelative="t" stroked="f" coordsize="21600,21600">
                  <v:path/>
                  <v:fill on="f" focussize="0,0"/>
                  <v:stroke on="f" joinstyle="miter"/>
                  <v:imagedata r:id="rId12" o:title=""/>
                  <o:lock v:ext="edit" aspectratio="t"/>
                  <w10:wrap type="none"/>
                  <w10:anchorlock/>
                </v:shape>
              </w:pict>
            </w:r>
            <w:r>
              <w:rPr>
                <w:rFonts w:hint="eastAsia" w:ascii="宋体" w:hAnsi="宋体" w:eastAsia="宋体" w:cs="宋体"/>
                <w:b/>
                <w:bCs/>
                <w:sz w:val="12"/>
                <w:szCs w:val="12"/>
              </w:rPr>
              <w:t>绩效目标自评表</w:t>
            </w:r>
          </w:p>
        </w:tc>
      </w:tr>
      <w:tr>
        <w:tblPrEx>
          <w:tblCellMar>
            <w:top w:w="0" w:type="dxa"/>
            <w:left w:w="108" w:type="dxa"/>
            <w:bottom w:w="0" w:type="dxa"/>
            <w:right w:w="108" w:type="dxa"/>
          </w:tblCellMar>
        </w:tblPrEx>
        <w:trPr>
          <w:trHeight w:val="220" w:hRule="atLeast"/>
        </w:trPr>
        <w:tc>
          <w:tcPr>
            <w:tcW w:w="9990" w:type="dxa"/>
            <w:gridSpan w:val="11"/>
            <w:tcBorders>
              <w:top w:val="nil"/>
              <w:left w:val="nil"/>
              <w:bottom w:val="single" w:color="000000" w:sz="4" w:space="0"/>
              <w:right w:val="nil"/>
            </w:tcBorders>
            <w:noWrap/>
          </w:tcPr>
          <w:p>
            <w:pPr>
              <w:widowControl/>
              <w:jc w:val="center"/>
              <w:textAlignment w:val="top"/>
              <w:rPr>
                <w:rFonts w:ascii="宋体" w:hAnsi="宋体" w:cs="宋体"/>
                <w:color w:val="000000"/>
                <w:sz w:val="12"/>
                <w:szCs w:val="12"/>
              </w:rPr>
            </w:pPr>
            <w:r>
              <w:rPr>
                <w:rFonts w:hint="eastAsia" w:ascii="宋体" w:hAnsi="宋体" w:cs="宋体"/>
                <w:color w:val="000000"/>
                <w:kern w:val="0"/>
                <w:sz w:val="12"/>
                <w:szCs w:val="12"/>
              </w:rPr>
              <w:t>（2021年度）</w:t>
            </w:r>
          </w:p>
        </w:tc>
      </w:tr>
      <w:tr>
        <w:tblPrEx>
          <w:tblCellMar>
            <w:top w:w="0" w:type="dxa"/>
            <w:left w:w="108" w:type="dxa"/>
            <w:bottom w:w="0" w:type="dxa"/>
            <w:right w:w="108" w:type="dxa"/>
          </w:tblCellMar>
        </w:tblPrEx>
        <w:trPr>
          <w:trHeight w:val="360" w:hRule="atLeast"/>
        </w:trPr>
        <w:tc>
          <w:tcPr>
            <w:tcW w:w="202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项目名称</w:t>
            </w:r>
          </w:p>
        </w:tc>
        <w:tc>
          <w:tcPr>
            <w:tcW w:w="347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房屋建筑构件及维修费</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项目负责人电话</w:t>
            </w:r>
          </w:p>
        </w:tc>
        <w:tc>
          <w:tcPr>
            <w:tcW w:w="3193" w:type="dxa"/>
            <w:gridSpan w:val="4"/>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hint="eastAsia" w:ascii="宋体" w:hAnsi="宋体" w:eastAsia="宋体" w:cs="宋体"/>
                <w:color w:val="000000"/>
                <w:sz w:val="12"/>
                <w:szCs w:val="12"/>
                <w:u w:val="none"/>
                <w:lang w:eastAsia="zh-CN"/>
              </w:rPr>
            </w:pPr>
            <w:r>
              <w:rPr>
                <w:rFonts w:hint="eastAsia" w:ascii="宋体" w:hAnsi="宋体" w:cs="宋体"/>
                <w:color w:val="000000"/>
                <w:kern w:val="0"/>
                <w:sz w:val="12"/>
                <w:szCs w:val="12"/>
              </w:rPr>
              <w:t>朱万春</w:t>
            </w:r>
          </w:p>
        </w:tc>
      </w:tr>
      <w:tr>
        <w:tblPrEx>
          <w:tblCellMar>
            <w:top w:w="0" w:type="dxa"/>
            <w:left w:w="108" w:type="dxa"/>
            <w:bottom w:w="0" w:type="dxa"/>
            <w:right w:w="108" w:type="dxa"/>
          </w:tblCellMar>
        </w:tblPrEx>
        <w:trPr>
          <w:trHeight w:val="260" w:hRule="atLeast"/>
        </w:trPr>
        <w:tc>
          <w:tcPr>
            <w:tcW w:w="202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主管部门</w:t>
            </w:r>
          </w:p>
        </w:tc>
        <w:tc>
          <w:tcPr>
            <w:tcW w:w="347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通江县教育科技和体育局</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实施单位</w:t>
            </w:r>
          </w:p>
        </w:tc>
        <w:tc>
          <w:tcPr>
            <w:tcW w:w="319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通江县三溪镇中心小学</w:t>
            </w:r>
          </w:p>
        </w:tc>
      </w:tr>
      <w:tr>
        <w:tblPrEx>
          <w:tblCellMar>
            <w:top w:w="0" w:type="dxa"/>
            <w:left w:w="108" w:type="dxa"/>
            <w:bottom w:w="0" w:type="dxa"/>
            <w:right w:w="108" w:type="dxa"/>
          </w:tblCellMar>
        </w:tblPrEx>
        <w:trPr>
          <w:trHeight w:val="140" w:hRule="atLeast"/>
        </w:trPr>
        <w:tc>
          <w:tcPr>
            <w:tcW w:w="2023"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资金情况</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（万元）</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1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全年预算数（A）</w:t>
            </w:r>
          </w:p>
        </w:tc>
        <w:tc>
          <w:tcPr>
            <w:tcW w:w="2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全年执行数（B）</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执行率（B/A</w:t>
            </w:r>
            <w:r>
              <w:t>）</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r>
      <w:tr>
        <w:tblPrEx>
          <w:tblCellMar>
            <w:top w:w="0" w:type="dxa"/>
            <w:left w:w="108" w:type="dxa"/>
            <w:bottom w:w="0" w:type="dxa"/>
            <w:right w:w="108" w:type="dxa"/>
          </w:tblCellMar>
        </w:tblPrEx>
        <w:trPr>
          <w:trHeight w:val="140" w:hRule="atLeast"/>
        </w:trPr>
        <w:tc>
          <w:tcPr>
            <w:tcW w:w="202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年度资金总额：</w:t>
            </w:r>
          </w:p>
        </w:tc>
        <w:tc>
          <w:tcPr>
            <w:tcW w:w="1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60</w:t>
            </w:r>
          </w:p>
        </w:tc>
        <w:tc>
          <w:tcPr>
            <w:tcW w:w="2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w:t>
            </w:r>
          </w:p>
        </w:tc>
      </w:tr>
      <w:tr>
        <w:tblPrEx>
          <w:tblCellMar>
            <w:top w:w="0" w:type="dxa"/>
            <w:left w:w="108" w:type="dxa"/>
            <w:bottom w:w="0" w:type="dxa"/>
            <w:right w:w="108" w:type="dxa"/>
          </w:tblCellMar>
        </w:tblPrEx>
        <w:trPr>
          <w:trHeight w:val="140" w:hRule="atLeast"/>
        </w:trPr>
        <w:tc>
          <w:tcPr>
            <w:tcW w:w="202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其中：本年财政拨款</w:t>
            </w:r>
          </w:p>
        </w:tc>
        <w:tc>
          <w:tcPr>
            <w:tcW w:w="1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60</w:t>
            </w:r>
          </w:p>
        </w:tc>
        <w:tc>
          <w:tcPr>
            <w:tcW w:w="2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r>
      <w:tr>
        <w:tblPrEx>
          <w:tblCellMar>
            <w:top w:w="0" w:type="dxa"/>
            <w:left w:w="108" w:type="dxa"/>
            <w:bottom w:w="0" w:type="dxa"/>
            <w:right w:w="108" w:type="dxa"/>
          </w:tblCellMar>
        </w:tblPrEx>
        <w:trPr>
          <w:trHeight w:val="140" w:hRule="atLeast"/>
        </w:trPr>
        <w:tc>
          <w:tcPr>
            <w:tcW w:w="202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其他资金</w:t>
            </w:r>
          </w:p>
        </w:tc>
        <w:tc>
          <w:tcPr>
            <w:tcW w:w="109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2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 w:val="12"/>
                <w:szCs w:val="12"/>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r>
      <w:tr>
        <w:tblPrEx>
          <w:tblCellMar>
            <w:top w:w="0" w:type="dxa"/>
            <w:left w:w="108" w:type="dxa"/>
            <w:bottom w:w="0" w:type="dxa"/>
            <w:right w:w="108" w:type="dxa"/>
          </w:tblCellMar>
        </w:tblPrEx>
        <w:trPr>
          <w:trHeight w:val="14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w:t>
            </w:r>
          </w:p>
        </w:tc>
        <w:tc>
          <w:tcPr>
            <w:tcW w:w="493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年初设定目标</w:t>
            </w:r>
          </w:p>
        </w:tc>
        <w:tc>
          <w:tcPr>
            <w:tcW w:w="449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年度总体目标完成情况综述</w:t>
            </w: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493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通过预算执行：保障通江县三溪镇中心小学房屋建筑构建及维修。</w:t>
            </w:r>
          </w:p>
        </w:tc>
        <w:tc>
          <w:tcPr>
            <w:tcW w:w="449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保障通江县三溪镇中心小学房屋建筑构建及维修。</w:t>
            </w:r>
          </w:p>
        </w:tc>
      </w:tr>
      <w:tr>
        <w:tblPrEx>
          <w:tblCellMar>
            <w:top w:w="0" w:type="dxa"/>
            <w:left w:w="108" w:type="dxa"/>
            <w:bottom w:w="0" w:type="dxa"/>
            <w:right w:w="108" w:type="dxa"/>
          </w:tblCellMar>
        </w:tblPrEx>
        <w:trPr>
          <w:trHeight w:val="140" w:hRule="atLeast"/>
        </w:trPr>
        <w:tc>
          <w:tcPr>
            <w:tcW w:w="555"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绩效指标</w:t>
            </w:r>
          </w:p>
        </w:tc>
        <w:tc>
          <w:tcPr>
            <w:tcW w:w="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一级</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二级指标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三级指标</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年度指标值</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全年实际值</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未完成原因及拟采取的改进措施</w:t>
            </w: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产</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出</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指</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50分</w:t>
            </w:r>
            <w:r>
              <w:t>）</w:t>
            </w: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数量指标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学生人数</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90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90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质量指标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校舍维修支出率</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时效指标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校舍维修率</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成本指标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校舍维修成本</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600000元</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600000元</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1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效</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益</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指</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30分</w:t>
            </w:r>
            <w:r>
              <w:t>）</w:t>
            </w: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经济效益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学生家长增收元</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303"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≥500元</w:t>
            </w:r>
          </w:p>
        </w:tc>
        <w:tc>
          <w:tcPr>
            <w:tcW w:w="94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≥500元</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9</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社会效益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学生家长幸福指数增加</w:t>
            </w:r>
          </w:p>
        </w:tc>
        <w:tc>
          <w:tcPr>
            <w:tcW w:w="6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10 </w:t>
            </w:r>
          </w:p>
        </w:tc>
        <w:tc>
          <w:tcPr>
            <w:tcW w:w="13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≥90%</w:t>
            </w:r>
          </w:p>
        </w:tc>
        <w:tc>
          <w:tcPr>
            <w:tcW w:w="9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≥90%</w:t>
            </w:r>
          </w:p>
        </w:tc>
        <w:tc>
          <w:tcPr>
            <w:tcW w:w="6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10 </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学生家长感受党的惠民政策</w:t>
            </w:r>
          </w:p>
        </w:tc>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9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生态效益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持续开展大手拉大手活动，改善人居环境</w:t>
            </w:r>
            <w: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303"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w:t>
            </w:r>
          </w:p>
        </w:tc>
        <w:tc>
          <w:tcPr>
            <w:tcW w:w="94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可持续影响指标</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体现政策导向，激发社会活力</w:t>
            </w:r>
            <w:r>
              <w:t>。</w:t>
            </w:r>
          </w:p>
        </w:tc>
        <w:tc>
          <w:tcPr>
            <w:tcW w:w="6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Style w:val="20"/>
                <w:rFonts w:hint="default"/>
              </w:rPr>
              <w:t>长期</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Style w:val="20"/>
                <w:rFonts w:hint="default"/>
              </w:rPr>
              <w:t>长期</w:t>
            </w:r>
          </w:p>
        </w:tc>
        <w:tc>
          <w:tcPr>
            <w:tcW w:w="6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对本行业未来可持续发展的影响</w:t>
            </w:r>
          </w:p>
        </w:tc>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Style w:val="20"/>
                <w:rFonts w:hint="default"/>
              </w:rPr>
              <w:t>可持续</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Style w:val="20"/>
                <w:rFonts w:hint="default"/>
              </w:rPr>
              <w:t>可持续</w:t>
            </w:r>
          </w:p>
        </w:tc>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满意度指标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10分</w:t>
            </w:r>
            <w:r>
              <w:t>）</w:t>
            </w:r>
          </w:p>
        </w:tc>
        <w:tc>
          <w:tcPr>
            <w:tcW w:w="8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服务对象</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满意度指标</w:t>
            </w:r>
          </w:p>
        </w:tc>
        <w:tc>
          <w:tcPr>
            <w:tcW w:w="287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通过项目的实施，力争使我县相关部门领导和社会对我校项目实施的满意度达到较好水平</w:t>
            </w:r>
            <w:r>
              <w:t>。</w:t>
            </w:r>
          </w:p>
        </w:tc>
        <w:tc>
          <w:tcPr>
            <w:tcW w:w="6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门</w:t>
            </w:r>
          </w:p>
        </w:tc>
        <w:tc>
          <w:tcPr>
            <w:tcW w:w="13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≥80%</w:t>
            </w:r>
          </w:p>
        </w:tc>
        <w:tc>
          <w:tcPr>
            <w:tcW w:w="9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≥80%</w:t>
            </w:r>
          </w:p>
        </w:tc>
        <w:tc>
          <w:tcPr>
            <w:tcW w:w="6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9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7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9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14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6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28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48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总分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100</w:t>
            </w:r>
          </w:p>
        </w:tc>
        <w:tc>
          <w:tcPr>
            <w:tcW w:w="224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2"/>
                <w:szCs w:val="12"/>
              </w:rPr>
            </w:pPr>
          </w:p>
        </w:tc>
        <w:tc>
          <w:tcPr>
            <w:tcW w:w="6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97</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00" w:hRule="atLeast"/>
        </w:trPr>
        <w:tc>
          <w:tcPr>
            <w:tcW w:w="9990" w:type="dxa"/>
            <w:gridSpan w:val="11"/>
            <w:tcBorders>
              <w:top w:val="single" w:color="000000" w:sz="4" w:space="0"/>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CellMar>
            <w:top w:w="0" w:type="dxa"/>
            <w:left w:w="108" w:type="dxa"/>
            <w:bottom w:w="0" w:type="dxa"/>
            <w:right w:w="108" w:type="dxa"/>
          </w:tblCellMar>
        </w:tblPrEx>
        <w:trPr>
          <w:trHeight w:val="300" w:hRule="atLeast"/>
        </w:trPr>
        <w:tc>
          <w:tcPr>
            <w:tcW w:w="9990" w:type="dxa"/>
            <w:gridSpan w:val="11"/>
            <w:tcBorders>
              <w:top w:val="nil"/>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 xml:space="preserve">    2.</w:t>
            </w:r>
            <w:r>
              <w:rPr>
                <w:rFonts w:hint="eastAsia" w:ascii="宋体" w:hAnsi="宋体" w:cs="宋体"/>
                <w:color w:val="000000"/>
                <w:kern w:val="0"/>
                <w:sz w:val="12"/>
                <w:szCs w:val="12"/>
                <w:u w:val="thick" w:color="FFB03A"/>
                <w:shd w:val="clear" w:fill="FFEFD8"/>
              </w:rPr>
              <w:t>定性</w:t>
            </w:r>
            <w:r>
              <w:rPr>
                <w:rFonts w:hint="eastAsia" w:ascii="宋体" w:hAnsi="宋体" w:cs="宋体"/>
                <w:color w:val="000000"/>
                <w:kern w:val="0"/>
                <w:sz w:val="12"/>
                <w:szCs w:val="12"/>
              </w:rPr>
              <w:t>指标根据指标完成情况分为：达成预期指标、部分达成预期指标并具有一定效果、未达成预期指标且效果较差三档，分别按照该指标对应分值区间100%-80%</w:t>
            </w:r>
            <w:r>
              <w:t>（</w:t>
            </w:r>
            <w:r>
              <w:rPr>
                <w:rFonts w:hint="eastAsia" w:ascii="宋体" w:hAnsi="宋体" w:cs="宋体"/>
                <w:color w:val="000000"/>
                <w:kern w:val="0"/>
                <w:sz w:val="12"/>
                <w:szCs w:val="12"/>
              </w:rPr>
              <w:t>含80%</w:t>
            </w:r>
            <w:r>
              <w:t>）</w:t>
            </w:r>
            <w:r>
              <w:rPr>
                <w:rFonts w:hint="eastAsia" w:ascii="宋体" w:hAnsi="宋体" w:cs="宋体"/>
                <w:color w:val="000000"/>
                <w:kern w:val="0"/>
                <w:sz w:val="12"/>
                <w:szCs w:val="12"/>
              </w:rPr>
              <w:t>、80%-60%</w:t>
            </w:r>
            <w:r>
              <w:t>（</w:t>
            </w:r>
            <w:r>
              <w:rPr>
                <w:rFonts w:hint="eastAsia" w:ascii="宋体" w:hAnsi="宋体" w:cs="宋体"/>
                <w:color w:val="000000"/>
                <w:kern w:val="0"/>
                <w:sz w:val="12"/>
                <w:szCs w:val="12"/>
              </w:rPr>
              <w:t>含60%</w:t>
            </w:r>
            <w:r>
              <w:t>）</w:t>
            </w:r>
            <w:r>
              <w:rPr>
                <w:rFonts w:hint="eastAsia" w:ascii="宋体" w:hAnsi="宋体" w:cs="宋体"/>
                <w:color w:val="000000"/>
                <w:kern w:val="0"/>
                <w:sz w:val="12"/>
                <w:szCs w:val="12"/>
              </w:rPr>
              <w:t>、60%-0%合理确定得分。</w:t>
            </w:r>
          </w:p>
        </w:tc>
      </w:tr>
      <w:tr>
        <w:tblPrEx>
          <w:tblCellMar>
            <w:top w:w="0" w:type="dxa"/>
            <w:left w:w="108" w:type="dxa"/>
            <w:bottom w:w="0" w:type="dxa"/>
            <w:right w:w="108" w:type="dxa"/>
          </w:tblCellMar>
        </w:tblPrEx>
        <w:trPr>
          <w:trHeight w:val="300" w:hRule="atLeast"/>
        </w:trPr>
        <w:tc>
          <w:tcPr>
            <w:tcW w:w="9990" w:type="dxa"/>
            <w:gridSpan w:val="11"/>
            <w:tcBorders>
              <w:top w:val="nil"/>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tbl>
      <w:tblPr>
        <w:tblStyle w:val="7"/>
        <w:tblW w:w="10600" w:type="dxa"/>
        <w:tblInd w:w="0" w:type="dxa"/>
        <w:tblLayout w:type="autofit"/>
        <w:tblCellMar>
          <w:top w:w="0" w:type="dxa"/>
          <w:left w:w="108" w:type="dxa"/>
          <w:bottom w:w="0" w:type="dxa"/>
          <w:right w:w="108" w:type="dxa"/>
        </w:tblCellMar>
      </w:tblPr>
      <w:tblGrid>
        <w:gridCol w:w="810"/>
        <w:gridCol w:w="1280"/>
        <w:gridCol w:w="783"/>
        <w:gridCol w:w="2374"/>
        <w:gridCol w:w="515"/>
        <w:gridCol w:w="569"/>
        <w:gridCol w:w="1237"/>
        <w:gridCol w:w="896"/>
        <w:gridCol w:w="654"/>
        <w:gridCol w:w="867"/>
        <w:gridCol w:w="615"/>
      </w:tblGrid>
      <w:tr>
        <w:trPr>
          <w:trHeight w:val="377" w:hRule="atLeast"/>
        </w:trPr>
        <w:tc>
          <w:tcPr>
            <w:tcW w:w="10600" w:type="dxa"/>
            <w:gridSpan w:val="11"/>
            <w:tcBorders>
              <w:top w:val="nil"/>
              <w:left w:val="nil"/>
              <w:bottom w:val="nil"/>
              <w:right w:val="nil"/>
            </w:tcBorders>
            <w:noWrap/>
            <w:vAlign w:val="center"/>
          </w:tcPr>
          <w:p>
            <w:pPr>
              <w:widowControl/>
              <w:jc w:val="center"/>
              <w:textAlignment w:val="center"/>
              <w:rPr>
                <w:rFonts w:ascii="宋体" w:hAnsi="宋体" w:cs="宋体"/>
                <w:b/>
                <w:bCs/>
                <w:color w:val="000000"/>
                <w:kern w:val="0"/>
                <w:sz w:val="12"/>
                <w:szCs w:val="12"/>
              </w:rPr>
            </w:pPr>
          </w:p>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绩效目标自评表</w:t>
            </w:r>
          </w:p>
        </w:tc>
      </w:tr>
      <w:tr>
        <w:tblPrEx>
          <w:tblCellMar>
            <w:top w:w="0" w:type="dxa"/>
            <w:left w:w="108" w:type="dxa"/>
            <w:bottom w:w="0" w:type="dxa"/>
            <w:right w:w="108" w:type="dxa"/>
          </w:tblCellMar>
        </w:tblPrEx>
        <w:trPr>
          <w:trHeight w:val="310" w:hRule="atLeast"/>
        </w:trPr>
        <w:tc>
          <w:tcPr>
            <w:tcW w:w="10600" w:type="dxa"/>
            <w:gridSpan w:val="11"/>
            <w:tcBorders>
              <w:top w:val="nil"/>
              <w:left w:val="nil"/>
              <w:bottom w:val="single" w:color="000000" w:sz="4" w:space="0"/>
              <w:right w:val="nil"/>
            </w:tcBorders>
            <w:noWrap/>
          </w:tcPr>
          <w:p>
            <w:pPr>
              <w:widowControl/>
              <w:jc w:val="center"/>
              <w:textAlignment w:val="top"/>
              <w:rPr>
                <w:rFonts w:ascii="宋体" w:hAnsi="宋体" w:cs="宋体"/>
                <w:color w:val="000000"/>
                <w:sz w:val="12"/>
                <w:szCs w:val="12"/>
              </w:rPr>
            </w:pPr>
            <w:r>
              <w:rPr>
                <w:rFonts w:hint="eastAsia" w:ascii="宋体" w:hAnsi="宋体" w:cs="宋体"/>
                <w:color w:val="000000"/>
                <w:kern w:val="0"/>
                <w:sz w:val="12"/>
                <w:szCs w:val="12"/>
              </w:rPr>
              <w:t>（2021年度）</w:t>
            </w:r>
          </w:p>
        </w:tc>
      </w:tr>
      <w:tr>
        <w:tblPrEx>
          <w:tblCellMar>
            <w:top w:w="0" w:type="dxa"/>
            <w:left w:w="108" w:type="dxa"/>
            <w:bottom w:w="0" w:type="dxa"/>
            <w:right w:w="108" w:type="dxa"/>
          </w:tblCellMar>
        </w:tblPrEx>
        <w:trPr>
          <w:trHeight w:val="320" w:hRule="atLeast"/>
        </w:trPr>
        <w:tc>
          <w:tcPr>
            <w:tcW w:w="2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项目名称</w:t>
            </w:r>
          </w:p>
        </w:tc>
        <w:tc>
          <w:tcPr>
            <w:tcW w:w="345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“三儿”资金</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项目负责人电话</w:t>
            </w:r>
          </w:p>
        </w:tc>
        <w:tc>
          <w:tcPr>
            <w:tcW w:w="3032" w:type="dxa"/>
            <w:gridSpan w:val="4"/>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hint="eastAsia" w:ascii="宋体" w:hAnsi="宋体" w:eastAsia="宋体" w:cs="宋体"/>
                <w:color w:val="000000"/>
                <w:sz w:val="12"/>
                <w:szCs w:val="12"/>
                <w:u w:val="none"/>
                <w:lang w:eastAsia="zh-CN"/>
              </w:rPr>
            </w:pPr>
            <w:r>
              <w:rPr>
                <w:rFonts w:hint="eastAsia" w:ascii="宋体" w:hAnsi="宋体" w:cs="宋体"/>
                <w:color w:val="000000"/>
                <w:kern w:val="0"/>
                <w:sz w:val="12"/>
                <w:szCs w:val="12"/>
              </w:rPr>
              <w:t>朱万春</w:t>
            </w:r>
          </w:p>
        </w:tc>
      </w:tr>
      <w:tr>
        <w:tblPrEx>
          <w:tblCellMar>
            <w:top w:w="0" w:type="dxa"/>
            <w:left w:w="108" w:type="dxa"/>
            <w:bottom w:w="0" w:type="dxa"/>
            <w:right w:w="108" w:type="dxa"/>
          </w:tblCellMar>
        </w:tblPrEx>
        <w:trPr>
          <w:trHeight w:val="320" w:hRule="atLeast"/>
        </w:trPr>
        <w:tc>
          <w:tcPr>
            <w:tcW w:w="2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主管部门</w:t>
            </w:r>
          </w:p>
        </w:tc>
        <w:tc>
          <w:tcPr>
            <w:tcW w:w="345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通江县教育科技和体育局</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实施单位</w:t>
            </w:r>
          </w:p>
        </w:tc>
        <w:tc>
          <w:tcPr>
            <w:tcW w:w="303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通江县三溪镇中心小学</w:t>
            </w:r>
          </w:p>
        </w:tc>
      </w:tr>
      <w:tr>
        <w:tblPrEx>
          <w:tblCellMar>
            <w:top w:w="0" w:type="dxa"/>
            <w:left w:w="108" w:type="dxa"/>
            <w:bottom w:w="0" w:type="dxa"/>
            <w:right w:w="108" w:type="dxa"/>
          </w:tblCellMar>
        </w:tblPrEx>
        <w:trPr>
          <w:trHeight w:val="320" w:hRule="atLeast"/>
        </w:trPr>
        <w:tc>
          <w:tcPr>
            <w:tcW w:w="2873"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资金情况</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（万元）</w:t>
            </w:r>
          </w:p>
        </w:tc>
        <w:tc>
          <w:tcPr>
            <w:tcW w:w="237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10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全年预算数（A）</w:t>
            </w:r>
          </w:p>
        </w:tc>
        <w:tc>
          <w:tcPr>
            <w:tcW w:w="21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全年执行数（B）</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执行率（B/A)</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r>
      <w:tr>
        <w:tblPrEx>
          <w:tblCellMar>
            <w:top w:w="0" w:type="dxa"/>
            <w:left w:w="108" w:type="dxa"/>
            <w:bottom w:w="0" w:type="dxa"/>
            <w:right w:w="108" w:type="dxa"/>
          </w:tblCellMar>
        </w:tblPrEx>
        <w:trPr>
          <w:trHeight w:val="320" w:hRule="atLeast"/>
        </w:trPr>
        <w:tc>
          <w:tcPr>
            <w:tcW w:w="287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年度资金总额：</w:t>
            </w:r>
          </w:p>
        </w:tc>
        <w:tc>
          <w:tcPr>
            <w:tcW w:w="10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w:t>
            </w:r>
          </w:p>
        </w:tc>
        <w:tc>
          <w:tcPr>
            <w:tcW w:w="21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w:t>
            </w:r>
          </w:p>
        </w:tc>
      </w:tr>
      <w:tr>
        <w:tblPrEx>
          <w:tblCellMar>
            <w:top w:w="0" w:type="dxa"/>
            <w:left w:w="108" w:type="dxa"/>
            <w:bottom w:w="0" w:type="dxa"/>
            <w:right w:w="108" w:type="dxa"/>
          </w:tblCellMar>
        </w:tblPrEx>
        <w:trPr>
          <w:trHeight w:val="320" w:hRule="atLeast"/>
        </w:trPr>
        <w:tc>
          <w:tcPr>
            <w:tcW w:w="287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其中：本年财政拨款</w:t>
            </w:r>
          </w:p>
        </w:tc>
        <w:tc>
          <w:tcPr>
            <w:tcW w:w="10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w:t>
            </w:r>
          </w:p>
        </w:tc>
        <w:tc>
          <w:tcPr>
            <w:tcW w:w="21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r>
      <w:tr>
        <w:tblPrEx>
          <w:tblCellMar>
            <w:top w:w="0" w:type="dxa"/>
            <w:left w:w="108" w:type="dxa"/>
            <w:bottom w:w="0" w:type="dxa"/>
            <w:right w:w="108" w:type="dxa"/>
          </w:tblCellMar>
        </w:tblPrEx>
        <w:trPr>
          <w:trHeight w:val="320" w:hRule="atLeast"/>
        </w:trPr>
        <w:tc>
          <w:tcPr>
            <w:tcW w:w="8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w:t>
            </w:r>
          </w:p>
        </w:tc>
        <w:tc>
          <w:tcPr>
            <w:tcW w:w="552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年初设定目标</w:t>
            </w:r>
          </w:p>
        </w:tc>
        <w:tc>
          <w:tcPr>
            <w:tcW w:w="426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年度总体目标完成情况综述</w:t>
            </w: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52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u w:val="none" w:color="46CD7E"/>
                <w:shd w:val="clear" w:fill="auto"/>
              </w:rPr>
              <w:t>通过预算执行：保障通江县三溪镇中心小学幼儿园幼儿生的基本学习生活秩序。</w:t>
            </w:r>
          </w:p>
        </w:tc>
        <w:tc>
          <w:tcPr>
            <w:tcW w:w="426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u w:val="none" w:color="46CD7E"/>
                <w:shd w:val="clear" w:fill="auto"/>
              </w:rPr>
              <w:t>保障通江县三溪镇中心小学幼儿园幼儿生的基本学习和生活秩序。</w:t>
            </w:r>
          </w:p>
        </w:tc>
      </w:tr>
      <w:tr>
        <w:tblPrEx>
          <w:tblCellMar>
            <w:top w:w="0" w:type="dxa"/>
            <w:left w:w="108" w:type="dxa"/>
            <w:bottom w:w="0" w:type="dxa"/>
            <w:right w:w="108" w:type="dxa"/>
          </w:tblCellMar>
        </w:tblPrEx>
        <w:trPr>
          <w:trHeight w:val="629" w:hRule="atLeast"/>
        </w:trPr>
        <w:tc>
          <w:tcPr>
            <w:tcW w:w="810"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绩效指标</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一级</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二级指标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三级指标</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年度指标值</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全年实际值</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未完成原因及拟采取的改进措施</w:t>
            </w: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产</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出</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指</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50分</w:t>
            </w:r>
            <w:r>
              <w:t>）</w:t>
            </w: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数量指标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学生人数</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质量指标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“三儿”资金支出率</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时效指标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“三儿”资金使用率</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成本指标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“三儿”资金成本率</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18000元</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18000元</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效</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益</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指</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30分</w:t>
            </w:r>
            <w:r>
              <w:t>）</w:t>
            </w: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经济效益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学生家长增收元</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7"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≥500元</w:t>
            </w:r>
          </w:p>
        </w:tc>
        <w:tc>
          <w:tcPr>
            <w:tcW w:w="896"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≥500元</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9</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社会效益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学生家长幸福指数增加</w:t>
            </w:r>
          </w:p>
        </w:tc>
        <w:tc>
          <w:tcPr>
            <w:tcW w:w="56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10 </w:t>
            </w:r>
          </w:p>
        </w:tc>
        <w:tc>
          <w:tcPr>
            <w:tcW w:w="12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≥90%</w:t>
            </w:r>
          </w:p>
        </w:tc>
        <w:tc>
          <w:tcPr>
            <w:tcW w:w="8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≥90%</w:t>
            </w:r>
          </w:p>
        </w:tc>
        <w:tc>
          <w:tcPr>
            <w:tcW w:w="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10 </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学生家长感受党的惠民政策</w:t>
            </w:r>
          </w:p>
        </w:tc>
        <w:tc>
          <w:tcPr>
            <w:tcW w:w="5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629"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生态效益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持续开展大手拉大手活动，改善人居环境</w:t>
            </w:r>
            <w:r>
              <w:t>。</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237"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w:t>
            </w:r>
          </w:p>
        </w:tc>
        <w:tc>
          <w:tcPr>
            <w:tcW w:w="896"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可持续影响指标</w:t>
            </w: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体现政策导向，激发社会活力</w:t>
            </w:r>
            <w:r>
              <w:t>。</w:t>
            </w:r>
          </w:p>
        </w:tc>
        <w:tc>
          <w:tcPr>
            <w:tcW w:w="569"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长期</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长期</w:t>
            </w:r>
          </w:p>
        </w:tc>
        <w:tc>
          <w:tcPr>
            <w:tcW w:w="654"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对本行业未来可持续发展的影响</w:t>
            </w:r>
          </w:p>
        </w:tc>
        <w:tc>
          <w:tcPr>
            <w:tcW w:w="569"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12"/>
                <w:szCs w:val="12"/>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可持续</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可持续</w:t>
            </w:r>
          </w:p>
        </w:tc>
        <w:tc>
          <w:tcPr>
            <w:tcW w:w="654"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满意度指标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10分</w:t>
            </w:r>
            <w:r>
              <w:t>）</w:t>
            </w: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服务对象</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满意度指标</w:t>
            </w:r>
          </w:p>
        </w:tc>
        <w:tc>
          <w:tcPr>
            <w:tcW w:w="288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通过项目的实施，力争使我县相关部门领导和社会对我校项目实施的满意度达到较好水平</w:t>
            </w:r>
            <w:r>
              <w:t>。</w:t>
            </w:r>
          </w:p>
        </w:tc>
        <w:tc>
          <w:tcPr>
            <w:tcW w:w="56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≥80%</w:t>
            </w:r>
          </w:p>
        </w:tc>
        <w:tc>
          <w:tcPr>
            <w:tcW w:w="8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≥80%</w:t>
            </w:r>
          </w:p>
        </w:tc>
        <w:tc>
          <w:tcPr>
            <w:tcW w:w="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81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2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88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20" w:hRule="atLeast"/>
        </w:trPr>
        <w:tc>
          <w:tcPr>
            <w:tcW w:w="576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总分</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100</w:t>
            </w:r>
          </w:p>
        </w:tc>
        <w:tc>
          <w:tcPr>
            <w:tcW w:w="213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2"/>
                <w:szCs w:val="12"/>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97</w:t>
            </w:r>
          </w:p>
        </w:tc>
        <w:tc>
          <w:tcPr>
            <w:tcW w:w="14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629" w:hRule="atLeast"/>
        </w:trPr>
        <w:tc>
          <w:tcPr>
            <w:tcW w:w="10600" w:type="dxa"/>
            <w:gridSpan w:val="11"/>
            <w:tcBorders>
              <w:top w:val="single" w:color="000000" w:sz="4" w:space="0"/>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CellMar>
            <w:top w:w="0" w:type="dxa"/>
            <w:left w:w="108" w:type="dxa"/>
            <w:bottom w:w="0" w:type="dxa"/>
            <w:right w:w="108" w:type="dxa"/>
          </w:tblCellMar>
        </w:tblPrEx>
        <w:trPr>
          <w:trHeight w:val="619" w:hRule="atLeast"/>
        </w:trPr>
        <w:tc>
          <w:tcPr>
            <w:tcW w:w="10600" w:type="dxa"/>
            <w:gridSpan w:val="11"/>
            <w:tcBorders>
              <w:top w:val="nil"/>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 xml:space="preserve">    2.定性指标根据指标完成情况分为：达成预期指标、部分达成预期指标并具有一定效果、未达成预期指标且效果较差三档，分别按照该指标对应分值区间100%</w:t>
            </w:r>
            <w:r>
              <w:t>～</w:t>
            </w:r>
            <w:r>
              <w:rPr>
                <w:rFonts w:hint="eastAsia" w:ascii="宋体" w:hAnsi="宋体" w:cs="宋体"/>
                <w:color w:val="000000"/>
                <w:kern w:val="0"/>
                <w:sz w:val="12"/>
                <w:szCs w:val="12"/>
              </w:rPr>
              <w:t>80%</w:t>
            </w:r>
            <w:r>
              <w:t>（</w:t>
            </w:r>
            <w:r>
              <w:rPr>
                <w:rFonts w:hint="eastAsia" w:ascii="宋体" w:hAnsi="宋体" w:cs="宋体"/>
                <w:color w:val="000000"/>
                <w:kern w:val="0"/>
                <w:sz w:val="12"/>
                <w:szCs w:val="12"/>
              </w:rPr>
              <w:t>含80%</w:t>
            </w:r>
            <w:r>
              <w:t>）</w:t>
            </w:r>
            <w:r>
              <w:rPr>
                <w:rFonts w:hint="eastAsia" w:ascii="宋体" w:hAnsi="宋体" w:cs="宋体"/>
                <w:color w:val="000000"/>
                <w:kern w:val="0"/>
                <w:sz w:val="12"/>
                <w:szCs w:val="12"/>
              </w:rPr>
              <w:t>、80%6</w:t>
            </w:r>
            <w:r>
              <w:t>～</w:t>
            </w:r>
            <w:r>
              <w:rPr>
                <w:rFonts w:hint="eastAsia" w:ascii="宋体" w:hAnsi="宋体" w:cs="宋体"/>
                <w:color w:val="000000"/>
                <w:kern w:val="0"/>
                <w:sz w:val="12"/>
                <w:szCs w:val="12"/>
              </w:rPr>
              <w:t>0%</w:t>
            </w:r>
            <w:r>
              <w:rPr>
                <w:rFonts w:hint="eastAsia" w:ascii="宋体" w:hAnsi="宋体" w:cs="宋体"/>
                <w:color w:val="000000"/>
                <w:kern w:val="0"/>
                <w:sz w:val="12"/>
                <w:szCs w:val="12"/>
                <w:u w:val="none" w:color="46CD7E"/>
                <w:shd w:val="clear" w:fill="auto"/>
              </w:rPr>
              <w:t>(</w:t>
            </w:r>
            <w:r>
              <w:rPr>
                <w:rFonts w:hint="eastAsia" w:ascii="宋体" w:hAnsi="宋体" w:cs="宋体"/>
                <w:color w:val="000000"/>
                <w:kern w:val="0"/>
                <w:sz w:val="12"/>
                <w:szCs w:val="12"/>
              </w:rPr>
              <w:t>含60%</w:t>
            </w:r>
            <w:r>
              <w:t>）</w:t>
            </w:r>
            <w:r>
              <w:rPr>
                <w:rFonts w:hint="eastAsia" w:ascii="宋体" w:hAnsi="宋体" w:cs="宋体"/>
                <w:color w:val="000000"/>
                <w:kern w:val="0"/>
                <w:sz w:val="12"/>
                <w:szCs w:val="12"/>
              </w:rPr>
              <w:t>、60%</w:t>
            </w:r>
            <w:r>
              <w:t>～</w:t>
            </w:r>
            <w:r>
              <w:rPr>
                <w:rFonts w:hint="eastAsia" w:ascii="宋体" w:hAnsi="宋体" w:cs="宋体"/>
                <w:color w:val="000000"/>
                <w:kern w:val="0"/>
                <w:sz w:val="12"/>
                <w:szCs w:val="12"/>
              </w:rPr>
              <w:t>0%合理确定得分。</w:t>
            </w:r>
          </w:p>
        </w:tc>
      </w:tr>
      <w:tr>
        <w:tblPrEx>
          <w:tblCellMar>
            <w:top w:w="0" w:type="dxa"/>
            <w:left w:w="108" w:type="dxa"/>
            <w:bottom w:w="0" w:type="dxa"/>
            <w:right w:w="108" w:type="dxa"/>
          </w:tblCellMar>
        </w:tblPrEx>
        <w:trPr>
          <w:trHeight w:val="619" w:hRule="atLeast"/>
        </w:trPr>
        <w:tc>
          <w:tcPr>
            <w:tcW w:w="10600" w:type="dxa"/>
            <w:gridSpan w:val="11"/>
            <w:tcBorders>
              <w:top w:val="nil"/>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7"/>
        <w:tblpPr w:leftFromText="180" w:rightFromText="180" w:vertAnchor="text" w:horzAnchor="page" w:tblpX="1232" w:tblpY="467"/>
        <w:tblOverlap w:val="never"/>
        <w:tblW w:w="10365" w:type="dxa"/>
        <w:tblInd w:w="-108" w:type="dxa"/>
        <w:tblLayout w:type="autofit"/>
        <w:tblCellMar>
          <w:top w:w="0" w:type="dxa"/>
          <w:left w:w="108" w:type="dxa"/>
          <w:bottom w:w="0" w:type="dxa"/>
          <w:right w:w="108" w:type="dxa"/>
        </w:tblCellMar>
      </w:tblPr>
      <w:tblGrid>
        <w:gridCol w:w="557"/>
        <w:gridCol w:w="720"/>
        <w:gridCol w:w="778"/>
        <w:gridCol w:w="2356"/>
        <w:gridCol w:w="579"/>
        <w:gridCol w:w="572"/>
        <w:gridCol w:w="1234"/>
        <w:gridCol w:w="894"/>
        <w:gridCol w:w="650"/>
        <w:gridCol w:w="590"/>
        <w:gridCol w:w="286"/>
        <w:gridCol w:w="640"/>
        <w:gridCol w:w="562"/>
      </w:tblGrid>
      <w:tr>
        <w:tblPrEx>
          <w:tblCellMar>
            <w:top w:w="0" w:type="dxa"/>
            <w:left w:w="108" w:type="dxa"/>
            <w:bottom w:w="0" w:type="dxa"/>
            <w:right w:w="108" w:type="dxa"/>
          </w:tblCellMar>
        </w:tblPrEx>
        <w:trPr>
          <w:trHeight w:val="90" w:hRule="atLeast"/>
        </w:trPr>
        <w:tc>
          <w:tcPr>
            <w:tcW w:w="10365" w:type="dxa"/>
            <w:gridSpan w:val="13"/>
            <w:tcBorders>
              <w:top w:val="nil"/>
              <w:left w:val="nil"/>
              <w:bottom w:val="nil"/>
              <w:right w:val="nil"/>
            </w:tcBorders>
            <w:noWrap/>
            <w:vAlign w:val="center"/>
          </w:tcPr>
          <w:p>
            <w:pPr>
              <w:widowControl/>
              <w:jc w:val="center"/>
              <w:textAlignment w:val="center"/>
              <w:rPr>
                <w:rFonts w:ascii="宋体" w:hAnsi="宋体" w:cs="宋体"/>
                <w:color w:val="000000"/>
                <w:sz w:val="32"/>
                <w:szCs w:val="32"/>
              </w:rPr>
            </w:pPr>
            <w:r>
              <w:rPr>
                <w:rStyle w:val="26"/>
                <w:rFonts w:hint="default"/>
                <w:sz w:val="24"/>
                <w:szCs w:val="24"/>
              </w:rPr>
              <w:t>绩效目标自评表</w:t>
            </w:r>
          </w:p>
        </w:tc>
      </w:tr>
      <w:tr>
        <w:tblPrEx>
          <w:tblCellMar>
            <w:top w:w="0" w:type="dxa"/>
            <w:left w:w="108" w:type="dxa"/>
            <w:bottom w:w="0" w:type="dxa"/>
            <w:right w:w="108" w:type="dxa"/>
          </w:tblCellMar>
        </w:tblPrEx>
        <w:trPr>
          <w:trHeight w:val="90" w:hRule="atLeast"/>
        </w:trPr>
        <w:tc>
          <w:tcPr>
            <w:tcW w:w="10365" w:type="dxa"/>
            <w:gridSpan w:val="13"/>
            <w:tcBorders>
              <w:top w:val="nil"/>
              <w:left w:val="nil"/>
              <w:bottom w:val="single" w:color="000000" w:sz="4" w:space="0"/>
              <w:right w:val="nil"/>
            </w:tcBorders>
            <w:noWrap/>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90" w:hRule="atLeast"/>
        </w:trPr>
        <w:tc>
          <w:tcPr>
            <w:tcW w:w="204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5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学生营养餐减免作业本费</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项目负责人电话</w:t>
            </w:r>
          </w:p>
        </w:tc>
        <w:tc>
          <w:tcPr>
            <w:tcW w:w="358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朱万春</w:t>
            </w:r>
          </w:p>
        </w:tc>
      </w:tr>
      <w:tr>
        <w:tblPrEx>
          <w:tblCellMar>
            <w:top w:w="0" w:type="dxa"/>
            <w:left w:w="108" w:type="dxa"/>
            <w:bottom w:w="0" w:type="dxa"/>
            <w:right w:w="108" w:type="dxa"/>
          </w:tblCellMar>
        </w:tblPrEx>
        <w:trPr>
          <w:trHeight w:val="90" w:hRule="atLeast"/>
        </w:trPr>
        <w:tc>
          <w:tcPr>
            <w:tcW w:w="204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5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通江县教育科技和体育局</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58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通江县三溪镇中心小学</w:t>
            </w:r>
          </w:p>
        </w:tc>
      </w:tr>
      <w:tr>
        <w:tblPrEx>
          <w:tblCellMar>
            <w:top w:w="0" w:type="dxa"/>
            <w:left w:w="108" w:type="dxa"/>
            <w:bottom w:w="0" w:type="dxa"/>
            <w:right w:w="108" w:type="dxa"/>
          </w:tblCellMar>
        </w:tblPrEx>
        <w:trPr>
          <w:trHeight w:val="90" w:hRule="atLeast"/>
        </w:trPr>
        <w:tc>
          <w:tcPr>
            <w:tcW w:w="2049"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3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77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8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90" w:hRule="atLeast"/>
        </w:trPr>
        <w:tc>
          <w:tcPr>
            <w:tcW w:w="204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35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21.756</w:t>
            </w:r>
          </w:p>
        </w:tc>
        <w:tc>
          <w:tcPr>
            <w:tcW w:w="277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21.756</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90" w:hRule="atLeast"/>
        </w:trPr>
        <w:tc>
          <w:tcPr>
            <w:tcW w:w="204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35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其中：本年财政拨款</w:t>
            </w: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21.756</w:t>
            </w:r>
          </w:p>
        </w:tc>
        <w:tc>
          <w:tcPr>
            <w:tcW w:w="277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21.756</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90" w:hRule="atLeast"/>
        </w:trPr>
        <w:tc>
          <w:tcPr>
            <w:tcW w:w="204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35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其他资金</w:t>
            </w: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7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8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5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90" w:hRule="atLeast"/>
        </w:trPr>
        <w:tc>
          <w:tcPr>
            <w:tcW w:w="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99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81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499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保障通江县三溪镇中心小学173名</w:t>
            </w:r>
            <w:r>
              <w:rPr>
                <w:rFonts w:hint="eastAsia" w:ascii="宋体" w:hAnsi="宋体" w:cs="宋体"/>
                <w:color w:val="000000"/>
                <w:kern w:val="0"/>
                <w:sz w:val="20"/>
                <w:szCs w:val="20"/>
                <w:u w:val="thick" w:color="46CD7E"/>
                <w:shd w:val="clear" w:fill="DAF5E5"/>
                <w:lang w:eastAsia="zh-CN"/>
              </w:rPr>
              <w:t>小学生</w:t>
            </w:r>
            <w:r>
              <w:rPr>
                <w:rFonts w:hint="eastAsia" w:ascii="宋体" w:hAnsi="宋体" w:cs="宋体"/>
                <w:color w:val="000000"/>
                <w:kern w:val="0"/>
                <w:sz w:val="20"/>
                <w:szCs w:val="20"/>
              </w:rPr>
              <w:t>营养餐及减免作业本费支出。</w:t>
            </w:r>
          </w:p>
        </w:tc>
        <w:tc>
          <w:tcPr>
            <w:tcW w:w="481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保障通江县三溪镇中心小学173名</w:t>
            </w:r>
            <w:r>
              <w:rPr>
                <w:rFonts w:hint="eastAsia" w:ascii="宋体" w:hAnsi="宋体" w:cs="宋体"/>
                <w:color w:val="000000"/>
                <w:kern w:val="0"/>
                <w:sz w:val="20"/>
                <w:szCs w:val="20"/>
                <w:u w:val="thick" w:color="46CD7E"/>
                <w:shd w:val="clear" w:fill="DAF5E5"/>
                <w:lang w:eastAsia="zh-CN"/>
              </w:rPr>
              <w:t>小学生</w:t>
            </w:r>
            <w:r>
              <w:rPr>
                <w:rFonts w:hint="eastAsia" w:ascii="宋体" w:hAnsi="宋体" w:cs="宋体"/>
                <w:color w:val="000000"/>
                <w:kern w:val="0"/>
                <w:sz w:val="20"/>
                <w:szCs w:val="20"/>
              </w:rPr>
              <w:t>营养餐及减免作业本费支出。</w:t>
            </w:r>
          </w:p>
        </w:tc>
      </w:tr>
      <w:tr>
        <w:tblPrEx>
          <w:tblCellMar>
            <w:top w:w="0" w:type="dxa"/>
            <w:left w:w="108" w:type="dxa"/>
            <w:bottom w:w="0" w:type="dxa"/>
            <w:right w:w="108" w:type="dxa"/>
          </w:tblCellMar>
        </w:tblPrEx>
        <w:trPr>
          <w:trHeight w:val="90" w:hRule="atLeast"/>
        </w:trPr>
        <w:tc>
          <w:tcPr>
            <w:tcW w:w="557"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449"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50分</w:t>
            </w:r>
            <w:r>
              <w:t>）</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数量指标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学生人数</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173</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173</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质量指标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学生营养餐及免作业本费支出率</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时效指标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学生营养餐及免作业本费使用率</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成本指标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学生营养餐减免作业</w:t>
            </w:r>
            <w:r>
              <w:rPr>
                <w:rFonts w:hint="eastAsia" w:ascii="宋体" w:hAnsi="宋体" w:cs="宋体"/>
                <w:color w:val="000000"/>
                <w:kern w:val="0"/>
                <w:sz w:val="11"/>
                <w:szCs w:val="11"/>
                <w:u w:val="thick" w:color="FFB03A"/>
                <w:shd w:val="clear" w:fill="FFEFD8"/>
              </w:rPr>
              <w:t>本</w:t>
            </w:r>
            <w:r>
              <w:rPr>
                <w:rFonts w:hint="eastAsia" w:ascii="宋体" w:hAnsi="宋体" w:cs="宋体"/>
                <w:color w:val="000000"/>
                <w:kern w:val="0"/>
                <w:sz w:val="11"/>
                <w:szCs w:val="11"/>
              </w:rPr>
              <w:t>费成本</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217560元</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217560元</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30分</w:t>
            </w:r>
            <w:r>
              <w:t>）</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经济效益</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学生家长增收元</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3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≥950元</w:t>
            </w:r>
          </w:p>
        </w:tc>
        <w:tc>
          <w:tcPr>
            <w:tcW w:w="1544"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≥950元</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社会效益</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学生家长幸福指数增加</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2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154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5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 </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1"/>
                <w:szCs w:val="11"/>
              </w:rPr>
            </w:pP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学生家长感受党的惠民政策</w:t>
            </w: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2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6"/>
                <w:szCs w:val="16"/>
              </w:rPr>
            </w:pPr>
          </w:p>
        </w:tc>
        <w:tc>
          <w:tcPr>
            <w:tcW w:w="154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6"/>
                <w:szCs w:val="16"/>
              </w:rPr>
            </w:pPr>
          </w:p>
        </w:tc>
        <w:tc>
          <w:tcPr>
            <w:tcW w:w="5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生态效益</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持续开展大手拉大手活动，改善人居环境</w:t>
            </w:r>
            <w: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3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1544"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可持续影响指标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体现政策导向，激发社会活力</w:t>
            </w:r>
            <w:r>
              <w:t>。</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=长期</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=长期</w:t>
            </w:r>
          </w:p>
        </w:tc>
        <w:tc>
          <w:tcPr>
            <w:tcW w:w="5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1"/>
                <w:szCs w:val="11"/>
              </w:rPr>
            </w:pP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对本行业未来可持续发展的影响</w:t>
            </w: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=可持续</w:t>
            </w:r>
          </w:p>
        </w:tc>
        <w:tc>
          <w:tcPr>
            <w:tcW w:w="1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=可持续</w:t>
            </w:r>
          </w:p>
        </w:tc>
        <w:tc>
          <w:tcPr>
            <w:tcW w:w="5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满意度指标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10分</w:t>
            </w:r>
            <w:r>
              <w:t>）</w:t>
            </w:r>
          </w:p>
        </w:tc>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服务对象</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满意度指标</w:t>
            </w:r>
          </w:p>
        </w:tc>
        <w:tc>
          <w:tcPr>
            <w:tcW w:w="293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通过项目的实施，力争使我县相关部门领导和社会对我校项目实施的满意度达到较好水平</w:t>
            </w:r>
            <w:r>
              <w:t>。</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≥80%</w:t>
            </w:r>
          </w:p>
        </w:tc>
        <w:tc>
          <w:tcPr>
            <w:tcW w:w="154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≥80%</w:t>
            </w:r>
          </w:p>
        </w:tc>
        <w:tc>
          <w:tcPr>
            <w:tcW w:w="5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9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2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6"/>
                <w:szCs w:val="16"/>
              </w:rPr>
            </w:pPr>
          </w:p>
        </w:tc>
        <w:tc>
          <w:tcPr>
            <w:tcW w:w="154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6"/>
                <w:szCs w:val="16"/>
              </w:rPr>
            </w:pPr>
          </w:p>
        </w:tc>
        <w:tc>
          <w:tcPr>
            <w:tcW w:w="5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557"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9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2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6"/>
                <w:szCs w:val="16"/>
              </w:rPr>
            </w:pPr>
          </w:p>
        </w:tc>
        <w:tc>
          <w:tcPr>
            <w:tcW w:w="154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6"/>
                <w:szCs w:val="16"/>
              </w:rPr>
            </w:pPr>
          </w:p>
        </w:tc>
        <w:tc>
          <w:tcPr>
            <w:tcW w:w="5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498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77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97</w:t>
            </w:r>
          </w:p>
        </w:tc>
        <w:tc>
          <w:tcPr>
            <w:tcW w:w="14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0" w:hRule="atLeast"/>
        </w:trPr>
        <w:tc>
          <w:tcPr>
            <w:tcW w:w="10365" w:type="dxa"/>
            <w:gridSpan w:val="13"/>
            <w:tcBorders>
              <w:top w:val="single" w:color="000000" w:sz="4" w:space="0"/>
              <w:left w:val="nil"/>
              <w:bottom w:val="nil"/>
              <w:right w:val="nil"/>
            </w:tcBorders>
            <w:noWrap/>
            <w:vAlign w:val="center"/>
          </w:tcPr>
          <w:p>
            <w:pPr>
              <w:widowControl/>
              <w:spacing w:line="160" w:lineRule="exact"/>
              <w:jc w:val="left"/>
              <w:textAlignment w:val="center"/>
              <w:rPr>
                <w:rFonts w:ascii="宋体" w:hAnsi="宋体" w:cs="宋体"/>
                <w:color w:val="000000"/>
                <w:sz w:val="11"/>
                <w:szCs w:val="11"/>
              </w:rPr>
            </w:pPr>
            <w:r>
              <w:rPr>
                <w:rFonts w:hint="eastAsia" w:ascii="宋体" w:hAnsi="宋体" w:cs="宋体"/>
                <w:color w:val="000000"/>
                <w:kern w:val="0"/>
                <w:sz w:val="11"/>
                <w:szCs w:val="11"/>
              </w:rPr>
              <w:t>注：1</w:t>
            </w:r>
            <w:r>
              <w:rPr>
                <w:rStyle w:val="30"/>
                <w:rFonts w:hint="default"/>
                <w:sz w:val="11"/>
                <w:szCs w:val="11"/>
              </w:rPr>
              <w:t>.一级指标分值统一设置为：产出指标50分、</w:t>
            </w:r>
            <w:r>
              <w:rPr>
                <w:sz w:val="11"/>
                <w:szCs w:val="11"/>
              </w:rPr>
              <w:t>效益指</w:t>
            </w:r>
            <w:r>
              <w:rPr>
                <w:rStyle w:val="30"/>
                <w:rFonts w:hint="default"/>
                <w:sz w:val="11"/>
                <w:szCs w:val="11"/>
              </w:rPr>
              <w:t>标30分、</w:t>
            </w:r>
            <w:r>
              <w:rPr>
                <w:sz w:val="11"/>
                <w:szCs w:val="11"/>
              </w:rPr>
              <w:t>满意度指</w:t>
            </w:r>
            <w:r>
              <w:rPr>
                <w:rStyle w:val="30"/>
                <w:rFonts w:hint="default"/>
                <w:sz w:val="11"/>
                <w:szCs w:val="11"/>
              </w:rPr>
              <w:t>标10分、</w:t>
            </w:r>
            <w:r>
              <w:rPr>
                <w:sz w:val="11"/>
                <w:szCs w:val="11"/>
              </w:rPr>
              <w:t>预算资金执行</w:t>
            </w:r>
            <w:r>
              <w:rPr>
                <w:rStyle w:val="30"/>
                <w:rFonts w:hint="default"/>
                <w:sz w:val="11"/>
                <w:szCs w:val="11"/>
              </w:rPr>
              <w:t>率10分。如有特殊情况，上述权重可做适当调整，但加总后应等于100分。各部</w:t>
            </w:r>
            <w:r>
              <w:rPr>
                <w:sz w:val="11"/>
                <w:szCs w:val="11"/>
              </w:rPr>
              <w:t>门根据各项指标重要程度确定三级指标的分值。得分最高不能超过该指标分值上限。</w:t>
            </w:r>
          </w:p>
        </w:tc>
      </w:tr>
      <w:tr>
        <w:tblPrEx>
          <w:tblCellMar>
            <w:top w:w="0" w:type="dxa"/>
            <w:left w:w="108" w:type="dxa"/>
            <w:bottom w:w="0" w:type="dxa"/>
            <w:right w:w="108" w:type="dxa"/>
          </w:tblCellMar>
        </w:tblPrEx>
        <w:trPr>
          <w:trHeight w:val="90" w:hRule="atLeast"/>
        </w:trPr>
        <w:tc>
          <w:tcPr>
            <w:tcW w:w="10365" w:type="dxa"/>
            <w:gridSpan w:val="13"/>
            <w:tcBorders>
              <w:top w:val="nil"/>
              <w:left w:val="nil"/>
              <w:bottom w:val="nil"/>
              <w:right w:val="nil"/>
            </w:tcBorders>
            <w:noWrap/>
            <w:vAlign w:val="center"/>
          </w:tcPr>
          <w:p>
            <w:pPr>
              <w:widowControl/>
              <w:spacing w:line="160" w:lineRule="exact"/>
              <w:jc w:val="left"/>
              <w:textAlignment w:val="center"/>
              <w:rPr>
                <w:rFonts w:ascii="宋体" w:hAnsi="宋体" w:cs="宋体"/>
                <w:color w:val="000000"/>
                <w:sz w:val="11"/>
                <w:szCs w:val="11"/>
              </w:rPr>
            </w:pPr>
            <w:r>
              <w:rPr>
                <w:rFonts w:hint="eastAsia" w:ascii="宋体" w:hAnsi="宋体" w:cs="宋体"/>
                <w:color w:val="000000"/>
                <w:kern w:val="0"/>
                <w:sz w:val="11"/>
                <w:szCs w:val="11"/>
              </w:rPr>
              <w:t xml:space="preserve">    2.</w:t>
            </w:r>
            <w:r>
              <w:rPr>
                <w:rFonts w:hint="eastAsia" w:ascii="宋体" w:hAnsi="宋体" w:cs="宋体"/>
                <w:color w:val="000000"/>
                <w:kern w:val="0"/>
                <w:sz w:val="11"/>
                <w:szCs w:val="11"/>
                <w:u w:val="thick" w:color="FFB03A"/>
                <w:shd w:val="clear" w:fill="FFEFD8"/>
              </w:rPr>
              <w:t>定性</w:t>
            </w:r>
            <w:r>
              <w:rPr>
                <w:rFonts w:hint="eastAsia" w:ascii="宋体" w:hAnsi="宋体" w:cs="宋体"/>
                <w:color w:val="000000"/>
                <w:kern w:val="0"/>
                <w:sz w:val="11"/>
                <w:szCs w:val="11"/>
              </w:rPr>
              <w:t>指标根据指标完成情况分为：达成预期指标、部分达成预期指标并具有一定效果、未达成预期指标且效果较差三档，分别按照该指标对应分值区间100%</w:t>
            </w:r>
            <w:r>
              <w:t>～</w:t>
            </w:r>
            <w:r>
              <w:rPr>
                <w:rFonts w:hint="eastAsia" w:ascii="宋体" w:hAnsi="宋体" w:cs="宋体"/>
                <w:color w:val="000000"/>
                <w:kern w:val="0"/>
                <w:sz w:val="11"/>
                <w:szCs w:val="11"/>
              </w:rPr>
              <w:t>80%</w:t>
            </w:r>
            <w:r>
              <w:t>（</w:t>
            </w:r>
            <w:r>
              <w:rPr>
                <w:rFonts w:hint="eastAsia" w:ascii="宋体" w:hAnsi="宋体" w:cs="宋体"/>
                <w:color w:val="000000"/>
                <w:kern w:val="0"/>
                <w:sz w:val="11"/>
                <w:szCs w:val="11"/>
              </w:rPr>
              <w:t>含80%</w:t>
            </w:r>
            <w:r>
              <w:t>）</w:t>
            </w:r>
            <w:r>
              <w:rPr>
                <w:rFonts w:hint="eastAsia" w:ascii="宋体" w:hAnsi="宋体" w:cs="宋体"/>
                <w:color w:val="000000"/>
                <w:kern w:val="0"/>
                <w:sz w:val="11"/>
                <w:szCs w:val="11"/>
              </w:rPr>
              <w:t>、80%</w:t>
            </w:r>
            <w:r>
              <w:t>～</w:t>
            </w:r>
            <w:r>
              <w:rPr>
                <w:rFonts w:hint="eastAsia" w:ascii="宋体" w:hAnsi="宋体" w:cs="宋体"/>
                <w:color w:val="000000"/>
                <w:kern w:val="0"/>
                <w:sz w:val="11"/>
                <w:szCs w:val="11"/>
              </w:rPr>
              <w:t>60%</w:t>
            </w:r>
            <w:r>
              <w:t>（</w:t>
            </w:r>
            <w:r>
              <w:rPr>
                <w:rFonts w:hint="eastAsia" w:ascii="宋体" w:hAnsi="宋体" w:cs="宋体"/>
                <w:color w:val="000000"/>
                <w:kern w:val="0"/>
                <w:sz w:val="11"/>
                <w:szCs w:val="11"/>
              </w:rPr>
              <w:t>含60%</w:t>
            </w:r>
            <w:r>
              <w:t>）</w:t>
            </w:r>
            <w:r>
              <w:rPr>
                <w:rFonts w:hint="eastAsia" w:ascii="宋体" w:hAnsi="宋体" w:cs="宋体"/>
                <w:color w:val="000000"/>
                <w:kern w:val="0"/>
                <w:sz w:val="11"/>
                <w:szCs w:val="11"/>
              </w:rPr>
              <w:t>、60</w:t>
            </w:r>
            <w:r>
              <w:rPr>
                <w:rFonts w:hint="eastAsia" w:ascii="宋体" w:hAnsi="宋体" w:cs="宋体"/>
                <w:color w:val="000000"/>
                <w:kern w:val="0"/>
                <w:sz w:val="12"/>
                <w:szCs w:val="12"/>
              </w:rPr>
              <w:t>%</w:t>
            </w:r>
            <w:r>
              <w:t>～</w:t>
            </w:r>
            <w:r>
              <w:rPr>
                <w:rFonts w:hint="eastAsia" w:ascii="宋体" w:hAnsi="宋体" w:cs="宋体"/>
                <w:color w:val="000000"/>
                <w:kern w:val="0"/>
                <w:sz w:val="11"/>
                <w:szCs w:val="11"/>
              </w:rPr>
              <w:t>0%合理确定得分。</w:t>
            </w:r>
          </w:p>
        </w:tc>
      </w:tr>
      <w:tr>
        <w:tblPrEx>
          <w:tblCellMar>
            <w:top w:w="0" w:type="dxa"/>
            <w:left w:w="108" w:type="dxa"/>
            <w:bottom w:w="0" w:type="dxa"/>
            <w:right w:w="108" w:type="dxa"/>
          </w:tblCellMar>
        </w:tblPrEx>
        <w:trPr>
          <w:trHeight w:val="90" w:hRule="atLeast"/>
        </w:trPr>
        <w:tc>
          <w:tcPr>
            <w:tcW w:w="10365" w:type="dxa"/>
            <w:gridSpan w:val="13"/>
            <w:tcBorders>
              <w:top w:val="nil"/>
              <w:left w:val="nil"/>
              <w:bottom w:val="nil"/>
              <w:right w:val="nil"/>
            </w:tcBorders>
            <w:noWrap/>
            <w:vAlign w:val="center"/>
          </w:tcPr>
          <w:p>
            <w:pPr>
              <w:widowControl/>
              <w:spacing w:line="160" w:lineRule="exact"/>
              <w:jc w:val="left"/>
              <w:textAlignment w:val="center"/>
              <w:rPr>
                <w:rFonts w:ascii="宋体" w:hAnsi="宋体" w:cs="宋体"/>
                <w:color w:val="000000"/>
                <w:sz w:val="11"/>
                <w:szCs w:val="11"/>
              </w:rPr>
            </w:pPr>
            <w:r>
              <w:rPr>
                <w:rFonts w:hint="eastAsia" w:ascii="宋体" w:hAnsi="宋体" w:cs="宋体"/>
                <w:color w:val="000000"/>
                <w:kern w:val="0"/>
                <w:sz w:val="11"/>
                <w:szCs w:val="11"/>
              </w:rPr>
              <w:t xml:space="preserve">    3.定量指标若为正向指标（即指标值为</w:t>
            </w:r>
            <w:r>
              <w:rPr>
                <w:rStyle w:val="30"/>
                <w:rFonts w:hint="default"/>
                <w:sz w:val="11"/>
                <w:szCs w:val="11"/>
              </w:rPr>
              <w:t>≥*），则得分计算方法应用</w:t>
            </w:r>
            <w:r>
              <w:rPr>
                <w:sz w:val="11"/>
                <w:szCs w:val="11"/>
              </w:rPr>
              <w:t>全年实际</w:t>
            </w:r>
            <w:r>
              <w:rPr>
                <w:rStyle w:val="30"/>
                <w:rFonts w:hint="default"/>
                <w:sz w:val="11"/>
                <w:szCs w:val="11"/>
              </w:rPr>
              <w:t>值/年度指标值</w:t>
            </w:r>
            <w:r>
              <w:rPr>
                <w:rStyle w:val="29"/>
                <w:rFonts w:hint="default"/>
                <w:sz w:val="11"/>
                <w:szCs w:val="11"/>
              </w:rPr>
              <w:t>╳</w:t>
            </w:r>
            <w:r>
              <w:rPr>
                <w:rStyle w:val="30"/>
                <w:rFonts w:hint="default"/>
                <w:sz w:val="11"/>
                <w:szCs w:val="11"/>
              </w:rPr>
              <w:t>该指标分值；若定量指标为反向指标（即指标值为≤*），则得分计算方法应用</w:t>
            </w:r>
            <w:r>
              <w:rPr>
                <w:sz w:val="11"/>
                <w:szCs w:val="11"/>
              </w:rPr>
              <w:t>年度指标</w:t>
            </w:r>
            <w:r>
              <w:rPr>
                <w:rStyle w:val="30"/>
                <w:rFonts w:hint="default"/>
                <w:sz w:val="11"/>
                <w:szCs w:val="11"/>
              </w:rPr>
              <w:t>值/全年实际值</w:t>
            </w:r>
            <w:r>
              <w:rPr>
                <w:rStyle w:val="29"/>
                <w:rFonts w:hint="default"/>
                <w:sz w:val="11"/>
                <w:szCs w:val="11"/>
              </w:rPr>
              <w:t>╳</w:t>
            </w:r>
            <w:r>
              <w:rPr>
                <w:rStyle w:val="30"/>
                <w:rFonts w:hint="default"/>
                <w:sz w:val="11"/>
                <w:szCs w:val="11"/>
              </w:rPr>
              <w:t>该指标分值；定量指标得分最高不得超过该指标分值上限。</w:t>
            </w:r>
          </w:p>
        </w:tc>
      </w:tr>
      <w:tr>
        <w:tblPrEx>
          <w:tblCellMar>
            <w:top w:w="0" w:type="dxa"/>
            <w:left w:w="108" w:type="dxa"/>
            <w:bottom w:w="0" w:type="dxa"/>
            <w:right w:w="108" w:type="dxa"/>
          </w:tblCellMar>
        </w:tblPrEx>
        <w:trPr>
          <w:gridAfter w:val="1"/>
          <w:wAfter w:w="562" w:type="dxa"/>
          <w:trHeight w:val="729" w:hRule="atLeast"/>
        </w:trPr>
        <w:tc>
          <w:tcPr>
            <w:tcW w:w="9803" w:type="dxa"/>
            <w:gridSpan w:val="12"/>
            <w:tcBorders>
              <w:top w:val="nil"/>
              <w:left w:val="nil"/>
              <w:bottom w:val="single" w:color="000000" w:sz="4" w:space="0"/>
              <w:right w:val="nil"/>
            </w:tcBorders>
            <w:noWrap/>
          </w:tcPr>
          <w:p>
            <w:pPr>
              <w:widowControl/>
              <w:ind w:firstLine="4480" w:firstLineChars="1600"/>
              <w:textAlignment w:val="top"/>
              <w:rPr>
                <w:rFonts w:ascii="宋体" w:hAnsi="宋体" w:cs="宋体"/>
                <w:color w:val="000000"/>
                <w:kern w:val="0"/>
                <w:sz w:val="28"/>
                <w:szCs w:val="28"/>
              </w:rPr>
            </w:pPr>
            <w:r>
              <w:rPr>
                <w:rFonts w:hint="eastAsia" w:ascii="宋体" w:hAnsi="宋体" w:cs="宋体"/>
                <w:color w:val="000000"/>
                <w:kern w:val="0"/>
                <w:sz w:val="28"/>
                <w:szCs w:val="28"/>
              </w:rPr>
              <w:t>绩效目标自评表</w:t>
            </w:r>
          </w:p>
        </w:tc>
      </w:tr>
      <w:tr>
        <w:tblPrEx>
          <w:tblCellMar>
            <w:top w:w="0" w:type="dxa"/>
            <w:left w:w="108" w:type="dxa"/>
            <w:bottom w:w="0" w:type="dxa"/>
            <w:right w:w="108" w:type="dxa"/>
          </w:tblCellMar>
        </w:tblPrEx>
        <w:trPr>
          <w:gridAfter w:val="1"/>
          <w:wAfter w:w="562" w:type="dxa"/>
          <w:trHeight w:val="619" w:hRule="atLeast"/>
        </w:trPr>
        <w:tc>
          <w:tcPr>
            <w:tcW w:w="9803" w:type="dxa"/>
            <w:gridSpan w:val="12"/>
            <w:tcBorders>
              <w:top w:val="nil"/>
              <w:left w:val="nil"/>
              <w:bottom w:val="single" w:color="000000" w:sz="4" w:space="0"/>
              <w:right w:val="nil"/>
            </w:tcBorders>
            <w:noWrap/>
          </w:tcPr>
          <w:p>
            <w:pPr>
              <w:widowControl/>
              <w:ind w:firstLine="4480" w:firstLineChars="1600"/>
              <w:textAlignment w:val="top"/>
              <w:rPr>
                <w:rFonts w:ascii="宋体" w:hAnsi="宋体" w:cs="宋体"/>
                <w:color w:val="000000"/>
                <w:sz w:val="12"/>
                <w:szCs w:val="12"/>
              </w:rPr>
            </w:pPr>
            <w:r>
              <w:rPr>
                <w:rFonts w:hint="eastAsia" w:ascii="宋体" w:hAnsi="宋体" w:cs="宋体"/>
                <w:color w:val="000000"/>
                <w:kern w:val="0"/>
                <w:sz w:val="28"/>
                <w:szCs w:val="28"/>
              </w:rPr>
              <w:t>（2021年度）</w:t>
            </w:r>
          </w:p>
        </w:tc>
      </w:tr>
      <w:tr>
        <w:tblPrEx>
          <w:tblCellMar>
            <w:top w:w="0" w:type="dxa"/>
            <w:left w:w="108" w:type="dxa"/>
            <w:bottom w:w="0" w:type="dxa"/>
            <w:right w:w="108" w:type="dxa"/>
          </w:tblCellMar>
        </w:tblPrEx>
        <w:trPr>
          <w:gridAfter w:val="1"/>
          <w:wAfter w:w="562" w:type="dxa"/>
          <w:trHeight w:val="355" w:hRule="atLeast"/>
        </w:trPr>
        <w:tc>
          <w:tcPr>
            <w:tcW w:w="204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项目名称</w:t>
            </w:r>
          </w:p>
        </w:tc>
        <w:tc>
          <w:tcPr>
            <w:tcW w:w="35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贫困生生活补助</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项目负责人电话</w:t>
            </w:r>
          </w:p>
        </w:tc>
        <w:tc>
          <w:tcPr>
            <w:tcW w:w="3019" w:type="dxa"/>
            <w:gridSpan w:val="5"/>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cs="宋体"/>
                <w:color w:val="000000"/>
                <w:sz w:val="12"/>
                <w:szCs w:val="12"/>
              </w:rPr>
            </w:pPr>
            <w:r>
              <w:rPr>
                <w:rFonts w:hint="eastAsia" w:ascii="宋体" w:hAnsi="宋体" w:cs="宋体"/>
                <w:color w:val="000000"/>
                <w:kern w:val="0"/>
                <w:sz w:val="12"/>
                <w:szCs w:val="12"/>
              </w:rPr>
              <w:t>朱万春</w:t>
            </w:r>
          </w:p>
        </w:tc>
      </w:tr>
      <w:tr>
        <w:tblPrEx>
          <w:tblCellMar>
            <w:top w:w="0" w:type="dxa"/>
            <w:left w:w="108" w:type="dxa"/>
            <w:bottom w:w="0" w:type="dxa"/>
            <w:right w:w="108" w:type="dxa"/>
          </w:tblCellMar>
        </w:tblPrEx>
        <w:trPr>
          <w:gridAfter w:val="1"/>
          <w:wAfter w:w="562" w:type="dxa"/>
          <w:trHeight w:val="346" w:hRule="atLeast"/>
        </w:trPr>
        <w:tc>
          <w:tcPr>
            <w:tcW w:w="204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主管部门</w:t>
            </w:r>
          </w:p>
        </w:tc>
        <w:tc>
          <w:tcPr>
            <w:tcW w:w="35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通江县教育科技和体育局</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实施单位</w:t>
            </w:r>
          </w:p>
        </w:tc>
        <w:tc>
          <w:tcPr>
            <w:tcW w:w="301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通江县三溪镇中心小学</w:t>
            </w:r>
          </w:p>
        </w:tc>
      </w:tr>
      <w:tr>
        <w:tblPrEx>
          <w:tblCellMar>
            <w:top w:w="0" w:type="dxa"/>
            <w:left w:w="108" w:type="dxa"/>
            <w:bottom w:w="0" w:type="dxa"/>
            <w:right w:w="108" w:type="dxa"/>
          </w:tblCellMar>
        </w:tblPrEx>
        <w:trPr>
          <w:gridAfter w:val="1"/>
          <w:wAfter w:w="562" w:type="dxa"/>
          <w:trHeight w:val="657" w:hRule="atLeast"/>
        </w:trPr>
        <w:tc>
          <w:tcPr>
            <w:tcW w:w="2049"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资金情况</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（万元）</w:t>
            </w:r>
          </w:p>
        </w:tc>
        <w:tc>
          <w:tcPr>
            <w:tcW w:w="23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全年预算数（A）</w:t>
            </w:r>
          </w:p>
        </w:tc>
        <w:tc>
          <w:tcPr>
            <w:tcW w:w="21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全年执行数（B）</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8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执行率（B/A</w:t>
            </w:r>
            <w:r>
              <w:t>）</w:t>
            </w:r>
          </w:p>
        </w:tc>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r>
      <w:tr>
        <w:tblPrEx>
          <w:tblCellMar>
            <w:top w:w="0" w:type="dxa"/>
            <w:left w:w="108" w:type="dxa"/>
            <w:bottom w:w="0" w:type="dxa"/>
            <w:right w:w="108" w:type="dxa"/>
          </w:tblCellMar>
        </w:tblPrEx>
        <w:trPr>
          <w:gridAfter w:val="1"/>
          <w:wAfter w:w="562" w:type="dxa"/>
          <w:trHeight w:val="346" w:hRule="atLeast"/>
        </w:trPr>
        <w:tc>
          <w:tcPr>
            <w:tcW w:w="204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5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年度资金总额：</w:t>
            </w: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7.35</w:t>
            </w:r>
          </w:p>
        </w:tc>
        <w:tc>
          <w:tcPr>
            <w:tcW w:w="21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7.35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8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w:t>
            </w:r>
          </w:p>
        </w:tc>
      </w:tr>
      <w:tr>
        <w:tblPrEx>
          <w:tblCellMar>
            <w:top w:w="0" w:type="dxa"/>
            <w:left w:w="108" w:type="dxa"/>
            <w:bottom w:w="0" w:type="dxa"/>
            <w:right w:w="108" w:type="dxa"/>
          </w:tblCellMar>
        </w:tblPrEx>
        <w:trPr>
          <w:gridAfter w:val="1"/>
          <w:wAfter w:w="562" w:type="dxa"/>
          <w:trHeight w:val="346" w:hRule="atLeast"/>
        </w:trPr>
        <w:tc>
          <w:tcPr>
            <w:tcW w:w="204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5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其中：本年财政拨款</w:t>
            </w: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7.35</w:t>
            </w:r>
          </w:p>
        </w:tc>
        <w:tc>
          <w:tcPr>
            <w:tcW w:w="21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7.35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8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r>
      <w:tr>
        <w:tblPrEx>
          <w:tblCellMar>
            <w:top w:w="0" w:type="dxa"/>
            <w:left w:w="108" w:type="dxa"/>
            <w:bottom w:w="0" w:type="dxa"/>
            <w:right w:w="108" w:type="dxa"/>
          </w:tblCellMar>
        </w:tblPrEx>
        <w:trPr>
          <w:gridAfter w:val="1"/>
          <w:wAfter w:w="562" w:type="dxa"/>
          <w:trHeight w:val="346" w:hRule="atLeast"/>
        </w:trPr>
        <w:tc>
          <w:tcPr>
            <w:tcW w:w="204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35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其他资金</w:t>
            </w:r>
          </w:p>
        </w:tc>
        <w:tc>
          <w:tcPr>
            <w:tcW w:w="114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12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86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 w:val="12"/>
                <w:szCs w:val="12"/>
              </w:rPr>
            </w:pPr>
          </w:p>
        </w:tc>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r>
      <w:tr>
        <w:tblPrEx>
          <w:tblCellMar>
            <w:top w:w="0" w:type="dxa"/>
            <w:left w:w="108" w:type="dxa"/>
            <w:bottom w:w="0" w:type="dxa"/>
            <w:right w:w="108" w:type="dxa"/>
          </w:tblCellMar>
        </w:tblPrEx>
        <w:trPr>
          <w:gridAfter w:val="1"/>
          <w:wAfter w:w="562" w:type="dxa"/>
          <w:trHeight w:val="346" w:hRule="atLeast"/>
        </w:trPr>
        <w:tc>
          <w:tcPr>
            <w:tcW w:w="5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w:t>
            </w:r>
          </w:p>
        </w:tc>
        <w:tc>
          <w:tcPr>
            <w:tcW w:w="499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年初设定目标</w:t>
            </w:r>
          </w:p>
        </w:tc>
        <w:tc>
          <w:tcPr>
            <w:tcW w:w="425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年度总体目标完成情况综述</w:t>
            </w:r>
          </w:p>
        </w:tc>
      </w:tr>
      <w:tr>
        <w:tblPrEx>
          <w:tblCellMar>
            <w:top w:w="0" w:type="dxa"/>
            <w:left w:w="108" w:type="dxa"/>
            <w:bottom w:w="0" w:type="dxa"/>
            <w:right w:w="108" w:type="dxa"/>
          </w:tblCellMar>
        </w:tblPrEx>
        <w:trPr>
          <w:gridAfter w:val="1"/>
          <w:wAfter w:w="562" w:type="dxa"/>
          <w:trHeight w:val="662" w:hRule="atLeast"/>
        </w:trPr>
        <w:tc>
          <w:tcPr>
            <w:tcW w:w="5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499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通过预算执行：保障通江县三溪镇中心小学164名贫困生的基本生活。</w:t>
            </w:r>
          </w:p>
        </w:tc>
        <w:tc>
          <w:tcPr>
            <w:tcW w:w="425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保障通江县三溪镇中心小学164名贫困生的基本生活</w:t>
            </w:r>
          </w:p>
        </w:tc>
      </w:tr>
      <w:tr>
        <w:tblPrEx>
          <w:tblCellMar>
            <w:top w:w="0" w:type="dxa"/>
            <w:left w:w="108" w:type="dxa"/>
            <w:bottom w:w="0" w:type="dxa"/>
            <w:right w:w="108" w:type="dxa"/>
          </w:tblCellMar>
        </w:tblPrEx>
        <w:trPr>
          <w:gridAfter w:val="1"/>
          <w:wAfter w:w="562" w:type="dxa"/>
          <w:trHeight w:val="673" w:hRule="atLeast"/>
        </w:trPr>
        <w:tc>
          <w:tcPr>
            <w:tcW w:w="551"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绩效指标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一级</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二级指标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三级指标</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年度指标值</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全年实际值</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未完成原因及拟采取的改进措施</w:t>
            </w: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产</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出</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指</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50分</w:t>
            </w:r>
            <w:r>
              <w:t>）</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数量指标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学生人数</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27</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27</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质量指标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贫困住宿生生活补助支出率</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20</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时效指标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贫困住宿生生活补助使用率</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641"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成本指标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贫困住宿生生活补助成本</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73500元</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73500元</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673"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效</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益</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指</w:t>
            </w:r>
          </w:p>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30分</w:t>
            </w:r>
            <w:r>
              <w:t>）</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经济效益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学生家长增收元</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≥500元</w:t>
            </w:r>
          </w:p>
        </w:tc>
        <w:tc>
          <w:tcPr>
            <w:tcW w:w="89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≥500元</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9</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社会效益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学生家长幸福指数增加</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10 </w:t>
            </w:r>
          </w:p>
        </w:tc>
        <w:tc>
          <w:tcPr>
            <w:tcW w:w="12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≥90%</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≥90%</w:t>
            </w:r>
          </w:p>
        </w:tc>
        <w:tc>
          <w:tcPr>
            <w:tcW w:w="6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 xml:space="preserve">10 </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学生家长感受党的惠民政策</w:t>
            </w: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673"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生态效益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持续开展大手拉大手活动，改善人居环境</w:t>
            </w:r>
            <w: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23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w:t>
            </w:r>
          </w:p>
        </w:tc>
        <w:tc>
          <w:tcPr>
            <w:tcW w:w="894"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可持续影响指标</w:t>
            </w: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体现政策导向，激发社会活力</w:t>
            </w:r>
            <w:r>
              <w:t>。</w:t>
            </w:r>
          </w:p>
        </w:tc>
        <w:tc>
          <w:tcPr>
            <w:tcW w:w="566"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长期</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长期</w:t>
            </w:r>
          </w:p>
        </w:tc>
        <w:tc>
          <w:tcPr>
            <w:tcW w:w="650"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9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对本行业未来可持续发展的影响</w:t>
            </w:r>
          </w:p>
        </w:tc>
        <w:tc>
          <w:tcPr>
            <w:tcW w:w="566"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12"/>
                <w:szCs w:val="12"/>
              </w:rPr>
            </w:pPr>
          </w:p>
        </w:tc>
        <w:tc>
          <w:tcPr>
            <w:tcW w:w="12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可持续</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Fonts w:hint="eastAsia" w:ascii="宋体" w:hAnsi="宋体" w:cs="宋体"/>
                <w:color w:val="000000"/>
                <w:kern w:val="0"/>
                <w:sz w:val="12"/>
                <w:szCs w:val="12"/>
              </w:rPr>
              <w:t>可持续</w:t>
            </w:r>
          </w:p>
        </w:tc>
        <w:tc>
          <w:tcPr>
            <w:tcW w:w="650"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12"/>
                <w:szCs w:val="12"/>
              </w:rPr>
            </w:pP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满意度指标</w:t>
            </w:r>
          </w:p>
          <w:p>
            <w:pPr>
              <w:widowControl/>
              <w:jc w:val="center"/>
              <w:textAlignment w:val="center"/>
              <w:rPr>
                <w:rFonts w:ascii="宋体" w:hAnsi="宋体" w:cs="宋体"/>
                <w:color w:val="000000"/>
                <w:sz w:val="12"/>
                <w:szCs w:val="12"/>
              </w:rPr>
            </w:pPr>
            <w:r>
              <w:t>（</w:t>
            </w:r>
            <w:r>
              <w:rPr>
                <w:rFonts w:hint="eastAsia" w:ascii="宋体" w:hAnsi="宋体" w:cs="宋体"/>
                <w:color w:val="000000"/>
                <w:kern w:val="0"/>
                <w:sz w:val="12"/>
                <w:szCs w:val="12"/>
              </w:rPr>
              <w:t>10分</w:t>
            </w:r>
            <w:r>
              <w:t>）</w:t>
            </w:r>
          </w:p>
        </w:tc>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服务对象</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满意度指标</w:t>
            </w:r>
          </w:p>
        </w:tc>
        <w:tc>
          <w:tcPr>
            <w:tcW w:w="293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通过项目的实施，力争使我县相关部门领导和社会对我校项目实施的满意度达到较好水平</w:t>
            </w:r>
            <w:r>
              <w:t>。</w:t>
            </w:r>
          </w:p>
        </w:tc>
        <w:tc>
          <w:tcPr>
            <w:tcW w:w="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2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≥80%</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≥80%</w:t>
            </w:r>
          </w:p>
        </w:tc>
        <w:tc>
          <w:tcPr>
            <w:tcW w:w="6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9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551"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9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2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Arial" w:hAnsi="Arial" w:cs="Arial"/>
                <w:color w:val="000000"/>
                <w:sz w:val="12"/>
                <w:szCs w:val="12"/>
              </w:rPr>
            </w:pPr>
          </w:p>
        </w:tc>
        <w:tc>
          <w:tcPr>
            <w:tcW w:w="6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346" w:hRule="atLeast"/>
        </w:trPr>
        <w:tc>
          <w:tcPr>
            <w:tcW w:w="498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总分</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100</w:t>
            </w:r>
          </w:p>
        </w:tc>
        <w:tc>
          <w:tcPr>
            <w:tcW w:w="212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2"/>
                <w:szCs w:val="12"/>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97</w:t>
            </w:r>
          </w:p>
        </w:tc>
        <w:tc>
          <w:tcPr>
            <w:tcW w:w="147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gridAfter w:val="1"/>
          <w:wAfter w:w="562" w:type="dxa"/>
          <w:trHeight w:val="673" w:hRule="atLeast"/>
        </w:trPr>
        <w:tc>
          <w:tcPr>
            <w:tcW w:w="9803" w:type="dxa"/>
            <w:gridSpan w:val="12"/>
            <w:tcBorders>
              <w:top w:val="single" w:color="000000" w:sz="4" w:space="0"/>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CellMar>
            <w:top w:w="0" w:type="dxa"/>
            <w:left w:w="108" w:type="dxa"/>
            <w:bottom w:w="0" w:type="dxa"/>
            <w:right w:w="108" w:type="dxa"/>
          </w:tblCellMar>
        </w:tblPrEx>
        <w:trPr>
          <w:gridAfter w:val="1"/>
          <w:wAfter w:w="562" w:type="dxa"/>
          <w:trHeight w:val="652" w:hRule="atLeast"/>
        </w:trPr>
        <w:tc>
          <w:tcPr>
            <w:tcW w:w="9803" w:type="dxa"/>
            <w:gridSpan w:val="12"/>
            <w:tcBorders>
              <w:top w:val="nil"/>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 xml:space="preserve">    2.定性指标根据指标完成情况分为：达成预期指标、部分达成预期指标并具有一定效果、未达成预期指标且效果较差三档，分别按照该指标对应分值区间100%</w:t>
            </w:r>
            <w:r>
              <w:t>～</w:t>
            </w:r>
            <w:r>
              <w:rPr>
                <w:rFonts w:hint="eastAsia" w:ascii="宋体" w:hAnsi="宋体" w:cs="宋体"/>
                <w:color w:val="000000"/>
                <w:kern w:val="0"/>
                <w:sz w:val="12"/>
                <w:szCs w:val="12"/>
              </w:rPr>
              <w:t>80%</w:t>
            </w:r>
            <w:r>
              <w:t>（</w:t>
            </w:r>
            <w:r>
              <w:rPr>
                <w:rFonts w:hint="eastAsia" w:ascii="宋体" w:hAnsi="宋体" w:cs="宋体"/>
                <w:color w:val="000000"/>
                <w:kern w:val="0"/>
                <w:sz w:val="12"/>
                <w:szCs w:val="12"/>
              </w:rPr>
              <w:t>含80%</w:t>
            </w:r>
            <w:r>
              <w:t>）</w:t>
            </w:r>
            <w:r>
              <w:rPr>
                <w:rFonts w:hint="eastAsia" w:ascii="宋体" w:hAnsi="宋体" w:cs="宋体"/>
                <w:color w:val="000000"/>
                <w:kern w:val="0"/>
                <w:sz w:val="12"/>
                <w:szCs w:val="12"/>
              </w:rPr>
              <w:t>、80%</w:t>
            </w:r>
            <w:r>
              <w:t>～</w:t>
            </w:r>
            <w:r>
              <w:rPr>
                <w:rFonts w:hint="eastAsia" w:ascii="宋体" w:hAnsi="宋体" w:cs="宋体"/>
                <w:color w:val="000000"/>
                <w:kern w:val="0"/>
                <w:sz w:val="12"/>
                <w:szCs w:val="12"/>
              </w:rPr>
              <w:t>60%</w:t>
            </w:r>
            <w:r>
              <w:t>（</w:t>
            </w:r>
            <w:r>
              <w:rPr>
                <w:rFonts w:hint="eastAsia" w:ascii="宋体" w:hAnsi="宋体" w:cs="宋体"/>
                <w:color w:val="000000"/>
                <w:kern w:val="0"/>
                <w:sz w:val="12"/>
                <w:szCs w:val="12"/>
              </w:rPr>
              <w:t>含60%</w:t>
            </w:r>
            <w:r>
              <w:t>）</w:t>
            </w:r>
            <w:r>
              <w:rPr>
                <w:rFonts w:hint="eastAsia" w:ascii="宋体" w:hAnsi="宋体" w:cs="宋体"/>
                <w:color w:val="000000"/>
                <w:kern w:val="0"/>
                <w:sz w:val="12"/>
                <w:szCs w:val="12"/>
              </w:rPr>
              <w:t>、60%</w:t>
            </w:r>
            <w:r>
              <w:t>～</w:t>
            </w:r>
            <w:r>
              <w:rPr>
                <w:rFonts w:hint="eastAsia" w:ascii="宋体" w:hAnsi="宋体" w:cs="宋体"/>
                <w:color w:val="000000"/>
                <w:kern w:val="0"/>
                <w:sz w:val="12"/>
                <w:szCs w:val="12"/>
              </w:rPr>
              <w:t>0%合理确定得分。</w:t>
            </w:r>
          </w:p>
        </w:tc>
      </w:tr>
      <w:tr>
        <w:tblPrEx>
          <w:tblCellMar>
            <w:top w:w="0" w:type="dxa"/>
            <w:left w:w="108" w:type="dxa"/>
            <w:bottom w:w="0" w:type="dxa"/>
            <w:right w:w="108" w:type="dxa"/>
          </w:tblCellMar>
        </w:tblPrEx>
        <w:trPr>
          <w:gridAfter w:val="1"/>
          <w:wAfter w:w="562" w:type="dxa"/>
          <w:trHeight w:val="652" w:hRule="atLeast"/>
        </w:trPr>
        <w:tc>
          <w:tcPr>
            <w:tcW w:w="9803" w:type="dxa"/>
            <w:gridSpan w:val="12"/>
            <w:tcBorders>
              <w:top w:val="nil"/>
              <w:left w:val="nil"/>
              <w:bottom w:val="nil"/>
              <w:right w:val="nil"/>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spacing w:line="580" w:lineRule="exact"/>
        <w:ind w:firstLine="640" w:firstLineChars="200"/>
        <w:rPr>
          <w:rFonts w:ascii="仿宋_GB2312" w:hAnsi="仿宋_GB2312" w:eastAsia="仿宋_GB2312" w:cs="仿宋_GB2312"/>
          <w:sz w:val="32"/>
          <w:szCs w:val="32"/>
        </w:rPr>
      </w:pPr>
    </w:p>
    <w:p>
      <w:pPr>
        <w:spacing w:line="160" w:lineRule="exact"/>
        <w:rPr>
          <w:rFonts w:ascii="仿宋_GB2312" w:hAnsi="仿宋_GB2312" w:eastAsia="仿宋_GB2312" w:cs="仿宋_GB2312"/>
          <w:sz w:val="11"/>
          <w:szCs w:val="11"/>
        </w:rPr>
      </w:pPr>
    </w:p>
    <w:tbl>
      <w:tblPr>
        <w:tblStyle w:val="7"/>
        <w:tblpPr w:leftFromText="180" w:rightFromText="180" w:vertAnchor="text" w:horzAnchor="page" w:tblpX="1217" w:tblpY="-71"/>
        <w:tblOverlap w:val="never"/>
        <w:tblW w:w="10575" w:type="dxa"/>
        <w:tblInd w:w="-108" w:type="dxa"/>
        <w:tblLayout w:type="autofit"/>
        <w:tblCellMar>
          <w:top w:w="0" w:type="dxa"/>
          <w:left w:w="108" w:type="dxa"/>
          <w:bottom w:w="0" w:type="dxa"/>
          <w:right w:w="108" w:type="dxa"/>
        </w:tblCellMar>
      </w:tblPr>
      <w:tblGrid>
        <w:gridCol w:w="555"/>
        <w:gridCol w:w="765"/>
        <w:gridCol w:w="1035"/>
        <w:gridCol w:w="2505"/>
        <w:gridCol w:w="615"/>
        <w:gridCol w:w="600"/>
        <w:gridCol w:w="1305"/>
        <w:gridCol w:w="945"/>
        <w:gridCol w:w="690"/>
        <w:gridCol w:w="926"/>
        <w:gridCol w:w="645"/>
      </w:tblGrid>
      <w:tr>
        <w:tblPrEx>
          <w:tblCellMar>
            <w:top w:w="0" w:type="dxa"/>
            <w:left w:w="108" w:type="dxa"/>
            <w:bottom w:w="0" w:type="dxa"/>
            <w:right w:w="108" w:type="dxa"/>
          </w:tblCellMar>
        </w:tblPrEx>
        <w:trPr>
          <w:trHeight w:val="460" w:hRule="atLeast"/>
        </w:trPr>
        <w:tc>
          <w:tcPr>
            <w:tcW w:w="10575" w:type="dxa"/>
            <w:gridSpan w:val="11"/>
            <w:tcBorders>
              <w:top w:val="nil"/>
              <w:left w:val="nil"/>
              <w:bottom w:val="nil"/>
              <w:right w:val="nil"/>
            </w:tcBorders>
            <w:noWrap/>
            <w:vAlign w:val="center"/>
          </w:tcPr>
          <w:p>
            <w:pPr>
              <w:widowControl/>
              <w:jc w:val="center"/>
              <w:textAlignment w:val="center"/>
              <w:rPr>
                <w:rFonts w:ascii="宋体" w:hAnsi="宋体" w:cs="宋体"/>
                <w:color w:val="000000"/>
                <w:sz w:val="32"/>
                <w:szCs w:val="32"/>
              </w:rPr>
            </w:pPr>
            <w:r>
              <w:rPr>
                <w:rStyle w:val="36"/>
                <w:rFonts w:hint="default"/>
              </w:rPr>
              <w:t>绩效目标自评表</w:t>
            </w:r>
          </w:p>
        </w:tc>
      </w:tr>
      <w:tr>
        <w:tblPrEx>
          <w:tblCellMar>
            <w:top w:w="0" w:type="dxa"/>
            <w:left w:w="108" w:type="dxa"/>
            <w:bottom w:w="0" w:type="dxa"/>
            <w:right w:w="108" w:type="dxa"/>
          </w:tblCellMar>
        </w:tblPrEx>
        <w:trPr>
          <w:trHeight w:val="365" w:hRule="atLeast"/>
        </w:trPr>
        <w:tc>
          <w:tcPr>
            <w:tcW w:w="10575" w:type="dxa"/>
            <w:gridSpan w:val="11"/>
            <w:tcBorders>
              <w:top w:val="nil"/>
              <w:left w:val="nil"/>
              <w:bottom w:val="single" w:color="000000" w:sz="4" w:space="0"/>
              <w:right w:val="nil"/>
            </w:tcBorders>
            <w:noWrap/>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trPr>
        <w:tc>
          <w:tcPr>
            <w:tcW w:w="235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7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扶贫</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项目负责人电话</w:t>
            </w:r>
          </w:p>
        </w:tc>
        <w:tc>
          <w:tcPr>
            <w:tcW w:w="319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朱万春</w:t>
            </w:r>
          </w:p>
        </w:tc>
      </w:tr>
      <w:tr>
        <w:tblPrEx>
          <w:tblCellMar>
            <w:top w:w="0" w:type="dxa"/>
            <w:left w:w="108" w:type="dxa"/>
            <w:bottom w:w="0" w:type="dxa"/>
            <w:right w:w="108" w:type="dxa"/>
          </w:tblCellMar>
        </w:tblPrEx>
        <w:trPr>
          <w:trHeight w:val="300" w:hRule="atLeast"/>
        </w:trPr>
        <w:tc>
          <w:tcPr>
            <w:tcW w:w="235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7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通江县教育科技和体育局</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19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通江县三溪镇中心小学</w:t>
            </w:r>
          </w:p>
        </w:tc>
      </w:tr>
      <w:tr>
        <w:tblPrEx>
          <w:tblCellMar>
            <w:top w:w="0" w:type="dxa"/>
            <w:left w:w="108" w:type="dxa"/>
            <w:bottom w:w="0" w:type="dxa"/>
            <w:right w:w="108" w:type="dxa"/>
          </w:tblCellMar>
        </w:tblPrEx>
        <w:trPr>
          <w:trHeight w:val="465" w:hRule="atLeast"/>
        </w:trPr>
        <w:tc>
          <w:tcPr>
            <w:tcW w:w="2355"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50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2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2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其他资金</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225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trPr>
        <w:tc>
          <w:tcPr>
            <w:tcW w:w="5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50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128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52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通过预算执行：保障通江县三溪镇中心小学，2021年6月-12月1</w:t>
            </w:r>
            <w:r>
              <w:rPr>
                <w:rFonts w:hint="eastAsia" w:ascii="宋体" w:hAnsi="宋体" w:cs="宋体"/>
                <w:color w:val="000000"/>
                <w:kern w:val="0"/>
                <w:sz w:val="20"/>
                <w:szCs w:val="20"/>
                <w:u w:val="none" w:color="46CD7E"/>
                <w:shd w:val="clear" w:fill="auto"/>
                <w:lang w:eastAsia="zh-CN"/>
              </w:rPr>
              <w:t>名</w:t>
            </w:r>
            <w:r>
              <w:rPr>
                <w:rFonts w:hint="eastAsia" w:ascii="宋体" w:hAnsi="宋体" w:cs="宋体"/>
                <w:color w:val="000000"/>
                <w:kern w:val="0"/>
                <w:sz w:val="20"/>
                <w:szCs w:val="20"/>
              </w:rPr>
              <w:t>驻村扶贫人员的办公费用</w:t>
            </w:r>
            <w:r>
              <w:t>。</w:t>
            </w:r>
          </w:p>
        </w:tc>
        <w:tc>
          <w:tcPr>
            <w:tcW w:w="450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通过预算执行：保障通江县三溪镇中心小学，2021年6-12月1日驻村扶贫人员的办公费用</w:t>
            </w:r>
            <w:r>
              <w:t>。</w:t>
            </w:r>
          </w:p>
        </w:tc>
      </w:tr>
      <w:tr>
        <w:tblPrEx>
          <w:tblCellMar>
            <w:top w:w="0" w:type="dxa"/>
            <w:left w:w="108" w:type="dxa"/>
            <w:bottom w:w="0" w:type="dxa"/>
            <w:right w:w="108" w:type="dxa"/>
          </w:tblCellMar>
        </w:tblPrEx>
        <w:trPr>
          <w:trHeight w:val="629" w:hRule="atLeast"/>
        </w:trPr>
        <w:tc>
          <w:tcPr>
            <w:tcW w:w="555"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产</w:t>
            </w:r>
          </w:p>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出</w:t>
            </w:r>
          </w:p>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指</w:t>
            </w:r>
          </w:p>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标</w:t>
            </w:r>
          </w:p>
          <w:p>
            <w:pPr>
              <w:widowControl/>
              <w:jc w:val="center"/>
              <w:textAlignment w:val="center"/>
              <w:rPr>
                <w:rFonts w:ascii="宋体" w:hAnsi="宋体" w:cs="宋体"/>
                <w:color w:val="000000"/>
                <w:sz w:val="11"/>
                <w:szCs w:val="11"/>
              </w:rPr>
            </w:pPr>
            <w:r>
              <w:t>（</w:t>
            </w:r>
            <w:r>
              <w:rPr>
                <w:rFonts w:hint="eastAsia" w:ascii="宋体" w:hAnsi="宋体" w:cs="宋体"/>
                <w:color w:val="000000"/>
                <w:kern w:val="0"/>
                <w:sz w:val="11"/>
                <w:szCs w:val="11"/>
              </w:rPr>
              <w:t>50分</w:t>
            </w:r>
            <w:r>
              <w:t>）</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数量指标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驻村扶贫人数</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1"/>
                <w:szCs w:val="1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质量指标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驻村扶贫人员办公费的报账使用率</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1"/>
                <w:szCs w:val="1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时效指标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驻村扶贫人员办公费的报账时间及时率</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1"/>
                <w:szCs w:val="1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成本指标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驻村扶贫人员办公费差旅费成本元</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12000元</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12000元</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效</w:t>
            </w:r>
          </w:p>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益</w:t>
            </w:r>
          </w:p>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指</w:t>
            </w:r>
          </w:p>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标</w:t>
            </w:r>
          </w:p>
          <w:p>
            <w:pPr>
              <w:widowControl/>
              <w:jc w:val="center"/>
              <w:textAlignment w:val="center"/>
              <w:rPr>
                <w:rFonts w:ascii="宋体" w:hAnsi="宋体" w:cs="宋体"/>
                <w:color w:val="000000"/>
                <w:sz w:val="11"/>
                <w:szCs w:val="11"/>
              </w:rPr>
            </w:pPr>
            <w:r>
              <w:t>（</w:t>
            </w:r>
            <w:r>
              <w:rPr>
                <w:rFonts w:hint="eastAsia" w:ascii="宋体" w:hAnsi="宋体" w:cs="宋体"/>
                <w:color w:val="000000"/>
                <w:kern w:val="0"/>
                <w:sz w:val="11"/>
                <w:szCs w:val="11"/>
              </w:rPr>
              <w:t>30分</w:t>
            </w:r>
            <w:r>
              <w:t>）</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经济效益</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驻村扶贫人员的增收</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5"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≥1万元</w:t>
            </w:r>
          </w:p>
        </w:tc>
        <w:tc>
          <w:tcPr>
            <w:tcW w:w="945"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≥1万元</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1"/>
                <w:szCs w:val="11"/>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1"/>
                <w:szCs w:val="11"/>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驻村贫困户增收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Style w:val="16"/>
                <w:rFonts w:hint="default"/>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Style w:val="16"/>
                <w:rFonts w:hint="default"/>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1"/>
                <w:szCs w:val="11"/>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社会效益</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对驻村干部的认可度</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1"/>
                <w:szCs w:val="11"/>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生态效益</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精准扶贫活动，改善人居环境</w:t>
            </w:r>
            <w: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1"/>
                <w:szCs w:val="1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对社会未来可持续发展的影响</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满意度指标</w:t>
            </w:r>
          </w:p>
          <w:p>
            <w:pPr>
              <w:widowControl/>
              <w:jc w:val="center"/>
              <w:textAlignment w:val="center"/>
              <w:rPr>
                <w:rFonts w:ascii="宋体" w:hAnsi="宋体" w:cs="宋体"/>
                <w:color w:val="000000"/>
                <w:sz w:val="11"/>
                <w:szCs w:val="11"/>
              </w:rPr>
            </w:pPr>
            <w:r>
              <w:t>（</w:t>
            </w:r>
            <w:r>
              <w:rPr>
                <w:rFonts w:hint="eastAsia" w:ascii="宋体" w:hAnsi="宋体" w:cs="宋体"/>
                <w:color w:val="000000"/>
                <w:kern w:val="0"/>
                <w:sz w:val="11"/>
                <w:szCs w:val="11"/>
              </w:rPr>
              <w:t>10分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1"/>
                <w:szCs w:val="11"/>
              </w:rPr>
            </w:pPr>
            <w:r>
              <w:rPr>
                <w:rFonts w:hint="eastAsia" w:ascii="宋体" w:hAnsi="宋体" w:cs="宋体"/>
                <w:color w:val="000000"/>
                <w:kern w:val="0"/>
                <w:sz w:val="11"/>
                <w:szCs w:val="11"/>
              </w:rPr>
              <w:t>服务对象</w:t>
            </w:r>
          </w:p>
          <w:p>
            <w:pPr>
              <w:widowControl/>
              <w:jc w:val="center"/>
              <w:textAlignment w:val="center"/>
              <w:rPr>
                <w:rFonts w:ascii="宋体" w:hAnsi="宋体" w:cs="宋体"/>
                <w:color w:val="000000"/>
                <w:sz w:val="11"/>
                <w:szCs w:val="11"/>
              </w:rPr>
            </w:pPr>
            <w:r>
              <w:rPr>
                <w:rFonts w:hint="eastAsia" w:ascii="宋体" w:hAnsi="宋体" w:cs="宋体"/>
                <w:color w:val="000000"/>
                <w:kern w:val="0"/>
                <w:sz w:val="11"/>
                <w:szCs w:val="11"/>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帮扶对象的满意度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9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47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25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39" w:hRule="atLeast"/>
        </w:trPr>
        <w:tc>
          <w:tcPr>
            <w:tcW w:w="10575" w:type="dxa"/>
            <w:gridSpan w:val="11"/>
            <w:tcBorders>
              <w:top w:val="single" w:color="000000" w:sz="4" w:space="0"/>
              <w:left w:val="nil"/>
              <w:bottom w:val="nil"/>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注：1</w:t>
            </w:r>
            <w:r>
              <w:rPr>
                <w:rStyle w:val="31"/>
                <w:rFonts w:hint="default"/>
              </w:rPr>
              <w:t>.一级指标分值统一设置为：产出指标50分、</w:t>
            </w:r>
            <w:r>
              <w:t>效益指</w:t>
            </w:r>
            <w:r>
              <w:rPr>
                <w:rStyle w:val="31"/>
                <w:rFonts w:hint="default"/>
              </w:rPr>
              <w:t>标30分、</w:t>
            </w:r>
            <w:r>
              <w:t>满意度指</w:t>
            </w:r>
            <w:r>
              <w:rPr>
                <w:rStyle w:val="31"/>
                <w:rFonts w:hint="default"/>
              </w:rPr>
              <w:t>标10分、</w:t>
            </w:r>
            <w:r>
              <w:t>预算资金执行</w:t>
            </w:r>
            <w:r>
              <w:rPr>
                <w:rStyle w:val="31"/>
                <w:rFonts w:hint="default"/>
              </w:rPr>
              <w:t>率10分。如有特殊情况，上述权重可做适当调整，但加总后应等于100分。各部</w:t>
            </w:r>
            <w:r>
              <w:t>门根据各项指标重要程度确定三级指标的分值。得分最高不能超过该指标分值上限。</w:t>
            </w:r>
          </w:p>
        </w:tc>
      </w:tr>
      <w:tr>
        <w:tblPrEx>
          <w:tblCellMar>
            <w:top w:w="0" w:type="dxa"/>
            <w:left w:w="108" w:type="dxa"/>
            <w:bottom w:w="0" w:type="dxa"/>
            <w:right w:w="108" w:type="dxa"/>
          </w:tblCellMar>
        </w:tblPrEx>
        <w:trPr>
          <w:trHeight w:val="469" w:hRule="atLeast"/>
        </w:trPr>
        <w:tc>
          <w:tcPr>
            <w:tcW w:w="10575" w:type="dxa"/>
            <w:gridSpan w:val="11"/>
            <w:tcBorders>
              <w:top w:val="nil"/>
              <w:left w:val="nil"/>
              <w:bottom w:val="nil"/>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2.定性指标根据指标完成情况分为：达成预期指标、部分达成预期指标并具有一定效果、未达成预期指标且效果较差三档，分别按照该指标对应分值区间100%</w:t>
            </w:r>
            <w:r>
              <w:t>～</w:t>
            </w:r>
            <w:r>
              <w:rPr>
                <w:rFonts w:hint="eastAsia" w:ascii="宋体" w:hAnsi="宋体" w:cs="宋体"/>
                <w:color w:val="000000"/>
                <w:kern w:val="0"/>
                <w:sz w:val="18"/>
                <w:szCs w:val="18"/>
              </w:rPr>
              <w:t>80%</w:t>
            </w:r>
            <w:r>
              <w:t>（</w:t>
            </w:r>
            <w:r>
              <w:rPr>
                <w:rFonts w:hint="eastAsia" w:ascii="宋体" w:hAnsi="宋体" w:cs="宋体"/>
                <w:color w:val="000000"/>
                <w:kern w:val="0"/>
                <w:sz w:val="18"/>
                <w:szCs w:val="18"/>
              </w:rPr>
              <w:t>含80%</w:t>
            </w:r>
            <w:r>
              <w:t>）</w:t>
            </w:r>
            <w:r>
              <w:rPr>
                <w:rFonts w:hint="eastAsia" w:ascii="宋体" w:hAnsi="宋体" w:cs="宋体"/>
                <w:color w:val="000000"/>
                <w:kern w:val="0"/>
                <w:sz w:val="18"/>
                <w:szCs w:val="18"/>
              </w:rPr>
              <w:t>、80%</w:t>
            </w:r>
            <w:r>
              <w:t>～</w:t>
            </w:r>
            <w:r>
              <w:rPr>
                <w:rFonts w:hint="eastAsia" w:ascii="宋体" w:hAnsi="宋体" w:cs="宋体"/>
                <w:color w:val="000000"/>
                <w:kern w:val="0"/>
                <w:sz w:val="18"/>
                <w:szCs w:val="18"/>
              </w:rPr>
              <w:t>60%</w:t>
            </w:r>
            <w:r>
              <w:t>（</w:t>
            </w:r>
            <w:r>
              <w:rPr>
                <w:rFonts w:hint="eastAsia" w:ascii="宋体" w:hAnsi="宋体" w:cs="宋体"/>
                <w:color w:val="000000"/>
                <w:kern w:val="0"/>
                <w:sz w:val="18"/>
                <w:szCs w:val="18"/>
              </w:rPr>
              <w:t>含60%</w:t>
            </w:r>
            <w:r>
              <w:t>）</w:t>
            </w:r>
            <w:r>
              <w:rPr>
                <w:rFonts w:hint="eastAsia" w:ascii="宋体" w:hAnsi="宋体" w:cs="宋体"/>
                <w:color w:val="000000"/>
                <w:kern w:val="0"/>
                <w:sz w:val="18"/>
                <w:szCs w:val="18"/>
              </w:rPr>
              <w:t>、60%</w:t>
            </w:r>
            <w:r>
              <w:t>～</w:t>
            </w:r>
            <w:r>
              <w:rPr>
                <w:rFonts w:hint="eastAsia" w:ascii="宋体" w:hAnsi="宋体" w:cs="宋体"/>
                <w:color w:val="000000"/>
                <w:kern w:val="0"/>
                <w:sz w:val="18"/>
                <w:szCs w:val="18"/>
              </w:rPr>
              <w:t>0%合理确定得分。</w:t>
            </w:r>
          </w:p>
        </w:tc>
      </w:tr>
      <w:tr>
        <w:tblPrEx>
          <w:tblCellMar>
            <w:top w:w="0" w:type="dxa"/>
            <w:left w:w="108" w:type="dxa"/>
            <w:bottom w:w="0" w:type="dxa"/>
            <w:right w:w="108" w:type="dxa"/>
          </w:tblCellMar>
        </w:tblPrEx>
        <w:trPr>
          <w:trHeight w:val="720" w:hRule="atLeast"/>
        </w:trPr>
        <w:tc>
          <w:tcPr>
            <w:tcW w:w="10575" w:type="dxa"/>
            <w:gridSpan w:val="11"/>
            <w:tcBorders>
              <w:top w:val="nil"/>
              <w:left w:val="nil"/>
              <w:bottom w:val="nil"/>
              <w:right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w:t>
            </w:r>
            <w:r>
              <w:rPr>
                <w:rStyle w:val="31"/>
                <w:rFonts w:hint="default"/>
              </w:rPr>
              <w:t>≥*），则得分计算方法应用</w:t>
            </w:r>
            <w:r>
              <w:t>全年实际</w:t>
            </w:r>
            <w:r>
              <w:rPr>
                <w:rStyle w:val="31"/>
                <w:rFonts w:hint="default"/>
              </w:rPr>
              <w:t>值/年度指标值</w:t>
            </w:r>
            <w:r>
              <w:rPr>
                <w:rFonts w:hint="eastAsia" w:ascii="宋体" w:hAnsi="宋体" w:cs="宋体"/>
                <w:color w:val="000000"/>
                <w:kern w:val="0"/>
                <w:sz w:val="12"/>
                <w:szCs w:val="12"/>
              </w:rPr>
              <w:t>╳</w:t>
            </w:r>
            <w:r>
              <w:rPr>
                <w:rStyle w:val="31"/>
                <w:rFonts w:hint="default"/>
              </w:rPr>
              <w:t>该指标分值；若定量指标为反向指标（即指标值为≤*），则得分计算方法应用</w:t>
            </w:r>
            <w:r>
              <w:t>年度指标</w:t>
            </w:r>
            <w:r>
              <w:rPr>
                <w:rStyle w:val="31"/>
                <w:rFonts w:hint="default"/>
              </w:rPr>
              <w:t>值/全年实际值</w:t>
            </w:r>
            <w:r>
              <w:rPr>
                <w:rFonts w:hint="eastAsia" w:ascii="宋体" w:hAnsi="宋体" w:cs="宋体"/>
                <w:color w:val="000000"/>
                <w:kern w:val="0"/>
                <w:sz w:val="12"/>
                <w:szCs w:val="12"/>
              </w:rPr>
              <w:t>╳</w:t>
            </w:r>
            <w:r>
              <w:rPr>
                <w:rStyle w:val="31"/>
                <w:rFonts w:hint="default"/>
              </w:rPr>
              <w:t>该指标分值；定量指标得分最高不得超过该指标分值上限。</w:t>
            </w:r>
          </w:p>
        </w:tc>
      </w:tr>
    </w:tbl>
    <w:p>
      <w:pPr>
        <w:spacing w:line="580" w:lineRule="exact"/>
        <w:rPr>
          <w:rFonts w:ascii="仿宋_GB2312" w:hAnsi="仿宋_GB2312" w:eastAsia="仿宋_GB2312" w:cs="仿宋_GB2312"/>
          <w:sz w:val="32"/>
          <w:szCs w:val="32"/>
        </w:rPr>
      </w:pPr>
    </w:p>
    <w:p>
      <w:pPr>
        <w:spacing w:line="600" w:lineRule="exact"/>
        <w:jc w:val="left"/>
        <w:outlineLvl w:val="0"/>
        <w:rPr>
          <w:rFonts w:ascii="仿宋_GB2312" w:hAnsi="华文中宋" w:eastAsia="仿宋_GB2312" w:cs="宋体"/>
          <w:color w:val="000000"/>
          <w:kern w:val="0"/>
          <w:sz w:val="32"/>
          <w:szCs w:val="32"/>
        </w:rPr>
      </w:pPr>
      <w:bookmarkStart w:id="64" w:name="_Toc26847"/>
      <w:bookmarkStart w:id="65" w:name="_Toc15377226"/>
      <w:r>
        <w:rPr>
          <w:rFonts w:hint="eastAsia" w:ascii="黑体" w:hAnsi="黑体" w:eastAsia="黑体" w:cs="黑体"/>
          <w:sz w:val="32"/>
          <w:szCs w:val="32"/>
        </w:rPr>
        <w:t>附件2</w:t>
      </w:r>
      <w:bookmarkEnd w:id="64"/>
    </w:p>
    <w:p>
      <w:pPr>
        <w:jc w:val="center"/>
        <w:rPr>
          <w:rFonts w:ascii="华文中宋" w:hAnsi="华文中宋" w:eastAsia="华文中宋"/>
          <w:b/>
          <w:sz w:val="40"/>
          <w:szCs w:val="40"/>
        </w:rPr>
      </w:pPr>
      <w:r>
        <w:rPr>
          <w:rFonts w:hint="eastAsia" w:ascii="华文中宋" w:hAnsi="华文中宋" w:eastAsia="华文中宋"/>
          <w:b/>
          <w:sz w:val="40"/>
          <w:szCs w:val="40"/>
        </w:rPr>
        <w:t>通江县三溪镇中心小学</w:t>
      </w:r>
    </w:p>
    <w:p>
      <w:pPr>
        <w:pStyle w:val="47"/>
        <w:spacing w:line="240" w:lineRule="auto"/>
        <w:jc w:val="center"/>
        <w:rPr>
          <w:rFonts w:ascii="华文中宋" w:hAnsi="华文中宋" w:eastAsia="华文中宋"/>
          <w:b/>
          <w:sz w:val="36"/>
          <w:szCs w:val="36"/>
        </w:rPr>
      </w:pPr>
      <w:r>
        <w:rPr>
          <w:rFonts w:hint="eastAsia" w:ascii="华文中宋" w:hAnsi="华文中宋" w:eastAsia="华文中宋"/>
          <w:b/>
          <w:sz w:val="36"/>
          <w:szCs w:val="36"/>
        </w:rPr>
        <w:t>关于2021年度房屋建筑构建及维修项目绩效自评</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报告</w:t>
      </w:r>
    </w:p>
    <w:p>
      <w:pPr>
        <w:pStyle w:val="47"/>
        <w:spacing w:line="240" w:lineRule="auto"/>
        <w:rPr>
          <w:rFonts w:ascii="宋体" w:hAnsi="宋体"/>
          <w:b/>
          <w:bCs/>
          <w:sz w:val="32"/>
          <w:szCs w:val="32"/>
        </w:rPr>
      </w:pPr>
    </w:p>
    <w:p>
      <w:pPr>
        <w:pStyle w:val="47"/>
        <w:spacing w:line="240" w:lineRule="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一、基本情况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通江县三溪镇中心小学属财政拨款事业单位，编制数45人，在岗教职工46人，现有学生240人（其中幼儿学生67人）。2021年房屋建筑构建600000元，我校已于2021年完成，完成了房屋建筑构建绩效目标。</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二、资金使用情况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（一）资金使用。</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截止评价时资金的实际支出为600000元，全部用于学校房屋维修及构建，支出依据合规合法，资金支付与预算相符。</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（二）组织实施情况。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免作业本费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三、目标完成情况</w:t>
      </w:r>
      <w:r>
        <w:rPr>
          <w:rFonts w:hint="eastAsia" w:ascii="仿宋_GB2312" w:hAnsi="仿宋" w:eastAsia="仿宋_GB2312"/>
          <w:sz w:val="32"/>
          <w:szCs w:val="32"/>
        </w:rPr>
        <w:tab/>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（一）目标任务量完成情况。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校舍维修完成了学期目标任务，达到了相关要求，学校工作取得了较好成效。</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（二）目标质量完成情况。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按照年初目标任务，实际完成较好。</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（三）目标进度完成情况。</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对照预定计划，校舍维修完成了目标任务。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四、项目效益情况</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实施了目标绩效考核，学校各方面工作都</w:t>
      </w:r>
      <w:r>
        <w:rPr>
          <w:rFonts w:hint="eastAsia" w:ascii="仿宋_GB2312" w:hAnsi="仿宋" w:eastAsia="仿宋_GB2312"/>
          <w:sz w:val="32"/>
          <w:szCs w:val="32"/>
          <w:u w:val="none" w:color="46CD7E"/>
          <w:shd w:val="clear" w:fill="auto"/>
          <w:lang w:eastAsia="zh-CN"/>
        </w:rPr>
        <w:t>有序完成</w:t>
      </w:r>
      <w:r>
        <w:rPr>
          <w:rFonts w:hint="eastAsia" w:ascii="仿宋_GB2312" w:hAnsi="仿宋" w:eastAsia="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五、问题及建议</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spacing w:line="640" w:lineRule="exact"/>
        <w:rPr>
          <w:rFonts w:ascii="仿宋_GB2312" w:hAnsi="华文中宋" w:eastAsia="仿宋_GB2312" w:cs="宋体"/>
          <w:color w:val="000000"/>
          <w:kern w:val="0"/>
          <w:sz w:val="32"/>
          <w:szCs w:val="32"/>
        </w:rPr>
      </w:pPr>
    </w:p>
    <w:p>
      <w:pPr>
        <w:jc w:val="center"/>
        <w:rPr>
          <w:rFonts w:ascii="华文中宋" w:hAnsi="华文中宋" w:eastAsia="华文中宋"/>
          <w:b/>
          <w:sz w:val="40"/>
          <w:szCs w:val="40"/>
        </w:rPr>
      </w:pPr>
      <w:r>
        <w:rPr>
          <w:rFonts w:hint="eastAsia" w:ascii="华文中宋" w:hAnsi="华文中宋" w:eastAsia="华文中宋"/>
          <w:b/>
          <w:sz w:val="40"/>
          <w:szCs w:val="40"/>
        </w:rPr>
        <w:t>通江县三溪镇中心小学</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u w:val="none" w:color="46CD7E"/>
          <w:shd w:val="clear" w:fill="auto"/>
        </w:rPr>
        <w:t>关于2021年度“三儿”资金绩效自评报告</w:t>
      </w:r>
    </w:p>
    <w:p>
      <w:pPr>
        <w:pStyle w:val="47"/>
        <w:spacing w:line="240" w:lineRule="auto"/>
        <w:rPr>
          <w:rFonts w:ascii="宋体" w:hAnsi="宋体"/>
          <w:b/>
          <w:bCs/>
          <w:sz w:val="32"/>
          <w:szCs w:val="32"/>
        </w:rPr>
      </w:pPr>
    </w:p>
    <w:p>
      <w:pPr>
        <w:pStyle w:val="47"/>
        <w:spacing w:line="240" w:lineRule="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一、基本情况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通江县三溪镇中心小学属财政拨款事业单位，编制数49人，在岗教职工46人，现有幼儿和学生67人。</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二、资金使用情况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（一）资金使用。</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u w:val="none" w:color="46CD7E"/>
          <w:shd w:val="clear" w:fill="auto"/>
          <w:lang w:eastAsia="zh-CN"/>
        </w:rPr>
        <w:t>截至</w:t>
      </w:r>
      <w:r>
        <w:rPr>
          <w:rFonts w:hint="eastAsia" w:ascii="仿宋_GB2312" w:hAnsi="仿宋" w:eastAsia="仿宋_GB2312"/>
          <w:sz w:val="32"/>
          <w:szCs w:val="32"/>
        </w:rPr>
        <w:t>评价时资金的实际支出为18000元，用于学校全部用于幼儿园“三儿”支出，支出依据合规合法，资金支付与预算相符。</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（二）组织实施情况。</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三、目标完成情况</w:t>
      </w:r>
      <w:r>
        <w:rPr>
          <w:rFonts w:hint="eastAsia" w:ascii="仿宋_GB2312" w:hAnsi="仿宋" w:eastAsia="仿宋_GB2312"/>
          <w:sz w:val="32"/>
          <w:szCs w:val="32"/>
        </w:rPr>
        <w:tab/>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（一）目标任务量完成情况。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u w:val="none" w:color="46CD7E"/>
          <w:shd w:val="clear" w:fill="auto"/>
        </w:rPr>
        <w:t>“三儿”资金完成了学期目标任务。</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（二）目标质量完成情况。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按照年初目标任务，实际完成较好。</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四、项目效益情况</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实施了目标绩效考核，学校各方面工作都</w:t>
      </w:r>
      <w:r>
        <w:rPr>
          <w:rFonts w:hint="eastAsia" w:ascii="仿宋_GB2312" w:hAnsi="仿宋" w:eastAsia="仿宋_GB2312"/>
          <w:sz w:val="32"/>
          <w:szCs w:val="32"/>
          <w:u w:val="none" w:color="46CD7E"/>
          <w:shd w:val="clear" w:fill="auto"/>
          <w:lang w:eastAsia="zh-CN"/>
        </w:rPr>
        <w:t>有序完成</w:t>
      </w:r>
      <w:r>
        <w:rPr>
          <w:rFonts w:hint="eastAsia" w:ascii="仿宋_GB2312" w:hAnsi="仿宋" w:eastAsia="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五、问题及建议</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ascii="仿宋_GB2312" w:hAnsi="仿宋" w:eastAsia="仿宋_GB2312"/>
          <w:sz w:val="30"/>
          <w:szCs w:val="30"/>
        </w:rPr>
      </w:pPr>
    </w:p>
    <w:p>
      <w:pPr>
        <w:widowControl/>
        <w:spacing w:line="240" w:lineRule="exact"/>
        <w:rPr>
          <w:rFonts w:ascii="仿宋_GB2312" w:hAnsi="华文中宋" w:eastAsia="仿宋_GB2312" w:cs="宋体"/>
          <w:color w:val="000000"/>
          <w:kern w:val="0"/>
          <w:sz w:val="32"/>
          <w:szCs w:val="32"/>
        </w:rPr>
      </w:pPr>
    </w:p>
    <w:p>
      <w:pPr>
        <w:jc w:val="center"/>
        <w:rPr>
          <w:rFonts w:ascii="华文中宋" w:hAnsi="华文中宋" w:eastAsia="华文中宋"/>
          <w:b/>
          <w:sz w:val="40"/>
          <w:szCs w:val="40"/>
        </w:rPr>
      </w:pPr>
      <w:r>
        <w:rPr>
          <w:rFonts w:hint="eastAsia" w:ascii="华文中宋" w:hAnsi="华文中宋" w:eastAsia="华文中宋"/>
          <w:b/>
          <w:sz w:val="40"/>
          <w:szCs w:val="40"/>
        </w:rPr>
        <w:t>通江县三溪镇中心小学</w:t>
      </w:r>
    </w:p>
    <w:p>
      <w:pPr>
        <w:pStyle w:val="47"/>
        <w:spacing w:line="240" w:lineRule="auto"/>
        <w:jc w:val="center"/>
        <w:rPr>
          <w:rFonts w:ascii="华文中宋" w:hAnsi="华文中宋" w:eastAsia="华文中宋"/>
          <w:b/>
          <w:sz w:val="36"/>
          <w:szCs w:val="36"/>
        </w:rPr>
      </w:pPr>
      <w:r>
        <w:rPr>
          <w:rFonts w:hint="eastAsia" w:ascii="华文中宋" w:hAnsi="华文中宋" w:eastAsia="华文中宋"/>
          <w:b/>
          <w:sz w:val="36"/>
          <w:szCs w:val="36"/>
        </w:rPr>
        <w:t>关于2021年度学生营养餐及免作业本资金绩效自评</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报告</w:t>
      </w:r>
    </w:p>
    <w:p>
      <w:pPr>
        <w:pStyle w:val="47"/>
        <w:spacing w:line="240" w:lineRule="auto"/>
        <w:rPr>
          <w:rFonts w:ascii="宋体" w:hAnsi="宋体"/>
          <w:b/>
          <w:bCs/>
          <w:sz w:val="32"/>
          <w:szCs w:val="32"/>
        </w:rPr>
      </w:pPr>
    </w:p>
    <w:p>
      <w:pPr>
        <w:pStyle w:val="47"/>
        <w:spacing w:line="240" w:lineRule="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一、基本情况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通江县三溪镇中心小学属财政拨款事业单位，编制数45人，在岗教职工46人，现有学生173人。2021年学生营养餐及免作业本资金支出217560元，我校已于2021年完成，完成了营养学生营养餐及免作业本资金的绩效目标。</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二、资金使用情况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（一）资金使用。</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u w:val="none" w:color="46CD7E"/>
          <w:shd w:val="clear" w:fill="auto"/>
          <w:lang w:eastAsia="zh-CN"/>
        </w:rPr>
        <w:t>截至</w:t>
      </w:r>
      <w:r>
        <w:rPr>
          <w:rFonts w:hint="eastAsia" w:ascii="仿宋_GB2312" w:hAnsi="仿宋" w:eastAsia="仿宋_GB2312"/>
          <w:sz w:val="32"/>
          <w:szCs w:val="32"/>
        </w:rPr>
        <w:t>评价时资金的实际支出为217560元，全部用于学生的学生营养餐及免作业本补助，支出依据合规合法，资金支付与预算相符。</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（二）组织实施情况。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学生营养餐及免作业本资金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三、目标完成情况</w:t>
      </w:r>
      <w:r>
        <w:rPr>
          <w:rFonts w:hint="eastAsia" w:ascii="仿宋_GB2312" w:hAnsi="仿宋" w:eastAsia="仿宋_GB2312"/>
          <w:sz w:val="32"/>
          <w:szCs w:val="32"/>
        </w:rPr>
        <w:tab/>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（一）目标任务量完成情况。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学生营养餐及免作业班资金完成了学期目标任务，达到了相关要求，学校工作取得了较好成效。</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（二）目标质量完成情况。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按照年初目标任务，实际完成较好。</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（三）目标进度完成情况。</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四、项目效益情况</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实施了目标绩效考核，学校各方面工作都</w:t>
      </w:r>
      <w:r>
        <w:rPr>
          <w:rFonts w:hint="eastAsia" w:ascii="仿宋_GB2312" w:hAnsi="仿宋" w:eastAsia="仿宋_GB2312"/>
          <w:sz w:val="32"/>
          <w:szCs w:val="32"/>
          <w:u w:val="none" w:color="46CD7E"/>
          <w:shd w:val="clear" w:fill="auto"/>
          <w:lang w:eastAsia="zh-CN"/>
        </w:rPr>
        <w:t>有序完成</w:t>
      </w:r>
      <w:r>
        <w:rPr>
          <w:rFonts w:hint="eastAsia" w:ascii="仿宋_GB2312" w:hAnsi="仿宋" w:eastAsia="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五、问题及建议</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ascii="仿宋_GB2312" w:hAnsi="仿宋" w:eastAsia="仿宋_GB2312"/>
          <w:sz w:val="30"/>
          <w:szCs w:val="30"/>
        </w:rPr>
      </w:pPr>
    </w:p>
    <w:p>
      <w:pPr>
        <w:ind w:firstLine="2803" w:firstLineChars="700"/>
        <w:rPr>
          <w:rFonts w:ascii="华文中宋" w:hAnsi="华文中宋" w:eastAsia="华文中宋"/>
          <w:b/>
          <w:sz w:val="40"/>
          <w:szCs w:val="40"/>
        </w:rPr>
      </w:pPr>
      <w:r>
        <w:rPr>
          <w:rFonts w:hint="eastAsia" w:ascii="华文中宋" w:hAnsi="华文中宋" w:eastAsia="华文中宋"/>
          <w:b/>
          <w:sz w:val="40"/>
          <w:szCs w:val="40"/>
        </w:rPr>
        <w:t>通江县三溪镇中心小学</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关于2021年度贫困生补助绩效自评</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报告</w:t>
      </w:r>
    </w:p>
    <w:p>
      <w:pPr>
        <w:pStyle w:val="47"/>
        <w:spacing w:line="240" w:lineRule="auto"/>
        <w:rPr>
          <w:rFonts w:ascii="宋体" w:hAnsi="宋体"/>
          <w:b/>
          <w:bCs/>
          <w:sz w:val="32"/>
          <w:szCs w:val="32"/>
        </w:rPr>
      </w:pPr>
    </w:p>
    <w:p>
      <w:pPr>
        <w:pStyle w:val="47"/>
        <w:spacing w:line="240" w:lineRule="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人员的积极性。根据四川省教育系统绩效考核标准及通江县财政局关于全面实施预算绩效管理的通知通财预【2022】13号文件精神，我校进行了自查自评，现将绩效自查情况报告如下：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一、基本情况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通江县三溪镇中心小学属财政拨款事业单位，编制数45人，在岗教职工46人，现有学生173人。2021年贫困生164人共计补助支出73500元，我校已于2021年完成，完成了贫困住宿生补助绩效目标。</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二、资金使用情况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（一）资金使用。</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截止评价时资金的实际支出为73500元，用于学校贫困住宿生生活补助发放，支出依据合规合法，资金支付与预算相符。</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（二）组织实施情况。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贫困住宿生补助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三、目标完成情况</w:t>
      </w:r>
      <w:r>
        <w:rPr>
          <w:rFonts w:hint="eastAsia" w:ascii="仿宋_GB2312" w:hAnsi="仿宋" w:eastAsia="仿宋_GB2312"/>
          <w:sz w:val="32"/>
          <w:szCs w:val="32"/>
        </w:rPr>
        <w:tab/>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（一）目标任务量完成情况。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贫困住宿生补助完成了学期目标任务，达到了相关要求，学校工作取得了较好成效。</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（二）目标质量完成情况。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按照年初目标任务，实际完成较好。</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（三）目标进度完成情况。</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对照预定计划，贫困住宿生补助完成了目标任务。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四、项目效益情况</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实施了目标绩效考核，学校各方面工作都</w:t>
      </w:r>
      <w:r>
        <w:rPr>
          <w:rFonts w:hint="eastAsia" w:ascii="仿宋_GB2312" w:hAnsi="仿宋" w:eastAsia="仿宋_GB2312"/>
          <w:sz w:val="32"/>
          <w:szCs w:val="32"/>
          <w:u w:val="none" w:color="46CD7E"/>
          <w:shd w:val="clear" w:fill="auto"/>
          <w:lang w:eastAsia="zh-CN"/>
        </w:rPr>
        <w:t>有序完成</w:t>
      </w:r>
      <w:r>
        <w:rPr>
          <w:rFonts w:hint="eastAsia" w:ascii="仿宋_GB2312" w:hAnsi="仿宋" w:eastAsia="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五、问题及建议</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520" w:lineRule="exact"/>
        <w:rPr>
          <w:color w:val="000000"/>
          <w:sz w:val="32"/>
          <w:szCs w:val="32"/>
        </w:rPr>
      </w:pPr>
    </w:p>
    <w:p>
      <w:pPr>
        <w:spacing w:line="520" w:lineRule="exact"/>
        <w:rPr>
          <w:color w:val="000000"/>
          <w:sz w:val="28"/>
          <w:szCs w:val="28"/>
        </w:rPr>
      </w:pPr>
    </w:p>
    <w:p>
      <w:pPr>
        <w:spacing w:line="520" w:lineRule="exact"/>
        <w:rPr>
          <w:color w:val="000000"/>
          <w:sz w:val="28"/>
          <w:szCs w:val="28"/>
        </w:rPr>
      </w:pPr>
    </w:p>
    <w:p>
      <w:pPr>
        <w:spacing w:line="600" w:lineRule="exact"/>
        <w:jc w:val="center"/>
        <w:rPr>
          <w:rStyle w:val="19"/>
          <w:rFonts w:ascii="黑体" w:hAnsi="黑体" w:eastAsia="黑体"/>
          <w:b w:val="0"/>
        </w:rPr>
      </w:pPr>
    </w:p>
    <w:p>
      <w:pPr>
        <w:ind w:firstLine="2402" w:firstLineChars="600"/>
        <w:rPr>
          <w:rFonts w:ascii="华文中宋" w:hAnsi="华文中宋" w:eastAsia="华文中宋"/>
          <w:b/>
          <w:sz w:val="40"/>
          <w:szCs w:val="40"/>
        </w:rPr>
      </w:pPr>
      <w:r>
        <w:rPr>
          <w:rFonts w:hint="eastAsia" w:ascii="华文中宋" w:hAnsi="华文中宋" w:eastAsia="华文中宋"/>
          <w:b/>
          <w:sz w:val="40"/>
          <w:szCs w:val="40"/>
        </w:rPr>
        <w:t>通江县三溪镇中心小学</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关于学校2021年度扶贫支出绩效自评</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报告</w:t>
      </w:r>
    </w:p>
    <w:p>
      <w:pPr>
        <w:pStyle w:val="47"/>
        <w:spacing w:line="240" w:lineRule="auto"/>
        <w:rPr>
          <w:rFonts w:ascii="宋体" w:hAnsi="宋体"/>
          <w:b/>
          <w:bCs/>
          <w:sz w:val="32"/>
          <w:szCs w:val="32"/>
        </w:rPr>
      </w:pPr>
    </w:p>
    <w:p>
      <w:pPr>
        <w:pStyle w:val="47"/>
        <w:spacing w:line="240" w:lineRule="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人员的积极性。根据四川省教育系统绩效考核标准及通江县财政局关于全面实施预算绩效管理的通知通财预</w:t>
      </w:r>
      <w:r>
        <w:rPr>
          <w:rFonts w:hint="eastAsia" w:ascii="仿宋_GB2312" w:hAnsi="华文中宋" w:eastAsia="仿宋_GB2312"/>
          <w:sz w:val="32"/>
          <w:szCs w:val="32"/>
        </w:rPr>
        <w:t>〔2021〕13</w:t>
      </w:r>
      <w:r>
        <w:rPr>
          <w:rFonts w:hint="eastAsia" w:ascii="仿宋_GB2312" w:hAnsi="仿宋" w:eastAsia="仿宋_GB2312" w:cs="Times New Roman"/>
          <w:color w:val="auto"/>
          <w:kern w:val="2"/>
          <w:sz w:val="32"/>
          <w:szCs w:val="32"/>
        </w:rPr>
        <w:t>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一、基本情况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通江县三溪镇中心小学属财政拨款事业单位，编制数45人，在岗教职工46人，现有学生173人。2021年决算总支出7,36.9288万元，扶贫项目（6-12月）支出1.2万元，我校专项工作均已于2021年完成，完成了绩效目标。</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二、资金使用情况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（一）资金使用。</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我校2021年6月派遣1名驻村干部，财政共拨款10000元，用于学校1位驻村扶贫教师的差旅补助及办公支出，支出依据合规合法，资金支付与预算相符。</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（二）组织实施情况。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三、目标完成情况</w:t>
      </w:r>
      <w:r>
        <w:rPr>
          <w:rFonts w:hint="eastAsia" w:ascii="仿宋_GB2312" w:hAnsi="仿宋" w:eastAsia="仿宋_GB2312"/>
          <w:sz w:val="32"/>
          <w:szCs w:val="32"/>
        </w:rPr>
        <w:tab/>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（一）目标任务量完成情况。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驻村干部完成了目标任务，达到了相关要求，推动帮扶工作有序开展。</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（二）目标质量完成情况。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按照年初目标任务，实际扶贫工作完成较好，扶贫干部做得很优秀。</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（三）目标进度完成情况。</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四、项目效益情况</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实施扶贫支出项目，充分调动了扶贫干部的积极性，驻村干部都有序，高质量地完成工作，产生了较好的社会效益。</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五、问题及建议</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adjustRightInd w:val="0"/>
        <w:snapToGrid w:val="0"/>
        <w:spacing w:line="560" w:lineRule="exact"/>
        <w:ind w:firstLine="720"/>
        <w:rPr>
          <w:rFonts w:ascii="仿宋_GB2312" w:hAnsi="仿宋" w:eastAsia="仿宋_GB2312"/>
          <w:sz w:val="32"/>
          <w:szCs w:val="32"/>
        </w:rPr>
      </w:pPr>
    </w:p>
    <w:p>
      <w:pPr>
        <w:spacing w:line="520" w:lineRule="exact"/>
        <w:rPr>
          <w:color w:val="000000"/>
          <w:sz w:val="28"/>
          <w:szCs w:val="28"/>
        </w:rPr>
      </w:pPr>
    </w:p>
    <w:p>
      <w:pPr>
        <w:widowControl/>
        <w:spacing w:line="720" w:lineRule="auto"/>
        <w:jc w:val="center"/>
        <w:rPr>
          <w:rFonts w:ascii="仿宋_GB2312" w:hAnsi="华文中宋" w:eastAsia="仿宋_GB2312" w:cs="宋体"/>
          <w:color w:val="000000"/>
          <w:kern w:val="0"/>
          <w:sz w:val="32"/>
          <w:szCs w:val="32"/>
        </w:rPr>
      </w:pPr>
    </w:p>
    <w:p>
      <w:pPr>
        <w:pStyle w:val="3"/>
        <w:spacing w:before="93"/>
        <w:rPr>
          <w:rFonts w:hAnsi="华文中宋" w:cs="宋体"/>
          <w:color w:val="000000"/>
          <w:sz w:val="32"/>
          <w:szCs w:val="32"/>
        </w:rPr>
      </w:pPr>
    </w:p>
    <w:p>
      <w:pPr>
        <w:pStyle w:val="3"/>
        <w:spacing w:before="93"/>
        <w:rPr>
          <w:rFonts w:hAnsi="华文中宋" w:cs="宋体"/>
          <w:color w:val="000000"/>
          <w:sz w:val="32"/>
          <w:szCs w:val="32"/>
        </w:rPr>
      </w:pPr>
    </w:p>
    <w:p>
      <w:pPr>
        <w:jc w:val="center"/>
        <w:rPr>
          <w:rFonts w:ascii="华文中宋" w:hAnsi="华文中宋" w:eastAsia="华文中宋"/>
          <w:b/>
          <w:sz w:val="40"/>
          <w:szCs w:val="40"/>
        </w:rPr>
      </w:pPr>
    </w:p>
    <w:p>
      <w:pPr>
        <w:jc w:val="center"/>
        <w:rPr>
          <w:rFonts w:ascii="华文中宋" w:hAnsi="华文中宋" w:eastAsia="华文中宋"/>
          <w:b/>
          <w:sz w:val="40"/>
          <w:szCs w:val="40"/>
        </w:rPr>
      </w:pPr>
    </w:p>
    <w:p>
      <w:pPr>
        <w:widowControl/>
        <w:spacing w:line="240" w:lineRule="exact"/>
        <w:rPr>
          <w:rFonts w:ascii="仿宋_GB2312" w:hAnsi="华文中宋" w:eastAsia="仿宋_GB2312" w:cs="宋体"/>
          <w:color w:val="000000"/>
          <w:kern w:val="0"/>
          <w:sz w:val="32"/>
          <w:szCs w:val="32"/>
        </w:rPr>
      </w:pPr>
    </w:p>
    <w:p>
      <w:pPr>
        <w:jc w:val="center"/>
        <w:rPr>
          <w:rFonts w:ascii="华文中宋" w:hAnsi="华文中宋" w:eastAsia="华文中宋"/>
          <w:b/>
          <w:sz w:val="40"/>
          <w:szCs w:val="40"/>
        </w:rPr>
      </w:pPr>
      <w:r>
        <w:rPr>
          <w:rFonts w:hint="eastAsia" w:ascii="华文中宋" w:hAnsi="华文中宋" w:eastAsia="华文中宋"/>
          <w:b/>
          <w:sz w:val="40"/>
          <w:szCs w:val="40"/>
        </w:rPr>
        <w:t>通江县三溪镇中心小学</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关于学校2021年度财政资金绩效自评</w:t>
      </w:r>
    </w:p>
    <w:p>
      <w:pPr>
        <w:pStyle w:val="47"/>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报告</w:t>
      </w:r>
    </w:p>
    <w:p>
      <w:pPr>
        <w:pStyle w:val="47"/>
        <w:spacing w:line="240" w:lineRule="auto"/>
        <w:rPr>
          <w:rFonts w:ascii="宋体" w:hAnsi="宋体"/>
          <w:b/>
          <w:bCs/>
          <w:sz w:val="32"/>
          <w:szCs w:val="32"/>
        </w:rPr>
      </w:pPr>
    </w:p>
    <w:p>
      <w:pPr>
        <w:pStyle w:val="47"/>
        <w:spacing w:line="240" w:lineRule="auto"/>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一、基本情况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通江县三溪镇中心小学属财政拨款事业单位，主要职能是认真贯彻落实党和国家的方针、政策，正确执行上级主管部门的决议和指示，全面实施素质教育，培养德、智、体、美等方面全面发展的社会主义事业的建设者和接班人。年末实有小学生173人。2021年决算总支出736.93万元，我校各项工作均已于2021年完成，完成了年度绩效目标。</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二、资金使用情况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（一）资金使用。</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u w:val="none" w:color="46CD7E"/>
          <w:shd w:val="clear" w:fill="auto"/>
          <w:lang w:eastAsia="zh-CN"/>
        </w:rPr>
        <w:t>截至</w:t>
      </w:r>
      <w:r>
        <w:rPr>
          <w:rFonts w:hint="eastAsia" w:ascii="仿宋_GB2312" w:hAnsi="仿宋" w:eastAsia="仿宋_GB2312"/>
          <w:sz w:val="32"/>
          <w:szCs w:val="32"/>
        </w:rPr>
        <w:t>评价时资金的实际支出为736.93万元，财政补助收入全年共拨入736.93万元，其中：基本支出全年共拨入7369287.86万元，项目支出全年共拨入112.74万元。开支用于学校教职工工资福利支出及商品服务支出等，支出依据合规合法，资金支付与预算相符。</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（二）组织实施情况。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三、目标完成情况</w:t>
      </w:r>
      <w:r>
        <w:rPr>
          <w:rFonts w:hint="eastAsia" w:ascii="仿宋_GB2312" w:hAnsi="仿宋" w:eastAsia="仿宋_GB2312"/>
          <w:sz w:val="32"/>
          <w:szCs w:val="32"/>
        </w:rPr>
        <w:tab/>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（一）目标任务量完成情况。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全校教职工完成学期目标任务，达到了相关教学要求，学校整体工作取得了较好成效。</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（二）目标质量完成情况。</w:t>
      </w:r>
    </w:p>
    <w:p>
      <w:pPr>
        <w:adjustRightInd w:val="0"/>
        <w:snapToGrid w:val="0"/>
        <w:spacing w:line="56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按照年初目标任务，实际完成较好，个别教职工做得很优秀。</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（三）目标进度完成情况。</w:t>
      </w:r>
    </w:p>
    <w:p>
      <w:pPr>
        <w:adjustRightInd w:val="0"/>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四、项目效益情况</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实施目标绩效考核，充分调动了教职工积极性，学校各方面工作都有序，高质量完成，产生较好的社会效益，严格执行目标管理，充分保障学校正常运转。</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五、问题及建议</w:t>
      </w:r>
    </w:p>
    <w:p>
      <w:pPr>
        <w:adjustRightInd w:val="0"/>
        <w:snapToGrid w:val="0"/>
        <w:spacing w:line="560" w:lineRule="exact"/>
        <w:ind w:firstLine="720"/>
        <w:rPr>
          <w:rFonts w:ascii="仿宋_GB2312" w:hAnsi="仿宋" w:eastAsia="仿宋_GB2312"/>
          <w:b/>
          <w:sz w:val="32"/>
          <w:szCs w:val="32"/>
        </w:rPr>
      </w:pPr>
      <w:r>
        <w:rPr>
          <w:rFonts w:hint="eastAsia" w:ascii="仿宋_GB2312" w:hAnsi="仿宋"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tabs>
          <w:tab w:val="left" w:pos="6804"/>
          <w:tab w:val="left" w:pos="7088"/>
          <w:tab w:val="left" w:pos="7513"/>
          <w:tab w:val="left" w:pos="8080"/>
        </w:tabs>
        <w:spacing w:line="520" w:lineRule="exact"/>
        <w:ind w:firstLine="600" w:firstLineChars="200"/>
        <w:jc w:val="right"/>
        <w:rPr>
          <w:rFonts w:ascii="仿宋_GB2312" w:hAnsi="仿宋" w:eastAsia="仿宋_GB2312"/>
          <w:sz w:val="30"/>
          <w:szCs w:val="30"/>
        </w:rPr>
      </w:pPr>
    </w:p>
    <w:bookmarkEnd w:id="65"/>
    <w:p>
      <w:pPr>
        <w:spacing w:line="600" w:lineRule="exact"/>
        <w:rPr>
          <w:rStyle w:val="19"/>
          <w:rFonts w:ascii="黑体" w:hAnsi="黑体" w:eastAsia="黑体" w:cs="黑体"/>
        </w:rPr>
      </w:pPr>
      <w:bookmarkStart w:id="66" w:name="_Toc15396619"/>
    </w:p>
    <w:p>
      <w:pPr>
        <w:tabs>
          <w:tab w:val="left" w:pos="6804"/>
          <w:tab w:val="left" w:pos="7088"/>
          <w:tab w:val="left" w:pos="7513"/>
          <w:tab w:val="left" w:pos="8080"/>
        </w:tabs>
        <w:spacing w:line="520" w:lineRule="exact"/>
        <w:ind w:firstLine="2650" w:firstLineChars="600"/>
        <w:outlineLvl w:val="0"/>
        <w:rPr>
          <w:rStyle w:val="19"/>
          <w:rFonts w:ascii="黑体" w:hAnsi="黑体" w:eastAsia="黑体" w:cs="黑体"/>
        </w:rPr>
      </w:pPr>
      <w:bookmarkStart w:id="67" w:name="_Toc20982"/>
      <w:r>
        <w:rPr>
          <w:rStyle w:val="19"/>
          <w:rFonts w:hint="eastAsia" w:ascii="黑体" w:hAnsi="黑体" w:eastAsia="黑体" w:cs="黑体"/>
        </w:rPr>
        <w:t>第五部分附表</w:t>
      </w:r>
      <w:bookmarkEnd w:id="67"/>
    </w:p>
    <w:bookmarkEnd w:id="66"/>
    <w:p>
      <w:pPr>
        <w:pStyle w:val="14"/>
        <w:spacing w:before="0" w:after="0" w:line="640" w:lineRule="exact"/>
        <w:rPr>
          <w:rFonts w:ascii="仿宋" w:hAnsi="仿宋" w:eastAsia="仿宋"/>
          <w:b w:val="0"/>
          <w:color w:val="000000"/>
        </w:rPr>
      </w:pPr>
      <w:bookmarkStart w:id="68" w:name="_Toc5866"/>
    </w:p>
    <w:p>
      <w:pPr>
        <w:pStyle w:val="14"/>
        <w:spacing w:before="0" w:after="0" w:line="640" w:lineRule="exact"/>
        <w:rPr>
          <w:rFonts w:ascii="仿宋" w:hAnsi="仿宋" w:eastAsia="仿宋"/>
          <w:color w:val="000000"/>
        </w:rPr>
      </w:pPr>
      <w:r>
        <w:rPr>
          <w:rFonts w:hint="eastAsia" w:ascii="仿宋" w:hAnsi="仿宋" w:eastAsia="仿宋"/>
          <w:b w:val="0"/>
          <w:color w:val="000000"/>
        </w:rPr>
        <w:t>一、收</w:t>
      </w:r>
      <w:r>
        <w:rPr>
          <w:rStyle w:val="37"/>
          <w:rFonts w:hint="eastAsia" w:ascii="仿宋" w:hAnsi="仿宋" w:eastAsia="仿宋"/>
          <w:b w:val="0"/>
          <w:bCs w:val="0"/>
        </w:rPr>
        <w:t>入支出决算</w:t>
      </w:r>
      <w:r>
        <w:rPr>
          <w:rFonts w:hint="eastAsia" w:ascii="仿宋" w:hAnsi="仿宋" w:eastAsia="仿宋"/>
          <w:b w:val="0"/>
          <w:bCs w:val="0"/>
        </w:rPr>
        <w:t>总表</w:t>
      </w:r>
      <w:bookmarkEnd w:id="68"/>
    </w:p>
    <w:p>
      <w:pPr>
        <w:pStyle w:val="14"/>
        <w:spacing w:before="0" w:after="0" w:line="640" w:lineRule="exact"/>
        <w:rPr>
          <w:rFonts w:ascii="仿宋" w:hAnsi="仿宋" w:eastAsia="仿宋"/>
          <w:color w:val="000000"/>
        </w:rPr>
      </w:pPr>
      <w:bookmarkStart w:id="69" w:name="_Toc15396620"/>
      <w:bookmarkStart w:id="70" w:name="_Toc25491"/>
      <w:r>
        <w:rPr>
          <w:rFonts w:hint="eastAsia" w:ascii="仿宋" w:hAnsi="仿宋" w:eastAsia="仿宋"/>
          <w:b w:val="0"/>
          <w:color w:val="000000"/>
        </w:rPr>
        <w:t>二、收</w:t>
      </w:r>
      <w:r>
        <w:rPr>
          <w:rStyle w:val="37"/>
          <w:rFonts w:hint="eastAsia" w:ascii="仿宋" w:hAnsi="仿宋" w:eastAsia="仿宋"/>
          <w:b w:val="0"/>
          <w:bCs w:val="0"/>
        </w:rPr>
        <w:t>入决算</w:t>
      </w:r>
      <w:r>
        <w:rPr>
          <w:rFonts w:hint="eastAsia" w:ascii="仿宋" w:hAnsi="仿宋" w:eastAsia="仿宋"/>
          <w:b w:val="0"/>
          <w:bCs w:val="0"/>
        </w:rPr>
        <w:t>表</w:t>
      </w:r>
      <w:bookmarkEnd w:id="69"/>
      <w:bookmarkEnd w:id="70"/>
    </w:p>
    <w:p>
      <w:pPr>
        <w:pStyle w:val="14"/>
        <w:spacing w:before="0" w:after="0" w:line="640" w:lineRule="exact"/>
        <w:rPr>
          <w:rFonts w:ascii="仿宋" w:hAnsi="仿宋" w:eastAsia="仿宋"/>
          <w:color w:val="000000"/>
        </w:rPr>
      </w:pPr>
      <w:bookmarkStart w:id="71" w:name="_Toc15396621"/>
      <w:bookmarkStart w:id="72" w:name="_Toc5754"/>
      <w:r>
        <w:rPr>
          <w:rStyle w:val="37"/>
          <w:rFonts w:hint="eastAsia" w:ascii="仿宋" w:hAnsi="仿宋" w:eastAsia="仿宋"/>
          <w:b w:val="0"/>
          <w:bCs w:val="0"/>
        </w:rPr>
        <w:t>三、</w:t>
      </w:r>
      <w:r>
        <w:rPr>
          <w:rFonts w:hint="eastAsia" w:ascii="仿宋" w:hAnsi="仿宋" w:eastAsia="仿宋"/>
          <w:b w:val="0"/>
          <w:color w:val="000000"/>
        </w:rPr>
        <w:t>支</w:t>
      </w:r>
      <w:r>
        <w:rPr>
          <w:rStyle w:val="37"/>
          <w:rFonts w:hint="eastAsia" w:ascii="仿宋" w:hAnsi="仿宋" w:eastAsia="仿宋"/>
          <w:b w:val="0"/>
          <w:bCs w:val="0"/>
        </w:rPr>
        <w:t>出决算</w:t>
      </w:r>
      <w:r>
        <w:rPr>
          <w:rFonts w:hint="eastAsia" w:ascii="仿宋" w:hAnsi="仿宋" w:eastAsia="仿宋"/>
          <w:b w:val="0"/>
          <w:bCs w:val="0"/>
        </w:rPr>
        <w:t>表</w:t>
      </w:r>
      <w:bookmarkEnd w:id="71"/>
      <w:bookmarkEnd w:id="72"/>
    </w:p>
    <w:p>
      <w:pPr>
        <w:pStyle w:val="14"/>
        <w:spacing w:before="0" w:after="0" w:line="640" w:lineRule="exact"/>
        <w:rPr>
          <w:rFonts w:ascii="仿宋" w:hAnsi="仿宋" w:eastAsia="仿宋"/>
          <w:b w:val="0"/>
          <w:color w:val="000000"/>
        </w:rPr>
      </w:pPr>
      <w:bookmarkStart w:id="73" w:name="_Toc12491"/>
      <w:bookmarkStart w:id="74" w:name="_Toc15396622"/>
      <w:r>
        <w:rPr>
          <w:rStyle w:val="37"/>
          <w:rFonts w:hint="eastAsia" w:ascii="仿宋" w:hAnsi="仿宋" w:eastAsia="仿宋"/>
          <w:b w:val="0"/>
          <w:bCs w:val="0"/>
        </w:rPr>
        <w:t>四、</w:t>
      </w:r>
      <w:r>
        <w:rPr>
          <w:rFonts w:hint="eastAsia" w:ascii="仿宋" w:hAnsi="仿宋" w:eastAsia="仿宋"/>
          <w:b w:val="0"/>
          <w:color w:val="000000"/>
        </w:rPr>
        <w:t>财</w:t>
      </w:r>
      <w:r>
        <w:rPr>
          <w:rStyle w:val="37"/>
          <w:rFonts w:hint="eastAsia" w:ascii="仿宋" w:hAnsi="仿宋" w:eastAsia="仿宋"/>
          <w:b w:val="0"/>
          <w:bCs w:val="0"/>
        </w:rPr>
        <w:t>政</w:t>
      </w:r>
      <w:r>
        <w:rPr>
          <w:rFonts w:hint="eastAsia" w:ascii="仿宋" w:hAnsi="仿宋" w:eastAsia="仿宋"/>
          <w:b w:val="0"/>
          <w:bCs w:val="0"/>
        </w:rPr>
        <w:t>拨款收入支出</w:t>
      </w:r>
      <w:r>
        <w:rPr>
          <w:rStyle w:val="37"/>
          <w:rFonts w:hint="eastAsia" w:ascii="仿宋" w:hAnsi="仿宋" w:eastAsia="仿宋"/>
          <w:b w:val="0"/>
          <w:bCs w:val="0"/>
        </w:rPr>
        <w:t>决算</w:t>
      </w:r>
      <w:r>
        <w:rPr>
          <w:rFonts w:hint="eastAsia" w:ascii="仿宋" w:hAnsi="仿宋" w:eastAsia="仿宋"/>
          <w:b w:val="0"/>
          <w:bCs w:val="0"/>
        </w:rPr>
        <w:t>总表</w:t>
      </w:r>
      <w:bookmarkEnd w:id="73"/>
      <w:bookmarkEnd w:id="74"/>
    </w:p>
    <w:p>
      <w:pPr>
        <w:pStyle w:val="14"/>
        <w:spacing w:before="0" w:after="0" w:line="640" w:lineRule="exact"/>
        <w:rPr>
          <w:rStyle w:val="37"/>
          <w:rFonts w:ascii="仿宋" w:hAnsi="仿宋" w:eastAsia="仿宋"/>
          <w:b w:val="0"/>
          <w:bCs w:val="0"/>
        </w:rPr>
      </w:pPr>
      <w:bookmarkStart w:id="75" w:name="_Toc4025"/>
      <w:bookmarkStart w:id="76" w:name="_Toc15396623"/>
      <w:r>
        <w:rPr>
          <w:rStyle w:val="37"/>
          <w:rFonts w:hint="eastAsia" w:ascii="仿宋" w:hAnsi="仿宋" w:eastAsia="仿宋"/>
          <w:b w:val="0"/>
          <w:bCs w:val="0"/>
        </w:rPr>
        <w:t>五、</w:t>
      </w:r>
      <w:r>
        <w:rPr>
          <w:rFonts w:hint="eastAsia" w:ascii="仿宋" w:hAnsi="仿宋" w:eastAsia="仿宋"/>
          <w:b w:val="0"/>
          <w:color w:val="000000"/>
        </w:rPr>
        <w:t>财</w:t>
      </w:r>
      <w:r>
        <w:rPr>
          <w:rStyle w:val="37"/>
          <w:rFonts w:hint="eastAsia" w:ascii="仿宋" w:hAnsi="仿宋" w:eastAsia="仿宋"/>
          <w:b w:val="0"/>
          <w:bCs w:val="0"/>
        </w:rPr>
        <w:t>政</w:t>
      </w:r>
      <w:r>
        <w:rPr>
          <w:rFonts w:hint="eastAsia" w:ascii="仿宋" w:hAnsi="仿宋" w:eastAsia="仿宋"/>
          <w:b w:val="0"/>
          <w:bCs w:val="0"/>
        </w:rPr>
        <w:t>拨款支出</w:t>
      </w:r>
      <w:r>
        <w:rPr>
          <w:rStyle w:val="37"/>
          <w:rFonts w:hint="eastAsia" w:ascii="仿宋" w:hAnsi="仿宋" w:eastAsia="仿宋"/>
          <w:b w:val="0"/>
          <w:bCs w:val="0"/>
        </w:rPr>
        <w:t>决算</w:t>
      </w:r>
      <w:r>
        <w:rPr>
          <w:rFonts w:hint="eastAsia" w:ascii="仿宋" w:hAnsi="仿宋" w:eastAsia="仿宋"/>
          <w:b w:val="0"/>
          <w:bCs w:val="0"/>
        </w:rPr>
        <w:t>明细表</w:t>
      </w:r>
      <w:bookmarkEnd w:id="75"/>
      <w:bookmarkEnd w:id="76"/>
      <w:bookmarkStart w:id="77" w:name="_Toc15396624"/>
    </w:p>
    <w:p>
      <w:pPr>
        <w:pStyle w:val="14"/>
        <w:spacing w:before="0" w:after="0" w:line="640" w:lineRule="exact"/>
        <w:rPr>
          <w:rFonts w:ascii="仿宋" w:hAnsi="仿宋" w:eastAsia="仿宋"/>
          <w:color w:val="000000"/>
        </w:rPr>
      </w:pPr>
      <w:bookmarkStart w:id="78" w:name="_Toc21628"/>
      <w:r>
        <w:rPr>
          <w:rStyle w:val="37"/>
          <w:rFonts w:hint="eastAsia" w:ascii="仿宋" w:hAnsi="仿宋" w:eastAsia="仿宋"/>
          <w:b w:val="0"/>
          <w:bCs w:val="0"/>
        </w:rPr>
        <w:t>六、</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财政拨款支出决算表</w:t>
      </w:r>
      <w:bookmarkEnd w:id="77"/>
      <w:bookmarkEnd w:id="78"/>
    </w:p>
    <w:p>
      <w:pPr>
        <w:pStyle w:val="14"/>
        <w:spacing w:before="0" w:after="0" w:line="640" w:lineRule="exact"/>
        <w:rPr>
          <w:rFonts w:ascii="仿宋" w:hAnsi="仿宋" w:eastAsia="仿宋"/>
          <w:color w:val="000000"/>
        </w:rPr>
      </w:pPr>
      <w:bookmarkStart w:id="79" w:name="_Toc24572"/>
      <w:bookmarkStart w:id="80" w:name="_Toc15396625"/>
      <w:r>
        <w:rPr>
          <w:rStyle w:val="37"/>
          <w:rFonts w:hint="eastAsia" w:ascii="仿宋" w:hAnsi="仿宋" w:eastAsia="仿宋"/>
          <w:b w:val="0"/>
          <w:bCs w:val="0"/>
        </w:rPr>
        <w:t>七、</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财政拨款支出决算明细表</w:t>
      </w:r>
      <w:bookmarkEnd w:id="79"/>
      <w:bookmarkEnd w:id="80"/>
    </w:p>
    <w:p>
      <w:pPr>
        <w:pStyle w:val="14"/>
        <w:spacing w:before="0" w:after="0" w:line="640" w:lineRule="exact"/>
        <w:rPr>
          <w:rFonts w:ascii="仿宋" w:hAnsi="仿宋" w:eastAsia="仿宋"/>
          <w:color w:val="000000"/>
        </w:rPr>
      </w:pPr>
      <w:bookmarkStart w:id="81" w:name="_Toc29904"/>
      <w:bookmarkStart w:id="82" w:name="_Toc15396626"/>
      <w:r>
        <w:rPr>
          <w:rStyle w:val="37"/>
          <w:rFonts w:hint="eastAsia" w:ascii="仿宋" w:hAnsi="仿宋" w:eastAsia="仿宋"/>
          <w:b w:val="0"/>
          <w:bCs w:val="0"/>
        </w:rPr>
        <w:t>八、</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财政拨款基本支出决算表</w:t>
      </w:r>
      <w:bookmarkEnd w:id="81"/>
      <w:bookmarkEnd w:id="82"/>
    </w:p>
    <w:p>
      <w:pPr>
        <w:pStyle w:val="14"/>
        <w:spacing w:before="0" w:after="0" w:line="640" w:lineRule="exact"/>
        <w:rPr>
          <w:rFonts w:ascii="仿宋" w:hAnsi="仿宋" w:eastAsia="仿宋"/>
          <w:color w:val="000000"/>
        </w:rPr>
      </w:pPr>
      <w:bookmarkStart w:id="83" w:name="_Toc15396627"/>
      <w:bookmarkStart w:id="84" w:name="_Toc585"/>
      <w:r>
        <w:rPr>
          <w:rStyle w:val="37"/>
          <w:rFonts w:hint="eastAsia" w:ascii="仿宋" w:hAnsi="仿宋" w:eastAsia="仿宋"/>
          <w:b w:val="0"/>
          <w:bCs w:val="0"/>
        </w:rPr>
        <w:t>九、</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财政拨款项目支出决算表</w:t>
      </w:r>
      <w:bookmarkEnd w:id="83"/>
      <w:bookmarkEnd w:id="84"/>
    </w:p>
    <w:p>
      <w:pPr>
        <w:pStyle w:val="14"/>
        <w:spacing w:before="0" w:after="0" w:line="640" w:lineRule="exact"/>
        <w:rPr>
          <w:rFonts w:ascii="仿宋" w:hAnsi="仿宋" w:eastAsia="仿宋"/>
          <w:color w:val="000000"/>
        </w:rPr>
      </w:pPr>
      <w:bookmarkStart w:id="85" w:name="_Toc15396628"/>
      <w:bookmarkStart w:id="86" w:name="_Toc24624"/>
      <w:r>
        <w:rPr>
          <w:rStyle w:val="37"/>
          <w:rFonts w:hint="eastAsia" w:ascii="仿宋" w:hAnsi="仿宋" w:eastAsia="仿宋"/>
          <w:b w:val="0"/>
          <w:bCs w:val="0"/>
        </w:rPr>
        <w:t>十、</w:t>
      </w:r>
      <w:r>
        <w:rPr>
          <w:rFonts w:hint="eastAsia" w:ascii="仿宋" w:hAnsi="仿宋" w:eastAsia="仿宋"/>
          <w:b w:val="0"/>
          <w:color w:val="000000"/>
        </w:rPr>
        <w:t>一</w:t>
      </w:r>
      <w:r>
        <w:rPr>
          <w:rStyle w:val="37"/>
          <w:rFonts w:hint="eastAsia" w:ascii="仿宋" w:hAnsi="仿宋" w:eastAsia="仿宋"/>
          <w:b w:val="0"/>
          <w:bCs w:val="0"/>
        </w:rPr>
        <w:t>般公共预算</w:t>
      </w:r>
      <w:r>
        <w:rPr>
          <w:rFonts w:hint="eastAsia" w:ascii="仿宋" w:hAnsi="仿宋" w:eastAsia="仿宋"/>
          <w:b w:val="0"/>
          <w:bCs w:val="0"/>
        </w:rPr>
        <w:t>财政拨</w:t>
      </w:r>
      <w:r>
        <w:rPr>
          <w:rStyle w:val="37"/>
          <w:rFonts w:hint="eastAsia" w:ascii="仿宋" w:hAnsi="仿宋" w:eastAsia="仿宋"/>
          <w:b w:val="0"/>
          <w:bCs w:val="0"/>
        </w:rPr>
        <w:t>款“三公”经费</w:t>
      </w:r>
      <w:r>
        <w:rPr>
          <w:rFonts w:hint="eastAsia" w:ascii="仿宋" w:hAnsi="仿宋" w:eastAsia="仿宋"/>
          <w:b w:val="0"/>
          <w:bCs w:val="0"/>
        </w:rPr>
        <w:t>支出</w:t>
      </w:r>
      <w:r>
        <w:rPr>
          <w:rStyle w:val="37"/>
          <w:rFonts w:hint="eastAsia" w:ascii="仿宋" w:hAnsi="仿宋" w:eastAsia="仿宋"/>
          <w:b w:val="0"/>
          <w:bCs w:val="0"/>
        </w:rPr>
        <w:t>决算</w:t>
      </w:r>
      <w:r>
        <w:rPr>
          <w:rFonts w:hint="eastAsia" w:ascii="仿宋" w:hAnsi="仿宋" w:eastAsia="仿宋"/>
          <w:b w:val="0"/>
          <w:bCs w:val="0"/>
        </w:rPr>
        <w:t>表</w:t>
      </w:r>
      <w:bookmarkEnd w:id="85"/>
      <w:bookmarkEnd w:id="86"/>
    </w:p>
    <w:p>
      <w:pPr>
        <w:pStyle w:val="14"/>
        <w:spacing w:before="0" w:after="0" w:line="640" w:lineRule="exact"/>
        <w:rPr>
          <w:rFonts w:ascii="仿宋" w:hAnsi="仿宋" w:eastAsia="仿宋"/>
          <w:color w:val="000000"/>
        </w:rPr>
      </w:pPr>
      <w:bookmarkStart w:id="87" w:name="_Toc15396629"/>
      <w:bookmarkStart w:id="88" w:name="_Toc13558"/>
      <w:r>
        <w:rPr>
          <w:rStyle w:val="37"/>
          <w:rFonts w:hint="eastAsia" w:ascii="仿宋" w:hAnsi="仿宋" w:eastAsia="仿宋"/>
          <w:b w:val="0"/>
          <w:bCs w:val="0"/>
        </w:rPr>
        <w:t>十一、</w:t>
      </w:r>
      <w:r>
        <w:rPr>
          <w:rFonts w:hint="eastAsia" w:ascii="仿宋" w:hAnsi="仿宋" w:eastAsia="仿宋"/>
          <w:b w:val="0"/>
          <w:color w:val="000000"/>
        </w:rPr>
        <w:t>政</w:t>
      </w:r>
      <w:r>
        <w:rPr>
          <w:rStyle w:val="37"/>
          <w:rFonts w:hint="eastAsia" w:ascii="仿宋" w:hAnsi="仿宋" w:eastAsia="仿宋"/>
          <w:b w:val="0"/>
          <w:bCs w:val="0"/>
        </w:rPr>
        <w:t>府性基金预算</w:t>
      </w:r>
      <w:r>
        <w:rPr>
          <w:rFonts w:hint="eastAsia" w:ascii="仿宋" w:hAnsi="仿宋" w:eastAsia="仿宋"/>
          <w:b w:val="0"/>
          <w:bCs w:val="0"/>
        </w:rPr>
        <w:t>财政拨款收入支出决算表</w:t>
      </w:r>
      <w:bookmarkEnd w:id="87"/>
      <w:bookmarkEnd w:id="88"/>
    </w:p>
    <w:p>
      <w:pPr>
        <w:pStyle w:val="14"/>
        <w:spacing w:before="0" w:after="0" w:line="640" w:lineRule="exact"/>
        <w:rPr>
          <w:rFonts w:ascii="仿宋" w:hAnsi="仿宋" w:eastAsia="仿宋"/>
          <w:color w:val="000000"/>
        </w:rPr>
      </w:pPr>
      <w:bookmarkStart w:id="89" w:name="_Toc9955"/>
      <w:bookmarkStart w:id="90" w:name="_Toc15396630"/>
      <w:r>
        <w:rPr>
          <w:rStyle w:val="37"/>
          <w:rFonts w:hint="eastAsia" w:ascii="仿宋" w:hAnsi="仿宋" w:eastAsia="仿宋"/>
          <w:b w:val="0"/>
          <w:bCs w:val="0"/>
        </w:rPr>
        <w:t>十二、</w:t>
      </w:r>
      <w:r>
        <w:rPr>
          <w:rFonts w:hint="eastAsia" w:ascii="仿宋" w:hAnsi="仿宋" w:eastAsia="仿宋"/>
          <w:b w:val="0"/>
          <w:color w:val="000000"/>
        </w:rPr>
        <w:t>政</w:t>
      </w:r>
      <w:r>
        <w:rPr>
          <w:rStyle w:val="37"/>
          <w:rFonts w:hint="eastAsia" w:ascii="仿宋" w:hAnsi="仿宋" w:eastAsia="仿宋"/>
          <w:b w:val="0"/>
          <w:bCs w:val="0"/>
        </w:rPr>
        <w:t>府性基金预算</w:t>
      </w:r>
      <w:r>
        <w:rPr>
          <w:rFonts w:hint="eastAsia" w:ascii="仿宋" w:hAnsi="仿宋" w:eastAsia="仿宋"/>
          <w:b w:val="0"/>
          <w:bCs w:val="0"/>
        </w:rPr>
        <w:t>财政拨</w:t>
      </w:r>
      <w:r>
        <w:rPr>
          <w:rStyle w:val="37"/>
          <w:rFonts w:hint="eastAsia" w:ascii="仿宋" w:hAnsi="仿宋" w:eastAsia="仿宋"/>
          <w:b w:val="0"/>
          <w:bCs w:val="0"/>
        </w:rPr>
        <w:t>款“三公”经费</w:t>
      </w:r>
      <w:r>
        <w:rPr>
          <w:rFonts w:hint="eastAsia" w:ascii="仿宋" w:hAnsi="仿宋" w:eastAsia="仿宋"/>
          <w:b w:val="0"/>
          <w:bCs w:val="0"/>
        </w:rPr>
        <w:t>支出</w:t>
      </w:r>
      <w:r>
        <w:rPr>
          <w:rStyle w:val="37"/>
          <w:rFonts w:hint="eastAsia" w:ascii="仿宋" w:hAnsi="仿宋" w:eastAsia="仿宋"/>
          <w:b w:val="0"/>
          <w:bCs w:val="0"/>
        </w:rPr>
        <w:t>决算</w:t>
      </w:r>
      <w:r>
        <w:rPr>
          <w:rFonts w:hint="eastAsia" w:ascii="仿宋" w:hAnsi="仿宋" w:eastAsia="仿宋"/>
          <w:b w:val="0"/>
          <w:bCs w:val="0"/>
        </w:rPr>
        <w:t>表</w:t>
      </w:r>
      <w:bookmarkEnd w:id="89"/>
      <w:bookmarkEnd w:id="90"/>
    </w:p>
    <w:p>
      <w:pPr>
        <w:pStyle w:val="14"/>
        <w:spacing w:before="0" w:after="0" w:line="640" w:lineRule="exact"/>
        <w:rPr>
          <w:rStyle w:val="37"/>
          <w:rFonts w:ascii="仿宋" w:hAnsi="仿宋" w:eastAsia="仿宋"/>
          <w:b w:val="0"/>
          <w:bCs w:val="0"/>
        </w:rPr>
      </w:pPr>
      <w:bookmarkStart w:id="91" w:name="_Toc15396631"/>
      <w:bookmarkStart w:id="92" w:name="_Toc3407"/>
      <w:r>
        <w:rPr>
          <w:rStyle w:val="37"/>
          <w:rFonts w:hint="eastAsia" w:ascii="仿宋" w:hAnsi="仿宋" w:eastAsia="仿宋"/>
          <w:b w:val="0"/>
          <w:bCs w:val="0"/>
        </w:rPr>
        <w:t>十三、</w:t>
      </w:r>
      <w:r>
        <w:rPr>
          <w:rFonts w:hint="eastAsia" w:ascii="仿宋" w:hAnsi="仿宋" w:eastAsia="仿宋"/>
          <w:b w:val="0"/>
          <w:color w:val="000000"/>
        </w:rPr>
        <w:t>国</w:t>
      </w:r>
      <w:r>
        <w:rPr>
          <w:rStyle w:val="37"/>
          <w:rFonts w:hint="eastAsia" w:ascii="仿宋" w:hAnsi="仿宋" w:eastAsia="仿宋"/>
          <w:b w:val="0"/>
          <w:bCs w:val="0"/>
        </w:rPr>
        <w:t>有资本</w:t>
      </w:r>
      <w:r>
        <w:rPr>
          <w:rFonts w:hint="eastAsia" w:ascii="仿宋" w:hAnsi="仿宋" w:eastAsia="仿宋"/>
          <w:b w:val="0"/>
          <w:bCs w:val="0"/>
        </w:rPr>
        <w:t>经营</w:t>
      </w:r>
      <w:r>
        <w:rPr>
          <w:rStyle w:val="37"/>
          <w:rFonts w:hint="eastAsia" w:ascii="仿宋" w:hAnsi="仿宋" w:eastAsia="仿宋"/>
          <w:b w:val="0"/>
          <w:bCs w:val="0"/>
        </w:rPr>
        <w:t>预算</w:t>
      </w:r>
      <w:r>
        <w:rPr>
          <w:rFonts w:hint="eastAsia" w:ascii="仿宋" w:hAnsi="仿宋" w:eastAsia="仿宋"/>
          <w:b w:val="0"/>
          <w:bCs w:val="0"/>
        </w:rPr>
        <w:t>财政拨款支出决算表</w:t>
      </w:r>
      <w:bookmarkEnd w:id="91"/>
      <w:bookmarkEnd w:id="92"/>
    </w:p>
    <w:p>
      <w:pPr>
        <w:pStyle w:val="14"/>
        <w:spacing w:before="0" w:after="0" w:line="640" w:lineRule="exact"/>
        <w:rPr>
          <w:rStyle w:val="37"/>
          <w:rFonts w:ascii="仿宋" w:hAnsi="仿宋" w:eastAsia="仿宋"/>
          <w:b w:val="0"/>
          <w:bCs w:val="0"/>
        </w:rPr>
      </w:pPr>
      <w:bookmarkStart w:id="93" w:name="_Toc16030"/>
      <w:r>
        <w:rPr>
          <w:rStyle w:val="37"/>
          <w:rFonts w:hint="eastAsia" w:ascii="仿宋" w:hAnsi="仿宋" w:eastAsia="仿宋"/>
          <w:b w:val="0"/>
          <w:bCs w:val="0"/>
        </w:rPr>
        <w:t>十四、</w:t>
      </w:r>
      <w:r>
        <w:rPr>
          <w:rFonts w:hint="eastAsia" w:ascii="仿宋" w:hAnsi="仿宋" w:eastAsia="仿宋"/>
          <w:b w:val="0"/>
          <w:bCs w:val="0"/>
        </w:rPr>
        <w:t>国有资本经营预算财政拨款支出决算表</w:t>
      </w:r>
      <w:bookmarkEnd w:id="93"/>
    </w:p>
    <w:p>
      <w:pPr>
        <w:spacing w:line="640" w:lineRule="exact"/>
      </w:pPr>
    </w:p>
    <w:sectPr>
      <w:headerReference r:id="rId3" w:type="default"/>
      <w:footerReference r:id="rId4" w:type="default"/>
      <w:pgSz w:w="11906" w:h="16838"/>
      <w:pgMar w:top="420" w:right="1463" w:bottom="249" w:left="1463"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PAGE   \* MERGEFORMAT</w:instrText>
    </w:r>
    <w:r>
      <w:fldChar w:fldCharType="separate"/>
    </w:r>
    <w:r>
      <w:rPr>
        <w:lang w:val="zh-CN"/>
      </w:rPr>
      <w:t>26</w:t>
    </w:r>
    <w:r>
      <w:fldChar w:fldCharType="end"/>
    </w:r>
  </w:p>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70299"/>
    <w:multiLevelType w:val="singleLevel"/>
    <w:tmpl w:val="27070299"/>
    <w:lvl w:ilvl="0" w:tentative="0">
      <w:start w:val="9"/>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0A2C2F"/>
    <w:rsid w:val="000A2C2F"/>
    <w:rsid w:val="000C76A6"/>
    <w:rsid w:val="00281C1A"/>
    <w:rsid w:val="005C48CC"/>
    <w:rsid w:val="006C72F4"/>
    <w:rsid w:val="006E7C74"/>
    <w:rsid w:val="008B2F0E"/>
    <w:rsid w:val="00BB6AFB"/>
    <w:rsid w:val="00D564CE"/>
    <w:rsid w:val="00DA31D0"/>
    <w:rsid w:val="00DF5DB7"/>
    <w:rsid w:val="00E45A0D"/>
    <w:rsid w:val="3BDB5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56"/>
    <w:qFormat/>
    <w:uiPriority w:val="99"/>
    <w:pPr>
      <w:tabs>
        <w:tab w:val="center" w:pos="4153"/>
        <w:tab w:val="right" w:pos="8306"/>
      </w:tabs>
      <w:snapToGrid w:val="0"/>
      <w:jc w:val="left"/>
    </w:pPr>
    <w:rPr>
      <w:sz w:val="18"/>
      <w:szCs w:val="18"/>
    </w:rPr>
  </w:style>
  <w:style w:type="paragraph" w:styleId="6">
    <w:name w:val="header"/>
    <w:basedOn w:val="1"/>
    <w:link w:val="55"/>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7"/>
    <w:qFormat/>
    <w:uiPriority w:val="9"/>
    <w:pPr>
      <w:keepNext/>
      <w:keepLines/>
      <w:spacing w:before="260" w:after="260" w:line="416" w:lineRule="auto"/>
      <w:outlineLvl w:val="1"/>
    </w:pPr>
    <w:rPr>
      <w:rFonts w:ascii="Cambria" w:hAnsi="Cambria"/>
      <w:b/>
      <w:bCs/>
      <w:sz w:val="32"/>
      <w:szCs w:val="32"/>
    </w:rPr>
  </w:style>
  <w:style w:type="paragraph" w:customStyle="1" w:styleId="15">
    <w:name w:val="Heading 3"/>
    <w:basedOn w:val="1"/>
    <w:next w:val="1"/>
    <w:link w:val="25"/>
    <w:qFormat/>
    <w:uiPriority w:val="9"/>
    <w:pPr>
      <w:keepNext/>
      <w:keepLines/>
      <w:spacing w:before="260" w:after="260" w:line="416" w:lineRule="auto"/>
      <w:outlineLvl w:val="2"/>
    </w:pPr>
    <w:rPr>
      <w:b/>
      <w:bCs/>
      <w:sz w:val="32"/>
      <w:szCs w:val="32"/>
    </w:rPr>
  </w:style>
  <w:style w:type="character" w:customStyle="1" w:styleId="16">
    <w:name w:val="font51"/>
    <w:basedOn w:val="9"/>
    <w:uiPriority w:val="0"/>
    <w:rPr>
      <w:rFonts w:hint="eastAsia" w:ascii="宋体" w:hAnsi="宋体" w:eastAsia="宋体" w:cs="宋体"/>
      <w:color w:val="000000"/>
      <w:sz w:val="20"/>
      <w:szCs w:val="20"/>
      <w:u w:val="none"/>
    </w:rPr>
  </w:style>
  <w:style w:type="character" w:customStyle="1" w:styleId="17">
    <w:name w:val="页脚 Char"/>
    <w:qFormat/>
    <w:locked/>
    <w:uiPriority w:val="99"/>
    <w:rPr>
      <w:sz w:val="18"/>
    </w:rPr>
  </w:style>
  <w:style w:type="character" w:customStyle="1" w:styleId="18">
    <w:name w:val="font21"/>
    <w:basedOn w:val="9"/>
    <w:uiPriority w:val="0"/>
    <w:rPr>
      <w:rFonts w:hint="eastAsia" w:ascii="宋体" w:hAnsi="宋体" w:eastAsia="宋体" w:cs="宋体"/>
      <w:color w:val="000000"/>
      <w:sz w:val="32"/>
      <w:szCs w:val="32"/>
      <w:u w:val="none"/>
    </w:rPr>
  </w:style>
  <w:style w:type="character" w:customStyle="1" w:styleId="19">
    <w:name w:val="标题 1 Char"/>
    <w:qFormat/>
    <w:locked/>
    <w:uiPriority w:val="9"/>
    <w:rPr>
      <w:b/>
      <w:bCs/>
      <w:kern w:val="44"/>
      <w:sz w:val="44"/>
      <w:szCs w:val="44"/>
    </w:rPr>
  </w:style>
  <w:style w:type="character" w:customStyle="1" w:styleId="20">
    <w:name w:val="font81"/>
    <w:basedOn w:val="9"/>
    <w:uiPriority w:val="0"/>
    <w:rPr>
      <w:rFonts w:hint="eastAsia" w:ascii="宋体" w:hAnsi="宋体" w:eastAsia="宋体" w:cs="宋体"/>
      <w:color w:val="000000"/>
      <w:sz w:val="12"/>
      <w:szCs w:val="12"/>
      <w:u w:val="none"/>
    </w:rPr>
  </w:style>
  <w:style w:type="character" w:customStyle="1" w:styleId="21">
    <w:name w:val="标题 2 Char"/>
    <w:qFormat/>
    <w:locked/>
    <w:uiPriority w:val="9"/>
    <w:rPr>
      <w:rFonts w:ascii="Cambria" w:hAnsi="Cambria"/>
      <w:b/>
      <w:bCs/>
      <w:sz w:val="32"/>
      <w:szCs w:val="32"/>
    </w:rPr>
  </w:style>
  <w:style w:type="character" w:customStyle="1" w:styleId="22">
    <w:name w:val="Body Text Char"/>
    <w:basedOn w:val="9"/>
    <w:semiHidden/>
    <w:qFormat/>
    <w:uiPriority w:val="99"/>
    <w:rPr>
      <w:rFonts w:ascii="Times New Roman" w:hAnsi="Times New Roman" w:cs="Times New Roman"/>
      <w:sz w:val="24"/>
      <w:szCs w:val="24"/>
    </w:rPr>
  </w:style>
  <w:style w:type="character" w:customStyle="1" w:styleId="23">
    <w:name w:val="Footer Char"/>
    <w:basedOn w:val="9"/>
    <w:semiHidden/>
    <w:qFormat/>
    <w:uiPriority w:val="99"/>
    <w:rPr>
      <w:rFonts w:ascii="Times New Roman" w:hAnsi="Times New Roman" w:cs="Times New Roman"/>
      <w:sz w:val="18"/>
      <w:szCs w:val="18"/>
    </w:rPr>
  </w:style>
  <w:style w:type="character" w:customStyle="1" w:styleId="24">
    <w:name w:val="font11"/>
    <w:basedOn w:val="9"/>
    <w:uiPriority w:val="0"/>
    <w:rPr>
      <w:rFonts w:hint="eastAsia" w:ascii="宋体" w:hAnsi="宋体" w:eastAsia="宋体" w:cs="宋体"/>
      <w:color w:val="000000"/>
      <w:sz w:val="12"/>
      <w:szCs w:val="12"/>
      <w:u w:val="none"/>
    </w:rPr>
  </w:style>
  <w:style w:type="character" w:customStyle="1" w:styleId="25">
    <w:name w:val="标题 3 Char"/>
    <w:basedOn w:val="9"/>
    <w:link w:val="15"/>
    <w:qFormat/>
    <w:locked/>
    <w:uiPriority w:val="9"/>
    <w:rPr>
      <w:rFonts w:ascii="Times New Roman" w:hAnsi="Times New Roman" w:cs="Times New Roman"/>
      <w:b/>
      <w:bCs/>
      <w:kern w:val="2"/>
      <w:sz w:val="32"/>
      <w:szCs w:val="32"/>
    </w:rPr>
  </w:style>
  <w:style w:type="character" w:customStyle="1" w:styleId="26">
    <w:name w:val="font112"/>
    <w:basedOn w:val="9"/>
    <w:uiPriority w:val="0"/>
    <w:rPr>
      <w:rFonts w:hint="eastAsia" w:ascii="宋体" w:hAnsi="宋体" w:eastAsia="宋体" w:cs="宋体"/>
      <w:b/>
      <w:bCs/>
      <w:color w:val="000000"/>
      <w:sz w:val="32"/>
      <w:szCs w:val="32"/>
      <w:u w:val="none"/>
    </w:rPr>
  </w:style>
  <w:style w:type="character" w:customStyle="1" w:styleId="27">
    <w:name w:val="font61"/>
    <w:basedOn w:val="9"/>
    <w:uiPriority w:val="0"/>
    <w:rPr>
      <w:rFonts w:hint="eastAsia" w:ascii="宋体" w:hAnsi="宋体" w:eastAsia="宋体" w:cs="宋体"/>
      <w:color w:val="000000"/>
      <w:sz w:val="32"/>
      <w:szCs w:val="32"/>
      <w:u w:val="none"/>
    </w:rPr>
  </w:style>
  <w:style w:type="character" w:customStyle="1" w:styleId="28">
    <w:name w:val="页眉 Char"/>
    <w:semiHidden/>
    <w:qFormat/>
    <w:locked/>
    <w:uiPriority w:val="99"/>
    <w:rPr>
      <w:sz w:val="18"/>
    </w:rPr>
  </w:style>
  <w:style w:type="character" w:customStyle="1" w:styleId="29">
    <w:name w:val="font91"/>
    <w:basedOn w:val="9"/>
    <w:uiPriority w:val="0"/>
    <w:rPr>
      <w:rFonts w:hint="eastAsia" w:ascii="宋体" w:hAnsi="宋体" w:eastAsia="宋体" w:cs="宋体"/>
      <w:color w:val="000000"/>
      <w:sz w:val="12"/>
      <w:szCs w:val="12"/>
      <w:u w:val="none"/>
    </w:rPr>
  </w:style>
  <w:style w:type="character" w:customStyle="1" w:styleId="30">
    <w:name w:val="font71"/>
    <w:basedOn w:val="9"/>
    <w:uiPriority w:val="0"/>
    <w:rPr>
      <w:rFonts w:hint="eastAsia" w:ascii="宋体" w:hAnsi="宋体" w:eastAsia="宋体" w:cs="宋体"/>
      <w:color w:val="000000"/>
      <w:sz w:val="18"/>
      <w:szCs w:val="18"/>
      <w:u w:val="none"/>
    </w:rPr>
  </w:style>
  <w:style w:type="character" w:customStyle="1" w:styleId="31">
    <w:name w:val="font101"/>
    <w:basedOn w:val="9"/>
    <w:uiPriority w:val="0"/>
    <w:rPr>
      <w:rFonts w:hint="eastAsia" w:ascii="宋体" w:hAnsi="宋体" w:eastAsia="宋体" w:cs="宋体"/>
      <w:color w:val="000000"/>
      <w:sz w:val="18"/>
      <w:szCs w:val="18"/>
      <w:u w:val="none"/>
    </w:rPr>
  </w:style>
  <w:style w:type="character" w:customStyle="1" w:styleId="32">
    <w:name w:val="font41"/>
    <w:basedOn w:val="9"/>
    <w:uiPriority w:val="0"/>
    <w:rPr>
      <w:rFonts w:hint="eastAsia" w:ascii="宋体" w:hAnsi="宋体" w:eastAsia="宋体" w:cs="宋体"/>
      <w:color w:val="000000"/>
      <w:sz w:val="12"/>
      <w:szCs w:val="12"/>
      <w:u w:val="none"/>
    </w:rPr>
  </w:style>
  <w:style w:type="character" w:customStyle="1" w:styleId="33">
    <w:name w:val="批注框文本 Char"/>
    <w:basedOn w:val="9"/>
    <w:semiHidden/>
    <w:qFormat/>
    <w:locked/>
    <w:uiPriority w:val="99"/>
    <w:rPr>
      <w:rFonts w:ascii="Times New Roman" w:hAnsi="Times New Roman" w:cs="Times New Roman"/>
      <w:kern w:val="2"/>
      <w:sz w:val="18"/>
      <w:szCs w:val="18"/>
    </w:rPr>
  </w:style>
  <w:style w:type="character" w:customStyle="1" w:styleId="34">
    <w:name w:val="Header Char"/>
    <w:basedOn w:val="9"/>
    <w:semiHidden/>
    <w:qFormat/>
    <w:uiPriority w:val="99"/>
    <w:rPr>
      <w:rFonts w:ascii="Times New Roman" w:hAnsi="Times New Roman" w:cs="Times New Roman"/>
      <w:sz w:val="18"/>
      <w:szCs w:val="18"/>
    </w:rPr>
  </w:style>
  <w:style w:type="character" w:customStyle="1" w:styleId="35">
    <w:name w:val="正文文本 Char"/>
    <w:qFormat/>
    <w:locked/>
    <w:uiPriority w:val="99"/>
    <w:rPr>
      <w:rFonts w:ascii="仿宋_GB2312" w:hAnsi="Times New Roman" w:eastAsia="仿宋_GB2312"/>
      <w:sz w:val="24"/>
    </w:rPr>
  </w:style>
  <w:style w:type="character" w:customStyle="1" w:styleId="36">
    <w:name w:val="font121"/>
    <w:basedOn w:val="9"/>
    <w:uiPriority w:val="0"/>
    <w:rPr>
      <w:rFonts w:hint="eastAsia" w:ascii="宋体" w:hAnsi="宋体" w:eastAsia="宋体" w:cs="宋体"/>
      <w:b/>
      <w:bCs/>
      <w:color w:val="000000"/>
      <w:sz w:val="32"/>
      <w:szCs w:val="32"/>
      <w:u w:val="none"/>
    </w:rPr>
  </w:style>
  <w:style w:type="character" w:customStyle="1" w:styleId="37">
    <w:name w:val="标题 2 Char1"/>
    <w:basedOn w:val="9"/>
    <w:link w:val="14"/>
    <w:qFormat/>
    <w:locked/>
    <w:uiPriority w:val="9"/>
    <w:rPr>
      <w:rFonts w:ascii="Cambria" w:hAnsi="Cambria"/>
      <w:b/>
      <w:bCs/>
      <w:sz w:val="32"/>
      <w:szCs w:val="32"/>
    </w:rPr>
  </w:style>
  <w:style w:type="paragraph" w:customStyle="1" w:styleId="3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39">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4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41">
    <w:name w:val="TOC 3"/>
    <w:basedOn w:val="1"/>
    <w:next w:val="1"/>
    <w:unhideWhenUsed/>
    <w:qFormat/>
    <w:uiPriority w:val="39"/>
    <w:pPr>
      <w:tabs>
        <w:tab w:val="right" w:leader="dot" w:pos="8296"/>
      </w:tabs>
      <w:ind w:left="840" w:leftChars="400"/>
    </w:pPr>
  </w:style>
  <w:style w:type="paragraph" w:customStyle="1" w:styleId="42">
    <w:name w:val="TOC 2"/>
    <w:basedOn w:val="1"/>
    <w:next w:val="1"/>
    <w:unhideWhenUsed/>
    <w:qFormat/>
    <w:uiPriority w:val="39"/>
    <w:pPr>
      <w:tabs>
        <w:tab w:val="right" w:leader="dot" w:pos="8296"/>
      </w:tabs>
      <w:ind w:left="420" w:leftChars="200"/>
    </w:pPr>
  </w:style>
  <w:style w:type="paragraph" w:customStyle="1" w:styleId="43">
    <w:name w:val="TOC 标题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4">
    <w:name w:val="标题 21"/>
    <w:basedOn w:val="1"/>
    <w:next w:val="1"/>
    <w:qFormat/>
    <w:uiPriority w:val="9"/>
    <w:pPr>
      <w:keepNext/>
      <w:keepLines/>
      <w:spacing w:before="260" w:after="260" w:line="416" w:lineRule="auto"/>
      <w:outlineLvl w:val="1"/>
    </w:pPr>
    <w:rPr>
      <w:rFonts w:ascii="Cambria" w:hAnsi="Cambria"/>
      <w:b/>
      <w:bCs/>
      <w:sz w:val="32"/>
      <w:szCs w:val="32"/>
    </w:rPr>
  </w:style>
  <w:style w:type="paragraph" w:customStyle="1" w:styleId="45">
    <w:name w:val="TOC Heading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47">
    <w:name w:val="四号正文"/>
    <w:basedOn w:val="1"/>
    <w:qFormat/>
    <w:uiPriority w:val="0"/>
    <w:pPr>
      <w:spacing w:line="360" w:lineRule="auto"/>
    </w:pPr>
    <w:rPr>
      <w:rFonts w:ascii="??" w:hAnsi="??" w:cs="宋体"/>
      <w:color w:val="000000"/>
      <w:kern w:val="0"/>
      <w:sz w:val="28"/>
      <w:szCs w:val="21"/>
    </w:rPr>
  </w:style>
  <w:style w:type="paragraph" w:customStyle="1" w:styleId="48">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49">
    <w:name w:val="List Paragraph"/>
    <w:basedOn w:val="1"/>
    <w:qFormat/>
    <w:uiPriority w:val="34"/>
    <w:pPr>
      <w:ind w:firstLine="420" w:firstLineChars="200"/>
    </w:pPr>
  </w:style>
  <w:style w:type="paragraph" w:customStyle="1" w:styleId="50">
    <w:name w:val="标题 11"/>
    <w:basedOn w:val="1"/>
    <w:next w:val="1"/>
    <w:qFormat/>
    <w:uiPriority w:val="9"/>
    <w:pPr>
      <w:keepNext/>
      <w:keepLines/>
      <w:spacing w:before="340" w:after="330" w:line="578" w:lineRule="auto"/>
      <w:outlineLvl w:val="0"/>
    </w:pPr>
    <w:rPr>
      <w:b/>
      <w:bCs/>
      <w:kern w:val="44"/>
      <w:sz w:val="44"/>
      <w:szCs w:val="44"/>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3">
    <w:name w:val="批注文字 Char"/>
    <w:basedOn w:val="9"/>
    <w:semiHidden/>
    <w:uiPriority w:val="99"/>
    <w:rPr>
      <w:kern w:val="2"/>
      <w:sz w:val="21"/>
      <w:szCs w:val="24"/>
    </w:rPr>
  </w:style>
  <w:style w:type="paragraph" w:customStyle="1" w:styleId="54">
    <w:name w:val="Revision"/>
    <w:hidden/>
    <w:unhideWhenUsed/>
    <w:uiPriority w:val="99"/>
    <w:rPr>
      <w:rFonts w:ascii="Times New Roman" w:hAnsi="Times New Roman" w:eastAsia="宋体" w:cs="Times New Roman"/>
      <w:kern w:val="2"/>
      <w:sz w:val="21"/>
      <w:szCs w:val="24"/>
      <w:lang w:val="en-US" w:eastAsia="zh-CN" w:bidi="ar-SA"/>
    </w:rPr>
  </w:style>
  <w:style w:type="character" w:customStyle="1" w:styleId="55">
    <w:name w:val="页眉 Char1"/>
    <w:basedOn w:val="9"/>
    <w:link w:val="6"/>
    <w:semiHidden/>
    <w:uiPriority w:val="99"/>
    <w:rPr>
      <w:kern w:val="2"/>
      <w:sz w:val="18"/>
      <w:szCs w:val="18"/>
    </w:rPr>
  </w:style>
  <w:style w:type="character" w:customStyle="1" w:styleId="56">
    <w:name w:val="页脚 Char1"/>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41</cp:revision>
  <cp:lastPrinted>2022-09-06T04:53:40Z</cp:lastPrinted>
  <dcterms:created xsi:type="dcterms:W3CDTF">2020-08-04T01:49:00Z</dcterms:created>
  <dcterms:modified xsi:type="dcterms:W3CDTF">2022-11-16T04:44:39Z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73</cp:revision>
  <cp:lastPrinted>2022-09-06T04:53:00Z</cp:lastPrinted>
  <dcterms:created xsi:type="dcterms:W3CDTF">2020-08-04T01:49:00Z</dcterms:created>
  <dcterms:modified xsi:type="dcterms:W3CDTF">2023-02-21T06:35:00Z</dcterms:modified>
</cp:coreProperties>
</file>

<file path=customXml/item3.xml><?xml version="1.0" encoding="utf-8"?>
<Properties xmlns="http://schemas.openxmlformats.org/officeDocument/2006/extended-properties" xmlns:vt="http://schemas.openxmlformats.org/officeDocument/2006/docPropsVTypes">
  <Template>Normal</Template>
  <TotalTime>157260511</TotalTime>
  <Pages>30</Pages>
  <Words>2634</Words>
  <Characters>15019</Characters>
  <Application>Microsoft Office Word</Application>
  <DocSecurity>0</DocSecurity>
  <Lines>125</Lines>
  <Paragraphs>35</Paragraphs>
  <ScaleCrop>false</ScaleCrop>
  <Company>四川省财政厅</Company>
  <LinksUpToDate>false</LinksUpToDate>
  <CharactersWithSpaces>17618</CharactersWithSpaces>
  <SharedDoc>false</SharedDoc>
  <HyperlinksChanged>false</HyperlinksChanged>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846C2DC60C5A41578E68D10E5657DF50</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73</cp:revision>
  <cp:lastPrinted>2022-09-06T04:53:00Z</cp:lastPrinted>
  <dcterms:created xsi:type="dcterms:W3CDTF">2020-08-04T01:49:00Z</dcterms:created>
  <dcterms:modified xsi:type="dcterms:W3CDTF">2023-02-21T06:35:00Z</dcterms:modified>
</cp:coreProperties>
</file>

<file path=customXml/item6.xml><?xml version="1.0" encoding="utf-8"?>
<Properties xmlns:vt="http://schemas.openxmlformats.org/officeDocument/2006/docPropsVTypes" xmlns="http://schemas.openxmlformats.org/officeDocument/2006/extended-properties">
  <Template>Normal</Template>
  <TotalTime>157260511</TotalTime>
  <Pages>30</Pages>
  <Words>2634</Words>
  <Characters>15019</Characters>
  <Application>Microsoft Office Word</Application>
  <DocSecurity>0</DocSecurity>
  <Lines>125</Lines>
  <Paragraphs>35</Paragraphs>
  <Company>四川省财政厅</Company>
  <CharactersWithSpaces>17618</CharactersWithSpaces>
  <AppVersion>12.0000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846C2DC60C5A41578E68D10E5657DF50</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846C2DC60C5A41578E68D10E5657DF50</vt:lpstr>
  </property>
</Properties>
</file>

<file path=customXml/item9.xml><?xml version="1.0" encoding="utf-8"?>
<Properties xmlns:vt="http://schemas.openxmlformats.org/officeDocument/2006/docPropsVTypes" xmlns="http://schemas.openxmlformats.org/officeDocument/2006/extended-properties">
  <Template>Normal.dotm</Template>
  <TotalTime>157260480</TotalTime>
  <Pages>38</Pages>
  <Words>13369</Words>
  <Characters>15827</Characters>
  <Application>WPS Office_11.1.0.9208_F1E327BC-269C-435d-A152-05C5408002CA</Application>
  <DocSecurity>0</DocSecurity>
  <Lines>74</Lines>
  <Paragraphs>21</Paragraphs>
  <Company>四川省财政厅</Company>
  <CharactersWithSpaces>16308</CharactersWithSpaces>
  <AppVersion>12.0000</AppVersion>
</Properties>
</file>

<file path=customXml/itemProps1.xml><?xml version="1.0" encoding="utf-8"?>
<ds:datastoreItem xmlns:ds="http://schemas.openxmlformats.org/officeDocument/2006/customXml" ds:itemID="{D1A84F4D-09BA-4C1F-9090-A7E806B8F4D9}">
  <ds:schemaRefs/>
</ds:datastoreItem>
</file>

<file path=customXml/itemProps2.xml><?xml version="1.0" encoding="utf-8"?>
<ds:datastoreItem xmlns:ds="http://schemas.openxmlformats.org/officeDocument/2006/customXml" ds:itemID="{F1A79E81-597F-41E0-84D2-068ED83DFE05}">
  <ds:schemaRefs/>
</ds:datastoreItem>
</file>

<file path=customXml/itemProps3.xml><?xml version="1.0" encoding="utf-8"?>
<ds:datastoreItem xmlns:ds="http://schemas.openxmlformats.org/officeDocument/2006/customXml" ds:itemID="{A3BD1092-0AAC-4A23-8F0B-F78E12112089}">
  <ds:schemaRefs/>
</ds:datastoreItem>
</file>

<file path=customXml/itemProps4.xml><?xml version="1.0" encoding="utf-8"?>
<ds:datastoreItem xmlns:ds="http://schemas.openxmlformats.org/officeDocument/2006/customXml" ds:itemID="{0587A892-22EF-4FF8-8E03-6E5AAF801EF1}">
  <ds:schemaRefs/>
</ds:datastoreItem>
</file>

<file path=customXml/itemProps5.xml><?xml version="1.0" encoding="utf-8"?>
<ds:datastoreItem xmlns:ds="http://schemas.openxmlformats.org/officeDocument/2006/customXml" ds:itemID="{FD4F35E4-16B6-4602-A883-AF6BBE2AE9DA}">
  <ds:schemaRefs/>
</ds:datastoreItem>
</file>

<file path=customXml/itemProps6.xml><?xml version="1.0" encoding="utf-8"?>
<ds:datastoreItem xmlns:ds="http://schemas.openxmlformats.org/officeDocument/2006/customXml" ds:itemID="{E04D4C76-9B66-4EC9-A80E-28A5ABBA7840}">
  <ds:schemaRefs/>
</ds:datastoreItem>
</file>

<file path=customXml/itemProps7.xml><?xml version="1.0" encoding="utf-8"?>
<ds:datastoreItem xmlns:ds="http://schemas.openxmlformats.org/officeDocument/2006/customXml" ds:itemID="{DC3681F1-F7DB-4BD8-A3CF-E1143D613599}">
  <ds:schemaRefs/>
</ds:datastoreItem>
</file>

<file path=customXml/itemProps8.xml><?xml version="1.0" encoding="utf-8"?>
<ds:datastoreItem xmlns:ds="http://schemas.openxmlformats.org/officeDocument/2006/customXml" ds:itemID="{29596D66-9157-4642-89FA-2A5EF6DACFCD}">
  <ds:schemaRefs/>
</ds:datastoreItem>
</file>

<file path=customXml/itemProps9.xml><?xml version="1.0" encoding="utf-8"?>
<ds:datastoreItem xmlns:ds="http://schemas.openxmlformats.org/officeDocument/2006/customXml" ds:itemID="{950C6818-5C3D-4EF5-99FE-95FF815C775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13117</Words>
  <Characters>14265</Characters>
  <Lines>124</Lines>
  <Paragraphs>34</Paragraphs>
  <TotalTime>157260520</TotalTime>
  <ScaleCrop>false</ScaleCrop>
  <LinksUpToDate>false</LinksUpToDate>
  <CharactersWithSpaces>14352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2022-09-06T04:53:00Z</cp:lastPrinted>
  <dcterms:modified xsi:type="dcterms:W3CDTF">2023-06-18T12:02:17Z</dcterms:modified>
  <dc:title>四川省***</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846C2DC60C5A41578E68D10E5657DF50</vt:lpwstr>
  </property>
</Properties>
</file>