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0" w:name="_Toc15377425"/>
      <w:bookmarkStart w:id="1" w:name="_Toc15377193"/>
      <w:bookmarkStart w:id="2" w:name="_Toc29087"/>
      <w:bookmarkStart w:id="3" w:name="_Toc24266"/>
      <w:bookmarkStart w:id="4" w:name="_Toc17836"/>
      <w:bookmarkStart w:id="5" w:name="_Toc15396475"/>
      <w:bookmarkStart w:id="6" w:name="_Toc15378441"/>
      <w:bookmarkStart w:id="7" w:name="_Toc15396597"/>
      <w:bookmarkStart w:id="8" w:name="_Toc1530626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9" w:name="_Toc20016"/>
      <w:bookmarkStart w:id="10" w:name="_Toc26754"/>
      <w:bookmarkStart w:id="11" w:name="_Toc14362"/>
      <w:bookmarkStart w:id="12" w:name="_Toc15378442"/>
      <w:bookmarkStart w:id="13" w:name="_Toc15396476"/>
      <w:bookmarkStart w:id="14" w:name="_Toc15377194"/>
      <w:bookmarkStart w:id="15" w:name="_Toc15396598"/>
      <w:bookmarkStart w:id="16" w:name="_Toc15377426"/>
      <w:r>
        <w:rPr>
          <w:rFonts w:hint="eastAsia" w:ascii="方正小标宋简体" w:hAnsi="方正小标宋简体" w:eastAsia="方正小标宋简体" w:cs="方正小标宋简体"/>
          <w:color w:val="auto"/>
          <w:sz w:val="72"/>
          <w:szCs w:val="72"/>
          <w:highlight w:val="none"/>
        </w:rPr>
        <w:t>四川省</w:t>
      </w:r>
      <w:bookmarkEnd w:id="8"/>
      <w:bookmarkStart w:id="17" w:name="_Toc15306268"/>
      <w:r>
        <w:rPr>
          <w:rFonts w:hint="eastAsia" w:ascii="方正小标宋简体" w:hAnsi="方正小标宋简体" w:eastAsia="方正小标宋简体" w:cs="方正小标宋简体"/>
          <w:color w:val="auto"/>
          <w:sz w:val="72"/>
          <w:szCs w:val="72"/>
          <w:highlight w:val="none"/>
          <w:lang w:eastAsia="zh-CN"/>
        </w:rPr>
        <w:t>巴中市通江县</w:t>
      </w:r>
      <w:bookmarkEnd w:id="9"/>
      <w:bookmarkEnd w:id="10"/>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8" w:name="_Toc12864"/>
      <w:bookmarkStart w:id="19" w:name="_Toc5384"/>
      <w:r>
        <w:rPr>
          <w:rFonts w:hint="eastAsia" w:ascii="方正小标宋简体" w:hAnsi="方正小标宋简体" w:eastAsia="方正小标宋简体" w:cs="方正小标宋简体"/>
          <w:color w:val="auto"/>
          <w:sz w:val="72"/>
          <w:szCs w:val="72"/>
          <w:highlight w:val="none"/>
          <w:lang w:eastAsia="zh-CN"/>
        </w:rPr>
        <w:t>两河口镇卫生院单位</w:t>
      </w:r>
      <w:r>
        <w:rPr>
          <w:rFonts w:hint="eastAsia" w:ascii="方正小标宋简体" w:hAnsi="方正小标宋简体" w:eastAsia="方正小标宋简体" w:cs="方正小标宋简体"/>
          <w:color w:val="auto"/>
          <w:sz w:val="72"/>
          <w:szCs w:val="72"/>
          <w:highlight w:val="none"/>
        </w:rPr>
        <w:t>决算</w:t>
      </w:r>
      <w:bookmarkEnd w:id="11"/>
      <w:bookmarkEnd w:id="12"/>
      <w:bookmarkEnd w:id="13"/>
      <w:bookmarkEnd w:id="14"/>
      <w:bookmarkEnd w:id="15"/>
      <w:bookmarkEnd w:id="16"/>
      <w:bookmarkEnd w:id="17"/>
      <w:bookmarkEnd w:id="18"/>
      <w:bookmarkEnd w:id="19"/>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spacing w:before="0" w:beforeLines="0" w:after="0" w:afterLines="0" w:line="240" w:lineRule="auto"/>
        <w:ind w:left="0" w:leftChars="0" w:right="0" w:rightChars="0" w:firstLine="0" w:firstLineChars="0"/>
        <w:jc w:val="center"/>
        <w:rPr>
          <w:rFonts w:hint="eastAsia" w:ascii="黑体" w:hAnsi="黑体" w:eastAsia="黑体" w:cs="黑体"/>
          <w:sz w:val="52"/>
          <w:szCs w:val="52"/>
        </w:rPr>
      </w:pPr>
      <w:bookmarkStart w:id="20" w:name="_Toc3183"/>
      <w:r>
        <w:rPr>
          <w:rFonts w:hint="eastAsia" w:ascii="黑体" w:hAnsi="黑体" w:eastAsia="黑体" w:cs="黑体"/>
          <w:sz w:val="52"/>
          <w:szCs w:val="52"/>
        </w:rPr>
        <w:t>目录</w:t>
      </w:r>
    </w:p>
    <w:p>
      <w:pPr>
        <w:spacing w:before="0" w:beforeLines="0" w:after="0" w:afterLines="0" w:line="240" w:lineRule="auto"/>
        <w:ind w:left="0" w:leftChars="0" w:right="0" w:rightChars="0"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公开时间：20</w:t>
      </w:r>
      <w:r>
        <w:rPr>
          <w:rFonts w:hint="eastAsia" w:ascii="仿宋" w:hAnsi="仿宋" w:eastAsia="仿宋" w:cs="仿宋"/>
          <w:color w:val="auto"/>
          <w:sz w:val="28"/>
          <w:szCs w:val="28"/>
          <w:highlight w:val="none"/>
          <w:lang w:val="en-US" w:eastAsia="zh-CN"/>
        </w:rPr>
        <w:t>22</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25</w:t>
      </w:r>
      <w:r>
        <w:rPr>
          <w:rFonts w:hint="eastAsia" w:ascii="仿宋" w:hAnsi="仿宋" w:eastAsia="仿宋" w:cs="仿宋"/>
          <w:color w:val="auto"/>
          <w:sz w:val="28"/>
          <w:szCs w:val="28"/>
          <w:highlight w:val="none"/>
        </w:rPr>
        <w:t>日</w:t>
      </w:r>
    </w:p>
    <w:sdt>
      <w:sdtPr>
        <w:rPr>
          <w:rFonts w:ascii="宋体" w:hAnsi="宋体" w:eastAsia="宋体" w:cs="Times New Roman"/>
          <w:kern w:val="2"/>
          <w:sz w:val="21"/>
          <w:szCs w:val="24"/>
          <w:lang w:val="en-US" w:eastAsia="zh-CN" w:bidi="ar-SA"/>
        </w:rPr>
        <w:id w:val="147450962"/>
        <w15:color w:val="DBDBDB"/>
        <w:docPartObj>
          <w:docPartGallery w:val="Table of Contents"/>
          <w:docPartUnique/>
        </w:docPartObj>
      </w:sdtPr>
      <w:sdtEndPr>
        <w:rPr>
          <w:rFonts w:hint="eastAsia" w:ascii="黑体" w:hAnsi="黑体" w:eastAsia="黑体" w:cs="Times New Roman"/>
          <w:b/>
          <w:bCs/>
          <w:color w:val="auto"/>
          <w:kern w:val="44"/>
          <w:sz w:val="44"/>
          <w:szCs w:val="44"/>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b w:val="0"/>
              <w:color w:val="auto"/>
              <w:highlight w:val="none"/>
            </w:rPr>
            <w:fldChar w:fldCharType="begin"/>
          </w:r>
          <w:r>
            <w:rPr>
              <w:rFonts w:hint="eastAsia" w:ascii="黑体" w:hAnsi="黑体" w:eastAsia="黑体"/>
              <w:b w:val="0"/>
              <w:color w:val="auto"/>
              <w:highlight w:val="none"/>
            </w:rPr>
            <w:instrText xml:space="preserve">TOC\o"1-2"\h\u</w:instrText>
          </w:r>
          <w:r>
            <w:rPr>
              <w:rFonts w:hint="eastAsia" w:ascii="黑体" w:hAnsi="黑体" w:eastAsia="黑体"/>
              <w:b w:val="0"/>
              <w:color w:val="auto"/>
              <w:highlight w:val="none"/>
            </w:rPr>
            <w:fldChar w:fldCharType="separate"/>
          </w:r>
          <w:r>
            <w:rPr>
              <w:rFonts w:hint="eastAsia" w:ascii="黑体" w:hAnsi="黑体" w:eastAsia="黑体" w:cs="黑体"/>
              <w:color w:val="auto"/>
              <w:sz w:val="21"/>
              <w:szCs w:val="21"/>
              <w:highlight w:val="none"/>
            </w:rPr>
            <w:fldChar w:fldCharType="begin"/>
          </w:r>
          <w:r>
            <w:rPr>
              <w:rFonts w:hint="eastAsia" w:ascii="黑体" w:hAnsi="黑体" w:eastAsia="黑体" w:cs="黑体"/>
              <w:sz w:val="21"/>
              <w:szCs w:val="21"/>
              <w:highlight w:val="none"/>
            </w:rPr>
            <w:instrText xml:space="preserve"> HYPERLINK \l _Toc27288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第一部分</w:t>
          </w:r>
          <w:r>
            <w:rPr>
              <w:rFonts w:hint="eastAsia" w:ascii="黑体" w:hAnsi="黑体" w:eastAsia="黑体" w:cs="黑体"/>
              <w:sz w:val="21"/>
              <w:szCs w:val="21"/>
              <w:highlight w:val="none"/>
              <w:lang w:eastAsia="zh-CN"/>
            </w:rPr>
            <w:t>单位</w:t>
          </w:r>
          <w:r>
            <w:rPr>
              <w:rFonts w:hint="eastAsia" w:ascii="黑体" w:hAnsi="黑体" w:eastAsia="黑体" w:cs="黑体"/>
              <w:bCs w:val="0"/>
              <w:sz w:val="21"/>
              <w:szCs w:val="21"/>
              <w:highlight w:val="none"/>
            </w:rPr>
            <w:t>概况</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_Toc27288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color w:val="auto"/>
              <w:sz w:val="21"/>
              <w:szCs w:val="21"/>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_Toc28693 </w:instrText>
          </w:r>
          <w:r>
            <w:rPr>
              <w:rFonts w:hint="eastAsia" w:ascii="黑体" w:hAnsi="黑体" w:eastAsia="黑体"/>
              <w:highlight w:val="none"/>
            </w:rPr>
            <w:fldChar w:fldCharType="separate"/>
          </w:r>
          <w:r>
            <w:rPr>
              <w:rFonts w:hint="eastAsia" w:ascii="仿宋" w:hAnsi="仿宋" w:eastAsia="仿宋" w:cs="仿宋"/>
              <w:bCs/>
              <w:highlight w:val="none"/>
              <w:lang w:eastAsia="zh-CN"/>
            </w:rPr>
            <w:t>一、</w:t>
          </w:r>
          <w:r>
            <w:rPr>
              <w:rFonts w:hint="eastAsia" w:ascii="仿宋" w:hAnsi="仿宋" w:eastAsia="仿宋" w:cs="仿宋"/>
              <w:bCs/>
              <w:highlight w:val="none"/>
            </w:rPr>
            <w:t>职能</w:t>
          </w:r>
          <w:r>
            <w:rPr>
              <w:rFonts w:hint="eastAsia" w:ascii="仿宋" w:hAnsi="仿宋" w:eastAsia="仿宋" w:cs="仿宋"/>
              <w:bCs/>
              <w:highlight w:val="none"/>
              <w:lang w:eastAsia="zh-CN"/>
            </w:rPr>
            <w:t>简介</w:t>
          </w:r>
          <w:r>
            <w:tab/>
          </w:r>
          <w:r>
            <w:fldChar w:fldCharType="begin"/>
          </w:r>
          <w:r>
            <w:instrText xml:space="preserve"> PAGEREF _Toc28693 </w:instrText>
          </w:r>
          <w:r>
            <w:fldChar w:fldCharType="separate"/>
          </w:r>
          <w:r>
            <w:t>1</w:t>
          </w:r>
          <w:r>
            <w:fldChar w:fldCharType="end"/>
          </w:r>
          <w:r>
            <w:rPr>
              <w:rFonts w:hint="eastAsia" w:ascii="黑体" w:hAnsi="黑体" w:eastAsia="黑体"/>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_Toc6181 </w:instrText>
          </w:r>
          <w:r>
            <w:rPr>
              <w:rFonts w:hint="eastAsia" w:ascii="黑体" w:hAnsi="黑体" w:eastAsia="黑体"/>
              <w:highlight w:val="none"/>
            </w:rPr>
            <w:fldChar w:fldCharType="separate"/>
          </w:r>
          <w:r>
            <w:rPr>
              <w:rFonts w:hint="eastAsia" w:ascii="仿宋" w:hAnsi="仿宋" w:eastAsia="仿宋" w:cs="仿宋"/>
              <w:bCs/>
              <w:szCs w:val="32"/>
              <w:highlight w:val="none"/>
              <w:lang w:val="en-US" w:eastAsia="zh-CN"/>
            </w:rPr>
            <w:t>二、2021年重点</w:t>
          </w:r>
          <w:r>
            <w:rPr>
              <w:rFonts w:hint="eastAsia" w:ascii="仿宋" w:hAnsi="仿宋" w:eastAsia="仿宋" w:cs="仿宋"/>
              <w:bCs/>
              <w:szCs w:val="32"/>
              <w:highlight w:val="none"/>
            </w:rPr>
            <w:t>工作</w:t>
          </w:r>
          <w:r>
            <w:rPr>
              <w:rFonts w:hint="eastAsia" w:ascii="仿宋" w:hAnsi="仿宋" w:eastAsia="仿宋" w:cs="仿宋"/>
              <w:bCs/>
              <w:szCs w:val="32"/>
              <w:highlight w:val="none"/>
              <w:lang w:eastAsia="zh-CN"/>
            </w:rPr>
            <w:t>完成情况</w:t>
          </w:r>
          <w:r>
            <w:tab/>
          </w:r>
          <w:r>
            <w:fldChar w:fldCharType="begin"/>
          </w:r>
          <w:r>
            <w:instrText xml:space="preserve"> PAGEREF _Toc6181 </w:instrText>
          </w:r>
          <w:r>
            <w:fldChar w:fldCharType="separate"/>
          </w:r>
          <w:r>
            <w:t>1</w:t>
          </w:r>
          <w:r>
            <w:fldChar w:fldCharType="end"/>
          </w:r>
          <w:r>
            <w:rPr>
              <w:rFonts w:hint="eastAsia" w:ascii="黑体" w:hAnsi="黑体" w:eastAsia="黑体"/>
              <w:color w:val="auto"/>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s="黑体"/>
              <w:color w:val="auto"/>
              <w:sz w:val="21"/>
              <w:szCs w:val="21"/>
              <w:highlight w:val="none"/>
            </w:rPr>
            <w:fldChar w:fldCharType="begin"/>
          </w:r>
          <w:r>
            <w:rPr>
              <w:rFonts w:hint="eastAsia" w:ascii="黑体" w:hAnsi="黑体" w:eastAsia="黑体" w:cs="黑体"/>
              <w:sz w:val="21"/>
              <w:szCs w:val="21"/>
              <w:highlight w:val="none"/>
            </w:rPr>
            <w:instrText xml:space="preserve"> HYPERLINK \l _Toc16604 </w:instrText>
          </w:r>
          <w:r>
            <w:rPr>
              <w:rFonts w:hint="eastAsia" w:ascii="黑体" w:hAnsi="黑体" w:eastAsia="黑体" w:cs="黑体"/>
              <w:sz w:val="21"/>
              <w:szCs w:val="21"/>
              <w:highlight w:val="none"/>
            </w:rPr>
            <w:fldChar w:fldCharType="separate"/>
          </w:r>
          <w:r>
            <w:rPr>
              <w:rFonts w:hint="eastAsia" w:ascii="黑体" w:hAnsi="黑体" w:eastAsia="黑体" w:cs="黑体"/>
              <w:bCs/>
              <w:sz w:val="21"/>
              <w:szCs w:val="21"/>
              <w:highlight w:val="none"/>
            </w:rPr>
            <w:t>第二部分</w:t>
          </w:r>
          <w:r>
            <w:rPr>
              <w:rFonts w:hint="eastAsia" w:ascii="黑体" w:hAnsi="黑体" w:eastAsia="黑体" w:cs="黑体"/>
              <w:bCs/>
              <w:sz w:val="21"/>
              <w:szCs w:val="21"/>
              <w:highlight w:val="none"/>
              <w:lang w:val="en-US" w:eastAsia="zh-CN"/>
            </w:rPr>
            <w:t>2021年度</w:t>
          </w:r>
          <w:r>
            <w:rPr>
              <w:rFonts w:hint="eastAsia" w:ascii="黑体" w:hAnsi="黑体" w:eastAsia="黑体" w:cs="黑体"/>
              <w:bCs/>
              <w:sz w:val="21"/>
              <w:szCs w:val="21"/>
              <w:highlight w:val="none"/>
              <w:lang w:eastAsia="zh-CN"/>
            </w:rPr>
            <w:t>单位</w:t>
          </w:r>
          <w:r>
            <w:rPr>
              <w:rFonts w:hint="eastAsia" w:ascii="黑体" w:hAnsi="黑体" w:eastAsia="黑体" w:cs="黑体"/>
              <w:bCs/>
              <w:sz w:val="21"/>
              <w:szCs w:val="21"/>
              <w:highlight w:val="none"/>
            </w:rPr>
            <w:t>决算情况说明</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_Toc16604 </w:instrText>
          </w:r>
          <w:r>
            <w:rPr>
              <w:rFonts w:hint="eastAsia" w:ascii="黑体" w:hAnsi="黑体" w:eastAsia="黑体" w:cs="黑体"/>
              <w:sz w:val="21"/>
              <w:szCs w:val="21"/>
            </w:rPr>
            <w:fldChar w:fldCharType="separate"/>
          </w:r>
          <w:r>
            <w:rPr>
              <w:rFonts w:hint="eastAsia" w:ascii="黑体" w:hAnsi="黑体" w:eastAsia="黑体" w:cs="黑体"/>
              <w:sz w:val="21"/>
              <w:szCs w:val="21"/>
            </w:rPr>
            <w:t>6</w:t>
          </w:r>
          <w:r>
            <w:rPr>
              <w:rFonts w:hint="eastAsia" w:ascii="黑体" w:hAnsi="黑体" w:eastAsia="黑体" w:cs="黑体"/>
              <w:sz w:val="21"/>
              <w:szCs w:val="21"/>
            </w:rPr>
            <w:fldChar w:fldCharType="end"/>
          </w:r>
          <w:r>
            <w:rPr>
              <w:rFonts w:hint="eastAsia" w:ascii="黑体" w:hAnsi="黑体" w:eastAsia="黑体" w:cs="黑体"/>
              <w:color w:val="auto"/>
              <w:sz w:val="21"/>
              <w:szCs w:val="21"/>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_Toc22702 </w:instrText>
          </w:r>
          <w:r>
            <w:rPr>
              <w:rFonts w:hint="eastAsia" w:ascii="黑体" w:hAnsi="黑体" w:eastAsia="黑体"/>
              <w:highlight w:val="none"/>
            </w:rP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_Toc22702 </w:instrText>
          </w:r>
          <w:r>
            <w:fldChar w:fldCharType="separate"/>
          </w:r>
          <w:r>
            <w:t>6</w:t>
          </w:r>
          <w:r>
            <w:fldChar w:fldCharType="end"/>
          </w:r>
          <w:r>
            <w:rPr>
              <w:rFonts w:hint="eastAsia" w:ascii="黑体" w:hAnsi="黑体" w:eastAsia="黑体"/>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_Toc25860 </w:instrText>
          </w:r>
          <w:r>
            <w:rPr>
              <w:rFonts w:hint="eastAsia" w:ascii="黑体" w:hAnsi="黑体" w:eastAsia="黑体"/>
              <w:highlight w:val="none"/>
            </w:rP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_Toc25860 </w:instrText>
          </w:r>
          <w:r>
            <w:fldChar w:fldCharType="separate"/>
          </w:r>
          <w:r>
            <w:t>6</w:t>
          </w:r>
          <w:r>
            <w:fldChar w:fldCharType="end"/>
          </w:r>
          <w:r>
            <w:rPr>
              <w:rFonts w:hint="eastAsia" w:ascii="黑体" w:hAnsi="黑体" w:eastAsia="黑体"/>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_Toc26511 </w:instrText>
          </w:r>
          <w:r>
            <w:rPr>
              <w:rFonts w:hint="eastAsia" w:ascii="黑体" w:hAnsi="黑体" w:eastAsia="黑体"/>
              <w:highlight w:val="none"/>
            </w:rP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_Toc26511 </w:instrText>
          </w:r>
          <w:r>
            <w:fldChar w:fldCharType="separate"/>
          </w:r>
          <w:r>
            <w:t>7</w:t>
          </w:r>
          <w:r>
            <w:fldChar w:fldCharType="end"/>
          </w:r>
          <w:r>
            <w:rPr>
              <w:rFonts w:hint="eastAsia" w:ascii="黑体" w:hAnsi="黑体" w:eastAsia="黑体"/>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_Toc16504 </w:instrText>
          </w:r>
          <w:r>
            <w:rPr>
              <w:rFonts w:hint="eastAsia" w:ascii="黑体" w:hAnsi="黑体" w:eastAsia="黑体"/>
              <w:highlight w:val="none"/>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_Toc16504 </w:instrText>
          </w:r>
          <w:r>
            <w:fldChar w:fldCharType="separate"/>
          </w:r>
          <w:r>
            <w:t>7</w:t>
          </w:r>
          <w:r>
            <w:fldChar w:fldCharType="end"/>
          </w:r>
          <w:r>
            <w:rPr>
              <w:rFonts w:hint="eastAsia" w:ascii="黑体" w:hAnsi="黑体" w:eastAsia="黑体"/>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_Toc20106 </w:instrText>
          </w:r>
          <w:r>
            <w:rPr>
              <w:rFonts w:hint="eastAsia" w:ascii="黑体" w:hAnsi="黑体" w:eastAsia="黑体"/>
              <w:highlight w:val="none"/>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_Toc20106 </w:instrText>
          </w:r>
          <w:r>
            <w:fldChar w:fldCharType="separate"/>
          </w:r>
          <w:r>
            <w:t>8</w:t>
          </w:r>
          <w:r>
            <w:fldChar w:fldCharType="end"/>
          </w:r>
          <w:r>
            <w:rPr>
              <w:rFonts w:hint="eastAsia" w:ascii="黑体" w:hAnsi="黑体" w:eastAsia="黑体"/>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_Toc20843 </w:instrText>
          </w:r>
          <w:r>
            <w:rPr>
              <w:rFonts w:hint="eastAsia" w:ascii="黑体" w:hAnsi="黑体" w:eastAsia="黑体"/>
              <w:highlight w:val="none"/>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_Toc20843 </w:instrText>
          </w:r>
          <w:r>
            <w:fldChar w:fldCharType="separate"/>
          </w:r>
          <w:r>
            <w:t>10</w:t>
          </w:r>
          <w:r>
            <w:fldChar w:fldCharType="end"/>
          </w:r>
          <w:r>
            <w:rPr>
              <w:rFonts w:hint="eastAsia" w:ascii="黑体" w:hAnsi="黑体" w:eastAsia="黑体"/>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_Toc524 </w:instrText>
          </w:r>
          <w:r>
            <w:rPr>
              <w:rFonts w:hint="eastAsia" w:ascii="黑体" w:hAnsi="黑体" w:eastAsia="黑体"/>
              <w:highlight w:val="none"/>
            </w:rP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_Toc524 </w:instrText>
          </w:r>
          <w:r>
            <w:fldChar w:fldCharType="separate"/>
          </w:r>
          <w:r>
            <w:t>10</w:t>
          </w:r>
          <w:r>
            <w:fldChar w:fldCharType="end"/>
          </w:r>
          <w:r>
            <w:rPr>
              <w:rFonts w:hint="eastAsia" w:ascii="黑体" w:hAnsi="黑体" w:eastAsia="黑体"/>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_Toc16024 </w:instrText>
          </w:r>
          <w:r>
            <w:rPr>
              <w:rFonts w:hint="eastAsia" w:ascii="黑体" w:hAnsi="黑体" w:eastAsia="黑体"/>
              <w:highlight w:val="none"/>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_Toc16024 </w:instrText>
          </w:r>
          <w:r>
            <w:fldChar w:fldCharType="separate"/>
          </w:r>
          <w:r>
            <w:t>11</w:t>
          </w:r>
          <w:r>
            <w:fldChar w:fldCharType="end"/>
          </w:r>
          <w:r>
            <w:rPr>
              <w:rFonts w:hint="eastAsia" w:ascii="黑体" w:hAnsi="黑体" w:eastAsia="黑体"/>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_Toc25944 </w:instrText>
          </w:r>
          <w:r>
            <w:rPr>
              <w:rFonts w:hint="eastAsia" w:ascii="黑体" w:hAnsi="黑体" w:eastAsia="黑体"/>
              <w:highlight w:val="none"/>
            </w:rP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_Toc25944 </w:instrText>
          </w:r>
          <w:r>
            <w:fldChar w:fldCharType="separate"/>
          </w:r>
          <w:r>
            <w:t>11</w:t>
          </w:r>
          <w:r>
            <w:fldChar w:fldCharType="end"/>
          </w:r>
          <w:r>
            <w:rPr>
              <w:rFonts w:hint="eastAsia" w:ascii="黑体" w:hAnsi="黑体" w:eastAsia="黑体"/>
              <w:color w:val="auto"/>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_Toc17624 </w:instrText>
          </w:r>
          <w:r>
            <w:rPr>
              <w:rFonts w:hint="eastAsia" w:ascii="黑体" w:hAnsi="黑体" w:eastAsia="黑体"/>
              <w:highlight w:val="none"/>
            </w:rP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_Toc17624 </w:instrText>
          </w:r>
          <w:r>
            <w:fldChar w:fldCharType="separate"/>
          </w:r>
          <w:r>
            <w:t>11</w:t>
          </w:r>
          <w:r>
            <w:fldChar w:fldCharType="end"/>
          </w:r>
          <w:r>
            <w:rPr>
              <w:rFonts w:hint="eastAsia" w:ascii="黑体" w:hAnsi="黑体" w:eastAsia="黑体"/>
              <w:color w:val="auto"/>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rPr>
              <w:rFonts w:hint="eastAsia" w:ascii="黑体" w:hAnsi="黑体" w:eastAsia="黑体" w:cs="黑体"/>
              <w:sz w:val="21"/>
              <w:szCs w:val="21"/>
            </w:rPr>
          </w:pPr>
          <w:r>
            <w:rPr>
              <w:rFonts w:hint="eastAsia" w:ascii="黑体" w:hAnsi="黑体" w:eastAsia="黑体" w:cs="黑体"/>
              <w:color w:val="auto"/>
              <w:sz w:val="21"/>
              <w:szCs w:val="21"/>
              <w:highlight w:val="none"/>
            </w:rPr>
            <w:fldChar w:fldCharType="begin"/>
          </w:r>
          <w:r>
            <w:rPr>
              <w:rFonts w:hint="eastAsia" w:ascii="黑体" w:hAnsi="黑体" w:eastAsia="黑体" w:cs="黑体"/>
              <w:sz w:val="21"/>
              <w:szCs w:val="21"/>
              <w:highlight w:val="none"/>
            </w:rPr>
            <w:instrText xml:space="preserve"> HYPERLINK \l _Toc12362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rPr>
            <w:t xml:space="preserve">第三部分 </w:t>
          </w:r>
          <w:r>
            <w:rPr>
              <w:rFonts w:hint="eastAsia" w:ascii="黑体" w:hAnsi="黑体" w:eastAsia="黑体" w:cs="黑体"/>
              <w:sz w:val="21"/>
              <w:szCs w:val="21"/>
              <w:highlight w:val="none"/>
            </w:rPr>
            <w:t>名词解释</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_Toc12362 </w:instrText>
          </w:r>
          <w:r>
            <w:rPr>
              <w:rFonts w:hint="eastAsia" w:ascii="黑体" w:hAnsi="黑体" w:eastAsia="黑体" w:cs="黑体"/>
              <w:sz w:val="21"/>
              <w:szCs w:val="21"/>
            </w:rPr>
            <w:fldChar w:fldCharType="separate"/>
          </w:r>
          <w:r>
            <w:rPr>
              <w:rFonts w:hint="eastAsia" w:ascii="黑体" w:hAnsi="黑体" w:eastAsia="黑体" w:cs="黑体"/>
              <w:sz w:val="21"/>
              <w:szCs w:val="21"/>
            </w:rPr>
            <w:t>14</w:t>
          </w:r>
          <w:r>
            <w:rPr>
              <w:rFonts w:hint="eastAsia" w:ascii="黑体" w:hAnsi="黑体" w:eastAsia="黑体" w:cs="黑体"/>
              <w:sz w:val="21"/>
              <w:szCs w:val="21"/>
            </w:rPr>
            <w:fldChar w:fldCharType="end"/>
          </w:r>
          <w:r>
            <w:rPr>
              <w:rFonts w:hint="eastAsia" w:ascii="黑体" w:hAnsi="黑体" w:eastAsia="黑体" w:cs="黑体"/>
              <w:color w:val="auto"/>
              <w:sz w:val="21"/>
              <w:szCs w:val="21"/>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rPr>
              <w:rFonts w:hint="eastAsia" w:ascii="黑体" w:hAnsi="黑体" w:eastAsia="黑体" w:cs="黑体"/>
              <w:sz w:val="21"/>
              <w:szCs w:val="21"/>
            </w:rPr>
          </w:pPr>
          <w:r>
            <w:rPr>
              <w:rFonts w:hint="eastAsia" w:ascii="黑体" w:hAnsi="黑体" w:eastAsia="黑体" w:cs="黑体"/>
              <w:color w:val="auto"/>
              <w:sz w:val="21"/>
              <w:szCs w:val="21"/>
              <w:highlight w:val="none"/>
            </w:rPr>
            <w:fldChar w:fldCharType="begin"/>
          </w:r>
          <w:r>
            <w:rPr>
              <w:rFonts w:hint="eastAsia" w:ascii="黑体" w:hAnsi="黑体" w:eastAsia="黑体" w:cs="黑体"/>
              <w:sz w:val="21"/>
              <w:szCs w:val="21"/>
              <w:highlight w:val="none"/>
            </w:rPr>
            <w:instrText xml:space="preserve"> HYPERLINK \l _Toc1692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rPr>
            <w:t xml:space="preserve">第四部分 </w:t>
          </w:r>
          <w:r>
            <w:rPr>
              <w:rFonts w:hint="eastAsia" w:ascii="黑体" w:hAnsi="黑体" w:eastAsia="黑体" w:cs="黑体"/>
              <w:sz w:val="21"/>
              <w:szCs w:val="21"/>
              <w:highlight w:val="none"/>
            </w:rPr>
            <w:t>附件</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_Toc1692 </w:instrText>
          </w:r>
          <w:r>
            <w:rPr>
              <w:rFonts w:hint="eastAsia" w:ascii="黑体" w:hAnsi="黑体" w:eastAsia="黑体" w:cs="黑体"/>
              <w:sz w:val="21"/>
              <w:szCs w:val="21"/>
            </w:rPr>
            <w:fldChar w:fldCharType="separate"/>
          </w:r>
          <w:r>
            <w:rPr>
              <w:rFonts w:hint="eastAsia" w:ascii="黑体" w:hAnsi="黑体" w:eastAsia="黑体" w:cs="黑体"/>
              <w:sz w:val="21"/>
              <w:szCs w:val="21"/>
            </w:rPr>
            <w:t>19</w:t>
          </w:r>
          <w:r>
            <w:rPr>
              <w:rFonts w:hint="eastAsia" w:ascii="黑体" w:hAnsi="黑体" w:eastAsia="黑体" w:cs="黑体"/>
              <w:sz w:val="21"/>
              <w:szCs w:val="21"/>
            </w:rPr>
            <w:fldChar w:fldCharType="end"/>
          </w:r>
          <w:r>
            <w:rPr>
              <w:rFonts w:hint="eastAsia" w:ascii="黑体" w:hAnsi="黑体" w:eastAsia="黑体" w:cs="黑体"/>
              <w:color w:val="auto"/>
              <w:sz w:val="21"/>
              <w:szCs w:val="21"/>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textAlignment w:val="auto"/>
          </w:pPr>
          <w:r>
            <w:rPr>
              <w:rFonts w:hint="eastAsia" w:ascii="黑体" w:hAnsi="黑体" w:eastAsia="黑体" w:cs="黑体"/>
              <w:color w:val="auto"/>
              <w:sz w:val="21"/>
              <w:szCs w:val="21"/>
              <w:highlight w:val="none"/>
            </w:rPr>
            <w:fldChar w:fldCharType="begin"/>
          </w:r>
          <w:r>
            <w:rPr>
              <w:rFonts w:hint="eastAsia" w:ascii="黑体" w:hAnsi="黑体" w:eastAsia="黑体" w:cs="黑体"/>
              <w:sz w:val="21"/>
              <w:szCs w:val="21"/>
              <w:highlight w:val="none"/>
            </w:rPr>
            <w:instrText xml:space="preserve"> HYPERLINK \l _Toc17362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第五部分附表</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_Toc17362 </w:instrText>
          </w:r>
          <w:r>
            <w:rPr>
              <w:rFonts w:hint="eastAsia" w:ascii="黑体" w:hAnsi="黑体" w:eastAsia="黑体" w:cs="黑体"/>
              <w:sz w:val="21"/>
              <w:szCs w:val="21"/>
            </w:rPr>
            <w:fldChar w:fldCharType="separate"/>
          </w:r>
          <w:r>
            <w:rPr>
              <w:rFonts w:hint="eastAsia" w:ascii="黑体" w:hAnsi="黑体" w:eastAsia="黑体" w:cs="黑体"/>
              <w:sz w:val="21"/>
              <w:szCs w:val="21"/>
            </w:rPr>
            <w:t>21</w:t>
          </w:r>
          <w:r>
            <w:rPr>
              <w:rFonts w:hint="eastAsia" w:ascii="黑体" w:hAnsi="黑体" w:eastAsia="黑体" w:cs="黑体"/>
              <w:sz w:val="21"/>
              <w:szCs w:val="21"/>
            </w:rPr>
            <w:fldChar w:fldCharType="end"/>
          </w:r>
          <w:r>
            <w:rPr>
              <w:rFonts w:hint="eastAsia" w:ascii="黑体" w:hAnsi="黑体" w:eastAsia="黑体" w:cs="黑体"/>
              <w:color w:val="auto"/>
              <w:sz w:val="21"/>
              <w:szCs w:val="21"/>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_Toc16976 </w:instrText>
          </w:r>
          <w:r>
            <w:rPr>
              <w:rFonts w:hint="eastAsia" w:ascii="黑体" w:hAnsi="黑体" w:eastAsia="黑体"/>
              <w:highlight w:val="none"/>
            </w:rP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_Toc16976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_Toc30699 </w:instrText>
          </w:r>
          <w:r>
            <w:rPr>
              <w:rFonts w:hint="eastAsia" w:ascii="黑体" w:hAnsi="黑体" w:eastAsia="黑体"/>
              <w:highlight w:val="none"/>
            </w:rP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_Toc30699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_Toc2440 </w:instrText>
          </w:r>
          <w:r>
            <w:rPr>
              <w:rFonts w:hint="eastAsia" w:ascii="黑体" w:hAnsi="黑体" w:eastAsia="黑体"/>
              <w:highlight w:val="none"/>
            </w:rP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_Toc2440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_Toc11349 </w:instrText>
          </w:r>
          <w:r>
            <w:rPr>
              <w:rFonts w:hint="eastAsia" w:ascii="黑体" w:hAnsi="黑体" w:eastAsia="黑体"/>
              <w:highlight w:val="none"/>
            </w:rP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_Toc11349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_Toc12340 </w:instrText>
          </w:r>
          <w:r>
            <w:rPr>
              <w:rFonts w:hint="eastAsia" w:ascii="黑体" w:hAnsi="黑体" w:eastAsia="黑体"/>
              <w:highlight w:val="none"/>
            </w:rP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_Toc12340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_Toc17970 </w:instrText>
          </w:r>
          <w:r>
            <w:rPr>
              <w:rFonts w:hint="eastAsia" w:ascii="黑体" w:hAnsi="黑体" w:eastAsia="黑体"/>
              <w:highlight w:val="none"/>
            </w:rP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_Toc17970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_Toc11285 </w:instrText>
          </w:r>
          <w:r>
            <w:rPr>
              <w:rFonts w:hint="eastAsia" w:ascii="黑体" w:hAnsi="黑体" w:eastAsia="黑体"/>
              <w:highlight w:val="none"/>
            </w:rP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_Toc11285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_Toc7365 </w:instrText>
          </w:r>
          <w:r>
            <w:rPr>
              <w:rFonts w:hint="eastAsia" w:ascii="黑体" w:hAnsi="黑体" w:eastAsia="黑体"/>
              <w:highlight w:val="none"/>
            </w:rP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_Toc7365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_Toc21984 </w:instrText>
          </w:r>
          <w:r>
            <w:rPr>
              <w:rFonts w:hint="eastAsia" w:ascii="黑体" w:hAnsi="黑体" w:eastAsia="黑体"/>
              <w:highlight w:val="none"/>
            </w:rP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_Toc21984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_Toc29308 </w:instrText>
          </w:r>
          <w:r>
            <w:rPr>
              <w:rFonts w:hint="eastAsia" w:ascii="黑体" w:hAnsi="黑体" w:eastAsia="黑体"/>
              <w:highlight w:val="none"/>
            </w:rPr>
            <w:fldChar w:fldCharType="separate"/>
          </w:r>
          <w:r>
            <w:rPr>
              <w:rFonts w:hint="eastAsia" w:ascii="仿宋" w:hAnsi="仿宋" w:eastAsia="仿宋"/>
              <w:bCs w:val="0"/>
              <w:highlight w:val="none"/>
            </w:rPr>
            <w:t>十、</w:t>
          </w:r>
          <w:r>
            <w:rPr>
              <w:rFonts w:hint="eastAsia" w:ascii="仿宋" w:hAnsi="仿宋" w:eastAsia="仿宋"/>
              <w:highlight w:val="none"/>
            </w:rPr>
            <w:t>一</w:t>
          </w:r>
          <w:r>
            <w:rPr>
              <w:rFonts w:hint="eastAsia" w:ascii="仿宋" w:hAnsi="仿宋" w:eastAsia="仿宋"/>
              <w:bCs w:val="0"/>
              <w:highlight w:val="none"/>
            </w:rPr>
            <w:t>般公共预算财政拨款“三公”经费支出决算表</w:t>
          </w:r>
          <w:r>
            <w:tab/>
          </w:r>
          <w:r>
            <w:fldChar w:fldCharType="begin"/>
          </w:r>
          <w:r>
            <w:instrText xml:space="preserve"> PAGEREF _Toc29308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_Toc18575 </w:instrText>
          </w:r>
          <w:r>
            <w:rPr>
              <w:rFonts w:hint="eastAsia" w:ascii="黑体" w:hAnsi="黑体" w:eastAsia="黑体"/>
              <w:highlight w:val="none"/>
            </w:rPr>
            <w:fldChar w:fldCharType="separate"/>
          </w:r>
          <w:r>
            <w:rPr>
              <w:rFonts w:hint="eastAsia" w:ascii="仿宋" w:hAnsi="仿宋" w:eastAsia="仿宋"/>
              <w:bCs w:val="0"/>
              <w:highlight w:val="none"/>
            </w:rPr>
            <w:t>十一、</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_Toc18575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_Toc30605 </w:instrText>
          </w:r>
          <w:r>
            <w:rPr>
              <w:rFonts w:hint="eastAsia" w:ascii="黑体" w:hAnsi="黑体" w:eastAsia="黑体"/>
              <w:highlight w:val="none"/>
            </w:rPr>
            <w:fldChar w:fldCharType="separate"/>
          </w:r>
          <w:r>
            <w:rPr>
              <w:rFonts w:hint="eastAsia" w:ascii="仿宋" w:hAnsi="仿宋" w:eastAsia="仿宋"/>
              <w:bCs w:val="0"/>
              <w:highlight w:val="none"/>
            </w:rPr>
            <w:t>十二、</w:t>
          </w:r>
          <w:r>
            <w:rPr>
              <w:rFonts w:hint="eastAsia" w:ascii="仿宋" w:hAnsi="仿宋" w:eastAsia="仿宋"/>
              <w:highlight w:val="none"/>
            </w:rPr>
            <w:t>政</w:t>
          </w:r>
          <w:r>
            <w:rPr>
              <w:rFonts w:hint="eastAsia" w:ascii="仿宋" w:hAnsi="仿宋" w:eastAsia="仿宋"/>
              <w:bCs w:val="0"/>
              <w:highlight w:val="none"/>
            </w:rPr>
            <w:t>府性基金预算财政拨款“三公”经费支出决算表</w:t>
          </w:r>
          <w:r>
            <w:tab/>
          </w:r>
          <w:r>
            <w:fldChar w:fldCharType="begin"/>
          </w:r>
          <w:r>
            <w:instrText xml:space="preserve"> PAGEREF _Toc30605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_Toc30752 </w:instrText>
          </w:r>
          <w:r>
            <w:rPr>
              <w:rFonts w:hint="eastAsia" w:ascii="黑体" w:hAnsi="黑体" w:eastAsia="黑体"/>
              <w:highlight w:val="none"/>
            </w:rPr>
            <w:fldChar w:fldCharType="separate"/>
          </w:r>
          <w:r>
            <w:rPr>
              <w:rFonts w:hint="eastAsia" w:ascii="仿宋" w:hAnsi="仿宋" w:eastAsia="仿宋"/>
              <w:bCs w:val="0"/>
              <w:highlight w:val="none"/>
            </w:rPr>
            <w:t>十三、</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_Toc30752 </w:instrText>
          </w:r>
          <w:r>
            <w:fldChar w:fldCharType="separate"/>
          </w:r>
          <w:r>
            <w:t>21</w:t>
          </w:r>
          <w:r>
            <w:fldChar w:fldCharType="end"/>
          </w:r>
          <w:r>
            <w:rPr>
              <w:rFonts w:hint="eastAsia" w:ascii="黑体" w:hAnsi="黑体" w:eastAsia="黑体"/>
              <w:color w:val="auto"/>
              <w:highlight w:val="none"/>
            </w:rPr>
            <w:fldChar w:fldCharType="end"/>
          </w:r>
        </w:p>
        <w:p>
          <w:pPr>
            <w:pStyle w:val="11"/>
            <w:tabs>
              <w:tab w:val="right" w:leader="dot" w:pos="8306"/>
              <w:tab w:val="clear" w:pos="829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_Toc10803 </w:instrText>
          </w:r>
          <w:r>
            <w:rPr>
              <w:rFonts w:hint="eastAsia" w:ascii="黑体" w:hAnsi="黑体" w:eastAsia="黑体"/>
              <w:highlight w:val="none"/>
            </w:rPr>
            <w:fldChar w:fldCharType="separate"/>
          </w:r>
          <w:r>
            <w:rPr>
              <w:rFonts w:hint="eastAsia" w:ascii="仿宋" w:hAnsi="仿宋" w:eastAsia="仿宋"/>
              <w:bCs w:val="0"/>
              <w:highlight w:val="none"/>
              <w:lang w:eastAsia="zh-CN"/>
            </w:rPr>
            <w:t>十四、国有资本经营预算财政拨款支出决算表</w:t>
          </w:r>
          <w:r>
            <w:tab/>
          </w:r>
          <w:r>
            <w:fldChar w:fldCharType="begin"/>
          </w:r>
          <w:r>
            <w:instrText xml:space="preserve"> PAGEREF _Toc10803 </w:instrText>
          </w:r>
          <w:r>
            <w:fldChar w:fldCharType="separate"/>
          </w:r>
          <w:r>
            <w:t>21</w:t>
          </w:r>
          <w:r>
            <w:fldChar w:fldCharType="end"/>
          </w:r>
          <w:r>
            <w:rPr>
              <w:rFonts w:hint="eastAsia" w:ascii="黑体" w:hAnsi="黑体" w:eastAsia="黑体"/>
              <w:color w:val="auto"/>
              <w:highlight w:val="none"/>
            </w:rPr>
            <w:fldChar w:fldCharType="end"/>
          </w:r>
        </w:p>
        <w:p>
          <w:pPr>
            <w:pStyle w:val="3"/>
            <w:jc w:val="center"/>
            <w:outlineLvl w:val="9"/>
            <w:rPr>
              <w:rFonts w:hint="eastAsia" w:ascii="黑体" w:hAnsi="黑体" w:eastAsia="黑体"/>
              <w:b w:val="0"/>
              <w:color w:val="auto"/>
              <w:highlight w:val="none"/>
            </w:rPr>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pPr>
          <w:r>
            <w:rPr>
              <w:rFonts w:hint="eastAsia" w:ascii="黑体" w:hAnsi="黑体" w:eastAsia="黑体"/>
              <w:color w:val="auto"/>
              <w:highlight w:val="none"/>
            </w:rPr>
            <w:fldChar w:fldCharType="end"/>
          </w:r>
        </w:p>
      </w:sdtContent>
    </w:sdt>
    <w:p>
      <w:pPr>
        <w:pStyle w:val="3"/>
        <w:jc w:val="center"/>
        <w:rPr>
          <w:rFonts w:hint="eastAsia" w:ascii="方正小标宋简体" w:hAnsi="方正小标宋简体" w:eastAsia="方正小标宋简体" w:cs="方正小标宋简体"/>
          <w:color w:val="auto"/>
          <w:sz w:val="32"/>
          <w:szCs w:val="32"/>
          <w:highlight w:val="none"/>
        </w:rPr>
      </w:pPr>
      <w:bookmarkStart w:id="21" w:name="_Toc8324"/>
      <w:bookmarkStart w:id="22" w:name="_Toc27288"/>
      <w:r>
        <w:rPr>
          <w:rFonts w:hint="eastAsia" w:ascii="方正小标宋简体" w:hAnsi="方正小标宋简体" w:eastAsia="方正小标宋简体" w:cs="方正小标宋简体"/>
          <w:b w:val="0"/>
          <w:color w:val="auto"/>
          <w:highlight w:val="none"/>
        </w:rPr>
        <w:t>第一部分</w:t>
      </w:r>
      <w:r>
        <w:rPr>
          <w:rFonts w:hint="eastAsia" w:ascii="方正小标宋简体" w:hAnsi="方正小标宋简体" w:eastAsia="方正小标宋简体" w:cs="方正小标宋简体"/>
          <w:b w:val="0"/>
          <w:color w:val="auto"/>
          <w:highlight w:val="none"/>
          <w:lang w:eastAsia="zh-CN"/>
        </w:rPr>
        <w:t>单位</w:t>
      </w:r>
      <w:r>
        <w:rPr>
          <w:rStyle w:val="24"/>
          <w:rFonts w:hint="eastAsia" w:ascii="方正小标宋简体" w:hAnsi="方正小标宋简体" w:eastAsia="方正小标宋简体" w:cs="方正小标宋简体"/>
          <w:b w:val="0"/>
          <w:bCs w:val="0"/>
          <w:color w:val="auto"/>
          <w:highlight w:val="none"/>
        </w:rPr>
        <w:t>概况</w:t>
      </w:r>
      <w:bookmarkEnd w:id="20"/>
      <w:bookmarkEnd w:id="21"/>
      <w:bookmarkEnd w:id="22"/>
    </w:p>
    <w:p>
      <w:pPr>
        <w:pStyle w:val="4"/>
        <w:keepNext/>
        <w:keepLines/>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textAlignment w:val="auto"/>
        <w:rPr>
          <w:rStyle w:val="25"/>
          <w:rFonts w:hint="eastAsia" w:ascii="仿宋" w:hAnsi="仿宋" w:eastAsia="仿宋" w:cs="仿宋"/>
          <w:b/>
          <w:bCs/>
          <w:color w:val="auto"/>
          <w:highlight w:val="none"/>
          <w:lang w:eastAsia="zh-CN"/>
        </w:rPr>
      </w:pPr>
      <w:bookmarkStart w:id="23" w:name="_Toc12077"/>
      <w:bookmarkStart w:id="24" w:name="_Toc28693"/>
      <w:bookmarkStart w:id="25" w:name="_Toc15377197"/>
      <w:bookmarkStart w:id="26" w:name="_Toc15396600"/>
      <w:r>
        <w:rPr>
          <w:rStyle w:val="25"/>
          <w:rFonts w:hint="eastAsia" w:ascii="仿宋" w:hAnsi="仿宋" w:eastAsia="仿宋" w:cs="仿宋"/>
          <w:b/>
          <w:bCs/>
          <w:color w:val="auto"/>
          <w:highlight w:val="none"/>
          <w:lang w:eastAsia="zh-CN"/>
        </w:rPr>
        <w:t>一、</w:t>
      </w:r>
      <w:r>
        <w:rPr>
          <w:rStyle w:val="25"/>
          <w:rFonts w:hint="eastAsia" w:ascii="仿宋" w:hAnsi="仿宋" w:eastAsia="仿宋" w:cs="仿宋"/>
          <w:b/>
          <w:bCs/>
          <w:color w:val="auto"/>
          <w:highlight w:val="none"/>
        </w:rPr>
        <w:t>职能</w:t>
      </w:r>
      <w:r>
        <w:rPr>
          <w:rStyle w:val="25"/>
          <w:rFonts w:hint="eastAsia" w:ascii="仿宋" w:hAnsi="仿宋" w:eastAsia="仿宋" w:cs="仿宋"/>
          <w:b/>
          <w:bCs/>
          <w:color w:val="auto"/>
          <w:highlight w:val="none"/>
          <w:lang w:eastAsia="zh-CN"/>
        </w:rPr>
        <w:t>简介</w:t>
      </w:r>
      <w:bookmarkEnd w:id="23"/>
      <w:bookmarkEnd w:id="24"/>
    </w:p>
    <w:p>
      <w:pPr>
        <w:pageBreakBefore w:val="0"/>
        <w:widowControl w:val="0"/>
        <w:kinsoku/>
        <w:wordWrap/>
        <w:overflowPunct/>
        <w:topLinePunct w:val="0"/>
        <w:autoSpaceDE/>
        <w:autoSpaceDN/>
        <w:bidi w:val="0"/>
        <w:adjustRightInd/>
        <w:snapToGrid/>
        <w:spacing w:line="576" w:lineRule="exact"/>
        <w:textAlignment w:val="auto"/>
        <w:rPr>
          <w:rFonts w:hint="default" w:ascii="仿宋" w:hAnsi="仿宋" w:eastAsia="仿宋" w:cs="仿宋"/>
          <w:lang w:val="en-US"/>
        </w:rPr>
      </w:pPr>
      <w:bookmarkStart w:id="27" w:name="_Toc32711"/>
      <w:bookmarkStart w:id="28" w:name="_Toc772"/>
      <w:r>
        <w:rPr>
          <w:rStyle w:val="25"/>
          <w:rFonts w:hint="eastAsia" w:ascii="仿宋" w:hAnsi="仿宋" w:eastAsia="仿宋" w:cs="仿宋"/>
          <w:b w:val="0"/>
          <w:bCs w:val="0"/>
          <w:color w:val="auto"/>
          <w:highlight w:val="none"/>
          <w:lang w:val="en-US" w:eastAsia="zh-CN"/>
        </w:rPr>
        <w:t>负责辖区内疾病预防控制、妇幼保健，常见病和多发病的诊治、护理、院前急救、巡回医疗。向辖区居民建立居民健康档案、开展健康教育、预防接种、孕产妇健康管理、老年人健康管理、肺结核患者健康管理、中医药健康服务、免费提供避孕药具、儿童健康管理、慢病患者健康管理、严重精神障碍患者健康管理、传染病和突发公共卫生事件报告和处置、卫生计生监督协管、健康素养促进、卫生信息报送与管理等工作。承担乡村医生、卫生员等业务培训和技术指导，初级卫生保健的规划与实施，新型农村合作医疗组织与管理等工作。</w:t>
      </w:r>
      <w:bookmarkEnd w:id="27"/>
      <w:bookmarkEnd w:id="28"/>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1"/>
        <w:rPr>
          <w:rFonts w:hint="eastAsia" w:ascii="仿宋" w:hAnsi="仿宋" w:eastAsia="仿宋" w:cs="仿宋"/>
          <w:b/>
          <w:bCs/>
          <w:color w:val="auto"/>
          <w:sz w:val="32"/>
          <w:szCs w:val="32"/>
          <w:highlight w:val="none"/>
          <w:lang w:eastAsia="zh-CN"/>
        </w:rPr>
      </w:pPr>
      <w:bookmarkStart w:id="29" w:name="_Toc9085"/>
      <w:bookmarkStart w:id="30" w:name="_Toc6181"/>
      <w:r>
        <w:rPr>
          <w:rFonts w:hint="eastAsia" w:ascii="仿宋" w:hAnsi="仿宋" w:eastAsia="仿宋" w:cs="仿宋"/>
          <w:b/>
          <w:bCs/>
          <w:color w:val="auto"/>
          <w:sz w:val="32"/>
          <w:szCs w:val="32"/>
          <w:highlight w:val="none"/>
          <w:lang w:val="en-US" w:eastAsia="zh-CN"/>
        </w:rPr>
        <w:t>二、2021年重点</w:t>
      </w:r>
      <w:r>
        <w:rPr>
          <w:rFonts w:hint="eastAsia" w:ascii="仿宋" w:hAnsi="仿宋" w:eastAsia="仿宋" w:cs="仿宋"/>
          <w:b/>
          <w:bCs/>
          <w:color w:val="auto"/>
          <w:sz w:val="32"/>
          <w:szCs w:val="32"/>
          <w:highlight w:val="none"/>
        </w:rPr>
        <w:t>工作</w:t>
      </w:r>
      <w:r>
        <w:rPr>
          <w:rFonts w:hint="eastAsia" w:ascii="仿宋" w:hAnsi="仿宋" w:eastAsia="仿宋" w:cs="仿宋"/>
          <w:b/>
          <w:bCs/>
          <w:color w:val="auto"/>
          <w:sz w:val="32"/>
          <w:szCs w:val="32"/>
          <w:highlight w:val="none"/>
          <w:lang w:eastAsia="zh-CN"/>
        </w:rPr>
        <w:t>完成情况</w:t>
      </w:r>
      <w:bookmarkEnd w:id="29"/>
      <w:bookmarkEnd w:id="30"/>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color w:val="auto"/>
          <w:sz w:val="32"/>
          <w:szCs w:val="32"/>
          <w:highlight w:val="none"/>
          <w:lang w:val="en-US" w:eastAsia="zh-CN"/>
        </w:rPr>
        <w:t>（一）</w:t>
      </w:r>
      <w:r>
        <w:rPr>
          <w:rFonts w:hint="eastAsia" w:ascii="仿宋" w:hAnsi="仿宋" w:eastAsia="仿宋" w:cs="仿宋"/>
          <w:b/>
          <w:bCs/>
          <w:sz w:val="32"/>
          <w:szCs w:val="32"/>
        </w:rPr>
        <w:t>医疗业务收入完成情况。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none" w:color="46CD7E"/>
          <w:shd w:val="clear" w:fill="auto"/>
          <w:lang w:eastAsia="zh-CN"/>
        </w:rPr>
        <w:t>截至</w:t>
      </w:r>
      <w:r>
        <w:rPr>
          <w:rFonts w:hint="eastAsia" w:ascii="仿宋" w:hAnsi="仿宋" w:eastAsia="仿宋" w:cs="仿宋"/>
          <w:sz w:val="32"/>
          <w:szCs w:val="32"/>
          <w:lang w:val="en-US" w:eastAsia="zh-CN"/>
        </w:rPr>
        <w:t>12月20日，</w:t>
      </w:r>
      <w:r>
        <w:rPr>
          <w:rFonts w:hint="eastAsia" w:ascii="仿宋" w:hAnsi="仿宋" w:eastAsia="仿宋" w:cs="仿宋"/>
          <w:sz w:val="32"/>
          <w:szCs w:val="32"/>
        </w:rPr>
        <w:t>我院门诊人次</w:t>
      </w:r>
      <w:r>
        <w:rPr>
          <w:rFonts w:hint="eastAsia" w:ascii="仿宋" w:hAnsi="仿宋" w:eastAsia="仿宋" w:cs="仿宋"/>
          <w:sz w:val="32"/>
          <w:szCs w:val="32"/>
          <w:lang w:val="en-US" w:eastAsia="zh-CN"/>
        </w:rPr>
        <w:t>17395</w:t>
      </w:r>
      <w:r>
        <w:rPr>
          <w:rFonts w:hint="eastAsia" w:ascii="仿宋" w:hAnsi="仿宋" w:eastAsia="仿宋" w:cs="仿宋"/>
          <w:sz w:val="32"/>
          <w:szCs w:val="32"/>
        </w:rPr>
        <w:t>人次，</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年相比下降</w:t>
      </w:r>
      <w:r>
        <w:rPr>
          <w:rFonts w:hint="eastAsia" w:ascii="仿宋" w:hAnsi="仿宋" w:eastAsia="仿宋" w:cs="仿宋"/>
          <w:sz w:val="32"/>
          <w:szCs w:val="32"/>
          <w:lang w:val="en-US" w:eastAsia="zh-CN"/>
        </w:rPr>
        <w:t>0.75%</w:t>
      </w:r>
      <w:r>
        <w:rPr>
          <w:rFonts w:hint="eastAsia" w:ascii="仿宋" w:hAnsi="仿宋" w:eastAsia="仿宋" w:cs="仿宋"/>
          <w:sz w:val="32"/>
          <w:szCs w:val="32"/>
          <w:lang w:eastAsia="zh-CN"/>
        </w:rPr>
        <w:t>；</w:t>
      </w:r>
      <w:r>
        <w:rPr>
          <w:rFonts w:hint="eastAsia" w:ascii="仿宋" w:hAnsi="仿宋" w:eastAsia="仿宋" w:cs="仿宋"/>
          <w:sz w:val="32"/>
          <w:szCs w:val="32"/>
        </w:rPr>
        <w:t>住院病人</w:t>
      </w:r>
      <w:r>
        <w:rPr>
          <w:rFonts w:hint="eastAsia" w:ascii="仿宋" w:hAnsi="仿宋" w:eastAsia="仿宋" w:cs="仿宋"/>
          <w:sz w:val="32"/>
          <w:szCs w:val="32"/>
          <w:lang w:val="en-US" w:eastAsia="zh-CN"/>
        </w:rPr>
        <w:t>770</w:t>
      </w:r>
      <w:r>
        <w:rPr>
          <w:rFonts w:hint="eastAsia" w:ascii="仿宋" w:hAnsi="仿宋" w:eastAsia="仿宋" w:cs="仿宋"/>
          <w:sz w:val="32"/>
          <w:szCs w:val="32"/>
        </w:rPr>
        <w:t>人次</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年相比增加</w:t>
      </w:r>
      <w:r>
        <w:rPr>
          <w:rFonts w:hint="eastAsia" w:ascii="仿宋" w:hAnsi="仿宋" w:eastAsia="仿宋" w:cs="仿宋"/>
          <w:sz w:val="32"/>
          <w:szCs w:val="32"/>
          <w:lang w:val="en-US" w:eastAsia="zh-CN"/>
        </w:rPr>
        <w:t>0.65%</w:t>
      </w:r>
      <w:r>
        <w:rPr>
          <w:rFonts w:hint="eastAsia" w:ascii="仿宋" w:hAnsi="仿宋" w:eastAsia="仿宋" w:cs="仿宋"/>
          <w:sz w:val="32"/>
          <w:szCs w:val="32"/>
          <w:lang w:eastAsia="zh-CN"/>
        </w:rPr>
        <w:t>；</w:t>
      </w:r>
      <w:r>
        <w:rPr>
          <w:rFonts w:hint="eastAsia" w:ascii="仿宋" w:hAnsi="仿宋" w:eastAsia="仿宋" w:cs="仿宋"/>
          <w:sz w:val="32"/>
          <w:szCs w:val="32"/>
        </w:rPr>
        <w:t>业务总收入</w:t>
      </w:r>
      <w:r>
        <w:rPr>
          <w:rFonts w:hint="eastAsia" w:ascii="仿宋" w:hAnsi="仿宋" w:eastAsia="仿宋" w:cs="仿宋"/>
          <w:sz w:val="32"/>
          <w:szCs w:val="32"/>
          <w:lang w:val="en-US" w:eastAsia="zh-CN"/>
        </w:rPr>
        <w:t>143.01</w:t>
      </w:r>
      <w:r>
        <w:rPr>
          <w:rFonts w:hint="eastAsia" w:ascii="仿宋" w:hAnsi="仿宋" w:eastAsia="仿宋" w:cs="仿宋"/>
          <w:sz w:val="32"/>
          <w:szCs w:val="32"/>
        </w:rPr>
        <w:t>万元</w:t>
      </w:r>
      <w:r>
        <w:rPr>
          <w:rFonts w:hint="eastAsia" w:ascii="仿宋" w:hAnsi="仿宋" w:eastAsia="仿宋" w:cs="仿宋"/>
          <w:sz w:val="32"/>
          <w:szCs w:val="32"/>
          <w:lang w:eastAsia="zh-CN"/>
        </w:rPr>
        <w:t>（其中：门诊收入</w:t>
      </w:r>
      <w:r>
        <w:rPr>
          <w:rFonts w:hint="eastAsia" w:ascii="仿宋" w:hAnsi="仿宋" w:eastAsia="仿宋" w:cs="仿宋"/>
          <w:sz w:val="32"/>
          <w:szCs w:val="32"/>
          <w:lang w:val="en-US" w:eastAsia="zh-CN"/>
        </w:rPr>
        <w:t>74.01万元，住院收入69万元</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与上年相比</w:t>
      </w:r>
      <w:r>
        <w:rPr>
          <w:rFonts w:hint="eastAsia" w:ascii="仿宋" w:hAnsi="仿宋" w:eastAsia="仿宋" w:cs="仿宋"/>
          <w:sz w:val="32"/>
          <w:szCs w:val="32"/>
          <w:lang w:val="en-US" w:eastAsia="zh-CN"/>
        </w:rPr>
        <w:t>增加4.7%；</w:t>
      </w:r>
      <w:r>
        <w:rPr>
          <w:rFonts w:hint="eastAsia" w:ascii="仿宋" w:hAnsi="仿宋" w:eastAsia="仿宋" w:cs="仿宋"/>
          <w:sz w:val="32"/>
          <w:szCs w:val="32"/>
        </w:rPr>
        <w:t>平均住院日</w:t>
      </w:r>
      <w:r>
        <w:rPr>
          <w:rFonts w:hint="eastAsia" w:ascii="仿宋" w:hAnsi="仿宋" w:eastAsia="仿宋" w:cs="仿宋"/>
          <w:sz w:val="32"/>
          <w:szCs w:val="32"/>
          <w:lang w:val="en-US" w:eastAsia="zh-CN"/>
        </w:rPr>
        <w:t>6</w:t>
      </w:r>
      <w:r>
        <w:rPr>
          <w:rFonts w:hint="eastAsia" w:ascii="仿宋" w:hAnsi="仿宋" w:eastAsia="仿宋" w:cs="仿宋"/>
          <w:sz w:val="32"/>
          <w:szCs w:val="32"/>
        </w:rPr>
        <w:t>天，住院病床使用率</w:t>
      </w:r>
      <w:r>
        <w:rPr>
          <w:rFonts w:hint="eastAsia" w:ascii="仿宋" w:hAnsi="仿宋" w:eastAsia="仿宋" w:cs="仿宋"/>
          <w:sz w:val="32"/>
          <w:szCs w:val="32"/>
          <w:lang w:val="en-US" w:eastAsia="zh-CN"/>
        </w:rPr>
        <w:t>87</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加强</w:t>
      </w:r>
      <w:r>
        <w:rPr>
          <w:rFonts w:hint="eastAsia" w:ascii="仿宋" w:hAnsi="仿宋" w:eastAsia="仿宋" w:cs="仿宋"/>
          <w:b/>
          <w:bCs/>
          <w:sz w:val="32"/>
          <w:szCs w:val="32"/>
          <w:lang w:eastAsia="zh-CN"/>
        </w:rPr>
        <w:t>党风廉政建设</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以中央、省、市全会精神为抓手，</w:t>
      </w:r>
      <w:r>
        <w:rPr>
          <w:rFonts w:hint="eastAsia" w:ascii="仿宋" w:hAnsi="仿宋" w:eastAsia="仿宋" w:cs="仿宋"/>
          <w:sz w:val="32"/>
          <w:szCs w:val="32"/>
          <w:u w:val="thick" w:color="FFB03A"/>
          <w:shd w:val="clear" w:fill="FFEFD8"/>
          <w:lang w:val="en-US" w:eastAsia="zh-CN"/>
        </w:rPr>
        <w:t>促进</w:t>
      </w:r>
      <w:r>
        <w:rPr>
          <w:rFonts w:hint="eastAsia" w:ascii="仿宋" w:hAnsi="仿宋" w:eastAsia="仿宋" w:cs="仿宋"/>
          <w:sz w:val="32"/>
          <w:szCs w:val="32"/>
        </w:rPr>
        <w:t>干部</w:t>
      </w:r>
      <w:r>
        <w:rPr>
          <w:rFonts w:hint="eastAsia" w:ascii="仿宋" w:hAnsi="仿宋" w:eastAsia="仿宋" w:cs="仿宋"/>
          <w:sz w:val="32"/>
          <w:szCs w:val="32"/>
          <w:lang w:eastAsia="zh-CN"/>
        </w:rPr>
        <w:t>职工</w:t>
      </w:r>
      <w:r>
        <w:rPr>
          <w:rFonts w:hint="eastAsia" w:ascii="仿宋" w:hAnsi="仿宋" w:eastAsia="仿宋" w:cs="仿宋"/>
          <w:sz w:val="32"/>
          <w:szCs w:val="32"/>
        </w:rPr>
        <w:t>树立</w:t>
      </w:r>
      <w:r>
        <w:rPr>
          <w:rFonts w:hint="eastAsia" w:ascii="仿宋" w:hAnsi="仿宋" w:eastAsia="仿宋" w:cs="仿宋"/>
          <w:sz w:val="32"/>
          <w:szCs w:val="32"/>
          <w:lang w:eastAsia="zh-CN"/>
        </w:rPr>
        <w:t>正确的</w:t>
      </w:r>
      <w:r>
        <w:rPr>
          <w:rFonts w:hint="eastAsia" w:ascii="仿宋" w:hAnsi="仿宋" w:eastAsia="仿宋" w:cs="仿宋"/>
          <w:sz w:val="32"/>
          <w:szCs w:val="32"/>
          <w:u w:val="none" w:color="FFB03A"/>
          <w:shd w:val="clear" w:fill="auto"/>
          <w:lang w:eastAsia="zh-CN"/>
        </w:rPr>
        <w:t>人生观</w:t>
      </w:r>
      <w:r>
        <w:rPr>
          <w:rFonts w:hint="eastAsia" w:ascii="仿宋" w:hAnsi="仿宋" w:eastAsia="仿宋" w:cs="仿宋"/>
          <w:sz w:val="32"/>
          <w:szCs w:val="32"/>
        </w:rPr>
        <w:t>，利用例会抓好党纪法规</w:t>
      </w:r>
      <w:r>
        <w:rPr>
          <w:rFonts w:hint="eastAsia" w:ascii="仿宋" w:hAnsi="仿宋" w:eastAsia="仿宋" w:cs="仿宋"/>
          <w:sz w:val="32"/>
          <w:szCs w:val="32"/>
          <w:lang w:eastAsia="zh-CN"/>
        </w:rPr>
        <w:t>及</w:t>
      </w:r>
      <w:r>
        <w:rPr>
          <w:rFonts w:hint="eastAsia" w:ascii="仿宋" w:hAnsi="仿宋" w:eastAsia="仿宋" w:cs="仿宋"/>
          <w:sz w:val="32"/>
          <w:szCs w:val="32"/>
        </w:rPr>
        <w:t>警示案例等党风廉政教育，全面提升了党员干部思想政治素质，坚定了政治理想信念。使全院干部职工的</w:t>
      </w:r>
      <w:r>
        <w:rPr>
          <w:rFonts w:hint="eastAsia" w:ascii="仿宋" w:hAnsi="仿宋" w:eastAsia="仿宋" w:cs="仿宋"/>
          <w:sz w:val="32"/>
          <w:szCs w:val="32"/>
          <w:lang w:eastAsia="zh-CN"/>
        </w:rPr>
        <w:t>宗旨意识、廉洁意识、自律意识得到明显提高；</w:t>
      </w:r>
      <w:r>
        <w:rPr>
          <w:rFonts w:hint="eastAsia" w:ascii="仿宋" w:hAnsi="仿宋" w:eastAsia="仿宋" w:cs="仿宋"/>
          <w:b/>
          <w:bCs/>
          <w:sz w:val="32"/>
          <w:szCs w:val="32"/>
          <w:lang w:eastAsia="zh-CN"/>
        </w:rPr>
        <w:t>二是</w:t>
      </w:r>
      <w:r>
        <w:rPr>
          <w:rFonts w:hint="eastAsia" w:ascii="仿宋" w:hAnsi="仿宋" w:eastAsia="仿宋" w:cs="仿宋"/>
          <w:sz w:val="32"/>
          <w:szCs w:val="32"/>
          <w:lang w:eastAsia="zh-CN"/>
        </w:rPr>
        <w:t>组织干部职工召开专题会议认真学习了党的十九届六中全会精神和巴中</w:t>
      </w:r>
      <w:r>
        <w:rPr>
          <w:rFonts w:hint="eastAsia" w:ascii="仿宋" w:hAnsi="仿宋" w:eastAsia="仿宋" w:cs="仿宋"/>
          <w:sz w:val="32"/>
          <w:szCs w:val="32"/>
          <w:u w:val="none" w:color="46CD7E"/>
          <w:shd w:val="clear" w:fill="auto"/>
          <w:lang w:eastAsia="zh-CN"/>
        </w:rPr>
        <w:t>市第五次党代会</w:t>
      </w:r>
      <w:r>
        <w:rPr>
          <w:rFonts w:hint="eastAsia" w:ascii="仿宋" w:hAnsi="仿宋" w:eastAsia="仿宋" w:cs="仿宋"/>
          <w:sz w:val="32"/>
          <w:szCs w:val="32"/>
          <w:lang w:eastAsia="zh-CN"/>
        </w:rPr>
        <w:t>和县十四次党代会精神；</w:t>
      </w:r>
      <w:r>
        <w:rPr>
          <w:rFonts w:hint="eastAsia" w:ascii="仿宋" w:hAnsi="仿宋" w:eastAsia="仿宋" w:cs="仿宋"/>
          <w:b/>
          <w:bCs/>
          <w:sz w:val="32"/>
          <w:szCs w:val="32"/>
          <w:lang w:eastAsia="zh-CN"/>
        </w:rPr>
        <w:t>三是</w:t>
      </w:r>
      <w:r>
        <w:rPr>
          <w:rFonts w:hint="eastAsia" w:ascii="仿宋" w:hAnsi="仿宋" w:eastAsia="仿宋" w:cs="仿宋"/>
          <w:sz w:val="32"/>
          <w:szCs w:val="32"/>
          <w:lang w:eastAsia="zh-CN"/>
        </w:rPr>
        <w:t>院内干部职工利用</w:t>
      </w:r>
      <w:r>
        <w:rPr>
          <w:rFonts w:hint="eastAsia" w:ascii="仿宋" w:hAnsi="仿宋" w:eastAsia="仿宋" w:cs="仿宋"/>
          <w:sz w:val="32"/>
          <w:szCs w:val="32"/>
          <w:lang w:val="en-US" w:eastAsia="zh-CN"/>
        </w:rPr>
        <w:t>“学习强国”“云上通江”</w:t>
      </w:r>
      <w:r>
        <w:rPr>
          <w:rFonts w:hint="eastAsia" w:ascii="仿宋" w:hAnsi="仿宋" w:eastAsia="仿宋" w:cs="仿宋"/>
          <w:sz w:val="32"/>
          <w:szCs w:val="32"/>
          <w:lang w:eastAsia="zh-CN"/>
        </w:rPr>
        <w:t>手机</w:t>
      </w:r>
      <w:r>
        <w:rPr>
          <w:rFonts w:hint="eastAsia" w:ascii="仿宋" w:hAnsi="仿宋" w:eastAsia="仿宋" w:cs="仿宋"/>
          <w:sz w:val="32"/>
          <w:szCs w:val="32"/>
          <w:lang w:val="en-US" w:eastAsia="zh-CN"/>
        </w:rPr>
        <w:t>APP，不断加强党政、时事学习等，不断加强廉政教育，筑牢干部思想防线。</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firstLine="321" w:firstLineChars="1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（二）加强医疗卫生行风建设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sz w:val="32"/>
          <w:szCs w:val="32"/>
          <w:lang w:val="en-US" w:eastAsia="zh-CN"/>
        </w:rPr>
        <w:t>今年我院以医疗行风治理和规范使用医保基金为重点，持续加强行风建设，根据上级要求，结合我院实际，明确提出了工作要求。以规范诊疗行为，提高医疗质量，改善服务态度为主要内容，强化教育，完善制度，加强监管，严肃行业纪律，进一步遏制</w:t>
      </w:r>
      <w:r>
        <w:rPr>
          <w:rFonts w:hint="eastAsia" w:ascii="仿宋" w:hAnsi="仿宋" w:eastAsia="仿宋" w:cs="仿宋"/>
          <w:color w:val="auto"/>
          <w:sz w:val="32"/>
          <w:szCs w:val="32"/>
          <w:lang w:val="en-US" w:eastAsia="zh-CN"/>
        </w:rPr>
        <w:t>损害群众利益的行为，</w:t>
      </w:r>
      <w:r>
        <w:rPr>
          <w:rFonts w:hint="eastAsia" w:ascii="仿宋" w:hAnsi="仿宋" w:eastAsia="仿宋" w:cs="仿宋"/>
          <w:sz w:val="32"/>
          <w:szCs w:val="32"/>
          <w:lang w:val="en-US" w:eastAsia="zh-CN"/>
        </w:rPr>
        <w:t>实现了工作作风明显好转、服务水平明显提升，工作效能明显增强，发展环境明显优化、群众满意度明显提高。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（三）加强医疗质量管理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2021年1月以来，我院根据上级主管部门文件精神和相关要求，定期开展院内医疗业务能力提升培训，遴选优秀医务人员上派到县人民医院和县中医医院培训学习，安排专人负责医疗质量管理，每月按时开展医疗质量考核，定期组织院内所有医务人员围绕疾病规范诊治、合理用药、医疗文书规范书写、医疗安全防范等开展院内培训，使我院医务人员业务能力得到了提升。</w:t>
      </w:r>
      <w:r>
        <w:rPr>
          <w:rFonts w:hint="eastAsia" w:ascii="仿宋" w:hAnsi="仿宋" w:eastAsia="仿宋" w:cs="仿宋"/>
          <w:sz w:val="32"/>
          <w:szCs w:val="32"/>
          <w:u w:val="none" w:color="46CD7E"/>
          <w:shd w:val="clear" w:fill="auto"/>
          <w:lang w:val="en-US" w:eastAsia="zh-CN"/>
        </w:rPr>
        <w:t>截至</w:t>
      </w:r>
      <w:r>
        <w:rPr>
          <w:rFonts w:hint="eastAsia" w:ascii="仿宋" w:hAnsi="仿宋" w:eastAsia="仿宋" w:cs="仿宋"/>
          <w:sz w:val="32"/>
          <w:szCs w:val="32"/>
          <w:lang w:val="en-US" w:eastAsia="zh-CN"/>
        </w:rPr>
        <w:t>12月底，我院未发生医疗安全事故和医疗纠纷事件。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（四）全面开展新冠肺炎防控工作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新型冠状病毒感染的肺炎疫情发生以来，我院迅速反应，周密安排，认真贯彻落实中央、省、市、区和镇政府关于疫情防控工作相关部署和会议精神，及时落实各项防控措施，目前我镇未发生一例新冠肺炎感染患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 w:hAnsi="仿宋" w:eastAsia="仿宋" w:cs="仿宋"/>
          <w:b w:val="0"/>
          <w:color w:val="auto"/>
          <w:sz w:val="32"/>
          <w:szCs w:val="32"/>
          <w:highlight w:val="none"/>
          <w:lang w:eastAsia="zh-CN"/>
        </w:rPr>
      </w:pP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高度重视。我院把疫情防控工作作为一项政治任务，成立了新冠肺炎疫情防控工作领导小组，带领全院职工全力以赴，群策群力，把防控工作有效落实。</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组织学习。我院</w:t>
      </w:r>
      <w:r>
        <w:rPr>
          <w:rFonts w:hint="eastAsia" w:ascii="仿宋" w:hAnsi="仿宋" w:eastAsia="仿宋" w:cs="仿宋"/>
          <w:sz w:val="32"/>
          <w:szCs w:val="32"/>
          <w:u w:val="none" w:color="46CD7E"/>
          <w:shd w:val="clear" w:fill="auto"/>
          <w:lang w:val="en-US" w:eastAsia="zh-CN"/>
        </w:rPr>
        <w:t>组织职工利用</w:t>
      </w:r>
      <w:r>
        <w:rPr>
          <w:rFonts w:hint="eastAsia" w:ascii="仿宋" w:hAnsi="仿宋" w:eastAsia="仿宋" w:cs="仿宋"/>
          <w:sz w:val="32"/>
          <w:szCs w:val="32"/>
          <w:lang w:val="en-US" w:eastAsia="zh-CN"/>
        </w:rPr>
        <w:t>“云视频”、手机APP、专题会议等多渠道开展新冠肺炎疫情防控知识培训学习，不断提高防控能力。</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按防控设置要求，完善了预检分诊制度、落实了发热哨点诊室、建立了“双通道”。</w:t>
      </w:r>
      <w:r>
        <w:rPr>
          <w:rFonts w:hint="eastAsia" w:ascii="仿宋" w:hAnsi="仿宋" w:eastAsia="仿宋" w:cs="仿宋"/>
          <w:b/>
          <w:bCs/>
          <w:sz w:val="32"/>
          <w:szCs w:val="32"/>
          <w:lang w:val="en-US" w:eastAsia="zh-CN"/>
        </w:rPr>
        <w:t>四是</w:t>
      </w:r>
      <w:r>
        <w:rPr>
          <w:rFonts w:hint="eastAsia" w:ascii="仿宋" w:hAnsi="仿宋" w:eastAsia="仿宋" w:cs="仿宋"/>
          <w:sz w:val="32"/>
          <w:szCs w:val="32"/>
          <w:lang w:val="en-US" w:eastAsia="zh-CN"/>
        </w:rPr>
        <w:t>对高风险地区返乡人员进行全面排查和核酸采样，按时向核酸检测机构送检。</w:t>
      </w:r>
      <w:r>
        <w:rPr>
          <w:rFonts w:hint="eastAsia" w:ascii="仿宋" w:hAnsi="仿宋" w:eastAsia="仿宋" w:cs="仿宋"/>
          <w:b/>
          <w:bCs/>
          <w:sz w:val="32"/>
          <w:szCs w:val="32"/>
          <w:lang w:val="en-US" w:eastAsia="zh-CN"/>
        </w:rPr>
        <w:t>五是</w:t>
      </w:r>
      <w:r>
        <w:rPr>
          <w:rFonts w:hint="eastAsia" w:ascii="仿宋" w:hAnsi="仿宋" w:eastAsia="仿宋" w:cs="仿宋"/>
          <w:b w:val="0"/>
          <w:bCs w:val="0"/>
          <w:sz w:val="32"/>
          <w:szCs w:val="32"/>
          <w:lang w:val="en-US" w:eastAsia="zh-CN"/>
        </w:rPr>
        <w:t>医院实行门禁制度，对就诊患者</w:t>
      </w:r>
      <w:r>
        <w:rPr>
          <w:rFonts w:hint="eastAsia" w:ascii="仿宋" w:hAnsi="仿宋" w:eastAsia="仿宋" w:cs="仿宋"/>
          <w:b w:val="0"/>
          <w:bCs w:val="0"/>
          <w:sz w:val="32"/>
          <w:szCs w:val="32"/>
          <w:u w:val="none" w:color="46CD7E"/>
          <w:shd w:val="clear" w:fill="auto"/>
          <w:lang w:val="en-US" w:eastAsia="zh-CN"/>
        </w:rPr>
        <w:t>实行</w:t>
      </w:r>
      <w:r>
        <w:rPr>
          <w:rFonts w:hint="eastAsia" w:ascii="仿宋" w:hAnsi="仿宋" w:eastAsia="仿宋" w:cs="仿宋"/>
          <w:b w:val="0"/>
          <w:bCs w:val="0"/>
          <w:sz w:val="32"/>
          <w:szCs w:val="32"/>
          <w:lang w:val="en-US" w:eastAsia="zh-CN"/>
        </w:rPr>
        <w:t>“五个一”防控措施；严格落实</w:t>
      </w:r>
      <w:r>
        <w:rPr>
          <w:rFonts w:hint="eastAsia" w:ascii="仿宋" w:hAnsi="仿宋" w:eastAsia="仿宋" w:cs="仿宋"/>
          <w:b w:val="0"/>
          <w:bCs w:val="0"/>
          <w:sz w:val="32"/>
          <w:szCs w:val="32"/>
          <w:u w:val="none" w:color="46CD7E"/>
          <w:shd w:val="clear" w:fill="auto"/>
          <w:lang w:val="en-US" w:eastAsia="zh-CN"/>
        </w:rPr>
        <w:t>过渡</w:t>
      </w:r>
      <w:r>
        <w:rPr>
          <w:rFonts w:hint="eastAsia" w:ascii="仿宋" w:hAnsi="仿宋" w:eastAsia="仿宋" w:cs="仿宋"/>
          <w:b w:val="0"/>
          <w:bCs w:val="0"/>
          <w:sz w:val="32"/>
          <w:szCs w:val="32"/>
          <w:lang w:val="en-US" w:eastAsia="zh-CN"/>
        </w:rPr>
        <w:t>病房制度，</w:t>
      </w:r>
      <w:r>
        <w:rPr>
          <w:rFonts w:hint="eastAsia" w:ascii="仿宋" w:hAnsi="仿宋" w:eastAsia="仿宋" w:cs="仿宋"/>
          <w:sz w:val="32"/>
          <w:szCs w:val="32"/>
          <w:lang w:val="en-US" w:eastAsia="zh-CN"/>
        </w:rPr>
        <w:t>对住院患者及陪护人员做到核酸应检必检，对门诊患者按要求进行核酸检测。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（五）加强医疗质量管理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2021年1月以来，我院根据上级主管部门文件精神和相关要求，定期开展院内医疗业务能力提升培训，遴选优秀医务人员上派到县人民医院和县中医医院培训学习，安排专人负责医疗质量管理，每月按时开展医疗质量考核，定期组织院内所有医务人员围绕疾病规范诊治、合理用药、医疗文书规范书写、医疗安全防范等开展院内培训，使我院医务人员业务能力得到了提升。</w:t>
      </w:r>
      <w:r>
        <w:rPr>
          <w:rFonts w:hint="eastAsia" w:ascii="仿宋" w:hAnsi="仿宋" w:eastAsia="仿宋" w:cs="仿宋"/>
          <w:sz w:val="32"/>
          <w:szCs w:val="32"/>
          <w:u w:val="none" w:color="46CD7E"/>
          <w:shd w:val="clear" w:fill="auto"/>
          <w:lang w:val="en-US" w:eastAsia="zh-CN"/>
        </w:rPr>
        <w:t>截至</w:t>
      </w:r>
      <w:r>
        <w:rPr>
          <w:rFonts w:hint="eastAsia" w:ascii="仿宋" w:hAnsi="仿宋" w:eastAsia="仿宋" w:cs="仿宋"/>
          <w:sz w:val="32"/>
          <w:szCs w:val="32"/>
          <w:lang w:val="en-US" w:eastAsia="zh-CN"/>
        </w:rPr>
        <w:t>12月底，我院未发生医疗安全事故和医疗纠纷事件。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（六）扎实推进基本公共卫生服务项目</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年为全</w:t>
      </w:r>
      <w:r>
        <w:rPr>
          <w:rFonts w:hint="eastAsia" w:ascii="仿宋" w:hAnsi="仿宋" w:eastAsia="仿宋" w:cs="仿宋"/>
          <w:sz w:val="32"/>
          <w:szCs w:val="32"/>
          <w:lang w:eastAsia="zh-CN"/>
        </w:rPr>
        <w:t>镇</w:t>
      </w:r>
      <w:r>
        <w:rPr>
          <w:rFonts w:hint="eastAsia" w:ascii="仿宋" w:hAnsi="仿宋" w:eastAsia="仿宋" w:cs="仿宋"/>
          <w:sz w:val="32"/>
          <w:szCs w:val="32"/>
          <w:lang w:val="en-US" w:eastAsia="zh-CN"/>
        </w:rPr>
        <w:t>13个建制</w:t>
      </w:r>
      <w:r>
        <w:rPr>
          <w:rFonts w:hint="eastAsia" w:ascii="仿宋" w:hAnsi="仿宋" w:eastAsia="仿宋" w:cs="仿宋"/>
          <w:sz w:val="32"/>
          <w:szCs w:val="32"/>
        </w:rPr>
        <w:t>村</w:t>
      </w:r>
      <w:r>
        <w:rPr>
          <w:rFonts w:hint="eastAsia" w:ascii="仿宋" w:hAnsi="仿宋" w:eastAsia="仿宋" w:cs="仿宋"/>
          <w:color w:val="auto"/>
          <w:sz w:val="32"/>
          <w:szCs w:val="32"/>
          <w:lang w:val="en-US" w:eastAsia="zh-CN"/>
        </w:rPr>
        <w:t>10218</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建立</w:t>
      </w:r>
      <w:r>
        <w:rPr>
          <w:rFonts w:hint="eastAsia" w:ascii="仿宋" w:hAnsi="仿宋" w:eastAsia="仿宋" w:cs="仿宋"/>
          <w:sz w:val="32"/>
          <w:szCs w:val="32"/>
          <w:lang w:val="en-US" w:eastAsia="zh-CN"/>
        </w:rPr>
        <w:t>9597份</w:t>
      </w:r>
      <w:r>
        <w:rPr>
          <w:rFonts w:hint="eastAsia" w:ascii="仿宋" w:hAnsi="仿宋" w:eastAsia="仿宋" w:cs="仿宋"/>
          <w:sz w:val="32"/>
          <w:szCs w:val="32"/>
        </w:rPr>
        <w:t>健康档案，居民健康档案建档率为9</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其中</w:t>
      </w:r>
      <w:r>
        <w:rPr>
          <w:rFonts w:hint="eastAsia" w:ascii="仿宋" w:hAnsi="仿宋" w:eastAsia="仿宋" w:cs="仿宋"/>
          <w:sz w:val="32"/>
          <w:szCs w:val="32"/>
          <w:lang w:val="en-US" w:eastAsia="zh-CN"/>
        </w:rPr>
        <w:t>5172份有动态记录，动态管理率50%，</w:t>
      </w:r>
      <w:r>
        <w:rPr>
          <w:rFonts w:hint="eastAsia" w:ascii="仿宋" w:hAnsi="仿宋" w:eastAsia="仿宋" w:cs="仿宋"/>
          <w:sz w:val="32"/>
          <w:szCs w:val="32"/>
        </w:rPr>
        <w:t>全</w:t>
      </w:r>
      <w:r>
        <w:rPr>
          <w:rFonts w:hint="eastAsia" w:ascii="仿宋" w:hAnsi="仿宋" w:eastAsia="仿宋" w:cs="仿宋"/>
          <w:sz w:val="32"/>
          <w:szCs w:val="32"/>
          <w:lang w:eastAsia="zh-CN"/>
        </w:rPr>
        <w:t>镇</w:t>
      </w:r>
      <w:r>
        <w:rPr>
          <w:rFonts w:hint="eastAsia" w:ascii="仿宋" w:hAnsi="仿宋" w:eastAsia="仿宋" w:cs="仿宋"/>
          <w:sz w:val="32"/>
          <w:szCs w:val="32"/>
        </w:rPr>
        <w:t>慢性病</w:t>
      </w:r>
      <w:r>
        <w:rPr>
          <w:rFonts w:hint="eastAsia" w:ascii="仿宋" w:hAnsi="仿宋" w:eastAsia="仿宋" w:cs="仿宋"/>
          <w:sz w:val="32"/>
          <w:szCs w:val="32"/>
          <w:lang w:eastAsia="zh-CN"/>
        </w:rPr>
        <w:t>患者</w:t>
      </w:r>
      <w:r>
        <w:rPr>
          <w:rFonts w:hint="eastAsia" w:ascii="仿宋" w:hAnsi="仿宋" w:eastAsia="仿宋" w:cs="仿宋"/>
          <w:sz w:val="32"/>
          <w:szCs w:val="32"/>
          <w:lang w:val="en-US" w:eastAsia="zh-CN"/>
        </w:rPr>
        <w:t>984人，规范健康管理924人，规范管理率93.9%，</w:t>
      </w:r>
      <w:r>
        <w:rPr>
          <w:rFonts w:hint="eastAsia" w:ascii="仿宋" w:hAnsi="仿宋" w:eastAsia="仿宋" w:cs="仿宋"/>
          <w:sz w:val="32"/>
          <w:szCs w:val="32"/>
        </w:rPr>
        <w:t>慢性病</w:t>
      </w:r>
      <w:r>
        <w:rPr>
          <w:rFonts w:hint="eastAsia" w:ascii="仿宋" w:hAnsi="仿宋" w:eastAsia="仿宋" w:cs="仿宋"/>
          <w:sz w:val="32"/>
          <w:szCs w:val="32"/>
          <w:lang w:eastAsia="zh-CN"/>
        </w:rPr>
        <w:t>随访</w:t>
      </w:r>
      <w:r>
        <w:rPr>
          <w:rFonts w:hint="eastAsia" w:ascii="仿宋" w:hAnsi="仿宋" w:eastAsia="仿宋" w:cs="仿宋"/>
          <w:sz w:val="32"/>
          <w:szCs w:val="32"/>
        </w:rPr>
        <w:t>率达100%</w:t>
      </w:r>
      <w:r>
        <w:rPr>
          <w:rFonts w:hint="eastAsia" w:ascii="仿宋" w:hAnsi="仿宋" w:eastAsia="仿宋" w:cs="仿宋"/>
          <w:sz w:val="32"/>
          <w:szCs w:val="32"/>
          <w:lang w:eastAsia="zh-CN"/>
        </w:rPr>
        <w:t>。肺结核健康管理</w:t>
      </w:r>
      <w:r>
        <w:rPr>
          <w:rFonts w:hint="eastAsia" w:ascii="仿宋" w:hAnsi="仿宋" w:eastAsia="仿宋" w:cs="仿宋"/>
          <w:sz w:val="32"/>
          <w:szCs w:val="32"/>
          <w:lang w:val="en-US" w:eastAsia="zh-CN"/>
        </w:rPr>
        <w:t>10人，管理率100%，慢阻肺患者健康管理45人，类风湿关节炎患者健康管理28人。完成老年人健康体检914人，体检管理率占总数的77%。</w:t>
      </w:r>
      <w:r>
        <w:rPr>
          <w:rFonts w:hint="eastAsia" w:ascii="仿宋" w:hAnsi="仿宋" w:eastAsia="仿宋" w:cs="仿宋"/>
          <w:sz w:val="32"/>
          <w:szCs w:val="32"/>
        </w:rPr>
        <w:t>儿童系统管理率</w:t>
      </w:r>
      <w:r>
        <w:rPr>
          <w:rFonts w:hint="eastAsia" w:ascii="仿宋" w:hAnsi="仿宋" w:eastAsia="仿宋" w:cs="仿宋"/>
          <w:sz w:val="32"/>
          <w:szCs w:val="32"/>
          <w:lang w:val="en-US" w:eastAsia="zh-CN"/>
        </w:rPr>
        <w:t>95</w:t>
      </w:r>
      <w:r>
        <w:rPr>
          <w:rFonts w:hint="eastAsia" w:ascii="仿宋" w:hAnsi="仿宋" w:eastAsia="仿宋" w:cs="仿宋"/>
          <w:sz w:val="32"/>
          <w:szCs w:val="32"/>
        </w:rPr>
        <w:t>%，孕产妇系统管理率9</w:t>
      </w:r>
      <w:r>
        <w:rPr>
          <w:rFonts w:hint="eastAsia" w:ascii="仿宋" w:hAnsi="仿宋" w:eastAsia="仿宋" w:cs="仿宋"/>
          <w:sz w:val="32"/>
          <w:szCs w:val="32"/>
          <w:lang w:val="en-US" w:eastAsia="zh-CN"/>
        </w:rPr>
        <w:t>5</w:t>
      </w:r>
      <w:r>
        <w:rPr>
          <w:rFonts w:hint="eastAsia" w:ascii="仿宋" w:hAnsi="仿宋" w:eastAsia="仿宋" w:cs="仿宋"/>
          <w:sz w:val="32"/>
          <w:szCs w:val="32"/>
        </w:rPr>
        <w:t>%，高危孕产妇管理率100%;1-12月份</w:t>
      </w:r>
      <w:r>
        <w:rPr>
          <w:rFonts w:hint="eastAsia" w:ascii="仿宋" w:hAnsi="仿宋" w:eastAsia="仿宋" w:cs="仿宋"/>
          <w:sz w:val="32"/>
          <w:szCs w:val="32"/>
          <w:u w:val="none" w:color="46CD7E"/>
          <w:shd w:val="clear" w:fill="auto"/>
          <w:lang w:eastAsia="zh-CN"/>
        </w:rPr>
        <w:t>疫苗接种</w:t>
      </w:r>
      <w:r>
        <w:rPr>
          <w:rFonts w:hint="eastAsia" w:ascii="仿宋" w:hAnsi="仿宋" w:eastAsia="仿宋" w:cs="仿宋"/>
          <w:sz w:val="32"/>
          <w:szCs w:val="32"/>
        </w:rPr>
        <w:t>率100%，</w:t>
      </w:r>
      <w:r>
        <w:rPr>
          <w:rFonts w:hint="eastAsia" w:ascii="仿宋" w:hAnsi="仿宋" w:eastAsia="仿宋" w:cs="仿宋"/>
          <w:sz w:val="32"/>
          <w:szCs w:val="32"/>
          <w:lang w:eastAsia="zh-CN"/>
        </w:rPr>
        <w:t>居民满意率</w:t>
      </w:r>
      <w:r>
        <w:rPr>
          <w:rFonts w:hint="eastAsia" w:ascii="仿宋" w:hAnsi="仿宋" w:eastAsia="仿宋" w:cs="仿宋"/>
          <w:sz w:val="32"/>
          <w:szCs w:val="32"/>
          <w:lang w:val="en-US" w:eastAsia="zh-CN"/>
        </w:rPr>
        <w:t>98%，</w:t>
      </w:r>
      <w:r>
        <w:rPr>
          <w:rFonts w:hint="eastAsia" w:ascii="仿宋" w:hAnsi="仿宋" w:eastAsia="仿宋" w:cs="仿宋"/>
          <w:sz w:val="32"/>
          <w:szCs w:val="32"/>
        </w:rPr>
        <w:t>召开乡村医生例会</w:t>
      </w:r>
      <w:r>
        <w:rPr>
          <w:rFonts w:hint="eastAsia" w:ascii="仿宋" w:hAnsi="仿宋" w:eastAsia="仿宋" w:cs="仿宋"/>
          <w:sz w:val="32"/>
          <w:szCs w:val="32"/>
          <w:lang w:val="en-US" w:eastAsia="zh-CN"/>
        </w:rPr>
        <w:t>6</w:t>
      </w:r>
      <w:r>
        <w:rPr>
          <w:rFonts w:hint="eastAsia" w:ascii="仿宋" w:hAnsi="仿宋" w:eastAsia="仿宋" w:cs="仿宋"/>
          <w:sz w:val="32"/>
          <w:szCs w:val="32"/>
        </w:rPr>
        <w:t>次，开展卫生法律法规及预防接种相关知识培训</w:t>
      </w:r>
      <w:r>
        <w:rPr>
          <w:rFonts w:hint="eastAsia" w:ascii="仿宋" w:hAnsi="仿宋" w:eastAsia="仿宋" w:cs="仿宋"/>
          <w:sz w:val="32"/>
          <w:szCs w:val="32"/>
          <w:lang w:val="en-US" w:eastAsia="zh-CN"/>
        </w:rPr>
        <w:t>2</w:t>
      </w:r>
      <w:r>
        <w:rPr>
          <w:rFonts w:hint="eastAsia" w:ascii="仿宋" w:hAnsi="仿宋" w:eastAsia="仿宋" w:cs="仿宋"/>
          <w:sz w:val="32"/>
          <w:szCs w:val="32"/>
        </w:rPr>
        <w:t>次，乡村医生业务理论知识测试</w:t>
      </w:r>
      <w:r>
        <w:rPr>
          <w:rFonts w:hint="eastAsia" w:ascii="仿宋" w:hAnsi="仿宋" w:eastAsia="仿宋" w:cs="仿宋"/>
          <w:sz w:val="32"/>
          <w:szCs w:val="32"/>
          <w:lang w:val="en-US" w:eastAsia="zh-CN"/>
        </w:rPr>
        <w:t>6</w:t>
      </w:r>
      <w:r>
        <w:rPr>
          <w:rFonts w:hint="eastAsia" w:ascii="仿宋" w:hAnsi="仿宋" w:eastAsia="仿宋" w:cs="仿宋"/>
          <w:sz w:val="32"/>
          <w:szCs w:val="32"/>
        </w:rPr>
        <w:t>次</w:t>
      </w:r>
      <w:r>
        <w:rPr>
          <w:rFonts w:hint="eastAsia" w:ascii="仿宋" w:hAnsi="仿宋" w:eastAsia="仿宋" w:cs="仿宋"/>
          <w:sz w:val="32"/>
          <w:szCs w:val="32"/>
          <w:lang w:eastAsia="zh-CN"/>
        </w:rPr>
        <w:t>，开展村卫生室督导</w:t>
      </w:r>
      <w:r>
        <w:rPr>
          <w:rFonts w:hint="eastAsia" w:ascii="仿宋" w:hAnsi="仿宋" w:eastAsia="仿宋" w:cs="仿宋"/>
          <w:sz w:val="32"/>
          <w:szCs w:val="32"/>
          <w:lang w:val="en-US" w:eastAsia="zh-CN"/>
        </w:rPr>
        <w:t>4次，院内督导12次，督导范围100%</w:t>
      </w:r>
      <w:r>
        <w:rPr>
          <w:rFonts w:hint="eastAsia" w:ascii="仿宋" w:hAnsi="仿宋" w:eastAsia="仿宋" w:cs="仿宋"/>
          <w:sz w:val="32"/>
          <w:szCs w:val="32"/>
          <w:u w:val="none" w:color="46CD7E"/>
          <w:shd w:val="clear" w:fill="auto"/>
          <w:lang w:val="en-US" w:eastAsia="zh-CN"/>
        </w:rPr>
        <w:t>，</w:t>
      </w:r>
      <w:r>
        <w:rPr>
          <w:rFonts w:hint="eastAsia" w:ascii="仿宋" w:hAnsi="仿宋" w:eastAsia="仿宋" w:cs="仿宋"/>
          <w:sz w:val="32"/>
          <w:szCs w:val="32"/>
        </w:rPr>
        <w:t>1-12月份卫生院开展健康教育知识讲座12期，健康教育咨询活动</w:t>
      </w:r>
      <w:r>
        <w:rPr>
          <w:rFonts w:hint="eastAsia" w:ascii="仿宋" w:hAnsi="仿宋" w:eastAsia="仿宋" w:cs="仿宋"/>
          <w:sz w:val="32"/>
          <w:szCs w:val="32"/>
          <w:lang w:val="en-US" w:eastAsia="zh-CN"/>
        </w:rPr>
        <w:t>12</w:t>
      </w:r>
      <w:r>
        <w:rPr>
          <w:rFonts w:hint="eastAsia" w:ascii="仿宋" w:hAnsi="仿宋" w:eastAsia="仿宋" w:cs="仿宋"/>
          <w:sz w:val="32"/>
          <w:szCs w:val="32"/>
        </w:rPr>
        <w:t>期，累计发放健康教育宣传材料</w:t>
      </w:r>
      <w:r>
        <w:rPr>
          <w:rFonts w:hint="eastAsia" w:ascii="仿宋" w:hAnsi="仿宋" w:eastAsia="仿宋" w:cs="仿宋"/>
          <w:sz w:val="32"/>
          <w:szCs w:val="32"/>
          <w:lang w:val="en-US" w:eastAsia="zh-CN"/>
        </w:rPr>
        <w:t>28</w:t>
      </w:r>
      <w:r>
        <w:rPr>
          <w:rFonts w:hint="eastAsia" w:ascii="仿宋" w:hAnsi="仿宋" w:eastAsia="仿宋" w:cs="仿宋"/>
          <w:sz w:val="32"/>
          <w:szCs w:val="32"/>
        </w:rPr>
        <w:t>种</w:t>
      </w:r>
      <w:r>
        <w:rPr>
          <w:rFonts w:hint="eastAsia" w:ascii="仿宋" w:hAnsi="仿宋" w:eastAsia="仿宋" w:cs="仿宋"/>
          <w:sz w:val="32"/>
          <w:szCs w:val="32"/>
          <w:lang w:val="en-US" w:eastAsia="zh-CN"/>
        </w:rPr>
        <w:t>19000余</w:t>
      </w:r>
      <w:r>
        <w:rPr>
          <w:rFonts w:hint="eastAsia" w:ascii="仿宋" w:hAnsi="仿宋" w:eastAsia="仿宋" w:cs="仿宋"/>
          <w:sz w:val="32"/>
          <w:szCs w:val="32"/>
        </w:rPr>
        <w:t>份</w:t>
      </w:r>
      <w:r>
        <w:rPr>
          <w:rFonts w:hint="eastAsia" w:ascii="仿宋" w:hAnsi="仿宋" w:eastAsia="仿宋" w:cs="仿宋"/>
          <w:sz w:val="32"/>
          <w:szCs w:val="32"/>
          <w:lang w:eastAsia="zh-CN"/>
        </w:rPr>
        <w:t>（册）</w:t>
      </w:r>
      <w:r>
        <w:rPr>
          <w:rFonts w:hint="eastAsia" w:ascii="仿宋" w:hAnsi="仿宋" w:eastAsia="仿宋" w:cs="仿宋"/>
          <w:sz w:val="32"/>
          <w:szCs w:val="32"/>
        </w:rPr>
        <w:t>，</w:t>
      </w:r>
      <w:r>
        <w:rPr>
          <w:rFonts w:hint="eastAsia" w:ascii="仿宋" w:hAnsi="仿宋" w:eastAsia="仿宋" w:cs="仿宋"/>
          <w:sz w:val="32"/>
          <w:szCs w:val="32"/>
          <w:lang w:eastAsia="zh-CN"/>
        </w:rPr>
        <w:t>播放影像资料</w:t>
      </w:r>
      <w:r>
        <w:rPr>
          <w:rFonts w:hint="eastAsia" w:ascii="仿宋" w:hAnsi="仿宋" w:eastAsia="仿宋" w:cs="仿宋"/>
          <w:sz w:val="32"/>
          <w:szCs w:val="32"/>
          <w:lang w:val="en-US" w:eastAsia="zh-CN"/>
        </w:rPr>
        <w:t>12钟192小时，开展个性化健康教育3600人次，培训健康生活方式指导员20人，开展健康生活方式指导6500人次。</w:t>
      </w:r>
      <w:r>
        <w:rPr>
          <w:rFonts w:hint="eastAsia" w:ascii="仿宋" w:hAnsi="仿宋" w:eastAsia="仿宋" w:cs="仿宋"/>
          <w:sz w:val="32"/>
          <w:szCs w:val="32"/>
          <w:u w:val="thick" w:color="909090"/>
          <w:shd w:val="clear" w:fill="DDDDDD"/>
        </w:rPr>
        <w:t>我院成立了由</w:t>
      </w:r>
      <w:r>
        <w:rPr>
          <w:rFonts w:hint="eastAsia" w:ascii="仿宋" w:hAnsi="仿宋" w:eastAsia="仿宋" w:cs="仿宋"/>
          <w:sz w:val="32"/>
          <w:szCs w:val="32"/>
          <w:u w:val="thick" w:color="909090"/>
          <w:shd w:val="clear" w:fill="DDDDDD"/>
          <w:lang w:eastAsia="zh-CN"/>
        </w:rPr>
        <w:t>能中会西的</w:t>
      </w:r>
      <w:r>
        <w:rPr>
          <w:rFonts w:hint="eastAsia" w:ascii="仿宋" w:hAnsi="仿宋" w:eastAsia="仿宋" w:cs="仿宋"/>
          <w:sz w:val="32"/>
          <w:szCs w:val="32"/>
          <w:u w:val="thick" w:color="909090"/>
          <w:shd w:val="clear" w:fill="DDDDDD"/>
        </w:rPr>
        <w:t>医</w:t>
      </w:r>
      <w:r>
        <w:rPr>
          <w:rFonts w:hint="eastAsia" w:ascii="仿宋" w:hAnsi="仿宋" w:eastAsia="仿宋" w:cs="仿宋"/>
          <w:sz w:val="32"/>
          <w:szCs w:val="32"/>
          <w:u w:val="thick" w:color="909090"/>
          <w:shd w:val="clear" w:fill="DDDDDD"/>
          <w:lang w:eastAsia="zh-CN"/>
        </w:rPr>
        <w:t>师</w:t>
      </w:r>
      <w:r>
        <w:rPr>
          <w:rFonts w:hint="eastAsia" w:ascii="仿宋" w:hAnsi="仿宋" w:eastAsia="仿宋" w:cs="仿宋"/>
          <w:sz w:val="32"/>
          <w:szCs w:val="32"/>
          <w:u w:val="thick" w:color="909090"/>
          <w:shd w:val="clear" w:fill="DDDDDD"/>
        </w:rPr>
        <w:t>、护士、</w:t>
      </w:r>
      <w:r>
        <w:rPr>
          <w:rFonts w:hint="eastAsia" w:ascii="仿宋" w:hAnsi="仿宋" w:eastAsia="仿宋" w:cs="仿宋"/>
          <w:sz w:val="32"/>
          <w:szCs w:val="32"/>
          <w:u w:val="thick" w:color="909090"/>
          <w:shd w:val="clear" w:fill="DDDDDD"/>
          <w:lang w:eastAsia="zh-CN"/>
        </w:rPr>
        <w:t>乡村医生</w:t>
      </w:r>
      <w:r>
        <w:rPr>
          <w:rFonts w:hint="eastAsia" w:ascii="仿宋" w:hAnsi="仿宋" w:eastAsia="仿宋" w:cs="仿宋"/>
          <w:sz w:val="32"/>
          <w:szCs w:val="32"/>
          <w:u w:val="thick" w:color="909090"/>
          <w:shd w:val="clear" w:fill="DDDDDD"/>
        </w:rPr>
        <w:t>组建的3个家庭医生签约服务团队，</w:t>
      </w:r>
      <w:r>
        <w:rPr>
          <w:rFonts w:hint="eastAsia" w:ascii="仿宋" w:hAnsi="仿宋" w:eastAsia="仿宋" w:cs="仿宋"/>
          <w:sz w:val="32"/>
          <w:szCs w:val="32"/>
          <w:u w:val="thick" w:color="909090"/>
          <w:shd w:val="clear" w:fill="DDDDDD"/>
          <w:lang w:eastAsia="zh-CN"/>
        </w:rPr>
        <w:t>定期</w:t>
      </w:r>
      <w:r>
        <w:rPr>
          <w:rFonts w:hint="eastAsia" w:ascii="仿宋" w:hAnsi="仿宋" w:eastAsia="仿宋" w:cs="仿宋"/>
          <w:sz w:val="32"/>
          <w:szCs w:val="32"/>
          <w:u w:val="thick" w:color="909090"/>
          <w:shd w:val="clear" w:fill="DDDDDD"/>
        </w:rPr>
        <w:t>开展家庭医生签约服务工作，</w:t>
      </w:r>
      <w:r>
        <w:rPr>
          <w:rFonts w:hint="eastAsia" w:ascii="仿宋" w:hAnsi="仿宋" w:eastAsia="仿宋" w:cs="仿宋"/>
          <w:sz w:val="32"/>
          <w:szCs w:val="32"/>
          <w:u w:val="thick" w:color="909090"/>
          <w:shd w:val="clear" w:fill="DDDDDD"/>
          <w:lang w:eastAsia="zh-CN"/>
        </w:rPr>
        <w:t>每个团队设有组长，</w:t>
      </w:r>
      <w:r>
        <w:rPr>
          <w:rFonts w:hint="eastAsia" w:ascii="仿宋" w:hAnsi="仿宋" w:eastAsia="仿宋" w:cs="仿宋"/>
          <w:sz w:val="32"/>
          <w:szCs w:val="32"/>
          <w:u w:val="thick" w:color="909090"/>
          <w:shd w:val="clear" w:fill="DDDDDD"/>
        </w:rPr>
        <w:t>明确服务内容，采取全覆盖上门服务的方式，</w:t>
      </w:r>
      <w:r>
        <w:rPr>
          <w:rFonts w:hint="eastAsia" w:ascii="仿宋" w:hAnsi="仿宋" w:eastAsia="仿宋" w:cs="仿宋"/>
          <w:sz w:val="32"/>
          <w:szCs w:val="32"/>
          <w:u w:val="thick" w:color="909090"/>
          <w:shd w:val="clear" w:fill="DDDDDD"/>
          <w:lang w:eastAsia="zh-CN"/>
        </w:rPr>
        <w:t>履行签约协议，</w:t>
      </w:r>
      <w:r>
        <w:rPr>
          <w:rFonts w:hint="eastAsia" w:ascii="仿宋" w:hAnsi="仿宋" w:eastAsia="仿宋" w:cs="仿宋"/>
          <w:sz w:val="32"/>
          <w:szCs w:val="32"/>
          <w:u w:val="thick" w:color="909090"/>
          <w:shd w:val="clear" w:fill="DDDDDD"/>
        </w:rPr>
        <w:t>有效满足居民健康需求。</w:t>
      </w:r>
      <w:r>
        <w:rPr>
          <w:rFonts w:hint="eastAsia" w:ascii="仿宋" w:hAnsi="仿宋" w:eastAsia="仿宋" w:cs="仿宋"/>
          <w:sz w:val="32"/>
          <w:szCs w:val="32"/>
        </w:rPr>
        <w:t>截止2021年12月20日，我镇签约</w:t>
      </w:r>
      <w:r>
        <w:rPr>
          <w:rFonts w:hint="eastAsia" w:ascii="仿宋" w:hAnsi="仿宋" w:eastAsia="仿宋" w:cs="仿宋"/>
          <w:sz w:val="32"/>
          <w:szCs w:val="32"/>
          <w:lang w:val="en-US" w:eastAsia="zh-CN"/>
        </w:rPr>
        <w:t>9912</w:t>
      </w:r>
      <w:r>
        <w:rPr>
          <w:rFonts w:hint="eastAsia" w:ascii="仿宋" w:hAnsi="仿宋" w:eastAsia="仿宋" w:cs="仿宋"/>
          <w:sz w:val="32"/>
          <w:szCs w:val="32"/>
        </w:rPr>
        <w:t>人，签约率9</w:t>
      </w:r>
      <w:r>
        <w:rPr>
          <w:rFonts w:hint="eastAsia" w:ascii="仿宋" w:hAnsi="仿宋" w:eastAsia="仿宋" w:cs="仿宋"/>
          <w:sz w:val="32"/>
          <w:szCs w:val="32"/>
          <w:lang w:val="en-US" w:eastAsia="zh-CN"/>
        </w:rPr>
        <w:t>7</w:t>
      </w:r>
      <w:r>
        <w:rPr>
          <w:rFonts w:hint="eastAsia" w:ascii="仿宋" w:hAnsi="仿宋" w:eastAsia="仿宋" w:cs="仿宋"/>
          <w:sz w:val="32"/>
          <w:szCs w:val="32"/>
        </w:rPr>
        <w:t>%，重点人群</w:t>
      </w:r>
      <w:r>
        <w:rPr>
          <w:rFonts w:hint="eastAsia" w:ascii="仿宋" w:hAnsi="仿宋" w:eastAsia="仿宋" w:cs="仿宋"/>
          <w:sz w:val="32"/>
          <w:szCs w:val="32"/>
          <w:lang w:eastAsia="zh-CN"/>
        </w:rPr>
        <w:t>和脱贫人口签约率是</w:t>
      </w:r>
      <w:r>
        <w:rPr>
          <w:rFonts w:hint="eastAsia" w:ascii="仿宋" w:hAnsi="仿宋" w:eastAsia="仿宋" w:cs="仿宋"/>
          <w:sz w:val="32"/>
          <w:szCs w:val="32"/>
          <w:lang w:val="en-US" w:eastAsia="zh-CN"/>
        </w:rPr>
        <w:t>100%履行</w:t>
      </w:r>
      <w:r>
        <w:rPr>
          <w:rFonts w:hint="eastAsia" w:ascii="仿宋" w:hAnsi="仿宋" w:eastAsia="仿宋" w:cs="仿宋"/>
          <w:sz w:val="32"/>
          <w:szCs w:val="32"/>
        </w:rPr>
        <w:t>签约服务覆盖率100%。</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76" w:lineRule="exact"/>
        <w:ind w:left="640"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进一步落实医保政策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我院严格按照医保部门下发的文件精神及要求，对标对表定期开展自查工作，严格医疗费用控制和使用，严格按文件规定进行医保报销，不存在骗保行为。</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76" w:lineRule="exact"/>
        <w:ind w:left="640"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进一步加强免疫规划工作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今年我院严格按照《疫苗流通和预防接种管理条例》《疫苗运输和管理规范》《免疫规划</w:t>
      </w:r>
      <w:r>
        <w:rPr>
          <w:rFonts w:hint="eastAsia" w:ascii="仿宋" w:hAnsi="仿宋" w:eastAsia="仿宋" w:cs="仿宋"/>
          <w:sz w:val="32"/>
          <w:szCs w:val="32"/>
          <w:u w:val="none" w:color="46CD7E"/>
          <w:shd w:val="clear" w:fill="auto"/>
          <w:lang w:val="en-US" w:eastAsia="zh-CN"/>
        </w:rPr>
        <w:t>工作</w:t>
      </w:r>
      <w:r>
        <w:rPr>
          <w:rFonts w:hint="eastAsia" w:ascii="仿宋" w:hAnsi="仿宋" w:eastAsia="仿宋" w:cs="仿宋"/>
          <w:sz w:val="32"/>
          <w:szCs w:val="32"/>
          <w:lang w:val="en-US" w:eastAsia="zh-CN"/>
        </w:rPr>
        <w:t>规范》的要求，建立健全的管理制度，免疫规划疫苗接种率维持在较高水平，卡证符合率98%，基础免疫合格率97%，有2人参加预防接种培训并取得合格证，加强免疫规划队伍建设和业务培训。本年度我院接种新冠疫苗5100人，12000针次，无接种事故发生。</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76" w:lineRule="exact"/>
        <w:ind w:left="640"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加强财务规范管理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院根据财务管理条例贯彻落实资金管理，严格遵守财务管理制度、会计制度等，在县财政局指导下，我院资金管理得到进一步规范，设置了财务室，安排专人负责，做到了专人、专柜、专册，严格执行资金使用审批制度，规范货币资金管理和固定资产管理，严格按照“三公”经费使用制度进行账务管理和报销。按时报送财务报表，定期对账销账，建立资金收支台账和资产入出库台账，做到了专款专用，账务清晰，台账健全，不存在资金管理不良行为。</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76" w:lineRule="exact"/>
        <w:ind w:left="640"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提升中医药服务能力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2021年12月，我院中医类别执业医师2人，中医类别执业助理医师4人，占全院总医师数的75%，中医配备比例位居全县前列。在建成中医馆、中医门诊的基础上进一步完善设施设备的不足之处，中医馆环境得到进一步改善。新增培训中医全科医生1人，目前我院至少能开展6类中医适宜技术，技术种类达到了12种，并对辖区慢病患者等重点人群开展个性化中医药健康教育，能满足辖区居民对中医药服务的需求。</w:t>
      </w:r>
    </w:p>
    <w:bookmarkEnd w:id="25"/>
    <w:bookmarkEnd w:id="26"/>
    <w:p>
      <w:pPr>
        <w:pStyle w:val="3"/>
        <w:ind w:right="440"/>
        <w:jc w:val="center"/>
        <w:rPr>
          <w:rStyle w:val="24"/>
          <w:rFonts w:hint="eastAsia" w:ascii="方正小标宋简体" w:hAnsi="方正小标宋简体" w:eastAsia="方正小标宋简体" w:cs="方正小标宋简体"/>
          <w:b w:val="0"/>
          <w:bCs/>
          <w:color w:val="auto"/>
          <w:sz w:val="44"/>
          <w:szCs w:val="44"/>
          <w:highlight w:val="none"/>
        </w:rPr>
      </w:pPr>
      <w:bookmarkStart w:id="31" w:name="_Toc23493"/>
      <w:bookmarkStart w:id="32" w:name="_Toc15377204"/>
      <w:bookmarkStart w:id="33" w:name="_Toc16604"/>
      <w:bookmarkStart w:id="34" w:name="_Toc22326"/>
      <w:bookmarkStart w:id="35" w:name="_Toc15396602"/>
      <w:r>
        <w:rPr>
          <w:rFonts w:hint="eastAsia" w:ascii="方正小标宋简体" w:hAnsi="方正小标宋简体" w:eastAsia="方正小标宋简体" w:cs="方正小标宋简体"/>
          <w:b w:val="0"/>
          <w:bCs/>
          <w:color w:val="auto"/>
          <w:sz w:val="44"/>
          <w:szCs w:val="44"/>
          <w:highlight w:val="none"/>
        </w:rPr>
        <w:t>第二部分</w:t>
      </w:r>
      <w:r>
        <w:rPr>
          <w:rFonts w:hint="eastAsia" w:ascii="方正小标宋简体" w:hAnsi="方正小标宋简体" w:eastAsia="方正小标宋简体" w:cs="方正小标宋简体"/>
          <w:b w:val="0"/>
          <w:bCs/>
          <w:color w:val="auto"/>
          <w:sz w:val="44"/>
          <w:szCs w:val="44"/>
          <w:highlight w:val="none"/>
          <w:lang w:val="en-US" w:eastAsia="zh-CN"/>
        </w:rPr>
        <w:t>2021年度</w:t>
      </w:r>
      <w:r>
        <w:rPr>
          <w:rStyle w:val="24"/>
          <w:rFonts w:hint="eastAsia" w:ascii="方正小标宋简体" w:hAnsi="方正小标宋简体" w:eastAsia="方正小标宋简体" w:cs="方正小标宋简体"/>
          <w:b w:val="0"/>
          <w:bCs/>
          <w:color w:val="auto"/>
          <w:sz w:val="44"/>
          <w:szCs w:val="44"/>
          <w:highlight w:val="none"/>
          <w:lang w:eastAsia="zh-CN"/>
        </w:rPr>
        <w:t>单位</w:t>
      </w:r>
      <w:r>
        <w:rPr>
          <w:rStyle w:val="24"/>
          <w:rFonts w:hint="eastAsia" w:ascii="方正小标宋简体" w:hAnsi="方正小标宋简体" w:eastAsia="方正小标宋简体" w:cs="方正小标宋简体"/>
          <w:b w:val="0"/>
          <w:bCs/>
          <w:color w:val="auto"/>
          <w:sz w:val="44"/>
          <w:szCs w:val="44"/>
          <w:highlight w:val="none"/>
        </w:rPr>
        <w:t>决算情况说明</w:t>
      </w:r>
      <w:bookmarkEnd w:id="31"/>
      <w:bookmarkEnd w:id="32"/>
      <w:bookmarkEnd w:id="33"/>
      <w:bookmarkEnd w:id="34"/>
      <w:bookmarkEnd w:id="35"/>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6" w:name="_Toc23754"/>
      <w:bookmarkStart w:id="37" w:name="_Toc15377205"/>
      <w:bookmarkStart w:id="38" w:name="_Toc7611"/>
      <w:bookmarkStart w:id="39" w:name="_Toc22702"/>
      <w:bookmarkStart w:id="40" w:name="_Toc153966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36"/>
      <w:bookmarkEnd w:id="37"/>
      <w:bookmarkEnd w:id="38"/>
      <w:bookmarkEnd w:id="39"/>
      <w:bookmarkEnd w:id="40"/>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两河口镇卫生院</w:t>
      </w:r>
      <w:r>
        <w:rPr>
          <w:rFonts w:hint="eastAsia" w:ascii="仿宋" w:hAnsi="仿宋" w:eastAsia="仿宋" w:cs="仿宋"/>
          <w:sz w:val="32"/>
          <w:szCs w:val="32"/>
          <w:lang w:val="en-US" w:eastAsia="zh-CN"/>
        </w:rPr>
        <w:t>2021</w:t>
      </w:r>
      <w:r>
        <w:rPr>
          <w:rFonts w:hint="eastAsia" w:ascii="仿宋" w:hAnsi="仿宋" w:eastAsia="仿宋" w:cs="仿宋"/>
          <w:sz w:val="32"/>
          <w:szCs w:val="32"/>
        </w:rPr>
        <w:t>年收入合计</w:t>
      </w:r>
      <w:r>
        <w:rPr>
          <w:rFonts w:hint="eastAsia" w:ascii="仿宋" w:hAnsi="仿宋" w:eastAsia="仿宋" w:cs="仿宋"/>
          <w:sz w:val="32"/>
          <w:szCs w:val="32"/>
          <w:lang w:val="en-US" w:eastAsia="zh-CN"/>
        </w:rPr>
        <w:t>366.34</w:t>
      </w:r>
      <w:r>
        <w:rPr>
          <w:rFonts w:hint="eastAsia" w:ascii="仿宋" w:hAnsi="仿宋" w:eastAsia="仿宋" w:cs="仿宋"/>
          <w:sz w:val="32"/>
          <w:szCs w:val="32"/>
        </w:rPr>
        <w:t>万元，本年收入总计</w:t>
      </w:r>
      <w:r>
        <w:rPr>
          <w:rFonts w:hint="eastAsia" w:ascii="仿宋" w:hAnsi="仿宋" w:eastAsia="仿宋" w:cs="仿宋"/>
          <w:sz w:val="32"/>
          <w:szCs w:val="32"/>
          <w:lang w:val="en-US" w:eastAsia="zh-CN"/>
        </w:rPr>
        <w:t>366.34万</w:t>
      </w:r>
      <w:r>
        <w:rPr>
          <w:rFonts w:hint="eastAsia" w:ascii="仿宋" w:hAnsi="仿宋" w:eastAsia="仿宋" w:cs="仿宋"/>
          <w:color w:val="000000"/>
          <w:kern w:val="0"/>
          <w:sz w:val="32"/>
          <w:szCs w:val="32"/>
        </w:rPr>
        <w:t>元，</w:t>
      </w:r>
      <w:r>
        <w:rPr>
          <w:rFonts w:hint="eastAsia" w:ascii="仿宋" w:hAnsi="仿宋" w:eastAsia="仿宋" w:cs="仿宋"/>
          <w:sz w:val="32"/>
          <w:szCs w:val="32"/>
        </w:rPr>
        <w:t>本年支出合计</w:t>
      </w:r>
      <w:r>
        <w:rPr>
          <w:rFonts w:hint="eastAsia" w:ascii="仿宋" w:hAnsi="仿宋" w:eastAsia="仿宋" w:cs="仿宋"/>
          <w:sz w:val="32"/>
          <w:szCs w:val="32"/>
          <w:lang w:val="en-US" w:eastAsia="zh-CN"/>
        </w:rPr>
        <w:t>366.34</w:t>
      </w:r>
      <w:r>
        <w:rPr>
          <w:rFonts w:hint="eastAsia" w:ascii="仿宋" w:hAnsi="仿宋" w:eastAsia="仿宋" w:cs="仿宋"/>
          <w:sz w:val="32"/>
          <w:szCs w:val="32"/>
        </w:rPr>
        <w:t>万元，本年支出总计</w:t>
      </w:r>
      <w:r>
        <w:rPr>
          <w:rFonts w:hint="eastAsia" w:ascii="仿宋" w:hAnsi="仿宋" w:eastAsia="仿宋" w:cs="仿宋"/>
          <w:sz w:val="32"/>
          <w:szCs w:val="32"/>
          <w:lang w:val="en-US" w:eastAsia="zh-CN"/>
        </w:rPr>
        <w:t>366.34</w:t>
      </w:r>
      <w:r>
        <w:rPr>
          <w:rFonts w:hint="eastAsia" w:ascii="仿宋" w:hAnsi="仿宋" w:eastAsia="仿宋" w:cs="仿宋"/>
          <w:sz w:val="32"/>
          <w:szCs w:val="32"/>
        </w:rPr>
        <w:t>万元。与20</w:t>
      </w:r>
      <w:r>
        <w:rPr>
          <w:rFonts w:hint="eastAsia" w:ascii="仿宋" w:hAnsi="仿宋" w:eastAsia="仿宋" w:cs="仿宋"/>
          <w:sz w:val="32"/>
          <w:szCs w:val="32"/>
          <w:lang w:val="en-US" w:eastAsia="zh-CN"/>
        </w:rPr>
        <w:t>20</w:t>
      </w:r>
      <w:r>
        <w:rPr>
          <w:rFonts w:hint="eastAsia" w:ascii="仿宋" w:hAnsi="仿宋" w:eastAsia="仿宋" w:cs="仿宋"/>
          <w:sz w:val="32"/>
          <w:szCs w:val="32"/>
        </w:rPr>
        <w:t>年相比，本年收入</w:t>
      </w:r>
      <w:r>
        <w:rPr>
          <w:rFonts w:hint="eastAsia" w:ascii="仿宋" w:hAnsi="仿宋" w:eastAsia="仿宋" w:cs="仿宋"/>
          <w:sz w:val="32"/>
          <w:szCs w:val="32"/>
          <w:lang w:eastAsia="zh-CN"/>
        </w:rPr>
        <w:t>增加了</w:t>
      </w:r>
      <w:r>
        <w:rPr>
          <w:rFonts w:hint="eastAsia" w:ascii="仿宋" w:hAnsi="仿宋" w:eastAsia="仿宋" w:cs="仿宋"/>
          <w:sz w:val="32"/>
          <w:szCs w:val="32"/>
          <w:lang w:val="en-US" w:eastAsia="zh-CN"/>
        </w:rPr>
        <w:t>23.29</w:t>
      </w:r>
      <w:r>
        <w:rPr>
          <w:rFonts w:hint="eastAsia" w:ascii="仿宋" w:hAnsi="仿宋" w:eastAsia="仿宋" w:cs="仿宋"/>
          <w:sz w:val="32"/>
          <w:szCs w:val="32"/>
        </w:rPr>
        <w:t>万元，</w:t>
      </w:r>
      <w:r>
        <w:rPr>
          <w:rFonts w:hint="eastAsia" w:ascii="仿宋" w:hAnsi="仿宋" w:eastAsia="仿宋" w:cs="仿宋"/>
          <w:sz w:val="32"/>
          <w:szCs w:val="32"/>
          <w:u w:val="thick" w:color="909090"/>
          <w:shd w:val="clear" w:fill="DDDDDD"/>
          <w:lang w:eastAsia="zh-CN"/>
        </w:rPr>
        <w:t>增加</w:t>
      </w:r>
      <w:r>
        <w:rPr>
          <w:rFonts w:hint="eastAsia" w:ascii="仿宋" w:hAnsi="仿宋" w:eastAsia="仿宋" w:cs="仿宋"/>
          <w:sz w:val="32"/>
          <w:szCs w:val="32"/>
          <w:u w:val="thick" w:color="909090"/>
          <w:shd w:val="clear" w:fill="DDDDDD"/>
          <w:lang w:val="en-US" w:eastAsia="zh-CN"/>
        </w:rPr>
        <w:t>6.79</w:t>
      </w:r>
      <w:r>
        <w:rPr>
          <w:rFonts w:hint="eastAsia" w:ascii="仿宋" w:hAnsi="仿宋" w:eastAsia="仿宋" w:cs="仿宋"/>
          <w:sz w:val="32"/>
          <w:szCs w:val="32"/>
          <w:u w:val="thick" w:color="909090"/>
          <w:shd w:val="clear" w:fill="DDDDDD"/>
        </w:rPr>
        <w:t>%</w:t>
      </w:r>
      <w:r>
        <w:rPr>
          <w:rFonts w:hint="eastAsia" w:ascii="仿宋" w:hAnsi="仿宋" w:eastAsia="仿宋" w:cs="仿宋"/>
          <w:sz w:val="32"/>
          <w:szCs w:val="32"/>
        </w:rPr>
        <w:t>；本年支出</w:t>
      </w:r>
      <w:r>
        <w:rPr>
          <w:rFonts w:hint="eastAsia" w:ascii="仿宋" w:hAnsi="仿宋" w:eastAsia="仿宋" w:cs="仿宋"/>
          <w:sz w:val="32"/>
          <w:szCs w:val="32"/>
          <w:lang w:eastAsia="zh-CN"/>
        </w:rPr>
        <w:t>增加了</w:t>
      </w:r>
      <w:r>
        <w:rPr>
          <w:rFonts w:hint="eastAsia" w:ascii="仿宋" w:hAnsi="仿宋" w:eastAsia="仿宋" w:cs="仿宋"/>
          <w:sz w:val="32"/>
          <w:szCs w:val="32"/>
          <w:lang w:val="en-US" w:eastAsia="zh-CN"/>
        </w:rPr>
        <w:t>23.29</w:t>
      </w:r>
      <w:r>
        <w:rPr>
          <w:rFonts w:hint="eastAsia" w:ascii="仿宋" w:hAnsi="仿宋" w:eastAsia="仿宋" w:cs="仿宋"/>
          <w:sz w:val="32"/>
          <w:szCs w:val="32"/>
        </w:rPr>
        <w:t>万元，</w:t>
      </w:r>
      <w:r>
        <w:rPr>
          <w:rFonts w:hint="eastAsia" w:ascii="仿宋" w:hAnsi="仿宋" w:eastAsia="仿宋" w:cs="仿宋"/>
          <w:sz w:val="32"/>
          <w:szCs w:val="32"/>
          <w:u w:val="thick" w:color="909090"/>
          <w:shd w:val="clear" w:fill="DDDDDD"/>
          <w:lang w:eastAsia="zh-CN"/>
        </w:rPr>
        <w:t>增加</w:t>
      </w:r>
      <w:r>
        <w:rPr>
          <w:rFonts w:hint="eastAsia" w:ascii="仿宋" w:hAnsi="仿宋" w:eastAsia="仿宋" w:cs="仿宋"/>
          <w:sz w:val="32"/>
          <w:szCs w:val="32"/>
          <w:u w:val="thick" w:color="909090"/>
          <w:shd w:val="clear" w:fill="DDDDDD"/>
          <w:lang w:val="en-US" w:eastAsia="zh-CN"/>
        </w:rPr>
        <w:t>6.79</w:t>
      </w:r>
      <w:r>
        <w:rPr>
          <w:rFonts w:hint="eastAsia" w:ascii="仿宋" w:hAnsi="仿宋" w:eastAsia="仿宋" w:cs="仿宋"/>
          <w:sz w:val="32"/>
          <w:szCs w:val="32"/>
          <w:u w:val="thick" w:color="909090"/>
          <w:shd w:val="clear" w:fill="DDDDDD"/>
        </w:rPr>
        <w:t>%</w:t>
      </w:r>
      <w:r>
        <w:rPr>
          <w:rFonts w:hint="eastAsia" w:ascii="仿宋" w:hAnsi="仿宋" w:eastAsia="仿宋" w:cs="仿宋"/>
          <w:sz w:val="32"/>
          <w:szCs w:val="32"/>
        </w:rPr>
        <w:t>，主要原因</w:t>
      </w:r>
      <w:r>
        <w:rPr>
          <w:rFonts w:hint="eastAsia" w:ascii="仿宋" w:hAnsi="仿宋" w:eastAsia="仿宋" w:cs="仿宋"/>
          <w:sz w:val="32"/>
          <w:szCs w:val="32"/>
          <w:lang w:val="en-US" w:eastAsia="zh-CN"/>
        </w:rPr>
        <w:t>是</w:t>
      </w:r>
      <w:r>
        <w:rPr>
          <w:rFonts w:hint="eastAsia" w:ascii="仿宋" w:hAnsi="仿宋" w:eastAsia="仿宋" w:cs="仿宋"/>
          <w:sz w:val="32"/>
          <w:szCs w:val="32"/>
          <w:lang w:eastAsia="zh-CN"/>
        </w:rPr>
        <w:t>事业收入增加。</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
        <w:rPr>
          <w:rFonts w:ascii="仿宋_GB2312" w:eastAsia="仿宋_GB2312"/>
          <w:color w:val="auto"/>
          <w:sz w:val="32"/>
          <w:szCs w:val="32"/>
          <w:highlight w:val="none"/>
        </w:rPr>
      </w:pPr>
      <w:r>
        <w:rPr>
          <w:rFonts w:hint="eastAsia" w:eastAsia="仿宋"/>
          <w:lang w:eastAsia="zh-CN"/>
        </w:rPr>
        <w:drawing>
          <wp:inline distT="0" distB="0" distL="114300" distR="114300">
            <wp:extent cx="4566285" cy="2249805"/>
            <wp:effectExtent l="4445" t="5080" r="20320" b="1206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41" w:name="_Toc15377206"/>
      <w:bookmarkStart w:id="42" w:name="_Toc25860"/>
      <w:bookmarkStart w:id="43" w:name="_Toc15396604"/>
      <w:bookmarkStart w:id="44" w:name="_Toc5265"/>
      <w:bookmarkStart w:id="45" w:name="_Toc14162"/>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41"/>
      <w:bookmarkEnd w:id="42"/>
      <w:bookmarkEnd w:id="43"/>
      <w:bookmarkEnd w:id="44"/>
      <w:bookmarkEnd w:id="45"/>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年年收入合计</w:t>
      </w:r>
      <w:r>
        <w:rPr>
          <w:rFonts w:hint="eastAsia" w:ascii="仿宋" w:hAnsi="仿宋" w:eastAsia="仿宋" w:cs="仿宋"/>
          <w:sz w:val="32"/>
          <w:szCs w:val="32"/>
          <w:lang w:val="en-US" w:eastAsia="zh-CN"/>
        </w:rPr>
        <w:t>366.34</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151.45</w:t>
      </w:r>
      <w:r>
        <w:rPr>
          <w:rFonts w:hint="eastAsia" w:ascii="仿宋" w:hAnsi="仿宋" w:eastAsia="仿宋" w:cs="仿宋"/>
          <w:sz w:val="32"/>
          <w:szCs w:val="32"/>
        </w:rPr>
        <w:t>万元，占本年收入合计</w:t>
      </w:r>
      <w:r>
        <w:rPr>
          <w:rFonts w:hint="eastAsia" w:ascii="仿宋" w:hAnsi="仿宋" w:eastAsia="仿宋" w:cs="仿宋"/>
          <w:sz w:val="32"/>
          <w:szCs w:val="32"/>
          <w:lang w:val="en-US" w:eastAsia="zh-CN"/>
        </w:rPr>
        <w:t>41.34</w:t>
      </w:r>
      <w:r>
        <w:rPr>
          <w:rFonts w:hint="eastAsia" w:ascii="仿宋" w:hAnsi="仿宋" w:eastAsia="仿宋" w:cs="仿宋"/>
          <w:sz w:val="32"/>
          <w:szCs w:val="32"/>
        </w:rPr>
        <w:t>%，其他收入</w:t>
      </w:r>
      <w:r>
        <w:rPr>
          <w:rFonts w:hint="eastAsia" w:ascii="仿宋" w:hAnsi="仿宋" w:eastAsia="仿宋" w:cs="仿宋"/>
          <w:sz w:val="32"/>
          <w:szCs w:val="32"/>
          <w:lang w:val="en-US" w:eastAsia="zh-CN"/>
        </w:rPr>
        <w:t>71.88</w:t>
      </w:r>
      <w:r>
        <w:rPr>
          <w:rFonts w:hint="eastAsia" w:ascii="仿宋" w:hAnsi="仿宋" w:eastAsia="仿宋" w:cs="仿宋"/>
          <w:sz w:val="32"/>
          <w:szCs w:val="32"/>
        </w:rPr>
        <w:t>万元，占本年收入合计</w:t>
      </w:r>
      <w:r>
        <w:rPr>
          <w:rFonts w:hint="eastAsia" w:ascii="仿宋" w:hAnsi="仿宋" w:eastAsia="仿宋" w:cs="仿宋"/>
          <w:sz w:val="32"/>
          <w:szCs w:val="32"/>
          <w:lang w:val="en-US" w:eastAsia="zh-CN"/>
        </w:rPr>
        <w:t>19.62</w:t>
      </w:r>
      <w:r>
        <w:rPr>
          <w:rFonts w:hint="eastAsia" w:ascii="仿宋" w:hAnsi="仿宋" w:eastAsia="仿宋" w:cs="仿宋"/>
          <w:sz w:val="32"/>
          <w:szCs w:val="32"/>
        </w:rPr>
        <w:t>%。</w:t>
      </w:r>
      <w:r>
        <w:rPr>
          <w:rFonts w:hint="eastAsia" w:ascii="仿宋" w:hAnsi="仿宋" w:eastAsia="仿宋" w:cs="仿宋"/>
          <w:sz w:val="32"/>
          <w:szCs w:val="32"/>
          <w:lang w:eastAsia="zh-CN"/>
        </w:rPr>
        <w:t>事业收入</w:t>
      </w:r>
      <w:r>
        <w:rPr>
          <w:rFonts w:hint="eastAsia" w:ascii="仿宋" w:hAnsi="仿宋" w:eastAsia="仿宋" w:cs="仿宋"/>
          <w:sz w:val="32"/>
          <w:szCs w:val="32"/>
          <w:lang w:val="en-US" w:eastAsia="zh-CN"/>
        </w:rPr>
        <w:t>143.01万元，</w:t>
      </w:r>
      <w:r>
        <w:rPr>
          <w:rFonts w:hint="eastAsia" w:ascii="仿宋" w:hAnsi="仿宋" w:eastAsia="仿宋" w:cs="仿宋"/>
          <w:sz w:val="32"/>
          <w:szCs w:val="32"/>
        </w:rPr>
        <w:t>占本年收入</w:t>
      </w:r>
      <w:r>
        <w:rPr>
          <w:rFonts w:hint="eastAsia" w:ascii="仿宋" w:hAnsi="仿宋" w:eastAsia="仿宋" w:cs="仿宋"/>
          <w:sz w:val="32"/>
          <w:szCs w:val="32"/>
          <w:lang w:eastAsia="zh-CN"/>
        </w:rPr>
        <w:t>总</w:t>
      </w:r>
      <w:r>
        <w:rPr>
          <w:rFonts w:hint="eastAsia" w:ascii="仿宋" w:hAnsi="仿宋" w:eastAsia="仿宋" w:cs="仿宋"/>
          <w:sz w:val="32"/>
          <w:szCs w:val="32"/>
        </w:rPr>
        <w:t>计</w:t>
      </w:r>
      <w:r>
        <w:rPr>
          <w:rFonts w:hint="eastAsia" w:ascii="仿宋" w:hAnsi="仿宋" w:eastAsia="仿宋" w:cs="仿宋"/>
          <w:sz w:val="32"/>
          <w:szCs w:val="32"/>
          <w:lang w:val="en-US" w:eastAsia="zh-CN"/>
        </w:rPr>
        <w:t>39.04</w:t>
      </w:r>
      <w:r>
        <w:rPr>
          <w:rFonts w:hint="eastAsia" w:ascii="仿宋" w:hAnsi="仿宋" w:eastAsia="仿宋" w:cs="仿宋"/>
          <w:sz w:val="32"/>
          <w:szCs w:val="32"/>
        </w:rPr>
        <w:t>%。</w:t>
      </w:r>
    </w:p>
    <w:p>
      <w:pPr>
        <w:spacing w:line="240" w:lineRule="auto"/>
        <w:ind w:firstLine="640" w:firstLineChars="200"/>
        <w:rPr>
          <w:rFonts w:hint="eastAsia" w:eastAsia="仿宋"/>
          <w:lang w:eastAsia="zh-CN"/>
        </w:rPr>
      </w:pPr>
      <w:r>
        <w:rPr>
          <w:rFonts w:hint="eastAsia" w:ascii="仿宋" w:hAnsi="仿宋" w:eastAsia="仿宋"/>
          <w:color w:val="auto"/>
          <w:sz w:val="32"/>
          <w:szCs w:val="32"/>
          <w:highlight w:val="none"/>
        </w:rPr>
        <w:t>（图2：收入决算结构图）</w:t>
      </w:r>
    </w:p>
    <w:p>
      <w:pPr>
        <w:pStyle w:val="2"/>
        <w:jc w:val="center"/>
        <w:rPr>
          <w:rFonts w:hint="eastAsia" w:eastAsia="仿宋"/>
          <w:lang w:eastAsia="zh-CN"/>
        </w:rPr>
      </w:pPr>
      <w:r>
        <w:drawing>
          <wp:inline distT="0" distB="0" distL="114300" distR="114300">
            <wp:extent cx="4229735" cy="2258060"/>
            <wp:effectExtent l="4445" t="5080" r="13970" b="2286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46" w:name="_Toc26511"/>
      <w:bookmarkStart w:id="47" w:name="_Toc6096"/>
      <w:bookmarkStart w:id="48" w:name="_Toc15377207"/>
      <w:bookmarkStart w:id="49" w:name="_Toc15396605"/>
      <w:bookmarkStart w:id="50" w:name="_Toc15711"/>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46"/>
      <w:bookmarkEnd w:id="47"/>
      <w:bookmarkEnd w:id="48"/>
      <w:bookmarkEnd w:id="49"/>
      <w:bookmarkEnd w:id="50"/>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年支出合计</w:t>
      </w:r>
      <w:r>
        <w:rPr>
          <w:rFonts w:hint="eastAsia" w:ascii="仿宋" w:hAnsi="仿宋" w:eastAsia="仿宋" w:cs="仿宋"/>
          <w:sz w:val="32"/>
          <w:szCs w:val="32"/>
          <w:lang w:val="en-US" w:eastAsia="zh-CN"/>
        </w:rPr>
        <w:t>366.34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294.54</w:t>
      </w:r>
      <w:r>
        <w:rPr>
          <w:rFonts w:hint="eastAsia" w:ascii="仿宋" w:hAnsi="仿宋" w:eastAsia="仿宋" w:cs="仿宋"/>
          <w:sz w:val="32"/>
          <w:szCs w:val="32"/>
        </w:rPr>
        <w:t>万元，占总支出</w:t>
      </w:r>
      <w:r>
        <w:rPr>
          <w:rFonts w:hint="eastAsia" w:ascii="仿宋" w:hAnsi="仿宋" w:eastAsia="仿宋" w:cs="仿宋"/>
          <w:sz w:val="32"/>
          <w:szCs w:val="32"/>
          <w:lang w:val="en-US" w:eastAsia="zh-CN"/>
        </w:rPr>
        <w:t>80.40</w:t>
      </w:r>
      <w:r>
        <w:rPr>
          <w:rFonts w:hint="eastAsia" w:ascii="仿宋" w:hAnsi="仿宋" w:eastAsia="仿宋" w:cs="仿宋"/>
          <w:sz w:val="32"/>
          <w:szCs w:val="32"/>
        </w:rPr>
        <w:t>%，项目支出</w:t>
      </w:r>
      <w:r>
        <w:rPr>
          <w:rFonts w:hint="eastAsia" w:ascii="仿宋" w:hAnsi="仿宋" w:eastAsia="仿宋" w:cs="仿宋"/>
          <w:sz w:val="32"/>
          <w:szCs w:val="32"/>
          <w:lang w:val="en-US" w:eastAsia="zh-CN"/>
        </w:rPr>
        <w:t>71.80</w:t>
      </w:r>
      <w:r>
        <w:rPr>
          <w:rFonts w:hint="eastAsia" w:ascii="仿宋" w:hAnsi="仿宋" w:eastAsia="仿宋" w:cs="仿宋"/>
          <w:sz w:val="32"/>
          <w:szCs w:val="32"/>
        </w:rPr>
        <w:t>万元，占总支出</w:t>
      </w:r>
      <w:r>
        <w:rPr>
          <w:rFonts w:hint="eastAsia" w:ascii="仿宋" w:hAnsi="仿宋" w:eastAsia="仿宋" w:cs="仿宋"/>
          <w:sz w:val="32"/>
          <w:szCs w:val="32"/>
          <w:lang w:val="en-US" w:eastAsia="zh-CN"/>
        </w:rPr>
        <w:t>19.60</w:t>
      </w:r>
      <w:r>
        <w:rPr>
          <w:rFonts w:hint="eastAsia" w:ascii="仿宋" w:hAnsi="仿宋" w:eastAsia="仿宋" w:cs="仿宋"/>
          <w:sz w:val="32"/>
          <w:szCs w:val="32"/>
        </w:rPr>
        <w:t>%</w:t>
      </w:r>
      <w:r>
        <w:rPr>
          <w:rFonts w:hint="eastAsia" w:ascii="仿宋" w:hAnsi="仿宋" w:eastAsia="仿宋" w:cs="仿宋"/>
          <w:sz w:val="32"/>
          <w:szCs w:val="32"/>
          <w:lang w:eastAsia="zh-CN"/>
        </w:rPr>
        <w:t>，无附属单位。</w:t>
      </w:r>
    </w:p>
    <w:p>
      <w:pPr>
        <w:spacing w:line="240" w:lineRule="auto"/>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pStyle w:val="2"/>
        <w:rPr>
          <w:rFonts w:hint="eastAsia" w:ascii="仿宋" w:hAnsi="仿宋" w:eastAsia="仿宋"/>
          <w:color w:val="auto"/>
          <w:sz w:val="32"/>
          <w:szCs w:val="32"/>
          <w:highlight w:val="none"/>
        </w:rPr>
      </w:pPr>
      <w:r>
        <w:drawing>
          <wp:anchor distT="0" distB="0" distL="114300" distR="114300" simplePos="0" relativeHeight="251659264" behindDoc="1" locked="0" layoutInCell="1" allowOverlap="1">
            <wp:simplePos x="0" y="0"/>
            <wp:positionH relativeFrom="column">
              <wp:posOffset>271145</wp:posOffset>
            </wp:positionH>
            <wp:positionV relativeFrom="paragraph">
              <wp:posOffset>64770</wp:posOffset>
            </wp:positionV>
            <wp:extent cx="4286885" cy="1933575"/>
            <wp:effectExtent l="4445" t="4445" r="71120" b="62230"/>
            <wp:wrapThrough wrapText="bothSides">
              <wp:wrapPolygon>
                <wp:start x="-22" y="-50"/>
                <wp:lineTo x="-22" y="21444"/>
                <wp:lineTo x="21574" y="21444"/>
                <wp:lineTo x="21574" y="-50"/>
                <wp:lineTo x="-22" y="-50"/>
              </wp:wrapPolygon>
            </wp:wrapThrough>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outlineLvl w:val="1"/>
        <w:rPr>
          <w:rStyle w:val="25"/>
          <w:rFonts w:ascii="黑体" w:hAnsi="黑体" w:eastAsia="黑体"/>
          <w:b w:val="0"/>
          <w:color w:val="auto"/>
          <w:highlight w:val="none"/>
        </w:rPr>
      </w:pPr>
      <w:bookmarkStart w:id="51" w:name="_Toc9754"/>
      <w:bookmarkStart w:id="52" w:name="_Toc16504"/>
      <w:bookmarkStart w:id="53" w:name="_Toc15377208"/>
      <w:bookmarkStart w:id="54" w:name="_Toc7930"/>
      <w:bookmarkStart w:id="55"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51"/>
      <w:bookmarkEnd w:id="52"/>
      <w:bookmarkEnd w:id="53"/>
      <w:bookmarkEnd w:id="54"/>
      <w:bookmarkEnd w:id="55"/>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入总计</w:t>
      </w:r>
      <w:r>
        <w:rPr>
          <w:rFonts w:hint="eastAsia" w:ascii="仿宋" w:hAnsi="仿宋" w:eastAsia="仿宋"/>
          <w:color w:val="auto"/>
          <w:sz w:val="32"/>
          <w:szCs w:val="32"/>
          <w:highlight w:val="none"/>
          <w:lang w:val="en-US" w:eastAsia="zh-CN"/>
        </w:rPr>
        <w:t>151.45万元、</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151.45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lang w:val="en-US" w:eastAsia="zh-CN"/>
        </w:rPr>
        <w:t>159.21万元</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159.21万元</w:t>
      </w:r>
      <w:r>
        <w:rPr>
          <w:rFonts w:hint="eastAsia" w:ascii="仿宋" w:hAnsi="仿宋" w:eastAsia="仿宋"/>
          <w:color w:val="auto"/>
          <w:sz w:val="32"/>
          <w:szCs w:val="32"/>
          <w:highlight w:val="none"/>
        </w:rPr>
        <w:t>各减少</w:t>
      </w:r>
      <w:r>
        <w:rPr>
          <w:rFonts w:hint="eastAsia" w:ascii="仿宋" w:hAnsi="仿宋" w:eastAsia="仿宋"/>
          <w:color w:val="auto"/>
          <w:sz w:val="32"/>
          <w:szCs w:val="32"/>
          <w:highlight w:val="none"/>
          <w:lang w:val="en-US" w:eastAsia="zh-CN"/>
        </w:rPr>
        <w:t>7.76</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收入支出各</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4.87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基本药物补助减少。</w:t>
      </w:r>
    </w:p>
    <w:p>
      <w:pPr>
        <w:spacing w:line="600" w:lineRule="exact"/>
        <w:ind w:firstLine="640" w:firstLineChars="200"/>
        <w:rPr>
          <w:rFonts w:hint="eastAsia" w:ascii="仿宋" w:hAnsi="仿宋" w:eastAsia="仿宋"/>
          <w:b/>
          <w:color w:val="auto"/>
          <w:sz w:val="32"/>
          <w:szCs w:val="32"/>
          <w:highlight w:val="none"/>
          <w:lang w:eastAsia="zh-CN"/>
        </w:rPr>
      </w:pPr>
      <w:r>
        <w:rPr>
          <w:rFonts w:hint="eastAsia" w:ascii="仿宋" w:hAnsi="仿宋" w:eastAsia="仿宋"/>
          <w:color w:val="auto"/>
          <w:sz w:val="32"/>
          <w:szCs w:val="32"/>
          <w:highlight w:val="none"/>
        </w:rPr>
        <w:t>（图4：财政拨款收、支决算总计变动情况）</w:t>
      </w:r>
    </w:p>
    <w:p>
      <w:pPr>
        <w:pStyle w:val="2"/>
        <w:jc w:val="center"/>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4623435" cy="2583180"/>
            <wp:effectExtent l="4445" t="4445" r="20320" b="222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outlineLvl w:val="1"/>
        <w:rPr>
          <w:rStyle w:val="25"/>
          <w:rFonts w:ascii="黑体" w:hAnsi="黑体" w:eastAsia="黑体"/>
          <w:b w:val="0"/>
          <w:color w:val="auto"/>
          <w:highlight w:val="none"/>
        </w:rPr>
      </w:pPr>
      <w:bookmarkStart w:id="56" w:name="_Toc16600"/>
      <w:bookmarkStart w:id="57" w:name="_Toc15396607"/>
      <w:bookmarkStart w:id="58" w:name="_Toc20106"/>
      <w:bookmarkStart w:id="59" w:name="_Toc5760"/>
      <w:bookmarkStart w:id="60"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56"/>
      <w:bookmarkEnd w:id="57"/>
      <w:bookmarkEnd w:id="58"/>
      <w:bookmarkEnd w:id="59"/>
      <w:bookmarkEnd w:id="60"/>
    </w:p>
    <w:p>
      <w:pPr>
        <w:spacing w:line="600" w:lineRule="exact"/>
        <w:ind w:firstLine="643" w:firstLineChars="200"/>
        <w:outlineLvl w:val="2"/>
        <w:rPr>
          <w:rFonts w:ascii="仿宋" w:hAnsi="仿宋" w:eastAsia="仿宋"/>
          <w:b/>
          <w:color w:val="auto"/>
          <w:sz w:val="32"/>
          <w:szCs w:val="32"/>
          <w:highlight w:val="none"/>
        </w:rPr>
      </w:pPr>
      <w:bookmarkStart w:id="61" w:name="_Toc15377210"/>
      <w:r>
        <w:rPr>
          <w:rFonts w:hint="eastAsia" w:ascii="仿宋" w:hAnsi="仿宋" w:eastAsia="仿宋"/>
          <w:b/>
          <w:color w:val="auto"/>
          <w:sz w:val="32"/>
          <w:szCs w:val="32"/>
          <w:highlight w:val="none"/>
        </w:rPr>
        <w:t>（一）一般公共预算财政拨款支出决算总体情况</w:t>
      </w:r>
      <w:bookmarkEnd w:id="61"/>
    </w:p>
    <w:p>
      <w:pPr>
        <w:spacing w:line="560" w:lineRule="exact"/>
        <w:ind w:firstLine="640" w:firstLineChars="200"/>
        <w:rPr>
          <w:rFonts w:hint="eastAsia" w:ascii="仿宋" w:hAnsi="仿宋" w:eastAsia="仿宋" w:cs="仿宋"/>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151.45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41.34</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7.76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4.87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基本药物支出减少。</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（图5：一般公共预算财政拨款支出决算变动情况）</w:t>
      </w:r>
    </w:p>
    <w:p>
      <w:pPr>
        <w:pStyle w:val="2"/>
        <w:jc w:val="center"/>
        <w:rPr>
          <w:rFonts w:hint="eastAsia" w:ascii="仿宋" w:hAnsi="仿宋" w:eastAsia="仿宋"/>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4462145" cy="2487295"/>
            <wp:effectExtent l="4445" t="4445" r="10160" b="2286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62" w:name="_Toc15377211"/>
      <w:r>
        <w:rPr>
          <w:rFonts w:hint="eastAsia" w:ascii="仿宋" w:hAnsi="仿宋" w:eastAsia="仿宋"/>
          <w:b/>
          <w:color w:val="auto"/>
          <w:sz w:val="32"/>
          <w:szCs w:val="32"/>
          <w:highlight w:val="none"/>
        </w:rPr>
        <w:t>（二）一般公共预算财政拨款支出决算结构情况</w:t>
      </w:r>
      <w:bookmarkEnd w:id="62"/>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151.45</w:t>
      </w:r>
      <w:r>
        <w:rPr>
          <w:rFonts w:hint="eastAsia" w:ascii="仿宋" w:hAnsi="仿宋" w:eastAsia="仿宋"/>
          <w:color w:val="auto"/>
          <w:sz w:val="32"/>
          <w:szCs w:val="32"/>
          <w:highlight w:val="none"/>
        </w:rPr>
        <w:t>万元，主要用于以下方面</w:t>
      </w:r>
      <w:r>
        <w:rPr>
          <w:rFonts w:hint="eastAsia" w:ascii="仿宋" w:hAnsi="仿宋" w:eastAsia="仿宋"/>
          <w:color w:val="auto"/>
          <w:sz w:val="32"/>
          <w:szCs w:val="32"/>
          <w:highlight w:val="none"/>
          <w:u w:val="none" w:color="46CD7E"/>
          <w:shd w:val="clear" w:fill="auto"/>
          <w:lang w:eastAsia="zh-CN"/>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u w:val="none" w:color="46CD7E"/>
          <w:shd w:val="clear" w:fill="auto"/>
          <w:lang w:val="en-US" w:eastAsia="zh-CN"/>
        </w:rPr>
        <w:t>（</w:t>
      </w:r>
      <w:r>
        <w:rPr>
          <w:rFonts w:hint="eastAsia" w:ascii="仿宋" w:hAnsi="仿宋" w:eastAsia="仿宋"/>
          <w:b/>
          <w:bCs/>
          <w:color w:val="auto"/>
          <w:sz w:val="32"/>
          <w:szCs w:val="32"/>
          <w:highlight w:val="none"/>
          <w:lang w:val="en-US" w:eastAsia="zh-CN"/>
        </w:rPr>
        <w:t>类）</w:t>
      </w:r>
      <w:r>
        <w:rPr>
          <w:rFonts w:hint="eastAsia" w:ascii="仿宋" w:hAnsi="仿宋" w:eastAsia="仿宋"/>
          <w:color w:val="auto"/>
          <w:sz w:val="32"/>
          <w:szCs w:val="32"/>
          <w:highlight w:val="none"/>
          <w:lang w:val="en-US" w:eastAsia="zh-CN"/>
        </w:rPr>
        <w:t>150.95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99.67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Style w:val="14"/>
          <w:rFonts w:hint="eastAsia" w:ascii="仿宋" w:hAnsi="仿宋" w:eastAsia="仿宋"/>
          <w:b/>
          <w:bCs/>
          <w:color w:val="000000"/>
          <w:sz w:val="32"/>
          <w:szCs w:val="32"/>
          <w:u w:val="none"/>
        </w:rPr>
        <w:t>农林水支出（类）</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0.33</w:t>
      </w:r>
      <w:r>
        <w:rPr>
          <w:rFonts w:ascii="仿宋" w:hAnsi="仿宋" w:eastAsia="仿宋"/>
          <w:color w:val="auto"/>
          <w:sz w:val="32"/>
          <w:szCs w:val="32"/>
          <w:highlight w:val="none"/>
        </w:rPr>
        <w:t>%</w:t>
      </w:r>
      <w:r>
        <w:rPr>
          <w:rFonts w:hint="eastAsia" w:ascii="仿宋" w:hAnsi="仿宋" w:eastAsia="仿宋"/>
          <w:color w:val="auto"/>
          <w:sz w:val="32"/>
          <w:szCs w:val="32"/>
          <w:highlight w:val="none"/>
          <w:u w:val="none" w:color="909090"/>
          <w:shd w:val="clear" w:fill="auto"/>
        </w:rPr>
        <w:t>。</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（图6：一般公共预算财政拨款支出决算结构）</w:t>
      </w:r>
    </w:p>
    <w:p>
      <w:pPr>
        <w:pStyle w:val="2"/>
        <w:jc w:val="center"/>
        <w:rPr>
          <w:rFonts w:hint="eastAsia" w:ascii="仿宋" w:hAnsi="仿宋" w:eastAsia="仿宋"/>
          <w:color w:val="auto"/>
          <w:sz w:val="32"/>
          <w:szCs w:val="32"/>
          <w:highlight w:val="none"/>
          <w:lang w:eastAsia="zh-CN"/>
        </w:rPr>
      </w:pPr>
      <w:r>
        <w:drawing>
          <wp:inline distT="0" distB="0" distL="114300" distR="114300">
            <wp:extent cx="4495800" cy="2581910"/>
            <wp:effectExtent l="4445" t="4445" r="14605" b="2349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63" w:name="_Toc15377212"/>
      <w:r>
        <w:rPr>
          <w:rFonts w:hint="eastAsia" w:ascii="仿宋" w:hAnsi="仿宋" w:eastAsia="仿宋"/>
          <w:b/>
          <w:color w:val="auto"/>
          <w:sz w:val="32"/>
          <w:szCs w:val="32"/>
          <w:highlight w:val="none"/>
        </w:rPr>
        <w:t>（三）一般公共预算财政拨款支出决算具体情况</w:t>
      </w:r>
      <w:bookmarkEnd w:id="63"/>
    </w:p>
    <w:p>
      <w:pPr>
        <w:spacing w:line="600" w:lineRule="exact"/>
        <w:ind w:firstLine="643" w:firstLineChars="200"/>
        <w:outlineLvl w:val="1"/>
        <w:rPr>
          <w:rFonts w:ascii="仿宋" w:hAnsi="仿宋" w:eastAsia="仿宋"/>
          <w:color w:val="auto"/>
          <w:sz w:val="32"/>
          <w:szCs w:val="32"/>
          <w:highlight w:val="none"/>
        </w:rPr>
      </w:pPr>
      <w:bookmarkStart w:id="64" w:name="_Toc15377444"/>
      <w:bookmarkStart w:id="65" w:name="_Toc15378460"/>
      <w:bookmarkStart w:id="66" w:name="_Toc24923"/>
      <w:bookmarkStart w:id="67" w:name="_Toc27297"/>
      <w:bookmarkStart w:id="68" w:name="_Toc15377213"/>
      <w:bookmarkStart w:id="69" w:name="_Toc24865"/>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151.45</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64"/>
      <w:bookmarkEnd w:id="65"/>
      <w:bookmarkEnd w:id="66"/>
      <w:bookmarkEnd w:id="67"/>
      <w:bookmarkEnd w:id="68"/>
      <w:bookmarkEnd w:id="69"/>
    </w:p>
    <w:p>
      <w:pPr>
        <w:numPr>
          <w:numId w:val="0"/>
        </w:num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1.</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（类）基层医疗卫生机构（款）乡镇卫生院（项）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79.65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ilvl w:val="0"/>
          <w:numId w:val="0"/>
        </w:numPr>
        <w:spacing w:line="600" w:lineRule="exact"/>
        <w:ind w:firstLine="643" w:firstLineChars="200"/>
        <w:rPr>
          <w:rStyle w:val="14"/>
          <w:rFonts w:hint="eastAsia" w:ascii="仿宋" w:hAnsi="仿宋" w:eastAsia="仿宋"/>
          <w:b w:val="0"/>
          <w:bCs/>
          <w:color w:val="auto"/>
          <w:sz w:val="32"/>
          <w:szCs w:val="32"/>
          <w:highlight w:val="none"/>
          <w:lang w:val="en-US" w:eastAsia="zh-CN"/>
        </w:rPr>
      </w:pPr>
      <w:r>
        <w:rPr>
          <w:rStyle w:val="14"/>
          <w:rFonts w:hint="eastAsia" w:ascii="仿宋" w:hAnsi="仿宋" w:eastAsia="仿宋"/>
          <w:bCs/>
          <w:color w:val="auto"/>
          <w:sz w:val="32"/>
          <w:szCs w:val="32"/>
          <w:highlight w:val="none"/>
          <w:lang w:val="en-US" w:eastAsia="zh-CN"/>
        </w:rPr>
        <w:t>2</w:t>
      </w:r>
      <w:r>
        <w:rPr>
          <w:rStyle w:val="14"/>
          <w:rFonts w:hint="eastAsia" w:ascii="仿宋" w:hAnsi="仿宋" w:eastAsia="仿宋"/>
          <w:bCs/>
          <w:color w:val="auto"/>
          <w:sz w:val="32"/>
          <w:szCs w:val="32"/>
          <w:highlight w:val="none"/>
          <w:u w:val="none" w:color="46CD7E"/>
          <w:shd w:val="clear" w:fill="auto"/>
          <w:lang w:val="en-US" w:eastAsia="zh-CN"/>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（类）基层医疗卫生机构（款）其他基层医疗卫生机构支出</w:t>
      </w:r>
      <w:r>
        <w:rPr>
          <w:rStyle w:val="14"/>
          <w:rFonts w:hint="eastAsia" w:ascii="仿宋" w:hAnsi="仿宋" w:eastAsia="仿宋"/>
          <w:bCs/>
          <w:color w:val="auto"/>
          <w:sz w:val="32"/>
          <w:szCs w:val="32"/>
          <w:highlight w:val="none"/>
          <w:u w:val="none" w:color="46CD7E"/>
          <w:shd w:val="clear" w:fill="auto"/>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17.89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 w:hAnsi="仿宋" w:eastAsia="仿宋"/>
          <w:b/>
          <w:color w:val="auto"/>
          <w:sz w:val="32"/>
          <w:szCs w:val="32"/>
          <w:highlight w:val="none"/>
          <w:lang w:val="en-US" w:eastAsia="zh-CN"/>
        </w:rPr>
        <w:t>3</w:t>
      </w:r>
      <w:r>
        <w:rPr>
          <w:rFonts w:hint="eastAsia" w:ascii="仿宋" w:hAnsi="仿宋" w:eastAsia="仿宋"/>
          <w:b/>
          <w:color w:val="auto"/>
          <w:sz w:val="32"/>
          <w:szCs w:val="32"/>
          <w:highlight w:val="none"/>
          <w:u w:val="none" w:color="46CD7E"/>
          <w:shd w:val="clear" w:fill="auto"/>
          <w:lang w:val="en-US" w:eastAsia="zh-CN"/>
        </w:rPr>
        <w:t>.</w:t>
      </w:r>
      <w:r>
        <w:rPr>
          <w:rStyle w:val="14"/>
          <w:rFonts w:hint="eastAsia" w:ascii="仿宋" w:hAnsi="仿宋" w:eastAsia="仿宋"/>
          <w:b/>
          <w:bCs/>
          <w:color w:val="000000"/>
          <w:sz w:val="32"/>
          <w:szCs w:val="32"/>
          <w:u w:val="none"/>
        </w:rPr>
        <w:t>卫生健康（类）公共卫生（款）基本公共卫生服务（项）</w:t>
      </w:r>
      <w:r>
        <w:rPr>
          <w:rStyle w:val="14"/>
          <w:rFonts w:hint="eastAsia" w:ascii="仿宋" w:hAnsi="仿宋" w:eastAsia="仿宋"/>
          <w:b/>
          <w:bCs/>
          <w:color w:val="000000"/>
          <w:sz w:val="32"/>
          <w:szCs w:val="32"/>
          <w:u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53.42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eastAsia="仿宋"/>
          <w:b/>
          <w:bCs/>
          <w:lang w:val="en-US" w:eastAsia="zh-CN"/>
        </w:rPr>
      </w:pPr>
      <w:r>
        <w:rPr>
          <w:rFonts w:hint="eastAsia" w:eastAsia="仿宋"/>
          <w:b/>
          <w:bCs/>
          <w:lang w:val="en-US" w:eastAsia="zh-CN"/>
        </w:rPr>
        <w:t>4</w:t>
      </w:r>
      <w:r>
        <w:rPr>
          <w:rFonts w:hint="eastAsia" w:eastAsia="仿宋"/>
          <w:b/>
          <w:bCs/>
          <w:u w:val="none" w:color="46CD7E"/>
          <w:shd w:val="clear" w:fill="auto"/>
          <w:lang w:val="en-US" w:eastAsia="zh-CN"/>
        </w:rPr>
        <w:t>.</w:t>
      </w:r>
      <w:r>
        <w:rPr>
          <w:rStyle w:val="14"/>
          <w:rFonts w:hint="eastAsia" w:ascii="仿宋" w:hAnsi="仿宋" w:eastAsia="仿宋"/>
          <w:b/>
          <w:bCs/>
          <w:color w:val="000000"/>
          <w:sz w:val="32"/>
          <w:szCs w:val="32"/>
          <w:u w:val="none"/>
        </w:rPr>
        <w:t>农林水支出（类）扶贫（款）其他扶贫支出（项）: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5"/>
          <w:color w:val="auto"/>
          <w:highlight w:val="none"/>
        </w:rPr>
      </w:pPr>
      <w:bookmarkStart w:id="70" w:name="_Toc6127"/>
      <w:bookmarkStart w:id="71" w:name="_Toc7914"/>
      <w:bookmarkStart w:id="72" w:name="_Toc15377214"/>
      <w:bookmarkStart w:id="73" w:name="_Toc20843"/>
      <w:bookmarkStart w:id="74"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70"/>
      <w:bookmarkEnd w:id="71"/>
      <w:bookmarkEnd w:id="72"/>
      <w:bookmarkEnd w:id="73"/>
      <w:bookmarkEnd w:id="74"/>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79.65</w:t>
      </w:r>
      <w:r>
        <w:rPr>
          <w:rFonts w:hint="eastAsia" w:ascii="仿宋" w:hAnsi="仿宋" w:eastAsia="仿宋"/>
          <w:color w:val="auto"/>
          <w:sz w:val="32"/>
          <w:szCs w:val="32"/>
          <w:highlight w:val="none"/>
        </w:rPr>
        <w:t>万元，其中：</w:t>
      </w:r>
    </w:p>
    <w:p>
      <w:pPr>
        <w:spacing w:line="600" w:lineRule="exact"/>
        <w:ind w:firstLine="645"/>
        <w:rPr>
          <w:rFonts w:hint="default"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79.65</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47.13万元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10.76万元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6.79万元</w:t>
      </w:r>
      <w:r>
        <w:rPr>
          <w:rFonts w:hint="eastAsia" w:ascii="仿宋" w:hAnsi="仿宋" w:eastAsia="仿宋"/>
          <w:color w:val="auto"/>
          <w:sz w:val="32"/>
          <w:szCs w:val="32"/>
          <w:highlight w:val="none"/>
        </w:rPr>
        <w:t>、职业年金缴费</w:t>
      </w:r>
      <w:r>
        <w:rPr>
          <w:rFonts w:hint="eastAsia" w:ascii="仿宋" w:hAnsi="仿宋" w:eastAsia="仿宋"/>
          <w:color w:val="auto"/>
          <w:sz w:val="32"/>
          <w:szCs w:val="32"/>
          <w:highlight w:val="none"/>
          <w:lang w:val="en-US" w:eastAsia="zh-CN"/>
        </w:rPr>
        <w:t>3.9万元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职工基本医疗</w:t>
      </w:r>
      <w:r>
        <w:rPr>
          <w:rFonts w:hint="eastAsia" w:ascii="仿宋" w:hAnsi="仿宋" w:eastAsia="仿宋"/>
          <w:color w:val="auto"/>
          <w:sz w:val="32"/>
          <w:szCs w:val="32"/>
          <w:highlight w:val="none"/>
          <w:lang w:val="en-US" w:eastAsia="zh-CN"/>
        </w:rPr>
        <w:t>4.23万元、其他社会保障缴费0.68万元、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6.16万元等</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p>
    <w:p>
      <w:pPr>
        <w:spacing w:line="600" w:lineRule="exact"/>
        <w:ind w:firstLine="640"/>
        <w:outlineLvl w:val="1"/>
        <w:rPr>
          <w:rStyle w:val="25"/>
          <w:rFonts w:ascii="黑体" w:hAnsi="黑体" w:eastAsia="黑体"/>
          <w:b w:val="0"/>
          <w:color w:val="auto"/>
          <w:highlight w:val="none"/>
        </w:rPr>
      </w:pPr>
      <w:bookmarkStart w:id="75" w:name="_Toc13479"/>
      <w:bookmarkStart w:id="76" w:name="_Toc15396609"/>
      <w:bookmarkStart w:id="77" w:name="_Toc524"/>
      <w:bookmarkStart w:id="78" w:name="_Toc15377215"/>
      <w:bookmarkStart w:id="79" w:name="_Toc12514"/>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75"/>
      <w:bookmarkEnd w:id="76"/>
      <w:bookmarkEnd w:id="77"/>
      <w:bookmarkEnd w:id="78"/>
      <w:bookmarkEnd w:id="79"/>
    </w:p>
    <w:p>
      <w:pPr>
        <w:spacing w:line="600" w:lineRule="exact"/>
        <w:ind w:firstLine="640"/>
        <w:outlineLvl w:val="2"/>
        <w:rPr>
          <w:rFonts w:ascii="仿宋" w:hAnsi="仿宋" w:eastAsia="仿宋"/>
          <w:b/>
          <w:color w:val="auto"/>
          <w:sz w:val="32"/>
          <w:szCs w:val="32"/>
          <w:highlight w:val="none"/>
        </w:rPr>
      </w:pPr>
      <w:bookmarkStart w:id="80" w:name="_Toc15377216"/>
      <w:r>
        <w:rPr>
          <w:rFonts w:hint="eastAsia" w:ascii="仿宋" w:hAnsi="仿宋" w:eastAsia="仿宋"/>
          <w:b/>
          <w:color w:val="auto"/>
          <w:sz w:val="32"/>
          <w:szCs w:val="32"/>
          <w:highlight w:val="none"/>
        </w:rPr>
        <w:t>（一）“三公”经费财政拨款支出决算总体情况说明</w:t>
      </w:r>
      <w:bookmarkEnd w:id="80"/>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p>
    <w:p>
      <w:pPr>
        <w:spacing w:line="600" w:lineRule="exact"/>
        <w:ind w:firstLine="640"/>
        <w:outlineLvl w:val="2"/>
        <w:rPr>
          <w:rFonts w:ascii="仿宋" w:hAnsi="仿宋" w:eastAsia="仿宋"/>
          <w:b/>
          <w:color w:val="auto"/>
          <w:sz w:val="32"/>
          <w:szCs w:val="32"/>
          <w:highlight w:val="none"/>
        </w:rPr>
      </w:pPr>
      <w:bookmarkStart w:id="81" w:name="_Toc15377217"/>
      <w:r>
        <w:rPr>
          <w:rFonts w:hint="eastAsia" w:ascii="仿宋" w:hAnsi="仿宋" w:eastAsia="仿宋"/>
          <w:b/>
          <w:color w:val="auto"/>
          <w:sz w:val="32"/>
          <w:szCs w:val="32"/>
          <w:highlight w:val="none"/>
        </w:rPr>
        <w:t>（二）“三公”经费财政拨款支出决算具体情况说明</w:t>
      </w:r>
      <w:bookmarkEnd w:id="81"/>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2021年“三公”经费财政拨款支出决算中，因公出国（境）费支出决算0万元，公务用车购置及运行维护费支出决算0万元；公务接待费支出决算0万元。具体情况如下：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Style w:val="2"/>
        <w:rPr>
          <w:rFonts w:hint="eastAsia" w:eastAsia="仿宋"/>
          <w:lang w:eastAsia="zh-CN"/>
        </w:rPr>
      </w:pPr>
      <w:r>
        <w:rPr>
          <w:rFonts w:hint="eastAsia" w:eastAsia="仿宋"/>
          <w:lang w:eastAsia="zh-CN"/>
        </w:rPr>
        <w:drawing>
          <wp:inline distT="0" distB="0" distL="114300" distR="114300">
            <wp:extent cx="4590415" cy="2749550"/>
            <wp:effectExtent l="0" t="0" r="635" b="12700"/>
            <wp:docPr id="8" name="图片 8"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9"/>
                    <pic:cNvPicPr>
                      <a:picLocks noChangeAspect="1"/>
                    </pic:cNvPicPr>
                  </pic:nvPicPr>
                  <pic:blipFill>
                    <a:blip r:embed="rId16"/>
                    <a:stretch>
                      <a:fillRect/>
                    </a:stretch>
                  </pic:blipFill>
                  <pic:spPr>
                    <a:xfrm>
                      <a:off x="0" y="0"/>
                      <a:ext cx="4590415" cy="2749550"/>
                    </a:xfrm>
                    <a:prstGeom prst="rect">
                      <a:avLst/>
                    </a:prstGeom>
                  </pic:spPr>
                </pic:pic>
              </a:graphicData>
            </a:graphic>
          </wp:inline>
        </w:drawing>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1.因公出国（境）经费支出</w:t>
      </w:r>
      <w:r>
        <w:rPr>
          <w:rFonts w:hint="eastAsia" w:ascii="仿宋" w:hAnsi="仿宋" w:eastAsia="仿宋" w:cs="仿宋"/>
          <w:sz w:val="32"/>
          <w:szCs w:val="32"/>
        </w:rPr>
        <w:t>0万元。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2.公务用车购置及运行维护费支出0</w:t>
      </w:r>
      <w:r>
        <w:rPr>
          <w:rFonts w:hint="eastAsia" w:ascii="仿宋" w:hAnsi="仿宋" w:eastAsia="仿宋" w:cs="仿宋"/>
          <w:sz w:val="32"/>
          <w:szCs w:val="32"/>
        </w:rPr>
        <w:t>万元。</w:t>
      </w:r>
    </w:p>
    <w:p>
      <w:pPr>
        <w:spacing w:line="560" w:lineRule="exact"/>
        <w:ind w:firstLine="643" w:firstLineChars="200"/>
        <w:rPr>
          <w:rFonts w:ascii="黑体" w:eastAsia="黑体"/>
          <w:color w:val="auto"/>
          <w:sz w:val="32"/>
          <w:szCs w:val="32"/>
          <w:highlight w:val="none"/>
        </w:rPr>
      </w:pPr>
      <w:r>
        <w:rPr>
          <w:rFonts w:hint="eastAsia" w:ascii="仿宋" w:hAnsi="仿宋" w:eastAsia="仿宋" w:cs="仿宋"/>
          <w:b/>
          <w:sz w:val="32"/>
          <w:szCs w:val="32"/>
        </w:rPr>
        <w:t>3.公务接待费支出</w:t>
      </w:r>
      <w:r>
        <w:rPr>
          <w:rFonts w:hint="eastAsia" w:ascii="仿宋" w:hAnsi="仿宋" w:eastAsia="仿宋" w:cs="仿宋"/>
          <w:sz w:val="32"/>
          <w:szCs w:val="32"/>
        </w:rPr>
        <w:t>0万元。</w:t>
      </w:r>
      <w:bookmarkStart w:id="82" w:name="_Toc15396610"/>
      <w:bookmarkStart w:id="83" w:name="_Toc15377218"/>
    </w:p>
    <w:p>
      <w:pPr>
        <w:spacing w:line="600" w:lineRule="exact"/>
        <w:ind w:firstLine="640"/>
        <w:outlineLvl w:val="1"/>
        <w:rPr>
          <w:rStyle w:val="25"/>
          <w:rFonts w:ascii="黑体" w:hAnsi="黑体" w:eastAsia="黑体"/>
          <w:color w:val="auto"/>
          <w:highlight w:val="none"/>
        </w:rPr>
      </w:pPr>
      <w:bookmarkStart w:id="84" w:name="_Toc27047"/>
      <w:bookmarkStart w:id="85" w:name="_Toc17697"/>
      <w:bookmarkStart w:id="86" w:name="_Toc16024"/>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82"/>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 w:hAnsi="仿宋" w:eastAsia="仿宋" w:cs="仿宋"/>
          <w:sz w:val="32"/>
          <w:szCs w:val="32"/>
        </w:rPr>
        <w:t>2021年本单位</w:t>
      </w:r>
      <w:r>
        <w:rPr>
          <w:rFonts w:hint="eastAsia" w:ascii="仿宋" w:hAnsi="仿宋" w:eastAsia="仿宋" w:cs="仿宋"/>
          <w:sz w:val="32"/>
          <w:szCs w:val="32"/>
          <w:lang w:eastAsia="zh-CN"/>
        </w:rPr>
        <w:t>无</w:t>
      </w:r>
      <w:r>
        <w:rPr>
          <w:rFonts w:hint="eastAsia" w:ascii="仿宋" w:hAnsi="仿宋" w:eastAsia="仿宋" w:cs="仿宋"/>
          <w:sz w:val="32"/>
          <w:szCs w:val="32"/>
        </w:rPr>
        <w:t>政府基金预算收支。</w:t>
      </w:r>
    </w:p>
    <w:p>
      <w:pPr>
        <w:numPr>
          <w:ilvl w:val="0"/>
          <w:numId w:val="3"/>
        </w:numPr>
        <w:spacing w:line="600" w:lineRule="exact"/>
        <w:ind w:firstLine="640"/>
        <w:outlineLvl w:val="1"/>
        <w:rPr>
          <w:rStyle w:val="25"/>
          <w:rFonts w:ascii="黑体" w:hAnsi="黑体" w:eastAsia="黑体"/>
          <w:b w:val="0"/>
          <w:color w:val="auto"/>
          <w:highlight w:val="none"/>
        </w:rPr>
      </w:pPr>
      <w:bookmarkStart w:id="87" w:name="_Toc15396611"/>
      <w:bookmarkStart w:id="88" w:name="_Toc10193"/>
      <w:bookmarkStart w:id="89" w:name="_Toc25944"/>
      <w:bookmarkStart w:id="90" w:name="_Toc15377219"/>
      <w:bookmarkStart w:id="91" w:name="_Toc16747"/>
      <w:r>
        <w:rPr>
          <w:rStyle w:val="25"/>
          <w:rFonts w:hint="eastAsia" w:ascii="黑体" w:hAnsi="黑体" w:eastAsia="黑体"/>
          <w:b w:val="0"/>
          <w:color w:val="auto"/>
          <w:highlight w:val="none"/>
        </w:rPr>
        <w:t>国有资本经营预算支出决算情况说明</w:t>
      </w:r>
      <w:bookmarkEnd w:id="87"/>
      <w:bookmarkEnd w:id="88"/>
      <w:bookmarkEnd w:id="89"/>
      <w:bookmarkEnd w:id="90"/>
      <w:bookmarkEnd w:id="91"/>
    </w:p>
    <w:p>
      <w:pPr>
        <w:spacing w:line="580" w:lineRule="exact"/>
        <w:ind w:firstLine="640" w:firstLineChars="200"/>
        <w:jc w:val="both"/>
        <w:rPr>
          <w:rFonts w:ascii="方正小标宋简体" w:hAnsi="方正小标宋简体" w:eastAsia="方正小标宋简体" w:cs="方正小标宋简体"/>
          <w:color w:val="auto"/>
          <w:sz w:val="44"/>
          <w:szCs w:val="44"/>
          <w:highlight w:val="none"/>
        </w:rPr>
      </w:pPr>
      <w:bookmarkStart w:id="92" w:name="_Toc21862"/>
      <w:bookmarkStart w:id="93" w:name="_Toc21948"/>
      <w:r>
        <w:rPr>
          <w:rFonts w:hint="eastAsia" w:ascii="仿宋" w:hAnsi="仿宋" w:eastAsia="仿宋" w:cs="仿宋"/>
          <w:sz w:val="32"/>
          <w:szCs w:val="32"/>
        </w:rPr>
        <w:t>2021年本单位</w:t>
      </w:r>
      <w:r>
        <w:rPr>
          <w:rFonts w:hint="eastAsia" w:ascii="仿宋" w:hAnsi="仿宋" w:eastAsia="仿宋" w:cs="仿宋"/>
          <w:sz w:val="32"/>
          <w:szCs w:val="32"/>
          <w:lang w:eastAsia="zh-CN"/>
        </w:rPr>
        <w:t>无</w:t>
      </w:r>
      <w:r>
        <w:rPr>
          <w:rFonts w:hint="eastAsia" w:ascii="仿宋" w:hAnsi="仿宋" w:eastAsia="仿宋" w:cs="仿宋"/>
          <w:sz w:val="32"/>
          <w:szCs w:val="32"/>
        </w:rPr>
        <w:t>国有资本经营预算拨款支出。</w:t>
      </w:r>
      <w:bookmarkEnd w:id="92"/>
      <w:bookmarkEnd w:id="93"/>
    </w:p>
    <w:p>
      <w:pPr>
        <w:numPr>
          <w:ilvl w:val="0"/>
          <w:numId w:val="3"/>
        </w:numPr>
        <w:spacing w:line="600" w:lineRule="exact"/>
        <w:ind w:firstLine="640"/>
        <w:outlineLvl w:val="1"/>
        <w:rPr>
          <w:rStyle w:val="25"/>
          <w:rFonts w:hint="eastAsia" w:ascii="黑体" w:hAnsi="黑体" w:eastAsia="黑体"/>
          <w:b w:val="0"/>
          <w:color w:val="auto"/>
          <w:highlight w:val="none"/>
        </w:rPr>
      </w:pPr>
      <w:bookmarkStart w:id="94" w:name="_Toc15377221"/>
      <w:bookmarkStart w:id="95" w:name="_Toc15396612"/>
      <w:bookmarkStart w:id="96" w:name="_Toc26584"/>
      <w:bookmarkStart w:id="97" w:name="_Toc19730"/>
      <w:bookmarkStart w:id="98" w:name="_Toc17624"/>
      <w:r>
        <w:rPr>
          <w:rStyle w:val="25"/>
          <w:rFonts w:hint="eastAsia" w:ascii="黑体" w:hAnsi="黑体" w:eastAsia="黑体"/>
          <w:b w:val="0"/>
          <w:color w:val="auto"/>
          <w:highlight w:val="none"/>
        </w:rPr>
        <w:t>其他重要事项的情况说明</w:t>
      </w:r>
      <w:bookmarkEnd w:id="94"/>
      <w:bookmarkEnd w:id="95"/>
      <w:bookmarkEnd w:id="96"/>
      <w:bookmarkEnd w:id="97"/>
      <w:bookmarkEnd w:id="98"/>
    </w:p>
    <w:p>
      <w:pPr>
        <w:spacing w:line="600" w:lineRule="exact"/>
        <w:ind w:firstLine="643" w:firstLineChars="200"/>
        <w:outlineLvl w:val="2"/>
        <w:rPr>
          <w:rFonts w:ascii="仿宋" w:hAnsi="仿宋" w:eastAsia="仿宋"/>
          <w:color w:val="auto"/>
          <w:sz w:val="32"/>
          <w:szCs w:val="32"/>
          <w:highlight w:val="none"/>
        </w:rPr>
      </w:pPr>
      <w:bookmarkStart w:id="99" w:name="_Toc15377222"/>
      <w:r>
        <w:rPr>
          <w:rFonts w:hint="eastAsia" w:ascii="仿宋" w:hAnsi="仿宋" w:eastAsia="仿宋"/>
          <w:b/>
          <w:color w:val="auto"/>
          <w:sz w:val="32"/>
          <w:szCs w:val="32"/>
          <w:highlight w:val="none"/>
        </w:rPr>
        <w:t>（一）</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运行经费支出情况</w:t>
      </w:r>
      <w:bookmarkEnd w:id="99"/>
    </w:p>
    <w:p>
      <w:pPr>
        <w:spacing w:line="560" w:lineRule="exact"/>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rPr>
        <w:t>2021年，本单位</w:t>
      </w:r>
      <w:r>
        <w:rPr>
          <w:rFonts w:hint="eastAsia" w:ascii="仿宋" w:hAnsi="仿宋" w:eastAsia="仿宋" w:cs="仿宋"/>
          <w:color w:val="000000"/>
          <w:sz w:val="32"/>
          <w:szCs w:val="32"/>
          <w:lang w:eastAsia="zh-CN"/>
        </w:rPr>
        <w:t>机关</w:t>
      </w:r>
      <w:r>
        <w:rPr>
          <w:rFonts w:hint="eastAsia" w:ascii="仿宋" w:hAnsi="仿宋" w:eastAsia="仿宋" w:cs="仿宋"/>
          <w:color w:val="000000"/>
          <w:sz w:val="32"/>
          <w:szCs w:val="32"/>
        </w:rPr>
        <w:t>运行经费支出0万元。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100" w:name="_Toc15377223"/>
      <w:r>
        <w:rPr>
          <w:rFonts w:hint="eastAsia" w:ascii="仿宋" w:hAnsi="仿宋" w:eastAsia="仿宋"/>
          <w:b/>
          <w:color w:val="auto"/>
          <w:sz w:val="32"/>
          <w:szCs w:val="32"/>
          <w:highlight w:val="none"/>
        </w:rPr>
        <w:t>（二）政府采购支出情况</w:t>
      </w:r>
      <w:bookmarkEnd w:id="100"/>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2021年，本单位政府采购支出总额0万元。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101" w:name="_Toc15377224"/>
      <w:r>
        <w:rPr>
          <w:rFonts w:hint="eastAsia" w:ascii="仿宋" w:hAnsi="仿宋" w:eastAsia="仿宋"/>
          <w:b/>
          <w:color w:val="auto"/>
          <w:sz w:val="32"/>
          <w:szCs w:val="32"/>
          <w:highlight w:val="none"/>
        </w:rPr>
        <w:t>（三）国有资产占有使用情况</w:t>
      </w:r>
      <w:bookmarkEnd w:id="101"/>
    </w:p>
    <w:p>
      <w:pPr>
        <w:autoSpaceDE w:val="0"/>
        <w:autoSpaceDN w:val="0"/>
        <w:adjustRightInd w:val="0"/>
        <w:spacing w:line="560" w:lineRule="exact"/>
        <w:ind w:firstLine="640" w:firstLineChars="200"/>
        <w:jc w:val="left"/>
        <w:rPr>
          <w:rFonts w:hint="eastAsia" w:ascii="仿宋" w:hAnsi="仿宋" w:eastAsia="仿宋" w:cs="仿宋"/>
          <w:b/>
          <w:bCs/>
          <w:color w:val="FF0000"/>
          <w:sz w:val="32"/>
          <w:szCs w:val="32"/>
        </w:rPr>
      </w:pPr>
      <w:r>
        <w:rPr>
          <w:rFonts w:hint="eastAsia" w:ascii="仿宋" w:hAnsi="仿宋" w:eastAsia="仿宋" w:cs="仿宋"/>
          <w:color w:val="000000"/>
          <w:sz w:val="32"/>
          <w:szCs w:val="32"/>
        </w:rPr>
        <w:t>截至2021年12月31日，本单位车辆数为1台，单价50万元以上专用设备</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台（套），单价100万元以上专用设备0台（套）。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根据预算绩效管理要求，本单位在年初预算编制阶段，组织对</w:t>
      </w:r>
      <w:r>
        <w:rPr>
          <w:rFonts w:hint="eastAsia" w:ascii="仿宋" w:hAnsi="仿宋" w:eastAsia="仿宋" w:cs="仿宋"/>
          <w:sz w:val="32"/>
          <w:szCs w:val="32"/>
          <w:lang w:val="en-US" w:eastAsia="zh-CN"/>
        </w:rPr>
        <w:t>4</w:t>
      </w:r>
      <w:r>
        <w:rPr>
          <w:rFonts w:hint="eastAsia" w:ascii="仿宋" w:hAnsi="仿宋" w:eastAsia="仿宋" w:cs="仿宋"/>
          <w:sz w:val="32"/>
          <w:szCs w:val="32"/>
        </w:rPr>
        <w:t>个项目开展了预算事前绩效评估，对</w:t>
      </w:r>
      <w:r>
        <w:rPr>
          <w:rFonts w:hint="eastAsia" w:ascii="仿宋" w:hAnsi="仿宋" w:eastAsia="仿宋" w:cs="仿宋"/>
          <w:sz w:val="32"/>
          <w:szCs w:val="32"/>
          <w:lang w:val="en-US" w:eastAsia="zh-CN"/>
        </w:rPr>
        <w:t>4</w:t>
      </w:r>
      <w:r>
        <w:rPr>
          <w:rFonts w:hint="eastAsia" w:ascii="仿宋" w:hAnsi="仿宋" w:eastAsia="仿宋" w:cs="仿宋"/>
          <w:sz w:val="32"/>
          <w:szCs w:val="32"/>
        </w:rPr>
        <w:t>个项目编制了绩效目标，预算执行过程中，对</w:t>
      </w:r>
      <w:r>
        <w:rPr>
          <w:rFonts w:hint="eastAsia" w:ascii="仿宋" w:hAnsi="仿宋" w:eastAsia="仿宋" w:cs="仿宋"/>
          <w:sz w:val="32"/>
          <w:szCs w:val="32"/>
          <w:lang w:val="en-US" w:eastAsia="zh-CN"/>
        </w:rPr>
        <w:t>4</w:t>
      </w:r>
      <w:r>
        <w:rPr>
          <w:rFonts w:hint="eastAsia" w:ascii="仿宋" w:hAnsi="仿宋" w:eastAsia="仿宋" w:cs="仿宋"/>
          <w:sz w:val="32"/>
          <w:szCs w:val="32"/>
        </w:rPr>
        <w:t>个项目开展了绩效监控，年终执行完毕后，对</w:t>
      </w:r>
      <w:r>
        <w:rPr>
          <w:rFonts w:hint="eastAsia" w:ascii="仿宋" w:hAnsi="仿宋" w:eastAsia="仿宋" w:cs="仿宋"/>
          <w:sz w:val="32"/>
          <w:szCs w:val="32"/>
          <w:lang w:val="en-US" w:eastAsia="zh-CN"/>
        </w:rPr>
        <w:t>4</w:t>
      </w:r>
      <w:r>
        <w:rPr>
          <w:rFonts w:hint="eastAsia" w:ascii="仿宋" w:hAnsi="仿宋" w:eastAsia="仿宋" w:cs="仿宋"/>
          <w:sz w:val="32"/>
          <w:szCs w:val="32"/>
        </w:rPr>
        <w:t>个项目开展了绩效目标完成情况梳理填报。</w:t>
      </w:r>
      <w:r>
        <w:rPr>
          <w:rFonts w:hint="eastAsia" w:ascii="仿宋" w:hAnsi="仿宋" w:eastAsia="仿宋" w:cs="仿宋_GB2312"/>
          <w:b/>
          <w:sz w:val="28"/>
          <w:szCs w:val="28"/>
        </w:rPr>
        <w:t>2021年特定目标类单位预算项目绩效目标自评表见附件（第四部分）</w:t>
      </w:r>
    </w:p>
    <w:p>
      <w:pPr>
        <w:adjustRightInd w:val="0"/>
        <w:snapToGrid w:val="0"/>
        <w:spacing w:line="560" w:lineRule="exact"/>
        <w:ind w:firstLine="720"/>
        <w:rPr>
          <w:rFonts w:hint="eastAsia" w:ascii="仿宋" w:hAnsi="仿宋" w:eastAsia="仿宋" w:cs="仿宋"/>
          <w:sz w:val="32"/>
          <w:szCs w:val="32"/>
          <w:shd w:val="clear" w:color="auto" w:fill="FFFFFF"/>
        </w:rPr>
      </w:pPr>
      <w:r>
        <w:rPr>
          <w:rFonts w:hint="eastAsia" w:ascii="仿宋" w:hAnsi="仿宋" w:eastAsia="仿宋" w:cs="仿宋"/>
          <w:sz w:val="32"/>
          <w:szCs w:val="32"/>
        </w:rPr>
        <w:t>本单位按要求对202</w:t>
      </w:r>
      <w:r>
        <w:rPr>
          <w:rFonts w:hint="eastAsia" w:ascii="仿宋" w:hAnsi="仿宋" w:eastAsia="仿宋" w:cs="仿宋"/>
          <w:sz w:val="32"/>
          <w:szCs w:val="32"/>
          <w:lang w:val="en-US" w:eastAsia="zh-CN"/>
        </w:rPr>
        <w:t>1</w:t>
      </w:r>
      <w:r>
        <w:rPr>
          <w:rFonts w:hint="eastAsia" w:ascii="仿宋" w:hAnsi="仿宋" w:eastAsia="仿宋" w:cs="仿宋"/>
          <w:sz w:val="32"/>
          <w:szCs w:val="32"/>
        </w:rPr>
        <w:t>年单位整体支出开展绩效自评，从评价情况来看</w:t>
      </w:r>
      <w:r>
        <w:rPr>
          <w:rFonts w:hint="eastAsia" w:ascii="仿宋" w:hAnsi="仿宋" w:eastAsia="仿宋" w:cs="仿宋"/>
          <w:sz w:val="32"/>
          <w:szCs w:val="32"/>
          <w:u w:val="none" w:color="46CD7E"/>
          <w:shd w:val="clear" w:fill="auto"/>
          <w:lang w:eastAsia="zh-CN"/>
        </w:rPr>
        <w:t>，</w:t>
      </w:r>
      <w:r>
        <w:rPr>
          <w:rFonts w:hint="eastAsia" w:ascii="仿宋" w:hAnsi="仿宋" w:eastAsia="仿宋" w:cs="仿宋"/>
          <w:kern w:val="0"/>
          <w:sz w:val="32"/>
          <w:szCs w:val="32"/>
        </w:rPr>
        <w:t>本单位制订了内部控制建设规划方案和各项业务制度以及业务流程，制订了《单位财务管理制度》《出纳岗位职责》《会计岗位职责》，对会计和出纳的职业素养、工作要求作出明确规定；制订了《通江</w:t>
      </w:r>
      <w:r>
        <w:rPr>
          <w:rFonts w:hint="eastAsia" w:ascii="仿宋" w:hAnsi="仿宋" w:eastAsia="仿宋" w:cs="仿宋"/>
          <w:kern w:val="0"/>
          <w:sz w:val="32"/>
          <w:szCs w:val="32"/>
          <w:lang w:val="en-US" w:eastAsia="zh-CN"/>
        </w:rPr>
        <w:t>县两河口</w:t>
      </w:r>
      <w:r>
        <w:rPr>
          <w:rFonts w:hint="eastAsia" w:ascii="仿宋" w:hAnsi="仿宋" w:eastAsia="仿宋" w:cs="仿宋"/>
          <w:kern w:val="0"/>
          <w:sz w:val="32"/>
          <w:szCs w:val="32"/>
          <w:lang w:eastAsia="zh-CN"/>
        </w:rPr>
        <w:t>卫生院</w:t>
      </w:r>
      <w:r>
        <w:rPr>
          <w:rFonts w:hint="eastAsia" w:ascii="仿宋" w:hAnsi="仿宋" w:eastAsia="仿宋" w:cs="仿宋"/>
          <w:kern w:val="0"/>
          <w:sz w:val="32"/>
          <w:szCs w:val="32"/>
        </w:rPr>
        <w:t>固定资产管理办法》，对资产的配置、处置、管理和清查进行了规范。制订了《通江县</w:t>
      </w:r>
      <w:r>
        <w:rPr>
          <w:rFonts w:hint="eastAsia" w:ascii="仿宋" w:hAnsi="仿宋" w:eastAsia="仿宋" w:cs="仿宋"/>
          <w:kern w:val="0"/>
          <w:sz w:val="32"/>
          <w:szCs w:val="32"/>
          <w:lang w:val="en-US" w:eastAsia="zh-CN"/>
        </w:rPr>
        <w:t>两河口镇</w:t>
      </w:r>
      <w:r>
        <w:rPr>
          <w:rFonts w:hint="eastAsia" w:ascii="仿宋" w:hAnsi="仿宋" w:eastAsia="仿宋" w:cs="仿宋"/>
          <w:kern w:val="0"/>
          <w:sz w:val="32"/>
          <w:szCs w:val="32"/>
          <w:lang w:eastAsia="zh-CN"/>
        </w:rPr>
        <w:t>卫生院</w:t>
      </w:r>
      <w:r>
        <w:rPr>
          <w:rFonts w:hint="eastAsia" w:ascii="仿宋" w:hAnsi="仿宋" w:eastAsia="仿宋" w:cs="仿宋"/>
          <w:kern w:val="0"/>
          <w:sz w:val="32"/>
          <w:szCs w:val="32"/>
        </w:rPr>
        <w:t>专项资金管理制度》，严格</w:t>
      </w:r>
      <w:r>
        <w:rPr>
          <w:rFonts w:hint="eastAsia" w:ascii="仿宋" w:hAnsi="仿宋" w:eastAsia="仿宋" w:cs="仿宋"/>
          <w:kern w:val="0"/>
          <w:sz w:val="32"/>
          <w:szCs w:val="32"/>
          <w:u w:val="none" w:color="46CD7E"/>
          <w:shd w:val="clear" w:fill="auto"/>
          <w:lang w:eastAsia="zh-CN"/>
        </w:rPr>
        <w:t>执行</w:t>
      </w:r>
      <w:r>
        <w:rPr>
          <w:rFonts w:hint="eastAsia" w:ascii="仿宋" w:hAnsi="仿宋" w:eastAsia="仿宋" w:cs="仿宋"/>
          <w:kern w:val="0"/>
          <w:sz w:val="32"/>
          <w:szCs w:val="32"/>
        </w:rPr>
        <w:t>会议费、差旅费、培训费、公务接待费相关规定，明确了相应原则和要求、开支范围、程序、办法及标准、审批权限等。上述制度规定基本得到执行。本单位对</w:t>
      </w:r>
      <w:r>
        <w:rPr>
          <w:rFonts w:hint="eastAsia" w:ascii="仿宋" w:hAnsi="仿宋" w:eastAsia="仿宋" w:cs="仿宋"/>
          <w:sz w:val="32"/>
          <w:szCs w:val="32"/>
          <w:lang w:val="en-US" w:eastAsia="zh-CN"/>
        </w:rPr>
        <w:t>4</w:t>
      </w:r>
      <w:r>
        <w:rPr>
          <w:rFonts w:hint="eastAsia" w:ascii="仿宋" w:hAnsi="仿宋" w:eastAsia="仿宋" w:cs="仿宋"/>
          <w:sz w:val="32"/>
          <w:szCs w:val="32"/>
        </w:rPr>
        <w:t>个项目开展了绩效评价，从评价情况来看：</w:t>
      </w:r>
      <w:r>
        <w:rPr>
          <w:rFonts w:hint="eastAsia" w:ascii="仿宋" w:hAnsi="仿宋" w:eastAsia="仿宋" w:cs="仿宋"/>
          <w:b/>
          <w:sz w:val="32"/>
          <w:szCs w:val="32"/>
          <w:shd w:val="clear" w:color="auto" w:fill="FFFFFF"/>
        </w:rPr>
        <w:t>一是</w:t>
      </w:r>
      <w:r>
        <w:rPr>
          <w:rFonts w:hint="eastAsia" w:ascii="仿宋" w:hAnsi="仿宋" w:eastAsia="仿宋" w:cs="仿宋"/>
          <w:sz w:val="32"/>
          <w:szCs w:val="32"/>
        </w:rPr>
        <w:t>通过驻村帮扶项目的实施，让脱贫户进一步了解</w:t>
      </w:r>
      <w:r>
        <w:rPr>
          <w:rFonts w:hint="eastAsia" w:ascii="仿宋" w:hAnsi="仿宋" w:eastAsia="仿宋" w:cs="仿宋"/>
          <w:sz w:val="32"/>
          <w:szCs w:val="32"/>
          <w:lang w:eastAsia="zh-CN"/>
        </w:rPr>
        <w:t>巩固脱贫</w:t>
      </w:r>
      <w:r>
        <w:rPr>
          <w:rFonts w:hint="eastAsia" w:ascii="仿宋" w:hAnsi="仿宋" w:eastAsia="仿宋" w:cs="仿宋"/>
          <w:sz w:val="32"/>
          <w:szCs w:val="32"/>
        </w:rPr>
        <w:t>帮扶政策，改善了生产生活条件和居住环境，按时完成脱贫攻坚各项目标任务。</w:t>
      </w:r>
      <w:r>
        <w:rPr>
          <w:rFonts w:hint="eastAsia" w:ascii="仿宋" w:hAnsi="仿宋" w:eastAsia="仿宋" w:cs="仿宋"/>
          <w:sz w:val="32"/>
          <w:szCs w:val="32"/>
          <w:lang w:val="zh-CN"/>
        </w:rPr>
        <w:t>受到了当地脱贫户的普遍好评，满意度达95%以上，取得了较好的社会效益和满意度。</w:t>
      </w:r>
      <w:r>
        <w:rPr>
          <w:rFonts w:hint="eastAsia" w:ascii="仿宋" w:hAnsi="仿宋" w:eastAsia="仿宋" w:cs="仿宋"/>
          <w:b/>
          <w:sz w:val="32"/>
          <w:szCs w:val="32"/>
          <w:u w:val="thick" w:color="FFB03A"/>
          <w:shd w:val="clear" w:fill="FFEFD8"/>
          <w:lang w:val="zh-CN"/>
        </w:rPr>
        <w:t>二是</w:t>
      </w:r>
      <w:r>
        <w:rPr>
          <w:rFonts w:hint="eastAsia" w:ascii="仿宋" w:hAnsi="仿宋" w:eastAsia="仿宋" w:cs="仿宋"/>
          <w:b w:val="0"/>
          <w:bCs/>
          <w:sz w:val="32"/>
          <w:szCs w:val="32"/>
          <w:lang w:val="zh-CN"/>
        </w:rPr>
        <w:t>基本公共卫生服务工作严格按照方案落实了基本公共卫生服务的各项工作，</w:t>
      </w:r>
      <w:r>
        <w:rPr>
          <w:rFonts w:hint="eastAsia" w:ascii="仿宋" w:hAnsi="仿宋" w:eastAsia="仿宋" w:cs="仿宋"/>
          <w:sz w:val="32"/>
          <w:szCs w:val="32"/>
          <w:lang w:val="zh-CN"/>
        </w:rPr>
        <w:t>受到居民的好评，满意度达95%以上，取得了较好的社会效益。</w:t>
      </w:r>
      <w:r>
        <w:rPr>
          <w:rFonts w:hint="eastAsia" w:ascii="仿宋" w:hAnsi="仿宋" w:eastAsia="仿宋" w:cs="仿宋"/>
          <w:b/>
          <w:bCs/>
          <w:sz w:val="32"/>
          <w:szCs w:val="32"/>
          <w:lang w:val="zh-CN"/>
        </w:rPr>
        <w:t>三是</w:t>
      </w:r>
      <w:r>
        <w:rPr>
          <w:rFonts w:hint="eastAsia" w:ascii="仿宋" w:hAnsi="仿宋" w:eastAsia="仿宋" w:cs="仿宋"/>
          <w:sz w:val="32"/>
          <w:szCs w:val="32"/>
          <w:lang w:val="zh-CN"/>
        </w:rPr>
        <w:t>基药补助的落实，严格按照药品零差价销售，在药品价格上老百姓得到了真正的廉价药品，让老百姓得到了实惠。</w:t>
      </w:r>
      <w:r>
        <w:rPr>
          <w:rFonts w:hint="eastAsia" w:ascii="仿宋" w:hAnsi="仿宋" w:eastAsia="仿宋" w:cs="仿宋"/>
          <w:b/>
          <w:bCs/>
          <w:sz w:val="32"/>
          <w:szCs w:val="32"/>
          <w:lang w:val="zh-CN"/>
        </w:rPr>
        <w:t>四是</w:t>
      </w:r>
      <w:r>
        <w:rPr>
          <w:rFonts w:hint="eastAsia" w:ascii="仿宋" w:hAnsi="仿宋" w:eastAsia="仿宋" w:cs="仿宋"/>
          <w:sz w:val="32"/>
          <w:szCs w:val="32"/>
          <w:lang w:val="zh-CN"/>
        </w:rPr>
        <w:t>村卫生室定额补助的实施，使乡村以上享受到了政策性补助，提高了工作积极性。</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1.项目绩效目标完成情况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两河口镇</w:t>
      </w:r>
      <w:r>
        <w:rPr>
          <w:rFonts w:hint="eastAsia" w:ascii="仿宋" w:hAnsi="仿宋" w:eastAsia="仿宋" w:cs="仿宋"/>
          <w:sz w:val="32"/>
          <w:szCs w:val="32"/>
          <w:lang w:eastAsia="zh-CN"/>
        </w:rPr>
        <w:t>卫生院</w:t>
      </w:r>
      <w:r>
        <w:rPr>
          <w:rFonts w:hint="eastAsia" w:ascii="仿宋" w:hAnsi="仿宋" w:eastAsia="仿宋" w:cs="仿宋"/>
          <w:sz w:val="32"/>
          <w:szCs w:val="32"/>
        </w:rPr>
        <w:t>在202</w:t>
      </w:r>
      <w:r>
        <w:rPr>
          <w:rFonts w:hint="eastAsia" w:ascii="仿宋" w:hAnsi="仿宋" w:eastAsia="仿宋" w:cs="仿宋"/>
          <w:sz w:val="32"/>
          <w:szCs w:val="32"/>
          <w:lang w:val="en-US" w:eastAsia="zh-CN"/>
        </w:rPr>
        <w:t>1</w:t>
      </w:r>
      <w:r>
        <w:rPr>
          <w:rFonts w:hint="eastAsia" w:ascii="仿宋" w:hAnsi="仿宋" w:eastAsia="仿宋" w:cs="仿宋"/>
          <w:sz w:val="32"/>
          <w:szCs w:val="32"/>
        </w:rPr>
        <w:t>年度部门决算中反映项目共计</w:t>
      </w:r>
      <w:r>
        <w:rPr>
          <w:rFonts w:hint="eastAsia" w:ascii="仿宋" w:hAnsi="仿宋" w:eastAsia="仿宋" w:cs="仿宋"/>
          <w:sz w:val="32"/>
          <w:szCs w:val="32"/>
          <w:lang w:val="en-US" w:eastAsia="zh-CN"/>
        </w:rPr>
        <w:t>4</w:t>
      </w:r>
      <w:r>
        <w:rPr>
          <w:rFonts w:hint="eastAsia" w:ascii="仿宋" w:hAnsi="仿宋" w:eastAsia="仿宋" w:cs="仿宋"/>
          <w:sz w:val="32"/>
          <w:szCs w:val="32"/>
        </w:rPr>
        <w:t>个，一是基本公共卫生项目，二是驻村帮扶项目</w:t>
      </w:r>
      <w:r>
        <w:rPr>
          <w:rFonts w:hint="eastAsia" w:ascii="仿宋" w:hAnsi="仿宋" w:eastAsia="仿宋" w:cs="仿宋"/>
          <w:sz w:val="32"/>
          <w:szCs w:val="32"/>
          <w:lang w:eastAsia="zh-CN"/>
        </w:rPr>
        <w:t>，三是基药补助项目，四是村卫生室定额补助，</w:t>
      </w:r>
      <w:r>
        <w:rPr>
          <w:rFonts w:hint="eastAsia" w:ascii="仿宋" w:hAnsi="仿宋" w:eastAsia="仿宋" w:cs="仿宋"/>
          <w:sz w:val="32"/>
          <w:szCs w:val="32"/>
        </w:rPr>
        <w:t>现将</w:t>
      </w:r>
      <w:r>
        <w:rPr>
          <w:rFonts w:hint="eastAsia" w:ascii="仿宋" w:hAnsi="仿宋" w:eastAsia="仿宋" w:cs="仿宋"/>
          <w:sz w:val="32"/>
          <w:szCs w:val="32"/>
          <w:lang w:val="en-US" w:eastAsia="zh-CN"/>
        </w:rPr>
        <w:t>4</w:t>
      </w:r>
      <w:r>
        <w:rPr>
          <w:rFonts w:hint="eastAsia" w:ascii="仿宋" w:hAnsi="仿宋" w:eastAsia="仿宋" w:cs="仿宋"/>
          <w:sz w:val="32"/>
          <w:szCs w:val="32"/>
        </w:rPr>
        <w:t>个项目绩效目标的完成情况作如下综述。</w:t>
      </w:r>
    </w:p>
    <w:p>
      <w:pPr>
        <w:adjustRightInd w:val="0"/>
        <w:snapToGrid w:val="0"/>
        <w:spacing w:line="560" w:lineRule="exact"/>
        <w:ind w:firstLine="479" w:firstLineChars="149"/>
        <w:rPr>
          <w:rFonts w:hint="eastAsia" w:ascii="仿宋" w:hAnsi="仿宋" w:eastAsia="仿宋" w:cs="仿宋"/>
          <w:sz w:val="32"/>
          <w:szCs w:val="32"/>
          <w:lang w:val="zh-CN"/>
        </w:rPr>
      </w:pPr>
      <w:r>
        <w:rPr>
          <w:rFonts w:hint="eastAsia" w:ascii="仿宋" w:hAnsi="仿宋" w:eastAsia="仿宋" w:cs="仿宋"/>
          <w:b/>
          <w:sz w:val="32"/>
          <w:szCs w:val="32"/>
        </w:rPr>
        <w:t>﹙1﹚基本公共卫生项目绩效目标完成情况综述。</w:t>
      </w:r>
      <w:r>
        <w:rPr>
          <w:rFonts w:hint="eastAsia" w:ascii="仿宋" w:hAnsi="仿宋" w:eastAsia="仿宋" w:cs="仿宋"/>
          <w:sz w:val="32"/>
          <w:szCs w:val="32"/>
        </w:rPr>
        <w:t>项目资金用于</w:t>
      </w:r>
      <w:r>
        <w:rPr>
          <w:rFonts w:hint="eastAsia" w:ascii="仿宋" w:hAnsi="仿宋" w:eastAsia="仿宋" w:cs="仿宋"/>
          <w:sz w:val="32"/>
          <w:szCs w:val="32"/>
          <w:lang w:eastAsia="zh-CN"/>
        </w:rPr>
        <w:t>基本公共卫生服务的各项工作，</w:t>
      </w:r>
      <w:r>
        <w:rPr>
          <w:rFonts w:hint="eastAsia" w:ascii="仿宋" w:hAnsi="仿宋" w:eastAsia="仿宋" w:cs="仿宋"/>
          <w:sz w:val="32"/>
          <w:szCs w:val="32"/>
          <w:lang w:val="zh-CN"/>
        </w:rPr>
        <w:t>受到了老百姓的好评，满意度达95%以上，取得了较好的社会效益。</w:t>
      </w:r>
    </w:p>
    <w:p>
      <w:pPr>
        <w:snapToGrid w:val="0"/>
        <w:spacing w:before="217" w:beforeLines="50" w:after="217" w:afterLines="50" w:line="595" w:lineRule="exact"/>
        <w:ind w:firstLine="479" w:firstLineChars="149"/>
        <w:rPr>
          <w:rFonts w:hint="eastAsia" w:ascii="仿宋" w:hAnsi="仿宋" w:eastAsia="仿宋" w:cs="仿宋"/>
          <w:sz w:val="32"/>
          <w:szCs w:val="32"/>
        </w:rPr>
      </w:pPr>
      <w:r>
        <w:rPr>
          <w:rFonts w:hint="eastAsia" w:ascii="仿宋" w:hAnsi="仿宋" w:eastAsia="仿宋" w:cs="仿宋"/>
          <w:b/>
          <w:sz w:val="32"/>
          <w:szCs w:val="32"/>
        </w:rPr>
        <w:t>﹙2﹚驻村帮扶项目绩效目标完成情况综述</w:t>
      </w:r>
    </w:p>
    <w:p>
      <w:pPr>
        <w:adjustRightInd w:val="0"/>
        <w:snapToGri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年，我院</w:t>
      </w:r>
      <w:r>
        <w:rPr>
          <w:rFonts w:hint="eastAsia" w:ascii="仿宋" w:hAnsi="仿宋" w:eastAsia="仿宋" w:cs="仿宋"/>
          <w:sz w:val="32"/>
          <w:szCs w:val="32"/>
          <w:lang w:val="en-US" w:eastAsia="zh-CN"/>
        </w:rPr>
        <w:t>对两河口镇柏林包</w:t>
      </w:r>
      <w:r>
        <w:rPr>
          <w:rFonts w:hint="eastAsia" w:ascii="仿宋" w:hAnsi="仿宋" w:eastAsia="仿宋" w:cs="仿宋"/>
          <w:sz w:val="32"/>
          <w:szCs w:val="32"/>
          <w:lang w:eastAsia="zh-CN"/>
        </w:rPr>
        <w:t>村</w:t>
      </w:r>
      <w:r>
        <w:rPr>
          <w:rFonts w:hint="eastAsia" w:ascii="仿宋" w:hAnsi="仿宋" w:eastAsia="仿宋" w:cs="仿宋"/>
          <w:sz w:val="32"/>
          <w:szCs w:val="32"/>
        </w:rPr>
        <w:t>实行了对口帮扶工作，</w:t>
      </w:r>
      <w:r>
        <w:rPr>
          <w:rFonts w:hint="eastAsia" w:ascii="仿宋" w:hAnsi="仿宋" w:eastAsia="仿宋" w:cs="仿宋"/>
          <w:sz w:val="32"/>
          <w:szCs w:val="32"/>
          <w:lang w:eastAsia="zh-CN"/>
        </w:rPr>
        <w:t>并</w:t>
      </w:r>
      <w:r>
        <w:rPr>
          <w:rFonts w:hint="eastAsia" w:ascii="仿宋" w:hAnsi="仿宋" w:eastAsia="仿宋" w:cs="仿宋"/>
          <w:sz w:val="32"/>
          <w:szCs w:val="32"/>
        </w:rPr>
        <w:t>派驻驻村工作</w:t>
      </w:r>
      <w:r>
        <w:rPr>
          <w:rFonts w:hint="eastAsia" w:ascii="仿宋" w:hAnsi="仿宋" w:eastAsia="仿宋" w:cs="仿宋"/>
          <w:sz w:val="32"/>
          <w:szCs w:val="32"/>
          <w:lang w:eastAsia="zh-CN"/>
        </w:rPr>
        <w:t>队员</w:t>
      </w:r>
      <w:r>
        <w:rPr>
          <w:rFonts w:hint="eastAsia" w:ascii="仿宋" w:hAnsi="仿宋" w:eastAsia="仿宋" w:cs="仿宋"/>
          <w:sz w:val="32"/>
          <w:szCs w:val="32"/>
          <w:lang w:val="en-US" w:eastAsia="zh-CN"/>
        </w:rPr>
        <w:t>1</w:t>
      </w:r>
      <w:r>
        <w:rPr>
          <w:rFonts w:hint="eastAsia" w:ascii="仿宋" w:hAnsi="仿宋" w:eastAsia="仿宋" w:cs="仿宋"/>
          <w:sz w:val="32"/>
          <w:szCs w:val="32"/>
        </w:rPr>
        <w:t>名，帮扶精准扶贫户</w:t>
      </w:r>
      <w:r>
        <w:rPr>
          <w:rFonts w:hint="eastAsia" w:ascii="仿宋" w:hAnsi="仿宋" w:eastAsia="仿宋" w:cs="仿宋"/>
          <w:sz w:val="32"/>
          <w:szCs w:val="32"/>
          <w:lang w:val="en-US" w:eastAsia="zh-CN"/>
        </w:rPr>
        <w:t>21</w:t>
      </w:r>
      <w:r>
        <w:rPr>
          <w:rFonts w:hint="eastAsia" w:ascii="仿宋" w:hAnsi="仿宋" w:eastAsia="仿宋" w:cs="仿宋"/>
          <w:sz w:val="32"/>
          <w:szCs w:val="32"/>
        </w:rPr>
        <w:t>户，驻村队员每个月至少22天蹲点驻村，对</w:t>
      </w:r>
      <w:r>
        <w:rPr>
          <w:rFonts w:hint="eastAsia" w:ascii="仿宋" w:hAnsi="仿宋" w:eastAsia="仿宋" w:cs="仿宋"/>
          <w:sz w:val="32"/>
          <w:szCs w:val="32"/>
          <w:lang w:eastAsia="zh-CN"/>
        </w:rPr>
        <w:t>巩固脱贫</w:t>
      </w:r>
      <w:r>
        <w:rPr>
          <w:rFonts w:hint="eastAsia" w:ascii="仿宋" w:hAnsi="仿宋" w:eastAsia="仿宋" w:cs="仿宋"/>
          <w:sz w:val="32"/>
          <w:szCs w:val="32"/>
        </w:rPr>
        <w:t>政策进行</w:t>
      </w:r>
      <w:r>
        <w:rPr>
          <w:rFonts w:hint="eastAsia" w:ascii="仿宋" w:hAnsi="仿宋" w:eastAsia="仿宋" w:cs="仿宋"/>
          <w:sz w:val="32"/>
          <w:szCs w:val="32"/>
          <w:lang w:eastAsia="zh-CN"/>
        </w:rPr>
        <w:t>解读</w:t>
      </w:r>
      <w:r>
        <w:rPr>
          <w:rFonts w:hint="eastAsia" w:ascii="仿宋" w:hAnsi="仿宋" w:eastAsia="仿宋" w:cs="仿宋"/>
          <w:sz w:val="32"/>
          <w:szCs w:val="32"/>
        </w:rPr>
        <w:t>，特别是健康扶贫政策讲解，深入到村民家中，</w:t>
      </w:r>
      <w:r>
        <w:rPr>
          <w:rFonts w:hint="eastAsia" w:ascii="仿宋" w:hAnsi="仿宋" w:eastAsia="仿宋" w:cs="仿宋"/>
          <w:sz w:val="32"/>
          <w:szCs w:val="32"/>
          <w:lang w:eastAsia="zh-CN"/>
        </w:rPr>
        <w:t>排查返贫风险，收集返贫风险线索，</w:t>
      </w:r>
      <w:r>
        <w:rPr>
          <w:rFonts w:hint="eastAsia" w:ascii="仿宋" w:hAnsi="仿宋" w:eastAsia="仿宋" w:cs="仿宋"/>
          <w:sz w:val="32"/>
          <w:szCs w:val="32"/>
        </w:rPr>
        <w:t>与帮扶对象谈心谈话、同吃同劳动，了解村民</w:t>
      </w:r>
      <w:r>
        <w:rPr>
          <w:rFonts w:hint="eastAsia" w:ascii="仿宋" w:hAnsi="仿宋" w:eastAsia="仿宋" w:cs="仿宋"/>
          <w:sz w:val="32"/>
          <w:szCs w:val="32"/>
          <w:lang w:eastAsia="zh-CN"/>
        </w:rPr>
        <w:t>家庭存在的困难并协助解决困难</w:t>
      </w:r>
      <w:r>
        <w:rPr>
          <w:rFonts w:hint="eastAsia" w:ascii="仿宋" w:hAnsi="仿宋" w:eastAsia="仿宋" w:cs="仿宋"/>
          <w:sz w:val="32"/>
          <w:szCs w:val="32"/>
        </w:rPr>
        <w:t>。通过驻村帮扶，让贫困户了解脱贫致富帮扶政策，改善了生产生活条件和居住环境，按时完成了脱贫攻坚各项目标任务，绩效目标完成率100%。</w:t>
      </w:r>
      <w:r>
        <w:rPr>
          <w:rFonts w:hint="eastAsia" w:ascii="仿宋" w:hAnsi="仿宋" w:eastAsia="仿宋" w:cs="仿宋"/>
          <w:sz w:val="32"/>
          <w:szCs w:val="32"/>
          <w:lang w:val="zh-CN"/>
        </w:rPr>
        <w:t>脱贫户满意度达95%以上，取得了较好的社会效益。</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2.开展绩效评价结果</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本单位按要求对2021年部门整体支出绩效评价情况开展自评，</w:t>
      </w:r>
      <w:r>
        <w:rPr>
          <w:rFonts w:hint="eastAsia" w:ascii="仿宋" w:hAnsi="仿宋" w:eastAsia="仿宋" w:cs="仿宋"/>
          <w:sz w:val="32"/>
          <w:szCs w:val="32"/>
          <w:lang w:eastAsia="zh-CN"/>
        </w:rPr>
        <w:t>同时</w:t>
      </w:r>
      <w:r>
        <w:rPr>
          <w:rFonts w:hint="eastAsia" w:ascii="仿宋" w:hAnsi="仿宋" w:eastAsia="仿宋" w:cs="仿宋"/>
          <w:sz w:val="32"/>
          <w:szCs w:val="32"/>
        </w:rPr>
        <w:t>对基本公共卫生和扶贫工作经费4个项目</w:t>
      </w:r>
      <w:r>
        <w:rPr>
          <w:rFonts w:hint="eastAsia" w:ascii="仿宋" w:hAnsi="仿宋" w:eastAsia="仿宋" w:cs="仿宋"/>
          <w:sz w:val="32"/>
          <w:szCs w:val="32"/>
          <w:lang w:eastAsia="zh-CN"/>
        </w:rPr>
        <w:t>开展</w:t>
      </w:r>
      <w:r>
        <w:rPr>
          <w:rFonts w:hint="eastAsia" w:ascii="仿宋" w:hAnsi="仿宋" w:eastAsia="仿宋" w:cs="仿宋"/>
          <w:sz w:val="32"/>
          <w:szCs w:val="32"/>
        </w:rPr>
        <w:t>绩效评价</w:t>
      </w:r>
      <w:r>
        <w:rPr>
          <w:rFonts w:hint="eastAsia" w:ascii="仿宋" w:hAnsi="仿宋" w:eastAsia="仿宋" w:cs="仿宋"/>
          <w:sz w:val="32"/>
          <w:szCs w:val="32"/>
          <w:lang w:eastAsia="zh-CN"/>
        </w:rPr>
        <w:t>。</w:t>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102" w:name="_Toc26040"/>
      <w:bookmarkStart w:id="103" w:name="_Toc15377225"/>
      <w:bookmarkStart w:id="104" w:name="_Toc15396613"/>
      <w:bookmarkStart w:id="105" w:name="_Toc12362"/>
      <w:bookmarkStart w:id="106" w:name="_Toc16948"/>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102"/>
      <w:bookmarkEnd w:id="103"/>
      <w:bookmarkEnd w:id="104"/>
      <w:bookmarkEnd w:id="105"/>
      <w:bookmarkEnd w:id="106"/>
    </w:p>
    <w:p>
      <w:pPr>
        <w:pStyle w:val="22"/>
        <w:spacing w:line="560" w:lineRule="exact"/>
        <w:ind w:firstLine="640" w:firstLineChars="200"/>
        <w:outlineLvl w:val="1"/>
        <w:rPr>
          <w:rFonts w:hint="eastAsia" w:hAnsi="仿宋"/>
          <w:sz w:val="32"/>
          <w:szCs w:val="32"/>
        </w:rPr>
      </w:pPr>
      <w:bookmarkStart w:id="107" w:name="_Toc11196"/>
      <w:bookmarkStart w:id="108" w:name="_Toc27110"/>
      <w:bookmarkStart w:id="109" w:name="_Toc144"/>
      <w:bookmarkStart w:id="110" w:name="_Toc19371"/>
      <w:r>
        <w:rPr>
          <w:rFonts w:hint="eastAsia" w:hAnsi="仿宋"/>
          <w:sz w:val="32"/>
          <w:szCs w:val="32"/>
        </w:rPr>
        <w:t>1.财政拨款收入：指单位从同级财政部门取得的财政预算资金。</w:t>
      </w:r>
      <w:bookmarkEnd w:id="107"/>
      <w:bookmarkEnd w:id="108"/>
      <w:bookmarkEnd w:id="109"/>
      <w:bookmarkEnd w:id="110"/>
    </w:p>
    <w:p>
      <w:pPr>
        <w:pStyle w:val="22"/>
        <w:spacing w:line="560" w:lineRule="exact"/>
        <w:ind w:firstLine="640" w:firstLineChars="200"/>
        <w:rPr>
          <w:rFonts w:hint="eastAsia" w:hAnsi="仿宋"/>
          <w:sz w:val="32"/>
          <w:szCs w:val="32"/>
        </w:rPr>
      </w:pPr>
      <w:r>
        <w:rPr>
          <w:rFonts w:hint="eastAsia" w:hAnsi="仿宋"/>
          <w:sz w:val="32"/>
          <w:szCs w:val="32"/>
        </w:rPr>
        <w:t>2.事业收入：指事业单位开展专业业务活动及辅助活动取得的收入。</w:t>
      </w:r>
    </w:p>
    <w:p>
      <w:pPr>
        <w:pStyle w:val="22"/>
        <w:spacing w:line="560" w:lineRule="exact"/>
        <w:ind w:firstLine="640" w:firstLineChars="200"/>
        <w:rPr>
          <w:rFonts w:hint="eastAsia" w:hAnsi="仿宋"/>
          <w:sz w:val="32"/>
          <w:szCs w:val="32"/>
        </w:rPr>
      </w:pPr>
      <w:r>
        <w:rPr>
          <w:rFonts w:hint="eastAsia" w:hAnsi="仿宋"/>
          <w:sz w:val="32"/>
          <w:szCs w:val="32"/>
        </w:rPr>
        <w:t>3.经营收入：指事业单位在专业业务活动及其辅助活动之外开展非独立核算经营活动取得的收入。</w:t>
      </w:r>
    </w:p>
    <w:p>
      <w:pPr>
        <w:pStyle w:val="22"/>
        <w:spacing w:line="560" w:lineRule="exact"/>
        <w:ind w:firstLine="640" w:firstLineChars="200"/>
        <w:rPr>
          <w:rFonts w:hint="eastAsia" w:hAnsi="仿宋"/>
          <w:sz w:val="32"/>
          <w:szCs w:val="32"/>
        </w:rPr>
      </w:pPr>
      <w:r>
        <w:rPr>
          <w:rFonts w:hint="eastAsia" w:hAnsi="仿宋"/>
          <w:sz w:val="32"/>
          <w:szCs w:val="32"/>
        </w:rPr>
        <w:t>4.其他收入：指单位取得的除上述收入以外的各项收入。</w:t>
      </w:r>
    </w:p>
    <w:p>
      <w:pPr>
        <w:pStyle w:val="22"/>
        <w:spacing w:line="560" w:lineRule="exact"/>
        <w:ind w:firstLine="640" w:firstLineChars="200"/>
        <w:rPr>
          <w:rFonts w:hint="eastAsia" w:hAnsi="仿宋"/>
          <w:sz w:val="32"/>
          <w:szCs w:val="32"/>
        </w:rPr>
      </w:pPr>
      <w:r>
        <w:rPr>
          <w:rFonts w:hint="eastAsia" w:hAnsi="仿宋"/>
          <w:sz w:val="32"/>
          <w:szCs w:val="32"/>
        </w:rPr>
        <w:t>5.使用非财政拨款结余：指事业单位使用以前年度积累的非财政拨款结余弥补当年收支差额的金额。</w:t>
      </w:r>
    </w:p>
    <w:p>
      <w:pPr>
        <w:pStyle w:val="22"/>
        <w:spacing w:line="560" w:lineRule="exact"/>
        <w:ind w:firstLine="640" w:firstLineChars="200"/>
        <w:rPr>
          <w:rFonts w:hint="eastAsia" w:hAnsi="仿宋"/>
          <w:sz w:val="32"/>
          <w:szCs w:val="32"/>
        </w:rPr>
      </w:pPr>
      <w:r>
        <w:rPr>
          <w:rFonts w:hint="eastAsia" w:hAnsi="仿宋"/>
          <w:sz w:val="32"/>
          <w:szCs w:val="32"/>
        </w:rPr>
        <w:t>6.年初结转和结余：指以前年度尚未完成、结转到</w:t>
      </w:r>
      <w:r>
        <w:rPr>
          <w:rFonts w:hint="eastAsia" w:hAnsi="仿宋"/>
          <w:sz w:val="32"/>
          <w:szCs w:val="32"/>
          <w:u w:val="none" w:color="46CD7E"/>
          <w:shd w:val="clear" w:fill="auto"/>
          <w:lang w:eastAsia="zh-CN"/>
        </w:rPr>
        <w:t>本年度</w:t>
      </w:r>
      <w:r>
        <w:rPr>
          <w:rFonts w:hint="eastAsia" w:hAnsi="仿宋"/>
          <w:sz w:val="32"/>
          <w:szCs w:val="32"/>
        </w:rPr>
        <w:t>有关规定继续使用的资金。</w:t>
      </w:r>
    </w:p>
    <w:p>
      <w:pPr>
        <w:pStyle w:val="22"/>
        <w:spacing w:line="560" w:lineRule="exact"/>
        <w:ind w:firstLine="640" w:firstLineChars="200"/>
        <w:rPr>
          <w:rFonts w:hint="eastAsia" w:hAnsi="仿宋"/>
          <w:sz w:val="32"/>
          <w:szCs w:val="32"/>
        </w:rPr>
      </w:pPr>
      <w:r>
        <w:rPr>
          <w:rFonts w:hint="eastAsia" w:hAnsi="仿宋"/>
          <w:sz w:val="32"/>
          <w:szCs w:val="32"/>
        </w:rPr>
        <w:t>7.结余分配：指事业单位按照会计制度规定缴纳的所得税、提取的专用结余以及转入非财政拨款结余的金额等。</w:t>
      </w:r>
    </w:p>
    <w:p>
      <w:pPr>
        <w:pStyle w:val="22"/>
        <w:spacing w:line="560" w:lineRule="exact"/>
        <w:ind w:firstLine="640" w:firstLineChars="200"/>
        <w:rPr>
          <w:rFonts w:hint="eastAsia" w:hAnsi="仿宋"/>
          <w:sz w:val="32"/>
          <w:szCs w:val="32"/>
        </w:rPr>
      </w:pPr>
      <w:r>
        <w:rPr>
          <w:rFonts w:hint="eastAsia" w:hAnsi="仿宋"/>
          <w:sz w:val="32"/>
          <w:szCs w:val="32"/>
        </w:rPr>
        <w:t>8</w:t>
      </w:r>
      <w:r>
        <w:rPr>
          <w:rFonts w:hint="eastAsia" w:hAnsi="仿宋"/>
          <w:sz w:val="32"/>
          <w:szCs w:val="32"/>
          <w:u w:val="none" w:color="46CD7E"/>
          <w:shd w:val="clear" w:fill="auto"/>
          <w:lang w:eastAsia="zh-CN"/>
        </w:rPr>
        <w:t>.</w:t>
      </w:r>
      <w:r>
        <w:rPr>
          <w:rFonts w:hint="eastAsia" w:hAnsi="仿宋"/>
          <w:sz w:val="32"/>
          <w:szCs w:val="32"/>
        </w:rPr>
        <w:t>年末结转和结余：指单位按有关规定结转到下年或以后年度继续使用的资金。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u w:val="none" w:color="FFB03A"/>
          <w:shd w:val="clear" w:fill="auto"/>
        </w:rPr>
        <w:t>9.</w:t>
      </w:r>
      <w:r>
        <w:rPr>
          <w:rFonts w:hint="eastAsia" w:ascii="仿宋" w:hAnsi="仿宋" w:eastAsia="仿宋" w:cs="仿宋"/>
          <w:color w:val="000000"/>
          <w:sz w:val="32"/>
          <w:szCs w:val="32"/>
        </w:rPr>
        <w:t>一般公共服务（类）人力资源事务（款）引进人才费用（项）：指反映用于引进外国专家补助、引智成果推广等方面的支出。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10.教育（类）职业教育（款）中专教育（项）:指各部门举办的各类中等专业学校的支出。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11.社会保障和就业（类）行政事业单位离退休（款）机关事业单位基本养老保险缴费支出（项）:指机关事业单位实施养老保险制度</w:t>
      </w:r>
      <w:r>
        <w:rPr>
          <w:rFonts w:hint="eastAsia" w:ascii="仿宋" w:hAnsi="仿宋" w:eastAsia="仿宋" w:cs="仿宋"/>
          <w:sz w:val="32"/>
          <w:szCs w:val="32"/>
          <w:u w:val="none" w:color="46CD7E"/>
          <w:shd w:val="clear" w:fill="auto"/>
          <w:lang w:eastAsia="zh-CN"/>
        </w:rPr>
        <w:t>由</w:t>
      </w:r>
      <w:r>
        <w:rPr>
          <w:rFonts w:hint="eastAsia" w:ascii="仿宋" w:hAnsi="仿宋" w:eastAsia="仿宋" w:cs="仿宋"/>
          <w:sz w:val="32"/>
          <w:szCs w:val="32"/>
        </w:rPr>
        <w:t>单位缴纳的基本养老保险支出。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12.卫生健康支出（类）卫生健康管理事务（款）行政运行（项）:指行政单位（包括实行公务员管理的事业单位）的基本支出。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13.卫生健康支出（类）卫生健康管理事务（款）一般行政管理事务（项）:指行政单位（包括实行公务员管理的事业单位）未单独设置项级科目的其他支出。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14.卫生健康支出（类）卫生健康管理事务（款）其他卫生健康管理事务支出（项）:指其他用于卫生健康管理事务方面的支出。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15.卫生健康支出（类）公立医院（款）综合医院（项）:指卫生健康、中医部门所属的城市综合性医院、独立门诊、教学医院、疗养院和县医院的支出。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16.卫生健康支出（类）公立医院（款）中医（民族）医院（项）:指卫生健康、中医部门所属的中医院、中西医结合医院、民族医院的支出。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17.卫生健康支出（类）公立医院（款）传染病医院（项）:指卫生</w:t>
      </w:r>
      <w:r>
        <w:rPr>
          <w:rFonts w:hint="eastAsia" w:hAnsi="仿宋"/>
          <w:color w:val="auto"/>
          <w:sz w:val="32"/>
          <w:szCs w:val="32"/>
          <w:u w:val="none" w:color="46CD7E"/>
          <w:shd w:val="clear" w:fill="auto"/>
          <w:lang w:eastAsia="zh-CN"/>
        </w:rPr>
        <w:t>健康部门</w:t>
      </w:r>
      <w:r>
        <w:rPr>
          <w:rFonts w:hint="eastAsia" w:hAnsi="仿宋"/>
          <w:color w:val="auto"/>
          <w:sz w:val="32"/>
          <w:szCs w:val="32"/>
        </w:rPr>
        <w:t>、中医部门所属的专门收治各类传染病</w:t>
      </w:r>
      <w:r>
        <w:rPr>
          <w:rFonts w:hint="eastAsia" w:hAnsi="仿宋"/>
          <w:color w:val="auto"/>
          <w:sz w:val="32"/>
          <w:szCs w:val="32"/>
          <w:u w:val="none" w:color="46CD7E"/>
          <w:shd w:val="clear" w:fill="auto"/>
          <w:lang w:eastAsia="zh-CN"/>
        </w:rPr>
        <w:t>人员</w:t>
      </w:r>
      <w:r>
        <w:rPr>
          <w:rFonts w:hint="eastAsia" w:hAnsi="仿宋"/>
          <w:color w:val="auto"/>
          <w:sz w:val="32"/>
          <w:szCs w:val="32"/>
        </w:rPr>
        <w:t>医院的支出。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18.卫生健康支出（类）公立医院（款）其他公立医院支出（项）:指其他用于公立医院方面的支出。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19.卫生健康支出（类）基层医疗卫生机构（款）乡镇卫生院（项）：反映用于乡镇卫生院的支出。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20.卫生健康支出（类）基层医疗卫生机构（款）其他基层医疗卫生机构（项）：指用于村卫生室方面的支出。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21.卫生健康支出（类）公共卫生（款）疾病预防控制机构（项）:指卫生健康部门所属疾病预防控制机构的支出。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22.卫生健康支出（类）公共卫生（款）卫生监督机构（项）:指卫生健康部门所属卫生监督机构的支出。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23.卫生健康支出（类）公共卫生（款）妇幼保健机构（项）:指卫生健康部门所属妇幼保健机构的支出。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24.卫生健康支出（类）公共卫生（款）基本公共卫生服务（项）:指用于基本公共卫生服务支出。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25.卫生健康支出（类）公共卫生（款）重大公共卫生专项（项）:指重大疾病、重大传染病预防控制等重大公共卫生服务支出。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26.卫生健康支出（类）公共卫生（款）其他公共卫生支出（项）:指其他用于公共卫生方面的支出。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27.卫生健康支出（类）中医药（款）中医（民族医）药专项（项）:指中医（民族医）药方面的专项支出。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28.卫生健康支出（类）计划生育</w:t>
      </w:r>
      <w:r>
        <w:rPr>
          <w:rFonts w:hint="eastAsia" w:hAnsi="仿宋"/>
          <w:color w:val="auto"/>
          <w:sz w:val="32"/>
          <w:szCs w:val="32"/>
          <w:u w:val="none" w:color="46CD7E"/>
          <w:shd w:val="clear" w:fill="auto"/>
          <w:lang w:eastAsia="zh-CN"/>
        </w:rPr>
        <w:t>服务</w:t>
      </w:r>
      <w:r>
        <w:rPr>
          <w:rFonts w:hint="eastAsia" w:hAnsi="仿宋"/>
          <w:color w:val="auto"/>
          <w:sz w:val="32"/>
          <w:szCs w:val="32"/>
        </w:rPr>
        <w:t>（款）计划生育服务（项）:指计划生育服务支出。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29.卫生健康支出（类）计划生育事务（款）其他计划生育事务支出（项）:指其他用于计划生育管理事务方面的支出。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30.卫生健康支出（类）食品和药品监督管理事务（款）行政运行（项）:指行政单位（包括实行公务员管理的事业单位）的基本支出。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31.卫生健康支出（类）行政事业单位医疗（款）行政单位医疗（项）:指财政部门集中安排的行政单位医疗保险缴费经费，未参加医疗保险的行政单位的公费医疗经费，按国家规定享受离休人员、红军老战士待遇人员的医疗经费。</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32.卫生健康支出（类）行政事业单位医疗（款）事业单位医疗（项）:指财政部门集中安排的事业单位医疗保险缴费经费，未参加医疗保险的事业单位的公费医疗经费，按国家规定享受离休人员待遇的医疗经费。</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33.卫生健康支出（类）行政事业单位医疗（款）其他行政事业单位医疗支出（项）:指其他用于行政事业单位医疗方面的支出。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34.卫生健康支出（类）其他医疗卫生与计划生育支出（款）其他医疗卫生与计划生育支出（项）:指其他用于医疗卫生与计划生育方面的支出。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35.农林水支出（类）扶贫（款）其他扶贫支出（项）:指其他用于扶贫方面的支出。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36.住房保障支出（类）住房改革支出（款）住房公积金（项）:指行政事业单位按人力资源和社会保障部、财政部规定的基本工资和津贴补贴以及规定比例为职工缴纳的住房公积金。</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37.基本支出：指为保障机构正常运转、完成日常工作任务而发生的人员支出和公用支出。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38.项目支出：指在基本支出之外为完成特定行政任务和事业发展目标所发生的支出。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39.经营支出：指事业单位在专业业务活动及其辅助活动之外开展非独立核算经营活动发生的支出。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hAnsi="仿宋"/>
          <w:color w:val="auto"/>
          <w:sz w:val="32"/>
          <w:szCs w:val="32"/>
        </w:rPr>
      </w:pPr>
      <w:r>
        <w:rPr>
          <w:rFonts w:hint="eastAsia" w:hAnsi="仿宋"/>
          <w:color w:val="auto"/>
          <w:sz w:val="32"/>
          <w:szCs w:val="32"/>
        </w:rPr>
        <w:t>41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hint="eastAsia" w:hAnsi="仿宋"/>
          <w:color w:val="auto"/>
          <w:sz w:val="32"/>
          <w:szCs w:val="32"/>
        </w:rPr>
      </w:pPr>
    </w:p>
    <w:p>
      <w:pPr>
        <w:pStyle w:val="22"/>
        <w:spacing w:line="560" w:lineRule="exact"/>
        <w:ind w:firstLine="640" w:firstLineChars="200"/>
        <w:rPr>
          <w:rFonts w:hint="eastAsia" w:hAnsi="仿宋"/>
          <w:color w:val="auto"/>
          <w:sz w:val="32"/>
          <w:szCs w:val="32"/>
        </w:rPr>
      </w:pPr>
    </w:p>
    <w:p>
      <w:pPr>
        <w:pStyle w:val="22"/>
        <w:spacing w:line="560" w:lineRule="exact"/>
        <w:ind w:firstLine="640" w:firstLineChars="200"/>
        <w:rPr>
          <w:rFonts w:hint="eastAsia" w:hAnsi="仿宋"/>
          <w:color w:val="auto"/>
          <w:sz w:val="32"/>
          <w:szCs w:val="32"/>
        </w:rPr>
      </w:pPr>
    </w:p>
    <w:p>
      <w:pPr>
        <w:pStyle w:val="22"/>
        <w:spacing w:line="560" w:lineRule="exact"/>
        <w:ind w:firstLine="640" w:firstLineChars="200"/>
        <w:rPr>
          <w:rFonts w:hint="eastAsia" w:hAnsi="仿宋"/>
          <w:color w:val="auto"/>
          <w:sz w:val="32"/>
          <w:szCs w:val="32"/>
        </w:rPr>
      </w:pPr>
    </w:p>
    <w:p>
      <w:pPr>
        <w:pStyle w:val="22"/>
        <w:spacing w:line="560" w:lineRule="exact"/>
        <w:ind w:firstLine="640" w:firstLineChars="200"/>
        <w:rPr>
          <w:rFonts w:hint="eastAsia" w:hAnsi="仿宋"/>
          <w:color w:val="auto"/>
          <w:sz w:val="32"/>
          <w:szCs w:val="32"/>
        </w:rPr>
      </w:pPr>
    </w:p>
    <w:p>
      <w:pPr>
        <w:pStyle w:val="22"/>
        <w:spacing w:line="560" w:lineRule="exact"/>
        <w:ind w:firstLine="640" w:firstLineChars="200"/>
        <w:rPr>
          <w:rFonts w:hint="eastAsia" w:hAnsi="仿宋"/>
          <w:color w:val="auto"/>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880" w:firstLineChars="200"/>
        <w:jc w:val="center"/>
        <w:textAlignment w:val="auto"/>
        <w:outlineLvl w:val="0"/>
        <w:rPr>
          <w:rStyle w:val="24"/>
          <w:rFonts w:hint="eastAsia" w:ascii="黑体" w:hAnsi="黑体" w:eastAsia="黑体"/>
          <w:b w:val="0"/>
          <w:color w:val="auto"/>
          <w:highlight w:val="none"/>
        </w:rPr>
      </w:pPr>
      <w:bookmarkStart w:id="111" w:name="_Toc15396614"/>
      <w:bookmarkStart w:id="112" w:name="_Toc1692"/>
      <w:bookmarkStart w:id="113" w:name="_Toc28030"/>
      <w:bookmarkStart w:id="114" w:name="_Toc8721"/>
      <w:bookmarkStart w:id="115" w:name="_Toc15377226"/>
      <w:r>
        <w:rPr>
          <w:rStyle w:val="24"/>
          <w:rFonts w:hint="eastAsia" w:ascii="黑体" w:hAnsi="黑体" w:eastAsia="黑体"/>
          <w:b w:val="0"/>
          <w:color w:val="auto"/>
          <w:highlight w:val="none"/>
        </w:rPr>
        <w:t>附件</w:t>
      </w:r>
      <w:bookmarkEnd w:id="111"/>
      <w:bookmarkEnd w:id="112"/>
      <w:bookmarkEnd w:id="113"/>
      <w:bookmarkEnd w:id="114"/>
    </w:p>
    <w:tbl>
      <w:tblPr>
        <w:tblStyle w:val="12"/>
        <w:tblpPr w:leftFromText="180" w:rightFromText="180" w:vertAnchor="text" w:horzAnchor="page" w:tblpX="1395" w:tblpY="2127"/>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bookmarkStart w:id="116" w:name="_Toc32335"/>
            <w:r>
              <w:rPr>
                <w:rFonts w:hint="eastAsia" w:ascii="仿宋" w:hAnsi="仿宋" w:eastAsia="仿宋" w:cs="仿宋"/>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eastAsia="zh-CN"/>
              </w:rPr>
              <w:t>通江县卫生健康局</w:t>
            </w:r>
            <w:r>
              <w:rPr>
                <w:rFonts w:hint="eastAsia" w:ascii="仿宋" w:hAnsi="仿宋" w:eastAsia="仿宋" w:cs="仿宋"/>
                <w:i w:val="0"/>
                <w:color w:val="auto"/>
                <w:sz w:val="24"/>
                <w:szCs w:val="24"/>
                <w:u w:val="none"/>
                <w:lang w:val="en-US" w:eastAsia="zh-CN"/>
              </w:rPr>
              <w:t>558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通江县两河口镇卫生院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151.45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151.45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目标1：改善老百姓看病难看病贵的问题；</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目标2：提升医疗服务能力；</w:t>
            </w:r>
          </w:p>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目标3：实现财政资金全方位、全过程、全覆盖绩效管理，开展绩效监控和绩效评价。</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1</w:t>
            </w:r>
            <w:r>
              <w:rPr>
                <w:rFonts w:hint="eastAsia" w:ascii="仿宋" w:hAnsi="仿宋" w:eastAsia="仿宋" w:cs="仿宋"/>
                <w:i w:val="0"/>
                <w:iCs w:val="0"/>
                <w:color w:val="000000"/>
                <w:kern w:val="0"/>
                <w:sz w:val="24"/>
                <w:szCs w:val="24"/>
                <w:u w:val="none" w:color="46CD7E"/>
                <w:shd w:val="clear" w:fill="auto"/>
                <w:lang w:val="en-US" w:eastAsia="zh-CN" w:bidi="ar"/>
              </w:rPr>
              <w:t>.</w:t>
            </w:r>
            <w:r>
              <w:rPr>
                <w:rFonts w:hint="eastAsia" w:ascii="仿宋" w:hAnsi="仿宋" w:eastAsia="仿宋" w:cs="仿宋"/>
                <w:i w:val="0"/>
                <w:iCs w:val="0"/>
                <w:color w:val="000000"/>
                <w:kern w:val="0"/>
                <w:sz w:val="24"/>
                <w:szCs w:val="24"/>
                <w:u w:val="none"/>
                <w:lang w:val="en-US" w:eastAsia="zh-CN" w:bidi="ar"/>
              </w:rPr>
              <w:t>实行了全部西药、中成药零加成，减轻了</w:t>
            </w:r>
            <w:r>
              <w:rPr>
                <w:rFonts w:hint="eastAsia" w:ascii="仿宋" w:hAnsi="仿宋" w:eastAsia="仿宋" w:cs="仿宋"/>
                <w:i w:val="0"/>
                <w:iCs w:val="0"/>
                <w:color w:val="000000"/>
                <w:kern w:val="0"/>
                <w:sz w:val="24"/>
                <w:szCs w:val="24"/>
                <w:u w:val="none" w:color="46CD7E"/>
                <w:shd w:val="clear" w:fill="auto"/>
                <w:lang w:val="en-US" w:eastAsia="zh-CN" w:bidi="ar"/>
              </w:rPr>
              <w:t>老百姓</w:t>
            </w:r>
            <w:r>
              <w:rPr>
                <w:rFonts w:hint="eastAsia" w:ascii="仿宋" w:hAnsi="仿宋" w:eastAsia="仿宋" w:cs="仿宋"/>
                <w:i w:val="0"/>
                <w:iCs w:val="0"/>
                <w:color w:val="000000"/>
                <w:kern w:val="0"/>
                <w:sz w:val="24"/>
                <w:szCs w:val="24"/>
                <w:u w:val="none"/>
                <w:lang w:val="en-US" w:eastAsia="zh-CN" w:bidi="ar"/>
              </w:rPr>
              <w:t>看病贵的负担；2</w:t>
            </w:r>
            <w:r>
              <w:rPr>
                <w:rFonts w:hint="eastAsia" w:ascii="仿宋" w:hAnsi="仿宋" w:eastAsia="仿宋" w:cs="仿宋"/>
                <w:i w:val="0"/>
                <w:iCs w:val="0"/>
                <w:color w:val="000000"/>
                <w:kern w:val="0"/>
                <w:sz w:val="24"/>
                <w:szCs w:val="24"/>
                <w:u w:val="none" w:color="46CD7E"/>
                <w:shd w:val="clear" w:fill="auto"/>
                <w:lang w:val="en-US" w:eastAsia="zh-CN" w:bidi="ar"/>
              </w:rPr>
              <w:t>.</w:t>
            </w:r>
            <w:r>
              <w:rPr>
                <w:rFonts w:hint="eastAsia" w:ascii="仿宋" w:hAnsi="仿宋" w:eastAsia="仿宋" w:cs="仿宋"/>
                <w:i w:val="0"/>
                <w:iCs w:val="0"/>
                <w:color w:val="000000"/>
                <w:kern w:val="0"/>
                <w:sz w:val="24"/>
                <w:szCs w:val="24"/>
                <w:u w:val="none"/>
                <w:lang w:val="en-US" w:eastAsia="zh-CN" w:bidi="ar"/>
              </w:rPr>
              <w:t>精准扶贫经费按时按标准发放</w:t>
            </w:r>
            <w:bookmarkStart w:id="176" w:name="_GoBack"/>
            <w:bookmarkEnd w:id="176"/>
            <w:r>
              <w:rPr>
                <w:rFonts w:hint="eastAsia" w:ascii="仿宋" w:hAnsi="仿宋" w:eastAsia="仿宋" w:cs="仿宋"/>
                <w:i w:val="0"/>
                <w:iCs w:val="0"/>
                <w:color w:val="000000"/>
                <w:kern w:val="0"/>
                <w:sz w:val="24"/>
                <w:szCs w:val="24"/>
                <w:u w:val="none" w:color="46CD7E"/>
                <w:shd w:val="clear" w:fill="auto"/>
                <w:lang w:val="en-US" w:eastAsia="zh-CN" w:bidi="ar"/>
              </w:rPr>
              <w:t>给</w:t>
            </w:r>
            <w:r>
              <w:rPr>
                <w:rFonts w:hint="eastAsia" w:ascii="仿宋" w:hAnsi="仿宋" w:eastAsia="仿宋" w:cs="仿宋"/>
                <w:i w:val="0"/>
                <w:iCs w:val="0"/>
                <w:color w:val="000000"/>
                <w:kern w:val="0"/>
                <w:sz w:val="24"/>
                <w:szCs w:val="24"/>
                <w:u w:val="none"/>
                <w:lang w:val="en-US" w:eastAsia="zh-CN" w:bidi="ar"/>
              </w:rPr>
              <w:t>驻村工作人员，扶贫工作有序开展；3</w:t>
            </w:r>
            <w:r>
              <w:rPr>
                <w:rFonts w:hint="eastAsia" w:ascii="仿宋" w:hAnsi="仿宋" w:eastAsia="仿宋" w:cs="仿宋"/>
                <w:i w:val="0"/>
                <w:iCs w:val="0"/>
                <w:color w:val="000000"/>
                <w:kern w:val="0"/>
                <w:sz w:val="24"/>
                <w:szCs w:val="24"/>
                <w:u w:val="none" w:color="46CD7E"/>
                <w:shd w:val="clear" w:fill="auto"/>
                <w:lang w:val="en-US" w:eastAsia="zh-CN" w:bidi="ar"/>
              </w:rPr>
              <w:t>.</w:t>
            </w:r>
            <w:r>
              <w:rPr>
                <w:rFonts w:hint="eastAsia" w:ascii="仿宋" w:hAnsi="仿宋" w:eastAsia="仿宋" w:cs="仿宋"/>
                <w:i w:val="0"/>
                <w:iCs w:val="0"/>
                <w:color w:val="000000"/>
                <w:kern w:val="0"/>
                <w:sz w:val="24"/>
                <w:szCs w:val="24"/>
                <w:u w:val="none"/>
                <w:lang w:val="en-US" w:eastAsia="zh-CN" w:bidi="ar"/>
              </w:rPr>
              <w:t>顺利完成2020年度基本公共卫生工作，改善了老百姓的就医环境，减轻了老百姓的就医负担，提高了老百姓的满意度。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工资福利保障人数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15人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lang w:eastAsia="zh-CN"/>
              </w:rPr>
            </w:pPr>
            <w:r>
              <w:rPr>
                <w:rFonts w:hint="eastAsia" w:ascii="仿宋" w:hAnsi="仿宋" w:eastAsia="仿宋" w:cs="仿宋"/>
                <w:i w:val="0"/>
                <w:color w:val="auto"/>
                <w:sz w:val="24"/>
                <w:szCs w:val="24"/>
                <w:u w:val="none"/>
                <w:lang w:eastAsia="zh-CN"/>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乡村医生培训次数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预防接种人次数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≥406次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≥406次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lang w:eastAsia="zh-CN"/>
              </w:rPr>
            </w:pPr>
            <w:r>
              <w:rPr>
                <w:rFonts w:hint="eastAsia" w:ascii="仿宋" w:hAnsi="仿宋" w:eastAsia="仿宋" w:cs="仿宋"/>
                <w:i w:val="0"/>
                <w:color w:val="auto"/>
                <w:sz w:val="24"/>
                <w:szCs w:val="24"/>
                <w:u w:val="none"/>
                <w:lang w:eastAsia="zh-CN"/>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医务人员培训次数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≥10次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tabs>
                <w:tab w:val="center" w:pos="769"/>
                <w:tab w:val="right" w:pos="1419"/>
              </w:tabs>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工资福利到位率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医务人员及乡村医生培训合格率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lang w:eastAsia="zh-CN"/>
              </w:rPr>
            </w:pPr>
            <w:r>
              <w:rPr>
                <w:rFonts w:hint="eastAsia" w:ascii="仿宋" w:hAnsi="仿宋" w:eastAsia="仿宋" w:cs="仿宋"/>
                <w:i w:val="0"/>
                <w:color w:val="auto"/>
                <w:sz w:val="24"/>
                <w:szCs w:val="24"/>
                <w:u w:val="none"/>
                <w:lang w:eastAsia="zh-CN"/>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项目执行率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lang w:eastAsia="zh-CN"/>
              </w:rPr>
            </w:pPr>
            <w:r>
              <w:rPr>
                <w:rFonts w:hint="eastAsia" w:ascii="仿宋" w:hAnsi="仿宋" w:eastAsia="仿宋" w:cs="仿宋"/>
                <w:i w:val="0"/>
                <w:color w:val="auto"/>
                <w:sz w:val="24"/>
                <w:szCs w:val="24"/>
                <w:u w:val="none"/>
                <w:lang w:eastAsia="zh-CN"/>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工资福利总额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≤483.1万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≤483.1万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职工人均收入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驻村人员、帮扶对象幸福指数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23" w:leftChars="87" w:hanging="240" w:hangingChars="100"/>
              <w:jc w:val="left"/>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能耗下降率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u w:val="none"/>
              </w:rPr>
            </w:pPr>
            <w:r>
              <w:rPr>
                <w:rFonts w:hint="eastAsia" w:ascii="仿宋" w:hAnsi="仿宋" w:eastAsia="仿宋" w:cs="仿宋"/>
                <w:i w:val="0"/>
                <w:iCs w:val="0"/>
                <w:color w:val="000000"/>
                <w:kern w:val="0"/>
                <w:sz w:val="24"/>
                <w:szCs w:val="24"/>
                <w:u w:val="none"/>
                <w:lang w:val="en-US" w:eastAsia="zh-CN" w:bidi="ar"/>
              </w:rPr>
              <w:t>≥90%</w:t>
            </w:r>
          </w:p>
        </w:tc>
      </w:tr>
      <w:bookmarkEnd w:id="116"/>
    </w:tbl>
    <w:p>
      <w:pPr>
        <w:spacing w:line="600" w:lineRule="exact"/>
        <w:jc w:val="center"/>
        <w:outlineLvl w:val="0"/>
        <w:rPr>
          <w:rFonts w:hint="eastAsia" w:ascii="黑体" w:hAnsi="黑体" w:eastAsia="黑体"/>
          <w:color w:val="auto"/>
          <w:sz w:val="44"/>
          <w:szCs w:val="44"/>
          <w:highlight w:val="none"/>
        </w:rPr>
      </w:pPr>
      <w:bookmarkStart w:id="117" w:name="_Toc8886"/>
      <w:bookmarkStart w:id="118" w:name="_Toc13462"/>
      <w:bookmarkStart w:id="119" w:name="_Toc1539661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120" w:name="_Toc17362"/>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五部分附表</w:t>
      </w:r>
      <w:bookmarkEnd w:id="115"/>
      <w:bookmarkEnd w:id="117"/>
      <w:bookmarkEnd w:id="118"/>
      <w:bookmarkEnd w:id="119"/>
      <w:bookmarkEnd w:id="120"/>
      <w:bookmarkStart w:id="121" w:name="_Toc15396619"/>
    </w:p>
    <w:p>
      <w:pPr>
        <w:pStyle w:val="4"/>
        <w:pageBreakBefore w:val="0"/>
        <w:widowControl w:val="0"/>
        <w:kinsoku/>
        <w:wordWrap/>
        <w:overflowPunct/>
        <w:topLinePunct w:val="0"/>
        <w:autoSpaceDE/>
        <w:autoSpaceDN/>
        <w:bidi w:val="0"/>
        <w:adjustRightInd/>
        <w:snapToGrid/>
        <w:spacing w:before="0" w:after="0" w:line="640" w:lineRule="exact"/>
        <w:textAlignment w:val="auto"/>
        <w:rPr>
          <w:rFonts w:hint="eastAsia" w:ascii="仿宋" w:hAnsi="仿宋" w:eastAsia="仿宋"/>
          <w:b w:val="0"/>
          <w:color w:val="auto"/>
          <w:highlight w:val="none"/>
        </w:rPr>
      </w:pPr>
      <w:bookmarkStart w:id="122" w:name="_Toc25571"/>
      <w:bookmarkStart w:id="123" w:name="_Toc17354"/>
    </w:p>
    <w:p>
      <w:pPr>
        <w:pStyle w:val="4"/>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auto"/>
          <w:highlight w:val="none"/>
        </w:rPr>
      </w:pPr>
      <w:bookmarkStart w:id="124" w:name="_Toc16976"/>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121"/>
      <w:bookmarkEnd w:id="122"/>
      <w:bookmarkEnd w:id="123"/>
      <w:bookmarkEnd w:id="124"/>
    </w:p>
    <w:p>
      <w:pPr>
        <w:pStyle w:val="4"/>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auto"/>
          <w:highlight w:val="none"/>
        </w:rPr>
      </w:pPr>
      <w:bookmarkStart w:id="125" w:name="_Toc18598"/>
      <w:bookmarkStart w:id="126" w:name="_Toc15396620"/>
      <w:bookmarkStart w:id="127" w:name="_Toc2865"/>
      <w:bookmarkStart w:id="128" w:name="_Toc30699"/>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125"/>
      <w:bookmarkEnd w:id="126"/>
      <w:bookmarkEnd w:id="127"/>
      <w:bookmarkEnd w:id="128"/>
    </w:p>
    <w:p>
      <w:pPr>
        <w:pStyle w:val="4"/>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auto"/>
          <w:highlight w:val="none"/>
        </w:rPr>
      </w:pPr>
      <w:bookmarkStart w:id="129" w:name="_Toc2299"/>
      <w:bookmarkStart w:id="130" w:name="_Toc15396621"/>
      <w:bookmarkStart w:id="131" w:name="_Toc2440"/>
      <w:bookmarkStart w:id="132" w:name="_Toc27867"/>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129"/>
      <w:bookmarkEnd w:id="130"/>
      <w:bookmarkEnd w:id="131"/>
      <w:bookmarkEnd w:id="132"/>
    </w:p>
    <w:p>
      <w:pPr>
        <w:pStyle w:val="4"/>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b w:val="0"/>
          <w:color w:val="auto"/>
          <w:highlight w:val="none"/>
        </w:rPr>
      </w:pPr>
      <w:bookmarkStart w:id="133" w:name="_Toc15396622"/>
      <w:bookmarkStart w:id="134" w:name="_Toc7056"/>
      <w:bookmarkStart w:id="135" w:name="_Toc11349"/>
      <w:bookmarkStart w:id="136" w:name="_Toc1459"/>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133"/>
      <w:bookmarkEnd w:id="134"/>
      <w:bookmarkEnd w:id="135"/>
      <w:bookmarkEnd w:id="136"/>
    </w:p>
    <w:p>
      <w:pPr>
        <w:pStyle w:val="4"/>
        <w:pageBreakBefore w:val="0"/>
        <w:widowControl w:val="0"/>
        <w:kinsoku/>
        <w:wordWrap/>
        <w:overflowPunct/>
        <w:topLinePunct w:val="0"/>
        <w:autoSpaceDE/>
        <w:autoSpaceDN/>
        <w:bidi w:val="0"/>
        <w:adjustRightInd/>
        <w:snapToGrid/>
        <w:spacing w:before="0" w:after="0" w:line="640" w:lineRule="exact"/>
        <w:textAlignment w:val="auto"/>
        <w:rPr>
          <w:rStyle w:val="25"/>
          <w:rFonts w:ascii="仿宋" w:hAnsi="仿宋" w:eastAsia="仿宋"/>
          <w:b w:val="0"/>
          <w:bCs w:val="0"/>
          <w:color w:val="auto"/>
          <w:highlight w:val="none"/>
        </w:rPr>
      </w:pPr>
      <w:bookmarkStart w:id="137" w:name="_Toc15396623"/>
      <w:bookmarkStart w:id="138" w:name="_Toc5905"/>
      <w:bookmarkStart w:id="139" w:name="_Toc17669"/>
      <w:bookmarkStart w:id="140" w:name="_Toc12340"/>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137"/>
      <w:bookmarkEnd w:id="138"/>
      <w:bookmarkEnd w:id="139"/>
      <w:bookmarkEnd w:id="140"/>
      <w:bookmarkStart w:id="141" w:name="_Toc15396624"/>
    </w:p>
    <w:p>
      <w:pPr>
        <w:pStyle w:val="4"/>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auto"/>
          <w:highlight w:val="none"/>
        </w:rPr>
      </w:pPr>
      <w:bookmarkStart w:id="142" w:name="_Toc17970"/>
      <w:bookmarkStart w:id="143" w:name="_Toc21980"/>
      <w:bookmarkStart w:id="144" w:name="_Toc19028"/>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141"/>
      <w:bookmarkEnd w:id="142"/>
      <w:bookmarkEnd w:id="143"/>
      <w:bookmarkEnd w:id="144"/>
    </w:p>
    <w:p>
      <w:pPr>
        <w:pStyle w:val="4"/>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auto"/>
          <w:highlight w:val="none"/>
        </w:rPr>
      </w:pPr>
      <w:bookmarkStart w:id="145" w:name="_Toc11285"/>
      <w:bookmarkStart w:id="146" w:name="_Toc15396625"/>
      <w:bookmarkStart w:id="147" w:name="_Toc16552"/>
      <w:bookmarkStart w:id="148" w:name="_Toc12767"/>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145"/>
      <w:bookmarkEnd w:id="146"/>
      <w:bookmarkEnd w:id="147"/>
      <w:bookmarkEnd w:id="148"/>
    </w:p>
    <w:p>
      <w:pPr>
        <w:pStyle w:val="4"/>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auto"/>
          <w:highlight w:val="none"/>
        </w:rPr>
      </w:pPr>
      <w:bookmarkStart w:id="149" w:name="_Toc15396626"/>
      <w:bookmarkStart w:id="150" w:name="_Toc6853"/>
      <w:bookmarkStart w:id="151" w:name="_Toc4014"/>
      <w:bookmarkStart w:id="152" w:name="_Toc7365"/>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149"/>
      <w:bookmarkEnd w:id="150"/>
      <w:bookmarkEnd w:id="151"/>
      <w:bookmarkEnd w:id="152"/>
    </w:p>
    <w:p>
      <w:pPr>
        <w:pStyle w:val="4"/>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auto"/>
          <w:highlight w:val="none"/>
        </w:rPr>
      </w:pPr>
      <w:bookmarkStart w:id="153" w:name="_Toc19663"/>
      <w:bookmarkStart w:id="154" w:name="_Toc2158"/>
      <w:bookmarkStart w:id="155" w:name="_Toc15396627"/>
      <w:bookmarkStart w:id="156" w:name="_Toc21984"/>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153"/>
      <w:bookmarkEnd w:id="154"/>
      <w:bookmarkEnd w:id="155"/>
      <w:bookmarkEnd w:id="156"/>
    </w:p>
    <w:p>
      <w:pPr>
        <w:pStyle w:val="4"/>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auto"/>
          <w:highlight w:val="none"/>
        </w:rPr>
      </w:pPr>
      <w:bookmarkStart w:id="157" w:name="_Toc15396628"/>
      <w:bookmarkStart w:id="158" w:name="_Toc28823"/>
      <w:bookmarkStart w:id="159" w:name="_Toc20094"/>
      <w:bookmarkStart w:id="160" w:name="_Toc2930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157"/>
      <w:bookmarkEnd w:id="158"/>
      <w:bookmarkEnd w:id="159"/>
      <w:bookmarkEnd w:id="160"/>
    </w:p>
    <w:p>
      <w:pPr>
        <w:pStyle w:val="4"/>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auto"/>
          <w:highlight w:val="none"/>
        </w:rPr>
      </w:pPr>
      <w:bookmarkStart w:id="161" w:name="_Toc26133"/>
      <w:bookmarkStart w:id="162" w:name="_Toc15396629"/>
      <w:bookmarkStart w:id="163" w:name="_Toc14142"/>
      <w:bookmarkStart w:id="164" w:name="_Toc18575"/>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61"/>
      <w:bookmarkEnd w:id="162"/>
      <w:bookmarkEnd w:id="163"/>
      <w:bookmarkEnd w:id="164"/>
    </w:p>
    <w:p>
      <w:pPr>
        <w:pStyle w:val="4"/>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auto"/>
          <w:highlight w:val="none"/>
        </w:rPr>
      </w:pPr>
      <w:bookmarkStart w:id="165" w:name="_Toc21509"/>
      <w:bookmarkStart w:id="166" w:name="_Toc19486"/>
      <w:bookmarkStart w:id="167" w:name="_Toc30605"/>
      <w:bookmarkStart w:id="168"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165"/>
      <w:bookmarkEnd w:id="166"/>
      <w:bookmarkEnd w:id="167"/>
      <w:bookmarkEnd w:id="168"/>
    </w:p>
    <w:p>
      <w:pPr>
        <w:pStyle w:val="4"/>
        <w:pageBreakBefore w:val="0"/>
        <w:widowControl w:val="0"/>
        <w:kinsoku/>
        <w:wordWrap/>
        <w:overflowPunct/>
        <w:topLinePunct w:val="0"/>
        <w:autoSpaceDE/>
        <w:autoSpaceDN/>
        <w:bidi w:val="0"/>
        <w:adjustRightInd/>
        <w:snapToGrid/>
        <w:spacing w:before="0" w:after="0" w:line="640" w:lineRule="exact"/>
        <w:textAlignment w:val="auto"/>
        <w:rPr>
          <w:rStyle w:val="25"/>
          <w:rFonts w:hint="eastAsia" w:ascii="仿宋" w:hAnsi="仿宋" w:eastAsia="仿宋"/>
          <w:b w:val="0"/>
          <w:bCs w:val="0"/>
          <w:color w:val="auto"/>
          <w:highlight w:val="none"/>
        </w:rPr>
      </w:pPr>
      <w:bookmarkStart w:id="169" w:name="_Toc15396631"/>
      <w:bookmarkStart w:id="170" w:name="_Toc22345"/>
      <w:bookmarkStart w:id="171" w:name="_Toc5414"/>
      <w:bookmarkStart w:id="172" w:name="_Toc30752"/>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69"/>
      <w:bookmarkEnd w:id="170"/>
      <w:bookmarkEnd w:id="171"/>
      <w:bookmarkEnd w:id="172"/>
    </w:p>
    <w:p>
      <w:pPr>
        <w:pageBreakBefore w:val="0"/>
        <w:widowControl w:val="0"/>
        <w:kinsoku/>
        <w:wordWrap/>
        <w:overflowPunct/>
        <w:topLinePunct w:val="0"/>
        <w:autoSpaceDE/>
        <w:autoSpaceDN/>
        <w:bidi w:val="0"/>
        <w:adjustRightInd/>
        <w:snapToGrid/>
        <w:spacing w:line="640" w:lineRule="exact"/>
        <w:textAlignment w:val="auto"/>
        <w:rPr>
          <w:rFonts w:hint="eastAsia" w:eastAsia="仿宋"/>
          <w:color w:val="auto"/>
          <w:highlight w:val="none"/>
          <w:lang w:eastAsia="zh-CN"/>
        </w:rPr>
      </w:pPr>
      <w:bookmarkStart w:id="173" w:name="_Toc25764"/>
      <w:bookmarkStart w:id="174" w:name="_Toc7315"/>
      <w:bookmarkStart w:id="175" w:name="_Toc10803"/>
      <w:r>
        <w:rPr>
          <w:rStyle w:val="25"/>
          <w:rFonts w:hint="eastAsia" w:ascii="仿宋" w:hAnsi="仿宋" w:eastAsia="仿宋"/>
          <w:b w:val="0"/>
          <w:bCs w:val="0"/>
          <w:color w:val="auto"/>
          <w:highlight w:val="none"/>
          <w:lang w:eastAsia="zh-CN"/>
        </w:rPr>
        <w:t>十四、国有资本经营预算财政拨款支出决算表</w:t>
      </w:r>
      <w:bookmarkEnd w:id="173"/>
      <w:bookmarkEnd w:id="174"/>
      <w:bookmarkEnd w:id="175"/>
    </w:p>
    <w:sectPr>
      <w:footerReference r:id="rId8" w:type="first"/>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C7A9E"/>
    <w:multiLevelType w:val="singleLevel"/>
    <w:tmpl w:val="A78C7A9E"/>
    <w:lvl w:ilvl="0" w:tentative="0">
      <w:start w:val="7"/>
      <w:numFmt w:val="chineseCounting"/>
      <w:suff w:val="nothing"/>
      <w:lvlText w:val="（%1）"/>
      <w:lvlJc w:val="left"/>
      <w:pPr>
        <w:ind w:left="640" w:leftChars="0" w:firstLine="0" w:firstLineChars="0"/>
      </w:pPr>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4ZDZhZGYyYjgzNzFmMmU3YTczMjUxMWY3YTZmZ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10C055FF"/>
    <w:rsid w:val="118107EC"/>
    <w:rsid w:val="11DD6519"/>
    <w:rsid w:val="15FB03CF"/>
    <w:rsid w:val="16BB723D"/>
    <w:rsid w:val="18015F3F"/>
    <w:rsid w:val="1BE8440E"/>
    <w:rsid w:val="1D155CEE"/>
    <w:rsid w:val="20F57F95"/>
    <w:rsid w:val="2152653D"/>
    <w:rsid w:val="21B26CF3"/>
    <w:rsid w:val="240371BF"/>
    <w:rsid w:val="25C741E6"/>
    <w:rsid w:val="27842671"/>
    <w:rsid w:val="29FD04D3"/>
    <w:rsid w:val="2ABE7A3E"/>
    <w:rsid w:val="2EFA178C"/>
    <w:rsid w:val="30B46D73"/>
    <w:rsid w:val="319F7F4E"/>
    <w:rsid w:val="32A37F44"/>
    <w:rsid w:val="39AE70AB"/>
    <w:rsid w:val="3C0C0783"/>
    <w:rsid w:val="3F9F3A96"/>
    <w:rsid w:val="42D122FC"/>
    <w:rsid w:val="493C27E9"/>
    <w:rsid w:val="496F39ED"/>
    <w:rsid w:val="49FF41D3"/>
    <w:rsid w:val="4BE068DB"/>
    <w:rsid w:val="4BF6002B"/>
    <w:rsid w:val="4ECE2238"/>
    <w:rsid w:val="4F52519E"/>
    <w:rsid w:val="51DB4B86"/>
    <w:rsid w:val="55333C3E"/>
    <w:rsid w:val="5A982E26"/>
    <w:rsid w:val="60BC435F"/>
    <w:rsid w:val="64CA39A1"/>
    <w:rsid w:val="6B5470F8"/>
    <w:rsid w:val="6C4A05C8"/>
    <w:rsid w:val="72734D90"/>
    <w:rsid w:val="79E7B28D"/>
    <w:rsid w:val="7B7A025D"/>
    <w:rsid w:val="7CE16379"/>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8"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9"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0"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收入合计</c:v>
                </c:pt>
                <c:pt idx="1">
                  <c:v>支出合计</c:v>
                </c:pt>
              </c:strCache>
            </c:strRef>
          </c:cat>
          <c:val>
            <c:numRef>
              <c:f>Sheet1!$C$2:$C$3</c:f>
              <c:numCache>
                <c:formatCode>General</c:formatCode>
                <c:ptCount val="2"/>
                <c:pt idx="0">
                  <c:v>343.05</c:v>
                </c:pt>
                <c:pt idx="1">
                  <c:v>343.05</c:v>
                </c:pt>
              </c:numCache>
            </c:numRef>
          </c:val>
        </c:ser>
        <c:ser>
          <c:idx val="2"/>
          <c:order val="1"/>
          <c:tx>
            <c:strRef>
              <c:f>Sheet1!$D$1</c:f>
              <c:strCache>
                <c:ptCount val="1"/>
                <c:pt idx="0">
                  <c:v>2021</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收入合计</c:v>
                </c:pt>
                <c:pt idx="1">
                  <c:v>支出合计</c:v>
                </c:pt>
              </c:strCache>
            </c:strRef>
          </c:cat>
          <c:val>
            <c:numRef>
              <c:f>Sheet1!$D$2:$D$3</c:f>
              <c:numCache>
                <c:formatCode>General</c:formatCode>
                <c:ptCount val="2"/>
                <c:pt idx="0">
                  <c:v>366.34</c:v>
                </c:pt>
                <c:pt idx="1">
                  <c:v>366.34</c:v>
                </c:pt>
              </c:numCache>
            </c:numRef>
          </c:val>
        </c:ser>
        <c:dLbls>
          <c:showLegendKey val="0"/>
          <c:showVal val="1"/>
          <c:showCatName val="0"/>
          <c:showSerName val="0"/>
          <c:showPercent val="0"/>
          <c:showBubbleSize val="0"/>
        </c:dLbls>
        <c:gapWidth val="300"/>
        <c:overlap val="0"/>
        <c:axId val="260621146"/>
        <c:axId val="273751872"/>
      </c:barChart>
      <c:catAx>
        <c:axId val="260621146"/>
        <c:scaling>
          <c:orientation val="minMax"/>
        </c:scaling>
        <c:delete val="0"/>
        <c:axPos val="b"/>
        <c:title>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3751872"/>
        <c:crosses val="autoZero"/>
        <c:auto val="1"/>
        <c:lblAlgn val="ctr"/>
        <c:lblOffset val="100"/>
        <c:noMultiLvlLbl val="0"/>
      </c:catAx>
      <c:valAx>
        <c:axId val="2737518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62114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[工作簿8]Sheet1!$A$1:$A$3</c:f>
              <c:strCache>
                <c:ptCount val="3"/>
                <c:pt idx="0">
                  <c:v>事业收入</c:v>
                </c:pt>
                <c:pt idx="1">
                  <c:v>财政拨款收入</c:v>
                </c:pt>
                <c:pt idx="2">
                  <c:v>其他收入</c:v>
                </c:pt>
              </c:strCache>
            </c:strRef>
          </c:cat>
          <c:val>
            <c:numRef>
              <c:f>[工作簿8]Sheet1!$B$1:$B$3</c:f>
              <c:numCache>
                <c:formatCode>0.00%</c:formatCode>
                <c:ptCount val="3"/>
                <c:pt idx="0">
                  <c:v>0.3904</c:v>
                </c:pt>
                <c:pt idx="1">
                  <c:v>0.4134</c:v>
                </c:pt>
                <c:pt idx="2">
                  <c:v>0.1962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支出结算结构图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[工作簿9]Sheet1!$A$1:$A$2</c:f>
              <c:strCache>
                <c:ptCount val="2"/>
                <c:pt idx="0">
                  <c:v>基本支出</c:v>
                </c:pt>
                <c:pt idx="1">
                  <c:v>项目支出</c:v>
                </c:pt>
              </c:strCache>
            </c:strRef>
          </c:cat>
          <c:val>
            <c:numRef>
              <c:f>[工作簿9]Sheet1!$B$1:$B$2</c:f>
              <c:numCache>
                <c:formatCode>0.00%</c:formatCode>
                <c:ptCount val="2"/>
                <c:pt idx="0">
                  <c:v>0.804</c:v>
                </c:pt>
                <c:pt idx="1">
                  <c:v>0.196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b="1">
                <a:latin typeface="仿宋" panose="02010609060101010101" charset="-122"/>
                <a:ea typeface="仿宋" panose="02010609060101010101" charset="-122"/>
                <a:cs typeface="仿宋" panose="02010609060101010101" charset="-122"/>
              </a:rPr>
              <a:t>财政拨款收支决算情况</a:t>
            </a:r>
            <a:r>
              <a:rPr lang="en-US" altLang="zh-CN" sz="1200" b="1">
                <a:latin typeface="仿宋" panose="02010609060101010101" charset="-122"/>
                <a:ea typeface="仿宋" panose="02010609060101010101" charset="-122"/>
                <a:cs typeface="仿宋" panose="02010609060101010101" charset="-122"/>
              </a:rPr>
              <a:t>      </a:t>
            </a:r>
            <a:r>
              <a:rPr altLang="en-US" sz="1200" b="1">
                <a:latin typeface="仿宋" panose="02010609060101010101" charset="-122"/>
                <a:ea typeface="仿宋" panose="02010609060101010101" charset="-122"/>
                <a:cs typeface="仿宋" panose="02010609060101010101" charset="-122"/>
              </a:rPr>
              <a:t>单位：万元</a:t>
            </a:r>
            <a:endParaRPr altLang="en-US" sz="1200" b="1">
              <a:latin typeface="仿宋" panose="02010609060101010101" charset="-122"/>
              <a:ea typeface="仿宋" panose="02010609060101010101" charset="-122"/>
              <a:cs typeface="仿宋" panose="02010609060101010101" charset="-122"/>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159.21</c:v>
                </c:pt>
                <c:pt idx="1">
                  <c:v>159.21</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151.45</c:v>
                </c:pt>
                <c:pt idx="1">
                  <c:v>151.45</c:v>
                </c:pt>
              </c:numCache>
            </c:numRef>
          </c:val>
        </c:ser>
        <c:dLbls>
          <c:showLegendKey val="0"/>
          <c:showVal val="1"/>
          <c:showCatName val="0"/>
          <c:showSerName val="0"/>
          <c:showPercent val="0"/>
          <c:showBubbleSize val="0"/>
        </c:dLbls>
        <c:gapWidth val="150"/>
        <c:overlap val="0"/>
        <c:axId val="150713367"/>
        <c:axId val="21247535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财政拨款收入</c:v>
                      </c:pt>
                      <c:pt idx="1">
                        <c:v>财政拨款支出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5071336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475352"/>
        <c:crosses val="autoZero"/>
        <c:auto val="1"/>
        <c:lblAlgn val="ctr"/>
        <c:lblOffset val="100"/>
        <c:noMultiLvlLbl val="0"/>
      </c:catAx>
      <c:valAx>
        <c:axId val="212475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71336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latin typeface="仿宋" panose="02010609060101010101" charset="-122"/>
                <a:ea typeface="仿宋" panose="02010609060101010101" charset="-122"/>
              </a:rPr>
              <a:t>单位：万元</a:t>
            </a:r>
            <a:endParaRPr b="1">
              <a:latin typeface="仿宋" panose="02010609060101010101" charset="-122"/>
              <a:ea typeface="仿宋" panose="02010609060101010101" charset="-122"/>
            </a:endParaRPr>
          </a:p>
        </c:rich>
      </c:tx>
      <c:layout>
        <c:manualLayout>
          <c:xMode val="edge"/>
          <c:yMode val="edge"/>
          <c:x val="0.703534031413613"/>
          <c:y val="0.0228891149542218"/>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159.21</c:v>
                </c:pt>
                <c:pt idx="1">
                  <c:v>151.45</c:v>
                </c:pt>
              </c:numCache>
            </c:numRef>
          </c:val>
        </c:ser>
        <c:dLbls>
          <c:showLegendKey val="0"/>
          <c:showVal val="1"/>
          <c:showCatName val="0"/>
          <c:showSerName val="0"/>
          <c:showPercent val="0"/>
          <c:showBubbleSize val="0"/>
        </c:dLbls>
        <c:gapWidth val="150"/>
        <c:overlap val="0"/>
        <c:axId val="150713367"/>
        <c:axId val="212475352"/>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Sheet1!$C$2:$C$3</c15:sqref>
                        </c15:formulaRef>
                      </c:ext>
                    </c:extLst>
                    <c:numCache>
                      <c:formatCode>General</c:formatCode>
                      <c:ptCount val="2"/>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5071336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475352"/>
        <c:crosses val="autoZero"/>
        <c:auto val="1"/>
        <c:lblAlgn val="ctr"/>
        <c:lblOffset val="100"/>
        <c:noMultiLvlLbl val="0"/>
      </c:catAx>
      <c:valAx>
        <c:axId val="212475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71336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[工作簿10]Sheet1!$A$1:$A$3</c:f>
              <c:strCache>
                <c:ptCount val="3"/>
                <c:pt idx="0">
                  <c:v>卫生健康支出</c:v>
                </c:pt>
                <c:pt idx="1">
                  <c:v>社会保障和就业类支出</c:v>
                </c:pt>
                <c:pt idx="2">
                  <c:v>农、林、水支出</c:v>
                </c:pt>
              </c:strCache>
            </c:strRef>
          </c:cat>
          <c:val>
            <c:numRef>
              <c:f>[工作簿10]Sheet1!$B$1:$B$3</c:f>
              <c:numCache>
                <c:formatCode>0.00%</c:formatCode>
                <c:ptCount val="3"/>
                <c:pt idx="0">
                  <c:v>0.9967</c:v>
                </c:pt>
                <c:pt idx="1">
                  <c:v>0</c:v>
                </c:pt>
                <c:pt idx="2">
                  <c:v>0.0033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8996</Words>
  <Characters>9664</Characters>
  <Lines>61</Lines>
  <Paragraphs>17</Paragraphs>
  <TotalTime>11</TotalTime>
  <ScaleCrop>false</ScaleCrop>
  <LinksUpToDate>false</LinksUpToDate>
  <CharactersWithSpaces>9703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2023-06-18T23:38:41Z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F303DD827F7B4CD4AFF34355B9697456</vt:lpwstr>
  </property>
</Properties>
</file>