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78441"/>
      <w:bookmarkStart w:id="2" w:name="_Toc15396597"/>
      <w:bookmarkStart w:id="3" w:name="_Toc15396475"/>
      <w:bookmarkStart w:id="4" w:name="_Toc15377425"/>
      <w:bookmarkStart w:id="5" w:name="_Toc15377193"/>
      <w:r>
        <w:rPr>
          <w:rFonts w:hint="eastAsia" w:ascii="方正小标宋简体" w:hAnsi="方正小标宋简体" w:eastAsia="方正小标宋简体" w:cs="方正小标宋简体"/>
          <w:sz w:val="72"/>
          <w:szCs w:val="72"/>
        </w:rPr>
        <w:t>2021年度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78442"/>
      <w:bookmarkStart w:id="7" w:name="_Toc15396598"/>
      <w:bookmarkStart w:id="8" w:name="_Toc15377194"/>
      <w:bookmarkStart w:id="9" w:name="_Toc15396476"/>
      <w:bookmarkStart w:id="10" w:name="_Toc15377426"/>
      <w:r>
        <w:rPr>
          <w:rFonts w:hint="eastAsia" w:ascii="方正小标宋简体" w:hAnsi="方正小标宋简体" w:eastAsia="方正小标宋简体" w:cs="方正小标宋简体"/>
          <w:sz w:val="72"/>
          <w:szCs w:val="72"/>
        </w:rPr>
        <w:t>四川省</w:t>
      </w:r>
      <w:bookmarkEnd w:id="0"/>
      <w:bookmarkStart w:id="11" w:name="_Toc15306268"/>
      <w:r>
        <w:rPr>
          <w:rFonts w:hint="eastAsia" w:ascii="方正小标宋简体" w:hAnsi="方正小标宋简体" w:eastAsia="方正小标宋简体" w:cs="方正小标宋简体"/>
          <w:sz w:val="72"/>
          <w:szCs w:val="72"/>
        </w:rPr>
        <w:t>通江县烟溪镇</w:t>
      </w: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单位决算</w:t>
      </w:r>
      <w:bookmarkEnd w:id="6"/>
      <w:bookmarkEnd w:id="7"/>
      <w:bookmarkEnd w:id="8"/>
      <w:bookmarkEnd w:id="9"/>
      <w:bookmarkEnd w:id="10"/>
      <w:bookmarkEnd w:id="11"/>
    </w:p>
    <w:p>
      <w:pPr>
        <w:widowControl/>
        <w:jc w:val="center"/>
        <w:rPr>
          <w:rFonts w:ascii="黑体" w:hAnsi="黑体" w:eastAsia="黑体"/>
          <w:sz w:val="48"/>
          <w:szCs w:val="48"/>
        </w:rPr>
      </w:pPr>
      <w: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9"/>
      </w:pPr>
      <w:r>
        <w:rPr>
          <w:rFonts w:hint="eastAsia"/>
        </w:rPr>
        <w:t>公开时间：2022年8月25日</w:t>
      </w:r>
    </w:p>
    <w:sdt>
      <w:sdtPr>
        <w:rPr>
          <w:rFonts w:ascii="宋体" w:hAnsi="宋体"/>
          <w:kern w:val="0"/>
          <w:sz w:val="20"/>
          <w:szCs w:val="20"/>
        </w:rPr>
        <w:id w:val="147482733"/>
        <w:docPartObj>
          <w:docPartGallery w:val="Table of Contents"/>
          <w:docPartUnique/>
        </w:docPartObj>
      </w:sdtPr>
      <w:sdtEndPr>
        <w:rPr>
          <w:rFonts w:ascii="宋体" w:hAnsi="宋体"/>
          <w:kern w:val="0"/>
          <w:sz w:val="20"/>
          <w:szCs w:val="20"/>
        </w:rPr>
      </w:sdtEndPr>
      <w:sdtContent>
        <w:p>
          <w:pPr>
            <w:jc w:val="center"/>
          </w:pPr>
        </w:p>
        <w:p>
          <w:pPr>
            <w:pStyle w:val="35"/>
            <w:tabs>
              <w:tab w:val="right" w:leader="dot" w:pos="8306"/>
            </w:tabs>
          </w:pPr>
          <w:r>
            <w:fldChar w:fldCharType="begin"/>
          </w:r>
          <w:r>
            <w:instrText xml:space="preserve"> HYPERLINK \l "_Toc9054" </w:instrText>
          </w:r>
          <w:r>
            <w:fldChar w:fldCharType="separate"/>
          </w:r>
          <w:r>
            <w:rPr>
              <w:rFonts w:hint="eastAsia" w:ascii="黑体" w:hAnsi="黑体" w:eastAsia="黑体"/>
              <w:b/>
              <w:bCs/>
            </w:rPr>
            <w:t>第一部分单位概况</w:t>
          </w:r>
          <w:r>
            <w:rPr>
              <w:b/>
              <w:bCs/>
            </w:rPr>
            <w:tab/>
          </w:r>
          <w:r>
            <w:rPr>
              <w:b/>
              <w:bCs/>
            </w:rPr>
            <w:t>3</w:t>
          </w:r>
          <w:r>
            <w:rPr>
              <w:b/>
              <w:bCs/>
            </w:rPr>
            <w:fldChar w:fldCharType="end"/>
          </w:r>
        </w:p>
        <w:p>
          <w:pPr>
            <w:pStyle w:val="36"/>
            <w:tabs>
              <w:tab w:val="right" w:leader="dot" w:pos="8306"/>
            </w:tabs>
            <w:ind w:left="420"/>
          </w:pPr>
          <w:r>
            <w:fldChar w:fldCharType="begin"/>
          </w:r>
          <w:r>
            <w:instrText xml:space="preserve"> HYPERLINK \l "_Toc22844" </w:instrText>
          </w:r>
          <w:r>
            <w:fldChar w:fldCharType="separate"/>
          </w:r>
          <w:r>
            <w:rPr>
              <w:rFonts w:hint="eastAsia" w:ascii="黑体" w:hAnsi="黑体" w:eastAsia="黑体" w:cstheme="majorBidi"/>
            </w:rPr>
            <w:t>一、职能简介</w:t>
          </w:r>
          <w:r>
            <w:tab/>
          </w:r>
          <w:r>
            <w:t>3</w:t>
          </w:r>
          <w:r>
            <w:fldChar w:fldCharType="end"/>
          </w:r>
        </w:p>
        <w:p>
          <w:pPr>
            <w:pStyle w:val="36"/>
            <w:tabs>
              <w:tab w:val="right" w:leader="dot" w:pos="8306"/>
            </w:tabs>
            <w:ind w:left="420"/>
          </w:pPr>
          <w:r>
            <w:fldChar w:fldCharType="begin"/>
          </w:r>
          <w:r>
            <w:instrText xml:space="preserve"> HYPERLINK \l "_Toc28083" </w:instrText>
          </w:r>
          <w:r>
            <w:fldChar w:fldCharType="separate"/>
          </w:r>
          <w:r>
            <w:rPr>
              <w:rFonts w:hint="eastAsia" w:ascii="黑体" w:hAnsi="黑体" w:eastAsia="黑体" w:cstheme="majorBidi"/>
            </w:rPr>
            <w:t>二、2021年重点工作完成情况</w:t>
          </w:r>
          <w:r>
            <w:tab/>
          </w:r>
          <w:r>
            <w:t>3</w:t>
          </w:r>
          <w:r>
            <w:fldChar w:fldCharType="end"/>
          </w:r>
        </w:p>
        <w:p>
          <w:pPr>
            <w:pStyle w:val="35"/>
            <w:tabs>
              <w:tab w:val="right" w:leader="dot" w:pos="8306"/>
            </w:tabs>
          </w:pPr>
          <w:r>
            <w:fldChar w:fldCharType="begin"/>
          </w:r>
          <w:r>
            <w:instrText xml:space="preserve"> HYPERLINK \l "_Toc349" </w:instrText>
          </w:r>
          <w:r>
            <w:fldChar w:fldCharType="separate"/>
          </w:r>
          <w:r>
            <w:rPr>
              <w:rFonts w:hint="eastAsia" w:ascii="黑体" w:hAnsi="黑体" w:eastAsia="黑体"/>
              <w:b/>
              <w:bCs/>
            </w:rPr>
            <w:t>第二部分 2021年度单位决算情况说明</w:t>
          </w:r>
          <w:r>
            <w:rPr>
              <w:b/>
              <w:bCs/>
            </w:rPr>
            <w:tab/>
          </w:r>
          <w:r>
            <w:rPr>
              <w:b/>
              <w:bCs/>
            </w:rPr>
            <w:t>4</w:t>
          </w:r>
          <w:r>
            <w:rPr>
              <w:b/>
              <w:bCs/>
            </w:rPr>
            <w:fldChar w:fldCharType="end"/>
          </w:r>
        </w:p>
        <w:p>
          <w:pPr>
            <w:pStyle w:val="36"/>
            <w:tabs>
              <w:tab w:val="right" w:leader="dot" w:pos="8306"/>
            </w:tabs>
            <w:ind w:left="420"/>
          </w:pPr>
          <w:r>
            <w:fldChar w:fldCharType="begin"/>
          </w:r>
          <w:r>
            <w:instrText xml:space="preserve"> HYPERLINK \l "_Toc24287" </w:instrText>
          </w:r>
          <w:r>
            <w:fldChar w:fldCharType="separate"/>
          </w:r>
          <w:r>
            <w:rPr>
              <w:rFonts w:ascii="黑体" w:hAnsi="黑体" w:eastAsia="黑体" w:cstheme="majorBidi"/>
            </w:rPr>
            <w:t>一、</w:t>
          </w:r>
          <w:r>
            <w:rPr>
              <w:rFonts w:hint="eastAsia" w:ascii="黑体" w:hAnsi="黑体" w:eastAsia="黑体"/>
            </w:rPr>
            <w:t>收</w:t>
          </w:r>
          <w:r>
            <w:rPr>
              <w:rFonts w:hint="eastAsia" w:ascii="黑体" w:hAnsi="黑体" w:eastAsia="黑体" w:cstheme="majorBidi"/>
            </w:rPr>
            <w:t>入支出决算总体情况说明</w:t>
          </w:r>
          <w:r>
            <w:tab/>
          </w:r>
          <w:r>
            <w:t>4</w:t>
          </w:r>
          <w:r>
            <w:fldChar w:fldCharType="end"/>
          </w:r>
        </w:p>
        <w:p>
          <w:pPr>
            <w:pStyle w:val="36"/>
            <w:tabs>
              <w:tab w:val="right" w:leader="dot" w:pos="8306"/>
            </w:tabs>
            <w:ind w:left="420"/>
          </w:pPr>
          <w:r>
            <w:fldChar w:fldCharType="begin"/>
          </w:r>
          <w:r>
            <w:instrText xml:space="preserve"> HYPERLINK \l "_Toc6594" </w:instrText>
          </w:r>
          <w:r>
            <w:fldChar w:fldCharType="separate"/>
          </w:r>
          <w:r>
            <w:rPr>
              <w:rFonts w:ascii="黑体" w:hAnsi="黑体" w:eastAsia="黑体" w:cstheme="majorBidi"/>
            </w:rPr>
            <w:t>二、</w:t>
          </w:r>
          <w:r>
            <w:rPr>
              <w:rFonts w:hint="eastAsia" w:ascii="黑体" w:hAnsi="黑体" w:eastAsia="黑体"/>
            </w:rPr>
            <w:t>收</w:t>
          </w:r>
          <w:r>
            <w:rPr>
              <w:rFonts w:hint="eastAsia" w:ascii="黑体" w:hAnsi="黑体" w:eastAsia="黑体" w:cstheme="majorBidi"/>
            </w:rPr>
            <w:t>入决算情况说明</w:t>
          </w:r>
          <w:r>
            <w:tab/>
          </w:r>
          <w:r>
            <w:t>4</w:t>
          </w:r>
          <w:r>
            <w:fldChar w:fldCharType="end"/>
          </w:r>
        </w:p>
        <w:p>
          <w:pPr>
            <w:pStyle w:val="36"/>
            <w:tabs>
              <w:tab w:val="right" w:leader="dot" w:pos="8306"/>
            </w:tabs>
            <w:ind w:left="420"/>
          </w:pPr>
          <w:r>
            <w:fldChar w:fldCharType="begin"/>
          </w:r>
          <w:r>
            <w:instrText xml:space="preserve"> HYPERLINK \l "_Toc22543" </w:instrText>
          </w:r>
          <w:r>
            <w:fldChar w:fldCharType="separate"/>
          </w:r>
          <w:r>
            <w:rPr>
              <w:rFonts w:ascii="黑体" w:hAnsi="黑体" w:eastAsia="黑体" w:cstheme="majorBidi"/>
            </w:rPr>
            <w:t>三、</w:t>
          </w:r>
          <w:r>
            <w:rPr>
              <w:rFonts w:hint="eastAsia" w:ascii="黑体" w:hAnsi="黑体" w:eastAsia="黑体"/>
            </w:rPr>
            <w:t>支</w:t>
          </w:r>
          <w:r>
            <w:rPr>
              <w:rFonts w:hint="eastAsia" w:ascii="黑体" w:hAnsi="黑体" w:eastAsia="黑体" w:cstheme="majorBidi"/>
            </w:rPr>
            <w:t>出决算情况说明</w:t>
          </w:r>
          <w:r>
            <w:tab/>
          </w:r>
          <w:r>
            <w:t>5</w:t>
          </w:r>
          <w:r>
            <w:fldChar w:fldCharType="end"/>
          </w:r>
        </w:p>
        <w:p>
          <w:pPr>
            <w:pStyle w:val="36"/>
            <w:tabs>
              <w:tab w:val="right" w:leader="dot" w:pos="8306"/>
            </w:tabs>
            <w:ind w:left="420"/>
          </w:pPr>
          <w:r>
            <w:fldChar w:fldCharType="begin"/>
          </w:r>
          <w:r>
            <w:instrText xml:space="preserve"> HYPERLINK \l "_Toc21686" </w:instrText>
          </w:r>
          <w:r>
            <w:fldChar w:fldCharType="separate"/>
          </w:r>
          <w:r>
            <w:rPr>
              <w:rFonts w:hint="eastAsia" w:ascii="黑体" w:hAnsi="黑体" w:eastAsia="黑体"/>
            </w:rPr>
            <w:t>四、财</w:t>
          </w:r>
          <w:r>
            <w:rPr>
              <w:rFonts w:hint="eastAsia" w:ascii="黑体" w:hAnsi="黑体" w:eastAsia="黑体" w:cstheme="majorBidi"/>
            </w:rPr>
            <w:t>政拨款收入支出决算总体情况说明</w:t>
          </w:r>
          <w:r>
            <w:tab/>
          </w:r>
          <w:r>
            <w:t>6</w:t>
          </w:r>
          <w:r>
            <w:fldChar w:fldCharType="end"/>
          </w:r>
        </w:p>
        <w:p>
          <w:pPr>
            <w:pStyle w:val="36"/>
            <w:tabs>
              <w:tab w:val="right" w:leader="dot" w:pos="8306"/>
            </w:tabs>
            <w:ind w:left="420"/>
          </w:pPr>
          <w:r>
            <w:fldChar w:fldCharType="begin"/>
          </w:r>
          <w:r>
            <w:instrText xml:space="preserve"> HYPERLINK \l "_Toc27339" </w:instrText>
          </w:r>
          <w:r>
            <w:fldChar w:fldCharType="separate"/>
          </w:r>
          <w:r>
            <w:rPr>
              <w:rFonts w:hint="eastAsia" w:ascii="黑体" w:hAnsi="黑体" w:eastAsia="黑体"/>
            </w:rPr>
            <w:t>五、一</w:t>
          </w:r>
          <w:r>
            <w:rPr>
              <w:rFonts w:hint="eastAsia" w:ascii="黑体" w:hAnsi="黑体" w:eastAsia="黑体" w:cstheme="majorBidi"/>
            </w:rPr>
            <w:t>般公共预算财政拨款支出决算情况说明</w:t>
          </w:r>
          <w:r>
            <w:tab/>
          </w:r>
          <w:r>
            <w:t>7</w:t>
          </w:r>
          <w:r>
            <w:fldChar w:fldCharType="end"/>
          </w:r>
        </w:p>
        <w:p>
          <w:pPr>
            <w:pStyle w:val="36"/>
            <w:tabs>
              <w:tab w:val="right" w:leader="dot" w:pos="8306"/>
            </w:tabs>
            <w:ind w:left="420"/>
          </w:pPr>
          <w:r>
            <w:fldChar w:fldCharType="begin"/>
          </w:r>
          <w:r>
            <w:instrText xml:space="preserve"> HYPERLINK \l "_Toc11359" </w:instrText>
          </w:r>
          <w:r>
            <w:fldChar w:fldCharType="separate"/>
          </w:r>
          <w:r>
            <w:rPr>
              <w:rFonts w:hint="eastAsia" w:ascii="黑体" w:eastAsia="黑体"/>
            </w:rPr>
            <w:t>六、</w:t>
          </w:r>
          <w:r>
            <w:rPr>
              <w:rFonts w:hint="eastAsia" w:ascii="黑体" w:hAnsi="黑体" w:eastAsia="黑体"/>
            </w:rPr>
            <w:t>一</w:t>
          </w:r>
          <w:r>
            <w:rPr>
              <w:rFonts w:hint="eastAsia" w:ascii="黑体" w:hAnsi="黑体" w:eastAsia="黑体" w:cstheme="majorBidi"/>
            </w:rPr>
            <w:t>般公共预算财政拨款基本支出决算情况说明</w:t>
          </w:r>
          <w:r>
            <w:tab/>
          </w:r>
          <w:r>
            <w:t>11</w:t>
          </w:r>
          <w:r>
            <w:fldChar w:fldCharType="end"/>
          </w:r>
        </w:p>
        <w:p>
          <w:pPr>
            <w:pStyle w:val="36"/>
            <w:tabs>
              <w:tab w:val="right" w:leader="dot" w:pos="8306"/>
            </w:tabs>
            <w:ind w:left="420"/>
          </w:pPr>
          <w:r>
            <w:fldChar w:fldCharType="begin"/>
          </w:r>
          <w:r>
            <w:instrText xml:space="preserve"> HYPERLINK \l "_Toc9302" </w:instrText>
          </w:r>
          <w:r>
            <w:fldChar w:fldCharType="separate"/>
          </w:r>
          <w:r>
            <w:rPr>
              <w:rFonts w:hint="eastAsia" w:ascii="黑体" w:eastAsia="黑体"/>
            </w:rPr>
            <w:t>七、</w:t>
          </w:r>
          <w:r>
            <w:rPr>
              <w:rFonts w:hint="eastAsia" w:ascii="黑体" w:hAnsi="黑体" w:eastAsia="黑体" w:cstheme="majorBidi"/>
            </w:rPr>
            <w:t>“三公”经费财政拨款支出决算情况说明</w:t>
          </w:r>
          <w:r>
            <w:tab/>
          </w:r>
          <w:r>
            <w:t>12</w:t>
          </w:r>
          <w:r>
            <w:fldChar w:fldCharType="end"/>
          </w:r>
        </w:p>
        <w:p>
          <w:pPr>
            <w:pStyle w:val="36"/>
            <w:tabs>
              <w:tab w:val="right" w:leader="dot" w:pos="8306"/>
            </w:tabs>
            <w:ind w:left="420"/>
          </w:pPr>
          <w:r>
            <w:fldChar w:fldCharType="begin"/>
          </w:r>
          <w:r>
            <w:instrText xml:space="preserve"> HYPERLINK \l "_Toc28104" </w:instrText>
          </w:r>
          <w:r>
            <w:fldChar w:fldCharType="separate"/>
          </w:r>
          <w:r>
            <w:rPr>
              <w:rFonts w:hint="eastAsia" w:ascii="黑体" w:eastAsia="黑体"/>
            </w:rPr>
            <w:t>八、</w:t>
          </w:r>
          <w:r>
            <w:rPr>
              <w:rFonts w:hint="eastAsia" w:ascii="黑体" w:hAnsi="黑体" w:eastAsia="黑体" w:cstheme="majorBidi"/>
            </w:rPr>
            <w:t>政府性基金预算支出决算情况说明</w:t>
          </w:r>
          <w:r>
            <w:tab/>
          </w:r>
          <w:r>
            <w:t>14</w:t>
          </w:r>
          <w:r>
            <w:fldChar w:fldCharType="end"/>
          </w:r>
        </w:p>
        <w:p>
          <w:pPr>
            <w:pStyle w:val="36"/>
            <w:tabs>
              <w:tab w:val="right" w:leader="dot" w:pos="8306"/>
            </w:tabs>
            <w:ind w:left="420"/>
          </w:pPr>
          <w:r>
            <w:fldChar w:fldCharType="begin"/>
          </w:r>
          <w:r>
            <w:instrText xml:space="preserve"> HYPERLINK \l "_Toc1824" </w:instrText>
          </w:r>
          <w:r>
            <w:fldChar w:fldCharType="separate"/>
          </w:r>
          <w:r>
            <w:rPr>
              <w:rFonts w:hint="eastAsia" w:ascii="黑体" w:hAnsi="黑体" w:eastAsia="黑体" w:cstheme="majorBidi"/>
            </w:rPr>
            <w:t>九、国有资本经营预算支出决算情况说明</w:t>
          </w:r>
          <w:r>
            <w:tab/>
          </w:r>
          <w:r>
            <w:t>14</w:t>
          </w:r>
          <w:r>
            <w:fldChar w:fldCharType="end"/>
          </w:r>
        </w:p>
        <w:p>
          <w:pPr>
            <w:pStyle w:val="36"/>
            <w:tabs>
              <w:tab w:val="right" w:leader="dot" w:pos="8306"/>
            </w:tabs>
            <w:ind w:left="420"/>
          </w:pPr>
          <w:r>
            <w:fldChar w:fldCharType="begin"/>
          </w:r>
          <w:r>
            <w:instrText xml:space="preserve"> HYPERLINK \l "_Toc32002" </w:instrText>
          </w:r>
          <w:r>
            <w:fldChar w:fldCharType="separate"/>
          </w:r>
          <w:r>
            <w:rPr>
              <w:rFonts w:hint="eastAsia" w:ascii="黑体" w:hAnsi="黑体" w:eastAsia="黑体" w:cstheme="majorBidi"/>
            </w:rPr>
            <w:t>十、其他重要事项的情况说明</w:t>
          </w:r>
          <w:r>
            <w:tab/>
          </w:r>
          <w:r>
            <w:t>14</w:t>
          </w:r>
          <w:r>
            <w:fldChar w:fldCharType="end"/>
          </w:r>
        </w:p>
        <w:p>
          <w:pPr>
            <w:pStyle w:val="35"/>
            <w:tabs>
              <w:tab w:val="right" w:leader="dot" w:pos="8306"/>
            </w:tabs>
          </w:pPr>
          <w:r>
            <w:fldChar w:fldCharType="begin"/>
          </w:r>
          <w:r>
            <w:instrText xml:space="preserve"> HYPERLINK \l "_Toc11463" </w:instrText>
          </w:r>
          <w:r>
            <w:fldChar w:fldCharType="separate"/>
          </w:r>
          <w:r>
            <w:rPr>
              <w:rFonts w:hint="eastAsia" w:ascii="黑体" w:hAnsi="黑体" w:eastAsia="黑体" w:cs="黑体"/>
              <w:b/>
              <w:bCs/>
            </w:rPr>
            <w:t>第三部分</w:t>
          </w:r>
          <w:r>
            <w:rPr>
              <w:rFonts w:hint="eastAsia" w:ascii="黑体" w:hAnsi="黑体" w:eastAsia="黑体"/>
              <w:b/>
              <w:bCs/>
            </w:rPr>
            <w:t>名词解释</w:t>
          </w:r>
          <w:r>
            <w:rPr>
              <w:b/>
              <w:bCs/>
            </w:rPr>
            <w:tab/>
          </w:r>
          <w:r>
            <w:rPr>
              <w:b/>
              <w:bCs/>
            </w:rPr>
            <w:t>16</w:t>
          </w:r>
          <w:r>
            <w:rPr>
              <w:b/>
              <w:bCs/>
            </w:rPr>
            <w:fldChar w:fldCharType="end"/>
          </w:r>
        </w:p>
        <w:p>
          <w:pPr>
            <w:pStyle w:val="35"/>
            <w:tabs>
              <w:tab w:val="right" w:leader="dot" w:pos="8306"/>
            </w:tabs>
          </w:pPr>
          <w:r>
            <w:fldChar w:fldCharType="begin"/>
          </w:r>
          <w:r>
            <w:instrText xml:space="preserve"> HYPERLINK \l "_Toc9125" </w:instrText>
          </w:r>
          <w:r>
            <w:fldChar w:fldCharType="separate"/>
          </w:r>
          <w:r>
            <w:rPr>
              <w:rFonts w:hint="eastAsia" w:ascii="黑体" w:hAnsi="黑体" w:eastAsia="黑体"/>
              <w:b/>
              <w:bCs/>
            </w:rPr>
            <w:t>第四部分附件</w:t>
          </w:r>
          <w:r>
            <w:rPr>
              <w:b/>
              <w:bCs/>
            </w:rPr>
            <w:tab/>
          </w:r>
          <w:r>
            <w:rPr>
              <w:b/>
              <w:bCs/>
            </w:rPr>
            <w:t>20</w:t>
          </w:r>
          <w:r>
            <w:rPr>
              <w:b/>
              <w:bCs/>
            </w:rPr>
            <w:fldChar w:fldCharType="end"/>
          </w:r>
        </w:p>
        <w:p>
          <w:pPr>
            <w:pStyle w:val="35"/>
            <w:tabs>
              <w:tab w:val="right" w:leader="dot" w:pos="8306"/>
            </w:tabs>
          </w:pPr>
          <w:r>
            <w:fldChar w:fldCharType="begin"/>
          </w:r>
          <w:r>
            <w:instrText xml:space="preserve"> HYPERLINK \l "_Toc15671" </w:instrText>
          </w:r>
          <w:r>
            <w:fldChar w:fldCharType="separate"/>
          </w:r>
          <w:r>
            <w:rPr>
              <w:rFonts w:hint="eastAsia" w:ascii="黑体" w:hAnsi="黑体" w:eastAsia="黑体"/>
              <w:b/>
              <w:bCs/>
            </w:rPr>
            <w:t>第五部分附表</w:t>
          </w:r>
          <w:r>
            <w:rPr>
              <w:b/>
              <w:bCs/>
            </w:rPr>
            <w:tab/>
          </w:r>
          <w:r>
            <w:rPr>
              <w:b/>
              <w:bCs/>
            </w:rPr>
            <w:t>22</w:t>
          </w:r>
          <w:r>
            <w:rPr>
              <w:b/>
              <w:bCs/>
            </w:rPr>
            <w:fldChar w:fldCharType="end"/>
          </w:r>
        </w:p>
        <w:p>
          <w:pPr>
            <w:pStyle w:val="36"/>
            <w:tabs>
              <w:tab w:val="right" w:leader="dot" w:pos="8306"/>
            </w:tabs>
            <w:ind w:left="420"/>
          </w:pPr>
          <w:r>
            <w:fldChar w:fldCharType="begin"/>
          </w:r>
          <w:r>
            <w:instrText xml:space="preserve"> HYPERLINK \l "_Toc1010" </w:instrText>
          </w:r>
          <w:r>
            <w:fldChar w:fldCharType="separate"/>
          </w:r>
          <w:r>
            <w:rPr>
              <w:rFonts w:hint="eastAsia" w:ascii="仿宋" w:hAnsi="仿宋" w:eastAsia="仿宋" w:cstheme="majorBidi"/>
            </w:rPr>
            <w:t>一、收入支出决算总表</w:t>
          </w:r>
          <w:r>
            <w:tab/>
          </w:r>
          <w:r>
            <w:t>22</w:t>
          </w:r>
          <w:r>
            <w:fldChar w:fldCharType="end"/>
          </w:r>
        </w:p>
        <w:p>
          <w:pPr>
            <w:pStyle w:val="36"/>
            <w:tabs>
              <w:tab w:val="right" w:leader="dot" w:pos="8306"/>
            </w:tabs>
            <w:ind w:left="420"/>
          </w:pPr>
          <w:r>
            <w:fldChar w:fldCharType="begin"/>
          </w:r>
          <w:r>
            <w:instrText xml:space="preserve"> HYPERLINK \l "_Toc2977" </w:instrText>
          </w:r>
          <w:r>
            <w:fldChar w:fldCharType="separate"/>
          </w:r>
          <w:r>
            <w:rPr>
              <w:rFonts w:hint="eastAsia" w:ascii="仿宋" w:hAnsi="仿宋" w:eastAsia="仿宋" w:cstheme="majorBidi"/>
            </w:rPr>
            <w:t>二、收入决算表</w:t>
          </w:r>
          <w:r>
            <w:tab/>
          </w:r>
          <w:r>
            <w:t>22</w:t>
          </w:r>
          <w:r>
            <w:fldChar w:fldCharType="end"/>
          </w:r>
        </w:p>
        <w:p>
          <w:pPr>
            <w:pStyle w:val="36"/>
            <w:tabs>
              <w:tab w:val="right" w:leader="dot" w:pos="8306"/>
            </w:tabs>
            <w:ind w:left="420"/>
          </w:pPr>
          <w:r>
            <w:fldChar w:fldCharType="begin"/>
          </w:r>
          <w:r>
            <w:instrText xml:space="preserve"> HYPERLINK \l "_Toc24160" </w:instrText>
          </w:r>
          <w:r>
            <w:fldChar w:fldCharType="separate"/>
          </w:r>
          <w:r>
            <w:rPr>
              <w:rFonts w:hint="eastAsia" w:ascii="仿宋" w:hAnsi="仿宋" w:eastAsia="仿宋" w:cstheme="majorBidi"/>
            </w:rPr>
            <w:t>三、支出决算表</w:t>
          </w:r>
          <w:r>
            <w:tab/>
          </w:r>
          <w:r>
            <w:t>22</w:t>
          </w:r>
          <w:r>
            <w:fldChar w:fldCharType="end"/>
          </w:r>
        </w:p>
        <w:p>
          <w:pPr>
            <w:pStyle w:val="36"/>
            <w:tabs>
              <w:tab w:val="right" w:leader="dot" w:pos="8306"/>
            </w:tabs>
            <w:ind w:left="420"/>
          </w:pPr>
          <w:r>
            <w:fldChar w:fldCharType="begin"/>
          </w:r>
          <w:r>
            <w:instrText xml:space="preserve"> HYPERLINK \l "_Toc28778" </w:instrText>
          </w:r>
          <w:r>
            <w:fldChar w:fldCharType="separate"/>
          </w:r>
          <w:r>
            <w:rPr>
              <w:rFonts w:hint="eastAsia" w:ascii="仿宋" w:hAnsi="仿宋" w:eastAsia="仿宋" w:cstheme="majorBidi"/>
            </w:rPr>
            <w:t>四、财政拨款收入支出决算总表</w:t>
          </w:r>
          <w:r>
            <w:tab/>
          </w:r>
          <w:r>
            <w:t>22</w:t>
          </w:r>
          <w:r>
            <w:fldChar w:fldCharType="end"/>
          </w:r>
        </w:p>
        <w:p>
          <w:pPr>
            <w:pStyle w:val="36"/>
            <w:tabs>
              <w:tab w:val="right" w:leader="dot" w:pos="8306"/>
            </w:tabs>
            <w:ind w:left="420"/>
          </w:pPr>
          <w:r>
            <w:fldChar w:fldCharType="begin"/>
          </w:r>
          <w:r>
            <w:instrText xml:space="preserve"> HYPERLINK \l "_Toc1131" </w:instrText>
          </w:r>
          <w:r>
            <w:fldChar w:fldCharType="separate"/>
          </w:r>
          <w:r>
            <w:rPr>
              <w:rFonts w:hint="eastAsia" w:ascii="仿宋" w:hAnsi="仿宋" w:eastAsia="仿宋" w:cstheme="majorBidi"/>
            </w:rPr>
            <w:t>五、财政拨款支出决算明细表</w:t>
          </w:r>
          <w:r>
            <w:tab/>
          </w:r>
          <w:r>
            <w:t>22</w:t>
          </w:r>
          <w:r>
            <w:fldChar w:fldCharType="end"/>
          </w:r>
        </w:p>
        <w:p>
          <w:pPr>
            <w:pStyle w:val="36"/>
            <w:tabs>
              <w:tab w:val="right" w:leader="dot" w:pos="8306"/>
            </w:tabs>
            <w:ind w:left="420"/>
          </w:pPr>
          <w:r>
            <w:fldChar w:fldCharType="begin"/>
          </w:r>
          <w:r>
            <w:instrText xml:space="preserve"> HYPERLINK \l "_Toc28473" </w:instrText>
          </w:r>
          <w:r>
            <w:fldChar w:fldCharType="separate"/>
          </w:r>
          <w:r>
            <w:rPr>
              <w:rFonts w:hint="eastAsia" w:ascii="仿宋" w:hAnsi="仿宋" w:eastAsia="仿宋" w:cstheme="majorBidi"/>
            </w:rPr>
            <w:t>六、一般公共预算财政拨款支出决算表</w:t>
          </w:r>
          <w:r>
            <w:tab/>
          </w:r>
          <w:r>
            <w:t>22</w:t>
          </w:r>
          <w:r>
            <w:fldChar w:fldCharType="end"/>
          </w:r>
        </w:p>
        <w:p>
          <w:pPr>
            <w:pStyle w:val="36"/>
            <w:tabs>
              <w:tab w:val="right" w:leader="dot" w:pos="8306"/>
            </w:tabs>
            <w:ind w:left="420"/>
          </w:pPr>
          <w:r>
            <w:fldChar w:fldCharType="begin"/>
          </w:r>
          <w:r>
            <w:instrText xml:space="preserve"> HYPERLINK \l "_Toc27341" </w:instrText>
          </w:r>
          <w:r>
            <w:fldChar w:fldCharType="separate"/>
          </w:r>
          <w:r>
            <w:rPr>
              <w:rFonts w:hint="eastAsia" w:ascii="仿宋" w:hAnsi="仿宋" w:eastAsia="仿宋" w:cstheme="majorBidi"/>
            </w:rPr>
            <w:t>七、一般公共预算财政拨款支出决算明细表</w:t>
          </w:r>
          <w:r>
            <w:tab/>
          </w:r>
          <w:r>
            <w:t>22</w:t>
          </w:r>
          <w:r>
            <w:fldChar w:fldCharType="end"/>
          </w:r>
        </w:p>
        <w:p>
          <w:pPr>
            <w:pStyle w:val="36"/>
            <w:tabs>
              <w:tab w:val="right" w:leader="dot" w:pos="8306"/>
            </w:tabs>
            <w:ind w:left="420"/>
          </w:pPr>
          <w:r>
            <w:fldChar w:fldCharType="begin"/>
          </w:r>
          <w:r>
            <w:instrText xml:space="preserve"> HYPERLINK \l "_Toc29387" </w:instrText>
          </w:r>
          <w:r>
            <w:fldChar w:fldCharType="separate"/>
          </w:r>
          <w:r>
            <w:rPr>
              <w:rFonts w:hint="eastAsia" w:ascii="仿宋" w:hAnsi="仿宋" w:eastAsia="仿宋" w:cstheme="majorBidi"/>
            </w:rPr>
            <w:t>八、一般公共预算财政拨款基本支出决算表</w:t>
          </w:r>
          <w:r>
            <w:tab/>
          </w:r>
          <w:r>
            <w:t>22</w:t>
          </w:r>
          <w:r>
            <w:fldChar w:fldCharType="end"/>
          </w:r>
        </w:p>
        <w:p>
          <w:pPr>
            <w:pStyle w:val="36"/>
            <w:tabs>
              <w:tab w:val="right" w:leader="dot" w:pos="8306"/>
            </w:tabs>
            <w:ind w:left="420"/>
          </w:pPr>
          <w:r>
            <w:fldChar w:fldCharType="begin"/>
          </w:r>
          <w:r>
            <w:instrText xml:space="preserve"> HYPERLINK \l "_Toc7820" </w:instrText>
          </w:r>
          <w:r>
            <w:fldChar w:fldCharType="separate"/>
          </w:r>
          <w:r>
            <w:rPr>
              <w:rFonts w:hint="eastAsia" w:ascii="仿宋" w:hAnsi="仿宋" w:eastAsia="仿宋" w:cstheme="majorBidi"/>
            </w:rPr>
            <w:t>九、一般公共预算财政拨款项目支出决算表</w:t>
          </w:r>
          <w:r>
            <w:tab/>
          </w:r>
          <w:r>
            <w:t>22</w:t>
          </w:r>
          <w:r>
            <w:fldChar w:fldCharType="end"/>
          </w:r>
        </w:p>
        <w:p>
          <w:pPr>
            <w:pStyle w:val="36"/>
            <w:tabs>
              <w:tab w:val="right" w:leader="dot" w:pos="8306"/>
            </w:tabs>
            <w:ind w:left="420"/>
          </w:pPr>
          <w:r>
            <w:fldChar w:fldCharType="begin"/>
          </w:r>
          <w:r>
            <w:instrText xml:space="preserve"> HYPERLINK \l "_Toc29768" </w:instrText>
          </w:r>
          <w:r>
            <w:fldChar w:fldCharType="separate"/>
          </w:r>
          <w:r>
            <w:rPr>
              <w:rFonts w:hint="eastAsia" w:ascii="仿宋" w:hAnsi="仿宋" w:eastAsia="仿宋" w:cstheme="majorBidi"/>
            </w:rPr>
            <w:t>十、一般公共预算财政拨款“三公”经费支出决算表</w:t>
          </w:r>
          <w:r>
            <w:tab/>
          </w:r>
          <w:r>
            <w:t>22</w:t>
          </w:r>
          <w:r>
            <w:fldChar w:fldCharType="end"/>
          </w:r>
        </w:p>
        <w:p>
          <w:pPr>
            <w:pStyle w:val="36"/>
            <w:tabs>
              <w:tab w:val="right" w:leader="dot" w:pos="8306"/>
            </w:tabs>
            <w:ind w:left="420"/>
          </w:pPr>
          <w:r>
            <w:fldChar w:fldCharType="begin"/>
          </w:r>
          <w:r>
            <w:instrText xml:space="preserve"> HYPERLINK \l "_Toc15241" </w:instrText>
          </w:r>
          <w:r>
            <w:fldChar w:fldCharType="separate"/>
          </w:r>
          <w:r>
            <w:rPr>
              <w:rFonts w:hint="eastAsia" w:ascii="仿宋" w:hAnsi="仿宋" w:eastAsia="仿宋" w:cstheme="majorBidi"/>
            </w:rPr>
            <w:t>十一、政府性基金预算财政拨款收入支出决算表</w:t>
          </w:r>
          <w:r>
            <w:tab/>
          </w:r>
          <w:r>
            <w:t>22</w:t>
          </w:r>
          <w:r>
            <w:fldChar w:fldCharType="end"/>
          </w:r>
        </w:p>
        <w:p>
          <w:pPr>
            <w:pStyle w:val="36"/>
            <w:tabs>
              <w:tab w:val="right" w:leader="dot" w:pos="8306"/>
            </w:tabs>
            <w:ind w:left="420"/>
          </w:pPr>
          <w:r>
            <w:fldChar w:fldCharType="begin"/>
          </w:r>
          <w:r>
            <w:instrText xml:space="preserve"> HYPERLINK \l "_Toc21015" </w:instrText>
          </w:r>
          <w:r>
            <w:fldChar w:fldCharType="separate"/>
          </w:r>
          <w:r>
            <w:rPr>
              <w:rFonts w:hint="eastAsia" w:ascii="仿宋" w:hAnsi="仿宋" w:eastAsia="仿宋" w:cstheme="majorBidi"/>
            </w:rPr>
            <w:t>十二、政府性基金预算财政拨款“三公”经费支出决算表</w:t>
          </w:r>
          <w:r>
            <w:tab/>
          </w:r>
          <w:r>
            <w:t>22</w:t>
          </w:r>
          <w:r>
            <w:fldChar w:fldCharType="end"/>
          </w:r>
        </w:p>
        <w:p>
          <w:pPr>
            <w:pStyle w:val="36"/>
            <w:tabs>
              <w:tab w:val="right" w:leader="dot" w:pos="8306"/>
            </w:tabs>
            <w:ind w:left="420"/>
          </w:pPr>
          <w:r>
            <w:fldChar w:fldCharType="begin"/>
          </w:r>
          <w:r>
            <w:instrText xml:space="preserve"> HYPERLINK \l "_Toc14449" </w:instrText>
          </w:r>
          <w:r>
            <w:fldChar w:fldCharType="separate"/>
          </w:r>
          <w:r>
            <w:rPr>
              <w:rFonts w:hint="eastAsia" w:ascii="仿宋" w:hAnsi="仿宋" w:eastAsia="仿宋" w:cstheme="majorBidi"/>
            </w:rPr>
            <w:t>十三、国有资本经营预算财政拨款收入支出决算表</w:t>
          </w:r>
          <w:r>
            <w:tab/>
          </w:r>
          <w:r>
            <w:t>22</w:t>
          </w:r>
          <w:r>
            <w:fldChar w:fldCharType="end"/>
          </w:r>
        </w:p>
        <w:p>
          <w:pPr>
            <w:pStyle w:val="36"/>
            <w:tabs>
              <w:tab w:val="right" w:leader="dot" w:pos="8306"/>
            </w:tabs>
            <w:ind w:left="420"/>
          </w:pPr>
          <w:r>
            <w:fldChar w:fldCharType="begin"/>
          </w:r>
          <w:r>
            <w:instrText xml:space="preserve"> HYPERLINK \l "_Toc31369" </w:instrText>
          </w:r>
          <w:r>
            <w:fldChar w:fldCharType="separate"/>
          </w:r>
          <w:r>
            <w:rPr>
              <w:rFonts w:hint="eastAsia" w:ascii="仿宋" w:hAnsi="仿宋" w:eastAsia="仿宋" w:cstheme="majorBidi"/>
            </w:rPr>
            <w:t>十四、国有资本经营预算财政拨款支出决算表</w:t>
          </w:r>
          <w:r>
            <w:tab/>
          </w:r>
          <w:r>
            <w:t>22</w:t>
          </w:r>
          <w:r>
            <w:fldChar w:fldCharType="end"/>
          </w:r>
        </w:p>
      </w:sdtContent>
    </w:sdt>
    <w:p/>
    <w:p>
      <w:pPr>
        <w:pStyle w:val="13"/>
        <w:keepNext w:val="0"/>
        <w:keepLines w:val="0"/>
        <w:pageBreakBefore/>
        <w:spacing w:line="579" w:lineRule="auto"/>
        <w:jc w:val="center"/>
        <w:rPr>
          <w:rStyle w:val="29"/>
          <w:rFonts w:ascii="黑体" w:hAnsi="黑体" w:eastAsia="黑体"/>
          <w:b/>
          <w:bCs w:val="0"/>
        </w:rPr>
      </w:pPr>
      <w:bookmarkStart w:id="12" w:name="_Toc15396599"/>
      <w:bookmarkStart w:id="13" w:name="_Toc15377196"/>
      <w:bookmarkStart w:id="14" w:name="_Toc9054"/>
      <w:r>
        <w:rPr>
          <w:rFonts w:hint="eastAsia" w:ascii="黑体" w:hAnsi="黑体" w:eastAsia="黑体"/>
          <w:b w:val="0"/>
        </w:rPr>
        <w:t>第一部分单位</w:t>
      </w:r>
      <w:r>
        <w:rPr>
          <w:rStyle w:val="29"/>
          <w:rFonts w:hint="eastAsia" w:ascii="黑体" w:hAnsi="黑体" w:eastAsia="黑体"/>
          <w:b w:val="0"/>
          <w:bCs w:val="0"/>
        </w:rPr>
        <w:t>概况</w:t>
      </w:r>
      <w:bookmarkEnd w:id="12"/>
      <w:bookmarkEnd w:id="13"/>
      <w:bookmarkEnd w:id="14"/>
    </w:p>
    <w:p>
      <w:pPr>
        <w:widowControl/>
        <w:jc w:val="left"/>
        <w:rPr>
          <w:rFonts w:ascii="黑体" w:eastAsia="黑体"/>
          <w:sz w:val="32"/>
          <w:szCs w:val="32"/>
        </w:rPr>
      </w:pPr>
    </w:p>
    <w:p>
      <w:pPr>
        <w:widowControl/>
        <w:spacing w:after="150"/>
        <w:jc w:val="left"/>
        <w:rPr>
          <w:rStyle w:val="30"/>
          <w:rFonts w:ascii="黑体" w:hAnsi="黑体" w:eastAsia="黑体"/>
          <w:b w:val="0"/>
          <w:bCs w:val="0"/>
        </w:rPr>
      </w:pPr>
      <w:bookmarkStart w:id="15" w:name="_Toc22844"/>
      <w:bookmarkStart w:id="16" w:name="_Toc15377197"/>
      <w:bookmarkStart w:id="17" w:name="_Toc15396600"/>
      <w:r>
        <w:rPr>
          <w:rStyle w:val="30"/>
          <w:rFonts w:hint="eastAsia" w:ascii="黑体" w:hAnsi="黑体" w:eastAsia="黑体"/>
          <w:b w:val="0"/>
          <w:bCs w:val="0"/>
        </w:rPr>
        <w:t>一、职能简介</w:t>
      </w:r>
      <w:bookmarkEnd w:id="15"/>
    </w:p>
    <w:p>
      <w:pPr>
        <w:widowControl/>
        <w:spacing w:after="150"/>
        <w:ind w:firstLine="840" w:firstLineChars="300"/>
        <w:jc w:val="left"/>
        <w:rPr>
          <w:rStyle w:val="30"/>
          <w:rFonts w:ascii="黑体" w:hAnsi="黑体" w:eastAsia="黑体"/>
          <w:b w:val="0"/>
          <w:bCs w:val="0"/>
        </w:rPr>
      </w:pPr>
      <w:r>
        <w:rPr>
          <w:rFonts w:hint="eastAsia" w:ascii="仿宋_GB2312" w:hAnsi="宋体" w:eastAsia="仿宋_GB2312"/>
          <w:sz w:val="28"/>
          <w:szCs w:val="28"/>
        </w:rPr>
        <w:t>落实国家政策，严格依法行政，发挥经济管理职能，加强政策引导，制定发展规划，服务市场主体和营造发展环境，搞好市场监管，大力促进社会事业发展，发展镇村经济、文化和社会事业，提供公共服务，维护社会稳定，构建社会主义和-谐社会。</w:t>
      </w:r>
    </w:p>
    <w:p>
      <w:pPr>
        <w:pStyle w:val="14"/>
        <w:rPr>
          <w:rFonts w:ascii="黑体" w:hAnsi="黑体" w:eastAsia="黑体"/>
          <w:b w:val="0"/>
        </w:rPr>
      </w:pPr>
      <w:bookmarkStart w:id="18" w:name="_Toc28083"/>
      <w:r>
        <w:rPr>
          <w:rFonts w:hint="eastAsia" w:ascii="黑体" w:hAnsi="黑体" w:eastAsia="黑体"/>
          <w:b w:val="0"/>
        </w:rPr>
        <w:t>二、2021年重点工作</w:t>
      </w:r>
      <w:bookmarkEnd w:id="16"/>
      <w:bookmarkEnd w:id="17"/>
      <w:r>
        <w:rPr>
          <w:rFonts w:hint="eastAsia" w:ascii="黑体" w:hAnsi="黑体" w:eastAsia="黑体"/>
          <w:b w:val="0"/>
        </w:rPr>
        <w:t>完成情况</w:t>
      </w:r>
      <w:bookmarkEnd w:id="18"/>
    </w:p>
    <w:p>
      <w:pPr>
        <w:pStyle w:val="3"/>
        <w:adjustRightInd w:val="0"/>
        <w:snapToGrid w:val="0"/>
        <w:spacing w:before="93" w:line="600" w:lineRule="exact"/>
        <w:ind w:firstLine="588" w:firstLineChars="210"/>
        <w:outlineLvl w:val="2"/>
        <w:rPr>
          <w:rFonts w:ascii="仿宋" w:hAnsi="仿宋" w:eastAsia="仿宋"/>
          <w:bCs/>
          <w:sz w:val="32"/>
          <w:szCs w:val="32"/>
        </w:rPr>
      </w:pPr>
      <w:r>
        <w:rPr>
          <w:rFonts w:hint="eastAsia" w:hAnsi="宋体"/>
          <w:sz w:val="28"/>
          <w:szCs w:val="28"/>
        </w:rPr>
        <w:t>2021年以来，镇党委政府严格落实县委、县政府的各项决策部署，立足烟溪实际统筹安排全面推动各项工作落实。</w:t>
      </w:r>
      <w:r>
        <w:rPr>
          <w:rFonts w:hint="eastAsia" w:hAnsi="宋体"/>
          <w:sz w:val="28"/>
          <w:szCs w:val="28"/>
          <w:u w:val="thick" w:color="909090"/>
          <w:shd w:val="clear" w:fill="DDDDDD"/>
        </w:rPr>
        <w:t>巩固拓展脱贫攻坚成果同乡村振兴有效衔接，新冠肺炎疫情防控，镇党委政府始终坚持统一思想，统筹发展、整体推进。</w:t>
      </w:r>
      <w:r>
        <w:rPr>
          <w:rFonts w:hint="eastAsia" w:hAnsi="宋体"/>
          <w:sz w:val="28"/>
          <w:szCs w:val="28"/>
        </w:rPr>
        <w:t>大力发展主导产业，集中优势发展茶叶产业，按照规模化、标准化、全面化在我镇推进茶叶的种植和养护。</w:t>
      </w:r>
    </w:p>
    <w:p>
      <w:pPr>
        <w:widowControl/>
        <w:jc w:val="left"/>
        <w:rPr>
          <w:rFonts w:ascii="仿宋" w:hAnsi="仿宋" w:eastAsia="仿宋"/>
          <w:kern w:val="0"/>
          <w:sz w:val="32"/>
          <w:szCs w:val="32"/>
        </w:rPr>
      </w:pPr>
      <w:r>
        <w:br w:type="page"/>
      </w:r>
    </w:p>
    <w:p>
      <w:pPr>
        <w:pStyle w:val="13"/>
        <w:ind w:right="440"/>
        <w:jc w:val="center"/>
        <w:rPr>
          <w:rStyle w:val="29"/>
          <w:rFonts w:ascii="黑体" w:hAnsi="黑体" w:eastAsia="黑体"/>
          <w:b w:val="0"/>
          <w:bCs/>
        </w:rPr>
      </w:pPr>
      <w:bookmarkStart w:id="19" w:name="_Toc15396602"/>
      <w:bookmarkStart w:id="20" w:name="_Toc349"/>
      <w:bookmarkStart w:id="21" w:name="_Toc15377204"/>
      <w:r>
        <w:rPr>
          <w:rFonts w:hint="eastAsia" w:ascii="黑体" w:hAnsi="黑体" w:eastAsia="黑体"/>
          <w:b w:val="0"/>
        </w:rPr>
        <w:t>第二部分2021年度</w:t>
      </w:r>
      <w:r>
        <w:rPr>
          <w:rStyle w:val="29"/>
          <w:rFonts w:hint="eastAsia" w:ascii="黑体" w:hAnsi="黑体" w:eastAsia="黑体"/>
          <w:b w:val="0"/>
          <w:bCs/>
        </w:rPr>
        <w:t>单位决算</w:t>
      </w:r>
      <w:r>
        <w:rPr>
          <w:rFonts w:hint="eastAsia" w:ascii="黑体" w:hAnsi="黑体" w:eastAsia="黑体"/>
          <w:b w:val="0"/>
        </w:rPr>
        <w:t>情况说明</w:t>
      </w:r>
      <w:bookmarkEnd w:id="19"/>
      <w:bookmarkEnd w:id="20"/>
      <w:bookmarkEnd w:id="21"/>
    </w:p>
    <w:p/>
    <w:p>
      <w:pPr>
        <w:pStyle w:val="28"/>
        <w:numPr>
          <w:ilvl w:val="0"/>
          <w:numId w:val="1"/>
        </w:numPr>
        <w:spacing w:line="600" w:lineRule="exact"/>
        <w:ind w:firstLineChars="0"/>
        <w:outlineLvl w:val="1"/>
        <w:rPr>
          <w:rStyle w:val="30"/>
          <w:rFonts w:ascii="黑体" w:hAnsi="黑体" w:eastAsia="黑体"/>
          <w:b w:val="0"/>
        </w:rPr>
      </w:pPr>
      <w:bookmarkStart w:id="22" w:name="_Toc15377205"/>
      <w:bookmarkStart w:id="23" w:name="_Toc24287"/>
      <w:bookmarkStart w:id="24" w:name="_Toc15396603"/>
      <w:r>
        <w:rPr>
          <w:rFonts w:hint="eastAsia" w:ascii="黑体" w:hAnsi="黑体" w:eastAsia="黑体"/>
          <w:sz w:val="32"/>
          <w:szCs w:val="32"/>
        </w:rPr>
        <w:t>收</w:t>
      </w:r>
      <w:r>
        <w:rPr>
          <w:rStyle w:val="30"/>
          <w:rFonts w:hint="eastAsia" w:ascii="黑体" w:hAnsi="黑体" w:eastAsia="黑体"/>
          <w:b w:val="0"/>
        </w:rPr>
        <w:t>入支出决算</w:t>
      </w:r>
      <w:r>
        <w:rPr>
          <w:rFonts w:hint="eastAsia" w:ascii="黑体" w:hAnsi="黑体" w:eastAsia="黑体"/>
          <w:sz w:val="32"/>
          <w:szCs w:val="32"/>
        </w:rPr>
        <w:t>总体情况说明</w:t>
      </w:r>
      <w:bookmarkEnd w:id="22"/>
      <w:bookmarkEnd w:id="23"/>
      <w:bookmarkEnd w:id="24"/>
    </w:p>
    <w:p>
      <w:pPr>
        <w:spacing w:line="600" w:lineRule="exact"/>
        <w:ind w:firstLine="640" w:firstLineChars="200"/>
        <w:rPr>
          <w:rFonts w:ascii="仿宋" w:hAnsi="仿宋" w:eastAsia="仿宋"/>
          <w:sz w:val="32"/>
          <w:szCs w:val="32"/>
        </w:rPr>
      </w:pPr>
      <w:r>
        <w:rPr>
          <w:rFonts w:hint="eastAsia" w:ascii="仿宋" w:hAnsi="仿宋" w:eastAsia="仿宋"/>
          <w:sz w:val="32"/>
          <w:szCs w:val="32"/>
        </w:rPr>
        <w:t>2021年度收、支总计1345.29万元。与2020年相比，收、支总计各增加237.45万元，增长21.43%。主要变动原因是经费调整，预算变动。</w:t>
      </w:r>
    </w:p>
    <w:p>
      <w:pPr>
        <w:pStyle w:val="3"/>
        <w:spacing w:before="93"/>
        <w:rPr>
          <w:rFonts w:ascii="仿宋" w:hAnsi="仿宋" w:eastAsia="仿宋"/>
          <w:sz w:val="32"/>
          <w:szCs w:val="32"/>
        </w:rPr>
      </w:pPr>
      <w:r>
        <w:rPr>
          <w:rFonts w:hint="eastAsia"/>
        </w:rPr>
        <w:drawing>
          <wp:inline distT="0" distB="0" distL="114300" distR="114300">
            <wp:extent cx="5080000" cy="3810000"/>
            <wp:effectExtent l="4445" t="4445" r="20955" b="14605"/>
            <wp:docPr id="751" name="_x0000_i319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spacing w:line="600" w:lineRule="exact"/>
        <w:ind w:firstLine="640" w:firstLineChars="200"/>
        <w:jc w:val="left"/>
        <w:rPr>
          <w:rFonts w:ascii="仿宋_GB2312" w:eastAsia="仿宋_GB2312"/>
          <w:sz w:val="32"/>
          <w:szCs w:val="32"/>
        </w:rPr>
      </w:pPr>
    </w:p>
    <w:p>
      <w:pPr>
        <w:pStyle w:val="28"/>
        <w:numPr>
          <w:ilvl w:val="0"/>
          <w:numId w:val="1"/>
        </w:numPr>
        <w:spacing w:line="600" w:lineRule="exact"/>
        <w:ind w:firstLineChars="0"/>
        <w:outlineLvl w:val="1"/>
        <w:rPr>
          <w:rStyle w:val="30"/>
          <w:rFonts w:ascii="黑体" w:hAnsi="黑体" w:eastAsia="黑体"/>
          <w:b w:val="0"/>
        </w:rPr>
      </w:pPr>
      <w:bookmarkStart w:id="25" w:name="_Toc15396604"/>
      <w:bookmarkStart w:id="26" w:name="_Toc15377206"/>
      <w:bookmarkStart w:id="27" w:name="_Toc6594"/>
      <w:r>
        <w:rPr>
          <w:rFonts w:hint="eastAsia" w:ascii="黑体" w:hAnsi="黑体" w:eastAsia="黑体"/>
          <w:sz w:val="32"/>
          <w:szCs w:val="32"/>
        </w:rPr>
        <w:t>收</w:t>
      </w:r>
      <w:r>
        <w:rPr>
          <w:rStyle w:val="30"/>
          <w:rFonts w:hint="eastAsia" w:ascii="黑体" w:hAnsi="黑体" w:eastAsia="黑体"/>
          <w:b w:val="0"/>
        </w:rPr>
        <w:t>入决算</w:t>
      </w:r>
      <w:r>
        <w:rPr>
          <w:rFonts w:hint="eastAsia" w:ascii="黑体" w:hAnsi="黑体" w:eastAsia="黑体"/>
        </w:rPr>
        <w:t>情况说明</w:t>
      </w:r>
      <w:bookmarkEnd w:id="25"/>
      <w:bookmarkEnd w:id="26"/>
      <w:bookmarkEnd w:id="27"/>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21年本年收入合计1345.29万元，其中：一般公共预算财政拨款收入1345.29万元，占100</w:t>
      </w:r>
      <w:r>
        <w:rPr>
          <w:rFonts w:ascii="仿宋" w:hAnsi="仿宋" w:eastAsia="仿宋"/>
          <w:sz w:val="32"/>
          <w:szCs w:val="32"/>
        </w:rPr>
        <w:t>%</w:t>
      </w:r>
      <w:r>
        <w:rPr>
          <w:rFonts w:hint="eastAsia" w:ascii="仿宋" w:hAnsi="仿宋" w:eastAsia="仿宋"/>
          <w:sz w:val="32"/>
          <w:szCs w:val="32"/>
        </w:rPr>
        <w:t>；政府性基金预算财政拨款收入0万元，占0</w:t>
      </w:r>
      <w:r>
        <w:rPr>
          <w:rFonts w:ascii="仿宋" w:hAnsi="仿宋" w:eastAsia="仿宋"/>
          <w:sz w:val="32"/>
          <w:szCs w:val="32"/>
        </w:rPr>
        <w:t>%</w:t>
      </w:r>
      <w:r>
        <w:rPr>
          <w:rFonts w:hint="eastAsia" w:ascii="仿宋" w:hAnsi="仿宋" w:eastAsia="仿宋"/>
          <w:sz w:val="32"/>
          <w:szCs w:val="32"/>
        </w:rPr>
        <w:t>；国有资本经营预算的财政拨款收入0万元，占0</w:t>
      </w:r>
      <w:r>
        <w:rPr>
          <w:rFonts w:ascii="仿宋" w:hAnsi="仿宋" w:eastAsia="仿宋"/>
          <w:sz w:val="32"/>
          <w:szCs w:val="32"/>
        </w:rPr>
        <w:t>%</w:t>
      </w:r>
      <w:r>
        <w:rPr>
          <w:rFonts w:hint="eastAsia" w:ascii="仿宋" w:hAnsi="仿宋" w:eastAsia="仿宋"/>
          <w:sz w:val="32"/>
          <w:szCs w:val="32"/>
        </w:rPr>
        <w:t>；上级补助收入0万元，占0</w:t>
      </w:r>
      <w:r>
        <w:rPr>
          <w:rFonts w:ascii="仿宋" w:hAnsi="仿宋" w:eastAsia="仿宋"/>
          <w:sz w:val="32"/>
          <w:szCs w:val="32"/>
        </w:rPr>
        <w:t>%</w:t>
      </w:r>
      <w:r>
        <w:rPr>
          <w:rFonts w:hint="eastAsia" w:ascii="仿宋" w:hAnsi="仿宋" w:eastAsia="仿宋"/>
          <w:sz w:val="32"/>
          <w:szCs w:val="32"/>
        </w:rPr>
        <w:t>；事业收入0万元，占0</w:t>
      </w:r>
      <w:r>
        <w:rPr>
          <w:rFonts w:ascii="仿宋" w:hAnsi="仿宋" w:eastAsia="仿宋"/>
          <w:sz w:val="32"/>
          <w:szCs w:val="32"/>
        </w:rPr>
        <w:t>%</w:t>
      </w:r>
      <w:r>
        <w:rPr>
          <w:rFonts w:hint="eastAsia" w:ascii="仿宋" w:hAnsi="仿宋" w:eastAsia="仿宋"/>
          <w:sz w:val="32"/>
          <w:szCs w:val="32"/>
        </w:rPr>
        <w:t>；经营收入0万元，占比0</w:t>
      </w:r>
      <w:r>
        <w:rPr>
          <w:rFonts w:ascii="仿宋" w:hAnsi="仿宋" w:eastAsia="仿宋"/>
          <w:sz w:val="32"/>
          <w:szCs w:val="32"/>
        </w:rPr>
        <w:t>%</w:t>
      </w:r>
      <w:r>
        <w:rPr>
          <w:rFonts w:hint="eastAsia" w:ascii="仿宋" w:hAnsi="仿宋" w:eastAsia="仿宋"/>
          <w:sz w:val="32"/>
          <w:szCs w:val="32"/>
        </w:rPr>
        <w:t>；附属单位上缴收入0万元，占0</w:t>
      </w:r>
      <w:r>
        <w:rPr>
          <w:rFonts w:ascii="仿宋" w:hAnsi="仿宋" w:eastAsia="仿宋"/>
          <w:sz w:val="32"/>
          <w:szCs w:val="32"/>
        </w:rPr>
        <w:t>%</w:t>
      </w:r>
      <w:r>
        <w:rPr>
          <w:rFonts w:hint="eastAsia" w:ascii="仿宋" w:hAnsi="仿宋" w:eastAsia="仿宋"/>
          <w:sz w:val="32"/>
          <w:szCs w:val="32"/>
        </w:rPr>
        <w:t>；其他收入0万元，占0</w:t>
      </w:r>
      <w:r>
        <w:rPr>
          <w:rFonts w:ascii="仿宋" w:hAnsi="仿宋" w:eastAsia="仿宋"/>
          <w:sz w:val="32"/>
          <w:szCs w:val="32"/>
        </w:rPr>
        <w:t>%</w:t>
      </w:r>
      <w:r>
        <w:rPr>
          <w:rFonts w:hint="eastAsia" w:ascii="仿宋" w:hAnsi="仿宋" w:eastAsia="仿宋"/>
          <w:sz w:val="32"/>
          <w:szCs w:val="32"/>
        </w:rPr>
        <w:t>。</w:t>
      </w:r>
    </w:p>
    <w:p>
      <w:pPr>
        <w:pStyle w:val="3"/>
        <w:spacing w:before="93"/>
        <w:rPr>
          <w:rFonts w:ascii="仿宋" w:hAnsi="仿宋" w:eastAsia="仿宋"/>
          <w:sz w:val="32"/>
          <w:szCs w:val="32"/>
        </w:rPr>
      </w:pPr>
      <w:r>
        <w:rPr>
          <w:rFonts w:hint="eastAsia"/>
        </w:rPr>
        <w:drawing>
          <wp:inline distT="0" distB="0" distL="114300" distR="114300">
            <wp:extent cx="5080000" cy="3810000"/>
            <wp:effectExtent l="4445" t="4445" r="20955" b="14605"/>
            <wp:docPr id="752" name="_x0000_i319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（图2：收入决算结构图）（饼状图）</w:t>
      </w:r>
    </w:p>
    <w:p>
      <w:pPr>
        <w:spacing w:line="600" w:lineRule="exact"/>
        <w:ind w:firstLine="640" w:firstLineChars="200"/>
        <w:rPr>
          <w:rFonts w:ascii="仿宋_GB2312" w:eastAsia="仿宋_GB2312"/>
          <w:sz w:val="32"/>
          <w:szCs w:val="32"/>
        </w:rPr>
      </w:pPr>
    </w:p>
    <w:p>
      <w:pPr>
        <w:pStyle w:val="28"/>
        <w:numPr>
          <w:ilvl w:val="0"/>
          <w:numId w:val="1"/>
        </w:numPr>
        <w:spacing w:line="600" w:lineRule="exact"/>
        <w:ind w:firstLineChars="0"/>
        <w:outlineLvl w:val="1"/>
        <w:rPr>
          <w:rStyle w:val="30"/>
          <w:rFonts w:ascii="黑体" w:hAnsi="黑体" w:eastAsia="黑体"/>
          <w:b w:val="0"/>
        </w:rPr>
      </w:pPr>
      <w:bookmarkStart w:id="28" w:name="_Toc15377207"/>
      <w:bookmarkStart w:id="29" w:name="_Toc22543"/>
      <w:bookmarkStart w:id="30" w:name="_Toc15396605"/>
      <w:r>
        <w:rPr>
          <w:rFonts w:hint="eastAsia" w:ascii="黑体" w:hAnsi="黑体" w:eastAsia="黑体"/>
          <w:sz w:val="32"/>
          <w:szCs w:val="32"/>
        </w:rPr>
        <w:t>支</w:t>
      </w:r>
      <w:r>
        <w:rPr>
          <w:rStyle w:val="30"/>
          <w:rFonts w:hint="eastAsia" w:ascii="黑体" w:hAnsi="黑体" w:eastAsia="黑体"/>
          <w:b w:val="0"/>
        </w:rPr>
        <w:t>出决算</w:t>
      </w:r>
      <w:r>
        <w:rPr>
          <w:rFonts w:hint="eastAsia" w:ascii="黑体" w:hAnsi="黑体" w:eastAsia="黑体"/>
          <w:sz w:val="32"/>
          <w:szCs w:val="32"/>
        </w:rPr>
        <w:t>情况说明</w:t>
      </w:r>
      <w:bookmarkEnd w:id="28"/>
      <w:bookmarkEnd w:id="29"/>
      <w:bookmarkEnd w:id="30"/>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21年本年支出合计1345.29万元，其中：基本支出749.32万元，占55.7</w:t>
      </w:r>
      <w:r>
        <w:rPr>
          <w:rFonts w:ascii="仿宋" w:hAnsi="仿宋" w:eastAsia="仿宋"/>
          <w:sz w:val="32"/>
          <w:szCs w:val="32"/>
        </w:rPr>
        <w:t>%</w:t>
      </w:r>
      <w:r>
        <w:rPr>
          <w:rFonts w:hint="eastAsia" w:ascii="仿宋" w:hAnsi="仿宋" w:eastAsia="仿宋"/>
          <w:sz w:val="32"/>
          <w:szCs w:val="32"/>
        </w:rPr>
        <w:t>；项目支出595.97万元，占44.3</w:t>
      </w:r>
      <w:r>
        <w:rPr>
          <w:rFonts w:ascii="仿宋" w:hAnsi="仿宋" w:eastAsia="仿宋"/>
          <w:sz w:val="32"/>
          <w:szCs w:val="32"/>
        </w:rPr>
        <w:t>%</w:t>
      </w:r>
      <w:r>
        <w:rPr>
          <w:rFonts w:hint="eastAsia" w:ascii="仿宋" w:hAnsi="仿宋" w:eastAsia="仿宋"/>
          <w:sz w:val="32"/>
          <w:szCs w:val="32"/>
        </w:rPr>
        <w:t>；上缴上级支出0万元，占0</w:t>
      </w:r>
      <w:r>
        <w:rPr>
          <w:rFonts w:ascii="仿宋" w:hAnsi="仿宋" w:eastAsia="仿宋"/>
          <w:sz w:val="32"/>
          <w:szCs w:val="32"/>
        </w:rPr>
        <w:t>%</w:t>
      </w:r>
      <w:r>
        <w:rPr>
          <w:rFonts w:hint="eastAsia" w:ascii="仿宋" w:hAnsi="仿宋" w:eastAsia="仿宋"/>
          <w:sz w:val="32"/>
          <w:szCs w:val="32"/>
        </w:rPr>
        <w:t>；经营支出0万元，占0</w:t>
      </w:r>
      <w:r>
        <w:rPr>
          <w:rFonts w:ascii="仿宋" w:hAnsi="仿宋" w:eastAsia="仿宋"/>
          <w:sz w:val="32"/>
          <w:szCs w:val="32"/>
        </w:rPr>
        <w:t>%</w:t>
      </w:r>
      <w:r>
        <w:rPr>
          <w:rFonts w:hint="eastAsia" w:ascii="仿宋" w:hAnsi="仿宋" w:eastAsia="仿宋"/>
          <w:sz w:val="32"/>
          <w:szCs w:val="32"/>
        </w:rPr>
        <w:t>；对附属单位补助支出0万元，占0</w:t>
      </w:r>
      <w:r>
        <w:rPr>
          <w:rFonts w:ascii="仿宋" w:hAnsi="仿宋" w:eastAsia="仿宋"/>
          <w:sz w:val="32"/>
          <w:szCs w:val="32"/>
        </w:rPr>
        <w:t>%</w:t>
      </w:r>
      <w:r>
        <w:rPr>
          <w:rFonts w:hint="eastAsia" w:ascii="仿宋" w:hAnsi="仿宋" w:eastAsia="仿宋"/>
          <w:sz w:val="32"/>
          <w:szCs w:val="32"/>
        </w:rPr>
        <w:t>。</w:t>
      </w:r>
    </w:p>
    <w:p>
      <w:pPr>
        <w:pStyle w:val="3"/>
        <w:spacing w:before="93"/>
        <w:rPr>
          <w:rFonts w:ascii="仿宋" w:hAnsi="仿宋" w:eastAsia="仿宋"/>
          <w:sz w:val="32"/>
          <w:szCs w:val="32"/>
          <w:shd w:val="pct10" w:color="auto" w:fill="FFFFFF"/>
        </w:rPr>
      </w:pPr>
      <w:r>
        <w:rPr>
          <w:rFonts w:hint="eastAsia" w:ascii="仿宋" w:hAnsi="仿宋" w:eastAsia="仿宋"/>
          <w:sz w:val="32"/>
          <w:szCs w:val="32"/>
          <w:shd w:val="pct10" w:color="auto" w:fill="FFFFFF"/>
        </w:rPr>
        <w:drawing>
          <wp:inline distT="0" distB="0" distL="114300" distR="114300">
            <wp:extent cx="5080000" cy="3810000"/>
            <wp:effectExtent l="4445" t="4445" r="20955" b="14605"/>
            <wp:docPr id="753" name="_x0000_i319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（图3：支出决算结构图）（饼状图）</w:t>
      </w:r>
    </w:p>
    <w:p>
      <w:pPr>
        <w:spacing w:line="600" w:lineRule="exact"/>
        <w:ind w:firstLine="640" w:firstLineChars="200"/>
        <w:rPr>
          <w:rFonts w:ascii="仿宋_GB2312" w:eastAsia="仿宋_GB2312"/>
          <w:sz w:val="32"/>
          <w:szCs w:val="32"/>
        </w:rPr>
      </w:pPr>
    </w:p>
    <w:p>
      <w:pPr>
        <w:spacing w:line="600" w:lineRule="exact"/>
        <w:ind w:firstLine="640" w:firstLineChars="200"/>
        <w:outlineLvl w:val="1"/>
        <w:rPr>
          <w:rStyle w:val="30"/>
          <w:rFonts w:ascii="黑体" w:hAnsi="黑体" w:eastAsia="黑体"/>
          <w:b w:val="0"/>
        </w:rPr>
      </w:pPr>
      <w:bookmarkStart w:id="31" w:name="_Toc15396606"/>
      <w:bookmarkStart w:id="32" w:name="_Toc21686"/>
      <w:bookmarkStart w:id="33" w:name="_Toc15377208"/>
      <w:r>
        <w:rPr>
          <w:rFonts w:hint="eastAsia" w:ascii="黑体" w:hAnsi="黑体" w:eastAsia="黑体"/>
          <w:sz w:val="32"/>
          <w:szCs w:val="32"/>
        </w:rPr>
        <w:t>四、财</w:t>
      </w:r>
      <w:r>
        <w:rPr>
          <w:rStyle w:val="30"/>
          <w:rFonts w:hint="eastAsia" w:ascii="黑体" w:hAnsi="黑体" w:eastAsia="黑体"/>
          <w:b w:val="0"/>
        </w:rPr>
        <w:t>政拨款收入支出决算</w:t>
      </w:r>
      <w:r>
        <w:rPr>
          <w:rFonts w:hint="eastAsia" w:ascii="黑体" w:hAnsi="黑体" w:eastAsia="黑体"/>
          <w:sz w:val="32"/>
          <w:szCs w:val="32"/>
        </w:rPr>
        <w:t>总体情况说明</w:t>
      </w:r>
      <w:bookmarkEnd w:id="31"/>
      <w:bookmarkEnd w:id="32"/>
      <w:bookmarkEnd w:id="33"/>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21年财政拨款收、支总计1345.29万元。与</w:t>
      </w:r>
      <w:r>
        <w:rPr>
          <w:rFonts w:ascii="仿宋" w:hAnsi="仿宋" w:eastAsia="仿宋"/>
          <w:sz w:val="32"/>
          <w:szCs w:val="32"/>
        </w:rPr>
        <w:t>20</w:t>
      </w:r>
      <w:r>
        <w:rPr>
          <w:rFonts w:hint="eastAsia" w:ascii="仿宋" w:hAnsi="仿宋" w:eastAsia="仿宋"/>
          <w:sz w:val="32"/>
          <w:szCs w:val="32"/>
        </w:rPr>
        <w:t>20年相比，财政拨款收、支总计各增加237.45万元，增长21.43</w:t>
      </w:r>
      <w:r>
        <w:rPr>
          <w:rFonts w:ascii="仿宋" w:hAnsi="仿宋" w:eastAsia="仿宋"/>
          <w:sz w:val="32"/>
          <w:szCs w:val="32"/>
        </w:rPr>
        <w:t>%</w:t>
      </w:r>
      <w:r>
        <w:rPr>
          <w:rFonts w:hint="eastAsia" w:ascii="仿宋" w:hAnsi="仿宋" w:eastAsia="仿宋"/>
          <w:sz w:val="32"/>
          <w:szCs w:val="32"/>
        </w:rPr>
        <w:t>。主要变动原因是经费调整，预算变动。</w:t>
      </w:r>
    </w:p>
    <w:p>
      <w:pPr>
        <w:pStyle w:val="3"/>
        <w:spacing w:before="93"/>
        <w:rPr>
          <w:rFonts w:ascii="仿宋" w:hAnsi="仿宋" w:eastAsia="仿宋"/>
          <w:b/>
          <w:sz w:val="32"/>
          <w:szCs w:val="32"/>
        </w:rPr>
      </w:pPr>
    </w:p>
    <w:p>
      <w:pPr>
        <w:pStyle w:val="3"/>
        <w:spacing w:before="93"/>
        <w:rPr>
          <w:rFonts w:ascii="仿宋" w:hAnsi="仿宋" w:eastAsia="仿宋"/>
          <w:b/>
          <w:sz w:val="32"/>
          <w:szCs w:val="32"/>
        </w:rPr>
      </w:pPr>
      <w:r>
        <w:rPr>
          <w:rFonts w:hint="eastAsia" w:ascii="仿宋" w:hAnsi="仿宋" w:eastAsia="仿宋"/>
          <w:sz w:val="32"/>
          <w:szCs w:val="32"/>
        </w:rPr>
        <w:drawing>
          <wp:inline distT="0" distB="0" distL="114300" distR="114300">
            <wp:extent cx="5080000" cy="3810000"/>
            <wp:effectExtent l="4445" t="4445" r="20955" b="14605"/>
            <wp:docPr id="754" name="_x0000_i319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（图4：财政拨款收、支决算总计变动情况）（柱状图）</w:t>
      </w:r>
    </w:p>
    <w:p>
      <w:pPr>
        <w:spacing w:line="600" w:lineRule="exact"/>
        <w:ind w:firstLine="640"/>
        <w:rPr>
          <w:rFonts w:ascii="仿宋" w:hAnsi="仿宋" w:eastAsia="仿宋"/>
          <w:b/>
          <w:sz w:val="32"/>
          <w:szCs w:val="32"/>
        </w:rPr>
      </w:pPr>
    </w:p>
    <w:p>
      <w:pPr>
        <w:spacing w:line="600" w:lineRule="exact"/>
        <w:ind w:firstLine="640" w:firstLineChars="200"/>
        <w:outlineLvl w:val="1"/>
        <w:rPr>
          <w:rStyle w:val="30"/>
          <w:rFonts w:ascii="黑体" w:hAnsi="黑体" w:eastAsia="黑体"/>
          <w:b w:val="0"/>
        </w:rPr>
      </w:pPr>
      <w:bookmarkStart w:id="34" w:name="_Toc15377209"/>
      <w:bookmarkStart w:id="35" w:name="_Toc27339"/>
      <w:bookmarkStart w:id="36" w:name="_Toc15396607"/>
      <w:r>
        <w:rPr>
          <w:rFonts w:hint="eastAsia" w:ascii="黑体" w:hAnsi="黑体" w:eastAsia="黑体"/>
          <w:sz w:val="32"/>
          <w:szCs w:val="32"/>
        </w:rPr>
        <w:t>五、</w:t>
      </w:r>
      <w:r>
        <w:rPr>
          <w:rFonts w:hint="eastAsia" w:ascii="黑体" w:hAnsi="黑体" w:eastAsia="黑体"/>
          <w:b/>
          <w:sz w:val="32"/>
          <w:szCs w:val="32"/>
        </w:rPr>
        <w:t>一</w:t>
      </w:r>
      <w:r>
        <w:rPr>
          <w:rStyle w:val="30"/>
          <w:rFonts w:hint="eastAsia" w:ascii="黑体" w:hAnsi="黑体" w:eastAsia="黑体"/>
          <w:b w:val="0"/>
        </w:rPr>
        <w:t>般公共预算</w:t>
      </w:r>
      <w:r>
        <w:rPr>
          <w:rFonts w:hint="eastAsia" w:ascii="黑体" w:hAnsi="黑体" w:eastAsia="黑体"/>
          <w:sz w:val="32"/>
          <w:szCs w:val="32"/>
        </w:rPr>
        <w:t>财政拨款支出决算情况说明</w:t>
      </w:r>
      <w:bookmarkEnd w:id="34"/>
      <w:bookmarkEnd w:id="35"/>
      <w:bookmarkEnd w:id="36"/>
    </w:p>
    <w:p>
      <w:pPr>
        <w:spacing w:line="600" w:lineRule="exact"/>
        <w:ind w:firstLine="643" w:firstLineChars="200"/>
        <w:outlineLvl w:val="2"/>
        <w:rPr>
          <w:rFonts w:ascii="仿宋" w:hAnsi="仿宋" w:eastAsia="仿宋"/>
          <w:b/>
          <w:sz w:val="32"/>
          <w:szCs w:val="32"/>
        </w:rPr>
      </w:pPr>
      <w:bookmarkStart w:id="37" w:name="_Toc15377210"/>
      <w:r>
        <w:rPr>
          <w:rFonts w:hint="eastAsia" w:ascii="仿宋" w:hAnsi="仿宋" w:eastAsia="仿宋"/>
          <w:b/>
          <w:sz w:val="32"/>
          <w:szCs w:val="32"/>
        </w:rPr>
        <w:t>（一）一般公共预算财政拨款支出决算总体情况</w:t>
      </w:r>
      <w:bookmarkEnd w:id="37"/>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21年一般公共预算财政拨款支出1345.29万元，占本年支出合计的100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20年相比，一般公共预算财政拨款支出增加237.45万元，增长21.43</w:t>
      </w:r>
      <w:r>
        <w:rPr>
          <w:rFonts w:ascii="仿宋" w:hAnsi="仿宋" w:eastAsia="仿宋"/>
          <w:sz w:val="32"/>
          <w:szCs w:val="32"/>
        </w:rPr>
        <w:t>%</w:t>
      </w:r>
      <w:r>
        <w:rPr>
          <w:rFonts w:hint="eastAsia" w:ascii="仿宋" w:hAnsi="仿宋" w:eastAsia="仿宋"/>
          <w:sz w:val="32"/>
          <w:szCs w:val="32"/>
        </w:rPr>
        <w:t>。主要变动原因是经费调整，预算变动。</w:t>
      </w:r>
    </w:p>
    <w:p>
      <w:pPr>
        <w:spacing w:line="600" w:lineRule="exact"/>
        <w:ind w:firstLine="640" w:firstLineChars="200"/>
        <w:rPr>
          <w:rFonts w:ascii="仿宋" w:hAnsi="仿宋" w:eastAsia="仿宋"/>
          <w:sz w:val="32"/>
          <w:szCs w:val="32"/>
        </w:rPr>
      </w:pPr>
    </w:p>
    <w:p>
      <w:pPr>
        <w:pStyle w:val="3"/>
        <w:spacing w:before="93"/>
        <w:rPr>
          <w:rFonts w:ascii="仿宋" w:hAnsi="仿宋" w:eastAsia="仿宋"/>
          <w:sz w:val="32"/>
          <w:szCs w:val="32"/>
        </w:rPr>
      </w:pPr>
    </w:p>
    <w:p>
      <w:pPr>
        <w:pStyle w:val="3"/>
        <w:spacing w:before="93"/>
        <w:rPr>
          <w:rFonts w:ascii="仿宋" w:hAnsi="仿宋" w:eastAsia="仿宋"/>
          <w:sz w:val="32"/>
          <w:szCs w:val="32"/>
        </w:rPr>
      </w:pPr>
    </w:p>
    <w:p>
      <w:pPr>
        <w:pStyle w:val="3"/>
        <w:spacing w:before="93"/>
        <w:rPr>
          <w:rFonts w:ascii="仿宋" w:hAnsi="仿宋" w:eastAsia="仿宋"/>
          <w:sz w:val="32"/>
          <w:szCs w:val="32"/>
        </w:rPr>
      </w:pPr>
      <w:r>
        <w:rPr>
          <w:rFonts w:hint="eastAsia" w:ascii="仿宋" w:hAnsi="仿宋" w:eastAsia="仿宋"/>
          <w:sz w:val="32"/>
          <w:szCs w:val="32"/>
        </w:rPr>
        <w:drawing>
          <wp:inline distT="0" distB="0" distL="114300" distR="114300">
            <wp:extent cx="5080000" cy="3810000"/>
            <wp:effectExtent l="4445" t="4445" r="20955" b="14605"/>
            <wp:docPr id="755" name="_x0000_i319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（图5：一般公共预算财政拨款支出决算变动情况）（柱状图）</w:t>
      </w:r>
    </w:p>
    <w:p>
      <w:pPr>
        <w:spacing w:line="600" w:lineRule="exact"/>
        <w:ind w:firstLine="640" w:firstLineChars="200"/>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38" w:name="_Toc15377211"/>
      <w:r>
        <w:rPr>
          <w:rFonts w:hint="eastAsia" w:ascii="仿宋" w:hAnsi="仿宋" w:eastAsia="仿宋"/>
          <w:b/>
          <w:sz w:val="32"/>
          <w:szCs w:val="32"/>
        </w:rPr>
        <w:t>（二）一般公共预算财政拨款支出决算结构情况</w:t>
      </w:r>
      <w:bookmarkEnd w:id="38"/>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21年一般公共预算财政拨款支出1345.29万元，主要用于以下方面</w:t>
      </w:r>
      <w:r>
        <w:t>：</w:t>
      </w:r>
      <w:r>
        <w:rPr>
          <w:rFonts w:hint="eastAsia" w:ascii="仿宋" w:hAnsi="仿宋" w:eastAsia="仿宋"/>
          <w:b/>
          <w:sz w:val="32"/>
          <w:szCs w:val="32"/>
        </w:rPr>
        <w:t>一般公共服务（类）</w:t>
      </w:r>
      <w:r>
        <w:rPr>
          <w:rFonts w:hint="eastAsia" w:ascii="仿宋" w:hAnsi="仿宋" w:eastAsia="仿宋"/>
          <w:sz w:val="32"/>
          <w:szCs w:val="32"/>
        </w:rPr>
        <w:t>支出510.09万元，占37.92</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教育支出（类）</w:t>
      </w:r>
      <w:r>
        <w:rPr>
          <w:rFonts w:hint="eastAsia" w:ascii="仿宋" w:hAnsi="仿宋" w:eastAsia="仿宋"/>
          <w:sz w:val="32"/>
          <w:szCs w:val="32"/>
        </w:rPr>
        <w:t>0万元，占0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科学技术（类）</w:t>
      </w:r>
      <w:r>
        <w:rPr>
          <w:rFonts w:hint="eastAsia" w:ascii="仿宋" w:hAnsi="仿宋" w:eastAsia="仿宋"/>
          <w:sz w:val="32"/>
          <w:szCs w:val="32"/>
        </w:rPr>
        <w:t>支出0万元，占0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文化旅游体育与传媒（类）支出4万元，占0.3</w:t>
      </w:r>
      <w:r>
        <w:rPr>
          <w:rFonts w:ascii="仿宋" w:hAnsi="仿宋" w:eastAsia="仿宋"/>
          <w:b/>
          <w:bCs/>
          <w:sz w:val="32"/>
          <w:szCs w:val="32"/>
        </w:rPr>
        <w:t>%</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支出72.87万元，占5.42</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rPr>
        <w:t>27.81万元，占比2.07</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住房保障（类）</w:t>
      </w:r>
      <w:r>
        <w:rPr>
          <w:rFonts w:hint="eastAsia" w:ascii="仿宋" w:hAnsi="仿宋" w:eastAsia="仿宋"/>
          <w:sz w:val="32"/>
          <w:szCs w:val="32"/>
        </w:rPr>
        <w:t>支出185.27万元，占13.77</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农林水（类）</w:t>
      </w:r>
      <w:r>
        <w:rPr>
          <w:rFonts w:hint="eastAsia" w:ascii="仿宋" w:hAnsi="仿宋" w:eastAsia="仿宋"/>
          <w:sz w:val="32"/>
          <w:szCs w:val="32"/>
        </w:rPr>
        <w:t>支出537.25万元，占39.94%；</w:t>
      </w:r>
      <w:r>
        <w:rPr>
          <w:rFonts w:hint="eastAsia" w:ascii="仿宋" w:hAnsi="仿宋" w:eastAsia="仿宋"/>
          <w:b/>
          <w:sz w:val="32"/>
          <w:szCs w:val="32"/>
        </w:rPr>
        <w:t>交通运输（类）</w:t>
      </w:r>
      <w:r>
        <w:rPr>
          <w:rFonts w:hint="eastAsia" w:ascii="仿宋" w:hAnsi="仿宋" w:eastAsia="仿宋"/>
          <w:sz w:val="32"/>
          <w:szCs w:val="32"/>
        </w:rPr>
        <w:t>支出</w:t>
      </w:r>
      <w:r>
        <w:rPr>
          <w:rFonts w:hint="eastAsia" w:ascii="仿宋" w:hAnsi="仿宋" w:eastAsia="仿宋"/>
          <w:b/>
          <w:sz w:val="32"/>
          <w:szCs w:val="32"/>
        </w:rPr>
        <w:t>8万元，</w:t>
      </w:r>
      <w:r>
        <w:rPr>
          <w:rFonts w:hint="eastAsia" w:ascii="仿宋" w:hAnsi="仿宋" w:eastAsia="仿宋"/>
          <w:sz w:val="32"/>
          <w:szCs w:val="32"/>
        </w:rPr>
        <w:t>占0.59%。</w:t>
      </w:r>
    </w:p>
    <w:p>
      <w:pPr>
        <w:pStyle w:val="3"/>
        <w:spacing w:before="93"/>
        <w:rPr>
          <w:rFonts w:ascii="仿宋" w:hAnsi="仿宋" w:eastAsia="仿宋"/>
          <w:sz w:val="32"/>
          <w:szCs w:val="32"/>
        </w:rPr>
      </w:pPr>
      <w:r>
        <w:rPr>
          <w:rFonts w:hint="eastAsia" w:ascii="仿宋" w:hAnsi="仿宋" w:eastAsia="仿宋"/>
          <w:sz w:val="32"/>
          <w:szCs w:val="32"/>
        </w:rPr>
        <w:drawing>
          <wp:inline distT="0" distB="0" distL="114300" distR="114300">
            <wp:extent cx="6031230" cy="3858895"/>
            <wp:effectExtent l="4445" t="4445" r="22225" b="22860"/>
            <wp:docPr id="756" name="_x0000_i319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（图6：一般公共预算财政拨款支出决算结构）（饼状图）</w:t>
      </w:r>
    </w:p>
    <w:p>
      <w:pPr>
        <w:spacing w:line="600" w:lineRule="exact"/>
        <w:ind w:firstLine="640" w:firstLineChars="200"/>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39" w:name="_Toc15377212"/>
      <w:r>
        <w:rPr>
          <w:rFonts w:hint="eastAsia" w:ascii="仿宋" w:hAnsi="仿宋" w:eastAsia="仿宋"/>
          <w:b/>
          <w:sz w:val="32"/>
          <w:szCs w:val="32"/>
        </w:rPr>
        <w:t>（三）一般公共预算财政拨款支出决算具体情况</w:t>
      </w:r>
      <w:bookmarkEnd w:id="39"/>
    </w:p>
    <w:p>
      <w:pPr>
        <w:spacing w:line="600" w:lineRule="exact"/>
        <w:ind w:firstLine="643" w:firstLineChars="200"/>
        <w:outlineLvl w:val="2"/>
        <w:rPr>
          <w:rFonts w:ascii="仿宋" w:hAnsi="仿宋" w:eastAsia="仿宋"/>
          <w:sz w:val="32"/>
          <w:szCs w:val="32"/>
        </w:rPr>
      </w:pPr>
      <w:bookmarkStart w:id="40" w:name="_Toc15377213"/>
      <w:bookmarkStart w:id="41" w:name="_Toc15377444"/>
      <w:bookmarkStart w:id="42" w:name="_Toc15378460"/>
      <w:r>
        <w:rPr>
          <w:rFonts w:hint="eastAsia" w:ascii="仿宋" w:hAnsi="仿宋" w:eastAsia="仿宋"/>
          <w:b/>
          <w:sz w:val="32"/>
          <w:szCs w:val="32"/>
        </w:rPr>
        <w:t>2021年一般公共预算支出决算数为1345.29</w:t>
      </w:r>
      <w:r>
        <w:rPr>
          <w:rFonts w:hint="eastAsia" w:ascii="仿宋" w:hAnsi="仿宋" w:eastAsia="仿宋"/>
          <w:sz w:val="32"/>
          <w:szCs w:val="32"/>
        </w:rPr>
        <w:t>，</w:t>
      </w:r>
      <w:r>
        <w:rPr>
          <w:rStyle w:val="10"/>
          <w:rFonts w:hint="eastAsia" w:ascii="仿宋" w:hAnsi="仿宋" w:eastAsia="仿宋"/>
          <w:bCs/>
          <w:sz w:val="32"/>
          <w:szCs w:val="32"/>
        </w:rPr>
        <w:t>完成预算的</w:t>
      </w:r>
      <w:r>
        <w:rPr>
          <w:rFonts w:hint="eastAsia" w:ascii="仿宋" w:hAnsi="仿宋" w:eastAsia="仿宋"/>
          <w:bCs/>
          <w:sz w:val="32"/>
          <w:szCs w:val="32"/>
        </w:rPr>
        <w:t>100%</w:t>
      </w:r>
      <w:r>
        <w:rPr>
          <w:rStyle w:val="10"/>
          <w:rFonts w:hint="eastAsia" w:ascii="仿宋" w:hAnsi="仿宋" w:eastAsia="仿宋"/>
          <w:bCs/>
          <w:sz w:val="32"/>
          <w:szCs w:val="32"/>
        </w:rPr>
        <w:t>。其中：</w:t>
      </w:r>
      <w:bookmarkEnd w:id="40"/>
      <w:bookmarkEnd w:id="41"/>
      <w:bookmarkEnd w:id="42"/>
    </w:p>
    <w:p>
      <w:pPr>
        <w:spacing w:line="600" w:lineRule="exact"/>
        <w:ind w:firstLine="643" w:firstLineChars="200"/>
        <w:rPr>
          <w:rFonts w:ascii="仿宋" w:hAnsi="仿宋" w:eastAsia="仿宋"/>
          <w:b/>
          <w:sz w:val="32"/>
          <w:szCs w:val="32"/>
        </w:rPr>
      </w:pPr>
      <w:r>
        <w:rPr>
          <w:rStyle w:val="10"/>
          <w:rFonts w:ascii="仿宋" w:hAnsi="仿宋" w:eastAsia="仿宋"/>
          <w:bCs/>
          <w:sz w:val="32"/>
          <w:szCs w:val="32"/>
        </w:rPr>
        <w:t>1.</w:t>
      </w:r>
      <w:r>
        <w:rPr>
          <w:rStyle w:val="10"/>
          <w:rFonts w:hint="eastAsia" w:ascii="仿宋" w:hAnsi="仿宋" w:eastAsia="仿宋"/>
          <w:bCs/>
          <w:sz w:val="32"/>
          <w:szCs w:val="32"/>
        </w:rPr>
        <w:t>一般公共服务（类）</w:t>
      </w:r>
      <w:r>
        <w:rPr>
          <w:rFonts w:hint="eastAsia" w:ascii="仿宋" w:hAnsi="仿宋" w:eastAsia="仿宋"/>
          <w:bCs/>
          <w:sz w:val="32"/>
          <w:szCs w:val="32"/>
        </w:rPr>
        <w:t>政府办公厅（室）及相关机构事务（款）行政运行（项）</w:t>
      </w:r>
      <w:r>
        <w:rPr>
          <w:rStyle w:val="10"/>
          <w:rFonts w:ascii="仿宋" w:hAnsi="仿宋" w:eastAsia="仿宋"/>
          <w:bCs/>
          <w:sz w:val="32"/>
          <w:szCs w:val="32"/>
        </w:rPr>
        <w:t>:</w:t>
      </w:r>
      <w:r>
        <w:rPr>
          <w:rStyle w:val="10"/>
          <w:rFonts w:hint="eastAsia" w:ascii="仿宋" w:hAnsi="仿宋" w:eastAsia="仿宋"/>
          <w:b w:val="0"/>
          <w:bCs/>
          <w:sz w:val="32"/>
          <w:szCs w:val="32"/>
        </w:rPr>
        <w:t>支出决算</w:t>
      </w:r>
      <w:r>
        <w:rPr>
          <w:rFonts w:hint="eastAsia" w:ascii="仿宋" w:hAnsi="仿宋" w:eastAsia="仿宋"/>
          <w:bCs/>
          <w:sz w:val="32"/>
          <w:szCs w:val="32"/>
        </w:rPr>
        <w:t>为317.76万元，</w:t>
      </w:r>
      <w:r>
        <w:rPr>
          <w:rStyle w:val="10"/>
          <w:rFonts w:hint="eastAsia" w:ascii="仿宋" w:hAnsi="仿宋" w:eastAsia="仿宋"/>
          <w:b w:val="0"/>
          <w:bCs/>
          <w:sz w:val="32"/>
          <w:szCs w:val="32"/>
        </w:rPr>
        <w:t>完成预算</w:t>
      </w:r>
      <w:r>
        <w:rPr>
          <w:rFonts w:hint="eastAsia" w:ascii="仿宋" w:hAnsi="仿宋" w:eastAsia="仿宋"/>
          <w:bCs/>
          <w:sz w:val="32"/>
          <w:szCs w:val="32"/>
        </w:rPr>
        <w:t>100%</w:t>
      </w:r>
      <w:r>
        <w:rPr>
          <w:rStyle w:val="10"/>
          <w:rFonts w:hint="eastAsia" w:ascii="仿宋" w:hAnsi="仿宋" w:eastAsia="仿宋"/>
          <w:b w:val="0"/>
          <w:bCs/>
          <w:sz w:val="32"/>
          <w:szCs w:val="32"/>
        </w:rPr>
        <w:t>，决算</w:t>
      </w:r>
      <w:r>
        <w:rPr>
          <w:rFonts w:hint="eastAsia" w:ascii="仿宋" w:hAnsi="仿宋" w:eastAsia="仿宋"/>
          <w:bCs/>
          <w:sz w:val="32"/>
          <w:szCs w:val="32"/>
        </w:rPr>
        <w:t>数等于预算数。</w:t>
      </w:r>
    </w:p>
    <w:p>
      <w:pPr>
        <w:ind w:firstLine="643" w:firstLineChars="200"/>
        <w:rPr>
          <w:rFonts w:ascii="仿宋" w:hAnsi="仿宋" w:eastAsia="仿宋"/>
          <w:b/>
          <w:sz w:val="32"/>
          <w:szCs w:val="32"/>
        </w:rPr>
      </w:pPr>
      <w:r>
        <w:rPr>
          <w:rStyle w:val="10"/>
          <w:rFonts w:hint="eastAsia" w:ascii="仿宋" w:hAnsi="仿宋" w:eastAsia="仿宋"/>
          <w:bCs/>
          <w:sz w:val="32"/>
          <w:szCs w:val="32"/>
        </w:rPr>
        <w:t>2</w:t>
      </w:r>
      <w:r>
        <w:rPr>
          <w:rStyle w:val="10"/>
          <w:rFonts w:ascii="仿宋" w:hAnsi="仿宋" w:eastAsia="仿宋"/>
          <w:bCs/>
          <w:sz w:val="32"/>
          <w:szCs w:val="32"/>
        </w:rPr>
        <w:t>.</w:t>
      </w:r>
      <w:r>
        <w:rPr>
          <w:rStyle w:val="10"/>
          <w:rFonts w:hint="eastAsia" w:ascii="仿宋" w:hAnsi="仿宋" w:eastAsia="仿宋"/>
          <w:bCs/>
          <w:sz w:val="32"/>
          <w:szCs w:val="32"/>
        </w:rPr>
        <w:t>文化体育与传媒（类）文化和旅游（款）其他文化和旅游支出（项）</w:t>
      </w:r>
      <w:r>
        <w:rPr>
          <w:rStyle w:val="10"/>
          <w:rFonts w:ascii="仿宋" w:hAnsi="仿宋" w:eastAsia="仿宋"/>
          <w:bCs/>
          <w:sz w:val="32"/>
          <w:szCs w:val="32"/>
        </w:rPr>
        <w:t>:</w:t>
      </w:r>
      <w:r>
        <w:rPr>
          <w:rStyle w:val="10"/>
          <w:rFonts w:hint="eastAsia" w:ascii="仿宋" w:hAnsi="仿宋" w:eastAsia="仿宋"/>
          <w:b w:val="0"/>
          <w:bCs/>
          <w:sz w:val="32"/>
          <w:szCs w:val="32"/>
        </w:rPr>
        <w:t>支出决算</w:t>
      </w:r>
      <w:r>
        <w:rPr>
          <w:rFonts w:hint="eastAsia" w:ascii="仿宋" w:hAnsi="仿宋" w:eastAsia="仿宋"/>
          <w:bCs/>
          <w:sz w:val="32"/>
          <w:szCs w:val="32"/>
        </w:rPr>
        <w:t>为</w:t>
      </w:r>
      <w:r>
        <w:rPr>
          <w:rStyle w:val="10"/>
          <w:rFonts w:hint="eastAsia" w:ascii="仿宋" w:hAnsi="仿宋" w:eastAsia="仿宋"/>
          <w:b w:val="0"/>
          <w:bCs/>
          <w:sz w:val="32"/>
          <w:szCs w:val="32"/>
        </w:rPr>
        <w:t>4万元，完成预算</w:t>
      </w:r>
      <w:r>
        <w:rPr>
          <w:rFonts w:hint="eastAsia" w:ascii="仿宋" w:hAnsi="仿宋" w:eastAsia="仿宋"/>
          <w:bCs/>
          <w:sz w:val="32"/>
          <w:szCs w:val="32"/>
        </w:rPr>
        <w:t>100%</w:t>
      </w:r>
      <w:r>
        <w:rPr>
          <w:rStyle w:val="10"/>
          <w:rFonts w:hint="eastAsia" w:ascii="仿宋" w:hAnsi="仿宋" w:eastAsia="仿宋"/>
          <w:b w:val="0"/>
          <w:bCs/>
          <w:sz w:val="32"/>
          <w:szCs w:val="32"/>
        </w:rPr>
        <w:t>，决算</w:t>
      </w:r>
      <w:r>
        <w:rPr>
          <w:rFonts w:hint="eastAsia" w:ascii="仿宋" w:hAnsi="仿宋" w:eastAsia="仿宋"/>
          <w:bCs/>
          <w:sz w:val="32"/>
          <w:szCs w:val="32"/>
        </w:rPr>
        <w:t>数等于预算数。</w:t>
      </w:r>
    </w:p>
    <w:p>
      <w:pPr>
        <w:spacing w:line="600" w:lineRule="exact"/>
        <w:ind w:firstLine="643" w:firstLineChars="200"/>
        <w:rPr>
          <w:rFonts w:ascii="仿宋" w:hAnsi="仿宋" w:eastAsia="仿宋"/>
          <w:b/>
          <w:sz w:val="32"/>
          <w:szCs w:val="32"/>
        </w:rPr>
      </w:pPr>
      <w:r>
        <w:rPr>
          <w:rStyle w:val="10"/>
          <w:rFonts w:hint="eastAsia" w:ascii="仿宋" w:hAnsi="仿宋" w:eastAsia="仿宋"/>
          <w:bCs/>
          <w:sz w:val="32"/>
          <w:szCs w:val="32"/>
        </w:rPr>
        <w:t>3</w:t>
      </w:r>
      <w:r>
        <w:rPr>
          <w:rStyle w:val="10"/>
          <w:rFonts w:ascii="仿宋" w:hAnsi="仿宋" w:eastAsia="仿宋"/>
          <w:bCs/>
          <w:sz w:val="32"/>
          <w:szCs w:val="32"/>
        </w:rPr>
        <w:t>.</w:t>
      </w:r>
      <w:r>
        <w:rPr>
          <w:rStyle w:val="10"/>
          <w:rFonts w:hint="eastAsia" w:ascii="仿宋" w:hAnsi="仿宋" w:eastAsia="仿宋"/>
          <w:bCs/>
          <w:sz w:val="32"/>
          <w:szCs w:val="32"/>
        </w:rPr>
        <w:t>社会保障</w:t>
      </w:r>
      <w:r>
        <w:rPr>
          <w:rFonts w:hint="eastAsia" w:ascii="仿宋" w:hAnsi="仿宋" w:eastAsia="仿宋"/>
          <w:bCs/>
          <w:sz w:val="32"/>
          <w:szCs w:val="32"/>
        </w:rPr>
        <w:t>和就业（类）行政事业单位养老（款）机关事业单位基本养老保险缴费（项）</w:t>
      </w:r>
      <w:r>
        <w:rPr>
          <w:rStyle w:val="10"/>
          <w:rFonts w:ascii="仿宋" w:hAnsi="仿宋" w:eastAsia="仿宋"/>
          <w:bCs/>
          <w:sz w:val="32"/>
          <w:szCs w:val="32"/>
        </w:rPr>
        <w:t>:</w:t>
      </w:r>
      <w:r>
        <w:rPr>
          <w:rStyle w:val="10"/>
          <w:rFonts w:hint="eastAsia" w:ascii="仿宋" w:hAnsi="仿宋" w:eastAsia="仿宋"/>
          <w:b w:val="0"/>
          <w:bCs/>
          <w:sz w:val="32"/>
          <w:szCs w:val="32"/>
        </w:rPr>
        <w:t>支出决算</w:t>
      </w:r>
      <w:r>
        <w:rPr>
          <w:rFonts w:hint="eastAsia" w:ascii="仿宋" w:hAnsi="仿宋" w:eastAsia="仿宋"/>
          <w:bCs/>
          <w:sz w:val="32"/>
          <w:szCs w:val="32"/>
        </w:rPr>
        <w:t>为43.84万元；</w:t>
      </w:r>
      <w:r>
        <w:rPr>
          <w:rStyle w:val="10"/>
          <w:rFonts w:hint="eastAsia" w:ascii="仿宋" w:hAnsi="仿宋" w:eastAsia="仿宋"/>
          <w:bCs/>
          <w:sz w:val="32"/>
          <w:szCs w:val="32"/>
        </w:rPr>
        <w:t>就业补助（款）</w:t>
      </w:r>
      <w:r>
        <w:rPr>
          <w:rFonts w:hint="eastAsia" w:ascii="仿宋" w:hAnsi="仿宋" w:eastAsia="仿宋"/>
          <w:bCs/>
          <w:sz w:val="32"/>
          <w:szCs w:val="32"/>
        </w:rPr>
        <w:t>公益性岗位补贴（项）</w:t>
      </w:r>
      <w:r>
        <w:rPr>
          <w:rStyle w:val="10"/>
          <w:rFonts w:ascii="仿宋" w:hAnsi="仿宋" w:eastAsia="仿宋"/>
          <w:bCs/>
          <w:sz w:val="32"/>
          <w:szCs w:val="32"/>
        </w:rPr>
        <w:t>:</w:t>
      </w:r>
      <w:r>
        <w:rPr>
          <w:rStyle w:val="10"/>
          <w:rFonts w:hint="eastAsia" w:ascii="仿宋" w:hAnsi="仿宋" w:eastAsia="仿宋"/>
          <w:b w:val="0"/>
          <w:bCs/>
          <w:sz w:val="32"/>
          <w:szCs w:val="32"/>
        </w:rPr>
        <w:t>支出决算</w:t>
      </w:r>
      <w:r>
        <w:rPr>
          <w:rFonts w:hint="eastAsia" w:ascii="仿宋" w:hAnsi="仿宋" w:eastAsia="仿宋"/>
          <w:bCs/>
          <w:sz w:val="32"/>
          <w:szCs w:val="32"/>
        </w:rPr>
        <w:t>23.31万元</w:t>
      </w:r>
      <w:r>
        <w:rPr>
          <w:rStyle w:val="10"/>
          <w:rFonts w:hint="eastAsia" w:ascii="仿宋" w:hAnsi="仿宋" w:eastAsia="仿宋"/>
          <w:b w:val="0"/>
          <w:bCs/>
          <w:sz w:val="32"/>
          <w:szCs w:val="32"/>
        </w:rPr>
        <w:t>；</w:t>
      </w:r>
      <w:r>
        <w:rPr>
          <w:rStyle w:val="10"/>
          <w:rFonts w:hint="eastAsia" w:ascii="仿宋" w:hAnsi="仿宋" w:eastAsia="仿宋"/>
          <w:bCs/>
          <w:sz w:val="32"/>
          <w:szCs w:val="32"/>
        </w:rPr>
        <w:t>就业补助（款）其他就业补助（项）</w:t>
      </w:r>
      <w:r>
        <w:rPr>
          <w:rStyle w:val="10"/>
          <w:rFonts w:ascii="仿宋" w:hAnsi="仿宋" w:eastAsia="仿宋"/>
          <w:bCs/>
          <w:sz w:val="32"/>
          <w:szCs w:val="32"/>
        </w:rPr>
        <w:t>:</w:t>
      </w:r>
      <w:r>
        <w:rPr>
          <w:rStyle w:val="10"/>
          <w:rFonts w:hint="eastAsia" w:ascii="仿宋" w:hAnsi="仿宋" w:eastAsia="仿宋"/>
          <w:b w:val="0"/>
          <w:bCs/>
          <w:sz w:val="32"/>
          <w:szCs w:val="32"/>
        </w:rPr>
        <w:t>支出决算4.5万元；</w:t>
      </w:r>
      <w:r>
        <w:rPr>
          <w:rStyle w:val="10"/>
          <w:rFonts w:hint="eastAsia" w:ascii="仿宋" w:hAnsi="仿宋" w:eastAsia="仿宋"/>
          <w:bCs/>
          <w:sz w:val="32"/>
          <w:szCs w:val="32"/>
        </w:rPr>
        <w:t>其他社会保障</w:t>
      </w:r>
      <w:r>
        <w:rPr>
          <w:rFonts w:hint="eastAsia" w:ascii="仿宋" w:hAnsi="仿宋" w:eastAsia="仿宋"/>
          <w:bCs/>
          <w:sz w:val="32"/>
          <w:szCs w:val="32"/>
        </w:rPr>
        <w:t>和就业</w:t>
      </w:r>
      <w:r>
        <w:rPr>
          <w:rStyle w:val="10"/>
          <w:rFonts w:hint="eastAsia" w:ascii="仿宋" w:hAnsi="仿宋" w:eastAsia="仿宋"/>
          <w:bCs/>
          <w:sz w:val="32"/>
          <w:szCs w:val="32"/>
        </w:rPr>
        <w:t>（款）其他社会保障</w:t>
      </w:r>
      <w:r>
        <w:rPr>
          <w:rFonts w:hint="eastAsia" w:ascii="仿宋" w:hAnsi="仿宋" w:eastAsia="仿宋"/>
          <w:bCs/>
          <w:sz w:val="32"/>
          <w:szCs w:val="32"/>
        </w:rPr>
        <w:t>和就业</w:t>
      </w:r>
      <w:r>
        <w:rPr>
          <w:rStyle w:val="10"/>
          <w:rFonts w:hint="eastAsia" w:ascii="仿宋" w:hAnsi="仿宋" w:eastAsia="仿宋"/>
          <w:bCs/>
          <w:sz w:val="32"/>
          <w:szCs w:val="32"/>
        </w:rPr>
        <w:t>（项）</w:t>
      </w:r>
      <w:r>
        <w:rPr>
          <w:rStyle w:val="10"/>
          <w:rFonts w:ascii="仿宋" w:hAnsi="仿宋" w:eastAsia="仿宋"/>
          <w:bCs/>
          <w:sz w:val="32"/>
          <w:szCs w:val="32"/>
        </w:rPr>
        <w:t>:</w:t>
      </w:r>
      <w:r>
        <w:rPr>
          <w:rStyle w:val="10"/>
          <w:rFonts w:hint="eastAsia" w:ascii="仿宋" w:hAnsi="仿宋" w:eastAsia="仿宋"/>
          <w:b w:val="0"/>
          <w:bCs/>
          <w:sz w:val="32"/>
          <w:szCs w:val="32"/>
        </w:rPr>
        <w:t>支出决算1.22万元，完成预算</w:t>
      </w:r>
      <w:r>
        <w:rPr>
          <w:rFonts w:hint="eastAsia" w:ascii="仿宋" w:hAnsi="仿宋" w:eastAsia="仿宋"/>
          <w:bCs/>
          <w:sz w:val="32"/>
          <w:szCs w:val="32"/>
        </w:rPr>
        <w:t>100%</w:t>
      </w:r>
      <w:r>
        <w:rPr>
          <w:rStyle w:val="10"/>
          <w:rFonts w:hint="eastAsia" w:ascii="仿宋" w:hAnsi="仿宋" w:eastAsia="仿宋"/>
          <w:b w:val="0"/>
          <w:bCs/>
          <w:sz w:val="32"/>
          <w:szCs w:val="32"/>
        </w:rPr>
        <w:t>，决算</w:t>
      </w:r>
      <w:r>
        <w:rPr>
          <w:rFonts w:hint="eastAsia" w:ascii="仿宋" w:hAnsi="仿宋" w:eastAsia="仿宋"/>
          <w:bCs/>
          <w:sz w:val="32"/>
          <w:szCs w:val="32"/>
        </w:rPr>
        <w:t>数等于预算数</w:t>
      </w:r>
      <w:r>
        <w:t>。</w:t>
      </w:r>
    </w:p>
    <w:p>
      <w:pPr>
        <w:ind w:firstLine="643" w:firstLineChars="200"/>
        <w:rPr>
          <w:rStyle w:val="10"/>
          <w:rFonts w:ascii="仿宋" w:hAnsi="仿宋" w:eastAsia="仿宋"/>
          <w:b w:val="0"/>
          <w:bCs/>
          <w:sz w:val="32"/>
          <w:szCs w:val="32"/>
        </w:rPr>
      </w:pPr>
      <w:r>
        <w:rPr>
          <w:rStyle w:val="10"/>
          <w:rFonts w:hint="eastAsia" w:ascii="仿宋" w:hAnsi="仿宋" w:eastAsia="仿宋"/>
          <w:bCs/>
          <w:sz w:val="32"/>
          <w:szCs w:val="32"/>
        </w:rPr>
        <w:t>4</w:t>
      </w:r>
      <w:r>
        <w:rPr>
          <w:rStyle w:val="10"/>
          <w:rFonts w:ascii="仿宋" w:hAnsi="仿宋" w:eastAsia="仿宋"/>
          <w:bCs/>
          <w:sz w:val="32"/>
          <w:szCs w:val="32"/>
        </w:rPr>
        <w:t>.</w:t>
      </w:r>
      <w:r>
        <w:rPr>
          <w:rStyle w:val="10"/>
          <w:rFonts w:hint="eastAsia" w:ascii="仿宋" w:hAnsi="仿宋" w:eastAsia="仿宋"/>
          <w:bCs/>
          <w:sz w:val="32"/>
          <w:szCs w:val="32"/>
        </w:rPr>
        <w:t>卫生健康（类）行政事业单位医疗（款）行政单位医疗（项）</w:t>
      </w:r>
      <w:r>
        <w:rPr>
          <w:rStyle w:val="10"/>
          <w:rFonts w:ascii="仿宋" w:hAnsi="仿宋" w:eastAsia="仿宋"/>
          <w:bCs/>
          <w:sz w:val="32"/>
          <w:szCs w:val="32"/>
        </w:rPr>
        <w:t>:</w:t>
      </w:r>
      <w:r>
        <w:rPr>
          <w:rStyle w:val="10"/>
          <w:rFonts w:hint="eastAsia" w:ascii="仿宋" w:hAnsi="仿宋" w:eastAsia="仿宋"/>
          <w:b w:val="0"/>
          <w:bCs/>
          <w:sz w:val="32"/>
          <w:szCs w:val="32"/>
        </w:rPr>
        <w:t>支出决算</w:t>
      </w:r>
      <w:r>
        <w:rPr>
          <w:rFonts w:hint="eastAsia" w:ascii="仿宋" w:hAnsi="仿宋" w:eastAsia="仿宋"/>
          <w:bCs/>
          <w:sz w:val="32"/>
          <w:szCs w:val="32"/>
        </w:rPr>
        <w:t>为</w:t>
      </w:r>
      <w:r>
        <w:rPr>
          <w:rStyle w:val="10"/>
          <w:rFonts w:hint="eastAsia" w:ascii="仿宋" w:hAnsi="仿宋" w:eastAsia="仿宋"/>
          <w:b w:val="0"/>
          <w:bCs/>
          <w:sz w:val="32"/>
          <w:szCs w:val="32"/>
        </w:rPr>
        <w:t>12.55万元；</w:t>
      </w:r>
      <w:r>
        <w:rPr>
          <w:rStyle w:val="10"/>
          <w:rFonts w:hint="eastAsia" w:ascii="仿宋" w:hAnsi="仿宋" w:eastAsia="仿宋"/>
          <w:bCs/>
          <w:sz w:val="32"/>
          <w:szCs w:val="32"/>
        </w:rPr>
        <w:t>卫生健康（类）行政事业单位医疗（款）事业单位医疗（项）</w:t>
      </w:r>
      <w:r>
        <w:rPr>
          <w:rStyle w:val="10"/>
          <w:rFonts w:ascii="仿宋" w:hAnsi="仿宋" w:eastAsia="仿宋"/>
          <w:bCs/>
          <w:sz w:val="32"/>
          <w:szCs w:val="32"/>
        </w:rPr>
        <w:t>:</w:t>
      </w:r>
      <w:r>
        <w:rPr>
          <w:rStyle w:val="10"/>
          <w:rFonts w:hint="eastAsia" w:ascii="仿宋" w:hAnsi="仿宋" w:eastAsia="仿宋"/>
          <w:b w:val="0"/>
          <w:bCs/>
          <w:sz w:val="32"/>
          <w:szCs w:val="32"/>
        </w:rPr>
        <w:t>支出决算</w:t>
      </w:r>
      <w:r>
        <w:rPr>
          <w:rFonts w:hint="eastAsia" w:ascii="仿宋" w:hAnsi="仿宋" w:eastAsia="仿宋"/>
          <w:bCs/>
          <w:sz w:val="32"/>
          <w:szCs w:val="32"/>
        </w:rPr>
        <w:t>为</w:t>
      </w:r>
      <w:r>
        <w:rPr>
          <w:rStyle w:val="10"/>
          <w:rFonts w:hint="eastAsia" w:ascii="仿宋" w:hAnsi="仿宋" w:eastAsia="仿宋"/>
          <w:b w:val="0"/>
          <w:bCs/>
          <w:sz w:val="32"/>
          <w:szCs w:val="32"/>
        </w:rPr>
        <w:t>12.53万元；</w:t>
      </w:r>
      <w:r>
        <w:rPr>
          <w:rStyle w:val="10"/>
          <w:rFonts w:hint="eastAsia" w:ascii="仿宋" w:hAnsi="仿宋" w:eastAsia="仿宋"/>
          <w:bCs/>
          <w:sz w:val="32"/>
          <w:szCs w:val="32"/>
        </w:rPr>
        <w:t>卫生健康（类）行政事业单位医疗（款）公务员医疗</w:t>
      </w:r>
      <w:r>
        <w:rPr>
          <w:rFonts w:hint="eastAsia" w:ascii="仿宋" w:hAnsi="仿宋" w:eastAsia="仿宋"/>
          <w:bCs/>
          <w:sz w:val="32"/>
          <w:szCs w:val="32"/>
        </w:rPr>
        <w:t>补助</w:t>
      </w:r>
      <w:r>
        <w:rPr>
          <w:rStyle w:val="10"/>
          <w:rFonts w:hint="eastAsia" w:ascii="仿宋" w:hAnsi="仿宋" w:eastAsia="仿宋"/>
          <w:bCs/>
          <w:sz w:val="32"/>
          <w:szCs w:val="32"/>
        </w:rPr>
        <w:t>（项）</w:t>
      </w:r>
      <w:r>
        <w:rPr>
          <w:rStyle w:val="10"/>
          <w:rFonts w:ascii="仿宋" w:hAnsi="仿宋" w:eastAsia="仿宋"/>
          <w:bCs/>
          <w:sz w:val="32"/>
          <w:szCs w:val="32"/>
        </w:rPr>
        <w:t>:</w:t>
      </w:r>
      <w:r>
        <w:rPr>
          <w:rStyle w:val="10"/>
          <w:rFonts w:hint="eastAsia" w:ascii="仿宋" w:hAnsi="仿宋" w:eastAsia="仿宋"/>
          <w:b w:val="0"/>
          <w:bCs/>
          <w:sz w:val="32"/>
          <w:szCs w:val="32"/>
        </w:rPr>
        <w:t>支出决算</w:t>
      </w:r>
      <w:r>
        <w:rPr>
          <w:rFonts w:hint="eastAsia" w:ascii="仿宋" w:hAnsi="仿宋" w:eastAsia="仿宋"/>
          <w:bCs/>
          <w:sz w:val="32"/>
          <w:szCs w:val="32"/>
        </w:rPr>
        <w:t>为</w:t>
      </w:r>
      <w:r>
        <w:rPr>
          <w:rStyle w:val="10"/>
          <w:rFonts w:hint="eastAsia" w:ascii="仿宋" w:hAnsi="仿宋" w:eastAsia="仿宋"/>
          <w:b w:val="0"/>
          <w:bCs/>
          <w:sz w:val="32"/>
          <w:szCs w:val="32"/>
        </w:rPr>
        <w:t>2.73万元，完成预算</w:t>
      </w:r>
      <w:r>
        <w:rPr>
          <w:rFonts w:hint="eastAsia" w:ascii="仿宋" w:hAnsi="仿宋" w:eastAsia="仿宋"/>
          <w:bCs/>
          <w:sz w:val="32"/>
          <w:szCs w:val="32"/>
        </w:rPr>
        <w:t>100%</w:t>
      </w:r>
      <w:r>
        <w:rPr>
          <w:rStyle w:val="10"/>
          <w:rFonts w:hint="eastAsia" w:ascii="仿宋" w:hAnsi="仿宋" w:eastAsia="仿宋"/>
          <w:b w:val="0"/>
          <w:bCs/>
          <w:sz w:val="32"/>
          <w:szCs w:val="32"/>
        </w:rPr>
        <w:t>，决算</w:t>
      </w:r>
      <w:r>
        <w:rPr>
          <w:rFonts w:hint="eastAsia" w:ascii="仿宋" w:hAnsi="仿宋" w:eastAsia="仿宋"/>
          <w:bCs/>
          <w:sz w:val="32"/>
          <w:szCs w:val="32"/>
        </w:rPr>
        <w:t>数等于预算数</w:t>
      </w:r>
      <w:r>
        <w:rPr>
          <w:rStyle w:val="10"/>
          <w:rFonts w:hint="eastAsia" w:ascii="仿宋" w:hAnsi="仿宋" w:eastAsia="仿宋"/>
          <w:b w:val="0"/>
          <w:bCs/>
          <w:sz w:val="32"/>
          <w:szCs w:val="32"/>
        </w:rPr>
        <w:t>。</w:t>
      </w:r>
    </w:p>
    <w:p>
      <w:pPr>
        <w:ind w:firstLine="640" w:firstLineChars="200"/>
        <w:rPr>
          <w:rStyle w:val="10"/>
          <w:rFonts w:ascii="仿宋" w:hAnsi="仿宋" w:eastAsia="仿宋"/>
          <w:b w:val="0"/>
          <w:bCs/>
          <w:sz w:val="32"/>
          <w:szCs w:val="32"/>
        </w:rPr>
      </w:pPr>
      <w:r>
        <w:rPr>
          <w:rStyle w:val="10"/>
          <w:rFonts w:hint="eastAsia" w:ascii="仿宋" w:hAnsi="仿宋" w:eastAsia="仿宋"/>
          <w:b w:val="0"/>
          <w:bCs/>
          <w:sz w:val="32"/>
          <w:szCs w:val="32"/>
        </w:rPr>
        <w:t>5.</w:t>
      </w:r>
      <w:r>
        <w:rPr>
          <w:rFonts w:hint="eastAsia" w:ascii="仿宋" w:hAnsi="仿宋" w:eastAsia="仿宋"/>
          <w:b/>
          <w:sz w:val="32"/>
          <w:szCs w:val="32"/>
        </w:rPr>
        <w:t>农林水</w:t>
      </w:r>
      <w:r>
        <w:rPr>
          <w:rStyle w:val="10"/>
          <w:rFonts w:hint="eastAsia" w:ascii="仿宋" w:hAnsi="仿宋" w:eastAsia="仿宋"/>
          <w:bCs/>
          <w:sz w:val="32"/>
          <w:szCs w:val="32"/>
        </w:rPr>
        <w:t>（类）扶贫（款）农村基础设施建设（项）：</w:t>
      </w:r>
      <w:r>
        <w:rPr>
          <w:rStyle w:val="10"/>
          <w:rFonts w:hint="eastAsia" w:ascii="仿宋" w:hAnsi="仿宋" w:eastAsia="仿宋"/>
          <w:b w:val="0"/>
          <w:bCs/>
          <w:sz w:val="32"/>
          <w:szCs w:val="32"/>
        </w:rPr>
        <w:t>支出决算</w:t>
      </w:r>
      <w:r>
        <w:rPr>
          <w:rFonts w:hint="eastAsia" w:ascii="仿宋" w:hAnsi="仿宋" w:eastAsia="仿宋"/>
          <w:bCs/>
          <w:sz w:val="32"/>
          <w:szCs w:val="32"/>
        </w:rPr>
        <w:t>为</w:t>
      </w:r>
      <w:r>
        <w:rPr>
          <w:rStyle w:val="10"/>
          <w:rFonts w:hint="eastAsia" w:ascii="仿宋" w:hAnsi="仿宋" w:eastAsia="仿宋"/>
          <w:b w:val="0"/>
          <w:bCs/>
          <w:sz w:val="32"/>
          <w:szCs w:val="32"/>
        </w:rPr>
        <w:t>229.23万元；</w:t>
      </w:r>
      <w:r>
        <w:rPr>
          <w:rFonts w:hint="eastAsia" w:ascii="仿宋" w:hAnsi="仿宋" w:eastAsia="仿宋"/>
          <w:b/>
          <w:sz w:val="32"/>
          <w:szCs w:val="32"/>
        </w:rPr>
        <w:t>农林水</w:t>
      </w:r>
      <w:r>
        <w:rPr>
          <w:rStyle w:val="10"/>
          <w:rFonts w:hint="eastAsia" w:ascii="仿宋" w:hAnsi="仿宋" w:eastAsia="仿宋"/>
          <w:bCs/>
          <w:sz w:val="32"/>
          <w:szCs w:val="32"/>
        </w:rPr>
        <w:t>（类）扶贫（款）生产发展（项）：</w:t>
      </w:r>
      <w:r>
        <w:rPr>
          <w:rStyle w:val="10"/>
          <w:rFonts w:hint="eastAsia" w:ascii="仿宋" w:hAnsi="仿宋" w:eastAsia="仿宋"/>
          <w:b w:val="0"/>
          <w:bCs/>
          <w:sz w:val="32"/>
          <w:szCs w:val="32"/>
        </w:rPr>
        <w:t>支出决算</w:t>
      </w:r>
      <w:r>
        <w:rPr>
          <w:rFonts w:hint="eastAsia" w:ascii="仿宋" w:hAnsi="仿宋" w:eastAsia="仿宋"/>
          <w:bCs/>
          <w:sz w:val="32"/>
          <w:szCs w:val="32"/>
        </w:rPr>
        <w:t>为</w:t>
      </w:r>
      <w:r>
        <w:rPr>
          <w:rStyle w:val="10"/>
          <w:rFonts w:hint="eastAsia" w:ascii="仿宋" w:hAnsi="仿宋" w:eastAsia="仿宋"/>
          <w:b w:val="0"/>
          <w:bCs/>
          <w:sz w:val="32"/>
          <w:szCs w:val="32"/>
        </w:rPr>
        <w:t>34.65万元；</w:t>
      </w:r>
      <w:r>
        <w:rPr>
          <w:rFonts w:hint="eastAsia" w:ascii="仿宋" w:hAnsi="仿宋" w:eastAsia="仿宋"/>
          <w:b/>
          <w:sz w:val="32"/>
          <w:szCs w:val="32"/>
        </w:rPr>
        <w:t>农林水</w:t>
      </w:r>
      <w:r>
        <w:rPr>
          <w:rStyle w:val="10"/>
          <w:rFonts w:hint="eastAsia" w:ascii="仿宋" w:hAnsi="仿宋" w:eastAsia="仿宋"/>
          <w:bCs/>
          <w:sz w:val="32"/>
          <w:szCs w:val="32"/>
        </w:rPr>
        <w:t>（类）扶贫（款）其他扶贫（项）：</w:t>
      </w:r>
      <w:r>
        <w:rPr>
          <w:rStyle w:val="10"/>
          <w:rFonts w:hint="eastAsia" w:ascii="仿宋" w:hAnsi="仿宋" w:eastAsia="仿宋"/>
          <w:b w:val="0"/>
          <w:bCs/>
          <w:sz w:val="32"/>
          <w:szCs w:val="32"/>
        </w:rPr>
        <w:t>支出决算</w:t>
      </w:r>
      <w:r>
        <w:rPr>
          <w:rFonts w:hint="eastAsia" w:ascii="仿宋" w:hAnsi="仿宋" w:eastAsia="仿宋"/>
          <w:bCs/>
          <w:sz w:val="32"/>
          <w:szCs w:val="32"/>
        </w:rPr>
        <w:t>为</w:t>
      </w:r>
      <w:r>
        <w:rPr>
          <w:rStyle w:val="10"/>
          <w:rFonts w:hint="eastAsia" w:ascii="仿宋" w:hAnsi="仿宋" w:eastAsia="仿宋"/>
          <w:b w:val="0"/>
          <w:bCs/>
          <w:sz w:val="32"/>
          <w:szCs w:val="32"/>
        </w:rPr>
        <w:t>13.59万元；</w:t>
      </w:r>
      <w:r>
        <w:rPr>
          <w:rFonts w:hint="eastAsia" w:ascii="仿宋" w:hAnsi="仿宋" w:eastAsia="仿宋"/>
          <w:b/>
          <w:sz w:val="32"/>
          <w:szCs w:val="32"/>
        </w:rPr>
        <w:t>农林水</w:t>
      </w:r>
      <w:r>
        <w:rPr>
          <w:rStyle w:val="10"/>
          <w:rFonts w:hint="eastAsia" w:ascii="仿宋" w:hAnsi="仿宋" w:eastAsia="仿宋"/>
          <w:bCs/>
          <w:sz w:val="32"/>
          <w:szCs w:val="32"/>
        </w:rPr>
        <w:t>（类）农村综合改革（款）对村民委员会和党支部的补助（项）：</w:t>
      </w:r>
      <w:r>
        <w:rPr>
          <w:rStyle w:val="10"/>
          <w:rFonts w:hint="eastAsia" w:ascii="仿宋" w:hAnsi="仿宋" w:eastAsia="仿宋"/>
          <w:b w:val="0"/>
          <w:bCs/>
          <w:sz w:val="32"/>
          <w:szCs w:val="32"/>
        </w:rPr>
        <w:t>支出决算</w:t>
      </w:r>
      <w:r>
        <w:rPr>
          <w:rFonts w:hint="eastAsia" w:ascii="仿宋" w:hAnsi="仿宋" w:eastAsia="仿宋"/>
          <w:bCs/>
          <w:sz w:val="32"/>
          <w:szCs w:val="32"/>
        </w:rPr>
        <w:t>为</w:t>
      </w:r>
      <w:r>
        <w:rPr>
          <w:rStyle w:val="10"/>
          <w:rFonts w:hint="eastAsia" w:ascii="仿宋" w:hAnsi="仿宋" w:eastAsia="仿宋"/>
          <w:b w:val="0"/>
          <w:bCs/>
          <w:sz w:val="32"/>
          <w:szCs w:val="32"/>
        </w:rPr>
        <w:t>179.87万元；</w:t>
      </w:r>
      <w:r>
        <w:rPr>
          <w:rFonts w:hint="eastAsia" w:ascii="仿宋" w:hAnsi="仿宋" w:eastAsia="仿宋"/>
          <w:b/>
          <w:sz w:val="32"/>
          <w:szCs w:val="32"/>
        </w:rPr>
        <w:t>农林水</w:t>
      </w:r>
      <w:r>
        <w:rPr>
          <w:rStyle w:val="10"/>
          <w:rFonts w:hint="eastAsia" w:ascii="仿宋" w:hAnsi="仿宋" w:eastAsia="仿宋"/>
          <w:bCs/>
          <w:sz w:val="32"/>
          <w:szCs w:val="32"/>
        </w:rPr>
        <w:t>（类）农村综合改革（款）对村集体经济组织的补助（项）：</w:t>
      </w:r>
      <w:r>
        <w:rPr>
          <w:rStyle w:val="10"/>
          <w:rFonts w:hint="eastAsia" w:ascii="仿宋" w:hAnsi="仿宋" w:eastAsia="仿宋"/>
          <w:b w:val="0"/>
          <w:bCs/>
          <w:sz w:val="32"/>
          <w:szCs w:val="32"/>
        </w:rPr>
        <w:t>支出决算</w:t>
      </w:r>
      <w:r>
        <w:rPr>
          <w:rFonts w:hint="eastAsia" w:ascii="仿宋" w:hAnsi="仿宋" w:eastAsia="仿宋"/>
          <w:bCs/>
          <w:sz w:val="32"/>
          <w:szCs w:val="32"/>
        </w:rPr>
        <w:t>为</w:t>
      </w:r>
      <w:r>
        <w:rPr>
          <w:rStyle w:val="10"/>
          <w:rFonts w:hint="eastAsia" w:ascii="仿宋" w:hAnsi="仿宋" w:eastAsia="仿宋"/>
          <w:b w:val="0"/>
          <w:bCs/>
          <w:sz w:val="32"/>
          <w:szCs w:val="32"/>
        </w:rPr>
        <w:t>80万元，完成预算</w:t>
      </w:r>
      <w:r>
        <w:rPr>
          <w:rFonts w:hint="eastAsia" w:ascii="仿宋" w:hAnsi="仿宋" w:eastAsia="仿宋"/>
          <w:bCs/>
          <w:sz w:val="32"/>
          <w:szCs w:val="32"/>
        </w:rPr>
        <w:t>100%</w:t>
      </w:r>
      <w:r>
        <w:rPr>
          <w:rStyle w:val="10"/>
          <w:rFonts w:hint="eastAsia" w:ascii="仿宋" w:hAnsi="仿宋" w:eastAsia="仿宋"/>
          <w:b w:val="0"/>
          <w:bCs/>
          <w:sz w:val="32"/>
          <w:szCs w:val="32"/>
        </w:rPr>
        <w:t>，决算</w:t>
      </w:r>
      <w:r>
        <w:rPr>
          <w:rFonts w:hint="eastAsia" w:ascii="仿宋" w:hAnsi="仿宋" w:eastAsia="仿宋"/>
          <w:bCs/>
          <w:sz w:val="32"/>
          <w:szCs w:val="32"/>
        </w:rPr>
        <w:t>数等于预算数</w:t>
      </w:r>
      <w:r>
        <w:rPr>
          <w:rStyle w:val="10"/>
          <w:rFonts w:hint="eastAsia" w:ascii="仿宋" w:hAnsi="仿宋" w:eastAsia="仿宋"/>
          <w:b w:val="0"/>
          <w:bCs/>
          <w:sz w:val="32"/>
          <w:szCs w:val="32"/>
        </w:rPr>
        <w:t>。</w:t>
      </w:r>
    </w:p>
    <w:p>
      <w:pPr>
        <w:ind w:firstLine="643" w:firstLineChars="200"/>
        <w:rPr>
          <w:rStyle w:val="10"/>
          <w:rFonts w:ascii="仿宋" w:hAnsi="仿宋" w:eastAsia="仿宋"/>
          <w:b w:val="0"/>
          <w:bCs/>
          <w:sz w:val="32"/>
          <w:szCs w:val="32"/>
        </w:rPr>
      </w:pPr>
      <w:r>
        <w:rPr>
          <w:rFonts w:hint="eastAsia" w:ascii="仿宋" w:hAnsi="仿宋" w:eastAsia="仿宋"/>
          <w:b/>
          <w:sz w:val="32"/>
          <w:szCs w:val="32"/>
        </w:rPr>
        <w:t>6.交通运输</w:t>
      </w:r>
      <w:r>
        <w:rPr>
          <w:rStyle w:val="10"/>
          <w:rFonts w:hint="eastAsia" w:ascii="仿宋" w:hAnsi="仿宋" w:eastAsia="仿宋"/>
          <w:bCs/>
          <w:sz w:val="32"/>
          <w:szCs w:val="32"/>
        </w:rPr>
        <w:t>（类）其他交通运输（款）其他交通运输（项）：</w:t>
      </w:r>
      <w:r>
        <w:rPr>
          <w:rStyle w:val="10"/>
          <w:rFonts w:hint="eastAsia" w:ascii="仿宋" w:hAnsi="仿宋" w:eastAsia="仿宋"/>
          <w:b w:val="0"/>
          <w:bCs/>
          <w:sz w:val="32"/>
          <w:szCs w:val="32"/>
        </w:rPr>
        <w:t>支出决算</w:t>
      </w:r>
      <w:r>
        <w:rPr>
          <w:rFonts w:hint="eastAsia" w:ascii="仿宋" w:hAnsi="仿宋" w:eastAsia="仿宋"/>
          <w:bCs/>
          <w:sz w:val="32"/>
          <w:szCs w:val="32"/>
        </w:rPr>
        <w:t>为</w:t>
      </w:r>
      <w:r>
        <w:rPr>
          <w:rStyle w:val="10"/>
          <w:rFonts w:hint="eastAsia" w:ascii="仿宋" w:hAnsi="仿宋" w:eastAsia="仿宋"/>
          <w:b w:val="0"/>
          <w:bCs/>
          <w:sz w:val="32"/>
          <w:szCs w:val="32"/>
        </w:rPr>
        <w:t>8万元，完成预算</w:t>
      </w:r>
      <w:r>
        <w:rPr>
          <w:rFonts w:hint="eastAsia" w:ascii="仿宋" w:hAnsi="仿宋" w:eastAsia="仿宋"/>
          <w:bCs/>
          <w:sz w:val="32"/>
          <w:szCs w:val="32"/>
        </w:rPr>
        <w:t>100%</w:t>
      </w:r>
      <w:r>
        <w:rPr>
          <w:rStyle w:val="10"/>
          <w:rFonts w:hint="eastAsia" w:ascii="仿宋" w:hAnsi="仿宋" w:eastAsia="仿宋"/>
          <w:b w:val="0"/>
          <w:bCs/>
          <w:sz w:val="32"/>
          <w:szCs w:val="32"/>
        </w:rPr>
        <w:t>，决算</w:t>
      </w:r>
      <w:r>
        <w:rPr>
          <w:rFonts w:hint="eastAsia" w:ascii="仿宋" w:hAnsi="仿宋" w:eastAsia="仿宋"/>
          <w:bCs/>
          <w:sz w:val="32"/>
          <w:szCs w:val="32"/>
        </w:rPr>
        <w:t>数等于预算数</w:t>
      </w:r>
      <w:r>
        <w:rPr>
          <w:rStyle w:val="10"/>
          <w:rFonts w:hint="eastAsia" w:ascii="仿宋" w:hAnsi="仿宋" w:eastAsia="仿宋"/>
          <w:b w:val="0"/>
          <w:bCs/>
          <w:sz w:val="32"/>
          <w:szCs w:val="32"/>
        </w:rPr>
        <w:t>。</w:t>
      </w:r>
    </w:p>
    <w:p>
      <w:pPr>
        <w:ind w:firstLine="643" w:firstLineChars="200"/>
        <w:rPr>
          <w:rFonts w:ascii="仿宋" w:hAnsi="仿宋" w:eastAsia="仿宋"/>
          <w:b/>
          <w:sz w:val="32"/>
          <w:szCs w:val="32"/>
        </w:rPr>
      </w:pPr>
      <w:r>
        <w:rPr>
          <w:rFonts w:hint="eastAsia" w:ascii="仿宋" w:hAnsi="仿宋" w:eastAsia="仿宋"/>
          <w:b/>
          <w:sz w:val="32"/>
          <w:szCs w:val="32"/>
        </w:rPr>
        <w:t>7.住房保障</w:t>
      </w:r>
      <w:r>
        <w:rPr>
          <w:rStyle w:val="10"/>
          <w:rFonts w:hint="eastAsia" w:ascii="仿宋" w:hAnsi="仿宋" w:eastAsia="仿宋"/>
          <w:bCs/>
          <w:sz w:val="32"/>
          <w:szCs w:val="32"/>
        </w:rPr>
        <w:t>（类）保障</w:t>
      </w:r>
      <w:r>
        <w:rPr>
          <w:rFonts w:hint="eastAsia" w:ascii="仿宋" w:hAnsi="仿宋" w:eastAsia="仿宋"/>
          <w:bCs/>
          <w:sz w:val="32"/>
          <w:szCs w:val="32"/>
        </w:rPr>
        <w:t>性安居工程</w:t>
      </w:r>
      <w:r>
        <w:rPr>
          <w:rStyle w:val="10"/>
          <w:rFonts w:hint="eastAsia" w:ascii="仿宋" w:hAnsi="仿宋" w:eastAsia="仿宋"/>
          <w:bCs/>
          <w:sz w:val="32"/>
          <w:szCs w:val="32"/>
        </w:rPr>
        <w:t>（款）农村危房改造（项）：</w:t>
      </w:r>
      <w:r>
        <w:rPr>
          <w:rStyle w:val="10"/>
          <w:rFonts w:hint="eastAsia" w:ascii="仿宋" w:hAnsi="仿宋" w:eastAsia="仿宋"/>
          <w:b w:val="0"/>
          <w:bCs/>
          <w:sz w:val="32"/>
          <w:szCs w:val="32"/>
        </w:rPr>
        <w:t>支出决算</w:t>
      </w:r>
      <w:r>
        <w:rPr>
          <w:rFonts w:hint="eastAsia" w:ascii="仿宋" w:hAnsi="仿宋" w:eastAsia="仿宋"/>
          <w:bCs/>
          <w:sz w:val="32"/>
          <w:szCs w:val="32"/>
        </w:rPr>
        <w:t>为</w:t>
      </w:r>
      <w:r>
        <w:rPr>
          <w:rStyle w:val="10"/>
          <w:rFonts w:hint="eastAsia" w:ascii="仿宋" w:hAnsi="仿宋" w:eastAsia="仿宋"/>
          <w:b w:val="0"/>
          <w:bCs/>
          <w:sz w:val="32"/>
          <w:szCs w:val="32"/>
        </w:rPr>
        <w:t>152.38万元；</w:t>
      </w:r>
      <w:r>
        <w:rPr>
          <w:rFonts w:hint="eastAsia" w:ascii="仿宋" w:hAnsi="仿宋" w:eastAsia="仿宋"/>
          <w:b/>
          <w:sz w:val="32"/>
          <w:szCs w:val="32"/>
        </w:rPr>
        <w:t>住房保障</w:t>
      </w:r>
      <w:r>
        <w:rPr>
          <w:rStyle w:val="10"/>
          <w:rFonts w:hint="eastAsia" w:ascii="仿宋" w:hAnsi="仿宋" w:eastAsia="仿宋"/>
          <w:bCs/>
          <w:sz w:val="32"/>
          <w:szCs w:val="32"/>
        </w:rPr>
        <w:t>（类）住房改革（款）住房公积金（项）：</w:t>
      </w:r>
      <w:r>
        <w:rPr>
          <w:rStyle w:val="10"/>
          <w:rFonts w:hint="eastAsia" w:ascii="仿宋" w:hAnsi="仿宋" w:eastAsia="仿宋"/>
          <w:b w:val="0"/>
          <w:bCs/>
          <w:sz w:val="32"/>
          <w:szCs w:val="32"/>
        </w:rPr>
        <w:t>支出决算</w:t>
      </w:r>
      <w:r>
        <w:rPr>
          <w:rFonts w:hint="eastAsia" w:ascii="仿宋" w:hAnsi="仿宋" w:eastAsia="仿宋"/>
          <w:bCs/>
          <w:sz w:val="32"/>
          <w:szCs w:val="32"/>
        </w:rPr>
        <w:t>为</w:t>
      </w:r>
      <w:r>
        <w:rPr>
          <w:rStyle w:val="10"/>
          <w:rFonts w:hint="eastAsia" w:ascii="仿宋" w:hAnsi="仿宋" w:eastAsia="仿宋"/>
          <w:b w:val="0"/>
          <w:bCs/>
          <w:sz w:val="32"/>
          <w:szCs w:val="32"/>
        </w:rPr>
        <w:t>32.88万元，完成预算</w:t>
      </w:r>
      <w:r>
        <w:rPr>
          <w:rFonts w:hint="eastAsia" w:ascii="仿宋" w:hAnsi="仿宋" w:eastAsia="仿宋"/>
          <w:bCs/>
          <w:sz w:val="32"/>
          <w:szCs w:val="32"/>
        </w:rPr>
        <w:t>100%</w:t>
      </w:r>
      <w:r>
        <w:rPr>
          <w:rStyle w:val="10"/>
          <w:rFonts w:hint="eastAsia" w:ascii="仿宋" w:hAnsi="仿宋" w:eastAsia="仿宋"/>
          <w:b w:val="0"/>
          <w:bCs/>
          <w:sz w:val="32"/>
          <w:szCs w:val="32"/>
        </w:rPr>
        <w:t>，决算</w:t>
      </w:r>
      <w:r>
        <w:rPr>
          <w:rFonts w:hint="eastAsia" w:ascii="仿宋" w:hAnsi="仿宋" w:eastAsia="仿宋"/>
          <w:bCs/>
          <w:sz w:val="32"/>
          <w:szCs w:val="32"/>
        </w:rPr>
        <w:t>数等于预算数</w:t>
      </w:r>
      <w:r>
        <w:rPr>
          <w:rStyle w:val="10"/>
          <w:rFonts w:hint="eastAsia" w:ascii="仿宋" w:hAnsi="仿宋" w:eastAsia="仿宋"/>
          <w:b w:val="0"/>
          <w:bCs/>
          <w:sz w:val="32"/>
          <w:szCs w:val="32"/>
        </w:rPr>
        <w:t>。</w:t>
      </w:r>
    </w:p>
    <w:p>
      <w:pPr>
        <w:spacing w:line="600" w:lineRule="exact"/>
        <w:ind w:firstLine="640"/>
        <w:rPr>
          <w:rFonts w:ascii="仿宋" w:hAnsi="仿宋" w:eastAsia="仿宋"/>
          <w:b/>
          <w:sz w:val="32"/>
          <w:szCs w:val="32"/>
        </w:rPr>
      </w:pPr>
    </w:p>
    <w:p>
      <w:pPr>
        <w:tabs>
          <w:tab w:val="right" w:pos="8306"/>
        </w:tabs>
        <w:spacing w:line="600" w:lineRule="exact"/>
        <w:ind w:firstLine="640"/>
        <w:outlineLvl w:val="1"/>
        <w:rPr>
          <w:rStyle w:val="30"/>
        </w:rPr>
      </w:pPr>
      <w:bookmarkStart w:id="43" w:name="_Toc11359"/>
      <w:bookmarkStart w:id="44" w:name="_Toc15396608"/>
      <w:bookmarkStart w:id="45"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0"/>
          <w:rFonts w:hint="eastAsia" w:ascii="黑体" w:hAnsi="黑体" w:eastAsia="黑体"/>
          <w:b w:val="0"/>
        </w:rPr>
        <w:t>般公共预算</w:t>
      </w:r>
      <w:r>
        <w:rPr>
          <w:rFonts w:hint="eastAsia" w:ascii="黑体" w:hAnsi="黑体" w:eastAsia="黑体"/>
          <w:sz w:val="32"/>
          <w:szCs w:val="32"/>
        </w:rPr>
        <w:t>财政拨款基本支出决算情况说明</w:t>
      </w:r>
      <w:bookmarkEnd w:id="43"/>
      <w:bookmarkEnd w:id="44"/>
      <w:bookmarkEnd w:id="45"/>
      <w:r>
        <w:rPr>
          <w:rStyle w:val="30"/>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21年一般公共预算财政拨款基本支出1345.29万元，其中：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898.17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5"/>
        <w:rPr>
          <w:rFonts w:ascii="仿宋" w:hAnsi="仿宋" w:eastAsia="仿宋"/>
          <w:sz w:val="32"/>
          <w:szCs w:val="32"/>
        </w:rPr>
      </w:pPr>
      <w:r>
        <w:rPr>
          <w:rFonts w:hint="eastAsia" w:ascii="仿宋" w:hAnsi="仿宋" w:eastAsia="仿宋"/>
          <w:sz w:val="32"/>
          <w:szCs w:val="32"/>
        </w:rPr>
        <w:t>公用经费447.12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服务费等。</w:t>
      </w:r>
    </w:p>
    <w:p>
      <w:pPr>
        <w:spacing w:line="600" w:lineRule="exact"/>
        <w:ind w:firstLine="640"/>
        <w:rPr>
          <w:rFonts w:ascii="仿宋" w:hAnsi="仿宋" w:eastAsia="仿宋"/>
          <w:b/>
          <w:sz w:val="32"/>
          <w:szCs w:val="32"/>
        </w:rPr>
      </w:pPr>
    </w:p>
    <w:p>
      <w:pPr>
        <w:spacing w:line="600" w:lineRule="exact"/>
        <w:ind w:firstLine="640"/>
        <w:outlineLvl w:val="1"/>
        <w:rPr>
          <w:rStyle w:val="30"/>
          <w:rFonts w:ascii="黑体" w:hAnsi="黑体" w:eastAsia="黑体"/>
          <w:b w:val="0"/>
        </w:rPr>
      </w:pPr>
      <w:bookmarkStart w:id="46" w:name="_Toc15396609"/>
      <w:bookmarkStart w:id="47" w:name="_Toc15377215"/>
      <w:bookmarkStart w:id="48" w:name="_Toc9302"/>
      <w:r>
        <w:rPr>
          <w:rFonts w:hint="eastAsia" w:ascii="黑体" w:eastAsia="黑体"/>
          <w:sz w:val="32"/>
          <w:szCs w:val="32"/>
        </w:rPr>
        <w:t>七、</w:t>
      </w:r>
      <w:r>
        <w:rPr>
          <w:rStyle w:val="30"/>
          <w:rFonts w:hint="eastAsia" w:ascii="黑体" w:hAnsi="黑体" w:eastAsia="黑体"/>
        </w:rPr>
        <w:t>“</w:t>
      </w:r>
      <w:r>
        <w:rPr>
          <w:rStyle w:val="30"/>
          <w:rFonts w:hint="eastAsia" w:ascii="黑体" w:hAnsi="黑体" w:eastAsia="黑体"/>
          <w:b w:val="0"/>
        </w:rPr>
        <w:t>三公”经费财政拨款支出决算</w:t>
      </w:r>
      <w:r>
        <w:rPr>
          <w:rFonts w:hint="eastAsia" w:ascii="黑体" w:hAnsi="黑体" w:eastAsia="黑体"/>
          <w:sz w:val="32"/>
          <w:szCs w:val="32"/>
        </w:rPr>
        <w:t>情况说明</w:t>
      </w:r>
      <w:bookmarkEnd w:id="46"/>
      <w:bookmarkEnd w:id="47"/>
      <w:bookmarkEnd w:id="48"/>
    </w:p>
    <w:p>
      <w:pPr>
        <w:spacing w:line="600" w:lineRule="exact"/>
        <w:ind w:firstLine="640"/>
        <w:outlineLvl w:val="2"/>
        <w:rPr>
          <w:rFonts w:ascii="仿宋" w:hAnsi="仿宋" w:eastAsia="仿宋"/>
          <w:b/>
          <w:sz w:val="32"/>
          <w:szCs w:val="32"/>
        </w:rPr>
      </w:pPr>
      <w:bookmarkStart w:id="49" w:name="_Toc15377216"/>
      <w:r>
        <w:rPr>
          <w:rFonts w:hint="eastAsia" w:ascii="仿宋" w:hAnsi="仿宋" w:eastAsia="仿宋"/>
          <w:b/>
          <w:sz w:val="32"/>
          <w:szCs w:val="32"/>
        </w:rPr>
        <w:t>（一）“三公”经费财政拨款支出决算总体情况说明</w:t>
      </w:r>
      <w:bookmarkEnd w:id="4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21年“三公”经费财政拨款支出决算为3万元，完成预算100%。</w:t>
      </w:r>
    </w:p>
    <w:p>
      <w:pPr>
        <w:spacing w:line="600" w:lineRule="exact"/>
        <w:ind w:firstLine="640"/>
        <w:outlineLvl w:val="2"/>
        <w:rPr>
          <w:rFonts w:ascii="仿宋" w:hAnsi="仿宋" w:eastAsia="仿宋"/>
          <w:b/>
          <w:sz w:val="32"/>
          <w:szCs w:val="32"/>
        </w:rPr>
      </w:pPr>
      <w:bookmarkStart w:id="50" w:name="_Toc15377217"/>
      <w:r>
        <w:rPr>
          <w:rFonts w:hint="eastAsia" w:ascii="仿宋" w:hAnsi="仿宋" w:eastAsia="仿宋"/>
          <w:b/>
          <w:sz w:val="32"/>
          <w:szCs w:val="32"/>
        </w:rPr>
        <w:t>（二）“三公”经费财政拨款支出决算具体情况说明</w:t>
      </w:r>
      <w:bookmarkEnd w:id="50"/>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；公务用车购置及运行维护费支出决算0万元，占0</w:t>
      </w:r>
      <w:r>
        <w:rPr>
          <w:rFonts w:ascii="仿宋" w:hAnsi="仿宋" w:eastAsia="仿宋"/>
          <w:sz w:val="32"/>
          <w:szCs w:val="32"/>
        </w:rPr>
        <w:t>%</w:t>
      </w:r>
      <w:r>
        <w:rPr>
          <w:rFonts w:hint="eastAsia" w:ascii="仿宋" w:hAnsi="仿宋" w:eastAsia="仿宋"/>
          <w:sz w:val="32"/>
          <w:szCs w:val="32"/>
        </w:rPr>
        <w:t>；公务接待费支出决算3万元，占比100</w:t>
      </w:r>
      <w:r>
        <w:rPr>
          <w:rFonts w:ascii="仿宋" w:hAnsi="仿宋" w:eastAsia="仿宋"/>
          <w:sz w:val="32"/>
          <w:szCs w:val="32"/>
        </w:rPr>
        <w:t>%</w:t>
      </w:r>
      <w:r>
        <w:rPr>
          <w:rFonts w:hint="eastAsia" w:ascii="仿宋" w:hAnsi="仿宋" w:eastAsia="仿宋"/>
          <w:sz w:val="32"/>
          <w:szCs w:val="32"/>
        </w:rPr>
        <w:t>。具体情况如下：</w:t>
      </w:r>
    </w:p>
    <w:p>
      <w:pPr>
        <w:pStyle w:val="3"/>
        <w:spacing w:before="93"/>
        <w:rPr>
          <w:rFonts w:ascii="仿宋" w:hAnsi="仿宋" w:eastAsia="仿宋"/>
          <w:sz w:val="32"/>
          <w:szCs w:val="32"/>
        </w:rPr>
      </w:pPr>
      <w:r>
        <w:rPr>
          <w:rFonts w:hint="eastAsia" w:ascii="仿宋" w:hAnsi="仿宋" w:eastAsia="仿宋"/>
          <w:sz w:val="32"/>
          <w:szCs w:val="32"/>
        </w:rPr>
        <w:drawing>
          <wp:inline distT="0" distB="0" distL="114300" distR="114300">
            <wp:extent cx="5260340" cy="3505200"/>
            <wp:effectExtent l="4445" t="4445" r="12065" b="14605"/>
            <wp:docPr id="757" name="_x0000_i319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ascii="仿宋" w:hAnsi="仿宋" w:eastAsia="仿宋"/>
          <w:sz w:val="32"/>
          <w:szCs w:val="32"/>
        </w:rPr>
      </w:pPr>
      <w:r>
        <w:rPr>
          <w:rFonts w:hint="eastAsia" w:ascii="仿宋" w:hAnsi="仿宋" w:eastAsia="仿宋"/>
          <w:sz w:val="32"/>
          <w:szCs w:val="32"/>
        </w:rPr>
        <w:t>（图7：“三公”经费财政拨款支出结构）（饼状图）</w:t>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0"/>
          <w:rFonts w:hint="eastAsia" w:ascii="仿宋" w:hAnsi="仿宋" w:eastAsia="仿宋"/>
          <w:b w:val="0"/>
          <w:bCs/>
          <w:sz w:val="32"/>
          <w:szCs w:val="32"/>
        </w:rPr>
        <w:t>完成预算0</w:t>
      </w:r>
      <w:r>
        <w:rPr>
          <w:rStyle w:val="10"/>
          <w:rFonts w:ascii="仿宋" w:hAnsi="仿宋" w:eastAsia="仿宋"/>
          <w:b w:val="0"/>
          <w:bCs/>
          <w:sz w:val="32"/>
          <w:szCs w:val="32"/>
        </w:rPr>
        <w:t>%</w:t>
      </w:r>
      <w:r>
        <w:rPr>
          <w:rStyle w:val="10"/>
          <w:rFonts w:hint="eastAsia" w:ascii="仿宋" w:hAnsi="仿宋" w:eastAsia="仿宋"/>
          <w:b w:val="0"/>
          <w:bCs/>
          <w:sz w:val="32"/>
          <w:szCs w:val="32"/>
        </w:rPr>
        <w:t>。</w:t>
      </w:r>
      <w:r>
        <w:rPr>
          <w:rFonts w:hint="eastAsia" w:ascii="仿宋_GB2312" w:eastAsia="仿宋_GB2312"/>
          <w:sz w:val="32"/>
          <w:szCs w:val="32"/>
        </w:rPr>
        <w:t>全年安排因公出国（境）团组0次，出国（境）0人。因公出国（境）支出决算数据与2020年决算数据持平。</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0万元</w:t>
      </w:r>
      <w:r>
        <w:t>，</w:t>
      </w:r>
      <w:r>
        <w:rPr>
          <w:rStyle w:val="10"/>
          <w:rFonts w:hint="eastAsia" w:ascii="仿宋" w:hAnsi="仿宋" w:eastAsia="仿宋"/>
          <w:b w:val="0"/>
          <w:bCs/>
          <w:sz w:val="32"/>
          <w:szCs w:val="32"/>
        </w:rPr>
        <w:t>完成预算0</w:t>
      </w:r>
      <w:r>
        <w:rPr>
          <w:rStyle w:val="10"/>
          <w:rFonts w:ascii="仿宋" w:hAnsi="仿宋" w:eastAsia="仿宋"/>
          <w:b w:val="0"/>
          <w:bCs/>
          <w:sz w:val="32"/>
          <w:szCs w:val="32"/>
        </w:rPr>
        <w:t>%</w:t>
      </w:r>
      <w:r>
        <w:rPr>
          <w:rStyle w:val="10"/>
          <w:rFonts w:hint="eastAsia" w:ascii="仿宋" w:hAnsi="仿宋" w:eastAsia="仿宋"/>
          <w:b w:val="0"/>
          <w:bCs/>
          <w:sz w:val="32"/>
          <w:szCs w:val="32"/>
        </w:rPr>
        <w:t>。</w:t>
      </w:r>
      <w:r>
        <w:rPr>
          <w:rFonts w:hint="eastAsia" w:ascii="仿宋_GB2312" w:eastAsia="仿宋_GB2312"/>
          <w:sz w:val="32"/>
          <w:szCs w:val="32"/>
        </w:rPr>
        <w:t>公务用车购置及运行维护费支出决算与2020年决算数据持平。</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0万元。全年按规定更新购置公务用车0辆，截至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月底，单位共有公务用车0辆，其中：轿车0辆、越野车0辆、载客汽车0辆。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0万元。</w:t>
      </w:r>
    </w:p>
    <w:p>
      <w:pPr>
        <w:spacing w:line="600" w:lineRule="exact"/>
        <w:ind w:firstLine="640"/>
        <w:rPr>
          <w:rFonts w:ascii="仿宋_GB2312" w:eastAsia="仿宋_GB2312"/>
          <w:b/>
          <w:sz w:val="32"/>
          <w:szCs w:val="32"/>
        </w:rPr>
      </w:pPr>
      <w:r>
        <w:rPr>
          <w:rFonts w:ascii="仿宋_GB2312" w:eastAsia="仿宋_GB2312"/>
          <w:b/>
          <w:sz w:val="32"/>
          <w:szCs w:val="32"/>
        </w:rPr>
        <w:t>3.</w:t>
      </w:r>
      <w:r>
        <w:rPr>
          <w:rFonts w:hint="eastAsia" w:ascii="仿宋_GB2312" w:eastAsia="仿宋_GB2312"/>
          <w:b/>
          <w:sz w:val="32"/>
          <w:szCs w:val="32"/>
        </w:rPr>
        <w:t>公务接待费支出3</w:t>
      </w:r>
      <w:r>
        <w:rPr>
          <w:rFonts w:hint="eastAsia" w:ascii="仿宋_GB2312" w:eastAsia="仿宋_GB2312"/>
          <w:sz w:val="32"/>
          <w:szCs w:val="32"/>
        </w:rPr>
        <w:t>万元，</w:t>
      </w:r>
      <w:r>
        <w:rPr>
          <w:rStyle w:val="10"/>
          <w:rFonts w:hint="eastAsia" w:ascii="仿宋" w:hAnsi="仿宋" w:eastAsia="仿宋"/>
          <w:b w:val="0"/>
          <w:bCs/>
          <w:sz w:val="32"/>
          <w:szCs w:val="32"/>
        </w:rPr>
        <w:t>完成预算的</w:t>
      </w:r>
      <w:r>
        <w:rPr>
          <w:rFonts w:hint="eastAsia" w:ascii="仿宋" w:hAnsi="仿宋" w:eastAsia="仿宋"/>
          <w:bCs/>
          <w:sz w:val="32"/>
          <w:szCs w:val="32"/>
        </w:rPr>
        <w:t>100%</w:t>
      </w:r>
      <w:r>
        <w:rPr>
          <w:rStyle w:val="10"/>
          <w:rFonts w:hint="eastAsia" w:ascii="仿宋" w:hAnsi="仿宋" w:eastAsia="仿宋"/>
          <w:b w:val="0"/>
          <w:bCs/>
          <w:sz w:val="32"/>
          <w:szCs w:val="32"/>
        </w:rPr>
        <w:t>。</w:t>
      </w:r>
      <w:r>
        <w:rPr>
          <w:rFonts w:hint="eastAsia" w:ascii="仿宋_GB2312" w:eastAsia="仿宋_GB2312"/>
          <w:sz w:val="32"/>
          <w:szCs w:val="32"/>
        </w:rPr>
        <w:t>公务接待费支出决算数据与2020年决算数据持平。</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rPr>
        <w:t>0</w:t>
      </w:r>
      <w:r>
        <w:rPr>
          <w:rFonts w:hint="eastAsia" w:ascii="仿宋_GB2312" w:eastAsia="仿宋_GB2312"/>
          <w:sz w:val="32"/>
          <w:szCs w:val="32"/>
        </w:rPr>
        <w:t>万元。国内公务接待0批次，0人次（不包括陪同人员），共计支出0万元。</w:t>
      </w:r>
    </w:p>
    <w:p>
      <w:pPr>
        <w:spacing w:line="600" w:lineRule="exact"/>
        <w:ind w:firstLine="643" w:firstLineChars="200"/>
        <w:rPr>
          <w:rFonts w:ascii="黑体" w:eastAsia="黑体"/>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万元，外事接待0批次，0人，共计支出0万元。</w:t>
      </w:r>
      <w:bookmarkStart w:id="51" w:name="_Toc15377218"/>
      <w:bookmarkStart w:id="52" w:name="_Toc15396610"/>
    </w:p>
    <w:p>
      <w:pPr>
        <w:spacing w:line="600" w:lineRule="exact"/>
        <w:ind w:firstLine="640"/>
        <w:outlineLvl w:val="1"/>
        <w:rPr>
          <w:rStyle w:val="30"/>
          <w:rFonts w:ascii="黑体" w:hAnsi="黑体" w:eastAsia="黑体"/>
        </w:rPr>
      </w:pPr>
      <w:bookmarkStart w:id="53" w:name="_Toc28104"/>
      <w:r>
        <w:rPr>
          <w:rFonts w:hint="eastAsia" w:ascii="黑体" w:eastAsia="黑体"/>
          <w:sz w:val="32"/>
          <w:szCs w:val="32"/>
        </w:rPr>
        <w:t>八、</w:t>
      </w:r>
      <w:r>
        <w:rPr>
          <w:rStyle w:val="30"/>
          <w:rFonts w:hint="eastAsia" w:ascii="黑体" w:hAnsi="黑体" w:eastAsia="黑体"/>
          <w:b w:val="0"/>
        </w:rPr>
        <w:t>政府性基金预算</w:t>
      </w:r>
      <w:r>
        <w:rPr>
          <w:rFonts w:hint="eastAsia" w:ascii="黑体" w:hAnsi="黑体" w:eastAsia="黑体"/>
          <w:sz w:val="32"/>
          <w:szCs w:val="32"/>
        </w:rPr>
        <w:t>支出决算情况说明</w:t>
      </w:r>
      <w:bookmarkEnd w:id="51"/>
      <w:bookmarkEnd w:id="52"/>
      <w:bookmarkEnd w:id="53"/>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21年政府性基金预算财政拨款支出0万元。</w:t>
      </w:r>
    </w:p>
    <w:p>
      <w:pPr>
        <w:numPr>
          <w:ilvl w:val="0"/>
          <w:numId w:val="2"/>
        </w:numPr>
        <w:spacing w:line="600" w:lineRule="exact"/>
        <w:ind w:firstLine="640"/>
        <w:outlineLvl w:val="1"/>
        <w:rPr>
          <w:rStyle w:val="30"/>
          <w:rFonts w:ascii="黑体" w:hAnsi="黑体" w:eastAsia="黑体"/>
          <w:b w:val="0"/>
        </w:rPr>
      </w:pPr>
      <w:bookmarkStart w:id="54" w:name="_Toc15396611"/>
      <w:bookmarkStart w:id="55" w:name="_Toc15377219"/>
      <w:bookmarkStart w:id="56" w:name="_Toc1824"/>
      <w:r>
        <w:rPr>
          <w:rStyle w:val="30"/>
          <w:rFonts w:hint="eastAsia" w:ascii="黑体" w:hAnsi="黑体" w:eastAsia="黑体"/>
          <w:b w:val="0"/>
        </w:rPr>
        <w:t>国有资本经营预算</w:t>
      </w:r>
      <w:r>
        <w:rPr>
          <w:rFonts w:hint="eastAsia" w:ascii="黑体" w:hAnsi="黑体" w:eastAsia="黑体"/>
          <w:sz w:val="32"/>
          <w:szCs w:val="32"/>
        </w:rPr>
        <w:t>支出决算情况说明</w:t>
      </w:r>
      <w:bookmarkEnd w:id="54"/>
      <w:bookmarkEnd w:id="55"/>
      <w:bookmarkEnd w:id="56"/>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21年国有资本经营预算财政拨款支出0万元。</w:t>
      </w:r>
    </w:p>
    <w:p>
      <w:pPr>
        <w:numPr>
          <w:ilvl w:val="0"/>
          <w:numId w:val="2"/>
        </w:numPr>
        <w:spacing w:line="600" w:lineRule="exact"/>
        <w:ind w:firstLine="640"/>
        <w:outlineLvl w:val="1"/>
        <w:rPr>
          <w:rStyle w:val="30"/>
          <w:rFonts w:ascii="黑体" w:hAnsi="黑体" w:eastAsia="黑体"/>
          <w:b w:val="0"/>
        </w:rPr>
      </w:pPr>
      <w:bookmarkStart w:id="57" w:name="_Toc32002"/>
      <w:bookmarkStart w:id="58" w:name="_Toc15396612"/>
      <w:bookmarkStart w:id="59" w:name="_Toc15377221"/>
      <w:r>
        <w:rPr>
          <w:rStyle w:val="30"/>
          <w:rFonts w:hint="eastAsia" w:ascii="黑体" w:hAnsi="黑体" w:eastAsia="黑体"/>
          <w:b w:val="0"/>
        </w:rPr>
        <w:t>其他重要事项的情况说明</w:t>
      </w:r>
      <w:bookmarkEnd w:id="57"/>
      <w:bookmarkEnd w:id="58"/>
      <w:bookmarkEnd w:id="59"/>
    </w:p>
    <w:p>
      <w:pPr>
        <w:spacing w:line="600" w:lineRule="exact"/>
        <w:ind w:firstLine="643" w:firstLineChars="200"/>
        <w:outlineLvl w:val="2"/>
        <w:rPr>
          <w:rFonts w:ascii="仿宋" w:hAnsi="仿宋" w:eastAsia="仿宋"/>
          <w:sz w:val="32"/>
          <w:szCs w:val="32"/>
        </w:rPr>
      </w:pPr>
      <w:bookmarkStart w:id="60" w:name="_Toc15377222"/>
      <w:r>
        <w:rPr>
          <w:rFonts w:hint="eastAsia" w:ascii="仿宋" w:hAnsi="仿宋" w:eastAsia="仿宋"/>
          <w:b/>
          <w:sz w:val="32"/>
          <w:szCs w:val="32"/>
        </w:rPr>
        <w:t>（一）机关运行经费支出情况</w:t>
      </w:r>
      <w:bookmarkEnd w:id="60"/>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21年，机关运行经费支出0万元，与</w:t>
      </w:r>
      <w:r>
        <w:rPr>
          <w:rFonts w:ascii="仿宋_GB2312" w:eastAsia="仿宋_GB2312"/>
          <w:sz w:val="32"/>
          <w:szCs w:val="32"/>
        </w:rPr>
        <w:t>20</w:t>
      </w:r>
      <w:r>
        <w:rPr>
          <w:rFonts w:hint="eastAsia" w:ascii="仿宋_GB2312" w:eastAsia="仿宋_GB2312"/>
          <w:sz w:val="32"/>
          <w:szCs w:val="32"/>
        </w:rPr>
        <w:t>20年决算数持平。</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61" w:name="_Toc15377223"/>
      <w:r>
        <w:rPr>
          <w:rFonts w:hint="eastAsia" w:ascii="仿宋" w:hAnsi="仿宋" w:eastAsia="仿宋"/>
          <w:b/>
          <w:sz w:val="32"/>
          <w:szCs w:val="32"/>
        </w:rPr>
        <w:t>（二）政府采购支出情况</w:t>
      </w:r>
      <w:bookmarkEnd w:id="61"/>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21年，政府采购支出总额0万元，其中：政府采购货物支出0万元、政府采购工程支出0万元、政府采购服务支出0万元。授予中小微企业合同金额0万元，占政府采购支出总额的0%。</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62" w:name="_Toc15377224"/>
      <w:r>
        <w:rPr>
          <w:rFonts w:hint="eastAsia" w:ascii="仿宋" w:hAnsi="仿宋" w:eastAsia="仿宋"/>
          <w:b/>
          <w:sz w:val="32"/>
          <w:szCs w:val="32"/>
        </w:rPr>
        <w:t>（三）国有资产占有使用情况</w:t>
      </w:r>
      <w:bookmarkEnd w:id="62"/>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日，共有车辆0辆，其中：主要领导干部用车0辆、机要通信用车0辆、应急保障用车0辆、其他用车0辆、单价</w:t>
      </w:r>
      <w:r>
        <w:rPr>
          <w:rFonts w:ascii="仿宋_GB2312" w:eastAsia="仿宋_GB2312"/>
          <w:sz w:val="32"/>
          <w:szCs w:val="32"/>
        </w:rPr>
        <w:t>50</w:t>
      </w:r>
      <w:r>
        <w:rPr>
          <w:rFonts w:hint="eastAsia" w:ascii="仿宋_GB2312" w:eastAsia="仿宋_GB2312"/>
          <w:sz w:val="32"/>
          <w:szCs w:val="32"/>
        </w:rPr>
        <w:t>万元以上通用设备0台（套），单价</w:t>
      </w:r>
      <w:r>
        <w:rPr>
          <w:rFonts w:ascii="仿宋_GB2312" w:eastAsia="仿宋_GB2312"/>
          <w:sz w:val="32"/>
          <w:szCs w:val="32"/>
        </w:rPr>
        <w:t>100</w:t>
      </w:r>
      <w:r>
        <w:rPr>
          <w:rFonts w:hint="eastAsia" w:ascii="仿宋_GB2312" w:eastAsia="仿宋_GB2312"/>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2021年度预算编制阶段，组织对12项目（对村民委员会和村党支部的补助、公益性岗位补贴、行政事务管理、交通运输、其他就业补助、农村基础设施建设、其他扶贫支出、生产发展、危房改造、文化站免费开放、信访支出、对村集体经济组织的补助）等12个项目开展了预算事前绩效评估，对12个项目编制了绩效目标，预算执行过程中，选取12个项目开展绩效监控，年终执行完毕后，对12个项目开展了绩效自评，2021年特定目标类部门预算项目绩效目标自评表见附件（第四部分）。</w:t>
      </w:r>
    </w:p>
    <w:p>
      <w:pPr>
        <w:pStyle w:val="3"/>
        <w:spacing w:before="93"/>
        <w:rPr>
          <w:highlight w:val="yellow"/>
        </w:rPr>
      </w:pPr>
    </w:p>
    <w:p>
      <w:pPr>
        <w:widowControl/>
        <w:jc w:val="left"/>
        <w:rPr>
          <w:rFonts w:ascii="仿宋_GB2312" w:eastAsia="仿宋_GB2312"/>
          <w:b/>
          <w:sz w:val="32"/>
          <w:szCs w:val="32"/>
        </w:rPr>
      </w:pPr>
      <w:r>
        <w:br w:type="page"/>
      </w:r>
    </w:p>
    <w:p>
      <w:pPr>
        <w:numPr>
          <w:ilvl w:val="0"/>
          <w:numId w:val="3"/>
        </w:numPr>
        <w:spacing w:line="600" w:lineRule="exact"/>
        <w:ind w:firstLine="660" w:firstLineChars="150"/>
        <w:jc w:val="center"/>
        <w:outlineLvl w:val="0"/>
        <w:rPr>
          <w:rStyle w:val="29"/>
          <w:rFonts w:ascii="黑体" w:hAnsi="黑体" w:eastAsia="黑体"/>
          <w:b w:val="0"/>
        </w:rPr>
      </w:pPr>
      <w:bookmarkStart w:id="63" w:name="_Toc15396613"/>
      <w:bookmarkStart w:id="64" w:name="_Toc15377225"/>
      <w:bookmarkStart w:id="65" w:name="_Toc11463"/>
      <w:r>
        <w:rPr>
          <w:rFonts w:hint="eastAsia" w:ascii="黑体" w:hAnsi="黑体" w:eastAsia="黑体"/>
          <w:sz w:val="44"/>
          <w:szCs w:val="44"/>
        </w:rPr>
        <w:t>名</w:t>
      </w:r>
      <w:r>
        <w:rPr>
          <w:rStyle w:val="29"/>
          <w:rFonts w:hint="eastAsia" w:ascii="黑体" w:hAnsi="黑体" w:eastAsia="黑体"/>
          <w:b w:val="0"/>
        </w:rPr>
        <w:t>词解释</w:t>
      </w:r>
      <w:bookmarkEnd w:id="63"/>
      <w:bookmarkEnd w:id="64"/>
      <w:bookmarkEnd w:id="65"/>
    </w:p>
    <w:p>
      <w:pPr>
        <w:spacing w:line="600" w:lineRule="exact"/>
        <w:jc w:val="left"/>
        <w:rPr>
          <w:rFonts w:ascii="宋体"/>
          <w:b/>
          <w:sz w:val="44"/>
          <w:szCs w:val="44"/>
        </w:rPr>
      </w:pPr>
    </w:p>
    <w:p>
      <w:pPr>
        <w:pStyle w:val="27"/>
        <w:spacing w:line="500" w:lineRule="exact"/>
        <w:ind w:firstLine="640" w:firstLineChars="200"/>
        <w:rPr>
          <w:rFonts w:ascii="仿宋_GB2312" w:eastAsia="仿宋_GB2312"/>
          <w:sz w:val="32"/>
          <w:szCs w:val="32"/>
        </w:rPr>
      </w:pPr>
      <w:bookmarkStart w:id="66" w:name="_Toc15396614"/>
      <w:bookmarkStart w:id="67" w:name="_Toc15377226"/>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7"/>
        <w:spacing w:line="50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spacing w:line="5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3.一般公共服务（类）政府办公厅（室）及相关机构事务（款）行政运行（项）</w:t>
      </w:r>
      <w:r>
        <w:rPr>
          <w:rFonts w:hint="eastAsia" w:ascii="仿宋_GB2312" w:eastAsia="仿宋_GB2312"/>
          <w:sz w:val="32"/>
          <w:szCs w:val="32"/>
        </w:rPr>
        <w:t>：</w:t>
      </w:r>
      <w:r>
        <w:rPr>
          <w:rFonts w:hint="eastAsia" w:ascii="仿宋_GB2312" w:eastAsia="仿宋_GB2312"/>
          <w:color w:val="000000"/>
          <w:sz w:val="32"/>
          <w:szCs w:val="32"/>
        </w:rPr>
        <w:t>指反映行政单位（包括实行公务员管理的事业单位）的基本支出。</w:t>
      </w:r>
    </w:p>
    <w:p>
      <w:pPr>
        <w:spacing w:line="5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4.一般公共服务（类）政府办公厅（室）及相关机构事务（款）一般行政管理事务（项）</w:t>
      </w:r>
      <w:r>
        <w:rPr>
          <w:rFonts w:hint="eastAsia" w:ascii="仿宋_GB2312" w:eastAsia="仿宋_GB2312"/>
          <w:sz w:val="32"/>
          <w:szCs w:val="32"/>
        </w:rPr>
        <w:t>：</w:t>
      </w:r>
      <w:r>
        <w:rPr>
          <w:rFonts w:hint="eastAsia" w:ascii="仿宋_GB2312" w:eastAsia="仿宋_GB2312"/>
          <w:color w:val="000000"/>
          <w:sz w:val="32"/>
          <w:szCs w:val="32"/>
        </w:rPr>
        <w:t>指反映行政单位（包括实行公务员管理的事业单位）未单独设置项级科目的其他项目支出。</w:t>
      </w:r>
    </w:p>
    <w:p>
      <w:pPr>
        <w:spacing w:line="5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5.一般公共服务（类）政府办公厅（室）及相关机构事务（款）信访事务（项）</w:t>
      </w:r>
      <w:r>
        <w:rPr>
          <w:rFonts w:hint="eastAsia" w:ascii="仿宋_GB2312" w:eastAsia="仿宋_GB2312"/>
          <w:sz w:val="32"/>
          <w:szCs w:val="32"/>
        </w:rPr>
        <w:t>：</w:t>
      </w:r>
      <w:r>
        <w:rPr>
          <w:rFonts w:hint="eastAsia" w:ascii="仿宋_GB2312" w:hAnsi="宋体" w:eastAsia="仿宋_GB2312"/>
          <w:kern w:val="0"/>
          <w:sz w:val="32"/>
          <w:szCs w:val="32"/>
        </w:rPr>
        <w:t>指反映各级政府用于群众来信来访方面的支出。</w:t>
      </w:r>
    </w:p>
    <w:p>
      <w:pPr>
        <w:spacing w:line="5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6.一般公共服务（类）政府办公厅（室）及相关机构事务（款）事业运行（项）</w:t>
      </w:r>
      <w:r>
        <w:rPr>
          <w:rFonts w:hint="eastAsia" w:ascii="仿宋_GB2312" w:eastAsia="仿宋_GB2312"/>
          <w:sz w:val="32"/>
          <w:szCs w:val="32"/>
        </w:rPr>
        <w:t>：</w:t>
      </w:r>
      <w:r>
        <w:rPr>
          <w:rFonts w:hint="eastAsia" w:ascii="仿宋_GB2312" w:eastAsia="仿宋_GB2312"/>
          <w:color w:val="000000"/>
          <w:sz w:val="32"/>
          <w:szCs w:val="32"/>
        </w:rPr>
        <w:t>指反映事业单位的基本支出。</w:t>
      </w:r>
    </w:p>
    <w:p>
      <w:pPr>
        <w:spacing w:line="5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7.教育支出（类）普通教育（款）学前教育（项）</w:t>
      </w:r>
      <w:r>
        <w:rPr>
          <w:rFonts w:hint="eastAsia" w:ascii="仿宋_GB2312" w:eastAsia="仿宋_GB2312"/>
          <w:sz w:val="32"/>
          <w:szCs w:val="32"/>
        </w:rPr>
        <w:t>：</w:t>
      </w:r>
      <w:r>
        <w:rPr>
          <w:rFonts w:hint="eastAsia" w:ascii="仿宋_GB2312" w:hAnsi="宋体" w:eastAsia="仿宋_GB2312"/>
          <w:kern w:val="0"/>
          <w:sz w:val="32"/>
          <w:szCs w:val="32"/>
        </w:rPr>
        <w:t>指反映各部门举办的学前教育支出。政府各部门对社会组织等举办的幼儿园的资助，如捐赠、补贴等，也在本科目中反映。</w:t>
      </w:r>
    </w:p>
    <w:p>
      <w:pPr>
        <w:spacing w:line="5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8.教育支出（类）普通教育（款）小学教育（项）</w:t>
      </w:r>
      <w:r>
        <w:rPr>
          <w:rFonts w:hint="eastAsia" w:ascii="仿宋_GB2312" w:eastAsia="仿宋_GB2312"/>
          <w:sz w:val="32"/>
          <w:szCs w:val="32"/>
        </w:rPr>
        <w:t>：</w:t>
      </w:r>
      <w:r>
        <w:rPr>
          <w:rFonts w:hint="eastAsia" w:ascii="仿宋_GB2312" w:hAnsi="宋体" w:eastAsia="仿宋_GB2312"/>
          <w:kern w:val="0"/>
          <w:sz w:val="32"/>
          <w:szCs w:val="32"/>
        </w:rPr>
        <w:t>指反映各部门举办的小学教育支出。政府各部门对社会组织等举办的小学的资助，如捐赠、补贴等，也在本科目中反映。</w:t>
      </w:r>
    </w:p>
    <w:p>
      <w:pPr>
        <w:spacing w:line="5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9.教育支出（类）普通教育（款）其他普通教育支出（项）</w:t>
      </w:r>
      <w:r>
        <w:rPr>
          <w:rFonts w:hint="eastAsia" w:ascii="仿宋_GB2312" w:eastAsia="仿宋_GB2312"/>
          <w:sz w:val="32"/>
          <w:szCs w:val="32"/>
        </w:rPr>
        <w:t>：</w:t>
      </w:r>
      <w:r>
        <w:rPr>
          <w:rFonts w:hint="eastAsia" w:ascii="仿宋_GB2312" w:hAnsi="宋体" w:eastAsia="仿宋_GB2312"/>
          <w:kern w:val="0"/>
          <w:sz w:val="32"/>
          <w:szCs w:val="32"/>
        </w:rPr>
        <w:t>指反映除上述项目以外其他用于普通教育方面的支出。</w:t>
      </w:r>
    </w:p>
    <w:p>
      <w:pPr>
        <w:spacing w:line="5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10.文化旅游体育与传媒支出（类）文化和旅游（款）其他文化和旅游支出（项）</w:t>
      </w:r>
      <w:r>
        <w:rPr>
          <w:rFonts w:hint="eastAsia" w:ascii="仿宋_GB2312" w:eastAsia="仿宋_GB2312"/>
          <w:sz w:val="32"/>
          <w:szCs w:val="32"/>
        </w:rPr>
        <w:t>：</w:t>
      </w:r>
      <w:r>
        <w:rPr>
          <w:rFonts w:hint="eastAsia" w:ascii="仿宋_GB2312" w:hAnsi="宋体" w:eastAsia="仿宋_GB2312"/>
          <w:kern w:val="0"/>
          <w:sz w:val="32"/>
          <w:szCs w:val="32"/>
        </w:rPr>
        <w:t>指反映除上述项目以外其他用于文化和旅游方面的支出。</w:t>
      </w:r>
    </w:p>
    <w:p>
      <w:pPr>
        <w:spacing w:line="5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11.社会保障和就业支出（类）行政事业单位养老支出（款）机关事业单位基本养老保险缴费支出（项）</w:t>
      </w:r>
      <w:r>
        <w:rPr>
          <w:rFonts w:hint="eastAsia" w:ascii="仿宋_GB2312" w:eastAsia="仿宋_GB2312"/>
          <w:sz w:val="32"/>
          <w:szCs w:val="32"/>
        </w:rPr>
        <w:t>：</w:t>
      </w:r>
      <w:r>
        <w:rPr>
          <w:rFonts w:hint="eastAsia" w:ascii="仿宋_GB2312" w:hAnsi="宋体" w:eastAsia="仿宋_GB2312"/>
          <w:kern w:val="0"/>
          <w:sz w:val="32"/>
          <w:szCs w:val="32"/>
        </w:rPr>
        <w:t>指反映机关事业单位实施养老保险制度由单位缴纳的基本养老保险费支出。</w:t>
      </w:r>
    </w:p>
    <w:p>
      <w:pPr>
        <w:spacing w:line="5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12. 社会保障和就业支出（类）就业补助（款）公益性岗位补贴（项）</w:t>
      </w:r>
      <w:r>
        <w:rPr>
          <w:rFonts w:hint="eastAsia" w:ascii="仿宋_GB2312" w:eastAsia="仿宋_GB2312"/>
          <w:sz w:val="32"/>
          <w:szCs w:val="32"/>
        </w:rPr>
        <w:t>：</w:t>
      </w:r>
      <w:r>
        <w:rPr>
          <w:rFonts w:hint="eastAsia" w:ascii="仿宋_GB2312" w:hAnsi="宋体" w:eastAsia="仿宋_GB2312"/>
          <w:kern w:val="0"/>
          <w:sz w:val="32"/>
          <w:szCs w:val="32"/>
        </w:rPr>
        <w:t>指反映财政对符合条件的就业困难人员在公益性岗位就业给予的岗位补贴支出。</w:t>
      </w:r>
    </w:p>
    <w:p>
      <w:pPr>
        <w:spacing w:line="5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13. 社会保障和就业支出（类）就业补助（款）其他就业补助支出（项）</w:t>
      </w:r>
      <w:r>
        <w:rPr>
          <w:rFonts w:hint="eastAsia" w:ascii="仿宋_GB2312" w:eastAsia="仿宋_GB2312"/>
          <w:sz w:val="32"/>
          <w:szCs w:val="32"/>
        </w:rPr>
        <w:t>：</w:t>
      </w:r>
      <w:r>
        <w:rPr>
          <w:rFonts w:hint="eastAsia" w:ascii="仿宋_GB2312" w:hAnsi="宋体" w:eastAsia="仿宋_GB2312"/>
          <w:kern w:val="0"/>
          <w:sz w:val="32"/>
          <w:szCs w:val="32"/>
        </w:rPr>
        <w:t>指反映除上述项目以外按规定确定的其他用于促进就业的补助支出。</w:t>
      </w:r>
    </w:p>
    <w:p>
      <w:pPr>
        <w:spacing w:line="500" w:lineRule="exact"/>
        <w:ind w:firstLine="640" w:firstLineChars="200"/>
      </w:pPr>
      <w:r>
        <w:rPr>
          <w:rFonts w:hint="eastAsia" w:ascii="仿宋_GB2312" w:hAnsi="宋体" w:eastAsia="仿宋_GB2312"/>
          <w:kern w:val="0"/>
          <w:sz w:val="32"/>
          <w:szCs w:val="32"/>
        </w:rPr>
        <w:t>14. 社会保障和就业支出（类）其他社会保障和就业支出（款）其他社会保障和就业支出（项）</w:t>
      </w:r>
      <w:r>
        <w:rPr>
          <w:rFonts w:hint="eastAsia" w:ascii="仿宋_GB2312" w:eastAsia="仿宋_GB2312"/>
          <w:sz w:val="32"/>
          <w:szCs w:val="32"/>
        </w:rPr>
        <w:t>：</w:t>
      </w:r>
      <w:r>
        <w:rPr>
          <w:rFonts w:hint="eastAsia" w:ascii="仿宋_GB2312" w:hAnsi="宋体" w:eastAsia="仿宋_GB2312"/>
          <w:kern w:val="0"/>
          <w:sz w:val="32"/>
          <w:szCs w:val="32"/>
        </w:rPr>
        <w:t>指反映除上述项目以外按规定确定的其他用于其他社会保障和就业的支出。</w:t>
      </w:r>
    </w:p>
    <w:p>
      <w:pPr>
        <w:spacing w:line="5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15.卫生健康支出（类）基层医疗卫生机构（款）乡镇卫生院（项）</w:t>
      </w:r>
      <w:r>
        <w:rPr>
          <w:rFonts w:hint="eastAsia" w:ascii="仿宋_GB2312" w:eastAsia="仿宋_GB2312"/>
          <w:sz w:val="32"/>
          <w:szCs w:val="32"/>
        </w:rPr>
        <w:t>：</w:t>
      </w:r>
      <w:r>
        <w:rPr>
          <w:rFonts w:hint="eastAsia" w:ascii="仿宋_GB2312" w:eastAsia="仿宋_GB2312"/>
          <w:color w:val="000000"/>
          <w:sz w:val="32"/>
          <w:szCs w:val="32"/>
        </w:rPr>
        <w:t>指反映用于乡镇卫生院的支出。</w:t>
      </w:r>
    </w:p>
    <w:p>
      <w:pPr>
        <w:spacing w:line="5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16.卫生健康支出（类）基层医疗卫生机构（款）其他基层医疗卫生机构支出（项）</w:t>
      </w:r>
      <w:r>
        <w:rPr>
          <w:rFonts w:hint="eastAsia" w:ascii="仿宋_GB2312" w:eastAsia="仿宋_GB2312"/>
          <w:sz w:val="32"/>
          <w:szCs w:val="32"/>
        </w:rPr>
        <w:t>：</w:t>
      </w:r>
      <w:r>
        <w:rPr>
          <w:rFonts w:hint="eastAsia" w:ascii="仿宋_GB2312" w:hAnsi="宋体" w:eastAsia="仿宋_GB2312"/>
          <w:kern w:val="0"/>
          <w:sz w:val="32"/>
          <w:szCs w:val="32"/>
        </w:rPr>
        <w:t>指反映除上述项目以外的其他用于基层医疗卫生机构的支出。</w:t>
      </w:r>
    </w:p>
    <w:p>
      <w:pPr>
        <w:spacing w:line="5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17.卫生健康支出（类）公共卫生（款）基本公共卫生服务（项）</w:t>
      </w:r>
      <w:r>
        <w:rPr>
          <w:rFonts w:hint="eastAsia" w:ascii="仿宋_GB2312" w:eastAsia="仿宋_GB2312"/>
          <w:sz w:val="32"/>
          <w:szCs w:val="32"/>
        </w:rPr>
        <w:t>：</w:t>
      </w:r>
      <w:r>
        <w:rPr>
          <w:rFonts w:hint="eastAsia" w:ascii="仿宋_GB2312" w:hAnsi="宋体" w:eastAsia="仿宋_GB2312"/>
          <w:kern w:val="0"/>
          <w:sz w:val="32"/>
          <w:szCs w:val="32"/>
        </w:rPr>
        <w:t>指反映基本公共卫生服务支出。</w:t>
      </w:r>
    </w:p>
    <w:p>
      <w:pPr>
        <w:spacing w:line="5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18.卫生健康支出（类）行政事业单位医疗（款）行政单位医疗（项）</w:t>
      </w:r>
      <w:r>
        <w:rPr>
          <w:rFonts w:hint="eastAsia" w:ascii="仿宋_GB2312" w:eastAsia="仿宋_GB2312"/>
          <w:sz w:val="32"/>
          <w:szCs w:val="32"/>
        </w:rPr>
        <w:t>：</w:t>
      </w:r>
      <w:r>
        <w:rPr>
          <w:rFonts w:hint="eastAsia" w:ascii="仿宋_GB2312" w:hAnsi="宋体" w:eastAsia="仿宋_GB2312"/>
          <w:kern w:val="0"/>
          <w:sz w:val="32"/>
          <w:szCs w:val="32"/>
        </w:rPr>
        <w:t>指反映财政部门安排的行政单位基本医疗保险缴费经费。</w:t>
      </w:r>
    </w:p>
    <w:p>
      <w:pPr>
        <w:spacing w:line="5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19.卫生健康支出（类）行政事业单位医疗（款）事业单位医疗（项）</w:t>
      </w:r>
      <w:r>
        <w:rPr>
          <w:rFonts w:hint="eastAsia" w:ascii="仿宋_GB2312" w:eastAsia="仿宋_GB2312"/>
          <w:sz w:val="32"/>
          <w:szCs w:val="32"/>
        </w:rPr>
        <w:t>：</w:t>
      </w:r>
      <w:r>
        <w:rPr>
          <w:rFonts w:hint="eastAsia" w:ascii="仿宋_GB2312" w:hAnsi="宋体" w:eastAsia="仿宋_GB2312"/>
          <w:kern w:val="0"/>
          <w:sz w:val="32"/>
          <w:szCs w:val="32"/>
        </w:rPr>
        <w:t>指反映财政部门安排的事业单位基本医疗保险缴费经费。</w:t>
      </w:r>
    </w:p>
    <w:p>
      <w:pPr>
        <w:spacing w:line="5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20.卫生健康支出（类）行政事业单位医疗补助（款）公务员医疗补助（项）</w:t>
      </w:r>
      <w:r>
        <w:rPr>
          <w:rFonts w:hint="eastAsia" w:ascii="仿宋_GB2312" w:eastAsia="仿宋_GB2312"/>
          <w:sz w:val="32"/>
          <w:szCs w:val="32"/>
        </w:rPr>
        <w:t>：</w:t>
      </w:r>
      <w:r>
        <w:rPr>
          <w:rFonts w:hint="eastAsia" w:ascii="仿宋_GB2312" w:hAnsi="宋体" w:eastAsia="仿宋_GB2312"/>
          <w:kern w:val="0"/>
          <w:sz w:val="32"/>
          <w:szCs w:val="32"/>
        </w:rPr>
        <w:t>指反映财政部门安排的公务员医疗补助经费。</w:t>
      </w:r>
    </w:p>
    <w:p>
      <w:pPr>
        <w:spacing w:line="5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21.农林水支出（类）扶贫（款）农村基础设施建设（项）</w:t>
      </w:r>
      <w:r>
        <w:rPr>
          <w:rFonts w:hint="eastAsia" w:ascii="仿宋_GB2312" w:eastAsia="仿宋_GB2312"/>
          <w:sz w:val="32"/>
          <w:szCs w:val="32"/>
        </w:rPr>
        <w:t>：</w:t>
      </w:r>
      <w:r>
        <w:rPr>
          <w:rFonts w:hint="eastAsia" w:ascii="仿宋_GB2312" w:hAnsi="宋体" w:eastAsia="仿宋_GB2312"/>
          <w:kern w:val="0"/>
          <w:sz w:val="32"/>
          <w:szCs w:val="32"/>
        </w:rPr>
        <w:t>指反映用于农村贫困地区乡村道路、住房、基本农田、水利设施、人畜饮水、生态环境保护等生产生活条件改善方面的支出。</w:t>
      </w:r>
    </w:p>
    <w:p>
      <w:pPr>
        <w:spacing w:line="5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22.农林水支出（类）扶贫（款）生产发展（项）</w:t>
      </w:r>
      <w:r>
        <w:rPr>
          <w:rFonts w:hint="eastAsia" w:ascii="仿宋_GB2312" w:eastAsia="仿宋_GB2312"/>
          <w:sz w:val="32"/>
          <w:szCs w:val="32"/>
        </w:rPr>
        <w:t>：</w:t>
      </w:r>
      <w:r>
        <w:rPr>
          <w:rFonts w:hint="eastAsia" w:ascii="仿宋_GB2312" w:hAnsi="宋体" w:eastAsia="仿宋_GB2312"/>
          <w:kern w:val="0"/>
          <w:sz w:val="32"/>
          <w:szCs w:val="32"/>
        </w:rPr>
        <w:t>指反映用于农村贫困地区发展种植业、养殖业、畜牧业、农副产品加工、林果地建设等生产发展项目以及相关技术推广等方面的项目支出。</w:t>
      </w:r>
    </w:p>
    <w:p>
      <w:pPr>
        <w:spacing w:line="5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23.农林水支出（类）扶贫（款）其他扶贫支出（项）</w:t>
      </w:r>
      <w:r>
        <w:rPr>
          <w:rFonts w:hint="eastAsia" w:ascii="仿宋_GB2312" w:eastAsia="仿宋_GB2312"/>
          <w:sz w:val="32"/>
          <w:szCs w:val="32"/>
        </w:rPr>
        <w:t>：</w:t>
      </w:r>
      <w:r>
        <w:rPr>
          <w:rFonts w:hint="eastAsia" w:ascii="仿宋_GB2312" w:hAnsi="宋体" w:eastAsia="仿宋_GB2312"/>
          <w:kern w:val="0"/>
          <w:sz w:val="32"/>
          <w:szCs w:val="32"/>
        </w:rPr>
        <w:t>指反映除上述项目以外其他用于扶贫方面的支出。</w:t>
      </w:r>
    </w:p>
    <w:p>
      <w:pPr>
        <w:spacing w:line="5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24.农林水支出（类）农村综合改革（款）对村民委员会和村党支部的补助（项）</w:t>
      </w:r>
      <w:r>
        <w:rPr>
          <w:rFonts w:hint="eastAsia" w:ascii="仿宋_GB2312" w:eastAsia="仿宋_GB2312"/>
          <w:sz w:val="32"/>
          <w:szCs w:val="32"/>
        </w:rPr>
        <w:t>：</w:t>
      </w:r>
      <w:r>
        <w:rPr>
          <w:rFonts w:hint="eastAsia" w:ascii="仿宋_GB2312" w:hAnsi="宋体" w:eastAsia="仿宋_GB2312"/>
          <w:kern w:val="0"/>
          <w:sz w:val="32"/>
          <w:szCs w:val="32"/>
        </w:rPr>
        <w:t>指反映各级财政对村民委员会和村党支部的补助支出，以及支持建立县级基本财力保障机制安排的村级组织运转奖补资金。</w:t>
      </w:r>
    </w:p>
    <w:p>
      <w:pPr>
        <w:spacing w:line="5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25.农林水支出（类）农村综合改革（款）对村集体经济组织的补助（项）</w:t>
      </w:r>
      <w:r>
        <w:rPr>
          <w:rFonts w:hint="eastAsia" w:ascii="仿宋_GB2312" w:eastAsia="仿宋_GB2312"/>
          <w:sz w:val="32"/>
          <w:szCs w:val="32"/>
        </w:rPr>
        <w:t>：</w:t>
      </w:r>
      <w:r>
        <w:rPr>
          <w:rFonts w:hint="eastAsia" w:ascii="仿宋_GB2312" w:hAnsi="宋体" w:eastAsia="仿宋_GB2312"/>
          <w:kern w:val="0"/>
          <w:sz w:val="32"/>
          <w:szCs w:val="32"/>
        </w:rPr>
        <w:t>指反映对村集体经济组织的补助支出。</w:t>
      </w:r>
    </w:p>
    <w:p>
      <w:pPr>
        <w:spacing w:line="5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26.交通运输支出（类）其他交通运输支出（款）其他交通运输支出（项）</w:t>
      </w:r>
      <w:r>
        <w:rPr>
          <w:rFonts w:hint="eastAsia" w:ascii="仿宋_GB2312" w:eastAsia="仿宋_GB2312"/>
          <w:sz w:val="32"/>
          <w:szCs w:val="32"/>
        </w:rPr>
        <w:t>：</w:t>
      </w:r>
      <w:r>
        <w:rPr>
          <w:rFonts w:hint="eastAsia" w:ascii="仿宋_GB2312" w:eastAsia="仿宋_GB2312"/>
          <w:color w:val="000000"/>
          <w:sz w:val="32"/>
          <w:szCs w:val="32"/>
        </w:rPr>
        <w:t>指反映其他公路运输管理支出和公路路政管理支出。</w:t>
      </w:r>
    </w:p>
    <w:p>
      <w:pPr>
        <w:spacing w:line="5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27.住房保障支出（类）保障性安居工程支出（款）农村危房改造（项）</w:t>
      </w:r>
      <w:r>
        <w:rPr>
          <w:rFonts w:hint="eastAsia" w:ascii="仿宋_GB2312" w:eastAsia="仿宋_GB2312"/>
          <w:sz w:val="32"/>
          <w:szCs w:val="32"/>
        </w:rPr>
        <w:t>：</w:t>
      </w:r>
      <w:r>
        <w:rPr>
          <w:rFonts w:hint="eastAsia" w:ascii="仿宋_GB2312" w:hAnsi="宋体" w:eastAsia="仿宋_GB2312"/>
          <w:kern w:val="0"/>
          <w:sz w:val="32"/>
          <w:szCs w:val="32"/>
        </w:rPr>
        <w:t>指反映用于农村危房改造方面的支出。</w:t>
      </w:r>
    </w:p>
    <w:p>
      <w:pPr>
        <w:spacing w:line="5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28.住房保障支出（类）住房改革支出（款）住房公积金（项）</w:t>
      </w:r>
      <w:r>
        <w:rPr>
          <w:rFonts w:hint="eastAsia" w:ascii="仿宋_GB2312" w:eastAsia="仿宋_GB2312"/>
          <w:sz w:val="32"/>
          <w:szCs w:val="32"/>
        </w:rPr>
        <w:t>：</w:t>
      </w:r>
      <w:r>
        <w:rPr>
          <w:rFonts w:hint="eastAsia" w:ascii="仿宋_GB2312" w:hAnsi="宋体" w:eastAsia="仿宋_GB2312"/>
          <w:kern w:val="0"/>
          <w:sz w:val="32"/>
          <w:szCs w:val="32"/>
        </w:rPr>
        <w:t>指反映行政事业单位按人力资源和社会保障部、财政部规定的基本工资和津贴补贴以及规定比例为职工缴纳的住房公积金。</w:t>
      </w:r>
    </w:p>
    <w:p>
      <w:pPr>
        <w:spacing w:line="5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29</w:t>
      </w:r>
      <w:r>
        <w:rPr>
          <w:rFonts w:ascii="仿宋_GB2312" w:eastAsia="仿宋_GB2312"/>
          <w:color w:val="000000"/>
          <w:sz w:val="32"/>
          <w:szCs w:val="32"/>
        </w:rPr>
        <w:t>.</w:t>
      </w:r>
      <w:r>
        <w:rPr>
          <w:rFonts w:hint="eastAsia" w:ascii="仿宋_GB2312" w:eastAsia="仿宋_GB2312"/>
          <w:color w:val="000000"/>
          <w:sz w:val="32"/>
          <w:szCs w:val="32"/>
        </w:rPr>
        <w:t>基本支出</w:t>
      </w:r>
      <w:r>
        <w:rPr>
          <w:rFonts w:hint="eastAsia" w:ascii="仿宋_GB2312" w:eastAsia="仿宋_GB2312"/>
          <w:sz w:val="32"/>
          <w:szCs w:val="32"/>
        </w:rPr>
        <w:t>：</w:t>
      </w:r>
      <w:r>
        <w:rPr>
          <w:rFonts w:hint="eastAsia" w:ascii="仿宋_GB2312" w:eastAsia="仿宋_GB2312"/>
          <w:color w:val="000000"/>
          <w:sz w:val="32"/>
          <w:szCs w:val="32"/>
        </w:rPr>
        <w:t>指为保障机构正常运转、完成日常工作任务而发生的人员支出和公用支出。</w:t>
      </w:r>
    </w:p>
    <w:p>
      <w:pPr>
        <w:spacing w:line="5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30</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spacing w:line="5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31</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7"/>
        <w:spacing w:line="500" w:lineRule="exact"/>
        <w:ind w:firstLine="640" w:firstLineChars="200"/>
        <w:rPr>
          <w:rFonts w:ascii="仿宋_GB2312" w:eastAsia="仿宋_GB2312"/>
          <w:sz w:val="32"/>
          <w:szCs w:val="32"/>
        </w:rPr>
      </w:pPr>
      <w:r>
        <w:rPr>
          <w:rFonts w:hint="eastAsia" w:ascii="仿宋_GB2312" w:eastAsia="仿宋_GB2312"/>
          <w:sz w:val="32"/>
          <w:szCs w:val="32"/>
        </w:rPr>
        <w:t>32</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00" w:lineRule="exact"/>
        <w:ind w:firstLine="640" w:firstLineChars="200"/>
        <w:rPr>
          <w:rFonts w:hAnsi="仿宋"/>
          <w:b/>
          <w:sz w:val="32"/>
          <w:szCs w:val="32"/>
        </w:rPr>
      </w:pPr>
      <w:r>
        <w:rPr>
          <w:rFonts w:hint="eastAsia" w:ascii="仿宋_GB2312" w:eastAsia="仿宋_GB2312"/>
          <w:sz w:val="32"/>
          <w:szCs w:val="32"/>
        </w:rPr>
        <w:t>33</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left"/>
        <w:rPr>
          <w:rFonts w:ascii="宋体"/>
          <w:b/>
          <w:sz w:val="44"/>
          <w:szCs w:val="44"/>
        </w:rPr>
      </w:pPr>
    </w:p>
    <w:p>
      <w:pPr>
        <w:jc w:val="left"/>
        <w:rPr>
          <w:rFonts w:ascii="宋体"/>
          <w:b/>
          <w:sz w:val="44"/>
          <w:szCs w:val="44"/>
        </w:rPr>
      </w:pPr>
    </w:p>
    <w:p>
      <w:pPr>
        <w:jc w:val="left"/>
        <w:rPr>
          <w:rFonts w:ascii="宋体"/>
          <w:b/>
          <w:sz w:val="44"/>
          <w:szCs w:val="44"/>
        </w:rPr>
      </w:pPr>
    </w:p>
    <w:p>
      <w:pPr>
        <w:jc w:val="left"/>
        <w:rPr>
          <w:rFonts w:ascii="宋体"/>
          <w:b/>
          <w:sz w:val="44"/>
          <w:szCs w:val="44"/>
        </w:rPr>
      </w:pPr>
    </w:p>
    <w:p>
      <w:pPr>
        <w:jc w:val="left"/>
        <w:rPr>
          <w:rStyle w:val="29"/>
          <w:rFonts w:ascii="黑体" w:hAnsi="黑体" w:eastAsia="黑体"/>
          <w:b w:val="0"/>
        </w:rPr>
      </w:pPr>
      <w:bookmarkStart w:id="68" w:name="_Toc9125"/>
      <w:r>
        <w:rPr>
          <w:rFonts w:hint="eastAsia" w:ascii="黑体" w:hAnsi="黑体" w:eastAsia="黑体"/>
          <w:sz w:val="44"/>
          <w:szCs w:val="44"/>
        </w:rPr>
        <w:t>第</w:t>
      </w:r>
      <w:r>
        <w:rPr>
          <w:rStyle w:val="29"/>
          <w:rFonts w:hint="eastAsia" w:ascii="黑体" w:hAnsi="黑体" w:eastAsia="黑体"/>
          <w:b w:val="0"/>
        </w:rPr>
        <w:t>四部分附件</w:t>
      </w:r>
      <w:bookmarkEnd w:id="66"/>
      <w:bookmarkEnd w:id="68"/>
    </w:p>
    <w:p>
      <w:pPr>
        <w:spacing w:line="572" w:lineRule="exact"/>
        <w:jc w:val="left"/>
        <w:outlineLvl w:val="0"/>
        <w:rPr>
          <w:rFonts w:ascii="仿宋_GB2312" w:hAnsi="仿宋_GB2312" w:eastAsia="仿宋_GB2312" w:cs="仿宋_GB2312"/>
          <w:sz w:val="32"/>
          <w:szCs w:val="32"/>
        </w:rPr>
      </w:pPr>
      <w:r>
        <w:rPr>
          <w:rFonts w:hint="eastAsia" w:ascii="黑体" w:hAnsi="黑体" w:eastAsia="黑体" w:cs="黑体"/>
          <w:sz w:val="32"/>
          <w:szCs w:val="32"/>
        </w:rPr>
        <w:t>附件</w:t>
      </w:r>
    </w:p>
    <w:tbl>
      <w:tblPr>
        <w:tblStyle w:val="7"/>
        <w:tblpPr w:leftFromText="180" w:rightFromText="180" w:vertAnchor="text" w:horzAnchor="page" w:tblpX="1281" w:tblpY="660"/>
        <w:tblOverlap w:val="never"/>
        <w:tblW w:w="10140" w:type="dxa"/>
        <w:tblInd w:w="0" w:type="dxa"/>
        <w:tblLayout w:type="fixed"/>
        <w:tblCellMar>
          <w:top w:w="0" w:type="dxa"/>
          <w:left w:w="108" w:type="dxa"/>
          <w:bottom w:w="0" w:type="dxa"/>
          <w:right w:w="108" w:type="dxa"/>
        </w:tblCellMar>
      </w:tblPr>
      <w:tblGrid>
        <w:gridCol w:w="1519"/>
        <w:gridCol w:w="990"/>
        <w:gridCol w:w="1740"/>
        <w:gridCol w:w="1800"/>
        <w:gridCol w:w="1215"/>
        <w:gridCol w:w="2640"/>
        <w:gridCol w:w="236"/>
      </w:tblGrid>
      <w:tr>
        <w:tblPrEx>
          <w:tblCellMar>
            <w:top w:w="0" w:type="dxa"/>
            <w:left w:w="108" w:type="dxa"/>
            <w:bottom w:w="0" w:type="dxa"/>
            <w:right w:w="108" w:type="dxa"/>
          </w:tblCellMar>
        </w:tblPrEx>
        <w:trPr>
          <w:trHeight w:val="675" w:hRule="atLeast"/>
        </w:trPr>
        <w:tc>
          <w:tcPr>
            <w:tcW w:w="9904" w:type="dxa"/>
            <w:gridSpan w:val="6"/>
            <w:tcBorders>
              <w:top w:val="nil"/>
              <w:left w:val="nil"/>
              <w:bottom w:val="nil"/>
              <w:right w:val="nil"/>
            </w:tcBorders>
            <w:shd w:val="clear" w:color="auto" w:fill="auto"/>
            <w:vAlign w:val="center"/>
          </w:tcPr>
          <w:p>
            <w:pPr>
              <w:widowControl/>
              <w:jc w:val="center"/>
              <w:textAlignment w:val="center"/>
              <w:rPr>
                <w:rFonts w:ascii="宋体" w:hAnsi="宋体" w:cs="宋体"/>
                <w:b/>
                <w:sz w:val="32"/>
                <w:szCs w:val="32"/>
              </w:rPr>
            </w:pPr>
            <w:bookmarkStart w:id="69" w:name="_Toc15396618"/>
            <w:r>
              <w:rPr>
                <w:rFonts w:hint="eastAsia" w:ascii="宋体" w:hAnsi="宋体" w:cs="宋体"/>
                <w:b/>
                <w:sz w:val="32"/>
                <w:szCs w:val="32"/>
              </w:rPr>
              <w:t>2021年农村基础设施建设项目绩效目标自评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2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35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通江县烟溪镇人民政府</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通江县烟溪镇人民政府</w:t>
            </w:r>
          </w:p>
        </w:tc>
      </w:tr>
      <w:tr>
        <w:tblPrEx>
          <w:tblCellMar>
            <w:top w:w="0" w:type="dxa"/>
            <w:left w:w="108" w:type="dxa"/>
            <w:bottom w:w="0" w:type="dxa"/>
            <w:right w:w="108" w:type="dxa"/>
          </w:tblCellMar>
        </w:tblPrEx>
        <w:trPr>
          <w:gridAfter w:val="1"/>
          <w:wAfter w:w="236" w:type="dxa"/>
          <w:trHeight w:val="341" w:hRule="atLeast"/>
        </w:trPr>
        <w:tc>
          <w:tcPr>
            <w:tcW w:w="250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项目预算</w:t>
            </w:r>
          </w:p>
          <w:p>
            <w:pPr>
              <w:widowControl/>
              <w:spacing w:line="320" w:lineRule="exact"/>
              <w:jc w:val="center"/>
              <w:textAlignment w:val="center"/>
              <w:rPr>
                <w:rFonts w:ascii="宋体" w:hAnsi="宋体" w:cs="宋体"/>
                <w:kern w:val="0"/>
                <w:sz w:val="24"/>
              </w:rPr>
            </w:pPr>
            <w:r>
              <w:rPr>
                <w:rFonts w:hint="eastAsia" w:ascii="宋体" w:hAnsi="宋体" w:cs="宋体"/>
                <w:kern w:val="0"/>
                <w:sz w:val="24"/>
              </w:rPr>
              <w:t>执行情况</w:t>
            </w:r>
          </w:p>
          <w:p>
            <w:pPr>
              <w:widowControl/>
              <w:spacing w:line="320" w:lineRule="exact"/>
              <w:jc w:val="center"/>
              <w:textAlignment w:val="center"/>
              <w:rPr>
                <w:rFonts w:ascii="宋体" w:hAnsi="宋体" w:cs="宋体"/>
                <w:sz w:val="24"/>
              </w:rPr>
            </w:pPr>
            <w:r>
              <w:rPr>
                <w:rFonts w:hint="eastAsia" w:ascii="宋体" w:hAnsi="宋体" w:cs="宋体"/>
                <w:kern w:val="0"/>
                <w:sz w:val="24"/>
              </w:rPr>
              <w:t>（万元）</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预算数：</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18"/>
                <w:szCs w:val="18"/>
              </w:rPr>
              <w:t>229.23万元</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执行数：</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229.23万元</w:t>
            </w:r>
          </w:p>
        </w:tc>
      </w:tr>
      <w:tr>
        <w:tblPrEx>
          <w:tblCellMar>
            <w:top w:w="0" w:type="dxa"/>
            <w:left w:w="108" w:type="dxa"/>
            <w:bottom w:w="0" w:type="dxa"/>
            <w:right w:w="108" w:type="dxa"/>
          </w:tblCellMar>
        </w:tblPrEx>
        <w:trPr>
          <w:gridAfter w:val="1"/>
          <w:wAfter w:w="236" w:type="dxa"/>
          <w:trHeight w:val="555" w:hRule="atLeast"/>
        </w:trPr>
        <w:tc>
          <w:tcPr>
            <w:tcW w:w="25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18"/>
                <w:szCs w:val="18"/>
              </w:rPr>
              <w:t>229.23万元</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229.23万元</w:t>
            </w:r>
          </w:p>
        </w:tc>
      </w:tr>
      <w:tr>
        <w:tblPrEx>
          <w:tblCellMar>
            <w:top w:w="0" w:type="dxa"/>
            <w:left w:w="108" w:type="dxa"/>
            <w:bottom w:w="0" w:type="dxa"/>
            <w:right w:w="108" w:type="dxa"/>
          </w:tblCellMar>
        </w:tblPrEx>
        <w:trPr>
          <w:gridAfter w:val="1"/>
          <w:wAfter w:w="236" w:type="dxa"/>
          <w:trHeight w:val="341" w:hRule="atLeast"/>
        </w:trPr>
        <w:tc>
          <w:tcPr>
            <w:tcW w:w="25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6" w:type="dxa"/>
          <w:trHeight w:val="217" w:hRule="atLeast"/>
        </w:trPr>
        <w:tc>
          <w:tcPr>
            <w:tcW w:w="15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45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3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236" w:type="dxa"/>
          <w:trHeight w:val="562" w:hRule="atLeast"/>
        </w:trPr>
        <w:tc>
          <w:tcPr>
            <w:tcW w:w="1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4530"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按照政策要求按时予以兑现</w:t>
            </w:r>
          </w:p>
        </w:tc>
        <w:tc>
          <w:tcPr>
            <w:tcW w:w="385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按照政策要求按时予以兑现，</w:t>
            </w:r>
            <w:r>
              <w:rPr>
                <w:rFonts w:hint="eastAsia" w:ascii="宋体" w:hAnsi="宋体" w:cs="宋体"/>
                <w:sz w:val="24"/>
                <w:u w:val="thick" w:color="46CD7E"/>
                <w:shd w:val="clear" w:fill="DAF5E5"/>
                <w:lang w:eastAsia="zh-CN"/>
              </w:rPr>
              <w:t>下发给</w:t>
            </w:r>
            <w:r>
              <w:rPr>
                <w:rFonts w:hint="eastAsia" w:ascii="宋体" w:hAnsi="宋体" w:cs="宋体"/>
                <w:sz w:val="24"/>
              </w:rPr>
              <w:t>农户</w:t>
            </w:r>
            <w:r>
              <w:t>。</w:t>
            </w:r>
          </w:p>
        </w:tc>
      </w:tr>
      <w:tr>
        <w:tblPrEx>
          <w:tblCellMar>
            <w:top w:w="0" w:type="dxa"/>
            <w:left w:w="108" w:type="dxa"/>
            <w:bottom w:w="0" w:type="dxa"/>
            <w:right w:w="108" w:type="dxa"/>
          </w:tblCellMar>
        </w:tblPrEx>
        <w:trPr>
          <w:gridAfter w:val="1"/>
          <w:wAfter w:w="236" w:type="dxa"/>
          <w:trHeight w:val="693" w:hRule="atLeast"/>
        </w:trPr>
        <w:tc>
          <w:tcPr>
            <w:tcW w:w="1519"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990"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236" w:type="dxa"/>
          <w:trHeight w:val="415" w:hRule="atLeast"/>
        </w:trPr>
        <w:tc>
          <w:tcPr>
            <w:tcW w:w="151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覆盖村数量</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7</w:t>
            </w:r>
          </w:p>
        </w:tc>
      </w:tr>
      <w:tr>
        <w:tblPrEx>
          <w:tblCellMar>
            <w:top w:w="0" w:type="dxa"/>
            <w:left w:w="108" w:type="dxa"/>
            <w:bottom w:w="0" w:type="dxa"/>
            <w:right w:w="108" w:type="dxa"/>
          </w:tblCellMar>
        </w:tblPrEx>
        <w:trPr>
          <w:gridAfter w:val="1"/>
          <w:wAfter w:w="236" w:type="dxa"/>
          <w:trHeight w:val="435" w:hRule="atLeast"/>
        </w:trPr>
        <w:tc>
          <w:tcPr>
            <w:tcW w:w="151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90"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数量指标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受益农户数</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宋体" w:hAnsi="宋体" w:cs="宋体"/>
                <w:sz w:val="28"/>
                <w:szCs w:val="28"/>
              </w:rPr>
              <w:t>≧</w:t>
            </w:r>
            <w:r>
              <w:rPr>
                <w:rFonts w:hint="eastAsia" w:ascii="仿宋_GB2312" w:hAnsi="仿宋_GB2312" w:eastAsia="仿宋_GB2312" w:cs="仿宋_GB2312"/>
                <w:sz w:val="28"/>
                <w:szCs w:val="28"/>
              </w:rPr>
              <w:t>1000</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宋体" w:hAnsi="宋体" w:cs="宋体"/>
                <w:sz w:val="28"/>
                <w:szCs w:val="28"/>
              </w:rPr>
              <w:t>≧</w:t>
            </w:r>
            <w:r>
              <w:rPr>
                <w:rFonts w:hint="eastAsia" w:ascii="仿宋_GB2312" w:hAnsi="仿宋_GB2312" w:eastAsia="仿宋_GB2312" w:cs="仿宋_GB2312"/>
                <w:sz w:val="28"/>
                <w:szCs w:val="28"/>
              </w:rPr>
              <w:t>1000</w:t>
            </w:r>
          </w:p>
        </w:tc>
      </w:tr>
      <w:tr>
        <w:tblPrEx>
          <w:tblCellMar>
            <w:top w:w="0" w:type="dxa"/>
            <w:left w:w="108" w:type="dxa"/>
            <w:bottom w:w="0" w:type="dxa"/>
            <w:right w:w="108" w:type="dxa"/>
          </w:tblCellMar>
        </w:tblPrEx>
        <w:trPr>
          <w:gridAfter w:val="1"/>
          <w:wAfter w:w="236" w:type="dxa"/>
          <w:trHeight w:val="415" w:hRule="atLeast"/>
        </w:trPr>
        <w:tc>
          <w:tcPr>
            <w:tcW w:w="151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补助到位率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r>
      <w:tr>
        <w:tblPrEx>
          <w:tblCellMar>
            <w:top w:w="0" w:type="dxa"/>
            <w:left w:w="108" w:type="dxa"/>
            <w:bottom w:w="0" w:type="dxa"/>
            <w:right w:w="108" w:type="dxa"/>
          </w:tblCellMar>
        </w:tblPrEx>
        <w:trPr>
          <w:gridAfter w:val="1"/>
          <w:wAfter w:w="236" w:type="dxa"/>
          <w:trHeight w:val="415" w:hRule="atLeast"/>
        </w:trPr>
        <w:tc>
          <w:tcPr>
            <w:tcW w:w="151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补助及时率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r>
      <w:tr>
        <w:tblPrEx>
          <w:tblCellMar>
            <w:top w:w="0" w:type="dxa"/>
            <w:left w:w="108" w:type="dxa"/>
            <w:bottom w:w="0" w:type="dxa"/>
            <w:right w:w="108" w:type="dxa"/>
          </w:tblCellMar>
        </w:tblPrEx>
        <w:trPr>
          <w:gridAfter w:val="1"/>
          <w:wAfter w:w="236" w:type="dxa"/>
          <w:trHeight w:val="480" w:hRule="atLeast"/>
        </w:trPr>
        <w:tc>
          <w:tcPr>
            <w:tcW w:w="151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降本增效</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r>
      <w:tr>
        <w:tblPrEx>
          <w:tblCellMar>
            <w:top w:w="0" w:type="dxa"/>
            <w:left w:w="108" w:type="dxa"/>
            <w:bottom w:w="0" w:type="dxa"/>
            <w:right w:w="108" w:type="dxa"/>
          </w:tblCellMar>
        </w:tblPrEx>
        <w:trPr>
          <w:gridAfter w:val="1"/>
          <w:wAfter w:w="236" w:type="dxa"/>
          <w:trHeight w:val="480" w:hRule="atLeast"/>
        </w:trPr>
        <w:tc>
          <w:tcPr>
            <w:tcW w:w="151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效益</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经济效益指标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6" w:type="dxa"/>
          <w:trHeight w:val="480" w:hRule="atLeast"/>
        </w:trPr>
        <w:tc>
          <w:tcPr>
            <w:tcW w:w="151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提高农户生产生活环境</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r>
      <w:tr>
        <w:tblPrEx>
          <w:tblCellMar>
            <w:top w:w="0" w:type="dxa"/>
            <w:left w:w="108" w:type="dxa"/>
            <w:bottom w:w="0" w:type="dxa"/>
            <w:right w:w="108" w:type="dxa"/>
          </w:tblCellMar>
        </w:tblPrEx>
        <w:trPr>
          <w:gridAfter w:val="1"/>
          <w:wAfter w:w="236" w:type="dxa"/>
          <w:trHeight w:val="480" w:hRule="atLeast"/>
        </w:trPr>
        <w:tc>
          <w:tcPr>
            <w:tcW w:w="151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社会效益指标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提高农户生活质量</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r>
      <w:tr>
        <w:tblPrEx>
          <w:tblCellMar>
            <w:top w:w="0" w:type="dxa"/>
            <w:left w:w="108" w:type="dxa"/>
            <w:bottom w:w="0" w:type="dxa"/>
            <w:right w:w="108" w:type="dxa"/>
          </w:tblCellMar>
        </w:tblPrEx>
        <w:trPr>
          <w:gridAfter w:val="1"/>
          <w:wAfter w:w="236" w:type="dxa"/>
          <w:trHeight w:val="577" w:hRule="atLeast"/>
        </w:trPr>
        <w:tc>
          <w:tcPr>
            <w:tcW w:w="151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生态效益指标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改善生态环境</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r>
      <w:tr>
        <w:tblPrEx>
          <w:tblCellMar>
            <w:top w:w="0" w:type="dxa"/>
            <w:left w:w="108" w:type="dxa"/>
            <w:bottom w:w="0" w:type="dxa"/>
            <w:right w:w="108" w:type="dxa"/>
          </w:tblCellMar>
        </w:tblPrEx>
        <w:trPr>
          <w:gridAfter w:val="1"/>
          <w:wAfter w:w="236" w:type="dxa"/>
          <w:trHeight w:val="480" w:hRule="atLeast"/>
        </w:trPr>
        <w:tc>
          <w:tcPr>
            <w:tcW w:w="151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可持续影响指标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促进社会有序发展</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r>
      <w:tr>
        <w:tblPrEx>
          <w:tblCellMar>
            <w:top w:w="0" w:type="dxa"/>
            <w:left w:w="108" w:type="dxa"/>
            <w:bottom w:w="0" w:type="dxa"/>
            <w:right w:w="108" w:type="dxa"/>
          </w:tblCellMar>
        </w:tblPrEx>
        <w:trPr>
          <w:gridAfter w:val="1"/>
          <w:wAfter w:w="236" w:type="dxa"/>
          <w:trHeight w:val="910" w:hRule="atLeast"/>
        </w:trPr>
        <w:tc>
          <w:tcPr>
            <w:tcW w:w="1519"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度指标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服务对象满意度指标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受益群众对项目实施满意度</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r>
    </w:tbl>
    <w:p>
      <w:pPr>
        <w:spacing w:line="600" w:lineRule="exact"/>
        <w:jc w:val="center"/>
        <w:outlineLvl w:val="0"/>
        <w:rPr>
          <w:rFonts w:ascii="黑体" w:hAnsi="黑体" w:eastAsia="黑体"/>
          <w:sz w:val="44"/>
          <w:szCs w:val="44"/>
        </w:rPr>
      </w:pPr>
    </w:p>
    <w:p>
      <w:pPr>
        <w:widowControl/>
        <w:adjustRightInd w:val="0"/>
        <w:snapToGrid w:val="0"/>
        <w:spacing w:line="580" w:lineRule="exact"/>
        <w:contextualSpacing/>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（注：有两个及以上100万元以上（含）特定目标类部门预算项目的，需分别开展绩效目标自评并填写附表</w:t>
      </w:r>
      <w:r>
        <w:t>。</w:t>
      </w:r>
    </w:p>
    <w:p>
      <w:pPr>
        <w:pStyle w:val="3"/>
        <w:spacing w:before="93"/>
        <w:rPr>
          <w:rFonts w:ascii="宋体" w:hAnsi="宋体" w:eastAsia="宋体" w:cs="宋体"/>
          <w:sz w:val="24"/>
        </w:rPr>
      </w:pPr>
    </w:p>
    <w:tbl>
      <w:tblPr>
        <w:tblStyle w:val="7"/>
        <w:tblpPr w:leftFromText="180" w:rightFromText="180" w:vertAnchor="text" w:horzAnchor="page" w:tblpX="1281" w:tblpY="660"/>
        <w:tblOverlap w:val="never"/>
        <w:tblW w:w="10140" w:type="dxa"/>
        <w:tblInd w:w="0" w:type="dxa"/>
        <w:tblLayout w:type="fixed"/>
        <w:tblCellMar>
          <w:top w:w="0" w:type="dxa"/>
          <w:left w:w="108" w:type="dxa"/>
          <w:bottom w:w="0" w:type="dxa"/>
          <w:right w:w="108" w:type="dxa"/>
        </w:tblCellMar>
      </w:tblPr>
      <w:tblGrid>
        <w:gridCol w:w="1519"/>
        <w:gridCol w:w="990"/>
        <w:gridCol w:w="1740"/>
        <w:gridCol w:w="1800"/>
        <w:gridCol w:w="1215"/>
        <w:gridCol w:w="2640"/>
        <w:gridCol w:w="236"/>
      </w:tblGrid>
      <w:tr>
        <w:tblPrEx>
          <w:tblCellMar>
            <w:top w:w="0" w:type="dxa"/>
            <w:left w:w="108" w:type="dxa"/>
            <w:bottom w:w="0" w:type="dxa"/>
            <w:right w:w="108" w:type="dxa"/>
          </w:tblCellMar>
        </w:tblPrEx>
        <w:trPr>
          <w:trHeight w:val="675" w:hRule="atLeast"/>
        </w:trPr>
        <w:tc>
          <w:tcPr>
            <w:tcW w:w="9904" w:type="dxa"/>
            <w:gridSpan w:val="6"/>
            <w:tcBorders>
              <w:top w:val="nil"/>
              <w:left w:val="nil"/>
              <w:bottom w:val="nil"/>
              <w:right w:val="nil"/>
            </w:tcBorders>
            <w:shd w:val="clear" w:color="auto" w:fill="auto"/>
            <w:vAlign w:val="center"/>
          </w:tcPr>
          <w:p>
            <w:pPr>
              <w:widowControl/>
              <w:jc w:val="center"/>
              <w:textAlignment w:val="center"/>
              <w:rPr>
                <w:rFonts w:ascii="宋体" w:hAnsi="宋体" w:cs="宋体"/>
                <w:b/>
                <w:sz w:val="32"/>
                <w:szCs w:val="32"/>
              </w:rPr>
            </w:pPr>
            <w:r>
              <w:rPr>
                <w:rFonts w:hint="eastAsia" w:ascii="宋体" w:hAnsi="宋体" w:cs="宋体"/>
                <w:b/>
                <w:sz w:val="32"/>
                <w:szCs w:val="32"/>
              </w:rPr>
              <w:t>2021年农村危房改造项目绩效目标自评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2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35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通江县烟溪镇人民政府</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通江县烟溪镇人民政府</w:t>
            </w:r>
          </w:p>
        </w:tc>
      </w:tr>
      <w:tr>
        <w:tblPrEx>
          <w:tblCellMar>
            <w:top w:w="0" w:type="dxa"/>
            <w:left w:w="108" w:type="dxa"/>
            <w:bottom w:w="0" w:type="dxa"/>
            <w:right w:w="108" w:type="dxa"/>
          </w:tblCellMar>
        </w:tblPrEx>
        <w:trPr>
          <w:gridAfter w:val="1"/>
          <w:wAfter w:w="236" w:type="dxa"/>
          <w:trHeight w:val="341" w:hRule="atLeast"/>
        </w:trPr>
        <w:tc>
          <w:tcPr>
            <w:tcW w:w="250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项目预算</w:t>
            </w:r>
          </w:p>
          <w:p>
            <w:pPr>
              <w:widowControl/>
              <w:spacing w:line="320" w:lineRule="exact"/>
              <w:jc w:val="center"/>
              <w:textAlignment w:val="center"/>
              <w:rPr>
                <w:rFonts w:ascii="宋体" w:hAnsi="宋体" w:cs="宋体"/>
                <w:kern w:val="0"/>
                <w:sz w:val="24"/>
              </w:rPr>
            </w:pPr>
            <w:r>
              <w:rPr>
                <w:rFonts w:hint="eastAsia" w:ascii="宋体" w:hAnsi="宋体" w:cs="宋体"/>
                <w:kern w:val="0"/>
                <w:sz w:val="24"/>
              </w:rPr>
              <w:t>执行情况</w:t>
            </w:r>
          </w:p>
          <w:p>
            <w:pPr>
              <w:widowControl/>
              <w:spacing w:line="320" w:lineRule="exact"/>
              <w:jc w:val="center"/>
              <w:textAlignment w:val="center"/>
              <w:rPr>
                <w:rFonts w:ascii="宋体" w:hAnsi="宋体" w:cs="宋体"/>
                <w:sz w:val="24"/>
              </w:rPr>
            </w:pPr>
            <w:r>
              <w:rPr>
                <w:rFonts w:hint="eastAsia" w:ascii="宋体" w:hAnsi="宋体" w:cs="宋体"/>
                <w:kern w:val="0"/>
                <w:sz w:val="24"/>
              </w:rPr>
              <w:t>（万元）</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预算数：</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18"/>
                <w:szCs w:val="18"/>
              </w:rPr>
              <w:t>152.38万元</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执行数：</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152.38万元</w:t>
            </w:r>
          </w:p>
        </w:tc>
      </w:tr>
      <w:tr>
        <w:tblPrEx>
          <w:tblCellMar>
            <w:top w:w="0" w:type="dxa"/>
            <w:left w:w="108" w:type="dxa"/>
            <w:bottom w:w="0" w:type="dxa"/>
            <w:right w:w="108" w:type="dxa"/>
          </w:tblCellMar>
        </w:tblPrEx>
        <w:trPr>
          <w:gridAfter w:val="1"/>
          <w:wAfter w:w="236" w:type="dxa"/>
          <w:trHeight w:val="555" w:hRule="atLeast"/>
        </w:trPr>
        <w:tc>
          <w:tcPr>
            <w:tcW w:w="25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18"/>
                <w:szCs w:val="18"/>
              </w:rPr>
              <w:t>152.38万元</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152.38万元</w:t>
            </w:r>
          </w:p>
        </w:tc>
      </w:tr>
      <w:tr>
        <w:tblPrEx>
          <w:tblCellMar>
            <w:top w:w="0" w:type="dxa"/>
            <w:left w:w="108" w:type="dxa"/>
            <w:bottom w:w="0" w:type="dxa"/>
            <w:right w:w="108" w:type="dxa"/>
          </w:tblCellMar>
        </w:tblPrEx>
        <w:trPr>
          <w:gridAfter w:val="1"/>
          <w:wAfter w:w="236" w:type="dxa"/>
          <w:trHeight w:val="341" w:hRule="atLeast"/>
        </w:trPr>
        <w:tc>
          <w:tcPr>
            <w:tcW w:w="25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6" w:type="dxa"/>
          <w:trHeight w:val="217" w:hRule="atLeast"/>
        </w:trPr>
        <w:tc>
          <w:tcPr>
            <w:tcW w:w="15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45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3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236" w:type="dxa"/>
          <w:trHeight w:val="562" w:hRule="atLeast"/>
        </w:trPr>
        <w:tc>
          <w:tcPr>
            <w:tcW w:w="1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4530"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按照政策要求按时予以兑现</w:t>
            </w:r>
          </w:p>
        </w:tc>
        <w:tc>
          <w:tcPr>
            <w:tcW w:w="385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按照政策要求按时予以兑现，</w:t>
            </w:r>
            <w:bookmarkStart w:id="98" w:name="_GoBack"/>
            <w:bookmarkEnd w:id="98"/>
            <w:r>
              <w:rPr>
                <w:rFonts w:hint="eastAsia" w:ascii="宋体" w:hAnsi="宋体" w:cs="宋体"/>
                <w:sz w:val="24"/>
                <w:u w:val="thick" w:color="46CD7E"/>
                <w:shd w:val="clear" w:fill="DAF5E5"/>
                <w:lang w:eastAsia="zh-CN"/>
              </w:rPr>
              <w:t>下发给</w:t>
            </w:r>
            <w:r>
              <w:rPr>
                <w:rFonts w:hint="eastAsia" w:ascii="宋体" w:hAnsi="宋体" w:cs="宋体"/>
                <w:sz w:val="24"/>
              </w:rPr>
              <w:t>农户</w:t>
            </w:r>
            <w:r>
              <w:t>。</w:t>
            </w:r>
          </w:p>
        </w:tc>
      </w:tr>
      <w:tr>
        <w:tblPrEx>
          <w:tblCellMar>
            <w:top w:w="0" w:type="dxa"/>
            <w:left w:w="108" w:type="dxa"/>
            <w:bottom w:w="0" w:type="dxa"/>
            <w:right w:w="108" w:type="dxa"/>
          </w:tblCellMar>
        </w:tblPrEx>
        <w:trPr>
          <w:gridAfter w:val="1"/>
          <w:wAfter w:w="236" w:type="dxa"/>
          <w:trHeight w:val="693" w:hRule="atLeast"/>
        </w:trPr>
        <w:tc>
          <w:tcPr>
            <w:tcW w:w="1519"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990"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236" w:type="dxa"/>
          <w:trHeight w:val="415" w:hRule="atLeast"/>
        </w:trPr>
        <w:tc>
          <w:tcPr>
            <w:tcW w:w="151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受益群众50户以上</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r>
      <w:tr>
        <w:tblPrEx>
          <w:tblCellMar>
            <w:top w:w="0" w:type="dxa"/>
            <w:left w:w="108" w:type="dxa"/>
            <w:bottom w:w="0" w:type="dxa"/>
            <w:right w:w="108" w:type="dxa"/>
          </w:tblCellMar>
        </w:tblPrEx>
        <w:trPr>
          <w:gridAfter w:val="1"/>
          <w:wAfter w:w="236" w:type="dxa"/>
          <w:trHeight w:val="435" w:hRule="atLeast"/>
        </w:trPr>
        <w:tc>
          <w:tcPr>
            <w:tcW w:w="151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90"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质量指标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补助到位率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宋体" w:hAnsi="宋体" w:cs="宋体"/>
                <w:sz w:val="28"/>
                <w:szCs w:val="28"/>
              </w:rPr>
              <w:t>≧</w:t>
            </w:r>
            <w:r>
              <w:rPr>
                <w:rFonts w:hint="eastAsia" w:ascii="仿宋_GB2312" w:hAnsi="仿宋_GB2312" w:eastAsia="仿宋_GB2312" w:cs="仿宋_GB2312"/>
                <w:sz w:val="28"/>
                <w:szCs w:val="28"/>
              </w:rPr>
              <w:t>1000</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宋体" w:hAnsi="宋体" w:cs="宋体"/>
                <w:sz w:val="28"/>
                <w:szCs w:val="28"/>
              </w:rPr>
              <w:t>≧</w:t>
            </w:r>
            <w:r>
              <w:rPr>
                <w:rFonts w:hint="eastAsia" w:ascii="仿宋_GB2312" w:hAnsi="仿宋_GB2312" w:eastAsia="仿宋_GB2312" w:cs="仿宋_GB2312"/>
                <w:sz w:val="28"/>
                <w:szCs w:val="28"/>
              </w:rPr>
              <w:t>1000</w:t>
            </w:r>
          </w:p>
        </w:tc>
      </w:tr>
      <w:tr>
        <w:tblPrEx>
          <w:tblCellMar>
            <w:top w:w="0" w:type="dxa"/>
            <w:left w:w="108" w:type="dxa"/>
            <w:bottom w:w="0" w:type="dxa"/>
            <w:right w:w="108" w:type="dxa"/>
          </w:tblCellMar>
        </w:tblPrEx>
        <w:trPr>
          <w:gridAfter w:val="1"/>
          <w:wAfter w:w="236" w:type="dxa"/>
          <w:trHeight w:val="415" w:hRule="atLeast"/>
        </w:trPr>
        <w:tc>
          <w:tcPr>
            <w:tcW w:w="151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住房合格率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r>
      <w:tr>
        <w:tblPrEx>
          <w:tblCellMar>
            <w:top w:w="0" w:type="dxa"/>
            <w:left w:w="108" w:type="dxa"/>
            <w:bottom w:w="0" w:type="dxa"/>
            <w:right w:w="108" w:type="dxa"/>
          </w:tblCellMar>
        </w:tblPrEx>
        <w:trPr>
          <w:gridAfter w:val="1"/>
          <w:wAfter w:w="236" w:type="dxa"/>
          <w:trHeight w:val="415" w:hRule="atLeast"/>
        </w:trPr>
        <w:tc>
          <w:tcPr>
            <w:tcW w:w="151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补助及时率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r>
      <w:tr>
        <w:tblPrEx>
          <w:tblCellMar>
            <w:top w:w="0" w:type="dxa"/>
            <w:left w:w="108" w:type="dxa"/>
            <w:bottom w:w="0" w:type="dxa"/>
            <w:right w:w="108" w:type="dxa"/>
          </w:tblCellMar>
        </w:tblPrEx>
        <w:trPr>
          <w:gridAfter w:val="1"/>
          <w:wAfter w:w="236" w:type="dxa"/>
          <w:trHeight w:val="480" w:hRule="atLeast"/>
        </w:trPr>
        <w:tc>
          <w:tcPr>
            <w:tcW w:w="151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降本增效</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r>
      <w:tr>
        <w:tblPrEx>
          <w:tblCellMar>
            <w:top w:w="0" w:type="dxa"/>
            <w:left w:w="108" w:type="dxa"/>
            <w:bottom w:w="0" w:type="dxa"/>
            <w:right w:w="108" w:type="dxa"/>
          </w:tblCellMar>
        </w:tblPrEx>
        <w:trPr>
          <w:gridAfter w:val="1"/>
          <w:wAfter w:w="236" w:type="dxa"/>
          <w:trHeight w:val="480" w:hRule="atLeast"/>
        </w:trPr>
        <w:tc>
          <w:tcPr>
            <w:tcW w:w="151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效益</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经济效益指标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6" w:type="dxa"/>
          <w:trHeight w:val="480" w:hRule="atLeast"/>
        </w:trPr>
        <w:tc>
          <w:tcPr>
            <w:tcW w:w="151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保护村民居住环境</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r>
      <w:tr>
        <w:tblPrEx>
          <w:tblCellMar>
            <w:top w:w="0" w:type="dxa"/>
            <w:left w:w="108" w:type="dxa"/>
            <w:bottom w:w="0" w:type="dxa"/>
            <w:right w:w="108" w:type="dxa"/>
          </w:tblCellMar>
        </w:tblPrEx>
        <w:trPr>
          <w:gridAfter w:val="1"/>
          <w:wAfter w:w="236" w:type="dxa"/>
          <w:trHeight w:val="577" w:hRule="atLeast"/>
        </w:trPr>
        <w:tc>
          <w:tcPr>
            <w:tcW w:w="151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生态效益指标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直接间接影响环境</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r>
      <w:tr>
        <w:tblPrEx>
          <w:tblCellMar>
            <w:top w:w="0" w:type="dxa"/>
            <w:left w:w="108" w:type="dxa"/>
            <w:bottom w:w="0" w:type="dxa"/>
            <w:right w:w="108" w:type="dxa"/>
          </w:tblCellMar>
        </w:tblPrEx>
        <w:trPr>
          <w:gridAfter w:val="1"/>
          <w:wAfter w:w="236" w:type="dxa"/>
          <w:trHeight w:val="480" w:hRule="atLeast"/>
        </w:trPr>
        <w:tc>
          <w:tcPr>
            <w:tcW w:w="151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可持续影响指标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促进社会和谐发展</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r>
      <w:tr>
        <w:tblPrEx>
          <w:tblCellMar>
            <w:top w:w="0" w:type="dxa"/>
            <w:left w:w="108" w:type="dxa"/>
            <w:bottom w:w="0" w:type="dxa"/>
            <w:right w:w="108" w:type="dxa"/>
          </w:tblCellMar>
        </w:tblPrEx>
        <w:trPr>
          <w:gridAfter w:val="1"/>
          <w:wAfter w:w="236" w:type="dxa"/>
          <w:trHeight w:val="910" w:hRule="atLeast"/>
        </w:trPr>
        <w:tc>
          <w:tcPr>
            <w:tcW w:w="151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90" w:type="dxa"/>
            <w:vMerge w:val="restart"/>
            <w:tcBorders>
              <w:top w:val="single" w:color="000000" w:sz="4" w:space="0"/>
              <w:left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度指标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服务对象满意度指标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受益群众对项目实施满意度</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r>
      <w:tr>
        <w:tblPrEx>
          <w:tblCellMar>
            <w:top w:w="0" w:type="dxa"/>
            <w:left w:w="108" w:type="dxa"/>
            <w:bottom w:w="0" w:type="dxa"/>
            <w:right w:w="108" w:type="dxa"/>
          </w:tblCellMar>
        </w:tblPrEx>
        <w:trPr>
          <w:gridAfter w:val="1"/>
          <w:wAfter w:w="236" w:type="dxa"/>
          <w:trHeight w:val="910" w:hRule="atLeast"/>
        </w:trPr>
        <w:tc>
          <w:tcPr>
            <w:tcW w:w="1519" w:type="dxa"/>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990" w:type="dxa"/>
            <w:vMerge w:val="continue"/>
            <w:tcBorders>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服务对象满意度指标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受益群众对政府工作满意度</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r>
    </w:tbl>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pStyle w:val="3"/>
        <w:spacing w:before="93"/>
        <w:rPr>
          <w:rFonts w:ascii="黑体" w:hAnsi="黑体" w:eastAsia="黑体"/>
          <w:sz w:val="44"/>
          <w:szCs w:val="44"/>
        </w:rPr>
      </w:pPr>
    </w:p>
    <w:p>
      <w:pPr>
        <w:pStyle w:val="3"/>
        <w:spacing w:before="93"/>
        <w:rPr>
          <w:rFonts w:ascii="黑体" w:hAnsi="黑体" w:eastAsia="黑体"/>
          <w:sz w:val="44"/>
          <w:szCs w:val="44"/>
        </w:rPr>
      </w:pPr>
    </w:p>
    <w:p>
      <w:pPr>
        <w:pStyle w:val="3"/>
        <w:spacing w:before="93"/>
        <w:rPr>
          <w:rFonts w:ascii="黑体" w:hAnsi="黑体" w:eastAsia="黑体"/>
          <w:sz w:val="44"/>
          <w:szCs w:val="44"/>
        </w:rPr>
      </w:pPr>
    </w:p>
    <w:p>
      <w:pPr>
        <w:spacing w:line="600" w:lineRule="exact"/>
        <w:jc w:val="center"/>
        <w:outlineLvl w:val="0"/>
        <w:rPr>
          <w:rFonts w:ascii="仿宋" w:hAnsi="仿宋" w:eastAsia="仿宋"/>
        </w:rPr>
      </w:pPr>
      <w:bookmarkStart w:id="70" w:name="_Toc15671"/>
      <w:r>
        <w:rPr>
          <w:rFonts w:hint="eastAsia" w:ascii="黑体" w:hAnsi="黑体" w:eastAsia="黑体"/>
          <w:sz w:val="44"/>
          <w:szCs w:val="44"/>
        </w:rPr>
        <w:t>第</w:t>
      </w:r>
      <w:r>
        <w:rPr>
          <w:rStyle w:val="29"/>
          <w:rFonts w:hint="eastAsia" w:ascii="黑体" w:hAnsi="黑体" w:eastAsia="黑体"/>
          <w:b w:val="0"/>
        </w:rPr>
        <w:t>五部分附表</w:t>
      </w:r>
      <w:bookmarkEnd w:id="67"/>
      <w:bookmarkEnd w:id="69"/>
      <w:bookmarkEnd w:id="70"/>
      <w:bookmarkStart w:id="71" w:name="_Toc15396619"/>
    </w:p>
    <w:p>
      <w:pPr>
        <w:pStyle w:val="14"/>
        <w:rPr>
          <w:rFonts w:ascii="仿宋" w:hAnsi="仿宋" w:eastAsia="仿宋"/>
        </w:rPr>
      </w:pPr>
      <w:bookmarkStart w:id="72" w:name="_Toc1010"/>
      <w:r>
        <w:rPr>
          <w:rFonts w:hint="eastAsia" w:ascii="仿宋" w:hAnsi="仿宋" w:eastAsia="仿宋"/>
          <w:b w:val="0"/>
        </w:rPr>
        <w:t>一、收</w:t>
      </w:r>
      <w:r>
        <w:rPr>
          <w:rStyle w:val="30"/>
          <w:rFonts w:hint="eastAsia" w:ascii="仿宋" w:hAnsi="仿宋" w:eastAsia="仿宋"/>
          <w:b w:val="0"/>
          <w:bCs w:val="0"/>
        </w:rPr>
        <w:t>入支出决算</w:t>
      </w:r>
      <w:r>
        <w:rPr>
          <w:rFonts w:hint="eastAsia" w:ascii="仿宋" w:hAnsi="仿宋" w:eastAsia="仿宋"/>
          <w:b w:val="0"/>
          <w:bCs w:val="0"/>
        </w:rPr>
        <w:t>总表</w:t>
      </w:r>
      <w:bookmarkEnd w:id="71"/>
      <w:bookmarkEnd w:id="72"/>
    </w:p>
    <w:p>
      <w:pPr>
        <w:pStyle w:val="14"/>
        <w:rPr>
          <w:rFonts w:ascii="仿宋" w:hAnsi="仿宋" w:eastAsia="仿宋"/>
        </w:rPr>
      </w:pPr>
      <w:bookmarkStart w:id="73" w:name="_Toc15396620"/>
      <w:bookmarkStart w:id="74" w:name="_Toc2977"/>
      <w:r>
        <w:rPr>
          <w:rFonts w:hint="eastAsia" w:ascii="仿宋" w:hAnsi="仿宋" w:eastAsia="仿宋"/>
          <w:b w:val="0"/>
        </w:rPr>
        <w:t>二、收</w:t>
      </w:r>
      <w:r>
        <w:rPr>
          <w:rStyle w:val="30"/>
          <w:rFonts w:hint="eastAsia" w:ascii="仿宋" w:hAnsi="仿宋" w:eastAsia="仿宋"/>
          <w:b w:val="0"/>
          <w:bCs w:val="0"/>
        </w:rPr>
        <w:t>入决算</w:t>
      </w:r>
      <w:r>
        <w:rPr>
          <w:rFonts w:hint="eastAsia" w:ascii="仿宋" w:hAnsi="仿宋" w:eastAsia="仿宋"/>
          <w:b w:val="0"/>
          <w:bCs w:val="0"/>
        </w:rPr>
        <w:t>表</w:t>
      </w:r>
      <w:bookmarkEnd w:id="73"/>
      <w:bookmarkEnd w:id="74"/>
    </w:p>
    <w:p>
      <w:pPr>
        <w:pStyle w:val="14"/>
        <w:rPr>
          <w:rFonts w:ascii="仿宋" w:hAnsi="仿宋" w:eastAsia="仿宋"/>
        </w:rPr>
      </w:pPr>
      <w:bookmarkStart w:id="75" w:name="_Toc24160"/>
      <w:bookmarkStart w:id="76" w:name="_Toc15396621"/>
      <w:r>
        <w:rPr>
          <w:rStyle w:val="30"/>
          <w:rFonts w:hint="eastAsia" w:ascii="仿宋" w:hAnsi="仿宋" w:eastAsia="仿宋"/>
          <w:b w:val="0"/>
          <w:bCs w:val="0"/>
        </w:rPr>
        <w:t>三、</w:t>
      </w:r>
      <w:r>
        <w:rPr>
          <w:rFonts w:hint="eastAsia" w:ascii="仿宋" w:hAnsi="仿宋" w:eastAsia="仿宋"/>
          <w:b w:val="0"/>
        </w:rPr>
        <w:t>支</w:t>
      </w:r>
      <w:r>
        <w:rPr>
          <w:rStyle w:val="30"/>
          <w:rFonts w:hint="eastAsia" w:ascii="仿宋" w:hAnsi="仿宋" w:eastAsia="仿宋"/>
          <w:b w:val="0"/>
          <w:bCs w:val="0"/>
        </w:rPr>
        <w:t>出决算</w:t>
      </w:r>
      <w:r>
        <w:rPr>
          <w:rFonts w:hint="eastAsia" w:ascii="仿宋" w:hAnsi="仿宋" w:eastAsia="仿宋"/>
          <w:b w:val="0"/>
          <w:bCs w:val="0"/>
        </w:rPr>
        <w:t>表</w:t>
      </w:r>
      <w:bookmarkEnd w:id="75"/>
      <w:bookmarkEnd w:id="76"/>
    </w:p>
    <w:p>
      <w:pPr>
        <w:pStyle w:val="14"/>
        <w:rPr>
          <w:rFonts w:ascii="仿宋" w:hAnsi="仿宋" w:eastAsia="仿宋"/>
          <w:b w:val="0"/>
        </w:rPr>
      </w:pPr>
      <w:bookmarkStart w:id="77" w:name="_Toc15396622"/>
      <w:bookmarkStart w:id="78" w:name="_Toc28778"/>
      <w:r>
        <w:rPr>
          <w:rStyle w:val="30"/>
          <w:rFonts w:hint="eastAsia" w:ascii="仿宋" w:hAnsi="仿宋" w:eastAsia="仿宋"/>
          <w:b w:val="0"/>
          <w:bCs w:val="0"/>
        </w:rPr>
        <w:t>四、</w:t>
      </w:r>
      <w:r>
        <w:rPr>
          <w:rFonts w:hint="eastAsia" w:ascii="仿宋" w:hAnsi="仿宋" w:eastAsia="仿宋"/>
          <w:b w:val="0"/>
        </w:rPr>
        <w:t>财</w:t>
      </w:r>
      <w:r>
        <w:rPr>
          <w:rStyle w:val="30"/>
          <w:rFonts w:hint="eastAsia" w:ascii="仿宋" w:hAnsi="仿宋" w:eastAsia="仿宋"/>
          <w:b w:val="0"/>
          <w:bCs w:val="0"/>
        </w:rPr>
        <w:t>政拨款收入支出决算</w:t>
      </w:r>
      <w:r>
        <w:rPr>
          <w:rFonts w:hint="eastAsia" w:ascii="仿宋" w:hAnsi="仿宋" w:eastAsia="仿宋"/>
          <w:b w:val="0"/>
          <w:bCs w:val="0"/>
        </w:rPr>
        <w:t>总表</w:t>
      </w:r>
      <w:bookmarkEnd w:id="77"/>
      <w:bookmarkEnd w:id="78"/>
    </w:p>
    <w:p>
      <w:pPr>
        <w:pStyle w:val="14"/>
        <w:rPr>
          <w:rStyle w:val="30"/>
          <w:rFonts w:ascii="仿宋" w:hAnsi="仿宋" w:eastAsia="仿宋"/>
          <w:b w:val="0"/>
          <w:bCs w:val="0"/>
        </w:rPr>
      </w:pPr>
      <w:bookmarkStart w:id="79" w:name="_Toc1131"/>
      <w:bookmarkStart w:id="80" w:name="_Toc15396623"/>
      <w:r>
        <w:rPr>
          <w:rStyle w:val="30"/>
          <w:rFonts w:hint="eastAsia" w:ascii="仿宋" w:hAnsi="仿宋" w:eastAsia="仿宋"/>
          <w:b w:val="0"/>
          <w:bCs w:val="0"/>
        </w:rPr>
        <w:t>五、</w:t>
      </w:r>
      <w:r>
        <w:rPr>
          <w:rFonts w:hint="eastAsia" w:ascii="仿宋" w:hAnsi="仿宋" w:eastAsia="仿宋"/>
          <w:b w:val="0"/>
        </w:rPr>
        <w:t>财</w:t>
      </w:r>
      <w:r>
        <w:rPr>
          <w:rStyle w:val="30"/>
          <w:rFonts w:hint="eastAsia" w:ascii="仿宋" w:hAnsi="仿宋" w:eastAsia="仿宋"/>
          <w:b w:val="0"/>
          <w:bCs w:val="0"/>
        </w:rPr>
        <w:t>政拨款支出决算</w:t>
      </w:r>
      <w:r>
        <w:rPr>
          <w:rFonts w:hint="eastAsia" w:ascii="仿宋" w:hAnsi="仿宋" w:eastAsia="仿宋"/>
          <w:b w:val="0"/>
          <w:bCs w:val="0"/>
        </w:rPr>
        <w:t>明细表</w:t>
      </w:r>
      <w:bookmarkEnd w:id="79"/>
      <w:bookmarkEnd w:id="80"/>
      <w:bookmarkStart w:id="81" w:name="_Toc15396624"/>
    </w:p>
    <w:p>
      <w:pPr>
        <w:pStyle w:val="14"/>
        <w:rPr>
          <w:rFonts w:ascii="仿宋" w:hAnsi="仿宋" w:eastAsia="仿宋"/>
        </w:rPr>
      </w:pPr>
      <w:bookmarkStart w:id="82" w:name="_Toc28473"/>
      <w:r>
        <w:rPr>
          <w:rStyle w:val="30"/>
          <w:rFonts w:hint="eastAsia" w:ascii="仿宋" w:hAnsi="仿宋" w:eastAsia="仿宋"/>
          <w:b w:val="0"/>
          <w:bCs w:val="0"/>
        </w:rPr>
        <w:t>六、</w:t>
      </w:r>
      <w:r>
        <w:rPr>
          <w:rFonts w:hint="eastAsia" w:ascii="仿宋" w:hAnsi="仿宋" w:eastAsia="仿宋"/>
          <w:b w:val="0"/>
        </w:rPr>
        <w:t>一</w:t>
      </w:r>
      <w:r>
        <w:rPr>
          <w:rStyle w:val="30"/>
          <w:rFonts w:hint="eastAsia" w:ascii="仿宋" w:hAnsi="仿宋" w:eastAsia="仿宋"/>
          <w:b w:val="0"/>
          <w:bCs w:val="0"/>
        </w:rPr>
        <w:t>般公共预算</w:t>
      </w:r>
      <w:r>
        <w:rPr>
          <w:rFonts w:hint="eastAsia" w:ascii="仿宋" w:hAnsi="仿宋" w:eastAsia="仿宋"/>
          <w:b w:val="0"/>
          <w:bCs w:val="0"/>
        </w:rPr>
        <w:t>财政拨款支出决算表</w:t>
      </w:r>
      <w:bookmarkEnd w:id="81"/>
      <w:bookmarkEnd w:id="82"/>
    </w:p>
    <w:p>
      <w:pPr>
        <w:pStyle w:val="14"/>
        <w:rPr>
          <w:rFonts w:ascii="仿宋" w:hAnsi="仿宋" w:eastAsia="仿宋"/>
        </w:rPr>
      </w:pPr>
      <w:bookmarkStart w:id="83" w:name="_Toc15396625"/>
      <w:bookmarkStart w:id="84" w:name="_Toc27341"/>
      <w:r>
        <w:rPr>
          <w:rStyle w:val="30"/>
          <w:rFonts w:hint="eastAsia" w:ascii="仿宋" w:hAnsi="仿宋" w:eastAsia="仿宋"/>
          <w:b w:val="0"/>
          <w:bCs w:val="0"/>
        </w:rPr>
        <w:t>七、</w:t>
      </w:r>
      <w:r>
        <w:rPr>
          <w:rFonts w:hint="eastAsia" w:ascii="仿宋" w:hAnsi="仿宋" w:eastAsia="仿宋"/>
          <w:b w:val="0"/>
        </w:rPr>
        <w:t>一</w:t>
      </w:r>
      <w:r>
        <w:rPr>
          <w:rStyle w:val="30"/>
          <w:rFonts w:hint="eastAsia" w:ascii="仿宋" w:hAnsi="仿宋" w:eastAsia="仿宋"/>
          <w:b w:val="0"/>
          <w:bCs w:val="0"/>
        </w:rPr>
        <w:t>般公共预算</w:t>
      </w:r>
      <w:r>
        <w:rPr>
          <w:rFonts w:hint="eastAsia" w:ascii="仿宋" w:hAnsi="仿宋" w:eastAsia="仿宋"/>
          <w:b w:val="0"/>
          <w:bCs w:val="0"/>
        </w:rPr>
        <w:t>财政拨款支出决算明细表</w:t>
      </w:r>
      <w:bookmarkEnd w:id="83"/>
      <w:bookmarkEnd w:id="84"/>
    </w:p>
    <w:p>
      <w:pPr>
        <w:pStyle w:val="14"/>
        <w:rPr>
          <w:rFonts w:ascii="仿宋" w:hAnsi="仿宋" w:eastAsia="仿宋"/>
        </w:rPr>
      </w:pPr>
      <w:bookmarkStart w:id="85" w:name="_Toc29387"/>
      <w:bookmarkStart w:id="86" w:name="_Toc15396626"/>
      <w:r>
        <w:rPr>
          <w:rStyle w:val="30"/>
          <w:rFonts w:hint="eastAsia" w:ascii="仿宋" w:hAnsi="仿宋" w:eastAsia="仿宋"/>
          <w:b w:val="0"/>
          <w:bCs w:val="0"/>
        </w:rPr>
        <w:t>八、</w:t>
      </w:r>
      <w:r>
        <w:rPr>
          <w:rFonts w:hint="eastAsia" w:ascii="仿宋" w:hAnsi="仿宋" w:eastAsia="仿宋"/>
          <w:b w:val="0"/>
        </w:rPr>
        <w:t>一</w:t>
      </w:r>
      <w:r>
        <w:rPr>
          <w:rStyle w:val="30"/>
          <w:rFonts w:hint="eastAsia" w:ascii="仿宋" w:hAnsi="仿宋" w:eastAsia="仿宋"/>
          <w:b w:val="0"/>
          <w:bCs w:val="0"/>
        </w:rPr>
        <w:t>般公共预算</w:t>
      </w:r>
      <w:r>
        <w:rPr>
          <w:rFonts w:hint="eastAsia" w:ascii="仿宋" w:hAnsi="仿宋" w:eastAsia="仿宋"/>
          <w:b w:val="0"/>
          <w:bCs w:val="0"/>
        </w:rPr>
        <w:t>财政拨款基本支出决算表</w:t>
      </w:r>
      <w:bookmarkEnd w:id="85"/>
      <w:bookmarkEnd w:id="86"/>
    </w:p>
    <w:p>
      <w:pPr>
        <w:pStyle w:val="14"/>
        <w:rPr>
          <w:rFonts w:ascii="仿宋" w:hAnsi="仿宋" w:eastAsia="仿宋"/>
        </w:rPr>
      </w:pPr>
      <w:bookmarkStart w:id="87" w:name="_Toc15396627"/>
      <w:bookmarkStart w:id="88" w:name="_Toc7820"/>
      <w:r>
        <w:rPr>
          <w:rStyle w:val="30"/>
          <w:rFonts w:hint="eastAsia" w:ascii="仿宋" w:hAnsi="仿宋" w:eastAsia="仿宋"/>
          <w:b w:val="0"/>
          <w:bCs w:val="0"/>
        </w:rPr>
        <w:t>九、</w:t>
      </w:r>
      <w:r>
        <w:rPr>
          <w:rFonts w:hint="eastAsia" w:ascii="仿宋" w:hAnsi="仿宋" w:eastAsia="仿宋"/>
          <w:b w:val="0"/>
        </w:rPr>
        <w:t>一</w:t>
      </w:r>
      <w:r>
        <w:rPr>
          <w:rStyle w:val="30"/>
          <w:rFonts w:hint="eastAsia" w:ascii="仿宋" w:hAnsi="仿宋" w:eastAsia="仿宋"/>
          <w:b w:val="0"/>
          <w:bCs w:val="0"/>
        </w:rPr>
        <w:t>般公共预算</w:t>
      </w:r>
      <w:r>
        <w:rPr>
          <w:rFonts w:hint="eastAsia" w:ascii="仿宋" w:hAnsi="仿宋" w:eastAsia="仿宋"/>
          <w:b w:val="0"/>
          <w:bCs w:val="0"/>
        </w:rPr>
        <w:t>财政拨款项目支出决算表</w:t>
      </w:r>
      <w:bookmarkEnd w:id="87"/>
      <w:bookmarkEnd w:id="88"/>
    </w:p>
    <w:p>
      <w:pPr>
        <w:pStyle w:val="14"/>
        <w:rPr>
          <w:rFonts w:ascii="仿宋" w:hAnsi="仿宋" w:eastAsia="仿宋"/>
        </w:rPr>
      </w:pPr>
      <w:bookmarkStart w:id="89" w:name="_Toc29768"/>
      <w:bookmarkStart w:id="90" w:name="_Toc15396628"/>
      <w:r>
        <w:rPr>
          <w:rStyle w:val="30"/>
          <w:rFonts w:hint="eastAsia" w:ascii="仿宋" w:hAnsi="仿宋" w:eastAsia="仿宋"/>
          <w:b w:val="0"/>
          <w:bCs w:val="0"/>
        </w:rPr>
        <w:t>十、</w:t>
      </w:r>
      <w:r>
        <w:rPr>
          <w:rFonts w:hint="eastAsia" w:ascii="仿宋" w:hAnsi="仿宋" w:eastAsia="仿宋"/>
          <w:b w:val="0"/>
        </w:rPr>
        <w:t>一</w:t>
      </w:r>
      <w:r>
        <w:rPr>
          <w:rStyle w:val="30"/>
          <w:rFonts w:hint="eastAsia" w:ascii="仿宋" w:hAnsi="仿宋" w:eastAsia="仿宋"/>
          <w:b w:val="0"/>
          <w:bCs w:val="0"/>
        </w:rPr>
        <w:t>般公共预算</w:t>
      </w:r>
      <w:r>
        <w:rPr>
          <w:rFonts w:hint="eastAsia" w:ascii="仿宋" w:hAnsi="仿宋" w:eastAsia="仿宋"/>
          <w:b w:val="0"/>
          <w:bCs w:val="0"/>
        </w:rPr>
        <w:t>财政拨款“三公”经费支出决算表</w:t>
      </w:r>
      <w:bookmarkEnd w:id="89"/>
      <w:bookmarkEnd w:id="90"/>
    </w:p>
    <w:p>
      <w:pPr>
        <w:pStyle w:val="14"/>
        <w:rPr>
          <w:rFonts w:ascii="仿宋" w:hAnsi="仿宋" w:eastAsia="仿宋"/>
        </w:rPr>
      </w:pPr>
      <w:bookmarkStart w:id="91" w:name="_Toc15241"/>
      <w:bookmarkStart w:id="92" w:name="_Toc15396629"/>
      <w:r>
        <w:rPr>
          <w:rStyle w:val="30"/>
          <w:rFonts w:hint="eastAsia" w:ascii="仿宋" w:hAnsi="仿宋" w:eastAsia="仿宋"/>
          <w:b w:val="0"/>
          <w:bCs w:val="0"/>
        </w:rPr>
        <w:t>十一、</w:t>
      </w:r>
      <w:r>
        <w:rPr>
          <w:rFonts w:hint="eastAsia" w:ascii="仿宋" w:hAnsi="仿宋" w:eastAsia="仿宋"/>
          <w:b w:val="0"/>
        </w:rPr>
        <w:t>政</w:t>
      </w:r>
      <w:r>
        <w:rPr>
          <w:rStyle w:val="30"/>
          <w:rFonts w:hint="eastAsia" w:ascii="仿宋" w:hAnsi="仿宋" w:eastAsia="仿宋"/>
          <w:b w:val="0"/>
          <w:bCs w:val="0"/>
        </w:rPr>
        <w:t>府性基金预算</w:t>
      </w:r>
      <w:r>
        <w:rPr>
          <w:rFonts w:hint="eastAsia" w:ascii="仿宋" w:hAnsi="仿宋" w:eastAsia="仿宋"/>
          <w:b w:val="0"/>
          <w:bCs w:val="0"/>
        </w:rPr>
        <w:t>财政拨款收入支出决算表</w:t>
      </w:r>
      <w:bookmarkEnd w:id="91"/>
      <w:bookmarkEnd w:id="92"/>
    </w:p>
    <w:p>
      <w:pPr>
        <w:pStyle w:val="14"/>
        <w:rPr>
          <w:rFonts w:ascii="仿宋" w:hAnsi="仿宋" w:eastAsia="仿宋"/>
        </w:rPr>
      </w:pPr>
      <w:bookmarkStart w:id="93" w:name="_Toc21015"/>
      <w:bookmarkStart w:id="94" w:name="_Toc15396630"/>
      <w:r>
        <w:rPr>
          <w:rStyle w:val="30"/>
          <w:rFonts w:hint="eastAsia" w:ascii="仿宋" w:hAnsi="仿宋" w:eastAsia="仿宋"/>
          <w:b w:val="0"/>
          <w:bCs w:val="0"/>
        </w:rPr>
        <w:t>十二、</w:t>
      </w:r>
      <w:r>
        <w:rPr>
          <w:rFonts w:hint="eastAsia" w:ascii="仿宋" w:hAnsi="仿宋" w:eastAsia="仿宋"/>
          <w:b w:val="0"/>
        </w:rPr>
        <w:t>政</w:t>
      </w:r>
      <w:r>
        <w:rPr>
          <w:rStyle w:val="30"/>
          <w:rFonts w:hint="eastAsia" w:ascii="仿宋" w:hAnsi="仿宋" w:eastAsia="仿宋"/>
          <w:b w:val="0"/>
          <w:bCs w:val="0"/>
        </w:rPr>
        <w:t>府性基金预算</w:t>
      </w:r>
      <w:r>
        <w:rPr>
          <w:rFonts w:hint="eastAsia" w:ascii="仿宋" w:hAnsi="仿宋" w:eastAsia="仿宋"/>
          <w:b w:val="0"/>
          <w:bCs w:val="0"/>
        </w:rPr>
        <w:t>财政拨款“三公”经费支出决算表</w:t>
      </w:r>
      <w:bookmarkEnd w:id="93"/>
      <w:bookmarkEnd w:id="94"/>
    </w:p>
    <w:p>
      <w:pPr>
        <w:pStyle w:val="14"/>
        <w:rPr>
          <w:rStyle w:val="30"/>
          <w:rFonts w:ascii="仿宋" w:hAnsi="仿宋" w:eastAsia="仿宋"/>
          <w:b w:val="0"/>
          <w:bCs w:val="0"/>
        </w:rPr>
      </w:pPr>
      <w:bookmarkStart w:id="95" w:name="_Toc14449"/>
      <w:bookmarkStart w:id="96" w:name="_Toc15396631"/>
      <w:r>
        <w:rPr>
          <w:rStyle w:val="30"/>
          <w:rFonts w:hint="eastAsia" w:ascii="仿宋" w:hAnsi="仿宋" w:eastAsia="仿宋"/>
          <w:b w:val="0"/>
          <w:bCs w:val="0"/>
        </w:rPr>
        <w:t>十三、</w:t>
      </w:r>
      <w:r>
        <w:rPr>
          <w:rFonts w:hint="eastAsia" w:ascii="仿宋" w:hAnsi="仿宋" w:eastAsia="仿宋"/>
          <w:b w:val="0"/>
        </w:rPr>
        <w:t>国</w:t>
      </w:r>
      <w:r>
        <w:rPr>
          <w:rStyle w:val="30"/>
          <w:rFonts w:hint="eastAsia" w:ascii="仿宋" w:hAnsi="仿宋" w:eastAsia="仿宋"/>
          <w:b w:val="0"/>
          <w:bCs w:val="0"/>
        </w:rPr>
        <w:t>有资本经营预算财政拨款收入支出决算</w:t>
      </w:r>
      <w:r>
        <w:rPr>
          <w:rFonts w:hint="eastAsia" w:ascii="仿宋" w:hAnsi="仿宋" w:eastAsia="仿宋"/>
          <w:b w:val="0"/>
          <w:bCs w:val="0"/>
        </w:rPr>
        <w:t>表</w:t>
      </w:r>
      <w:bookmarkEnd w:id="95"/>
      <w:bookmarkEnd w:id="96"/>
    </w:p>
    <w:p>
      <w:pPr>
        <w:rPr>
          <w:rFonts w:eastAsia="仿宋"/>
          <w:sz w:val="32"/>
          <w:szCs w:val="32"/>
        </w:rPr>
      </w:pPr>
      <w:bookmarkStart w:id="97" w:name="_Toc31369"/>
      <w:r>
        <w:rPr>
          <w:rStyle w:val="30"/>
          <w:rFonts w:hint="eastAsia" w:ascii="仿宋" w:hAnsi="仿宋" w:eastAsia="仿宋"/>
          <w:b w:val="0"/>
          <w:bCs w:val="0"/>
        </w:rPr>
        <w:t>十四、国有资本经营预算</w:t>
      </w:r>
      <w:r>
        <w:rPr>
          <w:rFonts w:hint="eastAsia" w:ascii="仿宋" w:hAnsi="仿宋" w:eastAsia="仿宋"/>
          <w:sz w:val="32"/>
          <w:szCs w:val="32"/>
        </w:rPr>
        <w:t>财政拨款支出决算表</w:t>
      </w:r>
      <w:bookmarkEnd w:id="97"/>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7"/>
          <w:jc w:val="center"/>
        </w:pPr>
        <w:r>
          <w:fldChar w:fldCharType="begin"/>
        </w:r>
        <w:r>
          <w:instrText xml:space="preserve">PAGE   \* MERGEFORMAT</w:instrText>
        </w:r>
        <w:r>
          <w:fldChar w:fldCharType="separate"/>
        </w:r>
        <w:r>
          <w:rPr>
            <w:lang w:val="zh-CN"/>
          </w:rPr>
          <w:t>13</w:t>
        </w:r>
        <w:r>
          <w:fldChar w:fldCharType="end"/>
        </w:r>
      </w:p>
    </w:sdtContent>
  </w:sdt>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5B627E"/>
    <w:multiLevelType w:val="singleLevel"/>
    <w:tmpl w:val="545B627E"/>
    <w:lvl w:ilvl="0" w:tentative="0">
      <w:start w:val="3"/>
      <w:numFmt w:val="chineseCounting"/>
      <w:suff w:val="space"/>
      <w:lvlText w:val="第%1部分"/>
      <w:lvlJc w:val="left"/>
      <w:rPr>
        <w:rFonts w:hint="eastAsia" w:ascii="黑体" w:hAnsi="黑体" w:eastAsia="黑体" w:cs="黑体"/>
        <w:sz w:val="44"/>
        <w:szCs w:val="44"/>
      </w:rPr>
    </w:lvl>
  </w:abstractNum>
  <w:abstractNum w:abstractNumId="1">
    <w:nsid w:val="5F8412D0"/>
    <w:multiLevelType w:val="multilevel"/>
    <w:tmpl w:val="5F8412D0"/>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67492529"/>
    <w:multiLevelType w:val="singleLevel"/>
    <w:tmpl w:val="67492529"/>
    <w:lvl w:ilvl="0" w:tentative="0">
      <w:start w:val="9"/>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trackedChanges"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M4ZDZhZGYyYjgzNzFmMmU3YTczMjUxMWY3YTZmZDIifQ=="/>
  </w:docVars>
  <w:rsids>
    <w:rsidRoot w:val="006E32E8"/>
    <w:rsid w:val="006E32E8"/>
    <w:rsid w:val="00A92433"/>
    <w:rsid w:val="00BE6B07"/>
    <w:rsid w:val="30154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ody Text"/>
    <w:basedOn w:val="1"/>
    <w:qFormat/>
    <w:uiPriority w:val="99"/>
    <w:pPr>
      <w:spacing w:beforeLines="30"/>
    </w:pPr>
    <w:rPr>
      <w:rFonts w:ascii="仿宋_GB2312" w:eastAsia="仿宋_GB2312"/>
      <w:kern w:val="0"/>
      <w:sz w:val="30"/>
    </w:rPr>
  </w:style>
  <w:style w:type="paragraph" w:styleId="4">
    <w:name w:val="Balloon Text"/>
    <w:basedOn w:val="1"/>
    <w:semiHidden/>
    <w:unhideWhenUsed/>
    <w:qFormat/>
    <w:uiPriority w:val="99"/>
    <w:rPr>
      <w:sz w:val="18"/>
      <w:szCs w:val="18"/>
    </w:rPr>
  </w:style>
  <w:style w:type="paragraph" w:styleId="5">
    <w:name w:val="footer"/>
    <w:basedOn w:val="1"/>
    <w:link w:val="43"/>
    <w:qFormat/>
    <w:uiPriority w:val="99"/>
    <w:pPr>
      <w:tabs>
        <w:tab w:val="center" w:pos="4153"/>
        <w:tab w:val="right" w:pos="8306"/>
      </w:tabs>
      <w:snapToGrid w:val="0"/>
      <w:jc w:val="left"/>
    </w:pPr>
    <w:rPr>
      <w:sz w:val="18"/>
      <w:szCs w:val="18"/>
    </w:rPr>
  </w:style>
  <w:style w:type="paragraph" w:styleId="6">
    <w:name w:val="header"/>
    <w:basedOn w:val="1"/>
    <w:link w:val="42"/>
    <w:semiHidden/>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Strong"/>
    <w:basedOn w:val="9"/>
    <w:qFormat/>
    <w:uiPriority w:val="99"/>
    <w:rPr>
      <w:b/>
    </w:rPr>
  </w:style>
  <w:style w:type="character" w:styleId="11">
    <w:name w:val="Hyperlink"/>
    <w:basedOn w:val="9"/>
    <w:unhideWhenUsed/>
    <w:qFormat/>
    <w:uiPriority w:val="99"/>
    <w:rPr>
      <w:color w:val="0000FF" w:themeColor="hyperlink"/>
      <w:u w:val="single"/>
    </w:rPr>
  </w:style>
  <w:style w:type="character" w:styleId="12">
    <w:name w:val="annotation reference"/>
    <w:basedOn w:val="9"/>
    <w:semiHidden/>
    <w:unhideWhenUsed/>
    <w:uiPriority w:val="99"/>
    <w:rPr>
      <w:sz w:val="21"/>
      <w:szCs w:val="21"/>
    </w:rPr>
  </w:style>
  <w:style w:type="paragraph" w:customStyle="1" w:styleId="13">
    <w:name w:val="Heading 1"/>
    <w:basedOn w:val="1"/>
    <w:next w:val="1"/>
    <w:link w:val="29"/>
    <w:qFormat/>
    <w:uiPriority w:val="9"/>
    <w:pPr>
      <w:keepNext/>
      <w:keepLines/>
      <w:spacing w:before="340" w:after="330" w:line="578" w:lineRule="auto"/>
      <w:outlineLvl w:val="0"/>
    </w:pPr>
    <w:rPr>
      <w:b/>
      <w:bCs/>
      <w:kern w:val="44"/>
      <w:sz w:val="44"/>
      <w:szCs w:val="44"/>
    </w:rPr>
  </w:style>
  <w:style w:type="paragraph" w:customStyle="1" w:styleId="14">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customStyle="1" w:styleId="15">
    <w:name w:val="Heading 3"/>
    <w:basedOn w:val="1"/>
    <w:next w:val="1"/>
    <w:link w:val="33"/>
    <w:unhideWhenUsed/>
    <w:qFormat/>
    <w:uiPriority w:val="9"/>
    <w:pPr>
      <w:keepNext/>
      <w:keepLines/>
      <w:spacing w:before="260" w:after="260" w:line="416" w:lineRule="auto"/>
      <w:outlineLvl w:val="2"/>
    </w:pPr>
    <w:rPr>
      <w:b/>
      <w:bCs/>
      <w:sz w:val="32"/>
      <w:szCs w:val="32"/>
    </w:rPr>
  </w:style>
  <w:style w:type="paragraph" w:customStyle="1" w:styleId="16">
    <w:name w:val="TOC 3"/>
    <w:basedOn w:val="1"/>
    <w:next w:val="1"/>
    <w:unhideWhenUsed/>
    <w:qFormat/>
    <w:uiPriority w:val="39"/>
    <w:pPr>
      <w:tabs>
        <w:tab w:val="right" w:leader="dot" w:pos="8296"/>
      </w:tabs>
      <w:ind w:left="840" w:leftChars="400"/>
    </w:pPr>
  </w:style>
  <w:style w:type="paragraph" w:customStyle="1" w:styleId="17">
    <w:name w:val="Footer"/>
    <w:basedOn w:val="1"/>
    <w:qFormat/>
    <w:uiPriority w:val="99"/>
    <w:pPr>
      <w:tabs>
        <w:tab w:val="center" w:pos="4153"/>
        <w:tab w:val="right" w:pos="8306"/>
      </w:tabs>
      <w:snapToGrid w:val="0"/>
      <w:jc w:val="left"/>
    </w:pPr>
    <w:rPr>
      <w:rFonts w:ascii="Calibri" w:hAnsi="Calibri"/>
      <w:kern w:val="0"/>
      <w:sz w:val="18"/>
      <w:szCs w:val="18"/>
    </w:rPr>
  </w:style>
  <w:style w:type="paragraph" w:customStyle="1" w:styleId="18">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customStyle="1" w:styleId="19">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20">
    <w:name w:val="TOC 2"/>
    <w:basedOn w:val="1"/>
    <w:next w:val="1"/>
    <w:unhideWhenUsed/>
    <w:qFormat/>
    <w:uiPriority w:val="39"/>
    <w:pPr>
      <w:tabs>
        <w:tab w:val="right" w:leader="dot" w:pos="8296"/>
      </w:tabs>
      <w:ind w:left="420" w:leftChars="200"/>
    </w:pPr>
  </w:style>
  <w:style w:type="character" w:customStyle="1" w:styleId="21">
    <w:name w:val="Header Char"/>
    <w:basedOn w:val="9"/>
    <w:semiHidden/>
    <w:qFormat/>
    <w:uiPriority w:val="99"/>
    <w:rPr>
      <w:rFonts w:ascii="Times New Roman" w:hAnsi="Times New Roman"/>
      <w:sz w:val="18"/>
      <w:szCs w:val="18"/>
    </w:rPr>
  </w:style>
  <w:style w:type="character" w:customStyle="1" w:styleId="22">
    <w:name w:val="页眉 Char"/>
    <w:semiHidden/>
    <w:qFormat/>
    <w:locked/>
    <w:uiPriority w:val="99"/>
    <w:rPr>
      <w:sz w:val="18"/>
    </w:rPr>
  </w:style>
  <w:style w:type="character" w:customStyle="1" w:styleId="23">
    <w:name w:val="Footer Char"/>
    <w:basedOn w:val="9"/>
    <w:semiHidden/>
    <w:qFormat/>
    <w:uiPriority w:val="99"/>
    <w:rPr>
      <w:rFonts w:ascii="Times New Roman" w:hAnsi="Times New Roman"/>
      <w:sz w:val="18"/>
      <w:szCs w:val="18"/>
    </w:rPr>
  </w:style>
  <w:style w:type="character" w:customStyle="1" w:styleId="24">
    <w:name w:val="页脚 Char"/>
    <w:qFormat/>
    <w:locked/>
    <w:uiPriority w:val="99"/>
    <w:rPr>
      <w:sz w:val="18"/>
    </w:rPr>
  </w:style>
  <w:style w:type="character" w:customStyle="1" w:styleId="25">
    <w:name w:val="Body Text Char"/>
    <w:basedOn w:val="9"/>
    <w:semiHidden/>
    <w:qFormat/>
    <w:uiPriority w:val="99"/>
    <w:rPr>
      <w:rFonts w:ascii="Times New Roman" w:hAnsi="Times New Roman"/>
      <w:szCs w:val="24"/>
    </w:rPr>
  </w:style>
  <w:style w:type="character" w:customStyle="1" w:styleId="26">
    <w:name w:val="正文文本 Char"/>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34"/>
    <w:pPr>
      <w:ind w:firstLine="420" w:firstLineChars="200"/>
    </w:pPr>
  </w:style>
  <w:style w:type="character" w:customStyle="1" w:styleId="29">
    <w:name w:val="标题 1 Char"/>
    <w:basedOn w:val="9"/>
    <w:link w:val="13"/>
    <w:qFormat/>
    <w:uiPriority w:val="9"/>
    <w:rPr>
      <w:rFonts w:ascii="Times New Roman" w:hAnsi="Times New Roman"/>
      <w:b/>
      <w:bCs/>
      <w:kern w:val="44"/>
      <w:sz w:val="44"/>
      <w:szCs w:val="44"/>
    </w:rPr>
  </w:style>
  <w:style w:type="character" w:customStyle="1" w:styleId="30">
    <w:name w:val="标题 2 Char"/>
    <w:basedOn w:val="9"/>
    <w:link w:val="14"/>
    <w:qFormat/>
    <w:uiPriority w:val="9"/>
    <w:rPr>
      <w:rFonts w:asciiTheme="majorHAnsi" w:hAnsiTheme="majorHAnsi" w:eastAsiaTheme="majorEastAsia" w:cstheme="majorBidi"/>
      <w:b/>
      <w:bCs/>
      <w:kern w:val="2"/>
      <w:sz w:val="32"/>
      <w:szCs w:val="32"/>
    </w:rPr>
  </w:style>
  <w:style w:type="paragraph" w:customStyle="1" w:styleId="31">
    <w:name w:val="TOC 标题1"/>
    <w:basedOn w:val="1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2">
    <w:name w:val="批注框文本 Char"/>
    <w:basedOn w:val="9"/>
    <w:semiHidden/>
    <w:qFormat/>
    <w:uiPriority w:val="99"/>
    <w:rPr>
      <w:rFonts w:ascii="Times New Roman" w:hAnsi="Times New Roman"/>
      <w:kern w:val="2"/>
      <w:sz w:val="18"/>
      <w:szCs w:val="18"/>
    </w:rPr>
  </w:style>
  <w:style w:type="character" w:customStyle="1" w:styleId="33">
    <w:name w:val="标题 3 Char"/>
    <w:basedOn w:val="9"/>
    <w:link w:val="15"/>
    <w:qFormat/>
    <w:uiPriority w:val="9"/>
    <w:rPr>
      <w:rFonts w:ascii="Times New Roman" w:hAnsi="Times New Roman"/>
      <w:b/>
      <w:bCs/>
      <w:kern w:val="2"/>
      <w:sz w:val="32"/>
      <w:szCs w:val="32"/>
    </w:rPr>
  </w:style>
  <w:style w:type="paragraph" w:customStyle="1" w:styleId="34">
    <w:name w:val="TOC 标题2"/>
    <w:basedOn w:val="1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5">
    <w:name w:val="WPSOffice手动目录 1"/>
    <w:qFormat/>
    <w:uiPriority w:val="0"/>
    <w:rPr>
      <w:rFonts w:ascii="Times New Roman" w:hAnsi="Times New Roman" w:eastAsia="宋体" w:cs="Times New Roman"/>
      <w:lang w:val="en-US" w:eastAsia="zh-CN" w:bidi="ar-SA"/>
    </w:rPr>
  </w:style>
  <w:style w:type="paragraph" w:customStyle="1" w:styleId="3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37">
    <w:name w:val="批注文字 Char"/>
    <w:basedOn w:val="9"/>
    <w:semiHidden/>
    <w:qFormat/>
    <w:uiPriority w:val="99"/>
    <w:rPr>
      <w:kern w:val="2"/>
      <w:sz w:val="21"/>
      <w:szCs w:val="24"/>
    </w:rPr>
  </w:style>
  <w:style w:type="paragraph" w:customStyle="1" w:styleId="38">
    <w:name w:val="Header0"/>
    <w:basedOn w:val="1"/>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39">
    <w:name w:val="页眉 Char1"/>
    <w:basedOn w:val="9"/>
    <w:semiHidden/>
    <w:qFormat/>
    <w:uiPriority w:val="99"/>
    <w:rPr>
      <w:kern w:val="2"/>
      <w:sz w:val="18"/>
      <w:szCs w:val="18"/>
    </w:rPr>
  </w:style>
  <w:style w:type="paragraph" w:customStyle="1" w:styleId="40">
    <w:name w:val="Footer0"/>
    <w:basedOn w:val="1"/>
    <w:qFormat/>
    <w:uiPriority w:val="99"/>
    <w:pPr>
      <w:tabs>
        <w:tab w:val="center" w:pos="4153"/>
        <w:tab w:val="right" w:pos="8306"/>
      </w:tabs>
      <w:snapToGrid w:val="0"/>
      <w:jc w:val="left"/>
    </w:pPr>
    <w:rPr>
      <w:sz w:val="18"/>
      <w:szCs w:val="18"/>
    </w:rPr>
  </w:style>
  <w:style w:type="character" w:customStyle="1" w:styleId="41">
    <w:name w:val="页脚 Char1"/>
    <w:basedOn w:val="9"/>
    <w:qFormat/>
    <w:uiPriority w:val="99"/>
    <w:rPr>
      <w:kern w:val="2"/>
      <w:sz w:val="18"/>
      <w:szCs w:val="18"/>
    </w:rPr>
  </w:style>
  <w:style w:type="character" w:customStyle="1" w:styleId="42">
    <w:name w:val="页眉 Char2"/>
    <w:basedOn w:val="9"/>
    <w:link w:val="6"/>
    <w:semiHidden/>
    <w:qFormat/>
    <w:uiPriority w:val="99"/>
    <w:rPr>
      <w:kern w:val="2"/>
      <w:sz w:val="18"/>
      <w:szCs w:val="18"/>
    </w:rPr>
  </w:style>
  <w:style w:type="character" w:customStyle="1" w:styleId="43">
    <w:name w:val="页脚 Char2"/>
    <w:basedOn w:val="9"/>
    <w:link w:val="5"/>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12.xml"/><Relationship Id="rId24" Type="http://schemas.openxmlformats.org/officeDocument/2006/relationships/customXml" Target="../customXml/item11.xml"/><Relationship Id="rId23" Type="http://schemas.openxmlformats.org/officeDocument/2006/relationships/customXml" Target="../customXml/item10.xml"/><Relationship Id="rId22" Type="http://schemas.openxmlformats.org/officeDocument/2006/relationships/customXml" Target="../customXml/item9.xml"/><Relationship Id="rId21" Type="http://schemas.openxmlformats.org/officeDocument/2006/relationships/customXml" Target="../customXml/item8.xml"/><Relationship Id="rId20" Type="http://schemas.openxmlformats.org/officeDocument/2006/relationships/customXml" Target="../customXml/item7.xml"/><Relationship Id="rId2" Type="http://schemas.openxmlformats.org/officeDocument/2006/relationships/settings" Target="settings.xml"/><Relationship Id="rId19" Type="http://schemas.openxmlformats.org/officeDocument/2006/relationships/customXml" Target="../customXml/item6.xml"/><Relationship Id="rId18" Type="http://schemas.openxmlformats.org/officeDocument/2006/relationships/customXml" Target="../customXml/item5.xml"/><Relationship Id="rId17" Type="http://schemas.openxmlformats.org/officeDocument/2006/relationships/customXml" Target="../customXml/item4.xml"/><Relationship Id="rId16" Type="http://schemas.openxmlformats.org/officeDocument/2006/relationships/customXml" Target="../customXml/item3.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t>收支决算变动图</a:t>
            </a:r>
          </a:p>
        </c:rich>
      </c:tx>
      <c:layout/>
      <c:overlay val="0"/>
      <c:spPr>
        <a:noFill/>
        <a:ln>
          <a:noFill/>
        </a:ln>
        <a:effectLst/>
      </c:spPr>
    </c:title>
    <c:autoTitleDeleted val="0"/>
    <c:plotArea>
      <c:layout/>
      <c:barChart>
        <c:barDir val="col"/>
        <c:grouping val="clustered"/>
        <c:varyColors val="0"/>
        <c:ser>
          <c:idx val="0"/>
          <c:order val="0"/>
          <c:tx>
            <c:strRef>
              <c:f>Sheet1!$B$2</c:f>
              <c:strCache>
                <c:ptCount val="1"/>
                <c:pt idx="0">
                  <c:v>2020年</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strRef>
              <c:f>Sheet1!$A$3:$A$4</c:f>
              <c:strCache>
                <c:ptCount val="2"/>
                <c:pt idx="0">
                  <c:v>收入</c:v>
                </c:pt>
                <c:pt idx="1">
                  <c:v>支出</c:v>
                </c:pt>
              </c:strCache>
            </c:strRef>
          </c:cat>
          <c:val>
            <c:numRef>
              <c:f>Sheet1!$B$3:$B$4</c:f>
              <c:numCache>
                <c:formatCode>General</c:formatCode>
                <c:ptCount val="2"/>
                <c:pt idx="0">
                  <c:v>1107.84</c:v>
                </c:pt>
                <c:pt idx="1">
                  <c:v>1107.84</c:v>
                </c:pt>
              </c:numCache>
            </c:numRef>
          </c:val>
        </c:ser>
        <c:ser>
          <c:idx val="1"/>
          <c:order val="1"/>
          <c:tx>
            <c:strRef>
              <c:f>Sheet1!$C$2</c:f>
              <c:strCache>
                <c:ptCount val="1"/>
                <c:pt idx="0">
                  <c:v>2021年</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strRef>
              <c:f>Sheet1!$A$3:$A$4</c:f>
              <c:strCache>
                <c:ptCount val="2"/>
                <c:pt idx="0">
                  <c:v>收入</c:v>
                </c:pt>
                <c:pt idx="1">
                  <c:v>支出</c:v>
                </c:pt>
              </c:strCache>
            </c:strRef>
          </c:cat>
          <c:val>
            <c:numRef>
              <c:f>Sheet1!$C$3:$C$4</c:f>
              <c:numCache>
                <c:formatCode>General</c:formatCode>
                <c:ptCount val="2"/>
                <c:pt idx="0">
                  <c:v>1345.29</c:v>
                </c:pt>
                <c:pt idx="1">
                  <c:v>1345.29</c:v>
                </c:pt>
              </c:numCache>
            </c:numRef>
          </c:val>
        </c:ser>
        <c:ser>
          <c:idx val="2"/>
          <c:order val="2"/>
          <c:tx>
            <c:strRef>
              <c:f>Sheet1!#REF!</c:f>
              <c:strCache>
                <c:ptCount val="1"/>
                <c:pt idx="0">
                  <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strRef>
              <c:f>Sheet1!$A$3:$A$4</c:f>
              <c:strCache>
                <c:ptCount val="2"/>
                <c:pt idx="0">
                  <c:v>收入</c:v>
                </c:pt>
                <c:pt idx="1">
                  <c:v>支出</c:v>
                </c:pt>
              </c:strCache>
            </c:strRef>
          </c:cat>
          <c:val>
            <c:numRef>
              <c:f>Sheet1!#REF!</c:f>
              <c:numCache>
                <c:formatCode>General</c:formatCode>
                <c:ptCount val="1"/>
                <c:pt idx="0">
                  <c:v>1</c:v>
                </c:pt>
              </c:numCache>
            </c:numRef>
          </c:val>
        </c:ser>
        <c:dLbls>
          <c:showLegendKey val="0"/>
          <c:showVal val="1"/>
          <c:showCatName val="0"/>
          <c:showSerName val="0"/>
          <c:showPercent val="0"/>
          <c:showBubbleSize val="0"/>
        </c:dLbls>
        <c:gapWidth val="65"/>
        <c:axId val="132955136"/>
        <c:axId val="266502912"/>
      </c:barChart>
      <c:catAx>
        <c:axId val="132955136"/>
        <c:scaling>
          <c:orientation val="minMax"/>
        </c:scaling>
        <c:delete val="0"/>
        <c:axPos val="b"/>
        <c:majorTickMark val="none"/>
        <c:minorTickMark val="none"/>
        <c:tickLblPos val="nextTo"/>
        <c:spPr>
          <a:noFill/>
          <a:ln w="19050" cap="flat" cmpd="sng" algn="ctr">
            <a:solidFill>
              <a:schemeClr val="dk1">
                <a:lumMod val="75000"/>
                <a:lumOff val="25000"/>
              </a:schemeClr>
            </a:solidFill>
            <a:prstDash val="solid"/>
            <a:round/>
          </a:ln>
          <a:effectLst/>
        </c:spPr>
        <c:txPr>
          <a:bodyPr rot="-60000000" spcFirstLastPara="0" vertOverflow="ellipsis" vert="horz" wrap="square" anchor="ctr" anchorCtr="1"/>
          <a:lstStyle/>
          <a:p>
            <a:pPr>
              <a:defRPr lang="zh-CN" sz="900" b="0" i="0" u="none" strike="noStrike" kern="1200" cap="all" baseline="0">
                <a:solidFill>
                  <a:schemeClr val="dk1">
                    <a:lumMod val="75000"/>
                    <a:lumOff val="25000"/>
                  </a:schemeClr>
                </a:solidFill>
                <a:latin typeface="+mn-lt"/>
                <a:ea typeface="+mn-ea"/>
                <a:cs typeface="+mn-cs"/>
              </a:defRPr>
            </a:pPr>
          </a:p>
        </c:txPr>
        <c:crossAx val="266502912"/>
        <c:crosses val="autoZero"/>
        <c:auto val="1"/>
        <c:lblAlgn val="ctr"/>
        <c:lblOffset val="100"/>
        <c:noMultiLvlLbl val="0"/>
      </c:catAx>
      <c:valAx>
        <c:axId val="26650291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prstDash val="solid"/>
              <a:round/>
            </a:ln>
            <a:effectLst/>
          </c:spPr>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955136"/>
        <c:crosses val="autoZero"/>
        <c:crossBetween val="between"/>
      </c:valAx>
      <c:spPr>
        <a:noFill/>
        <a:ln>
          <a:noFill/>
        </a:ln>
        <a:effectLst/>
      </c:spPr>
    </c:plotArea>
    <c:legend>
      <c:legendPos val="b"/>
      <c:legendEntry>
        <c:idx val="2"/>
        <c:delete val="1"/>
      </c:legendEntry>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t>收入决算情况图</a:t>
            </a:r>
          </a:p>
        </c:rich>
      </c:tx>
      <c:layout/>
      <c:overlay val="0"/>
      <c:spPr>
        <a:noFill/>
        <a:ln>
          <a:noFill/>
        </a:ln>
        <a:effectLst/>
      </c:spPr>
    </c:title>
    <c:autoTitleDeleted val="0"/>
    <c:plotArea>
      <c:layout/>
      <c:pieChart>
        <c:varyColors val="1"/>
        <c:ser>
          <c:idx val="0"/>
          <c:order val="0"/>
          <c:tx>
            <c:strRef>
              <c:f>Sheet1!$B$1</c:f>
              <c:strCache>
                <c:ptCount val="1"/>
                <c:pt idx="0">
                  <c:v>收入决算情况</c:v>
                </c:pt>
              </c:strCache>
            </c:strRef>
          </c:tx>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dLbl>
              <c:idx val="0"/>
              <c:layout/>
              <c:tx>
                <c:rich>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r>
                      <a:rPr lang="en-US" altLang="zh-CN"/>
                      <a:t>1345.29</a:t>
                    </a:r>
                    <a:endParaRPr lang="en-US" altLang="zh-CN"/>
                  </a:p>
                  <a:p>
                    <a:pPr>
                      <a:defRPr lang="zh-CN" sz="1000" b="1" i="0" u="none" strike="noStrike" kern="1200" baseline="0">
                        <a:solidFill>
                          <a:schemeClr val="lt1"/>
                        </a:solidFill>
                        <a:latin typeface="+mn-lt"/>
                        <a:ea typeface="+mn-ea"/>
                        <a:cs typeface="+mn-cs"/>
                      </a:defRPr>
                    </a:pPr>
                    <a:r>
                      <a:t>100%</a:t>
                    </a:r>
                  </a:p>
                </c:rich>
              </c:tx>
              <c:dLblPos val="ctr"/>
              <c:showLegendKey val="0"/>
              <c:showVal val="0"/>
              <c:showCatName val="0"/>
              <c:showSerName val="0"/>
              <c:showPercent val="1"/>
              <c:showBubbleSize val="0"/>
              <c:extLst>
                <c:ext xmlns:c15="http://schemas.microsoft.com/office/drawing/2012/chart" uri="{CE6537A1-D6FC-4f65-9D91-7224C49458BB}">
                  <c15:layout>
                    <c:manualLayout>
                      <c:w val="0.11075"/>
                      <c:h val="0.113166666666667"/>
                    </c:manualLayout>
                  </c15:layout>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strRef>
              <c:f>Sheet1!$A$2:$A$5</c:f>
              <c:strCache>
                <c:ptCount val="4"/>
                <c:pt idx="0">
                  <c:v>一般公共预算财政拨款收入</c:v>
                </c:pt>
                <c:pt idx="1">
                  <c:v>事业收入</c:v>
                </c:pt>
                <c:pt idx="2">
                  <c:v>政府性基金预算财政拨款收入</c:v>
                </c:pt>
                <c:pt idx="3">
                  <c:v>国有资本经营预算财政拨款收入</c:v>
                </c:pt>
              </c:strCache>
            </c:strRef>
          </c:cat>
          <c:val>
            <c:numRef>
              <c:f>Sheet1!$B$2:$B$5</c:f>
              <c:numCache>
                <c:formatCode>General</c:formatCode>
                <c:ptCount val="4"/>
                <c:pt idx="0">
                  <c:v>1345.29</c:v>
                </c:pt>
                <c:pt idx="1">
                  <c:v>0</c:v>
                </c:pt>
                <c:pt idx="2">
                  <c:v>0</c:v>
                </c:pt>
                <c:pt idx="3">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支出决算结构图</c:v>
                </c:pt>
              </c:strCache>
            </c:strRef>
          </c:tx>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dLbl>
              <c:idx val="0"/>
              <c:layout/>
              <c:tx>
                <c:rich>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r>
                      <a:rPr lang="en-US" altLang="zh-CN"/>
                      <a:t>749.32</a:t>
                    </a:r>
                    <a:endParaRPr lang="en-US" altLang="zh-CN"/>
                  </a:p>
                  <a:p>
                    <a:pPr>
                      <a:defRPr lang="zh-CN" sz="1000" b="1" i="0" u="none" strike="noStrike" kern="1200" baseline="0">
                        <a:solidFill>
                          <a:schemeClr val="lt1"/>
                        </a:solidFill>
                        <a:latin typeface="+mn-lt"/>
                        <a:ea typeface="+mn-ea"/>
                        <a:cs typeface="+mn-cs"/>
                      </a:defRPr>
                    </a:pPr>
                    <a:r>
                      <a:rPr lang="en-US" altLang="zh-CN"/>
                      <a:t>55.7</a:t>
                    </a:r>
                    <a:r>
                      <a:t>%</a:t>
                    </a:r>
                  </a:p>
                </c:rich>
              </c:tx>
              <c:dLblPos val="ctr"/>
              <c:showLegendKey val="0"/>
              <c:showVal val="0"/>
              <c:showCatName val="0"/>
              <c:showSerName val="0"/>
              <c:showPercent val="1"/>
              <c:showBubbleSize val="0"/>
              <c:extLst>
                <c:ext xmlns:c15="http://schemas.microsoft.com/office/drawing/2012/chart" uri="{CE6537A1-D6FC-4f65-9D91-7224C49458BB}">
                  <c15:layout>
                    <c:manualLayout>
                      <c:w val="0.153625"/>
                      <c:h val="0.113333333333333"/>
                    </c:manualLayout>
                  </c15:layout>
                </c:ext>
              </c:extLst>
            </c:dLbl>
            <c:dLbl>
              <c:idx val="1"/>
              <c:layout>
                <c:manualLayout>
                  <c:x val="0.161709107903056"/>
                  <c:y val="0.0601138583212294"/>
                </c:manualLayout>
              </c:layout>
              <c:tx>
                <c:rich>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r>
                      <a:rPr lang="en-US" altLang="zh-CN"/>
                      <a:t>595.97</a:t>
                    </a:r>
                    <a:endParaRPr lang="en-US" altLang="zh-CN"/>
                  </a:p>
                  <a:p>
                    <a:pPr>
                      <a:defRPr lang="zh-CN" sz="1000" b="1" i="0" u="none" strike="noStrike" kern="1200" baseline="0">
                        <a:solidFill>
                          <a:schemeClr val="lt1"/>
                        </a:solidFill>
                        <a:latin typeface="+mn-lt"/>
                        <a:ea typeface="+mn-ea"/>
                        <a:cs typeface="+mn-cs"/>
                      </a:defRPr>
                    </a:pPr>
                    <a:r>
                      <a:rPr lang="en-US" altLang="zh-CN"/>
                      <a:t>44.3</a:t>
                    </a:r>
                    <a:r>
                      <a:t>%</a:t>
                    </a:r>
                  </a:p>
                </c:rich>
              </c:tx>
              <c:dLblPos val="bestFit"/>
              <c:showLegendKey val="0"/>
              <c:showVal val="0"/>
              <c:showCatName val="0"/>
              <c:showSerName val="0"/>
              <c:showPercent val="1"/>
              <c:showBubbleSize val="0"/>
              <c:extLst>
                <c:ext xmlns:c15="http://schemas.microsoft.com/office/drawing/2012/chart" uri="{CE6537A1-D6FC-4f65-9D91-7224C49458BB}">
                  <c15:layout>
                    <c:manualLayout>
                      <c:w val="0.179625"/>
                      <c:h val="0.133"/>
                    </c:manualLayout>
                  </c15:layout>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strRef>
              <c:f>Sheet1!$A$2:$A$5</c:f>
              <c:strCache>
                <c:ptCount val="4"/>
                <c:pt idx="0">
                  <c:v>基本支出</c:v>
                </c:pt>
                <c:pt idx="1">
                  <c:v>项目支出</c:v>
                </c:pt>
                <c:pt idx="2">
                  <c:v>上缴上级支出</c:v>
                </c:pt>
                <c:pt idx="3">
                  <c:v>经营支出</c:v>
                </c:pt>
              </c:strCache>
            </c:strRef>
          </c:cat>
          <c:val>
            <c:numRef>
              <c:f>Sheet1!$B$2:$B$5</c:f>
              <c:numCache>
                <c:formatCode>General</c:formatCode>
                <c:ptCount val="4"/>
                <c:pt idx="0">
                  <c:v>749.32</c:v>
                </c:pt>
                <c:pt idx="1">
                  <c:v>595.97</c:v>
                </c:pt>
                <c:pt idx="2">
                  <c:v>0</c:v>
                </c:pt>
                <c:pt idx="3">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t>财政拨款收、支决算图</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2020年</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strRef>
              <c:f>Sheet1!$A$2:$A$3</c:f>
              <c:strCache>
                <c:ptCount val="2"/>
                <c:pt idx="0">
                  <c:v>收入</c:v>
                </c:pt>
                <c:pt idx="1">
                  <c:v>支出</c:v>
                </c:pt>
              </c:strCache>
            </c:strRef>
          </c:cat>
          <c:val>
            <c:numRef>
              <c:f>Sheet1!$B$2:$B$3</c:f>
              <c:numCache>
                <c:formatCode>General</c:formatCode>
                <c:ptCount val="2"/>
                <c:pt idx="0">
                  <c:v>1107.84</c:v>
                </c:pt>
                <c:pt idx="1">
                  <c:v>1107.84</c:v>
                </c:pt>
              </c:numCache>
            </c:numRef>
          </c:val>
        </c:ser>
        <c:ser>
          <c:idx val="1"/>
          <c:order val="1"/>
          <c:tx>
            <c:strRef>
              <c:f>Sheet1!$C$1</c:f>
              <c:strCache>
                <c:ptCount val="1"/>
                <c:pt idx="0">
                  <c:v>2021年</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strRef>
              <c:f>Sheet1!$A$2:$A$3</c:f>
              <c:strCache>
                <c:ptCount val="2"/>
                <c:pt idx="0">
                  <c:v>收入</c:v>
                </c:pt>
                <c:pt idx="1">
                  <c:v>支出</c:v>
                </c:pt>
              </c:strCache>
            </c:strRef>
          </c:cat>
          <c:val>
            <c:numRef>
              <c:f>Sheet1!$C$2:$C$3</c:f>
              <c:numCache>
                <c:formatCode>General</c:formatCode>
                <c:ptCount val="2"/>
                <c:pt idx="0">
                  <c:v>1345.29</c:v>
                </c:pt>
                <c:pt idx="1">
                  <c:v>1345.29</c:v>
                </c:pt>
              </c:numCache>
            </c:numRef>
          </c:val>
        </c:ser>
        <c:ser>
          <c:idx val="2"/>
          <c:order val="2"/>
          <c:tx>
            <c:strRef>
              <c:f>Sheet1!#REF!</c:f>
              <c:strCache>
                <c:ptCount val="1"/>
                <c:pt idx="0">
                  <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strRef>
              <c:f>Sheet1!$A$2:$A$3</c:f>
              <c:strCache>
                <c:ptCount val="2"/>
                <c:pt idx="0">
                  <c:v>收入</c:v>
                </c:pt>
                <c:pt idx="1">
                  <c:v>支出</c:v>
                </c:pt>
              </c:strCache>
            </c:strRef>
          </c:cat>
          <c:val>
            <c:numRef>
              <c:f>Sheet1!#REF!</c:f>
              <c:numCache>
                <c:formatCode>General</c:formatCode>
                <c:ptCount val="1"/>
                <c:pt idx="0">
                  <c:v>1</c:v>
                </c:pt>
              </c:numCache>
            </c:numRef>
          </c:val>
        </c:ser>
        <c:dLbls>
          <c:showLegendKey val="0"/>
          <c:showVal val="1"/>
          <c:showCatName val="0"/>
          <c:showSerName val="0"/>
          <c:showPercent val="0"/>
          <c:showBubbleSize val="0"/>
        </c:dLbls>
        <c:gapWidth val="65"/>
        <c:axId val="131130112"/>
        <c:axId val="131131648"/>
      </c:barChart>
      <c:catAx>
        <c:axId val="131130112"/>
        <c:scaling>
          <c:orientation val="minMax"/>
        </c:scaling>
        <c:delete val="0"/>
        <c:axPos val="b"/>
        <c:majorTickMark val="none"/>
        <c:minorTickMark val="none"/>
        <c:tickLblPos val="nextTo"/>
        <c:spPr>
          <a:noFill/>
          <a:ln w="19050" cap="flat" cmpd="sng" algn="ctr">
            <a:solidFill>
              <a:schemeClr val="dk1">
                <a:lumMod val="75000"/>
                <a:lumOff val="25000"/>
              </a:schemeClr>
            </a:solidFill>
            <a:prstDash val="solid"/>
            <a:round/>
          </a:ln>
          <a:effectLst/>
        </c:spPr>
        <c:txPr>
          <a:bodyPr rot="-60000000" spcFirstLastPara="0" vertOverflow="ellipsis" vert="horz" wrap="square" anchor="ctr" anchorCtr="1"/>
          <a:lstStyle/>
          <a:p>
            <a:pPr>
              <a:defRPr lang="zh-CN" sz="900" b="0" i="0" u="none" strike="noStrike" kern="1200" cap="all" baseline="0">
                <a:solidFill>
                  <a:schemeClr val="dk1">
                    <a:lumMod val="75000"/>
                    <a:lumOff val="25000"/>
                  </a:schemeClr>
                </a:solidFill>
                <a:latin typeface="+mn-lt"/>
                <a:ea typeface="+mn-ea"/>
                <a:cs typeface="+mn-cs"/>
              </a:defRPr>
            </a:pPr>
          </a:p>
        </c:txPr>
        <c:crossAx val="131131648"/>
        <c:crosses val="autoZero"/>
        <c:auto val="1"/>
        <c:lblAlgn val="ctr"/>
        <c:lblOffset val="100"/>
        <c:noMultiLvlLbl val="0"/>
      </c:catAx>
      <c:valAx>
        <c:axId val="13113164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prstDash val="solid"/>
              <a:round/>
            </a:ln>
            <a:effectLst/>
          </c:spPr>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1130112"/>
        <c:crosses val="autoZero"/>
        <c:crossBetween val="between"/>
      </c:valAx>
      <c:spPr>
        <a:noFill/>
        <a:ln>
          <a:noFill/>
        </a:ln>
        <a:effectLst/>
      </c:spPr>
    </c:plotArea>
    <c:legend>
      <c:legendPos val="b"/>
      <c:legendEntry>
        <c:idx val="2"/>
        <c:delete val="1"/>
      </c:legendEntry>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t>一般公共预算拨款支出决算图</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2020年</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strRef>
              <c:f>Sheet1!$A$2</c:f>
              <c:strCache>
                <c:ptCount val="1"/>
                <c:pt idx="0">
                  <c:v>一般公共预算财政拨款支出</c:v>
                </c:pt>
              </c:strCache>
            </c:strRef>
          </c:cat>
          <c:val>
            <c:numRef>
              <c:f>Sheet1!$B$2</c:f>
              <c:numCache>
                <c:formatCode>General</c:formatCode>
                <c:ptCount val="1"/>
                <c:pt idx="0">
                  <c:v>1107.84</c:v>
                </c:pt>
              </c:numCache>
            </c:numRef>
          </c:val>
        </c:ser>
        <c:ser>
          <c:idx val="1"/>
          <c:order val="1"/>
          <c:tx>
            <c:strRef>
              <c:f>Sheet1!$C$1</c:f>
              <c:strCache>
                <c:ptCount val="1"/>
                <c:pt idx="0">
                  <c:v>2021年</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strRef>
              <c:f>Sheet1!$A$2</c:f>
              <c:strCache>
                <c:ptCount val="1"/>
                <c:pt idx="0">
                  <c:v>一般公共预算财政拨款支出</c:v>
                </c:pt>
              </c:strCache>
            </c:strRef>
          </c:cat>
          <c:val>
            <c:numRef>
              <c:f>Sheet1!$C$2</c:f>
              <c:numCache>
                <c:formatCode>General</c:formatCode>
                <c:ptCount val="1"/>
                <c:pt idx="0">
                  <c:v>1345.29</c:v>
                </c:pt>
              </c:numCache>
            </c:numRef>
          </c:val>
        </c:ser>
        <c:ser>
          <c:idx val="2"/>
          <c:order val="2"/>
          <c:tx>
            <c:strRef>
              <c:f>Sheet1!#REF!</c:f>
              <c:strCache>
                <c:ptCount val="1"/>
                <c:pt idx="0">
                  <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strRef>
              <c:f>Sheet1!$A$2</c:f>
              <c:strCache>
                <c:ptCount val="1"/>
                <c:pt idx="0">
                  <c:v>一般公共预算财政拨款支出</c:v>
                </c:pt>
              </c:strCache>
            </c:strRef>
          </c:cat>
          <c:val>
            <c:numRef>
              <c:f>Sheet1!#REF!</c:f>
              <c:numCache>
                <c:formatCode>General</c:formatCode>
                <c:ptCount val="1"/>
                <c:pt idx="0">
                  <c:v>1</c:v>
                </c:pt>
              </c:numCache>
            </c:numRef>
          </c:val>
        </c:ser>
        <c:dLbls>
          <c:showLegendKey val="0"/>
          <c:showVal val="1"/>
          <c:showCatName val="0"/>
          <c:showSerName val="0"/>
          <c:showPercent val="0"/>
          <c:showBubbleSize val="0"/>
        </c:dLbls>
        <c:gapWidth val="65"/>
        <c:axId val="128115840"/>
        <c:axId val="128117376"/>
      </c:barChart>
      <c:catAx>
        <c:axId val="128115840"/>
        <c:scaling>
          <c:orientation val="minMax"/>
        </c:scaling>
        <c:delete val="0"/>
        <c:axPos val="b"/>
        <c:majorTickMark val="none"/>
        <c:minorTickMark val="none"/>
        <c:tickLblPos val="nextTo"/>
        <c:spPr>
          <a:noFill/>
          <a:ln w="19050" cap="flat" cmpd="sng" algn="ctr">
            <a:solidFill>
              <a:schemeClr val="dk1">
                <a:lumMod val="75000"/>
                <a:lumOff val="25000"/>
              </a:schemeClr>
            </a:solidFill>
            <a:prstDash val="solid"/>
            <a:round/>
          </a:ln>
          <a:effectLst/>
        </c:spPr>
        <c:txPr>
          <a:bodyPr rot="-60000000" spcFirstLastPara="0" vertOverflow="ellipsis" vert="horz" wrap="square" anchor="ctr" anchorCtr="1"/>
          <a:lstStyle/>
          <a:p>
            <a:pPr>
              <a:defRPr lang="zh-CN" sz="900" b="0" i="0" u="none" strike="noStrike" kern="1200" cap="all" baseline="0">
                <a:solidFill>
                  <a:schemeClr val="dk1">
                    <a:lumMod val="75000"/>
                    <a:lumOff val="25000"/>
                  </a:schemeClr>
                </a:solidFill>
                <a:latin typeface="+mn-lt"/>
                <a:ea typeface="+mn-ea"/>
                <a:cs typeface="+mn-cs"/>
              </a:defRPr>
            </a:pPr>
          </a:p>
        </c:txPr>
        <c:crossAx val="128117376"/>
        <c:crosses val="autoZero"/>
        <c:auto val="1"/>
        <c:lblAlgn val="ctr"/>
        <c:lblOffset val="100"/>
        <c:noMultiLvlLbl val="0"/>
      </c:catAx>
      <c:valAx>
        <c:axId val="12811737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prstDash val="solid"/>
              <a:round/>
            </a:ln>
            <a:effectLst/>
          </c:spPr>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8115840"/>
        <c:crosses val="autoZero"/>
        <c:crossBetween val="between"/>
      </c:valAx>
      <c:spPr>
        <a:noFill/>
        <a:ln>
          <a:noFill/>
        </a:ln>
        <a:effectLst/>
      </c:spPr>
    </c:plotArea>
    <c:legend>
      <c:legendPos val="b"/>
      <c:legendEntry>
        <c:idx val="2"/>
        <c:delete val="1"/>
      </c:legendEntry>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一般公共预算财政拨款支出决算结构</c:v>
                </c:pt>
              </c:strCache>
            </c:strRef>
          </c:tx>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Pt>
            <c:idx val="6"/>
            <c:bubble3D val="0"/>
            <c:spPr>
              <a:solidFill>
                <a:schemeClr val="accent1">
                  <a:lumMod val="60000"/>
                </a:schemeClr>
              </a:solidFill>
              <a:ln>
                <a:noFill/>
              </a:ln>
              <a:effectLst>
                <a:outerShdw blurRad="254000" sx="102000" sy="102000" algn="ctr" rotWithShape="0">
                  <a:prstClr val="black">
                    <a:alpha val="20000"/>
                  </a:prstClr>
                </a:outerShdw>
              </a:effectLst>
            </c:spPr>
          </c:dPt>
          <c:dPt>
            <c:idx val="7"/>
            <c:bubble3D val="0"/>
            <c:spPr>
              <a:solidFill>
                <a:schemeClr val="accent2">
                  <a:lumMod val="60000"/>
                </a:schemeClr>
              </a:solidFill>
              <a:ln>
                <a:noFill/>
              </a:ln>
              <a:effectLst>
                <a:outerShdw blurRad="254000" sx="102000" sy="102000" algn="ctr" rotWithShape="0">
                  <a:prstClr val="black">
                    <a:alpha val="20000"/>
                  </a:prstClr>
                </a:outerShdw>
              </a:effectLst>
            </c:spPr>
          </c:dPt>
          <c:dLbls>
            <c:dLbl>
              <c:idx val="0"/>
              <c:layout>
                <c:manualLayout>
                  <c:x val="-0.12020328389401"/>
                  <c:y val="0.0495550994083157"/>
                </c:manualLayout>
              </c:layout>
              <c:tx>
                <c:rich>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r>
                      <a:rPr lang="en-US" altLang="zh-CN"/>
                      <a:t>510.09</a:t>
                    </a:r>
                    <a:endParaRPr lang="en-US" altLang="zh-CN"/>
                  </a:p>
                  <a:p>
                    <a:pPr>
                      <a:defRPr lang="zh-CN" sz="1000" b="1" i="0" u="none" strike="noStrike" kern="1200" baseline="0">
                        <a:solidFill>
                          <a:schemeClr val="lt1"/>
                        </a:solidFill>
                        <a:latin typeface="+mn-lt"/>
                        <a:ea typeface="+mn-ea"/>
                        <a:cs typeface="+mn-cs"/>
                      </a:defRPr>
                    </a:pPr>
                    <a:r>
                      <a:rPr lang="en-US" altLang="zh-CN"/>
                      <a:t>37.92</a:t>
                    </a:r>
                    <a:r>
                      <a:t>%</a:t>
                    </a:r>
                  </a:p>
                </c:rich>
              </c:tx>
              <c:dLblPos val="bestFit"/>
              <c:showLegendKey val="0"/>
              <c:showVal val="0"/>
              <c:showCatName val="0"/>
              <c:showSerName val="0"/>
              <c:showPercent val="1"/>
              <c:showBubbleSize val="0"/>
              <c:extLst>
                <c:ext xmlns:c15="http://schemas.microsoft.com/office/drawing/2012/chart" uri="{CE6537A1-D6FC-4f65-9D91-7224C49458BB}">
                  <c15:layout>
                    <c:manualLayout>
                      <c:w val="0.0994946304485155"/>
                      <c:h val="0.104986012835281"/>
                    </c:manualLayout>
                  </c15:layout>
                </c:ext>
              </c:extLst>
            </c:dLbl>
            <c:dLbl>
              <c:idx val="1"/>
              <c:delete val="1"/>
            </c:dLbl>
            <c:dLbl>
              <c:idx val="2"/>
              <c:layout>
                <c:manualLayout>
                  <c:x val="-0.00647723492693072"/>
                  <c:y val="-0.0296198782293895"/>
                </c:manualLayout>
              </c:layout>
              <c:tx>
                <c:rich>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r>
                      <a:rPr lang="en-US" altLang="zh-CN"/>
                      <a:t>4</a:t>
                    </a:r>
                    <a:endParaRPr lang="en-US" altLang="zh-CN"/>
                  </a:p>
                  <a:p>
                    <a:pPr>
                      <a:defRPr lang="zh-CN" sz="1000" b="1" i="0" u="none" strike="noStrike" kern="1200" baseline="0">
                        <a:solidFill>
                          <a:schemeClr val="lt1"/>
                        </a:solidFill>
                        <a:latin typeface="+mn-lt"/>
                        <a:ea typeface="+mn-ea"/>
                        <a:cs typeface="+mn-cs"/>
                      </a:defRPr>
                    </a:pPr>
                    <a:r>
                      <a:rPr lang="en-US" altLang="zh-CN"/>
                      <a:t>0.3</a:t>
                    </a:r>
                    <a:r>
                      <a:t>%</a:t>
                    </a:r>
                  </a:p>
                </c:rich>
              </c:tx>
              <c:dLblPos val="bestFit"/>
              <c:showLegendKey val="0"/>
              <c:showVal val="0"/>
              <c:showCatName val="0"/>
              <c:showSerName val="0"/>
              <c:showPercent val="1"/>
              <c:showBubbleSize val="0"/>
              <c:extLst>
                <c:ext xmlns:c15="http://schemas.microsoft.com/office/drawing/2012/chart" uri="{CE6537A1-D6FC-4f65-9D91-7224C49458BB}">
                  <c15:layout>
                    <c:manualLayout>
                      <c:w val="0.0678037481575068"/>
                      <c:h val="0.0908342932367945"/>
                    </c:manualLayout>
                  </c15:layout>
                </c:ext>
              </c:extLst>
            </c:dLbl>
            <c:dLbl>
              <c:idx val="3"/>
              <c:layout>
                <c:manualLayout>
                  <c:x val="-0.125324187832765"/>
                  <c:y val="-0.224383481447303"/>
                </c:manualLayout>
              </c:layout>
              <c:tx>
                <c:rich>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r>
                      <a:rPr lang="en-US" altLang="zh-CN"/>
                      <a:t>27.81</a:t>
                    </a:r>
                    <a:endParaRPr lang="en-US" altLang="zh-CN"/>
                  </a:p>
                  <a:p>
                    <a:pPr>
                      <a:defRPr lang="zh-CN" sz="1000" b="1" i="0" u="none" strike="noStrike" kern="1200" baseline="0">
                        <a:solidFill>
                          <a:schemeClr val="lt1"/>
                        </a:solidFill>
                        <a:latin typeface="+mn-lt"/>
                        <a:ea typeface="+mn-ea"/>
                        <a:cs typeface="+mn-cs"/>
                      </a:defRPr>
                    </a:pPr>
                    <a:r>
                      <a:rPr lang="en-US" altLang="zh-CN"/>
                      <a:t>2.07</a:t>
                    </a:r>
                    <a:r>
                      <a:t>%</a:t>
                    </a:r>
                  </a:p>
                </c:rich>
              </c:tx>
              <c:dLblPos val="bestFit"/>
              <c:showLegendKey val="0"/>
              <c:showVal val="0"/>
              <c:showCatName val="0"/>
              <c:showSerName val="0"/>
              <c:showPercent val="1"/>
              <c:showBubbleSize val="0"/>
              <c:extLst>
                <c:ext xmlns:c15="http://schemas.microsoft.com/office/drawing/2012/chart" uri="{CE6537A1-D6FC-4f65-9D91-7224C49458BB}">
                  <c15:layout>
                    <c:manualLayout>
                      <c:w val="0.0772794272478416"/>
                      <c:h val="0.0901760737205858"/>
                    </c:manualLayout>
                  </c15:layout>
                </c:ext>
              </c:extLst>
            </c:dLbl>
            <c:dLbl>
              <c:idx val="4"/>
              <c:layout>
                <c:manualLayout>
                  <c:x val="0.0134950759007274"/>
                  <c:y val="-0.106420909558956"/>
                </c:manualLayout>
              </c:layout>
              <c:tx>
                <c:rich>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r>
                      <a:rPr lang="en-US" altLang="zh-CN"/>
                      <a:t>72.87</a:t>
                    </a:r>
                    <a:endParaRPr lang="en-US" altLang="zh-CN"/>
                  </a:p>
                  <a:p>
                    <a:pPr>
                      <a:defRPr lang="zh-CN" sz="1000" b="1" i="0" u="none" strike="noStrike" kern="1200" baseline="0">
                        <a:solidFill>
                          <a:schemeClr val="lt1"/>
                        </a:solidFill>
                        <a:latin typeface="+mn-lt"/>
                        <a:ea typeface="+mn-ea"/>
                        <a:cs typeface="+mn-cs"/>
                      </a:defRPr>
                    </a:pPr>
                    <a:r>
                      <a:rPr lang="en-US" altLang="zh-CN"/>
                      <a:t>5.42</a:t>
                    </a:r>
                    <a:r>
                      <a:t>%</a:t>
                    </a:r>
                  </a:p>
                </c:rich>
              </c:tx>
              <c:dLblPos val="bestFit"/>
              <c:showLegendKey val="0"/>
              <c:showVal val="0"/>
              <c:showCatName val="0"/>
              <c:showSerName val="0"/>
              <c:showPercent val="1"/>
              <c:showBubbleSize val="0"/>
              <c:extLst>
                <c:ext xmlns:c15="http://schemas.microsoft.com/office/drawing/2012/chart" uri="{CE6537A1-D6FC-4f65-9D91-7224C49458BB}">
                  <c15:layout>
                    <c:manualLayout>
                      <c:w val="0.0809644135607496"/>
                      <c:h val="0.0957709396083594"/>
                    </c:manualLayout>
                  </c15:layout>
                </c:ext>
              </c:extLst>
            </c:dLbl>
            <c:dLbl>
              <c:idx val="5"/>
              <c:layout>
                <c:manualLayout>
                  <c:x val="0.00582531827697341"/>
                  <c:y val="-0.0913429570267256"/>
                </c:manualLayout>
              </c:layout>
              <c:tx>
                <c:rich>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r>
                      <a:rPr lang="en-US" altLang="zh-CN"/>
                      <a:t>185.27</a:t>
                    </a:r>
                    <a:r>
                      <a:t>1</a:t>
                    </a:r>
                    <a:r>
                      <a:rPr lang="en-US" altLang="zh-CN"/>
                      <a:t>3.77</a:t>
                    </a:r>
                    <a:r>
                      <a:t>%</a:t>
                    </a:r>
                  </a:p>
                </c:rich>
              </c:tx>
              <c:dLblPos val="bestFit"/>
              <c:showLegendKey val="0"/>
              <c:showVal val="0"/>
              <c:showCatName val="0"/>
              <c:showSerName val="0"/>
              <c:showPercent val="1"/>
              <c:showBubbleSize val="0"/>
              <c:extLst>
                <c:ext xmlns:c15="http://schemas.microsoft.com/office/drawing/2012/chart" uri="{CE6537A1-D6FC-4f65-9D91-7224C49458BB}">
                  <c15:layout>
                    <c:manualLayout>
                      <c:w val="0.0761212886923563"/>
                      <c:h val="0.0988974823103505"/>
                    </c:manualLayout>
                  </c15:layout>
                </c:ext>
              </c:extLst>
            </c:dLbl>
            <c:dLbl>
              <c:idx val="6"/>
              <c:layout>
                <c:manualLayout>
                  <c:x val="0.093985297428445"/>
                  <c:y val="0.116685071478162"/>
                </c:manualLayout>
              </c:layout>
              <c:tx>
                <c:rich>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r>
                      <a:rPr lang="en-US" altLang="zh-CN"/>
                      <a:t>537.25</a:t>
                    </a:r>
                    <a:endParaRPr lang="en-US" altLang="zh-CN"/>
                  </a:p>
                  <a:p>
                    <a:pPr>
                      <a:defRPr lang="zh-CN" sz="1000" b="1" i="0" u="none" strike="noStrike" kern="1200" baseline="0">
                        <a:solidFill>
                          <a:schemeClr val="lt1"/>
                        </a:solidFill>
                        <a:latin typeface="+mn-lt"/>
                        <a:ea typeface="+mn-ea"/>
                        <a:cs typeface="+mn-cs"/>
                      </a:defRPr>
                    </a:pPr>
                    <a:r>
                      <a:rPr lang="en-US" altLang="zh-CN"/>
                      <a:t>39.94</a:t>
                    </a:r>
                    <a:r>
                      <a:t>%</a:t>
                    </a:r>
                  </a:p>
                </c:rich>
              </c:tx>
              <c:dLblPos val="bestFit"/>
              <c:showLegendKey val="0"/>
              <c:showVal val="0"/>
              <c:showCatName val="0"/>
              <c:showSerName val="0"/>
              <c:showPercent val="1"/>
              <c:showBubbleSize val="0"/>
              <c:extLst>
                <c:ext xmlns:c15="http://schemas.microsoft.com/office/drawing/2012/chart" uri="{CE6537A1-D6FC-4f65-9D91-7224C49458BB}">
                  <c15:layout>
                    <c:manualLayout>
                      <c:w val="0.0827542640555907"/>
                      <c:h val="0.100213921342768"/>
                    </c:manualLayout>
                  </c15:layout>
                </c:ext>
              </c:extLst>
            </c:dLbl>
            <c:dLbl>
              <c:idx val="7"/>
              <c:layout>
                <c:manualLayout>
                  <c:x val="0.00363378591217905"/>
                  <c:y val="0.121470155733823"/>
                </c:manualLayout>
              </c:layout>
              <c:tx>
                <c:rich>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r>
                      <a:rPr lang="en-US" altLang="zh-CN"/>
                      <a:t>8</a:t>
                    </a:r>
                    <a:endParaRPr lang="en-US" altLang="zh-CN"/>
                  </a:p>
                  <a:p>
                    <a:pPr>
                      <a:defRPr lang="zh-CN" sz="1000" b="1" i="0" u="none" strike="noStrike" kern="1200" baseline="0">
                        <a:solidFill>
                          <a:schemeClr val="lt1"/>
                        </a:solidFill>
                        <a:latin typeface="+mn-lt"/>
                        <a:ea typeface="+mn-ea"/>
                        <a:cs typeface="+mn-cs"/>
                      </a:defRPr>
                    </a:pPr>
                    <a:r>
                      <a:rPr lang="en-US" altLang="zh-CN"/>
                      <a:t>0.37</a:t>
                    </a:r>
                    <a:r>
                      <a:t>%</a:t>
                    </a:r>
                  </a:p>
                </c:rich>
              </c:tx>
              <c:dLblPos val="bestFit"/>
              <c:showLegendKey val="0"/>
              <c:showVal val="0"/>
              <c:showCatName val="0"/>
              <c:showSerName val="0"/>
              <c:showPercent val="1"/>
              <c:showBubbleSize val="0"/>
              <c:extLst>
                <c:ext xmlns:c15="http://schemas.microsoft.com/office/drawing/2012/chart" uri="{CE6537A1-D6FC-4f65-9D91-7224C49458BB}">
                  <c15:layout>
                    <c:manualLayout>
                      <c:w val="0.0810696988839756"/>
                      <c:h val="0.0954418298502551"/>
                    </c:manualLayout>
                  </c15:layout>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strRef>
              <c:f>Sheet1!$A$2:$A$9</c:f>
              <c:strCache>
                <c:ptCount val="8"/>
                <c:pt idx="0">
                  <c:v>一般公共服务</c:v>
                </c:pt>
                <c:pt idx="1">
                  <c:v>教育支出</c:v>
                </c:pt>
                <c:pt idx="2">
                  <c:v>文化旅游体育与传媒</c:v>
                </c:pt>
                <c:pt idx="3">
                  <c:v>社会保障和就业</c:v>
                </c:pt>
                <c:pt idx="4">
                  <c:v>卫生健康</c:v>
                </c:pt>
                <c:pt idx="5">
                  <c:v>住房保障</c:v>
                </c:pt>
                <c:pt idx="6">
                  <c:v>农林水</c:v>
                </c:pt>
                <c:pt idx="7">
                  <c:v>交通运输</c:v>
                </c:pt>
              </c:strCache>
            </c:strRef>
          </c:cat>
          <c:val>
            <c:numRef>
              <c:f>Sheet1!$B$2:$B$9</c:f>
              <c:numCache>
                <c:formatCode>General</c:formatCode>
                <c:ptCount val="8"/>
                <c:pt idx="0">
                  <c:v>510.09</c:v>
                </c:pt>
                <c:pt idx="1">
                  <c:v>0</c:v>
                </c:pt>
                <c:pt idx="2">
                  <c:v>4</c:v>
                </c:pt>
                <c:pt idx="3">
                  <c:v>72.87</c:v>
                </c:pt>
                <c:pt idx="4">
                  <c:v>27.81</c:v>
                </c:pt>
                <c:pt idx="5">
                  <c:v>185.27</c:v>
                </c:pt>
                <c:pt idx="6">
                  <c:v>537.25</c:v>
                </c:pt>
                <c:pt idx="7">
                  <c:v>8</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87349106711733"/>
          <c:y val="0.016304347826087"/>
        </c:manualLayout>
      </c:layout>
      <c:overlay val="0"/>
      <c:spPr>
        <a:noFill/>
        <a:ln>
          <a:noFill/>
        </a:ln>
        <a:effectLst/>
      </c:spPr>
      <c:txPr>
        <a:bodyPr rot="0" spcFirstLastPara="0"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三公经费财政拨款支出决算结构</c:v>
                </c:pt>
              </c:strCache>
            </c:strRef>
          </c:tx>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Lbls>
            <c:dLbl>
              <c:idx val="0"/>
              <c:layout/>
              <c:tx>
                <c:rich>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r>
                      <a:rPr lang="en-US" altLang="zh-CN"/>
                      <a:t>3</a:t>
                    </a:r>
                    <a:endParaRPr lang="en-US" altLang="zh-CN"/>
                  </a:p>
                  <a:p>
                    <a:pPr>
                      <a:defRPr lang="zh-CN" sz="1000" b="1" i="0" u="none" strike="noStrike" kern="1200" baseline="0">
                        <a:solidFill>
                          <a:schemeClr val="lt1"/>
                        </a:solidFill>
                        <a:latin typeface="+mn-lt"/>
                        <a:ea typeface="+mn-ea"/>
                        <a:cs typeface="+mn-cs"/>
                      </a:defRPr>
                    </a:pPr>
                    <a:r>
                      <a:t>100%</a:t>
                    </a:r>
                  </a:p>
                </c:rich>
              </c:tx>
              <c:dLblPos val="ctr"/>
              <c:showLegendKey val="0"/>
              <c:showVal val="0"/>
              <c:showCatName val="0"/>
              <c:showSerName val="0"/>
              <c:showPercent val="1"/>
              <c:showBubbleSize val="0"/>
              <c:extLst>
                <c:ext xmlns:c15="http://schemas.microsoft.com/office/drawing/2012/chart" uri="{CE6537A1-D6FC-4f65-9D91-7224C49458BB}">
                  <c15:layout>
                    <c:manualLayout>
                      <c:w val="0.0941574118783196"/>
                      <c:h val="0.104347826086957"/>
                    </c:manualLayout>
                  </c15:layout>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strRef>
              <c:f>Sheet1!$A$2:$A$4</c:f>
              <c:strCache>
                <c:ptCount val="3"/>
                <c:pt idx="0">
                  <c:v>公务接待费</c:v>
                </c:pt>
                <c:pt idx="1">
                  <c:v>因公出国（境）费</c:v>
                </c:pt>
                <c:pt idx="2">
                  <c:v>公务用车购置及运行维护费</c:v>
                </c:pt>
              </c:strCache>
            </c:strRef>
          </c:cat>
          <c:val>
            <c:numRef>
              <c:f>Sheet1!$B$2:$B$4</c:f>
              <c:numCache>
                <c:formatCode>General</c:formatCode>
                <c:ptCount val="3"/>
                <c:pt idx="0">
                  <c:v>3.19</c:v>
                </c:pt>
                <c:pt idx="1">
                  <c:v>0</c:v>
                </c:pt>
                <c:pt idx="2">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http://schemas.openxmlformats.org/officeDocument/2006/extended-properties" xmlns:vt="http://schemas.openxmlformats.org/officeDocument/2006/docPropsVTypes">
  <Template>Normal</Template>
  <TotalTime>9</TotalTime>
  <Pages>21</Pages>
  <Words>1342</Words>
  <Characters>7651</Characters>
  <Application>Microsoft Office Word</Application>
  <DocSecurity>0</DocSecurity>
  <Lines>63</Lines>
  <Paragraphs>17</Paragraphs>
  <ScaleCrop>false</ScaleCrop>
  <Company>四川省财政厅</Company>
  <LinksUpToDate>false</LinksUpToDate>
  <CharactersWithSpaces>8976</CharactersWithSpaces>
  <SharedDoc>false</SharedDoc>
  <HyperlinksChanged>false</HyperlinksChanged>
  <AppVersion>12.0000</AppVersion>
</Properties>
</file>

<file path=customXml/item10.xml><?xml version="1.0" encoding="utf-8"?>
<Properties xmlns:vt="http://schemas.openxmlformats.org/officeDocument/2006/docPropsVTypes" xmlns="http://schemas.openxmlformats.org/officeDocument/2006/extended-properties">
  <Template>Normal.dotm</Template>
  <TotalTime>1</TotalTime>
  <Pages>23</Pages>
  <Words>7466</Words>
  <Characters>8945</Characters>
  <Application>WPS Office_10.8.2.6784_F1E327BC-269C-435d-A152-05C5408002CA</Application>
  <DocSecurity>0</DocSecurity>
  <Lines>61</Lines>
  <Paragraphs>17</Paragraphs>
  <Company>四川省财政厅</Company>
  <CharactersWithSpaces>9008</CharactersWithSpaces>
  <AppVersion>14.0000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2022-08-06T02:23:00Z</cp:lastPrinted>
  <dcterms:modified xsi:type="dcterms:W3CDTF">2022-09-19T03:07:27Z</dcterms:modified>
  <dc:title>四川省***</dc:title>
  <cp:revision>32</cp:revision>
</cp:coreProperties>
</file>

<file path=customXml/item12.xml><?xml version="1.0" encoding="utf-8"?>
<Properties xmlns="http://schemas.openxmlformats.org/officeDocument/2006/extended-properties" xmlns:vt="http://schemas.openxmlformats.org/officeDocument/2006/docPropsVTypes">
  <Template>Normal.dotm</Template>
  <Company>四川省财政厅</Company>
  <Pages>23</Pages>
  <Words>7466</Words>
  <Characters>8945</Characters>
  <Lines>61</Lines>
  <Paragraphs>17</Paragraphs>
  <TotalTime>1</TotalTime>
  <ScaleCrop>false</ScaleCrop>
  <LinksUpToDate>false</LinksUpToDate>
  <CharactersWithSpaces>9008</CharactersWithSpaces>
  <Application>WPS Office_10.8.2.6784_F1E327BC-269C-435d-A152-05C5408002CA</Application>
  <DocSecurity>0</DocSecuri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Administrator</cp:lastModifiedBy>
  <cp:revision>32</cp:revision>
  <cp:lastPrinted>2022-08-06T02:23:00Z</cp:lastPrinted>
  <dcterms:created xsi:type="dcterms:W3CDTF">2020-08-05T01:49:00Z</dcterms:created>
  <dcterms:modified xsi:type="dcterms:W3CDTF">2022-09-19T03:07:27Z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41</cp:revision>
  <cp:lastPrinted>2022-08-06T02:23:00Z</cp:lastPrinted>
  <dcterms:created xsi:type="dcterms:W3CDTF">2020-08-05T01:49:00Z</dcterms:created>
  <dcterms:modified xsi:type="dcterms:W3CDTF">2023-03-02T02:25:00Z</dcterms:modified>
</cp:coreProperties>
</file>

<file path=customXml/item4.xml><?xml version="1.0" encoding="utf-8"?>
<Properties xmlns:vt="http://schemas.openxmlformats.org/officeDocument/2006/docPropsVTypes" xmlns="http://schemas.openxmlformats.org/officeDocument/2006/extended-properties">
  <Template>Normal</Template>
  <TotalTime>9</TotalTime>
  <Pages>21</Pages>
  <Words>1342</Words>
  <Characters>7651</Characters>
  <Application>Microsoft Office Word</Application>
  <DocSecurity>0</DocSecurity>
  <Lines>63</Lines>
  <Paragraphs>17</Paragraphs>
  <Company>四川省财政厅</Company>
  <CharactersWithSpaces>8976</CharactersWithSpaces>
  <AppVersion>12.0000</AppVersion>
</Properties>
</file>

<file path=customXml/item5.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FC7C8A16CAAB478384449B1CBF9E1755</vt:lpwstr>
  </property>
</Properties>
</file>

<file path=customXml/item6.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FC7C8A16CAAB478384449B1CBF9E1755</vt:lpwstr>
  </property>
</Properties>
</file>

<file path=customXml/item7.xml><?xml version="1.0" encoding="utf-8"?>
<Properties xmlns:vt="http://schemas.openxmlformats.org/officeDocument/2006/docPropsVTypes" xmlns="http://schemas.openxmlformats.org/officeDocument/2006/custom-properties">
  <property fmtid="{D5CDD505-2E9C-101B-9397-08002B2CF9AE}" pid="2" name="KSOProductBuildVer">
    <vt:lpstr>2052-10.8.2.6784</vt:lpstr>
  </property>
  <property fmtid="{D5CDD505-2E9C-101B-9397-08002B2CF9AE}" pid="3" name="ICV">
    <vt:lpstr>FC7C8A16CAAB478384449B1CBF9E1755</vt:lpstr>
  </property>
</Properties>
</file>

<file path=customXml/item8.xml><?xml version="1.0" encoding="utf-8"?>
<Properties xmlns:vt="http://schemas.openxmlformats.org/officeDocument/2006/docPropsVTypes" xmlns="http://schemas.openxmlformats.org/officeDocument/2006/custom-properties">
  <property fmtid="{D5CDD505-2E9C-101B-9397-08002B2CF9AE}" pid="2" name="KSOProductBuildVer">
    <vt:lpstr>2052-10.8.2.6784</vt:lpstr>
  </property>
  <property fmtid="{D5CDD505-2E9C-101B-9397-08002B2CF9AE}" pid="3" name="ICV">
    <vt:lpstr>FC7C8A16CAAB478384449B1CBF9E1755</vt:lpstr>
  </property>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41</cp:revision>
  <cp:lastPrinted>2022-08-06T02:23:00Z</cp:lastPrinted>
  <dcterms:created xsi:type="dcterms:W3CDTF">2020-08-05T01:49:00Z</dcterms:created>
  <dcterms:modified xsi:type="dcterms:W3CDTF">2023-03-02T02:25:00Z</dcterms:modified>
</cp:coreProperties>
</file>

<file path=customXml/itemProps1.xml><?xml version="1.0" encoding="utf-8"?>
<ds:datastoreItem xmlns:ds="http://schemas.openxmlformats.org/officeDocument/2006/customXml" ds:itemID="{CBFE2CE4-FF2F-4307-B826-80B8DE8DF46B}">
  <ds:schemaRefs/>
</ds:datastoreItem>
</file>

<file path=customXml/itemProps10.xml><?xml version="1.0" encoding="utf-8"?>
<ds:datastoreItem xmlns:ds="http://schemas.openxmlformats.org/officeDocument/2006/customXml" ds:itemID="{BE88C83E-E35E-41BA-B6FB-318A764501D5}">
  <ds:schemaRefs/>
</ds:datastoreItem>
</file>

<file path=customXml/itemProps11.xml><?xml version="1.0" encoding="utf-8"?>
<ds:datastoreItem xmlns:ds="http://schemas.openxmlformats.org/officeDocument/2006/customXml" ds:itemID="{D0D443FD-7FCF-439F-AA5C-C064BA53C8C2}">
  <ds:schemaRefs/>
</ds:datastoreItem>
</file>

<file path=customXml/itemProps12.xml><?xml version="1.0" encoding="utf-8"?>
<ds:datastoreItem xmlns:ds="http://schemas.openxmlformats.org/officeDocument/2006/customXml" ds:itemID="{63CFCABE-3628-4DBB-A56F-9FB5329CDC16}">
  <ds:schemaRefs/>
</ds:datastoreItem>
</file>

<file path=customXml/itemProps2.xml><?xml version="1.0" encoding="utf-8"?>
<ds:datastoreItem xmlns:ds="http://schemas.openxmlformats.org/officeDocument/2006/customXml" ds:itemID="{4A4EEC4B-2982-4A82-B18C-F90BAB5FB571}">
  <ds:schemaRefs/>
</ds:datastoreItem>
</file>

<file path=customXml/itemProps3.xml><?xml version="1.0" encoding="utf-8"?>
<ds:datastoreItem xmlns:ds="http://schemas.openxmlformats.org/officeDocument/2006/customXml" ds:itemID="{602807C5-1609-4700-B2F6-1B2B04B28584}">
  <ds:schemaRefs/>
</ds:datastoreItem>
</file>

<file path=customXml/itemProps4.xml><?xml version="1.0" encoding="utf-8"?>
<ds:datastoreItem xmlns:ds="http://schemas.openxmlformats.org/officeDocument/2006/customXml" ds:itemID="{3E0E268B-53A4-457D-8F66-81B4A03850AA}">
  <ds:schemaRefs/>
</ds:datastoreItem>
</file>

<file path=customXml/itemProps5.xml><?xml version="1.0" encoding="utf-8"?>
<ds:datastoreItem xmlns:ds="http://schemas.openxmlformats.org/officeDocument/2006/customXml" ds:itemID="{80407E09-C159-4096-BD8D-2C09341AA218}">
  <ds:schemaRefs/>
</ds:datastoreItem>
</file>

<file path=customXml/itemProps6.xml><?xml version="1.0" encoding="utf-8"?>
<ds:datastoreItem xmlns:ds="http://schemas.openxmlformats.org/officeDocument/2006/customXml" ds:itemID="{77492636-C595-4CD0-B420-C80B6F57771B}">
  <ds:schemaRefs/>
</ds:datastoreItem>
</file>

<file path=customXml/itemProps7.xml><?xml version="1.0" encoding="utf-8"?>
<ds:datastoreItem xmlns:ds="http://schemas.openxmlformats.org/officeDocument/2006/customXml" ds:itemID="{47CCC663-B940-4E11-B4DF-C963F91750F0}">
  <ds:schemaRefs/>
</ds:datastoreItem>
</file>

<file path=customXml/itemProps8.xml><?xml version="1.0" encoding="utf-8"?>
<ds:datastoreItem xmlns:ds="http://schemas.openxmlformats.org/officeDocument/2006/customXml" ds:itemID="{AB4F5EF6-E396-4CFD-A757-023E116482D1}">
  <ds:schemaRefs/>
</ds:datastoreItem>
</file>

<file path=customXml/itemProps9.xml><?xml version="1.0" encoding="utf-8"?>
<ds:datastoreItem xmlns:ds="http://schemas.openxmlformats.org/officeDocument/2006/customXml" ds:itemID="{93B71E37-6193-45D8-B01C-41AF7B08B7A3}">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21</Pages>
  <Words>6940</Words>
  <Characters>7578</Characters>
  <Lines>63</Lines>
  <Paragraphs>17</Paragraphs>
  <TotalTime>10</TotalTime>
  <ScaleCrop>false</ScaleCrop>
  <LinksUpToDate>false</LinksUpToDate>
  <CharactersWithSpaces>7676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狂奔的蜗牛</cp:lastModifiedBy>
  <cp:lastPrinted>2022-08-06T02:23:00Z</cp:lastPrinted>
  <dcterms:modified xsi:type="dcterms:W3CDTF">2023-06-18T14:00:17Z</dcterms:modified>
  <dc:title>四川省***</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FC7C8A16CAAB478384449B1CBF9E1755</vt:lpwstr>
  </property>
</Properties>
</file>