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425"/>
      <w:bookmarkStart w:id="2" w:name="_Toc15396597"/>
      <w:bookmarkStart w:id="3" w:name="_Toc15377193"/>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426"/>
      <w:bookmarkStart w:id="8" w:name="_Toc15377194"/>
      <w:bookmarkStart w:id="9" w:name="_Toc15396476"/>
      <w:bookmarkStart w:id="10" w:name="_Toc15396598"/>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rPr>
        <w:t>通江县烟溪镇</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20"/>
      </w:pPr>
      <w:r>
        <w:rPr>
          <w:rFonts w:hint="eastAsia"/>
        </w:rPr>
        <w:t>公开时间：2022年8月25日</w:t>
      </w:r>
    </w:p>
    <w:p/>
    <w:p>
      <w:pPr>
        <w:pStyle w:val="20"/>
        <w:adjustRightInd w:val="0"/>
        <w:snapToGrid w:val="0"/>
        <w:spacing w:before="0" w:line="440" w:lineRule="exact"/>
        <w:jc w:val="left"/>
        <w:rPr>
          <w:rFonts w:cstheme="minorBidi"/>
          <w:sz w:val="24"/>
          <w:szCs w:val="24"/>
        </w:rPr>
      </w:pPr>
      <w:r>
        <w:rPr>
          <w:rFonts w:hint="eastAsia"/>
          <w:sz w:val="24"/>
        </w:rPr>
        <w:t>第一部分部门概况</w:t>
      </w:r>
    </w:p>
    <w:p>
      <w:pPr>
        <w:pStyle w:val="21"/>
        <w:adjustRightInd w:val="0"/>
        <w:snapToGrid w:val="0"/>
        <w:spacing w:line="440" w:lineRule="exact"/>
        <w:jc w:val="left"/>
        <w:rPr>
          <w:rFonts w:ascii="仿宋" w:hAnsi="仿宋" w:eastAsia="仿宋" w:cstheme="minorBidi"/>
          <w:sz w:val="24"/>
        </w:rPr>
      </w:pPr>
      <w:r>
        <w:rPr>
          <w:rFonts w:hint="eastAsia"/>
          <w:sz w:val="24"/>
        </w:rPr>
        <w:t>一、基本职能及主要工作</w:t>
      </w:r>
      <w:r>
        <w:rPr>
          <w:rFonts w:hint="eastAsia" w:ascii="仿宋_GB2312" w:hAnsi="宋体" w:eastAsia="仿宋_GB2312"/>
          <w:sz w:val="28"/>
          <w:szCs w:val="28"/>
        </w:rPr>
        <w:t>.....................................4</w:t>
      </w:r>
      <w:r>
        <w:rPr>
          <w:rFonts w:hint="eastAsia"/>
          <w:sz w:val="24"/>
        </w:rPr>
        <w:t>二、机构设置</w:t>
      </w:r>
      <w:r>
        <w:rPr>
          <w:rFonts w:hint="eastAsia" w:ascii="仿宋_GB2312" w:hAnsi="宋体" w:eastAsia="仿宋_GB2312"/>
          <w:sz w:val="28"/>
          <w:szCs w:val="28"/>
        </w:rPr>
        <w:t>.............................................5</w:t>
      </w:r>
    </w:p>
    <w:p>
      <w:pPr>
        <w:pStyle w:val="20"/>
        <w:adjustRightInd w:val="0"/>
        <w:snapToGrid w:val="0"/>
        <w:spacing w:before="0" w:line="440" w:lineRule="exact"/>
        <w:jc w:val="left"/>
        <w:rPr>
          <w:sz w:val="24"/>
          <w:szCs w:val="24"/>
        </w:rPr>
      </w:pPr>
      <w:r>
        <w:rPr>
          <w:rFonts w:hint="eastAsia"/>
          <w:sz w:val="24"/>
        </w:rPr>
        <w:t>第二部分 2021年度部门决算情况说明</w:t>
      </w:r>
    </w:p>
    <w:p>
      <w:pPr>
        <w:pStyle w:val="21"/>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hint="eastAsia" w:ascii="仿宋_GB2312" w:hAnsi="宋体" w:eastAsia="仿宋_GB2312"/>
          <w:sz w:val="28"/>
          <w:szCs w:val="28"/>
        </w:rPr>
        <w:t>................................6</w:t>
      </w:r>
    </w:p>
    <w:p>
      <w:pPr>
        <w:pStyle w:val="2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hint="eastAsia" w:ascii="仿宋_GB2312" w:hAnsi="宋体" w:eastAsia="仿宋_GB2312"/>
          <w:sz w:val="28"/>
          <w:szCs w:val="28"/>
        </w:rPr>
        <w:t>.......................................6</w:t>
      </w:r>
      <w:r>
        <w:rPr>
          <w:rFonts w:hint="eastAsia"/>
          <w:sz w:val="24"/>
        </w:rPr>
        <w:t>三、支出决算情况说明</w:t>
      </w:r>
      <w:r>
        <w:rPr>
          <w:rFonts w:hint="eastAsia" w:ascii="仿宋_GB2312" w:hAnsi="宋体" w:eastAsia="仿宋_GB2312"/>
          <w:sz w:val="28"/>
          <w:szCs w:val="28"/>
        </w:rPr>
        <w:t>......................................7</w:t>
      </w:r>
      <w:r>
        <w:rPr>
          <w:rFonts w:hint="eastAsia"/>
          <w:sz w:val="24"/>
        </w:rPr>
        <w:t>四、财政拨款收入支出决算总体情况说明</w:t>
      </w:r>
      <w:r>
        <w:rPr>
          <w:rFonts w:hint="eastAsia" w:ascii="仿宋_GB2312" w:hAnsi="宋体" w:eastAsia="仿宋_GB2312"/>
          <w:sz w:val="28"/>
          <w:szCs w:val="28"/>
        </w:rPr>
        <w:t>.........................8</w:t>
      </w:r>
    </w:p>
    <w:p>
      <w:pPr>
        <w:pStyle w:val="21"/>
        <w:adjustRightInd w:val="0"/>
        <w:snapToGrid w:val="0"/>
        <w:spacing w:line="440" w:lineRule="exact"/>
        <w:jc w:val="left"/>
        <w:rPr>
          <w:rFonts w:ascii="仿宋" w:hAnsi="仿宋" w:eastAsia="仿宋" w:cstheme="minorBidi"/>
          <w:sz w:val="24"/>
        </w:rPr>
      </w:pPr>
      <w:r>
        <w:rPr>
          <w:rFonts w:hint="eastAsia"/>
          <w:sz w:val="24"/>
          <w:u w:val="thick" w:color="FFB03A"/>
          <w:shd w:val="clear" w:fill="FFEFD8"/>
        </w:rPr>
        <w:t>五、</w:t>
      </w:r>
      <w:r>
        <w:rPr>
          <w:rFonts w:hint="eastAsia"/>
          <w:sz w:val="24"/>
        </w:rPr>
        <w:t>一般公共预算财政拨款支出决算情况说明</w:t>
      </w:r>
      <w:r>
        <w:rPr>
          <w:rFonts w:hint="eastAsia" w:ascii="仿宋_GB2312" w:hAnsi="宋体" w:eastAsia="仿宋_GB2312"/>
          <w:sz w:val="28"/>
          <w:szCs w:val="28"/>
        </w:rPr>
        <w:t>.....................9</w:t>
      </w:r>
      <w:r>
        <w:rPr>
          <w:rFonts w:hint="eastAsia"/>
          <w:sz w:val="24"/>
        </w:rPr>
        <w:t>六、一般公共预算财政拨款基本支出决算情况说明</w:t>
      </w:r>
      <w:r>
        <w:rPr>
          <w:rFonts w:hint="eastAsia" w:ascii="仿宋_GB2312" w:hAnsi="宋体" w:eastAsia="仿宋_GB2312"/>
          <w:sz w:val="28"/>
          <w:szCs w:val="28"/>
        </w:rPr>
        <w:t>.................14</w:t>
      </w:r>
    </w:p>
    <w:p>
      <w:pPr>
        <w:pStyle w:val="21"/>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r>
        <w:rPr>
          <w:rFonts w:hint="eastAsia" w:ascii="仿宋_GB2312" w:hAnsi="宋体" w:eastAsia="仿宋_GB2312"/>
          <w:sz w:val="28"/>
          <w:szCs w:val="28"/>
        </w:rPr>
        <w:t>......................15</w:t>
      </w:r>
    </w:p>
    <w:p>
      <w:pPr>
        <w:pStyle w:val="2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hint="eastAsia" w:ascii="仿宋_GB2312" w:hAnsi="宋体" w:eastAsia="仿宋_GB2312"/>
          <w:sz w:val="28"/>
          <w:szCs w:val="28"/>
        </w:rPr>
        <w:t>..........................17</w:t>
      </w:r>
    </w:p>
    <w:p>
      <w:pPr>
        <w:pStyle w:val="2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ascii="仿宋_GB2312" w:hAnsi="宋体" w:eastAsia="仿宋_GB2312"/>
          <w:sz w:val="28"/>
          <w:szCs w:val="28"/>
        </w:rPr>
        <w:t>........................17</w:t>
      </w:r>
    </w:p>
    <w:p>
      <w:pPr>
        <w:pStyle w:val="21"/>
        <w:adjustRightInd w:val="0"/>
        <w:snapToGrid w:val="0"/>
        <w:spacing w:line="440" w:lineRule="exact"/>
        <w:jc w:val="left"/>
        <w:rPr>
          <w:rFonts w:asciiTheme="minorEastAsia" w:hAnsiTheme="minorEastAsia" w:eastAsiaTheme="minorEastAsia" w:cstheme="minorEastAsia"/>
          <w:sz w:val="24"/>
        </w:rPr>
      </w:pPr>
      <w:r>
        <w:rPr>
          <w:rStyle w:val="12"/>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仿宋_GB2312" w:hAnsi="宋体" w:eastAsia="仿宋_GB2312"/>
          <w:sz w:val="28"/>
          <w:szCs w:val="28"/>
        </w:rPr>
        <w:t>................................17</w:t>
      </w:r>
    </w:p>
    <w:p>
      <w:pPr>
        <w:pStyle w:val="20"/>
        <w:adjustRightInd w:val="0"/>
        <w:snapToGrid w:val="0"/>
        <w:spacing w:before="0" w:line="440" w:lineRule="exact"/>
        <w:jc w:val="left"/>
        <w:rPr>
          <w:rFonts w:cstheme="minorBidi"/>
          <w:sz w:val="24"/>
          <w:szCs w:val="24"/>
        </w:rPr>
      </w:pPr>
      <w:r>
        <w:rPr>
          <w:rFonts w:hint="eastAsia"/>
          <w:sz w:val="24"/>
        </w:rPr>
        <w:t>第三部分名词解释</w:t>
      </w:r>
    </w:p>
    <w:p>
      <w:pPr>
        <w:pStyle w:val="20"/>
        <w:adjustRightInd w:val="0"/>
        <w:snapToGrid w:val="0"/>
        <w:spacing w:before="0" w:line="440" w:lineRule="exact"/>
        <w:jc w:val="left"/>
        <w:rPr>
          <w:rFonts w:cstheme="minorBidi"/>
          <w:sz w:val="24"/>
          <w:szCs w:val="24"/>
        </w:rPr>
      </w:pPr>
      <w:r>
        <w:rPr>
          <w:rFonts w:hint="eastAsia"/>
          <w:sz w:val="24"/>
        </w:rPr>
        <w:t>第四部分附件</w:t>
      </w:r>
    </w:p>
    <w:p>
      <w:pPr>
        <w:pStyle w:val="20"/>
        <w:adjustRightInd w:val="0"/>
        <w:snapToGrid w:val="0"/>
        <w:spacing w:before="0" w:line="440" w:lineRule="exact"/>
        <w:jc w:val="left"/>
        <w:rPr>
          <w:rFonts w:cstheme="minorBidi"/>
          <w:sz w:val="24"/>
          <w:szCs w:val="24"/>
        </w:rPr>
      </w:pPr>
      <w:r>
        <w:rPr>
          <w:rFonts w:hint="eastAsia"/>
          <w:sz w:val="24"/>
        </w:rPr>
        <w:t>第五部分附表</w:t>
      </w:r>
    </w:p>
    <w:p>
      <w:pPr>
        <w:pStyle w:val="2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r>
        <w:rPr>
          <w:rFonts w:hint="eastAsia" w:ascii="仿宋_GB2312" w:hAnsi="宋体" w:eastAsia="仿宋_GB2312"/>
          <w:sz w:val="28"/>
          <w:szCs w:val="28"/>
        </w:rPr>
        <w:t>......................................28</w:t>
      </w:r>
      <w:r>
        <w:rPr>
          <w:rFonts w:hint="eastAsia" w:asciiTheme="minorEastAsia" w:hAnsiTheme="minorEastAsia" w:eastAsiaTheme="minorEastAsia" w:cstheme="minorEastAsia"/>
          <w:sz w:val="24"/>
        </w:rPr>
        <w:t>二、收入决算表</w:t>
      </w:r>
      <w:r>
        <w:rPr>
          <w:rFonts w:hint="eastAsia" w:ascii="仿宋_GB2312" w:hAnsi="宋体" w:eastAsia="仿宋_GB2312"/>
          <w:sz w:val="28"/>
          <w:szCs w:val="28"/>
        </w:rPr>
        <w:t>...........................................28</w:t>
      </w:r>
      <w:r>
        <w:rPr>
          <w:rFonts w:hint="eastAsia" w:asciiTheme="minorEastAsia" w:hAnsiTheme="minorEastAsia" w:eastAsiaTheme="minorEastAsia" w:cstheme="minorEastAsia"/>
          <w:sz w:val="24"/>
        </w:rPr>
        <w:t>三、支出决算表</w:t>
      </w:r>
      <w:r>
        <w:rPr>
          <w:rFonts w:hint="eastAsia" w:ascii="仿宋_GB2312" w:hAnsi="宋体" w:eastAsia="仿宋_GB2312"/>
          <w:sz w:val="28"/>
          <w:szCs w:val="28"/>
        </w:rPr>
        <w:t>...........................................28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四、财政拨款收入支出决算总表</w:t>
      </w:r>
      <w:r>
        <w:rPr>
          <w:rFonts w:hint="eastAsia" w:ascii="仿宋_GB2312" w:hAnsi="宋体" w:eastAsia="仿宋_GB2312"/>
          <w:sz w:val="28"/>
          <w:szCs w:val="28"/>
        </w:rPr>
        <w:t>...............................28</w:t>
      </w:r>
      <w:r>
        <w:rPr>
          <w:rFonts w:hint="eastAsia" w:asciiTheme="minorEastAsia" w:hAnsiTheme="minorEastAsia" w:eastAsiaTheme="minorEastAsia" w:cstheme="minorEastAsia"/>
          <w:sz w:val="24"/>
        </w:rPr>
        <w:t>五、财政拨款支出决算明细表</w:t>
      </w:r>
      <w:r>
        <w:rPr>
          <w:rFonts w:hint="eastAsia" w:ascii="仿宋_GB2312" w:hAnsi="宋体" w:eastAsia="仿宋_GB2312"/>
          <w:sz w:val="28"/>
          <w:szCs w:val="28"/>
        </w:rPr>
        <w:t>................................28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六、一般公共预算财政拨款支出决算表</w:t>
      </w:r>
      <w:r>
        <w:rPr>
          <w:rFonts w:hint="eastAsia" w:ascii="仿宋_GB2312" w:hAnsi="宋体" w:eastAsia="仿宋_GB2312"/>
          <w:sz w:val="28"/>
          <w:szCs w:val="28"/>
        </w:rPr>
        <w:t>.........................28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七、一般公共预算财政拨款支出决算明细表</w:t>
      </w:r>
      <w:r>
        <w:rPr>
          <w:rFonts w:hint="eastAsia" w:ascii="仿宋_GB2312" w:hAnsi="宋体" w:eastAsia="仿宋_GB2312"/>
          <w:sz w:val="28"/>
          <w:szCs w:val="28"/>
        </w:rPr>
        <w:t>......................28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八、一般公共预算财政拨款基本支出决算表</w:t>
      </w:r>
      <w:r>
        <w:rPr>
          <w:rFonts w:hint="eastAsia" w:ascii="仿宋_GB2312" w:hAnsi="宋体" w:eastAsia="仿宋_GB2312"/>
          <w:sz w:val="28"/>
          <w:szCs w:val="28"/>
        </w:rPr>
        <w:t>......................28</w:t>
      </w:r>
    </w:p>
    <w:p>
      <w:pPr>
        <w:pStyle w:val="21"/>
        <w:adjustRightInd w:val="0"/>
        <w:snapToGrid w:val="0"/>
        <w:spacing w:line="440" w:lineRule="exact"/>
        <w:jc w:val="left"/>
        <w:rPr>
          <w:rFonts w:asciiTheme="minorEastAsia" w:hAnsiTheme="minorEastAsia" w:eastAsiaTheme="minorEastAsia" w:cstheme="minorEastAsia"/>
          <w:sz w:val="24"/>
        </w:rPr>
      </w:pPr>
    </w:p>
    <w:p>
      <w:pPr>
        <w:pStyle w:val="2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r>
        <w:rPr>
          <w:rFonts w:hint="eastAsia" w:ascii="仿宋_GB2312" w:hAnsi="宋体" w:eastAsia="仿宋_GB2312"/>
          <w:sz w:val="28"/>
          <w:szCs w:val="28"/>
        </w:rPr>
        <w:t>................ .....28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十、一般公共预算财政拨款“三公”经费支出决算表</w:t>
      </w:r>
      <w:r>
        <w:rPr>
          <w:rFonts w:hint="eastAsia" w:ascii="仿宋_GB2312" w:hAnsi="宋体" w:eastAsia="仿宋_GB2312"/>
          <w:sz w:val="28"/>
          <w:szCs w:val="28"/>
        </w:rPr>
        <w:t>...............28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十一、政府性基金预算财政拨款收入支出决算表</w:t>
      </w:r>
      <w:r>
        <w:rPr>
          <w:rFonts w:hint="eastAsia" w:ascii="仿宋_GB2312" w:hAnsi="宋体" w:eastAsia="仿宋_GB2312"/>
          <w:sz w:val="28"/>
          <w:szCs w:val="28"/>
        </w:rPr>
        <w:t>...................28</w:t>
      </w:r>
      <w:r>
        <w:rPr>
          <w:rFonts w:hint="eastAsia" w:asciiTheme="minorEastAsia" w:hAnsiTheme="minorEastAsia" w:eastAsiaTheme="minorEastAsia" w:cstheme="minorEastAsia"/>
          <w:sz w:val="24"/>
        </w:rPr>
        <w:t>十二、政府性基金预算财政拨款收入“三公”经费支出决算表</w:t>
      </w:r>
      <w:r>
        <w:rPr>
          <w:rFonts w:hint="eastAsia" w:ascii="仿宋_GB2312" w:hAnsi="宋体" w:eastAsia="仿宋_GB2312"/>
          <w:sz w:val="28"/>
          <w:szCs w:val="28"/>
        </w:rPr>
        <w:t>............28</w:t>
      </w:r>
    </w:p>
    <w:p>
      <w:pPr>
        <w:pStyle w:val="21"/>
        <w:adjustRightInd w:val="0"/>
        <w:snapToGrid w:val="0"/>
        <w:spacing w:line="440" w:lineRule="exact"/>
        <w:jc w:val="left"/>
        <w:rPr>
          <w:rFonts w:ascii="仿宋" w:hAnsi="仿宋" w:eastAsia="仿宋" w:cstheme="minorBidi"/>
          <w:sz w:val="24"/>
        </w:rPr>
      </w:pPr>
      <w:r>
        <w:rPr>
          <w:rFonts w:hint="eastAsia" w:asciiTheme="minorEastAsia" w:hAnsiTheme="minorEastAsia" w:eastAsiaTheme="minorEastAsia" w:cstheme="minorEastAsia"/>
          <w:sz w:val="24"/>
        </w:rPr>
        <w:t>十三、国有资本经营预算财政拨款收入支出决算表</w:t>
      </w:r>
      <w:r>
        <w:rPr>
          <w:rFonts w:hint="eastAsia" w:ascii="仿宋_GB2312" w:hAnsi="宋体" w:eastAsia="仿宋_GB2312"/>
          <w:sz w:val="28"/>
          <w:szCs w:val="28"/>
        </w:rPr>
        <w:t>.................28</w:t>
      </w:r>
    </w:p>
    <w:p>
      <w:pPr>
        <w:pStyle w:val="2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r>
        <w:rPr>
          <w:rFonts w:hint="eastAsia" w:ascii="仿宋_GB2312" w:hAnsi="宋体" w:eastAsia="仿宋_GB2312"/>
          <w:sz w:val="28"/>
          <w:szCs w:val="28"/>
        </w:rPr>
        <w:t>....................28</w:t>
      </w:r>
    </w:p>
    <w:p>
      <w:pPr>
        <w:pStyle w:val="21"/>
        <w:adjustRightInd w:val="0"/>
        <w:snapToGrid w:val="0"/>
        <w:spacing w:line="440" w:lineRule="exact"/>
        <w:jc w:val="left"/>
        <w:rPr>
          <w:rFonts w:asciiTheme="minorEastAsia" w:hAnsiTheme="minorEastAsia" w:eastAsiaTheme="minorEastAsia" w:cstheme="minorEastAsia"/>
          <w:sz w:val="24"/>
        </w:rPr>
      </w:pPr>
    </w:p>
    <w:p>
      <w:pPr>
        <w:widowControl/>
        <w:spacing w:line="440" w:lineRule="exact"/>
        <w:jc w:val="left"/>
        <w:rPr>
          <w:rFonts w:ascii="仿宋" w:hAnsi="仿宋" w:eastAsia="仿宋"/>
          <w:bCs/>
          <w:kern w:val="44"/>
          <w:sz w:val="24"/>
        </w:rPr>
      </w:pPr>
      <w:bookmarkStart w:id="12" w:name="_Toc15396599"/>
      <w:bookmarkStart w:id="13" w:name="_Toc15377196"/>
      <w:r>
        <w:br w:type="page"/>
      </w:r>
    </w:p>
    <w:p>
      <w:pPr>
        <w:pStyle w:val="14"/>
        <w:jc w:val="center"/>
        <w:rPr>
          <w:rStyle w:val="30"/>
          <w:rFonts w:ascii="黑体" w:hAnsi="黑体" w:eastAsia="黑体"/>
          <w:b/>
          <w:bCs w:val="0"/>
        </w:rPr>
      </w:pPr>
      <w:r>
        <w:rPr>
          <w:rFonts w:hint="eastAsia" w:ascii="黑体" w:hAnsi="黑体" w:eastAsia="黑体"/>
          <w:b w:val="0"/>
        </w:rPr>
        <w:t>第一部分</w:t>
      </w:r>
      <w:r>
        <w:rPr>
          <w:rStyle w:val="3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15"/>
        <w:rPr>
          <w:rStyle w:val="31"/>
          <w:rFonts w:ascii="仿宋" w:hAnsi="仿宋" w:eastAsia="仿宋"/>
          <w:b w:val="0"/>
          <w:bCs w:val="0"/>
        </w:rPr>
      </w:pPr>
      <w:bookmarkStart w:id="14" w:name="_Toc15396600"/>
      <w:bookmarkStart w:id="15" w:name="_Toc15377197"/>
      <w:r>
        <w:rPr>
          <w:rFonts w:hint="eastAsia" w:ascii="黑体" w:hAnsi="黑体" w:eastAsia="黑体"/>
          <w:b w:val="0"/>
        </w:rPr>
        <w:t>一、基</w:t>
      </w:r>
      <w:r>
        <w:rPr>
          <w:rStyle w:val="31"/>
          <w:rFonts w:hint="eastAsia" w:ascii="黑体" w:hAnsi="黑体" w:eastAsia="黑体"/>
          <w:b w:val="0"/>
          <w:bCs w:val="0"/>
        </w:rPr>
        <w:t>本职能及主要工作</w:t>
      </w:r>
      <w:bookmarkEnd w:id="14"/>
      <w:bookmarkEnd w:id="15"/>
    </w:p>
    <w:p>
      <w:pPr>
        <w:pStyle w:val="3"/>
        <w:adjustRightInd w:val="0"/>
        <w:snapToGrid w:val="0"/>
        <w:spacing w:before="130" w:line="600" w:lineRule="exact"/>
        <w:ind w:firstLine="672" w:firstLineChars="210"/>
        <w:outlineLvl w:val="2"/>
        <w:rPr>
          <w:rFonts w:hAnsi="仿宋_GB2312" w:cs="仿宋_GB2312"/>
          <w:bCs/>
          <w:sz w:val="32"/>
          <w:szCs w:val="32"/>
        </w:rPr>
      </w:pPr>
      <w:bookmarkStart w:id="16" w:name="_Toc15377198"/>
      <w:bookmarkStart w:id="17" w:name="_Toc15378445"/>
      <w:r>
        <w:rPr>
          <w:rFonts w:hint="eastAsia" w:hAnsi="仿宋_GB2312" w:cs="仿宋_GB2312"/>
          <w:bCs/>
          <w:sz w:val="32"/>
          <w:szCs w:val="32"/>
        </w:rPr>
        <w:t>（一）主要职能。</w:t>
      </w:r>
      <w:bookmarkEnd w:id="16"/>
      <w:bookmarkEnd w:id="17"/>
      <w:bookmarkStart w:id="18" w:name="_Toc15378446"/>
      <w:bookmarkStart w:id="19" w:name="_Toc15377199"/>
    </w:p>
    <w:p>
      <w:pPr>
        <w:widowControl/>
        <w:spacing w:after="150"/>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widowControl/>
        <w:spacing w:after="150"/>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执行本级人民代表大会的决议和上级国家行政机关的决定和命令，发布决定和命令</w:t>
      </w:r>
      <w:r>
        <w:t>。</w:t>
      </w:r>
    </w:p>
    <w:p>
      <w:pPr>
        <w:widowControl/>
        <w:spacing w:after="15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执行本行政区域内的经济和社会发展计划、预算，管理本行政区域内的经济、教育、科学、文化、卫生、体育事业和财政、民政、公安、司法行政、计划生育等行政工作</w:t>
      </w:r>
      <w:r>
        <w:t>。</w:t>
      </w:r>
    </w:p>
    <w:p>
      <w:pPr>
        <w:widowControl/>
        <w:spacing w:after="15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w:t>
      </w:r>
      <w: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保护各种经济组织的合法权益</w:t>
      </w:r>
      <w:r>
        <w:t>。</w:t>
      </w:r>
    </w:p>
    <w:p>
      <w:pPr>
        <w:widowControl/>
        <w:spacing w:after="15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保障少数民族的权利和尊重少数民族的风俗习惯</w:t>
      </w:r>
      <w:r>
        <w:t>。</w:t>
      </w:r>
    </w:p>
    <w:p>
      <w:pPr>
        <w:widowControl/>
        <w:spacing w:after="150"/>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办理上级县委、县政府交办的其他事项。</w:t>
      </w:r>
    </w:p>
    <w:p>
      <w:pPr>
        <w:pStyle w:val="3"/>
        <w:adjustRightInd w:val="0"/>
        <w:snapToGrid w:val="0"/>
        <w:spacing w:before="130" w:line="600" w:lineRule="exact"/>
        <w:ind w:firstLine="672" w:firstLineChars="210"/>
        <w:outlineLvl w:val="2"/>
        <w:rPr>
          <w:rFonts w:hAnsi="仿宋_GB2312" w:cs="仿宋_GB2312"/>
          <w:bCs/>
          <w:sz w:val="32"/>
          <w:szCs w:val="32"/>
        </w:rPr>
      </w:pPr>
      <w:r>
        <w:rPr>
          <w:rFonts w:hint="eastAsia" w:hAnsi="仿宋_GB2312" w:cs="仿宋_GB2312"/>
          <w:bCs/>
          <w:sz w:val="32"/>
          <w:szCs w:val="32"/>
        </w:rPr>
        <w:t>（二）2021年重点工作完成情况。</w:t>
      </w:r>
      <w:bookmarkEnd w:id="18"/>
      <w:bookmarkEnd w:id="19"/>
    </w:p>
    <w:p>
      <w:pPr>
        <w:pStyle w:val="3"/>
        <w:adjustRightInd w:val="0"/>
        <w:snapToGrid w:val="0"/>
        <w:spacing w:before="130" w:line="600" w:lineRule="exact"/>
        <w:ind w:firstLine="672" w:firstLineChars="210"/>
        <w:outlineLvl w:val="2"/>
        <w:rPr>
          <w:rFonts w:hAnsi="仿宋_GB2312" w:cs="仿宋_GB2312"/>
          <w:bCs/>
          <w:sz w:val="32"/>
          <w:szCs w:val="32"/>
        </w:rPr>
      </w:pPr>
      <w:r>
        <w:rPr>
          <w:rFonts w:hint="eastAsia" w:hAnsi="仿宋_GB2312" w:cs="仿宋_GB2312"/>
          <w:sz w:val="32"/>
          <w:szCs w:val="32"/>
        </w:rPr>
        <w:t>2021年以来，镇党委政府严格落实县委、县政府的各项决策部署，立足烟溪实际统筹安排全面推动各项工作落实。巩固拓展脱贫攻坚成果同乡村振兴有效衔接，新冠肺炎疫情防控，全面落实医疗卫生健康政策、全面推动幼小教育事业的发展，镇党委政府始终坚持统一思想，统筹发展、整体推进。大力发展主导产业，集中优势发展茶叶产业，按照规模化、标准化、全面化在我镇推进茶叶的种植和养护。</w:t>
      </w:r>
    </w:p>
    <w:p>
      <w:pPr>
        <w:pStyle w:val="15"/>
        <w:rPr>
          <w:rStyle w:val="31"/>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20"/>
      <w:bookmarkEnd w:id="21"/>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下属二级单位4个，其中行政单位1个，参照公务员法管理的事业单位</w:t>
      </w:r>
      <w:r>
        <w:rPr>
          <w:rFonts w:hint="eastAsia" w:ascii="仿宋_GB2312" w:hAnsi="仿宋_GB2312" w:eastAsia="仿宋_GB2312" w:cs="仿宋_GB2312"/>
          <w:bCs/>
          <w:sz w:val="32"/>
          <w:szCs w:val="32"/>
        </w:rPr>
        <w:t>0</w:t>
      </w:r>
      <w:r>
        <w:rPr>
          <w:rFonts w:hint="eastAsia" w:ascii="仿宋_GB2312" w:hAnsi="仿宋_GB2312" w:eastAsia="仿宋_GB2312" w:cs="仿宋_GB2312"/>
          <w:sz w:val="32"/>
          <w:szCs w:val="32"/>
        </w:rPr>
        <w:t>个，其他事业单位3个。</w:t>
      </w:r>
    </w:p>
    <w:p>
      <w:pPr>
        <w:pStyle w:val="3"/>
        <w:adjustRightInd w:val="0"/>
        <w:snapToGrid w:val="0"/>
        <w:spacing w:before="130" w:line="600" w:lineRule="exact"/>
        <w:ind w:firstLine="672" w:firstLineChars="210"/>
        <w:rPr>
          <w:rFonts w:hAnsi="仿宋_GB2312" w:cs="仿宋_GB2312"/>
          <w:sz w:val="32"/>
          <w:szCs w:val="32"/>
        </w:rPr>
      </w:pPr>
      <w:r>
        <w:rPr>
          <w:rFonts w:hint="eastAsia" w:hAnsi="仿宋_GB2312" w:cs="仿宋_GB2312"/>
          <w:sz w:val="32"/>
          <w:szCs w:val="32"/>
          <w:u w:val="thick" w:color="909090"/>
          <w:shd w:val="clear" w:fill="DDDDDD"/>
        </w:rPr>
        <w:t>纳入2021年度部门决算编制范围的二级预算单位包括：</w:t>
      </w:r>
    </w:p>
    <w:p>
      <w:pPr>
        <w:pStyle w:val="3"/>
        <w:numPr>
          <w:ilvl w:val="0"/>
          <w:numId w:val="1"/>
        </w:numPr>
        <w:adjustRightInd w:val="0"/>
        <w:snapToGrid w:val="0"/>
        <w:spacing w:before="130" w:line="600" w:lineRule="exact"/>
        <w:outlineLvl w:val="2"/>
        <w:rPr>
          <w:rFonts w:hAnsi="仿宋_GB2312" w:cs="仿宋_GB2312"/>
          <w:sz w:val="32"/>
          <w:szCs w:val="32"/>
        </w:rPr>
      </w:pPr>
      <w:bookmarkStart w:id="22" w:name="_Toc15306276"/>
      <w:bookmarkStart w:id="23" w:name="_Toc15377202"/>
      <w:bookmarkStart w:id="24" w:name="_Toc15378449"/>
      <w:bookmarkStart w:id="25" w:name="_Toc15377433"/>
      <w:r>
        <w:rPr>
          <w:rFonts w:hint="eastAsia" w:hAnsi="仿宋_GB2312" w:cs="仿宋_GB2312"/>
          <w:sz w:val="32"/>
          <w:szCs w:val="32"/>
        </w:rPr>
        <w:t>通江县烟溪镇人民政府</w:t>
      </w:r>
    </w:p>
    <w:p>
      <w:pPr>
        <w:pStyle w:val="3"/>
        <w:numPr>
          <w:ilvl w:val="0"/>
          <w:numId w:val="1"/>
        </w:numPr>
        <w:adjustRightInd w:val="0"/>
        <w:snapToGrid w:val="0"/>
        <w:spacing w:before="130" w:line="600" w:lineRule="exact"/>
        <w:outlineLvl w:val="2"/>
        <w:rPr>
          <w:rFonts w:hAnsi="仿宋_GB2312" w:cs="仿宋_GB2312"/>
          <w:sz w:val="32"/>
          <w:szCs w:val="32"/>
        </w:rPr>
      </w:pPr>
      <w:r>
        <w:rPr>
          <w:rFonts w:hint="eastAsia" w:hAnsi="仿宋_GB2312" w:cs="仿宋_GB2312"/>
          <w:sz w:val="32"/>
          <w:szCs w:val="32"/>
        </w:rPr>
        <w:t>通江县烟溪镇卫生院</w:t>
      </w:r>
      <w:bookmarkEnd w:id="22"/>
      <w:bookmarkEnd w:id="23"/>
      <w:bookmarkEnd w:id="24"/>
      <w:bookmarkEnd w:id="25"/>
      <w:bookmarkStart w:id="26" w:name="_Toc15377434"/>
      <w:bookmarkEnd w:id="26"/>
      <w:bookmarkStart w:id="27" w:name="_Toc15306277"/>
      <w:bookmarkEnd w:id="27"/>
      <w:bookmarkStart w:id="28" w:name="_Toc15378450"/>
      <w:bookmarkEnd w:id="28"/>
      <w:bookmarkStart w:id="29" w:name="_Toc15377203"/>
      <w:bookmarkEnd w:id="29"/>
    </w:p>
    <w:p>
      <w:pPr>
        <w:pStyle w:val="3"/>
        <w:numPr>
          <w:ilvl w:val="0"/>
          <w:numId w:val="1"/>
        </w:numPr>
        <w:adjustRightInd w:val="0"/>
        <w:snapToGrid w:val="0"/>
        <w:spacing w:before="130" w:line="600" w:lineRule="exact"/>
        <w:outlineLvl w:val="2"/>
        <w:rPr>
          <w:rFonts w:hAnsi="仿宋_GB2312" w:cs="仿宋_GB2312"/>
          <w:sz w:val="32"/>
          <w:szCs w:val="32"/>
        </w:rPr>
      </w:pPr>
      <w:r>
        <w:rPr>
          <w:rFonts w:hint="eastAsia" w:hAnsi="仿宋_GB2312" w:cs="仿宋_GB2312"/>
          <w:sz w:val="32"/>
          <w:szCs w:val="32"/>
        </w:rPr>
        <w:t>通江县烟溪镇中心小学</w:t>
      </w:r>
    </w:p>
    <w:p>
      <w:pPr>
        <w:pStyle w:val="3"/>
        <w:numPr>
          <w:ilvl w:val="0"/>
          <w:numId w:val="1"/>
        </w:numPr>
        <w:adjustRightInd w:val="0"/>
        <w:snapToGrid w:val="0"/>
        <w:spacing w:before="130" w:line="600" w:lineRule="exact"/>
        <w:outlineLvl w:val="2"/>
        <w:rPr>
          <w:rFonts w:hAnsi="仿宋_GB2312" w:cs="仿宋_GB2312"/>
          <w:sz w:val="32"/>
          <w:szCs w:val="32"/>
        </w:rPr>
      </w:pPr>
      <w:r>
        <w:rPr>
          <w:rFonts w:hint="eastAsia" w:hAnsi="仿宋_GB2312" w:cs="仿宋_GB2312"/>
          <w:sz w:val="32"/>
          <w:szCs w:val="32"/>
        </w:rPr>
        <w:t>通江县烟溪镇钟凤小学</w:t>
      </w:r>
    </w:p>
    <w:p>
      <w:pPr>
        <w:widowControl/>
        <w:jc w:val="left"/>
        <w:rPr>
          <w:rFonts w:ascii="仿宋" w:hAnsi="仿宋" w:eastAsia="仿宋"/>
          <w:kern w:val="0"/>
          <w:sz w:val="32"/>
          <w:szCs w:val="32"/>
        </w:rPr>
      </w:pPr>
      <w:r>
        <w:br w:type="page"/>
      </w:r>
    </w:p>
    <w:p>
      <w:pPr>
        <w:pStyle w:val="14"/>
        <w:ind w:right="440"/>
        <w:jc w:val="center"/>
        <w:rPr>
          <w:rStyle w:val="30"/>
          <w:rFonts w:ascii="黑体" w:hAnsi="黑体" w:eastAsia="黑体"/>
          <w:b w:val="0"/>
          <w:bCs/>
        </w:rPr>
      </w:pPr>
      <w:bookmarkStart w:id="30" w:name="_Toc15396602"/>
      <w:bookmarkStart w:id="31" w:name="_Toc15377204"/>
      <w:r>
        <w:rPr>
          <w:rFonts w:hint="eastAsia" w:ascii="黑体" w:hAnsi="黑体" w:eastAsia="黑体"/>
          <w:b w:val="0"/>
        </w:rPr>
        <w:t>第二部分2021年度</w:t>
      </w:r>
      <w:r>
        <w:rPr>
          <w:rStyle w:val="30"/>
          <w:rFonts w:hint="eastAsia" w:ascii="黑体" w:hAnsi="黑体" w:eastAsia="黑体"/>
          <w:b w:val="0"/>
          <w:bCs/>
        </w:rPr>
        <w:t>部门决算情况说明</w:t>
      </w:r>
      <w:bookmarkEnd w:id="30"/>
      <w:bookmarkEnd w:id="31"/>
    </w:p>
    <w:p/>
    <w:p>
      <w:pPr>
        <w:pStyle w:val="29"/>
        <w:numPr>
          <w:ilvl w:val="0"/>
          <w:numId w:val="2"/>
        </w:numPr>
        <w:spacing w:line="600" w:lineRule="exact"/>
        <w:ind w:firstLineChars="0"/>
        <w:outlineLvl w:val="1"/>
        <w:rPr>
          <w:rStyle w:val="31"/>
          <w:rFonts w:ascii="黑体" w:hAnsi="黑体" w:eastAsia="黑体"/>
          <w:b w:val="0"/>
        </w:rPr>
      </w:pPr>
      <w:bookmarkStart w:id="32" w:name="_Toc15377205"/>
      <w:bookmarkStart w:id="33" w:name="_Toc15396603"/>
      <w:r>
        <w:rPr>
          <w:rFonts w:hint="eastAsia" w:ascii="黑体" w:hAnsi="黑体" w:eastAsia="黑体"/>
          <w:sz w:val="32"/>
          <w:szCs w:val="32"/>
        </w:rPr>
        <w:t>收</w:t>
      </w:r>
      <w:r>
        <w:rPr>
          <w:rStyle w:val="31"/>
          <w:rFonts w:hint="eastAsia" w:ascii="黑体" w:hAnsi="黑体" w:eastAsia="黑体"/>
          <w:b w:val="0"/>
        </w:rPr>
        <w:t>入支出决算总体情况说明</w:t>
      </w:r>
      <w:bookmarkEnd w:id="32"/>
      <w:bookmarkEnd w:id="3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2021年度收、支总计2320.48万元。与2020年相比，收、支总计各增加288.16万元，增长14.18%。主要变动原因是</w:t>
      </w:r>
      <w:r>
        <w:rPr>
          <w:rFonts w:hint="eastAsia" w:ascii="仿宋_GB2312" w:hAnsi="仿宋_GB2312" w:eastAsia="仿宋_GB2312" w:cs="仿宋_GB2312"/>
          <w:color w:val="000000"/>
          <w:sz w:val="32"/>
          <w:szCs w:val="32"/>
        </w:rPr>
        <w:t>经费调整，预算变动。</w:t>
      </w:r>
    </w:p>
    <w:p>
      <w:pPr>
        <w:pStyle w:val="3"/>
        <w:spacing w:before="130"/>
      </w:pPr>
      <w:r>
        <w:rPr>
          <w:rFonts w:hint="eastAsia"/>
        </w:rPr>
        <w:drawing>
          <wp:inline distT="0" distB="0" distL="114300" distR="114300">
            <wp:extent cx="5080000" cy="3810000"/>
            <wp:effectExtent l="4445" t="4445" r="20955" b="14605"/>
            <wp:docPr id="124" name="_x0000_i15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9"/>
        <w:numPr>
          <w:ilvl w:val="0"/>
          <w:numId w:val="2"/>
        </w:numPr>
        <w:spacing w:line="600" w:lineRule="exact"/>
        <w:ind w:firstLineChars="0"/>
        <w:outlineLvl w:val="1"/>
        <w:rPr>
          <w:rStyle w:val="31"/>
          <w:rFonts w:ascii="黑体" w:hAnsi="黑体" w:eastAsia="黑体"/>
          <w:b w:val="0"/>
        </w:rPr>
      </w:pPr>
      <w:bookmarkStart w:id="34" w:name="_Toc15377206"/>
      <w:bookmarkStart w:id="35" w:name="_Toc15396604"/>
      <w:r>
        <w:rPr>
          <w:rFonts w:hint="eastAsia" w:ascii="黑体" w:hAnsi="黑体" w:eastAsia="黑体"/>
          <w:sz w:val="32"/>
          <w:szCs w:val="32"/>
        </w:rPr>
        <w:t>收</w:t>
      </w:r>
      <w:r>
        <w:rPr>
          <w:rStyle w:val="31"/>
          <w:rFonts w:hint="eastAsia" w:ascii="黑体" w:hAnsi="黑体" w:eastAsia="黑体"/>
          <w:b w:val="0"/>
        </w:rPr>
        <w:t>入决算情况说明</w:t>
      </w:r>
      <w:bookmarkEnd w:id="34"/>
      <w:bookmarkEnd w:id="35"/>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2021年本年收入合计2320.48万元，其中：一般公共预算财政拨款收入2191.07万元，占94.42%；政府性基金预算财政拨款收入0万元，占0%；国有资本经营预算财政拨款收入0万元，占0%；上级补助收入0万元，占0%；事业收入129.42万元，占5.58%；经营收入0万元，占比0%； 0万元，占0%；其他收入0万元，占0%。</w:t>
      </w:r>
    </w:p>
    <w:p>
      <w:pPr>
        <w:pStyle w:val="3"/>
        <w:spacing w:before="130"/>
      </w:pPr>
      <w:r>
        <w:rPr>
          <w:rFonts w:hint="eastAsia"/>
        </w:rPr>
        <w:drawing>
          <wp:inline distT="0" distB="0" distL="114300" distR="114300">
            <wp:extent cx="5080000" cy="3810000"/>
            <wp:effectExtent l="4445" t="4445" r="20955" b="14605"/>
            <wp:docPr id="125" name="_x0000_i15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9"/>
        <w:numPr>
          <w:ilvl w:val="0"/>
          <w:numId w:val="2"/>
        </w:numPr>
        <w:spacing w:line="600" w:lineRule="exact"/>
        <w:ind w:firstLineChars="0"/>
        <w:outlineLvl w:val="1"/>
        <w:rPr>
          <w:rStyle w:val="31"/>
          <w:rFonts w:ascii="黑体" w:hAnsi="黑体" w:eastAsia="黑体"/>
          <w:b w:val="0"/>
        </w:rPr>
      </w:pPr>
      <w:bookmarkStart w:id="36" w:name="_Toc15377207"/>
      <w:bookmarkStart w:id="37" w:name="_Toc15396605"/>
      <w:r>
        <w:rPr>
          <w:rFonts w:hint="eastAsia" w:ascii="黑体" w:hAnsi="黑体" w:eastAsia="黑体"/>
          <w:sz w:val="32"/>
          <w:szCs w:val="32"/>
        </w:rPr>
        <w:t>支</w:t>
      </w:r>
      <w:r>
        <w:rPr>
          <w:rStyle w:val="31"/>
          <w:rFonts w:hint="eastAsia" w:ascii="黑体" w:hAnsi="黑体" w:eastAsia="黑体"/>
          <w:b w:val="0"/>
        </w:rPr>
        <w:t>出决算情况说明</w:t>
      </w:r>
      <w:bookmarkEnd w:id="36"/>
      <w:bookmarkEnd w:id="37"/>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2021年本年支出合计2320.48万元，其中：基本支出1602.53万元，占69.06%；项目支出717.96万元，占30.94%；上缴上级支出0万元，占0%；经营支出0万元，占0%；对附属单位补助支出0万元，占0%。</w:t>
      </w:r>
    </w:p>
    <w:p>
      <w:pPr>
        <w:spacing w:line="600" w:lineRule="exact"/>
        <w:ind w:firstLine="640"/>
        <w:rPr>
          <w:rFonts w:ascii="仿宋" w:hAnsi="仿宋" w:eastAsia="仿宋"/>
          <w:sz w:val="32"/>
          <w:szCs w:val="32"/>
          <w:shd w:val="pct10" w:color="auto" w:fill="FFFFFF"/>
        </w:rPr>
      </w:pPr>
    </w:p>
    <w:p>
      <w:pPr>
        <w:pStyle w:val="3"/>
        <w:spacing w:before="130"/>
        <w:rPr>
          <w:rFonts w:ascii="仿宋" w:hAnsi="仿宋" w:eastAsia="仿宋"/>
          <w:sz w:val="32"/>
          <w:szCs w:val="32"/>
          <w:shd w:val="pct10" w:color="auto" w:fill="FFFFFF"/>
        </w:rPr>
      </w:pPr>
      <w:r>
        <w:rPr>
          <w:rFonts w:hint="eastAsia" w:ascii="仿宋" w:hAnsi="仿宋" w:eastAsia="仿宋"/>
          <w:sz w:val="32"/>
          <w:szCs w:val="32"/>
          <w:shd w:val="pct10" w:color="auto" w:fill="FFFFFF"/>
        </w:rPr>
        <w:drawing>
          <wp:inline distT="0" distB="0" distL="114300" distR="114300">
            <wp:extent cx="5080000" cy="3810000"/>
            <wp:effectExtent l="4445" t="4445" r="20955" b="14605"/>
            <wp:docPr id="126" name="_x0000_i15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1"/>
          <w:rFonts w:ascii="黑体" w:hAnsi="黑体" w:eastAsia="黑体"/>
          <w:b w:val="0"/>
        </w:rPr>
      </w:pPr>
      <w:bookmarkStart w:id="38" w:name="_Toc15396606"/>
      <w:bookmarkStart w:id="39" w:name="_Toc15377208"/>
      <w:r>
        <w:rPr>
          <w:rFonts w:hint="eastAsia" w:ascii="黑体" w:hAnsi="黑体" w:eastAsia="黑体"/>
          <w:sz w:val="32"/>
          <w:szCs w:val="32"/>
        </w:rPr>
        <w:t>四、财</w:t>
      </w:r>
      <w:r>
        <w:rPr>
          <w:rStyle w:val="31"/>
          <w:rFonts w:hint="eastAsia" w:ascii="黑体" w:hAnsi="黑体" w:eastAsia="黑体"/>
          <w:b w:val="0"/>
        </w:rPr>
        <w:t>政拨款</w:t>
      </w:r>
      <w:r>
        <w:rPr>
          <w:rFonts w:hint="eastAsia" w:ascii="黑体" w:hAnsi="黑体" w:eastAsia="黑体"/>
          <w:sz w:val="32"/>
          <w:szCs w:val="32"/>
        </w:rPr>
        <w:t>收入支出决算总体情况说明</w:t>
      </w:r>
      <w:bookmarkEnd w:id="38"/>
      <w:bookmarkEnd w:id="39"/>
    </w:p>
    <w:p>
      <w:pPr>
        <w:pStyle w:val="3"/>
        <w:spacing w:before="130"/>
        <w:rPr>
          <w:rFonts w:ascii="仿宋" w:hAnsi="仿宋" w:eastAsia="仿宋"/>
          <w:sz w:val="32"/>
          <w:szCs w:val="32"/>
        </w:rPr>
      </w:pPr>
      <w:r>
        <w:rPr>
          <w:rFonts w:hint="eastAsia" w:hAnsi="仿宋_GB2312" w:cs="仿宋_GB2312"/>
          <w:sz w:val="32"/>
          <w:szCs w:val="32"/>
        </w:rPr>
        <w:t>2021年财政拨款收、支总计2191.07万元。与2020年相比，财政拨款收、支总计各增加279.89万元，增长14.64%。主要变动原因是人员增加，经费变动。</w:t>
      </w:r>
    </w:p>
    <w:p>
      <w:pPr>
        <w:pStyle w:val="3"/>
        <w:spacing w:before="130"/>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20955" b="14605"/>
            <wp:docPr id="127" name="_x0000_i15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31"/>
          <w:rFonts w:ascii="黑体" w:hAnsi="黑体" w:eastAsia="黑体"/>
          <w:b w:val="0"/>
        </w:rPr>
      </w:pPr>
      <w:bookmarkStart w:id="40" w:name="_Toc15396607"/>
      <w:bookmarkStart w:id="41"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w:t>
      </w:r>
      <w:r>
        <w:rPr>
          <w:rStyle w:val="31"/>
          <w:rFonts w:hint="eastAsia" w:ascii="黑体" w:hAnsi="黑体" w:eastAsia="黑体"/>
          <w:b w:val="0"/>
        </w:rPr>
        <w:t>拨款</w:t>
      </w:r>
      <w:r>
        <w:rPr>
          <w:rFonts w:hint="eastAsia" w:ascii="黑体" w:hAnsi="黑体" w:eastAsia="黑体"/>
          <w:sz w:val="32"/>
          <w:szCs w:val="32"/>
        </w:rPr>
        <w:t>支出决算情况说明</w:t>
      </w:r>
      <w:bookmarkEnd w:id="40"/>
      <w:bookmarkEnd w:id="41"/>
    </w:p>
    <w:p>
      <w:pPr>
        <w:spacing w:line="600" w:lineRule="exact"/>
        <w:ind w:firstLine="643"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2021年一般公共预算财政拨款支出2191.07万元，占本年支出合计的94.42%。与2020年相比，一般公共预算财政拨款支出增加279.89万元，增长14.64%。主要变动原因是人员增加，经费预算增加。</w:t>
      </w:r>
    </w:p>
    <w:p>
      <w:pPr>
        <w:pStyle w:val="3"/>
        <w:spacing w:before="130"/>
      </w:pPr>
      <w:r>
        <w:rPr>
          <w:rFonts w:hint="eastAsia" w:ascii="仿宋" w:hAnsi="仿宋" w:eastAsia="仿宋"/>
          <w:sz w:val="32"/>
          <w:szCs w:val="32"/>
        </w:rPr>
        <w:drawing>
          <wp:inline distT="0" distB="0" distL="114300" distR="114300">
            <wp:extent cx="5080000" cy="3810000"/>
            <wp:effectExtent l="4445" t="4445" r="20955" b="14605"/>
            <wp:docPr id="128" name="_x0000_i15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21年一般公共预算财政拨款支出2191.07万元，主要用于以下方面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支出510.09万元，占23.28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577.1万元，占26.34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文化旅游体育与传媒（类）支出4万元，占0.18</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支出130.32万元，占5.95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192.96万元，占8.81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支出228.34万元，占10.42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color w:val="000000"/>
          <w:sz w:val="32"/>
          <w:szCs w:val="32"/>
        </w:rPr>
        <w:t>农林水（类）</w:t>
      </w:r>
      <w:r>
        <w:rPr>
          <w:rFonts w:hint="eastAsia" w:ascii="仿宋" w:hAnsi="仿宋" w:eastAsia="仿宋"/>
          <w:color w:val="000000"/>
          <w:sz w:val="32"/>
          <w:szCs w:val="32"/>
        </w:rPr>
        <w:t>支出</w:t>
      </w:r>
      <w:r>
        <w:rPr>
          <w:rFonts w:hint="eastAsia" w:ascii="仿宋" w:hAnsi="仿宋" w:eastAsia="仿宋"/>
          <w:sz w:val="32"/>
          <w:szCs w:val="32"/>
        </w:rPr>
        <w:t>540.25万元，占24.66%；</w:t>
      </w:r>
      <w:r>
        <w:rPr>
          <w:rFonts w:hint="eastAsia" w:ascii="仿宋" w:hAnsi="仿宋" w:eastAsia="仿宋"/>
          <w:b/>
          <w:color w:val="000000"/>
          <w:sz w:val="32"/>
          <w:szCs w:val="32"/>
        </w:rPr>
        <w:t>交通运输（类）</w:t>
      </w:r>
      <w:r>
        <w:rPr>
          <w:rFonts w:hint="eastAsia" w:ascii="仿宋" w:hAnsi="仿宋" w:eastAsia="仿宋"/>
          <w:color w:val="000000"/>
          <w:sz w:val="32"/>
          <w:szCs w:val="32"/>
        </w:rPr>
        <w:t>支出</w:t>
      </w:r>
      <w:r>
        <w:rPr>
          <w:rFonts w:hint="eastAsia" w:ascii="仿宋" w:hAnsi="仿宋" w:eastAsia="仿宋"/>
          <w:b/>
          <w:color w:val="000000"/>
          <w:sz w:val="32"/>
          <w:szCs w:val="32"/>
        </w:rPr>
        <w:t>8万元，</w:t>
      </w:r>
      <w:r>
        <w:rPr>
          <w:rFonts w:hint="eastAsia" w:ascii="仿宋" w:hAnsi="仿宋" w:eastAsia="仿宋"/>
          <w:color w:val="000000"/>
          <w:sz w:val="32"/>
          <w:szCs w:val="32"/>
        </w:rPr>
        <w:t>占0.37%</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（注：数据来源于财决01-1表，仅罗列本部门涉及的全部功能分类科目，至类级）</w:t>
      </w:r>
    </w:p>
    <w:p>
      <w:pPr>
        <w:pStyle w:val="3"/>
        <w:spacing w:before="130"/>
        <w:ind w:left="-622" w:leftChars="-296" w:firstLine="3"/>
        <w:rPr>
          <w:rFonts w:ascii="仿宋" w:hAnsi="仿宋" w:eastAsia="仿宋"/>
          <w:sz w:val="32"/>
          <w:szCs w:val="32"/>
        </w:rPr>
      </w:pPr>
      <w:r>
        <w:rPr>
          <w:rFonts w:hint="eastAsia" w:ascii="仿宋" w:hAnsi="仿宋" w:eastAsia="仿宋"/>
          <w:sz w:val="32"/>
          <w:szCs w:val="32"/>
        </w:rPr>
        <w:t>577.1</w:t>
      </w:r>
      <w:r>
        <w:rPr>
          <w:rFonts w:hint="eastAsia" w:ascii="仿宋" w:hAnsi="仿宋" w:eastAsia="仿宋"/>
          <w:sz w:val="32"/>
          <w:szCs w:val="32"/>
        </w:rPr>
        <w:drawing>
          <wp:inline distT="0" distB="0" distL="114300" distR="114300">
            <wp:extent cx="6031230" cy="3858895"/>
            <wp:effectExtent l="4445" t="4445" r="22225" b="22860"/>
            <wp:docPr id="129" name="_x0000_i15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4" w:name="_Toc15377212"/>
      <w:r>
        <w:rPr>
          <w:rFonts w:hint="eastAsia" w:ascii="仿宋" w:hAnsi="仿宋" w:eastAsia="仿宋"/>
          <w:b/>
          <w:sz w:val="32"/>
          <w:szCs w:val="32"/>
        </w:rPr>
        <w:t>（三）一般公共预算财政拨款支出决算具体情况</w:t>
      </w:r>
      <w:bookmarkEnd w:id="44"/>
    </w:p>
    <w:p>
      <w:pPr>
        <w:spacing w:line="600" w:lineRule="exact"/>
        <w:ind w:firstLine="643" w:firstLineChars="200"/>
        <w:outlineLvl w:val="2"/>
        <w:rPr>
          <w:rFonts w:ascii="仿宋" w:hAnsi="仿宋" w:eastAsia="仿宋"/>
          <w:sz w:val="32"/>
          <w:szCs w:val="32"/>
        </w:rPr>
      </w:pPr>
      <w:bookmarkStart w:id="45" w:name="_Toc15377213"/>
      <w:bookmarkStart w:id="46" w:name="_Toc15377444"/>
      <w:bookmarkStart w:id="47" w:name="_Toc15378460"/>
      <w:r>
        <w:rPr>
          <w:rFonts w:hint="eastAsia" w:ascii="仿宋" w:hAnsi="仿宋" w:eastAsia="仿宋"/>
          <w:b/>
          <w:sz w:val="32"/>
          <w:szCs w:val="32"/>
        </w:rPr>
        <w:t>2021年一般公共预算支出决算数为2191.07万元</w:t>
      </w:r>
      <w:r>
        <w:rPr>
          <w:rFonts w:hint="eastAsia" w:ascii="仿宋" w:hAnsi="仿宋" w:eastAsia="仿宋"/>
          <w:sz w:val="32"/>
          <w:szCs w:val="32"/>
        </w:rPr>
        <w:t>，</w:t>
      </w:r>
      <w:r>
        <w:rPr>
          <w:rStyle w:val="11"/>
          <w:rFonts w:hint="eastAsia" w:ascii="仿宋" w:hAnsi="仿宋" w:eastAsia="仿宋"/>
          <w:bCs/>
          <w:sz w:val="32"/>
          <w:szCs w:val="32"/>
        </w:rPr>
        <w:t>完成预算的</w:t>
      </w:r>
      <w:r>
        <w:rPr>
          <w:rFonts w:hint="eastAsia" w:ascii="仿宋" w:hAnsi="仿宋" w:eastAsia="仿宋"/>
          <w:bCs/>
          <w:sz w:val="32"/>
          <w:szCs w:val="32"/>
        </w:rPr>
        <w:t>100%</w:t>
      </w:r>
      <w:r>
        <w:rPr>
          <w:rStyle w:val="11"/>
          <w:rFonts w:hint="eastAsia" w:ascii="仿宋" w:hAnsi="仿宋" w:eastAsia="仿宋"/>
          <w:bCs/>
          <w:sz w:val="32"/>
          <w:szCs w:val="32"/>
        </w:rPr>
        <w:t>。</w:t>
      </w:r>
      <w:r>
        <w:rPr>
          <w:rFonts w:hint="eastAsia" w:ascii="仿宋" w:hAnsi="仿宋" w:eastAsia="仿宋"/>
          <w:bCs/>
          <w:sz w:val="32"/>
          <w:szCs w:val="32"/>
        </w:rPr>
        <w:t>其中：</w:t>
      </w:r>
      <w:bookmarkEnd w:id="45"/>
      <w:bookmarkEnd w:id="46"/>
      <w:bookmarkEnd w:id="47"/>
    </w:p>
    <w:p>
      <w:pPr>
        <w:spacing w:line="600" w:lineRule="exact"/>
        <w:ind w:firstLine="643" w:firstLineChars="200"/>
        <w:rPr>
          <w:rFonts w:ascii="仿宋" w:hAnsi="仿宋" w:eastAsia="仿宋"/>
          <w:b/>
          <w:sz w:val="32"/>
          <w:szCs w:val="32"/>
        </w:rPr>
      </w:pPr>
      <w:r>
        <w:rPr>
          <w:rStyle w:val="11"/>
          <w:rFonts w:ascii="仿宋" w:hAnsi="仿宋" w:eastAsia="仿宋"/>
          <w:bCs/>
          <w:sz w:val="32"/>
          <w:szCs w:val="32"/>
        </w:rPr>
        <w:t>1.</w:t>
      </w:r>
      <w:r>
        <w:rPr>
          <w:rStyle w:val="11"/>
          <w:rFonts w:hint="eastAsia" w:ascii="仿宋" w:hAnsi="仿宋" w:eastAsia="仿宋"/>
          <w:bCs/>
          <w:sz w:val="32"/>
          <w:szCs w:val="32"/>
        </w:rPr>
        <w:t>一般公共服务（类）政府办公厅</w:t>
      </w:r>
      <w:r>
        <w:rPr>
          <w:rFonts w:hint="eastAsia" w:ascii="仿宋" w:hAnsi="仿宋" w:eastAsia="仿宋"/>
          <w:bCs/>
          <w:sz w:val="32"/>
          <w:szCs w:val="32"/>
        </w:rPr>
        <w:t>（室）及相关机构事务（款）行政运行（项）</w:t>
      </w:r>
      <w:r>
        <w:rPr>
          <w:rStyle w:val="11"/>
          <w:rFonts w:ascii="仿宋" w:hAnsi="仿宋" w:eastAsia="仿宋"/>
          <w:bCs/>
          <w:sz w:val="32"/>
          <w:szCs w:val="32"/>
        </w:rPr>
        <w:t>:</w:t>
      </w:r>
      <w:r>
        <w:rPr>
          <w:rStyle w:val="11"/>
          <w:rFonts w:hint="eastAsia" w:ascii="仿宋" w:hAnsi="仿宋" w:eastAsia="仿宋"/>
          <w:b w:val="0"/>
          <w:bCs/>
          <w:sz w:val="32"/>
          <w:szCs w:val="32"/>
        </w:rPr>
        <w:t>支出决算为317.76万元，完成预算</w:t>
      </w:r>
      <w:r>
        <w:rPr>
          <w:rFonts w:hint="eastAsia" w:ascii="仿宋" w:hAnsi="仿宋" w:eastAsia="仿宋"/>
          <w:bCs/>
          <w:sz w:val="32"/>
          <w:szCs w:val="32"/>
        </w:rPr>
        <w:t>100%</w:t>
      </w:r>
      <w:r>
        <w:rPr>
          <w:rStyle w:val="11"/>
          <w:rFonts w:hint="eastAsia" w:ascii="仿宋" w:hAnsi="仿宋" w:eastAsia="仿宋"/>
          <w:b w:val="0"/>
          <w:bCs/>
          <w:color w:val="000000"/>
          <w:sz w:val="32"/>
          <w:szCs w:val="32"/>
        </w:rPr>
        <w:t>。</w:t>
      </w:r>
    </w:p>
    <w:p>
      <w:pPr>
        <w:spacing w:line="600" w:lineRule="exact"/>
        <w:ind w:firstLine="643" w:firstLineChars="200"/>
        <w:rPr>
          <w:rFonts w:ascii="仿宋" w:hAnsi="仿宋" w:eastAsia="仿宋"/>
          <w:b/>
          <w:sz w:val="32"/>
          <w:szCs w:val="32"/>
        </w:rPr>
      </w:pPr>
      <w:r>
        <w:rPr>
          <w:rStyle w:val="11"/>
          <w:rFonts w:ascii="仿宋" w:hAnsi="仿宋" w:eastAsia="仿宋"/>
          <w:bCs/>
          <w:sz w:val="32"/>
          <w:szCs w:val="32"/>
        </w:rPr>
        <w:t>2.</w:t>
      </w:r>
      <w:r>
        <w:rPr>
          <w:rStyle w:val="11"/>
          <w:rFonts w:hint="eastAsia" w:ascii="仿宋" w:hAnsi="仿宋" w:eastAsia="仿宋"/>
          <w:bCs/>
          <w:color w:val="000000"/>
          <w:sz w:val="32"/>
          <w:szCs w:val="32"/>
        </w:rPr>
        <w:t>教育（类）普通教育（款）学前教育（项）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支出决算为9.4万元；</w:t>
      </w:r>
      <w:r>
        <w:rPr>
          <w:rStyle w:val="11"/>
          <w:rFonts w:hint="eastAsia" w:ascii="仿宋" w:hAnsi="仿宋" w:eastAsia="仿宋"/>
          <w:bCs/>
          <w:color w:val="000000"/>
          <w:sz w:val="32"/>
          <w:szCs w:val="32"/>
        </w:rPr>
        <w:t>教育（类）普通教育（款）小学教育（项）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支出决算为545.61万元；</w:t>
      </w:r>
      <w:r>
        <w:rPr>
          <w:rStyle w:val="11"/>
          <w:rFonts w:hint="eastAsia" w:ascii="仿宋" w:hAnsi="仿宋" w:eastAsia="仿宋"/>
          <w:bCs/>
          <w:color w:val="000000"/>
          <w:sz w:val="32"/>
          <w:szCs w:val="32"/>
        </w:rPr>
        <w:t>教育（类）普通教育（款）其他普通教育支出（项）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支出决算为22.09万元，决算数等于预算</w:t>
      </w:r>
      <w:r>
        <w:rPr>
          <w:rFonts w:hint="eastAsia" w:ascii="仿宋" w:hAnsi="仿宋" w:eastAsia="仿宋"/>
          <w:bCs/>
          <w:color w:val="000000"/>
          <w:sz w:val="32"/>
          <w:szCs w:val="32"/>
        </w:rPr>
        <w:t>数</w:t>
      </w:r>
      <w:r>
        <w:rPr>
          <w:rStyle w:val="11"/>
          <w:rFonts w:hint="eastAsia" w:ascii="仿宋" w:hAnsi="仿宋" w:eastAsia="仿宋"/>
          <w:b w:val="0"/>
          <w:bCs/>
          <w:color w:val="000000"/>
          <w:sz w:val="32"/>
          <w:szCs w:val="32"/>
        </w:rPr>
        <w:t>。</w:t>
      </w:r>
    </w:p>
    <w:p>
      <w:pPr>
        <w:ind w:firstLine="643" w:firstLineChars="200"/>
        <w:rPr>
          <w:rFonts w:ascii="仿宋" w:hAnsi="仿宋" w:eastAsia="仿宋"/>
          <w:b/>
          <w:sz w:val="32"/>
          <w:szCs w:val="32"/>
        </w:rPr>
      </w:pPr>
      <w:r>
        <w:rPr>
          <w:rStyle w:val="11"/>
          <w:rFonts w:ascii="仿宋" w:hAnsi="仿宋" w:eastAsia="仿宋"/>
          <w:bCs/>
          <w:sz w:val="32"/>
          <w:szCs w:val="32"/>
        </w:rPr>
        <w:t>3.</w:t>
      </w:r>
      <w:r>
        <w:rPr>
          <w:rStyle w:val="11"/>
          <w:rFonts w:hint="eastAsia" w:ascii="仿宋" w:hAnsi="仿宋" w:eastAsia="仿宋"/>
          <w:bCs/>
          <w:color w:val="000000"/>
          <w:sz w:val="32"/>
          <w:szCs w:val="32"/>
        </w:rPr>
        <w:t>文化体育与传媒（类）文化和旅游（款）其他文化和旅游支出（项）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支出决算为4万元，完成预算</w:t>
      </w:r>
      <w:r>
        <w:rPr>
          <w:rFonts w:hint="eastAsia" w:ascii="仿宋" w:hAnsi="仿宋" w:eastAsia="仿宋"/>
          <w:bCs/>
          <w:color w:val="000000"/>
          <w:sz w:val="32"/>
          <w:szCs w:val="32"/>
        </w:rPr>
        <w:t>100%</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r>
        <w:rPr>
          <w:rStyle w:val="11"/>
          <w:rFonts w:hint="eastAsia" w:ascii="仿宋" w:hAnsi="仿宋" w:eastAsia="仿宋"/>
          <w:b w:val="0"/>
          <w:bCs/>
          <w:color w:val="000000"/>
          <w:sz w:val="32"/>
          <w:szCs w:val="32"/>
        </w:rPr>
        <w:t>。</w:t>
      </w:r>
    </w:p>
    <w:p>
      <w:pPr>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rPr>
        <w:t>4</w:t>
      </w:r>
      <w:r>
        <w:rPr>
          <w:rStyle w:val="11"/>
          <w:rFonts w:ascii="仿宋" w:hAnsi="仿宋" w:eastAsia="仿宋"/>
          <w:bCs/>
          <w:sz w:val="32"/>
          <w:szCs w:val="32"/>
        </w:rPr>
        <w:t>.</w:t>
      </w:r>
      <w:r>
        <w:rPr>
          <w:rStyle w:val="11"/>
          <w:rFonts w:hint="eastAsia" w:ascii="仿宋" w:hAnsi="仿宋" w:eastAsia="仿宋"/>
          <w:bCs/>
          <w:sz w:val="32"/>
          <w:szCs w:val="32"/>
        </w:rPr>
        <w:t>社会保障</w:t>
      </w:r>
      <w:r>
        <w:rPr>
          <w:rFonts w:hint="eastAsia" w:ascii="仿宋" w:hAnsi="仿宋" w:eastAsia="仿宋"/>
          <w:bCs/>
          <w:sz w:val="32"/>
          <w:szCs w:val="32"/>
        </w:rPr>
        <w:t>和就业（类）行政事业单位养老（款）机关事业单位基本养老保险缴费（项）</w:t>
      </w:r>
      <w:r>
        <w:rPr>
          <w:rStyle w:val="11"/>
          <w:rFonts w:ascii="仿宋" w:hAnsi="仿宋" w:eastAsia="仿宋"/>
          <w:bCs/>
          <w:sz w:val="32"/>
          <w:szCs w:val="32"/>
        </w:rPr>
        <w:t>:</w:t>
      </w:r>
      <w:r>
        <w:rPr>
          <w:rStyle w:val="11"/>
          <w:rFonts w:hint="eastAsia" w:ascii="仿宋" w:hAnsi="仿宋" w:eastAsia="仿宋"/>
          <w:b w:val="0"/>
          <w:bCs/>
          <w:sz w:val="32"/>
          <w:szCs w:val="32"/>
        </w:rPr>
        <w:t>支出决算为101.29万元，完成预算</w:t>
      </w:r>
      <w:r>
        <w:rPr>
          <w:rFonts w:hint="eastAsia" w:ascii="仿宋" w:hAnsi="仿宋" w:eastAsia="仿宋"/>
          <w:bCs/>
          <w:sz w:val="32"/>
          <w:szCs w:val="32"/>
        </w:rPr>
        <w:t>100%</w:t>
      </w:r>
      <w:r>
        <w:rPr>
          <w:rStyle w:val="11"/>
          <w:rFonts w:hint="eastAsia" w:ascii="仿宋" w:hAnsi="仿宋" w:eastAsia="仿宋"/>
          <w:b w:val="0"/>
          <w:bCs/>
          <w:sz w:val="32"/>
          <w:szCs w:val="32"/>
        </w:rPr>
        <w:t>，决算数等于预算</w:t>
      </w:r>
      <w:r>
        <w:rPr>
          <w:rFonts w:hint="eastAsia" w:ascii="仿宋" w:hAnsi="仿宋" w:eastAsia="仿宋"/>
          <w:bCs/>
          <w:sz w:val="32"/>
          <w:szCs w:val="32"/>
        </w:rPr>
        <w:t>数</w:t>
      </w:r>
      <w:r>
        <w:rPr>
          <w:rStyle w:val="11"/>
          <w:rFonts w:hint="eastAsia" w:ascii="仿宋" w:hAnsi="仿宋" w:eastAsia="仿宋"/>
          <w:b w:val="0"/>
          <w:bCs/>
          <w:color w:val="000000"/>
          <w:sz w:val="32"/>
          <w:szCs w:val="32"/>
        </w:rPr>
        <w:t>。</w:t>
      </w:r>
    </w:p>
    <w:p>
      <w:pPr>
        <w:ind w:firstLine="643" w:firstLineChars="200"/>
        <w:rPr>
          <w:rStyle w:val="11"/>
          <w:rFonts w:ascii="仿宋" w:hAnsi="仿宋" w:eastAsia="仿宋"/>
          <w:b w:val="0"/>
          <w:bCs/>
          <w:color w:val="000000"/>
          <w:sz w:val="32"/>
          <w:szCs w:val="32"/>
        </w:rPr>
      </w:pPr>
      <w:r>
        <w:rPr>
          <w:rStyle w:val="11"/>
          <w:rFonts w:hint="eastAsia" w:ascii="仿宋" w:hAnsi="仿宋" w:eastAsia="仿宋"/>
          <w:bCs/>
          <w:sz w:val="32"/>
          <w:szCs w:val="32"/>
        </w:rPr>
        <w:t>5</w:t>
      </w:r>
      <w:r>
        <w:rPr>
          <w:rStyle w:val="11"/>
          <w:rFonts w:ascii="仿宋" w:hAnsi="仿宋" w:eastAsia="仿宋"/>
          <w:bCs/>
          <w:sz w:val="32"/>
          <w:szCs w:val="32"/>
        </w:rPr>
        <w:t>.</w:t>
      </w:r>
      <w:r>
        <w:rPr>
          <w:rStyle w:val="11"/>
          <w:rFonts w:hint="eastAsia" w:ascii="仿宋" w:hAnsi="仿宋" w:eastAsia="仿宋"/>
          <w:bCs/>
          <w:color w:val="000000"/>
          <w:sz w:val="32"/>
          <w:szCs w:val="32"/>
        </w:rPr>
        <w:t>卫生健康（类）基层医疗</w:t>
      </w:r>
      <w:r>
        <w:rPr>
          <w:rFonts w:hint="eastAsia" w:ascii="仿宋" w:hAnsi="仿宋" w:eastAsia="仿宋"/>
          <w:bCs/>
          <w:color w:val="000000"/>
          <w:sz w:val="32"/>
          <w:szCs w:val="32"/>
        </w:rPr>
        <w:t>卫生机构</w:t>
      </w:r>
      <w:r>
        <w:rPr>
          <w:rStyle w:val="11"/>
          <w:rFonts w:hint="eastAsia" w:ascii="仿宋" w:hAnsi="仿宋" w:eastAsia="仿宋"/>
          <w:bCs/>
          <w:color w:val="000000"/>
          <w:sz w:val="32"/>
          <w:szCs w:val="32"/>
        </w:rPr>
        <w:t>（款）乡镇卫生院（项）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支出决算为63.41万元，完成预算</w:t>
      </w:r>
      <w:r>
        <w:rPr>
          <w:rFonts w:hint="eastAsia" w:ascii="仿宋" w:hAnsi="仿宋" w:eastAsia="仿宋"/>
          <w:bCs/>
          <w:color w:val="000000"/>
          <w:sz w:val="32"/>
          <w:szCs w:val="32"/>
        </w:rPr>
        <w:t>100%</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r>
        <w:rPr>
          <w:rStyle w:val="11"/>
          <w:rFonts w:hint="eastAsia" w:ascii="仿宋" w:hAnsi="仿宋" w:eastAsia="仿宋"/>
          <w:b w:val="0"/>
          <w:bCs/>
          <w:color w:val="000000"/>
          <w:sz w:val="32"/>
          <w:szCs w:val="32"/>
        </w:rPr>
        <w:t>。</w:t>
      </w:r>
    </w:p>
    <w:p>
      <w:pPr>
        <w:ind w:firstLine="640" w:firstLineChars="200"/>
        <w:rPr>
          <w:rStyle w:val="11"/>
          <w:rFonts w:ascii="仿宋" w:hAnsi="仿宋" w:eastAsia="仿宋"/>
          <w:b w:val="0"/>
          <w:bCs/>
          <w:color w:val="000000"/>
          <w:sz w:val="32"/>
          <w:szCs w:val="32"/>
        </w:rPr>
      </w:pPr>
      <w:r>
        <w:rPr>
          <w:rStyle w:val="11"/>
          <w:rFonts w:hint="eastAsia" w:ascii="仿宋" w:hAnsi="仿宋" w:eastAsia="仿宋"/>
          <w:b w:val="0"/>
          <w:bCs/>
          <w:color w:val="000000"/>
          <w:sz w:val="32"/>
          <w:szCs w:val="32"/>
        </w:rPr>
        <w:t>6.</w:t>
      </w:r>
      <w:r>
        <w:rPr>
          <w:rFonts w:hint="eastAsia" w:ascii="仿宋" w:hAnsi="仿宋" w:eastAsia="仿宋"/>
          <w:b/>
          <w:color w:val="000000"/>
          <w:sz w:val="32"/>
          <w:szCs w:val="32"/>
        </w:rPr>
        <w:t>农林水</w:t>
      </w:r>
      <w:r>
        <w:rPr>
          <w:rStyle w:val="11"/>
          <w:rFonts w:hint="eastAsia" w:ascii="仿宋" w:hAnsi="仿宋" w:eastAsia="仿宋"/>
          <w:bCs/>
          <w:color w:val="000000"/>
          <w:sz w:val="32"/>
          <w:szCs w:val="32"/>
        </w:rPr>
        <w:t>（类）扶贫（款）农村基础设施建设（项）：</w:t>
      </w:r>
      <w:r>
        <w:rPr>
          <w:rStyle w:val="11"/>
          <w:rFonts w:hint="eastAsia" w:ascii="仿宋" w:hAnsi="仿宋" w:eastAsia="仿宋"/>
          <w:b w:val="0"/>
          <w:bCs/>
          <w:color w:val="000000"/>
          <w:sz w:val="32"/>
          <w:szCs w:val="32"/>
        </w:rPr>
        <w:t>支出决算为229.23万元，完成预算</w:t>
      </w:r>
      <w:r>
        <w:rPr>
          <w:rFonts w:hint="eastAsia" w:ascii="仿宋" w:hAnsi="仿宋" w:eastAsia="仿宋"/>
          <w:bCs/>
          <w:color w:val="000000"/>
          <w:sz w:val="32"/>
          <w:szCs w:val="32"/>
        </w:rPr>
        <w:t>100%</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r>
        <w:rPr>
          <w:rStyle w:val="11"/>
          <w:rFonts w:hint="eastAsia" w:ascii="仿宋" w:hAnsi="仿宋" w:eastAsia="仿宋"/>
          <w:b w:val="0"/>
          <w:bCs/>
          <w:color w:val="000000"/>
          <w:sz w:val="32"/>
          <w:szCs w:val="32"/>
        </w:rPr>
        <w:t>。</w:t>
      </w:r>
    </w:p>
    <w:p>
      <w:pPr>
        <w:ind w:firstLine="643" w:firstLineChars="200"/>
        <w:rPr>
          <w:rStyle w:val="11"/>
          <w:rFonts w:ascii="仿宋" w:hAnsi="仿宋" w:eastAsia="仿宋"/>
          <w:b w:val="0"/>
          <w:bCs/>
          <w:color w:val="000000"/>
          <w:sz w:val="32"/>
          <w:szCs w:val="32"/>
        </w:rPr>
      </w:pPr>
      <w:r>
        <w:rPr>
          <w:rFonts w:hint="eastAsia" w:ascii="仿宋" w:hAnsi="仿宋" w:eastAsia="仿宋"/>
          <w:b/>
          <w:color w:val="000000"/>
          <w:sz w:val="32"/>
          <w:szCs w:val="32"/>
        </w:rPr>
        <w:t>7.交通运输</w:t>
      </w:r>
      <w:r>
        <w:rPr>
          <w:rStyle w:val="11"/>
          <w:rFonts w:hint="eastAsia" w:ascii="仿宋" w:hAnsi="仿宋" w:eastAsia="仿宋"/>
          <w:bCs/>
          <w:color w:val="000000"/>
          <w:sz w:val="32"/>
          <w:szCs w:val="32"/>
        </w:rPr>
        <w:t>（类）其他交通运输（款）其他交通运输（项）：</w:t>
      </w:r>
      <w:r>
        <w:rPr>
          <w:rStyle w:val="11"/>
          <w:rFonts w:hint="eastAsia" w:ascii="仿宋" w:hAnsi="仿宋" w:eastAsia="仿宋"/>
          <w:b w:val="0"/>
          <w:bCs/>
          <w:color w:val="000000"/>
          <w:sz w:val="32"/>
          <w:szCs w:val="32"/>
        </w:rPr>
        <w:t>支出决算为8万元，完成预算</w:t>
      </w:r>
      <w:r>
        <w:rPr>
          <w:rFonts w:hint="eastAsia" w:ascii="仿宋" w:hAnsi="仿宋" w:eastAsia="仿宋"/>
          <w:bCs/>
          <w:color w:val="000000"/>
          <w:sz w:val="32"/>
          <w:szCs w:val="32"/>
        </w:rPr>
        <w:t>100%</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r>
        <w:rPr>
          <w:rStyle w:val="11"/>
          <w:rFonts w:hint="eastAsia" w:ascii="仿宋" w:hAnsi="仿宋" w:eastAsia="仿宋"/>
          <w:b w:val="0"/>
          <w:bCs/>
          <w:color w:val="000000"/>
          <w:sz w:val="32"/>
          <w:szCs w:val="32"/>
        </w:rPr>
        <w:t>。</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8.住房保障</w:t>
      </w:r>
      <w:r>
        <w:rPr>
          <w:rStyle w:val="11"/>
          <w:rFonts w:hint="eastAsia" w:ascii="仿宋" w:hAnsi="仿宋" w:eastAsia="仿宋"/>
          <w:bCs/>
          <w:color w:val="000000"/>
          <w:sz w:val="32"/>
          <w:szCs w:val="32"/>
        </w:rPr>
        <w:t>（类）保障</w:t>
      </w:r>
      <w:r>
        <w:rPr>
          <w:rFonts w:hint="eastAsia" w:ascii="仿宋" w:hAnsi="仿宋" w:eastAsia="仿宋"/>
          <w:bCs/>
          <w:color w:val="000000"/>
          <w:sz w:val="32"/>
          <w:szCs w:val="32"/>
        </w:rPr>
        <w:t>性安居工程</w:t>
      </w:r>
      <w:r>
        <w:rPr>
          <w:rStyle w:val="11"/>
          <w:rFonts w:hint="eastAsia" w:ascii="仿宋" w:hAnsi="仿宋" w:eastAsia="仿宋"/>
          <w:bCs/>
          <w:color w:val="000000"/>
          <w:sz w:val="32"/>
          <w:szCs w:val="32"/>
        </w:rPr>
        <w:t>（款）农村危房改造（项）：</w:t>
      </w:r>
      <w:r>
        <w:rPr>
          <w:rStyle w:val="11"/>
          <w:rFonts w:hint="eastAsia" w:ascii="仿宋" w:hAnsi="仿宋" w:eastAsia="仿宋"/>
          <w:b w:val="0"/>
          <w:bCs/>
          <w:color w:val="000000"/>
          <w:sz w:val="32"/>
          <w:szCs w:val="32"/>
        </w:rPr>
        <w:t>支出决算为152.38万元；</w:t>
      </w:r>
      <w:r>
        <w:rPr>
          <w:rFonts w:hint="eastAsia" w:ascii="仿宋" w:hAnsi="仿宋" w:eastAsia="仿宋"/>
          <w:b/>
          <w:color w:val="000000"/>
          <w:sz w:val="32"/>
          <w:szCs w:val="32"/>
        </w:rPr>
        <w:t>住房保障</w:t>
      </w:r>
      <w:r>
        <w:rPr>
          <w:rStyle w:val="11"/>
          <w:rFonts w:hint="eastAsia" w:ascii="仿宋" w:hAnsi="仿宋" w:eastAsia="仿宋"/>
          <w:bCs/>
          <w:color w:val="000000"/>
          <w:sz w:val="32"/>
          <w:szCs w:val="32"/>
        </w:rPr>
        <w:t>（类）住房改革（款）住房公积金（项）：</w:t>
      </w:r>
      <w:r>
        <w:rPr>
          <w:rStyle w:val="11"/>
          <w:rFonts w:hint="eastAsia" w:ascii="仿宋" w:hAnsi="仿宋" w:eastAsia="仿宋"/>
          <w:b w:val="0"/>
          <w:bCs/>
          <w:color w:val="000000"/>
          <w:sz w:val="32"/>
          <w:szCs w:val="32"/>
        </w:rPr>
        <w:t>支出决算为75.96万元，完成预算</w:t>
      </w:r>
      <w:r>
        <w:rPr>
          <w:rFonts w:hint="eastAsia" w:ascii="仿宋" w:hAnsi="仿宋" w:eastAsia="仿宋"/>
          <w:bCs/>
          <w:color w:val="000000"/>
          <w:sz w:val="32"/>
          <w:szCs w:val="32"/>
        </w:rPr>
        <w:t>100%</w:t>
      </w:r>
      <w:r>
        <w:rPr>
          <w:rStyle w:val="11"/>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r>
        <w:rPr>
          <w:rStyle w:val="11"/>
          <w:rFonts w:hint="eastAsia" w:ascii="仿宋" w:hAnsi="仿宋" w:eastAsia="仿宋"/>
          <w:b w:val="0"/>
          <w:bCs/>
          <w:color w:val="000000"/>
          <w:sz w:val="32"/>
          <w:szCs w:val="32"/>
        </w:rPr>
        <w:t>。</w:t>
      </w:r>
    </w:p>
    <w:p>
      <w:pPr>
        <w:tabs>
          <w:tab w:val="right" w:pos="8306"/>
        </w:tabs>
        <w:spacing w:line="600" w:lineRule="exact"/>
        <w:ind w:firstLine="640"/>
        <w:outlineLvl w:val="1"/>
        <w:rPr>
          <w:rStyle w:val="31"/>
        </w:rPr>
      </w:pPr>
      <w:bookmarkStart w:id="48" w:name="_Toc15396608"/>
      <w:bookmarkStart w:id="4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w:t>
      </w:r>
      <w:r>
        <w:rPr>
          <w:rStyle w:val="31"/>
          <w:rFonts w:hint="eastAsia" w:ascii="黑体" w:hAnsi="黑体" w:eastAsia="黑体"/>
          <w:b w:val="0"/>
        </w:rPr>
        <w:t>拨款</w:t>
      </w:r>
      <w:r>
        <w:rPr>
          <w:rFonts w:hint="eastAsia" w:ascii="黑体" w:hAnsi="黑体" w:eastAsia="黑体"/>
          <w:sz w:val="32"/>
          <w:szCs w:val="32"/>
        </w:rPr>
        <w:t>基本支出决算情况说明</w:t>
      </w:r>
      <w:bookmarkEnd w:id="48"/>
      <w:bookmarkEnd w:id="49"/>
      <w:r>
        <w:rPr>
          <w:rStyle w:val="31"/>
          <w:rFonts w:ascii="黑体" w:hAnsi="黑体" w:eastAsia="黑体"/>
          <w:b w:val="0"/>
        </w:rPr>
        <w:tab/>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2021年一般公共预算财政拨款基本支出2191.07万元，其中：</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1609.84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581.23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1"/>
          <w:rFonts w:ascii="仿宋_GB2312" w:hAnsi="仿宋_GB2312" w:eastAsia="仿宋_GB2312" w:cs="仿宋_GB2312"/>
          <w:b w:val="0"/>
        </w:rPr>
      </w:pPr>
      <w:bookmarkStart w:id="50" w:name="_Toc15377215"/>
      <w:bookmarkStart w:id="51" w:name="_Toc15396609"/>
      <w:r>
        <w:rPr>
          <w:rFonts w:hint="eastAsia" w:ascii="仿宋_GB2312" w:hAnsi="仿宋_GB2312" w:eastAsia="仿宋_GB2312" w:cs="仿宋_GB2312"/>
          <w:sz w:val="32"/>
          <w:szCs w:val="32"/>
        </w:rPr>
        <w:t>七、</w:t>
      </w:r>
      <w:r>
        <w:rPr>
          <w:rStyle w:val="31"/>
          <w:rFonts w:hint="eastAsia" w:ascii="仿宋_GB2312" w:hAnsi="仿宋_GB2312" w:eastAsia="仿宋_GB2312" w:cs="仿宋_GB2312"/>
        </w:rPr>
        <w:t>“</w:t>
      </w:r>
      <w:r>
        <w:rPr>
          <w:rStyle w:val="31"/>
          <w:rFonts w:hint="eastAsia" w:ascii="仿宋_GB2312" w:hAnsi="仿宋_GB2312" w:eastAsia="仿宋_GB2312" w:cs="仿宋_GB2312"/>
          <w:b w:val="0"/>
        </w:rPr>
        <w:t>三公”经费财政拨款</w:t>
      </w:r>
      <w:r>
        <w:rPr>
          <w:rFonts w:hint="eastAsia" w:ascii="仿宋_GB2312" w:hAnsi="仿宋_GB2312" w:eastAsia="仿宋_GB2312" w:cs="仿宋_GB2312"/>
          <w:sz w:val="32"/>
          <w:szCs w:val="32"/>
        </w:rPr>
        <w:t>支出决算情况说明</w:t>
      </w:r>
      <w:bookmarkEnd w:id="50"/>
      <w:bookmarkEnd w:id="51"/>
    </w:p>
    <w:p>
      <w:pPr>
        <w:spacing w:line="600" w:lineRule="exact"/>
        <w:ind w:firstLine="640"/>
        <w:outlineLvl w:val="2"/>
        <w:rPr>
          <w:rFonts w:ascii="仿宋_GB2312" w:hAnsi="仿宋_GB2312" w:eastAsia="仿宋_GB2312" w:cs="仿宋_GB2312"/>
          <w:b/>
          <w:sz w:val="32"/>
          <w:szCs w:val="32"/>
        </w:rPr>
      </w:pPr>
      <w:bookmarkStart w:id="52" w:name="_Toc15377216"/>
      <w:r>
        <w:rPr>
          <w:rFonts w:hint="eastAsia" w:ascii="仿宋_GB2312" w:hAnsi="仿宋_GB2312" w:eastAsia="仿宋_GB2312" w:cs="仿宋_GB2312"/>
          <w:b/>
          <w:sz w:val="32"/>
          <w:szCs w:val="32"/>
        </w:rPr>
        <w:t>（一）“三公”经费财政拨款支出决算总体情况说明</w:t>
      </w:r>
      <w:bookmarkEnd w:id="52"/>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2021年“三公”经费财政拨款支出决算为3.19万元，完成预算的3.19%，决算数与预算数持平。</w:t>
      </w:r>
    </w:p>
    <w:p>
      <w:pPr>
        <w:spacing w:line="600" w:lineRule="exact"/>
        <w:ind w:firstLine="640"/>
        <w:outlineLvl w:val="2"/>
        <w:rPr>
          <w:rFonts w:ascii="仿宋_GB2312" w:hAnsi="仿宋_GB2312" w:eastAsia="仿宋_GB2312" w:cs="仿宋_GB2312"/>
          <w:b/>
          <w:sz w:val="32"/>
          <w:szCs w:val="32"/>
        </w:rPr>
      </w:pPr>
      <w:bookmarkStart w:id="53" w:name="_Toc15377217"/>
      <w:r>
        <w:rPr>
          <w:rFonts w:hint="eastAsia" w:ascii="仿宋_GB2312" w:hAnsi="仿宋_GB2312" w:eastAsia="仿宋_GB2312" w:cs="仿宋_GB2312"/>
          <w:b/>
          <w:sz w:val="32"/>
          <w:szCs w:val="32"/>
        </w:rPr>
        <w:t>（二）“三公”经费财政拨款支出决算具体情况说明</w:t>
      </w:r>
      <w:bookmarkEnd w:id="53"/>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2021年“三公”经费财政拨款支出决算中，因公出国（境）费支出决算0万元，占0%；公务用车购置及运行维护费支出决算0万元，占0%；公务接待费支出决算3.19万元，占比100%。具体情况如下：</w:t>
      </w:r>
    </w:p>
    <w:p>
      <w:pPr>
        <w:pStyle w:val="3"/>
        <w:spacing w:before="130"/>
        <w:rPr>
          <w:rFonts w:hAnsi="仿宋_GB2312" w:cs="仿宋_GB2312"/>
          <w:sz w:val="32"/>
          <w:szCs w:val="32"/>
        </w:rPr>
      </w:pPr>
    </w:p>
    <w:p>
      <w:pPr>
        <w:pStyle w:val="3"/>
        <w:spacing w:before="130"/>
        <w:rPr>
          <w:rFonts w:ascii="仿宋" w:hAnsi="仿宋" w:eastAsia="仿宋"/>
          <w:sz w:val="32"/>
          <w:szCs w:val="32"/>
        </w:rPr>
      </w:pPr>
      <w:r>
        <w:rPr>
          <w:rFonts w:hint="eastAsia" w:ascii="仿宋" w:hAnsi="仿宋" w:eastAsia="仿宋"/>
          <w:sz w:val="32"/>
          <w:szCs w:val="32"/>
        </w:rPr>
        <w:drawing>
          <wp:inline distT="0" distB="0" distL="114300" distR="114300">
            <wp:extent cx="5260340" cy="3505200"/>
            <wp:effectExtent l="4445" t="4445" r="12065" b="14605"/>
            <wp:docPr id="130" name="_x0000_i15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3"/>
        <w:spacing w:before="130"/>
        <w:rPr>
          <w:rFonts w:ascii="仿宋" w:hAnsi="仿宋" w:eastAsia="仿宋"/>
          <w:sz w:val="32"/>
          <w:szCs w:val="32"/>
        </w:rPr>
      </w:pP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1.因公出国（境）经费支出0</w:t>
      </w:r>
      <w:r>
        <w:rPr>
          <w:rFonts w:hint="eastAsia" w:ascii="仿宋_GB2312" w:hAnsi="仿宋_GB2312" w:eastAsia="仿宋_GB2312" w:cs="仿宋_GB2312"/>
          <w:sz w:val="32"/>
          <w:szCs w:val="32"/>
        </w:rPr>
        <w:t>万元，</w:t>
      </w:r>
      <w:r>
        <w:rPr>
          <w:rStyle w:val="11"/>
          <w:rFonts w:hint="eastAsia" w:ascii="仿宋_GB2312" w:hAnsi="仿宋_GB2312" w:eastAsia="仿宋_GB2312" w:cs="仿宋_GB2312"/>
          <w:b w:val="0"/>
          <w:bCs/>
          <w:sz w:val="32"/>
          <w:szCs w:val="32"/>
        </w:rPr>
        <w:t>完成预算0%。</w:t>
      </w:r>
      <w:r>
        <w:rPr>
          <w:rFonts w:hint="eastAsia" w:ascii="仿宋_GB2312" w:hAnsi="仿宋_GB2312" w:eastAsia="仿宋_GB2312" w:cs="仿宋_GB2312"/>
          <w:sz w:val="32"/>
          <w:szCs w:val="32"/>
        </w:rPr>
        <w:t>全年安排因公出国（境）团组0次，出国（境）0人；</w:t>
      </w:r>
      <w:r>
        <w:rPr>
          <w:rFonts w:hint="eastAsia" w:ascii="仿宋_GB2312" w:hAnsi="仿宋_GB2312" w:eastAsia="仿宋_GB2312" w:cs="仿宋_GB2312"/>
          <w:bCs/>
          <w:sz w:val="32"/>
          <w:szCs w:val="32"/>
        </w:rPr>
        <w:t>因公出国（境）经费支出与2021年决算数持平。</w:t>
      </w:r>
    </w:p>
    <w:p>
      <w:pPr>
        <w:spacing w:line="60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2.公务用车购置及运行维护费支出0</w:t>
      </w:r>
      <w:r>
        <w:rPr>
          <w:rFonts w:hint="eastAsia" w:ascii="仿宋_GB2312" w:hAnsi="仿宋_GB2312" w:eastAsia="仿宋_GB2312" w:cs="仿宋_GB2312"/>
          <w:sz w:val="32"/>
          <w:szCs w:val="32"/>
        </w:rPr>
        <w:t>万元</w:t>
      </w:r>
      <w:r>
        <w:t>，</w:t>
      </w:r>
      <w:r>
        <w:rPr>
          <w:rStyle w:val="11"/>
          <w:rFonts w:hint="eastAsia" w:ascii="仿宋_GB2312" w:hAnsi="仿宋_GB2312" w:eastAsia="仿宋_GB2312" w:cs="仿宋_GB2312"/>
          <w:b w:val="0"/>
          <w:bCs/>
          <w:sz w:val="32"/>
          <w:szCs w:val="32"/>
        </w:rPr>
        <w:t>完成预算0%。</w:t>
      </w:r>
      <w:r>
        <w:rPr>
          <w:rFonts w:hint="eastAsia" w:ascii="仿宋_GB2312" w:hAnsi="仿宋_GB2312" w:eastAsia="仿宋_GB2312" w:cs="仿宋_GB2312"/>
          <w:sz w:val="32"/>
          <w:szCs w:val="32"/>
        </w:rPr>
        <w:t>公务用车购置及运行维护费支出与2021年决算数持平。</w:t>
      </w:r>
    </w:p>
    <w:p>
      <w:pPr>
        <w:spacing w:line="6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sz w:val="32"/>
          <w:szCs w:val="32"/>
        </w:rPr>
        <w:t>公务用车购置支出0</w:t>
      </w:r>
      <w:r>
        <w:rPr>
          <w:rFonts w:hint="eastAsia" w:ascii="仿宋_GB2312" w:hAnsi="仿宋_GB2312" w:eastAsia="仿宋_GB2312" w:cs="仿宋_GB2312"/>
          <w:sz w:val="32"/>
          <w:szCs w:val="32"/>
        </w:rPr>
        <w:t>万元。全年按规定更新购置公务用车0辆，截至2021年12月底，单位共有公务用车0辆，其中：轿车0辆、越野车0辆、载客汽车0辆。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sz w:val="32"/>
          <w:szCs w:val="32"/>
        </w:rPr>
        <w:t>0万元。</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3.公务接待费支出3.19</w:t>
      </w:r>
      <w:r>
        <w:rPr>
          <w:rFonts w:hint="eastAsia" w:ascii="仿宋_GB2312" w:hAnsi="仿宋_GB2312" w:eastAsia="仿宋_GB2312" w:cs="仿宋_GB2312"/>
          <w:sz w:val="32"/>
          <w:szCs w:val="32"/>
        </w:rPr>
        <w:t>万元，</w:t>
      </w:r>
      <w:r>
        <w:rPr>
          <w:rStyle w:val="11"/>
          <w:rFonts w:hint="eastAsia" w:ascii="仿宋_GB2312" w:hAnsi="仿宋_GB2312" w:eastAsia="仿宋_GB2312" w:cs="仿宋_GB2312"/>
          <w:b w:val="0"/>
          <w:bCs/>
          <w:sz w:val="32"/>
          <w:szCs w:val="32"/>
        </w:rPr>
        <w:t>完成预算的</w:t>
      </w:r>
      <w:r>
        <w:rPr>
          <w:rFonts w:hint="eastAsia" w:ascii="仿宋_GB2312" w:hAnsi="仿宋_GB2312" w:eastAsia="仿宋_GB2312" w:cs="仿宋_GB2312"/>
          <w:bCs/>
          <w:sz w:val="32"/>
          <w:szCs w:val="32"/>
        </w:rPr>
        <w:t>100%</w:t>
      </w:r>
      <w:r>
        <w:rPr>
          <w:rStyle w:val="11"/>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公务接待费支出决算比2020年增加0.29万元，增长10%。主要原因是人员增多，公务接待人次增加。</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国内公务接待支出</w:t>
      </w:r>
      <w:r>
        <w:rPr>
          <w:rFonts w:hint="eastAsia" w:ascii="仿宋_GB2312" w:hAnsi="仿宋_GB2312" w:eastAsia="仿宋_GB2312" w:cs="仿宋_GB2312"/>
          <w:sz w:val="32"/>
          <w:szCs w:val="32"/>
        </w:rPr>
        <w:t>0万元。国内公务接待0批次，0人次（不包括陪同人员），共计支出0万元。</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rPr>
        <w:t>0万元，外事接待0批次，0人，共计支出0万元。</w:t>
      </w:r>
      <w:bookmarkStart w:id="54" w:name="_Toc15377218"/>
      <w:bookmarkStart w:id="55" w:name="_Toc15396610"/>
    </w:p>
    <w:p>
      <w:pPr>
        <w:spacing w:line="600" w:lineRule="exact"/>
        <w:ind w:firstLine="640"/>
        <w:outlineLvl w:val="1"/>
        <w:rPr>
          <w:rStyle w:val="31"/>
          <w:rFonts w:ascii="仿宋_GB2312" w:hAnsi="仿宋_GB2312" w:eastAsia="仿宋_GB2312" w:cs="仿宋_GB2312"/>
        </w:rPr>
      </w:pPr>
      <w:r>
        <w:rPr>
          <w:rFonts w:hint="eastAsia" w:ascii="仿宋_GB2312" w:hAnsi="仿宋_GB2312" w:eastAsia="仿宋_GB2312" w:cs="仿宋_GB2312"/>
          <w:sz w:val="32"/>
          <w:szCs w:val="32"/>
        </w:rPr>
        <w:t>八、</w:t>
      </w:r>
      <w:r>
        <w:rPr>
          <w:rStyle w:val="31"/>
          <w:rFonts w:hint="eastAsia" w:ascii="仿宋_GB2312" w:hAnsi="仿宋_GB2312" w:eastAsia="仿宋_GB2312" w:cs="仿宋_GB2312"/>
          <w:b w:val="0"/>
        </w:rPr>
        <w:t>政府性基金预算</w:t>
      </w:r>
      <w:r>
        <w:rPr>
          <w:rFonts w:hint="eastAsia" w:ascii="仿宋_GB2312" w:hAnsi="仿宋_GB2312" w:eastAsia="仿宋_GB2312" w:cs="仿宋_GB2312"/>
          <w:sz w:val="32"/>
          <w:szCs w:val="32"/>
        </w:rPr>
        <w:t>支出决算情况说明</w:t>
      </w:r>
      <w:bookmarkEnd w:id="54"/>
      <w:bookmarkEnd w:id="55"/>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2021年政府性基金预算财政拨款支出0万元。</w:t>
      </w:r>
    </w:p>
    <w:p>
      <w:pPr>
        <w:numPr>
          <w:ilvl w:val="0"/>
          <w:numId w:val="3"/>
        </w:numPr>
        <w:spacing w:line="600" w:lineRule="exact"/>
        <w:ind w:firstLine="640"/>
        <w:outlineLvl w:val="1"/>
        <w:rPr>
          <w:rStyle w:val="31"/>
          <w:rFonts w:ascii="仿宋_GB2312" w:hAnsi="仿宋_GB2312" w:eastAsia="仿宋_GB2312" w:cs="仿宋_GB2312"/>
          <w:b w:val="0"/>
        </w:rPr>
      </w:pPr>
      <w:bookmarkStart w:id="56" w:name="_Toc15377219"/>
      <w:bookmarkStart w:id="57" w:name="_Toc15396611"/>
      <w:r>
        <w:rPr>
          <w:rStyle w:val="31"/>
          <w:rFonts w:hint="eastAsia" w:ascii="仿宋_GB2312" w:hAnsi="仿宋_GB2312" w:eastAsia="仿宋_GB2312" w:cs="仿宋_GB2312"/>
          <w:b w:val="0"/>
        </w:rPr>
        <w:t>国有资本经营预算</w:t>
      </w:r>
      <w:r>
        <w:rPr>
          <w:rFonts w:hint="eastAsia" w:ascii="仿宋_GB2312" w:hAnsi="仿宋_GB2312" w:eastAsia="仿宋_GB2312" w:cs="仿宋_GB2312"/>
          <w:sz w:val="32"/>
          <w:szCs w:val="32"/>
        </w:rPr>
        <w:t>支出决算情况说明</w:t>
      </w:r>
      <w:bookmarkEnd w:id="56"/>
      <w:bookmarkEnd w:id="57"/>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2021年国有资本经营预算财政拨款支出0万元。</w:t>
      </w:r>
    </w:p>
    <w:p>
      <w:pPr>
        <w:numPr>
          <w:ilvl w:val="0"/>
          <w:numId w:val="3"/>
        </w:numPr>
        <w:spacing w:line="600" w:lineRule="exact"/>
        <w:ind w:firstLine="640"/>
        <w:outlineLvl w:val="1"/>
        <w:rPr>
          <w:rStyle w:val="31"/>
          <w:rFonts w:ascii="仿宋_GB2312" w:hAnsi="仿宋_GB2312" w:eastAsia="仿宋_GB2312" w:cs="仿宋_GB2312"/>
          <w:b w:val="0"/>
        </w:rPr>
      </w:pPr>
      <w:bookmarkStart w:id="58" w:name="_Toc15377221"/>
      <w:bookmarkStart w:id="59" w:name="_Toc15396612"/>
      <w:r>
        <w:rPr>
          <w:rStyle w:val="31"/>
          <w:rFonts w:hint="eastAsia" w:ascii="仿宋_GB2312" w:hAnsi="仿宋_GB2312" w:eastAsia="仿宋_GB2312" w:cs="仿宋_GB2312"/>
          <w:b w:val="0"/>
        </w:rPr>
        <w:t>其他重要事项的情况说明</w:t>
      </w:r>
      <w:bookmarkEnd w:id="58"/>
      <w:bookmarkEnd w:id="59"/>
    </w:p>
    <w:p>
      <w:pPr>
        <w:spacing w:line="600" w:lineRule="exact"/>
        <w:ind w:firstLine="643" w:firstLineChars="200"/>
        <w:outlineLvl w:val="2"/>
        <w:rPr>
          <w:rFonts w:ascii="仿宋_GB2312" w:hAnsi="仿宋_GB2312" w:eastAsia="仿宋_GB2312" w:cs="仿宋_GB2312"/>
          <w:sz w:val="32"/>
          <w:szCs w:val="32"/>
        </w:rPr>
      </w:pPr>
      <w:bookmarkStart w:id="60" w:name="_Toc15377222"/>
      <w:r>
        <w:rPr>
          <w:rFonts w:hint="eastAsia" w:ascii="仿宋_GB2312" w:hAnsi="仿宋_GB2312" w:eastAsia="仿宋_GB2312" w:cs="仿宋_GB2312"/>
          <w:b/>
          <w:sz w:val="32"/>
          <w:szCs w:val="32"/>
          <w:u w:val="thick" w:color="FFB03A"/>
          <w:shd w:val="clear" w:fill="FFEFD8"/>
        </w:rPr>
        <w:t>（一）</w:t>
      </w:r>
      <w:r>
        <w:rPr>
          <w:rFonts w:hint="eastAsia" w:ascii="仿宋_GB2312" w:hAnsi="仿宋_GB2312" w:eastAsia="仿宋_GB2312" w:cs="仿宋_GB2312"/>
          <w:b/>
          <w:sz w:val="32"/>
          <w:szCs w:val="32"/>
        </w:rPr>
        <w:t>机关运行经费支出情况</w:t>
      </w:r>
      <w:bookmarkEnd w:id="60"/>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2021年，机关运行经费支出68.4万元，比2020年增加0万元，与2020年决算数持平。</w:t>
      </w:r>
    </w:p>
    <w:p>
      <w:pPr>
        <w:autoSpaceDE w:val="0"/>
        <w:autoSpaceDN w:val="0"/>
        <w:adjustRightInd w:val="0"/>
        <w:spacing w:line="600" w:lineRule="exact"/>
        <w:ind w:firstLine="643" w:firstLineChars="200"/>
        <w:jc w:val="left"/>
        <w:outlineLvl w:val="2"/>
        <w:rPr>
          <w:rFonts w:ascii="仿宋_GB2312" w:hAnsi="仿宋_GB2312" w:eastAsia="仿宋_GB2312" w:cs="仿宋_GB2312"/>
          <w:b/>
          <w:sz w:val="32"/>
          <w:szCs w:val="32"/>
        </w:rPr>
      </w:pPr>
      <w:bookmarkStart w:id="61" w:name="_Toc15377223"/>
      <w:r>
        <w:rPr>
          <w:rFonts w:hint="eastAsia" w:ascii="仿宋_GB2312" w:hAnsi="仿宋_GB2312" w:eastAsia="仿宋_GB2312" w:cs="仿宋_GB2312"/>
          <w:b/>
          <w:sz w:val="32"/>
          <w:szCs w:val="32"/>
        </w:rPr>
        <w:t>（二）政府采购支出情况</w:t>
      </w:r>
      <w:bookmarkEnd w:id="6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_GB2312" w:hAnsi="仿宋_GB2312" w:eastAsia="仿宋_GB2312" w:cs="仿宋_GB2312"/>
          <w:b/>
          <w:sz w:val="32"/>
          <w:szCs w:val="32"/>
        </w:rPr>
      </w:pPr>
      <w:bookmarkStart w:id="62" w:name="_Toc15377224"/>
      <w:r>
        <w:rPr>
          <w:rFonts w:hint="eastAsia" w:ascii="仿宋_GB2312" w:hAnsi="仿宋_GB2312" w:eastAsia="仿宋_GB2312" w:cs="仿宋_GB2312"/>
          <w:b/>
          <w:sz w:val="32"/>
          <w:szCs w:val="32"/>
        </w:rPr>
        <w:t>（三）国有资产占有使用情况</w:t>
      </w:r>
      <w:bookmarkEnd w:id="62"/>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截至2021年12月31日，共有车辆0辆，其中：主要领导干部用车0辆、机要通信用车0辆、应急保障用车0辆、其他用车0辆、单价50万元以上通用设备0台（套），单价100万元以上专用设备0台（套）。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（四）预算绩效管理情况</w:t>
      </w:r>
    </w:p>
    <w:p>
      <w:pPr>
        <w:tabs>
          <w:tab w:val="left" w:pos="7350"/>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12项目开展了预算事前绩效评估，对12个项目编制了绩效目标，预算执行过程中，选取12个项目开展绩效监控，年终执行完毕后，对12个项目开展了绩效自评。同时，本部门对2021年部门整体开展绩效自评，《2021年部门整体绩效评价报告》见附件（第四部分）。</w:t>
      </w:r>
    </w:p>
    <w:p>
      <w:pPr>
        <w:widowControl/>
        <w:jc w:val="left"/>
        <w:rPr>
          <w:rFonts w:ascii="仿宋_GB2312" w:hAnsi="仿宋_GB2312" w:eastAsia="仿宋_GB2312" w:cs="仿宋_GB2312"/>
          <w:b/>
          <w:sz w:val="32"/>
          <w:szCs w:val="32"/>
        </w:rPr>
      </w:pPr>
      <w:r>
        <w:br w:type="page"/>
      </w:r>
    </w:p>
    <w:p>
      <w:pPr>
        <w:numPr>
          <w:ilvl w:val="0"/>
          <w:numId w:val="4"/>
        </w:numPr>
        <w:spacing w:line="600" w:lineRule="exact"/>
        <w:ind w:firstLine="660" w:firstLineChars="150"/>
        <w:jc w:val="center"/>
        <w:outlineLvl w:val="0"/>
        <w:rPr>
          <w:rStyle w:val="30"/>
          <w:rFonts w:ascii="黑体" w:hAnsi="黑体" w:eastAsia="黑体"/>
          <w:b w:val="0"/>
        </w:rPr>
      </w:pPr>
      <w:bookmarkStart w:id="63" w:name="_Toc15377225"/>
      <w:bookmarkStart w:id="64" w:name="_Toc15396613"/>
      <w:r>
        <w:rPr>
          <w:rFonts w:hint="eastAsia" w:ascii="黑体" w:hAnsi="黑体" w:eastAsia="黑体"/>
          <w:sz w:val="44"/>
          <w:szCs w:val="44"/>
        </w:rPr>
        <w:t>名</w:t>
      </w:r>
      <w:r>
        <w:rPr>
          <w:rStyle w:val="30"/>
          <w:rFonts w:hint="eastAsia" w:ascii="黑体" w:hAnsi="黑体" w:eastAsia="黑体"/>
          <w:b w:val="0"/>
        </w:rPr>
        <w:t>词解释</w:t>
      </w:r>
      <w:bookmarkEnd w:id="63"/>
      <w:bookmarkEnd w:id="64"/>
    </w:p>
    <w:p>
      <w:pPr>
        <w:spacing w:line="600" w:lineRule="exact"/>
        <w:jc w:val="left"/>
        <w:rPr>
          <w:rFonts w:ascii="宋体"/>
          <w:b/>
          <w:sz w:val="44"/>
          <w:szCs w:val="44"/>
        </w:rPr>
      </w:pPr>
    </w:p>
    <w:p>
      <w:pPr>
        <w:pStyle w:val="28"/>
        <w:spacing w:line="500" w:lineRule="exact"/>
        <w:ind w:firstLine="640" w:firstLineChars="200"/>
        <w:rPr>
          <w:rFonts w:ascii="仿宋_GB2312" w:eastAsia="仿宋_GB2312"/>
          <w:sz w:val="32"/>
          <w:szCs w:val="32"/>
        </w:rPr>
      </w:pPr>
      <w:bookmarkStart w:id="65"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3.一般公共服务（类）政府办公厅（室）及相关机构事务（款）行政运行（项）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指反映行政单位（包括实行公务员管理的事业单位）的基本支出。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4.一般公共服务（类）政府办公厅（室）及相关机构事务（款）一般行政管理事务（项）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指反映行政单位（包括实行公务员管理的事业单位）未单独设置项级科目的其他项目支出。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5.一般公共服务（类）政府办公厅（室）及相关机构事务（款）信访事务（项）</w:t>
      </w:r>
      <w:r>
        <w:rPr>
          <w:rFonts w:hint="eastAsia" w:ascii="仿宋_GB2312" w:eastAsia="仿宋_GB2312"/>
          <w:sz w:val="32"/>
          <w:szCs w:val="32"/>
        </w:rPr>
        <w:t>：</w:t>
      </w:r>
      <w:r>
        <w:rPr>
          <w:rFonts w:hint="eastAsia" w:ascii="仿宋_GB2312" w:hAnsi="宋体" w:eastAsia="仿宋_GB2312"/>
          <w:kern w:val="0"/>
          <w:sz w:val="32"/>
          <w:szCs w:val="32"/>
        </w:rPr>
        <w:t>指反映各级政府用于群众来信来访方面的支出。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6.一般公共服务（类）政府办公厅（室）及相关机构事务（款）事业运行（项）</w:t>
      </w:r>
      <w:r>
        <w:rPr>
          <w:rFonts w:hint="eastAsia" w:ascii="仿宋_GB2312" w:eastAsia="仿宋_GB2312"/>
          <w:sz w:val="32"/>
          <w:szCs w:val="32"/>
        </w:rPr>
        <w:t>：</w:t>
      </w:r>
      <w:r>
        <w:rPr>
          <w:rFonts w:hint="eastAsia" w:ascii="仿宋_GB2312" w:eastAsia="仿宋_GB2312"/>
          <w:color w:val="000000"/>
          <w:sz w:val="32"/>
          <w:szCs w:val="32"/>
        </w:rPr>
        <w:t>指反映事业单位的基本支出。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7.教育支出（类）普通教育（款）学前教育（项）</w:t>
      </w:r>
      <w:r>
        <w:rPr>
          <w:rFonts w:hint="eastAsia" w:ascii="仿宋_GB2312" w:eastAsia="仿宋_GB2312"/>
          <w:sz w:val="32"/>
          <w:szCs w:val="32"/>
        </w:rPr>
        <w:t>：</w:t>
      </w:r>
      <w:r>
        <w:rPr>
          <w:rFonts w:hint="eastAsia" w:ascii="仿宋_GB2312" w:hAnsi="宋体" w:eastAsia="仿宋_GB2312"/>
          <w:kern w:val="0"/>
          <w:sz w:val="32"/>
          <w:szCs w:val="32"/>
        </w:rPr>
        <w:t>指反映各部门举办的学前教育支出。政府各部门对社会组织等举办的幼儿园的资助，如捐赠、补贴等，也在本科目中反映。</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8.教育支出（类）普通教育（款）小学教育（项）</w:t>
      </w:r>
      <w:r>
        <w:rPr>
          <w:rFonts w:hint="eastAsia" w:ascii="仿宋_GB2312" w:eastAsia="仿宋_GB2312"/>
          <w:sz w:val="32"/>
          <w:szCs w:val="32"/>
        </w:rPr>
        <w:t>：</w:t>
      </w:r>
      <w:r>
        <w:rPr>
          <w:rFonts w:hint="eastAsia" w:ascii="仿宋_GB2312" w:hAnsi="宋体" w:eastAsia="仿宋_GB2312"/>
          <w:kern w:val="0"/>
          <w:sz w:val="32"/>
          <w:szCs w:val="32"/>
        </w:rPr>
        <w:t>指反映各部门举办的小学教育支出。政府各部门对社会组织等举办的小学的资助，如捐赠、补贴等，也在本科目中反映。</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9.教育支出（类）普通教育（款）其他普通教育支出（项）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指反映除上述项目以外其他用于普通教育方面的支出。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10.文化旅游体育与传媒支出（类）文化和旅游（款）其他文化和旅游支出（项）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指反映除上述项目以外其他用于文化和旅游方面的支出。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11.社会保障和就业支出（类）行政事业单位养老支出（款）机关事业单位基本养老保险缴费支出（项）</w:t>
      </w:r>
      <w:r>
        <w:rPr>
          <w:rFonts w:hint="eastAsia" w:ascii="仿宋_GB2312" w:eastAsia="仿宋_GB2312"/>
          <w:sz w:val="32"/>
          <w:szCs w:val="32"/>
        </w:rPr>
        <w:t>：</w:t>
      </w:r>
      <w:r>
        <w:rPr>
          <w:rFonts w:hint="eastAsia" w:ascii="仿宋_GB2312" w:hAnsi="宋体" w:eastAsia="仿宋_GB2312"/>
          <w:kern w:val="0"/>
          <w:sz w:val="32"/>
          <w:szCs w:val="32"/>
        </w:rPr>
        <w:t>指反映机关事业单位实施养老保险制度由单位缴纳的基本养老保险费支出。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12. 社会保障和就业支出（类）就业补助（款）公益性岗位补贴（项）</w:t>
      </w:r>
      <w:r>
        <w:rPr>
          <w:rFonts w:hint="eastAsia" w:ascii="仿宋_GB2312" w:eastAsia="仿宋_GB2312"/>
          <w:sz w:val="32"/>
          <w:szCs w:val="32"/>
        </w:rPr>
        <w:t>：</w:t>
      </w:r>
      <w:r>
        <w:rPr>
          <w:rFonts w:hint="eastAsia" w:ascii="仿宋_GB2312" w:hAnsi="宋体" w:eastAsia="仿宋_GB2312"/>
          <w:kern w:val="0"/>
          <w:sz w:val="32"/>
          <w:szCs w:val="32"/>
        </w:rPr>
        <w:t>指反映财政对符合条件的就业困难人员在公益性岗位就业给予的岗位补贴支出。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13. 社会保障和就业支出（类）就业补助（款）其他就业补助支出（项）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指反映除上述项目以外按规定确定的其他用于促进就业的补助支出。</w:t>
      </w:r>
    </w:p>
    <w:p>
      <w:pPr>
        <w:spacing w:line="500" w:lineRule="exact"/>
        <w:ind w:firstLine="640" w:firstLineChars="200"/>
      </w:pPr>
      <w:r>
        <w:rPr>
          <w:rFonts w:hint="eastAsia" w:ascii="仿宋_GB2312" w:hAnsi="宋体" w:eastAsia="仿宋_GB2312"/>
          <w:kern w:val="0"/>
          <w:sz w:val="32"/>
          <w:szCs w:val="32"/>
        </w:rPr>
        <w:t>14. 社会保障和就业支出（类）其他社会保障和就业支出（款）其他社会保障和就业支出（项）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指反映除上述项目以外按规定确定的其他用于其他社会保障和就业的支出。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15.卫生健康支出（类）基层医疗卫生机构（款）乡镇卫生院（项）</w:t>
      </w:r>
      <w:r>
        <w:rPr>
          <w:rFonts w:hint="eastAsia" w:ascii="仿宋_GB2312" w:eastAsia="仿宋_GB2312"/>
          <w:sz w:val="32"/>
          <w:szCs w:val="32"/>
        </w:rPr>
        <w:t>：</w:t>
      </w:r>
      <w:r>
        <w:rPr>
          <w:rFonts w:hint="eastAsia" w:ascii="仿宋_GB2312" w:eastAsia="仿宋_GB2312"/>
          <w:color w:val="000000"/>
          <w:sz w:val="32"/>
          <w:szCs w:val="32"/>
        </w:rPr>
        <w:t>指反映用于乡镇卫生院的支出。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16.卫生健康支出（类）基层医疗卫生机构（款）其他基层医疗卫生机构支出（项）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指反映除上述项目以外的其他用于基层医疗卫生机构的支出。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17.卫生健康支出（类）公共卫生（款）基本公共卫生服务（项）</w:t>
      </w:r>
      <w:r>
        <w:rPr>
          <w:rFonts w:hint="eastAsia" w:ascii="仿宋_GB2312" w:eastAsia="仿宋_GB2312"/>
          <w:sz w:val="32"/>
          <w:szCs w:val="32"/>
        </w:rPr>
        <w:t>：</w:t>
      </w:r>
      <w:r>
        <w:rPr>
          <w:rFonts w:hint="eastAsia" w:ascii="仿宋_GB2312" w:hAnsi="宋体" w:eastAsia="仿宋_GB2312"/>
          <w:kern w:val="0"/>
          <w:sz w:val="32"/>
          <w:szCs w:val="32"/>
        </w:rPr>
        <w:t>指反映基本公共卫生服务支出。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18.卫生健康支出（类）行政事业单位医疗（款）行政单位医疗（项）</w:t>
      </w:r>
      <w:r>
        <w:rPr>
          <w:rFonts w:hint="eastAsia" w:ascii="仿宋_GB2312" w:eastAsia="仿宋_GB2312"/>
          <w:sz w:val="32"/>
          <w:szCs w:val="32"/>
        </w:rPr>
        <w:t>：</w:t>
      </w:r>
      <w:r>
        <w:rPr>
          <w:rFonts w:hint="eastAsia" w:ascii="仿宋_GB2312" w:hAnsi="宋体" w:eastAsia="仿宋_GB2312"/>
          <w:kern w:val="0"/>
          <w:sz w:val="32"/>
          <w:szCs w:val="32"/>
        </w:rPr>
        <w:t>指反映财政部门安排的行政单位基本医疗保险缴费经费。</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19.卫生健康支出（类）行政事业单位医疗（款）事业单位医疗（项）</w:t>
      </w:r>
      <w:r>
        <w:rPr>
          <w:rFonts w:hint="eastAsia" w:ascii="仿宋_GB2312" w:eastAsia="仿宋_GB2312"/>
          <w:sz w:val="32"/>
          <w:szCs w:val="32"/>
        </w:rPr>
        <w:t>：</w:t>
      </w:r>
      <w:r>
        <w:rPr>
          <w:rFonts w:hint="eastAsia" w:ascii="仿宋_GB2312" w:hAnsi="宋体" w:eastAsia="仿宋_GB2312"/>
          <w:kern w:val="0"/>
          <w:sz w:val="32"/>
          <w:szCs w:val="32"/>
        </w:rPr>
        <w:t>指反映财政部门安排的事业单位基本医疗保险缴费经费。</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20.卫生健康支出（类）行政事业单位医疗补助（款）公务员医疗补助（项）</w:t>
      </w:r>
      <w:r>
        <w:rPr>
          <w:rFonts w:hint="eastAsia" w:ascii="仿宋_GB2312" w:eastAsia="仿宋_GB2312"/>
          <w:sz w:val="32"/>
          <w:szCs w:val="32"/>
        </w:rPr>
        <w:t>：</w:t>
      </w:r>
      <w:r>
        <w:rPr>
          <w:rFonts w:hint="eastAsia" w:ascii="仿宋_GB2312" w:hAnsi="宋体" w:eastAsia="仿宋_GB2312"/>
          <w:kern w:val="0"/>
          <w:sz w:val="32"/>
          <w:szCs w:val="32"/>
        </w:rPr>
        <w:t>指反映财政部门安排的公务员医疗补助经费。</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21.农林水支出（类）扶贫（款）农村基础设施建设（项）</w:t>
      </w:r>
      <w:r>
        <w:rPr>
          <w:rFonts w:hint="eastAsia" w:ascii="仿宋_GB2312" w:eastAsia="仿宋_GB2312"/>
          <w:sz w:val="32"/>
          <w:szCs w:val="32"/>
        </w:rPr>
        <w:t>：</w:t>
      </w:r>
      <w:r>
        <w:rPr>
          <w:rFonts w:hint="eastAsia" w:ascii="仿宋_GB2312" w:hAnsi="宋体" w:eastAsia="仿宋_GB2312"/>
          <w:kern w:val="0"/>
          <w:sz w:val="32"/>
          <w:szCs w:val="32"/>
        </w:rPr>
        <w:t>指反映用于农村贫困地区乡村道路、住房、基本农田、水利设施、人畜饮水、生态环境保护等生产生活条件改善方面的支出。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22.农林水支出（类）扶贫（款）生产发展（项）</w:t>
      </w:r>
      <w:r>
        <w:rPr>
          <w:rFonts w:hint="eastAsia" w:ascii="仿宋_GB2312" w:eastAsia="仿宋_GB2312"/>
          <w:sz w:val="32"/>
          <w:szCs w:val="32"/>
        </w:rPr>
        <w:t>：</w:t>
      </w:r>
      <w:r>
        <w:rPr>
          <w:rFonts w:hint="eastAsia" w:ascii="仿宋_GB2312" w:hAnsi="宋体" w:eastAsia="仿宋_GB2312"/>
          <w:kern w:val="0"/>
          <w:sz w:val="32"/>
          <w:szCs w:val="32"/>
        </w:rPr>
        <w:t>指反映用于农村贫困地区发展种植业、养殖业、畜牧业、农副产品加工、林果地建设等生产发展项目以及相关技术推广等方面的项目支出。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23.农林水支出（类）扶贫（款）其他扶贫支出（项）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指反映除上述项目以外其他用于扶贫方面的支出。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24.农林水支出（类）农村综合改革（款）对村民委员会和村党支部的补助（项）</w:t>
      </w:r>
      <w:r>
        <w:rPr>
          <w:rFonts w:hint="eastAsia" w:ascii="仿宋_GB2312" w:eastAsia="仿宋_GB2312"/>
          <w:sz w:val="32"/>
          <w:szCs w:val="32"/>
        </w:rPr>
        <w:t>：</w:t>
      </w:r>
      <w:r>
        <w:rPr>
          <w:rFonts w:hint="eastAsia" w:ascii="仿宋_GB2312" w:hAnsi="宋体" w:eastAsia="仿宋_GB2312"/>
          <w:kern w:val="0"/>
          <w:sz w:val="32"/>
          <w:szCs w:val="32"/>
        </w:rPr>
        <w:t>指反映各级财政对村民委员会和村党支部的补助支出，以及支持建立县级基本财力保障机制安排的村级组织运转奖补资金。</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25.农林水支出（类）农村综合改革（款）对村集体经济组织的补助（项）</w:t>
      </w:r>
      <w:r>
        <w:rPr>
          <w:rFonts w:hint="eastAsia" w:ascii="仿宋_GB2312" w:eastAsia="仿宋_GB2312"/>
          <w:sz w:val="32"/>
          <w:szCs w:val="32"/>
        </w:rPr>
        <w:t>：</w:t>
      </w:r>
      <w:r>
        <w:rPr>
          <w:rFonts w:hint="eastAsia" w:ascii="仿宋_GB2312" w:hAnsi="宋体" w:eastAsia="仿宋_GB2312"/>
          <w:kern w:val="0"/>
          <w:sz w:val="32"/>
          <w:szCs w:val="32"/>
        </w:rPr>
        <w:t>指反映对村集体经济组织的补助支出。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26.交通运输支出（类）其他交通运输支出（款）其他交通运输支出（项）</w:t>
      </w:r>
      <w:r>
        <w:rPr>
          <w:rFonts w:hint="eastAsia" w:ascii="仿宋_GB2312" w:eastAsia="仿宋_GB2312"/>
          <w:sz w:val="32"/>
          <w:szCs w:val="32"/>
        </w:rPr>
        <w:t>：</w:t>
      </w:r>
      <w:r>
        <w:rPr>
          <w:rFonts w:hint="eastAsia" w:ascii="仿宋_GB2312" w:eastAsia="仿宋_GB2312"/>
          <w:color w:val="000000"/>
          <w:sz w:val="32"/>
          <w:szCs w:val="32"/>
        </w:rPr>
        <w:t>指反映其他公路运输管理支出和公路路政管理支出。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27.住房保障支出（类）保障性安居工程支出（款）农村危房改造（项）</w:t>
      </w:r>
      <w:r>
        <w:rPr>
          <w:rFonts w:hint="eastAsia" w:ascii="仿宋_GB2312" w:eastAsia="仿宋_GB2312"/>
          <w:sz w:val="32"/>
          <w:szCs w:val="32"/>
        </w:rPr>
        <w:t>：</w:t>
      </w:r>
      <w:r>
        <w:rPr>
          <w:rFonts w:hint="eastAsia" w:ascii="仿宋_GB2312" w:hAnsi="宋体" w:eastAsia="仿宋_GB2312"/>
          <w:kern w:val="0"/>
          <w:sz w:val="32"/>
          <w:szCs w:val="32"/>
        </w:rPr>
        <w:t>指反映用于农村危房改造方面的支出。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28.住房保障支出（类）住房改革支出（款）住房公积金（项）</w:t>
      </w:r>
      <w:r>
        <w:rPr>
          <w:rFonts w:hint="eastAsia" w:ascii="仿宋_GB2312" w:eastAsia="仿宋_GB2312"/>
          <w:sz w:val="32"/>
          <w:szCs w:val="32"/>
        </w:rPr>
        <w:t>：</w:t>
      </w:r>
      <w:r>
        <w:rPr>
          <w:rFonts w:hint="eastAsia" w:ascii="仿宋_GB2312" w:hAnsi="宋体" w:eastAsia="仿宋_GB2312"/>
          <w:kern w:val="0"/>
          <w:sz w:val="32"/>
          <w:szCs w:val="32"/>
        </w:rPr>
        <w:t>指反映行政事业单位按人力资源和社会保障部、财政部规定的基本工资和津贴补贴以及规定比例为职工缴纳的住房公积金。</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29</w:t>
      </w:r>
      <w:r>
        <w:rPr>
          <w:rFonts w:ascii="仿宋_GB2312" w:eastAsia="仿宋_GB2312"/>
          <w:color w:val="000000"/>
          <w:sz w:val="32"/>
          <w:szCs w:val="32"/>
        </w:rPr>
        <w:t>.</w:t>
      </w:r>
      <w:r>
        <w:rPr>
          <w:rFonts w:hint="eastAsia" w:ascii="仿宋_GB2312" w:eastAsia="仿宋_GB2312"/>
          <w:color w:val="000000"/>
          <w:sz w:val="32"/>
          <w:szCs w:val="32"/>
        </w:rPr>
        <w:t>基本支出</w:t>
      </w:r>
      <w:r>
        <w:rPr>
          <w:rFonts w:hint="eastAsia" w:ascii="仿宋_GB2312" w:eastAsia="仿宋_GB2312"/>
          <w:sz w:val="32"/>
          <w:szCs w:val="32"/>
        </w:rPr>
        <w:t>：</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8"/>
        <w:spacing w:line="500" w:lineRule="exact"/>
        <w:ind w:firstLine="640" w:firstLineChars="200"/>
        <w:rPr>
          <w:rFonts w:ascii="仿宋_GB2312" w:eastAsia="仿宋_GB2312"/>
          <w:sz w:val="32"/>
          <w:szCs w:val="32"/>
        </w:rPr>
      </w:pPr>
      <w:r>
        <w:rPr>
          <w:rFonts w:hint="eastAsia" w:ascii="仿宋_GB2312" w:eastAsia="仿宋_GB2312"/>
          <w:sz w:val="32"/>
          <w:szCs w:val="32"/>
        </w:rPr>
        <w:t>32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00" w:lineRule="exact"/>
        <w:ind w:firstLine="640" w:firstLineChars="200"/>
        <w:rPr>
          <w:rFonts w:hAnsi="仿宋"/>
          <w:b/>
          <w:sz w:val="32"/>
          <w:szCs w:val="32"/>
        </w:rPr>
      </w:pPr>
      <w:r>
        <w:rPr>
          <w:rFonts w:hint="eastAsia" w:ascii="仿宋_GB2312" w:eastAsia="仿宋_GB2312"/>
          <w:sz w:val="32"/>
          <w:szCs w:val="32"/>
        </w:rPr>
        <w:t>33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0"/>
          <w:rFonts w:ascii="黑体" w:hAnsi="黑体" w:eastAsia="黑体"/>
          <w:b w:val="0"/>
        </w:rPr>
      </w:pPr>
      <w:r>
        <w:br w:type="page"/>
      </w:r>
      <w:bookmarkStart w:id="66" w:name="_Toc15396614"/>
      <w:r>
        <w:rPr>
          <w:rFonts w:hint="eastAsia" w:ascii="黑体" w:hAnsi="黑体" w:eastAsia="黑体"/>
          <w:sz w:val="44"/>
          <w:szCs w:val="44"/>
        </w:rPr>
        <w:t>第</w:t>
      </w:r>
      <w:r>
        <w:rPr>
          <w:rStyle w:val="30"/>
          <w:rFonts w:hint="eastAsia" w:ascii="黑体" w:hAnsi="黑体" w:eastAsia="黑体"/>
          <w:b w:val="0"/>
        </w:rPr>
        <w:t>四部分附件</w:t>
      </w:r>
      <w:bookmarkEnd w:id="66"/>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rPr>
      </w:pPr>
      <w:r>
        <w:rPr>
          <w:rFonts w:hint="eastAsia" w:ascii="方正小标宋简体" w:hAnsi="宋体" w:eastAsia="方正小标宋简体"/>
          <w:kern w:val="0"/>
          <w:sz w:val="40"/>
          <w:szCs w:val="44"/>
        </w:rPr>
        <w:t>2021年通江县烟溪镇部门整体绩效评价报告</w:t>
      </w:r>
    </w:p>
    <w:p>
      <w:pPr>
        <w:pStyle w:val="3"/>
        <w:spacing w:before="130"/>
      </w:pPr>
    </w:p>
    <w:p>
      <w:pPr>
        <w:widowControl/>
        <w:adjustRightInd w:val="0"/>
        <w:snapToGrid w:val="0"/>
        <w:spacing w:line="50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u w:val="thick" w:color="FFB03A"/>
          <w:shd w:val="clear" w:color="auto" w:fill="FFEFD8"/>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（一）机构组成。</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通江县烟溪镇人民政府下属二级单位4个，其中行政单位1个，其他事业单位3个。</w:t>
      </w:r>
    </w:p>
    <w:p>
      <w:pPr>
        <w:pStyle w:val="3"/>
        <w:adjustRightInd w:val="0"/>
        <w:snapToGrid w:val="0"/>
        <w:spacing w:beforeLines="0" w:line="500" w:lineRule="exact"/>
        <w:ind w:firstLine="672" w:firstLineChars="210"/>
        <w:rPr>
          <w:rFonts w:hAnsi="仿宋"/>
          <w:color w:val="000000"/>
          <w:sz w:val="32"/>
          <w:szCs w:val="32"/>
        </w:rPr>
      </w:pPr>
      <w:r>
        <w:rPr>
          <w:rFonts w:hint="eastAsia" w:hAnsi="仿宋"/>
          <w:color w:val="000000"/>
          <w:sz w:val="32"/>
          <w:szCs w:val="32"/>
        </w:rPr>
        <w:t>纳入通江县烟溪镇人民政府2021年度部门决算编制范围的二级预算单位包括：</w:t>
      </w:r>
    </w:p>
    <w:p>
      <w:pPr>
        <w:pStyle w:val="3"/>
        <w:numPr>
          <w:ilvl w:val="0"/>
          <w:numId w:val="5"/>
        </w:numPr>
        <w:adjustRightInd w:val="0"/>
        <w:snapToGrid w:val="0"/>
        <w:spacing w:beforeLines="0" w:line="500" w:lineRule="exact"/>
        <w:outlineLvl w:val="2"/>
        <w:rPr>
          <w:rFonts w:hAnsi="仿宋"/>
          <w:color w:val="000000"/>
          <w:sz w:val="32"/>
          <w:szCs w:val="32"/>
        </w:rPr>
      </w:pPr>
      <w:r>
        <w:rPr>
          <w:rFonts w:hint="eastAsia" w:hAnsi="仿宋"/>
          <w:sz w:val="32"/>
          <w:szCs w:val="32"/>
        </w:rPr>
        <w:t>通江县烟溪镇人民政府（本级）</w:t>
      </w:r>
    </w:p>
    <w:p>
      <w:pPr>
        <w:pStyle w:val="3"/>
        <w:numPr>
          <w:ilvl w:val="0"/>
          <w:numId w:val="5"/>
        </w:numPr>
        <w:adjustRightInd w:val="0"/>
        <w:snapToGrid w:val="0"/>
        <w:spacing w:beforeLines="0" w:line="500" w:lineRule="exact"/>
        <w:ind w:left="1157" w:hanging="482"/>
        <w:outlineLvl w:val="2"/>
        <w:rPr>
          <w:rFonts w:hAnsi="仿宋"/>
          <w:color w:val="000000"/>
          <w:sz w:val="32"/>
          <w:szCs w:val="32"/>
        </w:rPr>
      </w:pPr>
      <w:r>
        <w:rPr>
          <w:rFonts w:hint="eastAsia" w:hAnsi="仿宋"/>
          <w:color w:val="000000"/>
          <w:sz w:val="32"/>
          <w:szCs w:val="32"/>
        </w:rPr>
        <w:t>通江县烟溪镇中心小学</w:t>
      </w:r>
    </w:p>
    <w:p>
      <w:pPr>
        <w:pStyle w:val="3"/>
        <w:numPr>
          <w:ilvl w:val="0"/>
          <w:numId w:val="5"/>
        </w:numPr>
        <w:adjustRightInd w:val="0"/>
        <w:snapToGrid w:val="0"/>
        <w:spacing w:beforeLines="0" w:line="500" w:lineRule="exact"/>
        <w:ind w:left="1157" w:hanging="482"/>
        <w:outlineLvl w:val="2"/>
        <w:rPr>
          <w:rFonts w:hAnsi="仿宋"/>
          <w:color w:val="000000"/>
          <w:sz w:val="32"/>
          <w:szCs w:val="32"/>
        </w:rPr>
      </w:pPr>
      <w:r>
        <w:rPr>
          <w:rFonts w:hint="eastAsia" w:hAnsi="仿宋"/>
          <w:color w:val="000000"/>
          <w:sz w:val="32"/>
          <w:szCs w:val="32"/>
        </w:rPr>
        <w:t>通江县烟溪镇钟凤小学</w:t>
      </w:r>
    </w:p>
    <w:p>
      <w:pPr>
        <w:pStyle w:val="3"/>
        <w:numPr>
          <w:ilvl w:val="0"/>
          <w:numId w:val="5"/>
        </w:numPr>
        <w:adjustRightInd w:val="0"/>
        <w:snapToGrid w:val="0"/>
        <w:spacing w:beforeLines="0" w:line="500" w:lineRule="exact"/>
        <w:ind w:left="1157" w:hanging="482"/>
        <w:outlineLvl w:val="2"/>
        <w:rPr>
          <w:rFonts w:hAnsi="仿宋"/>
          <w:color w:val="000000"/>
          <w:sz w:val="32"/>
          <w:szCs w:val="32"/>
        </w:rPr>
      </w:pPr>
      <w:r>
        <w:rPr>
          <w:rFonts w:hint="eastAsia" w:hAnsi="仿宋"/>
          <w:color w:val="000000"/>
          <w:sz w:val="32"/>
          <w:szCs w:val="32"/>
        </w:rPr>
        <w:t>通江县烟溪卫生院</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（二）机构职能。</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宣传好、落实好</w:t>
      </w:r>
      <w:r>
        <w:rPr>
          <w:rFonts w:hint="eastAsia" w:ascii="仿宋_GB2312" w:hAnsi="仿宋_GB2312" w:eastAsia="仿宋_GB2312" w:cs="仿宋_GB2312"/>
          <w:kern w:val="0"/>
          <w:sz w:val="32"/>
          <w:szCs w:val="32"/>
          <w:u w:val="none" w:color="46CD7E"/>
          <w:shd w:val="clear" w:fill="auto"/>
          <w:lang w:eastAsia="zh-CN"/>
        </w:rPr>
        <w:t>党的路线方针政策</w:t>
      </w:r>
      <w:r>
        <w:rPr>
          <w:rFonts w:hint="eastAsia" w:ascii="仿宋_GB2312" w:hAnsi="仿宋_GB2312" w:eastAsia="仿宋_GB2312" w:cs="仿宋_GB2312"/>
          <w:kern w:val="0"/>
          <w:sz w:val="32"/>
          <w:szCs w:val="32"/>
        </w:rPr>
        <w:t>和国家的法律、法规，稳定农村基本经济制度，坚持依法行政，推进政务公开，加强对村民委员会的指导，提高、培育村民委员会自治能力。</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要坚持“立党为公、执政为民”，紧紧围绕实现和维护群众利益开展工作，突出解决人民群众最关心、最直接、最现实的利益问题。加强和巩固农村基层政权建设和民主</w:t>
      </w:r>
      <w:r>
        <w:rPr>
          <w:rFonts w:hint="eastAsia" w:ascii="仿宋_GB2312" w:hAnsi="仿宋_GB2312" w:eastAsia="仿宋_GB2312" w:cs="仿宋_GB2312"/>
          <w:kern w:val="0"/>
          <w:sz w:val="32"/>
          <w:szCs w:val="32"/>
          <w:u w:val="none" w:color="46CD7E"/>
          <w:shd w:val="clear" w:fill="auto"/>
          <w:lang w:eastAsia="zh-CN"/>
        </w:rPr>
        <w:t>法治建设</w:t>
      </w:r>
      <w:r>
        <w:rPr>
          <w:rFonts w:hint="eastAsia" w:ascii="仿宋_GB2312" w:hAnsi="仿宋_GB2312" w:eastAsia="仿宋_GB2312" w:cs="仿宋_GB2312"/>
          <w:kern w:val="0"/>
          <w:sz w:val="32"/>
          <w:szCs w:val="32"/>
        </w:rPr>
        <w:t>，加强社会治安综合治理，加强对突发事件的预警和管理，建立健全各种应急机制，加强民事纠纷调解，化解农村社会矛盾，开展农村扶贫和社会救助，切实保障农民合法权益，维护农村社会稳定。</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民政、教育、科技、文化、卫生、计划生育、安全生产、劳动保障和乡村规划等社会管理，加强社会主义精神文明建设，做好防灾减灾工作，加强环境保护，努力改善农村人居环境，不断提高农村人口素质和农民生活质量。</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（三）人员概况。</w:t>
      </w:r>
    </w:p>
    <w:p>
      <w:pPr>
        <w:pStyle w:val="3"/>
        <w:spacing w:before="130" w:line="500" w:lineRule="exact"/>
        <w:ind w:firstLine="600" w:firstLineChars="200"/>
        <w:rPr>
          <w:lang w:val="zh-CN"/>
        </w:rPr>
      </w:pPr>
      <w:r>
        <w:rPr>
          <w:rFonts w:hint="eastAsia" w:hAnsi="Calibri" w:cs="仿宋"/>
          <w:color w:val="000000"/>
          <w:szCs w:val="32"/>
        </w:rPr>
        <w:t>烟溪镇全镇财政供给人数108人，单位</w:t>
      </w:r>
      <w:bookmarkStart w:id="67" w:name="_Hlk535949268"/>
      <w:r>
        <w:rPr>
          <w:rFonts w:hint="eastAsia" w:hAnsi="Calibri" w:cs="仿宋"/>
          <w:color w:val="000000"/>
          <w:szCs w:val="32"/>
        </w:rPr>
        <w:t>年末</w:t>
      </w:r>
      <w:bookmarkEnd w:id="67"/>
      <w:r>
        <w:rPr>
          <w:rFonts w:hint="eastAsia" w:hAnsi="Calibri" w:cs="仿宋"/>
          <w:color w:val="000000"/>
          <w:szCs w:val="32"/>
        </w:rPr>
        <w:t>行政事业</w:t>
      </w:r>
      <w:bookmarkStart w:id="68" w:name="_Hlk535949276"/>
      <w:r>
        <w:rPr>
          <w:rFonts w:hint="eastAsia" w:hAnsi="Calibri" w:cs="仿宋"/>
          <w:color w:val="000000"/>
          <w:szCs w:val="32"/>
        </w:rPr>
        <w:t>在职实有人数</w:t>
      </w:r>
      <w:bookmarkEnd w:id="68"/>
      <w:r>
        <w:rPr>
          <w:rFonts w:hint="eastAsia" w:hAnsi="Calibri" w:cs="仿宋"/>
          <w:color w:val="000000"/>
          <w:szCs w:val="32"/>
        </w:rPr>
        <w:t>108人，其中：行政年末在职实有人数19人，事业年末在职实有人数83人；遗嘱6人。</w:t>
      </w:r>
    </w:p>
    <w:p>
      <w:pPr>
        <w:widowControl/>
        <w:adjustRightInd w:val="0"/>
        <w:snapToGrid w:val="0"/>
        <w:spacing w:line="50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bookmarkStart w:id="83" w:name="_GoBack"/>
      <w:r>
        <w:rPr>
          <w:rFonts w:hint="eastAsia" w:ascii="楷体" w:hAnsi="楷体" w:eastAsia="楷体" w:cs="宋体"/>
          <w:kern w:val="0"/>
          <w:sz w:val="32"/>
          <w:szCs w:val="32"/>
          <w:u w:val="thick" w:color="FFB03A"/>
          <w:shd w:val="clear" w:color="auto" w:fill="FFEFD8"/>
          <w:lang w:val="zh-CN"/>
        </w:rPr>
        <w:t>（一）</w:t>
      </w:r>
      <w:bookmarkEnd w:id="83"/>
      <w:r>
        <w:rPr>
          <w:rFonts w:hint="eastAsia" w:ascii="楷体" w:hAnsi="楷体" w:eastAsia="楷体" w:cs="宋体"/>
          <w:kern w:val="0"/>
          <w:sz w:val="32"/>
          <w:szCs w:val="32"/>
          <w:shd w:val="clear" w:color="auto" w:fill="FFFFFF"/>
          <w:lang w:val="zh-CN"/>
        </w:rPr>
        <w:t>部门财政资金收入情况。</w:t>
      </w:r>
    </w:p>
    <w:p>
      <w:pPr>
        <w:spacing w:line="500" w:lineRule="exact"/>
        <w:ind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2021年度财政资金收入总计2320.48万元。本年收入合计2320.48万元；其中：一般公共预算财政拨款收入2191.07万元，占94.42%；事业收入129.42万元，占5.58%。</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（二）部门财政资金支出情况。</w:t>
      </w:r>
    </w:p>
    <w:p>
      <w:pPr>
        <w:spacing w:line="500" w:lineRule="exact"/>
        <w:ind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2021年度</w:t>
      </w:r>
      <w:r>
        <w:rPr>
          <w:rFonts w:hint="eastAsia" w:ascii="仿宋_GB2312" w:hAnsi="宋体" w:eastAsia="仿宋_GB2312" w:cs="宋体"/>
          <w:color w:val="000000"/>
          <w:kern w:val="0"/>
          <w:sz w:val="32"/>
          <w:szCs w:val="32"/>
          <w:shd w:val="clear" w:color="auto" w:fill="FFFFFF"/>
          <w:lang w:val="zh-CN"/>
        </w:rPr>
        <w:t>财政资金</w:t>
      </w:r>
      <w:r>
        <w:rPr>
          <w:rFonts w:hint="eastAsia" w:ascii="仿宋_GB2312" w:hAnsi="仿宋" w:eastAsia="仿宋_GB2312"/>
          <w:color w:val="000000"/>
          <w:sz w:val="32"/>
          <w:szCs w:val="32"/>
        </w:rPr>
        <w:t>支出总计2320.48万元。其中：基本支出1602.53万元，占69.06%；项目支出717.96万元，占30.94%。</w:t>
      </w:r>
    </w:p>
    <w:p>
      <w:pPr>
        <w:widowControl/>
        <w:adjustRightInd w:val="0"/>
        <w:snapToGrid w:val="0"/>
        <w:spacing w:line="50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（一）部门预算项目绩效管理。</w:t>
      </w:r>
    </w:p>
    <w:p>
      <w:pPr>
        <w:spacing w:line="500" w:lineRule="exact"/>
        <w:ind w:firstLine="640" w:firstLineChars="200"/>
        <w:outlineLvl w:val="1"/>
        <w:rPr>
          <w:rFonts w:ascii="仿宋_GB2312" w:hAnsi="仿宋" w:eastAsia="仿宋_GB2312"/>
          <w:color w:val="000000"/>
          <w:sz w:val="32"/>
          <w:szCs w:val="32"/>
        </w:rPr>
      </w:pPr>
      <w:r>
        <w:rPr>
          <w:rFonts w:hint="eastAsia" w:ascii="仿宋_GB2312" w:cs="仿宋_GB2312"/>
          <w:color w:val="000000"/>
          <w:sz w:val="32"/>
          <w:szCs w:val="32"/>
          <w:shd w:val="clear" w:color="auto" w:fill="FFFFFF"/>
        </w:rPr>
        <w:t>严格按照预算管理的相关规定和部门预算编制要求, 科学合理编制项目预算</w:t>
      </w:r>
      <w:r>
        <w:t>，</w:t>
      </w:r>
      <w:r>
        <w:rPr>
          <w:rFonts w:hint="eastAsia" w:ascii="仿宋_GB2312" w:cs="仿宋_GB2312"/>
          <w:color w:val="000000"/>
          <w:sz w:val="32"/>
          <w:szCs w:val="32"/>
          <w:shd w:val="clear" w:color="auto" w:fill="FFFFFF"/>
        </w:rPr>
        <w:t>按时完成了2021年预算编制工作。2021年收入总额为</w:t>
      </w:r>
      <w:r>
        <w:rPr>
          <w:rFonts w:hint="eastAsia" w:ascii="仿宋_GB2312" w:hAnsi="仿宋" w:eastAsia="仿宋_GB2312"/>
          <w:color w:val="000000"/>
          <w:sz w:val="32"/>
          <w:szCs w:val="32"/>
        </w:rPr>
        <w:t>2320.48</w:t>
      </w:r>
      <w:r>
        <w:rPr>
          <w:rFonts w:hint="eastAsia" w:ascii="仿宋_GB2312" w:cs="仿宋_GB2312"/>
          <w:color w:val="000000"/>
          <w:sz w:val="32"/>
          <w:szCs w:val="32"/>
          <w:shd w:val="clear" w:color="auto" w:fill="FFFFFF"/>
        </w:rPr>
        <w:t>万元。相应安排支出预算</w:t>
      </w:r>
      <w:r>
        <w:rPr>
          <w:rFonts w:hint="eastAsia" w:ascii="仿宋_GB2312" w:hAnsi="仿宋" w:eastAsia="仿宋_GB2312"/>
          <w:color w:val="000000"/>
          <w:sz w:val="32"/>
          <w:szCs w:val="32"/>
        </w:rPr>
        <w:t>2320.48</w:t>
      </w:r>
      <w:r>
        <w:rPr>
          <w:rFonts w:hint="eastAsia" w:ascii="仿宋_GB2312" w:cs="仿宋_GB2312"/>
          <w:color w:val="000000"/>
          <w:sz w:val="32"/>
          <w:szCs w:val="32"/>
          <w:shd w:val="clear" w:color="auto" w:fill="FFFFFF"/>
        </w:rPr>
        <w:t>万元，</w:t>
      </w:r>
      <w:r>
        <w:rPr>
          <w:rFonts w:hint="eastAsia" w:ascii="仿宋_GB2312" w:hAnsi="宋体" w:cs="宋体"/>
          <w:sz w:val="32"/>
          <w:szCs w:val="32"/>
          <w:shd w:val="clear" w:color="auto" w:fill="FFFFFF"/>
          <w:lang w:val="zh-CN"/>
        </w:rPr>
        <w:t>资金结余率0.16%</w:t>
      </w:r>
      <w:r>
        <w:rPr>
          <w:rFonts w:hint="eastAsia" w:ascii="仿宋_GB2312" w:hAnsi="仿宋"/>
          <w:color w:val="000000"/>
          <w:sz w:val="32"/>
          <w:szCs w:val="32"/>
        </w:rPr>
        <w:t>。</w:t>
      </w:r>
      <w:r>
        <w:rPr>
          <w:rFonts w:hint="eastAsia" w:ascii="仿宋_GB2312" w:cs="仿宋_GB2312"/>
          <w:color w:val="000000"/>
          <w:sz w:val="32"/>
          <w:szCs w:val="32"/>
          <w:shd w:val="clear" w:color="auto" w:fill="FFFFFF"/>
        </w:rPr>
        <w:t>其中：</w:t>
      </w:r>
      <w:r>
        <w:rPr>
          <w:rFonts w:hint="eastAsia" w:ascii="仿宋_GB2312" w:hAnsi="仿宋" w:eastAsia="仿宋_GB2312"/>
          <w:color w:val="000000"/>
          <w:sz w:val="32"/>
          <w:szCs w:val="32"/>
        </w:rPr>
        <w:t>基本支出1602.53万元，占69.06%；项目支出717.96万元，占30.94%。</w:t>
      </w:r>
    </w:p>
    <w:p>
      <w:pPr>
        <w:pStyle w:val="7"/>
        <w:widowControl/>
        <w:shd w:val="clear" w:color="auto" w:fill="FFFFFF"/>
        <w:spacing w:beforeAutospacing="0" w:afterAutospacing="0" w:line="500" w:lineRule="exact"/>
        <w:ind w:firstLine="640"/>
        <w:jc w:val="both"/>
        <w:rPr>
          <w:rFonts w:ascii="仿宋_GB2312" w:hAnsi="宋体" w:cs="宋体"/>
          <w:sz w:val="32"/>
          <w:szCs w:val="32"/>
          <w:shd w:val="clear" w:color="auto" w:fill="FFFFFF"/>
        </w:rPr>
      </w:pP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（二）结果应用情况。</w:t>
      </w:r>
    </w:p>
    <w:p>
      <w:pPr>
        <w:adjustRightInd w:val="0"/>
        <w:snapToGrid w:val="0"/>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为了确保政府整体财政支出绩效目标效益最大化，制定了工作计划，编制了工作方案，不断</w:t>
      </w:r>
      <w:r>
        <w:rPr>
          <w:rFonts w:hint="eastAsia" w:ascii="仿宋_GB2312" w:hAnsi="仿宋_GB2312" w:eastAsia="仿宋_GB2312" w:cs="仿宋_GB2312"/>
          <w:bCs/>
          <w:sz w:val="32"/>
          <w:szCs w:val="32"/>
          <w:u w:val="none" w:color="46CD7E"/>
          <w:shd w:val="clear" w:fill="auto"/>
          <w:lang w:eastAsia="zh-CN"/>
        </w:rPr>
        <w:t>完善</w:t>
      </w:r>
      <w:r>
        <w:rPr>
          <w:rFonts w:hint="eastAsia" w:ascii="仿宋_GB2312" w:hAnsi="仿宋_GB2312" w:eastAsia="仿宋_GB2312" w:cs="仿宋_GB2312"/>
          <w:bCs/>
          <w:sz w:val="32"/>
          <w:szCs w:val="32"/>
        </w:rPr>
        <w:t>了各项管理制度，确保管理工作科学化，高效化。我镇设置了专项资金审批领导小组、巩固脱贫攻坚成果领导小组。每项财政资金都要按财政预算执行，资金审批支付严格按财务制度审批，压缩“三公经费”，节约开支，不打赤字预算，</w:t>
      </w:r>
      <w:r>
        <w:rPr>
          <w:rFonts w:hint="eastAsia" w:ascii="仿宋_GB2312" w:hAnsi="仿宋_GB2312" w:eastAsia="仿宋_GB2312" w:cs="仿宋_GB2312"/>
          <w:bCs/>
          <w:sz w:val="32"/>
          <w:szCs w:val="32"/>
          <w:lang w:val="zh-CN"/>
        </w:rPr>
        <w:t>保障政府、医院、学校、村民委员会和党支部的正常运转；保障涉农惠民资金全面兑现；保证全镇重点工程项目的实施；为民服务，发展地方经济，确保脱贫攻坚与乡村振兴衔接阶段任务全面完成。2021年政府各项工作有序开展推进，极大巩固了脱贫攻坚成效，改善了脱贫户的生产生活条件，促进了社会经济发展，让惠民政策落到了实处。</w:t>
      </w:r>
    </w:p>
    <w:p>
      <w:pPr>
        <w:widowControl/>
        <w:adjustRightInd w:val="0"/>
        <w:snapToGrid w:val="0"/>
        <w:spacing w:line="50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（三）自评质量</w:t>
      </w:r>
    </w:p>
    <w:p>
      <w:pPr>
        <w:pStyle w:val="3"/>
        <w:spacing w:beforeLines="0" w:line="500" w:lineRule="exact"/>
        <w:ind w:firstLine="640" w:firstLineChars="200"/>
        <w:rPr>
          <w:rFonts w:hAnsi="仿宋_GB2312" w:cs="仿宋_GB2312"/>
          <w:sz w:val="32"/>
          <w:szCs w:val="32"/>
          <w:lang w:val="zh-CN"/>
        </w:rPr>
      </w:pPr>
      <w:r>
        <w:rPr>
          <w:rFonts w:hint="eastAsia" w:hAnsi="仿宋_GB2312" w:cs="仿宋_GB2312"/>
          <w:sz w:val="32"/>
          <w:szCs w:val="32"/>
        </w:rPr>
        <w:t>严格按照财务制度，规范各项资金的开支。根据项目支出的性质、范围、用途，坚持专款专用，未发生挤占挪用截留等现象</w:t>
      </w:r>
      <w:r>
        <w:rPr>
          <w:rFonts w:hint="eastAsia" w:hAnsi="仿宋_GB2312" w:cs="仿宋_GB2312"/>
          <w:color w:val="000000"/>
          <w:sz w:val="32"/>
          <w:szCs w:val="32"/>
          <w:shd w:val="clear" w:color="auto" w:fill="FFFFFF"/>
        </w:rPr>
        <w:t>。</w:t>
      </w:r>
    </w:p>
    <w:p>
      <w:pPr>
        <w:widowControl/>
        <w:adjustRightInd w:val="0"/>
        <w:snapToGrid w:val="0"/>
        <w:spacing w:line="50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（一）评价结论。</w:t>
      </w:r>
    </w:p>
    <w:p>
      <w:pPr>
        <w:widowControl/>
        <w:adjustRightInd w:val="0"/>
        <w:snapToGrid w:val="0"/>
        <w:spacing w:line="500" w:lineRule="exact"/>
        <w:ind w:firstLine="640" w:firstLineChars="200"/>
        <w:contextualSpacing/>
        <w:jc w:val="left"/>
        <w:rPr>
          <w:rFonts w:ascii="仿宋_GB2312" w:hAnsi="楷体" w:eastAsia="仿宋_GB2312" w:cs="楷体"/>
          <w:bCs/>
          <w:sz w:val="32"/>
          <w:szCs w:val="32"/>
          <w:lang w:val="zh-CN"/>
        </w:rPr>
      </w:pPr>
      <w:r>
        <w:rPr>
          <w:rFonts w:hint="eastAsia" w:ascii="仿宋_GB2312" w:hAnsi="楷体" w:eastAsia="仿宋_GB2312" w:cs="楷体"/>
          <w:bCs/>
          <w:sz w:val="32"/>
          <w:szCs w:val="32"/>
          <w:lang w:val="zh-CN"/>
        </w:rPr>
        <w:t>政府各级部门认真履职履责，为了完成各项工作任务，不断创新学习，加强为民服务意识，改进工作作风。全镇完成了财政收支目标任务，保工资、保政府运转、保民生工程；确保了预算资金全方位、全过程、全覆盖绩效管理；发展地方经济，搞好场镇建设，提高人民文化生活水平，造福一方百姓。总之2021年政府整体财政支出绩效目标考核指标不论是经济效益、社会效益、经济持续发展效益都持续稳步增长。</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（二）存在问题。</w:t>
      </w:r>
    </w:p>
    <w:p>
      <w:pPr>
        <w:adjustRightInd w:val="0"/>
        <w:snapToGrid w:val="0"/>
        <w:spacing w:line="500" w:lineRule="exact"/>
        <w:ind w:firstLine="640" w:firstLineChars="200"/>
        <w:rPr>
          <w:rFonts w:ascii="仿宋_GB2312" w:hAnsi="楷体" w:eastAsia="仿宋_GB2312" w:cs="楷体"/>
          <w:bCs/>
          <w:sz w:val="32"/>
          <w:szCs w:val="32"/>
          <w:lang w:val="zh-CN"/>
        </w:rPr>
      </w:pPr>
      <w:r>
        <w:rPr>
          <w:rFonts w:hint="eastAsia" w:ascii="仿宋_GB2312" w:hAnsi="楷体" w:eastAsia="仿宋_GB2312" w:cs="楷体"/>
          <w:bCs/>
          <w:sz w:val="32"/>
          <w:szCs w:val="32"/>
          <w:lang w:val="zh-CN"/>
        </w:rPr>
        <w:t>政府绩效制度不完善，绩效制度缺乏强有力的保障措施，政府整体财政资金涉及面广，绩效指标考核难度大，绩效目标考核指标缺乏标准，绩效目标考核政策学习少，认识不够深入，专业性强，各部门绩效指标难以统一量化。</w:t>
      </w:r>
    </w:p>
    <w:p>
      <w:pPr>
        <w:widowControl/>
        <w:adjustRightInd w:val="0"/>
        <w:snapToGrid w:val="0"/>
        <w:spacing w:line="500" w:lineRule="exact"/>
        <w:ind w:firstLine="640" w:firstLineChars="200"/>
        <w:contextualSpacing/>
        <w:jc w:val="left"/>
        <w:rPr>
          <w:rFonts w:ascii="楷体" w:hAnsi="楷体" w:eastAsia="楷体" w:cs="宋体"/>
          <w:kern w:val="0"/>
          <w:sz w:val="32"/>
          <w:szCs w:val="32"/>
          <w:shd w:val="clear" w:color="auto" w:fill="FFFFFF"/>
          <w:lang w:val="zh-CN"/>
        </w:rPr>
      </w:pPr>
      <w:r>
        <w:rPr>
          <w:rFonts w:hint="eastAsia" w:ascii="楷体" w:hAnsi="楷体" w:eastAsia="楷体" w:cs="宋体"/>
          <w:kern w:val="0"/>
          <w:sz w:val="32"/>
          <w:szCs w:val="32"/>
          <w:shd w:val="clear" w:color="auto" w:fill="FFFFFF"/>
          <w:lang w:val="zh-CN"/>
        </w:rPr>
        <w:t>（三）改进建议。</w:t>
      </w:r>
    </w:p>
    <w:p>
      <w:pPr>
        <w:adjustRightInd w:val="0"/>
        <w:snapToGrid w:val="0"/>
        <w:spacing w:line="500" w:lineRule="exact"/>
        <w:ind w:firstLine="640" w:firstLineChars="200"/>
        <w:rPr>
          <w:rFonts w:ascii="仿宋_GB2312" w:hAnsi="楷体" w:eastAsia="仿宋_GB2312" w:cs="楷体"/>
          <w:bCs/>
          <w:sz w:val="32"/>
          <w:szCs w:val="32"/>
          <w:lang w:val="zh-CN"/>
        </w:rPr>
        <w:sectPr>
          <w:headerReference r:id="rId3" w:type="default"/>
          <w:footerReference r:id="rId4" w:type="even"/>
          <w:pgSz w:w="11906" w:h="16838"/>
          <w:pgMar w:top="1440" w:right="1803" w:bottom="1440" w:left="1803" w:header="851" w:footer="992" w:gutter="0"/>
          <w:pgNumType w:fmt="numberInDash" w:start="16"/>
          <w:cols w:space="425" w:num="1"/>
          <w:docGrid w:type="lines" w:linePitch="435" w:charSpace="0"/>
        </w:sectPr>
      </w:pPr>
      <w:r>
        <w:rPr>
          <w:rFonts w:hint="eastAsia" w:ascii="仿宋_GB2312" w:hAnsi="楷体" w:eastAsia="仿宋_GB2312" w:cs="楷体"/>
          <w:bCs/>
          <w:sz w:val="32"/>
          <w:szCs w:val="32"/>
          <w:lang w:val="zh-CN"/>
        </w:rPr>
        <w:t>政府绩效目标评价专业性强，应该有专门业务人员，上级部门应该重视此项工作，定时进行专门学习培训，提高相关部门业务人员的专业水平。</w:t>
      </w:r>
    </w:p>
    <w:p>
      <w:pPr>
        <w:spacing w:line="572" w:lineRule="exact"/>
        <w:outlineLvl w:val="0"/>
        <w:rPr>
          <w:rFonts w:ascii="仿宋_GB2312" w:hAnsi="仿宋_GB2312" w:eastAsia="仿宋_GB2312" w:cs="仿宋_GB2312"/>
          <w:sz w:val="32"/>
          <w:szCs w:val="32"/>
        </w:rPr>
      </w:pPr>
    </w:p>
    <w:p>
      <w:pPr>
        <w:spacing w:line="572" w:lineRule="exact"/>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tbl>
      <w:tblPr>
        <w:tblStyle w:val="8"/>
        <w:tblpPr w:leftFromText="180" w:rightFromText="180" w:vertAnchor="text" w:horzAnchor="page" w:tblpX="1281" w:tblpY="660"/>
        <w:tblOverlap w:val="never"/>
        <w:tblW w:w="10140" w:type="dxa"/>
        <w:tblInd w:w="0" w:type="dxa"/>
        <w:tblLayout w:type="fixed"/>
        <w:tblCellMar>
          <w:top w:w="0" w:type="dxa"/>
          <w:left w:w="108" w:type="dxa"/>
          <w:bottom w:w="0" w:type="dxa"/>
          <w:right w:w="108" w:type="dxa"/>
        </w:tblCellMar>
      </w:tblPr>
      <w:tblGrid>
        <w:gridCol w:w="1519"/>
        <w:gridCol w:w="990"/>
        <w:gridCol w:w="1740"/>
        <w:gridCol w:w="1800"/>
        <w:gridCol w:w="1215"/>
        <w:gridCol w:w="2640"/>
        <w:gridCol w:w="236"/>
      </w:tblGrid>
      <w:tr>
        <w:tblPrEx>
          <w:tblCellMar>
            <w:top w:w="0" w:type="dxa"/>
            <w:left w:w="108" w:type="dxa"/>
            <w:bottom w:w="0" w:type="dxa"/>
            <w:right w:w="108" w:type="dxa"/>
          </w:tblCellMar>
        </w:tblPrEx>
        <w:trPr>
          <w:trHeight w:val="675" w:hRule="atLeast"/>
        </w:trPr>
        <w:tc>
          <w:tcPr>
            <w:tcW w:w="9904"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通江县烟溪镇人民政府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通江县烟溪镇人民政府</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229.23万元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229.23万元</w:t>
            </w:r>
          </w:p>
        </w:tc>
      </w:tr>
      <w:tr>
        <w:tblPrEx>
          <w:tblCellMar>
            <w:top w:w="0" w:type="dxa"/>
            <w:left w:w="108" w:type="dxa"/>
            <w:bottom w:w="0" w:type="dxa"/>
            <w:right w:w="108" w:type="dxa"/>
          </w:tblCellMar>
        </w:tblPrEx>
        <w:trPr>
          <w:gridAfter w:val="1"/>
          <w:wAfter w:w="236" w:type="dxa"/>
          <w:trHeight w:val="555"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229.23万元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229.23万元</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562"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r>
              <w:rPr>
                <w:rFonts w:hint="eastAsia" w:ascii="宋体" w:hAnsi="宋体" w:cs="宋体"/>
                <w:sz w:val="24"/>
                <w:u w:val="none" w:color="46CD7E"/>
                <w:shd w:val="clear" w:fill="auto"/>
                <w:lang w:eastAsia="zh-CN"/>
              </w:rPr>
              <w:t>下发给</w:t>
            </w:r>
            <w:r>
              <w:rPr>
                <w:rFonts w:hint="eastAsia" w:ascii="宋体" w:hAnsi="宋体" w:cs="宋体"/>
                <w:sz w:val="24"/>
              </w:rPr>
              <w:t>农户</w:t>
            </w:r>
            <w:r>
              <w:t>。</w:t>
            </w:r>
          </w:p>
        </w:tc>
      </w:tr>
      <w:tr>
        <w:tblPrEx>
          <w:tblCellMar>
            <w:top w:w="0" w:type="dxa"/>
            <w:left w:w="108" w:type="dxa"/>
            <w:bottom w:w="0" w:type="dxa"/>
            <w:right w:w="108" w:type="dxa"/>
          </w:tblCellMar>
        </w:tblPrEx>
        <w:trPr>
          <w:gridAfter w:val="1"/>
          <w:wAfter w:w="236" w:type="dxa"/>
          <w:trHeight w:val="693" w:hRule="atLeast"/>
        </w:trPr>
        <w:tc>
          <w:tcPr>
            <w:tcW w:w="15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99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覆盖村数量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r>
      <w:tr>
        <w:tblPrEx>
          <w:tblCellMar>
            <w:top w:w="0" w:type="dxa"/>
            <w:left w:w="108" w:type="dxa"/>
            <w:bottom w:w="0" w:type="dxa"/>
            <w:right w:w="108" w:type="dxa"/>
          </w:tblCellMar>
        </w:tblPrEx>
        <w:trPr>
          <w:gridAfter w:val="1"/>
          <w:wAfter w:w="236" w:type="dxa"/>
          <w:trHeight w:val="43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受益农户数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补助到位率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补助及时率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降本增效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提高农户生产生活环境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提高农户生活质量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577"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改善生态环境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促进社会有序发展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910" w:hRule="atLeast"/>
        </w:trPr>
        <w:tc>
          <w:tcPr>
            <w:tcW w:w="151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受益群众对项目实施满意度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bl>
    <w:p>
      <w:pPr>
        <w:spacing w:line="600" w:lineRule="exact"/>
        <w:jc w:val="center"/>
        <w:outlineLvl w:val="0"/>
        <w:rPr>
          <w:rFonts w:ascii="黑体" w:hAnsi="黑体" w:eastAsia="黑体"/>
          <w:sz w:val="44"/>
          <w:szCs w:val="44"/>
        </w:rPr>
      </w:pPr>
    </w:p>
    <w:p>
      <w:pPr>
        <w:pStyle w:val="3"/>
        <w:spacing w:before="93"/>
      </w:pPr>
    </w:p>
    <w:p>
      <w:pPr>
        <w:pStyle w:val="3"/>
        <w:spacing w:before="93"/>
      </w:pPr>
    </w:p>
    <w:tbl>
      <w:tblPr>
        <w:tblStyle w:val="8"/>
        <w:tblpPr w:leftFromText="180" w:rightFromText="180" w:vertAnchor="text" w:horzAnchor="page" w:tblpX="1281" w:tblpY="660"/>
        <w:tblOverlap w:val="never"/>
        <w:tblW w:w="10140" w:type="dxa"/>
        <w:tblInd w:w="0" w:type="dxa"/>
        <w:tblLayout w:type="fixed"/>
        <w:tblCellMar>
          <w:top w:w="0" w:type="dxa"/>
          <w:left w:w="108" w:type="dxa"/>
          <w:bottom w:w="0" w:type="dxa"/>
          <w:right w:w="108" w:type="dxa"/>
        </w:tblCellMar>
      </w:tblPr>
      <w:tblGrid>
        <w:gridCol w:w="1519"/>
        <w:gridCol w:w="990"/>
        <w:gridCol w:w="1740"/>
        <w:gridCol w:w="1800"/>
        <w:gridCol w:w="1215"/>
        <w:gridCol w:w="2640"/>
        <w:gridCol w:w="236"/>
      </w:tblGrid>
      <w:tr>
        <w:tblPrEx>
          <w:tblCellMar>
            <w:top w:w="0" w:type="dxa"/>
            <w:left w:w="108" w:type="dxa"/>
            <w:bottom w:w="0" w:type="dxa"/>
            <w:right w:w="108" w:type="dxa"/>
          </w:tblCellMar>
        </w:tblPrEx>
        <w:trPr>
          <w:trHeight w:val="675" w:hRule="atLeast"/>
        </w:trPr>
        <w:tc>
          <w:tcPr>
            <w:tcW w:w="9904"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通江县烟溪镇人民政府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通江县烟溪镇人民政府</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152.38万元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152.38万元</w:t>
            </w:r>
          </w:p>
        </w:tc>
      </w:tr>
      <w:tr>
        <w:tblPrEx>
          <w:tblCellMar>
            <w:top w:w="0" w:type="dxa"/>
            <w:left w:w="108" w:type="dxa"/>
            <w:bottom w:w="0" w:type="dxa"/>
            <w:right w:w="108" w:type="dxa"/>
          </w:tblCellMar>
        </w:tblPrEx>
        <w:trPr>
          <w:gridAfter w:val="1"/>
          <w:wAfter w:w="236" w:type="dxa"/>
          <w:trHeight w:val="555"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152.38万元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152.38万元</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562"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r>
              <w:rPr>
                <w:rFonts w:hint="eastAsia" w:ascii="宋体" w:hAnsi="宋体" w:cs="宋体"/>
                <w:sz w:val="24"/>
                <w:u w:val="none" w:color="46CD7E"/>
                <w:shd w:val="clear" w:fill="auto"/>
                <w:lang w:eastAsia="zh-CN"/>
              </w:rPr>
              <w:t>下发给</w:t>
            </w:r>
            <w:r>
              <w:rPr>
                <w:rFonts w:hint="eastAsia" w:ascii="宋体" w:hAnsi="宋体" w:cs="宋体"/>
                <w:sz w:val="24"/>
              </w:rPr>
              <w:t>农户</w:t>
            </w:r>
            <w:r>
              <w:t>。</w:t>
            </w:r>
          </w:p>
        </w:tc>
      </w:tr>
      <w:tr>
        <w:tblPrEx>
          <w:tblCellMar>
            <w:top w:w="0" w:type="dxa"/>
            <w:left w:w="108" w:type="dxa"/>
            <w:bottom w:w="0" w:type="dxa"/>
            <w:right w:w="108" w:type="dxa"/>
          </w:tblCellMar>
        </w:tblPrEx>
        <w:trPr>
          <w:gridAfter w:val="1"/>
          <w:wAfter w:w="236" w:type="dxa"/>
          <w:trHeight w:val="693" w:hRule="atLeast"/>
        </w:trPr>
        <w:tc>
          <w:tcPr>
            <w:tcW w:w="15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99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受益群众50户以上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3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补助到位率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住房合格率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补助及时率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降本增效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保护村民居住环境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577"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直接间接影响环境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促进社会和谐发展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91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受益群众对项目实施满意度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910" w:hRule="atLeast"/>
        </w:trPr>
        <w:tc>
          <w:tcPr>
            <w:tcW w:w="1519" w:type="dxa"/>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受益群众对政府工作满意度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3"/>
        <w:spacing w:before="93"/>
        <w:rPr>
          <w:lang w:val="zh-CN"/>
        </w:rPr>
      </w:pPr>
    </w:p>
    <w:p>
      <w:pPr>
        <w:spacing w:line="580" w:lineRule="exact"/>
        <w:rPr>
          <w:rStyle w:val="30"/>
          <w:rFonts w:ascii="黑体" w:hAnsi="黑体" w:eastAsia="黑体"/>
          <w:b w:val="0"/>
        </w:rPr>
      </w:pPr>
    </w:p>
    <w:p>
      <w:pPr>
        <w:widowControl/>
        <w:jc w:val="left"/>
        <w:rPr>
          <w:rStyle w:val="30"/>
          <w:rFonts w:ascii="黑体" w:hAnsi="黑体" w:eastAsia="黑体"/>
          <w:b w:val="0"/>
        </w:rPr>
      </w:pPr>
      <w:r>
        <w:br w:type="page"/>
      </w:r>
    </w:p>
    <w:p>
      <w:pPr>
        <w:spacing w:line="600" w:lineRule="exact"/>
        <w:jc w:val="center"/>
        <w:outlineLvl w:val="0"/>
        <w:rPr>
          <w:rFonts w:ascii="仿宋" w:hAnsi="仿宋" w:eastAsia="仿宋"/>
        </w:rPr>
      </w:pPr>
      <w:bookmarkStart w:id="69" w:name="_Toc15396618"/>
      <w:r>
        <w:rPr>
          <w:rFonts w:hint="eastAsia" w:ascii="黑体" w:hAnsi="黑体" w:eastAsia="黑体"/>
          <w:sz w:val="44"/>
          <w:szCs w:val="44"/>
        </w:rPr>
        <w:t>第</w:t>
      </w:r>
      <w:r>
        <w:rPr>
          <w:rStyle w:val="30"/>
          <w:rFonts w:hint="eastAsia" w:ascii="黑体" w:hAnsi="黑体" w:eastAsia="黑体"/>
          <w:b w:val="0"/>
        </w:rPr>
        <w:t>五部分附表</w:t>
      </w:r>
      <w:bookmarkEnd w:id="65"/>
      <w:bookmarkEnd w:id="69"/>
      <w:bookmarkStart w:id="70" w:name="_Toc15396619"/>
    </w:p>
    <w:p>
      <w:pPr>
        <w:pStyle w:val="15"/>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70"/>
    </w:p>
    <w:p>
      <w:pPr>
        <w:pStyle w:val="15"/>
        <w:rPr>
          <w:rFonts w:ascii="仿宋" w:hAnsi="仿宋" w:eastAsia="仿宋"/>
        </w:rPr>
      </w:pPr>
      <w:bookmarkStart w:id="71" w:name="_Toc15396620"/>
      <w:r>
        <w:rPr>
          <w:rFonts w:hint="eastAsia" w:ascii="仿宋" w:hAnsi="仿宋" w:eastAsia="仿宋"/>
          <w:b w:val="0"/>
        </w:rPr>
        <w:t>二、收</w:t>
      </w:r>
      <w:r>
        <w:rPr>
          <w:rStyle w:val="31"/>
          <w:rFonts w:hint="eastAsia" w:ascii="仿宋" w:hAnsi="仿宋" w:eastAsia="仿宋"/>
          <w:b w:val="0"/>
          <w:bCs w:val="0"/>
        </w:rPr>
        <w:t>入决算表</w:t>
      </w:r>
      <w:bookmarkEnd w:id="71"/>
    </w:p>
    <w:p>
      <w:pPr>
        <w:pStyle w:val="15"/>
        <w:rPr>
          <w:rFonts w:ascii="仿宋" w:hAnsi="仿宋" w:eastAsia="仿宋"/>
        </w:rPr>
      </w:pPr>
      <w:bookmarkStart w:id="72"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72"/>
    </w:p>
    <w:p>
      <w:pPr>
        <w:pStyle w:val="15"/>
        <w:rPr>
          <w:rFonts w:ascii="仿宋" w:hAnsi="仿宋" w:eastAsia="仿宋"/>
          <w:b w:val="0"/>
        </w:rPr>
      </w:pPr>
      <w:bookmarkStart w:id="73"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w:t>
      </w:r>
      <w:r>
        <w:rPr>
          <w:rFonts w:hint="eastAsia" w:ascii="仿宋" w:hAnsi="仿宋" w:eastAsia="仿宋"/>
          <w:b w:val="0"/>
          <w:bCs w:val="0"/>
        </w:rPr>
        <w:t>收入支出决算总表</w:t>
      </w:r>
      <w:bookmarkEnd w:id="73"/>
    </w:p>
    <w:p>
      <w:pPr>
        <w:pStyle w:val="15"/>
        <w:rPr>
          <w:rStyle w:val="31"/>
          <w:rFonts w:ascii="仿宋" w:hAnsi="仿宋" w:eastAsia="仿宋"/>
          <w:b w:val="0"/>
          <w:bCs w:val="0"/>
        </w:rPr>
      </w:pPr>
      <w:bookmarkStart w:id="74"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w:t>
      </w:r>
      <w:r>
        <w:rPr>
          <w:rFonts w:hint="eastAsia" w:ascii="仿宋" w:hAnsi="仿宋" w:eastAsia="仿宋"/>
          <w:b w:val="0"/>
          <w:bCs w:val="0"/>
        </w:rPr>
        <w:t>支出决算明细表</w:t>
      </w:r>
      <w:bookmarkEnd w:id="74"/>
      <w:bookmarkStart w:id="75" w:name="_Toc15396624"/>
    </w:p>
    <w:p>
      <w:pPr>
        <w:pStyle w:val="15"/>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支出决算表</w:t>
      </w:r>
      <w:bookmarkEnd w:id="75"/>
    </w:p>
    <w:p>
      <w:pPr>
        <w:pStyle w:val="15"/>
        <w:rPr>
          <w:rFonts w:ascii="仿宋" w:hAnsi="仿宋" w:eastAsia="仿宋"/>
        </w:rPr>
      </w:pPr>
      <w:bookmarkStart w:id="76"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支出决算明细表</w:t>
      </w:r>
      <w:bookmarkEnd w:id="76"/>
    </w:p>
    <w:p>
      <w:pPr>
        <w:pStyle w:val="15"/>
        <w:rPr>
          <w:rFonts w:ascii="仿宋" w:hAnsi="仿宋" w:eastAsia="仿宋"/>
        </w:rPr>
      </w:pPr>
      <w:bookmarkStart w:id="77"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基本支出决算表</w:t>
      </w:r>
      <w:bookmarkEnd w:id="77"/>
    </w:p>
    <w:p>
      <w:pPr>
        <w:pStyle w:val="15"/>
        <w:rPr>
          <w:rFonts w:ascii="仿宋" w:hAnsi="仿宋" w:eastAsia="仿宋"/>
        </w:rPr>
      </w:pPr>
      <w:bookmarkStart w:id="78"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项目支出决算表</w:t>
      </w:r>
      <w:bookmarkEnd w:id="78"/>
    </w:p>
    <w:p>
      <w:pPr>
        <w:pStyle w:val="15"/>
        <w:rPr>
          <w:rFonts w:ascii="仿宋" w:hAnsi="仿宋" w:eastAsia="仿宋"/>
        </w:rPr>
      </w:pPr>
      <w:bookmarkStart w:id="79" w:name="_Toc15396628"/>
      <w:r>
        <w:rPr>
          <w:rStyle w:val="31"/>
          <w:rFonts w:hint="eastAsia" w:ascii="仿宋" w:hAnsi="仿宋" w:eastAsia="仿宋"/>
          <w:b w:val="0"/>
          <w:bCs w:val="0"/>
        </w:rPr>
        <w:t>十、</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“三公”经费支出决算表</w:t>
      </w:r>
      <w:bookmarkEnd w:id="79"/>
    </w:p>
    <w:p>
      <w:pPr>
        <w:pStyle w:val="15"/>
        <w:rPr>
          <w:rFonts w:ascii="仿宋" w:hAnsi="仿宋" w:eastAsia="仿宋"/>
        </w:rPr>
      </w:pPr>
      <w:bookmarkStart w:id="80" w:name="_Toc15396629"/>
      <w:r>
        <w:rPr>
          <w:rStyle w:val="31"/>
          <w:rFonts w:hint="eastAsia" w:ascii="仿宋" w:hAnsi="仿宋" w:eastAsia="仿宋"/>
          <w:b w:val="0"/>
          <w:bCs w:val="0"/>
        </w:rPr>
        <w:t>十一、</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收入支出决算表</w:t>
      </w:r>
      <w:bookmarkEnd w:id="80"/>
    </w:p>
    <w:p>
      <w:pPr>
        <w:pStyle w:val="15"/>
        <w:rPr>
          <w:rFonts w:ascii="仿宋" w:hAnsi="仿宋" w:eastAsia="仿宋"/>
        </w:rPr>
      </w:pPr>
      <w:bookmarkStart w:id="81" w:name="_Toc15396630"/>
      <w:r>
        <w:rPr>
          <w:rStyle w:val="31"/>
          <w:rFonts w:hint="eastAsia" w:ascii="仿宋" w:hAnsi="仿宋" w:eastAsia="仿宋"/>
          <w:b w:val="0"/>
          <w:bCs w:val="0"/>
        </w:rPr>
        <w:t>十二、</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w:t>
      </w:r>
      <w:r>
        <w:rPr>
          <w:rStyle w:val="31"/>
          <w:rFonts w:hint="eastAsia" w:ascii="仿宋" w:hAnsi="仿宋" w:eastAsia="仿宋"/>
          <w:b w:val="0"/>
          <w:bCs w:val="0"/>
        </w:rPr>
        <w:t>拨款</w:t>
      </w:r>
      <w:r>
        <w:rPr>
          <w:rFonts w:hint="eastAsia" w:ascii="仿宋" w:hAnsi="仿宋" w:eastAsia="仿宋"/>
          <w:b w:val="0"/>
          <w:bCs w:val="0"/>
        </w:rPr>
        <w:t>“三公”经费支出决算表</w:t>
      </w:r>
      <w:bookmarkEnd w:id="81"/>
    </w:p>
    <w:p>
      <w:pPr>
        <w:pStyle w:val="15"/>
        <w:rPr>
          <w:rStyle w:val="31"/>
          <w:rFonts w:ascii="仿宋" w:hAnsi="仿宋" w:eastAsia="仿宋"/>
          <w:b w:val="0"/>
          <w:bCs w:val="0"/>
        </w:rPr>
      </w:pPr>
      <w:bookmarkStart w:id="82" w:name="_Toc15396631"/>
      <w:r>
        <w:rPr>
          <w:rStyle w:val="31"/>
          <w:rFonts w:hint="eastAsia" w:ascii="仿宋" w:hAnsi="仿宋" w:eastAsia="仿宋"/>
          <w:b w:val="0"/>
          <w:bCs w:val="0"/>
        </w:rPr>
        <w:t>十三、</w:t>
      </w:r>
      <w:r>
        <w:rPr>
          <w:rFonts w:hint="eastAsia" w:ascii="仿宋" w:hAnsi="仿宋" w:eastAsia="仿宋"/>
          <w:b w:val="0"/>
        </w:rPr>
        <w:t>国</w:t>
      </w:r>
      <w:r>
        <w:rPr>
          <w:rStyle w:val="31"/>
          <w:rFonts w:hint="eastAsia" w:ascii="仿宋" w:hAnsi="仿宋" w:eastAsia="仿宋"/>
          <w:b w:val="0"/>
          <w:bCs w:val="0"/>
        </w:rPr>
        <w:t>有资本经营预算财政拨款</w:t>
      </w:r>
      <w:r>
        <w:rPr>
          <w:rFonts w:hint="eastAsia" w:ascii="仿宋" w:hAnsi="仿宋" w:eastAsia="仿宋"/>
          <w:b w:val="0"/>
          <w:bCs w:val="0"/>
        </w:rPr>
        <w:t>收入</w:t>
      </w:r>
      <w:r>
        <w:rPr>
          <w:rStyle w:val="31"/>
          <w:rFonts w:hint="eastAsia" w:ascii="仿宋" w:hAnsi="仿宋" w:eastAsia="仿宋"/>
          <w:b w:val="0"/>
          <w:bCs w:val="0"/>
        </w:rPr>
        <w:t>支出决算表</w:t>
      </w:r>
      <w:bookmarkEnd w:id="82"/>
    </w:p>
    <w:p>
      <w:pPr>
        <w:rPr>
          <w:rFonts w:eastAsia="仿宋"/>
          <w:sz w:val="32"/>
          <w:szCs w:val="32"/>
        </w:rPr>
      </w:pPr>
      <w:r>
        <w:rPr>
          <w:rStyle w:val="31"/>
          <w:rFonts w:hint="eastAsia" w:ascii="仿宋" w:hAnsi="仿宋" w:eastAsia="仿宋"/>
          <w:b w:val="0"/>
          <w:bCs w:val="0"/>
        </w:rPr>
        <w:t>十四、国有资本经营预算</w:t>
      </w:r>
      <w:r>
        <w:rPr>
          <w:rFonts w:hint="eastAsia" w:ascii="仿宋" w:hAnsi="仿宋" w:eastAsia="仿宋"/>
          <w:sz w:val="32"/>
          <w:szCs w:val="32"/>
        </w:rPr>
        <w:t>财政</w:t>
      </w:r>
      <w:r>
        <w:rPr>
          <w:rStyle w:val="31"/>
          <w:rFonts w:hint="eastAsia" w:ascii="仿宋" w:hAnsi="仿宋" w:eastAsia="仿宋"/>
          <w:b w:val="0"/>
          <w:bCs w:val="0"/>
        </w:rPr>
        <w:t>拨款</w:t>
      </w:r>
      <w:r>
        <w:rPr>
          <w:rFonts w:hint="eastAsia" w:ascii="仿宋" w:hAnsi="仿宋" w:eastAsia="仿宋"/>
          <w:sz w:val="32"/>
          <w:szCs w:val="32"/>
        </w:rPr>
        <w:t>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9685"/>
    </w:sdtPr>
    <w:sdtContent>
      <w:p>
        <w:pPr>
          <w:pStyle w:val="18"/>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18"/>
      <w:tabs>
        <w:tab w:val="right" w:pos="9184"/>
        <w:tab w:val="clear" w:pos="4153"/>
        <w:tab w:val="clear" w:pos="8306"/>
      </w:tabs>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017ED"/>
    <w:multiLevelType w:val="multilevel"/>
    <w:tmpl w:val="24C017ED"/>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CB85BAE"/>
    <w:multiLevelType w:val="singleLevel"/>
    <w:tmpl w:val="2CB85BAE"/>
    <w:lvl w:ilvl="0" w:tentative="0">
      <w:start w:val="3"/>
      <w:numFmt w:val="chineseCounting"/>
      <w:suff w:val="space"/>
      <w:lvlText w:val="第%1部分"/>
      <w:lvlJc w:val="left"/>
      <w:rPr>
        <w:rFonts w:hint="eastAsia"/>
      </w:rPr>
    </w:lvl>
  </w:abstractNum>
  <w:abstractNum w:abstractNumId="2">
    <w:nsid w:val="3DDD7DF2"/>
    <w:multiLevelType w:val="singleLevel"/>
    <w:tmpl w:val="3DDD7DF2"/>
    <w:lvl w:ilvl="0" w:tentative="0">
      <w:start w:val="9"/>
      <w:numFmt w:val="chineseCounting"/>
      <w:suff w:val="nothing"/>
      <w:lvlText w:val="%1、"/>
      <w:lvlJc w:val="left"/>
      <w:rPr>
        <w:rFonts w:hint="eastAsia"/>
      </w:rPr>
    </w:lvl>
  </w:abstractNum>
  <w:abstractNum w:abstractNumId="3">
    <w:nsid w:val="4AFB558A"/>
    <w:multiLevelType w:val="multilevel"/>
    <w:tmpl w:val="4AFB558A"/>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4">
    <w:nsid w:val="4EE035A9"/>
    <w:multiLevelType w:val="multilevel"/>
    <w:tmpl w:val="4EE035A9"/>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9527D7"/>
    <w:rsid w:val="002B67DE"/>
    <w:rsid w:val="007116E9"/>
    <w:rsid w:val="00865A3B"/>
    <w:rsid w:val="009527D7"/>
    <w:rsid w:val="00BC6AC3"/>
    <w:rsid w:val="00C1567C"/>
    <w:rsid w:val="0766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2"/>
    <w:qFormat/>
    <w:uiPriority w:val="99"/>
    <w:pPr>
      <w:tabs>
        <w:tab w:val="center" w:pos="4153"/>
        <w:tab w:val="right" w:pos="8306"/>
      </w:tabs>
      <w:snapToGrid w:val="0"/>
      <w:jc w:val="left"/>
    </w:pPr>
    <w:rPr>
      <w:sz w:val="18"/>
      <w:szCs w:val="18"/>
    </w:rPr>
  </w:style>
  <w:style w:type="paragraph" w:styleId="6">
    <w:name w:val="header"/>
    <w:basedOn w:val="1"/>
    <w:link w:val="4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eastAsia="仿宋_GB2312"/>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b/>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qFormat/>
    <w:uiPriority w:val="99"/>
    <w:rPr>
      <w:sz w:val="21"/>
      <w:szCs w:val="21"/>
    </w:rPr>
  </w:style>
  <w:style w:type="paragraph" w:customStyle="1" w:styleId="14">
    <w:name w:val="Heading 1"/>
    <w:basedOn w:val="1"/>
    <w:next w:val="1"/>
    <w:link w:val="30"/>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6">
    <w:name w:val="Heading 3"/>
    <w:basedOn w:val="1"/>
    <w:next w:val="1"/>
    <w:link w:val="34"/>
    <w:unhideWhenUsed/>
    <w:qFormat/>
    <w:uiPriority w:val="9"/>
    <w:pPr>
      <w:keepNext/>
      <w:keepLines/>
      <w:spacing w:before="260" w:after="260" w:line="416" w:lineRule="auto"/>
      <w:outlineLvl w:val="2"/>
    </w:pPr>
    <w:rPr>
      <w:b/>
      <w:bCs/>
      <w:sz w:val="32"/>
      <w:szCs w:val="32"/>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Header Char"/>
    <w:basedOn w:val="10"/>
    <w:semiHidden/>
    <w:qFormat/>
    <w:uiPriority w:val="99"/>
    <w:rPr>
      <w:rFonts w:ascii="Times New Roman" w:hAnsi="Times New Roman"/>
      <w:sz w:val="18"/>
      <w:szCs w:val="18"/>
    </w:rPr>
  </w:style>
  <w:style w:type="character" w:customStyle="1" w:styleId="23">
    <w:name w:val="页眉 Char"/>
    <w:semiHidden/>
    <w:qFormat/>
    <w:locked/>
    <w:uiPriority w:val="99"/>
    <w:rPr>
      <w:sz w:val="18"/>
    </w:rPr>
  </w:style>
  <w:style w:type="character" w:customStyle="1" w:styleId="24">
    <w:name w:val="Footer Char"/>
    <w:basedOn w:val="10"/>
    <w:semiHidden/>
    <w:qFormat/>
    <w:uiPriority w:val="99"/>
    <w:rPr>
      <w:rFonts w:ascii="Times New Roman" w:hAnsi="Times New Roman"/>
      <w:sz w:val="18"/>
      <w:szCs w:val="18"/>
    </w:rPr>
  </w:style>
  <w:style w:type="character" w:customStyle="1" w:styleId="25">
    <w:name w:val="页脚 Char"/>
    <w:qFormat/>
    <w:locked/>
    <w:uiPriority w:val="99"/>
    <w:rPr>
      <w:sz w:val="18"/>
    </w:rPr>
  </w:style>
  <w:style w:type="character" w:customStyle="1" w:styleId="26">
    <w:name w:val="Body Text Char"/>
    <w:basedOn w:val="10"/>
    <w:semiHidden/>
    <w:qFormat/>
    <w:uiPriority w:val="99"/>
    <w:rPr>
      <w:rFonts w:ascii="Times New Roman" w:hAnsi="Times New Roman"/>
      <w:szCs w:val="24"/>
    </w:rPr>
  </w:style>
  <w:style w:type="character" w:customStyle="1" w:styleId="27">
    <w:name w:val="正文文本 Char"/>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0"/>
    <w:link w:val="14"/>
    <w:qFormat/>
    <w:uiPriority w:val="9"/>
    <w:rPr>
      <w:rFonts w:ascii="Times New Roman" w:hAnsi="Times New Roman"/>
      <w:b/>
      <w:bCs/>
      <w:kern w:val="44"/>
      <w:sz w:val="44"/>
      <w:szCs w:val="44"/>
    </w:rPr>
  </w:style>
  <w:style w:type="character" w:customStyle="1" w:styleId="31">
    <w:name w:val="标题 2 Char"/>
    <w:basedOn w:val="10"/>
    <w:link w:val="15"/>
    <w:qFormat/>
    <w:uiPriority w:val="9"/>
    <w:rPr>
      <w:rFonts w:asciiTheme="majorHAnsi" w:hAnsiTheme="majorHAnsi" w:eastAsiaTheme="majorEastAsia" w:cstheme="majorBidi"/>
      <w:b/>
      <w:bCs/>
      <w:kern w:val="2"/>
      <w:sz w:val="32"/>
      <w:szCs w:val="32"/>
    </w:rPr>
  </w:style>
  <w:style w:type="paragraph" w:customStyle="1" w:styleId="32">
    <w:name w:val="TOC 标题1"/>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10"/>
    <w:semiHidden/>
    <w:qFormat/>
    <w:uiPriority w:val="99"/>
    <w:rPr>
      <w:rFonts w:ascii="Times New Roman" w:hAnsi="Times New Roman"/>
      <w:kern w:val="2"/>
      <w:sz w:val="18"/>
      <w:szCs w:val="18"/>
    </w:rPr>
  </w:style>
  <w:style w:type="character" w:customStyle="1" w:styleId="34">
    <w:name w:val="标题 3 Char"/>
    <w:basedOn w:val="10"/>
    <w:link w:val="16"/>
    <w:qFormat/>
    <w:uiPriority w:val="9"/>
    <w:rPr>
      <w:rFonts w:ascii="Times New Roman" w:hAnsi="Times New Roman"/>
      <w:b/>
      <w:bCs/>
      <w:kern w:val="2"/>
      <w:sz w:val="32"/>
      <w:szCs w:val="32"/>
    </w:rPr>
  </w:style>
  <w:style w:type="paragraph" w:customStyle="1" w:styleId="35">
    <w:name w:val="TOC 标题2"/>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10"/>
    <w:semiHidden/>
    <w:qFormat/>
    <w:uiPriority w:val="99"/>
    <w:rPr>
      <w:rFonts w:ascii="Times New Roman" w:hAnsi="Times New Roman" w:eastAsia="宋体" w:cs="Times New Roman"/>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10"/>
    <w:qFormat/>
    <w:uiPriority w:val="99"/>
    <w:rPr>
      <w:rFonts w:ascii="Times New Roman" w:hAnsi="Times New Roman" w:eastAsia="宋体" w:cs="Times New Roman"/>
      <w:kern w:val="2"/>
      <w:sz w:val="18"/>
      <w:szCs w:val="18"/>
    </w:rPr>
  </w:style>
  <w:style w:type="paragraph" w:customStyle="1" w:styleId="40">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41">
    <w:name w:val="页眉 Char2"/>
    <w:basedOn w:val="10"/>
    <w:link w:val="6"/>
    <w:semiHidden/>
    <w:qFormat/>
    <w:uiPriority w:val="99"/>
    <w:rPr>
      <w:rFonts w:ascii="Times New Roman" w:hAnsi="Times New Roman" w:eastAsia="宋体" w:cs="Times New Roman"/>
      <w:kern w:val="2"/>
      <w:sz w:val="18"/>
      <w:szCs w:val="18"/>
    </w:rPr>
  </w:style>
  <w:style w:type="character" w:customStyle="1" w:styleId="42">
    <w:name w:val="页脚 Char2"/>
    <w:basedOn w:val="10"/>
    <w:link w:val="5"/>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3.xml"/><Relationship Id="rId27" Type="http://schemas.openxmlformats.org/officeDocument/2006/relationships/customXml" Target="../customXml/item12.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收支决算变动图</a:t>
            </a:r>
          </a:p>
        </c:rich>
      </c:tx>
      <c:layout/>
      <c:overlay val="0"/>
      <c:spPr>
        <a:noFill/>
        <a:ln>
          <a:noFill/>
        </a:ln>
        <a:effectLst/>
      </c:spPr>
    </c:title>
    <c:autoTitleDeleted val="0"/>
    <c:plotArea>
      <c:layout/>
      <c:barChart>
        <c:barDir val="col"/>
        <c:grouping val="clustered"/>
        <c:varyColors val="0"/>
        <c:ser>
          <c:idx val="0"/>
          <c:order val="0"/>
          <c:tx>
            <c:strRef>
              <c:f>Sheet1!$B$2</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Sheet1!$A$3:$A$4</c:f>
              <c:strCache>
                <c:ptCount val="2"/>
                <c:pt idx="0">
                  <c:v>收入</c:v>
                </c:pt>
                <c:pt idx="1">
                  <c:v>支出</c:v>
                </c:pt>
              </c:strCache>
            </c:strRef>
          </c:cat>
          <c:val>
            <c:numRef>
              <c:f>Sheet1!$B$3:$B$4</c:f>
              <c:numCache>
                <c:formatCode>General</c:formatCode>
                <c:ptCount val="2"/>
                <c:pt idx="0">
                  <c:v>2032.33</c:v>
                </c:pt>
                <c:pt idx="1">
                  <c:v>2032.33</c:v>
                </c:pt>
              </c:numCache>
            </c:numRef>
          </c:val>
        </c:ser>
        <c:ser>
          <c:idx val="1"/>
          <c:order val="1"/>
          <c:tx>
            <c:strRef>
              <c:f>Sheet1!$C$2</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Sheet1!$A$3:$A$4</c:f>
              <c:strCache>
                <c:ptCount val="2"/>
                <c:pt idx="0">
                  <c:v>收入</c:v>
                </c:pt>
                <c:pt idx="1">
                  <c:v>支出</c:v>
                </c:pt>
              </c:strCache>
            </c:strRef>
          </c:cat>
          <c:val>
            <c:numRef>
              <c:f>Sheet1!$C$3:$C$4</c:f>
              <c:numCache>
                <c:formatCode>General</c:formatCode>
                <c:ptCount val="2"/>
                <c:pt idx="0">
                  <c:v>2320.48</c:v>
                </c:pt>
                <c:pt idx="1">
                  <c:v>2320.48</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Sheet1!$A$3:$A$4</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axId val="459347456"/>
        <c:axId val="459349376"/>
      </c:barChart>
      <c:catAx>
        <c:axId val="459347456"/>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459349376"/>
        <c:crosses val="autoZero"/>
        <c:auto val="1"/>
        <c:lblAlgn val="ctr"/>
        <c:lblOffset val="100"/>
        <c:noMultiLvlLbl val="0"/>
      </c:catAx>
      <c:valAx>
        <c:axId val="459349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9347456"/>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收入决算情况图</a:t>
            </a:r>
          </a:p>
        </c:rich>
      </c:tx>
      <c:layout/>
      <c:overlay val="0"/>
      <c:spPr>
        <a:noFill/>
        <a:ln>
          <a:noFill/>
        </a:ln>
        <a:effectLst/>
      </c:spPr>
    </c:title>
    <c:autoTitleDeleted val="0"/>
    <c:plotArea>
      <c:layout/>
      <c:pieChart>
        <c:varyColors val="1"/>
        <c:ser>
          <c:idx val="0"/>
          <c:order val="0"/>
          <c:tx>
            <c:strRef>
              <c:f>Sheet1!$B$1</c:f>
              <c:strCache>
                <c:ptCount val="1"/>
                <c:pt idx="0">
                  <c:v>收入决算情况</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399318209879911"/>
                  <c:y val="-0.1638160097894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2191.07</a:t>
                    </a:r>
                    <a:endParaRPr lang="en-US" altLang="zh-CN"/>
                  </a:p>
                  <a:p>
                    <a:pPr>
                      <a:defRPr lang="zh-CN" sz="1000" b="1" i="0" u="none" strike="noStrike" kern="1200" baseline="0">
                        <a:solidFill>
                          <a:schemeClr val="lt1"/>
                        </a:solidFill>
                        <a:latin typeface="+mn-lt"/>
                        <a:ea typeface="+mn-ea"/>
                        <a:cs typeface="+mn-cs"/>
                      </a:defRPr>
                    </a:pPr>
                    <a:r>
                      <a:t>94</a:t>
                    </a:r>
                    <a:r>
                      <a:rPr lang="en-US" altLang="zh-CN"/>
                      <a:t>.42</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62625"/>
                      <c:h val="0.161666666666667"/>
                    </c:manualLayout>
                  </c15:layout>
                </c:ext>
              </c:extLst>
            </c:dLbl>
            <c:dLbl>
              <c:idx val="1"/>
              <c:layout>
                <c:manualLayout>
                  <c:x val="0.0219242559051673"/>
                  <c:y val="0.223593167073829"/>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129.42  5.58</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025"/>
                      <c:h val="0.119333333333333"/>
                    </c:manualLayout>
                  </c15:layout>
                </c:ext>
              </c:extLst>
            </c:dLbl>
            <c:dLbl>
              <c:idx val="2"/>
              <c:layout>
                <c:manualLayout>
                  <c:x val="0.0149993502635799"/>
                  <c:y val="0.1416999999985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562435026357991"/>
                  <c:y val="0.064199999998546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一般公共预算财政拨款收入</c:v>
                </c:pt>
                <c:pt idx="1">
                  <c:v>事业收入</c:v>
                </c:pt>
                <c:pt idx="2">
                  <c:v>政府性基金预算财政拨款收入</c:v>
                </c:pt>
                <c:pt idx="3">
                  <c:v>国有资本经营预算财政拨款收入</c:v>
                </c:pt>
              </c:strCache>
            </c:strRef>
          </c:cat>
          <c:val>
            <c:numRef>
              <c:f>Sheet1!$B$2:$B$5</c:f>
              <c:numCache>
                <c:formatCode>General</c:formatCode>
                <c:ptCount val="4"/>
                <c:pt idx="0">
                  <c:v>2191.07</c:v>
                </c:pt>
                <c:pt idx="1">
                  <c:v>129.42</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1602.53</a:t>
                    </a:r>
                    <a:endParaRPr lang="en-US" altLang="zh-CN"/>
                  </a:p>
                  <a:p>
                    <a:pPr>
                      <a:defRPr lang="zh-CN" sz="1000" b="1" i="0" u="none" strike="noStrike" kern="1200" baseline="0">
                        <a:solidFill>
                          <a:schemeClr val="lt1"/>
                        </a:solidFill>
                        <a:latin typeface="+mn-lt"/>
                        <a:ea typeface="+mn-ea"/>
                        <a:cs typeface="+mn-cs"/>
                      </a:defRPr>
                    </a:pPr>
                    <a:r>
                      <a:t>69</a:t>
                    </a:r>
                    <a:r>
                      <a:rPr lang="en-US" altLang="zh-CN"/>
                      <a:t>.06</a:t>
                    </a:r>
                    <a:r>
                      <a:t>%</a:t>
                    </a:r>
                  </a:p>
                </c:rich>
              </c:tx>
              <c:dLblPos val="ctr"/>
              <c:showLegendKey val="0"/>
              <c:showVal val="0"/>
              <c:showCatName val="0"/>
              <c:showSerName val="0"/>
              <c:showPercent val="1"/>
              <c:showBubbleSize val="0"/>
              <c:extLst>
                <c:ext xmlns:c15="http://schemas.microsoft.com/office/drawing/2012/chart" uri="{CE6537A1-D6FC-4f65-9D91-7224C49458BB}">
                  <c15:layout>
                    <c:manualLayout>
                      <c:w val="0.153625"/>
                      <c:h val="0.113333333333333"/>
                    </c:manualLayout>
                  </c15:layout>
                </c:ext>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717.96</a:t>
                    </a:r>
                    <a:endParaRPr lang="en-US" altLang="zh-CN"/>
                  </a:p>
                  <a:p>
                    <a:pPr>
                      <a:defRPr lang="zh-CN" sz="1000" b="1" i="0" u="none" strike="noStrike" kern="1200" baseline="0">
                        <a:solidFill>
                          <a:schemeClr val="lt1"/>
                        </a:solidFill>
                        <a:latin typeface="+mn-lt"/>
                        <a:ea typeface="+mn-ea"/>
                        <a:cs typeface="+mn-cs"/>
                      </a:defRPr>
                    </a:pPr>
                    <a:r>
                      <a:t>3</a:t>
                    </a:r>
                    <a:r>
                      <a:rPr lang="en-US" altLang="zh-CN"/>
                      <a:t>0.94</a:t>
                    </a:r>
                    <a:r>
                      <a:t>%</a:t>
                    </a:r>
                  </a:p>
                </c:rich>
              </c:tx>
              <c:dLblPos val="ctr"/>
              <c:showLegendKey val="0"/>
              <c:showVal val="0"/>
              <c:showCatName val="0"/>
              <c:showSerName val="0"/>
              <c:showPercent val="1"/>
              <c:showBubbleSize val="0"/>
              <c:extLst>
                <c:ext xmlns:c15="http://schemas.microsoft.com/office/drawing/2012/chart" uri="{CE6537A1-D6FC-4f65-9D91-7224C49458BB}">
                  <c15:layout>
                    <c:manualLayout>
                      <c:w val="0.179625"/>
                      <c:h val="0.133"/>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1602.53</c:v>
                </c:pt>
                <c:pt idx="1">
                  <c:v>717.96</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财政拨款收、支决算图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1911.18</c:v>
                </c:pt>
                <c:pt idx="1">
                  <c:v>1911.18</c:v>
                </c:pt>
              </c:numCache>
            </c:numRef>
          </c:val>
        </c:ser>
        <c:ser>
          <c:idx val="1"/>
          <c:order val="1"/>
          <c:tx>
            <c:strRef>
              <c:f>Sheet1!$C$1</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2191.07</c:v>
                </c:pt>
                <c:pt idx="1">
                  <c:v>2191.07</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axId val="499563520"/>
        <c:axId val="468964096"/>
      </c:barChart>
      <c:catAx>
        <c:axId val="499563520"/>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468964096"/>
        <c:crosses val="autoZero"/>
        <c:auto val="1"/>
        <c:lblAlgn val="ctr"/>
        <c:lblOffset val="100"/>
        <c:noMultiLvlLbl val="0"/>
      </c:catAx>
      <c:valAx>
        <c:axId val="468964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9563520"/>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一般公共预算拨款支出决算图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1911.18</c:v>
                </c:pt>
              </c:numCache>
            </c:numRef>
          </c:val>
        </c:ser>
        <c:ser>
          <c:idx val="1"/>
          <c:order val="1"/>
          <c:tx>
            <c:strRef>
              <c:f>Sheet1!$C$1</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2191.07</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axId val="469269888"/>
        <c:axId val="469275776"/>
      </c:barChart>
      <c:catAx>
        <c:axId val="469269888"/>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469275776"/>
        <c:crosses val="autoZero"/>
        <c:auto val="1"/>
        <c:lblAlgn val="ctr"/>
        <c:lblOffset val="100"/>
        <c:noMultiLvlLbl val="0"/>
      </c:catAx>
      <c:valAx>
        <c:axId val="469275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9269888"/>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0.0491356907164985"/>
                  <c:y val="0.148288026839614"/>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510.09</a:t>
                    </a:r>
                    <a:endParaRPr lang="en-US" altLang="zh-CN"/>
                  </a:p>
                  <a:p>
                    <a:pPr>
                      <a:defRPr lang="zh-CN" sz="1000" b="1" i="0" u="none" strike="noStrike" kern="1200" baseline="0">
                        <a:solidFill>
                          <a:schemeClr val="lt1"/>
                        </a:solidFill>
                        <a:latin typeface="+mn-lt"/>
                        <a:ea typeface="+mn-ea"/>
                        <a:cs typeface="+mn-cs"/>
                      </a:defRPr>
                    </a:pPr>
                    <a:r>
                      <a:t>23</a:t>
                    </a:r>
                    <a:r>
                      <a:rPr lang="en-US" altLang="zh-CN"/>
                      <a:t>.28</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994946304485155"/>
                      <c:h val="0.104986012835281"/>
                    </c:manualLayout>
                  </c15:layout>
                </c:ext>
              </c:extLst>
            </c:dLbl>
            <c:dLbl>
              <c:idx val="1"/>
              <c:layout>
                <c:manualLayout>
                  <c:x val="-0.0685301191754957"/>
                  <c:y val="-0.24185209448965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577.1</a:t>
                    </a:r>
                    <a:endParaRPr lang="en-US" altLang="zh-CN"/>
                  </a:p>
                  <a:p>
                    <a:pPr>
                      <a:defRPr lang="zh-CN" sz="1000" b="1" i="0" u="none" strike="noStrike" kern="1200" baseline="0">
                        <a:solidFill>
                          <a:schemeClr val="lt1"/>
                        </a:solidFill>
                        <a:latin typeface="+mn-lt"/>
                        <a:ea typeface="+mn-ea"/>
                        <a:cs typeface="+mn-cs"/>
                      </a:defRPr>
                    </a:pPr>
                    <a:r>
                      <a:t>26</a:t>
                    </a:r>
                    <a:r>
                      <a:rPr lang="en-US" altLang="zh-CN"/>
                      <a:t>.34</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98083807117288"/>
                      <c:h val="0.111239098239263"/>
                    </c:manualLayout>
                  </c15:layout>
                </c:ext>
              </c:extLst>
            </c:dLbl>
            <c:dLbl>
              <c:idx val="2"/>
              <c:layout>
                <c:manualLayout>
                  <c:x val="0.00299844416340409"/>
                  <c:y val="0"/>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4</a:t>
                    </a:r>
                    <a:endParaRPr lang="en-US" altLang="zh-CN"/>
                  </a:p>
                  <a:p>
                    <a:pPr>
                      <a:defRPr lang="zh-CN" sz="1000" b="1" i="0" u="none" strike="noStrike" kern="1200" baseline="0">
                        <a:solidFill>
                          <a:schemeClr val="lt1"/>
                        </a:solidFill>
                        <a:latin typeface="+mn-lt"/>
                        <a:ea typeface="+mn-ea"/>
                        <a:cs typeface="+mn-cs"/>
                      </a:defRPr>
                    </a:pPr>
                    <a:r>
                      <a:rPr lang="en-US" altLang="zh-CN"/>
                      <a:t>0.18</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678037481575068"/>
                      <c:h val="0.0908342932367945"/>
                    </c:manualLayout>
                  </c15:layout>
                </c:ext>
              </c:extLst>
            </c:dLbl>
            <c:dLbl>
              <c:idx val="3"/>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130.32</a:t>
                    </a:r>
                    <a:endParaRPr lang="en-US" altLang="zh-CN"/>
                  </a:p>
                  <a:p>
                    <a:pPr>
                      <a:defRPr lang="zh-CN" sz="1000" b="1" i="0" u="none" strike="noStrike" kern="1200" baseline="0">
                        <a:solidFill>
                          <a:schemeClr val="lt1"/>
                        </a:solidFill>
                        <a:latin typeface="+mn-lt"/>
                        <a:ea typeface="+mn-ea"/>
                        <a:cs typeface="+mn-cs"/>
                      </a:defRPr>
                    </a:pPr>
                    <a:r>
                      <a:rPr lang="en-US" altLang="zh-CN"/>
                      <a:t>5.95</a:t>
                    </a:r>
                    <a:r>
                      <a:t>%</a:t>
                    </a:r>
                  </a:p>
                </c:rich>
              </c:tx>
              <c:dLblPos val="ctr"/>
              <c:showLegendKey val="0"/>
              <c:showVal val="0"/>
              <c:showCatName val="0"/>
              <c:showSerName val="0"/>
              <c:showPercent val="1"/>
              <c:showBubbleSize val="0"/>
              <c:extLst>
                <c:ext xmlns:c15="http://schemas.microsoft.com/office/drawing/2012/chart" uri="{CE6537A1-D6FC-4f65-9D91-7224C49458BB}">
                  <c15:layout>
                    <c:manualLayout>
                      <c:w val="0.0772794272478416"/>
                      <c:h val="0.0901760737205858"/>
                    </c:manualLayout>
                  </c15:layout>
                </c:ext>
              </c:extLst>
            </c:dLbl>
            <c:dLbl>
              <c:idx val="4"/>
              <c:layout>
                <c:manualLayout>
                  <c:x val="0.0577149116556233"/>
                  <c:y val="-0.103952586373174"/>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192.96</a:t>
                    </a:r>
                    <a:endParaRPr lang="en-US" altLang="zh-CN"/>
                  </a:p>
                  <a:p>
                    <a:pPr>
                      <a:defRPr lang="zh-CN" sz="1000" b="1" i="0" u="none" strike="noStrike" kern="1200" baseline="0">
                        <a:solidFill>
                          <a:schemeClr val="lt1"/>
                        </a:solidFill>
                        <a:latin typeface="+mn-lt"/>
                        <a:ea typeface="+mn-ea"/>
                        <a:cs typeface="+mn-cs"/>
                      </a:defRPr>
                    </a:pPr>
                    <a:r>
                      <a:rPr lang="en-US" altLang="zh-CN"/>
                      <a:t>8.81</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09644135607496"/>
                      <c:h val="0.0957709396083594"/>
                    </c:manualLayout>
                  </c15:layout>
                </c:ext>
              </c:extLst>
            </c:dLbl>
            <c:dLbl>
              <c:idx val="5"/>
              <c:layout>
                <c:manualLayout>
                  <c:x val="0.0958442696351541"/>
                  <c:y val="-0.083937987469378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228.34</a:t>
                    </a:r>
                    <a:r>
                      <a:t>1</a:t>
                    </a:r>
                    <a:r>
                      <a:rPr lang="en-US" altLang="zh-CN"/>
                      <a:t>0.42</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761212886923563"/>
                      <c:h val="0.0988974823103505"/>
                    </c:manualLayout>
                  </c15:layout>
                </c:ext>
              </c:extLst>
            </c:dLbl>
            <c:dLbl>
              <c:idx val="6"/>
              <c:layout>
                <c:manualLayout>
                  <c:x val="0.093985297428445"/>
                  <c:y val="0.116685071478162"/>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540.25</a:t>
                    </a:r>
                    <a:endParaRPr lang="en-US" altLang="zh-CN"/>
                  </a:p>
                  <a:p>
                    <a:pPr>
                      <a:defRPr lang="zh-CN" sz="1000" b="1" i="0" u="none" strike="noStrike" kern="1200" baseline="0">
                        <a:solidFill>
                          <a:schemeClr val="lt1"/>
                        </a:solidFill>
                        <a:latin typeface="+mn-lt"/>
                        <a:ea typeface="+mn-ea"/>
                        <a:cs typeface="+mn-cs"/>
                      </a:defRPr>
                    </a:pPr>
                    <a:r>
                      <a:t>2</a:t>
                    </a:r>
                    <a:r>
                      <a:rPr lang="en-US" altLang="zh-CN"/>
                      <a:t>4.66</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27542640555907"/>
                      <c:h val="0.100213921342768"/>
                    </c:manualLayout>
                  </c15:layout>
                </c:ext>
              </c:extLst>
            </c:dLbl>
            <c:dLbl>
              <c:idx val="7"/>
              <c:layout>
                <c:manualLayout>
                  <c:x val="0.00363378591217905"/>
                  <c:y val="0.12147015573382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8</a:t>
                    </a:r>
                    <a:endParaRPr lang="en-US" altLang="zh-CN"/>
                  </a:p>
                  <a:p>
                    <a:pPr>
                      <a:defRPr lang="zh-CN" sz="1000" b="1" i="0" u="none" strike="noStrike" kern="1200" baseline="0">
                        <a:solidFill>
                          <a:schemeClr val="lt1"/>
                        </a:solidFill>
                        <a:latin typeface="+mn-lt"/>
                        <a:ea typeface="+mn-ea"/>
                        <a:cs typeface="+mn-cs"/>
                      </a:defRPr>
                    </a:pPr>
                    <a:r>
                      <a:rPr lang="en-US" altLang="zh-CN"/>
                      <a:t>0.37</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10696988839756"/>
                      <c:h val="0.0954418298502551"/>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Sheet1!$A$2:$A$9</c:f>
              <c:strCache>
                <c:ptCount val="8"/>
                <c:pt idx="0">
                  <c:v>一般公共服务</c:v>
                </c:pt>
                <c:pt idx="1">
                  <c:v>教育支出</c:v>
                </c:pt>
                <c:pt idx="2">
                  <c:v>文化旅游体育与传媒</c:v>
                </c:pt>
                <c:pt idx="3">
                  <c:v>社会保障和就业</c:v>
                </c:pt>
                <c:pt idx="4">
                  <c:v>卫生健康</c:v>
                </c:pt>
                <c:pt idx="5">
                  <c:v>住房保障</c:v>
                </c:pt>
                <c:pt idx="6">
                  <c:v>农林水</c:v>
                </c:pt>
                <c:pt idx="7">
                  <c:v>交通运输</c:v>
                </c:pt>
              </c:strCache>
            </c:strRef>
          </c:cat>
          <c:val>
            <c:numRef>
              <c:f>Sheet1!$B$2:$B$9</c:f>
              <c:numCache>
                <c:formatCode>General</c:formatCode>
                <c:ptCount val="8"/>
                <c:pt idx="0">
                  <c:v>510.09</c:v>
                </c:pt>
                <c:pt idx="1">
                  <c:v>577.1</c:v>
                </c:pt>
                <c:pt idx="2">
                  <c:v>4</c:v>
                </c:pt>
                <c:pt idx="3">
                  <c:v>130.32</c:v>
                </c:pt>
                <c:pt idx="4">
                  <c:v>192.96</c:v>
                </c:pt>
                <c:pt idx="5">
                  <c:v>228.34</c:v>
                </c:pt>
                <c:pt idx="6">
                  <c:v>540.25</c:v>
                </c:pt>
                <c:pt idx="7">
                  <c:v>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7349106711733"/>
          <c:y val="0.016304347826087"/>
        </c:manualLayout>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三公经费财政拨款支出决算结构</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3.19</a:t>
                    </a:r>
                    <a:endParaRPr lang="en-US" altLang="zh-CN"/>
                  </a:p>
                  <a:p>
                    <a:pPr>
                      <a:defRPr lang="zh-CN" sz="1000" b="1" i="0" u="none" strike="noStrike" kern="1200" baseline="0">
                        <a:solidFill>
                          <a:schemeClr val="lt1"/>
                        </a:solidFill>
                        <a:latin typeface="+mn-lt"/>
                        <a:ea typeface="+mn-ea"/>
                        <a:cs typeface="+mn-cs"/>
                      </a:defRPr>
                    </a:pPr>
                    <a:r>
                      <a:t>100%</a:t>
                    </a:r>
                  </a:p>
                </c:rich>
              </c:tx>
              <c:dLblPos val="ctr"/>
              <c:showLegendKey val="0"/>
              <c:showVal val="0"/>
              <c:showCatName val="0"/>
              <c:showSerName val="0"/>
              <c:showPercent val="1"/>
              <c:showBubbleSize val="0"/>
              <c:extLst>
                <c:ext xmlns:c15="http://schemas.microsoft.com/office/drawing/2012/chart" uri="{CE6537A1-D6FC-4f65-9D91-7224C49458BB}">
                  <c15:layout>
                    <c:manualLayout>
                      <c:w val="0.0941574118783196"/>
                      <c:h val="0.104347826086957"/>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Sheet1!$A$2:$A$4</c:f>
              <c:strCache>
                <c:ptCount val="3"/>
                <c:pt idx="0">
                  <c:v>公务接待费</c:v>
                </c:pt>
                <c:pt idx="1">
                  <c:v>因公出国（境）费</c:v>
                </c:pt>
                <c:pt idx="2">
                  <c:v>公务用车购置及运行维护费</c:v>
                </c:pt>
              </c:strCache>
            </c:strRef>
          </c:cat>
          <c:val>
            <c:numRef>
              <c:f>Sheet1!$B$2:$B$4</c:f>
              <c:numCache>
                <c:formatCode>General</c:formatCode>
                <c:ptCount val="3"/>
                <c:pt idx="0">
                  <c:v>3.19</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7</TotalTime>
  <Pages>28</Pages>
  <Words>1620</Words>
  <Characters>9240</Characters>
  <Application>Microsoft Office Word</Application>
  <DocSecurity>0</DocSecurity>
  <Lines>77</Lines>
  <Paragraphs>21</Paragraphs>
  <ScaleCrop>false</ScaleCrop>
  <Company>四川省财政厅</Company>
  <LinksUpToDate>false</LinksUpToDate>
  <CharactersWithSpaces>10839</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王露露.</cp:lastModifiedBy>
  <cp:revision>32</cp:revision>
  <cp:lastPrinted>2022-08-08T09:11:00Z</cp:lastPrinted>
  <dcterms:created xsi:type="dcterms:W3CDTF">2020-08-05T01:49:00Z</dcterms:created>
  <dcterms:modified xsi:type="dcterms:W3CDTF">2022-09-07T02:40:02Z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2022-08-08T09:11:00Z</cp:lastPrinted>
  <dcterms:created xsi:type="dcterms:W3CDTF">2020-08-05T01:49:00Z</dcterms:created>
  <dcterms:modified xsi:type="dcterms:W3CDTF">2023-03-03T03:45:00Z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FB1472A88D104A28B5FB78B2997515BD</vt:lpwstr>
  </property>
</Properties>
</file>

<file path=customXml/item13.xml><?xml version="1.0" encoding="utf-8"?>
<Properties xmlns:vt="http://schemas.openxmlformats.org/officeDocument/2006/docPropsVTypes" xmlns="http://schemas.openxmlformats.org/officeDocument/2006/extended-properties">
  <Template>Normal.dotm</Template>
  <TotalTime>1</TotalTime>
  <Pages>30</Pages>
  <Words>10853</Words>
  <Characters>12516</Characters>
  <Application>WPS Office_11.1.0.12313_F1E327BC-269C-435d-A152-05C5408002CA</Application>
  <DocSecurity>0</DocSecurity>
  <Lines>61</Lines>
  <Paragraphs>17</Paragraphs>
  <Company>四川省财政厅</Company>
  <CharactersWithSpaces>12574</CharactersWithSpaces>
  <AppVersion>14.0000</AppVersion>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FB1472A88D104A28B5FB78B2997515BD</vt:lpwstr>
  </property>
</Properties>
</file>

<file path=customXml/item3.xml><?xml version="1.0" encoding="utf-8"?>
<Properties xmlns="http://schemas.openxmlformats.org/officeDocument/2006/extended-properties" xmlns:vt="http://schemas.openxmlformats.org/officeDocument/2006/docPropsVTypes">
  <Template>Normal.dotm</Template>
  <Company>四川省财政厅</Company>
  <Pages>30</Pages>
  <Words>10853</Words>
  <Characters>12516</Characters>
  <Lines>61</Lines>
  <Paragraphs>17</Paragraphs>
  <TotalTime>1</TotalTime>
  <ScaleCrop>false</ScaleCrop>
  <LinksUpToDate>false</LinksUpToDate>
  <CharactersWithSpaces>12574</CharactersWithSpaces>
  <Application>WPS Office_11.1.0.12313_F1E327BC-269C-435d-A152-05C5408002CA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2022-08-08T09:11:00Z</cp:lastPrinted>
  <dcterms:created xsi:type="dcterms:W3CDTF">2020-08-05T01:49:00Z</dcterms:created>
  <dcterms:modified xsi:type="dcterms:W3CDTF">2023-03-03T03:45:00Z</dcterms:modified>
</cp:coreProperties>
</file>

<file path=customXml/item5.xml><?xml version="1.0" encoding="utf-8"?>
<Properties xmlns:vt="http://schemas.openxmlformats.org/officeDocument/2006/docPropsVTypes" xmlns="http://schemas.openxmlformats.org/officeDocument/2006/extended-properties">
  <Template>Normal</Template>
  <TotalTime>7</TotalTime>
  <Pages>28</Pages>
  <Words>1620</Words>
  <Characters>9240</Characters>
  <Application>Microsoft Office Word</Application>
  <DocSecurity>0</DocSecurity>
  <Lines>77</Lines>
  <Paragraphs>21</Paragraphs>
  <Company>四川省财政厅</Company>
  <CharactersWithSpaces>10839</CharactersWithSpaces>
  <AppVersion>12.0000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FB1472A88D104A28B5FB78B2997515BD</vt:lp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王露露.</cp:lastModifiedBy>
  <cp:lastPrinted>2022-08-08T09:11:00Z</cp:lastPrinted>
  <dcterms:modified xsi:type="dcterms:W3CDTF">2022-09-07T02:40:02Z</dcterms:modified>
  <dc:title>四川省***</dc:title>
  <cp:revision>32</cp:revision>
</cp:core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FB1472A88D104A28B5FB78B2997515BD</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7020-5A2A-4201-AB95-A876F95BFAB5}">
  <ds:schemaRefs/>
</ds:datastoreItem>
</file>

<file path=customXml/itemProps10.xml><?xml version="1.0" encoding="utf-8"?>
<ds:datastoreItem xmlns:ds="http://schemas.openxmlformats.org/officeDocument/2006/customXml" ds:itemID="{DD01E9A3-4419-4BC0-B23D-E955EC1185A6}">
  <ds:schemaRefs/>
</ds:datastoreItem>
</file>

<file path=customXml/itemProps11.xml><?xml version="1.0" encoding="utf-8"?>
<ds:datastoreItem xmlns:ds="http://schemas.openxmlformats.org/officeDocument/2006/customXml" ds:itemID="{595EBABD-F18C-4683-A8CC-CAEC9480D51C}">
  <ds:schemaRefs/>
</ds:datastoreItem>
</file>

<file path=customXml/itemProps12.xml><?xml version="1.0" encoding="utf-8"?>
<ds:datastoreItem xmlns:ds="http://schemas.openxmlformats.org/officeDocument/2006/customXml" ds:itemID="{9EC38376-FBFF-430C-810A-2697EA36F4E2}">
  <ds:schemaRefs/>
</ds:datastoreItem>
</file>

<file path=customXml/itemProps13.xml><?xml version="1.0" encoding="utf-8"?>
<ds:datastoreItem xmlns:ds="http://schemas.openxmlformats.org/officeDocument/2006/customXml" ds:itemID="{82923361-2B8B-4C93-8333-F71B5177425D}">
  <ds:schemaRefs/>
</ds:datastoreItem>
</file>

<file path=customXml/itemProps2.xml><?xml version="1.0" encoding="utf-8"?>
<ds:datastoreItem xmlns:ds="http://schemas.openxmlformats.org/officeDocument/2006/customXml" ds:itemID="{996297D1-F5D3-4EF3-AF72-258C1597D83D}">
  <ds:schemaRefs/>
</ds:datastoreItem>
</file>

<file path=customXml/itemProps3.xml><?xml version="1.0" encoding="utf-8"?>
<ds:datastoreItem xmlns:ds="http://schemas.openxmlformats.org/officeDocument/2006/customXml" ds:itemID="{9A35BBF1-0747-4E9C-A4E1-82AE9D687C80}">
  <ds:schemaRefs/>
</ds:datastoreItem>
</file>

<file path=customXml/itemProps4.xml><?xml version="1.0" encoding="utf-8"?>
<ds:datastoreItem xmlns:ds="http://schemas.openxmlformats.org/officeDocument/2006/customXml" ds:itemID="{B9F898B5-7AA6-4903-B502-21F90D1ADF2B}">
  <ds:schemaRefs/>
</ds:datastoreItem>
</file>

<file path=customXml/itemProps5.xml><?xml version="1.0" encoding="utf-8"?>
<ds:datastoreItem xmlns:ds="http://schemas.openxmlformats.org/officeDocument/2006/customXml" ds:itemID="{FA8ACFC1-A82D-425E-949F-7AD618069881}">
  <ds:schemaRefs/>
</ds:datastoreItem>
</file>

<file path=customXml/itemProps6.xml><?xml version="1.0" encoding="utf-8"?>
<ds:datastoreItem xmlns:ds="http://schemas.openxmlformats.org/officeDocument/2006/customXml" ds:itemID="{DFE7C88A-8B42-40D5-9858-B2646CED10ED}">
  <ds:schemaRefs/>
</ds:datastoreItem>
</file>

<file path=customXml/itemProps7.xml><?xml version="1.0" encoding="utf-8"?>
<ds:datastoreItem xmlns:ds="http://schemas.openxmlformats.org/officeDocument/2006/customXml" ds:itemID="{B5581090-62CF-4C88-9B4F-484162FF6FD0}">
  <ds:schemaRefs/>
</ds:datastoreItem>
</file>

<file path=customXml/itemProps8.xml><?xml version="1.0" encoding="utf-8"?>
<ds:datastoreItem xmlns:ds="http://schemas.openxmlformats.org/officeDocument/2006/customXml" ds:itemID="{DC2F8580-6A55-414E-807D-76FDC5AE046A}">
  <ds:schemaRefs/>
</ds:datastoreItem>
</file>

<file path=customXml/itemProps9.xml><?xml version="1.0" encoding="utf-8"?>
<ds:datastoreItem xmlns:ds="http://schemas.openxmlformats.org/officeDocument/2006/customXml" ds:itemID="{26C3F48B-FF78-44DC-B277-4E430754BE5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8776</Words>
  <Characters>10296</Characters>
  <Lines>76</Lines>
  <Paragraphs>21</Paragraphs>
  <TotalTime>10</TotalTime>
  <ScaleCrop>false</ScaleCrop>
  <LinksUpToDate>false</LinksUpToDate>
  <CharactersWithSpaces>10304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2023-06-18T14:02:01Z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FB1472A88D104A28B5FB78B2997515BD</vt:lpwstr>
  </property>
</Properties>
</file>