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bookmarkStart w:id="159" w:name="_GoBack"/>
      <w:bookmarkEnd w:id="159"/>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1" w:name="_Toc15377425"/>
      <w:bookmarkStart w:id="2" w:name="_Toc18125"/>
      <w:bookmarkStart w:id="3" w:name="_Toc15377193"/>
      <w:bookmarkStart w:id="4" w:name="_Toc7118"/>
      <w:bookmarkStart w:id="5" w:name="_Toc15396475"/>
      <w:bookmarkStart w:id="6" w:name="_Toc15378441"/>
      <w:bookmarkStart w:id="7" w:name="_Toc15396597"/>
      <w:r>
        <w:rPr>
          <w:rFonts w:hint="eastAsia" w:ascii="方正小标宋简体" w:hAnsi="方正小标宋简体" w:eastAsia="方正小标宋简体" w:cs="方正小标宋简体"/>
          <w:sz w:val="52"/>
          <w:szCs w:val="52"/>
        </w:rPr>
        <w:t>2021年度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8" w:name="_Toc17976"/>
      <w:bookmarkStart w:id="9" w:name="_Toc22280"/>
      <w:bookmarkStart w:id="10" w:name="_Toc15378442"/>
      <w:bookmarkStart w:id="11" w:name="_Toc15377194"/>
      <w:bookmarkStart w:id="12" w:name="_Toc15396476"/>
      <w:bookmarkStart w:id="13" w:name="_Toc15377426"/>
      <w:bookmarkStart w:id="14" w:name="_Toc15396598"/>
      <w:r>
        <w:rPr>
          <w:rFonts w:hint="eastAsia" w:ascii="方正小标宋简体" w:hAnsi="方正小标宋简体" w:eastAsia="方正小标宋简体" w:cs="方正小标宋简体"/>
          <w:sz w:val="52"/>
          <w:szCs w:val="52"/>
        </w:rPr>
        <w:t>四川省</w:t>
      </w:r>
      <w:bookmarkEnd w:id="0"/>
      <w:bookmarkStart w:id="15" w:name="_Toc15306268"/>
      <w:r>
        <w:rPr>
          <w:rFonts w:hint="eastAsia" w:ascii="方正小标宋简体" w:hAnsi="方正小标宋简体" w:eastAsia="方正小标宋简体" w:cs="方正小标宋简体"/>
          <w:sz w:val="52"/>
          <w:szCs w:val="52"/>
        </w:rPr>
        <w:t>通江县沙溪镇文胜卫生院</w:t>
      </w:r>
      <w:bookmarkEnd w:id="8"/>
      <w:bookmarkEnd w:id="9"/>
    </w:p>
    <w:p>
      <w:pPr>
        <w:adjustRightInd w:val="0"/>
        <w:snapToGrid w:val="0"/>
        <w:spacing w:line="360" w:lineRule="auto"/>
        <w:jc w:val="center"/>
        <w:outlineLvl w:val="0"/>
        <w:rPr>
          <w:rFonts w:ascii="方正小标宋简体" w:hAnsi="宋体" w:eastAsia="方正小标宋简体"/>
          <w:sz w:val="52"/>
          <w:szCs w:val="52"/>
        </w:rPr>
      </w:pPr>
      <w:bookmarkStart w:id="16" w:name="_Toc10355"/>
      <w:bookmarkStart w:id="17" w:name="_Toc19102"/>
      <w:r>
        <w:rPr>
          <w:rFonts w:hint="eastAsia" w:ascii="方正小标宋简体" w:hAnsi="方正小标宋简体" w:eastAsia="方正小标宋简体" w:cs="方正小标宋简体"/>
          <w:sz w:val="52"/>
          <w:szCs w:val="52"/>
        </w:rPr>
        <w:t>单位决算</w:t>
      </w:r>
      <w:bookmarkEnd w:id="10"/>
      <w:bookmarkEnd w:id="11"/>
      <w:bookmarkEnd w:id="12"/>
      <w:bookmarkEnd w:id="13"/>
      <w:bookmarkEnd w:id="14"/>
      <w:bookmarkEnd w:id="15"/>
      <w:bookmarkEnd w:id="16"/>
      <w:bookmarkEnd w:id="17"/>
    </w:p>
    <w:p>
      <w:pPr>
        <w:widowControl/>
        <w:jc w:val="center"/>
        <w:rPr>
          <w:rFonts w:ascii="黑体" w:hAnsi="黑体" w:eastAsia="黑体"/>
          <w:sz w:val="48"/>
          <w:szCs w:val="48"/>
        </w:rPr>
      </w:pPr>
      <w:r>
        <w:br w:type="page"/>
      </w:r>
      <w:r>
        <w:rPr>
          <w:rFonts w:hint="eastAsia" w:ascii="黑体" w:hAnsi="黑体" w:eastAsia="黑体"/>
          <w:sz w:val="48"/>
          <w:szCs w:val="48"/>
        </w:rPr>
        <w:t>目录</w:t>
      </w:r>
    </w:p>
    <w:p>
      <w:pPr>
        <w:pStyle w:val="19"/>
      </w:pPr>
      <w:r>
        <w:rPr>
          <w:rFonts w:hint="eastAsia"/>
        </w:rPr>
        <w:t>公开时间：2022年8月25日</w:t>
      </w:r>
    </w:p>
    <w:sdt>
      <w:sdtPr>
        <w:rPr>
          <w:rFonts w:ascii="宋体" w:hAnsi="宋体"/>
        </w:rPr>
        <w:id w:val="147471412"/>
        <w:docPartObj>
          <w:docPartGallery w:val="Table of Contents"/>
          <w:docPartUnique/>
        </w:docPartObj>
      </w:sdtPr>
      <w:sdtEndPr>
        <w:rPr>
          <w:rFonts w:hint="eastAsia" w:ascii="Times New Roman" w:hAnsi="Times New Roman"/>
        </w:rPr>
      </w:sdtEndPr>
      <w:sdtContent>
        <w:p>
          <w:pPr>
            <w:pStyle w:val="20"/>
            <w:tabs>
              <w:tab w:val="right" w:leader="dot" w:pos="8306"/>
              <w:tab w:val="clear" w:pos="8296"/>
            </w:tabs>
            <w:rPr>
              <w:rFonts w:ascii="宋体" w:hAnsi="宋体"/>
            </w:rPr>
          </w:pPr>
        </w:p>
        <w:p>
          <w:pPr>
            <w:pStyle w:val="20"/>
            <w:tabs>
              <w:tab w:val="right" w:leader="dot" w:pos="8306"/>
              <w:tab w:val="clear" w:pos="8296"/>
            </w:tabs>
            <w:rPr>
              <w:rFonts w:ascii="仿宋" w:hAnsi="仿宋" w:eastAsia="仿宋"/>
              <w:szCs w:val="32"/>
            </w:rPr>
          </w:pPr>
          <w:r>
            <w:rPr>
              <w:rFonts w:hint="eastAsia"/>
            </w:rPr>
            <w:fldChar w:fldCharType="begin"/>
          </w:r>
          <w:r>
            <w:instrText xml:space="preserve">TOC \o "1-3" \h \u</w:instrText>
          </w:r>
          <w:r>
            <w:rPr>
              <w:rFonts w:hint="eastAsia"/>
            </w:rPr>
            <w:fldChar w:fldCharType="separate"/>
          </w:r>
          <w:r>
            <w:fldChar w:fldCharType="begin"/>
          </w:r>
          <w:r>
            <w:instrText xml:space="preserve"> HYPERLINK \l "_Toc10812" </w:instrText>
          </w:r>
          <w:r>
            <w:fldChar w:fldCharType="separate"/>
          </w:r>
          <w:r>
            <w:rPr>
              <w:rFonts w:hint="eastAsia" w:ascii="仿宋" w:hAnsi="仿宋" w:eastAsia="仿宋"/>
              <w:szCs w:val="32"/>
            </w:rPr>
            <w:t>第一部分单位概况</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_Toc10812 \h </w:instrText>
          </w:r>
          <w:r>
            <w:rPr>
              <w:rFonts w:hint="eastAsia" w:ascii="仿宋" w:hAnsi="仿宋" w:eastAsia="仿宋"/>
              <w:szCs w:val="32"/>
            </w:rPr>
            <w:fldChar w:fldCharType="separate"/>
          </w:r>
          <w:r>
            <w:rPr>
              <w:rFonts w:hint="eastAsia" w:ascii="仿宋" w:hAnsi="仿宋" w:eastAsia="仿宋"/>
              <w:szCs w:val="32"/>
            </w:rPr>
            <w:t>3</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"_Toc7598" </w:instrText>
          </w:r>
          <w:r>
            <w:fldChar w:fldCharType="separate"/>
          </w:r>
          <w:r>
            <w:rPr>
              <w:rFonts w:hint="eastAsia" w:ascii="仿宋" w:hAnsi="仿宋" w:eastAsia="仿宋"/>
              <w:szCs w:val="32"/>
            </w:rPr>
            <w:t>一、职能简介</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_Toc7598 \h </w:instrText>
          </w:r>
          <w:r>
            <w:rPr>
              <w:rFonts w:hint="eastAsia" w:ascii="仿宋" w:hAnsi="仿宋" w:eastAsia="仿宋"/>
              <w:szCs w:val="32"/>
            </w:rPr>
            <w:fldChar w:fldCharType="separate"/>
          </w:r>
          <w:r>
            <w:rPr>
              <w:rFonts w:hint="eastAsia" w:ascii="仿宋" w:hAnsi="仿宋" w:eastAsia="仿宋"/>
              <w:szCs w:val="32"/>
            </w:rPr>
            <w:t>3</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"_Toc2088" </w:instrText>
          </w:r>
          <w:r>
            <w:fldChar w:fldCharType="separate"/>
          </w:r>
          <w:r>
            <w:rPr>
              <w:rFonts w:hint="eastAsia" w:ascii="仿宋" w:hAnsi="仿宋" w:eastAsia="仿宋"/>
              <w:szCs w:val="32"/>
            </w:rPr>
            <w:t>二、2021年重点工作完成情况</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_Toc2088 \h </w:instrText>
          </w:r>
          <w:r>
            <w:rPr>
              <w:rFonts w:hint="eastAsia" w:ascii="仿宋" w:hAnsi="仿宋" w:eastAsia="仿宋"/>
              <w:szCs w:val="32"/>
            </w:rPr>
            <w:fldChar w:fldCharType="separate"/>
          </w:r>
          <w:r>
            <w:rPr>
              <w:rFonts w:hint="eastAsia" w:ascii="仿宋" w:hAnsi="仿宋" w:eastAsia="仿宋"/>
              <w:szCs w:val="32"/>
            </w:rPr>
            <w:t>3</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"_Toc18239" </w:instrText>
          </w:r>
          <w:r>
            <w:fldChar w:fldCharType="separate"/>
          </w:r>
          <w:r>
            <w:rPr>
              <w:rFonts w:hint="eastAsia" w:ascii="仿宋" w:hAnsi="仿宋" w:eastAsia="仿宋"/>
              <w:szCs w:val="32"/>
            </w:rPr>
            <w:t>第二部分 2021年度单位决算情况说明</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_Toc18239 \h </w:instrText>
          </w:r>
          <w:r>
            <w:rPr>
              <w:rFonts w:hint="eastAsia" w:ascii="仿宋" w:hAnsi="仿宋" w:eastAsia="仿宋"/>
              <w:szCs w:val="32"/>
            </w:rPr>
            <w:fldChar w:fldCharType="separate"/>
          </w:r>
          <w:r>
            <w:rPr>
              <w:rFonts w:hint="eastAsia" w:ascii="仿宋" w:hAnsi="仿宋" w:eastAsia="仿宋"/>
              <w:szCs w:val="32"/>
            </w:rPr>
            <w:t>4</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"_Toc26524" </w:instrText>
          </w:r>
          <w:r>
            <w:fldChar w:fldCharType="separate"/>
          </w:r>
          <w:r>
            <w:rPr>
              <w:rFonts w:ascii="仿宋" w:hAnsi="仿宋" w:eastAsia="仿宋"/>
              <w:szCs w:val="32"/>
            </w:rPr>
            <w:t>一、</w:t>
          </w:r>
          <w:r>
            <w:rPr>
              <w:rFonts w:hint="eastAsia" w:ascii="仿宋" w:hAnsi="仿宋" w:eastAsia="仿宋"/>
              <w:szCs w:val="32"/>
            </w:rPr>
            <w:t>收入支出决算总体情况说明</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_Toc26524 \h </w:instrText>
          </w:r>
          <w:r>
            <w:rPr>
              <w:rFonts w:hint="eastAsia" w:ascii="仿宋" w:hAnsi="仿宋" w:eastAsia="仿宋"/>
              <w:szCs w:val="32"/>
            </w:rPr>
            <w:fldChar w:fldCharType="separate"/>
          </w:r>
          <w:r>
            <w:rPr>
              <w:rFonts w:hint="eastAsia" w:ascii="仿宋" w:hAnsi="仿宋" w:eastAsia="仿宋"/>
              <w:szCs w:val="32"/>
            </w:rPr>
            <w:t>4</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"_Toc8716" </w:instrText>
          </w:r>
          <w:r>
            <w:fldChar w:fldCharType="separate"/>
          </w:r>
          <w:r>
            <w:rPr>
              <w:rFonts w:ascii="仿宋" w:hAnsi="仿宋" w:eastAsia="仿宋"/>
              <w:szCs w:val="32"/>
            </w:rPr>
            <w:t>二、</w:t>
          </w:r>
          <w:r>
            <w:rPr>
              <w:rFonts w:hint="eastAsia" w:ascii="仿宋" w:hAnsi="仿宋" w:eastAsia="仿宋"/>
              <w:szCs w:val="32"/>
            </w:rPr>
            <w:t>收入决算情况说明</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_Toc8716 \h </w:instrText>
          </w:r>
          <w:r>
            <w:rPr>
              <w:rFonts w:hint="eastAsia" w:ascii="仿宋" w:hAnsi="仿宋" w:eastAsia="仿宋"/>
              <w:szCs w:val="32"/>
            </w:rPr>
            <w:fldChar w:fldCharType="separate"/>
          </w:r>
          <w:r>
            <w:rPr>
              <w:rFonts w:hint="eastAsia" w:ascii="仿宋" w:hAnsi="仿宋" w:eastAsia="仿宋"/>
              <w:szCs w:val="32"/>
            </w:rPr>
            <w:t>4</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"_Toc18483" </w:instrText>
          </w:r>
          <w:r>
            <w:fldChar w:fldCharType="separate"/>
          </w:r>
          <w:r>
            <w:rPr>
              <w:rFonts w:ascii="仿宋" w:hAnsi="仿宋" w:eastAsia="仿宋"/>
              <w:szCs w:val="32"/>
            </w:rPr>
            <w:t>三、</w:t>
          </w:r>
          <w:r>
            <w:rPr>
              <w:rFonts w:hint="eastAsia" w:ascii="仿宋" w:hAnsi="仿宋" w:eastAsia="仿宋"/>
              <w:szCs w:val="32"/>
            </w:rPr>
            <w:t>支出决算情况说明</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_Toc18483 \h </w:instrText>
          </w:r>
          <w:r>
            <w:rPr>
              <w:rFonts w:hint="eastAsia" w:ascii="仿宋" w:hAnsi="仿宋" w:eastAsia="仿宋"/>
              <w:szCs w:val="32"/>
            </w:rPr>
            <w:fldChar w:fldCharType="separate"/>
          </w:r>
          <w:r>
            <w:rPr>
              <w:rFonts w:hint="eastAsia" w:ascii="仿宋" w:hAnsi="仿宋" w:eastAsia="仿宋"/>
              <w:szCs w:val="32"/>
            </w:rPr>
            <w:t>5</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"_Toc31316" </w:instrText>
          </w:r>
          <w:r>
            <w:fldChar w:fldCharType="separate"/>
          </w:r>
          <w:r>
            <w:rPr>
              <w:rFonts w:hint="eastAsia" w:ascii="仿宋" w:hAnsi="仿宋" w:eastAsia="仿宋"/>
              <w:szCs w:val="32"/>
            </w:rPr>
            <w:t>四、财政拨款收入支出决算总体情况说明</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_Toc31316 \h </w:instrText>
          </w:r>
          <w:r>
            <w:rPr>
              <w:rFonts w:hint="eastAsia" w:ascii="仿宋" w:hAnsi="仿宋" w:eastAsia="仿宋"/>
              <w:szCs w:val="32"/>
            </w:rPr>
            <w:fldChar w:fldCharType="separate"/>
          </w:r>
          <w:r>
            <w:rPr>
              <w:rFonts w:hint="eastAsia" w:ascii="仿宋" w:hAnsi="仿宋" w:eastAsia="仿宋"/>
              <w:szCs w:val="32"/>
            </w:rPr>
            <w:t>5</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"_Toc29778" </w:instrText>
          </w:r>
          <w:r>
            <w:fldChar w:fldCharType="separate"/>
          </w:r>
          <w:r>
            <w:rPr>
              <w:rFonts w:hint="eastAsia" w:ascii="仿宋" w:hAnsi="仿宋" w:eastAsia="仿宋"/>
              <w:szCs w:val="32"/>
            </w:rPr>
            <w:t>五、一般公共预算财政拨款支出决算情况说明</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_Toc29778 \h </w:instrText>
          </w:r>
          <w:r>
            <w:rPr>
              <w:rFonts w:hint="eastAsia" w:ascii="仿宋" w:hAnsi="仿宋" w:eastAsia="仿宋"/>
              <w:szCs w:val="32"/>
            </w:rPr>
            <w:fldChar w:fldCharType="separate"/>
          </w:r>
          <w:r>
            <w:rPr>
              <w:rFonts w:hint="eastAsia" w:ascii="仿宋" w:hAnsi="仿宋" w:eastAsia="仿宋"/>
              <w:szCs w:val="32"/>
            </w:rPr>
            <w:t>6</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"_Toc17728" </w:instrText>
          </w:r>
          <w:r>
            <w:fldChar w:fldCharType="separate"/>
          </w:r>
          <w:r>
            <w:rPr>
              <w:rFonts w:hint="eastAsia" w:ascii="仿宋" w:hAnsi="仿宋" w:eastAsia="仿宋"/>
              <w:szCs w:val="32"/>
            </w:rPr>
            <w:t>六、一般公共预算财政拨款基本支出决算情况说明</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_Toc17728 \h </w:instrText>
          </w:r>
          <w:r>
            <w:rPr>
              <w:rFonts w:hint="eastAsia" w:ascii="仿宋" w:hAnsi="仿宋" w:eastAsia="仿宋"/>
              <w:szCs w:val="32"/>
            </w:rPr>
            <w:fldChar w:fldCharType="separate"/>
          </w:r>
          <w:r>
            <w:rPr>
              <w:rFonts w:hint="eastAsia" w:ascii="仿宋" w:hAnsi="仿宋" w:eastAsia="仿宋"/>
              <w:szCs w:val="32"/>
            </w:rPr>
            <w:t>7</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"_Toc27560" </w:instrText>
          </w:r>
          <w:r>
            <w:fldChar w:fldCharType="separate"/>
          </w:r>
          <w:r>
            <w:rPr>
              <w:rFonts w:hint="eastAsia" w:ascii="仿宋" w:hAnsi="仿宋" w:eastAsia="仿宋"/>
              <w:szCs w:val="32"/>
            </w:rPr>
            <w:t>七、“三公”经费财政拨款支出决算情况说明</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_Toc27560 \h </w:instrText>
          </w:r>
          <w:r>
            <w:rPr>
              <w:rFonts w:hint="eastAsia" w:ascii="仿宋" w:hAnsi="仿宋" w:eastAsia="仿宋"/>
              <w:szCs w:val="32"/>
            </w:rPr>
            <w:fldChar w:fldCharType="separate"/>
          </w:r>
          <w:r>
            <w:rPr>
              <w:rFonts w:hint="eastAsia" w:ascii="仿宋" w:hAnsi="仿宋" w:eastAsia="仿宋"/>
              <w:szCs w:val="32"/>
            </w:rPr>
            <w:t>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"_Toc23684" </w:instrText>
          </w:r>
          <w:r>
            <w:fldChar w:fldCharType="separate"/>
          </w:r>
          <w:r>
            <w:rPr>
              <w:rFonts w:hint="eastAsia" w:ascii="仿宋" w:hAnsi="仿宋" w:eastAsia="仿宋"/>
              <w:szCs w:val="32"/>
            </w:rPr>
            <w:t>八、政府性基金预算支出决算情况说明</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_Toc23684 \h </w:instrText>
          </w:r>
          <w:r>
            <w:rPr>
              <w:rFonts w:hint="eastAsia" w:ascii="仿宋" w:hAnsi="仿宋" w:eastAsia="仿宋"/>
              <w:szCs w:val="32"/>
            </w:rPr>
            <w:fldChar w:fldCharType="separate"/>
          </w:r>
          <w:r>
            <w:rPr>
              <w:rFonts w:hint="eastAsia" w:ascii="仿宋" w:hAnsi="仿宋" w:eastAsia="仿宋"/>
              <w:szCs w:val="32"/>
            </w:rPr>
            <w:t>9</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"_Toc5679" </w:instrText>
          </w:r>
          <w:r>
            <w:fldChar w:fldCharType="separate"/>
          </w:r>
          <w:r>
            <w:rPr>
              <w:rFonts w:hint="eastAsia" w:ascii="仿宋" w:hAnsi="仿宋" w:eastAsia="仿宋"/>
              <w:szCs w:val="32"/>
            </w:rPr>
            <w:t>九、国有资本经营预算支出决算情况说明</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_Toc5679 \h </w:instrText>
          </w:r>
          <w:r>
            <w:rPr>
              <w:rFonts w:hint="eastAsia" w:ascii="仿宋" w:hAnsi="仿宋" w:eastAsia="仿宋"/>
              <w:szCs w:val="32"/>
            </w:rPr>
            <w:fldChar w:fldCharType="separate"/>
          </w:r>
          <w:r>
            <w:rPr>
              <w:rFonts w:hint="eastAsia" w:ascii="仿宋" w:hAnsi="仿宋" w:eastAsia="仿宋"/>
              <w:szCs w:val="32"/>
            </w:rPr>
            <w:t>9</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"_Toc11303" </w:instrText>
          </w:r>
          <w:r>
            <w:fldChar w:fldCharType="separate"/>
          </w:r>
          <w:r>
            <w:rPr>
              <w:rFonts w:hint="eastAsia" w:ascii="仿宋" w:hAnsi="仿宋" w:eastAsia="仿宋"/>
              <w:szCs w:val="32"/>
            </w:rPr>
            <w:t>十、其他重要事项的情况说明</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_Toc11303 \h </w:instrText>
          </w:r>
          <w:r>
            <w:rPr>
              <w:rFonts w:hint="eastAsia" w:ascii="仿宋" w:hAnsi="仿宋" w:eastAsia="仿宋"/>
              <w:szCs w:val="32"/>
            </w:rPr>
            <w:fldChar w:fldCharType="separate"/>
          </w:r>
          <w:r>
            <w:rPr>
              <w:rFonts w:hint="eastAsia" w:ascii="仿宋" w:hAnsi="仿宋" w:eastAsia="仿宋"/>
              <w:szCs w:val="32"/>
            </w:rPr>
            <w:t>9</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"_Toc10852" </w:instrText>
          </w:r>
          <w:r>
            <w:fldChar w:fldCharType="separate"/>
          </w:r>
          <w:r>
            <w:rPr>
              <w:rFonts w:hint="eastAsia" w:ascii="仿宋" w:hAnsi="仿宋" w:eastAsia="仿宋"/>
              <w:szCs w:val="32"/>
            </w:rPr>
            <w:t>第三部分名词解释</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_Toc10852 \h </w:instrText>
          </w:r>
          <w:r>
            <w:rPr>
              <w:rFonts w:hint="eastAsia" w:ascii="仿宋" w:hAnsi="仿宋" w:eastAsia="仿宋"/>
              <w:szCs w:val="32"/>
            </w:rPr>
            <w:fldChar w:fldCharType="separate"/>
          </w:r>
          <w:r>
            <w:rPr>
              <w:rFonts w:hint="eastAsia" w:ascii="仿宋" w:hAnsi="仿宋" w:eastAsia="仿宋"/>
              <w:szCs w:val="32"/>
            </w:rPr>
            <w:t>10</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"_Toc31549" </w:instrText>
          </w:r>
          <w:r>
            <w:fldChar w:fldCharType="separate"/>
          </w:r>
          <w:r>
            <w:rPr>
              <w:rFonts w:hint="eastAsia" w:ascii="仿宋" w:hAnsi="仿宋" w:eastAsia="仿宋"/>
              <w:szCs w:val="32"/>
            </w:rPr>
            <w:t>第四部分附件</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_Toc31549 \h </w:instrText>
          </w:r>
          <w:r>
            <w:rPr>
              <w:rFonts w:hint="eastAsia" w:ascii="仿宋" w:hAnsi="仿宋" w:eastAsia="仿宋"/>
              <w:szCs w:val="32"/>
            </w:rPr>
            <w:fldChar w:fldCharType="separate"/>
          </w:r>
          <w:r>
            <w:rPr>
              <w:rFonts w:hint="eastAsia" w:ascii="仿宋" w:hAnsi="仿宋" w:eastAsia="仿宋"/>
              <w:szCs w:val="32"/>
            </w:rPr>
            <w:t>15</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"_Toc25348" </w:instrText>
          </w:r>
          <w:r>
            <w:fldChar w:fldCharType="separate"/>
          </w:r>
          <w:r>
            <w:rPr>
              <w:rFonts w:hint="eastAsia" w:ascii="仿宋" w:hAnsi="仿宋" w:eastAsia="仿宋"/>
              <w:szCs w:val="32"/>
            </w:rPr>
            <w:t>第五部分附表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_Toc25348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"_Toc13095" </w:instrText>
          </w:r>
          <w:r>
            <w:fldChar w:fldCharType="separate"/>
          </w:r>
          <w:r>
            <w:rPr>
              <w:rFonts w:hint="eastAsia" w:ascii="仿宋" w:hAnsi="仿宋" w:eastAsia="仿宋"/>
              <w:szCs w:val="32"/>
            </w:rPr>
            <w:t>一、收入支出决算总表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_Toc13095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"_Toc10503" </w:instrText>
          </w:r>
          <w:r>
            <w:fldChar w:fldCharType="separate"/>
          </w:r>
          <w:r>
            <w:rPr>
              <w:rFonts w:hint="eastAsia" w:ascii="仿宋" w:hAnsi="仿宋" w:eastAsia="仿宋"/>
              <w:szCs w:val="32"/>
            </w:rPr>
            <w:t>二、收入决算表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_Toc10503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"_Toc24186" </w:instrText>
          </w:r>
          <w:r>
            <w:fldChar w:fldCharType="separate"/>
          </w:r>
          <w:r>
            <w:rPr>
              <w:rFonts w:hint="eastAsia" w:ascii="仿宋" w:hAnsi="仿宋" w:eastAsia="仿宋"/>
              <w:szCs w:val="32"/>
            </w:rPr>
            <w:t>三、支出决算表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_Toc24186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"_Toc23323" </w:instrText>
          </w:r>
          <w:r>
            <w:fldChar w:fldCharType="separate"/>
          </w:r>
          <w:r>
            <w:rPr>
              <w:rFonts w:hint="eastAsia" w:ascii="仿宋" w:hAnsi="仿宋" w:eastAsia="仿宋"/>
              <w:szCs w:val="32"/>
            </w:rPr>
            <w:t>四、财政拨款收入支出决算总表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_Toc23323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"_Toc10177" </w:instrText>
          </w:r>
          <w:r>
            <w:fldChar w:fldCharType="separate"/>
          </w:r>
          <w:r>
            <w:rPr>
              <w:rFonts w:hint="eastAsia" w:ascii="仿宋" w:hAnsi="仿宋" w:eastAsia="仿宋"/>
              <w:szCs w:val="32"/>
            </w:rPr>
            <w:t>五、财政拨款支出决算明细表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_Toc10177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"_Toc28130" </w:instrText>
          </w:r>
          <w:r>
            <w:fldChar w:fldCharType="separate"/>
          </w:r>
          <w:r>
            <w:rPr>
              <w:rFonts w:hint="eastAsia" w:ascii="仿宋" w:hAnsi="仿宋" w:eastAsia="仿宋"/>
              <w:szCs w:val="32"/>
            </w:rPr>
            <w:t>六、一般公共预算财政拨款支出决算表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_Toc28130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"_Toc31795" </w:instrText>
          </w:r>
          <w:r>
            <w:fldChar w:fldCharType="separate"/>
          </w:r>
          <w:r>
            <w:rPr>
              <w:rFonts w:hint="eastAsia" w:ascii="仿宋" w:hAnsi="仿宋" w:eastAsia="仿宋"/>
              <w:szCs w:val="32"/>
            </w:rPr>
            <w:t>七、一般公共预算财政拨款支出决算明细表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_Toc31795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"_Toc16472" </w:instrText>
          </w:r>
          <w:r>
            <w:fldChar w:fldCharType="separate"/>
          </w:r>
          <w:r>
            <w:rPr>
              <w:rFonts w:hint="eastAsia" w:ascii="仿宋" w:hAnsi="仿宋" w:eastAsia="仿宋"/>
              <w:szCs w:val="32"/>
            </w:rPr>
            <w:t>八、一般公共预算财政拨款基本支出决算表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_Toc16472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"_Toc13070" </w:instrText>
          </w:r>
          <w:r>
            <w:fldChar w:fldCharType="separate"/>
          </w:r>
          <w:r>
            <w:rPr>
              <w:rFonts w:hint="eastAsia" w:ascii="仿宋" w:hAnsi="仿宋" w:eastAsia="仿宋"/>
              <w:szCs w:val="32"/>
            </w:rPr>
            <w:t>九、一般公共预算财政拨款项目支出决算表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_Toc13070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"_Toc14377" </w:instrText>
          </w:r>
          <w:r>
            <w:fldChar w:fldCharType="separate"/>
          </w:r>
          <w:r>
            <w:rPr>
              <w:rFonts w:hint="eastAsia" w:ascii="仿宋" w:hAnsi="仿宋" w:eastAsia="仿宋"/>
              <w:szCs w:val="32"/>
            </w:rPr>
            <w:t>十、一般公共预算财政拨款“三公”经费支出决算表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_Toc14377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"_Toc277" </w:instrText>
          </w:r>
          <w:r>
            <w:fldChar w:fldCharType="separate"/>
          </w:r>
          <w:r>
            <w:rPr>
              <w:rFonts w:hint="eastAsia" w:ascii="仿宋" w:hAnsi="仿宋" w:eastAsia="仿宋"/>
              <w:szCs w:val="32"/>
            </w:rPr>
            <w:t>十一、政府性基金预算财政拨款收入支出决算表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_Toc277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rPr>
              <w:rFonts w:ascii="仿宋" w:hAnsi="仿宋" w:eastAsia="仿宋"/>
              <w:szCs w:val="32"/>
            </w:rPr>
          </w:pPr>
          <w:r>
            <w:fldChar w:fldCharType="begin"/>
          </w:r>
          <w:r>
            <w:instrText xml:space="preserve"> HYPERLINK \l "_Toc3527" </w:instrText>
          </w:r>
          <w:r>
            <w:fldChar w:fldCharType="separate"/>
          </w:r>
          <w:r>
            <w:rPr>
              <w:rFonts w:hint="eastAsia" w:ascii="仿宋" w:hAnsi="仿宋" w:eastAsia="仿宋"/>
              <w:szCs w:val="32"/>
            </w:rPr>
            <w:t>十二、政府性基金预算财政拨款“三公”经费支出决算表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_Toc3527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pPr>
          <w:r>
            <w:fldChar w:fldCharType="begin"/>
          </w:r>
          <w:r>
            <w:instrText xml:space="preserve"> HYPERLINK \l "_Toc8386" </w:instrText>
          </w:r>
          <w:r>
            <w:fldChar w:fldCharType="separate"/>
          </w:r>
          <w:r>
            <w:rPr>
              <w:rFonts w:hint="eastAsia" w:ascii="仿宋" w:hAnsi="仿宋" w:eastAsia="仿宋"/>
              <w:szCs w:val="32"/>
            </w:rPr>
            <w:t>十三、国有资本经营预算财政拨款收入支出决算表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_Toc8386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pPr>
            <w:pStyle w:val="20"/>
            <w:tabs>
              <w:tab w:val="right" w:leader="dot" w:pos="8306"/>
              <w:tab w:val="clear" w:pos="8296"/>
            </w:tabs>
          </w:pPr>
          <w:r>
            <w:fldChar w:fldCharType="begin"/>
          </w:r>
          <w:r>
            <w:instrText xml:space="preserve"> HYPERLINK \l "_Toc11854" </w:instrText>
          </w:r>
          <w:r>
            <w:fldChar w:fldCharType="separate"/>
          </w:r>
          <w:r>
            <w:rPr>
              <w:rFonts w:hint="eastAsia" w:ascii="仿宋" w:hAnsi="仿宋" w:eastAsia="仿宋"/>
              <w:szCs w:val="32"/>
            </w:rPr>
            <w:t>十四、国有资本经营预算财政拨款支出决算表</w:t>
          </w:r>
          <w:r>
            <w:rPr>
              <w:rFonts w:hint="eastAsia" w:ascii="仿宋" w:hAnsi="仿宋" w:eastAsia="仿宋"/>
              <w:szCs w:val="32"/>
            </w:rPr>
            <w:tab/>
          </w:r>
          <w:r>
            <w:rPr>
              <w:rFonts w:hint="eastAsia" w:ascii="仿宋" w:hAnsi="仿宋" w:eastAsia="仿宋"/>
              <w:szCs w:val="32"/>
            </w:rPr>
            <w:fldChar w:fldCharType="begin"/>
          </w:r>
          <w:r>
            <w:rPr>
              <w:rFonts w:hint="eastAsia" w:ascii="仿宋" w:hAnsi="仿宋" w:eastAsia="仿宋"/>
              <w:szCs w:val="32"/>
            </w:rPr>
            <w:instrText xml:space="preserve"> PAGEREF _Toc11854 \h </w:instrText>
          </w:r>
          <w:r>
            <w:rPr>
              <w:rFonts w:hint="eastAsia" w:ascii="仿宋" w:hAnsi="仿宋" w:eastAsia="仿宋"/>
              <w:szCs w:val="32"/>
            </w:rPr>
            <w:fldChar w:fldCharType="separate"/>
          </w:r>
          <w:r>
            <w:rPr>
              <w:rFonts w:hint="eastAsia" w:ascii="仿宋" w:hAnsi="仿宋" w:eastAsia="仿宋"/>
              <w:szCs w:val="32"/>
            </w:rPr>
            <w:t>18</w:t>
          </w:r>
          <w:r>
            <w:rPr>
              <w:rFonts w:hint="eastAsia" w:ascii="仿宋" w:hAnsi="仿宋" w:eastAsia="仿宋"/>
              <w:szCs w:val="32"/>
            </w:rPr>
            <w:fldChar w:fldCharType="end"/>
          </w:r>
          <w:r>
            <w:rPr>
              <w:rFonts w:hint="eastAsia" w:ascii="仿宋" w:hAnsi="仿宋" w:eastAsia="仿宋"/>
              <w:szCs w:val="32"/>
            </w:rPr>
            <w:fldChar w:fldCharType="end"/>
          </w:r>
        </w:p>
        <w:p>
          <w:r>
            <w:rPr>
              <w:rFonts w:hint="eastAsia"/>
            </w:rPr>
            <w:fldChar w:fldCharType="end"/>
          </w:r>
        </w:p>
      </w:sdtContent>
    </w:sdt>
    <w:p>
      <w:pPr>
        <w:pStyle w:val="13"/>
        <w:jc w:val="center"/>
        <w:rPr>
          <w:rFonts w:ascii="黑体" w:eastAsia="黑体"/>
          <w:sz w:val="32"/>
          <w:szCs w:val="32"/>
        </w:rPr>
      </w:pPr>
      <w:bookmarkStart w:id="18" w:name="_Toc10812"/>
      <w:bookmarkStart w:id="19" w:name="_Toc15396599"/>
      <w:bookmarkStart w:id="20" w:name="_Toc23230"/>
      <w:bookmarkStart w:id="21" w:name="_Toc15377196"/>
      <w:r>
        <w:rPr>
          <w:rFonts w:hint="eastAsia" w:ascii="黑体" w:hAnsi="黑体" w:eastAsia="黑体"/>
          <w:b w:val="0"/>
        </w:rPr>
        <w:t>第一部分单位</w:t>
      </w:r>
      <w:r>
        <w:rPr>
          <w:rStyle w:val="29"/>
          <w:rFonts w:hint="eastAsia" w:ascii="黑体" w:hAnsi="黑体" w:eastAsia="黑体"/>
          <w:b w:val="0"/>
          <w:bCs w:val="0"/>
        </w:rPr>
        <w:t>概况</w:t>
      </w:r>
      <w:bookmarkEnd w:id="18"/>
      <w:bookmarkEnd w:id="19"/>
      <w:bookmarkEnd w:id="20"/>
      <w:bookmarkEnd w:id="21"/>
    </w:p>
    <w:p>
      <w:pPr>
        <w:pStyle w:val="14"/>
        <w:spacing w:before="0" w:after="0" w:line="560" w:lineRule="exact"/>
        <w:ind w:firstLine="640" w:firstLineChars="200"/>
        <w:rPr>
          <w:rStyle w:val="30"/>
          <w:rFonts w:ascii="黑体" w:hAnsi="黑体" w:eastAsia="黑体"/>
          <w:b w:val="0"/>
          <w:bCs w:val="0"/>
        </w:rPr>
      </w:pPr>
      <w:bookmarkStart w:id="22" w:name="_Toc2457"/>
      <w:bookmarkStart w:id="23" w:name="_Toc7598"/>
      <w:bookmarkStart w:id="24" w:name="_Toc15377197"/>
      <w:bookmarkStart w:id="25" w:name="_Toc15396600"/>
      <w:r>
        <w:rPr>
          <w:rStyle w:val="30"/>
          <w:rFonts w:hint="eastAsia" w:ascii="黑体" w:hAnsi="黑体" w:eastAsia="黑体"/>
          <w:b w:val="0"/>
          <w:bCs w:val="0"/>
        </w:rPr>
        <w:t>一、职能简介</w:t>
      </w:r>
      <w:bookmarkEnd w:id="22"/>
      <w:bookmarkEnd w:id="23"/>
    </w:p>
    <w:p>
      <w:pPr>
        <w:spacing w:line="560" w:lineRule="exact"/>
        <w:ind w:firstLine="640" w:firstLineChars="200"/>
      </w:pPr>
      <w:r>
        <w:rPr>
          <w:rFonts w:hint="eastAsia" w:ascii="宋体" w:hAnsi="宋体" w:eastAsia="仿宋_GB2312" w:cs="宋体"/>
          <w:color w:val="000000"/>
          <w:kern w:val="0"/>
          <w:sz w:val="32"/>
          <w:szCs w:val="32"/>
        </w:rPr>
        <w:t>负责辖区内常见病、多发病的诊治、护理、院前急救、巡回医疗，辖区内疾病控制，妇幼保健，健康教育，计划免疫工作，承担乡村医生、卫生员和接生员业务培训与技术指导，负责初级卫生保健的规划实施，新型农村合作医疗的组织与管理，卫生监督与卫生信息的管理工作。</w:t>
      </w:r>
    </w:p>
    <w:p>
      <w:pPr>
        <w:pStyle w:val="14"/>
        <w:spacing w:before="0" w:after="0" w:line="560" w:lineRule="exact"/>
        <w:ind w:firstLine="640" w:firstLineChars="200"/>
        <w:rPr>
          <w:rFonts w:ascii="黑体" w:hAnsi="黑体" w:eastAsia="黑体"/>
          <w:b w:val="0"/>
        </w:rPr>
      </w:pPr>
      <w:bookmarkStart w:id="26" w:name="_Toc31174"/>
      <w:bookmarkStart w:id="27" w:name="_Toc2088"/>
      <w:r>
        <w:rPr>
          <w:rFonts w:hint="eastAsia" w:ascii="黑体" w:hAnsi="黑体" w:eastAsia="黑体"/>
          <w:b w:val="0"/>
        </w:rPr>
        <w:t>二、2021年重点工作</w:t>
      </w:r>
      <w:bookmarkEnd w:id="24"/>
      <w:bookmarkEnd w:id="25"/>
      <w:r>
        <w:rPr>
          <w:rFonts w:hint="eastAsia" w:ascii="黑体" w:hAnsi="黑体" w:eastAsia="黑体"/>
          <w:b w:val="0"/>
        </w:rPr>
        <w:t>完成情况</w:t>
      </w:r>
      <w:bookmarkEnd w:id="26"/>
      <w:bookmarkEnd w:id="27"/>
    </w:p>
    <w:p>
      <w:pPr>
        <w:widowControl/>
        <w:numPr>
          <w:ilvl w:val="0"/>
          <w:numId w:val="1"/>
        </w:numPr>
        <w:spacing w:line="560" w:lineRule="exact"/>
        <w:ind w:firstLine="643" w:firstLineChars="200"/>
        <w:jc w:val="left"/>
        <w:rPr>
          <w:rFonts w:ascii="仿宋" w:hAnsi="仿宋" w:eastAsia="仿宋" w:cs="仿宋"/>
          <w:bCs/>
          <w:color w:val="000000"/>
          <w:kern w:val="0"/>
          <w:sz w:val="32"/>
          <w:szCs w:val="32"/>
        </w:rPr>
      </w:pPr>
      <w:r>
        <w:rPr>
          <w:rFonts w:hint="eastAsia" w:ascii="楷体" w:hAnsi="楷体" w:eastAsia="楷体" w:cs="楷体"/>
          <w:b/>
          <w:kern w:val="0"/>
          <w:sz w:val="32"/>
          <w:szCs w:val="32"/>
        </w:rPr>
        <w:t>基本医疗费</w:t>
      </w:r>
      <w:r>
        <w:rPr>
          <w:rFonts w:hint="eastAsia" w:ascii="黑体" w:hAnsi="宋体" w:eastAsia="黑体" w:cs="黑体"/>
          <w:b/>
          <w:color w:val="000000"/>
          <w:kern w:val="0"/>
          <w:sz w:val="32"/>
          <w:szCs w:val="32"/>
        </w:rPr>
        <w:t>：</w:t>
      </w:r>
      <w:r>
        <w:rPr>
          <w:rFonts w:hint="eastAsia" w:ascii="仿宋" w:hAnsi="仿宋" w:eastAsia="仿宋" w:cs="仿宋"/>
          <w:bCs/>
          <w:color w:val="000000"/>
          <w:kern w:val="0"/>
          <w:sz w:val="32"/>
          <w:szCs w:val="32"/>
        </w:rPr>
        <w:t>2021年1月1日-12月10日止，本院共计医疗收入24.5万元，其中住院病人共计9人次，住院费用合计0.95万元，人均每次住院费用为840元；门诊共计7359人次，门诊费用合计33.58万元，门诊均次费用为32元，相比去年同期上升16%。</w:t>
      </w:r>
    </w:p>
    <w:p>
      <w:pPr>
        <w:pStyle w:val="3"/>
        <w:spacing w:before="93"/>
        <w:ind w:firstLine="643" w:firstLineChars="200"/>
      </w:pPr>
      <w:r>
        <w:rPr>
          <w:rFonts w:hint="eastAsia" w:ascii="楷体" w:hAnsi="楷体" w:eastAsia="楷体" w:cs="楷体"/>
          <w:b/>
          <w:sz w:val="32"/>
          <w:szCs w:val="32"/>
        </w:rPr>
        <w:t>2</w:t>
      </w:r>
      <w:r>
        <w:rPr>
          <w:rFonts w:hint="eastAsia" w:ascii="楷体" w:hAnsi="楷体" w:eastAsia="楷体" w:cs="楷体"/>
          <w:b/>
          <w:sz w:val="32"/>
          <w:szCs w:val="32"/>
          <w:u w:val="thick" w:color="46CD7E"/>
          <w:shd w:val="clear" w:fill="DAF5E5"/>
          <w:lang w:eastAsia="zh-CN"/>
        </w:rPr>
        <w:t>.</w:t>
      </w:r>
      <w:r>
        <w:rPr>
          <w:rFonts w:hint="eastAsia" w:ascii="楷体" w:hAnsi="楷体" w:eastAsia="楷体" w:cs="楷体"/>
          <w:b/>
          <w:sz w:val="32"/>
          <w:szCs w:val="32"/>
        </w:rPr>
        <w:t>公共卫生服务：</w:t>
      </w:r>
      <w:r>
        <w:rPr>
          <w:rFonts w:hint="eastAsia" w:hAnsi="仿宋_GB2312" w:cs="仿宋_GB2312"/>
          <w:kern w:val="2"/>
          <w:sz w:val="32"/>
          <w:szCs w:val="32"/>
        </w:rPr>
        <w:t>一是居民健康档案管理；二是健康教育；三是预防接种；四是0-6岁儿童保健管理；五是孕产妇管理健康；六是老年人健康管理；七是慢性病患者健康管理；八是严重精神障碍患者健康管理；九是传染病及突发公共卫生事件的报告和处理；十</w:t>
      </w:r>
      <w:r>
        <w:rPr>
          <w:rFonts w:hint="eastAsia" w:hAnsi="仿宋_GB2312" w:cs="仿宋_GB2312"/>
          <w:kern w:val="2"/>
          <w:sz w:val="32"/>
          <w:szCs w:val="32"/>
          <w:u w:val="thick" w:color="46CD7E"/>
          <w:shd w:val="clear" w:fill="DAF5E5"/>
          <w:lang w:eastAsia="zh-CN"/>
        </w:rPr>
        <w:t>是做好</w:t>
      </w:r>
      <w:r>
        <w:rPr>
          <w:rFonts w:hint="eastAsia" w:hAnsi="仿宋_GB2312" w:cs="仿宋_GB2312"/>
          <w:kern w:val="2"/>
          <w:sz w:val="32"/>
          <w:szCs w:val="32"/>
        </w:rPr>
        <w:t>卫生监督协管工作；十一是中医药健康管理；十二是结核病患者健康管理；十三是家庭医生签约服务；十四是计划生育。</w:t>
      </w:r>
    </w:p>
    <w:p>
      <w:pPr>
        <w:widowControl/>
        <w:jc w:val="left"/>
        <w:rPr>
          <w:rFonts w:ascii="仿宋" w:hAnsi="仿宋" w:eastAsia="仿宋"/>
          <w:kern w:val="0"/>
          <w:sz w:val="32"/>
          <w:szCs w:val="32"/>
        </w:rPr>
      </w:pPr>
      <w:r>
        <w:br w:type="page"/>
      </w:r>
    </w:p>
    <w:p>
      <w:pPr>
        <w:pStyle w:val="13"/>
        <w:ind w:right="440"/>
        <w:jc w:val="center"/>
        <w:rPr>
          <w:rStyle w:val="29"/>
          <w:rFonts w:ascii="黑体" w:hAnsi="黑体" w:eastAsia="黑体"/>
          <w:b w:val="0"/>
          <w:bCs/>
        </w:rPr>
      </w:pPr>
      <w:bookmarkStart w:id="28" w:name="_Toc15377204"/>
      <w:bookmarkStart w:id="29" w:name="_Toc2353"/>
      <w:bookmarkStart w:id="30" w:name="_Toc15396602"/>
      <w:bookmarkStart w:id="31" w:name="_Toc18239"/>
      <w:r>
        <w:rPr>
          <w:rFonts w:hint="eastAsia" w:ascii="黑体" w:hAnsi="黑体" w:eastAsia="黑体"/>
          <w:b w:val="0"/>
        </w:rPr>
        <w:t>第二部分2021年度</w:t>
      </w:r>
      <w:r>
        <w:rPr>
          <w:rStyle w:val="29"/>
          <w:rFonts w:hint="eastAsia" w:ascii="黑体" w:hAnsi="黑体" w:eastAsia="黑体"/>
          <w:b w:val="0"/>
          <w:bCs/>
        </w:rPr>
        <w:t>单位决算情况说明</w:t>
      </w:r>
      <w:bookmarkEnd w:id="28"/>
      <w:bookmarkEnd w:id="29"/>
      <w:bookmarkEnd w:id="30"/>
      <w:bookmarkEnd w:id="31"/>
    </w:p>
    <w:p/>
    <w:p>
      <w:pPr>
        <w:pStyle w:val="28"/>
        <w:numPr>
          <w:ilvl w:val="0"/>
          <w:numId w:val="2"/>
        </w:numPr>
        <w:spacing w:line="600" w:lineRule="exact"/>
        <w:ind w:firstLineChars="0"/>
        <w:outlineLvl w:val="1"/>
        <w:rPr>
          <w:rStyle w:val="30"/>
          <w:rFonts w:ascii="黑体" w:hAnsi="黑体" w:eastAsia="黑体"/>
          <w:b w:val="0"/>
        </w:rPr>
      </w:pPr>
      <w:bookmarkStart w:id="32" w:name="_Toc15377205"/>
      <w:bookmarkStart w:id="33" w:name="_Toc15396603"/>
      <w:bookmarkStart w:id="34" w:name="_Toc26524"/>
      <w:bookmarkStart w:id="35" w:name="_Toc30863"/>
      <w:r>
        <w:rPr>
          <w:rFonts w:hint="eastAsia" w:ascii="黑体" w:hAnsi="黑体" w:eastAsia="黑体"/>
          <w:sz w:val="32"/>
          <w:szCs w:val="32"/>
        </w:rPr>
        <w:t>收</w:t>
      </w:r>
      <w:r>
        <w:rPr>
          <w:rStyle w:val="30"/>
          <w:rFonts w:hint="eastAsia" w:ascii="黑体" w:hAnsi="黑体" w:eastAsia="黑体"/>
          <w:b w:val="0"/>
        </w:rPr>
        <w:t>入支出决算总体情况说明</w:t>
      </w:r>
      <w:bookmarkEnd w:id="32"/>
      <w:bookmarkEnd w:id="33"/>
      <w:bookmarkEnd w:id="34"/>
      <w:bookmarkEnd w:id="35"/>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2021年度收、支总计125.7万元。与2020年相比，收、支总计各增加5.6万元，增长4.6</w:t>
      </w:r>
      <w:r>
        <w:rPr>
          <w:rFonts w:ascii="仿宋" w:hAnsi="仿宋" w:eastAsia="仿宋"/>
          <w:sz w:val="32"/>
          <w:szCs w:val="32"/>
        </w:rPr>
        <w:t>%</w:t>
      </w:r>
      <w:r>
        <w:rPr>
          <w:rFonts w:hint="eastAsia" w:ascii="仿宋" w:hAnsi="仿宋" w:eastAsia="仿宋"/>
          <w:sz w:val="32"/>
          <w:szCs w:val="32"/>
        </w:rPr>
        <w:t>。主要变动原因是事业收入增加。（图</w:t>
      </w:r>
      <w:r>
        <w:rPr>
          <w:rFonts w:ascii="仿宋" w:hAnsi="仿宋" w:eastAsia="仿宋"/>
          <w:sz w:val="32"/>
          <w:szCs w:val="32"/>
        </w:rPr>
        <w:t>1</w:t>
      </w:r>
      <w:r>
        <w:rPr>
          <w:rFonts w:hint="eastAsia" w:ascii="仿宋" w:hAnsi="仿宋" w:eastAsia="仿宋"/>
          <w:sz w:val="32"/>
          <w:szCs w:val="32"/>
        </w:rPr>
        <w:t>：收、支决算总计变动情况图）</w:t>
      </w:r>
    </w:p>
    <w:p>
      <w:pPr>
        <w:pStyle w:val="3"/>
        <w:spacing w:before="93"/>
      </w:pPr>
      <w:r>
        <w:drawing>
          <wp:anchor distT="0" distB="0" distL="114300" distR="114300" simplePos="0" relativeHeight="251660288" behindDoc="0" locked="0" layoutInCell="1" allowOverlap="1">
            <wp:simplePos x="0" y="0"/>
            <wp:positionH relativeFrom="column">
              <wp:posOffset>398780</wp:posOffset>
            </wp:positionH>
            <wp:positionV relativeFrom="paragraph">
              <wp:posOffset>83185</wp:posOffset>
            </wp:positionV>
            <wp:extent cx="3975735" cy="2389505"/>
            <wp:effectExtent l="0" t="0" r="5715" b="10795"/>
            <wp:wrapNone/>
            <wp:docPr id="641" name="_x0000_s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_x0000_s2414"/>
                    <pic:cNvPicPr>
                      <a:picLocks noChangeAspect="1"/>
                    </pic:cNvPicPr>
                  </pic:nvPicPr>
                  <pic:blipFill>
                    <a:blip r:embed="rId6"/>
                    <a:stretch>
                      <a:fillRect/>
                    </a:stretch>
                  </pic:blipFill>
                  <pic:spPr>
                    <a:xfrm>
                      <a:off x="0" y="0"/>
                      <a:ext cx="3975735" cy="2389505"/>
                    </a:xfrm>
                    <a:prstGeom prst="rect">
                      <a:avLst/>
                    </a:prstGeom>
                    <a:noFill/>
                    <a:ln>
                      <a:noFill/>
                    </a:ln>
                  </pic:spPr>
                </pic:pic>
              </a:graphicData>
            </a:graphic>
          </wp:anchor>
        </w:drawing>
      </w:r>
    </w:p>
    <w:p>
      <w:pPr>
        <w:pStyle w:val="3"/>
        <w:spacing w:before="93"/>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pStyle w:val="28"/>
        <w:numPr>
          <w:ilvl w:val="0"/>
          <w:numId w:val="2"/>
        </w:numPr>
        <w:spacing w:line="600" w:lineRule="exact"/>
        <w:ind w:firstLineChars="0"/>
        <w:outlineLvl w:val="1"/>
        <w:rPr>
          <w:rStyle w:val="30"/>
          <w:rFonts w:ascii="黑体" w:hAnsi="黑体" w:eastAsia="黑体"/>
          <w:b w:val="0"/>
        </w:rPr>
      </w:pPr>
      <w:bookmarkStart w:id="36" w:name="_Toc22857"/>
      <w:bookmarkStart w:id="37" w:name="_Toc8716"/>
      <w:bookmarkStart w:id="38" w:name="_Toc15377206"/>
      <w:bookmarkStart w:id="39" w:name="_Toc15396604"/>
      <w:r>
        <w:rPr>
          <w:rFonts w:hint="eastAsia" w:ascii="黑体" w:hAnsi="黑体" w:eastAsia="黑体"/>
          <w:sz w:val="32"/>
          <w:szCs w:val="32"/>
        </w:rPr>
        <w:t>收</w:t>
      </w:r>
      <w:r>
        <w:rPr>
          <w:rStyle w:val="30"/>
          <w:rFonts w:hint="eastAsia" w:ascii="黑体" w:hAnsi="黑体" w:eastAsia="黑体"/>
          <w:b w:val="0"/>
        </w:rPr>
        <w:t>入决算情况说明</w:t>
      </w:r>
      <w:bookmarkEnd w:id="36"/>
      <w:bookmarkEnd w:id="37"/>
      <w:bookmarkEnd w:id="38"/>
      <w:bookmarkEnd w:id="39"/>
    </w:p>
    <w:p>
      <w:pPr>
        <w:spacing w:line="600" w:lineRule="exact"/>
        <w:ind w:firstLine="640" w:firstLineChars="200"/>
        <w:outlineLvl w:val="1"/>
        <w:rPr>
          <w:rFonts w:ascii="仿宋" w:hAnsi="仿宋" w:eastAsia="仿宋"/>
          <w:sz w:val="32"/>
          <w:szCs w:val="32"/>
        </w:rPr>
      </w:pPr>
      <w:bookmarkStart w:id="40" w:name="_Toc21386"/>
      <w:bookmarkStart w:id="41" w:name="_Toc17105"/>
      <w:r>
        <w:rPr>
          <w:rFonts w:ascii="仿宋" w:hAnsi="仿宋" w:eastAsia="仿宋"/>
          <w:sz w:val="32"/>
          <w:szCs w:val="32"/>
        </w:rPr>
        <w:t>20</w:t>
      </w:r>
      <w:r>
        <w:rPr>
          <w:rFonts w:hint="eastAsia" w:ascii="仿宋" w:hAnsi="仿宋" w:eastAsia="仿宋"/>
          <w:sz w:val="32"/>
          <w:szCs w:val="32"/>
        </w:rPr>
        <w:t>21年本年收入合计125.7万元，其中：一般公共预算财政拨款收入101.2万元，占81</w:t>
      </w:r>
      <w:r>
        <w:rPr>
          <w:rFonts w:ascii="仿宋" w:hAnsi="仿宋" w:eastAsia="仿宋"/>
          <w:sz w:val="32"/>
          <w:szCs w:val="32"/>
        </w:rPr>
        <w:t>%</w:t>
      </w:r>
      <w:r>
        <w:rPr>
          <w:rFonts w:hint="eastAsia" w:ascii="仿宋" w:hAnsi="仿宋" w:eastAsia="仿宋"/>
          <w:sz w:val="32"/>
          <w:szCs w:val="32"/>
        </w:rPr>
        <w:t>；营业收入24.5万元，占比19</w:t>
      </w:r>
      <w:r>
        <w:rPr>
          <w:rFonts w:ascii="仿宋" w:hAnsi="仿宋" w:eastAsia="仿宋"/>
          <w:sz w:val="32"/>
          <w:szCs w:val="32"/>
        </w:rPr>
        <w:t>%</w:t>
      </w:r>
      <w:r>
        <w:rPr>
          <w:rFonts w:hint="eastAsia" w:ascii="仿宋" w:hAnsi="仿宋" w:eastAsia="仿宋"/>
          <w:sz w:val="32"/>
          <w:szCs w:val="32"/>
        </w:rPr>
        <w:t>。</w:t>
      </w:r>
      <w:bookmarkEnd w:id="40"/>
      <w:bookmarkEnd w:id="41"/>
    </w:p>
    <w:p>
      <w:pPr>
        <w:pStyle w:val="3"/>
        <w:spacing w:before="93"/>
        <w:rPr>
          <w:rFonts w:ascii="仿宋" w:hAnsi="仿宋" w:eastAsia="仿宋"/>
          <w:sz w:val="32"/>
          <w:szCs w:val="32"/>
        </w:rPr>
      </w:pPr>
      <w:r>
        <w:drawing>
          <wp:anchor distT="0" distB="0" distL="114300" distR="114300" simplePos="0" relativeHeight="251661312" behindDoc="0" locked="0" layoutInCell="1" allowOverlap="1">
            <wp:simplePos x="0" y="0"/>
            <wp:positionH relativeFrom="column">
              <wp:posOffset>554355</wp:posOffset>
            </wp:positionH>
            <wp:positionV relativeFrom="paragraph">
              <wp:posOffset>-3175</wp:posOffset>
            </wp:positionV>
            <wp:extent cx="3832860" cy="2303780"/>
            <wp:effectExtent l="0" t="0" r="15240" b="1270"/>
            <wp:wrapNone/>
            <wp:docPr id="642" name="_x0000_s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_x0000_s2415"/>
                    <pic:cNvPicPr>
                      <a:picLocks noChangeAspect="1"/>
                    </pic:cNvPicPr>
                  </pic:nvPicPr>
                  <pic:blipFill>
                    <a:blip r:embed="rId7"/>
                    <a:stretch>
                      <a:fillRect/>
                    </a:stretch>
                  </pic:blipFill>
                  <pic:spPr>
                    <a:xfrm>
                      <a:off x="0" y="0"/>
                      <a:ext cx="3832860" cy="2303780"/>
                    </a:xfrm>
                    <a:prstGeom prst="rect">
                      <a:avLst/>
                    </a:prstGeom>
                    <a:noFill/>
                    <a:ln>
                      <a:noFill/>
                    </a:ln>
                  </pic:spPr>
                </pic:pic>
              </a:graphicData>
            </a:graphic>
          </wp:anchor>
        </w:drawing>
      </w: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28"/>
        <w:numPr>
          <w:ilvl w:val="0"/>
          <w:numId w:val="2"/>
        </w:numPr>
        <w:spacing w:line="600" w:lineRule="exact"/>
        <w:ind w:firstLineChars="0"/>
        <w:outlineLvl w:val="1"/>
        <w:rPr>
          <w:rStyle w:val="30"/>
          <w:rFonts w:ascii="黑体" w:hAnsi="黑体" w:eastAsia="黑体"/>
          <w:b w:val="0"/>
        </w:rPr>
      </w:pPr>
      <w:bookmarkStart w:id="42" w:name="_Toc21674"/>
      <w:bookmarkStart w:id="43" w:name="_Toc15396605"/>
      <w:bookmarkStart w:id="44" w:name="_Toc18483"/>
      <w:bookmarkStart w:id="45" w:name="_Toc15377207"/>
      <w:r>
        <w:rPr>
          <w:rFonts w:hint="eastAsia" w:ascii="黑体" w:hAnsi="黑体" w:eastAsia="黑体"/>
          <w:sz w:val="32"/>
          <w:szCs w:val="32"/>
        </w:rPr>
        <w:t>支</w:t>
      </w:r>
      <w:r>
        <w:rPr>
          <w:rStyle w:val="30"/>
          <w:rFonts w:hint="eastAsia" w:ascii="黑体" w:hAnsi="黑体" w:eastAsia="黑体"/>
          <w:b w:val="0"/>
        </w:rPr>
        <w:t>出决算情况说明</w:t>
      </w:r>
      <w:bookmarkEnd w:id="42"/>
      <w:bookmarkEnd w:id="43"/>
      <w:bookmarkEnd w:id="44"/>
      <w:bookmarkEnd w:id="45"/>
    </w:p>
    <w:p>
      <w:pPr>
        <w:spacing w:line="600" w:lineRule="exact"/>
        <w:ind w:firstLine="640" w:firstLineChars="200"/>
        <w:outlineLvl w:val="1"/>
        <w:rPr>
          <w:rFonts w:ascii="仿宋" w:hAnsi="仿宋" w:eastAsia="仿宋"/>
          <w:sz w:val="32"/>
          <w:szCs w:val="32"/>
        </w:rPr>
      </w:pPr>
      <w:bookmarkStart w:id="46" w:name="_Toc29206"/>
      <w:bookmarkStart w:id="47" w:name="_Toc14636"/>
      <w:r>
        <w:rPr>
          <w:rFonts w:ascii="仿宋" w:hAnsi="仿宋" w:eastAsia="仿宋"/>
          <w:sz w:val="32"/>
          <w:szCs w:val="32"/>
        </w:rPr>
        <w:t>20</w:t>
      </w:r>
      <w:r>
        <w:rPr>
          <w:rFonts w:hint="eastAsia" w:ascii="仿宋" w:hAnsi="仿宋" w:eastAsia="仿宋"/>
          <w:sz w:val="32"/>
          <w:szCs w:val="32"/>
        </w:rPr>
        <w:t>21年本年支出合计125.7万元，其中：基本支出68.7万元，占55</w:t>
      </w:r>
      <w:r>
        <w:rPr>
          <w:rFonts w:ascii="仿宋" w:hAnsi="仿宋" w:eastAsia="仿宋"/>
          <w:sz w:val="32"/>
          <w:szCs w:val="32"/>
        </w:rPr>
        <w:t>%</w:t>
      </w:r>
      <w:r>
        <w:rPr>
          <w:rFonts w:hint="eastAsia" w:ascii="仿宋" w:hAnsi="仿宋" w:eastAsia="仿宋"/>
          <w:sz w:val="32"/>
          <w:szCs w:val="32"/>
        </w:rPr>
        <w:t>；项目支出57万元，占比45</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（图3：支出决算结构图）</w:t>
      </w:r>
      <w:bookmarkEnd w:id="46"/>
      <w:bookmarkEnd w:id="47"/>
    </w:p>
    <w:p>
      <w:pPr>
        <w:pStyle w:val="3"/>
        <w:spacing w:before="93"/>
        <w:rPr>
          <w:rFonts w:ascii="仿宋" w:hAnsi="仿宋" w:eastAsia="仿宋"/>
          <w:sz w:val="32"/>
          <w:szCs w:val="32"/>
        </w:rPr>
      </w:pPr>
      <w:r>
        <w:drawing>
          <wp:anchor distT="0" distB="0" distL="114300" distR="114300" simplePos="0" relativeHeight="251662336" behindDoc="0" locked="0" layoutInCell="1" allowOverlap="1">
            <wp:simplePos x="0" y="0"/>
            <wp:positionH relativeFrom="column">
              <wp:posOffset>607695</wp:posOffset>
            </wp:positionH>
            <wp:positionV relativeFrom="paragraph">
              <wp:posOffset>160655</wp:posOffset>
            </wp:positionV>
            <wp:extent cx="3997325" cy="2402840"/>
            <wp:effectExtent l="0" t="0" r="3175" b="16510"/>
            <wp:wrapNone/>
            <wp:docPr id="643" name="_x0000_s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 name="_x0000_s2416"/>
                    <pic:cNvPicPr>
                      <a:picLocks noChangeAspect="1"/>
                    </pic:cNvPicPr>
                  </pic:nvPicPr>
                  <pic:blipFill>
                    <a:blip r:embed="rId8"/>
                    <a:stretch>
                      <a:fillRect/>
                    </a:stretch>
                  </pic:blipFill>
                  <pic:spPr>
                    <a:xfrm>
                      <a:off x="0" y="0"/>
                      <a:ext cx="3997325" cy="2402840"/>
                    </a:xfrm>
                    <a:prstGeom prst="rect">
                      <a:avLst/>
                    </a:prstGeom>
                    <a:noFill/>
                    <a:ln>
                      <a:noFill/>
                    </a:ln>
                  </pic:spPr>
                </pic:pic>
              </a:graphicData>
            </a:graphic>
          </wp:anchor>
        </w:drawing>
      </w: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spacing w:line="600" w:lineRule="exact"/>
        <w:ind w:firstLine="640" w:firstLineChars="200"/>
        <w:outlineLvl w:val="1"/>
        <w:rPr>
          <w:rStyle w:val="30"/>
          <w:rFonts w:ascii="黑体" w:hAnsi="黑体" w:eastAsia="黑体"/>
          <w:b w:val="0"/>
        </w:rPr>
      </w:pPr>
      <w:bookmarkStart w:id="48" w:name="_Toc9758"/>
      <w:bookmarkStart w:id="49" w:name="_Toc15396606"/>
      <w:bookmarkStart w:id="50" w:name="_Toc31316"/>
      <w:bookmarkStart w:id="51" w:name="_Toc15377208"/>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48"/>
      <w:bookmarkEnd w:id="49"/>
      <w:bookmarkEnd w:id="50"/>
      <w:bookmarkEnd w:id="5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21年财政拨款收、支总计101.2万元。与</w:t>
      </w:r>
      <w:r>
        <w:rPr>
          <w:rFonts w:ascii="仿宋" w:hAnsi="仿宋" w:eastAsia="仿宋"/>
          <w:sz w:val="32"/>
          <w:szCs w:val="32"/>
        </w:rPr>
        <w:t>20</w:t>
      </w:r>
      <w:r>
        <w:rPr>
          <w:rFonts w:hint="eastAsia" w:ascii="仿宋" w:hAnsi="仿宋" w:eastAsia="仿宋"/>
          <w:sz w:val="32"/>
          <w:szCs w:val="32"/>
        </w:rPr>
        <w:t>20年相比，财政拨款收、支总计各增加2.2万元，增长2</w:t>
      </w:r>
      <w:r>
        <w:rPr>
          <w:rFonts w:ascii="仿宋" w:hAnsi="仿宋" w:eastAsia="仿宋"/>
          <w:sz w:val="32"/>
          <w:szCs w:val="32"/>
        </w:rPr>
        <w:t>%</w:t>
      </w:r>
      <w:r>
        <w:rPr>
          <w:rFonts w:hint="eastAsia" w:ascii="仿宋" w:hAnsi="仿宋" w:eastAsia="仿宋"/>
          <w:sz w:val="32"/>
          <w:szCs w:val="32"/>
        </w:rPr>
        <w:t>。主要变动原因是基本公共卫生服务经费增加。</w:t>
      </w:r>
    </w:p>
    <w:p>
      <w:pPr>
        <w:spacing w:line="600" w:lineRule="exact"/>
        <w:ind w:firstLine="640"/>
        <w:rPr>
          <w:rFonts w:ascii="仿宋" w:hAnsi="仿宋" w:eastAsia="仿宋"/>
          <w:sz w:val="32"/>
          <w:szCs w:val="32"/>
        </w:rPr>
      </w:pPr>
      <w:r>
        <w:rPr>
          <w:rFonts w:hint="eastAsia" w:ascii="仿宋" w:hAnsi="仿宋" w:eastAsia="仿宋"/>
          <w:sz w:val="32"/>
          <w:szCs w:val="32"/>
        </w:rPr>
        <w:t>（图4：财政拨款收、支决算总计变动情况）</w:t>
      </w:r>
    </w:p>
    <w:p>
      <w:pPr>
        <w:pStyle w:val="3"/>
        <w:spacing w:before="93"/>
      </w:pPr>
      <w:r>
        <w:drawing>
          <wp:anchor distT="0" distB="0" distL="114300" distR="114300" simplePos="0" relativeHeight="251663360" behindDoc="0" locked="0" layoutInCell="1" allowOverlap="1">
            <wp:simplePos x="0" y="0"/>
            <wp:positionH relativeFrom="column">
              <wp:posOffset>429260</wp:posOffset>
            </wp:positionH>
            <wp:positionV relativeFrom="paragraph">
              <wp:posOffset>65405</wp:posOffset>
            </wp:positionV>
            <wp:extent cx="4145915" cy="2491740"/>
            <wp:effectExtent l="0" t="0" r="6985" b="3810"/>
            <wp:wrapNone/>
            <wp:docPr id="644" name="_x0000_s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_x0000_s2417"/>
                    <pic:cNvPicPr>
                      <a:picLocks noChangeAspect="1"/>
                    </pic:cNvPicPr>
                  </pic:nvPicPr>
                  <pic:blipFill>
                    <a:blip r:embed="rId9"/>
                    <a:stretch>
                      <a:fillRect/>
                    </a:stretch>
                  </pic:blipFill>
                  <pic:spPr>
                    <a:xfrm>
                      <a:off x="0" y="0"/>
                      <a:ext cx="4145915" cy="2491740"/>
                    </a:xfrm>
                    <a:prstGeom prst="rect">
                      <a:avLst/>
                    </a:prstGeom>
                    <a:noFill/>
                    <a:ln>
                      <a:noFill/>
                    </a:ln>
                  </pic:spPr>
                </pic:pic>
              </a:graphicData>
            </a:graphic>
          </wp:anchor>
        </w:drawing>
      </w: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spacing w:line="600" w:lineRule="exact"/>
        <w:ind w:firstLine="640" w:firstLineChars="200"/>
        <w:outlineLvl w:val="1"/>
        <w:rPr>
          <w:rStyle w:val="30"/>
          <w:rFonts w:ascii="黑体" w:hAnsi="黑体" w:eastAsia="黑体"/>
          <w:b w:val="0"/>
        </w:rPr>
      </w:pPr>
      <w:bookmarkStart w:id="52" w:name="_Toc22799"/>
      <w:bookmarkStart w:id="53" w:name="_Toc29778"/>
      <w:bookmarkStart w:id="54" w:name="_Toc15377209"/>
      <w:bookmarkStart w:id="55" w:name="_Toc15396607"/>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财政拨款支出决算情况说明</w:t>
      </w:r>
      <w:bookmarkEnd w:id="52"/>
      <w:bookmarkEnd w:id="53"/>
      <w:bookmarkEnd w:id="54"/>
      <w:bookmarkEnd w:id="55"/>
    </w:p>
    <w:p>
      <w:pPr>
        <w:spacing w:line="600" w:lineRule="exact"/>
        <w:ind w:firstLine="643" w:firstLineChars="200"/>
        <w:outlineLvl w:val="2"/>
        <w:rPr>
          <w:rFonts w:ascii="仿宋" w:hAnsi="仿宋" w:eastAsia="仿宋"/>
          <w:b/>
          <w:sz w:val="32"/>
          <w:szCs w:val="32"/>
        </w:rPr>
      </w:pPr>
      <w:bookmarkStart w:id="56" w:name="_Toc8416"/>
      <w:bookmarkStart w:id="57" w:name="_Toc14155"/>
      <w:bookmarkStart w:id="58" w:name="_Toc15377210"/>
      <w:r>
        <w:rPr>
          <w:rFonts w:hint="eastAsia" w:ascii="仿宋" w:hAnsi="仿宋" w:eastAsia="仿宋"/>
          <w:b/>
          <w:sz w:val="32"/>
          <w:szCs w:val="32"/>
        </w:rPr>
        <w:t>（一）一般公共预算财政拨款支出决算总体情况</w:t>
      </w:r>
      <w:bookmarkEnd w:id="56"/>
      <w:bookmarkEnd w:id="57"/>
      <w:bookmarkEnd w:id="5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21年一般公共预算财政拨款支出101.2万元，占本年支出合计的80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20年相比，一般公共预算财政拨款支出增加2.2万元，增长2</w:t>
      </w:r>
      <w:r>
        <w:rPr>
          <w:rFonts w:ascii="仿宋" w:hAnsi="仿宋" w:eastAsia="仿宋"/>
          <w:sz w:val="32"/>
          <w:szCs w:val="32"/>
        </w:rPr>
        <w:t>%</w:t>
      </w:r>
      <w:r>
        <w:rPr>
          <w:rFonts w:hint="eastAsia" w:ascii="仿宋" w:hAnsi="仿宋" w:eastAsia="仿宋"/>
          <w:sz w:val="32"/>
          <w:szCs w:val="32"/>
        </w:rPr>
        <w:t>。主要变动原因是基本公共卫生服务经费增加。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pStyle w:val="3"/>
        <w:spacing w:before="93"/>
        <w:rPr>
          <w:rFonts w:ascii="仿宋" w:hAnsi="仿宋" w:eastAsia="仿宋"/>
          <w:sz w:val="32"/>
          <w:szCs w:val="32"/>
        </w:rPr>
      </w:pPr>
      <w:r>
        <w:drawing>
          <wp:anchor distT="0" distB="0" distL="114300" distR="114300" simplePos="0" relativeHeight="251664384" behindDoc="0" locked="0" layoutInCell="1" allowOverlap="1">
            <wp:simplePos x="0" y="0"/>
            <wp:positionH relativeFrom="column">
              <wp:posOffset>242570</wp:posOffset>
            </wp:positionH>
            <wp:positionV relativeFrom="paragraph">
              <wp:posOffset>23495</wp:posOffset>
            </wp:positionV>
            <wp:extent cx="3889375" cy="2337435"/>
            <wp:effectExtent l="0" t="0" r="15875" b="5715"/>
            <wp:wrapNone/>
            <wp:docPr id="645" name="_x0000_s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_x0000_s2418"/>
                    <pic:cNvPicPr>
                      <a:picLocks noChangeAspect="1"/>
                    </pic:cNvPicPr>
                  </pic:nvPicPr>
                  <pic:blipFill>
                    <a:blip r:embed="rId10"/>
                    <a:stretch>
                      <a:fillRect/>
                    </a:stretch>
                  </pic:blipFill>
                  <pic:spPr>
                    <a:xfrm>
                      <a:off x="0" y="0"/>
                      <a:ext cx="3889375" cy="2337435"/>
                    </a:xfrm>
                    <a:prstGeom prst="rect">
                      <a:avLst/>
                    </a:prstGeom>
                    <a:noFill/>
                    <a:ln>
                      <a:noFill/>
                    </a:ln>
                  </pic:spPr>
                </pic:pic>
              </a:graphicData>
            </a:graphic>
          </wp:anchor>
        </w:drawing>
      </w: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59" w:name="_Toc4814"/>
      <w:bookmarkStart w:id="60" w:name="_Toc19166"/>
      <w:bookmarkStart w:id="61" w:name="_Toc15377211"/>
      <w:r>
        <w:rPr>
          <w:rFonts w:hint="eastAsia" w:ascii="仿宋" w:hAnsi="仿宋" w:eastAsia="仿宋"/>
          <w:b/>
          <w:sz w:val="32"/>
          <w:szCs w:val="32"/>
        </w:rPr>
        <w:t>（二）一般公共预算财政拨款支出决算结构情况</w:t>
      </w:r>
      <w:bookmarkEnd w:id="59"/>
      <w:bookmarkEnd w:id="60"/>
      <w:bookmarkEnd w:id="6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21年一般公共预算财政拨款支出101.2万元，主要用于以下方面</w:t>
      </w:r>
      <w:r>
        <w:t>：</w:t>
      </w:r>
      <w:r>
        <w:rPr>
          <w:rFonts w:hint="eastAsia" w:ascii="仿宋" w:hAnsi="仿宋" w:eastAsia="仿宋"/>
          <w:sz w:val="32"/>
          <w:szCs w:val="32"/>
        </w:rPr>
        <w:t>卫生健康支出101.2万元，占</w:t>
      </w:r>
      <w:r>
        <w:rPr>
          <w:rFonts w:hint="eastAsia" w:eastAsia="仿宋_GB2312"/>
          <w:sz w:val="32"/>
        </w:rPr>
        <w:t>财政拨款支出的100</w:t>
      </w:r>
      <w:r>
        <w:rPr>
          <w:rFonts w:eastAsia="仿宋_GB2312"/>
          <w:sz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420" w:firstLineChars="200"/>
      </w:pPr>
      <w:r>
        <w:drawing>
          <wp:anchor distT="0" distB="0" distL="114300" distR="114300" simplePos="0" relativeHeight="251665408" behindDoc="0" locked="0" layoutInCell="1" allowOverlap="1">
            <wp:simplePos x="0" y="0"/>
            <wp:positionH relativeFrom="column">
              <wp:posOffset>392430</wp:posOffset>
            </wp:positionH>
            <wp:positionV relativeFrom="paragraph">
              <wp:posOffset>66675</wp:posOffset>
            </wp:positionV>
            <wp:extent cx="4201160" cy="2019300"/>
            <wp:effectExtent l="4445" t="5080" r="23495" b="13970"/>
            <wp:wrapNone/>
            <wp:docPr id="646" name="_x0000_s24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420" w:firstLineChars="200"/>
      </w:pPr>
    </w:p>
    <w:p>
      <w:pPr>
        <w:spacing w:line="600" w:lineRule="exact"/>
        <w:ind w:firstLine="420" w:firstLineChars="200"/>
      </w:pPr>
    </w:p>
    <w:p>
      <w:pPr>
        <w:pStyle w:val="3"/>
        <w:spacing w:before="93"/>
      </w:pPr>
    </w:p>
    <w:p>
      <w:pPr>
        <w:spacing w:line="600" w:lineRule="exact"/>
        <w:ind w:firstLine="420" w:firstLineChars="200"/>
      </w:pPr>
    </w:p>
    <w:p>
      <w:pPr>
        <w:spacing w:line="600" w:lineRule="exact"/>
        <w:ind w:firstLine="643" w:firstLineChars="200"/>
        <w:outlineLvl w:val="2"/>
        <w:rPr>
          <w:rFonts w:ascii="仿宋" w:hAnsi="仿宋" w:eastAsia="仿宋"/>
          <w:b/>
          <w:sz w:val="32"/>
          <w:szCs w:val="32"/>
        </w:rPr>
      </w:pPr>
      <w:bookmarkStart w:id="62" w:name="_Toc2820"/>
      <w:bookmarkStart w:id="63" w:name="_Toc16557"/>
      <w:bookmarkStart w:id="64" w:name="_Toc15377212"/>
      <w:r>
        <w:rPr>
          <w:rFonts w:hint="eastAsia" w:ascii="仿宋" w:hAnsi="仿宋" w:eastAsia="仿宋"/>
          <w:b/>
          <w:sz w:val="32"/>
          <w:szCs w:val="32"/>
        </w:rPr>
        <w:t>（三）一般公共预算财政拨款支出决算具体情况</w:t>
      </w:r>
      <w:bookmarkEnd w:id="62"/>
      <w:bookmarkEnd w:id="63"/>
      <w:bookmarkEnd w:id="64"/>
    </w:p>
    <w:p>
      <w:pPr>
        <w:spacing w:line="600" w:lineRule="exact"/>
        <w:ind w:firstLine="643" w:firstLineChars="200"/>
        <w:outlineLvl w:val="2"/>
        <w:rPr>
          <w:rFonts w:ascii="仿宋" w:hAnsi="仿宋" w:eastAsia="仿宋"/>
          <w:sz w:val="32"/>
          <w:szCs w:val="32"/>
        </w:rPr>
      </w:pPr>
      <w:bookmarkStart w:id="65" w:name="_Toc2276"/>
      <w:bookmarkStart w:id="66" w:name="_Toc15378460"/>
      <w:bookmarkStart w:id="67" w:name="_Toc15377444"/>
      <w:bookmarkStart w:id="68" w:name="_Toc15377213"/>
      <w:bookmarkStart w:id="69" w:name="_Toc11465"/>
      <w:r>
        <w:rPr>
          <w:rFonts w:hint="eastAsia" w:ascii="仿宋" w:hAnsi="仿宋" w:eastAsia="仿宋"/>
          <w:b/>
          <w:sz w:val="32"/>
          <w:szCs w:val="32"/>
        </w:rPr>
        <w:t>2021年一般公共预算支出决算数为101.2万元</w:t>
      </w:r>
      <w:r>
        <w:rPr>
          <w:rFonts w:hint="eastAsia" w:ascii="仿宋" w:hAnsi="仿宋" w:eastAsia="仿宋"/>
          <w:sz w:val="32"/>
          <w:szCs w:val="32"/>
        </w:rPr>
        <w:t>，</w:t>
      </w:r>
      <w:r>
        <w:rPr>
          <w:rStyle w:val="10"/>
          <w:rFonts w:hint="eastAsia" w:ascii="仿宋" w:hAnsi="仿宋" w:eastAsia="仿宋"/>
          <w:bCs/>
          <w:sz w:val="32"/>
          <w:szCs w:val="32"/>
        </w:rPr>
        <w:t>完成预算的100</w:t>
      </w:r>
      <w:r>
        <w:rPr>
          <w:rStyle w:val="10"/>
          <w:rFonts w:ascii="仿宋" w:hAnsi="仿宋" w:eastAsia="仿宋"/>
          <w:bCs/>
          <w:sz w:val="32"/>
          <w:szCs w:val="32"/>
        </w:rPr>
        <w:t>%</w:t>
      </w:r>
      <w:r>
        <w:rPr>
          <w:rStyle w:val="10"/>
          <w:rFonts w:hint="eastAsia" w:ascii="仿宋" w:hAnsi="仿宋" w:eastAsia="仿宋"/>
          <w:bCs/>
          <w:sz w:val="32"/>
          <w:szCs w:val="32"/>
        </w:rPr>
        <w:t>。其中：</w:t>
      </w:r>
      <w:bookmarkEnd w:id="65"/>
      <w:bookmarkEnd w:id="66"/>
      <w:bookmarkEnd w:id="67"/>
      <w:bookmarkEnd w:id="68"/>
      <w:bookmarkEnd w:id="69"/>
    </w:p>
    <w:p>
      <w:pPr>
        <w:ind w:firstLine="640" w:firstLineChars="200"/>
      </w:pPr>
      <w:r>
        <w:rPr>
          <w:rFonts w:hint="eastAsia" w:eastAsia="仿宋_GB2312" w:cs="仿宋_GB2312"/>
          <w:sz w:val="32"/>
        </w:rPr>
        <w:t>1</w:t>
      </w:r>
      <w:r>
        <w:rPr>
          <w:rFonts w:hint="eastAsia" w:eastAsia="仿宋_GB2312" w:cs="仿宋_GB2312"/>
          <w:b/>
          <w:bCs/>
          <w:sz w:val="32"/>
          <w:u w:val="thick" w:color="46CD7E"/>
          <w:shd w:val="clear" w:fill="DAF5E5"/>
          <w:lang w:eastAsia="zh-CN"/>
        </w:rPr>
        <w:t>.</w:t>
      </w:r>
      <w:r>
        <w:rPr>
          <w:rFonts w:hint="eastAsia" w:eastAsia="仿宋_GB2312" w:cs="仿宋_GB2312"/>
          <w:b/>
          <w:bCs/>
          <w:sz w:val="32"/>
        </w:rPr>
        <w:t>卫生健康支出（类）基层医疗卫生机构（款）乡镇卫生院（项）</w:t>
      </w:r>
      <w:r>
        <w:rPr>
          <w:rFonts w:hint="eastAsia" w:eastAsia="仿宋_GB2312" w:cs="仿宋_GB2312"/>
          <w:sz w:val="32"/>
        </w:rPr>
        <w:t>：支出决算为</w:t>
      </w:r>
      <w:r>
        <w:rPr>
          <w:rFonts w:hint="eastAsia" w:eastAsia="仿宋_GB2312"/>
          <w:sz w:val="32"/>
        </w:rPr>
        <w:t>44.2</w:t>
      </w:r>
      <w:r>
        <w:rPr>
          <w:rFonts w:hint="eastAsia" w:eastAsia="仿宋_GB2312" w:cs="仿宋_GB2312"/>
          <w:sz w:val="32"/>
        </w:rPr>
        <w:t>万元，完成预算</w:t>
      </w:r>
      <w:r>
        <w:rPr>
          <w:rFonts w:eastAsia="仿宋_GB2312"/>
          <w:sz w:val="32"/>
        </w:rPr>
        <w:t>100%</w:t>
      </w:r>
      <w:r>
        <w:rPr>
          <w:rFonts w:hint="eastAsia" w:eastAsia="仿宋_GB2312" w:cs="仿宋_GB2312"/>
          <w:sz w:val="32"/>
        </w:rPr>
        <w:t>。</w:t>
      </w:r>
    </w:p>
    <w:p>
      <w:pPr>
        <w:ind w:firstLine="643" w:firstLineChars="200"/>
        <w:rPr>
          <w:rFonts w:eastAsia="仿宋_GB2312" w:cs="仿宋_GB2312"/>
          <w:sz w:val="32"/>
        </w:rPr>
      </w:pPr>
      <w:r>
        <w:rPr>
          <w:rFonts w:hint="eastAsia" w:eastAsia="仿宋_GB2312" w:cs="仿宋_GB2312"/>
          <w:b/>
          <w:bCs/>
          <w:sz w:val="32"/>
        </w:rPr>
        <w:t>2</w:t>
      </w:r>
      <w:r>
        <w:rPr>
          <w:rFonts w:hint="eastAsia" w:eastAsia="仿宋_GB2312" w:cs="仿宋_GB2312"/>
          <w:b/>
          <w:bCs/>
          <w:sz w:val="32"/>
          <w:u w:val="thick" w:color="46CD7E"/>
          <w:shd w:val="clear" w:fill="DAF5E5"/>
          <w:lang w:eastAsia="zh-CN"/>
        </w:rPr>
        <w:t>.</w:t>
      </w:r>
      <w:r>
        <w:rPr>
          <w:rFonts w:hint="eastAsia" w:eastAsia="仿宋_GB2312" w:cs="仿宋_GB2312"/>
          <w:b/>
          <w:bCs/>
          <w:sz w:val="32"/>
        </w:rPr>
        <w:t>卫生健康支出（类）基层医疗卫生机构（款）其他基层医疗卫生机构（项）：</w:t>
      </w:r>
      <w:r>
        <w:rPr>
          <w:rFonts w:hint="eastAsia" w:eastAsia="仿宋_GB2312" w:cs="仿宋_GB2312"/>
          <w:sz w:val="32"/>
        </w:rPr>
        <w:t>支出决算为</w:t>
      </w:r>
      <w:r>
        <w:rPr>
          <w:rFonts w:hint="eastAsia" w:eastAsia="仿宋_GB2312"/>
          <w:sz w:val="32"/>
        </w:rPr>
        <w:t>12.7</w:t>
      </w:r>
      <w:r>
        <w:rPr>
          <w:rFonts w:hint="eastAsia" w:eastAsia="仿宋_GB2312" w:cs="仿宋_GB2312"/>
          <w:sz w:val="32"/>
        </w:rPr>
        <w:t>万元，完成预算</w:t>
      </w:r>
      <w:r>
        <w:rPr>
          <w:rFonts w:eastAsia="仿宋_GB2312"/>
          <w:sz w:val="32"/>
        </w:rPr>
        <w:t>100%</w:t>
      </w:r>
      <w:r>
        <w:rPr>
          <w:rFonts w:hint="eastAsia" w:eastAsia="仿宋_GB2312" w:cs="仿宋_GB2312"/>
          <w:sz w:val="32"/>
        </w:rPr>
        <w:t>。</w:t>
      </w:r>
    </w:p>
    <w:p>
      <w:pPr>
        <w:ind w:firstLine="643" w:firstLineChars="200"/>
        <w:rPr>
          <w:rFonts w:eastAsia="仿宋_GB2312" w:cs="仿宋_GB2312"/>
          <w:sz w:val="32"/>
        </w:rPr>
      </w:pPr>
      <w:r>
        <w:rPr>
          <w:rFonts w:hint="eastAsia" w:eastAsia="仿宋_GB2312" w:cs="仿宋_GB2312"/>
          <w:b/>
          <w:bCs/>
          <w:sz w:val="32"/>
        </w:rPr>
        <w:t>3</w:t>
      </w:r>
      <w:r>
        <w:rPr>
          <w:rFonts w:hint="eastAsia" w:eastAsia="仿宋_GB2312" w:cs="仿宋_GB2312"/>
          <w:b/>
          <w:bCs/>
          <w:sz w:val="32"/>
          <w:u w:val="thick" w:color="46CD7E"/>
          <w:shd w:val="clear" w:fill="DAF5E5"/>
          <w:lang w:eastAsia="zh-CN"/>
        </w:rPr>
        <w:t>.</w:t>
      </w:r>
      <w:r>
        <w:rPr>
          <w:rFonts w:hint="eastAsia" w:eastAsia="仿宋_GB2312" w:cs="仿宋_GB2312"/>
          <w:b/>
          <w:bCs/>
          <w:sz w:val="32"/>
        </w:rPr>
        <w:t>卫生健康支出（类）公共卫生（款）基本公共卫生服务（项）</w:t>
      </w:r>
      <w:r>
        <w:rPr>
          <w:rFonts w:eastAsia="仿宋_GB2312"/>
          <w:b/>
          <w:bCs/>
          <w:sz w:val="32"/>
        </w:rPr>
        <w:t>:</w:t>
      </w:r>
      <w:r>
        <w:rPr>
          <w:rFonts w:hint="eastAsia" w:eastAsia="仿宋_GB2312" w:cs="仿宋_GB2312"/>
          <w:sz w:val="32"/>
        </w:rPr>
        <w:t>支出决算为</w:t>
      </w:r>
      <w:r>
        <w:rPr>
          <w:rFonts w:hint="eastAsia" w:eastAsia="仿宋_GB2312"/>
          <w:sz w:val="32"/>
        </w:rPr>
        <w:t>44.3</w:t>
      </w:r>
      <w:r>
        <w:rPr>
          <w:rFonts w:hint="eastAsia" w:eastAsia="仿宋_GB2312" w:cs="仿宋_GB2312"/>
          <w:sz w:val="32"/>
        </w:rPr>
        <w:t>万元，完成预算</w:t>
      </w:r>
      <w:r>
        <w:rPr>
          <w:rFonts w:eastAsia="仿宋_GB2312"/>
          <w:sz w:val="32"/>
        </w:rPr>
        <w:t>100%</w:t>
      </w:r>
      <w:r>
        <w:rPr>
          <w:rFonts w:hint="eastAsia" w:eastAsia="仿宋_GB2312" w:cs="仿宋_GB2312"/>
          <w:sz w:val="32"/>
        </w:rPr>
        <w:t>。</w:t>
      </w:r>
    </w:p>
    <w:p>
      <w:pPr>
        <w:tabs>
          <w:tab w:val="right" w:pos="8306"/>
        </w:tabs>
        <w:spacing w:line="600" w:lineRule="exact"/>
        <w:ind w:firstLine="640"/>
        <w:outlineLvl w:val="1"/>
        <w:rPr>
          <w:rStyle w:val="30"/>
        </w:rPr>
      </w:pPr>
      <w:bookmarkStart w:id="70" w:name="_Toc15377214"/>
      <w:bookmarkStart w:id="71" w:name="_Toc1916"/>
      <w:bookmarkStart w:id="72" w:name="_Toc15396608"/>
      <w:bookmarkStart w:id="73" w:name="_Toc1772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w:t>
      </w:r>
      <w:r>
        <w:rPr>
          <w:rFonts w:hint="eastAsia" w:ascii="黑体" w:hAnsi="黑体" w:eastAsia="黑体"/>
          <w:sz w:val="32"/>
          <w:szCs w:val="32"/>
        </w:rPr>
        <w:t>财政拨款基本支出决算情况说明</w:t>
      </w:r>
      <w:bookmarkEnd w:id="70"/>
      <w:bookmarkEnd w:id="71"/>
      <w:bookmarkEnd w:id="72"/>
      <w:bookmarkEnd w:id="73"/>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21年一般公共预算财政拨款基本支出44.2万元，其中：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44.2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0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0"/>
          <w:rFonts w:ascii="黑体" w:hAnsi="黑体" w:eastAsia="黑体"/>
          <w:b w:val="0"/>
        </w:rPr>
      </w:pPr>
      <w:bookmarkStart w:id="74" w:name="_Toc15377215"/>
      <w:bookmarkStart w:id="75" w:name="_Toc15396609"/>
      <w:bookmarkStart w:id="76" w:name="_Toc18815"/>
      <w:bookmarkStart w:id="77" w:name="_Toc27560"/>
      <w:r>
        <w:rPr>
          <w:rFonts w:hint="eastAsia" w:ascii="黑体" w:eastAsia="黑体"/>
          <w:sz w:val="32"/>
          <w:szCs w:val="32"/>
        </w:rPr>
        <w:t>七、</w:t>
      </w:r>
      <w:r>
        <w:rPr>
          <w:rStyle w:val="30"/>
          <w:rFonts w:hint="eastAsia" w:ascii="黑体" w:hAnsi="黑体" w:eastAsia="黑体"/>
        </w:rPr>
        <w:t>“</w:t>
      </w:r>
      <w:r>
        <w:rPr>
          <w:rStyle w:val="30"/>
          <w:rFonts w:hint="eastAsia" w:ascii="黑体" w:hAnsi="黑体" w:eastAsia="黑体"/>
          <w:b w:val="0"/>
        </w:rPr>
        <w:t>三公”经费</w:t>
      </w:r>
      <w:r>
        <w:rPr>
          <w:rFonts w:hint="eastAsia" w:ascii="黑体" w:hAnsi="黑体" w:eastAsia="黑体"/>
          <w:sz w:val="32"/>
          <w:szCs w:val="32"/>
        </w:rPr>
        <w:t>财政拨款支出决算情况说明</w:t>
      </w:r>
      <w:bookmarkEnd w:id="74"/>
      <w:bookmarkEnd w:id="75"/>
      <w:bookmarkEnd w:id="76"/>
      <w:bookmarkEnd w:id="77"/>
    </w:p>
    <w:p>
      <w:pPr>
        <w:spacing w:line="600" w:lineRule="exact"/>
        <w:ind w:firstLine="640"/>
        <w:outlineLvl w:val="2"/>
        <w:rPr>
          <w:rFonts w:ascii="仿宋" w:hAnsi="仿宋" w:eastAsia="仿宋"/>
          <w:b/>
          <w:sz w:val="32"/>
          <w:szCs w:val="32"/>
        </w:rPr>
      </w:pPr>
      <w:bookmarkStart w:id="78" w:name="_Toc22139"/>
      <w:bookmarkStart w:id="79" w:name="_Toc5828"/>
      <w:bookmarkStart w:id="80" w:name="_Toc15377216"/>
      <w:r>
        <w:rPr>
          <w:rFonts w:hint="eastAsia" w:ascii="仿宋" w:hAnsi="仿宋" w:eastAsia="仿宋"/>
          <w:b/>
          <w:sz w:val="32"/>
          <w:szCs w:val="32"/>
        </w:rPr>
        <w:t>（一）“三公”经费财政拨款支出决算总体情况说明</w:t>
      </w:r>
      <w:bookmarkEnd w:id="78"/>
      <w:bookmarkEnd w:id="79"/>
      <w:bookmarkEnd w:id="80"/>
    </w:p>
    <w:p>
      <w:pPr>
        <w:spacing w:line="600" w:lineRule="exact"/>
        <w:ind w:firstLine="640"/>
        <w:rPr>
          <w:rFonts w:ascii="仿宋" w:hAnsi="仿宋" w:eastAsia="仿宋"/>
          <w:sz w:val="32"/>
          <w:szCs w:val="32"/>
        </w:rPr>
      </w:pPr>
      <w:r>
        <w:rPr>
          <w:rFonts w:eastAsia="仿宋_GB2312"/>
          <w:sz w:val="32"/>
        </w:rPr>
        <w:t>202</w:t>
      </w:r>
      <w:r>
        <w:rPr>
          <w:rFonts w:hint="eastAsia" w:eastAsia="仿宋_GB2312"/>
          <w:sz w:val="32"/>
        </w:rPr>
        <w:t>1年“三公”经费财政拨款支出决算数为</w:t>
      </w:r>
      <w:r>
        <w:rPr>
          <w:rFonts w:eastAsia="仿宋_GB2312"/>
          <w:sz w:val="32"/>
        </w:rPr>
        <w:t>0</w:t>
      </w:r>
      <w:r>
        <w:rPr>
          <w:rFonts w:hint="eastAsia" w:eastAsia="仿宋_GB2312"/>
          <w:sz w:val="32"/>
        </w:rPr>
        <w:t>万元。因单位没有公务车辆，没有安排出国（境），没有公务接待开支。</w:t>
      </w:r>
    </w:p>
    <w:p>
      <w:pPr>
        <w:spacing w:line="600" w:lineRule="exact"/>
        <w:ind w:firstLine="640"/>
        <w:outlineLvl w:val="2"/>
        <w:rPr>
          <w:rFonts w:ascii="仿宋" w:hAnsi="仿宋" w:eastAsia="仿宋"/>
          <w:b/>
          <w:sz w:val="32"/>
          <w:szCs w:val="32"/>
        </w:rPr>
      </w:pPr>
      <w:bookmarkStart w:id="81" w:name="_Toc20218"/>
      <w:bookmarkStart w:id="82" w:name="_Toc13203"/>
      <w:bookmarkStart w:id="83" w:name="_Toc15377217"/>
      <w:r>
        <w:rPr>
          <w:rFonts w:hint="eastAsia" w:ascii="仿宋" w:hAnsi="仿宋" w:eastAsia="仿宋"/>
          <w:b/>
          <w:sz w:val="32"/>
          <w:szCs w:val="32"/>
        </w:rPr>
        <w:t>（二）“三公”经费财政拨款支出决算具体情况说明</w:t>
      </w:r>
      <w:bookmarkEnd w:id="81"/>
      <w:bookmarkEnd w:id="82"/>
      <w:bookmarkEnd w:id="83"/>
    </w:p>
    <w:p>
      <w:pPr>
        <w:spacing w:line="600" w:lineRule="exact"/>
        <w:ind w:firstLine="640"/>
        <w:rPr>
          <w:rFonts w:ascii="仿宋" w:hAnsi="仿宋" w:eastAsia="仿宋"/>
          <w:sz w:val="32"/>
          <w:szCs w:val="32"/>
        </w:rPr>
      </w:pPr>
      <w:r>
        <w:rPr>
          <w:rFonts w:eastAsia="仿宋_GB2312"/>
          <w:sz w:val="32"/>
        </w:rPr>
        <w:t>2020</w:t>
      </w:r>
      <w:r>
        <w:rPr>
          <w:rFonts w:hint="eastAsia" w:eastAsia="仿宋_GB2312"/>
          <w:sz w:val="32"/>
        </w:rPr>
        <w:t>年“三公”经费财政拨款支出决算中，因公出国（境）费支出决算</w:t>
      </w:r>
      <w:r>
        <w:rPr>
          <w:rFonts w:eastAsia="仿宋_GB2312"/>
          <w:sz w:val="32"/>
        </w:rPr>
        <w:t>0</w:t>
      </w:r>
      <w:r>
        <w:rPr>
          <w:rFonts w:hint="eastAsia" w:eastAsia="仿宋_GB2312"/>
          <w:sz w:val="32"/>
        </w:rPr>
        <w:t>万元，公务用车购置及运行维护费支出决算</w:t>
      </w:r>
      <w:r>
        <w:rPr>
          <w:rFonts w:eastAsia="仿宋_GB2312"/>
          <w:sz w:val="32"/>
        </w:rPr>
        <w:t>0</w:t>
      </w:r>
      <w:r>
        <w:rPr>
          <w:rFonts w:hint="eastAsia" w:eastAsia="仿宋_GB2312"/>
          <w:sz w:val="32"/>
        </w:rPr>
        <w:t>万元；公务接待费支出决算</w:t>
      </w:r>
      <w:r>
        <w:rPr>
          <w:rFonts w:eastAsia="仿宋_GB2312"/>
          <w:sz w:val="32"/>
        </w:rPr>
        <w:t>0</w:t>
      </w:r>
      <w:r>
        <w:rPr>
          <w:rFonts w:hint="eastAsia" w:eastAsia="仿宋_GB2312"/>
          <w:sz w:val="32"/>
        </w:rPr>
        <w:t>万元。</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r>
        <w:drawing>
          <wp:anchor distT="0" distB="0" distL="114300" distR="114300" simplePos="0" relativeHeight="251659264" behindDoc="0" locked="0" layoutInCell="1" allowOverlap="1">
            <wp:simplePos x="0" y="0"/>
            <wp:positionH relativeFrom="column">
              <wp:posOffset>864870</wp:posOffset>
            </wp:positionH>
            <wp:positionV relativeFrom="paragraph">
              <wp:posOffset>6985</wp:posOffset>
            </wp:positionV>
            <wp:extent cx="3975100" cy="2323465"/>
            <wp:effectExtent l="0" t="0" r="6350" b="635"/>
            <wp:wrapNone/>
            <wp:docPr id="647" name="_x0000_s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 name="_x0000_s2420"/>
                    <pic:cNvPicPr>
                      <a:picLocks noChangeAspect="1"/>
                    </pic:cNvPicPr>
                  </pic:nvPicPr>
                  <pic:blipFill>
                    <a:blip r:embed="rId12"/>
                    <a:stretch>
                      <a:fillRect/>
                    </a:stretch>
                  </pic:blipFill>
                  <pic:spPr>
                    <a:xfrm>
                      <a:off x="0" y="0"/>
                      <a:ext cx="3975100" cy="2323465"/>
                    </a:xfrm>
                    <a:prstGeom prst="rect">
                      <a:avLst/>
                    </a:prstGeom>
                    <a:noFill/>
                    <a:ln>
                      <a:noFill/>
                    </a:ln>
                  </pic:spPr>
                </pic:pic>
              </a:graphicData>
            </a:graphic>
          </wp:anchor>
        </w:drawing>
      </w: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eastAsia="仿宋_GB2312"/>
          <w:b/>
          <w:bCs/>
          <w:sz w:val="32"/>
        </w:rPr>
        <w:t>因公出国（境）经费</w:t>
      </w:r>
      <w:r>
        <w:rPr>
          <w:rFonts w:hint="eastAsia" w:eastAsia="仿宋_GB2312"/>
          <w:sz w:val="32"/>
        </w:rPr>
        <w:t>支出</w:t>
      </w:r>
      <w:r>
        <w:rPr>
          <w:rFonts w:eastAsia="仿宋_GB2312"/>
          <w:sz w:val="32"/>
        </w:rPr>
        <w:t>0</w:t>
      </w:r>
      <w:r>
        <w:rPr>
          <w:rFonts w:hint="eastAsia" w:eastAsia="仿宋_GB2312"/>
          <w:sz w:val="32"/>
        </w:rPr>
        <w:t>万元，年初没有安排出国（境）预算。全年安排因公出国（境）团组</w:t>
      </w:r>
      <w:r>
        <w:rPr>
          <w:rFonts w:eastAsia="仿宋_GB2312"/>
          <w:sz w:val="32"/>
        </w:rPr>
        <w:t>0</w:t>
      </w:r>
      <w:r>
        <w:rPr>
          <w:rFonts w:hint="eastAsia" w:eastAsia="仿宋_GB2312"/>
          <w:sz w:val="32"/>
        </w:rPr>
        <w:t>次，出国（境）</w:t>
      </w:r>
      <w:r>
        <w:rPr>
          <w:rFonts w:eastAsia="仿宋_GB2312"/>
          <w:sz w:val="32"/>
        </w:rPr>
        <w:t>0</w:t>
      </w:r>
      <w:r>
        <w:rPr>
          <w:rFonts w:hint="eastAsia" w:eastAsia="仿宋_GB2312"/>
          <w:sz w:val="32"/>
        </w:rPr>
        <w:t>人。因公出国（境）支出决算与</w:t>
      </w:r>
      <w:r>
        <w:rPr>
          <w:rFonts w:eastAsia="仿宋_GB2312"/>
          <w:sz w:val="32"/>
        </w:rPr>
        <w:t>20</w:t>
      </w:r>
      <w:r>
        <w:rPr>
          <w:rFonts w:hint="eastAsia" w:eastAsia="仿宋_GB2312"/>
          <w:sz w:val="32"/>
        </w:rPr>
        <w:t>20年相比，无变化。</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eastAsia="仿宋_GB2312"/>
          <w:b/>
          <w:bCs/>
          <w:sz w:val="32"/>
        </w:rPr>
        <w:t>公务用车购置及运行维护费</w:t>
      </w:r>
      <w:r>
        <w:rPr>
          <w:rFonts w:hint="eastAsia" w:eastAsia="仿宋_GB2312"/>
          <w:sz w:val="32"/>
        </w:rPr>
        <w:t>支出</w:t>
      </w:r>
      <w:r>
        <w:rPr>
          <w:rFonts w:eastAsia="仿宋_GB2312"/>
          <w:sz w:val="32"/>
        </w:rPr>
        <w:t>0</w:t>
      </w:r>
      <w:r>
        <w:rPr>
          <w:rFonts w:hint="eastAsia" w:eastAsia="仿宋_GB2312"/>
          <w:sz w:val="32"/>
        </w:rPr>
        <w:t>万元</w:t>
      </w:r>
      <w:r>
        <w:t>，</w:t>
      </w:r>
      <w:r>
        <w:rPr>
          <w:rFonts w:hint="eastAsia" w:eastAsia="仿宋_GB2312"/>
          <w:sz w:val="32"/>
        </w:rPr>
        <w:t>与</w:t>
      </w:r>
      <w:r>
        <w:rPr>
          <w:rFonts w:eastAsia="仿宋_GB2312"/>
          <w:sz w:val="32"/>
        </w:rPr>
        <w:t>20</w:t>
      </w:r>
      <w:r>
        <w:rPr>
          <w:rFonts w:hint="eastAsia" w:eastAsia="仿宋_GB2312"/>
          <w:sz w:val="32"/>
        </w:rPr>
        <w:t>20年保持一致。因年初也未安排公务用车购置及运行维护费的预算经费，公职人员外出执行公务选择公共交通工具。</w:t>
      </w:r>
    </w:p>
    <w:p>
      <w:pPr>
        <w:spacing w:line="600" w:lineRule="exact"/>
        <w:ind w:firstLine="640"/>
        <w:rPr>
          <w:rFonts w:ascii="仿宋_GB2312" w:eastAsia="仿宋_GB2312"/>
          <w:b/>
          <w:sz w:val="32"/>
          <w:szCs w:val="32"/>
        </w:rPr>
      </w:pPr>
      <w:r>
        <w:rPr>
          <w:rFonts w:ascii="仿宋_GB2312" w:eastAsia="仿宋_GB2312"/>
          <w:b/>
          <w:sz w:val="32"/>
          <w:szCs w:val="32"/>
        </w:rPr>
        <w:t>3.</w:t>
      </w:r>
      <w:r>
        <w:rPr>
          <w:rFonts w:hint="eastAsia" w:eastAsia="仿宋_GB2312"/>
          <w:b/>
          <w:bCs/>
          <w:sz w:val="32"/>
        </w:rPr>
        <w:t>公务接待费</w:t>
      </w:r>
      <w:r>
        <w:rPr>
          <w:rFonts w:hint="eastAsia" w:eastAsia="仿宋_GB2312"/>
          <w:sz w:val="32"/>
        </w:rPr>
        <w:t>支出</w:t>
      </w:r>
      <w:r>
        <w:rPr>
          <w:rFonts w:eastAsia="仿宋_GB2312"/>
          <w:sz w:val="32"/>
        </w:rPr>
        <w:t>0</w:t>
      </w:r>
      <w:r>
        <w:rPr>
          <w:rFonts w:hint="eastAsia" w:eastAsia="仿宋_GB2312"/>
          <w:sz w:val="32"/>
        </w:rPr>
        <w:t>万元。公务接待费支出决算与2020年相比，无变化。主要原因是单位没有公务接待相关费用支出。</w:t>
      </w:r>
    </w:p>
    <w:p>
      <w:pPr>
        <w:spacing w:line="600" w:lineRule="exact"/>
        <w:ind w:firstLine="640"/>
        <w:outlineLvl w:val="1"/>
        <w:rPr>
          <w:rStyle w:val="30"/>
          <w:rFonts w:ascii="黑体" w:hAnsi="黑体" w:eastAsia="黑体"/>
        </w:rPr>
      </w:pPr>
      <w:bookmarkStart w:id="84" w:name="_Toc15377218"/>
      <w:bookmarkStart w:id="85" w:name="_Toc23684"/>
      <w:bookmarkStart w:id="86" w:name="_Toc15396610"/>
      <w:bookmarkStart w:id="87" w:name="_Toc30838"/>
      <w:r>
        <w:rPr>
          <w:rFonts w:hint="eastAsia" w:ascii="黑体" w:eastAsia="黑体"/>
          <w:sz w:val="32"/>
          <w:szCs w:val="32"/>
        </w:rPr>
        <w:t>八、</w:t>
      </w:r>
      <w:r>
        <w:rPr>
          <w:rStyle w:val="30"/>
          <w:rFonts w:hint="eastAsia" w:ascii="黑体" w:hAnsi="黑体" w:eastAsia="黑体"/>
          <w:b w:val="0"/>
        </w:rPr>
        <w:t>政府性基金预算</w:t>
      </w:r>
      <w:r>
        <w:rPr>
          <w:rFonts w:hint="eastAsia" w:ascii="黑体" w:hAnsi="黑体" w:eastAsia="黑体"/>
          <w:sz w:val="32"/>
          <w:szCs w:val="32"/>
        </w:rPr>
        <w:t>支出决算情况说明</w:t>
      </w:r>
      <w:bookmarkEnd w:id="84"/>
      <w:bookmarkEnd w:id="85"/>
      <w:bookmarkEnd w:id="86"/>
      <w:bookmarkEnd w:id="8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w:t>
      </w:r>
      <w:r>
        <w:rPr>
          <w:rFonts w:hint="eastAsia" w:eastAsia="仿宋_GB2312"/>
          <w:sz w:val="32"/>
          <w:szCs w:val="32"/>
        </w:rPr>
        <w:t>年本单位没有政府基金预算收</w:t>
      </w:r>
      <w:r>
        <w:rPr>
          <w:rFonts w:hint="eastAsia" w:eastAsia="仿宋_GB2312"/>
          <w:sz w:val="32"/>
        </w:rPr>
        <w:t>支。</w:t>
      </w:r>
    </w:p>
    <w:p>
      <w:pPr>
        <w:numPr>
          <w:ilvl w:val="0"/>
          <w:numId w:val="3"/>
        </w:numPr>
        <w:spacing w:line="600" w:lineRule="exact"/>
        <w:ind w:firstLine="640"/>
        <w:outlineLvl w:val="1"/>
        <w:rPr>
          <w:rStyle w:val="30"/>
          <w:rFonts w:ascii="黑体" w:hAnsi="黑体" w:eastAsia="黑体"/>
          <w:b w:val="0"/>
        </w:rPr>
      </w:pPr>
      <w:bookmarkStart w:id="88" w:name="_Toc12063"/>
      <w:bookmarkStart w:id="89" w:name="_Toc15377219"/>
      <w:bookmarkStart w:id="90" w:name="_Toc5679"/>
      <w:bookmarkStart w:id="91" w:name="_Toc15396611"/>
      <w:r>
        <w:rPr>
          <w:rStyle w:val="30"/>
          <w:rFonts w:hint="eastAsia" w:ascii="黑体" w:hAnsi="黑体" w:eastAsia="黑体"/>
          <w:b w:val="0"/>
        </w:rPr>
        <w:t>国有</w:t>
      </w:r>
      <w:r>
        <w:rPr>
          <w:rFonts w:hint="eastAsia" w:ascii="黑体" w:hAnsi="黑体" w:eastAsia="黑体"/>
          <w:sz w:val="32"/>
          <w:szCs w:val="32"/>
        </w:rPr>
        <w:t>资本经营</w:t>
      </w:r>
      <w:r>
        <w:rPr>
          <w:rStyle w:val="30"/>
          <w:rFonts w:hint="eastAsia" w:ascii="黑体" w:hAnsi="黑体" w:eastAsia="黑体"/>
          <w:b w:val="0"/>
        </w:rPr>
        <w:t>预算</w:t>
      </w:r>
      <w:r>
        <w:rPr>
          <w:rFonts w:hint="eastAsia" w:ascii="黑体" w:hAnsi="黑体" w:eastAsia="黑体"/>
          <w:sz w:val="32"/>
          <w:szCs w:val="32"/>
        </w:rPr>
        <w:t>支出决算情况说明</w:t>
      </w:r>
      <w:bookmarkEnd w:id="88"/>
      <w:bookmarkEnd w:id="89"/>
      <w:bookmarkEnd w:id="90"/>
      <w:bookmarkEnd w:id="91"/>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w:t>
      </w:r>
      <w:r>
        <w:rPr>
          <w:rFonts w:hint="eastAsia" w:eastAsia="仿宋_GB2312"/>
          <w:sz w:val="32"/>
          <w:szCs w:val="32"/>
        </w:rPr>
        <w:t>年本单位没有国有资本经</w:t>
      </w:r>
      <w:r>
        <w:rPr>
          <w:rFonts w:hint="eastAsia" w:eastAsia="仿宋_GB2312"/>
          <w:sz w:val="32"/>
        </w:rPr>
        <w:t>营预算拨款支出。</w:t>
      </w:r>
    </w:p>
    <w:p>
      <w:pPr>
        <w:numPr>
          <w:ilvl w:val="0"/>
          <w:numId w:val="3"/>
        </w:numPr>
        <w:spacing w:line="560" w:lineRule="exact"/>
        <w:ind w:firstLine="640"/>
        <w:outlineLvl w:val="1"/>
        <w:rPr>
          <w:rStyle w:val="30"/>
          <w:rFonts w:ascii="黑体" w:hAnsi="黑体" w:eastAsia="黑体"/>
          <w:b w:val="0"/>
        </w:rPr>
      </w:pPr>
      <w:bookmarkStart w:id="92" w:name="_Toc11303"/>
      <w:bookmarkStart w:id="93" w:name="_Toc15377221"/>
      <w:bookmarkStart w:id="94" w:name="_Toc13691"/>
      <w:bookmarkStart w:id="95" w:name="_Toc15396612"/>
      <w:r>
        <w:rPr>
          <w:rStyle w:val="30"/>
          <w:rFonts w:hint="eastAsia" w:ascii="黑体" w:hAnsi="黑体" w:eastAsia="黑体"/>
          <w:b w:val="0"/>
        </w:rPr>
        <w:t>其他重要事项的情况说明</w:t>
      </w:r>
      <w:bookmarkEnd w:id="92"/>
      <w:bookmarkEnd w:id="93"/>
      <w:bookmarkEnd w:id="94"/>
      <w:bookmarkEnd w:id="95"/>
    </w:p>
    <w:p>
      <w:pPr>
        <w:pStyle w:val="15"/>
        <w:widowControl/>
        <w:spacing w:before="0" w:after="0" w:line="560" w:lineRule="exact"/>
        <w:ind w:firstLine="643" w:firstLineChars="200"/>
      </w:pPr>
      <w:bookmarkStart w:id="96" w:name="_Toc16391"/>
      <w:bookmarkStart w:id="97" w:name="_Toc6221"/>
      <w:bookmarkStart w:id="98" w:name="_Toc15377222"/>
      <w:r>
        <w:rPr>
          <w:rFonts w:hint="eastAsia" w:cs="宋体"/>
        </w:rPr>
        <w:t>（一）单位运行经费支出情况</w:t>
      </w:r>
      <w:bookmarkEnd w:id="96"/>
      <w:bookmarkEnd w:id="97"/>
    </w:p>
    <w:p>
      <w:pPr>
        <w:widowControl/>
        <w:spacing w:line="560" w:lineRule="exact"/>
        <w:ind w:firstLine="640" w:firstLineChars="200"/>
        <w:jc w:val="left"/>
        <w:rPr>
          <w:rFonts w:ascii="仿宋" w:hAnsi="仿宋" w:eastAsia="仿宋"/>
          <w:b/>
          <w:sz w:val="32"/>
          <w:szCs w:val="32"/>
        </w:rPr>
      </w:pPr>
      <w:r>
        <w:rPr>
          <w:rFonts w:eastAsia="仿宋_GB2312"/>
          <w:sz w:val="32"/>
        </w:rPr>
        <w:t>202</w:t>
      </w:r>
      <w:r>
        <w:rPr>
          <w:rFonts w:hint="eastAsia" w:eastAsia="仿宋_GB2312"/>
          <w:sz w:val="32"/>
        </w:rPr>
        <w:t>1年，本单位运行经费支出</w:t>
      </w:r>
      <w:r>
        <w:rPr>
          <w:rFonts w:eastAsia="仿宋_GB2312"/>
          <w:sz w:val="32"/>
        </w:rPr>
        <w:t>0</w:t>
      </w:r>
      <w:r>
        <w:rPr>
          <w:rFonts w:hint="eastAsia" w:eastAsia="仿宋_GB2312"/>
          <w:sz w:val="32"/>
        </w:rPr>
        <w:t>万元，比</w:t>
      </w:r>
      <w:r>
        <w:rPr>
          <w:rFonts w:eastAsia="仿宋_GB2312"/>
          <w:sz w:val="32"/>
        </w:rPr>
        <w:t>20</w:t>
      </w:r>
      <w:r>
        <w:rPr>
          <w:rFonts w:hint="eastAsia" w:eastAsia="仿宋_GB2312"/>
          <w:sz w:val="32"/>
        </w:rPr>
        <w:t>20年减少</w:t>
      </w:r>
      <w:r>
        <w:rPr>
          <w:rFonts w:eastAsia="仿宋_GB2312"/>
          <w:sz w:val="32"/>
        </w:rPr>
        <w:t>0</w:t>
      </w:r>
      <w:r>
        <w:rPr>
          <w:rFonts w:hint="eastAsia" w:eastAsia="仿宋_GB2312"/>
          <w:sz w:val="32"/>
        </w:rPr>
        <w:t>万元，下降</w:t>
      </w:r>
      <w:r>
        <w:rPr>
          <w:rFonts w:eastAsia="仿宋_GB2312"/>
          <w:sz w:val="32"/>
        </w:rPr>
        <w:t>0%</w:t>
      </w:r>
      <w:r>
        <w:rPr>
          <w:rFonts w:hint="eastAsia" w:eastAsia="仿宋_GB2312"/>
          <w:sz w:val="32"/>
        </w:rPr>
        <w:t>。主要原因是加强了单位内务管理，减少了公务接待开支等。</w:t>
      </w:r>
      <w:bookmarkEnd w:id="98"/>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99" w:name="_Toc28500"/>
      <w:bookmarkStart w:id="100" w:name="_Toc26366"/>
      <w:bookmarkStart w:id="101" w:name="_Toc15377223"/>
      <w:r>
        <w:rPr>
          <w:rFonts w:hint="eastAsia" w:ascii="仿宋" w:hAnsi="仿宋" w:eastAsia="仿宋"/>
          <w:b/>
          <w:sz w:val="32"/>
          <w:szCs w:val="32"/>
        </w:rPr>
        <w:t>（二）政府采购支出情况</w:t>
      </w:r>
      <w:bookmarkEnd w:id="99"/>
      <w:bookmarkEnd w:id="100"/>
      <w:bookmarkEnd w:id="10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eastAsia="仿宋_GB2312"/>
          <w:sz w:val="32"/>
        </w:rPr>
        <w:t>，本单位政府采购支出总额</w:t>
      </w:r>
      <w:r>
        <w:rPr>
          <w:rFonts w:eastAsia="仿宋_GB2312"/>
          <w:sz w:val="32"/>
        </w:rPr>
        <w:t>0</w:t>
      </w:r>
      <w:r>
        <w:rPr>
          <w:rFonts w:hint="eastAsia" w:eastAsia="仿宋_GB2312"/>
          <w:sz w:val="32"/>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02" w:name="_Toc15377224"/>
      <w:bookmarkStart w:id="103" w:name="_Toc24196"/>
      <w:bookmarkStart w:id="104" w:name="_Toc2105"/>
      <w:r>
        <w:rPr>
          <w:rFonts w:hint="eastAsia" w:ascii="仿宋" w:hAnsi="仿宋" w:eastAsia="仿宋"/>
          <w:b/>
          <w:sz w:val="32"/>
          <w:szCs w:val="32"/>
        </w:rPr>
        <w:t>（三）国有资产占有使用情况</w:t>
      </w:r>
      <w:bookmarkEnd w:id="102"/>
      <w:bookmarkEnd w:id="103"/>
      <w:bookmarkEnd w:id="10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eastAsia="仿宋_GB2312"/>
          <w:sz w:val="32"/>
        </w:rPr>
        <w:t>本单位车辆数为</w:t>
      </w:r>
      <w:r>
        <w:rPr>
          <w:rFonts w:eastAsia="仿宋_GB2312"/>
          <w:sz w:val="32"/>
        </w:rPr>
        <w:t>0</w:t>
      </w:r>
      <w:r>
        <w:rPr>
          <w:rFonts w:hint="eastAsia" w:eastAsia="仿宋_GB2312"/>
          <w:sz w:val="32"/>
        </w:rPr>
        <w:t>台，单价</w:t>
      </w:r>
      <w:r>
        <w:rPr>
          <w:rFonts w:eastAsia="仿宋_GB2312"/>
          <w:sz w:val="32"/>
        </w:rPr>
        <w:t>50</w:t>
      </w:r>
      <w:r>
        <w:rPr>
          <w:rFonts w:hint="eastAsia" w:eastAsia="仿宋_GB2312"/>
          <w:sz w:val="32"/>
        </w:rPr>
        <w:t>万元以上专用设备</w:t>
      </w:r>
      <w:r>
        <w:rPr>
          <w:rFonts w:eastAsia="仿宋_GB2312"/>
          <w:sz w:val="32"/>
        </w:rPr>
        <w:t>0</w:t>
      </w:r>
      <w:r>
        <w:rPr>
          <w:rFonts w:hint="eastAsia" w:eastAsia="仿宋_GB2312"/>
          <w:sz w:val="32"/>
        </w:rPr>
        <w:t>台（套），单价</w:t>
      </w:r>
      <w:r>
        <w:rPr>
          <w:rFonts w:eastAsia="仿宋_GB2312"/>
          <w:sz w:val="32"/>
        </w:rPr>
        <w:t>100</w:t>
      </w:r>
      <w:r>
        <w:rPr>
          <w:rFonts w:hint="eastAsia" w:eastAsia="仿宋_GB2312"/>
          <w:sz w:val="32"/>
        </w:rPr>
        <w:t>万元以上专用设备</w:t>
      </w:r>
      <w:r>
        <w:rPr>
          <w:rFonts w:eastAsia="仿宋_GB2312"/>
          <w:sz w:val="32"/>
        </w:rPr>
        <w:t>0</w:t>
      </w:r>
      <w:r>
        <w:rPr>
          <w:rFonts w:hint="eastAsia" w:eastAsia="仿宋_GB2312"/>
          <w:sz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05" w:name="_Toc20043"/>
      <w:bookmarkStart w:id="106" w:name="_Toc13858"/>
      <w:r>
        <w:rPr>
          <w:rFonts w:hint="eastAsia" w:ascii="仿宋" w:hAnsi="仿宋" w:eastAsia="仿宋"/>
          <w:b/>
          <w:sz w:val="32"/>
          <w:szCs w:val="32"/>
        </w:rPr>
        <w:t>（四）预算绩效管理情况</w:t>
      </w:r>
      <w:bookmarkEnd w:id="105"/>
      <w:bookmarkEnd w:id="106"/>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基本公共服务补助、基药补助与村卫生室补助2个项目开展了预算事前绩效评估，对2个项目编制了绩效目标，预算执行过程中，选取2个项目开展绩效监控，年终执行完毕后，对2个项目开展了绩效自评，2021年特定目标类部门预算项目绩效目标自评表见附件（第四部分）。</w:t>
      </w:r>
    </w:p>
    <w:p>
      <w:pPr>
        <w:widowControl/>
        <w:jc w:val="left"/>
        <w:rPr>
          <w:rFonts w:ascii="仿宋_GB2312" w:eastAsia="仿宋_GB2312"/>
          <w:b/>
          <w:sz w:val="32"/>
          <w:szCs w:val="32"/>
        </w:rPr>
      </w:pPr>
    </w:p>
    <w:p>
      <w:pPr>
        <w:numPr>
          <w:ilvl w:val="0"/>
          <w:numId w:val="4"/>
        </w:numPr>
        <w:spacing w:line="600" w:lineRule="exact"/>
        <w:ind w:firstLine="660" w:firstLineChars="150"/>
        <w:jc w:val="center"/>
        <w:outlineLvl w:val="0"/>
        <w:rPr>
          <w:rStyle w:val="29"/>
          <w:rFonts w:ascii="黑体" w:hAnsi="黑体" w:eastAsia="黑体"/>
          <w:b w:val="0"/>
        </w:rPr>
      </w:pPr>
      <w:bookmarkStart w:id="107" w:name="_Toc10852"/>
      <w:bookmarkStart w:id="108" w:name="_Toc18886"/>
      <w:bookmarkStart w:id="109" w:name="_Toc15396613"/>
      <w:bookmarkStart w:id="110" w:name="_Toc15377225"/>
      <w:r>
        <w:rPr>
          <w:rFonts w:hint="eastAsia" w:ascii="黑体" w:hAnsi="黑体" w:eastAsia="黑体"/>
          <w:sz w:val="44"/>
          <w:szCs w:val="44"/>
        </w:rPr>
        <w:t>名</w:t>
      </w:r>
      <w:r>
        <w:rPr>
          <w:rStyle w:val="29"/>
          <w:rFonts w:hint="eastAsia" w:ascii="黑体" w:hAnsi="黑体" w:eastAsia="黑体"/>
          <w:b w:val="0"/>
        </w:rPr>
        <w:t>词解释</w:t>
      </w:r>
      <w:bookmarkEnd w:id="107"/>
      <w:bookmarkEnd w:id="108"/>
      <w:bookmarkEnd w:id="109"/>
      <w:bookmarkEnd w:id="110"/>
    </w:p>
    <w:p>
      <w:pPr>
        <w:spacing w:line="600" w:lineRule="exact"/>
        <w:jc w:val="left"/>
        <w:rPr>
          <w:rFonts w:ascii="宋体"/>
          <w:b/>
          <w:sz w:val="44"/>
          <w:szCs w:val="44"/>
        </w:rPr>
      </w:pPr>
    </w:p>
    <w:p>
      <w:pPr>
        <w:ind w:firstLine="640" w:firstLineChars="200"/>
      </w:pPr>
      <w:bookmarkStart w:id="111" w:name="_Toc15377226"/>
      <w:r>
        <w:rPr>
          <w:rFonts w:eastAsia="仿宋_GB2312"/>
          <w:sz w:val="32"/>
        </w:rPr>
        <w:t>1.</w:t>
      </w:r>
      <w:r>
        <w:rPr>
          <w:rFonts w:hint="eastAsia" w:eastAsia="仿宋_GB2312" w:cs="仿宋_GB2312"/>
          <w:sz w:val="32"/>
        </w:rPr>
        <w:t>财政拨款收入：指单位从同级财政部门取得的财政预算资金。</w:t>
      </w:r>
    </w:p>
    <w:p>
      <w:pPr>
        <w:ind w:firstLine="640" w:firstLineChars="200"/>
        <w:rPr>
          <w:rFonts w:eastAsia="仿宋_GB2312" w:cs="仿宋_GB2312"/>
          <w:sz w:val="32"/>
        </w:rPr>
      </w:pPr>
      <w:r>
        <w:rPr>
          <w:rFonts w:eastAsia="仿宋_GB2312"/>
          <w:sz w:val="32"/>
        </w:rPr>
        <w:t>2.</w:t>
      </w:r>
      <w:r>
        <w:rPr>
          <w:rFonts w:hint="eastAsia" w:eastAsia="仿宋_GB2312" w:cs="仿宋_GB2312"/>
          <w:sz w:val="32"/>
        </w:rPr>
        <w:t>事业收入：指事业单位开展专业业务活动及辅助活动取得的收入。</w:t>
      </w:r>
    </w:p>
    <w:p>
      <w:pPr>
        <w:ind w:firstLine="640" w:firstLineChars="200"/>
        <w:rPr>
          <w:rFonts w:eastAsia="仿宋_GB2312" w:cs="仿宋_GB2312"/>
          <w:sz w:val="32"/>
        </w:rPr>
      </w:pPr>
      <w:r>
        <w:rPr>
          <w:rFonts w:eastAsia="仿宋_GB2312"/>
          <w:sz w:val="32"/>
        </w:rPr>
        <w:t>3.</w:t>
      </w:r>
      <w:r>
        <w:rPr>
          <w:rFonts w:hint="eastAsia" w:eastAsia="仿宋_GB2312" w:cs="仿宋_GB2312"/>
          <w:sz w:val="32"/>
        </w:rPr>
        <w:t>经营收入：指事业单位在专业业务活动及其辅助活动之外开展非独立核算经营活动取得的收入。</w:t>
      </w:r>
    </w:p>
    <w:p>
      <w:pPr>
        <w:ind w:firstLine="640" w:firstLineChars="200"/>
      </w:pPr>
      <w:r>
        <w:rPr>
          <w:rFonts w:eastAsia="仿宋_GB2312"/>
          <w:sz w:val="32"/>
        </w:rPr>
        <w:t>4.</w:t>
      </w:r>
      <w:r>
        <w:rPr>
          <w:rFonts w:hint="eastAsia" w:eastAsia="仿宋_GB2312" w:cs="仿宋_GB2312"/>
          <w:sz w:val="32"/>
        </w:rPr>
        <w:t>其他收入：指单位取得的除上述收入以外的各项收入。</w:t>
      </w:r>
    </w:p>
    <w:p>
      <w:pPr>
        <w:ind w:firstLine="640" w:firstLineChars="200"/>
      </w:pPr>
      <w:r>
        <w:rPr>
          <w:rFonts w:eastAsia="仿宋_GB2312"/>
          <w:sz w:val="32"/>
        </w:rPr>
        <w:t>5.</w:t>
      </w:r>
      <w:r>
        <w:rPr>
          <w:rFonts w:hint="eastAsia" w:eastAsia="仿宋_GB2312" w:cs="仿宋_GB2312"/>
          <w:sz w:val="32"/>
        </w:rPr>
        <w:t>使用非财政拨款结余：指事业单位使用以前年度积累的非财政拨款结余弥补当年收支差额的金额。</w:t>
      </w:r>
    </w:p>
    <w:p>
      <w:pPr>
        <w:ind w:firstLine="640" w:firstLineChars="200"/>
      </w:pPr>
      <w:r>
        <w:rPr>
          <w:rFonts w:eastAsia="仿宋_GB2312"/>
          <w:sz w:val="32"/>
        </w:rPr>
        <w:t>6.</w:t>
      </w:r>
      <w:r>
        <w:rPr>
          <w:rFonts w:hint="eastAsia" w:eastAsia="仿宋_GB2312" w:cs="仿宋_GB2312"/>
          <w:sz w:val="32"/>
        </w:rPr>
        <w:t>年初结转和结余：指以前年度尚未完成、结转到</w:t>
      </w:r>
      <w:r>
        <w:rPr>
          <w:rFonts w:hint="eastAsia" w:eastAsia="仿宋_GB2312" w:cs="仿宋_GB2312"/>
          <w:sz w:val="32"/>
          <w:u w:val="thick" w:color="46CD7E"/>
          <w:shd w:val="clear" w:fill="DAF5E5"/>
          <w:lang w:eastAsia="zh-CN"/>
        </w:rPr>
        <w:t>本年度</w:t>
      </w:r>
      <w:r>
        <w:rPr>
          <w:rFonts w:hint="eastAsia" w:eastAsia="仿宋_GB2312" w:cs="仿宋_GB2312"/>
          <w:sz w:val="32"/>
        </w:rPr>
        <w:t>有关规定继续使用的资金。</w:t>
      </w:r>
    </w:p>
    <w:p>
      <w:pPr>
        <w:ind w:firstLine="640" w:firstLineChars="200"/>
      </w:pPr>
      <w:r>
        <w:rPr>
          <w:rFonts w:eastAsia="仿宋_GB2312"/>
          <w:sz w:val="32"/>
        </w:rPr>
        <w:t>7.</w:t>
      </w:r>
      <w:r>
        <w:rPr>
          <w:rFonts w:hint="eastAsia" w:eastAsia="仿宋_GB2312" w:cs="仿宋_GB2312"/>
          <w:sz w:val="32"/>
        </w:rPr>
        <w:t>结余分配：指事业单位按照会计制度规定缴纳的所得税、提取的专用结余以及转入非财政拨款结余的金额等。</w:t>
      </w:r>
    </w:p>
    <w:p>
      <w:pPr>
        <w:ind w:firstLine="640" w:firstLineChars="200"/>
      </w:pPr>
      <w:r>
        <w:rPr>
          <w:rFonts w:eastAsia="仿宋_GB2312"/>
          <w:sz w:val="32"/>
        </w:rPr>
        <w:t>8</w:t>
      </w:r>
      <w:r>
        <w:rPr>
          <w:rFonts w:hint="eastAsia" w:eastAsia="仿宋_GB2312" w:cs="仿宋_GB2312"/>
          <w:sz w:val="32"/>
          <w:u w:val="thick" w:color="46CD7E"/>
          <w:shd w:val="clear" w:fill="DAF5E5"/>
          <w:lang w:eastAsia="zh-CN"/>
        </w:rPr>
        <w:t>.</w:t>
      </w:r>
      <w:r>
        <w:rPr>
          <w:rFonts w:hint="eastAsia" w:eastAsia="仿宋_GB2312" w:cs="仿宋_GB2312"/>
          <w:sz w:val="32"/>
        </w:rPr>
        <w:t>年末结转和结余：指单位按有关规定结转到下年或以后年度继续使用的资金。</w:t>
      </w:r>
    </w:p>
    <w:p>
      <w:pPr>
        <w:ind w:firstLine="640" w:firstLineChars="200"/>
      </w:pPr>
      <w:r>
        <w:rPr>
          <w:rFonts w:eastAsia="仿宋_GB2312"/>
          <w:sz w:val="32"/>
          <w:u w:val="thick" w:color="FFB03A"/>
          <w:shd w:val="clear" w:fill="FFEFD8"/>
        </w:rPr>
        <w:t>9.</w:t>
      </w:r>
      <w:r>
        <w:rPr>
          <w:rFonts w:hint="eastAsia" w:eastAsia="仿宋_GB2312" w:cs="仿宋_GB2312"/>
          <w:sz w:val="32"/>
        </w:rPr>
        <w:t>一般公共服务（类）人力资源事务（款）引进人才费用（项）：指反映用于引进外国专家补助、引智成果推广等方面的支出。</w:t>
      </w:r>
    </w:p>
    <w:p>
      <w:pPr>
        <w:ind w:firstLine="640" w:firstLineChars="200"/>
      </w:pPr>
      <w:r>
        <w:rPr>
          <w:rFonts w:eastAsia="仿宋_GB2312"/>
          <w:sz w:val="32"/>
        </w:rPr>
        <w:t>10.</w:t>
      </w:r>
      <w:r>
        <w:rPr>
          <w:rFonts w:hint="eastAsia" w:eastAsia="仿宋_GB2312" w:cs="仿宋_GB2312"/>
          <w:sz w:val="32"/>
        </w:rPr>
        <w:t>教育（类）职业教育（款）中专教育（项）</w:t>
      </w:r>
      <w:r>
        <w:rPr>
          <w:rFonts w:eastAsia="仿宋_GB2312"/>
          <w:sz w:val="32"/>
        </w:rPr>
        <w:t>:</w:t>
      </w:r>
      <w:r>
        <w:rPr>
          <w:rFonts w:hint="eastAsia" w:eastAsia="仿宋_GB2312" w:cs="仿宋_GB2312"/>
          <w:sz w:val="32"/>
        </w:rPr>
        <w:t>指各部门举办的各类中等专业学校的支出。</w:t>
      </w:r>
    </w:p>
    <w:p>
      <w:pPr>
        <w:ind w:firstLine="640" w:firstLineChars="200"/>
      </w:pPr>
      <w:r>
        <w:rPr>
          <w:rFonts w:eastAsia="仿宋_GB2312"/>
          <w:sz w:val="32"/>
        </w:rPr>
        <w:t>11.</w:t>
      </w:r>
      <w:r>
        <w:rPr>
          <w:rFonts w:hint="eastAsia" w:eastAsia="仿宋_GB2312" w:cs="仿宋_GB2312"/>
          <w:sz w:val="32"/>
        </w:rPr>
        <w:t>社会保障和就业（类）行政事业单位离退休（款）机关事业单位基本养老保险缴费支出（项）</w:t>
      </w:r>
      <w:r>
        <w:rPr>
          <w:rFonts w:eastAsia="仿宋_GB2312"/>
          <w:sz w:val="32"/>
        </w:rPr>
        <w:t>:</w:t>
      </w:r>
      <w:r>
        <w:rPr>
          <w:rFonts w:hint="eastAsia" w:eastAsia="仿宋_GB2312" w:cs="仿宋_GB2312"/>
          <w:sz w:val="32"/>
        </w:rPr>
        <w:t>指机关事业单位实施养老保险制度由单位缴纳的基本养老保险支出。</w:t>
      </w:r>
    </w:p>
    <w:p>
      <w:pPr>
        <w:ind w:firstLine="640" w:firstLineChars="200"/>
      </w:pPr>
      <w:r>
        <w:rPr>
          <w:rFonts w:eastAsia="仿宋_GB2312"/>
          <w:sz w:val="32"/>
        </w:rPr>
        <w:t xml:space="preserve">12. </w:t>
      </w:r>
      <w:r>
        <w:rPr>
          <w:rFonts w:hint="eastAsia" w:eastAsia="仿宋_GB2312" w:cs="仿宋_GB2312"/>
          <w:sz w:val="32"/>
        </w:rPr>
        <w:t>卫生健康支出（类）卫生健康管理事务（款）行政运行（项）</w:t>
      </w:r>
      <w:r>
        <w:rPr>
          <w:rFonts w:eastAsia="仿宋_GB2312"/>
          <w:sz w:val="32"/>
        </w:rPr>
        <w:t>:</w:t>
      </w:r>
      <w:r>
        <w:rPr>
          <w:rFonts w:hint="eastAsia" w:eastAsia="仿宋_GB2312" w:cs="仿宋_GB2312"/>
          <w:sz w:val="32"/>
        </w:rPr>
        <w:t>指行政单位（包括实行公务员管理的事业单位）的基本支出。</w:t>
      </w:r>
    </w:p>
    <w:p>
      <w:pPr>
        <w:ind w:firstLine="640" w:firstLineChars="200"/>
      </w:pPr>
      <w:r>
        <w:rPr>
          <w:rFonts w:eastAsia="仿宋_GB2312"/>
          <w:sz w:val="32"/>
        </w:rPr>
        <w:t>13.</w:t>
      </w:r>
      <w:r>
        <w:rPr>
          <w:rFonts w:hint="eastAsia" w:eastAsia="仿宋_GB2312" w:cs="仿宋_GB2312"/>
          <w:sz w:val="32"/>
        </w:rPr>
        <w:t>卫生健康支出（类）卫生健康管理事务（款）一般行政管理事务（项）</w:t>
      </w:r>
      <w:r>
        <w:rPr>
          <w:rFonts w:eastAsia="仿宋_GB2312"/>
          <w:sz w:val="32"/>
        </w:rPr>
        <w:t>:</w:t>
      </w:r>
      <w:r>
        <w:rPr>
          <w:rFonts w:hint="eastAsia" w:eastAsia="仿宋_GB2312" w:cs="仿宋_GB2312"/>
          <w:sz w:val="32"/>
        </w:rPr>
        <w:t>指行政单位（包括实行公务员管理的事业单位）未单独设置项级科目的其他支出。</w:t>
      </w:r>
    </w:p>
    <w:p>
      <w:pPr>
        <w:ind w:firstLine="640" w:firstLineChars="200"/>
      </w:pPr>
      <w:r>
        <w:rPr>
          <w:rFonts w:eastAsia="仿宋_GB2312"/>
          <w:sz w:val="32"/>
        </w:rPr>
        <w:t>14.</w:t>
      </w:r>
      <w:r>
        <w:rPr>
          <w:rFonts w:hint="eastAsia" w:eastAsia="仿宋_GB2312" w:cs="仿宋_GB2312"/>
          <w:sz w:val="32"/>
        </w:rPr>
        <w:t>卫生健康支出（类）卫生健康管理事务（款）其他卫生健康管理事务支出（项）</w:t>
      </w:r>
      <w:r>
        <w:rPr>
          <w:rFonts w:eastAsia="仿宋_GB2312"/>
          <w:sz w:val="32"/>
        </w:rPr>
        <w:t>:</w:t>
      </w:r>
      <w:r>
        <w:rPr>
          <w:rFonts w:hint="eastAsia" w:eastAsia="仿宋_GB2312" w:cs="仿宋_GB2312"/>
          <w:sz w:val="32"/>
        </w:rPr>
        <w:t>指其他用于卫生健康管理事务方面的支出。</w:t>
      </w:r>
    </w:p>
    <w:p>
      <w:pPr>
        <w:ind w:firstLine="640" w:firstLineChars="200"/>
      </w:pPr>
      <w:r>
        <w:rPr>
          <w:rFonts w:eastAsia="仿宋_GB2312"/>
          <w:sz w:val="32"/>
        </w:rPr>
        <w:t>15.</w:t>
      </w:r>
      <w:r>
        <w:rPr>
          <w:rFonts w:hint="eastAsia" w:eastAsia="仿宋_GB2312" w:cs="仿宋_GB2312"/>
          <w:sz w:val="32"/>
        </w:rPr>
        <w:t>卫生健康支出（类）公立医院（款）综合医院（项）</w:t>
      </w:r>
      <w:r>
        <w:rPr>
          <w:rFonts w:eastAsia="仿宋_GB2312"/>
          <w:sz w:val="32"/>
        </w:rPr>
        <w:t>:</w:t>
      </w:r>
      <w:r>
        <w:rPr>
          <w:rFonts w:hint="eastAsia" w:eastAsia="仿宋_GB2312" w:cs="仿宋_GB2312"/>
          <w:sz w:val="32"/>
        </w:rPr>
        <w:t>指卫生健康、中医部门所属的城市综合性医院、独立门诊、教学医院、疗养院和县医院的支出。</w:t>
      </w:r>
    </w:p>
    <w:p>
      <w:pPr>
        <w:ind w:firstLine="640" w:firstLineChars="200"/>
      </w:pPr>
      <w:r>
        <w:rPr>
          <w:rFonts w:eastAsia="仿宋_GB2312"/>
          <w:sz w:val="32"/>
        </w:rPr>
        <w:t>16.</w:t>
      </w:r>
      <w:r>
        <w:rPr>
          <w:rFonts w:hint="eastAsia" w:eastAsia="仿宋_GB2312" w:cs="仿宋_GB2312"/>
          <w:sz w:val="32"/>
        </w:rPr>
        <w:t>卫生健康支出（类）公立医院（款）中医（民族）医院（项）</w:t>
      </w:r>
      <w:r>
        <w:rPr>
          <w:rFonts w:eastAsia="仿宋_GB2312"/>
          <w:sz w:val="32"/>
        </w:rPr>
        <w:t>:</w:t>
      </w:r>
      <w:r>
        <w:rPr>
          <w:rFonts w:hint="eastAsia" w:eastAsia="仿宋_GB2312" w:cs="仿宋_GB2312"/>
          <w:sz w:val="32"/>
        </w:rPr>
        <w:t>指卫生健康、中医部门所属的中医院、中西医结合医院、民族医院的支出。</w:t>
      </w:r>
    </w:p>
    <w:p>
      <w:pPr>
        <w:ind w:firstLine="640" w:firstLineChars="200"/>
      </w:pPr>
      <w:r>
        <w:rPr>
          <w:rFonts w:eastAsia="仿宋_GB2312"/>
          <w:sz w:val="32"/>
        </w:rPr>
        <w:t>17.卫生健康支出（类）公立医院（款）传染病医院（项）:指卫生健康、中医部门所属的专门收治各类传染病人的支出。</w:t>
      </w:r>
    </w:p>
    <w:p>
      <w:pPr>
        <w:ind w:firstLine="640" w:firstLineChars="200"/>
      </w:pPr>
      <w:r>
        <w:rPr>
          <w:rFonts w:eastAsia="仿宋_GB2312"/>
          <w:sz w:val="32"/>
        </w:rPr>
        <w:t>18.</w:t>
      </w:r>
      <w:r>
        <w:rPr>
          <w:rFonts w:hint="eastAsia" w:eastAsia="仿宋_GB2312" w:cs="仿宋_GB2312"/>
          <w:sz w:val="32"/>
        </w:rPr>
        <w:t>卫生健康支出（类）公立医院（款）其他公立医院支出（项）</w:t>
      </w:r>
      <w:r>
        <w:rPr>
          <w:rFonts w:eastAsia="仿宋_GB2312"/>
          <w:sz w:val="32"/>
        </w:rPr>
        <w:t>:</w:t>
      </w:r>
      <w:r>
        <w:rPr>
          <w:rFonts w:hint="eastAsia" w:eastAsia="仿宋_GB2312" w:cs="仿宋_GB2312"/>
          <w:sz w:val="32"/>
        </w:rPr>
        <w:t>指其他用于公立医院方面的支出。</w:t>
      </w:r>
    </w:p>
    <w:p>
      <w:pPr>
        <w:ind w:firstLine="640" w:firstLineChars="200"/>
      </w:pPr>
      <w:r>
        <w:rPr>
          <w:rFonts w:eastAsia="仿宋_GB2312"/>
          <w:sz w:val="32"/>
        </w:rPr>
        <w:t>19.</w:t>
      </w:r>
      <w:r>
        <w:rPr>
          <w:rFonts w:hint="eastAsia" w:eastAsia="仿宋_GB2312" w:cs="仿宋_GB2312"/>
          <w:sz w:val="32"/>
        </w:rPr>
        <w:t>卫生健康支出（类）基层医疗卫生机构（款）乡镇卫生院（项）：反映用于乡镇卫生院的支出。</w:t>
      </w:r>
    </w:p>
    <w:p>
      <w:pPr>
        <w:ind w:firstLine="640" w:firstLineChars="200"/>
      </w:pPr>
      <w:r>
        <w:rPr>
          <w:rFonts w:eastAsia="仿宋_GB2312"/>
          <w:sz w:val="32"/>
        </w:rPr>
        <w:t>20.</w:t>
      </w:r>
      <w:r>
        <w:rPr>
          <w:rFonts w:hint="eastAsia" w:eastAsia="仿宋_GB2312" w:cs="仿宋_GB2312"/>
          <w:sz w:val="32"/>
        </w:rPr>
        <w:t>卫生健康支出（类）基层医疗卫生机构（款）其他基层医疗卫生机构（项）：指用于村卫生室方面的支出。</w:t>
      </w:r>
    </w:p>
    <w:p>
      <w:pPr>
        <w:ind w:firstLine="640" w:firstLineChars="200"/>
      </w:pPr>
      <w:r>
        <w:rPr>
          <w:rFonts w:eastAsia="仿宋_GB2312"/>
          <w:sz w:val="32"/>
        </w:rPr>
        <w:t>21.</w:t>
      </w:r>
      <w:r>
        <w:rPr>
          <w:rFonts w:hint="eastAsia" w:eastAsia="仿宋_GB2312" w:cs="仿宋_GB2312"/>
          <w:sz w:val="32"/>
        </w:rPr>
        <w:t>卫生健康支出（类）公共卫生（款）疾病预防控制机构（项）</w:t>
      </w:r>
      <w:r>
        <w:rPr>
          <w:rFonts w:eastAsia="仿宋_GB2312"/>
          <w:sz w:val="32"/>
        </w:rPr>
        <w:t>:</w:t>
      </w:r>
      <w:r>
        <w:rPr>
          <w:rFonts w:hint="eastAsia" w:eastAsia="仿宋_GB2312" w:cs="仿宋_GB2312"/>
          <w:sz w:val="32"/>
        </w:rPr>
        <w:t>指卫生健康部门所属疾病预防控制机构的支出。</w:t>
      </w:r>
    </w:p>
    <w:p>
      <w:pPr>
        <w:ind w:firstLine="640" w:firstLineChars="200"/>
      </w:pPr>
      <w:r>
        <w:rPr>
          <w:rFonts w:eastAsia="仿宋_GB2312"/>
          <w:sz w:val="32"/>
        </w:rPr>
        <w:t>22.</w:t>
      </w:r>
      <w:r>
        <w:rPr>
          <w:rFonts w:hint="eastAsia" w:eastAsia="仿宋_GB2312" w:cs="仿宋_GB2312"/>
          <w:sz w:val="32"/>
        </w:rPr>
        <w:t>卫生健康支出（类）公共卫生（款）卫生监督机构（项）</w:t>
      </w:r>
      <w:r>
        <w:rPr>
          <w:rFonts w:eastAsia="仿宋_GB2312"/>
          <w:sz w:val="32"/>
        </w:rPr>
        <w:t>:</w:t>
      </w:r>
      <w:r>
        <w:rPr>
          <w:rFonts w:hint="eastAsia" w:eastAsia="仿宋_GB2312" w:cs="仿宋_GB2312"/>
          <w:sz w:val="32"/>
        </w:rPr>
        <w:t>指卫生健康部门所属卫生监督机构的支出。</w:t>
      </w:r>
    </w:p>
    <w:p>
      <w:pPr>
        <w:ind w:firstLine="640" w:firstLineChars="200"/>
      </w:pPr>
      <w:r>
        <w:rPr>
          <w:rFonts w:eastAsia="仿宋_GB2312"/>
          <w:sz w:val="32"/>
        </w:rPr>
        <w:t>23.</w:t>
      </w:r>
      <w:r>
        <w:rPr>
          <w:rFonts w:hint="eastAsia" w:eastAsia="仿宋_GB2312" w:cs="仿宋_GB2312"/>
          <w:sz w:val="32"/>
        </w:rPr>
        <w:t>卫生健康支出（类）公共卫生（款）妇幼保健机构（项）</w:t>
      </w:r>
      <w:r>
        <w:rPr>
          <w:rFonts w:eastAsia="仿宋_GB2312"/>
          <w:sz w:val="32"/>
        </w:rPr>
        <w:t>:</w:t>
      </w:r>
      <w:r>
        <w:rPr>
          <w:rFonts w:hint="eastAsia" w:eastAsia="仿宋_GB2312" w:cs="仿宋_GB2312"/>
          <w:sz w:val="32"/>
        </w:rPr>
        <w:t>指卫生健康部门所属妇幼保健机构的支出。</w:t>
      </w:r>
    </w:p>
    <w:p>
      <w:pPr>
        <w:ind w:firstLine="640" w:firstLineChars="200"/>
      </w:pPr>
      <w:r>
        <w:rPr>
          <w:rFonts w:eastAsia="仿宋_GB2312"/>
          <w:sz w:val="32"/>
        </w:rPr>
        <w:t>24.</w:t>
      </w:r>
      <w:r>
        <w:rPr>
          <w:rFonts w:hint="eastAsia" w:eastAsia="仿宋_GB2312" w:cs="仿宋_GB2312"/>
          <w:sz w:val="32"/>
        </w:rPr>
        <w:t>卫生健康支出（类）公共卫生（款）基本公共卫生服务（项）</w:t>
      </w:r>
      <w:r>
        <w:rPr>
          <w:rFonts w:eastAsia="仿宋_GB2312"/>
          <w:sz w:val="32"/>
        </w:rPr>
        <w:t>:</w:t>
      </w:r>
      <w:r>
        <w:rPr>
          <w:rFonts w:hint="eastAsia" w:eastAsia="仿宋_GB2312" w:cs="仿宋_GB2312"/>
          <w:sz w:val="32"/>
        </w:rPr>
        <w:t>指用于基本公共卫生服务支出。</w:t>
      </w:r>
    </w:p>
    <w:p>
      <w:pPr>
        <w:ind w:firstLine="640" w:firstLineChars="200"/>
      </w:pPr>
      <w:r>
        <w:rPr>
          <w:rFonts w:eastAsia="仿宋_GB2312"/>
          <w:sz w:val="32"/>
        </w:rPr>
        <w:t>25.</w:t>
      </w:r>
      <w:r>
        <w:rPr>
          <w:rFonts w:hint="eastAsia" w:eastAsia="仿宋_GB2312" w:cs="仿宋_GB2312"/>
          <w:sz w:val="32"/>
        </w:rPr>
        <w:t>卫生健康支出（类）公共卫生（款）重大公共卫生专项（项）</w:t>
      </w:r>
      <w:r>
        <w:rPr>
          <w:rFonts w:eastAsia="仿宋_GB2312"/>
          <w:sz w:val="32"/>
        </w:rPr>
        <w:t>:</w:t>
      </w:r>
      <w:r>
        <w:rPr>
          <w:rFonts w:hint="eastAsia" w:eastAsia="仿宋_GB2312" w:cs="仿宋_GB2312"/>
          <w:sz w:val="32"/>
        </w:rPr>
        <w:t>指重大疾病、重大传染病预防控制等重大公共卫生服务支出。</w:t>
      </w:r>
    </w:p>
    <w:p>
      <w:pPr>
        <w:ind w:firstLine="640" w:firstLineChars="200"/>
      </w:pPr>
      <w:r>
        <w:rPr>
          <w:rFonts w:eastAsia="仿宋_GB2312"/>
          <w:sz w:val="32"/>
        </w:rPr>
        <w:t>26.</w:t>
      </w:r>
      <w:r>
        <w:rPr>
          <w:rFonts w:hint="eastAsia" w:eastAsia="仿宋_GB2312" w:cs="仿宋_GB2312"/>
          <w:sz w:val="32"/>
        </w:rPr>
        <w:t>卫生健康支出（类）公共卫生（款）其他公共卫生支出（项）</w:t>
      </w:r>
      <w:r>
        <w:rPr>
          <w:rFonts w:eastAsia="仿宋_GB2312"/>
          <w:sz w:val="32"/>
        </w:rPr>
        <w:t>:</w:t>
      </w:r>
      <w:r>
        <w:rPr>
          <w:rFonts w:hint="eastAsia" w:eastAsia="仿宋_GB2312" w:cs="仿宋_GB2312"/>
          <w:sz w:val="32"/>
        </w:rPr>
        <w:t>指其他用于公共卫生方面的支出。</w:t>
      </w:r>
    </w:p>
    <w:p>
      <w:pPr>
        <w:ind w:firstLine="640" w:firstLineChars="200"/>
      </w:pPr>
      <w:r>
        <w:rPr>
          <w:rFonts w:eastAsia="仿宋_GB2312"/>
          <w:sz w:val="32"/>
        </w:rPr>
        <w:t>27.</w:t>
      </w:r>
      <w:r>
        <w:rPr>
          <w:rFonts w:hint="eastAsia" w:eastAsia="仿宋_GB2312" w:cs="仿宋_GB2312"/>
          <w:sz w:val="32"/>
        </w:rPr>
        <w:t>卫生健康支出（类）中医药（款）中医（民族医）药专项（项）</w:t>
      </w:r>
      <w:r>
        <w:rPr>
          <w:rFonts w:eastAsia="仿宋_GB2312"/>
          <w:sz w:val="32"/>
        </w:rPr>
        <w:t>:</w:t>
      </w:r>
      <w:r>
        <w:rPr>
          <w:rFonts w:hint="eastAsia" w:eastAsia="仿宋_GB2312" w:cs="仿宋_GB2312"/>
          <w:sz w:val="32"/>
        </w:rPr>
        <w:t>指中医（民族医）药方面的专项支出。</w:t>
      </w:r>
    </w:p>
    <w:p>
      <w:pPr>
        <w:ind w:firstLine="640" w:firstLineChars="200"/>
      </w:pPr>
      <w:r>
        <w:rPr>
          <w:rFonts w:eastAsia="仿宋_GB2312"/>
          <w:sz w:val="32"/>
        </w:rPr>
        <w:t>28.</w:t>
      </w:r>
      <w:r>
        <w:rPr>
          <w:rFonts w:hint="eastAsia" w:eastAsia="仿宋_GB2312" w:cs="仿宋_GB2312"/>
          <w:sz w:val="32"/>
        </w:rPr>
        <w:t>卫生健康支出（类）计划生育服务（款）计划生育服务（项）</w:t>
      </w:r>
      <w:r>
        <w:rPr>
          <w:rFonts w:eastAsia="仿宋_GB2312"/>
          <w:sz w:val="32"/>
        </w:rPr>
        <w:t>:</w:t>
      </w:r>
      <w:r>
        <w:rPr>
          <w:rFonts w:hint="eastAsia" w:eastAsia="仿宋_GB2312" w:cs="仿宋_GB2312"/>
          <w:sz w:val="32"/>
        </w:rPr>
        <w:t>指计划生育服务支出。</w:t>
      </w:r>
    </w:p>
    <w:p>
      <w:pPr>
        <w:ind w:firstLine="640" w:firstLineChars="200"/>
      </w:pPr>
      <w:r>
        <w:rPr>
          <w:rFonts w:eastAsia="仿宋_GB2312"/>
          <w:sz w:val="32"/>
        </w:rPr>
        <w:t>29.</w:t>
      </w:r>
      <w:r>
        <w:rPr>
          <w:rFonts w:hint="eastAsia" w:eastAsia="仿宋_GB2312" w:cs="仿宋_GB2312"/>
          <w:sz w:val="32"/>
        </w:rPr>
        <w:t>卫生健康支出（类）计划生育事务（款）其他计划生育事务支出（项）</w:t>
      </w:r>
      <w:r>
        <w:rPr>
          <w:rFonts w:eastAsia="仿宋_GB2312"/>
          <w:sz w:val="32"/>
        </w:rPr>
        <w:t>:</w:t>
      </w:r>
      <w:r>
        <w:rPr>
          <w:rFonts w:hint="eastAsia" w:eastAsia="仿宋_GB2312" w:cs="仿宋_GB2312"/>
          <w:sz w:val="32"/>
        </w:rPr>
        <w:t>指其他用于计划生育管理事务方面的支出。</w:t>
      </w:r>
    </w:p>
    <w:p>
      <w:pPr>
        <w:ind w:firstLine="640" w:firstLineChars="200"/>
      </w:pPr>
      <w:r>
        <w:rPr>
          <w:rFonts w:eastAsia="仿宋_GB2312"/>
          <w:sz w:val="32"/>
        </w:rPr>
        <w:t>30.</w:t>
      </w:r>
      <w:r>
        <w:rPr>
          <w:rFonts w:hint="eastAsia" w:eastAsia="仿宋_GB2312" w:cs="仿宋_GB2312"/>
          <w:sz w:val="32"/>
        </w:rPr>
        <w:t>卫生健康支出（类）食品和药品监督管理事务（款）行政运行（项）</w:t>
      </w:r>
      <w:r>
        <w:rPr>
          <w:rFonts w:eastAsia="仿宋_GB2312"/>
          <w:sz w:val="32"/>
        </w:rPr>
        <w:t>:</w:t>
      </w:r>
      <w:r>
        <w:rPr>
          <w:rFonts w:hint="eastAsia" w:eastAsia="仿宋_GB2312" w:cs="仿宋_GB2312"/>
          <w:sz w:val="32"/>
        </w:rPr>
        <w:t>指行政单位（包括实行公务员管理的事业单位）的基本支出。</w:t>
      </w:r>
    </w:p>
    <w:p>
      <w:pPr>
        <w:ind w:firstLine="640" w:firstLineChars="200"/>
      </w:pPr>
      <w:r>
        <w:rPr>
          <w:rFonts w:eastAsia="仿宋_GB2312"/>
          <w:sz w:val="32"/>
        </w:rPr>
        <w:t>31.</w:t>
      </w:r>
      <w:r>
        <w:rPr>
          <w:rFonts w:hint="eastAsia" w:eastAsia="仿宋_GB2312" w:cs="仿宋_GB2312"/>
          <w:sz w:val="32"/>
        </w:rPr>
        <w:t>卫生健康支出（类）行政事业单位医疗（款）行政单位医疗（项）</w:t>
      </w:r>
      <w:r>
        <w:rPr>
          <w:rFonts w:eastAsia="仿宋_GB2312"/>
          <w:sz w:val="32"/>
        </w:rPr>
        <w:t>:</w:t>
      </w:r>
      <w:r>
        <w:rPr>
          <w:rFonts w:hint="eastAsia" w:eastAsia="仿宋_GB2312" w:cs="仿宋_GB2312"/>
          <w:sz w:val="32"/>
        </w:rPr>
        <w:t>指财政部门集中安排的行政单位医疗保险缴费经费，未参加医疗保险的行政单位的公费医疗经费，按国家规定享受离休人员、红军老战士待遇人员的医疗经费。</w:t>
      </w:r>
    </w:p>
    <w:p>
      <w:pPr>
        <w:ind w:firstLine="640" w:firstLineChars="200"/>
      </w:pPr>
      <w:r>
        <w:rPr>
          <w:rFonts w:eastAsia="仿宋_GB2312"/>
          <w:sz w:val="32"/>
        </w:rPr>
        <w:t>32.</w:t>
      </w:r>
      <w:r>
        <w:rPr>
          <w:rFonts w:hint="eastAsia" w:eastAsia="仿宋_GB2312" w:cs="仿宋_GB2312"/>
          <w:sz w:val="32"/>
        </w:rPr>
        <w:t>卫生健康支出（类）行政事业单位医疗（款）事业单位医疗（项）</w:t>
      </w:r>
      <w:r>
        <w:rPr>
          <w:rFonts w:eastAsia="仿宋_GB2312"/>
          <w:sz w:val="32"/>
        </w:rPr>
        <w:t>:</w:t>
      </w:r>
      <w:r>
        <w:rPr>
          <w:rFonts w:hint="eastAsia" w:eastAsia="仿宋_GB2312" w:cs="仿宋_GB2312"/>
          <w:sz w:val="32"/>
        </w:rPr>
        <w:t>指财政部门集中安排的事业单位医疗保险缴费经费，未参加医疗保险的事业单位的公费医疗经费，按国家规定享受离休人员待遇的医疗经费。</w:t>
      </w:r>
    </w:p>
    <w:p>
      <w:pPr>
        <w:ind w:firstLine="640" w:firstLineChars="200"/>
      </w:pPr>
      <w:r>
        <w:rPr>
          <w:rFonts w:eastAsia="仿宋_GB2312"/>
          <w:sz w:val="32"/>
        </w:rPr>
        <w:t>33.</w:t>
      </w:r>
      <w:r>
        <w:rPr>
          <w:rFonts w:hint="eastAsia" w:eastAsia="仿宋_GB2312" w:cs="仿宋_GB2312"/>
          <w:sz w:val="32"/>
        </w:rPr>
        <w:t>卫生健康支出（类）行政事业单位医疗（款）其他行政事业单位医疗支出（项）</w:t>
      </w:r>
      <w:r>
        <w:rPr>
          <w:rFonts w:eastAsia="仿宋_GB2312"/>
          <w:sz w:val="32"/>
        </w:rPr>
        <w:t>:</w:t>
      </w:r>
      <w:r>
        <w:rPr>
          <w:rFonts w:hint="eastAsia" w:eastAsia="仿宋_GB2312" w:cs="仿宋_GB2312"/>
          <w:sz w:val="32"/>
        </w:rPr>
        <w:t>指其他用于行政事业单位医疗方面的支出。</w:t>
      </w:r>
    </w:p>
    <w:p>
      <w:pPr>
        <w:ind w:firstLine="640" w:firstLineChars="200"/>
      </w:pPr>
      <w:r>
        <w:rPr>
          <w:rFonts w:eastAsia="仿宋_GB2312"/>
          <w:sz w:val="32"/>
        </w:rPr>
        <w:t>34.</w:t>
      </w:r>
      <w:r>
        <w:rPr>
          <w:rFonts w:hint="eastAsia" w:eastAsia="仿宋_GB2312" w:cs="仿宋_GB2312"/>
          <w:sz w:val="32"/>
        </w:rPr>
        <w:t>卫生健康支出（类）其他医疗卫生与计划生育支出（款）其他医疗卫生与计划生育支出（项）</w:t>
      </w:r>
      <w:r>
        <w:rPr>
          <w:rFonts w:eastAsia="仿宋_GB2312"/>
          <w:sz w:val="32"/>
        </w:rPr>
        <w:t>:</w:t>
      </w:r>
      <w:r>
        <w:rPr>
          <w:rFonts w:hint="eastAsia" w:eastAsia="仿宋_GB2312" w:cs="仿宋_GB2312"/>
          <w:sz w:val="32"/>
        </w:rPr>
        <w:t>指其他用于医疗卫生与计划生育方面的支出。</w:t>
      </w:r>
    </w:p>
    <w:p>
      <w:pPr>
        <w:ind w:firstLine="640" w:firstLineChars="200"/>
      </w:pPr>
      <w:r>
        <w:rPr>
          <w:rFonts w:eastAsia="仿宋_GB2312"/>
          <w:sz w:val="32"/>
        </w:rPr>
        <w:t>35.</w:t>
      </w:r>
      <w:r>
        <w:rPr>
          <w:rFonts w:hint="eastAsia" w:eastAsia="仿宋_GB2312" w:cs="仿宋_GB2312"/>
          <w:sz w:val="32"/>
        </w:rPr>
        <w:t>农林水支出（类）扶贫（款）其他扶贫支出（项）</w:t>
      </w:r>
      <w:r>
        <w:rPr>
          <w:rFonts w:eastAsia="仿宋_GB2312"/>
          <w:sz w:val="32"/>
        </w:rPr>
        <w:t>:</w:t>
      </w:r>
      <w:r>
        <w:rPr>
          <w:rFonts w:hint="eastAsia" w:eastAsia="仿宋_GB2312" w:cs="仿宋_GB2312"/>
          <w:sz w:val="32"/>
        </w:rPr>
        <w:t>指其他用于扶贫方面的支出。</w:t>
      </w:r>
    </w:p>
    <w:p>
      <w:pPr>
        <w:ind w:firstLine="640" w:firstLineChars="200"/>
      </w:pPr>
      <w:r>
        <w:rPr>
          <w:rFonts w:eastAsia="仿宋_GB2312"/>
          <w:sz w:val="32"/>
        </w:rPr>
        <w:t>36.</w:t>
      </w:r>
      <w:r>
        <w:rPr>
          <w:rFonts w:hint="eastAsia" w:eastAsia="仿宋_GB2312" w:cs="仿宋_GB2312"/>
          <w:sz w:val="32"/>
        </w:rPr>
        <w:t>住房保障支出（类）住房改革支出（款）住房公积金（项）</w:t>
      </w:r>
      <w:r>
        <w:rPr>
          <w:rFonts w:eastAsia="仿宋_GB2312"/>
          <w:sz w:val="32"/>
        </w:rPr>
        <w:t>:</w:t>
      </w:r>
      <w:r>
        <w:rPr>
          <w:rFonts w:hint="eastAsia" w:eastAsia="仿宋_GB2312" w:cs="仿宋_GB2312"/>
          <w:sz w:val="32"/>
        </w:rPr>
        <w:t>指行政事业单位按人力资源和社会保障部、财政部规定的基本工资和津贴补贴以及规定比例为职工缴纳的住房公积金。</w:t>
      </w:r>
    </w:p>
    <w:p>
      <w:pPr>
        <w:ind w:firstLine="640" w:firstLineChars="200"/>
      </w:pPr>
      <w:r>
        <w:rPr>
          <w:rFonts w:eastAsia="仿宋_GB2312"/>
          <w:sz w:val="32"/>
        </w:rPr>
        <w:t>37.</w:t>
      </w:r>
      <w:r>
        <w:rPr>
          <w:rFonts w:hint="eastAsia" w:eastAsia="仿宋_GB2312" w:cs="仿宋_GB2312"/>
          <w:sz w:val="32"/>
        </w:rPr>
        <w:t>基本支出：指为保障机构正常运转、完成日常工作任务而发生的人员支出和公用支出。</w:t>
      </w:r>
    </w:p>
    <w:p>
      <w:pPr>
        <w:ind w:firstLine="640" w:firstLineChars="200"/>
      </w:pPr>
      <w:r>
        <w:rPr>
          <w:rFonts w:eastAsia="仿宋_GB2312"/>
          <w:sz w:val="32"/>
        </w:rPr>
        <w:t>38.</w:t>
      </w:r>
      <w:r>
        <w:rPr>
          <w:rFonts w:hint="eastAsia" w:eastAsia="仿宋_GB2312" w:cs="仿宋_GB2312"/>
          <w:sz w:val="32"/>
        </w:rPr>
        <w:t>项目支出：指在基本支出之外为完成特定行政任务和事业发展目标所发生的支出。</w:t>
      </w:r>
    </w:p>
    <w:p>
      <w:pPr>
        <w:ind w:firstLine="640" w:firstLineChars="200"/>
      </w:pPr>
      <w:r>
        <w:rPr>
          <w:rFonts w:eastAsia="仿宋_GB2312"/>
          <w:sz w:val="32"/>
        </w:rPr>
        <w:t>39.</w:t>
      </w:r>
      <w:r>
        <w:rPr>
          <w:rFonts w:hint="eastAsia" w:eastAsia="仿宋_GB2312" w:cs="仿宋_GB2312"/>
          <w:sz w:val="32"/>
        </w:rPr>
        <w:t>经营支出：指事业单位在专业业务活动及其辅助活动之外开展非独立核算经营活动发生的支出。</w:t>
      </w:r>
    </w:p>
    <w:p>
      <w:pPr>
        <w:ind w:firstLine="640" w:firstLineChars="200"/>
      </w:pPr>
      <w:r>
        <w:rPr>
          <w:rFonts w:eastAsia="仿宋_GB2312"/>
          <w:sz w:val="32"/>
        </w:rPr>
        <w:t>40.</w:t>
      </w:r>
      <w:r>
        <w:rPr>
          <w:rFonts w:hint="eastAsia" w:eastAsia="仿宋_GB2312" w:cs="仿宋_GB2312"/>
          <w:sz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ind w:firstLine="640" w:firstLineChars="200"/>
        <w:jc w:val="left"/>
      </w:pPr>
      <w:r>
        <w:rPr>
          <w:rFonts w:eastAsia="仿宋_GB2312"/>
          <w:sz w:val="32"/>
        </w:rPr>
        <w:t>41.</w:t>
      </w:r>
      <w:r>
        <w:rPr>
          <w:rFonts w:hint="eastAsia" w:eastAsia="仿宋_GB2312"/>
          <w:sz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sz w:val="44"/>
          <w:szCs w:val="44"/>
        </w:rPr>
      </w:pPr>
      <w:bookmarkStart w:id="112" w:name="_Toc11885"/>
      <w:bookmarkStart w:id="113" w:name="_Toc31549"/>
      <w:bookmarkStart w:id="114" w:name="_Toc15396614"/>
    </w:p>
    <w:p>
      <w:pPr>
        <w:spacing w:line="600" w:lineRule="exact"/>
        <w:jc w:val="center"/>
        <w:outlineLvl w:val="0"/>
        <w:rPr>
          <w:rStyle w:val="29"/>
          <w:rFonts w:ascii="黑体" w:hAnsi="黑体" w:eastAsia="黑体"/>
          <w:b w:val="0"/>
        </w:rPr>
      </w:pPr>
      <w:r>
        <w:rPr>
          <w:rFonts w:hint="eastAsia" w:ascii="黑体" w:hAnsi="黑体" w:eastAsia="黑体"/>
          <w:sz w:val="44"/>
          <w:szCs w:val="44"/>
        </w:rPr>
        <w:t>第</w:t>
      </w:r>
      <w:r>
        <w:rPr>
          <w:rStyle w:val="29"/>
          <w:rFonts w:hint="eastAsia" w:ascii="黑体" w:hAnsi="黑体" w:eastAsia="黑体"/>
          <w:b w:val="0"/>
        </w:rPr>
        <w:t>四部分附件</w:t>
      </w:r>
      <w:bookmarkEnd w:id="112"/>
      <w:bookmarkEnd w:id="113"/>
      <w:bookmarkEnd w:id="114"/>
    </w:p>
    <w:tbl>
      <w:tblPr>
        <w:tblStyle w:val="7"/>
        <w:tblpPr w:leftFromText="180" w:rightFromText="180" w:vertAnchor="text" w:horzAnchor="page" w:tblpXSpec="center" w:tblpY="143"/>
        <w:tblOverlap w:val="never"/>
        <w:tblW w:w="9811" w:type="dxa"/>
        <w:jc w:val="center"/>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jc w:val="center"/>
        </w:trPr>
        <w:tc>
          <w:tcPr>
            <w:tcW w:w="9577" w:type="dxa"/>
            <w:gridSpan w:val="6"/>
            <w:tcBorders>
              <w:top w:val="nil"/>
              <w:left w:val="nil"/>
              <w:bottom w:val="nil"/>
              <w:right w:val="nil"/>
            </w:tcBorders>
            <w:shd w:val="clear" w:color="auto" w:fill="auto"/>
            <w:vAlign w:val="center"/>
          </w:tcPr>
          <w:p>
            <w:pPr>
              <w:widowControl/>
              <w:jc w:val="left"/>
              <w:textAlignment w:val="center"/>
              <w:rPr>
                <w:rFonts w:ascii="黑体" w:hAnsi="黑体" w:eastAsia="黑体" w:cs="黑体"/>
                <w:sz w:val="32"/>
                <w:szCs w:val="32"/>
              </w:rPr>
            </w:pPr>
            <w:bookmarkStart w:id="115" w:name="_Toc15396618"/>
            <w:r>
              <w:rPr>
                <w:rFonts w:hint="eastAsia" w:ascii="黑体" w:hAnsi="黑体" w:eastAsia="黑体" w:cs="黑体"/>
                <w:sz w:val="32"/>
                <w:szCs w:val="32"/>
              </w:rPr>
              <w:t>附件</w:t>
            </w:r>
          </w:p>
          <w:p>
            <w:pPr>
              <w:widowControl/>
              <w:jc w:val="center"/>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jc w:val="center"/>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sz w:val="24"/>
              </w:rPr>
              <w:t>通江县卫生健康局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sz w:val="24"/>
              </w:rPr>
              <w:t>通江县沙溪镇板凳卫生院</w:t>
            </w:r>
          </w:p>
        </w:tc>
      </w:tr>
      <w:tr>
        <w:tblPrEx>
          <w:tblCellMar>
            <w:top w:w="0" w:type="dxa"/>
            <w:left w:w="108" w:type="dxa"/>
            <w:bottom w:w="0" w:type="dxa"/>
            <w:right w:w="108" w:type="dxa"/>
          </w:tblCellMar>
        </w:tblPrEx>
        <w:trPr>
          <w:gridAfter w:val="1"/>
          <w:wAfter w:w="234" w:type="dxa"/>
          <w:trHeight w:val="341" w:hRule="atLeast"/>
          <w:jc w:val="center"/>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项目预算</w:t>
            </w:r>
            <w:r>
              <w:rPr>
                <w:rFonts w:hint="eastAsia" w:ascii="华文仿宋" w:hAnsi="华文仿宋" w:eastAsia="华文仿宋" w:cs="华文仿宋"/>
                <w:kern w:val="0"/>
                <w:sz w:val="24"/>
              </w:rPr>
              <w:br w:type="textWrapping"/>
            </w:r>
            <w:r>
              <w:rPr>
                <w:rFonts w:hint="eastAsia" w:ascii="华文仿宋" w:hAnsi="华文仿宋" w:eastAsia="华文仿宋" w:cs="华文仿宋"/>
                <w:kern w:val="0"/>
                <w:sz w:val="24"/>
              </w:rPr>
              <w:t>执行情况</w:t>
            </w:r>
            <w:r>
              <w:rPr>
                <w:rFonts w:hint="eastAsia" w:ascii="华文仿宋" w:hAnsi="华文仿宋" w:eastAsia="华文仿宋" w:cs="华文仿宋"/>
                <w:kern w:val="0"/>
                <w:sz w:val="24"/>
              </w:rPr>
              <w:br w:type="textWrapping"/>
            </w:r>
            <w:r>
              <w:rPr>
                <w:rFonts w:hint="eastAsia" w:ascii="华文仿宋" w:hAnsi="华文仿宋" w:eastAsia="华文仿宋" w:cs="华文仿宋"/>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sz w:val="24"/>
              </w:rPr>
              <w:t>101.2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sz w:val="24"/>
              </w:rPr>
              <w:t>101.2</w:t>
            </w:r>
          </w:p>
        </w:tc>
      </w:tr>
      <w:tr>
        <w:tblPrEx>
          <w:tblCellMar>
            <w:top w:w="0" w:type="dxa"/>
            <w:left w:w="108" w:type="dxa"/>
            <w:bottom w:w="0" w:type="dxa"/>
            <w:right w:w="108" w:type="dxa"/>
          </w:tblCellMar>
        </w:tblPrEx>
        <w:trPr>
          <w:gridAfter w:val="1"/>
          <w:wAfter w:w="234" w:type="dxa"/>
          <w:trHeight w:val="555"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kern w:val="0"/>
                <w:sz w:val="24"/>
              </w:rPr>
            </w:pPr>
            <w:r>
              <w:rPr>
                <w:rFonts w:hint="eastAsia" w:ascii="华文仿宋" w:hAnsi="华文仿宋" w:eastAsia="华文仿宋" w:cs="华文仿宋"/>
                <w:kern w:val="0"/>
                <w:sz w:val="24"/>
              </w:rPr>
              <w:t>其中：</w:t>
            </w:r>
          </w:p>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sz w:val="24"/>
              </w:rPr>
              <w:t>101.2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kern w:val="0"/>
                <w:sz w:val="24"/>
              </w:rPr>
            </w:pPr>
            <w:r>
              <w:rPr>
                <w:rFonts w:hint="eastAsia" w:ascii="华文仿宋" w:hAnsi="华文仿宋" w:eastAsia="华文仿宋" w:cs="华文仿宋"/>
                <w:kern w:val="0"/>
                <w:sz w:val="24"/>
              </w:rPr>
              <w:t>其中：</w:t>
            </w:r>
          </w:p>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sz w:val="24"/>
              </w:rPr>
              <w:t>101.2</w:t>
            </w:r>
          </w:p>
        </w:tc>
      </w:tr>
      <w:tr>
        <w:tblPrEx>
          <w:tblCellMar>
            <w:top w:w="0" w:type="dxa"/>
            <w:left w:w="108" w:type="dxa"/>
            <w:bottom w:w="0" w:type="dxa"/>
            <w:right w:w="108" w:type="dxa"/>
          </w:tblCellMar>
        </w:tblPrEx>
        <w:trPr>
          <w:gridAfter w:val="1"/>
          <w:wAfter w:w="234" w:type="dxa"/>
          <w:trHeight w:val="317"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p>
        </w:tc>
      </w:tr>
      <w:tr>
        <w:tblPrEx>
          <w:tblCellMar>
            <w:top w:w="0" w:type="dxa"/>
            <w:left w:w="108" w:type="dxa"/>
            <w:bottom w:w="0" w:type="dxa"/>
            <w:right w:w="108" w:type="dxa"/>
          </w:tblCellMar>
        </w:tblPrEx>
        <w:trPr>
          <w:gridAfter w:val="1"/>
          <w:wAfter w:w="234" w:type="dxa"/>
          <w:trHeight w:val="217" w:hRule="atLeast"/>
          <w:jc w:val="center"/>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kern w:val="0"/>
                <w:sz w:val="24"/>
              </w:rPr>
            </w:pPr>
            <w:r>
              <w:rPr>
                <w:rFonts w:hint="eastAsia" w:ascii="华文仿宋" w:hAnsi="华文仿宋" w:eastAsia="华文仿宋" w:cs="华文仿宋"/>
                <w:kern w:val="0"/>
                <w:sz w:val="24"/>
              </w:rPr>
              <w:t>年度总体目标</w:t>
            </w:r>
          </w:p>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目标实际完成情况</w:t>
            </w:r>
          </w:p>
        </w:tc>
      </w:tr>
      <w:tr>
        <w:tblPrEx>
          <w:tblCellMar>
            <w:top w:w="0" w:type="dxa"/>
            <w:left w:w="108" w:type="dxa"/>
            <w:bottom w:w="0" w:type="dxa"/>
            <w:right w:w="108" w:type="dxa"/>
          </w:tblCellMar>
        </w:tblPrEx>
        <w:trPr>
          <w:gridAfter w:val="1"/>
          <w:wAfter w:w="234" w:type="dxa"/>
          <w:trHeight w:val="797" w:hRule="atLeast"/>
          <w:jc w:val="center"/>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华文仿宋" w:hAnsi="华文仿宋" w:eastAsia="华文仿宋" w:cs="华文仿宋"/>
                <w:sz w:val="24"/>
              </w:rPr>
            </w:pPr>
            <w:r>
              <w:rPr>
                <w:rFonts w:hint="eastAsia" w:ascii="华文仿宋" w:hAnsi="华文仿宋" w:eastAsia="华文仿宋" w:cs="华文仿宋"/>
                <w:sz w:val="24"/>
              </w:rPr>
              <w:t>目标1：提升医院服务能力</w:t>
            </w:r>
            <w:r>
              <w:t>。</w:t>
            </w:r>
          </w:p>
          <w:p>
            <w:pPr>
              <w:widowControl/>
              <w:spacing w:line="320" w:lineRule="exact"/>
              <w:jc w:val="left"/>
              <w:textAlignment w:val="top"/>
              <w:rPr>
                <w:rFonts w:ascii="华文仿宋" w:hAnsi="华文仿宋" w:eastAsia="华文仿宋" w:cs="华文仿宋"/>
                <w:sz w:val="24"/>
              </w:rPr>
            </w:pPr>
            <w:r>
              <w:rPr>
                <w:rFonts w:hint="eastAsia" w:ascii="华文仿宋" w:hAnsi="华文仿宋" w:eastAsia="华文仿宋" w:cs="华文仿宋"/>
                <w:sz w:val="24"/>
              </w:rPr>
              <w:t>目标2：保障村卫生站正常运行</w:t>
            </w:r>
            <w:r>
              <w:t>。</w:t>
            </w:r>
          </w:p>
          <w:p>
            <w:pPr>
              <w:widowControl/>
              <w:spacing w:line="320" w:lineRule="exact"/>
              <w:jc w:val="left"/>
              <w:textAlignment w:val="top"/>
              <w:rPr>
                <w:rFonts w:ascii="华文仿宋" w:hAnsi="华文仿宋" w:eastAsia="华文仿宋" w:cs="华文仿宋"/>
                <w:sz w:val="24"/>
              </w:rPr>
            </w:pPr>
            <w:r>
              <w:rPr>
                <w:rFonts w:hint="eastAsia" w:ascii="华文仿宋" w:hAnsi="华文仿宋" w:eastAsia="华文仿宋" w:cs="华文仿宋"/>
                <w:sz w:val="24"/>
              </w:rPr>
              <w:t>目标3：改善老百姓看病难看病贵的问题</w:t>
            </w:r>
            <w:r>
              <w:t>。</w:t>
            </w:r>
          </w:p>
          <w:p>
            <w:pPr>
              <w:widowControl/>
              <w:spacing w:line="320" w:lineRule="exact"/>
              <w:jc w:val="left"/>
              <w:textAlignment w:val="top"/>
              <w:rPr>
                <w:rFonts w:ascii="华文仿宋" w:hAnsi="华文仿宋" w:eastAsia="华文仿宋" w:cs="华文仿宋"/>
                <w:sz w:val="24"/>
              </w:rPr>
            </w:pPr>
            <w:r>
              <w:rPr>
                <w:rFonts w:hint="eastAsia" w:ascii="华文仿宋" w:hAnsi="华文仿宋" w:eastAsia="华文仿宋" w:cs="华文仿宋"/>
                <w:sz w:val="24"/>
              </w:rPr>
              <w:t>目标4：高质量完成2021年度基本公共卫生目标</w:t>
            </w:r>
            <w:r>
              <w:t>。</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华文仿宋" w:hAnsi="华文仿宋" w:eastAsia="华文仿宋" w:cs="华文仿宋"/>
                <w:sz w:val="24"/>
              </w:rPr>
            </w:pPr>
            <w:r>
              <w:rPr>
                <w:rFonts w:hint="eastAsia" w:ascii="华文仿宋" w:hAnsi="华文仿宋" w:eastAsia="华文仿宋" w:cs="华文仿宋"/>
                <w:sz w:val="24"/>
              </w:rPr>
              <w:t>1</w:t>
            </w:r>
            <w:r>
              <w:rPr>
                <w:rFonts w:hint="eastAsia" w:ascii="华文仿宋" w:hAnsi="华文仿宋" w:eastAsia="华文仿宋" w:cs="华文仿宋"/>
                <w:sz w:val="24"/>
                <w:u w:val="thick" w:color="46CD7E"/>
                <w:shd w:val="clear" w:fill="DAF5E5"/>
                <w:lang w:eastAsia="zh-CN"/>
              </w:rPr>
              <w:t>.</w:t>
            </w:r>
            <w:r>
              <w:rPr>
                <w:rFonts w:hint="eastAsia" w:ascii="华文仿宋" w:hAnsi="华文仿宋" w:eastAsia="华文仿宋" w:cs="华文仿宋"/>
                <w:sz w:val="24"/>
              </w:rPr>
              <w:t>保障本院职工的基本工资与社会保障费用的按时发放与缴费</w:t>
            </w:r>
            <w:r>
              <w:t>。</w:t>
            </w:r>
          </w:p>
          <w:p>
            <w:pPr>
              <w:widowControl/>
              <w:spacing w:line="320" w:lineRule="exact"/>
              <w:jc w:val="left"/>
              <w:textAlignment w:val="top"/>
              <w:rPr>
                <w:rFonts w:ascii="华文仿宋" w:hAnsi="华文仿宋" w:eastAsia="华文仿宋" w:cs="华文仿宋"/>
                <w:sz w:val="24"/>
              </w:rPr>
            </w:pPr>
            <w:r>
              <w:rPr>
                <w:rFonts w:hint="eastAsia" w:ascii="华文仿宋" w:hAnsi="华文仿宋" w:eastAsia="华文仿宋" w:cs="华文仿宋"/>
                <w:sz w:val="24"/>
              </w:rPr>
              <w:t>2</w:t>
            </w:r>
            <w:r>
              <w:rPr>
                <w:rFonts w:hint="eastAsia" w:ascii="华文仿宋" w:hAnsi="华文仿宋" w:eastAsia="华文仿宋" w:cs="华文仿宋"/>
                <w:sz w:val="24"/>
                <w:u w:val="thick" w:color="46CD7E"/>
                <w:shd w:val="clear" w:fill="DAF5E5"/>
                <w:lang w:eastAsia="zh-CN"/>
              </w:rPr>
              <w:t>.</w:t>
            </w:r>
            <w:r>
              <w:rPr>
                <w:rFonts w:hint="eastAsia" w:ascii="华文仿宋" w:hAnsi="华文仿宋" w:eastAsia="华文仿宋" w:cs="华文仿宋"/>
                <w:sz w:val="24"/>
              </w:rPr>
              <w:t>保障村卫生站正常运行</w:t>
            </w:r>
            <w:r>
              <w:t>。</w:t>
            </w:r>
          </w:p>
          <w:p>
            <w:pPr>
              <w:widowControl/>
              <w:spacing w:line="320" w:lineRule="exact"/>
              <w:jc w:val="left"/>
              <w:textAlignment w:val="top"/>
              <w:rPr>
                <w:rFonts w:ascii="华文仿宋" w:hAnsi="华文仿宋" w:eastAsia="华文仿宋" w:cs="华文仿宋"/>
                <w:sz w:val="24"/>
              </w:rPr>
            </w:pPr>
            <w:r>
              <w:rPr>
                <w:rFonts w:hint="eastAsia" w:ascii="华文仿宋" w:hAnsi="华文仿宋" w:eastAsia="华文仿宋" w:cs="华文仿宋"/>
                <w:sz w:val="24"/>
              </w:rPr>
              <w:t>3</w:t>
            </w:r>
            <w:r>
              <w:rPr>
                <w:rFonts w:hint="eastAsia" w:ascii="华文仿宋" w:hAnsi="华文仿宋" w:eastAsia="华文仿宋" w:cs="华文仿宋"/>
                <w:sz w:val="24"/>
                <w:u w:val="thick" w:color="46CD7E"/>
                <w:shd w:val="clear" w:fill="DAF5E5"/>
                <w:lang w:eastAsia="zh-CN"/>
              </w:rPr>
              <w:t>.</w:t>
            </w:r>
            <w:r>
              <w:rPr>
                <w:rFonts w:hint="eastAsia" w:ascii="华文仿宋" w:hAnsi="华文仿宋" w:eastAsia="华文仿宋" w:cs="华文仿宋"/>
                <w:sz w:val="24"/>
              </w:rPr>
              <w:t>实行了全部西药、中成药零加成，减轻了老百姓看病贵的负担</w:t>
            </w:r>
            <w:r>
              <w:t>。</w:t>
            </w:r>
          </w:p>
          <w:p>
            <w:pPr>
              <w:widowControl/>
              <w:spacing w:line="320" w:lineRule="exact"/>
              <w:jc w:val="left"/>
              <w:textAlignment w:val="top"/>
              <w:rPr>
                <w:rFonts w:ascii="华文仿宋" w:hAnsi="华文仿宋" w:eastAsia="华文仿宋" w:cs="华文仿宋"/>
                <w:sz w:val="24"/>
              </w:rPr>
            </w:pPr>
            <w:r>
              <w:rPr>
                <w:rFonts w:hint="eastAsia" w:ascii="华文仿宋" w:hAnsi="华文仿宋" w:eastAsia="华文仿宋" w:cs="华文仿宋"/>
                <w:sz w:val="24"/>
              </w:rPr>
              <w:t>4</w:t>
            </w:r>
            <w:r>
              <w:rPr>
                <w:rFonts w:hint="eastAsia" w:ascii="华文仿宋" w:hAnsi="华文仿宋" w:eastAsia="华文仿宋" w:cs="华文仿宋"/>
                <w:sz w:val="24"/>
                <w:u w:val="thick" w:color="46CD7E"/>
                <w:shd w:val="clear" w:fill="DAF5E5"/>
                <w:lang w:eastAsia="zh-CN"/>
              </w:rPr>
              <w:t>.</w:t>
            </w:r>
            <w:r>
              <w:rPr>
                <w:rFonts w:hint="eastAsia" w:ascii="华文仿宋" w:hAnsi="华文仿宋" w:eastAsia="华文仿宋" w:cs="华文仿宋"/>
                <w:sz w:val="24"/>
              </w:rPr>
              <w:t>完成下达的十四项基本公共卫生服务任务，顺利完成2021年度基本公共卫生服务工作</w:t>
            </w:r>
            <w:r>
              <w:t>。</w:t>
            </w:r>
          </w:p>
          <w:p>
            <w:pPr>
              <w:widowControl/>
              <w:spacing w:line="320" w:lineRule="exact"/>
              <w:jc w:val="left"/>
              <w:textAlignment w:val="top"/>
              <w:rPr>
                <w:rFonts w:ascii="华文仿宋" w:hAnsi="华文仿宋" w:eastAsia="华文仿宋" w:cs="华文仿宋"/>
                <w:sz w:val="24"/>
              </w:rPr>
            </w:pPr>
            <w:r>
              <w:rPr>
                <w:rFonts w:hint="eastAsia" w:ascii="华文仿宋" w:hAnsi="华文仿宋" w:eastAsia="华文仿宋" w:cs="华文仿宋"/>
                <w:sz w:val="24"/>
              </w:rPr>
              <w:t>5</w:t>
            </w:r>
            <w:r>
              <w:rPr>
                <w:rFonts w:hint="eastAsia" w:ascii="华文仿宋" w:hAnsi="华文仿宋" w:eastAsia="华文仿宋" w:cs="华文仿宋"/>
                <w:sz w:val="24"/>
                <w:u w:val="thick" w:color="46CD7E"/>
                <w:shd w:val="clear" w:fill="DAF5E5"/>
                <w:lang w:eastAsia="zh-CN"/>
              </w:rPr>
              <w:t>.</w:t>
            </w:r>
            <w:r>
              <w:rPr>
                <w:rFonts w:hint="eastAsia" w:ascii="华文仿宋" w:hAnsi="华文仿宋" w:eastAsia="华文仿宋" w:cs="华文仿宋"/>
                <w:sz w:val="24"/>
              </w:rPr>
              <w:t>预算资金全部执行到位</w:t>
            </w:r>
            <w:r>
              <w:t>。</w:t>
            </w:r>
          </w:p>
        </w:tc>
      </w:tr>
      <w:tr>
        <w:tblPrEx>
          <w:tblCellMar>
            <w:top w:w="0" w:type="dxa"/>
            <w:left w:w="108" w:type="dxa"/>
            <w:bottom w:w="0" w:type="dxa"/>
            <w:right w:w="108" w:type="dxa"/>
          </w:tblCellMar>
        </w:tblPrEx>
        <w:trPr>
          <w:gridAfter w:val="1"/>
          <w:wAfter w:w="234" w:type="dxa"/>
          <w:trHeight w:val="693" w:hRule="atLeast"/>
          <w:jc w:val="center"/>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kern w:val="0"/>
                <w:sz w:val="24"/>
              </w:rPr>
            </w:pPr>
            <w:r>
              <w:rPr>
                <w:rFonts w:hint="eastAsia" w:ascii="华文仿宋" w:hAnsi="华文仿宋" w:eastAsia="华文仿宋" w:cs="华文仿宋"/>
                <w:kern w:val="0"/>
                <w:sz w:val="24"/>
              </w:rPr>
              <w:t>一级</w:t>
            </w:r>
          </w:p>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kern w:val="0"/>
                <w:sz w:val="24"/>
              </w:rPr>
            </w:pPr>
            <w:r>
              <w:rPr>
                <w:rFonts w:hint="eastAsia" w:ascii="华文仿宋" w:hAnsi="华文仿宋" w:eastAsia="华文仿宋" w:cs="华文仿宋"/>
                <w:kern w:val="0"/>
                <w:sz w:val="24"/>
              </w:rPr>
              <w:t>二级</w:t>
            </w:r>
          </w:p>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kern w:val="0"/>
                <w:sz w:val="24"/>
              </w:rPr>
            </w:pPr>
            <w:r>
              <w:rPr>
                <w:rFonts w:hint="eastAsia" w:ascii="华文仿宋" w:hAnsi="华文仿宋" w:eastAsia="华文仿宋" w:cs="华文仿宋"/>
                <w:kern w:val="0"/>
                <w:sz w:val="24"/>
              </w:rPr>
              <w:t>三级</w:t>
            </w:r>
          </w:p>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华文仿宋" w:hAnsi="华文仿宋" w:eastAsia="华文仿宋" w:cs="华文仿宋"/>
                <w:sz w:val="24"/>
              </w:rPr>
            </w:pPr>
            <w:r>
              <w:rPr>
                <w:rFonts w:hint="eastAsia" w:ascii="华文仿宋" w:hAnsi="华文仿宋" w:eastAsia="华文仿宋" w:cs="华文仿宋"/>
                <w:kern w:val="0"/>
                <w:sz w:val="24"/>
              </w:rPr>
              <w:t>实际完成指标值</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完成</w:t>
            </w:r>
          </w:p>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基本公共卫生服务人数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8649人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8649人</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p>
        </w:tc>
        <w:tc>
          <w:tcPr>
            <w:tcW w:w="1142"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药品零加成品种规模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全部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全部</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142"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保障村卫生站运行个数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8个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8个</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142"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医院职工基本工资保障人数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8人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8人</w:t>
            </w:r>
          </w:p>
        </w:tc>
      </w:tr>
      <w:tr>
        <w:tblPrEx>
          <w:tblCellMar>
            <w:top w:w="0" w:type="dxa"/>
            <w:left w:w="108" w:type="dxa"/>
            <w:bottom w:w="0" w:type="dxa"/>
            <w:right w:w="108" w:type="dxa"/>
          </w:tblCellMar>
        </w:tblPrEx>
        <w:trPr>
          <w:gridAfter w:val="1"/>
          <w:wAfter w:w="234" w:type="dxa"/>
          <w:trHeight w:val="90"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医院职工社保经费保障人数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8人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8人</w:t>
            </w:r>
          </w:p>
        </w:tc>
      </w:tr>
      <w:tr>
        <w:tblPrEx>
          <w:tblCellMar>
            <w:top w:w="0" w:type="dxa"/>
            <w:left w:w="108" w:type="dxa"/>
            <w:bottom w:w="0" w:type="dxa"/>
            <w:right w:w="108" w:type="dxa"/>
          </w:tblCellMar>
        </w:tblPrEx>
        <w:trPr>
          <w:gridAfter w:val="1"/>
          <w:wAfter w:w="234" w:type="dxa"/>
          <w:trHeight w:val="106"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十四项基本公共卫生服务率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100%</w:t>
            </w:r>
          </w:p>
        </w:tc>
      </w:tr>
      <w:tr>
        <w:tblPrEx>
          <w:tblCellMar>
            <w:top w:w="0" w:type="dxa"/>
            <w:left w:w="108" w:type="dxa"/>
            <w:bottom w:w="0" w:type="dxa"/>
            <w:right w:w="108" w:type="dxa"/>
          </w:tblCellMar>
        </w:tblPrEx>
        <w:trPr>
          <w:gridAfter w:val="1"/>
          <w:wAfter w:w="234" w:type="dxa"/>
          <w:trHeight w:val="106"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药品合格率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100%</w:t>
            </w:r>
          </w:p>
        </w:tc>
      </w:tr>
      <w:tr>
        <w:tblPrEx>
          <w:tblCellMar>
            <w:top w:w="0" w:type="dxa"/>
            <w:left w:w="108" w:type="dxa"/>
            <w:bottom w:w="0" w:type="dxa"/>
            <w:right w:w="108" w:type="dxa"/>
          </w:tblCellMar>
        </w:tblPrEx>
        <w:trPr>
          <w:gridAfter w:val="1"/>
          <w:wAfter w:w="234" w:type="dxa"/>
          <w:trHeight w:val="106"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保障村卫生站运行率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100%</w:t>
            </w:r>
          </w:p>
        </w:tc>
      </w:tr>
      <w:tr>
        <w:tblPrEx>
          <w:tblCellMar>
            <w:top w:w="0" w:type="dxa"/>
            <w:left w:w="108" w:type="dxa"/>
            <w:bottom w:w="0" w:type="dxa"/>
            <w:right w:w="108" w:type="dxa"/>
          </w:tblCellMar>
        </w:tblPrEx>
        <w:trPr>
          <w:gridAfter w:val="1"/>
          <w:wAfter w:w="234" w:type="dxa"/>
          <w:trHeight w:val="64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医院职工基本工资发放及时率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100%</w:t>
            </w:r>
          </w:p>
        </w:tc>
      </w:tr>
      <w:tr>
        <w:tblPrEx>
          <w:tblCellMar>
            <w:top w:w="0" w:type="dxa"/>
            <w:left w:w="108" w:type="dxa"/>
            <w:bottom w:w="0" w:type="dxa"/>
            <w:right w:w="108" w:type="dxa"/>
          </w:tblCellMar>
        </w:tblPrEx>
        <w:trPr>
          <w:gridAfter w:val="1"/>
          <w:wAfter w:w="234" w:type="dxa"/>
          <w:trHeight w:val="64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职工五险一金及时申报与缴费率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100%</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基本公共卫生服务完成时间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2021年12月31日前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2021年12月31日前</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药品合格期间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2021年全年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2021年全年</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保障村卫生站运行期间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2021年12月31日前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2021年12月31日前</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职工基本工资发放及时期间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按月发放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按月发放</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职工五险一金及时申报与完成时间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按月申报缴费</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按月申报缴费</w:t>
            </w:r>
          </w:p>
        </w:tc>
      </w:tr>
      <w:tr>
        <w:tblPrEx>
          <w:tblCellMar>
            <w:top w:w="0" w:type="dxa"/>
            <w:left w:w="108" w:type="dxa"/>
            <w:bottom w:w="0" w:type="dxa"/>
            <w:right w:w="108" w:type="dxa"/>
          </w:tblCellMar>
        </w:tblPrEx>
        <w:trPr>
          <w:gridAfter w:val="1"/>
          <w:wAfter w:w="234" w:type="dxa"/>
          <w:trHeight w:val="122"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基本公共卫生服务经费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&gt;44.3万元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&gt;44.3万元</w:t>
            </w:r>
          </w:p>
        </w:tc>
      </w:tr>
      <w:tr>
        <w:tblPrEx>
          <w:tblCellMar>
            <w:top w:w="0" w:type="dxa"/>
            <w:left w:w="108" w:type="dxa"/>
            <w:bottom w:w="0" w:type="dxa"/>
            <w:right w:w="108" w:type="dxa"/>
          </w:tblCellMar>
        </w:tblPrEx>
        <w:trPr>
          <w:gridAfter w:val="1"/>
          <w:wAfter w:w="234" w:type="dxa"/>
          <w:trHeight w:val="122"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西药、中成药零加成补助</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&gt;5.1万元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&gt;5.1万元</w:t>
            </w:r>
          </w:p>
        </w:tc>
      </w:tr>
      <w:tr>
        <w:tblPrEx>
          <w:tblCellMar>
            <w:top w:w="0" w:type="dxa"/>
            <w:left w:w="108" w:type="dxa"/>
            <w:bottom w:w="0" w:type="dxa"/>
            <w:right w:w="108" w:type="dxa"/>
          </w:tblCellMar>
        </w:tblPrEx>
        <w:trPr>
          <w:gridAfter w:val="1"/>
          <w:wAfter w:w="234" w:type="dxa"/>
          <w:trHeight w:val="122"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村卫生站补助</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&gt;7.6万元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&gt;7.6万元</w:t>
            </w:r>
          </w:p>
        </w:tc>
      </w:tr>
      <w:tr>
        <w:tblPrEx>
          <w:tblCellMar>
            <w:top w:w="0" w:type="dxa"/>
            <w:left w:w="108" w:type="dxa"/>
            <w:bottom w:w="0" w:type="dxa"/>
            <w:right w:w="108" w:type="dxa"/>
          </w:tblCellMar>
        </w:tblPrEx>
        <w:trPr>
          <w:gridAfter w:val="1"/>
          <w:wAfter w:w="234" w:type="dxa"/>
          <w:trHeight w:val="122"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职工五险一金及基本工资补助</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&gt;44万元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&gt;44万元</w:t>
            </w:r>
          </w:p>
        </w:tc>
      </w:tr>
      <w:tr>
        <w:tblPrEx>
          <w:tblCellMar>
            <w:top w:w="0" w:type="dxa"/>
            <w:left w:w="108" w:type="dxa"/>
            <w:bottom w:w="0" w:type="dxa"/>
            <w:right w:w="108" w:type="dxa"/>
          </w:tblCellMar>
        </w:tblPrEx>
        <w:trPr>
          <w:gridAfter w:val="1"/>
          <w:wAfter w:w="234" w:type="dxa"/>
          <w:trHeight w:val="813"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效益</w:t>
            </w:r>
            <w:r>
              <w:rPr>
                <w:rFonts w:hint="eastAsia" w:ascii="华文仿宋" w:hAnsi="华文仿宋" w:eastAsia="华文仿宋" w:cs="华文仿宋"/>
                <w:kern w:val="0"/>
                <w:sz w:val="24"/>
              </w:rPr>
              <w:br w:type="textWrapping"/>
            </w:r>
            <w:r>
              <w:rPr>
                <w:rFonts w:hint="eastAsia" w:ascii="华文仿宋" w:hAnsi="华文仿宋" w:eastAsia="华文仿宋" w:cs="华文仿宋"/>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职工人均增收率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≥1%</w:t>
            </w:r>
          </w:p>
        </w:tc>
      </w:tr>
      <w:tr>
        <w:tblPrEx>
          <w:tblCellMar>
            <w:top w:w="0" w:type="dxa"/>
            <w:left w:w="108" w:type="dxa"/>
            <w:bottom w:w="0" w:type="dxa"/>
            <w:right w:w="108" w:type="dxa"/>
          </w:tblCellMar>
        </w:tblPrEx>
        <w:trPr>
          <w:gridAfter w:val="1"/>
          <w:wAfter w:w="234" w:type="dxa"/>
          <w:trHeight w:val="162"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提高辖区基本公共卫生保障率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＞95%</w:t>
            </w:r>
          </w:p>
        </w:tc>
      </w:tr>
      <w:tr>
        <w:tblPrEx>
          <w:tblCellMar>
            <w:top w:w="0" w:type="dxa"/>
            <w:left w:w="108" w:type="dxa"/>
            <w:bottom w:w="0" w:type="dxa"/>
            <w:right w:w="108" w:type="dxa"/>
          </w:tblCellMar>
        </w:tblPrEx>
        <w:trPr>
          <w:gridAfter w:val="1"/>
          <w:wAfter w:w="234" w:type="dxa"/>
          <w:trHeight w:val="162"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减少老百姓就医药品费用支出</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＞5万元</w:t>
            </w:r>
          </w:p>
        </w:tc>
      </w:tr>
      <w:tr>
        <w:tblPrEx>
          <w:tblCellMar>
            <w:top w:w="0" w:type="dxa"/>
            <w:left w:w="108" w:type="dxa"/>
            <w:bottom w:w="0" w:type="dxa"/>
            <w:right w:w="108" w:type="dxa"/>
          </w:tblCellMar>
        </w:tblPrEx>
        <w:trPr>
          <w:gridAfter w:val="1"/>
          <w:wAfter w:w="234" w:type="dxa"/>
          <w:trHeight w:val="162"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药品收入占医疗收入比例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＜50.1%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＜50.1%</w:t>
            </w:r>
          </w:p>
        </w:tc>
      </w:tr>
      <w:tr>
        <w:tblPrEx>
          <w:tblCellMar>
            <w:top w:w="0" w:type="dxa"/>
            <w:left w:w="108" w:type="dxa"/>
            <w:bottom w:w="0" w:type="dxa"/>
            <w:right w:w="108" w:type="dxa"/>
          </w:tblCellMar>
        </w:tblPrEx>
        <w:trPr>
          <w:gridAfter w:val="1"/>
          <w:wAfter w:w="234" w:type="dxa"/>
          <w:trHeight w:val="162"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居民健康保健意识和健康知识知晓率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＞96%</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＞96%</w:t>
            </w:r>
          </w:p>
        </w:tc>
      </w:tr>
      <w:tr>
        <w:tblPrEx>
          <w:tblCellMar>
            <w:top w:w="0" w:type="dxa"/>
            <w:left w:w="108" w:type="dxa"/>
            <w:bottom w:w="0" w:type="dxa"/>
            <w:right w:w="108" w:type="dxa"/>
          </w:tblCellMar>
        </w:tblPrEx>
        <w:trPr>
          <w:gridAfter w:val="1"/>
          <w:wAfter w:w="234" w:type="dxa"/>
          <w:trHeight w:val="577"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p>
        </w:tc>
      </w:tr>
      <w:tr>
        <w:tblPrEx>
          <w:tblCellMar>
            <w:top w:w="0" w:type="dxa"/>
            <w:left w:w="108" w:type="dxa"/>
            <w:bottom w:w="0" w:type="dxa"/>
            <w:right w:w="108" w:type="dxa"/>
          </w:tblCellMar>
        </w:tblPrEx>
        <w:trPr>
          <w:gridAfter w:val="1"/>
          <w:wAfter w:w="234" w:type="dxa"/>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对医疗行业未来可持续发展的影响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可持续</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可持续</w:t>
            </w:r>
          </w:p>
        </w:tc>
      </w:tr>
      <w:tr>
        <w:tblPrEx>
          <w:tblCellMar>
            <w:top w:w="0" w:type="dxa"/>
            <w:left w:w="108" w:type="dxa"/>
            <w:bottom w:w="0" w:type="dxa"/>
            <w:right w:w="108" w:type="dxa"/>
          </w:tblCellMar>
        </w:tblPrEx>
        <w:trPr>
          <w:gridAfter w:val="1"/>
          <w:wAfter w:w="234" w:type="dxa"/>
          <w:trHeight w:val="216"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华文仿宋" w:hAnsi="华文仿宋" w:eastAsia="华文仿宋" w:cs="华文仿宋"/>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满意</w:t>
            </w:r>
            <w:r>
              <w:rPr>
                <w:rFonts w:hint="eastAsia" w:ascii="华文仿宋" w:hAnsi="华文仿宋" w:eastAsia="华文仿宋" w:cs="华文仿宋"/>
                <w:kern w:val="0"/>
                <w:sz w:val="24"/>
              </w:rPr>
              <w:br w:type="textWrapping"/>
            </w:r>
            <w:r>
              <w:rPr>
                <w:rFonts w:hint="eastAsia" w:ascii="华文仿宋" w:hAnsi="华文仿宋" w:eastAsia="华文仿宋" w:cs="华文仿宋"/>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满意度</w:t>
            </w:r>
          </w:p>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患者满意度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sz w:val="24"/>
              </w:rPr>
              <w:t>95%</w:t>
            </w:r>
          </w:p>
        </w:tc>
      </w:tr>
      <w:tr>
        <w:tblPrEx>
          <w:tblCellMar>
            <w:top w:w="0" w:type="dxa"/>
            <w:left w:w="108" w:type="dxa"/>
            <w:bottom w:w="0" w:type="dxa"/>
            <w:right w:w="108" w:type="dxa"/>
          </w:tblCellMar>
        </w:tblPrEx>
        <w:trPr>
          <w:gridAfter w:val="1"/>
          <w:wAfter w:w="234" w:type="dxa"/>
          <w:trHeight w:val="216"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满意</w:t>
            </w:r>
            <w:r>
              <w:rPr>
                <w:rFonts w:hint="eastAsia" w:ascii="华文仿宋" w:hAnsi="华文仿宋" w:eastAsia="华文仿宋" w:cs="华文仿宋"/>
                <w:kern w:val="0"/>
                <w:sz w:val="24"/>
              </w:rPr>
              <w:br w:type="textWrapping"/>
            </w:r>
            <w:r>
              <w:rPr>
                <w:rFonts w:hint="eastAsia" w:ascii="华文仿宋" w:hAnsi="华文仿宋" w:eastAsia="华文仿宋" w:cs="华文仿宋"/>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满意度</w:t>
            </w:r>
          </w:p>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职工满意度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sz w:val="24"/>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sz w:val="24"/>
              </w:rPr>
              <w:t>95%</w:t>
            </w:r>
          </w:p>
        </w:tc>
      </w:tr>
      <w:tr>
        <w:tblPrEx>
          <w:tblCellMar>
            <w:top w:w="0" w:type="dxa"/>
            <w:left w:w="108" w:type="dxa"/>
            <w:bottom w:w="0" w:type="dxa"/>
            <w:right w:w="108" w:type="dxa"/>
          </w:tblCellMar>
        </w:tblPrEx>
        <w:trPr>
          <w:gridAfter w:val="1"/>
          <w:wAfter w:w="234" w:type="dxa"/>
          <w:trHeight w:val="216"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满意</w:t>
            </w:r>
            <w:r>
              <w:rPr>
                <w:rFonts w:hint="eastAsia" w:ascii="华文仿宋" w:hAnsi="华文仿宋" w:eastAsia="华文仿宋" w:cs="华文仿宋"/>
                <w:kern w:val="0"/>
                <w:sz w:val="24"/>
              </w:rPr>
              <w:br w:type="textWrapping"/>
            </w:r>
            <w:r>
              <w:rPr>
                <w:rFonts w:hint="eastAsia" w:ascii="华文仿宋" w:hAnsi="华文仿宋" w:eastAsia="华文仿宋" w:cs="华文仿宋"/>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满意度</w:t>
            </w:r>
          </w:p>
          <w:p>
            <w:pPr>
              <w:widowControl/>
              <w:spacing w:line="320" w:lineRule="exact"/>
              <w:jc w:val="center"/>
              <w:textAlignment w:val="bottom"/>
              <w:rPr>
                <w:rFonts w:ascii="华文仿宋" w:hAnsi="华文仿宋" w:eastAsia="华文仿宋" w:cs="华文仿宋"/>
                <w:sz w:val="24"/>
              </w:rPr>
            </w:pPr>
            <w:r>
              <w:rPr>
                <w:rFonts w:hint="eastAsia" w:ascii="华文仿宋" w:hAnsi="华文仿宋" w:eastAsia="华文仿宋" w:cs="华文仿宋"/>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群众对基本公共卫生服务满意度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华文仿宋" w:hAnsi="华文仿宋" w:eastAsia="华文仿宋" w:cs="华文仿宋"/>
                <w:kern w:val="0"/>
                <w:sz w:val="24"/>
              </w:rPr>
            </w:pPr>
            <w:r>
              <w:rPr>
                <w:rFonts w:hint="eastAsia" w:ascii="华文仿宋" w:hAnsi="华文仿宋" w:eastAsia="华文仿宋" w:cs="华文仿宋"/>
                <w:kern w:val="0"/>
                <w:sz w:val="24"/>
              </w:rPr>
              <w:t>90%</w:t>
            </w:r>
          </w:p>
        </w:tc>
      </w:tr>
    </w:tbl>
    <w:p>
      <w:pPr>
        <w:widowControl/>
        <w:adjustRightInd w:val="0"/>
        <w:snapToGrid w:val="0"/>
        <w:spacing w:line="580" w:lineRule="exact"/>
        <w:contextualSpacing/>
        <w:jc w:val="left"/>
        <w:rPr>
          <w:rFonts w:ascii="仿宋_GB2312" w:hAnsi="宋体" w:eastAsia="仿宋_GB2312" w:cs="宋体"/>
          <w:color w:val="000000"/>
          <w:kern w:val="0"/>
          <w:sz w:val="32"/>
          <w:szCs w:val="32"/>
          <w:shd w:val="clear" w:color="auto" w:fill="FFFFFF"/>
        </w:rPr>
      </w:pPr>
    </w:p>
    <w:p>
      <w:pPr>
        <w:pStyle w:val="3"/>
        <w:spacing w:before="93"/>
      </w:pPr>
    </w:p>
    <w:p>
      <w:pPr>
        <w:spacing w:line="600" w:lineRule="exact"/>
        <w:jc w:val="center"/>
        <w:outlineLvl w:val="0"/>
        <w:rPr>
          <w:rFonts w:ascii="仿宋" w:hAnsi="仿宋" w:eastAsia="仿宋"/>
        </w:rPr>
      </w:pPr>
      <w:bookmarkStart w:id="116" w:name="_Toc25348"/>
      <w:bookmarkStart w:id="117" w:name="_Toc31389"/>
      <w:r>
        <w:rPr>
          <w:rFonts w:hint="eastAsia" w:ascii="黑体" w:hAnsi="黑体" w:eastAsia="黑体"/>
          <w:sz w:val="44"/>
          <w:szCs w:val="44"/>
        </w:rPr>
        <w:t>第</w:t>
      </w:r>
      <w:r>
        <w:rPr>
          <w:rStyle w:val="29"/>
          <w:rFonts w:hint="eastAsia" w:ascii="黑体" w:hAnsi="黑体" w:eastAsia="黑体"/>
          <w:b w:val="0"/>
        </w:rPr>
        <w:t>五部分附表</w:t>
      </w:r>
      <w:bookmarkEnd w:id="111"/>
      <w:bookmarkEnd w:id="115"/>
      <w:bookmarkEnd w:id="116"/>
      <w:bookmarkEnd w:id="117"/>
      <w:bookmarkStart w:id="118" w:name="_Toc15396619"/>
    </w:p>
    <w:p>
      <w:pPr>
        <w:pStyle w:val="14"/>
        <w:spacing w:before="0" w:after="0" w:line="640" w:lineRule="exact"/>
        <w:rPr>
          <w:rFonts w:ascii="仿宋" w:hAnsi="仿宋" w:eastAsia="仿宋"/>
          <w:b w:val="0"/>
        </w:rPr>
      </w:pPr>
      <w:bookmarkStart w:id="119" w:name="_Toc26960"/>
      <w:bookmarkStart w:id="120" w:name="_Toc13095"/>
    </w:p>
    <w:p>
      <w:pPr>
        <w:pStyle w:val="14"/>
        <w:spacing w:before="0" w:after="0" w:line="640" w:lineRule="exact"/>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bookmarkEnd w:id="118"/>
      <w:bookmarkEnd w:id="119"/>
      <w:bookmarkEnd w:id="120"/>
    </w:p>
    <w:p>
      <w:pPr>
        <w:pStyle w:val="14"/>
        <w:spacing w:before="0" w:after="0" w:line="640" w:lineRule="exact"/>
        <w:rPr>
          <w:rFonts w:ascii="仿宋" w:hAnsi="仿宋" w:eastAsia="仿宋"/>
        </w:rPr>
      </w:pPr>
      <w:bookmarkStart w:id="121" w:name="_Toc15396620"/>
      <w:bookmarkStart w:id="122" w:name="_Toc10503"/>
      <w:bookmarkStart w:id="123" w:name="_Toc7776"/>
      <w:r>
        <w:rPr>
          <w:rFonts w:hint="eastAsia" w:ascii="仿宋" w:hAnsi="仿宋" w:eastAsia="仿宋"/>
          <w:b w:val="0"/>
        </w:rPr>
        <w:t>二、收</w:t>
      </w:r>
      <w:r>
        <w:rPr>
          <w:rStyle w:val="30"/>
          <w:rFonts w:hint="eastAsia" w:ascii="仿宋" w:hAnsi="仿宋" w:eastAsia="仿宋"/>
          <w:b w:val="0"/>
          <w:bCs w:val="0"/>
        </w:rPr>
        <w:t>入决算表</w:t>
      </w:r>
      <w:bookmarkEnd w:id="121"/>
      <w:bookmarkEnd w:id="122"/>
      <w:bookmarkEnd w:id="123"/>
    </w:p>
    <w:p>
      <w:pPr>
        <w:pStyle w:val="14"/>
        <w:spacing w:before="0" w:after="0" w:line="640" w:lineRule="exact"/>
        <w:rPr>
          <w:rFonts w:ascii="仿宋" w:hAnsi="仿宋" w:eastAsia="仿宋"/>
        </w:rPr>
      </w:pPr>
      <w:bookmarkStart w:id="124" w:name="_Toc19170"/>
      <w:bookmarkStart w:id="125" w:name="_Toc24186"/>
      <w:bookmarkStart w:id="126"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124"/>
      <w:bookmarkEnd w:id="125"/>
      <w:bookmarkEnd w:id="126"/>
    </w:p>
    <w:p>
      <w:pPr>
        <w:pStyle w:val="14"/>
        <w:spacing w:before="0" w:after="0" w:line="640" w:lineRule="exact"/>
        <w:rPr>
          <w:rFonts w:ascii="仿宋" w:hAnsi="仿宋" w:eastAsia="仿宋"/>
          <w:b w:val="0"/>
        </w:rPr>
      </w:pPr>
      <w:bookmarkStart w:id="127" w:name="_Toc13496"/>
      <w:bookmarkStart w:id="128" w:name="_Toc23323"/>
      <w:bookmarkStart w:id="129"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127"/>
      <w:bookmarkEnd w:id="128"/>
      <w:bookmarkEnd w:id="129"/>
    </w:p>
    <w:p>
      <w:pPr>
        <w:pStyle w:val="14"/>
        <w:spacing w:before="0" w:after="0" w:line="640" w:lineRule="exact"/>
        <w:rPr>
          <w:rStyle w:val="30"/>
          <w:rFonts w:ascii="仿宋" w:hAnsi="仿宋" w:eastAsia="仿宋"/>
          <w:b w:val="0"/>
          <w:bCs w:val="0"/>
        </w:rPr>
      </w:pPr>
      <w:bookmarkStart w:id="130" w:name="_Toc15396623"/>
      <w:bookmarkStart w:id="131" w:name="_Toc29142"/>
      <w:bookmarkStart w:id="132" w:name="_Toc10177"/>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130"/>
      <w:bookmarkEnd w:id="131"/>
      <w:bookmarkEnd w:id="132"/>
      <w:bookmarkStart w:id="133" w:name="_Toc15396624"/>
    </w:p>
    <w:p>
      <w:pPr>
        <w:pStyle w:val="14"/>
        <w:spacing w:before="0" w:after="0" w:line="640" w:lineRule="exact"/>
        <w:rPr>
          <w:rFonts w:ascii="仿宋" w:hAnsi="仿宋" w:eastAsia="仿宋"/>
        </w:rPr>
      </w:pPr>
      <w:bookmarkStart w:id="134" w:name="_Toc28130"/>
      <w:bookmarkStart w:id="135" w:name="_Toc12427"/>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财政拨款支出决算表</w:t>
      </w:r>
      <w:bookmarkEnd w:id="133"/>
      <w:bookmarkEnd w:id="134"/>
      <w:bookmarkEnd w:id="135"/>
    </w:p>
    <w:p>
      <w:pPr>
        <w:pStyle w:val="14"/>
        <w:spacing w:before="0" w:after="0" w:line="640" w:lineRule="exact"/>
        <w:rPr>
          <w:rFonts w:ascii="仿宋" w:hAnsi="仿宋" w:eastAsia="仿宋"/>
        </w:rPr>
      </w:pPr>
      <w:bookmarkStart w:id="136" w:name="_Toc8307"/>
      <w:bookmarkStart w:id="137" w:name="_Toc31795"/>
      <w:bookmarkStart w:id="138"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财政拨款支出决算明细表</w:t>
      </w:r>
      <w:bookmarkEnd w:id="136"/>
      <w:bookmarkEnd w:id="137"/>
      <w:bookmarkEnd w:id="138"/>
    </w:p>
    <w:p>
      <w:pPr>
        <w:pStyle w:val="14"/>
        <w:spacing w:before="0" w:after="0" w:line="640" w:lineRule="exact"/>
        <w:rPr>
          <w:rFonts w:ascii="仿宋" w:hAnsi="仿宋" w:eastAsia="仿宋"/>
        </w:rPr>
      </w:pPr>
      <w:bookmarkStart w:id="139" w:name="_Toc15396626"/>
      <w:bookmarkStart w:id="140" w:name="_Toc16472"/>
      <w:bookmarkStart w:id="141" w:name="_Toc25110"/>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财政拨款基本支出决算表</w:t>
      </w:r>
      <w:bookmarkEnd w:id="139"/>
      <w:bookmarkEnd w:id="140"/>
      <w:bookmarkEnd w:id="141"/>
    </w:p>
    <w:p>
      <w:pPr>
        <w:pStyle w:val="14"/>
        <w:spacing w:before="0" w:after="0" w:line="640" w:lineRule="exact"/>
        <w:rPr>
          <w:rFonts w:ascii="仿宋" w:hAnsi="仿宋" w:eastAsia="仿宋"/>
        </w:rPr>
      </w:pPr>
      <w:bookmarkStart w:id="142" w:name="_Toc13070"/>
      <w:bookmarkStart w:id="143" w:name="_Toc15396627"/>
      <w:bookmarkStart w:id="144" w:name="_Toc26825"/>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财政拨款项目支出决算表</w:t>
      </w:r>
      <w:bookmarkEnd w:id="142"/>
      <w:bookmarkEnd w:id="143"/>
      <w:bookmarkEnd w:id="144"/>
    </w:p>
    <w:p>
      <w:pPr>
        <w:pStyle w:val="14"/>
        <w:spacing w:before="0" w:after="0" w:line="640" w:lineRule="exact"/>
        <w:rPr>
          <w:rFonts w:ascii="仿宋" w:hAnsi="仿宋" w:eastAsia="仿宋"/>
        </w:rPr>
      </w:pPr>
      <w:bookmarkStart w:id="145" w:name="_Toc13006"/>
      <w:bookmarkStart w:id="146" w:name="_Toc14377"/>
      <w:bookmarkStart w:id="147" w:name="_Toc15396628"/>
      <w:r>
        <w:rPr>
          <w:rStyle w:val="30"/>
          <w:rFonts w:hint="eastAsia" w:ascii="仿宋" w:hAnsi="仿宋" w:eastAsia="仿宋"/>
          <w:b w:val="0"/>
          <w:bCs w:val="0"/>
        </w:rPr>
        <w:t>十、</w:t>
      </w:r>
      <w:r>
        <w:rPr>
          <w:rFonts w:hint="eastAsia" w:ascii="仿宋" w:hAnsi="仿宋" w:eastAsia="仿宋"/>
          <w:b w:val="0"/>
        </w:rPr>
        <w:t>一</w:t>
      </w:r>
      <w:r>
        <w:rPr>
          <w:rStyle w:val="30"/>
          <w:rFonts w:hint="eastAsia" w:ascii="仿宋" w:hAnsi="仿宋" w:eastAsia="仿宋"/>
          <w:b w:val="0"/>
          <w:bCs w:val="0"/>
        </w:rPr>
        <w:t>般公共预算</w:t>
      </w:r>
      <w:r>
        <w:rPr>
          <w:rFonts w:hint="eastAsia" w:ascii="仿宋" w:hAnsi="仿宋" w:eastAsia="仿宋"/>
          <w:b w:val="0"/>
          <w:bCs w:val="0"/>
        </w:rPr>
        <w:t>财政拨款“三公”经费支出决算表</w:t>
      </w:r>
      <w:bookmarkEnd w:id="145"/>
      <w:bookmarkEnd w:id="146"/>
      <w:bookmarkEnd w:id="147"/>
    </w:p>
    <w:p>
      <w:pPr>
        <w:pStyle w:val="14"/>
        <w:spacing w:before="0" w:after="0" w:line="640" w:lineRule="exact"/>
        <w:rPr>
          <w:rFonts w:ascii="仿宋" w:hAnsi="仿宋" w:eastAsia="仿宋"/>
        </w:rPr>
      </w:pPr>
      <w:bookmarkStart w:id="148" w:name="_Toc277"/>
      <w:bookmarkStart w:id="149" w:name="_Toc14231"/>
      <w:bookmarkStart w:id="150" w:name="_Toc15396629"/>
      <w:r>
        <w:rPr>
          <w:rStyle w:val="30"/>
          <w:rFonts w:hint="eastAsia" w:ascii="仿宋" w:hAnsi="仿宋" w:eastAsia="仿宋"/>
          <w:b w:val="0"/>
          <w:bCs w:val="0"/>
        </w:rPr>
        <w:t>十一、</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b w:val="0"/>
          <w:bCs w:val="0"/>
        </w:rPr>
        <w:t>财政拨款收入支出决算表</w:t>
      </w:r>
      <w:bookmarkEnd w:id="148"/>
      <w:bookmarkEnd w:id="149"/>
      <w:bookmarkEnd w:id="150"/>
    </w:p>
    <w:p>
      <w:pPr>
        <w:pStyle w:val="14"/>
        <w:spacing w:before="0" w:after="0" w:line="640" w:lineRule="exact"/>
        <w:rPr>
          <w:rFonts w:ascii="仿宋" w:hAnsi="仿宋" w:eastAsia="仿宋"/>
        </w:rPr>
      </w:pPr>
      <w:bookmarkStart w:id="151" w:name="_Toc15396630"/>
      <w:bookmarkStart w:id="152" w:name="_Toc18725"/>
      <w:bookmarkStart w:id="153" w:name="_Toc3527"/>
      <w:r>
        <w:rPr>
          <w:rStyle w:val="30"/>
          <w:rFonts w:hint="eastAsia" w:ascii="仿宋" w:hAnsi="仿宋" w:eastAsia="仿宋"/>
          <w:b w:val="0"/>
          <w:bCs w:val="0"/>
        </w:rPr>
        <w:t>十二、</w:t>
      </w:r>
      <w:r>
        <w:rPr>
          <w:rFonts w:hint="eastAsia" w:ascii="仿宋" w:hAnsi="仿宋" w:eastAsia="仿宋"/>
          <w:b w:val="0"/>
        </w:rPr>
        <w:t>政</w:t>
      </w:r>
      <w:r>
        <w:rPr>
          <w:rStyle w:val="30"/>
          <w:rFonts w:hint="eastAsia" w:ascii="仿宋" w:hAnsi="仿宋" w:eastAsia="仿宋"/>
          <w:b w:val="0"/>
          <w:bCs w:val="0"/>
        </w:rPr>
        <w:t>府性基金预算</w:t>
      </w:r>
      <w:r>
        <w:rPr>
          <w:rFonts w:hint="eastAsia" w:ascii="仿宋" w:hAnsi="仿宋" w:eastAsia="仿宋"/>
          <w:b w:val="0"/>
          <w:bCs w:val="0"/>
        </w:rPr>
        <w:t>财政拨款“三公”经费支出决算表</w:t>
      </w:r>
      <w:bookmarkEnd w:id="151"/>
      <w:bookmarkEnd w:id="152"/>
      <w:bookmarkEnd w:id="153"/>
    </w:p>
    <w:p>
      <w:pPr>
        <w:pStyle w:val="14"/>
        <w:spacing w:before="0" w:after="0" w:line="640" w:lineRule="exact"/>
        <w:rPr>
          <w:rStyle w:val="30"/>
          <w:rFonts w:ascii="仿宋" w:hAnsi="仿宋" w:eastAsia="仿宋"/>
          <w:b w:val="0"/>
          <w:bCs w:val="0"/>
        </w:rPr>
      </w:pPr>
      <w:bookmarkStart w:id="154" w:name="_Toc7020"/>
      <w:bookmarkStart w:id="155" w:name="_Toc15396631"/>
      <w:bookmarkStart w:id="156" w:name="_Toc8386"/>
      <w:r>
        <w:rPr>
          <w:rStyle w:val="30"/>
          <w:rFonts w:hint="eastAsia" w:ascii="仿宋" w:hAnsi="仿宋" w:eastAsia="仿宋"/>
          <w:b w:val="0"/>
          <w:bCs w:val="0"/>
        </w:rPr>
        <w:t>十三、</w:t>
      </w:r>
      <w:r>
        <w:rPr>
          <w:rFonts w:hint="eastAsia" w:ascii="仿宋" w:hAnsi="仿宋" w:eastAsia="仿宋"/>
          <w:b w:val="0"/>
        </w:rPr>
        <w:t>国</w:t>
      </w:r>
      <w:r>
        <w:rPr>
          <w:rStyle w:val="30"/>
          <w:rFonts w:hint="eastAsia" w:ascii="仿宋" w:hAnsi="仿宋" w:eastAsia="仿宋"/>
          <w:b w:val="0"/>
          <w:bCs w:val="0"/>
        </w:rPr>
        <w:t>有</w:t>
      </w:r>
      <w:r>
        <w:rPr>
          <w:rFonts w:hint="eastAsia" w:ascii="仿宋" w:hAnsi="仿宋" w:eastAsia="仿宋"/>
          <w:b w:val="0"/>
          <w:bCs w:val="0"/>
        </w:rPr>
        <w:t>资本经营</w:t>
      </w:r>
      <w:r>
        <w:rPr>
          <w:rStyle w:val="30"/>
          <w:rFonts w:hint="eastAsia" w:ascii="仿宋" w:hAnsi="仿宋" w:eastAsia="仿宋"/>
          <w:b w:val="0"/>
          <w:bCs w:val="0"/>
        </w:rPr>
        <w:t>预算财政拨款收入支出决算表</w:t>
      </w:r>
      <w:bookmarkEnd w:id="154"/>
      <w:bookmarkEnd w:id="155"/>
      <w:bookmarkEnd w:id="156"/>
    </w:p>
    <w:p>
      <w:pPr>
        <w:spacing w:line="640" w:lineRule="exact"/>
        <w:rPr>
          <w:rFonts w:eastAsia="仿宋"/>
          <w:sz w:val="32"/>
          <w:szCs w:val="32"/>
        </w:rPr>
      </w:pPr>
      <w:bookmarkStart w:id="157" w:name="_Toc11854"/>
      <w:bookmarkStart w:id="158" w:name="_Toc7087"/>
      <w:r>
        <w:rPr>
          <w:rStyle w:val="30"/>
          <w:rFonts w:hint="eastAsia" w:ascii="仿宋" w:hAnsi="仿宋" w:eastAsia="仿宋"/>
          <w:b w:val="0"/>
          <w:bCs w:val="0"/>
        </w:rPr>
        <w:t>十四、国有</w:t>
      </w:r>
      <w:r>
        <w:rPr>
          <w:rFonts w:hint="eastAsia" w:ascii="仿宋" w:hAnsi="仿宋" w:eastAsia="仿宋"/>
          <w:sz w:val="32"/>
          <w:szCs w:val="32"/>
        </w:rPr>
        <w:t>资本经营</w:t>
      </w:r>
      <w:r>
        <w:rPr>
          <w:rStyle w:val="30"/>
          <w:rFonts w:hint="eastAsia" w:ascii="仿宋" w:hAnsi="仿宋" w:eastAsia="仿宋"/>
          <w:b w:val="0"/>
          <w:bCs w:val="0"/>
        </w:rPr>
        <w:t>预算</w:t>
      </w:r>
      <w:r>
        <w:rPr>
          <w:rFonts w:hint="eastAsia" w:ascii="仿宋" w:hAnsi="仿宋" w:eastAsia="仿宋"/>
          <w:sz w:val="32"/>
          <w:szCs w:val="32"/>
        </w:rPr>
        <w:t>财政拨款支出决算表</w:t>
      </w:r>
      <w:bookmarkEnd w:id="157"/>
      <w:bookmarkEnd w:id="158"/>
    </w:p>
    <w:sectPr>
      <w:headerReference r:id="rId3" w:type="default"/>
      <w:footerReference r:id="rId4" w:type="default"/>
      <w:pgSz w:w="11906" w:h="16838"/>
      <w:pgMar w:top="1327" w:right="1800" w:bottom="1440" w:left="1800" w:header="851" w:footer="992" w:gutter="0"/>
      <w:pgNumType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7"/>
          <w:jc w:val="center"/>
        </w:pPr>
        <w:r>
          <w:fldChar w:fldCharType="begin"/>
        </w:r>
        <w:r>
          <w:instrText xml:space="preserve">PAGE   \* MERGEFORMAT</w:instrText>
        </w:r>
        <w:r>
          <w:fldChar w:fldCharType="separate"/>
        </w:r>
        <w:r>
          <w:rPr>
            <w:lang w:val="zh-CN"/>
          </w:rPr>
          <w:t>14</w:t>
        </w:r>
        <w: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64178"/>
    <w:multiLevelType w:val="multilevel"/>
    <w:tmpl w:val="0AE64178"/>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EA325E5"/>
    <w:multiLevelType w:val="singleLevel"/>
    <w:tmpl w:val="0EA325E5"/>
    <w:lvl w:ilvl="0" w:tentative="0">
      <w:start w:val="9"/>
      <w:numFmt w:val="chineseCounting"/>
      <w:suff w:val="nothing"/>
      <w:lvlText w:val="%1、"/>
      <w:lvlJc w:val="left"/>
      <w:rPr>
        <w:rFonts w:hint="eastAsia"/>
      </w:rPr>
    </w:lvl>
  </w:abstractNum>
  <w:abstractNum w:abstractNumId="2">
    <w:nsid w:val="40193EEE"/>
    <w:multiLevelType w:val="singleLevel"/>
    <w:tmpl w:val="40193EEE"/>
    <w:lvl w:ilvl="0" w:tentative="0">
      <w:start w:val="1"/>
      <w:numFmt w:val="decimal"/>
      <w:suff w:val="nothing"/>
      <w:lvlText w:val="%1、"/>
      <w:lvlJc w:val="left"/>
    </w:lvl>
  </w:abstractNum>
  <w:abstractNum w:abstractNumId="3">
    <w:nsid w:val="5287486B"/>
    <w:multiLevelType w:val="singleLevel"/>
    <w:tmpl w:val="5287486B"/>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ViMTY2MzAwNzZjNjc3NDcyZjNiODJhNzZkNmE1YzIifQ=="/>
  </w:docVars>
  <w:rsids>
    <w:rsidRoot w:val="002822D7"/>
    <w:rsid w:val="002822D7"/>
    <w:rsid w:val="00B214D8"/>
    <w:rsid w:val="00BA1FC9"/>
    <w:rsid w:val="6C720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1"/>
    <w:qFormat/>
    <w:uiPriority w:val="99"/>
    <w:pPr>
      <w:tabs>
        <w:tab w:val="center" w:pos="4153"/>
        <w:tab w:val="right" w:pos="8306"/>
      </w:tabs>
      <w:snapToGrid w:val="0"/>
      <w:jc w:val="left"/>
    </w:pPr>
    <w:rPr>
      <w:sz w:val="18"/>
      <w:szCs w:val="18"/>
    </w:rPr>
  </w:style>
  <w:style w:type="paragraph" w:styleId="6">
    <w:name w:val="header"/>
    <w:basedOn w:val="1"/>
    <w:link w:val="40"/>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link w:val="29"/>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3"/>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Header Char"/>
    <w:basedOn w:val="9"/>
    <w:semiHidden/>
    <w:qFormat/>
    <w:uiPriority w:val="99"/>
    <w:rPr>
      <w:rFonts w:ascii="Times New Roman" w:hAnsi="Times New Roman"/>
      <w:sz w:val="18"/>
      <w:szCs w:val="18"/>
    </w:rPr>
  </w:style>
  <w:style w:type="character" w:customStyle="1" w:styleId="22">
    <w:name w:val="页眉 Char"/>
    <w:semiHidden/>
    <w:qFormat/>
    <w:locked/>
    <w:uiPriority w:val="99"/>
    <w:rPr>
      <w:sz w:val="18"/>
    </w:rPr>
  </w:style>
  <w:style w:type="character" w:customStyle="1" w:styleId="23">
    <w:name w:val="Footer Char"/>
    <w:basedOn w:val="9"/>
    <w:semiHidden/>
    <w:qFormat/>
    <w:uiPriority w:val="99"/>
    <w:rPr>
      <w:rFonts w:ascii="Times New Roman" w:hAnsi="Times New Roman"/>
      <w:sz w:val="18"/>
      <w:szCs w:val="18"/>
    </w:rPr>
  </w:style>
  <w:style w:type="character" w:customStyle="1" w:styleId="24">
    <w:name w:val="页脚 Char"/>
    <w:qFormat/>
    <w:locked/>
    <w:uiPriority w:val="99"/>
    <w:rPr>
      <w:sz w:val="18"/>
    </w:rPr>
  </w:style>
  <w:style w:type="character" w:customStyle="1" w:styleId="25">
    <w:name w:val="Body Text Char"/>
    <w:basedOn w:val="9"/>
    <w:semiHidden/>
    <w:qFormat/>
    <w:uiPriority w:val="99"/>
    <w:rPr>
      <w:rFonts w:ascii="Times New Roman" w:hAnsi="Times New Roman"/>
      <w:szCs w:val="24"/>
    </w:rPr>
  </w:style>
  <w:style w:type="character" w:customStyle="1" w:styleId="26">
    <w:name w:val="正文文本 Char"/>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9"/>
    <w:link w:val="13"/>
    <w:qFormat/>
    <w:uiPriority w:val="9"/>
    <w:rPr>
      <w:rFonts w:ascii="Times New Roman" w:hAnsi="Times New Roman"/>
      <w:b/>
      <w:bCs/>
      <w:kern w:val="44"/>
      <w:sz w:val="44"/>
      <w:szCs w:val="44"/>
    </w:rPr>
  </w:style>
  <w:style w:type="character" w:customStyle="1" w:styleId="30">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1">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9"/>
    <w:semiHidden/>
    <w:qFormat/>
    <w:uiPriority w:val="99"/>
    <w:rPr>
      <w:rFonts w:ascii="Times New Roman" w:hAnsi="Times New Roman"/>
      <w:kern w:val="2"/>
      <w:sz w:val="18"/>
      <w:szCs w:val="18"/>
    </w:rPr>
  </w:style>
  <w:style w:type="character" w:customStyle="1" w:styleId="33">
    <w:name w:val="标题 3 Char"/>
    <w:basedOn w:val="9"/>
    <w:link w:val="15"/>
    <w:qFormat/>
    <w:uiPriority w:val="9"/>
    <w:rPr>
      <w:rFonts w:ascii="Times New Roman" w:hAnsi="Times New Roman"/>
      <w:b/>
      <w:bCs/>
      <w:kern w:val="2"/>
      <w:sz w:val="32"/>
      <w:szCs w:val="32"/>
    </w:rPr>
  </w:style>
  <w:style w:type="paragraph" w:customStyle="1" w:styleId="34">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5">
    <w:name w:val="批注文字 Char"/>
    <w:basedOn w:val="9"/>
    <w:semiHidden/>
    <w:uiPriority w:val="99"/>
    <w:rPr>
      <w:kern w:val="2"/>
      <w:sz w:val="21"/>
      <w:szCs w:val="24"/>
    </w:rPr>
  </w:style>
  <w:style w:type="paragraph" w:customStyle="1" w:styleId="36">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7">
    <w:name w:val="页眉 Char1"/>
    <w:basedOn w:val="9"/>
    <w:semiHidden/>
    <w:uiPriority w:val="99"/>
    <w:rPr>
      <w:kern w:val="2"/>
      <w:sz w:val="18"/>
      <w:szCs w:val="18"/>
    </w:rPr>
  </w:style>
  <w:style w:type="paragraph" w:customStyle="1" w:styleId="38">
    <w:name w:val="Footer0"/>
    <w:basedOn w:val="1"/>
    <w:qFormat/>
    <w:uiPriority w:val="99"/>
    <w:pPr>
      <w:tabs>
        <w:tab w:val="center" w:pos="4153"/>
        <w:tab w:val="right" w:pos="8306"/>
      </w:tabs>
      <w:snapToGrid w:val="0"/>
      <w:jc w:val="left"/>
    </w:pPr>
    <w:rPr>
      <w:sz w:val="18"/>
      <w:szCs w:val="18"/>
    </w:rPr>
  </w:style>
  <w:style w:type="character" w:customStyle="1" w:styleId="39">
    <w:name w:val="页脚 Char1"/>
    <w:basedOn w:val="9"/>
    <w:uiPriority w:val="99"/>
    <w:rPr>
      <w:kern w:val="2"/>
      <w:sz w:val="18"/>
      <w:szCs w:val="18"/>
    </w:rPr>
  </w:style>
  <w:style w:type="character" w:customStyle="1" w:styleId="40">
    <w:name w:val="页眉 Char2"/>
    <w:basedOn w:val="9"/>
    <w:link w:val="6"/>
    <w:semiHidden/>
    <w:uiPriority w:val="99"/>
    <w:rPr>
      <w:kern w:val="2"/>
      <w:sz w:val="18"/>
      <w:szCs w:val="18"/>
    </w:rPr>
  </w:style>
  <w:style w:type="character" w:customStyle="1" w:styleId="41">
    <w:name w:val="页脚 Char2"/>
    <w:basedOn w:val="9"/>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3.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6.png"/><Relationship Id="rId11" Type="http://schemas.openxmlformats.org/officeDocument/2006/relationships/chart" Target="charts/chart1.xml"/><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9044;&#20915;&#31639;&#20844;&#24320;\&#22270;&#2663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[图标1.xlsx]Sheet1!$H$94:$H$95</c:f>
              <c:strCache>
                <c:ptCount val="2"/>
                <c:pt idx="0">
                  <c:v>卫生健康支出</c:v>
                </c:pt>
              </c:strCache>
            </c:strRef>
          </c:cat>
          <c:val>
            <c:numRef>
              <c:f>[图标1.xlsx]Sheet1!$I$94:$I$95</c:f>
              <c:numCache>
                <c:formatCode>General</c:formatCode>
                <c:ptCount val="2"/>
                <c:pt idx="0">
                  <c:v>479.2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26</TotalTime>
  <Pages>18</Pages>
  <Words>1341</Words>
  <Characters>7644</Characters>
  <Application>Microsoft Office Word</Application>
  <DocSecurity>0</DocSecurity>
  <Lines>63</Lines>
  <Paragraphs>17</Paragraphs>
  <ScaleCrop>false</ScaleCrop>
  <Company>四川省财政厅</Company>
  <LinksUpToDate>false</LinksUpToDate>
  <CharactersWithSpaces>8968</CharactersWithSpaces>
  <SharedDoc>false</SharedDoc>
  <HyperlinksChanged>false</HyperlinksChanged>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34</cp:revision>
  <cp:lastPrinted>2022-08-06T02:23:00Z</cp:lastPrinted>
  <dcterms:created xsi:type="dcterms:W3CDTF">2020-08-05T01:49:00Z</dcterms:created>
  <dcterms:modified xsi:type="dcterms:W3CDTF">2023-02-24T07:40:00Z</dcterms:modified>
</cp:coreProperties>
</file>

<file path=customXml/item11.xml><?xml version="1.0" encoding="utf-8"?>
<Properties xmlns:vt="http://schemas.openxmlformats.org/officeDocument/2006/docPropsVTypes" xmlns="http://schemas.openxmlformats.org/officeDocument/2006/extended-properties">
  <Template>Normal.dotm</Template>
  <TotalTime>23</TotalTime>
  <Pages>21</Pages>
  <Words>7035</Words>
  <Characters>7520</Characters>
  <Application>WPS Office_11.1.0.9208_F1E327BC-269C-435d-A152-05C5408002CA</Application>
  <DocSecurity>0</DocSecurity>
  <Lines>61</Lines>
  <Paragraphs>17</Paragraphs>
  <Company>四川省财政厅</Company>
  <CharactersWithSpaces>7686</CharactersWithSpaces>
  <AppVersion>14.0000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2022-11-02T02:22:15Z</dcterms:modified>
  <dc:title>四川省***</dc:title>
  <cp:revision>32</cp:revision>
</cp:coreProperties>
</file>

<file path=customXml/item13.xml><?xml version="1.0" encoding="utf-8"?>
<Properties xmlns="http://schemas.openxmlformats.org/officeDocument/2006/extended-properties" xmlns:vt="http://schemas.openxmlformats.org/officeDocument/2006/docPropsVTypes">
  <Template>Normal.dotm</Template>
  <Company>四川省财政厅</Company>
  <Pages>21</Pages>
  <Words>7035</Words>
  <Characters>7520</Characters>
  <Lines>61</Lines>
  <Paragraphs>17</Paragraphs>
  <TotalTime>23</TotalTime>
  <ScaleCrop>false</ScaleCrop>
  <LinksUpToDate>false</LinksUpToDate>
  <CharactersWithSpaces>7686</CharactersWithSpaces>
  <Application>WPS Office_11.1.0.9208_F1E327BC-269C-435d-A152-05C5408002CA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2022-11-02T02:22:15Z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34</cp:revision>
  <cp:lastPrinted>2022-08-06T02:23:00Z</cp:lastPrinted>
  <dcterms:created xsi:type="dcterms:W3CDTF">2020-08-05T01:49:00Z</dcterms:created>
  <dcterms:modified xsi:type="dcterms:W3CDTF">2023-02-24T07:40:00Z</dcterms:modified>
</cp:coreProperties>
</file>

<file path=customXml/item4.xml><?xml version="1.0" encoding="utf-8"?>
<Properties xmlns:vt="http://schemas.openxmlformats.org/officeDocument/2006/docPropsVTypes" xmlns="http://schemas.openxmlformats.org/officeDocument/2006/extended-properties">
  <Template>Normal</Template>
  <TotalTime>26</TotalTime>
  <Pages>18</Pages>
  <Words>1341</Words>
  <Characters>7644</Characters>
  <Application>Microsoft Office Word</Application>
  <DocSecurity>0</DocSecurity>
  <Lines>63</Lines>
  <Paragraphs>17</Paragraphs>
  <Company>四川省财政厅</Company>
  <CharactersWithSpaces>8968</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62C767548F27482BAF9A6DD6D2CEE6EB</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62C767548F27482BAF9A6DD6D2CEE6EB</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62C767548F27482BAF9A6DD6D2CEE6EB</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62C767548F27482BAF9A6DD6D2CEE6EB</vt:lpstr>
  </property>
</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9031-6382-4BB4-8BB1-0E71020B8DAC}">
  <ds:schemaRefs/>
</ds:datastoreItem>
</file>

<file path=customXml/itemProps10.xml><?xml version="1.0" encoding="utf-8"?>
<ds:datastoreItem xmlns:ds="http://schemas.openxmlformats.org/officeDocument/2006/customXml" ds:itemID="{D701F9B1-979B-4943-9E5E-708387316A38}">
  <ds:schemaRefs/>
</ds:datastoreItem>
</file>

<file path=customXml/itemProps11.xml><?xml version="1.0" encoding="utf-8"?>
<ds:datastoreItem xmlns:ds="http://schemas.openxmlformats.org/officeDocument/2006/customXml" ds:itemID="{EEF1C9D1-610D-4397-8803-217799417C52}">
  <ds:schemaRefs/>
</ds:datastoreItem>
</file>

<file path=customXml/itemProps12.xml><?xml version="1.0" encoding="utf-8"?>
<ds:datastoreItem xmlns:ds="http://schemas.openxmlformats.org/officeDocument/2006/customXml" ds:itemID="{C069431A-92AC-4839-860D-668EBDABBFB4}">
  <ds:schemaRefs/>
</ds:datastoreItem>
</file>

<file path=customXml/itemProps13.xml><?xml version="1.0" encoding="utf-8"?>
<ds:datastoreItem xmlns:ds="http://schemas.openxmlformats.org/officeDocument/2006/customXml" ds:itemID="{A573620A-7E2B-405C-918F-AE1C6B28E40B}">
  <ds:schemaRefs/>
</ds:datastoreItem>
</file>

<file path=customXml/itemProps2.xml><?xml version="1.0" encoding="utf-8"?>
<ds:datastoreItem xmlns:ds="http://schemas.openxmlformats.org/officeDocument/2006/customXml" ds:itemID="{FD7F1B66-A46D-4D54-90BD-2FE9BD00477A}">
  <ds:schemaRefs/>
</ds:datastoreItem>
</file>

<file path=customXml/itemProps3.xml><?xml version="1.0" encoding="utf-8"?>
<ds:datastoreItem xmlns:ds="http://schemas.openxmlformats.org/officeDocument/2006/customXml" ds:itemID="{F2B61F4D-E25F-41E7-8F69-8B0126664DC5}">
  <ds:schemaRefs/>
</ds:datastoreItem>
</file>

<file path=customXml/itemProps4.xml><?xml version="1.0" encoding="utf-8"?>
<ds:datastoreItem xmlns:ds="http://schemas.openxmlformats.org/officeDocument/2006/customXml" ds:itemID="{83119F7D-4049-47C2-B178-46A860B03F10}">
  <ds:schemaRefs/>
</ds:datastoreItem>
</file>

<file path=customXml/itemProps5.xml><?xml version="1.0" encoding="utf-8"?>
<ds:datastoreItem xmlns:ds="http://schemas.openxmlformats.org/officeDocument/2006/customXml" ds:itemID="{6CD67A74-F185-4638-81B7-B9396B8A8A0C}">
  <ds:schemaRefs/>
</ds:datastoreItem>
</file>

<file path=customXml/itemProps6.xml><?xml version="1.0" encoding="utf-8"?>
<ds:datastoreItem xmlns:ds="http://schemas.openxmlformats.org/officeDocument/2006/customXml" ds:itemID="{E3CAD8C2-4A1B-4AD5-82CD-7DBA0BEC86A1}">
  <ds:schemaRefs/>
</ds:datastoreItem>
</file>

<file path=customXml/itemProps7.xml><?xml version="1.0" encoding="utf-8"?>
<ds:datastoreItem xmlns:ds="http://schemas.openxmlformats.org/officeDocument/2006/customXml" ds:itemID="{8AEF5CEA-AA02-4475-87A1-2910E0C33485}">
  <ds:schemaRefs/>
</ds:datastoreItem>
</file>

<file path=customXml/itemProps8.xml><?xml version="1.0" encoding="utf-8"?>
<ds:datastoreItem xmlns:ds="http://schemas.openxmlformats.org/officeDocument/2006/customXml" ds:itemID="{B3036941-AEFD-48AC-AAA1-DD1FF824CC84}">
  <ds:schemaRefs/>
</ds:datastoreItem>
</file>

<file path=customXml/itemProps9.xml><?xml version="1.0" encoding="utf-8"?>
<ds:datastoreItem xmlns:ds="http://schemas.openxmlformats.org/officeDocument/2006/customXml" ds:itemID="{597840E2-18C3-4188-9208-A47EB77A4AC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18</Pages>
  <Words>6337</Words>
  <Characters>6789</Characters>
  <Lines>63</Lines>
  <Paragraphs>17</Paragraphs>
  <TotalTime>26</TotalTime>
  <ScaleCrop>false</ScaleCrop>
  <LinksUpToDate>false</LinksUpToDate>
  <CharactersWithSpaces>6887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2023-06-26T23:32:45Z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62C767548F27482BAF9A6DD6D2CEE6EB</vt:lpwstr>
  </property>
</Properties>
</file>