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96597"/>
      <w:bookmarkStart w:id="3" w:name="_Toc15378441"/>
      <w:bookmarkStart w:id="4" w:name="_Toc31437"/>
      <w:bookmarkStart w:id="5" w:name="_Toc15377425"/>
      <w:bookmarkStart w:id="6"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96598"/>
      <w:bookmarkStart w:id="8" w:name="_Toc15377194"/>
      <w:bookmarkStart w:id="9" w:name="_Toc15377426"/>
      <w:bookmarkStart w:id="10" w:name="_Toc14865"/>
      <w:bookmarkStart w:id="11" w:name="_Toc15396476"/>
      <w:bookmarkStart w:id="12" w:name="_Toc15378442"/>
      <w:r>
        <w:rPr>
          <w:rFonts w:hint="eastAsia" w:ascii="方正小标宋简体" w:hAnsi="方正小标宋简体" w:eastAsia="方正小标宋简体" w:cs="方正小标宋简体"/>
          <w:sz w:val="72"/>
          <w:szCs w:val="72"/>
        </w:rPr>
        <w:t>四川省</w:t>
      </w:r>
      <w:bookmarkEnd w:id="0"/>
      <w:bookmarkStart w:id="13" w:name="_Toc15306268"/>
      <w:r>
        <w:rPr>
          <w:rFonts w:hint="eastAsia" w:ascii="方正小标宋简体" w:hAnsi="宋体" w:eastAsia="方正小标宋简体"/>
          <w:color w:val="000000"/>
          <w:sz w:val="72"/>
          <w:szCs w:val="72"/>
        </w:rPr>
        <w:t>通江县烟溪镇</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宋体" w:eastAsia="方正小标宋简体"/>
          <w:color w:val="000000"/>
          <w:sz w:val="72"/>
          <w:szCs w:val="72"/>
        </w:rPr>
        <w:t>卫生院</w:t>
      </w:r>
      <w:r>
        <w:rPr>
          <w:rFonts w:hint="eastAsia" w:ascii="方正小标宋简体" w:hAnsi="方正小标宋简体" w:eastAsia="方正小标宋简体" w:cs="方正小标宋简体"/>
          <w:sz w:val="72"/>
          <w:szCs w:val="72"/>
        </w:rPr>
        <w:t>单位决算</w:t>
      </w:r>
      <w:bookmarkEnd w:id="7"/>
      <w:bookmarkEnd w:id="8"/>
      <w:bookmarkEnd w:id="9"/>
      <w:bookmarkEnd w:id="10"/>
      <w:bookmarkEnd w:id="11"/>
      <w:bookmarkEnd w:id="12"/>
      <w:bookmarkEnd w:id="13"/>
    </w:p>
    <w:p>
      <w:pPr>
        <w:widowControl/>
        <w:jc w:val="center"/>
        <w:rPr>
          <w:rFonts w:ascii="黑体" w:hAnsi="黑体" w:eastAsia="黑体"/>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9"/>
      </w:pPr>
      <w:r>
        <w:rPr>
          <w:rFonts w:hint="eastAsia"/>
        </w:rPr>
        <w:t>公开时间：2022年8月25日</w:t>
      </w:r>
    </w:p>
    <w:p/>
    <w:sdt>
      <w:sdtPr>
        <w:rPr>
          <w:rFonts w:ascii="宋体" w:hAnsi="宋体"/>
        </w:rPr>
        <w:id w:val="147479646"/>
        <w:docPartObj>
          <w:docPartGallery w:val="Table of Contents"/>
          <w:docPartUnique/>
        </w:docPartObj>
      </w:sdtPr>
      <w:sdtEndPr>
        <w:rPr>
          <w:rFonts w:hint="eastAsia" w:ascii="仿宋" w:hAnsi="仿宋" w:eastAsia="仿宋" w:cs="仿宋"/>
          <w:b/>
        </w:rPr>
      </w:sdtEndPr>
      <w:sdtContent>
        <w:p>
          <w:pPr>
            <w:jc w:val="center"/>
            <w:rPr>
              <w:b/>
            </w:rPr>
          </w:pPr>
          <w:bookmarkStart w:id="14" w:name="_Toc15396599"/>
          <w:r>
            <w:rPr>
              <w:rFonts w:hint="eastAsia"/>
            </w:rPr>
            <w:fldChar w:fldCharType="begin"/>
          </w:r>
          <w:r>
            <w:instrText xml:space="preserve">TOC \o "1-2" \h \u</w:instrText>
          </w:r>
          <w:r>
            <w:rPr>
              <w:rFonts w:hint="eastAsia" w:ascii="仿宋" w:hAnsi="仿宋" w:eastAsia="仿宋" w:cs="仿宋"/>
              <w:sz w:val="24"/>
            </w:rPr>
            <w:fldChar w:fldCharType="separate"/>
          </w:r>
        </w:p>
        <w:p>
          <w:pPr>
            <w:pStyle w:val="41"/>
            <w:tabs>
              <w:tab w:val="right" w:leader="dot" w:pos="8306"/>
            </w:tabs>
            <w:rPr>
              <w:rFonts w:ascii="仿宋" w:hAnsi="仿宋" w:eastAsia="仿宋" w:cs="仿宋"/>
              <w:bCs/>
              <w:sz w:val="24"/>
              <w:szCs w:val="24"/>
            </w:rPr>
          </w:pPr>
          <w:r>
            <w:fldChar w:fldCharType="begin"/>
          </w:r>
          <w:r>
            <w:instrText xml:space="preserve"> HYPERLINK \l "_Toc2014" </w:instrText>
          </w:r>
          <w:r>
            <w:fldChar w:fldCharType="separate"/>
          </w:r>
          <w:r>
            <w:rPr>
              <w:rFonts w:hint="eastAsia" w:ascii="仿宋" w:hAnsi="仿宋" w:eastAsia="仿宋" w:cs="仿宋"/>
              <w:bCs/>
              <w:sz w:val="24"/>
              <w:szCs w:val="24"/>
            </w:rPr>
            <w:t>第一部分单位概况</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_Toc2014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"_Toc19482" </w:instrText>
          </w:r>
          <w:r>
            <w:fldChar w:fldCharType="separate"/>
          </w:r>
          <w:r>
            <w:rPr>
              <w:rFonts w:hint="eastAsia" w:ascii="宋体" w:hAnsi="宋体" w:cs="宋体"/>
              <w:bCs/>
              <w:sz w:val="24"/>
              <w:szCs w:val="24"/>
            </w:rPr>
            <w:t>一、职能简介</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_Toc19482 \h </w:instrText>
          </w:r>
          <w:r>
            <w:rPr>
              <w:rFonts w:hint="eastAsia" w:ascii="宋体" w:hAnsi="宋体" w:cs="宋体"/>
              <w:bCs/>
              <w:sz w:val="24"/>
              <w:szCs w:val="24"/>
            </w:rPr>
            <w:fldChar w:fldCharType="separate"/>
          </w:r>
          <w:r>
            <w:rPr>
              <w:rFonts w:hint="eastAsia" w:ascii="宋体" w:hAnsi="宋体" w:cs="宋体"/>
              <w:bCs/>
              <w:sz w:val="24"/>
              <w:szCs w:val="24"/>
            </w:rPr>
            <w:t>1</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"_Toc23708" </w:instrText>
          </w:r>
          <w:r>
            <w:fldChar w:fldCharType="separate"/>
          </w:r>
          <w:r>
            <w:rPr>
              <w:rFonts w:hint="eastAsia" w:ascii="宋体" w:hAnsi="宋体" w:cs="宋体"/>
              <w:bCs/>
              <w:sz w:val="24"/>
              <w:szCs w:val="24"/>
            </w:rPr>
            <w:t>二、2021年重点工作完成情况</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_Toc23708 \h </w:instrText>
          </w:r>
          <w:r>
            <w:rPr>
              <w:rFonts w:hint="eastAsia" w:ascii="宋体" w:hAnsi="宋体" w:cs="宋体"/>
              <w:bCs/>
              <w:sz w:val="24"/>
              <w:szCs w:val="24"/>
            </w:rPr>
            <w:fldChar w:fldCharType="separate"/>
          </w:r>
          <w:r>
            <w:rPr>
              <w:rFonts w:hint="eastAsia" w:ascii="宋体" w:hAnsi="宋体" w:cs="宋体"/>
              <w:bCs/>
              <w:sz w:val="24"/>
              <w:szCs w:val="24"/>
            </w:rPr>
            <w:t>1</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1"/>
            <w:tabs>
              <w:tab w:val="right" w:leader="dot" w:pos="8306"/>
            </w:tabs>
            <w:rPr>
              <w:rFonts w:ascii="仿宋" w:hAnsi="仿宋" w:eastAsia="仿宋" w:cs="仿宋"/>
              <w:bCs/>
              <w:sz w:val="24"/>
              <w:szCs w:val="24"/>
            </w:rPr>
          </w:pPr>
          <w:r>
            <w:fldChar w:fldCharType="begin"/>
          </w:r>
          <w:r>
            <w:instrText xml:space="preserve"> HYPERLINK \l "_Toc21135" </w:instrText>
          </w:r>
          <w:r>
            <w:fldChar w:fldCharType="separate"/>
          </w:r>
          <w:r>
            <w:rPr>
              <w:rFonts w:hint="eastAsia" w:ascii="仿宋" w:hAnsi="仿宋" w:eastAsia="仿宋" w:cs="仿宋"/>
              <w:bCs/>
              <w:sz w:val="24"/>
              <w:szCs w:val="24"/>
            </w:rPr>
            <w:t>第二部分2021年度单位决算情况说明</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_Toc21135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3</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"_Toc12114" </w:instrText>
          </w:r>
          <w:r>
            <w:fldChar w:fldCharType="separate"/>
          </w:r>
          <w:r>
            <w:rPr>
              <w:rFonts w:hint="eastAsia" w:ascii="宋体" w:hAnsi="宋体" w:cs="宋体"/>
              <w:bCs/>
              <w:sz w:val="24"/>
              <w:szCs w:val="24"/>
            </w:rPr>
            <w:t>一、收入支出决算总体情况说明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_Toc12114 \h </w:instrText>
          </w:r>
          <w:r>
            <w:rPr>
              <w:rFonts w:hint="eastAsia" w:ascii="宋体" w:hAnsi="宋体" w:cs="宋体"/>
              <w:bCs/>
              <w:sz w:val="24"/>
              <w:szCs w:val="24"/>
            </w:rPr>
            <w:fldChar w:fldCharType="separate"/>
          </w:r>
          <w:r>
            <w:rPr>
              <w:rFonts w:hint="eastAsia" w:ascii="宋体" w:hAnsi="宋体" w:cs="宋体"/>
              <w:bCs/>
              <w:sz w:val="24"/>
              <w:szCs w:val="24"/>
            </w:rPr>
            <w:t>3</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"_Toc6556" </w:instrText>
          </w:r>
          <w:r>
            <w:fldChar w:fldCharType="separate"/>
          </w:r>
          <w:r>
            <w:rPr>
              <w:rFonts w:hint="eastAsia" w:ascii="宋体" w:hAnsi="宋体" w:cs="宋体"/>
              <w:bCs/>
              <w:sz w:val="24"/>
              <w:szCs w:val="24"/>
            </w:rPr>
            <w:t>二、收入决算情况说明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_Toc6556 \h </w:instrText>
          </w:r>
          <w:r>
            <w:rPr>
              <w:rFonts w:hint="eastAsia" w:ascii="宋体" w:hAnsi="宋体" w:cs="宋体"/>
              <w:bCs/>
              <w:sz w:val="24"/>
              <w:szCs w:val="24"/>
            </w:rPr>
            <w:fldChar w:fldCharType="separate"/>
          </w:r>
          <w:r>
            <w:rPr>
              <w:rFonts w:hint="eastAsia" w:ascii="宋体" w:hAnsi="宋体" w:cs="宋体"/>
              <w:bCs/>
              <w:sz w:val="24"/>
              <w:szCs w:val="24"/>
            </w:rPr>
            <w:t>3</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0" w:leftChars="0" w:firstLine="400" w:firstLineChars="200"/>
            <w:rPr>
              <w:rFonts w:ascii="宋体" w:hAnsi="宋体" w:cs="宋体"/>
              <w:bCs/>
              <w:sz w:val="24"/>
              <w:szCs w:val="24"/>
            </w:rPr>
          </w:pPr>
          <w:r>
            <w:fldChar w:fldCharType="begin"/>
          </w:r>
          <w:r>
            <w:instrText xml:space="preserve"> HYPERLINK \l "_Toc28940" </w:instrText>
          </w:r>
          <w:r>
            <w:fldChar w:fldCharType="separate"/>
          </w:r>
          <w:r>
            <w:rPr>
              <w:rFonts w:hint="eastAsia" w:ascii="宋体" w:hAnsi="宋体" w:cs="宋体"/>
              <w:bCs/>
              <w:sz w:val="24"/>
              <w:szCs w:val="24"/>
            </w:rPr>
            <w:t>三、支出决算情况说明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_Toc28940 \h </w:instrText>
          </w:r>
          <w:r>
            <w:rPr>
              <w:rFonts w:hint="eastAsia" w:ascii="宋体" w:hAnsi="宋体" w:cs="宋体"/>
              <w:bCs/>
              <w:sz w:val="24"/>
              <w:szCs w:val="24"/>
            </w:rPr>
            <w:fldChar w:fldCharType="separate"/>
          </w:r>
          <w:r>
            <w:rPr>
              <w:rFonts w:hint="eastAsia" w:ascii="宋体" w:hAnsi="宋体" w:cs="宋体"/>
              <w:bCs/>
              <w:sz w:val="24"/>
              <w:szCs w:val="24"/>
            </w:rPr>
            <w:t>4</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"_Toc9840" </w:instrText>
          </w:r>
          <w:r>
            <w:fldChar w:fldCharType="separate"/>
          </w:r>
          <w:r>
            <w:rPr>
              <w:rFonts w:hint="eastAsia" w:ascii="宋体" w:hAnsi="宋体" w:cs="宋体"/>
              <w:bCs/>
              <w:sz w:val="24"/>
              <w:szCs w:val="24"/>
            </w:rPr>
            <w:t>四、财政拨款收入支出决算总体情况说明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_Toc9840 \h </w:instrText>
          </w:r>
          <w:r>
            <w:rPr>
              <w:rFonts w:hint="eastAsia" w:ascii="宋体" w:hAnsi="宋体" w:cs="宋体"/>
              <w:bCs/>
              <w:sz w:val="24"/>
              <w:szCs w:val="24"/>
            </w:rPr>
            <w:fldChar w:fldCharType="separate"/>
          </w:r>
          <w:r>
            <w:rPr>
              <w:rFonts w:hint="eastAsia" w:ascii="宋体" w:hAnsi="宋体" w:cs="宋体"/>
              <w:bCs/>
              <w:sz w:val="24"/>
              <w:szCs w:val="24"/>
            </w:rPr>
            <w:t>5</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"_Toc13242" </w:instrText>
          </w:r>
          <w:r>
            <w:fldChar w:fldCharType="separate"/>
          </w:r>
          <w:r>
            <w:rPr>
              <w:rFonts w:hint="eastAsia" w:ascii="宋体" w:hAnsi="宋体" w:cs="宋体"/>
              <w:bCs/>
              <w:sz w:val="24"/>
              <w:szCs w:val="24"/>
            </w:rPr>
            <w:t>五、一般公共预算财政拨款支出决算情况说明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_Toc13242 \h </w:instrText>
          </w:r>
          <w:r>
            <w:rPr>
              <w:rFonts w:hint="eastAsia" w:ascii="宋体" w:hAnsi="宋体" w:cs="宋体"/>
              <w:bCs/>
              <w:sz w:val="24"/>
              <w:szCs w:val="24"/>
            </w:rPr>
            <w:fldChar w:fldCharType="separate"/>
          </w:r>
          <w:r>
            <w:rPr>
              <w:rFonts w:hint="eastAsia" w:ascii="宋体" w:hAnsi="宋体" w:cs="宋体"/>
              <w:bCs/>
              <w:sz w:val="24"/>
              <w:szCs w:val="24"/>
            </w:rPr>
            <w:t>5</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"_Toc11091" </w:instrText>
          </w:r>
          <w:r>
            <w:fldChar w:fldCharType="separate"/>
          </w:r>
          <w:r>
            <w:rPr>
              <w:rFonts w:hint="eastAsia" w:ascii="宋体" w:hAnsi="宋体" w:cs="宋体"/>
              <w:bCs/>
              <w:sz w:val="24"/>
              <w:szCs w:val="24"/>
            </w:rPr>
            <w:t>六、一般公共预算财政拨款基本支出决算情况说明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_Toc11091 \h </w:instrText>
          </w:r>
          <w:r>
            <w:rPr>
              <w:rFonts w:hint="eastAsia" w:ascii="宋体" w:hAnsi="宋体" w:cs="宋体"/>
              <w:bCs/>
              <w:sz w:val="24"/>
              <w:szCs w:val="24"/>
            </w:rPr>
            <w:fldChar w:fldCharType="separate"/>
          </w:r>
          <w:r>
            <w:rPr>
              <w:rFonts w:hint="eastAsia" w:ascii="宋体" w:hAnsi="宋体" w:cs="宋体"/>
              <w:bCs/>
              <w:sz w:val="24"/>
              <w:szCs w:val="24"/>
            </w:rPr>
            <w:t>7</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"_Toc30082" </w:instrText>
          </w:r>
          <w:r>
            <w:fldChar w:fldCharType="separate"/>
          </w:r>
          <w:r>
            <w:rPr>
              <w:rFonts w:hint="eastAsia" w:ascii="宋体" w:hAnsi="宋体" w:cs="宋体"/>
              <w:bCs/>
              <w:sz w:val="24"/>
              <w:szCs w:val="24"/>
            </w:rPr>
            <w:t>七、“三公”经费财政拨款支出决算情况说明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_Toc30082 \h </w:instrText>
          </w:r>
          <w:r>
            <w:rPr>
              <w:rFonts w:hint="eastAsia" w:ascii="宋体" w:hAnsi="宋体" w:cs="宋体"/>
              <w:bCs/>
              <w:sz w:val="24"/>
              <w:szCs w:val="24"/>
            </w:rPr>
            <w:fldChar w:fldCharType="separate"/>
          </w:r>
          <w:r>
            <w:rPr>
              <w:rFonts w:hint="eastAsia" w:ascii="宋体" w:hAnsi="宋体" w:cs="宋体"/>
              <w:bCs/>
              <w:sz w:val="24"/>
              <w:szCs w:val="24"/>
            </w:rPr>
            <w:t>7</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"_Toc20983" </w:instrText>
          </w:r>
          <w:r>
            <w:fldChar w:fldCharType="separate"/>
          </w:r>
          <w:r>
            <w:rPr>
              <w:rFonts w:hint="eastAsia" w:ascii="宋体" w:hAnsi="宋体" w:cs="宋体"/>
              <w:bCs/>
              <w:sz w:val="24"/>
              <w:szCs w:val="24"/>
            </w:rPr>
            <w:t>八、政府性基金预算支出决算情况说明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_Toc20983 \h </w:instrText>
          </w:r>
          <w:r>
            <w:rPr>
              <w:rFonts w:hint="eastAsia" w:ascii="宋体" w:hAnsi="宋体" w:cs="宋体"/>
              <w:bCs/>
              <w:sz w:val="24"/>
              <w:szCs w:val="24"/>
            </w:rPr>
            <w:fldChar w:fldCharType="separate"/>
          </w:r>
          <w:r>
            <w:rPr>
              <w:rFonts w:hint="eastAsia" w:ascii="宋体" w:hAnsi="宋体" w:cs="宋体"/>
              <w:bCs/>
              <w:sz w:val="24"/>
              <w:szCs w:val="24"/>
            </w:rPr>
            <w:t>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"_Toc32471" </w:instrText>
          </w:r>
          <w:r>
            <w:fldChar w:fldCharType="separate"/>
          </w:r>
          <w:r>
            <w:rPr>
              <w:rFonts w:hint="eastAsia" w:ascii="宋体" w:hAnsi="宋体" w:cs="宋体"/>
              <w:bCs/>
              <w:sz w:val="24"/>
              <w:szCs w:val="24"/>
            </w:rPr>
            <w:t>九、国有资本经营预算支出决算情况说明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_Toc32471 \h </w:instrText>
          </w:r>
          <w:r>
            <w:rPr>
              <w:rFonts w:hint="eastAsia" w:ascii="宋体" w:hAnsi="宋体" w:cs="宋体"/>
              <w:bCs/>
              <w:sz w:val="24"/>
              <w:szCs w:val="24"/>
            </w:rPr>
            <w:fldChar w:fldCharType="separate"/>
          </w:r>
          <w:r>
            <w:rPr>
              <w:rFonts w:hint="eastAsia" w:ascii="宋体" w:hAnsi="宋体" w:cs="宋体"/>
              <w:bCs/>
              <w:sz w:val="24"/>
              <w:szCs w:val="24"/>
            </w:rPr>
            <w:t>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仿宋" w:hAnsi="仿宋" w:eastAsia="仿宋" w:cs="仿宋"/>
              <w:bCs/>
              <w:sz w:val="24"/>
              <w:szCs w:val="24"/>
            </w:rPr>
          </w:pPr>
          <w:r>
            <w:fldChar w:fldCharType="begin"/>
          </w:r>
          <w:r>
            <w:instrText xml:space="preserve"> HYPERLINK \l "_Toc9964" </w:instrText>
          </w:r>
          <w:r>
            <w:fldChar w:fldCharType="separate"/>
          </w:r>
          <w:r>
            <w:rPr>
              <w:rFonts w:hint="eastAsia" w:ascii="宋体" w:hAnsi="宋体" w:cs="宋体"/>
              <w:bCs/>
              <w:sz w:val="24"/>
              <w:szCs w:val="24"/>
            </w:rPr>
            <w:t>十、其他重要事项的情况说明</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_Toc9964 \h </w:instrText>
          </w:r>
          <w:r>
            <w:rPr>
              <w:rFonts w:hint="eastAsia" w:ascii="宋体" w:hAnsi="宋体" w:cs="宋体"/>
              <w:bCs/>
              <w:sz w:val="24"/>
              <w:szCs w:val="24"/>
            </w:rPr>
            <w:fldChar w:fldCharType="separate"/>
          </w:r>
          <w:r>
            <w:rPr>
              <w:rFonts w:hint="eastAsia" w:ascii="宋体" w:hAnsi="宋体" w:cs="宋体"/>
              <w:bCs/>
              <w:sz w:val="24"/>
              <w:szCs w:val="24"/>
            </w:rPr>
            <w:t>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1"/>
            <w:tabs>
              <w:tab w:val="right" w:leader="dot" w:pos="8306"/>
            </w:tabs>
            <w:rPr>
              <w:rFonts w:ascii="仿宋" w:hAnsi="仿宋" w:eastAsia="仿宋" w:cs="仿宋"/>
              <w:bCs/>
              <w:sz w:val="24"/>
              <w:szCs w:val="24"/>
            </w:rPr>
          </w:pPr>
          <w:r>
            <w:fldChar w:fldCharType="begin"/>
          </w:r>
          <w:r>
            <w:instrText xml:space="preserve"> HYPERLINK \l "_Toc578" </w:instrText>
          </w:r>
          <w:r>
            <w:fldChar w:fldCharType="separate"/>
          </w:r>
          <w:r>
            <w:rPr>
              <w:rFonts w:hint="eastAsia" w:ascii="仿宋" w:hAnsi="仿宋" w:eastAsia="仿宋" w:cs="仿宋"/>
              <w:bCs/>
              <w:sz w:val="24"/>
              <w:szCs w:val="24"/>
            </w:rPr>
            <w:t>第三部分名词解释</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_Toc578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11</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1"/>
            <w:tabs>
              <w:tab w:val="right" w:leader="dot" w:pos="8306"/>
            </w:tabs>
            <w:rPr>
              <w:rFonts w:ascii="仿宋" w:hAnsi="仿宋" w:eastAsia="仿宋" w:cs="仿宋"/>
              <w:bCs/>
              <w:sz w:val="24"/>
              <w:szCs w:val="24"/>
            </w:rPr>
          </w:pPr>
          <w:r>
            <w:fldChar w:fldCharType="begin"/>
          </w:r>
          <w:r>
            <w:instrText xml:space="preserve"> HYPERLINK \l "_Toc17515" </w:instrText>
          </w:r>
          <w:r>
            <w:fldChar w:fldCharType="separate"/>
          </w:r>
          <w:r>
            <w:rPr>
              <w:rFonts w:hint="eastAsia" w:ascii="仿宋" w:hAnsi="仿宋" w:eastAsia="仿宋" w:cs="仿宋"/>
              <w:bCs/>
              <w:sz w:val="24"/>
              <w:szCs w:val="24"/>
            </w:rPr>
            <w:t>第四部分附件</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_Toc17515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16</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"_Toc9036" </w:instrText>
          </w:r>
          <w:r>
            <w:fldChar w:fldCharType="separate"/>
          </w:r>
          <w:r>
            <w:rPr>
              <w:rFonts w:hint="eastAsia" w:ascii="宋体" w:hAnsi="宋体" w:cs="宋体"/>
              <w:bCs/>
              <w:sz w:val="24"/>
              <w:szCs w:val="24"/>
            </w:rPr>
            <w:t>附件1</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_Toc9036 \h </w:instrText>
          </w:r>
          <w:r>
            <w:rPr>
              <w:rFonts w:hint="eastAsia" w:ascii="宋体" w:hAnsi="宋体" w:cs="宋体"/>
              <w:bCs/>
              <w:sz w:val="24"/>
              <w:szCs w:val="24"/>
            </w:rPr>
            <w:fldChar w:fldCharType="separate"/>
          </w:r>
          <w:r>
            <w:rPr>
              <w:rFonts w:hint="eastAsia" w:ascii="宋体" w:hAnsi="宋体" w:cs="宋体"/>
              <w:bCs/>
              <w:sz w:val="24"/>
              <w:szCs w:val="24"/>
            </w:rPr>
            <w:t>16</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1"/>
            <w:tabs>
              <w:tab w:val="right" w:leader="dot" w:pos="8306"/>
            </w:tabs>
            <w:rPr>
              <w:rFonts w:ascii="仿宋" w:hAnsi="仿宋" w:eastAsia="仿宋" w:cs="仿宋"/>
              <w:bCs/>
              <w:sz w:val="24"/>
              <w:szCs w:val="24"/>
            </w:rPr>
          </w:pPr>
          <w:r>
            <w:fldChar w:fldCharType="begin"/>
          </w:r>
          <w:r>
            <w:instrText xml:space="preserve"> HYPERLINK \l "_Toc4882" </w:instrText>
          </w:r>
          <w:r>
            <w:fldChar w:fldCharType="separate"/>
          </w:r>
          <w:r>
            <w:rPr>
              <w:rFonts w:hint="eastAsia" w:ascii="仿宋" w:hAnsi="仿宋" w:eastAsia="仿宋" w:cs="仿宋"/>
              <w:bCs/>
              <w:sz w:val="24"/>
              <w:szCs w:val="24"/>
            </w:rPr>
            <w:t>第五部分附表</w:t>
          </w:r>
          <w:r>
            <w:rPr>
              <w:rFonts w:hint="eastAsia" w:ascii="仿宋" w:hAnsi="仿宋" w:eastAsia="仿宋" w:cs="仿宋"/>
              <w:bCs/>
              <w:sz w:val="24"/>
              <w:szCs w:val="24"/>
            </w:rPr>
            <w:tab/>
          </w: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PAGEREF _Toc4882 \h </w:instrText>
          </w:r>
          <w:r>
            <w:rPr>
              <w:rFonts w:hint="eastAsia" w:ascii="仿宋" w:hAnsi="仿宋" w:eastAsia="仿宋" w:cs="仿宋"/>
              <w:bCs/>
              <w:sz w:val="24"/>
              <w:szCs w:val="24"/>
            </w:rPr>
            <w:fldChar w:fldCharType="separate"/>
          </w:r>
          <w:r>
            <w:rPr>
              <w:rFonts w:hint="eastAsia" w:ascii="仿宋" w:hAnsi="仿宋" w:eastAsia="仿宋" w:cs="仿宋"/>
              <w:bCs/>
              <w:sz w:val="24"/>
              <w:szCs w:val="24"/>
            </w:rPr>
            <w:t>18</w:t>
          </w:r>
          <w:r>
            <w:rPr>
              <w:rFonts w:hint="eastAsia" w:ascii="仿宋" w:hAnsi="仿宋" w:eastAsia="仿宋" w:cs="仿宋"/>
              <w:bCs/>
              <w:sz w:val="24"/>
              <w:szCs w:val="24"/>
            </w:rPr>
            <w:fldChar w:fldCharType="end"/>
          </w:r>
          <w:r>
            <w:rPr>
              <w:rFonts w:hint="eastAsia" w:ascii="仿宋" w:hAnsi="仿宋" w:eastAsia="仿宋" w:cs="仿宋"/>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"_Toc2672" </w:instrText>
          </w:r>
          <w:r>
            <w:fldChar w:fldCharType="separate"/>
          </w:r>
          <w:r>
            <w:rPr>
              <w:rFonts w:hint="eastAsia" w:ascii="宋体" w:hAnsi="宋体" w:cs="宋体"/>
              <w:bCs/>
              <w:sz w:val="24"/>
              <w:szCs w:val="24"/>
            </w:rPr>
            <w:t>一、收入支出决算总表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_Toc2672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"_Toc19571" </w:instrText>
          </w:r>
          <w:r>
            <w:fldChar w:fldCharType="separate"/>
          </w:r>
          <w:r>
            <w:rPr>
              <w:rFonts w:hint="eastAsia" w:ascii="宋体" w:hAnsi="宋体" w:cs="宋体"/>
              <w:bCs/>
              <w:sz w:val="24"/>
              <w:szCs w:val="24"/>
            </w:rPr>
            <w:t>二、收入决算表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_Toc19571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"_Toc22918" </w:instrText>
          </w:r>
          <w:r>
            <w:fldChar w:fldCharType="separate"/>
          </w:r>
          <w:r>
            <w:rPr>
              <w:rFonts w:hint="eastAsia" w:ascii="宋体" w:hAnsi="宋体" w:cs="宋体"/>
              <w:bCs/>
              <w:sz w:val="24"/>
              <w:szCs w:val="24"/>
            </w:rPr>
            <w:t>三、支出决算表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_Toc22918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"_Toc5802" </w:instrText>
          </w:r>
          <w:r>
            <w:fldChar w:fldCharType="separate"/>
          </w:r>
          <w:r>
            <w:rPr>
              <w:rFonts w:hint="eastAsia" w:ascii="宋体" w:hAnsi="宋体" w:cs="宋体"/>
              <w:bCs/>
              <w:sz w:val="24"/>
              <w:szCs w:val="24"/>
            </w:rPr>
            <w:t>四、财政拨款收入支出决算总表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_Toc5802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"_Toc22808" </w:instrText>
          </w:r>
          <w:r>
            <w:fldChar w:fldCharType="separate"/>
          </w:r>
          <w:r>
            <w:rPr>
              <w:rFonts w:hint="eastAsia" w:ascii="宋体" w:hAnsi="宋体" w:cs="宋体"/>
              <w:bCs/>
              <w:sz w:val="24"/>
              <w:szCs w:val="24"/>
            </w:rPr>
            <w:t>五、财政拨款支出决算明细表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_Toc22808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"_Toc28530" </w:instrText>
          </w:r>
          <w:r>
            <w:fldChar w:fldCharType="separate"/>
          </w:r>
          <w:r>
            <w:rPr>
              <w:rFonts w:hint="eastAsia" w:ascii="宋体" w:hAnsi="宋体" w:cs="宋体"/>
              <w:bCs/>
              <w:sz w:val="24"/>
              <w:szCs w:val="24"/>
            </w:rPr>
            <w:t>六、一般公共预算财政拨款支出决算表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_Toc28530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"_Toc29156" </w:instrText>
          </w:r>
          <w:r>
            <w:fldChar w:fldCharType="separate"/>
          </w:r>
          <w:r>
            <w:rPr>
              <w:rFonts w:hint="eastAsia" w:ascii="宋体" w:hAnsi="宋体" w:cs="宋体"/>
              <w:bCs/>
              <w:sz w:val="24"/>
              <w:szCs w:val="24"/>
            </w:rPr>
            <w:t>七、一般公共预算财政拨款支出决算明细表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_Toc29156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"_Toc16060" </w:instrText>
          </w:r>
          <w:r>
            <w:fldChar w:fldCharType="separate"/>
          </w:r>
          <w:r>
            <w:rPr>
              <w:rFonts w:hint="eastAsia" w:ascii="宋体" w:hAnsi="宋体" w:cs="宋体"/>
              <w:bCs/>
              <w:sz w:val="24"/>
              <w:szCs w:val="24"/>
            </w:rPr>
            <w:t>八、一般公共预算财政拨款基本支出决算表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_Toc16060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"_Toc11680" </w:instrText>
          </w:r>
          <w:r>
            <w:fldChar w:fldCharType="separate"/>
          </w:r>
          <w:r>
            <w:rPr>
              <w:rFonts w:hint="eastAsia" w:ascii="宋体" w:hAnsi="宋体" w:cs="宋体"/>
              <w:bCs/>
              <w:sz w:val="24"/>
              <w:szCs w:val="24"/>
            </w:rPr>
            <w:t>九、一般公共预算财政拨款项目支出决算表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_Toc11680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"_Toc10972" </w:instrText>
          </w:r>
          <w:r>
            <w:fldChar w:fldCharType="separate"/>
          </w:r>
          <w:r>
            <w:rPr>
              <w:rFonts w:hint="eastAsia" w:ascii="宋体" w:hAnsi="宋体" w:cs="宋体"/>
              <w:bCs/>
              <w:sz w:val="24"/>
              <w:szCs w:val="24"/>
            </w:rPr>
            <w:t>十、一般公共预算财政拨款“三公”经费支出决算表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_Toc10972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"_Toc14045" </w:instrText>
          </w:r>
          <w:r>
            <w:fldChar w:fldCharType="separate"/>
          </w:r>
          <w:r>
            <w:rPr>
              <w:rFonts w:hint="eastAsia" w:ascii="宋体" w:hAnsi="宋体" w:cs="宋体"/>
              <w:bCs/>
              <w:sz w:val="24"/>
              <w:szCs w:val="24"/>
            </w:rPr>
            <w:t>十一、政府性基金预算财政拨款收入支出决算表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_Toc14045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"_Toc9070" </w:instrText>
          </w:r>
          <w:r>
            <w:fldChar w:fldCharType="separate"/>
          </w:r>
          <w:r>
            <w:rPr>
              <w:rFonts w:hint="eastAsia" w:ascii="宋体" w:hAnsi="宋体" w:cs="宋体"/>
              <w:bCs/>
              <w:sz w:val="24"/>
              <w:szCs w:val="24"/>
            </w:rPr>
            <w:t>十二、政府性基金预算财政拨款“三公”经费支出决算表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_Toc9070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rPr>
              <w:rFonts w:ascii="宋体" w:hAnsi="宋体" w:cs="宋体"/>
              <w:bCs/>
              <w:sz w:val="24"/>
              <w:szCs w:val="24"/>
            </w:rPr>
          </w:pPr>
          <w:r>
            <w:fldChar w:fldCharType="begin"/>
          </w:r>
          <w:r>
            <w:instrText xml:space="preserve"> HYPERLINK \l "_Toc6376" </w:instrText>
          </w:r>
          <w:r>
            <w:fldChar w:fldCharType="separate"/>
          </w:r>
          <w:r>
            <w:rPr>
              <w:rFonts w:hint="eastAsia" w:ascii="宋体" w:hAnsi="宋体" w:cs="宋体"/>
              <w:bCs/>
              <w:sz w:val="24"/>
              <w:szCs w:val="24"/>
            </w:rPr>
            <w:t>十三、国有资本经营预算财政拨款收入支出决算表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_Toc6376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42"/>
            <w:tabs>
              <w:tab w:val="right" w:leader="dot" w:pos="8306"/>
            </w:tabs>
            <w:ind w:left="420"/>
          </w:pPr>
          <w:r>
            <w:fldChar w:fldCharType="begin"/>
          </w:r>
          <w:r>
            <w:instrText xml:space="preserve"> HYPERLINK \l "_Toc37" </w:instrText>
          </w:r>
          <w:r>
            <w:fldChar w:fldCharType="separate"/>
          </w:r>
          <w:r>
            <w:rPr>
              <w:rFonts w:hint="eastAsia" w:ascii="宋体" w:hAnsi="宋体" w:cs="宋体"/>
              <w:bCs/>
              <w:sz w:val="24"/>
              <w:szCs w:val="24"/>
            </w:rPr>
            <w:t>十四、国有资本经营预算财政拨款支出决算表</w:t>
          </w:r>
          <w:r>
            <w:rPr>
              <w:rFonts w:hint="eastAsia" w:ascii="宋体" w:hAnsi="宋体" w:cs="宋体"/>
              <w:bCs/>
              <w:sz w:val="24"/>
              <w:szCs w:val="24"/>
            </w:rPr>
            <w:tab/>
          </w:r>
          <w:r>
            <w:rPr>
              <w:rFonts w:hint="eastAsia" w:ascii="宋体" w:hAnsi="宋体" w:cs="宋体"/>
              <w:bCs/>
              <w:sz w:val="24"/>
              <w:szCs w:val="24"/>
            </w:rPr>
            <w:fldChar w:fldCharType="begin"/>
          </w:r>
          <w:r>
            <w:rPr>
              <w:rFonts w:hint="eastAsia" w:ascii="宋体" w:hAnsi="宋体" w:cs="宋体"/>
              <w:bCs/>
              <w:sz w:val="24"/>
              <w:szCs w:val="24"/>
            </w:rPr>
            <w:instrText xml:space="preserve"> PAGEREF _Toc37 \h </w:instrText>
          </w:r>
          <w:r>
            <w:rPr>
              <w:rFonts w:hint="eastAsia" w:ascii="宋体" w:hAnsi="宋体" w:cs="宋体"/>
              <w:bCs/>
              <w:sz w:val="24"/>
              <w:szCs w:val="24"/>
            </w:rPr>
            <w:fldChar w:fldCharType="separate"/>
          </w:r>
          <w:r>
            <w:rPr>
              <w:rFonts w:hint="eastAsia" w:ascii="宋体" w:hAnsi="宋体" w:cs="宋体"/>
              <w:bCs/>
              <w:sz w:val="24"/>
              <w:szCs w:val="24"/>
            </w:rPr>
            <w:t>18</w:t>
          </w:r>
          <w:r>
            <w:rPr>
              <w:rFonts w:hint="eastAsia" w:ascii="宋体" w:hAnsi="宋体" w:cs="宋体"/>
              <w:bCs/>
              <w:sz w:val="24"/>
              <w:szCs w:val="24"/>
            </w:rPr>
            <w:fldChar w:fldCharType="end"/>
          </w:r>
          <w:r>
            <w:rPr>
              <w:rFonts w:hint="eastAsia" w:ascii="宋体" w:hAnsi="宋体" w:cs="宋体"/>
              <w:bCs/>
              <w:sz w:val="24"/>
              <w:szCs w:val="24"/>
            </w:rPr>
            <w:fldChar w:fldCharType="end"/>
          </w:r>
        </w:p>
        <w:p>
          <w:pPr>
            <w:pStyle w:val="20"/>
            <w:adjustRightInd w:val="0"/>
            <w:snapToGrid w:val="0"/>
            <w:spacing w:line="440" w:lineRule="exact"/>
            <w:jc w:val="left"/>
            <w:rPr>
              <w:rFonts w:ascii="仿宋" w:hAnsi="仿宋" w:eastAsia="仿宋" w:cs="仿宋"/>
              <w:sz w:val="24"/>
            </w:rPr>
          </w:pPr>
          <w:r>
            <w:rPr>
              <w:rFonts w:hint="eastAsia" w:ascii="仿宋" w:hAnsi="仿宋" w:eastAsia="仿宋" w:cs="仿宋"/>
              <w:b/>
            </w:rPr>
            <w:fldChar w:fldCharType="end"/>
          </w:r>
        </w:p>
      </w:sdtContent>
    </w:sdt>
    <w:bookmarkEnd w:id="14"/>
    <w:p>
      <w:pPr>
        <w:pStyle w:val="20"/>
        <w:adjustRightInd w:val="0"/>
        <w:snapToGrid w:val="0"/>
        <w:spacing w:line="440" w:lineRule="exact"/>
        <w:jc w:val="left"/>
        <w:rPr>
          <w:rFonts w:ascii="仿宋" w:hAnsi="仿宋" w:eastAsia="仿宋" w:cs="仿宋"/>
          <w:sz w:val="24"/>
        </w:rPr>
      </w:pPr>
    </w:p>
    <w:p>
      <w:pPr>
        <w:pStyle w:val="20"/>
        <w:adjustRightInd w:val="0"/>
        <w:snapToGrid w:val="0"/>
        <w:spacing w:line="440" w:lineRule="exact"/>
        <w:ind w:left="0" w:leftChars="0"/>
        <w:jc w:val="left"/>
        <w:rPr>
          <w:rFonts w:ascii="仿宋" w:hAnsi="仿宋" w:eastAsia="仿宋" w:cs="仿宋"/>
          <w:sz w:val="24"/>
        </w:rPr>
      </w:pPr>
    </w:p>
    <w:p>
      <w:pPr>
        <w:pStyle w:val="13"/>
        <w:jc w:val="center"/>
        <w:rPr>
          <w:rFonts w:ascii="黑体" w:hAnsi="黑体" w:eastAsia="黑体"/>
          <w:b w:val="0"/>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bookmarkStart w:id="15" w:name="_Toc2014"/>
      <w:bookmarkStart w:id="16" w:name="_Toc15396600"/>
      <w:bookmarkStart w:id="17" w:name="_Toc15377197"/>
    </w:p>
    <w:p>
      <w:pPr>
        <w:pStyle w:val="13"/>
        <w:jc w:val="center"/>
        <w:rPr>
          <w:rStyle w:val="30"/>
          <w:rFonts w:ascii="黑体" w:hAnsi="黑体" w:eastAsia="黑体"/>
          <w:b/>
          <w:bCs w:val="0"/>
        </w:rPr>
      </w:pPr>
      <w:r>
        <w:rPr>
          <w:rFonts w:hint="eastAsia" w:ascii="黑体" w:hAnsi="黑体" w:eastAsia="黑体"/>
          <w:b w:val="0"/>
        </w:rPr>
        <w:t>第一部分单位</w:t>
      </w:r>
      <w:r>
        <w:rPr>
          <w:rStyle w:val="30"/>
          <w:rFonts w:hint="eastAsia" w:ascii="黑体" w:hAnsi="黑体" w:eastAsia="黑体"/>
          <w:b w:val="0"/>
          <w:bCs w:val="0"/>
        </w:rPr>
        <w:t>概况</w:t>
      </w:r>
      <w:bookmarkEnd w:id="15"/>
    </w:p>
    <w:p>
      <w:pPr>
        <w:pStyle w:val="14"/>
        <w:spacing w:before="0" w:after="0" w:line="560" w:lineRule="exact"/>
        <w:ind w:firstLine="640" w:firstLineChars="200"/>
        <w:rPr>
          <w:rStyle w:val="31"/>
          <w:rFonts w:ascii="黑体" w:hAnsi="黑体" w:eastAsia="黑体"/>
          <w:b w:val="0"/>
          <w:bCs w:val="0"/>
        </w:rPr>
      </w:pPr>
      <w:bookmarkStart w:id="18" w:name="_Toc26479"/>
      <w:bookmarkStart w:id="19" w:name="_Toc19482"/>
      <w:r>
        <w:rPr>
          <w:rStyle w:val="31"/>
          <w:rFonts w:hint="eastAsia" w:ascii="黑体" w:hAnsi="黑体" w:eastAsia="黑体"/>
          <w:b w:val="0"/>
          <w:bCs w:val="0"/>
        </w:rPr>
        <w:t>一、职能简介</w:t>
      </w:r>
      <w:bookmarkEnd w:id="18"/>
      <w:bookmarkEnd w:id="19"/>
    </w:p>
    <w:p>
      <w:pPr>
        <w:pStyle w:val="14"/>
        <w:spacing w:before="0" w:after="0" w:line="560" w:lineRule="exact"/>
        <w:ind w:firstLine="640" w:firstLineChars="200"/>
        <w:rPr>
          <w:rFonts w:ascii="仿宋" w:hAnsi="仿宋" w:eastAsia="仿宋" w:cs="仿宋"/>
        </w:rPr>
      </w:pPr>
      <w:bookmarkStart w:id="20" w:name="_Toc17707"/>
      <w:r>
        <w:rPr>
          <w:rFonts w:hint="eastAsia" w:ascii="仿宋" w:hAnsi="仿宋" w:eastAsia="仿宋" w:cs="仿宋"/>
          <w:b w:val="0"/>
          <w:bCs w:val="0"/>
        </w:rPr>
        <w:t>为人民身体健康提供医疗与预防保健服务。负责辖区内常见病多发病诊治、护理</w:t>
      </w:r>
      <w:r>
        <w:t>；</w:t>
      </w:r>
      <w:r>
        <w:rPr>
          <w:rFonts w:hint="eastAsia" w:ascii="仿宋" w:hAnsi="仿宋" w:eastAsia="仿宋" w:cs="仿宋"/>
          <w:b w:val="0"/>
          <w:bCs w:val="0"/>
        </w:rPr>
        <w:t>院前急救、巡回医疗，辖区内的疾病控制、妇幼保健、健康教育、计划免疫，新型合作医疗的组织与管理等工作，承担乡村卫生人员业务培训和技术指导。</w:t>
      </w:r>
      <w:bookmarkEnd w:id="16"/>
      <w:bookmarkEnd w:id="17"/>
      <w:bookmarkEnd w:id="20"/>
    </w:p>
    <w:p>
      <w:pPr>
        <w:pStyle w:val="14"/>
        <w:spacing w:before="0" w:after="0" w:line="560" w:lineRule="exact"/>
        <w:ind w:firstLine="640" w:firstLineChars="200"/>
        <w:rPr>
          <w:rFonts w:ascii="黑体" w:hAnsi="黑体" w:eastAsia="黑体"/>
          <w:b w:val="0"/>
        </w:rPr>
      </w:pPr>
      <w:bookmarkStart w:id="21" w:name="_Toc31457"/>
      <w:bookmarkStart w:id="22" w:name="_Toc23708"/>
      <w:r>
        <w:rPr>
          <w:rFonts w:hint="eastAsia" w:ascii="黑体" w:hAnsi="黑体" w:eastAsia="黑体"/>
          <w:b w:val="0"/>
        </w:rPr>
        <w:t>二、2021年重点工作完成情况</w:t>
      </w:r>
      <w:bookmarkEnd w:id="21"/>
      <w:bookmarkEnd w:id="22"/>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医疗业务发展，稳中有升</w:t>
      </w:r>
      <w: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2021年，我院通过拓展业务范围，提升医疗质量，改善就医环境，业务收入较上年趋于稳定。截至12月31日，业务收入112.06万，其中医疗收入69.82万占比62.30%；门诊就诊量8630余人次</w:t>
      </w:r>
      <w:r>
        <w:t>；</w:t>
      </w:r>
      <w:r>
        <w:rPr>
          <w:rFonts w:hint="eastAsia" w:ascii="仿宋" w:hAnsi="仿宋" w:eastAsia="仿宋" w:cs="仿宋"/>
          <w:sz w:val="32"/>
          <w:szCs w:val="32"/>
        </w:rPr>
        <w:t>住院就诊300人次。</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公共卫生工作，稳步推进</w:t>
      </w:r>
      <w:r>
        <w:t>。</w:t>
      </w:r>
    </w:p>
    <w:p>
      <w:pPr>
        <w:spacing w:line="560" w:lineRule="exact"/>
        <w:ind w:firstLine="640"/>
        <w:rPr>
          <w:rFonts w:ascii="仿宋" w:hAnsi="仿宋" w:eastAsia="仿宋" w:cs="仿宋"/>
          <w:b/>
          <w:bCs/>
          <w:sz w:val="32"/>
          <w:szCs w:val="32"/>
        </w:rPr>
      </w:pPr>
      <w:r>
        <w:rPr>
          <w:rFonts w:hint="eastAsia" w:ascii="仿宋" w:hAnsi="仿宋" w:eastAsia="仿宋" w:cs="仿宋"/>
          <w:sz w:val="32"/>
          <w:szCs w:val="32"/>
        </w:rPr>
        <w:t>完成了对辖区内常住人口健康档案的清理和动态完善工作。规范开展预防接种工作，计划内疫苗接种114余人次，计划外疫苗接种25余人次。全年无1例传染病漏报。全年共规范管理孕产妇30人。继续加强对慢性病人的管理工作，完成了851名的高血压病人、201名糖尿病人、56名精神病人的访视、体检工作。完成了对1140名65岁以上老年人的健康体检工作。完成0—6岁儿童的健康体检，共计365人。完成36名慢阻肺、17名类风湿、3名结核病人健康管理工作，开展春秋季入学、入托预防接种证查验工作，共查验接种证114本，补种52剂次。深入到当地中、小学校、自来水厂开展健康教育和健康指导工作，先后开展健教工作12次。大力开展健康教育、健康咨询工作，举办专题讲座12次，举行大型宣传12次，专栏板报6期，发放宣传资料4375余份，接受咨询2760余人，拟写张贴宣传标语18幅。圆满完成11名计划生育手术并发症患者免费药物发放</w:t>
      </w:r>
      <w:r>
        <w:t>，</w:t>
      </w:r>
      <w:r>
        <w:rPr>
          <w:rFonts w:hint="eastAsia" w:ascii="仿宋" w:hAnsi="仿宋" w:eastAsia="仿宋" w:cs="仿宋"/>
          <w:sz w:val="32"/>
          <w:szCs w:val="32"/>
        </w:rPr>
        <w:t>60人次免费婚前优生健康检查工作，开展计划生育手术0台次，免费发放营养包320余人次。完成205余人次“两癌筛查”和1345余人次的艾滋病初筛工作。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新冠疫情阻击工作，常态化开展</w:t>
      </w:r>
      <w: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年初我院规范完成了哨点建设、人员的配备、设施设备的添置工作，使哨点工作得到了充分的保障和有序的进行。预检分诊工作安排了专人24小时轮流值守，在进入医院前对所有人员进行了扫码、验码、测体温等全部流程，严格按照疫情防控要求执行和落实。住院病人、陪护人员按要求落实了核酸检测工作，全面执行了重点岗位医务人员一周一次核酸检测，一月一次全员核酸检测。严格落实了外出返乡、外来人员的管控措施，做到了乡不漏村、村不漏社、社不漏人，实时摸排筛查，及时管控和健康监测等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u w:val="none" w:color="46CD7E"/>
          <w:shd w:val="clear" w:fill="auto"/>
          <w:lang w:eastAsia="zh-CN"/>
        </w:rPr>
        <w:t>.</w:t>
      </w:r>
      <w:r>
        <w:rPr>
          <w:rFonts w:hint="eastAsia" w:ascii="仿宋" w:hAnsi="仿宋" w:eastAsia="仿宋" w:cs="仿宋"/>
          <w:b/>
          <w:bCs/>
          <w:sz w:val="32"/>
          <w:szCs w:val="32"/>
        </w:rPr>
        <w:t>精准扶贫工作，扎实开展</w:t>
      </w:r>
      <w: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及时调整体检、巡回诊疗队伍，完善落实工作方案，完成了全镇1920名精准扶贫对象的健康建档和服务签约工作，并对1920名扶贫对象开展了健康体检。我镇以助推脱贫攻坚成果为契机，下派驻村干部1人，着力解决全镇因病致贫、因病返贫人口脱贫成果巩固问题，保障贫困人口享有基本医疗卫生服务。按照巩固脱贫攻坚成果的工作要求，利用到户走访、签约服务等多种形式加强政策宣传、提升政策知晓率，实施针对性帮扶，定期随访等工作，并为脱贫人口开通了“绿色通道”，严格实行先诊疗后付费政策。</w:t>
      </w:r>
    </w:p>
    <w:p>
      <w:pPr>
        <w:widowControl/>
        <w:jc w:val="left"/>
        <w:rPr>
          <w:rFonts w:ascii="仿宋" w:hAnsi="仿宋" w:eastAsia="仿宋" w:cs="仿宋"/>
          <w:bCs/>
          <w:sz w:val="32"/>
          <w:szCs w:val="32"/>
        </w:rPr>
      </w:pPr>
      <w:bookmarkStart w:id="23" w:name="_Toc15396602"/>
      <w:bookmarkEnd w:id="23"/>
      <w:bookmarkStart w:id="24" w:name="_Toc15377204"/>
      <w:bookmarkEnd w:id="24"/>
    </w:p>
    <w:p>
      <w:pPr>
        <w:pStyle w:val="13"/>
        <w:ind w:right="440"/>
        <w:jc w:val="center"/>
        <w:rPr>
          <w:rStyle w:val="30"/>
          <w:rFonts w:ascii="黑体" w:hAnsi="黑体" w:eastAsia="黑体"/>
          <w:b w:val="0"/>
          <w:bCs/>
        </w:rPr>
      </w:pPr>
      <w:bookmarkStart w:id="25" w:name="_Toc14441"/>
      <w:bookmarkStart w:id="26" w:name="_Toc21135"/>
      <w:r>
        <w:rPr>
          <w:rFonts w:hint="eastAsia" w:ascii="黑体" w:hAnsi="黑体" w:eastAsia="黑体"/>
          <w:b w:val="0"/>
        </w:rPr>
        <w:t>第二部分2021年度</w:t>
      </w:r>
      <w:r>
        <w:rPr>
          <w:rStyle w:val="30"/>
          <w:rFonts w:hint="eastAsia" w:ascii="黑体" w:hAnsi="黑体" w:eastAsia="黑体"/>
          <w:b w:val="0"/>
          <w:bCs/>
        </w:rPr>
        <w:t>单位决算情况说明</w:t>
      </w:r>
      <w:bookmarkEnd w:id="25"/>
      <w:bookmarkEnd w:id="26"/>
    </w:p>
    <w:p>
      <w:pPr>
        <w:pStyle w:val="29"/>
        <w:numPr>
          <w:ilvl w:val="0"/>
          <w:numId w:val="1"/>
        </w:numPr>
        <w:spacing w:line="600" w:lineRule="exact"/>
        <w:ind w:firstLineChars="0"/>
        <w:outlineLvl w:val="1"/>
        <w:rPr>
          <w:rStyle w:val="31"/>
          <w:rFonts w:ascii="黑体" w:hAnsi="黑体" w:eastAsia="黑体"/>
          <w:b w:val="0"/>
        </w:rPr>
      </w:pPr>
      <w:bookmarkStart w:id="27" w:name="_Toc15396603"/>
      <w:bookmarkStart w:id="28" w:name="_Toc12114"/>
      <w:bookmarkStart w:id="29" w:name="_Toc19500"/>
      <w:bookmarkStart w:id="30"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27"/>
      <w:bookmarkEnd w:id="28"/>
      <w:bookmarkEnd w:id="29"/>
      <w:bookmarkEnd w:id="30"/>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2021年度收、支总计262.33万元。与2020年相比，收、支总计各增加8.72万元，增长3.4%。主要变动原因是</w:t>
      </w:r>
      <w:r>
        <w:rPr>
          <w:rFonts w:hint="eastAsia" w:ascii="仿宋" w:hAnsi="仿宋" w:eastAsia="仿宋" w:cs="仿宋"/>
          <w:color w:val="000000"/>
          <w:sz w:val="32"/>
          <w:szCs w:val="32"/>
        </w:rPr>
        <w:t>业务收入增长。</w:t>
      </w:r>
    </w:p>
    <w:p>
      <w:pPr>
        <w:pStyle w:val="6"/>
        <w:outlineLvl w:val="9"/>
      </w:pPr>
      <w:bookmarkStart w:id="31" w:name="_Toc17122"/>
      <w:r>
        <w:drawing>
          <wp:inline distT="0" distB="0" distL="114300" distR="114300">
            <wp:extent cx="4632960" cy="2743200"/>
            <wp:effectExtent l="4445" t="4445" r="10795" b="10795"/>
            <wp:docPr id="750" name="_x0000_i26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31"/>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（图1：收、支决算总计变动情况图）</w:t>
      </w:r>
    </w:p>
    <w:p>
      <w:pPr>
        <w:pStyle w:val="29"/>
        <w:numPr>
          <w:ilvl w:val="0"/>
          <w:numId w:val="1"/>
        </w:numPr>
        <w:spacing w:line="600" w:lineRule="exact"/>
        <w:ind w:firstLineChars="0"/>
        <w:outlineLvl w:val="1"/>
        <w:rPr>
          <w:rStyle w:val="31"/>
          <w:rFonts w:ascii="黑体" w:hAnsi="黑体" w:eastAsia="黑体"/>
          <w:b w:val="0"/>
        </w:rPr>
      </w:pPr>
      <w:bookmarkStart w:id="32" w:name="_Toc6556"/>
      <w:bookmarkStart w:id="33" w:name="_Toc15396604"/>
      <w:bookmarkStart w:id="34" w:name="_Toc20480"/>
      <w:bookmarkStart w:id="35" w:name="_Toc15377206"/>
      <w:r>
        <w:rPr>
          <w:rFonts w:hint="eastAsia" w:ascii="黑体" w:hAnsi="黑体" w:eastAsia="黑体"/>
          <w:sz w:val="32"/>
          <w:szCs w:val="32"/>
        </w:rPr>
        <w:t>收</w:t>
      </w:r>
      <w:r>
        <w:rPr>
          <w:rStyle w:val="31"/>
          <w:rFonts w:hint="eastAsia" w:ascii="黑体" w:hAnsi="黑体" w:eastAsia="黑体"/>
          <w:b w:val="0"/>
        </w:rPr>
        <w:t>入决算情况说明</w:t>
      </w:r>
      <w:bookmarkEnd w:id="32"/>
      <w:bookmarkEnd w:id="33"/>
      <w:bookmarkEnd w:id="34"/>
      <w:bookmarkEnd w:id="35"/>
    </w:p>
    <w:p>
      <w:pPr>
        <w:spacing w:line="600" w:lineRule="exact"/>
        <w:ind w:firstLine="640" w:firstLineChars="200"/>
        <w:outlineLvl w:val="1"/>
        <w:rPr>
          <w:rFonts w:ascii="仿宋" w:hAnsi="仿宋" w:eastAsia="仿宋" w:cs="仿宋"/>
          <w:sz w:val="32"/>
          <w:szCs w:val="32"/>
        </w:rPr>
      </w:pPr>
      <w:bookmarkStart w:id="36" w:name="_Toc29789"/>
      <w:r>
        <w:rPr>
          <w:rFonts w:hint="eastAsia" w:ascii="仿宋" w:hAnsi="仿宋" w:eastAsia="仿宋" w:cs="仿宋"/>
          <w:sz w:val="32"/>
          <w:szCs w:val="32"/>
        </w:rPr>
        <w:t>2021年本年收入合计262.33万元，其中：一般公共预算财政拨款收入132.92万元，占51%；事业收入129.41万元，占49%。</w:t>
      </w:r>
      <w:bookmarkEnd w:id="36"/>
    </w:p>
    <w:p>
      <w:pPr>
        <w:pStyle w:val="6"/>
        <w:outlineLvl w:val="9"/>
      </w:pPr>
      <w:bookmarkStart w:id="37" w:name="_Toc19901"/>
      <w:r>
        <w:drawing>
          <wp:inline distT="0" distB="0" distL="114300" distR="114300">
            <wp:extent cx="4625340" cy="2743200"/>
            <wp:effectExtent l="4445" t="4445" r="18415" b="10795"/>
            <wp:docPr id="751" name="_x0000_i26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37"/>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（图2：收入决算结构图）</w:t>
      </w:r>
    </w:p>
    <w:p>
      <w:pPr>
        <w:pStyle w:val="29"/>
        <w:numPr>
          <w:ilvl w:val="0"/>
          <w:numId w:val="1"/>
        </w:numPr>
        <w:spacing w:line="600" w:lineRule="exact"/>
        <w:ind w:firstLineChars="0"/>
        <w:outlineLvl w:val="1"/>
        <w:rPr>
          <w:rStyle w:val="31"/>
          <w:rFonts w:ascii="黑体" w:hAnsi="黑体" w:eastAsia="黑体"/>
          <w:b w:val="0"/>
        </w:rPr>
      </w:pPr>
      <w:bookmarkStart w:id="38" w:name="_Toc15377207"/>
      <w:bookmarkStart w:id="39" w:name="_Toc28940"/>
      <w:bookmarkStart w:id="40" w:name="_Toc30727"/>
      <w:bookmarkStart w:id="41" w:name="_Toc15396605"/>
      <w:r>
        <w:rPr>
          <w:rFonts w:hint="eastAsia" w:ascii="黑体" w:hAnsi="黑体" w:eastAsia="黑体"/>
          <w:sz w:val="32"/>
          <w:szCs w:val="32"/>
        </w:rPr>
        <w:t>支</w:t>
      </w:r>
      <w:r>
        <w:rPr>
          <w:rStyle w:val="31"/>
          <w:rFonts w:hint="eastAsia" w:ascii="黑体" w:hAnsi="黑体" w:eastAsia="黑体"/>
          <w:b w:val="0"/>
        </w:rPr>
        <w:t>出决算情况说明</w:t>
      </w:r>
      <w:bookmarkEnd w:id="38"/>
      <w:bookmarkEnd w:id="39"/>
      <w:bookmarkEnd w:id="40"/>
      <w:bookmarkEnd w:id="41"/>
    </w:p>
    <w:p>
      <w:pPr>
        <w:spacing w:line="600" w:lineRule="exact"/>
        <w:ind w:firstLine="640" w:firstLineChars="200"/>
        <w:outlineLvl w:val="1"/>
        <w:rPr>
          <w:rFonts w:ascii="仿宋" w:hAnsi="仿宋" w:eastAsia="仿宋" w:cs="仿宋"/>
          <w:sz w:val="32"/>
          <w:szCs w:val="32"/>
        </w:rPr>
      </w:pPr>
      <w:bookmarkStart w:id="42" w:name="_Toc1128"/>
      <w:r>
        <w:rPr>
          <w:rFonts w:hint="eastAsia" w:ascii="仿宋" w:hAnsi="仿宋" w:eastAsia="仿宋" w:cs="仿宋"/>
          <w:sz w:val="32"/>
          <w:szCs w:val="32"/>
        </w:rPr>
        <w:t>2021年本年支出合计262.33万元，其中：基本支出192.83万元，占74%；项目支出69.50万元，占比26%。</w:t>
      </w:r>
      <w:bookmarkEnd w:id="42"/>
    </w:p>
    <w:p>
      <w:pPr>
        <w:pStyle w:val="6"/>
        <w:outlineLvl w:val="9"/>
      </w:pPr>
      <w:bookmarkStart w:id="43" w:name="_Toc23754"/>
      <w:r>
        <w:drawing>
          <wp:inline distT="0" distB="0" distL="114300" distR="114300">
            <wp:extent cx="4625340" cy="2743200"/>
            <wp:effectExtent l="4445" t="4445" r="18415" b="10795"/>
            <wp:docPr id="752" name="_x0000_i26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43"/>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（图3：支出决算结构图）</w:t>
      </w:r>
    </w:p>
    <w:p>
      <w:pPr>
        <w:spacing w:line="600" w:lineRule="exact"/>
        <w:ind w:firstLine="640" w:firstLineChars="200"/>
        <w:outlineLvl w:val="1"/>
        <w:rPr>
          <w:rStyle w:val="31"/>
          <w:rFonts w:ascii="黑体" w:hAnsi="黑体" w:eastAsia="黑体"/>
          <w:b w:val="0"/>
        </w:rPr>
      </w:pPr>
      <w:bookmarkStart w:id="44" w:name="_Toc15396606"/>
      <w:bookmarkStart w:id="45" w:name="_Toc9840"/>
      <w:bookmarkStart w:id="46" w:name="_Toc15377208"/>
      <w:bookmarkStart w:id="47" w:name="_Toc14999"/>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44"/>
      <w:bookmarkEnd w:id="45"/>
      <w:bookmarkEnd w:id="46"/>
      <w:bookmarkEnd w:id="47"/>
    </w:p>
    <w:p>
      <w:pPr>
        <w:spacing w:line="600" w:lineRule="exact"/>
        <w:ind w:firstLine="640"/>
        <w:rPr>
          <w:rFonts w:ascii="仿宋" w:hAnsi="仿宋" w:eastAsia="仿宋" w:cs="仿宋"/>
          <w:color w:val="000000"/>
          <w:sz w:val="32"/>
          <w:szCs w:val="32"/>
        </w:rPr>
      </w:pPr>
      <w:r>
        <w:rPr>
          <w:rFonts w:hint="eastAsia" w:ascii="仿宋" w:hAnsi="仿宋" w:eastAsia="仿宋" w:cs="仿宋"/>
          <w:sz w:val="32"/>
          <w:szCs w:val="32"/>
        </w:rPr>
        <w:t>2021年财政拨款收、支总计132.92万元。与2020年相比，财政拨款收、支总计各增加0.46万元，增长0.3%。主要变动原因是</w:t>
      </w:r>
      <w:r>
        <w:rPr>
          <w:rFonts w:hint="eastAsia" w:ascii="仿宋" w:hAnsi="仿宋" w:eastAsia="仿宋" w:cs="仿宋"/>
          <w:color w:val="000000"/>
          <w:sz w:val="32"/>
          <w:szCs w:val="32"/>
        </w:rPr>
        <w:t>公卫补助资金增长。</w:t>
      </w:r>
    </w:p>
    <w:p>
      <w:pPr>
        <w:pStyle w:val="6"/>
        <w:outlineLvl w:val="9"/>
      </w:pPr>
      <w:bookmarkStart w:id="48" w:name="_Toc1077"/>
      <w:r>
        <w:drawing>
          <wp:inline distT="0" distB="0" distL="114300" distR="114300">
            <wp:extent cx="4617720" cy="2743200"/>
            <wp:effectExtent l="4445" t="4445" r="10795" b="10795"/>
            <wp:docPr id="753" name="_x0000_i26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48"/>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（图4：财政拨款收、支决算总计变动情况）</w:t>
      </w:r>
    </w:p>
    <w:p>
      <w:pPr>
        <w:spacing w:line="600" w:lineRule="exact"/>
        <w:ind w:firstLine="640" w:firstLineChars="200"/>
        <w:outlineLvl w:val="1"/>
        <w:rPr>
          <w:rStyle w:val="31"/>
          <w:rFonts w:ascii="黑体" w:hAnsi="黑体" w:eastAsia="黑体"/>
          <w:b w:val="0"/>
        </w:rPr>
      </w:pPr>
      <w:bookmarkStart w:id="49" w:name="_Toc13242"/>
      <w:bookmarkStart w:id="50" w:name="_Toc26366"/>
      <w:bookmarkStart w:id="51" w:name="_Toc15377210"/>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w:t>
      </w:r>
      <w:r>
        <w:rPr>
          <w:rFonts w:hint="eastAsia" w:ascii="黑体" w:hAnsi="黑体" w:eastAsia="黑体"/>
          <w:sz w:val="32"/>
          <w:szCs w:val="32"/>
        </w:rPr>
        <w:t>财政拨款支出决算情况说明</w:t>
      </w:r>
      <w:bookmarkEnd w:id="49"/>
      <w:bookmarkEnd w:id="50"/>
    </w:p>
    <w:p>
      <w:pPr>
        <w:spacing w:line="600" w:lineRule="exact"/>
        <w:ind w:firstLine="643" w:firstLineChars="200"/>
        <w:outlineLvl w:val="2"/>
        <w:rPr>
          <w:rFonts w:ascii="仿宋" w:hAnsi="仿宋" w:eastAsia="仿宋" w:cs="仿宋"/>
          <w:b/>
          <w:sz w:val="32"/>
          <w:szCs w:val="32"/>
        </w:rPr>
      </w:pPr>
      <w:r>
        <w:rPr>
          <w:rFonts w:hint="eastAsia" w:ascii="仿宋" w:hAnsi="仿宋" w:eastAsia="仿宋" w:cs="仿宋"/>
          <w:b/>
          <w:sz w:val="32"/>
          <w:szCs w:val="32"/>
        </w:rPr>
        <w:t>（一）一般公共预算财政拨款支出决算总体情况</w:t>
      </w:r>
      <w:bookmarkEnd w:id="51"/>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2021年一般公共预算财政拨款支出132.92万元，占本年支出合计的51%。与2020年相比，一般公共预算财政拨款支出增加0.46万元，增长0.3%。主要变动原因是</w:t>
      </w:r>
      <w:r>
        <w:rPr>
          <w:rFonts w:hint="eastAsia" w:ascii="仿宋" w:hAnsi="仿宋" w:eastAsia="仿宋" w:cs="仿宋"/>
          <w:color w:val="000000"/>
          <w:sz w:val="32"/>
          <w:szCs w:val="32"/>
        </w:rPr>
        <w:t>公卫补助资金增长。</w:t>
      </w:r>
    </w:p>
    <w:p>
      <w:pPr>
        <w:pStyle w:val="6"/>
        <w:outlineLvl w:val="9"/>
      </w:pPr>
      <w:bookmarkStart w:id="52" w:name="_Toc5472"/>
      <w:r>
        <w:drawing>
          <wp:inline distT="0" distB="0" distL="114300" distR="114300">
            <wp:extent cx="4632960" cy="2743200"/>
            <wp:effectExtent l="4445" t="4445" r="10795" b="10795"/>
            <wp:docPr id="754" name="_x0000_i26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52"/>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（图5：一般公共预算财政拨款支出决算变动情况）</w:t>
      </w:r>
    </w:p>
    <w:p>
      <w:pPr>
        <w:spacing w:line="600" w:lineRule="exact"/>
        <w:ind w:firstLine="643" w:firstLineChars="200"/>
        <w:outlineLvl w:val="2"/>
        <w:rPr>
          <w:rFonts w:ascii="仿宋" w:hAnsi="仿宋" w:eastAsia="仿宋" w:cs="仿宋"/>
          <w:b/>
          <w:sz w:val="32"/>
          <w:szCs w:val="32"/>
        </w:rPr>
      </w:pPr>
      <w:bookmarkStart w:id="53" w:name="_Toc15377211"/>
      <w:r>
        <w:rPr>
          <w:rFonts w:hint="eastAsia" w:ascii="仿宋" w:hAnsi="仿宋" w:eastAsia="仿宋" w:cs="仿宋"/>
          <w:b/>
          <w:sz w:val="32"/>
          <w:szCs w:val="32"/>
        </w:rPr>
        <w:t>（二）一般公共预算财政拨款支出决算结构情况</w:t>
      </w:r>
      <w:bookmarkEnd w:id="53"/>
    </w:p>
    <w:p>
      <w:pPr>
        <w:spacing w:line="600" w:lineRule="exact"/>
        <w:ind w:firstLine="640"/>
        <w:rPr>
          <w:rFonts w:ascii="仿宋" w:hAnsi="仿宋" w:eastAsia="仿宋" w:cs="仿宋"/>
          <w:bCs/>
          <w:sz w:val="32"/>
          <w:szCs w:val="32"/>
        </w:rPr>
      </w:pPr>
      <w:r>
        <w:rPr>
          <w:rFonts w:hint="eastAsia" w:ascii="仿宋" w:hAnsi="仿宋" w:eastAsia="仿宋" w:cs="仿宋"/>
          <w:sz w:val="32"/>
          <w:szCs w:val="32"/>
        </w:rPr>
        <w:t>2021年一般公共预算财政拨款支出132.92万元，主要用于卫生健康支出131.67万元，占99.5%；</w:t>
      </w:r>
      <w:r>
        <w:rPr>
          <w:rFonts w:hint="eastAsia" w:ascii="仿宋" w:hAnsi="仿宋" w:eastAsia="仿宋" w:cs="仿宋"/>
          <w:bCs/>
          <w:sz w:val="32"/>
          <w:szCs w:val="32"/>
        </w:rPr>
        <w:t>农林水支出（类）扶贫（款）其他扶贫支出1.25万元，占0.5%。</w:t>
      </w:r>
    </w:p>
    <w:p>
      <w:pPr>
        <w:pStyle w:val="6"/>
        <w:outlineLvl w:val="9"/>
      </w:pPr>
      <w:bookmarkStart w:id="54" w:name="_Toc32697"/>
      <w:r>
        <w:drawing>
          <wp:inline distT="0" distB="0" distL="114300" distR="114300">
            <wp:extent cx="4572000" cy="2743200"/>
            <wp:effectExtent l="4445" t="4445" r="10795" b="10795"/>
            <wp:docPr id="755" name="_x0000_i26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54"/>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（图6：一般公共预算财政拨款支出决算结构）</w:t>
      </w:r>
    </w:p>
    <w:p>
      <w:pPr>
        <w:spacing w:line="600" w:lineRule="exact"/>
        <w:ind w:firstLine="643" w:firstLineChars="200"/>
        <w:outlineLvl w:val="2"/>
        <w:rPr>
          <w:rFonts w:ascii="仿宋" w:hAnsi="仿宋" w:eastAsia="仿宋" w:cs="仿宋"/>
          <w:b/>
          <w:sz w:val="32"/>
          <w:szCs w:val="32"/>
        </w:rPr>
      </w:pPr>
      <w:bookmarkStart w:id="55" w:name="_Toc15377212"/>
      <w:r>
        <w:rPr>
          <w:rFonts w:hint="eastAsia" w:ascii="仿宋" w:hAnsi="仿宋" w:eastAsia="仿宋" w:cs="仿宋"/>
          <w:b/>
          <w:sz w:val="32"/>
          <w:szCs w:val="32"/>
        </w:rPr>
        <w:t>（三）一般公共预算财政拨款支出决算具体情况</w:t>
      </w:r>
      <w:bookmarkEnd w:id="55"/>
    </w:p>
    <w:p>
      <w:pPr>
        <w:spacing w:line="600" w:lineRule="exact"/>
        <w:ind w:firstLine="640" w:firstLineChars="200"/>
        <w:outlineLvl w:val="1"/>
        <w:rPr>
          <w:rFonts w:ascii="仿宋" w:hAnsi="仿宋" w:eastAsia="仿宋" w:cs="仿宋"/>
          <w:bCs/>
          <w:sz w:val="32"/>
          <w:szCs w:val="32"/>
        </w:rPr>
      </w:pPr>
      <w:bookmarkStart w:id="56" w:name="_Toc13056"/>
      <w:bookmarkStart w:id="57" w:name="_Toc15377213"/>
      <w:bookmarkStart w:id="58" w:name="_Toc15377444"/>
      <w:bookmarkStart w:id="59" w:name="_Toc15378460"/>
      <w:r>
        <w:rPr>
          <w:rFonts w:hint="eastAsia" w:ascii="仿宋" w:hAnsi="仿宋" w:eastAsia="仿宋" w:cs="仿宋"/>
          <w:bCs/>
          <w:sz w:val="32"/>
          <w:szCs w:val="32"/>
        </w:rPr>
        <w:t>2021年一般公共预算支出决算数为132.92万元，</w:t>
      </w:r>
      <w:r>
        <w:rPr>
          <w:rStyle w:val="10"/>
          <w:rFonts w:hint="eastAsia" w:ascii="仿宋" w:hAnsi="仿宋" w:eastAsia="仿宋" w:cs="仿宋"/>
          <w:b w:val="0"/>
          <w:bCs/>
          <w:sz w:val="32"/>
          <w:szCs w:val="32"/>
        </w:rPr>
        <w:t>完成预算的100%。其中：</w:t>
      </w:r>
      <w:bookmarkEnd w:id="56"/>
    </w:p>
    <w:p>
      <w:pPr>
        <w:spacing w:line="560" w:lineRule="exact"/>
        <w:ind w:firstLine="643" w:firstLineChars="200"/>
        <w:outlineLvl w:val="2"/>
        <w:rPr>
          <w:rFonts w:ascii="仿宋" w:hAnsi="仿宋" w:eastAsia="仿宋" w:cs="仿宋"/>
          <w:bCs/>
        </w:rPr>
      </w:pPr>
      <w:r>
        <w:rPr>
          <w:rFonts w:hint="eastAsia" w:ascii="仿宋" w:hAnsi="仿宋" w:eastAsia="仿宋" w:cs="仿宋"/>
          <w:b/>
          <w:color w:val="000000"/>
          <w:sz w:val="32"/>
          <w:szCs w:val="32"/>
        </w:rPr>
        <w:t>1</w:t>
      </w:r>
      <w:r>
        <w:rPr>
          <w:rFonts w:hint="eastAsia" w:ascii="仿宋" w:hAnsi="仿宋" w:eastAsia="仿宋" w:cs="仿宋"/>
          <w:b/>
          <w:color w:val="000000"/>
          <w:sz w:val="32"/>
          <w:szCs w:val="32"/>
          <w:u w:val="none" w:color="46CD7E"/>
          <w:shd w:val="clear" w:fill="auto"/>
          <w:lang w:eastAsia="zh-CN"/>
        </w:rPr>
        <w:t>.</w:t>
      </w:r>
      <w:r>
        <w:rPr>
          <w:rFonts w:hint="eastAsia" w:ascii="仿宋" w:hAnsi="仿宋" w:eastAsia="仿宋" w:cs="仿宋"/>
          <w:b/>
          <w:color w:val="000000"/>
          <w:sz w:val="32"/>
          <w:szCs w:val="32"/>
        </w:rPr>
        <w:t>卫生健康支出（类）基层医疗卫生机构（款）乡镇卫生院（项）：</w:t>
      </w:r>
      <w:r>
        <w:rPr>
          <w:rFonts w:hint="eastAsia" w:ascii="仿宋" w:hAnsi="仿宋" w:eastAsia="仿宋" w:cs="仿宋"/>
          <w:bCs/>
          <w:color w:val="000000"/>
          <w:sz w:val="32"/>
          <w:szCs w:val="32"/>
        </w:rPr>
        <w:t>支出决算为33.6万元，完成预算100%。</w:t>
      </w:r>
    </w:p>
    <w:p>
      <w:pPr>
        <w:pStyle w:val="6"/>
        <w:spacing w:before="0" w:after="0" w:line="560" w:lineRule="exact"/>
        <w:ind w:left="319" w:leftChars="152" w:firstLine="321" w:firstLineChars="100"/>
        <w:jc w:val="both"/>
        <w:rPr>
          <w:rFonts w:ascii="仿宋" w:hAnsi="仿宋" w:eastAsia="仿宋" w:cs="仿宋"/>
          <w:bCs/>
          <w:color w:val="000000"/>
          <w:szCs w:val="32"/>
        </w:rPr>
      </w:pPr>
      <w:bookmarkStart w:id="60" w:name="_Toc8616"/>
      <w:r>
        <w:rPr>
          <w:rFonts w:hint="eastAsia" w:ascii="仿宋" w:hAnsi="仿宋" w:eastAsia="仿宋" w:cs="仿宋"/>
          <w:b/>
          <w:color w:val="000000"/>
          <w:szCs w:val="32"/>
        </w:rPr>
        <w:t>2</w:t>
      </w:r>
      <w:r>
        <w:rPr>
          <w:rFonts w:hint="eastAsia" w:ascii="仿宋" w:hAnsi="仿宋" w:eastAsia="仿宋" w:cs="仿宋"/>
          <w:b/>
          <w:color w:val="000000"/>
          <w:szCs w:val="32"/>
          <w:u w:val="none" w:color="46CD7E"/>
          <w:shd w:val="clear" w:fill="auto"/>
          <w:lang w:eastAsia="zh-CN"/>
        </w:rPr>
        <w:t>.</w:t>
      </w:r>
      <w:r>
        <w:rPr>
          <w:rFonts w:hint="eastAsia" w:ascii="仿宋" w:hAnsi="仿宋" w:eastAsia="仿宋" w:cs="仿宋"/>
          <w:b/>
          <w:color w:val="000000"/>
          <w:szCs w:val="32"/>
        </w:rPr>
        <w:t>卫生健康支出（类）基层医疗卫生机构（款）其他基层医疗卫生机构（项）：</w:t>
      </w:r>
      <w:r>
        <w:rPr>
          <w:rFonts w:hint="eastAsia" w:ascii="仿宋" w:hAnsi="仿宋" w:eastAsia="仿宋" w:cs="仿宋"/>
          <w:bCs/>
          <w:color w:val="000000"/>
          <w:szCs w:val="32"/>
        </w:rPr>
        <w:t>支出决算为10.78万元，完成预算100%。</w:t>
      </w:r>
      <w:bookmarkEnd w:id="60"/>
    </w:p>
    <w:p>
      <w:pPr>
        <w:pStyle w:val="6"/>
        <w:spacing w:before="0" w:after="0" w:line="560" w:lineRule="exact"/>
        <w:ind w:firstLine="643" w:firstLineChars="200"/>
        <w:outlineLvl w:val="9"/>
      </w:pPr>
      <w:bookmarkStart w:id="61" w:name="_Toc24041"/>
      <w:r>
        <w:rPr>
          <w:rFonts w:hint="eastAsia" w:ascii="仿宋" w:hAnsi="仿宋" w:eastAsia="仿宋" w:cs="仿宋"/>
          <w:b/>
          <w:color w:val="000000"/>
          <w:szCs w:val="32"/>
        </w:rPr>
        <w:t>3</w:t>
      </w:r>
      <w:r>
        <w:rPr>
          <w:rFonts w:hint="eastAsia" w:ascii="仿宋" w:hAnsi="仿宋" w:eastAsia="仿宋" w:cs="仿宋"/>
          <w:b/>
          <w:color w:val="000000"/>
          <w:szCs w:val="32"/>
          <w:u w:val="none" w:color="46CD7E"/>
          <w:shd w:val="clear" w:fill="auto"/>
          <w:lang w:eastAsia="zh-CN"/>
        </w:rPr>
        <w:t>.</w:t>
      </w:r>
      <w:r>
        <w:rPr>
          <w:rFonts w:hint="eastAsia" w:ascii="仿宋" w:hAnsi="仿宋" w:eastAsia="仿宋" w:cs="仿宋"/>
          <w:b/>
          <w:color w:val="000000"/>
          <w:szCs w:val="32"/>
        </w:rPr>
        <w:t>卫生健康支出（类）公共卫生（款）基本公共卫生服务（项）</w:t>
      </w:r>
      <w:r>
        <w:rPr>
          <w:rFonts w:hint="eastAsia" w:ascii="仿宋" w:hAnsi="仿宋" w:eastAsia="仿宋" w:cs="仿宋"/>
          <w:bCs/>
          <w:color w:val="000000"/>
          <w:szCs w:val="32"/>
        </w:rPr>
        <w:t>:支出决算为25.79万元，完成预算100%。</w:t>
      </w:r>
      <w:bookmarkEnd w:id="61"/>
    </w:p>
    <w:p>
      <w:pPr>
        <w:pStyle w:val="6"/>
        <w:spacing w:before="0" w:after="0" w:line="560" w:lineRule="exact"/>
        <w:ind w:firstLine="643" w:firstLineChars="200"/>
        <w:jc w:val="both"/>
        <w:rPr>
          <w:rFonts w:ascii="仿宋" w:hAnsi="仿宋" w:eastAsia="仿宋" w:cs="仿宋"/>
          <w:szCs w:val="32"/>
        </w:rPr>
      </w:pPr>
      <w:bookmarkStart w:id="62" w:name="_Toc27497"/>
      <w:r>
        <w:rPr>
          <w:rFonts w:hint="eastAsia" w:ascii="仿宋" w:hAnsi="仿宋" w:eastAsia="仿宋" w:cs="仿宋"/>
          <w:b/>
          <w:color w:val="000000"/>
          <w:szCs w:val="32"/>
        </w:rPr>
        <w:t>4</w:t>
      </w:r>
      <w:r>
        <w:rPr>
          <w:rFonts w:hint="eastAsia" w:ascii="仿宋" w:hAnsi="仿宋" w:eastAsia="仿宋" w:cs="仿宋"/>
          <w:b/>
          <w:color w:val="000000"/>
          <w:szCs w:val="32"/>
          <w:u w:val="none" w:color="46CD7E"/>
          <w:shd w:val="clear" w:fill="auto"/>
          <w:lang w:eastAsia="zh-CN"/>
        </w:rPr>
        <w:t>.</w:t>
      </w:r>
      <w:r>
        <w:rPr>
          <w:rFonts w:hint="eastAsia" w:ascii="仿宋" w:hAnsi="仿宋" w:eastAsia="仿宋" w:cs="仿宋"/>
          <w:b/>
          <w:color w:val="000000"/>
          <w:szCs w:val="32"/>
        </w:rPr>
        <w:t>农林水支出（类）扶贫（款）其他扶贫支出（项）:</w:t>
      </w:r>
      <w:r>
        <w:rPr>
          <w:rFonts w:hint="eastAsia" w:ascii="仿宋" w:hAnsi="仿宋" w:eastAsia="仿宋" w:cs="仿宋"/>
          <w:bCs/>
          <w:color w:val="000000"/>
          <w:szCs w:val="32"/>
        </w:rPr>
        <w:t>支出决算为1.25万元，完成预算100%。</w:t>
      </w:r>
      <w:bookmarkEnd w:id="57"/>
      <w:bookmarkEnd w:id="58"/>
      <w:bookmarkEnd w:id="59"/>
      <w:bookmarkEnd w:id="62"/>
    </w:p>
    <w:p>
      <w:pPr>
        <w:tabs>
          <w:tab w:val="right" w:pos="8306"/>
        </w:tabs>
        <w:spacing w:line="560" w:lineRule="exact"/>
        <w:ind w:firstLine="640"/>
        <w:outlineLvl w:val="1"/>
        <w:rPr>
          <w:rStyle w:val="31"/>
          <w:rFonts w:ascii="仿宋" w:hAnsi="仿宋" w:eastAsia="仿宋" w:cs="仿宋"/>
        </w:rPr>
      </w:pPr>
      <w:bookmarkStart w:id="63" w:name="_Toc22011"/>
      <w:bookmarkStart w:id="64" w:name="_Toc15396608"/>
      <w:bookmarkStart w:id="65" w:name="_Toc15377214"/>
      <w:bookmarkStart w:id="66" w:name="_Toc11091"/>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w:t>
      </w:r>
      <w:r>
        <w:rPr>
          <w:rFonts w:hint="eastAsia" w:ascii="黑体" w:hAnsi="黑体" w:eastAsia="黑体"/>
          <w:sz w:val="32"/>
          <w:szCs w:val="32"/>
        </w:rPr>
        <w:t>财政拨款基本支出决算情况说明</w:t>
      </w:r>
      <w:bookmarkEnd w:id="63"/>
      <w:bookmarkEnd w:id="64"/>
      <w:bookmarkEnd w:id="65"/>
      <w:bookmarkEnd w:id="66"/>
      <w:r>
        <w:rPr>
          <w:rStyle w:val="31"/>
          <w:rFonts w:ascii="黑体" w:hAnsi="黑体" w:eastAsia="黑体"/>
          <w:b w:val="0"/>
        </w:rPr>
        <w:tab/>
      </w:r>
    </w:p>
    <w:p>
      <w:pPr>
        <w:spacing w:line="560" w:lineRule="exact"/>
        <w:ind w:firstLine="645"/>
        <w:rPr>
          <w:rFonts w:ascii="仿宋" w:hAnsi="仿宋" w:eastAsia="仿宋" w:cs="仿宋"/>
          <w:sz w:val="32"/>
          <w:szCs w:val="32"/>
        </w:rPr>
      </w:pPr>
      <w:r>
        <w:rPr>
          <w:rFonts w:hint="eastAsia" w:ascii="仿宋" w:hAnsi="仿宋" w:eastAsia="仿宋" w:cs="仿宋"/>
          <w:sz w:val="32"/>
          <w:szCs w:val="32"/>
        </w:rPr>
        <w:t>2021年一般公共预算财政拨款基本支出63.42万元，其中：</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人员经费63.42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pStyle w:val="6"/>
        <w:spacing w:before="0" w:after="0" w:line="560" w:lineRule="exact"/>
        <w:ind w:firstLine="640" w:firstLineChars="200"/>
        <w:jc w:val="left"/>
        <w:rPr>
          <w:rFonts w:eastAsia="仿宋"/>
        </w:rPr>
      </w:pPr>
      <w:bookmarkStart w:id="67" w:name="_Toc25799"/>
      <w:r>
        <w:rPr>
          <w:rFonts w:hint="eastAsia" w:ascii="仿宋" w:hAnsi="仿宋" w:eastAsia="仿宋" w:cs="仿宋"/>
          <w:szCs w:val="32"/>
        </w:rPr>
        <w:t>一般公共预算财政拨款基本支出中无公用经费。</w:t>
      </w:r>
      <w:bookmarkEnd w:id="67"/>
    </w:p>
    <w:p>
      <w:pPr>
        <w:spacing w:line="600" w:lineRule="exact"/>
        <w:ind w:firstLine="640"/>
        <w:outlineLvl w:val="1"/>
        <w:rPr>
          <w:rStyle w:val="31"/>
          <w:rFonts w:ascii="黑体" w:hAnsi="黑体" w:eastAsia="黑体"/>
          <w:b w:val="0"/>
        </w:rPr>
      </w:pPr>
      <w:bookmarkStart w:id="68" w:name="_Toc30082"/>
      <w:bookmarkStart w:id="69" w:name="_Toc15377215"/>
      <w:bookmarkStart w:id="70" w:name="_Toc15396609"/>
      <w:bookmarkStart w:id="71" w:name="_Toc13013"/>
      <w:bookmarkStart w:id="72" w:name="_Toc15377216"/>
      <w:r>
        <w:rPr>
          <w:rFonts w:hint="eastAsia" w:ascii="黑体" w:eastAsia="黑体"/>
          <w:sz w:val="32"/>
          <w:szCs w:val="32"/>
        </w:rPr>
        <w:t>七、</w:t>
      </w:r>
      <w:r>
        <w:rPr>
          <w:rStyle w:val="31"/>
          <w:rFonts w:hint="eastAsia" w:ascii="黑体" w:hAnsi="黑体" w:eastAsia="黑体"/>
        </w:rPr>
        <w:t>“</w:t>
      </w:r>
      <w:r>
        <w:rPr>
          <w:rStyle w:val="31"/>
          <w:rFonts w:hint="eastAsia" w:ascii="黑体" w:hAnsi="黑体" w:eastAsia="黑体"/>
          <w:b w:val="0"/>
        </w:rPr>
        <w:t>三公”经费</w:t>
      </w:r>
      <w:r>
        <w:rPr>
          <w:rFonts w:hint="eastAsia" w:ascii="黑体" w:hAnsi="黑体" w:eastAsia="黑体"/>
          <w:sz w:val="32"/>
          <w:szCs w:val="32"/>
        </w:rPr>
        <w:t>财政拨款支出决算情况说明</w:t>
      </w:r>
      <w:bookmarkEnd w:id="68"/>
      <w:bookmarkEnd w:id="69"/>
      <w:bookmarkEnd w:id="70"/>
      <w:bookmarkEnd w:id="71"/>
    </w:p>
    <w:p>
      <w:pPr>
        <w:spacing w:line="600" w:lineRule="exact"/>
        <w:ind w:firstLine="640"/>
        <w:outlineLvl w:val="2"/>
        <w:rPr>
          <w:rFonts w:ascii="仿宋" w:hAnsi="仿宋" w:eastAsia="仿宋" w:cs="仿宋"/>
          <w:b/>
          <w:sz w:val="32"/>
          <w:szCs w:val="32"/>
        </w:rPr>
      </w:pPr>
      <w:r>
        <w:rPr>
          <w:rFonts w:hint="eastAsia" w:ascii="仿宋" w:hAnsi="仿宋" w:eastAsia="仿宋" w:cs="仿宋"/>
          <w:b/>
          <w:sz w:val="32"/>
          <w:szCs w:val="32"/>
        </w:rPr>
        <w:t>（一）“三公”经费财政拨款支出决算总体情况说明</w:t>
      </w:r>
      <w:bookmarkEnd w:id="72"/>
    </w:p>
    <w:p>
      <w:pPr>
        <w:spacing w:line="600" w:lineRule="exact"/>
        <w:ind w:firstLine="640"/>
        <w:rPr>
          <w:rFonts w:ascii="仿宋" w:hAnsi="仿宋" w:eastAsia="仿宋" w:cs="仿宋"/>
          <w:color w:val="000000"/>
          <w:sz w:val="32"/>
          <w:szCs w:val="32"/>
        </w:rPr>
      </w:pPr>
      <w:r>
        <w:rPr>
          <w:rFonts w:hint="eastAsia" w:ascii="仿宋" w:hAnsi="仿宋" w:eastAsia="仿宋" w:cs="仿宋"/>
          <w:sz w:val="32"/>
          <w:szCs w:val="32"/>
        </w:rPr>
        <w:t>2021年“三公”经费财政拨款支出决算为0万元，</w:t>
      </w:r>
      <w:r>
        <w:rPr>
          <w:rFonts w:hint="eastAsia" w:ascii="仿宋" w:hAnsi="仿宋" w:eastAsia="仿宋" w:cs="仿宋"/>
          <w:color w:val="000000"/>
          <w:sz w:val="32"/>
          <w:szCs w:val="32"/>
        </w:rPr>
        <w:t>三公经费财政无预算。</w:t>
      </w:r>
    </w:p>
    <w:p>
      <w:pPr>
        <w:spacing w:line="600" w:lineRule="exact"/>
        <w:ind w:firstLine="640"/>
        <w:outlineLvl w:val="2"/>
        <w:rPr>
          <w:rFonts w:ascii="仿宋" w:hAnsi="仿宋" w:eastAsia="仿宋" w:cs="仿宋"/>
          <w:b/>
          <w:sz w:val="32"/>
          <w:szCs w:val="32"/>
        </w:rPr>
      </w:pPr>
      <w:bookmarkStart w:id="73" w:name="_Toc15377217"/>
      <w:r>
        <w:rPr>
          <w:rFonts w:hint="eastAsia" w:ascii="仿宋" w:hAnsi="仿宋" w:eastAsia="仿宋" w:cs="仿宋"/>
          <w:b/>
          <w:sz w:val="32"/>
          <w:szCs w:val="32"/>
        </w:rPr>
        <w:t>（二）“三公”经费财政拨款支出决算具体情况说明</w:t>
      </w:r>
      <w:bookmarkEnd w:id="73"/>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2021年“三公”经费财政拨款支出决算中，因公出国（境）费支出决算0万元，占0%；公务用车购置及运行维护费支出决算0万元，占0%；公务接待费支出决算0万元</w:t>
      </w:r>
      <w:r>
        <w:t>。</w:t>
      </w:r>
    </w:p>
    <w:p>
      <w:pPr>
        <w:spacing w:line="600" w:lineRule="exact"/>
        <w:ind w:firstLine="640"/>
        <w:outlineLvl w:val="1"/>
        <w:rPr>
          <w:rStyle w:val="31"/>
          <w:rFonts w:ascii="黑体" w:hAnsi="黑体" w:eastAsia="黑体"/>
        </w:rPr>
      </w:pPr>
      <w:bookmarkStart w:id="74" w:name="_Toc31357"/>
      <w:bookmarkStart w:id="75" w:name="_Toc20983"/>
      <w:r>
        <w:rPr>
          <w:rFonts w:hint="eastAsia" w:ascii="黑体" w:eastAsia="黑体"/>
          <w:sz w:val="32"/>
          <w:szCs w:val="32"/>
        </w:rPr>
        <w:t>八、</w:t>
      </w:r>
      <w:r>
        <w:rPr>
          <w:rStyle w:val="31"/>
          <w:rFonts w:hint="eastAsia" w:ascii="黑体" w:hAnsi="黑体" w:eastAsia="黑体"/>
          <w:b w:val="0"/>
        </w:rPr>
        <w:t>政府性基金预算</w:t>
      </w:r>
      <w:r>
        <w:rPr>
          <w:rFonts w:hint="eastAsia" w:ascii="黑体" w:hAnsi="黑体" w:eastAsia="黑体"/>
          <w:sz w:val="32"/>
          <w:szCs w:val="32"/>
        </w:rPr>
        <w:t>支出决算情况说明</w:t>
      </w:r>
      <w:bookmarkEnd w:id="74"/>
      <w:bookmarkEnd w:id="75"/>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2021年政府性基金预算财政拨款支出0万元。</w:t>
      </w:r>
    </w:p>
    <w:p>
      <w:pPr>
        <w:numPr>
          <w:ilvl w:val="0"/>
          <w:numId w:val="2"/>
        </w:numPr>
        <w:spacing w:line="600" w:lineRule="exact"/>
        <w:ind w:firstLine="640"/>
        <w:outlineLvl w:val="1"/>
        <w:rPr>
          <w:rStyle w:val="31"/>
          <w:rFonts w:ascii="黑体" w:hAnsi="黑体" w:eastAsia="黑体"/>
          <w:b w:val="0"/>
        </w:rPr>
      </w:pPr>
      <w:bookmarkStart w:id="76" w:name="_Toc15377219"/>
      <w:bookmarkStart w:id="77" w:name="_Toc10769"/>
      <w:bookmarkStart w:id="78" w:name="_Toc32471"/>
      <w:bookmarkStart w:id="79" w:name="_Toc15396611"/>
      <w:r>
        <w:rPr>
          <w:rStyle w:val="31"/>
          <w:rFonts w:hint="eastAsia" w:ascii="黑体" w:hAnsi="黑体" w:eastAsia="黑体"/>
          <w:b w:val="0"/>
        </w:rPr>
        <w:t>国有</w:t>
      </w:r>
      <w:r>
        <w:rPr>
          <w:rFonts w:hint="eastAsia" w:ascii="黑体" w:hAnsi="黑体" w:eastAsia="黑体"/>
          <w:sz w:val="32"/>
          <w:szCs w:val="32"/>
        </w:rPr>
        <w:t>资本经营</w:t>
      </w:r>
      <w:r>
        <w:rPr>
          <w:rStyle w:val="31"/>
          <w:rFonts w:hint="eastAsia" w:ascii="黑体" w:hAnsi="黑体" w:eastAsia="黑体"/>
          <w:b w:val="0"/>
        </w:rPr>
        <w:t>预算</w:t>
      </w:r>
      <w:r>
        <w:rPr>
          <w:rFonts w:hint="eastAsia" w:ascii="黑体" w:hAnsi="黑体" w:eastAsia="黑体"/>
          <w:sz w:val="32"/>
          <w:szCs w:val="32"/>
        </w:rPr>
        <w:t>支出决算情况说明</w:t>
      </w:r>
      <w:bookmarkEnd w:id="76"/>
      <w:bookmarkEnd w:id="77"/>
      <w:bookmarkEnd w:id="78"/>
      <w:bookmarkEnd w:id="79"/>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2021年国有资本经营预算财政拨款支出0万元。</w:t>
      </w:r>
    </w:p>
    <w:p>
      <w:pPr>
        <w:numPr>
          <w:ilvl w:val="0"/>
          <w:numId w:val="2"/>
        </w:numPr>
        <w:spacing w:line="600" w:lineRule="exact"/>
        <w:ind w:firstLine="640"/>
        <w:outlineLvl w:val="1"/>
        <w:rPr>
          <w:rStyle w:val="31"/>
          <w:rFonts w:ascii="黑体" w:hAnsi="黑体" w:eastAsia="黑体"/>
          <w:b w:val="0"/>
        </w:rPr>
      </w:pPr>
      <w:bookmarkStart w:id="80" w:name="_Toc15396612"/>
      <w:bookmarkStart w:id="81" w:name="_Toc25632"/>
      <w:bookmarkStart w:id="82" w:name="_Toc15377221"/>
      <w:bookmarkStart w:id="83" w:name="_Toc9964"/>
      <w:bookmarkStart w:id="84" w:name="_Toc15377222"/>
      <w:r>
        <w:rPr>
          <w:rStyle w:val="31"/>
          <w:rFonts w:hint="eastAsia" w:ascii="黑体" w:hAnsi="黑体" w:eastAsia="黑体"/>
          <w:b w:val="0"/>
        </w:rPr>
        <w:t>其他重要事项的情况说明</w:t>
      </w:r>
      <w:bookmarkEnd w:id="80"/>
      <w:bookmarkEnd w:id="81"/>
      <w:bookmarkEnd w:id="82"/>
      <w:bookmarkEnd w:id="83"/>
    </w:p>
    <w:p>
      <w:pPr>
        <w:spacing w:line="600" w:lineRule="exact"/>
        <w:ind w:firstLine="643" w:firstLineChars="200"/>
        <w:outlineLvl w:val="2"/>
        <w:rPr>
          <w:rFonts w:ascii="仿宋" w:hAnsi="仿宋" w:eastAsia="仿宋" w:cs="仿宋"/>
          <w:sz w:val="32"/>
          <w:szCs w:val="32"/>
        </w:rPr>
      </w:pPr>
      <w:r>
        <w:rPr>
          <w:rFonts w:hint="eastAsia" w:ascii="仿宋" w:hAnsi="仿宋" w:eastAsia="仿宋" w:cs="仿宋"/>
          <w:b/>
          <w:sz w:val="32"/>
          <w:szCs w:val="32"/>
        </w:rPr>
        <w:t>（一）机关运行经费支出情况</w:t>
      </w:r>
      <w:bookmarkEnd w:id="8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21年我院机关运行经费支出0万元。</w:t>
      </w:r>
    </w:p>
    <w:p>
      <w:pPr>
        <w:autoSpaceDE w:val="0"/>
        <w:autoSpaceDN w:val="0"/>
        <w:adjustRightInd w:val="0"/>
        <w:spacing w:line="600" w:lineRule="exact"/>
        <w:ind w:firstLine="643" w:firstLineChars="200"/>
        <w:jc w:val="left"/>
        <w:outlineLvl w:val="2"/>
        <w:rPr>
          <w:rFonts w:ascii="仿宋" w:hAnsi="仿宋" w:eastAsia="仿宋" w:cs="仿宋"/>
          <w:b/>
          <w:sz w:val="32"/>
          <w:szCs w:val="32"/>
        </w:rPr>
      </w:pPr>
      <w:bookmarkStart w:id="85" w:name="_Toc15377223"/>
      <w:r>
        <w:rPr>
          <w:rFonts w:hint="eastAsia" w:ascii="仿宋" w:hAnsi="仿宋" w:eastAsia="仿宋" w:cs="仿宋"/>
          <w:b/>
          <w:sz w:val="32"/>
          <w:szCs w:val="32"/>
        </w:rPr>
        <w:t>（二）政府采购支出情况</w:t>
      </w:r>
      <w:bookmarkEnd w:id="85"/>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cs="仿宋"/>
          <w:b/>
          <w:sz w:val="32"/>
          <w:szCs w:val="32"/>
        </w:rPr>
      </w:pPr>
      <w:bookmarkStart w:id="86" w:name="_Toc15377224"/>
      <w:r>
        <w:rPr>
          <w:rFonts w:hint="eastAsia" w:ascii="仿宋" w:hAnsi="仿宋" w:eastAsia="仿宋" w:cs="仿宋"/>
          <w:b/>
          <w:sz w:val="32"/>
          <w:szCs w:val="32"/>
        </w:rPr>
        <w:t>（三）国有资产占有使用情况</w:t>
      </w:r>
      <w:bookmarkEnd w:id="86"/>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bCs/>
          <w:sz w:val="32"/>
          <w:szCs w:val="32"/>
        </w:rPr>
        <w:t>截至2021年12月31日，我院无公务用车</w:t>
      </w:r>
      <w:r>
        <w:rPr>
          <w:rFonts w:hint="eastAsia" w:ascii="仿宋" w:hAnsi="仿宋" w:eastAsia="仿宋" w:cs="仿宋"/>
          <w:sz w:val="32"/>
          <w:szCs w:val="32"/>
        </w:rPr>
        <w:t>。</w:t>
      </w:r>
    </w:p>
    <w:p>
      <w:pPr>
        <w:autoSpaceDE w:val="0"/>
        <w:autoSpaceDN w:val="0"/>
        <w:adjustRightInd w:val="0"/>
        <w:spacing w:line="600" w:lineRule="exact"/>
        <w:ind w:firstLine="643" w:firstLineChars="200"/>
        <w:jc w:val="left"/>
        <w:outlineLvl w:val="2"/>
        <w:rPr>
          <w:rFonts w:ascii="仿宋" w:hAnsi="仿宋" w:eastAsia="仿宋" w:cs="仿宋"/>
          <w:b/>
          <w:sz w:val="32"/>
          <w:szCs w:val="32"/>
        </w:rPr>
      </w:pPr>
      <w:r>
        <w:rPr>
          <w:rFonts w:hint="eastAsia" w:ascii="仿宋" w:hAnsi="仿宋" w:eastAsia="仿宋" w:cs="仿宋"/>
          <w:b/>
          <w:sz w:val="32"/>
          <w:szCs w:val="32"/>
        </w:rPr>
        <w:t>（四）预算绩效管理情况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根据预算绩效管理要求，本单位在2021年度预算编制阶段，组织对基本公共卫生、村卫生室补助、驻村扶贫等3项开展了预算事前绩效评估，对3个项目编制了绩效目标，预算执行过程中，选取3个项目开展绩效监控，年终执行完毕后，对3个项目开展了绩效目标完成情况自评。</w:t>
      </w:r>
    </w:p>
    <w:p>
      <w:pPr>
        <w:spacing w:line="580" w:lineRule="exact"/>
        <w:ind w:firstLine="640" w:firstLineChars="200"/>
        <w:rPr>
          <w:rFonts w:ascii="仿宋" w:hAnsi="仿宋" w:eastAsia="仿宋" w:cs="仿宋"/>
          <w:sz w:val="32"/>
          <w:szCs w:val="32"/>
        </w:rPr>
      </w:pPr>
    </w:p>
    <w:p>
      <w:pPr>
        <w:adjustRightInd w:val="0"/>
        <w:snapToGrid w:val="0"/>
        <w:spacing w:line="560" w:lineRule="exact"/>
        <w:ind w:firstLine="720"/>
        <w:rPr>
          <w:rFonts w:ascii="仿宋" w:hAnsi="仿宋" w:eastAsia="仿宋" w:cs="仿宋"/>
          <w:sz w:val="32"/>
          <w:szCs w:val="32"/>
          <w:shd w:val="clear" w:color="auto" w:fill="FFFFFF"/>
        </w:rPr>
      </w:pPr>
      <w:r>
        <w:rPr>
          <w:rFonts w:hint="eastAsia" w:ascii="仿宋" w:hAnsi="仿宋" w:eastAsia="仿宋" w:cs="仿宋"/>
          <w:sz w:val="32"/>
          <w:szCs w:val="32"/>
        </w:rPr>
        <w:t>本单位按要求对2021年单位整体支出开展绩效自评，从评价情况来看</w:t>
      </w:r>
      <w:r>
        <w:t>，</w:t>
      </w:r>
      <w:r>
        <w:rPr>
          <w:rFonts w:hint="eastAsia" w:ascii="仿宋" w:hAnsi="仿宋" w:eastAsia="仿宋" w:cs="仿宋"/>
          <w:kern w:val="0"/>
          <w:sz w:val="32"/>
          <w:szCs w:val="32"/>
        </w:rPr>
        <w:t>本单位制定了内部控制建设规划方案和各项业务制度以及业务流程，制定了《单位财务管理制度》《出纳岗位职责》《会计岗位职责》，对会计和出纳的职业素养、工作要求作出明确规定；制定了《烟溪镇卫生院固定资产管理办法》，对资产的配置、处置、管理和清查进行了规范。制定了《烟溪镇卫生院专项资金管理制度》，严格执行会议费、差旅费、培训费、公务接待费等相关规定，明确了相应原则和要求、开支范围、程序、办法及标准、审批权限等。上述制度规定基本得到执行。本单位对</w:t>
      </w:r>
      <w:r>
        <w:rPr>
          <w:rFonts w:hint="eastAsia" w:ascii="仿宋" w:hAnsi="仿宋" w:eastAsia="仿宋" w:cs="仿宋"/>
          <w:sz w:val="32"/>
          <w:szCs w:val="32"/>
        </w:rPr>
        <w:t>4个项目开展了绩效评价，从评价情况来看：</w:t>
      </w:r>
      <w:r>
        <w:rPr>
          <w:rFonts w:hint="eastAsia" w:ascii="仿宋" w:hAnsi="仿宋" w:eastAsia="仿宋" w:cs="仿宋"/>
          <w:b/>
          <w:sz w:val="32"/>
          <w:szCs w:val="32"/>
          <w:shd w:val="clear" w:color="auto" w:fill="FFFFFF"/>
        </w:rPr>
        <w:t>一是</w:t>
      </w:r>
      <w:r>
        <w:rPr>
          <w:rFonts w:hint="eastAsia" w:ascii="仿宋" w:hAnsi="仿宋" w:eastAsia="仿宋" w:cs="仿宋"/>
          <w:sz w:val="32"/>
          <w:szCs w:val="32"/>
        </w:rPr>
        <w:t>通过驻村帮扶项目的实施，让脱贫户进一步了解脱贫致富帮扶政策，改善了生产生活条件和居住环境，按时完成脱贫攻坚各项目标任务。</w:t>
      </w:r>
      <w:r>
        <w:rPr>
          <w:rFonts w:hint="eastAsia" w:ascii="仿宋" w:hAnsi="仿宋" w:eastAsia="仿宋" w:cs="仿宋"/>
          <w:sz w:val="32"/>
          <w:szCs w:val="32"/>
          <w:lang w:val="zh-CN"/>
        </w:rPr>
        <w:t>受到了当地脱贫户的普遍好评。</w:t>
      </w:r>
      <w:r>
        <w:rPr>
          <w:rFonts w:hint="eastAsia" w:ascii="仿宋" w:hAnsi="仿宋" w:eastAsia="仿宋" w:cs="仿宋"/>
          <w:b/>
          <w:sz w:val="32"/>
          <w:szCs w:val="32"/>
          <w:lang w:val="zh-CN"/>
        </w:rPr>
        <w:t>二是基本公共卫生服务工作严格按照方案落实了基本公共卫生服务的各项工作</w:t>
      </w:r>
      <w:r>
        <w:rPr>
          <w:rFonts w:hint="eastAsia" w:ascii="仿宋" w:hAnsi="仿宋" w:eastAsia="仿宋" w:cs="仿宋"/>
          <w:sz w:val="32"/>
          <w:szCs w:val="32"/>
          <w:lang w:val="zh-CN"/>
        </w:rPr>
        <w:t>，受到了患者的普遍好评，满意度达95%以上，取得了较好的社会效益。三是基药补助的落实，严格按照药品零差价销售，在药品价格上老百姓得到了真正的廉价药品，让老百姓得到了实惠，四是村卫生室定额补助的实施，让乡村医生放心工作。</w:t>
      </w:r>
    </w:p>
    <w:p>
      <w:pPr>
        <w:spacing w:line="560" w:lineRule="exact"/>
        <w:ind w:firstLine="964" w:firstLineChars="300"/>
        <w:rPr>
          <w:rFonts w:ascii="仿宋" w:hAnsi="仿宋" w:eastAsia="仿宋" w:cs="仿宋"/>
          <w:b/>
          <w:bCs/>
          <w:sz w:val="32"/>
          <w:szCs w:val="32"/>
        </w:rPr>
      </w:pPr>
      <w:r>
        <w:rPr>
          <w:rFonts w:hint="eastAsia" w:ascii="仿宋" w:hAnsi="仿宋" w:eastAsia="仿宋" w:cs="仿宋"/>
          <w:b/>
          <w:bCs/>
          <w:sz w:val="32"/>
          <w:szCs w:val="32"/>
        </w:rPr>
        <w:t>1.项目绩效目标完成情况。</w:t>
      </w:r>
    </w:p>
    <w:p>
      <w:pPr>
        <w:spacing w:line="560" w:lineRule="exact"/>
        <w:rPr>
          <w:rFonts w:ascii="仿宋" w:hAnsi="仿宋" w:eastAsia="仿宋" w:cs="仿宋"/>
          <w:sz w:val="32"/>
          <w:szCs w:val="32"/>
        </w:rPr>
      </w:pPr>
      <w:r>
        <w:rPr>
          <w:rFonts w:hint="eastAsia" w:ascii="仿宋" w:hAnsi="仿宋" w:eastAsia="仿宋" w:cs="仿宋"/>
          <w:sz w:val="32"/>
          <w:szCs w:val="32"/>
        </w:rPr>
        <w:t>烟溪卫生院在2021年度部门决算中反映项目共计4个，一是基本公共卫生项目，二是驻村帮扶项目。三是基药补助项目，四是村卫生室定额补助项目，现将4个项目绩效目标的完成情况作如下综述。</w:t>
      </w:r>
    </w:p>
    <w:p>
      <w:pPr>
        <w:adjustRightInd w:val="0"/>
        <w:snapToGrid w:val="0"/>
        <w:spacing w:line="560" w:lineRule="exact"/>
        <w:ind w:firstLine="800" w:firstLineChars="249"/>
        <w:rPr>
          <w:rFonts w:ascii="仿宋" w:hAnsi="仿宋" w:eastAsia="仿宋" w:cs="仿宋"/>
          <w:sz w:val="32"/>
          <w:szCs w:val="32"/>
          <w:lang w:val="zh-CN"/>
        </w:rPr>
      </w:pPr>
      <w:r>
        <w:rPr>
          <w:rFonts w:hint="eastAsia" w:ascii="仿宋" w:hAnsi="仿宋" w:eastAsia="仿宋" w:cs="仿宋"/>
          <w:b/>
          <w:sz w:val="32"/>
          <w:szCs w:val="32"/>
        </w:rPr>
        <w:t>﹙1﹚基本公共卫生项目绩效目标完成情况综述。</w:t>
      </w:r>
      <w:r>
        <w:rPr>
          <w:rFonts w:hint="eastAsia" w:ascii="仿宋" w:hAnsi="仿宋" w:eastAsia="仿宋" w:cs="仿宋"/>
          <w:sz w:val="32"/>
          <w:szCs w:val="32"/>
        </w:rPr>
        <w:t>项目资金用于基本公共卫生服务的各项工作，</w:t>
      </w:r>
      <w:r>
        <w:rPr>
          <w:rFonts w:hint="eastAsia" w:ascii="仿宋" w:hAnsi="仿宋" w:eastAsia="仿宋" w:cs="仿宋"/>
          <w:sz w:val="32"/>
          <w:szCs w:val="32"/>
          <w:lang w:val="zh-CN"/>
        </w:rPr>
        <w:t>受到了老百姓的好评，满意度达95%以上，取得了较好的社会效益。</w:t>
      </w:r>
    </w:p>
    <w:p>
      <w:pPr>
        <w:snapToGrid w:val="0"/>
        <w:spacing w:beforeLines="50" w:afterLines="50" w:line="595" w:lineRule="exact"/>
        <w:ind w:firstLine="800" w:firstLineChars="249"/>
        <w:rPr>
          <w:rFonts w:ascii="仿宋" w:hAnsi="仿宋" w:eastAsia="仿宋" w:cs="仿宋"/>
          <w:sz w:val="32"/>
          <w:szCs w:val="32"/>
        </w:rPr>
      </w:pPr>
      <w:r>
        <w:rPr>
          <w:rFonts w:hint="eastAsia" w:ascii="仿宋" w:hAnsi="仿宋" w:eastAsia="仿宋" w:cs="仿宋"/>
          <w:b/>
          <w:sz w:val="32"/>
          <w:szCs w:val="32"/>
        </w:rPr>
        <w:t>﹙2﹚驻村帮扶项目绩效目标完成情况综述</w:t>
      </w:r>
    </w:p>
    <w:p>
      <w:pPr>
        <w:adjustRightInd w:val="0"/>
        <w:snapToGrid w:val="0"/>
        <w:spacing w:line="560" w:lineRule="exact"/>
        <w:ind w:firstLine="320" w:firstLineChars="100"/>
        <w:rPr>
          <w:rFonts w:ascii="仿宋_GB2312" w:eastAsia="仿宋_GB2312"/>
          <w:b/>
          <w:sz w:val="28"/>
          <w:szCs w:val="28"/>
          <w:shd w:val="clear" w:color="auto" w:fill="FFFFFF"/>
        </w:rPr>
      </w:pPr>
      <w:r>
        <w:rPr>
          <w:rFonts w:hint="eastAsia" w:ascii="仿宋" w:hAnsi="仿宋" w:eastAsia="仿宋" w:cs="仿宋"/>
          <w:sz w:val="32"/>
          <w:szCs w:val="32"/>
        </w:rPr>
        <w:t>2021年，我院对烟溪镇白雪垭村等实行了对口帮扶工作，派驻了驻村工作干部1名，帮扶精准扶贫户67户，驻村队员每个月至少22天蹲点驻村，分别对精准扶贫政策进行了宣讲，特别是健康扶贫政策讲解，深入到村民家中，与帮扶对象谈心谈话、同吃同劳动，了解和解决村民的难点问题。通过驻村帮扶，让贫困户了解脱贫致富帮扶政策，改善了生产生活条件和居住环境，按时完成了脱贫攻坚各项目标任务，绩效目标完成率100%。</w:t>
      </w:r>
      <w:r>
        <w:rPr>
          <w:rFonts w:hint="eastAsia" w:ascii="仿宋" w:hAnsi="仿宋" w:eastAsia="仿宋" w:cs="仿宋"/>
          <w:sz w:val="32"/>
          <w:szCs w:val="32"/>
          <w:lang w:val="zh-CN"/>
        </w:rPr>
        <w:t>脱贫户满意度达95%以上，取得了较好的社会效益。</w:t>
      </w:r>
    </w:p>
    <w:p>
      <w:pPr>
        <w:spacing w:line="560" w:lineRule="exact"/>
        <w:ind w:firstLine="964" w:firstLineChars="300"/>
        <w:rPr>
          <w:rFonts w:ascii="仿宋" w:hAnsi="仿宋" w:eastAsia="仿宋" w:cs="仿宋"/>
          <w:sz w:val="32"/>
          <w:szCs w:val="32"/>
        </w:rPr>
      </w:pPr>
      <w:r>
        <w:rPr>
          <w:rFonts w:hint="eastAsia" w:ascii="仿宋" w:hAnsi="仿宋" w:eastAsia="仿宋" w:cs="仿宋"/>
          <w:b/>
          <w:bCs/>
          <w:sz w:val="32"/>
          <w:szCs w:val="32"/>
        </w:rPr>
        <w:t>2.开展绩效评价结果。</w:t>
      </w:r>
    </w:p>
    <w:p>
      <w:pPr>
        <w:pStyle w:val="3"/>
        <w:spacing w:before="93"/>
        <w:rPr>
          <w:rFonts w:ascii="仿宋" w:hAnsi="仿宋" w:eastAsia="仿宋" w:cs="仿宋"/>
          <w:sz w:val="32"/>
          <w:szCs w:val="32"/>
          <w:highlight w:val="yellow"/>
        </w:rPr>
      </w:pPr>
      <w:r>
        <w:rPr>
          <w:rFonts w:hint="eastAsia" w:ascii="仿宋" w:hAnsi="仿宋" w:eastAsia="仿宋" w:cs="仿宋"/>
          <w:sz w:val="32"/>
          <w:szCs w:val="32"/>
        </w:rPr>
        <w:t>本单位按要求对2021年部门整体支出绩效评价情况开展自评，同时对基本公共卫生和扶贫工作经费等4个项目开展绩效评价。</w:t>
      </w: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30"/>
          <w:rFonts w:ascii="黑体" w:hAnsi="黑体" w:eastAsia="黑体"/>
          <w:b w:val="0"/>
        </w:rPr>
      </w:pPr>
      <w:bookmarkStart w:id="87" w:name="_Toc578"/>
      <w:bookmarkStart w:id="88" w:name="_Toc15396613"/>
      <w:bookmarkStart w:id="89" w:name="_Toc15377225"/>
      <w:r>
        <w:rPr>
          <w:rFonts w:hint="eastAsia" w:ascii="黑体" w:hAnsi="黑体" w:eastAsia="黑体"/>
          <w:sz w:val="44"/>
          <w:szCs w:val="44"/>
        </w:rPr>
        <w:t>名</w:t>
      </w:r>
      <w:r>
        <w:rPr>
          <w:rStyle w:val="30"/>
          <w:rFonts w:hint="eastAsia" w:ascii="黑体" w:hAnsi="黑体" w:eastAsia="黑体"/>
          <w:b w:val="0"/>
        </w:rPr>
        <w:t>词解释</w:t>
      </w:r>
      <w:bookmarkEnd w:id="87"/>
      <w:bookmarkEnd w:id="88"/>
      <w:bookmarkEnd w:id="89"/>
    </w:p>
    <w:p>
      <w:pPr>
        <w:spacing w:line="600" w:lineRule="exact"/>
        <w:jc w:val="left"/>
        <w:rPr>
          <w:rFonts w:ascii="宋体"/>
          <w:b/>
          <w:sz w:val="44"/>
          <w:szCs w:val="44"/>
        </w:rPr>
      </w:pPr>
    </w:p>
    <w:p>
      <w:pPr>
        <w:ind w:firstLine="640" w:firstLineChars="200"/>
        <w:outlineLvl w:val="1"/>
      </w:pPr>
      <w:bookmarkStart w:id="90" w:name="_Toc5749"/>
      <w:r>
        <w:rPr>
          <w:rFonts w:eastAsia="仿宋_GB2312"/>
          <w:sz w:val="32"/>
        </w:rPr>
        <w:t>1.</w:t>
      </w:r>
      <w:r>
        <w:rPr>
          <w:rFonts w:hint="eastAsia" w:eastAsia="仿宋_GB2312" w:cs="仿宋_GB2312"/>
          <w:sz w:val="32"/>
        </w:rPr>
        <w:t>财政拨款收入：指单位从同级财政部门取得的财政预算资金。</w:t>
      </w:r>
      <w:bookmarkEnd w:id="90"/>
    </w:p>
    <w:p>
      <w:pPr>
        <w:ind w:firstLine="640" w:firstLineChars="200"/>
        <w:rPr>
          <w:rFonts w:eastAsia="仿宋_GB2312" w:cs="仿宋_GB2312"/>
          <w:sz w:val="32"/>
        </w:rPr>
      </w:pPr>
      <w:r>
        <w:rPr>
          <w:rFonts w:eastAsia="仿宋_GB2312"/>
          <w:sz w:val="32"/>
        </w:rPr>
        <w:t>2.</w:t>
      </w:r>
      <w:r>
        <w:rPr>
          <w:rFonts w:hint="eastAsia" w:eastAsia="仿宋_GB2312" w:cs="仿宋_GB2312"/>
          <w:sz w:val="32"/>
        </w:rPr>
        <w:t>事业收入：指事业单位开展专业业务活动及辅助活动取得的收入。</w:t>
      </w:r>
    </w:p>
    <w:p>
      <w:pPr>
        <w:ind w:firstLine="640" w:firstLineChars="200"/>
        <w:rPr>
          <w:rFonts w:eastAsia="仿宋_GB2312" w:cs="仿宋_GB2312"/>
          <w:sz w:val="32"/>
        </w:rPr>
      </w:pPr>
      <w:r>
        <w:rPr>
          <w:rFonts w:eastAsia="仿宋_GB2312"/>
          <w:sz w:val="32"/>
        </w:rPr>
        <w:t>3.</w:t>
      </w:r>
      <w:r>
        <w:rPr>
          <w:rFonts w:hint="eastAsia" w:eastAsia="仿宋_GB2312" w:cs="仿宋_GB2312"/>
          <w:sz w:val="32"/>
        </w:rPr>
        <w:t>经营收入：指事业单位在专业业务活动及其辅助活动之外开展非独立核算经营活动取得的收入。</w:t>
      </w:r>
    </w:p>
    <w:p>
      <w:pPr>
        <w:ind w:firstLine="640" w:firstLineChars="200"/>
      </w:pPr>
      <w:r>
        <w:rPr>
          <w:rFonts w:eastAsia="仿宋_GB2312"/>
          <w:sz w:val="32"/>
        </w:rPr>
        <w:t>4.</w:t>
      </w:r>
      <w:r>
        <w:rPr>
          <w:rFonts w:hint="eastAsia" w:eastAsia="仿宋_GB2312" w:cs="仿宋_GB2312"/>
          <w:sz w:val="32"/>
        </w:rPr>
        <w:t>其他收入：指单位取得的除上述收入以外的各项收入。</w:t>
      </w:r>
    </w:p>
    <w:p>
      <w:pPr>
        <w:ind w:firstLine="640" w:firstLineChars="200"/>
      </w:pPr>
      <w:r>
        <w:rPr>
          <w:rFonts w:eastAsia="仿宋_GB2312"/>
          <w:sz w:val="32"/>
        </w:rPr>
        <w:t>5.</w:t>
      </w:r>
      <w:r>
        <w:rPr>
          <w:rFonts w:hint="eastAsia" w:eastAsia="仿宋_GB2312" w:cs="仿宋_GB2312"/>
          <w:sz w:val="32"/>
        </w:rPr>
        <w:t>使用非财政拨款结余：指事业单位使用以前年度积累的非财政拨款结余弥补当年收支差额的金额。</w:t>
      </w:r>
    </w:p>
    <w:p>
      <w:pPr>
        <w:ind w:firstLine="640" w:firstLineChars="200"/>
      </w:pPr>
      <w:r>
        <w:rPr>
          <w:rFonts w:eastAsia="仿宋_GB2312"/>
          <w:sz w:val="32"/>
        </w:rPr>
        <w:t>6.</w:t>
      </w:r>
      <w:r>
        <w:rPr>
          <w:rFonts w:hint="eastAsia" w:eastAsia="仿宋_GB2312" w:cs="仿宋_GB2312"/>
          <w:sz w:val="32"/>
        </w:rPr>
        <w:t>年初结转和结余：指以前年度尚未完成、结转到</w:t>
      </w:r>
      <w:r>
        <w:rPr>
          <w:rFonts w:hint="eastAsia" w:eastAsia="仿宋_GB2312" w:cs="仿宋_GB2312"/>
          <w:sz w:val="32"/>
          <w:u w:val="none" w:color="46CD7E"/>
          <w:shd w:val="clear" w:fill="auto"/>
          <w:lang w:eastAsia="zh-CN"/>
        </w:rPr>
        <w:t>本年度</w:t>
      </w:r>
      <w:r>
        <w:rPr>
          <w:rFonts w:hint="eastAsia" w:eastAsia="仿宋_GB2312" w:cs="仿宋_GB2312"/>
          <w:sz w:val="32"/>
        </w:rPr>
        <w:t>有关规定继续使用的资金。</w:t>
      </w:r>
    </w:p>
    <w:p>
      <w:pPr>
        <w:ind w:firstLine="640" w:firstLineChars="200"/>
      </w:pPr>
      <w:r>
        <w:rPr>
          <w:rFonts w:eastAsia="仿宋_GB2312"/>
          <w:sz w:val="32"/>
        </w:rPr>
        <w:t>7.</w:t>
      </w:r>
      <w:r>
        <w:rPr>
          <w:rFonts w:hint="eastAsia" w:eastAsia="仿宋_GB2312" w:cs="仿宋_GB2312"/>
          <w:sz w:val="32"/>
        </w:rPr>
        <w:t>结余分配：指事业单位按照会计制度规定缴纳的所得税、提取的专用结余以及转入非财政拨款结余的金额等。</w:t>
      </w:r>
    </w:p>
    <w:p>
      <w:pPr>
        <w:ind w:firstLine="640" w:firstLineChars="200"/>
      </w:pPr>
      <w:r>
        <w:rPr>
          <w:rFonts w:eastAsia="仿宋_GB2312"/>
          <w:sz w:val="32"/>
        </w:rPr>
        <w:t>8</w:t>
      </w:r>
      <w:r>
        <w:rPr>
          <w:rFonts w:hint="eastAsia" w:eastAsia="仿宋_GB2312" w:cs="仿宋_GB2312"/>
          <w:sz w:val="32"/>
          <w:u w:val="none" w:color="46CD7E"/>
          <w:shd w:val="clear" w:fill="auto"/>
          <w:lang w:eastAsia="zh-CN"/>
        </w:rPr>
        <w:t>.</w:t>
      </w:r>
      <w:r>
        <w:rPr>
          <w:rFonts w:hint="eastAsia" w:eastAsia="仿宋_GB2312" w:cs="仿宋_GB2312"/>
          <w:sz w:val="32"/>
        </w:rPr>
        <w:t>年末结转和结余：指单位按有关规定结转到下年或以后年度继续使用的资金。</w:t>
      </w:r>
    </w:p>
    <w:p>
      <w:pPr>
        <w:ind w:firstLine="640" w:firstLineChars="200"/>
      </w:pPr>
      <w:r>
        <w:rPr>
          <w:rFonts w:eastAsia="仿宋_GB2312"/>
          <w:sz w:val="32"/>
          <w:u w:val="none" w:color="FFB03A"/>
          <w:shd w:val="clear" w:fill="auto"/>
        </w:rPr>
        <w:t>9.</w:t>
      </w:r>
      <w:r>
        <w:rPr>
          <w:rFonts w:hint="eastAsia" w:eastAsia="仿宋_GB2312" w:cs="仿宋_GB2312"/>
          <w:sz w:val="32"/>
        </w:rPr>
        <w:t>一般公共服务（类）人力资源事务（款）引进人才费用（项）：指反映用于引进外国专家补助、引智成果推广等方面的支出。</w:t>
      </w:r>
    </w:p>
    <w:p>
      <w:pPr>
        <w:ind w:firstLine="640" w:firstLineChars="200"/>
      </w:pPr>
      <w:r>
        <w:rPr>
          <w:rFonts w:eastAsia="仿宋_GB2312"/>
          <w:sz w:val="32"/>
        </w:rPr>
        <w:t>10.</w:t>
      </w:r>
      <w:r>
        <w:rPr>
          <w:rFonts w:hint="eastAsia" w:eastAsia="仿宋_GB2312" w:cs="仿宋_GB2312"/>
          <w:sz w:val="32"/>
        </w:rPr>
        <w:t>教育（类）职业教育（款）中专教育（项）</w:t>
      </w:r>
      <w:r>
        <w:rPr>
          <w:rFonts w:eastAsia="仿宋_GB2312"/>
          <w:sz w:val="32"/>
        </w:rPr>
        <w:t xml:space="preserve">: </w:t>
      </w:r>
      <w:r>
        <w:rPr>
          <w:rFonts w:hint="eastAsia" w:eastAsia="仿宋_GB2312" w:cs="仿宋_GB2312"/>
          <w:sz w:val="32"/>
        </w:rPr>
        <w:t>指各部门举办的各类中等专业学校的支出。</w:t>
      </w:r>
    </w:p>
    <w:p>
      <w:pPr>
        <w:ind w:firstLine="640" w:firstLineChars="200"/>
      </w:pPr>
      <w:r>
        <w:rPr>
          <w:rFonts w:eastAsia="仿宋_GB2312"/>
          <w:sz w:val="32"/>
        </w:rPr>
        <w:t>11.</w:t>
      </w:r>
      <w:r>
        <w:rPr>
          <w:rFonts w:hint="eastAsia" w:eastAsia="仿宋_GB2312" w:cs="仿宋_GB2312"/>
          <w:sz w:val="32"/>
        </w:rPr>
        <w:t>社会保障和就业（类）行政事业单位离退休（款）机关事业单位基本养老保险缴费支出（项）</w:t>
      </w:r>
      <w:r>
        <w:rPr>
          <w:rFonts w:eastAsia="仿宋_GB2312"/>
          <w:sz w:val="32"/>
        </w:rPr>
        <w:t xml:space="preserve">: </w:t>
      </w:r>
      <w:r>
        <w:rPr>
          <w:rFonts w:hint="eastAsia" w:eastAsia="仿宋_GB2312" w:cs="仿宋_GB2312"/>
          <w:sz w:val="32"/>
        </w:rPr>
        <w:t>指机关事业单位实施养老保险制度由单位缴纳的基本养老保险支出。</w:t>
      </w:r>
    </w:p>
    <w:p>
      <w:pPr>
        <w:ind w:firstLine="640" w:firstLineChars="200"/>
      </w:pPr>
      <w:r>
        <w:rPr>
          <w:rFonts w:eastAsia="仿宋_GB2312"/>
          <w:sz w:val="32"/>
        </w:rPr>
        <w:t xml:space="preserve">12. </w:t>
      </w:r>
      <w:r>
        <w:rPr>
          <w:rFonts w:hint="eastAsia" w:eastAsia="仿宋_GB2312" w:cs="仿宋_GB2312"/>
          <w:sz w:val="32"/>
        </w:rPr>
        <w:t>卫生健康支出（类）卫生健康管理事务（款）行政运行（项）</w:t>
      </w:r>
      <w:r>
        <w:rPr>
          <w:rFonts w:eastAsia="仿宋_GB2312"/>
          <w:sz w:val="32"/>
        </w:rPr>
        <w:t>:</w:t>
      </w:r>
      <w:r>
        <w:rPr>
          <w:rFonts w:hint="eastAsia" w:eastAsia="仿宋_GB2312" w:cs="仿宋_GB2312"/>
          <w:sz w:val="32"/>
        </w:rPr>
        <w:t>指行政单位（包括实行公务员管理的事业单位）的基本支出。</w:t>
      </w:r>
    </w:p>
    <w:p>
      <w:pPr>
        <w:ind w:firstLine="640" w:firstLineChars="200"/>
      </w:pPr>
      <w:r>
        <w:rPr>
          <w:rFonts w:eastAsia="仿宋_GB2312"/>
          <w:sz w:val="32"/>
        </w:rPr>
        <w:t>13.</w:t>
      </w:r>
      <w:r>
        <w:rPr>
          <w:rFonts w:hint="eastAsia" w:eastAsia="仿宋_GB2312" w:cs="仿宋_GB2312"/>
          <w:sz w:val="32"/>
        </w:rPr>
        <w:t>卫生健康支出（类）卫生健康管理事务（款）一般行政管理事务（项）</w:t>
      </w:r>
      <w:r>
        <w:rPr>
          <w:rFonts w:eastAsia="仿宋_GB2312"/>
          <w:sz w:val="32"/>
        </w:rPr>
        <w:t>:</w:t>
      </w:r>
      <w:r>
        <w:rPr>
          <w:rFonts w:hint="eastAsia" w:eastAsia="仿宋_GB2312" w:cs="仿宋_GB2312"/>
          <w:sz w:val="32"/>
        </w:rPr>
        <w:t>指行政单位（包括实行公务员管理的事业单位）未单独设置项级科目的其他支出。</w:t>
      </w:r>
    </w:p>
    <w:p>
      <w:pPr>
        <w:ind w:firstLine="640" w:firstLineChars="200"/>
      </w:pPr>
      <w:r>
        <w:rPr>
          <w:rFonts w:eastAsia="仿宋_GB2312"/>
          <w:sz w:val="32"/>
        </w:rPr>
        <w:t>14.</w:t>
      </w:r>
      <w:r>
        <w:rPr>
          <w:rFonts w:hint="eastAsia" w:eastAsia="仿宋_GB2312" w:cs="仿宋_GB2312"/>
          <w:sz w:val="32"/>
        </w:rPr>
        <w:t>卫生健康支出（类）卫生健康管理事务（款）其他卫生健康管理事务支出（项）</w:t>
      </w:r>
      <w:r>
        <w:rPr>
          <w:rFonts w:eastAsia="仿宋_GB2312"/>
          <w:sz w:val="32"/>
        </w:rPr>
        <w:t>:</w:t>
      </w:r>
      <w:r>
        <w:rPr>
          <w:rFonts w:hint="eastAsia" w:eastAsia="仿宋_GB2312" w:cs="仿宋_GB2312"/>
          <w:sz w:val="32"/>
        </w:rPr>
        <w:t>指其他用于卫生健康管理事务方面的支出。</w:t>
      </w:r>
    </w:p>
    <w:p>
      <w:pPr>
        <w:ind w:firstLine="640" w:firstLineChars="200"/>
      </w:pPr>
      <w:r>
        <w:rPr>
          <w:rFonts w:eastAsia="仿宋_GB2312"/>
          <w:sz w:val="32"/>
        </w:rPr>
        <w:t>15.</w:t>
      </w:r>
      <w:r>
        <w:rPr>
          <w:rFonts w:hint="eastAsia" w:eastAsia="仿宋_GB2312" w:cs="仿宋_GB2312"/>
          <w:sz w:val="32"/>
        </w:rPr>
        <w:t>卫生健康支出（类）公立医院（款）综合医院（项）</w:t>
      </w:r>
      <w:r>
        <w:rPr>
          <w:rFonts w:eastAsia="仿宋_GB2312"/>
          <w:sz w:val="32"/>
        </w:rPr>
        <w:t>:</w:t>
      </w:r>
      <w:r>
        <w:rPr>
          <w:rFonts w:hint="eastAsia" w:eastAsia="仿宋_GB2312" w:cs="仿宋_GB2312"/>
          <w:sz w:val="32"/>
        </w:rPr>
        <w:t>指卫生健康、中医部门所属的城市综合性医院、独立门诊、教学医院、疗养院和县医院的支出。</w:t>
      </w:r>
    </w:p>
    <w:p>
      <w:pPr>
        <w:spacing w:line="560" w:lineRule="exact"/>
        <w:ind w:firstLine="640" w:firstLineChars="200"/>
      </w:pPr>
      <w:r>
        <w:rPr>
          <w:rFonts w:eastAsia="仿宋_GB2312"/>
          <w:sz w:val="32"/>
        </w:rPr>
        <w:t>16.</w:t>
      </w:r>
      <w:r>
        <w:rPr>
          <w:rFonts w:hint="eastAsia" w:eastAsia="仿宋_GB2312" w:cs="仿宋_GB2312"/>
          <w:sz w:val="32"/>
        </w:rPr>
        <w:t>卫生健康支出（类）公立医院（款）中医（民族）医院（项）</w:t>
      </w:r>
      <w:r>
        <w:rPr>
          <w:rFonts w:eastAsia="仿宋_GB2312"/>
          <w:sz w:val="32"/>
        </w:rPr>
        <w:t>:</w:t>
      </w:r>
      <w:r>
        <w:rPr>
          <w:rFonts w:hint="eastAsia" w:eastAsia="仿宋_GB2312" w:cs="仿宋_GB2312"/>
          <w:sz w:val="32"/>
        </w:rPr>
        <w:t>指卫生健康、中医部门所属的中医院、中西医结合医院、民族医院的支出。</w:t>
      </w:r>
    </w:p>
    <w:p>
      <w:pPr>
        <w:spacing w:line="560" w:lineRule="exact"/>
        <w:ind w:firstLine="640" w:firstLineChars="200"/>
      </w:pPr>
      <w:r>
        <w:rPr>
          <w:rFonts w:eastAsia="仿宋_GB2312"/>
          <w:sz w:val="32"/>
        </w:rPr>
        <w:t>17.卫生健康支出（类）公立医院（款）传染病医院（项）:指卫生健康、中医部门所属的专门收治各类传染病人的支出。</w:t>
      </w:r>
    </w:p>
    <w:p>
      <w:pPr>
        <w:ind w:firstLine="640" w:firstLineChars="200"/>
      </w:pPr>
      <w:r>
        <w:rPr>
          <w:rFonts w:eastAsia="仿宋_GB2312"/>
          <w:sz w:val="32"/>
        </w:rPr>
        <w:t>18.</w:t>
      </w:r>
      <w:r>
        <w:rPr>
          <w:rFonts w:hint="eastAsia" w:eastAsia="仿宋_GB2312" w:cs="仿宋_GB2312"/>
          <w:sz w:val="32"/>
        </w:rPr>
        <w:t>卫生健康支出（类）公立医院（款）其他公立医院支出（项）</w:t>
      </w:r>
      <w:r>
        <w:rPr>
          <w:rFonts w:eastAsia="仿宋_GB2312"/>
          <w:sz w:val="32"/>
        </w:rPr>
        <w:t>:</w:t>
      </w:r>
      <w:r>
        <w:rPr>
          <w:rFonts w:hint="eastAsia" w:eastAsia="仿宋_GB2312" w:cs="仿宋_GB2312"/>
          <w:sz w:val="32"/>
        </w:rPr>
        <w:t>指其他用于公立医院方面的支出。</w:t>
      </w:r>
    </w:p>
    <w:p>
      <w:pPr>
        <w:ind w:firstLine="640" w:firstLineChars="200"/>
      </w:pPr>
      <w:r>
        <w:rPr>
          <w:rFonts w:eastAsia="仿宋_GB2312"/>
          <w:sz w:val="32"/>
        </w:rPr>
        <w:t>19.</w:t>
      </w:r>
      <w:r>
        <w:rPr>
          <w:rFonts w:hint="eastAsia" w:eastAsia="仿宋_GB2312" w:cs="仿宋_GB2312"/>
          <w:sz w:val="32"/>
        </w:rPr>
        <w:t>卫生健康支出（类）基层医疗卫生机构（款）乡镇卫生院（项）：反映用于乡镇卫生院的支出。</w:t>
      </w:r>
    </w:p>
    <w:p>
      <w:pPr>
        <w:ind w:firstLine="640" w:firstLineChars="200"/>
      </w:pPr>
      <w:r>
        <w:rPr>
          <w:rFonts w:eastAsia="仿宋_GB2312"/>
          <w:sz w:val="32"/>
        </w:rPr>
        <w:t>20.</w:t>
      </w:r>
      <w:r>
        <w:rPr>
          <w:rFonts w:hint="eastAsia" w:eastAsia="仿宋_GB2312" w:cs="仿宋_GB2312"/>
          <w:sz w:val="32"/>
        </w:rPr>
        <w:t>卫生健康支出（类）基层医疗卫生机构（款）其他基层医疗卫生机构（项）：指用于村卫生室方面的支出。</w:t>
      </w:r>
    </w:p>
    <w:p>
      <w:pPr>
        <w:ind w:firstLine="640" w:firstLineChars="200"/>
      </w:pPr>
      <w:r>
        <w:rPr>
          <w:rFonts w:eastAsia="仿宋_GB2312"/>
          <w:sz w:val="32"/>
        </w:rPr>
        <w:t>21.</w:t>
      </w:r>
      <w:r>
        <w:rPr>
          <w:rFonts w:hint="eastAsia" w:eastAsia="仿宋_GB2312" w:cs="仿宋_GB2312"/>
          <w:sz w:val="32"/>
        </w:rPr>
        <w:t>卫生健康支出（类）公共卫生（款）疾病预防控制机构（项）</w:t>
      </w:r>
      <w:r>
        <w:rPr>
          <w:rFonts w:eastAsia="仿宋_GB2312"/>
          <w:sz w:val="32"/>
        </w:rPr>
        <w:t>:</w:t>
      </w:r>
      <w:r>
        <w:rPr>
          <w:rFonts w:hint="eastAsia" w:eastAsia="仿宋_GB2312" w:cs="仿宋_GB2312"/>
          <w:sz w:val="32"/>
        </w:rPr>
        <w:t>指卫生健康部门所属疾病预防控制机构的支出。</w:t>
      </w:r>
    </w:p>
    <w:p>
      <w:pPr>
        <w:ind w:firstLine="640" w:firstLineChars="200"/>
      </w:pPr>
      <w:r>
        <w:rPr>
          <w:rFonts w:eastAsia="仿宋_GB2312"/>
          <w:sz w:val="32"/>
        </w:rPr>
        <w:t>22.</w:t>
      </w:r>
      <w:r>
        <w:rPr>
          <w:rFonts w:hint="eastAsia" w:eastAsia="仿宋_GB2312" w:cs="仿宋_GB2312"/>
          <w:sz w:val="32"/>
        </w:rPr>
        <w:t>卫生健康支出（类）公共卫生（款）卫生监督机构（项）</w:t>
      </w:r>
      <w:r>
        <w:rPr>
          <w:rFonts w:eastAsia="仿宋_GB2312"/>
          <w:sz w:val="32"/>
        </w:rPr>
        <w:t>:</w:t>
      </w:r>
      <w:r>
        <w:rPr>
          <w:rFonts w:hint="eastAsia" w:eastAsia="仿宋_GB2312" w:cs="仿宋_GB2312"/>
          <w:sz w:val="32"/>
        </w:rPr>
        <w:t>指卫生健康部门所属卫生监督机构的支出。</w:t>
      </w:r>
    </w:p>
    <w:p>
      <w:pPr>
        <w:ind w:firstLine="640" w:firstLineChars="200"/>
      </w:pPr>
      <w:r>
        <w:rPr>
          <w:rFonts w:eastAsia="仿宋_GB2312"/>
          <w:sz w:val="32"/>
        </w:rPr>
        <w:t>23.</w:t>
      </w:r>
      <w:r>
        <w:rPr>
          <w:rFonts w:hint="eastAsia" w:eastAsia="仿宋_GB2312" w:cs="仿宋_GB2312"/>
          <w:sz w:val="32"/>
        </w:rPr>
        <w:t>卫生健康支出（类）公共卫生（款）妇幼保健机构（项）</w:t>
      </w:r>
      <w:r>
        <w:rPr>
          <w:rFonts w:eastAsia="仿宋_GB2312"/>
          <w:sz w:val="32"/>
        </w:rPr>
        <w:t>:</w:t>
      </w:r>
      <w:r>
        <w:rPr>
          <w:rFonts w:hint="eastAsia" w:eastAsia="仿宋_GB2312" w:cs="仿宋_GB2312"/>
          <w:sz w:val="32"/>
        </w:rPr>
        <w:t>指卫生健康部门所属妇幼保健机构的支出。</w:t>
      </w:r>
    </w:p>
    <w:p>
      <w:pPr>
        <w:ind w:firstLine="640" w:firstLineChars="200"/>
      </w:pPr>
      <w:r>
        <w:rPr>
          <w:rFonts w:eastAsia="仿宋_GB2312"/>
          <w:sz w:val="32"/>
        </w:rPr>
        <w:t>24.</w:t>
      </w:r>
      <w:r>
        <w:rPr>
          <w:rFonts w:hint="eastAsia" w:eastAsia="仿宋_GB2312" w:cs="仿宋_GB2312"/>
          <w:sz w:val="32"/>
        </w:rPr>
        <w:t>卫生健康支出（类）公共卫生（款）基本公共卫生服务（项）</w:t>
      </w:r>
      <w:r>
        <w:rPr>
          <w:rFonts w:eastAsia="仿宋_GB2312"/>
          <w:sz w:val="32"/>
        </w:rPr>
        <w:t>:</w:t>
      </w:r>
      <w:r>
        <w:rPr>
          <w:rFonts w:hint="eastAsia" w:eastAsia="仿宋_GB2312" w:cs="仿宋_GB2312"/>
          <w:sz w:val="32"/>
        </w:rPr>
        <w:t>指用于基本公共卫生服务支出。</w:t>
      </w:r>
    </w:p>
    <w:p>
      <w:pPr>
        <w:ind w:firstLine="640" w:firstLineChars="200"/>
      </w:pPr>
      <w:r>
        <w:rPr>
          <w:rFonts w:eastAsia="仿宋_GB2312"/>
          <w:sz w:val="32"/>
        </w:rPr>
        <w:t>25.</w:t>
      </w:r>
      <w:r>
        <w:rPr>
          <w:rFonts w:hint="eastAsia" w:eastAsia="仿宋_GB2312" w:cs="仿宋_GB2312"/>
          <w:sz w:val="32"/>
        </w:rPr>
        <w:t>卫生健康支出（类）公共卫生（款）重大公共卫生专项（项）</w:t>
      </w:r>
      <w:r>
        <w:rPr>
          <w:rFonts w:eastAsia="仿宋_GB2312"/>
          <w:sz w:val="32"/>
        </w:rPr>
        <w:t>:</w:t>
      </w:r>
      <w:r>
        <w:rPr>
          <w:rFonts w:hint="eastAsia" w:eastAsia="仿宋_GB2312" w:cs="仿宋_GB2312"/>
          <w:sz w:val="32"/>
        </w:rPr>
        <w:t>指重大疾病、重大传染病预防控制等重大公共卫生服务支出。</w:t>
      </w:r>
    </w:p>
    <w:p>
      <w:pPr>
        <w:ind w:firstLine="640" w:firstLineChars="200"/>
      </w:pPr>
      <w:r>
        <w:rPr>
          <w:rFonts w:eastAsia="仿宋_GB2312"/>
          <w:sz w:val="32"/>
        </w:rPr>
        <w:t>26.</w:t>
      </w:r>
      <w:r>
        <w:rPr>
          <w:rFonts w:hint="eastAsia" w:eastAsia="仿宋_GB2312" w:cs="仿宋_GB2312"/>
          <w:sz w:val="32"/>
        </w:rPr>
        <w:t>卫生健康支出（类）公共卫生（款）其他公共卫生支出（项）</w:t>
      </w:r>
      <w:r>
        <w:rPr>
          <w:rFonts w:eastAsia="仿宋_GB2312"/>
          <w:sz w:val="32"/>
        </w:rPr>
        <w:t>:</w:t>
      </w:r>
      <w:r>
        <w:rPr>
          <w:rFonts w:hint="eastAsia" w:eastAsia="仿宋_GB2312" w:cs="仿宋_GB2312"/>
          <w:sz w:val="32"/>
        </w:rPr>
        <w:t>指其他用于公共卫生方面的支出。</w:t>
      </w:r>
    </w:p>
    <w:p>
      <w:pPr>
        <w:ind w:firstLine="640" w:firstLineChars="200"/>
      </w:pPr>
      <w:r>
        <w:rPr>
          <w:rFonts w:eastAsia="仿宋_GB2312"/>
          <w:sz w:val="32"/>
        </w:rPr>
        <w:t>27.</w:t>
      </w:r>
      <w:r>
        <w:rPr>
          <w:rFonts w:hint="eastAsia" w:eastAsia="仿宋_GB2312" w:cs="仿宋_GB2312"/>
          <w:sz w:val="32"/>
        </w:rPr>
        <w:t>卫生健康支出（类）中医药（款）中医（民族医）药专项（项）</w:t>
      </w:r>
      <w:r>
        <w:rPr>
          <w:rFonts w:eastAsia="仿宋_GB2312"/>
          <w:sz w:val="32"/>
        </w:rPr>
        <w:t>:</w:t>
      </w:r>
      <w:r>
        <w:rPr>
          <w:rFonts w:hint="eastAsia" w:eastAsia="仿宋_GB2312" w:cs="仿宋_GB2312"/>
          <w:sz w:val="32"/>
        </w:rPr>
        <w:t>指中医（民族医）药方面的专项支出。</w:t>
      </w:r>
    </w:p>
    <w:p>
      <w:pPr>
        <w:ind w:firstLine="640" w:firstLineChars="200"/>
      </w:pPr>
      <w:r>
        <w:rPr>
          <w:rFonts w:eastAsia="仿宋_GB2312"/>
          <w:sz w:val="32"/>
        </w:rPr>
        <w:t>28.</w:t>
      </w:r>
      <w:r>
        <w:rPr>
          <w:rFonts w:hint="eastAsia" w:eastAsia="仿宋_GB2312" w:cs="仿宋_GB2312"/>
          <w:sz w:val="32"/>
        </w:rPr>
        <w:t>卫生健康支出（类）计划生育服务（款）计划生育服务（项）</w:t>
      </w:r>
      <w:r>
        <w:rPr>
          <w:rFonts w:eastAsia="仿宋_GB2312"/>
          <w:sz w:val="32"/>
        </w:rPr>
        <w:t>:</w:t>
      </w:r>
      <w:r>
        <w:rPr>
          <w:rFonts w:hint="eastAsia" w:eastAsia="仿宋_GB2312" w:cs="仿宋_GB2312"/>
          <w:sz w:val="32"/>
        </w:rPr>
        <w:t>指计划生育服务支出。</w:t>
      </w:r>
    </w:p>
    <w:p>
      <w:pPr>
        <w:ind w:firstLine="640" w:firstLineChars="200"/>
      </w:pPr>
      <w:r>
        <w:rPr>
          <w:rFonts w:eastAsia="仿宋_GB2312"/>
          <w:sz w:val="32"/>
        </w:rPr>
        <w:t>29.</w:t>
      </w:r>
      <w:r>
        <w:rPr>
          <w:rFonts w:hint="eastAsia" w:eastAsia="仿宋_GB2312" w:cs="仿宋_GB2312"/>
          <w:sz w:val="32"/>
        </w:rPr>
        <w:t>卫生健康支出（类）计划生育事务（款）其他计划生育事务支出（项）</w:t>
      </w:r>
      <w:r>
        <w:rPr>
          <w:rFonts w:eastAsia="仿宋_GB2312"/>
          <w:sz w:val="32"/>
        </w:rPr>
        <w:t>:</w:t>
      </w:r>
      <w:r>
        <w:rPr>
          <w:rFonts w:hint="eastAsia" w:eastAsia="仿宋_GB2312" w:cs="仿宋_GB2312"/>
          <w:sz w:val="32"/>
        </w:rPr>
        <w:t>指其他用于计划生育管理事务方面的支出。</w:t>
      </w:r>
    </w:p>
    <w:p>
      <w:pPr>
        <w:ind w:firstLine="640" w:firstLineChars="200"/>
      </w:pPr>
      <w:r>
        <w:rPr>
          <w:rFonts w:eastAsia="仿宋_GB2312"/>
          <w:sz w:val="32"/>
        </w:rPr>
        <w:t>30.</w:t>
      </w:r>
      <w:r>
        <w:rPr>
          <w:rFonts w:hint="eastAsia" w:eastAsia="仿宋_GB2312" w:cs="仿宋_GB2312"/>
          <w:sz w:val="32"/>
        </w:rPr>
        <w:t>卫生健康支出（类）食品和药品监督管理事务（款）行政运行（项）</w:t>
      </w:r>
      <w:r>
        <w:rPr>
          <w:rFonts w:eastAsia="仿宋_GB2312"/>
          <w:sz w:val="32"/>
        </w:rPr>
        <w:t>:</w:t>
      </w:r>
      <w:r>
        <w:rPr>
          <w:rFonts w:hint="eastAsia" w:eastAsia="仿宋_GB2312" w:cs="仿宋_GB2312"/>
          <w:sz w:val="32"/>
        </w:rPr>
        <w:t>指行政单位（包括实行公务员管理的事业单位）的基本支出。</w:t>
      </w:r>
    </w:p>
    <w:p>
      <w:pPr>
        <w:ind w:firstLine="640" w:firstLineChars="200"/>
      </w:pPr>
      <w:r>
        <w:rPr>
          <w:rFonts w:eastAsia="仿宋_GB2312"/>
          <w:sz w:val="32"/>
        </w:rPr>
        <w:t>31.</w:t>
      </w:r>
      <w:r>
        <w:rPr>
          <w:rFonts w:hint="eastAsia" w:eastAsia="仿宋_GB2312" w:cs="仿宋_GB2312"/>
          <w:sz w:val="32"/>
        </w:rPr>
        <w:t>卫生健康支出（类）行政事业单位医疗（款）行政单位医疗（项）</w:t>
      </w:r>
      <w:r>
        <w:rPr>
          <w:rFonts w:eastAsia="仿宋_GB2312"/>
          <w:sz w:val="32"/>
        </w:rPr>
        <w:t>:</w:t>
      </w:r>
      <w:r>
        <w:rPr>
          <w:rFonts w:hint="eastAsia" w:eastAsia="仿宋_GB2312" w:cs="仿宋_GB2312"/>
          <w:sz w:val="32"/>
        </w:rPr>
        <w:t>指财政部门集中安排的行政单位医疗保险缴费经费，未参加医疗保险的行政单位的公费医疗经费，按国家规定享受离休人员、红军老战士待遇人员的医疗经费。</w:t>
      </w:r>
    </w:p>
    <w:p>
      <w:pPr>
        <w:ind w:firstLine="640" w:firstLineChars="200"/>
      </w:pPr>
      <w:r>
        <w:rPr>
          <w:rFonts w:eastAsia="仿宋_GB2312"/>
          <w:sz w:val="32"/>
        </w:rPr>
        <w:t>32.</w:t>
      </w:r>
      <w:r>
        <w:rPr>
          <w:rFonts w:hint="eastAsia" w:eastAsia="仿宋_GB2312" w:cs="仿宋_GB2312"/>
          <w:sz w:val="32"/>
        </w:rPr>
        <w:t>卫生健康支出（类）行政事业单位医疗（款）事业单位医疗（项）</w:t>
      </w:r>
      <w:r>
        <w:rPr>
          <w:rFonts w:eastAsia="仿宋_GB2312"/>
          <w:sz w:val="32"/>
        </w:rPr>
        <w:t>:</w:t>
      </w:r>
      <w:r>
        <w:rPr>
          <w:rFonts w:hint="eastAsia" w:eastAsia="仿宋_GB2312" w:cs="仿宋_GB2312"/>
          <w:sz w:val="32"/>
        </w:rPr>
        <w:t>指财政部门集中安排的事业单位医疗保险缴费经费，未参加医疗保险的事业单位的公费医疗经费，按国家规定享受离休人员待遇的医疗经费。</w:t>
      </w:r>
    </w:p>
    <w:p>
      <w:pPr>
        <w:ind w:firstLine="640" w:firstLineChars="200"/>
      </w:pPr>
      <w:r>
        <w:rPr>
          <w:rFonts w:eastAsia="仿宋_GB2312"/>
          <w:sz w:val="32"/>
        </w:rPr>
        <w:t>33.</w:t>
      </w:r>
      <w:r>
        <w:rPr>
          <w:rFonts w:hint="eastAsia" w:eastAsia="仿宋_GB2312" w:cs="仿宋_GB2312"/>
          <w:sz w:val="32"/>
        </w:rPr>
        <w:t>卫生健康支出（类）行政事业单位医疗（款）其他行政事业单位医疗支出（项）</w:t>
      </w:r>
      <w:r>
        <w:rPr>
          <w:rFonts w:eastAsia="仿宋_GB2312"/>
          <w:sz w:val="32"/>
        </w:rPr>
        <w:t>:</w:t>
      </w:r>
      <w:r>
        <w:rPr>
          <w:rFonts w:hint="eastAsia" w:eastAsia="仿宋_GB2312" w:cs="仿宋_GB2312"/>
          <w:sz w:val="32"/>
        </w:rPr>
        <w:t>指其他用于行政事业单位医疗方面的支出。</w:t>
      </w:r>
    </w:p>
    <w:p>
      <w:pPr>
        <w:ind w:firstLine="640" w:firstLineChars="200"/>
      </w:pPr>
      <w:r>
        <w:rPr>
          <w:rFonts w:eastAsia="仿宋_GB2312"/>
          <w:sz w:val="32"/>
        </w:rPr>
        <w:t>34.</w:t>
      </w:r>
      <w:r>
        <w:rPr>
          <w:rFonts w:hint="eastAsia" w:eastAsia="仿宋_GB2312" w:cs="仿宋_GB2312"/>
          <w:sz w:val="32"/>
        </w:rPr>
        <w:t>卫生健康支出（类）其他医疗卫生与计划生育支出（款）其他医疗卫生与计划生育支出（项）</w:t>
      </w:r>
      <w:r>
        <w:rPr>
          <w:rFonts w:eastAsia="仿宋_GB2312"/>
          <w:sz w:val="32"/>
        </w:rPr>
        <w:t>:</w:t>
      </w:r>
      <w:r>
        <w:rPr>
          <w:rFonts w:hint="eastAsia" w:eastAsia="仿宋_GB2312" w:cs="仿宋_GB2312"/>
          <w:sz w:val="32"/>
        </w:rPr>
        <w:t>指其他用于医疗卫生与计划生育方面的支出。</w:t>
      </w:r>
    </w:p>
    <w:p>
      <w:pPr>
        <w:ind w:firstLine="640" w:firstLineChars="200"/>
      </w:pPr>
      <w:r>
        <w:rPr>
          <w:rFonts w:eastAsia="仿宋_GB2312"/>
          <w:sz w:val="32"/>
        </w:rPr>
        <w:t>35.</w:t>
      </w:r>
      <w:r>
        <w:rPr>
          <w:rFonts w:hint="eastAsia" w:eastAsia="仿宋_GB2312" w:cs="仿宋_GB2312"/>
          <w:sz w:val="32"/>
        </w:rPr>
        <w:t>农林水支出（类）扶贫（款）其他扶贫支出（项）</w:t>
      </w:r>
      <w:r>
        <w:rPr>
          <w:rFonts w:eastAsia="仿宋_GB2312"/>
          <w:sz w:val="32"/>
        </w:rPr>
        <w:t>:</w:t>
      </w:r>
      <w:r>
        <w:rPr>
          <w:rFonts w:hint="eastAsia" w:eastAsia="仿宋_GB2312" w:cs="仿宋_GB2312"/>
          <w:sz w:val="32"/>
        </w:rPr>
        <w:t>指其他用于扶贫方面的支出。</w:t>
      </w:r>
    </w:p>
    <w:p>
      <w:pPr>
        <w:ind w:firstLine="640" w:firstLineChars="200"/>
      </w:pPr>
      <w:r>
        <w:rPr>
          <w:rFonts w:eastAsia="仿宋_GB2312"/>
          <w:sz w:val="32"/>
        </w:rPr>
        <w:t>36.</w:t>
      </w:r>
      <w:r>
        <w:rPr>
          <w:rFonts w:hint="eastAsia" w:eastAsia="仿宋_GB2312" w:cs="仿宋_GB2312"/>
          <w:sz w:val="32"/>
        </w:rPr>
        <w:t>住房保障支出（类）住房改革支出（款）住房公积金（项）</w:t>
      </w:r>
      <w:r>
        <w:rPr>
          <w:rFonts w:eastAsia="仿宋_GB2312"/>
          <w:sz w:val="32"/>
        </w:rPr>
        <w:t>:</w:t>
      </w:r>
      <w:r>
        <w:rPr>
          <w:rFonts w:hint="eastAsia" w:eastAsia="仿宋_GB2312" w:cs="仿宋_GB2312"/>
          <w:sz w:val="32"/>
        </w:rPr>
        <w:t>指行政事业单位按人力资源和社会保障部、财政部规定的基本工资和津贴补贴以及规定比例为职工缴纳的住房公积金。</w:t>
      </w:r>
    </w:p>
    <w:p>
      <w:pPr>
        <w:ind w:firstLine="640" w:firstLineChars="200"/>
      </w:pPr>
      <w:r>
        <w:rPr>
          <w:rFonts w:eastAsia="仿宋_GB2312"/>
          <w:sz w:val="32"/>
        </w:rPr>
        <w:t>37.</w:t>
      </w:r>
      <w:r>
        <w:rPr>
          <w:rFonts w:hint="eastAsia" w:eastAsia="仿宋_GB2312" w:cs="仿宋_GB2312"/>
          <w:sz w:val="32"/>
        </w:rPr>
        <w:t>基本支出：指为保障机构正常运转、完成日常工作任务而发生的人员支出和公用支出。</w:t>
      </w:r>
    </w:p>
    <w:p>
      <w:pPr>
        <w:ind w:firstLine="640" w:firstLineChars="200"/>
      </w:pPr>
      <w:r>
        <w:rPr>
          <w:rFonts w:eastAsia="仿宋_GB2312"/>
          <w:sz w:val="32"/>
        </w:rPr>
        <w:t>38.</w:t>
      </w:r>
      <w:r>
        <w:rPr>
          <w:rFonts w:hint="eastAsia" w:eastAsia="仿宋_GB2312" w:cs="仿宋_GB2312"/>
          <w:sz w:val="32"/>
        </w:rPr>
        <w:t>项目支出：指在基本支出之外为完成特定行政任务和事业发展目标所发生的支出。</w:t>
      </w:r>
    </w:p>
    <w:p>
      <w:pPr>
        <w:ind w:firstLine="640" w:firstLineChars="200"/>
      </w:pPr>
      <w:r>
        <w:rPr>
          <w:rFonts w:eastAsia="仿宋_GB2312"/>
          <w:sz w:val="32"/>
        </w:rPr>
        <w:t>39.</w:t>
      </w:r>
      <w:r>
        <w:rPr>
          <w:rFonts w:hint="eastAsia" w:eastAsia="仿宋_GB2312" w:cs="仿宋_GB2312"/>
          <w:sz w:val="32"/>
        </w:rPr>
        <w:t>经营支出：指事业单位在专业业务活动及其辅助活动之外开展非独立核算经营活动发生的支出。</w:t>
      </w:r>
    </w:p>
    <w:p>
      <w:pPr>
        <w:ind w:firstLine="640" w:firstLineChars="200"/>
      </w:pPr>
      <w:r>
        <w:rPr>
          <w:rFonts w:eastAsia="仿宋_GB2312"/>
          <w:sz w:val="32"/>
        </w:rPr>
        <w:t>40.</w:t>
      </w:r>
      <w:r>
        <w:rPr>
          <w:rFonts w:hint="eastAsia" w:eastAsia="仿宋_GB2312" w:cs="仿宋_GB2312"/>
          <w:sz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 w:hAnsi="仿宋" w:eastAsia="仿宋"/>
          <w:b/>
          <w:sz w:val="32"/>
          <w:szCs w:val="32"/>
        </w:rPr>
      </w:pPr>
      <w:r>
        <w:rPr>
          <w:rFonts w:eastAsia="仿宋_GB2312"/>
          <w:sz w:val="32"/>
        </w:rPr>
        <w:t>41.</w:t>
      </w:r>
      <w:r>
        <w:rPr>
          <w:rFonts w:hint="eastAsia" w:eastAsia="仿宋_GB2312"/>
          <w:sz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0"/>
          <w:rFonts w:ascii="黑体" w:hAnsi="黑体" w:eastAsia="黑体"/>
          <w:b w:val="0"/>
        </w:rPr>
      </w:pPr>
      <w:bookmarkStart w:id="91" w:name="_Toc15377226"/>
      <w:r>
        <w:br w:type="page"/>
      </w:r>
      <w:bookmarkStart w:id="92" w:name="_Toc17515"/>
      <w:bookmarkStart w:id="93" w:name="_Toc15396614"/>
      <w:r>
        <w:rPr>
          <w:rFonts w:hint="eastAsia" w:ascii="黑体" w:hAnsi="黑体" w:eastAsia="黑体"/>
          <w:sz w:val="44"/>
          <w:szCs w:val="44"/>
        </w:rPr>
        <w:t>第</w:t>
      </w:r>
      <w:r>
        <w:rPr>
          <w:rStyle w:val="30"/>
          <w:rFonts w:hint="eastAsia" w:ascii="黑体" w:hAnsi="黑体" w:eastAsia="黑体"/>
          <w:b w:val="0"/>
        </w:rPr>
        <w:t>四部分附件</w:t>
      </w:r>
      <w:bookmarkEnd w:id="92"/>
      <w:bookmarkEnd w:id="93"/>
    </w:p>
    <w:p>
      <w:pPr>
        <w:pStyle w:val="3"/>
        <w:spacing w:before="93" w:line="560" w:lineRule="exact"/>
        <w:outlineLvl w:val="1"/>
      </w:pPr>
      <w:bookmarkStart w:id="94" w:name="_Toc9036"/>
      <w:bookmarkStart w:id="95" w:name="_Toc15396618"/>
      <w:r>
        <w:rPr>
          <w:rStyle w:val="30"/>
          <w:rFonts w:hint="eastAsia" w:ascii="宋体" w:hAnsi="宋体" w:eastAsia="宋体" w:cs="宋体"/>
          <w:b w:val="0"/>
          <w:sz w:val="28"/>
          <w:szCs w:val="28"/>
        </w:rPr>
        <w:t>附件1</w:t>
      </w:r>
      <w:bookmarkEnd w:id="94"/>
    </w:p>
    <w:tbl>
      <w:tblPr>
        <w:tblStyle w:val="7"/>
        <w:tblpPr w:leftFromText="180" w:rightFromText="180" w:vertAnchor="text" w:horzAnchor="page" w:tblpX="1401" w:tblpY="1577"/>
        <w:tblOverlap w:val="never"/>
        <w:tblW w:w="9577" w:type="dxa"/>
        <w:tblInd w:w="0" w:type="dxa"/>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bookmarkStart w:id="96" w:name="_Toc32335"/>
            <w:r>
              <w:rPr>
                <w:rFonts w:hint="eastAsia" w:ascii="仿宋" w:hAnsi="仿宋" w:eastAsia="仿宋" w:cs="仿宋"/>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sz w:val="24"/>
              </w:rPr>
            </w:pPr>
            <w:r>
              <w:rPr>
                <w:rFonts w:hint="eastAsia" w:ascii="仿宋" w:hAnsi="仿宋" w:eastAsia="仿宋" w:cs="仿宋"/>
                <w:sz w:val="24"/>
              </w:rPr>
              <w:t>通江县卫生健康局558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color w:val="000000"/>
                <w:kern w:val="0"/>
                <w:sz w:val="24"/>
              </w:rPr>
              <w:t>通江县烟溪镇卫生院</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项目预算</w:t>
            </w:r>
            <w:r>
              <w:rPr>
                <w:rFonts w:hint="eastAsia" w:ascii="仿宋" w:hAnsi="仿宋" w:eastAsia="仿宋" w:cs="仿宋"/>
                <w:kern w:val="0"/>
                <w:sz w:val="24"/>
              </w:rPr>
              <w:br w:type="textWrapping"/>
            </w:r>
            <w:r>
              <w:rPr>
                <w:rFonts w:hint="eastAsia" w:ascii="仿宋" w:hAnsi="仿宋" w:eastAsia="仿宋" w:cs="仿宋"/>
                <w:kern w:val="0"/>
                <w:sz w:val="24"/>
              </w:rPr>
              <w:t>执行情况</w:t>
            </w:r>
            <w:r>
              <w:rPr>
                <w:rFonts w:hint="eastAsia" w:ascii="仿宋" w:hAnsi="仿宋" w:eastAsia="仿宋" w:cs="仿宋"/>
                <w:kern w:val="0"/>
                <w:sz w:val="24"/>
              </w:rPr>
              <w:br w:type="textWrapping"/>
            </w:r>
            <w:r>
              <w:rPr>
                <w:rFonts w:hint="eastAsia" w:ascii="仿宋" w:hAnsi="仿宋" w:eastAsia="仿宋" w:cs="仿宋"/>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sz w:val="24"/>
              </w:rPr>
              <w:t>132.92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132.92</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4"/>
              </w:rPr>
            </w:pPr>
            <w:r>
              <w:rPr>
                <w:rFonts w:hint="eastAsia" w:ascii="仿宋" w:hAnsi="仿宋" w:eastAsia="仿宋" w:cs="仿宋"/>
                <w:kern w:val="0"/>
                <w:sz w:val="24"/>
              </w:rPr>
              <w:t>其中：</w:t>
            </w:r>
          </w:p>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sz w:val="24"/>
              </w:rPr>
              <w:t>132.92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4"/>
              </w:rPr>
            </w:pPr>
            <w:r>
              <w:rPr>
                <w:rFonts w:hint="eastAsia" w:ascii="仿宋" w:hAnsi="仿宋" w:eastAsia="仿宋" w:cs="仿宋"/>
                <w:kern w:val="0"/>
                <w:sz w:val="24"/>
              </w:rPr>
              <w:t>其中：</w:t>
            </w:r>
          </w:p>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132.92</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年度总体目标</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目标1：改善老百姓看病难看病贵的问题</w:t>
            </w:r>
            <w:r>
              <w:t>。</w:t>
            </w:r>
          </w:p>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目标2：提升医疗服务能力</w:t>
            </w:r>
            <w:r>
              <w:t>。</w:t>
            </w:r>
          </w:p>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目标3：实现财政资金全方位、全过程、全覆盖绩效管理，开展绩效监控和绩效评价。</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sz w:val="24"/>
              </w:rPr>
            </w:pPr>
            <w:r>
              <w:rPr>
                <w:rFonts w:hint="eastAsia" w:ascii="仿宋" w:hAnsi="仿宋" w:eastAsia="仿宋" w:cs="仿宋"/>
                <w:color w:val="000000"/>
                <w:kern w:val="0"/>
                <w:sz w:val="24"/>
              </w:rPr>
              <w:t>1</w:t>
            </w:r>
            <w:r>
              <w:rPr>
                <w:rFonts w:hint="eastAsia" w:ascii="仿宋" w:hAnsi="仿宋" w:eastAsia="仿宋" w:cs="仿宋"/>
                <w:color w:val="000000"/>
                <w:kern w:val="0"/>
                <w:sz w:val="24"/>
                <w:u w:val="none" w:color="46CD7E"/>
                <w:shd w:val="clear" w:fill="auto"/>
                <w:lang w:eastAsia="zh-CN"/>
              </w:rPr>
              <w:t>.</w:t>
            </w:r>
            <w:r>
              <w:rPr>
                <w:rFonts w:hint="eastAsia" w:ascii="仿宋" w:hAnsi="仿宋" w:eastAsia="仿宋" w:cs="仿宋"/>
                <w:color w:val="000000"/>
                <w:kern w:val="0"/>
                <w:sz w:val="24"/>
              </w:rPr>
              <w:t>实行了全部西药、中成药零加成，减轻了老百姓看病贵的负担；2</w:t>
            </w:r>
            <w:r>
              <w:rPr>
                <w:rFonts w:hint="eastAsia" w:ascii="仿宋" w:hAnsi="仿宋" w:eastAsia="仿宋" w:cs="仿宋"/>
                <w:color w:val="000000"/>
                <w:kern w:val="0"/>
                <w:sz w:val="24"/>
                <w:u w:val="none" w:color="46CD7E"/>
                <w:shd w:val="clear" w:fill="auto"/>
                <w:lang w:eastAsia="zh-CN"/>
              </w:rPr>
              <w:t>.</w:t>
            </w:r>
            <w:r>
              <w:rPr>
                <w:rFonts w:hint="eastAsia" w:ascii="仿宋" w:hAnsi="仿宋" w:eastAsia="仿宋" w:cs="仿宋"/>
                <w:color w:val="000000"/>
                <w:kern w:val="0"/>
                <w:sz w:val="24"/>
              </w:rPr>
              <w:t>精准扶贫经费按时按标准发放</w:t>
            </w:r>
            <w:r>
              <w:rPr>
                <w:rFonts w:hint="eastAsia" w:ascii="仿宋" w:hAnsi="仿宋" w:eastAsia="仿宋" w:cs="仿宋"/>
                <w:color w:val="000000"/>
                <w:kern w:val="0"/>
                <w:sz w:val="24"/>
                <w:u w:val="none" w:color="46CD7E"/>
                <w:shd w:val="clear" w:fill="auto"/>
                <w:lang w:eastAsia="zh-CN"/>
              </w:rPr>
              <w:t>给</w:t>
            </w:r>
            <w:r>
              <w:rPr>
                <w:rFonts w:hint="eastAsia" w:ascii="仿宋" w:hAnsi="仿宋" w:eastAsia="仿宋" w:cs="仿宋"/>
                <w:color w:val="000000"/>
                <w:kern w:val="0"/>
                <w:sz w:val="24"/>
              </w:rPr>
              <w:t>驻村工作人员，扶贫工作有序开展；3</w:t>
            </w:r>
            <w:r>
              <w:rPr>
                <w:rFonts w:hint="eastAsia" w:ascii="仿宋" w:hAnsi="仿宋" w:eastAsia="仿宋" w:cs="仿宋"/>
                <w:color w:val="000000"/>
                <w:kern w:val="0"/>
                <w:sz w:val="24"/>
                <w:u w:val="none" w:color="46CD7E"/>
                <w:shd w:val="clear" w:fill="auto"/>
                <w:lang w:eastAsia="zh-CN"/>
              </w:rPr>
              <w:t>.</w:t>
            </w:r>
            <w:r>
              <w:rPr>
                <w:rFonts w:hint="eastAsia" w:ascii="仿宋" w:hAnsi="仿宋" w:eastAsia="仿宋" w:cs="仿宋"/>
                <w:color w:val="000000"/>
                <w:kern w:val="0"/>
                <w:sz w:val="24"/>
              </w:rPr>
              <w:t>顺利完成2021年度基本公共卫生工作，改善了老百姓的就医环境，减轻了老百姓的就医负担，提高了老百姓的满意度。</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一级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二级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三级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完成</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工资福利保障人数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12人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12人</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乡村医生培训次数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≥8次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≥8次</w:t>
            </w:r>
          </w:p>
        </w:tc>
      </w:tr>
      <w:tr>
        <w:tblPrEx>
          <w:tblCellMar>
            <w:top w:w="0" w:type="dxa"/>
            <w:left w:w="108" w:type="dxa"/>
            <w:bottom w:w="0" w:type="dxa"/>
            <w:right w:w="108" w:type="dxa"/>
          </w:tblCellMar>
        </w:tblPrEx>
        <w:trPr>
          <w:trHeight w:val="55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预防接种人次数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≥1230次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≥1230次</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医务人员培训次数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≥10次</w:t>
            </w:r>
          </w:p>
        </w:tc>
      </w:tr>
      <w:tr>
        <w:tblPrEx>
          <w:tblCellMar>
            <w:top w:w="0" w:type="dxa"/>
            <w:left w:w="108" w:type="dxa"/>
            <w:bottom w:w="0" w:type="dxa"/>
            <w:right w:w="108" w:type="dxa"/>
          </w:tblCellMar>
        </w:tblPrEx>
        <w:trPr>
          <w:trHeight w:val="58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center" w:pos="769"/>
                <w:tab w:val="right" w:pos="1419"/>
              </w:tabs>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工资福利到位率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r>
      <w:tr>
        <w:tblPrEx>
          <w:tblCellMar>
            <w:top w:w="0" w:type="dxa"/>
            <w:left w:w="108" w:type="dxa"/>
            <w:bottom w:w="0" w:type="dxa"/>
            <w:right w:w="108" w:type="dxa"/>
          </w:tblCellMar>
        </w:tblPrEx>
        <w:trPr>
          <w:trHeight w:val="66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医务人员及乡村医生培训合格率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项目执行率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工资福利总额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≤143.3万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≤143.3万</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效益</w:t>
            </w:r>
            <w:r>
              <w:rPr>
                <w:rFonts w:hint="eastAsia" w:ascii="仿宋" w:hAnsi="仿宋" w:eastAsia="仿宋" w:cs="仿宋"/>
                <w:kern w:val="0"/>
                <w:sz w:val="24"/>
              </w:rPr>
              <w:br w:type="textWrapping"/>
            </w:r>
            <w:r>
              <w:rPr>
                <w:rFonts w:hint="eastAsia" w:ascii="仿宋" w:hAnsi="仿宋" w:eastAsia="仿宋" w:cs="仿宋"/>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职工人均收入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≥5万元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驻村人员、帮扶对象幸福指数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≥90%</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 w:hAnsi="仿宋" w:eastAsia="仿宋" w:cs="仿宋"/>
                <w:sz w:val="24"/>
              </w:rPr>
            </w:pPr>
            <w:r>
              <w:rPr>
                <w:rFonts w:hint="eastAsia" w:ascii="仿宋" w:hAnsi="仿宋" w:eastAsia="仿宋" w:cs="仿宋"/>
                <w:kern w:val="0"/>
                <w:sz w:val="24"/>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能耗下降率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≥10%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满意</w:t>
            </w:r>
            <w:r>
              <w:rPr>
                <w:rFonts w:hint="eastAsia" w:ascii="仿宋" w:hAnsi="仿宋" w:eastAsia="仿宋" w:cs="仿宋"/>
                <w:kern w:val="0"/>
                <w:sz w:val="24"/>
              </w:rPr>
              <w:br w:type="textWrapping"/>
            </w:r>
            <w:r>
              <w:rPr>
                <w:rFonts w:hint="eastAsia" w:ascii="仿宋" w:hAnsi="仿宋" w:eastAsia="仿宋" w:cs="仿宋"/>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满意度</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color w:val="000000"/>
                <w:kern w:val="0"/>
                <w:sz w:val="24"/>
              </w:rPr>
              <w:t>≥90%</w:t>
            </w:r>
            <w:bookmarkEnd w:id="96"/>
          </w:p>
        </w:tc>
      </w:tr>
    </w:tbl>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rPr>
          <w:rFonts w:ascii="黑体" w:hAnsi="黑体" w:eastAsia="黑体"/>
          <w:sz w:val="44"/>
          <w:szCs w:val="44"/>
        </w:rPr>
      </w:pPr>
    </w:p>
    <w:p>
      <w:pPr>
        <w:spacing w:line="600" w:lineRule="exact"/>
        <w:jc w:val="center"/>
        <w:outlineLvl w:val="0"/>
        <w:rPr>
          <w:rFonts w:ascii="仿宋" w:hAnsi="仿宋" w:eastAsia="仿宋"/>
        </w:rPr>
      </w:pPr>
      <w:bookmarkStart w:id="97" w:name="_Toc4882"/>
      <w:r>
        <w:rPr>
          <w:rFonts w:hint="eastAsia" w:ascii="黑体" w:hAnsi="黑体" w:eastAsia="黑体"/>
          <w:sz w:val="44"/>
          <w:szCs w:val="44"/>
        </w:rPr>
        <w:t>第</w:t>
      </w:r>
      <w:r>
        <w:rPr>
          <w:rStyle w:val="30"/>
          <w:rFonts w:hint="eastAsia" w:ascii="黑体" w:hAnsi="黑体" w:eastAsia="黑体"/>
          <w:b w:val="0"/>
        </w:rPr>
        <w:t>五部分附表</w:t>
      </w:r>
      <w:bookmarkEnd w:id="91"/>
      <w:bookmarkEnd w:id="95"/>
      <w:bookmarkEnd w:id="97"/>
      <w:bookmarkStart w:id="98" w:name="_Toc15396619"/>
    </w:p>
    <w:p>
      <w:pPr>
        <w:pStyle w:val="14"/>
        <w:spacing w:before="0" w:after="0" w:line="640" w:lineRule="exact"/>
        <w:rPr>
          <w:rFonts w:ascii="仿宋" w:hAnsi="仿宋" w:eastAsia="仿宋"/>
          <w:b w:val="0"/>
        </w:rPr>
      </w:pPr>
      <w:bookmarkStart w:id="99" w:name="_Toc2672"/>
    </w:p>
    <w:p>
      <w:pPr>
        <w:pStyle w:val="14"/>
        <w:spacing w:before="0" w:after="0" w:line="640" w:lineRule="exact"/>
        <w:rPr>
          <w:rFonts w:ascii="仿宋" w:hAnsi="仿宋" w:eastAsia="仿宋"/>
        </w:rPr>
      </w:pPr>
      <w:bookmarkStart w:id="125" w:name="_GoBack"/>
      <w:r>
        <w:rPr>
          <w:rFonts w:hint="eastAsia" w:ascii="仿宋" w:hAnsi="仿宋" w:eastAsia="仿宋"/>
          <w:b w:val="0"/>
          <w:u w:val="thick" w:color="FFB03A"/>
          <w:shd w:val="clear" w:fill="FFEFD8"/>
        </w:rPr>
        <w:t>一、</w:t>
      </w:r>
      <w:bookmarkEnd w:id="125"/>
      <w:r>
        <w:rPr>
          <w:rFonts w:hint="eastAsia" w:ascii="仿宋" w:hAnsi="仿宋" w:eastAsia="仿宋"/>
          <w:b w:val="0"/>
        </w:rPr>
        <w:t>收</w:t>
      </w:r>
      <w:r>
        <w:rPr>
          <w:rStyle w:val="31"/>
          <w:rFonts w:hint="eastAsia" w:ascii="仿宋" w:hAnsi="仿宋" w:eastAsia="仿宋"/>
          <w:b w:val="0"/>
          <w:bCs w:val="0"/>
        </w:rPr>
        <w:t>入支出决算总表</w:t>
      </w:r>
      <w:bookmarkEnd w:id="98"/>
      <w:bookmarkEnd w:id="99"/>
    </w:p>
    <w:p>
      <w:pPr>
        <w:pStyle w:val="14"/>
        <w:spacing w:before="0" w:after="0" w:line="640" w:lineRule="exact"/>
        <w:rPr>
          <w:rFonts w:ascii="仿宋" w:hAnsi="仿宋" w:eastAsia="仿宋"/>
        </w:rPr>
      </w:pPr>
      <w:bookmarkStart w:id="100" w:name="_Toc15396620"/>
      <w:bookmarkStart w:id="101" w:name="_Toc19571"/>
      <w:r>
        <w:rPr>
          <w:rFonts w:hint="eastAsia" w:ascii="仿宋" w:hAnsi="仿宋" w:eastAsia="仿宋"/>
          <w:b w:val="0"/>
        </w:rPr>
        <w:t>二、收</w:t>
      </w:r>
      <w:r>
        <w:rPr>
          <w:rStyle w:val="31"/>
          <w:rFonts w:hint="eastAsia" w:ascii="仿宋" w:hAnsi="仿宋" w:eastAsia="仿宋"/>
          <w:b w:val="0"/>
          <w:bCs w:val="0"/>
        </w:rPr>
        <w:t>入决算表</w:t>
      </w:r>
      <w:bookmarkEnd w:id="100"/>
      <w:bookmarkEnd w:id="101"/>
    </w:p>
    <w:p>
      <w:pPr>
        <w:pStyle w:val="14"/>
        <w:spacing w:before="0" w:after="0" w:line="640" w:lineRule="exact"/>
        <w:rPr>
          <w:rFonts w:ascii="仿宋" w:hAnsi="仿宋" w:eastAsia="仿宋"/>
        </w:rPr>
      </w:pPr>
      <w:bookmarkStart w:id="102" w:name="_Toc22918"/>
      <w:bookmarkStart w:id="103"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102"/>
      <w:bookmarkEnd w:id="103"/>
    </w:p>
    <w:p>
      <w:pPr>
        <w:pStyle w:val="14"/>
        <w:spacing w:before="0" w:after="0" w:line="640" w:lineRule="exact"/>
        <w:rPr>
          <w:rFonts w:ascii="仿宋" w:hAnsi="仿宋" w:eastAsia="仿宋"/>
          <w:b w:val="0"/>
        </w:rPr>
      </w:pPr>
      <w:bookmarkStart w:id="104" w:name="_Toc15396622"/>
      <w:bookmarkStart w:id="105" w:name="_Toc580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104"/>
      <w:bookmarkEnd w:id="105"/>
    </w:p>
    <w:p>
      <w:pPr>
        <w:pStyle w:val="14"/>
        <w:spacing w:before="0" w:after="0" w:line="640" w:lineRule="exact"/>
        <w:rPr>
          <w:rStyle w:val="31"/>
          <w:rFonts w:ascii="仿宋" w:hAnsi="仿宋" w:eastAsia="仿宋"/>
          <w:b w:val="0"/>
          <w:bCs w:val="0"/>
        </w:rPr>
      </w:pPr>
      <w:bookmarkStart w:id="106" w:name="_Toc22808"/>
      <w:bookmarkStart w:id="107"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106"/>
      <w:bookmarkEnd w:id="107"/>
      <w:bookmarkStart w:id="108" w:name="_Toc15396624"/>
    </w:p>
    <w:p>
      <w:pPr>
        <w:pStyle w:val="14"/>
        <w:spacing w:before="0" w:after="0" w:line="640" w:lineRule="exact"/>
        <w:rPr>
          <w:rFonts w:ascii="仿宋" w:hAnsi="仿宋" w:eastAsia="仿宋"/>
        </w:rPr>
      </w:pPr>
      <w:bookmarkStart w:id="109" w:name="_Toc28530"/>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财政拨款支出决算表</w:t>
      </w:r>
      <w:bookmarkEnd w:id="108"/>
      <w:bookmarkEnd w:id="109"/>
    </w:p>
    <w:p>
      <w:pPr>
        <w:pStyle w:val="14"/>
        <w:spacing w:before="0" w:after="0" w:line="640" w:lineRule="exact"/>
        <w:rPr>
          <w:rFonts w:ascii="仿宋" w:hAnsi="仿宋" w:eastAsia="仿宋"/>
        </w:rPr>
      </w:pPr>
      <w:bookmarkStart w:id="110" w:name="_Toc15396625"/>
      <w:bookmarkStart w:id="111" w:name="_Toc29156"/>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财政拨款支出决算明细表</w:t>
      </w:r>
      <w:bookmarkEnd w:id="110"/>
      <w:bookmarkEnd w:id="111"/>
    </w:p>
    <w:p>
      <w:pPr>
        <w:pStyle w:val="14"/>
        <w:spacing w:before="0" w:after="0" w:line="640" w:lineRule="exact"/>
        <w:rPr>
          <w:rFonts w:ascii="仿宋" w:hAnsi="仿宋" w:eastAsia="仿宋"/>
        </w:rPr>
      </w:pPr>
      <w:bookmarkStart w:id="112" w:name="_Toc16060"/>
      <w:bookmarkStart w:id="113"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财政拨款基本支出决算表</w:t>
      </w:r>
      <w:bookmarkEnd w:id="112"/>
      <w:bookmarkEnd w:id="113"/>
    </w:p>
    <w:p>
      <w:pPr>
        <w:pStyle w:val="14"/>
        <w:spacing w:before="0" w:after="0" w:line="640" w:lineRule="exact"/>
        <w:rPr>
          <w:rFonts w:ascii="仿宋" w:hAnsi="仿宋" w:eastAsia="仿宋"/>
        </w:rPr>
      </w:pPr>
      <w:bookmarkStart w:id="114" w:name="_Toc15396627"/>
      <w:bookmarkStart w:id="115" w:name="_Toc11680"/>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财政拨款项目支出决算表</w:t>
      </w:r>
      <w:bookmarkEnd w:id="114"/>
      <w:bookmarkEnd w:id="115"/>
    </w:p>
    <w:p>
      <w:pPr>
        <w:pStyle w:val="14"/>
        <w:spacing w:before="0" w:after="0" w:line="640" w:lineRule="exact"/>
        <w:rPr>
          <w:rFonts w:ascii="仿宋" w:hAnsi="仿宋" w:eastAsia="仿宋"/>
        </w:rPr>
      </w:pPr>
      <w:bookmarkStart w:id="116" w:name="_Toc15396628"/>
      <w:bookmarkStart w:id="117" w:name="_Toc10972"/>
      <w:r>
        <w:rPr>
          <w:rStyle w:val="31"/>
          <w:rFonts w:hint="eastAsia" w:ascii="仿宋" w:hAnsi="仿宋" w:eastAsia="仿宋"/>
          <w:b w:val="0"/>
          <w:bCs w:val="0"/>
        </w:rPr>
        <w:t>十、</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财政拨款“三公”经费支出决算表</w:t>
      </w:r>
      <w:bookmarkEnd w:id="116"/>
      <w:bookmarkEnd w:id="117"/>
    </w:p>
    <w:p>
      <w:pPr>
        <w:pStyle w:val="14"/>
        <w:spacing w:before="0" w:after="0" w:line="640" w:lineRule="exact"/>
        <w:rPr>
          <w:rFonts w:ascii="仿宋" w:hAnsi="仿宋" w:eastAsia="仿宋"/>
        </w:rPr>
      </w:pPr>
      <w:bookmarkStart w:id="118" w:name="_Toc15396629"/>
      <w:bookmarkStart w:id="119" w:name="_Toc14045"/>
      <w:r>
        <w:rPr>
          <w:rStyle w:val="31"/>
          <w:rFonts w:hint="eastAsia" w:ascii="仿宋" w:hAnsi="仿宋" w:eastAsia="仿宋"/>
          <w:b w:val="0"/>
          <w:bCs w:val="0"/>
        </w:rPr>
        <w:t>十一、</w:t>
      </w:r>
      <w:r>
        <w:rPr>
          <w:rFonts w:hint="eastAsia" w:ascii="仿宋" w:hAnsi="仿宋" w:eastAsia="仿宋"/>
          <w:b w:val="0"/>
        </w:rPr>
        <w:t>政</w:t>
      </w:r>
      <w:r>
        <w:rPr>
          <w:rStyle w:val="31"/>
          <w:rFonts w:hint="eastAsia" w:ascii="仿宋" w:hAnsi="仿宋" w:eastAsia="仿宋"/>
          <w:b w:val="0"/>
          <w:bCs w:val="0"/>
        </w:rPr>
        <w:t>府性基金预算</w:t>
      </w:r>
      <w:r>
        <w:rPr>
          <w:rFonts w:hint="eastAsia" w:ascii="仿宋" w:hAnsi="仿宋" w:eastAsia="仿宋"/>
          <w:b w:val="0"/>
          <w:bCs w:val="0"/>
        </w:rPr>
        <w:t>财政拨款收入支出决算表</w:t>
      </w:r>
      <w:bookmarkEnd w:id="118"/>
      <w:bookmarkEnd w:id="119"/>
    </w:p>
    <w:p>
      <w:pPr>
        <w:pStyle w:val="14"/>
        <w:spacing w:before="0" w:after="0" w:line="640" w:lineRule="exact"/>
        <w:rPr>
          <w:rFonts w:ascii="仿宋" w:hAnsi="仿宋" w:eastAsia="仿宋"/>
        </w:rPr>
      </w:pPr>
      <w:bookmarkStart w:id="120" w:name="_Toc15396630"/>
      <w:bookmarkStart w:id="121" w:name="_Toc9070"/>
      <w:r>
        <w:rPr>
          <w:rStyle w:val="31"/>
          <w:rFonts w:hint="eastAsia" w:ascii="仿宋" w:hAnsi="仿宋" w:eastAsia="仿宋"/>
          <w:b w:val="0"/>
          <w:bCs w:val="0"/>
        </w:rPr>
        <w:t>十二、</w:t>
      </w:r>
      <w:r>
        <w:rPr>
          <w:rFonts w:hint="eastAsia" w:ascii="仿宋" w:hAnsi="仿宋" w:eastAsia="仿宋"/>
          <w:b w:val="0"/>
        </w:rPr>
        <w:t>政</w:t>
      </w:r>
      <w:r>
        <w:rPr>
          <w:rStyle w:val="31"/>
          <w:rFonts w:hint="eastAsia" w:ascii="仿宋" w:hAnsi="仿宋" w:eastAsia="仿宋"/>
          <w:b w:val="0"/>
          <w:bCs w:val="0"/>
        </w:rPr>
        <w:t>府性基金预算</w:t>
      </w:r>
      <w:r>
        <w:rPr>
          <w:rFonts w:hint="eastAsia" w:ascii="仿宋" w:hAnsi="仿宋" w:eastAsia="仿宋"/>
          <w:b w:val="0"/>
          <w:bCs w:val="0"/>
        </w:rPr>
        <w:t>财政拨款“三公”经费支出决算表</w:t>
      </w:r>
      <w:bookmarkEnd w:id="120"/>
      <w:bookmarkEnd w:id="121"/>
    </w:p>
    <w:p>
      <w:pPr>
        <w:pStyle w:val="14"/>
        <w:spacing w:before="0" w:after="0" w:line="640" w:lineRule="exact"/>
        <w:rPr>
          <w:rStyle w:val="31"/>
          <w:rFonts w:ascii="仿宋" w:hAnsi="仿宋" w:eastAsia="仿宋"/>
          <w:b w:val="0"/>
          <w:bCs w:val="0"/>
        </w:rPr>
      </w:pPr>
      <w:bookmarkStart w:id="122" w:name="_Toc6376"/>
      <w:bookmarkStart w:id="123" w:name="_Toc15396631"/>
      <w:r>
        <w:rPr>
          <w:rStyle w:val="31"/>
          <w:rFonts w:hint="eastAsia" w:ascii="仿宋" w:hAnsi="仿宋" w:eastAsia="仿宋"/>
          <w:b w:val="0"/>
          <w:bCs w:val="0"/>
        </w:rPr>
        <w:t>十三、</w:t>
      </w:r>
      <w:r>
        <w:rPr>
          <w:rFonts w:hint="eastAsia" w:ascii="仿宋" w:hAnsi="仿宋" w:eastAsia="仿宋"/>
          <w:b w:val="0"/>
        </w:rPr>
        <w:t>国</w:t>
      </w:r>
      <w:r>
        <w:rPr>
          <w:rStyle w:val="31"/>
          <w:rFonts w:hint="eastAsia" w:ascii="仿宋" w:hAnsi="仿宋" w:eastAsia="仿宋"/>
          <w:b w:val="0"/>
          <w:bCs w:val="0"/>
        </w:rPr>
        <w:t>有</w:t>
      </w:r>
      <w:r>
        <w:rPr>
          <w:rFonts w:hint="eastAsia" w:ascii="仿宋" w:hAnsi="仿宋" w:eastAsia="仿宋"/>
          <w:b w:val="0"/>
          <w:bCs w:val="0"/>
        </w:rPr>
        <w:t>资本经营</w:t>
      </w:r>
      <w:r>
        <w:rPr>
          <w:rStyle w:val="31"/>
          <w:rFonts w:hint="eastAsia" w:ascii="仿宋" w:hAnsi="仿宋" w:eastAsia="仿宋"/>
          <w:b w:val="0"/>
          <w:bCs w:val="0"/>
        </w:rPr>
        <w:t>预算财政拨款收入支出决算表</w:t>
      </w:r>
      <w:bookmarkEnd w:id="122"/>
      <w:bookmarkEnd w:id="123"/>
    </w:p>
    <w:p>
      <w:pPr>
        <w:spacing w:line="640" w:lineRule="exact"/>
        <w:rPr>
          <w:rFonts w:eastAsia="仿宋"/>
          <w:sz w:val="32"/>
          <w:szCs w:val="32"/>
        </w:rPr>
      </w:pPr>
      <w:bookmarkStart w:id="124" w:name="_Toc37"/>
      <w:r>
        <w:rPr>
          <w:rStyle w:val="31"/>
          <w:rFonts w:hint="eastAsia" w:ascii="仿宋" w:hAnsi="仿宋" w:eastAsia="仿宋"/>
          <w:b w:val="0"/>
          <w:bCs w:val="0"/>
        </w:rPr>
        <w:t>十四、国有</w:t>
      </w:r>
      <w:r>
        <w:rPr>
          <w:rFonts w:hint="eastAsia" w:ascii="仿宋" w:hAnsi="仿宋" w:eastAsia="仿宋"/>
          <w:sz w:val="32"/>
          <w:szCs w:val="32"/>
        </w:rPr>
        <w:t>资本经营</w:t>
      </w:r>
      <w:r>
        <w:rPr>
          <w:rStyle w:val="31"/>
          <w:rFonts w:hint="eastAsia" w:ascii="仿宋" w:hAnsi="仿宋" w:eastAsia="仿宋"/>
          <w:b w:val="0"/>
          <w:bCs w:val="0"/>
        </w:rPr>
        <w:t>预算</w:t>
      </w:r>
      <w:r>
        <w:rPr>
          <w:rFonts w:hint="eastAsia" w:ascii="仿宋" w:hAnsi="仿宋" w:eastAsia="仿宋"/>
          <w:sz w:val="32"/>
          <w:szCs w:val="32"/>
        </w:rPr>
        <w:t>财政拨款支出决算表</w:t>
      </w:r>
      <w:bookmarkEnd w:id="124"/>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8</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9</w:t>
        </w:r>
        <w:r>
          <w:fldChar w:fldCharType="end"/>
        </w:r>
      </w:p>
    </w:sdtContent>
  </w:sdt>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450C8"/>
    <w:multiLevelType w:val="singleLevel"/>
    <w:tmpl w:val="111450C8"/>
    <w:lvl w:ilvl="0" w:tentative="0">
      <w:start w:val="9"/>
      <w:numFmt w:val="chineseCounting"/>
      <w:suff w:val="nothing"/>
      <w:lvlText w:val="%1、"/>
      <w:lvlJc w:val="left"/>
      <w:rPr>
        <w:rFonts w:hint="eastAsia"/>
      </w:rPr>
    </w:lvl>
  </w:abstractNum>
  <w:abstractNum w:abstractNumId="1">
    <w:nsid w:val="2D02742E"/>
    <w:multiLevelType w:val="multilevel"/>
    <w:tmpl w:val="2D02742E"/>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9021DE1"/>
    <w:multiLevelType w:val="singleLevel"/>
    <w:tmpl w:val="79021DE1"/>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FE65BE"/>
    <w:rsid w:val="003927C4"/>
    <w:rsid w:val="00836167"/>
    <w:rsid w:val="00A7143E"/>
    <w:rsid w:val="00E83238"/>
    <w:rsid w:val="00FE65BE"/>
    <w:rsid w:val="35005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paragraph" w:styleId="6">
    <w:name w:val="Title"/>
    <w:basedOn w:val="1"/>
    <w:qFormat/>
    <w:uiPriority w:val="0"/>
    <w:pPr>
      <w:spacing w:before="240" w:after="60"/>
      <w:jc w:val="center"/>
      <w:outlineLvl w:val="0"/>
    </w:pPr>
    <w:rPr>
      <w:rFonts w:ascii="Arial" w:hAnsi="Arial"/>
      <w:sz w:val="32"/>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30"/>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4"/>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Page Number"/>
    <w:basedOn w:val="9"/>
    <w:qFormat/>
    <w:uiPriority w:val="0"/>
  </w:style>
  <w:style w:type="character" w:customStyle="1" w:styleId="22">
    <w:name w:val="Header Char"/>
    <w:basedOn w:val="9"/>
    <w:semiHidden/>
    <w:qFormat/>
    <w:uiPriority w:val="99"/>
    <w:rPr>
      <w:rFonts w:ascii="Times New Roman" w:hAnsi="Times New Roman"/>
      <w:sz w:val="18"/>
      <w:szCs w:val="18"/>
    </w:rPr>
  </w:style>
  <w:style w:type="character" w:customStyle="1" w:styleId="23">
    <w:name w:val="页眉 Char"/>
    <w:semiHidden/>
    <w:qFormat/>
    <w:locked/>
    <w:uiPriority w:val="99"/>
    <w:rPr>
      <w:sz w:val="18"/>
    </w:rPr>
  </w:style>
  <w:style w:type="character" w:customStyle="1" w:styleId="24">
    <w:name w:val="Footer Char"/>
    <w:basedOn w:val="9"/>
    <w:semiHidden/>
    <w:qFormat/>
    <w:uiPriority w:val="99"/>
    <w:rPr>
      <w:rFonts w:ascii="Times New Roman" w:hAnsi="Times New Roman"/>
      <w:sz w:val="18"/>
      <w:szCs w:val="18"/>
    </w:rPr>
  </w:style>
  <w:style w:type="character" w:customStyle="1" w:styleId="25">
    <w:name w:val="页脚 Char"/>
    <w:qFormat/>
    <w:locked/>
    <w:uiPriority w:val="99"/>
    <w:rPr>
      <w:sz w:val="18"/>
    </w:rPr>
  </w:style>
  <w:style w:type="character" w:customStyle="1" w:styleId="26">
    <w:name w:val="Body Text Char"/>
    <w:basedOn w:val="9"/>
    <w:semiHidden/>
    <w:qFormat/>
    <w:uiPriority w:val="99"/>
    <w:rPr>
      <w:rFonts w:ascii="Times New Roman" w:hAnsi="Times New Roman"/>
      <w:szCs w:val="24"/>
    </w:rPr>
  </w:style>
  <w:style w:type="character" w:customStyle="1" w:styleId="27">
    <w:name w:val="正文文本 Char"/>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9"/>
    <w:link w:val="13"/>
    <w:qFormat/>
    <w:uiPriority w:val="9"/>
    <w:rPr>
      <w:rFonts w:ascii="Times New Roman" w:hAnsi="Times New Roman"/>
      <w:b/>
      <w:bCs/>
      <w:kern w:val="44"/>
      <w:sz w:val="44"/>
      <w:szCs w:val="44"/>
    </w:rPr>
  </w:style>
  <w:style w:type="character" w:customStyle="1" w:styleId="31">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2">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Char"/>
    <w:basedOn w:val="9"/>
    <w:semiHidden/>
    <w:qFormat/>
    <w:uiPriority w:val="99"/>
    <w:rPr>
      <w:rFonts w:ascii="Times New Roman" w:hAnsi="Times New Roman"/>
      <w:kern w:val="2"/>
      <w:sz w:val="18"/>
      <w:szCs w:val="18"/>
    </w:rPr>
  </w:style>
  <w:style w:type="character" w:customStyle="1" w:styleId="34">
    <w:name w:val="标题 3 Char"/>
    <w:basedOn w:val="9"/>
    <w:link w:val="15"/>
    <w:qFormat/>
    <w:uiPriority w:val="9"/>
    <w:rPr>
      <w:rFonts w:ascii="Times New Roman" w:hAnsi="Times New Roman"/>
      <w:b/>
      <w:bCs/>
      <w:kern w:val="2"/>
      <w:sz w:val="32"/>
      <w:szCs w:val="32"/>
    </w:rPr>
  </w:style>
  <w:style w:type="paragraph" w:customStyle="1" w:styleId="35">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Char Char5"/>
    <w:basedOn w:val="9"/>
    <w:link w:val="14"/>
    <w:qFormat/>
    <w:locked/>
    <w:uiPriority w:val="9"/>
    <w:rPr>
      <w:rFonts w:ascii="Cambria" w:hAnsi="Cambria" w:eastAsia="宋体" w:cs="Times New Roman"/>
      <w:b/>
      <w:bCs/>
      <w:kern w:val="2"/>
      <w:sz w:val="32"/>
      <w:szCs w:val="32"/>
    </w:rPr>
  </w:style>
  <w:style w:type="character" w:customStyle="1" w:styleId="37">
    <w:name w:val="font51"/>
    <w:basedOn w:val="9"/>
    <w:qFormat/>
    <w:uiPriority w:val="0"/>
    <w:rPr>
      <w:rFonts w:hint="eastAsia" w:ascii="宋体" w:hAnsi="宋体" w:eastAsia="宋体" w:cs="宋体"/>
      <w:color w:val="000000"/>
      <w:sz w:val="20"/>
      <w:szCs w:val="20"/>
      <w:u w:val="none"/>
    </w:rPr>
  </w:style>
  <w:style w:type="character" w:customStyle="1" w:styleId="38">
    <w:name w:val="font112"/>
    <w:basedOn w:val="9"/>
    <w:qFormat/>
    <w:uiPriority w:val="0"/>
    <w:rPr>
      <w:rFonts w:hint="eastAsia" w:ascii="宋体" w:hAnsi="宋体" w:eastAsia="宋体" w:cs="宋体"/>
      <w:b/>
      <w:bCs/>
      <w:color w:val="000000"/>
      <w:sz w:val="32"/>
      <w:szCs w:val="32"/>
      <w:u w:val="none"/>
    </w:rPr>
  </w:style>
  <w:style w:type="character" w:customStyle="1" w:styleId="39">
    <w:name w:val="font31"/>
    <w:basedOn w:val="9"/>
    <w:qFormat/>
    <w:uiPriority w:val="0"/>
    <w:rPr>
      <w:rFonts w:hint="eastAsia" w:ascii="宋体" w:hAnsi="宋体" w:eastAsia="宋体" w:cs="宋体"/>
      <w:color w:val="000000"/>
      <w:sz w:val="32"/>
      <w:szCs w:val="32"/>
      <w:u w:val="none"/>
    </w:rPr>
  </w:style>
  <w:style w:type="character" w:customStyle="1" w:styleId="40">
    <w:name w:val="font21"/>
    <w:basedOn w:val="9"/>
    <w:qFormat/>
    <w:uiPriority w:val="0"/>
    <w:rPr>
      <w:rFonts w:hint="eastAsia" w:ascii="宋体" w:hAnsi="宋体" w:eastAsia="宋体" w:cs="宋体"/>
      <w:color w:val="000000"/>
      <w:sz w:val="20"/>
      <w:szCs w:val="20"/>
      <w:u w:val="none"/>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3">
    <w:name w:val="批注文字 Char"/>
    <w:basedOn w:val="9"/>
    <w:semiHidden/>
    <w:uiPriority w:val="99"/>
    <w:rPr>
      <w:kern w:val="2"/>
      <w:sz w:val="21"/>
      <w:szCs w:val="24"/>
    </w:rPr>
  </w:style>
  <w:style w:type="paragraph" w:customStyle="1" w:styleId="44">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5">
    <w:name w:val="页眉 Char1"/>
    <w:basedOn w:val="9"/>
    <w:semiHidden/>
    <w:uiPriority w:val="99"/>
    <w:rPr>
      <w:kern w:val="2"/>
      <w:sz w:val="18"/>
      <w:szCs w:val="18"/>
    </w:rPr>
  </w:style>
  <w:style w:type="paragraph" w:customStyle="1" w:styleId="46">
    <w:name w:val="Footer0"/>
    <w:basedOn w:val="1"/>
    <w:qFormat/>
    <w:uiPriority w:val="99"/>
    <w:pPr>
      <w:tabs>
        <w:tab w:val="center" w:pos="4153"/>
        <w:tab w:val="right" w:pos="8306"/>
      </w:tabs>
      <w:snapToGrid w:val="0"/>
      <w:jc w:val="left"/>
    </w:pPr>
    <w:rPr>
      <w:sz w:val="18"/>
      <w:szCs w:val="18"/>
    </w:rPr>
  </w:style>
  <w:style w:type="character" w:customStyle="1" w:styleId="47">
    <w:name w:val="页脚 Char1"/>
    <w:basedOn w:val="9"/>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12.xml"/><Relationship Id="rId31" Type="http://schemas.openxmlformats.org/officeDocument/2006/relationships/customXml" Target="../customXml/item11.xml"/><Relationship Id="rId30" Type="http://schemas.openxmlformats.org/officeDocument/2006/relationships/customXml" Target="../customXml/item10.xml"/><Relationship Id="rId3" Type="http://schemas.openxmlformats.org/officeDocument/2006/relationships/header" Target="header1.xml"/><Relationship Id="rId29" Type="http://schemas.openxmlformats.org/officeDocument/2006/relationships/customXml" Target="../customXml/item9.xml"/><Relationship Id="rId28" Type="http://schemas.openxmlformats.org/officeDocument/2006/relationships/customXml" Target="../customXml/item8.xml"/><Relationship Id="rId27" Type="http://schemas.openxmlformats.org/officeDocument/2006/relationships/customXml" Target="../customXml/item7.xml"/><Relationship Id="rId26" Type="http://schemas.openxmlformats.org/officeDocument/2006/relationships/customXml" Target="../customXml/item6.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oleObject" Target="file:///C:\Users\Administrator\Desktop\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32801837270341"/>
          <c:y val="0.0791783318751823"/>
          <c:w val="0.806568460192476"/>
          <c:h val="0.734741907261593"/>
        </c:manualLayout>
      </c:layout>
      <c:barChart>
        <c:barDir val="col"/>
        <c:grouping val="clustered"/>
        <c:varyColors val="0"/>
        <c:ser>
          <c:idx val="0"/>
          <c:order val="0"/>
          <c:invertIfNegative val="0"/>
          <c:dLbls>
            <c:delete val="1"/>
          </c:dLbls>
          <c:cat>
            <c:multiLvlStrRef>
              <c:f>[00.xlsx]Sheet1!$A$1:$D$2</c:f>
              <c:multiLvlStrCache>
                <c:ptCount val="4"/>
                <c:lvl>
                  <c:pt idx="0">
                    <c:v>2020年收入</c:v>
                  </c:pt>
                  <c:pt idx="1">
                    <c:v>2020年支出</c:v>
                  </c:pt>
                  <c:pt idx="2">
                    <c:v>2021年收入</c:v>
                  </c:pt>
                  <c:pt idx="3">
                    <c:v>2021年支出</c:v>
                  </c:pt>
                </c:lvl>
                <c:lvl>
                  <c:pt idx="0">
                    <c:v>2020、2021年收支变动表</c:v>
                  </c:pt>
                </c:lvl>
              </c:multiLvlStrCache>
            </c:multiLvlStrRef>
          </c:cat>
          <c:val>
            <c:numRef>
              <c:f>[00.xlsx]Sheet1!$A$3:$D$3</c:f>
              <c:numCache>
                <c:formatCode>General</c:formatCode>
                <c:ptCount val="4"/>
                <c:pt idx="0">
                  <c:v>253.61</c:v>
                </c:pt>
                <c:pt idx="1">
                  <c:v>253.61</c:v>
                </c:pt>
                <c:pt idx="2">
                  <c:v>262.33</c:v>
                </c:pt>
                <c:pt idx="3">
                  <c:v>262.33</c:v>
                </c:pt>
              </c:numCache>
            </c:numRef>
          </c:val>
        </c:ser>
        <c:dLbls>
          <c:showLegendKey val="0"/>
          <c:showVal val="0"/>
          <c:showCatName val="0"/>
          <c:showSerName val="0"/>
          <c:showPercent val="0"/>
          <c:showBubbleSize val="0"/>
        </c:dLbls>
        <c:gapWidth val="150"/>
        <c:axId val="112011904"/>
        <c:axId val="112017792"/>
      </c:barChart>
      <c:catAx>
        <c:axId val="1120119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017792"/>
        <c:crosses val="autoZero"/>
        <c:auto val="1"/>
        <c:lblAlgn val="ctr"/>
        <c:lblOffset val="100"/>
        <c:noMultiLvlLbl val="0"/>
      </c:catAx>
      <c:valAx>
        <c:axId val="112017792"/>
        <c:scaling>
          <c:orientation val="minMax"/>
        </c:scaling>
        <c:delete val="0"/>
        <c:axPos val="l"/>
        <c:majorGridlines>
          <c:spPr>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0119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multiLvlStrRef>
              <c:f>[00.xlsx]Sheet2!$A$1:$B$2</c:f>
              <c:multiLvlStrCache>
                <c:ptCount val="2"/>
                <c:lvl>
                  <c:pt idx="0">
                    <c:v>2021年财政拨款收入</c:v>
                  </c:pt>
                  <c:pt idx="1">
                    <c:v>2021年事业收入</c:v>
                  </c:pt>
                </c:lvl>
                <c:lvl>
                  <c:pt idx="0">
                    <c:v>2021年度收入决算表</c:v>
                  </c:pt>
                </c:lvl>
              </c:multiLvlStrCache>
            </c:multiLvlStrRef>
          </c:cat>
          <c:val>
            <c:numRef>
              <c:f>[00.xlsx]Sheet2!$A$3:$B$3</c:f>
              <c:numCache>
                <c:formatCode>General</c:formatCode>
                <c:ptCount val="2"/>
                <c:pt idx="0">
                  <c:v>132.92</c:v>
                </c:pt>
                <c:pt idx="1">
                  <c:v>129.41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multiLvlStrRef>
              <c:f>[00.xlsx]Sheet3!$A$1:$B$2</c:f>
              <c:multiLvlStrCache>
                <c:ptCount val="2"/>
                <c:lvl>
                  <c:pt idx="0">
                    <c:v>基本支出</c:v>
                  </c:pt>
                  <c:pt idx="1">
                    <c:v>2021年项目支出</c:v>
                  </c:pt>
                </c:lvl>
                <c:lvl>
                  <c:pt idx="0">
                    <c:v>2021年支出决算表</c:v>
                  </c:pt>
                </c:lvl>
              </c:multiLvlStrCache>
            </c:multiLvlStrRef>
          </c:cat>
          <c:val>
            <c:numRef>
              <c:f>[00.xlsx]Sheet3!$A$3:$B$3</c:f>
              <c:numCache>
                <c:formatCode>General</c:formatCode>
                <c:ptCount val="2"/>
                <c:pt idx="0">
                  <c:v>192.83</c:v>
                </c:pt>
                <c:pt idx="1">
                  <c:v>69.5</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delete val="1"/>
          </c:dLbls>
          <c:cat>
            <c:multiLvlStrRef>
              <c:f>[00.xlsx]Sheet4!$A$1:$D$2</c:f>
              <c:multiLvlStrCache>
                <c:ptCount val="4"/>
                <c:lvl>
                  <c:pt idx="0">
                    <c:v>2020年财政拨款收入</c:v>
                  </c:pt>
                  <c:pt idx="1">
                    <c:v>2020年财政拨款支出</c:v>
                  </c:pt>
                  <c:pt idx="2">
                    <c:v>2021年财政拨款收入</c:v>
                  </c:pt>
                  <c:pt idx="3">
                    <c:v>2021年财政拨款支出</c:v>
                  </c:pt>
                </c:lvl>
                <c:lvl>
                  <c:pt idx="0">
                    <c:v>2020、2021年财政拨款收、支决算表</c:v>
                  </c:pt>
                </c:lvl>
              </c:multiLvlStrCache>
            </c:multiLvlStrRef>
          </c:cat>
          <c:val>
            <c:numRef>
              <c:f>[00.xlsx]Sheet4!$A$3:$D$3</c:f>
              <c:numCache>
                <c:formatCode>General</c:formatCode>
                <c:ptCount val="4"/>
                <c:pt idx="0">
                  <c:v>132.46</c:v>
                </c:pt>
                <c:pt idx="1">
                  <c:v>132.46</c:v>
                </c:pt>
                <c:pt idx="2">
                  <c:v>132.92</c:v>
                </c:pt>
                <c:pt idx="3">
                  <c:v>132.92</c:v>
                </c:pt>
              </c:numCache>
            </c:numRef>
          </c:val>
        </c:ser>
        <c:dLbls>
          <c:showLegendKey val="0"/>
          <c:showVal val="0"/>
          <c:showCatName val="0"/>
          <c:showSerName val="0"/>
          <c:showPercent val="0"/>
          <c:showBubbleSize val="0"/>
        </c:dLbls>
        <c:gapWidth val="150"/>
        <c:overlap val="100"/>
        <c:axId val="118607232"/>
        <c:axId val="118629888"/>
      </c:barChart>
      <c:catAx>
        <c:axId val="1186072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8629888"/>
        <c:crosses val="autoZero"/>
        <c:auto val="1"/>
        <c:lblAlgn val="ctr"/>
        <c:lblOffset val="100"/>
        <c:noMultiLvlLbl val="0"/>
      </c:catAx>
      <c:valAx>
        <c:axId val="1186298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86072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blipFill>
      <a:blip xmlns:r="http://schemas.openxmlformats.org/officeDocument/2006/relationships" r:embed="rId2"/>
      <a:tile tx="0" ty="0" sx="100000" sy="100000" flip="none" algn="tl"/>
    </a:blipFill>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delete val="1"/>
          </c:dLbls>
          <c:cat>
            <c:multiLvlStrRef>
              <c:f>[00.xlsx]Sheet6!$A$1:$B$2</c:f>
              <c:multiLvlStrCache>
                <c:ptCount val="2"/>
                <c:lvl>
                  <c:pt idx="0">
                    <c:v>2020年</c:v>
                  </c:pt>
                  <c:pt idx="1">
                    <c:v>2021年</c:v>
                  </c:pt>
                </c:lvl>
                <c:lvl>
                  <c:pt idx="0">
                    <c:v>一般公共预算财政拨款支出决算表</c:v>
                  </c:pt>
                </c:lvl>
              </c:multiLvlStrCache>
            </c:multiLvlStrRef>
          </c:cat>
          <c:val>
            <c:numRef>
              <c:f>[00.xlsx]Sheet6!$A$3:$B$3</c:f>
              <c:numCache>
                <c:formatCode>General</c:formatCode>
                <c:ptCount val="2"/>
                <c:pt idx="0">
                  <c:v>132.46</c:v>
                </c:pt>
                <c:pt idx="1">
                  <c:v>132.92</c:v>
                </c:pt>
              </c:numCache>
            </c:numRef>
          </c:val>
        </c:ser>
        <c:dLbls>
          <c:showLegendKey val="0"/>
          <c:showVal val="0"/>
          <c:showCatName val="0"/>
          <c:showSerName val="0"/>
          <c:showPercent val="0"/>
          <c:showBubbleSize val="0"/>
        </c:dLbls>
        <c:gapWidth val="150"/>
        <c:overlap val="100"/>
        <c:axId val="147291136"/>
        <c:axId val="148592128"/>
      </c:barChart>
      <c:catAx>
        <c:axId val="1472911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592128"/>
        <c:crosses val="autoZero"/>
        <c:auto val="1"/>
        <c:lblAlgn val="ctr"/>
        <c:lblOffset val="100"/>
        <c:noMultiLvlLbl val="0"/>
      </c:catAx>
      <c:valAx>
        <c:axId val="148592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72911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[00.xlsx]Sheet7!$A$1:$B$2</c:f>
              <c:multiLvlStrCache>
                <c:ptCount val="2"/>
                <c:lvl>
                  <c:pt idx="0">
                    <c:v>卫生健康支出</c:v>
                  </c:pt>
                  <c:pt idx="1">
                    <c:v>农林水扶贫支出</c:v>
                  </c:pt>
                </c:lvl>
                <c:lvl>
                  <c:pt idx="0">
                    <c:v>一般公共预算财政拨款支出决算</c:v>
                  </c:pt>
                </c:lvl>
              </c:multiLvlStrCache>
            </c:multiLvlStrRef>
          </c:cat>
          <c:val>
            <c:numRef>
              <c:f>[00.xlsx]Sheet7!$A$3:$B$3</c:f>
              <c:numCache>
                <c:formatCode>General</c:formatCode>
                <c:ptCount val="2"/>
                <c:pt idx="0">
                  <c:v>131.67</c:v>
                </c:pt>
                <c:pt idx="1">
                  <c:v>1.25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21</TotalTime>
  <Pages>20</Pages>
  <Words>1461</Words>
  <Characters>8331</Characters>
  <Application>Microsoft Office Word</Application>
  <DocSecurity>0</DocSecurity>
  <Lines>69</Lines>
  <Paragraphs>19</Paragraphs>
  <ScaleCrop>false</ScaleCrop>
  <Company>四川省财政厅</Company>
  <LinksUpToDate>false</LinksUpToDate>
  <CharactersWithSpaces>9773</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16</TotalTime>
  <Pages>25</Pages>
  <Words>7864</Words>
  <Characters>8929</Characters>
  <Application>WPS Office_11.1.0.9208_F1E327BC-269C-435d-A152-05C5408002CA</Application>
  <DocSecurity>0</DocSecurity>
  <Lines>61</Lines>
  <Paragraphs>17</Paragraphs>
  <Company>四川省财政厅</Company>
  <CharactersWithSpaces>8975</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2022-08-23T01:06:00Z</cp:lastPrinted>
  <dcterms:modified xsi:type="dcterms:W3CDTF">2022-11-01T03:39:52Z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25</Pages>
  <Words>7864</Words>
  <Characters>8929</Characters>
  <Lines>61</Lines>
  <Paragraphs>17</Paragraphs>
  <TotalTime>16</TotalTime>
  <ScaleCrop>false</ScaleCrop>
  <LinksUpToDate>false</LinksUpToDate>
  <CharactersWithSpaces>8975</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2022-08-23T01:06:00Z</cp:lastPrinted>
  <dcterms:created xsi:type="dcterms:W3CDTF">2020-08-05T01:49:00Z</dcterms:created>
  <dcterms:modified xsi:type="dcterms:W3CDTF">2022-11-01T03:39:52Z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37</cp:revision>
  <cp:lastPrinted>2022-08-23T01:06:00Z</cp:lastPrinted>
  <dcterms:created xsi:type="dcterms:W3CDTF">2020-08-05T01:49:00Z</dcterms:created>
  <dcterms:modified xsi:type="dcterms:W3CDTF">2023-02-24T09:09:00Z</dcterms:modified>
</cp:coreProperties>
</file>

<file path=customXml/item4.xml><?xml version="1.0" encoding="utf-8"?>
<Properties xmlns:vt="http://schemas.openxmlformats.org/officeDocument/2006/docPropsVTypes" xmlns="http://schemas.openxmlformats.org/officeDocument/2006/extended-properties">
  <Template>Normal</Template>
  <TotalTime>21</TotalTime>
  <Pages>20</Pages>
  <Words>1461</Words>
  <Characters>8331</Characters>
  <Application>Microsoft Office Word</Application>
  <DocSecurity>0</DocSecurity>
  <Lines>69</Lines>
  <Paragraphs>19</Paragraphs>
  <Company>四川省财政厅</Company>
  <CharactersWithSpaces>9773</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8857DC72CBC741E39919013545500C75</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8857DC72CBC741E39919013545500C75</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8857DC72CBC741E39919013545500C75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8857DC72CBC741E39919013545500C75</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37</cp:revision>
  <cp:lastPrinted>2022-08-23T01:06:00Z</cp:lastPrinted>
  <dcterms:created xsi:type="dcterms:W3CDTF">2020-08-05T01:49:00Z</dcterms:created>
  <dcterms:modified xsi:type="dcterms:W3CDTF">2023-02-24T09:09:00Z</dcterms:modified>
</cp:coreProperties>
</file>

<file path=customXml/itemProps1.xml><?xml version="1.0" encoding="utf-8"?>
<ds:datastoreItem xmlns:ds="http://schemas.openxmlformats.org/officeDocument/2006/customXml" ds:itemID="{5A5DD5C6-287D-4468-A833-BA97605288A0}">
  <ds:schemaRefs/>
</ds:datastoreItem>
</file>

<file path=customXml/itemProps10.xml><?xml version="1.0" encoding="utf-8"?>
<ds:datastoreItem xmlns:ds="http://schemas.openxmlformats.org/officeDocument/2006/customXml" ds:itemID="{1379E61B-F3A9-4E0B-AB54-A0040B915B2F}">
  <ds:schemaRefs/>
</ds:datastoreItem>
</file>

<file path=customXml/itemProps11.xml><?xml version="1.0" encoding="utf-8"?>
<ds:datastoreItem xmlns:ds="http://schemas.openxmlformats.org/officeDocument/2006/customXml" ds:itemID="{FC05C2E0-0BA0-4AF3-9375-8FB1EB4D8A39}">
  <ds:schemaRefs/>
</ds:datastoreItem>
</file>

<file path=customXml/itemProps12.xml><?xml version="1.0" encoding="utf-8"?>
<ds:datastoreItem xmlns:ds="http://schemas.openxmlformats.org/officeDocument/2006/customXml" ds:itemID="{B0F5FDE3-447A-4737-A942-8F23F62015F7}">
  <ds:schemaRefs/>
</ds:datastoreItem>
</file>

<file path=customXml/itemProps2.xml><?xml version="1.0" encoding="utf-8"?>
<ds:datastoreItem xmlns:ds="http://schemas.openxmlformats.org/officeDocument/2006/customXml" ds:itemID="{A82F00D9-1FB5-4B72-8230-F903181F82C4}">
  <ds:schemaRefs/>
</ds:datastoreItem>
</file>

<file path=customXml/itemProps3.xml><?xml version="1.0" encoding="utf-8"?>
<ds:datastoreItem xmlns:ds="http://schemas.openxmlformats.org/officeDocument/2006/customXml" ds:itemID="{3CC1683B-CA38-43C1-B878-38AB919DE925}">
  <ds:schemaRefs/>
</ds:datastoreItem>
</file>

<file path=customXml/itemProps4.xml><?xml version="1.0" encoding="utf-8"?>
<ds:datastoreItem xmlns:ds="http://schemas.openxmlformats.org/officeDocument/2006/customXml" ds:itemID="{F9B9EFAE-798F-44BA-8E51-7656A90722D2}">
  <ds:schemaRefs/>
</ds:datastoreItem>
</file>

<file path=customXml/itemProps5.xml><?xml version="1.0" encoding="utf-8"?>
<ds:datastoreItem xmlns:ds="http://schemas.openxmlformats.org/officeDocument/2006/customXml" ds:itemID="{9F7B6CF3-58A9-4F3E-B01D-9B077B9A3C6A}">
  <ds:schemaRefs/>
</ds:datastoreItem>
</file>

<file path=customXml/itemProps6.xml><?xml version="1.0" encoding="utf-8"?>
<ds:datastoreItem xmlns:ds="http://schemas.openxmlformats.org/officeDocument/2006/customXml" ds:itemID="{A02FDDE3-F2A0-4915-8BED-8284068320E4}">
  <ds:schemaRefs/>
</ds:datastoreItem>
</file>

<file path=customXml/itemProps7.xml><?xml version="1.0" encoding="utf-8"?>
<ds:datastoreItem xmlns:ds="http://schemas.openxmlformats.org/officeDocument/2006/customXml" ds:itemID="{F2C5B182-B69F-42C0-AC87-FE0F01BFFC74}">
  <ds:schemaRefs/>
</ds:datastoreItem>
</file>

<file path=customXml/itemProps8.xml><?xml version="1.0" encoding="utf-8"?>
<ds:datastoreItem xmlns:ds="http://schemas.openxmlformats.org/officeDocument/2006/customXml" ds:itemID="{000EB295-393A-4C78-9924-FA2EFDF11065}">
  <ds:schemaRefs/>
</ds:datastoreItem>
</file>

<file path=customXml/itemProps9.xml><?xml version="1.0" encoding="utf-8"?>
<ds:datastoreItem xmlns:ds="http://schemas.openxmlformats.org/officeDocument/2006/customXml" ds:itemID="{45B076B6-8697-4BD6-BF39-81D27E02680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7220</Words>
  <Characters>7696</Characters>
  <Lines>69</Lines>
  <Paragraphs>19</Paragraphs>
  <TotalTime>22</TotalTime>
  <ScaleCrop>false</ScaleCrop>
  <LinksUpToDate>false</LinksUpToDate>
  <CharactersWithSpaces>7796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2022-08-23T01:06:00Z</cp:lastPrinted>
  <dcterms:modified xsi:type="dcterms:W3CDTF">2023-06-26T12:50:30Z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8857DC72CBC741E39919013545500C75</vt:lpwstr>
  </property>
</Properties>
</file>